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val="0"/>
        <w:spacing w:line="360" w:lineRule="auto"/>
        <w:textAlignment w:val="auto"/>
        <w:rPr>
          <w:rFonts w:ascii="仿宋_GB2312" w:hAnsi="宋体" w:eastAsia="仿宋_GB2312"/>
          <w:b/>
          <w:kern w:val="2"/>
          <w:sz w:val="52"/>
          <w:szCs w:val="52"/>
        </w:rPr>
      </w:pPr>
      <w:bookmarkStart w:id="0" w:name="_Toc176599971"/>
      <w:bookmarkStart w:id="1" w:name="_Toc94523114"/>
      <w:bookmarkStart w:id="2" w:name="_Toc94523052"/>
      <w:bookmarkStart w:id="3" w:name="_Toc94523118"/>
      <w:bookmarkStart w:id="4" w:name="_Toc94523056"/>
    </w:p>
    <w:p>
      <w:pPr>
        <w:adjustRightInd/>
        <w:snapToGrid w:val="0"/>
        <w:spacing w:line="360" w:lineRule="auto"/>
        <w:jc w:val="center"/>
        <w:textAlignment w:val="auto"/>
        <w:rPr>
          <w:rFonts w:ascii="仿宋_GB2312" w:hAnsi="宋体" w:eastAsia="仿宋_GB2312"/>
          <w:b/>
          <w:kern w:val="2"/>
          <w:sz w:val="52"/>
          <w:szCs w:val="52"/>
        </w:rPr>
      </w:pPr>
      <w:r>
        <w:rPr>
          <w:rFonts w:hint="eastAsia" w:ascii="仿宋_GB2312" w:hAnsi="宋体" w:eastAsia="仿宋_GB2312"/>
          <w:b/>
          <w:kern w:val="2"/>
          <w:sz w:val="52"/>
          <w:szCs w:val="52"/>
        </w:rPr>
        <w:t>涉执房地产处置司法评估报告</w:t>
      </w:r>
    </w:p>
    <w:p>
      <w:pPr>
        <w:adjustRightInd/>
        <w:snapToGrid w:val="0"/>
        <w:spacing w:line="360" w:lineRule="auto"/>
        <w:jc w:val="center"/>
        <w:textAlignment w:val="auto"/>
        <w:rPr>
          <w:rFonts w:ascii="仿宋_GB2312" w:eastAsia="仿宋_GB2312"/>
          <w:b/>
          <w:sz w:val="28"/>
          <w:szCs w:val="28"/>
        </w:rPr>
      </w:pPr>
    </w:p>
    <w:p>
      <w:pPr>
        <w:adjustRightInd/>
        <w:snapToGrid w:val="0"/>
        <w:spacing w:line="360" w:lineRule="auto"/>
        <w:jc w:val="center"/>
        <w:textAlignment w:val="auto"/>
        <w:rPr>
          <w:rFonts w:ascii="仿宋_GB2312" w:eastAsia="仿宋_GB2312"/>
          <w:color w:val="FF0000"/>
          <w:sz w:val="28"/>
          <w:szCs w:val="28"/>
        </w:rPr>
      </w:pPr>
      <w:r>
        <w:rPr>
          <w:rFonts w:hint="eastAsia" w:ascii="仿宋_GB2312" w:eastAsia="仿宋_GB2312"/>
          <w:b/>
          <w:sz w:val="28"/>
          <w:szCs w:val="28"/>
        </w:rPr>
        <w:t>估价报告编号：</w:t>
      </w:r>
      <w:r>
        <w:rPr>
          <w:rFonts w:hint="eastAsia" w:ascii="仿宋_GB2312" w:eastAsia="仿宋_GB2312"/>
          <w:sz w:val="28"/>
          <w:szCs w:val="28"/>
        </w:rPr>
        <w:t>云通房评2021-1210号</w:t>
      </w:r>
    </w:p>
    <w:p>
      <w:pPr>
        <w:adjustRightInd/>
        <w:snapToGrid w:val="0"/>
        <w:spacing w:line="360" w:lineRule="auto"/>
        <w:textAlignment w:val="auto"/>
        <w:rPr>
          <w:rFonts w:ascii="仿宋_GB2312" w:hAnsi="宋体" w:eastAsia="仿宋_GB2312"/>
          <w:b/>
          <w:kern w:val="2"/>
          <w:sz w:val="52"/>
          <w:szCs w:val="52"/>
        </w:rPr>
      </w:pPr>
    </w:p>
    <w:p>
      <w:pPr>
        <w:pStyle w:val="77"/>
        <w:snapToGrid w:val="0"/>
        <w:spacing w:before="50" w:afterLines="0" w:line="560" w:lineRule="exact"/>
        <w:ind w:left="315" w:hanging="315" w:hangingChars="98"/>
        <w:rPr>
          <w:rFonts w:ascii="仿宋_GB2312"/>
          <w:b w:val="0"/>
          <w:sz w:val="32"/>
          <w:szCs w:val="32"/>
        </w:rPr>
      </w:pPr>
      <w:r>
        <w:rPr>
          <w:rFonts w:hint="eastAsia" w:ascii="仿宋_GB2312"/>
          <w:sz w:val="32"/>
          <w:szCs w:val="32"/>
        </w:rPr>
        <w:t>估价项目名称：</w:t>
      </w:r>
      <w:r>
        <w:rPr>
          <w:rFonts w:hint="eastAsia" w:ascii="仿宋_GB2312" w:hAnsi="仿宋"/>
          <w:b w:val="0"/>
          <w:sz w:val="32"/>
          <w:szCs w:val="32"/>
        </w:rPr>
        <w:t>昆明市中级人民法院拟司法执行财产处置委托的位于</w:t>
      </w:r>
      <w:r>
        <w:rPr>
          <w:rFonts w:hint="eastAsia" w:ascii="仿宋_GB2312"/>
          <w:b w:val="0"/>
          <w:sz w:val="32"/>
          <w:szCs w:val="32"/>
        </w:rPr>
        <w:t>晋宁区共计12套房地产市场价值评估</w:t>
      </w:r>
    </w:p>
    <w:p>
      <w:pPr>
        <w:pStyle w:val="77"/>
        <w:snapToGrid w:val="0"/>
        <w:spacing w:before="50" w:afterLines="0" w:line="360" w:lineRule="auto"/>
        <w:ind w:left="314" w:hanging="313" w:hangingChars="98"/>
        <w:rPr>
          <w:rFonts w:ascii="仿宋_GB2312"/>
          <w:b w:val="0"/>
          <w:sz w:val="32"/>
          <w:szCs w:val="32"/>
        </w:rPr>
      </w:pPr>
      <w:r>
        <w:rPr>
          <w:rFonts w:hint="eastAsia" w:ascii="仿宋_GB2312"/>
          <w:b w:val="0"/>
          <w:sz w:val="32"/>
          <w:szCs w:val="32"/>
        </w:rPr>
        <w:drawing>
          <wp:anchor distT="0" distB="0" distL="114300" distR="114300" simplePos="0" relativeHeight="251659264" behindDoc="1" locked="0" layoutInCell="1" allowOverlap="1">
            <wp:simplePos x="0" y="0"/>
            <wp:positionH relativeFrom="column">
              <wp:posOffset>2161540</wp:posOffset>
            </wp:positionH>
            <wp:positionV relativeFrom="paragraph">
              <wp:posOffset>319405</wp:posOffset>
            </wp:positionV>
            <wp:extent cx="1478280" cy="1504950"/>
            <wp:effectExtent l="19050" t="0" r="7620" b="0"/>
            <wp:wrapNone/>
            <wp:docPr id="1" name="图片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jpg"/>
                    <pic:cNvPicPr>
                      <a:picLocks noChangeAspect="1"/>
                    </pic:cNvPicPr>
                  </pic:nvPicPr>
                  <pic:blipFill>
                    <a:blip r:embed="rId15" cstate="print"/>
                    <a:srcRect l="15508" t="17161" r="14171" b="27119"/>
                    <a:stretch>
                      <a:fillRect/>
                    </a:stretch>
                  </pic:blipFill>
                  <pic:spPr>
                    <a:xfrm>
                      <a:off x="0" y="0"/>
                      <a:ext cx="1478280" cy="1504950"/>
                    </a:xfrm>
                    <a:prstGeom prst="rect">
                      <a:avLst/>
                    </a:prstGeom>
                    <a:effectLst>
                      <a:softEdge rad="12700"/>
                    </a:effectLst>
                  </pic:spPr>
                </pic:pic>
              </a:graphicData>
            </a:graphic>
          </wp:anchor>
        </w:drawing>
      </w:r>
    </w:p>
    <w:p>
      <w:pPr>
        <w:spacing w:line="360" w:lineRule="auto"/>
        <w:rPr>
          <w:rFonts w:ascii="仿宋_GB2312" w:eastAsia="仿宋_GB2312"/>
          <w:b/>
          <w:sz w:val="32"/>
          <w:szCs w:val="32"/>
        </w:rPr>
      </w:pPr>
    </w:p>
    <w:p>
      <w:pPr>
        <w:spacing w:line="360" w:lineRule="auto"/>
        <w:rPr>
          <w:rFonts w:ascii="仿宋_GB2312" w:eastAsia="仿宋_GB2312"/>
          <w:b/>
          <w:sz w:val="32"/>
          <w:szCs w:val="32"/>
        </w:rPr>
      </w:pPr>
    </w:p>
    <w:p>
      <w:pPr>
        <w:spacing w:line="360" w:lineRule="auto"/>
        <w:rPr>
          <w:rFonts w:ascii="仿宋_GB2312" w:eastAsia="仿宋_GB2312"/>
          <w:b/>
          <w:sz w:val="32"/>
          <w:szCs w:val="32"/>
        </w:rPr>
      </w:pPr>
    </w:p>
    <w:p>
      <w:pPr>
        <w:spacing w:before="50" w:line="360" w:lineRule="auto"/>
        <w:rPr>
          <w:rFonts w:ascii="仿宋_GB2312" w:eastAsia="仿宋_GB2312"/>
          <w:b/>
          <w:sz w:val="32"/>
          <w:szCs w:val="32"/>
        </w:rPr>
      </w:pPr>
    </w:p>
    <w:p>
      <w:pPr>
        <w:spacing w:before="50" w:line="360" w:lineRule="auto"/>
        <w:rPr>
          <w:rFonts w:ascii="仿宋_GB2312" w:eastAsia="仿宋_GB2312"/>
          <w:b/>
          <w:sz w:val="32"/>
          <w:szCs w:val="32"/>
        </w:rPr>
      </w:pPr>
      <w:r>
        <w:rPr>
          <w:rFonts w:hint="eastAsia" w:ascii="仿宋_GB2312" w:eastAsia="仿宋_GB2312"/>
          <w:b/>
          <w:sz w:val="32"/>
          <w:szCs w:val="32"/>
        </w:rPr>
        <w:t>估价委托方：</w:t>
      </w:r>
      <w:r>
        <w:rPr>
          <w:rFonts w:hint="eastAsia" w:ascii="仿宋_GB2312" w:eastAsia="仿宋_GB2312"/>
          <w:sz w:val="32"/>
          <w:szCs w:val="32"/>
        </w:rPr>
        <w:t>昆明市中级人民法院</w:t>
      </w:r>
    </w:p>
    <w:p>
      <w:pPr>
        <w:spacing w:before="50" w:line="360" w:lineRule="auto"/>
        <w:rPr>
          <w:rFonts w:ascii="仿宋_GB2312" w:eastAsia="仿宋_GB2312"/>
          <w:sz w:val="32"/>
          <w:szCs w:val="32"/>
        </w:rPr>
      </w:pPr>
      <w:r>
        <w:rPr>
          <w:rFonts w:hint="eastAsia" w:ascii="仿宋_GB2312" w:eastAsia="仿宋_GB2312"/>
          <w:b/>
          <w:sz w:val="32"/>
          <w:szCs w:val="32"/>
        </w:rPr>
        <w:t>委托号：</w:t>
      </w:r>
      <w:r>
        <w:rPr>
          <w:rFonts w:hint="eastAsia" w:ascii="仿宋_GB2312" w:eastAsia="仿宋_GB2312"/>
          <w:sz w:val="32"/>
          <w:szCs w:val="32"/>
        </w:rPr>
        <w:t>（2021）云01法鉴字648号</w:t>
      </w:r>
    </w:p>
    <w:p>
      <w:pPr>
        <w:spacing w:before="50" w:line="360" w:lineRule="auto"/>
        <w:rPr>
          <w:rFonts w:ascii="仿宋_GB2312" w:eastAsia="仿宋_GB2312"/>
          <w:sz w:val="32"/>
          <w:szCs w:val="32"/>
        </w:rPr>
      </w:pPr>
      <w:r>
        <w:rPr>
          <w:rFonts w:hint="eastAsia" w:ascii="仿宋_GB2312" w:eastAsia="仿宋_GB2312"/>
          <w:b/>
          <w:sz w:val="32"/>
          <w:szCs w:val="32"/>
        </w:rPr>
        <w:t>估价机构：</w:t>
      </w:r>
      <w:r>
        <w:rPr>
          <w:rFonts w:hint="eastAsia" w:ascii="仿宋_GB2312" w:eastAsia="仿宋_GB2312"/>
          <w:sz w:val="32"/>
          <w:szCs w:val="32"/>
        </w:rPr>
        <w:t>云南通达土地房地产资产评估有限公司</w:t>
      </w:r>
    </w:p>
    <w:p>
      <w:pPr>
        <w:spacing w:line="360" w:lineRule="auto"/>
        <w:rPr>
          <w:rFonts w:ascii="仿宋_GB2312" w:eastAsia="仿宋_GB2312"/>
          <w:b/>
          <w:sz w:val="32"/>
          <w:szCs w:val="32"/>
        </w:rPr>
      </w:pPr>
      <w:r>
        <w:rPr>
          <w:rFonts w:hint="eastAsia" w:ascii="仿宋_GB2312" w:eastAsia="仿宋_GB2312"/>
          <w:b/>
          <w:sz w:val="32"/>
          <w:szCs w:val="32"/>
        </w:rPr>
        <w:t xml:space="preserve">注册房地产估价师：  </w:t>
      </w:r>
      <w:r>
        <w:rPr>
          <w:rFonts w:hint="eastAsia" w:ascii="仿宋_GB2312" w:eastAsia="仿宋_GB2312"/>
          <w:sz w:val="32"/>
          <w:szCs w:val="32"/>
        </w:rPr>
        <w:t xml:space="preserve"> 姓 名        </w:t>
      </w:r>
      <w:r>
        <w:rPr>
          <w:rFonts w:hint="eastAsia" w:ascii="仿宋_GB2312" w:eastAsia="仿宋_GB2312"/>
          <w:sz w:val="32"/>
          <w:szCs w:val="32"/>
          <w:lang w:val="en-US" w:eastAsia="zh-CN"/>
        </w:rPr>
        <w:t xml:space="preserve"> </w:t>
      </w:r>
      <w:r>
        <w:rPr>
          <w:rFonts w:hint="eastAsia" w:ascii="仿宋_GB2312" w:eastAsia="仿宋_GB2312"/>
          <w:sz w:val="32"/>
          <w:szCs w:val="32"/>
        </w:rPr>
        <w:t>注册号</w:t>
      </w:r>
    </w:p>
    <w:p>
      <w:pPr>
        <w:spacing w:line="360" w:lineRule="auto"/>
        <w:ind w:firstLine="3360" w:firstLineChars="1050"/>
        <w:rPr>
          <w:rFonts w:ascii="仿宋_GB2312" w:hAnsi="仿宋" w:eastAsia="仿宋_GB2312"/>
          <w:sz w:val="32"/>
          <w:szCs w:val="32"/>
        </w:rPr>
      </w:pPr>
      <w:r>
        <w:rPr>
          <w:rFonts w:hint="eastAsia" w:ascii="仿宋_GB2312" w:hAnsi="仿宋" w:eastAsia="仿宋_GB2312"/>
          <w:sz w:val="32"/>
          <w:szCs w:val="32"/>
        </w:rPr>
        <w:t xml:space="preserve">高  阳      5320190010 </w:t>
      </w:r>
    </w:p>
    <w:p>
      <w:pPr>
        <w:spacing w:line="360" w:lineRule="auto"/>
        <w:ind w:firstLine="3360" w:firstLineChars="1050"/>
        <w:rPr>
          <w:rFonts w:ascii="仿宋_GB2312" w:hAnsi="仿宋" w:eastAsia="仿宋_GB2312"/>
          <w:sz w:val="32"/>
          <w:szCs w:val="32"/>
        </w:rPr>
      </w:pPr>
      <w:r>
        <w:rPr>
          <w:rFonts w:hint="eastAsia" w:ascii="仿宋_GB2312" w:hAnsi="仿宋" w:eastAsia="仿宋_GB2312"/>
          <w:sz w:val="32"/>
          <w:szCs w:val="32"/>
        </w:rPr>
        <w:t>董保佐</w:t>
      </w:r>
      <w:r>
        <w:rPr>
          <w:rFonts w:hint="eastAsia" w:ascii="宋体" w:hAnsi="宋体" w:cs="宋体"/>
          <w:sz w:val="32"/>
          <w:szCs w:val="32"/>
        </w:rPr>
        <w:t xml:space="preserve">  </w:t>
      </w:r>
      <w:r>
        <w:rPr>
          <w:rFonts w:hint="eastAsia" w:ascii="仿宋_GB2312" w:hAnsi="仿宋" w:eastAsia="仿宋_GB2312"/>
          <w:sz w:val="32"/>
          <w:szCs w:val="32"/>
        </w:rPr>
        <w:t xml:space="preserve">   5320210029</w:t>
      </w:r>
    </w:p>
    <w:p>
      <w:pPr>
        <w:spacing w:line="360" w:lineRule="auto"/>
        <w:rPr>
          <w:rFonts w:ascii="仿宋_GB2312" w:hAnsi="仿宋_GB2312" w:eastAsia="仿宋_GB2312" w:cs="仿宋_GB2312"/>
          <w:spacing w:val="-16"/>
          <w:sz w:val="32"/>
          <w:szCs w:val="32"/>
        </w:rPr>
      </w:pPr>
      <w:r>
        <w:rPr>
          <w:rFonts w:hint="eastAsia" w:ascii="仿宋_GB2312" w:eastAsia="仿宋_GB2312"/>
          <w:b/>
          <w:spacing w:val="-16"/>
          <w:sz w:val="32"/>
          <w:szCs w:val="32"/>
        </w:rPr>
        <w:t>估价报告出具日期：</w:t>
      </w:r>
      <w:r>
        <w:rPr>
          <w:rFonts w:hint="eastAsia" w:ascii="仿宋_GB2312" w:hAnsi="仿宋_GB2312" w:eastAsia="仿宋_GB2312" w:cs="仿宋_GB2312"/>
          <w:spacing w:val="-16"/>
          <w:sz w:val="32"/>
          <w:szCs w:val="32"/>
        </w:rPr>
        <w:t>二</w:t>
      </w:r>
      <w:r>
        <w:rPr>
          <w:rFonts w:hint="eastAsia" w:ascii="宋体" w:hAnsi="宋体" w:cs="宋体"/>
          <w:spacing w:val="-16"/>
          <w:sz w:val="32"/>
          <w:szCs w:val="32"/>
        </w:rPr>
        <w:t>〇</w:t>
      </w:r>
      <w:r>
        <w:rPr>
          <w:rFonts w:hint="eastAsia" w:ascii="仿宋_GB2312" w:hAnsi="仿宋_GB2312" w:eastAsia="仿宋_GB2312" w:cs="仿宋_GB2312"/>
          <w:spacing w:val="-16"/>
          <w:sz w:val="32"/>
          <w:szCs w:val="32"/>
        </w:rPr>
        <w:t>二一年十二月三十日</w:t>
      </w:r>
    </w:p>
    <w:bookmarkEnd w:id="0"/>
    <w:bookmarkEnd w:id="1"/>
    <w:bookmarkEnd w:id="2"/>
    <w:p>
      <w:pPr>
        <w:spacing w:line="360" w:lineRule="auto"/>
        <w:jc w:val="center"/>
        <w:rPr>
          <w:rFonts w:ascii="仿宋_GB2312" w:hAnsi="宋体" w:eastAsia="仿宋_GB2312"/>
          <w:b/>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021" w:right="1021" w:bottom="1021" w:left="1247" w:header="907" w:footer="851" w:gutter="284"/>
          <w:pgBorders>
            <w:top w:val="none" w:sz="0" w:space="0"/>
            <w:left w:val="none" w:sz="0" w:space="0"/>
            <w:bottom w:val="none" w:sz="0" w:space="0"/>
            <w:right w:val="none" w:sz="0" w:space="0"/>
          </w:pgBorders>
          <w:pgNumType w:start="0"/>
          <w:cols w:space="425" w:num="1"/>
          <w:titlePg/>
          <w:docGrid w:linePitch="286" w:charSpace="0"/>
        </w:sectPr>
      </w:pPr>
      <w:bookmarkStart w:id="5" w:name="_Toc527920371"/>
      <w:bookmarkStart w:id="6" w:name="_Toc265159668"/>
    </w:p>
    <w:bookmarkEnd w:id="5"/>
    <w:p>
      <w:pPr>
        <w:tabs>
          <w:tab w:val="left" w:pos="987"/>
          <w:tab w:val="center" w:pos="4461"/>
        </w:tabs>
        <w:spacing w:before="50" w:line="360" w:lineRule="auto"/>
        <w:jc w:val="center"/>
        <w:rPr>
          <w:rFonts w:ascii="仿宋_GB2312" w:hAnsi="仿宋" w:eastAsia="仿宋_GB2312"/>
          <w:b/>
          <w:sz w:val="36"/>
          <w:szCs w:val="36"/>
        </w:rPr>
      </w:pPr>
      <w:r>
        <w:rPr>
          <w:rFonts w:hint="eastAsia" w:ascii="仿宋_GB2312" w:hAnsi="仿宋" w:eastAsia="仿宋_GB2312"/>
          <w:b/>
          <w:sz w:val="36"/>
          <w:szCs w:val="36"/>
        </w:rPr>
        <w:t>致估价委托方函</w:t>
      </w:r>
    </w:p>
    <w:p>
      <w:pPr>
        <w:pStyle w:val="31"/>
        <w:keepNext w:val="0"/>
        <w:keepLines w:val="0"/>
        <w:pageBreakBefore w:val="0"/>
        <w:widowControl w:val="0"/>
        <w:kinsoku/>
        <w:wordWrap/>
        <w:overflowPunct/>
        <w:topLinePunct w:val="0"/>
        <w:autoSpaceDE/>
        <w:autoSpaceDN/>
        <w:bidi w:val="0"/>
        <w:adjustRightInd w:val="0"/>
        <w:spacing w:line="360" w:lineRule="auto"/>
        <w:textAlignment w:val="baseline"/>
        <w:rPr>
          <w:rFonts w:ascii="仿宋_GB2312" w:hAnsi="仿宋" w:eastAsia="仿宋_GB2312"/>
          <w:spacing w:val="0"/>
          <w:szCs w:val="28"/>
        </w:rPr>
      </w:pPr>
      <w:r>
        <w:rPr>
          <w:rFonts w:hint="eastAsia" w:ascii="仿宋_GB2312" w:hAnsi="仿宋" w:eastAsia="仿宋_GB2312"/>
          <w:spacing w:val="0"/>
          <w:szCs w:val="28"/>
        </w:rPr>
        <w:t xml:space="preserve">昆明市中级人民法院：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baseline"/>
        <w:rPr>
          <w:rFonts w:ascii="仿宋_GB2312" w:hAnsi="仿宋" w:eastAsia="仿宋_GB2312"/>
          <w:sz w:val="28"/>
          <w:szCs w:val="28"/>
        </w:rPr>
      </w:pPr>
      <w:r>
        <w:rPr>
          <w:rFonts w:hint="eastAsia" w:ascii="仿宋_GB2312" w:hAnsi="仿宋" w:eastAsia="仿宋_GB2312"/>
          <w:sz w:val="28"/>
          <w:szCs w:val="28"/>
        </w:rPr>
        <w:t>承蒙贵方的委托，本公司秉着独立、客观、公正、合法的原则，对位于晋宁区共计12套</w:t>
      </w:r>
      <w:r>
        <w:rPr>
          <w:rFonts w:hint="eastAsia" w:ascii="仿宋_GB2312" w:eastAsia="仿宋_GB2312"/>
          <w:sz w:val="28"/>
          <w:szCs w:val="28"/>
        </w:rPr>
        <w:t>房地产市场价值进行评估</w:t>
      </w:r>
      <w:r>
        <w:rPr>
          <w:rFonts w:hint="eastAsia" w:ascii="仿宋_GB2312" w:hAnsi="仿宋" w:eastAsia="仿宋_GB2312"/>
          <w:sz w:val="28"/>
          <w:szCs w:val="28"/>
        </w:rPr>
        <w:t>，情况如下：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baseline"/>
        <w:rPr>
          <w:rFonts w:ascii="仿宋_GB2312" w:eastAsia="仿宋_GB2312"/>
          <w:sz w:val="28"/>
          <w:szCs w:val="28"/>
        </w:rPr>
      </w:pPr>
      <w:r>
        <w:rPr>
          <w:rFonts w:hint="eastAsia" w:ascii="仿宋_GB2312" w:eastAsia="仿宋_GB2312"/>
          <w:sz w:val="28"/>
          <w:szCs w:val="28"/>
        </w:rPr>
        <w:t>估价目的：</w:t>
      </w:r>
      <w:bookmarkStart w:id="7" w:name="估价目的"/>
      <w:r>
        <w:rPr>
          <w:rFonts w:hint="eastAsia" w:ascii="仿宋_GB2312" w:eastAsia="仿宋_GB2312"/>
          <w:sz w:val="28"/>
          <w:szCs w:val="28"/>
        </w:rPr>
        <w:t>为昆明市中级人民法院</w:t>
      </w:r>
      <w:bookmarkEnd w:id="7"/>
      <w:r>
        <w:rPr>
          <w:rFonts w:hint="eastAsia" w:ascii="仿宋_GB2312" w:eastAsia="仿宋_GB2312"/>
          <w:sz w:val="28"/>
          <w:szCs w:val="28"/>
        </w:rPr>
        <w:t>确定财产处置参考价提供参考依据。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baseline"/>
        <w:rPr>
          <w:rFonts w:ascii="仿宋_GB2312" w:eastAsia="仿宋_GB2312"/>
          <w:sz w:val="28"/>
          <w:szCs w:val="28"/>
        </w:rPr>
      </w:pPr>
      <w:r>
        <w:rPr>
          <w:rFonts w:hint="eastAsia" w:ascii="仿宋_GB2312" w:eastAsia="仿宋_GB2312"/>
          <w:sz w:val="28"/>
          <w:szCs w:val="28"/>
        </w:rPr>
        <w:t>估价对象名称：晋宁区共计12套</w:t>
      </w:r>
      <w:r>
        <w:rPr>
          <w:rFonts w:hint="eastAsia" w:ascii="仿宋_GB2312" w:hAnsi="仿宋" w:eastAsia="仿宋_GB2312"/>
          <w:sz w:val="28"/>
          <w:szCs w:val="28"/>
        </w:rPr>
        <w:t>房地产，</w:t>
      </w:r>
      <w:r>
        <w:rPr>
          <w:rFonts w:hint="eastAsia" w:ascii="仿宋_GB2312" w:eastAsia="仿宋_GB2312"/>
          <w:sz w:val="28"/>
          <w:szCs w:val="28"/>
        </w:rPr>
        <w:t>详细信息见下表：</w:t>
      </w:r>
    </w:p>
    <w:tbl>
      <w:tblPr>
        <w:tblStyle w:val="89"/>
        <w:tblW w:w="5256" w:type="pct"/>
        <w:jc w:val="center"/>
        <w:tblLayout w:type="fixed"/>
        <w:tblCellMar>
          <w:top w:w="0" w:type="dxa"/>
          <w:left w:w="108" w:type="dxa"/>
          <w:bottom w:w="0" w:type="dxa"/>
          <w:right w:w="108" w:type="dxa"/>
        </w:tblCellMar>
      </w:tblPr>
      <w:tblGrid>
        <w:gridCol w:w="659"/>
        <w:gridCol w:w="1706"/>
        <w:gridCol w:w="504"/>
        <w:gridCol w:w="840"/>
        <w:gridCol w:w="1009"/>
        <w:gridCol w:w="1616"/>
        <w:gridCol w:w="667"/>
        <w:gridCol w:w="709"/>
        <w:gridCol w:w="971"/>
        <w:gridCol w:w="927"/>
      </w:tblGrid>
      <w:tr>
        <w:tblPrEx>
          <w:tblCellMar>
            <w:top w:w="0" w:type="dxa"/>
            <w:left w:w="108" w:type="dxa"/>
            <w:bottom w:w="0" w:type="dxa"/>
            <w:right w:w="108" w:type="dxa"/>
          </w:tblCellMar>
        </w:tblPrEx>
        <w:trPr>
          <w:trHeight w:val="717" w:hRule="atLeast"/>
          <w:tblHeader/>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名称</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房屋座落</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幢号</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房号</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所有权人</w:t>
            </w:r>
          </w:p>
        </w:tc>
        <w:tc>
          <w:tcPr>
            <w:tcW w:w="84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房产证号</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结构</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用途</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所在层/总楼层</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建筑</w:t>
            </w:r>
            <w:r>
              <w:rPr>
                <w:rFonts w:hint="eastAsia" w:ascii="仿宋_GB2312" w:hAnsi="仿宋_GB2312" w:eastAsia="仿宋_GB2312" w:cs="仿宋_GB2312"/>
                <w:color w:val="000000"/>
                <w:szCs w:val="21"/>
              </w:rPr>
              <w:t>面积（㎡）</w:t>
            </w:r>
          </w:p>
        </w:tc>
      </w:tr>
      <w:tr>
        <w:tblPrEx>
          <w:tblCellMar>
            <w:top w:w="0" w:type="dxa"/>
            <w:left w:w="108" w:type="dxa"/>
            <w:bottom w:w="0" w:type="dxa"/>
            <w:right w:w="108" w:type="dxa"/>
          </w:tblCellMar>
        </w:tblPrEx>
        <w:trPr>
          <w:trHeight w:val="102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估价对象1</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晋宁县昆阳镇中和东路</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李红标、崔琼艳</w:t>
            </w:r>
          </w:p>
        </w:tc>
        <w:tc>
          <w:tcPr>
            <w:tcW w:w="84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013661</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钢混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住宅</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1-4/4</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446.59</w:t>
            </w:r>
          </w:p>
        </w:tc>
      </w:tr>
      <w:tr>
        <w:tblPrEx>
          <w:tblCellMar>
            <w:top w:w="0" w:type="dxa"/>
            <w:left w:w="108" w:type="dxa"/>
            <w:bottom w:w="0" w:type="dxa"/>
            <w:right w:w="108" w:type="dxa"/>
          </w:tblCellMar>
        </w:tblPrEx>
        <w:trPr>
          <w:trHeight w:val="1207"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估价对象2</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晋宁县昆阳镇昆阳大街593号锦秀华城小区</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B</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4-2</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陈淑华、应甄、应勤</w:t>
            </w:r>
          </w:p>
        </w:tc>
        <w:tc>
          <w:tcPr>
            <w:tcW w:w="84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2009011373、共2009009616、共2009009617</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钢混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住宅</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4/7</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118</w:t>
            </w:r>
          </w:p>
        </w:tc>
      </w:tr>
      <w:tr>
        <w:tblPrEx>
          <w:tblCellMar>
            <w:top w:w="0" w:type="dxa"/>
            <w:left w:w="108" w:type="dxa"/>
            <w:bottom w:w="0" w:type="dxa"/>
            <w:right w:w="108" w:type="dxa"/>
          </w:tblCellMar>
        </w:tblPrEx>
        <w:trPr>
          <w:trHeight w:val="1187"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估价对象3</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晋宁县昆阳镇昆阳大街593号锦秀华城小区</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A</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张翠琼、何岗</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2009011425、共2009009670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钢混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住宅</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1/7</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155.16</w:t>
            </w:r>
          </w:p>
        </w:tc>
      </w:tr>
      <w:tr>
        <w:tblPrEx>
          <w:tblCellMar>
            <w:top w:w="0" w:type="dxa"/>
            <w:left w:w="108" w:type="dxa"/>
            <w:bottom w:w="0" w:type="dxa"/>
            <w:right w:w="108" w:type="dxa"/>
          </w:tblCellMar>
        </w:tblPrEx>
        <w:trPr>
          <w:trHeight w:val="130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估价对象4</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晋宁县昆阳大街69号（中国农业银行晋宁支行）</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3-702</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赵春艳、胡翠英</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005601</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钢混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住宅</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7/10</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137.16</w:t>
            </w:r>
          </w:p>
        </w:tc>
      </w:tr>
      <w:tr>
        <w:tblPrEx>
          <w:tblCellMar>
            <w:top w:w="0" w:type="dxa"/>
            <w:left w:w="108" w:type="dxa"/>
            <w:bottom w:w="0" w:type="dxa"/>
            <w:right w:w="108" w:type="dxa"/>
          </w:tblCellMar>
        </w:tblPrEx>
        <w:trPr>
          <w:trHeight w:val="78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估价对象5</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晋宁县宝峰镇宝峰街</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张学明、何云翠</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2005005099、G2005004466</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砖混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住宅</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1-2/2</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363.93</w:t>
            </w:r>
          </w:p>
        </w:tc>
      </w:tr>
      <w:tr>
        <w:tblPrEx>
          <w:tblCellMar>
            <w:top w:w="0" w:type="dxa"/>
            <w:left w:w="108" w:type="dxa"/>
            <w:bottom w:w="0" w:type="dxa"/>
            <w:right w:w="108" w:type="dxa"/>
          </w:tblCellMar>
        </w:tblPrEx>
        <w:trPr>
          <w:trHeight w:val="12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估价对象6</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晋宁县昆阳镇东凤路磷都花园36幢2号</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何云丽</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019547</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钢混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商铺</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1/7</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39.5</w:t>
            </w:r>
          </w:p>
        </w:tc>
      </w:tr>
      <w:tr>
        <w:tblPrEx>
          <w:tblCellMar>
            <w:top w:w="0" w:type="dxa"/>
            <w:left w:w="108" w:type="dxa"/>
            <w:bottom w:w="0" w:type="dxa"/>
            <w:right w:w="108" w:type="dxa"/>
          </w:tblCellMar>
        </w:tblPrEx>
        <w:trPr>
          <w:trHeight w:val="1182"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估价对象7</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晋宁县昆阳镇东凤路磷都花园36幢3号</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何云丽、刘德禄</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019551</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钢混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商铺</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1/7</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59.02</w:t>
            </w:r>
          </w:p>
        </w:tc>
      </w:tr>
      <w:tr>
        <w:tblPrEx>
          <w:tblCellMar>
            <w:top w:w="0" w:type="dxa"/>
            <w:left w:w="108" w:type="dxa"/>
            <w:bottom w:w="0" w:type="dxa"/>
            <w:right w:w="108" w:type="dxa"/>
          </w:tblCellMar>
        </w:tblPrEx>
        <w:trPr>
          <w:trHeight w:val="1383"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估价对象8</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晋宁县昆阳镇东凤路磷都花园36幢4号</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何云丽、刘德禄</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019549</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钢混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商铺</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1/7</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44.57</w:t>
            </w:r>
          </w:p>
        </w:tc>
      </w:tr>
      <w:tr>
        <w:tblPrEx>
          <w:tblCellMar>
            <w:top w:w="0" w:type="dxa"/>
            <w:left w:w="108" w:type="dxa"/>
            <w:bottom w:w="0" w:type="dxa"/>
            <w:right w:w="108" w:type="dxa"/>
          </w:tblCellMar>
        </w:tblPrEx>
        <w:trPr>
          <w:trHeight w:val="288" w:hRule="atLeast"/>
          <w:jc w:val="center"/>
        </w:trPr>
        <w:tc>
          <w:tcPr>
            <w:tcW w:w="3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估价对象9</w:t>
            </w:r>
          </w:p>
        </w:tc>
        <w:tc>
          <w:tcPr>
            <w:tcW w:w="8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晋宁县昆阳镇东凤路中段（南侧）</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5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何岗、张翠琼</w:t>
            </w:r>
          </w:p>
        </w:tc>
        <w:tc>
          <w:tcPr>
            <w:tcW w:w="8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2007009245、共2007007878</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钢混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非住宅</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1-4/4</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683.52</w:t>
            </w:r>
          </w:p>
        </w:tc>
      </w:tr>
      <w:tr>
        <w:tblPrEx>
          <w:tblCellMar>
            <w:top w:w="0" w:type="dxa"/>
            <w:left w:w="108" w:type="dxa"/>
            <w:bottom w:w="0" w:type="dxa"/>
            <w:right w:w="108" w:type="dxa"/>
          </w:tblCellMar>
        </w:tblPrEx>
        <w:trPr>
          <w:trHeight w:val="288" w:hRule="atLeast"/>
          <w:jc w:val="center"/>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Cs w:val="21"/>
              </w:rPr>
            </w:pP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Cs w:val="21"/>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Cs w:val="21"/>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Cs w:val="21"/>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砖混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非住宅</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1-2/2</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111.27</w:t>
            </w:r>
          </w:p>
        </w:tc>
      </w:tr>
      <w:tr>
        <w:tblPrEx>
          <w:tblCellMar>
            <w:top w:w="0" w:type="dxa"/>
            <w:left w:w="108" w:type="dxa"/>
            <w:bottom w:w="0" w:type="dxa"/>
            <w:right w:w="108" w:type="dxa"/>
          </w:tblCellMar>
        </w:tblPrEx>
        <w:trPr>
          <w:trHeight w:val="288" w:hRule="atLeast"/>
          <w:jc w:val="center"/>
        </w:trPr>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Cs w:val="21"/>
              </w:rPr>
            </w:pPr>
          </w:p>
        </w:tc>
        <w:tc>
          <w:tcPr>
            <w:tcW w:w="8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Cs w:val="21"/>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Cs w:val="21"/>
              </w:rPr>
            </w:pPr>
          </w:p>
        </w:tc>
        <w:tc>
          <w:tcPr>
            <w:tcW w:w="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Cs w:val="21"/>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砖木</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非住宅</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89.55</w:t>
            </w:r>
          </w:p>
        </w:tc>
      </w:tr>
      <w:tr>
        <w:tblPrEx>
          <w:tblCellMar>
            <w:top w:w="0" w:type="dxa"/>
            <w:left w:w="108" w:type="dxa"/>
            <w:bottom w:w="0" w:type="dxa"/>
            <w:right w:w="108" w:type="dxa"/>
          </w:tblCellMar>
        </w:tblPrEx>
        <w:trPr>
          <w:trHeight w:val="9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估价对象10</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晋宁县昆阳镇环西路89号</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陈淑华、曹桂仙</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001297</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混合</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综合</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1-3/3</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222.06</w:t>
            </w:r>
          </w:p>
        </w:tc>
      </w:tr>
      <w:tr>
        <w:tblPrEx>
          <w:tblCellMar>
            <w:top w:w="0" w:type="dxa"/>
            <w:left w:w="108" w:type="dxa"/>
            <w:bottom w:w="0" w:type="dxa"/>
            <w:right w:w="108" w:type="dxa"/>
          </w:tblCellMar>
        </w:tblPrEx>
        <w:trPr>
          <w:trHeight w:val="864"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估价对象11</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晋宁县昆阳镇湖景天颐家园4幢104号</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104</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刘玲</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020519</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钢混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车库</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1/6</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21.56</w:t>
            </w:r>
          </w:p>
        </w:tc>
      </w:tr>
      <w:tr>
        <w:tblPrEx>
          <w:tblCellMar>
            <w:top w:w="0" w:type="dxa"/>
            <w:left w:w="108" w:type="dxa"/>
            <w:bottom w:w="0" w:type="dxa"/>
            <w:right w:w="108" w:type="dxa"/>
          </w:tblCellMar>
        </w:tblPrEx>
        <w:trPr>
          <w:trHeight w:val="576"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估价对象12</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晋宁县昆阳镇湖景天颐家园</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104</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刘玲</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014003</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钢混</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商业</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1/6</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48.23</w:t>
            </w:r>
          </w:p>
        </w:tc>
      </w:tr>
    </w:tbl>
    <w:p>
      <w:pPr>
        <w:pStyle w:val="71"/>
        <w:snapToGrid w:val="0"/>
        <w:spacing w:line="500" w:lineRule="exact"/>
        <w:ind w:firstLine="560" w:firstLineChars="200"/>
        <w:rPr>
          <w:rFonts w:ascii="仿宋_GB2312" w:eastAsia="仿宋_GB2312"/>
          <w:szCs w:val="28"/>
          <w:highlight w:val="yellow"/>
        </w:rPr>
      </w:pPr>
      <w:r>
        <w:rPr>
          <w:rFonts w:hint="eastAsia" w:ascii="仿宋_GB2312" w:hAnsi="仿宋_GB2312" w:eastAsia="仿宋_GB2312" w:cs="仿宋_GB2312"/>
          <w:szCs w:val="28"/>
        </w:rPr>
        <w:t>价值时点：</w:t>
      </w:r>
      <w:r>
        <w:rPr>
          <w:rFonts w:hint="eastAsia" w:ascii="仿宋_GB2312" w:eastAsia="仿宋_GB2312"/>
          <w:szCs w:val="28"/>
        </w:rPr>
        <w:t>二○二一年十二月十六日</w:t>
      </w:r>
    </w:p>
    <w:p>
      <w:pPr>
        <w:pStyle w:val="71"/>
        <w:snapToGrid w:val="0"/>
        <w:spacing w:line="500" w:lineRule="exact"/>
        <w:ind w:firstLine="560" w:firstLineChars="200"/>
        <w:rPr>
          <w:rFonts w:ascii="仿宋_GB2312" w:eastAsia="仿宋_GB2312"/>
          <w:szCs w:val="28"/>
        </w:rPr>
      </w:pPr>
      <w:r>
        <w:rPr>
          <w:rFonts w:hint="eastAsia" w:ascii="仿宋_GB2312" w:eastAsia="仿宋_GB2312"/>
          <w:szCs w:val="28"/>
        </w:rPr>
        <w:t>价值类型：市场价值</w:t>
      </w:r>
    </w:p>
    <w:p>
      <w:pPr>
        <w:pStyle w:val="71"/>
        <w:snapToGrid w:val="0"/>
        <w:spacing w:line="500" w:lineRule="exact"/>
        <w:ind w:firstLine="560" w:firstLineChars="200"/>
        <w:rPr>
          <w:rFonts w:ascii="仿宋_GB2312" w:eastAsia="仿宋_GB2312"/>
          <w:szCs w:val="28"/>
        </w:rPr>
      </w:pPr>
      <w:r>
        <w:rPr>
          <w:rFonts w:hint="eastAsia" w:ascii="仿宋_GB2312" w:eastAsia="仿宋_GB2312"/>
          <w:szCs w:val="28"/>
        </w:rPr>
        <w:t>估价方法：比较法、收益法、成本法</w:t>
      </w:r>
    </w:p>
    <w:p>
      <w:pPr>
        <w:pStyle w:val="71"/>
        <w:snapToGrid w:val="0"/>
        <w:spacing w:line="500" w:lineRule="exact"/>
        <w:ind w:firstLine="560" w:firstLineChars="200"/>
        <w:rPr>
          <w:rFonts w:ascii="仿宋_GB2312" w:hAnsi="仿宋_GB2312" w:eastAsia="仿宋_GB2312" w:cs="仿宋_GB2312"/>
          <w:szCs w:val="28"/>
        </w:rPr>
      </w:pPr>
      <w:r>
        <w:rPr>
          <w:rFonts w:hint="eastAsia" w:ascii="仿宋_GB2312" w:eastAsia="仿宋_GB2312"/>
          <w:szCs w:val="28"/>
        </w:rPr>
        <w:t>估价结果：</w:t>
      </w:r>
      <w:bookmarkStart w:id="8" w:name="估价结果"/>
      <w:r>
        <w:rPr>
          <w:rFonts w:hint="eastAsia" w:ascii="仿宋_GB2312" w:eastAsia="仿宋_GB2312"/>
          <w:szCs w:val="28"/>
        </w:rPr>
        <w:t>我公司依据国家、省、市等的有关政策、法律法规文件及估价委托方提供的相关资料，严格按照估价规范规定的原则和程序，实地查勘，搜集相关资料，认真分析，对影响房地产价值的各种因素进行评估，确定出晋宁区共计12套房地产在二○二一年十二月十六日</w:t>
      </w:r>
      <w:r>
        <w:rPr>
          <w:rFonts w:hint="eastAsia" w:ascii="仿宋_GB2312" w:hAnsi="仿宋_GB2312" w:eastAsia="仿宋_GB2312" w:cs="仿宋_GB2312"/>
          <w:szCs w:val="28"/>
        </w:rPr>
        <w:t>（设定价值时点）的市场价值评估结果为：</w:t>
      </w:r>
      <w:bookmarkEnd w:id="8"/>
    </w:p>
    <w:p>
      <w:pPr>
        <w:pStyle w:val="71"/>
        <w:snapToGrid w:val="0"/>
        <w:ind w:firstLine="562" w:firstLineChars="200"/>
        <w:jc w:val="center"/>
        <w:rPr>
          <w:rFonts w:ascii="仿宋_GB2312" w:eastAsia="仿宋_GB2312"/>
          <w:b/>
          <w:szCs w:val="28"/>
        </w:rPr>
      </w:pPr>
      <w:r>
        <w:rPr>
          <w:rFonts w:hint="eastAsia" w:ascii="仿宋_GB2312" w:eastAsia="仿宋_GB2312"/>
          <w:b/>
          <w:szCs w:val="28"/>
        </w:rPr>
        <w:t>房地产市场价值评估结果汇总表</w:t>
      </w:r>
    </w:p>
    <w:p>
      <w:pPr>
        <w:pStyle w:val="71"/>
        <w:snapToGrid w:val="0"/>
        <w:ind w:firstLine="562" w:firstLineChars="200"/>
        <w:jc w:val="right"/>
        <w:rPr>
          <w:rFonts w:ascii="仿宋_GB2312" w:eastAsia="仿宋_GB2312"/>
          <w:b/>
          <w:szCs w:val="28"/>
        </w:rPr>
      </w:pPr>
      <w:r>
        <w:rPr>
          <w:rFonts w:hint="eastAsia" w:ascii="仿宋_GB2312" w:eastAsia="仿宋_GB2312"/>
          <w:b/>
          <w:szCs w:val="28"/>
        </w:rPr>
        <w:t xml:space="preserve"> 币种：人民币</w:t>
      </w:r>
    </w:p>
    <w:tbl>
      <w:tblPr>
        <w:tblStyle w:val="89"/>
        <w:tblW w:w="4997" w:type="pct"/>
        <w:jc w:val="center"/>
        <w:tblLayout w:type="autofit"/>
        <w:tblCellMar>
          <w:top w:w="0" w:type="dxa"/>
          <w:left w:w="0" w:type="dxa"/>
          <w:bottom w:w="0" w:type="dxa"/>
          <w:right w:w="0" w:type="dxa"/>
        </w:tblCellMar>
      </w:tblPr>
      <w:tblGrid>
        <w:gridCol w:w="1765"/>
        <w:gridCol w:w="1387"/>
        <w:gridCol w:w="5786"/>
      </w:tblGrid>
      <w:tr>
        <w:tblPrEx>
          <w:tblCellMar>
            <w:top w:w="0" w:type="dxa"/>
            <w:left w:w="0" w:type="dxa"/>
            <w:bottom w:w="0" w:type="dxa"/>
            <w:right w:w="0" w:type="dxa"/>
          </w:tblCellMar>
        </w:tblPrEx>
        <w:trPr>
          <w:trHeight w:val="300" w:hRule="atLeast"/>
          <w:jc w:val="center"/>
        </w:trPr>
        <w:tc>
          <w:tcPr>
            <w:tcW w:w="1765"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sz w:val="22"/>
                <w:szCs w:val="22"/>
              </w:rPr>
            </w:pPr>
            <w:r>
              <w:rPr>
                <w:rFonts w:ascii="仿宋_GB2312" w:hAnsi="仿宋_GB2312" w:eastAsia="仿宋_GB2312" w:cs="仿宋_GB2312"/>
                <w:sz w:val="22"/>
                <w:szCs w:val="22"/>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-12700</wp:posOffset>
                      </wp:positionV>
                      <wp:extent cx="1117600" cy="425450"/>
                      <wp:effectExtent l="1905" t="4445" r="8255" b="12065"/>
                      <wp:wrapNone/>
                      <wp:docPr id="3" name="直接连接符 3"/>
                      <wp:cNvGraphicFramePr/>
                      <a:graphic xmlns:a="http://schemas.openxmlformats.org/drawingml/2006/main">
                        <a:graphicData uri="http://schemas.microsoft.com/office/word/2010/wordprocessingShape">
                          <wps:wsp>
                            <wps:cNvCnPr/>
                            <wps:spPr>
                              <a:xfrm>
                                <a:off x="1064895" y="1560195"/>
                                <a:ext cx="1117600" cy="42545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25pt;margin-top:-1pt;height:33.5pt;width:88pt;z-index:251660288;mso-width-relative:page;mso-height-relative:page;" filled="f" stroked="t" coordsize="21600,21600" o:gfxdata="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9pBrA1gAAAAgBAAAPAAAAAAAAAAEAIAAAACIAAABk&#10;cnMvZG93bnJldi54bWxQSwECFAAUAAAACACHTuJA8+hiKQgCAADyAwAADgAAAAAAAAABACAAAAAl&#10;AQAAZHJzL2Uyb0RvYy54bWxQSwUGAAAAAAYABgBZAQAAnwUAAAAA&#10;">
                      <v:fill on="f" focussize="0,0"/>
                      <v:stroke color="#000000" joinstyle="round"/>
                      <v:imagedata o:title=""/>
                      <o:lock v:ext="edit" aspectratio="f"/>
                    </v:line>
                  </w:pict>
                </mc:Fallback>
              </mc:AlternateContent>
            </w:r>
            <w:r>
              <w:rPr>
                <w:rFonts w:hint="eastAsia" w:ascii="仿宋_GB2312" w:hAnsi="仿宋_GB2312" w:eastAsia="仿宋_GB2312" w:cs="仿宋_GB2312"/>
                <w:sz w:val="22"/>
                <w:szCs w:val="22"/>
              </w:rPr>
              <w:t xml:space="preserve">     市场结果</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单价（元/平方米或元/个）</w:t>
            </w:r>
          </w:p>
        </w:tc>
        <w:tc>
          <w:tcPr>
            <w:tcW w:w="5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总价（元）</w:t>
            </w:r>
          </w:p>
        </w:tc>
      </w:tr>
      <w:tr>
        <w:tblPrEx>
          <w:tblCellMar>
            <w:top w:w="0" w:type="dxa"/>
            <w:left w:w="0" w:type="dxa"/>
            <w:bottom w:w="0" w:type="dxa"/>
            <w:right w:w="0" w:type="dxa"/>
          </w:tblCellMar>
        </w:tblPrEx>
        <w:trPr>
          <w:trHeight w:val="300" w:hRule="atLeast"/>
          <w:jc w:val="center"/>
        </w:trPr>
        <w:tc>
          <w:tcPr>
            <w:tcW w:w="1765"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估价对象</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仿宋_GB2312" w:eastAsia="仿宋_GB2312" w:cs="仿宋_GB2312"/>
                <w:sz w:val="22"/>
                <w:szCs w:val="22"/>
              </w:rPr>
            </w:pPr>
          </w:p>
        </w:tc>
        <w:tc>
          <w:tcPr>
            <w:tcW w:w="5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仿宋_GB2312" w:eastAsia="仿宋_GB2312" w:cs="仿宋_GB2312"/>
                <w:sz w:val="22"/>
                <w:szCs w:val="22"/>
              </w:rPr>
            </w:pPr>
          </w:p>
        </w:tc>
      </w:tr>
      <w:tr>
        <w:tblPrEx>
          <w:tblCellMar>
            <w:top w:w="0" w:type="dxa"/>
            <w:left w:w="0" w:type="dxa"/>
            <w:bottom w:w="0" w:type="dxa"/>
            <w:right w:w="0" w:type="dxa"/>
          </w:tblCellMar>
        </w:tblPrEx>
        <w:trPr>
          <w:trHeight w:val="90"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估价对象1</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6050</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2,701,870.00 （大写：贰佰柒拾万零壹仟捌佰柒拾元整）</w:t>
            </w:r>
          </w:p>
        </w:tc>
      </w:tr>
      <w:tr>
        <w:tblPrEx>
          <w:tblCellMar>
            <w:top w:w="0" w:type="dxa"/>
            <w:left w:w="0" w:type="dxa"/>
            <w:bottom w:w="0" w:type="dxa"/>
            <w:right w:w="0" w:type="dxa"/>
          </w:tblCellMar>
        </w:tblPrEx>
        <w:trPr>
          <w:trHeight w:val="300"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估价对象2</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5837</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688,766.00 （大写：陆拾捌万捌仟柒佰陆拾陆元整）</w:t>
            </w:r>
          </w:p>
        </w:tc>
      </w:tr>
      <w:tr>
        <w:tblPrEx>
          <w:tblCellMar>
            <w:top w:w="0" w:type="dxa"/>
            <w:left w:w="0" w:type="dxa"/>
            <w:bottom w:w="0" w:type="dxa"/>
            <w:right w:w="0" w:type="dxa"/>
          </w:tblCellMar>
        </w:tblPrEx>
        <w:trPr>
          <w:trHeight w:val="300"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估价对象3</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5720</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887,515.00 （大写：捌拾捌万柒仟伍佰壹拾伍元整）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估价对象4</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5487</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752,597.00 （大写：柒拾伍万贰仟伍佰玖拾柒元整）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估价对象5</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2762</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1,005,175.00 （大写：壹佰万零伍仟壹佰柒拾伍元整）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估价对象6</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9204</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363,558.00 （大写：叁拾陆万叁仟伍佰伍拾捌元整）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估价对象7</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9204</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543,220.00</w:t>
            </w:r>
            <w:r>
              <w:rPr>
                <w:rFonts w:hint="eastAsia" w:ascii="仿宋_GB2312" w:hAnsi="仿宋_GB2312" w:eastAsia="仿宋_GB2312" w:cs="仿宋_GB2312"/>
                <w:color w:val="000000"/>
                <w:sz w:val="22"/>
                <w:szCs w:val="22"/>
              </w:rPr>
              <w:t>（大写：</w:t>
            </w:r>
            <w:r>
              <w:rPr>
                <w:rFonts w:ascii="仿宋_GB2312" w:hAnsi="仿宋_GB2312" w:eastAsia="仿宋_GB2312" w:cs="仿宋_GB2312"/>
                <w:color w:val="000000"/>
                <w:sz w:val="22"/>
                <w:szCs w:val="22"/>
              </w:rPr>
              <w:fldChar w:fldCharType="begin"/>
            </w:r>
            <w:r>
              <w:rPr>
                <w:rFonts w:ascii="仿宋_GB2312" w:hAnsi="仿宋_GB2312" w:eastAsia="仿宋_GB2312" w:cs="仿宋_GB2312"/>
                <w:color w:val="000000"/>
                <w:sz w:val="22"/>
                <w:szCs w:val="22"/>
              </w:rPr>
              <w:instrText xml:space="preserve"> </w:instrText>
            </w:r>
            <w:r>
              <w:rPr>
                <w:rFonts w:hint="eastAsia" w:ascii="仿宋_GB2312" w:hAnsi="仿宋_GB2312" w:eastAsia="仿宋_GB2312" w:cs="仿宋_GB2312"/>
                <w:color w:val="000000"/>
                <w:sz w:val="22"/>
                <w:szCs w:val="22"/>
              </w:rPr>
              <w:instrText xml:space="preserve">= 543,220.00 \* CHINESENUM2</w:instrText>
            </w:r>
            <w:r>
              <w:rPr>
                <w:rFonts w:ascii="仿宋_GB2312" w:hAnsi="仿宋_GB2312" w:eastAsia="仿宋_GB2312" w:cs="仿宋_GB2312"/>
                <w:color w:val="000000"/>
                <w:sz w:val="22"/>
                <w:szCs w:val="22"/>
              </w:rPr>
              <w:instrText xml:space="preserve"> </w:instrText>
            </w:r>
            <w:r>
              <w:rPr>
                <w:rFonts w:ascii="仿宋_GB2312" w:hAnsi="仿宋_GB2312" w:eastAsia="仿宋_GB2312" w:cs="仿宋_GB2312"/>
                <w:color w:val="000000"/>
                <w:sz w:val="22"/>
                <w:szCs w:val="22"/>
              </w:rPr>
              <w:fldChar w:fldCharType="separate"/>
            </w:r>
            <w:r>
              <w:rPr>
                <w:rFonts w:hint="eastAsia" w:ascii="仿宋_GB2312" w:hAnsi="仿宋_GB2312" w:eastAsia="仿宋_GB2312" w:cs="仿宋_GB2312"/>
                <w:color w:val="000000"/>
                <w:sz w:val="22"/>
                <w:szCs w:val="22"/>
              </w:rPr>
              <w:t>伍拾肆万叁仟贰佰贰拾</w:t>
            </w:r>
            <w:r>
              <w:rPr>
                <w:rFonts w:ascii="仿宋_GB2312" w:hAnsi="仿宋_GB2312" w:eastAsia="仿宋_GB2312" w:cs="仿宋_GB2312"/>
                <w:color w:val="000000"/>
                <w:sz w:val="22"/>
                <w:szCs w:val="22"/>
              </w:rPr>
              <w:fldChar w:fldCharType="end"/>
            </w:r>
            <w:r>
              <w:rPr>
                <w:rFonts w:hint="eastAsia" w:ascii="仿宋_GB2312" w:hAnsi="仿宋_GB2312" w:eastAsia="仿宋_GB2312" w:cs="仿宋_GB2312"/>
                <w:color w:val="000000"/>
                <w:sz w:val="22"/>
                <w:szCs w:val="22"/>
              </w:rPr>
              <w:t>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估价对象8</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9204</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410,222.00</w:t>
            </w:r>
            <w:r>
              <w:rPr>
                <w:rFonts w:hint="eastAsia" w:ascii="仿宋_GB2312" w:hAnsi="仿宋_GB2312" w:eastAsia="仿宋_GB2312" w:cs="仿宋_GB2312"/>
                <w:color w:val="000000"/>
                <w:sz w:val="22"/>
                <w:szCs w:val="22"/>
              </w:rPr>
              <w:t>（大写：</w:t>
            </w:r>
            <w:r>
              <w:rPr>
                <w:rFonts w:ascii="仿宋_GB2312" w:hAnsi="仿宋_GB2312" w:eastAsia="仿宋_GB2312" w:cs="仿宋_GB2312"/>
                <w:color w:val="000000"/>
                <w:sz w:val="22"/>
                <w:szCs w:val="22"/>
              </w:rPr>
              <w:fldChar w:fldCharType="begin"/>
            </w:r>
            <w:r>
              <w:rPr>
                <w:rFonts w:ascii="仿宋_GB2312" w:hAnsi="仿宋_GB2312" w:eastAsia="仿宋_GB2312" w:cs="仿宋_GB2312"/>
                <w:color w:val="000000"/>
                <w:sz w:val="22"/>
                <w:szCs w:val="22"/>
              </w:rPr>
              <w:instrText xml:space="preserve"> </w:instrText>
            </w:r>
            <w:r>
              <w:rPr>
                <w:rFonts w:hint="eastAsia" w:ascii="仿宋_GB2312" w:hAnsi="仿宋_GB2312" w:eastAsia="仿宋_GB2312" w:cs="仿宋_GB2312"/>
                <w:color w:val="000000"/>
                <w:sz w:val="22"/>
                <w:szCs w:val="22"/>
              </w:rPr>
              <w:instrText xml:space="preserve">= 410,222.00 \* CHINESENUM2</w:instrText>
            </w:r>
            <w:r>
              <w:rPr>
                <w:rFonts w:ascii="仿宋_GB2312" w:hAnsi="仿宋_GB2312" w:eastAsia="仿宋_GB2312" w:cs="仿宋_GB2312"/>
                <w:color w:val="000000"/>
                <w:sz w:val="22"/>
                <w:szCs w:val="22"/>
              </w:rPr>
              <w:instrText xml:space="preserve"> </w:instrText>
            </w:r>
            <w:r>
              <w:rPr>
                <w:rFonts w:ascii="仿宋_GB2312" w:hAnsi="仿宋_GB2312" w:eastAsia="仿宋_GB2312" w:cs="仿宋_GB2312"/>
                <w:color w:val="000000"/>
                <w:sz w:val="22"/>
                <w:szCs w:val="22"/>
              </w:rPr>
              <w:fldChar w:fldCharType="separate"/>
            </w:r>
            <w:r>
              <w:rPr>
                <w:rFonts w:hint="eastAsia" w:ascii="仿宋_GB2312" w:hAnsi="仿宋_GB2312" w:eastAsia="仿宋_GB2312" w:cs="仿宋_GB2312"/>
                <w:color w:val="000000"/>
                <w:sz w:val="22"/>
                <w:szCs w:val="22"/>
              </w:rPr>
              <w:t>肆拾壹万零贰佰贰拾贰</w:t>
            </w:r>
            <w:r>
              <w:rPr>
                <w:rFonts w:ascii="仿宋_GB2312" w:hAnsi="仿宋_GB2312" w:eastAsia="仿宋_GB2312" w:cs="仿宋_GB2312"/>
                <w:color w:val="000000"/>
                <w:sz w:val="22"/>
                <w:szCs w:val="22"/>
              </w:rPr>
              <w:fldChar w:fldCharType="end"/>
            </w:r>
            <w:r>
              <w:rPr>
                <w:rFonts w:hint="eastAsia" w:ascii="仿宋_GB2312" w:hAnsi="仿宋_GB2312" w:eastAsia="仿宋_GB2312" w:cs="仿宋_GB2312"/>
                <w:color w:val="000000"/>
                <w:sz w:val="22"/>
                <w:szCs w:val="22"/>
              </w:rPr>
              <w:t>元整）</w:t>
            </w:r>
          </w:p>
        </w:tc>
      </w:tr>
      <w:tr>
        <w:tblPrEx>
          <w:tblCellMar>
            <w:top w:w="0" w:type="dxa"/>
            <w:left w:w="0" w:type="dxa"/>
            <w:bottom w:w="0" w:type="dxa"/>
            <w:right w:w="0" w:type="dxa"/>
          </w:tblCellMar>
        </w:tblPrEx>
        <w:trPr>
          <w:trHeight w:val="442" w:hRule="atLeast"/>
          <w:jc w:val="center"/>
        </w:trPr>
        <w:tc>
          <w:tcPr>
            <w:tcW w:w="176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估价对象9</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4074</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2,784,660.00</w:t>
            </w:r>
            <w:r>
              <w:rPr>
                <w:rFonts w:hint="eastAsia" w:ascii="仿宋_GB2312" w:hAnsi="仿宋_GB2312" w:eastAsia="仿宋_GB2312" w:cs="仿宋_GB2312"/>
                <w:color w:val="000000"/>
                <w:sz w:val="22"/>
                <w:szCs w:val="22"/>
              </w:rPr>
              <w:t>（大写：</w:t>
            </w:r>
            <w:r>
              <w:rPr>
                <w:rFonts w:ascii="仿宋_GB2312" w:hAnsi="仿宋_GB2312" w:eastAsia="仿宋_GB2312" w:cs="仿宋_GB2312"/>
                <w:color w:val="000000"/>
                <w:sz w:val="22"/>
                <w:szCs w:val="22"/>
              </w:rPr>
              <w:fldChar w:fldCharType="begin"/>
            </w:r>
            <w:r>
              <w:rPr>
                <w:rFonts w:ascii="仿宋_GB2312" w:hAnsi="仿宋_GB2312" w:eastAsia="仿宋_GB2312" w:cs="仿宋_GB2312"/>
                <w:color w:val="000000"/>
                <w:sz w:val="22"/>
                <w:szCs w:val="22"/>
              </w:rPr>
              <w:instrText xml:space="preserve"> </w:instrText>
            </w:r>
            <w:r>
              <w:rPr>
                <w:rFonts w:hint="eastAsia" w:ascii="仿宋_GB2312" w:hAnsi="仿宋_GB2312" w:eastAsia="仿宋_GB2312" w:cs="仿宋_GB2312"/>
                <w:color w:val="000000"/>
                <w:sz w:val="22"/>
                <w:szCs w:val="22"/>
              </w:rPr>
              <w:instrText xml:space="preserve">= 2,784,660.00 \* CHINESENUM2</w:instrText>
            </w:r>
            <w:r>
              <w:rPr>
                <w:rFonts w:ascii="仿宋_GB2312" w:hAnsi="仿宋_GB2312" w:eastAsia="仿宋_GB2312" w:cs="仿宋_GB2312"/>
                <w:color w:val="000000"/>
                <w:sz w:val="22"/>
                <w:szCs w:val="22"/>
              </w:rPr>
              <w:instrText xml:space="preserve"> </w:instrText>
            </w:r>
            <w:r>
              <w:rPr>
                <w:rFonts w:ascii="仿宋_GB2312" w:hAnsi="仿宋_GB2312" w:eastAsia="仿宋_GB2312" w:cs="仿宋_GB2312"/>
                <w:color w:val="000000"/>
                <w:sz w:val="22"/>
                <w:szCs w:val="22"/>
              </w:rPr>
              <w:fldChar w:fldCharType="separate"/>
            </w:r>
            <w:r>
              <w:rPr>
                <w:rFonts w:hint="eastAsia" w:ascii="仿宋_GB2312" w:hAnsi="仿宋_GB2312" w:eastAsia="仿宋_GB2312" w:cs="仿宋_GB2312"/>
                <w:color w:val="000000"/>
                <w:sz w:val="22"/>
                <w:szCs w:val="22"/>
              </w:rPr>
              <w:t>贰佰柒拾捌万肆仟陆佰陆拾</w:t>
            </w:r>
            <w:r>
              <w:rPr>
                <w:rFonts w:ascii="仿宋_GB2312" w:hAnsi="仿宋_GB2312" w:eastAsia="仿宋_GB2312" w:cs="仿宋_GB2312"/>
                <w:color w:val="000000"/>
                <w:sz w:val="22"/>
                <w:szCs w:val="22"/>
              </w:rPr>
              <w:fldChar w:fldCharType="end"/>
            </w:r>
            <w:r>
              <w:rPr>
                <w:rFonts w:hint="eastAsia" w:ascii="仿宋_GB2312" w:hAnsi="仿宋_GB2312" w:eastAsia="仿宋_GB2312" w:cs="仿宋_GB2312"/>
                <w:color w:val="000000"/>
                <w:sz w:val="22"/>
                <w:szCs w:val="22"/>
              </w:rPr>
              <w:t>元整）</w:t>
            </w:r>
            <w:r>
              <w:rPr>
                <w:rFonts w:hint="eastAsia" w:ascii="仿宋_GB2312" w:eastAsia="仿宋_GB2312"/>
                <w:color w:val="000000"/>
                <w:sz w:val="22"/>
                <w:szCs w:val="22"/>
              </w:rPr>
              <w:t xml:space="preserve"> </w:t>
            </w:r>
          </w:p>
        </w:tc>
      </w:tr>
      <w:tr>
        <w:tblPrEx>
          <w:tblCellMar>
            <w:top w:w="0" w:type="dxa"/>
            <w:left w:w="0" w:type="dxa"/>
            <w:bottom w:w="0" w:type="dxa"/>
            <w:right w:w="0" w:type="dxa"/>
          </w:tblCellMar>
        </w:tblPrEx>
        <w:trPr>
          <w:trHeight w:val="442" w:hRule="atLeast"/>
          <w:jc w:val="center"/>
        </w:trPr>
        <w:tc>
          <w:tcPr>
            <w:tcW w:w="176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3633</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404,244.00</w:t>
            </w:r>
            <w:r>
              <w:rPr>
                <w:rFonts w:hint="eastAsia" w:ascii="仿宋_GB2312" w:hAnsi="仿宋_GB2312" w:eastAsia="仿宋_GB2312" w:cs="仿宋_GB2312"/>
                <w:color w:val="000000"/>
                <w:sz w:val="22"/>
                <w:szCs w:val="22"/>
              </w:rPr>
              <w:t>（大写：</w:t>
            </w:r>
            <w:r>
              <w:rPr>
                <w:rFonts w:ascii="仿宋_GB2312" w:hAnsi="仿宋_GB2312" w:eastAsia="仿宋_GB2312" w:cs="仿宋_GB2312"/>
                <w:color w:val="000000"/>
                <w:sz w:val="22"/>
                <w:szCs w:val="22"/>
              </w:rPr>
              <w:fldChar w:fldCharType="begin"/>
            </w:r>
            <w:r>
              <w:rPr>
                <w:rFonts w:ascii="仿宋_GB2312" w:hAnsi="仿宋_GB2312" w:eastAsia="仿宋_GB2312" w:cs="仿宋_GB2312"/>
                <w:color w:val="000000"/>
                <w:sz w:val="22"/>
                <w:szCs w:val="22"/>
              </w:rPr>
              <w:instrText xml:space="preserve"> </w:instrText>
            </w:r>
            <w:r>
              <w:rPr>
                <w:rFonts w:hint="eastAsia" w:ascii="仿宋_GB2312" w:hAnsi="仿宋_GB2312" w:eastAsia="仿宋_GB2312" w:cs="仿宋_GB2312"/>
                <w:color w:val="000000"/>
                <w:sz w:val="22"/>
                <w:szCs w:val="22"/>
              </w:rPr>
              <w:instrText xml:space="preserve">= 404,244.00 \* CHINESENUM2</w:instrText>
            </w:r>
            <w:r>
              <w:rPr>
                <w:rFonts w:ascii="仿宋_GB2312" w:hAnsi="仿宋_GB2312" w:eastAsia="仿宋_GB2312" w:cs="仿宋_GB2312"/>
                <w:color w:val="000000"/>
                <w:sz w:val="22"/>
                <w:szCs w:val="22"/>
              </w:rPr>
              <w:instrText xml:space="preserve"> </w:instrText>
            </w:r>
            <w:r>
              <w:rPr>
                <w:rFonts w:ascii="仿宋_GB2312" w:hAnsi="仿宋_GB2312" w:eastAsia="仿宋_GB2312" w:cs="仿宋_GB2312"/>
                <w:color w:val="000000"/>
                <w:sz w:val="22"/>
                <w:szCs w:val="22"/>
              </w:rPr>
              <w:fldChar w:fldCharType="separate"/>
            </w:r>
            <w:r>
              <w:rPr>
                <w:rFonts w:hint="eastAsia" w:ascii="仿宋_GB2312" w:hAnsi="仿宋_GB2312" w:eastAsia="仿宋_GB2312" w:cs="仿宋_GB2312"/>
                <w:color w:val="000000"/>
                <w:sz w:val="22"/>
                <w:szCs w:val="22"/>
              </w:rPr>
              <w:t>肆拾万零肆仟贰佰肆拾肆</w:t>
            </w:r>
            <w:r>
              <w:rPr>
                <w:rFonts w:ascii="仿宋_GB2312" w:hAnsi="仿宋_GB2312" w:eastAsia="仿宋_GB2312" w:cs="仿宋_GB2312"/>
                <w:color w:val="000000"/>
                <w:sz w:val="22"/>
                <w:szCs w:val="22"/>
              </w:rPr>
              <w:fldChar w:fldCharType="end"/>
            </w:r>
            <w:r>
              <w:rPr>
                <w:rFonts w:hint="eastAsia" w:ascii="仿宋_GB2312" w:hAnsi="仿宋_GB2312" w:eastAsia="仿宋_GB2312" w:cs="仿宋_GB2312"/>
                <w:color w:val="000000"/>
                <w:sz w:val="22"/>
                <w:szCs w:val="22"/>
              </w:rPr>
              <w:t>元整）</w:t>
            </w:r>
            <w:r>
              <w:rPr>
                <w:rFonts w:hint="eastAsia" w:ascii="仿宋_GB2312" w:eastAsia="仿宋_GB2312"/>
                <w:color w:val="000000"/>
                <w:sz w:val="22"/>
                <w:szCs w:val="22"/>
              </w:rPr>
              <w:t xml:space="preserve"> </w:t>
            </w:r>
          </w:p>
        </w:tc>
      </w:tr>
      <w:tr>
        <w:tblPrEx>
          <w:tblCellMar>
            <w:top w:w="0" w:type="dxa"/>
            <w:left w:w="0" w:type="dxa"/>
            <w:bottom w:w="0" w:type="dxa"/>
            <w:right w:w="0" w:type="dxa"/>
          </w:tblCellMar>
        </w:tblPrEx>
        <w:trPr>
          <w:trHeight w:val="442" w:hRule="atLeast"/>
          <w:jc w:val="center"/>
        </w:trPr>
        <w:tc>
          <w:tcPr>
            <w:tcW w:w="1765"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2986</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 xml:space="preserve">267,396.00 </w:t>
            </w:r>
            <w:r>
              <w:rPr>
                <w:rFonts w:hint="eastAsia" w:ascii="仿宋_GB2312" w:hAnsi="仿宋_GB2312" w:eastAsia="仿宋_GB2312" w:cs="仿宋_GB2312"/>
                <w:color w:val="000000"/>
                <w:sz w:val="22"/>
                <w:szCs w:val="22"/>
              </w:rPr>
              <w:t>（大写：</w:t>
            </w:r>
            <w:r>
              <w:rPr>
                <w:rFonts w:ascii="仿宋_GB2312" w:hAnsi="仿宋_GB2312" w:eastAsia="仿宋_GB2312" w:cs="仿宋_GB2312"/>
                <w:color w:val="000000"/>
                <w:sz w:val="22"/>
                <w:szCs w:val="22"/>
              </w:rPr>
              <w:fldChar w:fldCharType="begin"/>
            </w:r>
            <w:r>
              <w:rPr>
                <w:rFonts w:ascii="仿宋_GB2312" w:hAnsi="仿宋_GB2312" w:eastAsia="仿宋_GB2312" w:cs="仿宋_GB2312"/>
                <w:color w:val="000000"/>
                <w:sz w:val="22"/>
                <w:szCs w:val="22"/>
              </w:rPr>
              <w:instrText xml:space="preserve"> </w:instrText>
            </w:r>
            <w:r>
              <w:rPr>
                <w:rFonts w:hint="eastAsia" w:ascii="仿宋_GB2312" w:hAnsi="仿宋_GB2312" w:eastAsia="仿宋_GB2312" w:cs="仿宋_GB2312"/>
                <w:color w:val="000000"/>
                <w:sz w:val="22"/>
                <w:szCs w:val="22"/>
              </w:rPr>
              <w:instrText xml:space="preserve">= 267,396.00  \* CHINESENUM2</w:instrText>
            </w:r>
            <w:r>
              <w:rPr>
                <w:rFonts w:ascii="仿宋_GB2312" w:hAnsi="仿宋_GB2312" w:eastAsia="仿宋_GB2312" w:cs="仿宋_GB2312"/>
                <w:color w:val="000000"/>
                <w:sz w:val="22"/>
                <w:szCs w:val="22"/>
              </w:rPr>
              <w:instrText xml:space="preserve"> </w:instrText>
            </w:r>
            <w:r>
              <w:rPr>
                <w:rFonts w:ascii="仿宋_GB2312" w:hAnsi="仿宋_GB2312" w:eastAsia="仿宋_GB2312" w:cs="仿宋_GB2312"/>
                <w:color w:val="000000"/>
                <w:sz w:val="22"/>
                <w:szCs w:val="22"/>
              </w:rPr>
              <w:fldChar w:fldCharType="separate"/>
            </w:r>
            <w:r>
              <w:rPr>
                <w:rFonts w:hint="eastAsia" w:ascii="仿宋_GB2312" w:hAnsi="仿宋_GB2312" w:eastAsia="仿宋_GB2312" w:cs="仿宋_GB2312"/>
                <w:color w:val="000000"/>
                <w:sz w:val="22"/>
                <w:szCs w:val="22"/>
              </w:rPr>
              <w:t>贰拾陆万柒仟叁佰玖拾陆</w:t>
            </w:r>
            <w:r>
              <w:rPr>
                <w:rFonts w:ascii="仿宋_GB2312" w:hAnsi="仿宋_GB2312" w:eastAsia="仿宋_GB2312" w:cs="仿宋_GB2312"/>
                <w:color w:val="000000"/>
                <w:sz w:val="22"/>
                <w:szCs w:val="22"/>
              </w:rPr>
              <w:fldChar w:fldCharType="end"/>
            </w:r>
            <w:r>
              <w:rPr>
                <w:rFonts w:hint="eastAsia" w:ascii="仿宋_GB2312" w:hAnsi="仿宋_GB2312" w:eastAsia="仿宋_GB2312" w:cs="仿宋_GB2312"/>
                <w:color w:val="000000"/>
                <w:sz w:val="22"/>
                <w:szCs w:val="22"/>
              </w:rPr>
              <w:t>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估价对象10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4998</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1,109,856.00 （大写：壹佰壹拾万零玖仟捌佰伍拾陆元整）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估价对象11</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180000</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180,000.00 （大写：壹拾捌万元整）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估价对象12</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8504</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410,148.00 （大写：肆拾壹万零壹佰肆拾捌元整）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总价合计</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b/>
                <w:bCs/>
                <w:sz w:val="22"/>
                <w:szCs w:val="22"/>
                <w:lang w:val="en-US" w:eastAsia="zh-CN"/>
              </w:rPr>
              <w:t>-</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2"/>
                <w:szCs w:val="22"/>
              </w:rPr>
              <w:t>12,509,227.00（大写：</w:t>
            </w:r>
            <w:r>
              <w:rPr>
                <w:rFonts w:ascii="仿宋_GB2312" w:hAnsi="仿宋_GB2312" w:eastAsia="仿宋_GB2312" w:cs="仿宋_GB2312"/>
                <w:b/>
                <w:bCs/>
                <w:color w:val="000000"/>
                <w:sz w:val="22"/>
                <w:szCs w:val="22"/>
              </w:rPr>
              <w:fldChar w:fldCharType="begin"/>
            </w:r>
            <w:r>
              <w:rPr>
                <w:rFonts w:ascii="仿宋_GB2312" w:hAnsi="仿宋_GB2312" w:eastAsia="仿宋_GB2312" w:cs="仿宋_GB2312"/>
                <w:b/>
                <w:bCs/>
                <w:color w:val="000000"/>
                <w:sz w:val="22"/>
                <w:szCs w:val="22"/>
              </w:rPr>
              <w:instrText xml:space="preserve"> </w:instrText>
            </w:r>
            <w:r>
              <w:rPr>
                <w:rFonts w:hint="eastAsia" w:ascii="仿宋_GB2312" w:hAnsi="仿宋_GB2312" w:eastAsia="仿宋_GB2312" w:cs="仿宋_GB2312"/>
                <w:b/>
                <w:bCs/>
                <w:color w:val="000000"/>
                <w:sz w:val="22"/>
                <w:szCs w:val="22"/>
              </w:rPr>
              <w:instrText xml:space="preserve">= 12,509,227.00 \* CHINESENUM2</w:instrText>
            </w:r>
            <w:r>
              <w:rPr>
                <w:rFonts w:ascii="仿宋_GB2312" w:hAnsi="仿宋_GB2312" w:eastAsia="仿宋_GB2312" w:cs="仿宋_GB2312"/>
                <w:b/>
                <w:bCs/>
                <w:color w:val="000000"/>
                <w:sz w:val="22"/>
                <w:szCs w:val="22"/>
              </w:rPr>
              <w:instrText xml:space="preserve"> </w:instrText>
            </w:r>
            <w:r>
              <w:rPr>
                <w:rFonts w:ascii="仿宋_GB2312" w:hAnsi="仿宋_GB2312" w:eastAsia="仿宋_GB2312" w:cs="仿宋_GB2312"/>
                <w:b/>
                <w:bCs/>
                <w:color w:val="000000"/>
                <w:sz w:val="22"/>
                <w:szCs w:val="22"/>
              </w:rPr>
              <w:fldChar w:fldCharType="separate"/>
            </w:r>
            <w:r>
              <w:rPr>
                <w:rFonts w:hint="eastAsia" w:ascii="仿宋_GB2312" w:hAnsi="仿宋_GB2312" w:eastAsia="仿宋_GB2312" w:cs="仿宋_GB2312"/>
                <w:b/>
                <w:bCs/>
                <w:color w:val="000000"/>
                <w:sz w:val="22"/>
                <w:szCs w:val="22"/>
              </w:rPr>
              <w:t>壹仟贰佰伍拾万零玖仟贰佰贰拾柒</w:t>
            </w:r>
            <w:r>
              <w:rPr>
                <w:rFonts w:ascii="仿宋_GB2312" w:hAnsi="仿宋_GB2312" w:eastAsia="仿宋_GB2312" w:cs="仿宋_GB2312"/>
                <w:b/>
                <w:bCs/>
                <w:color w:val="000000"/>
                <w:sz w:val="22"/>
                <w:szCs w:val="22"/>
              </w:rPr>
              <w:fldChar w:fldCharType="end"/>
            </w:r>
            <w:r>
              <w:rPr>
                <w:rFonts w:hint="eastAsia" w:ascii="仿宋_GB2312" w:hAnsi="仿宋_GB2312" w:eastAsia="仿宋_GB2312" w:cs="仿宋_GB2312"/>
                <w:b/>
                <w:bCs/>
                <w:color w:val="000000"/>
                <w:sz w:val="22"/>
                <w:szCs w:val="22"/>
              </w:rPr>
              <w:t>元整）</w:t>
            </w:r>
          </w:p>
        </w:tc>
      </w:tr>
    </w:tbl>
    <w:p>
      <w:pPr>
        <w:pStyle w:val="71"/>
        <w:snapToGrid w:val="0"/>
        <w:ind w:firstLine="0"/>
        <w:rPr>
          <w:rFonts w:ascii="仿宋_GB2312" w:hAnsi="仿宋" w:eastAsia="仿宋_GB2312"/>
          <w:szCs w:val="28"/>
        </w:rPr>
      </w:pPr>
      <w:r>
        <w:rPr>
          <w:rFonts w:hint="eastAsia" w:ascii="仿宋_GB2312" w:hAnsi="仿宋" w:eastAsia="仿宋_GB2312"/>
          <w:szCs w:val="28"/>
        </w:rPr>
        <w:t>特别提示：</w:t>
      </w:r>
    </w:p>
    <w:p>
      <w:pPr>
        <w:pStyle w:val="71"/>
        <w:snapToGrid w:val="0"/>
        <w:spacing w:line="520" w:lineRule="exact"/>
        <w:ind w:firstLine="560" w:firstLineChars="200"/>
        <w:rPr>
          <w:rFonts w:ascii="仿宋_GB2312" w:hAnsi="仿宋" w:eastAsia="仿宋_GB2312"/>
          <w:szCs w:val="28"/>
        </w:rPr>
      </w:pPr>
      <w:r>
        <w:rPr>
          <w:rFonts w:hint="eastAsia" w:ascii="仿宋_GB2312" w:hAnsi="仿宋" w:eastAsia="仿宋_GB2312"/>
          <w:szCs w:val="28"/>
        </w:rPr>
        <w:t>1.估价委托方应完整使用估价报告。</w:t>
      </w:r>
    </w:p>
    <w:p>
      <w:pPr>
        <w:pStyle w:val="71"/>
        <w:snapToGrid w:val="0"/>
        <w:spacing w:line="520" w:lineRule="exact"/>
        <w:ind w:firstLine="560" w:firstLineChars="200"/>
        <w:rPr>
          <w:rFonts w:ascii="仿宋_GB2312" w:hAnsi="仿宋" w:eastAsia="仿宋_GB2312"/>
          <w:szCs w:val="28"/>
        </w:rPr>
      </w:pPr>
      <w:r>
        <w:rPr>
          <w:rFonts w:hint="eastAsia" w:ascii="仿宋_GB2312" w:hAnsi="仿宋" w:eastAsia="仿宋_GB2312"/>
          <w:szCs w:val="28"/>
        </w:rPr>
        <w:t>2.本报告估价结果仅作为委托方在本次估价目的下使用，不得做其他用途。未经本评估机构及估价人员同意，估价报告不得向委托方及报告审查部门以外的单位及个人提供。凡因委托方使用估价报告不当而引起的后果，评估机构和估价人员不承担相应的责任。</w:t>
      </w:r>
    </w:p>
    <w:p>
      <w:pPr>
        <w:pStyle w:val="71"/>
        <w:snapToGrid w:val="0"/>
        <w:spacing w:line="520" w:lineRule="exact"/>
        <w:ind w:firstLine="560" w:firstLineChars="200"/>
        <w:rPr>
          <w:rFonts w:ascii="仿宋_GB2312" w:hAnsi="仿宋" w:eastAsia="仿宋_GB2312"/>
          <w:color w:val="000000" w:themeColor="text1"/>
          <w:szCs w:val="28"/>
          <w14:textFill>
            <w14:solidFill>
              <w14:schemeClr w14:val="tx1"/>
            </w14:solidFill>
          </w14:textFill>
        </w:rPr>
      </w:pPr>
      <w:r>
        <w:rPr>
          <w:rFonts w:hint="eastAsia" w:ascii="仿宋_GB2312" w:hAnsi="仿宋" w:eastAsia="仿宋_GB2312"/>
          <w:color w:val="000000" w:themeColor="text1"/>
          <w:szCs w:val="28"/>
          <w14:textFill>
            <w14:solidFill>
              <w14:schemeClr w14:val="tx1"/>
            </w14:solidFill>
          </w14:textFill>
        </w:rPr>
        <w:t>3.估价报告使用期限自出具之日起计算一年。即自2021年12月30日至2022年12月29日。如超过有效期，估价对象或国家经济形势、城市规划、房地产税收政策等发生变化，对估价结果产生明显影响时，委托方和估价报告使用者应及时聘请房地产估价机构对估价结果作相应调整或重新估价。</w:t>
      </w:r>
      <w:bookmarkStart w:id="117" w:name="_GoBack"/>
      <w:bookmarkEnd w:id="117"/>
    </w:p>
    <w:p>
      <w:pPr>
        <w:pStyle w:val="71"/>
        <w:snapToGrid w:val="0"/>
        <w:spacing w:line="520" w:lineRule="exact"/>
        <w:ind w:firstLine="560" w:firstLineChars="200"/>
        <w:rPr>
          <w:rFonts w:ascii="仿宋_GB2312" w:hAnsi="仿宋" w:eastAsia="仿宋_GB2312"/>
          <w:color w:val="000000" w:themeColor="text1"/>
          <w:szCs w:val="28"/>
          <w14:textFill>
            <w14:solidFill>
              <w14:schemeClr w14:val="tx1"/>
            </w14:solidFill>
          </w14:textFill>
        </w:rPr>
      </w:pPr>
      <w:r>
        <w:rPr>
          <w:rFonts w:hint="eastAsia" w:ascii="仿宋_GB2312" w:hAnsi="仿宋" w:eastAsia="仿宋_GB2312"/>
          <w:color w:val="000000" w:themeColor="text1"/>
          <w:szCs w:val="28"/>
          <w14:textFill>
            <w14:solidFill>
              <w14:schemeClr w14:val="tx1"/>
            </w14:solidFill>
          </w14:textFill>
        </w:rPr>
        <w:t>4.委托方向我公司提供了估价对象1至估价对象12的《房屋信息查询摘抄表》，尚未提供估价对象1至估价对象12的《国有土地使用证》，故我公司于2021年12月16日前往昆明市晋宁区房地产管理所</w:t>
      </w:r>
      <w:r>
        <w:rPr>
          <w:rFonts w:hint="eastAsia" w:ascii="仿宋_GB2312" w:hAnsi="仿宋" w:eastAsia="仿宋_GB2312"/>
          <w:szCs w:val="28"/>
        </w:rPr>
        <w:t>、昆明市国土资源局晋宁分局对本次委托的估价对象1至估价对象12相关登记信息进行查询；并根据昆明市晋宁区房地产管理所工作人员向我公司出具的《房屋信息查询摘抄表》及昆明市国土资源局晋宁分局工</w:t>
      </w:r>
      <w:r>
        <w:rPr>
          <w:rFonts w:hint="eastAsia" w:ascii="仿宋_GB2312" w:hAnsi="仿宋" w:eastAsia="仿宋_GB2312"/>
          <w:color w:val="000000" w:themeColor="text1"/>
          <w:szCs w:val="28"/>
          <w14:textFill>
            <w14:solidFill>
              <w14:schemeClr w14:val="tx1"/>
            </w14:solidFill>
          </w14:textFill>
        </w:rPr>
        <w:t>作人员向我公司出具的《土地登记卡》对估价对象1至估价对象12实物进行核实。经估价师现场核实，在无理由怀疑其合法性、真实性、准确性和完整性的情况下，假定估价对象1至估价对象12实际情况与《房屋信息查询摘抄表》、《土地登记卡》一致。</w:t>
      </w:r>
    </w:p>
    <w:p>
      <w:pPr>
        <w:pStyle w:val="71"/>
        <w:snapToGrid w:val="0"/>
        <w:spacing w:line="520" w:lineRule="exact"/>
        <w:ind w:firstLine="560" w:firstLineChars="200"/>
        <w:rPr>
          <w:rFonts w:ascii="仿宋_GB2312" w:hAnsi="仿宋" w:eastAsia="仿宋_GB2312"/>
          <w:color w:val="000000" w:themeColor="text1"/>
          <w:szCs w:val="28"/>
          <w14:textFill>
            <w14:solidFill>
              <w14:schemeClr w14:val="tx1"/>
            </w14:solidFill>
          </w14:textFill>
        </w:rPr>
      </w:pPr>
      <w:r>
        <w:rPr>
          <w:rFonts w:hint="eastAsia" w:ascii="仿宋_GB2312" w:hAnsi="仿宋" w:eastAsia="仿宋_GB2312"/>
          <w:color w:val="000000" w:themeColor="text1"/>
          <w:szCs w:val="28"/>
          <w14:textFill>
            <w14:solidFill>
              <w14:schemeClr w14:val="tx1"/>
            </w14:solidFill>
          </w14:textFill>
        </w:rPr>
        <w:t>5.本次评估依据以我公司查询到的估价对象1至估价对象12的《房屋信息查询摘抄表》、《土地登记卡》上的信息为准，但是产权登记信息未记载估价对象1至估价对象12房屋的建成年份，本次估价对象1至估价对象12的房屋建成年份以我公司估价师实际调查为准，如若房地产估价师调查的房屋建成年份与实际不符合，导致对本次评估值产生实质影响，我公司将对房地产进行重新评估。</w:t>
      </w:r>
    </w:p>
    <w:p>
      <w:pPr>
        <w:pStyle w:val="71"/>
        <w:snapToGrid w:val="0"/>
        <w:spacing w:line="520" w:lineRule="exact"/>
        <w:ind w:firstLine="560" w:firstLineChars="200"/>
        <w:rPr>
          <w:rFonts w:ascii="仿宋_GB2312" w:hAnsi="仿宋_GB2312" w:eastAsia="仿宋_GB2312" w:cs="仿宋_GB2312"/>
          <w:color w:val="000000" w:themeColor="text1"/>
          <w:szCs w:val="28"/>
          <w14:textFill>
            <w14:solidFill>
              <w14:schemeClr w14:val="tx1"/>
            </w14:solidFill>
          </w14:textFill>
        </w:rPr>
      </w:pPr>
      <w:r>
        <w:rPr>
          <w:rFonts w:hint="eastAsia" w:ascii="仿宋_GB2312" w:hAnsi="仿宋_GB2312" w:eastAsia="仿宋_GB2312" w:cs="仿宋_GB2312"/>
          <w:color w:val="000000" w:themeColor="text1"/>
          <w:szCs w:val="28"/>
          <w14:textFill>
            <w14:solidFill>
              <w14:schemeClr w14:val="tx1"/>
            </w14:solidFill>
          </w14:textFill>
        </w:rPr>
        <w:t>6.根据我公司查询到的估价对象1至估价对象12的《房屋信息查询摘抄表》、《土地登记卡》以及我公司估价师现场勘查：</w:t>
      </w:r>
    </w:p>
    <w:p>
      <w:pPr>
        <w:pStyle w:val="71"/>
        <w:snapToGrid w:val="0"/>
        <w:spacing w:line="520" w:lineRule="exact"/>
        <w:ind w:firstLine="560" w:firstLineChars="200"/>
        <w:rPr>
          <w:rFonts w:ascii="仿宋_GB2312" w:hAnsi="仿宋_GB2312" w:eastAsia="仿宋_GB2312" w:cs="仿宋_GB2312"/>
          <w:color w:val="000000" w:themeColor="text1"/>
          <w:szCs w:val="28"/>
          <w14:textFill>
            <w14:solidFill>
              <w14:schemeClr w14:val="tx1"/>
            </w14:solidFill>
          </w14:textFill>
        </w:rPr>
      </w:pPr>
      <w:r>
        <w:rPr>
          <w:rFonts w:hint="eastAsia" w:ascii="仿宋_GB2312" w:hAnsi="仿宋_GB2312" w:eastAsia="仿宋_GB2312" w:cs="仿宋_GB2312"/>
          <w:color w:val="000000" w:themeColor="text1"/>
          <w:szCs w:val="28"/>
          <w14:textFill>
            <w14:solidFill>
              <w14:schemeClr w14:val="tx1"/>
            </w14:solidFill>
          </w14:textFill>
        </w:rPr>
        <w:t>①估价对象1属于自建房，登记用途为住宅，</w:t>
      </w:r>
      <w:r>
        <w:rPr>
          <w:rFonts w:hint="eastAsia" w:ascii="仿宋_GB2312" w:hAnsi="仿宋_GB2312" w:eastAsia="仿宋_GB2312" w:cs="仿宋_GB2312"/>
          <w:szCs w:val="28"/>
        </w:rPr>
        <w:t>实际用途1-2层为商业，3-4层为住宅，本次评估以登记用途为准，特提</w:t>
      </w:r>
      <w:r>
        <w:rPr>
          <w:rFonts w:hint="eastAsia" w:ascii="仿宋_GB2312" w:hAnsi="仿宋_GB2312" w:eastAsia="仿宋_GB2312" w:cs="仿宋_GB2312"/>
          <w:color w:val="000000" w:themeColor="text1"/>
          <w:szCs w:val="28"/>
          <w14:textFill>
            <w14:solidFill>
              <w14:schemeClr w14:val="tx1"/>
            </w14:solidFill>
          </w14:textFill>
        </w:rPr>
        <w:t>醒报告使用方注意。</w:t>
      </w:r>
    </w:p>
    <w:p>
      <w:pPr>
        <w:pStyle w:val="71"/>
        <w:snapToGrid w:val="0"/>
        <w:spacing w:line="520" w:lineRule="exact"/>
        <w:ind w:firstLine="560" w:firstLineChars="200"/>
        <w:rPr>
          <w:rFonts w:ascii="仿宋_GB2312" w:hAnsi="仿宋_GB2312" w:eastAsia="仿宋_GB2312" w:cs="仿宋_GB2312"/>
          <w:color w:val="000000" w:themeColor="text1"/>
          <w:szCs w:val="28"/>
          <w14:textFill>
            <w14:solidFill>
              <w14:schemeClr w14:val="tx1"/>
            </w14:solidFill>
          </w14:textFill>
        </w:rPr>
      </w:pPr>
      <w:r>
        <w:rPr>
          <w:rFonts w:hint="eastAsia" w:ascii="仿宋_GB2312" w:hAnsi="仿宋_GB2312" w:eastAsia="仿宋_GB2312" w:cs="仿宋_GB2312"/>
          <w:color w:val="000000" w:themeColor="text1"/>
          <w:szCs w:val="28"/>
          <w14:textFill>
            <w14:solidFill>
              <w14:schemeClr w14:val="tx1"/>
            </w14:solidFill>
          </w14:textFill>
        </w:rPr>
        <w:t>②估价对象2、估价对象3登记座落为晋宁县昆阳镇昆阳大街593号锦秀华城小区，实际座落为晋宁县昆阳镇昆阳街643号锦秀华城小区，若与实际不符，我公司将重新估价，特提醒报告使用方注意。</w:t>
      </w:r>
    </w:p>
    <w:p>
      <w:pPr>
        <w:pStyle w:val="71"/>
        <w:snapToGrid w:val="0"/>
        <w:spacing w:line="520" w:lineRule="exact"/>
        <w:ind w:firstLine="560" w:firstLineChars="200"/>
        <w:rPr>
          <w:rFonts w:ascii="仿宋_GB2312" w:hAnsi="仿宋_GB2312" w:eastAsia="仿宋_GB2312" w:cs="仿宋_GB2312"/>
          <w:color w:val="000000" w:themeColor="text1"/>
          <w:szCs w:val="28"/>
          <w14:textFill>
            <w14:solidFill>
              <w14:schemeClr w14:val="tx1"/>
            </w14:solidFill>
          </w14:textFill>
        </w:rPr>
      </w:pPr>
      <w:r>
        <w:rPr>
          <w:rFonts w:hint="eastAsia" w:ascii="仿宋_GB2312" w:hAnsi="仿宋_GB2312" w:eastAsia="仿宋_GB2312" w:cs="仿宋_GB2312"/>
          <w:color w:val="000000" w:themeColor="text1"/>
          <w:szCs w:val="28"/>
          <w14:textFill>
            <w14:solidFill>
              <w14:schemeClr w14:val="tx1"/>
            </w14:solidFill>
          </w14:textFill>
        </w:rPr>
        <w:t>③估价对象4登记座落为晋宁县昆阳大街69号（中国农业银行晋宁支行）5幢3-702，实际座落为晋宁县昆阳街159号（中国农业银行晋宁支行）1幢1单元702号，若与实际不符，我公司将重新估价；且估价对象4土地使用权类型为划拨，据我公司向当地相关部门调查了解，若因不动产发生房屋所有权转移的，划拨用地需补缴土地出让金，具体缴纳金额请报告使用方自行落实，特提醒报告使用方注意。</w:t>
      </w:r>
    </w:p>
    <w:p>
      <w:pPr>
        <w:pStyle w:val="71"/>
        <w:snapToGrid w:val="0"/>
        <w:spacing w:line="520" w:lineRule="exact"/>
        <w:ind w:firstLine="560" w:firstLineChars="200"/>
        <w:rPr>
          <w:rFonts w:ascii="仿宋_GB2312" w:hAnsi="仿宋_GB2312" w:eastAsia="仿宋_GB2312" w:cs="仿宋_GB2312"/>
          <w:color w:val="000000" w:themeColor="text1"/>
          <w:szCs w:val="28"/>
          <w14:textFill>
            <w14:solidFill>
              <w14:schemeClr w14:val="tx1"/>
            </w14:solidFill>
          </w14:textFill>
        </w:rPr>
      </w:pPr>
      <w:r>
        <w:rPr>
          <w:rFonts w:hint="eastAsia" w:ascii="仿宋_GB2312" w:hAnsi="仿宋_GB2312" w:eastAsia="仿宋_GB2312" w:cs="仿宋_GB2312"/>
          <w:color w:val="000000" w:themeColor="text1"/>
          <w:szCs w:val="28"/>
          <w14:textFill>
            <w14:solidFill>
              <w14:schemeClr w14:val="tx1"/>
            </w14:solidFill>
          </w14:textFill>
        </w:rPr>
        <w:t>④估价对象5属于自建房，登记用途为住宅，实际用途1层为商铺在使用，2层为住宅在使用，本次评估以登记用途为准；《房屋信息查询摘抄表》登记总楼层为2层，根据现场勘查，屋顶加盖了钢架大棚，不在产权登记范围内，特提醒报告使用方注意。</w:t>
      </w:r>
    </w:p>
    <w:p>
      <w:pPr>
        <w:pStyle w:val="71"/>
        <w:snapToGrid w:val="0"/>
        <w:spacing w:line="520" w:lineRule="exact"/>
        <w:ind w:firstLine="560" w:firstLineChars="200"/>
        <w:rPr>
          <w:rFonts w:ascii="仿宋_GB2312" w:hAnsi="仿宋_GB2312" w:eastAsia="仿宋_GB2312" w:cs="仿宋_GB2312"/>
          <w:color w:val="000000" w:themeColor="text1"/>
          <w:szCs w:val="28"/>
          <w14:textFill>
            <w14:solidFill>
              <w14:schemeClr w14:val="tx1"/>
            </w14:solidFill>
          </w14:textFill>
        </w:rPr>
      </w:pPr>
      <w:r>
        <w:rPr>
          <w:rFonts w:ascii="仿宋_GB2312" w:hAnsi="仿宋_GB2312" w:eastAsia="仿宋_GB2312" w:cs="仿宋_GB2312"/>
          <w:color w:val="000000" w:themeColor="text1"/>
          <w:szCs w:val="28"/>
          <w14:textFill>
            <w14:solidFill>
              <w14:schemeClr w14:val="tx1"/>
            </w14:solidFill>
          </w14:textFill>
        </w:rPr>
        <w:t>⑤</w:t>
      </w:r>
      <w:r>
        <w:rPr>
          <w:rFonts w:hint="eastAsia" w:ascii="仿宋_GB2312" w:hAnsi="仿宋_GB2312" w:eastAsia="仿宋_GB2312" w:cs="仿宋_GB2312"/>
          <w:color w:val="000000" w:themeColor="text1"/>
          <w:szCs w:val="28"/>
          <w14:textFill>
            <w14:solidFill>
              <w14:schemeClr w14:val="tx1"/>
            </w14:solidFill>
          </w14:textFill>
        </w:rPr>
        <w:t>根据《房屋信息查询摘抄表》及我公司估价师现场勘查，估价对象9属于自建房，有3幢建筑物：1幢建筑结构为钢混，总楼层为4层，所在楼层为1-4层；2幢建筑结构为砖混，总楼层为2层，所在楼层为1-2层；3幢建筑结构为砖木，总楼层为1层，所在楼层为1层，特提醒报告使用方注意。</w:t>
      </w:r>
    </w:p>
    <w:p>
      <w:pPr>
        <w:pStyle w:val="71"/>
        <w:snapToGrid w:val="0"/>
        <w:spacing w:line="520" w:lineRule="exact"/>
        <w:ind w:firstLine="560" w:firstLineChars="200"/>
        <w:rPr>
          <w:rFonts w:ascii="仿宋_GB2312" w:hAnsi="仿宋_GB2312" w:eastAsia="仿宋_GB2312" w:cs="仿宋_GB2312"/>
          <w:color w:val="000000" w:themeColor="text1"/>
          <w:szCs w:val="28"/>
          <w14:textFill>
            <w14:solidFill>
              <w14:schemeClr w14:val="tx1"/>
            </w14:solidFill>
          </w14:textFill>
        </w:rPr>
      </w:pPr>
      <w:r>
        <w:rPr>
          <w:rFonts w:hint="eastAsia" w:ascii="仿宋_GB2312" w:hAnsi="仿宋_GB2312" w:eastAsia="仿宋_GB2312" w:cs="仿宋_GB2312"/>
          <w:color w:val="000000" w:themeColor="text1"/>
          <w:szCs w:val="28"/>
          <w14:textFill>
            <w14:solidFill>
              <w14:schemeClr w14:val="tx1"/>
            </w14:solidFill>
          </w14:textFill>
        </w:rPr>
        <w:t>⑥估价对象10属于自建房，登记用途为综合，实际用途1层为商铺，2-3层为住宅，本次评估以登记用途为准，土地使用权类型为划拨，据我公司向当地相关部门调查了解，若因不动产发生房屋所有权转移的，划拨用地需补缴土地出让金，具体缴纳金额请报告使用方自行落实，特提醒报告使用方注意。</w:t>
      </w:r>
    </w:p>
    <w:p>
      <w:pPr>
        <w:pStyle w:val="71"/>
        <w:snapToGrid w:val="0"/>
        <w:spacing w:line="520" w:lineRule="exact"/>
        <w:ind w:firstLine="560" w:firstLineChars="200"/>
        <w:rPr>
          <w:rFonts w:ascii="仿宋_GB2312" w:hAnsi="仿宋_GB2312" w:eastAsia="仿宋_GB2312" w:cs="仿宋_GB2312"/>
          <w:color w:val="000000" w:themeColor="text1"/>
          <w:szCs w:val="28"/>
          <w14:textFill>
            <w14:solidFill>
              <w14:schemeClr w14:val="tx1"/>
            </w14:solidFill>
          </w14:textFill>
        </w:rPr>
      </w:pPr>
      <w:r>
        <w:rPr>
          <w:rFonts w:hint="eastAsia" w:ascii="仿宋_GB2312" w:hAnsi="仿宋_GB2312" w:eastAsia="仿宋_GB2312" w:cs="仿宋_GB2312"/>
          <w:color w:val="000000" w:themeColor="text1"/>
          <w:szCs w:val="28"/>
          <w14:textFill>
            <w14:solidFill>
              <w14:schemeClr w14:val="tx1"/>
            </w14:solidFill>
          </w14:textFill>
        </w:rPr>
        <w:t>⑦估价对象11登记用途为车库，截止评估基准日，实际使用现状为商铺，且与估价对象12连通使用，本次评估以登记用途为准，特提醒报告使用方注意。</w:t>
      </w:r>
    </w:p>
    <w:p>
      <w:pPr>
        <w:pStyle w:val="71"/>
        <w:snapToGrid w:val="0"/>
        <w:spacing w:line="520" w:lineRule="exact"/>
        <w:ind w:firstLine="560" w:firstLineChars="200"/>
        <w:rPr>
          <w:rFonts w:ascii="仿宋_GB2312" w:hAnsi="仿宋_GB2312" w:eastAsia="仿宋_GB2312" w:cs="仿宋_GB2312"/>
          <w:color w:val="000000" w:themeColor="text1"/>
          <w:szCs w:val="28"/>
          <w14:textFill>
            <w14:solidFill>
              <w14:schemeClr w14:val="tx1"/>
            </w14:solidFill>
          </w14:textFill>
        </w:rPr>
      </w:pPr>
      <w:r>
        <w:rPr>
          <w:rFonts w:hint="eastAsia" w:ascii="仿宋_GB2312" w:hAnsi="仿宋_GB2312" w:eastAsia="仿宋_GB2312" w:cs="仿宋_GB2312"/>
          <w:color w:val="000000" w:themeColor="text1"/>
          <w:szCs w:val="28"/>
          <w14:textFill>
            <w14:solidFill>
              <w14:schemeClr w14:val="tx1"/>
            </w14:solidFill>
          </w14:textFill>
        </w:rPr>
        <w:t>⑧由于本案涉及的被申请人，我公司无法与其取得联系，现堪未到场，故现场勘查过程中估价师无法进入估价对象1的2-4层、估价对象2至估价对象4、估价对象8、估价对象10建筑物内部进行现场勘查，内部装修等实际情况无法确定，为了能更好的反应估价对象1的2-4层、估价对象2至估价对象4、估价对象8、估价对象10的客观价值，本次评估假设其装修情况为普通装修，特提醒报告使用方注意。</w:t>
      </w:r>
    </w:p>
    <w:p>
      <w:pPr>
        <w:pStyle w:val="71"/>
        <w:snapToGrid w:val="0"/>
        <w:spacing w:line="520" w:lineRule="exact"/>
        <w:ind w:firstLine="560" w:firstLineChars="200"/>
        <w:rPr>
          <w:rFonts w:ascii="仿宋_GB2312" w:hAnsi="仿宋_GB2312" w:eastAsia="仿宋_GB2312" w:cs="仿宋_GB2312"/>
          <w:color w:val="000000" w:themeColor="text1"/>
          <w:szCs w:val="28"/>
          <w14:textFill>
            <w14:solidFill>
              <w14:schemeClr w14:val="tx1"/>
            </w14:solidFill>
          </w14:textFill>
        </w:rPr>
      </w:pPr>
      <w:r>
        <w:rPr>
          <w:rFonts w:hint="eastAsia" w:ascii="仿宋_GB2312" w:hAnsi="仿宋_GB2312" w:eastAsia="仿宋_GB2312" w:cs="仿宋_GB2312"/>
          <w:color w:val="000000" w:themeColor="text1"/>
          <w:szCs w:val="28"/>
          <w14:textFill>
            <w14:solidFill>
              <w14:schemeClr w14:val="tx1"/>
            </w14:solidFill>
          </w14:textFill>
        </w:rPr>
        <w:t>7.我公司于2021年12月16日（即本次估价时点）现场勘查，由于本次评估无法与被申请人取得联系，现堪过程中由申请人指证估价对象1至估价对象12，我公司估价师以其指证的建筑物为准进行评估工作，若估价对象与实际不符，导致对本次评估值产生实质影响，需对房地产进行重新评估。</w:t>
      </w:r>
    </w:p>
    <w:p>
      <w:pPr>
        <w:pStyle w:val="71"/>
        <w:snapToGrid w:val="0"/>
        <w:spacing w:line="520" w:lineRule="exact"/>
        <w:ind w:firstLine="560" w:firstLineChars="200"/>
        <w:rPr>
          <w:rFonts w:ascii="仿宋_GB2312" w:hAnsi="仿宋" w:eastAsia="仿宋_GB2312"/>
          <w:color w:val="000000" w:themeColor="text1"/>
          <w:szCs w:val="28"/>
          <w14:textFill>
            <w14:solidFill>
              <w14:schemeClr w14:val="tx1"/>
            </w14:solidFill>
          </w14:textFill>
        </w:rPr>
      </w:pPr>
      <w:r>
        <w:rPr>
          <w:rFonts w:hint="eastAsia" w:ascii="仿宋_GB2312" w:hAnsi="仿宋" w:eastAsia="仿宋_GB2312"/>
          <w:color w:val="000000" w:themeColor="text1"/>
          <w:szCs w:val="28"/>
          <w14:textFill>
            <w14:solidFill>
              <w14:schemeClr w14:val="tx1"/>
            </w14:solidFill>
          </w14:textFill>
        </w:rPr>
        <w:t>8.根据昆明市晋宁区房地产管理所工作人员向我公司出具的《房屋信息查询摘抄表》得知，估价对象1至估价对象12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1至估价对象12未设定抵押、查封等情况，特提醒报告使用方注意。</w:t>
      </w:r>
    </w:p>
    <w:p>
      <w:pPr>
        <w:pStyle w:val="71"/>
        <w:snapToGrid w:val="0"/>
        <w:spacing w:line="520" w:lineRule="exact"/>
        <w:ind w:firstLine="560" w:firstLineChars="200"/>
        <w:rPr>
          <w:rFonts w:ascii="仿宋_GB2312" w:hAnsi="仿宋" w:eastAsia="仿宋_GB2312"/>
          <w:color w:val="000000" w:themeColor="text1"/>
          <w:szCs w:val="28"/>
          <w14:textFill>
            <w14:solidFill>
              <w14:schemeClr w14:val="tx1"/>
            </w14:solidFill>
          </w14:textFill>
        </w:rPr>
      </w:pPr>
      <w:r>
        <w:rPr>
          <w:rFonts w:hint="eastAsia" w:ascii="仿宋_GB2312" w:hAnsi="仿宋" w:eastAsia="仿宋_GB2312"/>
          <w:color w:val="000000" w:themeColor="text1"/>
          <w:szCs w:val="28"/>
          <w14:textFill>
            <w14:solidFill>
              <w14:schemeClr w14:val="tx1"/>
            </w14:solidFill>
          </w14:textFill>
        </w:rPr>
        <w:t>9.①根据估价师现场勘查，估价对象1、估价对象5、估价对象9、估价对象10 属于自建房，无物管费；根据小区人员介绍，估价对象2至估价对象4小区无物管，水电费使用情况请报告使用方自行落实，特提醒报告使用方注意。</w:t>
      </w:r>
    </w:p>
    <w:p>
      <w:pPr>
        <w:pStyle w:val="71"/>
        <w:snapToGrid w:val="0"/>
        <w:spacing w:line="520" w:lineRule="exact"/>
        <w:ind w:firstLine="560" w:firstLineChars="200"/>
        <w:rPr>
          <w:rFonts w:ascii="仿宋_GB2312" w:hAnsi="仿宋" w:eastAsia="仿宋_GB2312"/>
          <w:color w:val="000000" w:themeColor="text1"/>
          <w:szCs w:val="28"/>
          <w14:textFill>
            <w14:solidFill>
              <w14:schemeClr w14:val="tx1"/>
            </w14:solidFill>
          </w14:textFill>
        </w:rPr>
      </w:pPr>
      <w:r>
        <w:rPr>
          <w:rFonts w:hint="eastAsia" w:ascii="仿宋_GB2312" w:hAnsi="仿宋" w:eastAsia="仿宋_GB2312"/>
          <w:color w:val="000000" w:themeColor="text1"/>
          <w:szCs w:val="28"/>
          <w14:textFill>
            <w14:solidFill>
              <w14:schemeClr w14:val="tx1"/>
            </w14:solidFill>
          </w14:textFill>
        </w:rPr>
        <w:t>②根据小区物管处工作人员介绍，估价对象6至估价对象8不存在拖欠物业管理费、水电费的情况，实际情况请报告使用方自行落实，特提醒报告使用方注意。</w:t>
      </w:r>
    </w:p>
    <w:p>
      <w:pPr>
        <w:pStyle w:val="71"/>
        <w:snapToGrid w:val="0"/>
        <w:spacing w:line="520" w:lineRule="exact"/>
        <w:ind w:firstLine="560" w:firstLineChars="200"/>
        <w:rPr>
          <w:rFonts w:hint="eastAsia" w:ascii="仿宋_GB2312" w:hAnsi="仿宋" w:eastAsia="仿宋_GB2312"/>
          <w:color w:val="000000" w:themeColor="text1"/>
          <w:szCs w:val="28"/>
          <w14:textFill>
            <w14:solidFill>
              <w14:schemeClr w14:val="tx1"/>
            </w14:solidFill>
          </w14:textFill>
        </w:rPr>
      </w:pPr>
      <w:r>
        <w:rPr>
          <w:rFonts w:hint="eastAsia" w:ascii="仿宋_GB2312" w:hAnsi="仿宋" w:eastAsia="仿宋_GB2312"/>
          <w:color w:val="000000" w:themeColor="text1"/>
          <w:szCs w:val="28"/>
          <w14:textFill>
            <w14:solidFill>
              <w14:schemeClr w14:val="tx1"/>
            </w14:solidFill>
          </w14:textFill>
        </w:rPr>
        <w:t>③根据小区物管处工作人员介绍，估价对象11至估价对象12不存在拖欠物管费的情况，水电费使用情况请报告使用方自行落实，特提醒报告使用方注意。</w:t>
      </w:r>
    </w:p>
    <w:p>
      <w:pPr>
        <w:pStyle w:val="71"/>
        <w:snapToGrid w:val="0"/>
        <w:spacing w:line="520" w:lineRule="exact"/>
        <w:ind w:firstLine="560" w:firstLineChars="200"/>
        <w:rPr>
          <w:rFonts w:ascii="仿宋_GB2312" w:hAnsi="仿宋" w:eastAsia="仿宋_GB2312"/>
          <w:color w:val="000000" w:themeColor="text1"/>
          <w:szCs w:val="28"/>
          <w14:textFill>
            <w14:solidFill>
              <w14:schemeClr w14:val="tx1"/>
            </w14:solidFill>
          </w14:textFill>
        </w:rPr>
      </w:pPr>
      <w:r>
        <w:rPr>
          <w:rFonts w:hint="eastAsia" w:ascii="仿宋_GB2312" w:hAnsi="仿宋" w:eastAsia="仿宋_GB2312"/>
          <w:color w:val="000000" w:themeColor="text1"/>
          <w:szCs w:val="28"/>
          <w14:textFill>
            <w14:solidFill>
              <w14:schemeClr w14:val="tx1"/>
            </w14:solidFill>
          </w14:textFill>
        </w:rPr>
        <w:t>10.</w:t>
      </w:r>
      <w:r>
        <w:rPr>
          <w:rFonts w:hint="eastAsia"/>
        </w:rPr>
        <w:t xml:space="preserve"> </w:t>
      </w:r>
      <w:r>
        <w:rPr>
          <w:rFonts w:hint="eastAsia" w:ascii="仿宋_GB2312" w:hAnsi="仿宋" w:eastAsia="仿宋_GB2312"/>
          <w:color w:val="000000" w:themeColor="text1"/>
          <w:szCs w:val="28"/>
          <w14:textFill>
            <w14:solidFill>
              <w14:schemeClr w14:val="tx1"/>
            </w14:solidFill>
          </w14:textFill>
        </w:rPr>
        <w:t>本次评估价为不含税价，交易所涉及的税费由原权利人和买受人按国家相关法律法规的规定各自承担其应缴纳部分。</w:t>
      </w:r>
    </w:p>
    <w:p>
      <w:pPr>
        <w:pStyle w:val="71"/>
        <w:snapToGrid w:val="0"/>
        <w:spacing w:line="520" w:lineRule="exact"/>
        <w:ind w:firstLine="560" w:firstLineChars="200"/>
        <w:rPr>
          <w:rFonts w:ascii="仿宋_GB2312" w:hAnsi="仿宋" w:eastAsia="仿宋_GB2312"/>
          <w:szCs w:val="28"/>
        </w:rPr>
      </w:pPr>
      <w:r>
        <w:rPr>
          <w:rFonts w:hint="eastAsia" w:ascii="仿宋_GB2312" w:hAnsi="仿宋" w:eastAsia="仿宋_GB2312"/>
          <w:szCs w:val="28"/>
        </w:rPr>
        <w:t>11.报告使用人在使用本报告之前须对报告全文，特别是“估价的假设和限制条件”认真阅读，以免使用不当，造成损失！估价的详细结果、过程及有关说明，请见《估价结果报告》、《估价技术报告》。</w:t>
      </w:r>
    </w:p>
    <w:p>
      <w:pPr>
        <w:pStyle w:val="71"/>
        <w:snapToGrid w:val="0"/>
        <w:spacing w:line="520" w:lineRule="exact"/>
        <w:ind w:firstLine="560" w:firstLineChars="200"/>
        <w:rPr>
          <w:rFonts w:ascii="仿宋_GB2312" w:hAnsi="仿宋" w:eastAsia="仿宋_GB2312"/>
          <w:color w:val="000000" w:themeColor="text1"/>
          <w:szCs w:val="28"/>
          <w14:textFill>
            <w14:solidFill>
              <w14:schemeClr w14:val="tx1"/>
            </w14:solidFill>
          </w14:textFill>
        </w:rPr>
      </w:pPr>
      <w:r>
        <w:rPr>
          <w:rFonts w:hint="eastAsia" w:ascii="仿宋_GB2312" w:hAnsi="仿宋" w:eastAsia="仿宋_GB2312"/>
          <w:color w:val="000000" w:themeColor="text1"/>
          <w:szCs w:val="28"/>
          <w14:textFill>
            <w14:solidFill>
              <w14:schemeClr w14:val="tx1"/>
            </w14:solidFill>
          </w14:textFill>
        </w:rPr>
        <w:t>特此函告。</w:t>
      </w:r>
    </w:p>
    <w:p>
      <w:pPr>
        <w:numPr>
          <w:ilvl w:val="12"/>
          <w:numId w:val="0"/>
        </w:numPr>
        <w:spacing w:line="520" w:lineRule="exact"/>
        <w:ind w:right="544" w:firstLine="968" w:firstLineChars="346"/>
        <w:jc w:val="right"/>
        <w:rPr>
          <w:rFonts w:ascii="仿宋_GB2312" w:eastAsia="仿宋_GB2312"/>
          <w:sz w:val="28"/>
          <w:szCs w:val="28"/>
        </w:rPr>
      </w:pPr>
      <w:r>
        <w:rPr>
          <w:rFonts w:hint="eastAsia" w:ascii="仿宋_GB2312" w:eastAsia="仿宋_GB2312"/>
          <w:sz w:val="28"/>
          <w:szCs w:val="28"/>
        </w:rPr>
        <w:t>云南通达土地房地产资产评估有限公司</w:t>
      </w:r>
    </w:p>
    <w:p>
      <w:pPr>
        <w:numPr>
          <w:ilvl w:val="12"/>
          <w:numId w:val="0"/>
        </w:numPr>
        <w:spacing w:line="520" w:lineRule="exact"/>
        <w:ind w:right="544" w:firstLine="3536" w:firstLineChars="1300"/>
        <w:rPr>
          <w:rFonts w:ascii="仿宋_GB2312" w:eastAsia="仿宋_GB2312"/>
          <w:spacing w:val="-4"/>
          <w:sz w:val="28"/>
          <w:szCs w:val="28"/>
        </w:rPr>
      </w:pPr>
      <w:r>
        <w:rPr>
          <w:rFonts w:hint="eastAsia" w:ascii="仿宋_GB2312" w:eastAsia="仿宋_GB2312"/>
          <w:spacing w:val="-4"/>
          <w:sz w:val="28"/>
          <w:szCs w:val="28"/>
        </w:rPr>
        <w:t>法定代表人：</w:t>
      </w:r>
    </w:p>
    <w:p>
      <w:pPr>
        <w:numPr>
          <w:ilvl w:val="12"/>
          <w:numId w:val="0"/>
        </w:numPr>
        <w:spacing w:before="50" w:line="520" w:lineRule="exact"/>
        <w:ind w:right="964"/>
        <w:jc w:val="center"/>
        <w:rPr>
          <w:rFonts w:ascii="仿宋_GB2312" w:hAnsi="仿宋_GB2312" w:eastAsia="仿宋_GB2312" w:cs="仿宋_GB2312"/>
          <w:b/>
          <w:bCs/>
          <w:sz w:val="28"/>
          <w:szCs w:val="28"/>
        </w:rPr>
      </w:pPr>
      <w:bookmarkStart w:id="9" w:name="_Toc527920372"/>
      <w:r>
        <w:rPr>
          <w:rFonts w:hint="eastAsia" w:ascii="仿宋_GB2312" w:hAnsi="仿宋_GB2312" w:eastAsia="仿宋_GB2312" w:cs="仿宋_GB2312"/>
          <w:sz w:val="28"/>
          <w:szCs w:val="28"/>
        </w:rPr>
        <w:t xml:space="preserve">                  二</w:t>
      </w:r>
      <w:r>
        <w:rPr>
          <w:rFonts w:hint="eastAsia" w:ascii="宋体" w:hAnsi="宋体" w:cs="宋体"/>
          <w:sz w:val="28"/>
          <w:szCs w:val="28"/>
        </w:rPr>
        <w:t>〇</w:t>
      </w:r>
      <w:r>
        <w:rPr>
          <w:rFonts w:hint="eastAsia" w:ascii="仿宋_GB2312" w:hAnsi="仿宋_GB2312" w:eastAsia="仿宋_GB2312" w:cs="仿宋_GB2312"/>
          <w:sz w:val="28"/>
          <w:szCs w:val="28"/>
        </w:rPr>
        <w:t>二一年十二月三十日</w:t>
      </w:r>
    </w:p>
    <w:p>
      <w:pPr>
        <w:widowControl/>
        <w:adjustRightInd/>
        <w:spacing w:line="520" w:lineRule="exact"/>
        <w:jc w:val="center"/>
        <w:textAlignment w:val="auto"/>
        <w:rPr>
          <w:rFonts w:ascii="仿宋_GB2312" w:hAnsi="仿宋_GB2312" w:eastAsia="仿宋_GB2312" w:cs="仿宋_GB2312"/>
          <w:b/>
          <w:bCs/>
          <w:color w:val="000000"/>
          <w:sz w:val="28"/>
          <w:szCs w:val="28"/>
        </w:rPr>
        <w:sectPr>
          <w:headerReference r:id="rId11" w:type="default"/>
          <w:footerReference r:id="rId12" w:type="default"/>
          <w:pgSz w:w="11906" w:h="16838"/>
          <w:pgMar w:top="1418" w:right="1281" w:bottom="1418" w:left="1418" w:header="907" w:footer="851" w:gutter="284"/>
          <w:pgBorders>
            <w:top w:val="none" w:sz="0" w:space="0"/>
            <w:left w:val="none" w:sz="0" w:space="0"/>
            <w:bottom w:val="none" w:sz="0" w:space="0"/>
            <w:right w:val="none" w:sz="0" w:space="0"/>
          </w:pgBorders>
          <w:cols w:space="425" w:num="1"/>
          <w:docGrid w:linePitch="286" w:charSpace="0"/>
        </w:sectPr>
      </w:pPr>
    </w:p>
    <w:tbl>
      <w:tblPr>
        <w:tblStyle w:val="89"/>
        <w:tblW w:w="5000" w:type="pct"/>
        <w:tblInd w:w="0" w:type="dxa"/>
        <w:tblLayout w:type="autofit"/>
        <w:tblCellMar>
          <w:top w:w="0" w:type="dxa"/>
          <w:left w:w="108" w:type="dxa"/>
          <w:bottom w:w="0" w:type="dxa"/>
          <w:right w:w="108" w:type="dxa"/>
        </w:tblCellMar>
      </w:tblPr>
      <w:tblGrid>
        <w:gridCol w:w="938"/>
        <w:gridCol w:w="938"/>
        <w:gridCol w:w="1430"/>
        <w:gridCol w:w="1573"/>
        <w:gridCol w:w="938"/>
        <w:gridCol w:w="938"/>
        <w:gridCol w:w="938"/>
        <w:gridCol w:w="938"/>
        <w:gridCol w:w="938"/>
        <w:gridCol w:w="1849"/>
        <w:gridCol w:w="1099"/>
        <w:gridCol w:w="1701"/>
      </w:tblGrid>
      <w:tr>
        <w:tblPrEx>
          <w:tblCellMar>
            <w:top w:w="0" w:type="dxa"/>
            <w:left w:w="108" w:type="dxa"/>
            <w:bottom w:w="0" w:type="dxa"/>
            <w:right w:w="108" w:type="dxa"/>
          </w:tblCellMar>
        </w:tblPrEx>
        <w:trPr>
          <w:trHeight w:val="312" w:hRule="atLeast"/>
          <w:tblHeader/>
        </w:trPr>
        <w:tc>
          <w:tcPr>
            <w:tcW w:w="5000" w:type="pct"/>
            <w:gridSpan w:val="12"/>
            <w:tcBorders>
              <w:top w:val="nil"/>
              <w:left w:val="nil"/>
              <w:bottom w:val="nil"/>
              <w:right w:val="nil"/>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房地产市场价值估价结果汇总表</w:t>
            </w:r>
          </w:p>
        </w:tc>
      </w:tr>
      <w:tr>
        <w:tblPrEx>
          <w:tblCellMar>
            <w:top w:w="0" w:type="dxa"/>
            <w:left w:w="108" w:type="dxa"/>
            <w:bottom w:w="0" w:type="dxa"/>
            <w:right w:w="108" w:type="dxa"/>
          </w:tblCellMar>
        </w:tblPrEx>
        <w:trPr>
          <w:trHeight w:val="312" w:hRule="atLeast"/>
          <w:tblHeader/>
        </w:trPr>
        <w:tc>
          <w:tcPr>
            <w:tcW w:w="5000" w:type="pct"/>
            <w:gridSpan w:val="12"/>
            <w:tcBorders>
              <w:top w:val="nil"/>
              <w:left w:val="nil"/>
              <w:bottom w:val="nil"/>
              <w:right w:val="nil"/>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 xml:space="preserve">                                                  币种：人民币</w:t>
            </w:r>
          </w:p>
        </w:tc>
      </w:tr>
      <w:tr>
        <w:tblPrEx>
          <w:tblCellMar>
            <w:top w:w="0" w:type="dxa"/>
            <w:left w:w="108" w:type="dxa"/>
            <w:bottom w:w="0" w:type="dxa"/>
            <w:right w:w="108" w:type="dxa"/>
          </w:tblCellMar>
        </w:tblPrEx>
        <w:trPr>
          <w:trHeight w:val="960" w:hRule="atLeast"/>
          <w:tblHead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名称</w:t>
            </w:r>
          </w:p>
        </w:tc>
        <w:tc>
          <w:tcPr>
            <w:tcW w:w="330" w:type="pct"/>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房屋所有权人</w:t>
            </w:r>
          </w:p>
        </w:tc>
        <w:tc>
          <w:tcPr>
            <w:tcW w:w="503" w:type="pct"/>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座落</w:t>
            </w:r>
          </w:p>
        </w:tc>
        <w:tc>
          <w:tcPr>
            <w:tcW w:w="553" w:type="pct"/>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房产证号</w:t>
            </w:r>
          </w:p>
        </w:tc>
        <w:tc>
          <w:tcPr>
            <w:tcW w:w="330" w:type="pct"/>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建筑结构</w:t>
            </w:r>
          </w:p>
        </w:tc>
        <w:tc>
          <w:tcPr>
            <w:tcW w:w="330" w:type="pct"/>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建成年代（年）</w:t>
            </w:r>
          </w:p>
        </w:tc>
        <w:tc>
          <w:tcPr>
            <w:tcW w:w="330" w:type="pct"/>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规划（设计）用途</w:t>
            </w:r>
          </w:p>
        </w:tc>
        <w:tc>
          <w:tcPr>
            <w:tcW w:w="330" w:type="pct"/>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楼层/总楼层</w:t>
            </w:r>
          </w:p>
        </w:tc>
        <w:tc>
          <w:tcPr>
            <w:tcW w:w="330" w:type="pct"/>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建筑面积(㎡)</w:t>
            </w:r>
          </w:p>
        </w:tc>
        <w:tc>
          <w:tcPr>
            <w:tcW w:w="650" w:type="pct"/>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估价时点</w:t>
            </w:r>
          </w:p>
        </w:tc>
        <w:tc>
          <w:tcPr>
            <w:tcW w:w="386" w:type="pct"/>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评估单价(元／平方米或元/个)</w:t>
            </w:r>
          </w:p>
        </w:tc>
        <w:tc>
          <w:tcPr>
            <w:tcW w:w="589" w:type="pct"/>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市场价值评估总价(元)</w:t>
            </w:r>
          </w:p>
        </w:tc>
      </w:tr>
      <w:tr>
        <w:tblPrEx>
          <w:tblCellMar>
            <w:top w:w="0" w:type="dxa"/>
            <w:left w:w="108" w:type="dxa"/>
            <w:bottom w:w="0" w:type="dxa"/>
            <w:right w:w="108" w:type="dxa"/>
          </w:tblCellMar>
        </w:tblPrEx>
        <w:trPr>
          <w:trHeight w:val="480" w:hRule="atLeast"/>
        </w:trPr>
        <w:tc>
          <w:tcPr>
            <w:tcW w:w="330" w:type="pc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估价对象1</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李红标、崔琼艳</w:t>
            </w:r>
          </w:p>
        </w:tc>
        <w:tc>
          <w:tcPr>
            <w:tcW w:w="50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晋宁县昆阳镇中和东路</w:t>
            </w:r>
          </w:p>
        </w:tc>
        <w:tc>
          <w:tcPr>
            <w:tcW w:w="55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013661</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钢混</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2010年</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住宅</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1-4/4</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446.59</w:t>
            </w:r>
          </w:p>
        </w:tc>
        <w:tc>
          <w:tcPr>
            <w:tcW w:w="65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2021年12月16日</w:t>
            </w: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6050</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2,701,870.00</w:t>
            </w:r>
          </w:p>
        </w:tc>
      </w:tr>
      <w:tr>
        <w:tblPrEx>
          <w:tblCellMar>
            <w:top w:w="0" w:type="dxa"/>
            <w:left w:w="108" w:type="dxa"/>
            <w:bottom w:w="0" w:type="dxa"/>
            <w:right w:w="108" w:type="dxa"/>
          </w:tblCellMar>
        </w:tblPrEx>
        <w:trPr>
          <w:trHeight w:val="960" w:hRule="atLeast"/>
        </w:trPr>
        <w:tc>
          <w:tcPr>
            <w:tcW w:w="330" w:type="pc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估价对象2</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陈淑华、应甄、应勤</w:t>
            </w:r>
          </w:p>
        </w:tc>
        <w:tc>
          <w:tcPr>
            <w:tcW w:w="50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晋宁县昆阳镇昆阳大街593号锦秀华城小区</w:t>
            </w:r>
          </w:p>
        </w:tc>
        <w:tc>
          <w:tcPr>
            <w:tcW w:w="55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2009011373、共2009009616、共2009009617</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钢混</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2001年</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住宅</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4/7</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118</w:t>
            </w:r>
          </w:p>
        </w:tc>
        <w:tc>
          <w:tcPr>
            <w:tcW w:w="65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2021年12月16日</w:t>
            </w: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5837</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688,766.00</w:t>
            </w:r>
          </w:p>
        </w:tc>
      </w:tr>
      <w:tr>
        <w:tblPrEx>
          <w:tblCellMar>
            <w:top w:w="0" w:type="dxa"/>
            <w:left w:w="108" w:type="dxa"/>
            <w:bottom w:w="0" w:type="dxa"/>
            <w:right w:w="108" w:type="dxa"/>
          </w:tblCellMar>
        </w:tblPrEx>
        <w:trPr>
          <w:trHeight w:val="960" w:hRule="atLeast"/>
        </w:trPr>
        <w:tc>
          <w:tcPr>
            <w:tcW w:w="330" w:type="pc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估价对象3</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张翠琼、何岗</w:t>
            </w:r>
          </w:p>
        </w:tc>
        <w:tc>
          <w:tcPr>
            <w:tcW w:w="50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晋宁县昆阳镇昆阳大街593号锦秀华城小区</w:t>
            </w:r>
          </w:p>
        </w:tc>
        <w:tc>
          <w:tcPr>
            <w:tcW w:w="55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2009011425、共2009009670</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钢混</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2001年</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住宅</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1/7</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155.16</w:t>
            </w:r>
          </w:p>
        </w:tc>
        <w:tc>
          <w:tcPr>
            <w:tcW w:w="65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2021年12月16日</w:t>
            </w: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5720</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887,515.00</w:t>
            </w:r>
          </w:p>
        </w:tc>
      </w:tr>
      <w:tr>
        <w:tblPrEx>
          <w:tblCellMar>
            <w:top w:w="0" w:type="dxa"/>
            <w:left w:w="108" w:type="dxa"/>
            <w:bottom w:w="0" w:type="dxa"/>
            <w:right w:w="108" w:type="dxa"/>
          </w:tblCellMar>
        </w:tblPrEx>
        <w:trPr>
          <w:trHeight w:val="960" w:hRule="atLeast"/>
        </w:trPr>
        <w:tc>
          <w:tcPr>
            <w:tcW w:w="330" w:type="pc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估价对象4</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赵春艳、胡翠英</w:t>
            </w:r>
          </w:p>
        </w:tc>
        <w:tc>
          <w:tcPr>
            <w:tcW w:w="50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晋宁县昆阳大街69号（中国农业银行晋宁支行）</w:t>
            </w:r>
          </w:p>
        </w:tc>
        <w:tc>
          <w:tcPr>
            <w:tcW w:w="55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005601</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钢混</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2001年</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住宅</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7/10</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137.16</w:t>
            </w:r>
          </w:p>
        </w:tc>
        <w:tc>
          <w:tcPr>
            <w:tcW w:w="65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2021年12月16日</w:t>
            </w: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5487</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752,597.00</w:t>
            </w:r>
          </w:p>
        </w:tc>
      </w:tr>
      <w:tr>
        <w:tblPrEx>
          <w:tblCellMar>
            <w:top w:w="0" w:type="dxa"/>
            <w:left w:w="108" w:type="dxa"/>
            <w:bottom w:w="0" w:type="dxa"/>
            <w:right w:w="108" w:type="dxa"/>
          </w:tblCellMar>
        </w:tblPrEx>
        <w:trPr>
          <w:trHeight w:val="480" w:hRule="atLeast"/>
        </w:trPr>
        <w:tc>
          <w:tcPr>
            <w:tcW w:w="330" w:type="pc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估价对象5</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张学明、何云翠</w:t>
            </w:r>
          </w:p>
        </w:tc>
        <w:tc>
          <w:tcPr>
            <w:tcW w:w="50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晋宁县宝峰镇宝峰街</w:t>
            </w:r>
          </w:p>
        </w:tc>
        <w:tc>
          <w:tcPr>
            <w:tcW w:w="55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2005005099、G2005004466</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砖混</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2004年</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住宅</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1-2/2</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363.93</w:t>
            </w:r>
          </w:p>
        </w:tc>
        <w:tc>
          <w:tcPr>
            <w:tcW w:w="65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2021年12月16日</w:t>
            </w: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2762</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1,005,175.00</w:t>
            </w:r>
          </w:p>
        </w:tc>
      </w:tr>
      <w:tr>
        <w:tblPrEx>
          <w:tblCellMar>
            <w:top w:w="0" w:type="dxa"/>
            <w:left w:w="108" w:type="dxa"/>
            <w:bottom w:w="0" w:type="dxa"/>
            <w:right w:w="108" w:type="dxa"/>
          </w:tblCellMar>
        </w:tblPrEx>
        <w:trPr>
          <w:trHeight w:val="720" w:hRule="atLeast"/>
        </w:trPr>
        <w:tc>
          <w:tcPr>
            <w:tcW w:w="330" w:type="pc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估价对象6</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何云丽</w:t>
            </w:r>
          </w:p>
        </w:tc>
        <w:tc>
          <w:tcPr>
            <w:tcW w:w="50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晋宁县昆阳镇东凤路磷都花园36幢2号</w:t>
            </w:r>
          </w:p>
        </w:tc>
        <w:tc>
          <w:tcPr>
            <w:tcW w:w="55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019547</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钢混</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2009年</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商铺</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1/7</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39.5</w:t>
            </w:r>
          </w:p>
        </w:tc>
        <w:tc>
          <w:tcPr>
            <w:tcW w:w="65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2021年12月16日</w:t>
            </w: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9204</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363,558.00</w:t>
            </w:r>
          </w:p>
        </w:tc>
      </w:tr>
      <w:tr>
        <w:tblPrEx>
          <w:tblCellMar>
            <w:top w:w="0" w:type="dxa"/>
            <w:left w:w="108" w:type="dxa"/>
            <w:bottom w:w="0" w:type="dxa"/>
            <w:right w:w="108" w:type="dxa"/>
          </w:tblCellMar>
        </w:tblPrEx>
        <w:trPr>
          <w:trHeight w:val="720" w:hRule="atLeast"/>
        </w:trPr>
        <w:tc>
          <w:tcPr>
            <w:tcW w:w="330" w:type="pc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估价对象7</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何云丽、刘德禄</w:t>
            </w:r>
          </w:p>
        </w:tc>
        <w:tc>
          <w:tcPr>
            <w:tcW w:w="50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晋宁县昆阳镇东凤路磷都花园36幢3号</w:t>
            </w:r>
          </w:p>
        </w:tc>
        <w:tc>
          <w:tcPr>
            <w:tcW w:w="55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019551</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钢混</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2009年</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商铺</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1/7</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59.02</w:t>
            </w:r>
          </w:p>
        </w:tc>
        <w:tc>
          <w:tcPr>
            <w:tcW w:w="65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2021年12月16日</w:t>
            </w: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9204</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543,220.00</w:t>
            </w:r>
          </w:p>
        </w:tc>
      </w:tr>
      <w:tr>
        <w:tblPrEx>
          <w:tblCellMar>
            <w:top w:w="0" w:type="dxa"/>
            <w:left w:w="108" w:type="dxa"/>
            <w:bottom w:w="0" w:type="dxa"/>
            <w:right w:w="108" w:type="dxa"/>
          </w:tblCellMar>
        </w:tblPrEx>
        <w:trPr>
          <w:trHeight w:val="1105" w:hRule="atLeast"/>
        </w:trPr>
        <w:tc>
          <w:tcPr>
            <w:tcW w:w="330" w:type="pc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估价对象8</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何云丽、刘德禄</w:t>
            </w:r>
          </w:p>
        </w:tc>
        <w:tc>
          <w:tcPr>
            <w:tcW w:w="50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晋宁县昆阳镇东凤路磷都花园36幢4号</w:t>
            </w:r>
          </w:p>
        </w:tc>
        <w:tc>
          <w:tcPr>
            <w:tcW w:w="55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019549</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钢混</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2009年</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商铺</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1/7</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44.57</w:t>
            </w:r>
          </w:p>
        </w:tc>
        <w:tc>
          <w:tcPr>
            <w:tcW w:w="65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2021年12月16日</w:t>
            </w: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9204</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410,222.00</w:t>
            </w:r>
          </w:p>
        </w:tc>
      </w:tr>
      <w:tr>
        <w:tblPrEx>
          <w:tblCellMar>
            <w:top w:w="0" w:type="dxa"/>
            <w:left w:w="108" w:type="dxa"/>
            <w:bottom w:w="0" w:type="dxa"/>
            <w:right w:w="108" w:type="dxa"/>
          </w:tblCellMar>
        </w:tblPrEx>
        <w:trPr>
          <w:trHeight w:val="360" w:hRule="atLeast"/>
        </w:trPr>
        <w:tc>
          <w:tcPr>
            <w:tcW w:w="330"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估价对象9</w:t>
            </w:r>
          </w:p>
        </w:tc>
        <w:tc>
          <w:tcPr>
            <w:tcW w:w="330"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何岗、张翠琼</w:t>
            </w:r>
          </w:p>
        </w:tc>
        <w:tc>
          <w:tcPr>
            <w:tcW w:w="503"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晋宁县昆阳镇东凤路中段（南侧）</w:t>
            </w:r>
          </w:p>
        </w:tc>
        <w:tc>
          <w:tcPr>
            <w:tcW w:w="553"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2007009245、共2007007878</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钢混</w:t>
            </w:r>
          </w:p>
        </w:tc>
        <w:tc>
          <w:tcPr>
            <w:tcW w:w="330"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1999年</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非住宅</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1-4/4</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683.52</w:t>
            </w:r>
          </w:p>
        </w:tc>
        <w:tc>
          <w:tcPr>
            <w:tcW w:w="650"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2021年12月16日</w:t>
            </w: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4074</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2,784,660.00</w:t>
            </w:r>
          </w:p>
        </w:tc>
      </w:tr>
      <w:tr>
        <w:tblPrEx>
          <w:tblCellMar>
            <w:top w:w="0" w:type="dxa"/>
            <w:left w:w="108" w:type="dxa"/>
            <w:bottom w:w="0" w:type="dxa"/>
            <w:right w:w="108" w:type="dxa"/>
          </w:tblCellMar>
        </w:tblPrEx>
        <w:trPr>
          <w:trHeight w:val="321"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宋体" w:eastAsia="仿宋_GB2312" w:cs="宋体"/>
                <w:color w:val="000000"/>
                <w:sz w:val="20"/>
              </w:rPr>
            </w:pPr>
          </w:p>
        </w:tc>
        <w:tc>
          <w:tcPr>
            <w:tcW w:w="330" w:type="pct"/>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宋体" w:eastAsia="仿宋_GB2312" w:cs="宋体"/>
                <w:color w:val="000000"/>
                <w:sz w:val="20"/>
              </w:rPr>
            </w:pPr>
          </w:p>
        </w:tc>
        <w:tc>
          <w:tcPr>
            <w:tcW w:w="503" w:type="pct"/>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宋体" w:eastAsia="仿宋_GB2312" w:cs="宋体"/>
                <w:color w:val="000000"/>
                <w:sz w:val="20"/>
              </w:rPr>
            </w:pPr>
          </w:p>
        </w:tc>
        <w:tc>
          <w:tcPr>
            <w:tcW w:w="553" w:type="pct"/>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center"/>
              <w:textAlignment w:val="auto"/>
              <w:rPr>
                <w:rFonts w:hint="eastAsia" w:ascii="仿宋_GB2312" w:hAnsi="宋体" w:eastAsia="仿宋_GB2312" w:cs="宋体"/>
                <w:color w:val="000000"/>
                <w:sz w:val="20"/>
              </w:rPr>
            </w:pP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砖混</w:t>
            </w:r>
          </w:p>
        </w:tc>
        <w:tc>
          <w:tcPr>
            <w:tcW w:w="330" w:type="pct"/>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宋体" w:eastAsia="仿宋_GB2312" w:cs="宋体"/>
                <w:color w:val="000000"/>
                <w:sz w:val="20"/>
              </w:rPr>
            </w:pP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非住宅</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1-2/2</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111.27</w:t>
            </w:r>
          </w:p>
        </w:tc>
        <w:tc>
          <w:tcPr>
            <w:tcW w:w="650" w:type="pct"/>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宋体" w:eastAsia="仿宋_GB2312" w:cs="宋体"/>
                <w:color w:val="000000"/>
                <w:sz w:val="20"/>
              </w:rPr>
            </w:pP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3633</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404,244.00</w:t>
            </w:r>
          </w:p>
        </w:tc>
      </w:tr>
      <w:tr>
        <w:tblPrEx>
          <w:tblCellMar>
            <w:top w:w="0" w:type="dxa"/>
            <w:left w:w="108" w:type="dxa"/>
            <w:bottom w:w="0" w:type="dxa"/>
            <w:right w:w="108" w:type="dxa"/>
          </w:tblCellMar>
        </w:tblPrEx>
        <w:trPr>
          <w:trHeight w:val="288"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宋体" w:eastAsia="仿宋_GB2312" w:cs="宋体"/>
                <w:color w:val="000000"/>
                <w:sz w:val="20"/>
              </w:rPr>
            </w:pPr>
          </w:p>
        </w:tc>
        <w:tc>
          <w:tcPr>
            <w:tcW w:w="330" w:type="pct"/>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宋体" w:eastAsia="仿宋_GB2312" w:cs="宋体"/>
                <w:color w:val="000000"/>
                <w:sz w:val="20"/>
              </w:rPr>
            </w:pPr>
          </w:p>
        </w:tc>
        <w:tc>
          <w:tcPr>
            <w:tcW w:w="503" w:type="pct"/>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宋体" w:eastAsia="仿宋_GB2312" w:cs="宋体"/>
                <w:color w:val="000000"/>
                <w:sz w:val="20"/>
              </w:rPr>
            </w:pPr>
          </w:p>
        </w:tc>
        <w:tc>
          <w:tcPr>
            <w:tcW w:w="553" w:type="pct"/>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center"/>
              <w:textAlignment w:val="auto"/>
              <w:rPr>
                <w:rFonts w:hint="eastAsia" w:ascii="仿宋_GB2312" w:hAnsi="宋体" w:eastAsia="仿宋_GB2312" w:cs="宋体"/>
                <w:color w:val="000000"/>
                <w:sz w:val="20"/>
              </w:rPr>
            </w:pP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砖木</w:t>
            </w:r>
          </w:p>
        </w:tc>
        <w:tc>
          <w:tcPr>
            <w:tcW w:w="330" w:type="pct"/>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宋体" w:eastAsia="仿宋_GB2312" w:cs="宋体"/>
                <w:color w:val="000000"/>
                <w:sz w:val="20"/>
              </w:rPr>
            </w:pP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非住宅</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1/1</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89.55</w:t>
            </w:r>
          </w:p>
        </w:tc>
        <w:tc>
          <w:tcPr>
            <w:tcW w:w="650" w:type="pct"/>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宋体" w:eastAsia="仿宋_GB2312" w:cs="宋体"/>
                <w:color w:val="000000"/>
                <w:sz w:val="20"/>
              </w:rPr>
            </w:pP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2986</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267,396.00</w:t>
            </w:r>
          </w:p>
        </w:tc>
      </w:tr>
      <w:tr>
        <w:tblPrEx>
          <w:tblCellMar>
            <w:top w:w="0" w:type="dxa"/>
            <w:left w:w="108" w:type="dxa"/>
            <w:bottom w:w="0" w:type="dxa"/>
            <w:right w:w="108" w:type="dxa"/>
          </w:tblCellMar>
        </w:tblPrEx>
        <w:trPr>
          <w:trHeight w:val="480" w:hRule="atLeast"/>
        </w:trPr>
        <w:tc>
          <w:tcPr>
            <w:tcW w:w="330" w:type="pc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估价对象10</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陈淑华、曹桂仙</w:t>
            </w:r>
          </w:p>
        </w:tc>
        <w:tc>
          <w:tcPr>
            <w:tcW w:w="50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晋宁县昆阳镇环西路89号</w:t>
            </w:r>
          </w:p>
        </w:tc>
        <w:tc>
          <w:tcPr>
            <w:tcW w:w="55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001297</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混合</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1995年</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综合</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1-3/3</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222.06</w:t>
            </w:r>
          </w:p>
        </w:tc>
        <w:tc>
          <w:tcPr>
            <w:tcW w:w="65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2021年12月16日</w:t>
            </w: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4998</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1,109,856.00</w:t>
            </w:r>
          </w:p>
        </w:tc>
      </w:tr>
      <w:tr>
        <w:tblPrEx>
          <w:tblCellMar>
            <w:top w:w="0" w:type="dxa"/>
            <w:left w:w="108" w:type="dxa"/>
            <w:bottom w:w="0" w:type="dxa"/>
            <w:right w:w="108" w:type="dxa"/>
          </w:tblCellMar>
        </w:tblPrEx>
        <w:trPr>
          <w:trHeight w:val="720" w:hRule="atLeast"/>
        </w:trPr>
        <w:tc>
          <w:tcPr>
            <w:tcW w:w="330" w:type="pc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估价对象11</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刘玲</w:t>
            </w:r>
          </w:p>
        </w:tc>
        <w:tc>
          <w:tcPr>
            <w:tcW w:w="50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晋宁县昆阳镇湖景天颐家园4幢104号</w:t>
            </w:r>
          </w:p>
        </w:tc>
        <w:tc>
          <w:tcPr>
            <w:tcW w:w="55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020519</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钢混</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2009年</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车库</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1/6</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21.56</w:t>
            </w:r>
          </w:p>
        </w:tc>
        <w:tc>
          <w:tcPr>
            <w:tcW w:w="65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2021年12月16日</w:t>
            </w: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180000</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180,000.00</w:t>
            </w:r>
          </w:p>
        </w:tc>
      </w:tr>
      <w:tr>
        <w:tblPrEx>
          <w:tblCellMar>
            <w:top w:w="0" w:type="dxa"/>
            <w:left w:w="108" w:type="dxa"/>
            <w:bottom w:w="0" w:type="dxa"/>
            <w:right w:w="108" w:type="dxa"/>
          </w:tblCellMar>
        </w:tblPrEx>
        <w:trPr>
          <w:trHeight w:val="480" w:hRule="atLeast"/>
        </w:trPr>
        <w:tc>
          <w:tcPr>
            <w:tcW w:w="330" w:type="pc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估价对象12</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刘玲</w:t>
            </w:r>
          </w:p>
        </w:tc>
        <w:tc>
          <w:tcPr>
            <w:tcW w:w="50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晋宁县昆阳镇湖景天颐家园</w:t>
            </w:r>
          </w:p>
        </w:tc>
        <w:tc>
          <w:tcPr>
            <w:tcW w:w="55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仿宋_GB2312" w:hAnsi="宋体" w:eastAsia="仿宋_GB2312" w:cs="宋体"/>
                <w:color w:val="000000"/>
                <w:sz w:val="20"/>
              </w:rPr>
            </w:pPr>
            <w:r>
              <w:rPr>
                <w:rFonts w:hint="eastAsia" w:ascii="仿宋_GB2312" w:hAnsi="宋体" w:eastAsia="仿宋_GB2312" w:cs="宋体"/>
                <w:color w:val="000000"/>
                <w:sz w:val="20"/>
              </w:rPr>
              <w:t>014003</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钢混</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2009年</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商业</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1/6</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48.23</w:t>
            </w:r>
          </w:p>
        </w:tc>
        <w:tc>
          <w:tcPr>
            <w:tcW w:w="65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2021年12月16日</w:t>
            </w:r>
          </w:p>
        </w:tc>
        <w:tc>
          <w:tcPr>
            <w:tcW w:w="386"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8504</w:t>
            </w:r>
          </w:p>
        </w:tc>
        <w:tc>
          <w:tcPr>
            <w:tcW w:w="589"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410,148.00</w:t>
            </w:r>
          </w:p>
        </w:tc>
      </w:tr>
      <w:tr>
        <w:tblPrEx>
          <w:tblCellMar>
            <w:top w:w="0" w:type="dxa"/>
            <w:left w:w="108" w:type="dxa"/>
            <w:bottom w:w="0" w:type="dxa"/>
            <w:right w:w="108" w:type="dxa"/>
          </w:tblCellMar>
        </w:tblPrEx>
        <w:trPr>
          <w:trHeight w:val="432" w:hRule="atLeast"/>
        </w:trPr>
        <w:tc>
          <w:tcPr>
            <w:tcW w:w="330" w:type="pc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b/>
                <w:bCs/>
                <w:color w:val="000000"/>
                <w:sz w:val="20"/>
              </w:rPr>
            </w:pPr>
            <w:r>
              <w:rPr>
                <w:rFonts w:hint="eastAsia" w:ascii="仿宋_GB2312" w:hAnsi="宋体" w:eastAsia="仿宋_GB2312" w:cs="宋体"/>
                <w:b/>
                <w:bCs/>
                <w:color w:val="000000"/>
                <w:sz w:val="20"/>
              </w:rPr>
              <w:t>合计</w:t>
            </w:r>
          </w:p>
        </w:tc>
        <w:tc>
          <w:tcPr>
            <w:tcW w:w="330"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w:t>
            </w:r>
          </w:p>
        </w:tc>
        <w:tc>
          <w:tcPr>
            <w:tcW w:w="50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b/>
                <w:bCs/>
                <w:color w:val="000000"/>
                <w:sz w:val="20"/>
              </w:rPr>
            </w:pPr>
            <w:r>
              <w:rPr>
                <w:rFonts w:hint="eastAsia" w:ascii="仿宋_GB2312" w:hAnsi="宋体" w:eastAsia="仿宋_GB2312" w:cs="宋体"/>
                <w:b/>
                <w:bCs/>
                <w:color w:val="000000"/>
                <w:sz w:val="20"/>
              </w:rPr>
              <w:t>-</w:t>
            </w:r>
          </w:p>
        </w:tc>
        <w:tc>
          <w:tcPr>
            <w:tcW w:w="553"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b/>
                <w:bCs/>
                <w:color w:val="000000"/>
                <w:sz w:val="20"/>
              </w:rPr>
            </w:pPr>
            <w:r>
              <w:rPr>
                <w:rFonts w:hint="eastAsia" w:ascii="仿宋_GB2312" w:hAnsi="宋体" w:eastAsia="仿宋_GB2312" w:cs="宋体"/>
                <w:b/>
                <w:bCs/>
                <w:color w:val="000000"/>
                <w:sz w:val="20"/>
              </w:rPr>
              <w:t>-</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b/>
                <w:bCs/>
                <w:color w:val="000000"/>
                <w:sz w:val="20"/>
              </w:rPr>
            </w:pPr>
            <w:r>
              <w:rPr>
                <w:rFonts w:hint="eastAsia" w:ascii="仿宋_GB2312" w:hAnsi="宋体" w:eastAsia="仿宋_GB2312" w:cs="宋体"/>
                <w:b/>
                <w:bCs/>
                <w:color w:val="000000"/>
                <w:sz w:val="20"/>
              </w:rPr>
              <w:t>-</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b/>
                <w:bCs/>
                <w:color w:val="000000"/>
                <w:sz w:val="20"/>
              </w:rPr>
            </w:pPr>
            <w:r>
              <w:rPr>
                <w:rFonts w:hint="eastAsia" w:ascii="仿宋_GB2312" w:hAnsi="宋体" w:eastAsia="仿宋_GB2312" w:cs="宋体"/>
                <w:b/>
                <w:bCs/>
                <w:color w:val="000000"/>
                <w:sz w:val="20"/>
              </w:rPr>
              <w:t>-</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b/>
                <w:bCs/>
                <w:color w:val="000000"/>
                <w:sz w:val="20"/>
              </w:rPr>
            </w:pPr>
            <w:r>
              <w:rPr>
                <w:rFonts w:hint="eastAsia" w:ascii="仿宋_GB2312" w:hAnsi="宋体" w:eastAsia="仿宋_GB2312" w:cs="宋体"/>
                <w:b/>
                <w:bCs/>
                <w:color w:val="000000"/>
                <w:sz w:val="20"/>
              </w:rPr>
              <w:t>-</w:t>
            </w:r>
          </w:p>
        </w:tc>
        <w:tc>
          <w:tcPr>
            <w:tcW w:w="330"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ascii="仿宋_GB2312" w:hAnsi="宋体" w:eastAsia="仿宋_GB2312" w:cs="宋体"/>
                <w:b/>
                <w:bCs/>
                <w:color w:val="000000"/>
                <w:sz w:val="20"/>
              </w:rPr>
            </w:pPr>
            <w:r>
              <w:rPr>
                <w:rFonts w:hint="eastAsia" w:ascii="仿宋_GB2312" w:hAnsi="宋体" w:eastAsia="仿宋_GB2312" w:cs="宋体"/>
                <w:b/>
                <w:bCs/>
                <w:color w:val="000000"/>
                <w:sz w:val="20"/>
              </w:rPr>
              <w:t xml:space="preserve"> -　</w:t>
            </w:r>
          </w:p>
        </w:tc>
        <w:tc>
          <w:tcPr>
            <w:tcW w:w="330"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b/>
                <w:bCs/>
                <w:color w:val="000000"/>
                <w:sz w:val="20"/>
              </w:rPr>
            </w:pPr>
            <w:r>
              <w:rPr>
                <w:rFonts w:hint="eastAsia" w:ascii="仿宋_GB2312" w:hAnsi="宋体" w:eastAsia="仿宋_GB2312" w:cs="宋体"/>
                <w:b/>
                <w:bCs/>
                <w:color w:val="000000"/>
                <w:sz w:val="20"/>
              </w:rPr>
              <w:t>2540.12</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ascii="仿宋_GB2312" w:hAnsi="宋体" w:eastAsia="仿宋_GB2312" w:cs="宋体"/>
                <w:b/>
                <w:bCs/>
                <w:color w:val="000000"/>
                <w:sz w:val="20"/>
              </w:rPr>
            </w:pPr>
            <w:r>
              <w:rPr>
                <w:rFonts w:hint="eastAsia" w:ascii="仿宋_GB2312" w:hAnsi="宋体" w:eastAsia="仿宋_GB2312" w:cs="宋体"/>
                <w:b/>
                <w:bCs/>
                <w:color w:val="000000"/>
                <w:sz w:val="20"/>
              </w:rPr>
              <w:t>-　</w:t>
            </w:r>
          </w:p>
        </w:tc>
        <w:tc>
          <w:tcPr>
            <w:tcW w:w="386" w:type="pct"/>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宋体" w:eastAsia="仿宋_GB2312" w:cs="宋体"/>
                <w:b/>
                <w:bCs/>
                <w:color w:val="000000"/>
                <w:sz w:val="20"/>
              </w:rPr>
            </w:pPr>
            <w:r>
              <w:rPr>
                <w:rFonts w:hint="eastAsia" w:ascii="仿宋_GB2312" w:hAnsi="宋体" w:eastAsia="仿宋_GB2312" w:cs="宋体"/>
                <w:b/>
                <w:bCs/>
                <w:color w:val="000000"/>
                <w:sz w:val="20"/>
              </w:rPr>
              <w:t>-</w:t>
            </w:r>
          </w:p>
        </w:tc>
        <w:tc>
          <w:tcPr>
            <w:tcW w:w="589" w:type="pct"/>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ascii="仿宋_GB2312" w:hAnsi="宋体" w:eastAsia="仿宋_GB2312" w:cs="宋体"/>
                <w:b/>
                <w:bCs/>
                <w:color w:val="000000"/>
                <w:sz w:val="20"/>
              </w:rPr>
            </w:pPr>
            <w:r>
              <w:rPr>
                <w:rFonts w:hint="eastAsia" w:ascii="仿宋_GB2312" w:hAnsi="宋体" w:eastAsia="仿宋_GB2312" w:cs="宋体"/>
                <w:b/>
                <w:bCs/>
                <w:color w:val="000000"/>
                <w:sz w:val="20"/>
              </w:rPr>
              <w:t>12,509,227.00</w:t>
            </w:r>
          </w:p>
        </w:tc>
      </w:tr>
    </w:tbl>
    <w:p>
      <w:pPr>
        <w:numPr>
          <w:ilvl w:val="12"/>
          <w:numId w:val="0"/>
        </w:numPr>
        <w:spacing w:line="360" w:lineRule="auto"/>
        <w:ind w:right="544" w:firstLine="968" w:firstLineChars="346"/>
        <w:jc w:val="right"/>
        <w:rPr>
          <w:rFonts w:ascii="仿宋_GB2312" w:eastAsia="仿宋_GB2312"/>
          <w:sz w:val="28"/>
          <w:szCs w:val="28"/>
        </w:rPr>
      </w:pPr>
    </w:p>
    <w:p>
      <w:pPr>
        <w:numPr>
          <w:ilvl w:val="12"/>
          <w:numId w:val="0"/>
        </w:numPr>
        <w:spacing w:line="360" w:lineRule="auto"/>
        <w:ind w:right="544" w:firstLine="968" w:firstLineChars="346"/>
        <w:jc w:val="right"/>
        <w:rPr>
          <w:rFonts w:ascii="仿宋_GB2312" w:eastAsia="仿宋_GB2312"/>
          <w:sz w:val="28"/>
          <w:szCs w:val="28"/>
        </w:rPr>
      </w:pPr>
      <w:r>
        <w:rPr>
          <w:rFonts w:hint="eastAsia" w:ascii="仿宋_GB2312" w:eastAsia="仿宋_GB2312"/>
          <w:sz w:val="28"/>
          <w:szCs w:val="28"/>
        </w:rPr>
        <w:t>云南通达土地房地产资产评估有限公司</w:t>
      </w:r>
    </w:p>
    <w:p>
      <w:pPr>
        <w:numPr>
          <w:ilvl w:val="12"/>
          <w:numId w:val="0"/>
        </w:numPr>
        <w:spacing w:line="360" w:lineRule="auto"/>
        <w:ind w:right="544" w:firstLine="9520" w:firstLineChars="3400"/>
        <w:rPr>
          <w:rFonts w:ascii="仿宋_GB2312" w:hAnsi="仿宋_GB2312" w:eastAsia="仿宋_GB2312" w:cs="仿宋_GB2312"/>
          <w:b/>
          <w:sz w:val="36"/>
          <w:szCs w:val="36"/>
          <w:highlight w:val="yellow"/>
        </w:rPr>
        <w:sectPr>
          <w:pgSz w:w="16838" w:h="11906" w:orient="landscape"/>
          <w:pgMar w:top="1418" w:right="1418" w:bottom="1281" w:left="1418" w:header="907" w:footer="851" w:gutter="284"/>
          <w:pgBorders>
            <w:top w:val="none" w:sz="0" w:space="0"/>
            <w:left w:val="none" w:sz="0" w:space="0"/>
            <w:bottom w:val="none" w:sz="0" w:space="0"/>
            <w:right w:val="none" w:sz="0" w:space="0"/>
          </w:pgBorders>
          <w:cols w:space="425" w:num="1"/>
          <w:docGrid w:linePitch="286" w:charSpace="0"/>
        </w:sectPr>
      </w:pPr>
      <w:r>
        <w:rPr>
          <w:rFonts w:hint="eastAsia" w:ascii="仿宋_GB2312" w:hAnsi="仿宋_GB2312" w:eastAsia="仿宋_GB2312" w:cs="仿宋_GB2312"/>
          <w:sz w:val="28"/>
          <w:szCs w:val="28"/>
        </w:rPr>
        <w:t>二</w:t>
      </w:r>
      <w:r>
        <w:rPr>
          <w:rFonts w:hint="eastAsia" w:ascii="宋体" w:hAnsi="宋体" w:cs="宋体"/>
          <w:sz w:val="28"/>
          <w:szCs w:val="28"/>
        </w:rPr>
        <w:t>〇</w:t>
      </w:r>
      <w:r>
        <w:rPr>
          <w:rFonts w:hint="eastAsia" w:ascii="仿宋_GB2312" w:hAnsi="仿宋_GB2312" w:eastAsia="仿宋_GB2312" w:cs="仿宋_GB2312"/>
          <w:sz w:val="28"/>
          <w:szCs w:val="28"/>
        </w:rPr>
        <w:t>二一年十二月三十日</w:t>
      </w:r>
    </w:p>
    <w:p>
      <w:pPr>
        <w:pStyle w:val="75"/>
        <w:tabs>
          <w:tab w:val="right" w:leader="dot" w:pos="8923"/>
          <w:tab w:val="clear" w:pos="1134"/>
          <w:tab w:val="clear" w:pos="8630"/>
        </w:tabs>
        <w:snapToGrid w:val="0"/>
        <w:spacing w:before="50" w:line="288" w:lineRule="auto"/>
        <w:ind w:firstLine="723" w:firstLineChars="200"/>
        <w:jc w:val="center"/>
        <w:rPr>
          <w:rFonts w:hint="eastAsia" w:ascii="仿宋_GB2312" w:hAnsi="Times New Roman" w:eastAsia="仿宋_GB2312" w:cs="Times New Roman"/>
          <w:sz w:val="24"/>
          <w:szCs w:val="24"/>
          <w:lang w:val="en-US" w:eastAsia="zh-CN" w:bidi="ar-SA"/>
        </w:rPr>
      </w:pPr>
      <w:r>
        <w:rPr>
          <w:rFonts w:hint="eastAsia" w:ascii="仿宋_GB2312" w:hAnsi="宋体" w:eastAsia="仿宋_GB2312"/>
          <w:b/>
          <w:sz w:val="36"/>
          <w:szCs w:val="36"/>
        </w:rPr>
        <w:t>目   录</w:t>
      </w:r>
      <w:r>
        <w:rPr>
          <w:rFonts w:hint="eastAsia" w:ascii="仿宋_GB2312" w:eastAsia="仿宋_GB2312"/>
          <w:sz w:val="24"/>
          <w:szCs w:val="24"/>
        </w:rPr>
        <w:fldChar w:fldCharType="begin"/>
      </w:r>
      <w:r>
        <w:rPr>
          <w:rFonts w:hint="eastAsia" w:ascii="仿宋_GB2312" w:eastAsia="仿宋_GB2312"/>
          <w:sz w:val="24"/>
          <w:szCs w:val="24"/>
        </w:rPr>
        <w:instrText xml:space="preserve"> TOC \o "1-2" \h \z \u </w:instrText>
      </w:r>
      <w:r>
        <w:rPr>
          <w:rFonts w:hint="eastAsia" w:ascii="仿宋_GB2312" w:eastAsia="仿宋_GB2312"/>
          <w:sz w:val="24"/>
          <w:szCs w:val="24"/>
        </w:rPr>
        <w:fldChar w:fldCharType="separate"/>
      </w:r>
    </w:p>
    <w:p>
      <w:pPr>
        <w:pStyle w:val="60"/>
        <w:keepNext w:val="0"/>
        <w:keepLines w:val="0"/>
        <w:pageBreakBefore w:val="0"/>
        <w:widowControl w:val="0"/>
        <w:tabs>
          <w:tab w:val="right" w:leader="dot" w:pos="8923"/>
          <w:tab w:val="clear" w:pos="861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_Toc15532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注册房地产估价师声明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_Toc15532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0"/>
        <w:keepNext w:val="0"/>
        <w:keepLines w:val="0"/>
        <w:pageBreakBefore w:val="0"/>
        <w:widowControl w:val="0"/>
        <w:tabs>
          <w:tab w:val="right" w:leader="dot" w:pos="8923"/>
          <w:tab w:val="clear" w:pos="861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_Toc14446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估价假设和限制条件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_Toc14446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0"/>
        <w:keepNext w:val="0"/>
        <w:keepLines w:val="0"/>
        <w:pageBreakBefore w:val="0"/>
        <w:widowControl w:val="0"/>
        <w:tabs>
          <w:tab w:val="right" w:leader="dot" w:pos="8923"/>
          <w:tab w:val="clear" w:pos="861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_Toc27191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估价结果报告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_Toc27191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_Toc4257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一、估价委托方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_Toc4257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_Toc10560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二、房地产估价机构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_Toc10560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_Toc15930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三、估价目的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_Toc15930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_Toc7034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四、估价对象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_Toc7034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_Toc17698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五、价值时点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_Toc17698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_Toc543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六、价值类型及价值定义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_Toc543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_Toc25280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七、估价依据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_Toc25280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_Toc27075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八、估价原则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_Toc27075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_Toc19189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九、估价方法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_Toc19189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_Toc12769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 估价结果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_Toc12769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_Toc22021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十一、 注册房地产估价师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_Toc22021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_Toc13719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十二、实地查勘期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_Toc13719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_Toc28374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十三、估价作业日期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_Toc28374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_Toc18280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十四、估价报告使用期限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_Toc18280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0"/>
        <w:keepNext w:val="0"/>
        <w:keepLines w:val="0"/>
        <w:pageBreakBefore w:val="0"/>
        <w:widowControl w:val="0"/>
        <w:tabs>
          <w:tab w:val="right" w:leader="dot" w:pos="8923"/>
          <w:tab w:val="clear" w:pos="861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_Toc19505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附 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_Toc19505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1、委估房屋位置示意图；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_Toc5343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2、委估房屋现场勘查图；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_Toc5343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_Toc8308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3、委托书复印件；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_Toc8308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_Toc19930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4、估价对象权属证明复印件；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_Toc19930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_Toc2535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5、房地产估价机构企业法人营业执照复印件；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_Toc2535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_Toc10993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6、房地产估价机构资质证书复印件；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_Toc10993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75"/>
        <w:keepNext w:val="0"/>
        <w:keepLines w:val="0"/>
        <w:pageBreakBefore w:val="0"/>
        <w:widowControl w:val="0"/>
        <w:tabs>
          <w:tab w:val="right" w:leader="dot" w:pos="8923"/>
          <w:tab w:val="clear" w:pos="1134"/>
          <w:tab w:val="clear" w:pos="8630"/>
        </w:tabs>
        <w:kinsoku/>
        <w:wordWrap/>
        <w:overflowPunct/>
        <w:topLinePunct w:val="0"/>
        <w:autoSpaceDE/>
        <w:autoSpaceDN/>
        <w:bidi w:val="0"/>
        <w:adjustRightInd w:val="0"/>
        <w:snapToGrid/>
        <w:spacing w:line="300" w:lineRule="auto"/>
        <w:textAlignment w:val="baseline"/>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_Toc8818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7、注册房地产估价师注册证书复印件。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_Toc8818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tabs>
          <w:tab w:val="right" w:leader="dot" w:pos="8923"/>
        </w:tabs>
        <w:snapToGrid w:val="0"/>
        <w:spacing w:before="50" w:line="300" w:lineRule="auto"/>
        <w:ind w:firstLine="480" w:firstLineChars="200"/>
        <w:jc w:val="center"/>
        <w:rPr>
          <w:rFonts w:ascii="仿宋_GB2312" w:eastAsia="仿宋_GB2312"/>
          <w:sz w:val="24"/>
          <w:szCs w:val="24"/>
        </w:rPr>
        <w:sectPr>
          <w:pgSz w:w="11906" w:h="16838"/>
          <w:pgMar w:top="1418" w:right="1281" w:bottom="1418" w:left="1418" w:header="907" w:footer="851" w:gutter="284"/>
          <w:pgBorders>
            <w:top w:val="none" w:sz="0" w:space="0"/>
            <w:left w:val="none" w:sz="0" w:space="0"/>
            <w:bottom w:val="none" w:sz="0" w:space="0"/>
            <w:right w:val="none" w:sz="0" w:space="0"/>
          </w:pgBorders>
          <w:cols w:space="425" w:num="1"/>
          <w:docGrid w:linePitch="286" w:charSpace="0"/>
        </w:sectPr>
      </w:pPr>
      <w:r>
        <w:rPr>
          <w:rFonts w:hint="eastAsia" w:ascii="仿宋_GB2312" w:eastAsia="仿宋_GB2312"/>
          <w:sz w:val="24"/>
          <w:szCs w:val="24"/>
        </w:rPr>
        <w:fldChar w:fldCharType="end"/>
      </w:r>
    </w:p>
    <w:p>
      <w:pPr>
        <w:pStyle w:val="4"/>
        <w:numPr>
          <w:ilvl w:val="0"/>
          <w:numId w:val="0"/>
        </w:numPr>
        <w:spacing w:beforeLines="50" w:line="360" w:lineRule="auto"/>
        <w:ind w:right="0"/>
        <w:jc w:val="center"/>
        <w:rPr>
          <w:rFonts w:ascii="仿宋_GB2312" w:hAnsi="宋体" w:eastAsia="仿宋_GB2312"/>
          <w:b/>
          <w:color w:val="auto"/>
          <w:sz w:val="36"/>
          <w:szCs w:val="36"/>
        </w:rPr>
      </w:pPr>
      <w:bookmarkStart w:id="10" w:name="_Toc15532"/>
      <w:bookmarkStart w:id="11" w:name="_Toc12206"/>
      <w:r>
        <w:rPr>
          <w:rFonts w:hint="eastAsia" w:ascii="仿宋_GB2312" w:hAnsi="宋体" w:eastAsia="仿宋_GB2312"/>
          <w:b/>
          <w:color w:val="auto"/>
          <w:sz w:val="36"/>
          <w:szCs w:val="36"/>
        </w:rPr>
        <w:t>注册房地产估价师声明</w:t>
      </w:r>
      <w:bookmarkEnd w:id="6"/>
      <w:bookmarkEnd w:id="9"/>
      <w:bookmarkEnd w:id="10"/>
      <w:bookmarkEnd w:id="11"/>
    </w:p>
    <w:p>
      <w:pPr>
        <w:tabs>
          <w:tab w:val="left" w:pos="900"/>
          <w:tab w:val="left" w:pos="7965"/>
        </w:tabs>
        <w:adjustRightInd/>
        <w:spacing w:before="50" w:line="360" w:lineRule="auto"/>
        <w:textAlignment w:val="auto"/>
        <w:rPr>
          <w:rFonts w:ascii="仿宋_GB2312" w:eastAsia="仿宋_GB2312"/>
          <w:sz w:val="28"/>
          <w:szCs w:val="28"/>
        </w:rPr>
      </w:pPr>
      <w:r>
        <w:rPr>
          <w:rFonts w:hint="eastAsia" w:ascii="仿宋_GB2312" w:eastAsia="仿宋_GB2312"/>
          <w:sz w:val="28"/>
          <w:szCs w:val="28"/>
        </w:rPr>
        <w:t>我们郑重声明：</w:t>
      </w:r>
    </w:p>
    <w:p>
      <w:pPr>
        <w:numPr>
          <w:ilvl w:val="0"/>
          <w:numId w:val="5"/>
        </w:numPr>
        <w:tabs>
          <w:tab w:val="left" w:pos="900"/>
        </w:tabs>
        <w:adjustRightInd/>
        <w:spacing w:before="50" w:line="360" w:lineRule="auto"/>
        <w:ind w:left="0" w:firstLine="560" w:firstLineChars="200"/>
        <w:textAlignment w:val="auto"/>
        <w:rPr>
          <w:rFonts w:ascii="仿宋_GB2312" w:eastAsia="仿宋_GB2312"/>
          <w:sz w:val="28"/>
          <w:szCs w:val="28"/>
        </w:rPr>
      </w:pPr>
      <w:r>
        <w:rPr>
          <w:rFonts w:hint="eastAsia" w:ascii="仿宋_GB2312" w:eastAsia="仿宋_GB2312"/>
          <w:sz w:val="28"/>
          <w:szCs w:val="28"/>
        </w:rPr>
        <w:t>注册房地产估价师在本估价报告中对事实的说明是真实和准确的，没有虚假记载、误导性陈述和重大遗漏。</w:t>
      </w:r>
    </w:p>
    <w:p>
      <w:pPr>
        <w:numPr>
          <w:ilvl w:val="0"/>
          <w:numId w:val="5"/>
        </w:numPr>
        <w:tabs>
          <w:tab w:val="left" w:pos="900"/>
        </w:tabs>
        <w:adjustRightInd/>
        <w:spacing w:before="50" w:line="360" w:lineRule="auto"/>
        <w:ind w:left="0" w:firstLine="560" w:firstLineChars="200"/>
        <w:textAlignment w:val="auto"/>
        <w:rPr>
          <w:rFonts w:ascii="仿宋_GB2312" w:eastAsia="仿宋_GB2312"/>
          <w:sz w:val="28"/>
          <w:szCs w:val="28"/>
        </w:rPr>
      </w:pPr>
      <w:r>
        <w:rPr>
          <w:rFonts w:hint="eastAsia" w:ascii="仿宋_GB2312" w:eastAsia="仿宋_GB2312"/>
          <w:sz w:val="28"/>
          <w:szCs w:val="28"/>
        </w:rPr>
        <w:t>本估价报告中的分析、意见和结论是我们自己独立、客观、公正的专业分析、意见和结论，但受到本估价报告中已说明的假设和限制条件的限制。</w:t>
      </w:r>
    </w:p>
    <w:p>
      <w:pPr>
        <w:numPr>
          <w:ilvl w:val="0"/>
          <w:numId w:val="5"/>
        </w:numPr>
        <w:tabs>
          <w:tab w:val="left" w:pos="900"/>
        </w:tabs>
        <w:adjustRightInd/>
        <w:spacing w:before="50" w:line="360" w:lineRule="auto"/>
        <w:ind w:left="0" w:firstLine="560" w:firstLineChars="200"/>
        <w:textAlignment w:val="auto"/>
        <w:rPr>
          <w:rFonts w:ascii="仿宋_GB2312" w:eastAsia="仿宋_GB2312"/>
          <w:sz w:val="28"/>
          <w:szCs w:val="28"/>
        </w:rPr>
      </w:pPr>
      <w:r>
        <w:rPr>
          <w:rFonts w:hint="eastAsia" w:ascii="仿宋_GB2312" w:eastAsia="仿宋_GB2312"/>
          <w:sz w:val="28"/>
          <w:szCs w:val="28"/>
        </w:rPr>
        <w:t>注册房地产估价师与估价报告中的估价对象没有现实或潜在的利益，与估价委托方及估价利害关系人没有利害关系，也对估价对象、估价委托方及估价利害关系人没有偏见。</w:t>
      </w:r>
    </w:p>
    <w:p>
      <w:pPr>
        <w:numPr>
          <w:ilvl w:val="0"/>
          <w:numId w:val="5"/>
        </w:numPr>
        <w:tabs>
          <w:tab w:val="left" w:pos="900"/>
        </w:tabs>
        <w:adjustRightInd/>
        <w:spacing w:before="50" w:line="360" w:lineRule="auto"/>
        <w:ind w:left="0" w:firstLine="560" w:firstLineChars="200"/>
        <w:textAlignment w:val="auto"/>
        <w:rPr>
          <w:rFonts w:ascii="仿宋_GB2312" w:eastAsia="仿宋_GB2312"/>
          <w:sz w:val="28"/>
          <w:szCs w:val="28"/>
        </w:rPr>
      </w:pPr>
      <w:r>
        <w:rPr>
          <w:rFonts w:hint="eastAsia" w:ascii="仿宋_GB2312" w:eastAsia="仿宋_GB2312"/>
          <w:sz w:val="28"/>
          <w:szCs w:val="28"/>
        </w:rPr>
        <w:t>我们依照中华人民共和国国家标准《房地产估价规范》（GB/T 50291—2015）、《房地产估价基本术语标准》（GB/T50899—2013）、《中华人民共和国民法典》、《中华人民共和国城市房地产管理法》进行分析，形成意见和结论，撰写本估价报告。</w:t>
      </w:r>
    </w:p>
    <w:p>
      <w:pPr>
        <w:numPr>
          <w:ilvl w:val="0"/>
          <w:numId w:val="5"/>
        </w:numPr>
        <w:tabs>
          <w:tab w:val="left" w:pos="900"/>
        </w:tabs>
        <w:adjustRightInd/>
        <w:spacing w:before="50" w:line="360" w:lineRule="auto"/>
        <w:ind w:left="0" w:firstLine="560" w:firstLineChars="200"/>
        <w:textAlignment w:val="auto"/>
        <w:rPr>
          <w:rFonts w:ascii="仿宋_GB2312" w:eastAsia="仿宋_GB2312"/>
          <w:sz w:val="28"/>
          <w:szCs w:val="28"/>
        </w:rPr>
      </w:pPr>
      <w:r>
        <w:rPr>
          <w:rFonts w:hint="eastAsia" w:ascii="仿宋_GB2312" w:eastAsia="仿宋_GB2312"/>
          <w:sz w:val="28"/>
          <w:szCs w:val="28"/>
        </w:rPr>
        <w:t>注册房地产估价师已于2021年12月16日对本估价报告中的估价对象进行了实地查勘，并对勘察的客观性、真实性、公正性承担责任，但我们对估价对象的现场勘察仅限于其外观和使用状况，对被遮盖、未暴露及难以接触到的部分，依据估价委托方提供的资料以及当前建筑行业一般标准或相关规范进行评估，我们不承担对估价对象被遮盖、未暴露及难以接触到的部分进行检测的责任。</w:t>
      </w:r>
    </w:p>
    <w:p>
      <w:pPr>
        <w:numPr>
          <w:ilvl w:val="0"/>
          <w:numId w:val="5"/>
        </w:numPr>
        <w:tabs>
          <w:tab w:val="left" w:pos="900"/>
          <w:tab w:val="left" w:pos="7965"/>
        </w:tabs>
        <w:adjustRightInd/>
        <w:spacing w:before="50" w:line="360" w:lineRule="auto"/>
        <w:ind w:left="0" w:firstLine="560" w:firstLineChars="200"/>
        <w:textAlignment w:val="auto"/>
        <w:rPr>
          <w:rFonts w:ascii="仿宋_GB2312" w:eastAsia="仿宋_GB2312"/>
          <w:sz w:val="28"/>
          <w:szCs w:val="28"/>
        </w:rPr>
      </w:pPr>
      <w:r>
        <w:rPr>
          <w:rFonts w:hint="eastAsia" w:ascii="仿宋_GB2312" w:eastAsia="仿宋_GB2312"/>
          <w:sz w:val="28"/>
          <w:szCs w:val="28"/>
        </w:rPr>
        <w:t>注册房地产估价师对估价对象的法律权属状况给予必要的关注，对估价对象的法律权属资料进行了查验，并对已经发现的问题进行了如实披露。注册房地产估价师执行估价业务的目的是对估价对象价值进行估算并发表专业意见，对估价对象法律权属确认或发表意见超出注册房地产估价师执业范围。注册房地产估价师不具有对估价对象法律权属确认或发表意见的能力，不对估价对象的法律权属提供保证。</w:t>
      </w:r>
    </w:p>
    <w:p>
      <w:pPr>
        <w:numPr>
          <w:ilvl w:val="0"/>
          <w:numId w:val="5"/>
        </w:numPr>
        <w:tabs>
          <w:tab w:val="left" w:pos="900"/>
          <w:tab w:val="left" w:pos="7965"/>
        </w:tabs>
        <w:adjustRightInd/>
        <w:spacing w:before="50" w:line="360" w:lineRule="auto"/>
        <w:ind w:left="0" w:firstLine="560" w:firstLineChars="200"/>
        <w:textAlignment w:val="auto"/>
        <w:rPr>
          <w:rFonts w:ascii="仿宋_GB2312" w:eastAsia="仿宋_GB2312"/>
          <w:sz w:val="28"/>
          <w:szCs w:val="28"/>
        </w:rPr>
      </w:pPr>
      <w:r>
        <w:rPr>
          <w:rFonts w:hint="eastAsia" w:ascii="仿宋_GB2312" w:eastAsia="仿宋_GB2312"/>
          <w:sz w:val="28"/>
          <w:szCs w:val="28"/>
        </w:rPr>
        <w:t>本报告系我公司对估价对象进行实地查勘的房地产估价专业人员独立撰写，没有人对本估价报告提供重要专业帮助。</w:t>
      </w:r>
    </w:p>
    <w:p>
      <w:pPr>
        <w:numPr>
          <w:ilvl w:val="0"/>
          <w:numId w:val="5"/>
        </w:numPr>
        <w:tabs>
          <w:tab w:val="left" w:pos="900"/>
          <w:tab w:val="left" w:pos="7965"/>
        </w:tabs>
        <w:adjustRightInd/>
        <w:spacing w:before="50" w:line="360" w:lineRule="auto"/>
        <w:ind w:left="0" w:firstLine="560" w:firstLineChars="200"/>
        <w:textAlignment w:val="auto"/>
        <w:rPr>
          <w:rFonts w:ascii="仿宋_GB2312" w:eastAsia="仿宋_GB2312"/>
          <w:sz w:val="28"/>
          <w:szCs w:val="28"/>
        </w:rPr>
      </w:pPr>
      <w:r>
        <w:rPr>
          <w:rFonts w:hint="eastAsia" w:ascii="仿宋_GB2312" w:eastAsia="仿宋_GB2312"/>
          <w:sz w:val="28"/>
          <w:szCs w:val="28"/>
        </w:rPr>
        <w:t>本报告由云南通达土地房地产资产评估有限公司负责解释。</w:t>
      </w:r>
    </w:p>
    <w:p>
      <w:pPr>
        <w:pStyle w:val="116"/>
        <w:spacing w:before="50" w:line="360" w:lineRule="auto"/>
        <w:ind w:firstLine="0" w:firstLineChars="0"/>
        <w:jc w:val="left"/>
        <w:rPr>
          <w:rFonts w:ascii="仿宋_GB2312" w:eastAsia="仿宋_GB2312"/>
          <w:sz w:val="28"/>
          <w:szCs w:val="28"/>
        </w:rPr>
      </w:pPr>
      <w:bookmarkStart w:id="12" w:name="_Toc94523054"/>
      <w:bookmarkStart w:id="13" w:name="_Toc265159669"/>
      <w:bookmarkStart w:id="14" w:name="_Toc94523116"/>
      <w:bookmarkStart w:id="15" w:name="_Toc176599973"/>
    </w:p>
    <w:p>
      <w:pPr>
        <w:pStyle w:val="116"/>
        <w:spacing w:before="50" w:line="360" w:lineRule="auto"/>
        <w:ind w:firstLine="0" w:firstLineChars="0"/>
        <w:jc w:val="left"/>
        <w:rPr>
          <w:rFonts w:ascii="仿宋_GB2312" w:eastAsia="仿宋_GB2312"/>
          <w:sz w:val="28"/>
          <w:szCs w:val="28"/>
        </w:rPr>
      </w:pPr>
      <w:r>
        <w:rPr>
          <w:rFonts w:hint="eastAsia" w:ascii="仿宋_GB2312" w:eastAsia="仿宋_GB2312"/>
          <w:sz w:val="28"/>
          <w:szCs w:val="28"/>
        </w:rPr>
        <w:t>参加本次估价的注册房地产估价师：</w:t>
      </w:r>
    </w:p>
    <w:p>
      <w:pPr>
        <w:snapToGrid w:val="0"/>
        <w:spacing w:line="360" w:lineRule="auto"/>
        <w:jc w:val="left"/>
        <w:rPr>
          <w:rFonts w:ascii="仿宋_GB2312" w:eastAsia="仿宋_GB2312"/>
          <w:sz w:val="28"/>
          <w:szCs w:val="28"/>
        </w:rPr>
      </w:pPr>
    </w:p>
    <w:tbl>
      <w:tblPr>
        <w:tblStyle w:val="89"/>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2202"/>
        <w:gridCol w:w="3081"/>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775" w:type="dxa"/>
          </w:tcPr>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姓 名</w:t>
            </w:r>
          </w:p>
        </w:tc>
        <w:tc>
          <w:tcPr>
            <w:tcW w:w="2202" w:type="dxa"/>
          </w:tcPr>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注册号</w:t>
            </w:r>
          </w:p>
        </w:tc>
        <w:tc>
          <w:tcPr>
            <w:tcW w:w="3081" w:type="dxa"/>
          </w:tcPr>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签 名及签 章</w:t>
            </w:r>
          </w:p>
        </w:tc>
        <w:tc>
          <w:tcPr>
            <w:tcW w:w="2655" w:type="dxa"/>
          </w:tcPr>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日</w:t>
            </w:r>
            <w:r>
              <w:rPr>
                <w:rFonts w:hint="eastAsia" w:ascii="仿宋_GB2312" w:hAnsi="仿宋" w:eastAsia="仿宋_GB2312"/>
                <w:kern w:val="2"/>
                <w:sz w:val="24"/>
                <w:szCs w:val="24"/>
                <w:lang w:val="en-US" w:eastAsia="zh-CN"/>
              </w:rPr>
              <w:t xml:space="preserve"> </w:t>
            </w:r>
            <w:r>
              <w:rPr>
                <w:rFonts w:hint="eastAsia" w:ascii="仿宋_GB2312" w:hAnsi="仿宋" w:eastAsia="仿宋_GB2312"/>
                <w:kern w:val="2"/>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jc w:val="center"/>
        </w:trPr>
        <w:tc>
          <w:tcPr>
            <w:tcW w:w="1775" w:type="dxa"/>
            <w:vAlign w:val="center"/>
          </w:tcPr>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高</w:t>
            </w:r>
            <w:r>
              <w:rPr>
                <w:rFonts w:hint="eastAsia" w:ascii="仿宋_GB2312" w:hAnsi="仿宋" w:eastAsia="仿宋_GB2312"/>
                <w:kern w:val="2"/>
                <w:sz w:val="24"/>
                <w:szCs w:val="24"/>
                <w:lang w:val="en-US" w:eastAsia="zh-CN"/>
              </w:rPr>
              <w:t xml:space="preserve"> </w:t>
            </w:r>
            <w:r>
              <w:rPr>
                <w:rFonts w:hint="eastAsia" w:ascii="仿宋_GB2312" w:hAnsi="仿宋" w:eastAsia="仿宋_GB2312"/>
                <w:kern w:val="2"/>
                <w:sz w:val="24"/>
                <w:szCs w:val="24"/>
              </w:rPr>
              <w:t>阳</w:t>
            </w:r>
          </w:p>
        </w:tc>
        <w:tc>
          <w:tcPr>
            <w:tcW w:w="2202" w:type="dxa"/>
            <w:vAlign w:val="center"/>
          </w:tcPr>
          <w:p>
            <w:pPr>
              <w:pStyle w:val="116"/>
              <w:spacing w:before="50" w:line="360" w:lineRule="auto"/>
              <w:ind w:firstLine="0" w:firstLineChars="0"/>
              <w:jc w:val="center"/>
              <w:rPr>
                <w:rFonts w:ascii="仿宋_GB2312" w:hAnsi="仿宋" w:eastAsia="仿宋_GB2312"/>
                <w:kern w:val="2"/>
                <w:sz w:val="24"/>
                <w:szCs w:val="24"/>
              </w:rPr>
            </w:pPr>
          </w:p>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5320190010</w:t>
            </w:r>
          </w:p>
          <w:p>
            <w:pPr>
              <w:pStyle w:val="116"/>
              <w:spacing w:before="50" w:line="360" w:lineRule="auto"/>
              <w:ind w:firstLine="0" w:firstLineChars="0"/>
              <w:jc w:val="center"/>
              <w:rPr>
                <w:rFonts w:ascii="仿宋_GB2312" w:hAnsi="仿宋" w:eastAsia="仿宋_GB2312"/>
                <w:kern w:val="2"/>
                <w:sz w:val="24"/>
                <w:szCs w:val="24"/>
              </w:rPr>
            </w:pPr>
          </w:p>
        </w:tc>
        <w:tc>
          <w:tcPr>
            <w:tcW w:w="3081" w:type="dxa"/>
          </w:tcPr>
          <w:p>
            <w:pPr>
              <w:pStyle w:val="116"/>
              <w:spacing w:before="50" w:line="360" w:lineRule="auto"/>
              <w:ind w:firstLine="480"/>
              <w:jc w:val="center"/>
              <w:rPr>
                <w:rFonts w:ascii="仿宋_GB2312" w:hAnsi="仿宋" w:eastAsia="仿宋_GB2312"/>
                <w:kern w:val="2"/>
                <w:sz w:val="24"/>
                <w:szCs w:val="24"/>
              </w:rPr>
            </w:pPr>
          </w:p>
          <w:p>
            <w:pPr>
              <w:pStyle w:val="116"/>
              <w:spacing w:before="50" w:line="360" w:lineRule="auto"/>
              <w:ind w:firstLine="480"/>
              <w:jc w:val="center"/>
              <w:rPr>
                <w:rFonts w:ascii="仿宋_GB2312" w:hAnsi="仿宋" w:eastAsia="仿宋_GB2312"/>
                <w:kern w:val="2"/>
                <w:sz w:val="24"/>
                <w:szCs w:val="24"/>
              </w:rPr>
            </w:pPr>
          </w:p>
          <w:p>
            <w:pPr>
              <w:pStyle w:val="116"/>
              <w:spacing w:before="50" w:line="360" w:lineRule="auto"/>
              <w:ind w:firstLine="0" w:firstLineChars="0"/>
              <w:rPr>
                <w:rFonts w:ascii="仿宋_GB2312" w:hAnsi="仿宋" w:eastAsia="仿宋_GB2312"/>
                <w:kern w:val="2"/>
                <w:sz w:val="24"/>
                <w:szCs w:val="24"/>
              </w:rPr>
            </w:pPr>
          </w:p>
        </w:tc>
        <w:tc>
          <w:tcPr>
            <w:tcW w:w="2655" w:type="dxa"/>
          </w:tcPr>
          <w:p>
            <w:pPr>
              <w:pStyle w:val="116"/>
              <w:spacing w:before="50" w:line="360" w:lineRule="auto"/>
              <w:ind w:firstLine="480"/>
              <w:jc w:val="center"/>
              <w:rPr>
                <w:rFonts w:ascii="仿宋_GB2312" w:hAnsi="仿宋" w:eastAsia="仿宋_GB2312"/>
                <w:kern w:val="2"/>
                <w:sz w:val="24"/>
                <w:szCs w:val="24"/>
              </w:rPr>
            </w:pPr>
          </w:p>
          <w:p>
            <w:pPr>
              <w:pStyle w:val="116"/>
              <w:spacing w:before="50" w:line="360" w:lineRule="auto"/>
              <w:ind w:firstLine="0" w:firstLineChars="0"/>
              <w:rPr>
                <w:rFonts w:ascii="仿宋_GB2312" w:hAnsi="仿宋" w:eastAsia="仿宋_GB2312"/>
                <w:kern w:val="2"/>
                <w:sz w:val="24"/>
                <w:szCs w:val="24"/>
              </w:rPr>
            </w:pPr>
          </w:p>
          <w:p>
            <w:pPr>
              <w:pStyle w:val="116"/>
              <w:spacing w:before="50" w:line="360" w:lineRule="auto"/>
              <w:ind w:firstLine="720" w:firstLineChars="300"/>
              <w:rPr>
                <w:rFonts w:ascii="仿宋_GB2312" w:hAnsi="仿宋" w:eastAsia="仿宋_GB2312"/>
                <w:kern w:val="2"/>
                <w:sz w:val="24"/>
                <w:szCs w:val="24"/>
              </w:rPr>
            </w:pPr>
            <w:r>
              <w:rPr>
                <w:rFonts w:hint="eastAsia" w:ascii="仿宋_GB2312" w:hAnsi="仿宋" w:eastAsia="仿宋_GB2312"/>
                <w:kern w:val="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jc w:val="center"/>
        </w:trPr>
        <w:tc>
          <w:tcPr>
            <w:tcW w:w="1775" w:type="dxa"/>
          </w:tcPr>
          <w:p>
            <w:pPr>
              <w:pStyle w:val="116"/>
              <w:spacing w:before="50" w:line="360" w:lineRule="auto"/>
              <w:ind w:firstLine="0" w:firstLineChars="0"/>
              <w:jc w:val="center"/>
              <w:rPr>
                <w:rFonts w:ascii="仿宋_GB2312" w:hAnsi="仿宋" w:eastAsia="仿宋_GB2312"/>
                <w:kern w:val="2"/>
                <w:sz w:val="24"/>
                <w:szCs w:val="24"/>
              </w:rPr>
            </w:pPr>
          </w:p>
          <w:p>
            <w:pPr>
              <w:pStyle w:val="116"/>
              <w:spacing w:before="50" w:line="360" w:lineRule="auto"/>
              <w:ind w:firstLine="0" w:firstLineChars="0"/>
              <w:jc w:val="center"/>
              <w:rPr>
                <w:rFonts w:ascii="仿宋_GB2312" w:hAnsi="仿宋" w:eastAsia="仿宋_GB2312"/>
                <w:kern w:val="2"/>
                <w:sz w:val="24"/>
                <w:szCs w:val="24"/>
              </w:rPr>
            </w:pPr>
          </w:p>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 xml:space="preserve">董保佐 </w:t>
            </w:r>
          </w:p>
        </w:tc>
        <w:tc>
          <w:tcPr>
            <w:tcW w:w="2202" w:type="dxa"/>
          </w:tcPr>
          <w:p>
            <w:pPr>
              <w:pStyle w:val="116"/>
              <w:spacing w:before="50" w:line="360" w:lineRule="auto"/>
              <w:ind w:firstLine="0" w:firstLineChars="0"/>
              <w:jc w:val="center"/>
              <w:rPr>
                <w:rFonts w:ascii="仿宋_GB2312" w:hAnsi="仿宋" w:eastAsia="仿宋_GB2312"/>
                <w:kern w:val="2"/>
                <w:sz w:val="24"/>
                <w:szCs w:val="24"/>
              </w:rPr>
            </w:pPr>
          </w:p>
          <w:p>
            <w:pPr>
              <w:pStyle w:val="116"/>
              <w:spacing w:before="50" w:line="360" w:lineRule="auto"/>
              <w:ind w:firstLine="0" w:firstLineChars="0"/>
              <w:jc w:val="center"/>
              <w:rPr>
                <w:rFonts w:ascii="仿宋_GB2312" w:hAnsi="仿宋" w:eastAsia="仿宋_GB2312"/>
                <w:kern w:val="2"/>
                <w:sz w:val="24"/>
                <w:szCs w:val="24"/>
              </w:rPr>
            </w:pPr>
          </w:p>
          <w:p>
            <w:pPr>
              <w:pStyle w:val="116"/>
              <w:spacing w:before="50" w:line="360" w:lineRule="auto"/>
              <w:ind w:firstLine="240" w:firstLineChars="100"/>
              <w:rPr>
                <w:rFonts w:ascii="仿宋_GB2312" w:hAnsi="仿宋" w:eastAsia="仿宋_GB2312"/>
                <w:kern w:val="2"/>
                <w:sz w:val="24"/>
                <w:szCs w:val="24"/>
              </w:rPr>
            </w:pPr>
            <w:r>
              <w:rPr>
                <w:rFonts w:hint="eastAsia" w:ascii="仿宋_GB2312" w:hAnsi="仿宋" w:eastAsia="仿宋_GB2312"/>
                <w:kern w:val="2"/>
                <w:sz w:val="24"/>
                <w:szCs w:val="24"/>
              </w:rPr>
              <w:t xml:space="preserve"> 5320210029</w:t>
            </w:r>
          </w:p>
        </w:tc>
        <w:tc>
          <w:tcPr>
            <w:tcW w:w="3081" w:type="dxa"/>
            <w:vAlign w:val="center"/>
          </w:tcPr>
          <w:p>
            <w:pPr>
              <w:pStyle w:val="116"/>
              <w:spacing w:before="50" w:line="360" w:lineRule="auto"/>
              <w:ind w:firstLine="0" w:firstLineChars="0"/>
              <w:jc w:val="center"/>
              <w:rPr>
                <w:rFonts w:ascii="仿宋_GB2312" w:hAnsi="仿宋" w:eastAsia="仿宋_GB2312"/>
                <w:kern w:val="2"/>
                <w:sz w:val="24"/>
                <w:szCs w:val="24"/>
              </w:rPr>
            </w:pPr>
          </w:p>
        </w:tc>
        <w:tc>
          <w:tcPr>
            <w:tcW w:w="2655" w:type="dxa"/>
            <w:vAlign w:val="center"/>
          </w:tcPr>
          <w:p>
            <w:pPr>
              <w:pStyle w:val="116"/>
              <w:spacing w:before="50" w:line="360" w:lineRule="auto"/>
              <w:ind w:firstLine="0" w:firstLineChars="0"/>
              <w:jc w:val="center"/>
              <w:rPr>
                <w:rFonts w:ascii="仿宋_GB2312" w:hAnsi="仿宋" w:eastAsia="仿宋_GB2312"/>
                <w:kern w:val="2"/>
                <w:sz w:val="24"/>
                <w:szCs w:val="24"/>
              </w:rPr>
            </w:pPr>
          </w:p>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 xml:space="preserve">    年   月   日</w:t>
            </w:r>
          </w:p>
        </w:tc>
      </w:tr>
    </w:tbl>
    <w:p>
      <w:pPr>
        <w:snapToGrid w:val="0"/>
        <w:spacing w:line="360" w:lineRule="auto"/>
        <w:jc w:val="left"/>
        <w:rPr>
          <w:rFonts w:ascii="仿宋_GB2312" w:eastAsia="仿宋_GB2312"/>
          <w:color w:val="FF0000"/>
          <w:sz w:val="28"/>
          <w:szCs w:val="28"/>
        </w:rPr>
      </w:pPr>
    </w:p>
    <w:p>
      <w:pPr>
        <w:spacing w:line="360" w:lineRule="auto"/>
        <w:ind w:firstLine="840" w:firstLineChars="300"/>
        <w:jc w:val="left"/>
        <w:rPr>
          <w:rFonts w:ascii="仿宋_GB2312" w:eastAsia="仿宋_GB2312"/>
          <w:sz w:val="28"/>
          <w:szCs w:val="28"/>
        </w:rPr>
      </w:pPr>
    </w:p>
    <w:p>
      <w:pPr>
        <w:spacing w:line="360" w:lineRule="auto"/>
        <w:rPr>
          <w:rFonts w:ascii="仿宋_GB2312" w:eastAsia="仿宋_GB2312"/>
          <w:sz w:val="28"/>
          <w:szCs w:val="28"/>
        </w:rPr>
      </w:pPr>
    </w:p>
    <w:p>
      <w:pPr>
        <w:spacing w:line="360" w:lineRule="auto"/>
        <w:jc w:val="center"/>
        <w:outlineLvl w:val="0"/>
        <w:rPr>
          <w:rFonts w:ascii="仿宋_GB2312" w:hAnsi="宋体" w:eastAsia="仿宋_GB2312"/>
          <w:b/>
          <w:sz w:val="36"/>
          <w:szCs w:val="36"/>
        </w:rPr>
      </w:pPr>
      <w:r>
        <w:rPr>
          <w:rFonts w:hint="eastAsia" w:ascii="仿宋_GB2312" w:eastAsia="仿宋_GB2312"/>
          <w:b/>
          <w:sz w:val="36"/>
          <w:szCs w:val="36"/>
        </w:rPr>
        <w:br w:type="page"/>
      </w:r>
      <w:bookmarkEnd w:id="12"/>
      <w:bookmarkEnd w:id="13"/>
      <w:bookmarkEnd w:id="14"/>
      <w:bookmarkEnd w:id="15"/>
      <w:bookmarkStart w:id="16" w:name="_Toc269807867"/>
      <w:bookmarkStart w:id="17" w:name="_Toc527920373"/>
      <w:bookmarkStart w:id="18" w:name="_Toc14446"/>
      <w:bookmarkStart w:id="19" w:name="_Toc24761"/>
      <w:bookmarkStart w:id="20" w:name="_Toc94523055"/>
      <w:bookmarkStart w:id="21" w:name="_Toc265159670"/>
      <w:bookmarkStart w:id="22" w:name="_Toc176599974"/>
      <w:bookmarkStart w:id="23" w:name="_Toc94523117"/>
      <w:r>
        <w:rPr>
          <w:rFonts w:hint="eastAsia" w:ascii="仿宋_GB2312" w:hAnsi="宋体" w:eastAsia="仿宋_GB2312"/>
          <w:b/>
          <w:sz w:val="36"/>
          <w:szCs w:val="36"/>
        </w:rPr>
        <w:t>估价假设和限制条件</w:t>
      </w:r>
      <w:bookmarkEnd w:id="16"/>
      <w:bookmarkEnd w:id="17"/>
      <w:bookmarkEnd w:id="18"/>
      <w:bookmarkEnd w:id="19"/>
    </w:p>
    <w:p>
      <w:pPr>
        <w:numPr>
          <w:ilvl w:val="0"/>
          <w:numId w:val="6"/>
        </w:numPr>
        <w:tabs>
          <w:tab w:val="left" w:pos="567"/>
        </w:tabs>
        <w:spacing w:before="50" w:line="360" w:lineRule="auto"/>
        <w:ind w:hanging="279"/>
        <w:rPr>
          <w:rFonts w:ascii="仿宋_GB2312" w:eastAsia="仿宋_GB2312"/>
          <w:b/>
          <w:sz w:val="28"/>
          <w:szCs w:val="28"/>
        </w:rPr>
      </w:pPr>
      <w:r>
        <w:rPr>
          <w:rFonts w:hint="eastAsia" w:ascii="仿宋_GB2312" w:eastAsia="仿宋_GB2312"/>
          <w:b/>
          <w:sz w:val="28"/>
          <w:szCs w:val="28"/>
        </w:rPr>
        <w:t>估价的假设前提条件：</w:t>
      </w:r>
    </w:p>
    <w:p>
      <w:pPr>
        <w:pStyle w:val="116"/>
        <w:adjustRightInd/>
        <w:snapToGrid w:val="0"/>
        <w:spacing w:line="360" w:lineRule="auto"/>
        <w:ind w:firstLine="560"/>
        <w:textAlignment w:val="auto"/>
        <w:rPr>
          <w:rFonts w:ascii="仿宋_GB2312" w:hAnsi="仿宋" w:eastAsia="仿宋_GB2312"/>
          <w:sz w:val="28"/>
          <w:szCs w:val="28"/>
          <w:highlight w:val="yellow"/>
        </w:rPr>
      </w:pPr>
      <w:r>
        <w:rPr>
          <w:rFonts w:hint="eastAsia" w:ascii="仿宋_GB2312" w:hAnsi="仿宋" w:eastAsia="仿宋_GB2312"/>
          <w:sz w:val="28"/>
          <w:szCs w:val="28"/>
        </w:rPr>
        <w:t>1.根据昆明市晋宁区房地产管理所工作人员向我公司出具的《房屋信息查询摘抄表》及昆明市国土资源局晋宁分局工作人员向我公司出具的《土地登记卡》，我们已将查询表所登记的房屋权属、房屋座落、房号及用途等信息与估价对象1至估价对象12实际状况进行核对，经估价师现场核对，查询表登记信息与估价对象1至估价对象12实际状况一致，在无理由怀疑其合法性、真实性、准确性和完整性的情况下，假定我公司查询到的资料合法、真实、准确、完整。</w:t>
      </w:r>
    </w:p>
    <w:p>
      <w:pPr>
        <w:pStyle w:val="116"/>
        <w:adjustRightInd/>
        <w:snapToGrid w:val="0"/>
        <w:spacing w:line="360" w:lineRule="auto"/>
        <w:ind w:firstLine="560"/>
        <w:textAlignment w:val="auto"/>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sz w:val="28"/>
          <w:szCs w:val="28"/>
        </w:rPr>
        <w:t>2.注册房地产估价师高阳、董保佐已对房屋安全、环境污染等影响估价对象价值的重大因素给予了关注，在无理由怀疑估价对象存在安全隐患，且无相应专业机构进行鉴定、检测的情况下，假定估价对象其内部结构及隐蔽未暴露部分能正常安全使用。</w:t>
      </w:r>
    </w:p>
    <w:p>
      <w:pPr>
        <w:pStyle w:val="71"/>
        <w:snapToGrid w:val="0"/>
        <w:ind w:firstLine="560" w:firstLineChars="200"/>
        <w:rPr>
          <w:rFonts w:ascii="仿宋_GB2312" w:hAnsi="仿宋" w:eastAsia="仿宋_GB2312"/>
          <w:color w:val="000000" w:themeColor="text1"/>
          <w:szCs w:val="28"/>
          <w14:textFill>
            <w14:solidFill>
              <w14:schemeClr w14:val="tx1"/>
            </w14:solidFill>
          </w14:textFill>
        </w:rPr>
      </w:pPr>
      <w:r>
        <w:rPr>
          <w:rFonts w:hint="eastAsia" w:ascii="仿宋_GB2312" w:hAnsi="仿宋" w:eastAsia="仿宋_GB2312"/>
          <w:szCs w:val="28"/>
        </w:rPr>
        <w:t>3.</w:t>
      </w:r>
      <w:r>
        <w:rPr>
          <w:rFonts w:hint="eastAsia" w:ascii="仿宋_GB2312" w:hAnsi="仿宋" w:eastAsia="仿宋_GB2312"/>
          <w:color w:val="000000" w:themeColor="text1"/>
          <w:szCs w:val="28"/>
          <w14:textFill>
            <w14:solidFill>
              <w14:schemeClr w14:val="tx1"/>
            </w14:solidFill>
          </w14:textFill>
        </w:rPr>
        <w:t>估价师已于2021年12月16日，对估价报告中的估价对象进行了实地勘察，根据我公司的业务范围，估价师不具备对估价对象1至估价对象12进行专业测量的能力，按照《房地产估价规范》的要求在无理由怀疑其合法性、真实性、准确性和完整性的情况下，假设本次评估的估价对象1至估价对象12的面积与《房屋信息查询摘抄表》上登记的面积一致，且合法有效。</w:t>
      </w:r>
    </w:p>
    <w:p>
      <w:pPr>
        <w:pStyle w:val="116"/>
        <w:adjustRightInd/>
        <w:snapToGrid w:val="0"/>
        <w:spacing w:line="360" w:lineRule="auto"/>
        <w:ind w:firstLine="560"/>
        <w:textAlignment w:val="auto"/>
        <w:rPr>
          <w:rFonts w:ascii="仿宋_GB2312" w:hAnsi="仿宋" w:eastAsia="仿宋_GB2312"/>
          <w:sz w:val="28"/>
          <w:szCs w:val="28"/>
        </w:rPr>
      </w:pPr>
      <w:r>
        <w:rPr>
          <w:rFonts w:hint="eastAsia" w:ascii="仿宋_GB2312" w:hAnsi="仿宋" w:eastAsia="仿宋_GB2312"/>
          <w:sz w:val="28"/>
          <w:szCs w:val="28"/>
        </w:rPr>
        <w:t>4.委估对象在价值时点的房地产市场为公开、平等、自愿的交易市场，即能满足以下条件：（1）交易双方自愿进行交易；（2）交易双方有较充裕的时间进行交易；（3）交易双方了解交易对象、知晓市场行情；（4）不考虑特殊买家的额外出价。</w:t>
      </w:r>
    </w:p>
    <w:p>
      <w:pPr>
        <w:pStyle w:val="116"/>
        <w:numPr>
          <w:ilvl w:val="0"/>
          <w:numId w:val="7"/>
        </w:numPr>
        <w:snapToGrid w:val="0"/>
        <w:spacing w:line="360" w:lineRule="auto"/>
        <w:ind w:firstLineChars="0"/>
        <w:rPr>
          <w:rFonts w:ascii="仿宋_GB2312" w:hAnsi="仿宋" w:eastAsia="仿宋_GB2312"/>
          <w:sz w:val="28"/>
          <w:szCs w:val="28"/>
        </w:rPr>
      </w:pPr>
      <w:r>
        <w:rPr>
          <w:rFonts w:hint="eastAsia" w:ascii="仿宋_GB2312" w:hAnsi="仿宋" w:eastAsia="仿宋_GB2312"/>
          <w:sz w:val="28"/>
          <w:szCs w:val="28"/>
        </w:rPr>
        <w:t>未定事项假设：</w:t>
      </w:r>
    </w:p>
    <w:p>
      <w:pPr>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无未定事项假设。</w:t>
      </w:r>
    </w:p>
    <w:p>
      <w:pPr>
        <w:numPr>
          <w:ilvl w:val="0"/>
          <w:numId w:val="7"/>
        </w:numPr>
        <w:snapToGrid w:val="0"/>
        <w:spacing w:line="360" w:lineRule="auto"/>
        <w:rPr>
          <w:rFonts w:ascii="仿宋_GB2312" w:hAnsi="仿宋" w:eastAsia="仿宋_GB2312"/>
          <w:sz w:val="28"/>
          <w:szCs w:val="28"/>
        </w:rPr>
      </w:pPr>
      <w:r>
        <w:rPr>
          <w:rFonts w:hint="eastAsia" w:ascii="仿宋_GB2312" w:hAnsi="仿宋" w:eastAsia="仿宋_GB2312"/>
          <w:sz w:val="28"/>
          <w:szCs w:val="28"/>
        </w:rPr>
        <w:t>背离事实假设：</w:t>
      </w:r>
    </w:p>
    <w:p>
      <w:pPr>
        <w:tabs>
          <w:tab w:val="left" w:pos="846"/>
          <w:tab w:val="left" w:pos="900"/>
          <w:tab w:val="left" w:pos="7965"/>
        </w:tabs>
        <w:adjustRightInd/>
        <w:spacing w:before="50" w:line="360" w:lineRule="auto"/>
        <w:ind w:firstLine="560" w:firstLineChars="200"/>
        <w:textAlignment w:val="auto"/>
        <w:rPr>
          <w:rFonts w:ascii="仿宋_GB2312" w:eastAsia="仿宋_GB2312"/>
          <w:sz w:val="28"/>
          <w:szCs w:val="28"/>
          <w:highlight w:val="yellow"/>
        </w:rPr>
      </w:pPr>
      <w:r>
        <w:rPr>
          <w:rFonts w:hint="eastAsia" w:ascii="仿宋_GB2312" w:eastAsia="仿宋_GB2312"/>
          <w:sz w:val="28"/>
          <w:szCs w:val="28"/>
        </w:rPr>
        <w:t>根据昆明市晋宁区房地产管理所工作人员向我公司出具的《房屋信息查询摘抄表》得知，估价对象1至估价对象12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1至估价对象12未设定抵押、查封等情况，特提醒报告使用方注意。</w:t>
      </w:r>
    </w:p>
    <w:p>
      <w:pPr>
        <w:tabs>
          <w:tab w:val="left" w:pos="846"/>
          <w:tab w:val="left" w:pos="900"/>
          <w:tab w:val="left" w:pos="7965"/>
        </w:tabs>
        <w:adjustRightInd/>
        <w:spacing w:before="50" w:line="360" w:lineRule="auto"/>
        <w:ind w:firstLine="560" w:firstLineChars="200"/>
        <w:textAlignment w:val="auto"/>
        <w:rPr>
          <w:rFonts w:ascii="仿宋_GB2312" w:eastAsia="仿宋_GB2312"/>
          <w:sz w:val="28"/>
          <w:szCs w:val="28"/>
        </w:rPr>
      </w:pPr>
      <w:r>
        <w:rPr>
          <w:rFonts w:hint="eastAsia" w:ascii="仿宋_GB2312" w:eastAsia="仿宋_GB2312"/>
          <w:sz w:val="28"/>
          <w:szCs w:val="28"/>
        </w:rPr>
        <w:t>（四）不相一致假设：</w:t>
      </w:r>
    </w:p>
    <w:p>
      <w:pPr>
        <w:pStyle w:val="71"/>
        <w:snapToGrid w:val="0"/>
        <w:ind w:firstLine="560" w:firstLineChars="200"/>
        <w:rPr>
          <w:rFonts w:ascii="仿宋_GB2312" w:eastAsia="仿宋_GB2312"/>
          <w:szCs w:val="28"/>
        </w:rPr>
      </w:pPr>
      <w:r>
        <w:rPr>
          <w:rFonts w:hint="eastAsia" w:ascii="仿宋_GB2312" w:eastAsia="仿宋_GB2312"/>
          <w:szCs w:val="28"/>
        </w:rPr>
        <w:t>根据我公司查询到的估价对象1至估价对象12的《房屋信息查询摘抄表》、《土地登记卡》以及我公司估价师现场勘查：</w:t>
      </w:r>
    </w:p>
    <w:p>
      <w:pPr>
        <w:pStyle w:val="71"/>
        <w:snapToGrid w:val="0"/>
        <w:ind w:firstLine="560" w:firstLineChars="200"/>
        <w:rPr>
          <w:rFonts w:ascii="仿宋_GB2312" w:eastAsia="仿宋_GB2312"/>
          <w:szCs w:val="28"/>
        </w:rPr>
      </w:pPr>
      <w:r>
        <w:rPr>
          <w:rFonts w:hint="eastAsia" w:ascii="仿宋_GB2312" w:eastAsia="仿宋_GB2312"/>
          <w:szCs w:val="28"/>
        </w:rPr>
        <w:t>①估价对象1属于自建房，登记用途为住宅，实际用途1-2层为商业，3-4层为住宅，本次评估以登记用途为准，特提醒报告使用方注意。</w:t>
      </w:r>
    </w:p>
    <w:p>
      <w:pPr>
        <w:pStyle w:val="71"/>
        <w:snapToGrid w:val="0"/>
        <w:ind w:firstLine="560" w:firstLineChars="200"/>
        <w:rPr>
          <w:rFonts w:ascii="仿宋_GB2312" w:eastAsia="仿宋_GB2312"/>
          <w:szCs w:val="28"/>
        </w:rPr>
      </w:pPr>
      <w:r>
        <w:rPr>
          <w:rFonts w:hint="eastAsia" w:ascii="仿宋_GB2312" w:eastAsia="仿宋_GB2312"/>
          <w:szCs w:val="28"/>
        </w:rPr>
        <w:t>②估价对象5属于自建房，登记用途为住宅，实际用途1层为商铺在使用，2层为住宅在使用，本次评估以登记用途为准；《房屋信息查询摘抄表》登记总楼层为2层，根据现场勘查，屋顶加盖了钢架大棚，不在产权登记范围内，特提醒报告使用方注意。</w:t>
      </w:r>
    </w:p>
    <w:p>
      <w:pPr>
        <w:pStyle w:val="71"/>
        <w:snapToGrid w:val="0"/>
        <w:ind w:firstLine="560" w:firstLineChars="200"/>
        <w:rPr>
          <w:rFonts w:hint="eastAsia" w:ascii="仿宋_GB2312" w:hAnsi="仿宋_GB2312" w:eastAsia="仿宋_GB2312" w:cs="仿宋_GB2312"/>
          <w:color w:val="000000" w:themeColor="text1"/>
          <w:szCs w:val="28"/>
          <w14:textFill>
            <w14:solidFill>
              <w14:schemeClr w14:val="tx1"/>
            </w14:solidFill>
          </w14:textFill>
        </w:rPr>
      </w:pPr>
      <w:r>
        <w:rPr>
          <w:rFonts w:hint="eastAsia" w:ascii="仿宋_GB2312" w:hAnsi="仿宋_GB2312" w:eastAsia="仿宋_GB2312" w:cs="仿宋_GB2312"/>
          <w:color w:val="000000" w:themeColor="text1"/>
          <w:szCs w:val="28"/>
          <w14:textFill>
            <w14:solidFill>
              <w14:schemeClr w14:val="tx1"/>
            </w14:solidFill>
          </w14:textFill>
        </w:rPr>
        <w:t>③估价对象2、估价对象3登记座落为晋宁县昆阳镇昆阳大街593号锦秀华城小区，实际座落为晋宁县昆阳镇昆阳街643号锦秀华城小区，若与实际不符，我公司将重新估价，特提醒报告使用方注意。</w:t>
      </w:r>
    </w:p>
    <w:p>
      <w:pPr>
        <w:pStyle w:val="71"/>
        <w:snapToGrid w:val="0"/>
        <w:ind w:firstLine="560" w:firstLineChars="200"/>
        <w:rPr>
          <w:rFonts w:ascii="仿宋_GB2312" w:hAnsi="仿宋_GB2312" w:eastAsia="仿宋_GB2312" w:cs="仿宋_GB2312"/>
          <w:color w:val="000000" w:themeColor="text1"/>
          <w:szCs w:val="28"/>
          <w14:textFill>
            <w14:solidFill>
              <w14:schemeClr w14:val="tx1"/>
            </w14:solidFill>
          </w14:textFill>
        </w:rPr>
      </w:pPr>
      <w:r>
        <w:rPr>
          <w:rFonts w:hint="eastAsia" w:ascii="仿宋_GB2312" w:hAnsi="仿宋_GB2312" w:eastAsia="仿宋_GB2312" w:cs="仿宋_GB2312"/>
          <w:color w:val="000000" w:themeColor="text1"/>
          <w:szCs w:val="28"/>
          <w:lang w:val="en-US" w:eastAsia="zh-CN"/>
          <w14:textFill>
            <w14:solidFill>
              <w14:schemeClr w14:val="tx1"/>
            </w14:solidFill>
          </w14:textFill>
        </w:rPr>
        <w:t>④</w:t>
      </w:r>
      <w:r>
        <w:rPr>
          <w:rFonts w:hint="eastAsia" w:ascii="仿宋_GB2312" w:hAnsi="仿宋_GB2312" w:eastAsia="仿宋_GB2312" w:cs="仿宋_GB2312"/>
          <w:color w:val="000000" w:themeColor="text1"/>
          <w:szCs w:val="28"/>
          <w14:textFill>
            <w14:solidFill>
              <w14:schemeClr w14:val="tx1"/>
            </w14:solidFill>
          </w14:textFill>
        </w:rPr>
        <w:t>估价对象4登记座落为晋宁县昆阳大街69号（中国农业银行晋宁支行）5幢3-702，实际座落为晋宁县昆阳街159号（中国农业银行晋宁支行）1幢1单元702号，若与实际不符，我公司将重新估价；且估价对象4土地使用权类型为划拨，据我公司向当地相关部门调查了解，若因不动产发生房屋所有权转移的，划拨用地需补缴土地出让金，具体缴纳金额请报告使用方自行落实，特提醒报告使用方注意。</w:t>
      </w:r>
    </w:p>
    <w:p>
      <w:pPr>
        <w:pStyle w:val="71"/>
        <w:snapToGrid w:val="0"/>
        <w:ind w:firstLine="560" w:firstLineChars="200"/>
        <w:rPr>
          <w:rFonts w:ascii="仿宋_GB2312" w:hAnsi="仿宋_GB2312" w:eastAsia="仿宋_GB2312" w:cs="仿宋_GB2312"/>
          <w:color w:val="000000" w:themeColor="text1"/>
          <w:szCs w:val="28"/>
          <w14:textFill>
            <w14:solidFill>
              <w14:schemeClr w14:val="tx1"/>
            </w14:solidFill>
          </w14:textFill>
        </w:rPr>
      </w:pPr>
      <w:r>
        <w:rPr>
          <w:rFonts w:ascii="仿宋_GB2312" w:hAnsi="仿宋_GB2312" w:eastAsia="仿宋_GB2312" w:cs="仿宋_GB2312"/>
          <w:color w:val="000000" w:themeColor="text1"/>
          <w:szCs w:val="28"/>
          <w14:textFill>
            <w14:solidFill>
              <w14:schemeClr w14:val="tx1"/>
            </w14:solidFill>
          </w14:textFill>
        </w:rPr>
        <w:t>⑤</w:t>
      </w:r>
      <w:r>
        <w:rPr>
          <w:rFonts w:hint="eastAsia" w:ascii="仿宋_GB2312" w:hAnsi="仿宋_GB2312" w:eastAsia="仿宋_GB2312" w:cs="仿宋_GB2312"/>
          <w:color w:val="000000" w:themeColor="text1"/>
          <w:szCs w:val="28"/>
          <w14:textFill>
            <w14:solidFill>
              <w14:schemeClr w14:val="tx1"/>
            </w14:solidFill>
          </w14:textFill>
        </w:rPr>
        <w:t>估价对象10属于自建房，登记用途为综合，实际用途1层为商铺，2-3层为住宅，本次评估以登记用途为准，土地使用权类型为划拨，据我公司向当地相关部门调查了解，若因不动产发生房屋所有权转移的，划拨用地需补缴土地出让金，具体缴纳金额请报告使用方自行落实，特提醒报告使用方注意。</w:t>
      </w:r>
    </w:p>
    <w:p>
      <w:pPr>
        <w:pStyle w:val="71"/>
        <w:snapToGrid w:val="0"/>
        <w:ind w:firstLine="560" w:firstLineChars="200"/>
        <w:rPr>
          <w:rFonts w:ascii="仿宋_GB2312" w:eastAsia="仿宋_GB2312"/>
          <w:szCs w:val="28"/>
        </w:rPr>
      </w:pPr>
      <w:r>
        <w:rPr>
          <w:rFonts w:hint="eastAsia" w:ascii="仿宋_GB2312" w:hAnsi="仿宋_GB2312" w:eastAsia="仿宋_GB2312" w:cs="仿宋_GB2312"/>
          <w:color w:val="000000" w:themeColor="text1"/>
          <w:szCs w:val="28"/>
          <w:lang w:val="en-US" w:eastAsia="zh-CN"/>
          <w14:textFill>
            <w14:solidFill>
              <w14:schemeClr w14:val="tx1"/>
            </w14:solidFill>
          </w14:textFill>
        </w:rPr>
        <w:t>⑥</w:t>
      </w:r>
      <w:r>
        <w:rPr>
          <w:rFonts w:hint="eastAsia" w:ascii="仿宋_GB2312" w:hAnsi="仿宋_GB2312" w:eastAsia="仿宋_GB2312" w:cs="仿宋_GB2312"/>
          <w:color w:val="000000" w:themeColor="text1"/>
          <w:szCs w:val="28"/>
          <w14:textFill>
            <w14:solidFill>
              <w14:schemeClr w14:val="tx1"/>
            </w14:solidFill>
          </w14:textFill>
        </w:rPr>
        <w:t>估价对象11登记用途为车库，截止评估基准日，实际使用现状为商铺，且与估价对象12连通使用，本次评估以登记用途为准，特提醒报告使用方注意</w:t>
      </w:r>
      <w:r>
        <w:rPr>
          <w:rFonts w:hint="eastAsia" w:ascii="仿宋_GB2312" w:eastAsia="仿宋_GB2312"/>
          <w:szCs w:val="28"/>
        </w:rPr>
        <w:t>。</w:t>
      </w:r>
    </w:p>
    <w:p>
      <w:pPr>
        <w:tabs>
          <w:tab w:val="left" w:pos="846"/>
          <w:tab w:val="left" w:pos="900"/>
          <w:tab w:val="left" w:pos="7965"/>
        </w:tabs>
        <w:adjustRightInd/>
        <w:spacing w:before="50" w:line="360" w:lineRule="auto"/>
        <w:ind w:firstLine="560" w:firstLineChars="200"/>
        <w:textAlignment w:val="auto"/>
        <w:rPr>
          <w:rFonts w:ascii="仿宋_GB2312" w:eastAsia="仿宋_GB2312"/>
          <w:sz w:val="28"/>
          <w:szCs w:val="28"/>
        </w:rPr>
      </w:pPr>
      <w:r>
        <w:rPr>
          <w:rFonts w:hint="eastAsia" w:ascii="仿宋_GB2312" w:eastAsia="仿宋_GB2312"/>
          <w:sz w:val="28"/>
          <w:szCs w:val="28"/>
        </w:rPr>
        <w:t>（五）依据不足假设：</w:t>
      </w:r>
    </w:p>
    <w:p>
      <w:pPr>
        <w:pStyle w:val="71"/>
        <w:snapToGrid w:val="0"/>
        <w:ind w:firstLine="560" w:firstLineChars="200"/>
        <w:rPr>
          <w:rFonts w:hint="eastAsia" w:ascii="仿宋_GB2312" w:hAnsi="仿宋" w:eastAsia="仿宋_GB2312"/>
          <w:color w:val="000000" w:themeColor="text1"/>
          <w:szCs w:val="28"/>
          <w14:textFill>
            <w14:solidFill>
              <w14:schemeClr w14:val="tx1"/>
            </w14:solidFill>
          </w14:textFill>
        </w:rPr>
      </w:pPr>
      <w:r>
        <w:rPr>
          <w:rFonts w:hint="eastAsia" w:ascii="仿宋_GB2312" w:hAnsi="仿宋" w:eastAsia="仿宋_GB2312"/>
          <w:color w:val="000000" w:themeColor="text1"/>
          <w:szCs w:val="28"/>
          <w14:textFill>
            <w14:solidFill>
              <w14:schemeClr w14:val="tx1"/>
            </w14:solidFill>
          </w14:textFill>
        </w:rPr>
        <w:t>1.本次评估依据以我公司查询到的估价对象1至估价对象12的《房屋信息查询摘抄表》、《土地登记卡》上的信息为准，但是产权登记信息未记载估价对象1至估价对象12房屋的建成年份，本次估价对象1至估价对象12的房屋建成年份以我公司估价师实际调查为准，如若房地产估价师调查的房屋建成年份与实际不符合，导致对本次评估值产生实质影响，我公司将对房地产进行重新评估。</w:t>
      </w:r>
    </w:p>
    <w:p>
      <w:pPr>
        <w:pStyle w:val="71"/>
        <w:snapToGrid w:val="0"/>
        <w:ind w:firstLine="560" w:firstLineChars="200"/>
        <w:rPr>
          <w:rFonts w:ascii="仿宋_GB2312" w:hAnsi="仿宋" w:eastAsia="仿宋_GB2312"/>
          <w:color w:val="000000" w:themeColor="text1"/>
          <w:szCs w:val="28"/>
          <w14:textFill>
            <w14:solidFill>
              <w14:schemeClr w14:val="tx1"/>
            </w14:solidFill>
          </w14:textFill>
        </w:rPr>
      </w:pPr>
      <w:r>
        <w:rPr>
          <w:rFonts w:hint="eastAsia" w:ascii="仿宋_GB2312" w:hAnsi="仿宋" w:eastAsia="仿宋_GB2312"/>
          <w:color w:val="000000" w:themeColor="text1"/>
          <w:szCs w:val="28"/>
          <w:lang w:val="en-US" w:eastAsia="zh-CN"/>
          <w14:textFill>
            <w14:solidFill>
              <w14:schemeClr w14:val="tx1"/>
            </w14:solidFill>
          </w14:textFill>
        </w:rPr>
        <w:t>2.</w:t>
      </w:r>
      <w:r>
        <w:rPr>
          <w:rFonts w:hint="eastAsia" w:ascii="仿宋_GB2312" w:hAnsi="仿宋" w:eastAsia="仿宋_GB2312"/>
          <w:color w:val="000000" w:themeColor="text1"/>
          <w:szCs w:val="28"/>
          <w14:textFill>
            <w14:solidFill>
              <w14:schemeClr w14:val="tx1"/>
            </w14:solidFill>
          </w14:textFill>
        </w:rPr>
        <w:t>由于本案涉及的被申请人，我公司无法与其取得联系，现堪未到场，故现场勘查过程中估价师无法进入估价对象1的2-4层、估价对象2至估价对象4、估价对象8、估价对象10建筑物内部进行现场勘查，内部装修等实际情况无法确定，为了能更好的反应估价对象1的2-4层、估价对象2至估价对象4、估价对象8、估价对象10的客观价值，本次评估假设其装修情况为普通装修，特提醒报告使用方注意。</w:t>
      </w:r>
    </w:p>
    <w:p>
      <w:pPr>
        <w:numPr>
          <w:ilvl w:val="0"/>
          <w:numId w:val="6"/>
        </w:numPr>
        <w:tabs>
          <w:tab w:val="left" w:pos="533"/>
          <w:tab w:val="left" w:pos="567"/>
        </w:tabs>
        <w:snapToGrid w:val="0"/>
        <w:spacing w:line="360" w:lineRule="auto"/>
        <w:ind w:hanging="279"/>
        <w:rPr>
          <w:rFonts w:ascii="仿宋_GB2312" w:eastAsia="仿宋_GB2312"/>
          <w:b/>
          <w:sz w:val="28"/>
          <w:szCs w:val="28"/>
        </w:rPr>
      </w:pPr>
      <w:r>
        <w:rPr>
          <w:rFonts w:hint="eastAsia" w:ascii="仿宋_GB2312" w:eastAsia="仿宋_GB2312"/>
          <w:b/>
          <w:sz w:val="28"/>
          <w:szCs w:val="28"/>
        </w:rPr>
        <w:t>估价的限制条件：</w:t>
      </w:r>
    </w:p>
    <w:p>
      <w:pPr>
        <w:tabs>
          <w:tab w:val="left" w:pos="846"/>
          <w:tab w:val="left" w:pos="900"/>
          <w:tab w:val="left" w:pos="7965"/>
        </w:tabs>
        <w:adjustRightInd/>
        <w:snapToGrid w:val="0"/>
        <w:spacing w:line="360" w:lineRule="auto"/>
        <w:ind w:firstLine="560" w:firstLineChars="200"/>
        <w:textAlignment w:val="auto"/>
        <w:rPr>
          <w:rFonts w:ascii="仿宋_GB2312" w:eastAsia="仿宋_GB2312"/>
          <w:sz w:val="28"/>
          <w:szCs w:val="28"/>
        </w:rPr>
      </w:pPr>
      <w:r>
        <w:rPr>
          <w:rFonts w:hint="eastAsia" w:ascii="仿宋_GB2312" w:eastAsia="仿宋_GB2312"/>
          <w:sz w:val="28"/>
          <w:szCs w:val="28"/>
        </w:rPr>
        <w:t>（一）本报告未考虑国家宏观经济政策发生重大变化以及遇有不可抗力和其他不可抗拒的因素对估价结果的影响；亦未考虑估价对象的债权债务、租赁、抵押等他项权利限制及查封对其价值的影响。</w:t>
      </w:r>
    </w:p>
    <w:p>
      <w:pPr>
        <w:tabs>
          <w:tab w:val="left" w:pos="846"/>
          <w:tab w:val="left" w:pos="900"/>
          <w:tab w:val="left" w:pos="7965"/>
        </w:tabs>
        <w:adjustRightInd/>
        <w:snapToGrid w:val="0"/>
        <w:spacing w:line="360" w:lineRule="auto"/>
        <w:ind w:firstLine="560" w:firstLineChars="200"/>
        <w:textAlignment w:val="auto"/>
        <w:rPr>
          <w:rFonts w:ascii="仿宋_GB2312" w:eastAsia="仿宋_GB2312"/>
          <w:sz w:val="28"/>
          <w:szCs w:val="28"/>
        </w:rPr>
      </w:pPr>
      <w:r>
        <w:rPr>
          <w:rFonts w:hint="eastAsia" w:ascii="仿宋_GB2312" w:eastAsia="仿宋_GB2312"/>
          <w:sz w:val="28"/>
          <w:szCs w:val="28"/>
        </w:rPr>
        <w:t>（二）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pPr>
        <w:tabs>
          <w:tab w:val="left" w:pos="846"/>
          <w:tab w:val="left" w:pos="900"/>
          <w:tab w:val="left" w:pos="7965"/>
        </w:tabs>
        <w:adjustRightInd/>
        <w:snapToGrid w:val="0"/>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三）本报告所确定的房地产价值是在本次估价目的的特定条件下最有可能形成或者成立的价值，不适用于其他目的。如估价目的变更，须另行估价。凡因估价委托方使用估价报告不当而引起的后果，本估价机构和估价人员不承担相应的责任。</w:t>
      </w:r>
    </w:p>
    <w:p>
      <w:pPr>
        <w:tabs>
          <w:tab w:val="left" w:pos="846"/>
          <w:tab w:val="left" w:pos="900"/>
          <w:tab w:val="left" w:pos="7965"/>
        </w:tabs>
        <w:adjustRightIn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（四）本报告必须完整使用方为有效，对仅使用报告中的部分内容所导致的有关损失，受托估价机构不承担任何责任。</w:t>
      </w:r>
    </w:p>
    <w:p>
      <w:pPr>
        <w:tabs>
          <w:tab w:val="left" w:pos="846"/>
          <w:tab w:val="left" w:pos="900"/>
          <w:tab w:val="left" w:pos="945"/>
        </w:tabs>
        <w:adjustRightIn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（五）未经估价机构书面同意，本估价报告的全部或部分及任何参考资料均不允许在任何公开发表的文件、通告或声明中引用，亦不得以其他任何方式公开发表，报告解释权为本公司所有。</w:t>
      </w:r>
    </w:p>
    <w:p>
      <w:pPr>
        <w:tabs>
          <w:tab w:val="left" w:pos="846"/>
          <w:tab w:val="left" w:pos="900"/>
          <w:tab w:val="left" w:pos="945"/>
        </w:tabs>
        <w:adjustRightIn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（六）本估价报告需经估价人员签名、盖章并加盖估价机构公章，作为一个整体时有效，复印件无效。</w:t>
      </w:r>
    </w:p>
    <w:p>
      <w:pPr>
        <w:tabs>
          <w:tab w:val="left" w:pos="846"/>
          <w:tab w:val="left" w:pos="900"/>
          <w:tab w:val="left" w:pos="7965"/>
        </w:tabs>
        <w:adjustRightIn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（七）本估价报告使用期限自估价报告出具之日起为壹年，即二</w:t>
      </w:r>
      <w:r>
        <w:rPr>
          <w:rFonts w:hint="eastAsia" w:ascii="宋体" w:hAnsi="宋体" w:cs="宋体"/>
          <w:sz w:val="28"/>
          <w:szCs w:val="28"/>
        </w:rPr>
        <w:t>〇</w:t>
      </w:r>
      <w:r>
        <w:rPr>
          <w:rFonts w:hint="eastAsia" w:ascii="仿宋_GB2312" w:hAnsi="仿宋_GB2312" w:eastAsia="仿宋_GB2312" w:cs="仿宋_GB2312"/>
          <w:sz w:val="28"/>
          <w:szCs w:val="28"/>
        </w:rPr>
        <w:t>二一年十二月三十日</w:t>
      </w:r>
      <w:r>
        <w:rPr>
          <w:rFonts w:hint="eastAsia" w:ascii="仿宋_GB2312" w:eastAsia="仿宋_GB2312"/>
          <w:sz w:val="28"/>
          <w:szCs w:val="28"/>
        </w:rPr>
        <w:t>至二〇二二年十二月二十九日。若报告使用期限内，房地产市场或估价对象状况发生重大变化，估价结果需做相应调整或委托估价机构重新估价。</w:t>
      </w:r>
    </w:p>
    <w:p>
      <w:pPr>
        <w:tabs>
          <w:tab w:val="left" w:pos="846"/>
          <w:tab w:val="left" w:pos="900"/>
          <w:tab w:val="left" w:pos="7965"/>
        </w:tabs>
        <w:adjustRightIn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（八）如发现本估价报告文字或数字因校对或其他类似原因出现差错时，请通知本公司进行更正。</w:t>
      </w:r>
    </w:p>
    <w:bookmarkEnd w:id="20"/>
    <w:bookmarkEnd w:id="21"/>
    <w:bookmarkEnd w:id="22"/>
    <w:bookmarkEnd w:id="23"/>
    <w:p>
      <w:pPr>
        <w:pStyle w:val="4"/>
        <w:keepNext w:val="0"/>
        <w:numPr>
          <w:ilvl w:val="0"/>
          <w:numId w:val="0"/>
        </w:numPr>
        <w:spacing w:before="0" w:line="360" w:lineRule="auto"/>
        <w:ind w:right="0"/>
        <w:jc w:val="center"/>
        <w:rPr>
          <w:rFonts w:ascii="仿宋_GB2312" w:hAnsi="宋体" w:eastAsia="仿宋_GB2312"/>
          <w:b/>
          <w:color w:val="auto"/>
          <w:sz w:val="36"/>
          <w:szCs w:val="36"/>
        </w:rPr>
      </w:pPr>
      <w:bookmarkStart w:id="24" w:name="_Toc269807868"/>
      <w:bookmarkStart w:id="25" w:name="_Toc13623"/>
    </w:p>
    <w:p>
      <w:pPr>
        <w:pStyle w:val="4"/>
        <w:keepNext w:val="0"/>
        <w:numPr>
          <w:ilvl w:val="0"/>
          <w:numId w:val="0"/>
        </w:numPr>
        <w:spacing w:before="0" w:line="360" w:lineRule="auto"/>
        <w:ind w:right="0"/>
        <w:jc w:val="center"/>
        <w:rPr>
          <w:rFonts w:ascii="仿宋_GB2312" w:hAnsi="宋体" w:eastAsia="仿宋_GB2312"/>
          <w:b/>
          <w:color w:val="auto"/>
          <w:sz w:val="36"/>
          <w:szCs w:val="36"/>
        </w:rPr>
      </w:pPr>
    </w:p>
    <w:p>
      <w:pPr>
        <w:pStyle w:val="4"/>
        <w:keepNext w:val="0"/>
        <w:numPr>
          <w:ilvl w:val="0"/>
          <w:numId w:val="0"/>
        </w:numPr>
        <w:spacing w:before="0" w:line="360" w:lineRule="auto"/>
        <w:ind w:right="0"/>
        <w:jc w:val="center"/>
        <w:rPr>
          <w:rFonts w:ascii="仿宋_GB2312" w:hAnsi="宋体" w:eastAsia="仿宋_GB2312"/>
          <w:b/>
          <w:color w:val="auto"/>
          <w:sz w:val="36"/>
          <w:szCs w:val="36"/>
        </w:rPr>
      </w:pPr>
    </w:p>
    <w:p>
      <w:pPr>
        <w:pStyle w:val="4"/>
        <w:keepNext w:val="0"/>
        <w:numPr>
          <w:ilvl w:val="0"/>
          <w:numId w:val="0"/>
        </w:numPr>
        <w:spacing w:before="0" w:line="360" w:lineRule="auto"/>
        <w:ind w:right="0"/>
        <w:jc w:val="both"/>
        <w:rPr>
          <w:rFonts w:ascii="仿宋_GB2312" w:hAnsi="宋体" w:eastAsia="仿宋_GB2312"/>
          <w:b/>
          <w:color w:val="auto"/>
          <w:sz w:val="36"/>
          <w:szCs w:val="36"/>
        </w:rPr>
      </w:pPr>
    </w:p>
    <w:p>
      <w:pPr>
        <w:pStyle w:val="4"/>
        <w:keepNext w:val="0"/>
        <w:numPr>
          <w:ilvl w:val="0"/>
          <w:numId w:val="0"/>
        </w:numPr>
        <w:spacing w:before="0" w:line="360" w:lineRule="auto"/>
        <w:ind w:right="0"/>
        <w:jc w:val="center"/>
        <w:rPr>
          <w:rFonts w:ascii="仿宋_GB2312" w:hAnsi="宋体" w:eastAsia="仿宋_GB2312"/>
          <w:b/>
          <w:color w:val="auto"/>
          <w:sz w:val="36"/>
          <w:szCs w:val="36"/>
        </w:rPr>
      </w:pPr>
      <w:bookmarkStart w:id="26" w:name="_Toc27191"/>
      <w:r>
        <w:rPr>
          <w:rFonts w:hint="eastAsia" w:ascii="仿宋_GB2312" w:hAnsi="宋体" w:eastAsia="仿宋_GB2312"/>
          <w:b/>
          <w:color w:val="auto"/>
          <w:sz w:val="36"/>
          <w:szCs w:val="36"/>
        </w:rPr>
        <w:t>估价结果报告</w:t>
      </w:r>
      <w:bookmarkEnd w:id="24"/>
      <w:bookmarkEnd w:id="25"/>
      <w:bookmarkEnd w:id="26"/>
    </w:p>
    <w:p>
      <w:pPr>
        <w:pStyle w:val="6"/>
        <w:spacing w:line="360" w:lineRule="auto"/>
        <w:ind w:firstLine="565" w:firstLineChars="201"/>
        <w:outlineLvl w:val="1"/>
        <w:rPr>
          <w:b/>
        </w:rPr>
      </w:pPr>
      <w:bookmarkStart w:id="27" w:name="_Toc4257"/>
      <w:bookmarkStart w:id="28" w:name="_Toc19600"/>
      <w:r>
        <w:rPr>
          <w:rFonts w:hint="eastAsia"/>
          <w:b/>
        </w:rPr>
        <w:t>一、</w:t>
      </w:r>
      <w:r>
        <w:rPr>
          <w:rFonts w:hint="eastAsia"/>
          <w:b/>
          <w:szCs w:val="28"/>
        </w:rPr>
        <w:t>估价委托方</w:t>
      </w:r>
      <w:bookmarkEnd w:id="27"/>
      <w:bookmarkEnd w:id="28"/>
    </w:p>
    <w:p>
      <w:pPr>
        <w:spacing w:line="360" w:lineRule="auto"/>
        <w:ind w:firstLine="560" w:firstLineChars="200"/>
        <w:rPr>
          <w:rFonts w:ascii="仿宋_GB2312" w:hAnsi="仿宋" w:eastAsia="仿宋_GB2312"/>
          <w:sz w:val="28"/>
        </w:rPr>
      </w:pPr>
      <w:bookmarkStart w:id="29" w:name="_Toc9469"/>
      <w:r>
        <w:rPr>
          <w:rFonts w:hint="eastAsia" w:ascii="仿宋_GB2312" w:hAnsi="仿宋" w:eastAsia="仿宋_GB2312"/>
          <w:sz w:val="28"/>
          <w:szCs w:val="28"/>
        </w:rPr>
        <w:t>估价委托方：</w:t>
      </w:r>
      <w:r>
        <w:rPr>
          <w:rFonts w:hint="eastAsia" w:ascii="仿宋_GB2312" w:hAnsi="仿宋" w:eastAsia="仿宋_GB2312"/>
          <w:sz w:val="28"/>
        </w:rPr>
        <w:t>昆明市中级人民法院</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rPr>
        <w:t>联系地址：昆明市西山区滇池路485号</w:t>
      </w:r>
    </w:p>
    <w:p>
      <w:pPr>
        <w:spacing w:line="360" w:lineRule="auto"/>
        <w:ind w:firstLine="560" w:firstLineChars="200"/>
        <w:rPr>
          <w:rFonts w:ascii="仿宋_GB2312" w:hAnsi="仿宋" w:eastAsia="仿宋_GB2312"/>
          <w:color w:val="FF0000"/>
          <w:sz w:val="28"/>
        </w:rPr>
      </w:pPr>
      <w:r>
        <w:rPr>
          <w:rFonts w:hint="eastAsia" w:ascii="仿宋_GB2312" w:hAnsi="仿宋" w:eastAsia="仿宋_GB2312"/>
          <w:sz w:val="28"/>
        </w:rPr>
        <w:t>联系电话：0871-64096276</w:t>
      </w:r>
    </w:p>
    <w:p>
      <w:pPr>
        <w:pStyle w:val="6"/>
        <w:spacing w:line="360" w:lineRule="auto"/>
        <w:ind w:firstLine="565" w:firstLineChars="201"/>
        <w:outlineLvl w:val="1"/>
        <w:rPr>
          <w:b/>
        </w:rPr>
      </w:pPr>
      <w:bookmarkStart w:id="30" w:name="_Toc10560"/>
      <w:r>
        <w:rPr>
          <w:rFonts w:hint="eastAsia"/>
          <w:b/>
        </w:rPr>
        <w:t>二、房地产估价机构</w:t>
      </w:r>
      <w:bookmarkEnd w:id="29"/>
      <w:bookmarkEnd w:id="30"/>
    </w:p>
    <w:p>
      <w:pPr>
        <w:tabs>
          <w:tab w:val="left" w:pos="2340"/>
        </w:tabs>
        <w:spacing w:line="360" w:lineRule="auto"/>
        <w:ind w:right="-139" w:rightChars="-66" w:firstLine="560" w:firstLineChars="200"/>
        <w:rPr>
          <w:rFonts w:ascii="仿宋_GB2312" w:eastAsia="仿宋_GB2312"/>
          <w:sz w:val="28"/>
          <w:szCs w:val="28"/>
        </w:rPr>
      </w:pPr>
      <w:r>
        <w:rPr>
          <w:rFonts w:hint="eastAsia" w:ascii="仿宋_GB2312" w:eastAsia="仿宋_GB2312"/>
          <w:sz w:val="28"/>
          <w:szCs w:val="28"/>
        </w:rPr>
        <w:t>估价机构：云南通达土地房地产资产评估有限公司</w:t>
      </w:r>
    </w:p>
    <w:p>
      <w:pPr>
        <w:tabs>
          <w:tab w:val="left" w:pos="2340"/>
        </w:tabs>
        <w:spacing w:line="360" w:lineRule="auto"/>
        <w:ind w:right="-139" w:rightChars="-66" w:firstLine="560" w:firstLineChars="200"/>
        <w:rPr>
          <w:rFonts w:ascii="仿宋_GB2312" w:eastAsia="仿宋_GB2312"/>
          <w:sz w:val="28"/>
          <w:szCs w:val="28"/>
        </w:rPr>
      </w:pPr>
      <w:r>
        <w:rPr>
          <w:rFonts w:hint="eastAsia" w:ascii="仿宋_GB2312" w:eastAsia="仿宋_GB2312"/>
          <w:sz w:val="28"/>
          <w:szCs w:val="28"/>
        </w:rPr>
        <w:t>住所：昆明市中级白云路525号北京路花苑2幢301室</w:t>
      </w:r>
    </w:p>
    <w:p>
      <w:pPr>
        <w:tabs>
          <w:tab w:val="left" w:pos="2340"/>
        </w:tabs>
        <w:spacing w:line="360" w:lineRule="auto"/>
        <w:ind w:right="-139" w:rightChars="-66" w:firstLine="560" w:firstLineChars="200"/>
        <w:rPr>
          <w:rFonts w:ascii="仿宋_GB2312" w:eastAsia="仿宋_GB2312"/>
          <w:sz w:val="28"/>
          <w:szCs w:val="28"/>
        </w:rPr>
      </w:pPr>
      <w:r>
        <w:rPr>
          <w:rFonts w:hint="eastAsia" w:ascii="仿宋_GB2312" w:eastAsia="仿宋_GB2312"/>
          <w:sz w:val="28"/>
          <w:szCs w:val="28"/>
        </w:rPr>
        <w:t>法定代表人：顾欣</w:t>
      </w:r>
    </w:p>
    <w:p>
      <w:pPr>
        <w:tabs>
          <w:tab w:val="left" w:pos="2340"/>
        </w:tabs>
        <w:spacing w:line="360" w:lineRule="auto"/>
        <w:ind w:right="-139" w:rightChars="-66" w:firstLine="560" w:firstLineChars="200"/>
        <w:rPr>
          <w:rFonts w:ascii="仿宋_GB2312" w:eastAsia="仿宋_GB2312"/>
          <w:sz w:val="28"/>
          <w:szCs w:val="28"/>
        </w:rPr>
      </w:pPr>
      <w:r>
        <w:rPr>
          <w:rFonts w:hint="eastAsia" w:ascii="仿宋_GB2312" w:eastAsia="仿宋_GB2312"/>
          <w:sz w:val="28"/>
          <w:szCs w:val="28"/>
        </w:rPr>
        <w:t>资质等级：贰级</w:t>
      </w:r>
    </w:p>
    <w:p>
      <w:pPr>
        <w:tabs>
          <w:tab w:val="left" w:pos="2340"/>
        </w:tabs>
        <w:spacing w:line="360" w:lineRule="auto"/>
        <w:ind w:right="-139" w:rightChars="-66" w:firstLine="560" w:firstLineChars="200"/>
        <w:rPr>
          <w:rFonts w:ascii="仿宋_GB2312" w:eastAsia="仿宋_GB2312"/>
          <w:sz w:val="28"/>
          <w:szCs w:val="28"/>
        </w:rPr>
      </w:pPr>
      <w:r>
        <w:rPr>
          <w:rFonts w:hint="eastAsia" w:ascii="仿宋_GB2312" w:eastAsia="仿宋_GB2312"/>
          <w:sz w:val="28"/>
          <w:szCs w:val="28"/>
        </w:rPr>
        <w:t>资质证号编号：云建房证估字第197号</w:t>
      </w:r>
    </w:p>
    <w:p>
      <w:pPr>
        <w:tabs>
          <w:tab w:val="left" w:pos="2340"/>
        </w:tabs>
        <w:spacing w:line="360" w:lineRule="auto"/>
        <w:ind w:right="-139" w:rightChars="-66" w:firstLine="560" w:firstLineChars="200"/>
        <w:rPr>
          <w:rFonts w:ascii="仿宋_GB2312" w:eastAsia="仿宋_GB2312"/>
          <w:sz w:val="28"/>
          <w:szCs w:val="28"/>
        </w:rPr>
      </w:pPr>
      <w:r>
        <w:rPr>
          <w:rFonts w:hint="eastAsia" w:ascii="仿宋_GB2312" w:eastAsia="仿宋_GB2312"/>
          <w:sz w:val="28"/>
          <w:szCs w:val="28"/>
        </w:rPr>
        <w:t>资质证书有效期限：自2021年04月23日至2024年04月23日</w:t>
      </w:r>
    </w:p>
    <w:p>
      <w:pPr>
        <w:tabs>
          <w:tab w:val="left" w:pos="2340"/>
        </w:tabs>
        <w:spacing w:line="360" w:lineRule="auto"/>
        <w:ind w:right="-139" w:rightChars="-66" w:firstLine="560" w:firstLineChars="200"/>
        <w:rPr>
          <w:rFonts w:ascii="仿宋_GB2312" w:eastAsia="仿宋_GB2312"/>
          <w:sz w:val="28"/>
          <w:szCs w:val="28"/>
        </w:rPr>
      </w:pPr>
      <w:r>
        <w:rPr>
          <w:rFonts w:hint="eastAsia" w:ascii="仿宋_GB2312" w:eastAsia="仿宋_GB2312"/>
          <w:sz w:val="28"/>
          <w:szCs w:val="28"/>
        </w:rPr>
        <w:t>营业执照统一社会信用代码：91530000431203651G</w:t>
      </w:r>
    </w:p>
    <w:p>
      <w:pPr>
        <w:tabs>
          <w:tab w:val="left" w:pos="2340"/>
        </w:tabs>
        <w:snapToGrid w:val="0"/>
        <w:spacing w:line="360" w:lineRule="auto"/>
        <w:ind w:right="-139" w:rightChars="-66" w:firstLine="560" w:firstLineChars="200"/>
        <w:rPr>
          <w:rFonts w:ascii="仿宋_GB2312" w:eastAsia="仿宋_GB2312"/>
          <w:sz w:val="28"/>
          <w:szCs w:val="28"/>
        </w:rPr>
      </w:pPr>
      <w:r>
        <w:rPr>
          <w:rFonts w:hint="eastAsia" w:ascii="仿宋_GB2312" w:eastAsia="仿宋_GB2312"/>
          <w:sz w:val="28"/>
          <w:szCs w:val="28"/>
        </w:rPr>
        <w:t>联系电话：0871-65645199</w:t>
      </w:r>
    </w:p>
    <w:p>
      <w:pPr>
        <w:pStyle w:val="6"/>
        <w:spacing w:before="0" w:line="360" w:lineRule="auto"/>
        <w:ind w:firstLine="565" w:firstLineChars="201"/>
        <w:outlineLvl w:val="1"/>
      </w:pPr>
      <w:bookmarkStart w:id="31" w:name="_Toc15930"/>
      <w:bookmarkStart w:id="32" w:name="_Toc27005"/>
      <w:bookmarkStart w:id="33" w:name="_Toc30489"/>
      <w:r>
        <w:rPr>
          <w:rFonts w:hint="eastAsia"/>
          <w:b/>
        </w:rPr>
        <w:t>三、估</w:t>
      </w:r>
      <w:r>
        <w:rPr>
          <w:rFonts w:hint="eastAsia"/>
          <w:b/>
          <w:szCs w:val="28"/>
        </w:rPr>
        <w:t>价目的</w:t>
      </w:r>
      <w:bookmarkEnd w:id="31"/>
      <w:bookmarkEnd w:id="32"/>
    </w:p>
    <w:p>
      <w:pPr>
        <w:tabs>
          <w:tab w:val="left" w:pos="2340"/>
        </w:tabs>
        <w:spacing w:line="360" w:lineRule="auto"/>
        <w:ind w:right="-139" w:rightChars="-66" w:firstLine="560" w:firstLineChars="200"/>
        <w:rPr>
          <w:rFonts w:ascii="仿宋_GB2312" w:eastAsia="仿宋_GB2312"/>
          <w:sz w:val="28"/>
        </w:rPr>
      </w:pPr>
      <w:bookmarkStart w:id="34" w:name="_Toc507518266"/>
      <w:bookmarkStart w:id="35" w:name="_Toc502076639"/>
      <w:bookmarkStart w:id="36" w:name="_Toc507944455"/>
      <w:bookmarkStart w:id="37" w:name="_Toc512333425"/>
      <w:bookmarkStart w:id="38" w:name="_Toc507502031"/>
      <w:bookmarkStart w:id="39" w:name="_Toc502157345"/>
      <w:r>
        <w:rPr>
          <w:rFonts w:hint="eastAsia" w:ascii="仿宋_GB2312" w:eastAsia="仿宋_GB2312"/>
          <w:sz w:val="28"/>
          <w:szCs w:val="28"/>
        </w:rPr>
        <w:t>为昆明市中级人民法院确定财产处置参考价提供参考依据</w:t>
      </w:r>
      <w:r>
        <w:rPr>
          <w:rFonts w:hint="eastAsia" w:ascii="仿宋_GB2312" w:eastAsia="仿宋_GB2312"/>
          <w:sz w:val="28"/>
        </w:rPr>
        <w:t>。</w:t>
      </w:r>
      <w:bookmarkEnd w:id="34"/>
      <w:bookmarkEnd w:id="35"/>
      <w:bookmarkEnd w:id="36"/>
      <w:bookmarkEnd w:id="37"/>
      <w:bookmarkEnd w:id="38"/>
      <w:bookmarkEnd w:id="39"/>
    </w:p>
    <w:p>
      <w:pPr>
        <w:pStyle w:val="6"/>
        <w:spacing w:before="0" w:line="360" w:lineRule="auto"/>
        <w:ind w:firstLine="565" w:firstLineChars="201"/>
        <w:outlineLvl w:val="1"/>
      </w:pPr>
      <w:bookmarkStart w:id="40" w:name="_Toc7034"/>
      <w:r>
        <w:rPr>
          <w:rFonts w:hint="eastAsia"/>
          <w:b/>
        </w:rPr>
        <w:t>四、估</w:t>
      </w:r>
      <w:r>
        <w:rPr>
          <w:rFonts w:hint="eastAsia"/>
          <w:b/>
          <w:szCs w:val="28"/>
        </w:rPr>
        <w:t>价对象</w:t>
      </w:r>
      <w:bookmarkEnd w:id="33"/>
      <w:bookmarkEnd w:id="40"/>
    </w:p>
    <w:p>
      <w:pPr>
        <w:tabs>
          <w:tab w:val="left" w:pos="2340"/>
        </w:tabs>
        <w:spacing w:line="360" w:lineRule="auto"/>
        <w:ind w:right="-139" w:rightChars="-66" w:firstLine="562" w:firstLineChars="200"/>
        <w:rPr>
          <w:rFonts w:ascii="仿宋_GB2312" w:eastAsia="仿宋_GB2312"/>
          <w:sz w:val="28"/>
          <w:szCs w:val="28"/>
        </w:rPr>
      </w:pPr>
      <w:r>
        <w:rPr>
          <w:rFonts w:hint="eastAsia" w:ascii="仿宋_GB2312" w:eastAsia="仿宋_GB2312"/>
          <w:b/>
          <w:sz w:val="28"/>
          <w:szCs w:val="28"/>
        </w:rPr>
        <w:t>（一）估价对象范围</w:t>
      </w:r>
    </w:p>
    <w:p>
      <w:pPr>
        <w:tabs>
          <w:tab w:val="left" w:pos="2340"/>
        </w:tabs>
        <w:spacing w:line="360" w:lineRule="auto"/>
        <w:ind w:right="-139" w:rightChars="-66" w:firstLine="560" w:firstLineChars="200"/>
        <w:rPr>
          <w:rFonts w:ascii="仿宋_GB2312" w:eastAsia="仿宋_GB2312"/>
          <w:sz w:val="28"/>
          <w:szCs w:val="28"/>
        </w:rPr>
      </w:pPr>
      <w:r>
        <w:rPr>
          <w:rFonts w:hint="eastAsia" w:ascii="仿宋_GB2312" w:eastAsia="仿宋_GB2312"/>
          <w:sz w:val="28"/>
          <w:szCs w:val="28"/>
        </w:rPr>
        <w:t>本次估价对象的范围是指晋宁区共计12套房产房地产（包括地上房屋建筑物及其分摊的土地）。</w:t>
      </w:r>
    </w:p>
    <w:p>
      <w:pPr>
        <w:tabs>
          <w:tab w:val="left" w:pos="735"/>
          <w:tab w:val="left" w:pos="945"/>
        </w:tabs>
        <w:spacing w:line="360" w:lineRule="auto"/>
        <w:ind w:left="560"/>
        <w:rPr>
          <w:rFonts w:ascii="仿宋_GB2312" w:eastAsia="仿宋_GB2312"/>
          <w:b/>
          <w:sz w:val="28"/>
          <w:szCs w:val="28"/>
        </w:rPr>
      </w:pPr>
      <w:r>
        <w:rPr>
          <w:rFonts w:hint="eastAsia" w:ascii="仿宋_GB2312" w:eastAsia="仿宋_GB2312"/>
          <w:b/>
          <w:sz w:val="28"/>
          <w:szCs w:val="28"/>
        </w:rPr>
        <w:t>（二）估价对象基本状况</w:t>
      </w:r>
    </w:p>
    <w:tbl>
      <w:tblPr>
        <w:tblStyle w:val="89"/>
        <w:tblW w:w="9253" w:type="dxa"/>
        <w:jc w:val="center"/>
        <w:tblLayout w:type="fixed"/>
        <w:tblCellMar>
          <w:top w:w="0" w:type="dxa"/>
          <w:left w:w="0" w:type="dxa"/>
          <w:bottom w:w="0" w:type="dxa"/>
          <w:right w:w="0" w:type="dxa"/>
        </w:tblCellMar>
      </w:tblPr>
      <w:tblGrid>
        <w:gridCol w:w="657"/>
        <w:gridCol w:w="670"/>
        <w:gridCol w:w="955"/>
        <w:gridCol w:w="2530"/>
        <w:gridCol w:w="1297"/>
        <w:gridCol w:w="3144"/>
      </w:tblGrid>
      <w:tr>
        <w:tblPrEx>
          <w:tblCellMar>
            <w:top w:w="0" w:type="dxa"/>
            <w:left w:w="0" w:type="dxa"/>
            <w:bottom w:w="0" w:type="dxa"/>
            <w:right w:w="0" w:type="dxa"/>
          </w:tblCellMar>
        </w:tblPrEx>
        <w:trPr>
          <w:trHeight w:val="342" w:hRule="atLeast"/>
          <w:jc w:val="center"/>
        </w:trPr>
        <w:tc>
          <w:tcPr>
            <w:tcW w:w="9253"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sz w:val="22"/>
                <w:szCs w:val="22"/>
              </w:rPr>
              <w:t>估价对象1基本状况表</w:t>
            </w:r>
          </w:p>
        </w:tc>
      </w:tr>
      <w:tr>
        <w:tblPrEx>
          <w:tblCellMar>
            <w:top w:w="0" w:type="dxa"/>
            <w:left w:w="0" w:type="dxa"/>
            <w:bottom w:w="0" w:type="dxa"/>
            <w:right w:w="0" w:type="dxa"/>
          </w:tblCellMar>
        </w:tblPrEx>
        <w:trPr>
          <w:trHeight w:val="56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466"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晋宁县昆阳镇中和东路</w:t>
            </w:r>
          </w:p>
        </w:tc>
      </w:tr>
      <w:tr>
        <w:tblPrEx>
          <w:tblCellMar>
            <w:top w:w="0" w:type="dxa"/>
            <w:left w:w="0" w:type="dxa"/>
            <w:bottom w:w="0" w:type="dxa"/>
            <w:right w:w="0" w:type="dxa"/>
          </w:tblCellMar>
        </w:tblPrEx>
        <w:trPr>
          <w:trHeight w:val="446"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446.59</w:t>
            </w:r>
          </w:p>
        </w:tc>
      </w:tr>
      <w:tr>
        <w:tblPrEx>
          <w:tblCellMar>
            <w:top w:w="0" w:type="dxa"/>
            <w:left w:w="0" w:type="dxa"/>
            <w:bottom w:w="0" w:type="dxa"/>
            <w:right w:w="0" w:type="dxa"/>
          </w:tblCellMar>
        </w:tblPrEx>
        <w:trPr>
          <w:trHeight w:val="439"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120.0</w:t>
            </w:r>
          </w:p>
        </w:tc>
      </w:tr>
      <w:tr>
        <w:tblPrEx>
          <w:tblCellMar>
            <w:top w:w="0" w:type="dxa"/>
            <w:left w:w="0" w:type="dxa"/>
            <w:bottom w:w="0" w:type="dxa"/>
            <w:right w:w="0" w:type="dxa"/>
          </w:tblCellMar>
        </w:tblPrEx>
        <w:trPr>
          <w:trHeight w:val="413"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规划用途</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住宅</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登记用途</w:t>
            </w:r>
          </w:p>
        </w:tc>
        <w:tc>
          <w:tcPr>
            <w:tcW w:w="3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住宅</w:t>
            </w:r>
          </w:p>
        </w:tc>
      </w:tr>
      <w:tr>
        <w:tblPrEx>
          <w:tblCellMar>
            <w:top w:w="0" w:type="dxa"/>
            <w:left w:w="0" w:type="dxa"/>
            <w:bottom w:w="0" w:type="dxa"/>
            <w:right w:w="0" w:type="dxa"/>
          </w:tblCellMar>
        </w:tblPrEx>
        <w:trPr>
          <w:trHeight w:val="352"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1-2层为商铺，3-4层为住宅</w:t>
            </w:r>
          </w:p>
        </w:tc>
      </w:tr>
      <w:tr>
        <w:tblPrEx>
          <w:tblCellMar>
            <w:top w:w="0" w:type="dxa"/>
            <w:left w:w="0" w:type="dxa"/>
            <w:bottom w:w="0" w:type="dxa"/>
            <w:right w:w="0" w:type="dxa"/>
          </w:tblCellMar>
        </w:tblPrEx>
        <w:trPr>
          <w:trHeight w:val="335" w:hRule="atLeast"/>
          <w:jc w:val="center"/>
        </w:trPr>
        <w:tc>
          <w:tcPr>
            <w:tcW w:w="65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土地所有权</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归国家所有</w:t>
            </w:r>
          </w:p>
        </w:tc>
      </w:tr>
      <w:tr>
        <w:tblPrEx>
          <w:tblCellMar>
            <w:top w:w="0" w:type="dxa"/>
            <w:left w:w="0" w:type="dxa"/>
            <w:bottom w:w="0" w:type="dxa"/>
            <w:right w:w="0" w:type="dxa"/>
          </w:tblCellMar>
        </w:tblPrEx>
        <w:trPr>
          <w:trHeight w:val="47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权利类型</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sz w:val="22"/>
                <w:szCs w:val="22"/>
              </w:rPr>
              <w:t>出让</w:t>
            </w:r>
          </w:p>
        </w:tc>
      </w:tr>
      <w:tr>
        <w:tblPrEx>
          <w:tblCellMar>
            <w:top w:w="0" w:type="dxa"/>
            <w:left w:w="0" w:type="dxa"/>
            <w:bottom w:w="0" w:type="dxa"/>
            <w:right w:w="0" w:type="dxa"/>
          </w:tblCellMar>
        </w:tblPrEx>
        <w:trPr>
          <w:trHeight w:val="34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highlight w:val="yellow"/>
              </w:rPr>
            </w:pPr>
            <w:r>
              <w:rPr>
                <w:rFonts w:hint="eastAsia" w:ascii="仿宋_GB2312" w:hAnsi="仿宋_GB2312" w:eastAsia="仿宋_GB2312" w:cs="仿宋_GB2312"/>
                <w:sz w:val="22"/>
                <w:szCs w:val="22"/>
              </w:rPr>
              <w:t>李红标</w:t>
            </w:r>
          </w:p>
        </w:tc>
      </w:tr>
      <w:tr>
        <w:tblPrEx>
          <w:tblCellMar>
            <w:top w:w="0" w:type="dxa"/>
            <w:left w:w="0" w:type="dxa"/>
            <w:bottom w:w="0" w:type="dxa"/>
            <w:right w:w="0" w:type="dxa"/>
          </w:tblCellMar>
        </w:tblPrEx>
        <w:trPr>
          <w:trHeight w:val="460"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房屋所有权人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sz w:val="22"/>
                <w:szCs w:val="22"/>
              </w:rPr>
              <w:t>李红标、崔琼艳</w:t>
            </w:r>
          </w:p>
        </w:tc>
      </w:tr>
      <w:tr>
        <w:tblPrEx>
          <w:tblCellMar>
            <w:top w:w="0" w:type="dxa"/>
            <w:left w:w="0" w:type="dxa"/>
            <w:bottom w:w="0" w:type="dxa"/>
            <w:right w:w="0" w:type="dxa"/>
          </w:tblCellMar>
        </w:tblPrEx>
        <w:trPr>
          <w:trHeight w:val="238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其他需要说明的事项</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40" w:firstLineChars="200"/>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1.估价对象1属于自建房，登记用途为住宅，实际用途1-2层为商铺，3-4层为住宅，本次评估以登记用途为准，特提醒报告使用方注意。</w:t>
            </w:r>
          </w:p>
          <w:p>
            <w:pPr>
              <w:widowControl/>
              <w:ind w:firstLine="440" w:firstLineChars="200"/>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根据昆明市晋宁区房地产管理所工作人员向我公司出具的《房屋信息查询摘抄表》得知，估价对象1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1未设定抵押、查封等情况，特提醒报告使用方注意。</w:t>
            </w:r>
          </w:p>
          <w:p>
            <w:pPr>
              <w:widowControl/>
              <w:ind w:firstLine="440" w:firstLineChars="200"/>
              <w:jc w:val="left"/>
              <w:textAlignment w:val="center"/>
            </w:pPr>
            <w:r>
              <w:rPr>
                <w:rFonts w:hint="eastAsia" w:ascii="仿宋_GB2312" w:hAnsi="仿宋_GB2312" w:eastAsia="仿宋_GB2312" w:cs="仿宋_GB2312"/>
                <w:color w:val="000000"/>
                <w:sz w:val="22"/>
                <w:szCs w:val="22"/>
              </w:rPr>
              <w:t>3.由于本案涉及的被申请人，我公司无法与其取得联系，现堪未到场，故现场勘查过程中估价师无法进入估价对象1的2-4层建筑物内部进行现场勘查，内部装修等实际情况无法确定，为了能更好的反应估价对象1的2-4层的客观价值，本次评估假设其装修情况为普通装修，特提醒报告使用方注意。</w:t>
            </w:r>
          </w:p>
        </w:tc>
      </w:tr>
    </w:tbl>
    <w:p>
      <w:pPr>
        <w:tabs>
          <w:tab w:val="left" w:pos="735"/>
          <w:tab w:val="left" w:pos="945"/>
        </w:tabs>
        <w:spacing w:line="360" w:lineRule="auto"/>
        <w:ind w:firstLine="560" w:firstLineChars="200"/>
        <w:rPr>
          <w:rFonts w:ascii="仿宋_GB2312" w:eastAsia="仿宋_GB2312"/>
          <w:bCs/>
          <w:sz w:val="28"/>
          <w:szCs w:val="28"/>
        </w:rPr>
      </w:pPr>
    </w:p>
    <w:tbl>
      <w:tblPr>
        <w:tblStyle w:val="89"/>
        <w:tblW w:w="9253" w:type="dxa"/>
        <w:jc w:val="center"/>
        <w:tblLayout w:type="fixed"/>
        <w:tblCellMar>
          <w:top w:w="0" w:type="dxa"/>
          <w:left w:w="0" w:type="dxa"/>
          <w:bottom w:w="0" w:type="dxa"/>
          <w:right w:w="0" w:type="dxa"/>
        </w:tblCellMar>
      </w:tblPr>
      <w:tblGrid>
        <w:gridCol w:w="657"/>
        <w:gridCol w:w="670"/>
        <w:gridCol w:w="955"/>
        <w:gridCol w:w="2530"/>
        <w:gridCol w:w="1297"/>
        <w:gridCol w:w="3144"/>
      </w:tblGrid>
      <w:tr>
        <w:tblPrEx>
          <w:tblCellMar>
            <w:top w:w="0" w:type="dxa"/>
            <w:left w:w="0" w:type="dxa"/>
            <w:bottom w:w="0" w:type="dxa"/>
            <w:right w:w="0" w:type="dxa"/>
          </w:tblCellMar>
        </w:tblPrEx>
        <w:trPr>
          <w:trHeight w:val="342" w:hRule="atLeast"/>
          <w:jc w:val="center"/>
        </w:trPr>
        <w:tc>
          <w:tcPr>
            <w:tcW w:w="9253"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sz w:val="22"/>
                <w:szCs w:val="22"/>
              </w:rPr>
              <w:t>估价对象2基本状况表</w:t>
            </w:r>
          </w:p>
        </w:tc>
      </w:tr>
      <w:tr>
        <w:tblPrEx>
          <w:tblCellMar>
            <w:top w:w="0" w:type="dxa"/>
            <w:left w:w="0" w:type="dxa"/>
            <w:bottom w:w="0" w:type="dxa"/>
            <w:right w:w="0" w:type="dxa"/>
          </w:tblCellMar>
        </w:tblPrEx>
        <w:trPr>
          <w:trHeight w:val="56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466"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晋宁县昆阳镇昆阳大街593号锦秀华城小区</w:t>
            </w:r>
          </w:p>
        </w:tc>
      </w:tr>
      <w:tr>
        <w:tblPrEx>
          <w:tblCellMar>
            <w:top w:w="0" w:type="dxa"/>
            <w:left w:w="0" w:type="dxa"/>
            <w:bottom w:w="0" w:type="dxa"/>
            <w:right w:w="0" w:type="dxa"/>
          </w:tblCellMar>
        </w:tblPrEx>
        <w:trPr>
          <w:trHeight w:val="446"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118</w:t>
            </w:r>
          </w:p>
        </w:tc>
      </w:tr>
      <w:tr>
        <w:tblPrEx>
          <w:tblCellMar>
            <w:top w:w="0" w:type="dxa"/>
            <w:left w:w="0" w:type="dxa"/>
            <w:bottom w:w="0" w:type="dxa"/>
            <w:right w:w="0" w:type="dxa"/>
          </w:tblCellMar>
        </w:tblPrEx>
        <w:trPr>
          <w:trHeight w:val="439"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16.9</w:t>
            </w:r>
          </w:p>
        </w:tc>
      </w:tr>
      <w:tr>
        <w:tblPrEx>
          <w:tblCellMar>
            <w:top w:w="0" w:type="dxa"/>
            <w:left w:w="0" w:type="dxa"/>
            <w:bottom w:w="0" w:type="dxa"/>
            <w:right w:w="0" w:type="dxa"/>
          </w:tblCellMar>
        </w:tblPrEx>
        <w:trPr>
          <w:trHeight w:val="413"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规划用途</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住宅</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登记用途</w:t>
            </w:r>
          </w:p>
        </w:tc>
        <w:tc>
          <w:tcPr>
            <w:tcW w:w="3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住宅</w:t>
            </w:r>
          </w:p>
        </w:tc>
      </w:tr>
      <w:tr>
        <w:tblPrEx>
          <w:tblCellMar>
            <w:top w:w="0" w:type="dxa"/>
            <w:left w:w="0" w:type="dxa"/>
            <w:bottom w:w="0" w:type="dxa"/>
            <w:right w:w="0" w:type="dxa"/>
          </w:tblCellMar>
        </w:tblPrEx>
        <w:trPr>
          <w:trHeight w:val="434"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住宅</w:t>
            </w:r>
          </w:p>
        </w:tc>
      </w:tr>
      <w:tr>
        <w:tblPrEx>
          <w:tblCellMar>
            <w:top w:w="0" w:type="dxa"/>
            <w:left w:w="0" w:type="dxa"/>
            <w:bottom w:w="0" w:type="dxa"/>
            <w:right w:w="0" w:type="dxa"/>
          </w:tblCellMar>
        </w:tblPrEx>
        <w:trPr>
          <w:trHeight w:val="467"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土地所有权</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归国家所有</w:t>
            </w:r>
          </w:p>
        </w:tc>
      </w:tr>
      <w:tr>
        <w:tblPrEx>
          <w:tblCellMar>
            <w:top w:w="0" w:type="dxa"/>
            <w:left w:w="0" w:type="dxa"/>
            <w:bottom w:w="0" w:type="dxa"/>
            <w:right w:w="0" w:type="dxa"/>
          </w:tblCellMar>
        </w:tblPrEx>
        <w:trPr>
          <w:trHeight w:val="472"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权利类型</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sz w:val="22"/>
                <w:szCs w:val="22"/>
              </w:rPr>
              <w:t>出让</w:t>
            </w:r>
          </w:p>
        </w:tc>
      </w:tr>
      <w:tr>
        <w:tblPrEx>
          <w:tblCellMar>
            <w:top w:w="0" w:type="dxa"/>
            <w:left w:w="0" w:type="dxa"/>
            <w:bottom w:w="0" w:type="dxa"/>
            <w:right w:w="0" w:type="dxa"/>
          </w:tblCellMar>
        </w:tblPrEx>
        <w:trPr>
          <w:trHeight w:val="342"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陈淑华</w:t>
            </w:r>
          </w:p>
        </w:tc>
      </w:tr>
      <w:tr>
        <w:tblPrEx>
          <w:tblCellMar>
            <w:top w:w="0" w:type="dxa"/>
            <w:left w:w="0" w:type="dxa"/>
            <w:bottom w:w="0" w:type="dxa"/>
            <w:right w:w="0" w:type="dxa"/>
          </w:tblCellMar>
        </w:tblPrEx>
        <w:trPr>
          <w:trHeight w:val="460"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房屋所有权人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陈淑华、应甄、应勤</w:t>
            </w:r>
          </w:p>
        </w:tc>
      </w:tr>
      <w:tr>
        <w:tblPrEx>
          <w:tblCellMar>
            <w:top w:w="0" w:type="dxa"/>
            <w:left w:w="0" w:type="dxa"/>
            <w:bottom w:w="0" w:type="dxa"/>
            <w:right w:w="0" w:type="dxa"/>
          </w:tblCellMar>
        </w:tblPrEx>
        <w:trPr>
          <w:trHeight w:val="1167"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其他需要说明的事项</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40" w:firstLineChars="200"/>
              <w:jc w:val="left"/>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1.估价对象2登记座落为晋宁县昆阳镇昆阳大街593号锦秀华城小区，实际座落为晋宁县昆阳镇昆阳街643号锦秀华城小区，若与实际不符，我公司将重新估价。</w:t>
            </w:r>
          </w:p>
          <w:p>
            <w:pPr>
              <w:widowControl/>
              <w:ind w:firstLine="440" w:firstLineChars="200"/>
              <w:jc w:val="left"/>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根据昆明市晋宁区房地产管理所工作人员向我公司出具的《房屋信息查询摘抄表》得知，估价对象2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2未设定抵押、查封等情况，特提醒报告使用方注意。</w:t>
            </w:r>
          </w:p>
          <w:p>
            <w:pPr>
              <w:widowControl/>
              <w:ind w:firstLine="440" w:firstLineChars="200"/>
              <w:jc w:val="left"/>
              <w:textAlignment w:val="center"/>
            </w:pPr>
            <w:r>
              <w:rPr>
                <w:rFonts w:hint="eastAsia" w:ascii="仿宋_GB2312" w:hAnsi="仿宋_GB2312" w:eastAsia="仿宋_GB2312" w:cs="仿宋_GB2312"/>
                <w:sz w:val="22"/>
                <w:szCs w:val="22"/>
              </w:rPr>
              <w:t>3.由于本案涉及的被申请人，我公司无法与其取得联系，现堪未到场，故现场勘查过程中估价师无法进入估价对象2建筑物内部进行现场勘查，内部装修等实际情况无法确定，为了能更好的反应估价对象2的客观价值，本次评估假设其装修情况为普通装修，特提醒报告使用方注意。</w:t>
            </w:r>
          </w:p>
        </w:tc>
      </w:tr>
    </w:tbl>
    <w:p>
      <w:pPr>
        <w:pStyle w:val="2"/>
      </w:pPr>
    </w:p>
    <w:tbl>
      <w:tblPr>
        <w:tblStyle w:val="89"/>
        <w:tblW w:w="9253" w:type="dxa"/>
        <w:jc w:val="center"/>
        <w:tblLayout w:type="fixed"/>
        <w:tblCellMar>
          <w:top w:w="0" w:type="dxa"/>
          <w:left w:w="0" w:type="dxa"/>
          <w:bottom w:w="0" w:type="dxa"/>
          <w:right w:w="0" w:type="dxa"/>
        </w:tblCellMar>
      </w:tblPr>
      <w:tblGrid>
        <w:gridCol w:w="657"/>
        <w:gridCol w:w="670"/>
        <w:gridCol w:w="955"/>
        <w:gridCol w:w="2530"/>
        <w:gridCol w:w="1297"/>
        <w:gridCol w:w="3144"/>
      </w:tblGrid>
      <w:tr>
        <w:tblPrEx>
          <w:tblCellMar>
            <w:top w:w="0" w:type="dxa"/>
            <w:left w:w="0" w:type="dxa"/>
            <w:bottom w:w="0" w:type="dxa"/>
            <w:right w:w="0" w:type="dxa"/>
          </w:tblCellMar>
        </w:tblPrEx>
        <w:trPr>
          <w:trHeight w:val="342" w:hRule="atLeast"/>
          <w:jc w:val="center"/>
        </w:trPr>
        <w:tc>
          <w:tcPr>
            <w:tcW w:w="9253"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sz w:val="22"/>
                <w:szCs w:val="22"/>
              </w:rPr>
              <w:t>估价对象3基本状况表</w:t>
            </w:r>
          </w:p>
        </w:tc>
      </w:tr>
      <w:tr>
        <w:tblPrEx>
          <w:tblCellMar>
            <w:top w:w="0" w:type="dxa"/>
            <w:left w:w="0" w:type="dxa"/>
            <w:bottom w:w="0" w:type="dxa"/>
            <w:right w:w="0" w:type="dxa"/>
          </w:tblCellMar>
        </w:tblPrEx>
        <w:trPr>
          <w:trHeight w:val="56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40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晋宁县昆阳镇昆阳大街593号锦秀华城小区</w:t>
            </w:r>
          </w:p>
        </w:tc>
      </w:tr>
      <w:tr>
        <w:tblPrEx>
          <w:tblCellMar>
            <w:top w:w="0" w:type="dxa"/>
            <w:left w:w="0" w:type="dxa"/>
            <w:bottom w:w="0" w:type="dxa"/>
            <w:right w:w="0" w:type="dxa"/>
          </w:tblCellMar>
        </w:tblPrEx>
        <w:trPr>
          <w:trHeight w:val="446"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155.16</w:t>
            </w:r>
          </w:p>
        </w:tc>
      </w:tr>
      <w:tr>
        <w:tblPrEx>
          <w:tblCellMar>
            <w:top w:w="0" w:type="dxa"/>
            <w:left w:w="0" w:type="dxa"/>
            <w:bottom w:w="0" w:type="dxa"/>
            <w:right w:w="0" w:type="dxa"/>
          </w:tblCellMar>
        </w:tblPrEx>
        <w:trPr>
          <w:trHeight w:val="439"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22.1</w:t>
            </w:r>
          </w:p>
        </w:tc>
      </w:tr>
      <w:tr>
        <w:tblPrEx>
          <w:tblCellMar>
            <w:top w:w="0" w:type="dxa"/>
            <w:left w:w="0" w:type="dxa"/>
            <w:bottom w:w="0" w:type="dxa"/>
            <w:right w:w="0" w:type="dxa"/>
          </w:tblCellMar>
        </w:tblPrEx>
        <w:trPr>
          <w:trHeight w:val="379"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规划用途</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住宅</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登记用途</w:t>
            </w:r>
          </w:p>
        </w:tc>
        <w:tc>
          <w:tcPr>
            <w:tcW w:w="3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住宅</w:t>
            </w:r>
          </w:p>
        </w:tc>
      </w:tr>
      <w:tr>
        <w:tblPrEx>
          <w:tblCellMar>
            <w:top w:w="0" w:type="dxa"/>
            <w:left w:w="0" w:type="dxa"/>
            <w:bottom w:w="0" w:type="dxa"/>
            <w:right w:w="0" w:type="dxa"/>
          </w:tblCellMar>
        </w:tblPrEx>
        <w:trPr>
          <w:trHeight w:val="434"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住宅</w:t>
            </w:r>
          </w:p>
        </w:tc>
      </w:tr>
      <w:tr>
        <w:tblPrEx>
          <w:tblCellMar>
            <w:top w:w="0" w:type="dxa"/>
            <w:left w:w="0" w:type="dxa"/>
            <w:bottom w:w="0" w:type="dxa"/>
            <w:right w:w="0" w:type="dxa"/>
          </w:tblCellMar>
        </w:tblPrEx>
        <w:trPr>
          <w:trHeight w:val="467" w:hRule="atLeast"/>
          <w:jc w:val="center"/>
        </w:trPr>
        <w:tc>
          <w:tcPr>
            <w:tcW w:w="65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土地所有权</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归国家所有</w:t>
            </w:r>
          </w:p>
        </w:tc>
      </w:tr>
      <w:tr>
        <w:tblPrEx>
          <w:tblCellMar>
            <w:top w:w="0" w:type="dxa"/>
            <w:left w:w="0" w:type="dxa"/>
            <w:bottom w:w="0" w:type="dxa"/>
            <w:right w:w="0" w:type="dxa"/>
          </w:tblCellMar>
        </w:tblPrEx>
        <w:trPr>
          <w:trHeight w:val="47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权利类型</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sz w:val="22"/>
                <w:szCs w:val="22"/>
              </w:rPr>
              <w:t>出让</w:t>
            </w:r>
          </w:p>
        </w:tc>
      </w:tr>
      <w:tr>
        <w:tblPrEx>
          <w:tblCellMar>
            <w:top w:w="0" w:type="dxa"/>
            <w:left w:w="0" w:type="dxa"/>
            <w:bottom w:w="0" w:type="dxa"/>
            <w:right w:w="0" w:type="dxa"/>
          </w:tblCellMar>
        </w:tblPrEx>
        <w:trPr>
          <w:trHeight w:val="34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张翠琼</w:t>
            </w:r>
          </w:p>
        </w:tc>
      </w:tr>
      <w:tr>
        <w:tblPrEx>
          <w:tblCellMar>
            <w:top w:w="0" w:type="dxa"/>
            <w:left w:w="0" w:type="dxa"/>
            <w:bottom w:w="0" w:type="dxa"/>
            <w:right w:w="0" w:type="dxa"/>
          </w:tblCellMar>
        </w:tblPrEx>
        <w:trPr>
          <w:trHeight w:val="90"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房屋所有权人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张翠琼、何岗</w:t>
            </w:r>
          </w:p>
        </w:tc>
      </w:tr>
      <w:tr>
        <w:tblPrEx>
          <w:tblCellMar>
            <w:top w:w="0" w:type="dxa"/>
            <w:left w:w="0" w:type="dxa"/>
            <w:bottom w:w="0" w:type="dxa"/>
            <w:right w:w="0" w:type="dxa"/>
          </w:tblCellMar>
        </w:tblPrEx>
        <w:trPr>
          <w:trHeight w:val="651"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其他需要说明的事项</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1.估价对象3登记座落为晋宁县昆阳镇昆阳大街593号锦秀华城小区，实际座落为晋宁县昆阳镇昆阳街643号锦秀华城小区，若与实际不符，我公司将重新估价。</w:t>
            </w:r>
          </w:p>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2.根据昆明市晋宁区房地产管理所工作人员向我公司出具的《房屋信息查询摘抄表》得知，估价对象3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3未设定抵押、查封等情况，特提醒报告使用方注意。</w:t>
            </w:r>
          </w:p>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3.由于本案涉及的被申请人，我公司无法与其取得联系，现堪未到场，故现场勘查过程中估价师无法进入估价对象3建筑物内部进行现场勘查，内部装修等实际情况无法确定，为了能更好的反应估价对象3的客观价值，本次评估假设其装修情况为普通装修，特提醒报告使用方注意。</w:t>
            </w:r>
          </w:p>
        </w:tc>
      </w:tr>
    </w:tbl>
    <w:p>
      <w:pPr>
        <w:tabs>
          <w:tab w:val="left" w:pos="735"/>
          <w:tab w:val="left" w:pos="945"/>
        </w:tabs>
        <w:spacing w:line="360" w:lineRule="auto"/>
        <w:ind w:firstLine="560" w:firstLineChars="200"/>
        <w:rPr>
          <w:rFonts w:ascii="仿宋_GB2312" w:eastAsia="仿宋_GB2312"/>
          <w:bCs/>
          <w:sz w:val="28"/>
          <w:szCs w:val="28"/>
        </w:rPr>
      </w:pPr>
    </w:p>
    <w:tbl>
      <w:tblPr>
        <w:tblStyle w:val="89"/>
        <w:tblW w:w="9253" w:type="dxa"/>
        <w:jc w:val="center"/>
        <w:tblLayout w:type="fixed"/>
        <w:tblCellMar>
          <w:top w:w="0" w:type="dxa"/>
          <w:left w:w="0" w:type="dxa"/>
          <w:bottom w:w="0" w:type="dxa"/>
          <w:right w:w="0" w:type="dxa"/>
        </w:tblCellMar>
      </w:tblPr>
      <w:tblGrid>
        <w:gridCol w:w="657"/>
        <w:gridCol w:w="670"/>
        <w:gridCol w:w="955"/>
        <w:gridCol w:w="2530"/>
        <w:gridCol w:w="1297"/>
        <w:gridCol w:w="3144"/>
      </w:tblGrid>
      <w:tr>
        <w:tblPrEx>
          <w:tblCellMar>
            <w:top w:w="0" w:type="dxa"/>
            <w:left w:w="0" w:type="dxa"/>
            <w:bottom w:w="0" w:type="dxa"/>
            <w:right w:w="0" w:type="dxa"/>
          </w:tblCellMar>
        </w:tblPrEx>
        <w:trPr>
          <w:trHeight w:val="342" w:hRule="atLeast"/>
          <w:jc w:val="center"/>
        </w:trPr>
        <w:tc>
          <w:tcPr>
            <w:tcW w:w="9253"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sz w:val="22"/>
                <w:szCs w:val="22"/>
              </w:rPr>
              <w:t>估价对象4基本状况表</w:t>
            </w:r>
          </w:p>
        </w:tc>
      </w:tr>
      <w:tr>
        <w:tblPrEx>
          <w:tblCellMar>
            <w:top w:w="0" w:type="dxa"/>
            <w:left w:w="0" w:type="dxa"/>
            <w:bottom w:w="0" w:type="dxa"/>
            <w:right w:w="0" w:type="dxa"/>
          </w:tblCellMar>
        </w:tblPrEx>
        <w:trPr>
          <w:trHeight w:val="56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466"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晋宁县昆阳大街69号（中国农业银行晋宁支行）</w:t>
            </w:r>
          </w:p>
        </w:tc>
      </w:tr>
      <w:tr>
        <w:tblPrEx>
          <w:tblCellMar>
            <w:top w:w="0" w:type="dxa"/>
            <w:left w:w="0" w:type="dxa"/>
            <w:bottom w:w="0" w:type="dxa"/>
            <w:right w:w="0" w:type="dxa"/>
          </w:tblCellMar>
        </w:tblPrEx>
        <w:trPr>
          <w:trHeight w:val="446"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137.16</w:t>
            </w:r>
          </w:p>
        </w:tc>
      </w:tr>
      <w:tr>
        <w:tblPrEx>
          <w:tblCellMar>
            <w:top w:w="0" w:type="dxa"/>
            <w:left w:w="0" w:type="dxa"/>
            <w:bottom w:w="0" w:type="dxa"/>
            <w:right w:w="0" w:type="dxa"/>
          </w:tblCellMar>
        </w:tblPrEx>
        <w:trPr>
          <w:trHeight w:val="439"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12.8</w:t>
            </w:r>
          </w:p>
        </w:tc>
      </w:tr>
      <w:tr>
        <w:tblPrEx>
          <w:tblCellMar>
            <w:top w:w="0" w:type="dxa"/>
            <w:left w:w="0" w:type="dxa"/>
            <w:bottom w:w="0" w:type="dxa"/>
            <w:right w:w="0" w:type="dxa"/>
          </w:tblCellMar>
        </w:tblPrEx>
        <w:trPr>
          <w:trHeight w:val="413"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规划用途</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住宅</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登记用途</w:t>
            </w:r>
          </w:p>
        </w:tc>
        <w:tc>
          <w:tcPr>
            <w:tcW w:w="3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住宅</w:t>
            </w:r>
          </w:p>
        </w:tc>
      </w:tr>
      <w:tr>
        <w:tblPrEx>
          <w:tblCellMar>
            <w:top w:w="0" w:type="dxa"/>
            <w:left w:w="0" w:type="dxa"/>
            <w:bottom w:w="0" w:type="dxa"/>
            <w:right w:w="0" w:type="dxa"/>
          </w:tblCellMar>
        </w:tblPrEx>
        <w:trPr>
          <w:trHeight w:val="434"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住宅</w:t>
            </w:r>
          </w:p>
        </w:tc>
      </w:tr>
      <w:tr>
        <w:tblPrEx>
          <w:tblCellMar>
            <w:top w:w="0" w:type="dxa"/>
            <w:left w:w="0" w:type="dxa"/>
            <w:bottom w:w="0" w:type="dxa"/>
            <w:right w:w="0" w:type="dxa"/>
          </w:tblCellMar>
        </w:tblPrEx>
        <w:trPr>
          <w:trHeight w:val="467" w:hRule="atLeast"/>
          <w:jc w:val="center"/>
        </w:trPr>
        <w:tc>
          <w:tcPr>
            <w:tcW w:w="65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土地所有权</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归国家所有</w:t>
            </w:r>
          </w:p>
        </w:tc>
      </w:tr>
      <w:tr>
        <w:tblPrEx>
          <w:tblCellMar>
            <w:top w:w="0" w:type="dxa"/>
            <w:left w:w="0" w:type="dxa"/>
            <w:bottom w:w="0" w:type="dxa"/>
            <w:right w:w="0" w:type="dxa"/>
          </w:tblCellMar>
        </w:tblPrEx>
        <w:trPr>
          <w:trHeight w:val="47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权利类型</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sz w:val="22"/>
                <w:szCs w:val="22"/>
              </w:rPr>
              <w:t>划拨</w:t>
            </w:r>
          </w:p>
        </w:tc>
      </w:tr>
      <w:tr>
        <w:tblPrEx>
          <w:tblCellMar>
            <w:top w:w="0" w:type="dxa"/>
            <w:left w:w="0" w:type="dxa"/>
            <w:bottom w:w="0" w:type="dxa"/>
            <w:right w:w="0" w:type="dxa"/>
          </w:tblCellMar>
        </w:tblPrEx>
        <w:trPr>
          <w:trHeight w:val="34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赵春艳</w:t>
            </w:r>
          </w:p>
        </w:tc>
      </w:tr>
      <w:tr>
        <w:tblPrEx>
          <w:tblCellMar>
            <w:top w:w="0" w:type="dxa"/>
            <w:left w:w="0" w:type="dxa"/>
            <w:bottom w:w="0" w:type="dxa"/>
            <w:right w:w="0" w:type="dxa"/>
          </w:tblCellMar>
        </w:tblPrEx>
        <w:trPr>
          <w:trHeight w:val="460"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房屋所有权人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赵春艳、胡翠英</w:t>
            </w:r>
          </w:p>
        </w:tc>
      </w:tr>
      <w:tr>
        <w:tblPrEx>
          <w:tblCellMar>
            <w:top w:w="0" w:type="dxa"/>
            <w:left w:w="0" w:type="dxa"/>
            <w:bottom w:w="0" w:type="dxa"/>
            <w:right w:w="0" w:type="dxa"/>
          </w:tblCellMar>
        </w:tblPrEx>
        <w:trPr>
          <w:trHeight w:val="1167"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其他需要说明的事项</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1.估价对象4登记座落为晋宁县昆阳大街69号（中国农业银行晋宁支行）5幢3-702，实际座落为晋宁县昆阳街159号（中国农业银行晋宁支行）1幢1单元702号，若与实际不符，我公司将重新估价；且估价对象4土地使用权类型为划拨，据我公司向当地相关部门调查了解，若因不动产发生房屋所有权转移的，划拨用地需补缴土地出让金，具体缴纳金额请报告使用方自行落实，特提醒报告使用方注意。</w:t>
            </w:r>
          </w:p>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2.根据昆明市晋宁区房地产管理所工作人员向我公司出具的《房屋信息查询摘抄表》得知，估价对象4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4未设定抵押、查封等情况，特提醒报告使用方注意。</w:t>
            </w:r>
          </w:p>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3.由于本案涉及的被申请人，我公司无法与其取得联系，现堪未到场，故现场勘查过程中估价师无法进入估价对象4建筑物内部进行现场勘查，内部装修等实际情况无法确定，为了能更好的反应估价对象4的客观价值，本次评估假设其装修情况为普通装修，特提醒报告使用方注意。</w:t>
            </w:r>
          </w:p>
        </w:tc>
      </w:tr>
    </w:tbl>
    <w:p>
      <w:pPr>
        <w:pStyle w:val="2"/>
      </w:pPr>
    </w:p>
    <w:tbl>
      <w:tblPr>
        <w:tblStyle w:val="89"/>
        <w:tblW w:w="9253" w:type="dxa"/>
        <w:jc w:val="center"/>
        <w:tblLayout w:type="fixed"/>
        <w:tblCellMar>
          <w:top w:w="0" w:type="dxa"/>
          <w:left w:w="0" w:type="dxa"/>
          <w:bottom w:w="0" w:type="dxa"/>
          <w:right w:w="0" w:type="dxa"/>
        </w:tblCellMar>
      </w:tblPr>
      <w:tblGrid>
        <w:gridCol w:w="657"/>
        <w:gridCol w:w="670"/>
        <w:gridCol w:w="955"/>
        <w:gridCol w:w="2530"/>
        <w:gridCol w:w="1297"/>
        <w:gridCol w:w="3144"/>
      </w:tblGrid>
      <w:tr>
        <w:tblPrEx>
          <w:tblCellMar>
            <w:top w:w="0" w:type="dxa"/>
            <w:left w:w="0" w:type="dxa"/>
            <w:bottom w:w="0" w:type="dxa"/>
            <w:right w:w="0" w:type="dxa"/>
          </w:tblCellMar>
        </w:tblPrEx>
        <w:trPr>
          <w:trHeight w:val="342" w:hRule="atLeast"/>
          <w:jc w:val="center"/>
        </w:trPr>
        <w:tc>
          <w:tcPr>
            <w:tcW w:w="9253"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sz w:val="22"/>
                <w:szCs w:val="22"/>
              </w:rPr>
              <w:t>估价对象5基本状况表</w:t>
            </w:r>
          </w:p>
        </w:tc>
      </w:tr>
      <w:tr>
        <w:tblPrEx>
          <w:tblCellMar>
            <w:top w:w="0" w:type="dxa"/>
            <w:left w:w="0" w:type="dxa"/>
            <w:bottom w:w="0" w:type="dxa"/>
            <w:right w:w="0" w:type="dxa"/>
          </w:tblCellMar>
        </w:tblPrEx>
        <w:trPr>
          <w:trHeight w:val="56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466"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晋宁县宝峰镇宝峰街</w:t>
            </w:r>
          </w:p>
        </w:tc>
      </w:tr>
      <w:tr>
        <w:tblPrEx>
          <w:tblCellMar>
            <w:top w:w="0" w:type="dxa"/>
            <w:left w:w="0" w:type="dxa"/>
            <w:bottom w:w="0" w:type="dxa"/>
            <w:right w:w="0" w:type="dxa"/>
          </w:tblCellMar>
        </w:tblPrEx>
        <w:trPr>
          <w:trHeight w:val="446"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363.93</w:t>
            </w:r>
          </w:p>
        </w:tc>
      </w:tr>
      <w:tr>
        <w:tblPrEx>
          <w:tblCellMar>
            <w:top w:w="0" w:type="dxa"/>
            <w:left w:w="0" w:type="dxa"/>
            <w:bottom w:w="0" w:type="dxa"/>
            <w:right w:w="0" w:type="dxa"/>
          </w:tblCellMar>
        </w:tblPrEx>
        <w:trPr>
          <w:trHeight w:val="439"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172.0</w:t>
            </w:r>
          </w:p>
        </w:tc>
      </w:tr>
      <w:tr>
        <w:tblPrEx>
          <w:tblCellMar>
            <w:top w:w="0" w:type="dxa"/>
            <w:left w:w="0" w:type="dxa"/>
            <w:bottom w:w="0" w:type="dxa"/>
            <w:right w:w="0" w:type="dxa"/>
          </w:tblCellMar>
        </w:tblPrEx>
        <w:trPr>
          <w:trHeight w:val="413"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规划用途</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住宅</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登记用途</w:t>
            </w:r>
          </w:p>
        </w:tc>
        <w:tc>
          <w:tcPr>
            <w:tcW w:w="3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住宅</w:t>
            </w:r>
          </w:p>
        </w:tc>
      </w:tr>
      <w:tr>
        <w:tblPrEx>
          <w:tblCellMar>
            <w:top w:w="0" w:type="dxa"/>
            <w:left w:w="0" w:type="dxa"/>
            <w:bottom w:w="0" w:type="dxa"/>
            <w:right w:w="0" w:type="dxa"/>
          </w:tblCellMar>
        </w:tblPrEx>
        <w:trPr>
          <w:trHeight w:val="434"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1层为商铺，2层为住宅</w:t>
            </w:r>
          </w:p>
        </w:tc>
      </w:tr>
      <w:tr>
        <w:tblPrEx>
          <w:tblCellMar>
            <w:top w:w="0" w:type="dxa"/>
            <w:left w:w="0" w:type="dxa"/>
            <w:bottom w:w="0" w:type="dxa"/>
            <w:right w:w="0" w:type="dxa"/>
          </w:tblCellMar>
        </w:tblPrEx>
        <w:trPr>
          <w:trHeight w:val="467" w:hRule="atLeast"/>
          <w:jc w:val="center"/>
        </w:trPr>
        <w:tc>
          <w:tcPr>
            <w:tcW w:w="65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土地所有权</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归国家所有</w:t>
            </w:r>
          </w:p>
        </w:tc>
      </w:tr>
      <w:tr>
        <w:tblPrEx>
          <w:tblCellMar>
            <w:top w:w="0" w:type="dxa"/>
            <w:left w:w="0" w:type="dxa"/>
            <w:bottom w:w="0" w:type="dxa"/>
            <w:right w:w="0" w:type="dxa"/>
          </w:tblCellMar>
        </w:tblPrEx>
        <w:trPr>
          <w:trHeight w:val="47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权利类型</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sz w:val="22"/>
                <w:szCs w:val="22"/>
              </w:rPr>
              <w:t>出让</w:t>
            </w:r>
          </w:p>
        </w:tc>
      </w:tr>
      <w:tr>
        <w:tblPrEx>
          <w:tblCellMar>
            <w:top w:w="0" w:type="dxa"/>
            <w:left w:w="0" w:type="dxa"/>
            <w:bottom w:w="0" w:type="dxa"/>
            <w:right w:w="0" w:type="dxa"/>
          </w:tblCellMar>
        </w:tblPrEx>
        <w:trPr>
          <w:trHeight w:val="34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张学明</w:t>
            </w:r>
          </w:p>
        </w:tc>
      </w:tr>
      <w:tr>
        <w:tblPrEx>
          <w:tblCellMar>
            <w:top w:w="0" w:type="dxa"/>
            <w:left w:w="0" w:type="dxa"/>
            <w:bottom w:w="0" w:type="dxa"/>
            <w:right w:w="0" w:type="dxa"/>
          </w:tblCellMar>
        </w:tblPrEx>
        <w:trPr>
          <w:trHeight w:val="460"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房屋所有权人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张学明、何云翠</w:t>
            </w:r>
          </w:p>
        </w:tc>
      </w:tr>
      <w:tr>
        <w:tblPrEx>
          <w:tblCellMar>
            <w:top w:w="0" w:type="dxa"/>
            <w:left w:w="0" w:type="dxa"/>
            <w:bottom w:w="0" w:type="dxa"/>
            <w:right w:w="0" w:type="dxa"/>
          </w:tblCellMar>
        </w:tblPrEx>
        <w:trPr>
          <w:trHeight w:val="1167"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其他需要说明的事项</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1.估价对象5属于自建房，登记用途为住宅，实际用途1层为商铺在使用，2层为住宅在使用，本次评估以登记用途为准；《房屋信息查询摘抄表》登记总楼层为2层，根据现场勘查，屋顶加盖了钢架大棚，不在产权登记范围内，特提醒报告使用方注意。</w:t>
            </w:r>
          </w:p>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2.根据昆明市晋宁区房地产管理所工作人员向我公司出具的《房屋信息查询摘抄表》得知，估价对象5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5未设定抵押、查封等情况，特提醒报告使用方注意。</w:t>
            </w:r>
          </w:p>
        </w:tc>
      </w:tr>
    </w:tbl>
    <w:p>
      <w:pPr>
        <w:pStyle w:val="2"/>
      </w:pPr>
    </w:p>
    <w:tbl>
      <w:tblPr>
        <w:tblStyle w:val="89"/>
        <w:tblW w:w="9253" w:type="dxa"/>
        <w:jc w:val="center"/>
        <w:tblLayout w:type="fixed"/>
        <w:tblCellMar>
          <w:top w:w="0" w:type="dxa"/>
          <w:left w:w="0" w:type="dxa"/>
          <w:bottom w:w="0" w:type="dxa"/>
          <w:right w:w="0" w:type="dxa"/>
        </w:tblCellMar>
      </w:tblPr>
      <w:tblGrid>
        <w:gridCol w:w="657"/>
        <w:gridCol w:w="670"/>
        <w:gridCol w:w="955"/>
        <w:gridCol w:w="2530"/>
        <w:gridCol w:w="1297"/>
        <w:gridCol w:w="3144"/>
      </w:tblGrid>
      <w:tr>
        <w:tblPrEx>
          <w:tblCellMar>
            <w:top w:w="0" w:type="dxa"/>
            <w:left w:w="0" w:type="dxa"/>
            <w:bottom w:w="0" w:type="dxa"/>
            <w:right w:w="0" w:type="dxa"/>
          </w:tblCellMar>
        </w:tblPrEx>
        <w:trPr>
          <w:trHeight w:val="342" w:hRule="atLeast"/>
          <w:jc w:val="center"/>
        </w:trPr>
        <w:tc>
          <w:tcPr>
            <w:tcW w:w="9253"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sz w:val="22"/>
                <w:szCs w:val="22"/>
              </w:rPr>
              <w:t>估价对象6基本状况表</w:t>
            </w:r>
          </w:p>
        </w:tc>
      </w:tr>
      <w:tr>
        <w:tblPrEx>
          <w:tblCellMar>
            <w:top w:w="0" w:type="dxa"/>
            <w:left w:w="0" w:type="dxa"/>
            <w:bottom w:w="0" w:type="dxa"/>
            <w:right w:w="0" w:type="dxa"/>
          </w:tblCellMar>
        </w:tblPrEx>
        <w:trPr>
          <w:trHeight w:val="56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466"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晋宁县昆阳镇东凤路磷都花园36幢2号</w:t>
            </w:r>
          </w:p>
        </w:tc>
      </w:tr>
      <w:tr>
        <w:tblPrEx>
          <w:tblCellMar>
            <w:top w:w="0" w:type="dxa"/>
            <w:left w:w="0" w:type="dxa"/>
            <w:bottom w:w="0" w:type="dxa"/>
            <w:right w:w="0" w:type="dxa"/>
          </w:tblCellMar>
        </w:tblPrEx>
        <w:trPr>
          <w:trHeight w:val="446"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39.5</w:t>
            </w:r>
          </w:p>
        </w:tc>
      </w:tr>
      <w:tr>
        <w:tblPrEx>
          <w:tblCellMar>
            <w:top w:w="0" w:type="dxa"/>
            <w:left w:w="0" w:type="dxa"/>
            <w:bottom w:w="0" w:type="dxa"/>
            <w:right w:w="0" w:type="dxa"/>
          </w:tblCellMar>
        </w:tblPrEx>
        <w:trPr>
          <w:trHeight w:val="439"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5.97</w:t>
            </w:r>
          </w:p>
        </w:tc>
      </w:tr>
      <w:tr>
        <w:tblPrEx>
          <w:tblCellMar>
            <w:top w:w="0" w:type="dxa"/>
            <w:left w:w="0" w:type="dxa"/>
            <w:bottom w:w="0" w:type="dxa"/>
            <w:right w:w="0" w:type="dxa"/>
          </w:tblCellMar>
        </w:tblPrEx>
        <w:trPr>
          <w:trHeight w:val="413"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规划用途</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商铺</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登记用途</w:t>
            </w:r>
          </w:p>
        </w:tc>
        <w:tc>
          <w:tcPr>
            <w:tcW w:w="3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商铺</w:t>
            </w:r>
          </w:p>
        </w:tc>
      </w:tr>
      <w:tr>
        <w:tblPrEx>
          <w:tblCellMar>
            <w:top w:w="0" w:type="dxa"/>
            <w:left w:w="0" w:type="dxa"/>
            <w:bottom w:w="0" w:type="dxa"/>
            <w:right w:w="0" w:type="dxa"/>
          </w:tblCellMar>
        </w:tblPrEx>
        <w:trPr>
          <w:trHeight w:val="434"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商铺</w:t>
            </w:r>
          </w:p>
        </w:tc>
      </w:tr>
      <w:tr>
        <w:tblPrEx>
          <w:tblCellMar>
            <w:top w:w="0" w:type="dxa"/>
            <w:left w:w="0" w:type="dxa"/>
            <w:bottom w:w="0" w:type="dxa"/>
            <w:right w:w="0" w:type="dxa"/>
          </w:tblCellMar>
        </w:tblPrEx>
        <w:trPr>
          <w:trHeight w:val="467"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土地所有权</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归国家所有</w:t>
            </w:r>
          </w:p>
        </w:tc>
      </w:tr>
      <w:tr>
        <w:tblPrEx>
          <w:tblCellMar>
            <w:top w:w="0" w:type="dxa"/>
            <w:left w:w="0" w:type="dxa"/>
            <w:bottom w:w="0" w:type="dxa"/>
            <w:right w:w="0" w:type="dxa"/>
          </w:tblCellMar>
        </w:tblPrEx>
        <w:trPr>
          <w:trHeight w:val="472"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权利类型</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sz w:val="22"/>
                <w:szCs w:val="22"/>
              </w:rPr>
              <w:t>出让</w:t>
            </w:r>
          </w:p>
        </w:tc>
      </w:tr>
      <w:tr>
        <w:tblPrEx>
          <w:tblCellMar>
            <w:top w:w="0" w:type="dxa"/>
            <w:left w:w="0" w:type="dxa"/>
            <w:bottom w:w="0" w:type="dxa"/>
            <w:right w:w="0" w:type="dxa"/>
          </w:tblCellMar>
        </w:tblPrEx>
        <w:trPr>
          <w:trHeight w:val="342"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何云丽</w:t>
            </w:r>
          </w:p>
        </w:tc>
      </w:tr>
      <w:tr>
        <w:tblPrEx>
          <w:tblCellMar>
            <w:top w:w="0" w:type="dxa"/>
            <w:left w:w="0" w:type="dxa"/>
            <w:bottom w:w="0" w:type="dxa"/>
            <w:right w:w="0" w:type="dxa"/>
          </w:tblCellMar>
        </w:tblPrEx>
        <w:trPr>
          <w:trHeight w:val="460"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房屋所有权人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何云丽</w:t>
            </w:r>
          </w:p>
        </w:tc>
      </w:tr>
      <w:tr>
        <w:tblPrEx>
          <w:tblCellMar>
            <w:top w:w="0" w:type="dxa"/>
            <w:left w:w="0" w:type="dxa"/>
            <w:bottom w:w="0" w:type="dxa"/>
            <w:right w:w="0" w:type="dxa"/>
          </w:tblCellMar>
        </w:tblPrEx>
        <w:trPr>
          <w:trHeight w:val="96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其他需要说明的事项</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1.根据昆明市晋宁区房地产管理所工作人员向我公司出具的《房屋信息查询摘抄表》得知，估价对象6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6未设定抵押、查封等情况，特提醒报告使用方注意。</w:t>
            </w:r>
          </w:p>
        </w:tc>
      </w:tr>
    </w:tbl>
    <w:p>
      <w:pPr>
        <w:pStyle w:val="2"/>
      </w:pPr>
    </w:p>
    <w:tbl>
      <w:tblPr>
        <w:tblStyle w:val="89"/>
        <w:tblW w:w="9253" w:type="dxa"/>
        <w:jc w:val="center"/>
        <w:tblLayout w:type="fixed"/>
        <w:tblCellMar>
          <w:top w:w="0" w:type="dxa"/>
          <w:left w:w="0" w:type="dxa"/>
          <w:bottom w:w="0" w:type="dxa"/>
          <w:right w:w="0" w:type="dxa"/>
        </w:tblCellMar>
      </w:tblPr>
      <w:tblGrid>
        <w:gridCol w:w="657"/>
        <w:gridCol w:w="670"/>
        <w:gridCol w:w="955"/>
        <w:gridCol w:w="2530"/>
        <w:gridCol w:w="1297"/>
        <w:gridCol w:w="3144"/>
      </w:tblGrid>
      <w:tr>
        <w:tblPrEx>
          <w:tblCellMar>
            <w:top w:w="0" w:type="dxa"/>
            <w:left w:w="0" w:type="dxa"/>
            <w:bottom w:w="0" w:type="dxa"/>
            <w:right w:w="0" w:type="dxa"/>
          </w:tblCellMar>
        </w:tblPrEx>
        <w:trPr>
          <w:trHeight w:val="342" w:hRule="atLeast"/>
          <w:jc w:val="center"/>
        </w:trPr>
        <w:tc>
          <w:tcPr>
            <w:tcW w:w="9253"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sz w:val="22"/>
                <w:szCs w:val="22"/>
              </w:rPr>
              <w:t>估价对象7基本状况表</w:t>
            </w:r>
          </w:p>
        </w:tc>
      </w:tr>
      <w:tr>
        <w:tblPrEx>
          <w:tblCellMar>
            <w:top w:w="0" w:type="dxa"/>
            <w:left w:w="0" w:type="dxa"/>
            <w:bottom w:w="0" w:type="dxa"/>
            <w:right w:w="0" w:type="dxa"/>
          </w:tblCellMar>
        </w:tblPrEx>
        <w:trPr>
          <w:trHeight w:val="56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466"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晋宁县昆阳镇东凤路磷都花园36幢3号</w:t>
            </w:r>
          </w:p>
        </w:tc>
      </w:tr>
      <w:tr>
        <w:tblPrEx>
          <w:tblCellMar>
            <w:top w:w="0" w:type="dxa"/>
            <w:left w:w="0" w:type="dxa"/>
            <w:bottom w:w="0" w:type="dxa"/>
            <w:right w:w="0" w:type="dxa"/>
          </w:tblCellMar>
        </w:tblPrEx>
        <w:trPr>
          <w:trHeight w:val="446"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59.02</w:t>
            </w:r>
          </w:p>
        </w:tc>
      </w:tr>
      <w:tr>
        <w:tblPrEx>
          <w:tblCellMar>
            <w:top w:w="0" w:type="dxa"/>
            <w:left w:w="0" w:type="dxa"/>
            <w:bottom w:w="0" w:type="dxa"/>
            <w:right w:w="0" w:type="dxa"/>
          </w:tblCellMar>
        </w:tblPrEx>
        <w:trPr>
          <w:trHeight w:val="439"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8.92</w:t>
            </w:r>
          </w:p>
        </w:tc>
      </w:tr>
      <w:tr>
        <w:tblPrEx>
          <w:tblCellMar>
            <w:top w:w="0" w:type="dxa"/>
            <w:left w:w="0" w:type="dxa"/>
            <w:bottom w:w="0" w:type="dxa"/>
            <w:right w:w="0" w:type="dxa"/>
          </w:tblCellMar>
        </w:tblPrEx>
        <w:trPr>
          <w:trHeight w:val="413"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规划用途</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商铺</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登记用途</w:t>
            </w:r>
          </w:p>
        </w:tc>
        <w:tc>
          <w:tcPr>
            <w:tcW w:w="3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商铺</w:t>
            </w:r>
          </w:p>
        </w:tc>
      </w:tr>
      <w:tr>
        <w:tblPrEx>
          <w:tblCellMar>
            <w:top w:w="0" w:type="dxa"/>
            <w:left w:w="0" w:type="dxa"/>
            <w:bottom w:w="0" w:type="dxa"/>
            <w:right w:w="0" w:type="dxa"/>
          </w:tblCellMar>
        </w:tblPrEx>
        <w:trPr>
          <w:trHeight w:val="434"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商铺</w:t>
            </w:r>
          </w:p>
        </w:tc>
      </w:tr>
      <w:tr>
        <w:tblPrEx>
          <w:tblCellMar>
            <w:top w:w="0" w:type="dxa"/>
            <w:left w:w="0" w:type="dxa"/>
            <w:bottom w:w="0" w:type="dxa"/>
            <w:right w:w="0" w:type="dxa"/>
          </w:tblCellMar>
        </w:tblPrEx>
        <w:trPr>
          <w:trHeight w:val="467" w:hRule="atLeast"/>
          <w:jc w:val="center"/>
        </w:trPr>
        <w:tc>
          <w:tcPr>
            <w:tcW w:w="65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土地所有权</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归国家所有</w:t>
            </w:r>
          </w:p>
        </w:tc>
      </w:tr>
      <w:tr>
        <w:tblPrEx>
          <w:tblCellMar>
            <w:top w:w="0" w:type="dxa"/>
            <w:left w:w="0" w:type="dxa"/>
            <w:bottom w:w="0" w:type="dxa"/>
            <w:right w:w="0" w:type="dxa"/>
          </w:tblCellMar>
        </w:tblPrEx>
        <w:trPr>
          <w:trHeight w:val="47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权利类型</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sz w:val="22"/>
                <w:szCs w:val="22"/>
              </w:rPr>
              <w:t>出让</w:t>
            </w:r>
          </w:p>
        </w:tc>
      </w:tr>
      <w:tr>
        <w:tblPrEx>
          <w:tblCellMar>
            <w:top w:w="0" w:type="dxa"/>
            <w:left w:w="0" w:type="dxa"/>
            <w:bottom w:w="0" w:type="dxa"/>
            <w:right w:w="0" w:type="dxa"/>
          </w:tblCellMar>
        </w:tblPrEx>
        <w:trPr>
          <w:trHeight w:val="34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何云丽</w:t>
            </w:r>
          </w:p>
        </w:tc>
      </w:tr>
      <w:tr>
        <w:tblPrEx>
          <w:tblCellMar>
            <w:top w:w="0" w:type="dxa"/>
            <w:left w:w="0" w:type="dxa"/>
            <w:bottom w:w="0" w:type="dxa"/>
            <w:right w:w="0" w:type="dxa"/>
          </w:tblCellMar>
        </w:tblPrEx>
        <w:trPr>
          <w:trHeight w:val="460"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房屋所有权人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何云丽、刘德禄</w:t>
            </w:r>
          </w:p>
        </w:tc>
      </w:tr>
      <w:tr>
        <w:tblPrEx>
          <w:tblCellMar>
            <w:top w:w="0" w:type="dxa"/>
            <w:left w:w="0" w:type="dxa"/>
            <w:bottom w:w="0" w:type="dxa"/>
            <w:right w:w="0" w:type="dxa"/>
          </w:tblCellMar>
        </w:tblPrEx>
        <w:trPr>
          <w:trHeight w:val="1167"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其他需要说明的事项</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1.根据昆明市晋宁区房地产管理所工作人员向我公司出具的《房屋信息查询摘抄表》得知，估价对象7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7未设定抵押、查封等情况，特提醒报告使用方注意。</w:t>
            </w:r>
          </w:p>
        </w:tc>
      </w:tr>
    </w:tbl>
    <w:p>
      <w:pPr>
        <w:pStyle w:val="2"/>
      </w:pPr>
    </w:p>
    <w:tbl>
      <w:tblPr>
        <w:tblStyle w:val="89"/>
        <w:tblW w:w="92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70"/>
        <w:gridCol w:w="955"/>
        <w:gridCol w:w="2530"/>
        <w:gridCol w:w="1297"/>
        <w:gridCol w:w="3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9253" w:type="dxa"/>
            <w:gridSpan w:val="6"/>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sz w:val="22"/>
                <w:szCs w:val="22"/>
              </w:rPr>
              <w:t>估价对象8基本状况表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657" w:type="dxa"/>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8596" w:type="dxa"/>
            <w:gridSpan w:val="5"/>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657" w:type="dxa"/>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8596" w:type="dxa"/>
            <w:gridSpan w:val="5"/>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晋宁县昆阳镇东凤路磷都花园36幢4号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657" w:type="dxa"/>
            <w:vMerge w:val="restart"/>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625" w:type="dxa"/>
            <w:gridSpan w:val="2"/>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建筑面积（㎡）</w:t>
            </w:r>
          </w:p>
        </w:tc>
        <w:tc>
          <w:tcPr>
            <w:tcW w:w="6971" w:type="dxa"/>
            <w:gridSpan w:val="3"/>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44.57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657" w:type="dxa"/>
            <w:vMerge w:val="continue"/>
            <w:tcBorders>
              <w:tl2br w:val="nil"/>
              <w:tr2bl w:val="nil"/>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625" w:type="dxa"/>
            <w:gridSpan w:val="2"/>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p>
        </w:tc>
        <w:tc>
          <w:tcPr>
            <w:tcW w:w="6971" w:type="dxa"/>
            <w:gridSpan w:val="3"/>
            <w:tcBorders>
              <w:tl2br w:val="nil"/>
              <w:tr2bl w:val="nil"/>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57" w:type="dxa"/>
            <w:vMerge w:val="restart"/>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1625" w:type="dxa"/>
            <w:gridSpan w:val="2"/>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规划用途</w:t>
            </w:r>
          </w:p>
        </w:tc>
        <w:tc>
          <w:tcPr>
            <w:tcW w:w="2530" w:type="dxa"/>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商铺</w:t>
            </w:r>
          </w:p>
        </w:tc>
        <w:tc>
          <w:tcPr>
            <w:tcW w:w="1297" w:type="dxa"/>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登记用途</w:t>
            </w:r>
          </w:p>
        </w:tc>
        <w:tc>
          <w:tcPr>
            <w:tcW w:w="3144" w:type="dxa"/>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商铺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657" w:type="dxa"/>
            <w:vMerge w:val="continue"/>
            <w:tcBorders>
              <w:tl2br w:val="nil"/>
              <w:tr2bl w:val="nil"/>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w:t>
            </w:r>
          </w:p>
        </w:tc>
        <w:tc>
          <w:tcPr>
            <w:tcW w:w="6971" w:type="dxa"/>
            <w:gridSpan w:val="3"/>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商铺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657" w:type="dxa"/>
            <w:vMerge w:val="restart"/>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625" w:type="dxa"/>
            <w:gridSpan w:val="2"/>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土地所有权</w:t>
            </w:r>
          </w:p>
        </w:tc>
        <w:tc>
          <w:tcPr>
            <w:tcW w:w="6971" w:type="dxa"/>
            <w:gridSpan w:val="3"/>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归国家所有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657" w:type="dxa"/>
            <w:vMerge w:val="continue"/>
            <w:tcBorders>
              <w:tl2br w:val="nil"/>
              <w:tr2bl w:val="nil"/>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restart"/>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w:t>
            </w:r>
          </w:p>
        </w:tc>
        <w:tc>
          <w:tcPr>
            <w:tcW w:w="955" w:type="dxa"/>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权利类型</w:t>
            </w:r>
          </w:p>
        </w:tc>
        <w:tc>
          <w:tcPr>
            <w:tcW w:w="6971" w:type="dxa"/>
            <w:gridSpan w:val="3"/>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sz w:val="22"/>
                <w:szCs w:val="22"/>
              </w:rPr>
              <w:t>出让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657" w:type="dxa"/>
            <w:vMerge w:val="continue"/>
            <w:tcBorders>
              <w:tl2br w:val="nil"/>
              <w:tr2bl w:val="nil"/>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continue"/>
            <w:tcBorders>
              <w:tl2br w:val="nil"/>
              <w:tr2bl w:val="nil"/>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955" w:type="dxa"/>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使用权人</w:t>
            </w:r>
          </w:p>
        </w:tc>
        <w:tc>
          <w:tcPr>
            <w:tcW w:w="6971" w:type="dxa"/>
            <w:gridSpan w:val="3"/>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何云丽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57" w:type="dxa"/>
            <w:vMerge w:val="continue"/>
            <w:tcBorders>
              <w:tl2br w:val="nil"/>
              <w:tr2bl w:val="nil"/>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房屋所有权人</w:t>
            </w:r>
          </w:p>
        </w:tc>
        <w:tc>
          <w:tcPr>
            <w:tcW w:w="6971" w:type="dxa"/>
            <w:gridSpan w:val="3"/>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何云丽、刘德禄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jc w:val="center"/>
        </w:trPr>
        <w:tc>
          <w:tcPr>
            <w:tcW w:w="657" w:type="dxa"/>
            <w:tcBorders>
              <w:tl2br w:val="nil"/>
              <w:tr2bl w:val="nil"/>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l2br w:val="nil"/>
              <w:tr2bl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其他需要说明的事项</w:t>
            </w:r>
          </w:p>
        </w:tc>
        <w:tc>
          <w:tcPr>
            <w:tcW w:w="6971" w:type="dxa"/>
            <w:gridSpan w:val="3"/>
            <w:tcBorders>
              <w:tl2br w:val="nil"/>
              <w:tr2bl w:val="nil"/>
            </w:tcBorders>
            <w:shd w:val="clear" w:color="auto" w:fill="auto"/>
            <w:tcMar>
              <w:top w:w="12" w:type="dxa"/>
              <w:left w:w="12" w:type="dxa"/>
              <w:right w:w="12" w:type="dxa"/>
            </w:tcMar>
            <w:vAlign w:val="center"/>
          </w:tcPr>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1.根据昆明市晋宁区房地产管理所工作人员向我公司出具的《房屋信息查询摘抄表》得知，估价对象8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8未设定抵押、查封等情况，特提醒报告使用方注意。</w:t>
            </w:r>
          </w:p>
          <w:p>
            <w:pPr>
              <w:widowControl/>
              <w:ind w:firstLine="440" w:firstLineChars="200"/>
              <w:jc w:val="left"/>
              <w:textAlignment w:val="center"/>
            </w:pPr>
            <w:r>
              <w:rPr>
                <w:rFonts w:hint="eastAsia" w:ascii="仿宋_GB2312" w:hAnsi="仿宋_GB2312" w:eastAsia="仿宋_GB2312" w:cs="仿宋_GB2312"/>
                <w:color w:val="000000" w:themeColor="text1"/>
                <w:sz w:val="22"/>
                <w:szCs w:val="22"/>
                <w14:textFill>
                  <w14:solidFill>
                    <w14:schemeClr w14:val="tx1"/>
                  </w14:solidFill>
                </w14:textFill>
              </w:rPr>
              <w:t>2.由于本案涉及的被申请人，我公司无法与其取得联系，现堪未到场，故现场勘查过程中估价师无法进入估价对象8建筑物内部进行现场勘查，内部装修等实际情况无法确定，为了能更好的反应估价对象8的客观价值，本次评估假设其装修情况为普通装修，特提醒报告使用方注意。</w:t>
            </w:r>
          </w:p>
        </w:tc>
      </w:tr>
    </w:tbl>
    <w:p>
      <w:pPr>
        <w:pStyle w:val="2"/>
      </w:pPr>
    </w:p>
    <w:tbl>
      <w:tblPr>
        <w:tblStyle w:val="89"/>
        <w:tblW w:w="9253" w:type="dxa"/>
        <w:jc w:val="center"/>
        <w:tblLayout w:type="fixed"/>
        <w:tblCellMar>
          <w:top w:w="0" w:type="dxa"/>
          <w:left w:w="0" w:type="dxa"/>
          <w:bottom w:w="0" w:type="dxa"/>
          <w:right w:w="0" w:type="dxa"/>
        </w:tblCellMar>
      </w:tblPr>
      <w:tblGrid>
        <w:gridCol w:w="657"/>
        <w:gridCol w:w="670"/>
        <w:gridCol w:w="955"/>
        <w:gridCol w:w="2530"/>
        <w:gridCol w:w="1297"/>
        <w:gridCol w:w="3144"/>
      </w:tblGrid>
      <w:tr>
        <w:tblPrEx>
          <w:tblCellMar>
            <w:top w:w="0" w:type="dxa"/>
            <w:left w:w="0" w:type="dxa"/>
            <w:bottom w:w="0" w:type="dxa"/>
            <w:right w:w="0" w:type="dxa"/>
          </w:tblCellMar>
        </w:tblPrEx>
        <w:trPr>
          <w:trHeight w:val="342" w:hRule="atLeast"/>
          <w:jc w:val="center"/>
        </w:trPr>
        <w:tc>
          <w:tcPr>
            <w:tcW w:w="9253"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sz w:val="22"/>
                <w:szCs w:val="22"/>
              </w:rPr>
              <w:t>估价对象9基本状况表</w:t>
            </w:r>
          </w:p>
        </w:tc>
      </w:tr>
      <w:tr>
        <w:tblPrEx>
          <w:tblCellMar>
            <w:top w:w="0" w:type="dxa"/>
            <w:left w:w="0" w:type="dxa"/>
            <w:bottom w:w="0" w:type="dxa"/>
            <w:right w:w="0" w:type="dxa"/>
          </w:tblCellMar>
        </w:tblPrEx>
        <w:trPr>
          <w:trHeight w:val="56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466"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晋宁县昆阳镇东凤路中段（南侧）</w:t>
            </w:r>
          </w:p>
        </w:tc>
      </w:tr>
      <w:tr>
        <w:tblPrEx>
          <w:tblCellMar>
            <w:top w:w="0" w:type="dxa"/>
            <w:left w:w="0" w:type="dxa"/>
            <w:bottom w:w="0" w:type="dxa"/>
            <w:right w:w="0" w:type="dxa"/>
          </w:tblCellMar>
        </w:tblPrEx>
        <w:trPr>
          <w:trHeight w:val="446"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884.34</w:t>
            </w:r>
          </w:p>
        </w:tc>
      </w:tr>
      <w:tr>
        <w:tblPrEx>
          <w:tblCellMar>
            <w:top w:w="0" w:type="dxa"/>
            <w:left w:w="0" w:type="dxa"/>
            <w:bottom w:w="0" w:type="dxa"/>
            <w:right w:w="0" w:type="dxa"/>
          </w:tblCellMar>
        </w:tblPrEx>
        <w:trPr>
          <w:trHeight w:val="439"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858.4</w:t>
            </w:r>
          </w:p>
        </w:tc>
      </w:tr>
      <w:tr>
        <w:tblPrEx>
          <w:tblCellMar>
            <w:top w:w="0" w:type="dxa"/>
            <w:left w:w="0" w:type="dxa"/>
            <w:bottom w:w="0" w:type="dxa"/>
            <w:right w:w="0" w:type="dxa"/>
          </w:tblCellMar>
        </w:tblPrEx>
        <w:trPr>
          <w:trHeight w:val="367"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规划用途</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非住宅</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登记用途</w:t>
            </w:r>
          </w:p>
        </w:tc>
        <w:tc>
          <w:tcPr>
            <w:tcW w:w="3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非住宅</w:t>
            </w:r>
          </w:p>
        </w:tc>
      </w:tr>
      <w:tr>
        <w:tblPrEx>
          <w:tblCellMar>
            <w:top w:w="0" w:type="dxa"/>
            <w:left w:w="0" w:type="dxa"/>
            <w:bottom w:w="0" w:type="dxa"/>
            <w:right w:w="0" w:type="dxa"/>
          </w:tblCellMar>
        </w:tblPrEx>
        <w:trPr>
          <w:trHeight w:val="90"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非住宅</w:t>
            </w:r>
          </w:p>
        </w:tc>
      </w:tr>
      <w:tr>
        <w:tblPrEx>
          <w:tblCellMar>
            <w:top w:w="0" w:type="dxa"/>
            <w:left w:w="0" w:type="dxa"/>
            <w:bottom w:w="0" w:type="dxa"/>
            <w:right w:w="0" w:type="dxa"/>
          </w:tblCellMar>
        </w:tblPrEx>
        <w:trPr>
          <w:trHeight w:val="467" w:hRule="atLeast"/>
          <w:jc w:val="center"/>
        </w:trPr>
        <w:tc>
          <w:tcPr>
            <w:tcW w:w="65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土地所有权</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归国家所有</w:t>
            </w:r>
          </w:p>
        </w:tc>
      </w:tr>
      <w:tr>
        <w:tblPrEx>
          <w:tblCellMar>
            <w:top w:w="0" w:type="dxa"/>
            <w:left w:w="0" w:type="dxa"/>
            <w:bottom w:w="0" w:type="dxa"/>
            <w:right w:w="0" w:type="dxa"/>
          </w:tblCellMar>
        </w:tblPrEx>
        <w:trPr>
          <w:trHeight w:val="47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权利类型</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出让</w:t>
            </w:r>
          </w:p>
        </w:tc>
      </w:tr>
      <w:tr>
        <w:tblPrEx>
          <w:tblCellMar>
            <w:top w:w="0" w:type="dxa"/>
            <w:left w:w="0" w:type="dxa"/>
            <w:bottom w:w="0" w:type="dxa"/>
            <w:right w:w="0" w:type="dxa"/>
          </w:tblCellMar>
        </w:tblPrEx>
        <w:trPr>
          <w:trHeight w:val="34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何岗</w:t>
            </w:r>
          </w:p>
        </w:tc>
      </w:tr>
      <w:tr>
        <w:tblPrEx>
          <w:tblCellMar>
            <w:top w:w="0" w:type="dxa"/>
            <w:left w:w="0" w:type="dxa"/>
            <w:bottom w:w="0" w:type="dxa"/>
            <w:right w:w="0" w:type="dxa"/>
          </w:tblCellMar>
        </w:tblPrEx>
        <w:trPr>
          <w:trHeight w:val="460"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房屋所有权人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何岗、张翠琼</w:t>
            </w:r>
          </w:p>
        </w:tc>
      </w:tr>
      <w:tr>
        <w:tblPrEx>
          <w:tblCellMar>
            <w:top w:w="0" w:type="dxa"/>
            <w:left w:w="0" w:type="dxa"/>
            <w:bottom w:w="0" w:type="dxa"/>
            <w:right w:w="0" w:type="dxa"/>
          </w:tblCellMar>
        </w:tblPrEx>
        <w:trPr>
          <w:trHeight w:val="339"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其他需要说明的事项</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1.根据昆明市晋宁区房地产管理所工作人员向我公司出具的《房屋信息查询摘抄表》得知，估价对象9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9未设定抵押、查封等情况，特提醒报告使用方注意。</w:t>
            </w:r>
          </w:p>
          <w:p>
            <w:pPr>
              <w:widowControl/>
              <w:ind w:firstLine="440" w:firstLineChars="200"/>
              <w:jc w:val="left"/>
              <w:textAlignment w:val="center"/>
            </w:pPr>
            <w:r>
              <w:rPr>
                <w:rFonts w:hint="eastAsia" w:ascii="仿宋_GB2312" w:hAnsi="仿宋_GB2312" w:eastAsia="仿宋_GB2312" w:cs="仿宋_GB2312"/>
                <w:color w:val="000000" w:themeColor="text1"/>
                <w:sz w:val="22"/>
                <w:szCs w:val="22"/>
                <w14:textFill>
                  <w14:solidFill>
                    <w14:schemeClr w14:val="tx1"/>
                  </w14:solidFill>
                </w14:textFill>
              </w:rPr>
              <w:t>2.根据《房屋信息查询摘抄表》及我公司估价师现场勘查，估价对象9属于自建房，有3幢建筑物：1幢建筑结构为钢混，总楼层为4层，所在楼层为1-4层；2幢建筑结构为砖混，总楼层为2层，所在楼层为1-2层；3幢建筑结构为砖木，总楼层为1层，所在楼层为1层，特提醒报告使用方注意。</w:t>
            </w:r>
          </w:p>
        </w:tc>
      </w:tr>
    </w:tbl>
    <w:p/>
    <w:tbl>
      <w:tblPr>
        <w:tblStyle w:val="89"/>
        <w:tblW w:w="9253" w:type="dxa"/>
        <w:jc w:val="center"/>
        <w:tblLayout w:type="fixed"/>
        <w:tblCellMar>
          <w:top w:w="0" w:type="dxa"/>
          <w:left w:w="0" w:type="dxa"/>
          <w:bottom w:w="0" w:type="dxa"/>
          <w:right w:w="0" w:type="dxa"/>
        </w:tblCellMar>
      </w:tblPr>
      <w:tblGrid>
        <w:gridCol w:w="657"/>
        <w:gridCol w:w="670"/>
        <w:gridCol w:w="955"/>
        <w:gridCol w:w="2530"/>
        <w:gridCol w:w="1297"/>
        <w:gridCol w:w="3144"/>
      </w:tblGrid>
      <w:tr>
        <w:tblPrEx>
          <w:tblCellMar>
            <w:top w:w="0" w:type="dxa"/>
            <w:left w:w="0" w:type="dxa"/>
            <w:bottom w:w="0" w:type="dxa"/>
            <w:right w:w="0" w:type="dxa"/>
          </w:tblCellMar>
        </w:tblPrEx>
        <w:trPr>
          <w:trHeight w:val="342" w:hRule="atLeast"/>
          <w:jc w:val="center"/>
        </w:trPr>
        <w:tc>
          <w:tcPr>
            <w:tcW w:w="9253"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sz w:val="22"/>
                <w:szCs w:val="22"/>
              </w:rPr>
              <w:t>估价对象10基本状况表</w:t>
            </w:r>
          </w:p>
        </w:tc>
      </w:tr>
      <w:tr>
        <w:tblPrEx>
          <w:tblCellMar>
            <w:top w:w="0" w:type="dxa"/>
            <w:left w:w="0" w:type="dxa"/>
            <w:bottom w:w="0" w:type="dxa"/>
            <w:right w:w="0" w:type="dxa"/>
          </w:tblCellMar>
        </w:tblPrEx>
        <w:trPr>
          <w:trHeight w:val="56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466"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晋宁县昆阳镇环西路89号</w:t>
            </w:r>
          </w:p>
        </w:tc>
      </w:tr>
      <w:tr>
        <w:tblPrEx>
          <w:tblCellMar>
            <w:top w:w="0" w:type="dxa"/>
            <w:left w:w="0" w:type="dxa"/>
            <w:bottom w:w="0" w:type="dxa"/>
            <w:right w:w="0" w:type="dxa"/>
          </w:tblCellMar>
        </w:tblPrEx>
        <w:trPr>
          <w:trHeight w:val="446"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222.06</w:t>
            </w:r>
          </w:p>
        </w:tc>
      </w:tr>
      <w:tr>
        <w:tblPrEx>
          <w:tblCellMar>
            <w:top w:w="0" w:type="dxa"/>
            <w:left w:w="0" w:type="dxa"/>
            <w:bottom w:w="0" w:type="dxa"/>
            <w:right w:w="0" w:type="dxa"/>
          </w:tblCellMar>
        </w:tblPrEx>
        <w:trPr>
          <w:trHeight w:val="439"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132.97</w:t>
            </w:r>
          </w:p>
        </w:tc>
      </w:tr>
      <w:tr>
        <w:tblPrEx>
          <w:tblCellMar>
            <w:top w:w="0" w:type="dxa"/>
            <w:left w:w="0" w:type="dxa"/>
            <w:bottom w:w="0" w:type="dxa"/>
            <w:right w:w="0" w:type="dxa"/>
          </w:tblCellMar>
        </w:tblPrEx>
        <w:trPr>
          <w:trHeight w:val="413"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规划用途</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综合</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登记用途</w:t>
            </w:r>
          </w:p>
        </w:tc>
        <w:tc>
          <w:tcPr>
            <w:tcW w:w="3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综合</w:t>
            </w:r>
          </w:p>
        </w:tc>
      </w:tr>
      <w:tr>
        <w:tblPrEx>
          <w:tblCellMar>
            <w:top w:w="0" w:type="dxa"/>
            <w:left w:w="0" w:type="dxa"/>
            <w:bottom w:w="0" w:type="dxa"/>
            <w:right w:w="0" w:type="dxa"/>
          </w:tblCellMar>
        </w:tblPrEx>
        <w:trPr>
          <w:trHeight w:val="434"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综合</w:t>
            </w:r>
          </w:p>
        </w:tc>
      </w:tr>
      <w:tr>
        <w:tblPrEx>
          <w:tblCellMar>
            <w:top w:w="0" w:type="dxa"/>
            <w:left w:w="0" w:type="dxa"/>
            <w:bottom w:w="0" w:type="dxa"/>
            <w:right w:w="0" w:type="dxa"/>
          </w:tblCellMar>
        </w:tblPrEx>
        <w:trPr>
          <w:trHeight w:val="467"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土地所有权</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归国家所有</w:t>
            </w:r>
          </w:p>
        </w:tc>
      </w:tr>
      <w:tr>
        <w:tblPrEx>
          <w:tblCellMar>
            <w:top w:w="0" w:type="dxa"/>
            <w:left w:w="0" w:type="dxa"/>
            <w:bottom w:w="0" w:type="dxa"/>
            <w:right w:w="0" w:type="dxa"/>
          </w:tblCellMar>
        </w:tblPrEx>
        <w:trPr>
          <w:trHeight w:val="472"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权利类型</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sz w:val="22"/>
                <w:szCs w:val="22"/>
              </w:rPr>
              <w:t>划拨</w:t>
            </w:r>
          </w:p>
        </w:tc>
      </w:tr>
      <w:tr>
        <w:tblPrEx>
          <w:tblCellMar>
            <w:top w:w="0" w:type="dxa"/>
            <w:left w:w="0" w:type="dxa"/>
            <w:bottom w:w="0" w:type="dxa"/>
            <w:right w:w="0" w:type="dxa"/>
          </w:tblCellMar>
        </w:tblPrEx>
        <w:trPr>
          <w:trHeight w:val="342"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陈淑华</w:t>
            </w:r>
          </w:p>
        </w:tc>
      </w:tr>
      <w:tr>
        <w:tblPrEx>
          <w:tblCellMar>
            <w:top w:w="0" w:type="dxa"/>
            <w:left w:w="0" w:type="dxa"/>
            <w:bottom w:w="0" w:type="dxa"/>
            <w:right w:w="0" w:type="dxa"/>
          </w:tblCellMar>
        </w:tblPrEx>
        <w:trPr>
          <w:trHeight w:val="460"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房屋所有权人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陈淑华、曹桂仙</w:t>
            </w:r>
          </w:p>
        </w:tc>
      </w:tr>
      <w:tr>
        <w:tblPrEx>
          <w:tblCellMar>
            <w:top w:w="0" w:type="dxa"/>
            <w:left w:w="0" w:type="dxa"/>
            <w:bottom w:w="0" w:type="dxa"/>
            <w:right w:w="0" w:type="dxa"/>
          </w:tblCellMar>
        </w:tblPrEx>
        <w:trPr>
          <w:trHeight w:val="1167"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其他需要说明的事项</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1.估价对象10属于自建房，登记用途为综合，实际用途1层为商铺，2-3层为住宅，本次评估以登记用途为准，土地使用权类型为划拨，据我公司向当地相关部门调查了解，若因不动产发生房屋所有权转移的，划拨用地需补缴土地出让金，具体缴纳金额请报告使用方自行落实，特提醒报告使用方注意。</w:t>
            </w:r>
          </w:p>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2.根据昆明市晋宁区房地产管理所工作人员向我公司出具的《房屋信息查询摘抄表》得知，估价对象10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10未设定抵押、查封等情况，特提醒报告使用方注意。</w:t>
            </w:r>
          </w:p>
          <w:p>
            <w:pPr>
              <w:widowControl/>
              <w:ind w:firstLine="440" w:firstLineChars="200"/>
              <w:jc w:val="left"/>
              <w:textAlignment w:val="center"/>
            </w:pPr>
            <w:r>
              <w:rPr>
                <w:rFonts w:hint="eastAsia" w:ascii="仿宋_GB2312" w:hAnsi="仿宋_GB2312" w:eastAsia="仿宋_GB2312" w:cs="仿宋_GB2312"/>
                <w:color w:val="000000" w:themeColor="text1"/>
                <w:sz w:val="22"/>
                <w:szCs w:val="22"/>
                <w14:textFill>
                  <w14:solidFill>
                    <w14:schemeClr w14:val="tx1"/>
                  </w14:solidFill>
                </w14:textFill>
              </w:rPr>
              <w:t>3.由于本案涉及的被申请人，我公司无法与其取得联系，现堪未到场，故现场勘查过程中估价师无法进入估价对象10建筑物内部进行现场勘查，内部装修等实际情况无法确定，为了能更好的反应估价对象10的客观价值，本次评估假设其装修情况为普通装修，特提醒报告使用方注意。</w:t>
            </w:r>
          </w:p>
        </w:tc>
      </w:tr>
    </w:tbl>
    <w:p>
      <w:pPr>
        <w:pStyle w:val="2"/>
      </w:pPr>
    </w:p>
    <w:tbl>
      <w:tblPr>
        <w:tblStyle w:val="89"/>
        <w:tblW w:w="9253" w:type="dxa"/>
        <w:jc w:val="center"/>
        <w:tblLayout w:type="fixed"/>
        <w:tblCellMar>
          <w:top w:w="0" w:type="dxa"/>
          <w:left w:w="0" w:type="dxa"/>
          <w:bottom w:w="0" w:type="dxa"/>
          <w:right w:w="0" w:type="dxa"/>
        </w:tblCellMar>
      </w:tblPr>
      <w:tblGrid>
        <w:gridCol w:w="657"/>
        <w:gridCol w:w="670"/>
        <w:gridCol w:w="955"/>
        <w:gridCol w:w="2530"/>
        <w:gridCol w:w="1297"/>
        <w:gridCol w:w="3144"/>
      </w:tblGrid>
      <w:tr>
        <w:tblPrEx>
          <w:tblCellMar>
            <w:top w:w="0" w:type="dxa"/>
            <w:left w:w="0" w:type="dxa"/>
            <w:bottom w:w="0" w:type="dxa"/>
            <w:right w:w="0" w:type="dxa"/>
          </w:tblCellMar>
        </w:tblPrEx>
        <w:trPr>
          <w:trHeight w:val="342" w:hRule="atLeast"/>
          <w:jc w:val="center"/>
        </w:trPr>
        <w:tc>
          <w:tcPr>
            <w:tcW w:w="9253"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sz w:val="22"/>
                <w:szCs w:val="22"/>
              </w:rPr>
              <w:t>估价对象11基本状况表</w:t>
            </w:r>
          </w:p>
        </w:tc>
      </w:tr>
      <w:tr>
        <w:tblPrEx>
          <w:tblCellMar>
            <w:top w:w="0" w:type="dxa"/>
            <w:left w:w="0" w:type="dxa"/>
            <w:bottom w:w="0" w:type="dxa"/>
            <w:right w:w="0" w:type="dxa"/>
          </w:tblCellMar>
        </w:tblPrEx>
        <w:trPr>
          <w:trHeight w:val="56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466"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晋宁县昆阳镇湖景天颐家园4幢104号</w:t>
            </w:r>
          </w:p>
        </w:tc>
      </w:tr>
      <w:tr>
        <w:tblPrEx>
          <w:tblCellMar>
            <w:top w:w="0" w:type="dxa"/>
            <w:left w:w="0" w:type="dxa"/>
            <w:bottom w:w="0" w:type="dxa"/>
            <w:right w:w="0" w:type="dxa"/>
          </w:tblCellMar>
        </w:tblPrEx>
        <w:trPr>
          <w:trHeight w:val="446"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21.56</w:t>
            </w:r>
          </w:p>
        </w:tc>
      </w:tr>
      <w:tr>
        <w:tblPrEx>
          <w:tblCellMar>
            <w:top w:w="0" w:type="dxa"/>
            <w:left w:w="0" w:type="dxa"/>
            <w:bottom w:w="0" w:type="dxa"/>
            <w:right w:w="0" w:type="dxa"/>
          </w:tblCellMar>
        </w:tblPrEx>
        <w:trPr>
          <w:trHeight w:val="439"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3.73</w:t>
            </w:r>
          </w:p>
        </w:tc>
      </w:tr>
      <w:tr>
        <w:tblPrEx>
          <w:tblCellMar>
            <w:top w:w="0" w:type="dxa"/>
            <w:left w:w="0" w:type="dxa"/>
            <w:bottom w:w="0" w:type="dxa"/>
            <w:right w:w="0" w:type="dxa"/>
          </w:tblCellMar>
        </w:tblPrEx>
        <w:trPr>
          <w:trHeight w:val="343"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规划用途</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车库</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登记用途</w:t>
            </w:r>
          </w:p>
        </w:tc>
        <w:tc>
          <w:tcPr>
            <w:tcW w:w="3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车库</w:t>
            </w:r>
          </w:p>
        </w:tc>
      </w:tr>
      <w:tr>
        <w:tblPrEx>
          <w:tblCellMar>
            <w:top w:w="0" w:type="dxa"/>
            <w:left w:w="0" w:type="dxa"/>
            <w:bottom w:w="0" w:type="dxa"/>
            <w:right w:w="0" w:type="dxa"/>
          </w:tblCellMar>
        </w:tblPrEx>
        <w:trPr>
          <w:trHeight w:val="364"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商铺</w:t>
            </w:r>
          </w:p>
        </w:tc>
      </w:tr>
      <w:tr>
        <w:tblPrEx>
          <w:tblCellMar>
            <w:top w:w="0" w:type="dxa"/>
            <w:left w:w="0" w:type="dxa"/>
            <w:bottom w:w="0" w:type="dxa"/>
            <w:right w:w="0" w:type="dxa"/>
          </w:tblCellMar>
        </w:tblPrEx>
        <w:trPr>
          <w:trHeight w:val="467" w:hRule="atLeast"/>
          <w:jc w:val="center"/>
        </w:trPr>
        <w:tc>
          <w:tcPr>
            <w:tcW w:w="65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土地所有权</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归国家所有</w:t>
            </w:r>
          </w:p>
        </w:tc>
      </w:tr>
      <w:tr>
        <w:tblPrEx>
          <w:tblCellMar>
            <w:top w:w="0" w:type="dxa"/>
            <w:left w:w="0" w:type="dxa"/>
            <w:bottom w:w="0" w:type="dxa"/>
            <w:right w:w="0" w:type="dxa"/>
          </w:tblCellMar>
        </w:tblPrEx>
        <w:trPr>
          <w:trHeight w:val="47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权利类型</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sz w:val="22"/>
                <w:szCs w:val="22"/>
              </w:rPr>
              <w:t>出让</w:t>
            </w:r>
          </w:p>
        </w:tc>
      </w:tr>
      <w:tr>
        <w:tblPrEx>
          <w:tblCellMar>
            <w:top w:w="0" w:type="dxa"/>
            <w:left w:w="0" w:type="dxa"/>
            <w:bottom w:w="0" w:type="dxa"/>
            <w:right w:w="0" w:type="dxa"/>
          </w:tblCellMar>
        </w:tblPrEx>
        <w:trPr>
          <w:trHeight w:val="34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刘玲</w:t>
            </w:r>
          </w:p>
        </w:tc>
      </w:tr>
      <w:tr>
        <w:tblPrEx>
          <w:tblCellMar>
            <w:top w:w="0" w:type="dxa"/>
            <w:left w:w="0" w:type="dxa"/>
            <w:bottom w:w="0" w:type="dxa"/>
            <w:right w:w="0" w:type="dxa"/>
          </w:tblCellMar>
        </w:tblPrEx>
        <w:trPr>
          <w:trHeight w:val="90"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房屋所有权人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刘玲</w:t>
            </w:r>
          </w:p>
        </w:tc>
      </w:tr>
      <w:tr>
        <w:tblPrEx>
          <w:tblCellMar>
            <w:top w:w="0" w:type="dxa"/>
            <w:left w:w="0" w:type="dxa"/>
            <w:bottom w:w="0" w:type="dxa"/>
            <w:right w:w="0" w:type="dxa"/>
          </w:tblCellMar>
        </w:tblPrEx>
        <w:trPr>
          <w:trHeight w:val="339"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其他需要说明的事项</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40" w:firstLineChars="200"/>
              <w:jc w:val="left"/>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1.估价对象11登记用途为车库，截止评估基准日，实际使用现状为商铺，且与估价对象12连通使用，本次评估以登记用途为准，特提醒报告使用方注意。</w:t>
            </w:r>
          </w:p>
          <w:p>
            <w:pPr>
              <w:widowControl/>
              <w:ind w:firstLine="440" w:firstLineChars="200"/>
              <w:jc w:val="left"/>
              <w:textAlignment w:val="center"/>
            </w:pPr>
            <w:r>
              <w:rPr>
                <w:rFonts w:hint="eastAsia" w:ascii="仿宋_GB2312" w:hAnsi="仿宋_GB2312" w:eastAsia="仿宋_GB2312" w:cs="仿宋_GB2312"/>
                <w:color w:val="000000" w:themeColor="text1"/>
                <w:sz w:val="22"/>
                <w:szCs w:val="22"/>
                <w14:textFill>
                  <w14:solidFill>
                    <w14:schemeClr w14:val="tx1"/>
                  </w14:solidFill>
                </w14:textFill>
              </w:rPr>
              <w:t>2.根据昆明市晋宁区房地产管理所工作人员向我公司出具的《房屋信息查询摘抄表》得知，估价对象11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11未设定抵押、查封等情况，特提醒报告使用方注意。</w:t>
            </w:r>
          </w:p>
        </w:tc>
      </w:tr>
    </w:tbl>
    <w:p/>
    <w:tbl>
      <w:tblPr>
        <w:tblStyle w:val="89"/>
        <w:tblW w:w="9253" w:type="dxa"/>
        <w:jc w:val="center"/>
        <w:tblLayout w:type="fixed"/>
        <w:tblCellMar>
          <w:top w:w="0" w:type="dxa"/>
          <w:left w:w="0" w:type="dxa"/>
          <w:bottom w:w="0" w:type="dxa"/>
          <w:right w:w="0" w:type="dxa"/>
        </w:tblCellMar>
      </w:tblPr>
      <w:tblGrid>
        <w:gridCol w:w="657"/>
        <w:gridCol w:w="670"/>
        <w:gridCol w:w="955"/>
        <w:gridCol w:w="2530"/>
        <w:gridCol w:w="1297"/>
        <w:gridCol w:w="3144"/>
      </w:tblGrid>
      <w:tr>
        <w:tblPrEx>
          <w:tblCellMar>
            <w:top w:w="0" w:type="dxa"/>
            <w:left w:w="0" w:type="dxa"/>
            <w:bottom w:w="0" w:type="dxa"/>
            <w:right w:w="0" w:type="dxa"/>
          </w:tblCellMar>
        </w:tblPrEx>
        <w:trPr>
          <w:trHeight w:val="342" w:hRule="atLeast"/>
          <w:jc w:val="center"/>
        </w:trPr>
        <w:tc>
          <w:tcPr>
            <w:tcW w:w="9253"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sz w:val="22"/>
                <w:szCs w:val="22"/>
              </w:rPr>
              <w:t>估价对象12基本状况表</w:t>
            </w:r>
          </w:p>
        </w:tc>
      </w:tr>
      <w:tr>
        <w:tblPrEx>
          <w:tblCellMar>
            <w:top w:w="0" w:type="dxa"/>
            <w:left w:w="0" w:type="dxa"/>
            <w:bottom w:w="0" w:type="dxa"/>
            <w:right w:w="0" w:type="dxa"/>
          </w:tblCellMar>
        </w:tblPrEx>
        <w:trPr>
          <w:trHeight w:val="56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466"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859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晋宁县昆阳镇湖景天颐家园</w:t>
            </w:r>
          </w:p>
        </w:tc>
      </w:tr>
      <w:tr>
        <w:tblPrEx>
          <w:tblCellMar>
            <w:top w:w="0" w:type="dxa"/>
            <w:left w:w="0" w:type="dxa"/>
            <w:bottom w:w="0" w:type="dxa"/>
            <w:right w:w="0" w:type="dxa"/>
          </w:tblCellMar>
        </w:tblPrEx>
        <w:trPr>
          <w:trHeight w:val="446"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48.23</w:t>
            </w:r>
          </w:p>
        </w:tc>
      </w:tr>
      <w:tr>
        <w:tblPrEx>
          <w:tblCellMar>
            <w:top w:w="0" w:type="dxa"/>
            <w:left w:w="0" w:type="dxa"/>
            <w:bottom w:w="0" w:type="dxa"/>
            <w:right w:w="0" w:type="dxa"/>
          </w:tblCellMar>
        </w:tblPrEx>
        <w:trPr>
          <w:trHeight w:val="439"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8.33</w:t>
            </w:r>
          </w:p>
        </w:tc>
      </w:tr>
      <w:tr>
        <w:tblPrEx>
          <w:tblCellMar>
            <w:top w:w="0" w:type="dxa"/>
            <w:left w:w="0" w:type="dxa"/>
            <w:bottom w:w="0" w:type="dxa"/>
            <w:right w:w="0" w:type="dxa"/>
          </w:tblCellMar>
        </w:tblPrEx>
        <w:trPr>
          <w:trHeight w:val="413"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规划用途</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商业</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登记用途</w:t>
            </w:r>
          </w:p>
        </w:tc>
        <w:tc>
          <w:tcPr>
            <w:tcW w:w="3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商业</w:t>
            </w:r>
          </w:p>
        </w:tc>
      </w:tr>
      <w:tr>
        <w:tblPrEx>
          <w:tblCellMar>
            <w:top w:w="0" w:type="dxa"/>
            <w:left w:w="0" w:type="dxa"/>
            <w:bottom w:w="0" w:type="dxa"/>
            <w:right w:w="0" w:type="dxa"/>
          </w:tblCellMar>
        </w:tblPrEx>
        <w:trPr>
          <w:trHeight w:val="434"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商业</w:t>
            </w:r>
          </w:p>
        </w:tc>
      </w:tr>
      <w:tr>
        <w:tblPrEx>
          <w:tblCellMar>
            <w:top w:w="0" w:type="dxa"/>
            <w:left w:w="0" w:type="dxa"/>
            <w:bottom w:w="0" w:type="dxa"/>
            <w:right w:w="0" w:type="dxa"/>
          </w:tblCellMar>
        </w:tblPrEx>
        <w:trPr>
          <w:trHeight w:val="467" w:hRule="atLeast"/>
          <w:jc w:val="center"/>
        </w:trPr>
        <w:tc>
          <w:tcPr>
            <w:tcW w:w="65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土地所有权</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归国家所有</w:t>
            </w:r>
          </w:p>
        </w:tc>
      </w:tr>
      <w:tr>
        <w:tblPrEx>
          <w:tblCellMar>
            <w:top w:w="0" w:type="dxa"/>
            <w:left w:w="0" w:type="dxa"/>
            <w:bottom w:w="0" w:type="dxa"/>
            <w:right w:w="0" w:type="dxa"/>
          </w:tblCellMar>
        </w:tblPrEx>
        <w:trPr>
          <w:trHeight w:val="47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权利类型</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sz w:val="22"/>
                <w:szCs w:val="22"/>
              </w:rPr>
              <w:t>出让</w:t>
            </w:r>
          </w:p>
        </w:tc>
      </w:tr>
      <w:tr>
        <w:tblPrEx>
          <w:tblCellMar>
            <w:top w:w="0" w:type="dxa"/>
            <w:left w:w="0" w:type="dxa"/>
            <w:bottom w:w="0" w:type="dxa"/>
            <w:right w:w="0" w:type="dxa"/>
          </w:tblCellMar>
        </w:tblPrEx>
        <w:trPr>
          <w:trHeight w:val="342"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刘玲</w:t>
            </w:r>
          </w:p>
        </w:tc>
      </w:tr>
      <w:tr>
        <w:tblPrEx>
          <w:tblCellMar>
            <w:top w:w="0" w:type="dxa"/>
            <w:left w:w="0" w:type="dxa"/>
            <w:bottom w:w="0" w:type="dxa"/>
            <w:right w:w="0" w:type="dxa"/>
          </w:tblCellMar>
        </w:tblPrEx>
        <w:trPr>
          <w:trHeight w:val="460" w:hRule="atLeast"/>
          <w:jc w:val="center"/>
        </w:trPr>
        <w:tc>
          <w:tcPr>
            <w:tcW w:w="6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房屋所有权人</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刘玲</w:t>
            </w:r>
          </w:p>
        </w:tc>
      </w:tr>
      <w:tr>
        <w:tblPrEx>
          <w:tblCellMar>
            <w:top w:w="0" w:type="dxa"/>
            <w:left w:w="0" w:type="dxa"/>
            <w:bottom w:w="0" w:type="dxa"/>
            <w:right w:w="0" w:type="dxa"/>
          </w:tblCellMar>
        </w:tblPrEx>
        <w:trPr>
          <w:trHeight w:val="92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eastAsia="仿宋_GB2312" w:cs="仿宋_GB2312"/>
                <w:color w:val="000000"/>
                <w:sz w:val="22"/>
                <w:szCs w:val="22"/>
              </w:rPr>
            </w:pP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其他需要说明的事项</w:t>
            </w:r>
          </w:p>
        </w:tc>
        <w:tc>
          <w:tcPr>
            <w:tcW w:w="69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40" w:firstLineChars="200"/>
              <w:jc w:val="left"/>
              <w:textAlignment w:val="center"/>
            </w:pPr>
            <w:r>
              <w:rPr>
                <w:rFonts w:hint="eastAsia" w:ascii="仿宋_GB2312" w:hAnsi="仿宋_GB2312" w:eastAsia="仿宋_GB2312" w:cs="仿宋_GB2312"/>
                <w:color w:val="000000" w:themeColor="text1"/>
                <w:sz w:val="22"/>
                <w:szCs w:val="22"/>
                <w14:textFill>
                  <w14:solidFill>
                    <w14:schemeClr w14:val="tx1"/>
                  </w14:solidFill>
                </w14:textFill>
              </w:rPr>
              <w:t>1.根据昆明市晋宁区房地产管理所工作人员向我公司出具的《房屋信息查询摘抄表》得知，估价对象12存在抵押、查封情况，由于本次评估目的为司法执行财产处置，根据房地产估价规范（GB/T50291-2015）第5.4.2的第2条规定，评估价值的影响因素应包括拍卖房地产的瑕疵，但不应该包括拍卖房地产被查封及拍卖房地产上原有的担保物权和其他优先受偿权，故本次评估假设估价对象12未设定抵押、查封等情况，特提醒报告使用方注意。</w:t>
            </w:r>
          </w:p>
        </w:tc>
      </w:tr>
    </w:tbl>
    <w:p>
      <w:pPr>
        <w:tabs>
          <w:tab w:val="left" w:pos="735"/>
          <w:tab w:val="left" w:pos="945"/>
        </w:tabs>
        <w:spacing w:line="360" w:lineRule="auto"/>
        <w:ind w:firstLine="562" w:firstLineChars="200"/>
        <w:rPr>
          <w:rFonts w:ascii="仿宋_GB2312" w:eastAsia="仿宋_GB2312"/>
          <w:b/>
          <w:sz w:val="28"/>
          <w:szCs w:val="28"/>
        </w:rPr>
      </w:pPr>
    </w:p>
    <w:p>
      <w:pPr>
        <w:tabs>
          <w:tab w:val="left" w:pos="735"/>
          <w:tab w:val="left" w:pos="945"/>
        </w:tabs>
        <w:spacing w:line="360" w:lineRule="auto"/>
        <w:ind w:firstLine="562" w:firstLineChars="200"/>
        <w:rPr>
          <w:rFonts w:ascii="仿宋_GB2312" w:eastAsia="仿宋_GB2312"/>
          <w:b/>
          <w:sz w:val="28"/>
          <w:szCs w:val="28"/>
        </w:rPr>
      </w:pPr>
      <w:r>
        <w:rPr>
          <w:rFonts w:hint="eastAsia" w:ascii="仿宋_GB2312" w:eastAsia="仿宋_GB2312"/>
          <w:b/>
          <w:sz w:val="28"/>
          <w:szCs w:val="28"/>
        </w:rPr>
        <w:t xml:space="preserve">（三）土地基本状况 </w:t>
      </w:r>
    </w:p>
    <w:tbl>
      <w:tblPr>
        <w:tblStyle w:val="89"/>
        <w:tblW w:w="9073" w:type="dxa"/>
        <w:tblInd w:w="-139" w:type="dxa"/>
        <w:tblLayout w:type="fixed"/>
        <w:tblCellMar>
          <w:top w:w="0" w:type="dxa"/>
          <w:left w:w="0" w:type="dxa"/>
          <w:bottom w:w="0" w:type="dxa"/>
          <w:right w:w="0" w:type="dxa"/>
        </w:tblCellMar>
      </w:tblPr>
      <w:tblGrid>
        <w:gridCol w:w="590"/>
        <w:gridCol w:w="1546"/>
        <w:gridCol w:w="6937"/>
      </w:tblGrid>
      <w:tr>
        <w:tblPrEx>
          <w:tblCellMar>
            <w:top w:w="0" w:type="dxa"/>
            <w:left w:w="0" w:type="dxa"/>
            <w:bottom w:w="0" w:type="dxa"/>
            <w:right w:w="0" w:type="dxa"/>
          </w:tblCellMar>
        </w:tblPrEx>
        <w:trPr>
          <w:trHeight w:val="342" w:hRule="atLeast"/>
        </w:trPr>
        <w:tc>
          <w:tcPr>
            <w:tcW w:w="9073" w:type="dxa"/>
            <w:gridSpan w:val="3"/>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估价对象1土地基本状况表</w:t>
            </w:r>
          </w:p>
        </w:tc>
      </w:tr>
      <w:tr>
        <w:tblPrEx>
          <w:tblCellMar>
            <w:top w:w="0" w:type="dxa"/>
            <w:left w:w="0" w:type="dxa"/>
            <w:bottom w:w="0" w:type="dxa"/>
            <w:right w:w="0" w:type="dxa"/>
          </w:tblCellMar>
        </w:tblPrEx>
        <w:trPr>
          <w:trHeight w:val="342" w:hRule="atLeast"/>
        </w:trPr>
        <w:tc>
          <w:tcPr>
            <w:tcW w:w="2136" w:type="dxa"/>
            <w:gridSpan w:val="2"/>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6937" w:type="dxa"/>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基本状况</w:t>
            </w:r>
          </w:p>
        </w:tc>
      </w:tr>
      <w:tr>
        <w:tblPrEx>
          <w:tblCellMar>
            <w:top w:w="0" w:type="dxa"/>
            <w:left w:w="0" w:type="dxa"/>
            <w:bottom w:w="0" w:type="dxa"/>
            <w:right w:w="0" w:type="dxa"/>
          </w:tblCellMar>
        </w:tblPrEx>
        <w:trPr>
          <w:trHeight w:val="362" w:hRule="atLeast"/>
        </w:trPr>
        <w:tc>
          <w:tcPr>
            <w:tcW w:w="2136"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6937" w:type="dxa"/>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61" w:hRule="atLeast"/>
        </w:trPr>
        <w:tc>
          <w:tcPr>
            <w:tcW w:w="2136"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6937"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晋宁县昆阳镇中和东路</w:t>
            </w:r>
          </w:p>
        </w:tc>
      </w:tr>
      <w:tr>
        <w:tblPrEx>
          <w:tblCellMar>
            <w:top w:w="0" w:type="dxa"/>
            <w:left w:w="0" w:type="dxa"/>
            <w:bottom w:w="0" w:type="dxa"/>
            <w:right w:w="0" w:type="dxa"/>
          </w:tblCellMar>
        </w:tblPrEx>
        <w:trPr>
          <w:trHeight w:val="413"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土地使用者</w:t>
            </w:r>
          </w:p>
        </w:tc>
        <w:tc>
          <w:tcPr>
            <w:tcW w:w="69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李红标</w:t>
            </w:r>
          </w:p>
        </w:tc>
      </w:tr>
      <w:tr>
        <w:tblPrEx>
          <w:tblCellMar>
            <w:top w:w="0" w:type="dxa"/>
            <w:left w:w="0" w:type="dxa"/>
            <w:bottom w:w="0" w:type="dxa"/>
            <w:right w:w="0" w:type="dxa"/>
          </w:tblCellMar>
        </w:tblPrEx>
        <w:trPr>
          <w:trHeight w:val="391"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权属登记编号</w:t>
            </w:r>
          </w:p>
        </w:tc>
        <w:tc>
          <w:tcPr>
            <w:tcW w:w="69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highlight w:val="yellow"/>
              </w:rPr>
            </w:pPr>
            <w:r>
              <w:rPr>
                <w:rFonts w:hint="eastAsia" w:ascii="仿宋_GB2312" w:hAnsi="仿宋_GB2312" w:eastAsia="仿宋_GB2312" w:cs="仿宋_GB2312"/>
                <w:bCs/>
                <w:color w:val="000000"/>
                <w:sz w:val="22"/>
                <w:szCs w:val="22"/>
              </w:rPr>
              <w:t>晋国（2010）字第694号</w:t>
            </w:r>
          </w:p>
        </w:tc>
      </w:tr>
      <w:tr>
        <w:tblPrEx>
          <w:tblCellMar>
            <w:top w:w="0" w:type="dxa"/>
            <w:left w:w="0" w:type="dxa"/>
            <w:bottom w:w="0" w:type="dxa"/>
            <w:right w:w="0" w:type="dxa"/>
          </w:tblCellMar>
        </w:tblPrEx>
        <w:trPr>
          <w:trHeight w:val="522" w:hRule="atLeast"/>
        </w:trPr>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w:t>
            </w:r>
          </w:p>
        </w:tc>
        <w:tc>
          <w:tcPr>
            <w:tcW w:w="69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四至为：东至巨桥路，南至中和路，西至城关路，北至康阜街</w:t>
            </w:r>
          </w:p>
        </w:tc>
      </w:tr>
      <w:tr>
        <w:tblPrEx>
          <w:tblCellMar>
            <w:top w:w="0" w:type="dxa"/>
            <w:left w:w="0" w:type="dxa"/>
            <w:bottom w:w="0" w:type="dxa"/>
            <w:right w:w="0" w:type="dxa"/>
          </w:tblCellMar>
        </w:tblPrEx>
        <w:trPr>
          <w:trHeight w:val="442" w:hRule="atLeast"/>
        </w:trPr>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形状</w:t>
            </w:r>
          </w:p>
        </w:tc>
        <w:tc>
          <w:tcPr>
            <w:tcW w:w="69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估价对象所占土地形状较规则</w:t>
            </w:r>
          </w:p>
        </w:tc>
      </w:tr>
      <w:tr>
        <w:tblPrEx>
          <w:tblCellMar>
            <w:top w:w="0" w:type="dxa"/>
            <w:left w:w="0" w:type="dxa"/>
            <w:bottom w:w="0" w:type="dxa"/>
            <w:right w:w="0" w:type="dxa"/>
          </w:tblCellMar>
        </w:tblPrEx>
        <w:trPr>
          <w:trHeight w:val="342" w:hRule="atLeast"/>
        </w:trPr>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r>
              <w:rPr>
                <w:rStyle w:val="234"/>
                <w:rFonts w:hint="default" w:ascii="仿宋_GB2312" w:hAnsi="仿宋_GB2312" w:eastAsia="仿宋_GB2312" w:cs="仿宋_GB2312"/>
              </w:rPr>
              <w:t>㎡</w:t>
            </w:r>
            <w:r>
              <w:rPr>
                <w:rFonts w:hint="eastAsia" w:ascii="仿宋_GB2312" w:hAnsi="仿宋_GB2312" w:eastAsia="仿宋_GB2312" w:cs="仿宋_GB2312"/>
                <w:color w:val="000000"/>
                <w:sz w:val="22"/>
                <w:szCs w:val="22"/>
              </w:rPr>
              <w:t>）</w:t>
            </w:r>
          </w:p>
        </w:tc>
        <w:tc>
          <w:tcPr>
            <w:tcW w:w="69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120.0</w:t>
            </w:r>
          </w:p>
        </w:tc>
      </w:tr>
      <w:tr>
        <w:tblPrEx>
          <w:tblCellMar>
            <w:top w:w="0" w:type="dxa"/>
            <w:left w:w="0" w:type="dxa"/>
            <w:bottom w:w="0" w:type="dxa"/>
            <w:right w:w="0" w:type="dxa"/>
          </w:tblCellMar>
        </w:tblPrEx>
        <w:trPr>
          <w:trHeight w:val="398" w:hRule="atLeast"/>
        </w:trPr>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69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城镇住宅用地</w:t>
            </w:r>
          </w:p>
        </w:tc>
      </w:tr>
      <w:tr>
        <w:tblPrEx>
          <w:tblCellMar>
            <w:top w:w="0" w:type="dxa"/>
            <w:left w:w="0" w:type="dxa"/>
            <w:bottom w:w="0" w:type="dxa"/>
            <w:right w:w="0" w:type="dxa"/>
          </w:tblCellMar>
        </w:tblPrEx>
        <w:trPr>
          <w:trHeight w:val="353" w:hRule="atLeast"/>
        </w:trPr>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土地使用剩余年限</w:t>
            </w:r>
          </w:p>
        </w:tc>
        <w:tc>
          <w:tcPr>
            <w:tcW w:w="69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52.46</w:t>
            </w:r>
          </w:p>
        </w:tc>
      </w:tr>
      <w:tr>
        <w:tblPrEx>
          <w:tblCellMar>
            <w:top w:w="0" w:type="dxa"/>
            <w:left w:w="0" w:type="dxa"/>
            <w:bottom w:w="0" w:type="dxa"/>
            <w:right w:w="0" w:type="dxa"/>
          </w:tblCellMar>
        </w:tblPrEx>
        <w:trPr>
          <w:trHeight w:val="432" w:hRule="atLeast"/>
        </w:trPr>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土地开发程度</w:t>
            </w:r>
          </w:p>
        </w:tc>
        <w:tc>
          <w:tcPr>
            <w:tcW w:w="69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“五通一平”（通供水、通排水、通电、通路、通讯，宗地红线内平整）</w:t>
            </w:r>
          </w:p>
        </w:tc>
      </w:tr>
    </w:tbl>
    <w:p>
      <w:pPr>
        <w:pStyle w:val="36"/>
        <w:snapToGrid w:val="0"/>
        <w:spacing w:line="360" w:lineRule="auto"/>
        <w:ind w:firstLine="312" w:firstLineChars="200"/>
        <w:rPr>
          <w:rFonts w:ascii="仿宋_GB2312" w:eastAsia="仿宋_GB2312"/>
          <w:bCs/>
          <w:sz w:val="18"/>
          <w:szCs w:val="18"/>
        </w:rPr>
      </w:pPr>
    </w:p>
    <w:tbl>
      <w:tblPr>
        <w:tblStyle w:val="89"/>
        <w:tblW w:w="9073" w:type="dxa"/>
        <w:tblInd w:w="-139" w:type="dxa"/>
        <w:tblLayout w:type="fixed"/>
        <w:tblCellMar>
          <w:top w:w="0" w:type="dxa"/>
          <w:left w:w="0" w:type="dxa"/>
          <w:bottom w:w="0" w:type="dxa"/>
          <w:right w:w="0" w:type="dxa"/>
        </w:tblCellMar>
      </w:tblPr>
      <w:tblGrid>
        <w:gridCol w:w="590"/>
        <w:gridCol w:w="1538"/>
        <w:gridCol w:w="6945"/>
      </w:tblGrid>
      <w:tr>
        <w:tblPrEx>
          <w:tblCellMar>
            <w:top w:w="0" w:type="dxa"/>
            <w:left w:w="0" w:type="dxa"/>
            <w:bottom w:w="0" w:type="dxa"/>
            <w:right w:w="0" w:type="dxa"/>
          </w:tblCellMar>
        </w:tblPrEx>
        <w:trPr>
          <w:trHeight w:val="342" w:hRule="atLeast"/>
        </w:trPr>
        <w:tc>
          <w:tcPr>
            <w:tcW w:w="9073" w:type="dxa"/>
            <w:gridSpan w:val="3"/>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估价对象2土地基本状况表</w:t>
            </w:r>
          </w:p>
        </w:tc>
      </w:tr>
      <w:tr>
        <w:tblPrEx>
          <w:tblCellMar>
            <w:top w:w="0" w:type="dxa"/>
            <w:left w:w="0" w:type="dxa"/>
            <w:bottom w:w="0" w:type="dxa"/>
            <w:right w:w="0" w:type="dxa"/>
          </w:tblCellMar>
        </w:tblPrEx>
        <w:trPr>
          <w:trHeight w:val="342" w:hRule="atLeast"/>
        </w:trPr>
        <w:tc>
          <w:tcPr>
            <w:tcW w:w="2128" w:type="dxa"/>
            <w:gridSpan w:val="2"/>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6945" w:type="dxa"/>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基本状况</w:t>
            </w:r>
          </w:p>
        </w:tc>
      </w:tr>
      <w:tr>
        <w:tblPrEx>
          <w:tblCellMar>
            <w:top w:w="0" w:type="dxa"/>
            <w:left w:w="0" w:type="dxa"/>
            <w:bottom w:w="0" w:type="dxa"/>
            <w:right w:w="0" w:type="dxa"/>
          </w:tblCellMar>
        </w:tblPrEx>
        <w:trPr>
          <w:trHeight w:val="380" w:hRule="atLeast"/>
        </w:trPr>
        <w:tc>
          <w:tcPr>
            <w:tcW w:w="2128"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6945" w:type="dxa"/>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48" w:hRule="atLeast"/>
        </w:trPr>
        <w:tc>
          <w:tcPr>
            <w:tcW w:w="2128"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694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昆阳镇昆阳大街593号（锦秀华城小区）</w:t>
            </w:r>
          </w:p>
        </w:tc>
      </w:tr>
      <w:tr>
        <w:tblPrEx>
          <w:tblCellMar>
            <w:top w:w="0" w:type="dxa"/>
            <w:left w:w="0" w:type="dxa"/>
            <w:bottom w:w="0" w:type="dxa"/>
            <w:right w:w="0" w:type="dxa"/>
          </w:tblCellMar>
        </w:tblPrEx>
        <w:trPr>
          <w:trHeight w:val="463"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土地使用者</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陈淑华</w:t>
            </w:r>
          </w:p>
        </w:tc>
      </w:tr>
      <w:tr>
        <w:tblPrEx>
          <w:tblCellMar>
            <w:top w:w="0" w:type="dxa"/>
            <w:left w:w="0" w:type="dxa"/>
            <w:bottom w:w="0" w:type="dxa"/>
            <w:right w:w="0" w:type="dxa"/>
          </w:tblCellMar>
        </w:tblPrEx>
        <w:trPr>
          <w:trHeight w:val="414"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权属登记编号</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highlight w:val="yellow"/>
              </w:rPr>
            </w:pPr>
            <w:r>
              <w:rPr>
                <w:rFonts w:hint="eastAsia" w:ascii="仿宋_GB2312" w:hAnsi="仿宋_GB2312" w:eastAsia="仿宋_GB2312" w:cs="仿宋_GB2312"/>
                <w:color w:val="000000"/>
                <w:sz w:val="22"/>
                <w:szCs w:val="22"/>
              </w:rPr>
              <w:t>晋国（2010）字第502号</w:t>
            </w:r>
          </w:p>
        </w:tc>
      </w:tr>
      <w:tr>
        <w:tblPrEx>
          <w:tblCellMar>
            <w:top w:w="0" w:type="dxa"/>
            <w:left w:w="0" w:type="dxa"/>
            <w:bottom w:w="0" w:type="dxa"/>
            <w:right w:w="0" w:type="dxa"/>
          </w:tblCellMar>
        </w:tblPrEx>
        <w:trPr>
          <w:trHeight w:val="522"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四至为：东至郑和文化广场，南至中和路，西至昆阳街，北至双拥路</w:t>
            </w:r>
          </w:p>
        </w:tc>
      </w:tr>
      <w:tr>
        <w:tblPrEx>
          <w:tblCellMar>
            <w:top w:w="0" w:type="dxa"/>
            <w:left w:w="0" w:type="dxa"/>
            <w:bottom w:w="0" w:type="dxa"/>
            <w:right w:w="0" w:type="dxa"/>
          </w:tblCellMar>
        </w:tblPrEx>
        <w:trPr>
          <w:trHeight w:val="442"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形状</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估价对象所占土地形状较规则</w:t>
            </w:r>
          </w:p>
        </w:tc>
      </w:tr>
      <w:tr>
        <w:tblPrEx>
          <w:tblCellMar>
            <w:top w:w="0" w:type="dxa"/>
            <w:left w:w="0" w:type="dxa"/>
            <w:bottom w:w="0" w:type="dxa"/>
            <w:right w:w="0" w:type="dxa"/>
          </w:tblCellMar>
        </w:tblPrEx>
        <w:trPr>
          <w:trHeight w:val="509"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r>
              <w:rPr>
                <w:rStyle w:val="234"/>
                <w:rFonts w:hint="default" w:ascii="仿宋_GB2312" w:hAnsi="仿宋_GB2312" w:eastAsia="仿宋_GB2312" w:cs="仿宋_GB2312"/>
              </w:rPr>
              <w:t>㎡</w:t>
            </w:r>
            <w:r>
              <w:rPr>
                <w:rFonts w:hint="eastAsia" w:ascii="仿宋_GB2312" w:hAnsi="仿宋_GB2312" w:eastAsia="仿宋_GB2312" w:cs="仿宋_GB2312"/>
                <w:color w:val="000000"/>
                <w:sz w:val="22"/>
                <w:szCs w:val="22"/>
              </w:rPr>
              <w:t>）</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16.9</w:t>
            </w:r>
          </w:p>
        </w:tc>
      </w:tr>
      <w:tr>
        <w:tblPrEx>
          <w:tblCellMar>
            <w:top w:w="0" w:type="dxa"/>
            <w:left w:w="0" w:type="dxa"/>
            <w:bottom w:w="0" w:type="dxa"/>
            <w:right w:w="0" w:type="dxa"/>
          </w:tblCellMar>
        </w:tblPrEx>
        <w:trPr>
          <w:trHeight w:val="398"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城镇住宅用地</w:t>
            </w:r>
          </w:p>
        </w:tc>
      </w:tr>
      <w:tr>
        <w:tblPrEx>
          <w:tblCellMar>
            <w:top w:w="0" w:type="dxa"/>
            <w:left w:w="0" w:type="dxa"/>
            <w:bottom w:w="0" w:type="dxa"/>
            <w:right w:w="0" w:type="dxa"/>
          </w:tblCellMar>
        </w:tblPrEx>
        <w:trPr>
          <w:trHeight w:val="602"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土地使用剩余年限</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55.57</w:t>
            </w:r>
          </w:p>
        </w:tc>
      </w:tr>
      <w:tr>
        <w:tblPrEx>
          <w:tblCellMar>
            <w:top w:w="0" w:type="dxa"/>
            <w:left w:w="0" w:type="dxa"/>
            <w:bottom w:w="0" w:type="dxa"/>
            <w:right w:w="0" w:type="dxa"/>
          </w:tblCellMar>
        </w:tblPrEx>
        <w:trPr>
          <w:trHeight w:val="432"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土地开发程度</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“五通一平”（通供水、通排水、通电、通路、通讯，宗地红线内平整）</w:t>
            </w:r>
          </w:p>
        </w:tc>
      </w:tr>
    </w:tbl>
    <w:p>
      <w:pPr>
        <w:pStyle w:val="36"/>
        <w:snapToGrid w:val="0"/>
        <w:spacing w:line="360" w:lineRule="auto"/>
        <w:ind w:firstLine="372" w:firstLineChars="200"/>
        <w:rPr>
          <w:rFonts w:ascii="仿宋_GB2312" w:eastAsia="仿宋_GB2312"/>
          <w:bCs/>
          <w:sz w:val="21"/>
          <w:szCs w:val="21"/>
        </w:rPr>
      </w:pPr>
    </w:p>
    <w:tbl>
      <w:tblPr>
        <w:tblStyle w:val="89"/>
        <w:tblW w:w="9073" w:type="dxa"/>
        <w:tblInd w:w="-139" w:type="dxa"/>
        <w:tblLayout w:type="fixed"/>
        <w:tblCellMar>
          <w:top w:w="0" w:type="dxa"/>
          <w:left w:w="0" w:type="dxa"/>
          <w:bottom w:w="0" w:type="dxa"/>
          <w:right w:w="0" w:type="dxa"/>
        </w:tblCellMar>
      </w:tblPr>
      <w:tblGrid>
        <w:gridCol w:w="590"/>
        <w:gridCol w:w="1538"/>
        <w:gridCol w:w="6945"/>
      </w:tblGrid>
      <w:tr>
        <w:tblPrEx>
          <w:tblCellMar>
            <w:top w:w="0" w:type="dxa"/>
            <w:left w:w="0" w:type="dxa"/>
            <w:bottom w:w="0" w:type="dxa"/>
            <w:right w:w="0" w:type="dxa"/>
          </w:tblCellMar>
        </w:tblPrEx>
        <w:trPr>
          <w:trHeight w:val="342" w:hRule="atLeast"/>
        </w:trPr>
        <w:tc>
          <w:tcPr>
            <w:tcW w:w="9073" w:type="dxa"/>
            <w:gridSpan w:val="3"/>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估价对象3土地基本状况表</w:t>
            </w:r>
          </w:p>
        </w:tc>
      </w:tr>
      <w:tr>
        <w:tblPrEx>
          <w:tblCellMar>
            <w:top w:w="0" w:type="dxa"/>
            <w:left w:w="0" w:type="dxa"/>
            <w:bottom w:w="0" w:type="dxa"/>
            <w:right w:w="0" w:type="dxa"/>
          </w:tblCellMar>
        </w:tblPrEx>
        <w:trPr>
          <w:trHeight w:val="342" w:hRule="atLeast"/>
        </w:trPr>
        <w:tc>
          <w:tcPr>
            <w:tcW w:w="2128" w:type="dxa"/>
            <w:gridSpan w:val="2"/>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6945" w:type="dxa"/>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基本状况</w:t>
            </w:r>
          </w:p>
        </w:tc>
      </w:tr>
      <w:tr>
        <w:tblPrEx>
          <w:tblCellMar>
            <w:top w:w="0" w:type="dxa"/>
            <w:left w:w="0" w:type="dxa"/>
            <w:bottom w:w="0" w:type="dxa"/>
            <w:right w:w="0" w:type="dxa"/>
          </w:tblCellMar>
        </w:tblPrEx>
        <w:trPr>
          <w:trHeight w:val="380" w:hRule="atLeast"/>
        </w:trPr>
        <w:tc>
          <w:tcPr>
            <w:tcW w:w="2128"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6945" w:type="dxa"/>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48" w:hRule="atLeast"/>
        </w:trPr>
        <w:tc>
          <w:tcPr>
            <w:tcW w:w="2128"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694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昆阳镇昆阳大街593号（锦秀华城小区）</w:t>
            </w:r>
          </w:p>
        </w:tc>
      </w:tr>
      <w:tr>
        <w:tblPrEx>
          <w:tblCellMar>
            <w:top w:w="0" w:type="dxa"/>
            <w:left w:w="0" w:type="dxa"/>
            <w:bottom w:w="0" w:type="dxa"/>
            <w:right w:w="0" w:type="dxa"/>
          </w:tblCellMar>
        </w:tblPrEx>
        <w:trPr>
          <w:trHeight w:val="523"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土地使用者</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张翠琼</w:t>
            </w:r>
          </w:p>
        </w:tc>
      </w:tr>
      <w:tr>
        <w:tblPrEx>
          <w:tblCellMar>
            <w:top w:w="0" w:type="dxa"/>
            <w:left w:w="0" w:type="dxa"/>
            <w:bottom w:w="0" w:type="dxa"/>
            <w:right w:w="0" w:type="dxa"/>
          </w:tblCellMar>
        </w:tblPrEx>
        <w:trPr>
          <w:trHeight w:val="402"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权属登记编号</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highlight w:val="yellow"/>
              </w:rPr>
            </w:pPr>
            <w:r>
              <w:rPr>
                <w:rFonts w:hint="eastAsia" w:ascii="仿宋_GB2312" w:hAnsi="仿宋_GB2312" w:eastAsia="仿宋_GB2312" w:cs="仿宋_GB2312"/>
                <w:color w:val="000000"/>
                <w:sz w:val="22"/>
                <w:szCs w:val="22"/>
              </w:rPr>
              <w:t>晋国（2010）字第509号</w:t>
            </w:r>
          </w:p>
        </w:tc>
      </w:tr>
      <w:tr>
        <w:tblPrEx>
          <w:tblCellMar>
            <w:top w:w="0" w:type="dxa"/>
            <w:left w:w="0" w:type="dxa"/>
            <w:bottom w:w="0" w:type="dxa"/>
            <w:right w:w="0" w:type="dxa"/>
          </w:tblCellMar>
        </w:tblPrEx>
        <w:trPr>
          <w:trHeight w:val="522"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四至为：东至郑和文化广场，南至中和路，西至昆阳街，北至双拥路</w:t>
            </w:r>
          </w:p>
        </w:tc>
      </w:tr>
      <w:tr>
        <w:tblPrEx>
          <w:tblCellMar>
            <w:top w:w="0" w:type="dxa"/>
            <w:left w:w="0" w:type="dxa"/>
            <w:bottom w:w="0" w:type="dxa"/>
            <w:right w:w="0" w:type="dxa"/>
          </w:tblCellMar>
        </w:tblPrEx>
        <w:trPr>
          <w:trHeight w:val="442"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形状</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估价对象所占土地形状较规则</w:t>
            </w:r>
          </w:p>
        </w:tc>
      </w:tr>
      <w:tr>
        <w:tblPrEx>
          <w:tblCellMar>
            <w:top w:w="0" w:type="dxa"/>
            <w:left w:w="0" w:type="dxa"/>
            <w:bottom w:w="0" w:type="dxa"/>
            <w:right w:w="0" w:type="dxa"/>
          </w:tblCellMar>
        </w:tblPrEx>
        <w:trPr>
          <w:trHeight w:val="509"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r>
              <w:rPr>
                <w:rStyle w:val="234"/>
                <w:rFonts w:hint="default" w:ascii="仿宋_GB2312" w:hAnsi="仿宋_GB2312" w:eastAsia="仿宋_GB2312" w:cs="仿宋_GB2312"/>
              </w:rPr>
              <w:t>㎡</w:t>
            </w:r>
            <w:r>
              <w:rPr>
                <w:rFonts w:hint="eastAsia" w:ascii="仿宋_GB2312" w:hAnsi="仿宋_GB2312" w:eastAsia="仿宋_GB2312" w:cs="仿宋_GB2312"/>
                <w:color w:val="000000"/>
                <w:sz w:val="22"/>
                <w:szCs w:val="22"/>
              </w:rPr>
              <w:t>）</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22.1</w:t>
            </w:r>
          </w:p>
        </w:tc>
      </w:tr>
      <w:tr>
        <w:tblPrEx>
          <w:tblCellMar>
            <w:top w:w="0" w:type="dxa"/>
            <w:left w:w="0" w:type="dxa"/>
            <w:bottom w:w="0" w:type="dxa"/>
            <w:right w:w="0" w:type="dxa"/>
          </w:tblCellMar>
        </w:tblPrEx>
        <w:trPr>
          <w:trHeight w:val="398"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城镇住宅用地</w:t>
            </w:r>
          </w:p>
        </w:tc>
      </w:tr>
      <w:tr>
        <w:tblPrEx>
          <w:tblCellMar>
            <w:top w:w="0" w:type="dxa"/>
            <w:left w:w="0" w:type="dxa"/>
            <w:bottom w:w="0" w:type="dxa"/>
            <w:right w:w="0" w:type="dxa"/>
          </w:tblCellMar>
        </w:tblPrEx>
        <w:trPr>
          <w:trHeight w:val="602"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土地使用剩余年限</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55.57</w:t>
            </w:r>
          </w:p>
        </w:tc>
      </w:tr>
      <w:tr>
        <w:tblPrEx>
          <w:tblCellMar>
            <w:top w:w="0" w:type="dxa"/>
            <w:left w:w="0" w:type="dxa"/>
            <w:bottom w:w="0" w:type="dxa"/>
            <w:right w:w="0" w:type="dxa"/>
          </w:tblCellMar>
        </w:tblPrEx>
        <w:trPr>
          <w:trHeight w:val="432"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土地开发程度</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“五通一平”（通供水、通排水、通电、通路、通讯，宗地红线内平整）</w:t>
            </w:r>
          </w:p>
        </w:tc>
      </w:tr>
    </w:tbl>
    <w:p>
      <w:pPr>
        <w:pStyle w:val="36"/>
        <w:snapToGrid w:val="0"/>
        <w:spacing w:line="360" w:lineRule="auto"/>
        <w:ind w:firstLine="372" w:firstLineChars="200"/>
        <w:rPr>
          <w:rFonts w:ascii="仿宋_GB2312" w:eastAsia="仿宋_GB2312"/>
          <w:bCs/>
          <w:sz w:val="21"/>
          <w:szCs w:val="21"/>
        </w:rPr>
      </w:pPr>
    </w:p>
    <w:tbl>
      <w:tblPr>
        <w:tblStyle w:val="89"/>
        <w:tblW w:w="9073" w:type="dxa"/>
        <w:tblInd w:w="-139" w:type="dxa"/>
        <w:tblLayout w:type="fixed"/>
        <w:tblCellMar>
          <w:top w:w="0" w:type="dxa"/>
          <w:left w:w="0" w:type="dxa"/>
          <w:bottom w:w="0" w:type="dxa"/>
          <w:right w:w="0" w:type="dxa"/>
        </w:tblCellMar>
      </w:tblPr>
      <w:tblGrid>
        <w:gridCol w:w="590"/>
        <w:gridCol w:w="1538"/>
        <w:gridCol w:w="6945"/>
      </w:tblGrid>
      <w:tr>
        <w:trPr>
          <w:trHeight w:val="342" w:hRule="atLeast"/>
        </w:trPr>
        <w:tc>
          <w:tcPr>
            <w:tcW w:w="9073" w:type="dxa"/>
            <w:gridSpan w:val="3"/>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估价对象4土地基本状况表</w:t>
            </w:r>
          </w:p>
        </w:tc>
      </w:tr>
      <w:tr>
        <w:tblPrEx>
          <w:tblCellMar>
            <w:top w:w="0" w:type="dxa"/>
            <w:left w:w="0" w:type="dxa"/>
            <w:bottom w:w="0" w:type="dxa"/>
            <w:right w:w="0" w:type="dxa"/>
          </w:tblCellMar>
        </w:tblPrEx>
        <w:trPr>
          <w:trHeight w:val="342" w:hRule="atLeast"/>
        </w:trPr>
        <w:tc>
          <w:tcPr>
            <w:tcW w:w="2128" w:type="dxa"/>
            <w:gridSpan w:val="2"/>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6945" w:type="dxa"/>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基本状况</w:t>
            </w:r>
          </w:p>
        </w:tc>
      </w:tr>
      <w:tr>
        <w:tblPrEx>
          <w:tblCellMar>
            <w:top w:w="0" w:type="dxa"/>
            <w:left w:w="0" w:type="dxa"/>
            <w:bottom w:w="0" w:type="dxa"/>
            <w:right w:w="0" w:type="dxa"/>
          </w:tblCellMar>
        </w:tblPrEx>
        <w:trPr>
          <w:trHeight w:val="397" w:hRule="atLeast"/>
        </w:trPr>
        <w:tc>
          <w:tcPr>
            <w:tcW w:w="2128"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6945" w:type="dxa"/>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65" w:hRule="atLeast"/>
        </w:trPr>
        <w:tc>
          <w:tcPr>
            <w:tcW w:w="2128"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694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晋宁县昆阳大街159号</w:t>
            </w:r>
          </w:p>
        </w:tc>
      </w:tr>
      <w:tr>
        <w:tblPrEx>
          <w:tblCellMar>
            <w:top w:w="0" w:type="dxa"/>
            <w:left w:w="0" w:type="dxa"/>
            <w:bottom w:w="0" w:type="dxa"/>
            <w:right w:w="0" w:type="dxa"/>
          </w:tblCellMar>
        </w:tblPrEx>
        <w:trPr>
          <w:trHeight w:val="415"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土地使用者</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赵春艳</w:t>
            </w:r>
          </w:p>
        </w:tc>
      </w:tr>
      <w:tr>
        <w:tblPrEx>
          <w:tblCellMar>
            <w:top w:w="0" w:type="dxa"/>
            <w:left w:w="0" w:type="dxa"/>
            <w:bottom w:w="0" w:type="dxa"/>
            <w:right w:w="0" w:type="dxa"/>
          </w:tblCellMar>
        </w:tblPrEx>
        <w:trPr>
          <w:trHeight w:val="414"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权属登记编号</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晋（2007）字第1757号</w:t>
            </w:r>
          </w:p>
        </w:tc>
      </w:tr>
      <w:tr>
        <w:tblPrEx>
          <w:tblCellMar>
            <w:top w:w="0" w:type="dxa"/>
            <w:left w:w="0" w:type="dxa"/>
            <w:bottom w:w="0" w:type="dxa"/>
            <w:right w:w="0" w:type="dxa"/>
          </w:tblCellMar>
        </w:tblPrEx>
        <w:trPr>
          <w:trHeight w:val="522"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四至为：东至永乐大街，南至磷都路，西至昆阳街，北至昆阳街</w:t>
            </w:r>
          </w:p>
        </w:tc>
      </w:tr>
      <w:tr>
        <w:tblPrEx>
          <w:tblCellMar>
            <w:top w:w="0" w:type="dxa"/>
            <w:left w:w="0" w:type="dxa"/>
            <w:bottom w:w="0" w:type="dxa"/>
            <w:right w:w="0" w:type="dxa"/>
          </w:tblCellMar>
        </w:tblPrEx>
        <w:trPr>
          <w:trHeight w:val="442"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形状</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估价对象所占土地形状较规则</w:t>
            </w:r>
          </w:p>
        </w:tc>
      </w:tr>
      <w:tr>
        <w:tblPrEx>
          <w:tblCellMar>
            <w:top w:w="0" w:type="dxa"/>
            <w:left w:w="0" w:type="dxa"/>
            <w:bottom w:w="0" w:type="dxa"/>
            <w:right w:w="0" w:type="dxa"/>
          </w:tblCellMar>
        </w:tblPrEx>
        <w:trPr>
          <w:trHeight w:val="403"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r>
              <w:rPr>
                <w:rStyle w:val="234"/>
                <w:rFonts w:hint="default" w:ascii="仿宋_GB2312" w:hAnsi="仿宋_GB2312" w:eastAsia="仿宋_GB2312" w:cs="仿宋_GB2312"/>
              </w:rPr>
              <w:t>㎡</w:t>
            </w:r>
            <w:r>
              <w:rPr>
                <w:rFonts w:hint="eastAsia" w:ascii="仿宋_GB2312" w:hAnsi="仿宋_GB2312" w:eastAsia="仿宋_GB2312" w:cs="仿宋_GB2312"/>
                <w:color w:val="000000"/>
                <w:sz w:val="22"/>
                <w:szCs w:val="22"/>
              </w:rPr>
              <w:t>）</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12.8</w:t>
            </w:r>
          </w:p>
        </w:tc>
      </w:tr>
      <w:tr>
        <w:tblPrEx>
          <w:tblCellMar>
            <w:top w:w="0" w:type="dxa"/>
            <w:left w:w="0" w:type="dxa"/>
            <w:bottom w:w="0" w:type="dxa"/>
            <w:right w:w="0" w:type="dxa"/>
          </w:tblCellMar>
        </w:tblPrEx>
        <w:trPr>
          <w:trHeight w:val="398"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城镇单一住宅用地</w:t>
            </w:r>
          </w:p>
        </w:tc>
      </w:tr>
      <w:tr>
        <w:tblPrEx>
          <w:tblCellMar>
            <w:top w:w="0" w:type="dxa"/>
            <w:left w:w="0" w:type="dxa"/>
            <w:bottom w:w="0" w:type="dxa"/>
            <w:right w:w="0" w:type="dxa"/>
          </w:tblCellMar>
        </w:tblPrEx>
        <w:trPr>
          <w:trHeight w:val="602"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土地使用剩余年限</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w:t>
            </w:r>
          </w:p>
        </w:tc>
      </w:tr>
      <w:tr>
        <w:tblPrEx>
          <w:tblCellMar>
            <w:top w:w="0" w:type="dxa"/>
            <w:left w:w="0" w:type="dxa"/>
            <w:bottom w:w="0" w:type="dxa"/>
            <w:right w:w="0" w:type="dxa"/>
          </w:tblCellMar>
        </w:tblPrEx>
        <w:trPr>
          <w:trHeight w:val="432" w:hRule="atLeast"/>
        </w:trPr>
        <w:tc>
          <w:tcPr>
            <w:tcW w:w="212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土地开发程度</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“五通一平”（通供水、通排水、通电、通路、通讯，宗地红线内平整）</w:t>
            </w:r>
          </w:p>
        </w:tc>
      </w:tr>
    </w:tbl>
    <w:p>
      <w:pPr>
        <w:pStyle w:val="36"/>
        <w:snapToGrid w:val="0"/>
        <w:spacing w:line="360" w:lineRule="auto"/>
        <w:ind w:firstLine="372" w:firstLineChars="200"/>
        <w:rPr>
          <w:rFonts w:ascii="仿宋_GB2312" w:eastAsia="仿宋_GB2312"/>
          <w:bCs/>
          <w:sz w:val="21"/>
          <w:szCs w:val="21"/>
        </w:rPr>
      </w:pPr>
    </w:p>
    <w:tbl>
      <w:tblPr>
        <w:tblStyle w:val="89"/>
        <w:tblW w:w="9073" w:type="dxa"/>
        <w:tblInd w:w="-139" w:type="dxa"/>
        <w:tblLayout w:type="fixed"/>
        <w:tblCellMar>
          <w:top w:w="0" w:type="dxa"/>
          <w:left w:w="0" w:type="dxa"/>
          <w:bottom w:w="0" w:type="dxa"/>
          <w:right w:w="0" w:type="dxa"/>
        </w:tblCellMar>
      </w:tblPr>
      <w:tblGrid>
        <w:gridCol w:w="590"/>
        <w:gridCol w:w="1550"/>
        <w:gridCol w:w="6933"/>
      </w:tblGrid>
      <w:tr>
        <w:tblPrEx>
          <w:tblCellMar>
            <w:top w:w="0" w:type="dxa"/>
            <w:left w:w="0" w:type="dxa"/>
            <w:bottom w:w="0" w:type="dxa"/>
            <w:right w:w="0" w:type="dxa"/>
          </w:tblCellMar>
        </w:tblPrEx>
        <w:trPr>
          <w:trHeight w:val="342" w:hRule="atLeast"/>
        </w:trPr>
        <w:tc>
          <w:tcPr>
            <w:tcW w:w="9073" w:type="dxa"/>
            <w:gridSpan w:val="3"/>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估价对象5土地基本状况表</w:t>
            </w:r>
          </w:p>
        </w:tc>
      </w:tr>
      <w:tr>
        <w:tblPrEx>
          <w:tblCellMar>
            <w:top w:w="0" w:type="dxa"/>
            <w:left w:w="0" w:type="dxa"/>
            <w:bottom w:w="0" w:type="dxa"/>
            <w:right w:w="0" w:type="dxa"/>
          </w:tblCellMar>
        </w:tblPrEx>
        <w:trPr>
          <w:trHeight w:val="342" w:hRule="atLeast"/>
        </w:trPr>
        <w:tc>
          <w:tcPr>
            <w:tcW w:w="2140" w:type="dxa"/>
            <w:gridSpan w:val="2"/>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6933" w:type="dxa"/>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基本状况</w:t>
            </w:r>
          </w:p>
        </w:tc>
      </w:tr>
      <w:tr>
        <w:tblPrEx>
          <w:tblCellMar>
            <w:top w:w="0" w:type="dxa"/>
            <w:left w:w="0" w:type="dxa"/>
            <w:bottom w:w="0" w:type="dxa"/>
            <w:right w:w="0" w:type="dxa"/>
          </w:tblCellMar>
        </w:tblPrEx>
        <w:trPr>
          <w:trHeight w:val="397" w:hRule="atLeast"/>
        </w:trPr>
        <w:tc>
          <w:tcPr>
            <w:tcW w:w="2140"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6933" w:type="dxa"/>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65" w:hRule="atLeast"/>
        </w:trPr>
        <w:tc>
          <w:tcPr>
            <w:tcW w:w="2140"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6933"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宝峰镇上方新街</w:t>
            </w:r>
          </w:p>
        </w:tc>
      </w:tr>
      <w:tr>
        <w:tblPrEx>
          <w:tblCellMar>
            <w:top w:w="0" w:type="dxa"/>
            <w:left w:w="0" w:type="dxa"/>
            <w:bottom w:w="0" w:type="dxa"/>
            <w:right w:w="0" w:type="dxa"/>
          </w:tblCellMar>
        </w:tblPrEx>
        <w:trPr>
          <w:trHeight w:val="415"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土地使用者</w:t>
            </w:r>
          </w:p>
        </w:tc>
        <w:tc>
          <w:tcPr>
            <w:tcW w:w="6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张学明</w:t>
            </w:r>
          </w:p>
        </w:tc>
      </w:tr>
      <w:tr>
        <w:tblPrEx>
          <w:tblCellMar>
            <w:top w:w="0" w:type="dxa"/>
            <w:left w:w="0" w:type="dxa"/>
            <w:bottom w:w="0" w:type="dxa"/>
            <w:right w:w="0" w:type="dxa"/>
          </w:tblCellMar>
        </w:tblPrEx>
        <w:trPr>
          <w:trHeight w:val="414"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权属登记编号</w:t>
            </w:r>
          </w:p>
        </w:tc>
        <w:tc>
          <w:tcPr>
            <w:tcW w:w="6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晋国（2002）字第282号</w:t>
            </w:r>
          </w:p>
        </w:tc>
      </w:tr>
      <w:tr>
        <w:tblPrEx>
          <w:tblCellMar>
            <w:top w:w="0" w:type="dxa"/>
            <w:left w:w="0" w:type="dxa"/>
            <w:bottom w:w="0" w:type="dxa"/>
            <w:right w:w="0" w:type="dxa"/>
          </w:tblCellMar>
        </w:tblPrEx>
        <w:trPr>
          <w:trHeight w:val="522" w:hRule="atLeast"/>
        </w:trPr>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w:t>
            </w:r>
          </w:p>
        </w:tc>
        <w:tc>
          <w:tcPr>
            <w:tcW w:w="6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四至为：东至龙翔路，南至进宝公路，西至万水路，北至宝峰一门市</w:t>
            </w:r>
          </w:p>
        </w:tc>
      </w:tr>
      <w:tr>
        <w:tblPrEx>
          <w:tblCellMar>
            <w:top w:w="0" w:type="dxa"/>
            <w:left w:w="0" w:type="dxa"/>
            <w:bottom w:w="0" w:type="dxa"/>
            <w:right w:w="0" w:type="dxa"/>
          </w:tblCellMar>
        </w:tblPrEx>
        <w:trPr>
          <w:trHeight w:val="442" w:hRule="atLeast"/>
        </w:trPr>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形状</w:t>
            </w:r>
          </w:p>
        </w:tc>
        <w:tc>
          <w:tcPr>
            <w:tcW w:w="6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估价对象所占土地形状较规则</w:t>
            </w:r>
          </w:p>
        </w:tc>
      </w:tr>
      <w:tr>
        <w:tblPrEx>
          <w:tblCellMar>
            <w:top w:w="0" w:type="dxa"/>
            <w:left w:w="0" w:type="dxa"/>
            <w:bottom w:w="0" w:type="dxa"/>
            <w:right w:w="0" w:type="dxa"/>
          </w:tblCellMar>
        </w:tblPrEx>
        <w:trPr>
          <w:trHeight w:val="427" w:hRule="atLeast"/>
        </w:trPr>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r>
              <w:rPr>
                <w:rStyle w:val="234"/>
                <w:rFonts w:hint="default" w:ascii="仿宋_GB2312" w:hAnsi="仿宋_GB2312" w:eastAsia="仿宋_GB2312" w:cs="仿宋_GB2312"/>
              </w:rPr>
              <w:t>㎡</w:t>
            </w:r>
            <w:r>
              <w:rPr>
                <w:rFonts w:hint="eastAsia" w:ascii="仿宋_GB2312" w:hAnsi="仿宋_GB2312" w:eastAsia="仿宋_GB2312" w:cs="仿宋_GB2312"/>
                <w:color w:val="000000"/>
                <w:sz w:val="22"/>
                <w:szCs w:val="22"/>
              </w:rPr>
              <w:t>）</w:t>
            </w:r>
          </w:p>
        </w:tc>
        <w:tc>
          <w:tcPr>
            <w:tcW w:w="6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172.0</w:t>
            </w:r>
          </w:p>
        </w:tc>
      </w:tr>
      <w:tr>
        <w:tblPrEx>
          <w:tblCellMar>
            <w:top w:w="0" w:type="dxa"/>
            <w:left w:w="0" w:type="dxa"/>
            <w:bottom w:w="0" w:type="dxa"/>
            <w:right w:w="0" w:type="dxa"/>
          </w:tblCellMar>
        </w:tblPrEx>
        <w:trPr>
          <w:trHeight w:val="398" w:hRule="atLeast"/>
        </w:trPr>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6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城镇单一住宅用地</w:t>
            </w:r>
          </w:p>
        </w:tc>
      </w:tr>
      <w:tr>
        <w:tblPrEx>
          <w:tblCellMar>
            <w:top w:w="0" w:type="dxa"/>
            <w:left w:w="0" w:type="dxa"/>
            <w:bottom w:w="0" w:type="dxa"/>
            <w:right w:w="0" w:type="dxa"/>
          </w:tblCellMar>
        </w:tblPrEx>
        <w:trPr>
          <w:trHeight w:val="496" w:hRule="atLeast"/>
        </w:trPr>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土地使用剩余年限</w:t>
            </w:r>
          </w:p>
        </w:tc>
        <w:tc>
          <w:tcPr>
            <w:tcW w:w="6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50.10</w:t>
            </w:r>
          </w:p>
        </w:tc>
      </w:tr>
      <w:tr>
        <w:tblPrEx>
          <w:tblCellMar>
            <w:top w:w="0" w:type="dxa"/>
            <w:left w:w="0" w:type="dxa"/>
            <w:bottom w:w="0" w:type="dxa"/>
            <w:right w:w="0" w:type="dxa"/>
          </w:tblCellMar>
        </w:tblPrEx>
        <w:trPr>
          <w:trHeight w:val="432" w:hRule="atLeast"/>
        </w:trPr>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土地开发程度</w:t>
            </w:r>
          </w:p>
        </w:tc>
        <w:tc>
          <w:tcPr>
            <w:tcW w:w="6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“五通一平”（通供水、通排水、通电、通路、通讯，宗地红线内平整）</w:t>
            </w:r>
          </w:p>
        </w:tc>
      </w:tr>
    </w:tbl>
    <w:p>
      <w:pPr>
        <w:pStyle w:val="36"/>
        <w:snapToGrid w:val="0"/>
        <w:spacing w:line="360" w:lineRule="auto"/>
        <w:ind w:firstLine="372" w:firstLineChars="200"/>
        <w:rPr>
          <w:rFonts w:ascii="仿宋_GB2312" w:eastAsia="仿宋_GB2312"/>
          <w:bCs/>
          <w:sz w:val="21"/>
          <w:szCs w:val="21"/>
        </w:rPr>
      </w:pPr>
    </w:p>
    <w:tbl>
      <w:tblPr>
        <w:tblStyle w:val="89"/>
        <w:tblW w:w="9073" w:type="dxa"/>
        <w:tblInd w:w="-139" w:type="dxa"/>
        <w:tblLayout w:type="fixed"/>
        <w:tblCellMar>
          <w:top w:w="0" w:type="dxa"/>
          <w:left w:w="0" w:type="dxa"/>
          <w:bottom w:w="0" w:type="dxa"/>
          <w:right w:w="0" w:type="dxa"/>
        </w:tblCellMar>
      </w:tblPr>
      <w:tblGrid>
        <w:gridCol w:w="590"/>
        <w:gridCol w:w="1562"/>
        <w:gridCol w:w="6921"/>
      </w:tblGrid>
      <w:tr>
        <w:tblPrEx>
          <w:tblCellMar>
            <w:top w:w="0" w:type="dxa"/>
            <w:left w:w="0" w:type="dxa"/>
            <w:bottom w:w="0" w:type="dxa"/>
            <w:right w:w="0" w:type="dxa"/>
          </w:tblCellMar>
        </w:tblPrEx>
        <w:trPr>
          <w:trHeight w:val="342" w:hRule="atLeast"/>
        </w:trPr>
        <w:tc>
          <w:tcPr>
            <w:tcW w:w="9073" w:type="dxa"/>
            <w:gridSpan w:val="3"/>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估价对象6土地基本状况表</w:t>
            </w:r>
          </w:p>
        </w:tc>
      </w:tr>
      <w:tr>
        <w:tblPrEx>
          <w:tblCellMar>
            <w:top w:w="0" w:type="dxa"/>
            <w:left w:w="0" w:type="dxa"/>
            <w:bottom w:w="0" w:type="dxa"/>
            <w:right w:w="0" w:type="dxa"/>
          </w:tblCellMar>
        </w:tblPrEx>
        <w:trPr>
          <w:trHeight w:val="342" w:hRule="atLeast"/>
        </w:trPr>
        <w:tc>
          <w:tcPr>
            <w:tcW w:w="2152" w:type="dxa"/>
            <w:gridSpan w:val="2"/>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6921" w:type="dxa"/>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基本状况</w:t>
            </w:r>
          </w:p>
        </w:tc>
      </w:tr>
      <w:tr>
        <w:tblPrEx>
          <w:tblCellMar>
            <w:top w:w="0" w:type="dxa"/>
            <w:left w:w="0" w:type="dxa"/>
            <w:bottom w:w="0" w:type="dxa"/>
            <w:right w:w="0" w:type="dxa"/>
          </w:tblCellMar>
        </w:tblPrEx>
        <w:trPr>
          <w:trHeight w:val="397" w:hRule="atLeast"/>
        </w:trPr>
        <w:tc>
          <w:tcPr>
            <w:tcW w:w="2152"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6921" w:type="dxa"/>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65" w:hRule="atLeast"/>
        </w:trPr>
        <w:tc>
          <w:tcPr>
            <w:tcW w:w="2152"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692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晋宁县昆阳街道办事处东凤路磷都花园小区36幢2号商铺</w:t>
            </w:r>
          </w:p>
        </w:tc>
      </w:tr>
      <w:tr>
        <w:tblPrEx>
          <w:tblCellMar>
            <w:top w:w="0" w:type="dxa"/>
            <w:left w:w="0" w:type="dxa"/>
            <w:bottom w:w="0" w:type="dxa"/>
            <w:right w:w="0" w:type="dxa"/>
          </w:tblCellMar>
        </w:tblPrEx>
        <w:trPr>
          <w:trHeight w:val="391"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土地使用者</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何云丽</w:t>
            </w:r>
          </w:p>
        </w:tc>
      </w:tr>
      <w:tr>
        <w:tblPrEx>
          <w:tblCellMar>
            <w:top w:w="0" w:type="dxa"/>
            <w:left w:w="0" w:type="dxa"/>
            <w:bottom w:w="0" w:type="dxa"/>
            <w:right w:w="0" w:type="dxa"/>
          </w:tblCellMar>
        </w:tblPrEx>
        <w:trPr>
          <w:trHeight w:val="414"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权属登记编号</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晋国用（2015）第2889号</w:t>
            </w:r>
          </w:p>
        </w:tc>
      </w:tr>
      <w:tr>
        <w:tblPrEx>
          <w:tblCellMar>
            <w:top w:w="0" w:type="dxa"/>
            <w:left w:w="0" w:type="dxa"/>
            <w:bottom w:w="0" w:type="dxa"/>
            <w:right w:w="0" w:type="dxa"/>
          </w:tblCellMar>
        </w:tblPrEx>
        <w:trPr>
          <w:trHeight w:val="522"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四至为：东至东凤路，南至和璟路，西至磷都路，北至东凤路</w:t>
            </w:r>
          </w:p>
        </w:tc>
      </w:tr>
      <w:tr>
        <w:tblPrEx>
          <w:tblCellMar>
            <w:top w:w="0" w:type="dxa"/>
            <w:left w:w="0" w:type="dxa"/>
            <w:bottom w:w="0" w:type="dxa"/>
            <w:right w:w="0" w:type="dxa"/>
          </w:tblCellMar>
        </w:tblPrEx>
        <w:trPr>
          <w:trHeight w:val="442"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形状</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估价对象所占土地形状较规则</w:t>
            </w:r>
          </w:p>
        </w:tc>
      </w:tr>
      <w:tr>
        <w:tblPrEx>
          <w:tblCellMar>
            <w:top w:w="0" w:type="dxa"/>
            <w:left w:w="0" w:type="dxa"/>
            <w:bottom w:w="0" w:type="dxa"/>
            <w:right w:w="0" w:type="dxa"/>
          </w:tblCellMar>
        </w:tblPrEx>
        <w:trPr>
          <w:trHeight w:val="509"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r>
              <w:rPr>
                <w:rStyle w:val="234"/>
                <w:rFonts w:hint="default" w:ascii="仿宋_GB2312" w:hAnsi="仿宋_GB2312" w:eastAsia="仿宋_GB2312" w:cs="仿宋_GB2312"/>
              </w:rPr>
              <w:t>㎡</w:t>
            </w:r>
            <w:r>
              <w:rPr>
                <w:rFonts w:hint="eastAsia" w:ascii="仿宋_GB2312" w:hAnsi="仿宋_GB2312" w:eastAsia="仿宋_GB2312" w:cs="仿宋_GB2312"/>
                <w:color w:val="000000"/>
                <w:sz w:val="22"/>
                <w:szCs w:val="22"/>
              </w:rPr>
              <w:t>）</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5.97</w:t>
            </w:r>
          </w:p>
        </w:tc>
      </w:tr>
      <w:tr>
        <w:tblPrEx>
          <w:tblCellMar>
            <w:top w:w="0" w:type="dxa"/>
            <w:left w:w="0" w:type="dxa"/>
            <w:bottom w:w="0" w:type="dxa"/>
            <w:right w:w="0" w:type="dxa"/>
          </w:tblCellMar>
        </w:tblPrEx>
        <w:trPr>
          <w:trHeight w:val="398"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批发零售用地</w:t>
            </w:r>
          </w:p>
        </w:tc>
      </w:tr>
      <w:tr>
        <w:tblPrEx>
          <w:tblCellMar>
            <w:top w:w="0" w:type="dxa"/>
            <w:left w:w="0" w:type="dxa"/>
            <w:bottom w:w="0" w:type="dxa"/>
            <w:right w:w="0" w:type="dxa"/>
          </w:tblCellMar>
        </w:tblPrEx>
        <w:trPr>
          <w:trHeight w:val="472"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土地使用剩余年限</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24.92</w:t>
            </w:r>
          </w:p>
        </w:tc>
      </w:tr>
      <w:tr>
        <w:tblPrEx>
          <w:tblCellMar>
            <w:top w:w="0" w:type="dxa"/>
            <w:left w:w="0" w:type="dxa"/>
            <w:bottom w:w="0" w:type="dxa"/>
            <w:right w:w="0" w:type="dxa"/>
          </w:tblCellMar>
        </w:tblPrEx>
        <w:trPr>
          <w:trHeight w:val="432"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土地开发程度</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“五通一平”（通供水、通排水、通电、通路、通讯，宗地红线内平整）</w:t>
            </w:r>
          </w:p>
        </w:tc>
      </w:tr>
    </w:tbl>
    <w:p>
      <w:pPr>
        <w:pStyle w:val="36"/>
        <w:snapToGrid w:val="0"/>
        <w:spacing w:line="360" w:lineRule="auto"/>
        <w:ind w:firstLine="372" w:firstLineChars="200"/>
        <w:rPr>
          <w:rFonts w:ascii="仿宋_GB2312" w:eastAsia="仿宋_GB2312"/>
          <w:bCs/>
          <w:sz w:val="21"/>
          <w:szCs w:val="21"/>
        </w:rPr>
      </w:pPr>
    </w:p>
    <w:tbl>
      <w:tblPr>
        <w:tblStyle w:val="89"/>
        <w:tblW w:w="9073" w:type="dxa"/>
        <w:tblInd w:w="-139" w:type="dxa"/>
        <w:tblLayout w:type="fixed"/>
        <w:tblCellMar>
          <w:top w:w="0" w:type="dxa"/>
          <w:left w:w="0" w:type="dxa"/>
          <w:bottom w:w="0" w:type="dxa"/>
          <w:right w:w="0" w:type="dxa"/>
        </w:tblCellMar>
      </w:tblPr>
      <w:tblGrid>
        <w:gridCol w:w="590"/>
        <w:gridCol w:w="1550"/>
        <w:gridCol w:w="12"/>
        <w:gridCol w:w="6921"/>
      </w:tblGrid>
      <w:tr>
        <w:tblPrEx>
          <w:tblCellMar>
            <w:top w:w="0" w:type="dxa"/>
            <w:left w:w="0" w:type="dxa"/>
            <w:bottom w:w="0" w:type="dxa"/>
            <w:right w:w="0" w:type="dxa"/>
          </w:tblCellMar>
        </w:tblPrEx>
        <w:trPr>
          <w:trHeight w:val="342" w:hRule="atLeast"/>
        </w:trPr>
        <w:tc>
          <w:tcPr>
            <w:tcW w:w="9073" w:type="dxa"/>
            <w:gridSpan w:val="4"/>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估价对象7土地基本状况表</w:t>
            </w:r>
          </w:p>
        </w:tc>
      </w:tr>
      <w:tr>
        <w:tblPrEx>
          <w:tblCellMar>
            <w:top w:w="0" w:type="dxa"/>
            <w:left w:w="0" w:type="dxa"/>
            <w:bottom w:w="0" w:type="dxa"/>
            <w:right w:w="0" w:type="dxa"/>
          </w:tblCellMar>
        </w:tblPrEx>
        <w:trPr>
          <w:trHeight w:val="342" w:hRule="atLeast"/>
        </w:trPr>
        <w:tc>
          <w:tcPr>
            <w:tcW w:w="2140" w:type="dxa"/>
            <w:gridSpan w:val="2"/>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6933" w:type="dxa"/>
            <w:gridSpan w:val="2"/>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基本状况</w:t>
            </w:r>
          </w:p>
        </w:tc>
      </w:tr>
      <w:tr>
        <w:tblPrEx>
          <w:tblCellMar>
            <w:top w:w="0" w:type="dxa"/>
            <w:left w:w="0" w:type="dxa"/>
            <w:bottom w:w="0" w:type="dxa"/>
            <w:right w:w="0" w:type="dxa"/>
          </w:tblCellMar>
        </w:tblPrEx>
        <w:trPr>
          <w:trHeight w:val="397" w:hRule="atLeast"/>
        </w:trPr>
        <w:tc>
          <w:tcPr>
            <w:tcW w:w="2140"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6933" w:type="dxa"/>
            <w:gridSpan w:val="2"/>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65" w:hRule="atLeast"/>
        </w:trPr>
        <w:tc>
          <w:tcPr>
            <w:tcW w:w="2140"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6933"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晋宁县昆阳街道办事处东凤路磷都花园小区36幢3号商铺</w:t>
            </w:r>
          </w:p>
        </w:tc>
      </w:tr>
      <w:tr>
        <w:tblPrEx>
          <w:tblCellMar>
            <w:top w:w="0" w:type="dxa"/>
            <w:left w:w="0" w:type="dxa"/>
            <w:bottom w:w="0" w:type="dxa"/>
            <w:right w:w="0" w:type="dxa"/>
          </w:tblCellMar>
        </w:tblPrEx>
        <w:trPr>
          <w:trHeight w:val="391"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土地使用者</w:t>
            </w:r>
          </w:p>
        </w:tc>
        <w:tc>
          <w:tcPr>
            <w:tcW w:w="693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何云丽</w:t>
            </w:r>
          </w:p>
        </w:tc>
      </w:tr>
      <w:tr>
        <w:tblPrEx>
          <w:tblCellMar>
            <w:top w:w="0" w:type="dxa"/>
            <w:left w:w="0" w:type="dxa"/>
            <w:bottom w:w="0" w:type="dxa"/>
            <w:right w:w="0" w:type="dxa"/>
          </w:tblCellMar>
        </w:tblPrEx>
        <w:trPr>
          <w:trHeight w:val="414"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权属登记编号</w:t>
            </w:r>
          </w:p>
        </w:tc>
        <w:tc>
          <w:tcPr>
            <w:tcW w:w="693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晋国用（2015）第289</w:t>
            </w:r>
            <w:r>
              <w:rPr>
                <w:rFonts w:hint="eastAsia" w:ascii="仿宋_GB2312" w:hAnsi="仿宋_GB2312" w:eastAsia="仿宋_GB2312" w:cs="仿宋_GB2312"/>
                <w:sz w:val="22"/>
                <w:szCs w:val="22"/>
                <w:lang w:val="en-US" w:eastAsia="zh-CN"/>
              </w:rPr>
              <w:t>0</w:t>
            </w:r>
            <w:r>
              <w:rPr>
                <w:rFonts w:hint="eastAsia" w:ascii="仿宋_GB2312" w:hAnsi="仿宋_GB2312" w:eastAsia="仿宋_GB2312" w:cs="仿宋_GB2312"/>
                <w:sz w:val="22"/>
                <w:szCs w:val="22"/>
              </w:rPr>
              <w:t>号</w:t>
            </w:r>
          </w:p>
        </w:tc>
      </w:tr>
      <w:tr>
        <w:tblPrEx>
          <w:tblCellMar>
            <w:top w:w="0" w:type="dxa"/>
            <w:left w:w="0" w:type="dxa"/>
            <w:bottom w:w="0" w:type="dxa"/>
            <w:right w:w="0" w:type="dxa"/>
          </w:tblCellMar>
        </w:tblPrEx>
        <w:trPr>
          <w:trHeight w:val="522" w:hRule="atLeast"/>
        </w:trPr>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w:t>
            </w:r>
          </w:p>
        </w:tc>
        <w:tc>
          <w:tcPr>
            <w:tcW w:w="693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四至为：东至东凤路，南至和璟路，西至磷都路，北至东凤路</w:t>
            </w:r>
          </w:p>
        </w:tc>
      </w:tr>
      <w:tr>
        <w:tblPrEx>
          <w:tblCellMar>
            <w:top w:w="0" w:type="dxa"/>
            <w:left w:w="0" w:type="dxa"/>
            <w:bottom w:w="0" w:type="dxa"/>
            <w:right w:w="0" w:type="dxa"/>
          </w:tblCellMar>
        </w:tblPrEx>
        <w:trPr>
          <w:trHeight w:val="442" w:hRule="atLeast"/>
        </w:trPr>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形状</w:t>
            </w:r>
          </w:p>
        </w:tc>
        <w:tc>
          <w:tcPr>
            <w:tcW w:w="693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估价对象所占土地形状较规则</w:t>
            </w:r>
          </w:p>
        </w:tc>
      </w:tr>
      <w:tr>
        <w:tblPrEx>
          <w:tblCellMar>
            <w:top w:w="0" w:type="dxa"/>
            <w:left w:w="0" w:type="dxa"/>
            <w:bottom w:w="0" w:type="dxa"/>
            <w:right w:w="0" w:type="dxa"/>
          </w:tblCellMar>
        </w:tblPrEx>
        <w:trPr>
          <w:trHeight w:val="403" w:hRule="atLeast"/>
        </w:trPr>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r>
              <w:rPr>
                <w:rStyle w:val="234"/>
                <w:rFonts w:hint="default" w:ascii="仿宋_GB2312" w:hAnsi="仿宋_GB2312" w:eastAsia="仿宋_GB2312" w:cs="仿宋_GB2312"/>
              </w:rPr>
              <w:t>㎡</w:t>
            </w:r>
            <w:r>
              <w:rPr>
                <w:rFonts w:hint="eastAsia" w:ascii="仿宋_GB2312" w:hAnsi="仿宋_GB2312" w:eastAsia="仿宋_GB2312" w:cs="仿宋_GB2312"/>
                <w:color w:val="000000"/>
                <w:sz w:val="22"/>
                <w:szCs w:val="22"/>
              </w:rPr>
              <w:t>）</w:t>
            </w:r>
          </w:p>
        </w:tc>
        <w:tc>
          <w:tcPr>
            <w:tcW w:w="693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8.92</w:t>
            </w:r>
          </w:p>
        </w:tc>
      </w:tr>
      <w:tr>
        <w:tblPrEx>
          <w:tblCellMar>
            <w:top w:w="0" w:type="dxa"/>
            <w:left w:w="0" w:type="dxa"/>
            <w:bottom w:w="0" w:type="dxa"/>
            <w:right w:w="0" w:type="dxa"/>
          </w:tblCellMar>
        </w:tblPrEx>
        <w:trPr>
          <w:trHeight w:val="398" w:hRule="atLeast"/>
        </w:trPr>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693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批发零售用地</w:t>
            </w:r>
          </w:p>
        </w:tc>
      </w:tr>
      <w:tr>
        <w:tblPrEx>
          <w:tblCellMar>
            <w:top w:w="0" w:type="dxa"/>
            <w:left w:w="0" w:type="dxa"/>
            <w:bottom w:w="0" w:type="dxa"/>
            <w:right w:w="0" w:type="dxa"/>
          </w:tblCellMar>
        </w:tblPrEx>
        <w:trPr>
          <w:trHeight w:val="602" w:hRule="atLeast"/>
        </w:trPr>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土地使用剩余年限</w:t>
            </w:r>
          </w:p>
        </w:tc>
        <w:tc>
          <w:tcPr>
            <w:tcW w:w="693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24.92</w:t>
            </w:r>
          </w:p>
        </w:tc>
      </w:tr>
      <w:tr>
        <w:tblPrEx>
          <w:tblCellMar>
            <w:top w:w="0" w:type="dxa"/>
            <w:left w:w="0" w:type="dxa"/>
            <w:bottom w:w="0" w:type="dxa"/>
            <w:right w:w="0" w:type="dxa"/>
          </w:tblCellMar>
        </w:tblPrEx>
        <w:trPr>
          <w:trHeight w:val="432" w:hRule="atLeast"/>
        </w:trPr>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土地开发程度</w:t>
            </w:r>
          </w:p>
        </w:tc>
        <w:tc>
          <w:tcPr>
            <w:tcW w:w="693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“五通一平”（通供水、通排水、通电、通路、通讯，宗地红线内平整）</w:t>
            </w:r>
          </w:p>
        </w:tc>
      </w:tr>
      <w:tr>
        <w:tblPrEx>
          <w:tblCellMar>
            <w:top w:w="0" w:type="dxa"/>
            <w:left w:w="0" w:type="dxa"/>
            <w:bottom w:w="0" w:type="dxa"/>
            <w:right w:w="0" w:type="dxa"/>
          </w:tblCellMar>
        </w:tblPrEx>
        <w:trPr>
          <w:trHeight w:val="342" w:hRule="atLeast"/>
        </w:trPr>
        <w:tc>
          <w:tcPr>
            <w:tcW w:w="9073" w:type="dxa"/>
            <w:gridSpan w:val="4"/>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估价对象8土地基本状况表</w:t>
            </w:r>
          </w:p>
        </w:tc>
      </w:tr>
      <w:tr>
        <w:tblPrEx>
          <w:tblCellMar>
            <w:top w:w="0" w:type="dxa"/>
            <w:left w:w="0" w:type="dxa"/>
            <w:bottom w:w="0" w:type="dxa"/>
            <w:right w:w="0" w:type="dxa"/>
          </w:tblCellMar>
        </w:tblPrEx>
        <w:trPr>
          <w:trHeight w:val="342" w:hRule="atLeast"/>
        </w:trPr>
        <w:tc>
          <w:tcPr>
            <w:tcW w:w="2152" w:type="dxa"/>
            <w:gridSpan w:val="3"/>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6921" w:type="dxa"/>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基本状况</w:t>
            </w:r>
          </w:p>
        </w:tc>
      </w:tr>
      <w:tr>
        <w:tblPrEx>
          <w:tblCellMar>
            <w:top w:w="0" w:type="dxa"/>
            <w:left w:w="0" w:type="dxa"/>
            <w:bottom w:w="0" w:type="dxa"/>
            <w:right w:w="0" w:type="dxa"/>
          </w:tblCellMar>
        </w:tblPrEx>
        <w:trPr>
          <w:trHeight w:val="397" w:hRule="atLeast"/>
        </w:trPr>
        <w:tc>
          <w:tcPr>
            <w:tcW w:w="2152" w:type="dxa"/>
            <w:gridSpan w:val="3"/>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6921" w:type="dxa"/>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65" w:hRule="atLeast"/>
        </w:trPr>
        <w:tc>
          <w:tcPr>
            <w:tcW w:w="2152" w:type="dxa"/>
            <w:gridSpan w:val="3"/>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692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晋宁县昆阳街道办事处东凤路磷都花园小区36幢4号商铺</w:t>
            </w:r>
          </w:p>
        </w:tc>
      </w:tr>
      <w:tr>
        <w:tblPrEx>
          <w:tblCellMar>
            <w:top w:w="0" w:type="dxa"/>
            <w:left w:w="0" w:type="dxa"/>
            <w:bottom w:w="0" w:type="dxa"/>
            <w:right w:w="0" w:type="dxa"/>
          </w:tblCellMar>
        </w:tblPrEx>
        <w:trPr>
          <w:trHeight w:val="403"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土地使用者</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何云丽</w:t>
            </w:r>
          </w:p>
        </w:tc>
      </w:tr>
      <w:tr>
        <w:tblPrEx>
          <w:tblCellMar>
            <w:top w:w="0" w:type="dxa"/>
            <w:left w:w="0" w:type="dxa"/>
            <w:bottom w:w="0" w:type="dxa"/>
            <w:right w:w="0" w:type="dxa"/>
          </w:tblCellMar>
        </w:tblPrEx>
        <w:trPr>
          <w:trHeight w:val="414"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权属登记编号</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晋国用（2015）第2891号</w:t>
            </w:r>
          </w:p>
        </w:tc>
      </w:tr>
      <w:tr>
        <w:tblPrEx>
          <w:tblCellMar>
            <w:top w:w="0" w:type="dxa"/>
            <w:left w:w="0" w:type="dxa"/>
            <w:bottom w:w="0" w:type="dxa"/>
            <w:right w:w="0" w:type="dxa"/>
          </w:tblCellMar>
        </w:tblPrEx>
        <w:trPr>
          <w:trHeight w:val="522" w:hRule="atLeast"/>
        </w:trPr>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四至为：东至东凤路，南至和璟路，西至磷都路，北至东凤路</w:t>
            </w:r>
          </w:p>
        </w:tc>
      </w:tr>
      <w:tr>
        <w:tblPrEx>
          <w:tblCellMar>
            <w:top w:w="0" w:type="dxa"/>
            <w:left w:w="0" w:type="dxa"/>
            <w:bottom w:w="0" w:type="dxa"/>
            <w:right w:w="0" w:type="dxa"/>
          </w:tblCellMar>
        </w:tblPrEx>
        <w:trPr>
          <w:trHeight w:val="442" w:hRule="atLeast"/>
        </w:trPr>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形状</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估价对象所占土地形状较规则</w:t>
            </w:r>
          </w:p>
        </w:tc>
      </w:tr>
      <w:tr>
        <w:tblPrEx>
          <w:tblCellMar>
            <w:top w:w="0" w:type="dxa"/>
            <w:left w:w="0" w:type="dxa"/>
            <w:bottom w:w="0" w:type="dxa"/>
            <w:right w:w="0" w:type="dxa"/>
          </w:tblCellMar>
        </w:tblPrEx>
        <w:trPr>
          <w:trHeight w:val="391" w:hRule="atLeast"/>
        </w:trPr>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r>
              <w:rPr>
                <w:rStyle w:val="234"/>
                <w:rFonts w:hint="default" w:ascii="仿宋_GB2312" w:hAnsi="仿宋_GB2312" w:eastAsia="仿宋_GB2312" w:cs="仿宋_GB2312"/>
              </w:rPr>
              <w:t>㎡</w:t>
            </w:r>
            <w:r>
              <w:rPr>
                <w:rFonts w:hint="eastAsia" w:ascii="仿宋_GB2312" w:hAnsi="仿宋_GB2312" w:eastAsia="仿宋_GB2312" w:cs="仿宋_GB2312"/>
                <w:color w:val="000000"/>
                <w:sz w:val="22"/>
                <w:szCs w:val="22"/>
              </w:rPr>
              <w:t>）</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6.73</w:t>
            </w:r>
          </w:p>
        </w:tc>
      </w:tr>
      <w:tr>
        <w:tblPrEx>
          <w:tblCellMar>
            <w:top w:w="0" w:type="dxa"/>
            <w:left w:w="0" w:type="dxa"/>
            <w:bottom w:w="0" w:type="dxa"/>
            <w:right w:w="0" w:type="dxa"/>
          </w:tblCellMar>
        </w:tblPrEx>
        <w:trPr>
          <w:trHeight w:val="398" w:hRule="atLeast"/>
        </w:trPr>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批发零售用地</w:t>
            </w:r>
          </w:p>
        </w:tc>
      </w:tr>
      <w:tr>
        <w:tblPrEx>
          <w:tblCellMar>
            <w:top w:w="0" w:type="dxa"/>
            <w:left w:w="0" w:type="dxa"/>
            <w:bottom w:w="0" w:type="dxa"/>
            <w:right w:w="0" w:type="dxa"/>
          </w:tblCellMar>
        </w:tblPrEx>
        <w:trPr>
          <w:trHeight w:val="602" w:hRule="atLeast"/>
        </w:trPr>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土地使用剩余年限</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24.92</w:t>
            </w:r>
          </w:p>
        </w:tc>
      </w:tr>
      <w:tr>
        <w:tblPrEx>
          <w:tblCellMar>
            <w:top w:w="0" w:type="dxa"/>
            <w:left w:w="0" w:type="dxa"/>
            <w:bottom w:w="0" w:type="dxa"/>
            <w:right w:w="0" w:type="dxa"/>
          </w:tblCellMar>
        </w:tblPrEx>
        <w:trPr>
          <w:trHeight w:val="432" w:hRule="atLeast"/>
        </w:trPr>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土地开发程度</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“五通一平”（通供水、通排水、通电、通路、通讯，宗地红线内平整）</w:t>
            </w:r>
          </w:p>
        </w:tc>
      </w:tr>
    </w:tbl>
    <w:p>
      <w:pPr>
        <w:pStyle w:val="36"/>
        <w:snapToGrid w:val="0"/>
        <w:spacing w:line="360" w:lineRule="auto"/>
        <w:ind w:firstLine="372" w:firstLineChars="200"/>
        <w:rPr>
          <w:rFonts w:ascii="仿宋_GB2312" w:eastAsia="仿宋_GB2312"/>
          <w:bCs/>
          <w:sz w:val="21"/>
          <w:szCs w:val="21"/>
        </w:rPr>
      </w:pPr>
    </w:p>
    <w:tbl>
      <w:tblPr>
        <w:tblStyle w:val="89"/>
        <w:tblW w:w="9073" w:type="dxa"/>
        <w:tblInd w:w="-139" w:type="dxa"/>
        <w:tblLayout w:type="fixed"/>
        <w:tblCellMar>
          <w:top w:w="0" w:type="dxa"/>
          <w:left w:w="0" w:type="dxa"/>
          <w:bottom w:w="0" w:type="dxa"/>
          <w:right w:w="0" w:type="dxa"/>
        </w:tblCellMar>
      </w:tblPr>
      <w:tblGrid>
        <w:gridCol w:w="590"/>
        <w:gridCol w:w="1562"/>
        <w:gridCol w:w="6921"/>
      </w:tblGrid>
      <w:tr>
        <w:tblPrEx>
          <w:tblCellMar>
            <w:top w:w="0" w:type="dxa"/>
            <w:left w:w="0" w:type="dxa"/>
            <w:bottom w:w="0" w:type="dxa"/>
            <w:right w:w="0" w:type="dxa"/>
          </w:tblCellMar>
        </w:tblPrEx>
        <w:trPr>
          <w:trHeight w:val="342" w:hRule="atLeast"/>
        </w:trPr>
        <w:tc>
          <w:tcPr>
            <w:tcW w:w="9073" w:type="dxa"/>
            <w:gridSpan w:val="3"/>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估价对象9土地基本状况表</w:t>
            </w:r>
          </w:p>
        </w:tc>
      </w:tr>
      <w:tr>
        <w:tblPrEx>
          <w:tblCellMar>
            <w:top w:w="0" w:type="dxa"/>
            <w:left w:w="0" w:type="dxa"/>
            <w:bottom w:w="0" w:type="dxa"/>
            <w:right w:w="0" w:type="dxa"/>
          </w:tblCellMar>
        </w:tblPrEx>
        <w:trPr>
          <w:trHeight w:val="342" w:hRule="atLeast"/>
        </w:trPr>
        <w:tc>
          <w:tcPr>
            <w:tcW w:w="2152" w:type="dxa"/>
            <w:gridSpan w:val="2"/>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6921" w:type="dxa"/>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基本状况</w:t>
            </w:r>
          </w:p>
        </w:tc>
      </w:tr>
      <w:tr>
        <w:tblPrEx>
          <w:tblCellMar>
            <w:top w:w="0" w:type="dxa"/>
            <w:left w:w="0" w:type="dxa"/>
            <w:bottom w:w="0" w:type="dxa"/>
            <w:right w:w="0" w:type="dxa"/>
          </w:tblCellMar>
        </w:tblPrEx>
        <w:trPr>
          <w:trHeight w:val="397" w:hRule="atLeast"/>
        </w:trPr>
        <w:tc>
          <w:tcPr>
            <w:tcW w:w="2152"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6921" w:type="dxa"/>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65" w:hRule="atLeast"/>
        </w:trPr>
        <w:tc>
          <w:tcPr>
            <w:tcW w:w="2152"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692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晋宁县中和乡堡孜村委会东凤公路南侧</w:t>
            </w:r>
          </w:p>
        </w:tc>
      </w:tr>
      <w:tr>
        <w:tblPrEx>
          <w:tblCellMar>
            <w:top w:w="0" w:type="dxa"/>
            <w:left w:w="0" w:type="dxa"/>
            <w:bottom w:w="0" w:type="dxa"/>
            <w:right w:w="0" w:type="dxa"/>
          </w:tblCellMar>
        </w:tblPrEx>
        <w:trPr>
          <w:trHeight w:val="391"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土地使用者</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何岗</w:t>
            </w:r>
          </w:p>
        </w:tc>
      </w:tr>
      <w:tr>
        <w:tblPrEx>
          <w:tblCellMar>
            <w:top w:w="0" w:type="dxa"/>
            <w:left w:w="0" w:type="dxa"/>
            <w:bottom w:w="0" w:type="dxa"/>
            <w:right w:w="0" w:type="dxa"/>
          </w:tblCellMar>
        </w:tblPrEx>
        <w:trPr>
          <w:trHeight w:val="438"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权属登记编号</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晋国（1997）字第314号</w:t>
            </w:r>
          </w:p>
        </w:tc>
      </w:tr>
      <w:tr>
        <w:tblPrEx>
          <w:tblCellMar>
            <w:top w:w="0" w:type="dxa"/>
            <w:left w:w="0" w:type="dxa"/>
            <w:bottom w:w="0" w:type="dxa"/>
            <w:right w:w="0" w:type="dxa"/>
          </w:tblCellMar>
        </w:tblPrEx>
        <w:trPr>
          <w:trHeight w:val="522"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四至为：东至东凤路，南至磷都路，西至巨桥路，北至东凤路</w:t>
            </w:r>
          </w:p>
        </w:tc>
      </w:tr>
      <w:tr>
        <w:tblPrEx>
          <w:tblCellMar>
            <w:top w:w="0" w:type="dxa"/>
            <w:left w:w="0" w:type="dxa"/>
            <w:bottom w:w="0" w:type="dxa"/>
            <w:right w:w="0" w:type="dxa"/>
          </w:tblCellMar>
        </w:tblPrEx>
        <w:trPr>
          <w:trHeight w:val="442"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形状</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估价对象所占土地形状较规则</w:t>
            </w:r>
          </w:p>
        </w:tc>
      </w:tr>
      <w:tr>
        <w:tblPrEx>
          <w:tblCellMar>
            <w:top w:w="0" w:type="dxa"/>
            <w:left w:w="0" w:type="dxa"/>
            <w:bottom w:w="0" w:type="dxa"/>
            <w:right w:w="0" w:type="dxa"/>
          </w:tblCellMar>
        </w:tblPrEx>
        <w:trPr>
          <w:trHeight w:val="509"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r>
              <w:rPr>
                <w:rStyle w:val="234"/>
                <w:rFonts w:hint="default" w:ascii="仿宋_GB2312" w:hAnsi="仿宋_GB2312" w:eastAsia="仿宋_GB2312" w:cs="仿宋_GB2312"/>
              </w:rPr>
              <w:t>㎡</w:t>
            </w:r>
            <w:r>
              <w:rPr>
                <w:rFonts w:hint="eastAsia" w:ascii="仿宋_GB2312" w:hAnsi="仿宋_GB2312" w:eastAsia="仿宋_GB2312" w:cs="仿宋_GB2312"/>
                <w:color w:val="000000"/>
                <w:sz w:val="22"/>
                <w:szCs w:val="22"/>
              </w:rPr>
              <w:t>）</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858.4</w:t>
            </w:r>
          </w:p>
        </w:tc>
      </w:tr>
      <w:tr>
        <w:tblPrEx>
          <w:tblCellMar>
            <w:top w:w="0" w:type="dxa"/>
            <w:left w:w="0" w:type="dxa"/>
            <w:bottom w:w="0" w:type="dxa"/>
            <w:right w:w="0" w:type="dxa"/>
          </w:tblCellMar>
        </w:tblPrEx>
        <w:trPr>
          <w:trHeight w:val="398"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商业用地</w:t>
            </w:r>
          </w:p>
        </w:tc>
      </w:tr>
      <w:tr>
        <w:tblPrEx>
          <w:tblCellMar>
            <w:top w:w="0" w:type="dxa"/>
            <w:left w:w="0" w:type="dxa"/>
            <w:bottom w:w="0" w:type="dxa"/>
            <w:right w:w="0" w:type="dxa"/>
          </w:tblCellMar>
        </w:tblPrEx>
        <w:trPr>
          <w:trHeight w:val="484"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土地使用剩余年限</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25.49</w:t>
            </w:r>
          </w:p>
        </w:tc>
      </w:tr>
      <w:tr>
        <w:tblPrEx>
          <w:tblCellMar>
            <w:top w:w="0" w:type="dxa"/>
            <w:left w:w="0" w:type="dxa"/>
            <w:bottom w:w="0" w:type="dxa"/>
            <w:right w:w="0" w:type="dxa"/>
          </w:tblCellMar>
        </w:tblPrEx>
        <w:trPr>
          <w:trHeight w:val="432"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土地开发程度</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“五通一平”（通供水、通排水、通电、通路、通讯，宗地红线内平整）</w:t>
            </w:r>
          </w:p>
        </w:tc>
      </w:tr>
    </w:tbl>
    <w:p>
      <w:pPr>
        <w:pStyle w:val="36"/>
        <w:snapToGrid w:val="0"/>
        <w:spacing w:line="360" w:lineRule="auto"/>
        <w:ind w:firstLine="372" w:firstLineChars="200"/>
        <w:rPr>
          <w:rFonts w:ascii="仿宋_GB2312" w:eastAsia="仿宋_GB2312"/>
          <w:bCs/>
          <w:sz w:val="21"/>
          <w:szCs w:val="21"/>
        </w:rPr>
      </w:pPr>
    </w:p>
    <w:tbl>
      <w:tblPr>
        <w:tblStyle w:val="89"/>
        <w:tblW w:w="9073" w:type="dxa"/>
        <w:tblInd w:w="-139" w:type="dxa"/>
        <w:tblLayout w:type="fixed"/>
        <w:tblCellMar>
          <w:top w:w="0" w:type="dxa"/>
          <w:left w:w="0" w:type="dxa"/>
          <w:bottom w:w="0" w:type="dxa"/>
          <w:right w:w="0" w:type="dxa"/>
        </w:tblCellMar>
      </w:tblPr>
      <w:tblGrid>
        <w:gridCol w:w="590"/>
        <w:gridCol w:w="1562"/>
        <w:gridCol w:w="6921"/>
      </w:tblGrid>
      <w:tr>
        <w:tblPrEx>
          <w:tblCellMar>
            <w:top w:w="0" w:type="dxa"/>
            <w:left w:w="0" w:type="dxa"/>
            <w:bottom w:w="0" w:type="dxa"/>
            <w:right w:w="0" w:type="dxa"/>
          </w:tblCellMar>
        </w:tblPrEx>
        <w:trPr>
          <w:trHeight w:val="342" w:hRule="atLeast"/>
        </w:trPr>
        <w:tc>
          <w:tcPr>
            <w:tcW w:w="9073" w:type="dxa"/>
            <w:gridSpan w:val="3"/>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估价对象10土地基本状况表</w:t>
            </w:r>
          </w:p>
        </w:tc>
      </w:tr>
      <w:tr>
        <w:tblPrEx>
          <w:tblCellMar>
            <w:top w:w="0" w:type="dxa"/>
            <w:left w:w="0" w:type="dxa"/>
            <w:bottom w:w="0" w:type="dxa"/>
            <w:right w:w="0" w:type="dxa"/>
          </w:tblCellMar>
        </w:tblPrEx>
        <w:trPr>
          <w:trHeight w:val="342" w:hRule="atLeast"/>
        </w:trPr>
        <w:tc>
          <w:tcPr>
            <w:tcW w:w="2152" w:type="dxa"/>
            <w:gridSpan w:val="2"/>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6921" w:type="dxa"/>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基本状况</w:t>
            </w:r>
          </w:p>
        </w:tc>
      </w:tr>
      <w:tr>
        <w:tblPrEx>
          <w:tblCellMar>
            <w:top w:w="0" w:type="dxa"/>
            <w:left w:w="0" w:type="dxa"/>
            <w:bottom w:w="0" w:type="dxa"/>
            <w:right w:w="0" w:type="dxa"/>
          </w:tblCellMar>
        </w:tblPrEx>
        <w:trPr>
          <w:trHeight w:val="397" w:hRule="atLeast"/>
        </w:trPr>
        <w:tc>
          <w:tcPr>
            <w:tcW w:w="2152"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6921" w:type="dxa"/>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65" w:hRule="atLeast"/>
        </w:trPr>
        <w:tc>
          <w:tcPr>
            <w:tcW w:w="2152"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692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昆阳镇环西路89号</w:t>
            </w:r>
          </w:p>
        </w:tc>
      </w:tr>
      <w:tr>
        <w:tblPrEx>
          <w:tblCellMar>
            <w:top w:w="0" w:type="dxa"/>
            <w:left w:w="0" w:type="dxa"/>
            <w:bottom w:w="0" w:type="dxa"/>
            <w:right w:w="0" w:type="dxa"/>
          </w:tblCellMar>
        </w:tblPrEx>
        <w:trPr>
          <w:trHeight w:val="439"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土地使用者</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陈淑华</w:t>
            </w:r>
          </w:p>
        </w:tc>
      </w:tr>
      <w:tr>
        <w:tblPrEx>
          <w:tblCellMar>
            <w:top w:w="0" w:type="dxa"/>
            <w:left w:w="0" w:type="dxa"/>
            <w:bottom w:w="0" w:type="dxa"/>
            <w:right w:w="0" w:type="dxa"/>
          </w:tblCellMar>
        </w:tblPrEx>
        <w:trPr>
          <w:trHeight w:val="500"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权属登记编号</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晋国（98）字第253号</w:t>
            </w:r>
          </w:p>
        </w:tc>
      </w:tr>
      <w:tr>
        <w:tblPrEx>
          <w:tblCellMar>
            <w:top w:w="0" w:type="dxa"/>
            <w:left w:w="0" w:type="dxa"/>
            <w:bottom w:w="0" w:type="dxa"/>
            <w:right w:w="0" w:type="dxa"/>
          </w:tblCellMar>
        </w:tblPrEx>
        <w:trPr>
          <w:trHeight w:val="522"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四至为：东至环西路，南至磷都路，西至磷都路，北至晋宁区职业高级中学</w:t>
            </w:r>
          </w:p>
        </w:tc>
      </w:tr>
      <w:tr>
        <w:tblPrEx>
          <w:tblCellMar>
            <w:top w:w="0" w:type="dxa"/>
            <w:left w:w="0" w:type="dxa"/>
            <w:bottom w:w="0" w:type="dxa"/>
            <w:right w:w="0" w:type="dxa"/>
          </w:tblCellMar>
        </w:tblPrEx>
        <w:trPr>
          <w:trHeight w:val="442"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形状</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估价对象所占土地形状较规则</w:t>
            </w:r>
          </w:p>
        </w:tc>
      </w:tr>
      <w:tr>
        <w:tblPrEx>
          <w:tblCellMar>
            <w:top w:w="0" w:type="dxa"/>
            <w:left w:w="0" w:type="dxa"/>
            <w:bottom w:w="0" w:type="dxa"/>
            <w:right w:w="0" w:type="dxa"/>
          </w:tblCellMar>
        </w:tblPrEx>
        <w:trPr>
          <w:trHeight w:val="509"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r>
              <w:rPr>
                <w:rStyle w:val="234"/>
                <w:rFonts w:hint="default" w:ascii="仿宋_GB2312" w:hAnsi="仿宋_GB2312" w:eastAsia="仿宋_GB2312" w:cs="仿宋_GB2312"/>
              </w:rPr>
              <w:t>㎡</w:t>
            </w:r>
            <w:r>
              <w:rPr>
                <w:rFonts w:hint="eastAsia" w:ascii="仿宋_GB2312" w:hAnsi="仿宋_GB2312" w:eastAsia="仿宋_GB2312" w:cs="仿宋_GB2312"/>
                <w:color w:val="000000"/>
                <w:sz w:val="22"/>
                <w:szCs w:val="22"/>
              </w:rPr>
              <w:t>）</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132.97</w:t>
            </w:r>
          </w:p>
        </w:tc>
      </w:tr>
      <w:tr>
        <w:tblPrEx>
          <w:tblCellMar>
            <w:top w:w="0" w:type="dxa"/>
            <w:left w:w="0" w:type="dxa"/>
            <w:bottom w:w="0" w:type="dxa"/>
            <w:right w:w="0" w:type="dxa"/>
          </w:tblCellMar>
        </w:tblPrEx>
        <w:trPr>
          <w:trHeight w:val="398"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rPr>
              <w:t>住宅</w:t>
            </w:r>
          </w:p>
        </w:tc>
      </w:tr>
      <w:tr>
        <w:tblPrEx>
          <w:tblCellMar>
            <w:top w:w="0" w:type="dxa"/>
            <w:left w:w="0" w:type="dxa"/>
            <w:bottom w:w="0" w:type="dxa"/>
            <w:right w:w="0" w:type="dxa"/>
          </w:tblCellMar>
        </w:tblPrEx>
        <w:trPr>
          <w:trHeight w:val="558"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土地使用剩余年限</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w:t>
            </w:r>
          </w:p>
        </w:tc>
      </w:tr>
      <w:tr>
        <w:tblPrEx>
          <w:tblCellMar>
            <w:top w:w="0" w:type="dxa"/>
            <w:left w:w="0" w:type="dxa"/>
            <w:bottom w:w="0" w:type="dxa"/>
            <w:right w:w="0" w:type="dxa"/>
          </w:tblCellMar>
        </w:tblPrEx>
        <w:trPr>
          <w:trHeight w:val="432"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土地开发程度</w:t>
            </w:r>
          </w:p>
        </w:tc>
        <w:tc>
          <w:tcPr>
            <w:tcW w:w="6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“五通一平”（通供水、通排水、通电、通路、通讯，宗地红线内平整）</w:t>
            </w:r>
          </w:p>
        </w:tc>
      </w:tr>
    </w:tbl>
    <w:p>
      <w:pPr>
        <w:pStyle w:val="36"/>
        <w:snapToGrid w:val="0"/>
        <w:spacing w:line="360" w:lineRule="auto"/>
        <w:ind w:firstLine="372" w:firstLineChars="200"/>
        <w:rPr>
          <w:rFonts w:ascii="仿宋_GB2312" w:eastAsia="仿宋_GB2312"/>
          <w:bCs/>
          <w:sz w:val="21"/>
          <w:szCs w:val="21"/>
        </w:rPr>
      </w:pPr>
    </w:p>
    <w:tbl>
      <w:tblPr>
        <w:tblStyle w:val="89"/>
        <w:tblW w:w="9073" w:type="dxa"/>
        <w:tblInd w:w="-139" w:type="dxa"/>
        <w:tblLayout w:type="fixed"/>
        <w:tblCellMar>
          <w:top w:w="0" w:type="dxa"/>
          <w:left w:w="0" w:type="dxa"/>
          <w:bottom w:w="0" w:type="dxa"/>
          <w:right w:w="0" w:type="dxa"/>
        </w:tblCellMar>
      </w:tblPr>
      <w:tblGrid>
        <w:gridCol w:w="590"/>
        <w:gridCol w:w="1478"/>
        <w:gridCol w:w="7005"/>
      </w:tblGrid>
      <w:tr>
        <w:tblPrEx>
          <w:tblCellMar>
            <w:top w:w="0" w:type="dxa"/>
            <w:left w:w="0" w:type="dxa"/>
            <w:bottom w:w="0" w:type="dxa"/>
            <w:right w:w="0" w:type="dxa"/>
          </w:tblCellMar>
        </w:tblPrEx>
        <w:trPr>
          <w:trHeight w:val="342" w:hRule="atLeast"/>
        </w:trPr>
        <w:tc>
          <w:tcPr>
            <w:tcW w:w="9073" w:type="dxa"/>
            <w:gridSpan w:val="3"/>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估价对象11土地基本状况表</w:t>
            </w:r>
          </w:p>
        </w:tc>
      </w:tr>
      <w:tr>
        <w:tblPrEx>
          <w:tblCellMar>
            <w:top w:w="0" w:type="dxa"/>
            <w:left w:w="0" w:type="dxa"/>
            <w:bottom w:w="0" w:type="dxa"/>
            <w:right w:w="0" w:type="dxa"/>
          </w:tblCellMar>
        </w:tblPrEx>
        <w:trPr>
          <w:trHeight w:val="342" w:hRule="atLeast"/>
        </w:trPr>
        <w:tc>
          <w:tcPr>
            <w:tcW w:w="2068" w:type="dxa"/>
            <w:gridSpan w:val="2"/>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005" w:type="dxa"/>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基本状况</w:t>
            </w:r>
          </w:p>
        </w:tc>
      </w:tr>
      <w:tr>
        <w:tblPrEx>
          <w:tblCellMar>
            <w:top w:w="0" w:type="dxa"/>
            <w:left w:w="0" w:type="dxa"/>
            <w:bottom w:w="0" w:type="dxa"/>
            <w:right w:w="0" w:type="dxa"/>
          </w:tblCellMar>
        </w:tblPrEx>
        <w:trPr>
          <w:trHeight w:val="397" w:hRule="atLeast"/>
        </w:trPr>
        <w:tc>
          <w:tcPr>
            <w:tcW w:w="2068"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005" w:type="dxa"/>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65" w:hRule="atLeast"/>
        </w:trPr>
        <w:tc>
          <w:tcPr>
            <w:tcW w:w="2068"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00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晋宁县昆阳街道办事处兴隆村湖景天颐家园一期4幢1-04号车库</w:t>
            </w:r>
          </w:p>
        </w:tc>
      </w:tr>
      <w:tr>
        <w:tblPrEx>
          <w:tblCellMar>
            <w:top w:w="0" w:type="dxa"/>
            <w:left w:w="0" w:type="dxa"/>
            <w:bottom w:w="0" w:type="dxa"/>
            <w:right w:w="0" w:type="dxa"/>
          </w:tblCellMar>
        </w:tblPrEx>
        <w:trPr>
          <w:trHeight w:val="499"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土地使用者</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刘玲</w:t>
            </w:r>
          </w:p>
        </w:tc>
      </w:tr>
      <w:tr>
        <w:tblPrEx>
          <w:tblCellMar>
            <w:top w:w="0" w:type="dxa"/>
            <w:left w:w="0" w:type="dxa"/>
            <w:bottom w:w="0" w:type="dxa"/>
            <w:right w:w="0" w:type="dxa"/>
          </w:tblCellMar>
        </w:tblPrEx>
        <w:trPr>
          <w:trHeight w:val="484"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权属登记编号</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晋国用（2016）第1079号</w:t>
            </w:r>
          </w:p>
        </w:tc>
      </w:tr>
      <w:tr>
        <w:tblPrEx>
          <w:tblCellMar>
            <w:top w:w="0" w:type="dxa"/>
            <w:left w:w="0" w:type="dxa"/>
            <w:bottom w:w="0" w:type="dxa"/>
            <w:right w:w="0" w:type="dxa"/>
          </w:tblCellMar>
        </w:tblPrEx>
        <w:trPr>
          <w:trHeight w:val="522" w:hRule="atLeast"/>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四至为：东至环湖南路，南至湖景路，西至昆明绕城高速，北至昆明绕城高速</w:t>
            </w:r>
          </w:p>
        </w:tc>
      </w:tr>
      <w:tr>
        <w:tblPrEx>
          <w:tblCellMar>
            <w:top w:w="0" w:type="dxa"/>
            <w:left w:w="0" w:type="dxa"/>
            <w:bottom w:w="0" w:type="dxa"/>
            <w:right w:w="0" w:type="dxa"/>
          </w:tblCellMar>
        </w:tblPrEx>
        <w:trPr>
          <w:trHeight w:val="442" w:hRule="atLeast"/>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形状</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估价对象所占土地形状较规则</w:t>
            </w:r>
          </w:p>
        </w:tc>
      </w:tr>
      <w:tr>
        <w:tblPrEx>
          <w:tblCellMar>
            <w:top w:w="0" w:type="dxa"/>
            <w:left w:w="0" w:type="dxa"/>
            <w:bottom w:w="0" w:type="dxa"/>
            <w:right w:w="0" w:type="dxa"/>
          </w:tblCellMar>
        </w:tblPrEx>
        <w:trPr>
          <w:trHeight w:val="379" w:hRule="atLeast"/>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r>
              <w:rPr>
                <w:rStyle w:val="234"/>
                <w:rFonts w:hint="default" w:ascii="仿宋_GB2312" w:hAnsi="仿宋_GB2312" w:eastAsia="仿宋_GB2312" w:cs="仿宋_GB2312"/>
              </w:rPr>
              <w:t>㎡</w:t>
            </w:r>
            <w:r>
              <w:rPr>
                <w:rFonts w:hint="eastAsia" w:ascii="仿宋_GB2312" w:hAnsi="仿宋_GB2312" w:eastAsia="仿宋_GB2312" w:cs="仿宋_GB2312"/>
                <w:color w:val="000000"/>
                <w:sz w:val="22"/>
                <w:szCs w:val="22"/>
              </w:rPr>
              <w:t>）</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3.73</w:t>
            </w:r>
          </w:p>
        </w:tc>
      </w:tr>
      <w:tr>
        <w:tblPrEx>
          <w:tblCellMar>
            <w:top w:w="0" w:type="dxa"/>
            <w:left w:w="0" w:type="dxa"/>
            <w:bottom w:w="0" w:type="dxa"/>
            <w:right w:w="0" w:type="dxa"/>
          </w:tblCellMar>
        </w:tblPrEx>
        <w:trPr>
          <w:trHeight w:val="398" w:hRule="atLeast"/>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城镇住宅用地（车库）</w:t>
            </w:r>
          </w:p>
        </w:tc>
      </w:tr>
      <w:tr>
        <w:tblPrEx>
          <w:tblCellMar>
            <w:top w:w="0" w:type="dxa"/>
            <w:left w:w="0" w:type="dxa"/>
            <w:bottom w:w="0" w:type="dxa"/>
            <w:right w:w="0" w:type="dxa"/>
          </w:tblCellMar>
        </w:tblPrEx>
        <w:trPr>
          <w:trHeight w:val="602" w:hRule="atLeast"/>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土地使用剩余年限</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55.63</w:t>
            </w:r>
          </w:p>
        </w:tc>
      </w:tr>
      <w:tr>
        <w:tblPrEx>
          <w:tblCellMar>
            <w:top w:w="0" w:type="dxa"/>
            <w:left w:w="0" w:type="dxa"/>
            <w:bottom w:w="0" w:type="dxa"/>
            <w:right w:w="0" w:type="dxa"/>
          </w:tblCellMar>
        </w:tblPrEx>
        <w:trPr>
          <w:trHeight w:val="432" w:hRule="atLeast"/>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土地开发程度</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“五通一平”（通供水、通排水、通电、通路、通讯，宗地红线内平整）</w:t>
            </w:r>
          </w:p>
        </w:tc>
      </w:tr>
    </w:tbl>
    <w:p>
      <w:pPr>
        <w:pStyle w:val="36"/>
        <w:snapToGrid w:val="0"/>
        <w:spacing w:line="360" w:lineRule="auto"/>
        <w:ind w:firstLine="372" w:firstLineChars="200"/>
        <w:rPr>
          <w:rFonts w:ascii="仿宋_GB2312" w:eastAsia="仿宋_GB2312"/>
          <w:bCs/>
          <w:sz w:val="21"/>
          <w:szCs w:val="21"/>
        </w:rPr>
      </w:pPr>
    </w:p>
    <w:tbl>
      <w:tblPr>
        <w:tblStyle w:val="89"/>
        <w:tblW w:w="9073" w:type="dxa"/>
        <w:tblInd w:w="-139" w:type="dxa"/>
        <w:tblLayout w:type="fixed"/>
        <w:tblCellMar>
          <w:top w:w="0" w:type="dxa"/>
          <w:left w:w="0" w:type="dxa"/>
          <w:bottom w:w="0" w:type="dxa"/>
          <w:right w:w="0" w:type="dxa"/>
        </w:tblCellMar>
      </w:tblPr>
      <w:tblGrid>
        <w:gridCol w:w="590"/>
        <w:gridCol w:w="1478"/>
        <w:gridCol w:w="7005"/>
      </w:tblGrid>
      <w:tr>
        <w:tblPrEx>
          <w:tblCellMar>
            <w:top w:w="0" w:type="dxa"/>
            <w:left w:w="0" w:type="dxa"/>
            <w:bottom w:w="0" w:type="dxa"/>
            <w:right w:w="0" w:type="dxa"/>
          </w:tblCellMar>
        </w:tblPrEx>
        <w:trPr>
          <w:trHeight w:val="342" w:hRule="atLeast"/>
        </w:trPr>
        <w:tc>
          <w:tcPr>
            <w:tcW w:w="9073" w:type="dxa"/>
            <w:gridSpan w:val="3"/>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估价对象12土地基本状况表</w:t>
            </w:r>
          </w:p>
        </w:tc>
      </w:tr>
      <w:tr>
        <w:tblPrEx>
          <w:tblCellMar>
            <w:top w:w="0" w:type="dxa"/>
            <w:left w:w="0" w:type="dxa"/>
            <w:bottom w:w="0" w:type="dxa"/>
            <w:right w:w="0" w:type="dxa"/>
          </w:tblCellMar>
        </w:tblPrEx>
        <w:trPr>
          <w:trHeight w:val="342" w:hRule="atLeast"/>
        </w:trPr>
        <w:tc>
          <w:tcPr>
            <w:tcW w:w="2068" w:type="dxa"/>
            <w:gridSpan w:val="2"/>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005" w:type="dxa"/>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基本状况</w:t>
            </w:r>
          </w:p>
        </w:tc>
      </w:tr>
      <w:tr>
        <w:tblPrEx>
          <w:tblCellMar>
            <w:top w:w="0" w:type="dxa"/>
            <w:left w:w="0" w:type="dxa"/>
            <w:bottom w:w="0" w:type="dxa"/>
            <w:right w:w="0" w:type="dxa"/>
          </w:tblCellMar>
        </w:tblPrEx>
        <w:trPr>
          <w:trHeight w:val="397" w:hRule="atLeast"/>
        </w:trPr>
        <w:tc>
          <w:tcPr>
            <w:tcW w:w="2068"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005" w:type="dxa"/>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65" w:hRule="atLeast"/>
        </w:trPr>
        <w:tc>
          <w:tcPr>
            <w:tcW w:w="2068"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00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晋宁县昆阳街道办事处兴隆村湖景天颐家园一期4幢1-04号商铺</w:t>
            </w:r>
          </w:p>
        </w:tc>
      </w:tr>
      <w:tr>
        <w:tblPrEx>
          <w:tblCellMar>
            <w:top w:w="0" w:type="dxa"/>
            <w:left w:w="0" w:type="dxa"/>
            <w:bottom w:w="0" w:type="dxa"/>
            <w:right w:w="0" w:type="dxa"/>
          </w:tblCellMar>
        </w:tblPrEx>
        <w:trPr>
          <w:trHeight w:val="427"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土地使用者</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刘玲</w:t>
            </w:r>
          </w:p>
        </w:tc>
      </w:tr>
      <w:tr>
        <w:tblPrEx>
          <w:tblCellMar>
            <w:top w:w="0" w:type="dxa"/>
            <w:left w:w="0" w:type="dxa"/>
            <w:bottom w:w="0" w:type="dxa"/>
            <w:right w:w="0" w:type="dxa"/>
          </w:tblCellMar>
        </w:tblPrEx>
        <w:trPr>
          <w:trHeight w:val="484"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权属登记编号</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晋国用（2016）第1078号</w:t>
            </w:r>
          </w:p>
        </w:tc>
      </w:tr>
      <w:tr>
        <w:tblPrEx>
          <w:tblCellMar>
            <w:top w:w="0" w:type="dxa"/>
            <w:left w:w="0" w:type="dxa"/>
            <w:bottom w:w="0" w:type="dxa"/>
            <w:right w:w="0" w:type="dxa"/>
          </w:tblCellMar>
        </w:tblPrEx>
        <w:trPr>
          <w:trHeight w:val="522" w:hRule="atLeast"/>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四至为：东至环湖南路，南至湖景路，西至昆明绕城高速，北至昆明绕城高速</w:t>
            </w:r>
          </w:p>
        </w:tc>
      </w:tr>
      <w:tr>
        <w:tblPrEx>
          <w:tblCellMar>
            <w:top w:w="0" w:type="dxa"/>
            <w:left w:w="0" w:type="dxa"/>
            <w:bottom w:w="0" w:type="dxa"/>
            <w:right w:w="0" w:type="dxa"/>
          </w:tblCellMar>
        </w:tblPrEx>
        <w:trPr>
          <w:trHeight w:val="442" w:hRule="atLeast"/>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形状</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估价对象所占土地形状较规则</w:t>
            </w:r>
          </w:p>
        </w:tc>
      </w:tr>
      <w:tr>
        <w:tblPrEx>
          <w:tblCellMar>
            <w:top w:w="0" w:type="dxa"/>
            <w:left w:w="0" w:type="dxa"/>
            <w:bottom w:w="0" w:type="dxa"/>
            <w:right w:w="0" w:type="dxa"/>
          </w:tblCellMar>
        </w:tblPrEx>
        <w:trPr>
          <w:trHeight w:val="427" w:hRule="atLeast"/>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土地使用权面积（</w:t>
            </w:r>
            <w:r>
              <w:rPr>
                <w:rStyle w:val="234"/>
                <w:rFonts w:hint="default" w:ascii="仿宋_GB2312" w:hAnsi="仿宋_GB2312" w:eastAsia="仿宋_GB2312" w:cs="仿宋_GB2312"/>
              </w:rPr>
              <w:t>㎡</w:t>
            </w:r>
            <w:r>
              <w:rPr>
                <w:rFonts w:hint="eastAsia" w:ascii="仿宋_GB2312" w:hAnsi="仿宋_GB2312" w:eastAsia="仿宋_GB2312" w:cs="仿宋_GB2312"/>
                <w:color w:val="000000"/>
                <w:sz w:val="22"/>
                <w:szCs w:val="22"/>
              </w:rPr>
              <w:t>）</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8.33</w:t>
            </w:r>
          </w:p>
        </w:tc>
      </w:tr>
      <w:tr>
        <w:tblPrEx>
          <w:tblCellMar>
            <w:top w:w="0" w:type="dxa"/>
            <w:left w:w="0" w:type="dxa"/>
            <w:bottom w:w="0" w:type="dxa"/>
            <w:right w:w="0" w:type="dxa"/>
          </w:tblCellMar>
        </w:tblPrEx>
        <w:trPr>
          <w:trHeight w:val="398" w:hRule="atLeast"/>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用途</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批发零售用地</w:t>
            </w:r>
          </w:p>
        </w:tc>
      </w:tr>
      <w:tr>
        <w:tblPrEx>
          <w:tblCellMar>
            <w:top w:w="0" w:type="dxa"/>
            <w:left w:w="0" w:type="dxa"/>
            <w:bottom w:w="0" w:type="dxa"/>
            <w:right w:w="0" w:type="dxa"/>
          </w:tblCellMar>
        </w:tblPrEx>
        <w:trPr>
          <w:trHeight w:val="602" w:hRule="atLeast"/>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土地使用剩余年限</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25.63</w:t>
            </w:r>
          </w:p>
        </w:tc>
      </w:tr>
      <w:tr>
        <w:tblPrEx>
          <w:tblCellMar>
            <w:top w:w="0" w:type="dxa"/>
            <w:left w:w="0" w:type="dxa"/>
            <w:bottom w:w="0" w:type="dxa"/>
            <w:right w:w="0" w:type="dxa"/>
          </w:tblCellMar>
        </w:tblPrEx>
        <w:trPr>
          <w:trHeight w:val="432" w:hRule="atLeast"/>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土地开发程度</w:t>
            </w:r>
          </w:p>
        </w:tc>
        <w:tc>
          <w:tcPr>
            <w:tcW w:w="7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“五通一平”（通供水、通排水、通电、通路、通讯，宗地红线内平整）</w:t>
            </w:r>
          </w:p>
        </w:tc>
      </w:tr>
    </w:tbl>
    <w:p>
      <w:pPr>
        <w:pStyle w:val="36"/>
        <w:snapToGrid w:val="0"/>
        <w:spacing w:line="360" w:lineRule="auto"/>
        <w:ind w:firstLine="514" w:firstLineChars="200"/>
        <w:rPr>
          <w:rFonts w:hint="eastAsia" w:ascii="仿宋_GB2312" w:eastAsia="仿宋_GB2312"/>
          <w:b/>
          <w:szCs w:val="28"/>
        </w:rPr>
      </w:pPr>
    </w:p>
    <w:p>
      <w:pPr>
        <w:pStyle w:val="36"/>
        <w:snapToGrid w:val="0"/>
        <w:spacing w:line="360" w:lineRule="auto"/>
        <w:ind w:firstLine="514" w:firstLineChars="200"/>
        <w:rPr>
          <w:rFonts w:ascii="仿宋_GB2312" w:eastAsia="仿宋_GB2312"/>
          <w:bCs/>
          <w:spacing w:val="0"/>
          <w:szCs w:val="28"/>
        </w:rPr>
      </w:pPr>
      <w:r>
        <w:rPr>
          <w:rFonts w:hint="eastAsia" w:ascii="仿宋_GB2312" w:eastAsia="仿宋_GB2312"/>
          <w:b/>
          <w:szCs w:val="28"/>
        </w:rPr>
        <w:t>（四）建筑物基本状况</w:t>
      </w:r>
    </w:p>
    <w:tbl>
      <w:tblPr>
        <w:tblStyle w:val="89"/>
        <w:tblW w:w="9057" w:type="dxa"/>
        <w:jc w:val="center"/>
        <w:tblLayout w:type="fixed"/>
        <w:tblCellMar>
          <w:top w:w="0" w:type="dxa"/>
          <w:left w:w="0" w:type="dxa"/>
          <w:bottom w:w="0" w:type="dxa"/>
          <w:right w:w="0" w:type="dxa"/>
        </w:tblCellMar>
      </w:tblPr>
      <w:tblGrid>
        <w:gridCol w:w="425"/>
        <w:gridCol w:w="1237"/>
        <w:gridCol w:w="7395"/>
      </w:tblGrid>
      <w:tr>
        <w:tblPrEx>
          <w:tblCellMar>
            <w:top w:w="0" w:type="dxa"/>
            <w:left w:w="0" w:type="dxa"/>
            <w:bottom w:w="0" w:type="dxa"/>
            <w:right w:w="0" w:type="dxa"/>
          </w:tblCellMar>
        </w:tblPrEx>
        <w:trPr>
          <w:trHeight w:val="342" w:hRule="atLeast"/>
          <w:jc w:val="center"/>
        </w:trPr>
        <w:tc>
          <w:tcPr>
            <w:tcW w:w="9057" w:type="dxa"/>
            <w:gridSpan w:val="3"/>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bookmarkStart w:id="41" w:name="_Toc12191"/>
            <w:r>
              <w:rPr>
                <w:rFonts w:hint="eastAsia" w:ascii="仿宋_GB2312" w:hAnsi="仿宋" w:eastAsia="仿宋_GB2312" w:cs="仿宋_GB2312"/>
                <w:b/>
                <w:color w:val="000000"/>
                <w:sz w:val="22"/>
                <w:szCs w:val="22"/>
              </w:rPr>
              <w:t>估价对象1建筑物基本情况表</w:t>
            </w:r>
          </w:p>
        </w:tc>
      </w:tr>
      <w:tr>
        <w:tblPrEx>
          <w:tblCellMar>
            <w:top w:w="0" w:type="dxa"/>
            <w:left w:w="0" w:type="dxa"/>
            <w:bottom w:w="0" w:type="dxa"/>
            <w:right w:w="0" w:type="dxa"/>
          </w:tblCellMar>
        </w:tblPrEx>
        <w:trPr>
          <w:trHeight w:val="34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基本情况</w:t>
            </w:r>
          </w:p>
        </w:tc>
      </w:tr>
      <w:tr>
        <w:tblPrEx>
          <w:tblCellMar>
            <w:top w:w="0" w:type="dxa"/>
            <w:left w:w="0" w:type="dxa"/>
            <w:bottom w:w="0" w:type="dxa"/>
            <w:right w:w="0" w:type="dxa"/>
          </w:tblCellMar>
        </w:tblPrEx>
        <w:trPr>
          <w:trHeight w:val="409"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9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晋宁县昆阳镇中和东路</w:t>
            </w:r>
          </w:p>
        </w:tc>
      </w:tr>
      <w:tr>
        <w:tblPrEx>
          <w:tblCellMar>
            <w:top w:w="0" w:type="dxa"/>
            <w:left w:w="0" w:type="dxa"/>
            <w:bottom w:w="0" w:type="dxa"/>
            <w:right w:w="0" w:type="dxa"/>
          </w:tblCellMar>
        </w:tblPrEx>
        <w:trPr>
          <w:trHeight w:val="451" w:hRule="atLeast"/>
          <w:jc w:val="center"/>
        </w:trPr>
        <w:tc>
          <w:tcPr>
            <w:tcW w:w="42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所有权人</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李红标、崔琼艳</w:t>
            </w:r>
          </w:p>
        </w:tc>
      </w:tr>
      <w:tr>
        <w:tblPrEx>
          <w:tblCellMar>
            <w:top w:w="0" w:type="dxa"/>
            <w:left w:w="0" w:type="dxa"/>
            <w:bottom w:w="0" w:type="dxa"/>
            <w:right w:w="0" w:type="dxa"/>
          </w:tblCellMar>
        </w:tblPrEx>
        <w:trPr>
          <w:trHeight w:val="436" w:hRule="atLeast"/>
          <w:jc w:val="center"/>
        </w:trPr>
        <w:tc>
          <w:tcPr>
            <w:tcW w:w="42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房产证号</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013661</w:t>
            </w:r>
          </w:p>
        </w:tc>
      </w:tr>
      <w:tr>
        <w:tblPrEx>
          <w:tblCellMar>
            <w:top w:w="0" w:type="dxa"/>
            <w:left w:w="0" w:type="dxa"/>
            <w:bottom w:w="0" w:type="dxa"/>
            <w:right w:w="0" w:type="dxa"/>
          </w:tblCellMar>
        </w:tblPrEx>
        <w:trPr>
          <w:trHeight w:val="38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446.59</w:t>
            </w:r>
          </w:p>
        </w:tc>
      </w:tr>
      <w:tr>
        <w:tblPrEx>
          <w:tblCellMar>
            <w:top w:w="0" w:type="dxa"/>
            <w:left w:w="0" w:type="dxa"/>
            <w:bottom w:w="0" w:type="dxa"/>
            <w:right w:w="0" w:type="dxa"/>
          </w:tblCellMar>
        </w:tblPrEx>
        <w:trPr>
          <w:trHeight w:val="38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评估面积（㎡）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446.59</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设计用途</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住宅</w:t>
            </w:r>
          </w:p>
        </w:tc>
      </w:tr>
      <w:tr>
        <w:tblPrEx>
          <w:tblCellMar>
            <w:top w:w="0" w:type="dxa"/>
            <w:left w:w="0" w:type="dxa"/>
            <w:bottom w:w="0" w:type="dxa"/>
            <w:right w:w="0" w:type="dxa"/>
          </w:tblCellMar>
        </w:tblPrEx>
        <w:trPr>
          <w:trHeight w:val="44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所在层/总层数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1-4/4</w:t>
            </w:r>
          </w:p>
        </w:tc>
      </w:tr>
      <w:tr>
        <w:tblPrEx>
          <w:tblCellMar>
            <w:top w:w="0" w:type="dxa"/>
            <w:left w:w="0" w:type="dxa"/>
            <w:bottom w:w="0" w:type="dxa"/>
            <w:right w:w="0" w:type="dxa"/>
          </w:tblCellMar>
        </w:tblPrEx>
        <w:trPr>
          <w:trHeight w:val="39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1层层高约2.7米，2-4层未进入</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建筑结构</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钢混结构</w:t>
            </w:r>
          </w:p>
        </w:tc>
      </w:tr>
      <w:tr>
        <w:tblPrEx>
          <w:tblCellMar>
            <w:top w:w="0" w:type="dxa"/>
            <w:left w:w="0" w:type="dxa"/>
            <w:bottom w:w="0" w:type="dxa"/>
            <w:right w:w="0" w:type="dxa"/>
          </w:tblCellMar>
        </w:tblPrEx>
        <w:trPr>
          <w:trHeight w:val="39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建成时间</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2010年</w:t>
            </w:r>
          </w:p>
        </w:tc>
      </w:tr>
      <w:tr>
        <w:tblPrEx>
          <w:tblCellMar>
            <w:top w:w="0" w:type="dxa"/>
            <w:left w:w="0" w:type="dxa"/>
            <w:bottom w:w="0" w:type="dxa"/>
            <w:right w:w="0" w:type="dxa"/>
          </w:tblCellMar>
        </w:tblPrEx>
        <w:trPr>
          <w:trHeight w:val="44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实际用途及使用现状</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估价对象实际用途1-2层为商铺，在使用；3-4层为住宅，无法进入内部，无法核实使用现状，请报告使用者自行落实。</w:t>
            </w:r>
          </w:p>
        </w:tc>
      </w:tr>
      <w:tr>
        <w:tblPrEx>
          <w:tblCellMar>
            <w:top w:w="0" w:type="dxa"/>
            <w:left w:w="0" w:type="dxa"/>
            <w:bottom w:w="0" w:type="dxa"/>
            <w:right w:w="0" w:type="dxa"/>
          </w:tblCellMar>
        </w:tblPrEx>
        <w:trPr>
          <w:trHeight w:val="4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装饰装修情况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外墙装饰为涂料；门为卷帘门；室内装修：1层地面为地砖、木地板，墙面为墙纸，顶面为石膏吊顶；2-4层未进入。</w:t>
            </w:r>
          </w:p>
        </w:tc>
      </w:tr>
      <w:tr>
        <w:tblPrEx>
          <w:tblCellMar>
            <w:top w:w="0" w:type="dxa"/>
            <w:left w:w="0" w:type="dxa"/>
            <w:bottom w:w="0" w:type="dxa"/>
            <w:right w:w="0" w:type="dxa"/>
          </w:tblCellMar>
        </w:tblPrEx>
        <w:trPr>
          <w:trHeight w:val="386"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设施设备情况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给排水管道、供电线路、水表、电表等设施齐备均为完好</w:t>
            </w:r>
          </w:p>
        </w:tc>
      </w:tr>
      <w:tr>
        <w:tblPrEx>
          <w:tblCellMar>
            <w:top w:w="0" w:type="dxa"/>
            <w:left w:w="0" w:type="dxa"/>
            <w:bottom w:w="0" w:type="dxa"/>
            <w:right w:w="0" w:type="dxa"/>
          </w:tblCellMar>
        </w:tblPrEx>
        <w:trPr>
          <w:trHeight w:val="43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使用及维修状况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根据估价师现场调查，估价对象使用及维护状况良好</w:t>
            </w:r>
          </w:p>
        </w:tc>
      </w:tr>
      <w:tr>
        <w:tblPrEx>
          <w:tblCellMar>
            <w:top w:w="0" w:type="dxa"/>
            <w:left w:w="0" w:type="dxa"/>
            <w:bottom w:w="0" w:type="dxa"/>
            <w:right w:w="0" w:type="dxa"/>
          </w:tblCellMar>
        </w:tblPrEx>
        <w:trPr>
          <w:trHeight w:val="431"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新旧程度</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根据我公司估价师现场勘查，估价对象成新率为8成</w:t>
            </w:r>
          </w:p>
        </w:tc>
      </w:tr>
    </w:tbl>
    <w:p>
      <w:pPr>
        <w:pStyle w:val="6"/>
        <w:spacing w:before="0" w:line="360" w:lineRule="auto"/>
        <w:ind w:firstLine="361" w:firstLineChars="201"/>
        <w:outlineLvl w:val="1"/>
        <w:rPr>
          <w:bCs/>
          <w:sz w:val="18"/>
          <w:szCs w:val="18"/>
        </w:rPr>
      </w:pPr>
    </w:p>
    <w:tbl>
      <w:tblPr>
        <w:tblStyle w:val="89"/>
        <w:tblW w:w="9057" w:type="dxa"/>
        <w:jc w:val="center"/>
        <w:tblLayout w:type="fixed"/>
        <w:tblCellMar>
          <w:top w:w="0" w:type="dxa"/>
          <w:left w:w="0" w:type="dxa"/>
          <w:bottom w:w="0" w:type="dxa"/>
          <w:right w:w="0" w:type="dxa"/>
        </w:tblCellMar>
      </w:tblPr>
      <w:tblGrid>
        <w:gridCol w:w="425"/>
        <w:gridCol w:w="1237"/>
        <w:gridCol w:w="7395"/>
      </w:tblGrid>
      <w:tr>
        <w:tblPrEx>
          <w:tblCellMar>
            <w:top w:w="0" w:type="dxa"/>
            <w:left w:w="0" w:type="dxa"/>
            <w:bottom w:w="0" w:type="dxa"/>
            <w:right w:w="0" w:type="dxa"/>
          </w:tblCellMar>
        </w:tblPrEx>
        <w:trPr>
          <w:trHeight w:val="342" w:hRule="atLeast"/>
          <w:jc w:val="center"/>
        </w:trPr>
        <w:tc>
          <w:tcPr>
            <w:tcW w:w="9057" w:type="dxa"/>
            <w:gridSpan w:val="3"/>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估价对象2建筑物基本情况表</w:t>
            </w:r>
          </w:p>
        </w:tc>
      </w:tr>
      <w:tr>
        <w:tblPrEx>
          <w:tblCellMar>
            <w:top w:w="0" w:type="dxa"/>
            <w:left w:w="0" w:type="dxa"/>
            <w:bottom w:w="0" w:type="dxa"/>
            <w:right w:w="0" w:type="dxa"/>
          </w:tblCellMar>
        </w:tblPrEx>
        <w:trPr>
          <w:trHeight w:val="34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基本情况</w:t>
            </w:r>
          </w:p>
        </w:tc>
      </w:tr>
      <w:tr>
        <w:tblPrEx>
          <w:tblCellMar>
            <w:top w:w="0" w:type="dxa"/>
            <w:left w:w="0" w:type="dxa"/>
            <w:bottom w:w="0" w:type="dxa"/>
            <w:right w:w="0" w:type="dxa"/>
          </w:tblCellMar>
        </w:tblPrEx>
        <w:trPr>
          <w:trHeight w:val="409"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9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晋宁县昆阳镇昆阳大街593号锦秀华城小区</w:t>
            </w:r>
          </w:p>
        </w:tc>
      </w:tr>
      <w:tr>
        <w:tblPrEx>
          <w:tblCellMar>
            <w:top w:w="0" w:type="dxa"/>
            <w:left w:w="0" w:type="dxa"/>
            <w:bottom w:w="0" w:type="dxa"/>
            <w:right w:w="0" w:type="dxa"/>
          </w:tblCellMar>
        </w:tblPrEx>
        <w:trPr>
          <w:trHeight w:val="451" w:hRule="atLeast"/>
          <w:jc w:val="center"/>
        </w:trPr>
        <w:tc>
          <w:tcPr>
            <w:tcW w:w="42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所有权人</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陈淑华、应甄、应勤</w:t>
            </w:r>
          </w:p>
        </w:tc>
      </w:tr>
      <w:tr>
        <w:tblPrEx>
          <w:tblCellMar>
            <w:top w:w="0" w:type="dxa"/>
            <w:left w:w="0" w:type="dxa"/>
            <w:bottom w:w="0" w:type="dxa"/>
            <w:right w:w="0" w:type="dxa"/>
          </w:tblCellMar>
        </w:tblPrEx>
        <w:trPr>
          <w:trHeight w:val="436" w:hRule="atLeast"/>
          <w:jc w:val="center"/>
        </w:trPr>
        <w:tc>
          <w:tcPr>
            <w:tcW w:w="42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权属编号</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2009011373、共2009009616、共2009009617</w:t>
            </w:r>
          </w:p>
        </w:tc>
      </w:tr>
      <w:tr>
        <w:tblPrEx>
          <w:tblCellMar>
            <w:top w:w="0" w:type="dxa"/>
            <w:left w:w="0" w:type="dxa"/>
            <w:bottom w:w="0" w:type="dxa"/>
            <w:right w:w="0" w:type="dxa"/>
          </w:tblCellMar>
        </w:tblPrEx>
        <w:trPr>
          <w:trHeight w:val="38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118</w:t>
            </w:r>
          </w:p>
        </w:tc>
      </w:tr>
      <w:tr>
        <w:tblPrEx>
          <w:tblCellMar>
            <w:top w:w="0" w:type="dxa"/>
            <w:left w:w="0" w:type="dxa"/>
            <w:bottom w:w="0" w:type="dxa"/>
            <w:right w:w="0" w:type="dxa"/>
          </w:tblCellMar>
        </w:tblPrEx>
        <w:trPr>
          <w:trHeight w:val="38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评估面积（㎡）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118</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设计用途</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住宅</w:t>
            </w:r>
          </w:p>
        </w:tc>
      </w:tr>
      <w:tr>
        <w:tblPrEx>
          <w:tblCellMar>
            <w:top w:w="0" w:type="dxa"/>
            <w:left w:w="0" w:type="dxa"/>
            <w:bottom w:w="0" w:type="dxa"/>
            <w:right w:w="0" w:type="dxa"/>
          </w:tblCellMar>
        </w:tblPrEx>
        <w:trPr>
          <w:trHeight w:val="44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所在层/总层数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4/7</w:t>
            </w:r>
          </w:p>
        </w:tc>
      </w:tr>
      <w:tr>
        <w:tblPrEx>
          <w:tblCellMar>
            <w:top w:w="0" w:type="dxa"/>
            <w:left w:w="0" w:type="dxa"/>
            <w:bottom w:w="0" w:type="dxa"/>
            <w:right w:w="0" w:type="dxa"/>
          </w:tblCellMar>
        </w:tblPrEx>
        <w:trPr>
          <w:trHeight w:val="39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未进入室内</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建筑结构</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钢混结构</w:t>
            </w:r>
          </w:p>
        </w:tc>
      </w:tr>
      <w:tr>
        <w:tblPrEx>
          <w:tblCellMar>
            <w:top w:w="0" w:type="dxa"/>
            <w:left w:w="0" w:type="dxa"/>
            <w:bottom w:w="0" w:type="dxa"/>
            <w:right w:w="0" w:type="dxa"/>
          </w:tblCellMar>
        </w:tblPrEx>
        <w:trPr>
          <w:trHeight w:val="39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建成时间</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2001年</w:t>
            </w:r>
          </w:p>
        </w:tc>
      </w:tr>
      <w:tr>
        <w:tblPrEx>
          <w:tblCellMar>
            <w:top w:w="0" w:type="dxa"/>
            <w:left w:w="0" w:type="dxa"/>
            <w:bottom w:w="0" w:type="dxa"/>
            <w:right w:w="0" w:type="dxa"/>
          </w:tblCellMar>
        </w:tblPrEx>
        <w:trPr>
          <w:trHeight w:val="44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实际用途及使用现状</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估价对象实际用途为住宅，无法进入内部，无法核实使用现状，请报告使用者自行落实。</w:t>
            </w:r>
          </w:p>
        </w:tc>
      </w:tr>
      <w:tr>
        <w:tblPrEx>
          <w:tblCellMar>
            <w:top w:w="0" w:type="dxa"/>
            <w:left w:w="0" w:type="dxa"/>
            <w:bottom w:w="0" w:type="dxa"/>
            <w:right w:w="0" w:type="dxa"/>
          </w:tblCellMar>
        </w:tblPrEx>
        <w:trPr>
          <w:trHeight w:val="4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装饰装修情况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外墙装饰为涂料；室内未进入。</w:t>
            </w:r>
          </w:p>
        </w:tc>
      </w:tr>
      <w:tr>
        <w:tblPrEx>
          <w:tblCellMar>
            <w:top w:w="0" w:type="dxa"/>
            <w:left w:w="0" w:type="dxa"/>
            <w:bottom w:w="0" w:type="dxa"/>
            <w:right w:w="0" w:type="dxa"/>
          </w:tblCellMar>
        </w:tblPrEx>
        <w:trPr>
          <w:trHeight w:val="386"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设施设备情况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给排水管道、供电线路、水表、电表等设施齐备均为完好</w:t>
            </w:r>
          </w:p>
        </w:tc>
      </w:tr>
      <w:tr>
        <w:tblPrEx>
          <w:tblCellMar>
            <w:top w:w="0" w:type="dxa"/>
            <w:left w:w="0" w:type="dxa"/>
            <w:bottom w:w="0" w:type="dxa"/>
            <w:right w:w="0" w:type="dxa"/>
          </w:tblCellMar>
        </w:tblPrEx>
        <w:trPr>
          <w:trHeight w:val="43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使用及维修状况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根据估价师现场调查，估价对象使用及维护状况良好</w:t>
            </w:r>
          </w:p>
        </w:tc>
      </w:tr>
      <w:tr>
        <w:tblPrEx>
          <w:tblCellMar>
            <w:top w:w="0" w:type="dxa"/>
            <w:left w:w="0" w:type="dxa"/>
            <w:bottom w:w="0" w:type="dxa"/>
            <w:right w:w="0" w:type="dxa"/>
          </w:tblCellMar>
        </w:tblPrEx>
        <w:trPr>
          <w:trHeight w:val="431"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新旧程度</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根据我公司估价师现场勘查，估价对象成新率为7成</w:t>
            </w:r>
          </w:p>
        </w:tc>
      </w:tr>
    </w:tbl>
    <w:p>
      <w:pPr>
        <w:pStyle w:val="6"/>
        <w:spacing w:before="0" w:line="360" w:lineRule="auto"/>
        <w:ind w:firstLine="363" w:firstLineChars="201"/>
        <w:outlineLvl w:val="1"/>
        <w:rPr>
          <w:b/>
          <w:sz w:val="18"/>
          <w:szCs w:val="18"/>
        </w:rPr>
      </w:pPr>
    </w:p>
    <w:tbl>
      <w:tblPr>
        <w:tblStyle w:val="89"/>
        <w:tblW w:w="9057" w:type="dxa"/>
        <w:jc w:val="center"/>
        <w:tblLayout w:type="fixed"/>
        <w:tblCellMar>
          <w:top w:w="0" w:type="dxa"/>
          <w:left w:w="0" w:type="dxa"/>
          <w:bottom w:w="0" w:type="dxa"/>
          <w:right w:w="0" w:type="dxa"/>
        </w:tblCellMar>
      </w:tblPr>
      <w:tblGrid>
        <w:gridCol w:w="425"/>
        <w:gridCol w:w="1237"/>
        <w:gridCol w:w="7395"/>
      </w:tblGrid>
      <w:tr>
        <w:tblPrEx>
          <w:tblCellMar>
            <w:top w:w="0" w:type="dxa"/>
            <w:left w:w="0" w:type="dxa"/>
            <w:bottom w:w="0" w:type="dxa"/>
            <w:right w:w="0" w:type="dxa"/>
          </w:tblCellMar>
        </w:tblPrEx>
        <w:trPr>
          <w:trHeight w:val="342" w:hRule="atLeast"/>
          <w:jc w:val="center"/>
        </w:trPr>
        <w:tc>
          <w:tcPr>
            <w:tcW w:w="9057" w:type="dxa"/>
            <w:gridSpan w:val="3"/>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估价对象3建筑物基本情况表</w:t>
            </w:r>
          </w:p>
        </w:tc>
      </w:tr>
      <w:tr>
        <w:tblPrEx>
          <w:tblCellMar>
            <w:top w:w="0" w:type="dxa"/>
            <w:left w:w="0" w:type="dxa"/>
            <w:bottom w:w="0" w:type="dxa"/>
            <w:right w:w="0" w:type="dxa"/>
          </w:tblCellMar>
        </w:tblPrEx>
        <w:trPr>
          <w:trHeight w:val="34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基本情况</w:t>
            </w:r>
          </w:p>
        </w:tc>
      </w:tr>
      <w:tr>
        <w:tblPrEx>
          <w:tblCellMar>
            <w:top w:w="0" w:type="dxa"/>
            <w:left w:w="0" w:type="dxa"/>
            <w:bottom w:w="0" w:type="dxa"/>
            <w:right w:w="0" w:type="dxa"/>
          </w:tblCellMar>
        </w:tblPrEx>
        <w:trPr>
          <w:trHeight w:val="409"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9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晋宁县昆阳镇昆阳大街593号锦秀华城小区</w:t>
            </w:r>
          </w:p>
        </w:tc>
      </w:tr>
      <w:tr>
        <w:tblPrEx>
          <w:tblCellMar>
            <w:top w:w="0" w:type="dxa"/>
            <w:left w:w="0" w:type="dxa"/>
            <w:bottom w:w="0" w:type="dxa"/>
            <w:right w:w="0" w:type="dxa"/>
          </w:tblCellMar>
        </w:tblPrEx>
        <w:trPr>
          <w:trHeight w:val="451" w:hRule="atLeast"/>
          <w:jc w:val="center"/>
        </w:trPr>
        <w:tc>
          <w:tcPr>
            <w:tcW w:w="42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所有权人</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张翠琼、何岗</w:t>
            </w:r>
          </w:p>
        </w:tc>
      </w:tr>
      <w:tr>
        <w:tblPrEx>
          <w:tblCellMar>
            <w:top w:w="0" w:type="dxa"/>
            <w:left w:w="0" w:type="dxa"/>
            <w:bottom w:w="0" w:type="dxa"/>
            <w:right w:w="0" w:type="dxa"/>
          </w:tblCellMar>
        </w:tblPrEx>
        <w:trPr>
          <w:trHeight w:val="436" w:hRule="atLeast"/>
          <w:jc w:val="center"/>
        </w:trPr>
        <w:tc>
          <w:tcPr>
            <w:tcW w:w="42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权属编号</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2009011425、共2009009670</w:t>
            </w:r>
          </w:p>
        </w:tc>
      </w:tr>
      <w:tr>
        <w:tblPrEx>
          <w:tblCellMar>
            <w:top w:w="0" w:type="dxa"/>
            <w:left w:w="0" w:type="dxa"/>
            <w:bottom w:w="0" w:type="dxa"/>
            <w:right w:w="0" w:type="dxa"/>
          </w:tblCellMar>
        </w:tblPrEx>
        <w:trPr>
          <w:trHeight w:val="38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155.16</w:t>
            </w:r>
          </w:p>
        </w:tc>
      </w:tr>
      <w:tr>
        <w:tblPrEx>
          <w:tblCellMar>
            <w:top w:w="0" w:type="dxa"/>
            <w:left w:w="0" w:type="dxa"/>
            <w:bottom w:w="0" w:type="dxa"/>
            <w:right w:w="0" w:type="dxa"/>
          </w:tblCellMar>
        </w:tblPrEx>
        <w:trPr>
          <w:trHeight w:val="38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评估面积（㎡）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155.16</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设计用途</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住宅</w:t>
            </w:r>
          </w:p>
        </w:tc>
      </w:tr>
      <w:tr>
        <w:tblPrEx>
          <w:tblCellMar>
            <w:top w:w="0" w:type="dxa"/>
            <w:left w:w="0" w:type="dxa"/>
            <w:bottom w:w="0" w:type="dxa"/>
            <w:right w:w="0" w:type="dxa"/>
          </w:tblCellMar>
        </w:tblPrEx>
        <w:trPr>
          <w:trHeight w:val="44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所在层/总层数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1/7</w:t>
            </w:r>
          </w:p>
        </w:tc>
      </w:tr>
      <w:tr>
        <w:tblPrEx>
          <w:tblCellMar>
            <w:top w:w="0" w:type="dxa"/>
            <w:left w:w="0" w:type="dxa"/>
            <w:bottom w:w="0" w:type="dxa"/>
            <w:right w:w="0" w:type="dxa"/>
          </w:tblCellMar>
        </w:tblPrEx>
        <w:trPr>
          <w:trHeight w:val="39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未进入室内</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建筑结构</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钢混结构</w:t>
            </w:r>
          </w:p>
        </w:tc>
      </w:tr>
      <w:tr>
        <w:tblPrEx>
          <w:tblCellMar>
            <w:top w:w="0" w:type="dxa"/>
            <w:left w:w="0" w:type="dxa"/>
            <w:bottom w:w="0" w:type="dxa"/>
            <w:right w:w="0" w:type="dxa"/>
          </w:tblCellMar>
        </w:tblPrEx>
        <w:trPr>
          <w:trHeight w:val="39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建成时间</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2001年</w:t>
            </w:r>
          </w:p>
        </w:tc>
      </w:tr>
      <w:tr>
        <w:tblPrEx>
          <w:tblCellMar>
            <w:top w:w="0" w:type="dxa"/>
            <w:left w:w="0" w:type="dxa"/>
            <w:bottom w:w="0" w:type="dxa"/>
            <w:right w:w="0" w:type="dxa"/>
          </w:tblCellMar>
        </w:tblPrEx>
        <w:trPr>
          <w:trHeight w:val="44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实际用途及使用现状</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估价对象实际用途为住宅，无法进入内部，无法核实使用现状，请报告使用者自行落实。</w:t>
            </w:r>
          </w:p>
        </w:tc>
      </w:tr>
      <w:tr>
        <w:tblPrEx>
          <w:tblCellMar>
            <w:top w:w="0" w:type="dxa"/>
            <w:left w:w="0" w:type="dxa"/>
            <w:bottom w:w="0" w:type="dxa"/>
            <w:right w:w="0" w:type="dxa"/>
          </w:tblCellMar>
        </w:tblPrEx>
        <w:trPr>
          <w:trHeight w:val="4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装饰装修情况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外墙装饰为涂料；室内未进入。</w:t>
            </w:r>
          </w:p>
        </w:tc>
      </w:tr>
      <w:tr>
        <w:tblPrEx>
          <w:tblCellMar>
            <w:top w:w="0" w:type="dxa"/>
            <w:left w:w="0" w:type="dxa"/>
            <w:bottom w:w="0" w:type="dxa"/>
            <w:right w:w="0" w:type="dxa"/>
          </w:tblCellMar>
        </w:tblPrEx>
        <w:trPr>
          <w:trHeight w:val="386"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设施设备情况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给排水管道、供电线路、水表、电表等设施齐备均为完好</w:t>
            </w:r>
          </w:p>
        </w:tc>
      </w:tr>
      <w:tr>
        <w:tblPrEx>
          <w:tblCellMar>
            <w:top w:w="0" w:type="dxa"/>
            <w:left w:w="0" w:type="dxa"/>
            <w:bottom w:w="0" w:type="dxa"/>
            <w:right w:w="0" w:type="dxa"/>
          </w:tblCellMar>
        </w:tblPrEx>
        <w:trPr>
          <w:trHeight w:val="43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使用及维修状况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根据估价师现场调查，估价对象使用及维护状况良好</w:t>
            </w:r>
          </w:p>
        </w:tc>
      </w:tr>
      <w:tr>
        <w:tblPrEx>
          <w:tblCellMar>
            <w:top w:w="0" w:type="dxa"/>
            <w:left w:w="0" w:type="dxa"/>
            <w:bottom w:w="0" w:type="dxa"/>
            <w:right w:w="0" w:type="dxa"/>
          </w:tblCellMar>
        </w:tblPrEx>
        <w:trPr>
          <w:trHeight w:val="431"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新旧程度</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根据我公司估价师现场勘查，估价对象成新率为7成</w:t>
            </w:r>
          </w:p>
        </w:tc>
      </w:tr>
    </w:tbl>
    <w:p>
      <w:pPr>
        <w:pStyle w:val="6"/>
        <w:spacing w:before="0" w:line="360" w:lineRule="auto"/>
        <w:ind w:left="0" w:leftChars="0" w:firstLine="0" w:firstLineChars="0"/>
        <w:outlineLvl w:val="1"/>
        <w:rPr>
          <w:b/>
          <w:sz w:val="18"/>
          <w:szCs w:val="18"/>
        </w:rPr>
      </w:pPr>
    </w:p>
    <w:tbl>
      <w:tblPr>
        <w:tblStyle w:val="89"/>
        <w:tblW w:w="9057" w:type="dxa"/>
        <w:jc w:val="center"/>
        <w:tblLayout w:type="fixed"/>
        <w:tblCellMar>
          <w:top w:w="0" w:type="dxa"/>
          <w:left w:w="0" w:type="dxa"/>
          <w:bottom w:w="0" w:type="dxa"/>
          <w:right w:w="0" w:type="dxa"/>
        </w:tblCellMar>
      </w:tblPr>
      <w:tblGrid>
        <w:gridCol w:w="425"/>
        <w:gridCol w:w="1237"/>
        <w:gridCol w:w="7395"/>
      </w:tblGrid>
      <w:tr>
        <w:tblPrEx>
          <w:tblCellMar>
            <w:top w:w="0" w:type="dxa"/>
            <w:left w:w="0" w:type="dxa"/>
            <w:bottom w:w="0" w:type="dxa"/>
            <w:right w:w="0" w:type="dxa"/>
          </w:tblCellMar>
        </w:tblPrEx>
        <w:trPr>
          <w:trHeight w:val="342" w:hRule="atLeast"/>
          <w:jc w:val="center"/>
        </w:trPr>
        <w:tc>
          <w:tcPr>
            <w:tcW w:w="9057" w:type="dxa"/>
            <w:gridSpan w:val="3"/>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估价对象4建筑物基本情况表</w:t>
            </w:r>
          </w:p>
        </w:tc>
      </w:tr>
      <w:tr>
        <w:tblPrEx>
          <w:tblCellMar>
            <w:top w:w="0" w:type="dxa"/>
            <w:left w:w="0" w:type="dxa"/>
            <w:bottom w:w="0" w:type="dxa"/>
            <w:right w:w="0" w:type="dxa"/>
          </w:tblCellMar>
        </w:tblPrEx>
        <w:trPr>
          <w:trHeight w:val="34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基本情况</w:t>
            </w:r>
          </w:p>
        </w:tc>
      </w:tr>
      <w:tr>
        <w:tblPrEx>
          <w:tblCellMar>
            <w:top w:w="0" w:type="dxa"/>
            <w:left w:w="0" w:type="dxa"/>
            <w:bottom w:w="0" w:type="dxa"/>
            <w:right w:w="0" w:type="dxa"/>
          </w:tblCellMar>
        </w:tblPrEx>
        <w:trPr>
          <w:trHeight w:val="409"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9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晋宁县昆阳大街69号（中国农业银行晋宁支行）</w:t>
            </w:r>
          </w:p>
        </w:tc>
      </w:tr>
      <w:tr>
        <w:tblPrEx>
          <w:tblCellMar>
            <w:top w:w="0" w:type="dxa"/>
            <w:left w:w="0" w:type="dxa"/>
            <w:bottom w:w="0" w:type="dxa"/>
            <w:right w:w="0" w:type="dxa"/>
          </w:tblCellMar>
        </w:tblPrEx>
        <w:trPr>
          <w:trHeight w:val="451" w:hRule="atLeast"/>
          <w:jc w:val="center"/>
        </w:trPr>
        <w:tc>
          <w:tcPr>
            <w:tcW w:w="42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所有权人</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赵春艳、胡翠英</w:t>
            </w:r>
          </w:p>
        </w:tc>
      </w:tr>
      <w:tr>
        <w:tblPrEx>
          <w:tblCellMar>
            <w:top w:w="0" w:type="dxa"/>
            <w:left w:w="0" w:type="dxa"/>
            <w:bottom w:w="0" w:type="dxa"/>
            <w:right w:w="0" w:type="dxa"/>
          </w:tblCellMar>
        </w:tblPrEx>
        <w:trPr>
          <w:trHeight w:val="436" w:hRule="atLeast"/>
          <w:jc w:val="center"/>
        </w:trPr>
        <w:tc>
          <w:tcPr>
            <w:tcW w:w="42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权属编号</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005601</w:t>
            </w:r>
          </w:p>
        </w:tc>
      </w:tr>
      <w:tr>
        <w:tblPrEx>
          <w:tblCellMar>
            <w:top w:w="0" w:type="dxa"/>
            <w:left w:w="0" w:type="dxa"/>
            <w:bottom w:w="0" w:type="dxa"/>
            <w:right w:w="0" w:type="dxa"/>
          </w:tblCellMar>
        </w:tblPrEx>
        <w:trPr>
          <w:trHeight w:val="38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137.16</w:t>
            </w:r>
          </w:p>
        </w:tc>
      </w:tr>
      <w:tr>
        <w:tblPrEx>
          <w:tblCellMar>
            <w:top w:w="0" w:type="dxa"/>
            <w:left w:w="0" w:type="dxa"/>
            <w:bottom w:w="0" w:type="dxa"/>
            <w:right w:w="0" w:type="dxa"/>
          </w:tblCellMar>
        </w:tblPrEx>
        <w:trPr>
          <w:trHeight w:val="38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评估面积（㎡）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137.16</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设计用途</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住宅</w:t>
            </w:r>
          </w:p>
        </w:tc>
      </w:tr>
      <w:tr>
        <w:tblPrEx>
          <w:tblCellMar>
            <w:top w:w="0" w:type="dxa"/>
            <w:left w:w="0" w:type="dxa"/>
            <w:bottom w:w="0" w:type="dxa"/>
            <w:right w:w="0" w:type="dxa"/>
          </w:tblCellMar>
        </w:tblPrEx>
        <w:trPr>
          <w:trHeight w:val="44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所在层/总层数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7/10</w:t>
            </w:r>
          </w:p>
        </w:tc>
      </w:tr>
      <w:tr>
        <w:tblPrEx>
          <w:tblCellMar>
            <w:top w:w="0" w:type="dxa"/>
            <w:left w:w="0" w:type="dxa"/>
            <w:bottom w:w="0" w:type="dxa"/>
            <w:right w:w="0" w:type="dxa"/>
          </w:tblCellMar>
        </w:tblPrEx>
        <w:trPr>
          <w:trHeight w:val="39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未进入室内</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建筑结构</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钢混结构</w:t>
            </w:r>
          </w:p>
        </w:tc>
      </w:tr>
      <w:tr>
        <w:tblPrEx>
          <w:tblCellMar>
            <w:top w:w="0" w:type="dxa"/>
            <w:left w:w="0" w:type="dxa"/>
            <w:bottom w:w="0" w:type="dxa"/>
            <w:right w:w="0" w:type="dxa"/>
          </w:tblCellMar>
        </w:tblPrEx>
        <w:trPr>
          <w:trHeight w:val="39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建成时间</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2001年</w:t>
            </w:r>
          </w:p>
        </w:tc>
      </w:tr>
      <w:tr>
        <w:tblPrEx>
          <w:tblCellMar>
            <w:top w:w="0" w:type="dxa"/>
            <w:left w:w="0" w:type="dxa"/>
            <w:bottom w:w="0" w:type="dxa"/>
            <w:right w:w="0" w:type="dxa"/>
          </w:tblCellMar>
        </w:tblPrEx>
        <w:trPr>
          <w:trHeight w:val="44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实际用途及使用现状</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估价对象实际用途为住宅，无法进入内部，无法核实使用现状，请报告使用者自行落实。</w:t>
            </w:r>
          </w:p>
        </w:tc>
      </w:tr>
      <w:tr>
        <w:tblPrEx>
          <w:tblCellMar>
            <w:top w:w="0" w:type="dxa"/>
            <w:left w:w="0" w:type="dxa"/>
            <w:bottom w:w="0" w:type="dxa"/>
            <w:right w:w="0" w:type="dxa"/>
          </w:tblCellMar>
        </w:tblPrEx>
        <w:trPr>
          <w:trHeight w:val="4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装饰装修情况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外墙装饰为涂料；室内未进入。</w:t>
            </w:r>
          </w:p>
        </w:tc>
      </w:tr>
      <w:tr>
        <w:tblPrEx>
          <w:tblCellMar>
            <w:top w:w="0" w:type="dxa"/>
            <w:left w:w="0" w:type="dxa"/>
            <w:bottom w:w="0" w:type="dxa"/>
            <w:right w:w="0" w:type="dxa"/>
          </w:tblCellMar>
        </w:tblPrEx>
        <w:trPr>
          <w:trHeight w:val="386"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设施设备情况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给排水管道、供电线路、水表、电表等设施齐备均为完好</w:t>
            </w:r>
          </w:p>
        </w:tc>
      </w:tr>
      <w:tr>
        <w:tblPrEx>
          <w:tblCellMar>
            <w:top w:w="0" w:type="dxa"/>
            <w:left w:w="0" w:type="dxa"/>
            <w:bottom w:w="0" w:type="dxa"/>
            <w:right w:w="0" w:type="dxa"/>
          </w:tblCellMar>
        </w:tblPrEx>
        <w:trPr>
          <w:trHeight w:val="43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使用及维修状况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根据估价师现场调查，估价对象使用及维护状况良好</w:t>
            </w:r>
          </w:p>
        </w:tc>
      </w:tr>
      <w:tr>
        <w:tblPrEx>
          <w:tblCellMar>
            <w:top w:w="0" w:type="dxa"/>
            <w:left w:w="0" w:type="dxa"/>
            <w:bottom w:w="0" w:type="dxa"/>
            <w:right w:w="0" w:type="dxa"/>
          </w:tblCellMar>
        </w:tblPrEx>
        <w:trPr>
          <w:trHeight w:val="431"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新旧程度</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根据我公司估价师现场勘查，估价对象成新率为7成</w:t>
            </w:r>
          </w:p>
        </w:tc>
      </w:tr>
    </w:tbl>
    <w:p>
      <w:pPr>
        <w:pStyle w:val="6"/>
        <w:spacing w:before="0" w:line="360" w:lineRule="auto"/>
        <w:ind w:firstLine="363" w:firstLineChars="201"/>
        <w:outlineLvl w:val="1"/>
        <w:rPr>
          <w:b/>
          <w:sz w:val="18"/>
          <w:szCs w:val="18"/>
        </w:rPr>
      </w:pPr>
    </w:p>
    <w:tbl>
      <w:tblPr>
        <w:tblStyle w:val="89"/>
        <w:tblW w:w="9057" w:type="dxa"/>
        <w:jc w:val="center"/>
        <w:tblLayout w:type="fixed"/>
        <w:tblCellMar>
          <w:top w:w="0" w:type="dxa"/>
          <w:left w:w="0" w:type="dxa"/>
          <w:bottom w:w="0" w:type="dxa"/>
          <w:right w:w="0" w:type="dxa"/>
        </w:tblCellMar>
      </w:tblPr>
      <w:tblGrid>
        <w:gridCol w:w="425"/>
        <w:gridCol w:w="1237"/>
        <w:gridCol w:w="7395"/>
      </w:tblGrid>
      <w:tr>
        <w:tblPrEx>
          <w:tblCellMar>
            <w:top w:w="0" w:type="dxa"/>
            <w:left w:w="0" w:type="dxa"/>
            <w:bottom w:w="0" w:type="dxa"/>
            <w:right w:w="0" w:type="dxa"/>
          </w:tblCellMar>
        </w:tblPrEx>
        <w:trPr>
          <w:trHeight w:val="342" w:hRule="atLeast"/>
          <w:jc w:val="center"/>
        </w:trPr>
        <w:tc>
          <w:tcPr>
            <w:tcW w:w="9057" w:type="dxa"/>
            <w:gridSpan w:val="3"/>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估价对象5建筑物基本情况表</w:t>
            </w:r>
          </w:p>
        </w:tc>
      </w:tr>
      <w:tr>
        <w:tblPrEx>
          <w:tblCellMar>
            <w:top w:w="0" w:type="dxa"/>
            <w:left w:w="0" w:type="dxa"/>
            <w:bottom w:w="0" w:type="dxa"/>
            <w:right w:w="0" w:type="dxa"/>
          </w:tblCellMar>
        </w:tblPrEx>
        <w:trPr>
          <w:trHeight w:val="34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基本情况</w:t>
            </w:r>
          </w:p>
        </w:tc>
      </w:tr>
      <w:tr>
        <w:tblPrEx>
          <w:tblCellMar>
            <w:top w:w="0" w:type="dxa"/>
            <w:left w:w="0" w:type="dxa"/>
            <w:bottom w:w="0" w:type="dxa"/>
            <w:right w:w="0" w:type="dxa"/>
          </w:tblCellMar>
        </w:tblPrEx>
        <w:trPr>
          <w:trHeight w:val="409"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9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晋宁县宝峰镇宝峰街</w:t>
            </w:r>
          </w:p>
        </w:tc>
      </w:tr>
      <w:tr>
        <w:tblPrEx>
          <w:tblCellMar>
            <w:top w:w="0" w:type="dxa"/>
            <w:left w:w="0" w:type="dxa"/>
            <w:bottom w:w="0" w:type="dxa"/>
            <w:right w:w="0" w:type="dxa"/>
          </w:tblCellMar>
        </w:tblPrEx>
        <w:trPr>
          <w:trHeight w:val="451" w:hRule="atLeast"/>
          <w:jc w:val="center"/>
        </w:trPr>
        <w:tc>
          <w:tcPr>
            <w:tcW w:w="42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所有权人</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张学明、何云翠</w:t>
            </w:r>
          </w:p>
        </w:tc>
      </w:tr>
      <w:tr>
        <w:tblPrEx>
          <w:tblCellMar>
            <w:top w:w="0" w:type="dxa"/>
            <w:left w:w="0" w:type="dxa"/>
            <w:bottom w:w="0" w:type="dxa"/>
            <w:right w:w="0" w:type="dxa"/>
          </w:tblCellMar>
        </w:tblPrEx>
        <w:trPr>
          <w:trHeight w:val="436" w:hRule="atLeast"/>
          <w:jc w:val="center"/>
        </w:trPr>
        <w:tc>
          <w:tcPr>
            <w:tcW w:w="42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权属编号</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2005005099、G2005004466</w:t>
            </w:r>
          </w:p>
        </w:tc>
      </w:tr>
      <w:tr>
        <w:tblPrEx>
          <w:tblCellMar>
            <w:top w:w="0" w:type="dxa"/>
            <w:left w:w="0" w:type="dxa"/>
            <w:bottom w:w="0" w:type="dxa"/>
            <w:right w:w="0" w:type="dxa"/>
          </w:tblCellMar>
        </w:tblPrEx>
        <w:trPr>
          <w:trHeight w:val="38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363.93</w:t>
            </w:r>
          </w:p>
        </w:tc>
      </w:tr>
      <w:tr>
        <w:tblPrEx>
          <w:tblCellMar>
            <w:top w:w="0" w:type="dxa"/>
            <w:left w:w="0" w:type="dxa"/>
            <w:bottom w:w="0" w:type="dxa"/>
            <w:right w:w="0" w:type="dxa"/>
          </w:tblCellMar>
        </w:tblPrEx>
        <w:trPr>
          <w:trHeight w:val="38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评估面积（㎡）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363.93</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设计用途</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住宅</w:t>
            </w:r>
          </w:p>
        </w:tc>
      </w:tr>
      <w:tr>
        <w:tblPrEx>
          <w:tblCellMar>
            <w:top w:w="0" w:type="dxa"/>
            <w:left w:w="0" w:type="dxa"/>
            <w:bottom w:w="0" w:type="dxa"/>
            <w:right w:w="0" w:type="dxa"/>
          </w:tblCellMar>
        </w:tblPrEx>
        <w:trPr>
          <w:trHeight w:val="44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所在层/总层数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1-2/2</w:t>
            </w:r>
          </w:p>
        </w:tc>
      </w:tr>
      <w:tr>
        <w:tblPrEx>
          <w:tblCellMar>
            <w:top w:w="0" w:type="dxa"/>
            <w:left w:w="0" w:type="dxa"/>
            <w:bottom w:w="0" w:type="dxa"/>
            <w:right w:w="0" w:type="dxa"/>
          </w:tblCellMar>
        </w:tblPrEx>
        <w:trPr>
          <w:trHeight w:val="39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1层层高约3.4米，2层层高约3.3米</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建筑结构</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砖混结构</w:t>
            </w:r>
          </w:p>
        </w:tc>
      </w:tr>
      <w:tr>
        <w:tblPrEx>
          <w:tblCellMar>
            <w:top w:w="0" w:type="dxa"/>
            <w:left w:w="0" w:type="dxa"/>
            <w:bottom w:w="0" w:type="dxa"/>
            <w:right w:w="0" w:type="dxa"/>
          </w:tblCellMar>
        </w:tblPrEx>
        <w:trPr>
          <w:trHeight w:val="39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建成时间</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2004年</w:t>
            </w:r>
          </w:p>
        </w:tc>
      </w:tr>
      <w:tr>
        <w:tblPrEx>
          <w:tblCellMar>
            <w:top w:w="0" w:type="dxa"/>
            <w:left w:w="0" w:type="dxa"/>
            <w:bottom w:w="0" w:type="dxa"/>
            <w:right w:w="0" w:type="dxa"/>
          </w:tblCellMar>
        </w:tblPrEx>
        <w:trPr>
          <w:trHeight w:val="44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实际用途及使用现状</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估价对象实际用途1层为商铺，2层为住宅，使用现状均为在使用。</w:t>
            </w:r>
          </w:p>
        </w:tc>
      </w:tr>
      <w:tr>
        <w:tblPrEx>
          <w:tblCellMar>
            <w:top w:w="0" w:type="dxa"/>
            <w:left w:w="0" w:type="dxa"/>
            <w:bottom w:w="0" w:type="dxa"/>
            <w:right w:w="0" w:type="dxa"/>
          </w:tblCellMar>
        </w:tblPrEx>
        <w:trPr>
          <w:trHeight w:val="4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装饰装修情况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外墙装饰为墙砖；室内装修：1层地面为地砖，墙面为墙砖，顶面为乳胶漆；2层地面为地砖，墙面为乳胶漆，顶面为乳胶漆，窗为铝合金窗。</w:t>
            </w:r>
          </w:p>
        </w:tc>
      </w:tr>
      <w:tr>
        <w:tblPrEx>
          <w:tblCellMar>
            <w:top w:w="0" w:type="dxa"/>
            <w:left w:w="0" w:type="dxa"/>
            <w:bottom w:w="0" w:type="dxa"/>
            <w:right w:w="0" w:type="dxa"/>
          </w:tblCellMar>
        </w:tblPrEx>
        <w:trPr>
          <w:trHeight w:val="386"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设施设备情况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给排水管道、供电线路、水表、电表等设施齐备均为完好</w:t>
            </w:r>
          </w:p>
        </w:tc>
      </w:tr>
      <w:tr>
        <w:tblPrEx>
          <w:tblCellMar>
            <w:top w:w="0" w:type="dxa"/>
            <w:left w:w="0" w:type="dxa"/>
            <w:bottom w:w="0" w:type="dxa"/>
            <w:right w:w="0" w:type="dxa"/>
          </w:tblCellMar>
        </w:tblPrEx>
        <w:trPr>
          <w:trHeight w:val="43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使用及维修状况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根据估价师现场调查，估价对象使用及维护状况良好</w:t>
            </w:r>
          </w:p>
        </w:tc>
      </w:tr>
      <w:tr>
        <w:tblPrEx>
          <w:tblCellMar>
            <w:top w:w="0" w:type="dxa"/>
            <w:left w:w="0" w:type="dxa"/>
            <w:bottom w:w="0" w:type="dxa"/>
            <w:right w:w="0" w:type="dxa"/>
          </w:tblCellMar>
        </w:tblPrEx>
        <w:trPr>
          <w:trHeight w:val="431"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新旧程度</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根据我公司估价师现场勘查，估价对象成新率为7.3成</w:t>
            </w:r>
          </w:p>
        </w:tc>
      </w:tr>
    </w:tbl>
    <w:p>
      <w:pPr>
        <w:pStyle w:val="6"/>
        <w:spacing w:before="0" w:line="360" w:lineRule="auto"/>
        <w:ind w:firstLine="363" w:firstLineChars="201"/>
        <w:outlineLvl w:val="1"/>
        <w:rPr>
          <w:b/>
          <w:sz w:val="18"/>
          <w:szCs w:val="18"/>
        </w:rPr>
      </w:pPr>
    </w:p>
    <w:tbl>
      <w:tblPr>
        <w:tblStyle w:val="89"/>
        <w:tblW w:w="9057" w:type="dxa"/>
        <w:jc w:val="center"/>
        <w:tblLayout w:type="fixed"/>
        <w:tblCellMar>
          <w:top w:w="0" w:type="dxa"/>
          <w:left w:w="0" w:type="dxa"/>
          <w:bottom w:w="0" w:type="dxa"/>
          <w:right w:w="0" w:type="dxa"/>
        </w:tblCellMar>
      </w:tblPr>
      <w:tblGrid>
        <w:gridCol w:w="425"/>
        <w:gridCol w:w="1237"/>
        <w:gridCol w:w="7395"/>
      </w:tblGrid>
      <w:tr>
        <w:tblPrEx>
          <w:tblCellMar>
            <w:top w:w="0" w:type="dxa"/>
            <w:left w:w="0" w:type="dxa"/>
            <w:bottom w:w="0" w:type="dxa"/>
            <w:right w:w="0" w:type="dxa"/>
          </w:tblCellMar>
        </w:tblPrEx>
        <w:trPr>
          <w:trHeight w:val="342" w:hRule="atLeast"/>
          <w:jc w:val="center"/>
        </w:trPr>
        <w:tc>
          <w:tcPr>
            <w:tcW w:w="9057" w:type="dxa"/>
            <w:gridSpan w:val="3"/>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估价对象6建筑物基本情况表</w:t>
            </w:r>
          </w:p>
        </w:tc>
      </w:tr>
      <w:tr>
        <w:tblPrEx>
          <w:tblCellMar>
            <w:top w:w="0" w:type="dxa"/>
            <w:left w:w="0" w:type="dxa"/>
            <w:bottom w:w="0" w:type="dxa"/>
            <w:right w:w="0" w:type="dxa"/>
          </w:tblCellMar>
        </w:tblPrEx>
        <w:trPr>
          <w:trHeight w:val="34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基本情况</w:t>
            </w:r>
          </w:p>
        </w:tc>
      </w:tr>
      <w:tr>
        <w:tblPrEx>
          <w:tblCellMar>
            <w:top w:w="0" w:type="dxa"/>
            <w:left w:w="0" w:type="dxa"/>
            <w:bottom w:w="0" w:type="dxa"/>
            <w:right w:w="0" w:type="dxa"/>
          </w:tblCellMar>
        </w:tblPrEx>
        <w:trPr>
          <w:trHeight w:val="409"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9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晋宁县昆阳镇东凤路磷都花园36幢2号</w:t>
            </w:r>
          </w:p>
        </w:tc>
      </w:tr>
      <w:tr>
        <w:tblPrEx>
          <w:tblCellMar>
            <w:top w:w="0" w:type="dxa"/>
            <w:left w:w="0" w:type="dxa"/>
            <w:bottom w:w="0" w:type="dxa"/>
            <w:right w:w="0" w:type="dxa"/>
          </w:tblCellMar>
        </w:tblPrEx>
        <w:trPr>
          <w:trHeight w:val="451" w:hRule="atLeast"/>
          <w:jc w:val="center"/>
        </w:trPr>
        <w:tc>
          <w:tcPr>
            <w:tcW w:w="42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所有权人</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何云丽</w:t>
            </w:r>
          </w:p>
        </w:tc>
      </w:tr>
      <w:tr>
        <w:tblPrEx>
          <w:tblCellMar>
            <w:top w:w="0" w:type="dxa"/>
            <w:left w:w="0" w:type="dxa"/>
            <w:bottom w:w="0" w:type="dxa"/>
            <w:right w:w="0" w:type="dxa"/>
          </w:tblCellMar>
        </w:tblPrEx>
        <w:trPr>
          <w:trHeight w:val="436" w:hRule="atLeast"/>
          <w:jc w:val="center"/>
        </w:trPr>
        <w:tc>
          <w:tcPr>
            <w:tcW w:w="42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权属编号</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019547</w:t>
            </w:r>
          </w:p>
        </w:tc>
      </w:tr>
      <w:tr>
        <w:tblPrEx>
          <w:tblCellMar>
            <w:top w:w="0" w:type="dxa"/>
            <w:left w:w="0" w:type="dxa"/>
            <w:bottom w:w="0" w:type="dxa"/>
            <w:right w:w="0" w:type="dxa"/>
          </w:tblCellMar>
        </w:tblPrEx>
        <w:trPr>
          <w:trHeight w:val="38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39.5</w:t>
            </w:r>
          </w:p>
        </w:tc>
      </w:tr>
      <w:tr>
        <w:tblPrEx>
          <w:tblCellMar>
            <w:top w:w="0" w:type="dxa"/>
            <w:left w:w="0" w:type="dxa"/>
            <w:bottom w:w="0" w:type="dxa"/>
            <w:right w:w="0" w:type="dxa"/>
          </w:tblCellMar>
        </w:tblPrEx>
        <w:trPr>
          <w:trHeight w:val="38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评估面积（㎡）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39.5</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设计用途</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商铺</w:t>
            </w:r>
          </w:p>
        </w:tc>
      </w:tr>
      <w:tr>
        <w:tblPrEx>
          <w:tblCellMar>
            <w:top w:w="0" w:type="dxa"/>
            <w:left w:w="0" w:type="dxa"/>
            <w:bottom w:w="0" w:type="dxa"/>
            <w:right w:w="0" w:type="dxa"/>
          </w:tblCellMar>
        </w:tblPrEx>
        <w:trPr>
          <w:trHeight w:val="44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所在层/总层数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1/7</w:t>
            </w:r>
          </w:p>
        </w:tc>
      </w:tr>
      <w:tr>
        <w:tblPrEx>
          <w:tblCellMar>
            <w:top w:w="0" w:type="dxa"/>
            <w:left w:w="0" w:type="dxa"/>
            <w:bottom w:w="0" w:type="dxa"/>
            <w:right w:w="0" w:type="dxa"/>
          </w:tblCellMar>
        </w:tblPrEx>
        <w:trPr>
          <w:trHeight w:val="39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层高约3.3米</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建筑结构</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钢混结构</w:t>
            </w:r>
          </w:p>
        </w:tc>
      </w:tr>
      <w:tr>
        <w:tblPrEx>
          <w:tblCellMar>
            <w:top w:w="0" w:type="dxa"/>
            <w:left w:w="0" w:type="dxa"/>
            <w:bottom w:w="0" w:type="dxa"/>
            <w:right w:w="0" w:type="dxa"/>
          </w:tblCellMar>
        </w:tblPrEx>
        <w:trPr>
          <w:trHeight w:val="39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建成时间</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2009年</w:t>
            </w:r>
          </w:p>
        </w:tc>
      </w:tr>
      <w:tr>
        <w:tblPrEx>
          <w:tblCellMar>
            <w:top w:w="0" w:type="dxa"/>
            <w:left w:w="0" w:type="dxa"/>
            <w:bottom w:w="0" w:type="dxa"/>
            <w:right w:w="0" w:type="dxa"/>
          </w:tblCellMar>
        </w:tblPrEx>
        <w:trPr>
          <w:trHeight w:val="44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实际用途及使用现状</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估价对象实际用途为商铺，使用现状为在使用。</w:t>
            </w:r>
          </w:p>
        </w:tc>
      </w:tr>
      <w:tr>
        <w:tblPrEx>
          <w:tblCellMar>
            <w:top w:w="0" w:type="dxa"/>
            <w:left w:w="0" w:type="dxa"/>
            <w:bottom w:w="0" w:type="dxa"/>
            <w:right w:w="0" w:type="dxa"/>
          </w:tblCellMar>
        </w:tblPrEx>
        <w:trPr>
          <w:trHeight w:val="4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装饰装修情况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外墙装饰为</w:t>
            </w:r>
            <w:r>
              <w:rPr>
                <w:rFonts w:hint="eastAsia" w:ascii="仿宋_GB2312" w:hAnsi="仿宋_GB2312" w:eastAsia="仿宋_GB2312" w:cs="仿宋_GB2312"/>
                <w:color w:val="000000"/>
                <w:sz w:val="22"/>
                <w:szCs w:val="22"/>
                <w:lang w:val="en-US" w:eastAsia="zh-CN"/>
              </w:rPr>
              <w:t>涂料</w:t>
            </w:r>
            <w:r>
              <w:rPr>
                <w:rFonts w:hint="eastAsia" w:ascii="仿宋_GB2312" w:hAnsi="仿宋_GB2312" w:eastAsia="仿宋_GB2312" w:cs="仿宋_GB2312"/>
                <w:color w:val="000000"/>
                <w:sz w:val="22"/>
                <w:szCs w:val="22"/>
              </w:rPr>
              <w:t>；门为卷帘门，室内装修：地面为地胶，墙面为乳胶漆，顶面为乳胶漆。</w:t>
            </w:r>
          </w:p>
        </w:tc>
      </w:tr>
      <w:tr>
        <w:tblPrEx>
          <w:tblCellMar>
            <w:top w:w="0" w:type="dxa"/>
            <w:left w:w="0" w:type="dxa"/>
            <w:bottom w:w="0" w:type="dxa"/>
            <w:right w:w="0" w:type="dxa"/>
          </w:tblCellMar>
        </w:tblPrEx>
        <w:trPr>
          <w:trHeight w:val="386"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设施设备情况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给排水管道、供电线路、水表、电表等设施齐备均为完好</w:t>
            </w:r>
          </w:p>
        </w:tc>
      </w:tr>
      <w:tr>
        <w:tblPrEx>
          <w:tblCellMar>
            <w:top w:w="0" w:type="dxa"/>
            <w:left w:w="0" w:type="dxa"/>
            <w:bottom w:w="0" w:type="dxa"/>
            <w:right w:w="0" w:type="dxa"/>
          </w:tblCellMar>
        </w:tblPrEx>
        <w:trPr>
          <w:trHeight w:val="43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使用及维修状况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根据估价师现场调查，估价对象使用及维护状况良好</w:t>
            </w:r>
          </w:p>
        </w:tc>
      </w:tr>
      <w:tr>
        <w:tblPrEx>
          <w:tblCellMar>
            <w:top w:w="0" w:type="dxa"/>
            <w:left w:w="0" w:type="dxa"/>
            <w:bottom w:w="0" w:type="dxa"/>
            <w:right w:w="0" w:type="dxa"/>
          </w:tblCellMar>
        </w:tblPrEx>
        <w:trPr>
          <w:trHeight w:val="431"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新旧程度</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根据我公司估价师现场勘查，估价对象成新率为8成</w:t>
            </w:r>
          </w:p>
        </w:tc>
      </w:tr>
    </w:tbl>
    <w:p>
      <w:pPr>
        <w:pStyle w:val="6"/>
        <w:spacing w:before="0" w:line="360" w:lineRule="auto"/>
        <w:ind w:firstLine="363" w:firstLineChars="201"/>
        <w:outlineLvl w:val="1"/>
        <w:rPr>
          <w:b/>
          <w:sz w:val="18"/>
          <w:szCs w:val="18"/>
        </w:rPr>
      </w:pPr>
    </w:p>
    <w:tbl>
      <w:tblPr>
        <w:tblStyle w:val="89"/>
        <w:tblW w:w="9057" w:type="dxa"/>
        <w:jc w:val="center"/>
        <w:tblLayout w:type="fixed"/>
        <w:tblCellMar>
          <w:top w:w="0" w:type="dxa"/>
          <w:left w:w="0" w:type="dxa"/>
          <w:bottom w:w="0" w:type="dxa"/>
          <w:right w:w="0" w:type="dxa"/>
        </w:tblCellMar>
      </w:tblPr>
      <w:tblGrid>
        <w:gridCol w:w="425"/>
        <w:gridCol w:w="1237"/>
        <w:gridCol w:w="7395"/>
      </w:tblGrid>
      <w:tr>
        <w:tblPrEx>
          <w:tblCellMar>
            <w:top w:w="0" w:type="dxa"/>
            <w:left w:w="0" w:type="dxa"/>
            <w:bottom w:w="0" w:type="dxa"/>
            <w:right w:w="0" w:type="dxa"/>
          </w:tblCellMar>
        </w:tblPrEx>
        <w:trPr>
          <w:trHeight w:val="342" w:hRule="atLeast"/>
          <w:jc w:val="center"/>
        </w:trPr>
        <w:tc>
          <w:tcPr>
            <w:tcW w:w="9057" w:type="dxa"/>
            <w:gridSpan w:val="3"/>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估价对象7建筑物基本情况表</w:t>
            </w:r>
          </w:p>
        </w:tc>
      </w:tr>
      <w:tr>
        <w:tblPrEx>
          <w:tblCellMar>
            <w:top w:w="0" w:type="dxa"/>
            <w:left w:w="0" w:type="dxa"/>
            <w:bottom w:w="0" w:type="dxa"/>
            <w:right w:w="0" w:type="dxa"/>
          </w:tblCellMar>
        </w:tblPrEx>
        <w:trPr>
          <w:trHeight w:val="34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基本情况</w:t>
            </w:r>
          </w:p>
        </w:tc>
      </w:tr>
      <w:tr>
        <w:tblPrEx>
          <w:tblCellMar>
            <w:top w:w="0" w:type="dxa"/>
            <w:left w:w="0" w:type="dxa"/>
            <w:bottom w:w="0" w:type="dxa"/>
            <w:right w:w="0" w:type="dxa"/>
          </w:tblCellMar>
        </w:tblPrEx>
        <w:trPr>
          <w:trHeight w:val="409"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9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晋宁县昆阳镇东凤路磷都花园36幢3号</w:t>
            </w:r>
          </w:p>
        </w:tc>
      </w:tr>
      <w:tr>
        <w:tblPrEx>
          <w:tblCellMar>
            <w:top w:w="0" w:type="dxa"/>
            <w:left w:w="0" w:type="dxa"/>
            <w:bottom w:w="0" w:type="dxa"/>
            <w:right w:w="0" w:type="dxa"/>
          </w:tblCellMar>
        </w:tblPrEx>
        <w:trPr>
          <w:trHeight w:val="451"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所有权人</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何云丽、刘德禄</w:t>
            </w:r>
          </w:p>
        </w:tc>
      </w:tr>
      <w:tr>
        <w:tblPrEx>
          <w:tblCellMar>
            <w:top w:w="0" w:type="dxa"/>
            <w:left w:w="0" w:type="dxa"/>
            <w:bottom w:w="0" w:type="dxa"/>
            <w:right w:w="0" w:type="dxa"/>
          </w:tblCellMar>
        </w:tblPrEx>
        <w:trPr>
          <w:trHeight w:val="436"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权属编号</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019551</w:t>
            </w:r>
          </w:p>
        </w:tc>
      </w:tr>
      <w:tr>
        <w:tblPrEx>
          <w:tblCellMar>
            <w:top w:w="0" w:type="dxa"/>
            <w:left w:w="0" w:type="dxa"/>
            <w:bottom w:w="0" w:type="dxa"/>
            <w:right w:w="0" w:type="dxa"/>
          </w:tblCellMar>
        </w:tblPrEx>
        <w:trPr>
          <w:trHeight w:val="38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59.02</w:t>
            </w:r>
          </w:p>
        </w:tc>
      </w:tr>
      <w:tr>
        <w:tblPrEx>
          <w:tblCellMar>
            <w:top w:w="0" w:type="dxa"/>
            <w:left w:w="0" w:type="dxa"/>
            <w:bottom w:w="0" w:type="dxa"/>
            <w:right w:w="0" w:type="dxa"/>
          </w:tblCellMar>
        </w:tblPrEx>
        <w:trPr>
          <w:trHeight w:val="38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评估面积（㎡）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59.02</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设计用途</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商铺</w:t>
            </w:r>
          </w:p>
        </w:tc>
      </w:tr>
      <w:tr>
        <w:tblPrEx>
          <w:tblCellMar>
            <w:top w:w="0" w:type="dxa"/>
            <w:left w:w="0" w:type="dxa"/>
            <w:bottom w:w="0" w:type="dxa"/>
            <w:right w:w="0" w:type="dxa"/>
          </w:tblCellMar>
        </w:tblPrEx>
        <w:trPr>
          <w:trHeight w:val="44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所在层/总层数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1/7</w:t>
            </w:r>
          </w:p>
        </w:tc>
      </w:tr>
      <w:tr>
        <w:tblPrEx>
          <w:tblCellMar>
            <w:top w:w="0" w:type="dxa"/>
            <w:left w:w="0" w:type="dxa"/>
            <w:bottom w:w="0" w:type="dxa"/>
            <w:right w:w="0" w:type="dxa"/>
          </w:tblCellMar>
        </w:tblPrEx>
        <w:trPr>
          <w:trHeight w:val="39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层高约3.3米</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建筑结构</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钢混结构</w:t>
            </w:r>
          </w:p>
        </w:tc>
      </w:tr>
      <w:tr>
        <w:tblPrEx>
          <w:tblCellMar>
            <w:top w:w="0" w:type="dxa"/>
            <w:left w:w="0" w:type="dxa"/>
            <w:bottom w:w="0" w:type="dxa"/>
            <w:right w:w="0" w:type="dxa"/>
          </w:tblCellMar>
        </w:tblPrEx>
        <w:trPr>
          <w:trHeight w:val="39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建成时间</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2009年</w:t>
            </w:r>
          </w:p>
        </w:tc>
      </w:tr>
      <w:tr>
        <w:tblPrEx>
          <w:tblCellMar>
            <w:top w:w="0" w:type="dxa"/>
            <w:left w:w="0" w:type="dxa"/>
            <w:bottom w:w="0" w:type="dxa"/>
            <w:right w:w="0" w:type="dxa"/>
          </w:tblCellMar>
        </w:tblPrEx>
        <w:trPr>
          <w:trHeight w:val="44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实际用途及使用现状</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估价对象实际用途为商铺，使用现状为在使用。</w:t>
            </w:r>
          </w:p>
        </w:tc>
      </w:tr>
      <w:tr>
        <w:tblPrEx>
          <w:tblCellMar>
            <w:top w:w="0" w:type="dxa"/>
            <w:left w:w="0" w:type="dxa"/>
            <w:bottom w:w="0" w:type="dxa"/>
            <w:right w:w="0" w:type="dxa"/>
          </w:tblCellMar>
        </w:tblPrEx>
        <w:trPr>
          <w:trHeight w:val="4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装饰装修情况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外墙装饰为</w:t>
            </w:r>
            <w:r>
              <w:rPr>
                <w:rFonts w:hint="eastAsia" w:ascii="仿宋_GB2312" w:hAnsi="仿宋_GB2312" w:eastAsia="仿宋_GB2312" w:cs="仿宋_GB2312"/>
                <w:color w:val="000000"/>
                <w:sz w:val="22"/>
                <w:szCs w:val="22"/>
                <w:lang w:val="en-US" w:eastAsia="zh-CN"/>
              </w:rPr>
              <w:t>涂料</w:t>
            </w:r>
            <w:r>
              <w:rPr>
                <w:rFonts w:hint="eastAsia" w:ascii="仿宋_GB2312" w:hAnsi="仿宋_GB2312" w:eastAsia="仿宋_GB2312" w:cs="仿宋_GB2312"/>
                <w:color w:val="000000"/>
                <w:sz w:val="22"/>
                <w:szCs w:val="22"/>
              </w:rPr>
              <w:t>；门为卷帘门，室内装修：地面为地砖、木地板，墙面为乳胶漆，顶面为乳胶漆。</w:t>
            </w:r>
          </w:p>
        </w:tc>
      </w:tr>
      <w:tr>
        <w:tblPrEx>
          <w:tblCellMar>
            <w:top w:w="0" w:type="dxa"/>
            <w:left w:w="0" w:type="dxa"/>
            <w:bottom w:w="0" w:type="dxa"/>
            <w:right w:w="0" w:type="dxa"/>
          </w:tblCellMar>
        </w:tblPrEx>
        <w:trPr>
          <w:trHeight w:val="386"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设施设备情况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给排水管道、供电线路、水表、电表等设施齐备均为完好</w:t>
            </w:r>
          </w:p>
        </w:tc>
      </w:tr>
      <w:tr>
        <w:tblPrEx>
          <w:tblCellMar>
            <w:top w:w="0" w:type="dxa"/>
            <w:left w:w="0" w:type="dxa"/>
            <w:bottom w:w="0" w:type="dxa"/>
            <w:right w:w="0" w:type="dxa"/>
          </w:tblCellMar>
        </w:tblPrEx>
        <w:trPr>
          <w:trHeight w:val="43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使用及维修状况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根据估价师现场调查，估价对象使用及维护状况良好</w:t>
            </w:r>
          </w:p>
        </w:tc>
      </w:tr>
      <w:tr>
        <w:tblPrEx>
          <w:tblCellMar>
            <w:top w:w="0" w:type="dxa"/>
            <w:left w:w="0" w:type="dxa"/>
            <w:bottom w:w="0" w:type="dxa"/>
            <w:right w:w="0" w:type="dxa"/>
          </w:tblCellMar>
        </w:tblPrEx>
        <w:trPr>
          <w:trHeight w:val="431"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新旧程度</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根据我公司估价师现场勘查，估价对象成新率为8成</w:t>
            </w:r>
          </w:p>
        </w:tc>
      </w:tr>
    </w:tbl>
    <w:p>
      <w:pPr>
        <w:pStyle w:val="6"/>
        <w:spacing w:before="0" w:line="360" w:lineRule="auto"/>
        <w:ind w:firstLine="363" w:firstLineChars="201"/>
        <w:outlineLvl w:val="1"/>
        <w:rPr>
          <w:b/>
          <w:sz w:val="18"/>
          <w:szCs w:val="18"/>
        </w:rPr>
      </w:pPr>
    </w:p>
    <w:tbl>
      <w:tblPr>
        <w:tblStyle w:val="89"/>
        <w:tblW w:w="9057" w:type="dxa"/>
        <w:jc w:val="center"/>
        <w:tblLayout w:type="fixed"/>
        <w:tblCellMar>
          <w:top w:w="0" w:type="dxa"/>
          <w:left w:w="0" w:type="dxa"/>
          <w:bottom w:w="0" w:type="dxa"/>
          <w:right w:w="0" w:type="dxa"/>
        </w:tblCellMar>
      </w:tblPr>
      <w:tblGrid>
        <w:gridCol w:w="425"/>
        <w:gridCol w:w="1237"/>
        <w:gridCol w:w="7395"/>
      </w:tblGrid>
      <w:tr>
        <w:tblPrEx>
          <w:tblCellMar>
            <w:top w:w="0" w:type="dxa"/>
            <w:left w:w="0" w:type="dxa"/>
            <w:bottom w:w="0" w:type="dxa"/>
            <w:right w:w="0" w:type="dxa"/>
          </w:tblCellMar>
        </w:tblPrEx>
        <w:trPr>
          <w:trHeight w:val="342" w:hRule="atLeast"/>
          <w:jc w:val="center"/>
        </w:trPr>
        <w:tc>
          <w:tcPr>
            <w:tcW w:w="9057" w:type="dxa"/>
            <w:gridSpan w:val="3"/>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估价对象8建筑物基本情况表</w:t>
            </w:r>
          </w:p>
        </w:tc>
      </w:tr>
      <w:tr>
        <w:tblPrEx>
          <w:tblCellMar>
            <w:top w:w="0" w:type="dxa"/>
            <w:left w:w="0" w:type="dxa"/>
            <w:bottom w:w="0" w:type="dxa"/>
            <w:right w:w="0" w:type="dxa"/>
          </w:tblCellMar>
        </w:tblPrEx>
        <w:trPr>
          <w:trHeight w:val="34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基本情况</w:t>
            </w:r>
          </w:p>
        </w:tc>
      </w:tr>
      <w:tr>
        <w:tblPrEx>
          <w:tblCellMar>
            <w:top w:w="0" w:type="dxa"/>
            <w:left w:w="0" w:type="dxa"/>
            <w:bottom w:w="0" w:type="dxa"/>
            <w:right w:w="0" w:type="dxa"/>
          </w:tblCellMar>
        </w:tblPrEx>
        <w:trPr>
          <w:trHeight w:val="409"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9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晋宁县昆阳镇东凤路磷都花园36幢4号</w:t>
            </w:r>
          </w:p>
        </w:tc>
      </w:tr>
      <w:tr>
        <w:tblPrEx>
          <w:tblCellMar>
            <w:top w:w="0" w:type="dxa"/>
            <w:left w:w="0" w:type="dxa"/>
            <w:bottom w:w="0" w:type="dxa"/>
            <w:right w:w="0" w:type="dxa"/>
          </w:tblCellMar>
        </w:tblPrEx>
        <w:trPr>
          <w:trHeight w:val="451"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所有权人</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何云丽、刘德禄</w:t>
            </w:r>
          </w:p>
        </w:tc>
      </w:tr>
      <w:tr>
        <w:tblPrEx>
          <w:tblCellMar>
            <w:top w:w="0" w:type="dxa"/>
            <w:left w:w="0" w:type="dxa"/>
            <w:bottom w:w="0" w:type="dxa"/>
            <w:right w:w="0" w:type="dxa"/>
          </w:tblCellMar>
        </w:tblPrEx>
        <w:trPr>
          <w:trHeight w:val="436"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权属编号</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019549</w:t>
            </w:r>
          </w:p>
        </w:tc>
      </w:tr>
      <w:tr>
        <w:tblPrEx>
          <w:tblCellMar>
            <w:top w:w="0" w:type="dxa"/>
            <w:left w:w="0" w:type="dxa"/>
            <w:bottom w:w="0" w:type="dxa"/>
            <w:right w:w="0" w:type="dxa"/>
          </w:tblCellMar>
        </w:tblPrEx>
        <w:trPr>
          <w:trHeight w:val="38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44.57</w:t>
            </w:r>
          </w:p>
        </w:tc>
      </w:tr>
      <w:tr>
        <w:tblPrEx>
          <w:tblCellMar>
            <w:top w:w="0" w:type="dxa"/>
            <w:left w:w="0" w:type="dxa"/>
            <w:bottom w:w="0" w:type="dxa"/>
            <w:right w:w="0" w:type="dxa"/>
          </w:tblCellMar>
        </w:tblPrEx>
        <w:trPr>
          <w:trHeight w:val="38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评估面积（㎡）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44.57</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设计用途</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商铺</w:t>
            </w:r>
          </w:p>
        </w:tc>
      </w:tr>
      <w:tr>
        <w:tblPrEx>
          <w:tblCellMar>
            <w:top w:w="0" w:type="dxa"/>
            <w:left w:w="0" w:type="dxa"/>
            <w:bottom w:w="0" w:type="dxa"/>
            <w:right w:w="0" w:type="dxa"/>
          </w:tblCellMar>
        </w:tblPrEx>
        <w:trPr>
          <w:trHeight w:val="44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所在层/总层数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1/7</w:t>
            </w:r>
          </w:p>
        </w:tc>
      </w:tr>
      <w:tr>
        <w:tblPrEx>
          <w:tblCellMar>
            <w:top w:w="0" w:type="dxa"/>
            <w:left w:w="0" w:type="dxa"/>
            <w:bottom w:w="0" w:type="dxa"/>
            <w:right w:w="0" w:type="dxa"/>
          </w:tblCellMar>
        </w:tblPrEx>
        <w:trPr>
          <w:trHeight w:val="39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层高约3.3米</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建筑结构</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钢混结构</w:t>
            </w:r>
          </w:p>
        </w:tc>
      </w:tr>
      <w:tr>
        <w:tblPrEx>
          <w:tblCellMar>
            <w:top w:w="0" w:type="dxa"/>
            <w:left w:w="0" w:type="dxa"/>
            <w:bottom w:w="0" w:type="dxa"/>
            <w:right w:w="0" w:type="dxa"/>
          </w:tblCellMar>
        </w:tblPrEx>
        <w:trPr>
          <w:trHeight w:val="39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建成时间</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2009年</w:t>
            </w:r>
          </w:p>
        </w:tc>
      </w:tr>
      <w:tr>
        <w:tblPrEx>
          <w:tblCellMar>
            <w:top w:w="0" w:type="dxa"/>
            <w:left w:w="0" w:type="dxa"/>
            <w:bottom w:w="0" w:type="dxa"/>
            <w:right w:w="0" w:type="dxa"/>
          </w:tblCellMar>
        </w:tblPrEx>
        <w:trPr>
          <w:trHeight w:val="44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实际用途及使用现状</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估价对象实际用途为商铺，使用现状为空置。</w:t>
            </w:r>
          </w:p>
        </w:tc>
      </w:tr>
      <w:tr>
        <w:tblPrEx>
          <w:tblCellMar>
            <w:top w:w="0" w:type="dxa"/>
            <w:left w:w="0" w:type="dxa"/>
            <w:bottom w:w="0" w:type="dxa"/>
            <w:right w:w="0" w:type="dxa"/>
          </w:tblCellMar>
        </w:tblPrEx>
        <w:trPr>
          <w:trHeight w:val="4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装饰装修情况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外墙装饰为</w:t>
            </w:r>
            <w:r>
              <w:rPr>
                <w:rFonts w:hint="eastAsia" w:ascii="仿宋_GB2312" w:hAnsi="仿宋_GB2312" w:eastAsia="仿宋_GB2312" w:cs="仿宋_GB2312"/>
                <w:color w:val="000000"/>
                <w:sz w:val="22"/>
                <w:szCs w:val="22"/>
                <w:lang w:val="en-US" w:eastAsia="zh-CN"/>
              </w:rPr>
              <w:t>涂料</w:t>
            </w:r>
            <w:r>
              <w:rPr>
                <w:rFonts w:hint="eastAsia" w:ascii="仿宋_GB2312" w:hAnsi="仿宋_GB2312" w:eastAsia="仿宋_GB2312" w:cs="仿宋_GB2312"/>
                <w:color w:val="000000"/>
                <w:sz w:val="22"/>
                <w:szCs w:val="22"/>
              </w:rPr>
              <w:t>；门为卷帘门，室内装修：室内未进入。</w:t>
            </w:r>
          </w:p>
        </w:tc>
      </w:tr>
      <w:tr>
        <w:tblPrEx>
          <w:tblCellMar>
            <w:top w:w="0" w:type="dxa"/>
            <w:left w:w="0" w:type="dxa"/>
            <w:bottom w:w="0" w:type="dxa"/>
            <w:right w:w="0" w:type="dxa"/>
          </w:tblCellMar>
        </w:tblPrEx>
        <w:trPr>
          <w:trHeight w:val="386"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设施设备情况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给排水管道、供电线路、水表、电表等设施齐备均为完好</w:t>
            </w:r>
          </w:p>
        </w:tc>
      </w:tr>
      <w:tr>
        <w:tblPrEx>
          <w:tblCellMar>
            <w:top w:w="0" w:type="dxa"/>
            <w:left w:w="0" w:type="dxa"/>
            <w:bottom w:w="0" w:type="dxa"/>
            <w:right w:w="0" w:type="dxa"/>
          </w:tblCellMar>
        </w:tblPrEx>
        <w:trPr>
          <w:trHeight w:val="43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使用及维修状况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根据估价师现场调查，估价对象使用及维护状况良好</w:t>
            </w:r>
          </w:p>
        </w:tc>
      </w:tr>
      <w:tr>
        <w:tblPrEx>
          <w:tblCellMar>
            <w:top w:w="0" w:type="dxa"/>
            <w:left w:w="0" w:type="dxa"/>
            <w:bottom w:w="0" w:type="dxa"/>
            <w:right w:w="0" w:type="dxa"/>
          </w:tblCellMar>
        </w:tblPrEx>
        <w:trPr>
          <w:trHeight w:val="431"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新旧程度</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根据我公司估价师现场勘查，估价对象成新率为8成</w:t>
            </w:r>
          </w:p>
        </w:tc>
      </w:tr>
    </w:tbl>
    <w:p>
      <w:pPr>
        <w:pStyle w:val="6"/>
        <w:spacing w:before="0" w:line="360" w:lineRule="auto"/>
        <w:ind w:firstLine="363" w:firstLineChars="201"/>
        <w:outlineLvl w:val="1"/>
        <w:rPr>
          <w:b/>
          <w:sz w:val="18"/>
          <w:szCs w:val="18"/>
        </w:rPr>
      </w:pPr>
    </w:p>
    <w:tbl>
      <w:tblPr>
        <w:tblStyle w:val="89"/>
        <w:tblW w:w="9057" w:type="dxa"/>
        <w:jc w:val="center"/>
        <w:tblLayout w:type="fixed"/>
        <w:tblCellMar>
          <w:top w:w="0" w:type="dxa"/>
          <w:left w:w="0" w:type="dxa"/>
          <w:bottom w:w="0" w:type="dxa"/>
          <w:right w:w="0" w:type="dxa"/>
        </w:tblCellMar>
      </w:tblPr>
      <w:tblGrid>
        <w:gridCol w:w="425"/>
        <w:gridCol w:w="1237"/>
        <w:gridCol w:w="7395"/>
      </w:tblGrid>
      <w:tr>
        <w:tblPrEx>
          <w:tblCellMar>
            <w:top w:w="0" w:type="dxa"/>
            <w:left w:w="0" w:type="dxa"/>
            <w:bottom w:w="0" w:type="dxa"/>
            <w:right w:w="0" w:type="dxa"/>
          </w:tblCellMar>
        </w:tblPrEx>
        <w:trPr>
          <w:trHeight w:val="342" w:hRule="atLeast"/>
          <w:jc w:val="center"/>
        </w:trPr>
        <w:tc>
          <w:tcPr>
            <w:tcW w:w="9057" w:type="dxa"/>
            <w:gridSpan w:val="3"/>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估价对象9建筑物基本情况表</w:t>
            </w:r>
          </w:p>
        </w:tc>
      </w:tr>
      <w:tr>
        <w:tblPrEx>
          <w:tblCellMar>
            <w:top w:w="0" w:type="dxa"/>
            <w:left w:w="0" w:type="dxa"/>
            <w:bottom w:w="0" w:type="dxa"/>
            <w:right w:w="0" w:type="dxa"/>
          </w:tblCellMar>
        </w:tblPrEx>
        <w:trPr>
          <w:trHeight w:val="34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基本情况</w:t>
            </w:r>
          </w:p>
        </w:tc>
      </w:tr>
      <w:tr>
        <w:tblPrEx>
          <w:tblCellMar>
            <w:top w:w="0" w:type="dxa"/>
            <w:left w:w="0" w:type="dxa"/>
            <w:bottom w:w="0" w:type="dxa"/>
            <w:right w:w="0" w:type="dxa"/>
          </w:tblCellMar>
        </w:tblPrEx>
        <w:trPr>
          <w:trHeight w:val="409"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9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晋宁县昆阳镇东凤路中段（南侧）</w:t>
            </w:r>
          </w:p>
        </w:tc>
      </w:tr>
      <w:tr>
        <w:tblPrEx>
          <w:tblCellMar>
            <w:top w:w="0" w:type="dxa"/>
            <w:left w:w="0" w:type="dxa"/>
            <w:bottom w:w="0" w:type="dxa"/>
            <w:right w:w="0" w:type="dxa"/>
          </w:tblCellMar>
        </w:tblPrEx>
        <w:trPr>
          <w:trHeight w:val="451"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所有权人</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何岗、张翠琼</w:t>
            </w:r>
          </w:p>
        </w:tc>
      </w:tr>
      <w:tr>
        <w:tblPrEx>
          <w:tblCellMar>
            <w:top w:w="0" w:type="dxa"/>
            <w:left w:w="0" w:type="dxa"/>
            <w:bottom w:w="0" w:type="dxa"/>
            <w:right w:w="0" w:type="dxa"/>
          </w:tblCellMar>
        </w:tblPrEx>
        <w:trPr>
          <w:trHeight w:val="436"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权属编号</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2007009245、共2007007878</w:t>
            </w:r>
          </w:p>
        </w:tc>
      </w:tr>
      <w:tr>
        <w:tblPrEx>
          <w:tblCellMar>
            <w:top w:w="0" w:type="dxa"/>
            <w:left w:w="0" w:type="dxa"/>
            <w:bottom w:w="0" w:type="dxa"/>
            <w:right w:w="0" w:type="dxa"/>
          </w:tblCellMar>
        </w:tblPrEx>
        <w:trPr>
          <w:trHeight w:val="38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884.34</w:t>
            </w:r>
          </w:p>
        </w:tc>
      </w:tr>
      <w:tr>
        <w:tblPrEx>
          <w:tblCellMar>
            <w:top w:w="0" w:type="dxa"/>
            <w:left w:w="0" w:type="dxa"/>
            <w:bottom w:w="0" w:type="dxa"/>
            <w:right w:w="0" w:type="dxa"/>
          </w:tblCellMar>
        </w:tblPrEx>
        <w:trPr>
          <w:trHeight w:val="38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评估面积（㎡）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884.34</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设计用途</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非住宅</w:t>
            </w:r>
          </w:p>
        </w:tc>
      </w:tr>
      <w:tr>
        <w:tblPrEx>
          <w:tblCellMar>
            <w:top w:w="0" w:type="dxa"/>
            <w:left w:w="0" w:type="dxa"/>
            <w:bottom w:w="0" w:type="dxa"/>
            <w:right w:w="0" w:type="dxa"/>
          </w:tblCellMar>
        </w:tblPrEx>
        <w:trPr>
          <w:trHeight w:val="44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所在层/总层数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1幢：总楼层为4层，所在楼层为1-4层；2幢：总楼层为2层，所在楼层为1-2层；3幢：总楼层为1层，所在楼层为1层。</w:t>
            </w:r>
          </w:p>
        </w:tc>
      </w:tr>
      <w:tr>
        <w:tblPrEx>
          <w:tblCellMar>
            <w:top w:w="0" w:type="dxa"/>
            <w:left w:w="0" w:type="dxa"/>
            <w:bottom w:w="0" w:type="dxa"/>
            <w:right w:w="0" w:type="dxa"/>
          </w:tblCellMar>
        </w:tblPrEx>
        <w:trPr>
          <w:trHeight w:val="39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1幢层高约</w:t>
            </w:r>
            <w:r>
              <w:rPr>
                <w:rFonts w:hint="eastAsia" w:ascii="仿宋_GB2312" w:hAnsi="仿宋_GB2312" w:eastAsia="仿宋_GB2312" w:cs="仿宋_GB2312"/>
                <w:color w:val="000000"/>
                <w:sz w:val="22"/>
                <w:szCs w:val="22"/>
                <w:lang w:val="en-US" w:eastAsia="zh-CN"/>
              </w:rPr>
              <w:t>3.5</w:t>
            </w:r>
            <w:r>
              <w:rPr>
                <w:rFonts w:hint="eastAsia" w:ascii="仿宋_GB2312" w:hAnsi="仿宋_GB2312" w:eastAsia="仿宋_GB2312" w:cs="仿宋_GB2312"/>
                <w:color w:val="000000"/>
                <w:sz w:val="22"/>
                <w:szCs w:val="22"/>
              </w:rPr>
              <w:t>米；2幢层高为2.9米；3幢层高约</w:t>
            </w:r>
            <w:r>
              <w:rPr>
                <w:rFonts w:hint="eastAsia" w:ascii="仿宋_GB2312" w:hAnsi="仿宋_GB2312" w:eastAsia="仿宋_GB2312" w:cs="仿宋_GB2312"/>
                <w:color w:val="000000"/>
                <w:sz w:val="22"/>
                <w:szCs w:val="22"/>
                <w:lang w:val="en-US" w:eastAsia="zh-CN"/>
              </w:rPr>
              <w:t>2.6</w:t>
            </w:r>
            <w:r>
              <w:rPr>
                <w:rFonts w:hint="eastAsia" w:ascii="仿宋_GB2312" w:hAnsi="仿宋_GB2312" w:eastAsia="仿宋_GB2312" w:cs="仿宋_GB2312"/>
                <w:color w:val="000000"/>
                <w:sz w:val="22"/>
                <w:szCs w:val="22"/>
              </w:rPr>
              <w:t>米</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建筑结构</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1幢为钢混结构，2幢为砖混结构，3幢为砖木结构</w:t>
            </w:r>
          </w:p>
        </w:tc>
      </w:tr>
      <w:tr>
        <w:tblPrEx>
          <w:tblCellMar>
            <w:top w:w="0" w:type="dxa"/>
            <w:left w:w="0" w:type="dxa"/>
            <w:bottom w:w="0" w:type="dxa"/>
            <w:right w:w="0" w:type="dxa"/>
          </w:tblCellMar>
        </w:tblPrEx>
        <w:trPr>
          <w:trHeight w:val="39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建成时间</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1999年</w:t>
            </w:r>
          </w:p>
        </w:tc>
      </w:tr>
      <w:tr>
        <w:tblPrEx>
          <w:tblCellMar>
            <w:top w:w="0" w:type="dxa"/>
            <w:left w:w="0" w:type="dxa"/>
            <w:bottom w:w="0" w:type="dxa"/>
            <w:right w:w="0" w:type="dxa"/>
          </w:tblCellMar>
        </w:tblPrEx>
        <w:trPr>
          <w:trHeight w:val="44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实际用途及使用现状</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估价对象实际用途为非住宅，使用现状为在使用。</w:t>
            </w:r>
          </w:p>
        </w:tc>
      </w:tr>
      <w:tr>
        <w:tblPrEx>
          <w:tblCellMar>
            <w:top w:w="0" w:type="dxa"/>
            <w:left w:w="0" w:type="dxa"/>
            <w:bottom w:w="0" w:type="dxa"/>
            <w:right w:w="0" w:type="dxa"/>
          </w:tblCellMar>
        </w:tblPrEx>
        <w:trPr>
          <w:trHeight w:val="4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装饰装修情况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1幢：外墙为装饰涂料；室内装修：2层地面为地砖，墙面为乳胶漆，顶面为石膏吊顶；3层地面为地砖，墙面为乳胶漆，顶面为石膏吊顶；4层地面为木地板、</w:t>
            </w:r>
            <w:r>
              <w:rPr>
                <w:rFonts w:hint="eastAsia" w:ascii="仿宋_GB2312" w:hAnsi="仿宋_GB2312" w:eastAsia="仿宋_GB2312" w:cs="仿宋_GB2312"/>
                <w:color w:val="000000"/>
                <w:sz w:val="22"/>
                <w:szCs w:val="22"/>
                <w:lang w:val="en-US" w:eastAsia="zh-CN"/>
              </w:rPr>
              <w:t>地</w:t>
            </w:r>
            <w:r>
              <w:rPr>
                <w:rFonts w:hint="eastAsia" w:ascii="仿宋_GB2312" w:hAnsi="仿宋_GB2312" w:eastAsia="仿宋_GB2312" w:cs="仿宋_GB2312"/>
                <w:color w:val="000000"/>
                <w:sz w:val="22"/>
                <w:szCs w:val="22"/>
              </w:rPr>
              <w:t>砖，墙面为乳胶漆，顶面为乳胶漆。2幢：外墙装饰为涂料；室内装修：地面为地砖，墙面为乳胶漆，顶面为乳胶漆。3幢：外墙装饰为涂料；室内装修：地面为地砖，墙面为乳胶漆，顶面为乳胶漆。</w:t>
            </w:r>
          </w:p>
        </w:tc>
      </w:tr>
      <w:tr>
        <w:tblPrEx>
          <w:tblCellMar>
            <w:top w:w="0" w:type="dxa"/>
            <w:left w:w="0" w:type="dxa"/>
            <w:bottom w:w="0" w:type="dxa"/>
            <w:right w:w="0" w:type="dxa"/>
          </w:tblCellMar>
        </w:tblPrEx>
        <w:trPr>
          <w:trHeight w:val="386"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设施设备情况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给排水管道、供电线路、水表、电表等设施齐备均为完好</w:t>
            </w:r>
          </w:p>
        </w:tc>
      </w:tr>
      <w:tr>
        <w:tblPrEx>
          <w:tblCellMar>
            <w:top w:w="0" w:type="dxa"/>
            <w:left w:w="0" w:type="dxa"/>
            <w:bottom w:w="0" w:type="dxa"/>
            <w:right w:w="0" w:type="dxa"/>
          </w:tblCellMar>
        </w:tblPrEx>
        <w:trPr>
          <w:trHeight w:val="43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使用及维修状况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根据估价师现场调查，估价对象使用及维护状况良好</w:t>
            </w:r>
          </w:p>
        </w:tc>
      </w:tr>
      <w:tr>
        <w:tblPrEx>
          <w:tblCellMar>
            <w:top w:w="0" w:type="dxa"/>
            <w:left w:w="0" w:type="dxa"/>
            <w:bottom w:w="0" w:type="dxa"/>
            <w:right w:w="0" w:type="dxa"/>
          </w:tblCellMar>
        </w:tblPrEx>
        <w:trPr>
          <w:trHeight w:val="431"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新旧程度</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根据我公司估价师现场勘查，估价对象成新率1幢为7.2成,2幢为7成，3幢为6.3成</w:t>
            </w:r>
          </w:p>
        </w:tc>
      </w:tr>
      <w:tr>
        <w:tblPrEx>
          <w:tblCellMar>
            <w:top w:w="0" w:type="dxa"/>
            <w:left w:w="0" w:type="dxa"/>
            <w:bottom w:w="0" w:type="dxa"/>
            <w:right w:w="0" w:type="dxa"/>
          </w:tblCellMar>
        </w:tblPrEx>
        <w:trPr>
          <w:trHeight w:val="342" w:hRule="atLeast"/>
          <w:jc w:val="center"/>
        </w:trPr>
        <w:tc>
          <w:tcPr>
            <w:tcW w:w="9057" w:type="dxa"/>
            <w:gridSpan w:val="3"/>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估价对象10建筑物基本情况表</w:t>
            </w:r>
          </w:p>
        </w:tc>
      </w:tr>
      <w:tr>
        <w:tblPrEx>
          <w:tblCellMar>
            <w:top w:w="0" w:type="dxa"/>
            <w:left w:w="0" w:type="dxa"/>
            <w:bottom w:w="0" w:type="dxa"/>
            <w:right w:w="0" w:type="dxa"/>
          </w:tblCellMar>
        </w:tblPrEx>
        <w:trPr>
          <w:trHeight w:val="34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基本情况</w:t>
            </w:r>
          </w:p>
        </w:tc>
      </w:tr>
      <w:tr>
        <w:tblPrEx>
          <w:tblCellMar>
            <w:top w:w="0" w:type="dxa"/>
            <w:left w:w="0" w:type="dxa"/>
            <w:bottom w:w="0" w:type="dxa"/>
            <w:right w:w="0" w:type="dxa"/>
          </w:tblCellMar>
        </w:tblPrEx>
        <w:trPr>
          <w:trHeight w:val="409"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9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晋宁县昆阳镇环西路89号</w:t>
            </w:r>
          </w:p>
        </w:tc>
      </w:tr>
      <w:tr>
        <w:tblPrEx>
          <w:tblCellMar>
            <w:top w:w="0" w:type="dxa"/>
            <w:left w:w="0" w:type="dxa"/>
            <w:bottom w:w="0" w:type="dxa"/>
            <w:right w:w="0" w:type="dxa"/>
          </w:tblCellMar>
        </w:tblPrEx>
        <w:trPr>
          <w:trHeight w:val="451"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所有权人</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陈淑华、曹桂仙</w:t>
            </w:r>
          </w:p>
        </w:tc>
      </w:tr>
      <w:tr>
        <w:tblPrEx>
          <w:tblCellMar>
            <w:top w:w="0" w:type="dxa"/>
            <w:left w:w="0" w:type="dxa"/>
            <w:bottom w:w="0" w:type="dxa"/>
            <w:right w:w="0" w:type="dxa"/>
          </w:tblCellMar>
        </w:tblPrEx>
        <w:trPr>
          <w:trHeight w:val="436"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权属编号</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001297</w:t>
            </w:r>
          </w:p>
        </w:tc>
      </w:tr>
      <w:tr>
        <w:tblPrEx>
          <w:tblCellMar>
            <w:top w:w="0" w:type="dxa"/>
            <w:left w:w="0" w:type="dxa"/>
            <w:bottom w:w="0" w:type="dxa"/>
            <w:right w:w="0" w:type="dxa"/>
          </w:tblCellMar>
        </w:tblPrEx>
        <w:trPr>
          <w:trHeight w:val="38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222.06</w:t>
            </w:r>
          </w:p>
        </w:tc>
      </w:tr>
      <w:tr>
        <w:tblPrEx>
          <w:tblCellMar>
            <w:top w:w="0" w:type="dxa"/>
            <w:left w:w="0" w:type="dxa"/>
            <w:bottom w:w="0" w:type="dxa"/>
            <w:right w:w="0" w:type="dxa"/>
          </w:tblCellMar>
        </w:tblPrEx>
        <w:trPr>
          <w:trHeight w:val="38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评估面积（㎡）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222.06</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设计用途</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综合</w:t>
            </w:r>
          </w:p>
        </w:tc>
      </w:tr>
      <w:tr>
        <w:tblPrEx>
          <w:tblCellMar>
            <w:top w:w="0" w:type="dxa"/>
            <w:left w:w="0" w:type="dxa"/>
            <w:bottom w:w="0" w:type="dxa"/>
            <w:right w:w="0" w:type="dxa"/>
          </w:tblCellMar>
        </w:tblPrEx>
        <w:trPr>
          <w:trHeight w:val="44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所在层/总层数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1-3/3</w:t>
            </w:r>
          </w:p>
        </w:tc>
      </w:tr>
      <w:tr>
        <w:tblPrEx>
          <w:tblCellMar>
            <w:top w:w="0" w:type="dxa"/>
            <w:left w:w="0" w:type="dxa"/>
            <w:bottom w:w="0" w:type="dxa"/>
            <w:right w:w="0" w:type="dxa"/>
          </w:tblCellMar>
        </w:tblPrEx>
        <w:trPr>
          <w:trHeight w:val="39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未进入室内</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建筑结构</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混合结构</w:t>
            </w:r>
          </w:p>
        </w:tc>
      </w:tr>
      <w:tr>
        <w:tblPrEx>
          <w:tblCellMar>
            <w:top w:w="0" w:type="dxa"/>
            <w:left w:w="0" w:type="dxa"/>
            <w:bottom w:w="0" w:type="dxa"/>
            <w:right w:w="0" w:type="dxa"/>
          </w:tblCellMar>
        </w:tblPrEx>
        <w:trPr>
          <w:trHeight w:val="39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建成时间</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1995年</w:t>
            </w:r>
          </w:p>
        </w:tc>
      </w:tr>
      <w:tr>
        <w:tblPrEx>
          <w:tblCellMar>
            <w:top w:w="0" w:type="dxa"/>
            <w:left w:w="0" w:type="dxa"/>
            <w:bottom w:w="0" w:type="dxa"/>
            <w:right w:w="0" w:type="dxa"/>
          </w:tblCellMar>
        </w:tblPrEx>
        <w:trPr>
          <w:trHeight w:val="44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实际用途及使用现状</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估价对象实际用途1层为商铺，2-3层为住宅，无法进入内部，无法核实使用现状，请报告使用者自行落实。</w:t>
            </w:r>
          </w:p>
        </w:tc>
      </w:tr>
      <w:tr>
        <w:tblPrEx>
          <w:tblCellMar>
            <w:top w:w="0" w:type="dxa"/>
            <w:left w:w="0" w:type="dxa"/>
            <w:bottom w:w="0" w:type="dxa"/>
            <w:right w:w="0" w:type="dxa"/>
          </w:tblCellMar>
        </w:tblPrEx>
        <w:trPr>
          <w:trHeight w:val="4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装饰装修情况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外墙装饰为墙砖、水洗石；室内装修：室内未进入。</w:t>
            </w:r>
          </w:p>
        </w:tc>
      </w:tr>
      <w:tr>
        <w:tblPrEx>
          <w:tblCellMar>
            <w:top w:w="0" w:type="dxa"/>
            <w:left w:w="0" w:type="dxa"/>
            <w:bottom w:w="0" w:type="dxa"/>
            <w:right w:w="0" w:type="dxa"/>
          </w:tblCellMar>
        </w:tblPrEx>
        <w:trPr>
          <w:trHeight w:val="386"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设施设备情况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给排水管道、供电线路、水表、电表等设施齐备均为完好</w:t>
            </w:r>
          </w:p>
        </w:tc>
      </w:tr>
      <w:tr>
        <w:tblPrEx>
          <w:tblCellMar>
            <w:top w:w="0" w:type="dxa"/>
            <w:left w:w="0" w:type="dxa"/>
            <w:bottom w:w="0" w:type="dxa"/>
            <w:right w:w="0" w:type="dxa"/>
          </w:tblCellMar>
        </w:tblPrEx>
        <w:trPr>
          <w:trHeight w:val="43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使用及维修状况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根据估价师现场调查，估价对象使用及维护状况良好</w:t>
            </w:r>
          </w:p>
        </w:tc>
      </w:tr>
      <w:tr>
        <w:tblPrEx>
          <w:tblCellMar>
            <w:top w:w="0" w:type="dxa"/>
            <w:left w:w="0" w:type="dxa"/>
            <w:bottom w:w="0" w:type="dxa"/>
            <w:right w:w="0" w:type="dxa"/>
          </w:tblCellMar>
        </w:tblPrEx>
        <w:trPr>
          <w:trHeight w:val="431"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新旧程度</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根据我公司估价师现场勘查，估价对象成新率为6成</w:t>
            </w:r>
          </w:p>
        </w:tc>
      </w:tr>
    </w:tbl>
    <w:p>
      <w:pPr>
        <w:pStyle w:val="6"/>
        <w:spacing w:before="0" w:line="360" w:lineRule="auto"/>
        <w:ind w:firstLine="363" w:firstLineChars="201"/>
        <w:outlineLvl w:val="1"/>
        <w:rPr>
          <w:b/>
          <w:sz w:val="18"/>
          <w:szCs w:val="18"/>
        </w:rPr>
      </w:pPr>
    </w:p>
    <w:tbl>
      <w:tblPr>
        <w:tblStyle w:val="89"/>
        <w:tblW w:w="9057" w:type="dxa"/>
        <w:jc w:val="center"/>
        <w:tblLayout w:type="fixed"/>
        <w:tblCellMar>
          <w:top w:w="0" w:type="dxa"/>
          <w:left w:w="0" w:type="dxa"/>
          <w:bottom w:w="0" w:type="dxa"/>
          <w:right w:w="0" w:type="dxa"/>
        </w:tblCellMar>
      </w:tblPr>
      <w:tblGrid>
        <w:gridCol w:w="425"/>
        <w:gridCol w:w="1237"/>
        <w:gridCol w:w="7395"/>
      </w:tblGrid>
      <w:tr>
        <w:tblPrEx>
          <w:tblCellMar>
            <w:top w:w="0" w:type="dxa"/>
            <w:left w:w="0" w:type="dxa"/>
            <w:bottom w:w="0" w:type="dxa"/>
            <w:right w:w="0" w:type="dxa"/>
          </w:tblCellMar>
        </w:tblPrEx>
        <w:trPr>
          <w:trHeight w:val="342" w:hRule="atLeast"/>
          <w:jc w:val="center"/>
        </w:trPr>
        <w:tc>
          <w:tcPr>
            <w:tcW w:w="9057" w:type="dxa"/>
            <w:gridSpan w:val="3"/>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估价对象11建筑物基本情况表</w:t>
            </w:r>
          </w:p>
        </w:tc>
      </w:tr>
      <w:tr>
        <w:tblPrEx>
          <w:tblCellMar>
            <w:top w:w="0" w:type="dxa"/>
            <w:left w:w="0" w:type="dxa"/>
            <w:bottom w:w="0" w:type="dxa"/>
            <w:right w:w="0" w:type="dxa"/>
          </w:tblCellMar>
        </w:tblPrEx>
        <w:trPr>
          <w:trHeight w:val="34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基本情况</w:t>
            </w:r>
          </w:p>
        </w:tc>
      </w:tr>
      <w:tr>
        <w:tblPrEx>
          <w:tblCellMar>
            <w:top w:w="0" w:type="dxa"/>
            <w:left w:w="0" w:type="dxa"/>
            <w:bottom w:w="0" w:type="dxa"/>
            <w:right w:w="0" w:type="dxa"/>
          </w:tblCellMar>
        </w:tblPrEx>
        <w:trPr>
          <w:trHeight w:val="409"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9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晋宁县昆阳镇湖景天颐家园4幢104号</w:t>
            </w:r>
          </w:p>
        </w:tc>
      </w:tr>
      <w:tr>
        <w:tblPrEx>
          <w:tblCellMar>
            <w:top w:w="0" w:type="dxa"/>
            <w:left w:w="0" w:type="dxa"/>
            <w:bottom w:w="0" w:type="dxa"/>
            <w:right w:w="0" w:type="dxa"/>
          </w:tblCellMar>
        </w:tblPrEx>
        <w:trPr>
          <w:trHeight w:val="451"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所有权人</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刘玲</w:t>
            </w:r>
          </w:p>
        </w:tc>
      </w:tr>
      <w:tr>
        <w:tblPrEx>
          <w:tblCellMar>
            <w:top w:w="0" w:type="dxa"/>
            <w:left w:w="0" w:type="dxa"/>
            <w:bottom w:w="0" w:type="dxa"/>
            <w:right w:w="0" w:type="dxa"/>
          </w:tblCellMar>
        </w:tblPrEx>
        <w:trPr>
          <w:trHeight w:val="436"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权属编号</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020519</w:t>
            </w:r>
          </w:p>
        </w:tc>
      </w:tr>
      <w:tr>
        <w:tblPrEx>
          <w:tblCellMar>
            <w:top w:w="0" w:type="dxa"/>
            <w:left w:w="0" w:type="dxa"/>
            <w:bottom w:w="0" w:type="dxa"/>
            <w:right w:w="0" w:type="dxa"/>
          </w:tblCellMar>
        </w:tblPrEx>
        <w:trPr>
          <w:trHeight w:val="38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21.56</w:t>
            </w:r>
          </w:p>
        </w:tc>
      </w:tr>
      <w:tr>
        <w:tblPrEx>
          <w:tblCellMar>
            <w:top w:w="0" w:type="dxa"/>
            <w:left w:w="0" w:type="dxa"/>
            <w:bottom w:w="0" w:type="dxa"/>
            <w:right w:w="0" w:type="dxa"/>
          </w:tblCellMar>
        </w:tblPrEx>
        <w:trPr>
          <w:trHeight w:val="38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评估面积（㎡）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21.56</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设计用途</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车库</w:t>
            </w:r>
          </w:p>
        </w:tc>
      </w:tr>
      <w:tr>
        <w:tblPrEx>
          <w:tblCellMar>
            <w:top w:w="0" w:type="dxa"/>
            <w:left w:w="0" w:type="dxa"/>
            <w:bottom w:w="0" w:type="dxa"/>
            <w:right w:w="0" w:type="dxa"/>
          </w:tblCellMar>
        </w:tblPrEx>
        <w:trPr>
          <w:trHeight w:val="44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所在层/总层数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1/6</w:t>
            </w:r>
          </w:p>
        </w:tc>
      </w:tr>
      <w:tr>
        <w:tblPrEx>
          <w:tblCellMar>
            <w:top w:w="0" w:type="dxa"/>
            <w:left w:w="0" w:type="dxa"/>
            <w:bottom w:w="0" w:type="dxa"/>
            <w:right w:w="0" w:type="dxa"/>
          </w:tblCellMar>
        </w:tblPrEx>
        <w:trPr>
          <w:trHeight w:val="39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层高约3.8米</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建筑结构</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钢混结构</w:t>
            </w:r>
          </w:p>
        </w:tc>
      </w:tr>
      <w:tr>
        <w:tblPrEx>
          <w:tblCellMar>
            <w:top w:w="0" w:type="dxa"/>
            <w:left w:w="0" w:type="dxa"/>
            <w:bottom w:w="0" w:type="dxa"/>
            <w:right w:w="0" w:type="dxa"/>
          </w:tblCellMar>
        </w:tblPrEx>
        <w:trPr>
          <w:trHeight w:val="39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建成时间</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2009年</w:t>
            </w:r>
          </w:p>
        </w:tc>
      </w:tr>
      <w:tr>
        <w:tblPrEx>
          <w:tblCellMar>
            <w:top w:w="0" w:type="dxa"/>
            <w:left w:w="0" w:type="dxa"/>
            <w:bottom w:w="0" w:type="dxa"/>
            <w:right w:w="0" w:type="dxa"/>
          </w:tblCellMar>
        </w:tblPrEx>
        <w:trPr>
          <w:trHeight w:val="44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实际用途及使用现状</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估价对象实际用途为商铺，使用现状为在使用。</w:t>
            </w:r>
          </w:p>
        </w:tc>
      </w:tr>
      <w:tr>
        <w:tblPrEx>
          <w:tblCellMar>
            <w:top w:w="0" w:type="dxa"/>
            <w:left w:w="0" w:type="dxa"/>
            <w:bottom w:w="0" w:type="dxa"/>
            <w:right w:w="0" w:type="dxa"/>
          </w:tblCellMar>
        </w:tblPrEx>
        <w:trPr>
          <w:trHeight w:val="4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装饰装修情况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外墙装饰为墙砖；室内装修：地面为地胶，墙面为乳胶漆，顶面为乳胶漆。</w:t>
            </w:r>
          </w:p>
        </w:tc>
      </w:tr>
      <w:tr>
        <w:tblPrEx>
          <w:tblCellMar>
            <w:top w:w="0" w:type="dxa"/>
            <w:left w:w="0" w:type="dxa"/>
            <w:bottom w:w="0" w:type="dxa"/>
            <w:right w:w="0" w:type="dxa"/>
          </w:tblCellMar>
        </w:tblPrEx>
        <w:trPr>
          <w:trHeight w:val="386"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设施设备情况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给排水管道、供电线路、水表、电表等设施齐备均为完好</w:t>
            </w:r>
          </w:p>
        </w:tc>
      </w:tr>
      <w:tr>
        <w:tblPrEx>
          <w:tblCellMar>
            <w:top w:w="0" w:type="dxa"/>
            <w:left w:w="0" w:type="dxa"/>
            <w:bottom w:w="0" w:type="dxa"/>
            <w:right w:w="0" w:type="dxa"/>
          </w:tblCellMar>
        </w:tblPrEx>
        <w:trPr>
          <w:trHeight w:val="43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使用及维修状况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根据估价师现场调查，估价对象使用及维护状况良好</w:t>
            </w:r>
          </w:p>
        </w:tc>
      </w:tr>
      <w:tr>
        <w:tblPrEx>
          <w:tblCellMar>
            <w:top w:w="0" w:type="dxa"/>
            <w:left w:w="0" w:type="dxa"/>
            <w:bottom w:w="0" w:type="dxa"/>
            <w:right w:w="0" w:type="dxa"/>
          </w:tblCellMar>
        </w:tblPrEx>
        <w:trPr>
          <w:trHeight w:val="431"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新旧程度</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根据我公司估价师现场勘查，估价对象成新率为8成</w:t>
            </w:r>
          </w:p>
        </w:tc>
      </w:tr>
    </w:tbl>
    <w:p>
      <w:pPr>
        <w:pStyle w:val="6"/>
        <w:spacing w:before="0" w:line="360" w:lineRule="auto"/>
        <w:ind w:firstLine="363" w:firstLineChars="201"/>
        <w:outlineLvl w:val="1"/>
        <w:rPr>
          <w:b/>
          <w:sz w:val="18"/>
          <w:szCs w:val="18"/>
        </w:rPr>
      </w:pPr>
    </w:p>
    <w:tbl>
      <w:tblPr>
        <w:tblStyle w:val="89"/>
        <w:tblW w:w="9057" w:type="dxa"/>
        <w:jc w:val="center"/>
        <w:tblLayout w:type="fixed"/>
        <w:tblCellMar>
          <w:top w:w="0" w:type="dxa"/>
          <w:left w:w="0" w:type="dxa"/>
          <w:bottom w:w="0" w:type="dxa"/>
          <w:right w:w="0" w:type="dxa"/>
        </w:tblCellMar>
      </w:tblPr>
      <w:tblGrid>
        <w:gridCol w:w="425"/>
        <w:gridCol w:w="1237"/>
        <w:gridCol w:w="7395"/>
      </w:tblGrid>
      <w:tr>
        <w:tblPrEx>
          <w:tblCellMar>
            <w:top w:w="0" w:type="dxa"/>
            <w:left w:w="0" w:type="dxa"/>
            <w:bottom w:w="0" w:type="dxa"/>
            <w:right w:w="0" w:type="dxa"/>
          </w:tblCellMar>
        </w:tblPrEx>
        <w:trPr>
          <w:trHeight w:val="342" w:hRule="atLeast"/>
          <w:jc w:val="center"/>
        </w:trPr>
        <w:tc>
          <w:tcPr>
            <w:tcW w:w="9057" w:type="dxa"/>
            <w:gridSpan w:val="3"/>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仿宋_GB2312" w:hAnsi="仿宋" w:eastAsia="仿宋_GB2312" w:cs="仿宋_GB2312"/>
                <w:b/>
                <w:color w:val="000000"/>
                <w:sz w:val="22"/>
                <w:szCs w:val="22"/>
              </w:rPr>
            </w:pPr>
            <w:r>
              <w:rPr>
                <w:rFonts w:hint="eastAsia" w:ascii="仿宋_GB2312" w:hAnsi="仿宋" w:eastAsia="仿宋_GB2312" w:cs="仿宋_GB2312"/>
                <w:b/>
                <w:color w:val="000000"/>
                <w:sz w:val="22"/>
                <w:szCs w:val="22"/>
              </w:rPr>
              <w:t>估价对象12建筑物基本情况表</w:t>
            </w:r>
          </w:p>
        </w:tc>
      </w:tr>
      <w:tr>
        <w:tblPrEx>
          <w:tblCellMar>
            <w:top w:w="0" w:type="dxa"/>
            <w:left w:w="0" w:type="dxa"/>
            <w:bottom w:w="0" w:type="dxa"/>
            <w:right w:w="0" w:type="dxa"/>
          </w:tblCellMar>
        </w:tblPrEx>
        <w:trPr>
          <w:trHeight w:val="34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基本情况</w:t>
            </w:r>
          </w:p>
        </w:tc>
      </w:tr>
      <w:tr>
        <w:tblPrEx>
          <w:tblCellMar>
            <w:top w:w="0" w:type="dxa"/>
            <w:left w:w="0" w:type="dxa"/>
            <w:bottom w:w="0" w:type="dxa"/>
            <w:right w:w="0" w:type="dxa"/>
          </w:tblCellMar>
        </w:tblPrEx>
        <w:trPr>
          <w:trHeight w:val="409"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项目名称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晋宁区共计12套房产房地产</w:t>
            </w:r>
          </w:p>
        </w:tc>
      </w:tr>
      <w:tr>
        <w:tblPrEx>
          <w:tblCellMar>
            <w:top w:w="0" w:type="dxa"/>
            <w:left w:w="0" w:type="dxa"/>
            <w:bottom w:w="0" w:type="dxa"/>
            <w:right w:w="0" w:type="dxa"/>
          </w:tblCellMar>
        </w:tblPrEx>
        <w:trPr>
          <w:trHeight w:val="39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座落</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晋宁县昆阳镇湖景天颐家园</w:t>
            </w:r>
          </w:p>
        </w:tc>
      </w:tr>
      <w:tr>
        <w:tblPrEx>
          <w:tblCellMar>
            <w:top w:w="0" w:type="dxa"/>
            <w:left w:w="0" w:type="dxa"/>
            <w:bottom w:w="0" w:type="dxa"/>
            <w:right w:w="0" w:type="dxa"/>
          </w:tblCellMar>
        </w:tblPrEx>
        <w:trPr>
          <w:trHeight w:val="451"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所有权人</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刘玲</w:t>
            </w:r>
          </w:p>
        </w:tc>
      </w:tr>
      <w:tr>
        <w:tblPrEx>
          <w:tblCellMar>
            <w:top w:w="0" w:type="dxa"/>
            <w:left w:w="0" w:type="dxa"/>
            <w:bottom w:w="0" w:type="dxa"/>
            <w:right w:w="0" w:type="dxa"/>
          </w:tblCellMar>
        </w:tblPrEx>
        <w:trPr>
          <w:trHeight w:val="436"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权属编号</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014003</w:t>
            </w:r>
          </w:p>
        </w:tc>
      </w:tr>
      <w:tr>
        <w:tblPrEx>
          <w:tblCellMar>
            <w:top w:w="0" w:type="dxa"/>
            <w:left w:w="0" w:type="dxa"/>
            <w:bottom w:w="0" w:type="dxa"/>
            <w:right w:w="0" w:type="dxa"/>
          </w:tblCellMar>
        </w:tblPrEx>
        <w:trPr>
          <w:trHeight w:val="38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规模</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登记面积（㎡）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48.23</w:t>
            </w:r>
          </w:p>
        </w:tc>
      </w:tr>
      <w:tr>
        <w:tblPrEx>
          <w:tblCellMar>
            <w:top w:w="0" w:type="dxa"/>
            <w:left w:w="0" w:type="dxa"/>
            <w:bottom w:w="0" w:type="dxa"/>
            <w:right w:w="0" w:type="dxa"/>
          </w:tblCellMar>
        </w:tblPrEx>
        <w:trPr>
          <w:trHeight w:val="38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评估面积（㎡）</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48.23</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设计用途</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商业</w:t>
            </w:r>
          </w:p>
        </w:tc>
      </w:tr>
      <w:tr>
        <w:tblPrEx>
          <w:tblCellMar>
            <w:top w:w="0" w:type="dxa"/>
            <w:left w:w="0" w:type="dxa"/>
            <w:bottom w:w="0" w:type="dxa"/>
            <w:right w:w="0" w:type="dxa"/>
          </w:tblCellMar>
        </w:tblPrEx>
        <w:trPr>
          <w:trHeight w:val="448"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所在层/总层数</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1/6</w:t>
            </w:r>
          </w:p>
        </w:tc>
      </w:tr>
      <w:tr>
        <w:tblPrEx>
          <w:tblCellMar>
            <w:top w:w="0" w:type="dxa"/>
            <w:left w:w="0" w:type="dxa"/>
            <w:bottom w:w="0" w:type="dxa"/>
            <w:right w:w="0" w:type="dxa"/>
          </w:tblCellMar>
        </w:tblPrEx>
        <w:trPr>
          <w:trHeight w:val="39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层高约3.8米</w:t>
            </w:r>
          </w:p>
        </w:tc>
      </w:tr>
      <w:tr>
        <w:tblPrEx>
          <w:tblCellMar>
            <w:top w:w="0" w:type="dxa"/>
            <w:left w:w="0" w:type="dxa"/>
            <w:bottom w:w="0" w:type="dxa"/>
            <w:right w:w="0" w:type="dxa"/>
          </w:tblCellMar>
        </w:tblPrEx>
        <w:trPr>
          <w:trHeight w:val="40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建筑结构</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钢混结构</w:t>
            </w:r>
          </w:p>
        </w:tc>
      </w:tr>
      <w:tr>
        <w:tblPrEx>
          <w:tblCellMar>
            <w:top w:w="0" w:type="dxa"/>
            <w:left w:w="0" w:type="dxa"/>
            <w:bottom w:w="0" w:type="dxa"/>
            <w:right w:w="0" w:type="dxa"/>
          </w:tblCellMar>
        </w:tblPrEx>
        <w:trPr>
          <w:trHeight w:val="394"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建成时间</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2009年</w:t>
            </w:r>
          </w:p>
        </w:tc>
      </w:tr>
      <w:tr>
        <w:tblPrEx>
          <w:tblCellMar>
            <w:top w:w="0" w:type="dxa"/>
            <w:left w:w="0" w:type="dxa"/>
            <w:bottom w:w="0" w:type="dxa"/>
            <w:right w:w="0" w:type="dxa"/>
          </w:tblCellMar>
        </w:tblPrEx>
        <w:trPr>
          <w:trHeight w:val="44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实际用途及使用现状</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估价对象实际用途为商铺，使用现状为在使用。</w:t>
            </w:r>
          </w:p>
        </w:tc>
      </w:tr>
      <w:tr>
        <w:tblPrEx>
          <w:tblCellMar>
            <w:top w:w="0" w:type="dxa"/>
            <w:left w:w="0" w:type="dxa"/>
            <w:bottom w:w="0" w:type="dxa"/>
            <w:right w:w="0" w:type="dxa"/>
          </w:tblCellMar>
        </w:tblPrEx>
        <w:trPr>
          <w:trHeight w:val="480"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装饰装修情况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highlight w:val="yellow"/>
              </w:rPr>
            </w:pPr>
            <w:r>
              <w:rPr>
                <w:rFonts w:hint="eastAsia" w:ascii="仿宋_GB2312" w:hAnsi="仿宋_GB2312" w:eastAsia="仿宋_GB2312" w:cs="仿宋_GB2312"/>
                <w:color w:val="000000"/>
                <w:sz w:val="22"/>
                <w:szCs w:val="22"/>
              </w:rPr>
              <w:t>外墙装饰为墙砖；室内装修：地面为地胶，墙面为乳胶漆，顶面为乳胶漆。</w:t>
            </w:r>
          </w:p>
        </w:tc>
      </w:tr>
      <w:tr>
        <w:tblPrEx>
          <w:tblCellMar>
            <w:top w:w="0" w:type="dxa"/>
            <w:left w:w="0" w:type="dxa"/>
            <w:bottom w:w="0" w:type="dxa"/>
            <w:right w:w="0" w:type="dxa"/>
          </w:tblCellMar>
        </w:tblPrEx>
        <w:trPr>
          <w:trHeight w:val="386"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设施设备情况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给排水管道、供电线路、水表、电表等设施齐备均为完好</w:t>
            </w:r>
          </w:p>
        </w:tc>
      </w:tr>
      <w:tr>
        <w:tblPrEx>
          <w:tblCellMar>
            <w:top w:w="0" w:type="dxa"/>
            <w:left w:w="0" w:type="dxa"/>
            <w:bottom w:w="0" w:type="dxa"/>
            <w:right w:w="0" w:type="dxa"/>
          </w:tblCellMar>
        </w:tblPrEx>
        <w:trPr>
          <w:trHeight w:val="432"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使用及维修状况</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根据估价师现场调查，估价对象使用及维护状况良好</w:t>
            </w:r>
          </w:p>
        </w:tc>
      </w:tr>
      <w:tr>
        <w:tblPrEx>
          <w:tblCellMar>
            <w:top w:w="0" w:type="dxa"/>
            <w:left w:w="0" w:type="dxa"/>
            <w:bottom w:w="0" w:type="dxa"/>
            <w:right w:w="0" w:type="dxa"/>
          </w:tblCellMar>
        </w:tblPrEx>
        <w:trPr>
          <w:trHeight w:val="431" w:hRule="atLeast"/>
          <w:jc w:val="center"/>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新旧程度</w:t>
            </w:r>
          </w:p>
        </w:tc>
        <w:tc>
          <w:tcPr>
            <w:tcW w:w="73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根据我公司估价师现场勘查，估价对象成新率为8成</w:t>
            </w:r>
          </w:p>
        </w:tc>
      </w:tr>
    </w:tbl>
    <w:p>
      <w:pPr>
        <w:pStyle w:val="6"/>
        <w:spacing w:before="0" w:line="360" w:lineRule="auto"/>
        <w:ind w:firstLine="565" w:firstLineChars="201"/>
        <w:outlineLvl w:val="1"/>
        <w:rPr>
          <w:b/>
        </w:rPr>
      </w:pPr>
      <w:bookmarkStart w:id="42" w:name="_Toc17698"/>
      <w:r>
        <w:rPr>
          <w:rFonts w:hint="eastAsia"/>
          <w:b/>
        </w:rPr>
        <w:t>五、价值时点</w:t>
      </w:r>
      <w:bookmarkEnd w:id="41"/>
      <w:bookmarkEnd w:id="42"/>
    </w:p>
    <w:p>
      <w:pPr>
        <w:spacing w:before="50" w:line="360" w:lineRule="auto"/>
        <w:ind w:firstLine="560" w:firstLineChars="200"/>
        <w:rPr>
          <w:rFonts w:ascii="仿宋_GB2312" w:hAnsi="仿宋_GB2312" w:eastAsia="仿宋_GB2312" w:cs="仿宋_GB2312"/>
          <w:sz w:val="28"/>
          <w:szCs w:val="28"/>
        </w:rPr>
      </w:pPr>
      <w:r>
        <w:rPr>
          <w:rFonts w:hint="eastAsia" w:ascii="仿宋_GB2312" w:eastAsia="仿宋_GB2312"/>
          <w:sz w:val="28"/>
          <w:szCs w:val="28"/>
        </w:rPr>
        <w:t>本公司估价人员已</w:t>
      </w:r>
      <w:r>
        <w:rPr>
          <w:rFonts w:hint="eastAsia" w:ascii="仿宋_GB2312" w:hAnsi="仿宋_GB2312" w:eastAsia="仿宋_GB2312" w:cs="仿宋_GB2312"/>
          <w:sz w:val="28"/>
          <w:szCs w:val="28"/>
        </w:rPr>
        <w:t>于二○二一年十二月十六日</w:t>
      </w:r>
      <w:r>
        <w:rPr>
          <w:rFonts w:hint="eastAsia" w:ascii="仿宋_GB2312" w:hAnsi="仿宋_GB2312" w:eastAsia="仿宋_GB2312"/>
          <w:sz w:val="28"/>
          <w:szCs w:val="28"/>
        </w:rPr>
        <w:t>对估价对象进行了实地勘察，本次评估依据价值时点原则，确定以现场勘察日为价值时点，即价值时点为</w:t>
      </w:r>
      <w:r>
        <w:rPr>
          <w:rFonts w:hint="eastAsia" w:ascii="仿宋_GB2312" w:hAnsi="仿宋_GB2312" w:eastAsia="仿宋_GB2312" w:cs="仿宋_GB2312"/>
          <w:sz w:val="28"/>
          <w:szCs w:val="28"/>
        </w:rPr>
        <w:t>二○二一年十二月十六日</w:t>
      </w:r>
      <w:r>
        <w:rPr>
          <w:rFonts w:hint="eastAsia" w:ascii="仿宋_GB2312" w:hAnsi="仿宋_GB2312" w:eastAsia="仿宋_GB2312"/>
          <w:sz w:val="28"/>
          <w:szCs w:val="28"/>
        </w:rPr>
        <w:t>。</w:t>
      </w:r>
    </w:p>
    <w:p>
      <w:pPr>
        <w:pStyle w:val="6"/>
        <w:spacing w:before="0" w:line="360" w:lineRule="auto"/>
        <w:ind w:firstLine="565" w:firstLineChars="201"/>
        <w:outlineLvl w:val="1"/>
      </w:pPr>
      <w:bookmarkStart w:id="43" w:name="_Toc543"/>
      <w:bookmarkStart w:id="44" w:name="_Toc18929"/>
      <w:r>
        <w:rPr>
          <w:rFonts w:hint="eastAsia"/>
          <w:b/>
        </w:rPr>
        <w:t>六、价值类型及价值定义</w:t>
      </w:r>
      <w:bookmarkEnd w:id="43"/>
      <w:bookmarkEnd w:id="44"/>
    </w:p>
    <w:p>
      <w:pPr>
        <w:spacing w:before="50" w:line="360" w:lineRule="auto"/>
        <w:ind w:firstLine="560" w:firstLineChars="200"/>
        <w:rPr>
          <w:rFonts w:ascii="仿宋_GB2312" w:eastAsia="仿宋_GB2312"/>
          <w:sz w:val="28"/>
          <w:szCs w:val="28"/>
        </w:rPr>
      </w:pPr>
      <w:bookmarkStart w:id="45" w:name="_Toc265159677"/>
      <w:r>
        <w:rPr>
          <w:rFonts w:hint="eastAsia" w:ascii="仿宋_GB2312" w:eastAsia="仿宋_GB2312"/>
          <w:sz w:val="28"/>
          <w:szCs w:val="28"/>
        </w:rPr>
        <w:t>价值类型：市场价值。</w:t>
      </w:r>
    </w:p>
    <w:p>
      <w:pPr>
        <w:spacing w:before="50" w:line="360" w:lineRule="auto"/>
        <w:ind w:firstLine="560" w:firstLineChars="200"/>
        <w:rPr>
          <w:rFonts w:ascii="仿宋_GB2312" w:eastAsia="仿宋_GB2312"/>
          <w:sz w:val="28"/>
          <w:szCs w:val="28"/>
        </w:rPr>
      </w:pPr>
      <w:r>
        <w:rPr>
          <w:rFonts w:hint="eastAsia" w:ascii="仿宋_GB2312" w:eastAsia="仿宋_GB2312"/>
          <w:sz w:val="28"/>
          <w:szCs w:val="28"/>
        </w:rPr>
        <w:t>价值定义：市场价值是指估价对象经适当营销后，由熟悉情况、谨慎行事且不受强迫的交易双方，以公平交易方式在价值时点自愿进行交易的金额。</w:t>
      </w:r>
    </w:p>
    <w:p>
      <w:pPr>
        <w:spacing w:before="50" w:line="360" w:lineRule="auto"/>
        <w:ind w:firstLine="560" w:firstLineChars="200"/>
        <w:rPr>
          <w:rFonts w:ascii="仿宋_GB2312" w:eastAsia="仿宋_GB2312"/>
          <w:sz w:val="28"/>
          <w:szCs w:val="28"/>
        </w:rPr>
      </w:pPr>
      <w:r>
        <w:rPr>
          <w:rFonts w:hint="eastAsia" w:ascii="仿宋_GB2312" w:eastAsia="仿宋_GB2312"/>
          <w:sz w:val="28"/>
          <w:szCs w:val="28"/>
        </w:rPr>
        <w:t>本次评估不包括拍卖房地产被查封及拍卖房地产上原有的担保物权和其他优先受偿款。</w:t>
      </w:r>
      <w:bookmarkEnd w:id="45"/>
    </w:p>
    <w:p>
      <w:pPr>
        <w:pStyle w:val="6"/>
        <w:spacing w:before="0" w:line="360" w:lineRule="auto"/>
        <w:ind w:firstLine="565" w:firstLineChars="201"/>
        <w:outlineLvl w:val="1"/>
      </w:pPr>
      <w:bookmarkStart w:id="46" w:name="_Toc14207"/>
      <w:bookmarkStart w:id="47" w:name="_Toc25280"/>
      <w:r>
        <w:rPr>
          <w:rFonts w:hint="eastAsia"/>
          <w:b/>
        </w:rPr>
        <w:t>七、估价依据</w:t>
      </w:r>
      <w:bookmarkEnd w:id="46"/>
      <w:bookmarkEnd w:id="47"/>
    </w:p>
    <w:p>
      <w:pPr>
        <w:numPr>
          <w:ilvl w:val="0"/>
          <w:numId w:val="8"/>
        </w:numPr>
        <w:spacing w:line="360" w:lineRule="auto"/>
        <w:ind w:firstLine="147"/>
        <w:rPr>
          <w:rFonts w:ascii="仿宋_GB2312" w:eastAsia="仿宋_GB2312"/>
          <w:sz w:val="28"/>
          <w:szCs w:val="28"/>
        </w:rPr>
      </w:pPr>
      <w:r>
        <w:rPr>
          <w:rFonts w:hint="eastAsia" w:ascii="仿宋_GB2312" w:eastAsia="仿宋_GB2312"/>
          <w:sz w:val="28"/>
          <w:szCs w:val="28"/>
        </w:rPr>
        <w:t>本次估价所依据的有关法律、法规和部门规章</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1.《中华人民共和国城市房地产管理法》（1994年7月5日第八届全国人民代表大会常务委员会第八次会议通过 1994年7月5日中华人民共和国主席令第二十九号公布, 2019年8月26日，十三届全国人大常委会第十二次会议表决通过关于修改城市房地产管理法的决定,本决定自2020年1月1日起施行)；</w:t>
      </w:r>
    </w:p>
    <w:p>
      <w:pPr>
        <w:tabs>
          <w:tab w:val="left" w:pos="105"/>
        </w:tabs>
        <w:spacing w:line="360" w:lineRule="auto"/>
        <w:ind w:firstLine="560" w:firstLineChars="200"/>
        <w:rPr>
          <w:rFonts w:ascii="仿宋_GB2312" w:eastAsia="仿宋_GB2312"/>
          <w:sz w:val="28"/>
          <w:szCs w:val="28"/>
        </w:rPr>
      </w:pPr>
      <w:r>
        <w:rPr>
          <w:rFonts w:hint="eastAsia" w:ascii="仿宋_GB2312" w:eastAsia="仿宋_GB2312"/>
          <w:sz w:val="28"/>
          <w:szCs w:val="28"/>
        </w:rPr>
        <w:t>2.《中华人民共和国土地管理法》（1986年6月25日第六届全国人民代表大会常务委员会第十六次会议通过，2004年8月28日第十届全国人大常委会第十一次会议第二次修订.2019年8月26日第十三届全国人民代表大会常务委员会第十二次会议第三次修正,本次修正自2020年1月1日起施行）；</w:t>
      </w:r>
    </w:p>
    <w:p>
      <w:pPr>
        <w:tabs>
          <w:tab w:val="left" w:pos="105"/>
        </w:tabs>
        <w:spacing w:line="360" w:lineRule="auto"/>
        <w:ind w:firstLine="560" w:firstLineChars="200"/>
        <w:rPr>
          <w:rFonts w:ascii="仿宋_GB2312" w:eastAsia="仿宋_GB2312"/>
          <w:sz w:val="28"/>
          <w:szCs w:val="28"/>
        </w:rPr>
      </w:pPr>
      <w:r>
        <w:rPr>
          <w:rFonts w:hint="eastAsia" w:ascii="仿宋_GB2312" w:eastAsia="仿宋_GB2312"/>
          <w:sz w:val="28"/>
          <w:szCs w:val="28"/>
        </w:rPr>
        <w:t>3.《中华人民共和国城乡规划法》 (2007年10月28日第十届全国人民代表大会常务委员会第三十次会议通过,2015年4月24日第十二届全国人民代表大会常务委员会第十四次会议第一次修正,2019年4月23日第十三届全国人民代表大会常务委员会第十次会议第二次修正.)；</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4.《中华人民共和国民法典》（2020年5月28日，十三届全国人大三次会议表决通过，自2021年1月1日起施行）；</w:t>
      </w:r>
    </w:p>
    <w:p>
      <w:pPr>
        <w:tabs>
          <w:tab w:val="left" w:pos="105"/>
        </w:tabs>
        <w:spacing w:line="360" w:lineRule="auto"/>
        <w:ind w:firstLine="560" w:firstLineChars="200"/>
        <w:rPr>
          <w:rFonts w:ascii="仿宋_GB2312" w:eastAsia="仿宋_GB2312"/>
          <w:sz w:val="28"/>
          <w:szCs w:val="28"/>
        </w:rPr>
      </w:pPr>
      <w:r>
        <w:rPr>
          <w:rFonts w:hint="eastAsia" w:ascii="仿宋_GB2312" w:eastAsia="仿宋_GB2312"/>
          <w:sz w:val="28"/>
          <w:szCs w:val="28"/>
        </w:rPr>
        <w:t>5.《中华人民共和国拍卖法》（主席令第23号，第八届全国人大常委会第二十次会议通过，第十届全国人大常委会第十一次会议《关于修改〈中华人民共和国拍卖法〉的决定》修正，自2004年8月28日）；</w:t>
      </w:r>
    </w:p>
    <w:p>
      <w:pPr>
        <w:tabs>
          <w:tab w:val="left" w:pos="105"/>
        </w:tabs>
        <w:spacing w:line="360" w:lineRule="auto"/>
        <w:ind w:firstLine="560" w:firstLineChars="200"/>
        <w:rPr>
          <w:rFonts w:ascii="仿宋_GB2312" w:eastAsia="仿宋_GB2312"/>
          <w:sz w:val="28"/>
          <w:szCs w:val="28"/>
        </w:rPr>
      </w:pPr>
      <w:r>
        <w:rPr>
          <w:rFonts w:hint="eastAsia" w:ascii="仿宋_GB2312" w:eastAsia="仿宋_GB2312"/>
          <w:sz w:val="28"/>
          <w:szCs w:val="28"/>
        </w:rPr>
        <w:t>6.《最高人民法院关于人民法院确定财产处置参考价若干问题的规定》已于2018年6月4日由最高人民法院审判委员会第1741次会议通过，现予公布，自2018年9月1日起施行。</w:t>
      </w:r>
    </w:p>
    <w:p>
      <w:pPr>
        <w:snapToGrid w:val="0"/>
        <w:spacing w:line="360" w:lineRule="auto"/>
        <w:ind w:firstLine="560" w:firstLineChars="200"/>
        <w:rPr>
          <w:rFonts w:ascii="仿宋_GB2312" w:eastAsia="仿宋_GB2312"/>
          <w:sz w:val="24"/>
          <w:szCs w:val="24"/>
        </w:rPr>
      </w:pPr>
      <w:r>
        <w:rPr>
          <w:rFonts w:hint="eastAsia" w:ascii="仿宋_GB2312" w:eastAsia="仿宋_GB2312"/>
          <w:sz w:val="28"/>
          <w:szCs w:val="28"/>
        </w:rPr>
        <w:t>（二）本次估价采用的技术规程</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 《房地产估价规范》 （GB/T50291—2015）；</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2.《房地产估价基本术语标准》（GB/T50899—2013）。</w:t>
      </w:r>
    </w:p>
    <w:p>
      <w:pPr>
        <w:tabs>
          <w:tab w:val="left" w:pos="420"/>
        </w:tabs>
        <w:snapToGrid w:val="0"/>
        <w:spacing w:before="50" w:line="360" w:lineRule="auto"/>
        <w:ind w:firstLine="560" w:firstLineChars="200"/>
        <w:rPr>
          <w:rFonts w:ascii="仿宋_GB2312" w:eastAsia="仿宋_GB2312"/>
          <w:sz w:val="28"/>
          <w:szCs w:val="28"/>
        </w:rPr>
      </w:pPr>
      <w:r>
        <w:rPr>
          <w:rFonts w:hint="eastAsia" w:ascii="仿宋_GB2312" w:eastAsia="仿宋_GB2312"/>
          <w:sz w:val="28"/>
          <w:szCs w:val="28"/>
        </w:rPr>
        <w:t>（三）估价委托方及申请人提供的相关资料</w:t>
      </w:r>
    </w:p>
    <w:p>
      <w:pPr>
        <w:snapToGrid w:val="0"/>
        <w:spacing w:before="50"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1.《云南省昆明市中级人民法院司法鉴定委托书》原件；</w:t>
      </w:r>
    </w:p>
    <w:p>
      <w:pPr>
        <w:snapToGrid w:val="0"/>
        <w:spacing w:before="50" w:line="360" w:lineRule="auto"/>
        <w:ind w:firstLine="560" w:firstLineChars="200"/>
        <w:rPr>
          <w:rFonts w:ascii="仿宋_GB2312" w:eastAsia="仿宋_GB2312"/>
          <w:sz w:val="28"/>
          <w:szCs w:val="28"/>
        </w:rPr>
      </w:pPr>
      <w:r>
        <w:rPr>
          <w:rFonts w:hint="eastAsia" w:ascii="仿宋_GB2312" w:eastAsia="仿宋_GB2312"/>
          <w:sz w:val="28"/>
          <w:szCs w:val="28"/>
        </w:rPr>
        <w:t>2.《云南省昆明市中级人民法院司法鉴定委托移送表》原件；</w:t>
      </w:r>
    </w:p>
    <w:p>
      <w:pPr>
        <w:snapToGrid w:val="0"/>
        <w:spacing w:before="50"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3.《房屋信息查询摘抄表》复印件。</w:t>
      </w:r>
    </w:p>
    <w:p>
      <w:pPr>
        <w:snapToGrid w:val="0"/>
        <w:spacing w:before="50" w:line="360" w:lineRule="auto"/>
        <w:ind w:firstLine="560" w:firstLineChars="200"/>
        <w:rPr>
          <w:rFonts w:ascii="仿宋_GB2312" w:eastAsia="仿宋_GB2312"/>
          <w:sz w:val="28"/>
          <w:szCs w:val="28"/>
        </w:rPr>
      </w:pPr>
      <w:r>
        <w:rPr>
          <w:rFonts w:hint="eastAsia" w:ascii="仿宋_GB2312" w:eastAsia="仿宋_GB2312"/>
          <w:sz w:val="28"/>
          <w:szCs w:val="28"/>
        </w:rPr>
        <w:t>（四）本估价机构估价人员实地查勘、调查、收集的相关资料；</w:t>
      </w:r>
    </w:p>
    <w:p>
      <w:pPr>
        <w:snapToGrid w:val="0"/>
        <w:spacing w:before="50" w:line="360" w:lineRule="auto"/>
        <w:ind w:firstLine="560" w:firstLineChars="200"/>
        <w:rPr>
          <w:rFonts w:ascii="仿宋_GB2312" w:eastAsia="仿宋_GB2312"/>
          <w:sz w:val="28"/>
          <w:szCs w:val="28"/>
        </w:rPr>
      </w:pPr>
      <w:r>
        <w:rPr>
          <w:rFonts w:hint="eastAsia" w:ascii="仿宋_GB2312" w:eastAsia="仿宋_GB2312"/>
          <w:sz w:val="28"/>
          <w:szCs w:val="28"/>
        </w:rPr>
        <w:t>《房屋信息查询摘抄表》、《土地登记卡》。</w:t>
      </w:r>
    </w:p>
    <w:p>
      <w:pPr>
        <w:snapToGrid w:val="0"/>
        <w:spacing w:before="50" w:line="360" w:lineRule="auto"/>
        <w:ind w:firstLine="560" w:firstLineChars="200"/>
        <w:rPr>
          <w:rFonts w:ascii="仿宋_GB2312" w:eastAsia="仿宋_GB2312"/>
          <w:sz w:val="28"/>
          <w:szCs w:val="28"/>
        </w:rPr>
      </w:pPr>
      <w:r>
        <w:rPr>
          <w:rFonts w:hint="eastAsia" w:ascii="仿宋_GB2312" w:eastAsia="仿宋_GB2312"/>
          <w:sz w:val="28"/>
          <w:szCs w:val="28"/>
        </w:rPr>
        <w:t>（五）本估价机构掌握的有关市场信息资料。</w:t>
      </w:r>
    </w:p>
    <w:p>
      <w:pPr>
        <w:snapToGrid w:val="0"/>
        <w:spacing w:before="50" w:line="360" w:lineRule="auto"/>
        <w:ind w:firstLine="560" w:firstLineChars="200"/>
        <w:rPr>
          <w:rFonts w:ascii="仿宋_GB2312" w:eastAsia="仿宋_GB2312"/>
          <w:sz w:val="28"/>
          <w:szCs w:val="28"/>
        </w:rPr>
      </w:pPr>
      <w:r>
        <w:rPr>
          <w:rFonts w:hint="eastAsia" w:ascii="仿宋_GB2312" w:eastAsia="仿宋_GB2312"/>
          <w:sz w:val="28"/>
          <w:szCs w:val="28"/>
        </w:rPr>
        <w:t>（六）估价机构和估价人员所搜集掌握的有关资料。</w:t>
      </w:r>
    </w:p>
    <w:p>
      <w:pPr>
        <w:pStyle w:val="6"/>
        <w:spacing w:before="0" w:line="360" w:lineRule="auto"/>
        <w:ind w:firstLine="565" w:firstLineChars="201"/>
        <w:outlineLvl w:val="1"/>
      </w:pPr>
      <w:bookmarkStart w:id="48" w:name="_Toc24763"/>
      <w:bookmarkStart w:id="49" w:name="_Toc27075"/>
      <w:r>
        <w:rPr>
          <w:rFonts w:hint="eastAsia"/>
          <w:b/>
        </w:rPr>
        <w:t>八、估价原则</w:t>
      </w:r>
      <w:bookmarkEnd w:id="48"/>
      <w:bookmarkEnd w:id="49"/>
    </w:p>
    <w:p>
      <w:pPr>
        <w:snapToGrid w:val="0"/>
        <w:spacing w:before="50" w:line="360" w:lineRule="auto"/>
        <w:ind w:firstLine="560" w:firstLineChars="200"/>
        <w:rPr>
          <w:rFonts w:ascii="仿宋_GB2312" w:eastAsia="仿宋_GB2312"/>
          <w:sz w:val="28"/>
          <w:szCs w:val="28"/>
        </w:rPr>
      </w:pPr>
      <w:r>
        <w:rPr>
          <w:rFonts w:hint="eastAsia" w:ascii="仿宋_GB2312" w:eastAsia="仿宋_GB2312"/>
          <w:sz w:val="28"/>
          <w:szCs w:val="28"/>
        </w:rPr>
        <w:t xml:space="preserve">本估价报告遵循独立、客观、公正、合法的基本原则，并结合估价目的对估价对象进行估价。本次评估所遵循的估价原则具体如下： </w:t>
      </w:r>
    </w:p>
    <w:p>
      <w:pPr>
        <w:tabs>
          <w:tab w:val="left" w:pos="980"/>
          <w:tab w:val="left" w:pos="1050"/>
        </w:tabs>
        <w:snapToGrid w:val="0"/>
        <w:spacing w:before="50" w:line="360" w:lineRule="auto"/>
        <w:ind w:firstLine="560" w:firstLineChars="200"/>
        <w:rPr>
          <w:rFonts w:ascii="仿宋_GB2312" w:eastAsia="仿宋_GB2312"/>
          <w:sz w:val="28"/>
          <w:szCs w:val="28"/>
        </w:rPr>
      </w:pPr>
      <w:r>
        <w:rPr>
          <w:rFonts w:hint="eastAsia" w:ascii="仿宋_GB2312" w:eastAsia="仿宋_GB2312"/>
          <w:sz w:val="28"/>
          <w:szCs w:val="28"/>
        </w:rPr>
        <w:t>（一）独立、客观、公正原则</w:t>
      </w:r>
    </w:p>
    <w:p>
      <w:pPr>
        <w:snapToGrid w:val="0"/>
        <w:spacing w:before="50" w:line="360" w:lineRule="auto"/>
        <w:ind w:firstLine="560" w:firstLineChars="200"/>
        <w:rPr>
          <w:rFonts w:ascii="仿宋_GB2312" w:eastAsia="仿宋_GB2312"/>
          <w:sz w:val="28"/>
          <w:szCs w:val="28"/>
        </w:rPr>
      </w:pPr>
      <w:r>
        <w:rPr>
          <w:rFonts w:hint="eastAsia" w:ascii="仿宋_GB2312" w:eastAsia="仿宋_GB2312"/>
          <w:sz w:val="28"/>
          <w:szCs w:val="28"/>
        </w:rPr>
        <w:t>要求估价机构有完全独立性，估价机构和估价人员与估价对象及相关当事人没有利害关系，不受外部干扰因素影响，从实际出发，公平合理地进行估价。本公司具有完全独立性，参与本次评估的估价人员与估价对象及相关当事人没有利害关系，一切从实际出发，实事求是的进行估价。评估价值对各方估价利害关系人均是公平合理的价值。</w:t>
      </w:r>
    </w:p>
    <w:p>
      <w:pPr>
        <w:tabs>
          <w:tab w:val="left" w:pos="980"/>
          <w:tab w:val="left" w:pos="1050"/>
        </w:tabs>
        <w:spacing w:before="50" w:line="360" w:lineRule="auto"/>
        <w:ind w:firstLine="560" w:firstLineChars="200"/>
        <w:rPr>
          <w:rFonts w:ascii="仿宋_GB2312" w:eastAsia="仿宋_GB2312"/>
          <w:sz w:val="28"/>
          <w:szCs w:val="28"/>
        </w:rPr>
      </w:pPr>
      <w:r>
        <w:rPr>
          <w:rFonts w:hint="eastAsia" w:ascii="仿宋_GB2312" w:eastAsia="仿宋_GB2312"/>
          <w:sz w:val="28"/>
          <w:szCs w:val="28"/>
        </w:rPr>
        <w:t>（二）合法原则</w:t>
      </w:r>
    </w:p>
    <w:p>
      <w:pPr>
        <w:spacing w:before="50" w:line="360" w:lineRule="auto"/>
        <w:ind w:firstLine="560" w:firstLineChars="200"/>
        <w:rPr>
          <w:rFonts w:ascii="仿宋_GB2312" w:eastAsia="仿宋_GB2312"/>
          <w:sz w:val="28"/>
          <w:szCs w:val="28"/>
        </w:rPr>
      </w:pPr>
      <w:r>
        <w:rPr>
          <w:rFonts w:hint="eastAsia" w:ascii="仿宋_GB2312" w:eastAsia="仿宋_GB2312"/>
          <w:sz w:val="28"/>
          <w:szCs w:val="28"/>
        </w:rPr>
        <w:t>应以估价对象的合法使用、合法处分为前提进行。所谓合法，是指符合国家的法律、法规和当地政府的有关规定，其权益才能受法律保护，并体现其权益价值。</w:t>
      </w:r>
      <w:r>
        <w:rPr>
          <w:rFonts w:hint="eastAsia" w:ascii="仿宋_GB2312" w:eastAsia="仿宋_GB2312"/>
          <w:spacing w:val="-2"/>
          <w:sz w:val="28"/>
          <w:szCs w:val="28"/>
        </w:rPr>
        <w:t>本次评估的估价对象在价值时点具有合法的产权，所涉及的估价对象用途为合法的</w:t>
      </w:r>
      <w:r>
        <w:rPr>
          <w:rFonts w:hint="eastAsia" w:ascii="仿宋_GB2312" w:eastAsia="仿宋_GB2312"/>
          <w:sz w:val="28"/>
          <w:szCs w:val="28"/>
        </w:rPr>
        <w:t>。评估价值为在依法判定的估价对象状况下的价值。</w:t>
      </w:r>
    </w:p>
    <w:p>
      <w:pPr>
        <w:tabs>
          <w:tab w:val="left" w:pos="980"/>
          <w:tab w:val="left" w:pos="1050"/>
        </w:tabs>
        <w:spacing w:before="50" w:line="360" w:lineRule="auto"/>
        <w:ind w:firstLine="560" w:firstLineChars="200"/>
        <w:rPr>
          <w:rFonts w:ascii="仿宋_GB2312" w:eastAsia="仿宋_GB2312"/>
          <w:sz w:val="28"/>
          <w:szCs w:val="28"/>
        </w:rPr>
      </w:pPr>
      <w:r>
        <w:rPr>
          <w:rFonts w:hint="eastAsia" w:ascii="仿宋_GB2312" w:eastAsia="仿宋_GB2312"/>
          <w:sz w:val="28"/>
          <w:szCs w:val="28"/>
        </w:rPr>
        <w:t>（三）替代原则</w:t>
      </w:r>
    </w:p>
    <w:p>
      <w:pPr>
        <w:tabs>
          <w:tab w:val="left" w:pos="1050"/>
        </w:tabs>
        <w:spacing w:before="50" w:line="360" w:lineRule="auto"/>
        <w:ind w:firstLine="560" w:firstLineChars="200"/>
        <w:rPr>
          <w:rFonts w:ascii="仿宋_GB2312" w:eastAsia="仿宋_GB2312"/>
          <w:spacing w:val="-2"/>
          <w:sz w:val="28"/>
          <w:szCs w:val="28"/>
        </w:rPr>
      </w:pPr>
      <w:r>
        <w:rPr>
          <w:rFonts w:hint="eastAsia" w:ascii="仿宋_GB2312" w:eastAsia="仿宋_GB2312"/>
          <w:sz w:val="28"/>
          <w:szCs w:val="28"/>
        </w:rPr>
        <w:t>竞争的市场中，具有相同或相似效用的生产要素之间可以相替代。在房地产市场中也是如此，即在同一市场供需圈内，可以通过调查近期发生交易的、与待估房地产有替代可能的房地产价值和条件，通过与待估房地产进行比较，然后对其间的差别作适当的修正，确定待估房地产的市场价值。评估价值与估价对象的类似房地产在同等条件下的价值或价格偏差在合理范围内。</w:t>
      </w:r>
      <w:r>
        <w:rPr>
          <w:rFonts w:hint="eastAsia" w:ascii="仿宋_GB2312" w:eastAsia="仿宋_GB2312"/>
          <w:spacing w:val="-2"/>
          <w:sz w:val="28"/>
          <w:szCs w:val="28"/>
        </w:rPr>
        <w:t>本次评估主要是参照公开市场上足够数量、可比性较强的类似房地产近期成交（租赁）价值来确定估价对象的客观合理价值，体现了替代原则。</w:t>
      </w:r>
    </w:p>
    <w:p>
      <w:pPr>
        <w:tabs>
          <w:tab w:val="left" w:pos="980"/>
          <w:tab w:val="left" w:pos="1050"/>
        </w:tabs>
        <w:spacing w:before="50" w:line="360" w:lineRule="auto"/>
        <w:ind w:firstLine="560" w:firstLineChars="200"/>
        <w:rPr>
          <w:rFonts w:ascii="仿宋_GB2312" w:eastAsia="仿宋_GB2312"/>
          <w:sz w:val="28"/>
          <w:szCs w:val="28"/>
        </w:rPr>
      </w:pPr>
      <w:r>
        <w:rPr>
          <w:rFonts w:hint="eastAsia" w:ascii="仿宋_GB2312" w:eastAsia="仿宋_GB2312"/>
          <w:sz w:val="28"/>
          <w:szCs w:val="28"/>
        </w:rPr>
        <w:t>（四）最高最佳使用原则</w:t>
      </w:r>
    </w:p>
    <w:p>
      <w:pPr>
        <w:spacing w:before="50" w:line="360" w:lineRule="auto"/>
        <w:ind w:firstLine="560" w:firstLineChars="200"/>
        <w:rPr>
          <w:rFonts w:ascii="仿宋_GB2312" w:eastAsia="仿宋_GB2312"/>
          <w:sz w:val="28"/>
        </w:rPr>
      </w:pPr>
      <w:bookmarkStart w:id="50" w:name="最高最佳使用原则"/>
      <w:r>
        <w:rPr>
          <w:rFonts w:hint="eastAsia" w:ascii="仿宋_GB2312" w:eastAsia="仿宋_GB2312"/>
          <w:sz w:val="28"/>
        </w:rPr>
        <w:t>房地产估价中所确定的客观合理价值，其实质是房地产的经济价值，它体现在房地产的使用过程中。在考虑估价对象的用途时，应取其最高最佳利用状态，是指法律上允许、技术上可能、经济上可行、能使估价对象发挥最高价值的利用状态。</w:t>
      </w:r>
    </w:p>
    <w:p>
      <w:pPr>
        <w:tabs>
          <w:tab w:val="left" w:pos="1050"/>
        </w:tabs>
        <w:spacing w:before="50" w:line="360" w:lineRule="auto"/>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sz w:val="28"/>
          <w:szCs w:val="22"/>
        </w:rPr>
        <w:t>根据我公司查询到的《房屋信息查询摘抄表》得知，①</w:t>
      </w:r>
      <w:r>
        <w:rPr>
          <w:rFonts w:hint="eastAsia" w:ascii="仿宋_GB2312" w:eastAsia="仿宋_GB2312"/>
          <w:sz w:val="28"/>
        </w:rPr>
        <w:t>估价对象1房屋登记用途为住宅，实际用途1-2层为商铺，3-4层为住宅。估价人员分析认为，估价对象1为合法的住宅，保持登记用途将使估价对象1能得到最高最佳的利用，因此本报告对估价对象1以登记用途</w:t>
      </w:r>
      <w:r>
        <w:rPr>
          <w:rFonts w:hint="eastAsia" w:ascii="仿宋_GB2312" w:eastAsia="仿宋_GB2312"/>
          <w:color w:val="000000" w:themeColor="text1"/>
          <w:sz w:val="28"/>
          <w:szCs w:val="28"/>
          <w14:textFill>
            <w14:solidFill>
              <w14:schemeClr w14:val="tx1"/>
            </w14:solidFill>
          </w14:textFill>
        </w:rPr>
        <w:t>进行估价，符合</w:t>
      </w:r>
      <w:r>
        <w:rPr>
          <w:rFonts w:hint="eastAsia" w:ascii="仿宋_GB2312" w:eastAsia="仿宋_GB2312"/>
          <w:sz w:val="28"/>
        </w:rPr>
        <w:t>最高最</w:t>
      </w:r>
      <w:r>
        <w:rPr>
          <w:rFonts w:hint="eastAsia" w:ascii="仿宋_GB2312" w:eastAsia="仿宋_GB2312"/>
          <w:color w:val="000000" w:themeColor="text1"/>
          <w:sz w:val="28"/>
          <w:szCs w:val="28"/>
          <w14:textFill>
            <w14:solidFill>
              <w14:schemeClr w14:val="tx1"/>
            </w14:solidFill>
          </w14:textFill>
        </w:rPr>
        <w:t>佳利用原则。</w:t>
      </w:r>
    </w:p>
    <w:p>
      <w:pPr>
        <w:pStyle w:val="2"/>
        <w:spacing w:line="360" w:lineRule="auto"/>
        <w:ind w:firstLine="560" w:firstLineChars="200"/>
        <w:rPr>
          <w:rFonts w:ascii="仿宋_GB2312" w:eastAsia="仿宋_GB2312" w:cs="Times New Roman"/>
          <w:color w:val="auto"/>
          <w:sz w:val="28"/>
          <w:szCs w:val="20"/>
        </w:rPr>
      </w:pPr>
      <w:r>
        <w:rPr>
          <w:rFonts w:hint="eastAsia" w:ascii="仿宋_GB2312" w:eastAsia="仿宋_GB2312" w:cs="Times New Roman"/>
          <w:color w:val="auto"/>
          <w:sz w:val="28"/>
          <w:szCs w:val="20"/>
        </w:rPr>
        <w:t>②估价对象2至估价对象4登记用途为住宅，实际用途为住宅；估价对象6至估价对象8登记用途为商铺，实际用途为商铺；估价对象12登记用途为商业，实际用途为商铺。估价人员分析认为，估价对象2至估价对象4为合法的住宅，估价对象6至估价对象8、估价对象12为合法的商铺，保持现状用途将使估价对象2至估价对象4、估价对象6至估价对象8、估价对象12能得到最高最佳的利用，因此本报告对估价对象2至估价对象4、估价对象6至估价对象8、估价对象12以现状用途进行估价，符合最高最佳利用原则。</w:t>
      </w:r>
    </w:p>
    <w:p>
      <w:pPr>
        <w:pStyle w:val="2"/>
        <w:spacing w:line="360" w:lineRule="auto"/>
        <w:ind w:firstLine="560" w:firstLineChars="200"/>
        <w:rPr>
          <w:rFonts w:ascii="仿宋_GB2312" w:eastAsia="仿宋_GB2312" w:cs="Times New Roman"/>
          <w:color w:val="auto"/>
          <w:sz w:val="28"/>
          <w:szCs w:val="20"/>
        </w:rPr>
      </w:pPr>
      <w:r>
        <w:rPr>
          <w:rFonts w:hint="eastAsia" w:ascii="仿宋_GB2312" w:eastAsia="仿宋_GB2312" w:cs="Times New Roman"/>
          <w:color w:val="auto"/>
          <w:sz w:val="28"/>
          <w:szCs w:val="20"/>
        </w:rPr>
        <w:t>③估价对象5登记用途为住宅，实际用途1层为商铺，2层为住宅。估价人员分析认为，估价对象3为合法的住宅，保持登记用途将使估价对象3能得到最高最佳的利用，因此本报告对估价对象3以登记用途进行估价，符合最高最佳利用原则。</w:t>
      </w:r>
    </w:p>
    <w:p>
      <w:pPr>
        <w:pStyle w:val="2"/>
        <w:spacing w:line="360" w:lineRule="auto"/>
        <w:ind w:firstLine="560" w:firstLineChars="200"/>
        <w:rPr>
          <w:rFonts w:ascii="仿宋_GB2312" w:eastAsia="仿宋_GB2312" w:cs="Times New Roman"/>
          <w:color w:val="auto"/>
          <w:sz w:val="28"/>
          <w:szCs w:val="20"/>
        </w:rPr>
      </w:pPr>
      <w:r>
        <w:rPr>
          <w:rFonts w:hint="eastAsia" w:ascii="仿宋_GB2312" w:eastAsia="仿宋_GB2312" w:cs="Times New Roman"/>
          <w:color w:val="auto"/>
          <w:sz w:val="28"/>
          <w:szCs w:val="20"/>
        </w:rPr>
        <w:t>④估价对象9登记用途为非住宅，实际用途为商业用房。估价人员分析认为，估价对象9为合法的非住宅，保持登记用途将使估价对象9能得到最高最佳的利用，因此本报告对估价对象9以登记用途进行估价，符合最高最佳利用原则。</w:t>
      </w:r>
    </w:p>
    <w:p>
      <w:pPr>
        <w:pStyle w:val="2"/>
        <w:spacing w:line="360" w:lineRule="auto"/>
        <w:ind w:firstLine="560" w:firstLineChars="200"/>
        <w:rPr>
          <w:rFonts w:ascii="仿宋_GB2312" w:eastAsia="仿宋_GB2312" w:cs="Times New Roman"/>
          <w:color w:val="auto"/>
          <w:sz w:val="28"/>
          <w:szCs w:val="20"/>
          <w:highlight w:val="yellow"/>
        </w:rPr>
      </w:pPr>
      <w:r>
        <w:rPr>
          <w:rFonts w:hint="eastAsia" w:ascii="仿宋_GB2312" w:eastAsia="仿宋_GB2312" w:cs="Times New Roman"/>
          <w:color w:val="auto"/>
          <w:sz w:val="28"/>
          <w:szCs w:val="20"/>
        </w:rPr>
        <w:t>⑤估价对象10登记用途为综合，实际用途1层为商铺，2-3层为住宅。估价人员分析认为，估价对象10为合法的综合用房，保持登记用途将使估价对象10能得到最高最佳的利用，因此本报告对估价对象10以登记用途进行估价，符合最高最佳利用原则。</w:t>
      </w:r>
    </w:p>
    <w:p>
      <w:pPr>
        <w:pStyle w:val="2"/>
        <w:spacing w:line="360" w:lineRule="auto"/>
        <w:ind w:firstLine="560" w:firstLineChars="200"/>
        <w:rPr>
          <w:rFonts w:ascii="仿宋_GB2312" w:eastAsia="仿宋_GB2312" w:cs="Times New Roman"/>
          <w:color w:val="auto"/>
          <w:sz w:val="28"/>
          <w:szCs w:val="20"/>
        </w:rPr>
      </w:pPr>
      <w:r>
        <w:rPr>
          <w:rFonts w:hint="eastAsia" w:ascii="仿宋_GB2312" w:eastAsia="仿宋_GB2312" w:cs="Times New Roman"/>
          <w:color w:val="auto"/>
          <w:sz w:val="28"/>
          <w:szCs w:val="20"/>
        </w:rPr>
        <w:t>⑥估价对象11登记用途为车库，实际用途为商铺。估价人员分析认为，估价对象11为合法的商铺，保持现状用途将使估价对象11能得到最高最佳的利用，因此本报告对估价对象11以登记用途进行估价，符合最高最佳利用原则。</w:t>
      </w:r>
    </w:p>
    <w:bookmarkEnd w:id="50"/>
    <w:p>
      <w:pPr>
        <w:tabs>
          <w:tab w:val="left" w:pos="1050"/>
        </w:tabs>
        <w:spacing w:before="50" w:line="360" w:lineRule="auto"/>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（五）价值时点原则</w:t>
      </w:r>
    </w:p>
    <w:p>
      <w:pPr>
        <w:tabs>
          <w:tab w:val="left" w:pos="1050"/>
        </w:tabs>
        <w:spacing w:before="50" w:line="360" w:lineRule="auto"/>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估价结果应是估价对象在价值时点的客观合理价值。同一估价对象在不同时点会具有不同的价值，本次评估的价值时点为</w:t>
      </w:r>
      <w:r>
        <w:rPr>
          <w:rFonts w:hint="eastAsia" w:ascii="仿宋_GB2312" w:hAnsi="仿宋_GB2312" w:eastAsia="仿宋_GB2312" w:cs="仿宋_GB2312"/>
          <w:color w:val="000000" w:themeColor="text1"/>
          <w:sz w:val="28"/>
          <w:szCs w:val="28"/>
          <w14:textFill>
            <w14:solidFill>
              <w14:schemeClr w14:val="tx1"/>
            </w14:solidFill>
          </w14:textFill>
        </w:rPr>
        <w:t>二○二一年十二月十六日</w:t>
      </w:r>
      <w:r>
        <w:rPr>
          <w:rFonts w:hint="eastAsia" w:ascii="仿宋_GB2312" w:eastAsia="仿宋_GB2312"/>
          <w:color w:val="000000" w:themeColor="text1"/>
          <w:sz w:val="28"/>
          <w:szCs w:val="28"/>
          <w14:textFill>
            <w14:solidFill>
              <w14:schemeClr w14:val="tx1"/>
            </w14:solidFill>
          </w14:textFill>
        </w:rPr>
        <w:t>，市场状况、法律法规、计价依据以该时点为基准点，体现了价值时点原则。</w:t>
      </w:r>
    </w:p>
    <w:p>
      <w:pPr>
        <w:pStyle w:val="6"/>
        <w:spacing w:before="0" w:line="360" w:lineRule="auto"/>
        <w:ind w:firstLine="565" w:firstLineChars="201"/>
        <w:outlineLvl w:val="1"/>
      </w:pPr>
      <w:bookmarkStart w:id="51" w:name="_Toc22786"/>
      <w:bookmarkStart w:id="52" w:name="_Toc19189"/>
      <w:r>
        <w:rPr>
          <w:rFonts w:hint="eastAsia"/>
          <w:b/>
        </w:rPr>
        <w:t>九、估价方法</w:t>
      </w:r>
      <w:bookmarkEnd w:id="51"/>
      <w:bookmarkEnd w:id="52"/>
    </w:p>
    <w:p>
      <w:pPr>
        <w:tabs>
          <w:tab w:val="left" w:pos="1050"/>
        </w:tabs>
        <w:spacing w:before="50" w:line="360" w:lineRule="auto"/>
        <w:ind w:firstLine="560" w:firstLineChars="200"/>
        <w:rPr>
          <w:rFonts w:ascii="仿宋_GB2312" w:eastAsia="仿宋_GB2312"/>
          <w:color w:val="000000" w:themeColor="text1"/>
          <w:sz w:val="28"/>
          <w:szCs w:val="28"/>
          <w14:textFill>
            <w14:solidFill>
              <w14:schemeClr w14:val="tx1"/>
            </w14:solidFill>
          </w14:textFill>
        </w:rPr>
      </w:pPr>
      <w:bookmarkStart w:id="53" w:name="_Toc269807881"/>
      <w:bookmarkStart w:id="54" w:name="_Toc265159683"/>
      <w:bookmarkStart w:id="55" w:name="_Toc265159684"/>
      <w:bookmarkStart w:id="56" w:name="_Toc269807882"/>
      <w:r>
        <w:rPr>
          <w:rFonts w:hint="eastAsia" w:ascii="仿宋_GB2312" w:eastAsia="仿宋_GB2312"/>
          <w:color w:val="000000" w:themeColor="text1"/>
          <w:sz w:val="28"/>
          <w:szCs w:val="28"/>
          <w14:textFill>
            <w14:solidFill>
              <w14:schemeClr w14:val="tx1"/>
            </w14:solidFill>
          </w14:textFill>
        </w:rPr>
        <w:t>根据《房地产估价规范》，主要的房地产估价方法有比较法、收益法、成本法、假设开发法。根据委托方提供的相关资料及估价人员实地查勘结果并依据《房地产估价规范》，遵照国家有关法律、法规、估价技术标准，结合估价对象的具体情况和开发现状。估价方法选用情况如下：</w:t>
      </w:r>
    </w:p>
    <w:p>
      <w:pPr>
        <w:pStyle w:val="2"/>
        <w:spacing w:line="360" w:lineRule="auto"/>
        <w:ind w:firstLine="562" w:firstLineChars="200"/>
        <w:rPr>
          <w:rFonts w:ascii="仿宋_GB2312" w:eastAsia="仿宋_GB2312"/>
          <w:b/>
          <w:bCs/>
          <w:sz w:val="28"/>
          <w:szCs w:val="28"/>
        </w:rPr>
      </w:pPr>
      <w:r>
        <w:rPr>
          <w:rFonts w:hint="eastAsia" w:ascii="仿宋_GB2312" w:eastAsia="仿宋_GB2312"/>
          <w:b/>
          <w:bCs/>
          <w:sz w:val="28"/>
          <w:szCs w:val="28"/>
        </w:rPr>
        <w:t>估价对象1至估价对象4、估价对象10、估价对象11：</w:t>
      </w:r>
    </w:p>
    <w:p>
      <w:pPr>
        <w:tabs>
          <w:tab w:val="left" w:pos="1050"/>
        </w:tabs>
        <w:spacing w:line="360" w:lineRule="auto"/>
        <w:ind w:firstLine="560" w:firstLineChars="200"/>
        <w:rPr>
          <w:rFonts w:ascii="仿宋_GB2312" w:eastAsia="仿宋_GB2312"/>
          <w:sz w:val="28"/>
          <w:szCs w:val="28"/>
        </w:rPr>
      </w:pPr>
      <w:bookmarkStart w:id="57" w:name="_Toc30506"/>
      <w:r>
        <w:rPr>
          <w:rFonts w:hint="eastAsia" w:ascii="仿宋_GB2312" w:eastAsia="仿宋_GB2312"/>
          <w:sz w:val="28"/>
          <w:szCs w:val="28"/>
        </w:rPr>
        <w:t>（一）本次评估未选用的方法及理由</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收益法是预测估价对象的未来收益，然后利用合适的报酬率或资本化率、收益乘数，将未来收益转换为价值来求取估价对象价值的方法。适用的对象是有收益或潜在收益的房地产，根据晋宁区类似用途房屋的销售情况与类似用途的房屋出租情况得知，房屋租金增长较房屋销售而言相对滞后，租金与售价之间不成正比，采用收益法评估的价值会造成与市场客观价值偏差较大，故本次估价对象2至估价对象4、估价对象10、估价对象11不宜选用收益法进行评估。</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成本法是求取估价对象在价值时点的重新购建价值和折旧，然后将重新购建价值减去折旧来求取估价对象价值的方法。本质是以房地产的重新开发成本为导向来求取房地产的价值。理论依据是生产费用价值论。新近开发完成的房地产、可以假设重新开发的现有房地产、正在开发的房地产、计划开发的房地产都可以采用成本法估价。成本法多用于无收益或房地产市场发育不成熟，成交实例不多，不宜采用比较法、收益法、假设开发法进行估价的情况下，故本次估价对象2至估价对象4、估价对象10、估价对象11不宜选用成本法进行估价。</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假设开发法是预测估价对象开发完成后的价值和后续开发的必要支出及应得利润，然后将开发完成后的价值减去后续开发的必要支出及应得利润来求取估价对象价值的方法。其理论论据与收益法相同，是预期原理。适合用于具有开发或再开发潜力且开发完成后的价值可以采用比较法、收益法等方法求取的待开发房地产。但由于估价对象所在小区地产项目已经开发完成，本次估价对象由于在同区域内可以找到充足的与估价对象类似的房地产交易实例，故本次估价对象2至估价对象4、估价对象10、估价对象11不宜选用假设开发法进行估价。</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（二）本次评估选用的方法及理由</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比较法是选取一定数量发生过交易且符合一定条件的与估价对象相似的房地产，然后将它们与估价对象进行比较，对它们的成交价值进行适当的处理来求取估价对象价值的方法。比较法适用的条件是具有交易性的房地产，使用的条件是在同一供求范围内并在估价时点的近期，存在着较多类似的房地产交易。据调查区域内与估价对象类似的房地产交易实例较多，估价房地产在同等供求范围内可以找到规定数量满足要求的交易实例作为可比案例，并且经过调查验证，这些交易实例在一定程度上客观准确地反映了当前房地产市场的状况，体现出房地产在当前时期的价值，通过对这些实例的各项因素（包括交易日期、交易情况、区域因素、个别因素、权益状况等）加以修正应可以得出估价对象当前时期的价值，故本次估价对象2至估价对象4、估价对象10、估价对象11宜采用比较法进行估价。</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经过对几种基本估价方法的综合分析，并对实际情况加以综合考虑，本报告估价对象2至估价对象4、估价对象10、估价对象11选用比较法进行估价。</w:t>
      </w:r>
    </w:p>
    <w:p>
      <w:pPr>
        <w:tabs>
          <w:tab w:val="left" w:pos="1050"/>
        </w:tabs>
        <w:spacing w:line="360" w:lineRule="auto"/>
        <w:ind w:firstLine="562" w:firstLineChars="200"/>
        <w:rPr>
          <w:rFonts w:ascii="仿宋_GB2312" w:eastAsia="仿宋_GB2312"/>
          <w:b/>
          <w:bCs/>
          <w:sz w:val="28"/>
          <w:szCs w:val="28"/>
          <w:highlight w:val="yellow"/>
        </w:rPr>
      </w:pPr>
      <w:r>
        <w:rPr>
          <w:rFonts w:hint="eastAsia" w:ascii="仿宋_GB2312" w:eastAsia="仿宋_GB2312"/>
          <w:b/>
          <w:bCs/>
          <w:sz w:val="28"/>
          <w:szCs w:val="28"/>
        </w:rPr>
        <w:t>估价对象5、估价对象9：</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（一）本次评估未选用的方法及理由</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收益法是预测估价对象的未来收益，然后利用合适的报酬率或资本化率、收益乘数，将未来收益转换为价值来求取估价对象价值的方法。适用的对象是有收益或潜在收益的房地产，估价对象所在区域用于出租的案例多为1层商业、无整幢用于出租的交易案例，因此本次估价对象5、估价对象9不宜选用收益法进行评估。</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比较法是选取一定数量发生过交易且符合一定条件的与估价对象相似的房地产，然后将它们与估价对象进行比较，对它们的成交价值进行适当的处理来求取估价对象价值的方法。比较法适用的条件是具有交易性的房地产，使用的条件是在同一供求范围内并在估价时点的近期，存在着较多类似的房地产交易。据调查区域内与估价对象类似的房地产交易实例较少，估价房地产在同等供求范围内难以找到规定数量满足要求的交易实例作为可比实例，并且经过调查验证，这些交易实例在一定程度上不能客观准确地反映了当前房地产市场的状况，无法准确客观的体现出房地产在当前时期的价值，通过对这些实例的各项因素（包括交易日期、交易情况、区域因素、个别因素、权益状况等）加以修正难以得出估价对象当前时期的价值，故本次估价对象5、估价对象9不宜选用比较法进行估价。</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假设开发法是预测估价对象开发完成后的价值和后续开发的必要支出及应得利润，然后将开发完成后的价值减去后续开发的必要支出及应得利润来求取估价对象价值的方法。其理论论据与收益法相同，是预期原理。适合用于具有开发或再开发潜力且开发完成后的价值可以采用比较法、收益法等方法求取的待开发房地产。但由于估价对象已经开发完成，且开发完成后的价值难以通过比较法、收益法等方法求取，故本次估价对象5、估价对象9不宜选用假设开发法进行估价。</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（二）本次评估选用的方法及理由</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成本法是求取估价对象在价值时点的重新购建价值和折旧，然后将重新购建价值减去折旧来求取估价对象价值的方法。本质是以房地产的重新开发成本为导向来求取房地产的价值。理论依据是生产费用价值论。新近开发完成的房地产、可以假设重新开发的现有房地产、正在开发的房地产、计划开发的房地产都可以采用成本法估价。成本法多用于无收益或房地产市场发育不成熟，成交实例不多，不宜采用比较法、收益法、假设开发法进行估价的情况下，估价对象5、估价对象9为整幢的自建房，区域内没有类似用途整幢出租或出售的案例，故本次估价对象5、估价对象9宜选用成本法进行估价。</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经过对几种基本估价方法的综合分析，并对实际情况加以综合考虑，本报告选用成本法对估价对象5、估价对象9进行估价。</w:t>
      </w:r>
    </w:p>
    <w:p>
      <w:pPr>
        <w:tabs>
          <w:tab w:val="left" w:pos="1050"/>
        </w:tabs>
        <w:spacing w:line="360" w:lineRule="auto"/>
        <w:ind w:firstLine="562" w:firstLineChars="200"/>
        <w:rPr>
          <w:rFonts w:ascii="仿宋_GB2312" w:eastAsia="仿宋_GB2312"/>
          <w:b/>
          <w:bCs/>
          <w:sz w:val="28"/>
          <w:szCs w:val="28"/>
        </w:rPr>
      </w:pPr>
      <w:r>
        <w:rPr>
          <w:rFonts w:hint="eastAsia" w:ascii="仿宋_GB2312" w:eastAsia="仿宋_GB2312"/>
          <w:b/>
          <w:bCs/>
          <w:sz w:val="28"/>
          <w:szCs w:val="28"/>
        </w:rPr>
        <w:t>估价对象6至估价对象8、估价对象12：</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（一）本次评估未选用的方法及理由</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成本法是求取估价对象在价值时点的重新购建价值和折旧，然后将重新购建价值减去折旧来求取估价对象价值的方法。本质是以房地产的重新开发成本为导向来求取房地产的价值。理论依据是生产费用价值论。新近开发完成的房地产、可以假设重新开发的现有房地产、正在开发的房地产、计划开发的房地产都可以采用成本法估价。成本法多用于无收益或房地产市场发育不成熟，成交实例不多，不宜采用比较法、收益法、假设开发法进行估价的情况下，故本次估价对象6至估价对象8、估价对象12不宜选用成本法进行估价。</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假设开发法是预测估价对象开发完成后的价值和后续开发的必要支出及应得利润，然后将开发完成后的价值减去后续开发的必要支出及应得利润来求取估价对象价值的方法。其理论论据与收益法相同，是预期原理。适合用于具有开发或再开发潜力且开发完成后的价值可以采用比较法、收益法等方法求取的待开发房地产。但由于估价对象所在小区地产项目已经开发完成，本次估价对象由于在同区域内可以找到充足的与估价对象类似的房地产交易实例，故本次估价对象6至估价对象8、估价对象12不宜选用假设开发法进行估价。</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（二）本次评估选用的方法及理由</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比较法是选取一定数量发生过交易且符合一定条件的与估价对象相似的房地产，然后将它们与估价对象进行比较，对它们的成交价值进行适当的处理来求取估价对象价值的方法。比较法适用的条件是具有交易性的房地产，使用的条件是在同一供求范围内并在估价时点的近期，存在着较多类似的房地产交易。据调查区域内与估价对象类似的房地产交易实例较多，估价房地产在同等供求范围内可以找到规定数量满足要求的交易实例作为可比案例，并且经过调查验证，这些交易实例在一定程度上客观准确地反映了当前房地产市场的状况，体现出房地产在当前时期的价值，通过对这些实例的各项因素（包括交易日期、交易情况、区域因素、个别因素、权益状况等）加以修正应可以得出估价对象当前时期的价值，故本次估价对象6至估价对象8、估价对象12宜采用比较法进行估价。</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收益法是预测估价对象的未来收益，然后利用合适的报酬率或资本化率、收益乘数，将未来收益转换为价值来求取估价对象价值的方法。适用的对象是有收益或潜在收益的房地产，根据调查位于区域内用于租赁的较多，可以获取估价对象用于出租的客观收益，故本次估价对象6至估价对象8、估价对象11至估价对象12宜采用收益法进行评估。</w:t>
      </w:r>
    </w:p>
    <w:p>
      <w:pPr>
        <w:tabs>
          <w:tab w:val="left" w:pos="1050"/>
        </w:tabs>
        <w:spacing w:line="360" w:lineRule="auto"/>
        <w:ind w:firstLine="560" w:firstLineChars="200"/>
        <w:rPr>
          <w:rFonts w:ascii="仿宋_GB2312" w:eastAsia="仿宋_GB2312"/>
          <w:sz w:val="28"/>
          <w:szCs w:val="28"/>
        </w:rPr>
      </w:pPr>
      <w:r>
        <w:rPr>
          <w:rFonts w:hint="eastAsia" w:ascii="仿宋_GB2312" w:eastAsia="仿宋_GB2312"/>
          <w:sz w:val="28"/>
          <w:szCs w:val="28"/>
        </w:rPr>
        <w:t>经过对几种基本估价方法的综合分析，并对实际情况加以综合考虑，本报告估价对象6至估价对象8、估价对象12选用比较法、收益法进行估价。</w:t>
      </w:r>
    </w:p>
    <w:p>
      <w:pPr>
        <w:pStyle w:val="6"/>
        <w:numPr>
          <w:ilvl w:val="0"/>
          <w:numId w:val="9"/>
        </w:numPr>
        <w:spacing w:before="0" w:line="360" w:lineRule="auto"/>
        <w:ind w:firstLine="565" w:firstLineChars="201"/>
        <w:outlineLvl w:val="1"/>
        <w:rPr>
          <w:b/>
        </w:rPr>
      </w:pPr>
      <w:bookmarkStart w:id="58" w:name="_Toc12769"/>
      <w:r>
        <w:rPr>
          <w:rFonts w:hint="eastAsia"/>
          <w:b/>
        </w:rPr>
        <w:t>估价结果</w:t>
      </w:r>
      <w:bookmarkEnd w:id="57"/>
      <w:bookmarkEnd w:id="58"/>
    </w:p>
    <w:p>
      <w:pPr>
        <w:numPr>
          <w:ilvl w:val="0"/>
          <w:numId w:val="10"/>
        </w:numPr>
        <w:tabs>
          <w:tab w:val="left" w:pos="1050"/>
          <w:tab w:val="clear" w:pos="312"/>
        </w:tabs>
        <w:spacing w:line="360" w:lineRule="auto"/>
        <w:ind w:firstLine="560" w:firstLineChars="200"/>
        <w:rPr>
          <w:rFonts w:ascii="仿宋_GB2312" w:eastAsia="仿宋_GB2312"/>
          <w:sz w:val="28"/>
          <w:szCs w:val="28"/>
        </w:rPr>
      </w:pPr>
      <w:r>
        <w:rPr>
          <w:rFonts w:hint="eastAsia" w:ascii="仿宋_GB2312" w:eastAsia="仿宋_GB2312"/>
          <w:sz w:val="28"/>
          <w:szCs w:val="28"/>
        </w:rPr>
        <w:t>我公司依据国家、省、市的有关政策、法律法规文件及估价委托方提供的相关资料，严格按照估价规范规定的原则和程序，实地查勘，搜集相关资料，认真分析，对影响房地产价值的各种因素进行评估，确定出晋宁区共计12套房地产在二○二一年十二月十六日（设定价值时点）的评估价值为：</w:t>
      </w:r>
    </w:p>
    <w:p>
      <w:pPr>
        <w:pStyle w:val="71"/>
        <w:snapToGrid w:val="0"/>
        <w:ind w:left="563" w:leftChars="268" w:firstLine="1940" w:firstLineChars="690"/>
        <w:rPr>
          <w:rFonts w:ascii="仿宋_GB2312" w:eastAsia="仿宋_GB2312"/>
          <w:b/>
          <w:szCs w:val="28"/>
        </w:rPr>
      </w:pPr>
      <w:r>
        <w:rPr>
          <w:rFonts w:hint="eastAsia" w:ascii="仿宋_GB2312" w:eastAsia="仿宋_GB2312"/>
          <w:b/>
          <w:szCs w:val="28"/>
        </w:rPr>
        <w:t>房地产市场价值评估结果汇总表</w:t>
      </w:r>
    </w:p>
    <w:p>
      <w:pPr>
        <w:pStyle w:val="71"/>
        <w:snapToGrid w:val="0"/>
        <w:ind w:left="562" w:right="140" w:firstLine="0"/>
        <w:jc w:val="right"/>
        <w:rPr>
          <w:rFonts w:ascii="仿宋_GB2312" w:eastAsia="仿宋_GB2312"/>
          <w:b/>
          <w:szCs w:val="28"/>
        </w:rPr>
      </w:pPr>
      <w:r>
        <w:rPr>
          <w:rFonts w:hint="eastAsia" w:ascii="仿宋_GB2312" w:eastAsia="仿宋_GB2312"/>
          <w:b/>
          <w:szCs w:val="28"/>
        </w:rPr>
        <w:t>币种：人民币</w:t>
      </w:r>
    </w:p>
    <w:tbl>
      <w:tblPr>
        <w:tblStyle w:val="89"/>
        <w:tblW w:w="4997" w:type="pct"/>
        <w:jc w:val="center"/>
        <w:tblLayout w:type="autofit"/>
        <w:tblCellMar>
          <w:top w:w="0" w:type="dxa"/>
          <w:left w:w="0" w:type="dxa"/>
          <w:bottom w:w="0" w:type="dxa"/>
          <w:right w:w="0" w:type="dxa"/>
        </w:tblCellMar>
      </w:tblPr>
      <w:tblGrid>
        <w:gridCol w:w="1765"/>
        <w:gridCol w:w="1387"/>
        <w:gridCol w:w="5786"/>
      </w:tblGrid>
      <w:tr>
        <w:tblPrEx>
          <w:tblCellMar>
            <w:top w:w="0" w:type="dxa"/>
            <w:left w:w="0" w:type="dxa"/>
            <w:bottom w:w="0" w:type="dxa"/>
            <w:right w:w="0" w:type="dxa"/>
          </w:tblCellMar>
        </w:tblPrEx>
        <w:trPr>
          <w:trHeight w:val="300" w:hRule="atLeast"/>
          <w:jc w:val="center"/>
        </w:trPr>
        <w:tc>
          <w:tcPr>
            <w:tcW w:w="1765"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sz w:val="22"/>
                <w:szCs w:val="22"/>
              </w:rPr>
            </w:pPr>
            <w:r>
              <w:rPr>
                <w:rFonts w:ascii="仿宋_GB2312" w:hAnsi="仿宋_GB2312" w:eastAsia="仿宋_GB2312" w:cs="仿宋_GB2312"/>
                <w:sz w:val="22"/>
                <w:szCs w:val="22"/>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-12700</wp:posOffset>
                      </wp:positionV>
                      <wp:extent cx="1117600" cy="425450"/>
                      <wp:effectExtent l="1905" t="4445" r="8255" b="12065"/>
                      <wp:wrapNone/>
                      <wp:docPr id="2" name="直接连接符 3"/>
                      <wp:cNvGraphicFramePr/>
                      <a:graphic xmlns:a="http://schemas.openxmlformats.org/drawingml/2006/main">
                        <a:graphicData uri="http://schemas.microsoft.com/office/word/2010/wordprocessingShape">
                          <wps:wsp>
                            <wps:cNvCnPr/>
                            <wps:spPr>
                              <a:xfrm>
                                <a:off x="1064895" y="1560195"/>
                                <a:ext cx="1117600" cy="42545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直接连接符 3" o:spid="_x0000_s1026" o:spt="20" style="position:absolute;left:0pt;margin-left:-1.25pt;margin-top:-1pt;height:33.5pt;width:88pt;z-index:251661312;mso-width-relative:page;mso-height-relative:page;" filled="f" stroked="t" coordsize="21600,21600" o:gfxdata="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2kGsDWAAAACAEAAA8AAAAAAAAAAQAgAAAAIgAAAGRy&#10;cy9kb3ducmV2LnhtbFBLAQIUABQAAAAIAIdO4kDu9/wmBwIAAPIDAAAOAAAAAAAAAAEAIAAAACUB&#10;AABkcnMvZTJvRG9jLnhtbFBLBQYAAAAABgAGAFkBAACeBQAAAAA=&#10;">
                      <v:fill on="f" focussize="0,0"/>
                      <v:stroke color="#000000" joinstyle="round"/>
                      <v:imagedata o:title=""/>
                      <o:lock v:ext="edit" aspectratio="f"/>
                    </v:line>
                  </w:pict>
                </mc:Fallback>
              </mc:AlternateContent>
            </w:r>
            <w:r>
              <w:rPr>
                <w:rFonts w:hint="eastAsia" w:ascii="仿宋_GB2312" w:hAnsi="仿宋_GB2312" w:eastAsia="仿宋_GB2312" w:cs="仿宋_GB2312"/>
                <w:sz w:val="22"/>
                <w:szCs w:val="22"/>
              </w:rPr>
              <w:t xml:space="preserve">     市场结果</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单价（元/平方米或元/个）</w:t>
            </w:r>
          </w:p>
        </w:tc>
        <w:tc>
          <w:tcPr>
            <w:tcW w:w="5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总价（元）</w:t>
            </w:r>
          </w:p>
        </w:tc>
      </w:tr>
      <w:tr>
        <w:tblPrEx>
          <w:tblCellMar>
            <w:top w:w="0" w:type="dxa"/>
            <w:left w:w="0" w:type="dxa"/>
            <w:bottom w:w="0" w:type="dxa"/>
            <w:right w:w="0" w:type="dxa"/>
          </w:tblCellMar>
        </w:tblPrEx>
        <w:trPr>
          <w:trHeight w:val="300" w:hRule="atLeast"/>
          <w:jc w:val="center"/>
        </w:trPr>
        <w:tc>
          <w:tcPr>
            <w:tcW w:w="1765"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估价对象</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仿宋_GB2312" w:eastAsia="仿宋_GB2312" w:cs="仿宋_GB2312"/>
                <w:sz w:val="22"/>
                <w:szCs w:val="22"/>
              </w:rPr>
            </w:pPr>
          </w:p>
        </w:tc>
        <w:tc>
          <w:tcPr>
            <w:tcW w:w="5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仿宋_GB2312" w:eastAsia="仿宋_GB2312" w:cs="仿宋_GB2312"/>
                <w:sz w:val="22"/>
                <w:szCs w:val="22"/>
              </w:rPr>
            </w:pPr>
          </w:p>
        </w:tc>
      </w:tr>
      <w:tr>
        <w:tblPrEx>
          <w:tblCellMar>
            <w:top w:w="0" w:type="dxa"/>
            <w:left w:w="0" w:type="dxa"/>
            <w:bottom w:w="0" w:type="dxa"/>
            <w:right w:w="0" w:type="dxa"/>
          </w:tblCellMar>
        </w:tblPrEx>
        <w:trPr>
          <w:trHeight w:val="90"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估价对象1</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6050</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2,701,870.00 （大写：贰佰柒拾万零壹仟捌佰柒拾元整）</w:t>
            </w:r>
          </w:p>
        </w:tc>
      </w:tr>
      <w:tr>
        <w:tblPrEx>
          <w:tblCellMar>
            <w:top w:w="0" w:type="dxa"/>
            <w:left w:w="0" w:type="dxa"/>
            <w:bottom w:w="0" w:type="dxa"/>
            <w:right w:w="0" w:type="dxa"/>
          </w:tblCellMar>
        </w:tblPrEx>
        <w:trPr>
          <w:trHeight w:val="300"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估价对象2</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5837</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688,766.00 （大写：陆拾捌万捌仟柒佰陆拾陆元整）</w:t>
            </w:r>
          </w:p>
        </w:tc>
      </w:tr>
      <w:tr>
        <w:tblPrEx>
          <w:tblCellMar>
            <w:top w:w="0" w:type="dxa"/>
            <w:left w:w="0" w:type="dxa"/>
            <w:bottom w:w="0" w:type="dxa"/>
            <w:right w:w="0" w:type="dxa"/>
          </w:tblCellMar>
        </w:tblPrEx>
        <w:trPr>
          <w:trHeight w:val="300"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估价对象3</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5720</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887,515.00 （大写：捌拾捌万柒仟伍佰壹拾伍元整）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估价对象4</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5487</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752,597.00 （大写：柒拾伍万贰仟伍佰玖拾柒元整）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估价对象5</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2762</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1,005,175.00 （大写：壹佰万零伍仟壹佰柒拾伍元整）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估价对象6</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9204</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363,558.00 （大写：叁拾陆万叁仟伍佰伍拾捌元整）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估价对象7</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9204</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543,220.00</w:t>
            </w:r>
            <w:r>
              <w:rPr>
                <w:rFonts w:hint="eastAsia" w:ascii="仿宋_GB2312" w:hAnsi="仿宋_GB2312" w:eastAsia="仿宋_GB2312" w:cs="仿宋_GB2312"/>
                <w:color w:val="000000"/>
                <w:sz w:val="22"/>
                <w:szCs w:val="22"/>
              </w:rPr>
              <w:t>（大写：</w:t>
            </w:r>
            <w:r>
              <w:rPr>
                <w:rFonts w:ascii="仿宋_GB2312" w:hAnsi="仿宋_GB2312" w:eastAsia="仿宋_GB2312" w:cs="仿宋_GB2312"/>
                <w:color w:val="000000"/>
                <w:sz w:val="22"/>
                <w:szCs w:val="22"/>
              </w:rPr>
              <w:fldChar w:fldCharType="begin"/>
            </w:r>
            <w:r>
              <w:rPr>
                <w:rFonts w:ascii="仿宋_GB2312" w:hAnsi="仿宋_GB2312" w:eastAsia="仿宋_GB2312" w:cs="仿宋_GB2312"/>
                <w:color w:val="000000"/>
                <w:sz w:val="22"/>
                <w:szCs w:val="22"/>
              </w:rPr>
              <w:instrText xml:space="preserve"> </w:instrText>
            </w:r>
            <w:r>
              <w:rPr>
                <w:rFonts w:hint="eastAsia" w:ascii="仿宋_GB2312" w:hAnsi="仿宋_GB2312" w:eastAsia="仿宋_GB2312" w:cs="仿宋_GB2312"/>
                <w:color w:val="000000"/>
                <w:sz w:val="22"/>
                <w:szCs w:val="22"/>
              </w:rPr>
              <w:instrText xml:space="preserve">= 543,220.00 \* CHINESENUM2</w:instrText>
            </w:r>
            <w:r>
              <w:rPr>
                <w:rFonts w:ascii="仿宋_GB2312" w:hAnsi="仿宋_GB2312" w:eastAsia="仿宋_GB2312" w:cs="仿宋_GB2312"/>
                <w:color w:val="000000"/>
                <w:sz w:val="22"/>
                <w:szCs w:val="22"/>
              </w:rPr>
              <w:instrText xml:space="preserve"> </w:instrText>
            </w:r>
            <w:r>
              <w:rPr>
                <w:rFonts w:ascii="仿宋_GB2312" w:hAnsi="仿宋_GB2312" w:eastAsia="仿宋_GB2312" w:cs="仿宋_GB2312"/>
                <w:color w:val="000000"/>
                <w:sz w:val="22"/>
                <w:szCs w:val="22"/>
              </w:rPr>
              <w:fldChar w:fldCharType="separate"/>
            </w:r>
            <w:r>
              <w:rPr>
                <w:rFonts w:hint="eastAsia" w:ascii="仿宋_GB2312" w:hAnsi="仿宋_GB2312" w:eastAsia="仿宋_GB2312" w:cs="仿宋_GB2312"/>
                <w:color w:val="000000"/>
                <w:sz w:val="22"/>
                <w:szCs w:val="22"/>
              </w:rPr>
              <w:t>伍拾肆万叁仟贰佰贰拾</w:t>
            </w:r>
            <w:r>
              <w:rPr>
                <w:rFonts w:ascii="仿宋_GB2312" w:hAnsi="仿宋_GB2312" w:eastAsia="仿宋_GB2312" w:cs="仿宋_GB2312"/>
                <w:color w:val="000000"/>
                <w:sz w:val="22"/>
                <w:szCs w:val="22"/>
              </w:rPr>
              <w:fldChar w:fldCharType="end"/>
            </w:r>
            <w:r>
              <w:rPr>
                <w:rFonts w:hint="eastAsia" w:ascii="仿宋_GB2312" w:hAnsi="仿宋_GB2312" w:eastAsia="仿宋_GB2312" w:cs="仿宋_GB2312"/>
                <w:color w:val="000000"/>
                <w:sz w:val="22"/>
                <w:szCs w:val="22"/>
              </w:rPr>
              <w:t>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估价对象8</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9204</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410,222.00</w:t>
            </w:r>
            <w:r>
              <w:rPr>
                <w:rFonts w:hint="eastAsia" w:ascii="仿宋_GB2312" w:hAnsi="仿宋_GB2312" w:eastAsia="仿宋_GB2312" w:cs="仿宋_GB2312"/>
                <w:color w:val="000000"/>
                <w:sz w:val="22"/>
                <w:szCs w:val="22"/>
              </w:rPr>
              <w:t>（大写：</w:t>
            </w:r>
            <w:r>
              <w:rPr>
                <w:rFonts w:ascii="仿宋_GB2312" w:hAnsi="仿宋_GB2312" w:eastAsia="仿宋_GB2312" w:cs="仿宋_GB2312"/>
                <w:color w:val="000000"/>
                <w:sz w:val="22"/>
                <w:szCs w:val="22"/>
              </w:rPr>
              <w:fldChar w:fldCharType="begin"/>
            </w:r>
            <w:r>
              <w:rPr>
                <w:rFonts w:ascii="仿宋_GB2312" w:hAnsi="仿宋_GB2312" w:eastAsia="仿宋_GB2312" w:cs="仿宋_GB2312"/>
                <w:color w:val="000000"/>
                <w:sz w:val="22"/>
                <w:szCs w:val="22"/>
              </w:rPr>
              <w:instrText xml:space="preserve"> </w:instrText>
            </w:r>
            <w:r>
              <w:rPr>
                <w:rFonts w:hint="eastAsia" w:ascii="仿宋_GB2312" w:hAnsi="仿宋_GB2312" w:eastAsia="仿宋_GB2312" w:cs="仿宋_GB2312"/>
                <w:color w:val="000000"/>
                <w:sz w:val="22"/>
                <w:szCs w:val="22"/>
              </w:rPr>
              <w:instrText xml:space="preserve">= 410,222.00 \* CHINESENUM2</w:instrText>
            </w:r>
            <w:r>
              <w:rPr>
                <w:rFonts w:ascii="仿宋_GB2312" w:hAnsi="仿宋_GB2312" w:eastAsia="仿宋_GB2312" w:cs="仿宋_GB2312"/>
                <w:color w:val="000000"/>
                <w:sz w:val="22"/>
                <w:szCs w:val="22"/>
              </w:rPr>
              <w:instrText xml:space="preserve"> </w:instrText>
            </w:r>
            <w:r>
              <w:rPr>
                <w:rFonts w:ascii="仿宋_GB2312" w:hAnsi="仿宋_GB2312" w:eastAsia="仿宋_GB2312" w:cs="仿宋_GB2312"/>
                <w:color w:val="000000"/>
                <w:sz w:val="22"/>
                <w:szCs w:val="22"/>
              </w:rPr>
              <w:fldChar w:fldCharType="separate"/>
            </w:r>
            <w:r>
              <w:rPr>
                <w:rFonts w:hint="eastAsia" w:ascii="仿宋_GB2312" w:hAnsi="仿宋_GB2312" w:eastAsia="仿宋_GB2312" w:cs="仿宋_GB2312"/>
                <w:color w:val="000000"/>
                <w:sz w:val="22"/>
                <w:szCs w:val="22"/>
              </w:rPr>
              <w:t>肆拾壹万零贰佰贰拾贰</w:t>
            </w:r>
            <w:r>
              <w:rPr>
                <w:rFonts w:ascii="仿宋_GB2312" w:hAnsi="仿宋_GB2312" w:eastAsia="仿宋_GB2312" w:cs="仿宋_GB2312"/>
                <w:color w:val="000000"/>
                <w:sz w:val="22"/>
                <w:szCs w:val="22"/>
              </w:rPr>
              <w:fldChar w:fldCharType="end"/>
            </w:r>
            <w:r>
              <w:rPr>
                <w:rFonts w:hint="eastAsia" w:ascii="仿宋_GB2312" w:hAnsi="仿宋_GB2312" w:eastAsia="仿宋_GB2312" w:cs="仿宋_GB2312"/>
                <w:color w:val="000000"/>
                <w:sz w:val="22"/>
                <w:szCs w:val="22"/>
              </w:rPr>
              <w:t>元整）</w:t>
            </w:r>
          </w:p>
        </w:tc>
      </w:tr>
      <w:tr>
        <w:tblPrEx>
          <w:tblCellMar>
            <w:top w:w="0" w:type="dxa"/>
            <w:left w:w="0" w:type="dxa"/>
            <w:bottom w:w="0" w:type="dxa"/>
            <w:right w:w="0" w:type="dxa"/>
          </w:tblCellMar>
        </w:tblPrEx>
        <w:trPr>
          <w:trHeight w:val="442" w:hRule="atLeast"/>
          <w:jc w:val="center"/>
        </w:trPr>
        <w:tc>
          <w:tcPr>
            <w:tcW w:w="176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估价对象9</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4074</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2,784,660.00</w:t>
            </w:r>
            <w:r>
              <w:rPr>
                <w:rFonts w:hint="eastAsia" w:ascii="仿宋_GB2312" w:hAnsi="仿宋_GB2312" w:eastAsia="仿宋_GB2312" w:cs="仿宋_GB2312"/>
                <w:color w:val="000000"/>
                <w:sz w:val="22"/>
                <w:szCs w:val="22"/>
              </w:rPr>
              <w:t>（大写：</w:t>
            </w:r>
            <w:r>
              <w:rPr>
                <w:rFonts w:ascii="仿宋_GB2312" w:hAnsi="仿宋_GB2312" w:eastAsia="仿宋_GB2312" w:cs="仿宋_GB2312"/>
                <w:color w:val="000000"/>
                <w:sz w:val="22"/>
                <w:szCs w:val="22"/>
              </w:rPr>
              <w:fldChar w:fldCharType="begin"/>
            </w:r>
            <w:r>
              <w:rPr>
                <w:rFonts w:ascii="仿宋_GB2312" w:hAnsi="仿宋_GB2312" w:eastAsia="仿宋_GB2312" w:cs="仿宋_GB2312"/>
                <w:color w:val="000000"/>
                <w:sz w:val="22"/>
                <w:szCs w:val="22"/>
              </w:rPr>
              <w:instrText xml:space="preserve"> </w:instrText>
            </w:r>
            <w:r>
              <w:rPr>
                <w:rFonts w:hint="eastAsia" w:ascii="仿宋_GB2312" w:hAnsi="仿宋_GB2312" w:eastAsia="仿宋_GB2312" w:cs="仿宋_GB2312"/>
                <w:color w:val="000000"/>
                <w:sz w:val="22"/>
                <w:szCs w:val="22"/>
              </w:rPr>
              <w:instrText xml:space="preserve">= 2,784,660.00 \* CHINESENUM2</w:instrText>
            </w:r>
            <w:r>
              <w:rPr>
                <w:rFonts w:ascii="仿宋_GB2312" w:hAnsi="仿宋_GB2312" w:eastAsia="仿宋_GB2312" w:cs="仿宋_GB2312"/>
                <w:color w:val="000000"/>
                <w:sz w:val="22"/>
                <w:szCs w:val="22"/>
              </w:rPr>
              <w:instrText xml:space="preserve"> </w:instrText>
            </w:r>
            <w:r>
              <w:rPr>
                <w:rFonts w:ascii="仿宋_GB2312" w:hAnsi="仿宋_GB2312" w:eastAsia="仿宋_GB2312" w:cs="仿宋_GB2312"/>
                <w:color w:val="000000"/>
                <w:sz w:val="22"/>
                <w:szCs w:val="22"/>
              </w:rPr>
              <w:fldChar w:fldCharType="separate"/>
            </w:r>
            <w:r>
              <w:rPr>
                <w:rFonts w:hint="eastAsia" w:ascii="仿宋_GB2312" w:hAnsi="仿宋_GB2312" w:eastAsia="仿宋_GB2312" w:cs="仿宋_GB2312"/>
                <w:color w:val="000000"/>
                <w:sz w:val="22"/>
                <w:szCs w:val="22"/>
              </w:rPr>
              <w:t>贰佰柒拾捌万肆仟陆佰陆拾</w:t>
            </w:r>
            <w:r>
              <w:rPr>
                <w:rFonts w:ascii="仿宋_GB2312" w:hAnsi="仿宋_GB2312" w:eastAsia="仿宋_GB2312" w:cs="仿宋_GB2312"/>
                <w:color w:val="000000"/>
                <w:sz w:val="22"/>
                <w:szCs w:val="22"/>
              </w:rPr>
              <w:fldChar w:fldCharType="end"/>
            </w:r>
            <w:r>
              <w:rPr>
                <w:rFonts w:hint="eastAsia" w:ascii="仿宋_GB2312" w:hAnsi="仿宋_GB2312" w:eastAsia="仿宋_GB2312" w:cs="仿宋_GB2312"/>
                <w:color w:val="000000"/>
                <w:sz w:val="22"/>
                <w:szCs w:val="22"/>
              </w:rPr>
              <w:t>元整）</w:t>
            </w:r>
            <w:r>
              <w:rPr>
                <w:rFonts w:hint="eastAsia" w:ascii="仿宋_GB2312" w:eastAsia="仿宋_GB2312"/>
                <w:color w:val="000000"/>
                <w:sz w:val="22"/>
                <w:szCs w:val="22"/>
              </w:rPr>
              <w:t xml:space="preserve"> </w:t>
            </w:r>
          </w:p>
        </w:tc>
      </w:tr>
      <w:tr>
        <w:tblPrEx>
          <w:tblCellMar>
            <w:top w:w="0" w:type="dxa"/>
            <w:left w:w="0" w:type="dxa"/>
            <w:bottom w:w="0" w:type="dxa"/>
            <w:right w:w="0" w:type="dxa"/>
          </w:tblCellMar>
        </w:tblPrEx>
        <w:trPr>
          <w:trHeight w:val="442" w:hRule="atLeast"/>
          <w:jc w:val="center"/>
        </w:trPr>
        <w:tc>
          <w:tcPr>
            <w:tcW w:w="176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3633</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404,244.00</w:t>
            </w:r>
            <w:r>
              <w:rPr>
                <w:rFonts w:hint="eastAsia" w:ascii="仿宋_GB2312" w:hAnsi="仿宋_GB2312" w:eastAsia="仿宋_GB2312" w:cs="仿宋_GB2312"/>
                <w:color w:val="000000"/>
                <w:sz w:val="22"/>
                <w:szCs w:val="22"/>
              </w:rPr>
              <w:t>（大写：</w:t>
            </w:r>
            <w:r>
              <w:rPr>
                <w:rFonts w:ascii="仿宋_GB2312" w:hAnsi="仿宋_GB2312" w:eastAsia="仿宋_GB2312" w:cs="仿宋_GB2312"/>
                <w:color w:val="000000"/>
                <w:sz w:val="22"/>
                <w:szCs w:val="22"/>
              </w:rPr>
              <w:fldChar w:fldCharType="begin"/>
            </w:r>
            <w:r>
              <w:rPr>
                <w:rFonts w:ascii="仿宋_GB2312" w:hAnsi="仿宋_GB2312" w:eastAsia="仿宋_GB2312" w:cs="仿宋_GB2312"/>
                <w:color w:val="000000"/>
                <w:sz w:val="22"/>
                <w:szCs w:val="22"/>
              </w:rPr>
              <w:instrText xml:space="preserve"> </w:instrText>
            </w:r>
            <w:r>
              <w:rPr>
                <w:rFonts w:hint="eastAsia" w:ascii="仿宋_GB2312" w:hAnsi="仿宋_GB2312" w:eastAsia="仿宋_GB2312" w:cs="仿宋_GB2312"/>
                <w:color w:val="000000"/>
                <w:sz w:val="22"/>
                <w:szCs w:val="22"/>
              </w:rPr>
              <w:instrText xml:space="preserve">= 404,244.00 \* CHINESENUM2</w:instrText>
            </w:r>
            <w:r>
              <w:rPr>
                <w:rFonts w:ascii="仿宋_GB2312" w:hAnsi="仿宋_GB2312" w:eastAsia="仿宋_GB2312" w:cs="仿宋_GB2312"/>
                <w:color w:val="000000"/>
                <w:sz w:val="22"/>
                <w:szCs w:val="22"/>
              </w:rPr>
              <w:instrText xml:space="preserve"> </w:instrText>
            </w:r>
            <w:r>
              <w:rPr>
                <w:rFonts w:ascii="仿宋_GB2312" w:hAnsi="仿宋_GB2312" w:eastAsia="仿宋_GB2312" w:cs="仿宋_GB2312"/>
                <w:color w:val="000000"/>
                <w:sz w:val="22"/>
                <w:szCs w:val="22"/>
              </w:rPr>
              <w:fldChar w:fldCharType="separate"/>
            </w:r>
            <w:r>
              <w:rPr>
                <w:rFonts w:hint="eastAsia" w:ascii="仿宋_GB2312" w:hAnsi="仿宋_GB2312" w:eastAsia="仿宋_GB2312" w:cs="仿宋_GB2312"/>
                <w:color w:val="000000"/>
                <w:sz w:val="22"/>
                <w:szCs w:val="22"/>
              </w:rPr>
              <w:t>肆拾万零肆仟贰佰肆拾肆</w:t>
            </w:r>
            <w:r>
              <w:rPr>
                <w:rFonts w:ascii="仿宋_GB2312" w:hAnsi="仿宋_GB2312" w:eastAsia="仿宋_GB2312" w:cs="仿宋_GB2312"/>
                <w:color w:val="000000"/>
                <w:sz w:val="22"/>
                <w:szCs w:val="22"/>
              </w:rPr>
              <w:fldChar w:fldCharType="end"/>
            </w:r>
            <w:r>
              <w:rPr>
                <w:rFonts w:hint="eastAsia" w:ascii="仿宋_GB2312" w:hAnsi="仿宋_GB2312" w:eastAsia="仿宋_GB2312" w:cs="仿宋_GB2312"/>
                <w:color w:val="000000"/>
                <w:sz w:val="22"/>
                <w:szCs w:val="22"/>
              </w:rPr>
              <w:t>元整）</w:t>
            </w:r>
            <w:r>
              <w:rPr>
                <w:rFonts w:hint="eastAsia" w:ascii="仿宋_GB2312" w:eastAsia="仿宋_GB2312"/>
                <w:color w:val="000000"/>
                <w:sz w:val="22"/>
                <w:szCs w:val="22"/>
              </w:rPr>
              <w:t xml:space="preserve"> </w:t>
            </w:r>
          </w:p>
        </w:tc>
      </w:tr>
      <w:tr>
        <w:tblPrEx>
          <w:tblCellMar>
            <w:top w:w="0" w:type="dxa"/>
            <w:left w:w="0" w:type="dxa"/>
            <w:bottom w:w="0" w:type="dxa"/>
            <w:right w:w="0" w:type="dxa"/>
          </w:tblCellMar>
        </w:tblPrEx>
        <w:trPr>
          <w:trHeight w:val="442" w:hRule="atLeast"/>
          <w:jc w:val="center"/>
        </w:trPr>
        <w:tc>
          <w:tcPr>
            <w:tcW w:w="1765"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2986</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 xml:space="preserve">267,396.00 </w:t>
            </w:r>
            <w:r>
              <w:rPr>
                <w:rFonts w:hint="eastAsia" w:ascii="仿宋_GB2312" w:hAnsi="仿宋_GB2312" w:eastAsia="仿宋_GB2312" w:cs="仿宋_GB2312"/>
                <w:color w:val="000000"/>
                <w:sz w:val="22"/>
                <w:szCs w:val="22"/>
              </w:rPr>
              <w:t>（大写：</w:t>
            </w:r>
            <w:r>
              <w:rPr>
                <w:rFonts w:ascii="仿宋_GB2312" w:hAnsi="仿宋_GB2312" w:eastAsia="仿宋_GB2312" w:cs="仿宋_GB2312"/>
                <w:color w:val="000000"/>
                <w:sz w:val="22"/>
                <w:szCs w:val="22"/>
              </w:rPr>
              <w:fldChar w:fldCharType="begin"/>
            </w:r>
            <w:r>
              <w:rPr>
                <w:rFonts w:ascii="仿宋_GB2312" w:hAnsi="仿宋_GB2312" w:eastAsia="仿宋_GB2312" w:cs="仿宋_GB2312"/>
                <w:color w:val="000000"/>
                <w:sz w:val="22"/>
                <w:szCs w:val="22"/>
              </w:rPr>
              <w:instrText xml:space="preserve"> </w:instrText>
            </w:r>
            <w:r>
              <w:rPr>
                <w:rFonts w:hint="eastAsia" w:ascii="仿宋_GB2312" w:hAnsi="仿宋_GB2312" w:eastAsia="仿宋_GB2312" w:cs="仿宋_GB2312"/>
                <w:color w:val="000000"/>
                <w:sz w:val="22"/>
                <w:szCs w:val="22"/>
              </w:rPr>
              <w:instrText xml:space="preserve">= 267,396.00  \* CHINESENUM2</w:instrText>
            </w:r>
            <w:r>
              <w:rPr>
                <w:rFonts w:ascii="仿宋_GB2312" w:hAnsi="仿宋_GB2312" w:eastAsia="仿宋_GB2312" w:cs="仿宋_GB2312"/>
                <w:color w:val="000000"/>
                <w:sz w:val="22"/>
                <w:szCs w:val="22"/>
              </w:rPr>
              <w:instrText xml:space="preserve"> </w:instrText>
            </w:r>
            <w:r>
              <w:rPr>
                <w:rFonts w:ascii="仿宋_GB2312" w:hAnsi="仿宋_GB2312" w:eastAsia="仿宋_GB2312" w:cs="仿宋_GB2312"/>
                <w:color w:val="000000"/>
                <w:sz w:val="22"/>
                <w:szCs w:val="22"/>
              </w:rPr>
              <w:fldChar w:fldCharType="separate"/>
            </w:r>
            <w:r>
              <w:rPr>
                <w:rFonts w:hint="eastAsia" w:ascii="仿宋_GB2312" w:hAnsi="仿宋_GB2312" w:eastAsia="仿宋_GB2312" w:cs="仿宋_GB2312"/>
                <w:color w:val="000000"/>
                <w:sz w:val="22"/>
                <w:szCs w:val="22"/>
              </w:rPr>
              <w:t>贰拾陆万柒仟叁佰玖拾陆</w:t>
            </w:r>
            <w:r>
              <w:rPr>
                <w:rFonts w:ascii="仿宋_GB2312" w:hAnsi="仿宋_GB2312" w:eastAsia="仿宋_GB2312" w:cs="仿宋_GB2312"/>
                <w:color w:val="000000"/>
                <w:sz w:val="22"/>
                <w:szCs w:val="22"/>
              </w:rPr>
              <w:fldChar w:fldCharType="end"/>
            </w:r>
            <w:r>
              <w:rPr>
                <w:rFonts w:hint="eastAsia" w:ascii="仿宋_GB2312" w:hAnsi="仿宋_GB2312" w:eastAsia="仿宋_GB2312" w:cs="仿宋_GB2312"/>
                <w:color w:val="000000"/>
                <w:sz w:val="22"/>
                <w:szCs w:val="22"/>
              </w:rPr>
              <w:t>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估价对象10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4998</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1,109,856.00 （大写：壹佰壹拾万零玖仟捌佰伍拾陆元整）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估价对象11</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180000</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180,000.00 （大写：壹拾捌万元整）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color w:val="000000"/>
                <w:sz w:val="22"/>
                <w:szCs w:val="22"/>
              </w:rPr>
              <w:t>估价对象12</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8504</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410,148.00 （大写：肆拾壹万零壹佰肆拾捌元整）</w:t>
            </w:r>
          </w:p>
        </w:tc>
      </w:tr>
      <w:tr>
        <w:tblPrEx>
          <w:tblCellMar>
            <w:top w:w="0" w:type="dxa"/>
            <w:left w:w="0" w:type="dxa"/>
            <w:bottom w:w="0" w:type="dxa"/>
            <w:right w:w="0" w:type="dxa"/>
          </w:tblCellMar>
        </w:tblPrEx>
        <w:trPr>
          <w:trHeight w:val="442" w:hRule="atLeast"/>
          <w:jc w:val="center"/>
        </w:trPr>
        <w:tc>
          <w:tcPr>
            <w:tcW w:w="17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总价合计</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b/>
                <w:bCs/>
                <w:sz w:val="22"/>
                <w:szCs w:val="22"/>
                <w:lang w:val="en-US" w:eastAsia="zh-CN"/>
              </w:rPr>
              <w:t>-</w:t>
            </w:r>
          </w:p>
        </w:tc>
        <w:tc>
          <w:tcPr>
            <w:tcW w:w="57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2"/>
                <w:szCs w:val="22"/>
              </w:rPr>
              <w:t>12,509,227.00（大写：</w:t>
            </w:r>
            <w:r>
              <w:rPr>
                <w:rFonts w:ascii="仿宋_GB2312" w:hAnsi="仿宋_GB2312" w:eastAsia="仿宋_GB2312" w:cs="仿宋_GB2312"/>
                <w:b/>
                <w:bCs/>
                <w:color w:val="000000"/>
                <w:sz w:val="22"/>
                <w:szCs w:val="22"/>
              </w:rPr>
              <w:fldChar w:fldCharType="begin"/>
            </w:r>
            <w:r>
              <w:rPr>
                <w:rFonts w:ascii="仿宋_GB2312" w:hAnsi="仿宋_GB2312" w:eastAsia="仿宋_GB2312" w:cs="仿宋_GB2312"/>
                <w:b/>
                <w:bCs/>
                <w:color w:val="000000"/>
                <w:sz w:val="22"/>
                <w:szCs w:val="22"/>
              </w:rPr>
              <w:instrText xml:space="preserve"> </w:instrText>
            </w:r>
            <w:r>
              <w:rPr>
                <w:rFonts w:hint="eastAsia" w:ascii="仿宋_GB2312" w:hAnsi="仿宋_GB2312" w:eastAsia="仿宋_GB2312" w:cs="仿宋_GB2312"/>
                <w:b/>
                <w:bCs/>
                <w:color w:val="000000"/>
                <w:sz w:val="22"/>
                <w:szCs w:val="22"/>
              </w:rPr>
              <w:instrText xml:space="preserve">= 12,509,227.00 \* CHINESENUM2</w:instrText>
            </w:r>
            <w:r>
              <w:rPr>
                <w:rFonts w:ascii="仿宋_GB2312" w:hAnsi="仿宋_GB2312" w:eastAsia="仿宋_GB2312" w:cs="仿宋_GB2312"/>
                <w:b/>
                <w:bCs/>
                <w:color w:val="000000"/>
                <w:sz w:val="22"/>
                <w:szCs w:val="22"/>
              </w:rPr>
              <w:instrText xml:space="preserve"> </w:instrText>
            </w:r>
            <w:r>
              <w:rPr>
                <w:rFonts w:ascii="仿宋_GB2312" w:hAnsi="仿宋_GB2312" w:eastAsia="仿宋_GB2312" w:cs="仿宋_GB2312"/>
                <w:b/>
                <w:bCs/>
                <w:color w:val="000000"/>
                <w:sz w:val="22"/>
                <w:szCs w:val="22"/>
              </w:rPr>
              <w:fldChar w:fldCharType="separate"/>
            </w:r>
            <w:r>
              <w:rPr>
                <w:rFonts w:hint="eastAsia" w:ascii="仿宋_GB2312" w:hAnsi="仿宋_GB2312" w:eastAsia="仿宋_GB2312" w:cs="仿宋_GB2312"/>
                <w:b/>
                <w:bCs/>
                <w:color w:val="000000"/>
                <w:sz w:val="22"/>
                <w:szCs w:val="22"/>
              </w:rPr>
              <w:t>壹仟贰佰伍拾万零玖仟贰佰贰拾柒</w:t>
            </w:r>
            <w:r>
              <w:rPr>
                <w:rFonts w:ascii="仿宋_GB2312" w:hAnsi="仿宋_GB2312" w:eastAsia="仿宋_GB2312" w:cs="仿宋_GB2312"/>
                <w:b/>
                <w:bCs/>
                <w:color w:val="000000"/>
                <w:sz w:val="22"/>
                <w:szCs w:val="22"/>
              </w:rPr>
              <w:fldChar w:fldCharType="end"/>
            </w:r>
            <w:r>
              <w:rPr>
                <w:rFonts w:hint="eastAsia" w:ascii="仿宋_GB2312" w:hAnsi="仿宋_GB2312" w:eastAsia="仿宋_GB2312" w:cs="仿宋_GB2312"/>
                <w:b/>
                <w:bCs/>
                <w:color w:val="000000"/>
                <w:sz w:val="22"/>
                <w:szCs w:val="22"/>
              </w:rPr>
              <w:t>元整）</w:t>
            </w:r>
          </w:p>
        </w:tc>
      </w:tr>
    </w:tbl>
    <w:p>
      <w:pPr>
        <w:pStyle w:val="2"/>
      </w:pPr>
    </w:p>
    <w:p>
      <w:pPr>
        <w:widowControl/>
        <w:tabs>
          <w:tab w:val="left" w:pos="1050"/>
        </w:tabs>
        <w:spacing w:before="50" w:line="480" w:lineRule="exact"/>
        <w:ind w:firstLine="560" w:firstLineChars="200"/>
        <w:rPr>
          <w:rFonts w:ascii="仿宋_GB2312" w:eastAsia="仿宋_GB2312"/>
          <w:sz w:val="28"/>
          <w:szCs w:val="28"/>
        </w:rPr>
      </w:pPr>
      <w:bookmarkStart w:id="59" w:name="_Toc459636673"/>
      <w:bookmarkStart w:id="60" w:name="_Toc441672577"/>
      <w:bookmarkStart w:id="61" w:name="_Toc450144020"/>
      <w:bookmarkStart w:id="62" w:name="_Toc425923122"/>
      <w:bookmarkStart w:id="63" w:name="_Toc439778321"/>
      <w:bookmarkStart w:id="64" w:name="_Toc439777977"/>
      <w:bookmarkStart w:id="65" w:name="_Toc461110402"/>
      <w:bookmarkStart w:id="66" w:name="_Toc439946076"/>
      <w:r>
        <w:rPr>
          <w:rFonts w:hint="eastAsia" w:ascii="仿宋_GB2312" w:eastAsia="仿宋_GB2312"/>
          <w:sz w:val="28"/>
          <w:szCs w:val="28"/>
        </w:rPr>
        <w:t>2、估价对象在价值时点拍卖或者变现最可能实现的价格与评估的市场价值的差异程度、变现时间长短分析：</w:t>
      </w:r>
    </w:p>
    <w:p>
      <w:pPr>
        <w:widowControl/>
        <w:tabs>
          <w:tab w:val="left" w:pos="1050"/>
        </w:tabs>
        <w:spacing w:before="50" w:line="480" w:lineRule="exact"/>
        <w:ind w:firstLine="560" w:firstLineChars="200"/>
      </w:pPr>
      <w:r>
        <w:rPr>
          <w:rFonts w:hint="eastAsia" w:ascii="仿宋_GB2312" w:eastAsia="仿宋_GB2312"/>
          <w:sz w:val="28"/>
          <w:szCs w:val="28"/>
        </w:rPr>
        <w:t>拍卖或者变现处置房地产时，其变现的时间长短以及费用、税金的种类、数额和清偿顺序与处置方式和营销策略等因素有关。一般说来，如果资产处置方采用公开市场条件下的变现方式，由于受到房地产相关政策、市场需求状况、资产规模、具体交易方式、买卖双方心理因素等的影响，变现时间通常随行就市；以拍卖方式处置房地产时，变现时间较短，变现价格一般较低，变现成本较高。根据变现方式不同，可能实现的变现价值一般会比评估市场价值低20%-40%。</w:t>
      </w:r>
      <w:bookmarkStart w:id="67" w:name="_Toc7917"/>
    </w:p>
    <w:p>
      <w:pPr>
        <w:pStyle w:val="6"/>
        <w:numPr>
          <w:ilvl w:val="0"/>
          <w:numId w:val="9"/>
        </w:numPr>
        <w:spacing w:before="0" w:line="360" w:lineRule="auto"/>
        <w:ind w:firstLine="565" w:firstLineChars="201"/>
        <w:outlineLvl w:val="1"/>
        <w:rPr>
          <w:b/>
          <w:szCs w:val="22"/>
        </w:rPr>
      </w:pPr>
      <w:bookmarkStart w:id="68" w:name="_Toc22021"/>
      <w:r>
        <w:rPr>
          <w:rFonts w:hint="eastAsia"/>
          <w:b/>
          <w:szCs w:val="22"/>
        </w:rPr>
        <w:t>注册房地产估价师</w:t>
      </w:r>
      <w:bookmarkEnd w:id="67"/>
      <w:bookmarkEnd w:id="68"/>
    </w:p>
    <w:bookmarkEnd w:id="59"/>
    <w:bookmarkEnd w:id="60"/>
    <w:bookmarkEnd w:id="61"/>
    <w:bookmarkEnd w:id="62"/>
    <w:bookmarkEnd w:id="63"/>
    <w:bookmarkEnd w:id="64"/>
    <w:bookmarkEnd w:id="65"/>
    <w:bookmarkEnd w:id="66"/>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2073"/>
        <w:gridCol w:w="2899"/>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jc w:val="center"/>
        </w:trPr>
        <w:tc>
          <w:tcPr>
            <w:tcW w:w="914" w:type="pct"/>
          </w:tcPr>
          <w:p>
            <w:pPr>
              <w:pStyle w:val="116"/>
              <w:spacing w:before="50" w:line="360" w:lineRule="auto"/>
              <w:ind w:firstLine="0" w:firstLineChars="0"/>
              <w:jc w:val="center"/>
              <w:rPr>
                <w:rFonts w:ascii="仿宋_GB2312" w:hAnsi="仿宋" w:eastAsia="仿宋_GB2312"/>
                <w:kern w:val="2"/>
                <w:sz w:val="24"/>
                <w:szCs w:val="24"/>
              </w:rPr>
            </w:pPr>
            <w:bookmarkStart w:id="69" w:name="_Toc7008"/>
            <w:r>
              <w:rPr>
                <w:rFonts w:hint="eastAsia" w:ascii="仿宋_GB2312" w:hAnsi="仿宋" w:eastAsia="仿宋_GB2312"/>
                <w:kern w:val="2"/>
                <w:sz w:val="24"/>
                <w:szCs w:val="24"/>
              </w:rPr>
              <w:t>姓 名</w:t>
            </w:r>
          </w:p>
        </w:tc>
        <w:tc>
          <w:tcPr>
            <w:tcW w:w="1134" w:type="pct"/>
          </w:tcPr>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注册号</w:t>
            </w:r>
          </w:p>
        </w:tc>
        <w:tc>
          <w:tcPr>
            <w:tcW w:w="1586" w:type="pct"/>
          </w:tcPr>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签 名及签 章</w:t>
            </w:r>
          </w:p>
        </w:tc>
        <w:tc>
          <w:tcPr>
            <w:tcW w:w="1367" w:type="pct"/>
          </w:tcPr>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jc w:val="center"/>
        </w:trPr>
        <w:tc>
          <w:tcPr>
            <w:tcW w:w="914" w:type="pct"/>
            <w:vAlign w:val="center"/>
          </w:tcPr>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高阳</w:t>
            </w:r>
          </w:p>
        </w:tc>
        <w:tc>
          <w:tcPr>
            <w:tcW w:w="1134" w:type="pct"/>
            <w:vAlign w:val="center"/>
          </w:tcPr>
          <w:p>
            <w:pPr>
              <w:pStyle w:val="116"/>
              <w:spacing w:before="50" w:line="360" w:lineRule="auto"/>
              <w:ind w:firstLine="0" w:firstLineChars="0"/>
              <w:jc w:val="center"/>
              <w:rPr>
                <w:rFonts w:ascii="仿宋_GB2312" w:hAnsi="仿宋" w:eastAsia="仿宋_GB2312"/>
                <w:kern w:val="2"/>
                <w:sz w:val="24"/>
                <w:szCs w:val="24"/>
              </w:rPr>
            </w:pPr>
          </w:p>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5320190010</w:t>
            </w:r>
          </w:p>
          <w:p>
            <w:pPr>
              <w:pStyle w:val="116"/>
              <w:spacing w:before="50" w:line="360" w:lineRule="auto"/>
              <w:ind w:firstLine="0" w:firstLineChars="0"/>
              <w:jc w:val="center"/>
              <w:rPr>
                <w:rFonts w:ascii="仿宋_GB2312" w:hAnsi="仿宋" w:eastAsia="仿宋_GB2312"/>
                <w:kern w:val="2"/>
                <w:sz w:val="24"/>
                <w:szCs w:val="24"/>
              </w:rPr>
            </w:pPr>
          </w:p>
        </w:tc>
        <w:tc>
          <w:tcPr>
            <w:tcW w:w="1586" w:type="pct"/>
          </w:tcPr>
          <w:p>
            <w:pPr>
              <w:pStyle w:val="116"/>
              <w:spacing w:before="50" w:line="360" w:lineRule="auto"/>
              <w:ind w:firstLine="480"/>
              <w:jc w:val="center"/>
              <w:rPr>
                <w:rFonts w:ascii="仿宋_GB2312" w:hAnsi="仿宋" w:eastAsia="仿宋_GB2312"/>
                <w:kern w:val="2"/>
                <w:sz w:val="24"/>
                <w:szCs w:val="24"/>
              </w:rPr>
            </w:pPr>
          </w:p>
          <w:p>
            <w:pPr>
              <w:pStyle w:val="116"/>
              <w:spacing w:before="50" w:line="360" w:lineRule="auto"/>
              <w:ind w:firstLine="480"/>
              <w:jc w:val="center"/>
              <w:rPr>
                <w:rFonts w:ascii="仿宋_GB2312" w:hAnsi="仿宋" w:eastAsia="仿宋_GB2312"/>
                <w:kern w:val="2"/>
                <w:sz w:val="24"/>
                <w:szCs w:val="24"/>
              </w:rPr>
            </w:pPr>
          </w:p>
          <w:p>
            <w:pPr>
              <w:pStyle w:val="116"/>
              <w:spacing w:before="50" w:line="360" w:lineRule="auto"/>
              <w:ind w:firstLine="0" w:firstLineChars="0"/>
              <w:rPr>
                <w:rFonts w:ascii="仿宋_GB2312" w:hAnsi="仿宋" w:eastAsia="仿宋_GB2312"/>
                <w:kern w:val="2"/>
                <w:sz w:val="24"/>
                <w:szCs w:val="24"/>
              </w:rPr>
            </w:pPr>
          </w:p>
        </w:tc>
        <w:tc>
          <w:tcPr>
            <w:tcW w:w="1367" w:type="pct"/>
          </w:tcPr>
          <w:p>
            <w:pPr>
              <w:pStyle w:val="116"/>
              <w:spacing w:before="50" w:line="360" w:lineRule="auto"/>
              <w:ind w:firstLine="480"/>
              <w:jc w:val="center"/>
              <w:rPr>
                <w:rFonts w:ascii="仿宋_GB2312" w:hAnsi="仿宋" w:eastAsia="仿宋_GB2312"/>
                <w:kern w:val="2"/>
                <w:sz w:val="24"/>
                <w:szCs w:val="24"/>
              </w:rPr>
            </w:pPr>
          </w:p>
          <w:p>
            <w:pPr>
              <w:pStyle w:val="116"/>
              <w:spacing w:before="50" w:line="360" w:lineRule="auto"/>
              <w:ind w:firstLine="0" w:firstLineChars="0"/>
              <w:rPr>
                <w:rFonts w:ascii="仿宋_GB2312" w:hAnsi="仿宋" w:eastAsia="仿宋_GB2312"/>
                <w:kern w:val="2"/>
                <w:sz w:val="24"/>
                <w:szCs w:val="24"/>
              </w:rPr>
            </w:pPr>
          </w:p>
          <w:p>
            <w:pPr>
              <w:pStyle w:val="116"/>
              <w:spacing w:before="50" w:line="360" w:lineRule="auto"/>
              <w:ind w:firstLine="720" w:firstLineChars="300"/>
              <w:rPr>
                <w:rFonts w:ascii="仿宋_GB2312" w:hAnsi="仿宋" w:eastAsia="仿宋_GB2312"/>
                <w:kern w:val="2"/>
                <w:sz w:val="24"/>
                <w:szCs w:val="24"/>
              </w:rPr>
            </w:pPr>
            <w:r>
              <w:rPr>
                <w:rFonts w:hint="eastAsia" w:ascii="仿宋_GB2312" w:hAnsi="仿宋" w:eastAsia="仿宋_GB2312"/>
                <w:kern w:val="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jc w:val="center"/>
        </w:trPr>
        <w:tc>
          <w:tcPr>
            <w:tcW w:w="914" w:type="pct"/>
          </w:tcPr>
          <w:p>
            <w:pPr>
              <w:pStyle w:val="116"/>
              <w:spacing w:before="50" w:line="360" w:lineRule="auto"/>
              <w:ind w:firstLine="0" w:firstLineChars="0"/>
              <w:jc w:val="center"/>
              <w:rPr>
                <w:rFonts w:ascii="仿宋_GB2312" w:hAnsi="仿宋" w:eastAsia="仿宋_GB2312"/>
                <w:kern w:val="2"/>
                <w:sz w:val="24"/>
                <w:szCs w:val="24"/>
              </w:rPr>
            </w:pPr>
          </w:p>
          <w:p>
            <w:pPr>
              <w:pStyle w:val="116"/>
              <w:spacing w:before="50" w:line="360" w:lineRule="auto"/>
              <w:ind w:firstLine="0" w:firstLineChars="0"/>
              <w:jc w:val="center"/>
              <w:rPr>
                <w:rFonts w:ascii="仿宋_GB2312" w:hAnsi="仿宋" w:eastAsia="仿宋_GB2312"/>
                <w:kern w:val="2"/>
                <w:sz w:val="24"/>
                <w:szCs w:val="24"/>
              </w:rPr>
            </w:pPr>
          </w:p>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 xml:space="preserve">董保佐 </w:t>
            </w:r>
          </w:p>
        </w:tc>
        <w:tc>
          <w:tcPr>
            <w:tcW w:w="1134" w:type="pct"/>
          </w:tcPr>
          <w:p>
            <w:pPr>
              <w:pStyle w:val="116"/>
              <w:spacing w:before="50" w:line="360" w:lineRule="auto"/>
              <w:ind w:firstLine="0" w:firstLineChars="0"/>
              <w:jc w:val="center"/>
              <w:rPr>
                <w:rFonts w:ascii="仿宋_GB2312" w:hAnsi="仿宋" w:eastAsia="仿宋_GB2312"/>
                <w:kern w:val="2"/>
                <w:sz w:val="24"/>
                <w:szCs w:val="24"/>
              </w:rPr>
            </w:pPr>
          </w:p>
          <w:p>
            <w:pPr>
              <w:pStyle w:val="116"/>
              <w:spacing w:before="50" w:line="360" w:lineRule="auto"/>
              <w:ind w:firstLine="0" w:firstLineChars="0"/>
              <w:jc w:val="center"/>
              <w:rPr>
                <w:rFonts w:ascii="仿宋_GB2312" w:hAnsi="仿宋" w:eastAsia="仿宋_GB2312"/>
                <w:kern w:val="2"/>
                <w:sz w:val="24"/>
                <w:szCs w:val="24"/>
              </w:rPr>
            </w:pPr>
          </w:p>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 xml:space="preserve">  5320210029</w:t>
            </w:r>
          </w:p>
        </w:tc>
        <w:tc>
          <w:tcPr>
            <w:tcW w:w="1586" w:type="pct"/>
            <w:vAlign w:val="center"/>
          </w:tcPr>
          <w:p>
            <w:pPr>
              <w:pStyle w:val="116"/>
              <w:spacing w:before="50" w:line="360" w:lineRule="auto"/>
              <w:ind w:firstLine="0" w:firstLineChars="0"/>
              <w:jc w:val="center"/>
              <w:rPr>
                <w:rFonts w:ascii="仿宋_GB2312" w:hAnsi="仿宋" w:eastAsia="仿宋_GB2312"/>
                <w:kern w:val="2"/>
                <w:sz w:val="24"/>
                <w:szCs w:val="24"/>
              </w:rPr>
            </w:pPr>
          </w:p>
        </w:tc>
        <w:tc>
          <w:tcPr>
            <w:tcW w:w="1367" w:type="pct"/>
            <w:vAlign w:val="center"/>
          </w:tcPr>
          <w:p>
            <w:pPr>
              <w:pStyle w:val="116"/>
              <w:spacing w:before="50" w:line="360" w:lineRule="auto"/>
              <w:ind w:firstLine="0" w:firstLineChars="0"/>
              <w:jc w:val="center"/>
              <w:rPr>
                <w:rFonts w:ascii="仿宋_GB2312" w:hAnsi="仿宋" w:eastAsia="仿宋_GB2312"/>
                <w:kern w:val="2"/>
                <w:sz w:val="24"/>
                <w:szCs w:val="24"/>
              </w:rPr>
            </w:pPr>
          </w:p>
          <w:p>
            <w:pPr>
              <w:pStyle w:val="116"/>
              <w:spacing w:before="50" w:line="360" w:lineRule="auto"/>
              <w:ind w:firstLine="0" w:firstLineChars="0"/>
              <w:jc w:val="center"/>
              <w:rPr>
                <w:rFonts w:ascii="仿宋_GB2312" w:hAnsi="仿宋" w:eastAsia="仿宋_GB2312"/>
                <w:kern w:val="2"/>
                <w:sz w:val="24"/>
                <w:szCs w:val="24"/>
              </w:rPr>
            </w:pPr>
            <w:r>
              <w:rPr>
                <w:rFonts w:hint="eastAsia" w:ascii="仿宋_GB2312" w:hAnsi="仿宋" w:eastAsia="仿宋_GB2312"/>
                <w:kern w:val="2"/>
                <w:sz w:val="24"/>
                <w:szCs w:val="24"/>
              </w:rPr>
              <w:t>年   月   日</w:t>
            </w:r>
          </w:p>
        </w:tc>
      </w:tr>
    </w:tbl>
    <w:p>
      <w:pPr>
        <w:pStyle w:val="6"/>
        <w:spacing w:beforeLines="50" w:line="360" w:lineRule="auto"/>
        <w:ind w:firstLine="565" w:firstLineChars="201"/>
        <w:outlineLvl w:val="1"/>
        <w:rPr>
          <w:b/>
        </w:rPr>
      </w:pPr>
      <w:bookmarkStart w:id="70" w:name="_Toc13719"/>
      <w:r>
        <w:rPr>
          <w:rFonts w:hint="eastAsia"/>
          <w:b/>
        </w:rPr>
        <w:t>十二、实地查勘期</w:t>
      </w:r>
      <w:bookmarkEnd w:id="69"/>
      <w:bookmarkEnd w:id="70"/>
    </w:p>
    <w:p>
      <w:pPr>
        <w:pStyle w:val="71"/>
        <w:snapToGrid w:val="0"/>
        <w:ind w:firstLine="560" w:firstLineChars="200"/>
        <w:rPr>
          <w:rFonts w:ascii="仿宋_GB2312" w:eastAsia="仿宋_GB2312"/>
          <w:szCs w:val="28"/>
        </w:rPr>
      </w:pPr>
      <w:bookmarkStart w:id="71" w:name="_Toc507502041"/>
      <w:bookmarkStart w:id="72" w:name="_Toc512333436"/>
      <w:bookmarkStart w:id="73" w:name="_Toc502157355"/>
      <w:bookmarkStart w:id="74" w:name="_Toc502071088"/>
      <w:bookmarkStart w:id="75" w:name="_Toc502076649"/>
      <w:bookmarkStart w:id="76" w:name="_Toc507944466"/>
      <w:bookmarkStart w:id="77" w:name="_Toc507518276"/>
      <w:r>
        <w:rPr>
          <w:rFonts w:hint="eastAsia" w:ascii="仿宋_GB2312" w:hAnsi="仿宋_GB2312" w:eastAsia="仿宋_GB2312" w:cs="仿宋_GB2312"/>
          <w:szCs w:val="28"/>
        </w:rPr>
        <w:t>本次评估实地查勘期为二○二一年十二月十六日</w:t>
      </w:r>
      <w:r>
        <w:rPr>
          <w:rFonts w:hint="eastAsia" w:ascii="仿宋_GB2312" w:eastAsia="仿宋_GB2312"/>
          <w:szCs w:val="28"/>
        </w:rPr>
        <w:t>。</w:t>
      </w:r>
      <w:bookmarkEnd w:id="71"/>
      <w:bookmarkEnd w:id="72"/>
      <w:bookmarkEnd w:id="73"/>
      <w:bookmarkEnd w:id="74"/>
      <w:bookmarkEnd w:id="75"/>
      <w:bookmarkEnd w:id="76"/>
      <w:bookmarkEnd w:id="77"/>
    </w:p>
    <w:p>
      <w:pPr>
        <w:pStyle w:val="6"/>
        <w:spacing w:before="0" w:line="360" w:lineRule="auto"/>
        <w:ind w:firstLine="565" w:firstLineChars="201"/>
        <w:outlineLvl w:val="1"/>
        <w:rPr>
          <w:b/>
        </w:rPr>
      </w:pPr>
      <w:bookmarkStart w:id="78" w:name="_Toc7041"/>
      <w:bookmarkStart w:id="79" w:name="_Toc28374"/>
      <w:r>
        <w:rPr>
          <w:rFonts w:hint="eastAsia"/>
          <w:b/>
        </w:rPr>
        <w:t>十三、估价作业日期</w:t>
      </w:r>
      <w:bookmarkEnd w:id="78"/>
      <w:bookmarkEnd w:id="79"/>
    </w:p>
    <w:p>
      <w:pPr>
        <w:pStyle w:val="71"/>
        <w:snapToGrid w:val="0"/>
        <w:ind w:firstLine="560" w:firstLineChars="200"/>
        <w:rPr>
          <w:rFonts w:ascii="仿宋_GB2312" w:hAnsi="仿宋_GB2312" w:eastAsia="仿宋_GB2312" w:cs="仿宋_GB2312"/>
          <w:szCs w:val="28"/>
        </w:rPr>
      </w:pPr>
      <w:bookmarkStart w:id="80" w:name="_Toc507944468"/>
      <w:bookmarkStart w:id="81" w:name="_Toc502157357"/>
      <w:bookmarkStart w:id="82" w:name="_Toc507502043"/>
      <w:bookmarkStart w:id="83" w:name="_Toc502076651"/>
      <w:bookmarkStart w:id="84" w:name="_Toc507518278"/>
      <w:bookmarkStart w:id="85" w:name="_Toc502071090"/>
      <w:bookmarkStart w:id="86" w:name="_Toc512333438"/>
      <w:r>
        <w:rPr>
          <w:rFonts w:hint="eastAsia" w:ascii="仿宋_GB2312" w:hAnsi="仿宋_GB2312" w:eastAsia="仿宋_GB2312" w:cs="仿宋_GB2312"/>
          <w:szCs w:val="28"/>
        </w:rPr>
        <w:t>本次估价作业日期为二○二一年十二月十六日至</w:t>
      </w:r>
      <w:bookmarkEnd w:id="80"/>
      <w:bookmarkEnd w:id="81"/>
      <w:bookmarkEnd w:id="82"/>
      <w:bookmarkEnd w:id="83"/>
      <w:bookmarkEnd w:id="84"/>
      <w:bookmarkEnd w:id="85"/>
      <w:bookmarkEnd w:id="86"/>
      <w:r>
        <w:rPr>
          <w:rFonts w:hint="eastAsia" w:ascii="仿宋_GB2312" w:hAnsi="仿宋_GB2312" w:eastAsia="仿宋_GB2312" w:cs="仿宋_GB2312"/>
          <w:szCs w:val="28"/>
        </w:rPr>
        <w:t>二</w:t>
      </w:r>
      <w:r>
        <w:rPr>
          <w:rFonts w:hint="eastAsia" w:ascii="宋体" w:hAnsi="宋体" w:cs="宋体"/>
          <w:szCs w:val="28"/>
        </w:rPr>
        <w:t>〇</w:t>
      </w:r>
      <w:r>
        <w:rPr>
          <w:rFonts w:hint="eastAsia" w:ascii="仿宋_GB2312" w:hAnsi="仿宋_GB2312" w:eastAsia="仿宋_GB2312" w:cs="仿宋_GB2312"/>
          <w:szCs w:val="28"/>
        </w:rPr>
        <w:t>二一年十二月三十日。</w:t>
      </w:r>
    </w:p>
    <w:p>
      <w:pPr>
        <w:pStyle w:val="6"/>
        <w:spacing w:before="0" w:line="360" w:lineRule="auto"/>
        <w:ind w:firstLine="565" w:firstLineChars="201"/>
        <w:outlineLvl w:val="1"/>
        <w:rPr>
          <w:rFonts w:hAnsi="仿宋_GB2312" w:cs="仿宋_GB2312"/>
          <w:b/>
        </w:rPr>
      </w:pPr>
      <w:bookmarkStart w:id="87" w:name="_Toc18280"/>
      <w:bookmarkStart w:id="88" w:name="_Toc2206"/>
      <w:r>
        <w:rPr>
          <w:rFonts w:hint="eastAsia"/>
          <w:b/>
        </w:rPr>
        <w:t>十四、估价报告使用期限</w:t>
      </w:r>
      <w:bookmarkEnd w:id="87"/>
      <w:bookmarkEnd w:id="88"/>
    </w:p>
    <w:p>
      <w:pPr>
        <w:pStyle w:val="71"/>
        <w:snapToGrid w:val="0"/>
        <w:ind w:firstLine="560" w:firstLineChars="200"/>
        <w:rPr>
          <w:rFonts w:ascii="仿宋_GB2312" w:eastAsia="仿宋_GB2312"/>
          <w:szCs w:val="28"/>
        </w:rPr>
      </w:pPr>
      <w:bookmarkStart w:id="89" w:name="_Toc502157359"/>
      <w:bookmarkStart w:id="90" w:name="_Toc507518280"/>
      <w:bookmarkStart w:id="91" w:name="_Toc507502045"/>
      <w:bookmarkStart w:id="92" w:name="_Toc507944470"/>
      <w:bookmarkStart w:id="93" w:name="_Toc502076653"/>
      <w:bookmarkStart w:id="94" w:name="_Toc512333440"/>
      <w:r>
        <w:rPr>
          <w:rFonts w:hint="eastAsia" w:ascii="仿宋_GB2312" w:hAnsi="仿宋_GB2312" w:eastAsia="仿宋_GB2312" w:cs="仿宋_GB2312"/>
          <w:szCs w:val="28"/>
        </w:rPr>
        <w:t>估价报告使用期限自出具之日起计算一年。即自2021年12月30日至2022年12月29日。如超过有效期，</w:t>
      </w:r>
      <w:r>
        <w:rPr>
          <w:rFonts w:hint="eastAsia" w:ascii="仿宋_GB2312" w:eastAsia="仿宋_GB2312"/>
          <w:szCs w:val="28"/>
        </w:rPr>
        <w:t>估价对象或国家经济形势、城市规划、房地产税收政策等发生变化，对估价结果产生明显影响时，委托方和报告使用人应及时聘请房地产估价机构对估价结果作相应调整或重新估价。</w:t>
      </w:r>
      <w:bookmarkEnd w:id="3"/>
      <w:bookmarkEnd w:id="4"/>
      <w:bookmarkEnd w:id="53"/>
      <w:bookmarkEnd w:id="54"/>
      <w:bookmarkEnd w:id="55"/>
      <w:bookmarkEnd w:id="56"/>
      <w:bookmarkEnd w:id="89"/>
      <w:bookmarkEnd w:id="90"/>
      <w:bookmarkEnd w:id="91"/>
      <w:bookmarkEnd w:id="92"/>
      <w:bookmarkEnd w:id="93"/>
      <w:bookmarkEnd w:id="94"/>
      <w:bookmarkStart w:id="95" w:name="_Toc416340702"/>
      <w:bookmarkStart w:id="96" w:name="_Toc527920374"/>
      <w:bookmarkStart w:id="97" w:name="_Toc20216"/>
      <w:bookmarkStart w:id="98" w:name="_Toc282782349"/>
      <w:bookmarkStart w:id="99" w:name="_Toc416354300"/>
      <w:bookmarkStart w:id="100" w:name="_Toc416337217"/>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p>
      <w:pPr>
        <w:pStyle w:val="71"/>
        <w:snapToGrid w:val="0"/>
        <w:ind w:firstLine="0"/>
        <w:rPr>
          <w:rFonts w:ascii="仿宋_GB2312" w:eastAsia="仿宋_GB2312"/>
          <w:szCs w:val="28"/>
        </w:rPr>
      </w:pPr>
    </w:p>
    <w:bookmarkEnd w:id="95"/>
    <w:bookmarkEnd w:id="96"/>
    <w:bookmarkEnd w:id="97"/>
    <w:bookmarkEnd w:id="98"/>
    <w:bookmarkEnd w:id="99"/>
    <w:bookmarkEnd w:id="100"/>
    <w:p>
      <w:pPr>
        <w:pStyle w:val="4"/>
        <w:numPr>
          <w:ilvl w:val="0"/>
          <w:numId w:val="0"/>
        </w:numPr>
        <w:spacing w:before="0" w:line="360" w:lineRule="auto"/>
        <w:ind w:right="0"/>
        <w:jc w:val="center"/>
        <w:rPr>
          <w:rStyle w:val="176"/>
          <w:b/>
          <w:kern w:val="0"/>
          <w:sz w:val="36"/>
          <w:szCs w:val="36"/>
        </w:rPr>
      </w:pPr>
      <w:bookmarkStart w:id="101" w:name="_Toc19505"/>
      <w:bookmarkStart w:id="102" w:name="_Toc15545"/>
      <w:r>
        <w:rPr>
          <w:rFonts w:hint="eastAsia" w:ascii="仿宋_GB2312" w:eastAsia="仿宋_GB2312"/>
          <w:b/>
          <w:sz w:val="36"/>
          <w:szCs w:val="36"/>
        </w:rPr>
        <w:t>附 件</w:t>
      </w:r>
      <w:bookmarkEnd w:id="101"/>
      <w:bookmarkEnd w:id="102"/>
    </w:p>
    <w:p>
      <w:pPr>
        <w:pStyle w:val="5"/>
        <w:numPr>
          <w:ilvl w:val="0"/>
          <w:numId w:val="0"/>
        </w:numPr>
        <w:ind w:left="644"/>
        <w:rPr>
          <w:rStyle w:val="176"/>
          <w:szCs w:val="22"/>
        </w:rPr>
      </w:pPr>
      <w:bookmarkStart w:id="103" w:name="_Toc17360"/>
      <w:bookmarkStart w:id="104" w:name="_Toc8"/>
      <w:r>
        <w:rPr>
          <w:rStyle w:val="176"/>
          <w:rFonts w:hint="eastAsia"/>
          <w:szCs w:val="22"/>
        </w:rPr>
        <w:t>1、委估房屋位置示意图；</w:t>
      </w:r>
      <w:bookmarkEnd w:id="103"/>
      <w:bookmarkEnd w:id="104"/>
    </w:p>
    <w:p>
      <w:pPr>
        <w:pStyle w:val="5"/>
        <w:numPr>
          <w:ilvl w:val="0"/>
          <w:numId w:val="0"/>
        </w:numPr>
        <w:ind w:left="644"/>
        <w:rPr>
          <w:rStyle w:val="176"/>
          <w:szCs w:val="22"/>
        </w:rPr>
      </w:pPr>
      <w:bookmarkStart w:id="105" w:name="_Toc5343"/>
      <w:bookmarkStart w:id="106" w:name="_Toc11096"/>
      <w:r>
        <w:rPr>
          <w:rStyle w:val="176"/>
          <w:rFonts w:hint="eastAsia"/>
          <w:szCs w:val="22"/>
        </w:rPr>
        <w:t>2、委估房屋现场勘查图；</w:t>
      </w:r>
      <w:bookmarkEnd w:id="105"/>
      <w:bookmarkEnd w:id="106"/>
    </w:p>
    <w:p>
      <w:pPr>
        <w:pStyle w:val="5"/>
        <w:numPr>
          <w:ilvl w:val="0"/>
          <w:numId w:val="0"/>
        </w:numPr>
        <w:ind w:left="644"/>
        <w:rPr>
          <w:rStyle w:val="176"/>
          <w:szCs w:val="22"/>
        </w:rPr>
      </w:pPr>
      <w:bookmarkStart w:id="107" w:name="_Toc498677172"/>
      <w:bookmarkStart w:id="108" w:name="_Toc4549"/>
      <w:bookmarkStart w:id="109" w:name="_Toc8308"/>
      <w:r>
        <w:rPr>
          <w:rStyle w:val="176"/>
          <w:rFonts w:hint="eastAsia"/>
          <w:szCs w:val="22"/>
        </w:rPr>
        <w:t>3、</w:t>
      </w:r>
      <w:bookmarkEnd w:id="107"/>
      <w:r>
        <w:rPr>
          <w:rStyle w:val="176"/>
          <w:rFonts w:hint="eastAsia"/>
          <w:szCs w:val="22"/>
        </w:rPr>
        <w:t>委托书复印件；</w:t>
      </w:r>
      <w:bookmarkEnd w:id="108"/>
      <w:bookmarkEnd w:id="109"/>
    </w:p>
    <w:p>
      <w:pPr>
        <w:pStyle w:val="5"/>
        <w:numPr>
          <w:ilvl w:val="0"/>
          <w:numId w:val="0"/>
        </w:numPr>
        <w:ind w:left="644"/>
        <w:rPr>
          <w:rStyle w:val="176"/>
          <w:szCs w:val="22"/>
        </w:rPr>
      </w:pPr>
      <w:bookmarkStart w:id="110" w:name="_Toc19930"/>
      <w:bookmarkStart w:id="111" w:name="_Toc6394"/>
      <w:r>
        <w:rPr>
          <w:rStyle w:val="176"/>
          <w:rFonts w:hint="eastAsia"/>
          <w:szCs w:val="22"/>
        </w:rPr>
        <w:t>4、</w:t>
      </w:r>
      <w:r>
        <w:rPr>
          <w:rStyle w:val="176"/>
          <w:rFonts w:hint="eastAsia"/>
        </w:rPr>
        <w:t>估价对象权属证明复印件</w:t>
      </w:r>
      <w:r>
        <w:rPr>
          <w:rStyle w:val="176"/>
          <w:rFonts w:hint="eastAsia"/>
          <w:szCs w:val="22"/>
        </w:rPr>
        <w:t>；</w:t>
      </w:r>
      <w:bookmarkEnd w:id="110"/>
    </w:p>
    <w:p>
      <w:pPr>
        <w:pStyle w:val="5"/>
        <w:numPr>
          <w:ilvl w:val="0"/>
          <w:numId w:val="0"/>
        </w:numPr>
        <w:ind w:left="644"/>
        <w:rPr>
          <w:rStyle w:val="176"/>
          <w:szCs w:val="22"/>
        </w:rPr>
      </w:pPr>
      <w:bookmarkStart w:id="112" w:name="_Toc2535"/>
      <w:r>
        <w:rPr>
          <w:rStyle w:val="176"/>
          <w:rFonts w:hint="eastAsia"/>
          <w:szCs w:val="22"/>
        </w:rPr>
        <w:t>5、房地产估价机构企业法人营业执照复印件；</w:t>
      </w:r>
      <w:bookmarkEnd w:id="111"/>
      <w:bookmarkEnd w:id="112"/>
    </w:p>
    <w:p>
      <w:pPr>
        <w:pStyle w:val="5"/>
        <w:numPr>
          <w:ilvl w:val="0"/>
          <w:numId w:val="0"/>
        </w:numPr>
        <w:ind w:left="644"/>
        <w:rPr>
          <w:rStyle w:val="176"/>
          <w:szCs w:val="22"/>
        </w:rPr>
      </w:pPr>
      <w:bookmarkStart w:id="113" w:name="_Toc8225"/>
      <w:bookmarkStart w:id="114" w:name="_Toc10993"/>
      <w:r>
        <w:rPr>
          <w:rStyle w:val="176"/>
          <w:rFonts w:hint="eastAsia"/>
          <w:szCs w:val="22"/>
        </w:rPr>
        <w:t>6、房地产估价机构资质证书复印件；</w:t>
      </w:r>
      <w:bookmarkEnd w:id="113"/>
      <w:bookmarkEnd w:id="114"/>
    </w:p>
    <w:p>
      <w:pPr>
        <w:pStyle w:val="5"/>
        <w:numPr>
          <w:ilvl w:val="0"/>
          <w:numId w:val="0"/>
        </w:numPr>
        <w:ind w:left="644"/>
        <w:rPr>
          <w:rFonts w:ascii="仿宋_GB2312"/>
        </w:rPr>
      </w:pPr>
      <w:bookmarkStart w:id="115" w:name="_Toc2931"/>
      <w:bookmarkStart w:id="116" w:name="_Toc8818"/>
      <w:r>
        <w:rPr>
          <w:rStyle w:val="176"/>
          <w:rFonts w:hint="eastAsia"/>
          <w:szCs w:val="22"/>
        </w:rPr>
        <w:t>7、注册房地产估价师注册证书复印件。</w:t>
      </w:r>
      <w:bookmarkEnd w:id="115"/>
      <w:bookmarkEnd w:id="116"/>
    </w:p>
    <w:p>
      <w:pPr>
        <w:pStyle w:val="6"/>
        <w:spacing w:line="360" w:lineRule="auto"/>
      </w:pPr>
    </w:p>
    <w:sectPr>
      <w:footerReference r:id="rId13" w:type="default"/>
      <w:pgSz w:w="11906" w:h="16838"/>
      <w:pgMar w:top="1418" w:right="1281" w:bottom="1418" w:left="1418" w:header="907" w:footer="851" w:gutter="284"/>
      <w:pgBorders>
        <w:top w:val="none" w:sz="0" w:space="0"/>
        <w:left w:val="none" w:sz="0" w:space="0"/>
        <w:bottom w:val="none" w:sz="0" w:space="0"/>
        <w:right w:val="none" w:sz="0" w:space="0"/>
      </w:pgBorders>
      <w:cols w:space="425"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Algerian">
    <w:panose1 w:val="04020705040A02060702"/>
    <w:charset w:val="00"/>
    <w:family w:val="decorative"/>
    <w:pitch w:val="default"/>
    <w:sig w:usb0="00000003" w:usb1="00000000" w:usb2="00000000" w:usb3="00000000" w:csb0="20000001" w:csb1="00000000"/>
  </w:font>
  <w:font w:name="Bell MT">
    <w:panose1 w:val="02020503060305020303"/>
    <w:charset w:val="00"/>
    <w:family w:val="roman"/>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top w:val="thinThickSmallGap" w:color="622423" w:sz="24" w:space="1"/>
      </w:pBdr>
      <w:tabs>
        <w:tab w:val="right" w:pos="9183"/>
        <w:tab w:val="clear" w:pos="4153"/>
        <w:tab w:val="clear" w:pos="8306"/>
      </w:tabs>
      <w:rPr>
        <w:rFonts w:ascii="Cambria" w:hAnsi="Cambria"/>
      </w:rPr>
    </w:pPr>
    <w:r>
      <w:rPr>
        <w:rFonts w:hint="eastAsia" w:ascii="Cambria" w:hAnsi="Cambria"/>
      </w:rPr>
      <w:t>云南通达土地房地产资产评估有限公司</w:t>
    </w:r>
    <w:r>
      <w:rPr>
        <w:rFonts w:ascii="Cambria" w:hAnsi="Cambria"/>
        <w:lang w:val="zh-CN"/>
      </w:rPr>
      <w:tab/>
    </w:r>
    <w:r>
      <w:fldChar w:fldCharType="begin"/>
    </w:r>
    <w:r>
      <w:instrText xml:space="preserve"> PAGE   \* MERGEFORMAT </w:instrText>
    </w:r>
    <w:r>
      <w:fldChar w:fldCharType="separate"/>
    </w:r>
    <w:r>
      <w:rPr>
        <w:rFonts w:ascii="Cambria" w:hAnsi="Cambria"/>
        <w:lang w:val="zh-CN"/>
      </w:rPr>
      <w:t>1</w:t>
    </w:r>
    <w:r>
      <w:rPr>
        <w:rFonts w:ascii="Cambria" w:hAnsi="Cambria"/>
        <w:lang w:val="zh-CN"/>
      </w:rPr>
      <w:fldChar w:fldCharType="end"/>
    </w:r>
  </w:p>
  <w:p>
    <w:pPr>
      <w:pStyle w:val="5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top w:val="thinThickSmallGap" w:color="622423" w:sz="24" w:space="1"/>
      </w:pBdr>
      <w:tabs>
        <w:tab w:val="right" w:pos="9183"/>
        <w:tab w:val="clear" w:pos="4153"/>
        <w:tab w:val="clear" w:pos="8306"/>
      </w:tabs>
      <w:ind w:firstLine="360"/>
      <w:rPr>
        <w:rFonts w:ascii="Cambria" w:hAnsi="Cambria"/>
      </w:rPr>
    </w:pPr>
    <w:r>
      <w:rPr>
        <w:rFonts w:hint="eastAsia" w:ascii="Cambria" w:hAnsi="Cambria"/>
      </w:rPr>
      <w:t>云南通达土地房地产资产评估有限公司</w:t>
    </w:r>
    <w:r>
      <w:rPr>
        <w:rFonts w:ascii="Cambria" w:hAnsi="Cambria"/>
        <w:lang w:val="zh-CN"/>
      </w:rPr>
      <w:tab/>
    </w:r>
    <w:r>
      <w:fldChar w:fldCharType="begin"/>
    </w:r>
    <w:r>
      <w:instrText xml:space="preserve"> PAGE   \* MERGEFORMAT </w:instrText>
    </w:r>
    <w:r>
      <w:fldChar w:fldCharType="separate"/>
    </w:r>
    <w:r>
      <w:rPr>
        <w:rFonts w:ascii="Cambria" w:hAnsi="Cambria"/>
        <w:lang w:val="zh-CN"/>
      </w:rPr>
      <w:t>9</w:t>
    </w:r>
    <w:r>
      <w:rPr>
        <w:rFonts w:ascii="Cambria" w:hAnsi="Cambria"/>
        <w:lang w:val="zh-CN"/>
      </w:rPr>
      <w:fldChar w:fldCharType="end"/>
    </w:r>
  </w:p>
  <w:p>
    <w:pPr>
      <w:pStyle w:val="5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top w:val="thinThickSmallGap" w:color="622423" w:sz="24" w:space="1"/>
      </w:pBdr>
      <w:tabs>
        <w:tab w:val="right" w:pos="9183"/>
        <w:tab w:val="clear" w:pos="4153"/>
        <w:tab w:val="clear" w:pos="8306"/>
      </w:tabs>
      <w:rPr>
        <w:rFonts w:ascii="Cambria" w:hAnsi="Cambria"/>
      </w:rPr>
    </w:pPr>
    <w:r>
      <w:rPr>
        <w:rFonts w:hint="eastAsia" w:ascii="Cambria" w:hAnsi="Cambria"/>
      </w:rPr>
      <w:t>云南通达土地房地产资产评估有限公司</w:t>
    </w:r>
    <w:r>
      <w:rPr>
        <w:rFonts w:ascii="Cambria" w:hAnsi="Cambria"/>
        <w:lang w:val="zh-CN"/>
      </w:rPr>
      <w:tab/>
    </w:r>
    <w:r>
      <w:fldChar w:fldCharType="begin"/>
    </w:r>
    <w:r>
      <w:instrText xml:space="preserve"> PAGE   \* MERGEFORMAT </w:instrText>
    </w:r>
    <w:r>
      <w:fldChar w:fldCharType="separate"/>
    </w:r>
    <w:r>
      <w:rPr>
        <w:rFonts w:ascii="Cambria" w:hAnsi="Cambria"/>
        <w:lang w:val="zh-CN"/>
      </w:rPr>
      <w:t>38</w:t>
    </w:r>
    <w:r>
      <w:rPr>
        <w:rFonts w:ascii="Cambria" w:hAnsi="Cambria"/>
        <w:lang w:val="zh-CN"/>
      </w:rPr>
      <w:fldChar w:fldCharType="end"/>
    </w:r>
  </w:p>
  <w:p>
    <w:pPr>
      <w:pStyle w:val="56"/>
      <w:pBdr>
        <w:top w:val="thinThickSmallGap" w:color="622423" w:sz="24" w:space="1"/>
      </w:pBdr>
      <w:tabs>
        <w:tab w:val="right" w:pos="9183"/>
        <w:tab w:val="clear" w:pos="4153"/>
        <w:tab w:val="clear" w:pos="8306"/>
      </w:tabs>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alias w:val="标题"/>
      <w:id w:val="11169792"/>
      <w:placeholder>
        <w:docPart w:val="3B164E06589F4A58A4500ED1B701F6AC"/>
      </w:placeholder>
      <w:text/>
    </w:sdtPr>
    <w:sdtContent>
      <w:p>
        <w:pPr>
          <w:pStyle w:val="58"/>
          <w:pBdr>
            <w:bottom w:val="thickThinSmallGap" w:color="622423" w:themeColor="accent2" w:themeShade="7F" w:sz="24" w:space="1"/>
          </w:pBdr>
          <w:ind w:firstLine="640"/>
        </w:pPr>
      </w:p>
    </w:sdtContent>
  </w:sdt>
  <w:p>
    <w:pPr>
      <w:pStyle w:val="5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hAnsi="仿宋" w:eastAsia="仿宋_GB2312"/>
        <w:szCs w:val="18"/>
      </w:rPr>
      <w:alias w:val="标题"/>
      <w:id w:val="11169793"/>
      <w:placeholder>
        <w:docPart w:val="F9D8491E7A3145F684A66C7CF6D7A885"/>
      </w:placeholder>
      <w:text/>
    </w:sdtPr>
    <w:sdtEndPr>
      <w:rPr>
        <w:rFonts w:hint="eastAsia" w:ascii="仿宋_GB2312" w:hAnsi="仿宋" w:eastAsia="仿宋_GB2312"/>
        <w:sz w:val="24"/>
        <w:szCs w:val="24"/>
      </w:rPr>
    </w:sdtEndPr>
    <w:sdtContent>
      <w:p>
        <w:pPr>
          <w:pStyle w:val="58"/>
          <w:pBdr>
            <w:bottom w:val="thickThinSmallGap" w:color="622423" w:themeColor="accent2" w:themeShade="7F" w:sz="24" w:space="1"/>
          </w:pBdr>
          <w:rPr>
            <w:rFonts w:ascii="宋体" w:hAnsi="宋体" w:cs="宋体"/>
            <w:sz w:val="16"/>
            <w:szCs w:val="16"/>
          </w:rPr>
        </w:pPr>
        <w:r>
          <w:rPr>
            <w:rFonts w:hint="eastAsia" w:ascii="仿宋_GB2312" w:hAnsi="仿宋" w:eastAsia="仿宋_GB2312"/>
            <w:szCs w:val="18"/>
          </w:rPr>
          <w:t>昆明市中级人民法院拟司法执行财产处置委托的位于晋宁区共计12套房地产市场价值评估</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C7C553"/>
    <w:multiLevelType w:val="singleLevel"/>
    <w:tmpl w:val="C8C7C553"/>
    <w:lvl w:ilvl="0" w:tentative="0">
      <w:start w:val="10"/>
      <w:numFmt w:val="chineseCounting"/>
      <w:suff w:val="nothing"/>
      <w:lvlText w:val="%1、"/>
      <w:lvlJc w:val="left"/>
      <w:rPr>
        <w:rFonts w:hint="eastAsia"/>
      </w:rPr>
    </w:lvl>
  </w:abstractNum>
  <w:abstractNum w:abstractNumId="1">
    <w:nsid w:val="0C956E57"/>
    <w:multiLevelType w:val="multilevel"/>
    <w:tmpl w:val="0C956E57"/>
    <w:lvl w:ilvl="0" w:tentative="0">
      <w:start w:val="1"/>
      <w:numFmt w:val="decimal"/>
      <w:lvlText w:val="%1."/>
      <w:lvlJc w:val="left"/>
      <w:pPr>
        <w:tabs>
          <w:tab w:val="left" w:pos="988"/>
        </w:tabs>
        <w:ind w:left="988"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2">
    <w:nsid w:val="0F014E51"/>
    <w:multiLevelType w:val="singleLevel"/>
    <w:tmpl w:val="0F014E51"/>
    <w:lvl w:ilvl="0" w:tentative="0">
      <w:start w:val="1"/>
      <w:numFmt w:val="chineseCountingThousand"/>
      <w:pStyle w:val="5"/>
      <w:lvlText w:val="%1、  "/>
      <w:lvlJc w:val="left"/>
      <w:pPr>
        <w:tabs>
          <w:tab w:val="left" w:pos="1004"/>
        </w:tabs>
        <w:ind w:left="644" w:hanging="360"/>
      </w:pPr>
      <w:rPr>
        <w:rFonts w:hint="eastAsia"/>
      </w:rPr>
    </w:lvl>
  </w:abstractNum>
  <w:abstractNum w:abstractNumId="3">
    <w:nsid w:val="122615B2"/>
    <w:multiLevelType w:val="singleLevel"/>
    <w:tmpl w:val="122615B2"/>
    <w:lvl w:ilvl="0" w:tentative="0">
      <w:start w:val="1"/>
      <w:numFmt w:val="decimal"/>
      <w:lvlText w:val="%1."/>
      <w:lvlJc w:val="left"/>
      <w:pPr>
        <w:tabs>
          <w:tab w:val="left" w:pos="312"/>
        </w:tabs>
      </w:pPr>
    </w:lvl>
  </w:abstractNum>
  <w:abstractNum w:abstractNumId="4">
    <w:nsid w:val="1A584848"/>
    <w:multiLevelType w:val="multilevel"/>
    <w:tmpl w:val="1A584848"/>
    <w:lvl w:ilvl="0" w:tentative="0">
      <w:start w:val="1"/>
      <w:numFmt w:val="upperLetter"/>
      <w:pStyle w:val="8"/>
      <w:lvlText w:val="%1、"/>
      <w:lvlJc w:val="left"/>
      <w:pPr>
        <w:tabs>
          <w:tab w:val="left" w:pos="1280"/>
        </w:tabs>
        <w:ind w:left="1280" w:hanging="72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5">
    <w:nsid w:val="2001082D"/>
    <w:multiLevelType w:val="singleLevel"/>
    <w:tmpl w:val="2001082D"/>
    <w:lvl w:ilvl="0" w:tentative="0">
      <w:start w:val="1"/>
      <w:numFmt w:val="chineseCountingThousand"/>
      <w:lvlText w:val="%1、"/>
      <w:lvlJc w:val="left"/>
      <w:pPr>
        <w:tabs>
          <w:tab w:val="left" w:pos="988"/>
        </w:tabs>
        <w:ind w:left="988" w:hanging="420"/>
      </w:pPr>
      <w:rPr>
        <w:rFonts w:hint="eastAsia"/>
      </w:rPr>
    </w:lvl>
  </w:abstractNum>
  <w:abstractNum w:abstractNumId="6">
    <w:nsid w:val="28464B2E"/>
    <w:multiLevelType w:val="multilevel"/>
    <w:tmpl w:val="28464B2E"/>
    <w:lvl w:ilvl="0" w:tentative="0">
      <w:start w:val="1"/>
      <w:numFmt w:val="chineseCountingThousand"/>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E8C64AC"/>
    <w:multiLevelType w:val="singleLevel"/>
    <w:tmpl w:val="2E8C64AC"/>
    <w:lvl w:ilvl="0" w:tentative="0">
      <w:start w:val="6"/>
      <w:numFmt w:val="upperLetter"/>
      <w:pStyle w:val="4"/>
      <w:lvlText w:val="%1、 "/>
      <w:legacy w:legacy="1" w:legacySpace="0" w:legacyIndent="552"/>
      <w:lvlJc w:val="left"/>
      <w:pPr>
        <w:ind w:left="1272" w:hanging="552"/>
      </w:pPr>
      <w:rPr>
        <w:rFonts w:hint="eastAsia" w:ascii="仿宋_GB2312" w:eastAsia="仿宋_GB2312"/>
        <w:b w:val="0"/>
        <w:i w:val="0"/>
        <w:sz w:val="28"/>
        <w:u w:val="none"/>
      </w:rPr>
    </w:lvl>
  </w:abstractNum>
  <w:abstractNum w:abstractNumId="8">
    <w:nsid w:val="3F694F06"/>
    <w:multiLevelType w:val="singleLevel"/>
    <w:tmpl w:val="3F694F06"/>
    <w:lvl w:ilvl="0" w:tentative="0">
      <w:start w:val="1"/>
      <w:numFmt w:val="decimal"/>
      <w:pStyle w:val="7"/>
      <w:lvlText w:val="%1、"/>
      <w:lvlJc w:val="left"/>
      <w:pPr>
        <w:tabs>
          <w:tab w:val="left" w:pos="425"/>
        </w:tabs>
        <w:ind w:left="425" w:hanging="425"/>
      </w:pPr>
      <w:rPr>
        <w:rFonts w:hint="eastAsia"/>
      </w:rPr>
    </w:lvl>
  </w:abstractNum>
  <w:abstractNum w:abstractNumId="9">
    <w:nsid w:val="56302740"/>
    <w:multiLevelType w:val="multilevel"/>
    <w:tmpl w:val="56302740"/>
    <w:lvl w:ilvl="0" w:tentative="0">
      <w:start w:val="2"/>
      <w:numFmt w:val="japaneseCounting"/>
      <w:lvlText w:val="（%1）"/>
      <w:lvlJc w:val="left"/>
      <w:pPr>
        <w:ind w:left="1445" w:hanging="88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7"/>
  </w:num>
  <w:num w:numId="2">
    <w:abstractNumId w:val="2"/>
  </w:num>
  <w:num w:numId="3">
    <w:abstractNumId w:val="8"/>
  </w:num>
  <w:num w:numId="4">
    <w:abstractNumId w:val="4"/>
  </w:num>
  <w:num w:numId="5">
    <w:abstractNumId w:val="1"/>
  </w:num>
  <w:num w:numId="6">
    <w:abstractNumId w:val="5"/>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hideSpellingErrors/>
  <w:hideGrammaticalErrors/>
  <w:documentProtection w:enforcement="0"/>
  <w:defaultTabStop w:val="425"/>
  <w:drawingGridHorizontalSpacing w:val="105"/>
  <w:drawingGridVerticalSpacing w:val="143"/>
  <w:displayHorizontalDrawingGridEvery w:val="1"/>
  <w:displayVerticalDrawingGridEvery w:val="1"/>
  <w:noPunctuationKerning w:val="1"/>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4D"/>
    <w:rsid w:val="000003A4"/>
    <w:rsid w:val="00000A04"/>
    <w:rsid w:val="0000129B"/>
    <w:rsid w:val="00001417"/>
    <w:rsid w:val="000016B1"/>
    <w:rsid w:val="000017C7"/>
    <w:rsid w:val="00001821"/>
    <w:rsid w:val="00001837"/>
    <w:rsid w:val="000019D2"/>
    <w:rsid w:val="00001C9B"/>
    <w:rsid w:val="00002359"/>
    <w:rsid w:val="0000287A"/>
    <w:rsid w:val="000032DF"/>
    <w:rsid w:val="00003991"/>
    <w:rsid w:val="00003DD1"/>
    <w:rsid w:val="00004083"/>
    <w:rsid w:val="0000445A"/>
    <w:rsid w:val="00004B41"/>
    <w:rsid w:val="0000543E"/>
    <w:rsid w:val="00005952"/>
    <w:rsid w:val="00005B60"/>
    <w:rsid w:val="00006C85"/>
    <w:rsid w:val="000070BF"/>
    <w:rsid w:val="00007365"/>
    <w:rsid w:val="00007534"/>
    <w:rsid w:val="00007850"/>
    <w:rsid w:val="00007D48"/>
    <w:rsid w:val="00007DF8"/>
    <w:rsid w:val="00007FE1"/>
    <w:rsid w:val="00010232"/>
    <w:rsid w:val="0001036C"/>
    <w:rsid w:val="000105D1"/>
    <w:rsid w:val="00010AB1"/>
    <w:rsid w:val="000115F9"/>
    <w:rsid w:val="00011B49"/>
    <w:rsid w:val="000122C1"/>
    <w:rsid w:val="00012962"/>
    <w:rsid w:val="00012C77"/>
    <w:rsid w:val="00013A4A"/>
    <w:rsid w:val="00013DD6"/>
    <w:rsid w:val="00013EED"/>
    <w:rsid w:val="00013EEE"/>
    <w:rsid w:val="000140F1"/>
    <w:rsid w:val="000147F2"/>
    <w:rsid w:val="00014F80"/>
    <w:rsid w:val="000154E4"/>
    <w:rsid w:val="0001629C"/>
    <w:rsid w:val="000162A7"/>
    <w:rsid w:val="00016C15"/>
    <w:rsid w:val="0001791E"/>
    <w:rsid w:val="000208FA"/>
    <w:rsid w:val="000210E5"/>
    <w:rsid w:val="000212AA"/>
    <w:rsid w:val="00021403"/>
    <w:rsid w:val="00021634"/>
    <w:rsid w:val="000219D6"/>
    <w:rsid w:val="00022016"/>
    <w:rsid w:val="00022167"/>
    <w:rsid w:val="000221F5"/>
    <w:rsid w:val="000221F8"/>
    <w:rsid w:val="000224B2"/>
    <w:rsid w:val="000230DC"/>
    <w:rsid w:val="0002344B"/>
    <w:rsid w:val="000238F4"/>
    <w:rsid w:val="00023A6A"/>
    <w:rsid w:val="00024036"/>
    <w:rsid w:val="000244E6"/>
    <w:rsid w:val="000249EC"/>
    <w:rsid w:val="0002578C"/>
    <w:rsid w:val="00025FFE"/>
    <w:rsid w:val="00026586"/>
    <w:rsid w:val="0002659F"/>
    <w:rsid w:val="000266D1"/>
    <w:rsid w:val="000267F2"/>
    <w:rsid w:val="00026889"/>
    <w:rsid w:val="00026B35"/>
    <w:rsid w:val="000272EC"/>
    <w:rsid w:val="000277BC"/>
    <w:rsid w:val="000279A8"/>
    <w:rsid w:val="00027DA7"/>
    <w:rsid w:val="0003027A"/>
    <w:rsid w:val="000303AE"/>
    <w:rsid w:val="000307C6"/>
    <w:rsid w:val="00030B15"/>
    <w:rsid w:val="00031151"/>
    <w:rsid w:val="000316DC"/>
    <w:rsid w:val="00031968"/>
    <w:rsid w:val="000322CC"/>
    <w:rsid w:val="00032FD8"/>
    <w:rsid w:val="00033440"/>
    <w:rsid w:val="00033B53"/>
    <w:rsid w:val="00034359"/>
    <w:rsid w:val="0003456C"/>
    <w:rsid w:val="0003460A"/>
    <w:rsid w:val="0003488C"/>
    <w:rsid w:val="00034FD7"/>
    <w:rsid w:val="000352A6"/>
    <w:rsid w:val="00035BA4"/>
    <w:rsid w:val="000360B1"/>
    <w:rsid w:val="000362FD"/>
    <w:rsid w:val="000364D5"/>
    <w:rsid w:val="00036571"/>
    <w:rsid w:val="00036C94"/>
    <w:rsid w:val="000370C6"/>
    <w:rsid w:val="000371B4"/>
    <w:rsid w:val="00037362"/>
    <w:rsid w:val="00037374"/>
    <w:rsid w:val="00037825"/>
    <w:rsid w:val="00037B16"/>
    <w:rsid w:val="00037E8E"/>
    <w:rsid w:val="00040040"/>
    <w:rsid w:val="0004057D"/>
    <w:rsid w:val="000408E5"/>
    <w:rsid w:val="00040C3E"/>
    <w:rsid w:val="00040D34"/>
    <w:rsid w:val="00040ECE"/>
    <w:rsid w:val="00041012"/>
    <w:rsid w:val="000419F6"/>
    <w:rsid w:val="00041A3F"/>
    <w:rsid w:val="00041C38"/>
    <w:rsid w:val="0004231A"/>
    <w:rsid w:val="0004248F"/>
    <w:rsid w:val="000424D7"/>
    <w:rsid w:val="00042DE7"/>
    <w:rsid w:val="0004317A"/>
    <w:rsid w:val="00043687"/>
    <w:rsid w:val="000437EB"/>
    <w:rsid w:val="000438B1"/>
    <w:rsid w:val="00043EE9"/>
    <w:rsid w:val="00043F7D"/>
    <w:rsid w:val="00043FBA"/>
    <w:rsid w:val="00044772"/>
    <w:rsid w:val="000448DE"/>
    <w:rsid w:val="00045480"/>
    <w:rsid w:val="00045636"/>
    <w:rsid w:val="00045F10"/>
    <w:rsid w:val="000460C9"/>
    <w:rsid w:val="00046264"/>
    <w:rsid w:val="00046432"/>
    <w:rsid w:val="000468AE"/>
    <w:rsid w:val="00046926"/>
    <w:rsid w:val="00046B50"/>
    <w:rsid w:val="00046D06"/>
    <w:rsid w:val="00047008"/>
    <w:rsid w:val="0004726D"/>
    <w:rsid w:val="00047ABE"/>
    <w:rsid w:val="000507F9"/>
    <w:rsid w:val="00050A6C"/>
    <w:rsid w:val="00051446"/>
    <w:rsid w:val="00051589"/>
    <w:rsid w:val="00051845"/>
    <w:rsid w:val="00051941"/>
    <w:rsid w:val="00051A73"/>
    <w:rsid w:val="0005281F"/>
    <w:rsid w:val="00052A63"/>
    <w:rsid w:val="00052C28"/>
    <w:rsid w:val="00052D77"/>
    <w:rsid w:val="00053E38"/>
    <w:rsid w:val="000548EA"/>
    <w:rsid w:val="0005493F"/>
    <w:rsid w:val="00054A61"/>
    <w:rsid w:val="00054D49"/>
    <w:rsid w:val="00054EEB"/>
    <w:rsid w:val="000550DB"/>
    <w:rsid w:val="0005567A"/>
    <w:rsid w:val="0005567F"/>
    <w:rsid w:val="0005569A"/>
    <w:rsid w:val="00055A63"/>
    <w:rsid w:val="00055BB2"/>
    <w:rsid w:val="00056253"/>
    <w:rsid w:val="00056617"/>
    <w:rsid w:val="000568FD"/>
    <w:rsid w:val="00056E58"/>
    <w:rsid w:val="00057119"/>
    <w:rsid w:val="00057361"/>
    <w:rsid w:val="0005739A"/>
    <w:rsid w:val="00057BB0"/>
    <w:rsid w:val="00060023"/>
    <w:rsid w:val="00060071"/>
    <w:rsid w:val="000602F6"/>
    <w:rsid w:val="00060A15"/>
    <w:rsid w:val="00061F17"/>
    <w:rsid w:val="00062448"/>
    <w:rsid w:val="000629F8"/>
    <w:rsid w:val="0006322F"/>
    <w:rsid w:val="00063C3F"/>
    <w:rsid w:val="00063E97"/>
    <w:rsid w:val="000640F2"/>
    <w:rsid w:val="00064504"/>
    <w:rsid w:val="0006472F"/>
    <w:rsid w:val="000650A2"/>
    <w:rsid w:val="00065460"/>
    <w:rsid w:val="00065BB4"/>
    <w:rsid w:val="0006627F"/>
    <w:rsid w:val="000670FF"/>
    <w:rsid w:val="000672AF"/>
    <w:rsid w:val="0006746F"/>
    <w:rsid w:val="00067855"/>
    <w:rsid w:val="00067942"/>
    <w:rsid w:val="00067A16"/>
    <w:rsid w:val="0007036A"/>
    <w:rsid w:val="00070960"/>
    <w:rsid w:val="000709A4"/>
    <w:rsid w:val="00070F34"/>
    <w:rsid w:val="0007123B"/>
    <w:rsid w:val="00071842"/>
    <w:rsid w:val="00071C78"/>
    <w:rsid w:val="00072383"/>
    <w:rsid w:val="00072D62"/>
    <w:rsid w:val="0007335C"/>
    <w:rsid w:val="0007349E"/>
    <w:rsid w:val="000734CA"/>
    <w:rsid w:val="00073F38"/>
    <w:rsid w:val="00074193"/>
    <w:rsid w:val="00074225"/>
    <w:rsid w:val="000749BC"/>
    <w:rsid w:val="00074B51"/>
    <w:rsid w:val="00074D89"/>
    <w:rsid w:val="00075663"/>
    <w:rsid w:val="000758CD"/>
    <w:rsid w:val="00075C9D"/>
    <w:rsid w:val="00075EF8"/>
    <w:rsid w:val="00076372"/>
    <w:rsid w:val="000768FA"/>
    <w:rsid w:val="0007699C"/>
    <w:rsid w:val="000769E7"/>
    <w:rsid w:val="00076A29"/>
    <w:rsid w:val="00076F8D"/>
    <w:rsid w:val="00077F4D"/>
    <w:rsid w:val="000802BE"/>
    <w:rsid w:val="000806E4"/>
    <w:rsid w:val="000822AE"/>
    <w:rsid w:val="000823DD"/>
    <w:rsid w:val="000827E5"/>
    <w:rsid w:val="0008283A"/>
    <w:rsid w:val="000828D9"/>
    <w:rsid w:val="00082A0B"/>
    <w:rsid w:val="00083797"/>
    <w:rsid w:val="0008385D"/>
    <w:rsid w:val="00083882"/>
    <w:rsid w:val="00083AD4"/>
    <w:rsid w:val="00083D73"/>
    <w:rsid w:val="00083E0D"/>
    <w:rsid w:val="0008405F"/>
    <w:rsid w:val="00084D0A"/>
    <w:rsid w:val="00084F0D"/>
    <w:rsid w:val="000857D6"/>
    <w:rsid w:val="00085867"/>
    <w:rsid w:val="0008635A"/>
    <w:rsid w:val="0008649E"/>
    <w:rsid w:val="000866A9"/>
    <w:rsid w:val="000866AC"/>
    <w:rsid w:val="00086745"/>
    <w:rsid w:val="000868DD"/>
    <w:rsid w:val="0008718A"/>
    <w:rsid w:val="0008764A"/>
    <w:rsid w:val="00087FA0"/>
    <w:rsid w:val="00090287"/>
    <w:rsid w:val="000906D3"/>
    <w:rsid w:val="0009073F"/>
    <w:rsid w:val="0009076E"/>
    <w:rsid w:val="00090961"/>
    <w:rsid w:val="000909AA"/>
    <w:rsid w:val="00090A11"/>
    <w:rsid w:val="00091189"/>
    <w:rsid w:val="0009190A"/>
    <w:rsid w:val="000919E5"/>
    <w:rsid w:val="00091AB0"/>
    <w:rsid w:val="00092934"/>
    <w:rsid w:val="00092B88"/>
    <w:rsid w:val="00093098"/>
    <w:rsid w:val="000936EB"/>
    <w:rsid w:val="0009371C"/>
    <w:rsid w:val="00094019"/>
    <w:rsid w:val="0009429A"/>
    <w:rsid w:val="000944F5"/>
    <w:rsid w:val="00094713"/>
    <w:rsid w:val="00094732"/>
    <w:rsid w:val="00094BBB"/>
    <w:rsid w:val="00094DD1"/>
    <w:rsid w:val="0009589C"/>
    <w:rsid w:val="00096201"/>
    <w:rsid w:val="00096387"/>
    <w:rsid w:val="000966E2"/>
    <w:rsid w:val="00096D25"/>
    <w:rsid w:val="000979D3"/>
    <w:rsid w:val="000A0064"/>
    <w:rsid w:val="000A066B"/>
    <w:rsid w:val="000A06C2"/>
    <w:rsid w:val="000A0D3B"/>
    <w:rsid w:val="000A0E7E"/>
    <w:rsid w:val="000A1146"/>
    <w:rsid w:val="000A15D7"/>
    <w:rsid w:val="000A16AB"/>
    <w:rsid w:val="000A21CA"/>
    <w:rsid w:val="000A23CF"/>
    <w:rsid w:val="000A2C6B"/>
    <w:rsid w:val="000A3631"/>
    <w:rsid w:val="000A39BD"/>
    <w:rsid w:val="000A3B38"/>
    <w:rsid w:val="000A4058"/>
    <w:rsid w:val="000A46AC"/>
    <w:rsid w:val="000A48BC"/>
    <w:rsid w:val="000A48E8"/>
    <w:rsid w:val="000A4C18"/>
    <w:rsid w:val="000A5A67"/>
    <w:rsid w:val="000A5AFA"/>
    <w:rsid w:val="000A5D07"/>
    <w:rsid w:val="000A5E29"/>
    <w:rsid w:val="000A5E55"/>
    <w:rsid w:val="000A617A"/>
    <w:rsid w:val="000A69BE"/>
    <w:rsid w:val="000A713C"/>
    <w:rsid w:val="000A728E"/>
    <w:rsid w:val="000A745E"/>
    <w:rsid w:val="000B0173"/>
    <w:rsid w:val="000B0C6D"/>
    <w:rsid w:val="000B0CA5"/>
    <w:rsid w:val="000B0E19"/>
    <w:rsid w:val="000B0F26"/>
    <w:rsid w:val="000B10CE"/>
    <w:rsid w:val="000B1568"/>
    <w:rsid w:val="000B1F0E"/>
    <w:rsid w:val="000B1F14"/>
    <w:rsid w:val="000B2058"/>
    <w:rsid w:val="000B23E3"/>
    <w:rsid w:val="000B24AB"/>
    <w:rsid w:val="000B29B7"/>
    <w:rsid w:val="000B2D53"/>
    <w:rsid w:val="000B2FEF"/>
    <w:rsid w:val="000B3538"/>
    <w:rsid w:val="000B35FA"/>
    <w:rsid w:val="000B36FF"/>
    <w:rsid w:val="000B3D76"/>
    <w:rsid w:val="000B4749"/>
    <w:rsid w:val="000B4A61"/>
    <w:rsid w:val="000B4B58"/>
    <w:rsid w:val="000B5364"/>
    <w:rsid w:val="000B55B7"/>
    <w:rsid w:val="000B6355"/>
    <w:rsid w:val="000B66AE"/>
    <w:rsid w:val="000B6A63"/>
    <w:rsid w:val="000B6E21"/>
    <w:rsid w:val="000B6E3F"/>
    <w:rsid w:val="000B6F3E"/>
    <w:rsid w:val="000B748D"/>
    <w:rsid w:val="000B7B90"/>
    <w:rsid w:val="000C0436"/>
    <w:rsid w:val="000C0C25"/>
    <w:rsid w:val="000C1092"/>
    <w:rsid w:val="000C127D"/>
    <w:rsid w:val="000C135D"/>
    <w:rsid w:val="000C1607"/>
    <w:rsid w:val="000C188A"/>
    <w:rsid w:val="000C1BC2"/>
    <w:rsid w:val="000C1D20"/>
    <w:rsid w:val="000C229C"/>
    <w:rsid w:val="000C2DAB"/>
    <w:rsid w:val="000C2E7D"/>
    <w:rsid w:val="000C3629"/>
    <w:rsid w:val="000C3BCE"/>
    <w:rsid w:val="000C431D"/>
    <w:rsid w:val="000C4527"/>
    <w:rsid w:val="000C4842"/>
    <w:rsid w:val="000C4D98"/>
    <w:rsid w:val="000C5BF3"/>
    <w:rsid w:val="000C5C07"/>
    <w:rsid w:val="000C5DA3"/>
    <w:rsid w:val="000C5FB2"/>
    <w:rsid w:val="000C61EB"/>
    <w:rsid w:val="000C72AE"/>
    <w:rsid w:val="000C747A"/>
    <w:rsid w:val="000C79AA"/>
    <w:rsid w:val="000C7BD0"/>
    <w:rsid w:val="000C7E4A"/>
    <w:rsid w:val="000D0495"/>
    <w:rsid w:val="000D07C5"/>
    <w:rsid w:val="000D21A6"/>
    <w:rsid w:val="000D264B"/>
    <w:rsid w:val="000D271C"/>
    <w:rsid w:val="000D273C"/>
    <w:rsid w:val="000D2BA9"/>
    <w:rsid w:val="000D2FEC"/>
    <w:rsid w:val="000D320C"/>
    <w:rsid w:val="000D35EF"/>
    <w:rsid w:val="000D39B3"/>
    <w:rsid w:val="000D3BF6"/>
    <w:rsid w:val="000D3CA4"/>
    <w:rsid w:val="000D3DC5"/>
    <w:rsid w:val="000D432A"/>
    <w:rsid w:val="000D4446"/>
    <w:rsid w:val="000D4E62"/>
    <w:rsid w:val="000D525E"/>
    <w:rsid w:val="000D5631"/>
    <w:rsid w:val="000D5B79"/>
    <w:rsid w:val="000D5C1E"/>
    <w:rsid w:val="000D6726"/>
    <w:rsid w:val="000D6819"/>
    <w:rsid w:val="000D6B9E"/>
    <w:rsid w:val="000D6D77"/>
    <w:rsid w:val="000D70BB"/>
    <w:rsid w:val="000D77C0"/>
    <w:rsid w:val="000E002E"/>
    <w:rsid w:val="000E0A4E"/>
    <w:rsid w:val="000E0C94"/>
    <w:rsid w:val="000E0D04"/>
    <w:rsid w:val="000E1751"/>
    <w:rsid w:val="000E1BE8"/>
    <w:rsid w:val="000E1D77"/>
    <w:rsid w:val="000E2590"/>
    <w:rsid w:val="000E28FE"/>
    <w:rsid w:val="000E2FA8"/>
    <w:rsid w:val="000E303C"/>
    <w:rsid w:val="000E34C4"/>
    <w:rsid w:val="000E34D1"/>
    <w:rsid w:val="000E38E6"/>
    <w:rsid w:val="000E3957"/>
    <w:rsid w:val="000E3B5F"/>
    <w:rsid w:val="000E432D"/>
    <w:rsid w:val="000E43A4"/>
    <w:rsid w:val="000E4709"/>
    <w:rsid w:val="000E47E3"/>
    <w:rsid w:val="000E4B93"/>
    <w:rsid w:val="000E4CB5"/>
    <w:rsid w:val="000E4ED2"/>
    <w:rsid w:val="000E5754"/>
    <w:rsid w:val="000E5B41"/>
    <w:rsid w:val="000E5B72"/>
    <w:rsid w:val="000E5D1A"/>
    <w:rsid w:val="000E61D6"/>
    <w:rsid w:val="000E66D7"/>
    <w:rsid w:val="000E6D2E"/>
    <w:rsid w:val="000E74C8"/>
    <w:rsid w:val="000E74FB"/>
    <w:rsid w:val="000E7AF4"/>
    <w:rsid w:val="000F08C2"/>
    <w:rsid w:val="000F0BC8"/>
    <w:rsid w:val="000F0D16"/>
    <w:rsid w:val="000F119B"/>
    <w:rsid w:val="000F18B2"/>
    <w:rsid w:val="000F1DE4"/>
    <w:rsid w:val="000F1EAD"/>
    <w:rsid w:val="000F2119"/>
    <w:rsid w:val="000F2432"/>
    <w:rsid w:val="000F2DC7"/>
    <w:rsid w:val="000F3BA1"/>
    <w:rsid w:val="000F44D1"/>
    <w:rsid w:val="000F4670"/>
    <w:rsid w:val="000F498E"/>
    <w:rsid w:val="000F514C"/>
    <w:rsid w:val="000F5A5A"/>
    <w:rsid w:val="000F648B"/>
    <w:rsid w:val="000F64AE"/>
    <w:rsid w:val="000F677B"/>
    <w:rsid w:val="000F6B2A"/>
    <w:rsid w:val="000F7194"/>
    <w:rsid w:val="000F747F"/>
    <w:rsid w:val="000F7947"/>
    <w:rsid w:val="000F7F23"/>
    <w:rsid w:val="000F7FCF"/>
    <w:rsid w:val="00100B21"/>
    <w:rsid w:val="00100C31"/>
    <w:rsid w:val="00100FA0"/>
    <w:rsid w:val="00101C06"/>
    <w:rsid w:val="00101C7E"/>
    <w:rsid w:val="00101F19"/>
    <w:rsid w:val="0010226E"/>
    <w:rsid w:val="00102A3B"/>
    <w:rsid w:val="00102A5C"/>
    <w:rsid w:val="00103371"/>
    <w:rsid w:val="0010404B"/>
    <w:rsid w:val="001048E5"/>
    <w:rsid w:val="001048EC"/>
    <w:rsid w:val="00104F56"/>
    <w:rsid w:val="00104F7A"/>
    <w:rsid w:val="00104FDC"/>
    <w:rsid w:val="00105369"/>
    <w:rsid w:val="001058D4"/>
    <w:rsid w:val="00105D2E"/>
    <w:rsid w:val="00105D58"/>
    <w:rsid w:val="00105EFF"/>
    <w:rsid w:val="00105FAE"/>
    <w:rsid w:val="00106605"/>
    <w:rsid w:val="00106786"/>
    <w:rsid w:val="00106873"/>
    <w:rsid w:val="00106876"/>
    <w:rsid w:val="00106D86"/>
    <w:rsid w:val="00107261"/>
    <w:rsid w:val="00107497"/>
    <w:rsid w:val="00107B7A"/>
    <w:rsid w:val="001106ED"/>
    <w:rsid w:val="00110B0A"/>
    <w:rsid w:val="00110EC9"/>
    <w:rsid w:val="001114B3"/>
    <w:rsid w:val="00111668"/>
    <w:rsid w:val="001123C0"/>
    <w:rsid w:val="00112658"/>
    <w:rsid w:val="001129C0"/>
    <w:rsid w:val="00112CBA"/>
    <w:rsid w:val="00112EAF"/>
    <w:rsid w:val="001131FD"/>
    <w:rsid w:val="00113389"/>
    <w:rsid w:val="00113842"/>
    <w:rsid w:val="00113968"/>
    <w:rsid w:val="00113BCF"/>
    <w:rsid w:val="001141BD"/>
    <w:rsid w:val="001142BE"/>
    <w:rsid w:val="0011430E"/>
    <w:rsid w:val="00114586"/>
    <w:rsid w:val="00114A0C"/>
    <w:rsid w:val="0011526D"/>
    <w:rsid w:val="0011538F"/>
    <w:rsid w:val="0011544E"/>
    <w:rsid w:val="001156F1"/>
    <w:rsid w:val="001157AC"/>
    <w:rsid w:val="001160DE"/>
    <w:rsid w:val="001161A8"/>
    <w:rsid w:val="00116854"/>
    <w:rsid w:val="00116E34"/>
    <w:rsid w:val="001171E8"/>
    <w:rsid w:val="00117649"/>
    <w:rsid w:val="001176F3"/>
    <w:rsid w:val="00120E0D"/>
    <w:rsid w:val="00120E3D"/>
    <w:rsid w:val="001215F2"/>
    <w:rsid w:val="00121D0F"/>
    <w:rsid w:val="001221AB"/>
    <w:rsid w:val="0012232E"/>
    <w:rsid w:val="00122387"/>
    <w:rsid w:val="001224FD"/>
    <w:rsid w:val="00122560"/>
    <w:rsid w:val="0012257B"/>
    <w:rsid w:val="00122B9D"/>
    <w:rsid w:val="00123269"/>
    <w:rsid w:val="001234AA"/>
    <w:rsid w:val="001235CD"/>
    <w:rsid w:val="00123648"/>
    <w:rsid w:val="00123770"/>
    <w:rsid w:val="00123D08"/>
    <w:rsid w:val="00123F35"/>
    <w:rsid w:val="001241ED"/>
    <w:rsid w:val="00124688"/>
    <w:rsid w:val="00124AC0"/>
    <w:rsid w:val="00124E60"/>
    <w:rsid w:val="00125356"/>
    <w:rsid w:val="00125696"/>
    <w:rsid w:val="001256DB"/>
    <w:rsid w:val="001258C3"/>
    <w:rsid w:val="001258F0"/>
    <w:rsid w:val="00125B6E"/>
    <w:rsid w:val="00125DA3"/>
    <w:rsid w:val="001264E0"/>
    <w:rsid w:val="00126603"/>
    <w:rsid w:val="00126B6C"/>
    <w:rsid w:val="00126B6D"/>
    <w:rsid w:val="00127323"/>
    <w:rsid w:val="00127D17"/>
    <w:rsid w:val="00127D70"/>
    <w:rsid w:val="00130A77"/>
    <w:rsid w:val="00130E24"/>
    <w:rsid w:val="001318CF"/>
    <w:rsid w:val="00132554"/>
    <w:rsid w:val="001329BD"/>
    <w:rsid w:val="00132E49"/>
    <w:rsid w:val="0013378A"/>
    <w:rsid w:val="00134138"/>
    <w:rsid w:val="00134F3C"/>
    <w:rsid w:val="00135326"/>
    <w:rsid w:val="001354D4"/>
    <w:rsid w:val="001355BA"/>
    <w:rsid w:val="00135609"/>
    <w:rsid w:val="0013561B"/>
    <w:rsid w:val="00135E61"/>
    <w:rsid w:val="00135F42"/>
    <w:rsid w:val="001360B6"/>
    <w:rsid w:val="0013651B"/>
    <w:rsid w:val="001367F0"/>
    <w:rsid w:val="0013695E"/>
    <w:rsid w:val="00136D6A"/>
    <w:rsid w:val="001370C4"/>
    <w:rsid w:val="001376CC"/>
    <w:rsid w:val="00137C22"/>
    <w:rsid w:val="00141BEB"/>
    <w:rsid w:val="00141CDF"/>
    <w:rsid w:val="0014210A"/>
    <w:rsid w:val="00142187"/>
    <w:rsid w:val="00142629"/>
    <w:rsid w:val="00142667"/>
    <w:rsid w:val="00142A41"/>
    <w:rsid w:val="00142ADA"/>
    <w:rsid w:val="00142B03"/>
    <w:rsid w:val="00142D60"/>
    <w:rsid w:val="00142E4E"/>
    <w:rsid w:val="00143064"/>
    <w:rsid w:val="00143906"/>
    <w:rsid w:val="00143F7F"/>
    <w:rsid w:val="00144162"/>
    <w:rsid w:val="001446C8"/>
    <w:rsid w:val="001448CF"/>
    <w:rsid w:val="00144D4F"/>
    <w:rsid w:val="001452F6"/>
    <w:rsid w:val="00145E27"/>
    <w:rsid w:val="00146937"/>
    <w:rsid w:val="00146C61"/>
    <w:rsid w:val="0014735B"/>
    <w:rsid w:val="00147D38"/>
    <w:rsid w:val="00147EED"/>
    <w:rsid w:val="0015083F"/>
    <w:rsid w:val="00150FD9"/>
    <w:rsid w:val="001512BF"/>
    <w:rsid w:val="00151370"/>
    <w:rsid w:val="001516C6"/>
    <w:rsid w:val="00151AF6"/>
    <w:rsid w:val="00152879"/>
    <w:rsid w:val="00152920"/>
    <w:rsid w:val="00153E32"/>
    <w:rsid w:val="00153ECB"/>
    <w:rsid w:val="001540A7"/>
    <w:rsid w:val="001542F8"/>
    <w:rsid w:val="00154F7F"/>
    <w:rsid w:val="0015500E"/>
    <w:rsid w:val="00155752"/>
    <w:rsid w:val="00155806"/>
    <w:rsid w:val="00155C6E"/>
    <w:rsid w:val="00155CA6"/>
    <w:rsid w:val="0015606B"/>
    <w:rsid w:val="00156526"/>
    <w:rsid w:val="00156B79"/>
    <w:rsid w:val="001578A5"/>
    <w:rsid w:val="001602C0"/>
    <w:rsid w:val="001603C9"/>
    <w:rsid w:val="00160ADD"/>
    <w:rsid w:val="0016128D"/>
    <w:rsid w:val="0016192B"/>
    <w:rsid w:val="00161C7C"/>
    <w:rsid w:val="00162C40"/>
    <w:rsid w:val="00163101"/>
    <w:rsid w:val="001638CF"/>
    <w:rsid w:val="001638F9"/>
    <w:rsid w:val="00164D22"/>
    <w:rsid w:val="00165250"/>
    <w:rsid w:val="00165BB4"/>
    <w:rsid w:val="00165FEB"/>
    <w:rsid w:val="0016655B"/>
    <w:rsid w:val="001670A4"/>
    <w:rsid w:val="001670ED"/>
    <w:rsid w:val="0016752F"/>
    <w:rsid w:val="00167579"/>
    <w:rsid w:val="0016764D"/>
    <w:rsid w:val="00167CEE"/>
    <w:rsid w:val="00167D1E"/>
    <w:rsid w:val="00170BC8"/>
    <w:rsid w:val="00170EE8"/>
    <w:rsid w:val="001711FB"/>
    <w:rsid w:val="001718E6"/>
    <w:rsid w:val="00171AE3"/>
    <w:rsid w:val="00171EAE"/>
    <w:rsid w:val="00172006"/>
    <w:rsid w:val="00172200"/>
    <w:rsid w:val="0017254F"/>
    <w:rsid w:val="00172570"/>
    <w:rsid w:val="0017295F"/>
    <w:rsid w:val="00172E26"/>
    <w:rsid w:val="00173198"/>
    <w:rsid w:val="001732BE"/>
    <w:rsid w:val="0017380E"/>
    <w:rsid w:val="00173AD8"/>
    <w:rsid w:val="00174AC4"/>
    <w:rsid w:val="00174C09"/>
    <w:rsid w:val="00174E5A"/>
    <w:rsid w:val="00175105"/>
    <w:rsid w:val="0017558F"/>
    <w:rsid w:val="001756AC"/>
    <w:rsid w:val="00175DFA"/>
    <w:rsid w:val="0017631C"/>
    <w:rsid w:val="001764BD"/>
    <w:rsid w:val="00176E5A"/>
    <w:rsid w:val="00177135"/>
    <w:rsid w:val="00177151"/>
    <w:rsid w:val="00177413"/>
    <w:rsid w:val="0017798F"/>
    <w:rsid w:val="00177E84"/>
    <w:rsid w:val="0018060B"/>
    <w:rsid w:val="0018113D"/>
    <w:rsid w:val="00181871"/>
    <w:rsid w:val="00181ABE"/>
    <w:rsid w:val="00181B08"/>
    <w:rsid w:val="00181B21"/>
    <w:rsid w:val="00181E01"/>
    <w:rsid w:val="0018200A"/>
    <w:rsid w:val="00182619"/>
    <w:rsid w:val="00182AC3"/>
    <w:rsid w:val="0018350B"/>
    <w:rsid w:val="00183889"/>
    <w:rsid w:val="00183DE1"/>
    <w:rsid w:val="001842B0"/>
    <w:rsid w:val="00184C5D"/>
    <w:rsid w:val="00184DDA"/>
    <w:rsid w:val="00185464"/>
    <w:rsid w:val="00185792"/>
    <w:rsid w:val="00186FB3"/>
    <w:rsid w:val="00187136"/>
    <w:rsid w:val="001874EA"/>
    <w:rsid w:val="00187B74"/>
    <w:rsid w:val="00187F52"/>
    <w:rsid w:val="00190123"/>
    <w:rsid w:val="00190272"/>
    <w:rsid w:val="00190427"/>
    <w:rsid w:val="00190959"/>
    <w:rsid w:val="00190E87"/>
    <w:rsid w:val="00190F84"/>
    <w:rsid w:val="0019136E"/>
    <w:rsid w:val="001916F9"/>
    <w:rsid w:val="00191F46"/>
    <w:rsid w:val="0019203D"/>
    <w:rsid w:val="001922E7"/>
    <w:rsid w:val="001926B7"/>
    <w:rsid w:val="00193110"/>
    <w:rsid w:val="00193BB0"/>
    <w:rsid w:val="00194913"/>
    <w:rsid w:val="00194965"/>
    <w:rsid w:val="001951DE"/>
    <w:rsid w:val="0019572A"/>
    <w:rsid w:val="00195B66"/>
    <w:rsid w:val="00196082"/>
    <w:rsid w:val="00196158"/>
    <w:rsid w:val="0019651D"/>
    <w:rsid w:val="00196630"/>
    <w:rsid w:val="0019688B"/>
    <w:rsid w:val="00196952"/>
    <w:rsid w:val="00197914"/>
    <w:rsid w:val="00197FCC"/>
    <w:rsid w:val="001A011A"/>
    <w:rsid w:val="001A0206"/>
    <w:rsid w:val="001A03C1"/>
    <w:rsid w:val="001A1486"/>
    <w:rsid w:val="001A15EF"/>
    <w:rsid w:val="001A252B"/>
    <w:rsid w:val="001A2675"/>
    <w:rsid w:val="001A285A"/>
    <w:rsid w:val="001A3067"/>
    <w:rsid w:val="001A3392"/>
    <w:rsid w:val="001A41BF"/>
    <w:rsid w:val="001A435B"/>
    <w:rsid w:val="001A4948"/>
    <w:rsid w:val="001A4D59"/>
    <w:rsid w:val="001A540B"/>
    <w:rsid w:val="001A5672"/>
    <w:rsid w:val="001A57FE"/>
    <w:rsid w:val="001A5C2F"/>
    <w:rsid w:val="001A5FFE"/>
    <w:rsid w:val="001A6003"/>
    <w:rsid w:val="001A602C"/>
    <w:rsid w:val="001A60EB"/>
    <w:rsid w:val="001A645E"/>
    <w:rsid w:val="001A64DF"/>
    <w:rsid w:val="001A6683"/>
    <w:rsid w:val="001A692C"/>
    <w:rsid w:val="001A6C29"/>
    <w:rsid w:val="001A6C96"/>
    <w:rsid w:val="001A7024"/>
    <w:rsid w:val="001A77FA"/>
    <w:rsid w:val="001A7813"/>
    <w:rsid w:val="001A7ABB"/>
    <w:rsid w:val="001A7EC4"/>
    <w:rsid w:val="001A7F3C"/>
    <w:rsid w:val="001B0453"/>
    <w:rsid w:val="001B0955"/>
    <w:rsid w:val="001B09C2"/>
    <w:rsid w:val="001B0EBF"/>
    <w:rsid w:val="001B147F"/>
    <w:rsid w:val="001B17F8"/>
    <w:rsid w:val="001B18D8"/>
    <w:rsid w:val="001B1970"/>
    <w:rsid w:val="001B240F"/>
    <w:rsid w:val="001B2508"/>
    <w:rsid w:val="001B31F9"/>
    <w:rsid w:val="001B4293"/>
    <w:rsid w:val="001B42E5"/>
    <w:rsid w:val="001B46FA"/>
    <w:rsid w:val="001B4796"/>
    <w:rsid w:val="001B488C"/>
    <w:rsid w:val="001B4C42"/>
    <w:rsid w:val="001B4C56"/>
    <w:rsid w:val="001B4DC0"/>
    <w:rsid w:val="001B5594"/>
    <w:rsid w:val="001B5913"/>
    <w:rsid w:val="001B59EC"/>
    <w:rsid w:val="001B5B7B"/>
    <w:rsid w:val="001B6630"/>
    <w:rsid w:val="001B688E"/>
    <w:rsid w:val="001B6D84"/>
    <w:rsid w:val="001B6FBE"/>
    <w:rsid w:val="001B7032"/>
    <w:rsid w:val="001B7BB2"/>
    <w:rsid w:val="001B7C85"/>
    <w:rsid w:val="001B7D7F"/>
    <w:rsid w:val="001C05C8"/>
    <w:rsid w:val="001C09D2"/>
    <w:rsid w:val="001C0DF6"/>
    <w:rsid w:val="001C104A"/>
    <w:rsid w:val="001C11DD"/>
    <w:rsid w:val="001C13D8"/>
    <w:rsid w:val="001C24F2"/>
    <w:rsid w:val="001C2789"/>
    <w:rsid w:val="001C2BE6"/>
    <w:rsid w:val="001C33D0"/>
    <w:rsid w:val="001C40BD"/>
    <w:rsid w:val="001C4153"/>
    <w:rsid w:val="001C4501"/>
    <w:rsid w:val="001C505C"/>
    <w:rsid w:val="001C50EB"/>
    <w:rsid w:val="001C580D"/>
    <w:rsid w:val="001C5D8E"/>
    <w:rsid w:val="001C5E1A"/>
    <w:rsid w:val="001C6033"/>
    <w:rsid w:val="001C60CD"/>
    <w:rsid w:val="001C73B0"/>
    <w:rsid w:val="001C7E1F"/>
    <w:rsid w:val="001C7ED7"/>
    <w:rsid w:val="001C7FAC"/>
    <w:rsid w:val="001D02EE"/>
    <w:rsid w:val="001D03AD"/>
    <w:rsid w:val="001D03D5"/>
    <w:rsid w:val="001D0477"/>
    <w:rsid w:val="001D06B7"/>
    <w:rsid w:val="001D0A89"/>
    <w:rsid w:val="001D0B61"/>
    <w:rsid w:val="001D153C"/>
    <w:rsid w:val="001D161A"/>
    <w:rsid w:val="001D1FBB"/>
    <w:rsid w:val="001D2038"/>
    <w:rsid w:val="001D306E"/>
    <w:rsid w:val="001D3434"/>
    <w:rsid w:val="001D3A50"/>
    <w:rsid w:val="001D3DF8"/>
    <w:rsid w:val="001D43CA"/>
    <w:rsid w:val="001D4B59"/>
    <w:rsid w:val="001D4DF2"/>
    <w:rsid w:val="001D4E6E"/>
    <w:rsid w:val="001D4F03"/>
    <w:rsid w:val="001D4F7B"/>
    <w:rsid w:val="001D53D5"/>
    <w:rsid w:val="001D560F"/>
    <w:rsid w:val="001D5C77"/>
    <w:rsid w:val="001D60F6"/>
    <w:rsid w:val="001D6374"/>
    <w:rsid w:val="001D6C8A"/>
    <w:rsid w:val="001D70E4"/>
    <w:rsid w:val="001D717E"/>
    <w:rsid w:val="001D7415"/>
    <w:rsid w:val="001D7711"/>
    <w:rsid w:val="001D7CD5"/>
    <w:rsid w:val="001E00DC"/>
    <w:rsid w:val="001E0107"/>
    <w:rsid w:val="001E0C88"/>
    <w:rsid w:val="001E0D15"/>
    <w:rsid w:val="001E1B9C"/>
    <w:rsid w:val="001E1C94"/>
    <w:rsid w:val="001E1FFC"/>
    <w:rsid w:val="001E260F"/>
    <w:rsid w:val="001E26A9"/>
    <w:rsid w:val="001E29AA"/>
    <w:rsid w:val="001E2F66"/>
    <w:rsid w:val="001E3493"/>
    <w:rsid w:val="001E3B99"/>
    <w:rsid w:val="001E3F5B"/>
    <w:rsid w:val="001E4979"/>
    <w:rsid w:val="001E4CD2"/>
    <w:rsid w:val="001E4FD5"/>
    <w:rsid w:val="001E55C9"/>
    <w:rsid w:val="001E5B82"/>
    <w:rsid w:val="001E5F23"/>
    <w:rsid w:val="001E6736"/>
    <w:rsid w:val="001E69AC"/>
    <w:rsid w:val="001E72E2"/>
    <w:rsid w:val="001E73BB"/>
    <w:rsid w:val="001E73CC"/>
    <w:rsid w:val="001E79A9"/>
    <w:rsid w:val="001E7A36"/>
    <w:rsid w:val="001E7B8A"/>
    <w:rsid w:val="001E7CB9"/>
    <w:rsid w:val="001E7EBA"/>
    <w:rsid w:val="001E7EC4"/>
    <w:rsid w:val="001F0145"/>
    <w:rsid w:val="001F0A02"/>
    <w:rsid w:val="001F0A64"/>
    <w:rsid w:val="001F150C"/>
    <w:rsid w:val="001F1927"/>
    <w:rsid w:val="001F2037"/>
    <w:rsid w:val="001F22D8"/>
    <w:rsid w:val="001F277B"/>
    <w:rsid w:val="001F28F6"/>
    <w:rsid w:val="001F2E8E"/>
    <w:rsid w:val="001F31B4"/>
    <w:rsid w:val="001F335D"/>
    <w:rsid w:val="001F3704"/>
    <w:rsid w:val="001F37B0"/>
    <w:rsid w:val="001F3E71"/>
    <w:rsid w:val="001F3FFF"/>
    <w:rsid w:val="001F425B"/>
    <w:rsid w:val="001F540D"/>
    <w:rsid w:val="001F55E6"/>
    <w:rsid w:val="001F5625"/>
    <w:rsid w:val="001F57F3"/>
    <w:rsid w:val="001F607D"/>
    <w:rsid w:val="001F65B6"/>
    <w:rsid w:val="001F68C0"/>
    <w:rsid w:val="001F715E"/>
    <w:rsid w:val="001F75AB"/>
    <w:rsid w:val="001F7975"/>
    <w:rsid w:val="001F7B5F"/>
    <w:rsid w:val="001F7E62"/>
    <w:rsid w:val="00200584"/>
    <w:rsid w:val="002005DE"/>
    <w:rsid w:val="00200FB2"/>
    <w:rsid w:val="002010DA"/>
    <w:rsid w:val="002015E4"/>
    <w:rsid w:val="00201BD4"/>
    <w:rsid w:val="002025D5"/>
    <w:rsid w:val="00202F20"/>
    <w:rsid w:val="002034F1"/>
    <w:rsid w:val="00203BE3"/>
    <w:rsid w:val="002044C0"/>
    <w:rsid w:val="0020526C"/>
    <w:rsid w:val="002063BF"/>
    <w:rsid w:val="00206569"/>
    <w:rsid w:val="00206A42"/>
    <w:rsid w:val="00206BC8"/>
    <w:rsid w:val="00206BCD"/>
    <w:rsid w:val="00206DCD"/>
    <w:rsid w:val="00206F9D"/>
    <w:rsid w:val="00206FE6"/>
    <w:rsid w:val="00207093"/>
    <w:rsid w:val="0020762F"/>
    <w:rsid w:val="002076B7"/>
    <w:rsid w:val="00207AC0"/>
    <w:rsid w:val="00207F9D"/>
    <w:rsid w:val="00210050"/>
    <w:rsid w:val="00210AD9"/>
    <w:rsid w:val="00210D21"/>
    <w:rsid w:val="00211599"/>
    <w:rsid w:val="00211AB7"/>
    <w:rsid w:val="00211D62"/>
    <w:rsid w:val="00211F22"/>
    <w:rsid w:val="00211FB0"/>
    <w:rsid w:val="00212026"/>
    <w:rsid w:val="0021231E"/>
    <w:rsid w:val="002126C7"/>
    <w:rsid w:val="00212F98"/>
    <w:rsid w:val="00213194"/>
    <w:rsid w:val="002131E4"/>
    <w:rsid w:val="00213271"/>
    <w:rsid w:val="00213585"/>
    <w:rsid w:val="00213C7C"/>
    <w:rsid w:val="002142A8"/>
    <w:rsid w:val="0021438C"/>
    <w:rsid w:val="00214F83"/>
    <w:rsid w:val="0021540C"/>
    <w:rsid w:val="00215A0D"/>
    <w:rsid w:val="00215B7E"/>
    <w:rsid w:val="0021647E"/>
    <w:rsid w:val="00216686"/>
    <w:rsid w:val="00216E74"/>
    <w:rsid w:val="00216EB3"/>
    <w:rsid w:val="00217137"/>
    <w:rsid w:val="00217227"/>
    <w:rsid w:val="002172E3"/>
    <w:rsid w:val="002174DA"/>
    <w:rsid w:val="002175A9"/>
    <w:rsid w:val="002178E9"/>
    <w:rsid w:val="00217B35"/>
    <w:rsid w:val="00217F95"/>
    <w:rsid w:val="0022037A"/>
    <w:rsid w:val="002208D4"/>
    <w:rsid w:val="0022106D"/>
    <w:rsid w:val="002213F0"/>
    <w:rsid w:val="00221470"/>
    <w:rsid w:val="00221651"/>
    <w:rsid w:val="0022192A"/>
    <w:rsid w:val="00221A7B"/>
    <w:rsid w:val="0022282E"/>
    <w:rsid w:val="00223386"/>
    <w:rsid w:val="00223E32"/>
    <w:rsid w:val="00224287"/>
    <w:rsid w:val="002242E8"/>
    <w:rsid w:val="002244A9"/>
    <w:rsid w:val="00225727"/>
    <w:rsid w:val="002267BB"/>
    <w:rsid w:val="00226DC3"/>
    <w:rsid w:val="0022732E"/>
    <w:rsid w:val="00227440"/>
    <w:rsid w:val="00227505"/>
    <w:rsid w:val="00227688"/>
    <w:rsid w:val="0023068D"/>
    <w:rsid w:val="00230A2F"/>
    <w:rsid w:val="00230B8E"/>
    <w:rsid w:val="00231435"/>
    <w:rsid w:val="002314B3"/>
    <w:rsid w:val="002318AD"/>
    <w:rsid w:val="00231AB2"/>
    <w:rsid w:val="00232126"/>
    <w:rsid w:val="002322B9"/>
    <w:rsid w:val="00232A57"/>
    <w:rsid w:val="00232B66"/>
    <w:rsid w:val="00232B9B"/>
    <w:rsid w:val="00232D63"/>
    <w:rsid w:val="00233DF9"/>
    <w:rsid w:val="00233E42"/>
    <w:rsid w:val="00233EFC"/>
    <w:rsid w:val="00234CE7"/>
    <w:rsid w:val="00234DB4"/>
    <w:rsid w:val="0023548E"/>
    <w:rsid w:val="00235738"/>
    <w:rsid w:val="002358A8"/>
    <w:rsid w:val="00235959"/>
    <w:rsid w:val="00235984"/>
    <w:rsid w:val="00235ED1"/>
    <w:rsid w:val="002360D7"/>
    <w:rsid w:val="00237869"/>
    <w:rsid w:val="0023792D"/>
    <w:rsid w:val="00237938"/>
    <w:rsid w:val="00237F13"/>
    <w:rsid w:val="00240249"/>
    <w:rsid w:val="00240342"/>
    <w:rsid w:val="00240EED"/>
    <w:rsid w:val="00241056"/>
    <w:rsid w:val="0024109E"/>
    <w:rsid w:val="0024127A"/>
    <w:rsid w:val="00241D19"/>
    <w:rsid w:val="002420CC"/>
    <w:rsid w:val="002422D3"/>
    <w:rsid w:val="0024331A"/>
    <w:rsid w:val="00243479"/>
    <w:rsid w:val="00243C39"/>
    <w:rsid w:val="00243E7D"/>
    <w:rsid w:val="00245319"/>
    <w:rsid w:val="002454B0"/>
    <w:rsid w:val="002456AB"/>
    <w:rsid w:val="00245990"/>
    <w:rsid w:val="00245D0A"/>
    <w:rsid w:val="00245D66"/>
    <w:rsid w:val="00246667"/>
    <w:rsid w:val="0024668F"/>
    <w:rsid w:val="0024763C"/>
    <w:rsid w:val="00247B10"/>
    <w:rsid w:val="00247B5F"/>
    <w:rsid w:val="00247BFF"/>
    <w:rsid w:val="00247EBB"/>
    <w:rsid w:val="00250A64"/>
    <w:rsid w:val="00250B60"/>
    <w:rsid w:val="00250B97"/>
    <w:rsid w:val="0025168C"/>
    <w:rsid w:val="00251BD9"/>
    <w:rsid w:val="00251D8E"/>
    <w:rsid w:val="002520FA"/>
    <w:rsid w:val="00252301"/>
    <w:rsid w:val="002524C5"/>
    <w:rsid w:val="002526C9"/>
    <w:rsid w:val="00252A3B"/>
    <w:rsid w:val="00252AE6"/>
    <w:rsid w:val="00252C88"/>
    <w:rsid w:val="002539DB"/>
    <w:rsid w:val="00254428"/>
    <w:rsid w:val="00254E83"/>
    <w:rsid w:val="0025515B"/>
    <w:rsid w:val="00255BF6"/>
    <w:rsid w:val="00255C89"/>
    <w:rsid w:val="00256271"/>
    <w:rsid w:val="00256404"/>
    <w:rsid w:val="0025685A"/>
    <w:rsid w:val="00256AD5"/>
    <w:rsid w:val="00256CA0"/>
    <w:rsid w:val="00256CA4"/>
    <w:rsid w:val="00256CAE"/>
    <w:rsid w:val="00256DEC"/>
    <w:rsid w:val="00256EFB"/>
    <w:rsid w:val="00257E7F"/>
    <w:rsid w:val="00260271"/>
    <w:rsid w:val="002603B5"/>
    <w:rsid w:val="0026057C"/>
    <w:rsid w:val="002606CB"/>
    <w:rsid w:val="00260B5D"/>
    <w:rsid w:val="002611F4"/>
    <w:rsid w:val="002612B1"/>
    <w:rsid w:val="0026144D"/>
    <w:rsid w:val="00261ABD"/>
    <w:rsid w:val="00261B4D"/>
    <w:rsid w:val="00261F3E"/>
    <w:rsid w:val="00261FE0"/>
    <w:rsid w:val="00262C1E"/>
    <w:rsid w:val="0026312F"/>
    <w:rsid w:val="002632E6"/>
    <w:rsid w:val="0026384C"/>
    <w:rsid w:val="00263B5E"/>
    <w:rsid w:val="00264162"/>
    <w:rsid w:val="0026441E"/>
    <w:rsid w:val="002646DA"/>
    <w:rsid w:val="00264773"/>
    <w:rsid w:val="00264AA4"/>
    <w:rsid w:val="00264DE9"/>
    <w:rsid w:val="00264F90"/>
    <w:rsid w:val="0026588E"/>
    <w:rsid w:val="00265C26"/>
    <w:rsid w:val="00265CCC"/>
    <w:rsid w:val="0026623F"/>
    <w:rsid w:val="00266DB6"/>
    <w:rsid w:val="0026731A"/>
    <w:rsid w:val="00267648"/>
    <w:rsid w:val="0026769C"/>
    <w:rsid w:val="00267D19"/>
    <w:rsid w:val="0027006C"/>
    <w:rsid w:val="00270132"/>
    <w:rsid w:val="0027021E"/>
    <w:rsid w:val="00270635"/>
    <w:rsid w:val="002714D3"/>
    <w:rsid w:val="002719B4"/>
    <w:rsid w:val="00271DCC"/>
    <w:rsid w:val="0027211C"/>
    <w:rsid w:val="00272158"/>
    <w:rsid w:val="00272484"/>
    <w:rsid w:val="00272F82"/>
    <w:rsid w:val="002732F2"/>
    <w:rsid w:val="00273648"/>
    <w:rsid w:val="002736FD"/>
    <w:rsid w:val="00273793"/>
    <w:rsid w:val="00273CA6"/>
    <w:rsid w:val="00273E63"/>
    <w:rsid w:val="002745A7"/>
    <w:rsid w:val="0027488F"/>
    <w:rsid w:val="002749D5"/>
    <w:rsid w:val="00274A39"/>
    <w:rsid w:val="0027575E"/>
    <w:rsid w:val="00275A4C"/>
    <w:rsid w:val="00275E4B"/>
    <w:rsid w:val="002767E2"/>
    <w:rsid w:val="0027732F"/>
    <w:rsid w:val="002773FC"/>
    <w:rsid w:val="00277C22"/>
    <w:rsid w:val="00277CAF"/>
    <w:rsid w:val="00280B6D"/>
    <w:rsid w:val="002815D5"/>
    <w:rsid w:val="00281662"/>
    <w:rsid w:val="002819CE"/>
    <w:rsid w:val="00281A1C"/>
    <w:rsid w:val="00281BD9"/>
    <w:rsid w:val="00282133"/>
    <w:rsid w:val="00282193"/>
    <w:rsid w:val="002821F9"/>
    <w:rsid w:val="00282E41"/>
    <w:rsid w:val="002830DC"/>
    <w:rsid w:val="00284216"/>
    <w:rsid w:val="002842AF"/>
    <w:rsid w:val="002844FE"/>
    <w:rsid w:val="00284A6E"/>
    <w:rsid w:val="00284A7A"/>
    <w:rsid w:val="00284C14"/>
    <w:rsid w:val="00285414"/>
    <w:rsid w:val="0028558F"/>
    <w:rsid w:val="0028559A"/>
    <w:rsid w:val="00285ACB"/>
    <w:rsid w:val="00285CA8"/>
    <w:rsid w:val="00285D28"/>
    <w:rsid w:val="00286262"/>
    <w:rsid w:val="0028646D"/>
    <w:rsid w:val="002866AC"/>
    <w:rsid w:val="002872CD"/>
    <w:rsid w:val="002876E5"/>
    <w:rsid w:val="00287E02"/>
    <w:rsid w:val="00290163"/>
    <w:rsid w:val="002903C3"/>
    <w:rsid w:val="00290C5E"/>
    <w:rsid w:val="00290CEE"/>
    <w:rsid w:val="00290E3F"/>
    <w:rsid w:val="00291119"/>
    <w:rsid w:val="002913AA"/>
    <w:rsid w:val="002918C4"/>
    <w:rsid w:val="00291903"/>
    <w:rsid w:val="00291DAC"/>
    <w:rsid w:val="00292E4F"/>
    <w:rsid w:val="002930BE"/>
    <w:rsid w:val="00293211"/>
    <w:rsid w:val="00293D5E"/>
    <w:rsid w:val="00293E22"/>
    <w:rsid w:val="00294069"/>
    <w:rsid w:val="002944AD"/>
    <w:rsid w:val="0029492A"/>
    <w:rsid w:val="002958A8"/>
    <w:rsid w:val="00295E0D"/>
    <w:rsid w:val="00296043"/>
    <w:rsid w:val="0029629E"/>
    <w:rsid w:val="00296489"/>
    <w:rsid w:val="002968AA"/>
    <w:rsid w:val="00296E18"/>
    <w:rsid w:val="00296EA8"/>
    <w:rsid w:val="00297606"/>
    <w:rsid w:val="00297AC3"/>
    <w:rsid w:val="00297D5B"/>
    <w:rsid w:val="00297FBE"/>
    <w:rsid w:val="002A0389"/>
    <w:rsid w:val="002A048C"/>
    <w:rsid w:val="002A08D8"/>
    <w:rsid w:val="002A1068"/>
    <w:rsid w:val="002A179E"/>
    <w:rsid w:val="002A188F"/>
    <w:rsid w:val="002A1EF6"/>
    <w:rsid w:val="002A2618"/>
    <w:rsid w:val="002A2D4A"/>
    <w:rsid w:val="002A314C"/>
    <w:rsid w:val="002A31FB"/>
    <w:rsid w:val="002A37E2"/>
    <w:rsid w:val="002A3886"/>
    <w:rsid w:val="002A3C36"/>
    <w:rsid w:val="002A4B44"/>
    <w:rsid w:val="002A4BE1"/>
    <w:rsid w:val="002A4F4A"/>
    <w:rsid w:val="002A4FEF"/>
    <w:rsid w:val="002A51F0"/>
    <w:rsid w:val="002A52FD"/>
    <w:rsid w:val="002A5AA9"/>
    <w:rsid w:val="002A5B4F"/>
    <w:rsid w:val="002A5FBB"/>
    <w:rsid w:val="002A61AF"/>
    <w:rsid w:val="002A61DF"/>
    <w:rsid w:val="002A66FC"/>
    <w:rsid w:val="002A6C7D"/>
    <w:rsid w:val="002B019A"/>
    <w:rsid w:val="002B024F"/>
    <w:rsid w:val="002B0282"/>
    <w:rsid w:val="002B046F"/>
    <w:rsid w:val="002B0627"/>
    <w:rsid w:val="002B07DB"/>
    <w:rsid w:val="002B0821"/>
    <w:rsid w:val="002B083B"/>
    <w:rsid w:val="002B0E3C"/>
    <w:rsid w:val="002B1220"/>
    <w:rsid w:val="002B1480"/>
    <w:rsid w:val="002B185F"/>
    <w:rsid w:val="002B1938"/>
    <w:rsid w:val="002B1990"/>
    <w:rsid w:val="002B1A13"/>
    <w:rsid w:val="002B1BAD"/>
    <w:rsid w:val="002B1DD6"/>
    <w:rsid w:val="002B23E2"/>
    <w:rsid w:val="002B26F3"/>
    <w:rsid w:val="002B285D"/>
    <w:rsid w:val="002B297B"/>
    <w:rsid w:val="002B2A18"/>
    <w:rsid w:val="002B2C7E"/>
    <w:rsid w:val="002B2D2E"/>
    <w:rsid w:val="002B2DE8"/>
    <w:rsid w:val="002B2FA7"/>
    <w:rsid w:val="002B368C"/>
    <w:rsid w:val="002B371F"/>
    <w:rsid w:val="002B4547"/>
    <w:rsid w:val="002B47B3"/>
    <w:rsid w:val="002B5352"/>
    <w:rsid w:val="002B5D45"/>
    <w:rsid w:val="002B5F56"/>
    <w:rsid w:val="002B6212"/>
    <w:rsid w:val="002B6F12"/>
    <w:rsid w:val="002B7334"/>
    <w:rsid w:val="002B75B8"/>
    <w:rsid w:val="002B7609"/>
    <w:rsid w:val="002B7ABC"/>
    <w:rsid w:val="002B7C1F"/>
    <w:rsid w:val="002C0274"/>
    <w:rsid w:val="002C03C4"/>
    <w:rsid w:val="002C0461"/>
    <w:rsid w:val="002C093B"/>
    <w:rsid w:val="002C0AC7"/>
    <w:rsid w:val="002C0C6C"/>
    <w:rsid w:val="002C15FE"/>
    <w:rsid w:val="002C19A3"/>
    <w:rsid w:val="002C1B71"/>
    <w:rsid w:val="002C1BC9"/>
    <w:rsid w:val="002C1D25"/>
    <w:rsid w:val="002C1DFB"/>
    <w:rsid w:val="002C2B06"/>
    <w:rsid w:val="002C2D4A"/>
    <w:rsid w:val="002C3DBE"/>
    <w:rsid w:val="002C4332"/>
    <w:rsid w:val="002C4ABD"/>
    <w:rsid w:val="002C4AD5"/>
    <w:rsid w:val="002C4F90"/>
    <w:rsid w:val="002C50CC"/>
    <w:rsid w:val="002C512A"/>
    <w:rsid w:val="002C51B6"/>
    <w:rsid w:val="002C559E"/>
    <w:rsid w:val="002C5672"/>
    <w:rsid w:val="002C5AB6"/>
    <w:rsid w:val="002C60F2"/>
    <w:rsid w:val="002C6152"/>
    <w:rsid w:val="002C663D"/>
    <w:rsid w:val="002C6A22"/>
    <w:rsid w:val="002C6EDA"/>
    <w:rsid w:val="002C71A3"/>
    <w:rsid w:val="002C7C4A"/>
    <w:rsid w:val="002D0034"/>
    <w:rsid w:val="002D0323"/>
    <w:rsid w:val="002D0425"/>
    <w:rsid w:val="002D0B1C"/>
    <w:rsid w:val="002D19B0"/>
    <w:rsid w:val="002D1D6E"/>
    <w:rsid w:val="002D321C"/>
    <w:rsid w:val="002D34BA"/>
    <w:rsid w:val="002D37E4"/>
    <w:rsid w:val="002D451F"/>
    <w:rsid w:val="002D4CA5"/>
    <w:rsid w:val="002D5057"/>
    <w:rsid w:val="002D5370"/>
    <w:rsid w:val="002D5425"/>
    <w:rsid w:val="002D5CE2"/>
    <w:rsid w:val="002D62F5"/>
    <w:rsid w:val="002D672D"/>
    <w:rsid w:val="002D6DB5"/>
    <w:rsid w:val="002D6E09"/>
    <w:rsid w:val="002D75D7"/>
    <w:rsid w:val="002E0F41"/>
    <w:rsid w:val="002E12D2"/>
    <w:rsid w:val="002E135F"/>
    <w:rsid w:val="002E16CF"/>
    <w:rsid w:val="002E1B1F"/>
    <w:rsid w:val="002E221B"/>
    <w:rsid w:val="002E235B"/>
    <w:rsid w:val="002E2715"/>
    <w:rsid w:val="002E27B5"/>
    <w:rsid w:val="002E2B0F"/>
    <w:rsid w:val="002E3978"/>
    <w:rsid w:val="002E3AAE"/>
    <w:rsid w:val="002E4003"/>
    <w:rsid w:val="002E4051"/>
    <w:rsid w:val="002E440C"/>
    <w:rsid w:val="002E4755"/>
    <w:rsid w:val="002E4930"/>
    <w:rsid w:val="002E4EEE"/>
    <w:rsid w:val="002E50E1"/>
    <w:rsid w:val="002E53A7"/>
    <w:rsid w:val="002E55F9"/>
    <w:rsid w:val="002E57D5"/>
    <w:rsid w:val="002E58DE"/>
    <w:rsid w:val="002E67D0"/>
    <w:rsid w:val="002E6D36"/>
    <w:rsid w:val="002E7D36"/>
    <w:rsid w:val="002F00A5"/>
    <w:rsid w:val="002F00C9"/>
    <w:rsid w:val="002F0317"/>
    <w:rsid w:val="002F04F3"/>
    <w:rsid w:val="002F0B74"/>
    <w:rsid w:val="002F1307"/>
    <w:rsid w:val="002F1596"/>
    <w:rsid w:val="002F19DE"/>
    <w:rsid w:val="002F1A4D"/>
    <w:rsid w:val="002F1AF8"/>
    <w:rsid w:val="002F1B6A"/>
    <w:rsid w:val="002F1B79"/>
    <w:rsid w:val="002F1EC9"/>
    <w:rsid w:val="002F2394"/>
    <w:rsid w:val="002F2445"/>
    <w:rsid w:val="002F272D"/>
    <w:rsid w:val="002F295B"/>
    <w:rsid w:val="002F2CF5"/>
    <w:rsid w:val="002F2FDC"/>
    <w:rsid w:val="002F3540"/>
    <w:rsid w:val="002F386F"/>
    <w:rsid w:val="002F3BC7"/>
    <w:rsid w:val="002F3E24"/>
    <w:rsid w:val="002F3EE2"/>
    <w:rsid w:val="002F49E1"/>
    <w:rsid w:val="002F4E0D"/>
    <w:rsid w:val="002F4F96"/>
    <w:rsid w:val="002F5247"/>
    <w:rsid w:val="002F5D9A"/>
    <w:rsid w:val="002F5E9F"/>
    <w:rsid w:val="002F671E"/>
    <w:rsid w:val="002F6C1C"/>
    <w:rsid w:val="002F6D9B"/>
    <w:rsid w:val="002F6ED3"/>
    <w:rsid w:val="002F74B2"/>
    <w:rsid w:val="002F7572"/>
    <w:rsid w:val="002F7655"/>
    <w:rsid w:val="002F7671"/>
    <w:rsid w:val="002F78D5"/>
    <w:rsid w:val="002F7F15"/>
    <w:rsid w:val="0030009E"/>
    <w:rsid w:val="0030108F"/>
    <w:rsid w:val="003010C5"/>
    <w:rsid w:val="003010E9"/>
    <w:rsid w:val="003030EF"/>
    <w:rsid w:val="00303767"/>
    <w:rsid w:val="00303AA9"/>
    <w:rsid w:val="00303AC0"/>
    <w:rsid w:val="00304038"/>
    <w:rsid w:val="0030405C"/>
    <w:rsid w:val="003040C4"/>
    <w:rsid w:val="00304187"/>
    <w:rsid w:val="003042DE"/>
    <w:rsid w:val="0030488E"/>
    <w:rsid w:val="00304B5F"/>
    <w:rsid w:val="003053DB"/>
    <w:rsid w:val="003055AF"/>
    <w:rsid w:val="00305EA0"/>
    <w:rsid w:val="00305EA7"/>
    <w:rsid w:val="003067F8"/>
    <w:rsid w:val="00306958"/>
    <w:rsid w:val="0030696D"/>
    <w:rsid w:val="00306C7F"/>
    <w:rsid w:val="00307083"/>
    <w:rsid w:val="0030779E"/>
    <w:rsid w:val="003079F4"/>
    <w:rsid w:val="00307CDD"/>
    <w:rsid w:val="00307DED"/>
    <w:rsid w:val="00310066"/>
    <w:rsid w:val="0031042F"/>
    <w:rsid w:val="003107D4"/>
    <w:rsid w:val="00310989"/>
    <w:rsid w:val="00311236"/>
    <w:rsid w:val="00311676"/>
    <w:rsid w:val="00311837"/>
    <w:rsid w:val="00311E6D"/>
    <w:rsid w:val="003129A3"/>
    <w:rsid w:val="003133F0"/>
    <w:rsid w:val="0031341E"/>
    <w:rsid w:val="0031380B"/>
    <w:rsid w:val="003143D2"/>
    <w:rsid w:val="003146F5"/>
    <w:rsid w:val="00314D32"/>
    <w:rsid w:val="00315010"/>
    <w:rsid w:val="0031528A"/>
    <w:rsid w:val="0031554D"/>
    <w:rsid w:val="003156CE"/>
    <w:rsid w:val="00315AB4"/>
    <w:rsid w:val="00315CF0"/>
    <w:rsid w:val="00316011"/>
    <w:rsid w:val="003169CA"/>
    <w:rsid w:val="00316BF0"/>
    <w:rsid w:val="00317038"/>
    <w:rsid w:val="003173E2"/>
    <w:rsid w:val="003178B2"/>
    <w:rsid w:val="00317A69"/>
    <w:rsid w:val="003200B8"/>
    <w:rsid w:val="003204DF"/>
    <w:rsid w:val="003208BF"/>
    <w:rsid w:val="00320EB0"/>
    <w:rsid w:val="0032100C"/>
    <w:rsid w:val="00322682"/>
    <w:rsid w:val="00322A56"/>
    <w:rsid w:val="00322BB3"/>
    <w:rsid w:val="00322DA2"/>
    <w:rsid w:val="003231A0"/>
    <w:rsid w:val="00323283"/>
    <w:rsid w:val="0032360B"/>
    <w:rsid w:val="00323610"/>
    <w:rsid w:val="00323B50"/>
    <w:rsid w:val="00323D5C"/>
    <w:rsid w:val="00324618"/>
    <w:rsid w:val="00324A0B"/>
    <w:rsid w:val="00324CFD"/>
    <w:rsid w:val="00324FBE"/>
    <w:rsid w:val="003258F1"/>
    <w:rsid w:val="00325B4F"/>
    <w:rsid w:val="003266A6"/>
    <w:rsid w:val="00326A36"/>
    <w:rsid w:val="00327774"/>
    <w:rsid w:val="0033043F"/>
    <w:rsid w:val="003311B4"/>
    <w:rsid w:val="00331695"/>
    <w:rsid w:val="00331B2F"/>
    <w:rsid w:val="00331BCC"/>
    <w:rsid w:val="00331DBD"/>
    <w:rsid w:val="00331FE9"/>
    <w:rsid w:val="00332533"/>
    <w:rsid w:val="00332A56"/>
    <w:rsid w:val="00333161"/>
    <w:rsid w:val="00333558"/>
    <w:rsid w:val="00333C23"/>
    <w:rsid w:val="00333D33"/>
    <w:rsid w:val="0033424F"/>
    <w:rsid w:val="00334439"/>
    <w:rsid w:val="0033446A"/>
    <w:rsid w:val="00334BA3"/>
    <w:rsid w:val="00334EF4"/>
    <w:rsid w:val="00334FFF"/>
    <w:rsid w:val="003353BD"/>
    <w:rsid w:val="003354F5"/>
    <w:rsid w:val="003355E4"/>
    <w:rsid w:val="00335673"/>
    <w:rsid w:val="00335974"/>
    <w:rsid w:val="00335E70"/>
    <w:rsid w:val="00335EF9"/>
    <w:rsid w:val="00336554"/>
    <w:rsid w:val="00337055"/>
    <w:rsid w:val="00337183"/>
    <w:rsid w:val="00337360"/>
    <w:rsid w:val="00337499"/>
    <w:rsid w:val="003374CE"/>
    <w:rsid w:val="00337B86"/>
    <w:rsid w:val="00337D65"/>
    <w:rsid w:val="0034002E"/>
    <w:rsid w:val="00340139"/>
    <w:rsid w:val="0034016F"/>
    <w:rsid w:val="0034046E"/>
    <w:rsid w:val="00340DDC"/>
    <w:rsid w:val="00340E6B"/>
    <w:rsid w:val="00342A44"/>
    <w:rsid w:val="00342B8A"/>
    <w:rsid w:val="00343518"/>
    <w:rsid w:val="00343859"/>
    <w:rsid w:val="0034392E"/>
    <w:rsid w:val="00343BD9"/>
    <w:rsid w:val="00343EEF"/>
    <w:rsid w:val="00344135"/>
    <w:rsid w:val="00344622"/>
    <w:rsid w:val="00344D62"/>
    <w:rsid w:val="00344F3A"/>
    <w:rsid w:val="003453A5"/>
    <w:rsid w:val="003453FE"/>
    <w:rsid w:val="0034566A"/>
    <w:rsid w:val="00345821"/>
    <w:rsid w:val="00345A18"/>
    <w:rsid w:val="0034673C"/>
    <w:rsid w:val="00346ADC"/>
    <w:rsid w:val="00346FB7"/>
    <w:rsid w:val="00350288"/>
    <w:rsid w:val="003503C6"/>
    <w:rsid w:val="00350BB4"/>
    <w:rsid w:val="00350EA2"/>
    <w:rsid w:val="00350F1F"/>
    <w:rsid w:val="00350F86"/>
    <w:rsid w:val="003528B2"/>
    <w:rsid w:val="00352910"/>
    <w:rsid w:val="00352A32"/>
    <w:rsid w:val="00352B1A"/>
    <w:rsid w:val="00352EF8"/>
    <w:rsid w:val="00352F98"/>
    <w:rsid w:val="00353225"/>
    <w:rsid w:val="00353390"/>
    <w:rsid w:val="003534ED"/>
    <w:rsid w:val="00353915"/>
    <w:rsid w:val="00353C49"/>
    <w:rsid w:val="003540A6"/>
    <w:rsid w:val="003545B5"/>
    <w:rsid w:val="00354711"/>
    <w:rsid w:val="0035473D"/>
    <w:rsid w:val="003548DC"/>
    <w:rsid w:val="00354B0D"/>
    <w:rsid w:val="00354EA0"/>
    <w:rsid w:val="00354EC3"/>
    <w:rsid w:val="00354EE5"/>
    <w:rsid w:val="00355021"/>
    <w:rsid w:val="0035523E"/>
    <w:rsid w:val="00355796"/>
    <w:rsid w:val="00355A91"/>
    <w:rsid w:val="00356542"/>
    <w:rsid w:val="00356776"/>
    <w:rsid w:val="00356958"/>
    <w:rsid w:val="00357357"/>
    <w:rsid w:val="00357942"/>
    <w:rsid w:val="00357973"/>
    <w:rsid w:val="003605A6"/>
    <w:rsid w:val="003605F5"/>
    <w:rsid w:val="00361556"/>
    <w:rsid w:val="00361768"/>
    <w:rsid w:val="00361B4C"/>
    <w:rsid w:val="00361BAC"/>
    <w:rsid w:val="00362331"/>
    <w:rsid w:val="0036238B"/>
    <w:rsid w:val="0036273A"/>
    <w:rsid w:val="00362876"/>
    <w:rsid w:val="0036289B"/>
    <w:rsid w:val="003628F1"/>
    <w:rsid w:val="00362BFF"/>
    <w:rsid w:val="003634B6"/>
    <w:rsid w:val="003636C8"/>
    <w:rsid w:val="0036402A"/>
    <w:rsid w:val="00364471"/>
    <w:rsid w:val="00364C3F"/>
    <w:rsid w:val="00364EE8"/>
    <w:rsid w:val="003657B4"/>
    <w:rsid w:val="00366210"/>
    <w:rsid w:val="0036648F"/>
    <w:rsid w:val="00366830"/>
    <w:rsid w:val="00366E2E"/>
    <w:rsid w:val="00367112"/>
    <w:rsid w:val="00367848"/>
    <w:rsid w:val="003703AA"/>
    <w:rsid w:val="003705B4"/>
    <w:rsid w:val="00370854"/>
    <w:rsid w:val="00371651"/>
    <w:rsid w:val="00371E25"/>
    <w:rsid w:val="00371F35"/>
    <w:rsid w:val="0037238A"/>
    <w:rsid w:val="0037238C"/>
    <w:rsid w:val="003726B8"/>
    <w:rsid w:val="00372AD5"/>
    <w:rsid w:val="00372F29"/>
    <w:rsid w:val="00372FC3"/>
    <w:rsid w:val="00373718"/>
    <w:rsid w:val="00373B59"/>
    <w:rsid w:val="00373E37"/>
    <w:rsid w:val="0037414B"/>
    <w:rsid w:val="00374373"/>
    <w:rsid w:val="003744E7"/>
    <w:rsid w:val="003746FF"/>
    <w:rsid w:val="00374C73"/>
    <w:rsid w:val="0037551B"/>
    <w:rsid w:val="00375BF4"/>
    <w:rsid w:val="00375D81"/>
    <w:rsid w:val="00376247"/>
    <w:rsid w:val="00376A67"/>
    <w:rsid w:val="00376C40"/>
    <w:rsid w:val="00376CCF"/>
    <w:rsid w:val="00376F82"/>
    <w:rsid w:val="003770BC"/>
    <w:rsid w:val="00377486"/>
    <w:rsid w:val="00377A8F"/>
    <w:rsid w:val="00377B7A"/>
    <w:rsid w:val="00377D10"/>
    <w:rsid w:val="00377F6A"/>
    <w:rsid w:val="003803A5"/>
    <w:rsid w:val="00380A11"/>
    <w:rsid w:val="00380C0D"/>
    <w:rsid w:val="00381AA6"/>
    <w:rsid w:val="00381CBA"/>
    <w:rsid w:val="00382947"/>
    <w:rsid w:val="00382A63"/>
    <w:rsid w:val="00383285"/>
    <w:rsid w:val="0038345D"/>
    <w:rsid w:val="0038361B"/>
    <w:rsid w:val="00384412"/>
    <w:rsid w:val="003847D9"/>
    <w:rsid w:val="003852A5"/>
    <w:rsid w:val="003853B3"/>
    <w:rsid w:val="003853B5"/>
    <w:rsid w:val="00385AD9"/>
    <w:rsid w:val="003861F5"/>
    <w:rsid w:val="0038678B"/>
    <w:rsid w:val="00386D66"/>
    <w:rsid w:val="00387161"/>
    <w:rsid w:val="003875BE"/>
    <w:rsid w:val="0039081F"/>
    <w:rsid w:val="00390AA7"/>
    <w:rsid w:val="00390F08"/>
    <w:rsid w:val="003911AD"/>
    <w:rsid w:val="003911B6"/>
    <w:rsid w:val="00391450"/>
    <w:rsid w:val="00391774"/>
    <w:rsid w:val="003925D4"/>
    <w:rsid w:val="0039273D"/>
    <w:rsid w:val="003930B1"/>
    <w:rsid w:val="00393166"/>
    <w:rsid w:val="00393EED"/>
    <w:rsid w:val="0039493A"/>
    <w:rsid w:val="00394AFC"/>
    <w:rsid w:val="00394B9F"/>
    <w:rsid w:val="00395001"/>
    <w:rsid w:val="00395577"/>
    <w:rsid w:val="0039572F"/>
    <w:rsid w:val="00395C91"/>
    <w:rsid w:val="00395DBD"/>
    <w:rsid w:val="0039630A"/>
    <w:rsid w:val="00396AD9"/>
    <w:rsid w:val="00396C6D"/>
    <w:rsid w:val="00396EC6"/>
    <w:rsid w:val="0039746F"/>
    <w:rsid w:val="0039781D"/>
    <w:rsid w:val="003A0776"/>
    <w:rsid w:val="003A0A1F"/>
    <w:rsid w:val="003A0A68"/>
    <w:rsid w:val="003A20BA"/>
    <w:rsid w:val="003A2261"/>
    <w:rsid w:val="003A2603"/>
    <w:rsid w:val="003A307E"/>
    <w:rsid w:val="003A31EF"/>
    <w:rsid w:val="003A37BE"/>
    <w:rsid w:val="003A3DD9"/>
    <w:rsid w:val="003A3DDF"/>
    <w:rsid w:val="003A4561"/>
    <w:rsid w:val="003A4B94"/>
    <w:rsid w:val="003A5028"/>
    <w:rsid w:val="003A52F8"/>
    <w:rsid w:val="003A57CA"/>
    <w:rsid w:val="003A5D8E"/>
    <w:rsid w:val="003A70BF"/>
    <w:rsid w:val="003A715D"/>
    <w:rsid w:val="003A74F1"/>
    <w:rsid w:val="003A7DC6"/>
    <w:rsid w:val="003A7EC9"/>
    <w:rsid w:val="003A7FA8"/>
    <w:rsid w:val="003B0254"/>
    <w:rsid w:val="003B05E7"/>
    <w:rsid w:val="003B063E"/>
    <w:rsid w:val="003B0B18"/>
    <w:rsid w:val="003B2FF4"/>
    <w:rsid w:val="003B3344"/>
    <w:rsid w:val="003B385E"/>
    <w:rsid w:val="003B3D58"/>
    <w:rsid w:val="003B3DD6"/>
    <w:rsid w:val="003B4125"/>
    <w:rsid w:val="003B454E"/>
    <w:rsid w:val="003B45B0"/>
    <w:rsid w:val="003B48C6"/>
    <w:rsid w:val="003B491A"/>
    <w:rsid w:val="003B4C4D"/>
    <w:rsid w:val="003B4F05"/>
    <w:rsid w:val="003B5241"/>
    <w:rsid w:val="003B57B0"/>
    <w:rsid w:val="003B5970"/>
    <w:rsid w:val="003B5CFF"/>
    <w:rsid w:val="003B6516"/>
    <w:rsid w:val="003B69DE"/>
    <w:rsid w:val="003B6A5B"/>
    <w:rsid w:val="003B7696"/>
    <w:rsid w:val="003B7846"/>
    <w:rsid w:val="003C0568"/>
    <w:rsid w:val="003C098E"/>
    <w:rsid w:val="003C0D5A"/>
    <w:rsid w:val="003C0E38"/>
    <w:rsid w:val="003C115B"/>
    <w:rsid w:val="003C130D"/>
    <w:rsid w:val="003C164B"/>
    <w:rsid w:val="003C1EC1"/>
    <w:rsid w:val="003C21AD"/>
    <w:rsid w:val="003C2540"/>
    <w:rsid w:val="003C2AC9"/>
    <w:rsid w:val="003C2FAF"/>
    <w:rsid w:val="003C32F4"/>
    <w:rsid w:val="003C34E9"/>
    <w:rsid w:val="003C37CB"/>
    <w:rsid w:val="003C3F07"/>
    <w:rsid w:val="003C3F5E"/>
    <w:rsid w:val="003C40E1"/>
    <w:rsid w:val="003C471B"/>
    <w:rsid w:val="003C4787"/>
    <w:rsid w:val="003C4D49"/>
    <w:rsid w:val="003C4F94"/>
    <w:rsid w:val="003C53F7"/>
    <w:rsid w:val="003C6788"/>
    <w:rsid w:val="003C6C21"/>
    <w:rsid w:val="003C6FFA"/>
    <w:rsid w:val="003C71CA"/>
    <w:rsid w:val="003C729E"/>
    <w:rsid w:val="003C780C"/>
    <w:rsid w:val="003C78B3"/>
    <w:rsid w:val="003C79B4"/>
    <w:rsid w:val="003C7BC1"/>
    <w:rsid w:val="003D03E2"/>
    <w:rsid w:val="003D043E"/>
    <w:rsid w:val="003D0980"/>
    <w:rsid w:val="003D1717"/>
    <w:rsid w:val="003D1BDE"/>
    <w:rsid w:val="003D20D7"/>
    <w:rsid w:val="003D23CC"/>
    <w:rsid w:val="003D2AF4"/>
    <w:rsid w:val="003D2BB8"/>
    <w:rsid w:val="003D2E48"/>
    <w:rsid w:val="003D2EA6"/>
    <w:rsid w:val="003D2EE1"/>
    <w:rsid w:val="003D3318"/>
    <w:rsid w:val="003D33EF"/>
    <w:rsid w:val="003D342C"/>
    <w:rsid w:val="003D34B3"/>
    <w:rsid w:val="003D34D7"/>
    <w:rsid w:val="003D356B"/>
    <w:rsid w:val="003D3B9A"/>
    <w:rsid w:val="003D43BA"/>
    <w:rsid w:val="003D44FD"/>
    <w:rsid w:val="003D4683"/>
    <w:rsid w:val="003D46AD"/>
    <w:rsid w:val="003D46D1"/>
    <w:rsid w:val="003D4962"/>
    <w:rsid w:val="003D5759"/>
    <w:rsid w:val="003D57F8"/>
    <w:rsid w:val="003D6153"/>
    <w:rsid w:val="003D626F"/>
    <w:rsid w:val="003D65FA"/>
    <w:rsid w:val="003D6A03"/>
    <w:rsid w:val="003D6D3D"/>
    <w:rsid w:val="003D6FFE"/>
    <w:rsid w:val="003D747D"/>
    <w:rsid w:val="003D77E1"/>
    <w:rsid w:val="003D78B8"/>
    <w:rsid w:val="003D7DBD"/>
    <w:rsid w:val="003E02EF"/>
    <w:rsid w:val="003E099F"/>
    <w:rsid w:val="003E0A75"/>
    <w:rsid w:val="003E106D"/>
    <w:rsid w:val="003E1338"/>
    <w:rsid w:val="003E1404"/>
    <w:rsid w:val="003E1C61"/>
    <w:rsid w:val="003E1D03"/>
    <w:rsid w:val="003E2057"/>
    <w:rsid w:val="003E24C8"/>
    <w:rsid w:val="003E2A29"/>
    <w:rsid w:val="003E32AA"/>
    <w:rsid w:val="003E32AD"/>
    <w:rsid w:val="003E3771"/>
    <w:rsid w:val="003E3EEC"/>
    <w:rsid w:val="003E4304"/>
    <w:rsid w:val="003E43E0"/>
    <w:rsid w:val="003E491A"/>
    <w:rsid w:val="003E493D"/>
    <w:rsid w:val="003E5C84"/>
    <w:rsid w:val="003E5CE7"/>
    <w:rsid w:val="003E6016"/>
    <w:rsid w:val="003E60C5"/>
    <w:rsid w:val="003E62D3"/>
    <w:rsid w:val="003E665D"/>
    <w:rsid w:val="003E68CE"/>
    <w:rsid w:val="003E729F"/>
    <w:rsid w:val="003E756D"/>
    <w:rsid w:val="003E78DE"/>
    <w:rsid w:val="003E7DD5"/>
    <w:rsid w:val="003F05AB"/>
    <w:rsid w:val="003F107A"/>
    <w:rsid w:val="003F14EF"/>
    <w:rsid w:val="003F1617"/>
    <w:rsid w:val="003F22CA"/>
    <w:rsid w:val="003F261D"/>
    <w:rsid w:val="003F286D"/>
    <w:rsid w:val="003F2884"/>
    <w:rsid w:val="003F2D23"/>
    <w:rsid w:val="003F34CF"/>
    <w:rsid w:val="003F363A"/>
    <w:rsid w:val="003F3A38"/>
    <w:rsid w:val="003F43E2"/>
    <w:rsid w:val="003F4780"/>
    <w:rsid w:val="003F47A4"/>
    <w:rsid w:val="003F4C84"/>
    <w:rsid w:val="003F5266"/>
    <w:rsid w:val="003F5971"/>
    <w:rsid w:val="003F6296"/>
    <w:rsid w:val="003F68D6"/>
    <w:rsid w:val="003F7020"/>
    <w:rsid w:val="003F7177"/>
    <w:rsid w:val="003F7FD2"/>
    <w:rsid w:val="004000E2"/>
    <w:rsid w:val="00400A35"/>
    <w:rsid w:val="00400ECF"/>
    <w:rsid w:val="004011DF"/>
    <w:rsid w:val="0040135D"/>
    <w:rsid w:val="00402A4C"/>
    <w:rsid w:val="00402B6A"/>
    <w:rsid w:val="0040324C"/>
    <w:rsid w:val="00403897"/>
    <w:rsid w:val="00403CEF"/>
    <w:rsid w:val="00403E16"/>
    <w:rsid w:val="0040433A"/>
    <w:rsid w:val="0040477B"/>
    <w:rsid w:val="0040496F"/>
    <w:rsid w:val="004049B8"/>
    <w:rsid w:val="00404E2B"/>
    <w:rsid w:val="00404E36"/>
    <w:rsid w:val="004050D8"/>
    <w:rsid w:val="00405203"/>
    <w:rsid w:val="00405769"/>
    <w:rsid w:val="00405882"/>
    <w:rsid w:val="00405C3C"/>
    <w:rsid w:val="00405C61"/>
    <w:rsid w:val="00406546"/>
    <w:rsid w:val="00406EF5"/>
    <w:rsid w:val="00406FD1"/>
    <w:rsid w:val="00407D01"/>
    <w:rsid w:val="004100B8"/>
    <w:rsid w:val="004105C4"/>
    <w:rsid w:val="004106AA"/>
    <w:rsid w:val="0041135A"/>
    <w:rsid w:val="00411742"/>
    <w:rsid w:val="00411966"/>
    <w:rsid w:val="00411A76"/>
    <w:rsid w:val="00412043"/>
    <w:rsid w:val="004122EA"/>
    <w:rsid w:val="004123B6"/>
    <w:rsid w:val="00412554"/>
    <w:rsid w:val="004134C5"/>
    <w:rsid w:val="0041399C"/>
    <w:rsid w:val="00413B6E"/>
    <w:rsid w:val="00414006"/>
    <w:rsid w:val="0041411E"/>
    <w:rsid w:val="00414A21"/>
    <w:rsid w:val="00414EC7"/>
    <w:rsid w:val="004152EC"/>
    <w:rsid w:val="00415E48"/>
    <w:rsid w:val="004160A6"/>
    <w:rsid w:val="00416116"/>
    <w:rsid w:val="0041653B"/>
    <w:rsid w:val="004166FF"/>
    <w:rsid w:val="00416948"/>
    <w:rsid w:val="00416D1F"/>
    <w:rsid w:val="00417658"/>
    <w:rsid w:val="004177D4"/>
    <w:rsid w:val="00417AF2"/>
    <w:rsid w:val="00417F7F"/>
    <w:rsid w:val="004203C4"/>
    <w:rsid w:val="00420579"/>
    <w:rsid w:val="00420EA1"/>
    <w:rsid w:val="00420ED5"/>
    <w:rsid w:val="0042239D"/>
    <w:rsid w:val="00422843"/>
    <w:rsid w:val="004233AE"/>
    <w:rsid w:val="00423EF8"/>
    <w:rsid w:val="0042418B"/>
    <w:rsid w:val="0042422C"/>
    <w:rsid w:val="00424CAD"/>
    <w:rsid w:val="00425587"/>
    <w:rsid w:val="004255D3"/>
    <w:rsid w:val="004268C5"/>
    <w:rsid w:val="00427B71"/>
    <w:rsid w:val="00427C6A"/>
    <w:rsid w:val="0043041E"/>
    <w:rsid w:val="004304CA"/>
    <w:rsid w:val="0043080E"/>
    <w:rsid w:val="00430818"/>
    <w:rsid w:val="0043098B"/>
    <w:rsid w:val="00430A5F"/>
    <w:rsid w:val="00430D48"/>
    <w:rsid w:val="004318E3"/>
    <w:rsid w:val="00431B2B"/>
    <w:rsid w:val="00431C7F"/>
    <w:rsid w:val="00432054"/>
    <w:rsid w:val="0043215E"/>
    <w:rsid w:val="004326EA"/>
    <w:rsid w:val="00432B9D"/>
    <w:rsid w:val="0043323C"/>
    <w:rsid w:val="00433358"/>
    <w:rsid w:val="00433503"/>
    <w:rsid w:val="00433C18"/>
    <w:rsid w:val="00433F9A"/>
    <w:rsid w:val="0043404A"/>
    <w:rsid w:val="004341B0"/>
    <w:rsid w:val="0043420D"/>
    <w:rsid w:val="00434F22"/>
    <w:rsid w:val="00434F7F"/>
    <w:rsid w:val="00435334"/>
    <w:rsid w:val="00435382"/>
    <w:rsid w:val="0043588E"/>
    <w:rsid w:val="00435AED"/>
    <w:rsid w:val="00435C09"/>
    <w:rsid w:val="00435CC9"/>
    <w:rsid w:val="00435F0F"/>
    <w:rsid w:val="00435FBA"/>
    <w:rsid w:val="00436937"/>
    <w:rsid w:val="004369F9"/>
    <w:rsid w:val="00436C37"/>
    <w:rsid w:val="00436D91"/>
    <w:rsid w:val="00436F68"/>
    <w:rsid w:val="0043736F"/>
    <w:rsid w:val="004377A1"/>
    <w:rsid w:val="00437859"/>
    <w:rsid w:val="00437ABB"/>
    <w:rsid w:val="00437DAB"/>
    <w:rsid w:val="00440184"/>
    <w:rsid w:val="004401E9"/>
    <w:rsid w:val="004405A3"/>
    <w:rsid w:val="00440AAB"/>
    <w:rsid w:val="00441217"/>
    <w:rsid w:val="004413CB"/>
    <w:rsid w:val="00441AAC"/>
    <w:rsid w:val="00442285"/>
    <w:rsid w:val="0044249E"/>
    <w:rsid w:val="004429BD"/>
    <w:rsid w:val="00442CA6"/>
    <w:rsid w:val="00442E10"/>
    <w:rsid w:val="00442EEC"/>
    <w:rsid w:val="0044359D"/>
    <w:rsid w:val="00443681"/>
    <w:rsid w:val="004436A5"/>
    <w:rsid w:val="00444502"/>
    <w:rsid w:val="00445A64"/>
    <w:rsid w:val="00445B70"/>
    <w:rsid w:val="00445B83"/>
    <w:rsid w:val="00445F00"/>
    <w:rsid w:val="00445F90"/>
    <w:rsid w:val="0044631F"/>
    <w:rsid w:val="00446B1E"/>
    <w:rsid w:val="00446D2A"/>
    <w:rsid w:val="00446DC9"/>
    <w:rsid w:val="00446F9B"/>
    <w:rsid w:val="0044736F"/>
    <w:rsid w:val="004473C3"/>
    <w:rsid w:val="00447427"/>
    <w:rsid w:val="0044755F"/>
    <w:rsid w:val="00447B2C"/>
    <w:rsid w:val="00447B42"/>
    <w:rsid w:val="00447F11"/>
    <w:rsid w:val="00450815"/>
    <w:rsid w:val="00450C59"/>
    <w:rsid w:val="00450E0E"/>
    <w:rsid w:val="00451471"/>
    <w:rsid w:val="00451637"/>
    <w:rsid w:val="00452527"/>
    <w:rsid w:val="00452672"/>
    <w:rsid w:val="00452771"/>
    <w:rsid w:val="00452F5C"/>
    <w:rsid w:val="004530AF"/>
    <w:rsid w:val="00453649"/>
    <w:rsid w:val="0045384A"/>
    <w:rsid w:val="0045395E"/>
    <w:rsid w:val="00453D1C"/>
    <w:rsid w:val="00453E83"/>
    <w:rsid w:val="00455430"/>
    <w:rsid w:val="0045546F"/>
    <w:rsid w:val="00455493"/>
    <w:rsid w:val="004556CC"/>
    <w:rsid w:val="004558D5"/>
    <w:rsid w:val="00455FDA"/>
    <w:rsid w:val="004561D5"/>
    <w:rsid w:val="004563AF"/>
    <w:rsid w:val="00457DBC"/>
    <w:rsid w:val="00457F55"/>
    <w:rsid w:val="00460242"/>
    <w:rsid w:val="0046031A"/>
    <w:rsid w:val="004609E5"/>
    <w:rsid w:val="00460B08"/>
    <w:rsid w:val="00460BD8"/>
    <w:rsid w:val="00460CCE"/>
    <w:rsid w:val="004612FF"/>
    <w:rsid w:val="00461A82"/>
    <w:rsid w:val="00461E16"/>
    <w:rsid w:val="0046277E"/>
    <w:rsid w:val="00463114"/>
    <w:rsid w:val="004635F3"/>
    <w:rsid w:val="004638A6"/>
    <w:rsid w:val="004643B3"/>
    <w:rsid w:val="00464439"/>
    <w:rsid w:val="00464B70"/>
    <w:rsid w:val="004658EE"/>
    <w:rsid w:val="004662DC"/>
    <w:rsid w:val="0046675D"/>
    <w:rsid w:val="00466BAC"/>
    <w:rsid w:val="004678B5"/>
    <w:rsid w:val="00467905"/>
    <w:rsid w:val="004679C2"/>
    <w:rsid w:val="00467AE4"/>
    <w:rsid w:val="00467B6E"/>
    <w:rsid w:val="00467DD2"/>
    <w:rsid w:val="00470AF3"/>
    <w:rsid w:val="00470B7F"/>
    <w:rsid w:val="00470E2E"/>
    <w:rsid w:val="00470F13"/>
    <w:rsid w:val="0047105A"/>
    <w:rsid w:val="0047187E"/>
    <w:rsid w:val="00471C73"/>
    <w:rsid w:val="00471C97"/>
    <w:rsid w:val="00472AAC"/>
    <w:rsid w:val="0047304F"/>
    <w:rsid w:val="00473183"/>
    <w:rsid w:val="0047351E"/>
    <w:rsid w:val="00473964"/>
    <w:rsid w:val="00473E31"/>
    <w:rsid w:val="00473F75"/>
    <w:rsid w:val="004741EF"/>
    <w:rsid w:val="0047431D"/>
    <w:rsid w:val="0047464F"/>
    <w:rsid w:val="004747DA"/>
    <w:rsid w:val="00474830"/>
    <w:rsid w:val="0047485D"/>
    <w:rsid w:val="00474D61"/>
    <w:rsid w:val="00475730"/>
    <w:rsid w:val="00475AD0"/>
    <w:rsid w:val="00475DCD"/>
    <w:rsid w:val="00475DE8"/>
    <w:rsid w:val="00476394"/>
    <w:rsid w:val="00476650"/>
    <w:rsid w:val="00476B40"/>
    <w:rsid w:val="00476D81"/>
    <w:rsid w:val="00476D99"/>
    <w:rsid w:val="00476F3E"/>
    <w:rsid w:val="00477150"/>
    <w:rsid w:val="0047737A"/>
    <w:rsid w:val="004773C4"/>
    <w:rsid w:val="00477EF9"/>
    <w:rsid w:val="004802D0"/>
    <w:rsid w:val="0048055D"/>
    <w:rsid w:val="00480FB2"/>
    <w:rsid w:val="004813F7"/>
    <w:rsid w:val="0048142F"/>
    <w:rsid w:val="00481443"/>
    <w:rsid w:val="004814B2"/>
    <w:rsid w:val="00481771"/>
    <w:rsid w:val="00481CE4"/>
    <w:rsid w:val="00481D2F"/>
    <w:rsid w:val="00481E7E"/>
    <w:rsid w:val="00481EF7"/>
    <w:rsid w:val="00482106"/>
    <w:rsid w:val="004825C8"/>
    <w:rsid w:val="004825D0"/>
    <w:rsid w:val="00482994"/>
    <w:rsid w:val="00482C4E"/>
    <w:rsid w:val="00482EF5"/>
    <w:rsid w:val="00483A90"/>
    <w:rsid w:val="00483DFB"/>
    <w:rsid w:val="004848A2"/>
    <w:rsid w:val="00484E89"/>
    <w:rsid w:val="004850AE"/>
    <w:rsid w:val="00485117"/>
    <w:rsid w:val="0048513A"/>
    <w:rsid w:val="0048526A"/>
    <w:rsid w:val="00485395"/>
    <w:rsid w:val="00485AA6"/>
    <w:rsid w:val="00485DC3"/>
    <w:rsid w:val="00485E9C"/>
    <w:rsid w:val="004864B8"/>
    <w:rsid w:val="0048764C"/>
    <w:rsid w:val="00490332"/>
    <w:rsid w:val="0049036E"/>
    <w:rsid w:val="00490B5A"/>
    <w:rsid w:val="004918BC"/>
    <w:rsid w:val="00491AE2"/>
    <w:rsid w:val="00491B37"/>
    <w:rsid w:val="004925F3"/>
    <w:rsid w:val="00492739"/>
    <w:rsid w:val="00493033"/>
    <w:rsid w:val="004931AA"/>
    <w:rsid w:val="00493316"/>
    <w:rsid w:val="00494293"/>
    <w:rsid w:val="00494FA2"/>
    <w:rsid w:val="00495112"/>
    <w:rsid w:val="00495199"/>
    <w:rsid w:val="00495616"/>
    <w:rsid w:val="004963F0"/>
    <w:rsid w:val="00496726"/>
    <w:rsid w:val="00497026"/>
    <w:rsid w:val="004979D5"/>
    <w:rsid w:val="00497A39"/>
    <w:rsid w:val="00497C11"/>
    <w:rsid w:val="00497E4D"/>
    <w:rsid w:val="00497E9F"/>
    <w:rsid w:val="004A0AE4"/>
    <w:rsid w:val="004A0C83"/>
    <w:rsid w:val="004A10A3"/>
    <w:rsid w:val="004A16E2"/>
    <w:rsid w:val="004A1FC6"/>
    <w:rsid w:val="004A2303"/>
    <w:rsid w:val="004A285C"/>
    <w:rsid w:val="004A2DE3"/>
    <w:rsid w:val="004A2FA7"/>
    <w:rsid w:val="004A3CA5"/>
    <w:rsid w:val="004A4036"/>
    <w:rsid w:val="004A40F9"/>
    <w:rsid w:val="004A4352"/>
    <w:rsid w:val="004A47BD"/>
    <w:rsid w:val="004A4857"/>
    <w:rsid w:val="004A51D0"/>
    <w:rsid w:val="004A5625"/>
    <w:rsid w:val="004A63BA"/>
    <w:rsid w:val="004A7021"/>
    <w:rsid w:val="004A71C2"/>
    <w:rsid w:val="004A72AF"/>
    <w:rsid w:val="004A7782"/>
    <w:rsid w:val="004A7909"/>
    <w:rsid w:val="004B13D9"/>
    <w:rsid w:val="004B163B"/>
    <w:rsid w:val="004B1A22"/>
    <w:rsid w:val="004B1B59"/>
    <w:rsid w:val="004B1F5F"/>
    <w:rsid w:val="004B21A4"/>
    <w:rsid w:val="004B2D5A"/>
    <w:rsid w:val="004B3340"/>
    <w:rsid w:val="004B3572"/>
    <w:rsid w:val="004B358E"/>
    <w:rsid w:val="004B35EA"/>
    <w:rsid w:val="004B3695"/>
    <w:rsid w:val="004B45AF"/>
    <w:rsid w:val="004B4907"/>
    <w:rsid w:val="004B4CA1"/>
    <w:rsid w:val="004B54B7"/>
    <w:rsid w:val="004B5568"/>
    <w:rsid w:val="004B6095"/>
    <w:rsid w:val="004B66C9"/>
    <w:rsid w:val="004B679E"/>
    <w:rsid w:val="004B6939"/>
    <w:rsid w:val="004B6BCF"/>
    <w:rsid w:val="004B6CC8"/>
    <w:rsid w:val="004B6FB3"/>
    <w:rsid w:val="004B759C"/>
    <w:rsid w:val="004B7823"/>
    <w:rsid w:val="004B7A47"/>
    <w:rsid w:val="004B7E66"/>
    <w:rsid w:val="004C0978"/>
    <w:rsid w:val="004C1762"/>
    <w:rsid w:val="004C18F5"/>
    <w:rsid w:val="004C1E09"/>
    <w:rsid w:val="004C1F73"/>
    <w:rsid w:val="004C1FBA"/>
    <w:rsid w:val="004C2170"/>
    <w:rsid w:val="004C29FA"/>
    <w:rsid w:val="004C31AF"/>
    <w:rsid w:val="004C33F8"/>
    <w:rsid w:val="004C3500"/>
    <w:rsid w:val="004C363B"/>
    <w:rsid w:val="004C3816"/>
    <w:rsid w:val="004C3F4C"/>
    <w:rsid w:val="004C3F95"/>
    <w:rsid w:val="004C41AD"/>
    <w:rsid w:val="004C4AA8"/>
    <w:rsid w:val="004C4E00"/>
    <w:rsid w:val="004C4EF1"/>
    <w:rsid w:val="004C57E1"/>
    <w:rsid w:val="004C5B19"/>
    <w:rsid w:val="004C6663"/>
    <w:rsid w:val="004C6B42"/>
    <w:rsid w:val="004C6C4D"/>
    <w:rsid w:val="004C6FFF"/>
    <w:rsid w:val="004C7521"/>
    <w:rsid w:val="004C78ED"/>
    <w:rsid w:val="004C79B9"/>
    <w:rsid w:val="004C7C4D"/>
    <w:rsid w:val="004C7CDD"/>
    <w:rsid w:val="004D00C5"/>
    <w:rsid w:val="004D034F"/>
    <w:rsid w:val="004D1489"/>
    <w:rsid w:val="004D1B07"/>
    <w:rsid w:val="004D1E95"/>
    <w:rsid w:val="004D24E0"/>
    <w:rsid w:val="004D2B71"/>
    <w:rsid w:val="004D2E97"/>
    <w:rsid w:val="004D32D1"/>
    <w:rsid w:val="004D33AE"/>
    <w:rsid w:val="004D35E4"/>
    <w:rsid w:val="004D396E"/>
    <w:rsid w:val="004D4782"/>
    <w:rsid w:val="004D48D8"/>
    <w:rsid w:val="004D495F"/>
    <w:rsid w:val="004D4BA5"/>
    <w:rsid w:val="004D5AC2"/>
    <w:rsid w:val="004D630D"/>
    <w:rsid w:val="004D6408"/>
    <w:rsid w:val="004D6543"/>
    <w:rsid w:val="004D7449"/>
    <w:rsid w:val="004D7A9A"/>
    <w:rsid w:val="004D7AA7"/>
    <w:rsid w:val="004E00E9"/>
    <w:rsid w:val="004E0348"/>
    <w:rsid w:val="004E03BF"/>
    <w:rsid w:val="004E0767"/>
    <w:rsid w:val="004E0976"/>
    <w:rsid w:val="004E19D9"/>
    <w:rsid w:val="004E1CCA"/>
    <w:rsid w:val="004E1D04"/>
    <w:rsid w:val="004E1FCA"/>
    <w:rsid w:val="004E20AC"/>
    <w:rsid w:val="004E2254"/>
    <w:rsid w:val="004E25B8"/>
    <w:rsid w:val="004E2792"/>
    <w:rsid w:val="004E2E11"/>
    <w:rsid w:val="004E2F53"/>
    <w:rsid w:val="004E34C4"/>
    <w:rsid w:val="004E38E9"/>
    <w:rsid w:val="004E3A44"/>
    <w:rsid w:val="004E3A6F"/>
    <w:rsid w:val="004E401F"/>
    <w:rsid w:val="004E43AD"/>
    <w:rsid w:val="004E4452"/>
    <w:rsid w:val="004E47F4"/>
    <w:rsid w:val="004E4BA7"/>
    <w:rsid w:val="004E4EA7"/>
    <w:rsid w:val="004E4FA4"/>
    <w:rsid w:val="004E51ED"/>
    <w:rsid w:val="004E52AA"/>
    <w:rsid w:val="004E5586"/>
    <w:rsid w:val="004E585B"/>
    <w:rsid w:val="004E5B83"/>
    <w:rsid w:val="004E5CD2"/>
    <w:rsid w:val="004E5F17"/>
    <w:rsid w:val="004E641D"/>
    <w:rsid w:val="004E6946"/>
    <w:rsid w:val="004E69B4"/>
    <w:rsid w:val="004E719E"/>
    <w:rsid w:val="004E766D"/>
    <w:rsid w:val="004E79F0"/>
    <w:rsid w:val="004E7D38"/>
    <w:rsid w:val="004F03EF"/>
    <w:rsid w:val="004F06BD"/>
    <w:rsid w:val="004F0A18"/>
    <w:rsid w:val="004F0B98"/>
    <w:rsid w:val="004F0E8D"/>
    <w:rsid w:val="004F1E91"/>
    <w:rsid w:val="004F247A"/>
    <w:rsid w:val="004F2734"/>
    <w:rsid w:val="004F2D12"/>
    <w:rsid w:val="004F3C8F"/>
    <w:rsid w:val="004F4571"/>
    <w:rsid w:val="004F4B1B"/>
    <w:rsid w:val="004F5032"/>
    <w:rsid w:val="004F5667"/>
    <w:rsid w:val="004F5911"/>
    <w:rsid w:val="004F5E7D"/>
    <w:rsid w:val="004F69B0"/>
    <w:rsid w:val="004F6A77"/>
    <w:rsid w:val="004F6AB2"/>
    <w:rsid w:val="004F6B8B"/>
    <w:rsid w:val="004F7031"/>
    <w:rsid w:val="004F74EC"/>
    <w:rsid w:val="005007D9"/>
    <w:rsid w:val="00500D17"/>
    <w:rsid w:val="0050141F"/>
    <w:rsid w:val="00501A56"/>
    <w:rsid w:val="00503648"/>
    <w:rsid w:val="005039FD"/>
    <w:rsid w:val="00503EB1"/>
    <w:rsid w:val="005048F4"/>
    <w:rsid w:val="00505224"/>
    <w:rsid w:val="00505580"/>
    <w:rsid w:val="005061F5"/>
    <w:rsid w:val="00506D7C"/>
    <w:rsid w:val="00506ED1"/>
    <w:rsid w:val="00507782"/>
    <w:rsid w:val="00507908"/>
    <w:rsid w:val="00507BE3"/>
    <w:rsid w:val="005100E9"/>
    <w:rsid w:val="00510146"/>
    <w:rsid w:val="0051029C"/>
    <w:rsid w:val="0051076E"/>
    <w:rsid w:val="005109E1"/>
    <w:rsid w:val="005114D9"/>
    <w:rsid w:val="00511678"/>
    <w:rsid w:val="005117D4"/>
    <w:rsid w:val="00511D0F"/>
    <w:rsid w:val="00511EB5"/>
    <w:rsid w:val="005120BE"/>
    <w:rsid w:val="005123B3"/>
    <w:rsid w:val="0051244F"/>
    <w:rsid w:val="00512C4C"/>
    <w:rsid w:val="0051372F"/>
    <w:rsid w:val="00513A8A"/>
    <w:rsid w:val="00513BE3"/>
    <w:rsid w:val="00513C36"/>
    <w:rsid w:val="005145C5"/>
    <w:rsid w:val="00515413"/>
    <w:rsid w:val="00515440"/>
    <w:rsid w:val="0051553C"/>
    <w:rsid w:val="00515640"/>
    <w:rsid w:val="00515B8F"/>
    <w:rsid w:val="00515EDC"/>
    <w:rsid w:val="005169D8"/>
    <w:rsid w:val="00516B5F"/>
    <w:rsid w:val="00517549"/>
    <w:rsid w:val="0051756C"/>
    <w:rsid w:val="00517720"/>
    <w:rsid w:val="005178A3"/>
    <w:rsid w:val="00517CC2"/>
    <w:rsid w:val="00517E58"/>
    <w:rsid w:val="00517EF2"/>
    <w:rsid w:val="0052006F"/>
    <w:rsid w:val="005202BF"/>
    <w:rsid w:val="005204CE"/>
    <w:rsid w:val="00521065"/>
    <w:rsid w:val="005211A8"/>
    <w:rsid w:val="005213A7"/>
    <w:rsid w:val="005214AD"/>
    <w:rsid w:val="005214CF"/>
    <w:rsid w:val="00521644"/>
    <w:rsid w:val="00521998"/>
    <w:rsid w:val="005219B1"/>
    <w:rsid w:val="005222EB"/>
    <w:rsid w:val="0052231F"/>
    <w:rsid w:val="00522753"/>
    <w:rsid w:val="005230D5"/>
    <w:rsid w:val="005239E6"/>
    <w:rsid w:val="00523A2E"/>
    <w:rsid w:val="00523A9F"/>
    <w:rsid w:val="00523DD2"/>
    <w:rsid w:val="0052410D"/>
    <w:rsid w:val="005243A2"/>
    <w:rsid w:val="005245E6"/>
    <w:rsid w:val="00524F96"/>
    <w:rsid w:val="0052524B"/>
    <w:rsid w:val="00525A3C"/>
    <w:rsid w:val="00525CD4"/>
    <w:rsid w:val="005260B4"/>
    <w:rsid w:val="00526268"/>
    <w:rsid w:val="00526B57"/>
    <w:rsid w:val="00526B63"/>
    <w:rsid w:val="00527140"/>
    <w:rsid w:val="0052750E"/>
    <w:rsid w:val="00527981"/>
    <w:rsid w:val="00527A61"/>
    <w:rsid w:val="00527DEC"/>
    <w:rsid w:val="00530C56"/>
    <w:rsid w:val="00530EE3"/>
    <w:rsid w:val="005318D7"/>
    <w:rsid w:val="00531F64"/>
    <w:rsid w:val="005324C0"/>
    <w:rsid w:val="00532877"/>
    <w:rsid w:val="00532EDC"/>
    <w:rsid w:val="0053310F"/>
    <w:rsid w:val="0053321D"/>
    <w:rsid w:val="00533E6D"/>
    <w:rsid w:val="00533F9A"/>
    <w:rsid w:val="00534216"/>
    <w:rsid w:val="005355C3"/>
    <w:rsid w:val="0053581A"/>
    <w:rsid w:val="00535B1A"/>
    <w:rsid w:val="00535CCD"/>
    <w:rsid w:val="00536A14"/>
    <w:rsid w:val="00536A8F"/>
    <w:rsid w:val="00537548"/>
    <w:rsid w:val="00537B4D"/>
    <w:rsid w:val="00540210"/>
    <w:rsid w:val="005404A2"/>
    <w:rsid w:val="00540A30"/>
    <w:rsid w:val="00540BC9"/>
    <w:rsid w:val="00540C2E"/>
    <w:rsid w:val="00540D0C"/>
    <w:rsid w:val="00540D76"/>
    <w:rsid w:val="00541B4A"/>
    <w:rsid w:val="0054205E"/>
    <w:rsid w:val="00542ECF"/>
    <w:rsid w:val="00543218"/>
    <w:rsid w:val="005434E3"/>
    <w:rsid w:val="005435E3"/>
    <w:rsid w:val="005437E0"/>
    <w:rsid w:val="00543962"/>
    <w:rsid w:val="005440F0"/>
    <w:rsid w:val="0054440D"/>
    <w:rsid w:val="00544542"/>
    <w:rsid w:val="00544B68"/>
    <w:rsid w:val="00544DDE"/>
    <w:rsid w:val="005450B0"/>
    <w:rsid w:val="00545C22"/>
    <w:rsid w:val="00545CB2"/>
    <w:rsid w:val="00545FCC"/>
    <w:rsid w:val="00546068"/>
    <w:rsid w:val="0054638B"/>
    <w:rsid w:val="005467F3"/>
    <w:rsid w:val="00547099"/>
    <w:rsid w:val="00550256"/>
    <w:rsid w:val="00550471"/>
    <w:rsid w:val="005504F9"/>
    <w:rsid w:val="005505FA"/>
    <w:rsid w:val="00550694"/>
    <w:rsid w:val="0055126A"/>
    <w:rsid w:val="0055174D"/>
    <w:rsid w:val="00551B6E"/>
    <w:rsid w:val="00551D6E"/>
    <w:rsid w:val="00552905"/>
    <w:rsid w:val="00552F0F"/>
    <w:rsid w:val="005531D9"/>
    <w:rsid w:val="00554052"/>
    <w:rsid w:val="00554100"/>
    <w:rsid w:val="005541FD"/>
    <w:rsid w:val="005545C0"/>
    <w:rsid w:val="00554CAD"/>
    <w:rsid w:val="00555350"/>
    <w:rsid w:val="005557D8"/>
    <w:rsid w:val="00555C04"/>
    <w:rsid w:val="00556125"/>
    <w:rsid w:val="005563CC"/>
    <w:rsid w:val="005566A3"/>
    <w:rsid w:val="00556BAC"/>
    <w:rsid w:val="005576E4"/>
    <w:rsid w:val="005577DC"/>
    <w:rsid w:val="00557C78"/>
    <w:rsid w:val="00560854"/>
    <w:rsid w:val="00560A6A"/>
    <w:rsid w:val="00560D3A"/>
    <w:rsid w:val="00560D81"/>
    <w:rsid w:val="00560F9E"/>
    <w:rsid w:val="00561142"/>
    <w:rsid w:val="005614F7"/>
    <w:rsid w:val="00561BAE"/>
    <w:rsid w:val="00561DF0"/>
    <w:rsid w:val="00561F74"/>
    <w:rsid w:val="005620BF"/>
    <w:rsid w:val="005622F0"/>
    <w:rsid w:val="00562433"/>
    <w:rsid w:val="00562542"/>
    <w:rsid w:val="00563290"/>
    <w:rsid w:val="005636E4"/>
    <w:rsid w:val="00563A1A"/>
    <w:rsid w:val="00563DB2"/>
    <w:rsid w:val="0056401F"/>
    <w:rsid w:val="005641B6"/>
    <w:rsid w:val="00564FC3"/>
    <w:rsid w:val="0056500D"/>
    <w:rsid w:val="005650B6"/>
    <w:rsid w:val="00565134"/>
    <w:rsid w:val="00565206"/>
    <w:rsid w:val="005653F1"/>
    <w:rsid w:val="005657FC"/>
    <w:rsid w:val="00565830"/>
    <w:rsid w:val="0056589D"/>
    <w:rsid w:val="00565AA0"/>
    <w:rsid w:val="00565CCF"/>
    <w:rsid w:val="00566072"/>
    <w:rsid w:val="0056610D"/>
    <w:rsid w:val="00566358"/>
    <w:rsid w:val="00566527"/>
    <w:rsid w:val="005677DD"/>
    <w:rsid w:val="00567FDF"/>
    <w:rsid w:val="00570144"/>
    <w:rsid w:val="005703BB"/>
    <w:rsid w:val="00570600"/>
    <w:rsid w:val="00570685"/>
    <w:rsid w:val="0057087A"/>
    <w:rsid w:val="00570AF3"/>
    <w:rsid w:val="00570CCD"/>
    <w:rsid w:val="005713EE"/>
    <w:rsid w:val="00571F21"/>
    <w:rsid w:val="005721D9"/>
    <w:rsid w:val="005721FF"/>
    <w:rsid w:val="0057244F"/>
    <w:rsid w:val="0057257A"/>
    <w:rsid w:val="00572972"/>
    <w:rsid w:val="005734C8"/>
    <w:rsid w:val="00573625"/>
    <w:rsid w:val="00573785"/>
    <w:rsid w:val="00573AD4"/>
    <w:rsid w:val="00573F8E"/>
    <w:rsid w:val="0057443C"/>
    <w:rsid w:val="0057445A"/>
    <w:rsid w:val="00574B2D"/>
    <w:rsid w:val="00574C67"/>
    <w:rsid w:val="00574D79"/>
    <w:rsid w:val="005751D3"/>
    <w:rsid w:val="00575806"/>
    <w:rsid w:val="00575A43"/>
    <w:rsid w:val="00575A82"/>
    <w:rsid w:val="00575AA7"/>
    <w:rsid w:val="00575CD0"/>
    <w:rsid w:val="00575D5B"/>
    <w:rsid w:val="005763D6"/>
    <w:rsid w:val="00576423"/>
    <w:rsid w:val="0057676D"/>
    <w:rsid w:val="00576CA0"/>
    <w:rsid w:val="00576CAF"/>
    <w:rsid w:val="00576F1E"/>
    <w:rsid w:val="00576FDA"/>
    <w:rsid w:val="00577465"/>
    <w:rsid w:val="0057761C"/>
    <w:rsid w:val="0058042F"/>
    <w:rsid w:val="00580502"/>
    <w:rsid w:val="005805F8"/>
    <w:rsid w:val="00580C4F"/>
    <w:rsid w:val="00580E39"/>
    <w:rsid w:val="00581022"/>
    <w:rsid w:val="005826B0"/>
    <w:rsid w:val="00582B4A"/>
    <w:rsid w:val="0058317F"/>
    <w:rsid w:val="0058327C"/>
    <w:rsid w:val="0058342E"/>
    <w:rsid w:val="00583565"/>
    <w:rsid w:val="005837BF"/>
    <w:rsid w:val="00583923"/>
    <w:rsid w:val="00583924"/>
    <w:rsid w:val="00583ADF"/>
    <w:rsid w:val="00583DD7"/>
    <w:rsid w:val="005844BD"/>
    <w:rsid w:val="005848B1"/>
    <w:rsid w:val="0058499A"/>
    <w:rsid w:val="00584AB3"/>
    <w:rsid w:val="005855EE"/>
    <w:rsid w:val="0058570B"/>
    <w:rsid w:val="00585AFE"/>
    <w:rsid w:val="00586111"/>
    <w:rsid w:val="0058659A"/>
    <w:rsid w:val="00586601"/>
    <w:rsid w:val="0058676B"/>
    <w:rsid w:val="00586C53"/>
    <w:rsid w:val="00586CA3"/>
    <w:rsid w:val="00586D5D"/>
    <w:rsid w:val="00586DF9"/>
    <w:rsid w:val="005871D0"/>
    <w:rsid w:val="00587404"/>
    <w:rsid w:val="00587632"/>
    <w:rsid w:val="00587BBA"/>
    <w:rsid w:val="0059039D"/>
    <w:rsid w:val="00591208"/>
    <w:rsid w:val="0059139B"/>
    <w:rsid w:val="00591411"/>
    <w:rsid w:val="0059145A"/>
    <w:rsid w:val="00591E7A"/>
    <w:rsid w:val="00591E94"/>
    <w:rsid w:val="005923BC"/>
    <w:rsid w:val="00592695"/>
    <w:rsid w:val="00592793"/>
    <w:rsid w:val="00593350"/>
    <w:rsid w:val="00593961"/>
    <w:rsid w:val="00593D2F"/>
    <w:rsid w:val="00593E5A"/>
    <w:rsid w:val="00593E83"/>
    <w:rsid w:val="00593EBC"/>
    <w:rsid w:val="00593F45"/>
    <w:rsid w:val="005940E2"/>
    <w:rsid w:val="00594305"/>
    <w:rsid w:val="00594516"/>
    <w:rsid w:val="0059482A"/>
    <w:rsid w:val="0059518E"/>
    <w:rsid w:val="00595397"/>
    <w:rsid w:val="00595667"/>
    <w:rsid w:val="005960F3"/>
    <w:rsid w:val="00596359"/>
    <w:rsid w:val="005968B2"/>
    <w:rsid w:val="00596955"/>
    <w:rsid w:val="00596EAB"/>
    <w:rsid w:val="00596FBC"/>
    <w:rsid w:val="00597BF4"/>
    <w:rsid w:val="00597E73"/>
    <w:rsid w:val="005A06AC"/>
    <w:rsid w:val="005A0D3F"/>
    <w:rsid w:val="005A0FC3"/>
    <w:rsid w:val="005A0FE1"/>
    <w:rsid w:val="005A13D9"/>
    <w:rsid w:val="005A14B1"/>
    <w:rsid w:val="005A1948"/>
    <w:rsid w:val="005A1BEB"/>
    <w:rsid w:val="005A20D8"/>
    <w:rsid w:val="005A321C"/>
    <w:rsid w:val="005A36DC"/>
    <w:rsid w:val="005A3759"/>
    <w:rsid w:val="005A3FD8"/>
    <w:rsid w:val="005A49CF"/>
    <w:rsid w:val="005A4D15"/>
    <w:rsid w:val="005A4EE2"/>
    <w:rsid w:val="005A5588"/>
    <w:rsid w:val="005A5952"/>
    <w:rsid w:val="005A5B29"/>
    <w:rsid w:val="005A5DF1"/>
    <w:rsid w:val="005A629A"/>
    <w:rsid w:val="005A6836"/>
    <w:rsid w:val="005A6B5A"/>
    <w:rsid w:val="005A6E1F"/>
    <w:rsid w:val="005A7168"/>
    <w:rsid w:val="005A71B2"/>
    <w:rsid w:val="005A72D1"/>
    <w:rsid w:val="005A764A"/>
    <w:rsid w:val="005A7E55"/>
    <w:rsid w:val="005B04AC"/>
    <w:rsid w:val="005B0740"/>
    <w:rsid w:val="005B0767"/>
    <w:rsid w:val="005B07C2"/>
    <w:rsid w:val="005B08B3"/>
    <w:rsid w:val="005B0AFE"/>
    <w:rsid w:val="005B1066"/>
    <w:rsid w:val="005B1CE9"/>
    <w:rsid w:val="005B1CF9"/>
    <w:rsid w:val="005B24A5"/>
    <w:rsid w:val="005B270F"/>
    <w:rsid w:val="005B2C14"/>
    <w:rsid w:val="005B2FA8"/>
    <w:rsid w:val="005B317D"/>
    <w:rsid w:val="005B3A15"/>
    <w:rsid w:val="005B3EF9"/>
    <w:rsid w:val="005B4036"/>
    <w:rsid w:val="005B404F"/>
    <w:rsid w:val="005B4080"/>
    <w:rsid w:val="005B4B22"/>
    <w:rsid w:val="005B58AE"/>
    <w:rsid w:val="005B5E33"/>
    <w:rsid w:val="005B6D59"/>
    <w:rsid w:val="005B6FBD"/>
    <w:rsid w:val="005B73EC"/>
    <w:rsid w:val="005B745A"/>
    <w:rsid w:val="005B7733"/>
    <w:rsid w:val="005B7865"/>
    <w:rsid w:val="005B7933"/>
    <w:rsid w:val="005B7A1E"/>
    <w:rsid w:val="005B7DC5"/>
    <w:rsid w:val="005C0F56"/>
    <w:rsid w:val="005C1CAB"/>
    <w:rsid w:val="005C1ED0"/>
    <w:rsid w:val="005C248A"/>
    <w:rsid w:val="005C2520"/>
    <w:rsid w:val="005C2640"/>
    <w:rsid w:val="005C26B9"/>
    <w:rsid w:val="005C476F"/>
    <w:rsid w:val="005C4E3E"/>
    <w:rsid w:val="005C4F4C"/>
    <w:rsid w:val="005C5427"/>
    <w:rsid w:val="005C5CAD"/>
    <w:rsid w:val="005C6136"/>
    <w:rsid w:val="005C6904"/>
    <w:rsid w:val="005C69E2"/>
    <w:rsid w:val="005C6BE2"/>
    <w:rsid w:val="005C6C33"/>
    <w:rsid w:val="005C6D4B"/>
    <w:rsid w:val="005C790B"/>
    <w:rsid w:val="005C7DF5"/>
    <w:rsid w:val="005D0179"/>
    <w:rsid w:val="005D01DB"/>
    <w:rsid w:val="005D04C3"/>
    <w:rsid w:val="005D1A99"/>
    <w:rsid w:val="005D1FEC"/>
    <w:rsid w:val="005D2052"/>
    <w:rsid w:val="005D205E"/>
    <w:rsid w:val="005D2118"/>
    <w:rsid w:val="005D21C0"/>
    <w:rsid w:val="005D21F4"/>
    <w:rsid w:val="005D223B"/>
    <w:rsid w:val="005D29EC"/>
    <w:rsid w:val="005D2ADA"/>
    <w:rsid w:val="005D2B54"/>
    <w:rsid w:val="005D2F71"/>
    <w:rsid w:val="005D323C"/>
    <w:rsid w:val="005D39B3"/>
    <w:rsid w:val="005D3A27"/>
    <w:rsid w:val="005D3A96"/>
    <w:rsid w:val="005D3B9F"/>
    <w:rsid w:val="005D3DBB"/>
    <w:rsid w:val="005D4A2C"/>
    <w:rsid w:val="005D4A68"/>
    <w:rsid w:val="005D4B27"/>
    <w:rsid w:val="005D4C43"/>
    <w:rsid w:val="005D4E3C"/>
    <w:rsid w:val="005D5568"/>
    <w:rsid w:val="005D5638"/>
    <w:rsid w:val="005D5A69"/>
    <w:rsid w:val="005D5BE3"/>
    <w:rsid w:val="005D5F40"/>
    <w:rsid w:val="005D6038"/>
    <w:rsid w:val="005D659B"/>
    <w:rsid w:val="005D661F"/>
    <w:rsid w:val="005D67D5"/>
    <w:rsid w:val="005D69B3"/>
    <w:rsid w:val="005D70A6"/>
    <w:rsid w:val="005D7182"/>
    <w:rsid w:val="005D7961"/>
    <w:rsid w:val="005D7BB6"/>
    <w:rsid w:val="005D7FBF"/>
    <w:rsid w:val="005E07B3"/>
    <w:rsid w:val="005E0917"/>
    <w:rsid w:val="005E0F26"/>
    <w:rsid w:val="005E1B3F"/>
    <w:rsid w:val="005E2FF4"/>
    <w:rsid w:val="005E305B"/>
    <w:rsid w:val="005E31B3"/>
    <w:rsid w:val="005E31E8"/>
    <w:rsid w:val="005E337B"/>
    <w:rsid w:val="005E337F"/>
    <w:rsid w:val="005E397E"/>
    <w:rsid w:val="005E3A29"/>
    <w:rsid w:val="005E3E51"/>
    <w:rsid w:val="005E3F60"/>
    <w:rsid w:val="005E428F"/>
    <w:rsid w:val="005E4FBA"/>
    <w:rsid w:val="005E53D1"/>
    <w:rsid w:val="005E557E"/>
    <w:rsid w:val="005E5F20"/>
    <w:rsid w:val="005E6192"/>
    <w:rsid w:val="005E61F5"/>
    <w:rsid w:val="005E6E06"/>
    <w:rsid w:val="005E709E"/>
    <w:rsid w:val="005E7BC0"/>
    <w:rsid w:val="005E7EFB"/>
    <w:rsid w:val="005F024A"/>
    <w:rsid w:val="005F0373"/>
    <w:rsid w:val="005F0674"/>
    <w:rsid w:val="005F0AC6"/>
    <w:rsid w:val="005F0FF5"/>
    <w:rsid w:val="005F1013"/>
    <w:rsid w:val="005F1457"/>
    <w:rsid w:val="005F1928"/>
    <w:rsid w:val="005F1B42"/>
    <w:rsid w:val="005F2160"/>
    <w:rsid w:val="005F2162"/>
    <w:rsid w:val="005F2212"/>
    <w:rsid w:val="005F2335"/>
    <w:rsid w:val="005F2425"/>
    <w:rsid w:val="005F2844"/>
    <w:rsid w:val="005F2EE0"/>
    <w:rsid w:val="005F2F3A"/>
    <w:rsid w:val="005F2F91"/>
    <w:rsid w:val="005F34E6"/>
    <w:rsid w:val="005F3B4B"/>
    <w:rsid w:val="005F3E45"/>
    <w:rsid w:val="005F40CA"/>
    <w:rsid w:val="005F4126"/>
    <w:rsid w:val="005F4332"/>
    <w:rsid w:val="005F455F"/>
    <w:rsid w:val="005F4A47"/>
    <w:rsid w:val="005F4B4A"/>
    <w:rsid w:val="005F4C4E"/>
    <w:rsid w:val="005F4FA2"/>
    <w:rsid w:val="005F558A"/>
    <w:rsid w:val="005F56E7"/>
    <w:rsid w:val="005F5C2D"/>
    <w:rsid w:val="005F6A38"/>
    <w:rsid w:val="005F7064"/>
    <w:rsid w:val="005F706D"/>
    <w:rsid w:val="005F716D"/>
    <w:rsid w:val="005F75E1"/>
    <w:rsid w:val="005F766A"/>
    <w:rsid w:val="005F7C3F"/>
    <w:rsid w:val="005F7C66"/>
    <w:rsid w:val="0060001D"/>
    <w:rsid w:val="006008BF"/>
    <w:rsid w:val="00600A4D"/>
    <w:rsid w:val="00600EBE"/>
    <w:rsid w:val="006014E4"/>
    <w:rsid w:val="00602418"/>
    <w:rsid w:val="00602B96"/>
    <w:rsid w:val="00602DBC"/>
    <w:rsid w:val="00603A43"/>
    <w:rsid w:val="00603B1A"/>
    <w:rsid w:val="00603C8D"/>
    <w:rsid w:val="0060405C"/>
    <w:rsid w:val="0060419D"/>
    <w:rsid w:val="00604984"/>
    <w:rsid w:val="00604A61"/>
    <w:rsid w:val="00604F7D"/>
    <w:rsid w:val="00605083"/>
    <w:rsid w:val="006051E8"/>
    <w:rsid w:val="006052E3"/>
    <w:rsid w:val="0060544B"/>
    <w:rsid w:val="00605AA7"/>
    <w:rsid w:val="0060667E"/>
    <w:rsid w:val="006066F6"/>
    <w:rsid w:val="0060730F"/>
    <w:rsid w:val="00607808"/>
    <w:rsid w:val="0061019B"/>
    <w:rsid w:val="00610463"/>
    <w:rsid w:val="00610AC7"/>
    <w:rsid w:val="00610CC4"/>
    <w:rsid w:val="0061150D"/>
    <w:rsid w:val="00611D4E"/>
    <w:rsid w:val="00612031"/>
    <w:rsid w:val="00612051"/>
    <w:rsid w:val="006121D7"/>
    <w:rsid w:val="006128E2"/>
    <w:rsid w:val="0061338D"/>
    <w:rsid w:val="00613430"/>
    <w:rsid w:val="006135BA"/>
    <w:rsid w:val="00613A77"/>
    <w:rsid w:val="00614069"/>
    <w:rsid w:val="006145EC"/>
    <w:rsid w:val="0061491B"/>
    <w:rsid w:val="00614931"/>
    <w:rsid w:val="00615091"/>
    <w:rsid w:val="00615B8F"/>
    <w:rsid w:val="00615C25"/>
    <w:rsid w:val="00615D75"/>
    <w:rsid w:val="00615F9D"/>
    <w:rsid w:val="006160BB"/>
    <w:rsid w:val="006160FA"/>
    <w:rsid w:val="00616B48"/>
    <w:rsid w:val="00617743"/>
    <w:rsid w:val="006178F3"/>
    <w:rsid w:val="00620722"/>
    <w:rsid w:val="0062141E"/>
    <w:rsid w:val="0062154E"/>
    <w:rsid w:val="006215C2"/>
    <w:rsid w:val="0062184A"/>
    <w:rsid w:val="00621C8D"/>
    <w:rsid w:val="00621E9E"/>
    <w:rsid w:val="00622B42"/>
    <w:rsid w:val="006238C6"/>
    <w:rsid w:val="00623A69"/>
    <w:rsid w:val="00623B3D"/>
    <w:rsid w:val="00624158"/>
    <w:rsid w:val="006245E9"/>
    <w:rsid w:val="00624666"/>
    <w:rsid w:val="006246A7"/>
    <w:rsid w:val="0062475A"/>
    <w:rsid w:val="006249EB"/>
    <w:rsid w:val="00624B3C"/>
    <w:rsid w:val="00624F9E"/>
    <w:rsid w:val="00625014"/>
    <w:rsid w:val="0062501F"/>
    <w:rsid w:val="00625371"/>
    <w:rsid w:val="0062550D"/>
    <w:rsid w:val="00625616"/>
    <w:rsid w:val="00625A5F"/>
    <w:rsid w:val="00625AF1"/>
    <w:rsid w:val="00626286"/>
    <w:rsid w:val="0062663A"/>
    <w:rsid w:val="006267DE"/>
    <w:rsid w:val="00626F0E"/>
    <w:rsid w:val="00627559"/>
    <w:rsid w:val="006279FC"/>
    <w:rsid w:val="00627AE6"/>
    <w:rsid w:val="00630020"/>
    <w:rsid w:val="00630256"/>
    <w:rsid w:val="0063025A"/>
    <w:rsid w:val="006304C5"/>
    <w:rsid w:val="00630CF7"/>
    <w:rsid w:val="00630DAE"/>
    <w:rsid w:val="00631D7C"/>
    <w:rsid w:val="00632708"/>
    <w:rsid w:val="00632A0B"/>
    <w:rsid w:val="00632F39"/>
    <w:rsid w:val="00633319"/>
    <w:rsid w:val="0063507F"/>
    <w:rsid w:val="006353B9"/>
    <w:rsid w:val="006356F2"/>
    <w:rsid w:val="0063669A"/>
    <w:rsid w:val="0063676E"/>
    <w:rsid w:val="00636F6E"/>
    <w:rsid w:val="0063723F"/>
    <w:rsid w:val="0063757E"/>
    <w:rsid w:val="006376CA"/>
    <w:rsid w:val="00637901"/>
    <w:rsid w:val="00637924"/>
    <w:rsid w:val="00637D05"/>
    <w:rsid w:val="0064050E"/>
    <w:rsid w:val="00640ED7"/>
    <w:rsid w:val="00641530"/>
    <w:rsid w:val="006424F7"/>
    <w:rsid w:val="006428C8"/>
    <w:rsid w:val="00642977"/>
    <w:rsid w:val="006432BA"/>
    <w:rsid w:val="00644651"/>
    <w:rsid w:val="00644A01"/>
    <w:rsid w:val="00644D9D"/>
    <w:rsid w:val="006452A6"/>
    <w:rsid w:val="00645318"/>
    <w:rsid w:val="00645547"/>
    <w:rsid w:val="006457C9"/>
    <w:rsid w:val="00645D26"/>
    <w:rsid w:val="006462A4"/>
    <w:rsid w:val="0064630E"/>
    <w:rsid w:val="00646504"/>
    <w:rsid w:val="006469FA"/>
    <w:rsid w:val="00646E2C"/>
    <w:rsid w:val="00647AC6"/>
    <w:rsid w:val="00647D84"/>
    <w:rsid w:val="0065057B"/>
    <w:rsid w:val="00650C40"/>
    <w:rsid w:val="006510A4"/>
    <w:rsid w:val="00651515"/>
    <w:rsid w:val="00651C31"/>
    <w:rsid w:val="006525F1"/>
    <w:rsid w:val="006534BE"/>
    <w:rsid w:val="00653592"/>
    <w:rsid w:val="0065399B"/>
    <w:rsid w:val="00653FC1"/>
    <w:rsid w:val="00654462"/>
    <w:rsid w:val="00654CD1"/>
    <w:rsid w:val="00655208"/>
    <w:rsid w:val="00655352"/>
    <w:rsid w:val="00655C87"/>
    <w:rsid w:val="00656906"/>
    <w:rsid w:val="00657258"/>
    <w:rsid w:val="00657392"/>
    <w:rsid w:val="00657556"/>
    <w:rsid w:val="006577DF"/>
    <w:rsid w:val="00657AB1"/>
    <w:rsid w:val="00657BB6"/>
    <w:rsid w:val="006602B5"/>
    <w:rsid w:val="006603D0"/>
    <w:rsid w:val="00660D71"/>
    <w:rsid w:val="00660DD4"/>
    <w:rsid w:val="00660F73"/>
    <w:rsid w:val="006610F6"/>
    <w:rsid w:val="006617FF"/>
    <w:rsid w:val="006619D7"/>
    <w:rsid w:val="00661BF0"/>
    <w:rsid w:val="00661EE6"/>
    <w:rsid w:val="00661EEE"/>
    <w:rsid w:val="00661FF9"/>
    <w:rsid w:val="00662264"/>
    <w:rsid w:val="00662C55"/>
    <w:rsid w:val="00662EAE"/>
    <w:rsid w:val="00662ECF"/>
    <w:rsid w:val="0066306F"/>
    <w:rsid w:val="00663B59"/>
    <w:rsid w:val="006641A4"/>
    <w:rsid w:val="0066438F"/>
    <w:rsid w:val="0066459A"/>
    <w:rsid w:val="006648ED"/>
    <w:rsid w:val="006648F5"/>
    <w:rsid w:val="00665883"/>
    <w:rsid w:val="00665C51"/>
    <w:rsid w:val="006662C4"/>
    <w:rsid w:val="006664B6"/>
    <w:rsid w:val="006665C8"/>
    <w:rsid w:val="006667AD"/>
    <w:rsid w:val="006667B9"/>
    <w:rsid w:val="006667E2"/>
    <w:rsid w:val="00666B80"/>
    <w:rsid w:val="0066710A"/>
    <w:rsid w:val="00667CD6"/>
    <w:rsid w:val="00667F02"/>
    <w:rsid w:val="00667FC5"/>
    <w:rsid w:val="0067034D"/>
    <w:rsid w:val="00670466"/>
    <w:rsid w:val="006704D4"/>
    <w:rsid w:val="00670A5B"/>
    <w:rsid w:val="00670BD5"/>
    <w:rsid w:val="00670C97"/>
    <w:rsid w:val="006710E6"/>
    <w:rsid w:val="0067156A"/>
    <w:rsid w:val="00671595"/>
    <w:rsid w:val="00671CA0"/>
    <w:rsid w:val="00672005"/>
    <w:rsid w:val="006727A5"/>
    <w:rsid w:val="006731F6"/>
    <w:rsid w:val="00673374"/>
    <w:rsid w:val="00673BA7"/>
    <w:rsid w:val="006741E7"/>
    <w:rsid w:val="006747D3"/>
    <w:rsid w:val="00674A86"/>
    <w:rsid w:val="00674BAF"/>
    <w:rsid w:val="00674CD7"/>
    <w:rsid w:val="00675288"/>
    <w:rsid w:val="0067559B"/>
    <w:rsid w:val="00675610"/>
    <w:rsid w:val="0067576C"/>
    <w:rsid w:val="00676A57"/>
    <w:rsid w:val="00676BFD"/>
    <w:rsid w:val="00676C74"/>
    <w:rsid w:val="00677538"/>
    <w:rsid w:val="00677C7A"/>
    <w:rsid w:val="00680408"/>
    <w:rsid w:val="006808A8"/>
    <w:rsid w:val="00680925"/>
    <w:rsid w:val="00680E82"/>
    <w:rsid w:val="00681669"/>
    <w:rsid w:val="00681C65"/>
    <w:rsid w:val="00682073"/>
    <w:rsid w:val="0068269C"/>
    <w:rsid w:val="00682D49"/>
    <w:rsid w:val="00683066"/>
    <w:rsid w:val="00683548"/>
    <w:rsid w:val="0068418B"/>
    <w:rsid w:val="00684299"/>
    <w:rsid w:val="00684377"/>
    <w:rsid w:val="0068463D"/>
    <w:rsid w:val="0068522D"/>
    <w:rsid w:val="006866CE"/>
    <w:rsid w:val="00686AC7"/>
    <w:rsid w:val="0068742D"/>
    <w:rsid w:val="006874F8"/>
    <w:rsid w:val="006875BB"/>
    <w:rsid w:val="006875DD"/>
    <w:rsid w:val="00687AD4"/>
    <w:rsid w:val="00687BE9"/>
    <w:rsid w:val="00687F49"/>
    <w:rsid w:val="00687FB0"/>
    <w:rsid w:val="006905D9"/>
    <w:rsid w:val="00690944"/>
    <w:rsid w:val="00690B1F"/>
    <w:rsid w:val="00690E0D"/>
    <w:rsid w:val="00691D21"/>
    <w:rsid w:val="0069231A"/>
    <w:rsid w:val="0069262D"/>
    <w:rsid w:val="0069286E"/>
    <w:rsid w:val="006928B8"/>
    <w:rsid w:val="00692A94"/>
    <w:rsid w:val="00692B6F"/>
    <w:rsid w:val="00692CAF"/>
    <w:rsid w:val="0069327D"/>
    <w:rsid w:val="006935EB"/>
    <w:rsid w:val="00693C5E"/>
    <w:rsid w:val="00693E5C"/>
    <w:rsid w:val="00694AB8"/>
    <w:rsid w:val="00695C7E"/>
    <w:rsid w:val="00696403"/>
    <w:rsid w:val="006964B3"/>
    <w:rsid w:val="00696777"/>
    <w:rsid w:val="00696A4D"/>
    <w:rsid w:val="00696DA5"/>
    <w:rsid w:val="0069713B"/>
    <w:rsid w:val="006971CD"/>
    <w:rsid w:val="0069725B"/>
    <w:rsid w:val="006977AD"/>
    <w:rsid w:val="00697AE6"/>
    <w:rsid w:val="006A0094"/>
    <w:rsid w:val="006A066C"/>
    <w:rsid w:val="006A0BB5"/>
    <w:rsid w:val="006A0E33"/>
    <w:rsid w:val="006A1271"/>
    <w:rsid w:val="006A1757"/>
    <w:rsid w:val="006A1A4C"/>
    <w:rsid w:val="006A229C"/>
    <w:rsid w:val="006A2A60"/>
    <w:rsid w:val="006A2FA0"/>
    <w:rsid w:val="006A3151"/>
    <w:rsid w:val="006A321B"/>
    <w:rsid w:val="006A4673"/>
    <w:rsid w:val="006A47E1"/>
    <w:rsid w:val="006A48A1"/>
    <w:rsid w:val="006A5164"/>
    <w:rsid w:val="006A5890"/>
    <w:rsid w:val="006A5A2E"/>
    <w:rsid w:val="006A62E0"/>
    <w:rsid w:val="006A6D28"/>
    <w:rsid w:val="006A6F21"/>
    <w:rsid w:val="006A7261"/>
    <w:rsid w:val="006A78DD"/>
    <w:rsid w:val="006A7D04"/>
    <w:rsid w:val="006B00B6"/>
    <w:rsid w:val="006B07FB"/>
    <w:rsid w:val="006B0AAD"/>
    <w:rsid w:val="006B15B1"/>
    <w:rsid w:val="006B1EB6"/>
    <w:rsid w:val="006B292E"/>
    <w:rsid w:val="006B2EFD"/>
    <w:rsid w:val="006B3122"/>
    <w:rsid w:val="006B3765"/>
    <w:rsid w:val="006B3F53"/>
    <w:rsid w:val="006B4973"/>
    <w:rsid w:val="006B4BA7"/>
    <w:rsid w:val="006B512D"/>
    <w:rsid w:val="006B5410"/>
    <w:rsid w:val="006B5588"/>
    <w:rsid w:val="006B55BA"/>
    <w:rsid w:val="006B5733"/>
    <w:rsid w:val="006B57C2"/>
    <w:rsid w:val="006B60FD"/>
    <w:rsid w:val="006B67A1"/>
    <w:rsid w:val="006B6884"/>
    <w:rsid w:val="006B6C80"/>
    <w:rsid w:val="006B6D82"/>
    <w:rsid w:val="006B71F3"/>
    <w:rsid w:val="006B7A92"/>
    <w:rsid w:val="006B7FB9"/>
    <w:rsid w:val="006C01F0"/>
    <w:rsid w:val="006C05F7"/>
    <w:rsid w:val="006C0863"/>
    <w:rsid w:val="006C0944"/>
    <w:rsid w:val="006C1B99"/>
    <w:rsid w:val="006C1BBB"/>
    <w:rsid w:val="006C24CB"/>
    <w:rsid w:val="006C29EA"/>
    <w:rsid w:val="006C2DDB"/>
    <w:rsid w:val="006C35EF"/>
    <w:rsid w:val="006C3A53"/>
    <w:rsid w:val="006C3DE7"/>
    <w:rsid w:val="006C42E6"/>
    <w:rsid w:val="006C436A"/>
    <w:rsid w:val="006C45A9"/>
    <w:rsid w:val="006C48F2"/>
    <w:rsid w:val="006C4949"/>
    <w:rsid w:val="006C499B"/>
    <w:rsid w:val="006C4AEB"/>
    <w:rsid w:val="006C61E4"/>
    <w:rsid w:val="006C65C1"/>
    <w:rsid w:val="006C6A23"/>
    <w:rsid w:val="006C6F56"/>
    <w:rsid w:val="006C75D2"/>
    <w:rsid w:val="006C7752"/>
    <w:rsid w:val="006D0073"/>
    <w:rsid w:val="006D0405"/>
    <w:rsid w:val="006D073D"/>
    <w:rsid w:val="006D1740"/>
    <w:rsid w:val="006D1B90"/>
    <w:rsid w:val="006D1D2E"/>
    <w:rsid w:val="006D1DD7"/>
    <w:rsid w:val="006D1DFB"/>
    <w:rsid w:val="006D287C"/>
    <w:rsid w:val="006D3447"/>
    <w:rsid w:val="006D39D5"/>
    <w:rsid w:val="006D3DA3"/>
    <w:rsid w:val="006D432E"/>
    <w:rsid w:val="006D48B9"/>
    <w:rsid w:val="006D4EC4"/>
    <w:rsid w:val="006D5118"/>
    <w:rsid w:val="006D5956"/>
    <w:rsid w:val="006D65A5"/>
    <w:rsid w:val="006D66FB"/>
    <w:rsid w:val="006D6707"/>
    <w:rsid w:val="006D6BD6"/>
    <w:rsid w:val="006D6F46"/>
    <w:rsid w:val="006D6F7C"/>
    <w:rsid w:val="006D70A5"/>
    <w:rsid w:val="006D7132"/>
    <w:rsid w:val="006D7881"/>
    <w:rsid w:val="006D7971"/>
    <w:rsid w:val="006D7C5C"/>
    <w:rsid w:val="006D7C76"/>
    <w:rsid w:val="006D7DBA"/>
    <w:rsid w:val="006D7F37"/>
    <w:rsid w:val="006E0427"/>
    <w:rsid w:val="006E1022"/>
    <w:rsid w:val="006E1331"/>
    <w:rsid w:val="006E1722"/>
    <w:rsid w:val="006E1961"/>
    <w:rsid w:val="006E28F0"/>
    <w:rsid w:val="006E2B4D"/>
    <w:rsid w:val="006E2F9E"/>
    <w:rsid w:val="006E32D3"/>
    <w:rsid w:val="006E3585"/>
    <w:rsid w:val="006E374E"/>
    <w:rsid w:val="006E3A7D"/>
    <w:rsid w:val="006E4560"/>
    <w:rsid w:val="006E4C18"/>
    <w:rsid w:val="006E4E19"/>
    <w:rsid w:val="006E4F90"/>
    <w:rsid w:val="006E52B8"/>
    <w:rsid w:val="006E5479"/>
    <w:rsid w:val="006E6582"/>
    <w:rsid w:val="006E6759"/>
    <w:rsid w:val="006E6ECD"/>
    <w:rsid w:val="006E7287"/>
    <w:rsid w:val="006E777B"/>
    <w:rsid w:val="006E77F9"/>
    <w:rsid w:val="006E7803"/>
    <w:rsid w:val="006E7CBC"/>
    <w:rsid w:val="006E7E9B"/>
    <w:rsid w:val="006F0012"/>
    <w:rsid w:val="006F0168"/>
    <w:rsid w:val="006F0F57"/>
    <w:rsid w:val="006F1155"/>
    <w:rsid w:val="006F2105"/>
    <w:rsid w:val="006F2812"/>
    <w:rsid w:val="006F3A84"/>
    <w:rsid w:val="006F3C39"/>
    <w:rsid w:val="006F3C77"/>
    <w:rsid w:val="006F4207"/>
    <w:rsid w:val="006F448F"/>
    <w:rsid w:val="006F4A68"/>
    <w:rsid w:val="006F4BC6"/>
    <w:rsid w:val="006F4FB4"/>
    <w:rsid w:val="006F5135"/>
    <w:rsid w:val="006F51C8"/>
    <w:rsid w:val="006F583C"/>
    <w:rsid w:val="006F5B64"/>
    <w:rsid w:val="006F60DF"/>
    <w:rsid w:val="006F645D"/>
    <w:rsid w:val="006F6888"/>
    <w:rsid w:val="006F6DDE"/>
    <w:rsid w:val="006F76B1"/>
    <w:rsid w:val="0070013F"/>
    <w:rsid w:val="007004BE"/>
    <w:rsid w:val="007004EB"/>
    <w:rsid w:val="00700AFB"/>
    <w:rsid w:val="007013AF"/>
    <w:rsid w:val="00701AD0"/>
    <w:rsid w:val="00701AF5"/>
    <w:rsid w:val="007020C3"/>
    <w:rsid w:val="0070231B"/>
    <w:rsid w:val="00702651"/>
    <w:rsid w:val="007029A4"/>
    <w:rsid w:val="00702D42"/>
    <w:rsid w:val="00703142"/>
    <w:rsid w:val="007035D4"/>
    <w:rsid w:val="007037CC"/>
    <w:rsid w:val="00703B24"/>
    <w:rsid w:val="00703BE0"/>
    <w:rsid w:val="00703EA0"/>
    <w:rsid w:val="0070406E"/>
    <w:rsid w:val="00704075"/>
    <w:rsid w:val="007043E5"/>
    <w:rsid w:val="007045C6"/>
    <w:rsid w:val="0070469E"/>
    <w:rsid w:val="007048A4"/>
    <w:rsid w:val="00704962"/>
    <w:rsid w:val="007049D6"/>
    <w:rsid w:val="00704C53"/>
    <w:rsid w:val="00705590"/>
    <w:rsid w:val="007056E9"/>
    <w:rsid w:val="00705AB1"/>
    <w:rsid w:val="00705DE4"/>
    <w:rsid w:val="00706922"/>
    <w:rsid w:val="007073E4"/>
    <w:rsid w:val="0071029E"/>
    <w:rsid w:val="007106EE"/>
    <w:rsid w:val="007113AB"/>
    <w:rsid w:val="0071188E"/>
    <w:rsid w:val="007124AA"/>
    <w:rsid w:val="007124C1"/>
    <w:rsid w:val="007126AB"/>
    <w:rsid w:val="00713151"/>
    <w:rsid w:val="00713555"/>
    <w:rsid w:val="00713A87"/>
    <w:rsid w:val="00713C57"/>
    <w:rsid w:val="00713C92"/>
    <w:rsid w:val="0071432B"/>
    <w:rsid w:val="007143FA"/>
    <w:rsid w:val="00714638"/>
    <w:rsid w:val="00714B42"/>
    <w:rsid w:val="00714DC1"/>
    <w:rsid w:val="00715314"/>
    <w:rsid w:val="00715425"/>
    <w:rsid w:val="007154F6"/>
    <w:rsid w:val="007155B3"/>
    <w:rsid w:val="007156AE"/>
    <w:rsid w:val="0071580B"/>
    <w:rsid w:val="00715AA0"/>
    <w:rsid w:val="00715D61"/>
    <w:rsid w:val="00715F8B"/>
    <w:rsid w:val="007163B0"/>
    <w:rsid w:val="00716755"/>
    <w:rsid w:val="007168B6"/>
    <w:rsid w:val="00716DB1"/>
    <w:rsid w:val="00716FD7"/>
    <w:rsid w:val="00717259"/>
    <w:rsid w:val="0071776C"/>
    <w:rsid w:val="00717BE0"/>
    <w:rsid w:val="007205D2"/>
    <w:rsid w:val="0072066A"/>
    <w:rsid w:val="007206CD"/>
    <w:rsid w:val="007206F7"/>
    <w:rsid w:val="00720A16"/>
    <w:rsid w:val="00720FB5"/>
    <w:rsid w:val="00721061"/>
    <w:rsid w:val="0072142E"/>
    <w:rsid w:val="00721ABC"/>
    <w:rsid w:val="00721FA3"/>
    <w:rsid w:val="00722EF5"/>
    <w:rsid w:val="0072308F"/>
    <w:rsid w:val="00723779"/>
    <w:rsid w:val="00726403"/>
    <w:rsid w:val="00726F2A"/>
    <w:rsid w:val="00727007"/>
    <w:rsid w:val="0072702C"/>
    <w:rsid w:val="007275C7"/>
    <w:rsid w:val="00727C11"/>
    <w:rsid w:val="00727C7F"/>
    <w:rsid w:val="00727FBF"/>
    <w:rsid w:val="007300C2"/>
    <w:rsid w:val="007301CA"/>
    <w:rsid w:val="00730A06"/>
    <w:rsid w:val="00730D72"/>
    <w:rsid w:val="00731026"/>
    <w:rsid w:val="007316ED"/>
    <w:rsid w:val="007317AD"/>
    <w:rsid w:val="00731B3C"/>
    <w:rsid w:val="00731F99"/>
    <w:rsid w:val="0073216D"/>
    <w:rsid w:val="007321AF"/>
    <w:rsid w:val="007322F6"/>
    <w:rsid w:val="00732DA7"/>
    <w:rsid w:val="00732DC7"/>
    <w:rsid w:val="0073379A"/>
    <w:rsid w:val="00733BAC"/>
    <w:rsid w:val="00733C54"/>
    <w:rsid w:val="00734451"/>
    <w:rsid w:val="0073489E"/>
    <w:rsid w:val="00734916"/>
    <w:rsid w:val="00734BB8"/>
    <w:rsid w:val="00735031"/>
    <w:rsid w:val="0073513A"/>
    <w:rsid w:val="007356FB"/>
    <w:rsid w:val="00735845"/>
    <w:rsid w:val="00735E24"/>
    <w:rsid w:val="00735E2A"/>
    <w:rsid w:val="00736164"/>
    <w:rsid w:val="0073691C"/>
    <w:rsid w:val="007375B4"/>
    <w:rsid w:val="00737E75"/>
    <w:rsid w:val="0074053A"/>
    <w:rsid w:val="00740D8E"/>
    <w:rsid w:val="0074185F"/>
    <w:rsid w:val="0074254D"/>
    <w:rsid w:val="007426F0"/>
    <w:rsid w:val="0074277D"/>
    <w:rsid w:val="00742EF0"/>
    <w:rsid w:val="00743312"/>
    <w:rsid w:val="0074391F"/>
    <w:rsid w:val="00743969"/>
    <w:rsid w:val="00743EBA"/>
    <w:rsid w:val="007443B4"/>
    <w:rsid w:val="0074457C"/>
    <w:rsid w:val="0074464E"/>
    <w:rsid w:val="00744658"/>
    <w:rsid w:val="00744A96"/>
    <w:rsid w:val="00744EF0"/>
    <w:rsid w:val="00744FAD"/>
    <w:rsid w:val="0074530E"/>
    <w:rsid w:val="0074533C"/>
    <w:rsid w:val="00745364"/>
    <w:rsid w:val="00745470"/>
    <w:rsid w:val="007458B6"/>
    <w:rsid w:val="00746F03"/>
    <w:rsid w:val="0074700F"/>
    <w:rsid w:val="007473C8"/>
    <w:rsid w:val="0074778C"/>
    <w:rsid w:val="00747AA0"/>
    <w:rsid w:val="00747BCB"/>
    <w:rsid w:val="00747C54"/>
    <w:rsid w:val="00747D90"/>
    <w:rsid w:val="00750BFA"/>
    <w:rsid w:val="00751183"/>
    <w:rsid w:val="007513F4"/>
    <w:rsid w:val="00751696"/>
    <w:rsid w:val="00751F40"/>
    <w:rsid w:val="00752308"/>
    <w:rsid w:val="007529FF"/>
    <w:rsid w:val="00752FA5"/>
    <w:rsid w:val="00753138"/>
    <w:rsid w:val="00753949"/>
    <w:rsid w:val="00753C7B"/>
    <w:rsid w:val="00753FFA"/>
    <w:rsid w:val="00754E40"/>
    <w:rsid w:val="00755830"/>
    <w:rsid w:val="00755EC3"/>
    <w:rsid w:val="00755FEF"/>
    <w:rsid w:val="007564FD"/>
    <w:rsid w:val="00756797"/>
    <w:rsid w:val="00756D2C"/>
    <w:rsid w:val="00756E43"/>
    <w:rsid w:val="00757067"/>
    <w:rsid w:val="00757508"/>
    <w:rsid w:val="00757654"/>
    <w:rsid w:val="00757930"/>
    <w:rsid w:val="00757D21"/>
    <w:rsid w:val="00757E41"/>
    <w:rsid w:val="00757E62"/>
    <w:rsid w:val="0076009C"/>
    <w:rsid w:val="00760101"/>
    <w:rsid w:val="00760262"/>
    <w:rsid w:val="00760352"/>
    <w:rsid w:val="007605C6"/>
    <w:rsid w:val="00760799"/>
    <w:rsid w:val="007616AB"/>
    <w:rsid w:val="00761C1E"/>
    <w:rsid w:val="00762423"/>
    <w:rsid w:val="0076279F"/>
    <w:rsid w:val="00762C3D"/>
    <w:rsid w:val="00762E21"/>
    <w:rsid w:val="00762E39"/>
    <w:rsid w:val="00763703"/>
    <w:rsid w:val="0076503C"/>
    <w:rsid w:val="007654E3"/>
    <w:rsid w:val="00765764"/>
    <w:rsid w:val="007659B9"/>
    <w:rsid w:val="00765DB9"/>
    <w:rsid w:val="0076606D"/>
    <w:rsid w:val="007662B1"/>
    <w:rsid w:val="007662F1"/>
    <w:rsid w:val="00766745"/>
    <w:rsid w:val="00766908"/>
    <w:rsid w:val="00766AB2"/>
    <w:rsid w:val="00766CE7"/>
    <w:rsid w:val="00766EC4"/>
    <w:rsid w:val="007677B2"/>
    <w:rsid w:val="00770F32"/>
    <w:rsid w:val="00771458"/>
    <w:rsid w:val="0077174A"/>
    <w:rsid w:val="00771888"/>
    <w:rsid w:val="00771D96"/>
    <w:rsid w:val="007723F1"/>
    <w:rsid w:val="00772C4F"/>
    <w:rsid w:val="00772C67"/>
    <w:rsid w:val="00772D8E"/>
    <w:rsid w:val="00773359"/>
    <w:rsid w:val="007737CC"/>
    <w:rsid w:val="007737F8"/>
    <w:rsid w:val="0077383D"/>
    <w:rsid w:val="00773BFA"/>
    <w:rsid w:val="00773E5C"/>
    <w:rsid w:val="00773F90"/>
    <w:rsid w:val="007749CF"/>
    <w:rsid w:val="00774EEB"/>
    <w:rsid w:val="007750AC"/>
    <w:rsid w:val="0077557F"/>
    <w:rsid w:val="00775DFF"/>
    <w:rsid w:val="007760BF"/>
    <w:rsid w:val="00776856"/>
    <w:rsid w:val="00776C61"/>
    <w:rsid w:val="00776E91"/>
    <w:rsid w:val="007774F1"/>
    <w:rsid w:val="007775F0"/>
    <w:rsid w:val="00777BBB"/>
    <w:rsid w:val="00780048"/>
    <w:rsid w:val="00780349"/>
    <w:rsid w:val="00780F03"/>
    <w:rsid w:val="00781A7A"/>
    <w:rsid w:val="00781CCD"/>
    <w:rsid w:val="007831D8"/>
    <w:rsid w:val="007836D9"/>
    <w:rsid w:val="00783B0C"/>
    <w:rsid w:val="00783B77"/>
    <w:rsid w:val="00783B7E"/>
    <w:rsid w:val="0078409B"/>
    <w:rsid w:val="00784131"/>
    <w:rsid w:val="0078431A"/>
    <w:rsid w:val="0078486C"/>
    <w:rsid w:val="00784974"/>
    <w:rsid w:val="0078497D"/>
    <w:rsid w:val="00784F09"/>
    <w:rsid w:val="00785216"/>
    <w:rsid w:val="00785589"/>
    <w:rsid w:val="007855EC"/>
    <w:rsid w:val="007857F8"/>
    <w:rsid w:val="00785E4A"/>
    <w:rsid w:val="00785EE0"/>
    <w:rsid w:val="00786EA6"/>
    <w:rsid w:val="00787760"/>
    <w:rsid w:val="007878B5"/>
    <w:rsid w:val="00787D03"/>
    <w:rsid w:val="007906C6"/>
    <w:rsid w:val="00790D56"/>
    <w:rsid w:val="00790E7E"/>
    <w:rsid w:val="0079106E"/>
    <w:rsid w:val="0079180C"/>
    <w:rsid w:val="00791B76"/>
    <w:rsid w:val="00791B9F"/>
    <w:rsid w:val="00792654"/>
    <w:rsid w:val="00792F76"/>
    <w:rsid w:val="007932A4"/>
    <w:rsid w:val="0079331F"/>
    <w:rsid w:val="00793D3B"/>
    <w:rsid w:val="007944A7"/>
    <w:rsid w:val="00794646"/>
    <w:rsid w:val="00794750"/>
    <w:rsid w:val="00794A09"/>
    <w:rsid w:val="00794A75"/>
    <w:rsid w:val="00795B71"/>
    <w:rsid w:val="00796282"/>
    <w:rsid w:val="00796999"/>
    <w:rsid w:val="00796BE3"/>
    <w:rsid w:val="00796CE4"/>
    <w:rsid w:val="00796D73"/>
    <w:rsid w:val="00796F59"/>
    <w:rsid w:val="0079714E"/>
    <w:rsid w:val="007A0076"/>
    <w:rsid w:val="007A00CA"/>
    <w:rsid w:val="007A01ED"/>
    <w:rsid w:val="007A064B"/>
    <w:rsid w:val="007A0728"/>
    <w:rsid w:val="007A0E56"/>
    <w:rsid w:val="007A127B"/>
    <w:rsid w:val="007A1BE3"/>
    <w:rsid w:val="007A23F5"/>
    <w:rsid w:val="007A243F"/>
    <w:rsid w:val="007A25F8"/>
    <w:rsid w:val="007A2625"/>
    <w:rsid w:val="007A2A50"/>
    <w:rsid w:val="007A2D49"/>
    <w:rsid w:val="007A3905"/>
    <w:rsid w:val="007A3A21"/>
    <w:rsid w:val="007A3FAB"/>
    <w:rsid w:val="007A4681"/>
    <w:rsid w:val="007A4B3F"/>
    <w:rsid w:val="007A4ED0"/>
    <w:rsid w:val="007A513E"/>
    <w:rsid w:val="007A5473"/>
    <w:rsid w:val="007A5738"/>
    <w:rsid w:val="007A5968"/>
    <w:rsid w:val="007A5D2E"/>
    <w:rsid w:val="007A61AF"/>
    <w:rsid w:val="007A61BB"/>
    <w:rsid w:val="007A64D7"/>
    <w:rsid w:val="007A7C09"/>
    <w:rsid w:val="007B015E"/>
    <w:rsid w:val="007B0217"/>
    <w:rsid w:val="007B05A4"/>
    <w:rsid w:val="007B0F93"/>
    <w:rsid w:val="007B1051"/>
    <w:rsid w:val="007B1630"/>
    <w:rsid w:val="007B1667"/>
    <w:rsid w:val="007B1B20"/>
    <w:rsid w:val="007B1BB9"/>
    <w:rsid w:val="007B1CD8"/>
    <w:rsid w:val="007B20ED"/>
    <w:rsid w:val="007B2665"/>
    <w:rsid w:val="007B2B99"/>
    <w:rsid w:val="007B2C89"/>
    <w:rsid w:val="007B3181"/>
    <w:rsid w:val="007B386C"/>
    <w:rsid w:val="007B3C3F"/>
    <w:rsid w:val="007B3CD5"/>
    <w:rsid w:val="007B3F4B"/>
    <w:rsid w:val="007B42F7"/>
    <w:rsid w:val="007B4345"/>
    <w:rsid w:val="007B46D6"/>
    <w:rsid w:val="007B50FE"/>
    <w:rsid w:val="007B5264"/>
    <w:rsid w:val="007B5746"/>
    <w:rsid w:val="007B594A"/>
    <w:rsid w:val="007B5AA5"/>
    <w:rsid w:val="007B5C9B"/>
    <w:rsid w:val="007B60B0"/>
    <w:rsid w:val="007B63BA"/>
    <w:rsid w:val="007B660F"/>
    <w:rsid w:val="007B694B"/>
    <w:rsid w:val="007B756B"/>
    <w:rsid w:val="007B7979"/>
    <w:rsid w:val="007B7D3D"/>
    <w:rsid w:val="007B7FEF"/>
    <w:rsid w:val="007C0241"/>
    <w:rsid w:val="007C04AE"/>
    <w:rsid w:val="007C0ACB"/>
    <w:rsid w:val="007C0DA5"/>
    <w:rsid w:val="007C11CF"/>
    <w:rsid w:val="007C123C"/>
    <w:rsid w:val="007C14E7"/>
    <w:rsid w:val="007C1F59"/>
    <w:rsid w:val="007C2357"/>
    <w:rsid w:val="007C2453"/>
    <w:rsid w:val="007C2497"/>
    <w:rsid w:val="007C25BB"/>
    <w:rsid w:val="007C26AE"/>
    <w:rsid w:val="007C2A73"/>
    <w:rsid w:val="007C2DBF"/>
    <w:rsid w:val="007C2E53"/>
    <w:rsid w:val="007C329F"/>
    <w:rsid w:val="007C3398"/>
    <w:rsid w:val="007C3B1F"/>
    <w:rsid w:val="007C4526"/>
    <w:rsid w:val="007C4609"/>
    <w:rsid w:val="007C4A49"/>
    <w:rsid w:val="007C4DBA"/>
    <w:rsid w:val="007C4F0C"/>
    <w:rsid w:val="007C5966"/>
    <w:rsid w:val="007C5CDF"/>
    <w:rsid w:val="007C6797"/>
    <w:rsid w:val="007C68E2"/>
    <w:rsid w:val="007C6A54"/>
    <w:rsid w:val="007C6B13"/>
    <w:rsid w:val="007C6C03"/>
    <w:rsid w:val="007C77C8"/>
    <w:rsid w:val="007C780F"/>
    <w:rsid w:val="007C78F3"/>
    <w:rsid w:val="007C79C5"/>
    <w:rsid w:val="007C7DC8"/>
    <w:rsid w:val="007D052D"/>
    <w:rsid w:val="007D056C"/>
    <w:rsid w:val="007D061E"/>
    <w:rsid w:val="007D0AEC"/>
    <w:rsid w:val="007D0B81"/>
    <w:rsid w:val="007D142D"/>
    <w:rsid w:val="007D1649"/>
    <w:rsid w:val="007D1B7A"/>
    <w:rsid w:val="007D1D2F"/>
    <w:rsid w:val="007D2B3C"/>
    <w:rsid w:val="007D2C77"/>
    <w:rsid w:val="007D2D31"/>
    <w:rsid w:val="007D3264"/>
    <w:rsid w:val="007D3477"/>
    <w:rsid w:val="007D41C2"/>
    <w:rsid w:val="007D44D9"/>
    <w:rsid w:val="007D4817"/>
    <w:rsid w:val="007D4A40"/>
    <w:rsid w:val="007D4B15"/>
    <w:rsid w:val="007D51B4"/>
    <w:rsid w:val="007D5E49"/>
    <w:rsid w:val="007D640C"/>
    <w:rsid w:val="007D6444"/>
    <w:rsid w:val="007D6FB0"/>
    <w:rsid w:val="007D7A77"/>
    <w:rsid w:val="007E0884"/>
    <w:rsid w:val="007E09AE"/>
    <w:rsid w:val="007E0D9D"/>
    <w:rsid w:val="007E0FF2"/>
    <w:rsid w:val="007E11F6"/>
    <w:rsid w:val="007E1709"/>
    <w:rsid w:val="007E1C4A"/>
    <w:rsid w:val="007E1DAF"/>
    <w:rsid w:val="007E213D"/>
    <w:rsid w:val="007E23B2"/>
    <w:rsid w:val="007E257D"/>
    <w:rsid w:val="007E2E04"/>
    <w:rsid w:val="007E2E3B"/>
    <w:rsid w:val="007E30C7"/>
    <w:rsid w:val="007E3495"/>
    <w:rsid w:val="007E34D0"/>
    <w:rsid w:val="007E3833"/>
    <w:rsid w:val="007E3A06"/>
    <w:rsid w:val="007E3D91"/>
    <w:rsid w:val="007E40FA"/>
    <w:rsid w:val="007E442F"/>
    <w:rsid w:val="007E4499"/>
    <w:rsid w:val="007E45D3"/>
    <w:rsid w:val="007E4750"/>
    <w:rsid w:val="007E4788"/>
    <w:rsid w:val="007E48B6"/>
    <w:rsid w:val="007E4B03"/>
    <w:rsid w:val="007E4FEC"/>
    <w:rsid w:val="007E5302"/>
    <w:rsid w:val="007E539E"/>
    <w:rsid w:val="007E5569"/>
    <w:rsid w:val="007E5B5B"/>
    <w:rsid w:val="007E65E3"/>
    <w:rsid w:val="007E6790"/>
    <w:rsid w:val="007E6A39"/>
    <w:rsid w:val="007E70D9"/>
    <w:rsid w:val="007E712A"/>
    <w:rsid w:val="007E7145"/>
    <w:rsid w:val="007E7AF4"/>
    <w:rsid w:val="007F0069"/>
    <w:rsid w:val="007F0629"/>
    <w:rsid w:val="007F0AB0"/>
    <w:rsid w:val="007F1202"/>
    <w:rsid w:val="007F1213"/>
    <w:rsid w:val="007F225E"/>
    <w:rsid w:val="007F2A19"/>
    <w:rsid w:val="007F2DE5"/>
    <w:rsid w:val="007F3075"/>
    <w:rsid w:val="007F3081"/>
    <w:rsid w:val="007F38D5"/>
    <w:rsid w:val="007F3D77"/>
    <w:rsid w:val="007F4324"/>
    <w:rsid w:val="007F444C"/>
    <w:rsid w:val="007F5193"/>
    <w:rsid w:val="007F5207"/>
    <w:rsid w:val="007F547F"/>
    <w:rsid w:val="007F548E"/>
    <w:rsid w:val="007F5490"/>
    <w:rsid w:val="007F5774"/>
    <w:rsid w:val="007F5A98"/>
    <w:rsid w:val="007F5DA1"/>
    <w:rsid w:val="007F6447"/>
    <w:rsid w:val="007F6579"/>
    <w:rsid w:val="007F6F2F"/>
    <w:rsid w:val="00800163"/>
    <w:rsid w:val="0080058B"/>
    <w:rsid w:val="00800903"/>
    <w:rsid w:val="00800F74"/>
    <w:rsid w:val="008012E3"/>
    <w:rsid w:val="008013A1"/>
    <w:rsid w:val="008018F1"/>
    <w:rsid w:val="00801FCE"/>
    <w:rsid w:val="0080235F"/>
    <w:rsid w:val="008023E3"/>
    <w:rsid w:val="00802438"/>
    <w:rsid w:val="00802EBC"/>
    <w:rsid w:val="00802FF1"/>
    <w:rsid w:val="0080341B"/>
    <w:rsid w:val="008037B5"/>
    <w:rsid w:val="00803B7E"/>
    <w:rsid w:val="00803C28"/>
    <w:rsid w:val="00803D55"/>
    <w:rsid w:val="00803E13"/>
    <w:rsid w:val="00803E93"/>
    <w:rsid w:val="00804738"/>
    <w:rsid w:val="008048CD"/>
    <w:rsid w:val="00805F0E"/>
    <w:rsid w:val="00806080"/>
    <w:rsid w:val="00806194"/>
    <w:rsid w:val="008061D1"/>
    <w:rsid w:val="0080699D"/>
    <w:rsid w:val="00806A83"/>
    <w:rsid w:val="00807177"/>
    <w:rsid w:val="00807650"/>
    <w:rsid w:val="00807BDA"/>
    <w:rsid w:val="00807C38"/>
    <w:rsid w:val="00807D53"/>
    <w:rsid w:val="00810345"/>
    <w:rsid w:val="0081080E"/>
    <w:rsid w:val="00810915"/>
    <w:rsid w:val="008112C7"/>
    <w:rsid w:val="008113CF"/>
    <w:rsid w:val="008115AA"/>
    <w:rsid w:val="00811F0E"/>
    <w:rsid w:val="00813029"/>
    <w:rsid w:val="008133B7"/>
    <w:rsid w:val="00813B7F"/>
    <w:rsid w:val="00813B84"/>
    <w:rsid w:val="00813CFB"/>
    <w:rsid w:val="00813E32"/>
    <w:rsid w:val="00813E69"/>
    <w:rsid w:val="0081423F"/>
    <w:rsid w:val="00814427"/>
    <w:rsid w:val="0081486A"/>
    <w:rsid w:val="0081488A"/>
    <w:rsid w:val="00814AF6"/>
    <w:rsid w:val="00814DBD"/>
    <w:rsid w:val="008153AC"/>
    <w:rsid w:val="00815F2D"/>
    <w:rsid w:val="0081681C"/>
    <w:rsid w:val="008169BD"/>
    <w:rsid w:val="00816D5C"/>
    <w:rsid w:val="008172D1"/>
    <w:rsid w:val="008172DD"/>
    <w:rsid w:val="00817427"/>
    <w:rsid w:val="008175C0"/>
    <w:rsid w:val="00817813"/>
    <w:rsid w:val="00817926"/>
    <w:rsid w:val="00817A0C"/>
    <w:rsid w:val="00817EB7"/>
    <w:rsid w:val="0082038E"/>
    <w:rsid w:val="008205BB"/>
    <w:rsid w:val="008206BC"/>
    <w:rsid w:val="00820724"/>
    <w:rsid w:val="00820B9E"/>
    <w:rsid w:val="00820E42"/>
    <w:rsid w:val="008210A1"/>
    <w:rsid w:val="00821B53"/>
    <w:rsid w:val="00821EC0"/>
    <w:rsid w:val="008220CF"/>
    <w:rsid w:val="008222A6"/>
    <w:rsid w:val="00822CE6"/>
    <w:rsid w:val="008233CF"/>
    <w:rsid w:val="00823C27"/>
    <w:rsid w:val="00823E80"/>
    <w:rsid w:val="00824249"/>
    <w:rsid w:val="00824E47"/>
    <w:rsid w:val="008252E6"/>
    <w:rsid w:val="00825791"/>
    <w:rsid w:val="008257DF"/>
    <w:rsid w:val="00825E18"/>
    <w:rsid w:val="008266DA"/>
    <w:rsid w:val="00826C9D"/>
    <w:rsid w:val="00826D57"/>
    <w:rsid w:val="0082744D"/>
    <w:rsid w:val="00827DEA"/>
    <w:rsid w:val="00830474"/>
    <w:rsid w:val="008304A3"/>
    <w:rsid w:val="008304B4"/>
    <w:rsid w:val="00830EE8"/>
    <w:rsid w:val="00830F83"/>
    <w:rsid w:val="0083173D"/>
    <w:rsid w:val="00831755"/>
    <w:rsid w:val="00831EE1"/>
    <w:rsid w:val="00831FBE"/>
    <w:rsid w:val="00832743"/>
    <w:rsid w:val="00832894"/>
    <w:rsid w:val="00832C17"/>
    <w:rsid w:val="008343E0"/>
    <w:rsid w:val="008344DA"/>
    <w:rsid w:val="00834C19"/>
    <w:rsid w:val="00834E4F"/>
    <w:rsid w:val="00834F3E"/>
    <w:rsid w:val="00835955"/>
    <w:rsid w:val="00835A46"/>
    <w:rsid w:val="00835E38"/>
    <w:rsid w:val="008361A3"/>
    <w:rsid w:val="00836587"/>
    <w:rsid w:val="008370DF"/>
    <w:rsid w:val="0083756C"/>
    <w:rsid w:val="00837C1F"/>
    <w:rsid w:val="00840120"/>
    <w:rsid w:val="00840164"/>
    <w:rsid w:val="008404D9"/>
    <w:rsid w:val="0084051F"/>
    <w:rsid w:val="00840656"/>
    <w:rsid w:val="00841180"/>
    <w:rsid w:val="008413B8"/>
    <w:rsid w:val="00841575"/>
    <w:rsid w:val="00841577"/>
    <w:rsid w:val="00841765"/>
    <w:rsid w:val="00841BB8"/>
    <w:rsid w:val="00842722"/>
    <w:rsid w:val="008427AC"/>
    <w:rsid w:val="008429F8"/>
    <w:rsid w:val="00842AD8"/>
    <w:rsid w:val="00843110"/>
    <w:rsid w:val="008432A5"/>
    <w:rsid w:val="00843570"/>
    <w:rsid w:val="008438B4"/>
    <w:rsid w:val="00844410"/>
    <w:rsid w:val="0084471C"/>
    <w:rsid w:val="00844AD4"/>
    <w:rsid w:val="00844C6A"/>
    <w:rsid w:val="00844D99"/>
    <w:rsid w:val="00844E71"/>
    <w:rsid w:val="00844F58"/>
    <w:rsid w:val="00845006"/>
    <w:rsid w:val="00845875"/>
    <w:rsid w:val="00845986"/>
    <w:rsid w:val="00845F0E"/>
    <w:rsid w:val="00845F80"/>
    <w:rsid w:val="0084622D"/>
    <w:rsid w:val="00847100"/>
    <w:rsid w:val="00847248"/>
    <w:rsid w:val="00847CF0"/>
    <w:rsid w:val="00847D87"/>
    <w:rsid w:val="00850219"/>
    <w:rsid w:val="008507C7"/>
    <w:rsid w:val="0085123B"/>
    <w:rsid w:val="00851E85"/>
    <w:rsid w:val="0085210D"/>
    <w:rsid w:val="00852571"/>
    <w:rsid w:val="008526D4"/>
    <w:rsid w:val="00852756"/>
    <w:rsid w:val="00852914"/>
    <w:rsid w:val="00852B79"/>
    <w:rsid w:val="008530C3"/>
    <w:rsid w:val="00853453"/>
    <w:rsid w:val="00853675"/>
    <w:rsid w:val="00853CFB"/>
    <w:rsid w:val="008542DC"/>
    <w:rsid w:val="0085442D"/>
    <w:rsid w:val="0085470B"/>
    <w:rsid w:val="00854F93"/>
    <w:rsid w:val="00855F1A"/>
    <w:rsid w:val="00856620"/>
    <w:rsid w:val="0085783E"/>
    <w:rsid w:val="00857A8F"/>
    <w:rsid w:val="00857CB2"/>
    <w:rsid w:val="00857E2E"/>
    <w:rsid w:val="00857E80"/>
    <w:rsid w:val="00857E84"/>
    <w:rsid w:val="008607BE"/>
    <w:rsid w:val="00860965"/>
    <w:rsid w:val="008616EB"/>
    <w:rsid w:val="0086198D"/>
    <w:rsid w:val="00861996"/>
    <w:rsid w:val="00861F79"/>
    <w:rsid w:val="008625FC"/>
    <w:rsid w:val="00862CA5"/>
    <w:rsid w:val="00862E55"/>
    <w:rsid w:val="008634A4"/>
    <w:rsid w:val="0086371F"/>
    <w:rsid w:val="00863848"/>
    <w:rsid w:val="00863E54"/>
    <w:rsid w:val="00864E12"/>
    <w:rsid w:val="008651B7"/>
    <w:rsid w:val="00865BF7"/>
    <w:rsid w:val="008661E8"/>
    <w:rsid w:val="008671A4"/>
    <w:rsid w:val="00867620"/>
    <w:rsid w:val="008677D4"/>
    <w:rsid w:val="00867F48"/>
    <w:rsid w:val="00870209"/>
    <w:rsid w:val="00870880"/>
    <w:rsid w:val="00870ADC"/>
    <w:rsid w:val="0087103C"/>
    <w:rsid w:val="00871054"/>
    <w:rsid w:val="00872795"/>
    <w:rsid w:val="00872C4B"/>
    <w:rsid w:val="0087325E"/>
    <w:rsid w:val="008734A0"/>
    <w:rsid w:val="008738E4"/>
    <w:rsid w:val="00873D9D"/>
    <w:rsid w:val="00874372"/>
    <w:rsid w:val="00874641"/>
    <w:rsid w:val="0087470A"/>
    <w:rsid w:val="00874848"/>
    <w:rsid w:val="0087510C"/>
    <w:rsid w:val="00875165"/>
    <w:rsid w:val="00875291"/>
    <w:rsid w:val="00875E2F"/>
    <w:rsid w:val="00875E63"/>
    <w:rsid w:val="008762F0"/>
    <w:rsid w:val="00877250"/>
    <w:rsid w:val="00877354"/>
    <w:rsid w:val="00877927"/>
    <w:rsid w:val="008779A5"/>
    <w:rsid w:val="0088012F"/>
    <w:rsid w:val="00880148"/>
    <w:rsid w:val="00880387"/>
    <w:rsid w:val="00880839"/>
    <w:rsid w:val="00880B81"/>
    <w:rsid w:val="008811C7"/>
    <w:rsid w:val="008815DE"/>
    <w:rsid w:val="00881921"/>
    <w:rsid w:val="00881D85"/>
    <w:rsid w:val="00881F4B"/>
    <w:rsid w:val="008831F0"/>
    <w:rsid w:val="00883334"/>
    <w:rsid w:val="00883787"/>
    <w:rsid w:val="008839D2"/>
    <w:rsid w:val="00883A68"/>
    <w:rsid w:val="00884051"/>
    <w:rsid w:val="00884246"/>
    <w:rsid w:val="008844EE"/>
    <w:rsid w:val="0088552D"/>
    <w:rsid w:val="0088558E"/>
    <w:rsid w:val="008859CF"/>
    <w:rsid w:val="00885C4D"/>
    <w:rsid w:val="00885DA9"/>
    <w:rsid w:val="00885F86"/>
    <w:rsid w:val="008861CF"/>
    <w:rsid w:val="00886273"/>
    <w:rsid w:val="008862D6"/>
    <w:rsid w:val="0088661A"/>
    <w:rsid w:val="00886647"/>
    <w:rsid w:val="00886773"/>
    <w:rsid w:val="0088731F"/>
    <w:rsid w:val="00887841"/>
    <w:rsid w:val="008879DE"/>
    <w:rsid w:val="00887C8A"/>
    <w:rsid w:val="00887E33"/>
    <w:rsid w:val="008903F7"/>
    <w:rsid w:val="00890958"/>
    <w:rsid w:val="00890B8A"/>
    <w:rsid w:val="00890C9F"/>
    <w:rsid w:val="00890D13"/>
    <w:rsid w:val="00891C6D"/>
    <w:rsid w:val="00891FB3"/>
    <w:rsid w:val="0089237B"/>
    <w:rsid w:val="00892B40"/>
    <w:rsid w:val="00892C9C"/>
    <w:rsid w:val="008931B0"/>
    <w:rsid w:val="00893243"/>
    <w:rsid w:val="008934B0"/>
    <w:rsid w:val="0089393E"/>
    <w:rsid w:val="00893B86"/>
    <w:rsid w:val="00894635"/>
    <w:rsid w:val="00894E76"/>
    <w:rsid w:val="0089557F"/>
    <w:rsid w:val="008957C6"/>
    <w:rsid w:val="00895CBD"/>
    <w:rsid w:val="00896487"/>
    <w:rsid w:val="0089667F"/>
    <w:rsid w:val="00896BCC"/>
    <w:rsid w:val="00896EFE"/>
    <w:rsid w:val="008975B1"/>
    <w:rsid w:val="00897B39"/>
    <w:rsid w:val="00897B84"/>
    <w:rsid w:val="00897DA5"/>
    <w:rsid w:val="00897E89"/>
    <w:rsid w:val="008A073A"/>
    <w:rsid w:val="008A0972"/>
    <w:rsid w:val="008A0EBB"/>
    <w:rsid w:val="008A118E"/>
    <w:rsid w:val="008A12F9"/>
    <w:rsid w:val="008A287F"/>
    <w:rsid w:val="008A2908"/>
    <w:rsid w:val="008A3B71"/>
    <w:rsid w:val="008A4536"/>
    <w:rsid w:val="008A478A"/>
    <w:rsid w:val="008A484F"/>
    <w:rsid w:val="008A48B7"/>
    <w:rsid w:val="008A4FAE"/>
    <w:rsid w:val="008A51AE"/>
    <w:rsid w:val="008A599C"/>
    <w:rsid w:val="008A5AC4"/>
    <w:rsid w:val="008A5B43"/>
    <w:rsid w:val="008A5E67"/>
    <w:rsid w:val="008A69BD"/>
    <w:rsid w:val="008A6D10"/>
    <w:rsid w:val="008A6DC4"/>
    <w:rsid w:val="008A6F5A"/>
    <w:rsid w:val="008A7244"/>
    <w:rsid w:val="008A7854"/>
    <w:rsid w:val="008A7B61"/>
    <w:rsid w:val="008A7E0F"/>
    <w:rsid w:val="008B02E4"/>
    <w:rsid w:val="008B0798"/>
    <w:rsid w:val="008B07DD"/>
    <w:rsid w:val="008B0906"/>
    <w:rsid w:val="008B0B0C"/>
    <w:rsid w:val="008B0BE1"/>
    <w:rsid w:val="008B0F7B"/>
    <w:rsid w:val="008B12E5"/>
    <w:rsid w:val="008B13F9"/>
    <w:rsid w:val="008B180C"/>
    <w:rsid w:val="008B1A06"/>
    <w:rsid w:val="008B1FA4"/>
    <w:rsid w:val="008B2BEB"/>
    <w:rsid w:val="008B2DC6"/>
    <w:rsid w:val="008B329C"/>
    <w:rsid w:val="008B34E7"/>
    <w:rsid w:val="008B40D0"/>
    <w:rsid w:val="008B48BB"/>
    <w:rsid w:val="008B4A15"/>
    <w:rsid w:val="008B533E"/>
    <w:rsid w:val="008B55BF"/>
    <w:rsid w:val="008B59D3"/>
    <w:rsid w:val="008B5E91"/>
    <w:rsid w:val="008B62B8"/>
    <w:rsid w:val="008B6B6E"/>
    <w:rsid w:val="008B73AE"/>
    <w:rsid w:val="008C009C"/>
    <w:rsid w:val="008C0D34"/>
    <w:rsid w:val="008C0F52"/>
    <w:rsid w:val="008C13EA"/>
    <w:rsid w:val="008C171C"/>
    <w:rsid w:val="008C19EA"/>
    <w:rsid w:val="008C1BC0"/>
    <w:rsid w:val="008C1D09"/>
    <w:rsid w:val="008C2538"/>
    <w:rsid w:val="008C2672"/>
    <w:rsid w:val="008C2757"/>
    <w:rsid w:val="008C2EAB"/>
    <w:rsid w:val="008C475A"/>
    <w:rsid w:val="008C477F"/>
    <w:rsid w:val="008C478C"/>
    <w:rsid w:val="008C49D9"/>
    <w:rsid w:val="008C4AB3"/>
    <w:rsid w:val="008C5005"/>
    <w:rsid w:val="008C52BF"/>
    <w:rsid w:val="008C5313"/>
    <w:rsid w:val="008C6154"/>
    <w:rsid w:val="008C6211"/>
    <w:rsid w:val="008C63E6"/>
    <w:rsid w:val="008C641B"/>
    <w:rsid w:val="008C645F"/>
    <w:rsid w:val="008C64C3"/>
    <w:rsid w:val="008C6F20"/>
    <w:rsid w:val="008C74BE"/>
    <w:rsid w:val="008C7743"/>
    <w:rsid w:val="008C7C0B"/>
    <w:rsid w:val="008C7F5E"/>
    <w:rsid w:val="008D06B9"/>
    <w:rsid w:val="008D0E08"/>
    <w:rsid w:val="008D0EC3"/>
    <w:rsid w:val="008D12F2"/>
    <w:rsid w:val="008D1384"/>
    <w:rsid w:val="008D1B21"/>
    <w:rsid w:val="008D1C6B"/>
    <w:rsid w:val="008D1EDB"/>
    <w:rsid w:val="008D20EC"/>
    <w:rsid w:val="008D2828"/>
    <w:rsid w:val="008D2B68"/>
    <w:rsid w:val="008D3206"/>
    <w:rsid w:val="008D362A"/>
    <w:rsid w:val="008D3668"/>
    <w:rsid w:val="008D36CD"/>
    <w:rsid w:val="008D3B76"/>
    <w:rsid w:val="008D3C0B"/>
    <w:rsid w:val="008D3F4F"/>
    <w:rsid w:val="008D4218"/>
    <w:rsid w:val="008D448D"/>
    <w:rsid w:val="008D466C"/>
    <w:rsid w:val="008D46B5"/>
    <w:rsid w:val="008D4731"/>
    <w:rsid w:val="008D4EF6"/>
    <w:rsid w:val="008D4F5B"/>
    <w:rsid w:val="008D54EA"/>
    <w:rsid w:val="008D568F"/>
    <w:rsid w:val="008D624B"/>
    <w:rsid w:val="008D63EC"/>
    <w:rsid w:val="008D64E2"/>
    <w:rsid w:val="008D6729"/>
    <w:rsid w:val="008D6DD5"/>
    <w:rsid w:val="008D7101"/>
    <w:rsid w:val="008D757F"/>
    <w:rsid w:val="008D75A6"/>
    <w:rsid w:val="008D7A32"/>
    <w:rsid w:val="008D7A4D"/>
    <w:rsid w:val="008E02E9"/>
    <w:rsid w:val="008E0439"/>
    <w:rsid w:val="008E085F"/>
    <w:rsid w:val="008E0A2D"/>
    <w:rsid w:val="008E0D57"/>
    <w:rsid w:val="008E1302"/>
    <w:rsid w:val="008E1794"/>
    <w:rsid w:val="008E20B1"/>
    <w:rsid w:val="008E2640"/>
    <w:rsid w:val="008E27B1"/>
    <w:rsid w:val="008E28F8"/>
    <w:rsid w:val="008E2A7F"/>
    <w:rsid w:val="008E2DB8"/>
    <w:rsid w:val="008E30F8"/>
    <w:rsid w:val="008E328C"/>
    <w:rsid w:val="008E37F6"/>
    <w:rsid w:val="008E3920"/>
    <w:rsid w:val="008E3EB1"/>
    <w:rsid w:val="008E3FC3"/>
    <w:rsid w:val="008E4225"/>
    <w:rsid w:val="008E439D"/>
    <w:rsid w:val="008E4554"/>
    <w:rsid w:val="008E4721"/>
    <w:rsid w:val="008E4E1B"/>
    <w:rsid w:val="008E5252"/>
    <w:rsid w:val="008E591F"/>
    <w:rsid w:val="008E5BD5"/>
    <w:rsid w:val="008E6436"/>
    <w:rsid w:val="008E6516"/>
    <w:rsid w:val="008E6EF0"/>
    <w:rsid w:val="008E6FFC"/>
    <w:rsid w:val="008E760B"/>
    <w:rsid w:val="008E793F"/>
    <w:rsid w:val="008E79F7"/>
    <w:rsid w:val="008E7A1D"/>
    <w:rsid w:val="008E7AD4"/>
    <w:rsid w:val="008E7D26"/>
    <w:rsid w:val="008F0060"/>
    <w:rsid w:val="008F0320"/>
    <w:rsid w:val="008F04E0"/>
    <w:rsid w:val="008F08BE"/>
    <w:rsid w:val="008F0984"/>
    <w:rsid w:val="008F11DB"/>
    <w:rsid w:val="008F19E6"/>
    <w:rsid w:val="008F1B5D"/>
    <w:rsid w:val="008F1EA4"/>
    <w:rsid w:val="008F2703"/>
    <w:rsid w:val="008F292F"/>
    <w:rsid w:val="008F2FC8"/>
    <w:rsid w:val="008F3910"/>
    <w:rsid w:val="008F3B19"/>
    <w:rsid w:val="008F3B2B"/>
    <w:rsid w:val="008F3D51"/>
    <w:rsid w:val="008F4280"/>
    <w:rsid w:val="008F4C1F"/>
    <w:rsid w:val="008F503A"/>
    <w:rsid w:val="008F55C8"/>
    <w:rsid w:val="008F5805"/>
    <w:rsid w:val="008F604E"/>
    <w:rsid w:val="008F6C44"/>
    <w:rsid w:val="008F6C6E"/>
    <w:rsid w:val="008F6DA4"/>
    <w:rsid w:val="008F7269"/>
    <w:rsid w:val="008F7C23"/>
    <w:rsid w:val="008F7C55"/>
    <w:rsid w:val="00900495"/>
    <w:rsid w:val="00900658"/>
    <w:rsid w:val="009016DD"/>
    <w:rsid w:val="00901C47"/>
    <w:rsid w:val="0090234D"/>
    <w:rsid w:val="00902807"/>
    <w:rsid w:val="00904085"/>
    <w:rsid w:val="009041ED"/>
    <w:rsid w:val="00904B85"/>
    <w:rsid w:val="00904F7E"/>
    <w:rsid w:val="00905154"/>
    <w:rsid w:val="00905218"/>
    <w:rsid w:val="00905437"/>
    <w:rsid w:val="009055AA"/>
    <w:rsid w:val="0090566B"/>
    <w:rsid w:val="00905935"/>
    <w:rsid w:val="00905A74"/>
    <w:rsid w:val="00905C20"/>
    <w:rsid w:val="00905FBA"/>
    <w:rsid w:val="0090637E"/>
    <w:rsid w:val="00906666"/>
    <w:rsid w:val="009070BE"/>
    <w:rsid w:val="00907BEA"/>
    <w:rsid w:val="009102ED"/>
    <w:rsid w:val="00910470"/>
    <w:rsid w:val="00911169"/>
    <w:rsid w:val="009113EC"/>
    <w:rsid w:val="00911BFD"/>
    <w:rsid w:val="00911D39"/>
    <w:rsid w:val="00912095"/>
    <w:rsid w:val="009120A8"/>
    <w:rsid w:val="009125F8"/>
    <w:rsid w:val="009127DB"/>
    <w:rsid w:val="009127E3"/>
    <w:rsid w:val="00912C63"/>
    <w:rsid w:val="00912F1A"/>
    <w:rsid w:val="00913335"/>
    <w:rsid w:val="00913715"/>
    <w:rsid w:val="00913C58"/>
    <w:rsid w:val="00913E29"/>
    <w:rsid w:val="00914213"/>
    <w:rsid w:val="009145E8"/>
    <w:rsid w:val="0091468E"/>
    <w:rsid w:val="009147FE"/>
    <w:rsid w:val="00914DBE"/>
    <w:rsid w:val="00914F4F"/>
    <w:rsid w:val="009155B5"/>
    <w:rsid w:val="009156F1"/>
    <w:rsid w:val="00915945"/>
    <w:rsid w:val="00915C1B"/>
    <w:rsid w:val="00915EBC"/>
    <w:rsid w:val="0091615F"/>
    <w:rsid w:val="009163E7"/>
    <w:rsid w:val="0091662D"/>
    <w:rsid w:val="00916BC2"/>
    <w:rsid w:val="00916BD6"/>
    <w:rsid w:val="00916DD9"/>
    <w:rsid w:val="009171B9"/>
    <w:rsid w:val="0091757C"/>
    <w:rsid w:val="009176BA"/>
    <w:rsid w:val="009178A3"/>
    <w:rsid w:val="00917AB6"/>
    <w:rsid w:val="00920273"/>
    <w:rsid w:val="00920762"/>
    <w:rsid w:val="00920C56"/>
    <w:rsid w:val="00920E6A"/>
    <w:rsid w:val="00920FC2"/>
    <w:rsid w:val="009211A0"/>
    <w:rsid w:val="0092124D"/>
    <w:rsid w:val="00921712"/>
    <w:rsid w:val="00921805"/>
    <w:rsid w:val="00922121"/>
    <w:rsid w:val="00922353"/>
    <w:rsid w:val="0092250F"/>
    <w:rsid w:val="00922C47"/>
    <w:rsid w:val="00922F23"/>
    <w:rsid w:val="0092339C"/>
    <w:rsid w:val="009240C2"/>
    <w:rsid w:val="0092435D"/>
    <w:rsid w:val="00924B21"/>
    <w:rsid w:val="009250C4"/>
    <w:rsid w:val="009250D6"/>
    <w:rsid w:val="0092542D"/>
    <w:rsid w:val="0092555C"/>
    <w:rsid w:val="00925F33"/>
    <w:rsid w:val="0092770F"/>
    <w:rsid w:val="0093032E"/>
    <w:rsid w:val="0093078D"/>
    <w:rsid w:val="00930D2C"/>
    <w:rsid w:val="00930E64"/>
    <w:rsid w:val="00931118"/>
    <w:rsid w:val="009315F0"/>
    <w:rsid w:val="009317A3"/>
    <w:rsid w:val="00931B49"/>
    <w:rsid w:val="00931C9C"/>
    <w:rsid w:val="00931D1A"/>
    <w:rsid w:val="00932DD0"/>
    <w:rsid w:val="00932F1D"/>
    <w:rsid w:val="00933240"/>
    <w:rsid w:val="009336DD"/>
    <w:rsid w:val="00933947"/>
    <w:rsid w:val="009339D0"/>
    <w:rsid w:val="00933A57"/>
    <w:rsid w:val="00933C75"/>
    <w:rsid w:val="00933C7A"/>
    <w:rsid w:val="0093479A"/>
    <w:rsid w:val="00934978"/>
    <w:rsid w:val="00934B44"/>
    <w:rsid w:val="00934CD4"/>
    <w:rsid w:val="00934FC1"/>
    <w:rsid w:val="00935056"/>
    <w:rsid w:val="00935438"/>
    <w:rsid w:val="009354AE"/>
    <w:rsid w:val="009357D7"/>
    <w:rsid w:val="009359F8"/>
    <w:rsid w:val="00935C73"/>
    <w:rsid w:val="0093615E"/>
    <w:rsid w:val="00936B54"/>
    <w:rsid w:val="00936B85"/>
    <w:rsid w:val="00936DC8"/>
    <w:rsid w:val="009371DD"/>
    <w:rsid w:val="0093766C"/>
    <w:rsid w:val="00940324"/>
    <w:rsid w:val="0094122D"/>
    <w:rsid w:val="00941475"/>
    <w:rsid w:val="009414F9"/>
    <w:rsid w:val="00941E5D"/>
    <w:rsid w:val="009422BC"/>
    <w:rsid w:val="00942738"/>
    <w:rsid w:val="00942A7F"/>
    <w:rsid w:val="00942B10"/>
    <w:rsid w:val="009430C0"/>
    <w:rsid w:val="00943171"/>
    <w:rsid w:val="0094371A"/>
    <w:rsid w:val="00943D1B"/>
    <w:rsid w:val="00944010"/>
    <w:rsid w:val="0094407E"/>
    <w:rsid w:val="009442DB"/>
    <w:rsid w:val="0094431B"/>
    <w:rsid w:val="009444DB"/>
    <w:rsid w:val="009447EF"/>
    <w:rsid w:val="0094496B"/>
    <w:rsid w:val="00944AEC"/>
    <w:rsid w:val="00944AFF"/>
    <w:rsid w:val="00944BCE"/>
    <w:rsid w:val="00945575"/>
    <w:rsid w:val="00945DF0"/>
    <w:rsid w:val="00945F82"/>
    <w:rsid w:val="009463E0"/>
    <w:rsid w:val="00946457"/>
    <w:rsid w:val="00946852"/>
    <w:rsid w:val="00946F94"/>
    <w:rsid w:val="00947738"/>
    <w:rsid w:val="009477D3"/>
    <w:rsid w:val="009479C9"/>
    <w:rsid w:val="00947AB2"/>
    <w:rsid w:val="00947AC0"/>
    <w:rsid w:val="00950416"/>
    <w:rsid w:val="00950ACB"/>
    <w:rsid w:val="009514E1"/>
    <w:rsid w:val="00951A40"/>
    <w:rsid w:val="00951F94"/>
    <w:rsid w:val="00952F97"/>
    <w:rsid w:val="009530DF"/>
    <w:rsid w:val="009536DD"/>
    <w:rsid w:val="009537E7"/>
    <w:rsid w:val="00953B20"/>
    <w:rsid w:val="00954A1A"/>
    <w:rsid w:val="00954A89"/>
    <w:rsid w:val="009551D4"/>
    <w:rsid w:val="00955DCC"/>
    <w:rsid w:val="00955E12"/>
    <w:rsid w:val="00956041"/>
    <w:rsid w:val="009564D0"/>
    <w:rsid w:val="00957092"/>
    <w:rsid w:val="009578DD"/>
    <w:rsid w:val="00957AB6"/>
    <w:rsid w:val="00957C0B"/>
    <w:rsid w:val="00960086"/>
    <w:rsid w:val="00960327"/>
    <w:rsid w:val="00960550"/>
    <w:rsid w:val="0096071B"/>
    <w:rsid w:val="00960925"/>
    <w:rsid w:val="00960AC4"/>
    <w:rsid w:val="009612D7"/>
    <w:rsid w:val="00961791"/>
    <w:rsid w:val="0096198D"/>
    <w:rsid w:val="00961A8A"/>
    <w:rsid w:val="00961D5B"/>
    <w:rsid w:val="00961F43"/>
    <w:rsid w:val="00961FBE"/>
    <w:rsid w:val="00962484"/>
    <w:rsid w:val="009631F6"/>
    <w:rsid w:val="00963303"/>
    <w:rsid w:val="009635F7"/>
    <w:rsid w:val="00963A79"/>
    <w:rsid w:val="00963AC0"/>
    <w:rsid w:val="009640AC"/>
    <w:rsid w:val="009640D0"/>
    <w:rsid w:val="00964412"/>
    <w:rsid w:val="0096463C"/>
    <w:rsid w:val="0096474F"/>
    <w:rsid w:val="009648A6"/>
    <w:rsid w:val="0096494C"/>
    <w:rsid w:val="00964FCF"/>
    <w:rsid w:val="0096516F"/>
    <w:rsid w:val="009654B8"/>
    <w:rsid w:val="00965523"/>
    <w:rsid w:val="0096593E"/>
    <w:rsid w:val="00965A69"/>
    <w:rsid w:val="00965A9F"/>
    <w:rsid w:val="00966137"/>
    <w:rsid w:val="009661FE"/>
    <w:rsid w:val="00966F57"/>
    <w:rsid w:val="009670A2"/>
    <w:rsid w:val="0096735A"/>
    <w:rsid w:val="00967982"/>
    <w:rsid w:val="00967BA5"/>
    <w:rsid w:val="00967D58"/>
    <w:rsid w:val="00967E65"/>
    <w:rsid w:val="0097008C"/>
    <w:rsid w:val="00970357"/>
    <w:rsid w:val="00970B4A"/>
    <w:rsid w:val="00971111"/>
    <w:rsid w:val="00971195"/>
    <w:rsid w:val="0097157F"/>
    <w:rsid w:val="00971BF5"/>
    <w:rsid w:val="009727F1"/>
    <w:rsid w:val="00973026"/>
    <w:rsid w:val="00973343"/>
    <w:rsid w:val="009734E7"/>
    <w:rsid w:val="009739D0"/>
    <w:rsid w:val="00973A14"/>
    <w:rsid w:val="00974245"/>
    <w:rsid w:val="009746CB"/>
    <w:rsid w:val="00974A58"/>
    <w:rsid w:val="00974BD9"/>
    <w:rsid w:val="00974D24"/>
    <w:rsid w:val="00974D62"/>
    <w:rsid w:val="00974FAF"/>
    <w:rsid w:val="00974FEA"/>
    <w:rsid w:val="009756F3"/>
    <w:rsid w:val="00975852"/>
    <w:rsid w:val="009759A3"/>
    <w:rsid w:val="00975C75"/>
    <w:rsid w:val="00976FB8"/>
    <w:rsid w:val="009770BE"/>
    <w:rsid w:val="00977241"/>
    <w:rsid w:val="009772A4"/>
    <w:rsid w:val="009777E9"/>
    <w:rsid w:val="00977997"/>
    <w:rsid w:val="00977A5C"/>
    <w:rsid w:val="00977AB2"/>
    <w:rsid w:val="00977BD3"/>
    <w:rsid w:val="00977D46"/>
    <w:rsid w:val="00977EBB"/>
    <w:rsid w:val="009811D8"/>
    <w:rsid w:val="0098120E"/>
    <w:rsid w:val="0098134C"/>
    <w:rsid w:val="00981F2A"/>
    <w:rsid w:val="00982078"/>
    <w:rsid w:val="009823D3"/>
    <w:rsid w:val="0098273C"/>
    <w:rsid w:val="00982A4D"/>
    <w:rsid w:val="00983063"/>
    <w:rsid w:val="009830A7"/>
    <w:rsid w:val="00983780"/>
    <w:rsid w:val="00983EE2"/>
    <w:rsid w:val="00983FBE"/>
    <w:rsid w:val="00984BE8"/>
    <w:rsid w:val="00984E14"/>
    <w:rsid w:val="00984E8B"/>
    <w:rsid w:val="009854DB"/>
    <w:rsid w:val="00985851"/>
    <w:rsid w:val="00985E37"/>
    <w:rsid w:val="00986E14"/>
    <w:rsid w:val="00987585"/>
    <w:rsid w:val="0098794E"/>
    <w:rsid w:val="009879CB"/>
    <w:rsid w:val="00987CE9"/>
    <w:rsid w:val="009900F4"/>
    <w:rsid w:val="009910D0"/>
    <w:rsid w:val="0099144F"/>
    <w:rsid w:val="00991D42"/>
    <w:rsid w:val="00991E97"/>
    <w:rsid w:val="00991F4B"/>
    <w:rsid w:val="00992550"/>
    <w:rsid w:val="00992C09"/>
    <w:rsid w:val="00992F50"/>
    <w:rsid w:val="00993702"/>
    <w:rsid w:val="00993C28"/>
    <w:rsid w:val="00993C6A"/>
    <w:rsid w:val="00993F7A"/>
    <w:rsid w:val="009943EC"/>
    <w:rsid w:val="00994899"/>
    <w:rsid w:val="00994A4C"/>
    <w:rsid w:val="009956F2"/>
    <w:rsid w:val="009957A7"/>
    <w:rsid w:val="0099678E"/>
    <w:rsid w:val="009967A1"/>
    <w:rsid w:val="00996819"/>
    <w:rsid w:val="00996C6C"/>
    <w:rsid w:val="00996F18"/>
    <w:rsid w:val="009975CF"/>
    <w:rsid w:val="00997848"/>
    <w:rsid w:val="00997AFC"/>
    <w:rsid w:val="00997F7F"/>
    <w:rsid w:val="009A022C"/>
    <w:rsid w:val="009A0AE9"/>
    <w:rsid w:val="009A0B56"/>
    <w:rsid w:val="009A0C1E"/>
    <w:rsid w:val="009A0F6C"/>
    <w:rsid w:val="009A16C9"/>
    <w:rsid w:val="009A16D9"/>
    <w:rsid w:val="009A1806"/>
    <w:rsid w:val="009A19C7"/>
    <w:rsid w:val="009A1AC9"/>
    <w:rsid w:val="009A1BB9"/>
    <w:rsid w:val="009A1CAE"/>
    <w:rsid w:val="009A1F91"/>
    <w:rsid w:val="009A2422"/>
    <w:rsid w:val="009A2600"/>
    <w:rsid w:val="009A26F2"/>
    <w:rsid w:val="009A285B"/>
    <w:rsid w:val="009A2BCC"/>
    <w:rsid w:val="009A2CA0"/>
    <w:rsid w:val="009A2DD9"/>
    <w:rsid w:val="009A2E83"/>
    <w:rsid w:val="009A30ED"/>
    <w:rsid w:val="009A3B21"/>
    <w:rsid w:val="009A4669"/>
    <w:rsid w:val="009A49ED"/>
    <w:rsid w:val="009A4A6C"/>
    <w:rsid w:val="009A4D4B"/>
    <w:rsid w:val="009A51AF"/>
    <w:rsid w:val="009A5423"/>
    <w:rsid w:val="009A5AD0"/>
    <w:rsid w:val="009A5BD1"/>
    <w:rsid w:val="009A5D00"/>
    <w:rsid w:val="009A5D7F"/>
    <w:rsid w:val="009A5F19"/>
    <w:rsid w:val="009A6429"/>
    <w:rsid w:val="009A6620"/>
    <w:rsid w:val="009A6C00"/>
    <w:rsid w:val="009A6EDE"/>
    <w:rsid w:val="009A6FFE"/>
    <w:rsid w:val="009A73CA"/>
    <w:rsid w:val="009B0868"/>
    <w:rsid w:val="009B1053"/>
    <w:rsid w:val="009B1074"/>
    <w:rsid w:val="009B1094"/>
    <w:rsid w:val="009B1DB3"/>
    <w:rsid w:val="009B2545"/>
    <w:rsid w:val="009B2AD9"/>
    <w:rsid w:val="009B2BCC"/>
    <w:rsid w:val="009B3357"/>
    <w:rsid w:val="009B38A2"/>
    <w:rsid w:val="009B3E7F"/>
    <w:rsid w:val="009B4206"/>
    <w:rsid w:val="009B4C8F"/>
    <w:rsid w:val="009B4D22"/>
    <w:rsid w:val="009B4D84"/>
    <w:rsid w:val="009B59B6"/>
    <w:rsid w:val="009B5E7E"/>
    <w:rsid w:val="009B60B2"/>
    <w:rsid w:val="009B625F"/>
    <w:rsid w:val="009B6918"/>
    <w:rsid w:val="009B6AC6"/>
    <w:rsid w:val="009B6B3E"/>
    <w:rsid w:val="009B6E54"/>
    <w:rsid w:val="009B780E"/>
    <w:rsid w:val="009B7AA1"/>
    <w:rsid w:val="009C00EB"/>
    <w:rsid w:val="009C0874"/>
    <w:rsid w:val="009C0954"/>
    <w:rsid w:val="009C0ED1"/>
    <w:rsid w:val="009C1845"/>
    <w:rsid w:val="009C1A4D"/>
    <w:rsid w:val="009C2165"/>
    <w:rsid w:val="009C247A"/>
    <w:rsid w:val="009C31D2"/>
    <w:rsid w:val="009C3614"/>
    <w:rsid w:val="009C3737"/>
    <w:rsid w:val="009C3E5E"/>
    <w:rsid w:val="009C42E3"/>
    <w:rsid w:val="009C45A9"/>
    <w:rsid w:val="009C4776"/>
    <w:rsid w:val="009C5720"/>
    <w:rsid w:val="009C58BA"/>
    <w:rsid w:val="009C6141"/>
    <w:rsid w:val="009C6D0A"/>
    <w:rsid w:val="009C6E79"/>
    <w:rsid w:val="009C76C4"/>
    <w:rsid w:val="009C7825"/>
    <w:rsid w:val="009D00E4"/>
    <w:rsid w:val="009D010D"/>
    <w:rsid w:val="009D01DE"/>
    <w:rsid w:val="009D02C1"/>
    <w:rsid w:val="009D06C3"/>
    <w:rsid w:val="009D0F0C"/>
    <w:rsid w:val="009D19CD"/>
    <w:rsid w:val="009D19D3"/>
    <w:rsid w:val="009D1CF2"/>
    <w:rsid w:val="009D220A"/>
    <w:rsid w:val="009D38CA"/>
    <w:rsid w:val="009D4974"/>
    <w:rsid w:val="009D4EE8"/>
    <w:rsid w:val="009D5406"/>
    <w:rsid w:val="009D55A9"/>
    <w:rsid w:val="009D55AA"/>
    <w:rsid w:val="009D580F"/>
    <w:rsid w:val="009D5EC2"/>
    <w:rsid w:val="009D6B91"/>
    <w:rsid w:val="009D6EEA"/>
    <w:rsid w:val="009D7358"/>
    <w:rsid w:val="009D73F0"/>
    <w:rsid w:val="009D74BD"/>
    <w:rsid w:val="009D7C97"/>
    <w:rsid w:val="009E0700"/>
    <w:rsid w:val="009E074D"/>
    <w:rsid w:val="009E0DA1"/>
    <w:rsid w:val="009E1005"/>
    <w:rsid w:val="009E11B6"/>
    <w:rsid w:val="009E16EB"/>
    <w:rsid w:val="009E1C9A"/>
    <w:rsid w:val="009E25BA"/>
    <w:rsid w:val="009E2C93"/>
    <w:rsid w:val="009E2D87"/>
    <w:rsid w:val="009E2E13"/>
    <w:rsid w:val="009E3BAF"/>
    <w:rsid w:val="009E49D9"/>
    <w:rsid w:val="009E4D90"/>
    <w:rsid w:val="009E4FA0"/>
    <w:rsid w:val="009E514B"/>
    <w:rsid w:val="009E5D37"/>
    <w:rsid w:val="009E62C0"/>
    <w:rsid w:val="009E62D5"/>
    <w:rsid w:val="009E6481"/>
    <w:rsid w:val="009E70E5"/>
    <w:rsid w:val="009E72FA"/>
    <w:rsid w:val="009E7CF8"/>
    <w:rsid w:val="009E7DD0"/>
    <w:rsid w:val="009F0129"/>
    <w:rsid w:val="009F0564"/>
    <w:rsid w:val="009F06B8"/>
    <w:rsid w:val="009F1944"/>
    <w:rsid w:val="009F26A5"/>
    <w:rsid w:val="009F346B"/>
    <w:rsid w:val="009F36C0"/>
    <w:rsid w:val="009F37F8"/>
    <w:rsid w:val="009F3E7A"/>
    <w:rsid w:val="009F3F68"/>
    <w:rsid w:val="009F4103"/>
    <w:rsid w:val="009F42FB"/>
    <w:rsid w:val="009F4847"/>
    <w:rsid w:val="009F4919"/>
    <w:rsid w:val="009F4949"/>
    <w:rsid w:val="009F4AC1"/>
    <w:rsid w:val="009F4D34"/>
    <w:rsid w:val="009F4D7D"/>
    <w:rsid w:val="009F50FB"/>
    <w:rsid w:val="009F5109"/>
    <w:rsid w:val="009F64F3"/>
    <w:rsid w:val="009F6A54"/>
    <w:rsid w:val="009F6F14"/>
    <w:rsid w:val="009F6F57"/>
    <w:rsid w:val="009F7034"/>
    <w:rsid w:val="009F727C"/>
    <w:rsid w:val="009F7311"/>
    <w:rsid w:val="009F7378"/>
    <w:rsid w:val="009F7380"/>
    <w:rsid w:val="009F7866"/>
    <w:rsid w:val="009F7C3D"/>
    <w:rsid w:val="00A0012F"/>
    <w:rsid w:val="00A0087C"/>
    <w:rsid w:val="00A0093B"/>
    <w:rsid w:val="00A00B84"/>
    <w:rsid w:val="00A00BE1"/>
    <w:rsid w:val="00A00CAA"/>
    <w:rsid w:val="00A00F32"/>
    <w:rsid w:val="00A0118B"/>
    <w:rsid w:val="00A014CE"/>
    <w:rsid w:val="00A018E4"/>
    <w:rsid w:val="00A019B1"/>
    <w:rsid w:val="00A01A7F"/>
    <w:rsid w:val="00A01D29"/>
    <w:rsid w:val="00A021A3"/>
    <w:rsid w:val="00A02CE8"/>
    <w:rsid w:val="00A033F6"/>
    <w:rsid w:val="00A035C3"/>
    <w:rsid w:val="00A03C59"/>
    <w:rsid w:val="00A04536"/>
    <w:rsid w:val="00A04779"/>
    <w:rsid w:val="00A04A69"/>
    <w:rsid w:val="00A05562"/>
    <w:rsid w:val="00A05848"/>
    <w:rsid w:val="00A05E34"/>
    <w:rsid w:val="00A05FAA"/>
    <w:rsid w:val="00A06650"/>
    <w:rsid w:val="00A06745"/>
    <w:rsid w:val="00A06D5F"/>
    <w:rsid w:val="00A0709B"/>
    <w:rsid w:val="00A071C8"/>
    <w:rsid w:val="00A071E9"/>
    <w:rsid w:val="00A07394"/>
    <w:rsid w:val="00A076BB"/>
    <w:rsid w:val="00A07A7D"/>
    <w:rsid w:val="00A07D73"/>
    <w:rsid w:val="00A10559"/>
    <w:rsid w:val="00A109A5"/>
    <w:rsid w:val="00A109BB"/>
    <w:rsid w:val="00A10A52"/>
    <w:rsid w:val="00A10B70"/>
    <w:rsid w:val="00A10C69"/>
    <w:rsid w:val="00A10E76"/>
    <w:rsid w:val="00A1133B"/>
    <w:rsid w:val="00A113BE"/>
    <w:rsid w:val="00A1155E"/>
    <w:rsid w:val="00A11F77"/>
    <w:rsid w:val="00A122BD"/>
    <w:rsid w:val="00A127FC"/>
    <w:rsid w:val="00A12C95"/>
    <w:rsid w:val="00A134E8"/>
    <w:rsid w:val="00A135D5"/>
    <w:rsid w:val="00A13610"/>
    <w:rsid w:val="00A13875"/>
    <w:rsid w:val="00A13D4F"/>
    <w:rsid w:val="00A145FF"/>
    <w:rsid w:val="00A156D5"/>
    <w:rsid w:val="00A16094"/>
    <w:rsid w:val="00A1647E"/>
    <w:rsid w:val="00A167D8"/>
    <w:rsid w:val="00A16C52"/>
    <w:rsid w:val="00A16D3D"/>
    <w:rsid w:val="00A171B5"/>
    <w:rsid w:val="00A17BC4"/>
    <w:rsid w:val="00A17C7E"/>
    <w:rsid w:val="00A17E67"/>
    <w:rsid w:val="00A17EE4"/>
    <w:rsid w:val="00A20CA2"/>
    <w:rsid w:val="00A214B0"/>
    <w:rsid w:val="00A215F1"/>
    <w:rsid w:val="00A21B2B"/>
    <w:rsid w:val="00A224DD"/>
    <w:rsid w:val="00A228F2"/>
    <w:rsid w:val="00A23122"/>
    <w:rsid w:val="00A23671"/>
    <w:rsid w:val="00A23B8B"/>
    <w:rsid w:val="00A2413A"/>
    <w:rsid w:val="00A24AEF"/>
    <w:rsid w:val="00A25446"/>
    <w:rsid w:val="00A255B4"/>
    <w:rsid w:val="00A257D2"/>
    <w:rsid w:val="00A25A36"/>
    <w:rsid w:val="00A26117"/>
    <w:rsid w:val="00A261E6"/>
    <w:rsid w:val="00A263E7"/>
    <w:rsid w:val="00A266D7"/>
    <w:rsid w:val="00A267E1"/>
    <w:rsid w:val="00A26A1C"/>
    <w:rsid w:val="00A2706B"/>
    <w:rsid w:val="00A27074"/>
    <w:rsid w:val="00A27286"/>
    <w:rsid w:val="00A272E0"/>
    <w:rsid w:val="00A2733E"/>
    <w:rsid w:val="00A277D3"/>
    <w:rsid w:val="00A2793D"/>
    <w:rsid w:val="00A303A8"/>
    <w:rsid w:val="00A30626"/>
    <w:rsid w:val="00A30B38"/>
    <w:rsid w:val="00A310A4"/>
    <w:rsid w:val="00A313CF"/>
    <w:rsid w:val="00A3233E"/>
    <w:rsid w:val="00A32977"/>
    <w:rsid w:val="00A329BF"/>
    <w:rsid w:val="00A32D8E"/>
    <w:rsid w:val="00A32E10"/>
    <w:rsid w:val="00A33247"/>
    <w:rsid w:val="00A337B1"/>
    <w:rsid w:val="00A33A71"/>
    <w:rsid w:val="00A33E3C"/>
    <w:rsid w:val="00A341C8"/>
    <w:rsid w:val="00A34678"/>
    <w:rsid w:val="00A346A1"/>
    <w:rsid w:val="00A346B5"/>
    <w:rsid w:val="00A34C16"/>
    <w:rsid w:val="00A34D91"/>
    <w:rsid w:val="00A34F2F"/>
    <w:rsid w:val="00A355EC"/>
    <w:rsid w:val="00A35B62"/>
    <w:rsid w:val="00A360CA"/>
    <w:rsid w:val="00A363FD"/>
    <w:rsid w:val="00A36BBA"/>
    <w:rsid w:val="00A372CD"/>
    <w:rsid w:val="00A37518"/>
    <w:rsid w:val="00A3777B"/>
    <w:rsid w:val="00A37985"/>
    <w:rsid w:val="00A37A59"/>
    <w:rsid w:val="00A400F4"/>
    <w:rsid w:val="00A40528"/>
    <w:rsid w:val="00A40936"/>
    <w:rsid w:val="00A40D83"/>
    <w:rsid w:val="00A40FF3"/>
    <w:rsid w:val="00A414A2"/>
    <w:rsid w:val="00A419BD"/>
    <w:rsid w:val="00A41A91"/>
    <w:rsid w:val="00A41C82"/>
    <w:rsid w:val="00A41CEA"/>
    <w:rsid w:val="00A42FC4"/>
    <w:rsid w:val="00A43A27"/>
    <w:rsid w:val="00A43C1C"/>
    <w:rsid w:val="00A43F05"/>
    <w:rsid w:val="00A44255"/>
    <w:rsid w:val="00A44DFF"/>
    <w:rsid w:val="00A44F48"/>
    <w:rsid w:val="00A4520D"/>
    <w:rsid w:val="00A45290"/>
    <w:rsid w:val="00A45CA9"/>
    <w:rsid w:val="00A45D92"/>
    <w:rsid w:val="00A45FA0"/>
    <w:rsid w:val="00A45FBC"/>
    <w:rsid w:val="00A45FE2"/>
    <w:rsid w:val="00A4672F"/>
    <w:rsid w:val="00A46DBB"/>
    <w:rsid w:val="00A4764C"/>
    <w:rsid w:val="00A47932"/>
    <w:rsid w:val="00A479E2"/>
    <w:rsid w:val="00A47C3D"/>
    <w:rsid w:val="00A50547"/>
    <w:rsid w:val="00A51051"/>
    <w:rsid w:val="00A511D9"/>
    <w:rsid w:val="00A51A17"/>
    <w:rsid w:val="00A51B67"/>
    <w:rsid w:val="00A51CDD"/>
    <w:rsid w:val="00A51D24"/>
    <w:rsid w:val="00A51E85"/>
    <w:rsid w:val="00A51EAA"/>
    <w:rsid w:val="00A5257A"/>
    <w:rsid w:val="00A52CE6"/>
    <w:rsid w:val="00A536FA"/>
    <w:rsid w:val="00A543A0"/>
    <w:rsid w:val="00A54661"/>
    <w:rsid w:val="00A54B31"/>
    <w:rsid w:val="00A54EB6"/>
    <w:rsid w:val="00A55224"/>
    <w:rsid w:val="00A5524E"/>
    <w:rsid w:val="00A55796"/>
    <w:rsid w:val="00A55A5A"/>
    <w:rsid w:val="00A55ACF"/>
    <w:rsid w:val="00A5770C"/>
    <w:rsid w:val="00A60312"/>
    <w:rsid w:val="00A60BE8"/>
    <w:rsid w:val="00A61B25"/>
    <w:rsid w:val="00A61B76"/>
    <w:rsid w:val="00A62561"/>
    <w:rsid w:val="00A62623"/>
    <w:rsid w:val="00A62C42"/>
    <w:rsid w:val="00A63489"/>
    <w:rsid w:val="00A639A9"/>
    <w:rsid w:val="00A645F5"/>
    <w:rsid w:val="00A64883"/>
    <w:rsid w:val="00A64D23"/>
    <w:rsid w:val="00A65057"/>
    <w:rsid w:val="00A67122"/>
    <w:rsid w:val="00A671E9"/>
    <w:rsid w:val="00A6722A"/>
    <w:rsid w:val="00A672F0"/>
    <w:rsid w:val="00A673BB"/>
    <w:rsid w:val="00A67587"/>
    <w:rsid w:val="00A67B26"/>
    <w:rsid w:val="00A67C43"/>
    <w:rsid w:val="00A67C4A"/>
    <w:rsid w:val="00A7036A"/>
    <w:rsid w:val="00A714EC"/>
    <w:rsid w:val="00A71712"/>
    <w:rsid w:val="00A72583"/>
    <w:rsid w:val="00A72AA4"/>
    <w:rsid w:val="00A72C66"/>
    <w:rsid w:val="00A72E14"/>
    <w:rsid w:val="00A72F2F"/>
    <w:rsid w:val="00A73188"/>
    <w:rsid w:val="00A731C5"/>
    <w:rsid w:val="00A73F5D"/>
    <w:rsid w:val="00A74332"/>
    <w:rsid w:val="00A74372"/>
    <w:rsid w:val="00A745F7"/>
    <w:rsid w:val="00A74A9F"/>
    <w:rsid w:val="00A74CD5"/>
    <w:rsid w:val="00A7513A"/>
    <w:rsid w:val="00A754AA"/>
    <w:rsid w:val="00A7579D"/>
    <w:rsid w:val="00A76145"/>
    <w:rsid w:val="00A76379"/>
    <w:rsid w:val="00A7647A"/>
    <w:rsid w:val="00A7696B"/>
    <w:rsid w:val="00A76DD9"/>
    <w:rsid w:val="00A771A8"/>
    <w:rsid w:val="00A7725C"/>
    <w:rsid w:val="00A77C47"/>
    <w:rsid w:val="00A77F6A"/>
    <w:rsid w:val="00A80197"/>
    <w:rsid w:val="00A801AD"/>
    <w:rsid w:val="00A801DC"/>
    <w:rsid w:val="00A80624"/>
    <w:rsid w:val="00A80BC6"/>
    <w:rsid w:val="00A80D0D"/>
    <w:rsid w:val="00A8123F"/>
    <w:rsid w:val="00A81314"/>
    <w:rsid w:val="00A825C7"/>
    <w:rsid w:val="00A827F3"/>
    <w:rsid w:val="00A82885"/>
    <w:rsid w:val="00A8296A"/>
    <w:rsid w:val="00A829C1"/>
    <w:rsid w:val="00A82AA8"/>
    <w:rsid w:val="00A82C33"/>
    <w:rsid w:val="00A8331A"/>
    <w:rsid w:val="00A83A3A"/>
    <w:rsid w:val="00A848FA"/>
    <w:rsid w:val="00A84C68"/>
    <w:rsid w:val="00A84CDA"/>
    <w:rsid w:val="00A85385"/>
    <w:rsid w:val="00A856A3"/>
    <w:rsid w:val="00A856D6"/>
    <w:rsid w:val="00A85834"/>
    <w:rsid w:val="00A85E5A"/>
    <w:rsid w:val="00A85ED2"/>
    <w:rsid w:val="00A85F53"/>
    <w:rsid w:val="00A8606E"/>
    <w:rsid w:val="00A8663B"/>
    <w:rsid w:val="00A8682B"/>
    <w:rsid w:val="00A86873"/>
    <w:rsid w:val="00A86F3D"/>
    <w:rsid w:val="00A8705F"/>
    <w:rsid w:val="00A879B2"/>
    <w:rsid w:val="00A87CC1"/>
    <w:rsid w:val="00A87DA3"/>
    <w:rsid w:val="00A87EE7"/>
    <w:rsid w:val="00A901AB"/>
    <w:rsid w:val="00A90381"/>
    <w:rsid w:val="00A90509"/>
    <w:rsid w:val="00A90C35"/>
    <w:rsid w:val="00A90DE6"/>
    <w:rsid w:val="00A9102F"/>
    <w:rsid w:val="00A91609"/>
    <w:rsid w:val="00A91CE7"/>
    <w:rsid w:val="00A923B8"/>
    <w:rsid w:val="00A923F1"/>
    <w:rsid w:val="00A92546"/>
    <w:rsid w:val="00A92794"/>
    <w:rsid w:val="00A9415C"/>
    <w:rsid w:val="00A94CEA"/>
    <w:rsid w:val="00A94DF3"/>
    <w:rsid w:val="00A95800"/>
    <w:rsid w:val="00A961C4"/>
    <w:rsid w:val="00A9795E"/>
    <w:rsid w:val="00A979DA"/>
    <w:rsid w:val="00A97E00"/>
    <w:rsid w:val="00AA02AC"/>
    <w:rsid w:val="00AA0621"/>
    <w:rsid w:val="00AA0A2A"/>
    <w:rsid w:val="00AA0CE2"/>
    <w:rsid w:val="00AA108B"/>
    <w:rsid w:val="00AA111C"/>
    <w:rsid w:val="00AA12DD"/>
    <w:rsid w:val="00AA2747"/>
    <w:rsid w:val="00AA2A09"/>
    <w:rsid w:val="00AA303E"/>
    <w:rsid w:val="00AA3A48"/>
    <w:rsid w:val="00AA3EA0"/>
    <w:rsid w:val="00AA4B9C"/>
    <w:rsid w:val="00AA4C39"/>
    <w:rsid w:val="00AA4EE6"/>
    <w:rsid w:val="00AA5959"/>
    <w:rsid w:val="00AA5BC3"/>
    <w:rsid w:val="00AA5C98"/>
    <w:rsid w:val="00AA5EED"/>
    <w:rsid w:val="00AA631F"/>
    <w:rsid w:val="00AA64FF"/>
    <w:rsid w:val="00AA65C5"/>
    <w:rsid w:val="00AA68A4"/>
    <w:rsid w:val="00AA68A5"/>
    <w:rsid w:val="00AA7203"/>
    <w:rsid w:val="00AA7C48"/>
    <w:rsid w:val="00AA7C98"/>
    <w:rsid w:val="00AB0425"/>
    <w:rsid w:val="00AB083B"/>
    <w:rsid w:val="00AB09DE"/>
    <w:rsid w:val="00AB0A14"/>
    <w:rsid w:val="00AB1182"/>
    <w:rsid w:val="00AB124B"/>
    <w:rsid w:val="00AB1302"/>
    <w:rsid w:val="00AB1B03"/>
    <w:rsid w:val="00AB1F11"/>
    <w:rsid w:val="00AB1FA5"/>
    <w:rsid w:val="00AB29EF"/>
    <w:rsid w:val="00AB31B3"/>
    <w:rsid w:val="00AB34EA"/>
    <w:rsid w:val="00AB39B3"/>
    <w:rsid w:val="00AB3E6F"/>
    <w:rsid w:val="00AB419A"/>
    <w:rsid w:val="00AB46BE"/>
    <w:rsid w:val="00AB4817"/>
    <w:rsid w:val="00AB4A28"/>
    <w:rsid w:val="00AB4C00"/>
    <w:rsid w:val="00AB4E2A"/>
    <w:rsid w:val="00AB56E4"/>
    <w:rsid w:val="00AB59AF"/>
    <w:rsid w:val="00AB5BB4"/>
    <w:rsid w:val="00AB5F67"/>
    <w:rsid w:val="00AB61F9"/>
    <w:rsid w:val="00AB6930"/>
    <w:rsid w:val="00AB72F4"/>
    <w:rsid w:val="00AC0655"/>
    <w:rsid w:val="00AC06F9"/>
    <w:rsid w:val="00AC0795"/>
    <w:rsid w:val="00AC1261"/>
    <w:rsid w:val="00AC173E"/>
    <w:rsid w:val="00AC1F2C"/>
    <w:rsid w:val="00AC2075"/>
    <w:rsid w:val="00AC2223"/>
    <w:rsid w:val="00AC23AC"/>
    <w:rsid w:val="00AC29B8"/>
    <w:rsid w:val="00AC2B49"/>
    <w:rsid w:val="00AC2B6A"/>
    <w:rsid w:val="00AC2D30"/>
    <w:rsid w:val="00AC303F"/>
    <w:rsid w:val="00AC3624"/>
    <w:rsid w:val="00AC3660"/>
    <w:rsid w:val="00AC37DB"/>
    <w:rsid w:val="00AC4492"/>
    <w:rsid w:val="00AC4914"/>
    <w:rsid w:val="00AC49F5"/>
    <w:rsid w:val="00AC4D92"/>
    <w:rsid w:val="00AC4DDB"/>
    <w:rsid w:val="00AC4F5E"/>
    <w:rsid w:val="00AC4FC2"/>
    <w:rsid w:val="00AC554C"/>
    <w:rsid w:val="00AC5A0F"/>
    <w:rsid w:val="00AC5D0F"/>
    <w:rsid w:val="00AC5DFD"/>
    <w:rsid w:val="00AC6197"/>
    <w:rsid w:val="00AC6351"/>
    <w:rsid w:val="00AC6A41"/>
    <w:rsid w:val="00AC6CFA"/>
    <w:rsid w:val="00AC6E41"/>
    <w:rsid w:val="00AC7210"/>
    <w:rsid w:val="00AC7C65"/>
    <w:rsid w:val="00AC7DA8"/>
    <w:rsid w:val="00AC7EE4"/>
    <w:rsid w:val="00AD0608"/>
    <w:rsid w:val="00AD07CC"/>
    <w:rsid w:val="00AD0DAA"/>
    <w:rsid w:val="00AD15F1"/>
    <w:rsid w:val="00AD1A0F"/>
    <w:rsid w:val="00AD1BB0"/>
    <w:rsid w:val="00AD2B82"/>
    <w:rsid w:val="00AD3016"/>
    <w:rsid w:val="00AD397C"/>
    <w:rsid w:val="00AD3A73"/>
    <w:rsid w:val="00AD472E"/>
    <w:rsid w:val="00AD4D47"/>
    <w:rsid w:val="00AD4EB9"/>
    <w:rsid w:val="00AD5649"/>
    <w:rsid w:val="00AD5DC1"/>
    <w:rsid w:val="00AD606A"/>
    <w:rsid w:val="00AD65C1"/>
    <w:rsid w:val="00AD696B"/>
    <w:rsid w:val="00AD6D41"/>
    <w:rsid w:val="00AD6D9F"/>
    <w:rsid w:val="00AD6F81"/>
    <w:rsid w:val="00AD6FA3"/>
    <w:rsid w:val="00AD70C9"/>
    <w:rsid w:val="00AD761F"/>
    <w:rsid w:val="00AD7E80"/>
    <w:rsid w:val="00AE0693"/>
    <w:rsid w:val="00AE1D0C"/>
    <w:rsid w:val="00AE2099"/>
    <w:rsid w:val="00AE2632"/>
    <w:rsid w:val="00AE2778"/>
    <w:rsid w:val="00AE27A7"/>
    <w:rsid w:val="00AE297F"/>
    <w:rsid w:val="00AE2B5D"/>
    <w:rsid w:val="00AE35BB"/>
    <w:rsid w:val="00AE3E1C"/>
    <w:rsid w:val="00AE3E5A"/>
    <w:rsid w:val="00AE4473"/>
    <w:rsid w:val="00AE463F"/>
    <w:rsid w:val="00AE4653"/>
    <w:rsid w:val="00AE4AA7"/>
    <w:rsid w:val="00AE4B8A"/>
    <w:rsid w:val="00AE4DB6"/>
    <w:rsid w:val="00AE5E9B"/>
    <w:rsid w:val="00AE5F2D"/>
    <w:rsid w:val="00AE6055"/>
    <w:rsid w:val="00AE6282"/>
    <w:rsid w:val="00AE636C"/>
    <w:rsid w:val="00AE69CE"/>
    <w:rsid w:val="00AE6E40"/>
    <w:rsid w:val="00AE7A6B"/>
    <w:rsid w:val="00AF0C3B"/>
    <w:rsid w:val="00AF11AC"/>
    <w:rsid w:val="00AF18D8"/>
    <w:rsid w:val="00AF1B4C"/>
    <w:rsid w:val="00AF1CA5"/>
    <w:rsid w:val="00AF1D6B"/>
    <w:rsid w:val="00AF1D92"/>
    <w:rsid w:val="00AF247A"/>
    <w:rsid w:val="00AF258F"/>
    <w:rsid w:val="00AF29D6"/>
    <w:rsid w:val="00AF2FF0"/>
    <w:rsid w:val="00AF3EFD"/>
    <w:rsid w:val="00AF43A8"/>
    <w:rsid w:val="00AF505C"/>
    <w:rsid w:val="00AF5677"/>
    <w:rsid w:val="00AF5D1D"/>
    <w:rsid w:val="00AF63E4"/>
    <w:rsid w:val="00AF68CB"/>
    <w:rsid w:val="00AF6DC8"/>
    <w:rsid w:val="00AF6E84"/>
    <w:rsid w:val="00AF6F74"/>
    <w:rsid w:val="00AF72AE"/>
    <w:rsid w:val="00AF7785"/>
    <w:rsid w:val="00AF7915"/>
    <w:rsid w:val="00B0013C"/>
    <w:rsid w:val="00B0036D"/>
    <w:rsid w:val="00B00A25"/>
    <w:rsid w:val="00B00B1C"/>
    <w:rsid w:val="00B00E2D"/>
    <w:rsid w:val="00B0157A"/>
    <w:rsid w:val="00B01743"/>
    <w:rsid w:val="00B0197E"/>
    <w:rsid w:val="00B01AA7"/>
    <w:rsid w:val="00B01DEF"/>
    <w:rsid w:val="00B01E89"/>
    <w:rsid w:val="00B02650"/>
    <w:rsid w:val="00B02814"/>
    <w:rsid w:val="00B0284E"/>
    <w:rsid w:val="00B02B60"/>
    <w:rsid w:val="00B035CD"/>
    <w:rsid w:val="00B03778"/>
    <w:rsid w:val="00B0396E"/>
    <w:rsid w:val="00B03A97"/>
    <w:rsid w:val="00B03B69"/>
    <w:rsid w:val="00B03D9F"/>
    <w:rsid w:val="00B03F19"/>
    <w:rsid w:val="00B04A69"/>
    <w:rsid w:val="00B04CCD"/>
    <w:rsid w:val="00B05076"/>
    <w:rsid w:val="00B05478"/>
    <w:rsid w:val="00B05935"/>
    <w:rsid w:val="00B05E6B"/>
    <w:rsid w:val="00B064AB"/>
    <w:rsid w:val="00B0651E"/>
    <w:rsid w:val="00B0654A"/>
    <w:rsid w:val="00B06C3C"/>
    <w:rsid w:val="00B072CC"/>
    <w:rsid w:val="00B07465"/>
    <w:rsid w:val="00B102E3"/>
    <w:rsid w:val="00B10975"/>
    <w:rsid w:val="00B10D12"/>
    <w:rsid w:val="00B10D18"/>
    <w:rsid w:val="00B10DD2"/>
    <w:rsid w:val="00B10E93"/>
    <w:rsid w:val="00B11301"/>
    <w:rsid w:val="00B11642"/>
    <w:rsid w:val="00B1177A"/>
    <w:rsid w:val="00B11804"/>
    <w:rsid w:val="00B11B67"/>
    <w:rsid w:val="00B12411"/>
    <w:rsid w:val="00B12903"/>
    <w:rsid w:val="00B12BDA"/>
    <w:rsid w:val="00B12BDD"/>
    <w:rsid w:val="00B13043"/>
    <w:rsid w:val="00B130EF"/>
    <w:rsid w:val="00B131B3"/>
    <w:rsid w:val="00B1348F"/>
    <w:rsid w:val="00B13F67"/>
    <w:rsid w:val="00B1431B"/>
    <w:rsid w:val="00B14350"/>
    <w:rsid w:val="00B14919"/>
    <w:rsid w:val="00B14AE3"/>
    <w:rsid w:val="00B1519B"/>
    <w:rsid w:val="00B153C3"/>
    <w:rsid w:val="00B155B0"/>
    <w:rsid w:val="00B15CC5"/>
    <w:rsid w:val="00B16395"/>
    <w:rsid w:val="00B16771"/>
    <w:rsid w:val="00B17094"/>
    <w:rsid w:val="00B179AA"/>
    <w:rsid w:val="00B17D3F"/>
    <w:rsid w:val="00B17E22"/>
    <w:rsid w:val="00B20A39"/>
    <w:rsid w:val="00B20C03"/>
    <w:rsid w:val="00B219B4"/>
    <w:rsid w:val="00B2280D"/>
    <w:rsid w:val="00B22B76"/>
    <w:rsid w:val="00B22B88"/>
    <w:rsid w:val="00B23051"/>
    <w:rsid w:val="00B236A4"/>
    <w:rsid w:val="00B23962"/>
    <w:rsid w:val="00B239A9"/>
    <w:rsid w:val="00B23CA6"/>
    <w:rsid w:val="00B23E38"/>
    <w:rsid w:val="00B24500"/>
    <w:rsid w:val="00B2454A"/>
    <w:rsid w:val="00B2488A"/>
    <w:rsid w:val="00B253B7"/>
    <w:rsid w:val="00B25900"/>
    <w:rsid w:val="00B262E6"/>
    <w:rsid w:val="00B26429"/>
    <w:rsid w:val="00B265FF"/>
    <w:rsid w:val="00B2689A"/>
    <w:rsid w:val="00B26D0A"/>
    <w:rsid w:val="00B26E73"/>
    <w:rsid w:val="00B26F24"/>
    <w:rsid w:val="00B27088"/>
    <w:rsid w:val="00B27116"/>
    <w:rsid w:val="00B271DC"/>
    <w:rsid w:val="00B30285"/>
    <w:rsid w:val="00B30BBA"/>
    <w:rsid w:val="00B30C9F"/>
    <w:rsid w:val="00B3298F"/>
    <w:rsid w:val="00B329DA"/>
    <w:rsid w:val="00B32A3F"/>
    <w:rsid w:val="00B32EAB"/>
    <w:rsid w:val="00B33C4F"/>
    <w:rsid w:val="00B33E28"/>
    <w:rsid w:val="00B34301"/>
    <w:rsid w:val="00B34471"/>
    <w:rsid w:val="00B347FF"/>
    <w:rsid w:val="00B34FAB"/>
    <w:rsid w:val="00B351EA"/>
    <w:rsid w:val="00B353BF"/>
    <w:rsid w:val="00B35896"/>
    <w:rsid w:val="00B35C8A"/>
    <w:rsid w:val="00B35E98"/>
    <w:rsid w:val="00B361BA"/>
    <w:rsid w:val="00B36570"/>
    <w:rsid w:val="00B3757C"/>
    <w:rsid w:val="00B375FF"/>
    <w:rsid w:val="00B37786"/>
    <w:rsid w:val="00B377A7"/>
    <w:rsid w:val="00B37A9F"/>
    <w:rsid w:val="00B37CB1"/>
    <w:rsid w:val="00B37D3F"/>
    <w:rsid w:val="00B40058"/>
    <w:rsid w:val="00B40447"/>
    <w:rsid w:val="00B40550"/>
    <w:rsid w:val="00B411AD"/>
    <w:rsid w:val="00B4121A"/>
    <w:rsid w:val="00B4182C"/>
    <w:rsid w:val="00B4197B"/>
    <w:rsid w:val="00B41CDD"/>
    <w:rsid w:val="00B41CEC"/>
    <w:rsid w:val="00B41EF1"/>
    <w:rsid w:val="00B422F3"/>
    <w:rsid w:val="00B42F1A"/>
    <w:rsid w:val="00B42FC1"/>
    <w:rsid w:val="00B42FDC"/>
    <w:rsid w:val="00B43A62"/>
    <w:rsid w:val="00B43A73"/>
    <w:rsid w:val="00B43B88"/>
    <w:rsid w:val="00B43C0B"/>
    <w:rsid w:val="00B43F2E"/>
    <w:rsid w:val="00B44F1E"/>
    <w:rsid w:val="00B45141"/>
    <w:rsid w:val="00B458F0"/>
    <w:rsid w:val="00B45F56"/>
    <w:rsid w:val="00B45FA2"/>
    <w:rsid w:val="00B460C5"/>
    <w:rsid w:val="00B4666A"/>
    <w:rsid w:val="00B467CB"/>
    <w:rsid w:val="00B47140"/>
    <w:rsid w:val="00B4718E"/>
    <w:rsid w:val="00B47701"/>
    <w:rsid w:val="00B47773"/>
    <w:rsid w:val="00B47917"/>
    <w:rsid w:val="00B50388"/>
    <w:rsid w:val="00B506D0"/>
    <w:rsid w:val="00B50844"/>
    <w:rsid w:val="00B50944"/>
    <w:rsid w:val="00B5097D"/>
    <w:rsid w:val="00B5152A"/>
    <w:rsid w:val="00B5197C"/>
    <w:rsid w:val="00B519F2"/>
    <w:rsid w:val="00B51A69"/>
    <w:rsid w:val="00B51BD0"/>
    <w:rsid w:val="00B51EC8"/>
    <w:rsid w:val="00B52175"/>
    <w:rsid w:val="00B5244A"/>
    <w:rsid w:val="00B5291A"/>
    <w:rsid w:val="00B52B48"/>
    <w:rsid w:val="00B52C76"/>
    <w:rsid w:val="00B52FD8"/>
    <w:rsid w:val="00B5308E"/>
    <w:rsid w:val="00B53659"/>
    <w:rsid w:val="00B536C9"/>
    <w:rsid w:val="00B53877"/>
    <w:rsid w:val="00B539FD"/>
    <w:rsid w:val="00B5494E"/>
    <w:rsid w:val="00B558A7"/>
    <w:rsid w:val="00B55A26"/>
    <w:rsid w:val="00B55A53"/>
    <w:rsid w:val="00B55E12"/>
    <w:rsid w:val="00B5626F"/>
    <w:rsid w:val="00B563C9"/>
    <w:rsid w:val="00B5654D"/>
    <w:rsid w:val="00B56802"/>
    <w:rsid w:val="00B56939"/>
    <w:rsid w:val="00B569F4"/>
    <w:rsid w:val="00B56F9E"/>
    <w:rsid w:val="00B61240"/>
    <w:rsid w:val="00B61454"/>
    <w:rsid w:val="00B61F54"/>
    <w:rsid w:val="00B629ED"/>
    <w:rsid w:val="00B62AAD"/>
    <w:rsid w:val="00B630E5"/>
    <w:rsid w:val="00B6314B"/>
    <w:rsid w:val="00B63866"/>
    <w:rsid w:val="00B63A2C"/>
    <w:rsid w:val="00B63A55"/>
    <w:rsid w:val="00B64F7B"/>
    <w:rsid w:val="00B65B67"/>
    <w:rsid w:val="00B65E9B"/>
    <w:rsid w:val="00B65EA8"/>
    <w:rsid w:val="00B6620D"/>
    <w:rsid w:val="00B66381"/>
    <w:rsid w:val="00B664EE"/>
    <w:rsid w:val="00B6671F"/>
    <w:rsid w:val="00B66B8F"/>
    <w:rsid w:val="00B66C9A"/>
    <w:rsid w:val="00B67009"/>
    <w:rsid w:val="00B6719B"/>
    <w:rsid w:val="00B6768D"/>
    <w:rsid w:val="00B67886"/>
    <w:rsid w:val="00B67EE2"/>
    <w:rsid w:val="00B702FF"/>
    <w:rsid w:val="00B70519"/>
    <w:rsid w:val="00B70645"/>
    <w:rsid w:val="00B70762"/>
    <w:rsid w:val="00B7076A"/>
    <w:rsid w:val="00B70F1A"/>
    <w:rsid w:val="00B714E1"/>
    <w:rsid w:val="00B7175C"/>
    <w:rsid w:val="00B7180B"/>
    <w:rsid w:val="00B71B12"/>
    <w:rsid w:val="00B71BF9"/>
    <w:rsid w:val="00B720B2"/>
    <w:rsid w:val="00B72691"/>
    <w:rsid w:val="00B72A1C"/>
    <w:rsid w:val="00B7401A"/>
    <w:rsid w:val="00B740A2"/>
    <w:rsid w:val="00B744DC"/>
    <w:rsid w:val="00B747DB"/>
    <w:rsid w:val="00B7480A"/>
    <w:rsid w:val="00B74B76"/>
    <w:rsid w:val="00B74CCB"/>
    <w:rsid w:val="00B75464"/>
    <w:rsid w:val="00B756BC"/>
    <w:rsid w:val="00B75859"/>
    <w:rsid w:val="00B762FF"/>
    <w:rsid w:val="00B768F8"/>
    <w:rsid w:val="00B76D46"/>
    <w:rsid w:val="00B77043"/>
    <w:rsid w:val="00B774CB"/>
    <w:rsid w:val="00B77503"/>
    <w:rsid w:val="00B77B65"/>
    <w:rsid w:val="00B77CB7"/>
    <w:rsid w:val="00B80177"/>
    <w:rsid w:val="00B80303"/>
    <w:rsid w:val="00B803C1"/>
    <w:rsid w:val="00B806C2"/>
    <w:rsid w:val="00B80D16"/>
    <w:rsid w:val="00B8186C"/>
    <w:rsid w:val="00B81CAB"/>
    <w:rsid w:val="00B82627"/>
    <w:rsid w:val="00B82718"/>
    <w:rsid w:val="00B8285F"/>
    <w:rsid w:val="00B8319B"/>
    <w:rsid w:val="00B835E5"/>
    <w:rsid w:val="00B83E03"/>
    <w:rsid w:val="00B846F8"/>
    <w:rsid w:val="00B84CFF"/>
    <w:rsid w:val="00B84EC6"/>
    <w:rsid w:val="00B8554C"/>
    <w:rsid w:val="00B855A4"/>
    <w:rsid w:val="00B85A79"/>
    <w:rsid w:val="00B86245"/>
    <w:rsid w:val="00B86563"/>
    <w:rsid w:val="00B86745"/>
    <w:rsid w:val="00B87285"/>
    <w:rsid w:val="00B8750E"/>
    <w:rsid w:val="00B87E7B"/>
    <w:rsid w:val="00B90093"/>
    <w:rsid w:val="00B900CD"/>
    <w:rsid w:val="00B90BE8"/>
    <w:rsid w:val="00B910D8"/>
    <w:rsid w:val="00B91358"/>
    <w:rsid w:val="00B9228B"/>
    <w:rsid w:val="00B923EC"/>
    <w:rsid w:val="00B924F3"/>
    <w:rsid w:val="00B92AFE"/>
    <w:rsid w:val="00B92FB6"/>
    <w:rsid w:val="00B9365A"/>
    <w:rsid w:val="00B936C4"/>
    <w:rsid w:val="00B939DF"/>
    <w:rsid w:val="00B93B09"/>
    <w:rsid w:val="00B945AB"/>
    <w:rsid w:val="00B9462B"/>
    <w:rsid w:val="00B9509A"/>
    <w:rsid w:val="00B961E2"/>
    <w:rsid w:val="00B964F9"/>
    <w:rsid w:val="00B96671"/>
    <w:rsid w:val="00B9685A"/>
    <w:rsid w:val="00B96AC4"/>
    <w:rsid w:val="00B97E06"/>
    <w:rsid w:val="00B97FC4"/>
    <w:rsid w:val="00BA029B"/>
    <w:rsid w:val="00BA04F0"/>
    <w:rsid w:val="00BA0CA1"/>
    <w:rsid w:val="00BA13A9"/>
    <w:rsid w:val="00BA1A1E"/>
    <w:rsid w:val="00BA29B7"/>
    <w:rsid w:val="00BA2BE3"/>
    <w:rsid w:val="00BA3143"/>
    <w:rsid w:val="00BA341F"/>
    <w:rsid w:val="00BA4307"/>
    <w:rsid w:val="00BA464A"/>
    <w:rsid w:val="00BA49D3"/>
    <w:rsid w:val="00BA4BF4"/>
    <w:rsid w:val="00BA4CF7"/>
    <w:rsid w:val="00BA4E98"/>
    <w:rsid w:val="00BA4EC9"/>
    <w:rsid w:val="00BA513C"/>
    <w:rsid w:val="00BA5162"/>
    <w:rsid w:val="00BA51B1"/>
    <w:rsid w:val="00BA52EB"/>
    <w:rsid w:val="00BA55CE"/>
    <w:rsid w:val="00BA59E8"/>
    <w:rsid w:val="00BA5AED"/>
    <w:rsid w:val="00BA5D13"/>
    <w:rsid w:val="00BA62D9"/>
    <w:rsid w:val="00BA6B04"/>
    <w:rsid w:val="00BA7758"/>
    <w:rsid w:val="00BA78BD"/>
    <w:rsid w:val="00BA7C86"/>
    <w:rsid w:val="00BB0076"/>
    <w:rsid w:val="00BB0B1B"/>
    <w:rsid w:val="00BB0D30"/>
    <w:rsid w:val="00BB0EAE"/>
    <w:rsid w:val="00BB0F15"/>
    <w:rsid w:val="00BB1446"/>
    <w:rsid w:val="00BB188E"/>
    <w:rsid w:val="00BB2558"/>
    <w:rsid w:val="00BB2E1C"/>
    <w:rsid w:val="00BB2E42"/>
    <w:rsid w:val="00BB3310"/>
    <w:rsid w:val="00BB3535"/>
    <w:rsid w:val="00BB361C"/>
    <w:rsid w:val="00BB39B6"/>
    <w:rsid w:val="00BB3B41"/>
    <w:rsid w:val="00BB3BC5"/>
    <w:rsid w:val="00BB3C79"/>
    <w:rsid w:val="00BB45C8"/>
    <w:rsid w:val="00BB4600"/>
    <w:rsid w:val="00BB4C3C"/>
    <w:rsid w:val="00BB4CAE"/>
    <w:rsid w:val="00BB4F5F"/>
    <w:rsid w:val="00BB5935"/>
    <w:rsid w:val="00BB6020"/>
    <w:rsid w:val="00BB630F"/>
    <w:rsid w:val="00BB64C5"/>
    <w:rsid w:val="00BB6640"/>
    <w:rsid w:val="00BB68B9"/>
    <w:rsid w:val="00BB6D5A"/>
    <w:rsid w:val="00BB72E3"/>
    <w:rsid w:val="00BB7610"/>
    <w:rsid w:val="00BB7EB9"/>
    <w:rsid w:val="00BC1042"/>
    <w:rsid w:val="00BC14BA"/>
    <w:rsid w:val="00BC2996"/>
    <w:rsid w:val="00BC370F"/>
    <w:rsid w:val="00BC3C14"/>
    <w:rsid w:val="00BC3F5A"/>
    <w:rsid w:val="00BC42C6"/>
    <w:rsid w:val="00BC4660"/>
    <w:rsid w:val="00BC4C01"/>
    <w:rsid w:val="00BC5405"/>
    <w:rsid w:val="00BC5824"/>
    <w:rsid w:val="00BC60AA"/>
    <w:rsid w:val="00BC63BB"/>
    <w:rsid w:val="00BC6427"/>
    <w:rsid w:val="00BC6E80"/>
    <w:rsid w:val="00BC6EBF"/>
    <w:rsid w:val="00BC7205"/>
    <w:rsid w:val="00BC773F"/>
    <w:rsid w:val="00BC7A0E"/>
    <w:rsid w:val="00BC7CE1"/>
    <w:rsid w:val="00BC7E98"/>
    <w:rsid w:val="00BD00A4"/>
    <w:rsid w:val="00BD107F"/>
    <w:rsid w:val="00BD1134"/>
    <w:rsid w:val="00BD14AB"/>
    <w:rsid w:val="00BD1675"/>
    <w:rsid w:val="00BD17DD"/>
    <w:rsid w:val="00BD187D"/>
    <w:rsid w:val="00BD1E43"/>
    <w:rsid w:val="00BD246C"/>
    <w:rsid w:val="00BD260D"/>
    <w:rsid w:val="00BD2939"/>
    <w:rsid w:val="00BD3222"/>
    <w:rsid w:val="00BD3277"/>
    <w:rsid w:val="00BD358A"/>
    <w:rsid w:val="00BD49A7"/>
    <w:rsid w:val="00BD4F12"/>
    <w:rsid w:val="00BD4F51"/>
    <w:rsid w:val="00BD4F7A"/>
    <w:rsid w:val="00BD5381"/>
    <w:rsid w:val="00BD5558"/>
    <w:rsid w:val="00BD58C7"/>
    <w:rsid w:val="00BD5B3C"/>
    <w:rsid w:val="00BD5BAB"/>
    <w:rsid w:val="00BD5CB3"/>
    <w:rsid w:val="00BD5DB1"/>
    <w:rsid w:val="00BD648D"/>
    <w:rsid w:val="00BD6832"/>
    <w:rsid w:val="00BD6F30"/>
    <w:rsid w:val="00BD70F6"/>
    <w:rsid w:val="00BD77AB"/>
    <w:rsid w:val="00BD7A46"/>
    <w:rsid w:val="00BD7BDA"/>
    <w:rsid w:val="00BD7CA5"/>
    <w:rsid w:val="00BD7E9A"/>
    <w:rsid w:val="00BD7EB7"/>
    <w:rsid w:val="00BD7F6C"/>
    <w:rsid w:val="00BE04E5"/>
    <w:rsid w:val="00BE0893"/>
    <w:rsid w:val="00BE09DF"/>
    <w:rsid w:val="00BE0D98"/>
    <w:rsid w:val="00BE1FF7"/>
    <w:rsid w:val="00BE2287"/>
    <w:rsid w:val="00BE2939"/>
    <w:rsid w:val="00BE2AB2"/>
    <w:rsid w:val="00BE2F24"/>
    <w:rsid w:val="00BE3590"/>
    <w:rsid w:val="00BE3729"/>
    <w:rsid w:val="00BE3AA2"/>
    <w:rsid w:val="00BE3D8C"/>
    <w:rsid w:val="00BE3EE9"/>
    <w:rsid w:val="00BE3F39"/>
    <w:rsid w:val="00BE3F66"/>
    <w:rsid w:val="00BE4015"/>
    <w:rsid w:val="00BE4280"/>
    <w:rsid w:val="00BE44E8"/>
    <w:rsid w:val="00BE4D02"/>
    <w:rsid w:val="00BE5862"/>
    <w:rsid w:val="00BE5F92"/>
    <w:rsid w:val="00BE636D"/>
    <w:rsid w:val="00BE647E"/>
    <w:rsid w:val="00BE6F04"/>
    <w:rsid w:val="00BE75E9"/>
    <w:rsid w:val="00BE7A38"/>
    <w:rsid w:val="00BF136F"/>
    <w:rsid w:val="00BF145A"/>
    <w:rsid w:val="00BF1474"/>
    <w:rsid w:val="00BF1CDD"/>
    <w:rsid w:val="00BF1EF7"/>
    <w:rsid w:val="00BF1FED"/>
    <w:rsid w:val="00BF24AB"/>
    <w:rsid w:val="00BF25E4"/>
    <w:rsid w:val="00BF27F1"/>
    <w:rsid w:val="00BF2C84"/>
    <w:rsid w:val="00BF3159"/>
    <w:rsid w:val="00BF390E"/>
    <w:rsid w:val="00BF393D"/>
    <w:rsid w:val="00BF3A34"/>
    <w:rsid w:val="00BF3DD4"/>
    <w:rsid w:val="00BF41B1"/>
    <w:rsid w:val="00BF449D"/>
    <w:rsid w:val="00BF49A2"/>
    <w:rsid w:val="00BF4BDA"/>
    <w:rsid w:val="00BF4DF7"/>
    <w:rsid w:val="00BF4E11"/>
    <w:rsid w:val="00BF4F93"/>
    <w:rsid w:val="00BF5AD6"/>
    <w:rsid w:val="00BF5C50"/>
    <w:rsid w:val="00BF6411"/>
    <w:rsid w:val="00BF652B"/>
    <w:rsid w:val="00BF6A0A"/>
    <w:rsid w:val="00BF6D52"/>
    <w:rsid w:val="00BF758D"/>
    <w:rsid w:val="00BF78D0"/>
    <w:rsid w:val="00BF7CC0"/>
    <w:rsid w:val="00C00089"/>
    <w:rsid w:val="00C007D3"/>
    <w:rsid w:val="00C00BF9"/>
    <w:rsid w:val="00C0129C"/>
    <w:rsid w:val="00C012BE"/>
    <w:rsid w:val="00C015BB"/>
    <w:rsid w:val="00C015D1"/>
    <w:rsid w:val="00C0163E"/>
    <w:rsid w:val="00C019A8"/>
    <w:rsid w:val="00C01B93"/>
    <w:rsid w:val="00C01D3E"/>
    <w:rsid w:val="00C01E81"/>
    <w:rsid w:val="00C02262"/>
    <w:rsid w:val="00C02441"/>
    <w:rsid w:val="00C02CFE"/>
    <w:rsid w:val="00C0374A"/>
    <w:rsid w:val="00C039F3"/>
    <w:rsid w:val="00C03DCF"/>
    <w:rsid w:val="00C040E1"/>
    <w:rsid w:val="00C0416F"/>
    <w:rsid w:val="00C04602"/>
    <w:rsid w:val="00C04C34"/>
    <w:rsid w:val="00C04C67"/>
    <w:rsid w:val="00C04FCF"/>
    <w:rsid w:val="00C0558D"/>
    <w:rsid w:val="00C05C93"/>
    <w:rsid w:val="00C06496"/>
    <w:rsid w:val="00C065AB"/>
    <w:rsid w:val="00C06B75"/>
    <w:rsid w:val="00C0759A"/>
    <w:rsid w:val="00C07861"/>
    <w:rsid w:val="00C104F1"/>
    <w:rsid w:val="00C1064B"/>
    <w:rsid w:val="00C10E81"/>
    <w:rsid w:val="00C113D5"/>
    <w:rsid w:val="00C113DD"/>
    <w:rsid w:val="00C118DB"/>
    <w:rsid w:val="00C11918"/>
    <w:rsid w:val="00C11D4C"/>
    <w:rsid w:val="00C11FD6"/>
    <w:rsid w:val="00C128F8"/>
    <w:rsid w:val="00C12DA0"/>
    <w:rsid w:val="00C1325B"/>
    <w:rsid w:val="00C13570"/>
    <w:rsid w:val="00C137CC"/>
    <w:rsid w:val="00C13C18"/>
    <w:rsid w:val="00C14027"/>
    <w:rsid w:val="00C1462F"/>
    <w:rsid w:val="00C15607"/>
    <w:rsid w:val="00C15667"/>
    <w:rsid w:val="00C157A1"/>
    <w:rsid w:val="00C15BDF"/>
    <w:rsid w:val="00C15F71"/>
    <w:rsid w:val="00C1659E"/>
    <w:rsid w:val="00C168F0"/>
    <w:rsid w:val="00C16B98"/>
    <w:rsid w:val="00C16C36"/>
    <w:rsid w:val="00C16CF1"/>
    <w:rsid w:val="00C16CFE"/>
    <w:rsid w:val="00C17D7A"/>
    <w:rsid w:val="00C17FE3"/>
    <w:rsid w:val="00C200D6"/>
    <w:rsid w:val="00C201C7"/>
    <w:rsid w:val="00C20214"/>
    <w:rsid w:val="00C2028F"/>
    <w:rsid w:val="00C20359"/>
    <w:rsid w:val="00C20802"/>
    <w:rsid w:val="00C20822"/>
    <w:rsid w:val="00C20C58"/>
    <w:rsid w:val="00C215FD"/>
    <w:rsid w:val="00C2177E"/>
    <w:rsid w:val="00C21CD1"/>
    <w:rsid w:val="00C22007"/>
    <w:rsid w:val="00C227D3"/>
    <w:rsid w:val="00C23073"/>
    <w:rsid w:val="00C23825"/>
    <w:rsid w:val="00C238FB"/>
    <w:rsid w:val="00C239A2"/>
    <w:rsid w:val="00C23B26"/>
    <w:rsid w:val="00C249FB"/>
    <w:rsid w:val="00C24A03"/>
    <w:rsid w:val="00C24D69"/>
    <w:rsid w:val="00C25762"/>
    <w:rsid w:val="00C259F1"/>
    <w:rsid w:val="00C25C09"/>
    <w:rsid w:val="00C25D6D"/>
    <w:rsid w:val="00C260E5"/>
    <w:rsid w:val="00C26559"/>
    <w:rsid w:val="00C26F96"/>
    <w:rsid w:val="00C27105"/>
    <w:rsid w:val="00C27961"/>
    <w:rsid w:val="00C279DB"/>
    <w:rsid w:val="00C300B2"/>
    <w:rsid w:val="00C307D5"/>
    <w:rsid w:val="00C30805"/>
    <w:rsid w:val="00C30886"/>
    <w:rsid w:val="00C318CE"/>
    <w:rsid w:val="00C31B4A"/>
    <w:rsid w:val="00C31BC2"/>
    <w:rsid w:val="00C326C5"/>
    <w:rsid w:val="00C32D5E"/>
    <w:rsid w:val="00C33060"/>
    <w:rsid w:val="00C33083"/>
    <w:rsid w:val="00C34B36"/>
    <w:rsid w:val="00C34B68"/>
    <w:rsid w:val="00C34B6B"/>
    <w:rsid w:val="00C351DB"/>
    <w:rsid w:val="00C35629"/>
    <w:rsid w:val="00C358C5"/>
    <w:rsid w:val="00C35B98"/>
    <w:rsid w:val="00C35F82"/>
    <w:rsid w:val="00C35FB3"/>
    <w:rsid w:val="00C36220"/>
    <w:rsid w:val="00C367C9"/>
    <w:rsid w:val="00C36B0D"/>
    <w:rsid w:val="00C36ED5"/>
    <w:rsid w:val="00C378D2"/>
    <w:rsid w:val="00C37C3B"/>
    <w:rsid w:val="00C37FBF"/>
    <w:rsid w:val="00C37FF9"/>
    <w:rsid w:val="00C40574"/>
    <w:rsid w:val="00C40592"/>
    <w:rsid w:val="00C40721"/>
    <w:rsid w:val="00C4096E"/>
    <w:rsid w:val="00C40998"/>
    <w:rsid w:val="00C40BDA"/>
    <w:rsid w:val="00C40F8B"/>
    <w:rsid w:val="00C41753"/>
    <w:rsid w:val="00C41C1D"/>
    <w:rsid w:val="00C4205B"/>
    <w:rsid w:val="00C4277C"/>
    <w:rsid w:val="00C42856"/>
    <w:rsid w:val="00C42F7E"/>
    <w:rsid w:val="00C42FCB"/>
    <w:rsid w:val="00C436C4"/>
    <w:rsid w:val="00C43954"/>
    <w:rsid w:val="00C43AD8"/>
    <w:rsid w:val="00C43F1A"/>
    <w:rsid w:val="00C44800"/>
    <w:rsid w:val="00C44CE7"/>
    <w:rsid w:val="00C44E9E"/>
    <w:rsid w:val="00C454F8"/>
    <w:rsid w:val="00C457F9"/>
    <w:rsid w:val="00C459CF"/>
    <w:rsid w:val="00C460AF"/>
    <w:rsid w:val="00C464B4"/>
    <w:rsid w:val="00C464ED"/>
    <w:rsid w:val="00C46563"/>
    <w:rsid w:val="00C46599"/>
    <w:rsid w:val="00C46A3A"/>
    <w:rsid w:val="00C46B7C"/>
    <w:rsid w:val="00C46FA2"/>
    <w:rsid w:val="00C472A1"/>
    <w:rsid w:val="00C473D5"/>
    <w:rsid w:val="00C47734"/>
    <w:rsid w:val="00C47822"/>
    <w:rsid w:val="00C50013"/>
    <w:rsid w:val="00C50209"/>
    <w:rsid w:val="00C5052A"/>
    <w:rsid w:val="00C5061A"/>
    <w:rsid w:val="00C508B3"/>
    <w:rsid w:val="00C511EC"/>
    <w:rsid w:val="00C51AD5"/>
    <w:rsid w:val="00C51F92"/>
    <w:rsid w:val="00C52001"/>
    <w:rsid w:val="00C5202A"/>
    <w:rsid w:val="00C52276"/>
    <w:rsid w:val="00C525D7"/>
    <w:rsid w:val="00C52A4A"/>
    <w:rsid w:val="00C5308F"/>
    <w:rsid w:val="00C53275"/>
    <w:rsid w:val="00C53A14"/>
    <w:rsid w:val="00C53AAD"/>
    <w:rsid w:val="00C53D65"/>
    <w:rsid w:val="00C54F42"/>
    <w:rsid w:val="00C55424"/>
    <w:rsid w:val="00C55751"/>
    <w:rsid w:val="00C558B8"/>
    <w:rsid w:val="00C561A8"/>
    <w:rsid w:val="00C56322"/>
    <w:rsid w:val="00C56734"/>
    <w:rsid w:val="00C5686A"/>
    <w:rsid w:val="00C568BD"/>
    <w:rsid w:val="00C56BD3"/>
    <w:rsid w:val="00C56DCE"/>
    <w:rsid w:val="00C56DDA"/>
    <w:rsid w:val="00C570BC"/>
    <w:rsid w:val="00C579F9"/>
    <w:rsid w:val="00C603E1"/>
    <w:rsid w:val="00C606FD"/>
    <w:rsid w:val="00C60864"/>
    <w:rsid w:val="00C60CD8"/>
    <w:rsid w:val="00C613CC"/>
    <w:rsid w:val="00C613F1"/>
    <w:rsid w:val="00C61529"/>
    <w:rsid w:val="00C616E5"/>
    <w:rsid w:val="00C61C70"/>
    <w:rsid w:val="00C61CE0"/>
    <w:rsid w:val="00C61DBA"/>
    <w:rsid w:val="00C61F38"/>
    <w:rsid w:val="00C6291C"/>
    <w:rsid w:val="00C63505"/>
    <w:rsid w:val="00C63846"/>
    <w:rsid w:val="00C63A39"/>
    <w:rsid w:val="00C63A69"/>
    <w:rsid w:val="00C63C88"/>
    <w:rsid w:val="00C64121"/>
    <w:rsid w:val="00C64216"/>
    <w:rsid w:val="00C642AB"/>
    <w:rsid w:val="00C64838"/>
    <w:rsid w:val="00C64A50"/>
    <w:rsid w:val="00C64E68"/>
    <w:rsid w:val="00C6500C"/>
    <w:rsid w:val="00C65ABE"/>
    <w:rsid w:val="00C65E1A"/>
    <w:rsid w:val="00C6640C"/>
    <w:rsid w:val="00C6696A"/>
    <w:rsid w:val="00C6704F"/>
    <w:rsid w:val="00C67220"/>
    <w:rsid w:val="00C673D5"/>
    <w:rsid w:val="00C67984"/>
    <w:rsid w:val="00C67AF1"/>
    <w:rsid w:val="00C67B31"/>
    <w:rsid w:val="00C67B92"/>
    <w:rsid w:val="00C7039D"/>
    <w:rsid w:val="00C704DE"/>
    <w:rsid w:val="00C708F4"/>
    <w:rsid w:val="00C7128D"/>
    <w:rsid w:val="00C7133F"/>
    <w:rsid w:val="00C71723"/>
    <w:rsid w:val="00C71A0D"/>
    <w:rsid w:val="00C71A52"/>
    <w:rsid w:val="00C71ADC"/>
    <w:rsid w:val="00C72108"/>
    <w:rsid w:val="00C721A1"/>
    <w:rsid w:val="00C7236F"/>
    <w:rsid w:val="00C72511"/>
    <w:rsid w:val="00C726C4"/>
    <w:rsid w:val="00C727F1"/>
    <w:rsid w:val="00C7318E"/>
    <w:rsid w:val="00C7394A"/>
    <w:rsid w:val="00C7395B"/>
    <w:rsid w:val="00C73AF6"/>
    <w:rsid w:val="00C73C4E"/>
    <w:rsid w:val="00C73EED"/>
    <w:rsid w:val="00C73F6C"/>
    <w:rsid w:val="00C746AF"/>
    <w:rsid w:val="00C75D5A"/>
    <w:rsid w:val="00C75E58"/>
    <w:rsid w:val="00C75F84"/>
    <w:rsid w:val="00C76951"/>
    <w:rsid w:val="00C76AA9"/>
    <w:rsid w:val="00C77223"/>
    <w:rsid w:val="00C772E5"/>
    <w:rsid w:val="00C77387"/>
    <w:rsid w:val="00C7774D"/>
    <w:rsid w:val="00C779F5"/>
    <w:rsid w:val="00C77A19"/>
    <w:rsid w:val="00C8009E"/>
    <w:rsid w:val="00C80753"/>
    <w:rsid w:val="00C807E6"/>
    <w:rsid w:val="00C80993"/>
    <w:rsid w:val="00C80C96"/>
    <w:rsid w:val="00C80D3B"/>
    <w:rsid w:val="00C80E1F"/>
    <w:rsid w:val="00C81805"/>
    <w:rsid w:val="00C81886"/>
    <w:rsid w:val="00C8188E"/>
    <w:rsid w:val="00C81A1A"/>
    <w:rsid w:val="00C825A9"/>
    <w:rsid w:val="00C8279D"/>
    <w:rsid w:val="00C82A63"/>
    <w:rsid w:val="00C830D2"/>
    <w:rsid w:val="00C83335"/>
    <w:rsid w:val="00C843B6"/>
    <w:rsid w:val="00C8469D"/>
    <w:rsid w:val="00C847C6"/>
    <w:rsid w:val="00C848E9"/>
    <w:rsid w:val="00C84B30"/>
    <w:rsid w:val="00C84CA4"/>
    <w:rsid w:val="00C85095"/>
    <w:rsid w:val="00C856C9"/>
    <w:rsid w:val="00C86088"/>
    <w:rsid w:val="00C871D8"/>
    <w:rsid w:val="00C872F1"/>
    <w:rsid w:val="00C8796E"/>
    <w:rsid w:val="00C90172"/>
    <w:rsid w:val="00C9076E"/>
    <w:rsid w:val="00C912B4"/>
    <w:rsid w:val="00C92442"/>
    <w:rsid w:val="00C92B23"/>
    <w:rsid w:val="00C92CB4"/>
    <w:rsid w:val="00C92DEB"/>
    <w:rsid w:val="00C93047"/>
    <w:rsid w:val="00C93246"/>
    <w:rsid w:val="00C9354E"/>
    <w:rsid w:val="00C938D5"/>
    <w:rsid w:val="00C9562E"/>
    <w:rsid w:val="00C958B4"/>
    <w:rsid w:val="00C958F0"/>
    <w:rsid w:val="00C95E77"/>
    <w:rsid w:val="00C9633D"/>
    <w:rsid w:val="00C9671C"/>
    <w:rsid w:val="00C9688C"/>
    <w:rsid w:val="00C96AD2"/>
    <w:rsid w:val="00C96BB5"/>
    <w:rsid w:val="00C971E0"/>
    <w:rsid w:val="00C9742B"/>
    <w:rsid w:val="00C976A4"/>
    <w:rsid w:val="00C97749"/>
    <w:rsid w:val="00C9789B"/>
    <w:rsid w:val="00C978BC"/>
    <w:rsid w:val="00C9799F"/>
    <w:rsid w:val="00C97A52"/>
    <w:rsid w:val="00C97C09"/>
    <w:rsid w:val="00C97DDF"/>
    <w:rsid w:val="00CA0475"/>
    <w:rsid w:val="00CA12A3"/>
    <w:rsid w:val="00CA1602"/>
    <w:rsid w:val="00CA1C67"/>
    <w:rsid w:val="00CA1ED8"/>
    <w:rsid w:val="00CA2743"/>
    <w:rsid w:val="00CA295B"/>
    <w:rsid w:val="00CA29F9"/>
    <w:rsid w:val="00CA316F"/>
    <w:rsid w:val="00CA3373"/>
    <w:rsid w:val="00CA3775"/>
    <w:rsid w:val="00CA397F"/>
    <w:rsid w:val="00CA45B8"/>
    <w:rsid w:val="00CA4773"/>
    <w:rsid w:val="00CA4BBB"/>
    <w:rsid w:val="00CA55B1"/>
    <w:rsid w:val="00CA5779"/>
    <w:rsid w:val="00CA578C"/>
    <w:rsid w:val="00CA5BA2"/>
    <w:rsid w:val="00CA5E4E"/>
    <w:rsid w:val="00CA68B4"/>
    <w:rsid w:val="00CA6BF4"/>
    <w:rsid w:val="00CA754A"/>
    <w:rsid w:val="00CA77CA"/>
    <w:rsid w:val="00CA7983"/>
    <w:rsid w:val="00CB0361"/>
    <w:rsid w:val="00CB0462"/>
    <w:rsid w:val="00CB0875"/>
    <w:rsid w:val="00CB0AA5"/>
    <w:rsid w:val="00CB0D4B"/>
    <w:rsid w:val="00CB0EDC"/>
    <w:rsid w:val="00CB166F"/>
    <w:rsid w:val="00CB1AF8"/>
    <w:rsid w:val="00CB1B95"/>
    <w:rsid w:val="00CB1EB3"/>
    <w:rsid w:val="00CB2B3E"/>
    <w:rsid w:val="00CB2F77"/>
    <w:rsid w:val="00CB3008"/>
    <w:rsid w:val="00CB3D64"/>
    <w:rsid w:val="00CB3D79"/>
    <w:rsid w:val="00CB4675"/>
    <w:rsid w:val="00CB56DE"/>
    <w:rsid w:val="00CB57B8"/>
    <w:rsid w:val="00CB5922"/>
    <w:rsid w:val="00CB5D8E"/>
    <w:rsid w:val="00CB6526"/>
    <w:rsid w:val="00CB653E"/>
    <w:rsid w:val="00CB6B0B"/>
    <w:rsid w:val="00CB6C50"/>
    <w:rsid w:val="00CB6E28"/>
    <w:rsid w:val="00CB6E7F"/>
    <w:rsid w:val="00CB788B"/>
    <w:rsid w:val="00CC0033"/>
    <w:rsid w:val="00CC0241"/>
    <w:rsid w:val="00CC0780"/>
    <w:rsid w:val="00CC0AA0"/>
    <w:rsid w:val="00CC0F24"/>
    <w:rsid w:val="00CC0F3D"/>
    <w:rsid w:val="00CC1199"/>
    <w:rsid w:val="00CC142E"/>
    <w:rsid w:val="00CC1D4E"/>
    <w:rsid w:val="00CC29A5"/>
    <w:rsid w:val="00CC2AF6"/>
    <w:rsid w:val="00CC3076"/>
    <w:rsid w:val="00CC3083"/>
    <w:rsid w:val="00CC342D"/>
    <w:rsid w:val="00CC3635"/>
    <w:rsid w:val="00CC3831"/>
    <w:rsid w:val="00CC39D0"/>
    <w:rsid w:val="00CC3ACC"/>
    <w:rsid w:val="00CC3D41"/>
    <w:rsid w:val="00CC3F94"/>
    <w:rsid w:val="00CC40BB"/>
    <w:rsid w:val="00CC41FE"/>
    <w:rsid w:val="00CC454D"/>
    <w:rsid w:val="00CC45B9"/>
    <w:rsid w:val="00CC466D"/>
    <w:rsid w:val="00CC4819"/>
    <w:rsid w:val="00CC5159"/>
    <w:rsid w:val="00CC55D5"/>
    <w:rsid w:val="00CC5C50"/>
    <w:rsid w:val="00CC6FB4"/>
    <w:rsid w:val="00CC70E3"/>
    <w:rsid w:val="00CC7722"/>
    <w:rsid w:val="00CC7B9A"/>
    <w:rsid w:val="00CC7FC6"/>
    <w:rsid w:val="00CD0644"/>
    <w:rsid w:val="00CD0719"/>
    <w:rsid w:val="00CD0B9C"/>
    <w:rsid w:val="00CD1254"/>
    <w:rsid w:val="00CD155E"/>
    <w:rsid w:val="00CD1680"/>
    <w:rsid w:val="00CD1A4A"/>
    <w:rsid w:val="00CD1C17"/>
    <w:rsid w:val="00CD2450"/>
    <w:rsid w:val="00CD26B2"/>
    <w:rsid w:val="00CD2B0F"/>
    <w:rsid w:val="00CD2EEA"/>
    <w:rsid w:val="00CD2F50"/>
    <w:rsid w:val="00CD305F"/>
    <w:rsid w:val="00CD33B2"/>
    <w:rsid w:val="00CD3AD0"/>
    <w:rsid w:val="00CD3EA5"/>
    <w:rsid w:val="00CD4350"/>
    <w:rsid w:val="00CD4562"/>
    <w:rsid w:val="00CD4922"/>
    <w:rsid w:val="00CD4973"/>
    <w:rsid w:val="00CD4D4E"/>
    <w:rsid w:val="00CD4D97"/>
    <w:rsid w:val="00CD5378"/>
    <w:rsid w:val="00CD54B9"/>
    <w:rsid w:val="00CD571C"/>
    <w:rsid w:val="00CD6111"/>
    <w:rsid w:val="00CD6616"/>
    <w:rsid w:val="00CD6FA4"/>
    <w:rsid w:val="00CD71D6"/>
    <w:rsid w:val="00CD7CDF"/>
    <w:rsid w:val="00CE0B05"/>
    <w:rsid w:val="00CE0BD1"/>
    <w:rsid w:val="00CE0F8D"/>
    <w:rsid w:val="00CE154B"/>
    <w:rsid w:val="00CE1B6D"/>
    <w:rsid w:val="00CE2539"/>
    <w:rsid w:val="00CE28B2"/>
    <w:rsid w:val="00CE3497"/>
    <w:rsid w:val="00CE399E"/>
    <w:rsid w:val="00CE3C35"/>
    <w:rsid w:val="00CE4720"/>
    <w:rsid w:val="00CE49F4"/>
    <w:rsid w:val="00CE4A40"/>
    <w:rsid w:val="00CE4C52"/>
    <w:rsid w:val="00CE5957"/>
    <w:rsid w:val="00CE63FB"/>
    <w:rsid w:val="00CE676F"/>
    <w:rsid w:val="00CE6A9E"/>
    <w:rsid w:val="00CE6C78"/>
    <w:rsid w:val="00CE7320"/>
    <w:rsid w:val="00CE7478"/>
    <w:rsid w:val="00CE7598"/>
    <w:rsid w:val="00CE75E2"/>
    <w:rsid w:val="00CE7754"/>
    <w:rsid w:val="00CE7988"/>
    <w:rsid w:val="00CF02AA"/>
    <w:rsid w:val="00CF0371"/>
    <w:rsid w:val="00CF0400"/>
    <w:rsid w:val="00CF0524"/>
    <w:rsid w:val="00CF090E"/>
    <w:rsid w:val="00CF0E47"/>
    <w:rsid w:val="00CF0EC7"/>
    <w:rsid w:val="00CF0F26"/>
    <w:rsid w:val="00CF0FA7"/>
    <w:rsid w:val="00CF164E"/>
    <w:rsid w:val="00CF1672"/>
    <w:rsid w:val="00CF21A9"/>
    <w:rsid w:val="00CF2651"/>
    <w:rsid w:val="00CF2DBC"/>
    <w:rsid w:val="00CF3458"/>
    <w:rsid w:val="00CF51E9"/>
    <w:rsid w:val="00CF5881"/>
    <w:rsid w:val="00CF5D3F"/>
    <w:rsid w:val="00CF6296"/>
    <w:rsid w:val="00CF62AC"/>
    <w:rsid w:val="00CF67FD"/>
    <w:rsid w:val="00CF7315"/>
    <w:rsid w:val="00CF78DD"/>
    <w:rsid w:val="00CF7AD1"/>
    <w:rsid w:val="00CF7BD8"/>
    <w:rsid w:val="00D00027"/>
    <w:rsid w:val="00D003DC"/>
    <w:rsid w:val="00D007DC"/>
    <w:rsid w:val="00D00E9D"/>
    <w:rsid w:val="00D0123C"/>
    <w:rsid w:val="00D01C53"/>
    <w:rsid w:val="00D0200F"/>
    <w:rsid w:val="00D023FF"/>
    <w:rsid w:val="00D02634"/>
    <w:rsid w:val="00D0280A"/>
    <w:rsid w:val="00D0286C"/>
    <w:rsid w:val="00D02C3E"/>
    <w:rsid w:val="00D02C80"/>
    <w:rsid w:val="00D02E9A"/>
    <w:rsid w:val="00D02FF3"/>
    <w:rsid w:val="00D03027"/>
    <w:rsid w:val="00D03691"/>
    <w:rsid w:val="00D03823"/>
    <w:rsid w:val="00D03AF2"/>
    <w:rsid w:val="00D04699"/>
    <w:rsid w:val="00D046D0"/>
    <w:rsid w:val="00D0474C"/>
    <w:rsid w:val="00D049CE"/>
    <w:rsid w:val="00D04EB3"/>
    <w:rsid w:val="00D0501E"/>
    <w:rsid w:val="00D050E8"/>
    <w:rsid w:val="00D05A91"/>
    <w:rsid w:val="00D05E00"/>
    <w:rsid w:val="00D05F4A"/>
    <w:rsid w:val="00D06035"/>
    <w:rsid w:val="00D06D6F"/>
    <w:rsid w:val="00D06DAD"/>
    <w:rsid w:val="00D0721F"/>
    <w:rsid w:val="00D07313"/>
    <w:rsid w:val="00D074FA"/>
    <w:rsid w:val="00D07515"/>
    <w:rsid w:val="00D07CCE"/>
    <w:rsid w:val="00D07F42"/>
    <w:rsid w:val="00D07F4E"/>
    <w:rsid w:val="00D105C1"/>
    <w:rsid w:val="00D106B8"/>
    <w:rsid w:val="00D106CF"/>
    <w:rsid w:val="00D11442"/>
    <w:rsid w:val="00D11583"/>
    <w:rsid w:val="00D118A6"/>
    <w:rsid w:val="00D121A3"/>
    <w:rsid w:val="00D12242"/>
    <w:rsid w:val="00D122F5"/>
    <w:rsid w:val="00D1234F"/>
    <w:rsid w:val="00D1294A"/>
    <w:rsid w:val="00D12A05"/>
    <w:rsid w:val="00D13096"/>
    <w:rsid w:val="00D13847"/>
    <w:rsid w:val="00D138BB"/>
    <w:rsid w:val="00D13954"/>
    <w:rsid w:val="00D139DB"/>
    <w:rsid w:val="00D13BDF"/>
    <w:rsid w:val="00D13DDD"/>
    <w:rsid w:val="00D13ED3"/>
    <w:rsid w:val="00D13FEE"/>
    <w:rsid w:val="00D147B1"/>
    <w:rsid w:val="00D14BAD"/>
    <w:rsid w:val="00D14C77"/>
    <w:rsid w:val="00D14ED4"/>
    <w:rsid w:val="00D151D6"/>
    <w:rsid w:val="00D1580E"/>
    <w:rsid w:val="00D159B7"/>
    <w:rsid w:val="00D15B57"/>
    <w:rsid w:val="00D15F50"/>
    <w:rsid w:val="00D160FA"/>
    <w:rsid w:val="00D16258"/>
    <w:rsid w:val="00D16AE1"/>
    <w:rsid w:val="00D16DF4"/>
    <w:rsid w:val="00D16EE4"/>
    <w:rsid w:val="00D17031"/>
    <w:rsid w:val="00D17119"/>
    <w:rsid w:val="00D17363"/>
    <w:rsid w:val="00D17974"/>
    <w:rsid w:val="00D17E7A"/>
    <w:rsid w:val="00D20494"/>
    <w:rsid w:val="00D20DE9"/>
    <w:rsid w:val="00D210A3"/>
    <w:rsid w:val="00D21750"/>
    <w:rsid w:val="00D217C6"/>
    <w:rsid w:val="00D21EAE"/>
    <w:rsid w:val="00D220DF"/>
    <w:rsid w:val="00D22272"/>
    <w:rsid w:val="00D22D62"/>
    <w:rsid w:val="00D22DB0"/>
    <w:rsid w:val="00D22F87"/>
    <w:rsid w:val="00D235D8"/>
    <w:rsid w:val="00D239C7"/>
    <w:rsid w:val="00D23A9F"/>
    <w:rsid w:val="00D23E2F"/>
    <w:rsid w:val="00D2407D"/>
    <w:rsid w:val="00D24828"/>
    <w:rsid w:val="00D24EA9"/>
    <w:rsid w:val="00D25399"/>
    <w:rsid w:val="00D25533"/>
    <w:rsid w:val="00D26737"/>
    <w:rsid w:val="00D26C40"/>
    <w:rsid w:val="00D26DD4"/>
    <w:rsid w:val="00D27082"/>
    <w:rsid w:val="00D27427"/>
    <w:rsid w:val="00D2745F"/>
    <w:rsid w:val="00D2761A"/>
    <w:rsid w:val="00D2781E"/>
    <w:rsid w:val="00D27A18"/>
    <w:rsid w:val="00D27B9B"/>
    <w:rsid w:val="00D300E2"/>
    <w:rsid w:val="00D30B6C"/>
    <w:rsid w:val="00D30C33"/>
    <w:rsid w:val="00D30CC9"/>
    <w:rsid w:val="00D30E3E"/>
    <w:rsid w:val="00D317F5"/>
    <w:rsid w:val="00D31A83"/>
    <w:rsid w:val="00D3235E"/>
    <w:rsid w:val="00D3253D"/>
    <w:rsid w:val="00D32800"/>
    <w:rsid w:val="00D32B93"/>
    <w:rsid w:val="00D32B98"/>
    <w:rsid w:val="00D32F43"/>
    <w:rsid w:val="00D33157"/>
    <w:rsid w:val="00D33406"/>
    <w:rsid w:val="00D336B6"/>
    <w:rsid w:val="00D33720"/>
    <w:rsid w:val="00D33876"/>
    <w:rsid w:val="00D33D83"/>
    <w:rsid w:val="00D34206"/>
    <w:rsid w:val="00D345E9"/>
    <w:rsid w:val="00D35159"/>
    <w:rsid w:val="00D3532D"/>
    <w:rsid w:val="00D36324"/>
    <w:rsid w:val="00D365A7"/>
    <w:rsid w:val="00D36844"/>
    <w:rsid w:val="00D3688F"/>
    <w:rsid w:val="00D36AE2"/>
    <w:rsid w:val="00D36FA0"/>
    <w:rsid w:val="00D371E9"/>
    <w:rsid w:val="00D37E1F"/>
    <w:rsid w:val="00D4043D"/>
    <w:rsid w:val="00D40577"/>
    <w:rsid w:val="00D407E9"/>
    <w:rsid w:val="00D41894"/>
    <w:rsid w:val="00D41CFB"/>
    <w:rsid w:val="00D42427"/>
    <w:rsid w:val="00D429C2"/>
    <w:rsid w:val="00D42F36"/>
    <w:rsid w:val="00D43026"/>
    <w:rsid w:val="00D4327B"/>
    <w:rsid w:val="00D4355B"/>
    <w:rsid w:val="00D43DB3"/>
    <w:rsid w:val="00D4421B"/>
    <w:rsid w:val="00D442B5"/>
    <w:rsid w:val="00D4440F"/>
    <w:rsid w:val="00D4544C"/>
    <w:rsid w:val="00D45B00"/>
    <w:rsid w:val="00D45B08"/>
    <w:rsid w:val="00D45CC6"/>
    <w:rsid w:val="00D45DFD"/>
    <w:rsid w:val="00D45E48"/>
    <w:rsid w:val="00D4617A"/>
    <w:rsid w:val="00D50203"/>
    <w:rsid w:val="00D50504"/>
    <w:rsid w:val="00D507FC"/>
    <w:rsid w:val="00D50BD4"/>
    <w:rsid w:val="00D50C68"/>
    <w:rsid w:val="00D50CE3"/>
    <w:rsid w:val="00D5145D"/>
    <w:rsid w:val="00D51783"/>
    <w:rsid w:val="00D51A09"/>
    <w:rsid w:val="00D52113"/>
    <w:rsid w:val="00D5218D"/>
    <w:rsid w:val="00D525E1"/>
    <w:rsid w:val="00D525FA"/>
    <w:rsid w:val="00D526F2"/>
    <w:rsid w:val="00D52B1C"/>
    <w:rsid w:val="00D52BFC"/>
    <w:rsid w:val="00D5377F"/>
    <w:rsid w:val="00D537DD"/>
    <w:rsid w:val="00D538B6"/>
    <w:rsid w:val="00D54021"/>
    <w:rsid w:val="00D540FA"/>
    <w:rsid w:val="00D5428D"/>
    <w:rsid w:val="00D542EC"/>
    <w:rsid w:val="00D54B34"/>
    <w:rsid w:val="00D54F0A"/>
    <w:rsid w:val="00D554CA"/>
    <w:rsid w:val="00D5567D"/>
    <w:rsid w:val="00D55AAD"/>
    <w:rsid w:val="00D55CFF"/>
    <w:rsid w:val="00D55FBB"/>
    <w:rsid w:val="00D5629C"/>
    <w:rsid w:val="00D56811"/>
    <w:rsid w:val="00D5688F"/>
    <w:rsid w:val="00D56920"/>
    <w:rsid w:val="00D56B3C"/>
    <w:rsid w:val="00D577BC"/>
    <w:rsid w:val="00D57E45"/>
    <w:rsid w:val="00D57F25"/>
    <w:rsid w:val="00D60111"/>
    <w:rsid w:val="00D60121"/>
    <w:rsid w:val="00D604DD"/>
    <w:rsid w:val="00D60F41"/>
    <w:rsid w:val="00D60F77"/>
    <w:rsid w:val="00D610B9"/>
    <w:rsid w:val="00D611BA"/>
    <w:rsid w:val="00D620C5"/>
    <w:rsid w:val="00D62746"/>
    <w:rsid w:val="00D62A55"/>
    <w:rsid w:val="00D62AE2"/>
    <w:rsid w:val="00D62D0F"/>
    <w:rsid w:val="00D63075"/>
    <w:rsid w:val="00D63451"/>
    <w:rsid w:val="00D63609"/>
    <w:rsid w:val="00D637CC"/>
    <w:rsid w:val="00D639CD"/>
    <w:rsid w:val="00D640F7"/>
    <w:rsid w:val="00D6426A"/>
    <w:rsid w:val="00D6426B"/>
    <w:rsid w:val="00D64484"/>
    <w:rsid w:val="00D646F5"/>
    <w:rsid w:val="00D647FE"/>
    <w:rsid w:val="00D64BD1"/>
    <w:rsid w:val="00D65084"/>
    <w:rsid w:val="00D65BE9"/>
    <w:rsid w:val="00D660EF"/>
    <w:rsid w:val="00D66491"/>
    <w:rsid w:val="00D66B96"/>
    <w:rsid w:val="00D66F3A"/>
    <w:rsid w:val="00D671EC"/>
    <w:rsid w:val="00D673B3"/>
    <w:rsid w:val="00D676F9"/>
    <w:rsid w:val="00D67E38"/>
    <w:rsid w:val="00D67FD7"/>
    <w:rsid w:val="00D7023F"/>
    <w:rsid w:val="00D703B9"/>
    <w:rsid w:val="00D70543"/>
    <w:rsid w:val="00D71ACA"/>
    <w:rsid w:val="00D71B09"/>
    <w:rsid w:val="00D72047"/>
    <w:rsid w:val="00D720A8"/>
    <w:rsid w:val="00D72762"/>
    <w:rsid w:val="00D72972"/>
    <w:rsid w:val="00D72A33"/>
    <w:rsid w:val="00D73800"/>
    <w:rsid w:val="00D73BDA"/>
    <w:rsid w:val="00D73F20"/>
    <w:rsid w:val="00D74069"/>
    <w:rsid w:val="00D745B6"/>
    <w:rsid w:val="00D7487A"/>
    <w:rsid w:val="00D7559E"/>
    <w:rsid w:val="00D757B4"/>
    <w:rsid w:val="00D75F99"/>
    <w:rsid w:val="00D77212"/>
    <w:rsid w:val="00D77BA8"/>
    <w:rsid w:val="00D77D81"/>
    <w:rsid w:val="00D8045B"/>
    <w:rsid w:val="00D805E9"/>
    <w:rsid w:val="00D805FD"/>
    <w:rsid w:val="00D80B65"/>
    <w:rsid w:val="00D80E9D"/>
    <w:rsid w:val="00D80F8E"/>
    <w:rsid w:val="00D81021"/>
    <w:rsid w:val="00D814F6"/>
    <w:rsid w:val="00D81901"/>
    <w:rsid w:val="00D81959"/>
    <w:rsid w:val="00D81D9D"/>
    <w:rsid w:val="00D81DC8"/>
    <w:rsid w:val="00D81DEB"/>
    <w:rsid w:val="00D82254"/>
    <w:rsid w:val="00D82DF2"/>
    <w:rsid w:val="00D8391B"/>
    <w:rsid w:val="00D83EC5"/>
    <w:rsid w:val="00D83EF2"/>
    <w:rsid w:val="00D84BBB"/>
    <w:rsid w:val="00D84C2F"/>
    <w:rsid w:val="00D84F03"/>
    <w:rsid w:val="00D85684"/>
    <w:rsid w:val="00D85FAB"/>
    <w:rsid w:val="00D860C2"/>
    <w:rsid w:val="00D86210"/>
    <w:rsid w:val="00D86680"/>
    <w:rsid w:val="00D867E1"/>
    <w:rsid w:val="00D86988"/>
    <w:rsid w:val="00D86BC4"/>
    <w:rsid w:val="00D86D94"/>
    <w:rsid w:val="00D870C1"/>
    <w:rsid w:val="00D87CAA"/>
    <w:rsid w:val="00D87D10"/>
    <w:rsid w:val="00D905BE"/>
    <w:rsid w:val="00D90782"/>
    <w:rsid w:val="00D90D45"/>
    <w:rsid w:val="00D910D7"/>
    <w:rsid w:val="00D92091"/>
    <w:rsid w:val="00D92389"/>
    <w:rsid w:val="00D9360D"/>
    <w:rsid w:val="00D9418A"/>
    <w:rsid w:val="00D94B29"/>
    <w:rsid w:val="00D94FAB"/>
    <w:rsid w:val="00D956BF"/>
    <w:rsid w:val="00D95882"/>
    <w:rsid w:val="00D95C79"/>
    <w:rsid w:val="00D96700"/>
    <w:rsid w:val="00D96882"/>
    <w:rsid w:val="00D96BAF"/>
    <w:rsid w:val="00D96CDD"/>
    <w:rsid w:val="00D96E5F"/>
    <w:rsid w:val="00D97356"/>
    <w:rsid w:val="00D975B7"/>
    <w:rsid w:val="00D977F0"/>
    <w:rsid w:val="00D97B1F"/>
    <w:rsid w:val="00D97B5A"/>
    <w:rsid w:val="00D97CEC"/>
    <w:rsid w:val="00DA02C3"/>
    <w:rsid w:val="00DA03E7"/>
    <w:rsid w:val="00DA0DFB"/>
    <w:rsid w:val="00DA170A"/>
    <w:rsid w:val="00DA1BC6"/>
    <w:rsid w:val="00DA1EA2"/>
    <w:rsid w:val="00DA1FFF"/>
    <w:rsid w:val="00DA23E5"/>
    <w:rsid w:val="00DA2458"/>
    <w:rsid w:val="00DA289F"/>
    <w:rsid w:val="00DA2BD1"/>
    <w:rsid w:val="00DA2D95"/>
    <w:rsid w:val="00DA2F8D"/>
    <w:rsid w:val="00DA3174"/>
    <w:rsid w:val="00DA3182"/>
    <w:rsid w:val="00DA34E3"/>
    <w:rsid w:val="00DA3B1D"/>
    <w:rsid w:val="00DA3EED"/>
    <w:rsid w:val="00DA3F3E"/>
    <w:rsid w:val="00DA420C"/>
    <w:rsid w:val="00DA4320"/>
    <w:rsid w:val="00DA4E22"/>
    <w:rsid w:val="00DA503A"/>
    <w:rsid w:val="00DA5359"/>
    <w:rsid w:val="00DA5F3F"/>
    <w:rsid w:val="00DA62CE"/>
    <w:rsid w:val="00DA62E3"/>
    <w:rsid w:val="00DA65E5"/>
    <w:rsid w:val="00DA6818"/>
    <w:rsid w:val="00DA6AE5"/>
    <w:rsid w:val="00DA6D9A"/>
    <w:rsid w:val="00DA6E2C"/>
    <w:rsid w:val="00DA78C9"/>
    <w:rsid w:val="00DA7EE1"/>
    <w:rsid w:val="00DB07A5"/>
    <w:rsid w:val="00DB0832"/>
    <w:rsid w:val="00DB1166"/>
    <w:rsid w:val="00DB150E"/>
    <w:rsid w:val="00DB194D"/>
    <w:rsid w:val="00DB1CF7"/>
    <w:rsid w:val="00DB22D6"/>
    <w:rsid w:val="00DB23E0"/>
    <w:rsid w:val="00DB29AF"/>
    <w:rsid w:val="00DB2A45"/>
    <w:rsid w:val="00DB392D"/>
    <w:rsid w:val="00DB427E"/>
    <w:rsid w:val="00DB4465"/>
    <w:rsid w:val="00DB492D"/>
    <w:rsid w:val="00DB49C5"/>
    <w:rsid w:val="00DB4F13"/>
    <w:rsid w:val="00DB519B"/>
    <w:rsid w:val="00DB51A3"/>
    <w:rsid w:val="00DB57B0"/>
    <w:rsid w:val="00DB5A97"/>
    <w:rsid w:val="00DB5E20"/>
    <w:rsid w:val="00DB629E"/>
    <w:rsid w:val="00DB636C"/>
    <w:rsid w:val="00DB63AD"/>
    <w:rsid w:val="00DB69FD"/>
    <w:rsid w:val="00DB6C44"/>
    <w:rsid w:val="00DB6F85"/>
    <w:rsid w:val="00DB73AE"/>
    <w:rsid w:val="00DB778C"/>
    <w:rsid w:val="00DB7C89"/>
    <w:rsid w:val="00DC01BE"/>
    <w:rsid w:val="00DC04ED"/>
    <w:rsid w:val="00DC0CA6"/>
    <w:rsid w:val="00DC0EF7"/>
    <w:rsid w:val="00DC1232"/>
    <w:rsid w:val="00DC148F"/>
    <w:rsid w:val="00DC1B21"/>
    <w:rsid w:val="00DC1F45"/>
    <w:rsid w:val="00DC221D"/>
    <w:rsid w:val="00DC27D8"/>
    <w:rsid w:val="00DC28ED"/>
    <w:rsid w:val="00DC2C98"/>
    <w:rsid w:val="00DC2D8F"/>
    <w:rsid w:val="00DC35C1"/>
    <w:rsid w:val="00DC366E"/>
    <w:rsid w:val="00DC3A8F"/>
    <w:rsid w:val="00DC3D10"/>
    <w:rsid w:val="00DC3F46"/>
    <w:rsid w:val="00DC3FD0"/>
    <w:rsid w:val="00DC43F1"/>
    <w:rsid w:val="00DC4673"/>
    <w:rsid w:val="00DC4685"/>
    <w:rsid w:val="00DC4811"/>
    <w:rsid w:val="00DC4D8D"/>
    <w:rsid w:val="00DC4E59"/>
    <w:rsid w:val="00DC50F1"/>
    <w:rsid w:val="00DC52EB"/>
    <w:rsid w:val="00DC6298"/>
    <w:rsid w:val="00DC64C9"/>
    <w:rsid w:val="00DC668E"/>
    <w:rsid w:val="00DC78F0"/>
    <w:rsid w:val="00DC7BB0"/>
    <w:rsid w:val="00DC7E92"/>
    <w:rsid w:val="00DC7EC3"/>
    <w:rsid w:val="00DD0023"/>
    <w:rsid w:val="00DD0460"/>
    <w:rsid w:val="00DD08B0"/>
    <w:rsid w:val="00DD0D08"/>
    <w:rsid w:val="00DD0D0B"/>
    <w:rsid w:val="00DD10A4"/>
    <w:rsid w:val="00DD251B"/>
    <w:rsid w:val="00DD29C9"/>
    <w:rsid w:val="00DD2CBB"/>
    <w:rsid w:val="00DD2DAB"/>
    <w:rsid w:val="00DD31CC"/>
    <w:rsid w:val="00DD3C19"/>
    <w:rsid w:val="00DD3E06"/>
    <w:rsid w:val="00DD3E47"/>
    <w:rsid w:val="00DD3F5B"/>
    <w:rsid w:val="00DD40FA"/>
    <w:rsid w:val="00DD46DF"/>
    <w:rsid w:val="00DD4B9B"/>
    <w:rsid w:val="00DD4CF2"/>
    <w:rsid w:val="00DD4D31"/>
    <w:rsid w:val="00DD4F9E"/>
    <w:rsid w:val="00DD53AF"/>
    <w:rsid w:val="00DD563A"/>
    <w:rsid w:val="00DD5F15"/>
    <w:rsid w:val="00DD61A7"/>
    <w:rsid w:val="00DD640B"/>
    <w:rsid w:val="00DD69CE"/>
    <w:rsid w:val="00DD6EC2"/>
    <w:rsid w:val="00DD6F93"/>
    <w:rsid w:val="00DD6FA5"/>
    <w:rsid w:val="00DD702D"/>
    <w:rsid w:val="00DD78F2"/>
    <w:rsid w:val="00DD791D"/>
    <w:rsid w:val="00DD79F7"/>
    <w:rsid w:val="00DD7EFC"/>
    <w:rsid w:val="00DE04F8"/>
    <w:rsid w:val="00DE13B7"/>
    <w:rsid w:val="00DE19DE"/>
    <w:rsid w:val="00DE1CB2"/>
    <w:rsid w:val="00DE1EB2"/>
    <w:rsid w:val="00DE1F74"/>
    <w:rsid w:val="00DE1FD5"/>
    <w:rsid w:val="00DE2305"/>
    <w:rsid w:val="00DE2792"/>
    <w:rsid w:val="00DE27D8"/>
    <w:rsid w:val="00DE378E"/>
    <w:rsid w:val="00DE3BB1"/>
    <w:rsid w:val="00DE3BDD"/>
    <w:rsid w:val="00DE3D50"/>
    <w:rsid w:val="00DE5261"/>
    <w:rsid w:val="00DE53A7"/>
    <w:rsid w:val="00DE56A0"/>
    <w:rsid w:val="00DE589B"/>
    <w:rsid w:val="00DE5A6E"/>
    <w:rsid w:val="00DE6514"/>
    <w:rsid w:val="00DE6923"/>
    <w:rsid w:val="00DE692D"/>
    <w:rsid w:val="00DE715E"/>
    <w:rsid w:val="00DE7EE5"/>
    <w:rsid w:val="00DF03F7"/>
    <w:rsid w:val="00DF09AF"/>
    <w:rsid w:val="00DF112F"/>
    <w:rsid w:val="00DF14F2"/>
    <w:rsid w:val="00DF1603"/>
    <w:rsid w:val="00DF21AF"/>
    <w:rsid w:val="00DF21F2"/>
    <w:rsid w:val="00DF23E6"/>
    <w:rsid w:val="00DF2C29"/>
    <w:rsid w:val="00DF3202"/>
    <w:rsid w:val="00DF3667"/>
    <w:rsid w:val="00DF36DB"/>
    <w:rsid w:val="00DF3F0B"/>
    <w:rsid w:val="00DF4024"/>
    <w:rsid w:val="00DF431F"/>
    <w:rsid w:val="00DF4391"/>
    <w:rsid w:val="00DF441F"/>
    <w:rsid w:val="00DF44A7"/>
    <w:rsid w:val="00DF4B49"/>
    <w:rsid w:val="00DF50E5"/>
    <w:rsid w:val="00DF5182"/>
    <w:rsid w:val="00DF5185"/>
    <w:rsid w:val="00DF5670"/>
    <w:rsid w:val="00DF5746"/>
    <w:rsid w:val="00DF5C2E"/>
    <w:rsid w:val="00DF5CC5"/>
    <w:rsid w:val="00DF6086"/>
    <w:rsid w:val="00DF65F1"/>
    <w:rsid w:val="00DF6675"/>
    <w:rsid w:val="00DF66C1"/>
    <w:rsid w:val="00DF6CED"/>
    <w:rsid w:val="00DF6D69"/>
    <w:rsid w:val="00DF7DE5"/>
    <w:rsid w:val="00E000EC"/>
    <w:rsid w:val="00E004CB"/>
    <w:rsid w:val="00E0058E"/>
    <w:rsid w:val="00E00F00"/>
    <w:rsid w:val="00E016D0"/>
    <w:rsid w:val="00E0184B"/>
    <w:rsid w:val="00E02975"/>
    <w:rsid w:val="00E02C5E"/>
    <w:rsid w:val="00E02C9E"/>
    <w:rsid w:val="00E03151"/>
    <w:rsid w:val="00E03A2E"/>
    <w:rsid w:val="00E03AA0"/>
    <w:rsid w:val="00E040C1"/>
    <w:rsid w:val="00E042C2"/>
    <w:rsid w:val="00E04CB2"/>
    <w:rsid w:val="00E04E55"/>
    <w:rsid w:val="00E0555A"/>
    <w:rsid w:val="00E05865"/>
    <w:rsid w:val="00E066AE"/>
    <w:rsid w:val="00E06A93"/>
    <w:rsid w:val="00E06AE5"/>
    <w:rsid w:val="00E07625"/>
    <w:rsid w:val="00E07E42"/>
    <w:rsid w:val="00E109C2"/>
    <w:rsid w:val="00E10A0D"/>
    <w:rsid w:val="00E10BB4"/>
    <w:rsid w:val="00E1121D"/>
    <w:rsid w:val="00E11389"/>
    <w:rsid w:val="00E114E1"/>
    <w:rsid w:val="00E11981"/>
    <w:rsid w:val="00E11BA7"/>
    <w:rsid w:val="00E11F5F"/>
    <w:rsid w:val="00E12049"/>
    <w:rsid w:val="00E120E7"/>
    <w:rsid w:val="00E1238B"/>
    <w:rsid w:val="00E127FF"/>
    <w:rsid w:val="00E12B74"/>
    <w:rsid w:val="00E131F6"/>
    <w:rsid w:val="00E139BD"/>
    <w:rsid w:val="00E13C2C"/>
    <w:rsid w:val="00E13D33"/>
    <w:rsid w:val="00E13E0C"/>
    <w:rsid w:val="00E13F09"/>
    <w:rsid w:val="00E14514"/>
    <w:rsid w:val="00E1476E"/>
    <w:rsid w:val="00E14844"/>
    <w:rsid w:val="00E14894"/>
    <w:rsid w:val="00E14BC1"/>
    <w:rsid w:val="00E14C19"/>
    <w:rsid w:val="00E14D3F"/>
    <w:rsid w:val="00E14E73"/>
    <w:rsid w:val="00E14F78"/>
    <w:rsid w:val="00E1524E"/>
    <w:rsid w:val="00E154FF"/>
    <w:rsid w:val="00E15626"/>
    <w:rsid w:val="00E15693"/>
    <w:rsid w:val="00E1576D"/>
    <w:rsid w:val="00E157B1"/>
    <w:rsid w:val="00E167EC"/>
    <w:rsid w:val="00E16914"/>
    <w:rsid w:val="00E16AC5"/>
    <w:rsid w:val="00E17233"/>
    <w:rsid w:val="00E17A3E"/>
    <w:rsid w:val="00E21817"/>
    <w:rsid w:val="00E2190B"/>
    <w:rsid w:val="00E21B3C"/>
    <w:rsid w:val="00E22193"/>
    <w:rsid w:val="00E233AC"/>
    <w:rsid w:val="00E23816"/>
    <w:rsid w:val="00E23E6C"/>
    <w:rsid w:val="00E243D6"/>
    <w:rsid w:val="00E2446F"/>
    <w:rsid w:val="00E245AE"/>
    <w:rsid w:val="00E245FE"/>
    <w:rsid w:val="00E24C0F"/>
    <w:rsid w:val="00E24DF4"/>
    <w:rsid w:val="00E2534A"/>
    <w:rsid w:val="00E2572A"/>
    <w:rsid w:val="00E25795"/>
    <w:rsid w:val="00E26B3B"/>
    <w:rsid w:val="00E26DBD"/>
    <w:rsid w:val="00E2707E"/>
    <w:rsid w:val="00E27334"/>
    <w:rsid w:val="00E2768C"/>
    <w:rsid w:val="00E27B2C"/>
    <w:rsid w:val="00E27ED1"/>
    <w:rsid w:val="00E302AF"/>
    <w:rsid w:val="00E3038F"/>
    <w:rsid w:val="00E30659"/>
    <w:rsid w:val="00E30F1B"/>
    <w:rsid w:val="00E3101A"/>
    <w:rsid w:val="00E311BE"/>
    <w:rsid w:val="00E3174E"/>
    <w:rsid w:val="00E317F5"/>
    <w:rsid w:val="00E32B24"/>
    <w:rsid w:val="00E32D89"/>
    <w:rsid w:val="00E33171"/>
    <w:rsid w:val="00E332FF"/>
    <w:rsid w:val="00E33E80"/>
    <w:rsid w:val="00E3408C"/>
    <w:rsid w:val="00E3417D"/>
    <w:rsid w:val="00E345D2"/>
    <w:rsid w:val="00E3470E"/>
    <w:rsid w:val="00E34D14"/>
    <w:rsid w:val="00E350A0"/>
    <w:rsid w:val="00E35720"/>
    <w:rsid w:val="00E35C7B"/>
    <w:rsid w:val="00E36212"/>
    <w:rsid w:val="00E36643"/>
    <w:rsid w:val="00E36673"/>
    <w:rsid w:val="00E36885"/>
    <w:rsid w:val="00E368FE"/>
    <w:rsid w:val="00E369A3"/>
    <w:rsid w:val="00E36F5B"/>
    <w:rsid w:val="00E3706D"/>
    <w:rsid w:val="00E373E6"/>
    <w:rsid w:val="00E375D2"/>
    <w:rsid w:val="00E37705"/>
    <w:rsid w:val="00E37CA0"/>
    <w:rsid w:val="00E37D26"/>
    <w:rsid w:val="00E40491"/>
    <w:rsid w:val="00E405E7"/>
    <w:rsid w:val="00E40983"/>
    <w:rsid w:val="00E40BE2"/>
    <w:rsid w:val="00E413EE"/>
    <w:rsid w:val="00E4147E"/>
    <w:rsid w:val="00E41792"/>
    <w:rsid w:val="00E41F2B"/>
    <w:rsid w:val="00E4270E"/>
    <w:rsid w:val="00E42920"/>
    <w:rsid w:val="00E4296A"/>
    <w:rsid w:val="00E42C9B"/>
    <w:rsid w:val="00E43F65"/>
    <w:rsid w:val="00E44311"/>
    <w:rsid w:val="00E445DB"/>
    <w:rsid w:val="00E44B9A"/>
    <w:rsid w:val="00E459FD"/>
    <w:rsid w:val="00E45D8D"/>
    <w:rsid w:val="00E45FAE"/>
    <w:rsid w:val="00E464CE"/>
    <w:rsid w:val="00E46900"/>
    <w:rsid w:val="00E46953"/>
    <w:rsid w:val="00E46B3C"/>
    <w:rsid w:val="00E46B49"/>
    <w:rsid w:val="00E474C2"/>
    <w:rsid w:val="00E50196"/>
    <w:rsid w:val="00E5033E"/>
    <w:rsid w:val="00E50441"/>
    <w:rsid w:val="00E50A0F"/>
    <w:rsid w:val="00E51FD6"/>
    <w:rsid w:val="00E520C8"/>
    <w:rsid w:val="00E523A4"/>
    <w:rsid w:val="00E52A58"/>
    <w:rsid w:val="00E5321A"/>
    <w:rsid w:val="00E53595"/>
    <w:rsid w:val="00E54A29"/>
    <w:rsid w:val="00E557F5"/>
    <w:rsid w:val="00E559EA"/>
    <w:rsid w:val="00E55C76"/>
    <w:rsid w:val="00E55FEA"/>
    <w:rsid w:val="00E5627E"/>
    <w:rsid w:val="00E5649F"/>
    <w:rsid w:val="00E566F4"/>
    <w:rsid w:val="00E568C1"/>
    <w:rsid w:val="00E56B1D"/>
    <w:rsid w:val="00E5725A"/>
    <w:rsid w:val="00E572E2"/>
    <w:rsid w:val="00E5731D"/>
    <w:rsid w:val="00E5738C"/>
    <w:rsid w:val="00E600AE"/>
    <w:rsid w:val="00E601B0"/>
    <w:rsid w:val="00E6094F"/>
    <w:rsid w:val="00E60A9E"/>
    <w:rsid w:val="00E60C4E"/>
    <w:rsid w:val="00E60C5D"/>
    <w:rsid w:val="00E61185"/>
    <w:rsid w:val="00E61CE1"/>
    <w:rsid w:val="00E61EE3"/>
    <w:rsid w:val="00E61FC6"/>
    <w:rsid w:val="00E624B0"/>
    <w:rsid w:val="00E62554"/>
    <w:rsid w:val="00E63678"/>
    <w:rsid w:val="00E63BA1"/>
    <w:rsid w:val="00E63DE0"/>
    <w:rsid w:val="00E63E62"/>
    <w:rsid w:val="00E64834"/>
    <w:rsid w:val="00E64A1D"/>
    <w:rsid w:val="00E64ECB"/>
    <w:rsid w:val="00E6506E"/>
    <w:rsid w:val="00E65E49"/>
    <w:rsid w:val="00E66081"/>
    <w:rsid w:val="00E661D6"/>
    <w:rsid w:val="00E664F0"/>
    <w:rsid w:val="00E666D6"/>
    <w:rsid w:val="00E66B3E"/>
    <w:rsid w:val="00E66E86"/>
    <w:rsid w:val="00E66FF2"/>
    <w:rsid w:val="00E67003"/>
    <w:rsid w:val="00E67415"/>
    <w:rsid w:val="00E70C3E"/>
    <w:rsid w:val="00E713DC"/>
    <w:rsid w:val="00E71548"/>
    <w:rsid w:val="00E7167B"/>
    <w:rsid w:val="00E72676"/>
    <w:rsid w:val="00E7275A"/>
    <w:rsid w:val="00E72A2A"/>
    <w:rsid w:val="00E72D07"/>
    <w:rsid w:val="00E72ED7"/>
    <w:rsid w:val="00E7317E"/>
    <w:rsid w:val="00E732C7"/>
    <w:rsid w:val="00E734AE"/>
    <w:rsid w:val="00E735F2"/>
    <w:rsid w:val="00E73D7F"/>
    <w:rsid w:val="00E74452"/>
    <w:rsid w:val="00E7484B"/>
    <w:rsid w:val="00E7488B"/>
    <w:rsid w:val="00E74D06"/>
    <w:rsid w:val="00E75003"/>
    <w:rsid w:val="00E75465"/>
    <w:rsid w:val="00E75A8B"/>
    <w:rsid w:val="00E76062"/>
    <w:rsid w:val="00E7640A"/>
    <w:rsid w:val="00E766A9"/>
    <w:rsid w:val="00E76961"/>
    <w:rsid w:val="00E76A43"/>
    <w:rsid w:val="00E76D4C"/>
    <w:rsid w:val="00E76DD3"/>
    <w:rsid w:val="00E76E61"/>
    <w:rsid w:val="00E76FD6"/>
    <w:rsid w:val="00E771BA"/>
    <w:rsid w:val="00E77290"/>
    <w:rsid w:val="00E77C0B"/>
    <w:rsid w:val="00E8004F"/>
    <w:rsid w:val="00E80099"/>
    <w:rsid w:val="00E80375"/>
    <w:rsid w:val="00E81212"/>
    <w:rsid w:val="00E81C3A"/>
    <w:rsid w:val="00E821B6"/>
    <w:rsid w:val="00E825DA"/>
    <w:rsid w:val="00E8271C"/>
    <w:rsid w:val="00E82BE2"/>
    <w:rsid w:val="00E82F40"/>
    <w:rsid w:val="00E831B4"/>
    <w:rsid w:val="00E835D8"/>
    <w:rsid w:val="00E83CA2"/>
    <w:rsid w:val="00E83FA2"/>
    <w:rsid w:val="00E83FD5"/>
    <w:rsid w:val="00E84041"/>
    <w:rsid w:val="00E84101"/>
    <w:rsid w:val="00E84432"/>
    <w:rsid w:val="00E84541"/>
    <w:rsid w:val="00E84D02"/>
    <w:rsid w:val="00E856BD"/>
    <w:rsid w:val="00E85C2F"/>
    <w:rsid w:val="00E85FF0"/>
    <w:rsid w:val="00E8643C"/>
    <w:rsid w:val="00E8655B"/>
    <w:rsid w:val="00E86A7C"/>
    <w:rsid w:val="00E86B6E"/>
    <w:rsid w:val="00E86C13"/>
    <w:rsid w:val="00E8734A"/>
    <w:rsid w:val="00E8780D"/>
    <w:rsid w:val="00E878CC"/>
    <w:rsid w:val="00E87EC8"/>
    <w:rsid w:val="00E90479"/>
    <w:rsid w:val="00E90A06"/>
    <w:rsid w:val="00E915FE"/>
    <w:rsid w:val="00E916B8"/>
    <w:rsid w:val="00E9191C"/>
    <w:rsid w:val="00E91DF4"/>
    <w:rsid w:val="00E924B1"/>
    <w:rsid w:val="00E92813"/>
    <w:rsid w:val="00E9324F"/>
    <w:rsid w:val="00E94267"/>
    <w:rsid w:val="00E94DE1"/>
    <w:rsid w:val="00E94E03"/>
    <w:rsid w:val="00E955DF"/>
    <w:rsid w:val="00E95C24"/>
    <w:rsid w:val="00E96541"/>
    <w:rsid w:val="00E96CCE"/>
    <w:rsid w:val="00E972AF"/>
    <w:rsid w:val="00E974A3"/>
    <w:rsid w:val="00E97B04"/>
    <w:rsid w:val="00E97DE1"/>
    <w:rsid w:val="00E97E77"/>
    <w:rsid w:val="00EA02C7"/>
    <w:rsid w:val="00EA0907"/>
    <w:rsid w:val="00EA0B9D"/>
    <w:rsid w:val="00EA0F7D"/>
    <w:rsid w:val="00EA1EC1"/>
    <w:rsid w:val="00EA2263"/>
    <w:rsid w:val="00EA2400"/>
    <w:rsid w:val="00EA273E"/>
    <w:rsid w:val="00EA2F25"/>
    <w:rsid w:val="00EA2F7A"/>
    <w:rsid w:val="00EA3791"/>
    <w:rsid w:val="00EA399D"/>
    <w:rsid w:val="00EA3A21"/>
    <w:rsid w:val="00EA3F16"/>
    <w:rsid w:val="00EA3F5A"/>
    <w:rsid w:val="00EA43CA"/>
    <w:rsid w:val="00EA4428"/>
    <w:rsid w:val="00EA4791"/>
    <w:rsid w:val="00EA4B97"/>
    <w:rsid w:val="00EA53DC"/>
    <w:rsid w:val="00EA5775"/>
    <w:rsid w:val="00EA5D61"/>
    <w:rsid w:val="00EA6080"/>
    <w:rsid w:val="00EA63DE"/>
    <w:rsid w:val="00EA6720"/>
    <w:rsid w:val="00EA68E2"/>
    <w:rsid w:val="00EA6D5E"/>
    <w:rsid w:val="00EA6EE7"/>
    <w:rsid w:val="00EA75CE"/>
    <w:rsid w:val="00EA782A"/>
    <w:rsid w:val="00EA7E6B"/>
    <w:rsid w:val="00EA7E93"/>
    <w:rsid w:val="00EA7EA7"/>
    <w:rsid w:val="00EB0178"/>
    <w:rsid w:val="00EB0AE0"/>
    <w:rsid w:val="00EB0B50"/>
    <w:rsid w:val="00EB18E8"/>
    <w:rsid w:val="00EB191A"/>
    <w:rsid w:val="00EB192A"/>
    <w:rsid w:val="00EB1E5C"/>
    <w:rsid w:val="00EB2037"/>
    <w:rsid w:val="00EB2665"/>
    <w:rsid w:val="00EB26E7"/>
    <w:rsid w:val="00EB2E16"/>
    <w:rsid w:val="00EB35DF"/>
    <w:rsid w:val="00EB390E"/>
    <w:rsid w:val="00EB3ED2"/>
    <w:rsid w:val="00EB43B5"/>
    <w:rsid w:val="00EB43EB"/>
    <w:rsid w:val="00EB4B4A"/>
    <w:rsid w:val="00EB4D2D"/>
    <w:rsid w:val="00EB4E2A"/>
    <w:rsid w:val="00EB54E0"/>
    <w:rsid w:val="00EB5827"/>
    <w:rsid w:val="00EB5EEF"/>
    <w:rsid w:val="00EB6186"/>
    <w:rsid w:val="00EB62A8"/>
    <w:rsid w:val="00EB633B"/>
    <w:rsid w:val="00EB6E83"/>
    <w:rsid w:val="00EB701F"/>
    <w:rsid w:val="00EB706F"/>
    <w:rsid w:val="00EB74EA"/>
    <w:rsid w:val="00EB7B90"/>
    <w:rsid w:val="00EC01E3"/>
    <w:rsid w:val="00EC06E1"/>
    <w:rsid w:val="00EC078D"/>
    <w:rsid w:val="00EC0BEA"/>
    <w:rsid w:val="00EC2259"/>
    <w:rsid w:val="00EC2421"/>
    <w:rsid w:val="00EC251C"/>
    <w:rsid w:val="00EC294A"/>
    <w:rsid w:val="00EC3031"/>
    <w:rsid w:val="00EC3971"/>
    <w:rsid w:val="00EC3D63"/>
    <w:rsid w:val="00EC3DDC"/>
    <w:rsid w:val="00EC3F7B"/>
    <w:rsid w:val="00EC4018"/>
    <w:rsid w:val="00EC525C"/>
    <w:rsid w:val="00EC535F"/>
    <w:rsid w:val="00EC57BF"/>
    <w:rsid w:val="00EC59C8"/>
    <w:rsid w:val="00EC5B27"/>
    <w:rsid w:val="00EC5D8F"/>
    <w:rsid w:val="00EC6122"/>
    <w:rsid w:val="00EC61AE"/>
    <w:rsid w:val="00EC6487"/>
    <w:rsid w:val="00EC6D87"/>
    <w:rsid w:val="00EC72A4"/>
    <w:rsid w:val="00EC7747"/>
    <w:rsid w:val="00EC779F"/>
    <w:rsid w:val="00EC7F35"/>
    <w:rsid w:val="00ED02C6"/>
    <w:rsid w:val="00ED0E73"/>
    <w:rsid w:val="00ED1332"/>
    <w:rsid w:val="00ED13D8"/>
    <w:rsid w:val="00ED1673"/>
    <w:rsid w:val="00ED1ECF"/>
    <w:rsid w:val="00ED2028"/>
    <w:rsid w:val="00ED20F4"/>
    <w:rsid w:val="00ED251B"/>
    <w:rsid w:val="00ED2F1B"/>
    <w:rsid w:val="00ED31DA"/>
    <w:rsid w:val="00ED3607"/>
    <w:rsid w:val="00ED39AF"/>
    <w:rsid w:val="00ED3D2D"/>
    <w:rsid w:val="00ED4771"/>
    <w:rsid w:val="00ED49DA"/>
    <w:rsid w:val="00ED4D9C"/>
    <w:rsid w:val="00ED4E86"/>
    <w:rsid w:val="00ED5BE0"/>
    <w:rsid w:val="00ED748A"/>
    <w:rsid w:val="00ED74EF"/>
    <w:rsid w:val="00ED7947"/>
    <w:rsid w:val="00ED79A4"/>
    <w:rsid w:val="00ED7A7E"/>
    <w:rsid w:val="00ED7B63"/>
    <w:rsid w:val="00EE0178"/>
    <w:rsid w:val="00EE04DD"/>
    <w:rsid w:val="00EE06D3"/>
    <w:rsid w:val="00EE1BF7"/>
    <w:rsid w:val="00EE1E0D"/>
    <w:rsid w:val="00EE22A2"/>
    <w:rsid w:val="00EE2851"/>
    <w:rsid w:val="00EE2906"/>
    <w:rsid w:val="00EE30A2"/>
    <w:rsid w:val="00EE314C"/>
    <w:rsid w:val="00EE317A"/>
    <w:rsid w:val="00EE31FE"/>
    <w:rsid w:val="00EE3210"/>
    <w:rsid w:val="00EE3821"/>
    <w:rsid w:val="00EE397F"/>
    <w:rsid w:val="00EE3BA8"/>
    <w:rsid w:val="00EE4334"/>
    <w:rsid w:val="00EE4A0F"/>
    <w:rsid w:val="00EE4C80"/>
    <w:rsid w:val="00EE4D65"/>
    <w:rsid w:val="00EE59D3"/>
    <w:rsid w:val="00EE5A3F"/>
    <w:rsid w:val="00EE5AD1"/>
    <w:rsid w:val="00EE6141"/>
    <w:rsid w:val="00EE6664"/>
    <w:rsid w:val="00EE6965"/>
    <w:rsid w:val="00EE696E"/>
    <w:rsid w:val="00EE6C2F"/>
    <w:rsid w:val="00EE6E80"/>
    <w:rsid w:val="00EE7217"/>
    <w:rsid w:val="00EE727C"/>
    <w:rsid w:val="00EE7356"/>
    <w:rsid w:val="00EE7FF1"/>
    <w:rsid w:val="00EF013A"/>
    <w:rsid w:val="00EF0581"/>
    <w:rsid w:val="00EF0BD5"/>
    <w:rsid w:val="00EF1137"/>
    <w:rsid w:val="00EF14C2"/>
    <w:rsid w:val="00EF1D91"/>
    <w:rsid w:val="00EF22E3"/>
    <w:rsid w:val="00EF2347"/>
    <w:rsid w:val="00EF2489"/>
    <w:rsid w:val="00EF25F8"/>
    <w:rsid w:val="00EF29F0"/>
    <w:rsid w:val="00EF377F"/>
    <w:rsid w:val="00EF3A21"/>
    <w:rsid w:val="00EF3AC6"/>
    <w:rsid w:val="00EF3C15"/>
    <w:rsid w:val="00EF3E59"/>
    <w:rsid w:val="00EF4095"/>
    <w:rsid w:val="00EF4551"/>
    <w:rsid w:val="00EF524A"/>
    <w:rsid w:val="00EF5267"/>
    <w:rsid w:val="00EF52EF"/>
    <w:rsid w:val="00EF5932"/>
    <w:rsid w:val="00EF5A46"/>
    <w:rsid w:val="00EF656A"/>
    <w:rsid w:val="00EF7013"/>
    <w:rsid w:val="00EF792D"/>
    <w:rsid w:val="00EF7B7E"/>
    <w:rsid w:val="00F007A5"/>
    <w:rsid w:val="00F01720"/>
    <w:rsid w:val="00F025E1"/>
    <w:rsid w:val="00F02675"/>
    <w:rsid w:val="00F02FCF"/>
    <w:rsid w:val="00F032A6"/>
    <w:rsid w:val="00F03CAC"/>
    <w:rsid w:val="00F03EAD"/>
    <w:rsid w:val="00F03EF5"/>
    <w:rsid w:val="00F0400E"/>
    <w:rsid w:val="00F04FC2"/>
    <w:rsid w:val="00F05348"/>
    <w:rsid w:val="00F053DA"/>
    <w:rsid w:val="00F057E5"/>
    <w:rsid w:val="00F0596C"/>
    <w:rsid w:val="00F05C09"/>
    <w:rsid w:val="00F064AB"/>
    <w:rsid w:val="00F06696"/>
    <w:rsid w:val="00F06B3F"/>
    <w:rsid w:val="00F06BDA"/>
    <w:rsid w:val="00F06C2E"/>
    <w:rsid w:val="00F0701C"/>
    <w:rsid w:val="00F07A36"/>
    <w:rsid w:val="00F10A8B"/>
    <w:rsid w:val="00F10ACE"/>
    <w:rsid w:val="00F111E6"/>
    <w:rsid w:val="00F1140F"/>
    <w:rsid w:val="00F1163F"/>
    <w:rsid w:val="00F116D4"/>
    <w:rsid w:val="00F1175F"/>
    <w:rsid w:val="00F11885"/>
    <w:rsid w:val="00F11DDE"/>
    <w:rsid w:val="00F12624"/>
    <w:rsid w:val="00F127BC"/>
    <w:rsid w:val="00F12931"/>
    <w:rsid w:val="00F13136"/>
    <w:rsid w:val="00F13494"/>
    <w:rsid w:val="00F13559"/>
    <w:rsid w:val="00F1357A"/>
    <w:rsid w:val="00F13863"/>
    <w:rsid w:val="00F13C0C"/>
    <w:rsid w:val="00F13D7E"/>
    <w:rsid w:val="00F140E7"/>
    <w:rsid w:val="00F14363"/>
    <w:rsid w:val="00F14746"/>
    <w:rsid w:val="00F14777"/>
    <w:rsid w:val="00F147D0"/>
    <w:rsid w:val="00F1486B"/>
    <w:rsid w:val="00F14BA6"/>
    <w:rsid w:val="00F151AE"/>
    <w:rsid w:val="00F1594B"/>
    <w:rsid w:val="00F159E8"/>
    <w:rsid w:val="00F15D34"/>
    <w:rsid w:val="00F163FF"/>
    <w:rsid w:val="00F16750"/>
    <w:rsid w:val="00F16824"/>
    <w:rsid w:val="00F16C7D"/>
    <w:rsid w:val="00F16D1C"/>
    <w:rsid w:val="00F16E61"/>
    <w:rsid w:val="00F17169"/>
    <w:rsid w:val="00F17C66"/>
    <w:rsid w:val="00F17C67"/>
    <w:rsid w:val="00F17C6E"/>
    <w:rsid w:val="00F200BC"/>
    <w:rsid w:val="00F202B1"/>
    <w:rsid w:val="00F20599"/>
    <w:rsid w:val="00F2072B"/>
    <w:rsid w:val="00F20FFD"/>
    <w:rsid w:val="00F210F8"/>
    <w:rsid w:val="00F2122E"/>
    <w:rsid w:val="00F2131F"/>
    <w:rsid w:val="00F2157F"/>
    <w:rsid w:val="00F22422"/>
    <w:rsid w:val="00F22A51"/>
    <w:rsid w:val="00F22BE1"/>
    <w:rsid w:val="00F22E13"/>
    <w:rsid w:val="00F234EC"/>
    <w:rsid w:val="00F23707"/>
    <w:rsid w:val="00F23C0E"/>
    <w:rsid w:val="00F23F2E"/>
    <w:rsid w:val="00F24231"/>
    <w:rsid w:val="00F243E4"/>
    <w:rsid w:val="00F24D69"/>
    <w:rsid w:val="00F24EEE"/>
    <w:rsid w:val="00F25365"/>
    <w:rsid w:val="00F254CA"/>
    <w:rsid w:val="00F25A52"/>
    <w:rsid w:val="00F25FFC"/>
    <w:rsid w:val="00F262D9"/>
    <w:rsid w:val="00F263B2"/>
    <w:rsid w:val="00F26556"/>
    <w:rsid w:val="00F268BD"/>
    <w:rsid w:val="00F26A61"/>
    <w:rsid w:val="00F26FDA"/>
    <w:rsid w:val="00F276F3"/>
    <w:rsid w:val="00F2771C"/>
    <w:rsid w:val="00F27E84"/>
    <w:rsid w:val="00F3020D"/>
    <w:rsid w:val="00F303EE"/>
    <w:rsid w:val="00F30E50"/>
    <w:rsid w:val="00F3101E"/>
    <w:rsid w:val="00F3115D"/>
    <w:rsid w:val="00F316DF"/>
    <w:rsid w:val="00F31864"/>
    <w:rsid w:val="00F31D1E"/>
    <w:rsid w:val="00F31E4A"/>
    <w:rsid w:val="00F31FED"/>
    <w:rsid w:val="00F32070"/>
    <w:rsid w:val="00F320CC"/>
    <w:rsid w:val="00F327A6"/>
    <w:rsid w:val="00F33772"/>
    <w:rsid w:val="00F33787"/>
    <w:rsid w:val="00F3386A"/>
    <w:rsid w:val="00F33A4C"/>
    <w:rsid w:val="00F33ACD"/>
    <w:rsid w:val="00F33BA0"/>
    <w:rsid w:val="00F33C18"/>
    <w:rsid w:val="00F33EDC"/>
    <w:rsid w:val="00F34355"/>
    <w:rsid w:val="00F34708"/>
    <w:rsid w:val="00F351C2"/>
    <w:rsid w:val="00F359CE"/>
    <w:rsid w:val="00F35A9A"/>
    <w:rsid w:val="00F35AD8"/>
    <w:rsid w:val="00F35EF9"/>
    <w:rsid w:val="00F36247"/>
    <w:rsid w:val="00F3641E"/>
    <w:rsid w:val="00F36BE8"/>
    <w:rsid w:val="00F3720D"/>
    <w:rsid w:val="00F3726D"/>
    <w:rsid w:val="00F377C0"/>
    <w:rsid w:val="00F37886"/>
    <w:rsid w:val="00F404BA"/>
    <w:rsid w:val="00F405C5"/>
    <w:rsid w:val="00F4093F"/>
    <w:rsid w:val="00F40F09"/>
    <w:rsid w:val="00F41085"/>
    <w:rsid w:val="00F410C2"/>
    <w:rsid w:val="00F413CE"/>
    <w:rsid w:val="00F416FC"/>
    <w:rsid w:val="00F417BA"/>
    <w:rsid w:val="00F41B41"/>
    <w:rsid w:val="00F41F0F"/>
    <w:rsid w:val="00F4286E"/>
    <w:rsid w:val="00F42AF1"/>
    <w:rsid w:val="00F42C76"/>
    <w:rsid w:val="00F42E6F"/>
    <w:rsid w:val="00F43A68"/>
    <w:rsid w:val="00F43C77"/>
    <w:rsid w:val="00F43F1E"/>
    <w:rsid w:val="00F442E3"/>
    <w:rsid w:val="00F44536"/>
    <w:rsid w:val="00F44964"/>
    <w:rsid w:val="00F44BC1"/>
    <w:rsid w:val="00F4527E"/>
    <w:rsid w:val="00F45296"/>
    <w:rsid w:val="00F454BF"/>
    <w:rsid w:val="00F45B55"/>
    <w:rsid w:val="00F45D4C"/>
    <w:rsid w:val="00F45E70"/>
    <w:rsid w:val="00F45F1C"/>
    <w:rsid w:val="00F46191"/>
    <w:rsid w:val="00F46D0E"/>
    <w:rsid w:val="00F47196"/>
    <w:rsid w:val="00F47250"/>
    <w:rsid w:val="00F47B6F"/>
    <w:rsid w:val="00F47D11"/>
    <w:rsid w:val="00F47E4D"/>
    <w:rsid w:val="00F47F9B"/>
    <w:rsid w:val="00F5008F"/>
    <w:rsid w:val="00F5017E"/>
    <w:rsid w:val="00F508ED"/>
    <w:rsid w:val="00F50BDB"/>
    <w:rsid w:val="00F50BF5"/>
    <w:rsid w:val="00F5104B"/>
    <w:rsid w:val="00F5118D"/>
    <w:rsid w:val="00F511C5"/>
    <w:rsid w:val="00F517C5"/>
    <w:rsid w:val="00F5186F"/>
    <w:rsid w:val="00F51D5B"/>
    <w:rsid w:val="00F52030"/>
    <w:rsid w:val="00F52406"/>
    <w:rsid w:val="00F5248C"/>
    <w:rsid w:val="00F52B13"/>
    <w:rsid w:val="00F52CE1"/>
    <w:rsid w:val="00F535EF"/>
    <w:rsid w:val="00F53787"/>
    <w:rsid w:val="00F53DB3"/>
    <w:rsid w:val="00F547C6"/>
    <w:rsid w:val="00F547D2"/>
    <w:rsid w:val="00F548B1"/>
    <w:rsid w:val="00F54B59"/>
    <w:rsid w:val="00F54BBF"/>
    <w:rsid w:val="00F54E5B"/>
    <w:rsid w:val="00F5555E"/>
    <w:rsid w:val="00F55C07"/>
    <w:rsid w:val="00F55D49"/>
    <w:rsid w:val="00F561F8"/>
    <w:rsid w:val="00F5625B"/>
    <w:rsid w:val="00F567FC"/>
    <w:rsid w:val="00F578B9"/>
    <w:rsid w:val="00F57D43"/>
    <w:rsid w:val="00F57D77"/>
    <w:rsid w:val="00F60886"/>
    <w:rsid w:val="00F60D21"/>
    <w:rsid w:val="00F61264"/>
    <w:rsid w:val="00F616BB"/>
    <w:rsid w:val="00F616BF"/>
    <w:rsid w:val="00F61BA2"/>
    <w:rsid w:val="00F61C2D"/>
    <w:rsid w:val="00F61C92"/>
    <w:rsid w:val="00F628C9"/>
    <w:rsid w:val="00F62B89"/>
    <w:rsid w:val="00F62FB9"/>
    <w:rsid w:val="00F63176"/>
    <w:rsid w:val="00F63198"/>
    <w:rsid w:val="00F63311"/>
    <w:rsid w:val="00F63341"/>
    <w:rsid w:val="00F6456A"/>
    <w:rsid w:val="00F652CA"/>
    <w:rsid w:val="00F65785"/>
    <w:rsid w:val="00F6601D"/>
    <w:rsid w:val="00F66100"/>
    <w:rsid w:val="00F66483"/>
    <w:rsid w:val="00F66617"/>
    <w:rsid w:val="00F66A1C"/>
    <w:rsid w:val="00F67000"/>
    <w:rsid w:val="00F6725B"/>
    <w:rsid w:val="00F67B18"/>
    <w:rsid w:val="00F67BCA"/>
    <w:rsid w:val="00F703E5"/>
    <w:rsid w:val="00F70554"/>
    <w:rsid w:val="00F70947"/>
    <w:rsid w:val="00F70DF3"/>
    <w:rsid w:val="00F71222"/>
    <w:rsid w:val="00F7137A"/>
    <w:rsid w:val="00F71890"/>
    <w:rsid w:val="00F7197E"/>
    <w:rsid w:val="00F71B7B"/>
    <w:rsid w:val="00F71C89"/>
    <w:rsid w:val="00F725CE"/>
    <w:rsid w:val="00F727C5"/>
    <w:rsid w:val="00F72B51"/>
    <w:rsid w:val="00F73285"/>
    <w:rsid w:val="00F737E7"/>
    <w:rsid w:val="00F739E1"/>
    <w:rsid w:val="00F73FAC"/>
    <w:rsid w:val="00F743A7"/>
    <w:rsid w:val="00F74F2D"/>
    <w:rsid w:val="00F7517D"/>
    <w:rsid w:val="00F75190"/>
    <w:rsid w:val="00F754F1"/>
    <w:rsid w:val="00F75AB1"/>
    <w:rsid w:val="00F760B6"/>
    <w:rsid w:val="00F761C2"/>
    <w:rsid w:val="00F76350"/>
    <w:rsid w:val="00F76442"/>
    <w:rsid w:val="00F7698B"/>
    <w:rsid w:val="00F76E39"/>
    <w:rsid w:val="00F77B7D"/>
    <w:rsid w:val="00F77BEC"/>
    <w:rsid w:val="00F77F5E"/>
    <w:rsid w:val="00F80276"/>
    <w:rsid w:val="00F80501"/>
    <w:rsid w:val="00F8062C"/>
    <w:rsid w:val="00F8062E"/>
    <w:rsid w:val="00F80C33"/>
    <w:rsid w:val="00F80EC6"/>
    <w:rsid w:val="00F81159"/>
    <w:rsid w:val="00F81478"/>
    <w:rsid w:val="00F8192D"/>
    <w:rsid w:val="00F823E4"/>
    <w:rsid w:val="00F82930"/>
    <w:rsid w:val="00F82B35"/>
    <w:rsid w:val="00F8307B"/>
    <w:rsid w:val="00F835EF"/>
    <w:rsid w:val="00F83D3E"/>
    <w:rsid w:val="00F841AF"/>
    <w:rsid w:val="00F84625"/>
    <w:rsid w:val="00F84F2E"/>
    <w:rsid w:val="00F84F64"/>
    <w:rsid w:val="00F84F8A"/>
    <w:rsid w:val="00F858E4"/>
    <w:rsid w:val="00F85CAA"/>
    <w:rsid w:val="00F865F6"/>
    <w:rsid w:val="00F86863"/>
    <w:rsid w:val="00F868BA"/>
    <w:rsid w:val="00F86EAB"/>
    <w:rsid w:val="00F904B7"/>
    <w:rsid w:val="00F90B91"/>
    <w:rsid w:val="00F914B1"/>
    <w:rsid w:val="00F915AF"/>
    <w:rsid w:val="00F9164B"/>
    <w:rsid w:val="00F916C3"/>
    <w:rsid w:val="00F91CA6"/>
    <w:rsid w:val="00F9238C"/>
    <w:rsid w:val="00F923FB"/>
    <w:rsid w:val="00F92D89"/>
    <w:rsid w:val="00F9306F"/>
    <w:rsid w:val="00F9327D"/>
    <w:rsid w:val="00F94921"/>
    <w:rsid w:val="00F95137"/>
    <w:rsid w:val="00F9563D"/>
    <w:rsid w:val="00F958AF"/>
    <w:rsid w:val="00F95914"/>
    <w:rsid w:val="00F95B0B"/>
    <w:rsid w:val="00F960AE"/>
    <w:rsid w:val="00F961A3"/>
    <w:rsid w:val="00F96218"/>
    <w:rsid w:val="00F965BB"/>
    <w:rsid w:val="00F96BA1"/>
    <w:rsid w:val="00F96C89"/>
    <w:rsid w:val="00F96E59"/>
    <w:rsid w:val="00F971A6"/>
    <w:rsid w:val="00FA0196"/>
    <w:rsid w:val="00FA03C2"/>
    <w:rsid w:val="00FA046D"/>
    <w:rsid w:val="00FA055E"/>
    <w:rsid w:val="00FA05B9"/>
    <w:rsid w:val="00FA08CE"/>
    <w:rsid w:val="00FA0B59"/>
    <w:rsid w:val="00FA117F"/>
    <w:rsid w:val="00FA1311"/>
    <w:rsid w:val="00FA13B1"/>
    <w:rsid w:val="00FA1772"/>
    <w:rsid w:val="00FA1AD8"/>
    <w:rsid w:val="00FA1F12"/>
    <w:rsid w:val="00FA2171"/>
    <w:rsid w:val="00FA2252"/>
    <w:rsid w:val="00FA27FF"/>
    <w:rsid w:val="00FA28B9"/>
    <w:rsid w:val="00FA2915"/>
    <w:rsid w:val="00FA2A3E"/>
    <w:rsid w:val="00FA2E28"/>
    <w:rsid w:val="00FA30A2"/>
    <w:rsid w:val="00FA33D1"/>
    <w:rsid w:val="00FA46EB"/>
    <w:rsid w:val="00FA49FF"/>
    <w:rsid w:val="00FA4D39"/>
    <w:rsid w:val="00FA4DCE"/>
    <w:rsid w:val="00FA5E17"/>
    <w:rsid w:val="00FA6511"/>
    <w:rsid w:val="00FA69E2"/>
    <w:rsid w:val="00FA6B47"/>
    <w:rsid w:val="00FA6C78"/>
    <w:rsid w:val="00FA6F43"/>
    <w:rsid w:val="00FA7C4A"/>
    <w:rsid w:val="00FB0143"/>
    <w:rsid w:val="00FB01DE"/>
    <w:rsid w:val="00FB04BC"/>
    <w:rsid w:val="00FB09EC"/>
    <w:rsid w:val="00FB0F9B"/>
    <w:rsid w:val="00FB1084"/>
    <w:rsid w:val="00FB10F1"/>
    <w:rsid w:val="00FB15E5"/>
    <w:rsid w:val="00FB1664"/>
    <w:rsid w:val="00FB1F1E"/>
    <w:rsid w:val="00FB22DD"/>
    <w:rsid w:val="00FB23F3"/>
    <w:rsid w:val="00FB295B"/>
    <w:rsid w:val="00FB2C33"/>
    <w:rsid w:val="00FB301F"/>
    <w:rsid w:val="00FB352B"/>
    <w:rsid w:val="00FB3806"/>
    <w:rsid w:val="00FB3DAD"/>
    <w:rsid w:val="00FB3E41"/>
    <w:rsid w:val="00FB40B2"/>
    <w:rsid w:val="00FB448B"/>
    <w:rsid w:val="00FB4529"/>
    <w:rsid w:val="00FB4789"/>
    <w:rsid w:val="00FB4A78"/>
    <w:rsid w:val="00FB4F34"/>
    <w:rsid w:val="00FB5136"/>
    <w:rsid w:val="00FB517B"/>
    <w:rsid w:val="00FB52A3"/>
    <w:rsid w:val="00FB59ED"/>
    <w:rsid w:val="00FB5E0D"/>
    <w:rsid w:val="00FB62E9"/>
    <w:rsid w:val="00FB63D8"/>
    <w:rsid w:val="00FB65FB"/>
    <w:rsid w:val="00FB6B83"/>
    <w:rsid w:val="00FB7493"/>
    <w:rsid w:val="00FB7576"/>
    <w:rsid w:val="00FB78AC"/>
    <w:rsid w:val="00FB7FAB"/>
    <w:rsid w:val="00FC0A87"/>
    <w:rsid w:val="00FC0AC5"/>
    <w:rsid w:val="00FC1209"/>
    <w:rsid w:val="00FC1402"/>
    <w:rsid w:val="00FC22DD"/>
    <w:rsid w:val="00FC275C"/>
    <w:rsid w:val="00FC2BF8"/>
    <w:rsid w:val="00FC2C56"/>
    <w:rsid w:val="00FC383D"/>
    <w:rsid w:val="00FC39AF"/>
    <w:rsid w:val="00FC3B00"/>
    <w:rsid w:val="00FC3BCD"/>
    <w:rsid w:val="00FC3D1F"/>
    <w:rsid w:val="00FC4201"/>
    <w:rsid w:val="00FC479D"/>
    <w:rsid w:val="00FC4CDB"/>
    <w:rsid w:val="00FC6158"/>
    <w:rsid w:val="00FC6CFB"/>
    <w:rsid w:val="00FC6D8A"/>
    <w:rsid w:val="00FC74EB"/>
    <w:rsid w:val="00FC764D"/>
    <w:rsid w:val="00FC7A7F"/>
    <w:rsid w:val="00FC7E49"/>
    <w:rsid w:val="00FC7F6E"/>
    <w:rsid w:val="00FD0546"/>
    <w:rsid w:val="00FD0A07"/>
    <w:rsid w:val="00FD15C5"/>
    <w:rsid w:val="00FD23DE"/>
    <w:rsid w:val="00FD2680"/>
    <w:rsid w:val="00FD291E"/>
    <w:rsid w:val="00FD29AF"/>
    <w:rsid w:val="00FD3CAF"/>
    <w:rsid w:val="00FD464A"/>
    <w:rsid w:val="00FD4CA0"/>
    <w:rsid w:val="00FD4CFC"/>
    <w:rsid w:val="00FD4FD0"/>
    <w:rsid w:val="00FD5491"/>
    <w:rsid w:val="00FD56E3"/>
    <w:rsid w:val="00FD5743"/>
    <w:rsid w:val="00FD57D8"/>
    <w:rsid w:val="00FD5E3C"/>
    <w:rsid w:val="00FD6495"/>
    <w:rsid w:val="00FD64CF"/>
    <w:rsid w:val="00FD6FE3"/>
    <w:rsid w:val="00FD709F"/>
    <w:rsid w:val="00FD70BD"/>
    <w:rsid w:val="00FD725E"/>
    <w:rsid w:val="00FD7438"/>
    <w:rsid w:val="00FD78DE"/>
    <w:rsid w:val="00FD7FBA"/>
    <w:rsid w:val="00FD7FF8"/>
    <w:rsid w:val="00FE0004"/>
    <w:rsid w:val="00FE0977"/>
    <w:rsid w:val="00FE0B58"/>
    <w:rsid w:val="00FE11EC"/>
    <w:rsid w:val="00FE14C3"/>
    <w:rsid w:val="00FE1602"/>
    <w:rsid w:val="00FE1713"/>
    <w:rsid w:val="00FE1BCE"/>
    <w:rsid w:val="00FE1BE9"/>
    <w:rsid w:val="00FE1C2E"/>
    <w:rsid w:val="00FE222B"/>
    <w:rsid w:val="00FE247F"/>
    <w:rsid w:val="00FE25BB"/>
    <w:rsid w:val="00FE2B28"/>
    <w:rsid w:val="00FE2BAA"/>
    <w:rsid w:val="00FE2C14"/>
    <w:rsid w:val="00FE2C67"/>
    <w:rsid w:val="00FE2F76"/>
    <w:rsid w:val="00FE3100"/>
    <w:rsid w:val="00FE3297"/>
    <w:rsid w:val="00FE337D"/>
    <w:rsid w:val="00FE3432"/>
    <w:rsid w:val="00FE3B91"/>
    <w:rsid w:val="00FE3C1F"/>
    <w:rsid w:val="00FE3D9E"/>
    <w:rsid w:val="00FE3EBC"/>
    <w:rsid w:val="00FE408B"/>
    <w:rsid w:val="00FE4478"/>
    <w:rsid w:val="00FE4763"/>
    <w:rsid w:val="00FE49DF"/>
    <w:rsid w:val="00FE49F4"/>
    <w:rsid w:val="00FE5802"/>
    <w:rsid w:val="00FE5EC5"/>
    <w:rsid w:val="00FE6388"/>
    <w:rsid w:val="00FE6487"/>
    <w:rsid w:val="00FE6C6B"/>
    <w:rsid w:val="00FE7736"/>
    <w:rsid w:val="00FE7FEE"/>
    <w:rsid w:val="00FF018D"/>
    <w:rsid w:val="00FF0295"/>
    <w:rsid w:val="00FF0648"/>
    <w:rsid w:val="00FF0763"/>
    <w:rsid w:val="00FF0C15"/>
    <w:rsid w:val="00FF1903"/>
    <w:rsid w:val="00FF1DB3"/>
    <w:rsid w:val="00FF1EA9"/>
    <w:rsid w:val="00FF2319"/>
    <w:rsid w:val="00FF26F6"/>
    <w:rsid w:val="00FF295A"/>
    <w:rsid w:val="00FF2A07"/>
    <w:rsid w:val="00FF2B8B"/>
    <w:rsid w:val="00FF3023"/>
    <w:rsid w:val="00FF3069"/>
    <w:rsid w:val="00FF3674"/>
    <w:rsid w:val="00FF3787"/>
    <w:rsid w:val="00FF3A68"/>
    <w:rsid w:val="00FF3E84"/>
    <w:rsid w:val="00FF40B8"/>
    <w:rsid w:val="00FF4389"/>
    <w:rsid w:val="00FF4616"/>
    <w:rsid w:val="00FF48C2"/>
    <w:rsid w:val="00FF48DF"/>
    <w:rsid w:val="00FF48FD"/>
    <w:rsid w:val="00FF4937"/>
    <w:rsid w:val="00FF4A52"/>
    <w:rsid w:val="00FF4AAB"/>
    <w:rsid w:val="00FF4DE5"/>
    <w:rsid w:val="00FF5468"/>
    <w:rsid w:val="00FF5AB6"/>
    <w:rsid w:val="00FF5D72"/>
    <w:rsid w:val="00FF66FB"/>
    <w:rsid w:val="00FF73CC"/>
    <w:rsid w:val="00FF7695"/>
    <w:rsid w:val="00FF7739"/>
    <w:rsid w:val="00FF7A27"/>
    <w:rsid w:val="00FF7CDD"/>
    <w:rsid w:val="0112421C"/>
    <w:rsid w:val="011F7C12"/>
    <w:rsid w:val="01340066"/>
    <w:rsid w:val="01434ED2"/>
    <w:rsid w:val="014B0130"/>
    <w:rsid w:val="01513496"/>
    <w:rsid w:val="01536D50"/>
    <w:rsid w:val="015731D7"/>
    <w:rsid w:val="01641F10"/>
    <w:rsid w:val="017D6E25"/>
    <w:rsid w:val="01812300"/>
    <w:rsid w:val="01B970E9"/>
    <w:rsid w:val="01F8428B"/>
    <w:rsid w:val="020F1E7F"/>
    <w:rsid w:val="02141061"/>
    <w:rsid w:val="02342DFE"/>
    <w:rsid w:val="024003ED"/>
    <w:rsid w:val="02483716"/>
    <w:rsid w:val="024B3156"/>
    <w:rsid w:val="026666A2"/>
    <w:rsid w:val="027359B0"/>
    <w:rsid w:val="02741923"/>
    <w:rsid w:val="02744F1C"/>
    <w:rsid w:val="027A68FD"/>
    <w:rsid w:val="027C4941"/>
    <w:rsid w:val="028B0E45"/>
    <w:rsid w:val="028F3CFD"/>
    <w:rsid w:val="02935083"/>
    <w:rsid w:val="029929D6"/>
    <w:rsid w:val="02BC4652"/>
    <w:rsid w:val="02C13030"/>
    <w:rsid w:val="02CE7A4B"/>
    <w:rsid w:val="030F0B81"/>
    <w:rsid w:val="03171C41"/>
    <w:rsid w:val="0324166B"/>
    <w:rsid w:val="03341B86"/>
    <w:rsid w:val="035B5C9F"/>
    <w:rsid w:val="035C18A9"/>
    <w:rsid w:val="037D056A"/>
    <w:rsid w:val="0382655B"/>
    <w:rsid w:val="03886EB9"/>
    <w:rsid w:val="03982295"/>
    <w:rsid w:val="03A03C49"/>
    <w:rsid w:val="03A0453E"/>
    <w:rsid w:val="03B94D2A"/>
    <w:rsid w:val="03D76C84"/>
    <w:rsid w:val="03E82AE3"/>
    <w:rsid w:val="03F73EA2"/>
    <w:rsid w:val="04291C41"/>
    <w:rsid w:val="043B51C4"/>
    <w:rsid w:val="04464DE5"/>
    <w:rsid w:val="04511641"/>
    <w:rsid w:val="046C0DB4"/>
    <w:rsid w:val="047A7671"/>
    <w:rsid w:val="048A14F8"/>
    <w:rsid w:val="048E7480"/>
    <w:rsid w:val="048F16A3"/>
    <w:rsid w:val="04BE5235"/>
    <w:rsid w:val="04C60813"/>
    <w:rsid w:val="04C9634B"/>
    <w:rsid w:val="04D3750C"/>
    <w:rsid w:val="04E1305A"/>
    <w:rsid w:val="04E215FB"/>
    <w:rsid w:val="04E5089E"/>
    <w:rsid w:val="04F52093"/>
    <w:rsid w:val="05254341"/>
    <w:rsid w:val="05385E8A"/>
    <w:rsid w:val="0539612B"/>
    <w:rsid w:val="0544491F"/>
    <w:rsid w:val="054B35C3"/>
    <w:rsid w:val="055D78DE"/>
    <w:rsid w:val="055F0EA3"/>
    <w:rsid w:val="056129CE"/>
    <w:rsid w:val="057863DF"/>
    <w:rsid w:val="05B13C33"/>
    <w:rsid w:val="05B32CCB"/>
    <w:rsid w:val="05CA5D16"/>
    <w:rsid w:val="05DA14F0"/>
    <w:rsid w:val="05E4432E"/>
    <w:rsid w:val="05E85F24"/>
    <w:rsid w:val="060E5AC4"/>
    <w:rsid w:val="062B501D"/>
    <w:rsid w:val="06365CC1"/>
    <w:rsid w:val="06513A3F"/>
    <w:rsid w:val="066360E5"/>
    <w:rsid w:val="0687249A"/>
    <w:rsid w:val="06A55C06"/>
    <w:rsid w:val="06B428D3"/>
    <w:rsid w:val="06B817DE"/>
    <w:rsid w:val="06D26125"/>
    <w:rsid w:val="06EA4E65"/>
    <w:rsid w:val="071E18BE"/>
    <w:rsid w:val="07422897"/>
    <w:rsid w:val="07425F25"/>
    <w:rsid w:val="0748563A"/>
    <w:rsid w:val="07960C94"/>
    <w:rsid w:val="07A41528"/>
    <w:rsid w:val="07A64CDD"/>
    <w:rsid w:val="07B50DE7"/>
    <w:rsid w:val="07C632DB"/>
    <w:rsid w:val="07CA5AA2"/>
    <w:rsid w:val="07CC5BF4"/>
    <w:rsid w:val="07E40D71"/>
    <w:rsid w:val="07F36EE9"/>
    <w:rsid w:val="080B5C5D"/>
    <w:rsid w:val="08196270"/>
    <w:rsid w:val="083070B3"/>
    <w:rsid w:val="086B6281"/>
    <w:rsid w:val="08823FC7"/>
    <w:rsid w:val="08850D98"/>
    <w:rsid w:val="088B1A3B"/>
    <w:rsid w:val="089861AC"/>
    <w:rsid w:val="08A45B93"/>
    <w:rsid w:val="08B20148"/>
    <w:rsid w:val="08E911CA"/>
    <w:rsid w:val="0906369C"/>
    <w:rsid w:val="091C35E1"/>
    <w:rsid w:val="091E776B"/>
    <w:rsid w:val="09413FF6"/>
    <w:rsid w:val="0961048B"/>
    <w:rsid w:val="097F1A8E"/>
    <w:rsid w:val="0983508D"/>
    <w:rsid w:val="09933D7D"/>
    <w:rsid w:val="099B21CD"/>
    <w:rsid w:val="09A02311"/>
    <w:rsid w:val="09A602D3"/>
    <w:rsid w:val="09AE1C56"/>
    <w:rsid w:val="09B201B2"/>
    <w:rsid w:val="09C56D46"/>
    <w:rsid w:val="09D51FB2"/>
    <w:rsid w:val="09E27C67"/>
    <w:rsid w:val="0A3D73D7"/>
    <w:rsid w:val="0A495ADF"/>
    <w:rsid w:val="0A5D5467"/>
    <w:rsid w:val="0A667010"/>
    <w:rsid w:val="0A833896"/>
    <w:rsid w:val="0A8B1613"/>
    <w:rsid w:val="0A92678F"/>
    <w:rsid w:val="0A9C6D9E"/>
    <w:rsid w:val="0AA321C8"/>
    <w:rsid w:val="0AAF5E4E"/>
    <w:rsid w:val="0AF81853"/>
    <w:rsid w:val="0B0A0E75"/>
    <w:rsid w:val="0B3B7C9A"/>
    <w:rsid w:val="0B441BFC"/>
    <w:rsid w:val="0B59623E"/>
    <w:rsid w:val="0B6D620D"/>
    <w:rsid w:val="0B796EAF"/>
    <w:rsid w:val="0B7A18F4"/>
    <w:rsid w:val="0B7C4F80"/>
    <w:rsid w:val="0B807E47"/>
    <w:rsid w:val="0B944CAE"/>
    <w:rsid w:val="0B9E761D"/>
    <w:rsid w:val="0BA7074D"/>
    <w:rsid w:val="0BAE525C"/>
    <w:rsid w:val="0BB60A6E"/>
    <w:rsid w:val="0BDA7E58"/>
    <w:rsid w:val="0C140E7C"/>
    <w:rsid w:val="0C1A1229"/>
    <w:rsid w:val="0C2352D8"/>
    <w:rsid w:val="0C2E0529"/>
    <w:rsid w:val="0C347E4E"/>
    <w:rsid w:val="0C4B36F3"/>
    <w:rsid w:val="0C4C1705"/>
    <w:rsid w:val="0C4D767B"/>
    <w:rsid w:val="0C55226D"/>
    <w:rsid w:val="0C777D5C"/>
    <w:rsid w:val="0C7B294C"/>
    <w:rsid w:val="0C7C39FA"/>
    <w:rsid w:val="0C80052D"/>
    <w:rsid w:val="0CA618B6"/>
    <w:rsid w:val="0CB6724A"/>
    <w:rsid w:val="0CCB309B"/>
    <w:rsid w:val="0CE1175C"/>
    <w:rsid w:val="0D02519E"/>
    <w:rsid w:val="0D065260"/>
    <w:rsid w:val="0D223B8E"/>
    <w:rsid w:val="0D2C1A62"/>
    <w:rsid w:val="0D321526"/>
    <w:rsid w:val="0D366708"/>
    <w:rsid w:val="0D3815C4"/>
    <w:rsid w:val="0D435D5A"/>
    <w:rsid w:val="0D4B487C"/>
    <w:rsid w:val="0D5D5B8F"/>
    <w:rsid w:val="0D756EC3"/>
    <w:rsid w:val="0D87364F"/>
    <w:rsid w:val="0DA00E0E"/>
    <w:rsid w:val="0DB576C7"/>
    <w:rsid w:val="0DB823B6"/>
    <w:rsid w:val="0DD84611"/>
    <w:rsid w:val="0DE117F8"/>
    <w:rsid w:val="0DE32241"/>
    <w:rsid w:val="0DE70D83"/>
    <w:rsid w:val="0E13229D"/>
    <w:rsid w:val="0E167F26"/>
    <w:rsid w:val="0E1A08CC"/>
    <w:rsid w:val="0E2874BE"/>
    <w:rsid w:val="0E34320E"/>
    <w:rsid w:val="0E4B7ACD"/>
    <w:rsid w:val="0E4D26DE"/>
    <w:rsid w:val="0E7A5C5E"/>
    <w:rsid w:val="0E7C789C"/>
    <w:rsid w:val="0E823EEB"/>
    <w:rsid w:val="0E8A37FE"/>
    <w:rsid w:val="0E8F2E40"/>
    <w:rsid w:val="0E9953A0"/>
    <w:rsid w:val="0E9A183A"/>
    <w:rsid w:val="0ED347FF"/>
    <w:rsid w:val="0F286C6E"/>
    <w:rsid w:val="0F397272"/>
    <w:rsid w:val="0F3C6890"/>
    <w:rsid w:val="0F4C2668"/>
    <w:rsid w:val="0F602BDF"/>
    <w:rsid w:val="0F780BD4"/>
    <w:rsid w:val="0FB0486B"/>
    <w:rsid w:val="0FB7580F"/>
    <w:rsid w:val="0FBD7D08"/>
    <w:rsid w:val="0FD639D4"/>
    <w:rsid w:val="0FF7567C"/>
    <w:rsid w:val="102B4ABD"/>
    <w:rsid w:val="102B5715"/>
    <w:rsid w:val="105F5010"/>
    <w:rsid w:val="106C7084"/>
    <w:rsid w:val="10900803"/>
    <w:rsid w:val="10914D69"/>
    <w:rsid w:val="10B80AA6"/>
    <w:rsid w:val="10D01E79"/>
    <w:rsid w:val="10DA257C"/>
    <w:rsid w:val="110518B3"/>
    <w:rsid w:val="110929B4"/>
    <w:rsid w:val="111152F6"/>
    <w:rsid w:val="111567C9"/>
    <w:rsid w:val="111D6EC5"/>
    <w:rsid w:val="11347795"/>
    <w:rsid w:val="113C3B44"/>
    <w:rsid w:val="113F3D7C"/>
    <w:rsid w:val="1149661C"/>
    <w:rsid w:val="114B34E2"/>
    <w:rsid w:val="114B7836"/>
    <w:rsid w:val="11537B81"/>
    <w:rsid w:val="115F3328"/>
    <w:rsid w:val="116C62A7"/>
    <w:rsid w:val="116C760E"/>
    <w:rsid w:val="116D376C"/>
    <w:rsid w:val="117F173B"/>
    <w:rsid w:val="1181731A"/>
    <w:rsid w:val="11947C72"/>
    <w:rsid w:val="119F3C10"/>
    <w:rsid w:val="11A235C8"/>
    <w:rsid w:val="11AC7BAF"/>
    <w:rsid w:val="11B11EA2"/>
    <w:rsid w:val="11BA7E1D"/>
    <w:rsid w:val="11BD75F7"/>
    <w:rsid w:val="11DD7AE7"/>
    <w:rsid w:val="12071DDA"/>
    <w:rsid w:val="12253EC4"/>
    <w:rsid w:val="123716D5"/>
    <w:rsid w:val="123D680C"/>
    <w:rsid w:val="1243488E"/>
    <w:rsid w:val="125573CF"/>
    <w:rsid w:val="12576BD9"/>
    <w:rsid w:val="126F3F8E"/>
    <w:rsid w:val="127169CD"/>
    <w:rsid w:val="12725A92"/>
    <w:rsid w:val="127724C6"/>
    <w:rsid w:val="128824D4"/>
    <w:rsid w:val="12A40B58"/>
    <w:rsid w:val="12A62EE7"/>
    <w:rsid w:val="12A63F54"/>
    <w:rsid w:val="12AA401B"/>
    <w:rsid w:val="12B4123A"/>
    <w:rsid w:val="12C56180"/>
    <w:rsid w:val="12E6198F"/>
    <w:rsid w:val="12EC0AB1"/>
    <w:rsid w:val="12EC0C44"/>
    <w:rsid w:val="13136497"/>
    <w:rsid w:val="131364B9"/>
    <w:rsid w:val="13257327"/>
    <w:rsid w:val="13274D28"/>
    <w:rsid w:val="13310DDB"/>
    <w:rsid w:val="13493F6C"/>
    <w:rsid w:val="135A12EC"/>
    <w:rsid w:val="13692BE8"/>
    <w:rsid w:val="136A70E5"/>
    <w:rsid w:val="138646D5"/>
    <w:rsid w:val="138B743E"/>
    <w:rsid w:val="13950F73"/>
    <w:rsid w:val="1398501A"/>
    <w:rsid w:val="13BF3321"/>
    <w:rsid w:val="13C00451"/>
    <w:rsid w:val="13C71227"/>
    <w:rsid w:val="13D2401F"/>
    <w:rsid w:val="13E6286A"/>
    <w:rsid w:val="140E04C2"/>
    <w:rsid w:val="14182550"/>
    <w:rsid w:val="14242A95"/>
    <w:rsid w:val="142952BE"/>
    <w:rsid w:val="14352F0F"/>
    <w:rsid w:val="14391FF1"/>
    <w:rsid w:val="144C1FCE"/>
    <w:rsid w:val="14506B4C"/>
    <w:rsid w:val="14553B17"/>
    <w:rsid w:val="14576206"/>
    <w:rsid w:val="14636234"/>
    <w:rsid w:val="146440AD"/>
    <w:rsid w:val="146A52B5"/>
    <w:rsid w:val="148C4C35"/>
    <w:rsid w:val="148F5EF3"/>
    <w:rsid w:val="149D1179"/>
    <w:rsid w:val="14E51A2F"/>
    <w:rsid w:val="14EA44FF"/>
    <w:rsid w:val="150736AB"/>
    <w:rsid w:val="151A5E48"/>
    <w:rsid w:val="151F5C7E"/>
    <w:rsid w:val="15350179"/>
    <w:rsid w:val="153B6D4E"/>
    <w:rsid w:val="15550F3A"/>
    <w:rsid w:val="156A617D"/>
    <w:rsid w:val="15781448"/>
    <w:rsid w:val="157E657E"/>
    <w:rsid w:val="158707E7"/>
    <w:rsid w:val="159709D5"/>
    <w:rsid w:val="15A22EF7"/>
    <w:rsid w:val="15AC3F4A"/>
    <w:rsid w:val="15B02997"/>
    <w:rsid w:val="15B538FD"/>
    <w:rsid w:val="15DD727F"/>
    <w:rsid w:val="15E73A9A"/>
    <w:rsid w:val="15FD24BC"/>
    <w:rsid w:val="16166BCC"/>
    <w:rsid w:val="16293FEE"/>
    <w:rsid w:val="162A2BFC"/>
    <w:rsid w:val="162C63C5"/>
    <w:rsid w:val="163E505F"/>
    <w:rsid w:val="16403727"/>
    <w:rsid w:val="1640484B"/>
    <w:rsid w:val="164A5359"/>
    <w:rsid w:val="16635554"/>
    <w:rsid w:val="166C5EA6"/>
    <w:rsid w:val="16702E8A"/>
    <w:rsid w:val="16895CFA"/>
    <w:rsid w:val="169179FE"/>
    <w:rsid w:val="16961E6F"/>
    <w:rsid w:val="16AA63D8"/>
    <w:rsid w:val="16C86822"/>
    <w:rsid w:val="16D110B2"/>
    <w:rsid w:val="16D87AF7"/>
    <w:rsid w:val="16D97834"/>
    <w:rsid w:val="16DA4A8D"/>
    <w:rsid w:val="1704150D"/>
    <w:rsid w:val="172648DD"/>
    <w:rsid w:val="17282461"/>
    <w:rsid w:val="172F3D86"/>
    <w:rsid w:val="173853FA"/>
    <w:rsid w:val="1758614C"/>
    <w:rsid w:val="17590723"/>
    <w:rsid w:val="177A19BF"/>
    <w:rsid w:val="177A2C34"/>
    <w:rsid w:val="177A2EB2"/>
    <w:rsid w:val="179A78B4"/>
    <w:rsid w:val="179B71FC"/>
    <w:rsid w:val="17B35510"/>
    <w:rsid w:val="17B9555F"/>
    <w:rsid w:val="17C7664C"/>
    <w:rsid w:val="17C818F1"/>
    <w:rsid w:val="17E60E03"/>
    <w:rsid w:val="17FD2EE4"/>
    <w:rsid w:val="17FF4A74"/>
    <w:rsid w:val="181B6B7D"/>
    <w:rsid w:val="182B50FE"/>
    <w:rsid w:val="182D2885"/>
    <w:rsid w:val="184574A7"/>
    <w:rsid w:val="18467B1E"/>
    <w:rsid w:val="18683400"/>
    <w:rsid w:val="186D23F0"/>
    <w:rsid w:val="187D1F4B"/>
    <w:rsid w:val="187E1C34"/>
    <w:rsid w:val="189060EE"/>
    <w:rsid w:val="18950B34"/>
    <w:rsid w:val="18A87F58"/>
    <w:rsid w:val="18AA7AD7"/>
    <w:rsid w:val="18BA436F"/>
    <w:rsid w:val="18D255B5"/>
    <w:rsid w:val="18D349E9"/>
    <w:rsid w:val="18DD75CD"/>
    <w:rsid w:val="190D79B4"/>
    <w:rsid w:val="190F108A"/>
    <w:rsid w:val="192175F0"/>
    <w:rsid w:val="19277798"/>
    <w:rsid w:val="19294DC7"/>
    <w:rsid w:val="19305B35"/>
    <w:rsid w:val="193657AF"/>
    <w:rsid w:val="193F0A7F"/>
    <w:rsid w:val="19417E12"/>
    <w:rsid w:val="195073B8"/>
    <w:rsid w:val="1966231A"/>
    <w:rsid w:val="196C4224"/>
    <w:rsid w:val="1973511B"/>
    <w:rsid w:val="19761ECC"/>
    <w:rsid w:val="1982733B"/>
    <w:rsid w:val="19851039"/>
    <w:rsid w:val="198760B6"/>
    <w:rsid w:val="19913EEB"/>
    <w:rsid w:val="19AC6F6D"/>
    <w:rsid w:val="19C27885"/>
    <w:rsid w:val="19C6253C"/>
    <w:rsid w:val="19C760E5"/>
    <w:rsid w:val="19CB7069"/>
    <w:rsid w:val="19DD081D"/>
    <w:rsid w:val="19E0520B"/>
    <w:rsid w:val="19E858A5"/>
    <w:rsid w:val="19EE48A8"/>
    <w:rsid w:val="19EE5B6B"/>
    <w:rsid w:val="19FD3453"/>
    <w:rsid w:val="1A044015"/>
    <w:rsid w:val="1A1608F4"/>
    <w:rsid w:val="1A3A3C70"/>
    <w:rsid w:val="1A3F5AEE"/>
    <w:rsid w:val="1A4F11AB"/>
    <w:rsid w:val="1A501B9D"/>
    <w:rsid w:val="1A5C3781"/>
    <w:rsid w:val="1A63648C"/>
    <w:rsid w:val="1A671A52"/>
    <w:rsid w:val="1A7F55C8"/>
    <w:rsid w:val="1A8055ED"/>
    <w:rsid w:val="1A92454B"/>
    <w:rsid w:val="1A941EB8"/>
    <w:rsid w:val="1AAC02BE"/>
    <w:rsid w:val="1AAF5000"/>
    <w:rsid w:val="1ACE16AE"/>
    <w:rsid w:val="1AD56898"/>
    <w:rsid w:val="1AE12422"/>
    <w:rsid w:val="1AE903DE"/>
    <w:rsid w:val="1AF05B75"/>
    <w:rsid w:val="1AF40B63"/>
    <w:rsid w:val="1AF67D42"/>
    <w:rsid w:val="1B007BB3"/>
    <w:rsid w:val="1B210819"/>
    <w:rsid w:val="1B4E2554"/>
    <w:rsid w:val="1B4E2F5F"/>
    <w:rsid w:val="1B5B2C30"/>
    <w:rsid w:val="1B765944"/>
    <w:rsid w:val="1B910185"/>
    <w:rsid w:val="1BA2256C"/>
    <w:rsid w:val="1BAE312C"/>
    <w:rsid w:val="1BAE3D52"/>
    <w:rsid w:val="1BB4398C"/>
    <w:rsid w:val="1BC27F00"/>
    <w:rsid w:val="1BD7659F"/>
    <w:rsid w:val="1BD97D92"/>
    <w:rsid w:val="1BED52BE"/>
    <w:rsid w:val="1BF30B9C"/>
    <w:rsid w:val="1C085063"/>
    <w:rsid w:val="1C116575"/>
    <w:rsid w:val="1C252414"/>
    <w:rsid w:val="1C32056D"/>
    <w:rsid w:val="1C402F53"/>
    <w:rsid w:val="1C4549CC"/>
    <w:rsid w:val="1C47204B"/>
    <w:rsid w:val="1C472569"/>
    <w:rsid w:val="1C5578CD"/>
    <w:rsid w:val="1C5B5D56"/>
    <w:rsid w:val="1C6539A0"/>
    <w:rsid w:val="1C6C1C67"/>
    <w:rsid w:val="1C736D54"/>
    <w:rsid w:val="1C7B167E"/>
    <w:rsid w:val="1C7D3276"/>
    <w:rsid w:val="1C88212F"/>
    <w:rsid w:val="1C8E5108"/>
    <w:rsid w:val="1CB14198"/>
    <w:rsid w:val="1CD11B94"/>
    <w:rsid w:val="1CD228F2"/>
    <w:rsid w:val="1CDC3771"/>
    <w:rsid w:val="1CE65739"/>
    <w:rsid w:val="1CE80B8A"/>
    <w:rsid w:val="1CFE4443"/>
    <w:rsid w:val="1D0739BB"/>
    <w:rsid w:val="1D1D1DD0"/>
    <w:rsid w:val="1D364225"/>
    <w:rsid w:val="1D385BE3"/>
    <w:rsid w:val="1D5E76D2"/>
    <w:rsid w:val="1D6E5B96"/>
    <w:rsid w:val="1D723C87"/>
    <w:rsid w:val="1D7762A3"/>
    <w:rsid w:val="1D7A5E3D"/>
    <w:rsid w:val="1D7D0FFF"/>
    <w:rsid w:val="1D916217"/>
    <w:rsid w:val="1DA17555"/>
    <w:rsid w:val="1DA42192"/>
    <w:rsid w:val="1DAC5A8E"/>
    <w:rsid w:val="1DAD3DA9"/>
    <w:rsid w:val="1DAF7BB0"/>
    <w:rsid w:val="1DD97686"/>
    <w:rsid w:val="1DF7658D"/>
    <w:rsid w:val="1DFE5382"/>
    <w:rsid w:val="1E016B1E"/>
    <w:rsid w:val="1E036B66"/>
    <w:rsid w:val="1E2B1B01"/>
    <w:rsid w:val="1E4B7128"/>
    <w:rsid w:val="1E596FD0"/>
    <w:rsid w:val="1E650D34"/>
    <w:rsid w:val="1E690B92"/>
    <w:rsid w:val="1E760F4C"/>
    <w:rsid w:val="1E9975C0"/>
    <w:rsid w:val="1EC12C14"/>
    <w:rsid w:val="1ED56D29"/>
    <w:rsid w:val="1EEA1521"/>
    <w:rsid w:val="1F276344"/>
    <w:rsid w:val="1F2E45B1"/>
    <w:rsid w:val="1F2F5DBA"/>
    <w:rsid w:val="1F4F5B56"/>
    <w:rsid w:val="1F63176D"/>
    <w:rsid w:val="1F637B50"/>
    <w:rsid w:val="1F7E7698"/>
    <w:rsid w:val="1F815B46"/>
    <w:rsid w:val="1F950675"/>
    <w:rsid w:val="1FB52573"/>
    <w:rsid w:val="1FC308C8"/>
    <w:rsid w:val="1FC329F0"/>
    <w:rsid w:val="1FE7487E"/>
    <w:rsid w:val="1FEA51EF"/>
    <w:rsid w:val="1FF307D1"/>
    <w:rsid w:val="201C7021"/>
    <w:rsid w:val="201E527D"/>
    <w:rsid w:val="201F1C23"/>
    <w:rsid w:val="2028663B"/>
    <w:rsid w:val="203E2247"/>
    <w:rsid w:val="203F76F0"/>
    <w:rsid w:val="20507E4C"/>
    <w:rsid w:val="205B4265"/>
    <w:rsid w:val="205F273F"/>
    <w:rsid w:val="206311A2"/>
    <w:rsid w:val="20756A33"/>
    <w:rsid w:val="2092735B"/>
    <w:rsid w:val="20972429"/>
    <w:rsid w:val="20E45D85"/>
    <w:rsid w:val="20F5423F"/>
    <w:rsid w:val="21093CBF"/>
    <w:rsid w:val="211218D3"/>
    <w:rsid w:val="211D5DE3"/>
    <w:rsid w:val="21325DB1"/>
    <w:rsid w:val="21536D63"/>
    <w:rsid w:val="21603B37"/>
    <w:rsid w:val="21750A41"/>
    <w:rsid w:val="217B244C"/>
    <w:rsid w:val="217F3182"/>
    <w:rsid w:val="218D2EE8"/>
    <w:rsid w:val="21966722"/>
    <w:rsid w:val="219C2D85"/>
    <w:rsid w:val="21AA3329"/>
    <w:rsid w:val="21AC294B"/>
    <w:rsid w:val="21DB28A8"/>
    <w:rsid w:val="21DF04B2"/>
    <w:rsid w:val="21F5270E"/>
    <w:rsid w:val="21FC2CF5"/>
    <w:rsid w:val="220036E4"/>
    <w:rsid w:val="220E2C3C"/>
    <w:rsid w:val="2212557D"/>
    <w:rsid w:val="22184DA5"/>
    <w:rsid w:val="221F6044"/>
    <w:rsid w:val="223F18B3"/>
    <w:rsid w:val="2240005D"/>
    <w:rsid w:val="22403B98"/>
    <w:rsid w:val="224E3113"/>
    <w:rsid w:val="2271703A"/>
    <w:rsid w:val="22803FE4"/>
    <w:rsid w:val="228164B8"/>
    <w:rsid w:val="22857B9B"/>
    <w:rsid w:val="22962DD5"/>
    <w:rsid w:val="22A25050"/>
    <w:rsid w:val="22A9721A"/>
    <w:rsid w:val="22C27960"/>
    <w:rsid w:val="22C32593"/>
    <w:rsid w:val="22DD1FE3"/>
    <w:rsid w:val="22E67538"/>
    <w:rsid w:val="22F2742D"/>
    <w:rsid w:val="22FE46E0"/>
    <w:rsid w:val="23106838"/>
    <w:rsid w:val="2325021C"/>
    <w:rsid w:val="23270D74"/>
    <w:rsid w:val="233E58B2"/>
    <w:rsid w:val="23407F66"/>
    <w:rsid w:val="234E0AD3"/>
    <w:rsid w:val="235470E9"/>
    <w:rsid w:val="235A0FCC"/>
    <w:rsid w:val="235D4796"/>
    <w:rsid w:val="235D695A"/>
    <w:rsid w:val="237E25DB"/>
    <w:rsid w:val="23892B4C"/>
    <w:rsid w:val="238E628E"/>
    <w:rsid w:val="23A028B8"/>
    <w:rsid w:val="23BF371F"/>
    <w:rsid w:val="23E048AF"/>
    <w:rsid w:val="23E43FFE"/>
    <w:rsid w:val="23F22FA4"/>
    <w:rsid w:val="23F278D6"/>
    <w:rsid w:val="23F4754C"/>
    <w:rsid w:val="23F95603"/>
    <w:rsid w:val="24044C5B"/>
    <w:rsid w:val="240734DC"/>
    <w:rsid w:val="240F1BF8"/>
    <w:rsid w:val="24145657"/>
    <w:rsid w:val="24145C09"/>
    <w:rsid w:val="241B3B94"/>
    <w:rsid w:val="242779A7"/>
    <w:rsid w:val="2457032E"/>
    <w:rsid w:val="246758CC"/>
    <w:rsid w:val="2477752D"/>
    <w:rsid w:val="24815654"/>
    <w:rsid w:val="24A13BAB"/>
    <w:rsid w:val="24A3586B"/>
    <w:rsid w:val="24D55244"/>
    <w:rsid w:val="24EA51B1"/>
    <w:rsid w:val="24ED49CA"/>
    <w:rsid w:val="25186022"/>
    <w:rsid w:val="251A4C82"/>
    <w:rsid w:val="251F646B"/>
    <w:rsid w:val="252248DE"/>
    <w:rsid w:val="2535374D"/>
    <w:rsid w:val="25412883"/>
    <w:rsid w:val="25466FEA"/>
    <w:rsid w:val="255B6A1B"/>
    <w:rsid w:val="25800777"/>
    <w:rsid w:val="2586550A"/>
    <w:rsid w:val="258C4182"/>
    <w:rsid w:val="258D6275"/>
    <w:rsid w:val="259A0A5C"/>
    <w:rsid w:val="25A32BC4"/>
    <w:rsid w:val="25A412E6"/>
    <w:rsid w:val="25A94E23"/>
    <w:rsid w:val="25BC71E7"/>
    <w:rsid w:val="25C84150"/>
    <w:rsid w:val="25D12117"/>
    <w:rsid w:val="25E033D9"/>
    <w:rsid w:val="25E85347"/>
    <w:rsid w:val="26003B89"/>
    <w:rsid w:val="2616628C"/>
    <w:rsid w:val="262C0F49"/>
    <w:rsid w:val="26324D54"/>
    <w:rsid w:val="263C006F"/>
    <w:rsid w:val="26620E12"/>
    <w:rsid w:val="267805DD"/>
    <w:rsid w:val="267A762D"/>
    <w:rsid w:val="269A0075"/>
    <w:rsid w:val="26A63575"/>
    <w:rsid w:val="26A669C5"/>
    <w:rsid w:val="26AD05EE"/>
    <w:rsid w:val="26B27556"/>
    <w:rsid w:val="26B33BBE"/>
    <w:rsid w:val="26B57ECD"/>
    <w:rsid w:val="26B8474E"/>
    <w:rsid w:val="26F6342E"/>
    <w:rsid w:val="26FC63AD"/>
    <w:rsid w:val="27002303"/>
    <w:rsid w:val="273F7852"/>
    <w:rsid w:val="274754F1"/>
    <w:rsid w:val="27535599"/>
    <w:rsid w:val="275618D8"/>
    <w:rsid w:val="275C275C"/>
    <w:rsid w:val="275F4326"/>
    <w:rsid w:val="27716C7C"/>
    <w:rsid w:val="2798667B"/>
    <w:rsid w:val="27BE7F16"/>
    <w:rsid w:val="27DB161F"/>
    <w:rsid w:val="27E6312C"/>
    <w:rsid w:val="27F103FC"/>
    <w:rsid w:val="27F6636A"/>
    <w:rsid w:val="2803138A"/>
    <w:rsid w:val="281834D6"/>
    <w:rsid w:val="28394553"/>
    <w:rsid w:val="28410BCB"/>
    <w:rsid w:val="28437756"/>
    <w:rsid w:val="28514F6E"/>
    <w:rsid w:val="286C020F"/>
    <w:rsid w:val="28A94552"/>
    <w:rsid w:val="28E66AB2"/>
    <w:rsid w:val="28F06940"/>
    <w:rsid w:val="28F70A20"/>
    <w:rsid w:val="29121816"/>
    <w:rsid w:val="29137B1E"/>
    <w:rsid w:val="292327A0"/>
    <w:rsid w:val="292D0936"/>
    <w:rsid w:val="29350E57"/>
    <w:rsid w:val="293832B3"/>
    <w:rsid w:val="29533DC0"/>
    <w:rsid w:val="296010AC"/>
    <w:rsid w:val="296A1C6B"/>
    <w:rsid w:val="296F2432"/>
    <w:rsid w:val="297B7078"/>
    <w:rsid w:val="29A34407"/>
    <w:rsid w:val="29A529F3"/>
    <w:rsid w:val="29B76CA8"/>
    <w:rsid w:val="29C61EE5"/>
    <w:rsid w:val="29D354B8"/>
    <w:rsid w:val="29D61FC2"/>
    <w:rsid w:val="29F513E7"/>
    <w:rsid w:val="2A013AC3"/>
    <w:rsid w:val="2A1E3129"/>
    <w:rsid w:val="2A2557F8"/>
    <w:rsid w:val="2A2A0CE5"/>
    <w:rsid w:val="2A417B42"/>
    <w:rsid w:val="2A690A53"/>
    <w:rsid w:val="2A6C7130"/>
    <w:rsid w:val="2A6F2201"/>
    <w:rsid w:val="2A7C1763"/>
    <w:rsid w:val="2A8C2C04"/>
    <w:rsid w:val="2A955570"/>
    <w:rsid w:val="2A9F38E6"/>
    <w:rsid w:val="2AA564B4"/>
    <w:rsid w:val="2AA95D25"/>
    <w:rsid w:val="2AD4531B"/>
    <w:rsid w:val="2B025E70"/>
    <w:rsid w:val="2B0C5DE4"/>
    <w:rsid w:val="2B341839"/>
    <w:rsid w:val="2B68213B"/>
    <w:rsid w:val="2B6B3DC6"/>
    <w:rsid w:val="2BA21E10"/>
    <w:rsid w:val="2BD67377"/>
    <w:rsid w:val="2BE11128"/>
    <w:rsid w:val="2BF15D1F"/>
    <w:rsid w:val="2BFE3872"/>
    <w:rsid w:val="2C2733BA"/>
    <w:rsid w:val="2C2C2325"/>
    <w:rsid w:val="2C4E10C1"/>
    <w:rsid w:val="2C527257"/>
    <w:rsid w:val="2C56329F"/>
    <w:rsid w:val="2C594C52"/>
    <w:rsid w:val="2C5A7970"/>
    <w:rsid w:val="2C6813DB"/>
    <w:rsid w:val="2C682EBB"/>
    <w:rsid w:val="2C800480"/>
    <w:rsid w:val="2C8114F5"/>
    <w:rsid w:val="2C892DF3"/>
    <w:rsid w:val="2C896A33"/>
    <w:rsid w:val="2C8A33A5"/>
    <w:rsid w:val="2C96635C"/>
    <w:rsid w:val="2C9C64DD"/>
    <w:rsid w:val="2CAE6BE2"/>
    <w:rsid w:val="2CB717EF"/>
    <w:rsid w:val="2CD10AAD"/>
    <w:rsid w:val="2CD34059"/>
    <w:rsid w:val="2CE64B39"/>
    <w:rsid w:val="2CFA016A"/>
    <w:rsid w:val="2D263E4A"/>
    <w:rsid w:val="2D2E6172"/>
    <w:rsid w:val="2D537B75"/>
    <w:rsid w:val="2D5C4D2E"/>
    <w:rsid w:val="2D811056"/>
    <w:rsid w:val="2D840502"/>
    <w:rsid w:val="2D840E6B"/>
    <w:rsid w:val="2DA75ADE"/>
    <w:rsid w:val="2DAF56FF"/>
    <w:rsid w:val="2DBB2C0B"/>
    <w:rsid w:val="2DCC4D6E"/>
    <w:rsid w:val="2DE9658E"/>
    <w:rsid w:val="2DEF5303"/>
    <w:rsid w:val="2DF35658"/>
    <w:rsid w:val="2DF74CC5"/>
    <w:rsid w:val="2E02018A"/>
    <w:rsid w:val="2E0E4466"/>
    <w:rsid w:val="2E2703C2"/>
    <w:rsid w:val="2E376222"/>
    <w:rsid w:val="2E44250C"/>
    <w:rsid w:val="2EB12292"/>
    <w:rsid w:val="2EB66430"/>
    <w:rsid w:val="2EB7413D"/>
    <w:rsid w:val="2EC468E1"/>
    <w:rsid w:val="2EDF06B4"/>
    <w:rsid w:val="2EF60C43"/>
    <w:rsid w:val="2F1D6555"/>
    <w:rsid w:val="2F2A68FC"/>
    <w:rsid w:val="2F3565C7"/>
    <w:rsid w:val="2F5238EA"/>
    <w:rsid w:val="2F633395"/>
    <w:rsid w:val="2F68513D"/>
    <w:rsid w:val="2F7F5BF6"/>
    <w:rsid w:val="2F963794"/>
    <w:rsid w:val="2FAD5725"/>
    <w:rsid w:val="2FB1472D"/>
    <w:rsid w:val="2FBD61A3"/>
    <w:rsid w:val="2FC456E6"/>
    <w:rsid w:val="2FCB4F61"/>
    <w:rsid w:val="2FCE4ABA"/>
    <w:rsid w:val="2FF1731E"/>
    <w:rsid w:val="2FF56035"/>
    <w:rsid w:val="2FF671D4"/>
    <w:rsid w:val="2FFB0BA9"/>
    <w:rsid w:val="30021781"/>
    <w:rsid w:val="302C0E9E"/>
    <w:rsid w:val="303D5D3F"/>
    <w:rsid w:val="3041423F"/>
    <w:rsid w:val="30786943"/>
    <w:rsid w:val="30870D2C"/>
    <w:rsid w:val="30920DF6"/>
    <w:rsid w:val="3093299F"/>
    <w:rsid w:val="30963813"/>
    <w:rsid w:val="309F26D5"/>
    <w:rsid w:val="30A41A35"/>
    <w:rsid w:val="30A715E3"/>
    <w:rsid w:val="30AB1532"/>
    <w:rsid w:val="30AD6329"/>
    <w:rsid w:val="30C4612F"/>
    <w:rsid w:val="30CA2DCE"/>
    <w:rsid w:val="30CE0DC7"/>
    <w:rsid w:val="311E26F7"/>
    <w:rsid w:val="31352885"/>
    <w:rsid w:val="31373FA7"/>
    <w:rsid w:val="3170777A"/>
    <w:rsid w:val="318A52FC"/>
    <w:rsid w:val="31A44074"/>
    <w:rsid w:val="31B72A12"/>
    <w:rsid w:val="31B9708B"/>
    <w:rsid w:val="31C3634F"/>
    <w:rsid w:val="31CD3E84"/>
    <w:rsid w:val="31E40309"/>
    <w:rsid w:val="31E96C33"/>
    <w:rsid w:val="31F12EDA"/>
    <w:rsid w:val="32024B47"/>
    <w:rsid w:val="32042846"/>
    <w:rsid w:val="32196109"/>
    <w:rsid w:val="322E75E7"/>
    <w:rsid w:val="3236112C"/>
    <w:rsid w:val="326F2298"/>
    <w:rsid w:val="32732983"/>
    <w:rsid w:val="329E40AF"/>
    <w:rsid w:val="32B831AA"/>
    <w:rsid w:val="32BA2378"/>
    <w:rsid w:val="32C40EC6"/>
    <w:rsid w:val="32C66428"/>
    <w:rsid w:val="32C72635"/>
    <w:rsid w:val="32CC5C49"/>
    <w:rsid w:val="32D12B7D"/>
    <w:rsid w:val="32F61ABB"/>
    <w:rsid w:val="330A129B"/>
    <w:rsid w:val="330B7C56"/>
    <w:rsid w:val="331B4D33"/>
    <w:rsid w:val="331C217C"/>
    <w:rsid w:val="333E6940"/>
    <w:rsid w:val="334205BB"/>
    <w:rsid w:val="334E3E1A"/>
    <w:rsid w:val="3362195E"/>
    <w:rsid w:val="33656B71"/>
    <w:rsid w:val="336F3654"/>
    <w:rsid w:val="3381137F"/>
    <w:rsid w:val="33894410"/>
    <w:rsid w:val="338E4384"/>
    <w:rsid w:val="33994D0F"/>
    <w:rsid w:val="33AD0FD4"/>
    <w:rsid w:val="33BF2932"/>
    <w:rsid w:val="33DC3F0B"/>
    <w:rsid w:val="33F803F0"/>
    <w:rsid w:val="34102B46"/>
    <w:rsid w:val="344A3411"/>
    <w:rsid w:val="348136DB"/>
    <w:rsid w:val="34842076"/>
    <w:rsid w:val="34A076E6"/>
    <w:rsid w:val="34AA1661"/>
    <w:rsid w:val="34B54A81"/>
    <w:rsid w:val="34B906D1"/>
    <w:rsid w:val="34DE0D6E"/>
    <w:rsid w:val="34DF14A0"/>
    <w:rsid w:val="34E311D0"/>
    <w:rsid w:val="34F30266"/>
    <w:rsid w:val="34FD4419"/>
    <w:rsid w:val="35026930"/>
    <w:rsid w:val="35082F3E"/>
    <w:rsid w:val="3516183B"/>
    <w:rsid w:val="35207A47"/>
    <w:rsid w:val="35342947"/>
    <w:rsid w:val="35611655"/>
    <w:rsid w:val="356D405C"/>
    <w:rsid w:val="3571511C"/>
    <w:rsid w:val="35772E23"/>
    <w:rsid w:val="35883934"/>
    <w:rsid w:val="359D4DBC"/>
    <w:rsid w:val="35B94BD9"/>
    <w:rsid w:val="35BE7316"/>
    <w:rsid w:val="35E347BE"/>
    <w:rsid w:val="35EC6300"/>
    <w:rsid w:val="35F129C8"/>
    <w:rsid w:val="35F95B22"/>
    <w:rsid w:val="35FD212F"/>
    <w:rsid w:val="360A4F4E"/>
    <w:rsid w:val="36451F49"/>
    <w:rsid w:val="36554E55"/>
    <w:rsid w:val="36951501"/>
    <w:rsid w:val="36C0162E"/>
    <w:rsid w:val="36C141B2"/>
    <w:rsid w:val="36CA4867"/>
    <w:rsid w:val="36CB1E6E"/>
    <w:rsid w:val="36D10484"/>
    <w:rsid w:val="37134A1B"/>
    <w:rsid w:val="371A5FA9"/>
    <w:rsid w:val="37287CA1"/>
    <w:rsid w:val="372D1883"/>
    <w:rsid w:val="373716C5"/>
    <w:rsid w:val="373E4008"/>
    <w:rsid w:val="373E56C6"/>
    <w:rsid w:val="375A79EE"/>
    <w:rsid w:val="37675A36"/>
    <w:rsid w:val="376F4DE6"/>
    <w:rsid w:val="378E0AE0"/>
    <w:rsid w:val="37A92DA2"/>
    <w:rsid w:val="37B5144B"/>
    <w:rsid w:val="37C50F93"/>
    <w:rsid w:val="37D55BE1"/>
    <w:rsid w:val="37D9575A"/>
    <w:rsid w:val="37E52634"/>
    <w:rsid w:val="37E9218F"/>
    <w:rsid w:val="381D27D2"/>
    <w:rsid w:val="381E319A"/>
    <w:rsid w:val="382D6914"/>
    <w:rsid w:val="383362AD"/>
    <w:rsid w:val="384722DF"/>
    <w:rsid w:val="385B1C11"/>
    <w:rsid w:val="386D5A0D"/>
    <w:rsid w:val="387E5E75"/>
    <w:rsid w:val="38866963"/>
    <w:rsid w:val="38A27B05"/>
    <w:rsid w:val="38B966ED"/>
    <w:rsid w:val="38BF05C5"/>
    <w:rsid w:val="38D13EA0"/>
    <w:rsid w:val="38DF4C7A"/>
    <w:rsid w:val="390028E3"/>
    <w:rsid w:val="390308C8"/>
    <w:rsid w:val="392915E0"/>
    <w:rsid w:val="39333109"/>
    <w:rsid w:val="394D4A53"/>
    <w:rsid w:val="39524742"/>
    <w:rsid w:val="39526C80"/>
    <w:rsid w:val="396D7179"/>
    <w:rsid w:val="397D460C"/>
    <w:rsid w:val="398B50BE"/>
    <w:rsid w:val="39907D95"/>
    <w:rsid w:val="39933501"/>
    <w:rsid w:val="39A56FD2"/>
    <w:rsid w:val="39A806D5"/>
    <w:rsid w:val="39B87262"/>
    <w:rsid w:val="39BC1C3B"/>
    <w:rsid w:val="39BC3676"/>
    <w:rsid w:val="39BE3E5F"/>
    <w:rsid w:val="39BF615B"/>
    <w:rsid w:val="39C47474"/>
    <w:rsid w:val="39C77571"/>
    <w:rsid w:val="39E04D31"/>
    <w:rsid w:val="39E434BA"/>
    <w:rsid w:val="39F85281"/>
    <w:rsid w:val="3A035515"/>
    <w:rsid w:val="3A142ED7"/>
    <w:rsid w:val="3A6179E9"/>
    <w:rsid w:val="3A735FE8"/>
    <w:rsid w:val="3A790654"/>
    <w:rsid w:val="3A7E408A"/>
    <w:rsid w:val="3A7E5DB0"/>
    <w:rsid w:val="3A865F28"/>
    <w:rsid w:val="3A8E0DC9"/>
    <w:rsid w:val="3A9B65AF"/>
    <w:rsid w:val="3AA74D5B"/>
    <w:rsid w:val="3AB56855"/>
    <w:rsid w:val="3AC82B46"/>
    <w:rsid w:val="3ADF271D"/>
    <w:rsid w:val="3AE27AD2"/>
    <w:rsid w:val="3AF02F80"/>
    <w:rsid w:val="3B250190"/>
    <w:rsid w:val="3B315A56"/>
    <w:rsid w:val="3B350B9B"/>
    <w:rsid w:val="3B5F4067"/>
    <w:rsid w:val="3B6170F0"/>
    <w:rsid w:val="3B7A0668"/>
    <w:rsid w:val="3B931113"/>
    <w:rsid w:val="3B980241"/>
    <w:rsid w:val="3BDA7CAB"/>
    <w:rsid w:val="3BE451F7"/>
    <w:rsid w:val="3BE46466"/>
    <w:rsid w:val="3C0021B2"/>
    <w:rsid w:val="3C367582"/>
    <w:rsid w:val="3C377C6B"/>
    <w:rsid w:val="3C3C6CBC"/>
    <w:rsid w:val="3C3D2D0C"/>
    <w:rsid w:val="3C4C0E6C"/>
    <w:rsid w:val="3C575ED1"/>
    <w:rsid w:val="3C792901"/>
    <w:rsid w:val="3C7F7BF1"/>
    <w:rsid w:val="3CC92827"/>
    <w:rsid w:val="3CD44304"/>
    <w:rsid w:val="3CDA0AEE"/>
    <w:rsid w:val="3CF02B83"/>
    <w:rsid w:val="3D116C51"/>
    <w:rsid w:val="3D2B5E63"/>
    <w:rsid w:val="3D3357F9"/>
    <w:rsid w:val="3D3F6C15"/>
    <w:rsid w:val="3D4541D9"/>
    <w:rsid w:val="3D4805D8"/>
    <w:rsid w:val="3D4F54CB"/>
    <w:rsid w:val="3D5868CE"/>
    <w:rsid w:val="3D5C6D7A"/>
    <w:rsid w:val="3D631313"/>
    <w:rsid w:val="3D6469F5"/>
    <w:rsid w:val="3D654836"/>
    <w:rsid w:val="3D772E1E"/>
    <w:rsid w:val="3D7B6BA8"/>
    <w:rsid w:val="3D9100CC"/>
    <w:rsid w:val="3D966AC6"/>
    <w:rsid w:val="3DBA00CA"/>
    <w:rsid w:val="3DEE22CB"/>
    <w:rsid w:val="3DFF5C95"/>
    <w:rsid w:val="3E1A7DFB"/>
    <w:rsid w:val="3E583352"/>
    <w:rsid w:val="3E5B766D"/>
    <w:rsid w:val="3E5F2CEC"/>
    <w:rsid w:val="3E635AA6"/>
    <w:rsid w:val="3E6364BE"/>
    <w:rsid w:val="3EBF6980"/>
    <w:rsid w:val="3EC01390"/>
    <w:rsid w:val="3EC33545"/>
    <w:rsid w:val="3EDF0E11"/>
    <w:rsid w:val="3EF05A56"/>
    <w:rsid w:val="3F0A6977"/>
    <w:rsid w:val="3F1643BE"/>
    <w:rsid w:val="3F264BDC"/>
    <w:rsid w:val="3F2D1919"/>
    <w:rsid w:val="3F39298A"/>
    <w:rsid w:val="3F44533E"/>
    <w:rsid w:val="3F5D4214"/>
    <w:rsid w:val="3F8703A9"/>
    <w:rsid w:val="3F9169D0"/>
    <w:rsid w:val="3FC45F94"/>
    <w:rsid w:val="3FCF4BA2"/>
    <w:rsid w:val="3FE311AF"/>
    <w:rsid w:val="3FE4458D"/>
    <w:rsid w:val="3FE6363A"/>
    <w:rsid w:val="3FF03522"/>
    <w:rsid w:val="4016089E"/>
    <w:rsid w:val="402871E5"/>
    <w:rsid w:val="405A73E8"/>
    <w:rsid w:val="406D5249"/>
    <w:rsid w:val="408F41B9"/>
    <w:rsid w:val="40AC62B4"/>
    <w:rsid w:val="40AD2F61"/>
    <w:rsid w:val="40B67EE6"/>
    <w:rsid w:val="40B753AA"/>
    <w:rsid w:val="40C77C59"/>
    <w:rsid w:val="40ED22ED"/>
    <w:rsid w:val="40ED5987"/>
    <w:rsid w:val="40F87D09"/>
    <w:rsid w:val="410E6978"/>
    <w:rsid w:val="412353A3"/>
    <w:rsid w:val="41347EDD"/>
    <w:rsid w:val="413B2BF5"/>
    <w:rsid w:val="4167298C"/>
    <w:rsid w:val="41765BA5"/>
    <w:rsid w:val="41771743"/>
    <w:rsid w:val="417E6E91"/>
    <w:rsid w:val="418C107E"/>
    <w:rsid w:val="418D7537"/>
    <w:rsid w:val="419F30F2"/>
    <w:rsid w:val="41BE12FF"/>
    <w:rsid w:val="41C73EFA"/>
    <w:rsid w:val="41C831DE"/>
    <w:rsid w:val="4203602D"/>
    <w:rsid w:val="420A27F8"/>
    <w:rsid w:val="4238190B"/>
    <w:rsid w:val="42584C10"/>
    <w:rsid w:val="42742DB0"/>
    <w:rsid w:val="42892966"/>
    <w:rsid w:val="42947908"/>
    <w:rsid w:val="429A7C8A"/>
    <w:rsid w:val="42E3587F"/>
    <w:rsid w:val="42E5039F"/>
    <w:rsid w:val="42F630BA"/>
    <w:rsid w:val="43077E37"/>
    <w:rsid w:val="430A187C"/>
    <w:rsid w:val="43283100"/>
    <w:rsid w:val="432A3319"/>
    <w:rsid w:val="433227B8"/>
    <w:rsid w:val="43415814"/>
    <w:rsid w:val="434272DF"/>
    <w:rsid w:val="434E5D15"/>
    <w:rsid w:val="43686EBB"/>
    <w:rsid w:val="43700F34"/>
    <w:rsid w:val="43821945"/>
    <w:rsid w:val="438C20A7"/>
    <w:rsid w:val="43B064DF"/>
    <w:rsid w:val="43B7294C"/>
    <w:rsid w:val="43BB3620"/>
    <w:rsid w:val="43BB5F37"/>
    <w:rsid w:val="43C44DB1"/>
    <w:rsid w:val="43CA5CB0"/>
    <w:rsid w:val="43D420D6"/>
    <w:rsid w:val="43D62069"/>
    <w:rsid w:val="43D8047D"/>
    <w:rsid w:val="43DB36F4"/>
    <w:rsid w:val="43E02B42"/>
    <w:rsid w:val="43F04D4C"/>
    <w:rsid w:val="444E67E0"/>
    <w:rsid w:val="444F56DF"/>
    <w:rsid w:val="445A4863"/>
    <w:rsid w:val="445F28CF"/>
    <w:rsid w:val="44955777"/>
    <w:rsid w:val="449D1D73"/>
    <w:rsid w:val="44AC1209"/>
    <w:rsid w:val="44AF52D3"/>
    <w:rsid w:val="44AF6F4D"/>
    <w:rsid w:val="44BD0245"/>
    <w:rsid w:val="44DD40F8"/>
    <w:rsid w:val="45160832"/>
    <w:rsid w:val="45270D8D"/>
    <w:rsid w:val="45286243"/>
    <w:rsid w:val="452C7FB7"/>
    <w:rsid w:val="45464098"/>
    <w:rsid w:val="458864D7"/>
    <w:rsid w:val="45A6252B"/>
    <w:rsid w:val="45B87178"/>
    <w:rsid w:val="45C26E83"/>
    <w:rsid w:val="45DF4851"/>
    <w:rsid w:val="45EA7CB3"/>
    <w:rsid w:val="45F97D11"/>
    <w:rsid w:val="46040EEA"/>
    <w:rsid w:val="46362EF9"/>
    <w:rsid w:val="46410CF5"/>
    <w:rsid w:val="4659138A"/>
    <w:rsid w:val="465C1766"/>
    <w:rsid w:val="46712A20"/>
    <w:rsid w:val="467B4A15"/>
    <w:rsid w:val="469F2984"/>
    <w:rsid w:val="46A3000F"/>
    <w:rsid w:val="46C4403A"/>
    <w:rsid w:val="46DA1446"/>
    <w:rsid w:val="46F71791"/>
    <w:rsid w:val="46FC7323"/>
    <w:rsid w:val="4710179A"/>
    <w:rsid w:val="47252208"/>
    <w:rsid w:val="472E328F"/>
    <w:rsid w:val="47310839"/>
    <w:rsid w:val="4735453D"/>
    <w:rsid w:val="475374C9"/>
    <w:rsid w:val="47663D5E"/>
    <w:rsid w:val="476C171B"/>
    <w:rsid w:val="477359B5"/>
    <w:rsid w:val="47832A3D"/>
    <w:rsid w:val="479233B5"/>
    <w:rsid w:val="47D16A89"/>
    <w:rsid w:val="47D23148"/>
    <w:rsid w:val="47DC2201"/>
    <w:rsid w:val="47E94062"/>
    <w:rsid w:val="47EA4839"/>
    <w:rsid w:val="47FC5777"/>
    <w:rsid w:val="4804081C"/>
    <w:rsid w:val="482157AE"/>
    <w:rsid w:val="482654BB"/>
    <w:rsid w:val="4830252D"/>
    <w:rsid w:val="48335642"/>
    <w:rsid w:val="483C4FDB"/>
    <w:rsid w:val="484B0D6F"/>
    <w:rsid w:val="488B7C66"/>
    <w:rsid w:val="489E101B"/>
    <w:rsid w:val="48A035BF"/>
    <w:rsid w:val="48A91E5B"/>
    <w:rsid w:val="48C90666"/>
    <w:rsid w:val="48CD52E7"/>
    <w:rsid w:val="48D73D85"/>
    <w:rsid w:val="48F10FAA"/>
    <w:rsid w:val="49137880"/>
    <w:rsid w:val="491676D8"/>
    <w:rsid w:val="492D4AFD"/>
    <w:rsid w:val="49420619"/>
    <w:rsid w:val="49517C80"/>
    <w:rsid w:val="495326B4"/>
    <w:rsid w:val="495669AA"/>
    <w:rsid w:val="496546EE"/>
    <w:rsid w:val="49656528"/>
    <w:rsid w:val="498427CB"/>
    <w:rsid w:val="4987328A"/>
    <w:rsid w:val="498D3DA9"/>
    <w:rsid w:val="49A3206D"/>
    <w:rsid w:val="49A34A74"/>
    <w:rsid w:val="49BD491B"/>
    <w:rsid w:val="49CB47DA"/>
    <w:rsid w:val="49CC117B"/>
    <w:rsid w:val="49CF00C2"/>
    <w:rsid w:val="49D97824"/>
    <w:rsid w:val="49FC3807"/>
    <w:rsid w:val="4A0D65CD"/>
    <w:rsid w:val="4A1E37F7"/>
    <w:rsid w:val="4A23158A"/>
    <w:rsid w:val="4A385B2C"/>
    <w:rsid w:val="4A401AB5"/>
    <w:rsid w:val="4A4D077F"/>
    <w:rsid w:val="4A6748A5"/>
    <w:rsid w:val="4A854C97"/>
    <w:rsid w:val="4AA74B20"/>
    <w:rsid w:val="4ACE1952"/>
    <w:rsid w:val="4ADF2AF4"/>
    <w:rsid w:val="4AE33540"/>
    <w:rsid w:val="4AE62BDB"/>
    <w:rsid w:val="4AFB201B"/>
    <w:rsid w:val="4B025253"/>
    <w:rsid w:val="4B0B3209"/>
    <w:rsid w:val="4B142581"/>
    <w:rsid w:val="4B176178"/>
    <w:rsid w:val="4B3D1E97"/>
    <w:rsid w:val="4B434668"/>
    <w:rsid w:val="4B506009"/>
    <w:rsid w:val="4B5F70BD"/>
    <w:rsid w:val="4B640EBB"/>
    <w:rsid w:val="4B7B04B2"/>
    <w:rsid w:val="4B9F0BAD"/>
    <w:rsid w:val="4BAD6C1A"/>
    <w:rsid w:val="4BC82179"/>
    <w:rsid w:val="4BD0028A"/>
    <w:rsid w:val="4BD02E21"/>
    <w:rsid w:val="4BDE361C"/>
    <w:rsid w:val="4BE078C1"/>
    <w:rsid w:val="4BEC0842"/>
    <w:rsid w:val="4C085AD7"/>
    <w:rsid w:val="4C297A97"/>
    <w:rsid w:val="4C3B45A6"/>
    <w:rsid w:val="4C4144F1"/>
    <w:rsid w:val="4C423CE7"/>
    <w:rsid w:val="4C542C1C"/>
    <w:rsid w:val="4C584802"/>
    <w:rsid w:val="4C817E27"/>
    <w:rsid w:val="4C8A18A8"/>
    <w:rsid w:val="4C964DCD"/>
    <w:rsid w:val="4CCA439B"/>
    <w:rsid w:val="4CCF7DD0"/>
    <w:rsid w:val="4CD20131"/>
    <w:rsid w:val="4CD9785C"/>
    <w:rsid w:val="4CE65323"/>
    <w:rsid w:val="4CF01B7A"/>
    <w:rsid w:val="4CF22ED8"/>
    <w:rsid w:val="4D167DBA"/>
    <w:rsid w:val="4D17453E"/>
    <w:rsid w:val="4D247CE3"/>
    <w:rsid w:val="4D305946"/>
    <w:rsid w:val="4D327D33"/>
    <w:rsid w:val="4D955FFE"/>
    <w:rsid w:val="4D9E7E72"/>
    <w:rsid w:val="4DA00F3A"/>
    <w:rsid w:val="4DB87DC4"/>
    <w:rsid w:val="4DC20540"/>
    <w:rsid w:val="4DC31A89"/>
    <w:rsid w:val="4DC773A8"/>
    <w:rsid w:val="4DC82DC5"/>
    <w:rsid w:val="4DD1260F"/>
    <w:rsid w:val="4DE86707"/>
    <w:rsid w:val="4DF61E8B"/>
    <w:rsid w:val="4DFD2A88"/>
    <w:rsid w:val="4DFD3AB5"/>
    <w:rsid w:val="4E0E739F"/>
    <w:rsid w:val="4E2218DA"/>
    <w:rsid w:val="4E221A79"/>
    <w:rsid w:val="4E4856EB"/>
    <w:rsid w:val="4E57261F"/>
    <w:rsid w:val="4E6C2FB7"/>
    <w:rsid w:val="4E744B1E"/>
    <w:rsid w:val="4E7F2428"/>
    <w:rsid w:val="4E867414"/>
    <w:rsid w:val="4E8C6412"/>
    <w:rsid w:val="4EA56830"/>
    <w:rsid w:val="4EBC35CC"/>
    <w:rsid w:val="4EC975AB"/>
    <w:rsid w:val="4ECA1E41"/>
    <w:rsid w:val="4ECA1FAA"/>
    <w:rsid w:val="4F0069F8"/>
    <w:rsid w:val="4F023BB3"/>
    <w:rsid w:val="4F11384F"/>
    <w:rsid w:val="4F150C25"/>
    <w:rsid w:val="4F236200"/>
    <w:rsid w:val="4F254F6C"/>
    <w:rsid w:val="4F296958"/>
    <w:rsid w:val="4F3C24B2"/>
    <w:rsid w:val="4F4F018D"/>
    <w:rsid w:val="4F725D11"/>
    <w:rsid w:val="4F764EBF"/>
    <w:rsid w:val="4F7C55C5"/>
    <w:rsid w:val="4F7D51C3"/>
    <w:rsid w:val="4F8D708D"/>
    <w:rsid w:val="4F9B6B26"/>
    <w:rsid w:val="4FB573BA"/>
    <w:rsid w:val="4FBF518D"/>
    <w:rsid w:val="4FC62CE5"/>
    <w:rsid w:val="4FCA2EE2"/>
    <w:rsid w:val="4FED2E08"/>
    <w:rsid w:val="4FF81E6A"/>
    <w:rsid w:val="4FFA156E"/>
    <w:rsid w:val="4FFC7209"/>
    <w:rsid w:val="50056097"/>
    <w:rsid w:val="502D3AD0"/>
    <w:rsid w:val="50334E2B"/>
    <w:rsid w:val="50451C65"/>
    <w:rsid w:val="506214CB"/>
    <w:rsid w:val="50657DD9"/>
    <w:rsid w:val="50715142"/>
    <w:rsid w:val="509423C5"/>
    <w:rsid w:val="50A0121D"/>
    <w:rsid w:val="50B07DC1"/>
    <w:rsid w:val="50CA4A66"/>
    <w:rsid w:val="50DC4371"/>
    <w:rsid w:val="50ED5DC8"/>
    <w:rsid w:val="50FC49FB"/>
    <w:rsid w:val="50FD10BC"/>
    <w:rsid w:val="510A58D8"/>
    <w:rsid w:val="51116A37"/>
    <w:rsid w:val="511F183E"/>
    <w:rsid w:val="512A1ED2"/>
    <w:rsid w:val="513E6544"/>
    <w:rsid w:val="513E7191"/>
    <w:rsid w:val="51445D84"/>
    <w:rsid w:val="51527157"/>
    <w:rsid w:val="51572C61"/>
    <w:rsid w:val="515846A8"/>
    <w:rsid w:val="51685400"/>
    <w:rsid w:val="51701375"/>
    <w:rsid w:val="51837182"/>
    <w:rsid w:val="51923050"/>
    <w:rsid w:val="51960943"/>
    <w:rsid w:val="519D0D8E"/>
    <w:rsid w:val="519D3A5A"/>
    <w:rsid w:val="51A537CF"/>
    <w:rsid w:val="51BA48AC"/>
    <w:rsid w:val="51C07E64"/>
    <w:rsid w:val="51C700B5"/>
    <w:rsid w:val="51CA2F1D"/>
    <w:rsid w:val="51D21AD8"/>
    <w:rsid w:val="51EE51D2"/>
    <w:rsid w:val="5209642F"/>
    <w:rsid w:val="521124F4"/>
    <w:rsid w:val="521A547C"/>
    <w:rsid w:val="522F177C"/>
    <w:rsid w:val="52302204"/>
    <w:rsid w:val="52307703"/>
    <w:rsid w:val="52346183"/>
    <w:rsid w:val="524072DD"/>
    <w:rsid w:val="52440D22"/>
    <w:rsid w:val="524C3BAC"/>
    <w:rsid w:val="52581322"/>
    <w:rsid w:val="52716754"/>
    <w:rsid w:val="527E643A"/>
    <w:rsid w:val="529240B4"/>
    <w:rsid w:val="52AB07CA"/>
    <w:rsid w:val="52B77FD1"/>
    <w:rsid w:val="52BB7C46"/>
    <w:rsid w:val="52E621EC"/>
    <w:rsid w:val="5312436A"/>
    <w:rsid w:val="53367151"/>
    <w:rsid w:val="533C0C0D"/>
    <w:rsid w:val="534A737C"/>
    <w:rsid w:val="53504F2A"/>
    <w:rsid w:val="53752B53"/>
    <w:rsid w:val="53877AF0"/>
    <w:rsid w:val="53BD059D"/>
    <w:rsid w:val="53C478DF"/>
    <w:rsid w:val="53CC1D65"/>
    <w:rsid w:val="53D1600F"/>
    <w:rsid w:val="53E968F4"/>
    <w:rsid w:val="53EA338B"/>
    <w:rsid w:val="53FF6972"/>
    <w:rsid w:val="541109B1"/>
    <w:rsid w:val="5416552C"/>
    <w:rsid w:val="542575B6"/>
    <w:rsid w:val="54382EE9"/>
    <w:rsid w:val="546A6939"/>
    <w:rsid w:val="546E1BE0"/>
    <w:rsid w:val="546F1095"/>
    <w:rsid w:val="546F6773"/>
    <w:rsid w:val="54705E70"/>
    <w:rsid w:val="54975BC0"/>
    <w:rsid w:val="54C00EBB"/>
    <w:rsid w:val="54E55490"/>
    <w:rsid w:val="54E70444"/>
    <w:rsid w:val="54F85DBF"/>
    <w:rsid w:val="5502113A"/>
    <w:rsid w:val="5509658F"/>
    <w:rsid w:val="550B48F4"/>
    <w:rsid w:val="551213E9"/>
    <w:rsid w:val="551F0CF5"/>
    <w:rsid w:val="5520423B"/>
    <w:rsid w:val="552C50BF"/>
    <w:rsid w:val="55441E26"/>
    <w:rsid w:val="554522E2"/>
    <w:rsid w:val="55743B5D"/>
    <w:rsid w:val="55745BC6"/>
    <w:rsid w:val="559844DC"/>
    <w:rsid w:val="559B7C54"/>
    <w:rsid w:val="55B13A00"/>
    <w:rsid w:val="55C53880"/>
    <w:rsid w:val="55E3177E"/>
    <w:rsid w:val="55ED1600"/>
    <w:rsid w:val="56087CDA"/>
    <w:rsid w:val="560A020F"/>
    <w:rsid w:val="560B4E6E"/>
    <w:rsid w:val="561025A5"/>
    <w:rsid w:val="56184CB8"/>
    <w:rsid w:val="56473E64"/>
    <w:rsid w:val="56521625"/>
    <w:rsid w:val="565F7BB9"/>
    <w:rsid w:val="567E7481"/>
    <w:rsid w:val="56932FDA"/>
    <w:rsid w:val="569B0B54"/>
    <w:rsid w:val="56A1187B"/>
    <w:rsid w:val="56E022DD"/>
    <w:rsid w:val="56E21D71"/>
    <w:rsid w:val="570D21BD"/>
    <w:rsid w:val="57314B9B"/>
    <w:rsid w:val="57414837"/>
    <w:rsid w:val="576A7555"/>
    <w:rsid w:val="577F6BA4"/>
    <w:rsid w:val="57AF1AD1"/>
    <w:rsid w:val="57B05436"/>
    <w:rsid w:val="57D77018"/>
    <w:rsid w:val="58053170"/>
    <w:rsid w:val="58450436"/>
    <w:rsid w:val="584F36C7"/>
    <w:rsid w:val="585665EB"/>
    <w:rsid w:val="58660647"/>
    <w:rsid w:val="58674630"/>
    <w:rsid w:val="589578CD"/>
    <w:rsid w:val="5899774E"/>
    <w:rsid w:val="589C7847"/>
    <w:rsid w:val="58B427F5"/>
    <w:rsid w:val="58C75FB8"/>
    <w:rsid w:val="58D2119D"/>
    <w:rsid w:val="58F15601"/>
    <w:rsid w:val="58F20E97"/>
    <w:rsid w:val="58F66E1E"/>
    <w:rsid w:val="59066507"/>
    <w:rsid w:val="59397BB3"/>
    <w:rsid w:val="593E5052"/>
    <w:rsid w:val="593F053D"/>
    <w:rsid w:val="594C7EFF"/>
    <w:rsid w:val="59585681"/>
    <w:rsid w:val="596300CB"/>
    <w:rsid w:val="59A677E0"/>
    <w:rsid w:val="59B96894"/>
    <w:rsid w:val="59FF529F"/>
    <w:rsid w:val="5A0663D1"/>
    <w:rsid w:val="5A1A070F"/>
    <w:rsid w:val="5A3C5AB9"/>
    <w:rsid w:val="5A406B43"/>
    <w:rsid w:val="5A451C7A"/>
    <w:rsid w:val="5A7A6FDF"/>
    <w:rsid w:val="5A8C44B3"/>
    <w:rsid w:val="5AAD083D"/>
    <w:rsid w:val="5AF83EFA"/>
    <w:rsid w:val="5B026E42"/>
    <w:rsid w:val="5B1B3419"/>
    <w:rsid w:val="5B4045B9"/>
    <w:rsid w:val="5B463EBF"/>
    <w:rsid w:val="5B55590A"/>
    <w:rsid w:val="5B79393B"/>
    <w:rsid w:val="5B88624B"/>
    <w:rsid w:val="5B896FC1"/>
    <w:rsid w:val="5B9159CD"/>
    <w:rsid w:val="5BA00386"/>
    <w:rsid w:val="5BAD5249"/>
    <w:rsid w:val="5C0117A9"/>
    <w:rsid w:val="5C3D17BC"/>
    <w:rsid w:val="5C413707"/>
    <w:rsid w:val="5C5D41D1"/>
    <w:rsid w:val="5CAE08EA"/>
    <w:rsid w:val="5CC5032F"/>
    <w:rsid w:val="5CC5633A"/>
    <w:rsid w:val="5CD31BD4"/>
    <w:rsid w:val="5CD7599E"/>
    <w:rsid w:val="5CDA1CEE"/>
    <w:rsid w:val="5D254F2B"/>
    <w:rsid w:val="5D350AA6"/>
    <w:rsid w:val="5D7005C9"/>
    <w:rsid w:val="5D7A5C63"/>
    <w:rsid w:val="5D931BE4"/>
    <w:rsid w:val="5D9E3DDF"/>
    <w:rsid w:val="5DCE0E6E"/>
    <w:rsid w:val="5E1E25FB"/>
    <w:rsid w:val="5E2E2DB9"/>
    <w:rsid w:val="5E4A559A"/>
    <w:rsid w:val="5E4D1090"/>
    <w:rsid w:val="5E5F71D6"/>
    <w:rsid w:val="5E7B261E"/>
    <w:rsid w:val="5E7C487E"/>
    <w:rsid w:val="5E8718F1"/>
    <w:rsid w:val="5E8B1EA0"/>
    <w:rsid w:val="5E920B63"/>
    <w:rsid w:val="5E996AE5"/>
    <w:rsid w:val="5EA84664"/>
    <w:rsid w:val="5ECE50D6"/>
    <w:rsid w:val="5EF83535"/>
    <w:rsid w:val="5F0355C4"/>
    <w:rsid w:val="5F1153A1"/>
    <w:rsid w:val="5F2C0A71"/>
    <w:rsid w:val="5F2D2326"/>
    <w:rsid w:val="5F49168A"/>
    <w:rsid w:val="5F5156DB"/>
    <w:rsid w:val="5F61472B"/>
    <w:rsid w:val="5F7755D3"/>
    <w:rsid w:val="5F961437"/>
    <w:rsid w:val="5FC94F00"/>
    <w:rsid w:val="5FDF3215"/>
    <w:rsid w:val="5FED319E"/>
    <w:rsid w:val="5FEE696B"/>
    <w:rsid w:val="6003013C"/>
    <w:rsid w:val="60053836"/>
    <w:rsid w:val="60103C94"/>
    <w:rsid w:val="601A5591"/>
    <w:rsid w:val="602F7406"/>
    <w:rsid w:val="60463125"/>
    <w:rsid w:val="60721EBC"/>
    <w:rsid w:val="6074112D"/>
    <w:rsid w:val="60BF59A7"/>
    <w:rsid w:val="60D40767"/>
    <w:rsid w:val="60E43E31"/>
    <w:rsid w:val="611167B0"/>
    <w:rsid w:val="61144225"/>
    <w:rsid w:val="612A4A4F"/>
    <w:rsid w:val="61312685"/>
    <w:rsid w:val="613F462B"/>
    <w:rsid w:val="61475B62"/>
    <w:rsid w:val="614D49AA"/>
    <w:rsid w:val="61534748"/>
    <w:rsid w:val="6179763C"/>
    <w:rsid w:val="617A6EDF"/>
    <w:rsid w:val="617E1E00"/>
    <w:rsid w:val="61812C1B"/>
    <w:rsid w:val="619A2E68"/>
    <w:rsid w:val="61A86120"/>
    <w:rsid w:val="61BE7A0F"/>
    <w:rsid w:val="61D06E10"/>
    <w:rsid w:val="61DE50D2"/>
    <w:rsid w:val="61F9719E"/>
    <w:rsid w:val="621726B3"/>
    <w:rsid w:val="6217718C"/>
    <w:rsid w:val="625E1FBE"/>
    <w:rsid w:val="626F5370"/>
    <w:rsid w:val="6299690B"/>
    <w:rsid w:val="629F356C"/>
    <w:rsid w:val="62AE42FC"/>
    <w:rsid w:val="62B051F9"/>
    <w:rsid w:val="62BF74E0"/>
    <w:rsid w:val="62D96A30"/>
    <w:rsid w:val="62E72B21"/>
    <w:rsid w:val="63171506"/>
    <w:rsid w:val="63233178"/>
    <w:rsid w:val="632E2FB7"/>
    <w:rsid w:val="63324010"/>
    <w:rsid w:val="634017DB"/>
    <w:rsid w:val="63477AF0"/>
    <w:rsid w:val="63704A6E"/>
    <w:rsid w:val="63710500"/>
    <w:rsid w:val="63862B9F"/>
    <w:rsid w:val="639B0743"/>
    <w:rsid w:val="63A27C8D"/>
    <w:rsid w:val="63A30778"/>
    <w:rsid w:val="63E247ED"/>
    <w:rsid w:val="63ED1A3C"/>
    <w:rsid w:val="6401553D"/>
    <w:rsid w:val="642D6A12"/>
    <w:rsid w:val="645B1E5A"/>
    <w:rsid w:val="6498236B"/>
    <w:rsid w:val="64B958D8"/>
    <w:rsid w:val="64B979A3"/>
    <w:rsid w:val="64B97A97"/>
    <w:rsid w:val="64D630A5"/>
    <w:rsid w:val="64E51765"/>
    <w:rsid w:val="64F777B7"/>
    <w:rsid w:val="6507456D"/>
    <w:rsid w:val="652543BE"/>
    <w:rsid w:val="656E14F3"/>
    <w:rsid w:val="65882D7A"/>
    <w:rsid w:val="658A799A"/>
    <w:rsid w:val="658B1C6E"/>
    <w:rsid w:val="658B56AE"/>
    <w:rsid w:val="65A47395"/>
    <w:rsid w:val="65BB4A95"/>
    <w:rsid w:val="65C71073"/>
    <w:rsid w:val="65D54BCF"/>
    <w:rsid w:val="65F64FB6"/>
    <w:rsid w:val="66063D0C"/>
    <w:rsid w:val="66131411"/>
    <w:rsid w:val="66236175"/>
    <w:rsid w:val="665A392B"/>
    <w:rsid w:val="66742F4E"/>
    <w:rsid w:val="66803FE1"/>
    <w:rsid w:val="668D1546"/>
    <w:rsid w:val="668D1B70"/>
    <w:rsid w:val="66935AB4"/>
    <w:rsid w:val="66C07641"/>
    <w:rsid w:val="66C3417D"/>
    <w:rsid w:val="66C536C2"/>
    <w:rsid w:val="66DD5C6C"/>
    <w:rsid w:val="66F15FB1"/>
    <w:rsid w:val="66FB3176"/>
    <w:rsid w:val="67184C01"/>
    <w:rsid w:val="671C26B6"/>
    <w:rsid w:val="67245881"/>
    <w:rsid w:val="67333A75"/>
    <w:rsid w:val="674127D0"/>
    <w:rsid w:val="674F0F25"/>
    <w:rsid w:val="6761296F"/>
    <w:rsid w:val="676254BF"/>
    <w:rsid w:val="677321B7"/>
    <w:rsid w:val="677A0A3F"/>
    <w:rsid w:val="6798314D"/>
    <w:rsid w:val="67A61834"/>
    <w:rsid w:val="67CB101E"/>
    <w:rsid w:val="67E57E18"/>
    <w:rsid w:val="67E85395"/>
    <w:rsid w:val="68015ACE"/>
    <w:rsid w:val="681B5E90"/>
    <w:rsid w:val="6821507E"/>
    <w:rsid w:val="68220A7B"/>
    <w:rsid w:val="68237344"/>
    <w:rsid w:val="6848354B"/>
    <w:rsid w:val="684B4363"/>
    <w:rsid w:val="686A4171"/>
    <w:rsid w:val="68707E7B"/>
    <w:rsid w:val="68714FB2"/>
    <w:rsid w:val="68832D6D"/>
    <w:rsid w:val="68871F75"/>
    <w:rsid w:val="6890761A"/>
    <w:rsid w:val="6893305A"/>
    <w:rsid w:val="68977C0D"/>
    <w:rsid w:val="68AC2CF6"/>
    <w:rsid w:val="68AC6FE7"/>
    <w:rsid w:val="68C02045"/>
    <w:rsid w:val="68DD1D36"/>
    <w:rsid w:val="68E23B7A"/>
    <w:rsid w:val="68F0325C"/>
    <w:rsid w:val="68F90954"/>
    <w:rsid w:val="68FB6120"/>
    <w:rsid w:val="68FD3DFB"/>
    <w:rsid w:val="6901260A"/>
    <w:rsid w:val="69100ED4"/>
    <w:rsid w:val="692E041D"/>
    <w:rsid w:val="692F5983"/>
    <w:rsid w:val="69421120"/>
    <w:rsid w:val="694A26AF"/>
    <w:rsid w:val="6953391D"/>
    <w:rsid w:val="69571699"/>
    <w:rsid w:val="69653A40"/>
    <w:rsid w:val="69775288"/>
    <w:rsid w:val="69824A1F"/>
    <w:rsid w:val="69966129"/>
    <w:rsid w:val="69C03574"/>
    <w:rsid w:val="69D1795C"/>
    <w:rsid w:val="69DA2643"/>
    <w:rsid w:val="69DD7063"/>
    <w:rsid w:val="69E803C7"/>
    <w:rsid w:val="6A11425B"/>
    <w:rsid w:val="6A210343"/>
    <w:rsid w:val="6A2C1AE2"/>
    <w:rsid w:val="6A5A0160"/>
    <w:rsid w:val="6AA3634C"/>
    <w:rsid w:val="6AA63774"/>
    <w:rsid w:val="6ABB7045"/>
    <w:rsid w:val="6AC8527C"/>
    <w:rsid w:val="6AE85D06"/>
    <w:rsid w:val="6B9C277C"/>
    <w:rsid w:val="6B9E0E9A"/>
    <w:rsid w:val="6BAB5102"/>
    <w:rsid w:val="6BAE1DD9"/>
    <w:rsid w:val="6BB70761"/>
    <w:rsid w:val="6BDB3210"/>
    <w:rsid w:val="6C135057"/>
    <w:rsid w:val="6C187187"/>
    <w:rsid w:val="6C1B26FB"/>
    <w:rsid w:val="6C4343BF"/>
    <w:rsid w:val="6C4A3BC6"/>
    <w:rsid w:val="6C4C4FA1"/>
    <w:rsid w:val="6C6423A9"/>
    <w:rsid w:val="6C7A2FC9"/>
    <w:rsid w:val="6C8C7F5B"/>
    <w:rsid w:val="6C9A6F55"/>
    <w:rsid w:val="6CA13888"/>
    <w:rsid w:val="6CA86284"/>
    <w:rsid w:val="6CA8776F"/>
    <w:rsid w:val="6CBA6DFC"/>
    <w:rsid w:val="6CCA1682"/>
    <w:rsid w:val="6CCA71E4"/>
    <w:rsid w:val="6CF1426F"/>
    <w:rsid w:val="6D0B04DA"/>
    <w:rsid w:val="6D0C714E"/>
    <w:rsid w:val="6D11636A"/>
    <w:rsid w:val="6D272AE4"/>
    <w:rsid w:val="6D2B5103"/>
    <w:rsid w:val="6D5155AB"/>
    <w:rsid w:val="6D593FE7"/>
    <w:rsid w:val="6D610408"/>
    <w:rsid w:val="6D745C37"/>
    <w:rsid w:val="6D77157D"/>
    <w:rsid w:val="6D843AB9"/>
    <w:rsid w:val="6D8D4DA0"/>
    <w:rsid w:val="6D913D16"/>
    <w:rsid w:val="6D9D4344"/>
    <w:rsid w:val="6DB937C3"/>
    <w:rsid w:val="6DBA1E1C"/>
    <w:rsid w:val="6DC71EBA"/>
    <w:rsid w:val="6DD75107"/>
    <w:rsid w:val="6DEF4838"/>
    <w:rsid w:val="6E021F96"/>
    <w:rsid w:val="6E165D42"/>
    <w:rsid w:val="6E177CA7"/>
    <w:rsid w:val="6E234664"/>
    <w:rsid w:val="6E293CCD"/>
    <w:rsid w:val="6E2D68E6"/>
    <w:rsid w:val="6E404B39"/>
    <w:rsid w:val="6E41684E"/>
    <w:rsid w:val="6E70096D"/>
    <w:rsid w:val="6E910626"/>
    <w:rsid w:val="6EC16618"/>
    <w:rsid w:val="6EC73EC5"/>
    <w:rsid w:val="6ED50E06"/>
    <w:rsid w:val="6EED2470"/>
    <w:rsid w:val="6F0A6583"/>
    <w:rsid w:val="6F0A7E37"/>
    <w:rsid w:val="6F254F92"/>
    <w:rsid w:val="6F41223E"/>
    <w:rsid w:val="6F4600CB"/>
    <w:rsid w:val="6F493D90"/>
    <w:rsid w:val="6F4A7BAE"/>
    <w:rsid w:val="6F5B383F"/>
    <w:rsid w:val="6F660753"/>
    <w:rsid w:val="6F6C22AB"/>
    <w:rsid w:val="6F7435D0"/>
    <w:rsid w:val="6F8E5076"/>
    <w:rsid w:val="6F9A4D5C"/>
    <w:rsid w:val="6F9D6B5A"/>
    <w:rsid w:val="6FB16BF8"/>
    <w:rsid w:val="6FD31322"/>
    <w:rsid w:val="6FDB727D"/>
    <w:rsid w:val="6FDD3CEC"/>
    <w:rsid w:val="6FEF1841"/>
    <w:rsid w:val="6FF12C2C"/>
    <w:rsid w:val="6FF84875"/>
    <w:rsid w:val="700F0006"/>
    <w:rsid w:val="70266864"/>
    <w:rsid w:val="702E4144"/>
    <w:rsid w:val="70510969"/>
    <w:rsid w:val="706A2098"/>
    <w:rsid w:val="708C4076"/>
    <w:rsid w:val="70977F6A"/>
    <w:rsid w:val="70BA7268"/>
    <w:rsid w:val="70DB0ED3"/>
    <w:rsid w:val="70DC1832"/>
    <w:rsid w:val="70E75267"/>
    <w:rsid w:val="70F203B2"/>
    <w:rsid w:val="711117E5"/>
    <w:rsid w:val="711A7573"/>
    <w:rsid w:val="71446360"/>
    <w:rsid w:val="71666A78"/>
    <w:rsid w:val="71824320"/>
    <w:rsid w:val="71826EC4"/>
    <w:rsid w:val="71CA3EE6"/>
    <w:rsid w:val="71D51E73"/>
    <w:rsid w:val="71F17B50"/>
    <w:rsid w:val="71F34C25"/>
    <w:rsid w:val="71F7393F"/>
    <w:rsid w:val="720828E4"/>
    <w:rsid w:val="720B58F3"/>
    <w:rsid w:val="7211785A"/>
    <w:rsid w:val="72196CC9"/>
    <w:rsid w:val="7226030C"/>
    <w:rsid w:val="72462F23"/>
    <w:rsid w:val="72514B3F"/>
    <w:rsid w:val="727929CB"/>
    <w:rsid w:val="727B0F0D"/>
    <w:rsid w:val="72A71111"/>
    <w:rsid w:val="72B0579D"/>
    <w:rsid w:val="72B429A8"/>
    <w:rsid w:val="72C25AE5"/>
    <w:rsid w:val="72D048A6"/>
    <w:rsid w:val="72DC59A2"/>
    <w:rsid w:val="72E73404"/>
    <w:rsid w:val="72E811BD"/>
    <w:rsid w:val="72FA731F"/>
    <w:rsid w:val="7304773E"/>
    <w:rsid w:val="731C39B2"/>
    <w:rsid w:val="731D4313"/>
    <w:rsid w:val="73242F8A"/>
    <w:rsid w:val="7325461F"/>
    <w:rsid w:val="7336060D"/>
    <w:rsid w:val="73675C06"/>
    <w:rsid w:val="736F0F97"/>
    <w:rsid w:val="73705188"/>
    <w:rsid w:val="73921033"/>
    <w:rsid w:val="73A50063"/>
    <w:rsid w:val="73B556CE"/>
    <w:rsid w:val="73B617CF"/>
    <w:rsid w:val="74007EDA"/>
    <w:rsid w:val="74014183"/>
    <w:rsid w:val="744109C4"/>
    <w:rsid w:val="744368DB"/>
    <w:rsid w:val="74660397"/>
    <w:rsid w:val="746F32B3"/>
    <w:rsid w:val="747F331B"/>
    <w:rsid w:val="74842202"/>
    <w:rsid w:val="74863F8A"/>
    <w:rsid w:val="74A1714D"/>
    <w:rsid w:val="74AF0E7B"/>
    <w:rsid w:val="74B92ACF"/>
    <w:rsid w:val="74C37033"/>
    <w:rsid w:val="74E12515"/>
    <w:rsid w:val="750257FA"/>
    <w:rsid w:val="75076245"/>
    <w:rsid w:val="752F657F"/>
    <w:rsid w:val="755077B5"/>
    <w:rsid w:val="759E3867"/>
    <w:rsid w:val="75B41630"/>
    <w:rsid w:val="75B8549F"/>
    <w:rsid w:val="75C961D6"/>
    <w:rsid w:val="75CF01A8"/>
    <w:rsid w:val="75D31008"/>
    <w:rsid w:val="75D806A3"/>
    <w:rsid w:val="75F16B8F"/>
    <w:rsid w:val="75F335A5"/>
    <w:rsid w:val="760240BA"/>
    <w:rsid w:val="7615536F"/>
    <w:rsid w:val="761E4321"/>
    <w:rsid w:val="763D4A08"/>
    <w:rsid w:val="765A6217"/>
    <w:rsid w:val="765A7313"/>
    <w:rsid w:val="765F3543"/>
    <w:rsid w:val="766149AA"/>
    <w:rsid w:val="766773AE"/>
    <w:rsid w:val="766C79FF"/>
    <w:rsid w:val="76887CC0"/>
    <w:rsid w:val="768F24AC"/>
    <w:rsid w:val="76A44A56"/>
    <w:rsid w:val="76B41BD5"/>
    <w:rsid w:val="76D672EB"/>
    <w:rsid w:val="76EF3869"/>
    <w:rsid w:val="77066D3C"/>
    <w:rsid w:val="771553BF"/>
    <w:rsid w:val="776F5D1E"/>
    <w:rsid w:val="779C0461"/>
    <w:rsid w:val="77BB2E5B"/>
    <w:rsid w:val="77D679DA"/>
    <w:rsid w:val="77DF669D"/>
    <w:rsid w:val="77E838B2"/>
    <w:rsid w:val="77EA751B"/>
    <w:rsid w:val="78071F93"/>
    <w:rsid w:val="78115F37"/>
    <w:rsid w:val="781F58FE"/>
    <w:rsid w:val="78281084"/>
    <w:rsid w:val="7835608D"/>
    <w:rsid w:val="783862B8"/>
    <w:rsid w:val="783C50B9"/>
    <w:rsid w:val="786927E3"/>
    <w:rsid w:val="787E79C0"/>
    <w:rsid w:val="788673CA"/>
    <w:rsid w:val="789309DB"/>
    <w:rsid w:val="78972889"/>
    <w:rsid w:val="78AB51E4"/>
    <w:rsid w:val="78C36E07"/>
    <w:rsid w:val="78CF6ED1"/>
    <w:rsid w:val="78E573CF"/>
    <w:rsid w:val="78F613A4"/>
    <w:rsid w:val="79003F2C"/>
    <w:rsid w:val="791D47FC"/>
    <w:rsid w:val="79385289"/>
    <w:rsid w:val="79540615"/>
    <w:rsid w:val="79574EA8"/>
    <w:rsid w:val="796360EB"/>
    <w:rsid w:val="797A0EF9"/>
    <w:rsid w:val="797E33D4"/>
    <w:rsid w:val="79804CFD"/>
    <w:rsid w:val="79850471"/>
    <w:rsid w:val="79967551"/>
    <w:rsid w:val="79972B59"/>
    <w:rsid w:val="79BB01EB"/>
    <w:rsid w:val="79C92F4B"/>
    <w:rsid w:val="79CA2261"/>
    <w:rsid w:val="79CC7DA4"/>
    <w:rsid w:val="79D06496"/>
    <w:rsid w:val="79D163C6"/>
    <w:rsid w:val="79D26778"/>
    <w:rsid w:val="7A156D1D"/>
    <w:rsid w:val="7A27181C"/>
    <w:rsid w:val="7A2F31B6"/>
    <w:rsid w:val="7A486688"/>
    <w:rsid w:val="7A4C0F80"/>
    <w:rsid w:val="7A516C47"/>
    <w:rsid w:val="7A602CA0"/>
    <w:rsid w:val="7A651BD5"/>
    <w:rsid w:val="7A73770D"/>
    <w:rsid w:val="7A796431"/>
    <w:rsid w:val="7AA27C79"/>
    <w:rsid w:val="7AB05D8F"/>
    <w:rsid w:val="7AB54214"/>
    <w:rsid w:val="7AC36A64"/>
    <w:rsid w:val="7ACC56F0"/>
    <w:rsid w:val="7ACF7EAE"/>
    <w:rsid w:val="7AE066C1"/>
    <w:rsid w:val="7AE82ED8"/>
    <w:rsid w:val="7AFD671C"/>
    <w:rsid w:val="7B00663E"/>
    <w:rsid w:val="7B22521E"/>
    <w:rsid w:val="7B252879"/>
    <w:rsid w:val="7B2716EF"/>
    <w:rsid w:val="7B4D6D61"/>
    <w:rsid w:val="7B4E0FA2"/>
    <w:rsid w:val="7B4E6D80"/>
    <w:rsid w:val="7B5F1236"/>
    <w:rsid w:val="7B831E1D"/>
    <w:rsid w:val="7B937127"/>
    <w:rsid w:val="7BD951F6"/>
    <w:rsid w:val="7BF032A0"/>
    <w:rsid w:val="7BF45417"/>
    <w:rsid w:val="7BF755D6"/>
    <w:rsid w:val="7C135C17"/>
    <w:rsid w:val="7C243B57"/>
    <w:rsid w:val="7C295C99"/>
    <w:rsid w:val="7C2F364F"/>
    <w:rsid w:val="7C36658A"/>
    <w:rsid w:val="7C430C37"/>
    <w:rsid w:val="7C696660"/>
    <w:rsid w:val="7C7726F3"/>
    <w:rsid w:val="7C8245B4"/>
    <w:rsid w:val="7C9223A4"/>
    <w:rsid w:val="7C955272"/>
    <w:rsid w:val="7CA20B0C"/>
    <w:rsid w:val="7CA73072"/>
    <w:rsid w:val="7CC9414A"/>
    <w:rsid w:val="7CC97FE8"/>
    <w:rsid w:val="7CD821DE"/>
    <w:rsid w:val="7CDD764F"/>
    <w:rsid w:val="7CE0369B"/>
    <w:rsid w:val="7CE8100D"/>
    <w:rsid w:val="7D0005CA"/>
    <w:rsid w:val="7D03312D"/>
    <w:rsid w:val="7D051D8F"/>
    <w:rsid w:val="7D292894"/>
    <w:rsid w:val="7D4F41DF"/>
    <w:rsid w:val="7D6403A3"/>
    <w:rsid w:val="7D7E7DA7"/>
    <w:rsid w:val="7D8E3F5E"/>
    <w:rsid w:val="7D9A0859"/>
    <w:rsid w:val="7DAF48F6"/>
    <w:rsid w:val="7DB26238"/>
    <w:rsid w:val="7DC42271"/>
    <w:rsid w:val="7DDC6B23"/>
    <w:rsid w:val="7DDD1857"/>
    <w:rsid w:val="7DE643E5"/>
    <w:rsid w:val="7DF658BE"/>
    <w:rsid w:val="7DF73CB8"/>
    <w:rsid w:val="7E372D8F"/>
    <w:rsid w:val="7E6D4252"/>
    <w:rsid w:val="7E6F5B67"/>
    <w:rsid w:val="7E7513CC"/>
    <w:rsid w:val="7E7B5E4D"/>
    <w:rsid w:val="7EAE03A3"/>
    <w:rsid w:val="7EB1326D"/>
    <w:rsid w:val="7EC5558A"/>
    <w:rsid w:val="7EF76572"/>
    <w:rsid w:val="7F211907"/>
    <w:rsid w:val="7F27505E"/>
    <w:rsid w:val="7F31709F"/>
    <w:rsid w:val="7F326F7F"/>
    <w:rsid w:val="7F354390"/>
    <w:rsid w:val="7F3554B7"/>
    <w:rsid w:val="7F462E51"/>
    <w:rsid w:val="7F591F5C"/>
    <w:rsid w:val="7F6876FB"/>
    <w:rsid w:val="7F6F5DC3"/>
    <w:rsid w:val="7F7923EB"/>
    <w:rsid w:val="7F7E2198"/>
    <w:rsid w:val="7F8558DE"/>
    <w:rsid w:val="7F880F64"/>
    <w:rsid w:val="7F995C03"/>
    <w:rsid w:val="7FAF327B"/>
    <w:rsid w:val="7FCC37F9"/>
    <w:rsid w:val="7FD15FB9"/>
    <w:rsid w:val="7FE4128B"/>
    <w:rsid w:val="7FE533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0" w:semiHidden="0" w:name="HTML Acronym"/>
    <w:lsdException w:qFormat="1" w:unhideWhenUsed="0" w:uiPriority="99"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4">
    <w:name w:val="heading 1"/>
    <w:basedOn w:val="1"/>
    <w:next w:val="1"/>
    <w:link w:val="174"/>
    <w:qFormat/>
    <w:uiPriority w:val="99"/>
    <w:pPr>
      <w:keepNext/>
      <w:numPr>
        <w:ilvl w:val="0"/>
        <w:numId w:val="1"/>
      </w:numPr>
      <w:tabs>
        <w:tab w:val="left" w:pos="2160"/>
      </w:tabs>
      <w:autoSpaceDE w:val="0"/>
      <w:autoSpaceDN w:val="0"/>
      <w:snapToGrid w:val="0"/>
      <w:spacing w:before="40"/>
      <w:ind w:right="-113"/>
      <w:jc w:val="left"/>
      <w:textAlignment w:val="bottom"/>
      <w:outlineLvl w:val="0"/>
    </w:pPr>
    <w:rPr>
      <w:rFonts w:ascii="仿宋体" w:hAnsi="Algerian" w:eastAsia="仿宋体"/>
      <w:color w:val="000000"/>
      <w:sz w:val="28"/>
      <w:shd w:val="clear" w:color="auto" w:fill="FFFFFF"/>
    </w:rPr>
  </w:style>
  <w:style w:type="paragraph" w:styleId="5">
    <w:name w:val="heading 2"/>
    <w:basedOn w:val="1"/>
    <w:next w:val="6"/>
    <w:link w:val="175"/>
    <w:qFormat/>
    <w:uiPriority w:val="0"/>
    <w:pPr>
      <w:keepNext/>
      <w:keepLines/>
      <w:numPr>
        <w:ilvl w:val="0"/>
        <w:numId w:val="2"/>
      </w:numPr>
      <w:snapToGrid w:val="0"/>
      <w:spacing w:before="60" w:line="360" w:lineRule="auto"/>
      <w:textAlignment w:val="auto"/>
      <w:outlineLvl w:val="1"/>
    </w:pPr>
    <w:rPr>
      <w:rFonts w:ascii="Arial" w:hAnsi="Arial" w:eastAsia="仿宋_GB2312"/>
      <w:kern w:val="2"/>
      <w:sz w:val="28"/>
    </w:rPr>
  </w:style>
  <w:style w:type="paragraph" w:styleId="7">
    <w:name w:val="heading 3"/>
    <w:basedOn w:val="1"/>
    <w:next w:val="6"/>
    <w:link w:val="176"/>
    <w:qFormat/>
    <w:uiPriority w:val="99"/>
    <w:pPr>
      <w:keepNext/>
      <w:keepLines/>
      <w:numPr>
        <w:ilvl w:val="0"/>
        <w:numId w:val="3"/>
      </w:numPr>
      <w:snapToGrid w:val="0"/>
      <w:spacing w:before="60" w:line="300" w:lineRule="auto"/>
      <w:textAlignment w:val="auto"/>
      <w:outlineLvl w:val="2"/>
    </w:pPr>
    <w:rPr>
      <w:rFonts w:ascii="仿宋_GB2312" w:eastAsia="仿宋_GB2312"/>
      <w:kern w:val="2"/>
      <w:sz w:val="28"/>
    </w:rPr>
  </w:style>
  <w:style w:type="paragraph" w:styleId="8">
    <w:name w:val="heading 4"/>
    <w:basedOn w:val="1"/>
    <w:next w:val="1"/>
    <w:link w:val="173"/>
    <w:qFormat/>
    <w:uiPriority w:val="99"/>
    <w:pPr>
      <w:keepNext/>
      <w:numPr>
        <w:ilvl w:val="0"/>
        <w:numId w:val="4"/>
      </w:numPr>
      <w:spacing w:line="360" w:lineRule="auto"/>
      <w:outlineLvl w:val="3"/>
    </w:pPr>
    <w:rPr>
      <w:rFonts w:eastAsia="仿宋_GB2312"/>
      <w:sz w:val="28"/>
    </w:rPr>
  </w:style>
  <w:style w:type="paragraph" w:styleId="9">
    <w:name w:val="heading 5"/>
    <w:basedOn w:val="1"/>
    <w:next w:val="1"/>
    <w:link w:val="126"/>
    <w:qFormat/>
    <w:uiPriority w:val="99"/>
    <w:pPr>
      <w:keepNext/>
      <w:keepLines/>
      <w:widowControl/>
      <w:adjustRightInd/>
      <w:spacing w:before="200" w:line="300" w:lineRule="auto"/>
      <w:jc w:val="left"/>
      <w:textAlignment w:val="auto"/>
      <w:outlineLvl w:val="4"/>
    </w:pPr>
    <w:rPr>
      <w:rFonts w:ascii="Bell MT" w:hAnsi="Bell MT" w:eastAsia="黑体"/>
      <w:color w:val="450016"/>
      <w:sz w:val="20"/>
    </w:rPr>
  </w:style>
  <w:style w:type="paragraph" w:styleId="10">
    <w:name w:val="heading 6"/>
    <w:basedOn w:val="1"/>
    <w:next w:val="1"/>
    <w:link w:val="127"/>
    <w:qFormat/>
    <w:uiPriority w:val="99"/>
    <w:pPr>
      <w:keepNext/>
      <w:keepLines/>
      <w:widowControl/>
      <w:adjustRightInd/>
      <w:spacing w:before="200" w:line="300" w:lineRule="auto"/>
      <w:jc w:val="left"/>
      <w:textAlignment w:val="auto"/>
      <w:outlineLvl w:val="5"/>
    </w:pPr>
    <w:rPr>
      <w:rFonts w:ascii="Bell MT" w:hAnsi="Bell MT" w:eastAsia="黑体"/>
      <w:i/>
      <w:iCs/>
      <w:color w:val="450016"/>
      <w:sz w:val="20"/>
    </w:rPr>
  </w:style>
  <w:style w:type="paragraph" w:styleId="11">
    <w:name w:val="heading 7"/>
    <w:basedOn w:val="1"/>
    <w:next w:val="1"/>
    <w:link w:val="128"/>
    <w:qFormat/>
    <w:uiPriority w:val="99"/>
    <w:pPr>
      <w:keepNext/>
      <w:keepLines/>
      <w:widowControl/>
      <w:adjustRightInd/>
      <w:spacing w:before="200" w:line="300" w:lineRule="auto"/>
      <w:jc w:val="left"/>
      <w:textAlignment w:val="auto"/>
      <w:outlineLvl w:val="6"/>
    </w:pPr>
    <w:rPr>
      <w:rFonts w:ascii="Bell MT" w:hAnsi="Bell MT" w:eastAsia="黑体"/>
      <w:i/>
      <w:iCs/>
      <w:color w:val="3F3F3F"/>
      <w:sz w:val="20"/>
    </w:rPr>
  </w:style>
  <w:style w:type="paragraph" w:styleId="12">
    <w:name w:val="heading 8"/>
    <w:basedOn w:val="1"/>
    <w:next w:val="1"/>
    <w:link w:val="129"/>
    <w:qFormat/>
    <w:uiPriority w:val="99"/>
    <w:pPr>
      <w:keepNext/>
      <w:keepLines/>
      <w:widowControl/>
      <w:adjustRightInd/>
      <w:spacing w:before="200" w:line="300" w:lineRule="auto"/>
      <w:jc w:val="left"/>
      <w:textAlignment w:val="auto"/>
      <w:outlineLvl w:val="7"/>
    </w:pPr>
    <w:rPr>
      <w:rFonts w:ascii="Bell MT" w:hAnsi="Bell MT" w:eastAsia="黑体"/>
      <w:color w:val="3F3F3F"/>
      <w:sz w:val="20"/>
    </w:rPr>
  </w:style>
  <w:style w:type="paragraph" w:styleId="13">
    <w:name w:val="heading 9"/>
    <w:basedOn w:val="1"/>
    <w:next w:val="1"/>
    <w:link w:val="130"/>
    <w:qFormat/>
    <w:uiPriority w:val="99"/>
    <w:pPr>
      <w:keepNext/>
      <w:keepLines/>
      <w:widowControl/>
      <w:adjustRightInd/>
      <w:spacing w:before="200" w:line="300" w:lineRule="auto"/>
      <w:jc w:val="left"/>
      <w:textAlignment w:val="auto"/>
      <w:outlineLvl w:val="8"/>
    </w:pPr>
    <w:rPr>
      <w:rFonts w:ascii="Bell MT" w:hAnsi="Bell MT" w:eastAsia="黑体"/>
      <w:i/>
      <w:iCs/>
      <w:color w:val="3F3F3F"/>
      <w:sz w:val="20"/>
    </w:rPr>
  </w:style>
  <w:style w:type="character" w:default="1" w:styleId="91">
    <w:name w:val="Default Paragraph Font"/>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jc w:val="both"/>
    </w:pPr>
    <w:rPr>
      <w:rFonts w:ascii="华文细黑" w:hAnsi="Times New Roman" w:eastAsia="华文细黑" w:cs="华文细黑"/>
      <w:color w:val="000000"/>
      <w:sz w:val="24"/>
      <w:szCs w:val="24"/>
      <w:lang w:val="en-US" w:eastAsia="zh-CN" w:bidi="ar-SA"/>
    </w:rPr>
  </w:style>
  <w:style w:type="paragraph" w:styleId="3">
    <w:name w:val="macro"/>
    <w:link w:val="180"/>
    <w:qFormat/>
    <w:uiPriority w:val="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eastAsia="宋体" w:cs="Times New Roman"/>
      <w:lang w:val="en-US" w:eastAsia="zh-CN" w:bidi="ar-SA"/>
    </w:rPr>
  </w:style>
  <w:style w:type="paragraph" w:styleId="6">
    <w:name w:val="Normal Indent"/>
    <w:basedOn w:val="1"/>
    <w:qFormat/>
    <w:uiPriority w:val="99"/>
    <w:pPr>
      <w:snapToGrid w:val="0"/>
      <w:spacing w:before="60" w:line="300" w:lineRule="auto"/>
      <w:ind w:firstLine="420"/>
      <w:textAlignment w:val="auto"/>
    </w:pPr>
    <w:rPr>
      <w:rFonts w:ascii="仿宋_GB2312" w:eastAsia="仿宋_GB2312"/>
      <w:kern w:val="2"/>
      <w:sz w:val="28"/>
    </w:rPr>
  </w:style>
  <w:style w:type="paragraph" w:styleId="14">
    <w:name w:val="List 3"/>
    <w:basedOn w:val="1"/>
    <w:qFormat/>
    <w:uiPriority w:val="99"/>
    <w:pPr>
      <w:widowControl/>
      <w:adjustRightInd/>
      <w:spacing w:line="300" w:lineRule="auto"/>
      <w:ind w:left="1080" w:hanging="360"/>
      <w:contextualSpacing/>
      <w:jc w:val="left"/>
      <w:textAlignment w:val="auto"/>
    </w:pPr>
    <w:rPr>
      <w:rFonts w:ascii="Bell MT" w:hAnsi="Bell MT" w:eastAsia="黑体" w:cs="黑体"/>
      <w:sz w:val="22"/>
      <w:szCs w:val="22"/>
    </w:rPr>
  </w:style>
  <w:style w:type="paragraph" w:styleId="15">
    <w:name w:val="toc 7"/>
    <w:basedOn w:val="1"/>
    <w:next w:val="1"/>
    <w:qFormat/>
    <w:uiPriority w:val="99"/>
    <w:pPr>
      <w:ind w:left="2520" w:leftChars="1200"/>
    </w:pPr>
  </w:style>
  <w:style w:type="paragraph" w:styleId="16">
    <w:name w:val="List Number 2"/>
    <w:basedOn w:val="1"/>
    <w:qFormat/>
    <w:uiPriority w:val="99"/>
    <w:pPr>
      <w:widowControl/>
      <w:tabs>
        <w:tab w:val="left" w:pos="720"/>
      </w:tabs>
      <w:adjustRightInd/>
      <w:spacing w:line="300" w:lineRule="auto"/>
      <w:ind w:left="720" w:hanging="360"/>
      <w:contextualSpacing/>
      <w:jc w:val="left"/>
      <w:textAlignment w:val="auto"/>
    </w:pPr>
    <w:rPr>
      <w:rFonts w:ascii="Bell MT" w:hAnsi="Bell MT" w:eastAsia="黑体" w:cs="黑体"/>
      <w:sz w:val="22"/>
      <w:szCs w:val="22"/>
    </w:rPr>
  </w:style>
  <w:style w:type="paragraph" w:styleId="17">
    <w:name w:val="table of authorities"/>
    <w:basedOn w:val="1"/>
    <w:next w:val="1"/>
    <w:qFormat/>
    <w:uiPriority w:val="99"/>
    <w:pPr>
      <w:widowControl/>
      <w:adjustRightInd/>
      <w:spacing w:line="300" w:lineRule="auto"/>
      <w:ind w:left="220" w:hanging="220"/>
      <w:jc w:val="left"/>
      <w:textAlignment w:val="auto"/>
    </w:pPr>
    <w:rPr>
      <w:rFonts w:ascii="Bell MT" w:hAnsi="Bell MT" w:eastAsia="黑体" w:cs="黑体"/>
      <w:sz w:val="22"/>
      <w:szCs w:val="22"/>
    </w:rPr>
  </w:style>
  <w:style w:type="paragraph" w:styleId="18">
    <w:name w:val="Note Heading"/>
    <w:basedOn w:val="1"/>
    <w:next w:val="1"/>
    <w:link w:val="181"/>
    <w:qFormat/>
    <w:uiPriority w:val="99"/>
    <w:pPr>
      <w:widowControl/>
      <w:adjustRightInd/>
      <w:spacing w:line="240" w:lineRule="auto"/>
      <w:jc w:val="left"/>
      <w:textAlignment w:val="auto"/>
    </w:pPr>
    <w:rPr>
      <w:rFonts w:ascii="Bell MT" w:hAnsi="Bell MT" w:eastAsia="黑体" w:cs="黑体"/>
      <w:sz w:val="22"/>
      <w:szCs w:val="22"/>
    </w:rPr>
  </w:style>
  <w:style w:type="paragraph" w:styleId="19">
    <w:name w:val="List Bullet 4"/>
    <w:basedOn w:val="1"/>
    <w:qFormat/>
    <w:uiPriority w:val="99"/>
    <w:pPr>
      <w:widowControl/>
      <w:tabs>
        <w:tab w:val="left" w:pos="1440"/>
      </w:tabs>
      <w:adjustRightInd/>
      <w:spacing w:line="300" w:lineRule="auto"/>
      <w:ind w:left="1440" w:hanging="360"/>
      <w:contextualSpacing/>
      <w:jc w:val="left"/>
      <w:textAlignment w:val="auto"/>
    </w:pPr>
    <w:rPr>
      <w:rFonts w:ascii="Bell MT" w:hAnsi="Bell MT" w:eastAsia="黑体" w:cs="黑体"/>
      <w:sz w:val="22"/>
      <w:szCs w:val="22"/>
    </w:rPr>
  </w:style>
  <w:style w:type="paragraph" w:styleId="20">
    <w:name w:val="index 8"/>
    <w:basedOn w:val="1"/>
    <w:next w:val="1"/>
    <w:qFormat/>
    <w:uiPriority w:val="99"/>
    <w:pPr>
      <w:widowControl/>
      <w:adjustRightInd/>
      <w:spacing w:line="240" w:lineRule="auto"/>
      <w:ind w:left="1760" w:hanging="220"/>
      <w:jc w:val="left"/>
      <w:textAlignment w:val="auto"/>
    </w:pPr>
    <w:rPr>
      <w:rFonts w:ascii="Bell MT" w:hAnsi="Bell MT" w:eastAsia="黑体" w:cs="黑体"/>
      <w:sz w:val="22"/>
      <w:szCs w:val="22"/>
    </w:rPr>
  </w:style>
  <w:style w:type="paragraph" w:styleId="21">
    <w:name w:val="E-mail Signature"/>
    <w:basedOn w:val="1"/>
    <w:link w:val="182"/>
    <w:qFormat/>
    <w:uiPriority w:val="99"/>
    <w:pPr>
      <w:widowControl/>
      <w:adjustRightInd/>
      <w:spacing w:line="240" w:lineRule="auto"/>
      <w:jc w:val="left"/>
      <w:textAlignment w:val="auto"/>
    </w:pPr>
    <w:rPr>
      <w:rFonts w:ascii="Bell MT" w:hAnsi="Bell MT" w:eastAsia="黑体" w:cs="黑体"/>
      <w:sz w:val="22"/>
      <w:szCs w:val="22"/>
    </w:rPr>
  </w:style>
  <w:style w:type="paragraph" w:styleId="22">
    <w:name w:val="List Number"/>
    <w:basedOn w:val="1"/>
    <w:qFormat/>
    <w:uiPriority w:val="99"/>
    <w:pPr>
      <w:widowControl/>
      <w:tabs>
        <w:tab w:val="left" w:pos="360"/>
      </w:tabs>
      <w:adjustRightInd/>
      <w:spacing w:line="300" w:lineRule="auto"/>
      <w:ind w:left="360" w:hanging="360"/>
      <w:contextualSpacing/>
      <w:jc w:val="left"/>
      <w:textAlignment w:val="auto"/>
    </w:pPr>
    <w:rPr>
      <w:rFonts w:ascii="Bell MT" w:hAnsi="Bell MT" w:eastAsia="黑体" w:cs="黑体"/>
      <w:sz w:val="22"/>
      <w:szCs w:val="22"/>
    </w:rPr>
  </w:style>
  <w:style w:type="paragraph" w:styleId="23">
    <w:name w:val="caption"/>
    <w:basedOn w:val="1"/>
    <w:next w:val="1"/>
    <w:qFormat/>
    <w:uiPriority w:val="99"/>
    <w:rPr>
      <w:rFonts w:ascii="Arial" w:hAnsi="Arial" w:eastAsia="黑体" w:cs="Arial"/>
      <w:sz w:val="20"/>
    </w:rPr>
  </w:style>
  <w:style w:type="paragraph" w:styleId="24">
    <w:name w:val="index 5"/>
    <w:basedOn w:val="1"/>
    <w:next w:val="1"/>
    <w:qFormat/>
    <w:uiPriority w:val="99"/>
    <w:pPr>
      <w:widowControl/>
      <w:adjustRightInd/>
      <w:spacing w:line="240" w:lineRule="auto"/>
      <w:ind w:left="1100" w:hanging="220"/>
      <w:jc w:val="left"/>
      <w:textAlignment w:val="auto"/>
    </w:pPr>
    <w:rPr>
      <w:rFonts w:ascii="Bell MT" w:hAnsi="Bell MT" w:eastAsia="黑体" w:cs="黑体"/>
      <w:sz w:val="22"/>
      <w:szCs w:val="22"/>
    </w:rPr>
  </w:style>
  <w:style w:type="paragraph" w:styleId="25">
    <w:name w:val="List Bullet"/>
    <w:basedOn w:val="1"/>
    <w:qFormat/>
    <w:uiPriority w:val="99"/>
    <w:pPr>
      <w:widowControl/>
      <w:tabs>
        <w:tab w:val="left" w:pos="360"/>
      </w:tabs>
      <w:adjustRightInd/>
      <w:spacing w:line="300" w:lineRule="auto"/>
      <w:ind w:left="360" w:hanging="360"/>
      <w:contextualSpacing/>
      <w:jc w:val="left"/>
      <w:textAlignment w:val="auto"/>
    </w:pPr>
    <w:rPr>
      <w:rFonts w:ascii="Bell MT" w:hAnsi="Bell MT" w:eastAsia="黑体" w:cs="黑体"/>
      <w:sz w:val="22"/>
      <w:szCs w:val="22"/>
    </w:rPr>
  </w:style>
  <w:style w:type="paragraph" w:styleId="26">
    <w:name w:val="envelope address"/>
    <w:basedOn w:val="1"/>
    <w:qFormat/>
    <w:uiPriority w:val="99"/>
    <w:pPr>
      <w:framePr w:w="7920" w:h="1980" w:hRule="exact" w:hSpace="180" w:wrap="around" w:vAnchor="margin" w:hAnchor="page" w:xAlign="center" w:yAlign="bottom"/>
      <w:widowControl/>
      <w:adjustRightInd/>
      <w:spacing w:line="240" w:lineRule="auto"/>
      <w:ind w:left="2880"/>
      <w:jc w:val="left"/>
      <w:textAlignment w:val="auto"/>
    </w:pPr>
    <w:rPr>
      <w:rFonts w:ascii="Bell MT" w:hAnsi="Bell MT" w:eastAsia="黑体" w:cs="黑体"/>
      <w:sz w:val="24"/>
      <w:szCs w:val="24"/>
    </w:rPr>
  </w:style>
  <w:style w:type="paragraph" w:styleId="27">
    <w:name w:val="Document Map"/>
    <w:basedOn w:val="1"/>
    <w:link w:val="183"/>
    <w:qFormat/>
    <w:uiPriority w:val="99"/>
    <w:pPr>
      <w:shd w:val="clear" w:color="auto" w:fill="000080"/>
    </w:pPr>
  </w:style>
  <w:style w:type="paragraph" w:styleId="28">
    <w:name w:val="toa heading"/>
    <w:basedOn w:val="1"/>
    <w:next w:val="1"/>
    <w:qFormat/>
    <w:uiPriority w:val="99"/>
    <w:pPr>
      <w:widowControl/>
      <w:adjustRightInd/>
      <w:spacing w:before="120" w:line="300" w:lineRule="auto"/>
      <w:jc w:val="left"/>
      <w:textAlignment w:val="auto"/>
    </w:pPr>
    <w:rPr>
      <w:rFonts w:ascii="Bell MT" w:hAnsi="Bell MT" w:eastAsia="黑体" w:cs="黑体"/>
      <w:b/>
      <w:bCs/>
      <w:sz w:val="24"/>
      <w:szCs w:val="24"/>
    </w:rPr>
  </w:style>
  <w:style w:type="paragraph" w:styleId="29">
    <w:name w:val="annotation text"/>
    <w:basedOn w:val="1"/>
    <w:link w:val="117"/>
    <w:qFormat/>
    <w:uiPriority w:val="0"/>
    <w:pPr>
      <w:jc w:val="left"/>
    </w:pPr>
  </w:style>
  <w:style w:type="paragraph" w:styleId="30">
    <w:name w:val="index 6"/>
    <w:basedOn w:val="1"/>
    <w:next w:val="1"/>
    <w:qFormat/>
    <w:uiPriority w:val="99"/>
    <w:pPr>
      <w:widowControl/>
      <w:adjustRightInd/>
      <w:spacing w:line="240" w:lineRule="auto"/>
      <w:ind w:left="1320" w:hanging="220"/>
      <w:jc w:val="left"/>
      <w:textAlignment w:val="auto"/>
    </w:pPr>
    <w:rPr>
      <w:rFonts w:ascii="Bell MT" w:hAnsi="Bell MT" w:eastAsia="黑体" w:cs="黑体"/>
      <w:sz w:val="22"/>
      <w:szCs w:val="22"/>
    </w:rPr>
  </w:style>
  <w:style w:type="paragraph" w:styleId="31">
    <w:name w:val="Salutation"/>
    <w:basedOn w:val="1"/>
    <w:next w:val="1"/>
    <w:link w:val="184"/>
    <w:qFormat/>
    <w:uiPriority w:val="99"/>
    <w:rPr>
      <w:spacing w:val="-12"/>
      <w:sz w:val="28"/>
    </w:rPr>
  </w:style>
  <w:style w:type="paragraph" w:styleId="32">
    <w:name w:val="Body Text 3"/>
    <w:basedOn w:val="1"/>
    <w:link w:val="185"/>
    <w:qFormat/>
    <w:uiPriority w:val="99"/>
    <w:pPr>
      <w:widowControl/>
      <w:adjustRightInd/>
      <w:spacing w:after="120" w:line="300" w:lineRule="auto"/>
      <w:jc w:val="left"/>
      <w:textAlignment w:val="auto"/>
    </w:pPr>
    <w:rPr>
      <w:sz w:val="16"/>
      <w:szCs w:val="16"/>
    </w:rPr>
  </w:style>
  <w:style w:type="paragraph" w:styleId="33">
    <w:name w:val="Closing"/>
    <w:basedOn w:val="1"/>
    <w:next w:val="1"/>
    <w:link w:val="186"/>
    <w:qFormat/>
    <w:uiPriority w:val="99"/>
    <w:pPr>
      <w:ind w:left="4320"/>
    </w:pPr>
    <w:rPr>
      <w:spacing w:val="-12"/>
      <w:sz w:val="28"/>
    </w:rPr>
  </w:style>
  <w:style w:type="paragraph" w:styleId="34">
    <w:name w:val="List Bullet 3"/>
    <w:basedOn w:val="1"/>
    <w:qFormat/>
    <w:uiPriority w:val="99"/>
    <w:pPr>
      <w:widowControl/>
      <w:tabs>
        <w:tab w:val="left" w:pos="1080"/>
      </w:tabs>
      <w:adjustRightInd/>
      <w:spacing w:line="300" w:lineRule="auto"/>
      <w:ind w:left="1080" w:hanging="360"/>
      <w:contextualSpacing/>
      <w:jc w:val="left"/>
      <w:textAlignment w:val="auto"/>
    </w:pPr>
    <w:rPr>
      <w:rFonts w:ascii="Bell MT" w:hAnsi="Bell MT" w:eastAsia="黑体" w:cs="黑体"/>
      <w:sz w:val="22"/>
      <w:szCs w:val="22"/>
    </w:rPr>
  </w:style>
  <w:style w:type="paragraph" w:styleId="35">
    <w:name w:val="Body Text"/>
    <w:basedOn w:val="1"/>
    <w:link w:val="178"/>
    <w:qFormat/>
    <w:uiPriority w:val="99"/>
    <w:pPr>
      <w:spacing w:after="120"/>
    </w:pPr>
  </w:style>
  <w:style w:type="paragraph" w:styleId="36">
    <w:name w:val="Body Text Indent"/>
    <w:basedOn w:val="1"/>
    <w:link w:val="192"/>
    <w:qFormat/>
    <w:uiPriority w:val="0"/>
    <w:pPr>
      <w:spacing w:line="432" w:lineRule="auto"/>
      <w:ind w:firstLine="570"/>
    </w:pPr>
    <w:rPr>
      <w:spacing w:val="-12"/>
      <w:sz w:val="28"/>
    </w:rPr>
  </w:style>
  <w:style w:type="paragraph" w:styleId="37">
    <w:name w:val="List Number 3"/>
    <w:basedOn w:val="1"/>
    <w:qFormat/>
    <w:uiPriority w:val="99"/>
    <w:pPr>
      <w:widowControl/>
      <w:tabs>
        <w:tab w:val="left" w:pos="1080"/>
      </w:tabs>
      <w:adjustRightInd/>
      <w:spacing w:line="300" w:lineRule="auto"/>
      <w:ind w:left="1080" w:hanging="360"/>
      <w:contextualSpacing/>
      <w:jc w:val="left"/>
      <w:textAlignment w:val="auto"/>
    </w:pPr>
    <w:rPr>
      <w:rFonts w:ascii="Bell MT" w:hAnsi="Bell MT" w:eastAsia="黑体" w:cs="黑体"/>
      <w:sz w:val="22"/>
      <w:szCs w:val="22"/>
    </w:rPr>
  </w:style>
  <w:style w:type="paragraph" w:styleId="38">
    <w:name w:val="List 2"/>
    <w:basedOn w:val="1"/>
    <w:qFormat/>
    <w:uiPriority w:val="99"/>
    <w:pPr>
      <w:widowControl/>
      <w:adjustRightInd/>
      <w:spacing w:line="300" w:lineRule="auto"/>
      <w:ind w:left="720" w:hanging="360"/>
      <w:contextualSpacing/>
      <w:jc w:val="left"/>
      <w:textAlignment w:val="auto"/>
    </w:pPr>
    <w:rPr>
      <w:rFonts w:ascii="Bell MT" w:hAnsi="Bell MT" w:eastAsia="黑体" w:cs="黑体"/>
      <w:sz w:val="22"/>
      <w:szCs w:val="22"/>
    </w:rPr>
  </w:style>
  <w:style w:type="paragraph" w:styleId="39">
    <w:name w:val="List Continue"/>
    <w:basedOn w:val="1"/>
    <w:link w:val="219"/>
    <w:qFormat/>
    <w:uiPriority w:val="99"/>
    <w:pPr>
      <w:widowControl/>
      <w:adjustRightInd/>
      <w:spacing w:after="120" w:line="300" w:lineRule="auto"/>
      <w:ind w:left="360"/>
      <w:contextualSpacing/>
      <w:jc w:val="left"/>
      <w:textAlignment w:val="auto"/>
    </w:pPr>
    <w:rPr>
      <w:rFonts w:ascii="Bell MT" w:hAnsi="Bell MT" w:eastAsia="黑体" w:cs="黑体"/>
      <w:sz w:val="22"/>
      <w:szCs w:val="22"/>
    </w:rPr>
  </w:style>
  <w:style w:type="paragraph" w:styleId="40">
    <w:name w:val="Block Text"/>
    <w:basedOn w:val="1"/>
    <w:qFormat/>
    <w:uiPriority w:val="99"/>
    <w:pPr>
      <w:widowControl/>
      <w:pBdr>
        <w:top w:val="single" w:color="8D002D" w:sz="2" w:space="10"/>
        <w:left w:val="single" w:color="8D002D" w:sz="2" w:space="10"/>
        <w:bottom w:val="single" w:color="8D002D" w:sz="2" w:space="10"/>
        <w:right w:val="single" w:color="8D002D" w:sz="2" w:space="10"/>
      </w:pBdr>
      <w:adjustRightInd/>
      <w:spacing w:line="300" w:lineRule="auto"/>
      <w:ind w:left="1152" w:right="1152"/>
      <w:jc w:val="left"/>
      <w:textAlignment w:val="auto"/>
    </w:pPr>
    <w:rPr>
      <w:rFonts w:ascii="Bell MT" w:hAnsi="Bell MT" w:eastAsia="黑体" w:cs="黑体"/>
      <w:i/>
      <w:iCs/>
      <w:color w:val="8D002D"/>
      <w:sz w:val="22"/>
      <w:szCs w:val="22"/>
    </w:rPr>
  </w:style>
  <w:style w:type="paragraph" w:styleId="41">
    <w:name w:val="List Bullet 2"/>
    <w:basedOn w:val="1"/>
    <w:qFormat/>
    <w:uiPriority w:val="99"/>
    <w:pPr>
      <w:widowControl/>
      <w:tabs>
        <w:tab w:val="left" w:pos="720"/>
      </w:tabs>
      <w:adjustRightInd/>
      <w:spacing w:line="300" w:lineRule="auto"/>
      <w:ind w:left="720" w:hanging="360"/>
      <w:contextualSpacing/>
      <w:jc w:val="left"/>
      <w:textAlignment w:val="auto"/>
    </w:pPr>
    <w:rPr>
      <w:rFonts w:ascii="Bell MT" w:hAnsi="Bell MT" w:eastAsia="黑体" w:cs="黑体"/>
      <w:sz w:val="22"/>
      <w:szCs w:val="22"/>
    </w:rPr>
  </w:style>
  <w:style w:type="paragraph" w:styleId="42">
    <w:name w:val="HTML Address"/>
    <w:basedOn w:val="1"/>
    <w:link w:val="187"/>
    <w:qFormat/>
    <w:uiPriority w:val="99"/>
    <w:pPr>
      <w:widowControl/>
      <w:adjustRightInd/>
      <w:spacing w:line="240" w:lineRule="auto"/>
      <w:jc w:val="left"/>
      <w:textAlignment w:val="auto"/>
    </w:pPr>
    <w:rPr>
      <w:i/>
      <w:iCs/>
      <w:sz w:val="20"/>
    </w:rPr>
  </w:style>
  <w:style w:type="paragraph" w:styleId="43">
    <w:name w:val="index 4"/>
    <w:basedOn w:val="1"/>
    <w:next w:val="1"/>
    <w:qFormat/>
    <w:uiPriority w:val="99"/>
    <w:pPr>
      <w:widowControl/>
      <w:adjustRightInd/>
      <w:spacing w:line="240" w:lineRule="auto"/>
      <w:ind w:left="880" w:hanging="220"/>
      <w:jc w:val="left"/>
      <w:textAlignment w:val="auto"/>
    </w:pPr>
    <w:rPr>
      <w:rFonts w:ascii="Bell MT" w:hAnsi="Bell MT" w:eastAsia="黑体" w:cs="黑体"/>
      <w:sz w:val="22"/>
      <w:szCs w:val="22"/>
    </w:rPr>
  </w:style>
  <w:style w:type="paragraph" w:styleId="44">
    <w:name w:val="toc 5"/>
    <w:basedOn w:val="1"/>
    <w:next w:val="1"/>
    <w:qFormat/>
    <w:uiPriority w:val="99"/>
    <w:pPr>
      <w:ind w:left="1680" w:leftChars="800"/>
    </w:pPr>
  </w:style>
  <w:style w:type="paragraph" w:styleId="45">
    <w:name w:val="toc 3"/>
    <w:basedOn w:val="1"/>
    <w:next w:val="1"/>
    <w:qFormat/>
    <w:uiPriority w:val="39"/>
    <w:pPr>
      <w:ind w:left="840" w:leftChars="400"/>
    </w:pPr>
  </w:style>
  <w:style w:type="paragraph" w:styleId="46">
    <w:name w:val="Plain Text"/>
    <w:basedOn w:val="1"/>
    <w:link w:val="188"/>
    <w:qFormat/>
    <w:uiPriority w:val="99"/>
    <w:pPr>
      <w:widowControl/>
      <w:adjustRightInd/>
      <w:spacing w:line="240" w:lineRule="auto"/>
      <w:jc w:val="left"/>
      <w:textAlignment w:val="auto"/>
    </w:pPr>
    <w:rPr>
      <w:rFonts w:ascii="Consolas" w:hAnsi="Consolas"/>
      <w:szCs w:val="21"/>
    </w:rPr>
  </w:style>
  <w:style w:type="paragraph" w:styleId="47">
    <w:name w:val="List Bullet 5"/>
    <w:basedOn w:val="1"/>
    <w:qFormat/>
    <w:uiPriority w:val="99"/>
    <w:pPr>
      <w:widowControl/>
      <w:tabs>
        <w:tab w:val="left" w:pos="1800"/>
      </w:tabs>
      <w:adjustRightInd/>
      <w:spacing w:line="300" w:lineRule="auto"/>
      <w:ind w:left="1800" w:hanging="360"/>
      <w:contextualSpacing/>
      <w:jc w:val="left"/>
      <w:textAlignment w:val="auto"/>
    </w:pPr>
    <w:rPr>
      <w:rFonts w:ascii="Bell MT" w:hAnsi="Bell MT" w:eastAsia="黑体" w:cs="黑体"/>
      <w:sz w:val="22"/>
      <w:szCs w:val="22"/>
    </w:rPr>
  </w:style>
  <w:style w:type="paragraph" w:styleId="48">
    <w:name w:val="List Number 4"/>
    <w:basedOn w:val="1"/>
    <w:qFormat/>
    <w:uiPriority w:val="99"/>
    <w:pPr>
      <w:widowControl/>
      <w:tabs>
        <w:tab w:val="left" w:pos="1440"/>
      </w:tabs>
      <w:adjustRightInd/>
      <w:spacing w:line="300" w:lineRule="auto"/>
      <w:ind w:left="1440" w:hanging="360"/>
      <w:contextualSpacing/>
      <w:jc w:val="left"/>
      <w:textAlignment w:val="auto"/>
    </w:pPr>
    <w:rPr>
      <w:rFonts w:ascii="Bell MT" w:hAnsi="Bell MT" w:eastAsia="黑体" w:cs="黑体"/>
      <w:sz w:val="22"/>
      <w:szCs w:val="22"/>
    </w:rPr>
  </w:style>
  <w:style w:type="paragraph" w:styleId="49">
    <w:name w:val="toc 8"/>
    <w:basedOn w:val="1"/>
    <w:next w:val="1"/>
    <w:qFormat/>
    <w:uiPriority w:val="99"/>
    <w:pPr>
      <w:ind w:left="2940" w:leftChars="1400"/>
    </w:pPr>
  </w:style>
  <w:style w:type="paragraph" w:styleId="50">
    <w:name w:val="index 3"/>
    <w:basedOn w:val="1"/>
    <w:next w:val="1"/>
    <w:qFormat/>
    <w:uiPriority w:val="99"/>
    <w:pPr>
      <w:widowControl/>
      <w:adjustRightInd/>
      <w:spacing w:line="240" w:lineRule="auto"/>
      <w:ind w:left="660" w:hanging="220"/>
      <w:jc w:val="left"/>
      <w:textAlignment w:val="auto"/>
    </w:pPr>
    <w:rPr>
      <w:rFonts w:ascii="Bell MT" w:hAnsi="Bell MT" w:eastAsia="黑体" w:cs="黑体"/>
      <w:sz w:val="22"/>
      <w:szCs w:val="22"/>
    </w:rPr>
  </w:style>
  <w:style w:type="paragraph" w:styleId="51">
    <w:name w:val="Date"/>
    <w:basedOn w:val="1"/>
    <w:next w:val="1"/>
    <w:link w:val="189"/>
    <w:qFormat/>
    <w:uiPriority w:val="99"/>
    <w:pPr>
      <w:ind w:left="100" w:leftChars="2500"/>
    </w:pPr>
  </w:style>
  <w:style w:type="paragraph" w:styleId="52">
    <w:name w:val="Body Text Indent 2"/>
    <w:basedOn w:val="1"/>
    <w:link w:val="190"/>
    <w:qFormat/>
    <w:uiPriority w:val="0"/>
    <w:pPr>
      <w:tabs>
        <w:tab w:val="left" w:pos="540"/>
      </w:tabs>
      <w:spacing w:line="360" w:lineRule="auto"/>
      <w:ind w:firstLine="540"/>
    </w:pPr>
    <w:rPr>
      <w:spacing w:val="-20"/>
      <w:sz w:val="28"/>
    </w:rPr>
  </w:style>
  <w:style w:type="paragraph" w:styleId="53">
    <w:name w:val="endnote text"/>
    <w:basedOn w:val="1"/>
    <w:link w:val="191"/>
    <w:qFormat/>
    <w:uiPriority w:val="99"/>
    <w:pPr>
      <w:widowControl/>
      <w:adjustRightInd/>
      <w:spacing w:line="240" w:lineRule="auto"/>
      <w:jc w:val="left"/>
      <w:textAlignment w:val="auto"/>
    </w:pPr>
    <w:rPr>
      <w:sz w:val="20"/>
    </w:rPr>
  </w:style>
  <w:style w:type="paragraph" w:styleId="54">
    <w:name w:val="List Continue 5"/>
    <w:basedOn w:val="1"/>
    <w:qFormat/>
    <w:uiPriority w:val="99"/>
    <w:pPr>
      <w:widowControl/>
      <w:adjustRightInd/>
      <w:spacing w:after="120" w:line="300" w:lineRule="auto"/>
      <w:ind w:left="1800"/>
      <w:contextualSpacing/>
      <w:jc w:val="left"/>
      <w:textAlignment w:val="auto"/>
    </w:pPr>
    <w:rPr>
      <w:rFonts w:ascii="Bell MT" w:hAnsi="Bell MT" w:eastAsia="黑体" w:cs="黑体"/>
      <w:sz w:val="22"/>
      <w:szCs w:val="22"/>
    </w:rPr>
  </w:style>
  <w:style w:type="paragraph" w:styleId="55">
    <w:name w:val="Balloon Text"/>
    <w:basedOn w:val="1"/>
    <w:link w:val="135"/>
    <w:qFormat/>
    <w:uiPriority w:val="99"/>
    <w:rPr>
      <w:sz w:val="18"/>
      <w:szCs w:val="18"/>
    </w:rPr>
  </w:style>
  <w:style w:type="paragraph" w:styleId="56">
    <w:name w:val="footer"/>
    <w:basedOn w:val="1"/>
    <w:link w:val="119"/>
    <w:qFormat/>
    <w:uiPriority w:val="99"/>
    <w:pPr>
      <w:tabs>
        <w:tab w:val="center" w:pos="4153"/>
        <w:tab w:val="right" w:pos="8306"/>
      </w:tabs>
      <w:spacing w:line="240" w:lineRule="atLeast"/>
      <w:jc w:val="left"/>
    </w:pPr>
    <w:rPr>
      <w:sz w:val="18"/>
    </w:rPr>
  </w:style>
  <w:style w:type="paragraph" w:styleId="57">
    <w:name w:val="envelope return"/>
    <w:basedOn w:val="1"/>
    <w:qFormat/>
    <w:uiPriority w:val="99"/>
    <w:pPr>
      <w:widowControl/>
      <w:adjustRightInd/>
      <w:spacing w:line="240" w:lineRule="auto"/>
      <w:jc w:val="left"/>
      <w:textAlignment w:val="auto"/>
    </w:pPr>
    <w:rPr>
      <w:rFonts w:ascii="Bell MT" w:hAnsi="Bell MT" w:eastAsia="黑体" w:cs="黑体"/>
      <w:sz w:val="20"/>
    </w:rPr>
  </w:style>
  <w:style w:type="paragraph" w:styleId="58">
    <w:name w:val="header"/>
    <w:basedOn w:val="1"/>
    <w:link w:val="125"/>
    <w:qFormat/>
    <w:uiPriority w:val="99"/>
    <w:pPr>
      <w:tabs>
        <w:tab w:val="center" w:pos="4153"/>
        <w:tab w:val="right" w:pos="8306"/>
      </w:tabs>
      <w:spacing w:line="240" w:lineRule="atLeast"/>
      <w:ind w:left="210" w:leftChars="100"/>
      <w:jc w:val="center"/>
    </w:pPr>
    <w:rPr>
      <w:sz w:val="18"/>
    </w:rPr>
  </w:style>
  <w:style w:type="paragraph" w:styleId="59">
    <w:name w:val="Signature"/>
    <w:basedOn w:val="1"/>
    <w:link w:val="195"/>
    <w:qFormat/>
    <w:uiPriority w:val="99"/>
    <w:pPr>
      <w:widowControl/>
      <w:adjustRightInd/>
      <w:spacing w:before="600" w:line="240" w:lineRule="auto"/>
      <w:jc w:val="left"/>
      <w:textAlignment w:val="auto"/>
    </w:pPr>
    <w:rPr>
      <w:color w:val="3F3F3F"/>
      <w:sz w:val="20"/>
    </w:rPr>
  </w:style>
  <w:style w:type="paragraph" w:styleId="60">
    <w:name w:val="toc 1"/>
    <w:basedOn w:val="1"/>
    <w:next w:val="1"/>
    <w:link w:val="123"/>
    <w:qFormat/>
    <w:uiPriority w:val="39"/>
    <w:pPr>
      <w:tabs>
        <w:tab w:val="right" w:leader="dot" w:pos="8610"/>
      </w:tabs>
    </w:pPr>
  </w:style>
  <w:style w:type="paragraph" w:styleId="61">
    <w:name w:val="List Continue 4"/>
    <w:basedOn w:val="1"/>
    <w:qFormat/>
    <w:uiPriority w:val="99"/>
    <w:pPr>
      <w:widowControl/>
      <w:adjustRightInd/>
      <w:spacing w:after="120" w:line="300" w:lineRule="auto"/>
      <w:ind w:left="1440"/>
      <w:contextualSpacing/>
      <w:jc w:val="left"/>
      <w:textAlignment w:val="auto"/>
    </w:pPr>
    <w:rPr>
      <w:rFonts w:ascii="Bell MT" w:hAnsi="Bell MT" w:eastAsia="黑体" w:cs="黑体"/>
      <w:sz w:val="22"/>
      <w:szCs w:val="22"/>
    </w:rPr>
  </w:style>
  <w:style w:type="paragraph" w:styleId="62">
    <w:name w:val="toc 4"/>
    <w:basedOn w:val="1"/>
    <w:next w:val="1"/>
    <w:qFormat/>
    <w:uiPriority w:val="99"/>
    <w:pPr>
      <w:ind w:left="1260" w:leftChars="600"/>
    </w:pPr>
  </w:style>
  <w:style w:type="paragraph" w:styleId="63">
    <w:name w:val="index heading"/>
    <w:basedOn w:val="1"/>
    <w:next w:val="64"/>
    <w:qFormat/>
    <w:uiPriority w:val="99"/>
    <w:pPr>
      <w:widowControl/>
      <w:adjustRightInd/>
      <w:spacing w:line="300" w:lineRule="auto"/>
      <w:jc w:val="left"/>
      <w:textAlignment w:val="auto"/>
    </w:pPr>
    <w:rPr>
      <w:rFonts w:ascii="Bell MT" w:hAnsi="Bell MT" w:eastAsia="黑体" w:cs="黑体"/>
      <w:b/>
      <w:bCs/>
      <w:sz w:val="22"/>
      <w:szCs w:val="22"/>
    </w:rPr>
  </w:style>
  <w:style w:type="paragraph" w:styleId="64">
    <w:name w:val="index 1"/>
    <w:basedOn w:val="1"/>
    <w:next w:val="1"/>
    <w:qFormat/>
    <w:uiPriority w:val="99"/>
    <w:pPr>
      <w:widowControl/>
      <w:adjustRightInd/>
      <w:spacing w:line="240" w:lineRule="auto"/>
      <w:ind w:left="220" w:hanging="220"/>
      <w:jc w:val="left"/>
      <w:textAlignment w:val="auto"/>
    </w:pPr>
    <w:rPr>
      <w:rFonts w:ascii="Bell MT" w:hAnsi="Bell MT" w:eastAsia="黑体" w:cs="黑体"/>
      <w:sz w:val="22"/>
      <w:szCs w:val="22"/>
    </w:rPr>
  </w:style>
  <w:style w:type="paragraph" w:styleId="65">
    <w:name w:val="Subtitle"/>
    <w:basedOn w:val="1"/>
    <w:next w:val="1"/>
    <w:link w:val="196"/>
    <w:qFormat/>
    <w:uiPriority w:val="99"/>
    <w:pPr>
      <w:widowControl/>
      <w:adjustRightInd/>
      <w:spacing w:line="300" w:lineRule="auto"/>
      <w:jc w:val="left"/>
      <w:textAlignment w:val="auto"/>
    </w:pPr>
    <w:rPr>
      <w:rFonts w:ascii="Bell MT" w:hAnsi="Bell MT" w:eastAsia="黑体"/>
      <w:i/>
      <w:iCs/>
      <w:color w:val="8D002D"/>
      <w:spacing w:val="15"/>
      <w:sz w:val="24"/>
      <w:szCs w:val="24"/>
    </w:rPr>
  </w:style>
  <w:style w:type="paragraph" w:styleId="66">
    <w:name w:val="List Number 5"/>
    <w:basedOn w:val="1"/>
    <w:qFormat/>
    <w:uiPriority w:val="99"/>
    <w:pPr>
      <w:widowControl/>
      <w:tabs>
        <w:tab w:val="left" w:pos="1800"/>
      </w:tabs>
      <w:adjustRightInd/>
      <w:spacing w:line="300" w:lineRule="auto"/>
      <w:ind w:left="1800" w:hanging="360"/>
      <w:contextualSpacing/>
      <w:jc w:val="left"/>
      <w:textAlignment w:val="auto"/>
    </w:pPr>
    <w:rPr>
      <w:rFonts w:ascii="Bell MT" w:hAnsi="Bell MT" w:eastAsia="黑体" w:cs="黑体"/>
      <w:sz w:val="22"/>
      <w:szCs w:val="22"/>
    </w:rPr>
  </w:style>
  <w:style w:type="paragraph" w:styleId="67">
    <w:name w:val="List"/>
    <w:basedOn w:val="1"/>
    <w:qFormat/>
    <w:uiPriority w:val="99"/>
    <w:pPr>
      <w:widowControl/>
      <w:adjustRightInd/>
      <w:spacing w:line="300" w:lineRule="auto"/>
      <w:ind w:left="360" w:hanging="360"/>
      <w:contextualSpacing/>
      <w:jc w:val="left"/>
      <w:textAlignment w:val="auto"/>
    </w:pPr>
    <w:rPr>
      <w:rFonts w:ascii="Bell MT" w:hAnsi="Bell MT" w:eastAsia="黑体" w:cs="黑体"/>
      <w:sz w:val="22"/>
      <w:szCs w:val="22"/>
    </w:rPr>
  </w:style>
  <w:style w:type="paragraph" w:styleId="68">
    <w:name w:val="footnote text"/>
    <w:basedOn w:val="1"/>
    <w:link w:val="113"/>
    <w:qFormat/>
    <w:uiPriority w:val="99"/>
    <w:pPr>
      <w:adjustRightInd/>
      <w:snapToGrid w:val="0"/>
      <w:spacing w:line="240" w:lineRule="auto"/>
      <w:jc w:val="left"/>
      <w:textAlignment w:val="auto"/>
    </w:pPr>
    <w:rPr>
      <w:kern w:val="2"/>
      <w:sz w:val="18"/>
      <w:szCs w:val="18"/>
    </w:rPr>
  </w:style>
  <w:style w:type="paragraph" w:styleId="69">
    <w:name w:val="toc 6"/>
    <w:basedOn w:val="1"/>
    <w:next w:val="1"/>
    <w:qFormat/>
    <w:uiPriority w:val="99"/>
    <w:pPr>
      <w:ind w:left="2100" w:leftChars="1000"/>
    </w:pPr>
  </w:style>
  <w:style w:type="paragraph" w:styleId="70">
    <w:name w:val="List 5"/>
    <w:basedOn w:val="1"/>
    <w:qFormat/>
    <w:uiPriority w:val="99"/>
    <w:pPr>
      <w:widowControl/>
      <w:adjustRightInd/>
      <w:spacing w:line="300" w:lineRule="auto"/>
      <w:ind w:left="1800" w:hanging="360"/>
      <w:contextualSpacing/>
      <w:jc w:val="left"/>
      <w:textAlignment w:val="auto"/>
    </w:pPr>
    <w:rPr>
      <w:rFonts w:ascii="Bell MT" w:hAnsi="Bell MT" w:eastAsia="黑体" w:cs="黑体"/>
      <w:sz w:val="22"/>
      <w:szCs w:val="22"/>
    </w:rPr>
  </w:style>
  <w:style w:type="paragraph" w:styleId="71">
    <w:name w:val="Body Text Indent 3"/>
    <w:basedOn w:val="1"/>
    <w:link w:val="197"/>
    <w:qFormat/>
    <w:uiPriority w:val="0"/>
    <w:pPr>
      <w:spacing w:line="360" w:lineRule="auto"/>
      <w:ind w:firstLine="420"/>
    </w:pPr>
    <w:rPr>
      <w:sz w:val="28"/>
    </w:rPr>
  </w:style>
  <w:style w:type="paragraph" w:styleId="72">
    <w:name w:val="index 7"/>
    <w:basedOn w:val="1"/>
    <w:next w:val="1"/>
    <w:qFormat/>
    <w:uiPriority w:val="99"/>
    <w:pPr>
      <w:widowControl/>
      <w:adjustRightInd/>
      <w:spacing w:line="240" w:lineRule="auto"/>
      <w:ind w:left="1540" w:hanging="220"/>
      <w:jc w:val="left"/>
      <w:textAlignment w:val="auto"/>
    </w:pPr>
    <w:rPr>
      <w:rFonts w:ascii="Bell MT" w:hAnsi="Bell MT" w:eastAsia="黑体" w:cs="黑体"/>
      <w:sz w:val="22"/>
      <w:szCs w:val="22"/>
    </w:rPr>
  </w:style>
  <w:style w:type="paragraph" w:styleId="73">
    <w:name w:val="index 9"/>
    <w:basedOn w:val="1"/>
    <w:next w:val="1"/>
    <w:qFormat/>
    <w:uiPriority w:val="99"/>
    <w:pPr>
      <w:widowControl/>
      <w:adjustRightInd/>
      <w:spacing w:line="240" w:lineRule="auto"/>
      <w:ind w:left="1980" w:hanging="220"/>
      <w:jc w:val="left"/>
      <w:textAlignment w:val="auto"/>
    </w:pPr>
    <w:rPr>
      <w:rFonts w:ascii="Bell MT" w:hAnsi="Bell MT" w:eastAsia="黑体" w:cs="黑体"/>
      <w:sz w:val="22"/>
      <w:szCs w:val="22"/>
    </w:rPr>
  </w:style>
  <w:style w:type="paragraph" w:styleId="74">
    <w:name w:val="table of figures"/>
    <w:basedOn w:val="1"/>
    <w:next w:val="1"/>
    <w:qFormat/>
    <w:uiPriority w:val="99"/>
    <w:pPr>
      <w:widowControl/>
      <w:adjustRightInd/>
      <w:spacing w:line="300" w:lineRule="auto"/>
      <w:jc w:val="left"/>
      <w:textAlignment w:val="auto"/>
    </w:pPr>
    <w:rPr>
      <w:rFonts w:ascii="Bell MT" w:hAnsi="Bell MT" w:eastAsia="黑体" w:cs="黑体"/>
      <w:sz w:val="22"/>
      <w:szCs w:val="22"/>
    </w:rPr>
  </w:style>
  <w:style w:type="paragraph" w:styleId="75">
    <w:name w:val="toc 2"/>
    <w:basedOn w:val="1"/>
    <w:next w:val="1"/>
    <w:qFormat/>
    <w:uiPriority w:val="39"/>
    <w:pPr>
      <w:tabs>
        <w:tab w:val="left" w:pos="1134"/>
        <w:tab w:val="right" w:leader="dot" w:pos="8630"/>
      </w:tabs>
      <w:spacing w:line="300" w:lineRule="auto"/>
      <w:ind w:left="420" w:leftChars="200"/>
    </w:pPr>
  </w:style>
  <w:style w:type="paragraph" w:styleId="76">
    <w:name w:val="toc 9"/>
    <w:basedOn w:val="1"/>
    <w:next w:val="1"/>
    <w:qFormat/>
    <w:uiPriority w:val="99"/>
    <w:pPr>
      <w:ind w:left="3360" w:leftChars="1600"/>
    </w:pPr>
  </w:style>
  <w:style w:type="paragraph" w:styleId="77">
    <w:name w:val="Body Text 2"/>
    <w:basedOn w:val="1"/>
    <w:link w:val="194"/>
    <w:qFormat/>
    <w:uiPriority w:val="99"/>
    <w:pPr>
      <w:spacing w:afterLines="50" w:line="288" w:lineRule="auto"/>
      <w:jc w:val="center"/>
    </w:pPr>
    <w:rPr>
      <w:rFonts w:eastAsia="仿宋_GB2312"/>
      <w:b/>
      <w:sz w:val="44"/>
    </w:rPr>
  </w:style>
  <w:style w:type="paragraph" w:styleId="78">
    <w:name w:val="List 4"/>
    <w:basedOn w:val="1"/>
    <w:qFormat/>
    <w:uiPriority w:val="99"/>
    <w:pPr>
      <w:widowControl/>
      <w:adjustRightInd/>
      <w:spacing w:line="300" w:lineRule="auto"/>
      <w:ind w:left="1440" w:hanging="360"/>
      <w:contextualSpacing/>
      <w:jc w:val="left"/>
      <w:textAlignment w:val="auto"/>
    </w:pPr>
    <w:rPr>
      <w:rFonts w:ascii="Bell MT" w:hAnsi="Bell MT" w:eastAsia="黑体" w:cs="黑体"/>
      <w:sz w:val="22"/>
      <w:szCs w:val="22"/>
    </w:rPr>
  </w:style>
  <w:style w:type="paragraph" w:styleId="79">
    <w:name w:val="List Continue 2"/>
    <w:basedOn w:val="1"/>
    <w:qFormat/>
    <w:uiPriority w:val="99"/>
    <w:pPr>
      <w:widowControl/>
      <w:adjustRightInd/>
      <w:spacing w:after="120" w:line="300" w:lineRule="auto"/>
      <w:ind w:left="720"/>
      <w:contextualSpacing/>
      <w:jc w:val="left"/>
      <w:textAlignment w:val="auto"/>
    </w:pPr>
    <w:rPr>
      <w:rFonts w:ascii="Bell MT" w:hAnsi="Bell MT" w:eastAsia="黑体" w:cs="黑体"/>
      <w:sz w:val="22"/>
      <w:szCs w:val="22"/>
    </w:rPr>
  </w:style>
  <w:style w:type="paragraph" w:styleId="80">
    <w:name w:val="Message Header"/>
    <w:basedOn w:val="1"/>
    <w:link w:val="198"/>
    <w:qFormat/>
    <w:uiPriority w:val="99"/>
    <w:pPr>
      <w:widowControl/>
      <w:pBdr>
        <w:top w:val="single" w:color="auto" w:sz="6" w:space="1"/>
        <w:left w:val="single" w:color="auto" w:sz="6" w:space="1"/>
        <w:bottom w:val="single" w:color="auto" w:sz="6" w:space="1"/>
        <w:right w:val="single" w:color="auto" w:sz="6" w:space="1"/>
      </w:pBdr>
      <w:shd w:val="pct20" w:color="auto" w:fill="auto"/>
      <w:adjustRightInd/>
      <w:spacing w:line="240" w:lineRule="auto"/>
      <w:ind w:left="1080" w:hanging="1080"/>
      <w:jc w:val="left"/>
      <w:textAlignment w:val="auto"/>
    </w:pPr>
    <w:rPr>
      <w:rFonts w:ascii="Bell MT" w:hAnsi="Bell MT" w:eastAsia="黑体"/>
      <w:sz w:val="24"/>
      <w:szCs w:val="24"/>
    </w:rPr>
  </w:style>
  <w:style w:type="paragraph" w:styleId="81">
    <w:name w:val="HTML Preformatted"/>
    <w:basedOn w:val="1"/>
    <w:link w:val="199"/>
    <w:qFormat/>
    <w:uiPriority w:val="99"/>
    <w:pPr>
      <w:widowControl/>
      <w:adjustRightInd/>
      <w:spacing w:line="240" w:lineRule="auto"/>
      <w:jc w:val="left"/>
      <w:textAlignment w:val="auto"/>
    </w:pPr>
    <w:rPr>
      <w:rFonts w:ascii="Consolas" w:hAnsi="Consolas"/>
      <w:sz w:val="20"/>
    </w:rPr>
  </w:style>
  <w:style w:type="paragraph" w:styleId="82">
    <w:name w:val="Normal (Web)"/>
    <w:basedOn w:val="1"/>
    <w:qFormat/>
    <w:uiPriority w:val="99"/>
    <w:pPr>
      <w:widowControl/>
      <w:adjustRightInd/>
      <w:spacing w:before="100" w:beforeAutospacing="1" w:after="100" w:afterAutospacing="1" w:line="240" w:lineRule="auto"/>
      <w:jc w:val="left"/>
      <w:textAlignment w:val="auto"/>
    </w:pPr>
    <w:rPr>
      <w:rFonts w:ascii="宋体" w:hAnsi="宋体"/>
      <w:sz w:val="24"/>
      <w:szCs w:val="24"/>
    </w:rPr>
  </w:style>
  <w:style w:type="paragraph" w:styleId="83">
    <w:name w:val="List Continue 3"/>
    <w:basedOn w:val="1"/>
    <w:qFormat/>
    <w:uiPriority w:val="99"/>
    <w:pPr>
      <w:widowControl/>
      <w:adjustRightInd/>
      <w:spacing w:after="120" w:line="300" w:lineRule="auto"/>
      <w:ind w:left="1080"/>
      <w:contextualSpacing/>
      <w:jc w:val="left"/>
      <w:textAlignment w:val="auto"/>
    </w:pPr>
    <w:rPr>
      <w:rFonts w:ascii="Bell MT" w:hAnsi="Bell MT" w:eastAsia="黑体" w:cs="黑体"/>
      <w:sz w:val="22"/>
      <w:szCs w:val="22"/>
    </w:rPr>
  </w:style>
  <w:style w:type="paragraph" w:styleId="84">
    <w:name w:val="index 2"/>
    <w:basedOn w:val="1"/>
    <w:next w:val="1"/>
    <w:qFormat/>
    <w:uiPriority w:val="99"/>
    <w:pPr>
      <w:widowControl/>
      <w:adjustRightInd/>
      <w:spacing w:line="240" w:lineRule="auto"/>
      <w:ind w:left="440" w:hanging="220"/>
      <w:jc w:val="left"/>
      <w:textAlignment w:val="auto"/>
    </w:pPr>
    <w:rPr>
      <w:rFonts w:ascii="Bell MT" w:hAnsi="Bell MT" w:eastAsia="黑体" w:cs="黑体"/>
      <w:sz w:val="22"/>
      <w:szCs w:val="22"/>
    </w:rPr>
  </w:style>
  <w:style w:type="paragraph" w:styleId="85">
    <w:name w:val="Title"/>
    <w:basedOn w:val="1"/>
    <w:next w:val="1"/>
    <w:link w:val="200"/>
    <w:qFormat/>
    <w:uiPriority w:val="99"/>
    <w:pPr>
      <w:widowControl/>
      <w:adjustRightInd/>
      <w:spacing w:line="240" w:lineRule="auto"/>
      <w:ind w:right="-720"/>
      <w:jc w:val="right"/>
      <w:textAlignment w:val="auto"/>
    </w:pPr>
    <w:rPr>
      <w:rFonts w:ascii="Bell MT" w:hAnsi="Bell MT" w:eastAsia="黑体"/>
      <w:b/>
      <w:color w:val="8D002D"/>
      <w:spacing w:val="5"/>
      <w:kern w:val="28"/>
      <w:sz w:val="32"/>
      <w:szCs w:val="32"/>
    </w:rPr>
  </w:style>
  <w:style w:type="paragraph" w:styleId="86">
    <w:name w:val="annotation subject"/>
    <w:basedOn w:val="29"/>
    <w:next w:val="29"/>
    <w:link w:val="118"/>
    <w:qFormat/>
    <w:uiPriority w:val="99"/>
    <w:rPr>
      <w:b/>
      <w:bCs/>
    </w:rPr>
  </w:style>
  <w:style w:type="paragraph" w:styleId="87">
    <w:name w:val="Body Text First Indent"/>
    <w:basedOn w:val="35"/>
    <w:link w:val="179"/>
    <w:qFormat/>
    <w:uiPriority w:val="99"/>
    <w:pPr>
      <w:widowControl/>
      <w:adjustRightInd/>
      <w:spacing w:after="0" w:line="300" w:lineRule="auto"/>
      <w:ind w:firstLine="360"/>
      <w:jc w:val="left"/>
      <w:textAlignment w:val="auto"/>
    </w:pPr>
    <w:rPr>
      <w:rFonts w:ascii="Bell MT" w:hAnsi="Bell MT" w:eastAsia="黑体" w:cs="黑体"/>
      <w:sz w:val="22"/>
      <w:szCs w:val="22"/>
    </w:rPr>
  </w:style>
  <w:style w:type="paragraph" w:styleId="88">
    <w:name w:val="Body Text First Indent 2"/>
    <w:basedOn w:val="77"/>
    <w:link w:val="193"/>
    <w:qFormat/>
    <w:uiPriority w:val="99"/>
    <w:pPr>
      <w:widowControl/>
      <w:adjustRightInd/>
      <w:spacing w:afterLines="0" w:line="300" w:lineRule="auto"/>
      <w:ind w:left="360" w:firstLine="360"/>
      <w:jc w:val="left"/>
      <w:textAlignment w:val="auto"/>
    </w:pPr>
    <w:rPr>
      <w:rFonts w:ascii="Bell MT" w:hAnsi="Bell MT" w:eastAsia="黑体" w:cs="黑体"/>
      <w:b w:val="0"/>
      <w:sz w:val="22"/>
      <w:szCs w:val="22"/>
    </w:rPr>
  </w:style>
  <w:style w:type="table" w:styleId="90">
    <w:name w:val="Table Grid"/>
    <w:basedOn w:val="89"/>
    <w:qFormat/>
    <w:uiPriority w:val="0"/>
    <w:pPr>
      <w:widowControl w:val="0"/>
      <w:adjustRightInd w:val="0"/>
      <w:spacing w:line="312"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2">
    <w:name w:val="Strong"/>
    <w:basedOn w:val="91"/>
    <w:qFormat/>
    <w:uiPriority w:val="22"/>
    <w:rPr>
      <w:b/>
      <w:bCs/>
    </w:rPr>
  </w:style>
  <w:style w:type="character" w:styleId="93">
    <w:name w:val="page number"/>
    <w:basedOn w:val="91"/>
    <w:qFormat/>
    <w:uiPriority w:val="99"/>
  </w:style>
  <w:style w:type="character" w:styleId="94">
    <w:name w:val="FollowedHyperlink"/>
    <w:basedOn w:val="91"/>
    <w:qFormat/>
    <w:uiPriority w:val="99"/>
    <w:rPr>
      <w:color w:val="000000"/>
      <w:sz w:val="16"/>
      <w:szCs w:val="16"/>
      <w:u w:val="none"/>
    </w:rPr>
  </w:style>
  <w:style w:type="character" w:styleId="95">
    <w:name w:val="Emphasis"/>
    <w:basedOn w:val="91"/>
    <w:qFormat/>
    <w:uiPriority w:val="20"/>
    <w:rPr>
      <w:color w:val="CC0000"/>
    </w:rPr>
  </w:style>
  <w:style w:type="character" w:styleId="96">
    <w:name w:val="HTML Definition"/>
    <w:basedOn w:val="91"/>
    <w:qFormat/>
    <w:uiPriority w:val="0"/>
  </w:style>
  <w:style w:type="character" w:styleId="97">
    <w:name w:val="HTML Acronym"/>
    <w:basedOn w:val="91"/>
    <w:qFormat/>
    <w:uiPriority w:val="0"/>
  </w:style>
  <w:style w:type="character" w:styleId="98">
    <w:name w:val="HTML Variable"/>
    <w:basedOn w:val="91"/>
    <w:qFormat/>
    <w:uiPriority w:val="0"/>
  </w:style>
  <w:style w:type="character" w:styleId="99">
    <w:name w:val="Hyperlink"/>
    <w:basedOn w:val="91"/>
    <w:qFormat/>
    <w:uiPriority w:val="99"/>
    <w:rPr>
      <w:color w:val="000000"/>
      <w:sz w:val="16"/>
      <w:szCs w:val="16"/>
      <w:u w:val="none"/>
    </w:rPr>
  </w:style>
  <w:style w:type="character" w:styleId="100">
    <w:name w:val="HTML Code"/>
    <w:basedOn w:val="91"/>
    <w:qFormat/>
    <w:uiPriority w:val="0"/>
    <w:rPr>
      <w:rFonts w:ascii="Courier New" w:hAnsi="Courier New" w:eastAsia="Courier New" w:cs="Courier New"/>
      <w:sz w:val="20"/>
    </w:rPr>
  </w:style>
  <w:style w:type="character" w:styleId="101">
    <w:name w:val="annotation reference"/>
    <w:basedOn w:val="91"/>
    <w:qFormat/>
    <w:uiPriority w:val="0"/>
    <w:rPr>
      <w:sz w:val="21"/>
      <w:szCs w:val="21"/>
    </w:rPr>
  </w:style>
  <w:style w:type="character" w:styleId="102">
    <w:name w:val="HTML Cite"/>
    <w:basedOn w:val="91"/>
    <w:qFormat/>
    <w:uiPriority w:val="0"/>
  </w:style>
  <w:style w:type="character" w:styleId="103">
    <w:name w:val="footnote reference"/>
    <w:basedOn w:val="91"/>
    <w:qFormat/>
    <w:uiPriority w:val="0"/>
    <w:rPr>
      <w:vertAlign w:val="superscript"/>
    </w:rPr>
  </w:style>
  <w:style w:type="character" w:styleId="104">
    <w:name w:val="HTML Keyboard"/>
    <w:basedOn w:val="91"/>
    <w:qFormat/>
    <w:uiPriority w:val="0"/>
    <w:rPr>
      <w:rFonts w:hint="default" w:ascii="Courier New" w:hAnsi="Courier New" w:eastAsia="Courier New" w:cs="Courier New"/>
      <w:sz w:val="20"/>
    </w:rPr>
  </w:style>
  <w:style w:type="character" w:styleId="105">
    <w:name w:val="HTML Sample"/>
    <w:basedOn w:val="91"/>
    <w:qFormat/>
    <w:uiPriority w:val="0"/>
    <w:rPr>
      <w:rFonts w:hint="default" w:ascii="Courier New" w:hAnsi="Courier New" w:eastAsia="Courier New" w:cs="Courier New"/>
    </w:rPr>
  </w:style>
  <w:style w:type="paragraph" w:customStyle="1" w:styleId="106">
    <w:name w:val="Char Char Char Char"/>
    <w:basedOn w:val="1"/>
    <w:qFormat/>
    <w:uiPriority w:val="0"/>
    <w:pPr>
      <w:adjustRightInd/>
      <w:spacing w:line="240" w:lineRule="auto"/>
      <w:textAlignment w:val="auto"/>
    </w:pPr>
    <w:rPr>
      <w:rFonts w:ascii="Tahoma" w:hAnsi="Tahoma"/>
      <w:kern w:val="2"/>
      <w:sz w:val="24"/>
    </w:rPr>
  </w:style>
  <w:style w:type="paragraph" w:customStyle="1" w:styleId="107">
    <w:name w:val="表文"/>
    <w:basedOn w:val="1"/>
    <w:qFormat/>
    <w:uiPriority w:val="0"/>
    <w:pPr>
      <w:snapToGrid w:val="0"/>
      <w:spacing w:before="60" w:line="300" w:lineRule="auto"/>
      <w:jc w:val="center"/>
      <w:textAlignment w:val="auto"/>
    </w:pPr>
    <w:rPr>
      <w:rFonts w:ascii="仿宋_GB2312" w:eastAsia="仿宋_GB2312"/>
      <w:kern w:val="2"/>
    </w:rPr>
  </w:style>
  <w:style w:type="character" w:customStyle="1" w:styleId="108">
    <w:name w:val="font"/>
    <w:basedOn w:val="91"/>
    <w:qFormat/>
    <w:uiPriority w:val="0"/>
  </w:style>
  <w:style w:type="paragraph" w:customStyle="1" w:styleId="109">
    <w:name w:val="Char Char Char Char Char Char1 Char"/>
    <w:basedOn w:val="1"/>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110">
    <w:name w:val="Char Char Char Char Char Char1 Char1"/>
    <w:basedOn w:val="1"/>
    <w:qFormat/>
    <w:uiPriority w:val="0"/>
    <w:pPr>
      <w:widowControl/>
      <w:adjustRightInd/>
      <w:spacing w:after="160" w:line="240" w:lineRule="exact"/>
      <w:jc w:val="left"/>
      <w:textAlignment w:val="auto"/>
    </w:pPr>
    <w:rPr>
      <w:rFonts w:ascii="Verdana" w:hAnsi="Verdana" w:eastAsia="仿宋_GB2312"/>
      <w:sz w:val="24"/>
      <w:lang w:eastAsia="en-US"/>
    </w:rPr>
  </w:style>
  <w:style w:type="character" w:customStyle="1" w:styleId="111">
    <w:name w:val="hei141"/>
    <w:basedOn w:val="91"/>
    <w:qFormat/>
    <w:uiPriority w:val="0"/>
    <w:rPr>
      <w:rFonts w:hint="eastAsia" w:ascii="宋体" w:hAnsi="宋体" w:eastAsia="宋体"/>
      <w:color w:val="000000"/>
      <w:sz w:val="21"/>
      <w:szCs w:val="21"/>
      <w:u w:val="none"/>
    </w:rPr>
  </w:style>
  <w:style w:type="character" w:customStyle="1" w:styleId="112">
    <w:name w:val="t_tag"/>
    <w:basedOn w:val="91"/>
    <w:qFormat/>
    <w:uiPriority w:val="0"/>
  </w:style>
  <w:style w:type="character" w:customStyle="1" w:styleId="113">
    <w:name w:val="脚注文本 Char"/>
    <w:basedOn w:val="91"/>
    <w:link w:val="68"/>
    <w:qFormat/>
    <w:uiPriority w:val="99"/>
    <w:rPr>
      <w:rFonts w:eastAsia="宋体"/>
      <w:kern w:val="2"/>
      <w:sz w:val="18"/>
      <w:szCs w:val="18"/>
      <w:lang w:val="en-US" w:eastAsia="zh-CN" w:bidi="ar-SA"/>
    </w:rPr>
  </w:style>
  <w:style w:type="paragraph" w:customStyle="1" w:styleId="114">
    <w:name w:val="pictext"/>
    <w:basedOn w:val="1"/>
    <w:qFormat/>
    <w:uiPriority w:val="0"/>
    <w:pPr>
      <w:widowControl/>
      <w:adjustRightInd/>
      <w:spacing w:line="240" w:lineRule="auto"/>
      <w:jc w:val="left"/>
      <w:textAlignment w:val="auto"/>
    </w:pPr>
    <w:rPr>
      <w:rFonts w:ascii="宋体" w:hAnsi="宋体" w:cs="宋体"/>
      <w:sz w:val="24"/>
      <w:szCs w:val="24"/>
    </w:rPr>
  </w:style>
  <w:style w:type="character" w:customStyle="1" w:styleId="115">
    <w:name w:val="apple-style-span"/>
    <w:basedOn w:val="91"/>
    <w:qFormat/>
    <w:uiPriority w:val="0"/>
  </w:style>
  <w:style w:type="paragraph" w:customStyle="1" w:styleId="116">
    <w:name w:val="列出段落1"/>
    <w:basedOn w:val="1"/>
    <w:qFormat/>
    <w:uiPriority w:val="34"/>
    <w:pPr>
      <w:ind w:firstLine="420" w:firstLineChars="200"/>
    </w:pPr>
  </w:style>
  <w:style w:type="character" w:customStyle="1" w:styleId="117">
    <w:name w:val="批注文字 Char"/>
    <w:basedOn w:val="91"/>
    <w:link w:val="29"/>
    <w:qFormat/>
    <w:uiPriority w:val="0"/>
    <w:rPr>
      <w:sz w:val="21"/>
    </w:rPr>
  </w:style>
  <w:style w:type="character" w:customStyle="1" w:styleId="118">
    <w:name w:val="批注主题 Char"/>
    <w:basedOn w:val="117"/>
    <w:link w:val="86"/>
    <w:qFormat/>
    <w:uiPriority w:val="99"/>
    <w:rPr>
      <w:b/>
      <w:bCs/>
    </w:rPr>
  </w:style>
  <w:style w:type="character" w:customStyle="1" w:styleId="119">
    <w:name w:val="页脚 Char"/>
    <w:basedOn w:val="91"/>
    <w:link w:val="56"/>
    <w:qFormat/>
    <w:uiPriority w:val="99"/>
    <w:rPr>
      <w:sz w:val="18"/>
    </w:rPr>
  </w:style>
  <w:style w:type="paragraph" w:customStyle="1" w:styleId="120">
    <w:name w:val="Char Char Char Char1"/>
    <w:basedOn w:val="1"/>
    <w:qFormat/>
    <w:uiPriority w:val="0"/>
    <w:pPr>
      <w:adjustRightInd/>
      <w:spacing w:line="240" w:lineRule="auto"/>
      <w:textAlignment w:val="auto"/>
    </w:pPr>
    <w:rPr>
      <w:rFonts w:ascii="Tahoma" w:hAnsi="Tahoma"/>
      <w:kern w:val="2"/>
      <w:sz w:val="24"/>
    </w:rPr>
  </w:style>
  <w:style w:type="paragraph" w:customStyle="1" w:styleId="121">
    <w:name w:val="TOC 标题1"/>
    <w:basedOn w:val="4"/>
    <w:next w:val="1"/>
    <w:unhideWhenUsed/>
    <w:qFormat/>
    <w:uiPriority w:val="39"/>
    <w:pPr>
      <w:keepLines/>
      <w:numPr>
        <w:numId w:val="0"/>
      </w:numPr>
      <w:tabs>
        <w:tab w:val="clear" w:pos="2160"/>
      </w:tabs>
      <w:autoSpaceDE/>
      <w:autoSpaceDN/>
      <w:snapToGrid/>
      <w:spacing w:before="340" w:after="330" w:line="578" w:lineRule="atLeast"/>
      <w:ind w:right="0"/>
      <w:jc w:val="both"/>
      <w:textAlignment w:val="baseline"/>
      <w:outlineLvl w:val="9"/>
    </w:pPr>
    <w:rPr>
      <w:rFonts w:ascii="Times New Roman" w:hAnsi="Times New Roman" w:eastAsia="宋体"/>
      <w:b/>
      <w:bCs/>
      <w:color w:val="auto"/>
      <w:kern w:val="44"/>
      <w:sz w:val="44"/>
      <w:szCs w:val="44"/>
      <w:shd w:val="clear" w:color="auto" w:fill="auto"/>
    </w:rPr>
  </w:style>
  <w:style w:type="paragraph" w:customStyle="1" w:styleId="122">
    <w:name w:val="样式lll1"/>
    <w:basedOn w:val="60"/>
    <w:link w:val="124"/>
    <w:qFormat/>
    <w:uiPriority w:val="0"/>
    <w:rPr>
      <w:rFonts w:eastAsia="仿宋_GB2312"/>
      <w:sz w:val="24"/>
    </w:rPr>
  </w:style>
  <w:style w:type="character" w:customStyle="1" w:styleId="123">
    <w:name w:val="目录 1 Char"/>
    <w:basedOn w:val="91"/>
    <w:link w:val="60"/>
    <w:qFormat/>
    <w:uiPriority w:val="99"/>
    <w:rPr>
      <w:sz w:val="21"/>
    </w:rPr>
  </w:style>
  <w:style w:type="character" w:customStyle="1" w:styleId="124">
    <w:name w:val="样式lll1 Char"/>
    <w:basedOn w:val="123"/>
    <w:link w:val="122"/>
    <w:qFormat/>
    <w:uiPriority w:val="0"/>
    <w:rPr>
      <w:rFonts w:eastAsia="仿宋_GB2312"/>
      <w:sz w:val="24"/>
    </w:rPr>
  </w:style>
  <w:style w:type="character" w:customStyle="1" w:styleId="125">
    <w:name w:val="页眉 Char"/>
    <w:basedOn w:val="91"/>
    <w:link w:val="58"/>
    <w:qFormat/>
    <w:uiPriority w:val="99"/>
    <w:rPr>
      <w:sz w:val="18"/>
    </w:rPr>
  </w:style>
  <w:style w:type="character" w:customStyle="1" w:styleId="126">
    <w:name w:val="标题 5 Char"/>
    <w:basedOn w:val="91"/>
    <w:link w:val="9"/>
    <w:qFormat/>
    <w:uiPriority w:val="99"/>
    <w:rPr>
      <w:rFonts w:ascii="Bell MT" w:hAnsi="Bell MT" w:eastAsia="黑体"/>
      <w:color w:val="450016"/>
    </w:rPr>
  </w:style>
  <w:style w:type="character" w:customStyle="1" w:styleId="127">
    <w:name w:val="标题 6 Char"/>
    <w:basedOn w:val="91"/>
    <w:link w:val="10"/>
    <w:qFormat/>
    <w:uiPriority w:val="99"/>
    <w:rPr>
      <w:rFonts w:ascii="Bell MT" w:hAnsi="Bell MT" w:eastAsia="黑体"/>
      <w:i/>
      <w:iCs/>
      <w:color w:val="450016"/>
    </w:rPr>
  </w:style>
  <w:style w:type="character" w:customStyle="1" w:styleId="128">
    <w:name w:val="标题 7 Char"/>
    <w:basedOn w:val="91"/>
    <w:link w:val="11"/>
    <w:qFormat/>
    <w:uiPriority w:val="99"/>
    <w:rPr>
      <w:rFonts w:ascii="Bell MT" w:hAnsi="Bell MT" w:eastAsia="黑体"/>
      <w:i/>
      <w:iCs/>
      <w:color w:val="3F3F3F"/>
    </w:rPr>
  </w:style>
  <w:style w:type="character" w:customStyle="1" w:styleId="129">
    <w:name w:val="标题 8 Char"/>
    <w:basedOn w:val="91"/>
    <w:link w:val="12"/>
    <w:qFormat/>
    <w:uiPriority w:val="99"/>
    <w:rPr>
      <w:rFonts w:ascii="Bell MT" w:hAnsi="Bell MT" w:eastAsia="黑体"/>
      <w:color w:val="3F3F3F"/>
    </w:rPr>
  </w:style>
  <w:style w:type="character" w:customStyle="1" w:styleId="130">
    <w:name w:val="标题 9 Char"/>
    <w:basedOn w:val="91"/>
    <w:link w:val="13"/>
    <w:qFormat/>
    <w:uiPriority w:val="99"/>
    <w:rPr>
      <w:rFonts w:ascii="Bell MT" w:hAnsi="Bell MT" w:eastAsia="黑体"/>
      <w:i/>
      <w:iCs/>
      <w:color w:val="3F3F3F"/>
    </w:rPr>
  </w:style>
  <w:style w:type="character" w:customStyle="1" w:styleId="131">
    <w:name w:val="表格单位 Char"/>
    <w:basedOn w:val="132"/>
    <w:link w:val="134"/>
    <w:qFormat/>
    <w:uiPriority w:val="0"/>
  </w:style>
  <w:style w:type="character" w:customStyle="1" w:styleId="132">
    <w:name w:val="表格 Char"/>
    <w:basedOn w:val="91"/>
    <w:link w:val="133"/>
    <w:qFormat/>
    <w:uiPriority w:val="0"/>
    <w:rPr>
      <w:rFonts w:eastAsia="仿宋_GB2312"/>
      <w:kern w:val="2"/>
      <w:sz w:val="21"/>
      <w:szCs w:val="24"/>
    </w:rPr>
  </w:style>
  <w:style w:type="paragraph" w:customStyle="1" w:styleId="133">
    <w:name w:val="表格"/>
    <w:basedOn w:val="1"/>
    <w:link w:val="132"/>
    <w:qFormat/>
    <w:uiPriority w:val="0"/>
    <w:pPr>
      <w:adjustRightInd/>
      <w:spacing w:line="240" w:lineRule="auto"/>
      <w:ind w:left="-107" w:leftChars="-103" w:hanging="181" w:hangingChars="86"/>
      <w:jc w:val="center"/>
      <w:textAlignment w:val="auto"/>
    </w:pPr>
    <w:rPr>
      <w:rFonts w:eastAsia="仿宋_GB2312"/>
      <w:kern w:val="2"/>
      <w:szCs w:val="24"/>
    </w:rPr>
  </w:style>
  <w:style w:type="paragraph" w:customStyle="1" w:styleId="134">
    <w:name w:val="表格单位"/>
    <w:basedOn w:val="133"/>
    <w:link w:val="131"/>
    <w:qFormat/>
    <w:uiPriority w:val="0"/>
  </w:style>
  <w:style w:type="character" w:customStyle="1" w:styleId="135">
    <w:name w:val="批注框文本 Char"/>
    <w:basedOn w:val="91"/>
    <w:link w:val="55"/>
    <w:qFormat/>
    <w:uiPriority w:val="99"/>
    <w:rPr>
      <w:sz w:val="18"/>
      <w:szCs w:val="18"/>
    </w:rPr>
  </w:style>
  <w:style w:type="character" w:customStyle="1" w:styleId="136">
    <w:name w:val="单位加粗 Char"/>
    <w:basedOn w:val="91"/>
    <w:link w:val="137"/>
    <w:qFormat/>
    <w:uiPriority w:val="0"/>
    <w:rPr>
      <w:rFonts w:ascii="宋体" w:hAnsi="宋体"/>
      <w:b/>
      <w:bCs/>
      <w:kern w:val="2"/>
      <w:sz w:val="28"/>
      <w:szCs w:val="24"/>
    </w:rPr>
  </w:style>
  <w:style w:type="paragraph" w:customStyle="1" w:styleId="137">
    <w:name w:val="单位加粗"/>
    <w:basedOn w:val="1"/>
    <w:link w:val="136"/>
    <w:qFormat/>
    <w:uiPriority w:val="0"/>
    <w:pPr>
      <w:adjustRightInd/>
      <w:spacing w:line="360" w:lineRule="auto"/>
      <w:ind w:firstLine="562" w:firstLineChars="200"/>
      <w:jc w:val="left"/>
      <w:textAlignment w:val="auto"/>
    </w:pPr>
    <w:rPr>
      <w:rFonts w:ascii="宋体" w:hAnsi="宋体"/>
      <w:b/>
      <w:bCs/>
      <w:kern w:val="2"/>
      <w:sz w:val="28"/>
      <w:szCs w:val="24"/>
    </w:rPr>
  </w:style>
  <w:style w:type="character" w:customStyle="1" w:styleId="138">
    <w:name w:val="字体加粗 Char"/>
    <w:basedOn w:val="91"/>
    <w:link w:val="139"/>
    <w:qFormat/>
    <w:uiPriority w:val="0"/>
    <w:rPr>
      <w:rFonts w:eastAsia="仿宋_GB2312"/>
      <w:b/>
      <w:kern w:val="2"/>
      <w:sz w:val="28"/>
      <w:szCs w:val="24"/>
    </w:rPr>
  </w:style>
  <w:style w:type="paragraph" w:customStyle="1" w:styleId="139">
    <w:name w:val="字体加粗"/>
    <w:basedOn w:val="1"/>
    <w:link w:val="138"/>
    <w:qFormat/>
    <w:uiPriority w:val="0"/>
    <w:pPr>
      <w:adjustRightInd/>
      <w:spacing w:line="360" w:lineRule="auto"/>
      <w:ind w:firstLine="562" w:firstLineChars="200"/>
      <w:textAlignment w:val="auto"/>
    </w:pPr>
    <w:rPr>
      <w:rFonts w:eastAsia="仿宋_GB2312"/>
      <w:b/>
      <w:kern w:val="2"/>
      <w:sz w:val="28"/>
      <w:szCs w:val="24"/>
    </w:rPr>
  </w:style>
  <w:style w:type="paragraph" w:customStyle="1" w:styleId="140">
    <w:name w:val="正文单位左缩进2字符"/>
    <w:basedOn w:val="141"/>
    <w:qFormat/>
    <w:uiPriority w:val="0"/>
  </w:style>
  <w:style w:type="paragraph" w:customStyle="1" w:styleId="141">
    <w:name w:val="正文左缩进2字符"/>
    <w:basedOn w:val="1"/>
    <w:qFormat/>
    <w:uiPriority w:val="0"/>
    <w:pPr>
      <w:adjustRightInd/>
      <w:spacing w:line="360" w:lineRule="auto"/>
      <w:ind w:firstLine="549" w:firstLineChars="196"/>
      <w:textAlignment w:val="auto"/>
    </w:pPr>
    <w:rPr>
      <w:rFonts w:ascii="仿宋_GB2312" w:eastAsia="仿宋_GB2312" w:cs="宋体"/>
      <w:kern w:val="2"/>
      <w:sz w:val="28"/>
    </w:rPr>
  </w:style>
  <w:style w:type="paragraph" w:customStyle="1" w:styleId="142">
    <w:name w:val="目录"/>
    <w:basedOn w:val="1"/>
    <w:qFormat/>
    <w:uiPriority w:val="0"/>
    <w:pPr>
      <w:adjustRightInd/>
      <w:spacing w:beforeLines="50" w:afterLines="50" w:line="360" w:lineRule="auto"/>
      <w:jc w:val="center"/>
      <w:textAlignment w:val="auto"/>
    </w:pPr>
    <w:rPr>
      <w:rFonts w:eastAsia="仿宋_GB2312"/>
      <w:b/>
      <w:kern w:val="2"/>
      <w:sz w:val="36"/>
      <w:szCs w:val="24"/>
    </w:rPr>
  </w:style>
  <w:style w:type="paragraph" w:customStyle="1" w:styleId="143">
    <w:name w:val="右缩进"/>
    <w:basedOn w:val="1"/>
    <w:qFormat/>
    <w:uiPriority w:val="0"/>
    <w:pPr>
      <w:adjustRightInd/>
      <w:spacing w:line="360" w:lineRule="auto"/>
      <w:ind w:firstLine="560" w:firstLineChars="200"/>
      <w:jc w:val="right"/>
      <w:textAlignment w:val="auto"/>
    </w:pPr>
    <w:rPr>
      <w:rFonts w:eastAsia="仿宋_GB2312" w:cs="宋体"/>
      <w:kern w:val="2"/>
      <w:sz w:val="28"/>
    </w:rPr>
  </w:style>
  <w:style w:type="paragraph" w:customStyle="1" w:styleId="144">
    <w:name w:val="表格字体加粗"/>
    <w:basedOn w:val="133"/>
    <w:qFormat/>
    <w:uiPriority w:val="0"/>
    <w:rPr>
      <w:b/>
    </w:rPr>
  </w:style>
  <w:style w:type="paragraph" w:customStyle="1" w:styleId="145">
    <w:name w:val="加粗不缩进"/>
    <w:basedOn w:val="137"/>
    <w:qFormat/>
    <w:uiPriority w:val="0"/>
    <w:pPr>
      <w:ind w:firstLine="0" w:firstLineChars="0"/>
    </w:pPr>
    <w:rPr>
      <w:rFonts w:eastAsia="仿宋_GB2312"/>
    </w:rPr>
  </w:style>
  <w:style w:type="paragraph" w:customStyle="1" w:styleId="146">
    <w:name w:val="加粗右缩进"/>
    <w:basedOn w:val="139"/>
    <w:qFormat/>
    <w:uiPriority w:val="0"/>
  </w:style>
  <w:style w:type="paragraph" w:customStyle="1" w:styleId="147">
    <w:name w:val="法人代表缩进"/>
    <w:basedOn w:val="1"/>
    <w:qFormat/>
    <w:uiPriority w:val="0"/>
    <w:pPr>
      <w:adjustRightInd/>
      <w:spacing w:line="360" w:lineRule="auto"/>
      <w:ind w:firstLine="5460" w:firstLineChars="1950"/>
      <w:textAlignment w:val="auto"/>
    </w:pPr>
    <w:rPr>
      <w:rFonts w:eastAsia="仿宋_GB2312" w:cs="宋体"/>
      <w:kern w:val="2"/>
      <w:sz w:val="28"/>
    </w:rPr>
  </w:style>
  <w:style w:type="character" w:customStyle="1" w:styleId="148">
    <w:name w:val="zt"/>
    <w:basedOn w:val="91"/>
    <w:qFormat/>
    <w:uiPriority w:val="0"/>
  </w:style>
  <w:style w:type="character" w:customStyle="1" w:styleId="149">
    <w:name w:val="apple-converted-space"/>
    <w:basedOn w:val="91"/>
    <w:qFormat/>
    <w:uiPriority w:val="0"/>
  </w:style>
  <w:style w:type="paragraph" w:customStyle="1" w:styleId="150">
    <w:name w:val="font5"/>
    <w:basedOn w:val="1"/>
    <w:qFormat/>
    <w:uiPriority w:val="0"/>
    <w:pPr>
      <w:widowControl/>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151">
    <w:name w:val="font6"/>
    <w:basedOn w:val="1"/>
    <w:qFormat/>
    <w:uiPriority w:val="0"/>
    <w:pPr>
      <w:widowControl/>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152">
    <w:name w:val="font7"/>
    <w:basedOn w:val="1"/>
    <w:qFormat/>
    <w:uiPriority w:val="0"/>
    <w:pPr>
      <w:widowControl/>
      <w:adjustRightInd/>
      <w:spacing w:before="100" w:beforeAutospacing="1" w:after="100" w:afterAutospacing="1" w:line="240" w:lineRule="auto"/>
      <w:jc w:val="left"/>
      <w:textAlignment w:val="auto"/>
    </w:pPr>
    <w:rPr>
      <w:rFonts w:ascii="宋体" w:hAnsi="宋体" w:cs="宋体"/>
      <w:sz w:val="22"/>
      <w:szCs w:val="22"/>
    </w:rPr>
  </w:style>
  <w:style w:type="paragraph" w:customStyle="1" w:styleId="153">
    <w:name w:val="font8"/>
    <w:basedOn w:val="1"/>
    <w:qFormat/>
    <w:uiPriority w:val="0"/>
    <w:pPr>
      <w:widowControl/>
      <w:adjustRightInd/>
      <w:spacing w:before="100" w:beforeAutospacing="1" w:after="100" w:afterAutospacing="1" w:line="240" w:lineRule="auto"/>
      <w:jc w:val="left"/>
      <w:textAlignment w:val="auto"/>
    </w:pPr>
    <w:rPr>
      <w:sz w:val="22"/>
      <w:szCs w:val="22"/>
    </w:rPr>
  </w:style>
  <w:style w:type="paragraph" w:customStyle="1" w:styleId="15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b/>
      <w:bCs/>
      <w:sz w:val="24"/>
      <w:szCs w:val="24"/>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b/>
      <w:bCs/>
      <w:sz w:val="24"/>
      <w:szCs w:val="24"/>
    </w:rPr>
  </w:style>
  <w:style w:type="paragraph" w:customStyle="1" w:styleId="156">
    <w:name w:val="xl69"/>
    <w:basedOn w:val="1"/>
    <w:qFormat/>
    <w:uiPriority w:val="0"/>
    <w:pPr>
      <w:widowControl/>
      <w:adjustRightInd/>
      <w:spacing w:before="100" w:beforeAutospacing="1" w:after="100" w:afterAutospacing="1" w:line="240" w:lineRule="auto"/>
      <w:jc w:val="left"/>
      <w:textAlignment w:val="center"/>
    </w:pPr>
    <w:rPr>
      <w:rFonts w:ascii="宋体" w:hAnsi="宋体" w:cs="宋体"/>
      <w:sz w:val="24"/>
      <w:szCs w:val="24"/>
    </w:rPr>
  </w:style>
  <w:style w:type="paragraph" w:customStyle="1" w:styleId="15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sz w:val="24"/>
      <w:szCs w:val="24"/>
    </w:rPr>
  </w:style>
  <w:style w:type="paragraph" w:customStyle="1" w:styleId="15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sz w:val="24"/>
      <w:szCs w:val="24"/>
    </w:rPr>
  </w:style>
  <w:style w:type="paragraph" w:customStyle="1" w:styleId="159">
    <w:name w:val="xl7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b/>
      <w:bCs/>
      <w:sz w:val="24"/>
      <w:szCs w:val="24"/>
    </w:rPr>
  </w:style>
  <w:style w:type="paragraph" w:customStyle="1" w:styleId="160">
    <w:name w:val="xl7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sz w:val="24"/>
      <w:szCs w:val="24"/>
    </w:rPr>
  </w:style>
  <w:style w:type="paragraph" w:customStyle="1" w:styleId="161">
    <w:name w:val="xl7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sz w:val="24"/>
      <w:szCs w:val="24"/>
    </w:rPr>
  </w:style>
  <w:style w:type="paragraph" w:customStyle="1" w:styleId="16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sz w:val="24"/>
      <w:szCs w:val="24"/>
    </w:rPr>
  </w:style>
  <w:style w:type="paragraph" w:customStyle="1" w:styleId="163">
    <w:name w:val="xl76"/>
    <w:basedOn w:val="1"/>
    <w:qFormat/>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16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b/>
      <w:bCs/>
      <w:sz w:val="24"/>
      <w:szCs w:val="24"/>
    </w:rPr>
  </w:style>
  <w:style w:type="paragraph" w:customStyle="1" w:styleId="165">
    <w:name w:val="xl78"/>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b/>
      <w:bCs/>
      <w:sz w:val="40"/>
      <w:szCs w:val="40"/>
    </w:rPr>
  </w:style>
  <w:style w:type="paragraph" w:customStyle="1" w:styleId="16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sz w:val="24"/>
      <w:szCs w:val="24"/>
    </w:rPr>
  </w:style>
  <w:style w:type="paragraph" w:customStyle="1" w:styleId="167">
    <w:name w:val="xl80"/>
    <w:basedOn w:val="1"/>
    <w:qFormat/>
    <w:uiPriority w:val="0"/>
    <w:pPr>
      <w:widowControl/>
      <w:pBdr>
        <w:bottom w:val="single" w:color="auto" w:sz="4" w:space="0"/>
      </w:pBdr>
      <w:adjustRightInd/>
      <w:spacing w:before="100" w:beforeAutospacing="1" w:after="100" w:afterAutospacing="1" w:line="240" w:lineRule="auto"/>
      <w:jc w:val="center"/>
      <w:textAlignment w:val="auto"/>
    </w:pPr>
    <w:rPr>
      <w:rFonts w:ascii="宋体" w:hAnsi="宋体" w:cs="宋体"/>
      <w:b/>
      <w:bCs/>
      <w:sz w:val="40"/>
      <w:szCs w:val="40"/>
    </w:rPr>
  </w:style>
  <w:style w:type="paragraph" w:customStyle="1" w:styleId="168">
    <w:name w:val="xl81"/>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center"/>
      <w:textAlignment w:val="center"/>
    </w:pPr>
    <w:rPr>
      <w:rFonts w:ascii="宋体" w:hAnsi="宋体" w:cs="宋体"/>
      <w:b/>
      <w:bCs/>
      <w:sz w:val="24"/>
      <w:szCs w:val="24"/>
    </w:rPr>
  </w:style>
  <w:style w:type="paragraph" w:customStyle="1" w:styleId="169">
    <w:name w:val="xl82"/>
    <w:basedOn w:val="1"/>
    <w:qFormat/>
    <w:uiPriority w:val="0"/>
    <w:pPr>
      <w:widowControl/>
      <w:pBdr>
        <w:top w:val="single" w:color="auto" w:sz="4" w:space="0"/>
        <w:bottom w:val="single" w:color="auto" w:sz="4" w:space="0"/>
      </w:pBdr>
      <w:adjustRightInd/>
      <w:spacing w:before="100" w:beforeAutospacing="1" w:after="100" w:afterAutospacing="1" w:line="240" w:lineRule="auto"/>
      <w:jc w:val="center"/>
      <w:textAlignment w:val="center"/>
    </w:pPr>
    <w:rPr>
      <w:rFonts w:ascii="宋体" w:hAnsi="宋体" w:cs="宋体"/>
      <w:b/>
      <w:bCs/>
      <w:sz w:val="24"/>
      <w:szCs w:val="24"/>
    </w:rPr>
  </w:style>
  <w:style w:type="paragraph" w:customStyle="1" w:styleId="170">
    <w:name w:val="xl8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b/>
      <w:bCs/>
      <w:sz w:val="24"/>
      <w:szCs w:val="24"/>
    </w:rPr>
  </w:style>
  <w:style w:type="paragraph" w:customStyle="1" w:styleId="171">
    <w:name w:val="xl8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s="宋体"/>
      <w:b/>
      <w:bCs/>
      <w:sz w:val="24"/>
      <w:szCs w:val="24"/>
    </w:rPr>
  </w:style>
  <w:style w:type="character" w:customStyle="1" w:styleId="172">
    <w:name w:val="正文文本缩进 Char"/>
    <w:basedOn w:val="91"/>
    <w:qFormat/>
    <w:uiPriority w:val="0"/>
    <w:rPr>
      <w:rFonts w:eastAsia="仿宋_GB2312"/>
      <w:kern w:val="2"/>
      <w:sz w:val="28"/>
      <w:szCs w:val="24"/>
    </w:rPr>
  </w:style>
  <w:style w:type="character" w:customStyle="1" w:styleId="173">
    <w:name w:val="标题 4 Char"/>
    <w:basedOn w:val="91"/>
    <w:link w:val="8"/>
    <w:qFormat/>
    <w:uiPriority w:val="99"/>
    <w:rPr>
      <w:rFonts w:eastAsia="仿宋_GB2312"/>
      <w:sz w:val="28"/>
    </w:rPr>
  </w:style>
  <w:style w:type="character" w:customStyle="1" w:styleId="174">
    <w:name w:val="标题 1 Char"/>
    <w:basedOn w:val="91"/>
    <w:link w:val="4"/>
    <w:qFormat/>
    <w:locked/>
    <w:uiPriority w:val="99"/>
    <w:rPr>
      <w:rFonts w:ascii="仿宋体" w:hAnsi="Algerian" w:eastAsia="仿宋体"/>
      <w:color w:val="000000"/>
      <w:sz w:val="28"/>
    </w:rPr>
  </w:style>
  <w:style w:type="character" w:customStyle="1" w:styleId="175">
    <w:name w:val="标题 2 Char"/>
    <w:basedOn w:val="91"/>
    <w:link w:val="5"/>
    <w:qFormat/>
    <w:locked/>
    <w:uiPriority w:val="0"/>
    <w:rPr>
      <w:rFonts w:ascii="Arial" w:hAnsi="Arial" w:eastAsia="仿宋_GB2312"/>
      <w:kern w:val="2"/>
      <w:sz w:val="28"/>
    </w:rPr>
  </w:style>
  <w:style w:type="character" w:customStyle="1" w:styleId="176">
    <w:name w:val="标题 3 Char"/>
    <w:basedOn w:val="91"/>
    <w:link w:val="7"/>
    <w:qFormat/>
    <w:locked/>
    <w:uiPriority w:val="99"/>
    <w:rPr>
      <w:rFonts w:ascii="仿宋_GB2312" w:eastAsia="仿宋_GB2312"/>
      <w:kern w:val="2"/>
      <w:sz w:val="28"/>
    </w:rPr>
  </w:style>
  <w:style w:type="character" w:customStyle="1" w:styleId="177">
    <w:name w:val="正文文本 Char"/>
    <w:basedOn w:val="91"/>
    <w:qFormat/>
    <w:uiPriority w:val="99"/>
    <w:rPr>
      <w:rFonts w:ascii="Bell MT" w:hAnsi="Bell MT" w:eastAsia="黑体" w:cs="黑体"/>
      <w:sz w:val="22"/>
      <w:szCs w:val="22"/>
    </w:rPr>
  </w:style>
  <w:style w:type="character" w:customStyle="1" w:styleId="178">
    <w:name w:val="正文文本 Char1"/>
    <w:basedOn w:val="91"/>
    <w:link w:val="35"/>
    <w:qFormat/>
    <w:uiPriority w:val="99"/>
    <w:rPr>
      <w:sz w:val="21"/>
    </w:rPr>
  </w:style>
  <w:style w:type="character" w:customStyle="1" w:styleId="179">
    <w:name w:val="正文首行缩进 Char"/>
    <w:basedOn w:val="178"/>
    <w:link w:val="87"/>
    <w:qFormat/>
    <w:uiPriority w:val="99"/>
    <w:rPr>
      <w:rFonts w:ascii="Bell MT" w:hAnsi="Bell MT" w:eastAsia="黑体" w:cs="黑体"/>
      <w:sz w:val="22"/>
      <w:szCs w:val="22"/>
    </w:rPr>
  </w:style>
  <w:style w:type="character" w:customStyle="1" w:styleId="180">
    <w:name w:val="宏文本 Char"/>
    <w:basedOn w:val="91"/>
    <w:link w:val="3"/>
    <w:qFormat/>
    <w:uiPriority w:val="99"/>
    <w:rPr>
      <w:rFonts w:ascii="Consolas" w:hAnsi="Consolas"/>
    </w:rPr>
  </w:style>
  <w:style w:type="character" w:customStyle="1" w:styleId="181">
    <w:name w:val="注释标题 Char"/>
    <w:basedOn w:val="91"/>
    <w:link w:val="18"/>
    <w:qFormat/>
    <w:uiPriority w:val="99"/>
    <w:rPr>
      <w:rFonts w:ascii="Bell MT" w:hAnsi="Bell MT" w:eastAsia="黑体" w:cs="黑体"/>
      <w:sz w:val="22"/>
      <w:szCs w:val="22"/>
    </w:rPr>
  </w:style>
  <w:style w:type="character" w:customStyle="1" w:styleId="182">
    <w:name w:val="电子邮件签名 Char"/>
    <w:basedOn w:val="91"/>
    <w:link w:val="21"/>
    <w:qFormat/>
    <w:uiPriority w:val="99"/>
    <w:rPr>
      <w:rFonts w:ascii="Bell MT" w:hAnsi="Bell MT" w:eastAsia="黑体" w:cs="黑体"/>
      <w:sz w:val="22"/>
      <w:szCs w:val="22"/>
    </w:rPr>
  </w:style>
  <w:style w:type="character" w:customStyle="1" w:styleId="183">
    <w:name w:val="文档结构图 Char"/>
    <w:basedOn w:val="91"/>
    <w:link w:val="27"/>
    <w:qFormat/>
    <w:uiPriority w:val="99"/>
    <w:rPr>
      <w:sz w:val="21"/>
      <w:shd w:val="clear" w:color="auto" w:fill="000080"/>
    </w:rPr>
  </w:style>
  <w:style w:type="character" w:customStyle="1" w:styleId="184">
    <w:name w:val="称呼 Char"/>
    <w:basedOn w:val="91"/>
    <w:link w:val="31"/>
    <w:qFormat/>
    <w:uiPriority w:val="99"/>
    <w:rPr>
      <w:spacing w:val="-12"/>
      <w:sz w:val="28"/>
    </w:rPr>
  </w:style>
  <w:style w:type="character" w:customStyle="1" w:styleId="185">
    <w:name w:val="正文文本 3 Char"/>
    <w:basedOn w:val="91"/>
    <w:link w:val="32"/>
    <w:qFormat/>
    <w:uiPriority w:val="99"/>
    <w:rPr>
      <w:sz w:val="16"/>
      <w:szCs w:val="16"/>
    </w:rPr>
  </w:style>
  <w:style w:type="character" w:customStyle="1" w:styleId="186">
    <w:name w:val="结束语 Char"/>
    <w:basedOn w:val="91"/>
    <w:link w:val="33"/>
    <w:qFormat/>
    <w:uiPriority w:val="99"/>
    <w:rPr>
      <w:spacing w:val="-12"/>
      <w:sz w:val="28"/>
    </w:rPr>
  </w:style>
  <w:style w:type="character" w:customStyle="1" w:styleId="187">
    <w:name w:val="HTML 地址 Char"/>
    <w:basedOn w:val="91"/>
    <w:link w:val="42"/>
    <w:qFormat/>
    <w:uiPriority w:val="99"/>
    <w:rPr>
      <w:i/>
      <w:iCs/>
    </w:rPr>
  </w:style>
  <w:style w:type="character" w:customStyle="1" w:styleId="188">
    <w:name w:val="纯文本 Char"/>
    <w:basedOn w:val="91"/>
    <w:link w:val="46"/>
    <w:qFormat/>
    <w:uiPriority w:val="99"/>
    <w:rPr>
      <w:rFonts w:ascii="Consolas" w:hAnsi="Consolas"/>
      <w:sz w:val="21"/>
      <w:szCs w:val="21"/>
    </w:rPr>
  </w:style>
  <w:style w:type="character" w:customStyle="1" w:styleId="189">
    <w:name w:val="日期 Char"/>
    <w:basedOn w:val="91"/>
    <w:link w:val="51"/>
    <w:qFormat/>
    <w:locked/>
    <w:uiPriority w:val="99"/>
    <w:rPr>
      <w:sz w:val="21"/>
    </w:rPr>
  </w:style>
  <w:style w:type="character" w:customStyle="1" w:styleId="190">
    <w:name w:val="正文文本缩进 2 Char"/>
    <w:basedOn w:val="91"/>
    <w:link w:val="52"/>
    <w:qFormat/>
    <w:locked/>
    <w:uiPriority w:val="0"/>
    <w:rPr>
      <w:spacing w:val="-20"/>
      <w:sz w:val="28"/>
    </w:rPr>
  </w:style>
  <w:style w:type="character" w:customStyle="1" w:styleId="191">
    <w:name w:val="尾注文本 Char"/>
    <w:basedOn w:val="91"/>
    <w:link w:val="53"/>
    <w:qFormat/>
    <w:uiPriority w:val="99"/>
  </w:style>
  <w:style w:type="character" w:customStyle="1" w:styleId="192">
    <w:name w:val="正文文本缩进 Char1"/>
    <w:basedOn w:val="91"/>
    <w:link w:val="36"/>
    <w:qFormat/>
    <w:uiPriority w:val="0"/>
    <w:rPr>
      <w:spacing w:val="-12"/>
      <w:sz w:val="28"/>
    </w:rPr>
  </w:style>
  <w:style w:type="character" w:customStyle="1" w:styleId="193">
    <w:name w:val="正文首行缩进 2 Char"/>
    <w:basedOn w:val="192"/>
    <w:link w:val="88"/>
    <w:qFormat/>
    <w:uiPriority w:val="99"/>
    <w:rPr>
      <w:rFonts w:ascii="Bell MT" w:hAnsi="Bell MT" w:eastAsia="黑体" w:cs="黑体"/>
      <w:sz w:val="22"/>
      <w:szCs w:val="22"/>
    </w:rPr>
  </w:style>
  <w:style w:type="character" w:customStyle="1" w:styleId="194">
    <w:name w:val="正文文本 2 Char"/>
    <w:basedOn w:val="91"/>
    <w:link w:val="77"/>
    <w:qFormat/>
    <w:uiPriority w:val="99"/>
    <w:rPr>
      <w:rFonts w:eastAsia="仿宋_GB2312"/>
      <w:b/>
      <w:sz w:val="44"/>
    </w:rPr>
  </w:style>
  <w:style w:type="character" w:customStyle="1" w:styleId="195">
    <w:name w:val="签名 Char"/>
    <w:basedOn w:val="91"/>
    <w:link w:val="59"/>
    <w:qFormat/>
    <w:uiPriority w:val="99"/>
    <w:rPr>
      <w:color w:val="3F3F3F"/>
    </w:rPr>
  </w:style>
  <w:style w:type="character" w:customStyle="1" w:styleId="196">
    <w:name w:val="副标题 Char"/>
    <w:basedOn w:val="91"/>
    <w:link w:val="65"/>
    <w:qFormat/>
    <w:uiPriority w:val="99"/>
    <w:rPr>
      <w:rFonts w:ascii="Bell MT" w:hAnsi="Bell MT" w:eastAsia="黑体"/>
      <w:i/>
      <w:iCs/>
      <w:color w:val="8D002D"/>
      <w:spacing w:val="15"/>
      <w:sz w:val="24"/>
      <w:szCs w:val="24"/>
    </w:rPr>
  </w:style>
  <w:style w:type="character" w:customStyle="1" w:styleId="197">
    <w:name w:val="正文文本缩进 3 Char"/>
    <w:basedOn w:val="91"/>
    <w:link w:val="71"/>
    <w:qFormat/>
    <w:uiPriority w:val="0"/>
    <w:rPr>
      <w:sz w:val="28"/>
    </w:rPr>
  </w:style>
  <w:style w:type="character" w:customStyle="1" w:styleId="198">
    <w:name w:val="信息标题 Char"/>
    <w:basedOn w:val="91"/>
    <w:link w:val="80"/>
    <w:qFormat/>
    <w:uiPriority w:val="99"/>
    <w:rPr>
      <w:rFonts w:ascii="Bell MT" w:hAnsi="Bell MT" w:eastAsia="黑体"/>
      <w:sz w:val="24"/>
      <w:szCs w:val="24"/>
      <w:shd w:val="pct20" w:color="auto" w:fill="auto"/>
    </w:rPr>
  </w:style>
  <w:style w:type="character" w:customStyle="1" w:styleId="199">
    <w:name w:val="HTML 预设格式 Char"/>
    <w:basedOn w:val="91"/>
    <w:link w:val="81"/>
    <w:qFormat/>
    <w:uiPriority w:val="99"/>
    <w:rPr>
      <w:rFonts w:ascii="Consolas" w:hAnsi="Consolas"/>
    </w:rPr>
  </w:style>
  <w:style w:type="character" w:customStyle="1" w:styleId="200">
    <w:name w:val="标题 Char"/>
    <w:basedOn w:val="91"/>
    <w:link w:val="85"/>
    <w:qFormat/>
    <w:uiPriority w:val="99"/>
    <w:rPr>
      <w:rFonts w:ascii="Bell MT" w:hAnsi="Bell MT" w:eastAsia="黑体"/>
      <w:b/>
      <w:color w:val="8D002D"/>
      <w:spacing w:val="5"/>
      <w:kern w:val="28"/>
      <w:sz w:val="32"/>
      <w:szCs w:val="32"/>
    </w:rPr>
  </w:style>
  <w:style w:type="paragraph" w:customStyle="1" w:styleId="201">
    <w:name w:val="Contact Details"/>
    <w:basedOn w:val="1"/>
    <w:qFormat/>
    <w:uiPriority w:val="99"/>
    <w:pPr>
      <w:widowControl/>
      <w:adjustRightInd/>
      <w:spacing w:before="120" w:after="240" w:line="240" w:lineRule="auto"/>
      <w:ind w:right="-720"/>
      <w:jc w:val="right"/>
      <w:textAlignment w:val="auto"/>
    </w:pPr>
    <w:rPr>
      <w:rFonts w:ascii="Bell MT" w:hAnsi="Bell MT" w:eastAsia="黑体" w:cs="黑体"/>
      <w:color w:val="262626"/>
      <w:sz w:val="18"/>
      <w:szCs w:val="18"/>
    </w:rPr>
  </w:style>
  <w:style w:type="paragraph" w:customStyle="1" w:styleId="202">
    <w:name w:val="Address"/>
    <w:basedOn w:val="1"/>
    <w:qFormat/>
    <w:uiPriority w:val="99"/>
    <w:pPr>
      <w:widowControl/>
      <w:adjustRightInd/>
      <w:spacing w:line="300" w:lineRule="auto"/>
      <w:jc w:val="left"/>
      <w:textAlignment w:val="auto"/>
    </w:pPr>
    <w:rPr>
      <w:rFonts w:ascii="Bell MT" w:hAnsi="Bell MT" w:eastAsia="黑体" w:cs="黑体"/>
      <w:sz w:val="20"/>
      <w:szCs w:val="22"/>
    </w:rPr>
  </w:style>
  <w:style w:type="paragraph" w:customStyle="1" w:styleId="203">
    <w:name w:val="Date and Recipient"/>
    <w:basedOn w:val="1"/>
    <w:qFormat/>
    <w:uiPriority w:val="99"/>
    <w:pPr>
      <w:widowControl/>
      <w:adjustRightInd/>
      <w:spacing w:before="400" w:line="300" w:lineRule="auto"/>
      <w:jc w:val="left"/>
      <w:textAlignment w:val="auto"/>
    </w:pPr>
    <w:rPr>
      <w:rFonts w:ascii="Bell MT" w:hAnsi="Bell MT" w:eastAsia="黑体" w:cs="黑体"/>
      <w:color w:val="3F3F3F"/>
      <w:sz w:val="22"/>
      <w:szCs w:val="22"/>
    </w:rPr>
  </w:style>
  <w:style w:type="paragraph" w:customStyle="1" w:styleId="204">
    <w:name w:val="书目1"/>
    <w:basedOn w:val="1"/>
    <w:next w:val="1"/>
    <w:qFormat/>
    <w:uiPriority w:val="99"/>
    <w:pPr>
      <w:widowControl/>
      <w:adjustRightInd/>
      <w:spacing w:line="300" w:lineRule="auto"/>
      <w:jc w:val="left"/>
      <w:textAlignment w:val="auto"/>
    </w:pPr>
    <w:rPr>
      <w:rFonts w:ascii="Bell MT" w:hAnsi="Bell MT" w:eastAsia="黑体" w:cs="黑体"/>
      <w:sz w:val="22"/>
      <w:szCs w:val="22"/>
    </w:rPr>
  </w:style>
  <w:style w:type="paragraph" w:customStyle="1" w:styleId="205">
    <w:name w:val="明显引用1"/>
    <w:basedOn w:val="1"/>
    <w:next w:val="1"/>
    <w:link w:val="213"/>
    <w:qFormat/>
    <w:uiPriority w:val="99"/>
    <w:pPr>
      <w:widowControl/>
      <w:pBdr>
        <w:bottom w:val="single" w:color="8D002D" w:sz="4" w:space="4"/>
      </w:pBdr>
      <w:adjustRightInd/>
      <w:spacing w:before="200" w:after="280" w:line="300" w:lineRule="auto"/>
      <w:ind w:left="936" w:right="936"/>
      <w:jc w:val="left"/>
      <w:textAlignment w:val="auto"/>
    </w:pPr>
    <w:rPr>
      <w:b/>
      <w:i/>
      <w:color w:val="8D002D"/>
      <w:sz w:val="20"/>
    </w:rPr>
  </w:style>
  <w:style w:type="paragraph" w:customStyle="1" w:styleId="206">
    <w:name w:val="列出段落11"/>
    <w:basedOn w:val="1"/>
    <w:qFormat/>
    <w:uiPriority w:val="99"/>
    <w:pPr>
      <w:widowControl/>
      <w:adjustRightInd/>
      <w:spacing w:line="300" w:lineRule="auto"/>
      <w:ind w:left="720"/>
      <w:contextualSpacing/>
      <w:jc w:val="left"/>
      <w:textAlignment w:val="auto"/>
    </w:pPr>
    <w:rPr>
      <w:rFonts w:ascii="Bell MT" w:hAnsi="Bell MT" w:eastAsia="黑体" w:cs="黑体"/>
      <w:sz w:val="22"/>
      <w:szCs w:val="22"/>
    </w:rPr>
  </w:style>
  <w:style w:type="paragraph" w:customStyle="1" w:styleId="207">
    <w:name w:val="无间隔1"/>
    <w:qFormat/>
    <w:uiPriority w:val="99"/>
    <w:rPr>
      <w:rFonts w:ascii="Bell MT" w:hAnsi="Bell MT" w:eastAsia="黑体" w:cs="黑体"/>
      <w:sz w:val="22"/>
      <w:szCs w:val="22"/>
      <w:lang w:val="en-US" w:eastAsia="zh-CN" w:bidi="ar-SA"/>
    </w:rPr>
  </w:style>
  <w:style w:type="paragraph" w:customStyle="1" w:styleId="208">
    <w:name w:val="引用1"/>
    <w:basedOn w:val="1"/>
    <w:next w:val="1"/>
    <w:link w:val="214"/>
    <w:qFormat/>
    <w:uiPriority w:val="99"/>
    <w:pPr>
      <w:widowControl/>
      <w:adjustRightInd/>
      <w:spacing w:line="300" w:lineRule="auto"/>
      <w:jc w:val="left"/>
      <w:textAlignment w:val="auto"/>
    </w:pPr>
    <w:rPr>
      <w:i/>
      <w:color w:val="000000"/>
      <w:sz w:val="20"/>
    </w:rPr>
  </w:style>
  <w:style w:type="paragraph" w:customStyle="1" w:styleId="209">
    <w:name w:val="TOC 标题11"/>
    <w:basedOn w:val="4"/>
    <w:next w:val="1"/>
    <w:qFormat/>
    <w:uiPriority w:val="99"/>
    <w:pPr>
      <w:keepLines/>
      <w:widowControl/>
      <w:numPr>
        <w:numId w:val="0"/>
      </w:numPr>
      <w:tabs>
        <w:tab w:val="clear" w:pos="2160"/>
      </w:tabs>
      <w:autoSpaceDE/>
      <w:autoSpaceDN/>
      <w:adjustRightInd/>
      <w:snapToGrid/>
      <w:spacing w:before="480" w:line="300" w:lineRule="auto"/>
      <w:ind w:right="0"/>
      <w:textAlignment w:val="auto"/>
      <w:outlineLvl w:val="9"/>
    </w:pPr>
    <w:rPr>
      <w:rFonts w:ascii="Bell MT" w:hAnsi="Bell MT" w:eastAsia="黑体"/>
      <w:b/>
      <w:bCs/>
      <w:color w:val="680021"/>
      <w:szCs w:val="28"/>
      <w:shd w:val="clear" w:color="auto" w:fill="auto"/>
    </w:rPr>
  </w:style>
  <w:style w:type="paragraph" w:customStyle="1" w:styleId="210">
    <w:name w:val="默认段落字体 Para Char"/>
    <w:basedOn w:val="1"/>
    <w:next w:val="1"/>
    <w:qFormat/>
    <w:uiPriority w:val="99"/>
    <w:pPr>
      <w:adjustRightInd/>
      <w:spacing w:line="360" w:lineRule="auto"/>
      <w:ind w:firstLine="200" w:firstLineChars="200"/>
      <w:textAlignment w:val="auto"/>
    </w:pPr>
    <w:rPr>
      <w:rFonts w:ascii="宋体" w:hAnsi="宋体" w:cs="宋体"/>
      <w:kern w:val="2"/>
      <w:sz w:val="24"/>
      <w:szCs w:val="24"/>
    </w:rPr>
  </w:style>
  <w:style w:type="paragraph" w:customStyle="1" w:styleId="211">
    <w:name w:val="font0"/>
    <w:basedOn w:val="1"/>
    <w:qFormat/>
    <w:uiPriority w:val="99"/>
    <w:pPr>
      <w:widowControl/>
      <w:adjustRightInd/>
      <w:spacing w:before="100" w:beforeAutospacing="1" w:after="100" w:afterAutospacing="1" w:line="240" w:lineRule="auto"/>
      <w:jc w:val="left"/>
      <w:textAlignment w:val="auto"/>
    </w:pPr>
    <w:rPr>
      <w:rFonts w:ascii="宋体" w:hAnsi="宋体"/>
      <w:sz w:val="24"/>
      <w:szCs w:val="24"/>
    </w:rPr>
  </w:style>
  <w:style w:type="paragraph" w:customStyle="1" w:styleId="212">
    <w:name w:val="zw"/>
    <w:basedOn w:val="1"/>
    <w:qFormat/>
    <w:uiPriority w:val="99"/>
    <w:pPr>
      <w:spacing w:line="360" w:lineRule="auto"/>
      <w:ind w:firstLine="482"/>
    </w:pPr>
    <w:rPr>
      <w:rFonts w:ascii="Arial Narrow" w:hAnsi="Arial Narrow" w:eastAsia="楷体_GB2312"/>
      <w:sz w:val="24"/>
    </w:rPr>
  </w:style>
  <w:style w:type="character" w:customStyle="1" w:styleId="213">
    <w:name w:val="明显引用 Char"/>
    <w:link w:val="205"/>
    <w:qFormat/>
    <w:locked/>
    <w:uiPriority w:val="99"/>
    <w:rPr>
      <w:b/>
      <w:i/>
      <w:color w:val="8D002D"/>
    </w:rPr>
  </w:style>
  <w:style w:type="character" w:customStyle="1" w:styleId="214">
    <w:name w:val="引用 Char"/>
    <w:link w:val="208"/>
    <w:qFormat/>
    <w:locked/>
    <w:uiPriority w:val="99"/>
    <w:rPr>
      <w:i/>
      <w:color w:val="000000"/>
    </w:rPr>
  </w:style>
  <w:style w:type="character" w:customStyle="1" w:styleId="215">
    <w:name w:val="cp"/>
    <w:basedOn w:val="91"/>
    <w:qFormat/>
    <w:uiPriority w:val="99"/>
    <w:rPr>
      <w:rFonts w:cs="Times New Roman"/>
    </w:rPr>
  </w:style>
  <w:style w:type="character" w:customStyle="1" w:styleId="216">
    <w:name w:val="d12"/>
    <w:basedOn w:val="91"/>
    <w:qFormat/>
    <w:uiPriority w:val="99"/>
    <w:rPr>
      <w:rFonts w:cs="Times New Roman"/>
    </w:rPr>
  </w:style>
  <w:style w:type="character" w:customStyle="1" w:styleId="217">
    <w:name w:val="d4"/>
    <w:basedOn w:val="91"/>
    <w:qFormat/>
    <w:uiPriority w:val="99"/>
    <w:rPr>
      <w:rFonts w:cs="Times New Roman"/>
    </w:rPr>
  </w:style>
  <w:style w:type="character" w:customStyle="1" w:styleId="218">
    <w:name w:val="Char Char2"/>
    <w:basedOn w:val="91"/>
    <w:qFormat/>
    <w:uiPriority w:val="99"/>
    <w:rPr>
      <w:rFonts w:cs="Times New Roman"/>
      <w:sz w:val="24"/>
      <w:szCs w:val="24"/>
      <w:lang w:eastAsia="en-US"/>
    </w:rPr>
  </w:style>
  <w:style w:type="character" w:customStyle="1" w:styleId="219">
    <w:name w:val="列表接续 Char"/>
    <w:basedOn w:val="91"/>
    <w:link w:val="39"/>
    <w:qFormat/>
    <w:locked/>
    <w:uiPriority w:val="99"/>
    <w:rPr>
      <w:rFonts w:ascii="Bell MT" w:hAnsi="Bell MT" w:eastAsia="黑体" w:cs="黑体"/>
      <w:sz w:val="22"/>
      <w:szCs w:val="22"/>
    </w:rPr>
  </w:style>
  <w:style w:type="character" w:customStyle="1" w:styleId="220">
    <w:name w:val="Char Char21"/>
    <w:basedOn w:val="91"/>
    <w:qFormat/>
    <w:uiPriority w:val="99"/>
    <w:rPr>
      <w:rFonts w:cs="Times New Roman"/>
      <w:sz w:val="24"/>
      <w:szCs w:val="24"/>
      <w:lang w:eastAsia="en-US"/>
    </w:rPr>
  </w:style>
  <w:style w:type="character" w:customStyle="1" w:styleId="221">
    <w:name w:val="ellipsis6"/>
    <w:basedOn w:val="91"/>
    <w:qFormat/>
    <w:uiPriority w:val="99"/>
    <w:rPr>
      <w:rFonts w:cs="Times New Roman"/>
    </w:rPr>
  </w:style>
  <w:style w:type="paragraph" w:customStyle="1" w:styleId="222">
    <w:name w:val="无间隔2"/>
    <w:qFormat/>
    <w:uiPriority w:val="1"/>
    <w:pPr>
      <w:widowControl w:val="0"/>
      <w:ind w:firstLine="562" w:firstLineChars="200"/>
      <w:jc w:val="center"/>
    </w:pPr>
    <w:rPr>
      <w:rFonts w:ascii="Times New Roman" w:hAnsi="Times New Roman" w:eastAsia="宋体" w:cs="Times New Roman"/>
      <w:kern w:val="2"/>
      <w:sz w:val="36"/>
      <w:szCs w:val="24"/>
      <w:lang w:val="en-US" w:eastAsia="zh-CN" w:bidi="ar-SA"/>
    </w:rPr>
  </w:style>
  <w:style w:type="character" w:customStyle="1" w:styleId="223">
    <w:name w:val="不明显强调1"/>
    <w:basedOn w:val="91"/>
    <w:qFormat/>
    <w:uiPriority w:val="19"/>
    <w:rPr>
      <w:rFonts w:eastAsia="宋体"/>
      <w:iCs/>
      <w:color w:val="auto"/>
      <w:sz w:val="28"/>
    </w:rPr>
  </w:style>
  <w:style w:type="character" w:customStyle="1" w:styleId="224">
    <w:name w:val="orange"/>
    <w:basedOn w:val="91"/>
    <w:qFormat/>
    <w:uiPriority w:val="0"/>
  </w:style>
  <w:style w:type="character" w:customStyle="1" w:styleId="225">
    <w:name w:val="jiucuo"/>
    <w:basedOn w:val="91"/>
    <w:qFormat/>
    <w:uiPriority w:val="0"/>
  </w:style>
  <w:style w:type="character" w:customStyle="1" w:styleId="226">
    <w:name w:val="break"/>
    <w:basedOn w:val="91"/>
    <w:qFormat/>
    <w:uiPriority w:val="0"/>
  </w:style>
  <w:style w:type="character" w:customStyle="1" w:styleId="227">
    <w:name w:val="font31"/>
    <w:basedOn w:val="91"/>
    <w:qFormat/>
    <w:uiPriority w:val="0"/>
    <w:rPr>
      <w:rFonts w:hint="eastAsia" w:ascii="宋体" w:hAnsi="宋体" w:eastAsia="宋体" w:cs="宋体"/>
      <w:color w:val="000000"/>
      <w:sz w:val="20"/>
      <w:szCs w:val="20"/>
      <w:u w:val="none"/>
    </w:rPr>
  </w:style>
  <w:style w:type="paragraph" w:styleId="228">
    <w:name w:val="List Paragraph"/>
    <w:basedOn w:val="1"/>
    <w:unhideWhenUsed/>
    <w:qFormat/>
    <w:uiPriority w:val="99"/>
    <w:pPr>
      <w:ind w:firstLine="420" w:firstLineChars="200"/>
    </w:pPr>
  </w:style>
  <w:style w:type="character" w:customStyle="1" w:styleId="229">
    <w:name w:val="headline-content"/>
    <w:basedOn w:val="91"/>
    <w:qFormat/>
    <w:uiPriority w:val="0"/>
  </w:style>
  <w:style w:type="character" w:customStyle="1" w:styleId="230">
    <w:name w:val="font11"/>
    <w:basedOn w:val="91"/>
    <w:qFormat/>
    <w:uiPriority w:val="0"/>
    <w:rPr>
      <w:rFonts w:hint="eastAsia" w:ascii="仿宋_GB2312" w:eastAsia="仿宋_GB2312"/>
      <w:color w:val="000000"/>
      <w:sz w:val="21"/>
      <w:szCs w:val="21"/>
      <w:u w:val="none"/>
    </w:rPr>
  </w:style>
  <w:style w:type="character" w:customStyle="1" w:styleId="231">
    <w:name w:val="font21"/>
    <w:basedOn w:val="91"/>
    <w:qFormat/>
    <w:uiPriority w:val="0"/>
    <w:rPr>
      <w:rFonts w:hint="eastAsia" w:ascii="仿宋_GB2312" w:eastAsia="仿宋_GB2312"/>
      <w:color w:val="000000"/>
      <w:sz w:val="22"/>
      <w:szCs w:val="22"/>
      <w:u w:val="none"/>
    </w:rPr>
  </w:style>
  <w:style w:type="character" w:customStyle="1" w:styleId="232">
    <w:name w:val="font71"/>
    <w:basedOn w:val="91"/>
    <w:qFormat/>
    <w:uiPriority w:val="0"/>
    <w:rPr>
      <w:rFonts w:hint="eastAsia" w:ascii="宋体" w:hAnsi="宋体" w:eastAsia="宋体"/>
      <w:color w:val="000000"/>
      <w:sz w:val="24"/>
      <w:szCs w:val="24"/>
      <w:u w:val="none"/>
    </w:rPr>
  </w:style>
  <w:style w:type="character" w:customStyle="1" w:styleId="233">
    <w:name w:val="font01"/>
    <w:basedOn w:val="91"/>
    <w:qFormat/>
    <w:uiPriority w:val="0"/>
    <w:rPr>
      <w:rFonts w:hint="eastAsia" w:ascii="仿宋_GB2312" w:eastAsia="仿宋_GB2312"/>
      <w:color w:val="000000"/>
      <w:sz w:val="24"/>
      <w:szCs w:val="24"/>
      <w:u w:val="none"/>
    </w:rPr>
  </w:style>
  <w:style w:type="character" w:customStyle="1" w:styleId="234">
    <w:name w:val="font41"/>
    <w:basedOn w:val="91"/>
    <w:qFormat/>
    <w:uiPriority w:val="0"/>
    <w:rPr>
      <w:rFonts w:hint="eastAsia" w:ascii="宋体" w:hAnsi="宋体" w:eastAsia="宋体" w:cs="宋体"/>
      <w:color w:val="000000"/>
      <w:sz w:val="22"/>
      <w:szCs w:val="22"/>
      <w:u w:val="none"/>
    </w:rPr>
  </w:style>
  <w:style w:type="character" w:customStyle="1" w:styleId="235">
    <w:name w:val="font51"/>
    <w:basedOn w:val="91"/>
    <w:qFormat/>
    <w:uiPriority w:val="0"/>
    <w:rPr>
      <w:rFonts w:ascii="Arial" w:hAnsi="Arial" w:cs="Arial"/>
      <w:color w:val="000000"/>
      <w:sz w:val="22"/>
      <w:szCs w:val="22"/>
      <w:u w:val="none"/>
    </w:rPr>
  </w:style>
  <w:style w:type="paragraph" w:customStyle="1" w:styleId="236">
    <w:name w:val="p"/>
    <w:basedOn w:val="1"/>
    <w:qFormat/>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237">
    <w:name w:val="font61"/>
    <w:basedOn w:val="91"/>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B164E06589F4A58A4500ED1B701F6AC"/>
        <w:style w:val=""/>
        <w:category>
          <w:name w:val="常规"/>
          <w:gallery w:val="placeholder"/>
        </w:category>
        <w:types>
          <w:type w:val="bbPlcHdr"/>
        </w:types>
        <w:behaviors>
          <w:behavior w:val="content"/>
        </w:behaviors>
        <w:description w:val=""/>
        <w:guid w:val="{FE18F474-526F-4DD3-81E1-ADB49FEC800A}"/>
      </w:docPartPr>
      <w:docPartBody>
        <w:p>
          <w:pPr>
            <w:pStyle w:val="8"/>
          </w:pPr>
          <w:r>
            <w:rPr>
              <w:rFonts w:asciiTheme="majorHAnsi" w:hAnsiTheme="majorHAnsi" w:eastAsiaTheme="majorEastAsia" w:cstheme="majorBidi"/>
              <w:sz w:val="32"/>
              <w:szCs w:val="32"/>
              <w:lang w:val="zh-CN"/>
            </w:rPr>
            <w:t>[键入文档标题]</w:t>
          </w:r>
        </w:p>
      </w:docPartBody>
    </w:docPart>
    <w:docPart>
      <w:docPartPr>
        <w:name w:val="F9D8491E7A3145F684A66C7CF6D7A885"/>
        <w:style w:val=""/>
        <w:category>
          <w:name w:val="常规"/>
          <w:gallery w:val="placeholder"/>
        </w:category>
        <w:types>
          <w:type w:val="bbPlcHdr"/>
        </w:types>
        <w:behaviors>
          <w:behavior w:val="content"/>
        </w:behaviors>
        <w:description w:val=""/>
        <w:guid w:val="{7CEB84DB-2AFF-413E-A807-492DAC50B51E}"/>
      </w:docPartPr>
      <w:docPartBody>
        <w:p>
          <w:pPr>
            <w:pStyle w:val="9"/>
          </w:pPr>
          <w:r>
            <w:rPr>
              <w:rFonts w:asciiTheme="majorHAnsi" w:hAnsiTheme="majorHAnsi" w:eastAsiaTheme="majorEastAsia" w:cstheme="majorBidi"/>
              <w:sz w:val="32"/>
              <w:szCs w:val="32"/>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E3617A"/>
    <w:rsid w:val="000076AB"/>
    <w:rsid w:val="000179B6"/>
    <w:rsid w:val="0002035A"/>
    <w:rsid w:val="00032C67"/>
    <w:rsid w:val="00043A58"/>
    <w:rsid w:val="00050DCA"/>
    <w:rsid w:val="000913E5"/>
    <w:rsid w:val="000948FE"/>
    <w:rsid w:val="000C4442"/>
    <w:rsid w:val="000D2D55"/>
    <w:rsid w:val="000E7732"/>
    <w:rsid w:val="000F50F6"/>
    <w:rsid w:val="00114A2E"/>
    <w:rsid w:val="00121DB0"/>
    <w:rsid w:val="0012226E"/>
    <w:rsid w:val="0012440A"/>
    <w:rsid w:val="001820A2"/>
    <w:rsid w:val="00182DF0"/>
    <w:rsid w:val="0019462C"/>
    <w:rsid w:val="001A2AC5"/>
    <w:rsid w:val="001B3AAE"/>
    <w:rsid w:val="001F4141"/>
    <w:rsid w:val="0020442B"/>
    <w:rsid w:val="00267892"/>
    <w:rsid w:val="00273279"/>
    <w:rsid w:val="00275AA9"/>
    <w:rsid w:val="002A3DE2"/>
    <w:rsid w:val="002A4BCA"/>
    <w:rsid w:val="002A5449"/>
    <w:rsid w:val="002B3CED"/>
    <w:rsid w:val="002B7490"/>
    <w:rsid w:val="002C42E7"/>
    <w:rsid w:val="002D1C03"/>
    <w:rsid w:val="002D5A35"/>
    <w:rsid w:val="002F473F"/>
    <w:rsid w:val="00300AB2"/>
    <w:rsid w:val="0030201C"/>
    <w:rsid w:val="0031377A"/>
    <w:rsid w:val="003154AA"/>
    <w:rsid w:val="0033564F"/>
    <w:rsid w:val="00344892"/>
    <w:rsid w:val="0036620E"/>
    <w:rsid w:val="00381B50"/>
    <w:rsid w:val="00394E9F"/>
    <w:rsid w:val="003A2D41"/>
    <w:rsid w:val="003B1B1C"/>
    <w:rsid w:val="003D0B1A"/>
    <w:rsid w:val="003D587B"/>
    <w:rsid w:val="0040309B"/>
    <w:rsid w:val="00413960"/>
    <w:rsid w:val="00435261"/>
    <w:rsid w:val="0045162E"/>
    <w:rsid w:val="00454A6C"/>
    <w:rsid w:val="004562B7"/>
    <w:rsid w:val="004675D2"/>
    <w:rsid w:val="0047220F"/>
    <w:rsid w:val="00481ED7"/>
    <w:rsid w:val="004835F0"/>
    <w:rsid w:val="0048417A"/>
    <w:rsid w:val="0049069F"/>
    <w:rsid w:val="004A73EC"/>
    <w:rsid w:val="004C511E"/>
    <w:rsid w:val="004D11D0"/>
    <w:rsid w:val="004D72B7"/>
    <w:rsid w:val="004F36A1"/>
    <w:rsid w:val="005159C2"/>
    <w:rsid w:val="00561782"/>
    <w:rsid w:val="00580D5E"/>
    <w:rsid w:val="0059145D"/>
    <w:rsid w:val="00594DD2"/>
    <w:rsid w:val="005D1877"/>
    <w:rsid w:val="005D2DDF"/>
    <w:rsid w:val="005D6946"/>
    <w:rsid w:val="005F5E09"/>
    <w:rsid w:val="00616920"/>
    <w:rsid w:val="00627552"/>
    <w:rsid w:val="006467F9"/>
    <w:rsid w:val="00654581"/>
    <w:rsid w:val="00667CBF"/>
    <w:rsid w:val="006864D9"/>
    <w:rsid w:val="006903FD"/>
    <w:rsid w:val="006928DE"/>
    <w:rsid w:val="00694F5C"/>
    <w:rsid w:val="006A43AD"/>
    <w:rsid w:val="006B2AAA"/>
    <w:rsid w:val="006B64AD"/>
    <w:rsid w:val="006C3DD0"/>
    <w:rsid w:val="006C763E"/>
    <w:rsid w:val="006E1B70"/>
    <w:rsid w:val="007066E0"/>
    <w:rsid w:val="007223CC"/>
    <w:rsid w:val="0072483D"/>
    <w:rsid w:val="00741D37"/>
    <w:rsid w:val="007D1227"/>
    <w:rsid w:val="007D3129"/>
    <w:rsid w:val="007E056D"/>
    <w:rsid w:val="008075B5"/>
    <w:rsid w:val="00811F01"/>
    <w:rsid w:val="00817110"/>
    <w:rsid w:val="008427C6"/>
    <w:rsid w:val="00847C83"/>
    <w:rsid w:val="00847C89"/>
    <w:rsid w:val="0085766F"/>
    <w:rsid w:val="00862EFB"/>
    <w:rsid w:val="00862FCB"/>
    <w:rsid w:val="00876F6E"/>
    <w:rsid w:val="008C1937"/>
    <w:rsid w:val="008F6171"/>
    <w:rsid w:val="0090252A"/>
    <w:rsid w:val="00905887"/>
    <w:rsid w:val="009079DA"/>
    <w:rsid w:val="0092536C"/>
    <w:rsid w:val="00935740"/>
    <w:rsid w:val="00941029"/>
    <w:rsid w:val="00953ECD"/>
    <w:rsid w:val="00953F8B"/>
    <w:rsid w:val="00970D9A"/>
    <w:rsid w:val="00980777"/>
    <w:rsid w:val="00983D4F"/>
    <w:rsid w:val="009878B8"/>
    <w:rsid w:val="00993DE0"/>
    <w:rsid w:val="009B61FA"/>
    <w:rsid w:val="009D12D4"/>
    <w:rsid w:val="009E2847"/>
    <w:rsid w:val="009E6570"/>
    <w:rsid w:val="009F4041"/>
    <w:rsid w:val="00A04E5D"/>
    <w:rsid w:val="00A235A2"/>
    <w:rsid w:val="00A351DD"/>
    <w:rsid w:val="00A37488"/>
    <w:rsid w:val="00A74D32"/>
    <w:rsid w:val="00A9597E"/>
    <w:rsid w:val="00AA2072"/>
    <w:rsid w:val="00AC5CAF"/>
    <w:rsid w:val="00AF7921"/>
    <w:rsid w:val="00B30644"/>
    <w:rsid w:val="00B5148F"/>
    <w:rsid w:val="00B524BD"/>
    <w:rsid w:val="00B56B70"/>
    <w:rsid w:val="00B56D9A"/>
    <w:rsid w:val="00B60895"/>
    <w:rsid w:val="00B8622A"/>
    <w:rsid w:val="00BA55F3"/>
    <w:rsid w:val="00BD1BF2"/>
    <w:rsid w:val="00C35CDD"/>
    <w:rsid w:val="00C44F4B"/>
    <w:rsid w:val="00C7620C"/>
    <w:rsid w:val="00C917CF"/>
    <w:rsid w:val="00C93E18"/>
    <w:rsid w:val="00CA2ACB"/>
    <w:rsid w:val="00CC25BB"/>
    <w:rsid w:val="00CF534C"/>
    <w:rsid w:val="00D11876"/>
    <w:rsid w:val="00D30E50"/>
    <w:rsid w:val="00D51671"/>
    <w:rsid w:val="00D61D46"/>
    <w:rsid w:val="00D63B58"/>
    <w:rsid w:val="00DC1291"/>
    <w:rsid w:val="00DE6A4B"/>
    <w:rsid w:val="00E00DD4"/>
    <w:rsid w:val="00E033AD"/>
    <w:rsid w:val="00E327E7"/>
    <w:rsid w:val="00E333E3"/>
    <w:rsid w:val="00E33ED8"/>
    <w:rsid w:val="00E3617A"/>
    <w:rsid w:val="00E42CCB"/>
    <w:rsid w:val="00E66A08"/>
    <w:rsid w:val="00E8509C"/>
    <w:rsid w:val="00EA3965"/>
    <w:rsid w:val="00EA7B82"/>
    <w:rsid w:val="00EB3227"/>
    <w:rsid w:val="00EB4184"/>
    <w:rsid w:val="00ED185E"/>
    <w:rsid w:val="00ED539A"/>
    <w:rsid w:val="00EE26BB"/>
    <w:rsid w:val="00EE2821"/>
    <w:rsid w:val="00F30408"/>
    <w:rsid w:val="00F36DD3"/>
    <w:rsid w:val="00F61837"/>
    <w:rsid w:val="00F76977"/>
    <w:rsid w:val="00FD1A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95AF07C8184E60BB4963EAB0D5CD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612EE51BC8EB474198902D5C0F4FD2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DE5B9D608A94392A75AA045B0A713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EE82D32EB204A049FA2E3C1A80FE0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3B164E06589F4A58A4500ED1B701F6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9D8491E7A3145F684A66C7CF6D7A88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051F71-CD5C-487B-8CFA-511B78A8E73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287</Pages>
  <Words>28363</Words>
  <Characters>161675</Characters>
  <Lines>1347</Lines>
  <Paragraphs>379</Paragraphs>
  <TotalTime>2</TotalTime>
  <ScaleCrop>false</ScaleCrop>
  <LinksUpToDate>false</LinksUpToDate>
  <CharactersWithSpaces>189659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2018-09-18T09:54:00Z</dcterms:created>
  <dc:creator>cc</dc:creator>
  <cp:lastModifiedBy>86152</cp:lastModifiedBy>
  <cp:lastPrinted>2021-12-29T09:39:00Z</cp:lastPrinted>
  <dcterms:modified xsi:type="dcterms:W3CDTF">2021-12-30T01:48:03Z</dcterms:modified>
  <dc:subject>房地产抵押估价报告</dc:subject>
  <dc:title>席浩委托的位于昆明市盘龙区青云办事处东三环西侧金色交响家园-花语组团14幢4单元5层502室住宅用途房地产抵押价值评估</dc:title>
  <cp:revision>1335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AFBCB08A62104FBDB39C668700CA115D</vt:lpwstr>
  </property>
</Properties>
</file>