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00" w:lineRule="atLeast"/>
        <w:jc w:val="center"/>
        <w:rPr>
          <w:rFonts w:ascii="仿宋" w:hAnsi="仿宋" w:eastAsia="宋体" w:cs="宋体"/>
          <w:color w:val="000000" w:themeColor="text1"/>
          <w:kern w:val="0"/>
          <w:sz w:val="32"/>
          <w:szCs w:val="32"/>
        </w:rPr>
      </w:pPr>
      <w:r>
        <w:rPr>
          <w:rFonts w:hint="eastAsia" w:ascii="宋体" w:hAnsi="宋体" w:eastAsia="宋体" w:cs="宋体"/>
          <w:color w:val="000000" w:themeColor="text1"/>
          <w:kern w:val="0"/>
          <w:sz w:val="36"/>
          <w:szCs w:val="36"/>
        </w:rPr>
        <w:t>浙江省龙泉市人民法院</w:t>
      </w:r>
    </w:p>
    <w:p>
      <w:pPr>
        <w:widowControl/>
        <w:shd w:val="clear" w:color="auto" w:fill="FFFFFF"/>
        <w:spacing w:line="500" w:lineRule="atLeast"/>
        <w:jc w:val="center"/>
        <w:rPr>
          <w:rFonts w:ascii="仿宋" w:hAnsi="仿宋" w:eastAsia="宋体" w:cs="宋体"/>
          <w:color w:val="000000" w:themeColor="text1"/>
          <w:kern w:val="0"/>
          <w:sz w:val="32"/>
          <w:szCs w:val="32"/>
        </w:rPr>
      </w:pPr>
      <w:r>
        <w:rPr>
          <w:rFonts w:hint="eastAsia" w:ascii="宋体" w:hAnsi="宋体" w:eastAsia="宋体" w:cs="宋体"/>
          <w:color w:val="000000" w:themeColor="text1"/>
          <w:kern w:val="0"/>
          <w:sz w:val="36"/>
          <w:szCs w:val="36"/>
        </w:rPr>
        <w:t>民事判决书</w:t>
      </w:r>
    </w:p>
    <w:p>
      <w:pPr>
        <w:widowControl/>
        <w:shd w:val="clear" w:color="auto" w:fill="FFFFFF"/>
        <w:spacing w:line="500" w:lineRule="atLeast"/>
        <w:jc w:val="right"/>
        <w:rPr>
          <w:rFonts w:ascii="仿宋" w:hAnsi="仿宋" w:eastAsia="宋体" w:cs="宋体"/>
          <w:color w:val="000000" w:themeColor="text1"/>
          <w:kern w:val="0"/>
          <w:sz w:val="32"/>
          <w:szCs w:val="32"/>
        </w:rPr>
      </w:pPr>
      <w:r>
        <w:rPr>
          <w:rFonts w:hint="eastAsia" w:ascii="宋体" w:hAnsi="宋体" w:eastAsia="宋体" w:cs="宋体"/>
          <w:color w:val="000000" w:themeColor="text1"/>
          <w:kern w:val="0"/>
          <w:sz w:val="32"/>
          <w:szCs w:val="32"/>
        </w:rPr>
        <w:t>（2022）浙1181民初755号</w:t>
      </w:r>
    </w:p>
    <w:p>
      <w:pPr>
        <w:widowControl/>
        <w:shd w:val="clear" w:color="auto" w:fill="FFFFFF"/>
        <w:spacing w:line="500" w:lineRule="atLeast"/>
        <w:ind w:firstLine="600"/>
        <w:rPr>
          <w:rFonts w:ascii="仿宋" w:hAnsi="仿宋" w:eastAsia="宋体" w:cs="宋体"/>
          <w:color w:val="000000" w:themeColor="text1"/>
          <w:kern w:val="0"/>
          <w:sz w:val="32"/>
          <w:szCs w:val="32"/>
        </w:rPr>
      </w:pPr>
      <w:r>
        <w:rPr>
          <w:rFonts w:hint="eastAsia" w:ascii="仿宋" w:hAnsi="仿宋" w:eastAsia="仿宋" w:cs="宋体"/>
          <w:color w:val="000000" w:themeColor="text1"/>
          <w:kern w:val="0"/>
          <w:sz w:val="32"/>
          <w:szCs w:val="32"/>
        </w:rPr>
        <w:t>原告：</w:t>
      </w:r>
      <w:r>
        <w:rPr>
          <w:rFonts w:hint="eastAsia" w:ascii="仿宋" w:hAnsi="仿宋" w:eastAsia="仿宋" w:cs="宋体"/>
          <w:color w:val="000000" w:themeColor="text1"/>
          <w:kern w:val="0"/>
          <w:sz w:val="32"/>
          <w:szCs w:val="32"/>
          <w:lang w:eastAsia="zh-CN"/>
        </w:rPr>
        <w:t>蔡某</w:t>
      </w:r>
      <w:r>
        <w:rPr>
          <w:rFonts w:hint="eastAsia" w:ascii="仿宋" w:hAnsi="仿宋" w:eastAsia="仿宋" w:cs="宋体"/>
          <w:color w:val="000000" w:themeColor="text1"/>
          <w:kern w:val="0"/>
          <w:sz w:val="32"/>
          <w:szCs w:val="32"/>
        </w:rPr>
        <w:t>，男，1975年6月5日出生，汉族，住浙江省龙泉市。</w:t>
      </w:r>
    </w:p>
    <w:p>
      <w:pPr>
        <w:widowControl/>
        <w:shd w:val="clear" w:color="auto" w:fill="FFFFFF"/>
        <w:spacing w:line="500" w:lineRule="atLeast"/>
        <w:ind w:firstLine="600"/>
        <w:rPr>
          <w:rFonts w:ascii="仿宋" w:hAnsi="仿宋" w:eastAsia="宋体" w:cs="宋体"/>
          <w:color w:val="000000" w:themeColor="text1"/>
          <w:kern w:val="0"/>
          <w:sz w:val="32"/>
          <w:szCs w:val="32"/>
        </w:rPr>
      </w:pPr>
      <w:r>
        <w:rPr>
          <w:rFonts w:hint="eastAsia" w:ascii="仿宋" w:hAnsi="仿宋" w:eastAsia="仿宋" w:cs="宋体"/>
          <w:color w:val="000000" w:themeColor="text1"/>
          <w:kern w:val="0"/>
          <w:sz w:val="32"/>
          <w:szCs w:val="32"/>
        </w:rPr>
        <w:t>委托诉讼代理人：叶志英，浙江剑瓷律师事务所律师。</w:t>
      </w:r>
    </w:p>
    <w:p>
      <w:pPr>
        <w:widowControl/>
        <w:shd w:val="clear" w:color="auto" w:fill="FFFFFF"/>
        <w:spacing w:line="500" w:lineRule="atLeast"/>
        <w:ind w:firstLine="600"/>
        <w:rPr>
          <w:rFonts w:ascii="仿宋" w:hAnsi="仿宋" w:eastAsia="宋体" w:cs="宋体"/>
          <w:color w:val="000000" w:themeColor="text1"/>
          <w:kern w:val="0"/>
          <w:sz w:val="32"/>
          <w:szCs w:val="32"/>
        </w:rPr>
      </w:pPr>
      <w:r>
        <w:rPr>
          <w:rFonts w:hint="eastAsia" w:ascii="仿宋" w:hAnsi="仿宋" w:eastAsia="仿宋" w:cs="宋体"/>
          <w:color w:val="000000" w:themeColor="text1"/>
          <w:kern w:val="0"/>
          <w:sz w:val="32"/>
          <w:szCs w:val="32"/>
        </w:rPr>
        <w:t>委托诉讼代理人：沈悦，浙江剑瓷律师事务所律师。</w:t>
      </w:r>
    </w:p>
    <w:p>
      <w:pPr>
        <w:widowControl/>
        <w:shd w:val="clear" w:color="auto" w:fill="FFFFFF"/>
        <w:spacing w:line="500" w:lineRule="atLeast"/>
        <w:ind w:firstLine="600"/>
        <w:rPr>
          <w:rFonts w:ascii="仿宋" w:hAnsi="仿宋" w:eastAsia="宋体" w:cs="宋体"/>
          <w:color w:val="000000" w:themeColor="text1"/>
          <w:kern w:val="0"/>
          <w:sz w:val="32"/>
          <w:szCs w:val="32"/>
        </w:rPr>
      </w:pPr>
      <w:r>
        <w:rPr>
          <w:rFonts w:hint="eastAsia" w:ascii="仿宋" w:hAnsi="仿宋" w:eastAsia="仿宋" w:cs="宋体"/>
          <w:color w:val="000000" w:themeColor="text1"/>
          <w:kern w:val="0"/>
          <w:sz w:val="32"/>
          <w:szCs w:val="32"/>
        </w:rPr>
        <w:t>被告：龙泉市追梦装饰工作室，住所地浙江省丽水市龙泉市龙渊街道城东安置区E组团1号楼二层。</w:t>
      </w:r>
    </w:p>
    <w:p>
      <w:pPr>
        <w:widowControl/>
        <w:shd w:val="clear" w:color="auto" w:fill="FFFFFF"/>
        <w:spacing w:line="500" w:lineRule="atLeast"/>
        <w:ind w:firstLine="600"/>
        <w:rPr>
          <w:rFonts w:ascii="仿宋" w:hAnsi="仿宋" w:eastAsia="宋体" w:cs="宋体"/>
          <w:color w:val="000000" w:themeColor="text1"/>
          <w:kern w:val="0"/>
          <w:sz w:val="32"/>
          <w:szCs w:val="32"/>
        </w:rPr>
      </w:pPr>
      <w:r>
        <w:rPr>
          <w:rFonts w:hint="eastAsia" w:ascii="仿宋" w:hAnsi="仿宋" w:eastAsia="仿宋" w:cs="宋体"/>
          <w:color w:val="000000" w:themeColor="text1"/>
          <w:kern w:val="0"/>
          <w:sz w:val="32"/>
          <w:szCs w:val="32"/>
        </w:rPr>
        <w:t>经营者：单</w:t>
      </w:r>
      <w:r>
        <w:rPr>
          <w:rFonts w:hint="eastAsia" w:ascii="仿宋" w:hAnsi="仿宋" w:eastAsia="仿宋" w:cs="宋体"/>
          <w:color w:val="000000" w:themeColor="text1"/>
          <w:kern w:val="0"/>
          <w:sz w:val="32"/>
          <w:szCs w:val="32"/>
          <w:lang w:eastAsia="zh-CN"/>
        </w:rPr>
        <w:t>某</w:t>
      </w:r>
      <w:r>
        <w:rPr>
          <w:rFonts w:hint="eastAsia" w:ascii="仿宋" w:hAnsi="仿宋" w:eastAsia="仿宋" w:cs="宋体"/>
          <w:color w:val="000000" w:themeColor="text1"/>
          <w:kern w:val="0"/>
          <w:sz w:val="32"/>
          <w:szCs w:val="32"/>
        </w:rPr>
        <w:t>，男，1972年3月20日出生，汉族，住浙江省龙泉市。</w:t>
      </w:r>
    </w:p>
    <w:p>
      <w:pPr>
        <w:widowControl/>
        <w:shd w:val="clear" w:color="auto" w:fill="FFFFFF"/>
        <w:spacing w:line="500" w:lineRule="atLeast"/>
        <w:ind w:firstLine="600"/>
        <w:rPr>
          <w:rFonts w:ascii="仿宋" w:hAnsi="仿宋" w:eastAsia="宋体" w:cs="宋体"/>
          <w:color w:val="000000" w:themeColor="text1"/>
          <w:kern w:val="0"/>
          <w:sz w:val="32"/>
          <w:szCs w:val="32"/>
        </w:rPr>
      </w:pPr>
      <w:r>
        <w:rPr>
          <w:rFonts w:hint="eastAsia" w:ascii="仿宋" w:hAnsi="仿宋" w:eastAsia="仿宋" w:cs="宋体"/>
          <w:color w:val="000000" w:themeColor="text1"/>
          <w:kern w:val="0"/>
          <w:sz w:val="32"/>
          <w:szCs w:val="32"/>
        </w:rPr>
        <w:t>原告</w:t>
      </w:r>
      <w:r>
        <w:rPr>
          <w:rFonts w:hint="eastAsia" w:ascii="仿宋" w:hAnsi="仿宋" w:eastAsia="仿宋" w:cs="宋体"/>
          <w:color w:val="000000" w:themeColor="text1"/>
          <w:kern w:val="0"/>
          <w:sz w:val="32"/>
          <w:szCs w:val="32"/>
          <w:lang w:eastAsia="zh-CN"/>
        </w:rPr>
        <w:t>蔡某</w:t>
      </w:r>
      <w:r>
        <w:rPr>
          <w:rFonts w:hint="eastAsia" w:ascii="仿宋" w:hAnsi="仿宋" w:eastAsia="仿宋" w:cs="宋体"/>
          <w:color w:val="000000" w:themeColor="text1"/>
          <w:kern w:val="0"/>
          <w:sz w:val="32"/>
          <w:szCs w:val="32"/>
        </w:rPr>
        <w:t>与被告龙泉市追梦装饰工作室劳务合同纠纷一案。本院于2022年4月20日立案受理后，依法适用简易程序于2022年5月6日公开开庭进行了审理并当庭宣判。原告</w:t>
      </w:r>
      <w:r>
        <w:rPr>
          <w:rFonts w:hint="eastAsia" w:ascii="仿宋" w:hAnsi="仿宋" w:eastAsia="仿宋" w:cs="宋体"/>
          <w:color w:val="000000" w:themeColor="text1"/>
          <w:kern w:val="0"/>
          <w:sz w:val="32"/>
          <w:szCs w:val="32"/>
          <w:lang w:eastAsia="zh-CN"/>
        </w:rPr>
        <w:t>蔡某</w:t>
      </w:r>
      <w:r>
        <w:rPr>
          <w:rFonts w:hint="eastAsia" w:ascii="仿宋" w:hAnsi="仿宋" w:eastAsia="仿宋" w:cs="宋体"/>
          <w:color w:val="000000" w:themeColor="text1"/>
          <w:kern w:val="0"/>
          <w:sz w:val="32"/>
          <w:szCs w:val="32"/>
        </w:rPr>
        <w:t>的委托诉讼代理人沈悦到庭参加了诉讼，被告龙泉市追梦装饰工作室的经营者经本院合法传唤无正当理由拒不到庭。</w:t>
      </w:r>
    </w:p>
    <w:p>
      <w:pPr>
        <w:widowControl/>
        <w:shd w:val="clear" w:color="auto" w:fill="FFFFFF"/>
        <w:spacing w:line="500" w:lineRule="atLeast"/>
        <w:ind w:firstLine="600"/>
        <w:rPr>
          <w:rFonts w:ascii="仿宋" w:hAnsi="仿宋" w:eastAsia="宋体" w:cs="宋体"/>
          <w:color w:val="000000" w:themeColor="text1"/>
          <w:kern w:val="0"/>
          <w:sz w:val="32"/>
          <w:szCs w:val="32"/>
        </w:rPr>
      </w:pPr>
      <w:r>
        <w:rPr>
          <w:rFonts w:hint="eastAsia" w:ascii="仿宋" w:hAnsi="仿宋" w:eastAsia="仿宋" w:cs="宋体"/>
          <w:color w:val="000000" w:themeColor="text1"/>
          <w:kern w:val="0"/>
          <w:sz w:val="32"/>
          <w:szCs w:val="32"/>
        </w:rPr>
        <w:t>原告</w:t>
      </w:r>
      <w:r>
        <w:rPr>
          <w:rFonts w:hint="eastAsia" w:ascii="仿宋" w:hAnsi="仿宋" w:eastAsia="仿宋" w:cs="宋体"/>
          <w:color w:val="000000" w:themeColor="text1"/>
          <w:kern w:val="0"/>
          <w:sz w:val="32"/>
          <w:szCs w:val="32"/>
          <w:lang w:eastAsia="zh-CN"/>
        </w:rPr>
        <w:t>蔡某</w:t>
      </w:r>
      <w:r>
        <w:rPr>
          <w:rFonts w:hint="eastAsia" w:ascii="仿宋" w:hAnsi="仿宋" w:eastAsia="仿宋" w:cs="宋体"/>
          <w:color w:val="000000" w:themeColor="text1"/>
          <w:kern w:val="0"/>
          <w:sz w:val="32"/>
          <w:szCs w:val="32"/>
        </w:rPr>
        <w:t>向本院提出诉讼请求：1．请求依法判决被告龙泉市追梦装饰工作室支付原告</w:t>
      </w:r>
      <w:r>
        <w:rPr>
          <w:rFonts w:hint="eastAsia" w:ascii="仿宋" w:hAnsi="仿宋" w:eastAsia="仿宋" w:cs="宋体"/>
          <w:color w:val="000000" w:themeColor="text1"/>
          <w:kern w:val="0"/>
          <w:sz w:val="32"/>
          <w:szCs w:val="32"/>
          <w:lang w:eastAsia="zh-CN"/>
        </w:rPr>
        <w:t>蔡某</w:t>
      </w:r>
      <w:r>
        <w:rPr>
          <w:rFonts w:hint="eastAsia" w:ascii="仿宋" w:hAnsi="仿宋" w:eastAsia="仿宋" w:cs="宋体"/>
          <w:color w:val="000000" w:themeColor="text1"/>
          <w:kern w:val="0"/>
          <w:sz w:val="32"/>
          <w:szCs w:val="32"/>
        </w:rPr>
        <w:t>劳务费20000元及利息（利息按照全国间同业拆借中心公布的贷款市场报价利率自起诉之日起计算至款项实际履行之日止）；2．本案诉讼费用由被告龙泉市追梦装饰工作室负担。事实与理由：自2019年开始，被告雇佣原告为被告提供贴瓷砖等劳务工资，期间被告通过微信转账的方式支付给原告部分劳务报酬，但截至起诉之日，被告仍欠付原告劳务报酬20000元。原告曾多次向被告催讨，但被告均已各种理由拖延，至今未履行付款义务。</w:t>
      </w:r>
    </w:p>
    <w:p>
      <w:pPr>
        <w:widowControl/>
        <w:shd w:val="clear" w:color="auto" w:fill="FFFFFF"/>
        <w:spacing w:line="500" w:lineRule="atLeast"/>
        <w:ind w:firstLine="600"/>
        <w:rPr>
          <w:rFonts w:ascii="仿宋" w:hAnsi="仿宋" w:eastAsia="宋体" w:cs="宋体"/>
          <w:color w:val="000000" w:themeColor="text1"/>
          <w:kern w:val="0"/>
          <w:sz w:val="32"/>
          <w:szCs w:val="32"/>
        </w:rPr>
      </w:pPr>
      <w:r>
        <w:rPr>
          <w:rFonts w:hint="eastAsia" w:ascii="仿宋" w:hAnsi="仿宋" w:eastAsia="仿宋" w:cs="宋体"/>
          <w:color w:val="000000" w:themeColor="text1"/>
          <w:kern w:val="0"/>
          <w:sz w:val="32"/>
          <w:szCs w:val="32"/>
        </w:rPr>
        <w:t>被告龙泉市追梦装饰工作室未作答辩。</w:t>
      </w:r>
    </w:p>
    <w:p>
      <w:pPr>
        <w:widowControl/>
        <w:shd w:val="clear" w:color="auto" w:fill="FFFFFF"/>
        <w:spacing w:line="500" w:lineRule="atLeast"/>
        <w:ind w:firstLine="600"/>
        <w:rPr>
          <w:rFonts w:ascii="仿宋" w:hAnsi="仿宋" w:eastAsia="宋体" w:cs="宋体"/>
          <w:color w:val="000000" w:themeColor="text1"/>
          <w:kern w:val="0"/>
          <w:sz w:val="32"/>
          <w:szCs w:val="32"/>
        </w:rPr>
      </w:pPr>
      <w:r>
        <w:rPr>
          <w:rFonts w:hint="eastAsia" w:ascii="仿宋" w:hAnsi="仿宋" w:eastAsia="仿宋" w:cs="宋体"/>
          <w:color w:val="000000" w:themeColor="text1"/>
          <w:kern w:val="0"/>
          <w:sz w:val="32"/>
          <w:szCs w:val="32"/>
        </w:rPr>
        <w:t>本院经审理认定，被告龙泉市追梦装饰工作室的经营范围为室内装修，雇佣原告</w:t>
      </w:r>
      <w:r>
        <w:rPr>
          <w:rFonts w:hint="eastAsia" w:ascii="仿宋" w:hAnsi="仿宋" w:eastAsia="仿宋" w:cs="宋体"/>
          <w:color w:val="000000" w:themeColor="text1"/>
          <w:kern w:val="0"/>
          <w:sz w:val="32"/>
          <w:szCs w:val="32"/>
          <w:lang w:eastAsia="zh-CN"/>
        </w:rPr>
        <w:t>蔡某</w:t>
      </w:r>
      <w:r>
        <w:rPr>
          <w:rFonts w:hint="eastAsia" w:ascii="仿宋" w:hAnsi="仿宋" w:eastAsia="仿宋" w:cs="宋体"/>
          <w:color w:val="000000" w:themeColor="text1"/>
          <w:kern w:val="0"/>
          <w:sz w:val="32"/>
          <w:szCs w:val="32"/>
        </w:rPr>
        <w:t>提供贴瓷砖等劳务工作。2022年1月22日，被告通过微信确认尚欠原告劳务工资20000元，并承诺于2022年3月底前一次性付款。嗣后，因被告未支付原告劳务费用，遂涉诉。</w:t>
      </w:r>
    </w:p>
    <w:p>
      <w:pPr>
        <w:widowControl/>
        <w:shd w:val="clear" w:color="auto" w:fill="FFFFFF"/>
        <w:spacing w:line="500" w:lineRule="atLeast"/>
        <w:ind w:firstLine="600"/>
        <w:rPr>
          <w:rFonts w:ascii="仿宋" w:hAnsi="仿宋" w:eastAsia="宋体" w:cs="宋体"/>
          <w:color w:val="000000" w:themeColor="text1"/>
          <w:kern w:val="0"/>
          <w:sz w:val="32"/>
          <w:szCs w:val="32"/>
        </w:rPr>
      </w:pPr>
      <w:r>
        <w:rPr>
          <w:rFonts w:hint="eastAsia" w:ascii="仿宋" w:hAnsi="仿宋" w:eastAsia="仿宋" w:cs="宋体"/>
          <w:color w:val="000000" w:themeColor="text1"/>
          <w:kern w:val="0"/>
          <w:sz w:val="32"/>
          <w:szCs w:val="32"/>
        </w:rPr>
        <w:t>认定上述事实的依据有原告提交的微信聊天记录及原告的当庭陈述。</w:t>
      </w:r>
    </w:p>
    <w:p>
      <w:pPr>
        <w:widowControl/>
        <w:shd w:val="clear" w:color="auto" w:fill="FFFFFF"/>
        <w:spacing w:line="500" w:lineRule="atLeast"/>
        <w:ind w:firstLine="600"/>
        <w:rPr>
          <w:rFonts w:ascii="仿宋" w:hAnsi="仿宋" w:eastAsia="宋体" w:cs="宋体"/>
          <w:color w:val="000000" w:themeColor="text1"/>
          <w:kern w:val="0"/>
          <w:sz w:val="32"/>
          <w:szCs w:val="32"/>
        </w:rPr>
      </w:pPr>
      <w:r>
        <w:rPr>
          <w:rFonts w:hint="eastAsia" w:ascii="仿宋" w:hAnsi="仿宋" w:eastAsia="仿宋" w:cs="宋体"/>
          <w:color w:val="000000" w:themeColor="text1"/>
          <w:kern w:val="0"/>
          <w:sz w:val="32"/>
          <w:szCs w:val="32"/>
        </w:rPr>
        <w:t>本院认为，被告龙泉市追梦装饰工作室雇佣原告</w:t>
      </w:r>
      <w:r>
        <w:rPr>
          <w:rFonts w:hint="eastAsia" w:ascii="仿宋" w:hAnsi="仿宋" w:eastAsia="仿宋" w:cs="宋体"/>
          <w:color w:val="000000" w:themeColor="text1"/>
          <w:kern w:val="0"/>
          <w:sz w:val="32"/>
          <w:szCs w:val="32"/>
          <w:lang w:eastAsia="zh-CN"/>
        </w:rPr>
        <w:t>蔡某</w:t>
      </w:r>
      <w:r>
        <w:rPr>
          <w:rFonts w:hint="eastAsia" w:ascii="仿宋" w:hAnsi="仿宋" w:eastAsia="仿宋" w:cs="宋体"/>
          <w:color w:val="000000" w:themeColor="text1"/>
          <w:kern w:val="0"/>
          <w:sz w:val="32"/>
          <w:szCs w:val="32"/>
        </w:rPr>
        <w:t>从事劳务施工，双方之间形成了劳务合同关系，原告按约完成劳务工作后，被告理应按约定期限及时支付劳务工资，逾期支付应赔偿相应的利息损失。故原告之诉请，于法有据，本院予以支持。</w:t>
      </w:r>
    </w:p>
    <w:p>
      <w:pPr>
        <w:widowControl/>
        <w:shd w:val="clear" w:color="auto" w:fill="FFFFFF"/>
        <w:spacing w:line="500" w:lineRule="atLeast"/>
        <w:ind w:firstLine="600"/>
        <w:rPr>
          <w:rFonts w:ascii="仿宋" w:hAnsi="仿宋" w:eastAsia="宋体" w:cs="宋体"/>
          <w:color w:val="000000" w:themeColor="text1"/>
          <w:kern w:val="0"/>
          <w:sz w:val="32"/>
          <w:szCs w:val="32"/>
        </w:rPr>
      </w:pPr>
      <w:r>
        <w:rPr>
          <w:rFonts w:hint="eastAsia" w:ascii="仿宋" w:hAnsi="仿宋" w:eastAsia="仿宋" w:cs="宋体"/>
          <w:color w:val="000000" w:themeColor="text1"/>
          <w:kern w:val="0"/>
          <w:sz w:val="32"/>
          <w:szCs w:val="32"/>
        </w:rPr>
        <w:t>本院依照《中华人民共和国民法典》第五百零九条、第五百八十四条规定，判决如下：</w:t>
      </w:r>
    </w:p>
    <w:p>
      <w:pPr>
        <w:widowControl/>
        <w:shd w:val="clear" w:color="auto" w:fill="FFFFFF"/>
        <w:spacing w:line="500" w:lineRule="atLeast"/>
        <w:ind w:firstLine="600"/>
        <w:rPr>
          <w:rFonts w:ascii="仿宋" w:hAnsi="仿宋" w:eastAsia="宋体" w:cs="宋体"/>
          <w:color w:val="000000" w:themeColor="text1"/>
          <w:kern w:val="0"/>
          <w:sz w:val="32"/>
          <w:szCs w:val="32"/>
        </w:rPr>
      </w:pPr>
      <w:r>
        <w:rPr>
          <w:rFonts w:hint="eastAsia" w:ascii="仿宋" w:hAnsi="仿宋" w:eastAsia="仿宋" w:cs="宋体"/>
          <w:color w:val="000000" w:themeColor="text1"/>
          <w:kern w:val="0"/>
          <w:sz w:val="32"/>
          <w:szCs w:val="32"/>
        </w:rPr>
        <w:t>被告龙泉市追梦装饰工作室于判决生效之日起十日内支付原告</w:t>
      </w:r>
      <w:r>
        <w:rPr>
          <w:rFonts w:hint="eastAsia" w:ascii="仿宋" w:hAnsi="仿宋" w:eastAsia="仿宋" w:cs="宋体"/>
          <w:color w:val="000000" w:themeColor="text1"/>
          <w:kern w:val="0"/>
          <w:sz w:val="32"/>
          <w:szCs w:val="32"/>
          <w:lang w:eastAsia="zh-CN"/>
        </w:rPr>
        <w:t>蔡某</w:t>
      </w:r>
      <w:r>
        <w:rPr>
          <w:rFonts w:hint="eastAsia" w:ascii="仿宋" w:hAnsi="仿宋" w:eastAsia="仿宋" w:cs="宋体"/>
          <w:color w:val="000000" w:themeColor="text1"/>
          <w:kern w:val="0"/>
          <w:sz w:val="32"/>
          <w:szCs w:val="32"/>
        </w:rPr>
        <w:t>劳务工资20000元及逾期付款利息（按年利率3.7％自2022年4月20日起计算至款项付清止），款交本院中转。</w:t>
      </w:r>
    </w:p>
    <w:p>
      <w:pPr>
        <w:widowControl/>
        <w:shd w:val="clear" w:color="auto" w:fill="FFFFFF"/>
        <w:spacing w:line="500" w:lineRule="atLeast"/>
        <w:ind w:firstLine="600"/>
        <w:rPr>
          <w:rFonts w:ascii="仿宋" w:hAnsi="仿宋" w:eastAsia="宋体" w:cs="宋体"/>
          <w:color w:val="000000" w:themeColor="text1"/>
          <w:kern w:val="0"/>
          <w:sz w:val="32"/>
          <w:szCs w:val="32"/>
        </w:rPr>
      </w:pPr>
      <w:r>
        <w:rPr>
          <w:rFonts w:hint="eastAsia" w:ascii="仿宋" w:hAnsi="仿宋" w:eastAsia="仿宋" w:cs="宋体"/>
          <w:color w:val="000000" w:themeColor="text1"/>
          <w:kern w:val="0"/>
          <w:sz w:val="32"/>
          <w:szCs w:val="32"/>
        </w:rPr>
        <w:t>如果未按本判决指定的期间履行给付金钱义务，应当依照《中华人民共和国民事诉讼法》第二百六十条之规定，加倍支付迟延履行期间的债务利息。</w:t>
      </w:r>
    </w:p>
    <w:p>
      <w:pPr>
        <w:widowControl/>
        <w:shd w:val="clear" w:color="auto" w:fill="FFFFFF"/>
        <w:spacing w:line="500" w:lineRule="atLeast"/>
        <w:ind w:firstLine="600"/>
        <w:rPr>
          <w:rFonts w:ascii="仿宋" w:hAnsi="仿宋" w:eastAsia="宋体" w:cs="宋体"/>
          <w:color w:val="000000" w:themeColor="text1"/>
          <w:kern w:val="0"/>
          <w:sz w:val="32"/>
          <w:szCs w:val="32"/>
        </w:rPr>
      </w:pPr>
      <w:r>
        <w:rPr>
          <w:rFonts w:hint="eastAsia" w:ascii="仿宋" w:hAnsi="仿宋" w:eastAsia="仿宋" w:cs="宋体"/>
          <w:color w:val="000000" w:themeColor="text1"/>
          <w:kern w:val="0"/>
          <w:sz w:val="32"/>
          <w:szCs w:val="32"/>
        </w:rPr>
        <w:t>案件受理费300元，减半收取计150元，由被告龙泉市追梦装饰工作室负担。</w:t>
      </w:r>
    </w:p>
    <w:p>
      <w:pPr>
        <w:widowControl/>
        <w:shd w:val="clear" w:color="auto" w:fill="FFFFFF"/>
        <w:spacing w:line="500" w:lineRule="atLeast"/>
        <w:ind w:firstLine="600"/>
        <w:rPr>
          <w:rFonts w:ascii="仿宋" w:hAnsi="仿宋" w:eastAsia="宋体" w:cs="宋体"/>
          <w:color w:val="000000" w:themeColor="text1"/>
          <w:kern w:val="0"/>
          <w:sz w:val="32"/>
          <w:szCs w:val="32"/>
        </w:rPr>
      </w:pPr>
      <w:r>
        <w:rPr>
          <w:rFonts w:hint="eastAsia" w:ascii="仿宋" w:hAnsi="仿宋" w:eastAsia="仿宋" w:cs="宋体"/>
          <w:color w:val="000000" w:themeColor="text1"/>
          <w:kern w:val="0"/>
          <w:sz w:val="32"/>
          <w:szCs w:val="32"/>
        </w:rPr>
        <w:t>如不服本判决，可以在判决书送达之日起十五日内，向本院递交上诉状，上诉于浙江省丽水市中级人民法院；也可以在判决书送达之日起十五日内，向浙江省丽水市中级人民法院在线提交上诉状。</w:t>
      </w:r>
    </w:p>
    <w:p>
      <w:pPr>
        <w:widowControl/>
        <w:shd w:val="clear" w:color="auto" w:fill="FFFFFF"/>
        <w:spacing w:line="500" w:lineRule="atLeast"/>
        <w:ind w:right="607"/>
        <w:jc w:val="right"/>
        <w:rPr>
          <w:rFonts w:ascii="仿宋" w:hAnsi="仿宋" w:eastAsia="宋体" w:cs="宋体"/>
          <w:color w:val="000000" w:themeColor="text1"/>
          <w:kern w:val="0"/>
          <w:sz w:val="32"/>
          <w:szCs w:val="32"/>
        </w:rPr>
      </w:pPr>
      <w:bookmarkStart w:id="0" w:name="_GoBack"/>
      <w:bookmarkEnd w:id="0"/>
      <w:r>
        <w:rPr>
          <w:rFonts w:hint="eastAsia" w:ascii="仿宋" w:hAnsi="仿宋" w:eastAsia="仿宋" w:cs="宋体"/>
          <w:color w:val="000000" w:themeColor="text1"/>
          <w:spacing w:val="240"/>
          <w:kern w:val="0"/>
          <w:sz w:val="32"/>
          <w:szCs w:val="32"/>
        </w:rPr>
        <w:t>审判员</w:t>
      </w:r>
      <w:r>
        <w:rPr>
          <w:rFonts w:hint="eastAsia" w:ascii="宋体" w:hAnsi="宋体" w:eastAsia="宋体" w:cs="宋体"/>
          <w:color w:val="000000" w:themeColor="text1"/>
          <w:kern w:val="0"/>
          <w:sz w:val="32"/>
          <w:szCs w:val="32"/>
        </w:rPr>
        <w:t>    </w:t>
      </w:r>
      <w:r>
        <w:rPr>
          <w:rFonts w:hint="eastAsia" w:ascii="仿宋" w:hAnsi="仿宋" w:eastAsia="仿宋" w:cs="宋体"/>
          <w:color w:val="000000" w:themeColor="text1"/>
          <w:spacing w:val="720"/>
          <w:kern w:val="0"/>
          <w:sz w:val="32"/>
          <w:szCs w:val="32"/>
        </w:rPr>
        <w:t>方靖</w:t>
      </w:r>
    </w:p>
    <w:p>
      <w:pPr>
        <w:widowControl/>
        <w:shd w:val="clear" w:color="auto" w:fill="FFFFFF"/>
        <w:spacing w:line="500" w:lineRule="atLeast"/>
        <w:ind w:right="607" w:firstLine="919"/>
        <w:jc w:val="right"/>
        <w:rPr>
          <w:rFonts w:ascii="仿宋" w:hAnsi="仿宋" w:eastAsia="宋体" w:cs="宋体"/>
          <w:color w:val="000000" w:themeColor="text1"/>
          <w:kern w:val="0"/>
          <w:sz w:val="32"/>
          <w:szCs w:val="32"/>
        </w:rPr>
      </w:pPr>
      <w:r>
        <w:rPr>
          <w:rFonts w:hint="eastAsia" w:ascii="仿宋" w:hAnsi="仿宋" w:eastAsia="仿宋" w:cs="宋体"/>
          <w:color w:val="000000" w:themeColor="text1"/>
          <w:kern w:val="0"/>
          <w:sz w:val="32"/>
          <w:szCs w:val="32"/>
        </w:rPr>
        <w:t>二〇二二年五月六日</w:t>
      </w:r>
    </w:p>
    <w:p>
      <w:pPr>
        <w:widowControl/>
        <w:shd w:val="clear" w:color="auto" w:fill="FFFFFF"/>
        <w:spacing w:line="500" w:lineRule="atLeast"/>
        <w:ind w:right="607"/>
        <w:jc w:val="right"/>
        <w:rPr>
          <w:rFonts w:ascii="仿宋" w:hAnsi="仿宋" w:eastAsia="宋体" w:cs="宋体"/>
          <w:color w:val="000000" w:themeColor="text1"/>
          <w:kern w:val="0"/>
          <w:sz w:val="32"/>
          <w:szCs w:val="32"/>
        </w:rPr>
      </w:pPr>
      <w:r>
        <w:rPr>
          <w:rFonts w:hint="eastAsia" w:ascii="仿宋" w:hAnsi="仿宋" w:eastAsia="仿宋" w:cs="宋体"/>
          <w:color w:val="000000" w:themeColor="text1"/>
          <w:spacing w:val="79"/>
          <w:kern w:val="0"/>
          <w:sz w:val="32"/>
          <w:szCs w:val="32"/>
        </w:rPr>
        <w:t>代书记员</w:t>
      </w:r>
      <w:r>
        <w:rPr>
          <w:rFonts w:hint="eastAsia" w:ascii="宋体" w:hAnsi="宋体" w:eastAsia="宋体" w:cs="宋体"/>
          <w:color w:val="000000" w:themeColor="text1"/>
          <w:kern w:val="0"/>
          <w:sz w:val="32"/>
          <w:szCs w:val="32"/>
        </w:rPr>
        <w:t>    </w:t>
      </w:r>
      <w:r>
        <w:rPr>
          <w:rFonts w:hint="eastAsia" w:ascii="仿宋" w:hAnsi="仿宋" w:eastAsia="仿宋" w:cs="宋体"/>
          <w:color w:val="000000" w:themeColor="text1"/>
          <w:spacing w:val="240"/>
          <w:kern w:val="0"/>
          <w:sz w:val="32"/>
          <w:szCs w:val="32"/>
        </w:rPr>
        <w:t>连巧娟</w:t>
      </w:r>
    </w:p>
    <w:p>
      <w:pPr>
        <w:widowControl/>
        <w:shd w:val="clear" w:color="auto" w:fill="FFFFFF"/>
        <w:spacing w:line="500" w:lineRule="atLeast"/>
        <w:ind w:right="607" w:firstLine="710"/>
        <w:jc w:val="left"/>
        <w:rPr>
          <w:rFonts w:ascii="仿宋" w:hAnsi="仿宋" w:eastAsia="宋体" w:cs="宋体"/>
          <w:color w:val="000000" w:themeColor="text1"/>
          <w:kern w:val="0"/>
          <w:sz w:val="32"/>
          <w:szCs w:val="32"/>
        </w:rPr>
      </w:pPr>
      <w:r>
        <w:rPr>
          <w:rFonts w:ascii="仿宋" w:hAnsi="仿宋" w:eastAsia="宋体" w:cs="宋体"/>
          <w:color w:val="000000" w:themeColor="text1"/>
          <w:kern w:val="0"/>
          <w:sz w:val="32"/>
          <w:szCs w:val="32"/>
        </w:rPr>
        <w:t> </w:t>
      </w:r>
    </w:p>
    <w:p>
      <w:pPr>
        <w:rPr>
          <w:color w:val="000000" w:themeColor="text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roma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2203B"/>
    <w:rsid w:val="0057344C"/>
    <w:rsid w:val="0082203B"/>
    <w:rsid w:val="54A807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184</Words>
  <Characters>1051</Characters>
  <Lines>8</Lines>
  <Paragraphs>2</Paragraphs>
  <TotalTime>2</TotalTime>
  <ScaleCrop>false</ScaleCrop>
  <LinksUpToDate>false</LinksUpToDate>
  <CharactersWithSpaces>1233</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2022-08-24T07:24:00Z</dcterms:created>
  <dc:creator>105</dc:creator>
  <cp:lastModifiedBy>NTKO</cp:lastModifiedBy>
  <dcterms:modified xsi:type="dcterms:W3CDTF">2022-08-25T13:50:25Z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