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470" w:leftChars="224"/>
        <w:jc w:val="center"/>
        <w:rPr>
          <w:rFonts w:hint="eastAsia" w:eastAsia="仿宋_GB2312"/>
          <w:b/>
          <w:color w:val="000000"/>
          <w:w w:val="90"/>
          <w:sz w:val="52"/>
          <w:szCs w:val="52"/>
        </w:rPr>
      </w:pPr>
    </w:p>
    <w:p>
      <w:pPr>
        <w:spacing w:line="360" w:lineRule="auto"/>
        <w:ind w:left="470" w:leftChars="224"/>
        <w:rPr>
          <w:rFonts w:hint="eastAsia" w:eastAsia="仿宋_GB2312"/>
          <w:b/>
          <w:color w:val="000000"/>
          <w:w w:val="90"/>
          <w:sz w:val="48"/>
          <w:szCs w:val="48"/>
        </w:rPr>
      </w:pPr>
      <w:r>
        <w:rPr>
          <w:rFonts w:hint="eastAsia" w:eastAsia="仿宋_GB2312"/>
          <w:b/>
          <w:color w:val="000000"/>
          <w:w w:val="90"/>
          <w:sz w:val="48"/>
          <w:szCs w:val="48"/>
        </w:rPr>
        <w:t xml:space="preserve">   </w:t>
      </w:r>
    </w:p>
    <w:p>
      <w:pPr>
        <w:spacing w:line="700" w:lineRule="exact"/>
        <w:jc w:val="center"/>
        <w:rPr>
          <w:rFonts w:hint="eastAsia" w:ascii="仿宋_GB2312" w:hAnsi="宋体" w:eastAsia="仿宋_GB2312"/>
          <w:b/>
          <w:sz w:val="48"/>
        </w:rPr>
      </w:pPr>
      <w:r>
        <w:rPr>
          <w:rFonts w:hint="eastAsia" w:eastAsia="仿宋_GB2312"/>
          <w:b/>
          <w:color w:val="000000"/>
          <w:w w:val="90"/>
          <w:sz w:val="48"/>
          <w:szCs w:val="48"/>
        </w:rPr>
        <w:t xml:space="preserve">  </w:t>
      </w:r>
      <w:bookmarkStart w:id="0" w:name="_Toc266116999"/>
      <w:bookmarkStart w:id="1" w:name="_Toc265761755"/>
      <w:bookmarkStart w:id="2" w:name="_Toc266117001"/>
      <w:r>
        <w:rPr>
          <w:rFonts w:hint="eastAsia" w:ascii="仿宋_GB2312" w:hAnsi="宋体" w:eastAsia="仿宋_GB2312"/>
          <w:b/>
          <w:sz w:val="48"/>
        </w:rPr>
        <w:t>房 地 产 估 价 报 告</w:t>
      </w:r>
    </w:p>
    <w:p>
      <w:pPr>
        <w:spacing w:line="480" w:lineRule="exact"/>
        <w:ind w:left="2233" w:hanging="2233" w:hangingChars="695"/>
        <w:rPr>
          <w:rFonts w:hint="eastAsia" w:eastAsia="仿宋_GB2312"/>
          <w:b/>
          <w:sz w:val="32"/>
        </w:rPr>
      </w:pPr>
    </w:p>
    <w:p>
      <w:pPr>
        <w:spacing w:line="568" w:lineRule="atLeast"/>
        <w:ind w:left="2286" w:leftChars="84" w:right="105" w:rightChars="50" w:hanging="2110" w:hangingChars="784"/>
        <w:rPr>
          <w:rFonts w:hint="eastAsia" w:hAnsi="宋体" w:eastAsia="仿宋_GB2312"/>
          <w:b/>
          <w:bCs/>
          <w:spacing w:val="8"/>
          <w:w w:val="90"/>
          <w:sz w:val="28"/>
          <w:szCs w:val="28"/>
        </w:rPr>
      </w:pPr>
      <w:r>
        <w:rPr>
          <w:rFonts w:hint="eastAsia" w:hAnsi="宋体" w:eastAsia="仿宋_GB2312"/>
          <w:b/>
          <w:bCs/>
          <w:spacing w:val="8"/>
          <w:w w:val="90"/>
          <w:sz w:val="28"/>
          <w:szCs w:val="28"/>
        </w:rPr>
        <w:t xml:space="preserve"> </w:t>
      </w: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620" w:lineRule="atLeast"/>
        <w:ind w:firstLine="272" w:firstLineChars="98"/>
        <w:rPr>
          <w:rFonts w:hint="eastAsia" w:eastAsia="仿宋_GB2312"/>
          <w:b/>
          <w:spacing w:val="7"/>
          <w:sz w:val="28"/>
          <w:szCs w:val="28"/>
          <w:lang w:eastAsia="zh-CN"/>
        </w:rPr>
      </w:pPr>
      <w:r>
        <w:rPr>
          <w:rFonts w:hAnsi="宋体" w:eastAsia="仿宋_GB2312"/>
          <w:b/>
          <w:bCs/>
          <w:spacing w:val="12"/>
          <w:w w:val="90"/>
          <w:sz w:val="28"/>
        </w:rPr>
        <w:t>估价报告编号：</w:t>
      </w:r>
      <w:r>
        <w:rPr>
          <w:rFonts w:hint="eastAsia" w:eastAsia="仿宋_GB2312"/>
          <w:b/>
          <w:spacing w:val="7"/>
          <w:sz w:val="28"/>
          <w:szCs w:val="28"/>
          <w:lang w:eastAsia="zh-CN"/>
        </w:rPr>
        <w:t>宁力天【2022】（司）字第070号</w:t>
      </w: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106" w:leftChars="124" w:right="105" w:rightChars="50" w:hanging="1846" w:hangingChars="686"/>
        <w:rPr>
          <w:rFonts w:hint="eastAsia" w:eastAsia="仿宋_GB2312"/>
          <w:b/>
          <w:sz w:val="28"/>
          <w:szCs w:val="28"/>
        </w:rPr>
      </w:pPr>
      <w:r>
        <w:rPr>
          <w:rFonts w:hint="eastAsia" w:hAnsi="宋体" w:eastAsia="仿宋_GB2312"/>
          <w:b/>
          <w:bCs/>
          <w:spacing w:val="8"/>
          <w:w w:val="90"/>
          <w:sz w:val="28"/>
          <w:szCs w:val="28"/>
        </w:rPr>
        <w:t>估价</w:t>
      </w:r>
      <w:r>
        <w:rPr>
          <w:rFonts w:hAnsi="宋体" w:eastAsia="仿宋_GB2312"/>
          <w:b/>
          <w:bCs/>
          <w:spacing w:val="8"/>
          <w:w w:val="90"/>
          <w:sz w:val="28"/>
          <w:szCs w:val="28"/>
        </w:rPr>
        <w:t>项目名称：</w:t>
      </w:r>
      <w:r>
        <w:rPr>
          <w:rFonts w:hint="eastAsia" w:hAnsi="宋体" w:eastAsia="仿宋_GB2312"/>
          <w:b/>
          <w:bCs/>
          <w:spacing w:val="-4"/>
          <w:w w:val="90"/>
          <w:sz w:val="28"/>
          <w:szCs w:val="28"/>
          <w:lang w:eastAsia="zh-CN"/>
        </w:rPr>
        <w:t>马涛</w:t>
      </w:r>
      <w:r>
        <w:rPr>
          <w:rFonts w:hint="eastAsia" w:hAnsi="宋体" w:eastAsia="仿宋_GB2312"/>
          <w:b/>
          <w:bCs/>
          <w:spacing w:val="-4"/>
          <w:w w:val="90"/>
          <w:sz w:val="28"/>
          <w:szCs w:val="28"/>
        </w:rPr>
        <w:t>名下所有的位于</w:t>
      </w:r>
      <w:r>
        <w:rPr>
          <w:rFonts w:hint="eastAsia" w:hAnsi="宋体" w:eastAsia="仿宋_GB2312"/>
          <w:b/>
          <w:bCs/>
          <w:spacing w:val="-4"/>
          <w:w w:val="90"/>
          <w:sz w:val="28"/>
          <w:szCs w:val="28"/>
          <w:lang w:eastAsia="zh-CN"/>
        </w:rPr>
        <w:t>吴忠市利通区明珠路北侧经一街西侧星河嘉城二十一号楼3401号</w:t>
      </w:r>
      <w:r>
        <w:rPr>
          <w:rFonts w:hint="eastAsia" w:hAnsi="宋体" w:eastAsia="仿宋_GB2312"/>
          <w:b/>
          <w:bCs/>
          <w:spacing w:val="-4"/>
          <w:w w:val="90"/>
          <w:sz w:val="28"/>
          <w:szCs w:val="28"/>
        </w:rPr>
        <w:t>房地产</w:t>
      </w:r>
      <w:r>
        <w:rPr>
          <w:rFonts w:hint="eastAsia" w:eastAsia="仿宋_GB2312"/>
          <w:b/>
          <w:spacing w:val="-4"/>
          <w:sz w:val="28"/>
          <w:szCs w:val="28"/>
        </w:rPr>
        <w:t>司法评估</w:t>
      </w:r>
      <w:r>
        <w:rPr>
          <w:rFonts w:hint="eastAsia" w:eastAsia="仿宋_GB2312"/>
          <w:b/>
          <w:spacing w:val="-2"/>
          <w:w w:val="90"/>
          <w:sz w:val="28"/>
          <w:szCs w:val="28"/>
        </w:rPr>
        <w:t>报告</w:t>
      </w:r>
    </w:p>
    <w:p>
      <w:pPr>
        <w:spacing w:line="480" w:lineRule="exact"/>
        <w:ind w:left="1811" w:leftChars="200" w:hanging="1391" w:hangingChars="495"/>
        <w:rPr>
          <w:rFonts w:hint="eastAsia" w:ascii="宋体" w:hAnsi="宋体"/>
          <w:b/>
          <w:sz w:val="28"/>
        </w:rPr>
      </w:pPr>
    </w:p>
    <w:p>
      <w:pPr>
        <w:spacing w:line="480" w:lineRule="exact"/>
        <w:ind w:firstLine="303" w:firstLineChars="98"/>
        <w:rPr>
          <w:rFonts w:hint="eastAsia" w:eastAsia="仿宋_GB2312"/>
          <w:b/>
          <w:bCs/>
          <w:spacing w:val="7"/>
          <w:sz w:val="28"/>
          <w:lang w:eastAsia="zh-CN"/>
        </w:rPr>
      </w:pPr>
      <w:r>
        <w:rPr>
          <w:rFonts w:hint="eastAsia" w:hAnsi="宋体" w:eastAsia="仿宋_GB2312"/>
          <w:b/>
          <w:bCs/>
          <w:spacing w:val="14"/>
          <w:sz w:val="28"/>
        </w:rPr>
        <w:t>估价委托人</w:t>
      </w:r>
      <w:r>
        <w:rPr>
          <w:rFonts w:hAnsi="宋体" w:eastAsia="仿宋_GB2312"/>
          <w:b/>
          <w:bCs/>
          <w:spacing w:val="7"/>
          <w:sz w:val="28"/>
        </w:rPr>
        <w:t>：</w:t>
      </w:r>
      <w:r>
        <w:rPr>
          <w:rFonts w:hint="eastAsia" w:hAnsi="宋体" w:eastAsia="仿宋_GB2312"/>
          <w:b/>
          <w:bCs/>
          <w:spacing w:val="7"/>
          <w:sz w:val="28"/>
          <w:lang w:eastAsia="zh-CN"/>
        </w:rPr>
        <w:t>吴忠市利通区人民法院</w:t>
      </w:r>
    </w:p>
    <w:p>
      <w:pPr>
        <w:spacing w:line="480" w:lineRule="exact"/>
        <w:rPr>
          <w:rFonts w:hint="eastAsia" w:ascii="宋体" w:hAnsi="宋体"/>
          <w:b/>
          <w:sz w:val="28"/>
        </w:rPr>
      </w:pPr>
    </w:p>
    <w:p>
      <w:pPr>
        <w:spacing w:line="480" w:lineRule="exact"/>
        <w:ind w:firstLine="262" w:firstLineChars="98"/>
        <w:rPr>
          <w:rFonts w:hint="eastAsia" w:eastAsia="仿宋_GB2312"/>
          <w:b/>
          <w:bCs/>
          <w:spacing w:val="7"/>
          <w:w w:val="90"/>
          <w:sz w:val="28"/>
        </w:rPr>
      </w:pPr>
      <w:r>
        <w:rPr>
          <w:rFonts w:hAnsi="宋体" w:eastAsia="仿宋_GB2312"/>
          <w:b/>
          <w:bCs/>
          <w:spacing w:val="7"/>
          <w:w w:val="90"/>
          <w:sz w:val="28"/>
        </w:rPr>
        <w:t>估价</w:t>
      </w:r>
      <w:r>
        <w:rPr>
          <w:rFonts w:hint="eastAsia" w:hAnsi="宋体" w:eastAsia="仿宋_GB2312"/>
          <w:b/>
          <w:bCs/>
          <w:spacing w:val="7"/>
          <w:w w:val="90"/>
          <w:sz w:val="28"/>
        </w:rPr>
        <w:t>机构</w:t>
      </w:r>
      <w:r>
        <w:rPr>
          <w:rFonts w:hAnsi="宋体" w:eastAsia="仿宋_GB2312"/>
          <w:b/>
          <w:bCs/>
          <w:spacing w:val="7"/>
          <w:w w:val="90"/>
          <w:sz w:val="28"/>
        </w:rPr>
        <w:t>：</w:t>
      </w:r>
      <w:r>
        <w:rPr>
          <w:rFonts w:hint="eastAsia" w:hAnsi="宋体" w:eastAsia="仿宋_GB2312"/>
          <w:b/>
          <w:bCs/>
          <w:spacing w:val="7"/>
          <w:w w:val="90"/>
          <w:sz w:val="28"/>
        </w:rPr>
        <w:t>宁夏力天房地产土地资产评估咨询有限公司</w:t>
      </w:r>
    </w:p>
    <w:p>
      <w:pPr>
        <w:spacing w:line="480" w:lineRule="exact"/>
        <w:ind w:firstLine="410" w:firstLineChars="146"/>
        <w:rPr>
          <w:rFonts w:hint="eastAsia" w:ascii="宋体" w:hAnsi="宋体"/>
          <w:b/>
          <w:sz w:val="28"/>
        </w:rPr>
      </w:pPr>
    </w:p>
    <w:p>
      <w:pPr>
        <w:spacing w:line="480" w:lineRule="exact"/>
        <w:ind w:firstLine="272" w:firstLineChars="98"/>
        <w:rPr>
          <w:rFonts w:hint="eastAsia" w:ascii="仿宋_GB2312" w:eastAsia="仿宋_GB2312"/>
          <w:b/>
          <w:sz w:val="28"/>
          <w:szCs w:val="28"/>
          <w:lang w:eastAsia="zh-CN"/>
        </w:rPr>
      </w:pPr>
      <w:r>
        <w:rPr>
          <w:rFonts w:hint="eastAsia" w:hAnsi="宋体" w:eastAsia="仿宋_GB2312"/>
          <w:b/>
          <w:bCs/>
          <w:spacing w:val="12"/>
          <w:w w:val="90"/>
          <w:sz w:val="28"/>
        </w:rPr>
        <w:t>注册房地产估价师：</w:t>
      </w:r>
      <w:r>
        <w:rPr>
          <w:rFonts w:hint="eastAsia" w:ascii="仿宋_GB2312" w:eastAsia="仿宋_GB2312"/>
          <w:b/>
          <w:sz w:val="28"/>
          <w:szCs w:val="28"/>
          <w:lang w:eastAsia="zh-CN"/>
        </w:rPr>
        <w:t>马彦宏</w:t>
      </w:r>
      <w:r>
        <w:rPr>
          <w:rFonts w:hint="eastAsia" w:ascii="仿宋_GB2312" w:eastAsia="仿宋_GB2312"/>
          <w:b/>
          <w:sz w:val="28"/>
          <w:szCs w:val="28"/>
        </w:rPr>
        <w:t xml:space="preserve">    </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6420070004</w:t>
      </w:r>
    </w:p>
    <w:p>
      <w:pPr>
        <w:spacing w:line="480" w:lineRule="exact"/>
        <w:ind w:firstLine="422" w:firstLineChars="150"/>
        <w:rPr>
          <w:rFonts w:hint="eastAsia" w:ascii="仿宋_GB2312" w:eastAsia="仿宋_GB2312"/>
          <w:b/>
          <w:sz w:val="28"/>
          <w:szCs w:val="28"/>
        </w:rPr>
      </w:pPr>
    </w:p>
    <w:p>
      <w:pPr>
        <w:spacing w:line="480" w:lineRule="exact"/>
        <w:ind w:firstLine="2783" w:firstLineChars="990"/>
        <w:rPr>
          <w:rFonts w:hint="eastAsia" w:ascii="仿宋_GB2312" w:eastAsia="仿宋_GB2312"/>
          <w:b/>
          <w:sz w:val="28"/>
          <w:szCs w:val="28"/>
        </w:rPr>
      </w:pPr>
      <w:r>
        <w:rPr>
          <w:rFonts w:hint="eastAsia" w:ascii="仿宋_GB2312" w:eastAsia="仿宋_GB2312"/>
          <w:b/>
          <w:sz w:val="28"/>
          <w:szCs w:val="28"/>
        </w:rPr>
        <w:t>尹建生     6419970005</w:t>
      </w:r>
    </w:p>
    <w:p>
      <w:pPr>
        <w:tabs>
          <w:tab w:val="left" w:pos="180"/>
          <w:tab w:val="left" w:pos="5580"/>
        </w:tabs>
        <w:spacing w:line="480" w:lineRule="exact"/>
        <w:ind w:firstLine="2951" w:firstLineChars="1050"/>
        <w:rPr>
          <w:rFonts w:hint="eastAsia"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 xml:space="preserve">         </w:t>
      </w:r>
    </w:p>
    <w:p>
      <w:pPr>
        <w:spacing w:line="480" w:lineRule="exact"/>
        <w:rPr>
          <w:rFonts w:hint="eastAsia" w:eastAsia="仿宋_GB2312"/>
          <w:b/>
          <w:bCs/>
          <w:spacing w:val="12"/>
          <w:w w:val="90"/>
          <w:sz w:val="28"/>
          <w:lang w:eastAsia="zh-CN"/>
        </w:rPr>
      </w:pPr>
      <w:r>
        <w:rPr>
          <w:rFonts w:eastAsia="仿宋_GB2312"/>
          <w:b/>
          <w:bCs/>
          <w:spacing w:val="12"/>
          <w:w w:val="90"/>
          <w:sz w:val="28"/>
        </w:rPr>
        <w:t xml:space="preserve"> </w:t>
      </w:r>
      <w:r>
        <w:rPr>
          <w:rFonts w:hint="eastAsia" w:eastAsia="仿宋_GB2312"/>
          <w:b/>
          <w:bCs/>
          <w:spacing w:val="12"/>
          <w:w w:val="90"/>
          <w:sz w:val="28"/>
        </w:rPr>
        <w:t xml:space="preserve"> </w:t>
      </w:r>
      <w:r>
        <w:rPr>
          <w:rFonts w:hAnsi="宋体" w:eastAsia="仿宋_GB2312"/>
          <w:b/>
          <w:bCs/>
          <w:spacing w:val="12"/>
          <w:w w:val="90"/>
          <w:sz w:val="28"/>
        </w:rPr>
        <w:t>估价</w:t>
      </w:r>
      <w:r>
        <w:rPr>
          <w:rFonts w:hint="eastAsia" w:hAnsi="宋体" w:eastAsia="仿宋_GB2312"/>
          <w:b/>
          <w:bCs/>
          <w:spacing w:val="12"/>
          <w:w w:val="90"/>
          <w:sz w:val="28"/>
        </w:rPr>
        <w:t>报告出具</w:t>
      </w:r>
      <w:r>
        <w:rPr>
          <w:rFonts w:hAnsi="宋体" w:eastAsia="仿宋_GB2312"/>
          <w:b/>
          <w:bCs/>
          <w:spacing w:val="12"/>
          <w:w w:val="90"/>
          <w:sz w:val="28"/>
        </w:rPr>
        <w:t>日期：</w:t>
      </w:r>
      <w:r>
        <w:rPr>
          <w:rFonts w:eastAsia="仿宋_GB2312"/>
          <w:b/>
          <w:spacing w:val="7"/>
          <w:sz w:val="28"/>
          <w:szCs w:val="28"/>
        </w:rPr>
        <w:t xml:space="preserve"> </w:t>
      </w:r>
      <w:r>
        <w:rPr>
          <w:rFonts w:hint="eastAsia" w:eastAsia="仿宋_GB2312"/>
          <w:b/>
          <w:spacing w:val="7"/>
          <w:sz w:val="28"/>
          <w:szCs w:val="28"/>
          <w:lang w:eastAsia="zh-CN"/>
        </w:rPr>
        <w:t>2022年7月19日</w:t>
      </w:r>
    </w:p>
    <w:p>
      <w:pPr>
        <w:ind w:firstLine="269" w:firstLineChars="97"/>
        <w:rPr>
          <w:rFonts w:hint="eastAsia" w:hAnsi="宋体" w:eastAsia="仿宋_GB2312"/>
          <w:b/>
          <w:bCs/>
          <w:spacing w:val="12"/>
          <w:w w:val="90"/>
          <w:sz w:val="28"/>
        </w:rPr>
      </w:pPr>
    </w:p>
    <w:p>
      <w:pPr>
        <w:spacing w:line="360" w:lineRule="auto"/>
        <w:ind w:left="470" w:leftChars="224"/>
        <w:rPr>
          <w:rFonts w:hint="eastAsia"/>
          <w:sz w:val="24"/>
          <w:szCs w:val="24"/>
        </w:rPr>
        <w:sectPr>
          <w:headerReference r:id="rId5" w:type="first"/>
          <w:headerReference r:id="rId3" w:type="default"/>
          <w:footerReference r:id="rId6" w:type="default"/>
          <w:headerReference r:id="rId4" w:type="even"/>
          <w:footerReference r:id="rId7" w:type="even"/>
          <w:endnotePr>
            <w:numFmt w:val="decimal"/>
          </w:endnotePr>
          <w:pgSz w:w="11907" w:h="16840"/>
          <w:pgMar w:top="1134" w:right="1247" w:bottom="1090" w:left="1588" w:header="851" w:footer="680" w:gutter="0"/>
          <w:pgNumType w:start="0"/>
          <w:cols w:space="720" w:num="1"/>
          <w:titlePg/>
        </w:sectPr>
      </w:pPr>
    </w:p>
    <w:p>
      <w:pPr>
        <w:pStyle w:val="2"/>
        <w:spacing w:before="0" w:after="0" w:line="440" w:lineRule="atLeast"/>
        <w:rPr>
          <w:rFonts w:hint="eastAsia" w:eastAsia="仿宋_GB2312"/>
        </w:rPr>
      </w:pPr>
      <w:r>
        <w:rPr>
          <w:rFonts w:hint="eastAsia"/>
        </w:rPr>
        <w:t xml:space="preserve">         </w:t>
      </w:r>
      <w:r>
        <w:rPr>
          <w:rFonts w:hint="eastAsia" w:eastAsia="仿宋_GB2312"/>
          <w:bCs w:val="0"/>
          <w:kern w:val="2"/>
        </w:rPr>
        <w:t xml:space="preserve">  </w:t>
      </w:r>
      <w:bookmarkStart w:id="3" w:name="_Toc15705"/>
      <w:bookmarkStart w:id="4" w:name="_Toc274"/>
      <w:bookmarkStart w:id="5" w:name="_Toc21789"/>
      <w:bookmarkStart w:id="6" w:name="_Toc21025"/>
      <w:bookmarkStart w:id="7" w:name="_Toc6492"/>
      <w:r>
        <w:rPr>
          <w:rFonts w:hint="eastAsia" w:eastAsia="仿宋_GB2312"/>
          <w:bCs w:val="0"/>
          <w:kern w:val="2"/>
        </w:rPr>
        <w:t>致 估 价 委 托 人 函</w:t>
      </w:r>
      <w:bookmarkEnd w:id="0"/>
      <w:bookmarkEnd w:id="3"/>
      <w:bookmarkEnd w:id="4"/>
      <w:bookmarkEnd w:id="5"/>
      <w:bookmarkEnd w:id="6"/>
      <w:bookmarkEnd w:id="7"/>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吴忠市利通区人民法院</w:t>
      </w:r>
      <w:r>
        <w:rPr>
          <w:rFonts w:hint="eastAsia" w:ascii="仿宋_GB2312" w:hAnsi="仿宋_GB2312" w:eastAsia="仿宋_GB2312" w:cs="仿宋_GB2312"/>
          <w:sz w:val="28"/>
          <w:szCs w:val="28"/>
        </w:rPr>
        <w:t>：</w:t>
      </w:r>
    </w:p>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 xml:space="preserve"> 我公司于</w:t>
      </w:r>
      <w:r>
        <w:rPr>
          <w:rFonts w:hint="eastAsia" w:ascii="仿宋_GB2312" w:hAnsi="仿宋_GB2312" w:eastAsia="仿宋_GB2312" w:cs="仿宋_GB2312"/>
          <w:sz w:val="28"/>
          <w:szCs w:val="28"/>
          <w:lang w:eastAsia="zh-CN"/>
        </w:rPr>
        <w:t>二〇二二年六月二十九日</w:t>
      </w:r>
      <w:r>
        <w:rPr>
          <w:rFonts w:hint="eastAsia" w:ascii="仿宋_GB2312" w:hAnsi="仿宋_GB2312" w:eastAsia="仿宋_GB2312" w:cs="仿宋_GB2312"/>
          <w:sz w:val="28"/>
          <w:szCs w:val="28"/>
        </w:rPr>
        <w:t>受贵院委托并执行的</w:t>
      </w:r>
      <w:r>
        <w:rPr>
          <w:rFonts w:hint="eastAsia" w:ascii="仿宋_GB2312" w:hAnsi="仿宋_GB2312" w:eastAsia="仿宋_GB2312" w:cs="仿宋_GB2312"/>
          <w:sz w:val="28"/>
          <w:szCs w:val="28"/>
          <w:lang w:eastAsia="zh-CN"/>
        </w:rPr>
        <w:t>中国农业银行股份有限公司吴忠分行与马志刚、杨金霞、杨欣、马奕阳</w:t>
      </w:r>
      <w:r>
        <w:rPr>
          <w:rFonts w:hint="eastAsia" w:ascii="仿宋_GB2312" w:hAnsi="仿宋_GB2312" w:eastAsia="仿宋_GB2312" w:cs="仿宋_GB2312"/>
          <w:sz w:val="28"/>
          <w:szCs w:val="28"/>
        </w:rPr>
        <w:t>借款</w:t>
      </w:r>
      <w:r>
        <w:rPr>
          <w:rFonts w:hint="eastAsia" w:ascii="仿宋_GB2312" w:hAnsi="仿宋_GB2312" w:eastAsia="仿宋_GB2312" w:cs="仿宋_GB2312"/>
          <w:sz w:val="28"/>
          <w:szCs w:val="28"/>
          <w:lang w:eastAsia="zh-CN"/>
        </w:rPr>
        <w:t>合同</w:t>
      </w:r>
      <w:r>
        <w:rPr>
          <w:rFonts w:hint="eastAsia" w:ascii="仿宋_GB2312" w:hAnsi="仿宋_GB2312" w:eastAsia="仿宋_GB2312" w:cs="仿宋_GB2312"/>
          <w:sz w:val="28"/>
          <w:szCs w:val="28"/>
        </w:rPr>
        <w:t>纠纷一案中，需要对被执行人</w:t>
      </w:r>
      <w:r>
        <w:rPr>
          <w:rFonts w:hint="eastAsia" w:ascii="仿宋_GB2312" w:hAnsi="仿宋_GB2312" w:eastAsia="仿宋_GB2312" w:cs="仿宋_GB2312"/>
          <w:sz w:val="28"/>
          <w:szCs w:val="28"/>
          <w:lang w:eastAsia="zh-CN"/>
        </w:rPr>
        <w:t>马涛</w:t>
      </w:r>
      <w:r>
        <w:rPr>
          <w:rFonts w:hint="eastAsia" w:ascii="仿宋_GB2312" w:hAnsi="仿宋_GB2312" w:eastAsia="仿宋_GB2312" w:cs="仿宋_GB2312"/>
          <w:sz w:val="28"/>
          <w:szCs w:val="28"/>
        </w:rPr>
        <w:t>名下所有的位于</w:t>
      </w:r>
      <w:r>
        <w:rPr>
          <w:rFonts w:hint="eastAsia" w:ascii="仿宋_GB2312" w:hAnsi="仿宋_GB2312" w:eastAsia="仿宋_GB2312" w:cs="仿宋_GB2312"/>
          <w:sz w:val="28"/>
          <w:szCs w:val="28"/>
          <w:lang w:eastAsia="zh-CN"/>
        </w:rPr>
        <w:t>吴忠市利通区明珠路北侧经一街西侧星河嘉城二十一号楼3401号</w:t>
      </w:r>
      <w:r>
        <w:rPr>
          <w:rFonts w:hint="eastAsia" w:ascii="仿宋_GB2312" w:hAnsi="仿宋_GB2312" w:eastAsia="仿宋_GB2312" w:cs="仿宋_GB2312"/>
          <w:sz w:val="28"/>
          <w:szCs w:val="28"/>
        </w:rPr>
        <w:t>房地产</w:t>
      </w:r>
      <w:r>
        <w:rPr>
          <w:rFonts w:hint="eastAsia" w:ascii="仿宋_GB2312" w:hAnsi="仿宋_GB2312" w:eastAsia="仿宋_GB2312" w:cs="仿宋_GB2312"/>
          <w:color w:val="000000"/>
          <w:sz w:val="28"/>
          <w:szCs w:val="28"/>
        </w:rPr>
        <w:t>（以下简称估价对象）</w:t>
      </w:r>
      <w:r>
        <w:rPr>
          <w:rFonts w:hint="eastAsia" w:ascii="仿宋_GB2312" w:hAnsi="宋体" w:eastAsia="仿宋_GB2312"/>
          <w:color w:val="000000"/>
          <w:sz w:val="28"/>
          <w:szCs w:val="28"/>
        </w:rPr>
        <w:t>进行价格评估</w:t>
      </w:r>
      <w:r>
        <w:rPr>
          <w:rFonts w:hint="eastAsia" w:ascii="仿宋_GB2312" w:hAnsi="宋体" w:eastAsia="仿宋_GB2312"/>
          <w:color w:val="000000"/>
          <w:sz w:val="28"/>
        </w:rPr>
        <w:t>。</w:t>
      </w:r>
      <w:r>
        <w:rPr>
          <w:rFonts w:hint="eastAsia" w:ascii="仿宋_GB2312" w:hAnsi="宋体" w:eastAsia="仿宋_GB2312"/>
          <w:color w:val="000000"/>
          <w:sz w:val="28"/>
          <w:szCs w:val="28"/>
        </w:rPr>
        <w:t>我公司派出</w:t>
      </w:r>
      <w:r>
        <w:rPr>
          <w:rFonts w:hint="eastAsia" w:ascii="仿宋_GB2312" w:hAnsi="仿宋_GB2312" w:eastAsia="仿宋_GB2312" w:cs="仿宋_GB2312"/>
          <w:color w:val="000000"/>
          <w:sz w:val="28"/>
        </w:rPr>
        <w:t>注册房地产估价师尹建生、</w:t>
      </w:r>
      <w:r>
        <w:rPr>
          <w:rFonts w:hint="eastAsia" w:ascii="仿宋_GB2312" w:hAnsi="仿宋_GB2312" w:eastAsia="仿宋_GB2312" w:cs="仿宋_GB2312"/>
          <w:color w:val="000000"/>
          <w:sz w:val="28"/>
          <w:lang w:eastAsia="zh-CN"/>
        </w:rPr>
        <w:t>马彦宏</w:t>
      </w:r>
      <w:r>
        <w:rPr>
          <w:rFonts w:hint="eastAsia" w:ascii="仿宋_GB2312" w:hAnsi="仿宋_GB2312" w:eastAsia="仿宋_GB2312" w:cs="仿宋_GB2312"/>
          <w:color w:val="000000"/>
          <w:sz w:val="28"/>
        </w:rPr>
        <w:t>对估价对象进行了实地查勘</w:t>
      </w:r>
      <w:r>
        <w:rPr>
          <w:rFonts w:hint="eastAsia" w:ascii="仿宋_GB2312" w:hAnsi="仿宋_GB2312" w:eastAsia="仿宋_GB2312" w:cs="仿宋_GB2312"/>
          <w:color w:val="000000"/>
          <w:sz w:val="28"/>
          <w:szCs w:val="28"/>
        </w:rPr>
        <w:t xml:space="preserve">。 </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估价目的</w:t>
      </w:r>
      <w:r>
        <w:rPr>
          <w:rFonts w:hint="eastAsia" w:ascii="仿宋_GB2312" w:hAnsi="仿宋_GB2312" w:eastAsia="仿宋_GB2312" w:cs="仿宋_GB2312"/>
          <w:color w:val="000000"/>
          <w:sz w:val="28"/>
          <w:szCs w:val="28"/>
        </w:rPr>
        <w:t>：为人民法院确定财产处置参考价提供参考依据。</w:t>
      </w:r>
    </w:p>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估价对象：位于</w:t>
      </w:r>
      <w:r>
        <w:rPr>
          <w:rFonts w:hint="eastAsia" w:ascii="仿宋_GB2312" w:hAnsi="仿宋_GB2312" w:eastAsia="仿宋_GB2312" w:cs="仿宋_GB2312"/>
          <w:sz w:val="28"/>
          <w:szCs w:val="28"/>
          <w:lang w:eastAsia="zh-CN"/>
        </w:rPr>
        <w:t>吴忠市利通区明珠路北侧经一街西侧星河嘉城二十一号楼3401号</w:t>
      </w:r>
      <w:r>
        <w:rPr>
          <w:rFonts w:hint="eastAsia" w:ascii="仿宋_GB2312" w:hAnsi="仿宋_GB2312" w:eastAsia="仿宋_GB2312" w:cs="仿宋_GB2312"/>
          <w:sz w:val="28"/>
          <w:szCs w:val="28"/>
        </w:rPr>
        <w:t>住宅房地产。详见下表：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942"/>
        <w:gridCol w:w="851"/>
        <w:gridCol w:w="1194"/>
        <w:gridCol w:w="1244"/>
        <w:gridCol w:w="1166"/>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jc w:val="center"/>
        </w:trPr>
        <w:tc>
          <w:tcPr>
            <w:tcW w:w="11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房屋所有权人</w:t>
            </w:r>
          </w:p>
        </w:tc>
        <w:tc>
          <w:tcPr>
            <w:tcW w:w="194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color w:val="000000"/>
                <w:szCs w:val="21"/>
              </w:rPr>
            </w:pPr>
            <w:r>
              <w:rPr>
                <w:rFonts w:hint="eastAsia" w:ascii="宋体" w:hAnsi="宋体"/>
                <w:color w:val="000000"/>
                <w:szCs w:val="21"/>
              </w:rPr>
              <w:t>产权证号</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规划</w:t>
            </w:r>
          </w:p>
          <w:p>
            <w:pPr>
              <w:spacing w:line="240" w:lineRule="exact"/>
              <w:jc w:val="center"/>
              <w:rPr>
                <w:rFonts w:hint="eastAsia" w:ascii="宋体" w:hAnsi="宋体"/>
                <w:color w:val="000000"/>
                <w:szCs w:val="21"/>
              </w:rPr>
            </w:pPr>
            <w:r>
              <w:rPr>
                <w:rFonts w:hint="eastAsia" w:ascii="宋体" w:hAnsi="宋体"/>
                <w:color w:val="000000"/>
                <w:szCs w:val="21"/>
              </w:rPr>
              <w:t>用途</w:t>
            </w: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房屋结构</w:t>
            </w:r>
          </w:p>
        </w:tc>
        <w:tc>
          <w:tcPr>
            <w:tcW w:w="12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建造年代</w:t>
            </w:r>
          </w:p>
        </w:tc>
        <w:tc>
          <w:tcPr>
            <w:tcW w:w="116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建筑面积</w:t>
            </w:r>
          </w:p>
        </w:tc>
        <w:tc>
          <w:tcPr>
            <w:tcW w:w="17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所在层及总层数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马涛</w:t>
            </w:r>
          </w:p>
        </w:tc>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宁（2018）利通区不动产权第W0006966号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rPr>
              <w:t>住宅</w:t>
            </w:r>
          </w:p>
        </w:tc>
        <w:tc>
          <w:tcPr>
            <w:tcW w:w="11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rPr>
              <w:t>钢筋混凝土结构</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lang w:val="en-US" w:eastAsia="zh-CN"/>
              </w:rPr>
              <w:t>2011</w:t>
            </w:r>
            <w:r>
              <w:rPr>
                <w:rFonts w:hint="eastAsia" w:ascii="宋体" w:hAnsi="宋体"/>
                <w:color w:val="000000"/>
                <w:szCs w:val="21"/>
              </w:rPr>
              <w:t>年</w:t>
            </w: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lang w:eastAsia="zh-CN"/>
              </w:rPr>
              <w:t>92.84</w:t>
            </w:r>
            <w:r>
              <w:rPr>
                <w:rFonts w:hint="eastAsia" w:ascii="宋体" w:hAnsi="宋体"/>
                <w:color w:val="000000"/>
                <w:szCs w:val="21"/>
              </w:rPr>
              <w:t>㎡</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4/5</w:t>
            </w:r>
          </w:p>
        </w:tc>
      </w:tr>
    </w:tbl>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sz w:val="28"/>
          <w:szCs w:val="28"/>
        </w:rPr>
        <w:t>价值时点：</w:t>
      </w:r>
      <w:r>
        <w:rPr>
          <w:rFonts w:hint="eastAsia" w:ascii="仿宋_GB2312" w:hAnsi="仿宋_GB2312" w:eastAsia="仿宋_GB2312" w:cs="仿宋_GB2312"/>
          <w:sz w:val="28"/>
          <w:szCs w:val="28"/>
          <w:lang w:eastAsia="zh-CN"/>
        </w:rPr>
        <w:t>2022年7月4日</w:t>
      </w:r>
      <w:r>
        <w:rPr>
          <w:rFonts w:hint="eastAsia" w:ascii="仿宋_GB2312" w:hAnsi="仿宋_GB2312" w:eastAsia="仿宋_GB2312" w:cs="仿宋_GB2312"/>
          <w:sz w:val="28"/>
          <w:szCs w:val="28"/>
        </w:rPr>
        <w:t>（实地</w:t>
      </w:r>
      <w:r>
        <w:rPr>
          <w:rFonts w:hint="eastAsia" w:ascii="仿宋_GB2312" w:hAnsi="仿宋_GB2312" w:eastAsia="仿宋_GB2312" w:cs="仿宋_GB2312"/>
          <w:sz w:val="28"/>
        </w:rPr>
        <w:t>查勘日期</w:t>
      </w:r>
      <w:r>
        <w:rPr>
          <w:rFonts w:hint="eastAsia" w:ascii="仿宋_GB2312" w:hAnsi="仿宋_GB2312" w:eastAsia="仿宋_GB2312" w:cs="仿宋_GB2312"/>
          <w:sz w:val="28"/>
          <w:szCs w:val="28"/>
        </w:rPr>
        <w:t>）。</w:t>
      </w:r>
    </w:p>
    <w:p>
      <w:pPr>
        <w:spacing w:line="500" w:lineRule="exact"/>
        <w:ind w:firstLine="548" w:firstLineChars="196"/>
        <w:rPr>
          <w:rFonts w:hint="eastAsia" w:ascii="仿宋_GB2312" w:hAnsi="宋体" w:eastAsia="仿宋_GB2312"/>
          <w:sz w:val="28"/>
          <w:szCs w:val="28"/>
        </w:rPr>
      </w:pPr>
      <w:r>
        <w:rPr>
          <w:rFonts w:hint="eastAsia" w:ascii="仿宋_GB2312" w:hAnsi="宋体" w:eastAsia="仿宋_GB2312"/>
          <w:sz w:val="28"/>
          <w:szCs w:val="28"/>
        </w:rPr>
        <w:t>价值类型：</w:t>
      </w:r>
      <w:r>
        <w:rPr>
          <w:rFonts w:hint="eastAsia" w:ascii="仿宋_GB2312" w:hAnsi="仿宋" w:eastAsia="仿宋_GB2312"/>
          <w:sz w:val="28"/>
          <w:szCs w:val="28"/>
        </w:rPr>
        <w:t>本报告中的价值是在估价目的、价值时点条件下的公开市场价值标准。</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估价方法：比较法、收益法</w:t>
      </w:r>
    </w:p>
    <w:p>
      <w:pPr>
        <w:spacing w:line="500" w:lineRule="exact"/>
        <w:ind w:firstLine="560" w:firstLineChars="200"/>
        <w:rPr>
          <w:rFonts w:hint="eastAsia" w:ascii="宋体" w:hAnsi="宋体" w:eastAsia="仿宋_GB2312"/>
          <w:sz w:val="28"/>
          <w:szCs w:val="28"/>
        </w:rPr>
      </w:pPr>
      <w:r>
        <w:rPr>
          <w:rFonts w:hint="eastAsia" w:ascii="仿宋_GB2312" w:hAnsi="仿宋_GB2312" w:eastAsia="仿宋_GB2312" w:cs="仿宋_GB2312"/>
          <w:sz w:val="28"/>
          <w:szCs w:val="28"/>
        </w:rPr>
        <w:t>分析说明：</w:t>
      </w:r>
      <w:r>
        <w:rPr>
          <w:rFonts w:hint="eastAsia" w:ascii="仿宋_GB2312" w:hAnsi="宋体" w:eastAsia="仿宋_GB2312"/>
          <w:sz w:val="28"/>
          <w:szCs w:val="28"/>
        </w:rPr>
        <w:t>估价人员通过实地查勘，认真分析调查收集到的资料，根据估价对象的实际</w:t>
      </w:r>
      <w:r>
        <w:rPr>
          <w:rFonts w:hint="eastAsia" w:ascii="宋体" w:hAnsi="宋体" w:eastAsia="仿宋_GB2312"/>
          <w:sz w:val="28"/>
          <w:szCs w:val="28"/>
        </w:rPr>
        <w:t>情况及特点，对照估价人员对该区域房地产市场状况的调查情况，结合本次评估目的，遵循房地产估价方法的确定原则认为：本项评估采用比较法及收益法两种估价方法进行评估。</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宋体" w:eastAsia="仿宋_GB2312"/>
          <w:sz w:val="28"/>
        </w:rPr>
        <w:t>通过对以上两种方法测算结果的分析，并经估价人员对房地产市场情况的调查，得出采用比较法测算结果更能客观反映本次估价对象当前房地产市场的真实价值，因此估价结果取比较法测算结果，收益法测算结果作</w:t>
      </w:r>
      <w:r>
        <w:rPr>
          <w:rFonts w:hint="eastAsia" w:ascii="仿宋_GB2312" w:hAnsi="宋体" w:eastAsia="仿宋_GB2312"/>
          <w:sz w:val="28"/>
          <w:szCs w:val="22"/>
        </w:rPr>
        <w:t>为本次估价的参考。</w:t>
      </w:r>
    </w:p>
    <w:p>
      <w:pPr>
        <w:spacing w:line="500" w:lineRule="exact"/>
        <w:ind w:firstLine="560" w:firstLineChars="200"/>
        <w:rPr>
          <w:rFonts w:ascii="仿宋_GB2312" w:hAnsi="宋体" w:eastAsia="仿宋_GB2312"/>
          <w:sz w:val="28"/>
          <w:szCs w:val="22"/>
        </w:rPr>
        <w:sectPr>
          <w:headerReference r:id="rId9" w:type="first"/>
          <w:headerReference r:id="rId8" w:type="default"/>
          <w:endnotePr>
            <w:numFmt w:val="decimal"/>
          </w:endnotePr>
          <w:pgSz w:w="11907" w:h="16840"/>
          <w:pgMar w:top="1134" w:right="1247" w:bottom="1090" w:left="1588" w:header="851" w:footer="680" w:gutter="0"/>
          <w:pgNumType w:start="0"/>
          <w:cols w:space="720" w:num="1"/>
          <w:titlePg/>
        </w:sectPr>
      </w:pPr>
      <w:r>
        <w:rPr>
          <w:rFonts w:hint="eastAsia" w:ascii="仿宋_GB2312" w:hAnsi="宋体" w:eastAsia="仿宋_GB2312"/>
          <w:sz w:val="28"/>
          <w:szCs w:val="22"/>
        </w:rPr>
        <w:t xml:space="preserve">         </w:t>
      </w:r>
    </w:p>
    <w:p>
      <w:pPr>
        <w:spacing w:line="500" w:lineRule="exact"/>
        <w:jc w:val="left"/>
        <w:rPr>
          <w:rFonts w:hint="eastAsia" w:ascii="宋体" w:hAnsi="宋体" w:eastAsia="仿宋_GB2312"/>
          <w:bCs/>
          <w:sz w:val="28"/>
          <w:szCs w:val="28"/>
        </w:rPr>
      </w:pPr>
      <w:r>
        <w:rPr>
          <w:rFonts w:hint="eastAsia" w:ascii="仿宋_GB2312" w:hAnsi="仿宋_GB2312" w:eastAsia="仿宋_GB2312" w:cs="仿宋_GB2312"/>
          <w:sz w:val="28"/>
          <w:szCs w:val="28"/>
        </w:rPr>
        <w:t xml:space="preserve">    估价结果：</w:t>
      </w:r>
      <w:r>
        <w:rPr>
          <w:rFonts w:hint="eastAsia" w:ascii="仿宋_GB2312" w:hAnsi="仿宋_GB2312" w:eastAsia="仿宋_GB2312" w:cs="仿宋_GB2312"/>
          <w:bCs/>
          <w:sz w:val="28"/>
          <w:szCs w:val="28"/>
        </w:rPr>
        <w:t>估价对象在价值时点的估价结果如下（详见“估价对象及估价结果一览表”</w:t>
      </w:r>
      <w:r>
        <w:rPr>
          <w:rFonts w:hint="eastAsia" w:ascii="宋体" w:hAnsi="宋体" w:eastAsia="仿宋_GB2312"/>
          <w:bCs/>
          <w:sz w:val="28"/>
          <w:szCs w:val="28"/>
        </w:rPr>
        <w:t>）。</w:t>
      </w:r>
    </w:p>
    <w:p>
      <w:pPr>
        <w:spacing w:line="460" w:lineRule="exact"/>
        <w:ind w:firstLine="551" w:firstLineChars="196"/>
        <w:rPr>
          <w:rFonts w:hint="eastAsia" w:ascii="仿宋_GB2312" w:hAnsi="仿宋_GB2312" w:eastAsia="仿宋_GB2312" w:cs="仿宋_GB2312"/>
          <w:color w:val="auto"/>
          <w:sz w:val="28"/>
          <w:szCs w:val="28"/>
        </w:rPr>
      </w:pPr>
      <w:r>
        <w:rPr>
          <w:rFonts w:hint="eastAsia" w:ascii="仿宋_GB2312" w:hAnsi="仿宋_GB2312" w:eastAsia="仿宋_GB2312" w:cs="仿宋_GB2312"/>
          <w:b/>
          <w:bCs/>
          <w:sz w:val="28"/>
          <w:szCs w:val="28"/>
        </w:rPr>
        <w:t>估价对象市场价值</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auto"/>
          <w:sz w:val="28"/>
          <w:szCs w:val="28"/>
        </w:rPr>
        <w:t>总价RMB</w:t>
      </w:r>
      <w:r>
        <w:rPr>
          <w:rFonts w:hint="eastAsia" w:ascii="仿宋_GB2312" w:hAnsi="(使用中文字体)" w:eastAsia="仿宋_GB2312"/>
          <w:color w:val="auto"/>
          <w:sz w:val="28"/>
          <w:lang w:eastAsia="zh-CN"/>
        </w:rPr>
        <w:t>540979</w:t>
      </w:r>
      <w:r>
        <w:rPr>
          <w:rFonts w:hint="eastAsia" w:ascii="仿宋_GB2312" w:hAnsi="仿宋_GB2312" w:eastAsia="仿宋_GB2312" w:cs="仿宋_GB2312"/>
          <w:color w:val="auto"/>
          <w:sz w:val="28"/>
          <w:szCs w:val="28"/>
        </w:rPr>
        <w:t>元（单价：</w:t>
      </w:r>
      <w:r>
        <w:rPr>
          <w:rFonts w:hint="eastAsia" w:ascii="仿宋_GB2312" w:hAnsi="仿宋_GB2312" w:eastAsia="仿宋_GB2312" w:cs="仿宋_GB2312"/>
          <w:color w:val="auto"/>
          <w:sz w:val="28"/>
          <w:szCs w:val="28"/>
          <w:lang w:eastAsia="zh-CN"/>
        </w:rPr>
        <w:t>5827</w:t>
      </w:r>
      <w:r>
        <w:rPr>
          <w:rFonts w:hint="eastAsia" w:ascii="仿宋_GB2312" w:hAnsi="仿宋_GB2312" w:eastAsia="仿宋_GB2312" w:cs="仿宋_GB2312"/>
          <w:color w:val="auto"/>
          <w:sz w:val="28"/>
          <w:szCs w:val="28"/>
        </w:rPr>
        <w:t>元/㎡），大写(人民币)：</w:t>
      </w:r>
      <w:r>
        <w:rPr>
          <w:rFonts w:hint="eastAsia" w:ascii="仿宋_GB2312" w:hAnsi="仿宋_GB2312" w:eastAsia="仿宋_GB2312" w:cs="仿宋_GB2312"/>
          <w:color w:val="auto"/>
          <w:sz w:val="28"/>
          <w:szCs w:val="28"/>
          <w:lang w:eastAsia="zh-CN"/>
        </w:rPr>
        <w:t>伍拾肆万零玖佰柒拾玖</w:t>
      </w:r>
      <w:r>
        <w:rPr>
          <w:rFonts w:hint="eastAsia" w:ascii="仿宋_GB2312" w:hAnsi="仿宋_GB2312" w:eastAsia="仿宋_GB2312" w:cs="仿宋_GB2312"/>
          <w:color w:val="auto"/>
          <w:sz w:val="28"/>
          <w:szCs w:val="28"/>
        </w:rPr>
        <w:t>元整</w:t>
      </w:r>
      <w:r>
        <w:rPr>
          <w:rFonts w:hint="eastAsia" w:ascii="宋体" w:hAnsi="宋体" w:eastAsia="仿宋_GB2312" w:cs="宋体"/>
          <w:color w:val="auto"/>
          <w:sz w:val="28"/>
          <w:szCs w:val="28"/>
        </w:rPr>
        <w:t>。</w:t>
      </w:r>
    </w:p>
    <w:p>
      <w:pPr>
        <w:spacing w:line="440" w:lineRule="atLeas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估价对象及估价结果一览表</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265"/>
        <w:gridCol w:w="1968"/>
        <w:gridCol w:w="150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房屋所有权人</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
                <w:color w:val="000000"/>
                <w:szCs w:val="21"/>
              </w:rPr>
            </w:pPr>
            <w:r>
              <w:rPr>
                <w:rFonts w:hint="eastAsia" w:ascii="宋体" w:hAnsi="宋体" w:cs="仿宋_GB2312"/>
                <w:b/>
                <w:color w:val="000000"/>
                <w:szCs w:val="21"/>
              </w:rPr>
              <w:t>产权证号</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规划用途</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房屋结构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建造年代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b/>
                <w:color w:val="000000"/>
                <w:szCs w:val="21"/>
                <w:lang w:eastAsia="zh-CN"/>
              </w:rPr>
            </w:pPr>
            <w:r>
              <w:rPr>
                <w:rFonts w:hint="eastAsia" w:ascii="宋体" w:hAnsi="宋体" w:cs="仿宋_GB2312"/>
                <w:color w:val="000000"/>
                <w:szCs w:val="21"/>
                <w:lang w:eastAsia="zh-CN"/>
              </w:rPr>
              <w:t>马涛</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Cs w:val="21"/>
                <w:lang w:eastAsia="zh-CN"/>
              </w:rPr>
            </w:pPr>
            <w:r>
              <w:rPr>
                <w:rFonts w:hint="eastAsia" w:ascii="宋体" w:hAnsi="宋体"/>
                <w:color w:val="000000"/>
                <w:szCs w:val="21"/>
                <w:lang w:eastAsia="zh-CN"/>
              </w:rPr>
              <w:t>宁（2018）利通区不动产权第W0006966号</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rPr>
              <w:t>住宅</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rPr>
              <w:t>钢筋混凝土</w:t>
            </w:r>
          </w:p>
          <w:p>
            <w:pPr>
              <w:spacing w:line="240" w:lineRule="exact"/>
              <w:jc w:val="center"/>
              <w:rPr>
                <w:rFonts w:hint="eastAsia" w:ascii="宋体" w:hAnsi="宋体" w:cs="仿宋_GB2312"/>
                <w:color w:val="000000"/>
                <w:szCs w:val="21"/>
              </w:rPr>
            </w:pPr>
            <w:r>
              <w:rPr>
                <w:rFonts w:hint="eastAsia" w:ascii="宋体" w:hAnsi="宋体" w:cs="仿宋_GB2312"/>
                <w:color w:val="000000"/>
                <w:szCs w:val="21"/>
              </w:rPr>
              <w:t>结构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lang w:val="en-US" w:eastAsia="zh-CN"/>
              </w:rPr>
              <w:t>2011</w:t>
            </w:r>
            <w:r>
              <w:rPr>
                <w:rFonts w:hint="eastAsia" w:ascii="宋体" w:hAnsi="宋体" w:cs="仿宋_GB2312"/>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总层数</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所在层</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建筑面积</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单价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lang w:val="en-US" w:eastAsia="zh-CN"/>
              </w:rPr>
              <w:t>5</w:t>
            </w:r>
            <w:r>
              <w:rPr>
                <w:rFonts w:hint="eastAsia" w:ascii="宋体" w:hAnsi="宋体" w:cs="仿宋_GB2312"/>
                <w:color w:val="000000"/>
                <w:szCs w:val="21"/>
              </w:rPr>
              <w:t>层</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Cs w:val="21"/>
                <w:lang w:eastAsia="zh-CN"/>
              </w:rPr>
            </w:pPr>
            <w:r>
              <w:rPr>
                <w:rFonts w:hint="eastAsia" w:ascii="宋体" w:hAnsi="宋体" w:cs="仿宋_GB2312"/>
                <w:color w:val="000000"/>
                <w:szCs w:val="21"/>
                <w:lang w:val="en-US" w:eastAsia="zh-CN"/>
              </w:rPr>
              <w:t>4层</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lang w:eastAsia="zh-CN"/>
              </w:rPr>
              <w:t>92.84</w:t>
            </w:r>
            <w:r>
              <w:rPr>
                <w:rFonts w:hint="eastAsia" w:ascii="宋体" w:hAnsi="宋体" w:cs="仿宋_GB2312"/>
                <w:color w:val="000000"/>
                <w:szCs w:val="21"/>
              </w:rPr>
              <w:t>㎡</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auto"/>
                <w:szCs w:val="21"/>
              </w:rPr>
            </w:pPr>
            <w:r>
              <w:rPr>
                <w:rFonts w:hint="eastAsia" w:ascii="宋体" w:hAnsi="宋体" w:cs="仿宋_GB2312"/>
                <w:color w:val="auto"/>
                <w:szCs w:val="21"/>
                <w:lang w:eastAsia="zh-CN"/>
              </w:rPr>
              <w:t>5827</w:t>
            </w:r>
            <w:r>
              <w:rPr>
                <w:rFonts w:hint="eastAsia" w:ascii="宋体" w:hAnsi="宋体" w:cs="仿宋_GB2312"/>
                <w:color w:val="auto"/>
                <w:szCs w:val="21"/>
              </w:rPr>
              <w:t>元/㎡</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auto"/>
                <w:szCs w:val="21"/>
              </w:rPr>
            </w:pPr>
            <w:r>
              <w:rPr>
                <w:rFonts w:hint="eastAsia" w:ascii="宋体" w:hAnsi="宋体" w:cs="仿宋_GB2312"/>
                <w:color w:val="auto"/>
                <w:szCs w:val="21"/>
                <w:lang w:eastAsia="zh-CN"/>
              </w:rPr>
              <w:t>540979</w:t>
            </w:r>
            <w:r>
              <w:rPr>
                <w:rFonts w:hint="eastAsia" w:ascii="宋体" w:hAnsi="宋体" w:cs="仿宋_GB2312"/>
                <w:color w:val="auto"/>
                <w:szCs w:val="21"/>
              </w:rPr>
              <w:t>元</w:t>
            </w:r>
          </w:p>
        </w:tc>
      </w:tr>
    </w:tbl>
    <w:p>
      <w:pPr>
        <w:spacing w:beforeLines="100" w:line="440" w:lineRule="exact"/>
        <w:ind w:right="28"/>
        <w:rPr>
          <w:rFonts w:hint="eastAsia" w:ascii="宋体" w:hAnsi="宋体" w:eastAsia="仿宋_GB2312"/>
          <w:sz w:val="28"/>
        </w:rPr>
      </w:pPr>
      <w:r>
        <w:rPr>
          <w:rFonts w:hint="eastAsia" w:ascii="仿宋_GB2312" w:eastAsia="仿宋_GB2312"/>
          <w:sz w:val="28"/>
          <w:szCs w:val="28"/>
        </w:rPr>
        <w:t xml:space="preserve">    特别提示：</w:t>
      </w:r>
      <w:r>
        <w:rPr>
          <w:rFonts w:ascii="仿宋_GB2312" w:eastAsia="仿宋_GB2312"/>
          <w:sz w:val="28"/>
          <w:szCs w:val="28"/>
        </w:rPr>
        <w:t>(1)</w:t>
      </w:r>
      <w:r>
        <w:rPr>
          <w:rFonts w:hint="eastAsia" w:ascii="仿宋_GB2312" w:eastAsia="仿宋_GB2312"/>
          <w:sz w:val="28"/>
          <w:szCs w:val="28"/>
        </w:rPr>
        <w:t>估价结果不包括估价对象原有担保物权和其他法定优先受偿权。（2）估价结果没有扣除拍卖过程发生的处置费用和税金。（3）本估价结果不应作为价格实现的保证。（4）本估价报告使用期限为壹年（</w:t>
      </w:r>
      <w:r>
        <w:rPr>
          <w:rFonts w:hint="eastAsia" w:ascii="仿宋_GB2312" w:eastAsia="仿宋_GB2312"/>
          <w:sz w:val="28"/>
          <w:szCs w:val="28"/>
          <w:lang w:eastAsia="zh-CN"/>
        </w:rPr>
        <w:t>自 2022年7月19日至2023年7月18日止</w:t>
      </w:r>
      <w:r>
        <w:rPr>
          <w:rFonts w:hint="eastAsia" w:ascii="仿宋_GB2312" w:eastAsia="仿宋_GB2312"/>
          <w:sz w:val="28"/>
          <w:szCs w:val="28"/>
        </w:rPr>
        <w:t>）。（5）欲知详情，请阅读本估价报告全文。</w:t>
      </w: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szCs w:val="22"/>
        </w:rPr>
      </w:pPr>
      <w:r>
        <w:rPr>
          <w:rFonts w:hint="eastAsia" w:ascii="宋体" w:hAnsi="宋体" w:eastAsia="仿宋_GB2312"/>
          <w:sz w:val="28"/>
        </w:rPr>
        <w:t xml:space="preserve">法定代表人：           </w:t>
      </w:r>
      <w:r>
        <w:rPr>
          <w:rFonts w:hint="eastAsia" w:ascii="宋体" w:hAnsi="宋体" w:eastAsia="仿宋_GB2312"/>
          <w:sz w:val="28"/>
          <w:szCs w:val="22"/>
        </w:rPr>
        <w:t xml:space="preserve">  宁夏力天房地产土地资产评估咨询有限公司</w:t>
      </w:r>
    </w:p>
    <w:p>
      <w:pPr>
        <w:spacing w:line="440" w:lineRule="exact"/>
        <w:ind w:right="26"/>
        <w:rPr>
          <w:rFonts w:hint="eastAsia" w:ascii="宋体" w:hAnsi="宋体" w:eastAsia="仿宋_GB2312"/>
          <w:sz w:val="28"/>
          <w:szCs w:val="22"/>
          <w:lang w:eastAsia="zh-CN"/>
        </w:rPr>
      </w:pPr>
      <w:r>
        <w:rPr>
          <w:rFonts w:hint="eastAsia" w:ascii="宋体" w:hAnsi="宋体" w:eastAsia="仿宋_GB2312"/>
          <w:sz w:val="28"/>
          <w:szCs w:val="22"/>
        </w:rPr>
        <w:t xml:space="preserve">                                  </w:t>
      </w:r>
      <w:r>
        <w:rPr>
          <w:rFonts w:hint="eastAsia" w:ascii="宋体" w:hAnsi="宋体" w:eastAsia="仿宋_GB2312"/>
          <w:sz w:val="28"/>
          <w:szCs w:val="22"/>
          <w:lang w:eastAsia="zh-CN"/>
        </w:rPr>
        <w:t>二〇二二年七月十九日</w:t>
      </w:r>
    </w:p>
    <w:p>
      <w:pPr>
        <w:pStyle w:val="17"/>
        <w:tabs>
          <w:tab w:val="right" w:leader="dot" w:pos="8778"/>
        </w:tabs>
        <w:rPr>
          <w:rFonts w:hint="eastAsia" w:eastAsia="仿宋_GB2312"/>
          <w:sz w:val="44"/>
          <w:szCs w:val="44"/>
        </w:rPr>
        <w:sectPr>
          <w:endnotePr>
            <w:numFmt w:val="decimal"/>
          </w:endnotePr>
          <w:pgSz w:w="11907" w:h="16840"/>
          <w:pgMar w:top="1134" w:right="1247" w:bottom="1090" w:left="1588" w:header="851" w:footer="680" w:gutter="0"/>
          <w:pgNumType w:start="0"/>
          <w:cols w:space="720" w:num="1"/>
          <w:titlePg/>
        </w:sectPr>
      </w:pPr>
      <w:bookmarkStart w:id="8" w:name="_Toc265761754"/>
      <w:bookmarkStart w:id="9" w:name="_Toc266117000"/>
    </w:p>
    <w:p>
      <w:pPr>
        <w:rPr>
          <w:rFonts w:hint="eastAsia"/>
        </w:rPr>
      </w:pPr>
    </w:p>
    <w:p>
      <w:pPr>
        <w:pStyle w:val="17"/>
        <w:tabs>
          <w:tab w:val="right" w:leader="dot" w:pos="8778"/>
        </w:tabs>
        <w:rPr>
          <w:rFonts w:hint="eastAsia" w:eastAsia="仿宋_GB2312"/>
          <w:b/>
          <w:sz w:val="28"/>
        </w:rPr>
      </w:pPr>
      <w:r>
        <w:rPr>
          <w:rFonts w:hint="eastAsia" w:eastAsia="仿宋_GB2312"/>
          <w:sz w:val="44"/>
          <w:szCs w:val="44"/>
        </w:rPr>
        <w:t xml:space="preserve">                  </w:t>
      </w:r>
      <w:r>
        <w:rPr>
          <w:rFonts w:hint="eastAsia" w:eastAsia="仿宋_GB2312"/>
          <w:b/>
          <w:sz w:val="44"/>
          <w:szCs w:val="44"/>
        </w:rPr>
        <w:t>目    录</w:t>
      </w:r>
    </w:p>
    <w:p>
      <w:pPr>
        <w:pStyle w:val="17"/>
        <w:tabs>
          <w:tab w:val="right" w:leader="dot" w:pos="8778"/>
        </w:tabs>
        <w:spacing w:line="520" w:lineRule="exact"/>
        <w:rPr>
          <w:rFonts w:hint="eastAsia" w:ascii="仿宋_GB2312" w:hAnsi="仿宋_GB2312" w:eastAsia="仿宋_GB2312" w:cs="仿宋_GB2312"/>
          <w:sz w:val="28"/>
        </w:rPr>
      </w:pPr>
      <w:r>
        <w:rPr>
          <w:rFonts w:hint="eastAsia" w:ascii="仿宋_GB2312" w:hAnsi="仿宋_GB2312" w:eastAsia="仿宋_GB2312" w:cs="仿宋_GB2312"/>
          <w:sz w:val="28"/>
          <w:lang w:val="zh-CN"/>
        </w:rPr>
        <w:fldChar w:fldCharType="begin"/>
      </w:r>
      <w:r>
        <w:rPr>
          <w:rFonts w:hint="eastAsia" w:ascii="仿宋_GB2312" w:hAnsi="仿宋_GB2312" w:eastAsia="仿宋_GB2312" w:cs="仿宋_GB2312"/>
          <w:sz w:val="28"/>
          <w:lang w:val="zh-CN"/>
        </w:rPr>
        <w:instrText xml:space="preserve">TOC \o "1-3" \h \u </w:instrText>
      </w:r>
      <w:r>
        <w:rPr>
          <w:rFonts w:hint="eastAsia" w:ascii="仿宋_GB2312" w:hAnsi="仿宋_GB2312" w:eastAsia="仿宋_GB2312" w:cs="仿宋_GB2312"/>
          <w:sz w:val="28"/>
          <w:lang w:val="zh-CN"/>
        </w:rPr>
        <w:fldChar w:fldCharType="separate"/>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"_Toc425" </w:instrText>
      </w:r>
      <w:r>
        <w:fldChar w:fldCharType="separate"/>
      </w:r>
      <w:r>
        <w:rPr>
          <w:rFonts w:hint="eastAsia" w:ascii="仿宋_GB2312" w:hAnsi="仿宋_GB2312" w:eastAsia="仿宋_GB2312" w:cs="仿宋_GB2312"/>
          <w:b/>
          <w:bCs/>
          <w:sz w:val="28"/>
        </w:rPr>
        <w:t>估价师声明</w:t>
      </w:r>
      <w:r>
        <w:rPr>
          <w:rFonts w:hint="eastAsia" w:ascii="仿宋_GB2312" w:hAnsi="仿宋_GB2312" w:eastAsia="仿宋_GB2312" w:cs="仿宋_GB2312"/>
          <w:sz w:val="28"/>
        </w:rPr>
        <w:tab/>
      </w:r>
      <w:r>
        <w:rPr>
          <w:rFonts w:hint="eastAsia" w:ascii="仿宋_GB2312" w:hAnsi="仿宋_GB2312" w:eastAsia="仿宋_GB2312" w:cs="仿宋_GB2312"/>
          <w:sz w:val="28"/>
        </w:rPr>
        <w:t>1</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"_Toc4437" </w:instrText>
      </w:r>
      <w:r>
        <w:fldChar w:fldCharType="separate"/>
      </w:r>
      <w:r>
        <w:rPr>
          <w:rFonts w:hint="eastAsia" w:ascii="仿宋_GB2312" w:hAnsi="仿宋_GB2312" w:eastAsia="仿宋_GB2312" w:cs="仿宋_GB2312"/>
          <w:b/>
          <w:bCs/>
          <w:sz w:val="28"/>
        </w:rPr>
        <w:t>估价假设和限制条件</w:t>
      </w:r>
      <w:r>
        <w:rPr>
          <w:rFonts w:hint="eastAsia" w:ascii="仿宋_GB2312" w:hAnsi="仿宋_GB2312" w:eastAsia="仿宋_GB2312" w:cs="仿宋_GB2312"/>
          <w:sz w:val="28"/>
        </w:rPr>
        <w:tab/>
      </w:r>
      <w:r>
        <w:rPr>
          <w:rFonts w:hint="eastAsia" w:ascii="仿宋_GB2312" w:hAnsi="仿宋_GB2312" w:eastAsia="仿宋_GB2312" w:cs="仿宋_GB2312"/>
          <w:sz w:val="28"/>
        </w:rPr>
        <w:t>2</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"_Toc27459" </w:instrText>
      </w:r>
      <w:r>
        <w:fldChar w:fldCharType="separate"/>
      </w:r>
      <w:r>
        <w:rPr>
          <w:rFonts w:hint="eastAsia" w:ascii="仿宋_GB2312" w:hAnsi="仿宋_GB2312" w:eastAsia="仿宋_GB2312" w:cs="仿宋_GB2312"/>
          <w:sz w:val="28"/>
        </w:rPr>
        <w:t>一、估价假设条件</w:t>
      </w:r>
      <w:r>
        <w:rPr>
          <w:rFonts w:hint="eastAsia" w:ascii="仿宋_GB2312" w:hAnsi="仿宋_GB2312" w:eastAsia="仿宋_GB2312" w:cs="仿宋_GB2312"/>
          <w:sz w:val="28"/>
        </w:rPr>
        <w:tab/>
      </w:r>
      <w:r>
        <w:rPr>
          <w:rFonts w:hint="eastAsia" w:ascii="仿宋_GB2312" w:hAnsi="仿宋_GB2312" w:eastAsia="仿宋_GB2312" w:cs="仿宋_GB2312"/>
          <w:sz w:val="28"/>
        </w:rPr>
        <w:t>2</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rPr>
      </w:pPr>
      <w:r>
        <w:fldChar w:fldCharType="begin"/>
      </w:r>
      <w:r>
        <w:instrText xml:space="preserve"> HYPERLINK \l "_Toc23237" </w:instrText>
      </w:r>
      <w:r>
        <w:fldChar w:fldCharType="separate"/>
      </w:r>
      <w:r>
        <w:rPr>
          <w:rFonts w:hint="eastAsia" w:ascii="仿宋_GB2312" w:hAnsi="仿宋_GB2312" w:eastAsia="仿宋_GB2312" w:cs="仿宋_GB2312"/>
          <w:sz w:val="28"/>
        </w:rPr>
        <w:t>二、估价报告使用</w:t>
      </w:r>
      <w:r>
        <w:rPr>
          <w:rFonts w:hint="eastAsia" w:ascii="仿宋_GB2312" w:hAnsi="仿宋_GB2312" w:eastAsia="仿宋_GB2312" w:cs="仿宋_GB2312"/>
          <w:sz w:val="28"/>
        </w:rPr>
        <w:tab/>
      </w:r>
      <w:r>
        <w:rPr>
          <w:rFonts w:hint="eastAsia" w:ascii="仿宋_GB2312" w:hAnsi="仿宋_GB2312" w:eastAsia="仿宋_GB2312" w:cs="仿宋_GB2312"/>
          <w:sz w:val="28"/>
        </w:rPr>
        <w:t>4</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"_Toc4437" </w:instrText>
      </w:r>
      <w:r>
        <w:fldChar w:fldCharType="separate"/>
      </w:r>
      <w:r>
        <w:rPr>
          <w:rFonts w:hint="eastAsia" w:ascii="仿宋_GB2312" w:hAnsi="仿宋_GB2312" w:eastAsia="仿宋_GB2312" w:cs="仿宋_GB2312"/>
          <w:b/>
          <w:bCs/>
          <w:sz w:val="28"/>
        </w:rPr>
        <w:t>房地产估价结果报告</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_Toc4437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"_Toc27459" </w:instrText>
      </w:r>
      <w:r>
        <w:fldChar w:fldCharType="separate"/>
      </w:r>
      <w:r>
        <w:rPr>
          <w:rFonts w:hint="eastAsia" w:ascii="仿宋_GB2312" w:hAnsi="仿宋_GB2312" w:eastAsia="仿宋_GB2312" w:cs="仿宋_GB2312"/>
          <w:sz w:val="28"/>
        </w:rPr>
        <w:t>一、估价委托人</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_Toc27459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"_Toc23237" </w:instrText>
      </w:r>
      <w:r>
        <w:fldChar w:fldCharType="separate"/>
      </w:r>
      <w:r>
        <w:rPr>
          <w:rFonts w:hint="eastAsia" w:ascii="仿宋_GB2312" w:hAnsi="仿宋_GB2312" w:eastAsia="仿宋_GB2312" w:cs="仿宋_GB2312"/>
          <w:sz w:val="28"/>
        </w:rPr>
        <w:t>二、估价机构</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_Toc23237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"_Toc20815" </w:instrText>
      </w:r>
      <w:r>
        <w:fldChar w:fldCharType="separate"/>
      </w:r>
      <w:r>
        <w:rPr>
          <w:rFonts w:hint="eastAsia" w:ascii="仿宋_GB2312" w:hAnsi="仿宋_GB2312" w:eastAsia="仿宋_GB2312" w:cs="仿宋_GB2312"/>
          <w:sz w:val="28"/>
        </w:rPr>
        <w:t>三、估价目的</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_Toc20815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"_Toc10159" </w:instrText>
      </w:r>
      <w:r>
        <w:fldChar w:fldCharType="separate"/>
      </w:r>
      <w:r>
        <w:rPr>
          <w:rFonts w:hint="eastAsia" w:ascii="仿宋_GB2312" w:hAnsi="仿宋_GB2312" w:eastAsia="仿宋_GB2312" w:cs="仿宋_GB2312"/>
          <w:sz w:val="28"/>
        </w:rPr>
        <w:t>四、估价对象</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_Toc10159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"_Toc6917" </w:instrText>
      </w:r>
      <w:r>
        <w:fldChar w:fldCharType="separate"/>
      </w:r>
      <w:r>
        <w:rPr>
          <w:rFonts w:hint="eastAsia" w:ascii="仿宋_GB2312" w:hAnsi="仿宋_GB2312" w:eastAsia="仿宋_GB2312" w:cs="仿宋_GB2312"/>
          <w:sz w:val="28"/>
        </w:rPr>
        <w:t>五、价值时点</w:t>
      </w:r>
      <w:r>
        <w:rPr>
          <w:rFonts w:hint="eastAsia" w:ascii="仿宋_GB2312" w:hAnsi="仿宋_GB2312" w:eastAsia="仿宋_GB2312" w:cs="仿宋_GB2312"/>
          <w:sz w:val="28"/>
        </w:rPr>
        <w:tab/>
      </w:r>
      <w:r>
        <w:rPr>
          <w:rFonts w:hint="eastAsia" w:ascii="仿宋_GB2312" w:hAnsi="仿宋_GB2312" w:eastAsia="仿宋_GB2312" w:cs="仿宋_GB2312"/>
          <w:sz w:val="28"/>
        </w:rPr>
        <w:t>8</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"_Toc12370" </w:instrText>
      </w:r>
      <w:r>
        <w:fldChar w:fldCharType="separate"/>
      </w:r>
      <w:r>
        <w:rPr>
          <w:rFonts w:hint="eastAsia" w:ascii="仿宋_GB2312" w:hAnsi="仿宋_GB2312" w:eastAsia="仿宋_GB2312" w:cs="仿宋_GB2312"/>
          <w:sz w:val="28"/>
        </w:rPr>
        <w:t>六、价值类型</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_Toc12370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8</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"_Toc27240" </w:instrText>
      </w:r>
      <w:r>
        <w:fldChar w:fldCharType="separate"/>
      </w:r>
      <w:r>
        <w:rPr>
          <w:rFonts w:hint="eastAsia" w:ascii="仿宋_GB2312" w:hAnsi="仿宋_GB2312" w:eastAsia="仿宋_GB2312" w:cs="仿宋_GB2312"/>
          <w:sz w:val="28"/>
        </w:rPr>
        <w:t>七、估价原则</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_Toc27240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9</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"_Toc13922" </w:instrText>
      </w:r>
      <w:r>
        <w:fldChar w:fldCharType="separate"/>
      </w:r>
      <w:r>
        <w:rPr>
          <w:rFonts w:hint="eastAsia" w:ascii="仿宋_GB2312" w:hAnsi="仿宋_GB2312" w:eastAsia="仿宋_GB2312" w:cs="仿宋_GB2312"/>
          <w:sz w:val="28"/>
        </w:rPr>
        <w:t>八、估价依据</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_Toc13922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9</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"_Toc27443" </w:instrText>
      </w:r>
      <w:r>
        <w:fldChar w:fldCharType="separate"/>
      </w:r>
      <w:r>
        <w:rPr>
          <w:rFonts w:hint="eastAsia" w:ascii="仿宋_GB2312" w:hAnsi="仿宋_GB2312" w:eastAsia="仿宋_GB2312" w:cs="仿宋_GB2312"/>
          <w:sz w:val="28"/>
        </w:rPr>
        <w:t>九、估价方法</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_Toc27443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11</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"_Toc3525" </w:instrText>
      </w:r>
      <w:r>
        <w:fldChar w:fldCharType="separate"/>
      </w:r>
      <w:r>
        <w:rPr>
          <w:rFonts w:hint="eastAsia" w:ascii="仿宋_GB2312" w:hAnsi="仿宋_GB2312" w:eastAsia="仿宋_GB2312" w:cs="仿宋_GB2312"/>
          <w:sz w:val="28"/>
        </w:rPr>
        <w:t>十、估价结果</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_Toc3525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11</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lang w:val="zh-CN"/>
        </w:rPr>
      </w:pPr>
      <w:r>
        <w:rPr>
          <w:rFonts w:hint="eastAsia" w:ascii="仿宋_GB2312" w:hAnsi="仿宋_GB2312" w:eastAsia="仿宋_GB2312" w:cs="仿宋_GB2312"/>
          <w:sz w:val="28"/>
        </w:rPr>
        <w:fldChar w:fldCharType="end"/>
      </w:r>
      <w:r>
        <w:fldChar w:fldCharType="begin"/>
      </w:r>
      <w:r>
        <w:instrText xml:space="preserve"> HYPERLINK \l "_Toc266117015" </w:instrText>
      </w:r>
      <w:r>
        <w:fldChar w:fldCharType="separate"/>
      </w:r>
      <w:r>
        <w:rPr>
          <w:rFonts w:hint="eastAsia" w:ascii="仿宋_GB2312" w:hAnsi="仿宋_GB2312" w:eastAsia="仿宋_GB2312" w:cs="仿宋_GB2312"/>
          <w:sz w:val="28"/>
          <w:lang w:val="zh-CN"/>
        </w:rPr>
        <w:t>十一、注册房地产估价师</w:t>
      </w:r>
      <w:r>
        <w:rPr>
          <w:rFonts w:hint="eastAsia" w:ascii="仿宋_GB2312" w:hAnsi="仿宋_GB2312" w:eastAsia="仿宋_GB2312" w:cs="仿宋_GB2312"/>
          <w:sz w:val="28"/>
          <w:lang w:val="zh-CN"/>
        </w:rPr>
        <w:tab/>
      </w:r>
      <w:r>
        <w:rPr>
          <w:rFonts w:hint="eastAsia" w:ascii="仿宋_GB2312" w:hAnsi="仿宋_GB2312" w:eastAsia="仿宋_GB2312" w:cs="仿宋_GB2312"/>
          <w:sz w:val="28"/>
          <w:lang w:val="zh-CN"/>
        </w:rPr>
        <w:t>1</w:t>
      </w: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lang w:val="zh-CN"/>
        </w:rPr>
        <w:fldChar w:fldCharType="end"/>
      </w:r>
    </w:p>
    <w:p>
      <w:pPr>
        <w:pStyle w:val="17"/>
        <w:tabs>
          <w:tab w:val="right" w:leader="dot" w:pos="8778"/>
        </w:tabs>
        <w:spacing w:line="520" w:lineRule="exact"/>
        <w:rPr>
          <w:rFonts w:hint="eastAsia" w:ascii="仿宋_GB2312" w:hAnsi="仿宋_GB2312" w:eastAsia="仿宋_GB2312" w:cs="仿宋_GB2312"/>
          <w:sz w:val="28"/>
          <w:lang w:val="zh-CN"/>
        </w:rPr>
      </w:pPr>
      <w:r>
        <w:fldChar w:fldCharType="begin"/>
      </w:r>
      <w:r>
        <w:instrText xml:space="preserve"> HYPERLINK \l "_Toc266117016" </w:instrText>
      </w:r>
      <w:r>
        <w:fldChar w:fldCharType="separate"/>
      </w:r>
      <w:r>
        <w:rPr>
          <w:rFonts w:hint="eastAsia" w:ascii="仿宋_GB2312" w:hAnsi="仿宋_GB2312" w:eastAsia="仿宋_GB2312" w:cs="仿宋_GB2312"/>
          <w:sz w:val="28"/>
          <w:lang w:val="zh-CN"/>
        </w:rPr>
        <w:t>十二、实地查勘期</w:t>
      </w:r>
      <w:r>
        <w:rPr>
          <w:rFonts w:hint="eastAsia" w:ascii="仿宋_GB2312" w:hAnsi="仿宋_GB2312" w:eastAsia="仿宋_GB2312" w:cs="仿宋_GB2312"/>
          <w:sz w:val="28"/>
          <w:lang w:val="zh-CN"/>
        </w:rPr>
        <w:tab/>
      </w:r>
      <w:r>
        <w:rPr>
          <w:rFonts w:hint="eastAsia" w:ascii="仿宋_GB2312" w:hAnsi="仿宋_GB2312" w:eastAsia="仿宋_GB2312" w:cs="仿宋_GB2312"/>
          <w:sz w:val="28"/>
          <w:lang w:val="zh-CN"/>
        </w:rPr>
        <w:t>1</w:t>
      </w: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宋体" w:hAnsi="宋体" w:cs="宋体"/>
          <w:sz w:val="32"/>
          <w:szCs w:val="32"/>
        </w:rPr>
      </w:pPr>
      <w:r>
        <w:fldChar w:fldCharType="begin"/>
      </w:r>
      <w:r>
        <w:instrText xml:space="preserve"> HYPERLINK \l "_Toc266117017" </w:instrText>
      </w:r>
      <w:r>
        <w:fldChar w:fldCharType="separate"/>
      </w:r>
      <w:r>
        <w:rPr>
          <w:rFonts w:hint="eastAsia" w:ascii="仿宋_GB2312" w:hAnsi="仿宋_GB2312" w:eastAsia="仿宋_GB2312" w:cs="仿宋_GB2312"/>
          <w:sz w:val="28"/>
          <w:lang w:val="zh-CN"/>
        </w:rPr>
        <w:t>十三、估价作业期</w:t>
      </w:r>
      <w:r>
        <w:rPr>
          <w:rFonts w:hint="eastAsia" w:ascii="仿宋_GB2312" w:hAnsi="仿宋_GB2312" w:eastAsia="仿宋_GB2312" w:cs="仿宋_GB2312"/>
          <w:sz w:val="28"/>
          <w:lang w:val="zh-CN"/>
        </w:rPr>
        <w:tab/>
      </w:r>
      <w:r>
        <w:rPr>
          <w:rFonts w:hint="eastAsia" w:ascii="仿宋_GB2312" w:hAnsi="仿宋_GB2312" w:eastAsia="仿宋_GB2312" w:cs="仿宋_GB2312"/>
          <w:sz w:val="28"/>
          <w:lang w:val="zh-CN"/>
        </w:rPr>
        <w:t>1</w:t>
      </w: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fldChar w:fldCharType="end"/>
      </w:r>
    </w:p>
    <w:p>
      <w:pPr>
        <w:pStyle w:val="2"/>
        <w:spacing w:before="0" w:after="0" w:line="240" w:lineRule="auto"/>
        <w:rPr>
          <w:rFonts w:hint="eastAsia" w:eastAsia="仿宋_GB2312"/>
        </w:rPr>
      </w:pPr>
      <w:r>
        <w:rPr>
          <w:rFonts w:hint="eastAsia" w:eastAsia="仿宋_GB2312"/>
        </w:rPr>
        <w:t xml:space="preserve">       </w:t>
      </w:r>
    </w:p>
    <w:p>
      <w:pPr>
        <w:rPr>
          <w:rFonts w:hint="eastAsia" w:eastAsia="仿宋_GB2312"/>
        </w:rPr>
      </w:pPr>
    </w:p>
    <w:p>
      <w:pPr>
        <w:rPr>
          <w:rFonts w:eastAsia="仿宋_GB2312"/>
        </w:rPr>
        <w:sectPr>
          <w:endnotePr>
            <w:numFmt w:val="decimal"/>
          </w:endnotePr>
          <w:pgSz w:w="11907" w:h="16840"/>
          <w:pgMar w:top="1134" w:right="1247" w:bottom="1090" w:left="1588" w:header="851" w:footer="680" w:gutter="0"/>
          <w:pgNumType w:start="0"/>
          <w:cols w:space="720" w:num="1"/>
          <w:titlePg/>
        </w:sectPr>
      </w:pPr>
    </w:p>
    <w:p>
      <w:pPr>
        <w:rPr>
          <w:rFonts w:hint="eastAsia" w:eastAsia="仿宋_GB2312"/>
        </w:rPr>
      </w:pPr>
    </w:p>
    <w:p>
      <w:pPr>
        <w:spacing w:beforeLines="50" w:afterLines="50" w:line="500" w:lineRule="exact"/>
        <w:ind w:firstLine="555"/>
        <w:rPr>
          <w:rFonts w:hint="eastAsia" w:ascii="宋体" w:hAnsi="宋体" w:eastAsia="仿宋_GB2312"/>
          <w:sz w:val="28"/>
          <w:szCs w:val="28"/>
          <w:lang w:val="zh-CN"/>
        </w:rPr>
      </w:pPr>
      <w:bookmarkStart w:id="10" w:name="_Toc425"/>
      <w:bookmarkStart w:id="11" w:name="_Toc17750"/>
      <w:bookmarkStart w:id="12" w:name="_Toc2685"/>
      <w:r>
        <w:rPr>
          <w:rFonts w:hint="eastAsia" w:ascii="宋体" w:hAnsi="宋体" w:eastAsia="仿宋_GB2312"/>
          <w:sz w:val="28"/>
          <w:szCs w:val="28"/>
          <w:lang w:val="zh-CN"/>
        </w:rPr>
        <w:t>（一）《吴忠市利通区人民法院委托书</w:t>
      </w:r>
      <w:r>
        <w:rPr>
          <w:rFonts w:hint="eastAsia" w:ascii="仿宋" w:hAnsi="仿宋" w:eastAsia="仿宋" w:cs="仿宋"/>
          <w:sz w:val="28"/>
          <w:szCs w:val="28"/>
          <w:lang w:val="zh-CN"/>
        </w:rPr>
        <w:t>》（2022）宁0302执恢178号</w:t>
      </w:r>
      <w:r>
        <w:rPr>
          <w:rFonts w:hint="eastAsia" w:ascii="宋体" w:hAnsi="宋体" w:eastAsia="仿宋_GB2312"/>
          <w:sz w:val="28"/>
          <w:szCs w:val="28"/>
          <w:lang w:val="zh-CN"/>
        </w:rPr>
        <w:t>（复印件）</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（二）估价对象位置图</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（三）估价对象相关照片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（四）《利通区不动产登记信息查询单》</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（五）可比实例位置示意图及外观照片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（六） 房地产估价机构备案证书复印件</w:t>
      </w:r>
    </w:p>
    <w:p>
      <w:pPr>
        <w:spacing w:before="50" w:after="50" w:line="500" w:lineRule="exact"/>
        <w:ind w:firstLine="560" w:firstLineChars="200"/>
        <w:rPr>
          <w:rFonts w:hint="eastAsia" w:ascii="宋体" w:hAnsi="宋体" w:eastAsia="仿宋_GB2312"/>
          <w:sz w:val="28"/>
          <w:szCs w:val="28"/>
          <w:lang w:val="zh-CN"/>
        </w:rPr>
      </w:pPr>
      <w:r>
        <w:rPr>
          <w:rFonts w:hint="eastAsia" w:ascii="宋体" w:hAnsi="宋体" w:eastAsia="仿宋_GB2312"/>
          <w:sz w:val="28"/>
          <w:szCs w:val="28"/>
          <w:lang w:val="zh-CN"/>
        </w:rPr>
        <w:t>（七） 注册房地产估价师证书复印件</w:t>
      </w:r>
    </w:p>
    <w:p>
      <w:pPr>
        <w:spacing w:beforeLines="50" w:afterLines="50" w:line="500" w:lineRule="exact"/>
        <w:ind w:firstLine="555"/>
        <w:rPr>
          <w:rFonts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420" w:firstLineChars="200"/>
        <w:rPr>
          <w:rFonts w:hint="eastAsia" w:eastAsia="仿宋_GB231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0" w:after="0" w:line="240" w:lineRule="auto"/>
        <w:jc w:val="center"/>
        <w:rPr>
          <w:rFonts w:eastAsia="仿宋_GB2312"/>
        </w:rPr>
      </w:pPr>
      <w:bookmarkStart w:id="13" w:name="_Toc11895"/>
    </w:p>
    <w:p>
      <w:pPr>
        <w:pStyle w:val="2"/>
        <w:spacing w:before="0" w:after="0" w:line="240" w:lineRule="auto"/>
        <w:jc w:val="center"/>
        <w:rPr>
          <w:rFonts w:hint="eastAsia" w:eastAsia="仿宋_GB2312"/>
        </w:rPr>
      </w:pPr>
      <w:r>
        <w:rPr>
          <w:rFonts w:eastAsia="仿宋_GB2312"/>
        </w:rPr>
        <w:t>估</w:t>
      </w:r>
      <w:r>
        <w:rPr>
          <w:rFonts w:hint="eastAsia" w:eastAsia="仿宋_GB2312"/>
        </w:rPr>
        <w:t xml:space="preserve"> </w:t>
      </w:r>
      <w:r>
        <w:rPr>
          <w:rFonts w:eastAsia="仿宋_GB2312"/>
        </w:rPr>
        <w:t>价</w:t>
      </w:r>
      <w:r>
        <w:rPr>
          <w:rFonts w:hint="eastAsia" w:eastAsia="仿宋_GB2312"/>
        </w:rPr>
        <w:t xml:space="preserve"> </w:t>
      </w:r>
      <w:r>
        <w:rPr>
          <w:rFonts w:eastAsia="仿宋_GB2312"/>
        </w:rPr>
        <w:t>师</w:t>
      </w:r>
      <w:r>
        <w:rPr>
          <w:rFonts w:hint="eastAsia" w:eastAsia="仿宋_GB2312"/>
        </w:rPr>
        <w:t xml:space="preserve"> </w:t>
      </w:r>
      <w:r>
        <w:rPr>
          <w:rFonts w:eastAsia="仿宋_GB2312"/>
        </w:rPr>
        <w:t>声</w:t>
      </w:r>
      <w:r>
        <w:rPr>
          <w:rFonts w:hint="eastAsia" w:eastAsia="仿宋_GB2312"/>
        </w:rPr>
        <w:t xml:space="preserve"> </w:t>
      </w:r>
      <w:r>
        <w:rPr>
          <w:rFonts w:eastAsia="仿宋_GB2312"/>
        </w:rPr>
        <w:t>明</w:t>
      </w:r>
      <w:bookmarkEnd w:id="8"/>
      <w:bookmarkEnd w:id="9"/>
      <w:bookmarkEnd w:id="10"/>
      <w:bookmarkEnd w:id="11"/>
      <w:bookmarkEnd w:id="12"/>
      <w:bookmarkEnd w:id="13"/>
    </w:p>
    <w:p>
      <w:pPr>
        <w:spacing w:line="540" w:lineRule="exact"/>
        <w:ind w:firstLine="560" w:firstLineChars="200"/>
        <w:rPr>
          <w:rFonts w:hint="eastAsia" w:ascii="仿宋_GB2312" w:hAnsi="宋体" w:eastAsia="仿宋_GB2312"/>
          <w:sz w:val="28"/>
        </w:rPr>
      </w:pPr>
    </w:p>
    <w:p>
      <w:pPr>
        <w:spacing w:line="540" w:lineRule="exact"/>
        <w:ind w:firstLine="560" w:firstLineChars="200"/>
        <w:rPr>
          <w:rFonts w:hint="eastAsia" w:ascii="仿宋_GB2312" w:hAnsi="宋体" w:eastAsia="仿宋_GB2312"/>
          <w:sz w:val="28"/>
        </w:rPr>
      </w:pPr>
      <w:r>
        <w:rPr>
          <w:rFonts w:hint="eastAsia" w:ascii="仿宋_GB2312" w:hAnsi="宋体" w:eastAsia="仿宋_GB2312"/>
          <w:sz w:val="28"/>
        </w:rPr>
        <w:t>我们根据自己的专业知识和职业道德，在此郑重声明：</w:t>
      </w:r>
    </w:p>
    <w:p>
      <w:pPr>
        <w:spacing w:line="540" w:lineRule="exact"/>
        <w:ind w:firstLine="588"/>
        <w:rPr>
          <w:rFonts w:hint="eastAsia" w:ascii="仿宋_GB2312" w:eastAsia="仿宋_GB2312"/>
          <w:sz w:val="28"/>
          <w:szCs w:val="28"/>
        </w:rPr>
      </w:pPr>
      <w:r>
        <w:rPr>
          <w:rFonts w:hint="eastAsia" w:ascii="仿宋_GB2312" w:eastAsia="仿宋_GB2312"/>
          <w:sz w:val="28"/>
          <w:szCs w:val="28"/>
        </w:rPr>
        <w:t>1、注册房地产估价师在估价报告中对事实的说明是真实和准确的，没有虚假记载、误导性陈述和重大遗漏。</w:t>
      </w:r>
    </w:p>
    <w:p>
      <w:pPr>
        <w:spacing w:line="540" w:lineRule="exact"/>
        <w:ind w:firstLine="540" w:firstLineChars="193"/>
        <w:rPr>
          <w:rFonts w:hint="eastAsia" w:ascii="仿宋_GB2312" w:eastAsia="仿宋_GB2312"/>
          <w:sz w:val="28"/>
          <w:szCs w:val="28"/>
        </w:rPr>
      </w:pPr>
      <w:r>
        <w:rPr>
          <w:rFonts w:hint="eastAsia" w:ascii="仿宋_GB2312" w:eastAsia="仿宋_GB2312"/>
          <w:sz w:val="28"/>
          <w:szCs w:val="28"/>
        </w:rPr>
        <w:t>2、估价报告中的分析、意见和结论是注册房地产估价师独立、客观、公正的专业分析、意见和结论，但受到估价报告中已说明的估价假设和限制条件的限制。</w:t>
      </w:r>
    </w:p>
    <w:p>
      <w:pPr>
        <w:spacing w:line="540" w:lineRule="exact"/>
        <w:ind w:right="6" w:firstLine="551" w:firstLineChars="197"/>
        <w:rPr>
          <w:rFonts w:hint="eastAsia" w:ascii="仿宋_GB2312" w:eastAsia="仿宋_GB2312"/>
          <w:sz w:val="28"/>
          <w:szCs w:val="28"/>
        </w:rPr>
      </w:pPr>
      <w:r>
        <w:rPr>
          <w:rFonts w:hint="eastAsia" w:ascii="仿宋_GB2312" w:eastAsia="仿宋_GB2312"/>
          <w:sz w:val="28"/>
          <w:szCs w:val="28"/>
        </w:rPr>
        <w:t>3、注册房地产估价师与估价报告中的估价对象没有现实或潜在的利益，与估价委托人及估价利害关系人没有利害关系，也对估价对象、估价委托人及估价利害关系人没有偏见；</w:t>
      </w:r>
    </w:p>
    <w:p>
      <w:pPr>
        <w:spacing w:line="540" w:lineRule="exact"/>
        <w:ind w:firstLine="551" w:firstLineChars="197"/>
        <w:rPr>
          <w:rFonts w:hint="eastAsia" w:ascii="仿宋_GB2312" w:eastAsia="仿宋_GB2312"/>
          <w:sz w:val="28"/>
          <w:szCs w:val="28"/>
        </w:rPr>
      </w:pPr>
      <w:r>
        <w:rPr>
          <w:rFonts w:hint="eastAsia" w:ascii="仿宋_GB2312" w:eastAsia="仿宋_GB2312"/>
          <w:sz w:val="28"/>
          <w:szCs w:val="28"/>
        </w:rPr>
        <w:t>4、注册房地产估价师是按照有关房地产估价标准的规定进行估价工作，撰写估价报告。</w:t>
      </w:r>
    </w:p>
    <w:p>
      <w:pPr>
        <w:spacing w:line="440" w:lineRule="atLeast"/>
        <w:rPr>
          <w:rFonts w:hint="eastAsia" w:ascii="仿宋_GB2312" w:eastAsia="仿宋_GB2312"/>
          <w:b/>
          <w:sz w:val="44"/>
          <w:szCs w:val="44"/>
        </w:rPr>
      </w:pPr>
    </w:p>
    <w:p>
      <w:pPr>
        <w:spacing w:line="440" w:lineRule="atLeast"/>
        <w:ind w:firstLine="560" w:firstLineChars="200"/>
        <w:rPr>
          <w:rFonts w:hint="eastAsia" w:ascii="仿宋_GB2312" w:eastAsia="仿宋_GB2312"/>
          <w:sz w:val="28"/>
          <w:szCs w:val="28"/>
          <w:lang w:eastAsia="zh-CN"/>
        </w:rPr>
      </w:pPr>
    </w:p>
    <w:p>
      <w:pPr>
        <w:spacing w:line="440" w:lineRule="atLeast"/>
        <w:ind w:firstLine="883" w:firstLineChars="200"/>
        <w:rPr>
          <w:rFonts w:hint="eastAsia" w:ascii="仿宋_GB2312" w:eastAsia="仿宋_GB2312"/>
          <w:b/>
          <w:sz w:val="44"/>
          <w:szCs w:val="44"/>
        </w:rPr>
      </w:pPr>
    </w:p>
    <w:p>
      <w:pPr>
        <w:spacing w:line="440" w:lineRule="atLeast"/>
        <w:ind w:firstLine="2301" w:firstLineChars="521"/>
        <w:rPr>
          <w:rFonts w:hint="eastAsia" w:ascii="仿宋_GB2312" w:eastAsia="仿宋_GB2312"/>
          <w:b/>
          <w:sz w:val="44"/>
          <w:szCs w:val="44"/>
        </w:rPr>
      </w:pPr>
    </w:p>
    <w:p>
      <w:pPr>
        <w:spacing w:line="440" w:lineRule="atLeast"/>
        <w:ind w:firstLine="2301" w:firstLineChars="521"/>
        <w:rPr>
          <w:rFonts w:hint="eastAsia" w:ascii="仿宋_GB2312" w:eastAsia="仿宋_GB2312"/>
          <w:b/>
          <w:sz w:val="44"/>
          <w:szCs w:val="44"/>
        </w:rPr>
      </w:pPr>
    </w:p>
    <w:p>
      <w:pPr>
        <w:spacing w:line="440" w:lineRule="atLeas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r>
        <w:rPr>
          <w:rFonts w:hint="eastAsia" w:ascii="仿宋_GB2312" w:eastAsia="仿宋_GB2312"/>
          <w:b/>
          <w:sz w:val="44"/>
          <w:szCs w:val="44"/>
        </w:rPr>
        <w:t>估价的假设和限制条件</w:t>
      </w:r>
      <w:bookmarkEnd w:id="1"/>
      <w:bookmarkEnd w:id="2"/>
    </w:p>
    <w:p>
      <w:pPr>
        <w:spacing w:line="520" w:lineRule="exact"/>
        <w:rPr>
          <w:rFonts w:hint="eastAsia" w:ascii="仿宋_GB2312" w:eastAsia="仿宋_GB2312"/>
          <w:b/>
          <w:sz w:val="28"/>
          <w:szCs w:val="28"/>
        </w:rPr>
      </w:pPr>
      <w:r>
        <w:rPr>
          <w:rFonts w:hint="eastAsia"/>
          <w:b/>
          <w:sz w:val="28"/>
          <w:szCs w:val="28"/>
        </w:rPr>
        <w:t>一、</w:t>
      </w:r>
      <w:r>
        <w:rPr>
          <w:rFonts w:hint="eastAsia" w:ascii="仿宋_GB2312" w:eastAsia="仿宋_GB2312"/>
          <w:b/>
          <w:sz w:val="28"/>
          <w:szCs w:val="28"/>
        </w:rPr>
        <w:t>估价假设条件</w:t>
      </w:r>
    </w:p>
    <w:p>
      <w:pPr>
        <w:spacing w:line="520" w:lineRule="exact"/>
        <w:ind w:firstLine="420" w:firstLineChars="150"/>
        <w:rPr>
          <w:rFonts w:hint="eastAsia"/>
          <w:sz w:val="28"/>
          <w:szCs w:val="28"/>
        </w:rPr>
      </w:pPr>
      <w:r>
        <w:rPr>
          <w:rFonts w:hint="eastAsia" w:ascii="仿宋_GB2312" w:eastAsia="仿宋_GB2312"/>
          <w:sz w:val="28"/>
          <w:szCs w:val="28"/>
        </w:rPr>
        <w:t xml:space="preserve">（一）一般假设    </w:t>
      </w:r>
      <w:r>
        <w:rPr>
          <w:rFonts w:hint="eastAsia"/>
          <w:sz w:val="28"/>
          <w:szCs w:val="28"/>
        </w:rPr>
        <w:t xml:space="preserve">                                                                              </w:t>
      </w:r>
    </w:p>
    <w:p>
      <w:pPr>
        <w:spacing w:line="520" w:lineRule="exact"/>
        <w:ind w:right="-73" w:rightChars="-35" w:firstLine="568"/>
        <w:rPr>
          <w:rFonts w:hint="eastAsia" w:ascii="仿宋_GB2312" w:eastAsia="仿宋_GB2312"/>
          <w:spacing w:val="2"/>
          <w:sz w:val="28"/>
          <w:szCs w:val="28"/>
        </w:rPr>
      </w:pPr>
      <w:r>
        <w:rPr>
          <w:rFonts w:hint="eastAsia" w:ascii="仿宋_GB2312" w:hAnsi="宋体" w:eastAsia="仿宋_GB2312"/>
          <w:color w:val="000000"/>
          <w:sz w:val="28"/>
        </w:rPr>
        <w:t>1、</w:t>
      </w:r>
      <w:r>
        <w:rPr>
          <w:rFonts w:hint="eastAsia" w:ascii="仿宋_GB2312" w:eastAsia="仿宋_GB2312"/>
          <w:spacing w:val="2"/>
          <w:sz w:val="28"/>
          <w:szCs w:val="28"/>
        </w:rPr>
        <w:t>估价人员依据估价委托人提供的</w:t>
      </w:r>
      <w:r>
        <w:rPr>
          <w:rFonts w:hint="eastAsia" w:ascii="仿宋_GB2312" w:hAnsi="仿宋_GB2312" w:eastAsia="仿宋_GB2312" w:cs="仿宋_GB2312"/>
          <w:sz w:val="28"/>
          <w:szCs w:val="28"/>
          <w:lang w:eastAsia="zh-CN"/>
        </w:rPr>
        <w:t>《吴忠市利通区人民法院委托书》、《利通区不动产登记信息查询单》</w:t>
      </w:r>
      <w:r>
        <w:rPr>
          <w:rFonts w:hint="eastAsia" w:ascii="仿宋_GB2312" w:eastAsia="仿宋_GB2312"/>
          <w:spacing w:val="2"/>
          <w:sz w:val="28"/>
          <w:szCs w:val="28"/>
        </w:rPr>
        <w:t>等资料，对估价对象的权属、建造年代、面积、用途等资料进行了检查，对估价对象房屋进行了实地查勘，在无理由怀疑其合法性、真实性、准确性和完整性且未予以核实的情况下，假定估价委托人提供的</w:t>
      </w:r>
      <w:r>
        <w:rPr>
          <w:rFonts w:hint="eastAsia" w:ascii="宋体" w:hAnsi="宋体" w:eastAsia="仿宋_GB2312"/>
          <w:sz w:val="28"/>
          <w:szCs w:val="28"/>
          <w:lang w:val="zh-CN"/>
        </w:rPr>
        <w:t>《吴忠市利通区人民法院委托书》、《利通区不动产登记信息查询单》</w:t>
      </w:r>
      <w:r>
        <w:rPr>
          <w:rFonts w:hint="eastAsia" w:ascii="仿宋_GB2312" w:eastAsia="仿宋_GB2312"/>
          <w:spacing w:val="2"/>
          <w:sz w:val="28"/>
          <w:szCs w:val="28"/>
        </w:rPr>
        <w:t>及估价对象的权属、建造年代、面积、用途等资料合法、真实、准确及完整有效。</w:t>
      </w:r>
      <w:r>
        <w:rPr>
          <w:rFonts w:hint="eastAsia" w:ascii="仿宋_GB2312" w:hAnsi="宋体" w:eastAsia="仿宋_GB2312"/>
          <w:color w:val="000000"/>
          <w:sz w:val="28"/>
        </w:rPr>
        <w:t>估价委托人对所提供情况和资料的真实性、合法性及完整性负责。因所提供情况和资料失实造成估价结果有误的，评估机构和估价人员不承担相应的责任。</w:t>
      </w:r>
    </w:p>
    <w:p>
      <w:pPr>
        <w:spacing w:line="52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2、</w:t>
      </w:r>
      <w:r>
        <w:rPr>
          <w:rFonts w:hint="eastAsia" w:ascii="仿宋_GB2312" w:eastAsia="仿宋_GB2312"/>
          <w:sz w:val="28"/>
          <w:szCs w:val="28"/>
        </w:rPr>
        <w:t>本次估价是以估价委托人提供于本估价机构的估价对象无权属纠纷，无法律、法规规定禁止按本次估价目的使用的其他情形为假设前提。</w:t>
      </w:r>
    </w:p>
    <w:p>
      <w:pPr>
        <w:spacing w:line="520" w:lineRule="exact"/>
        <w:ind w:firstLine="560" w:firstLineChars="200"/>
        <w:rPr>
          <w:rFonts w:hint="eastAsia" w:ascii="仿宋_GB2312" w:eastAsia="仿宋_GB2312"/>
          <w:spacing w:val="5"/>
          <w:sz w:val="28"/>
          <w:szCs w:val="28"/>
        </w:rPr>
      </w:pPr>
      <w:r>
        <w:rPr>
          <w:rFonts w:hint="eastAsia" w:ascii="仿宋_GB2312" w:hAnsi="宋体" w:eastAsia="仿宋_GB2312"/>
          <w:color w:val="000000"/>
          <w:sz w:val="28"/>
        </w:rPr>
        <w:t>3、</w:t>
      </w:r>
      <w:r>
        <w:rPr>
          <w:rFonts w:hint="eastAsia" w:ascii="仿宋_GB2312" w:eastAsia="仿宋_GB2312"/>
          <w:spacing w:val="5"/>
          <w:sz w:val="28"/>
          <w:szCs w:val="28"/>
        </w:rPr>
        <w:t>估价人员对估价对象房屋安全、周边环境进行了实地查勘，但估价人员对估价对象房屋、周边环境的实地查勘仅限于在查勘之日的外观作一般性的查勘，对结构及难以接触到的部分等内在质量情况及需要对环境进行的检测，本公司没有专业上的能力及资质，故不能确定其有无内在缺陷等房屋安全及环境污染问题，故在无理由怀疑估价对象存在安全隐患且无相关的专业机构进行鉴定、检测的情况下，假定估价对象房屋安全及周边环境能够符合国家有关技术、质量、验收规范，符合国家有关安全使用标准。</w:t>
      </w:r>
    </w:p>
    <w:p>
      <w:pPr>
        <w:spacing w:line="52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4、估价对象在价值时点的房地产市场为公开、平等、自愿的交易市场。</w:t>
      </w:r>
    </w:p>
    <w:p>
      <w:pPr>
        <w:spacing w:line="520" w:lineRule="exact"/>
        <w:ind w:right="74" w:firstLine="580"/>
        <w:rPr>
          <w:rFonts w:hint="eastAsia" w:ascii="仿宋_GB2312" w:hAnsi="宋体" w:eastAsia="仿宋_GB2312"/>
          <w:color w:val="000000"/>
          <w:sz w:val="28"/>
        </w:rPr>
      </w:pPr>
      <w:r>
        <w:rPr>
          <w:rFonts w:hint="eastAsia" w:ascii="仿宋_GB2312" w:hAnsi="宋体" w:eastAsia="仿宋_GB2312"/>
          <w:color w:val="000000"/>
          <w:sz w:val="28"/>
        </w:rPr>
        <w:t>5、我们评估采用公开市场价值标准，即在价值时点对估价对象进行合理销售的最佳价格。这里假设：</w:t>
      </w:r>
    </w:p>
    <w:p>
      <w:pPr>
        <w:spacing w:line="520" w:lineRule="exact"/>
        <w:ind w:right="74" w:firstLine="580"/>
        <w:rPr>
          <w:rFonts w:hint="eastAsia" w:ascii="仿宋_GB2312" w:eastAsia="仿宋_GB2312"/>
          <w:spacing w:val="5"/>
          <w:sz w:val="28"/>
          <w:szCs w:val="28"/>
        </w:rPr>
      </w:pPr>
      <w:r>
        <w:rPr>
          <w:rFonts w:hint="eastAsia" w:ascii="仿宋_GB2312" w:eastAsia="仿宋_GB2312"/>
          <w:spacing w:val="5"/>
          <w:sz w:val="28"/>
          <w:szCs w:val="28"/>
        </w:rPr>
        <w:t>⑴交易双方是自愿地进行交易的；</w:t>
      </w:r>
    </w:p>
    <w:p>
      <w:pPr>
        <w:spacing w:line="520" w:lineRule="exact"/>
        <w:ind w:right="74" w:firstLine="580"/>
        <w:rPr>
          <w:rFonts w:hint="eastAsia" w:ascii="仿宋_GB2312" w:hAnsi="宋体" w:eastAsia="仿宋_GB2312" w:cs="宋体"/>
          <w:spacing w:val="5"/>
          <w:sz w:val="28"/>
          <w:szCs w:val="28"/>
        </w:rPr>
      </w:pPr>
      <w:r>
        <w:rPr>
          <w:rFonts w:hint="eastAsia" w:ascii="仿宋_GB2312" w:eastAsia="仿宋_GB2312"/>
          <w:spacing w:val="5"/>
          <w:sz w:val="28"/>
          <w:szCs w:val="28"/>
        </w:rPr>
        <w:t>⑵交易双方进行交易的目的是追求自身</w:t>
      </w:r>
      <w:r>
        <w:rPr>
          <w:rFonts w:hint="eastAsia" w:ascii="仿宋_GB2312" w:hAnsi="宋体" w:eastAsia="仿宋_GB2312" w:cs="宋体"/>
          <w:spacing w:val="5"/>
          <w:sz w:val="28"/>
          <w:szCs w:val="28"/>
        </w:rPr>
        <w:t>利益的最大化；</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⑶交易双方具有必要的专业知识，并了解交易对象；</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⑷交易双方掌握必要的市场信息；</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⑸交易双方有较充裕的时间进行交易；</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⑹不存在特殊买者的附加出价。</w:t>
      </w:r>
    </w:p>
    <w:p>
      <w:pPr>
        <w:spacing w:line="520" w:lineRule="exact"/>
        <w:ind w:firstLine="570"/>
        <w:rPr>
          <w:rFonts w:hint="eastAsia" w:ascii="仿宋_GB2312" w:hAnsi="宋体" w:eastAsia="仿宋_GB2312"/>
          <w:color w:val="000000"/>
          <w:spacing w:val="-2"/>
          <w:sz w:val="28"/>
          <w:szCs w:val="28"/>
        </w:rPr>
      </w:pPr>
      <w:r>
        <w:rPr>
          <w:rFonts w:hint="eastAsia" w:ascii="仿宋_GB2312" w:hAnsi="宋体" w:eastAsia="仿宋_GB2312"/>
          <w:color w:val="000000"/>
          <w:spacing w:val="-2"/>
          <w:sz w:val="28"/>
          <w:szCs w:val="28"/>
        </w:rPr>
        <w:t>6、估价对象应以保持估价人员现场查勘时的现状持续使用为估价前提。</w:t>
      </w:r>
    </w:p>
    <w:p>
      <w:pPr>
        <w:spacing w:line="520" w:lineRule="exact"/>
        <w:ind w:firstLine="570"/>
        <w:rPr>
          <w:rFonts w:hint="eastAsia" w:ascii="仿宋_GB2312" w:hAnsi="宋体" w:eastAsia="仿宋_GB2312"/>
          <w:color w:val="000000"/>
          <w:sz w:val="28"/>
        </w:rPr>
      </w:pPr>
      <w:r>
        <w:rPr>
          <w:rFonts w:hint="eastAsia" w:ascii="仿宋_GB2312" w:hAnsi="宋体" w:eastAsia="仿宋_GB2312"/>
          <w:color w:val="000000"/>
          <w:spacing w:val="-2"/>
          <w:sz w:val="28"/>
          <w:szCs w:val="28"/>
        </w:rPr>
        <w:t>7、报</w:t>
      </w:r>
      <w:r>
        <w:rPr>
          <w:rFonts w:hint="eastAsia" w:ascii="仿宋_GB2312" w:hAnsi="宋体" w:eastAsia="仿宋_GB2312"/>
          <w:color w:val="000000"/>
          <w:sz w:val="28"/>
        </w:rPr>
        <w:t>告有效期内无足以影响房地产市场发生实质性变化的国家财税、土地利用等政策的重大调整变化。</w:t>
      </w:r>
    </w:p>
    <w:p>
      <w:pPr>
        <w:spacing w:line="52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8、</w:t>
      </w:r>
      <w:r>
        <w:rPr>
          <w:rFonts w:hint="eastAsia" w:ascii="仿宋_GB2312" w:hAnsi="宋体" w:eastAsia="仿宋_GB2312"/>
          <w:color w:val="000000"/>
          <w:sz w:val="28"/>
          <w:szCs w:val="22"/>
        </w:rPr>
        <w:t>估价人员未明确估价对象欠缴税费、拖欠物业费、供暖费、水电气费等情况及金额，本次估价设定上述税费均已交清，</w:t>
      </w:r>
      <w:r>
        <w:rPr>
          <w:rFonts w:hint="eastAsia" w:ascii="仿宋_GB2312" w:hAnsi="楷体_GB2312" w:eastAsia="仿宋_GB2312"/>
          <w:bCs/>
          <w:sz w:val="28"/>
        </w:rPr>
        <w:t>提请估价报告使用人注意</w:t>
      </w:r>
      <w:r>
        <w:rPr>
          <w:rFonts w:hint="eastAsia" w:ascii="仿宋_GB2312" w:hAnsi="宋体" w:eastAsia="仿宋_GB2312"/>
          <w:color w:val="000000"/>
          <w:sz w:val="28"/>
          <w:szCs w:val="22"/>
        </w:rPr>
        <w:t>。</w:t>
      </w:r>
    </w:p>
    <w:p>
      <w:pPr>
        <w:numPr>
          <w:ilvl w:val="0"/>
          <w:numId w:val="1"/>
        </w:numPr>
        <w:adjustRightInd w:val="0"/>
        <w:spacing w:line="520" w:lineRule="exact"/>
        <w:textAlignment w:val="baseline"/>
        <w:outlineLvl w:val="1"/>
        <w:rPr>
          <w:rFonts w:hint="eastAsia" w:ascii="仿宋_GB2312" w:hAnsi="宋体" w:eastAsia="仿宋_GB2312"/>
          <w:color w:val="000000"/>
          <w:sz w:val="28"/>
          <w:szCs w:val="28"/>
        </w:rPr>
      </w:pPr>
      <w:bookmarkStart w:id="14" w:name="_Toc438625249"/>
      <w:bookmarkStart w:id="15" w:name="_Toc15096"/>
      <w:bookmarkStart w:id="16" w:name="_Toc28260"/>
      <w:bookmarkStart w:id="17" w:name="_Toc28967"/>
      <w:bookmarkStart w:id="18" w:name="_Toc21714"/>
      <w:r>
        <w:rPr>
          <w:rFonts w:hint="eastAsia" w:ascii="仿宋_GB2312" w:hAnsi="宋体" w:eastAsia="仿宋_GB2312"/>
          <w:color w:val="000000"/>
          <w:sz w:val="28"/>
          <w:szCs w:val="28"/>
        </w:rPr>
        <w:t>特殊类假设</w:t>
      </w:r>
      <w:bookmarkEnd w:id="14"/>
      <w:bookmarkEnd w:id="15"/>
      <w:bookmarkEnd w:id="16"/>
      <w:bookmarkEnd w:id="17"/>
      <w:bookmarkEnd w:id="18"/>
    </w:p>
    <w:p>
      <w:pPr>
        <w:spacing w:line="520" w:lineRule="exact"/>
        <w:ind w:firstLine="570"/>
        <w:rPr>
          <w:rFonts w:hint="eastAsia" w:ascii="仿宋_GB2312" w:hAnsi="宋体" w:eastAsia="仿宋_GB2312"/>
          <w:color w:val="000000"/>
          <w:sz w:val="28"/>
          <w:szCs w:val="22"/>
        </w:rPr>
      </w:pPr>
      <w:r>
        <w:rPr>
          <w:rFonts w:hint="eastAsia" w:ascii="仿宋_GB2312" w:hAnsi="宋体" w:eastAsia="仿宋_GB2312"/>
          <w:color w:val="000000"/>
          <w:sz w:val="28"/>
          <w:szCs w:val="22"/>
        </w:rPr>
        <w:t>1、未定事项假设</w:t>
      </w:r>
    </w:p>
    <w:p>
      <w:pPr>
        <w:spacing w:line="520" w:lineRule="exact"/>
        <w:ind w:firstLine="570"/>
        <w:rPr>
          <w:rFonts w:hint="eastAsia" w:ascii="仿宋_GB2312" w:hAnsi="宋体" w:eastAsia="仿宋_GB2312"/>
          <w:sz w:val="28"/>
          <w:szCs w:val="22"/>
        </w:rPr>
      </w:pPr>
      <w:r>
        <w:rPr>
          <w:rFonts w:hint="eastAsia" w:ascii="仿宋_GB2312" w:hAnsi="楷体_GB2312" w:eastAsia="仿宋_GB2312"/>
          <w:bCs/>
          <w:sz w:val="28"/>
        </w:rPr>
        <w:t>本次估价的估价对象不存在未确定事项，故本次估价报告无未定事项假设</w:t>
      </w:r>
      <w:r>
        <w:rPr>
          <w:rFonts w:hint="eastAsia" w:ascii="仿宋_GB2312" w:hAnsi="宋体" w:eastAsia="仿宋_GB2312"/>
          <w:spacing w:val="-9"/>
          <w:sz w:val="28"/>
          <w:szCs w:val="22"/>
        </w:rPr>
        <w:t>。</w:t>
      </w:r>
    </w:p>
    <w:p>
      <w:pPr>
        <w:spacing w:line="520" w:lineRule="exact"/>
        <w:ind w:firstLine="570"/>
        <w:rPr>
          <w:rFonts w:hint="eastAsia" w:ascii="仿宋_GB2312" w:hAnsi="宋体" w:eastAsia="仿宋_GB2312"/>
          <w:color w:val="000000"/>
          <w:sz w:val="28"/>
          <w:szCs w:val="22"/>
        </w:rPr>
      </w:pPr>
      <w:r>
        <w:rPr>
          <w:rFonts w:hint="eastAsia" w:ascii="仿宋_GB2312" w:hAnsi="宋体" w:eastAsia="仿宋_GB2312"/>
          <w:color w:val="000000"/>
          <w:sz w:val="28"/>
          <w:szCs w:val="22"/>
        </w:rPr>
        <w:t>2、背离事实假设</w:t>
      </w:r>
    </w:p>
    <w:p>
      <w:pPr>
        <w:spacing w:line="520" w:lineRule="exact"/>
        <w:ind w:firstLine="570"/>
        <w:rPr>
          <w:rFonts w:hint="eastAsia" w:ascii="仿宋_GB2312" w:hAnsi="宋体" w:eastAsia="仿宋_GB2312"/>
          <w:color w:val="000000"/>
          <w:spacing w:val="-12"/>
          <w:sz w:val="28"/>
        </w:rPr>
      </w:pPr>
      <w:r>
        <w:rPr>
          <w:rFonts w:hint="eastAsia" w:ascii="仿宋_GB2312" w:hAnsi="楷体_GB2312" w:eastAsia="仿宋_GB2312"/>
          <w:bCs/>
          <w:sz w:val="28"/>
        </w:rPr>
        <w:t>根据估价委托人提供的</w:t>
      </w:r>
      <w:r>
        <w:rPr>
          <w:rFonts w:hint="eastAsia" w:ascii="仿宋_GB2312" w:hAnsi="楷体_GB2312" w:eastAsia="仿宋_GB2312"/>
          <w:bCs/>
          <w:sz w:val="28"/>
          <w:lang w:eastAsia="zh-CN"/>
        </w:rPr>
        <w:t>《利通区不动产登记信息查询单》</w:t>
      </w:r>
      <w:r>
        <w:rPr>
          <w:rFonts w:hint="eastAsia" w:ascii="仿宋_GB2312" w:hAnsi="楷体_GB2312" w:eastAsia="仿宋_GB2312"/>
          <w:bCs/>
          <w:sz w:val="28"/>
        </w:rPr>
        <w:t>不动产限制信息显示：估价对象</w:t>
      </w:r>
      <w:r>
        <w:rPr>
          <w:rFonts w:hint="eastAsia" w:ascii="仿宋_GB2312" w:hAnsi="楷体_GB2312" w:eastAsia="仿宋_GB2312"/>
          <w:bCs/>
          <w:sz w:val="28"/>
          <w:lang w:eastAsia="zh-CN"/>
        </w:rPr>
        <w:t>已</w:t>
      </w:r>
      <w:r>
        <w:rPr>
          <w:rFonts w:hint="eastAsia" w:ascii="仿宋_GB2312" w:hAnsi="楷体_GB2312" w:eastAsia="仿宋_GB2312"/>
          <w:bCs/>
          <w:sz w:val="28"/>
        </w:rPr>
        <w:t>抵押。根据本次估价目的，本次评估未考虑估价对象抵押情况对房地产价值的影响，提请估价报告使用人注意。</w:t>
      </w:r>
      <w:r>
        <w:rPr>
          <w:rFonts w:hint="eastAsia" w:ascii="仿宋_GB2312" w:hAnsi="宋体" w:eastAsia="仿宋_GB2312"/>
          <w:color w:val="000000"/>
          <w:spacing w:val="-12"/>
          <w:sz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73"/>
        <w:textAlignment w:val="auto"/>
        <w:rPr>
          <w:rFonts w:hint="eastAsia" w:ascii="仿宋_GB2312" w:hAnsi="宋体" w:eastAsia="仿宋_GB2312"/>
          <w:color w:val="000000"/>
          <w:sz w:val="28"/>
          <w:szCs w:val="22"/>
        </w:rPr>
      </w:pPr>
      <w:r>
        <w:rPr>
          <w:rFonts w:hint="eastAsia" w:ascii="仿宋_GB2312" w:hAnsi="宋体" w:eastAsia="仿宋_GB2312"/>
          <w:color w:val="000000"/>
          <w:sz w:val="28"/>
          <w:szCs w:val="22"/>
        </w:rPr>
        <w:t>3、不相一致假设</w:t>
      </w:r>
    </w:p>
    <w:p>
      <w:pPr>
        <w:keepNext w:val="0"/>
        <w:keepLines w:val="0"/>
        <w:pageBreakBefore w:val="0"/>
        <w:widowControl w:val="0"/>
        <w:kinsoku/>
        <w:wordWrap/>
        <w:overflowPunct/>
        <w:topLinePunct w:val="0"/>
        <w:autoSpaceDE/>
        <w:autoSpaceDN/>
        <w:bidi w:val="0"/>
        <w:adjustRightInd/>
        <w:snapToGrid/>
        <w:spacing w:line="500" w:lineRule="exact"/>
        <w:ind w:firstLine="573"/>
        <w:textAlignment w:val="auto"/>
        <w:rPr>
          <w:rFonts w:hint="eastAsia" w:ascii="仿宋_GB2312" w:hAnsi="楷体_GB2312" w:eastAsia="仿宋_GB2312"/>
          <w:bCs/>
          <w:sz w:val="28"/>
          <w:szCs w:val="22"/>
        </w:rPr>
      </w:pPr>
      <w:r>
        <w:rPr>
          <w:rFonts w:hint="eastAsia" w:ascii="仿宋_GB2312" w:hAnsi="楷体_GB2312" w:eastAsia="仿宋_GB2312"/>
          <w:bCs/>
          <w:spacing w:val="-12"/>
          <w:sz w:val="28"/>
          <w:szCs w:val="22"/>
        </w:rPr>
        <w:t>本次估价的估价对象不存在不相一致事项，故本估价报告无不相一致事项假设。</w:t>
      </w:r>
    </w:p>
    <w:p>
      <w:pPr>
        <w:keepNext w:val="0"/>
        <w:keepLines w:val="0"/>
        <w:pageBreakBefore w:val="0"/>
        <w:widowControl w:val="0"/>
        <w:kinsoku/>
        <w:wordWrap/>
        <w:overflowPunct/>
        <w:topLinePunct w:val="0"/>
        <w:autoSpaceDE/>
        <w:autoSpaceDN/>
        <w:bidi w:val="0"/>
        <w:adjustRightInd/>
        <w:snapToGrid/>
        <w:spacing w:line="500" w:lineRule="exact"/>
        <w:ind w:firstLine="573"/>
        <w:textAlignment w:val="auto"/>
        <w:rPr>
          <w:rFonts w:hint="eastAsia" w:ascii="仿宋_GB2312" w:hAnsi="宋体" w:eastAsia="仿宋_GB2312"/>
          <w:color w:val="000000"/>
          <w:sz w:val="28"/>
          <w:szCs w:val="22"/>
        </w:rPr>
      </w:pPr>
      <w:r>
        <w:rPr>
          <w:rFonts w:hint="eastAsia" w:ascii="仿宋_GB2312" w:hAnsi="宋体" w:eastAsia="仿宋_GB2312"/>
          <w:color w:val="000000"/>
          <w:sz w:val="28"/>
          <w:szCs w:val="22"/>
        </w:rPr>
        <w:t>4、依据不足假设</w:t>
      </w:r>
    </w:p>
    <w:p>
      <w:pPr>
        <w:keepNext w:val="0"/>
        <w:keepLines w:val="0"/>
        <w:pageBreakBefore w:val="0"/>
        <w:widowControl w:val="0"/>
        <w:kinsoku/>
        <w:wordWrap/>
        <w:overflowPunct/>
        <w:topLinePunct w:val="0"/>
        <w:autoSpaceDE/>
        <w:autoSpaceDN/>
        <w:bidi w:val="0"/>
        <w:adjustRightInd/>
        <w:snapToGrid/>
        <w:spacing w:line="500" w:lineRule="exact"/>
        <w:ind w:firstLine="573"/>
        <w:textAlignment w:val="auto"/>
        <w:rPr>
          <w:rFonts w:hint="eastAsia" w:ascii="仿宋_GB2312" w:hAnsi="楷体_GB2312" w:eastAsia="仿宋_GB2312"/>
          <w:bCs/>
          <w:sz w:val="28"/>
          <w:szCs w:val="22"/>
        </w:rPr>
      </w:pPr>
      <w:r>
        <w:rPr>
          <w:rFonts w:hint="eastAsia" w:ascii="仿宋_GB2312" w:hAnsi="楷体_GB2312" w:eastAsia="仿宋_GB2312"/>
          <w:bCs/>
          <w:spacing w:val="-12"/>
          <w:sz w:val="28"/>
          <w:szCs w:val="22"/>
        </w:rPr>
        <w:t>本次估价的估价对象不存在依据不足事项，故本估价报告无依据不足事项假设。</w:t>
      </w:r>
    </w:p>
    <w:p>
      <w:pPr>
        <w:spacing w:line="520" w:lineRule="exact"/>
        <w:rPr>
          <w:rFonts w:hint="eastAsia" w:ascii="仿宋_GB2312" w:hAnsi="宋体" w:eastAsia="仿宋_GB2312"/>
          <w:b/>
          <w:color w:val="000000"/>
          <w:sz w:val="28"/>
        </w:rPr>
      </w:pPr>
      <w:r>
        <w:rPr>
          <w:rFonts w:hint="eastAsia" w:ascii="仿宋_GB2312" w:hAnsi="宋体" w:eastAsia="仿宋_GB2312"/>
          <w:b/>
          <w:color w:val="000000"/>
          <w:sz w:val="28"/>
        </w:rPr>
        <w:t>二、估价报告使用限制</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1、本报告估价目的仅为人民法院确定财产处置参考价提供参考依据，不作他用，如若改变估价目的必须重新评估。</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2、本报告只限于估价委托人及本次估价目的涉及的估价利害关系人使用。未经本评估机构和估价人员同意，本估价报告的全部或部分内容不得向估价委托人及估价报告审查部门之外的单位和个人提供，凡因委托人使用估价报告不当而引起的后果，评估机构和估价人员不承担相应的责任。本估价报告也不得发表于任何公开媒体上，报告解释权为本评估机构所有。</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3、本估价报告书由正文和附件两部分共同构成，不得随意分割使用。本报告经法定代表人签章，注册房地产估价师签章，评估机构盖章并作为一个整体时有效。</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4、估价对象的建造年代、建筑结构、建筑面积、用途及土地信息等均以估价委托人提供的</w:t>
      </w:r>
      <w:r>
        <w:rPr>
          <w:rFonts w:hint="eastAsia" w:ascii="仿宋_GB2312" w:hAnsi="宋体" w:eastAsia="仿宋_GB2312"/>
          <w:color w:val="000000"/>
          <w:sz w:val="28"/>
          <w:lang w:eastAsia="zh-CN"/>
        </w:rPr>
        <w:t>《利通区不动产登记信息查询单》</w:t>
      </w:r>
      <w:r>
        <w:rPr>
          <w:rFonts w:hint="eastAsia" w:ascii="仿宋_GB2312" w:hAnsi="宋体" w:eastAsia="仿宋_GB2312"/>
          <w:color w:val="000000"/>
          <w:sz w:val="28"/>
        </w:rPr>
        <w:t>中记载的数据为依据。若与国家有关测绘部门最终确认的数据有差异，本报告估价结果应做相应调整。若估价对象利用方式、价值时点、建筑面积等影响房地产价格的因素发生变化,该估价结果应作相应调整,甚至重估。</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5、本估价报告书应与估价对象的合法产权证一并使用方才有效，评估仅对正确使用本报告者负责。</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本报告对估价对象市场价格的把握，相对于价值时点状况以及估价对象的现状而言，并未考虑市场价格波动、税费率的变化、国家经济政策发生变化及其不可抗力等因素对估价对象价值的影响，使用者在运用本报告的结果时应充分考虑。</w:t>
      </w:r>
    </w:p>
    <w:p>
      <w:pPr>
        <w:spacing w:line="500" w:lineRule="exact"/>
        <w:ind w:firstLine="560" w:firstLineChars="200"/>
        <w:rPr>
          <w:rFonts w:hint="eastAsia" w:ascii="仿宋_GB2312" w:hAnsi="宋体" w:eastAsia="仿宋_GB2312"/>
          <w:sz w:val="28"/>
        </w:rPr>
      </w:pPr>
      <w:r>
        <w:rPr>
          <w:rFonts w:hint="eastAsia" w:ascii="仿宋_GB2312" w:hAnsi="宋体" w:eastAsia="仿宋_GB2312"/>
          <w:color w:val="000000"/>
          <w:sz w:val="28"/>
        </w:rPr>
        <w:t>7、因估价人员无法准确把握未来房地产市场变化风险和短期强制处分等因素对估价对象价值产生影响的大小</w:t>
      </w:r>
      <w:r>
        <w:rPr>
          <w:rFonts w:hint="eastAsia" w:ascii="宋体" w:hAnsi="宋体"/>
          <w:color w:val="000000"/>
          <w:sz w:val="28"/>
        </w:rPr>
        <w:t>，</w:t>
      </w:r>
      <w:r>
        <w:rPr>
          <w:rFonts w:hint="eastAsia" w:ascii="仿宋_GB2312" w:hAnsi="宋体" w:eastAsia="仿宋_GB2312"/>
          <w:color w:val="000000"/>
          <w:sz w:val="28"/>
        </w:rPr>
        <w:t>故提请报告使用人使用该估价报告时需全面考虑</w:t>
      </w:r>
      <w:r>
        <w:rPr>
          <w:rFonts w:hint="eastAsia" w:ascii="仿宋_GB2312" w:hAnsi="宋体" w:eastAsia="仿宋_GB2312"/>
          <w:sz w:val="28"/>
        </w:rPr>
        <w:t>。</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8、本估价报告若出现文字或数字因打印、校对及其他原因发生误差时，请估价委托人及时通知本估价机构更正，否则，误差部分无效。</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9、本报告的结果是估价对象在价值时点的公开市场价格，由于时间及房地产市场价格的变化，本报告使用有效期限为壹年,即：</w:t>
      </w:r>
      <w:r>
        <w:rPr>
          <w:rFonts w:hint="eastAsia" w:ascii="仿宋_GB2312" w:hAnsi="宋体" w:eastAsia="仿宋_GB2312"/>
          <w:sz w:val="28"/>
          <w:szCs w:val="28"/>
          <w:lang w:eastAsia="zh-CN"/>
        </w:rPr>
        <w:t>自 2022年7月19日至2023年7月18日止</w:t>
      </w:r>
      <w:r>
        <w:rPr>
          <w:rFonts w:hint="eastAsia" w:ascii="仿宋_GB2312" w:hAnsi="宋体" w:eastAsia="仿宋_GB2312"/>
          <w:color w:val="000000"/>
          <w:sz w:val="28"/>
        </w:rPr>
        <w:t>。若房地产市场价格变化较快时应对估价对象价值进行重新评估。</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color w:val="000000"/>
          <w:sz w:val="28"/>
        </w:rPr>
        <w:t xml:space="preserve">                                              </w:t>
      </w:r>
    </w:p>
    <w:p>
      <w:pPr>
        <w:spacing w:line="500" w:lineRule="exact"/>
        <w:ind w:firstLine="573"/>
        <w:rPr>
          <w:rFonts w:hint="eastAsia" w:ascii="仿宋_GB2312" w:hAnsi="仿宋_GB2312" w:eastAsia="仿宋_GB2312" w:cs="仿宋_GB2312"/>
          <w:b/>
          <w:bCs/>
          <w:color w:val="000000"/>
          <w:sz w:val="28"/>
          <w:szCs w:val="28"/>
        </w:rPr>
      </w:pPr>
      <w:bookmarkStart w:id="19" w:name="_Toc265761756"/>
      <w:bookmarkStart w:id="20" w:name="_Toc266117002"/>
      <w:r>
        <w:rPr>
          <w:rFonts w:hint="eastAsia" w:ascii="仿宋_GB2312" w:hAnsi="仿宋_GB2312" w:eastAsia="仿宋_GB2312" w:cs="仿宋_GB2312"/>
          <w:b/>
          <w:bCs/>
          <w:color w:val="000000"/>
          <w:sz w:val="28"/>
          <w:szCs w:val="28"/>
        </w:rPr>
        <w:t xml:space="preserve">10、评估结果不等于评估对象处置可实现的成交价，不应被认为是对评估对象处置成交价保证。                                                                                                                      </w:t>
      </w:r>
    </w:p>
    <w:p>
      <w:pPr>
        <w:spacing w:line="500" w:lineRule="exact"/>
        <w:ind w:firstLine="573"/>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11、当事人对本估价报告有异议的，自收到估价报告之日起5日内，向估价委托人提出书面复核申请，并由估价委托人向本估价机构提出书面申请进行复核。</w:t>
      </w:r>
    </w:p>
    <w:p>
      <w:pPr>
        <w:pStyle w:val="2"/>
        <w:spacing w:before="0" w:after="0" w:line="500" w:lineRule="exact"/>
        <w:jc w:val="center"/>
        <w:rPr>
          <w:rFonts w:hint="eastAsia" w:eastAsia="仿宋_GB2312"/>
        </w:rPr>
      </w:pPr>
      <w:bookmarkStart w:id="21" w:name="_Toc2590"/>
      <w:bookmarkStart w:id="22" w:name="_Toc4437"/>
      <w:bookmarkStart w:id="23" w:name="_Toc12884"/>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0" w:after="0" w:line="500" w:lineRule="exact"/>
        <w:jc w:val="center"/>
        <w:rPr>
          <w:rFonts w:hint="eastAsia" w:eastAsia="仿宋_GB2312"/>
        </w:rPr>
      </w:pPr>
      <w:bookmarkStart w:id="24" w:name="_Toc29901"/>
    </w:p>
    <w:p>
      <w:pPr>
        <w:pStyle w:val="2"/>
        <w:spacing w:before="0" w:after="0" w:line="500" w:lineRule="exact"/>
        <w:jc w:val="center"/>
        <w:rPr>
          <w:rFonts w:hint="eastAsia"/>
        </w:rPr>
      </w:pPr>
      <w:r>
        <w:rPr>
          <w:rFonts w:hint="eastAsia" w:eastAsia="仿宋_GB2312"/>
        </w:rPr>
        <w:t>房地产</w:t>
      </w:r>
      <w:r>
        <w:rPr>
          <w:rFonts w:eastAsia="仿宋_GB2312"/>
        </w:rPr>
        <w:t>估价结果报告</w:t>
      </w:r>
      <w:bookmarkEnd w:id="19"/>
      <w:bookmarkEnd w:id="20"/>
      <w:bookmarkEnd w:id="21"/>
      <w:bookmarkEnd w:id="22"/>
      <w:bookmarkEnd w:id="23"/>
      <w:bookmarkEnd w:id="24"/>
      <w:bookmarkStart w:id="25" w:name="_Toc265761757"/>
      <w:bookmarkStart w:id="26" w:name="_Toc265761758"/>
    </w:p>
    <w:p>
      <w:pPr>
        <w:pStyle w:val="3"/>
        <w:pageBreakBefore w:val="0"/>
        <w:widowControl w:val="0"/>
        <w:kinsoku/>
        <w:wordWrap/>
        <w:overflowPunct/>
        <w:topLinePunct w:val="0"/>
        <w:autoSpaceDE/>
        <w:autoSpaceDN/>
        <w:bidi w:val="0"/>
        <w:adjustRightInd/>
        <w:spacing w:before="0" w:after="0" w:line="500" w:lineRule="exact"/>
        <w:textAlignment w:val="auto"/>
        <w:rPr>
          <w:rFonts w:ascii="宋体" w:hAnsi="宋体" w:eastAsia="仿宋_GB2312"/>
          <w:sz w:val="28"/>
          <w:szCs w:val="28"/>
        </w:rPr>
      </w:pPr>
      <w:bookmarkStart w:id="27" w:name="_Toc27459"/>
      <w:bookmarkStart w:id="28" w:name="_Toc25122"/>
      <w:bookmarkStart w:id="29" w:name="_Toc2966"/>
      <w:r>
        <w:rPr>
          <w:rFonts w:hint="eastAsia" w:ascii="宋体" w:hAnsi="宋体" w:eastAsia="仿宋_GB2312"/>
          <w:sz w:val="28"/>
          <w:szCs w:val="28"/>
        </w:rPr>
        <w:t>一、</w:t>
      </w:r>
      <w:r>
        <w:rPr>
          <w:rFonts w:ascii="宋体" w:hAnsi="宋体" w:eastAsia="仿宋_GB2312"/>
          <w:sz w:val="28"/>
          <w:szCs w:val="28"/>
        </w:rPr>
        <w:t>估价委托人</w:t>
      </w:r>
      <w:bookmarkEnd w:id="25"/>
      <w:bookmarkEnd w:id="27"/>
      <w:bookmarkEnd w:id="28"/>
      <w:bookmarkEnd w:id="29"/>
    </w:p>
    <w:p>
      <w:pPr>
        <w:pageBreakBefore w:val="0"/>
        <w:widowControl w:val="0"/>
        <w:kinsoku/>
        <w:wordWrap/>
        <w:overflowPunct/>
        <w:topLinePunct w:val="0"/>
        <w:autoSpaceDE/>
        <w:autoSpaceDN/>
        <w:bidi w:val="0"/>
        <w:adjustRightInd/>
        <w:snapToGrid w:val="0"/>
        <w:spacing w:line="500" w:lineRule="exact"/>
        <w:ind w:firstLine="555"/>
        <w:textAlignment w:val="auto"/>
        <w:rPr>
          <w:rFonts w:hint="eastAsia" w:ascii="宋体" w:hAnsi="宋体" w:eastAsia="仿宋_GB2312"/>
          <w:sz w:val="28"/>
          <w:szCs w:val="28"/>
          <w:lang w:val="en-US" w:eastAsia="zh-CN"/>
        </w:rPr>
      </w:pPr>
      <w:r>
        <w:rPr>
          <w:rFonts w:ascii="宋体" w:hAnsi="宋体" w:eastAsia="仿宋_GB2312"/>
          <w:sz w:val="28"/>
          <w:szCs w:val="28"/>
        </w:rPr>
        <w:t>估价委托人：</w:t>
      </w:r>
      <w:r>
        <w:rPr>
          <w:rFonts w:hint="eastAsia" w:ascii="宋体" w:hAnsi="宋体" w:eastAsia="仿宋_GB2312"/>
          <w:sz w:val="28"/>
          <w:szCs w:val="28"/>
          <w:lang w:eastAsia="zh-CN"/>
        </w:rPr>
        <w:t>吴忠市利通区人民法院</w:t>
      </w:r>
      <w:r>
        <w:rPr>
          <w:rFonts w:hint="eastAsia" w:ascii="宋体" w:hAnsi="宋体" w:eastAsia="仿宋_GB2312"/>
          <w:sz w:val="28"/>
          <w:szCs w:val="28"/>
          <w:lang w:val="en-US" w:eastAsia="zh-CN"/>
        </w:rPr>
        <w:t xml:space="preserve">   </w:t>
      </w:r>
    </w:p>
    <w:p>
      <w:pPr>
        <w:pageBreakBefore w:val="0"/>
        <w:widowControl w:val="0"/>
        <w:kinsoku/>
        <w:wordWrap/>
        <w:overflowPunct/>
        <w:topLinePunct w:val="0"/>
        <w:autoSpaceDE/>
        <w:autoSpaceDN/>
        <w:bidi w:val="0"/>
        <w:adjustRightInd/>
        <w:snapToGrid w:val="0"/>
        <w:spacing w:line="500" w:lineRule="exact"/>
        <w:ind w:firstLine="555"/>
        <w:textAlignment w:val="auto"/>
        <w:rPr>
          <w:rFonts w:hint="eastAsia" w:ascii="宋体" w:hAnsi="宋体" w:eastAsia="仿宋_GB2312"/>
          <w:color w:val="auto"/>
          <w:sz w:val="28"/>
          <w:szCs w:val="28"/>
        </w:rPr>
      </w:pPr>
      <w:r>
        <w:rPr>
          <w:rFonts w:hint="eastAsia" w:ascii="宋体" w:eastAsia="仿宋_GB2312"/>
          <w:color w:val="auto"/>
          <w:sz w:val="28"/>
          <w:szCs w:val="28"/>
        </w:rPr>
        <w:t>主办法官：</w:t>
      </w:r>
      <w:r>
        <w:rPr>
          <w:rFonts w:hint="eastAsia" w:ascii="宋体" w:hAnsi="宋体" w:eastAsia="仿宋_GB2312"/>
          <w:color w:val="auto"/>
          <w:sz w:val="28"/>
          <w:szCs w:val="28"/>
          <w:lang w:eastAsia="zh-CN"/>
        </w:rPr>
        <w:t>王鑫</w:t>
      </w:r>
      <w:r>
        <w:rPr>
          <w:rFonts w:hint="eastAsia" w:ascii="宋体" w:hAnsi="宋体" w:eastAsia="仿宋_GB2312"/>
          <w:color w:val="auto"/>
          <w:sz w:val="28"/>
          <w:szCs w:val="28"/>
        </w:rPr>
        <w:t xml:space="preserve"> </w:t>
      </w:r>
    </w:p>
    <w:p>
      <w:pPr>
        <w:pageBreakBefore w:val="0"/>
        <w:widowControl w:val="0"/>
        <w:kinsoku/>
        <w:wordWrap/>
        <w:overflowPunct/>
        <w:topLinePunct w:val="0"/>
        <w:autoSpaceDE/>
        <w:autoSpaceDN/>
        <w:bidi w:val="0"/>
        <w:adjustRightInd/>
        <w:snapToGrid w:val="0"/>
        <w:spacing w:line="500" w:lineRule="exact"/>
        <w:ind w:firstLine="555"/>
        <w:textAlignment w:val="auto"/>
        <w:rPr>
          <w:rFonts w:hint="default" w:ascii="宋体" w:hAnsi="宋体" w:eastAsia="仿宋_GB2312"/>
          <w:color w:val="auto"/>
          <w:sz w:val="28"/>
          <w:szCs w:val="28"/>
          <w:lang w:val="en-US" w:eastAsia="zh-CN"/>
        </w:rPr>
      </w:pPr>
      <w:r>
        <w:rPr>
          <w:rFonts w:hint="eastAsia" w:ascii="宋体" w:hAnsi="宋体" w:eastAsia="仿宋_GB2312"/>
          <w:color w:val="auto"/>
          <w:sz w:val="28"/>
          <w:szCs w:val="28"/>
        </w:rPr>
        <w:t>电    话：</w:t>
      </w:r>
      <w:r>
        <w:rPr>
          <w:rFonts w:hint="eastAsia" w:ascii="宋体" w:hAnsi="宋体" w:eastAsia="仿宋_GB2312"/>
          <w:color w:val="auto"/>
          <w:sz w:val="28"/>
          <w:szCs w:val="28"/>
          <w:lang w:val="en-US" w:eastAsia="zh-CN"/>
        </w:rPr>
        <w:t>13007960575</w:t>
      </w:r>
    </w:p>
    <w:bookmarkEnd w:id="26"/>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eastAsia="仿宋_GB2312"/>
          <w:sz w:val="28"/>
          <w:szCs w:val="28"/>
        </w:rPr>
      </w:pPr>
      <w:bookmarkStart w:id="30" w:name="_Toc18539"/>
      <w:bookmarkStart w:id="31" w:name="_Toc23237"/>
      <w:bookmarkStart w:id="32" w:name="_Toc29994"/>
      <w:bookmarkStart w:id="33" w:name="_Toc265761759"/>
      <w:r>
        <w:rPr>
          <w:rFonts w:ascii="宋体" w:hAnsi="宋体" w:eastAsia="仿宋_GB2312"/>
          <w:sz w:val="28"/>
          <w:szCs w:val="28"/>
        </w:rPr>
        <w:t>二、估价</w:t>
      </w:r>
      <w:r>
        <w:rPr>
          <w:rFonts w:hint="eastAsia" w:ascii="宋体" w:hAnsi="宋体" w:eastAsia="仿宋_GB2312"/>
          <w:sz w:val="28"/>
          <w:szCs w:val="28"/>
        </w:rPr>
        <w:t>机构</w:t>
      </w:r>
      <w:bookmarkEnd w:id="30"/>
      <w:bookmarkEnd w:id="31"/>
      <w:bookmarkEnd w:id="32"/>
    </w:p>
    <w:p>
      <w:pPr>
        <w:pageBreakBefore w:val="0"/>
        <w:widowControl w:val="0"/>
        <w:kinsoku/>
        <w:wordWrap/>
        <w:overflowPunct/>
        <w:topLinePunct w:val="0"/>
        <w:autoSpaceDE/>
        <w:autoSpaceDN/>
        <w:bidi w:val="0"/>
        <w:adjustRightInd/>
        <w:snapToGrid w:val="0"/>
        <w:spacing w:line="500" w:lineRule="exact"/>
        <w:textAlignment w:val="auto"/>
        <w:rPr>
          <w:rFonts w:hint="eastAsia" w:ascii="宋体" w:eastAsia="仿宋_GB2312"/>
          <w:sz w:val="28"/>
          <w:szCs w:val="28"/>
        </w:rPr>
      </w:pPr>
      <w:r>
        <w:rPr>
          <w:rFonts w:ascii="宋体" w:hAnsi="宋体" w:eastAsia="仿宋_GB2312"/>
          <w:sz w:val="28"/>
          <w:szCs w:val="28"/>
        </w:rPr>
        <w:t xml:space="preserve">    </w:t>
      </w:r>
      <w:r>
        <w:rPr>
          <w:rFonts w:hint="eastAsia" w:ascii="宋体" w:eastAsia="仿宋_GB2312"/>
          <w:sz w:val="28"/>
          <w:szCs w:val="28"/>
        </w:rPr>
        <w:t>名    称：宁夏力天房地产土地资产评估咨询有限公司</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宋体" w:eastAsia="仿宋_GB2312"/>
          <w:sz w:val="28"/>
          <w:szCs w:val="28"/>
        </w:rPr>
      </w:pPr>
      <w:r>
        <w:rPr>
          <w:rFonts w:hint="eastAsia" w:ascii="宋体" w:eastAsia="仿宋_GB2312"/>
          <w:sz w:val="28"/>
          <w:szCs w:val="28"/>
        </w:rPr>
        <w:t xml:space="preserve">    法定代表人：尹建生</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宋体" w:eastAsia="仿宋_GB2312"/>
          <w:sz w:val="28"/>
          <w:szCs w:val="28"/>
        </w:rPr>
        <w:t xml:space="preserve">    住    所：银川市</w:t>
      </w:r>
      <w:r>
        <w:rPr>
          <w:rFonts w:hint="eastAsia" w:ascii="仿宋_GB2312" w:hAnsi="仿宋_GB2312" w:eastAsia="仿宋_GB2312" w:cs="仿宋_GB2312"/>
          <w:sz w:val="28"/>
          <w:szCs w:val="28"/>
        </w:rPr>
        <w:t>兴庆区中山南街70号－4层</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统一社会信用代码：91640100227789560B</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备案等级： 壹级</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证书编号：宁建房估证字[2016]第001号</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 xml:space="preserve">    有效期限：</w:t>
      </w:r>
      <w:r>
        <w:rPr>
          <w:rFonts w:hint="eastAsia" w:ascii="仿宋_GB2312" w:hAnsi="仿宋_GB2312" w:eastAsia="仿宋_GB2312" w:cs="仿宋_GB2312"/>
          <w:color w:val="auto"/>
          <w:sz w:val="28"/>
          <w:szCs w:val="28"/>
          <w:lang w:val="en-US" w:eastAsia="zh-CN"/>
        </w:rPr>
        <w:t>2022</w:t>
      </w:r>
      <w:r>
        <w:rPr>
          <w:rFonts w:hint="eastAsia" w:ascii="仿宋_GB2312" w:hAnsi="仿宋_GB2312" w:eastAsia="仿宋_GB2312" w:cs="仿宋_GB2312"/>
          <w:color w:val="auto"/>
          <w:sz w:val="28"/>
          <w:szCs w:val="28"/>
        </w:rPr>
        <w:t>年7月9日至2</w:t>
      </w:r>
      <w:r>
        <w:rPr>
          <w:rFonts w:hint="eastAsia" w:ascii="仿宋_GB2312" w:hAnsi="仿宋_GB2312" w:eastAsia="仿宋_GB2312" w:cs="仿宋_GB2312"/>
          <w:color w:val="auto"/>
          <w:sz w:val="28"/>
          <w:szCs w:val="28"/>
          <w:lang w:val="en-US" w:eastAsia="zh-CN"/>
        </w:rPr>
        <w:t>025</w:t>
      </w:r>
      <w:r>
        <w:rPr>
          <w:rFonts w:hint="eastAsia" w:ascii="仿宋_GB2312" w:hAnsi="仿宋_GB2312" w:eastAsia="仿宋_GB2312" w:cs="仿宋_GB2312"/>
          <w:color w:val="auto"/>
          <w:sz w:val="28"/>
          <w:szCs w:val="28"/>
        </w:rPr>
        <w:t>年7月8日</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lang w:val="en-US" w:eastAsia="zh-CN"/>
        </w:rPr>
        <w:t>15309583650（马彦宏）</w:t>
      </w:r>
      <w:r>
        <w:rPr>
          <w:rFonts w:hint="eastAsia" w:ascii="仿宋_GB2312" w:hAnsi="仿宋_GB2312" w:eastAsia="仿宋_GB2312" w:cs="仿宋_GB2312"/>
          <w:sz w:val="28"/>
          <w:szCs w:val="28"/>
        </w:rPr>
        <w:t xml:space="preserve"> </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邮    编： </w:t>
      </w:r>
      <w:r>
        <w:rPr>
          <w:rFonts w:hint="eastAsia" w:ascii="仿宋_GB2312" w:hAnsi="仿宋_GB2312" w:eastAsia="仿宋_GB2312" w:cs="仿宋_GB2312"/>
          <w:color w:val="000000"/>
          <w:sz w:val="28"/>
          <w:szCs w:val="28"/>
        </w:rPr>
        <w:t>750001</w:t>
      </w:r>
    </w:p>
    <w:p>
      <w:pPr>
        <w:pStyle w:val="3"/>
        <w:pageBreakBefore w:val="0"/>
        <w:widowControl w:val="0"/>
        <w:numPr>
          <w:ilvl w:val="0"/>
          <w:numId w:val="2"/>
        </w:numPr>
        <w:kinsoku/>
        <w:wordWrap/>
        <w:overflowPunct/>
        <w:topLinePunct w:val="0"/>
        <w:autoSpaceDE/>
        <w:autoSpaceDN/>
        <w:bidi w:val="0"/>
        <w:adjustRightInd/>
        <w:spacing w:before="0" w:after="0" w:line="500" w:lineRule="exact"/>
        <w:textAlignment w:val="auto"/>
        <w:rPr>
          <w:rFonts w:hint="eastAsia" w:ascii="宋体" w:hAnsi="宋体" w:eastAsia="仿宋_GB2312"/>
          <w:sz w:val="28"/>
          <w:szCs w:val="28"/>
        </w:rPr>
      </w:pPr>
      <w:bookmarkStart w:id="34" w:name="_Toc20815"/>
      <w:bookmarkStart w:id="35" w:name="_Toc20641"/>
      <w:bookmarkStart w:id="36" w:name="_Toc8041"/>
      <w:r>
        <w:rPr>
          <w:rFonts w:hint="eastAsia" w:ascii="宋体" w:hAnsi="宋体" w:eastAsia="仿宋_GB2312"/>
          <w:sz w:val="28"/>
          <w:szCs w:val="28"/>
        </w:rPr>
        <w:t>估价目的</w:t>
      </w:r>
      <w:bookmarkEnd w:id="34"/>
      <w:bookmarkEnd w:id="35"/>
      <w:bookmarkEnd w:id="36"/>
    </w:p>
    <w:p>
      <w:pPr>
        <w:pageBreakBefore w:val="0"/>
        <w:widowControl w:val="0"/>
        <w:kinsoku/>
        <w:wordWrap/>
        <w:overflowPunct/>
        <w:topLinePunct w:val="0"/>
        <w:autoSpaceDE/>
        <w:autoSpaceDN/>
        <w:bidi w:val="0"/>
        <w:adjustRightInd/>
        <w:spacing w:line="500" w:lineRule="exact"/>
        <w:textAlignment w:val="auto"/>
        <w:rPr>
          <w:rFonts w:hint="eastAsia"/>
        </w:rPr>
      </w:pPr>
      <w:r>
        <w:rPr>
          <w:rFonts w:hint="eastAsia" w:ascii="仿宋_GB2312" w:eastAsia="仿宋_GB2312"/>
          <w:sz w:val="28"/>
          <w:szCs w:val="28"/>
        </w:rPr>
        <w:t xml:space="preserve"> </w:t>
      </w:r>
      <w:r>
        <w:rPr>
          <w:rFonts w:hint="eastAsia" w:ascii="仿宋_GB2312" w:hAnsi="宋体" w:eastAsia="仿宋_GB2312"/>
          <w:sz w:val="28"/>
          <w:szCs w:val="28"/>
        </w:rPr>
        <w:t xml:space="preserve">   为人民法院确定财产处置参考价提供参考依据。</w:t>
      </w:r>
    </w:p>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eastAsia="仿宋_GB2312"/>
          <w:sz w:val="28"/>
          <w:szCs w:val="28"/>
        </w:rPr>
      </w:pPr>
      <w:bookmarkStart w:id="37" w:name="_Toc10159"/>
      <w:bookmarkStart w:id="38" w:name="_Toc13452"/>
      <w:bookmarkStart w:id="39" w:name="_Toc22166"/>
      <w:r>
        <w:rPr>
          <w:rFonts w:hint="eastAsia" w:ascii="宋体" w:hAnsi="宋体" w:eastAsia="仿宋_GB2312"/>
          <w:sz w:val="28"/>
          <w:szCs w:val="28"/>
        </w:rPr>
        <w:t>四、</w:t>
      </w:r>
      <w:r>
        <w:rPr>
          <w:rFonts w:ascii="宋体" w:hAnsi="宋体" w:eastAsia="仿宋_GB2312"/>
          <w:sz w:val="28"/>
          <w:szCs w:val="28"/>
        </w:rPr>
        <w:t>估价对象</w:t>
      </w:r>
      <w:bookmarkEnd w:id="33"/>
      <w:bookmarkEnd w:id="37"/>
      <w:bookmarkEnd w:id="38"/>
      <w:bookmarkEnd w:id="39"/>
      <w:bookmarkStart w:id="40" w:name="_Toc265761760"/>
      <w:bookmarkStart w:id="41" w:name="_Toc265761761"/>
    </w:p>
    <w:p>
      <w:pPr>
        <w:pageBreakBefore w:val="0"/>
        <w:widowControl w:val="0"/>
        <w:kinsoku/>
        <w:wordWrap/>
        <w:overflowPunct/>
        <w:topLinePunct w:val="0"/>
        <w:autoSpaceDE/>
        <w:autoSpaceDN/>
        <w:bidi w:val="0"/>
        <w:adjustRightInd/>
        <w:spacing w:line="500" w:lineRule="exact"/>
        <w:ind w:firstLine="420" w:firstLineChars="15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（一）估价对象财产范围</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sz w:val="28"/>
          <w:szCs w:val="28"/>
        </w:rPr>
      </w:pPr>
      <w:r>
        <w:rPr>
          <w:rFonts w:hint="eastAsia" w:ascii="仿宋_GB2312" w:hAnsi="仿宋_GB2312" w:eastAsia="仿宋_GB2312" w:cs="仿宋_GB2312"/>
          <w:sz w:val="28"/>
          <w:szCs w:val="28"/>
        </w:rPr>
        <w:t>估价对象财产范围包括建筑物（含二次装修价值）、分摊的土地使用权（含土地出让金）及公共配套设施，不包括动产、债权债务、特许经营权等其他财产或权益。</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宋体" w:eastAsia="仿宋_GB2312"/>
          <w:sz w:val="28"/>
          <w:szCs w:val="28"/>
        </w:rPr>
      </w:pPr>
      <w:r>
        <w:rPr>
          <w:rFonts w:hint="eastAsia" w:ascii="仿宋_GB2312" w:hAnsi="宋体" w:eastAsia="仿宋_GB2312"/>
          <w:sz w:val="28"/>
          <w:szCs w:val="28"/>
        </w:rPr>
        <w:t>（二）实物状况描述</w:t>
      </w:r>
    </w:p>
    <w:p>
      <w:pPr>
        <w:pageBreakBefore w:val="0"/>
        <w:widowControl w:val="0"/>
        <w:kinsoku/>
        <w:wordWrap/>
        <w:overflowPunct/>
        <w:topLinePunct w:val="0"/>
        <w:autoSpaceDE/>
        <w:autoSpaceDN/>
        <w:bidi w:val="0"/>
        <w:adjustRightInd/>
        <w:spacing w:line="500" w:lineRule="exact"/>
        <w:ind w:firstLine="573"/>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实物因素主要包括建筑规模、外观、建筑结构、设施设备、装饰装修、层高、空间布局、采光通风和维修保养状况等。根据估价委托人提供的</w:t>
      </w:r>
      <w:r>
        <w:rPr>
          <w:rFonts w:hint="eastAsia" w:ascii="仿宋_GB2312" w:hAnsi="宋体" w:eastAsia="仿宋_GB2312"/>
          <w:color w:val="000000"/>
          <w:sz w:val="28"/>
          <w:szCs w:val="28"/>
          <w:lang w:eastAsia="zh-CN"/>
        </w:rPr>
        <w:t>《利通区不动产登记信息查询单》</w:t>
      </w:r>
      <w:r>
        <w:rPr>
          <w:rFonts w:hint="eastAsia" w:ascii="仿宋_GB2312" w:hAnsi="宋体" w:eastAsia="仿宋_GB2312"/>
          <w:color w:val="000000"/>
          <w:sz w:val="28"/>
          <w:szCs w:val="28"/>
        </w:rPr>
        <w:t>中记载及估价人员实地查勘记录情况，估价对象房地产的实物状况如下：</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1.建筑物的实物状况</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估价对象房屋为钢筋混凝土结构，是一栋总层数为</w:t>
      </w:r>
      <w:r>
        <w:rPr>
          <w:rFonts w:hint="eastAsia" w:ascii="仿宋_GB2312" w:hAnsi="宋体" w:eastAsia="仿宋_GB2312"/>
          <w:color w:val="000000"/>
          <w:sz w:val="28"/>
          <w:szCs w:val="28"/>
          <w:lang w:val="en-US" w:eastAsia="zh-CN"/>
        </w:rPr>
        <w:t>5</w:t>
      </w:r>
      <w:r>
        <w:rPr>
          <w:rFonts w:hint="eastAsia" w:ascii="仿宋_GB2312" w:hAnsi="宋体" w:eastAsia="仿宋_GB2312"/>
          <w:color w:val="000000"/>
          <w:sz w:val="28"/>
          <w:szCs w:val="28"/>
        </w:rPr>
        <w:t>层的南北朝向</w:t>
      </w:r>
      <w:r>
        <w:rPr>
          <w:rFonts w:hint="eastAsia" w:ascii="仿宋_GB2312" w:hAnsi="宋体" w:eastAsia="仿宋_GB2312"/>
          <w:color w:val="000000"/>
          <w:sz w:val="28"/>
          <w:szCs w:val="28"/>
          <w:lang w:eastAsia="zh-CN"/>
        </w:rPr>
        <w:t>住宅楼</w:t>
      </w:r>
      <w:r>
        <w:rPr>
          <w:rFonts w:hint="eastAsia" w:ascii="仿宋_GB2312" w:hAnsi="宋体" w:eastAsia="仿宋_GB2312"/>
          <w:color w:val="000000"/>
          <w:sz w:val="28"/>
          <w:szCs w:val="28"/>
        </w:rPr>
        <w:t>。本次估价对象所在层为</w:t>
      </w:r>
      <w:r>
        <w:rPr>
          <w:rFonts w:hint="eastAsia" w:ascii="仿宋_GB2312" w:hAnsi="宋体" w:eastAsia="仿宋_GB2312"/>
          <w:color w:val="000000"/>
          <w:sz w:val="28"/>
          <w:szCs w:val="28"/>
          <w:lang w:val="en-US" w:eastAsia="zh-CN"/>
        </w:rPr>
        <w:t>4层</w:t>
      </w:r>
      <w:r>
        <w:rPr>
          <w:rFonts w:hint="eastAsia" w:ascii="仿宋_GB2312" w:hAnsi="宋体" w:eastAsia="仿宋_GB2312"/>
          <w:color w:val="000000"/>
          <w:sz w:val="28"/>
          <w:szCs w:val="28"/>
        </w:rPr>
        <w:t>，估价对象总建筑面积为</w:t>
      </w:r>
      <w:r>
        <w:rPr>
          <w:rFonts w:hint="eastAsia" w:ascii="仿宋_GB2312" w:hAnsi="宋体" w:eastAsia="仿宋_GB2312"/>
          <w:color w:val="000000"/>
          <w:sz w:val="28"/>
          <w:szCs w:val="28"/>
          <w:lang w:eastAsia="zh-CN"/>
        </w:rPr>
        <w:t>92.84</w:t>
      </w:r>
      <w:r>
        <w:rPr>
          <w:rFonts w:hint="eastAsia" w:ascii="仿宋_GB2312" w:hAnsi="宋体" w:eastAsia="仿宋_GB2312"/>
          <w:color w:val="000000"/>
          <w:sz w:val="28"/>
          <w:szCs w:val="28"/>
        </w:rPr>
        <w:t>平方米，室内层高约</w:t>
      </w:r>
      <w:r>
        <w:rPr>
          <w:rFonts w:hint="eastAsia" w:ascii="仿宋_GB2312" w:hAnsi="宋体" w:eastAsia="仿宋_GB2312"/>
          <w:color w:val="000000"/>
          <w:sz w:val="28"/>
          <w:szCs w:val="28"/>
          <w:lang w:val="en-US" w:eastAsia="zh-CN"/>
        </w:rPr>
        <w:t>2.8</w:t>
      </w:r>
      <w:r>
        <w:rPr>
          <w:rFonts w:hint="eastAsia" w:ascii="仿宋_GB2312" w:hAnsi="宋体" w:eastAsia="仿宋_GB2312"/>
          <w:color w:val="000000"/>
          <w:sz w:val="28"/>
          <w:szCs w:val="28"/>
        </w:rPr>
        <w:t>米；户型为</w:t>
      </w:r>
      <w:r>
        <w:rPr>
          <w:rFonts w:hint="eastAsia" w:ascii="仿宋_GB2312" w:hAnsi="宋体" w:eastAsia="仿宋_GB2312"/>
          <w:color w:val="000000"/>
          <w:sz w:val="28"/>
          <w:szCs w:val="28"/>
          <w:lang w:eastAsia="zh-CN"/>
        </w:rPr>
        <w:t>两室两厅一厨一卫</w:t>
      </w:r>
      <w:r>
        <w:rPr>
          <w:rFonts w:hint="eastAsia" w:ascii="仿宋_GB2312" w:hAnsi="宋体" w:eastAsia="仿宋_GB2312"/>
          <w:color w:val="000000"/>
          <w:sz w:val="28"/>
          <w:szCs w:val="28"/>
        </w:rPr>
        <w:t>；客厅地面铺地瓷砖，墙面贴壁布，石膏板造型吊顶，厨房地面铺地板砖，墙面贴面砖，</w:t>
      </w:r>
      <w:r>
        <w:rPr>
          <w:rFonts w:hint="eastAsia" w:ascii="仿宋_GB2312" w:hAnsi="宋体" w:eastAsia="仿宋_GB2312"/>
          <w:color w:val="000000"/>
          <w:sz w:val="28"/>
          <w:szCs w:val="28"/>
          <w:lang w:eastAsia="zh-CN"/>
        </w:rPr>
        <w:t>铝扣板</w:t>
      </w:r>
      <w:r>
        <w:rPr>
          <w:rFonts w:hint="eastAsia" w:ascii="仿宋_GB2312" w:hAnsi="宋体" w:eastAsia="仿宋_GB2312"/>
          <w:color w:val="000000"/>
          <w:sz w:val="28"/>
          <w:szCs w:val="28"/>
        </w:rPr>
        <w:t>吊顶，玻璃推拉门，塑钢窗；卫生间地面铺地砖，墙面贴面砖，</w:t>
      </w:r>
      <w:r>
        <w:rPr>
          <w:rFonts w:hint="eastAsia" w:ascii="仿宋_GB2312" w:hAnsi="宋体" w:eastAsia="仿宋_GB2312"/>
          <w:color w:val="000000"/>
          <w:sz w:val="28"/>
          <w:szCs w:val="28"/>
          <w:lang w:eastAsia="zh-CN"/>
        </w:rPr>
        <w:t>铝扣板</w:t>
      </w:r>
      <w:r>
        <w:rPr>
          <w:rFonts w:hint="eastAsia" w:ascii="仿宋_GB2312" w:hAnsi="宋体" w:eastAsia="仿宋_GB2312"/>
          <w:color w:val="000000"/>
          <w:sz w:val="28"/>
          <w:szCs w:val="28"/>
        </w:rPr>
        <w:t>吊顶</w:t>
      </w:r>
      <w:r>
        <w:rPr>
          <w:rFonts w:hint="eastAsia" w:ascii="仿宋_GB2312" w:hAnsi="宋体" w:eastAsia="仿宋_GB2312"/>
          <w:color w:val="000000"/>
          <w:sz w:val="28"/>
          <w:szCs w:val="28"/>
          <w:lang w:eastAsia="zh-CN"/>
        </w:rPr>
        <w:t>；卧室</w:t>
      </w:r>
      <w:r>
        <w:rPr>
          <w:rFonts w:hint="eastAsia" w:ascii="仿宋_GB2312" w:hAnsi="宋体" w:eastAsia="仿宋_GB2312"/>
          <w:color w:val="000000"/>
          <w:sz w:val="28"/>
          <w:szCs w:val="28"/>
        </w:rPr>
        <w:t>地面铺地瓷砖</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墙面贴壁布，石膏板造型吊顶。入户门安装防盗门，</w:t>
      </w:r>
      <w:r>
        <w:rPr>
          <w:rFonts w:hint="eastAsia" w:ascii="仿宋_GB2312" w:hAnsi="宋体" w:eastAsia="仿宋_GB2312"/>
          <w:color w:val="000000"/>
          <w:spacing w:val="-2"/>
          <w:sz w:val="28"/>
          <w:szCs w:val="28"/>
        </w:rPr>
        <w:t>楼外墙面贴条形砖。</w:t>
      </w:r>
      <w:r>
        <w:rPr>
          <w:rFonts w:hint="eastAsia" w:ascii="仿宋_GB2312" w:hAnsi="宋体" w:eastAsia="仿宋_GB2312"/>
          <w:color w:val="000000"/>
          <w:sz w:val="28"/>
          <w:szCs w:val="28"/>
        </w:rPr>
        <w:t>室内空间布局较好，采光较好。估价对象配套设施较完善，</w:t>
      </w:r>
      <w:r>
        <w:rPr>
          <w:rFonts w:hint="eastAsia" w:ascii="仿宋_GB2312" w:hAnsi="宋体" w:eastAsia="仿宋_GB2312"/>
          <w:color w:val="000000"/>
          <w:spacing w:val="-2"/>
          <w:sz w:val="28"/>
          <w:szCs w:val="28"/>
        </w:rPr>
        <w:t>室内水、电、暖、通讯、设施齐全。房屋维护状况较好，</w:t>
      </w:r>
      <w:r>
        <w:rPr>
          <w:rFonts w:hint="eastAsia" w:ascii="仿宋_GB2312" w:hAnsi="宋体" w:eastAsia="仿宋_GB2312"/>
          <w:color w:val="000000"/>
          <w:sz w:val="28"/>
          <w:szCs w:val="28"/>
        </w:rPr>
        <w:t>能够满足使用要求。</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2.土地实物状况</w:t>
      </w:r>
    </w:p>
    <w:p>
      <w:pPr>
        <w:pageBreakBefore w:val="0"/>
        <w:widowControl w:val="0"/>
        <w:kinsoku/>
        <w:wordWrap/>
        <w:overflowPunct/>
        <w:topLinePunct w:val="0"/>
        <w:autoSpaceDE/>
        <w:autoSpaceDN/>
        <w:bidi w:val="0"/>
        <w:adjustRightInd/>
        <w:spacing w:line="500" w:lineRule="exact"/>
        <w:textAlignment w:val="auto"/>
        <w:rPr>
          <w:rFonts w:hint="eastAsia" w:ascii="仿宋_GB2312" w:hAnsi="宋体" w:eastAsia="仿宋_GB2312"/>
          <w:color w:val="000000"/>
          <w:spacing w:val="2"/>
          <w:sz w:val="28"/>
          <w:szCs w:val="28"/>
        </w:rPr>
      </w:pPr>
      <w:r>
        <w:rPr>
          <w:rFonts w:hint="eastAsia" w:ascii="仿宋_GB2312" w:hAnsi="宋体" w:eastAsia="仿宋_GB2312"/>
          <w:color w:val="000000"/>
          <w:spacing w:val="2"/>
          <w:sz w:val="28"/>
          <w:szCs w:val="28"/>
        </w:rPr>
        <w:t xml:space="preserve">    </w:t>
      </w:r>
      <w:r>
        <w:rPr>
          <w:rFonts w:hint="eastAsia" w:ascii="仿宋_GB2312" w:hAnsi="宋体" w:eastAsia="仿宋_GB2312"/>
          <w:spacing w:val="2"/>
          <w:sz w:val="28"/>
          <w:szCs w:val="28"/>
        </w:rPr>
        <w:t>根据</w:t>
      </w:r>
      <w:r>
        <w:rPr>
          <w:rFonts w:hint="eastAsia" w:ascii="仿宋_GB2312" w:hAnsi="宋体" w:eastAsia="仿宋_GB2312"/>
          <w:color w:val="000000"/>
          <w:sz w:val="28"/>
          <w:szCs w:val="28"/>
          <w:lang w:eastAsia="zh-CN"/>
        </w:rPr>
        <w:t>《利通区不动产登记信息查询单》</w:t>
      </w:r>
      <w:r>
        <w:rPr>
          <w:rFonts w:hint="eastAsia" w:ascii="仿宋_GB2312" w:hAnsi="宋体" w:eastAsia="仿宋_GB2312"/>
          <w:spacing w:val="-2"/>
          <w:sz w:val="28"/>
          <w:szCs w:val="28"/>
        </w:rPr>
        <w:t>记</w:t>
      </w:r>
      <w:r>
        <w:rPr>
          <w:rFonts w:hint="eastAsia" w:ascii="仿宋_GB2312" w:hAnsi="宋体" w:eastAsia="仿宋_GB2312"/>
          <w:spacing w:val="-4"/>
          <w:sz w:val="28"/>
          <w:szCs w:val="28"/>
        </w:rPr>
        <w:t>载：土地使用权人为</w:t>
      </w:r>
      <w:r>
        <w:rPr>
          <w:rFonts w:hint="eastAsia" w:ascii="仿宋_GB2312" w:hAnsi="宋体" w:eastAsia="仿宋_GB2312"/>
          <w:spacing w:val="-4"/>
          <w:sz w:val="28"/>
          <w:szCs w:val="28"/>
          <w:lang w:eastAsia="zh-CN"/>
        </w:rPr>
        <w:t>马涛</w:t>
      </w:r>
      <w:r>
        <w:rPr>
          <w:rFonts w:hint="eastAsia" w:ascii="仿宋_GB2312" w:hAnsi="宋体" w:eastAsia="仿宋_GB2312"/>
          <w:spacing w:val="-4"/>
          <w:sz w:val="28"/>
          <w:szCs w:val="28"/>
        </w:rPr>
        <w:t>；座落于</w:t>
      </w:r>
      <w:r>
        <w:rPr>
          <w:rFonts w:hint="eastAsia" w:ascii="仿宋_GB2312" w:hAnsi="宋体" w:eastAsia="仿宋_GB2312"/>
          <w:sz w:val="28"/>
          <w:szCs w:val="28"/>
          <w:lang w:eastAsia="zh-CN"/>
        </w:rPr>
        <w:t>吴忠市利通区明珠路北侧经一街西侧星河嘉城二十一号楼3401号</w:t>
      </w:r>
      <w:r>
        <w:rPr>
          <w:rFonts w:hint="eastAsia" w:ascii="仿宋_GB2312" w:eastAsia="仿宋_GB2312"/>
          <w:spacing w:val="5"/>
          <w:sz w:val="28"/>
          <w:szCs w:val="28"/>
        </w:rPr>
        <w:t>，</w:t>
      </w:r>
      <w:r>
        <w:rPr>
          <w:rFonts w:hint="eastAsia" w:ascii="仿宋_GB2312" w:hAnsi="仿宋_GB2312" w:eastAsia="仿宋_GB2312" w:cs="仿宋_GB2312"/>
          <w:sz w:val="28"/>
          <w:szCs w:val="28"/>
        </w:rPr>
        <w:t>其四至为：</w:t>
      </w:r>
      <w:r>
        <w:rPr>
          <w:rFonts w:hint="eastAsia" w:ascii="仿宋_GB2312" w:hAnsi="仿宋_GB2312" w:eastAsia="仿宋_GB2312" w:cs="仿宋_GB2312"/>
          <w:sz w:val="28"/>
          <w:szCs w:val="28"/>
          <w:lang w:eastAsia="zh-CN"/>
        </w:rPr>
        <w:t>东至清宁街，南至明珠西路，西至清净街，北至双都路</w:t>
      </w:r>
      <w:r>
        <w:rPr>
          <w:rFonts w:hint="eastAsia" w:ascii="仿宋_GB2312" w:eastAsia="仿宋_GB2312"/>
          <w:color w:val="000000"/>
          <w:spacing w:val="5"/>
          <w:sz w:val="28"/>
          <w:szCs w:val="28"/>
        </w:rPr>
        <w:t>。</w:t>
      </w:r>
      <w:r>
        <w:rPr>
          <w:rFonts w:hint="eastAsia" w:ascii="仿宋_GB2312" w:hAnsi="宋体" w:eastAsia="仿宋_GB2312"/>
          <w:color w:val="000000"/>
          <w:spacing w:val="-6"/>
          <w:sz w:val="28"/>
          <w:szCs w:val="28"/>
        </w:rPr>
        <w:t>宗地形状呈</w:t>
      </w:r>
      <w:r>
        <w:rPr>
          <w:rFonts w:hint="eastAsia" w:ascii="仿宋_GB2312" w:hAnsi="宋体" w:eastAsia="仿宋_GB2312"/>
          <w:color w:val="000000"/>
          <w:spacing w:val="-4"/>
          <w:sz w:val="28"/>
          <w:szCs w:val="28"/>
        </w:rPr>
        <w:t>较规则</w:t>
      </w:r>
      <w:r>
        <w:rPr>
          <w:rFonts w:hint="eastAsia" w:ascii="仿宋_GB2312" w:hAnsi="宋体" w:eastAsia="仿宋_GB2312"/>
          <w:color w:val="000000"/>
          <w:spacing w:val="-6"/>
          <w:sz w:val="28"/>
          <w:szCs w:val="28"/>
        </w:rPr>
        <w:t>，地势</w:t>
      </w:r>
      <w:r>
        <w:rPr>
          <w:rFonts w:hint="eastAsia" w:ascii="仿宋_GB2312" w:hAnsi="宋体" w:eastAsia="仿宋_GB2312"/>
          <w:color w:val="000000"/>
          <w:spacing w:val="-4"/>
          <w:sz w:val="28"/>
          <w:szCs w:val="28"/>
        </w:rPr>
        <w:t>较平整</w:t>
      </w:r>
      <w:r>
        <w:rPr>
          <w:rFonts w:hint="eastAsia" w:ascii="仿宋_GB2312" w:hAnsi="宋体" w:eastAsia="仿宋_GB2312"/>
          <w:color w:val="000000"/>
          <w:spacing w:val="-6"/>
          <w:sz w:val="28"/>
          <w:szCs w:val="28"/>
        </w:rPr>
        <w:t>，工程地质条件</w:t>
      </w:r>
      <w:r>
        <w:rPr>
          <w:rFonts w:hint="eastAsia" w:ascii="仿宋_GB2312" w:hAnsi="宋体" w:eastAsia="仿宋_GB2312"/>
          <w:color w:val="000000"/>
          <w:spacing w:val="-4"/>
          <w:sz w:val="28"/>
          <w:szCs w:val="28"/>
        </w:rPr>
        <w:t>较好</w:t>
      </w:r>
      <w:r>
        <w:rPr>
          <w:rFonts w:hint="eastAsia" w:ascii="仿宋_GB2312" w:hAnsi="宋体" w:eastAsia="仿宋_GB2312"/>
          <w:color w:val="000000"/>
          <w:spacing w:val="-6"/>
          <w:sz w:val="28"/>
          <w:szCs w:val="28"/>
        </w:rPr>
        <w:t>，在利用上无地质、水文等不良自然条件限制及自然灾害威胁，目前达到宗地内“</w:t>
      </w:r>
      <w:r>
        <w:rPr>
          <w:rFonts w:hint="eastAsia" w:ascii="仿宋_GB2312" w:hAnsi="宋体" w:eastAsia="仿宋_GB2312"/>
          <w:color w:val="000000"/>
          <w:spacing w:val="-4"/>
          <w:sz w:val="28"/>
          <w:szCs w:val="28"/>
        </w:rPr>
        <w:t>七通一平</w:t>
      </w:r>
      <w:r>
        <w:rPr>
          <w:rFonts w:hint="eastAsia" w:ascii="仿宋_GB2312" w:hAnsi="宋体" w:eastAsia="仿宋_GB2312"/>
          <w:color w:val="000000"/>
          <w:spacing w:val="-6"/>
          <w:sz w:val="28"/>
          <w:szCs w:val="28"/>
        </w:rPr>
        <w:t>”（</w:t>
      </w:r>
      <w:r>
        <w:rPr>
          <w:rFonts w:hint="eastAsia" w:ascii="仿宋_GB2312" w:hAnsi="宋体" w:eastAsia="仿宋_GB2312"/>
          <w:color w:val="000000"/>
          <w:spacing w:val="-4"/>
          <w:sz w:val="28"/>
          <w:szCs w:val="28"/>
        </w:rPr>
        <w:t>通上水，通下水，通暖，通电，通讯，通路，通天然气，场地平整</w:t>
      </w:r>
      <w:r>
        <w:rPr>
          <w:rFonts w:hint="eastAsia" w:ascii="仿宋_GB2312" w:hAnsi="宋体" w:eastAsia="仿宋_GB2312"/>
          <w:color w:val="000000"/>
          <w:spacing w:val="-6"/>
          <w:sz w:val="28"/>
          <w:szCs w:val="28"/>
        </w:rPr>
        <w:t>）的开发程度</w:t>
      </w:r>
      <w:r>
        <w:rPr>
          <w:rFonts w:hint="eastAsia" w:ascii="仿宋_GB2312" w:hAnsi="宋体" w:eastAsia="仿宋_GB2312"/>
          <w:color w:val="000000"/>
          <w:sz w:val="28"/>
          <w:szCs w:val="28"/>
        </w:rPr>
        <w:t>。</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3.小区环境及物业管理状况</w:t>
      </w:r>
    </w:p>
    <w:p>
      <w:pPr>
        <w:pageBreakBefore w:val="0"/>
        <w:widowControl w:val="0"/>
        <w:kinsoku/>
        <w:wordWrap/>
        <w:overflowPunct/>
        <w:topLinePunct w:val="0"/>
        <w:autoSpaceDE/>
        <w:autoSpaceDN/>
        <w:bidi w:val="0"/>
        <w:adjustRightInd/>
        <w:spacing w:line="500" w:lineRule="exact"/>
        <w:ind w:firstLine="552"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pacing w:val="-2"/>
          <w:sz w:val="28"/>
          <w:szCs w:val="28"/>
        </w:rPr>
        <w:t>该住宅小区住宅规模较大</w:t>
      </w:r>
      <w:r>
        <w:rPr>
          <w:rFonts w:hint="eastAsia" w:ascii="仿宋_GB2312" w:hAnsi="宋体" w:eastAsia="仿宋_GB2312"/>
          <w:color w:val="000000"/>
          <w:sz w:val="28"/>
          <w:szCs w:val="28"/>
        </w:rPr>
        <w:t>，配套设施较完善，有</w:t>
      </w:r>
      <w:r>
        <w:rPr>
          <w:rFonts w:hint="eastAsia" w:ascii="仿宋_GB2312" w:hAnsi="宋体" w:eastAsia="仿宋_GB2312"/>
          <w:color w:val="000000"/>
          <w:sz w:val="28"/>
          <w:szCs w:val="28"/>
          <w:lang w:eastAsia="zh-CN"/>
        </w:rPr>
        <w:t>休闲</w:t>
      </w:r>
      <w:r>
        <w:rPr>
          <w:rFonts w:hint="eastAsia" w:ascii="仿宋_GB2312" w:hAnsi="宋体" w:eastAsia="仿宋_GB2312"/>
          <w:color w:val="000000"/>
          <w:sz w:val="28"/>
          <w:szCs w:val="28"/>
        </w:rPr>
        <w:t>长廊、地下停车场、治安室等，绿化率较优，环境较优。</w:t>
      </w:r>
    </w:p>
    <w:p>
      <w:pPr>
        <w:pageBreakBefore w:val="0"/>
        <w:widowControl w:val="0"/>
        <w:kinsoku/>
        <w:wordWrap/>
        <w:overflowPunct/>
        <w:topLinePunct w:val="0"/>
        <w:autoSpaceDE/>
        <w:autoSpaceDN/>
        <w:bidi w:val="0"/>
        <w:adjustRightInd/>
        <w:spacing w:line="500" w:lineRule="exact"/>
        <w:ind w:left="426"/>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（二）权益状况描述</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黑体" w:eastAsia="仿宋_GB2312"/>
          <w:color w:val="000000"/>
          <w:spacing w:val="-6"/>
          <w:sz w:val="28"/>
          <w:szCs w:val="28"/>
        </w:rPr>
      </w:pPr>
      <w:r>
        <w:rPr>
          <w:rFonts w:hint="eastAsia" w:ascii="仿宋_GB2312" w:hAnsi="宋体" w:eastAsia="仿宋_GB2312"/>
          <w:color w:val="000000"/>
          <w:sz w:val="28"/>
          <w:szCs w:val="28"/>
        </w:rPr>
        <w:t>1.</w:t>
      </w:r>
      <w:r>
        <w:rPr>
          <w:rFonts w:hint="eastAsia" w:ascii="仿宋_GB2312" w:hAnsi="黑体" w:eastAsia="仿宋_GB2312"/>
          <w:color w:val="000000"/>
          <w:spacing w:val="-6"/>
          <w:sz w:val="28"/>
          <w:szCs w:val="28"/>
        </w:rPr>
        <w:t>宗地权益状况</w:t>
      </w:r>
    </w:p>
    <w:p>
      <w:pPr>
        <w:pageBreakBefore w:val="0"/>
        <w:widowControl w:val="0"/>
        <w:kinsoku/>
        <w:wordWrap/>
        <w:overflowPunct/>
        <w:topLinePunct w:val="0"/>
        <w:autoSpaceDE/>
        <w:autoSpaceDN/>
        <w:bidi w:val="0"/>
        <w:adjustRightInd/>
        <w:spacing w:line="500" w:lineRule="exact"/>
        <w:ind w:firstLine="544" w:firstLineChars="200"/>
        <w:textAlignment w:val="auto"/>
        <w:rPr>
          <w:rFonts w:hint="eastAsia" w:ascii="仿宋_GB2312" w:hAnsi="宋体" w:eastAsia="仿宋_GB2312"/>
          <w:color w:val="000000"/>
          <w:sz w:val="28"/>
          <w:szCs w:val="28"/>
        </w:rPr>
      </w:pPr>
      <w:r>
        <w:rPr>
          <w:rFonts w:hint="eastAsia" w:ascii="仿宋_GB2312" w:hAnsi="宋体" w:eastAsia="仿宋_GB2312"/>
          <w:spacing w:val="-4"/>
          <w:sz w:val="28"/>
          <w:szCs w:val="28"/>
        </w:rPr>
        <w:t>根据估价委托人提供的</w:t>
      </w:r>
      <w:r>
        <w:rPr>
          <w:rFonts w:hint="eastAsia" w:ascii="仿宋_GB2312" w:hAnsi="宋体" w:eastAsia="仿宋_GB2312"/>
          <w:spacing w:val="-4"/>
          <w:sz w:val="28"/>
          <w:szCs w:val="28"/>
          <w:lang w:eastAsia="zh-CN"/>
        </w:rPr>
        <w:t>《利通区不动产登记信息查询单》</w:t>
      </w:r>
      <w:r>
        <w:rPr>
          <w:rFonts w:hint="eastAsia" w:ascii="仿宋_GB2312" w:hAnsi="宋体" w:eastAsia="仿宋_GB2312"/>
          <w:spacing w:val="-4"/>
          <w:sz w:val="28"/>
          <w:szCs w:val="28"/>
        </w:rPr>
        <w:t>记载：</w:t>
      </w:r>
      <w:r>
        <w:rPr>
          <w:rFonts w:hint="eastAsia" w:ascii="仿宋_GB2312" w:hAnsi="宋体" w:eastAsia="仿宋_GB2312"/>
          <w:spacing w:val="2"/>
          <w:sz w:val="28"/>
          <w:szCs w:val="28"/>
        </w:rPr>
        <w:t>土地使用权人为</w:t>
      </w:r>
      <w:r>
        <w:rPr>
          <w:rFonts w:hint="eastAsia" w:ascii="仿宋_GB2312" w:hAnsi="宋体" w:eastAsia="仿宋_GB2312"/>
          <w:spacing w:val="-4"/>
          <w:sz w:val="28"/>
          <w:szCs w:val="28"/>
          <w:lang w:eastAsia="zh-CN"/>
        </w:rPr>
        <w:t>马涛</w:t>
      </w:r>
      <w:r>
        <w:rPr>
          <w:rFonts w:hint="eastAsia" w:ascii="仿宋_GB2312" w:hAnsi="宋体" w:eastAsia="仿宋_GB2312"/>
          <w:spacing w:val="2"/>
          <w:sz w:val="28"/>
          <w:szCs w:val="28"/>
        </w:rPr>
        <w:t>，</w:t>
      </w:r>
      <w:r>
        <w:rPr>
          <w:rFonts w:hint="eastAsia" w:ascii="仿宋_GB2312" w:hAnsi="宋体" w:eastAsia="仿宋_GB2312"/>
          <w:spacing w:val="-4"/>
          <w:sz w:val="28"/>
          <w:szCs w:val="28"/>
        </w:rPr>
        <w:t>座落于</w:t>
      </w:r>
      <w:r>
        <w:rPr>
          <w:rFonts w:hint="eastAsia" w:ascii="仿宋_GB2312" w:hAnsi="宋体" w:eastAsia="仿宋_GB2312"/>
          <w:sz w:val="28"/>
          <w:szCs w:val="28"/>
          <w:lang w:eastAsia="zh-CN"/>
        </w:rPr>
        <w:t>吴忠市利通区明珠路北侧经一街西侧星河嘉城二十一号楼3401号</w:t>
      </w:r>
      <w:r>
        <w:rPr>
          <w:rFonts w:hint="eastAsia" w:ascii="仿宋_GB2312" w:hAnsi="宋体" w:eastAsia="仿宋_GB2312"/>
          <w:spacing w:val="2"/>
          <w:sz w:val="28"/>
          <w:szCs w:val="28"/>
        </w:rPr>
        <w:t>，</w:t>
      </w:r>
      <w:r>
        <w:rPr>
          <w:rFonts w:hint="eastAsia" w:ascii="仿宋_GB2312" w:hAnsi="宋体" w:eastAsia="仿宋_GB2312"/>
          <w:spacing w:val="2"/>
          <w:sz w:val="28"/>
          <w:szCs w:val="28"/>
          <w:lang w:eastAsia="zh-CN"/>
        </w:rPr>
        <w:t>使用权类型为国有建设用地使用权；</w:t>
      </w:r>
      <w:r>
        <w:rPr>
          <w:rFonts w:hint="eastAsia" w:ascii="仿宋_GB2312" w:hAnsi="宋体" w:eastAsia="仿宋_GB2312"/>
          <w:spacing w:val="2"/>
          <w:sz w:val="28"/>
          <w:szCs w:val="28"/>
        </w:rPr>
        <w:t>地类（用途）为</w:t>
      </w:r>
      <w:r>
        <w:rPr>
          <w:rFonts w:hint="eastAsia" w:ascii="仿宋_GB2312" w:hAnsi="宋体" w:eastAsia="仿宋_GB2312"/>
          <w:sz w:val="28"/>
          <w:szCs w:val="28"/>
        </w:rPr>
        <w:t>住宅</w:t>
      </w:r>
      <w:r>
        <w:rPr>
          <w:rFonts w:hint="eastAsia" w:ascii="仿宋_GB2312" w:hAnsi="宋体" w:eastAsia="仿宋_GB2312"/>
          <w:sz w:val="28"/>
          <w:szCs w:val="28"/>
          <w:lang w:eastAsia="zh-CN"/>
        </w:rPr>
        <w:t>用地</w:t>
      </w:r>
      <w:r>
        <w:rPr>
          <w:rFonts w:hint="eastAsia" w:ascii="仿宋_GB2312" w:hAnsi="宋体" w:eastAsia="仿宋_GB2312"/>
          <w:spacing w:val="2"/>
          <w:sz w:val="28"/>
          <w:szCs w:val="28"/>
        </w:rPr>
        <w:t>；</w:t>
      </w:r>
      <w:r>
        <w:rPr>
          <w:rFonts w:hint="eastAsia" w:ascii="仿宋_GB2312" w:hAnsi="宋体" w:eastAsia="仿宋_GB2312"/>
          <w:spacing w:val="2"/>
          <w:sz w:val="28"/>
          <w:szCs w:val="28"/>
          <w:lang w:eastAsia="zh-CN"/>
        </w:rPr>
        <w:t>土地性质</w:t>
      </w:r>
      <w:r>
        <w:rPr>
          <w:rFonts w:hint="eastAsia" w:ascii="仿宋_GB2312" w:hAnsi="宋体" w:eastAsia="仿宋_GB2312"/>
          <w:spacing w:val="2"/>
          <w:sz w:val="28"/>
          <w:szCs w:val="28"/>
        </w:rPr>
        <w:t>为</w:t>
      </w:r>
      <w:r>
        <w:rPr>
          <w:rFonts w:hint="eastAsia" w:ascii="仿宋_GB2312" w:hAnsi="宋体" w:eastAsia="仿宋_GB2312"/>
          <w:sz w:val="28"/>
          <w:szCs w:val="28"/>
        </w:rPr>
        <w:t>出让</w:t>
      </w:r>
      <w:r>
        <w:rPr>
          <w:rFonts w:hint="eastAsia" w:ascii="仿宋_GB2312" w:hAnsi="宋体" w:eastAsia="仿宋_GB2312"/>
          <w:spacing w:val="2"/>
          <w:sz w:val="28"/>
          <w:szCs w:val="28"/>
        </w:rPr>
        <w:t>；终止日期为</w:t>
      </w:r>
      <w:r>
        <w:rPr>
          <w:rFonts w:hint="eastAsia" w:ascii="仿宋_GB2312" w:hAnsi="宋体" w:eastAsia="仿宋_GB2312"/>
          <w:sz w:val="28"/>
          <w:szCs w:val="28"/>
          <w:lang w:val="en-US" w:eastAsia="zh-CN"/>
        </w:rPr>
        <w:t>2079</w:t>
      </w:r>
      <w:r>
        <w:rPr>
          <w:rFonts w:hint="eastAsia" w:ascii="仿宋_GB2312" w:hAnsi="宋体" w:eastAsia="仿宋_GB2312"/>
          <w:sz w:val="28"/>
          <w:szCs w:val="28"/>
        </w:rPr>
        <w:t>年0</w:t>
      </w:r>
      <w:r>
        <w:rPr>
          <w:rFonts w:hint="eastAsia" w:ascii="仿宋_GB2312" w:hAnsi="宋体" w:eastAsia="仿宋_GB2312"/>
          <w:sz w:val="28"/>
          <w:szCs w:val="28"/>
          <w:lang w:val="en-US" w:eastAsia="zh-CN"/>
        </w:rPr>
        <w:t>7</w:t>
      </w:r>
      <w:r>
        <w:rPr>
          <w:rFonts w:hint="eastAsia" w:ascii="仿宋_GB2312" w:hAnsi="宋体" w:eastAsia="仿宋_GB2312"/>
          <w:sz w:val="28"/>
          <w:szCs w:val="28"/>
        </w:rPr>
        <w:t>月</w:t>
      </w:r>
      <w:r>
        <w:rPr>
          <w:rFonts w:hint="eastAsia" w:ascii="仿宋_GB2312" w:hAnsi="宋体" w:eastAsia="仿宋_GB2312"/>
          <w:sz w:val="28"/>
          <w:szCs w:val="28"/>
          <w:lang w:val="en-US" w:eastAsia="zh-CN"/>
        </w:rPr>
        <w:t>29</w:t>
      </w:r>
      <w:r>
        <w:rPr>
          <w:rFonts w:hint="eastAsia" w:ascii="仿宋_GB2312" w:hAnsi="宋体" w:eastAsia="仿宋_GB2312"/>
          <w:sz w:val="28"/>
          <w:szCs w:val="28"/>
        </w:rPr>
        <w:t>日</w:t>
      </w:r>
      <w:r>
        <w:rPr>
          <w:rFonts w:hint="eastAsia" w:ascii="仿宋_GB2312" w:hAnsi="仿宋_GB2312" w:eastAsia="仿宋_GB2312" w:cs="仿宋_GB2312"/>
          <w:spacing w:val="2"/>
          <w:sz w:val="28"/>
          <w:szCs w:val="28"/>
        </w:rPr>
        <w:t>，</w:t>
      </w:r>
      <w:r>
        <w:rPr>
          <w:rFonts w:hint="eastAsia" w:ascii="仿宋_GB2312" w:hAnsi="宋体" w:eastAsia="仿宋_GB2312"/>
          <w:spacing w:val="-4"/>
          <w:sz w:val="28"/>
          <w:szCs w:val="28"/>
        </w:rPr>
        <w:t>(至价值时点时剩余使用年限为</w:t>
      </w:r>
      <w:r>
        <w:rPr>
          <w:rFonts w:hint="eastAsia" w:ascii="仿宋_GB2312" w:hAnsi="宋体" w:eastAsia="仿宋_GB2312"/>
          <w:spacing w:val="-4"/>
          <w:sz w:val="28"/>
          <w:szCs w:val="28"/>
          <w:lang w:eastAsia="zh-CN"/>
        </w:rPr>
        <w:t>57.07</w:t>
      </w:r>
      <w:r>
        <w:rPr>
          <w:rFonts w:hint="eastAsia" w:ascii="仿宋_GB2312" w:hAnsi="宋体" w:eastAsia="仿宋_GB2312"/>
          <w:spacing w:val="-4"/>
          <w:sz w:val="28"/>
          <w:szCs w:val="28"/>
        </w:rPr>
        <w:t>年)。</w:t>
      </w:r>
    </w:p>
    <w:p>
      <w:pPr>
        <w:pageBreakBefore w:val="0"/>
        <w:widowControl w:val="0"/>
        <w:kinsoku/>
        <w:wordWrap/>
        <w:overflowPunct/>
        <w:topLinePunct w:val="0"/>
        <w:autoSpaceDE/>
        <w:autoSpaceDN/>
        <w:bidi w:val="0"/>
        <w:adjustRightInd/>
        <w:spacing w:line="500" w:lineRule="exact"/>
        <w:ind w:right="-73" w:rightChars="-35"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2.房产权益状况</w:t>
      </w:r>
    </w:p>
    <w:p>
      <w:pPr>
        <w:pageBreakBefore w:val="0"/>
        <w:widowControl w:val="0"/>
        <w:kinsoku/>
        <w:wordWrap/>
        <w:overflowPunct/>
        <w:topLinePunct w:val="0"/>
        <w:autoSpaceDE/>
        <w:autoSpaceDN/>
        <w:bidi w:val="0"/>
        <w:adjustRightInd/>
        <w:spacing w:line="500" w:lineRule="exact"/>
        <w:ind w:firstLine="544" w:firstLineChars="200"/>
        <w:textAlignment w:val="auto"/>
        <w:rPr>
          <w:rFonts w:hint="eastAsia" w:ascii="仿宋_GB2312" w:hAnsi="宋体" w:eastAsia="仿宋_GB2312"/>
          <w:sz w:val="28"/>
          <w:szCs w:val="28"/>
        </w:rPr>
      </w:pPr>
      <w:r>
        <w:rPr>
          <w:rFonts w:hint="eastAsia" w:ascii="仿宋_GB2312" w:hAnsi="宋体" w:eastAsia="仿宋_GB2312"/>
          <w:spacing w:val="-4"/>
          <w:sz w:val="28"/>
          <w:szCs w:val="28"/>
        </w:rPr>
        <w:t>根据估价委托人提供的</w:t>
      </w:r>
      <w:r>
        <w:rPr>
          <w:rFonts w:hint="eastAsia" w:ascii="仿宋_GB2312" w:hAnsi="宋体" w:eastAsia="仿宋_GB2312"/>
          <w:spacing w:val="-4"/>
          <w:sz w:val="28"/>
          <w:szCs w:val="28"/>
          <w:lang w:eastAsia="zh-CN"/>
        </w:rPr>
        <w:t>《利通区不动产登记信息查询单》</w:t>
      </w:r>
      <w:r>
        <w:rPr>
          <w:rFonts w:hint="eastAsia" w:ascii="仿宋_GB2312" w:hAnsi="宋体" w:eastAsia="仿宋_GB2312"/>
          <w:spacing w:val="-4"/>
          <w:sz w:val="28"/>
          <w:szCs w:val="28"/>
        </w:rPr>
        <w:t>记载</w:t>
      </w:r>
      <w:r>
        <w:rPr>
          <w:rFonts w:hint="eastAsia" w:ascii="仿宋_GB2312" w:hAnsi="宋体" w:eastAsia="仿宋_GB2312"/>
          <w:spacing w:val="-4"/>
          <w:sz w:val="28"/>
          <w:szCs w:val="28"/>
          <w:lang w:eastAsia="zh-CN"/>
        </w:rPr>
        <w:t>：</w:t>
      </w:r>
      <w:r>
        <w:rPr>
          <w:rFonts w:hint="eastAsia" w:ascii="仿宋_GB2312" w:hAnsi="宋体" w:eastAsia="仿宋_GB2312"/>
          <w:spacing w:val="-4"/>
          <w:sz w:val="28"/>
          <w:szCs w:val="28"/>
        </w:rPr>
        <w:t>房屋</w:t>
      </w:r>
      <w:r>
        <w:rPr>
          <w:rFonts w:hint="eastAsia" w:ascii="仿宋_GB2312" w:hAnsi="宋体" w:eastAsia="仿宋_GB2312"/>
          <w:spacing w:val="-4"/>
          <w:sz w:val="28"/>
          <w:szCs w:val="28"/>
          <w:lang w:eastAsia="zh-CN"/>
        </w:rPr>
        <w:t>产</w:t>
      </w:r>
      <w:r>
        <w:rPr>
          <w:rFonts w:hint="eastAsia" w:ascii="仿宋_GB2312" w:hAnsi="宋体" w:eastAsia="仿宋_GB2312"/>
          <w:spacing w:val="-4"/>
          <w:sz w:val="28"/>
          <w:szCs w:val="28"/>
        </w:rPr>
        <w:t>权人为</w:t>
      </w:r>
      <w:r>
        <w:rPr>
          <w:rFonts w:hint="eastAsia" w:ascii="仿宋_GB2312" w:hAnsi="宋体" w:eastAsia="仿宋_GB2312"/>
          <w:spacing w:val="-4"/>
          <w:sz w:val="28"/>
          <w:szCs w:val="28"/>
          <w:lang w:eastAsia="zh-CN"/>
        </w:rPr>
        <w:t>马涛，</w:t>
      </w:r>
      <w:r>
        <w:rPr>
          <w:rFonts w:hint="eastAsia" w:ascii="仿宋_GB2312" w:hAnsi="宋体" w:eastAsia="仿宋_GB2312"/>
          <w:spacing w:val="-4"/>
          <w:sz w:val="28"/>
          <w:szCs w:val="28"/>
        </w:rPr>
        <w:t>本次估价对象房屋取得《房屋所有权证》，</w:t>
      </w:r>
      <w:r>
        <w:rPr>
          <w:rFonts w:hint="eastAsia" w:ascii="仿宋_GB2312" w:hAnsi="宋体" w:eastAsia="仿宋_GB2312"/>
          <w:spacing w:val="-4"/>
          <w:sz w:val="28"/>
          <w:szCs w:val="28"/>
          <w:lang w:eastAsia="zh-CN"/>
        </w:rPr>
        <w:t>产权</w:t>
      </w:r>
      <w:r>
        <w:rPr>
          <w:rFonts w:hint="eastAsia" w:ascii="仿宋_GB2312" w:hAnsi="宋体" w:eastAsia="仿宋_GB2312"/>
          <w:spacing w:val="-4"/>
          <w:sz w:val="28"/>
          <w:szCs w:val="28"/>
        </w:rPr>
        <w:t>证号为</w:t>
      </w:r>
      <w:r>
        <w:rPr>
          <w:rFonts w:hint="eastAsia" w:ascii="仿宋_GB2312" w:hAnsi="宋体" w:eastAsia="仿宋_GB2312"/>
          <w:spacing w:val="-4"/>
          <w:sz w:val="28"/>
          <w:szCs w:val="28"/>
          <w:lang w:eastAsia="zh-CN"/>
        </w:rPr>
        <w:t>宁（2018）利通区不动产权第W0006966号</w:t>
      </w:r>
      <w:r>
        <w:rPr>
          <w:rFonts w:hint="eastAsia" w:ascii="仿宋_GB2312" w:hAnsi="宋体" w:eastAsia="仿宋_GB2312"/>
          <w:spacing w:val="-4"/>
          <w:sz w:val="28"/>
          <w:szCs w:val="28"/>
        </w:rPr>
        <w:t>，共有情况为单独所有，房屋坐落为</w:t>
      </w:r>
      <w:r>
        <w:rPr>
          <w:rFonts w:hint="eastAsia" w:ascii="仿宋_GB2312" w:hAnsi="宋体" w:eastAsia="仿宋_GB2312"/>
          <w:sz w:val="28"/>
          <w:szCs w:val="28"/>
          <w:lang w:eastAsia="zh-CN"/>
        </w:rPr>
        <w:t>吴忠市利通区明珠路北侧经一街西侧星河嘉城二十一号楼3401号</w:t>
      </w:r>
      <w:r>
        <w:rPr>
          <w:rFonts w:hint="eastAsia" w:ascii="仿宋_GB2312" w:hAnsi="宋体" w:eastAsia="仿宋_GB2312"/>
          <w:spacing w:val="-4"/>
          <w:sz w:val="28"/>
          <w:szCs w:val="28"/>
        </w:rPr>
        <w:t>，</w:t>
      </w:r>
      <w:r>
        <w:rPr>
          <w:rFonts w:hint="eastAsia" w:ascii="仿宋_GB2312" w:hAnsi="宋体" w:eastAsia="仿宋_GB2312"/>
          <w:spacing w:val="-4"/>
          <w:sz w:val="28"/>
          <w:szCs w:val="28"/>
          <w:lang w:eastAsia="zh-CN"/>
        </w:rPr>
        <w:t>房屋结构为钢筋混凝土结构，房屋总层数为</w:t>
      </w:r>
      <w:r>
        <w:rPr>
          <w:rFonts w:hint="eastAsia" w:ascii="仿宋_GB2312" w:hAnsi="宋体" w:eastAsia="仿宋_GB2312"/>
          <w:spacing w:val="-4"/>
          <w:sz w:val="28"/>
          <w:szCs w:val="28"/>
          <w:lang w:val="en-US" w:eastAsia="zh-CN"/>
        </w:rPr>
        <w:t>5层，所在层为4层，</w:t>
      </w:r>
      <w:r>
        <w:rPr>
          <w:rFonts w:hint="eastAsia" w:ascii="仿宋_GB2312" w:hAnsi="宋体" w:eastAsia="仿宋_GB2312"/>
          <w:spacing w:val="-4"/>
          <w:sz w:val="28"/>
          <w:szCs w:val="28"/>
        </w:rPr>
        <w:t>建筑面积为</w:t>
      </w:r>
      <w:r>
        <w:rPr>
          <w:rFonts w:hint="eastAsia" w:ascii="仿宋_GB2312" w:hAnsi="宋体" w:eastAsia="仿宋_GB2312"/>
          <w:spacing w:val="-4"/>
          <w:sz w:val="28"/>
          <w:szCs w:val="28"/>
          <w:lang w:eastAsia="zh-CN"/>
        </w:rPr>
        <w:t>92.84</w:t>
      </w:r>
      <w:r>
        <w:rPr>
          <w:rFonts w:hint="eastAsia" w:ascii="仿宋_GB2312" w:hAnsi="宋体" w:eastAsia="仿宋_GB2312"/>
          <w:spacing w:val="-4"/>
          <w:sz w:val="28"/>
          <w:szCs w:val="28"/>
        </w:rPr>
        <w:t>㎡</w:t>
      </w:r>
      <w:r>
        <w:rPr>
          <w:rFonts w:hint="eastAsia" w:ascii="仿宋_GB2312" w:hAnsi="宋体" w:eastAsia="仿宋_GB2312"/>
          <w:spacing w:val="-4"/>
          <w:sz w:val="28"/>
          <w:szCs w:val="28"/>
          <w:lang w:eastAsia="zh-CN"/>
        </w:rPr>
        <w:t>，</w:t>
      </w:r>
      <w:r>
        <w:rPr>
          <w:rFonts w:hint="eastAsia" w:ascii="仿宋_GB2312" w:hAnsi="宋体" w:eastAsia="仿宋_GB2312"/>
          <w:spacing w:val="-4"/>
          <w:sz w:val="28"/>
          <w:szCs w:val="28"/>
        </w:rPr>
        <w:t>房屋</w:t>
      </w:r>
      <w:r>
        <w:rPr>
          <w:rFonts w:hint="eastAsia" w:ascii="仿宋_GB2312" w:hAnsi="宋体" w:eastAsia="仿宋_GB2312"/>
          <w:spacing w:val="-4"/>
          <w:sz w:val="28"/>
          <w:szCs w:val="28"/>
          <w:lang w:eastAsia="zh-CN"/>
        </w:rPr>
        <w:t>用途为成套住宅</w:t>
      </w:r>
      <w:r>
        <w:rPr>
          <w:rFonts w:hint="eastAsia" w:ascii="仿宋_GB2312" w:hAnsi="宋体" w:eastAsia="仿宋_GB2312"/>
          <w:spacing w:val="-4"/>
          <w:sz w:val="28"/>
          <w:szCs w:val="28"/>
        </w:rPr>
        <w:t>，</w:t>
      </w:r>
      <w:r>
        <w:rPr>
          <w:rFonts w:hint="eastAsia" w:ascii="仿宋_GB2312" w:hAnsi="宋体" w:eastAsia="仿宋_GB2312"/>
          <w:spacing w:val="-4"/>
          <w:sz w:val="28"/>
          <w:szCs w:val="28"/>
          <w:lang w:eastAsia="zh-CN"/>
        </w:rPr>
        <w:t>竣工年代为</w:t>
      </w:r>
      <w:r>
        <w:rPr>
          <w:rFonts w:hint="eastAsia" w:ascii="仿宋_GB2312" w:hAnsi="宋体" w:eastAsia="仿宋_GB2312"/>
          <w:spacing w:val="-4"/>
          <w:sz w:val="28"/>
          <w:szCs w:val="28"/>
          <w:lang w:val="en-US" w:eastAsia="zh-CN"/>
        </w:rPr>
        <w:t>2011年1月1日，</w:t>
      </w:r>
      <w:r>
        <w:rPr>
          <w:rFonts w:hint="eastAsia" w:ascii="仿宋_GB2312" w:hAnsi="宋体" w:eastAsia="仿宋_GB2312"/>
          <w:spacing w:val="-4"/>
          <w:sz w:val="28"/>
          <w:szCs w:val="28"/>
        </w:rPr>
        <w:t>目前房屋使用情况为</w:t>
      </w:r>
      <w:r>
        <w:rPr>
          <w:rFonts w:hint="eastAsia" w:ascii="仿宋_GB2312" w:hAnsi="宋体" w:eastAsia="仿宋_GB2312"/>
          <w:spacing w:val="-4"/>
          <w:sz w:val="28"/>
          <w:szCs w:val="28"/>
          <w:lang w:eastAsia="zh-CN"/>
        </w:rPr>
        <w:t>闲置</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pacing w:line="500" w:lineRule="exact"/>
        <w:ind w:firstLine="537" w:firstLineChars="192"/>
        <w:textAlignment w:val="auto"/>
        <w:rPr>
          <w:rFonts w:hint="eastAsia" w:ascii="仿宋_GB2312" w:hAnsi="宋体" w:eastAsia="仿宋_GB2312"/>
          <w:sz w:val="28"/>
          <w:szCs w:val="28"/>
        </w:rPr>
      </w:pPr>
      <w:r>
        <w:rPr>
          <w:rFonts w:hint="eastAsia" w:ascii="仿宋_GB2312" w:hAnsi="宋体" w:eastAsia="仿宋_GB2312"/>
          <w:sz w:val="28"/>
          <w:szCs w:val="28"/>
        </w:rPr>
        <w:t>3.他项权利状况</w:t>
      </w:r>
    </w:p>
    <w:p>
      <w:pPr>
        <w:pageBreakBefore w:val="0"/>
        <w:widowControl w:val="0"/>
        <w:kinsoku/>
        <w:wordWrap/>
        <w:overflowPunct/>
        <w:topLinePunct w:val="0"/>
        <w:autoSpaceDE/>
        <w:autoSpaceDN/>
        <w:bidi w:val="0"/>
        <w:adjustRightInd/>
        <w:spacing w:line="500" w:lineRule="exact"/>
        <w:ind w:firstLine="537" w:firstLineChars="192"/>
        <w:textAlignment w:val="auto"/>
        <w:rPr>
          <w:rFonts w:hint="eastAsia" w:ascii="仿宋_GB2312" w:hAnsi="宋体" w:eastAsia="仿宋_GB2312"/>
          <w:sz w:val="28"/>
          <w:szCs w:val="28"/>
        </w:rPr>
      </w:pPr>
      <w:r>
        <w:rPr>
          <w:rFonts w:hint="eastAsia" w:ascii="仿宋_GB2312" w:hAnsi="楷体_GB2312" w:eastAsia="仿宋_GB2312"/>
          <w:bCs/>
          <w:sz w:val="28"/>
        </w:rPr>
        <w:t>根据估价委托人提供的</w:t>
      </w:r>
      <w:r>
        <w:rPr>
          <w:rFonts w:hint="eastAsia" w:ascii="仿宋_GB2312" w:hAnsi="楷体_GB2312" w:eastAsia="仿宋_GB2312"/>
          <w:bCs/>
          <w:sz w:val="28"/>
          <w:lang w:eastAsia="zh-CN"/>
        </w:rPr>
        <w:t>《利通区不动产登记信息查询单》</w:t>
      </w:r>
      <w:r>
        <w:rPr>
          <w:rFonts w:hint="eastAsia" w:ascii="仿宋_GB2312" w:hAnsi="楷体_GB2312" w:eastAsia="仿宋_GB2312"/>
          <w:bCs/>
          <w:sz w:val="28"/>
        </w:rPr>
        <w:t>不动产限制信息显示：估价对象已抵押。司法评估价值的影响因素包括拍卖房地产的瑕疵，但不应包括被抵押房地产原有的担保物权和其他优先受偿权，故本次评估不考虑估价对象抵押情况对房地产价值的影响</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pacing w:line="500" w:lineRule="exact"/>
        <w:ind w:firstLine="537" w:firstLineChars="192"/>
        <w:textAlignment w:val="auto"/>
        <w:rPr>
          <w:rFonts w:hint="eastAsia" w:ascii="仿宋_GB2312" w:hAnsi="宋体" w:eastAsia="仿宋_GB2312"/>
          <w:sz w:val="28"/>
          <w:szCs w:val="28"/>
        </w:rPr>
      </w:pPr>
      <w:r>
        <w:rPr>
          <w:rFonts w:hint="eastAsia" w:ascii="仿宋_GB2312" w:hAnsi="宋体" w:eastAsia="仿宋_GB2312"/>
          <w:sz w:val="28"/>
          <w:szCs w:val="28"/>
        </w:rPr>
        <w:t>4.使用管制及相邻关系</w:t>
      </w:r>
    </w:p>
    <w:p>
      <w:pPr>
        <w:pageBreakBefore w:val="0"/>
        <w:widowControl w:val="0"/>
        <w:kinsoku/>
        <w:wordWrap/>
        <w:overflowPunct/>
        <w:topLinePunct w:val="0"/>
        <w:autoSpaceDE/>
        <w:autoSpaceDN/>
        <w:bidi w:val="0"/>
        <w:adjustRightInd/>
        <w:spacing w:line="500" w:lineRule="exact"/>
        <w:ind w:firstLine="537" w:firstLineChars="192"/>
        <w:textAlignment w:val="auto"/>
        <w:rPr>
          <w:rFonts w:hint="eastAsia" w:ascii="仿宋_GB2312" w:hAnsi="宋体" w:eastAsia="仿宋_GB2312"/>
          <w:sz w:val="28"/>
          <w:szCs w:val="28"/>
        </w:rPr>
      </w:pPr>
      <w:r>
        <w:rPr>
          <w:rFonts w:hint="eastAsia" w:ascii="仿宋_GB2312" w:hAnsi="宋体" w:eastAsia="仿宋_GB2312"/>
          <w:sz w:val="28"/>
          <w:szCs w:val="28"/>
        </w:rPr>
        <w:t>估价对象规划用途为住宅，估价对象现状用途为住宅，符合城市规划要求，不存在相邻关系的限制。</w:t>
      </w:r>
    </w:p>
    <w:bookmarkEnd w:id="40"/>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仿宋_GB2312" w:hAnsi="仿宋_GB2312" w:eastAsia="仿宋_GB2312" w:cs="仿宋_GB2312"/>
          <w:sz w:val="28"/>
          <w:szCs w:val="28"/>
        </w:rPr>
      </w:pPr>
      <w:bookmarkStart w:id="42" w:name="_Toc12160"/>
      <w:bookmarkStart w:id="43" w:name="_Toc10517"/>
      <w:bookmarkStart w:id="44" w:name="_Toc6917"/>
      <w:r>
        <w:rPr>
          <w:rFonts w:hint="eastAsia" w:ascii="仿宋_GB2312" w:hAnsi="仿宋_GB2312" w:eastAsia="仿宋_GB2312" w:cs="仿宋_GB2312"/>
          <w:sz w:val="28"/>
          <w:szCs w:val="28"/>
        </w:rPr>
        <w:t>五、价值时点</w:t>
      </w:r>
      <w:bookmarkEnd w:id="41"/>
      <w:bookmarkEnd w:id="42"/>
      <w:bookmarkEnd w:id="43"/>
      <w:bookmarkEnd w:id="44"/>
    </w:p>
    <w:p>
      <w:pPr>
        <w:pageBreakBefore w:val="0"/>
        <w:widowControl w:val="0"/>
        <w:kinsoku/>
        <w:wordWrap/>
        <w:overflowPunct/>
        <w:topLinePunct w:val="0"/>
        <w:autoSpaceDE/>
        <w:autoSpaceDN/>
        <w:bidi w:val="0"/>
        <w:adjustRightIn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2022年7月4日</w:t>
      </w:r>
      <w:r>
        <w:rPr>
          <w:rFonts w:hint="eastAsia" w:ascii="仿宋_GB2312" w:hAnsi="仿宋_GB2312" w:eastAsia="仿宋_GB2312" w:cs="仿宋_GB2312"/>
          <w:sz w:val="28"/>
          <w:szCs w:val="28"/>
        </w:rPr>
        <w:t>（以估价人员实地查勘日期为价值时点）。</w:t>
      </w:r>
    </w:p>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仿宋_GB2312" w:hAnsi="仿宋_GB2312" w:eastAsia="仿宋_GB2312" w:cs="仿宋_GB2312"/>
          <w:sz w:val="28"/>
          <w:szCs w:val="28"/>
        </w:rPr>
      </w:pPr>
      <w:bookmarkStart w:id="45" w:name="_Toc265761762"/>
      <w:bookmarkStart w:id="46" w:name="_Toc2273"/>
      <w:bookmarkStart w:id="47" w:name="_Toc26830"/>
      <w:bookmarkStart w:id="48" w:name="_Toc12370"/>
      <w:r>
        <w:rPr>
          <w:rFonts w:hint="eastAsia" w:ascii="仿宋_GB2312" w:hAnsi="仿宋_GB2312" w:eastAsia="仿宋_GB2312" w:cs="仿宋_GB2312"/>
          <w:sz w:val="28"/>
          <w:szCs w:val="28"/>
        </w:rPr>
        <w:t>六、价值</w:t>
      </w:r>
      <w:bookmarkEnd w:id="45"/>
      <w:r>
        <w:rPr>
          <w:rFonts w:hint="eastAsia" w:ascii="仿宋_GB2312" w:hAnsi="仿宋_GB2312" w:eastAsia="仿宋_GB2312" w:cs="仿宋_GB2312"/>
          <w:sz w:val="28"/>
          <w:szCs w:val="28"/>
        </w:rPr>
        <w:t>类型</w:t>
      </w:r>
      <w:bookmarkEnd w:id="46"/>
      <w:bookmarkEnd w:id="47"/>
      <w:bookmarkEnd w:id="48"/>
    </w:p>
    <w:p>
      <w:pPr>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（一）价值类型名称</w:t>
      </w:r>
    </w:p>
    <w:p>
      <w:pPr>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本次估价的价值类型为市场价值。</w:t>
      </w:r>
    </w:p>
    <w:p>
      <w:pPr>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（二）价值定义</w:t>
      </w:r>
    </w:p>
    <w:p>
      <w:pPr>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市场价值为估价对象经适当营销后，由熟悉情况、谨慎行事且不受强迫的交易双方，以公平交易方式在价值时点自愿进行交易的金额。</w:t>
      </w:r>
    </w:p>
    <w:p>
      <w:pPr>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（三）价值内涵</w:t>
      </w:r>
    </w:p>
    <w:p>
      <w:pPr>
        <w:pageBreakBefore w:val="0"/>
        <w:widowControl w:val="0"/>
        <w:kinsoku/>
        <w:wordWrap/>
        <w:overflowPunct/>
        <w:topLinePunct w:val="0"/>
        <w:autoSpaceDE/>
        <w:autoSpaceDN/>
        <w:bidi w:val="0"/>
        <w:adjustRightIn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值内涵是估价对象在价值时点，满足本次估价假设和限制条件下包括建筑物（含二次装修价值）、分摊的土地使用权（含土地出让金）及公共配套设施，不包括动产、债权债务、特许经营权等其他财产或权益；付款方式是一次性付清房款；房屋面积内涵是建筑面积；开发程度是现房，具备“七通”。</w:t>
      </w:r>
    </w:p>
    <w:p>
      <w:pPr>
        <w:pStyle w:val="3"/>
        <w:pageBreakBefore w:val="0"/>
        <w:widowControl w:val="0"/>
        <w:numPr>
          <w:ilvl w:val="0"/>
          <w:numId w:val="3"/>
        </w:numPr>
        <w:kinsoku/>
        <w:wordWrap/>
        <w:overflowPunct/>
        <w:topLinePunct w:val="0"/>
        <w:autoSpaceDE/>
        <w:autoSpaceDN/>
        <w:bidi w:val="0"/>
        <w:adjustRightInd/>
        <w:spacing w:before="0" w:after="0" w:line="500" w:lineRule="exact"/>
        <w:textAlignment w:val="auto"/>
        <w:rPr>
          <w:rFonts w:hint="eastAsia" w:ascii="仿宋_GB2312" w:hAnsi="仿宋_GB2312" w:eastAsia="仿宋_GB2312" w:cs="仿宋_GB2312"/>
          <w:sz w:val="28"/>
          <w:szCs w:val="28"/>
        </w:rPr>
      </w:pPr>
      <w:bookmarkStart w:id="49" w:name="_Toc5915"/>
      <w:bookmarkStart w:id="50" w:name="_Toc27240"/>
      <w:bookmarkStart w:id="51" w:name="_Toc29207"/>
      <w:bookmarkStart w:id="52" w:name="_Toc265761765"/>
      <w:r>
        <w:rPr>
          <w:rFonts w:hint="eastAsia" w:ascii="仿宋_GB2312" w:hAnsi="仿宋_GB2312" w:eastAsia="仿宋_GB2312" w:cs="仿宋_GB2312"/>
          <w:sz w:val="28"/>
          <w:szCs w:val="28"/>
        </w:rPr>
        <w:t>估价原则</w:t>
      </w:r>
      <w:bookmarkEnd w:id="49"/>
      <w:bookmarkEnd w:id="50"/>
      <w:bookmarkEnd w:id="51"/>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房地产价格是由其效用、有效需求相互作用影响所形成的，而这些因素又经常处于变动之中，我们遵循的原则主要有下列5项：</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1、独立、客观、公正原则：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要求站在中立的立场上，实事求是、公平正直地评估出对各方估价利害关系人均是公平合理的价值或价格的原则。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2、合法原则：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要求估价结果是在依法判定的估价对象状况下的价值或价格的原则。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3、价值时点原则：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要求估价结果是在根据估价目的确定的某一特定时间的价值或价格的原则。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4、最高最佳利用原则：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要求估价结果是在估价对象最高最佳利用状况下的价值或价格。</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5、替代原则：</w:t>
      </w:r>
    </w:p>
    <w:p>
      <w:pPr>
        <w:pageBreakBefore w:val="0"/>
        <w:widowControl w:val="0"/>
        <w:kinsoku/>
        <w:wordWrap/>
        <w:overflowPunct/>
        <w:topLinePunct w:val="0"/>
        <w:autoSpaceDE/>
        <w:autoSpaceDN/>
        <w:bidi w:val="0"/>
        <w:adjustRightIn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要求估价结果与估价对象的类似房地产在同等条件下的价值或价格偏差在合理范围内的原则。</w:t>
      </w:r>
    </w:p>
    <w:p>
      <w:pPr>
        <w:pStyle w:val="3"/>
        <w:pageBreakBefore w:val="0"/>
        <w:widowControl w:val="0"/>
        <w:kinsoku/>
        <w:wordWrap/>
        <w:overflowPunct/>
        <w:topLinePunct w:val="0"/>
        <w:autoSpaceDE/>
        <w:autoSpaceDN/>
        <w:bidi w:val="0"/>
        <w:adjustRightInd/>
        <w:spacing w:before="0" w:after="0" w:line="500" w:lineRule="exact"/>
        <w:textAlignment w:val="auto"/>
        <w:rPr>
          <w:rFonts w:ascii="仿宋_GB2312" w:hAnsi="仿宋_GB2312" w:eastAsia="仿宋_GB2312" w:cs="仿宋_GB2312"/>
          <w:sz w:val="28"/>
          <w:szCs w:val="28"/>
        </w:rPr>
      </w:pPr>
      <w:bookmarkStart w:id="53" w:name="_Toc12630"/>
      <w:bookmarkStart w:id="54" w:name="_Toc13177"/>
      <w:bookmarkStart w:id="55" w:name="_Toc13922"/>
      <w:r>
        <w:rPr>
          <w:rFonts w:hint="eastAsia" w:ascii="仿宋_GB2312" w:hAnsi="仿宋_GB2312" w:eastAsia="仿宋_GB2312" w:cs="仿宋_GB2312"/>
          <w:sz w:val="28"/>
          <w:szCs w:val="28"/>
        </w:rPr>
        <w:t>八、估价依据</w:t>
      </w:r>
      <w:bookmarkEnd w:id="52"/>
      <w:bookmarkEnd w:id="53"/>
      <w:bookmarkEnd w:id="54"/>
      <w:bookmarkEnd w:id="55"/>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（一）法律、法规及政策文件</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（1）《中华人民共和国民法典》（2020年5月28日第十三届全国人民代表大会第三次会议通过，2021年1月1日起施行）；</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（2）《中华人民共和国资产评估法》（中华人民共和国主席令第46号，</w:t>
      </w:r>
      <w:r>
        <w:rPr>
          <w:rFonts w:hint="eastAsia" w:ascii="宋体" w:hAnsi="宋体" w:cs="宋体"/>
          <w:sz w:val="28"/>
          <w:szCs w:val="28"/>
        </w:rPr>
        <w:t> </w:t>
      </w:r>
      <w:r>
        <w:rPr>
          <w:rFonts w:hint="eastAsia" w:ascii="仿宋_GB2312" w:hAnsi="仿宋_GB2312" w:eastAsia="仿宋_GB2312" w:cs="仿宋_GB2312"/>
          <w:sz w:val="28"/>
          <w:szCs w:val="28"/>
        </w:rPr>
        <w:t>自2016年12月1日起施行）；</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（3）《中华人民共和国城市房地产管理法》（中华人民共和国主席令第32号，自2020年1月1日起施行）；</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（4）《中华人民共和国土地管理法》（中华人民共和国主席令第32号，自2020年1月1日起施行）；</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（5）《中华人民共和国拍卖法》（2015年4月24日第十二届全国人民代表大会常务委员会第十四次会议修正）；</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（6）《城市房地产转让管理规定》（2001年中华人民共和国建设部第96号令）；</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（7）《最高人民法院关于人民法院确定财产处置参考价若干问题的规定》（法释〔2018〕15号）； </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（8）《人民法院委托评估工作规范》（法办〔2018〕273号）；</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（9）《司法鉴定程序通则》（2016年中华人民共和国司法部第132号令）；</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（10）《司法鉴定执业活动投诉处理办法》（2019年中华人民共和国司法部第144号令)；</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（11）《人民法院委托评估专业技术评审工作规范》（法办〔2019〕364号）;</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（12）《最高人民法院关于人民法院委托评估、拍卖和变卖工作的若干规定》（法释〔2009〕16号）；</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（13）《宁夏回族自治区司法鉴定管理条例》（2004年3月24日自治区第九届人民代表大会常务委员会第九次会议通过）；</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（14）国务院、建设部、国土资源部、司法部、最高人民法院及宁夏回族自治区有关部门颁布的其它法规政策文件</w:t>
      </w:r>
      <w:r>
        <w:rPr>
          <w:rFonts w:ascii="仿宋_GB2312" w:hAnsi="仿宋_GB2312" w:eastAsia="仿宋_GB2312" w:cs="仿宋_GB2312"/>
          <w:sz w:val="28"/>
          <w:szCs w:val="28"/>
        </w:rPr>
        <w:t>。</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（二）技术标准、规程及规范</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r>
        <w:rPr>
          <w:rFonts w:ascii="仿宋_GB2312" w:hAnsi="仿宋_GB2312" w:eastAsia="仿宋_GB2312" w:cs="仿宋_GB2312"/>
          <w:sz w:val="28"/>
          <w:szCs w:val="28"/>
        </w:rPr>
        <w:t>中华人民共和国国家标准《房地产估价规范》GB/T50291-2015；</w:t>
      </w:r>
    </w:p>
    <w:p>
      <w:pPr>
        <w:pageBreakBefore w:val="0"/>
        <w:widowControl w:val="0"/>
        <w:tabs>
          <w:tab w:val="left" w:pos="2520"/>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中华人民共和国国家标准《房地产估价基本术语标准》GB/T50899-2013；</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《涉执房地产处置司法评估指导意见》（</w:t>
      </w:r>
      <w:r>
        <w:rPr>
          <w:rFonts w:hint="eastAsia" w:ascii="仿宋_GB2312" w:hAnsi="仿宋_GB2312" w:eastAsia="仿宋_GB2312" w:cs="仿宋_GB2312"/>
          <w:sz w:val="28"/>
          <w:szCs w:val="28"/>
        </w:rPr>
        <w:t>试行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（三）估价委托人提供的有关资料</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《吴忠市利通区人民法院委托书》（2022）宁0302执恢178号</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《利通区不动产登记信息查询单》查询编号：</w:t>
      </w:r>
      <w:r>
        <w:rPr>
          <w:rFonts w:hint="eastAsia" w:ascii="仿宋_GB2312" w:hAnsi="仿宋_GB2312" w:eastAsia="仿宋_GB2312" w:cs="仿宋_GB2312"/>
          <w:sz w:val="28"/>
          <w:szCs w:val="28"/>
          <w:lang w:val="en-US" w:eastAsia="zh-CN"/>
        </w:rPr>
        <w:t>1542047195662987266</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）估价委托人提供的与本次估价相关的其他资料。</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（四）估价方掌握的有关资料和估价人员实地查勘、调查所获取的资料</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（1）估价对象现场查勘记录；</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（2）估价人员实地考察、取证、调查所取得的资料；</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（3）本公司搜集掌握的相关资料。</w:t>
      </w:r>
    </w:p>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仿宋_GB2312" w:hAnsi="仿宋_GB2312" w:eastAsia="仿宋_GB2312" w:cs="仿宋_GB2312"/>
          <w:sz w:val="28"/>
          <w:szCs w:val="28"/>
        </w:rPr>
      </w:pPr>
      <w:bookmarkStart w:id="56" w:name="_Toc22905"/>
      <w:bookmarkStart w:id="57" w:name="_Toc27443"/>
      <w:bookmarkStart w:id="58" w:name="_Toc265761767"/>
      <w:bookmarkStart w:id="59" w:name="_Toc12835"/>
      <w:r>
        <w:rPr>
          <w:rFonts w:hint="eastAsia" w:ascii="仿宋_GB2312" w:hAnsi="仿宋_GB2312" w:eastAsia="仿宋_GB2312" w:cs="仿宋_GB2312"/>
          <w:sz w:val="28"/>
          <w:szCs w:val="28"/>
        </w:rPr>
        <w:t>九、估价方法</w:t>
      </w:r>
      <w:bookmarkEnd w:id="56"/>
      <w:bookmarkEnd w:id="57"/>
      <w:bookmarkEnd w:id="58"/>
      <w:bookmarkEnd w:id="59"/>
    </w:p>
    <w:p>
      <w:pPr>
        <w:pStyle w:val="3"/>
        <w:keepNext w:val="0"/>
        <w:keepLines w:val="0"/>
        <w:pageBreakBefore w:val="0"/>
        <w:widowControl w:val="0"/>
        <w:kinsoku/>
        <w:wordWrap/>
        <w:overflowPunct/>
        <w:topLinePunct w:val="0"/>
        <w:autoSpaceDE/>
        <w:autoSpaceDN/>
        <w:bidi w:val="0"/>
        <w:adjustRightInd/>
        <w:spacing w:before="0" w:after="0" w:line="500" w:lineRule="exact"/>
        <w:ind w:firstLine="548" w:firstLineChars="196"/>
        <w:textAlignment w:val="auto"/>
        <w:rPr>
          <w:rFonts w:hint="eastAsia" w:ascii="仿宋_GB2312" w:hAnsi="宋体" w:eastAsia="仿宋_GB2312"/>
          <w:b w:val="0"/>
          <w:sz w:val="28"/>
          <w:szCs w:val="28"/>
        </w:rPr>
      </w:pPr>
      <w:bookmarkStart w:id="60" w:name="_Toc25438"/>
      <w:bookmarkStart w:id="61" w:name="_Toc9871"/>
      <w:bookmarkStart w:id="62" w:name="_Toc342"/>
      <w:bookmarkStart w:id="63" w:name="_Toc11316"/>
      <w:r>
        <w:rPr>
          <w:rFonts w:hint="eastAsia" w:ascii="仿宋_GB2312" w:hAnsi="宋体" w:eastAsia="仿宋_GB2312"/>
          <w:b w:val="0"/>
          <w:sz w:val="28"/>
          <w:szCs w:val="28"/>
        </w:rPr>
        <w:t>房地产估价的常用方法有比较法、收益法、成本法、假设开发法及其他估价方法。依据《房地产估价规范》，结合估价目的及估价师收集的有关资料，本次估价选择比较法、收益法进行评估。</w:t>
      </w:r>
      <w:bookmarkEnd w:id="60"/>
      <w:bookmarkEnd w:id="61"/>
      <w:bookmarkEnd w:id="62"/>
      <w:bookmarkEnd w:id="63"/>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宋体" w:eastAsia="仿宋_GB2312" w:cs="宋体"/>
          <w:sz w:val="28"/>
          <w:szCs w:val="28"/>
        </w:rPr>
      </w:pPr>
      <w:r>
        <w:rPr>
          <w:rFonts w:hint="eastAsia" w:ascii="仿宋_GB2312" w:hAnsi="楷体_GB2312" w:eastAsia="仿宋_GB2312"/>
          <w:color w:val="000000"/>
          <w:sz w:val="28"/>
          <w:szCs w:val="28"/>
        </w:rPr>
        <w:t xml:space="preserve"> 估价方法定义</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eastAsia="仿宋_GB2312"/>
          <w:sz w:val="28"/>
          <w:szCs w:val="28"/>
        </w:rPr>
      </w:pPr>
      <w:r>
        <w:rPr>
          <w:rFonts w:hint="eastAsia" w:ascii="仿宋_GB2312" w:hAnsi="宋体" w:eastAsia="仿宋_GB2312" w:cs="宋体"/>
          <w:sz w:val="28"/>
          <w:szCs w:val="28"/>
        </w:rPr>
        <w:t>1、</w:t>
      </w:r>
      <w:r>
        <w:rPr>
          <w:rFonts w:hint="eastAsia" w:ascii="仿宋_GB2312" w:eastAsia="仿宋_GB2312"/>
          <w:sz w:val="28"/>
          <w:szCs w:val="28"/>
        </w:rPr>
        <w:t>比较法</w:t>
      </w:r>
    </w:p>
    <w:p>
      <w:pPr>
        <w:pageBreakBefore w:val="0"/>
        <w:widowControl w:val="0"/>
        <w:kinsoku/>
        <w:wordWrap/>
        <w:overflowPunct/>
        <w:topLinePunct w:val="0"/>
        <w:autoSpaceDE/>
        <w:autoSpaceDN/>
        <w:bidi w:val="0"/>
        <w:adjustRightInd/>
        <w:spacing w:line="500" w:lineRule="exact"/>
        <w:ind w:right="-107" w:rightChars="-51" w:firstLine="560" w:firstLineChars="200"/>
        <w:textAlignment w:val="auto"/>
        <w:rPr>
          <w:rFonts w:hint="eastAsia" w:ascii="仿宋_GB2312" w:eastAsia="仿宋_GB2312"/>
          <w:sz w:val="28"/>
          <w:szCs w:val="28"/>
        </w:rPr>
      </w:pPr>
      <w:r>
        <w:rPr>
          <w:rFonts w:hint="eastAsia" w:ascii="仿宋_GB2312" w:eastAsia="仿宋_GB2312"/>
          <w:sz w:val="28"/>
          <w:szCs w:val="28"/>
        </w:rPr>
        <w:t>比较法是将估价对象与价值时点近期有过交易的类似房地产进行比较，对这些类似房地产的已知价格作适当修正，以此估算对象的客观合理价格或价值的方法。</w:t>
      </w:r>
    </w:p>
    <w:p>
      <w:pPr>
        <w:pageBreakBefore w:val="0"/>
        <w:widowControl w:val="0"/>
        <w:kinsoku/>
        <w:wordWrap/>
        <w:overflowPunct/>
        <w:topLinePunct w:val="0"/>
        <w:autoSpaceDE/>
        <w:autoSpaceDN/>
        <w:bidi w:val="0"/>
        <w:adjustRightInd/>
        <w:spacing w:line="500" w:lineRule="exact"/>
        <w:ind w:right="-107" w:rightChars="-51" w:firstLine="537" w:firstLineChars="192"/>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2、收益法</w:t>
      </w:r>
    </w:p>
    <w:p>
      <w:pPr>
        <w:pageBreakBefore w:val="0"/>
        <w:widowControl w:val="0"/>
        <w:kinsoku/>
        <w:wordWrap/>
        <w:overflowPunct/>
        <w:topLinePunct w:val="0"/>
        <w:autoSpaceDE/>
        <w:autoSpaceDN/>
        <w:bidi w:val="0"/>
        <w:adjustRightInd/>
        <w:spacing w:line="500" w:lineRule="exact"/>
        <w:ind w:firstLine="555"/>
        <w:textAlignment w:val="auto"/>
        <w:rPr>
          <w:rFonts w:hint="eastAsia" w:ascii="仿宋_GB2312" w:hAnsi="楷体_GB2312" w:eastAsia="仿宋_GB2312" w:cs="仿宋_GB2312"/>
          <w:color w:val="000000"/>
          <w:kern w:val="0"/>
          <w:sz w:val="28"/>
          <w:szCs w:val="28"/>
        </w:rPr>
      </w:pPr>
      <w:r>
        <w:rPr>
          <w:rFonts w:hint="eastAsia" w:ascii="仿宋_GB2312" w:hAnsi="楷体_GB2312" w:eastAsia="仿宋_GB2312" w:cs="仿宋_GB2312"/>
          <w:color w:val="000000"/>
          <w:kern w:val="0"/>
          <w:sz w:val="28"/>
          <w:szCs w:val="28"/>
        </w:rPr>
        <w:t>收益法是根据估价对象的预期未来收益来求取估价对象价值的方法；较具体地说，是预测估价对象的未来收益，然后将其转换为价值来求取估价对象价值的方法。</w:t>
      </w:r>
    </w:p>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仿宋_GB2312" w:hAnsi="仿宋_GB2312" w:eastAsia="仿宋_GB2312" w:cs="仿宋_GB2312"/>
          <w:bCs w:val="0"/>
          <w:sz w:val="28"/>
          <w:szCs w:val="28"/>
        </w:rPr>
      </w:pPr>
      <w:bookmarkStart w:id="64" w:name="_Toc3525"/>
      <w:bookmarkStart w:id="65" w:name="_Toc19061"/>
      <w:bookmarkStart w:id="66" w:name="_Toc3460"/>
      <w:r>
        <w:rPr>
          <w:rFonts w:hint="eastAsia" w:ascii="仿宋_GB2312" w:hAnsi="仿宋_GB2312" w:eastAsia="仿宋_GB2312" w:cs="仿宋_GB2312"/>
          <w:bCs w:val="0"/>
          <w:sz w:val="28"/>
          <w:szCs w:val="28"/>
        </w:rPr>
        <w:t>十、估价结果</w:t>
      </w:r>
      <w:bookmarkEnd w:id="64"/>
      <w:bookmarkEnd w:id="65"/>
      <w:bookmarkEnd w:id="66"/>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eastAsia="仿宋_GB2312"/>
          <w:sz w:val="28"/>
          <w:szCs w:val="28"/>
        </w:rPr>
        <w:t>估价人员根据特定的估价目的，遵循公认的估价原则，按照严谨的估价工作程序，选用科学合理的估价方法，在对影响估价对象价值因素进行综合分析的基础上，确定本次估价对象房地产在</w:t>
      </w:r>
      <w:r>
        <w:rPr>
          <w:rFonts w:hint="eastAsia" w:ascii="仿宋_GB2312" w:hAnsi="宋体" w:eastAsia="仿宋_GB2312"/>
          <w:sz w:val="28"/>
          <w:szCs w:val="28"/>
          <w:lang w:eastAsia="zh-CN"/>
        </w:rPr>
        <w:t>2022年7月4日</w:t>
      </w:r>
      <w:r>
        <w:rPr>
          <w:rFonts w:hint="eastAsia" w:ascii="仿宋_GB2312" w:eastAsia="仿宋_GB2312"/>
          <w:sz w:val="28"/>
          <w:szCs w:val="28"/>
        </w:rPr>
        <w:t>的</w:t>
      </w:r>
      <w:r>
        <w:rPr>
          <w:rFonts w:hint="eastAsia" w:ascii="仿宋_GB2312" w:hAnsi="宋体" w:eastAsia="仿宋_GB2312" w:cs="宋体"/>
          <w:sz w:val="28"/>
          <w:szCs w:val="28"/>
        </w:rPr>
        <w:t>评估价值如下：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kern w:val="0"/>
          <w:sz w:val="22"/>
          <w:szCs w:val="22"/>
        </w:rPr>
      </w:pPr>
      <w:r>
        <w:rPr>
          <w:rFonts w:hint="eastAsia" w:ascii="宋体" w:hAnsi="宋体" w:cs="宋体"/>
          <w:b/>
          <w:bCs/>
          <w:kern w:val="0"/>
          <w:sz w:val="22"/>
          <w:szCs w:val="22"/>
        </w:rPr>
        <w:t>估价结果汇总表</w:t>
      </w:r>
    </w:p>
    <w:p>
      <w:pPr>
        <w:spacing w:line="240" w:lineRule="atLeast"/>
        <w:ind w:firstLine="7131" w:firstLineChars="3962"/>
        <w:rPr>
          <w:rFonts w:hint="eastAsia" w:ascii="宋体" w:hAnsi="宋体" w:cs="宋体"/>
          <w:kern w:val="0"/>
          <w:sz w:val="18"/>
          <w:szCs w:val="18"/>
        </w:rPr>
      </w:pPr>
      <w:r>
        <w:rPr>
          <w:rFonts w:hint="eastAsia" w:ascii="宋体" w:hAnsi="宋体" w:cs="宋体"/>
          <w:kern w:val="0"/>
          <w:sz w:val="18"/>
          <w:szCs w:val="18"/>
        </w:rPr>
        <w:t>币种：人民币</w:t>
      </w:r>
    </w:p>
    <w:tbl>
      <w:tblPr>
        <w:tblStyle w:val="27"/>
        <w:tblW w:w="0" w:type="auto"/>
        <w:jc w:val="center"/>
        <w:tblLayout w:type="fixed"/>
        <w:tblCellMar>
          <w:top w:w="0" w:type="dxa"/>
          <w:left w:w="108" w:type="dxa"/>
          <w:bottom w:w="0" w:type="dxa"/>
          <w:right w:w="108" w:type="dxa"/>
        </w:tblCellMar>
      </w:tblPr>
      <w:tblGrid>
        <w:gridCol w:w="2015"/>
        <w:gridCol w:w="2040"/>
        <w:gridCol w:w="2562"/>
        <w:gridCol w:w="2423"/>
      </w:tblGrid>
      <w:tr>
        <w:tblPrEx>
          <w:tblCellMar>
            <w:top w:w="0" w:type="dxa"/>
            <w:left w:w="108" w:type="dxa"/>
            <w:bottom w:w="0" w:type="dxa"/>
            <w:right w:w="108" w:type="dxa"/>
          </w:tblCellMar>
        </w:tblPrEx>
        <w:trPr>
          <w:trHeight w:val="748" w:hRule="atLeast"/>
          <w:jc w:val="center"/>
        </w:trPr>
        <w:tc>
          <w:tcPr>
            <w:tcW w:w="4055"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 xml:space="preserve">        估价方法</w:t>
            </w:r>
          </w:p>
          <w:p>
            <w:pPr>
              <w:ind w:firstLine="300" w:firstLineChars="150"/>
              <w:rPr>
                <w:rFonts w:ascii="宋体" w:hAnsi="宋体" w:cs="宋体"/>
                <w:kern w:val="0"/>
                <w:sz w:val="20"/>
              </w:rPr>
            </w:pPr>
            <w:r>
              <w:rPr>
                <w:rFonts w:hint="eastAsia" w:ascii="宋体" w:hAnsi="宋体" w:cs="宋体"/>
                <w:kern w:val="0"/>
                <w:sz w:val="20"/>
              </w:rPr>
              <w:t>相关结果</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比较法</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收益法</w:t>
            </w:r>
          </w:p>
        </w:tc>
      </w:tr>
      <w:tr>
        <w:tblPrEx>
          <w:tblCellMar>
            <w:top w:w="0" w:type="dxa"/>
            <w:left w:w="108" w:type="dxa"/>
            <w:bottom w:w="0" w:type="dxa"/>
            <w:right w:w="108" w:type="dxa"/>
          </w:tblCellMar>
        </w:tblPrEx>
        <w:trPr>
          <w:trHeight w:val="518" w:hRule="atLeast"/>
          <w:jc w:val="center"/>
        </w:trPr>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测算结果</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总价</w:t>
            </w:r>
          </w:p>
        </w:tc>
        <w:tc>
          <w:tcPr>
            <w:tcW w:w="2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eastAsia="zh-CN"/>
              </w:rPr>
              <w:t>540979</w:t>
            </w:r>
            <w:r>
              <w:rPr>
                <w:rFonts w:hint="eastAsia" w:ascii="宋体" w:hAnsi="宋体" w:cs="宋体"/>
                <w:color w:val="auto"/>
                <w:kern w:val="0"/>
                <w:sz w:val="20"/>
              </w:rPr>
              <w:t xml:space="preserve"> 元</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val="en-US" w:eastAsia="zh-CN"/>
              </w:rPr>
              <w:t>280800</w:t>
            </w:r>
            <w:r>
              <w:rPr>
                <w:rFonts w:hint="eastAsia" w:ascii="宋体" w:hAnsi="宋体" w:cs="宋体"/>
                <w:color w:val="auto"/>
                <w:kern w:val="0"/>
                <w:sz w:val="20"/>
              </w:rPr>
              <w:t>元</w:t>
            </w:r>
          </w:p>
        </w:tc>
      </w:tr>
      <w:tr>
        <w:tblPrEx>
          <w:tblCellMar>
            <w:top w:w="0" w:type="dxa"/>
            <w:left w:w="108" w:type="dxa"/>
            <w:bottom w:w="0" w:type="dxa"/>
            <w:right w:w="108" w:type="dxa"/>
          </w:tblCellMar>
        </w:tblPrEx>
        <w:trPr>
          <w:trHeight w:val="492" w:hRule="atLeast"/>
          <w:jc w:val="center"/>
        </w:trPr>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单价</w:t>
            </w:r>
          </w:p>
        </w:tc>
        <w:tc>
          <w:tcPr>
            <w:tcW w:w="2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eastAsia="zh-CN"/>
              </w:rPr>
              <w:t>5827</w:t>
            </w:r>
            <w:r>
              <w:rPr>
                <w:rFonts w:hint="eastAsia" w:ascii="宋体" w:hAnsi="宋体" w:cs="宋体"/>
                <w:color w:val="auto"/>
                <w:kern w:val="0"/>
                <w:sz w:val="20"/>
              </w:rPr>
              <w:t>元/㎡</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eastAsia="zh-CN"/>
              </w:rPr>
              <w:t>3025</w:t>
            </w:r>
            <w:r>
              <w:rPr>
                <w:rFonts w:hint="eastAsia" w:ascii="宋体" w:hAnsi="宋体" w:cs="宋体"/>
                <w:color w:val="auto"/>
                <w:kern w:val="0"/>
                <w:sz w:val="20"/>
              </w:rPr>
              <w:t>元/㎡</w:t>
            </w:r>
          </w:p>
        </w:tc>
      </w:tr>
      <w:tr>
        <w:tblPrEx>
          <w:tblCellMar>
            <w:top w:w="0" w:type="dxa"/>
            <w:left w:w="108" w:type="dxa"/>
            <w:bottom w:w="0" w:type="dxa"/>
            <w:right w:w="108" w:type="dxa"/>
          </w:tblCellMar>
        </w:tblPrEx>
        <w:trPr>
          <w:trHeight w:val="736" w:hRule="atLeast"/>
          <w:jc w:val="center"/>
        </w:trPr>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评估价值</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总价</w:t>
            </w:r>
          </w:p>
        </w:tc>
        <w:tc>
          <w:tcPr>
            <w:tcW w:w="4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0"/>
              </w:rPr>
            </w:pPr>
            <w:r>
              <w:rPr>
                <w:rFonts w:hint="eastAsia" w:ascii="宋体" w:hAnsi="宋体" w:cs="宋体"/>
                <w:color w:val="auto"/>
                <w:kern w:val="0"/>
                <w:sz w:val="20"/>
              </w:rPr>
              <w:t>小写金额：</w:t>
            </w:r>
            <w:r>
              <w:rPr>
                <w:rFonts w:hint="eastAsia" w:ascii="宋体" w:hAnsi="宋体" w:cs="宋体"/>
                <w:color w:val="auto"/>
                <w:kern w:val="0"/>
                <w:sz w:val="20"/>
                <w:lang w:eastAsia="zh-CN"/>
              </w:rPr>
              <w:t>540979</w:t>
            </w:r>
            <w:r>
              <w:rPr>
                <w:rFonts w:hint="eastAsia" w:ascii="宋体" w:hAnsi="宋体" w:cs="宋体"/>
                <w:color w:val="auto"/>
                <w:kern w:val="0"/>
                <w:sz w:val="20"/>
              </w:rPr>
              <w:t>元</w:t>
            </w:r>
            <w:r>
              <w:rPr>
                <w:rFonts w:hint="eastAsia" w:ascii="宋体" w:hAnsi="宋体" w:cs="宋体"/>
                <w:color w:val="auto"/>
                <w:kern w:val="0"/>
                <w:sz w:val="20"/>
              </w:rPr>
              <w:br w:type="textWrapping"/>
            </w:r>
            <w:r>
              <w:rPr>
                <w:rFonts w:hint="eastAsia" w:ascii="宋体" w:hAnsi="宋体" w:cs="宋体"/>
                <w:color w:val="auto"/>
                <w:kern w:val="0"/>
                <w:sz w:val="20"/>
              </w:rPr>
              <w:t>大写金额：</w:t>
            </w:r>
            <w:r>
              <w:rPr>
                <w:rFonts w:hint="eastAsia" w:ascii="宋体" w:hAnsi="宋体" w:cs="宋体"/>
                <w:color w:val="auto"/>
                <w:kern w:val="0"/>
                <w:sz w:val="20"/>
              </w:rPr>
              <w:fldChar w:fldCharType="begin"/>
            </w:r>
            <w:r>
              <w:rPr>
                <w:rFonts w:hint="eastAsia" w:ascii="宋体" w:hAnsi="宋体" w:cs="宋体"/>
                <w:color w:val="auto"/>
                <w:kern w:val="0"/>
                <w:sz w:val="20"/>
              </w:rPr>
              <w:instrText xml:space="preserve"> = 1114261 \* CHINESENUM2 \* MERGEFORMAT </w:instrText>
            </w:r>
            <w:r>
              <w:rPr>
                <w:rFonts w:hint="eastAsia" w:ascii="宋体" w:hAnsi="宋体" w:cs="宋体"/>
                <w:color w:val="auto"/>
                <w:kern w:val="0"/>
                <w:sz w:val="20"/>
              </w:rPr>
              <w:fldChar w:fldCharType="separate"/>
            </w:r>
            <w:r>
              <w:rPr>
                <w:rFonts w:hint="eastAsia" w:ascii="宋体" w:hAnsi="宋体" w:cs="宋体"/>
                <w:color w:val="auto"/>
                <w:kern w:val="0"/>
                <w:sz w:val="20"/>
                <w:lang w:eastAsia="zh-CN"/>
              </w:rPr>
              <w:t>伍拾肆万零玖佰柒拾玖</w:t>
            </w:r>
            <w:r>
              <w:rPr>
                <w:rFonts w:hint="eastAsia" w:ascii="宋体" w:hAnsi="宋体" w:cs="宋体"/>
                <w:color w:val="auto"/>
                <w:kern w:val="0"/>
                <w:sz w:val="20"/>
              </w:rPr>
              <w:fldChar w:fldCharType="end"/>
            </w:r>
            <w:r>
              <w:rPr>
                <w:rFonts w:hint="eastAsia" w:ascii="宋体" w:hAnsi="宋体" w:cs="宋体"/>
                <w:color w:val="auto"/>
                <w:kern w:val="0"/>
                <w:sz w:val="20"/>
              </w:rPr>
              <w:t>元整</w:t>
            </w:r>
          </w:p>
        </w:tc>
      </w:tr>
      <w:tr>
        <w:tblPrEx>
          <w:tblCellMar>
            <w:top w:w="0" w:type="dxa"/>
            <w:left w:w="108" w:type="dxa"/>
            <w:bottom w:w="0" w:type="dxa"/>
            <w:right w:w="108" w:type="dxa"/>
          </w:tblCellMar>
        </w:tblPrEx>
        <w:trPr>
          <w:trHeight w:val="651" w:hRule="atLeast"/>
          <w:jc w:val="center"/>
        </w:trPr>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单价</w:t>
            </w:r>
          </w:p>
        </w:tc>
        <w:tc>
          <w:tcPr>
            <w:tcW w:w="4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0"/>
              </w:rPr>
            </w:pPr>
            <w:r>
              <w:rPr>
                <w:rFonts w:hint="eastAsia" w:ascii="宋体" w:hAnsi="宋体" w:cs="宋体"/>
                <w:color w:val="auto"/>
                <w:kern w:val="0"/>
                <w:sz w:val="20"/>
                <w:lang w:eastAsia="zh-CN"/>
              </w:rPr>
              <w:t>5827</w:t>
            </w:r>
            <w:r>
              <w:rPr>
                <w:rFonts w:hint="eastAsia" w:ascii="宋体" w:hAnsi="宋体" w:cs="宋体"/>
                <w:color w:val="auto"/>
                <w:kern w:val="0"/>
                <w:sz w:val="20"/>
              </w:rPr>
              <w:t>元/㎡</w:t>
            </w:r>
          </w:p>
        </w:tc>
      </w:tr>
    </w:tbl>
    <w:p>
      <w:pPr>
        <w:spacing w:line="520" w:lineRule="exact"/>
        <w:ind w:firstLine="576" w:firstLineChars="200"/>
        <w:rPr>
          <w:rFonts w:hint="eastAsia" w:ascii="仿宋_GB2312" w:eastAsia="仿宋_GB2312"/>
          <w:spacing w:val="2"/>
          <w:sz w:val="28"/>
          <w:szCs w:val="28"/>
        </w:rPr>
      </w:pPr>
      <w:bookmarkStart w:id="67" w:name="_Toc265761768"/>
      <w:r>
        <w:rPr>
          <w:rFonts w:hint="eastAsia" w:ascii="仿宋_GB2312" w:hAnsi="宋体" w:eastAsia="仿宋_GB2312"/>
          <w:spacing w:val="4"/>
          <w:sz w:val="28"/>
        </w:rPr>
        <w:t>通过对以上两种方法测算结果的分析，并经估价人员对房地产市场情况的调查综合分析后得出，</w:t>
      </w:r>
      <w:r>
        <w:rPr>
          <w:rFonts w:hint="eastAsia" w:ascii="仿宋_GB2312" w:eastAsia="仿宋_GB2312"/>
          <w:spacing w:val="2"/>
          <w:sz w:val="28"/>
          <w:szCs w:val="28"/>
        </w:rPr>
        <w:t>比较法测算结果</w:t>
      </w:r>
      <w:r>
        <w:rPr>
          <w:rFonts w:hint="eastAsia" w:ascii="仿宋_GB2312" w:eastAsia="仿宋_GB2312"/>
          <w:sz w:val="28"/>
          <w:szCs w:val="28"/>
        </w:rPr>
        <w:t>适宜性较强，可信度较高</w:t>
      </w:r>
      <w:r>
        <w:rPr>
          <w:rFonts w:hint="eastAsia" w:ascii="仿宋_GB2312" w:eastAsia="仿宋_GB2312"/>
          <w:spacing w:val="2"/>
          <w:sz w:val="28"/>
          <w:szCs w:val="28"/>
        </w:rPr>
        <w:t>，其测算结果更能客观地反映估价</w:t>
      </w:r>
      <w:r>
        <w:rPr>
          <w:rFonts w:hint="eastAsia" w:ascii="仿宋_GB2312" w:eastAsia="仿宋_GB2312"/>
          <w:spacing w:val="10"/>
          <w:sz w:val="28"/>
          <w:szCs w:val="28"/>
        </w:rPr>
        <w:t>对象的正常市场价值，而</w:t>
      </w:r>
      <w:r>
        <w:rPr>
          <w:rFonts w:hint="eastAsia" w:ascii="仿宋_GB2312" w:eastAsia="仿宋_GB2312"/>
          <w:spacing w:val="2"/>
          <w:sz w:val="28"/>
          <w:szCs w:val="28"/>
        </w:rPr>
        <w:t>通过收益法测算得出的估价结果远远低于估价对象的正常市场价值。</w:t>
      </w:r>
    </w:p>
    <w:p>
      <w:pPr>
        <w:spacing w:line="520" w:lineRule="exact"/>
        <w:ind w:firstLine="576" w:firstLineChars="200"/>
        <w:rPr>
          <w:rFonts w:hint="eastAsia" w:ascii="仿宋_GB2312" w:hAnsi="宋体" w:eastAsia="仿宋_GB2312"/>
          <w:spacing w:val="4"/>
          <w:sz w:val="28"/>
        </w:rPr>
      </w:pPr>
      <w:r>
        <w:rPr>
          <w:rFonts w:hint="eastAsia" w:ascii="仿宋_GB2312" w:hAnsi="宋体" w:eastAsia="仿宋_GB2312"/>
          <w:spacing w:val="4"/>
          <w:sz w:val="28"/>
        </w:rPr>
        <w:t>因此采用比较法测算结果更能客观反映本次估价对象当前房地产市场的真实价值，故本次估价结果取比较法测算结果，收益法测算结果作为本次估价的参考。（详见下表）</w:t>
      </w:r>
    </w:p>
    <w:tbl>
      <w:tblPr>
        <w:tblStyle w:val="27"/>
        <w:tblpPr w:leftFromText="180" w:rightFromText="180" w:vertAnchor="text" w:horzAnchor="margin" w:tblpY="6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836"/>
        <w:gridCol w:w="1996"/>
        <w:gridCol w:w="1981"/>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房屋所有权人</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产权证号</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规划用途</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结构</w:t>
            </w:r>
          </w:p>
        </w:tc>
        <w:tc>
          <w:tcPr>
            <w:tcW w:w="17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建造年代（年）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马涛</w:t>
            </w:r>
          </w:p>
        </w:tc>
        <w:tc>
          <w:tcPr>
            <w:tcW w:w="1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宁（2018）利通区不动产权第W0006966号</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color w:val="000000"/>
                <w:sz w:val="24"/>
                <w:szCs w:val="24"/>
              </w:rPr>
            </w:pPr>
            <w:r>
              <w:rPr>
                <w:rFonts w:hint="eastAsia" w:ascii="宋体" w:hAnsi="宋体" w:cs="仿宋_GB2312"/>
                <w:color w:val="000000"/>
                <w:sz w:val="24"/>
                <w:szCs w:val="24"/>
              </w:rPr>
              <w:t>住宅</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color w:val="000000"/>
                <w:sz w:val="24"/>
                <w:szCs w:val="24"/>
              </w:rPr>
            </w:pPr>
            <w:r>
              <w:rPr>
                <w:rFonts w:hint="eastAsia" w:ascii="宋体" w:hAnsi="宋体" w:cs="仿宋_GB2312"/>
                <w:color w:val="000000"/>
                <w:sz w:val="24"/>
                <w:szCs w:val="24"/>
              </w:rPr>
              <w:t>钢筋混凝土结构</w:t>
            </w:r>
          </w:p>
        </w:tc>
        <w:tc>
          <w:tcPr>
            <w:tcW w:w="17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仿宋_GB2312"/>
                <w:color w:val="000000"/>
                <w:sz w:val="24"/>
                <w:szCs w:val="24"/>
                <w:lang w:val="en-US" w:eastAsia="zh-CN"/>
              </w:rPr>
            </w:pPr>
            <w:r>
              <w:rPr>
                <w:rFonts w:hint="eastAsia" w:ascii="宋体" w:hAnsi="宋体" w:cs="仿宋_GB2312"/>
                <w:color w:val="000000"/>
                <w:sz w:val="24"/>
                <w:szCs w:val="24"/>
                <w:lang w:val="en-US" w:eastAsia="zh-CN"/>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总层数（</w:t>
            </w:r>
            <w:r>
              <w:rPr>
                <w:rFonts w:hint="eastAsia" w:ascii="宋体" w:hAnsi="宋体" w:cs="仿宋_GB2312"/>
                <w:color w:val="000000"/>
                <w:sz w:val="24"/>
                <w:szCs w:val="24"/>
              </w:rPr>
              <w:t>层</w:t>
            </w:r>
            <w:r>
              <w:rPr>
                <w:rFonts w:hint="eastAsia" w:ascii="宋体" w:hAnsi="宋体" w:cs="仿宋_GB2312"/>
                <w:b/>
                <w:color w:val="000000"/>
                <w:sz w:val="24"/>
                <w:szCs w:val="24"/>
              </w:rPr>
              <w:t>）</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所在层（</w:t>
            </w:r>
            <w:r>
              <w:rPr>
                <w:rFonts w:hint="eastAsia" w:ascii="宋体" w:hAnsi="宋体" w:cs="仿宋_GB2312"/>
                <w:color w:val="000000"/>
                <w:sz w:val="24"/>
                <w:szCs w:val="24"/>
              </w:rPr>
              <w:t>层</w:t>
            </w:r>
            <w:r>
              <w:rPr>
                <w:rFonts w:hint="eastAsia" w:ascii="宋体" w:hAnsi="宋体" w:cs="仿宋_GB2312"/>
                <w:b/>
                <w:color w:val="000000"/>
                <w:sz w:val="24"/>
                <w:szCs w:val="24"/>
              </w:rPr>
              <w:t>）</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建筑面积（</w:t>
            </w:r>
            <w:r>
              <w:rPr>
                <w:rFonts w:hint="eastAsia" w:ascii="宋体" w:hAnsi="宋体" w:cs="仿宋_GB2312"/>
                <w:color w:val="000000"/>
                <w:sz w:val="24"/>
                <w:szCs w:val="24"/>
              </w:rPr>
              <w:t>㎡</w:t>
            </w:r>
            <w:r>
              <w:rPr>
                <w:rFonts w:hint="eastAsia" w:ascii="宋体" w:hAnsi="宋体" w:cs="仿宋_GB2312"/>
                <w:b/>
                <w:color w:val="000000"/>
                <w:sz w:val="24"/>
                <w:szCs w:val="24"/>
              </w:rPr>
              <w:t>）</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单价（</w:t>
            </w:r>
            <w:r>
              <w:rPr>
                <w:rFonts w:hint="eastAsia" w:ascii="宋体" w:hAnsi="宋体" w:cs="仿宋_GB2312"/>
                <w:color w:val="000000"/>
                <w:sz w:val="24"/>
                <w:szCs w:val="24"/>
              </w:rPr>
              <w:t>元/㎡</w:t>
            </w:r>
            <w:r>
              <w:rPr>
                <w:rFonts w:hint="eastAsia" w:ascii="宋体" w:hAnsi="宋体" w:cs="仿宋_GB2312"/>
                <w:b/>
                <w:color w:val="000000"/>
                <w:sz w:val="24"/>
                <w:szCs w:val="24"/>
              </w:rPr>
              <w:t>）</w:t>
            </w:r>
          </w:p>
        </w:tc>
        <w:tc>
          <w:tcPr>
            <w:tcW w:w="17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总价（</w:t>
            </w:r>
            <w:r>
              <w:rPr>
                <w:rFonts w:hint="eastAsia" w:ascii="宋体" w:hAnsi="宋体" w:cs="仿宋_GB2312"/>
                <w:color w:val="000000"/>
                <w:sz w:val="24"/>
                <w:szCs w:val="24"/>
              </w:rPr>
              <w:t>元</w:t>
            </w:r>
            <w:r>
              <w:rPr>
                <w:rFonts w:hint="eastAsia" w:ascii="宋体" w:hAnsi="宋体" w:cs="仿宋_GB2312"/>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val="en-US" w:eastAsia="zh-CN"/>
              </w:rPr>
              <w:t>5</w:t>
            </w:r>
          </w:p>
        </w:tc>
        <w:tc>
          <w:tcPr>
            <w:tcW w:w="1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val="en-US" w:eastAsia="zh-CN"/>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92.84</w:t>
            </w: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auto"/>
                <w:sz w:val="24"/>
                <w:szCs w:val="24"/>
                <w:lang w:eastAsia="zh-CN"/>
              </w:rPr>
            </w:pPr>
            <w:r>
              <w:rPr>
                <w:rFonts w:hint="eastAsia" w:ascii="宋体" w:hAnsi="宋体" w:cs="仿宋_GB2312"/>
                <w:color w:val="auto"/>
                <w:sz w:val="24"/>
                <w:szCs w:val="24"/>
                <w:lang w:eastAsia="zh-CN"/>
              </w:rPr>
              <w:t>5827</w:t>
            </w:r>
          </w:p>
        </w:tc>
        <w:tc>
          <w:tcPr>
            <w:tcW w:w="1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auto"/>
                <w:sz w:val="24"/>
                <w:szCs w:val="24"/>
                <w:lang w:eastAsia="zh-CN"/>
              </w:rPr>
            </w:pPr>
            <w:r>
              <w:rPr>
                <w:rFonts w:hint="eastAsia" w:ascii="宋体" w:hAnsi="宋体" w:cs="仿宋_GB2312"/>
                <w:color w:val="auto"/>
                <w:sz w:val="24"/>
                <w:szCs w:val="24"/>
                <w:lang w:eastAsia="zh-CN"/>
              </w:rPr>
              <w:t>540979</w:t>
            </w:r>
          </w:p>
        </w:tc>
      </w:tr>
    </w:tbl>
    <w:p>
      <w:pPr>
        <w:spacing w:line="500" w:lineRule="exact"/>
        <w:ind w:firstLine="3786" w:firstLineChars="1150"/>
        <w:jc w:val="left"/>
        <w:rPr>
          <w:rFonts w:hint="eastAsia" w:ascii="仿宋_GB2312" w:hAnsi="宋体" w:eastAsia="仿宋_GB2312"/>
          <w:b/>
          <w:bCs/>
          <w:spacing w:val="4"/>
          <w:sz w:val="36"/>
          <w:szCs w:val="36"/>
        </w:rPr>
      </w:pPr>
      <w:r>
        <w:rPr>
          <w:rFonts w:hint="eastAsia" w:ascii="仿宋_GB2312" w:hAnsi="宋体" w:eastAsia="仿宋_GB2312"/>
          <w:b/>
          <w:bCs/>
          <w:spacing w:val="4"/>
          <w:sz w:val="32"/>
          <w:szCs w:val="32"/>
        </w:rPr>
        <w:t>估价结果一览表</w:t>
      </w:r>
    </w:p>
    <w:bookmarkEnd w:id="67"/>
    <w:p>
      <w:pPr>
        <w:spacing w:line="450" w:lineRule="exact"/>
        <w:jc w:val="left"/>
        <w:rPr>
          <w:rFonts w:hint="eastAsia" w:ascii="仿宋_GB2312" w:hAnsi="宋体" w:eastAsia="仿宋_GB2312" w:cs="宋体"/>
          <w:b/>
          <w:sz w:val="28"/>
          <w:szCs w:val="28"/>
        </w:rPr>
      </w:pPr>
      <w:r>
        <w:rPr>
          <w:rFonts w:hint="eastAsia" w:ascii="仿宋_GB2312" w:hAnsi="宋体" w:eastAsia="仿宋_GB2312" w:cs="宋体"/>
          <w:b/>
          <w:sz w:val="28"/>
          <w:szCs w:val="28"/>
        </w:rPr>
        <w:t>十一、注册房地产估价师</w:t>
      </w:r>
    </w:p>
    <w:p>
      <w:pPr>
        <w:spacing w:line="450" w:lineRule="exact"/>
        <w:jc w:val="center"/>
        <w:rPr>
          <w:rFonts w:hint="eastAsia" w:ascii="仿宋_GB2312" w:hAnsi="宋体" w:eastAsia="仿宋_GB2312" w:cs="宋体"/>
          <w:b/>
          <w:sz w:val="28"/>
          <w:szCs w:val="28"/>
        </w:rPr>
      </w:pPr>
      <w:r>
        <w:rPr>
          <w:rFonts w:hint="eastAsia" w:ascii="仿宋_GB2312" w:hAnsi="宋体" w:eastAsia="仿宋_GB2312" w:cs="宋体"/>
          <w:b/>
          <w:color w:val="000000"/>
          <w:sz w:val="28"/>
          <w:szCs w:val="28"/>
        </w:rPr>
        <w:t>参加估价的注册房地产估价师</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8"/>
        <w:gridCol w:w="2142"/>
        <w:gridCol w:w="3283"/>
        <w:gridCol w:w="2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1428"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姓名</w:t>
            </w:r>
          </w:p>
        </w:tc>
        <w:tc>
          <w:tcPr>
            <w:tcW w:w="2142"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注册号</w:t>
            </w:r>
          </w:p>
        </w:tc>
        <w:tc>
          <w:tcPr>
            <w:tcW w:w="3283"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签名</w:t>
            </w:r>
          </w:p>
        </w:tc>
        <w:tc>
          <w:tcPr>
            <w:tcW w:w="2285"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2" w:hRule="atLeast"/>
          <w:jc w:val="center"/>
        </w:trPr>
        <w:tc>
          <w:tcPr>
            <w:tcW w:w="1428" w:type="dxa"/>
            <w:vAlign w:val="center"/>
          </w:tcPr>
          <w:p>
            <w:pPr>
              <w:spacing w:line="440" w:lineRule="exact"/>
              <w:jc w:val="center"/>
              <w:rPr>
                <w:rFonts w:hint="eastAsia" w:ascii="仿宋_GB2312" w:hAnsi="宋体" w:eastAsia="仿宋_GB2312"/>
                <w:sz w:val="28"/>
                <w:szCs w:val="28"/>
              </w:rPr>
            </w:pPr>
            <w:r>
              <w:rPr>
                <w:rFonts w:hint="eastAsia" w:ascii="仿宋_GB2312" w:hAnsi="仿宋_GB2312" w:eastAsia="仿宋_GB2312" w:cs="仿宋_GB2312"/>
                <w:sz w:val="28"/>
                <w:szCs w:val="28"/>
                <w:lang w:eastAsia="zh-CN"/>
              </w:rPr>
              <w:t>马彦宏</w:t>
            </w:r>
          </w:p>
        </w:tc>
        <w:tc>
          <w:tcPr>
            <w:tcW w:w="2142" w:type="dxa"/>
            <w:vAlign w:val="center"/>
          </w:tcPr>
          <w:p>
            <w:pPr>
              <w:spacing w:line="440" w:lineRule="exact"/>
              <w:jc w:val="center"/>
              <w:rPr>
                <w:rFonts w:hint="eastAsia" w:ascii="仿宋_GB2312" w:hAnsi="宋体" w:eastAsia="仿宋_GB2312"/>
                <w:sz w:val="28"/>
                <w:szCs w:val="28"/>
              </w:rPr>
            </w:pPr>
            <w:r>
              <w:rPr>
                <w:rFonts w:hint="eastAsia" w:ascii="仿宋_GB2312" w:hAnsi="仿宋_GB2312" w:eastAsia="仿宋_GB2312" w:cs="仿宋_GB2312"/>
                <w:sz w:val="28"/>
                <w:szCs w:val="28"/>
                <w:lang w:eastAsia="zh-CN"/>
              </w:rPr>
              <w:t>6420070004</w:t>
            </w:r>
          </w:p>
        </w:tc>
        <w:tc>
          <w:tcPr>
            <w:tcW w:w="3283" w:type="dxa"/>
            <w:vAlign w:val="center"/>
          </w:tcPr>
          <w:p>
            <w:pPr>
              <w:spacing w:line="440" w:lineRule="exact"/>
              <w:jc w:val="center"/>
              <w:rPr>
                <w:rFonts w:hint="eastAsia" w:ascii="仿宋_GB2312" w:hAnsi="宋体" w:eastAsia="仿宋_GB2312"/>
                <w:sz w:val="28"/>
                <w:szCs w:val="28"/>
              </w:rPr>
            </w:pPr>
          </w:p>
        </w:tc>
        <w:tc>
          <w:tcPr>
            <w:tcW w:w="2285"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____年__月__日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1428" w:type="dxa"/>
            <w:vAlign w:val="center"/>
          </w:tcPr>
          <w:p>
            <w:pPr>
              <w:spacing w:line="440" w:lineRule="exact"/>
              <w:jc w:val="center"/>
              <w:rPr>
                <w:rFonts w:hint="eastAsia" w:ascii="仿宋_GB2312" w:hAnsi="宋体" w:eastAsia="仿宋_GB2312"/>
                <w:sz w:val="28"/>
                <w:szCs w:val="28"/>
                <w:lang w:eastAsia="zh-CN"/>
              </w:rPr>
            </w:pPr>
            <w:r>
              <w:rPr>
                <w:rFonts w:hint="eastAsia" w:ascii="仿宋_GB2312" w:hAnsi="仿宋_GB2312" w:eastAsia="仿宋_GB2312" w:cs="仿宋_GB2312"/>
                <w:sz w:val="28"/>
                <w:szCs w:val="28"/>
              </w:rPr>
              <w:t>尹建生</w:t>
            </w:r>
          </w:p>
        </w:tc>
        <w:tc>
          <w:tcPr>
            <w:tcW w:w="2142" w:type="dxa"/>
            <w:vAlign w:val="center"/>
          </w:tcPr>
          <w:p>
            <w:pPr>
              <w:spacing w:line="440" w:lineRule="exact"/>
              <w:jc w:val="center"/>
              <w:rPr>
                <w:rFonts w:hint="eastAsia" w:ascii="仿宋_GB2312" w:hAnsi="宋体" w:eastAsia="仿宋_GB2312"/>
                <w:sz w:val="28"/>
                <w:szCs w:val="28"/>
                <w:lang w:eastAsia="zh-CN"/>
              </w:rPr>
            </w:pPr>
            <w:r>
              <w:rPr>
                <w:rFonts w:hint="eastAsia" w:ascii="仿宋_GB2312" w:hAnsi="仿宋_GB2312" w:eastAsia="仿宋_GB2312" w:cs="仿宋_GB2312"/>
                <w:sz w:val="28"/>
                <w:szCs w:val="28"/>
              </w:rPr>
              <w:t>6419970005</w:t>
            </w:r>
          </w:p>
        </w:tc>
        <w:tc>
          <w:tcPr>
            <w:tcW w:w="3283" w:type="dxa"/>
            <w:vAlign w:val="center"/>
          </w:tcPr>
          <w:p>
            <w:pPr>
              <w:spacing w:line="440" w:lineRule="exact"/>
              <w:jc w:val="center"/>
              <w:rPr>
                <w:rFonts w:hint="eastAsia" w:ascii="仿宋_GB2312" w:hAnsi="宋体" w:eastAsia="仿宋_GB2312"/>
                <w:sz w:val="28"/>
                <w:szCs w:val="28"/>
              </w:rPr>
            </w:pPr>
          </w:p>
        </w:tc>
        <w:tc>
          <w:tcPr>
            <w:tcW w:w="2285"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____年__月__日</w:t>
            </w:r>
          </w:p>
        </w:tc>
      </w:tr>
    </w:tbl>
    <w:p>
      <w:pPr>
        <w:spacing w:line="480" w:lineRule="exact"/>
        <w:rPr>
          <w:rFonts w:hint="eastAsia" w:ascii="仿宋_GB2312" w:eastAsia="仿宋_GB2312"/>
          <w:b/>
          <w:sz w:val="28"/>
          <w:szCs w:val="28"/>
        </w:rPr>
      </w:pPr>
      <w:bookmarkStart w:id="68" w:name="_Toc265761769"/>
      <w:r>
        <w:rPr>
          <w:rFonts w:hint="eastAsia" w:ascii="仿宋_GB2312" w:hAnsi="仿宋_GB2312" w:eastAsia="仿宋_GB2312" w:cs="仿宋_GB2312"/>
          <w:b/>
          <w:sz w:val="28"/>
          <w:szCs w:val="28"/>
        </w:rPr>
        <w:t>十二、</w:t>
      </w:r>
      <w:r>
        <w:rPr>
          <w:rFonts w:hint="eastAsia" w:ascii="仿宋_GB2312" w:eastAsia="仿宋_GB2312"/>
          <w:b/>
          <w:sz w:val="28"/>
          <w:szCs w:val="28"/>
        </w:rPr>
        <w:t>实地查勘期</w:t>
      </w:r>
    </w:p>
    <w:p>
      <w:pPr>
        <w:spacing w:line="480" w:lineRule="exact"/>
        <w:ind w:firstLine="700" w:firstLineChars="250"/>
        <w:rPr>
          <w:rFonts w:hint="eastAsia" w:ascii="仿宋_GB2312" w:eastAsia="仿宋_GB2312"/>
          <w:sz w:val="28"/>
          <w:szCs w:val="28"/>
        </w:rPr>
      </w:pPr>
      <w:r>
        <w:rPr>
          <w:rFonts w:hint="eastAsia" w:ascii="仿宋_GB2312" w:eastAsia="仿宋_GB2312"/>
          <w:sz w:val="28"/>
          <w:szCs w:val="28"/>
          <w:lang w:eastAsia="zh-CN"/>
        </w:rPr>
        <w:t>2022年7月4日</w:t>
      </w:r>
      <w:r>
        <w:rPr>
          <w:rFonts w:hint="eastAsia" w:ascii="仿宋_GB2312" w:eastAsia="仿宋_GB2312"/>
          <w:sz w:val="28"/>
          <w:szCs w:val="28"/>
        </w:rPr>
        <w:t>至</w:t>
      </w:r>
      <w:r>
        <w:rPr>
          <w:rFonts w:hint="eastAsia" w:ascii="仿宋_GB2312" w:eastAsia="仿宋_GB2312"/>
          <w:sz w:val="28"/>
          <w:szCs w:val="28"/>
          <w:lang w:eastAsia="zh-CN"/>
        </w:rPr>
        <w:t>2022年7月4日</w:t>
      </w:r>
      <w:r>
        <w:rPr>
          <w:rFonts w:hint="eastAsia" w:ascii="仿宋_GB2312" w:eastAsia="仿宋_GB2312"/>
          <w:sz w:val="28"/>
          <w:szCs w:val="28"/>
        </w:rPr>
        <w:t>。</w:t>
      </w:r>
    </w:p>
    <w:p>
      <w:pPr>
        <w:spacing w:line="480" w:lineRule="exact"/>
        <w:rPr>
          <w:rFonts w:hint="eastAsia" w:ascii="仿宋_GB2312" w:hAnsi="宋体" w:eastAsia="仿宋_GB2312" w:cs="宋体"/>
          <w:sz w:val="24"/>
          <w:szCs w:val="24"/>
        </w:rPr>
      </w:pPr>
      <w:r>
        <w:rPr>
          <w:rFonts w:hint="eastAsia" w:ascii="仿宋_GB2312" w:eastAsia="仿宋_GB2312"/>
          <w:b/>
          <w:sz w:val="28"/>
          <w:szCs w:val="28"/>
        </w:rPr>
        <w:t>十三、</w:t>
      </w:r>
      <w:bookmarkEnd w:id="68"/>
      <w:r>
        <w:rPr>
          <w:rFonts w:hint="eastAsia" w:ascii="仿宋_GB2312" w:eastAsia="仿宋_GB2312"/>
          <w:b/>
          <w:sz w:val="28"/>
          <w:szCs w:val="28"/>
        </w:rPr>
        <w:t>估价作业期</w:t>
      </w:r>
    </w:p>
    <w:p>
      <w:pPr>
        <w:spacing w:line="480" w:lineRule="exact"/>
        <w:ind w:firstLine="700" w:firstLineChars="250"/>
        <w:rPr>
          <w:rFonts w:hint="eastAsia" w:ascii="仿宋_GB2312" w:hAnsi="仿宋_GB2312" w:eastAsia="仿宋_GB2312" w:cs="仿宋_GB2312"/>
          <w:sz w:val="28"/>
          <w:szCs w:val="28"/>
        </w:rPr>
        <w:sectPr>
          <w:endnotePr>
            <w:numFmt w:val="decimal"/>
          </w:endnotePr>
          <w:pgSz w:w="11907" w:h="16840"/>
          <w:pgMar w:top="1134" w:right="1247" w:bottom="1090" w:left="1588" w:header="851" w:footer="680" w:gutter="0"/>
          <w:pgNumType w:start="0"/>
          <w:cols w:space="720" w:num="1"/>
          <w:titlePg/>
        </w:sectPr>
      </w:pPr>
      <w:r>
        <w:rPr>
          <w:rFonts w:hint="eastAsia" w:ascii="仿宋_GB2312" w:eastAsia="仿宋_GB2312"/>
          <w:sz w:val="28"/>
          <w:szCs w:val="28"/>
          <w:lang w:eastAsia="zh-CN"/>
        </w:rPr>
        <w:t>2022年7月4日至 2022年7月19日</w:t>
      </w:r>
      <w:r>
        <w:rPr>
          <w:rFonts w:hint="eastAsia" w:ascii="仿宋_GB2312" w:eastAsia="仿宋_GB2312"/>
          <w:sz w:val="28"/>
          <w:szCs w:val="28"/>
        </w:rPr>
        <w:t>。</w:t>
      </w:r>
    </w:p>
    <w:p>
      <w:pPr>
        <w:spacing w:line="500" w:lineRule="atLeast"/>
        <w:ind w:firstLine="3500" w:firstLineChars="1250"/>
        <w:rPr>
          <w:rFonts w:hint="eastAsia" w:ascii="仿宋_GB2312" w:hAnsi="仿宋_GB2312" w:eastAsia="仿宋_GB2312" w:cs="仿宋_GB2312"/>
          <w:sz w:val="28"/>
          <w:szCs w:val="28"/>
        </w:rPr>
      </w:pPr>
    </w:p>
    <w:p>
      <w:pPr>
        <w:spacing w:line="500" w:lineRule="atLeast"/>
        <w:ind w:firstLine="3500" w:firstLineChars="1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宁夏力天房地产土地资产评估咨询有限公司</w:t>
      </w:r>
    </w:p>
    <w:p>
      <w:pPr>
        <w:spacing w:line="500" w:lineRule="atLeas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二〇二二年七月十九日</w:t>
      </w: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r>
        <w:rPr>
          <w:rFonts w:hint="eastAsia" w:ascii="仿宋_GB2312" w:eastAsia="仿宋_GB2312"/>
          <w:b/>
          <w:sz w:val="44"/>
          <w:szCs w:val="44"/>
        </w:rPr>
        <w:t>附 件</w:t>
      </w:r>
    </w:p>
    <w:p>
      <w:pPr>
        <w:spacing w:beforeLines="100" w:line="464" w:lineRule="exact"/>
        <w:jc w:val="center"/>
        <w:rPr>
          <w:rFonts w:ascii="宋体" w:hAnsi="宋体" w:eastAsia="仿宋_GB2312"/>
          <w:color w:val="auto"/>
          <w:sz w:val="28"/>
          <w:szCs w:val="28"/>
        </w:rPr>
      </w:pPr>
      <w:r>
        <w:rPr>
          <w:rFonts w:hint="eastAsia" w:ascii="宋体" w:hAnsi="宋体" w:eastAsia="仿宋_GB2312"/>
          <w:color w:val="auto"/>
          <w:sz w:val="28"/>
          <w:szCs w:val="28"/>
        </w:rPr>
        <w:t>（附件目录）</w:t>
      </w:r>
    </w:p>
    <w:p>
      <w:pPr>
        <w:spacing w:beforeLines="50" w:afterLines="50" w:line="500" w:lineRule="exact"/>
        <w:ind w:firstLine="555"/>
        <w:rPr>
          <w:rFonts w:hint="eastAsia" w:ascii="宋体" w:hAnsi="宋体" w:eastAsia="仿宋_GB2312"/>
          <w:color w:val="FF0000"/>
          <w:sz w:val="28"/>
          <w:szCs w:val="28"/>
          <w:lang w:val="zh-CN"/>
        </w:rPr>
      </w:pPr>
      <w:r>
        <w:rPr>
          <w:rFonts w:hint="eastAsia" w:ascii="宋体" w:hAnsi="宋体" w:eastAsia="仿宋_GB2312"/>
          <w:sz w:val="28"/>
          <w:szCs w:val="28"/>
          <w:lang w:val="zh-CN"/>
        </w:rPr>
        <w:t>（一）《吴忠市利通区人民法院委托书》（2022）宁0302执恢178号（复印件）</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（二）估价对象位置图</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（三）估价对象相关照片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（四）《利通区不动产登记信息查询单》</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（五）可比实例位置示意图及外观照片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（六） 房地产估价机构备案证书复印件</w:t>
      </w:r>
    </w:p>
    <w:p>
      <w:pPr>
        <w:spacing w:before="50" w:after="50" w:line="500" w:lineRule="exact"/>
        <w:ind w:firstLine="560" w:firstLineChars="200"/>
        <w:rPr>
          <w:rFonts w:hint="eastAsia" w:ascii="宋体" w:hAnsi="宋体" w:eastAsia="仿宋_GB2312"/>
          <w:sz w:val="28"/>
          <w:szCs w:val="28"/>
          <w:lang w:val="zh-CN"/>
        </w:rPr>
      </w:pPr>
      <w:r>
        <w:rPr>
          <w:rFonts w:hint="eastAsia" w:ascii="宋体" w:hAnsi="宋体" w:eastAsia="仿宋_GB2312"/>
          <w:sz w:val="28"/>
          <w:szCs w:val="28"/>
          <w:lang w:val="zh-CN"/>
        </w:rPr>
        <w:t>（七） 注册房地产估价师证书复印件</w:t>
      </w:r>
    </w:p>
    <w:p>
      <w:pPr>
        <w:spacing w:line="500" w:lineRule="atLeast"/>
        <w:rPr>
          <w:rFonts w:hint="eastAsia" w:ascii="仿宋_GB2312" w:hAnsi="仿宋_GB2312" w:eastAsia="仿宋_GB2312" w:cs="仿宋_GB2312"/>
          <w:sz w:val="28"/>
          <w:szCs w:val="28"/>
        </w:rPr>
        <w:sectPr>
          <w:headerReference r:id="rId11" w:type="first"/>
          <w:headerReference r:id="rId10" w:type="default"/>
          <w:footerReference r:id="rId12" w:type="default"/>
          <w:endnotePr>
            <w:numFmt w:val="decimal"/>
          </w:endnotePr>
          <w:type w:val="continuous"/>
          <w:pgSz w:w="11907" w:h="16840"/>
          <w:pgMar w:top="1134" w:right="1247" w:bottom="1089" w:left="1588" w:header="851" w:footer="680" w:gutter="0"/>
          <w:pgNumType w:start="0"/>
          <w:cols w:space="720" w:num="1"/>
          <w:docGrid w:linePitch="286" w:charSpace="0"/>
        </w:sectPr>
      </w:pPr>
    </w:p>
    <w:p>
      <w:pPr>
        <w:spacing w:line="500" w:lineRule="exact"/>
        <w:jc w:val="center"/>
        <w:rPr>
          <w:rFonts w:hint="eastAsia" w:ascii="仿宋_GB2312" w:hAnsi="仿宋_GB2312" w:eastAsia="仿宋_GB2312" w:cs="仿宋_GB2312"/>
          <w:b/>
          <w:color w:val="000000"/>
          <w:sz w:val="44"/>
          <w:szCs w:val="44"/>
        </w:rPr>
      </w:pPr>
    </w:p>
    <w:p>
      <w:pPr>
        <w:spacing w:line="500" w:lineRule="exact"/>
        <w:jc w:val="center"/>
        <w:rPr>
          <w:rFonts w:hint="eastAsia" w:ascii="仿宋_GB2312" w:hAnsi="仿宋_GB2312" w:eastAsia="仿宋_GB2312" w:cs="仿宋_GB2312"/>
          <w:b/>
          <w:color w:val="000000"/>
          <w:sz w:val="44"/>
          <w:szCs w:val="44"/>
        </w:rPr>
      </w:pPr>
    </w:p>
    <w:p>
      <w:pPr>
        <w:spacing w:line="500" w:lineRule="atLeast"/>
        <w:jc w:val="center"/>
        <w:outlineLvl w:val="0"/>
        <w:rPr>
          <w:rFonts w:hint="eastAsia" w:ascii="宋体" w:hAnsi="宋体" w:eastAsia="仿宋_GB2312"/>
          <w:sz w:val="28"/>
          <w:szCs w:val="28"/>
          <w:lang w:eastAsia="zh-CN"/>
        </w:rPr>
      </w:pPr>
      <w:bookmarkStart w:id="69" w:name="_GoBack"/>
      <w:bookmarkEnd w:id="69"/>
    </w:p>
    <w:sectPr>
      <w:headerReference r:id="rId14" w:type="first"/>
      <w:headerReference r:id="rId13" w:type="default"/>
      <w:footerReference r:id="rId15" w:type="default"/>
      <w:endnotePr>
        <w:numFmt w:val="decimal"/>
      </w:endnotePr>
      <w:type w:val="continuous"/>
      <w:pgSz w:w="11907" w:h="16840"/>
      <w:pgMar w:top="1134" w:right="1247" w:bottom="1090" w:left="1588" w:header="851" w:footer="680" w:gutter="0"/>
      <w:pgNumType w:start="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使用中文字体)">
    <w:altName w:val="宋体"/>
    <w:panose1 w:val="00000000000000000000"/>
    <w:charset w:val="86"/>
    <w:family w:val="moder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ThinSmallGap" w:color="auto" w:sz="12" w:space="1"/>
      </w:pBdr>
      <w:rPr>
        <w:rFonts w:hint="eastAsia" w:hAnsi="宋体"/>
        <w:i/>
        <w:sz w:val="21"/>
        <w:szCs w:val="21"/>
      </w:rPr>
    </w:pPr>
    <w:r>
      <w:rPr>
        <w:rFonts w:hint="eastAsia" w:hAnsi="宋体"/>
        <w:i/>
        <w:sz w:val="21"/>
        <w:szCs w:val="21"/>
      </w:rPr>
      <w:t xml:space="preserve">国家房地产一级评估机构                       </w:t>
    </w:r>
  </w:p>
  <w:p>
    <w:pPr>
      <w:pStyle w:val="15"/>
      <w:pBdr>
        <w:top w:val="thinThickThinSmallGap" w:color="auto" w:sz="12" w:space="1"/>
      </w:pBdr>
      <w:rPr>
        <w:rFonts w:hint="eastAsia" w:hAnsi="宋体"/>
        <w:i/>
      </w:rPr>
    </w:pPr>
    <w:r>
      <w:rPr>
        <w:rFonts w:hint="eastAsia" w:hAnsi="宋体"/>
        <w:i/>
        <w:szCs w:val="18"/>
      </w:rPr>
      <w:t>评估机构地址：宁夏回族自治区银川市兴庆区中山南街70号—4层</w:t>
    </w:r>
    <w:r>
      <w:rPr>
        <w:rFonts w:hint="eastAsia" w:hAnsi="宋体"/>
        <w:i/>
      </w:rPr>
      <w:t xml:space="preserve"> </w:t>
    </w:r>
    <w:r>
      <w:rPr>
        <w:rFonts w:hint="eastAsia"/>
        <w:i/>
      </w:rPr>
      <w:t xml:space="preserve">                 </w:t>
    </w:r>
    <w:r>
      <w:rPr>
        <w:rFonts w:hint="eastAsia" w:hAnsi="宋体"/>
        <w:i/>
      </w:rPr>
      <w:t xml:space="preserve"> 联系电话：0951-6035532</w:t>
    </w:r>
    <w:r>
      <w:rPr>
        <w:rFonts w:hint="eastAsia"/>
        <w:i/>
      </w:rPr>
      <w:t>　　　　                          　</w:t>
    </w:r>
  </w:p>
  <w:p>
    <w:pPr>
      <w:pStyle w:val="15"/>
      <w:widowControl/>
      <w:autoSpaceDE w:val="0"/>
      <w:autoSpaceDN w:val="0"/>
      <w:jc w:val="center"/>
      <w:textAlignment w:val="bottom"/>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1"/>
        <w:rFonts w:hint="eastAsia"/>
        <w:sz w:val="24"/>
      </w:rPr>
    </w:pPr>
    <w:r>
      <w:rPr>
        <w:rFonts w:hint="eastAsia"/>
        <w:sz w:val="24"/>
      </w:rPr>
      <w:t xml:space="preserve"> </w:t>
    </w:r>
  </w:p>
  <w:p>
    <w:pPr>
      <w:pStyle w:val="15"/>
      <w:pBdr>
        <w:top w:val="thinThickThinSmallGap" w:color="auto" w:sz="12" w:space="1"/>
      </w:pBdr>
      <w:rPr>
        <w:rFonts w:hint="eastAsia" w:hAnsi="宋体"/>
        <w:i/>
        <w:sz w:val="21"/>
        <w:szCs w:val="21"/>
      </w:rPr>
    </w:pPr>
    <w:r>
      <w:rPr>
        <w:rFonts w:hint="eastAsia" w:hAnsi="宋体"/>
        <w:i/>
        <w:sz w:val="21"/>
        <w:szCs w:val="21"/>
      </w:rPr>
      <w:t xml:space="preserve">国家房地产一级评估机构                       </w:t>
    </w:r>
  </w:p>
  <w:p>
    <w:pPr>
      <w:pStyle w:val="15"/>
      <w:pBdr>
        <w:top w:val="thinThickThinSmallGap" w:color="auto" w:sz="12" w:space="1"/>
      </w:pBdr>
      <w:rPr>
        <w:rFonts w:hint="eastAsia" w:hAnsi="宋体"/>
        <w:i/>
      </w:rPr>
    </w:pPr>
    <w:r>
      <w:rPr>
        <w:rFonts w:hint="eastAsia" w:hAnsi="宋体"/>
        <w:i/>
        <w:szCs w:val="18"/>
      </w:rPr>
      <w:t>评估机构地址：宁夏回族自治区银川市兴庆区中山南街70号—4层</w:t>
    </w:r>
    <w:r>
      <w:rPr>
        <w:rFonts w:hint="eastAsia" w:hAnsi="宋体"/>
        <w:i/>
      </w:rPr>
      <w:t xml:space="preserve"> </w:t>
    </w:r>
    <w:r>
      <w:rPr>
        <w:rFonts w:hint="eastAsia"/>
        <w:i/>
      </w:rPr>
      <w:t xml:space="preserve">               </w:t>
    </w:r>
    <w:r>
      <w:rPr>
        <w:rFonts w:hint="eastAsia" w:hAnsi="宋体"/>
        <w:i/>
      </w:rPr>
      <w:t>联系电话：0951-6035532</w:t>
    </w:r>
    <w:r>
      <w:rPr>
        <w:rFonts w:hint="eastAsia"/>
        <w:i/>
      </w:rPr>
      <w:t>　　　　                          　</w:t>
    </w:r>
  </w:p>
  <w:p>
    <w:pPr>
      <w:pStyle w:val="15"/>
      <w:widowControl/>
      <w:autoSpaceDE w:val="0"/>
      <w:autoSpaceDN w:val="0"/>
      <w:jc w:val="center"/>
      <w:textAlignment w:val="bottom"/>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rPr>
    </w:pPr>
    <w:r>
      <w:rPr>
        <w:rFonts w:hint="eastAsia"/>
        <w:i/>
      </w:rPr>
      <w:t xml:space="preserve">NINGXIA  LITIAN  REAL  ESTATE  ASSESSMENT &amp; CONSULTATION  COMPANY LIMITED </w:t>
    </w:r>
    <w:r>
      <w:rPr>
        <w:rFonts w:hint="eastAsia"/>
      </w:rPr>
      <w:t xml:space="preserve">共13页 第 </w:t>
    </w:r>
    <w:r>
      <w:fldChar w:fldCharType="begin"/>
    </w:r>
    <w:r>
      <w:rPr>
        <w:rStyle w:val="31"/>
      </w:rPr>
      <w:instrText xml:space="preserve"> PAGE </w:instrText>
    </w:r>
    <w:r>
      <w:fldChar w:fldCharType="separate"/>
    </w:r>
    <w:r>
      <w:rPr>
        <w:rStyle w:val="31"/>
        <w:lang w:val="en-US" w:eastAsia="zh-CN"/>
      </w:rPr>
      <w:t>1</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ascii="仿宋_GB2312" w:eastAsia="仿宋_GB2312"/>
        <w:sz w:val="28"/>
        <w:szCs w:val="28"/>
      </w:rPr>
    </w:pPr>
    <w:r>
      <w:rPr>
        <w:rFonts w:hint="eastAsia"/>
        <w:i/>
      </w:rPr>
      <w:t xml:space="preserve">NINGXIA  LITIAN  REAL  ESTATE  ASSESSMENT &amp; CONSULTATION  COMPANY LIMITED   </w:t>
    </w:r>
    <w:r>
      <w:rPr>
        <w:rFonts w:hint="eastAsia"/>
      </w:rPr>
      <w:t>共1</w:t>
    </w:r>
    <w:r>
      <w:rPr>
        <w:rFonts w:hint="eastAsia"/>
        <w:lang w:val="en-US" w:eastAsia="zh-CN"/>
      </w:rPr>
      <w:t>3</w:t>
    </w:r>
    <w:r>
      <w:rPr>
        <w:rFonts w:hint="eastAsia"/>
      </w:rPr>
      <w:t xml:space="preserve">页 第 </w:t>
    </w:r>
    <w:r>
      <w:fldChar w:fldCharType="begin"/>
    </w:r>
    <w:r>
      <w:rPr>
        <w:rStyle w:val="31"/>
      </w:rPr>
      <w:instrText xml:space="preserve"> PAGE </w:instrText>
    </w:r>
    <w:r>
      <w:fldChar w:fldCharType="separate"/>
    </w:r>
    <w:r>
      <w:rPr>
        <w:rStyle w:val="31"/>
      </w:rPr>
      <w:t>4</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rPr>
    </w:pPr>
    <w:r>
      <w:rPr>
        <w:rFonts w:hint="eastAsia"/>
        <w:i/>
      </w:rPr>
      <w:t xml:space="preserve">NINGXIA  LITIAN  REAL  ESTATE  ASSESSMENT &amp; CONSULTATION  COMPANY LIMITED </w:t>
    </w:r>
    <w:r>
      <w:rPr>
        <w:rFonts w:hint="eastAsia"/>
      </w:rPr>
      <w:t>共2</w:t>
    </w:r>
    <w:r>
      <w:rPr>
        <w:rFonts w:hint="eastAsia"/>
        <w:lang w:val="en-US" w:eastAsia="zh-CN"/>
      </w:rPr>
      <w:t>5</w:t>
    </w:r>
    <w:r>
      <w:rPr>
        <w:rFonts w:hint="eastAsia"/>
      </w:rPr>
      <w:t xml:space="preserve">页 第 </w:t>
    </w:r>
    <w:r>
      <w:fldChar w:fldCharType="begin"/>
    </w:r>
    <w:r>
      <w:rPr>
        <w:rStyle w:val="31"/>
      </w:rPr>
      <w:instrText xml:space="preserve"> PAGE </w:instrText>
    </w:r>
    <w:r>
      <w:fldChar w:fldCharType="separate"/>
    </w:r>
    <w:r>
      <w:rPr>
        <w:rStyle w:val="31"/>
      </w:rPr>
      <w:t>23</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8114C"/>
    <w:multiLevelType w:val="multilevel"/>
    <w:tmpl w:val="45E8114C"/>
    <w:lvl w:ilvl="0" w:tentative="0">
      <w:start w:val="2"/>
      <w:numFmt w:val="japaneseCounting"/>
      <w:lvlText w:val="（%1）"/>
      <w:lvlJc w:val="left"/>
      <w:pPr>
        <w:ind w:left="1311" w:hanging="885"/>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566556D3"/>
    <w:multiLevelType w:val="singleLevel"/>
    <w:tmpl w:val="566556D3"/>
    <w:lvl w:ilvl="0" w:tentative="0">
      <w:start w:val="3"/>
      <w:numFmt w:val="chineseCounting"/>
      <w:suff w:val="nothing"/>
      <w:lvlText w:val="%1、"/>
      <w:lvlJc w:val="left"/>
    </w:lvl>
  </w:abstractNum>
  <w:abstractNum w:abstractNumId="2">
    <w:nsid w:val="566A2B8C"/>
    <w:multiLevelType w:val="singleLevel"/>
    <w:tmpl w:val="566A2B8C"/>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MTJkNzkyMDFmNzM3Yzk2NWU5ZTNiNGU4MGY2YWIifQ=="/>
  </w:docVars>
  <w:rsids>
    <w:rsidRoot w:val="00172A27"/>
    <w:rsid w:val="00000DA5"/>
    <w:rsid w:val="00000DEA"/>
    <w:rsid w:val="00003555"/>
    <w:rsid w:val="0000463B"/>
    <w:rsid w:val="00004FCF"/>
    <w:rsid w:val="00005264"/>
    <w:rsid w:val="00011D24"/>
    <w:rsid w:val="00013CF2"/>
    <w:rsid w:val="00015BA1"/>
    <w:rsid w:val="00030444"/>
    <w:rsid w:val="0003356B"/>
    <w:rsid w:val="000353AA"/>
    <w:rsid w:val="00035750"/>
    <w:rsid w:val="000368C7"/>
    <w:rsid w:val="00036A19"/>
    <w:rsid w:val="000378BB"/>
    <w:rsid w:val="00037CEA"/>
    <w:rsid w:val="00041512"/>
    <w:rsid w:val="00043D59"/>
    <w:rsid w:val="0004608C"/>
    <w:rsid w:val="00046D75"/>
    <w:rsid w:val="00050CF5"/>
    <w:rsid w:val="00054ABA"/>
    <w:rsid w:val="000562FB"/>
    <w:rsid w:val="00056A8D"/>
    <w:rsid w:val="000572B9"/>
    <w:rsid w:val="00057E81"/>
    <w:rsid w:val="0007393A"/>
    <w:rsid w:val="0008255C"/>
    <w:rsid w:val="00085FF3"/>
    <w:rsid w:val="00086996"/>
    <w:rsid w:val="000873A9"/>
    <w:rsid w:val="00091532"/>
    <w:rsid w:val="00092552"/>
    <w:rsid w:val="00093BD8"/>
    <w:rsid w:val="00094EFB"/>
    <w:rsid w:val="00097017"/>
    <w:rsid w:val="000A36B2"/>
    <w:rsid w:val="000A3C51"/>
    <w:rsid w:val="000A4F5C"/>
    <w:rsid w:val="000A571B"/>
    <w:rsid w:val="000B50D3"/>
    <w:rsid w:val="000C010D"/>
    <w:rsid w:val="000D06B7"/>
    <w:rsid w:val="000D12E2"/>
    <w:rsid w:val="000D2AB9"/>
    <w:rsid w:val="000D3A8F"/>
    <w:rsid w:val="000E0BA9"/>
    <w:rsid w:val="000E3858"/>
    <w:rsid w:val="000E38A1"/>
    <w:rsid w:val="000E49D2"/>
    <w:rsid w:val="000E569B"/>
    <w:rsid w:val="000E77E9"/>
    <w:rsid w:val="000F154D"/>
    <w:rsid w:val="000F3E10"/>
    <w:rsid w:val="000F52E7"/>
    <w:rsid w:val="000F772C"/>
    <w:rsid w:val="0010079B"/>
    <w:rsid w:val="00101EBB"/>
    <w:rsid w:val="001050C5"/>
    <w:rsid w:val="00106B55"/>
    <w:rsid w:val="00106E51"/>
    <w:rsid w:val="00107AFA"/>
    <w:rsid w:val="0011127C"/>
    <w:rsid w:val="001143CD"/>
    <w:rsid w:val="00114DAC"/>
    <w:rsid w:val="00114E39"/>
    <w:rsid w:val="00115526"/>
    <w:rsid w:val="00116A2B"/>
    <w:rsid w:val="00117C3B"/>
    <w:rsid w:val="00120C37"/>
    <w:rsid w:val="001215A1"/>
    <w:rsid w:val="00123E97"/>
    <w:rsid w:val="0012419B"/>
    <w:rsid w:val="00124CA4"/>
    <w:rsid w:val="001253C3"/>
    <w:rsid w:val="00126A37"/>
    <w:rsid w:val="00132397"/>
    <w:rsid w:val="0013457E"/>
    <w:rsid w:val="001418A3"/>
    <w:rsid w:val="00142192"/>
    <w:rsid w:val="00143EA7"/>
    <w:rsid w:val="00147896"/>
    <w:rsid w:val="001508C8"/>
    <w:rsid w:val="00152AD2"/>
    <w:rsid w:val="0015364A"/>
    <w:rsid w:val="00154D13"/>
    <w:rsid w:val="00155D89"/>
    <w:rsid w:val="001621FF"/>
    <w:rsid w:val="0017080A"/>
    <w:rsid w:val="00172D64"/>
    <w:rsid w:val="0017392D"/>
    <w:rsid w:val="00175813"/>
    <w:rsid w:val="001858A9"/>
    <w:rsid w:val="001924F8"/>
    <w:rsid w:val="00195FB5"/>
    <w:rsid w:val="001A0EEF"/>
    <w:rsid w:val="001A349B"/>
    <w:rsid w:val="001A45C9"/>
    <w:rsid w:val="001B735B"/>
    <w:rsid w:val="001C0878"/>
    <w:rsid w:val="001C2FAB"/>
    <w:rsid w:val="001C3FF1"/>
    <w:rsid w:val="001D0F73"/>
    <w:rsid w:val="001D2FE8"/>
    <w:rsid w:val="001E1925"/>
    <w:rsid w:val="001F0060"/>
    <w:rsid w:val="001F0BB8"/>
    <w:rsid w:val="001F2980"/>
    <w:rsid w:val="001F69EA"/>
    <w:rsid w:val="00205CC8"/>
    <w:rsid w:val="00206B05"/>
    <w:rsid w:val="00206D43"/>
    <w:rsid w:val="00210593"/>
    <w:rsid w:val="00211CB4"/>
    <w:rsid w:val="0021219A"/>
    <w:rsid w:val="00216230"/>
    <w:rsid w:val="00220B7A"/>
    <w:rsid w:val="00222A3D"/>
    <w:rsid w:val="00223339"/>
    <w:rsid w:val="00227B07"/>
    <w:rsid w:val="002302A6"/>
    <w:rsid w:val="0023223D"/>
    <w:rsid w:val="00240D9E"/>
    <w:rsid w:val="002449E6"/>
    <w:rsid w:val="00252757"/>
    <w:rsid w:val="0025392B"/>
    <w:rsid w:val="00256CBF"/>
    <w:rsid w:val="002635D8"/>
    <w:rsid w:val="002660BD"/>
    <w:rsid w:val="002717EF"/>
    <w:rsid w:val="00274EFE"/>
    <w:rsid w:val="00277C73"/>
    <w:rsid w:val="002818AD"/>
    <w:rsid w:val="002819A9"/>
    <w:rsid w:val="00284CBF"/>
    <w:rsid w:val="002865B4"/>
    <w:rsid w:val="0029007A"/>
    <w:rsid w:val="00290FAF"/>
    <w:rsid w:val="00293217"/>
    <w:rsid w:val="002A008E"/>
    <w:rsid w:val="002A5843"/>
    <w:rsid w:val="002B1847"/>
    <w:rsid w:val="002B3CA9"/>
    <w:rsid w:val="002B685F"/>
    <w:rsid w:val="002B7E67"/>
    <w:rsid w:val="002C0141"/>
    <w:rsid w:val="002C1E17"/>
    <w:rsid w:val="002C33A6"/>
    <w:rsid w:val="002D2CAA"/>
    <w:rsid w:val="002D513F"/>
    <w:rsid w:val="002D6362"/>
    <w:rsid w:val="002D7673"/>
    <w:rsid w:val="002E0DE5"/>
    <w:rsid w:val="002E1CE8"/>
    <w:rsid w:val="002E4C25"/>
    <w:rsid w:val="002E62E8"/>
    <w:rsid w:val="002F6708"/>
    <w:rsid w:val="00313019"/>
    <w:rsid w:val="003162AA"/>
    <w:rsid w:val="00322FA2"/>
    <w:rsid w:val="0032386C"/>
    <w:rsid w:val="00326BE7"/>
    <w:rsid w:val="003377E6"/>
    <w:rsid w:val="003417E8"/>
    <w:rsid w:val="00343932"/>
    <w:rsid w:val="00343B81"/>
    <w:rsid w:val="003509C6"/>
    <w:rsid w:val="003614A7"/>
    <w:rsid w:val="00361A0C"/>
    <w:rsid w:val="0036374D"/>
    <w:rsid w:val="00370333"/>
    <w:rsid w:val="003713B5"/>
    <w:rsid w:val="00372501"/>
    <w:rsid w:val="00377F9E"/>
    <w:rsid w:val="0038071F"/>
    <w:rsid w:val="00383412"/>
    <w:rsid w:val="00383988"/>
    <w:rsid w:val="0039020D"/>
    <w:rsid w:val="00391077"/>
    <w:rsid w:val="00391E26"/>
    <w:rsid w:val="00393BD1"/>
    <w:rsid w:val="00395B2F"/>
    <w:rsid w:val="00397369"/>
    <w:rsid w:val="00397595"/>
    <w:rsid w:val="003A1DD7"/>
    <w:rsid w:val="003A2AB2"/>
    <w:rsid w:val="003A6456"/>
    <w:rsid w:val="003A74DB"/>
    <w:rsid w:val="003B31DC"/>
    <w:rsid w:val="003C01F4"/>
    <w:rsid w:val="003C2F4D"/>
    <w:rsid w:val="003C65A0"/>
    <w:rsid w:val="003C74DB"/>
    <w:rsid w:val="003D2287"/>
    <w:rsid w:val="003D3FB0"/>
    <w:rsid w:val="003D69A4"/>
    <w:rsid w:val="003E4ABB"/>
    <w:rsid w:val="003E7671"/>
    <w:rsid w:val="003F0521"/>
    <w:rsid w:val="003F16FF"/>
    <w:rsid w:val="003F4D56"/>
    <w:rsid w:val="00402119"/>
    <w:rsid w:val="00403051"/>
    <w:rsid w:val="004033CF"/>
    <w:rsid w:val="004043F0"/>
    <w:rsid w:val="00404D13"/>
    <w:rsid w:val="00406001"/>
    <w:rsid w:val="00406FEC"/>
    <w:rsid w:val="00413856"/>
    <w:rsid w:val="00415012"/>
    <w:rsid w:val="00415966"/>
    <w:rsid w:val="0041751D"/>
    <w:rsid w:val="00421400"/>
    <w:rsid w:val="0042299F"/>
    <w:rsid w:val="00423BC2"/>
    <w:rsid w:val="004303BC"/>
    <w:rsid w:val="004358D2"/>
    <w:rsid w:val="00437B39"/>
    <w:rsid w:val="00443D45"/>
    <w:rsid w:val="00447EE2"/>
    <w:rsid w:val="00451416"/>
    <w:rsid w:val="00451AAB"/>
    <w:rsid w:val="00451B7A"/>
    <w:rsid w:val="004537DE"/>
    <w:rsid w:val="00454442"/>
    <w:rsid w:val="004549FC"/>
    <w:rsid w:val="00455E34"/>
    <w:rsid w:val="0045695A"/>
    <w:rsid w:val="00456B69"/>
    <w:rsid w:val="00463401"/>
    <w:rsid w:val="004734C2"/>
    <w:rsid w:val="004753A9"/>
    <w:rsid w:val="00483231"/>
    <w:rsid w:val="004854DE"/>
    <w:rsid w:val="00485A9D"/>
    <w:rsid w:val="00490746"/>
    <w:rsid w:val="00492C7E"/>
    <w:rsid w:val="00495559"/>
    <w:rsid w:val="00497C80"/>
    <w:rsid w:val="004A0134"/>
    <w:rsid w:val="004A3E4E"/>
    <w:rsid w:val="004B1280"/>
    <w:rsid w:val="004B3275"/>
    <w:rsid w:val="004B5422"/>
    <w:rsid w:val="004C31F2"/>
    <w:rsid w:val="004C6CCD"/>
    <w:rsid w:val="004D5E52"/>
    <w:rsid w:val="004D76CF"/>
    <w:rsid w:val="004E1FE4"/>
    <w:rsid w:val="004E209A"/>
    <w:rsid w:val="004E57D3"/>
    <w:rsid w:val="004E75F7"/>
    <w:rsid w:val="004F76B1"/>
    <w:rsid w:val="00502C3A"/>
    <w:rsid w:val="00503AD1"/>
    <w:rsid w:val="005071EA"/>
    <w:rsid w:val="00512A72"/>
    <w:rsid w:val="00514918"/>
    <w:rsid w:val="00516AE8"/>
    <w:rsid w:val="005252FE"/>
    <w:rsid w:val="00525E16"/>
    <w:rsid w:val="00526011"/>
    <w:rsid w:val="00534C47"/>
    <w:rsid w:val="00537700"/>
    <w:rsid w:val="00542200"/>
    <w:rsid w:val="00552B39"/>
    <w:rsid w:val="00561385"/>
    <w:rsid w:val="00564A76"/>
    <w:rsid w:val="00565D75"/>
    <w:rsid w:val="005727AC"/>
    <w:rsid w:val="0058279C"/>
    <w:rsid w:val="00582C7A"/>
    <w:rsid w:val="00583D5C"/>
    <w:rsid w:val="00584576"/>
    <w:rsid w:val="00584FE3"/>
    <w:rsid w:val="00586BA3"/>
    <w:rsid w:val="00596E9B"/>
    <w:rsid w:val="005A4384"/>
    <w:rsid w:val="005A762D"/>
    <w:rsid w:val="005B055C"/>
    <w:rsid w:val="005B1ED6"/>
    <w:rsid w:val="005B3EAA"/>
    <w:rsid w:val="005B49B1"/>
    <w:rsid w:val="005B5480"/>
    <w:rsid w:val="005C0BE9"/>
    <w:rsid w:val="005C3384"/>
    <w:rsid w:val="005D3323"/>
    <w:rsid w:val="005D34F0"/>
    <w:rsid w:val="005D4BB6"/>
    <w:rsid w:val="005E015A"/>
    <w:rsid w:val="005E0419"/>
    <w:rsid w:val="005E0A1E"/>
    <w:rsid w:val="005E55C3"/>
    <w:rsid w:val="005E56BC"/>
    <w:rsid w:val="0060140E"/>
    <w:rsid w:val="00603666"/>
    <w:rsid w:val="006039DF"/>
    <w:rsid w:val="00604011"/>
    <w:rsid w:val="00604BAE"/>
    <w:rsid w:val="00604F6F"/>
    <w:rsid w:val="00614BED"/>
    <w:rsid w:val="00615302"/>
    <w:rsid w:val="00616645"/>
    <w:rsid w:val="0062101B"/>
    <w:rsid w:val="00622B76"/>
    <w:rsid w:val="00623AD2"/>
    <w:rsid w:val="00627E7C"/>
    <w:rsid w:val="006309E5"/>
    <w:rsid w:val="00632E82"/>
    <w:rsid w:val="00637896"/>
    <w:rsid w:val="00655DD1"/>
    <w:rsid w:val="00662E52"/>
    <w:rsid w:val="006638E8"/>
    <w:rsid w:val="00664A21"/>
    <w:rsid w:val="00670A91"/>
    <w:rsid w:val="00670F1B"/>
    <w:rsid w:val="00675133"/>
    <w:rsid w:val="006757F3"/>
    <w:rsid w:val="00677FC6"/>
    <w:rsid w:val="00686525"/>
    <w:rsid w:val="00690EBC"/>
    <w:rsid w:val="00692C52"/>
    <w:rsid w:val="00696F82"/>
    <w:rsid w:val="006A3B3B"/>
    <w:rsid w:val="006A77C6"/>
    <w:rsid w:val="006A7C38"/>
    <w:rsid w:val="006B665E"/>
    <w:rsid w:val="006B6844"/>
    <w:rsid w:val="006C4891"/>
    <w:rsid w:val="006C75F0"/>
    <w:rsid w:val="006D0963"/>
    <w:rsid w:val="006D0DCE"/>
    <w:rsid w:val="006D416C"/>
    <w:rsid w:val="006E25B9"/>
    <w:rsid w:val="006E2EC7"/>
    <w:rsid w:val="006F0601"/>
    <w:rsid w:val="006F205E"/>
    <w:rsid w:val="006F27FF"/>
    <w:rsid w:val="007025A9"/>
    <w:rsid w:val="00703D65"/>
    <w:rsid w:val="00704BC3"/>
    <w:rsid w:val="0070541B"/>
    <w:rsid w:val="00707433"/>
    <w:rsid w:val="00710256"/>
    <w:rsid w:val="00710565"/>
    <w:rsid w:val="00716720"/>
    <w:rsid w:val="00732B04"/>
    <w:rsid w:val="007357DD"/>
    <w:rsid w:val="00736A6D"/>
    <w:rsid w:val="00740075"/>
    <w:rsid w:val="00742A4A"/>
    <w:rsid w:val="00747557"/>
    <w:rsid w:val="00754CD4"/>
    <w:rsid w:val="007618B8"/>
    <w:rsid w:val="00761FC9"/>
    <w:rsid w:val="007667A6"/>
    <w:rsid w:val="007757E9"/>
    <w:rsid w:val="0078223A"/>
    <w:rsid w:val="00786CCC"/>
    <w:rsid w:val="00790043"/>
    <w:rsid w:val="00792093"/>
    <w:rsid w:val="00792749"/>
    <w:rsid w:val="00794CCF"/>
    <w:rsid w:val="007A499F"/>
    <w:rsid w:val="007B1727"/>
    <w:rsid w:val="007B185B"/>
    <w:rsid w:val="007B20FA"/>
    <w:rsid w:val="007B5FCA"/>
    <w:rsid w:val="007C1160"/>
    <w:rsid w:val="007D4B0C"/>
    <w:rsid w:val="007D75B1"/>
    <w:rsid w:val="007D7AA1"/>
    <w:rsid w:val="007F2A7F"/>
    <w:rsid w:val="00801449"/>
    <w:rsid w:val="0080284E"/>
    <w:rsid w:val="00803BFF"/>
    <w:rsid w:val="008048D9"/>
    <w:rsid w:val="008049D5"/>
    <w:rsid w:val="0080614C"/>
    <w:rsid w:val="00811295"/>
    <w:rsid w:val="0082458B"/>
    <w:rsid w:val="00824653"/>
    <w:rsid w:val="00830737"/>
    <w:rsid w:val="008315B5"/>
    <w:rsid w:val="008348CF"/>
    <w:rsid w:val="00844A91"/>
    <w:rsid w:val="008463AA"/>
    <w:rsid w:val="00847FC7"/>
    <w:rsid w:val="00850065"/>
    <w:rsid w:val="0085156E"/>
    <w:rsid w:val="008522BB"/>
    <w:rsid w:val="0085255E"/>
    <w:rsid w:val="00852618"/>
    <w:rsid w:val="0086092C"/>
    <w:rsid w:val="00860C3E"/>
    <w:rsid w:val="008610A4"/>
    <w:rsid w:val="00863EC0"/>
    <w:rsid w:val="00865536"/>
    <w:rsid w:val="008671FA"/>
    <w:rsid w:val="0087121C"/>
    <w:rsid w:val="00872ED1"/>
    <w:rsid w:val="0087431D"/>
    <w:rsid w:val="008753FE"/>
    <w:rsid w:val="00875F5E"/>
    <w:rsid w:val="008776D5"/>
    <w:rsid w:val="008871B9"/>
    <w:rsid w:val="008936AB"/>
    <w:rsid w:val="00894499"/>
    <w:rsid w:val="008948FC"/>
    <w:rsid w:val="008A0150"/>
    <w:rsid w:val="008A38AD"/>
    <w:rsid w:val="008A6509"/>
    <w:rsid w:val="008A7611"/>
    <w:rsid w:val="008B20DA"/>
    <w:rsid w:val="008B21F3"/>
    <w:rsid w:val="008B52C5"/>
    <w:rsid w:val="008C2CB2"/>
    <w:rsid w:val="008C2F38"/>
    <w:rsid w:val="008C60C1"/>
    <w:rsid w:val="008D5713"/>
    <w:rsid w:val="008E0123"/>
    <w:rsid w:val="008E3D0A"/>
    <w:rsid w:val="008E7C83"/>
    <w:rsid w:val="008F341E"/>
    <w:rsid w:val="00905B5A"/>
    <w:rsid w:val="00907C40"/>
    <w:rsid w:val="0091405E"/>
    <w:rsid w:val="00927BF3"/>
    <w:rsid w:val="009317C7"/>
    <w:rsid w:val="00935784"/>
    <w:rsid w:val="00942A35"/>
    <w:rsid w:val="00942F9D"/>
    <w:rsid w:val="00943D35"/>
    <w:rsid w:val="00946052"/>
    <w:rsid w:val="0094776D"/>
    <w:rsid w:val="0095395B"/>
    <w:rsid w:val="00962122"/>
    <w:rsid w:val="00964BDB"/>
    <w:rsid w:val="0097056D"/>
    <w:rsid w:val="00973F67"/>
    <w:rsid w:val="00975D9F"/>
    <w:rsid w:val="00983D9A"/>
    <w:rsid w:val="00987F18"/>
    <w:rsid w:val="00992B5B"/>
    <w:rsid w:val="00996880"/>
    <w:rsid w:val="009A2BB7"/>
    <w:rsid w:val="009A5E7F"/>
    <w:rsid w:val="009A77A9"/>
    <w:rsid w:val="009B3547"/>
    <w:rsid w:val="009B37F0"/>
    <w:rsid w:val="009B433D"/>
    <w:rsid w:val="009B4D07"/>
    <w:rsid w:val="009B579C"/>
    <w:rsid w:val="009C40BA"/>
    <w:rsid w:val="009C594A"/>
    <w:rsid w:val="009D26AA"/>
    <w:rsid w:val="009E12E7"/>
    <w:rsid w:val="009E185C"/>
    <w:rsid w:val="009E4DCE"/>
    <w:rsid w:val="009E673D"/>
    <w:rsid w:val="009F19FC"/>
    <w:rsid w:val="009F3918"/>
    <w:rsid w:val="009F5ED5"/>
    <w:rsid w:val="00A0401F"/>
    <w:rsid w:val="00A111B0"/>
    <w:rsid w:val="00A16A79"/>
    <w:rsid w:val="00A20884"/>
    <w:rsid w:val="00A20CAB"/>
    <w:rsid w:val="00A2239D"/>
    <w:rsid w:val="00A22C24"/>
    <w:rsid w:val="00A23196"/>
    <w:rsid w:val="00A27D2B"/>
    <w:rsid w:val="00A27FF3"/>
    <w:rsid w:val="00A34F34"/>
    <w:rsid w:val="00A35E5F"/>
    <w:rsid w:val="00A371E4"/>
    <w:rsid w:val="00A37328"/>
    <w:rsid w:val="00A37DBA"/>
    <w:rsid w:val="00A4158B"/>
    <w:rsid w:val="00A4240E"/>
    <w:rsid w:val="00A43948"/>
    <w:rsid w:val="00A53B12"/>
    <w:rsid w:val="00A608DC"/>
    <w:rsid w:val="00A62331"/>
    <w:rsid w:val="00A62EC6"/>
    <w:rsid w:val="00A824AE"/>
    <w:rsid w:val="00A84900"/>
    <w:rsid w:val="00A858C9"/>
    <w:rsid w:val="00A91176"/>
    <w:rsid w:val="00A9337D"/>
    <w:rsid w:val="00A95086"/>
    <w:rsid w:val="00A962A2"/>
    <w:rsid w:val="00AA775F"/>
    <w:rsid w:val="00AB2B28"/>
    <w:rsid w:val="00AC457E"/>
    <w:rsid w:val="00AD1991"/>
    <w:rsid w:val="00AD53BB"/>
    <w:rsid w:val="00AD574B"/>
    <w:rsid w:val="00AD5A82"/>
    <w:rsid w:val="00AE0534"/>
    <w:rsid w:val="00AE6082"/>
    <w:rsid w:val="00AF1709"/>
    <w:rsid w:val="00AF50A2"/>
    <w:rsid w:val="00B010BB"/>
    <w:rsid w:val="00B0548B"/>
    <w:rsid w:val="00B06E82"/>
    <w:rsid w:val="00B07066"/>
    <w:rsid w:val="00B078A1"/>
    <w:rsid w:val="00B10935"/>
    <w:rsid w:val="00B1650F"/>
    <w:rsid w:val="00B20DF3"/>
    <w:rsid w:val="00B25512"/>
    <w:rsid w:val="00B2596C"/>
    <w:rsid w:val="00B309C8"/>
    <w:rsid w:val="00B35185"/>
    <w:rsid w:val="00B35C8E"/>
    <w:rsid w:val="00B36090"/>
    <w:rsid w:val="00B36197"/>
    <w:rsid w:val="00B37F49"/>
    <w:rsid w:val="00B40A1D"/>
    <w:rsid w:val="00B416A8"/>
    <w:rsid w:val="00B50432"/>
    <w:rsid w:val="00B548E8"/>
    <w:rsid w:val="00B5682E"/>
    <w:rsid w:val="00B620A7"/>
    <w:rsid w:val="00B623B7"/>
    <w:rsid w:val="00B67E34"/>
    <w:rsid w:val="00B72E00"/>
    <w:rsid w:val="00B74458"/>
    <w:rsid w:val="00B74704"/>
    <w:rsid w:val="00B81EAA"/>
    <w:rsid w:val="00B92503"/>
    <w:rsid w:val="00B92F48"/>
    <w:rsid w:val="00B97DE9"/>
    <w:rsid w:val="00BA3C14"/>
    <w:rsid w:val="00BA4365"/>
    <w:rsid w:val="00BB0AD7"/>
    <w:rsid w:val="00BB0B5C"/>
    <w:rsid w:val="00BB126B"/>
    <w:rsid w:val="00BB4585"/>
    <w:rsid w:val="00BC00B9"/>
    <w:rsid w:val="00BC093A"/>
    <w:rsid w:val="00BC0AC9"/>
    <w:rsid w:val="00BC2554"/>
    <w:rsid w:val="00BC598E"/>
    <w:rsid w:val="00BF1520"/>
    <w:rsid w:val="00BF3399"/>
    <w:rsid w:val="00BF4D0D"/>
    <w:rsid w:val="00BF58AD"/>
    <w:rsid w:val="00BF5C4D"/>
    <w:rsid w:val="00BF68D4"/>
    <w:rsid w:val="00BF7FF3"/>
    <w:rsid w:val="00C0104C"/>
    <w:rsid w:val="00C01B6C"/>
    <w:rsid w:val="00C02BC6"/>
    <w:rsid w:val="00C1273C"/>
    <w:rsid w:val="00C17C45"/>
    <w:rsid w:val="00C2035D"/>
    <w:rsid w:val="00C23DE2"/>
    <w:rsid w:val="00C26B82"/>
    <w:rsid w:val="00C3400D"/>
    <w:rsid w:val="00C3414B"/>
    <w:rsid w:val="00C358A0"/>
    <w:rsid w:val="00C44979"/>
    <w:rsid w:val="00C55C76"/>
    <w:rsid w:val="00C60525"/>
    <w:rsid w:val="00C619BA"/>
    <w:rsid w:val="00C62B61"/>
    <w:rsid w:val="00C62CE0"/>
    <w:rsid w:val="00C671F3"/>
    <w:rsid w:val="00C70BD4"/>
    <w:rsid w:val="00C732E2"/>
    <w:rsid w:val="00C74730"/>
    <w:rsid w:val="00C77863"/>
    <w:rsid w:val="00C84E70"/>
    <w:rsid w:val="00C861E7"/>
    <w:rsid w:val="00C879B4"/>
    <w:rsid w:val="00C9122F"/>
    <w:rsid w:val="00C936D3"/>
    <w:rsid w:val="00C9667D"/>
    <w:rsid w:val="00CA153C"/>
    <w:rsid w:val="00CA3AB1"/>
    <w:rsid w:val="00CA5B9A"/>
    <w:rsid w:val="00CB66CA"/>
    <w:rsid w:val="00CB679C"/>
    <w:rsid w:val="00CB77A2"/>
    <w:rsid w:val="00CC0B16"/>
    <w:rsid w:val="00CC2448"/>
    <w:rsid w:val="00CC470B"/>
    <w:rsid w:val="00CC5EF4"/>
    <w:rsid w:val="00CD0564"/>
    <w:rsid w:val="00CD0CB9"/>
    <w:rsid w:val="00CD172E"/>
    <w:rsid w:val="00CD64C4"/>
    <w:rsid w:val="00CD691C"/>
    <w:rsid w:val="00CE00AF"/>
    <w:rsid w:val="00CE29D1"/>
    <w:rsid w:val="00CF3134"/>
    <w:rsid w:val="00CF56B7"/>
    <w:rsid w:val="00CF75B2"/>
    <w:rsid w:val="00D00174"/>
    <w:rsid w:val="00D00A83"/>
    <w:rsid w:val="00D07E26"/>
    <w:rsid w:val="00D1035B"/>
    <w:rsid w:val="00D11932"/>
    <w:rsid w:val="00D12EB2"/>
    <w:rsid w:val="00D15D12"/>
    <w:rsid w:val="00D2180E"/>
    <w:rsid w:val="00D2349F"/>
    <w:rsid w:val="00D25ADA"/>
    <w:rsid w:val="00D25C3E"/>
    <w:rsid w:val="00D35BA8"/>
    <w:rsid w:val="00D36095"/>
    <w:rsid w:val="00D401E6"/>
    <w:rsid w:val="00D42645"/>
    <w:rsid w:val="00D443C9"/>
    <w:rsid w:val="00D530B4"/>
    <w:rsid w:val="00D53CBB"/>
    <w:rsid w:val="00D5594A"/>
    <w:rsid w:val="00D60C58"/>
    <w:rsid w:val="00D6101D"/>
    <w:rsid w:val="00D749A0"/>
    <w:rsid w:val="00D7539D"/>
    <w:rsid w:val="00D825E4"/>
    <w:rsid w:val="00D82765"/>
    <w:rsid w:val="00D92C9C"/>
    <w:rsid w:val="00D92F24"/>
    <w:rsid w:val="00D93410"/>
    <w:rsid w:val="00D94AB8"/>
    <w:rsid w:val="00D95C7A"/>
    <w:rsid w:val="00D960DB"/>
    <w:rsid w:val="00D96CCC"/>
    <w:rsid w:val="00DA07F7"/>
    <w:rsid w:val="00DA7B87"/>
    <w:rsid w:val="00DB2A47"/>
    <w:rsid w:val="00DB32AA"/>
    <w:rsid w:val="00DC79EE"/>
    <w:rsid w:val="00DD53B9"/>
    <w:rsid w:val="00DD622F"/>
    <w:rsid w:val="00DE09C8"/>
    <w:rsid w:val="00DE100E"/>
    <w:rsid w:val="00DE29E7"/>
    <w:rsid w:val="00DE5CB8"/>
    <w:rsid w:val="00DE5DD7"/>
    <w:rsid w:val="00DF20C9"/>
    <w:rsid w:val="00DF2F1D"/>
    <w:rsid w:val="00DF3A1D"/>
    <w:rsid w:val="00DF5F93"/>
    <w:rsid w:val="00E00CF6"/>
    <w:rsid w:val="00E03541"/>
    <w:rsid w:val="00E0427A"/>
    <w:rsid w:val="00E04D03"/>
    <w:rsid w:val="00E0695C"/>
    <w:rsid w:val="00E06A1E"/>
    <w:rsid w:val="00E0758C"/>
    <w:rsid w:val="00E125C0"/>
    <w:rsid w:val="00E136C1"/>
    <w:rsid w:val="00E162FE"/>
    <w:rsid w:val="00E27BE2"/>
    <w:rsid w:val="00E30E59"/>
    <w:rsid w:val="00E33924"/>
    <w:rsid w:val="00E35837"/>
    <w:rsid w:val="00E4481D"/>
    <w:rsid w:val="00E47FA1"/>
    <w:rsid w:val="00E50B24"/>
    <w:rsid w:val="00E559ED"/>
    <w:rsid w:val="00E644A6"/>
    <w:rsid w:val="00E73817"/>
    <w:rsid w:val="00E73A01"/>
    <w:rsid w:val="00E73B88"/>
    <w:rsid w:val="00E83DA3"/>
    <w:rsid w:val="00E859B8"/>
    <w:rsid w:val="00E86669"/>
    <w:rsid w:val="00E86D6D"/>
    <w:rsid w:val="00E9261D"/>
    <w:rsid w:val="00E9757C"/>
    <w:rsid w:val="00EA0031"/>
    <w:rsid w:val="00EA2E8A"/>
    <w:rsid w:val="00EA5912"/>
    <w:rsid w:val="00EA634B"/>
    <w:rsid w:val="00EA6755"/>
    <w:rsid w:val="00EA7A3D"/>
    <w:rsid w:val="00EB0F98"/>
    <w:rsid w:val="00EB4845"/>
    <w:rsid w:val="00EB5608"/>
    <w:rsid w:val="00EB5960"/>
    <w:rsid w:val="00EB7A7D"/>
    <w:rsid w:val="00EB7AF3"/>
    <w:rsid w:val="00EC0B31"/>
    <w:rsid w:val="00EC7068"/>
    <w:rsid w:val="00ED148C"/>
    <w:rsid w:val="00ED2410"/>
    <w:rsid w:val="00ED2BF1"/>
    <w:rsid w:val="00ED322F"/>
    <w:rsid w:val="00ED65B2"/>
    <w:rsid w:val="00ED7270"/>
    <w:rsid w:val="00ED7BDC"/>
    <w:rsid w:val="00EF4333"/>
    <w:rsid w:val="00EF580C"/>
    <w:rsid w:val="00EF6F61"/>
    <w:rsid w:val="00F0384B"/>
    <w:rsid w:val="00F107A3"/>
    <w:rsid w:val="00F12380"/>
    <w:rsid w:val="00F12947"/>
    <w:rsid w:val="00F1395D"/>
    <w:rsid w:val="00F15BAD"/>
    <w:rsid w:val="00F16B65"/>
    <w:rsid w:val="00F16C21"/>
    <w:rsid w:val="00F21106"/>
    <w:rsid w:val="00F213AC"/>
    <w:rsid w:val="00F21D78"/>
    <w:rsid w:val="00F225D1"/>
    <w:rsid w:val="00F255C2"/>
    <w:rsid w:val="00F25A76"/>
    <w:rsid w:val="00F26CEB"/>
    <w:rsid w:val="00F26D50"/>
    <w:rsid w:val="00F300F5"/>
    <w:rsid w:val="00F35E9F"/>
    <w:rsid w:val="00F366E8"/>
    <w:rsid w:val="00F3794F"/>
    <w:rsid w:val="00F40C2A"/>
    <w:rsid w:val="00F41511"/>
    <w:rsid w:val="00F42A3F"/>
    <w:rsid w:val="00F54796"/>
    <w:rsid w:val="00F54CC9"/>
    <w:rsid w:val="00F54D3D"/>
    <w:rsid w:val="00F61B58"/>
    <w:rsid w:val="00F64CC9"/>
    <w:rsid w:val="00F66B2B"/>
    <w:rsid w:val="00F70475"/>
    <w:rsid w:val="00F714D9"/>
    <w:rsid w:val="00F71CEB"/>
    <w:rsid w:val="00F72C92"/>
    <w:rsid w:val="00F745A4"/>
    <w:rsid w:val="00F75846"/>
    <w:rsid w:val="00F76112"/>
    <w:rsid w:val="00F766A0"/>
    <w:rsid w:val="00F77C6B"/>
    <w:rsid w:val="00F90883"/>
    <w:rsid w:val="00F91632"/>
    <w:rsid w:val="00F93317"/>
    <w:rsid w:val="00F934EA"/>
    <w:rsid w:val="00F958A2"/>
    <w:rsid w:val="00F96C23"/>
    <w:rsid w:val="00FA47A2"/>
    <w:rsid w:val="00FA5A62"/>
    <w:rsid w:val="00FA5DAD"/>
    <w:rsid w:val="00FB2961"/>
    <w:rsid w:val="00FB33B1"/>
    <w:rsid w:val="00FB4747"/>
    <w:rsid w:val="00FB7954"/>
    <w:rsid w:val="00FC613F"/>
    <w:rsid w:val="00FC6C74"/>
    <w:rsid w:val="00FD1B9B"/>
    <w:rsid w:val="00FD3489"/>
    <w:rsid w:val="00FD7E4E"/>
    <w:rsid w:val="00FE09C0"/>
    <w:rsid w:val="00FE6A5D"/>
    <w:rsid w:val="00FF3647"/>
    <w:rsid w:val="00FF3C2D"/>
    <w:rsid w:val="00FF6AD4"/>
    <w:rsid w:val="00FF7F10"/>
    <w:rsid w:val="0153673B"/>
    <w:rsid w:val="02014F66"/>
    <w:rsid w:val="02A73B69"/>
    <w:rsid w:val="03557185"/>
    <w:rsid w:val="037E2547"/>
    <w:rsid w:val="03812A07"/>
    <w:rsid w:val="03842DE7"/>
    <w:rsid w:val="04C81265"/>
    <w:rsid w:val="051F1C74"/>
    <w:rsid w:val="05770645"/>
    <w:rsid w:val="058D5023"/>
    <w:rsid w:val="05D84CA5"/>
    <w:rsid w:val="07524721"/>
    <w:rsid w:val="080A25F1"/>
    <w:rsid w:val="0891753F"/>
    <w:rsid w:val="09A45F10"/>
    <w:rsid w:val="0CA30B4B"/>
    <w:rsid w:val="0CCF6888"/>
    <w:rsid w:val="0D447EB9"/>
    <w:rsid w:val="0DDF724E"/>
    <w:rsid w:val="0E5B241B"/>
    <w:rsid w:val="0E5D2BF2"/>
    <w:rsid w:val="0E7F4BD9"/>
    <w:rsid w:val="0EF1153B"/>
    <w:rsid w:val="0F702BD5"/>
    <w:rsid w:val="12B058B8"/>
    <w:rsid w:val="12DA0C7B"/>
    <w:rsid w:val="12E16087"/>
    <w:rsid w:val="13A40F9B"/>
    <w:rsid w:val="149E7662"/>
    <w:rsid w:val="14A511EB"/>
    <w:rsid w:val="156670AB"/>
    <w:rsid w:val="157902CA"/>
    <w:rsid w:val="15A77B14"/>
    <w:rsid w:val="16576633"/>
    <w:rsid w:val="16B11567"/>
    <w:rsid w:val="17126D66"/>
    <w:rsid w:val="17687AF5"/>
    <w:rsid w:val="17EE79CE"/>
    <w:rsid w:val="182C52B5"/>
    <w:rsid w:val="189B6BED"/>
    <w:rsid w:val="196229FF"/>
    <w:rsid w:val="19C80559"/>
    <w:rsid w:val="1A314705"/>
    <w:rsid w:val="1A63767E"/>
    <w:rsid w:val="1B0C78EB"/>
    <w:rsid w:val="1C2403B8"/>
    <w:rsid w:val="1C71350E"/>
    <w:rsid w:val="1CA13205"/>
    <w:rsid w:val="1CF57C85"/>
    <w:rsid w:val="1D6D7456"/>
    <w:rsid w:val="1FDC333E"/>
    <w:rsid w:val="20484530"/>
    <w:rsid w:val="20497803"/>
    <w:rsid w:val="212121E0"/>
    <w:rsid w:val="21622427"/>
    <w:rsid w:val="218D7E9A"/>
    <w:rsid w:val="21E91DFB"/>
    <w:rsid w:val="21F941AF"/>
    <w:rsid w:val="22FB1FE8"/>
    <w:rsid w:val="23081905"/>
    <w:rsid w:val="233139A1"/>
    <w:rsid w:val="2380740A"/>
    <w:rsid w:val="23D22653"/>
    <w:rsid w:val="23E634F2"/>
    <w:rsid w:val="24341072"/>
    <w:rsid w:val="263962C5"/>
    <w:rsid w:val="269F5C69"/>
    <w:rsid w:val="26DD3EFA"/>
    <w:rsid w:val="2895052E"/>
    <w:rsid w:val="28B43155"/>
    <w:rsid w:val="28E34913"/>
    <w:rsid w:val="28FB5AC8"/>
    <w:rsid w:val="291259FD"/>
    <w:rsid w:val="2B15662B"/>
    <w:rsid w:val="2B7164D1"/>
    <w:rsid w:val="2D0041A1"/>
    <w:rsid w:val="2D0078F3"/>
    <w:rsid w:val="2DBA0995"/>
    <w:rsid w:val="30F1651D"/>
    <w:rsid w:val="312707D0"/>
    <w:rsid w:val="32932D86"/>
    <w:rsid w:val="32FE0237"/>
    <w:rsid w:val="33B40937"/>
    <w:rsid w:val="33E54DB7"/>
    <w:rsid w:val="33FF369B"/>
    <w:rsid w:val="350E3F6A"/>
    <w:rsid w:val="36E4644E"/>
    <w:rsid w:val="37A44758"/>
    <w:rsid w:val="382117A3"/>
    <w:rsid w:val="383C7E45"/>
    <w:rsid w:val="38A96204"/>
    <w:rsid w:val="38BF2926"/>
    <w:rsid w:val="39CC3159"/>
    <w:rsid w:val="3AB25844"/>
    <w:rsid w:val="3BF70E6F"/>
    <w:rsid w:val="3D1D0C51"/>
    <w:rsid w:val="3E4F22C8"/>
    <w:rsid w:val="40C21C2E"/>
    <w:rsid w:val="40E63206"/>
    <w:rsid w:val="41504E33"/>
    <w:rsid w:val="418D4040"/>
    <w:rsid w:val="41A75BD0"/>
    <w:rsid w:val="424F27D8"/>
    <w:rsid w:val="42AB3B75"/>
    <w:rsid w:val="43E715F4"/>
    <w:rsid w:val="45C5528D"/>
    <w:rsid w:val="46970EDE"/>
    <w:rsid w:val="46DA06CE"/>
    <w:rsid w:val="473E03F2"/>
    <w:rsid w:val="47862D65"/>
    <w:rsid w:val="47BA2A98"/>
    <w:rsid w:val="48E74F2A"/>
    <w:rsid w:val="49830203"/>
    <w:rsid w:val="49C37D91"/>
    <w:rsid w:val="4A2138F5"/>
    <w:rsid w:val="4AA14924"/>
    <w:rsid w:val="4D1B15A5"/>
    <w:rsid w:val="4DE30B55"/>
    <w:rsid w:val="4E131761"/>
    <w:rsid w:val="4E2A50F1"/>
    <w:rsid w:val="4EFF0028"/>
    <w:rsid w:val="4F041BE5"/>
    <w:rsid w:val="4FCD544B"/>
    <w:rsid w:val="50465DC1"/>
    <w:rsid w:val="506A63A1"/>
    <w:rsid w:val="50D90BB3"/>
    <w:rsid w:val="50E8774B"/>
    <w:rsid w:val="51640797"/>
    <w:rsid w:val="518A40DC"/>
    <w:rsid w:val="51B178D7"/>
    <w:rsid w:val="51B30516"/>
    <w:rsid w:val="52416E80"/>
    <w:rsid w:val="540A3EEE"/>
    <w:rsid w:val="544B76C8"/>
    <w:rsid w:val="54AF247D"/>
    <w:rsid w:val="55E16072"/>
    <w:rsid w:val="56157B16"/>
    <w:rsid w:val="56C00F63"/>
    <w:rsid w:val="58005F9F"/>
    <w:rsid w:val="5AB7379D"/>
    <w:rsid w:val="5AE75AB0"/>
    <w:rsid w:val="5B540662"/>
    <w:rsid w:val="5C592375"/>
    <w:rsid w:val="5C743AE8"/>
    <w:rsid w:val="5DC13FDF"/>
    <w:rsid w:val="5DF81F3B"/>
    <w:rsid w:val="5E8706F0"/>
    <w:rsid w:val="5F33643F"/>
    <w:rsid w:val="5F390348"/>
    <w:rsid w:val="5FFB68ED"/>
    <w:rsid w:val="61293077"/>
    <w:rsid w:val="619501A8"/>
    <w:rsid w:val="61FD4E4F"/>
    <w:rsid w:val="62C94D21"/>
    <w:rsid w:val="633873E8"/>
    <w:rsid w:val="638D3240"/>
    <w:rsid w:val="653B0591"/>
    <w:rsid w:val="66BC011A"/>
    <w:rsid w:val="66C919AE"/>
    <w:rsid w:val="66DB1226"/>
    <w:rsid w:val="66F649FE"/>
    <w:rsid w:val="67942BD6"/>
    <w:rsid w:val="67962C89"/>
    <w:rsid w:val="683134FF"/>
    <w:rsid w:val="687B6DF6"/>
    <w:rsid w:val="69AC243D"/>
    <w:rsid w:val="69C9231B"/>
    <w:rsid w:val="6AAD450A"/>
    <w:rsid w:val="6BD15F74"/>
    <w:rsid w:val="6C920E15"/>
    <w:rsid w:val="6D055AC1"/>
    <w:rsid w:val="6E50180B"/>
    <w:rsid w:val="6F4D0429"/>
    <w:rsid w:val="6FCB0CF7"/>
    <w:rsid w:val="70180DF6"/>
    <w:rsid w:val="70F95EE6"/>
    <w:rsid w:val="710D6480"/>
    <w:rsid w:val="716A38D3"/>
    <w:rsid w:val="71705A54"/>
    <w:rsid w:val="72457E9C"/>
    <w:rsid w:val="725716A5"/>
    <w:rsid w:val="73010B68"/>
    <w:rsid w:val="7499165E"/>
    <w:rsid w:val="763267CE"/>
    <w:rsid w:val="76AB383E"/>
    <w:rsid w:val="7AF42141"/>
    <w:rsid w:val="7AF46D7E"/>
    <w:rsid w:val="7CB9602C"/>
    <w:rsid w:val="7D3A25C1"/>
    <w:rsid w:val="7EE62F51"/>
    <w:rsid w:val="7EF0702B"/>
    <w:rsid w:val="7F35093E"/>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9">
    <w:name w:val="Default Paragraph Font"/>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Normal Indent"/>
    <w:basedOn w:val="1"/>
    <w:qFormat/>
    <w:uiPriority w:val="0"/>
    <w:pPr>
      <w:ind w:firstLine="420"/>
    </w:pPr>
    <w:rPr>
      <w:sz w:val="24"/>
    </w:rPr>
  </w:style>
  <w:style w:type="paragraph" w:styleId="6">
    <w:name w:val="annotation text"/>
    <w:basedOn w:val="1"/>
    <w:link w:val="35"/>
    <w:qFormat/>
    <w:uiPriority w:val="0"/>
    <w:pPr>
      <w:jc w:val="left"/>
    </w:pPr>
  </w:style>
  <w:style w:type="paragraph" w:styleId="7">
    <w:name w:val="Body Text"/>
    <w:basedOn w:val="1"/>
    <w:qFormat/>
    <w:uiPriority w:val="0"/>
    <w:pPr>
      <w:widowControl/>
      <w:autoSpaceDE w:val="0"/>
      <w:autoSpaceDN w:val="0"/>
      <w:spacing w:line="600" w:lineRule="atLeast"/>
      <w:textAlignment w:val="bottom"/>
    </w:pPr>
    <w:rPr>
      <w:rFonts w:ascii="仿宋_GB2312" w:eastAsia="仿宋_GB2312"/>
      <w:sz w:val="28"/>
    </w:rPr>
  </w:style>
  <w:style w:type="paragraph" w:styleId="8">
    <w:name w:val="Body Text Indent"/>
    <w:basedOn w:val="1"/>
    <w:qFormat/>
    <w:uiPriority w:val="0"/>
    <w:pPr>
      <w:spacing w:line="600" w:lineRule="atLeast"/>
      <w:ind w:firstLine="555"/>
    </w:pPr>
    <w:rPr>
      <w:rFonts w:ascii="仿宋_GB2312" w:eastAsia="仿宋_GB2312"/>
      <w:sz w:val="28"/>
    </w:rPr>
  </w:style>
  <w:style w:type="paragraph" w:styleId="9">
    <w:name w:val="toc 5"/>
    <w:basedOn w:val="1"/>
    <w:next w:val="1"/>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 w:val="30"/>
    </w:rPr>
  </w:style>
  <w:style w:type="paragraph" w:styleId="12">
    <w:name w:val="toc 8"/>
    <w:basedOn w:val="1"/>
    <w:next w:val="1"/>
    <w:uiPriority w:val="0"/>
    <w:pPr>
      <w:ind w:left="2940" w:leftChars="1400"/>
    </w:pPr>
  </w:style>
  <w:style w:type="paragraph" w:styleId="13">
    <w:name w:val="Date"/>
    <w:basedOn w:val="1"/>
    <w:next w:val="1"/>
    <w:qFormat/>
    <w:uiPriority w:val="0"/>
    <w:pPr>
      <w:ind w:left="100" w:leftChars="2500"/>
    </w:pPr>
  </w:style>
  <w:style w:type="paragraph" w:styleId="14">
    <w:name w:val="Balloon Text"/>
    <w:basedOn w:val="1"/>
    <w:qFormat/>
    <w:uiPriority w:val="0"/>
    <w:rPr>
      <w:sz w:val="18"/>
    </w:rPr>
  </w:style>
  <w:style w:type="paragraph" w:styleId="15">
    <w:name w:val="footer"/>
    <w:basedOn w:val="1"/>
    <w:link w:val="36"/>
    <w:qFormat/>
    <w:uiPriority w:val="0"/>
    <w:pPr>
      <w:tabs>
        <w:tab w:val="center" w:pos="4819"/>
        <w:tab w:val="right" w:pos="9071"/>
      </w:tabs>
      <w:adjustRightInd w:val="0"/>
      <w:spacing w:line="240" w:lineRule="atLeast"/>
      <w:jc w:val="left"/>
      <w:textAlignment w:val="baseline"/>
    </w:pPr>
    <w:rPr>
      <w:rFonts w:ascii="宋体"/>
      <w:kern w:val="0"/>
      <w:sz w:val="18"/>
    </w:rPr>
  </w:style>
  <w:style w:type="paragraph" w:styleId="16">
    <w:name w:val="header"/>
    <w:basedOn w:val="1"/>
    <w:link w:val="52"/>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style>
  <w:style w:type="paragraph" w:styleId="18">
    <w:name w:val="toc 4"/>
    <w:basedOn w:val="1"/>
    <w:next w:val="1"/>
    <w:uiPriority w:val="0"/>
    <w:pPr>
      <w:ind w:left="1260" w:leftChars="600"/>
    </w:pPr>
  </w:style>
  <w:style w:type="paragraph" w:styleId="19">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0">
    <w:name w:val="toc 6"/>
    <w:basedOn w:val="1"/>
    <w:next w:val="1"/>
    <w:qFormat/>
    <w:uiPriority w:val="0"/>
    <w:pPr>
      <w:ind w:left="2100" w:leftChars="1000"/>
    </w:pPr>
  </w:style>
  <w:style w:type="paragraph" w:styleId="21">
    <w:name w:val="Body Text Indent 3"/>
    <w:basedOn w:val="1"/>
    <w:uiPriority w:val="0"/>
    <w:pPr>
      <w:ind w:firstLine="598" w:firstLineChars="200"/>
    </w:pPr>
    <w:rPr>
      <w:rFonts w:ascii="仿宋_GB2312" w:eastAsia="仿宋_GB2312"/>
      <w:sz w:val="32"/>
    </w:rPr>
  </w:style>
  <w:style w:type="paragraph" w:styleId="22">
    <w:name w:val="toc 2"/>
    <w:basedOn w:val="1"/>
    <w:next w:val="1"/>
    <w:qFormat/>
    <w:uiPriority w:val="0"/>
    <w:pPr>
      <w:ind w:left="420" w:leftChars="200"/>
    </w:pPr>
  </w:style>
  <w:style w:type="paragraph" w:styleId="23">
    <w:name w:val="toc 9"/>
    <w:basedOn w:val="1"/>
    <w:next w:val="1"/>
    <w:qFormat/>
    <w:uiPriority w:val="0"/>
    <w:pPr>
      <w:ind w:left="3360" w:leftChars="1600"/>
    </w:pPr>
  </w:style>
  <w:style w:type="paragraph" w:styleId="24">
    <w:name w:val="Normal (Web)"/>
    <w:basedOn w:val="1"/>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38"/>
    <w:qFormat/>
    <w:uiPriority w:val="0"/>
    <w:pPr>
      <w:spacing w:before="240" w:after="60"/>
      <w:jc w:val="center"/>
      <w:outlineLvl w:val="0"/>
    </w:pPr>
    <w:rPr>
      <w:rFonts w:ascii="Cambria" w:hAnsi="Cambria"/>
      <w:b/>
      <w:bCs/>
      <w:sz w:val="32"/>
      <w:szCs w:val="32"/>
    </w:rPr>
  </w:style>
  <w:style w:type="paragraph" w:styleId="26">
    <w:name w:val="annotation subject"/>
    <w:basedOn w:val="6"/>
    <w:next w:val="6"/>
    <w:link w:val="39"/>
    <w:uiPriority w:val="0"/>
    <w:rPr>
      <w:b/>
      <w:bCs/>
    </w:rPr>
  </w:style>
  <w:style w:type="table" w:styleId="28">
    <w:name w:val="Table Grid"/>
    <w:basedOn w:val="2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qFormat/>
    <w:uiPriority w:val="0"/>
  </w:style>
  <w:style w:type="character" w:styleId="32">
    <w:name w:val="FollowedHyperlink"/>
    <w:qFormat/>
    <w:uiPriority w:val="0"/>
    <w:rPr>
      <w:color w:val="800080"/>
      <w:u w:val="single"/>
    </w:rPr>
  </w:style>
  <w:style w:type="character" w:styleId="33">
    <w:name w:val="Hyperlink"/>
    <w:uiPriority w:val="0"/>
    <w:rPr>
      <w:b/>
      <w:color w:val="0000FF"/>
      <w:u w:val="wavyDouble"/>
    </w:rPr>
  </w:style>
  <w:style w:type="character" w:styleId="34">
    <w:name w:val="annotation reference"/>
    <w:qFormat/>
    <w:uiPriority w:val="0"/>
    <w:rPr>
      <w:sz w:val="21"/>
      <w:szCs w:val="21"/>
    </w:rPr>
  </w:style>
  <w:style w:type="character" w:customStyle="1" w:styleId="35">
    <w:name w:val="批注文字 Char"/>
    <w:link w:val="6"/>
    <w:qFormat/>
    <w:uiPriority w:val="0"/>
    <w:rPr>
      <w:kern w:val="2"/>
      <w:sz w:val="21"/>
      <w:lang w:bidi="ar-SA"/>
    </w:rPr>
  </w:style>
  <w:style w:type="character" w:customStyle="1" w:styleId="36">
    <w:name w:val="页脚 Char"/>
    <w:link w:val="15"/>
    <w:uiPriority w:val="0"/>
    <w:rPr>
      <w:rFonts w:ascii="宋体" w:eastAsia="宋体"/>
      <w:sz w:val="18"/>
      <w:lang w:val="en-US" w:eastAsia="zh-CN" w:bidi="ar-SA"/>
    </w:rPr>
  </w:style>
  <w:style w:type="character" w:customStyle="1" w:styleId="37">
    <w:name w:val="副标题 Char"/>
    <w:link w:val="19"/>
    <w:qFormat/>
    <w:uiPriority w:val="0"/>
    <w:rPr>
      <w:rFonts w:ascii="Cambria" w:hAnsi="Cambria"/>
      <w:b/>
      <w:bCs/>
      <w:kern w:val="28"/>
      <w:sz w:val="32"/>
      <w:szCs w:val="32"/>
      <w:lang w:bidi="ar-SA"/>
    </w:rPr>
  </w:style>
  <w:style w:type="character" w:customStyle="1" w:styleId="38">
    <w:name w:val="标题 Char"/>
    <w:link w:val="25"/>
    <w:uiPriority w:val="0"/>
    <w:rPr>
      <w:rFonts w:ascii="Cambria" w:hAnsi="Cambria"/>
      <w:b/>
      <w:bCs/>
      <w:kern w:val="2"/>
      <w:sz w:val="32"/>
      <w:szCs w:val="32"/>
      <w:lang w:bidi="ar-SA"/>
    </w:rPr>
  </w:style>
  <w:style w:type="character" w:customStyle="1" w:styleId="39">
    <w:name w:val="批注主题 Char"/>
    <w:link w:val="26"/>
    <w:uiPriority w:val="0"/>
    <w:rPr>
      <w:b/>
      <w:bCs/>
      <w:kern w:val="2"/>
      <w:sz w:val="21"/>
      <w:lang w:bidi="ar-SA"/>
    </w:rPr>
  </w:style>
  <w:style w:type="character" w:customStyle="1" w:styleId="40">
    <w:name w:val="style2"/>
    <w:qFormat/>
    <w:uiPriority w:val="0"/>
  </w:style>
  <w:style w:type="character" w:customStyle="1" w:styleId="41">
    <w:name w:val="viewthreadtxt"/>
    <w:qFormat/>
    <w:uiPriority w:val="0"/>
  </w:style>
  <w:style w:type="character" w:customStyle="1" w:styleId="42">
    <w:name w:val="模板-表字体（居中） Char"/>
    <w:link w:val="43"/>
    <w:qFormat/>
    <w:locked/>
    <w:uiPriority w:val="0"/>
    <w:rPr>
      <w:rFonts w:ascii="仿宋_GB2312" w:hAnsi="仿宋_GB2312" w:eastAsia="仿宋_GB2312"/>
      <w:color w:val="000000"/>
      <w:kern w:val="2"/>
      <w:sz w:val="18"/>
      <w:lang w:val="en-US" w:eastAsia="zh-CN" w:bidi="ar-SA"/>
    </w:rPr>
  </w:style>
  <w:style w:type="paragraph" w:customStyle="1" w:styleId="43">
    <w:name w:val="模板-表字体（居中）"/>
    <w:basedOn w:val="1"/>
    <w:link w:val="42"/>
    <w:qFormat/>
    <w:uiPriority w:val="0"/>
    <w:pPr>
      <w:autoSpaceDE w:val="0"/>
      <w:autoSpaceDN w:val="0"/>
      <w:adjustRightInd w:val="0"/>
      <w:ind w:right="104"/>
      <w:jc w:val="center"/>
      <w:textAlignment w:val="baseline"/>
    </w:pPr>
    <w:rPr>
      <w:rFonts w:ascii="仿宋_GB2312" w:hAnsi="仿宋_GB2312" w:eastAsia="仿宋_GB2312"/>
      <w:color w:val="000000"/>
      <w:sz w:val="18"/>
    </w:rPr>
  </w:style>
  <w:style w:type="paragraph" w:customStyle="1" w:styleId="44">
    <w:name w:val="WPS Plain"/>
    <w:uiPriority w:val="0"/>
    <w:rPr>
      <w:rFonts w:ascii="Times New Roman" w:hAnsi="Times New Roman" w:eastAsia="宋体" w:cs="Times New Roman"/>
      <w:lang w:val="en-US" w:eastAsia="zh-CN" w:bidi="ar-SA"/>
    </w:rPr>
  </w:style>
  <w:style w:type="paragraph" w:customStyle="1" w:styleId="45">
    <w:name w:val="_Style 14"/>
    <w:basedOn w:val="1"/>
    <w:uiPriority w:val="0"/>
  </w:style>
  <w:style w:type="paragraph" w:customStyle="1" w:styleId="46">
    <w:name w:val="模板-税费表格内字体居中"/>
    <w:qFormat/>
    <w:uiPriority w:val="0"/>
    <w:pPr>
      <w:widowControl w:val="0"/>
      <w:adjustRightInd w:val="0"/>
      <w:spacing w:before="156" w:line="240" w:lineRule="exact"/>
      <w:jc w:val="center"/>
      <w:textAlignment w:val="baseline"/>
    </w:pPr>
    <w:rPr>
      <w:rFonts w:ascii="宋体" w:hAnsi="宋体" w:eastAsia="宋体" w:cs="微软雅黑"/>
      <w:color w:val="000000"/>
      <w:kern w:val="2"/>
      <w:sz w:val="18"/>
      <w:szCs w:val="18"/>
      <w:lang w:val="en-US" w:eastAsia="zh-CN" w:bidi="ar-SA"/>
    </w:rPr>
  </w:style>
  <w:style w:type="paragraph" w:customStyle="1" w:styleId="47">
    <w:name w:val="0"/>
    <w:basedOn w:val="1"/>
    <w:qFormat/>
    <w:uiPriority w:val="0"/>
    <w:pPr>
      <w:widowControl/>
      <w:jc w:val="left"/>
    </w:pPr>
    <w:rPr>
      <w:kern w:val="0"/>
      <w:sz w:val="20"/>
    </w:rPr>
  </w:style>
  <w:style w:type="paragraph" w:customStyle="1" w:styleId="48">
    <w:name w:val="_Style 16"/>
    <w:basedOn w:val="1"/>
    <w:uiPriority w:val="0"/>
  </w:style>
  <w:style w:type="paragraph" w:customStyle="1" w:styleId="49">
    <w:name w:val="默认段落字体 Para Char Char Char Char Char Char Char"/>
    <w:basedOn w:val="1"/>
    <w:uiPriority w:val="0"/>
  </w:style>
  <w:style w:type="paragraph" w:styleId="50">
    <w:name w:val="List Paragraph"/>
    <w:basedOn w:val="1"/>
    <w:qFormat/>
    <w:uiPriority w:val="99"/>
    <w:pPr>
      <w:ind w:firstLine="420" w:firstLineChars="200"/>
    </w:pPr>
  </w:style>
  <w:style w:type="paragraph" w:customStyle="1" w:styleId="51">
    <w:name w:val="WPSOffice手动目录 1"/>
    <w:qFormat/>
    <w:uiPriority w:val="0"/>
    <w:rPr>
      <w:rFonts w:ascii="Times New Roman" w:hAnsi="Times New Roman" w:eastAsia="宋体" w:cs="Times New Roman"/>
      <w:lang w:val="en-US" w:eastAsia="zh-CN" w:bidi="ar-SA"/>
    </w:rPr>
  </w:style>
  <w:style w:type="character" w:customStyle="1" w:styleId="52">
    <w:name w:val="页眉 Char"/>
    <w:basedOn w:val="29"/>
    <w:link w:val="16"/>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A1399-A970-4876-85C6-6E7F9AEBE905}">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46</Pages>
  <Words>22768</Words>
  <Characters>25959</Characters>
  <Lines>212</Lines>
  <Paragraphs>59</Paragraphs>
  <TotalTime>7</TotalTime>
  <ScaleCrop>false</ScaleCrop>
  <LinksUpToDate>false</LinksUpToDate>
  <CharactersWithSpaces>27014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2022-06-14T01:45:00Z</dcterms:created>
  <dc:creator>徐刚</dc:creator>
  <cp:lastModifiedBy>王瑞</cp:lastModifiedBy>
  <cp:lastPrinted>2022-07-19T01:08:00Z</cp:lastPrinted>
  <dcterms:modified xsi:type="dcterms:W3CDTF">2022-07-19T07:04:52Z</dcterms:modified>
  <dc:subject>宁夏大众工贸有限公司银平公路东侧商业用途宗地国有土地使用权抵押评估</dc:subject>
  <dc:title>土 地 估 价 报 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79B80A596A72411BAB906B678A769C36</vt:lpwstr>
  </property>
</Properties>
</file>