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黑体" w:hAnsi="宋体" w:eastAsia="黑体"/>
          <w:b/>
          <w:bCs/>
          <w:sz w:val="36"/>
        </w:rPr>
      </w:pPr>
      <w:r>
        <w:rPr>
          <w:rFonts w:hint="eastAsia" w:ascii="黑体" w:hAnsi="宋体" w:eastAsia="黑体"/>
          <w:b/>
          <w:bCs/>
          <w:sz w:val="36"/>
        </w:rPr>
        <w:t>目        录</w:t>
      </w:r>
    </w:p>
    <w:p>
      <w:pPr>
        <w:pStyle w:val="5"/>
        <w:jc w:val="distribute"/>
        <w:rPr>
          <w:rFonts w:hint="eastAsia" w:ascii="黑体" w:hAnsi="宋体" w:eastAsia="黑体"/>
          <w:sz w:val="28"/>
        </w:rPr>
      </w:pPr>
    </w:p>
    <w:p>
      <w:pPr>
        <w:pStyle w:val="5"/>
        <w:jc w:val="distribute"/>
        <w:rPr>
          <w:rFonts w:hint="eastAsia" w:hAnsi="宋体"/>
          <w:color w:val="FF0000"/>
          <w:sz w:val="28"/>
        </w:rPr>
      </w:pPr>
      <w:r>
        <w:rPr>
          <w:rFonts w:hint="eastAsia" w:hAnsi="宋体"/>
          <w:color w:val="FF0000"/>
          <w:sz w:val="28"/>
          <w:lang w:eastAsia="zh-CN"/>
        </w:rPr>
        <w:t>价格鉴证评估师</w:t>
      </w:r>
      <w:r>
        <w:rPr>
          <w:rFonts w:hint="eastAsia" w:hAnsi="宋体"/>
          <w:color w:val="FF0000"/>
          <w:sz w:val="28"/>
        </w:rPr>
        <w:t xml:space="preserve">声明 </w:t>
      </w:r>
      <w:r>
        <w:rPr>
          <w:rFonts w:hint="eastAsia" w:hAnsi="宋体"/>
          <w:b/>
          <w:bCs/>
          <w:color w:val="FF0000"/>
          <w:sz w:val="24"/>
        </w:rPr>
        <w:t>…………………………………………………………</w:t>
      </w:r>
      <w:r>
        <w:rPr>
          <w:rFonts w:hint="eastAsia" w:hAnsi="宋体"/>
          <w:color w:val="FF0000"/>
          <w:sz w:val="28"/>
        </w:rPr>
        <w:t>2</w:t>
      </w:r>
    </w:p>
    <w:p>
      <w:pPr>
        <w:pStyle w:val="5"/>
        <w:jc w:val="distribute"/>
        <w:rPr>
          <w:rFonts w:hint="eastAsia" w:hAnsi="宋体"/>
          <w:color w:val="FF0000"/>
          <w:sz w:val="28"/>
        </w:rPr>
      </w:pPr>
      <w:r>
        <w:rPr>
          <w:rFonts w:hint="eastAsia" w:hAnsi="宋体"/>
          <w:color w:val="FF0000"/>
          <w:sz w:val="28"/>
        </w:rPr>
        <w:t xml:space="preserve">评估报告书摘要 </w:t>
      </w:r>
      <w:r>
        <w:rPr>
          <w:rFonts w:hint="eastAsia" w:hAnsi="宋体"/>
          <w:b/>
          <w:bCs/>
          <w:color w:val="FF0000"/>
          <w:sz w:val="24"/>
        </w:rPr>
        <w:t>…………………………………………………………</w:t>
      </w:r>
      <w:r>
        <w:rPr>
          <w:rFonts w:hint="eastAsia" w:hAnsi="宋体"/>
          <w:color w:val="FF0000"/>
          <w:sz w:val="28"/>
        </w:rPr>
        <w:t>3</w:t>
      </w:r>
    </w:p>
    <w:p>
      <w:pPr>
        <w:pStyle w:val="5"/>
        <w:jc w:val="distribute"/>
        <w:rPr>
          <w:rFonts w:hint="eastAsia" w:hAnsi="宋体"/>
          <w:color w:val="FF0000"/>
          <w:sz w:val="28"/>
        </w:rPr>
      </w:pPr>
      <w:r>
        <w:rPr>
          <w:rFonts w:hint="eastAsia" w:hAnsi="宋体"/>
          <w:color w:val="FF0000"/>
          <w:sz w:val="28"/>
        </w:rPr>
        <w:t xml:space="preserve">评估报告书正文 </w:t>
      </w:r>
      <w:r>
        <w:rPr>
          <w:rFonts w:hint="eastAsia" w:hAnsi="宋体"/>
          <w:b/>
          <w:bCs/>
          <w:color w:val="FF0000"/>
          <w:sz w:val="24"/>
        </w:rPr>
        <w:t>…………………………………………………………</w:t>
      </w:r>
      <w:r>
        <w:rPr>
          <w:rFonts w:hint="eastAsia" w:hAnsi="宋体"/>
          <w:color w:val="FF0000"/>
          <w:sz w:val="28"/>
        </w:rPr>
        <w:t>5</w:t>
      </w:r>
    </w:p>
    <w:p>
      <w:pPr>
        <w:pStyle w:val="5"/>
        <w:jc w:val="distribute"/>
        <w:rPr>
          <w:rFonts w:hint="eastAsia" w:hAnsi="宋体"/>
          <w:color w:val="FF0000"/>
          <w:sz w:val="28"/>
        </w:rPr>
      </w:pPr>
      <w:r>
        <w:rPr>
          <w:rFonts w:hint="eastAsia" w:hAnsi="宋体"/>
          <w:color w:val="FF0000"/>
          <w:sz w:val="28"/>
        </w:rPr>
        <w:t>一、委托方、资产占有方简介</w:t>
      </w:r>
      <w:r>
        <w:rPr>
          <w:rFonts w:hint="eastAsia" w:hAnsi="宋体"/>
          <w:color w:val="FF0000"/>
          <w:sz w:val="28"/>
          <w:szCs w:val="28"/>
        </w:rPr>
        <w:t>和其他报告使用者</w:t>
      </w:r>
      <w:r>
        <w:rPr>
          <w:rFonts w:hint="eastAsia" w:hAnsi="宋体"/>
          <w:b/>
          <w:bCs/>
          <w:color w:val="FF0000"/>
          <w:sz w:val="24"/>
        </w:rPr>
        <w:t>……………………</w:t>
      </w:r>
      <w:r>
        <w:rPr>
          <w:rFonts w:hint="eastAsia" w:hAnsi="宋体"/>
          <w:color w:val="FF0000"/>
          <w:sz w:val="28"/>
        </w:rPr>
        <w:t>5</w:t>
      </w:r>
    </w:p>
    <w:p>
      <w:pPr>
        <w:pStyle w:val="5"/>
        <w:jc w:val="distribute"/>
        <w:rPr>
          <w:rFonts w:hint="eastAsia" w:hAnsi="宋体"/>
          <w:color w:val="FF0000"/>
          <w:sz w:val="28"/>
        </w:rPr>
      </w:pPr>
      <w:r>
        <w:rPr>
          <w:rFonts w:hint="eastAsia" w:hAnsi="宋体"/>
          <w:color w:val="FF0000"/>
          <w:sz w:val="28"/>
        </w:rPr>
        <w:t>二、评估目的</w:t>
      </w:r>
      <w:r>
        <w:rPr>
          <w:rFonts w:hint="eastAsia" w:hAnsi="宋体"/>
          <w:b/>
          <w:bCs/>
          <w:color w:val="FF0000"/>
          <w:sz w:val="24"/>
        </w:rPr>
        <w:t>…………………………………………………………………</w:t>
      </w:r>
      <w:r>
        <w:rPr>
          <w:rFonts w:hint="eastAsia" w:hAnsi="宋体"/>
          <w:color w:val="FF0000"/>
          <w:sz w:val="28"/>
        </w:rPr>
        <w:t>5</w:t>
      </w:r>
    </w:p>
    <w:p>
      <w:pPr>
        <w:pStyle w:val="5"/>
        <w:rPr>
          <w:rFonts w:hint="eastAsia" w:hAnsi="宋体"/>
          <w:color w:val="FF0000"/>
          <w:sz w:val="28"/>
        </w:rPr>
      </w:pPr>
      <w:r>
        <w:rPr>
          <w:rFonts w:hint="eastAsia" w:hAnsi="宋体"/>
          <w:color w:val="FF0000"/>
          <w:sz w:val="28"/>
        </w:rPr>
        <w:t>三、评估范围和评估对象</w:t>
      </w:r>
      <w:r>
        <w:rPr>
          <w:rFonts w:hint="eastAsia" w:hAnsi="宋体"/>
          <w:b/>
          <w:bCs/>
          <w:color w:val="FF0000"/>
          <w:sz w:val="24"/>
        </w:rPr>
        <w:t>………………………………………………………</w:t>
      </w:r>
      <w:r>
        <w:rPr>
          <w:rFonts w:hint="eastAsia" w:hAnsi="宋体"/>
          <w:color w:val="FF0000"/>
          <w:sz w:val="28"/>
        </w:rPr>
        <w:t>5</w:t>
      </w:r>
    </w:p>
    <w:p>
      <w:pPr>
        <w:pStyle w:val="5"/>
        <w:jc w:val="distribute"/>
        <w:rPr>
          <w:rFonts w:hint="eastAsia" w:hAnsi="宋体"/>
          <w:color w:val="FF0000"/>
          <w:sz w:val="28"/>
        </w:rPr>
      </w:pPr>
      <w:r>
        <w:rPr>
          <w:rFonts w:hint="eastAsia" w:hAnsi="宋体"/>
          <w:color w:val="FF0000"/>
          <w:sz w:val="28"/>
        </w:rPr>
        <w:t>四、价值类型及其定义</w:t>
      </w:r>
      <w:r>
        <w:rPr>
          <w:rFonts w:hint="eastAsia" w:hAnsi="宋体"/>
          <w:b/>
          <w:bCs/>
          <w:color w:val="FF0000"/>
          <w:sz w:val="24"/>
        </w:rPr>
        <w:t>…………………………………………………………</w:t>
      </w:r>
      <w:r>
        <w:rPr>
          <w:rFonts w:hint="eastAsia" w:hAnsi="宋体"/>
          <w:color w:val="FF0000"/>
          <w:sz w:val="28"/>
        </w:rPr>
        <w:t>6</w:t>
      </w:r>
    </w:p>
    <w:p>
      <w:pPr>
        <w:pStyle w:val="5"/>
        <w:jc w:val="distribute"/>
        <w:rPr>
          <w:rFonts w:hint="eastAsia" w:hAnsi="宋体"/>
          <w:color w:val="FF0000"/>
          <w:sz w:val="28"/>
        </w:rPr>
      </w:pPr>
      <w:r>
        <w:rPr>
          <w:rFonts w:hint="eastAsia" w:hAnsi="宋体"/>
          <w:color w:val="FF0000"/>
          <w:sz w:val="28"/>
        </w:rPr>
        <w:t>五、评估基准日</w:t>
      </w:r>
      <w:r>
        <w:rPr>
          <w:rFonts w:hint="eastAsia" w:hAnsi="宋体"/>
          <w:b/>
          <w:bCs/>
          <w:color w:val="FF0000"/>
          <w:sz w:val="24"/>
        </w:rPr>
        <w:t>…………………………………………………………………</w:t>
      </w:r>
      <w:r>
        <w:rPr>
          <w:rFonts w:hint="eastAsia" w:hAnsi="宋体"/>
          <w:color w:val="FF0000"/>
          <w:sz w:val="28"/>
        </w:rPr>
        <w:t>6</w:t>
      </w:r>
    </w:p>
    <w:p>
      <w:pPr>
        <w:pStyle w:val="5"/>
        <w:rPr>
          <w:rFonts w:hint="eastAsia" w:hAnsi="宋体"/>
          <w:color w:val="FF0000"/>
          <w:sz w:val="28"/>
        </w:rPr>
      </w:pPr>
      <w:r>
        <w:rPr>
          <w:rFonts w:hint="eastAsia" w:hAnsi="宋体"/>
          <w:color w:val="FF0000"/>
          <w:sz w:val="28"/>
        </w:rPr>
        <w:t>六、评估依据</w:t>
      </w:r>
      <w:r>
        <w:rPr>
          <w:rFonts w:hint="eastAsia" w:hAnsi="宋体"/>
          <w:b/>
          <w:bCs/>
          <w:color w:val="FF0000"/>
          <w:sz w:val="24"/>
        </w:rPr>
        <w:t xml:space="preserve">……………………………………………………………………  </w:t>
      </w:r>
      <w:r>
        <w:rPr>
          <w:rFonts w:hint="eastAsia" w:hAnsi="宋体"/>
          <w:color w:val="FF0000"/>
          <w:sz w:val="28"/>
        </w:rPr>
        <w:t>6</w:t>
      </w:r>
    </w:p>
    <w:p>
      <w:pPr>
        <w:pStyle w:val="5"/>
        <w:jc w:val="distribute"/>
        <w:rPr>
          <w:rFonts w:hint="eastAsia" w:hAnsi="宋体"/>
          <w:color w:val="FF0000"/>
          <w:sz w:val="28"/>
          <w:lang w:val="en-US" w:eastAsia="zh-CN"/>
        </w:rPr>
      </w:pPr>
      <w:r>
        <w:rPr>
          <w:rFonts w:hint="eastAsia" w:hAnsi="宋体"/>
          <w:color w:val="FF0000"/>
          <w:sz w:val="28"/>
        </w:rPr>
        <w:t>七、评估方法</w:t>
      </w:r>
      <w:r>
        <w:rPr>
          <w:rFonts w:hint="eastAsia" w:hAnsi="宋体"/>
          <w:b/>
          <w:bCs/>
          <w:color w:val="FF0000"/>
          <w:sz w:val="24"/>
        </w:rPr>
        <w:t>……………………………………………………………………</w:t>
      </w:r>
      <w:r>
        <w:rPr>
          <w:rFonts w:hint="eastAsia" w:hAnsi="宋体"/>
          <w:color w:val="FF0000"/>
          <w:sz w:val="28"/>
          <w:lang w:val="en-US" w:eastAsia="zh-CN"/>
        </w:rPr>
        <w:t>9</w:t>
      </w:r>
      <w:r>
        <w:rPr>
          <w:rFonts w:hint="eastAsia" w:hAnsi="宋体"/>
          <w:color w:val="FF0000"/>
          <w:sz w:val="28"/>
        </w:rPr>
        <w:t>八、</w:t>
      </w:r>
      <w:r>
        <w:rPr>
          <w:rFonts w:hint="eastAsia" w:hAnsi="宋体"/>
          <w:bCs/>
          <w:color w:val="FF0000"/>
          <w:sz w:val="28"/>
          <w:szCs w:val="28"/>
        </w:rPr>
        <w:t>评估程序实施过程和情况</w:t>
      </w:r>
      <w:r>
        <w:rPr>
          <w:rFonts w:hint="eastAsia" w:hAnsi="宋体"/>
          <w:b/>
          <w:bCs/>
          <w:color w:val="FF0000"/>
          <w:sz w:val="24"/>
        </w:rPr>
        <w:t>……………………………………………</w:t>
      </w:r>
      <w:r>
        <w:rPr>
          <w:rFonts w:hint="eastAsia" w:hAnsi="宋体"/>
          <w:color w:val="FF0000"/>
          <w:sz w:val="28"/>
          <w:lang w:val="en-US" w:eastAsia="zh-CN"/>
        </w:rPr>
        <w:t>9</w:t>
      </w:r>
    </w:p>
    <w:p>
      <w:pPr>
        <w:pStyle w:val="5"/>
        <w:jc w:val="distribute"/>
        <w:rPr>
          <w:rFonts w:hint="eastAsia" w:hAnsi="宋体" w:eastAsia="宋体"/>
          <w:color w:val="FF0000"/>
          <w:sz w:val="28"/>
          <w:lang w:eastAsia="zh-CN"/>
        </w:rPr>
      </w:pPr>
      <w:r>
        <w:rPr>
          <w:rFonts w:hint="eastAsia" w:hAnsi="宋体"/>
          <w:color w:val="FF0000"/>
          <w:sz w:val="28"/>
        </w:rPr>
        <w:t>九、评估假设</w:t>
      </w:r>
      <w:r>
        <w:rPr>
          <w:rFonts w:hint="eastAsia" w:hAnsi="宋体"/>
          <w:b/>
          <w:bCs/>
          <w:color w:val="FF0000"/>
          <w:sz w:val="24"/>
        </w:rPr>
        <w:t>………………………………………………………………</w:t>
      </w:r>
      <w:r>
        <w:rPr>
          <w:rFonts w:hint="eastAsia" w:hAnsi="宋体"/>
          <w:color w:val="FF0000"/>
          <w:sz w:val="28"/>
        </w:rPr>
        <w:t>1</w:t>
      </w:r>
      <w:r>
        <w:rPr>
          <w:rFonts w:hint="eastAsia" w:hAnsi="宋体"/>
          <w:color w:val="FF0000"/>
          <w:sz w:val="28"/>
          <w:lang w:val="en-US" w:eastAsia="zh-CN"/>
        </w:rPr>
        <w:t>1</w:t>
      </w:r>
    </w:p>
    <w:p>
      <w:pPr>
        <w:pStyle w:val="5"/>
        <w:jc w:val="distribute"/>
        <w:rPr>
          <w:rFonts w:hint="eastAsia" w:hAnsi="宋体"/>
          <w:color w:val="FF0000"/>
          <w:sz w:val="28"/>
        </w:rPr>
      </w:pPr>
      <w:r>
        <w:rPr>
          <w:rFonts w:hint="eastAsia" w:hAnsi="宋体"/>
          <w:color w:val="FF0000"/>
          <w:sz w:val="28"/>
        </w:rPr>
        <w:t xml:space="preserve">十、评估结论 </w:t>
      </w:r>
      <w:r>
        <w:rPr>
          <w:rFonts w:hint="eastAsia" w:hAnsi="宋体"/>
          <w:b/>
          <w:bCs/>
          <w:color w:val="FF0000"/>
          <w:sz w:val="24"/>
        </w:rPr>
        <w:t>…………………………………………………………………</w:t>
      </w:r>
      <w:r>
        <w:rPr>
          <w:rFonts w:hint="eastAsia" w:hAnsi="宋体"/>
          <w:color w:val="FF0000"/>
          <w:sz w:val="28"/>
        </w:rPr>
        <w:t>1</w:t>
      </w:r>
      <w:r>
        <w:rPr>
          <w:rFonts w:hint="eastAsia" w:hAnsi="宋体"/>
          <w:color w:val="FF0000"/>
          <w:sz w:val="28"/>
          <w:lang w:val="en-US" w:eastAsia="zh-CN"/>
        </w:rPr>
        <w:t>2</w:t>
      </w:r>
    </w:p>
    <w:p>
      <w:pPr>
        <w:pStyle w:val="5"/>
        <w:jc w:val="distribute"/>
        <w:rPr>
          <w:rFonts w:hint="eastAsia" w:hAnsi="宋体" w:eastAsia="宋体"/>
          <w:color w:val="FF0000"/>
          <w:sz w:val="28"/>
          <w:lang w:eastAsia="zh-CN"/>
        </w:rPr>
      </w:pPr>
      <w:r>
        <w:rPr>
          <w:rFonts w:hint="eastAsia" w:hAnsi="宋体"/>
          <w:color w:val="FF0000"/>
          <w:sz w:val="28"/>
        </w:rPr>
        <w:t>十一、特别事项说明</w:t>
      </w:r>
      <w:r>
        <w:rPr>
          <w:rFonts w:hint="eastAsia" w:hAnsi="宋体"/>
          <w:b/>
          <w:bCs/>
          <w:color w:val="FF0000"/>
          <w:sz w:val="24"/>
        </w:rPr>
        <w:t>…………………………………………………………</w:t>
      </w:r>
      <w:r>
        <w:rPr>
          <w:rFonts w:hint="eastAsia" w:hAnsi="宋体"/>
          <w:color w:val="FF0000"/>
          <w:sz w:val="28"/>
        </w:rPr>
        <w:t>1</w:t>
      </w:r>
      <w:r>
        <w:rPr>
          <w:rFonts w:hint="eastAsia" w:hAnsi="宋体"/>
          <w:color w:val="FF0000"/>
          <w:sz w:val="28"/>
          <w:lang w:val="en-US" w:eastAsia="zh-CN"/>
        </w:rPr>
        <w:t>2</w:t>
      </w:r>
    </w:p>
    <w:p>
      <w:pPr>
        <w:pStyle w:val="5"/>
        <w:jc w:val="distribute"/>
        <w:rPr>
          <w:rFonts w:hint="eastAsia" w:hAnsi="宋体"/>
          <w:bCs/>
          <w:color w:val="FF0000"/>
          <w:sz w:val="28"/>
          <w:szCs w:val="28"/>
          <w:lang w:val="en-US" w:eastAsia="zh-CN"/>
        </w:rPr>
      </w:pPr>
      <w:r>
        <w:rPr>
          <w:rFonts w:hint="eastAsia" w:hAnsi="宋体"/>
          <w:color w:val="FF0000"/>
          <w:sz w:val="28"/>
        </w:rPr>
        <w:t>十二、</w:t>
      </w:r>
      <w:r>
        <w:rPr>
          <w:rFonts w:hint="eastAsia" w:hAnsi="宋体"/>
          <w:bCs/>
          <w:color w:val="FF0000"/>
          <w:sz w:val="28"/>
          <w:szCs w:val="28"/>
        </w:rPr>
        <w:t>评估报告报告使用限制说明</w:t>
      </w:r>
      <w:r>
        <w:rPr>
          <w:rFonts w:hint="eastAsia" w:hAnsi="宋体"/>
          <w:b/>
          <w:bCs/>
          <w:color w:val="FF0000"/>
          <w:sz w:val="24"/>
        </w:rPr>
        <w:t>…………………………………………</w:t>
      </w:r>
      <w:r>
        <w:rPr>
          <w:rFonts w:hint="eastAsia" w:hAnsi="宋体"/>
          <w:bCs/>
          <w:color w:val="FF0000"/>
          <w:sz w:val="28"/>
          <w:szCs w:val="28"/>
        </w:rPr>
        <w:t>1</w:t>
      </w:r>
      <w:r>
        <w:rPr>
          <w:rFonts w:hint="eastAsia" w:hAnsi="宋体"/>
          <w:bCs/>
          <w:color w:val="FF0000"/>
          <w:sz w:val="28"/>
          <w:szCs w:val="28"/>
          <w:lang w:val="en-US" w:eastAsia="zh-CN"/>
        </w:rPr>
        <w:t>3</w:t>
      </w:r>
      <w:r>
        <w:rPr>
          <w:rFonts w:hint="eastAsia" w:hAnsi="宋体"/>
          <w:bCs/>
          <w:color w:val="FF0000"/>
          <w:sz w:val="28"/>
          <w:szCs w:val="28"/>
        </w:rPr>
        <w:t>十三、评估报告日………………………………………………………1</w:t>
      </w:r>
      <w:r>
        <w:rPr>
          <w:rFonts w:hint="eastAsia" w:hAnsi="宋体"/>
          <w:bCs/>
          <w:color w:val="FF0000"/>
          <w:sz w:val="28"/>
          <w:szCs w:val="28"/>
          <w:lang w:val="en-US" w:eastAsia="zh-CN"/>
        </w:rPr>
        <w:t>3</w:t>
      </w:r>
    </w:p>
    <w:p>
      <w:pPr>
        <w:pStyle w:val="5"/>
        <w:jc w:val="distribute"/>
        <w:rPr>
          <w:rFonts w:hint="default" w:hAnsi="宋体"/>
          <w:bCs/>
          <w:color w:val="FF0000"/>
          <w:sz w:val="28"/>
          <w:szCs w:val="28"/>
          <w:lang w:val="en-US" w:eastAsia="zh-CN"/>
        </w:rPr>
      </w:pPr>
      <w:r>
        <w:rPr>
          <w:rFonts w:hint="eastAsia" w:hAnsi="宋体"/>
          <w:bCs/>
          <w:color w:val="FF0000"/>
          <w:sz w:val="28"/>
          <w:szCs w:val="28"/>
        </w:rPr>
        <w:t>十四、</w:t>
      </w:r>
      <w:r>
        <w:rPr>
          <w:rFonts w:hint="eastAsia" w:hAnsi="宋体"/>
          <w:bCs/>
          <w:color w:val="FF0000"/>
          <w:sz w:val="28"/>
          <w:szCs w:val="28"/>
          <w:lang w:eastAsia="zh-CN"/>
        </w:rPr>
        <w:t>价格鉴证评估师</w:t>
      </w:r>
      <w:r>
        <w:rPr>
          <w:rFonts w:hint="eastAsia" w:hAnsi="宋体"/>
          <w:bCs/>
          <w:color w:val="FF0000"/>
          <w:sz w:val="28"/>
          <w:szCs w:val="28"/>
        </w:rPr>
        <w:t>盖章、评估机构盖章…………………………</w:t>
      </w:r>
      <w:r>
        <w:rPr>
          <w:rFonts w:hint="eastAsia" w:hAnsi="宋体"/>
          <w:bCs/>
          <w:color w:val="FF0000"/>
          <w:sz w:val="28"/>
          <w:szCs w:val="28"/>
          <w:lang w:val="en-US" w:eastAsia="zh-CN"/>
        </w:rPr>
        <w:t>14</w:t>
      </w:r>
      <w:r>
        <w:rPr>
          <w:rFonts w:hint="eastAsia" w:hAnsi="宋体"/>
          <w:bCs/>
          <w:color w:val="FF0000"/>
          <w:sz w:val="28"/>
          <w:szCs w:val="28"/>
        </w:rPr>
        <w:t>评估报告附件………………………………………………………1</w:t>
      </w:r>
      <w:r>
        <w:rPr>
          <w:rFonts w:hint="eastAsia" w:hAnsi="宋体"/>
          <w:bCs/>
          <w:color w:val="FF0000"/>
          <w:sz w:val="28"/>
          <w:szCs w:val="28"/>
          <w:lang w:val="en-US" w:eastAsia="zh-CN"/>
        </w:rPr>
        <w:t>5</w:t>
      </w:r>
    </w:p>
    <w:p>
      <w:pPr>
        <w:autoSpaceDE w:val="0"/>
        <w:autoSpaceDN w:val="0"/>
        <w:adjustRightInd w:val="0"/>
        <w:spacing w:line="360" w:lineRule="auto"/>
        <w:ind w:right="-357"/>
        <w:jc w:val="center"/>
        <w:rPr>
          <w:rFonts w:hint="eastAsia" w:ascii="宋体" w:hAnsi="宋体"/>
          <w:b/>
          <w:color w:val="FF0000"/>
          <w:sz w:val="36"/>
          <w:szCs w:val="36"/>
        </w:rPr>
      </w:pPr>
    </w:p>
    <w:p>
      <w:pPr>
        <w:pStyle w:val="2"/>
        <w:jc w:val="center"/>
        <w:rPr>
          <w:rFonts w:hint="eastAsia" w:ascii="宋体" w:hAnsi="宋体"/>
          <w:sz w:val="48"/>
          <w:szCs w:val="48"/>
        </w:rPr>
      </w:pPr>
      <w:bookmarkStart w:id="0" w:name="_Toc224440136"/>
      <w:bookmarkStart w:id="1" w:name="_Toc269106779"/>
      <w:r>
        <w:rPr>
          <w:rFonts w:hint="eastAsia"/>
          <w:lang w:eastAsia="zh-CN"/>
        </w:rPr>
        <w:t>价格鉴证评估师</w:t>
      </w:r>
      <w:r>
        <w:rPr>
          <w:rFonts w:hint="eastAsia"/>
        </w:rPr>
        <w:t>声明</w:t>
      </w:r>
      <w:bookmarkEnd w:id="0"/>
      <w:bookmarkEnd w:id="1"/>
    </w:p>
    <w:p>
      <w:pPr>
        <w:snapToGrid w:val="0"/>
        <w:spacing w:line="360" w:lineRule="auto"/>
        <w:ind w:firstLine="480" w:firstLineChars="200"/>
        <w:rPr>
          <w:rFonts w:hint="eastAsia" w:ascii="宋体" w:hAnsi="宋体"/>
          <w:sz w:val="24"/>
        </w:rPr>
      </w:pPr>
      <w:r>
        <w:rPr>
          <w:rFonts w:hint="eastAsia" w:ascii="宋体" w:hAnsi="宋体"/>
          <w:sz w:val="24"/>
        </w:rPr>
        <w:t>一、我们在执行本次评估业务中，遵循相关法律、法规和评估准则的规定，恪守独立、客观和公正的原则，对评估对象价值进行估算并发表专业意见，是</w:t>
      </w:r>
      <w:r>
        <w:rPr>
          <w:rFonts w:hint="eastAsia" w:ascii="宋体" w:hAnsi="宋体"/>
          <w:sz w:val="24"/>
          <w:lang w:eastAsia="zh-CN"/>
        </w:rPr>
        <w:t>价格鉴证评估师</w:t>
      </w:r>
      <w:r>
        <w:rPr>
          <w:rFonts w:hint="eastAsia" w:ascii="宋体" w:hAnsi="宋体"/>
          <w:sz w:val="24"/>
        </w:rPr>
        <w:t>的责任；委托方有义务提供必要的资料（并经签章确认）并保证所提供的资料的真实性、合法性和完整性，恰当使用评估报告是委托方和相关当事方的责任。</w:t>
      </w:r>
    </w:p>
    <w:p>
      <w:pPr>
        <w:snapToGrid w:val="0"/>
        <w:spacing w:line="360" w:lineRule="auto"/>
        <w:ind w:firstLine="480" w:firstLineChars="200"/>
        <w:rPr>
          <w:rFonts w:hint="eastAsia" w:ascii="宋体" w:hAnsi="宋体"/>
          <w:sz w:val="24"/>
        </w:rPr>
      </w:pPr>
      <w:r>
        <w:rPr>
          <w:rFonts w:hint="eastAsia" w:ascii="宋体" w:hAnsi="宋体"/>
          <w:sz w:val="24"/>
        </w:rPr>
        <w:t>二、根据我们在执业过程中收集的资料，评估报告中陈述的内容是客观的，并对评估结论合理性承担相应的法律责任。</w:t>
      </w:r>
    </w:p>
    <w:p>
      <w:pPr>
        <w:snapToGrid w:val="0"/>
        <w:spacing w:line="360" w:lineRule="auto"/>
        <w:ind w:firstLine="480" w:firstLineChars="200"/>
        <w:rPr>
          <w:rFonts w:hint="eastAsia" w:ascii="宋体" w:hAnsi="宋体"/>
          <w:sz w:val="24"/>
        </w:rPr>
      </w:pPr>
      <w:r>
        <w:rPr>
          <w:rFonts w:hint="eastAsia" w:ascii="宋体" w:hAnsi="宋体"/>
          <w:sz w:val="24"/>
        </w:rPr>
        <w:t>三、</w:t>
      </w:r>
      <w:r>
        <w:rPr>
          <w:rFonts w:hint="eastAsia" w:ascii="宋体" w:hAnsi="宋体"/>
          <w:sz w:val="24"/>
          <w:lang w:eastAsia="zh-CN"/>
        </w:rPr>
        <w:t>价格鉴证评估师</w:t>
      </w:r>
      <w:r>
        <w:rPr>
          <w:rFonts w:hint="eastAsia" w:ascii="宋体" w:hAnsi="宋体"/>
          <w:sz w:val="24"/>
        </w:rPr>
        <w:t>在评估对象中没有现存的或预期的利益，同时与委托方和相关当事方没有现存或者预期的利益关系，对相关当事方不存在偏见。</w:t>
      </w:r>
    </w:p>
    <w:p>
      <w:pPr>
        <w:snapToGrid w:val="0"/>
        <w:spacing w:line="360" w:lineRule="auto"/>
        <w:ind w:firstLine="480" w:firstLineChars="200"/>
        <w:rPr>
          <w:rFonts w:hint="eastAsia" w:ascii="宋体" w:hAnsi="宋体"/>
          <w:sz w:val="24"/>
        </w:rPr>
      </w:pPr>
      <w:r>
        <w:rPr>
          <w:rFonts w:hint="eastAsia" w:ascii="宋体" w:hAnsi="宋体"/>
          <w:sz w:val="24"/>
        </w:rPr>
        <w:t>四、评估报告的分析和结论是在恪守独立、客观和公正原则上形成的，仅在评估报告设定的评估假设和限制条件下成立。</w:t>
      </w:r>
    </w:p>
    <w:p>
      <w:pPr>
        <w:snapToGrid w:val="0"/>
        <w:spacing w:line="360" w:lineRule="auto"/>
        <w:ind w:firstLine="480" w:firstLineChars="200"/>
        <w:rPr>
          <w:rFonts w:hint="eastAsia" w:ascii="宋体" w:hAnsi="宋体"/>
          <w:sz w:val="24"/>
        </w:rPr>
      </w:pPr>
      <w:r>
        <w:rPr>
          <w:rFonts w:hint="eastAsia" w:ascii="宋体" w:hAnsi="宋体"/>
          <w:sz w:val="24"/>
        </w:rPr>
        <w:t>五、我们已对评估报告中的评估对象及其所涉及资产进行了现场调查；我们已对评估对象及其所涉及资产的法律权属状况给与必要的关注，对评估对象及其所涉及资产的法律权属资料进行了查验，并对已经发现的问题进行了如实披露，且已提请委托方及相关当事方完善产权以满足出具评估报告的要求。</w:t>
      </w:r>
    </w:p>
    <w:p>
      <w:pPr>
        <w:snapToGrid w:val="0"/>
        <w:spacing w:line="360" w:lineRule="auto"/>
        <w:ind w:firstLine="480" w:firstLineChars="200"/>
        <w:rPr>
          <w:rFonts w:hint="eastAsia" w:ascii="宋体" w:hAnsi="宋体"/>
          <w:sz w:val="24"/>
        </w:rPr>
      </w:pPr>
      <w:r>
        <w:rPr>
          <w:rFonts w:hint="eastAsia" w:ascii="宋体" w:hAnsi="宋体"/>
          <w:sz w:val="24"/>
        </w:rPr>
        <w:t>六、我们出具的评估报告中的分析、判断和结论受评估报告中假设和限定条件的限制，评估报告使用者应当充分考虑评估报告中的载明的假设、限制条件、特别事项说明及其对评估结论的影响。</w:t>
      </w:r>
    </w:p>
    <w:p>
      <w:pPr>
        <w:snapToGrid w:val="0"/>
        <w:spacing w:line="360" w:lineRule="auto"/>
        <w:ind w:firstLine="480" w:firstLineChars="200"/>
        <w:rPr>
          <w:rFonts w:hint="eastAsia" w:ascii="宋体" w:hAnsi="宋体"/>
          <w:sz w:val="24"/>
        </w:rPr>
      </w:pPr>
      <w:r>
        <w:rPr>
          <w:rFonts w:hint="eastAsia" w:ascii="宋体" w:hAnsi="宋体"/>
          <w:sz w:val="24"/>
        </w:rPr>
        <w:t>七、</w:t>
      </w:r>
      <w:r>
        <w:rPr>
          <w:rFonts w:hint="eastAsia" w:ascii="宋体" w:hAnsi="宋体"/>
          <w:sz w:val="24"/>
          <w:lang w:eastAsia="zh-CN"/>
        </w:rPr>
        <w:t>价格鉴证评估师</w:t>
      </w:r>
      <w:r>
        <w:rPr>
          <w:rFonts w:hint="eastAsia" w:ascii="宋体" w:hAnsi="宋体"/>
          <w:sz w:val="24"/>
        </w:rPr>
        <w:t>执行评估业务的目的是对评估对象价值进行估算并发表专业意见，并不承担相关当事人决策的责任。评估结论不应当被认为是对评估对象可实现价格的保证。</w:t>
      </w:r>
    </w:p>
    <w:p>
      <w:pPr>
        <w:snapToGrid w:val="0"/>
        <w:spacing w:line="360" w:lineRule="auto"/>
        <w:ind w:firstLine="480" w:firstLineChars="200"/>
        <w:rPr>
          <w:rFonts w:hint="eastAsia" w:ascii="宋体" w:hAnsi="宋体"/>
          <w:sz w:val="24"/>
        </w:rPr>
      </w:pPr>
      <w:r>
        <w:rPr>
          <w:rFonts w:hint="eastAsia" w:ascii="宋体" w:hAnsi="宋体"/>
          <w:sz w:val="24"/>
        </w:rPr>
        <w:t>八、评估报告使用仅限于评估报告中载明的评估目的，因使用不当造成的后果与签字</w:t>
      </w:r>
      <w:r>
        <w:rPr>
          <w:rFonts w:hint="eastAsia" w:ascii="宋体" w:hAnsi="宋体"/>
          <w:sz w:val="24"/>
          <w:lang w:eastAsia="zh-CN"/>
        </w:rPr>
        <w:t>价格鉴证评估师</w:t>
      </w:r>
      <w:r>
        <w:rPr>
          <w:rFonts w:hint="eastAsia" w:ascii="宋体" w:hAnsi="宋体"/>
          <w:sz w:val="24"/>
        </w:rPr>
        <w:t>及其所在评估机构无关。</w:t>
      </w:r>
    </w:p>
    <w:p>
      <w:pPr>
        <w:spacing w:line="360" w:lineRule="auto"/>
        <w:jc w:val="center"/>
        <w:rPr>
          <w:rFonts w:hint="eastAsia" w:ascii="宋体" w:hAnsi="宋体"/>
          <w:sz w:val="24"/>
        </w:rPr>
      </w:pPr>
      <w:r>
        <w:rPr>
          <w:rFonts w:hint="eastAsia" w:ascii="宋体" w:hAnsi="宋体"/>
          <w:sz w:val="24"/>
        </w:rPr>
        <w:t xml:space="preserve">                                 </w:t>
      </w:r>
      <w:r>
        <w:rPr>
          <w:rFonts w:hint="eastAsia" w:ascii="宋体" w:hAnsi="宋体"/>
          <w:sz w:val="24"/>
          <w:lang w:eastAsia="zh-CN"/>
        </w:rPr>
        <w:t>白城市合意资产价格评估</w:t>
      </w:r>
      <w:r>
        <w:rPr>
          <w:rFonts w:hint="eastAsia" w:ascii="宋体" w:hAnsi="宋体"/>
          <w:sz w:val="24"/>
        </w:rPr>
        <w:t>有限公司</w:t>
      </w:r>
    </w:p>
    <w:p>
      <w:pPr>
        <w:spacing w:line="360" w:lineRule="auto"/>
        <w:jc w:val="center"/>
        <w:rPr>
          <w:rFonts w:hint="eastAsia" w:ascii="宋体" w:hAnsi="宋体"/>
          <w:sz w:val="24"/>
        </w:rPr>
      </w:pPr>
    </w:p>
    <w:p>
      <w:pPr>
        <w:spacing w:line="360" w:lineRule="auto"/>
        <w:jc w:val="center"/>
        <w:rPr>
          <w:rFonts w:hint="eastAsia" w:ascii="宋体" w:hAnsi="宋体"/>
          <w:color w:val="FF0000"/>
          <w:sz w:val="24"/>
        </w:rPr>
      </w:pPr>
      <w:r>
        <w:rPr>
          <w:rFonts w:hint="eastAsia" w:ascii="宋体" w:hAnsi="宋体"/>
          <w:sz w:val="24"/>
        </w:rPr>
        <w:t xml:space="preserve">                                 </w:t>
      </w:r>
      <w:r>
        <w:rPr>
          <w:rFonts w:hint="eastAsia" w:ascii="宋体" w:hAnsi="宋体"/>
          <w:color w:val="FF0000"/>
          <w:sz w:val="24"/>
          <w:lang w:eastAsia="zh-CN"/>
        </w:rPr>
        <w:t xml:space="preserve"> 2022年1月13日</w:t>
      </w:r>
    </w:p>
    <w:p>
      <w:pPr>
        <w:tabs>
          <w:tab w:val="center" w:pos="4140"/>
        </w:tabs>
        <w:adjustRightInd w:val="0"/>
        <w:snapToGrid w:val="0"/>
        <w:spacing w:line="420" w:lineRule="auto"/>
        <w:jc w:val="both"/>
        <w:rPr>
          <w:rFonts w:hint="eastAsia" w:ascii="宋体" w:hAnsi="宋体"/>
          <w:b/>
          <w:color w:val="FF0000"/>
          <w:sz w:val="36"/>
          <w:szCs w:val="36"/>
          <w:lang w:eastAsia="zh-CN"/>
        </w:rPr>
      </w:pPr>
    </w:p>
    <w:p>
      <w:pPr>
        <w:tabs>
          <w:tab w:val="center" w:pos="4140"/>
        </w:tabs>
        <w:adjustRightInd w:val="0"/>
        <w:snapToGrid w:val="0"/>
        <w:spacing w:line="420" w:lineRule="auto"/>
        <w:ind w:firstLine="360" w:firstLineChars="100"/>
        <w:jc w:val="both"/>
        <w:rPr>
          <w:rFonts w:hint="eastAsia" w:ascii="宋体" w:hAnsi="宋体"/>
          <w:b/>
          <w:sz w:val="36"/>
          <w:szCs w:val="36"/>
          <w:lang w:eastAsia="zh-CN"/>
        </w:rPr>
      </w:pPr>
      <w:r>
        <w:rPr>
          <w:rFonts w:hint="eastAsia" w:ascii="宋体" w:hAnsi="宋体"/>
          <w:b/>
          <w:color w:val="FF0000"/>
          <w:sz w:val="36"/>
          <w:szCs w:val="36"/>
          <w:lang w:eastAsia="zh-CN"/>
        </w:rPr>
        <w:t>大安市钊源房地产开发有限责任公司</w:t>
      </w:r>
      <w:r>
        <w:rPr>
          <w:rFonts w:hint="eastAsia" w:ascii="宋体" w:hAnsi="宋体"/>
          <w:b/>
          <w:sz w:val="36"/>
          <w:szCs w:val="36"/>
          <w:lang w:eastAsia="zh-CN"/>
        </w:rPr>
        <w:t>拟核实房产</w:t>
      </w:r>
    </w:p>
    <w:p>
      <w:pPr>
        <w:tabs>
          <w:tab w:val="center" w:pos="4140"/>
        </w:tabs>
        <w:adjustRightInd w:val="0"/>
        <w:snapToGrid w:val="0"/>
        <w:spacing w:line="420" w:lineRule="auto"/>
        <w:ind w:firstLine="2880" w:firstLineChars="800"/>
        <w:jc w:val="both"/>
        <w:rPr>
          <w:rFonts w:hint="eastAsia" w:ascii="宋体" w:hAnsi="宋体"/>
          <w:b/>
          <w:sz w:val="36"/>
          <w:szCs w:val="36"/>
        </w:rPr>
      </w:pPr>
      <w:r>
        <w:rPr>
          <w:rFonts w:hint="eastAsia" w:ascii="宋体" w:hAnsi="宋体"/>
          <w:b/>
          <w:sz w:val="36"/>
          <w:szCs w:val="36"/>
          <w:lang w:eastAsia="zh-CN"/>
        </w:rPr>
        <w:t>价值评估报告书摘要</w:t>
      </w:r>
    </w:p>
    <w:p>
      <w:pPr>
        <w:tabs>
          <w:tab w:val="center" w:pos="4140"/>
        </w:tabs>
        <w:adjustRightInd w:val="0"/>
        <w:snapToGrid w:val="0"/>
        <w:spacing w:line="420" w:lineRule="auto"/>
        <w:jc w:val="center"/>
        <w:rPr>
          <w:rFonts w:hint="eastAsia" w:ascii="宋体" w:hAnsi="宋体"/>
          <w:color w:val="000000"/>
          <w:sz w:val="24"/>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287645" cy="1386840"/>
                <wp:effectExtent l="4445" t="4445" r="22860" b="18415"/>
                <wp:wrapSquare wrapText="bothSides"/>
                <wp:docPr id="2" name="Text Box 2"/>
                <wp:cNvGraphicFramePr/>
                <a:graphic xmlns:a="http://schemas.openxmlformats.org/drawingml/2006/main">
                  <a:graphicData uri="http://schemas.microsoft.com/office/word/2010/wordprocessingShape">
                    <wps:wsp>
                      <wps:cNvSpPr txBox="1"/>
                      <wps:spPr>
                        <a:xfrm>
                          <a:off x="0" y="0"/>
                          <a:ext cx="5287645" cy="138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20" w:lineRule="auto"/>
                              <w:ind w:firstLine="482" w:firstLineChars="200"/>
                              <w:rPr>
                                <w:rFonts w:ascii="宋体" w:hAnsi="宋体"/>
                                <w:b/>
                                <w:sz w:val="24"/>
                              </w:rPr>
                            </w:pPr>
                            <w:r>
                              <w:rPr>
                                <w:rFonts w:hint="eastAsia" w:ascii="宋体" w:hAnsi="宋体"/>
                                <w:b/>
                                <w:sz w:val="24"/>
                              </w:rPr>
                              <w:t>郑重声明：本评估报告和评估结果仅为委托方提供的委估资产明细所列示的资产现时价值，本评估报告不能作为产权界定的依据，</w:t>
                            </w:r>
                            <w:r>
                              <w:rPr>
                                <w:rFonts w:hint="eastAsia" w:ascii="宋体" w:hAnsi="宋体"/>
                                <w:b/>
                                <w:sz w:val="24"/>
                                <w:lang w:eastAsia="zh-CN"/>
                              </w:rPr>
                              <w:t>价格鉴证评估师</w:t>
                            </w:r>
                            <w:r>
                              <w:rPr>
                                <w:rFonts w:hint="eastAsia" w:ascii="宋体" w:hAnsi="宋体"/>
                                <w:b/>
                                <w:sz w:val="24"/>
                              </w:rPr>
                              <w:t>也不对委估资产的权属发表意见。</w:t>
                            </w:r>
                          </w:p>
                        </w:txbxContent>
                      </wps:txbx>
                      <wps:bodyPr wrap="none" upright="1"/>
                    </wps:wsp>
                  </a:graphicData>
                </a:graphic>
              </wp:anchor>
            </w:drawing>
          </mc:Choice>
          <mc:Fallback>
            <w:pict>
              <v:shape id="Text Box 2" o:spid="_x0000_s1026" o:spt="202" type="#_x0000_t202" style="position:absolute;left:0pt;margin-left:0pt;margin-top:32.05pt;height:109.2pt;width:416.3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0cahtgAAAAHAQAADwAAAAAAAAABACAAAAAiAAAAZHJz&#10;L2Rvd25yZXYueG1sUEsBAhQAFAAAAAgAh07iQBz3YU0EAgAAQgQAAA4AAAAAAAAAAQAgAAAAJwEA&#10;AGRycy9lMm9Eb2MueG1sUEsFBgAAAAAGAAYAWQEAAJ0FAAAAAA==&#10;">
                <v:fill on="t" focussize="0,0"/>
                <v:stroke color="#000000" joinstyle="miter"/>
                <v:imagedata o:title=""/>
                <o:lock v:ext="edit" aspectratio="f"/>
                <v:textbox>
                  <w:txbxContent>
                    <w:p>
                      <w:pPr>
                        <w:spacing w:line="420" w:lineRule="auto"/>
                        <w:ind w:firstLine="482" w:firstLineChars="200"/>
                        <w:rPr>
                          <w:rFonts w:ascii="宋体" w:hAnsi="宋体"/>
                          <w:b/>
                          <w:sz w:val="24"/>
                        </w:rPr>
                      </w:pPr>
                      <w:r>
                        <w:rPr>
                          <w:rFonts w:hint="eastAsia" w:ascii="宋体" w:hAnsi="宋体"/>
                          <w:b/>
                          <w:sz w:val="24"/>
                        </w:rPr>
                        <w:t>郑重声明：本评估报告和评估结果仅为委托方提供的委估资产明细所列示的资产现时价值，本评估报告不能作为产权界定的依据，</w:t>
                      </w:r>
                      <w:r>
                        <w:rPr>
                          <w:rFonts w:hint="eastAsia" w:ascii="宋体" w:hAnsi="宋体"/>
                          <w:b/>
                          <w:sz w:val="24"/>
                          <w:lang w:eastAsia="zh-CN"/>
                        </w:rPr>
                        <w:t>价格鉴证评估师</w:t>
                      </w:r>
                      <w:r>
                        <w:rPr>
                          <w:rFonts w:hint="eastAsia" w:ascii="宋体" w:hAnsi="宋体"/>
                          <w:b/>
                          <w:sz w:val="24"/>
                        </w:rPr>
                        <w:t>也不对委估资产的权属发表意见。</w:t>
                      </w:r>
                    </w:p>
                  </w:txbxContent>
                </v:textbox>
                <w10:wrap type="square"/>
              </v:shape>
            </w:pict>
          </mc:Fallback>
        </mc:AlternateContent>
      </w:r>
      <w:r>
        <w:rPr>
          <w:rFonts w:hint="eastAsia"/>
          <w:lang w:val="en-US" w:eastAsia="zh-CN"/>
        </w:rPr>
        <w:t xml:space="preserve">    </w:t>
      </w:r>
      <w:r>
        <w:rPr>
          <w:rFonts w:hint="eastAsia"/>
          <w:lang w:eastAsia="zh-CN"/>
        </w:rPr>
        <w:t>合意</w:t>
      </w:r>
      <w:r>
        <w:rPr>
          <w:rFonts w:hint="eastAsia" w:ascii="宋体" w:hAnsi="宋体"/>
          <w:color w:val="000000"/>
          <w:sz w:val="24"/>
          <w:lang w:eastAsia="zh-CN"/>
        </w:rPr>
        <w:t>评字【20</w:t>
      </w:r>
      <w:r>
        <w:rPr>
          <w:rFonts w:hint="eastAsia" w:ascii="宋体" w:hAnsi="宋体"/>
          <w:color w:val="000000"/>
          <w:sz w:val="24"/>
          <w:lang w:val="en-US" w:eastAsia="zh-CN"/>
        </w:rPr>
        <w:t>22</w:t>
      </w:r>
      <w:r>
        <w:rPr>
          <w:rFonts w:hint="eastAsia" w:ascii="宋体" w:hAnsi="宋体"/>
          <w:color w:val="000000"/>
          <w:sz w:val="24"/>
          <w:lang w:eastAsia="zh-CN"/>
        </w:rPr>
        <w:t>】第</w:t>
      </w:r>
      <w:r>
        <w:rPr>
          <w:rFonts w:hint="eastAsia" w:ascii="宋体" w:hAnsi="宋体"/>
          <w:color w:val="FF0000"/>
          <w:sz w:val="24"/>
          <w:lang w:eastAsia="zh-CN"/>
        </w:rPr>
        <w:t>0</w:t>
      </w:r>
      <w:r>
        <w:rPr>
          <w:rFonts w:hint="eastAsia" w:ascii="宋体" w:hAnsi="宋体"/>
          <w:color w:val="FF0000"/>
          <w:sz w:val="24"/>
          <w:lang w:val="en-US" w:eastAsia="zh-CN"/>
        </w:rPr>
        <w:t>10</w:t>
      </w:r>
      <w:r>
        <w:rPr>
          <w:rFonts w:hint="eastAsia" w:ascii="宋体" w:hAnsi="宋体"/>
          <w:color w:val="000000"/>
          <w:sz w:val="24"/>
          <w:lang w:eastAsia="zh-CN"/>
        </w:rPr>
        <w:t>号</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lang w:eastAsia="zh-CN"/>
        </w:rPr>
        <w:t>白城市合意资产价格评估</w:t>
      </w:r>
      <w:r>
        <w:rPr>
          <w:rFonts w:hint="eastAsia" w:ascii="宋体" w:hAnsi="宋体"/>
          <w:sz w:val="28"/>
          <w:szCs w:val="28"/>
        </w:rPr>
        <w:t>有限公司接受</w:t>
      </w:r>
      <w:r>
        <w:rPr>
          <w:rFonts w:hint="eastAsia" w:ascii="宋体" w:hAnsi="宋体"/>
          <w:color w:val="0000FF"/>
          <w:spacing w:val="0"/>
          <w:sz w:val="28"/>
          <w:szCs w:val="28"/>
          <w:lang w:eastAsia="zh-CN"/>
        </w:rPr>
        <w:t>大安市人民法院</w:t>
      </w:r>
      <w:r>
        <w:rPr>
          <w:rFonts w:hint="eastAsia" w:ascii="宋体" w:hAnsi="宋体"/>
          <w:sz w:val="28"/>
          <w:szCs w:val="28"/>
        </w:rPr>
        <w:t>的委托，根据国家有关评估的规定，本着客观、独立、公正、科学的原则，按照公认的评估方法，对委托方资产价值项目所涉及的资产进行了评估。本机构评估人员按照必要的评估程序对委估资产实施了实地查勘、市场调查与询证，对委估资产在评估基准日即</w:t>
      </w:r>
      <w:r>
        <w:rPr>
          <w:rFonts w:hint="eastAsia" w:ascii="宋体" w:hAnsi="宋体"/>
          <w:color w:val="FF0000"/>
          <w:sz w:val="28"/>
          <w:szCs w:val="28"/>
          <w:lang w:eastAsia="zh-CN"/>
        </w:rPr>
        <w:t>2021年12月20日</w:t>
      </w:r>
      <w:r>
        <w:rPr>
          <w:rFonts w:hint="eastAsia" w:ascii="宋体" w:hAnsi="宋体"/>
          <w:sz w:val="28"/>
          <w:szCs w:val="28"/>
        </w:rPr>
        <w:t>所表现的市场价值做出了公允反映，现将评估情况及评估结果报告如下：</w:t>
      </w:r>
    </w:p>
    <w:p>
      <w:pPr>
        <w:adjustRightInd w:val="0"/>
        <w:snapToGrid w:val="0"/>
        <w:spacing w:line="360" w:lineRule="auto"/>
        <w:ind w:firstLine="560" w:firstLineChars="200"/>
        <w:rPr>
          <w:rFonts w:hint="eastAsia" w:ascii="宋体" w:hAnsi="宋体"/>
          <w:sz w:val="28"/>
          <w:szCs w:val="28"/>
          <w:lang w:eastAsia="zh-CN"/>
        </w:rPr>
      </w:pPr>
      <w:r>
        <w:rPr>
          <w:rFonts w:hint="eastAsia" w:ascii="宋体" w:hAnsi="宋体"/>
          <w:sz w:val="28"/>
          <w:szCs w:val="28"/>
        </w:rPr>
        <w:t>评估目的：本次评估的目的是为确定该</w:t>
      </w:r>
      <w:r>
        <w:rPr>
          <w:rFonts w:hint="eastAsia" w:ascii="宋体" w:hAnsi="宋体"/>
          <w:sz w:val="28"/>
          <w:szCs w:val="28"/>
          <w:lang w:eastAsia="zh-CN"/>
        </w:rPr>
        <w:t>房地产</w:t>
      </w:r>
      <w:r>
        <w:rPr>
          <w:rFonts w:hint="eastAsia" w:ascii="宋体" w:hAnsi="宋体"/>
          <w:sz w:val="28"/>
          <w:szCs w:val="28"/>
        </w:rPr>
        <w:t>现有价值提供参考依据</w:t>
      </w:r>
      <w:r>
        <w:rPr>
          <w:rFonts w:hint="eastAsia" w:ascii="宋体" w:hAnsi="宋体"/>
          <w:sz w:val="28"/>
          <w:szCs w:val="28"/>
          <w:lang w:eastAsia="zh-CN"/>
        </w:rPr>
        <w:t>。</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评估范围与对象：纳入本次评估范围的资产为</w:t>
      </w:r>
      <w:r>
        <w:rPr>
          <w:rFonts w:hint="eastAsia" w:ascii="宋体" w:hAnsi="宋体"/>
          <w:sz w:val="28"/>
          <w:szCs w:val="28"/>
          <w:lang w:eastAsia="zh-CN"/>
        </w:rPr>
        <w:t>大安市钊源房地产开发有限责任公司</w:t>
      </w:r>
      <w:r>
        <w:rPr>
          <w:rFonts w:hint="eastAsia" w:ascii="宋体" w:hAnsi="宋体"/>
          <w:sz w:val="28"/>
          <w:szCs w:val="28"/>
        </w:rPr>
        <w:t>所拥有的</w:t>
      </w:r>
      <w:r>
        <w:rPr>
          <w:rFonts w:hint="eastAsia" w:ascii="宋体" w:hAnsi="宋体"/>
          <w:sz w:val="28"/>
          <w:szCs w:val="28"/>
          <w:lang w:eastAsia="zh-CN"/>
        </w:rPr>
        <w:t>住宅用房</w:t>
      </w:r>
      <w:r>
        <w:rPr>
          <w:rFonts w:hint="eastAsia" w:ascii="宋体" w:hAnsi="宋体"/>
          <w:sz w:val="28"/>
          <w:szCs w:val="28"/>
        </w:rPr>
        <w:t>资产</w:t>
      </w:r>
      <w:r>
        <w:rPr>
          <w:rFonts w:hint="eastAsia" w:ascii="宋体" w:hAnsi="宋体"/>
          <w:sz w:val="28"/>
          <w:szCs w:val="28"/>
          <w:lang w:eastAsia="zh-CN"/>
        </w:rPr>
        <w:t>（</w:t>
      </w:r>
      <w:r>
        <w:rPr>
          <w:rFonts w:hint="eastAsia" w:ascii="宋体" w:hAnsi="宋体"/>
          <w:sz w:val="28"/>
          <w:szCs w:val="28"/>
          <w:lang w:val="en-US" w:eastAsia="zh-CN"/>
        </w:rPr>
        <w:t>慧阳街水晶城15#楼二单元2-602；慧阳街水晶城13#楼一单元1-602；慧阳街水晶城19#楼四单元4-601</w:t>
      </w:r>
      <w:r>
        <w:rPr>
          <w:rFonts w:hint="eastAsia" w:ascii="宋体" w:hAnsi="宋体"/>
          <w:sz w:val="28"/>
          <w:szCs w:val="28"/>
          <w:lang w:eastAsia="zh-CN"/>
        </w:rPr>
        <w:t>）</w:t>
      </w:r>
      <w:r>
        <w:rPr>
          <w:rFonts w:hint="eastAsia" w:ascii="宋体" w:hAnsi="宋体"/>
          <w:sz w:val="28"/>
          <w:szCs w:val="28"/>
        </w:rPr>
        <w:t>。</w:t>
      </w:r>
    </w:p>
    <w:p>
      <w:pPr>
        <w:spacing w:line="360" w:lineRule="auto"/>
        <w:ind w:firstLine="560" w:firstLineChars="200"/>
        <w:rPr>
          <w:rFonts w:hint="eastAsia" w:ascii="宋体" w:hAnsi="宋体"/>
          <w:color w:val="000000"/>
          <w:sz w:val="28"/>
          <w:szCs w:val="28"/>
        </w:rPr>
      </w:pPr>
      <w:r>
        <w:rPr>
          <w:rFonts w:hint="eastAsia" w:ascii="宋体" w:hAnsi="宋体"/>
          <w:sz w:val="28"/>
          <w:szCs w:val="28"/>
        </w:rPr>
        <w:t>价值类型及其定义：</w:t>
      </w:r>
      <w:r>
        <w:rPr>
          <w:rFonts w:hint="eastAsia" w:ascii="宋体" w:hAnsi="宋体"/>
          <w:color w:val="000000"/>
          <w:sz w:val="28"/>
          <w:szCs w:val="28"/>
        </w:rPr>
        <w:t>根据本次评估目的、市场条件，考虑被评估资产的功能状态，以及评估时的各种条件，我们合理地采用特定目的下的市场价值类型。</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评估基准日为</w:t>
      </w:r>
      <w:r>
        <w:rPr>
          <w:rFonts w:hint="eastAsia" w:ascii="宋体" w:hAnsi="宋体"/>
          <w:color w:val="FF0000"/>
          <w:sz w:val="28"/>
          <w:szCs w:val="28"/>
          <w:lang w:eastAsia="zh-CN"/>
        </w:rPr>
        <w:t>2021年12月20日</w:t>
      </w:r>
      <w:r>
        <w:rPr>
          <w:rFonts w:hint="eastAsia" w:ascii="宋体" w:hAnsi="宋体"/>
          <w:sz w:val="28"/>
          <w:szCs w:val="28"/>
        </w:rPr>
        <w:t>。</w:t>
      </w:r>
    </w:p>
    <w:p>
      <w:pPr>
        <w:adjustRightInd w:val="0"/>
        <w:snapToGrid w:val="0"/>
        <w:spacing w:line="360" w:lineRule="auto"/>
        <w:ind w:firstLine="560" w:firstLineChars="200"/>
        <w:rPr>
          <w:rFonts w:hint="eastAsia" w:ascii="宋体" w:hAnsi="宋体"/>
          <w:sz w:val="32"/>
          <w:szCs w:val="32"/>
        </w:rPr>
      </w:pPr>
      <w:r>
        <w:rPr>
          <w:rFonts w:hint="eastAsia" w:hAnsi="宋体"/>
          <w:sz w:val="28"/>
          <w:szCs w:val="28"/>
        </w:rPr>
        <w:t>评估方法：</w:t>
      </w:r>
      <w:r>
        <w:rPr>
          <w:rFonts w:hint="eastAsia" w:ascii="宋体" w:hAnsi="宋体"/>
          <w:sz w:val="28"/>
          <w:szCs w:val="28"/>
        </w:rPr>
        <w:t>根据本次评估目的、市场条件等，采用</w:t>
      </w:r>
      <w:r>
        <w:rPr>
          <w:rFonts w:hint="eastAsia" w:ascii="宋体" w:hAnsi="宋体"/>
          <w:sz w:val="28"/>
          <w:szCs w:val="28"/>
          <w:lang w:eastAsia="zh-CN"/>
        </w:rPr>
        <w:t>市场</w:t>
      </w:r>
      <w:r>
        <w:rPr>
          <w:rFonts w:hint="eastAsia" w:ascii="宋体" w:hAnsi="宋体"/>
          <w:sz w:val="28"/>
          <w:szCs w:val="28"/>
        </w:rPr>
        <w:t>法。</w:t>
      </w:r>
    </w:p>
    <w:p>
      <w:pPr>
        <w:adjustRightInd w:val="0"/>
        <w:snapToGrid w:val="0"/>
        <w:spacing w:line="360" w:lineRule="auto"/>
        <w:ind w:firstLine="560" w:firstLineChars="200"/>
        <w:rPr>
          <w:rFonts w:hint="eastAsia" w:ascii="宋体" w:hAnsi="宋体"/>
          <w:sz w:val="28"/>
          <w:szCs w:val="28"/>
          <w:vertAlign w:val="baseline"/>
        </w:rPr>
      </w:pPr>
      <w:r>
        <w:rPr>
          <w:rFonts w:hint="eastAsia" w:ascii="宋体"/>
          <w:color w:val="000000"/>
          <w:sz w:val="28"/>
          <w:szCs w:val="28"/>
        </w:rPr>
        <w:t>评估结论：</w:t>
      </w:r>
      <w:r>
        <w:rPr>
          <w:rFonts w:hint="eastAsia" w:ascii="宋体" w:hAnsi="宋体"/>
          <w:sz w:val="28"/>
          <w:szCs w:val="28"/>
        </w:rPr>
        <w:t>经评估，截止评估基准</w:t>
      </w:r>
      <w:r>
        <w:rPr>
          <w:rFonts w:hint="eastAsia" w:ascii="宋体" w:hAnsi="宋体"/>
          <w:sz w:val="28"/>
          <w:szCs w:val="28"/>
          <w:lang w:eastAsia="zh-CN"/>
        </w:rPr>
        <w:t>日</w:t>
      </w:r>
      <w:r>
        <w:rPr>
          <w:rFonts w:hint="eastAsia" w:ascii="宋体" w:hAnsi="宋体"/>
          <w:color w:val="0000FF"/>
          <w:spacing w:val="0"/>
          <w:sz w:val="28"/>
          <w:szCs w:val="28"/>
          <w:lang w:eastAsia="zh-CN"/>
        </w:rPr>
        <w:t>大安市人民法院</w:t>
      </w:r>
      <w:r>
        <w:rPr>
          <w:rFonts w:hint="eastAsia" w:ascii="宋体" w:hAnsi="宋体"/>
          <w:sz w:val="28"/>
          <w:szCs w:val="28"/>
        </w:rPr>
        <w:t>委估的评估价值为：</w:t>
      </w:r>
    </w:p>
    <w:tbl>
      <w:tblPr>
        <w:tblStyle w:val="10"/>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650"/>
        <w:gridCol w:w="855"/>
        <w:gridCol w:w="1080"/>
        <w:gridCol w:w="184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估价物名称</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不动产权证号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用途</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面积（㎡）</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评估单价（元/㎡）</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房屋</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吉（2019）大安市不动产权第0007291号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住宅</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89.88</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2100.00</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188,748.00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房屋</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吉（2019）大安市不动产权第0009114号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住宅</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102.34</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2100.00</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214,914.00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房屋</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吉（2019）大安市不动产权第0011099号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住宅</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89.88</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2100.00</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188,748.00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合计</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4"/>
                <w:szCs w:val="2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4"/>
                <w:szCs w:val="24"/>
                <w:vertAlign w:val="baseline"/>
                <w:lang w:val="en-US" w:eastAsia="zh-CN"/>
              </w:rPr>
            </w:pP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282.10</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4"/>
                <w:szCs w:val="24"/>
                <w:vertAlign w:val="baseline"/>
                <w:lang w:val="en-US" w:eastAsia="zh-CN"/>
              </w:rPr>
            </w:pP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592,410.00</w:t>
            </w:r>
          </w:p>
        </w:tc>
      </w:tr>
    </w:tbl>
    <w:p>
      <w:pPr>
        <w:adjustRightInd w:val="0"/>
        <w:snapToGrid w:val="0"/>
        <w:spacing w:before="120" w:after="156" w:afterLines="50" w:line="360" w:lineRule="auto"/>
        <w:ind w:firstLine="560" w:firstLineChars="200"/>
        <w:rPr>
          <w:rFonts w:hint="eastAsia" w:ascii="Arial Narrow" w:hAnsi="Arial Narrow" w:eastAsia="宋体" w:cs="Arial Narrow"/>
          <w:b/>
          <w:bCs/>
          <w:color w:val="FF0000"/>
          <w:kern w:val="0"/>
          <w:sz w:val="28"/>
          <w:szCs w:val="28"/>
          <w:lang w:eastAsia="zh-CN"/>
        </w:rPr>
      </w:pPr>
      <w:r>
        <w:rPr>
          <w:rFonts w:hint="eastAsia" w:ascii="宋体" w:hAnsi="宋体"/>
          <w:b/>
          <w:sz w:val="28"/>
          <w:szCs w:val="28"/>
        </w:rPr>
        <w:t>总计</w:t>
      </w:r>
      <w:r>
        <w:rPr>
          <w:rFonts w:hint="eastAsia" w:ascii="Arial Narrow" w:hAnsi="Arial Narrow" w:eastAsia="Arial Narrow" w:cs="Arial Narrow"/>
          <w:b/>
          <w:bCs/>
          <w:color w:val="000000"/>
          <w:kern w:val="0"/>
          <w:sz w:val="28"/>
          <w:szCs w:val="28"/>
        </w:rPr>
        <w:t>：￥</w:t>
      </w:r>
      <w:r>
        <w:rPr>
          <w:rFonts w:hint="eastAsia" w:ascii="宋体" w:hAnsi="宋体"/>
          <w:b/>
          <w:sz w:val="28"/>
          <w:szCs w:val="28"/>
          <w:lang w:val="en-US" w:eastAsia="zh-CN"/>
        </w:rPr>
        <w:t>592,410.00</w:t>
      </w:r>
      <w:r>
        <w:rPr>
          <w:rFonts w:hint="eastAsia" w:ascii="宋体" w:hAnsi="宋体"/>
          <w:b/>
          <w:sz w:val="28"/>
          <w:szCs w:val="28"/>
        </w:rPr>
        <w:t>元</w:t>
      </w:r>
      <w:r>
        <w:rPr>
          <w:rFonts w:hint="eastAsia" w:ascii="宋体" w:hAnsi="宋体"/>
          <w:b/>
          <w:sz w:val="28"/>
          <w:szCs w:val="28"/>
          <w:lang w:eastAsia="zh-CN"/>
        </w:rPr>
        <w:t>整（</w:t>
      </w:r>
      <w:r>
        <w:rPr>
          <w:rFonts w:hint="eastAsia" w:ascii="Arial Narrow" w:hAnsi="Arial Narrow" w:eastAsia="Arial Narrow" w:cs="Arial Narrow"/>
          <w:b/>
          <w:bCs/>
          <w:color w:val="000000"/>
          <w:kern w:val="0"/>
          <w:sz w:val="28"/>
          <w:szCs w:val="28"/>
        </w:rPr>
        <w:t>大写</w:t>
      </w:r>
      <w:r>
        <w:rPr>
          <w:rFonts w:hint="eastAsia" w:ascii="Arial Narrow" w:hAnsi="Arial Narrow" w:eastAsia="宋体" w:cs="Arial Narrow"/>
          <w:b/>
          <w:bCs/>
          <w:color w:val="FF0000"/>
          <w:kern w:val="0"/>
          <w:sz w:val="28"/>
          <w:szCs w:val="28"/>
          <w:lang w:eastAsia="zh-CN"/>
        </w:rPr>
        <w:t>人民币伍拾玖万贰仟肆佰壹拾元整</w:t>
      </w:r>
      <w:r>
        <w:rPr>
          <w:rFonts w:hint="eastAsia" w:ascii="宋体" w:hAnsi="宋体"/>
          <w:b/>
          <w:sz w:val="28"/>
          <w:szCs w:val="28"/>
          <w:lang w:eastAsia="zh-CN"/>
        </w:rPr>
        <w:t>）</w:t>
      </w:r>
      <w:r>
        <w:rPr>
          <w:rFonts w:hint="eastAsia" w:ascii="Arial Narrow" w:hAnsi="Arial Narrow" w:eastAsia="宋体" w:cs="Arial Narrow"/>
          <w:b/>
          <w:bCs/>
          <w:color w:val="FF0000"/>
          <w:kern w:val="0"/>
          <w:sz w:val="28"/>
          <w:szCs w:val="28"/>
          <w:lang w:eastAsia="zh-CN"/>
        </w:rPr>
        <w:t>。</w:t>
      </w:r>
    </w:p>
    <w:p>
      <w:pPr>
        <w:adjustRightInd w:val="0"/>
        <w:snapToGrid w:val="0"/>
        <w:spacing w:before="120" w:after="156" w:afterLines="50" w:line="360" w:lineRule="auto"/>
        <w:ind w:firstLine="480"/>
        <w:rPr>
          <w:rFonts w:hint="eastAsia" w:ascii="宋体" w:hAnsi="宋体"/>
          <w:sz w:val="28"/>
          <w:szCs w:val="28"/>
        </w:rPr>
      </w:pPr>
      <w:r>
        <w:rPr>
          <w:rFonts w:hint="eastAsia" w:ascii="宋体" w:hAnsi="宋体"/>
          <w:sz w:val="28"/>
          <w:szCs w:val="28"/>
        </w:rPr>
        <w:t>本报告书评估结论有效期限为一年，自评估报告日起</w:t>
      </w:r>
      <w:r>
        <w:rPr>
          <w:rFonts w:hint="eastAsia" w:ascii="宋体" w:hAnsi="宋体"/>
          <w:sz w:val="28"/>
          <w:szCs w:val="28"/>
          <w:lang w:eastAsia="zh-CN"/>
        </w:rPr>
        <w:t>，</w:t>
      </w:r>
      <w:r>
        <w:rPr>
          <w:rFonts w:hint="eastAsia" w:ascii="宋体" w:hAnsi="宋体"/>
          <w:sz w:val="28"/>
          <w:szCs w:val="28"/>
        </w:rPr>
        <w:t>即</w:t>
      </w:r>
      <w:r>
        <w:rPr>
          <w:rFonts w:hint="eastAsia" w:ascii="宋体" w:hAnsi="宋体"/>
          <w:sz w:val="28"/>
          <w:szCs w:val="28"/>
          <w:lang w:eastAsia="zh-CN"/>
        </w:rPr>
        <w:t>从</w:t>
      </w:r>
      <w:r>
        <w:rPr>
          <w:rFonts w:hint="eastAsia" w:ascii="宋体" w:hAnsi="宋体"/>
          <w:color w:val="FF0000"/>
          <w:sz w:val="28"/>
          <w:szCs w:val="28"/>
          <w:lang w:eastAsia="zh-CN"/>
        </w:rPr>
        <w:t>2022年1月13日</w:t>
      </w:r>
      <w:r>
        <w:rPr>
          <w:rFonts w:hint="eastAsia" w:ascii="宋体" w:hAnsi="宋体"/>
          <w:sz w:val="28"/>
          <w:szCs w:val="28"/>
        </w:rPr>
        <w:t>起至</w:t>
      </w:r>
      <w:r>
        <w:rPr>
          <w:rFonts w:hint="eastAsia" w:ascii="宋体" w:hAnsi="宋体"/>
          <w:color w:val="FF0000"/>
          <w:sz w:val="28"/>
          <w:szCs w:val="28"/>
          <w:lang w:eastAsia="zh-CN"/>
        </w:rPr>
        <w:t>202</w:t>
      </w:r>
      <w:r>
        <w:rPr>
          <w:rFonts w:hint="eastAsia" w:ascii="宋体" w:hAnsi="宋体"/>
          <w:color w:val="FF0000"/>
          <w:sz w:val="28"/>
          <w:szCs w:val="28"/>
          <w:lang w:val="en-US" w:eastAsia="zh-CN"/>
        </w:rPr>
        <w:t>3</w:t>
      </w:r>
      <w:r>
        <w:rPr>
          <w:rFonts w:hint="eastAsia" w:ascii="宋体" w:hAnsi="宋体"/>
          <w:color w:val="FF0000"/>
          <w:sz w:val="28"/>
          <w:szCs w:val="28"/>
          <w:lang w:eastAsia="zh-CN"/>
        </w:rPr>
        <w:t>年</w:t>
      </w:r>
      <w:r>
        <w:rPr>
          <w:rFonts w:hint="eastAsia" w:ascii="宋体" w:hAnsi="宋体"/>
          <w:color w:val="FF0000"/>
          <w:sz w:val="28"/>
          <w:szCs w:val="28"/>
          <w:lang w:val="en-US" w:eastAsia="zh-CN"/>
        </w:rPr>
        <w:t>1</w:t>
      </w:r>
      <w:r>
        <w:rPr>
          <w:rFonts w:hint="eastAsia" w:ascii="宋体" w:hAnsi="宋体"/>
          <w:color w:val="FF0000"/>
          <w:sz w:val="28"/>
          <w:szCs w:val="28"/>
          <w:lang w:eastAsia="zh-CN"/>
        </w:rPr>
        <w:t>月</w:t>
      </w:r>
      <w:r>
        <w:rPr>
          <w:rFonts w:hint="eastAsia" w:ascii="宋体" w:hAnsi="宋体"/>
          <w:color w:val="FF0000"/>
          <w:sz w:val="28"/>
          <w:szCs w:val="28"/>
          <w:lang w:val="en-US" w:eastAsia="zh-CN"/>
        </w:rPr>
        <w:t>12</w:t>
      </w:r>
      <w:r>
        <w:rPr>
          <w:rFonts w:hint="eastAsia" w:ascii="宋体" w:hAnsi="宋体"/>
          <w:sz w:val="28"/>
          <w:szCs w:val="28"/>
          <w:lang w:eastAsia="zh-CN"/>
        </w:rPr>
        <w:t>日</w:t>
      </w:r>
      <w:r>
        <w:rPr>
          <w:rFonts w:hint="eastAsia" w:ascii="宋体" w:hAnsi="宋体"/>
          <w:sz w:val="28"/>
          <w:szCs w:val="28"/>
        </w:rPr>
        <w:t>止。</w:t>
      </w:r>
    </w:p>
    <w:p>
      <w:pPr>
        <w:adjustRightInd w:val="0"/>
        <w:snapToGrid w:val="0"/>
        <w:spacing w:before="120" w:after="156" w:afterLines="50" w:line="360" w:lineRule="auto"/>
        <w:ind w:firstLine="480"/>
        <w:rPr>
          <w:rFonts w:hint="eastAsia" w:ascii="宋体" w:hAnsi="宋体"/>
          <w:sz w:val="28"/>
          <w:szCs w:val="28"/>
        </w:rPr>
      </w:pPr>
      <w:r>
        <w:rPr>
          <w:rFonts w:hint="eastAsia" w:ascii="宋体" w:hAnsi="宋体"/>
          <w:sz w:val="28"/>
          <w:szCs w:val="28"/>
        </w:rPr>
        <w:t>以上为评估报告全文的部分摘要内容，本摘要内容均摘自</w:t>
      </w:r>
      <w:r>
        <w:rPr>
          <w:rFonts w:hint="eastAsia" w:ascii="宋体" w:hAnsi="宋体"/>
          <w:sz w:val="28"/>
          <w:szCs w:val="28"/>
          <w:lang w:eastAsia="zh-CN"/>
        </w:rPr>
        <w:t>合意评字【20</w:t>
      </w:r>
      <w:r>
        <w:rPr>
          <w:rFonts w:hint="eastAsia" w:ascii="宋体" w:hAnsi="宋体"/>
          <w:sz w:val="28"/>
          <w:szCs w:val="28"/>
          <w:lang w:val="en-US" w:eastAsia="zh-CN"/>
        </w:rPr>
        <w:t>22</w:t>
      </w:r>
      <w:r>
        <w:rPr>
          <w:rFonts w:hint="eastAsia" w:ascii="宋体" w:hAnsi="宋体"/>
          <w:sz w:val="28"/>
          <w:szCs w:val="28"/>
          <w:lang w:eastAsia="zh-CN"/>
        </w:rPr>
        <w:t>】第</w:t>
      </w:r>
      <w:r>
        <w:rPr>
          <w:rFonts w:hint="eastAsia" w:ascii="宋体" w:hAnsi="宋体"/>
          <w:color w:val="FF0000"/>
          <w:sz w:val="28"/>
          <w:szCs w:val="28"/>
          <w:lang w:eastAsia="zh-CN"/>
        </w:rPr>
        <w:t>0</w:t>
      </w:r>
      <w:r>
        <w:rPr>
          <w:rFonts w:hint="eastAsia" w:ascii="宋体" w:hAnsi="宋体"/>
          <w:color w:val="FF0000"/>
          <w:sz w:val="28"/>
          <w:szCs w:val="28"/>
          <w:lang w:val="en-US" w:eastAsia="zh-CN"/>
        </w:rPr>
        <w:t>10</w:t>
      </w:r>
      <w:r>
        <w:rPr>
          <w:rFonts w:hint="eastAsia" w:ascii="宋体" w:hAnsi="宋体"/>
          <w:sz w:val="28"/>
          <w:szCs w:val="28"/>
          <w:lang w:eastAsia="zh-CN"/>
        </w:rPr>
        <w:t>号</w:t>
      </w:r>
      <w:r>
        <w:rPr>
          <w:rFonts w:hint="eastAsia" w:ascii="宋体" w:hAnsi="宋体"/>
          <w:sz w:val="28"/>
          <w:szCs w:val="28"/>
        </w:rPr>
        <w:t xml:space="preserve">评估报告书，欲了解本评估项目的详细情况和正确理解评估结论，应认真阅读评估报告书全文。本摘要单独使用可能会导致对评估结论的误解或误用。                                </w:t>
      </w:r>
    </w:p>
    <w:p>
      <w:pPr>
        <w:spacing w:line="540" w:lineRule="exact"/>
        <w:jc w:val="both"/>
        <w:rPr>
          <w:rFonts w:hint="eastAsia" w:ascii="宋体" w:hAnsi="宋体"/>
          <w:sz w:val="28"/>
          <w:szCs w:val="28"/>
        </w:rPr>
      </w:pPr>
      <w:r>
        <w:rPr>
          <w:rFonts w:hint="eastAsia" w:ascii="宋体" w:hAnsi="宋体"/>
          <w:sz w:val="28"/>
          <w:szCs w:val="28"/>
        </w:rPr>
        <w:t xml:space="preserve">                   </w:t>
      </w:r>
    </w:p>
    <w:p>
      <w:pPr>
        <w:spacing w:line="540" w:lineRule="exact"/>
        <w:jc w:val="center"/>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lang w:eastAsia="zh-CN"/>
        </w:rPr>
        <w:t>白城市合意资产价格评估</w:t>
      </w:r>
      <w:r>
        <w:rPr>
          <w:rFonts w:hint="eastAsia" w:ascii="宋体" w:hAnsi="宋体"/>
          <w:sz w:val="28"/>
          <w:szCs w:val="28"/>
        </w:rPr>
        <w:t>有限公司</w:t>
      </w:r>
    </w:p>
    <w:p>
      <w:pPr>
        <w:spacing w:line="540" w:lineRule="exact"/>
        <w:jc w:val="center"/>
        <w:rPr>
          <w:rFonts w:hint="eastAsia" w:ascii="宋体" w:hAnsi="宋体"/>
          <w:sz w:val="28"/>
          <w:szCs w:val="28"/>
        </w:rPr>
      </w:pPr>
    </w:p>
    <w:p>
      <w:pPr>
        <w:spacing w:line="540" w:lineRule="exact"/>
        <w:jc w:val="center"/>
        <w:rPr>
          <w:rFonts w:hint="eastAsia" w:ascii="宋体" w:hAnsi="宋体"/>
          <w:color w:val="FF0000"/>
          <w:sz w:val="28"/>
          <w:szCs w:val="28"/>
          <w:lang w:eastAsia="zh-CN"/>
        </w:rPr>
      </w:pPr>
      <w:r>
        <w:rPr>
          <w:rFonts w:hint="eastAsia" w:ascii="宋体" w:hAnsi="宋体"/>
          <w:sz w:val="28"/>
          <w:szCs w:val="28"/>
        </w:rPr>
        <w:t xml:space="preserve">                                </w:t>
      </w:r>
      <w:r>
        <w:rPr>
          <w:rFonts w:hint="eastAsia" w:ascii="宋体" w:hAnsi="宋体"/>
          <w:sz w:val="28"/>
          <w:szCs w:val="28"/>
          <w:lang w:eastAsia="zh-CN"/>
        </w:rPr>
        <w:t xml:space="preserve"> </w:t>
      </w:r>
      <w:r>
        <w:rPr>
          <w:rFonts w:hint="eastAsia" w:ascii="宋体" w:hAnsi="宋体"/>
          <w:color w:val="FF0000"/>
          <w:sz w:val="28"/>
          <w:szCs w:val="28"/>
          <w:lang w:eastAsia="zh-CN"/>
        </w:rPr>
        <w:t>2022年1月13日</w:t>
      </w:r>
    </w:p>
    <w:p>
      <w:pPr>
        <w:adjustRightInd w:val="0"/>
        <w:snapToGrid w:val="0"/>
        <w:spacing w:line="420" w:lineRule="auto"/>
        <w:jc w:val="both"/>
        <w:rPr>
          <w:rFonts w:hint="eastAsia" w:ascii="宋体" w:hAnsi="宋体"/>
          <w:b/>
          <w:color w:val="FF0000"/>
          <w:sz w:val="36"/>
          <w:szCs w:val="36"/>
          <w:lang w:eastAsia="zh-CN"/>
        </w:rPr>
      </w:pPr>
    </w:p>
    <w:p>
      <w:pPr>
        <w:adjustRightInd w:val="0"/>
        <w:snapToGrid w:val="0"/>
        <w:spacing w:line="420" w:lineRule="auto"/>
        <w:ind w:firstLine="360" w:firstLineChars="100"/>
        <w:jc w:val="both"/>
        <w:rPr>
          <w:rFonts w:hint="eastAsia" w:ascii="宋体" w:hAnsi="宋体"/>
          <w:b/>
          <w:sz w:val="36"/>
          <w:szCs w:val="36"/>
          <w:lang w:eastAsia="zh-CN"/>
        </w:rPr>
      </w:pPr>
      <w:r>
        <w:rPr>
          <w:rFonts w:hint="eastAsia" w:ascii="宋体" w:hAnsi="宋体"/>
          <w:b/>
          <w:color w:val="FF0000"/>
          <w:sz w:val="36"/>
          <w:szCs w:val="36"/>
          <w:lang w:eastAsia="zh-CN"/>
        </w:rPr>
        <w:t>大安市钊源房地产开发有限责任公司</w:t>
      </w:r>
      <w:r>
        <w:rPr>
          <w:rFonts w:hint="eastAsia" w:ascii="宋体" w:hAnsi="宋体"/>
          <w:b/>
          <w:sz w:val="36"/>
          <w:szCs w:val="36"/>
        </w:rPr>
        <w:t>拟核实</w:t>
      </w:r>
      <w:r>
        <w:rPr>
          <w:rFonts w:hint="eastAsia" w:ascii="宋体" w:hAnsi="宋体"/>
          <w:b/>
          <w:sz w:val="36"/>
          <w:szCs w:val="36"/>
          <w:lang w:eastAsia="zh-CN"/>
        </w:rPr>
        <w:t>房产</w:t>
      </w:r>
    </w:p>
    <w:p>
      <w:pPr>
        <w:adjustRightInd w:val="0"/>
        <w:snapToGrid w:val="0"/>
        <w:spacing w:line="420" w:lineRule="auto"/>
        <w:ind w:firstLine="2880" w:firstLineChars="800"/>
        <w:jc w:val="both"/>
        <w:rPr>
          <w:rFonts w:hint="eastAsia" w:ascii="宋体" w:hAnsi="宋体"/>
          <w:b/>
          <w:sz w:val="36"/>
          <w:szCs w:val="36"/>
        </w:rPr>
      </w:pPr>
      <w:r>
        <w:rPr>
          <w:rFonts w:hint="eastAsia" w:ascii="宋体" w:hAnsi="宋体"/>
          <w:b/>
          <w:sz w:val="36"/>
        </w:rPr>
        <w:t>价</w:t>
      </w:r>
      <w:r>
        <w:rPr>
          <w:rFonts w:hint="eastAsia" w:ascii="宋体" w:hAnsi="宋体"/>
          <w:b/>
          <w:sz w:val="36"/>
          <w:lang w:eastAsia="zh-CN"/>
        </w:rPr>
        <w:t>值</w:t>
      </w:r>
      <w:r>
        <w:rPr>
          <w:rFonts w:hint="eastAsia" w:ascii="宋体" w:hAnsi="宋体"/>
          <w:b/>
          <w:sz w:val="36"/>
        </w:rPr>
        <w:t>评估报告书</w:t>
      </w:r>
    </w:p>
    <w:p>
      <w:pPr>
        <w:tabs>
          <w:tab w:val="center" w:pos="4140"/>
        </w:tabs>
        <w:adjustRightInd w:val="0"/>
        <w:snapToGrid w:val="0"/>
        <w:spacing w:after="156" w:afterLines="50" w:line="360" w:lineRule="auto"/>
        <w:jc w:val="center"/>
        <w:rPr>
          <w:rFonts w:hint="eastAsia" w:ascii="宋体" w:hAnsi="宋体" w:eastAsiaTheme="minorEastAsia"/>
          <w:sz w:val="24"/>
          <w:lang w:eastAsia="zh-CN"/>
        </w:rPr>
      </w:pPr>
      <w:r>
        <w:rPr>
          <w:rFonts w:hint="eastAsia" w:ascii="宋体" w:hAnsi="宋体"/>
          <w:sz w:val="24"/>
          <w:lang w:eastAsia="zh-CN"/>
        </w:rPr>
        <w:t>合意评字【20</w:t>
      </w:r>
      <w:r>
        <w:rPr>
          <w:rFonts w:hint="eastAsia" w:ascii="宋体" w:hAnsi="宋体"/>
          <w:sz w:val="24"/>
          <w:lang w:val="en-US" w:eastAsia="zh-CN"/>
        </w:rPr>
        <w:t>22</w:t>
      </w:r>
      <w:r>
        <w:rPr>
          <w:rFonts w:hint="eastAsia" w:ascii="宋体" w:hAnsi="宋体"/>
          <w:sz w:val="24"/>
          <w:lang w:eastAsia="zh-CN"/>
        </w:rPr>
        <w:t>】第</w:t>
      </w:r>
      <w:r>
        <w:rPr>
          <w:rFonts w:hint="eastAsia" w:ascii="宋体" w:hAnsi="宋体"/>
          <w:color w:val="FF0000"/>
          <w:sz w:val="24"/>
          <w:lang w:eastAsia="zh-CN"/>
        </w:rPr>
        <w:t>0</w:t>
      </w:r>
      <w:r>
        <w:rPr>
          <w:rFonts w:hint="eastAsia" w:ascii="宋体" w:hAnsi="宋体"/>
          <w:color w:val="FF0000"/>
          <w:sz w:val="24"/>
          <w:lang w:val="en-US" w:eastAsia="zh-CN"/>
        </w:rPr>
        <w:t>10</w:t>
      </w:r>
      <w:r>
        <w:rPr>
          <w:rFonts w:hint="eastAsia" w:ascii="宋体" w:hAnsi="宋体"/>
          <w:sz w:val="24"/>
          <w:lang w:eastAsia="zh-CN"/>
        </w:rPr>
        <w:t>号</w:t>
      </w:r>
    </w:p>
    <w:p>
      <w:pPr>
        <w:pStyle w:val="3"/>
        <w:adjustRightInd w:val="0"/>
        <w:snapToGrid w:val="0"/>
        <w:spacing w:line="540" w:lineRule="exact"/>
        <w:ind w:firstLine="560" w:firstLineChars="200"/>
        <w:rPr>
          <w:rFonts w:hint="eastAsia"/>
          <w:sz w:val="28"/>
          <w:szCs w:val="28"/>
        </w:rPr>
      </w:pPr>
      <w:r>
        <w:rPr>
          <w:rFonts w:hint="eastAsia"/>
          <w:sz w:val="28"/>
          <w:szCs w:val="28"/>
          <w:lang w:eastAsia="zh-CN"/>
        </w:rPr>
        <w:t>白城市合意资产价格评估</w:t>
      </w:r>
      <w:r>
        <w:rPr>
          <w:rFonts w:hint="eastAsia"/>
          <w:sz w:val="28"/>
          <w:szCs w:val="28"/>
        </w:rPr>
        <w:t>有限公司接受</w:t>
      </w:r>
      <w:r>
        <w:rPr>
          <w:rFonts w:hint="eastAsia" w:ascii="宋体" w:hAnsi="宋体"/>
          <w:color w:val="0000FF"/>
          <w:spacing w:val="0"/>
          <w:sz w:val="28"/>
          <w:szCs w:val="28"/>
          <w:lang w:eastAsia="zh-CN"/>
        </w:rPr>
        <w:t>大安市人民法院</w:t>
      </w:r>
      <w:r>
        <w:rPr>
          <w:rFonts w:hint="eastAsia"/>
          <w:sz w:val="28"/>
          <w:szCs w:val="28"/>
        </w:rPr>
        <w:t>的委托，根据国家有关评估的规定，本着客观、独立、公正、科学的原则，按照公认的评估方法，对委托方资产价值项目所涉及的资产进</w:t>
      </w:r>
      <w:r>
        <w:rPr>
          <w:rFonts w:hint="eastAsia"/>
          <w:color w:val="000000"/>
          <w:sz w:val="28"/>
          <w:szCs w:val="28"/>
        </w:rPr>
        <w:t>行了评估</w:t>
      </w:r>
      <w:r>
        <w:rPr>
          <w:rFonts w:hint="eastAsia"/>
          <w:sz w:val="28"/>
          <w:szCs w:val="28"/>
        </w:rPr>
        <w:t>。</w:t>
      </w:r>
      <w:r>
        <w:rPr>
          <w:rFonts w:hint="eastAsia"/>
          <w:color w:val="000000"/>
          <w:sz w:val="28"/>
          <w:szCs w:val="28"/>
        </w:rPr>
        <w:t>本机构</w:t>
      </w:r>
      <w:r>
        <w:rPr>
          <w:rFonts w:hint="eastAsia"/>
          <w:sz w:val="28"/>
          <w:szCs w:val="28"/>
        </w:rPr>
        <w:t>评估人员按照必要的评估程序对委估资产实施了实地查勘、市场调查与询证，对委估资产在评估基准日即</w:t>
      </w:r>
      <w:r>
        <w:rPr>
          <w:rFonts w:hint="eastAsia"/>
          <w:color w:val="FF0000"/>
          <w:sz w:val="28"/>
          <w:szCs w:val="28"/>
          <w:lang w:eastAsia="zh-CN"/>
        </w:rPr>
        <w:t>2021年12月20日</w:t>
      </w:r>
      <w:r>
        <w:rPr>
          <w:rFonts w:hint="eastAsia"/>
          <w:sz w:val="28"/>
          <w:szCs w:val="28"/>
        </w:rPr>
        <w:t xml:space="preserve">所表现的市场价值做出了公允反映。现将评估情况及评估结果报告如下： </w:t>
      </w:r>
    </w:p>
    <w:p>
      <w:pPr>
        <w:pStyle w:val="3"/>
        <w:adjustRightInd w:val="0"/>
        <w:snapToGrid w:val="0"/>
        <w:spacing w:line="540" w:lineRule="exact"/>
        <w:rPr>
          <w:rFonts w:hint="eastAsia"/>
          <w:b/>
          <w:sz w:val="28"/>
          <w:szCs w:val="28"/>
        </w:rPr>
      </w:pPr>
      <w:r>
        <w:rPr>
          <w:rFonts w:hint="eastAsia"/>
          <w:b/>
          <w:bCs/>
          <w:sz w:val="28"/>
          <w:szCs w:val="28"/>
        </w:rPr>
        <w:t>一、委托方、资产占有方与其他报告使用方</w:t>
      </w:r>
    </w:p>
    <w:p>
      <w:pPr>
        <w:adjustRightInd w:val="0"/>
        <w:snapToGrid w:val="0"/>
        <w:spacing w:line="540" w:lineRule="exact"/>
        <w:rPr>
          <w:rFonts w:hint="eastAsia" w:ascii="宋体" w:hAnsi="宋体"/>
          <w:sz w:val="28"/>
          <w:szCs w:val="28"/>
        </w:rPr>
      </w:pPr>
      <w:r>
        <w:rPr>
          <w:rFonts w:hint="eastAsia" w:ascii="宋体" w:hAnsi="宋体"/>
          <w:sz w:val="28"/>
          <w:szCs w:val="28"/>
        </w:rPr>
        <w:t>（一）委托方</w:t>
      </w:r>
    </w:p>
    <w:p>
      <w:pPr>
        <w:adjustRightInd w:val="0"/>
        <w:snapToGrid w:val="0"/>
        <w:spacing w:line="540" w:lineRule="exact"/>
        <w:ind w:firstLine="560" w:firstLineChars="200"/>
        <w:rPr>
          <w:rFonts w:hint="eastAsia"/>
          <w:color w:val="FF0000"/>
          <w:sz w:val="28"/>
          <w:szCs w:val="28"/>
          <w:lang w:eastAsia="zh-CN"/>
        </w:rPr>
      </w:pPr>
      <w:r>
        <w:rPr>
          <w:rFonts w:hint="eastAsia" w:ascii="宋体" w:hAnsi="宋体"/>
          <w:sz w:val="28"/>
          <w:szCs w:val="28"/>
        </w:rPr>
        <w:t>名　  称：</w:t>
      </w:r>
      <w:r>
        <w:rPr>
          <w:rFonts w:hint="eastAsia"/>
          <w:sz w:val="28"/>
          <w:szCs w:val="28"/>
          <w:lang w:eastAsia="zh-CN"/>
        </w:rPr>
        <w:t xml:space="preserve"> </w:t>
      </w:r>
      <w:r>
        <w:rPr>
          <w:rFonts w:hint="eastAsia" w:ascii="宋体" w:hAnsi="宋体"/>
          <w:color w:val="0000FF"/>
          <w:spacing w:val="0"/>
          <w:sz w:val="28"/>
          <w:szCs w:val="28"/>
          <w:lang w:eastAsia="zh-CN"/>
        </w:rPr>
        <w:t>大安市人民法院</w:t>
      </w:r>
    </w:p>
    <w:p>
      <w:pPr>
        <w:numPr>
          <w:ilvl w:val="0"/>
          <w:numId w:val="1"/>
        </w:numPr>
        <w:adjustRightInd w:val="0"/>
        <w:snapToGrid w:val="0"/>
        <w:spacing w:line="540" w:lineRule="exact"/>
        <w:rPr>
          <w:rFonts w:hint="eastAsia" w:ascii="宋体" w:hAnsi="宋体"/>
          <w:sz w:val="28"/>
          <w:szCs w:val="28"/>
        </w:rPr>
      </w:pPr>
      <w:r>
        <w:rPr>
          <w:rFonts w:hint="eastAsia" w:ascii="宋体" w:hAnsi="宋体"/>
          <w:sz w:val="28"/>
          <w:szCs w:val="28"/>
        </w:rPr>
        <w:t>资产占有方</w:t>
      </w:r>
    </w:p>
    <w:p>
      <w:pPr>
        <w:numPr>
          <w:ilvl w:val="0"/>
          <w:numId w:val="0"/>
        </w:numPr>
        <w:adjustRightInd w:val="0"/>
        <w:snapToGrid w:val="0"/>
        <w:spacing w:line="540" w:lineRule="exact"/>
        <w:ind w:firstLine="560" w:firstLineChars="200"/>
        <w:rPr>
          <w:rFonts w:hint="default" w:ascii="宋体" w:hAnsi="宋体"/>
          <w:sz w:val="28"/>
          <w:szCs w:val="28"/>
          <w:lang w:val="en-US" w:eastAsia="zh-CN"/>
        </w:rPr>
      </w:pPr>
      <w:r>
        <w:rPr>
          <w:rFonts w:hint="eastAsia" w:ascii="宋体" w:hAnsi="宋体"/>
          <w:sz w:val="28"/>
          <w:szCs w:val="28"/>
        </w:rPr>
        <w:t>名　  称</w:t>
      </w:r>
      <w:r>
        <w:rPr>
          <w:rFonts w:hint="eastAsia" w:ascii="宋体" w:hAnsi="宋体"/>
          <w:sz w:val="28"/>
          <w:szCs w:val="28"/>
          <w:lang w:eastAsia="zh-CN"/>
        </w:rPr>
        <w:t>：</w:t>
      </w:r>
      <w:r>
        <w:rPr>
          <w:rFonts w:hint="eastAsia"/>
          <w:color w:val="FF0000"/>
          <w:sz w:val="28"/>
          <w:szCs w:val="28"/>
          <w:lang w:eastAsia="zh-CN"/>
        </w:rPr>
        <w:t>大安市钊源房地产开发有限责任公司</w:t>
      </w:r>
    </w:p>
    <w:p>
      <w:pPr>
        <w:adjustRightInd w:val="0"/>
        <w:snapToGrid w:val="0"/>
        <w:spacing w:line="540" w:lineRule="exact"/>
        <w:rPr>
          <w:rFonts w:hint="eastAsia" w:ascii="宋体" w:hAnsi="宋体"/>
          <w:b/>
          <w:bCs/>
          <w:sz w:val="28"/>
          <w:szCs w:val="28"/>
        </w:rPr>
      </w:pPr>
      <w:r>
        <w:rPr>
          <w:rFonts w:hint="eastAsia" w:ascii="宋体" w:hAnsi="宋体"/>
          <w:b/>
          <w:bCs/>
          <w:sz w:val="28"/>
          <w:szCs w:val="28"/>
        </w:rPr>
        <w:t>二、评估目的</w:t>
      </w:r>
    </w:p>
    <w:p>
      <w:pPr>
        <w:adjustRightInd w:val="0"/>
        <w:snapToGrid w:val="0"/>
        <w:spacing w:line="540" w:lineRule="exact"/>
        <w:ind w:firstLine="560" w:firstLineChars="200"/>
        <w:rPr>
          <w:rFonts w:hint="eastAsia" w:ascii="宋体" w:hAnsi="宋体"/>
          <w:sz w:val="28"/>
          <w:szCs w:val="28"/>
          <w:lang w:eastAsia="zh-CN"/>
        </w:rPr>
      </w:pPr>
      <w:r>
        <w:rPr>
          <w:rFonts w:hint="eastAsia" w:ascii="宋体" w:hAnsi="宋体"/>
          <w:sz w:val="28"/>
          <w:szCs w:val="28"/>
        </w:rPr>
        <w:t>评估目的：本次评估的目的是为确定该</w:t>
      </w:r>
      <w:r>
        <w:rPr>
          <w:rFonts w:hint="eastAsia" w:ascii="宋体" w:hAnsi="宋体"/>
          <w:sz w:val="28"/>
          <w:szCs w:val="28"/>
          <w:lang w:eastAsia="zh-CN"/>
        </w:rPr>
        <w:t>房地产</w:t>
      </w:r>
      <w:r>
        <w:rPr>
          <w:rFonts w:hint="eastAsia" w:ascii="宋体" w:hAnsi="宋体"/>
          <w:sz w:val="28"/>
          <w:szCs w:val="28"/>
        </w:rPr>
        <w:t>现有价值提供参考依据</w:t>
      </w:r>
      <w:r>
        <w:rPr>
          <w:rFonts w:hint="eastAsia" w:ascii="宋体" w:hAnsi="宋体"/>
          <w:sz w:val="28"/>
          <w:szCs w:val="28"/>
          <w:lang w:eastAsia="zh-CN"/>
        </w:rPr>
        <w:t>。</w:t>
      </w:r>
    </w:p>
    <w:p>
      <w:pPr>
        <w:adjustRightInd w:val="0"/>
        <w:snapToGrid w:val="0"/>
        <w:spacing w:line="540" w:lineRule="exact"/>
        <w:rPr>
          <w:rFonts w:hint="eastAsia" w:ascii="宋体" w:hAnsi="宋体"/>
          <w:sz w:val="28"/>
          <w:szCs w:val="28"/>
        </w:rPr>
      </w:pPr>
      <w:r>
        <w:rPr>
          <w:rFonts w:hint="eastAsia" w:ascii="宋体" w:hAnsi="宋体"/>
          <w:b/>
          <w:kern w:val="44"/>
          <w:sz w:val="28"/>
          <w:szCs w:val="28"/>
        </w:rPr>
        <w:t>三、</w:t>
      </w:r>
      <w:r>
        <w:rPr>
          <w:rFonts w:hint="eastAsia" w:ascii="宋体" w:hAnsi="宋体"/>
          <w:b/>
          <w:bCs/>
          <w:sz w:val="28"/>
          <w:szCs w:val="28"/>
        </w:rPr>
        <w:t>评估范围及对象</w:t>
      </w:r>
    </w:p>
    <w:p>
      <w:pPr>
        <w:adjustRightInd w:val="0"/>
        <w:snapToGrid w:val="0"/>
        <w:spacing w:line="540" w:lineRule="exact"/>
        <w:ind w:firstLine="560" w:firstLineChars="200"/>
        <w:rPr>
          <w:rFonts w:hint="eastAsia" w:ascii="宋体" w:hAnsi="宋体"/>
          <w:sz w:val="28"/>
          <w:szCs w:val="28"/>
        </w:rPr>
      </w:pPr>
      <w:r>
        <w:rPr>
          <w:rFonts w:hint="eastAsia" w:ascii="宋体" w:hAnsi="宋体"/>
          <w:sz w:val="28"/>
          <w:szCs w:val="28"/>
        </w:rPr>
        <w:t>本次评估范围</w:t>
      </w:r>
      <w:r>
        <w:rPr>
          <w:rFonts w:hint="eastAsia" w:ascii="宋体" w:hAnsi="宋体"/>
          <w:sz w:val="24"/>
        </w:rPr>
        <w:t>：</w:t>
      </w:r>
      <w:r>
        <w:rPr>
          <w:rFonts w:hint="eastAsia" w:ascii="宋体" w:hAnsi="宋体"/>
          <w:sz w:val="28"/>
          <w:szCs w:val="28"/>
        </w:rPr>
        <w:t>纳入本次评估范围的资产为</w:t>
      </w:r>
      <w:r>
        <w:rPr>
          <w:rFonts w:hint="eastAsia" w:ascii="宋体" w:hAnsi="宋体"/>
          <w:sz w:val="28"/>
          <w:szCs w:val="28"/>
          <w:lang w:eastAsia="zh-CN"/>
        </w:rPr>
        <w:t>大安市钊源房地产开发有限责任公司</w:t>
      </w:r>
      <w:r>
        <w:rPr>
          <w:rFonts w:hint="eastAsia" w:ascii="宋体" w:hAnsi="宋体"/>
          <w:sz w:val="28"/>
          <w:szCs w:val="28"/>
        </w:rPr>
        <w:t>所拥有的</w:t>
      </w:r>
      <w:r>
        <w:rPr>
          <w:rFonts w:hint="eastAsia" w:ascii="宋体" w:hAnsi="宋体"/>
          <w:sz w:val="28"/>
          <w:szCs w:val="28"/>
          <w:lang w:eastAsia="zh-CN"/>
        </w:rPr>
        <w:t>住宅用房</w:t>
      </w:r>
      <w:r>
        <w:rPr>
          <w:rFonts w:hint="eastAsia" w:ascii="宋体" w:hAnsi="宋体"/>
          <w:sz w:val="28"/>
          <w:szCs w:val="28"/>
        </w:rPr>
        <w:t>资产</w:t>
      </w:r>
      <w:r>
        <w:rPr>
          <w:rFonts w:hint="eastAsia" w:ascii="宋体" w:hAnsi="宋体"/>
          <w:sz w:val="28"/>
          <w:szCs w:val="28"/>
          <w:lang w:eastAsia="zh-CN"/>
        </w:rPr>
        <w:t>。</w:t>
      </w:r>
    </w:p>
    <w:p>
      <w:pPr>
        <w:spacing w:line="540" w:lineRule="exact"/>
        <w:ind w:firstLine="560" w:firstLineChars="200"/>
        <w:rPr>
          <w:rFonts w:hint="eastAsia" w:ascii="宋体" w:hAnsi="宋体"/>
          <w:sz w:val="28"/>
          <w:szCs w:val="28"/>
        </w:rPr>
      </w:pPr>
      <w:r>
        <w:rPr>
          <w:rFonts w:hint="eastAsia" w:ascii="宋体" w:hAnsi="宋体"/>
          <w:sz w:val="28"/>
          <w:szCs w:val="28"/>
        </w:rPr>
        <w:t>纳入评估范围的资产范围与委托评估的资产范围一致。</w:t>
      </w:r>
    </w:p>
    <w:p>
      <w:pPr>
        <w:spacing w:line="540" w:lineRule="exact"/>
        <w:ind w:firstLine="560" w:firstLineChars="200"/>
        <w:rPr>
          <w:rFonts w:hint="eastAsia" w:ascii="宋体" w:hAnsi="宋体"/>
          <w:sz w:val="28"/>
          <w:szCs w:val="28"/>
        </w:rPr>
      </w:pPr>
      <w:r>
        <w:rPr>
          <w:rFonts w:hint="eastAsia" w:ascii="宋体" w:hAnsi="宋体"/>
          <w:sz w:val="28"/>
          <w:szCs w:val="28"/>
        </w:rPr>
        <w:t>根据本次评估的特定目的，考虑被评估资产的功能状态，以及评估时的各种条件，我们合理地采用特定目的下的市场价值类型。</w:t>
      </w:r>
    </w:p>
    <w:p>
      <w:pPr>
        <w:spacing w:line="540" w:lineRule="exact"/>
        <w:rPr>
          <w:rFonts w:hint="eastAsia" w:ascii="宋体" w:hAnsi="宋体"/>
          <w:b/>
          <w:kern w:val="44"/>
          <w:sz w:val="28"/>
          <w:szCs w:val="28"/>
        </w:rPr>
      </w:pPr>
      <w:r>
        <w:rPr>
          <w:rFonts w:hint="eastAsia" w:ascii="宋体" w:hAnsi="宋体"/>
          <w:b/>
          <w:bCs/>
          <w:sz w:val="28"/>
          <w:szCs w:val="28"/>
        </w:rPr>
        <w:t>四、</w:t>
      </w:r>
      <w:r>
        <w:rPr>
          <w:rFonts w:hint="eastAsia" w:ascii="宋体" w:hAnsi="宋体"/>
          <w:b/>
          <w:sz w:val="28"/>
          <w:szCs w:val="28"/>
        </w:rPr>
        <w:t>价值类型及其定义</w:t>
      </w:r>
    </w:p>
    <w:p>
      <w:pPr>
        <w:spacing w:line="540" w:lineRule="exact"/>
        <w:ind w:firstLine="560" w:firstLineChars="200"/>
        <w:rPr>
          <w:rFonts w:hint="eastAsia" w:ascii="宋体" w:hAnsi="宋体"/>
          <w:bCs/>
          <w:sz w:val="28"/>
          <w:szCs w:val="28"/>
        </w:rPr>
      </w:pPr>
      <w:r>
        <w:rPr>
          <w:rFonts w:hint="eastAsia" w:ascii="宋体" w:hAnsi="宋体"/>
          <w:bCs/>
          <w:sz w:val="28"/>
          <w:szCs w:val="28"/>
        </w:rPr>
        <w:t>价值类型是指评估结果的价值属性及其表现形式。评估价值类型与特定经济行为、评估目的及评估对象的状态、功能、评估时点的市场条件等因素密切相关。价值类型是影响和决定评估价值的重要因素，它制约评估方法的选择。</w:t>
      </w:r>
    </w:p>
    <w:p>
      <w:pPr>
        <w:pStyle w:val="5"/>
        <w:snapToGrid w:val="0"/>
        <w:spacing w:line="540" w:lineRule="exact"/>
        <w:ind w:firstLine="560" w:firstLineChars="200"/>
        <w:rPr>
          <w:rFonts w:hint="eastAsia" w:hAnsi="宋体"/>
          <w:bCs/>
          <w:sz w:val="28"/>
          <w:szCs w:val="28"/>
        </w:rPr>
      </w:pPr>
      <w:r>
        <w:rPr>
          <w:rFonts w:hint="eastAsia" w:hAnsi="宋体"/>
          <w:bCs/>
          <w:sz w:val="28"/>
          <w:szCs w:val="28"/>
        </w:rPr>
        <w:t>本报告所称“评估价值”是在“特定使用目的”前提下、资产处于正常使用状态；在评估时所使用的信息资料、相关参数的来源于公开市场信息数据前提下的市场价值类型。</w:t>
      </w:r>
    </w:p>
    <w:p>
      <w:pPr>
        <w:snapToGrid w:val="0"/>
        <w:spacing w:line="540" w:lineRule="exact"/>
        <w:ind w:firstLine="560" w:firstLineChars="200"/>
        <w:rPr>
          <w:rFonts w:hint="eastAsia" w:ascii="宋体" w:hAnsi="宋体"/>
          <w:sz w:val="28"/>
          <w:szCs w:val="28"/>
          <w:lang w:val="en-GB"/>
        </w:rPr>
      </w:pPr>
      <w:r>
        <w:rPr>
          <w:rFonts w:hint="eastAsia" w:ascii="宋体" w:hAnsi="宋体"/>
          <w:sz w:val="28"/>
          <w:szCs w:val="28"/>
          <w:lang w:val="en-GB"/>
        </w:rPr>
        <w:t>市场价值是指自愿买方和自愿卖方在各自理性行事且未受任何强迫的情况下，评估对象在评估基准日进行正常公平交易的价值估计数额。</w:t>
      </w:r>
    </w:p>
    <w:p>
      <w:pPr>
        <w:spacing w:line="540" w:lineRule="exact"/>
        <w:rPr>
          <w:rFonts w:hint="eastAsia" w:ascii="宋体" w:hAnsi="宋体"/>
          <w:b/>
          <w:bCs/>
          <w:sz w:val="28"/>
          <w:szCs w:val="28"/>
        </w:rPr>
      </w:pPr>
      <w:r>
        <w:rPr>
          <w:rFonts w:hint="eastAsia" w:ascii="宋体" w:hAnsi="宋体"/>
          <w:b/>
          <w:bCs/>
          <w:sz w:val="28"/>
          <w:szCs w:val="28"/>
        </w:rPr>
        <w:t>五、评估基准日</w:t>
      </w:r>
    </w:p>
    <w:p>
      <w:pPr>
        <w:adjustRightInd w:val="0"/>
        <w:snapToGrid w:val="0"/>
        <w:spacing w:line="540" w:lineRule="exact"/>
        <w:ind w:firstLine="560" w:firstLineChars="200"/>
        <w:rPr>
          <w:rFonts w:hint="eastAsia" w:ascii="宋体" w:hAnsi="宋体"/>
          <w:sz w:val="28"/>
          <w:szCs w:val="28"/>
        </w:rPr>
      </w:pPr>
      <w:r>
        <w:rPr>
          <w:rFonts w:hint="eastAsia" w:ascii="宋体" w:hAnsi="宋体"/>
          <w:sz w:val="28"/>
          <w:szCs w:val="28"/>
        </w:rPr>
        <w:t>本项目评估基准日为</w:t>
      </w:r>
      <w:r>
        <w:rPr>
          <w:rFonts w:hint="eastAsia" w:ascii="宋体" w:hAnsi="宋体"/>
          <w:color w:val="FF0000"/>
          <w:sz w:val="28"/>
          <w:szCs w:val="28"/>
          <w:lang w:eastAsia="zh-CN"/>
        </w:rPr>
        <w:t>2021年12月20日</w:t>
      </w:r>
      <w:r>
        <w:rPr>
          <w:rFonts w:hint="eastAsia" w:ascii="宋体" w:hAnsi="宋体"/>
          <w:sz w:val="28"/>
          <w:szCs w:val="28"/>
        </w:rPr>
        <w:t>。</w:t>
      </w:r>
    </w:p>
    <w:p>
      <w:pPr>
        <w:pStyle w:val="4"/>
        <w:spacing w:line="540" w:lineRule="exact"/>
        <w:ind w:firstLine="560"/>
        <w:rPr>
          <w:rFonts w:hint="eastAsia"/>
          <w:sz w:val="28"/>
          <w:szCs w:val="28"/>
        </w:rPr>
      </w:pPr>
      <w:r>
        <w:rPr>
          <w:rFonts w:hint="eastAsia"/>
          <w:sz w:val="28"/>
          <w:szCs w:val="28"/>
        </w:rPr>
        <w:t>评估基准日的确定是依据经济行为的性质，与委托方协商确定的。本评估报告中一切取价标准均为评估基准日的价格标准。</w:t>
      </w:r>
    </w:p>
    <w:p>
      <w:pPr>
        <w:pStyle w:val="4"/>
        <w:numPr>
          <w:ilvl w:val="0"/>
          <w:numId w:val="2"/>
        </w:numPr>
        <w:spacing w:line="540" w:lineRule="exact"/>
        <w:ind w:firstLine="0" w:firstLineChars="0"/>
        <w:rPr>
          <w:rFonts w:hint="eastAsia"/>
          <w:b/>
          <w:bCs/>
          <w:sz w:val="28"/>
          <w:szCs w:val="28"/>
        </w:rPr>
      </w:pPr>
      <w:r>
        <w:rPr>
          <w:rFonts w:hint="eastAsia"/>
          <w:b/>
          <w:bCs/>
          <w:sz w:val="28"/>
          <w:szCs w:val="28"/>
        </w:rPr>
        <w:t>评估依据</w:t>
      </w:r>
    </w:p>
    <w:p>
      <w:pPr>
        <w:pStyle w:val="4"/>
        <w:spacing w:line="540" w:lineRule="exact"/>
        <w:ind w:firstLine="560"/>
        <w:rPr>
          <w:rFonts w:hint="eastAsia" w:ascii="宋体" w:hAnsi="宋体"/>
          <w:sz w:val="28"/>
          <w:szCs w:val="28"/>
        </w:rPr>
      </w:pPr>
      <w:r>
        <w:rPr>
          <w:rFonts w:hint="eastAsia"/>
          <w:sz w:val="28"/>
          <w:szCs w:val="28"/>
          <w:lang w:eastAsia="zh-CN"/>
        </w:rPr>
        <w:t>在本次评估工作中所遵循的法律法规依据、准则依据、权属依据及取价依据等其他参考资料</w:t>
      </w:r>
      <w:r>
        <w:rPr>
          <w:rFonts w:hint="eastAsia" w:ascii="宋体" w:hAnsi="宋体"/>
          <w:sz w:val="28"/>
          <w:szCs w:val="28"/>
        </w:rPr>
        <w:t>：</w:t>
      </w:r>
    </w:p>
    <w:p>
      <w:pPr>
        <w:spacing w:line="540" w:lineRule="exact"/>
        <w:ind w:firstLine="560" w:firstLineChars="200"/>
        <w:rPr>
          <w:rFonts w:hint="eastAsia" w:ascii="宋体" w:hAnsi="宋体"/>
          <w:sz w:val="28"/>
          <w:szCs w:val="28"/>
        </w:rPr>
      </w:pPr>
      <w:r>
        <w:rPr>
          <w:rFonts w:hint="eastAsia" w:ascii="宋体" w:hAnsi="宋体"/>
          <w:sz w:val="28"/>
          <w:szCs w:val="28"/>
        </w:rPr>
        <w:t>（一）</w:t>
      </w:r>
      <w:r>
        <w:rPr>
          <w:rFonts w:hint="eastAsia" w:ascii="宋体" w:hAnsi="宋体"/>
          <w:sz w:val="28"/>
          <w:szCs w:val="28"/>
          <w:lang w:eastAsia="zh-CN"/>
        </w:rPr>
        <w:t>评估</w:t>
      </w:r>
      <w:r>
        <w:rPr>
          <w:rFonts w:hint="eastAsia" w:ascii="宋体" w:hAnsi="宋体"/>
          <w:sz w:val="28"/>
          <w:szCs w:val="28"/>
        </w:rPr>
        <w:t>法律法规依据</w:t>
      </w:r>
    </w:p>
    <w:p>
      <w:pPr>
        <w:spacing w:line="540" w:lineRule="exact"/>
        <w:ind w:firstLine="560" w:firstLineChars="200"/>
        <w:rPr>
          <w:rFonts w:hint="eastAsia" w:ascii="宋体" w:hAnsi="宋体"/>
          <w:sz w:val="28"/>
          <w:szCs w:val="28"/>
        </w:rPr>
      </w:pPr>
      <w:r>
        <w:rPr>
          <w:rFonts w:hint="eastAsia" w:ascii="宋体" w:hAnsi="宋体"/>
          <w:sz w:val="28"/>
          <w:szCs w:val="28"/>
        </w:rPr>
        <w:t>1、《资产评估行业监督管理办法(修订征求意见稿)》</w:t>
      </w:r>
      <w:r>
        <w:rPr>
          <w:rFonts w:hint="eastAsia" w:ascii="宋体" w:hAnsi="宋体"/>
          <w:sz w:val="28"/>
          <w:szCs w:val="28"/>
          <w:lang w:eastAsia="zh-CN"/>
        </w:rPr>
        <w:t>（</w:t>
      </w:r>
      <w:r>
        <w:rPr>
          <w:rFonts w:hint="eastAsia" w:ascii="宋体" w:hAnsi="宋体"/>
          <w:sz w:val="28"/>
          <w:szCs w:val="28"/>
        </w:rPr>
        <w:t>财政部</w:t>
      </w:r>
      <w:r>
        <w:rPr>
          <w:rFonts w:hint="eastAsia" w:ascii="宋体" w:hAnsi="宋体"/>
          <w:sz w:val="28"/>
          <w:szCs w:val="28"/>
          <w:lang w:eastAsia="zh-CN"/>
        </w:rPr>
        <w:t>修订）</w:t>
      </w:r>
      <w:r>
        <w:rPr>
          <w:rFonts w:hint="eastAsia" w:ascii="宋体" w:hAnsi="宋体"/>
          <w:sz w:val="28"/>
          <w:szCs w:val="28"/>
        </w:rPr>
        <w:t>；</w:t>
      </w:r>
    </w:p>
    <w:p>
      <w:pPr>
        <w:spacing w:line="540" w:lineRule="exact"/>
        <w:ind w:firstLine="560" w:firstLineChars="200"/>
        <w:rPr>
          <w:rFonts w:hint="eastAsia" w:ascii="宋体" w:hAnsi="宋体"/>
          <w:sz w:val="28"/>
          <w:szCs w:val="28"/>
        </w:rPr>
      </w:pPr>
      <w:r>
        <w:rPr>
          <w:rFonts w:hint="eastAsia" w:ascii="宋体" w:hAnsi="宋体"/>
          <w:sz w:val="28"/>
          <w:szCs w:val="28"/>
        </w:rPr>
        <w:t>2、财政部第64号发布《资产评估机构审批和监督管理办法》；</w:t>
      </w:r>
    </w:p>
    <w:p>
      <w:pPr>
        <w:spacing w:line="540" w:lineRule="exact"/>
        <w:ind w:firstLine="560" w:firstLineChars="200"/>
        <w:rPr>
          <w:rFonts w:hint="eastAsia" w:ascii="宋体" w:hAnsi="宋体"/>
          <w:sz w:val="28"/>
          <w:szCs w:val="28"/>
        </w:rPr>
      </w:pPr>
      <w:r>
        <w:rPr>
          <w:rFonts w:hint="eastAsia" w:ascii="宋体" w:hAnsi="宋体"/>
          <w:sz w:val="28"/>
          <w:szCs w:val="28"/>
        </w:rPr>
        <w:t>3、《中华人民共和国物价法》；</w:t>
      </w:r>
    </w:p>
    <w:p>
      <w:pPr>
        <w:spacing w:line="540" w:lineRule="exact"/>
        <w:ind w:firstLine="560" w:firstLineChars="200"/>
        <w:rPr>
          <w:rFonts w:hint="eastAsia" w:ascii="宋体" w:hAnsi="宋体"/>
          <w:sz w:val="28"/>
          <w:szCs w:val="28"/>
        </w:rPr>
      </w:pPr>
      <w:r>
        <w:rPr>
          <w:rFonts w:hint="eastAsia" w:ascii="宋体" w:hAnsi="宋体"/>
          <w:sz w:val="28"/>
          <w:szCs w:val="28"/>
        </w:rPr>
        <w:t>4、财政部第14号《评估管理若干问题的规定》。</w:t>
      </w:r>
    </w:p>
    <w:p>
      <w:pPr>
        <w:spacing w:line="540" w:lineRule="exact"/>
        <w:ind w:firstLine="560" w:firstLineChars="200"/>
        <w:rPr>
          <w:rFonts w:hint="eastAsia" w:ascii="宋体" w:hAnsi="宋体"/>
          <w:sz w:val="28"/>
          <w:szCs w:val="28"/>
        </w:rPr>
      </w:pPr>
      <w:r>
        <w:rPr>
          <w:rFonts w:hint="eastAsia" w:ascii="宋体" w:hAnsi="宋体"/>
          <w:sz w:val="28"/>
          <w:szCs w:val="28"/>
        </w:rPr>
        <w:t>（二）准则依据</w:t>
      </w:r>
    </w:p>
    <w:p>
      <w:pPr>
        <w:spacing w:line="540" w:lineRule="exact"/>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评估</w:t>
      </w:r>
      <w:r>
        <w:rPr>
          <w:rFonts w:hint="eastAsia" w:ascii="宋体" w:hAnsi="宋体"/>
          <w:sz w:val="28"/>
          <w:szCs w:val="28"/>
        </w:rPr>
        <w:t>准则—基本准则》；</w:t>
      </w:r>
    </w:p>
    <w:p>
      <w:pPr>
        <w:spacing w:line="540" w:lineRule="exact"/>
        <w:ind w:firstLine="560" w:firstLineChars="200"/>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评估</w:t>
      </w:r>
      <w:r>
        <w:rPr>
          <w:rFonts w:hint="eastAsia" w:ascii="宋体" w:hAnsi="宋体"/>
          <w:sz w:val="28"/>
          <w:szCs w:val="28"/>
        </w:rPr>
        <w:t>职业道德准则—基本准则》；</w:t>
      </w:r>
    </w:p>
    <w:p>
      <w:pPr>
        <w:spacing w:line="540" w:lineRule="exact"/>
        <w:ind w:firstLine="560" w:firstLineChars="200"/>
        <w:rPr>
          <w:rFonts w:hint="eastAsia" w:ascii="宋体" w:hAnsi="宋体"/>
          <w:sz w:val="28"/>
          <w:szCs w:val="28"/>
        </w:rPr>
      </w:pPr>
      <w:r>
        <w:rPr>
          <w:rFonts w:hint="eastAsia" w:ascii="宋体" w:hAnsi="宋体"/>
          <w:sz w:val="28"/>
          <w:szCs w:val="28"/>
        </w:rPr>
        <w:t>3、《</w:t>
      </w:r>
      <w:r>
        <w:rPr>
          <w:rFonts w:hint="eastAsia" w:ascii="宋体" w:hAnsi="宋体"/>
          <w:sz w:val="28"/>
          <w:szCs w:val="28"/>
          <w:lang w:eastAsia="zh-CN"/>
        </w:rPr>
        <w:t>评估</w:t>
      </w:r>
      <w:r>
        <w:rPr>
          <w:rFonts w:hint="eastAsia" w:ascii="宋体" w:hAnsi="宋体"/>
          <w:sz w:val="28"/>
          <w:szCs w:val="28"/>
        </w:rPr>
        <w:t>准则—</w:t>
      </w:r>
      <w:r>
        <w:rPr>
          <w:rFonts w:hint="eastAsia" w:ascii="宋体" w:hAnsi="宋体"/>
          <w:sz w:val="28"/>
          <w:szCs w:val="28"/>
          <w:lang w:eastAsia="zh-CN"/>
        </w:rPr>
        <w:t>评估</w:t>
      </w:r>
      <w:r>
        <w:rPr>
          <w:rFonts w:hint="eastAsia" w:ascii="宋体" w:hAnsi="宋体"/>
          <w:sz w:val="28"/>
          <w:szCs w:val="28"/>
        </w:rPr>
        <w:t>报告》；</w:t>
      </w:r>
    </w:p>
    <w:p>
      <w:pPr>
        <w:spacing w:line="540" w:lineRule="exact"/>
        <w:ind w:firstLine="560" w:firstLineChars="200"/>
        <w:rPr>
          <w:rFonts w:hint="eastAsia" w:ascii="宋体" w:hAnsi="宋体"/>
          <w:sz w:val="28"/>
          <w:szCs w:val="28"/>
        </w:rPr>
      </w:pPr>
      <w:r>
        <w:rPr>
          <w:rFonts w:hint="eastAsia" w:ascii="宋体" w:hAnsi="宋体"/>
          <w:sz w:val="28"/>
          <w:szCs w:val="28"/>
        </w:rPr>
        <w:t>4、《</w:t>
      </w:r>
      <w:r>
        <w:rPr>
          <w:rFonts w:hint="eastAsia" w:ascii="宋体" w:hAnsi="宋体"/>
          <w:sz w:val="28"/>
          <w:szCs w:val="28"/>
          <w:lang w:eastAsia="zh-CN"/>
        </w:rPr>
        <w:t>评估</w:t>
      </w:r>
      <w:r>
        <w:rPr>
          <w:rFonts w:hint="eastAsia" w:ascii="宋体" w:hAnsi="宋体"/>
          <w:sz w:val="28"/>
          <w:szCs w:val="28"/>
        </w:rPr>
        <w:t>准则—</w:t>
      </w:r>
      <w:r>
        <w:rPr>
          <w:rFonts w:hint="eastAsia" w:ascii="宋体" w:hAnsi="宋体"/>
          <w:sz w:val="28"/>
          <w:szCs w:val="28"/>
          <w:lang w:eastAsia="zh-CN"/>
        </w:rPr>
        <w:t>评估</w:t>
      </w:r>
      <w:r>
        <w:rPr>
          <w:rFonts w:hint="eastAsia" w:ascii="宋体" w:hAnsi="宋体"/>
          <w:sz w:val="28"/>
          <w:szCs w:val="28"/>
        </w:rPr>
        <w:t>程序》；</w:t>
      </w:r>
    </w:p>
    <w:p>
      <w:pPr>
        <w:spacing w:line="540" w:lineRule="exact"/>
        <w:ind w:firstLine="560" w:firstLineChars="200"/>
        <w:rPr>
          <w:rFonts w:hint="eastAsia" w:ascii="宋体" w:hAnsi="宋体"/>
          <w:sz w:val="28"/>
          <w:szCs w:val="28"/>
        </w:rPr>
      </w:pPr>
      <w:r>
        <w:rPr>
          <w:rFonts w:hint="eastAsia" w:ascii="宋体" w:hAnsi="宋体"/>
          <w:sz w:val="28"/>
          <w:szCs w:val="28"/>
        </w:rPr>
        <w:t>5、《</w:t>
      </w:r>
      <w:r>
        <w:rPr>
          <w:rFonts w:hint="eastAsia" w:ascii="宋体" w:hAnsi="宋体"/>
          <w:sz w:val="28"/>
          <w:szCs w:val="28"/>
          <w:lang w:eastAsia="zh-CN"/>
        </w:rPr>
        <w:t>评估</w:t>
      </w:r>
      <w:r>
        <w:rPr>
          <w:rFonts w:hint="eastAsia" w:ascii="宋体" w:hAnsi="宋体"/>
          <w:sz w:val="28"/>
          <w:szCs w:val="28"/>
        </w:rPr>
        <w:t>准则—</w:t>
      </w:r>
      <w:r>
        <w:rPr>
          <w:rFonts w:hint="eastAsia" w:ascii="宋体" w:hAnsi="宋体"/>
          <w:color w:val="FF0000"/>
          <w:sz w:val="28"/>
          <w:szCs w:val="28"/>
          <w:lang w:eastAsia="zh-CN"/>
        </w:rPr>
        <w:t>评估鉴定委托书</w:t>
      </w:r>
      <w:r>
        <w:rPr>
          <w:rFonts w:hint="eastAsia" w:ascii="宋体" w:hAnsi="宋体"/>
          <w:sz w:val="28"/>
          <w:szCs w:val="28"/>
        </w:rPr>
        <w:t>》；</w:t>
      </w:r>
    </w:p>
    <w:p>
      <w:pPr>
        <w:spacing w:line="540" w:lineRule="exact"/>
        <w:ind w:firstLine="560" w:firstLineChars="200"/>
        <w:rPr>
          <w:rFonts w:hint="eastAsia" w:ascii="宋体" w:hAnsi="宋体"/>
          <w:sz w:val="28"/>
          <w:szCs w:val="28"/>
        </w:rPr>
      </w:pPr>
      <w:r>
        <w:rPr>
          <w:rFonts w:hint="eastAsia" w:ascii="宋体" w:hAnsi="宋体"/>
          <w:sz w:val="28"/>
          <w:szCs w:val="28"/>
        </w:rPr>
        <w:t>6、《</w:t>
      </w:r>
      <w:r>
        <w:rPr>
          <w:rFonts w:hint="eastAsia" w:ascii="宋体" w:hAnsi="宋体"/>
          <w:sz w:val="28"/>
          <w:szCs w:val="28"/>
          <w:lang w:eastAsia="zh-CN"/>
        </w:rPr>
        <w:t>评估</w:t>
      </w:r>
      <w:r>
        <w:rPr>
          <w:rFonts w:hint="eastAsia" w:ascii="宋体" w:hAnsi="宋体"/>
          <w:sz w:val="28"/>
          <w:szCs w:val="28"/>
        </w:rPr>
        <w:t>价值类型指导意见》；</w:t>
      </w:r>
    </w:p>
    <w:p>
      <w:pPr>
        <w:spacing w:line="540" w:lineRule="exact"/>
        <w:ind w:firstLine="560" w:firstLineChars="200"/>
        <w:rPr>
          <w:rFonts w:hint="eastAsia" w:ascii="宋体" w:hAnsi="宋体"/>
          <w:sz w:val="28"/>
          <w:szCs w:val="28"/>
        </w:rPr>
      </w:pPr>
      <w:r>
        <w:rPr>
          <w:rFonts w:hint="eastAsia" w:ascii="宋体" w:hAnsi="宋体"/>
          <w:sz w:val="28"/>
          <w:szCs w:val="28"/>
        </w:rPr>
        <w:t>7、《</w:t>
      </w:r>
      <w:r>
        <w:rPr>
          <w:rFonts w:hint="eastAsia" w:ascii="宋体" w:hAnsi="宋体"/>
          <w:sz w:val="28"/>
          <w:szCs w:val="28"/>
          <w:lang w:eastAsia="zh-CN"/>
        </w:rPr>
        <w:t>评估</w:t>
      </w:r>
      <w:r>
        <w:rPr>
          <w:rFonts w:hint="eastAsia" w:ascii="宋体" w:hAnsi="宋体"/>
          <w:sz w:val="28"/>
          <w:szCs w:val="28"/>
        </w:rPr>
        <w:t>准则—不动产》；</w:t>
      </w:r>
    </w:p>
    <w:p>
      <w:pPr>
        <w:spacing w:line="540" w:lineRule="exact"/>
        <w:ind w:firstLine="560" w:firstLineChars="200"/>
        <w:rPr>
          <w:rFonts w:hint="eastAsia" w:ascii="宋体" w:hAnsi="宋体"/>
          <w:sz w:val="28"/>
          <w:szCs w:val="28"/>
        </w:rPr>
      </w:pPr>
      <w:r>
        <w:rPr>
          <w:rFonts w:hint="eastAsia" w:ascii="宋体" w:hAnsi="宋体"/>
          <w:sz w:val="28"/>
          <w:szCs w:val="28"/>
        </w:rPr>
        <w:t>8、《企业</w:t>
      </w:r>
      <w:r>
        <w:rPr>
          <w:rFonts w:hint="eastAsia" w:ascii="宋体" w:hAnsi="宋体"/>
          <w:sz w:val="28"/>
          <w:szCs w:val="28"/>
          <w:lang w:eastAsia="zh-CN"/>
        </w:rPr>
        <w:t>评估</w:t>
      </w:r>
      <w:r>
        <w:rPr>
          <w:rFonts w:hint="eastAsia" w:ascii="宋体" w:hAnsi="宋体"/>
          <w:sz w:val="28"/>
          <w:szCs w:val="28"/>
        </w:rPr>
        <w:t>报告指南》。</w:t>
      </w:r>
    </w:p>
    <w:p>
      <w:pPr>
        <w:spacing w:line="540" w:lineRule="exact"/>
        <w:ind w:firstLine="560" w:firstLineChars="200"/>
        <w:rPr>
          <w:rFonts w:hint="eastAsia" w:ascii="宋体" w:hAnsi="宋体"/>
          <w:sz w:val="28"/>
          <w:szCs w:val="28"/>
        </w:rPr>
      </w:pPr>
      <w:r>
        <w:rPr>
          <w:rFonts w:hint="eastAsia" w:ascii="宋体" w:hAnsi="宋体"/>
          <w:sz w:val="28"/>
          <w:szCs w:val="28"/>
        </w:rPr>
        <w:t>（三）权属依据</w:t>
      </w:r>
    </w:p>
    <w:p>
      <w:pPr>
        <w:spacing w:line="540" w:lineRule="exact"/>
        <w:ind w:firstLine="560" w:firstLineChars="200"/>
        <w:rPr>
          <w:rFonts w:hint="eastAsia" w:ascii="宋体" w:hAnsi="宋体"/>
          <w:color w:val="FF0000"/>
          <w:sz w:val="28"/>
          <w:szCs w:val="28"/>
          <w:lang w:eastAsia="zh-CN"/>
        </w:rPr>
      </w:pPr>
      <w:r>
        <w:rPr>
          <w:rFonts w:hint="eastAsia" w:ascii="宋体" w:hAnsi="宋体"/>
          <w:color w:val="FF0000"/>
          <w:sz w:val="28"/>
          <w:szCs w:val="28"/>
          <w:lang w:eastAsia="zh-CN"/>
        </w:rPr>
        <w:t>房屋产权证。</w:t>
      </w:r>
    </w:p>
    <w:p>
      <w:pPr>
        <w:spacing w:line="540" w:lineRule="exact"/>
        <w:ind w:firstLine="560" w:firstLineChars="200"/>
        <w:rPr>
          <w:rFonts w:hint="eastAsia" w:ascii="宋体" w:hAnsi="宋体"/>
          <w:sz w:val="28"/>
          <w:szCs w:val="28"/>
        </w:rPr>
      </w:pPr>
      <w:r>
        <w:rPr>
          <w:rFonts w:hint="eastAsia" w:ascii="宋体" w:hAnsi="宋体"/>
          <w:sz w:val="28"/>
          <w:szCs w:val="28"/>
        </w:rPr>
        <w:t>（四）取价依据</w:t>
      </w:r>
    </w:p>
    <w:p>
      <w:pPr>
        <w:spacing w:line="540" w:lineRule="exact"/>
        <w:ind w:firstLine="560" w:firstLineChars="200"/>
        <w:rPr>
          <w:rFonts w:hint="eastAsia" w:ascii="宋体" w:hAnsi="宋体"/>
          <w:sz w:val="28"/>
          <w:szCs w:val="28"/>
        </w:rPr>
      </w:pPr>
      <w:r>
        <w:rPr>
          <w:rFonts w:hint="eastAsia" w:ascii="宋体" w:hAnsi="宋体"/>
          <w:sz w:val="28"/>
          <w:szCs w:val="28"/>
        </w:rPr>
        <w:t>1．《中华人民共和国物权法》2007年3月16日第十届全国人民代表大会第五次会议通过；</w:t>
      </w:r>
    </w:p>
    <w:p>
      <w:pPr>
        <w:spacing w:line="540" w:lineRule="exact"/>
        <w:ind w:firstLine="560" w:firstLineChars="200"/>
        <w:rPr>
          <w:rFonts w:hint="eastAsia" w:ascii="宋体" w:hAnsi="宋体"/>
          <w:sz w:val="28"/>
          <w:szCs w:val="28"/>
        </w:rPr>
      </w:pPr>
      <w:r>
        <w:rPr>
          <w:rFonts w:hint="eastAsia" w:ascii="宋体" w:hAnsi="宋体"/>
          <w:sz w:val="28"/>
          <w:szCs w:val="28"/>
        </w:rPr>
        <w:t>2．《中华人民共和国土地管理法》第十届全国人民代表大会常务委员会第十一次会议修订，2004.8.28;</w:t>
      </w:r>
    </w:p>
    <w:p>
      <w:pPr>
        <w:spacing w:line="540" w:lineRule="exact"/>
        <w:ind w:firstLine="560" w:firstLineChars="200"/>
        <w:rPr>
          <w:rFonts w:hint="eastAsia" w:ascii="宋体" w:hAnsi="宋体"/>
          <w:sz w:val="28"/>
          <w:szCs w:val="28"/>
        </w:rPr>
      </w:pPr>
      <w:r>
        <w:rPr>
          <w:rFonts w:hint="eastAsia" w:ascii="宋体" w:hAnsi="宋体"/>
          <w:sz w:val="28"/>
          <w:szCs w:val="28"/>
        </w:rPr>
        <w:t>3．《中华人民共和国城市房地产管理法》中华人民共和国主席令第29号公布，1994.7.5；</w:t>
      </w:r>
    </w:p>
    <w:p>
      <w:pPr>
        <w:spacing w:line="540" w:lineRule="exact"/>
        <w:ind w:firstLine="560" w:firstLineChars="200"/>
        <w:rPr>
          <w:rFonts w:hint="eastAsia" w:ascii="宋体" w:hAnsi="宋体"/>
          <w:sz w:val="28"/>
          <w:szCs w:val="28"/>
        </w:rPr>
      </w:pPr>
      <w:r>
        <w:rPr>
          <w:rFonts w:hint="eastAsia" w:ascii="宋体" w:hAnsi="宋体"/>
          <w:sz w:val="28"/>
          <w:szCs w:val="28"/>
        </w:rPr>
        <w:t>4．《中华人民共和国城乡规划法》中华人民共和国主席令第74号公布，2007.10.28；</w:t>
      </w:r>
    </w:p>
    <w:p>
      <w:pPr>
        <w:spacing w:line="540" w:lineRule="exact"/>
        <w:ind w:firstLine="560" w:firstLineChars="200"/>
        <w:rPr>
          <w:rFonts w:hint="eastAsia" w:ascii="宋体" w:hAnsi="宋体"/>
          <w:sz w:val="28"/>
          <w:szCs w:val="28"/>
        </w:rPr>
      </w:pPr>
      <w:r>
        <w:rPr>
          <w:rFonts w:hint="eastAsia" w:ascii="宋体" w:hAnsi="宋体"/>
          <w:sz w:val="28"/>
          <w:szCs w:val="28"/>
        </w:rPr>
        <w:t>5．《中华人民共和国行政许可法》中华人民共和国主席令（第七号），2004年7月1日起施行；</w:t>
      </w:r>
    </w:p>
    <w:p>
      <w:pPr>
        <w:spacing w:line="540" w:lineRule="exact"/>
        <w:ind w:firstLine="560" w:firstLineChars="200"/>
        <w:rPr>
          <w:rFonts w:hint="eastAsia" w:ascii="宋体" w:hAnsi="宋体"/>
          <w:sz w:val="28"/>
          <w:szCs w:val="28"/>
        </w:rPr>
      </w:pPr>
      <w:r>
        <w:rPr>
          <w:rFonts w:hint="eastAsia" w:ascii="宋体" w:hAnsi="宋体"/>
          <w:sz w:val="28"/>
          <w:szCs w:val="28"/>
        </w:rPr>
        <w:t>6．《中华人民共和国合同法》中华人民共和国主席令第15号，1999.3.15；</w:t>
      </w:r>
    </w:p>
    <w:p>
      <w:pPr>
        <w:spacing w:line="540" w:lineRule="exact"/>
        <w:ind w:firstLine="560" w:firstLineChars="200"/>
        <w:rPr>
          <w:rFonts w:hint="eastAsia" w:ascii="宋体" w:hAnsi="宋体"/>
          <w:sz w:val="28"/>
          <w:szCs w:val="28"/>
        </w:rPr>
      </w:pPr>
      <w:r>
        <w:rPr>
          <w:rFonts w:hint="eastAsia" w:ascii="宋体" w:hAnsi="宋体"/>
          <w:sz w:val="28"/>
          <w:szCs w:val="28"/>
        </w:rPr>
        <w:t>7．《中华人民共和国城镇国有土地使用权出让和转让暂行条例》国务院令第55号，1990.5.19；</w:t>
      </w:r>
    </w:p>
    <w:p>
      <w:pPr>
        <w:spacing w:line="540" w:lineRule="exact"/>
        <w:ind w:firstLine="560" w:firstLineChars="200"/>
        <w:rPr>
          <w:rFonts w:hint="eastAsia" w:ascii="宋体" w:hAnsi="宋体"/>
          <w:sz w:val="28"/>
          <w:szCs w:val="28"/>
        </w:rPr>
      </w:pPr>
      <w:r>
        <w:rPr>
          <w:rFonts w:hint="eastAsia" w:ascii="宋体" w:hAnsi="宋体"/>
          <w:sz w:val="28"/>
          <w:szCs w:val="28"/>
        </w:rPr>
        <w:t>8．《中华人民共和国土地管理实施条例》国务院令第256号，1998.12.24；</w:t>
      </w:r>
    </w:p>
    <w:p>
      <w:pPr>
        <w:spacing w:line="540" w:lineRule="exact"/>
        <w:ind w:firstLine="560" w:firstLineChars="200"/>
        <w:rPr>
          <w:rFonts w:hint="eastAsia" w:ascii="宋体" w:hAnsi="宋体"/>
          <w:sz w:val="28"/>
          <w:szCs w:val="28"/>
        </w:rPr>
      </w:pPr>
      <w:r>
        <w:rPr>
          <w:rFonts w:hint="eastAsia" w:ascii="宋体" w:hAnsi="宋体"/>
          <w:sz w:val="28"/>
          <w:szCs w:val="28"/>
        </w:rPr>
        <w:t>9．《关于加强国有土地资产管理的通知》国发[2001]15号；</w:t>
      </w:r>
    </w:p>
    <w:p>
      <w:pPr>
        <w:spacing w:line="540" w:lineRule="exact"/>
        <w:ind w:firstLine="560" w:firstLineChars="200"/>
        <w:rPr>
          <w:rFonts w:hint="eastAsia" w:ascii="宋体" w:hAnsi="宋体"/>
          <w:sz w:val="28"/>
          <w:szCs w:val="28"/>
        </w:rPr>
      </w:pPr>
      <w:r>
        <w:rPr>
          <w:rFonts w:hint="eastAsia" w:ascii="宋体" w:hAnsi="宋体"/>
          <w:sz w:val="28"/>
          <w:szCs w:val="28"/>
        </w:rPr>
        <w:t>10．国土资源部《关于做好当前土地登记和城镇地籍调查工作的通知》国土资发[2000]105号；</w:t>
      </w:r>
    </w:p>
    <w:p>
      <w:pPr>
        <w:spacing w:line="540" w:lineRule="exact"/>
        <w:ind w:firstLine="560" w:firstLineChars="200"/>
        <w:rPr>
          <w:rFonts w:hint="eastAsia" w:ascii="宋体" w:hAnsi="宋体"/>
          <w:sz w:val="28"/>
          <w:szCs w:val="28"/>
        </w:rPr>
      </w:pPr>
      <w:r>
        <w:rPr>
          <w:rFonts w:hint="eastAsia" w:ascii="宋体" w:hAnsi="宋体"/>
          <w:sz w:val="28"/>
          <w:szCs w:val="28"/>
        </w:rPr>
        <w:t>11．国土资源部《关于改革土地估价结果确认和土地资产处置审批颁发的通知》国土资发[2001]44号；</w:t>
      </w:r>
    </w:p>
    <w:p>
      <w:pPr>
        <w:spacing w:line="540" w:lineRule="exact"/>
        <w:ind w:firstLine="560" w:firstLineChars="200"/>
        <w:rPr>
          <w:rFonts w:hint="eastAsia" w:ascii="宋体" w:hAnsi="宋体"/>
          <w:sz w:val="28"/>
          <w:szCs w:val="28"/>
        </w:rPr>
      </w:pPr>
      <w:r>
        <w:rPr>
          <w:rFonts w:hint="eastAsia" w:ascii="宋体" w:hAnsi="宋体"/>
          <w:sz w:val="28"/>
          <w:szCs w:val="28"/>
        </w:rPr>
        <w:t>12．《吉林省土地管理条例》吉林省第九届人民代表大会常务委员会公告第92号，2002.8.2；</w:t>
      </w:r>
    </w:p>
    <w:p>
      <w:pPr>
        <w:spacing w:line="540" w:lineRule="exact"/>
        <w:ind w:firstLine="560" w:firstLineChars="200"/>
        <w:rPr>
          <w:rFonts w:hint="eastAsia" w:ascii="宋体" w:hAnsi="宋体"/>
          <w:sz w:val="28"/>
          <w:szCs w:val="28"/>
        </w:rPr>
      </w:pPr>
      <w:r>
        <w:rPr>
          <w:rFonts w:hint="eastAsia" w:ascii="宋体" w:hAnsi="宋体"/>
          <w:sz w:val="28"/>
          <w:szCs w:val="28"/>
        </w:rPr>
        <w:t>13．白城市城市总体规划（1996-2020）—白城市人民政府，中华人民共和国国务院1999.5.14批复；</w:t>
      </w:r>
    </w:p>
    <w:p>
      <w:pPr>
        <w:spacing w:line="540" w:lineRule="exact"/>
        <w:ind w:firstLine="560" w:firstLineChars="200"/>
        <w:rPr>
          <w:rFonts w:hint="eastAsia" w:ascii="宋体" w:hAnsi="宋体"/>
          <w:sz w:val="28"/>
          <w:szCs w:val="28"/>
        </w:rPr>
      </w:pPr>
      <w:r>
        <w:rPr>
          <w:rFonts w:hint="eastAsia" w:ascii="宋体" w:hAnsi="宋体"/>
          <w:sz w:val="28"/>
          <w:szCs w:val="28"/>
        </w:rPr>
        <w:t>14．《白城市土地管理细则》，2004.7.28；</w:t>
      </w:r>
    </w:p>
    <w:p>
      <w:pPr>
        <w:spacing w:line="540" w:lineRule="exact"/>
        <w:ind w:firstLine="560" w:firstLineChars="200"/>
        <w:rPr>
          <w:rFonts w:hint="eastAsia" w:ascii="宋体" w:hAnsi="宋体"/>
          <w:sz w:val="28"/>
          <w:szCs w:val="28"/>
        </w:rPr>
      </w:pPr>
      <w:r>
        <w:rPr>
          <w:rFonts w:hint="eastAsia" w:ascii="宋体" w:hAnsi="宋体"/>
          <w:sz w:val="28"/>
          <w:szCs w:val="28"/>
        </w:rPr>
        <w:t>15．白城市人民政府关于公布实施白城市区征地区片综合地价的通知（白府发[2010] 8号）；</w:t>
      </w:r>
    </w:p>
    <w:p>
      <w:pPr>
        <w:spacing w:line="540" w:lineRule="exact"/>
        <w:ind w:firstLine="560" w:firstLineChars="200"/>
        <w:rPr>
          <w:rFonts w:hint="eastAsia" w:ascii="宋体" w:hAnsi="宋体"/>
          <w:sz w:val="28"/>
          <w:szCs w:val="28"/>
        </w:rPr>
      </w:pPr>
      <w:r>
        <w:rPr>
          <w:rFonts w:hint="eastAsia" w:ascii="宋体" w:hAnsi="宋体"/>
          <w:sz w:val="28"/>
          <w:szCs w:val="28"/>
        </w:rPr>
        <w:t>16．白城市人民政府关于公布实施白城市区基准地价等土地价格的通知（白府发[2010] 9号）；</w:t>
      </w:r>
    </w:p>
    <w:p>
      <w:pPr>
        <w:spacing w:line="540" w:lineRule="exact"/>
        <w:ind w:firstLine="560" w:firstLineChars="200"/>
        <w:rPr>
          <w:rFonts w:hint="eastAsia" w:ascii="宋体" w:hAnsi="宋体"/>
          <w:sz w:val="28"/>
          <w:szCs w:val="28"/>
          <w:lang w:eastAsia="zh-CN"/>
        </w:rPr>
      </w:pPr>
      <w:r>
        <w:rPr>
          <w:rFonts w:hint="eastAsia" w:ascii="宋体" w:hAnsi="宋体"/>
          <w:sz w:val="28"/>
          <w:szCs w:val="28"/>
        </w:rPr>
        <w:t>17．《白城市区中心团商业用地级别基准地价图》，白城市国土资源局编制2010年</w:t>
      </w:r>
      <w:r>
        <w:rPr>
          <w:rFonts w:hint="eastAsia" w:ascii="宋体" w:hAnsi="宋体"/>
          <w:sz w:val="28"/>
          <w:szCs w:val="28"/>
          <w:lang w:eastAsia="zh-CN"/>
        </w:rPr>
        <w:t>；</w:t>
      </w:r>
    </w:p>
    <w:p>
      <w:pPr>
        <w:spacing w:line="540" w:lineRule="exact"/>
        <w:ind w:firstLine="560" w:firstLineChars="200"/>
        <w:rPr>
          <w:rFonts w:hint="eastAsia" w:ascii="宋体" w:hAnsi="宋体"/>
          <w:sz w:val="28"/>
          <w:szCs w:val="28"/>
          <w:lang w:eastAsia="zh-CN"/>
        </w:rPr>
      </w:pPr>
      <w:r>
        <w:rPr>
          <w:rFonts w:hint="eastAsia" w:ascii="宋体" w:hAnsi="宋体"/>
          <w:sz w:val="28"/>
          <w:szCs w:val="28"/>
        </w:rPr>
        <w:t>18. 《白城市人民政府关于调整城镇土地使用税土地纳税等级范围和税额标准的通知》（白府发[2007]25号）</w:t>
      </w:r>
      <w:r>
        <w:rPr>
          <w:rFonts w:hint="eastAsia" w:ascii="宋体" w:hAnsi="宋体"/>
          <w:sz w:val="28"/>
          <w:szCs w:val="28"/>
          <w:lang w:eastAsia="zh-CN"/>
        </w:rPr>
        <w:t>；</w:t>
      </w:r>
    </w:p>
    <w:p>
      <w:pPr>
        <w:spacing w:line="540" w:lineRule="exact"/>
        <w:ind w:firstLine="560" w:firstLineChars="200"/>
        <w:rPr>
          <w:rFonts w:hint="eastAsia" w:ascii="宋体" w:hAnsi="宋体"/>
          <w:sz w:val="28"/>
          <w:szCs w:val="28"/>
        </w:rPr>
      </w:pPr>
      <w:r>
        <w:rPr>
          <w:rFonts w:hint="eastAsia" w:ascii="宋体" w:hAnsi="宋体"/>
          <w:sz w:val="28"/>
          <w:szCs w:val="28"/>
        </w:rPr>
        <w:t>19．中华人民共和国国家标准《城镇土地估价规程》GB/T 18508—2001；</w:t>
      </w:r>
    </w:p>
    <w:p>
      <w:pPr>
        <w:spacing w:line="540" w:lineRule="exact"/>
        <w:ind w:firstLine="560" w:firstLineChars="200"/>
        <w:rPr>
          <w:rFonts w:hint="eastAsia" w:ascii="宋体" w:hAnsi="宋体"/>
          <w:sz w:val="28"/>
          <w:szCs w:val="28"/>
        </w:rPr>
      </w:pPr>
      <w:r>
        <w:rPr>
          <w:rFonts w:hint="eastAsia" w:ascii="宋体" w:hAnsi="宋体"/>
          <w:sz w:val="28"/>
          <w:szCs w:val="28"/>
        </w:rPr>
        <w:t>20. 中华人民共和国国家标准《城镇土地分等定级规程》GB/T 18507—2001；</w:t>
      </w:r>
    </w:p>
    <w:p>
      <w:pPr>
        <w:spacing w:line="540" w:lineRule="exact"/>
        <w:ind w:firstLine="560" w:firstLineChars="200"/>
        <w:rPr>
          <w:rFonts w:hint="eastAsia" w:ascii="宋体" w:hAnsi="宋体"/>
          <w:sz w:val="28"/>
          <w:szCs w:val="28"/>
        </w:rPr>
      </w:pPr>
      <w:r>
        <w:rPr>
          <w:rFonts w:hint="eastAsia" w:ascii="宋体" w:hAnsi="宋体"/>
          <w:sz w:val="28"/>
          <w:szCs w:val="28"/>
        </w:rPr>
        <w:t>21．中华人民共和国国家标准《土地利用现状分类》GB/T 21010—2007；</w:t>
      </w:r>
    </w:p>
    <w:p>
      <w:pPr>
        <w:spacing w:line="540" w:lineRule="exact"/>
        <w:ind w:firstLine="560" w:firstLineChars="200"/>
        <w:rPr>
          <w:rFonts w:hint="eastAsia" w:ascii="宋体" w:hAnsi="宋体"/>
          <w:sz w:val="28"/>
          <w:szCs w:val="28"/>
        </w:rPr>
      </w:pPr>
      <w:r>
        <w:rPr>
          <w:rFonts w:hint="eastAsia" w:ascii="宋体" w:hAnsi="宋体"/>
          <w:sz w:val="28"/>
          <w:szCs w:val="28"/>
        </w:rPr>
        <w:t>22.《吉林省市政工程计价定额》;</w:t>
      </w:r>
    </w:p>
    <w:p>
      <w:pPr>
        <w:spacing w:line="540" w:lineRule="exact"/>
        <w:ind w:firstLine="560" w:firstLineChars="200"/>
        <w:rPr>
          <w:rFonts w:hint="eastAsia" w:ascii="宋体" w:hAnsi="宋体"/>
          <w:sz w:val="28"/>
          <w:szCs w:val="28"/>
        </w:rPr>
      </w:pPr>
      <w:r>
        <w:rPr>
          <w:rFonts w:hint="eastAsia" w:ascii="宋体" w:hAnsi="宋体"/>
          <w:sz w:val="28"/>
          <w:szCs w:val="28"/>
        </w:rPr>
        <w:t>23.《吉林省建设工程材料预算价格》；</w:t>
      </w:r>
    </w:p>
    <w:p>
      <w:pPr>
        <w:spacing w:line="540" w:lineRule="exact"/>
        <w:ind w:firstLine="560" w:firstLineChars="200"/>
        <w:rPr>
          <w:rFonts w:hint="eastAsia" w:ascii="宋体" w:hAnsi="宋体"/>
          <w:sz w:val="28"/>
          <w:szCs w:val="28"/>
        </w:rPr>
      </w:pPr>
      <w:r>
        <w:rPr>
          <w:rFonts w:hint="eastAsia" w:ascii="宋体" w:hAnsi="宋体"/>
          <w:sz w:val="28"/>
          <w:szCs w:val="28"/>
        </w:rPr>
        <w:t>24.《吉林省建设工程费用定额》；</w:t>
      </w:r>
    </w:p>
    <w:p>
      <w:pPr>
        <w:spacing w:line="540" w:lineRule="exact"/>
        <w:ind w:firstLine="560" w:firstLineChars="200"/>
        <w:rPr>
          <w:rFonts w:hint="eastAsia" w:ascii="宋体" w:hAnsi="宋体"/>
          <w:sz w:val="28"/>
          <w:szCs w:val="28"/>
        </w:rPr>
      </w:pPr>
      <w:r>
        <w:rPr>
          <w:rFonts w:hint="eastAsia" w:ascii="宋体" w:hAnsi="宋体"/>
          <w:sz w:val="28"/>
          <w:szCs w:val="28"/>
        </w:rPr>
        <w:t>25．吉林省白城市2012年工程造价信息；</w:t>
      </w:r>
    </w:p>
    <w:p>
      <w:pPr>
        <w:spacing w:line="540" w:lineRule="exact"/>
        <w:ind w:firstLine="560" w:firstLineChars="200"/>
        <w:rPr>
          <w:rFonts w:hint="eastAsia" w:ascii="宋体" w:hAnsi="宋体"/>
          <w:sz w:val="28"/>
          <w:szCs w:val="28"/>
        </w:rPr>
      </w:pPr>
      <w:r>
        <w:rPr>
          <w:rFonts w:hint="eastAsia" w:ascii="宋体" w:hAnsi="宋体"/>
          <w:sz w:val="28"/>
          <w:szCs w:val="28"/>
        </w:rPr>
        <w:t>26．委托方提供的《建设用地许可证》及有关资料。</w:t>
      </w:r>
    </w:p>
    <w:p>
      <w:pPr>
        <w:spacing w:line="540" w:lineRule="exact"/>
        <w:ind w:firstLine="420" w:firstLineChars="150"/>
        <w:rPr>
          <w:rFonts w:hint="eastAsia" w:ascii="宋体" w:hAnsi="宋体"/>
          <w:sz w:val="28"/>
          <w:szCs w:val="28"/>
        </w:rPr>
      </w:pPr>
      <w:r>
        <w:rPr>
          <w:rFonts w:hint="eastAsia" w:ascii="宋体" w:hAnsi="宋体"/>
          <w:sz w:val="28"/>
          <w:szCs w:val="28"/>
        </w:rPr>
        <w:t>（五）行为依据</w:t>
      </w:r>
    </w:p>
    <w:p>
      <w:pPr>
        <w:adjustRightInd w:val="0"/>
        <w:snapToGrid w:val="0"/>
        <w:spacing w:line="540" w:lineRule="exact"/>
        <w:ind w:firstLine="560" w:firstLineChars="200"/>
        <w:rPr>
          <w:rFonts w:hint="eastAsia" w:ascii="宋体" w:hAnsi="宋体"/>
          <w:color w:val="0000FF"/>
          <w:spacing w:val="0"/>
          <w:sz w:val="28"/>
          <w:szCs w:val="28"/>
          <w:lang w:eastAsia="zh-CN"/>
        </w:rPr>
      </w:pPr>
      <w:r>
        <w:rPr>
          <w:rFonts w:hint="eastAsia" w:ascii="宋体" w:hAnsi="宋体"/>
          <w:color w:val="0000FF"/>
          <w:spacing w:val="0"/>
          <w:sz w:val="28"/>
          <w:szCs w:val="28"/>
          <w:lang w:eastAsia="zh-CN"/>
        </w:rPr>
        <w:t>大安市人民法院出具的评估、鉴定委托书。</w:t>
      </w:r>
    </w:p>
    <w:p>
      <w:pPr>
        <w:adjustRightInd w:val="0"/>
        <w:snapToGrid w:val="0"/>
        <w:spacing w:line="540" w:lineRule="exact"/>
        <w:rPr>
          <w:rFonts w:hint="eastAsia" w:ascii="宋体" w:hAnsi="宋体"/>
          <w:b/>
          <w:color w:val="000000"/>
          <w:sz w:val="28"/>
          <w:szCs w:val="28"/>
        </w:rPr>
      </w:pPr>
      <w:r>
        <w:rPr>
          <w:rFonts w:hint="eastAsia" w:ascii="宋体" w:hAnsi="宋体"/>
          <w:b/>
          <w:bCs/>
          <w:sz w:val="28"/>
          <w:szCs w:val="28"/>
        </w:rPr>
        <w:t>七、评估方法</w:t>
      </w:r>
    </w:p>
    <w:p>
      <w:pPr>
        <w:pStyle w:val="6"/>
        <w:ind w:firstLine="560" w:firstLineChars="200"/>
        <w:rPr>
          <w:rFonts w:hint="eastAsia" w:hAnsi="宋体"/>
          <w:color w:val="000000"/>
          <w:szCs w:val="28"/>
        </w:rPr>
      </w:pPr>
      <w:r>
        <w:rPr>
          <w:rFonts w:hint="eastAsia" w:hAnsi="宋体"/>
          <w:color w:val="000000"/>
          <w:szCs w:val="28"/>
        </w:rPr>
        <w:t>评估方法根据目前准则要求可采用评估方法：采用</w:t>
      </w:r>
      <w:r>
        <w:rPr>
          <w:rFonts w:hint="eastAsia" w:hAnsi="宋体"/>
          <w:color w:val="000000"/>
          <w:szCs w:val="28"/>
          <w:lang w:eastAsia="zh-CN"/>
        </w:rPr>
        <w:t>市场法</w:t>
      </w:r>
      <w:r>
        <w:rPr>
          <w:rFonts w:hint="eastAsia" w:hAnsi="宋体"/>
          <w:color w:val="000000"/>
          <w:szCs w:val="28"/>
        </w:rPr>
        <w:t>作为本次评估价格的基本方法。上述评估方法的选择是依据评估目的、评估假设、价值类型、资料可获得程度等相关条件，在充分满足评估目的前提下，以较充分、客观地揭示资产现实市场价值为基础，选择适宜的评估方法。</w:t>
      </w:r>
    </w:p>
    <w:p>
      <w:pPr>
        <w:pStyle w:val="6"/>
        <w:ind w:firstLine="560" w:firstLineChars="200"/>
        <w:rPr>
          <w:rFonts w:hint="eastAsia" w:hAnsi="宋体"/>
          <w:color w:val="000000"/>
          <w:szCs w:val="28"/>
        </w:rPr>
      </w:pPr>
      <w:r>
        <w:rPr>
          <w:rFonts w:hint="eastAsia" w:hAnsi="宋体"/>
          <w:color w:val="000000"/>
          <w:szCs w:val="28"/>
        </w:rPr>
        <w:t>根据本次评估目的、市场条件等，采用</w:t>
      </w:r>
      <w:r>
        <w:rPr>
          <w:rFonts w:hint="eastAsia" w:hAnsi="宋体"/>
          <w:color w:val="000000"/>
          <w:szCs w:val="28"/>
          <w:lang w:eastAsia="zh-CN"/>
        </w:rPr>
        <w:t>市场</w:t>
      </w:r>
      <w:r>
        <w:rPr>
          <w:rFonts w:hint="eastAsia" w:hAnsi="宋体"/>
          <w:color w:val="000000"/>
          <w:szCs w:val="28"/>
        </w:rPr>
        <w:t>法。</w:t>
      </w:r>
    </w:p>
    <w:p>
      <w:pPr>
        <w:pStyle w:val="4"/>
        <w:spacing w:line="540" w:lineRule="exact"/>
        <w:ind w:right="-165" w:rightChars="-79" w:firstLine="0" w:firstLineChars="0"/>
        <w:rPr>
          <w:rFonts w:hint="eastAsia"/>
          <w:b/>
          <w:sz w:val="28"/>
          <w:szCs w:val="28"/>
        </w:rPr>
      </w:pPr>
      <w:r>
        <w:rPr>
          <w:rFonts w:hint="eastAsia"/>
          <w:b/>
          <w:sz w:val="28"/>
          <w:szCs w:val="28"/>
        </w:rPr>
        <w:t>八、评估程序实施过程和情况</w:t>
      </w:r>
    </w:p>
    <w:p>
      <w:pPr>
        <w:adjustRightInd w:val="0"/>
        <w:snapToGrid w:val="0"/>
        <w:spacing w:line="540" w:lineRule="exact"/>
        <w:ind w:firstLine="560" w:firstLineChars="200"/>
        <w:rPr>
          <w:rFonts w:hint="eastAsia" w:ascii="宋体" w:hAnsi="宋体"/>
          <w:sz w:val="28"/>
          <w:szCs w:val="28"/>
        </w:rPr>
      </w:pPr>
      <w:r>
        <w:rPr>
          <w:rFonts w:hint="eastAsia" w:ascii="宋体" w:hAnsi="宋体"/>
          <w:sz w:val="28"/>
          <w:szCs w:val="28"/>
        </w:rPr>
        <w:t>本评估机构接受</w:t>
      </w:r>
      <w:r>
        <w:rPr>
          <w:rFonts w:hint="eastAsia" w:ascii="宋体" w:hAnsi="宋体"/>
          <w:sz w:val="28"/>
          <w:szCs w:val="28"/>
          <w:lang w:eastAsia="zh-CN"/>
        </w:rPr>
        <w:t>大安市人民法院</w:t>
      </w:r>
      <w:r>
        <w:rPr>
          <w:rFonts w:hint="eastAsia" w:ascii="宋体" w:hAnsi="宋体"/>
          <w:sz w:val="28"/>
          <w:szCs w:val="28"/>
        </w:rPr>
        <w:t>委托后，根据评估目的和评估范围及对象，选派评估先遣人员进点，配合</w:t>
      </w:r>
      <w:r>
        <w:rPr>
          <w:rFonts w:hint="eastAsia" w:ascii="宋体" w:hAnsi="宋体"/>
          <w:sz w:val="28"/>
          <w:szCs w:val="28"/>
          <w:lang w:eastAsia="zh-CN"/>
        </w:rPr>
        <w:t>大安市人民法院</w:t>
      </w:r>
      <w:r>
        <w:rPr>
          <w:rFonts w:hint="eastAsia" w:ascii="宋体" w:hAnsi="宋体"/>
          <w:sz w:val="28"/>
          <w:szCs w:val="28"/>
        </w:rPr>
        <w:t>进行评估前期准备工作，制订评估前期工作计划，开展评估工作。</w:t>
      </w:r>
    </w:p>
    <w:p>
      <w:pPr>
        <w:pStyle w:val="4"/>
        <w:spacing w:line="540" w:lineRule="exact"/>
        <w:ind w:firstLine="560"/>
        <w:rPr>
          <w:rFonts w:hint="eastAsia"/>
          <w:sz w:val="28"/>
          <w:szCs w:val="28"/>
        </w:rPr>
      </w:pPr>
      <w:r>
        <w:rPr>
          <w:rFonts w:hint="eastAsia"/>
          <w:sz w:val="28"/>
          <w:szCs w:val="28"/>
        </w:rPr>
        <w:t>根据评估准则，按照评估对象、评估范围、业务规模、评估资料收集情况等评估业务具体情况实施如下评估程序：</w:t>
      </w:r>
    </w:p>
    <w:p>
      <w:pPr>
        <w:pStyle w:val="4"/>
        <w:spacing w:line="540" w:lineRule="exact"/>
        <w:ind w:firstLine="560"/>
        <w:rPr>
          <w:rFonts w:hint="eastAsia"/>
          <w:sz w:val="28"/>
          <w:szCs w:val="28"/>
        </w:rPr>
      </w:pPr>
      <w:r>
        <w:rPr>
          <w:rFonts w:hint="eastAsia"/>
          <w:sz w:val="28"/>
          <w:szCs w:val="28"/>
        </w:rPr>
        <w:t>1、明确评估业务基本事项</w:t>
      </w:r>
    </w:p>
    <w:p>
      <w:pPr>
        <w:pStyle w:val="4"/>
        <w:spacing w:line="540" w:lineRule="exact"/>
        <w:ind w:firstLine="560"/>
        <w:rPr>
          <w:rFonts w:hint="eastAsia"/>
          <w:sz w:val="28"/>
          <w:szCs w:val="28"/>
        </w:rPr>
      </w:pPr>
      <w:r>
        <w:rPr>
          <w:rFonts w:hint="eastAsia"/>
          <w:sz w:val="28"/>
          <w:szCs w:val="28"/>
        </w:rPr>
        <w:t>（1）本项目</w:t>
      </w:r>
      <w:r>
        <w:rPr>
          <w:rFonts w:hint="eastAsia"/>
          <w:sz w:val="28"/>
          <w:szCs w:val="28"/>
          <w:lang w:eastAsia="zh-CN"/>
        </w:rPr>
        <w:t>价格鉴证评估师</w:t>
      </w:r>
      <w:r>
        <w:rPr>
          <w:rFonts w:hint="eastAsia"/>
          <w:sz w:val="28"/>
          <w:szCs w:val="28"/>
        </w:rPr>
        <w:t>明确评估业务的委托方和资产占有方以及其相互关系，以及评估报告使用者及其与委托方、资产占有方等相关当事方的关系；</w:t>
      </w:r>
    </w:p>
    <w:p>
      <w:pPr>
        <w:pStyle w:val="4"/>
        <w:spacing w:line="540" w:lineRule="exact"/>
        <w:ind w:firstLine="560"/>
        <w:rPr>
          <w:rFonts w:hint="eastAsia"/>
          <w:sz w:val="28"/>
          <w:szCs w:val="28"/>
        </w:rPr>
      </w:pPr>
      <w:r>
        <w:rPr>
          <w:rFonts w:hint="eastAsia"/>
          <w:sz w:val="28"/>
          <w:szCs w:val="28"/>
        </w:rPr>
        <w:t>（2）与委托方沟通，了解与评估业务相关的经济行为，明确评估目的，评估报告使用方式、评估对象和评估范围；</w:t>
      </w:r>
    </w:p>
    <w:p>
      <w:pPr>
        <w:pStyle w:val="4"/>
        <w:spacing w:line="540" w:lineRule="exact"/>
        <w:ind w:firstLine="560"/>
        <w:rPr>
          <w:rFonts w:hint="eastAsia"/>
          <w:sz w:val="28"/>
          <w:szCs w:val="28"/>
        </w:rPr>
      </w:pPr>
      <w:r>
        <w:rPr>
          <w:rFonts w:hint="eastAsia"/>
          <w:sz w:val="28"/>
          <w:szCs w:val="28"/>
        </w:rPr>
        <w:t>（3）了解评估对象基本情况及纳入评估范围资产的具体类型、分布情况和特性；</w:t>
      </w:r>
    </w:p>
    <w:p>
      <w:pPr>
        <w:pStyle w:val="4"/>
        <w:spacing w:line="540" w:lineRule="exact"/>
        <w:ind w:firstLine="560"/>
        <w:rPr>
          <w:rFonts w:hint="eastAsia"/>
          <w:sz w:val="28"/>
          <w:szCs w:val="28"/>
        </w:rPr>
      </w:pPr>
      <w:r>
        <w:rPr>
          <w:rFonts w:hint="eastAsia"/>
          <w:sz w:val="28"/>
          <w:szCs w:val="28"/>
        </w:rPr>
        <w:t>（4）与委托方沟通，明确评估基准日，了解可能影响评估结论的评估假设、限制条件，确定评估报告的类型、提交时间和方式。</w:t>
      </w:r>
    </w:p>
    <w:p>
      <w:pPr>
        <w:pStyle w:val="4"/>
        <w:spacing w:line="540" w:lineRule="exact"/>
        <w:ind w:firstLine="560"/>
        <w:rPr>
          <w:rFonts w:hint="eastAsia" w:eastAsiaTheme="minorEastAsia"/>
          <w:sz w:val="28"/>
          <w:szCs w:val="28"/>
          <w:lang w:eastAsia="zh-CN"/>
        </w:rPr>
      </w:pPr>
      <w:r>
        <w:rPr>
          <w:rFonts w:hint="eastAsia"/>
          <w:sz w:val="28"/>
          <w:szCs w:val="28"/>
        </w:rPr>
        <w:t>2、签订</w:t>
      </w:r>
      <w:r>
        <w:rPr>
          <w:rFonts w:hint="eastAsia" w:ascii="宋体" w:hAnsi="宋体"/>
          <w:color w:val="0000FF"/>
          <w:spacing w:val="0"/>
          <w:sz w:val="28"/>
          <w:szCs w:val="28"/>
          <w:lang w:eastAsia="zh-CN"/>
        </w:rPr>
        <w:t>大安市人民法院出具的评估、鉴定委托书</w:t>
      </w:r>
    </w:p>
    <w:p>
      <w:pPr>
        <w:pStyle w:val="4"/>
        <w:spacing w:line="540" w:lineRule="exact"/>
        <w:ind w:firstLine="560"/>
        <w:rPr>
          <w:rFonts w:hint="eastAsia"/>
          <w:sz w:val="28"/>
          <w:szCs w:val="28"/>
        </w:rPr>
      </w:pPr>
      <w:r>
        <w:rPr>
          <w:rFonts w:hint="eastAsia"/>
          <w:sz w:val="28"/>
          <w:szCs w:val="28"/>
        </w:rPr>
        <w:t>本项目</w:t>
      </w:r>
      <w:r>
        <w:rPr>
          <w:rFonts w:hint="eastAsia"/>
          <w:sz w:val="28"/>
          <w:szCs w:val="28"/>
          <w:lang w:eastAsia="zh-CN"/>
        </w:rPr>
        <w:t>价格鉴证评估师</w:t>
      </w:r>
      <w:r>
        <w:rPr>
          <w:rFonts w:hint="eastAsia"/>
          <w:sz w:val="28"/>
          <w:szCs w:val="28"/>
        </w:rPr>
        <w:t>在决定承接评估业务后，由本</w:t>
      </w:r>
      <w:r>
        <w:rPr>
          <w:rFonts w:hint="eastAsia"/>
          <w:sz w:val="28"/>
          <w:szCs w:val="28"/>
          <w:lang w:eastAsia="zh-CN"/>
        </w:rPr>
        <w:t>评估机构</w:t>
      </w:r>
      <w:r>
        <w:rPr>
          <w:rFonts w:hint="eastAsia"/>
          <w:sz w:val="28"/>
          <w:szCs w:val="28"/>
        </w:rPr>
        <w:t>与委托方签订</w:t>
      </w:r>
      <w:r>
        <w:rPr>
          <w:rFonts w:hint="eastAsia" w:ascii="宋体" w:hAnsi="宋体"/>
          <w:color w:val="0000FF"/>
          <w:spacing w:val="0"/>
          <w:sz w:val="28"/>
          <w:szCs w:val="28"/>
          <w:lang w:eastAsia="zh-CN"/>
        </w:rPr>
        <w:t>评估、鉴定委托书</w:t>
      </w:r>
      <w:r>
        <w:rPr>
          <w:rFonts w:hint="eastAsia"/>
          <w:sz w:val="28"/>
          <w:szCs w:val="28"/>
        </w:rPr>
        <w:t>。</w:t>
      </w:r>
    </w:p>
    <w:p>
      <w:pPr>
        <w:pStyle w:val="4"/>
        <w:spacing w:line="540" w:lineRule="exact"/>
        <w:ind w:firstLine="560"/>
        <w:rPr>
          <w:rFonts w:hint="eastAsia"/>
          <w:sz w:val="28"/>
          <w:szCs w:val="28"/>
        </w:rPr>
      </w:pPr>
      <w:r>
        <w:rPr>
          <w:rFonts w:hint="eastAsia"/>
          <w:sz w:val="28"/>
          <w:szCs w:val="28"/>
        </w:rPr>
        <w:t>3、编制评估计划</w:t>
      </w:r>
    </w:p>
    <w:p>
      <w:pPr>
        <w:pStyle w:val="4"/>
        <w:spacing w:line="540" w:lineRule="exact"/>
        <w:ind w:left="0" w:leftChars="0" w:firstLine="560" w:firstLineChars="200"/>
        <w:rPr>
          <w:rFonts w:hint="eastAsia" w:eastAsiaTheme="minorEastAsia"/>
          <w:sz w:val="28"/>
          <w:szCs w:val="28"/>
          <w:lang w:eastAsia="zh-CN"/>
        </w:rPr>
      </w:pPr>
      <w:r>
        <w:rPr>
          <w:rFonts w:hint="eastAsia"/>
          <w:sz w:val="28"/>
          <w:szCs w:val="28"/>
        </w:rPr>
        <w:t>本项目</w:t>
      </w:r>
      <w:r>
        <w:rPr>
          <w:rFonts w:hint="eastAsia"/>
          <w:sz w:val="28"/>
          <w:szCs w:val="28"/>
          <w:lang w:eastAsia="zh-CN"/>
        </w:rPr>
        <w:t>价格鉴证评估师</w:t>
      </w:r>
      <w:r>
        <w:rPr>
          <w:rFonts w:hint="eastAsia"/>
          <w:sz w:val="28"/>
          <w:szCs w:val="28"/>
        </w:rPr>
        <w:t>在</w:t>
      </w:r>
      <w:r>
        <w:rPr>
          <w:rFonts w:hint="eastAsia" w:ascii="宋体" w:hAnsi="宋体"/>
          <w:color w:val="0000FF"/>
          <w:spacing w:val="0"/>
          <w:sz w:val="28"/>
          <w:szCs w:val="28"/>
          <w:lang w:eastAsia="zh-CN"/>
        </w:rPr>
        <w:t>评估、鉴定委托书</w:t>
      </w:r>
      <w:r>
        <w:rPr>
          <w:rFonts w:hint="eastAsia"/>
          <w:sz w:val="28"/>
          <w:szCs w:val="28"/>
        </w:rPr>
        <w:t>签订后，根据评估对象、评估范围、业务规模和复杂程度、评估业务时间要求、评估基础资料完备状况、委托方和相关当事方配合程度、评估机构自身条件等因素编制评估计划，确定履行的评估程序、时间进度、人员安排和费用预算等内容</w:t>
      </w:r>
      <w:r>
        <w:rPr>
          <w:rFonts w:hint="eastAsia"/>
          <w:sz w:val="28"/>
          <w:szCs w:val="28"/>
          <w:lang w:eastAsia="zh-CN"/>
        </w:rPr>
        <w:t>。</w:t>
      </w:r>
    </w:p>
    <w:p>
      <w:pPr>
        <w:pStyle w:val="4"/>
        <w:spacing w:line="540" w:lineRule="exact"/>
        <w:ind w:firstLine="560"/>
        <w:rPr>
          <w:rFonts w:hint="eastAsia"/>
          <w:sz w:val="28"/>
          <w:szCs w:val="28"/>
        </w:rPr>
      </w:pPr>
      <w:r>
        <w:rPr>
          <w:rFonts w:hint="eastAsia"/>
          <w:sz w:val="28"/>
          <w:szCs w:val="28"/>
        </w:rPr>
        <w:t>4、现场调查</w:t>
      </w:r>
    </w:p>
    <w:p>
      <w:pPr>
        <w:pStyle w:val="4"/>
        <w:spacing w:line="540" w:lineRule="exact"/>
        <w:ind w:firstLine="560"/>
        <w:rPr>
          <w:rFonts w:hint="eastAsia"/>
          <w:sz w:val="28"/>
          <w:szCs w:val="28"/>
        </w:rPr>
      </w:pPr>
      <w:r>
        <w:rPr>
          <w:rFonts w:hint="eastAsia"/>
          <w:sz w:val="28"/>
          <w:szCs w:val="28"/>
        </w:rPr>
        <w:t>（1）本项目</w:t>
      </w:r>
      <w:r>
        <w:rPr>
          <w:rFonts w:hint="eastAsia"/>
          <w:sz w:val="28"/>
          <w:szCs w:val="28"/>
          <w:lang w:eastAsia="zh-CN"/>
        </w:rPr>
        <w:t>价格鉴证评估师</w:t>
      </w:r>
      <w:r>
        <w:rPr>
          <w:rFonts w:hint="eastAsia"/>
          <w:sz w:val="28"/>
          <w:szCs w:val="28"/>
        </w:rPr>
        <w:t>通过询问、核对、勘查、检查等方式进行调查，获取评估业务需要的基础资料，核实评估对象存在性和完整性，勘查评估对象品质和使用状况，查验评估对象法律权属资料；</w:t>
      </w:r>
    </w:p>
    <w:p>
      <w:pPr>
        <w:pStyle w:val="4"/>
        <w:spacing w:line="540" w:lineRule="exact"/>
        <w:ind w:firstLine="560"/>
        <w:rPr>
          <w:rFonts w:hint="eastAsia" w:eastAsiaTheme="minorEastAsia"/>
          <w:sz w:val="28"/>
          <w:szCs w:val="28"/>
          <w:lang w:eastAsia="zh-CN"/>
        </w:rPr>
      </w:pPr>
      <w:r>
        <w:rPr>
          <w:rFonts w:hint="eastAsia"/>
          <w:sz w:val="28"/>
          <w:szCs w:val="28"/>
        </w:rPr>
        <w:t>（2）本项目</w:t>
      </w:r>
      <w:r>
        <w:rPr>
          <w:rFonts w:hint="eastAsia"/>
          <w:sz w:val="28"/>
          <w:szCs w:val="28"/>
          <w:lang w:eastAsia="zh-CN"/>
        </w:rPr>
        <w:t>价格鉴证评估师</w:t>
      </w:r>
      <w:r>
        <w:rPr>
          <w:rFonts w:hint="eastAsia"/>
          <w:sz w:val="28"/>
          <w:szCs w:val="28"/>
        </w:rPr>
        <w:t>对评估对象存在性、完整性、品质和使用状况等进行调查</w:t>
      </w:r>
      <w:r>
        <w:rPr>
          <w:rFonts w:hint="eastAsia"/>
          <w:sz w:val="28"/>
          <w:szCs w:val="28"/>
          <w:lang w:eastAsia="zh-CN"/>
        </w:rPr>
        <w:t>。</w:t>
      </w:r>
    </w:p>
    <w:p>
      <w:pPr>
        <w:pStyle w:val="4"/>
        <w:spacing w:line="540" w:lineRule="exact"/>
        <w:ind w:firstLine="560"/>
        <w:rPr>
          <w:rFonts w:hint="eastAsia"/>
          <w:sz w:val="28"/>
          <w:szCs w:val="28"/>
        </w:rPr>
      </w:pPr>
      <w:r>
        <w:rPr>
          <w:rFonts w:hint="eastAsia"/>
          <w:sz w:val="28"/>
          <w:szCs w:val="28"/>
        </w:rPr>
        <w:t>5、收集评估资料</w:t>
      </w:r>
    </w:p>
    <w:p>
      <w:pPr>
        <w:pStyle w:val="4"/>
        <w:spacing w:line="540" w:lineRule="exact"/>
        <w:ind w:firstLine="560"/>
        <w:rPr>
          <w:rFonts w:hint="eastAsia"/>
          <w:sz w:val="28"/>
          <w:szCs w:val="28"/>
        </w:rPr>
      </w:pPr>
      <w:r>
        <w:rPr>
          <w:rFonts w:hint="eastAsia"/>
          <w:sz w:val="28"/>
          <w:szCs w:val="28"/>
        </w:rPr>
        <w:t>本项目</w:t>
      </w:r>
      <w:r>
        <w:rPr>
          <w:rFonts w:hint="eastAsia"/>
          <w:sz w:val="28"/>
          <w:szCs w:val="28"/>
          <w:lang w:eastAsia="zh-CN"/>
        </w:rPr>
        <w:t>价格鉴证评估师</w:t>
      </w:r>
      <w:r>
        <w:rPr>
          <w:rFonts w:hint="eastAsia"/>
          <w:sz w:val="28"/>
          <w:szCs w:val="28"/>
        </w:rPr>
        <w:t>在现场调查基础上，根据评估业务具体情况收集评估业务需要的评估资料，评估资料包括直接从市场等渠道独立获取的资料，从委托方、资产占有方等相关当事方获取的资料，根据评估资料的可靠性，对评估资料进行必要的查验，确信评估资料内容的合理性、相关性、时效性和完整性。</w:t>
      </w:r>
    </w:p>
    <w:p>
      <w:pPr>
        <w:spacing w:line="540" w:lineRule="exact"/>
        <w:ind w:firstLine="560" w:firstLineChars="200"/>
        <w:rPr>
          <w:rFonts w:hint="eastAsia" w:ascii="宋体" w:hAnsi="宋体"/>
          <w:sz w:val="28"/>
          <w:szCs w:val="28"/>
        </w:rPr>
      </w:pPr>
      <w:r>
        <w:rPr>
          <w:rFonts w:hint="eastAsia" w:ascii="宋体" w:hAnsi="宋体"/>
          <w:sz w:val="28"/>
          <w:szCs w:val="28"/>
        </w:rPr>
        <w:t>6、评定估算</w:t>
      </w:r>
    </w:p>
    <w:p>
      <w:pPr>
        <w:spacing w:line="540" w:lineRule="exact"/>
        <w:ind w:firstLine="560" w:firstLineChars="200"/>
        <w:rPr>
          <w:rFonts w:hint="eastAsia" w:ascii="宋体" w:hAnsi="宋体"/>
          <w:sz w:val="28"/>
          <w:szCs w:val="28"/>
        </w:rPr>
      </w:pPr>
      <w:r>
        <w:rPr>
          <w:rFonts w:hint="eastAsia" w:ascii="宋体" w:hAnsi="宋体"/>
          <w:sz w:val="28"/>
          <w:szCs w:val="28"/>
        </w:rPr>
        <w:t>（1）本项目</w:t>
      </w:r>
      <w:r>
        <w:rPr>
          <w:rFonts w:hint="eastAsia" w:ascii="宋体" w:hAnsi="宋体"/>
          <w:sz w:val="28"/>
          <w:szCs w:val="28"/>
          <w:lang w:eastAsia="zh-CN"/>
        </w:rPr>
        <w:t>价格鉴证评估师</w:t>
      </w:r>
      <w:r>
        <w:rPr>
          <w:rFonts w:hint="eastAsia" w:ascii="宋体" w:hAnsi="宋体"/>
          <w:sz w:val="28"/>
          <w:szCs w:val="28"/>
        </w:rPr>
        <w:t>根据评估对象、价值类型、评估资料收集情况等相关条件，分析市场法、收益法和成本法等评估基本方法的适用性，恰当选择评估方法，对所采用的评估方法，合理选取相应的计算公式和参数，正确进行分析、计算和判断，形成初步评估结论；</w:t>
      </w:r>
    </w:p>
    <w:p>
      <w:pPr>
        <w:spacing w:line="540" w:lineRule="exact"/>
        <w:ind w:firstLine="560" w:firstLineChars="200"/>
        <w:rPr>
          <w:rFonts w:hint="eastAsia" w:ascii="宋体" w:hAnsi="宋体"/>
          <w:sz w:val="28"/>
          <w:szCs w:val="28"/>
        </w:rPr>
      </w:pPr>
      <w:r>
        <w:rPr>
          <w:rFonts w:hint="eastAsia" w:ascii="宋体" w:hAnsi="宋体"/>
          <w:sz w:val="28"/>
          <w:szCs w:val="28"/>
        </w:rPr>
        <w:t>（2）本项目</w:t>
      </w:r>
      <w:r>
        <w:rPr>
          <w:rFonts w:hint="eastAsia" w:ascii="宋体" w:hAnsi="宋体"/>
          <w:sz w:val="28"/>
          <w:szCs w:val="28"/>
          <w:lang w:eastAsia="zh-CN"/>
        </w:rPr>
        <w:t>价格鉴证评估师</w:t>
      </w:r>
      <w:r>
        <w:rPr>
          <w:rFonts w:hint="eastAsia" w:ascii="宋体" w:hAnsi="宋体"/>
          <w:sz w:val="28"/>
          <w:szCs w:val="28"/>
        </w:rPr>
        <w:t>对形成的初步评估结论进行综合分析，形成最终评估结论。</w:t>
      </w:r>
    </w:p>
    <w:p>
      <w:pPr>
        <w:spacing w:line="540" w:lineRule="exact"/>
        <w:ind w:firstLine="560" w:firstLineChars="200"/>
        <w:rPr>
          <w:rFonts w:hint="eastAsia" w:ascii="宋体" w:hAnsi="宋体"/>
          <w:sz w:val="28"/>
          <w:szCs w:val="28"/>
        </w:rPr>
      </w:pPr>
      <w:r>
        <w:rPr>
          <w:rFonts w:hint="eastAsia" w:ascii="宋体" w:hAnsi="宋体"/>
          <w:sz w:val="28"/>
          <w:szCs w:val="28"/>
        </w:rPr>
        <w:t>7、编制和提交评估报告</w:t>
      </w:r>
    </w:p>
    <w:p>
      <w:pPr>
        <w:spacing w:line="540" w:lineRule="exact"/>
        <w:ind w:firstLine="560" w:firstLineChars="200"/>
        <w:rPr>
          <w:rFonts w:hint="eastAsia" w:ascii="宋体" w:hAnsi="宋体"/>
          <w:sz w:val="28"/>
          <w:szCs w:val="28"/>
        </w:rPr>
      </w:pPr>
      <w:r>
        <w:rPr>
          <w:rFonts w:hint="eastAsia" w:ascii="宋体" w:hAnsi="宋体"/>
          <w:sz w:val="28"/>
          <w:szCs w:val="28"/>
        </w:rPr>
        <w:t>（1）本项目</w:t>
      </w:r>
      <w:r>
        <w:rPr>
          <w:rFonts w:hint="eastAsia" w:ascii="宋体" w:hAnsi="宋体"/>
          <w:sz w:val="28"/>
          <w:szCs w:val="28"/>
          <w:lang w:eastAsia="zh-CN"/>
        </w:rPr>
        <w:t>价格鉴证评估师</w:t>
      </w:r>
      <w:r>
        <w:rPr>
          <w:rFonts w:hint="eastAsia" w:ascii="宋体" w:hAnsi="宋体"/>
          <w:sz w:val="28"/>
          <w:szCs w:val="28"/>
        </w:rPr>
        <w:t>在执行必要评估程序后，根据法律、法规和评估准则的要求编制评估报告，并对评估报告及评估程序执行情况进行必要的内部审核；</w:t>
      </w:r>
    </w:p>
    <w:p>
      <w:pPr>
        <w:spacing w:line="540" w:lineRule="exact"/>
        <w:ind w:firstLine="560" w:firstLineChars="200"/>
        <w:rPr>
          <w:rFonts w:hint="eastAsia" w:ascii="宋体" w:hAnsi="宋体"/>
          <w:sz w:val="28"/>
          <w:szCs w:val="28"/>
        </w:rPr>
      </w:pPr>
      <w:r>
        <w:rPr>
          <w:rFonts w:hint="eastAsia" w:ascii="宋体" w:hAnsi="宋体"/>
          <w:sz w:val="28"/>
          <w:szCs w:val="28"/>
        </w:rPr>
        <w:t>（2）本项目</w:t>
      </w:r>
      <w:r>
        <w:rPr>
          <w:rFonts w:hint="eastAsia" w:ascii="宋体" w:hAnsi="宋体"/>
          <w:sz w:val="28"/>
          <w:szCs w:val="28"/>
          <w:lang w:eastAsia="zh-CN"/>
        </w:rPr>
        <w:t>价格鉴证评估师</w:t>
      </w:r>
      <w:r>
        <w:rPr>
          <w:rFonts w:hint="eastAsia" w:ascii="宋体" w:hAnsi="宋体"/>
          <w:sz w:val="28"/>
          <w:szCs w:val="28"/>
        </w:rPr>
        <w:t>在提交正式评估报告前，在不影响对最终评估结论进行独立判断的前提下，与委托方或委托方许可的相关当事方就评估报告有关内容进行必要的沟通。</w:t>
      </w:r>
    </w:p>
    <w:p>
      <w:pPr>
        <w:spacing w:line="540" w:lineRule="exact"/>
        <w:ind w:firstLine="560" w:firstLineChars="200"/>
        <w:rPr>
          <w:rFonts w:hint="eastAsia" w:ascii="宋体" w:hAnsi="宋体"/>
          <w:sz w:val="28"/>
          <w:szCs w:val="28"/>
        </w:rPr>
      </w:pPr>
      <w:r>
        <w:rPr>
          <w:rFonts w:hint="eastAsia" w:ascii="宋体" w:hAnsi="宋体"/>
          <w:sz w:val="28"/>
          <w:szCs w:val="28"/>
        </w:rPr>
        <w:t>8、工作底稿归档</w:t>
      </w:r>
    </w:p>
    <w:p>
      <w:pPr>
        <w:spacing w:line="540" w:lineRule="exact"/>
        <w:ind w:firstLine="560" w:firstLineChars="200"/>
        <w:rPr>
          <w:rFonts w:hint="eastAsia" w:ascii="宋体" w:hAnsi="宋体"/>
          <w:sz w:val="28"/>
          <w:szCs w:val="28"/>
        </w:rPr>
      </w:pPr>
      <w:r>
        <w:rPr>
          <w:rFonts w:hint="eastAsia" w:ascii="宋体" w:hAnsi="宋体"/>
          <w:sz w:val="28"/>
          <w:szCs w:val="28"/>
        </w:rPr>
        <w:t>本项目</w:t>
      </w:r>
      <w:r>
        <w:rPr>
          <w:rFonts w:hint="eastAsia" w:ascii="宋体" w:hAnsi="宋体"/>
          <w:sz w:val="28"/>
          <w:szCs w:val="28"/>
          <w:lang w:eastAsia="zh-CN"/>
        </w:rPr>
        <w:t>价格鉴证评估师</w:t>
      </w:r>
      <w:r>
        <w:rPr>
          <w:rFonts w:hint="eastAsia" w:ascii="宋体" w:hAnsi="宋体"/>
          <w:sz w:val="28"/>
          <w:szCs w:val="28"/>
        </w:rPr>
        <w:t>在提交评估报告后，按照法律、法规和评估准则的要求对工作底稿进行整理，及时形成评估档案，并在适当及切实可行的情况下，跟踪了解评估报告使用情况，并将评估报告使用情况收入评估档案。</w:t>
      </w:r>
    </w:p>
    <w:p>
      <w:pPr>
        <w:pStyle w:val="4"/>
        <w:spacing w:line="540" w:lineRule="exact"/>
        <w:ind w:firstLine="0" w:firstLineChars="0"/>
        <w:rPr>
          <w:rFonts w:hint="eastAsia"/>
          <w:b/>
          <w:sz w:val="28"/>
          <w:szCs w:val="28"/>
        </w:rPr>
      </w:pPr>
      <w:r>
        <w:rPr>
          <w:rFonts w:hint="eastAsia"/>
          <w:b/>
          <w:sz w:val="28"/>
          <w:szCs w:val="28"/>
        </w:rPr>
        <w:t>九、评估假设</w:t>
      </w:r>
    </w:p>
    <w:p>
      <w:pPr>
        <w:spacing w:line="540" w:lineRule="exact"/>
        <w:ind w:firstLine="482"/>
        <w:rPr>
          <w:rFonts w:hint="eastAsia" w:ascii="宋体" w:hAnsi="宋体"/>
          <w:sz w:val="28"/>
          <w:szCs w:val="28"/>
        </w:rPr>
      </w:pPr>
      <w:r>
        <w:rPr>
          <w:rFonts w:hint="eastAsia" w:ascii="宋体" w:hAnsi="宋体"/>
          <w:sz w:val="28"/>
          <w:szCs w:val="28"/>
        </w:rPr>
        <w:t>（一）本次评估的基本假设包含市场环境、政府规划、宏观经济等。就该项目而言，企业应在符合国家相关管理条例原则下就地续用、合理运行。</w:t>
      </w:r>
    </w:p>
    <w:p>
      <w:pPr>
        <w:spacing w:line="540" w:lineRule="exact"/>
        <w:ind w:firstLine="560" w:firstLineChars="200"/>
        <w:rPr>
          <w:rFonts w:hint="eastAsia" w:ascii="宋体" w:hAnsi="宋体"/>
          <w:sz w:val="28"/>
          <w:szCs w:val="28"/>
        </w:rPr>
      </w:pPr>
      <w:r>
        <w:rPr>
          <w:rFonts w:hint="eastAsia" w:ascii="宋体" w:hAnsi="宋体"/>
          <w:sz w:val="28"/>
          <w:szCs w:val="28"/>
        </w:rPr>
        <w:t>（二）本次评估的具体假设是被评估资产正处于继续使用状态，是为正在使用的资产。</w:t>
      </w:r>
    </w:p>
    <w:p>
      <w:pPr>
        <w:spacing w:line="540" w:lineRule="exact"/>
        <w:ind w:firstLine="560" w:firstLineChars="200"/>
        <w:rPr>
          <w:rFonts w:hint="eastAsia" w:ascii="宋体" w:hAnsi="宋体"/>
          <w:sz w:val="28"/>
          <w:szCs w:val="28"/>
        </w:rPr>
      </w:pPr>
      <w:r>
        <w:rPr>
          <w:rFonts w:hint="eastAsia" w:ascii="宋体" w:hAnsi="宋体"/>
          <w:sz w:val="28"/>
          <w:szCs w:val="28"/>
        </w:rPr>
        <w:t>（三）本次在评估分析中运用数据的完整性假设是建立在委托方提供的资料具有真实性、合法性、完整性基础上。</w:t>
      </w:r>
    </w:p>
    <w:p>
      <w:pPr>
        <w:spacing w:line="540" w:lineRule="exact"/>
        <w:ind w:firstLine="560" w:firstLineChars="200"/>
        <w:rPr>
          <w:rFonts w:hint="eastAsia" w:ascii="宋体" w:hAnsi="宋体"/>
          <w:sz w:val="28"/>
          <w:szCs w:val="28"/>
        </w:rPr>
      </w:pPr>
      <w:r>
        <w:rPr>
          <w:rFonts w:hint="eastAsia" w:ascii="宋体" w:hAnsi="宋体"/>
          <w:sz w:val="28"/>
          <w:szCs w:val="28"/>
        </w:rPr>
        <w:t>（四）本次在评估的特别假设：资产产权无争议。</w:t>
      </w:r>
    </w:p>
    <w:p>
      <w:pPr>
        <w:spacing w:line="540" w:lineRule="exact"/>
        <w:ind w:firstLine="560" w:firstLineChars="200"/>
        <w:rPr>
          <w:rFonts w:hint="eastAsia" w:ascii="宋体" w:hAnsi="宋体"/>
          <w:sz w:val="28"/>
          <w:szCs w:val="28"/>
        </w:rPr>
      </w:pPr>
      <w:r>
        <w:rPr>
          <w:rFonts w:hint="eastAsia" w:ascii="宋体" w:hAnsi="宋体"/>
          <w:sz w:val="28"/>
          <w:szCs w:val="28"/>
        </w:rPr>
        <w:t>具体评估工作程序和方法是建立在以上各类假设前提下，综合了以上假设原则制定的。如上述假设条件已经不存在，评估结果将失效，需要重新评估。</w:t>
      </w:r>
    </w:p>
    <w:p>
      <w:pPr>
        <w:spacing w:line="540" w:lineRule="exact"/>
        <w:rPr>
          <w:rFonts w:hint="eastAsia" w:ascii="宋体" w:hAnsi="宋体"/>
          <w:b/>
          <w:sz w:val="28"/>
          <w:szCs w:val="28"/>
          <w:lang w:eastAsia="zh-CN"/>
        </w:rPr>
      </w:pPr>
      <w:r>
        <w:rPr>
          <w:rFonts w:hint="eastAsia" w:ascii="宋体" w:hAnsi="宋体"/>
          <w:b/>
          <w:bCs/>
          <w:sz w:val="28"/>
          <w:szCs w:val="28"/>
          <w:lang w:eastAsia="zh-CN"/>
        </w:rPr>
        <w:t>十、</w:t>
      </w:r>
      <w:r>
        <w:rPr>
          <w:rFonts w:hint="eastAsia" w:ascii="宋体" w:hAnsi="宋体"/>
          <w:b/>
          <w:sz w:val="28"/>
          <w:szCs w:val="28"/>
          <w:lang w:eastAsia="zh-CN"/>
        </w:rPr>
        <w:t>评估结论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560" w:firstLineChars="200"/>
        <w:jc w:val="both"/>
        <w:textAlignment w:val="auto"/>
        <w:outlineLvl w:val="9"/>
        <w:rPr>
          <w:rFonts w:hint="eastAsia" w:ascii="宋体" w:hAnsi="宋体"/>
          <w:color w:val="FF0000"/>
          <w:sz w:val="24"/>
        </w:rPr>
      </w:pPr>
      <w:r>
        <w:rPr>
          <w:rFonts w:hint="eastAsia" w:ascii="宋体" w:hAnsi="宋体"/>
          <w:sz w:val="28"/>
          <w:szCs w:val="28"/>
        </w:rPr>
        <w:t>评估结论：经评估，截止评估基准日</w:t>
      </w:r>
      <w:r>
        <w:rPr>
          <w:rFonts w:hint="eastAsia" w:ascii="宋体" w:hAnsi="宋体"/>
          <w:sz w:val="28"/>
          <w:szCs w:val="28"/>
          <w:lang w:eastAsia="zh-CN"/>
        </w:rPr>
        <w:t>大安市人民法院</w:t>
      </w:r>
      <w:r>
        <w:rPr>
          <w:rFonts w:hint="eastAsia" w:ascii="宋体" w:hAnsi="宋体"/>
          <w:sz w:val="28"/>
          <w:szCs w:val="28"/>
        </w:rPr>
        <w:t>委估的评估价值为：</w:t>
      </w:r>
    </w:p>
    <w:tbl>
      <w:tblPr>
        <w:tblStyle w:val="10"/>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650"/>
        <w:gridCol w:w="855"/>
        <w:gridCol w:w="1080"/>
        <w:gridCol w:w="184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估价物名称</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不动产权证号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用途</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面积（㎡）</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评估单价（元/㎡）</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房屋</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吉（2019）大安市不动产权第0007291号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住宅</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89.88</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2100.00</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188,748.00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房屋</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吉（2019）大安市不动产权第0009114号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住宅</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102.34</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2100.00</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214,914.00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房屋</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吉（2019）大安市不动产权第0011099</w:t>
            </w:r>
            <w:bookmarkStart w:id="3" w:name="_GoBack"/>
            <w:bookmarkEnd w:id="3"/>
            <w:r>
              <w:rPr>
                <w:rFonts w:hint="eastAsia" w:ascii="宋体" w:hAnsi="宋体" w:eastAsia="宋体" w:cs="宋体"/>
                <w:sz w:val="21"/>
                <w:szCs w:val="21"/>
                <w:vertAlign w:val="baseline"/>
                <w:lang w:val="en-US" w:eastAsia="zh-CN"/>
              </w:rPr>
              <w:t>号</w:t>
            </w: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住宅</w:t>
            </w: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89.88</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2100.00</w:t>
            </w: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188,748.00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合计</w:t>
            </w:r>
          </w:p>
        </w:tc>
        <w:tc>
          <w:tcPr>
            <w:tcW w:w="165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both"/>
              <w:textAlignment w:val="auto"/>
              <w:rPr>
                <w:rFonts w:hint="eastAsia" w:ascii="宋体" w:hAnsi="宋体" w:eastAsia="宋体" w:cs="宋体"/>
                <w:sz w:val="24"/>
                <w:szCs w:val="2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4"/>
                <w:szCs w:val="24"/>
                <w:vertAlign w:val="baseline"/>
                <w:lang w:val="en-US" w:eastAsia="zh-CN"/>
              </w:rPr>
            </w:pPr>
          </w:p>
        </w:tc>
        <w:tc>
          <w:tcPr>
            <w:tcW w:w="1080"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282.10</w:t>
            </w:r>
          </w:p>
        </w:tc>
        <w:tc>
          <w:tcPr>
            <w:tcW w:w="1845"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eastAsia" w:ascii="宋体" w:hAnsi="宋体" w:eastAsia="宋体" w:cs="宋体"/>
                <w:sz w:val="24"/>
                <w:szCs w:val="24"/>
                <w:vertAlign w:val="baseline"/>
                <w:lang w:val="en-US" w:eastAsia="zh-CN"/>
              </w:rPr>
            </w:pPr>
          </w:p>
        </w:tc>
        <w:tc>
          <w:tcPr>
            <w:tcW w:w="1561" w:type="dxa"/>
          </w:tcPr>
          <w:p>
            <w:pPr>
              <w:keepNext w:val="0"/>
              <w:keepLines w:val="0"/>
              <w:pageBreakBefore w:val="0"/>
              <w:widowControl w:val="0"/>
              <w:kinsoku/>
              <w:wordWrap/>
              <w:overflowPunct/>
              <w:topLinePunct w:val="0"/>
              <w:autoSpaceDE/>
              <w:autoSpaceDN/>
              <w:bidi w:val="0"/>
              <w:adjustRightInd w:val="0"/>
              <w:snapToGrid w:val="0"/>
              <w:spacing w:before="120" w:beforeLines="0" w:after="156" w:afterLines="50"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592,410.00</w:t>
            </w:r>
          </w:p>
        </w:tc>
      </w:tr>
    </w:tbl>
    <w:p>
      <w:pPr>
        <w:keepNext w:val="0"/>
        <w:keepLines w:val="0"/>
        <w:pageBreakBefore w:val="0"/>
        <w:widowControl w:val="0"/>
        <w:kinsoku/>
        <w:wordWrap/>
        <w:overflowPunct/>
        <w:topLinePunct w:val="0"/>
        <w:autoSpaceDE/>
        <w:autoSpaceDN/>
        <w:bidi w:val="0"/>
        <w:spacing w:line="240" w:lineRule="auto"/>
        <w:ind w:right="0" w:rightChars="0" w:firstLine="600" w:firstLineChars="200"/>
        <w:jc w:val="both"/>
        <w:textAlignment w:val="auto"/>
        <w:outlineLvl w:val="9"/>
        <w:rPr>
          <w:rFonts w:hint="eastAsia" w:ascii="宋体" w:hAnsi="宋体"/>
          <w:b/>
          <w:sz w:val="30"/>
          <w:szCs w:val="30"/>
          <w:lang w:eastAsia="zh-CN"/>
        </w:rPr>
      </w:pPr>
      <w:r>
        <w:rPr>
          <w:rFonts w:hint="eastAsia" w:ascii="宋体" w:hAnsi="宋体"/>
          <w:b/>
          <w:sz w:val="30"/>
          <w:szCs w:val="30"/>
        </w:rPr>
        <w:t>总计：</w:t>
      </w:r>
      <w:r>
        <w:rPr>
          <w:rFonts w:hint="eastAsia" w:ascii="宋体" w:hAnsi="宋体" w:eastAsia="宋体" w:cs="Times New Roman"/>
          <w:b/>
          <w:sz w:val="30"/>
          <w:szCs w:val="30"/>
          <w:lang w:eastAsia="zh-CN"/>
        </w:rPr>
        <w:t>￥</w:t>
      </w:r>
      <w:r>
        <w:rPr>
          <w:rFonts w:hint="eastAsia" w:ascii="宋体" w:hAnsi="宋体" w:eastAsia="宋体" w:cs="Times New Roman"/>
          <w:b/>
          <w:sz w:val="30"/>
          <w:szCs w:val="30"/>
          <w:lang w:val="en-US" w:eastAsia="zh-CN"/>
        </w:rPr>
        <w:t>592,410.00</w:t>
      </w:r>
      <w:r>
        <w:rPr>
          <w:rFonts w:hint="eastAsia" w:ascii="宋体" w:hAnsi="宋体"/>
          <w:b/>
          <w:sz w:val="30"/>
          <w:szCs w:val="30"/>
        </w:rPr>
        <w:t>元整</w:t>
      </w:r>
      <w:r>
        <w:rPr>
          <w:rFonts w:hint="eastAsia" w:ascii="宋体" w:hAnsi="宋体"/>
          <w:b/>
          <w:sz w:val="30"/>
          <w:szCs w:val="30"/>
          <w:lang w:eastAsia="zh-CN"/>
        </w:rPr>
        <w:t>（</w:t>
      </w:r>
      <w:r>
        <w:rPr>
          <w:rFonts w:hint="eastAsia" w:ascii="宋体" w:hAnsi="宋体"/>
          <w:b/>
          <w:sz w:val="30"/>
          <w:szCs w:val="30"/>
        </w:rPr>
        <w:t>大写人民币</w:t>
      </w:r>
      <w:r>
        <w:rPr>
          <w:rFonts w:hint="eastAsia" w:ascii="宋体" w:hAnsi="宋体"/>
          <w:b/>
          <w:sz w:val="30"/>
          <w:szCs w:val="30"/>
          <w:lang w:eastAsia="zh-CN"/>
        </w:rPr>
        <w:t>伍拾玖万贰仟肆佰壹拾</w:t>
      </w:r>
      <w:r>
        <w:rPr>
          <w:rFonts w:hint="eastAsia" w:ascii="宋体" w:hAnsi="宋体"/>
          <w:b/>
          <w:sz w:val="30"/>
          <w:szCs w:val="30"/>
        </w:rPr>
        <w:t>元整</w:t>
      </w:r>
      <w:r>
        <w:rPr>
          <w:rFonts w:hint="eastAsia" w:ascii="宋体" w:hAnsi="宋体"/>
          <w:b/>
          <w:sz w:val="30"/>
          <w:szCs w:val="30"/>
          <w:lang w:eastAsia="zh-CN"/>
        </w:rPr>
        <w:t>）。</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outlineLvl w:val="9"/>
        <w:rPr>
          <w:rFonts w:hint="eastAsia" w:ascii="宋体" w:hAnsi="宋体"/>
          <w:sz w:val="28"/>
          <w:szCs w:val="28"/>
          <w:lang w:eastAsia="zh-CN"/>
        </w:rPr>
      </w:pPr>
      <w:r>
        <w:rPr>
          <w:rFonts w:hint="eastAsia" w:ascii="宋体" w:hAnsi="宋体"/>
          <w:b/>
          <w:bCs/>
          <w:sz w:val="28"/>
          <w:szCs w:val="28"/>
          <w:lang w:eastAsia="zh-CN"/>
        </w:rPr>
        <w:t>十一、特别事项说明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宋体" w:hAnsi="宋体"/>
          <w:sz w:val="28"/>
          <w:szCs w:val="28"/>
        </w:rPr>
      </w:pPr>
      <w:r>
        <w:rPr>
          <w:rFonts w:hint="eastAsia" w:ascii="宋体" w:hAnsi="宋体"/>
          <w:sz w:val="28"/>
          <w:szCs w:val="28"/>
          <w:lang w:eastAsia="zh-CN"/>
        </w:rPr>
        <w:t>1、</w:t>
      </w:r>
      <w:r>
        <w:rPr>
          <w:rFonts w:hint="eastAsia" w:ascii="宋体" w:hAnsi="宋体"/>
          <w:sz w:val="28"/>
          <w:szCs w:val="28"/>
          <w:lang w:val="en-US" w:eastAsia="zh-CN"/>
        </w:rPr>
        <w:t>由于条件受限，我公司无法对其提供的相关资料真实性进行判断，</w:t>
      </w:r>
      <w:r>
        <w:rPr>
          <w:rFonts w:hint="eastAsia" w:ascii="宋体" w:hAnsi="宋体"/>
          <w:sz w:val="28"/>
          <w:szCs w:val="28"/>
          <w:lang w:eastAsia="zh-CN"/>
        </w:rPr>
        <w:t>本评估报</w:t>
      </w:r>
      <w:r>
        <w:rPr>
          <w:rFonts w:hint="eastAsia" w:ascii="宋体" w:hAnsi="宋体"/>
          <w:sz w:val="28"/>
          <w:szCs w:val="28"/>
        </w:rPr>
        <w:t>告所涉及的相关资料由委托方提供，其真实性和可靠性由委托方负责，并承担相应的法律责任。</w:t>
      </w:r>
    </w:p>
    <w:p>
      <w:pPr>
        <w:spacing w:line="540" w:lineRule="exact"/>
        <w:ind w:firstLine="560" w:firstLineChars="200"/>
        <w:rPr>
          <w:rFonts w:hint="eastAsia" w:ascii="宋体" w:hAnsi="宋体"/>
          <w:sz w:val="28"/>
          <w:szCs w:val="28"/>
        </w:rPr>
      </w:pPr>
      <w:r>
        <w:rPr>
          <w:rFonts w:hint="eastAsia" w:ascii="宋体" w:hAnsi="宋体"/>
          <w:sz w:val="28"/>
          <w:szCs w:val="28"/>
        </w:rPr>
        <w:t>2、本次在评估中运用数据的完整性假设是建立在委托方提供的资料具有真实性、合法性、完整性基础上。</w:t>
      </w:r>
    </w:p>
    <w:p>
      <w:pPr>
        <w:spacing w:line="540" w:lineRule="exact"/>
        <w:ind w:firstLine="560" w:firstLineChars="200"/>
        <w:rPr>
          <w:rFonts w:hint="eastAsia" w:ascii="宋体" w:hAnsi="宋体"/>
          <w:sz w:val="28"/>
          <w:szCs w:val="28"/>
        </w:rPr>
      </w:pPr>
      <w:r>
        <w:rPr>
          <w:rFonts w:hint="eastAsia" w:ascii="宋体" w:hAnsi="宋体"/>
          <w:sz w:val="28"/>
          <w:szCs w:val="28"/>
        </w:rPr>
        <w:t>具体评估工作程序和方法是建立在以上各类假设前提下，综合了以上假设原则制定的。如上述假设条件已经不存在，评估结果将失效，需要重新评估。</w:t>
      </w:r>
    </w:p>
    <w:p>
      <w:pPr>
        <w:numPr>
          <w:ilvl w:val="0"/>
          <w:numId w:val="3"/>
        </w:numPr>
        <w:spacing w:line="540" w:lineRule="exact"/>
        <w:ind w:firstLine="560" w:firstLineChars="200"/>
        <w:rPr>
          <w:rFonts w:ascii="宋体" w:hAnsi="宋体"/>
          <w:sz w:val="28"/>
          <w:szCs w:val="28"/>
        </w:rPr>
      </w:pPr>
      <w:r>
        <w:rPr>
          <w:rFonts w:ascii="宋体" w:hAnsi="宋体"/>
          <w:sz w:val="28"/>
          <w:szCs w:val="28"/>
        </w:rPr>
        <w:t>评估结论是以本次评估目的为前提，未考虑宏观经济改革发生变化及遇有自然力和其他不可抗力对资产价格的影响，当前述条件发生变化时，评估结果一般会失效。</w:t>
      </w:r>
    </w:p>
    <w:p>
      <w:pPr>
        <w:numPr>
          <w:ilvl w:val="0"/>
          <w:numId w:val="3"/>
        </w:numPr>
        <w:spacing w:line="540" w:lineRule="exact"/>
        <w:ind w:firstLine="560" w:firstLineChars="200"/>
        <w:rPr>
          <w:rFonts w:hint="eastAsia"/>
          <w:sz w:val="28"/>
          <w:szCs w:val="28"/>
        </w:rPr>
      </w:pPr>
      <w:r>
        <w:rPr>
          <w:rFonts w:hint="eastAsia"/>
          <w:bCs/>
          <w:sz w:val="28"/>
          <w:szCs w:val="28"/>
        </w:rPr>
        <w:t>如果评估报告使用者发现评估报告内的文字或数字因校印或其他原因出现差错时，而且又有对评估结论产生影响的；或导致评估报告使用者错误理解的情况，请委托方或评估报告使用者通知本公司进行更正，差错部分应以评估机构的更正和解释为准，评估报告使用者不得恶意应用或理解。</w:t>
      </w:r>
    </w:p>
    <w:p>
      <w:pPr>
        <w:numPr>
          <w:ilvl w:val="0"/>
          <w:numId w:val="3"/>
        </w:numPr>
        <w:spacing w:line="540" w:lineRule="exact"/>
        <w:ind w:firstLine="560" w:firstLineChars="200"/>
        <w:rPr>
          <w:sz w:val="28"/>
          <w:szCs w:val="28"/>
        </w:rPr>
      </w:pPr>
      <w:r>
        <w:rPr>
          <w:rFonts w:hint="eastAsia"/>
          <w:sz w:val="28"/>
          <w:szCs w:val="28"/>
        </w:rPr>
        <w:t>本报告含有若干附件，附件构成本报告重要组成部分，作为支持本报告结论依据并具有相应法律效力。</w:t>
      </w:r>
    </w:p>
    <w:p>
      <w:pPr>
        <w:numPr>
          <w:ilvl w:val="0"/>
          <w:numId w:val="3"/>
        </w:numPr>
        <w:spacing w:line="540" w:lineRule="exact"/>
        <w:ind w:firstLine="560" w:firstLineChars="200"/>
        <w:rPr>
          <w:rFonts w:hint="eastAsia" w:ascii="宋体" w:hAnsi="宋体"/>
          <w:sz w:val="28"/>
          <w:szCs w:val="28"/>
        </w:rPr>
      </w:pPr>
      <w:r>
        <w:rPr>
          <w:rFonts w:hint="eastAsia"/>
          <w:sz w:val="28"/>
          <w:szCs w:val="28"/>
        </w:rPr>
        <w:t>本评估结论不是对评估对象可实现价格的保证，评估报告使用者应合理理解并恰当使用评估报告，本所不承担相关事宜决策的责任。</w:t>
      </w:r>
    </w:p>
    <w:p>
      <w:pPr>
        <w:numPr>
          <w:ilvl w:val="0"/>
          <w:numId w:val="3"/>
        </w:numPr>
        <w:spacing w:line="540" w:lineRule="exact"/>
        <w:ind w:firstLine="560" w:firstLineChars="200"/>
        <w:rPr>
          <w:rFonts w:hint="eastAsia" w:ascii="宋体" w:hAnsi="宋体"/>
          <w:sz w:val="28"/>
          <w:szCs w:val="28"/>
        </w:rPr>
      </w:pPr>
      <w:r>
        <w:rPr>
          <w:rFonts w:hint="eastAsia" w:ascii="宋体" w:hAnsi="宋体"/>
          <w:sz w:val="28"/>
          <w:szCs w:val="28"/>
        </w:rPr>
        <w:t>本评估结论是本评估机构出具的，受本机构评估人员的执业水平和能力的影响。</w:t>
      </w:r>
    </w:p>
    <w:p>
      <w:pPr>
        <w:adjustRightInd w:val="0"/>
        <w:snapToGrid w:val="0"/>
        <w:spacing w:line="540" w:lineRule="exact"/>
        <w:rPr>
          <w:rFonts w:hint="eastAsia" w:ascii="宋体" w:hAnsi="宋体"/>
          <w:b/>
          <w:sz w:val="28"/>
          <w:szCs w:val="28"/>
        </w:rPr>
      </w:pPr>
      <w:r>
        <w:rPr>
          <w:rFonts w:hint="eastAsia" w:ascii="宋体" w:hAnsi="宋体"/>
          <w:b/>
          <w:bCs/>
          <w:sz w:val="28"/>
          <w:szCs w:val="28"/>
        </w:rPr>
        <w:t>十</w:t>
      </w:r>
      <w:r>
        <w:rPr>
          <w:rFonts w:hint="eastAsia" w:ascii="宋体" w:hAnsi="宋体"/>
          <w:b/>
          <w:bCs/>
          <w:sz w:val="28"/>
          <w:szCs w:val="28"/>
          <w:lang w:eastAsia="zh-CN"/>
        </w:rPr>
        <w:t>二</w:t>
      </w:r>
      <w:r>
        <w:rPr>
          <w:rFonts w:hint="eastAsia" w:ascii="宋体" w:hAnsi="宋体"/>
          <w:b/>
          <w:bCs/>
          <w:sz w:val="28"/>
          <w:szCs w:val="28"/>
        </w:rPr>
        <w:t>、评估报告使用限制说明</w:t>
      </w:r>
    </w:p>
    <w:p>
      <w:pPr>
        <w:spacing w:line="540" w:lineRule="exact"/>
        <w:ind w:firstLine="560" w:firstLineChars="200"/>
        <w:rPr>
          <w:rFonts w:hint="eastAsia" w:ascii="宋体" w:hAnsi="宋体"/>
          <w:sz w:val="28"/>
          <w:szCs w:val="28"/>
        </w:rPr>
      </w:pPr>
      <w:r>
        <w:rPr>
          <w:rFonts w:hint="eastAsia" w:ascii="仿宋_GB2312" w:eastAsia="仿宋_GB2312"/>
          <w:sz w:val="28"/>
          <w:szCs w:val="28"/>
        </w:rPr>
        <w:t>（</w:t>
      </w:r>
      <w:r>
        <w:rPr>
          <w:rFonts w:hint="eastAsia" w:ascii="宋体" w:hAnsi="宋体"/>
          <w:sz w:val="28"/>
          <w:szCs w:val="28"/>
        </w:rPr>
        <w:t>一）评估报告只能用于评估报告载明的评估目的和用途。</w:t>
      </w:r>
    </w:p>
    <w:p>
      <w:pPr>
        <w:spacing w:line="540" w:lineRule="exact"/>
        <w:ind w:firstLine="560" w:firstLineChars="200"/>
        <w:rPr>
          <w:rFonts w:hint="eastAsia" w:ascii="宋体" w:hAnsi="宋体"/>
          <w:sz w:val="28"/>
          <w:szCs w:val="28"/>
        </w:rPr>
      </w:pPr>
      <w:r>
        <w:rPr>
          <w:rFonts w:hint="eastAsia" w:ascii="宋体" w:hAnsi="宋体"/>
          <w:sz w:val="28"/>
          <w:szCs w:val="28"/>
        </w:rPr>
        <w:t>（二）评估报告只能由评估报告载明的评估报告使用者使用。</w:t>
      </w:r>
    </w:p>
    <w:p>
      <w:pPr>
        <w:spacing w:line="540" w:lineRule="exact"/>
        <w:ind w:firstLine="560" w:firstLineChars="200"/>
        <w:rPr>
          <w:rFonts w:hint="eastAsia" w:ascii="宋体" w:hAnsi="宋体"/>
          <w:sz w:val="28"/>
          <w:szCs w:val="28"/>
        </w:rPr>
      </w:pPr>
      <w:r>
        <w:rPr>
          <w:rFonts w:hint="eastAsia" w:ascii="宋体" w:hAnsi="宋体"/>
          <w:sz w:val="28"/>
          <w:szCs w:val="28"/>
        </w:rPr>
        <w:t>（三）未征得出具评估报告的评估机构同意，评估报告内容不得被摘抄、引用或披露于公开媒体，法律、法规规定的以及相关当事方另有约定的除外。</w:t>
      </w:r>
    </w:p>
    <w:p>
      <w:pPr>
        <w:pStyle w:val="4"/>
        <w:spacing w:line="540" w:lineRule="exact"/>
        <w:ind w:firstLine="560"/>
        <w:rPr>
          <w:rFonts w:hint="eastAsia" w:eastAsiaTheme="minorEastAsia"/>
          <w:sz w:val="28"/>
          <w:szCs w:val="28"/>
          <w:lang w:val="en-US" w:eastAsia="zh-CN"/>
        </w:rPr>
      </w:pPr>
      <w:r>
        <w:rPr>
          <w:rFonts w:hint="eastAsia"/>
          <w:sz w:val="28"/>
          <w:szCs w:val="28"/>
        </w:rPr>
        <w:t>（四）根据国家现行规定,本评估报告</w:t>
      </w:r>
      <w:r>
        <w:rPr>
          <w:rFonts w:hint="eastAsia"/>
          <w:sz w:val="28"/>
          <w:szCs w:val="28"/>
          <w:lang w:eastAsia="zh-CN"/>
        </w:rPr>
        <w:t>结论</w:t>
      </w:r>
      <w:r>
        <w:rPr>
          <w:rFonts w:hint="eastAsia"/>
          <w:sz w:val="28"/>
          <w:szCs w:val="28"/>
        </w:rPr>
        <w:t>有效期为一年，自评估报告日起，即从</w:t>
      </w:r>
      <w:r>
        <w:rPr>
          <w:rFonts w:hint="eastAsia"/>
          <w:color w:val="FF0000"/>
          <w:sz w:val="28"/>
          <w:szCs w:val="28"/>
          <w:lang w:eastAsia="zh-CN"/>
        </w:rPr>
        <w:t>2022年1月13日</w:t>
      </w:r>
      <w:r>
        <w:rPr>
          <w:rFonts w:hint="eastAsia"/>
          <w:sz w:val="28"/>
          <w:szCs w:val="28"/>
        </w:rPr>
        <w:t>起至</w:t>
      </w:r>
      <w:r>
        <w:rPr>
          <w:rFonts w:hint="eastAsia"/>
          <w:color w:val="FF0000"/>
          <w:sz w:val="28"/>
          <w:szCs w:val="28"/>
          <w:lang w:eastAsia="zh-CN"/>
        </w:rPr>
        <w:t>202</w:t>
      </w:r>
      <w:r>
        <w:rPr>
          <w:rFonts w:hint="eastAsia"/>
          <w:color w:val="FF0000"/>
          <w:sz w:val="28"/>
          <w:szCs w:val="28"/>
          <w:lang w:val="en-US" w:eastAsia="zh-CN"/>
        </w:rPr>
        <w:t>3</w:t>
      </w:r>
      <w:r>
        <w:rPr>
          <w:rFonts w:hint="eastAsia"/>
          <w:color w:val="FF0000"/>
          <w:sz w:val="28"/>
          <w:szCs w:val="28"/>
          <w:lang w:eastAsia="zh-CN"/>
        </w:rPr>
        <w:t>年</w:t>
      </w:r>
      <w:r>
        <w:rPr>
          <w:rFonts w:hint="eastAsia"/>
          <w:color w:val="FF0000"/>
          <w:sz w:val="28"/>
          <w:szCs w:val="28"/>
          <w:lang w:val="en-US" w:eastAsia="zh-CN"/>
        </w:rPr>
        <w:t>1</w:t>
      </w:r>
      <w:r>
        <w:rPr>
          <w:rFonts w:hint="eastAsia"/>
          <w:color w:val="FF0000"/>
          <w:sz w:val="28"/>
          <w:szCs w:val="28"/>
          <w:lang w:eastAsia="zh-CN"/>
        </w:rPr>
        <w:t>月</w:t>
      </w:r>
      <w:r>
        <w:rPr>
          <w:rFonts w:hint="eastAsia"/>
          <w:color w:val="FF0000"/>
          <w:sz w:val="28"/>
          <w:szCs w:val="28"/>
          <w:lang w:val="en-US" w:eastAsia="zh-CN"/>
        </w:rPr>
        <w:t>12</w:t>
      </w:r>
      <w:r>
        <w:rPr>
          <w:rFonts w:hint="eastAsia"/>
          <w:color w:val="FF0000"/>
          <w:sz w:val="28"/>
          <w:szCs w:val="28"/>
          <w:lang w:eastAsia="zh-CN"/>
        </w:rPr>
        <w:t>日</w:t>
      </w:r>
      <w:r>
        <w:rPr>
          <w:rFonts w:hint="eastAsia"/>
          <w:sz w:val="28"/>
          <w:szCs w:val="28"/>
        </w:rPr>
        <w:t>止</w:t>
      </w:r>
      <w:r>
        <w:rPr>
          <w:rFonts w:hint="eastAsia"/>
          <w:sz w:val="28"/>
          <w:szCs w:val="28"/>
          <w:lang w:eastAsia="zh-CN"/>
        </w:rPr>
        <w:t>。</w:t>
      </w:r>
    </w:p>
    <w:p>
      <w:pPr>
        <w:adjustRightInd w:val="0"/>
        <w:snapToGrid w:val="0"/>
        <w:spacing w:line="540" w:lineRule="exact"/>
        <w:rPr>
          <w:rFonts w:hint="eastAsia"/>
          <w:sz w:val="28"/>
          <w:szCs w:val="28"/>
        </w:rPr>
      </w:pPr>
      <w:r>
        <w:rPr>
          <w:rFonts w:hint="eastAsia"/>
          <w:b/>
          <w:bCs/>
          <w:sz w:val="28"/>
          <w:szCs w:val="28"/>
        </w:rPr>
        <w:t>十</w:t>
      </w:r>
      <w:r>
        <w:rPr>
          <w:rFonts w:hint="eastAsia"/>
          <w:b/>
          <w:bCs/>
          <w:sz w:val="28"/>
          <w:szCs w:val="28"/>
          <w:lang w:eastAsia="zh-CN"/>
        </w:rPr>
        <w:t>三</w:t>
      </w:r>
      <w:r>
        <w:rPr>
          <w:rFonts w:hint="eastAsia"/>
          <w:b/>
          <w:bCs/>
          <w:sz w:val="28"/>
          <w:szCs w:val="28"/>
        </w:rPr>
        <w:t>、评估报告日</w:t>
      </w:r>
    </w:p>
    <w:p>
      <w:pPr>
        <w:adjustRightInd w:val="0"/>
        <w:snapToGrid w:val="0"/>
        <w:spacing w:line="540" w:lineRule="exact"/>
        <w:ind w:firstLine="480"/>
        <w:rPr>
          <w:rFonts w:hint="eastAsia"/>
          <w:sz w:val="28"/>
          <w:szCs w:val="28"/>
        </w:rPr>
      </w:pPr>
      <w:r>
        <w:rPr>
          <w:rFonts w:hint="eastAsia"/>
          <w:sz w:val="28"/>
          <w:szCs w:val="28"/>
        </w:rPr>
        <w:t>本评估报告提出日期为</w:t>
      </w:r>
      <w:r>
        <w:rPr>
          <w:rFonts w:hint="eastAsia"/>
          <w:color w:val="FF0000"/>
          <w:sz w:val="28"/>
          <w:szCs w:val="28"/>
        </w:rPr>
        <w:t>二○</w:t>
      </w:r>
      <w:r>
        <w:rPr>
          <w:rFonts w:hint="eastAsia"/>
          <w:color w:val="FF0000"/>
          <w:sz w:val="28"/>
          <w:szCs w:val="28"/>
          <w:lang w:eastAsia="zh-CN"/>
        </w:rPr>
        <w:t>二二</w:t>
      </w:r>
      <w:r>
        <w:rPr>
          <w:rFonts w:hint="eastAsia"/>
          <w:color w:val="FF0000"/>
          <w:sz w:val="28"/>
          <w:szCs w:val="28"/>
        </w:rPr>
        <w:t>年</w:t>
      </w:r>
      <w:r>
        <w:rPr>
          <w:rFonts w:hint="eastAsia"/>
          <w:color w:val="FF0000"/>
          <w:sz w:val="28"/>
          <w:szCs w:val="28"/>
          <w:lang w:eastAsia="zh-CN"/>
        </w:rPr>
        <w:t>一</w:t>
      </w:r>
      <w:r>
        <w:rPr>
          <w:rFonts w:hint="eastAsia"/>
          <w:color w:val="FF0000"/>
          <w:sz w:val="28"/>
          <w:szCs w:val="28"/>
        </w:rPr>
        <w:t>月</w:t>
      </w:r>
      <w:r>
        <w:rPr>
          <w:rFonts w:hint="eastAsia"/>
          <w:color w:val="FF0000"/>
          <w:sz w:val="28"/>
          <w:szCs w:val="28"/>
          <w:lang w:eastAsia="zh-CN"/>
        </w:rPr>
        <w:t>十三</w:t>
      </w:r>
      <w:r>
        <w:rPr>
          <w:rFonts w:hint="eastAsia"/>
          <w:color w:val="FF0000"/>
          <w:sz w:val="28"/>
          <w:szCs w:val="28"/>
        </w:rPr>
        <w:t>日</w:t>
      </w:r>
      <w:r>
        <w:rPr>
          <w:rFonts w:hint="eastAsia"/>
          <w:sz w:val="28"/>
          <w:szCs w:val="28"/>
        </w:rPr>
        <w:t>，评估报告日是本次评估专业意见形成日。</w:t>
      </w:r>
      <w:bookmarkStart w:id="2" w:name="_Toc269106803"/>
    </w:p>
    <w:p>
      <w:pPr>
        <w:adjustRightInd w:val="0"/>
        <w:snapToGrid w:val="0"/>
        <w:spacing w:line="540" w:lineRule="exact"/>
        <w:rPr>
          <w:rFonts w:hint="eastAsia"/>
          <w:sz w:val="28"/>
          <w:szCs w:val="28"/>
        </w:rPr>
      </w:pPr>
      <w:r>
        <w:rPr>
          <w:rFonts w:hint="eastAsia"/>
          <w:b/>
          <w:sz w:val="28"/>
          <w:szCs w:val="28"/>
        </w:rPr>
        <w:t>十四、</w:t>
      </w:r>
      <w:r>
        <w:rPr>
          <w:rFonts w:hint="eastAsia"/>
          <w:b/>
          <w:sz w:val="28"/>
          <w:szCs w:val="28"/>
          <w:lang w:eastAsia="zh-CN"/>
        </w:rPr>
        <w:t>价格鉴证评估师</w:t>
      </w:r>
      <w:r>
        <w:rPr>
          <w:rFonts w:hint="eastAsia"/>
          <w:b/>
          <w:sz w:val="28"/>
          <w:szCs w:val="28"/>
        </w:rPr>
        <w:t>盖章、评估机构盖章</w:t>
      </w:r>
      <w:bookmarkEnd w:id="2"/>
      <w:r>
        <w:rPr>
          <w:rFonts w:hint="eastAsia"/>
          <w:b/>
          <w:sz w:val="28"/>
          <w:szCs w:val="28"/>
        </w:rPr>
        <w:t>。</w:t>
      </w:r>
      <w:r>
        <w:rPr>
          <w:rFonts w:hint="eastAsia"/>
          <w:sz w:val="28"/>
          <w:szCs w:val="28"/>
        </w:rPr>
        <w:t xml:space="preserve">  </w:t>
      </w:r>
    </w:p>
    <w:p>
      <w:pPr>
        <w:pStyle w:val="4"/>
        <w:spacing w:line="540" w:lineRule="exact"/>
        <w:ind w:firstLine="0" w:firstLineChars="0"/>
        <w:rPr>
          <w:rFonts w:hint="eastAsia"/>
          <w:sz w:val="28"/>
          <w:szCs w:val="28"/>
          <w:lang w:eastAsia="zh-CN"/>
        </w:rPr>
      </w:pPr>
    </w:p>
    <w:p>
      <w:pPr>
        <w:pStyle w:val="4"/>
        <w:spacing w:line="540" w:lineRule="exact"/>
        <w:ind w:firstLine="560" w:firstLineChars="200"/>
        <w:rPr>
          <w:rFonts w:hint="eastAsia"/>
          <w:sz w:val="28"/>
          <w:szCs w:val="28"/>
        </w:rPr>
      </w:pPr>
      <w:r>
        <w:rPr>
          <w:rFonts w:hint="eastAsia"/>
          <w:sz w:val="28"/>
          <w:szCs w:val="28"/>
          <w:lang w:eastAsia="zh-CN"/>
        </w:rPr>
        <w:t>价格鉴证</w:t>
      </w:r>
      <w:r>
        <w:rPr>
          <w:rFonts w:hint="eastAsia"/>
          <w:sz w:val="28"/>
          <w:szCs w:val="28"/>
        </w:rPr>
        <w:t xml:space="preserve">评估师：   </w:t>
      </w:r>
    </w:p>
    <w:p>
      <w:pPr>
        <w:pStyle w:val="4"/>
        <w:spacing w:line="540" w:lineRule="exact"/>
        <w:ind w:firstLine="560" w:firstLineChars="200"/>
        <w:rPr>
          <w:rFonts w:hint="eastAsia"/>
          <w:sz w:val="28"/>
          <w:szCs w:val="28"/>
        </w:rPr>
      </w:pPr>
    </w:p>
    <w:p>
      <w:pPr>
        <w:pStyle w:val="4"/>
        <w:spacing w:line="540" w:lineRule="exact"/>
        <w:ind w:firstLine="0" w:firstLineChars="0"/>
        <w:rPr>
          <w:rFonts w:hint="eastAsia"/>
          <w:sz w:val="28"/>
          <w:szCs w:val="28"/>
          <w:lang w:eastAsia="zh-CN"/>
        </w:rPr>
      </w:pPr>
    </w:p>
    <w:p>
      <w:pPr>
        <w:pStyle w:val="4"/>
        <w:spacing w:line="540" w:lineRule="exact"/>
        <w:ind w:firstLine="560" w:firstLineChars="200"/>
        <w:rPr>
          <w:rFonts w:hint="eastAsia"/>
          <w:sz w:val="28"/>
          <w:szCs w:val="28"/>
        </w:rPr>
      </w:pPr>
      <w:r>
        <w:rPr>
          <w:rFonts w:hint="eastAsia"/>
          <w:sz w:val="28"/>
          <w:szCs w:val="28"/>
        </w:rPr>
        <w:t>价格</w:t>
      </w:r>
      <w:r>
        <w:rPr>
          <w:rFonts w:hint="eastAsia"/>
          <w:sz w:val="28"/>
          <w:szCs w:val="28"/>
          <w:lang w:eastAsia="zh-CN"/>
        </w:rPr>
        <w:t>鉴证</w:t>
      </w:r>
      <w:r>
        <w:rPr>
          <w:rFonts w:hint="eastAsia"/>
          <w:sz w:val="28"/>
          <w:szCs w:val="28"/>
        </w:rPr>
        <w:t xml:space="preserve">评估师：             </w:t>
      </w:r>
    </w:p>
    <w:p>
      <w:pPr>
        <w:pStyle w:val="4"/>
        <w:spacing w:line="540" w:lineRule="exact"/>
        <w:ind w:firstLine="560"/>
        <w:jc w:val="right"/>
        <w:rPr>
          <w:rFonts w:hint="eastAsia"/>
          <w:sz w:val="28"/>
          <w:szCs w:val="28"/>
        </w:rPr>
      </w:pPr>
    </w:p>
    <w:p>
      <w:pPr>
        <w:pStyle w:val="4"/>
        <w:spacing w:line="540" w:lineRule="exact"/>
        <w:ind w:firstLine="560"/>
        <w:jc w:val="right"/>
        <w:rPr>
          <w:rFonts w:hint="eastAsia"/>
          <w:sz w:val="28"/>
          <w:szCs w:val="28"/>
        </w:rPr>
      </w:pPr>
    </w:p>
    <w:p>
      <w:pPr>
        <w:pStyle w:val="4"/>
        <w:spacing w:line="540" w:lineRule="exact"/>
        <w:ind w:firstLine="560"/>
        <w:jc w:val="right"/>
        <w:rPr>
          <w:rFonts w:hint="eastAsia"/>
          <w:sz w:val="28"/>
          <w:szCs w:val="28"/>
        </w:rPr>
      </w:pPr>
    </w:p>
    <w:p>
      <w:pPr>
        <w:pStyle w:val="4"/>
        <w:spacing w:line="540" w:lineRule="exact"/>
        <w:ind w:firstLine="560"/>
        <w:jc w:val="right"/>
        <w:rPr>
          <w:rFonts w:hint="eastAsia"/>
          <w:sz w:val="28"/>
          <w:szCs w:val="28"/>
        </w:rPr>
      </w:pPr>
    </w:p>
    <w:p>
      <w:pPr>
        <w:pStyle w:val="4"/>
        <w:spacing w:line="540" w:lineRule="exact"/>
        <w:ind w:firstLine="560"/>
        <w:jc w:val="right"/>
        <w:rPr>
          <w:rFonts w:hint="eastAsia"/>
          <w:sz w:val="28"/>
          <w:szCs w:val="28"/>
          <w:lang w:eastAsia="zh-CN"/>
        </w:rPr>
      </w:pPr>
      <w:r>
        <w:rPr>
          <w:rFonts w:hint="eastAsia"/>
          <w:sz w:val="28"/>
          <w:szCs w:val="28"/>
          <w:lang w:eastAsia="zh-CN"/>
        </w:rPr>
        <w:t>白城市合意资产价格评估有限公司</w:t>
      </w:r>
    </w:p>
    <w:p>
      <w:pPr>
        <w:pStyle w:val="4"/>
        <w:spacing w:line="540" w:lineRule="exact"/>
        <w:ind w:firstLine="560"/>
        <w:jc w:val="right"/>
        <w:rPr>
          <w:rFonts w:hint="eastAsia"/>
          <w:sz w:val="28"/>
          <w:szCs w:val="28"/>
          <w:lang w:eastAsia="zh-CN"/>
        </w:rPr>
      </w:pPr>
    </w:p>
    <w:p>
      <w:pPr>
        <w:pStyle w:val="4"/>
        <w:spacing w:line="540" w:lineRule="exact"/>
        <w:ind w:firstLine="560"/>
        <w:jc w:val="right"/>
        <w:rPr>
          <w:rFonts w:hint="eastAsia"/>
          <w:sz w:val="28"/>
          <w:szCs w:val="28"/>
        </w:rPr>
      </w:pPr>
      <w:r>
        <w:rPr>
          <w:rFonts w:hint="eastAsia"/>
          <w:sz w:val="28"/>
          <w:szCs w:val="28"/>
        </w:rPr>
        <w:t xml:space="preserve"> </w:t>
      </w:r>
    </w:p>
    <w:p>
      <w:pPr>
        <w:pStyle w:val="4"/>
        <w:spacing w:line="540" w:lineRule="exact"/>
        <w:ind w:firstLine="560"/>
        <w:jc w:val="center"/>
        <w:rPr>
          <w:rFonts w:hint="eastAsia"/>
          <w:color w:val="FF0000"/>
          <w:sz w:val="28"/>
          <w:szCs w:val="28"/>
          <w:lang w:eastAsia="zh-CN"/>
        </w:rPr>
      </w:pPr>
      <w:r>
        <w:rPr>
          <w:rFonts w:hint="eastAsia"/>
          <w:sz w:val="28"/>
          <w:szCs w:val="28"/>
          <w:lang w:val="en-US" w:eastAsia="zh-CN"/>
        </w:rPr>
        <w:t xml:space="preserve">                       </w:t>
      </w:r>
      <w:r>
        <w:rPr>
          <w:rFonts w:hint="eastAsia"/>
          <w:sz w:val="28"/>
          <w:szCs w:val="28"/>
          <w:lang w:eastAsia="zh-CN"/>
        </w:rPr>
        <w:t xml:space="preserve"> </w:t>
      </w:r>
      <w:r>
        <w:rPr>
          <w:rFonts w:hint="eastAsia"/>
          <w:sz w:val="28"/>
          <w:szCs w:val="28"/>
          <w:lang w:val="en-US" w:eastAsia="zh-CN"/>
        </w:rPr>
        <w:t xml:space="preserve"> </w:t>
      </w:r>
      <w:r>
        <w:rPr>
          <w:rFonts w:hint="eastAsia"/>
          <w:color w:val="FF0000"/>
          <w:sz w:val="28"/>
          <w:szCs w:val="28"/>
          <w:lang w:eastAsia="zh-CN"/>
        </w:rPr>
        <w:t>2022年1月13日</w:t>
      </w:r>
    </w:p>
    <w:p>
      <w:pPr>
        <w:pStyle w:val="4"/>
        <w:spacing w:line="540" w:lineRule="exact"/>
        <w:ind w:firstLine="560"/>
        <w:jc w:val="center"/>
        <w:rPr>
          <w:rFonts w:hint="eastAsia"/>
          <w:color w:val="FF0000"/>
          <w:sz w:val="28"/>
          <w:szCs w:val="28"/>
          <w:lang w:eastAsia="zh-CN"/>
        </w:rPr>
      </w:pPr>
    </w:p>
    <w:p>
      <w:pPr>
        <w:pStyle w:val="4"/>
        <w:spacing w:line="540" w:lineRule="exact"/>
        <w:ind w:left="0" w:leftChars="0" w:firstLine="0" w:firstLineChars="0"/>
        <w:jc w:val="both"/>
        <w:rPr>
          <w:rFonts w:hint="eastAsia"/>
          <w:sz w:val="28"/>
          <w:szCs w:val="28"/>
          <w:lang w:eastAsia="zh-CN"/>
        </w:rPr>
      </w:pPr>
    </w:p>
    <w:p>
      <w:pPr>
        <w:adjustRightInd w:val="0"/>
        <w:snapToGrid w:val="0"/>
        <w:spacing w:line="480" w:lineRule="auto"/>
        <w:jc w:val="center"/>
        <w:rPr>
          <w:rFonts w:hint="eastAsia" w:ascii="宋体" w:hAnsi="宋体"/>
          <w:b/>
          <w:sz w:val="36"/>
        </w:rPr>
      </w:pPr>
      <w:r>
        <w:rPr>
          <w:rFonts w:hint="eastAsia" w:ascii="宋体" w:hAnsi="宋体"/>
          <w:b/>
          <w:sz w:val="36"/>
        </w:rPr>
        <w:t>评估报告附件</w:t>
      </w:r>
    </w:p>
    <w:p>
      <w:pPr>
        <w:numPr>
          <w:ilvl w:val="0"/>
          <w:numId w:val="4"/>
        </w:numPr>
        <w:adjustRightInd w:val="0"/>
        <w:snapToGrid w:val="0"/>
        <w:spacing w:line="480" w:lineRule="auto"/>
        <w:rPr>
          <w:rFonts w:hint="eastAsia" w:ascii="宋体" w:hAnsi="宋体"/>
          <w:color w:val="FF0000"/>
          <w:sz w:val="24"/>
        </w:rPr>
      </w:pPr>
      <w:r>
        <w:rPr>
          <w:rFonts w:hint="eastAsia" w:ascii="宋体" w:hAnsi="宋体"/>
          <w:sz w:val="24"/>
          <w:lang w:eastAsia="zh-CN"/>
        </w:rPr>
        <w:t>评估、鉴定委托书复印件</w:t>
      </w:r>
      <w:r>
        <w:rPr>
          <w:rFonts w:hint="eastAsia" w:ascii="宋体" w:hAnsi="宋体"/>
          <w:color w:val="FF0000"/>
          <w:sz w:val="24"/>
          <w:lang w:eastAsia="zh-CN"/>
        </w:rPr>
        <w:t>；</w:t>
      </w:r>
    </w:p>
    <w:p>
      <w:pPr>
        <w:numPr>
          <w:ilvl w:val="0"/>
          <w:numId w:val="4"/>
        </w:numPr>
        <w:adjustRightInd w:val="0"/>
        <w:snapToGrid w:val="0"/>
        <w:spacing w:line="480" w:lineRule="auto"/>
        <w:rPr>
          <w:rFonts w:hint="eastAsia" w:ascii="宋体" w:hAnsi="宋体"/>
          <w:color w:val="FF0000"/>
          <w:sz w:val="24"/>
        </w:rPr>
      </w:pPr>
      <w:r>
        <w:rPr>
          <w:rFonts w:hint="eastAsia" w:ascii="宋体" w:hAnsi="宋体"/>
          <w:color w:val="FF0000"/>
          <w:sz w:val="24"/>
          <w:lang w:eastAsia="zh-CN"/>
        </w:rPr>
        <w:t>现场勘查记录表复印件；</w:t>
      </w:r>
    </w:p>
    <w:p>
      <w:pPr>
        <w:numPr>
          <w:ilvl w:val="0"/>
          <w:numId w:val="4"/>
        </w:numPr>
        <w:adjustRightInd w:val="0"/>
        <w:snapToGrid w:val="0"/>
        <w:spacing w:line="480" w:lineRule="auto"/>
        <w:rPr>
          <w:rFonts w:hint="eastAsia" w:ascii="宋体" w:hAnsi="宋体"/>
          <w:color w:val="FF0000"/>
          <w:sz w:val="24"/>
        </w:rPr>
      </w:pPr>
      <w:r>
        <w:rPr>
          <w:rFonts w:hint="eastAsia" w:ascii="宋体" w:hAnsi="宋体"/>
          <w:color w:val="FF0000"/>
          <w:sz w:val="24"/>
          <w:lang w:eastAsia="zh-CN"/>
        </w:rPr>
        <w:t>委托方提供的资料复印件；</w:t>
      </w:r>
    </w:p>
    <w:p>
      <w:pPr>
        <w:numPr>
          <w:ilvl w:val="0"/>
          <w:numId w:val="4"/>
        </w:numPr>
        <w:adjustRightInd w:val="0"/>
        <w:snapToGrid w:val="0"/>
        <w:spacing w:line="480" w:lineRule="auto"/>
        <w:rPr>
          <w:rFonts w:hint="eastAsia" w:ascii="宋体" w:hAnsi="宋体"/>
          <w:sz w:val="24"/>
        </w:rPr>
      </w:pPr>
      <w:r>
        <w:rPr>
          <w:rFonts w:hint="eastAsia" w:ascii="宋体" w:hAnsi="宋体"/>
          <w:sz w:val="24"/>
          <w:lang w:eastAsia="zh-CN"/>
        </w:rPr>
        <w:t>房本复印件；</w:t>
      </w:r>
    </w:p>
    <w:p>
      <w:pPr>
        <w:numPr>
          <w:ilvl w:val="0"/>
          <w:numId w:val="4"/>
        </w:numPr>
        <w:adjustRightInd w:val="0"/>
        <w:snapToGrid w:val="0"/>
        <w:spacing w:line="480" w:lineRule="auto"/>
        <w:rPr>
          <w:rFonts w:hint="eastAsia" w:ascii="宋体" w:hAnsi="宋体"/>
          <w:sz w:val="24"/>
        </w:rPr>
      </w:pPr>
      <w:r>
        <w:rPr>
          <w:rFonts w:hint="eastAsia" w:ascii="宋体" w:hAnsi="宋体"/>
          <w:sz w:val="24"/>
          <w:lang w:eastAsia="zh-CN"/>
        </w:rPr>
        <w:t>图片；</w:t>
      </w:r>
    </w:p>
    <w:p>
      <w:pPr>
        <w:numPr>
          <w:ilvl w:val="0"/>
          <w:numId w:val="4"/>
        </w:numPr>
        <w:adjustRightInd w:val="0"/>
        <w:snapToGrid w:val="0"/>
        <w:spacing w:line="480" w:lineRule="auto"/>
        <w:rPr>
          <w:rFonts w:hint="eastAsia" w:ascii="宋体" w:hAnsi="宋体"/>
          <w:sz w:val="24"/>
        </w:rPr>
      </w:pPr>
      <w:r>
        <w:rPr>
          <w:rFonts w:hint="eastAsia" w:ascii="宋体" w:hAnsi="宋体"/>
          <w:sz w:val="24"/>
        </w:rPr>
        <w:t>评估机构营业执照复印件；</w:t>
      </w:r>
    </w:p>
    <w:p>
      <w:pPr>
        <w:numPr>
          <w:ilvl w:val="0"/>
          <w:numId w:val="4"/>
        </w:numPr>
        <w:adjustRightInd w:val="0"/>
        <w:snapToGrid w:val="0"/>
        <w:spacing w:line="480" w:lineRule="auto"/>
        <w:rPr>
          <w:rFonts w:hint="eastAsia"/>
          <w:sz w:val="24"/>
        </w:rPr>
      </w:pPr>
      <w:r>
        <w:rPr>
          <w:rFonts w:hint="eastAsia" w:ascii="宋体" w:hAnsi="宋体"/>
          <w:sz w:val="24"/>
        </w:rPr>
        <w:t>评估机构资格证书复印件；</w:t>
      </w:r>
    </w:p>
    <w:p>
      <w:pPr>
        <w:numPr>
          <w:ilvl w:val="0"/>
          <w:numId w:val="4"/>
        </w:numPr>
        <w:adjustRightInd w:val="0"/>
        <w:snapToGrid w:val="0"/>
        <w:spacing w:line="480" w:lineRule="auto"/>
        <w:rPr>
          <w:rFonts w:hint="eastAsia"/>
          <w:sz w:val="24"/>
        </w:rPr>
      </w:pPr>
      <w:r>
        <w:rPr>
          <w:rFonts w:hint="eastAsia"/>
          <w:sz w:val="24"/>
        </w:rPr>
        <w:t>评估人员资格证书复印</w:t>
      </w:r>
      <w:r>
        <w:rPr>
          <w:rFonts w:hint="eastAsia"/>
          <w:sz w:val="24"/>
          <w:lang w:eastAsia="zh-CN"/>
        </w:rPr>
        <w:t>件。</w:t>
      </w:r>
    </w:p>
    <w:p>
      <w:pPr>
        <w:spacing w:line="480" w:lineRule="auto"/>
        <w:rPr>
          <w:rFonts w:hint="eastAsia"/>
        </w:rPr>
      </w:pPr>
    </w:p>
    <w:p/>
    <w:p/>
    <w:sectPr>
      <w:headerReference r:id="rId3" w:type="default"/>
      <w:footerReference r:id="rId4" w:type="default"/>
      <w:footerReference r:id="rId5" w:type="even"/>
      <w:pgSz w:w="11906" w:h="16838"/>
      <w:pgMar w:top="1440" w:right="1627" w:bottom="1440" w:left="1797" w:header="851" w:footer="515" w:gutter="17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50602020203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301" w:hRule="exact" w:wrap="around" w:vAnchor="text" w:hAnchor="page" w:x="9888" w:y="129"/>
      <w:rPr>
        <w:rStyle w:val="12"/>
      </w:rPr>
    </w:pPr>
    <w:r>
      <w:fldChar w:fldCharType="begin"/>
    </w:r>
    <w:r>
      <w:rPr>
        <w:rStyle w:val="12"/>
      </w:rPr>
      <w:instrText xml:space="preserve">PAGE  </w:instrText>
    </w:r>
    <w:r>
      <w:fldChar w:fldCharType="separate"/>
    </w:r>
    <w:r>
      <w:rPr>
        <w:rStyle w:val="12"/>
      </w:rPr>
      <w:t>13</w:t>
    </w:r>
    <w:r>
      <w:fldChar w:fldCharType="end"/>
    </w:r>
  </w:p>
  <w:tbl>
    <w:tblPr>
      <w:tblStyle w:val="9"/>
      <w:tblW w:w="8304" w:type="dxa"/>
      <w:tblInd w:w="108"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4"/>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 w:hRule="atLeast"/>
      </w:trPr>
      <w:tc>
        <w:tcPr>
          <w:tcW w:w="8304" w:type="dxa"/>
          <w:vAlign w:val="top"/>
        </w:tcPr>
        <w:p>
          <w:pPr>
            <w:pStyle w:val="7"/>
            <w:ind w:right="360"/>
            <w:rPr>
              <w:rFonts w:hint="eastAsia"/>
            </w:rPr>
          </w:pPr>
          <w:r>
            <w:rPr>
              <w:rFonts w:hint="eastAsia"/>
              <w:lang w:eastAsia="zh-CN"/>
            </w:rPr>
            <w:t>白城市合意资产价格评估有限公司</w:t>
          </w:r>
          <w:r>
            <w:rPr>
              <w:rFonts w:hint="eastAsia"/>
            </w:rPr>
            <w:t xml:space="preserve">             电话:</w:t>
          </w:r>
          <w:r>
            <w:rPr>
              <w:rFonts w:hint="eastAsia"/>
              <w:lang w:val="en-US" w:eastAsia="zh-CN"/>
            </w:rPr>
            <w:t>13614460002   18743680005</w:t>
          </w:r>
          <w:r>
            <w:rPr>
              <w:rFonts w:hint="eastAsia"/>
            </w:rPr>
            <w:t xml:space="preserve">       </w:t>
          </w:r>
        </w:p>
        <w:p>
          <w:pPr>
            <w:pStyle w:val="7"/>
            <w:ind w:right="360"/>
            <w:rPr>
              <w:rFonts w:hint="default" w:eastAsiaTheme="minorEastAsia"/>
              <w:lang w:val="en-US" w:eastAsia="zh-CN"/>
            </w:rPr>
          </w:pPr>
          <w:r>
            <w:rPr>
              <w:rFonts w:hint="eastAsia"/>
            </w:rPr>
            <w:t>地址：</w:t>
          </w:r>
          <w:r>
            <w:rPr>
              <w:rFonts w:hint="eastAsia"/>
              <w:lang w:eastAsia="zh-CN"/>
            </w:rPr>
            <w:t>白城市文化西路</w:t>
          </w:r>
          <w:r>
            <w:rPr>
              <w:rFonts w:hint="eastAsia"/>
              <w:lang w:val="en-US" w:eastAsia="zh-CN"/>
            </w:rPr>
            <w:t>28号楼</w:t>
          </w:r>
        </w:p>
      </w:tc>
    </w:tr>
  </w:tbl>
  <w:p>
    <w:pPr>
      <w:pStyle w:val="7"/>
      <w:ind w:right="360"/>
      <w:rPr>
        <w:rFonts w:hint="eastAsia"/>
      </w:rPr>
    </w:pPr>
  </w:p>
  <w:p>
    <w:pPr>
      <w:pStyle w:val="7"/>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420" w:lineRule="auto"/>
      <w:jc w:val="center"/>
      <w:rPr>
        <w:rFonts w:hint="eastAsia" w:ascii="宋体" w:hAnsi="宋体"/>
        <w:sz w:val="20"/>
        <w:szCs w:val="20"/>
        <w:lang w:eastAsia="zh-CN"/>
      </w:rPr>
    </w:pPr>
    <w:r>
      <w:rPr>
        <w:rFonts w:ascii="宋体" w:hAnsi="宋体"/>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175895</wp:posOffset>
              </wp:positionV>
              <wp:extent cx="5257800" cy="0"/>
              <wp:effectExtent l="0" t="28575" r="0" b="28575"/>
              <wp:wrapNone/>
              <wp:docPr id="1" name="Line 1"/>
              <wp:cNvGraphicFramePr/>
              <a:graphic xmlns:a="http://schemas.openxmlformats.org/drawingml/2006/main">
                <a:graphicData uri="http://schemas.microsoft.com/office/word/2010/wordprocessingShape">
                  <wps:wsp>
                    <wps:cNvCnPr/>
                    <wps:spPr>
                      <a:xfrm>
                        <a:off x="0" y="0"/>
                        <a:ext cx="5257800" cy="0"/>
                      </a:xfrm>
                      <a:prstGeom prst="line">
                        <a:avLst/>
                      </a:prstGeom>
                      <a:ln w="57150" cap="flat" cmpd="thickThin">
                        <a:solidFill>
                          <a:srgbClr val="000000"/>
                        </a:solidFill>
                        <a:prstDash val="solid"/>
                        <a:headEnd type="none" w="med" len="med"/>
                        <a:tailEnd type="none" w="med" len="med"/>
                      </a:ln>
                    </wps:spPr>
                    <wps:bodyPr upright="1"/>
                  </wps:wsp>
                </a:graphicData>
              </a:graphic>
            </wp:anchor>
          </w:drawing>
        </mc:Choice>
        <mc:Fallback>
          <w:pict>
            <v:line id="Line 1" o:spid="_x0000_s1026" o:spt="20" style="position:absolute;left:0pt;margin-left:0pt;margin-top:13.85pt;height:0pt;width:414pt;z-index:251659264;mso-width-relative:page;mso-height-relative:page;" filled="f" stroked="t" coordsize="21600,21600" o:gfxdata="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cZey0QAAAAYBAAAPAAAAAAAAAAEA&#10;IAAAACIAAABkcnMvZG93bnJldi54bWxQSwECFAAUAAAACACHTuJAHQ4OYN0BAADgAwAADgAAAAAA&#10;AAABACAAAAAgAQAAZHJzL2Uyb0RvYy54bWxQSwUGAAAAAAYABgBZAQAAbwUAAAAA&#10;">
              <v:fill on="f" focussize="0,0"/>
              <v:stroke weight="4.5pt" color="#000000" linestyle="thickThin" joinstyle="round"/>
              <v:imagedata o:title=""/>
              <o:lock v:ext="edit" aspectratio="f"/>
            </v:line>
          </w:pict>
        </mc:Fallback>
      </mc:AlternateContent>
    </w:r>
    <w:r>
      <w:rPr>
        <w:rFonts w:hint="eastAsia" w:ascii="宋体" w:hAnsi="宋体"/>
        <w:sz w:val="20"/>
      </w:rPr>
      <w:t xml:space="preserve">   </w:t>
    </w:r>
    <w:r>
      <w:rPr>
        <w:rFonts w:hint="eastAsia" w:ascii="宋体" w:hAnsi="宋体"/>
        <w:color w:val="FF0000"/>
        <w:sz w:val="20"/>
      </w:rPr>
      <w:t xml:space="preserve"> </w:t>
    </w:r>
    <w:r>
      <w:rPr>
        <w:rFonts w:hint="eastAsia" w:ascii="宋体" w:hAnsi="宋体"/>
        <w:color w:val="FF0000"/>
        <w:sz w:val="20"/>
        <w:lang w:val="en-US" w:eastAsia="zh-CN"/>
      </w:rPr>
      <w:t>大安市钊源房地产开发有限责任公司</w:t>
    </w:r>
    <w:r>
      <w:rPr>
        <w:rFonts w:hint="eastAsia" w:ascii="宋体" w:hAnsi="宋体"/>
        <w:sz w:val="20"/>
        <w:szCs w:val="20"/>
        <w:lang w:eastAsia="zh-CN"/>
      </w:rPr>
      <w:t>拟核实房产价值评估项目报告书</w:t>
    </w:r>
  </w:p>
  <w:p>
    <w:pPr>
      <w:pStyle w:val="8"/>
      <w:rPr>
        <w:rFonts w:hint="eastAsia" w:ascii="宋体" w:hAnsi="宋体"/>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5D966"/>
    <w:multiLevelType w:val="singleLevel"/>
    <w:tmpl w:val="A785D966"/>
    <w:lvl w:ilvl="0" w:tentative="0">
      <w:start w:val="3"/>
      <w:numFmt w:val="decimal"/>
      <w:suff w:val="nothing"/>
      <w:lvlText w:val="%1、"/>
      <w:lvlJc w:val="left"/>
    </w:lvl>
  </w:abstractNum>
  <w:abstractNum w:abstractNumId="1">
    <w:nsid w:val="D3496D2C"/>
    <w:multiLevelType w:val="singleLevel"/>
    <w:tmpl w:val="D3496D2C"/>
    <w:lvl w:ilvl="0" w:tentative="0">
      <w:start w:val="2"/>
      <w:numFmt w:val="chineseCounting"/>
      <w:suff w:val="nothing"/>
      <w:lvlText w:val="（%1）"/>
      <w:lvlJc w:val="left"/>
      <w:rPr>
        <w:rFonts w:hint="eastAsia"/>
      </w:rPr>
    </w:lvl>
  </w:abstractNum>
  <w:abstractNum w:abstractNumId="2">
    <w:nsid w:val="0000000A"/>
    <w:multiLevelType w:val="multilevel"/>
    <w:tmpl w:val="0000000A"/>
    <w:lvl w:ilvl="0" w:tentative="0">
      <w:start w:val="1"/>
      <w:numFmt w:val="decimal"/>
      <w:lvlText w:val="%1、"/>
      <w:lvlJc w:val="left"/>
      <w:pPr>
        <w:tabs>
          <w:tab w:val="left" w:pos="900"/>
        </w:tabs>
        <w:ind w:left="900" w:hanging="360"/>
      </w:pPr>
      <w:rPr>
        <w:rFonts w:ascii="Times New Roman" w:hAnsi="Times New Roman" w:eastAsia="Times New Roman"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57554059"/>
    <w:multiLevelType w:val="singleLevel"/>
    <w:tmpl w:val="57554059"/>
    <w:lvl w:ilvl="0" w:tentative="0">
      <w:start w:val="6"/>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46685"/>
    <w:rsid w:val="023433B4"/>
    <w:rsid w:val="02A95406"/>
    <w:rsid w:val="042042BF"/>
    <w:rsid w:val="0E566BD1"/>
    <w:rsid w:val="0EB30A57"/>
    <w:rsid w:val="10671659"/>
    <w:rsid w:val="10A72DD1"/>
    <w:rsid w:val="11840DB7"/>
    <w:rsid w:val="133022C5"/>
    <w:rsid w:val="141D5F21"/>
    <w:rsid w:val="15F83882"/>
    <w:rsid w:val="177E6962"/>
    <w:rsid w:val="21523D8E"/>
    <w:rsid w:val="28763A38"/>
    <w:rsid w:val="28AA67E1"/>
    <w:rsid w:val="2E023C9D"/>
    <w:rsid w:val="312D55D9"/>
    <w:rsid w:val="342C7D48"/>
    <w:rsid w:val="36C610F5"/>
    <w:rsid w:val="38954727"/>
    <w:rsid w:val="38F918E4"/>
    <w:rsid w:val="3B541E1B"/>
    <w:rsid w:val="3B8A1335"/>
    <w:rsid w:val="3BF60FE2"/>
    <w:rsid w:val="3CCD4C34"/>
    <w:rsid w:val="3FD25D32"/>
    <w:rsid w:val="41E2141F"/>
    <w:rsid w:val="4504790B"/>
    <w:rsid w:val="47C62697"/>
    <w:rsid w:val="4A1A3EB8"/>
    <w:rsid w:val="4B2219DD"/>
    <w:rsid w:val="4CE316A1"/>
    <w:rsid w:val="4E465C33"/>
    <w:rsid w:val="5B8F6676"/>
    <w:rsid w:val="5F4D64B8"/>
    <w:rsid w:val="66ED1345"/>
    <w:rsid w:val="68143C50"/>
    <w:rsid w:val="69403443"/>
    <w:rsid w:val="6CA65F53"/>
    <w:rsid w:val="6DCA494D"/>
    <w:rsid w:val="73D74678"/>
    <w:rsid w:val="7428237D"/>
    <w:rsid w:val="74546685"/>
    <w:rsid w:val="753138AF"/>
    <w:rsid w:val="79240284"/>
    <w:rsid w:val="798E0ED6"/>
    <w:rsid w:val="7A1F14C8"/>
    <w:rsid w:val="7CA80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360" w:lineRule="auto"/>
    </w:pPr>
    <w:rPr>
      <w:rFonts w:ascii="宋体" w:hAnsi="宋体"/>
      <w:sz w:val="24"/>
    </w:rPr>
  </w:style>
  <w:style w:type="paragraph" w:styleId="4">
    <w:name w:val="Body Text Indent"/>
    <w:basedOn w:val="1"/>
    <w:qFormat/>
    <w:uiPriority w:val="0"/>
    <w:pPr>
      <w:adjustRightInd w:val="0"/>
      <w:snapToGrid w:val="0"/>
      <w:spacing w:line="360" w:lineRule="auto"/>
      <w:ind w:firstLine="480" w:firstLineChars="200"/>
    </w:pPr>
    <w:rPr>
      <w:rFonts w:ascii="宋体" w:hAnsi="宋体"/>
      <w:sz w:val="24"/>
    </w:rPr>
  </w:style>
  <w:style w:type="paragraph" w:styleId="5">
    <w:name w:val="Plain Text"/>
    <w:basedOn w:val="1"/>
    <w:qFormat/>
    <w:uiPriority w:val="0"/>
    <w:pPr>
      <w:adjustRightInd w:val="0"/>
      <w:spacing w:line="312" w:lineRule="atLeast"/>
      <w:textAlignment w:val="baseline"/>
    </w:pPr>
    <w:rPr>
      <w:rFonts w:ascii="宋体" w:hAnsi="Courier New" w:eastAsia="宋体"/>
      <w:sz w:val="21"/>
      <w:lang w:val="en-US" w:eastAsia="zh-CN" w:bidi="ar-SA"/>
    </w:rPr>
  </w:style>
  <w:style w:type="paragraph" w:styleId="6">
    <w:name w:val="Body Text Indent 2"/>
    <w:basedOn w:val="1"/>
    <w:qFormat/>
    <w:uiPriority w:val="0"/>
    <w:pPr>
      <w:adjustRightInd w:val="0"/>
      <w:spacing w:line="360" w:lineRule="auto"/>
      <w:ind w:firstLine="600"/>
      <w:textAlignment w:val="baseline"/>
    </w:pPr>
    <w:rPr>
      <w:rFonts w:ascii="宋体"/>
      <w:kern w:val="0"/>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2016-06-06T07:10:00Z</dcterms:created>
  <dc:creator>Administrator</dc:creator>
  <cp:lastModifiedBy>Administrator</cp:lastModifiedBy>
  <cp:lastPrinted>2018-02-10T03:14:00Z</cp:lastPrinted>
  <dcterms:modified xsi:type="dcterms:W3CDTF">2022-01-13T06:01:21Z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C6868C13E36243039312BFCADB72EF29</vt:lpwstr>
  </property>
</Properties>
</file>