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jc w:val="right"/>
        <w:textAlignment w:val="auto"/>
        <w:rPr>
          <w:rFonts w:eastAsia="黑体"/>
          <w:b/>
          <w:bCs/>
          <w:color w:val="000000"/>
          <w:sz w:val="32"/>
        </w:rPr>
      </w:pPr>
      <w:r>
        <w:drawing>
          <wp:inline distT="0" distB="0" distL="114300" distR="114300">
            <wp:extent cx="1259840" cy="1259840"/>
            <wp:effectExtent l="0" t="0" r="16510" b="165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stretch>
                      <a:fillRect/>
                    </a:stretch>
                  </pic:blipFill>
                  <pic:spPr>
                    <a:xfrm>
                      <a:off x="0" y="0"/>
                      <a:ext cx="1259840" cy="1259840"/>
                    </a:xfrm>
                    <a:prstGeom prst="rect">
                      <a:avLst/>
                    </a:prstGeom>
                  </pic:spPr>
                </pic:pic>
              </a:graphicData>
            </a:graphic>
          </wp:inline>
        </w:drawing>
      </w:r>
      <w:r>
        <w:rPr>
          <w:rFonts w:hint="eastAsia"/>
          <w:sz w:val="28"/>
          <w:lang w:val="en-US" w:eastAsia="zh-CN"/>
        </w:rPr>
        <w:t xml:space="preserve">                                                    </w:t>
      </w:r>
    </w:p>
    <w:p>
      <w:pPr>
        <w:spacing w:line="480" w:lineRule="auto"/>
        <w:jc w:val="center"/>
        <w:rPr>
          <w:rFonts w:hint="eastAsia" w:ascii="楷体_GB2312" w:hAnsi="楷体_GB2312" w:eastAsia="楷体_GB2312" w:cs="楷体_GB2312"/>
          <w:b/>
          <w:bCs/>
          <w:color w:val="000000"/>
          <w:sz w:val="16"/>
          <w:szCs w:val="6"/>
          <w:lang w:eastAsia="zh-CN"/>
        </w:rPr>
      </w:pPr>
      <w:r>
        <w:rPr>
          <w:rFonts w:hint="eastAsia" w:ascii="楷体_GB2312" w:hAnsi="楷体_GB2312" w:eastAsia="楷体_GB2312" w:cs="楷体_GB2312"/>
          <w:b/>
          <w:bCs/>
          <w:color w:val="000000"/>
          <w:sz w:val="48"/>
        </w:rPr>
        <w:t>涉执房地产处置司法评估报告</w:t>
      </w:r>
    </w:p>
    <w:p>
      <w:pPr>
        <w:jc w:val="center"/>
        <w:rPr>
          <w:b/>
          <w:bCs/>
          <w:color w:val="auto"/>
          <w:sz w:val="16"/>
          <w:szCs w:val="6"/>
        </w:rPr>
      </w:pPr>
    </w:p>
    <w:p>
      <w:pPr>
        <w:keepNext w:val="0"/>
        <w:keepLines w:val="0"/>
        <w:pageBreakBefore w:val="0"/>
        <w:widowControl w:val="0"/>
        <w:kinsoku/>
        <w:wordWrap/>
        <w:overflowPunct/>
        <w:topLinePunct w:val="0"/>
        <w:autoSpaceDE/>
        <w:autoSpaceDN/>
        <w:bidi w:val="0"/>
        <w:adjustRightInd/>
        <w:snapToGrid/>
        <w:spacing w:before="0" w:after="0" w:line="600" w:lineRule="auto"/>
        <w:textAlignment w:val="auto"/>
        <w:rPr>
          <w:rFonts w:ascii="楷体_GB2312" w:hAnsi="楷体_GB2312" w:eastAsia="楷体_GB2312" w:cs="楷体_GB2312"/>
          <w:color w:val="auto"/>
          <w:sz w:val="32"/>
          <w:szCs w:val="32"/>
        </w:rPr>
      </w:pPr>
      <w:r>
        <w:rPr>
          <w:rFonts w:eastAsia="楷体_GB2312"/>
          <w:b/>
          <w:bCs/>
          <w:color w:val="auto"/>
          <w:spacing w:val="-5"/>
          <w:sz w:val="32"/>
          <w:szCs w:val="32"/>
        </w:rPr>
        <w:t>估 价 报 告 编 号</w:t>
      </w:r>
      <w:r>
        <w:rPr>
          <w:rFonts w:eastAsia="楷体_GB2312"/>
          <w:b/>
          <w:bCs/>
          <w:color w:val="auto"/>
          <w:spacing w:val="20"/>
          <w:sz w:val="32"/>
          <w:szCs w:val="32"/>
        </w:rPr>
        <w:t>：</w:t>
      </w:r>
      <w:r>
        <w:rPr>
          <w:rFonts w:hint="eastAsia" w:ascii="楷体_GB2312" w:hAnsi="楷体_GB2312" w:eastAsia="楷体_GB2312" w:cs="楷体_GB2312"/>
          <w:color w:val="auto"/>
          <w:sz w:val="32"/>
          <w:szCs w:val="32"/>
        </w:rPr>
        <w:t>赣天禄房评（202</w:t>
      </w:r>
      <w:r>
        <w:rPr>
          <w:rFonts w:hint="eastAsia" w:ascii="楷体_GB2312" w:hAnsi="楷体_GB2312" w:eastAsia="楷体_GB2312" w:cs="楷体_GB2312"/>
          <w:color w:val="auto"/>
          <w:sz w:val="32"/>
          <w:szCs w:val="32"/>
          <w:lang w:val="en-US" w:eastAsia="zh-CN"/>
        </w:rPr>
        <w:t>2</w:t>
      </w:r>
      <w:r>
        <w:rPr>
          <w:rFonts w:hint="eastAsia" w:ascii="楷体_GB2312" w:hAnsi="楷体_GB2312" w:eastAsia="楷体_GB2312" w:cs="楷体_GB2312"/>
          <w:color w:val="auto"/>
          <w:sz w:val="32"/>
          <w:szCs w:val="32"/>
        </w:rPr>
        <w:t>）字第</w:t>
      </w:r>
      <w:r>
        <w:rPr>
          <w:rFonts w:hint="eastAsia" w:ascii="楷体_GB2312" w:hAnsi="楷体_GB2312" w:eastAsia="楷体_GB2312" w:cs="楷体_GB2312"/>
          <w:color w:val="auto"/>
          <w:sz w:val="32"/>
          <w:szCs w:val="32"/>
          <w:lang w:val="en-US" w:eastAsia="zh-CN"/>
        </w:rPr>
        <w:t>0669</w:t>
      </w:r>
      <w:r>
        <w:rPr>
          <w:rFonts w:hint="eastAsia" w:ascii="楷体_GB2312" w:hAnsi="楷体_GB2312" w:eastAsia="楷体_GB2312" w:cs="楷体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before="0" w:after="0" w:line="480" w:lineRule="auto"/>
        <w:ind w:left="2978" w:leftChars="9" w:hanging="2959" w:hangingChars="921"/>
        <w:textAlignment w:val="auto"/>
        <w:rPr>
          <w:rFonts w:ascii="楷体_GB2312" w:hAnsi="楷体_GB2312" w:eastAsia="楷体_GB2312" w:cs="楷体_GB2312"/>
          <w:color w:val="000000"/>
          <w:sz w:val="32"/>
          <w:szCs w:val="32"/>
        </w:rPr>
      </w:pPr>
      <w:r>
        <w:rPr>
          <w:rFonts w:eastAsia="楷体_GB2312"/>
          <w:b/>
          <w:bCs/>
          <w:color w:val="000000"/>
          <w:sz w:val="32"/>
          <w:szCs w:val="32"/>
        </w:rPr>
        <w:t>估 价 项 目 名 称</w:t>
      </w:r>
      <w:r>
        <w:rPr>
          <w:rFonts w:eastAsia="楷体_GB2312"/>
          <w:color w:val="000000"/>
          <w:sz w:val="32"/>
          <w:szCs w:val="32"/>
        </w:rPr>
        <w:t>：</w:t>
      </w:r>
      <w:r>
        <w:rPr>
          <w:rFonts w:hint="eastAsia" w:eastAsia="楷体_GB2312"/>
          <w:color w:val="000000"/>
          <w:sz w:val="32"/>
          <w:szCs w:val="32"/>
          <w:lang w:val="en-US" w:eastAsia="zh-CN"/>
        </w:rPr>
        <w:t>萍乡市湘东</w:t>
      </w:r>
      <w:r>
        <w:rPr>
          <w:rFonts w:hint="eastAsia" w:ascii="楷体_GB2312" w:hAnsi="楷体_GB2312" w:eastAsia="楷体_GB2312" w:cs="楷体_GB2312"/>
          <w:color w:val="000000"/>
          <w:sz w:val="32"/>
          <w:szCs w:val="32"/>
          <w:lang w:eastAsia="zh-CN"/>
        </w:rPr>
        <w:t>区人民法院</w:t>
      </w:r>
      <w:r>
        <w:rPr>
          <w:rFonts w:hint="eastAsia" w:ascii="楷体_GB2312" w:hAnsi="楷体_GB2312" w:eastAsia="楷体_GB2312" w:cs="楷体_GB2312"/>
          <w:color w:val="auto"/>
          <w:sz w:val="32"/>
          <w:szCs w:val="32"/>
          <w:lang w:val="en-US" w:eastAsia="zh-CN"/>
        </w:rPr>
        <w:t>执行萍乡农村商业银行股份有限公司与何志军、张贤冬等人金融借款合同纠纷一案涉及张贤冬名下位于萍乡经济技术开发区金三角食品商贸城汇丰五区的非住宅涉执房地产处置司法评估</w:t>
      </w:r>
    </w:p>
    <w:p>
      <w:pPr>
        <w:keepNext w:val="0"/>
        <w:keepLines w:val="0"/>
        <w:pageBreakBefore w:val="0"/>
        <w:widowControl w:val="0"/>
        <w:kinsoku/>
        <w:wordWrap/>
        <w:overflowPunct/>
        <w:topLinePunct w:val="0"/>
        <w:autoSpaceDE/>
        <w:autoSpaceDN/>
        <w:bidi w:val="0"/>
        <w:adjustRightInd/>
        <w:snapToGrid/>
        <w:spacing w:before="0" w:after="0" w:line="600" w:lineRule="auto"/>
        <w:ind w:left="2240" w:hanging="2249" w:hangingChars="700"/>
        <w:textAlignment w:val="auto"/>
        <w:rPr>
          <w:rFonts w:hint="eastAsia" w:eastAsia="楷体_GB2312"/>
          <w:color w:val="000000"/>
          <w:sz w:val="32"/>
          <w:szCs w:val="32"/>
          <w:lang w:eastAsia="zh-CN"/>
        </w:rPr>
      </w:pPr>
      <w:r>
        <w:rPr>
          <w:rFonts w:eastAsia="楷体_GB2312"/>
          <w:b/>
          <w:bCs/>
          <w:color w:val="000000"/>
          <w:sz w:val="32"/>
          <w:szCs w:val="32"/>
        </w:rPr>
        <w:t>估  价  委  托 人</w:t>
      </w:r>
      <w:r>
        <w:rPr>
          <w:rFonts w:eastAsia="楷体_GB2312"/>
          <w:b/>
          <w:bCs/>
          <w:color w:val="000000"/>
          <w:w w:val="96"/>
          <w:sz w:val="32"/>
          <w:szCs w:val="32"/>
        </w:rPr>
        <w:t>：</w:t>
      </w:r>
      <w:r>
        <w:rPr>
          <w:rFonts w:hint="eastAsia" w:ascii="楷体_GB2312" w:hAnsi="楷体_GB2312" w:eastAsia="楷体_GB2312" w:cs="楷体_GB2312"/>
          <w:color w:val="auto"/>
          <w:sz w:val="32"/>
          <w:szCs w:val="32"/>
          <w:lang w:val="en-US" w:eastAsia="zh-CN"/>
        </w:rPr>
        <w:t>萍乡市湘东区人民法院</w:t>
      </w:r>
    </w:p>
    <w:p>
      <w:pPr>
        <w:keepNext w:val="0"/>
        <w:keepLines w:val="0"/>
        <w:pageBreakBefore w:val="0"/>
        <w:widowControl w:val="0"/>
        <w:kinsoku/>
        <w:wordWrap/>
        <w:overflowPunct/>
        <w:topLinePunct w:val="0"/>
        <w:autoSpaceDE/>
        <w:autoSpaceDN/>
        <w:bidi w:val="0"/>
        <w:adjustRightInd/>
        <w:snapToGrid/>
        <w:spacing w:before="0" w:after="0" w:line="600" w:lineRule="auto"/>
        <w:ind w:left="2240" w:hanging="1969" w:hangingChars="700"/>
        <w:textAlignment w:val="auto"/>
        <w:rPr>
          <w:rFonts w:eastAsia="楷体_GB2312"/>
          <w:b/>
          <w:color w:val="000000"/>
          <w:sz w:val="32"/>
          <w:szCs w:val="32"/>
        </w:rPr>
      </w:pPr>
      <w:r>
        <w:rPr>
          <w:rFonts w:eastAsia="楷体_GB2312"/>
          <w:b/>
          <w:bCs/>
          <w:color w:val="000000"/>
          <w:spacing w:val="-20"/>
          <w:sz w:val="32"/>
          <w:szCs w:val="32"/>
        </w:rPr>
        <w:t>房 地 产 估 价 机 构：</w:t>
      </w:r>
      <w:r>
        <w:rPr>
          <w:rFonts w:hint="eastAsia" w:eastAsia="楷体_GB2312"/>
          <w:color w:val="000000"/>
          <w:sz w:val="32"/>
          <w:szCs w:val="32"/>
        </w:rPr>
        <w:t>江西天禄房地产土地资产评估有限公司</w:t>
      </w:r>
    </w:p>
    <w:p>
      <w:pPr>
        <w:keepNext w:val="0"/>
        <w:keepLines w:val="0"/>
        <w:pageBreakBefore w:val="0"/>
        <w:widowControl w:val="0"/>
        <w:kinsoku/>
        <w:wordWrap/>
        <w:overflowPunct/>
        <w:topLinePunct w:val="0"/>
        <w:autoSpaceDE/>
        <w:autoSpaceDN/>
        <w:bidi w:val="0"/>
        <w:adjustRightInd/>
        <w:snapToGrid/>
        <w:spacing w:before="0" w:after="0" w:line="600" w:lineRule="auto"/>
        <w:ind w:left="2240" w:hanging="2403" w:hangingChars="700"/>
        <w:textAlignment w:val="auto"/>
        <w:rPr>
          <w:rFonts w:ascii="楷体_GB2312" w:hAnsi="楷体_GB2312" w:eastAsia="楷体_GB2312" w:cs="楷体_GB2312"/>
          <w:color w:val="000000"/>
          <w:sz w:val="32"/>
          <w:szCs w:val="32"/>
        </w:rPr>
      </w:pPr>
      <w:r>
        <w:rPr>
          <w:rFonts w:eastAsia="楷体_GB2312"/>
          <w:b/>
          <w:bCs/>
          <w:color w:val="000000"/>
          <w:spacing w:val="11"/>
          <w:sz w:val="32"/>
          <w:szCs w:val="32"/>
        </w:rPr>
        <w:t>注册房地产估价</w:t>
      </w:r>
      <w:r>
        <w:rPr>
          <w:rFonts w:eastAsia="楷体_GB2312"/>
          <w:b/>
          <w:bCs/>
          <w:color w:val="000000"/>
          <w:sz w:val="32"/>
          <w:szCs w:val="32"/>
        </w:rPr>
        <w:t>师：</w:t>
      </w:r>
      <w:r>
        <w:rPr>
          <w:rFonts w:hint="eastAsia" w:ascii="楷体_GB2312" w:hAnsi="楷体_GB2312" w:eastAsia="楷体_GB2312" w:cs="楷体_GB2312"/>
          <w:color w:val="000000"/>
          <w:sz w:val="32"/>
          <w:szCs w:val="32"/>
          <w:lang w:eastAsia="zh-CN"/>
        </w:rPr>
        <w:t>蒋南斌</w:t>
      </w:r>
      <w:r>
        <w:rPr>
          <w:rFonts w:hint="eastAsia" w:ascii="楷体_GB2312" w:hAnsi="楷体_GB2312" w:eastAsia="楷体_GB2312" w:cs="楷体_GB2312"/>
          <w:color w:val="000000"/>
          <w:sz w:val="32"/>
          <w:szCs w:val="32"/>
        </w:rPr>
        <w:t>（注册号：</w:t>
      </w:r>
      <w:r>
        <w:rPr>
          <w:rFonts w:hint="eastAsia" w:ascii="楷体_GB2312" w:hAnsi="楷体_GB2312" w:eastAsia="楷体_GB2312" w:cs="楷体_GB2312"/>
          <w:color w:val="000000"/>
          <w:sz w:val="32"/>
          <w:szCs w:val="32"/>
          <w:lang w:eastAsia="zh-CN"/>
        </w:rPr>
        <w:t>3220150163</w:t>
      </w:r>
      <w:r>
        <w:rPr>
          <w:rFonts w:hint="eastAsia" w:ascii="楷体_GB2312" w:hAnsi="楷体_GB2312" w:eastAsia="楷体_GB2312" w:cs="楷体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before="0" w:after="0" w:line="600" w:lineRule="auto"/>
        <w:ind w:firstLine="3040" w:firstLineChars="950"/>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color w:val="000000"/>
          <w:sz w:val="32"/>
          <w:szCs w:val="32"/>
        </w:rPr>
        <w:t>李宏宇（注册号：3620190029）</w:t>
      </w:r>
    </w:p>
    <w:p>
      <w:pPr>
        <w:keepNext w:val="0"/>
        <w:keepLines w:val="0"/>
        <w:pageBreakBefore w:val="0"/>
        <w:widowControl w:val="0"/>
        <w:kinsoku/>
        <w:wordWrap/>
        <w:overflowPunct/>
        <w:topLinePunct w:val="0"/>
        <w:autoSpaceDE/>
        <w:autoSpaceDN/>
        <w:bidi w:val="0"/>
        <w:adjustRightInd/>
        <w:snapToGrid/>
        <w:spacing w:before="0" w:after="0" w:line="600" w:lineRule="auto"/>
        <w:ind w:left="2240" w:hanging="2403" w:hangingChars="700"/>
        <w:textAlignment w:val="auto"/>
        <w:rPr>
          <w:rFonts w:hint="eastAsia" w:eastAsia="楷体_GB2312"/>
          <w:color w:val="000000"/>
          <w:sz w:val="32"/>
          <w:szCs w:val="32"/>
          <w:lang w:eastAsia="zh-CN"/>
        </w:rPr>
      </w:pPr>
      <w:r>
        <w:rPr>
          <w:rFonts w:eastAsia="楷体_GB2312"/>
          <w:b/>
          <w:bCs/>
          <w:color w:val="000000"/>
          <w:spacing w:val="11"/>
          <w:sz w:val="32"/>
          <w:szCs w:val="32"/>
        </w:rPr>
        <w:t>估价报告出具日期：</w:t>
      </w:r>
      <w:r>
        <w:rPr>
          <w:rFonts w:hint="eastAsia" w:eastAsia="楷体_GB2312"/>
          <w:color w:val="000000"/>
          <w:sz w:val="32"/>
          <w:szCs w:val="32"/>
          <w:lang w:eastAsia="zh-CN"/>
        </w:rPr>
        <w:t>二〇二</w:t>
      </w:r>
      <w:r>
        <w:rPr>
          <w:rFonts w:hint="eastAsia" w:eastAsia="楷体_GB2312"/>
          <w:color w:val="000000"/>
          <w:sz w:val="32"/>
          <w:szCs w:val="32"/>
          <w:lang w:val="en-US" w:eastAsia="zh-CN"/>
        </w:rPr>
        <w:t>二</w:t>
      </w:r>
      <w:r>
        <w:rPr>
          <w:rFonts w:hint="eastAsia" w:eastAsia="楷体_GB2312"/>
          <w:color w:val="000000"/>
          <w:sz w:val="32"/>
          <w:szCs w:val="32"/>
          <w:lang w:eastAsia="zh-CN"/>
        </w:rPr>
        <w:t>年</w:t>
      </w:r>
      <w:r>
        <w:rPr>
          <w:rFonts w:hint="eastAsia" w:eastAsia="楷体_GB2312"/>
          <w:color w:val="000000"/>
          <w:sz w:val="32"/>
          <w:szCs w:val="32"/>
          <w:lang w:val="en-US" w:eastAsia="zh-CN"/>
        </w:rPr>
        <w:t>六</w:t>
      </w:r>
      <w:r>
        <w:rPr>
          <w:rFonts w:hint="eastAsia" w:eastAsia="楷体_GB2312"/>
          <w:color w:val="000000"/>
          <w:sz w:val="32"/>
          <w:szCs w:val="32"/>
          <w:lang w:eastAsia="zh-CN"/>
        </w:rPr>
        <w:t>月</w:t>
      </w:r>
      <w:r>
        <w:rPr>
          <w:rFonts w:hint="eastAsia" w:eastAsia="楷体_GB2312"/>
          <w:color w:val="000000"/>
          <w:sz w:val="32"/>
          <w:szCs w:val="32"/>
          <w:lang w:val="en-US" w:eastAsia="zh-CN"/>
        </w:rPr>
        <w:t>二十七</w:t>
      </w:r>
      <w:r>
        <w:rPr>
          <w:rFonts w:hint="eastAsia" w:eastAsia="楷体_GB2312"/>
          <w:color w:val="000000"/>
          <w:sz w:val="32"/>
          <w:szCs w:val="32"/>
          <w:lang w:eastAsia="zh-CN"/>
        </w:rPr>
        <w:t>日</w:t>
      </w:r>
    </w:p>
    <w:p>
      <w:pPr>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eastAsia="仿宋_GB2312"/>
          <w:b/>
          <w:color w:val="000000"/>
          <w:sz w:val="32"/>
          <w:szCs w:val="32"/>
        </w:rPr>
      </w:pPr>
      <w:r>
        <w:rPr>
          <w:color w:val="000000"/>
        </w:rPr>
        <w:br w:type="page"/>
      </w:r>
      <w:r>
        <w:rPr>
          <w:rFonts w:eastAsia="仿宋_GB2312"/>
          <w:b/>
          <w:color w:val="000000"/>
          <w:sz w:val="32"/>
          <w:szCs w:val="32"/>
        </w:rPr>
        <w:t>致估价委托人函</w:t>
      </w:r>
    </w:p>
    <w:p>
      <w:pPr>
        <w:pStyle w:val="10"/>
        <w:keepNext w:val="0"/>
        <w:keepLines w:val="0"/>
        <w:pageBreakBefore w:val="0"/>
        <w:widowControl w:val="0"/>
        <w:kinsoku/>
        <w:wordWrap/>
        <w:overflowPunct/>
        <w:topLinePunct w:val="0"/>
        <w:autoSpaceDE/>
        <w:autoSpaceDN/>
        <w:bidi w:val="0"/>
        <w:adjustRightInd/>
        <w:snapToGrid/>
        <w:spacing w:before="312" w:beforeLines="100" w:after="0" w:line="360" w:lineRule="auto"/>
        <w:textAlignment w:val="auto"/>
        <w:rPr>
          <w:rFonts w:ascii="Times New Roman" w:eastAsia="仿宋_GB2312"/>
          <w:color w:val="000000"/>
          <w:spacing w:val="0"/>
          <w:sz w:val="28"/>
          <w:szCs w:val="28"/>
        </w:rPr>
      </w:pPr>
      <w:r>
        <w:rPr>
          <w:rFonts w:hint="eastAsia" w:ascii="Times New Roman" w:eastAsia="仿宋_GB2312"/>
          <w:color w:val="000000"/>
          <w:spacing w:val="0"/>
          <w:sz w:val="28"/>
          <w:szCs w:val="28"/>
        </w:rPr>
        <w:t>萍乡市湘东区人民法院</w:t>
      </w:r>
      <w:r>
        <w:rPr>
          <w:rFonts w:ascii="Times New Roman" w:eastAsia="仿宋_GB2312"/>
          <w:color w:val="000000"/>
          <w:spacing w:val="0"/>
          <w:sz w:val="28"/>
          <w:szCs w:val="28"/>
        </w:rPr>
        <w:t>：</w:t>
      </w:r>
    </w:p>
    <w:p>
      <w:pPr>
        <w:keepNext w:val="0"/>
        <w:keepLines w:val="0"/>
        <w:pageBreakBefore w:val="0"/>
        <w:widowControl w:val="0"/>
        <w:tabs>
          <w:tab w:val="left" w:pos="267"/>
        </w:tabs>
        <w:kinsoku/>
        <w:wordWrap/>
        <w:overflowPunct/>
        <w:topLinePunct w:val="0"/>
        <w:autoSpaceDE/>
        <w:autoSpaceDN/>
        <w:bidi w:val="0"/>
        <w:adjustRightInd w:val="0"/>
        <w:snapToGrid w:val="0"/>
        <w:spacing w:before="0" w:after="0" w:line="360" w:lineRule="auto"/>
        <w:ind w:firstLine="560" w:firstLineChars="200"/>
        <w:textAlignment w:val="auto"/>
        <w:rPr>
          <w:rFonts w:ascii="仿宋_GB2312" w:hAnsi="仿宋_GB2312" w:eastAsia="仿宋_GB2312" w:cs="仿宋_GB2312"/>
          <w:snapToGrid w:val="0"/>
          <w:color w:val="auto"/>
          <w:kern w:val="0"/>
          <w:sz w:val="28"/>
          <w:szCs w:val="20"/>
        </w:rPr>
      </w:pPr>
      <w:r>
        <w:rPr>
          <w:rFonts w:hint="eastAsia" w:ascii="仿宋_GB2312" w:hAnsi="仿宋_GB2312" w:eastAsia="仿宋_GB2312" w:cs="仿宋_GB2312"/>
          <w:snapToGrid w:val="0"/>
          <w:color w:val="auto"/>
          <w:kern w:val="0"/>
          <w:sz w:val="28"/>
          <w:szCs w:val="20"/>
        </w:rPr>
        <w:t>承蒙委托，我公司对</w:t>
      </w:r>
      <w:r>
        <w:rPr>
          <w:rFonts w:hint="eastAsia" w:ascii="仿宋_GB2312" w:hAnsi="仿宋_GB2312" w:eastAsia="仿宋_GB2312" w:cs="仿宋_GB2312"/>
          <w:snapToGrid w:val="0"/>
          <w:color w:val="auto"/>
          <w:kern w:val="0"/>
          <w:sz w:val="28"/>
          <w:szCs w:val="20"/>
          <w:lang w:eastAsia="zh-CN"/>
        </w:rPr>
        <w:t>贵院执行萍乡农村商业银行股份有限公司与何志军、张贤冬等人金融借款合同纠纷一案涉及张贤冬名下位于萍乡经济技术开发区金三角食品商贸城汇丰五区的非住宅房地产</w:t>
      </w:r>
      <w:r>
        <w:rPr>
          <w:rFonts w:hint="eastAsia" w:ascii="仿宋_GB2312" w:hAnsi="仿宋_GB2312" w:eastAsia="仿宋_GB2312" w:cs="仿宋_GB2312"/>
          <w:snapToGrid w:val="0"/>
          <w:color w:val="auto"/>
          <w:kern w:val="0"/>
          <w:sz w:val="28"/>
          <w:szCs w:val="20"/>
        </w:rPr>
        <w:t>价</w:t>
      </w:r>
      <w:r>
        <w:rPr>
          <w:rFonts w:hint="eastAsia" w:ascii="仿宋_GB2312" w:hAnsi="仿宋_GB2312" w:eastAsia="仿宋_GB2312" w:cs="仿宋_GB2312"/>
          <w:snapToGrid w:val="0"/>
          <w:color w:val="auto"/>
          <w:kern w:val="0"/>
          <w:sz w:val="28"/>
          <w:szCs w:val="20"/>
          <w:lang w:val="en-US" w:eastAsia="zh-CN"/>
        </w:rPr>
        <w:t>格</w:t>
      </w:r>
      <w:r>
        <w:rPr>
          <w:rFonts w:hint="eastAsia" w:ascii="仿宋_GB2312" w:hAnsi="仿宋_GB2312" w:eastAsia="仿宋_GB2312" w:cs="仿宋_GB2312"/>
          <w:snapToGrid w:val="0"/>
          <w:color w:val="auto"/>
          <w:kern w:val="0"/>
          <w:sz w:val="28"/>
          <w:szCs w:val="20"/>
        </w:rPr>
        <w:t>进行了估价</w:t>
      </w:r>
      <w:r>
        <w:rPr>
          <w:rFonts w:hint="eastAsia" w:ascii="仿宋_GB2312" w:hAnsi="仿宋_GB2312" w:eastAsia="仿宋_GB2312" w:cs="仿宋_GB2312"/>
          <w:snapToGrid w:val="0"/>
          <w:kern w:val="0"/>
          <w:sz w:val="28"/>
          <w:szCs w:val="20"/>
        </w:rPr>
        <w:t>，价值时点为</w:t>
      </w:r>
      <w:r>
        <w:rPr>
          <w:rFonts w:hint="eastAsia" w:ascii="仿宋_GB2312" w:hAnsi="仿宋_GB2312" w:eastAsia="仿宋_GB2312" w:cs="仿宋_GB2312"/>
          <w:snapToGrid w:val="0"/>
          <w:kern w:val="0"/>
          <w:sz w:val="28"/>
          <w:szCs w:val="20"/>
          <w:lang w:eastAsia="zh-CN"/>
        </w:rPr>
        <w:t>202</w:t>
      </w:r>
      <w:r>
        <w:rPr>
          <w:rFonts w:hint="eastAsia" w:ascii="仿宋_GB2312" w:hAnsi="仿宋_GB2312" w:eastAsia="仿宋_GB2312" w:cs="仿宋_GB2312"/>
          <w:snapToGrid w:val="0"/>
          <w:kern w:val="0"/>
          <w:sz w:val="28"/>
          <w:szCs w:val="20"/>
          <w:lang w:val="en-US" w:eastAsia="zh-CN"/>
        </w:rPr>
        <w:t>2</w:t>
      </w:r>
      <w:r>
        <w:rPr>
          <w:rFonts w:hint="eastAsia" w:ascii="仿宋_GB2312" w:hAnsi="仿宋_GB2312" w:eastAsia="仿宋_GB2312" w:cs="仿宋_GB2312"/>
          <w:snapToGrid w:val="0"/>
          <w:kern w:val="0"/>
          <w:sz w:val="28"/>
          <w:szCs w:val="20"/>
          <w:lang w:eastAsia="zh-CN"/>
        </w:rPr>
        <w:t>年</w:t>
      </w:r>
      <w:r>
        <w:rPr>
          <w:rFonts w:hint="eastAsia" w:ascii="仿宋_GB2312" w:hAnsi="仿宋_GB2312" w:eastAsia="仿宋_GB2312" w:cs="仿宋_GB2312"/>
          <w:snapToGrid w:val="0"/>
          <w:kern w:val="0"/>
          <w:sz w:val="28"/>
          <w:szCs w:val="20"/>
          <w:lang w:val="en-US" w:eastAsia="zh-CN"/>
        </w:rPr>
        <w:t>06</w:t>
      </w:r>
      <w:r>
        <w:rPr>
          <w:rFonts w:hint="eastAsia" w:ascii="仿宋_GB2312" w:hAnsi="仿宋_GB2312" w:eastAsia="仿宋_GB2312" w:cs="仿宋_GB2312"/>
          <w:snapToGrid w:val="0"/>
          <w:kern w:val="0"/>
          <w:sz w:val="28"/>
          <w:szCs w:val="20"/>
          <w:lang w:eastAsia="zh-CN"/>
        </w:rPr>
        <w:t>月</w:t>
      </w:r>
      <w:r>
        <w:rPr>
          <w:rFonts w:hint="eastAsia" w:ascii="仿宋_GB2312" w:hAnsi="仿宋_GB2312" w:eastAsia="仿宋_GB2312" w:cs="仿宋_GB2312"/>
          <w:snapToGrid w:val="0"/>
          <w:kern w:val="0"/>
          <w:sz w:val="28"/>
          <w:szCs w:val="20"/>
          <w:lang w:val="en-US" w:eastAsia="zh-CN"/>
        </w:rPr>
        <w:t>07</w:t>
      </w:r>
      <w:r>
        <w:rPr>
          <w:rFonts w:hint="eastAsia" w:ascii="仿宋_GB2312" w:hAnsi="仿宋_GB2312" w:eastAsia="仿宋_GB2312" w:cs="仿宋_GB2312"/>
          <w:snapToGrid w:val="0"/>
          <w:kern w:val="0"/>
          <w:sz w:val="28"/>
          <w:szCs w:val="20"/>
          <w:lang w:eastAsia="zh-CN"/>
        </w:rPr>
        <w:t>日</w:t>
      </w:r>
      <w:r>
        <w:rPr>
          <w:rFonts w:hint="eastAsia" w:ascii="仿宋_GB2312" w:hAnsi="仿宋_GB2312" w:eastAsia="仿宋_GB2312" w:cs="仿宋_GB2312"/>
          <w:snapToGrid w:val="0"/>
          <w:kern w:val="0"/>
          <w:sz w:val="28"/>
          <w:szCs w:val="20"/>
        </w:rPr>
        <w:t>，估价对象</w:t>
      </w:r>
      <w:r>
        <w:rPr>
          <w:rFonts w:hint="eastAsia" w:ascii="仿宋_GB2312" w:hAnsi="仿宋_GB2312" w:eastAsia="仿宋_GB2312" w:cs="仿宋_GB2312"/>
          <w:snapToGrid w:val="0"/>
          <w:color w:val="auto"/>
          <w:kern w:val="0"/>
          <w:sz w:val="28"/>
          <w:szCs w:val="20"/>
        </w:rPr>
        <w:t>房屋</w:t>
      </w:r>
      <w:r>
        <w:rPr>
          <w:rFonts w:hint="eastAsia" w:ascii="仿宋_GB2312" w:hAnsi="仿宋_GB2312" w:eastAsia="仿宋_GB2312" w:cs="仿宋_GB2312"/>
          <w:snapToGrid w:val="0"/>
          <w:color w:val="auto"/>
          <w:kern w:val="0"/>
          <w:sz w:val="28"/>
          <w:szCs w:val="20"/>
          <w:lang w:eastAsia="zh-CN"/>
        </w:rPr>
        <w:t>总</w:t>
      </w:r>
      <w:r>
        <w:rPr>
          <w:rFonts w:hint="eastAsia" w:ascii="仿宋_GB2312" w:hAnsi="仿宋_GB2312" w:eastAsia="仿宋_GB2312" w:cs="仿宋_GB2312"/>
          <w:snapToGrid w:val="0"/>
          <w:color w:val="auto"/>
          <w:kern w:val="0"/>
          <w:sz w:val="28"/>
          <w:szCs w:val="20"/>
        </w:rPr>
        <w:t>建筑面积为103.57平方米，估价目的是为人民法院确定财产处置参考价提供参考依据。</w:t>
      </w:r>
    </w:p>
    <w:p>
      <w:pPr>
        <w:keepNext w:val="0"/>
        <w:keepLines w:val="0"/>
        <w:pageBreakBefore w:val="0"/>
        <w:widowControl w:val="0"/>
        <w:tabs>
          <w:tab w:val="left" w:pos="267"/>
        </w:tabs>
        <w:kinsoku/>
        <w:wordWrap/>
        <w:overflowPunct/>
        <w:topLinePunct w:val="0"/>
        <w:autoSpaceDE/>
        <w:autoSpaceDN/>
        <w:bidi w:val="0"/>
        <w:adjustRightInd w:val="0"/>
        <w:snapToGrid w:val="0"/>
        <w:spacing w:before="0" w:after="0" w:line="360" w:lineRule="auto"/>
        <w:ind w:firstLine="560" w:firstLineChars="200"/>
        <w:textAlignment w:val="auto"/>
        <w:rPr>
          <w:rFonts w:hint="eastAsia" w:ascii="仿宋_GB2312" w:hAnsi="仿宋_GB2312" w:eastAsia="仿宋_GB2312" w:cs="仿宋_GB2312"/>
          <w:snapToGrid w:val="0"/>
          <w:color w:val="auto"/>
          <w:kern w:val="0"/>
          <w:sz w:val="28"/>
          <w:szCs w:val="20"/>
        </w:rPr>
      </w:pPr>
      <w:r>
        <w:rPr>
          <w:rFonts w:hint="eastAsia" w:ascii="仿宋_GB2312" w:hAnsi="仿宋_GB2312" w:eastAsia="仿宋_GB2312" w:cs="仿宋_GB2312"/>
          <w:snapToGrid w:val="0"/>
          <w:color w:val="auto"/>
          <w:kern w:val="0"/>
          <w:sz w:val="28"/>
          <w:szCs w:val="20"/>
        </w:rPr>
        <w:t>经过实地查勘和市场调查，遵照《中华人民共和国城市房地产管理法》、《中华人民共和国资产评估法》、《房地产估价规范》、《房地产估价基本术语标准》及其他相关法规，遵循估价原则，按照估价程序，根据估价目的和贵方提供的相关资料，结合估价师的经验，</w:t>
      </w:r>
      <w:r>
        <w:rPr>
          <w:rFonts w:hint="eastAsia" w:eastAsia="仿宋_GB2312"/>
          <w:snapToGrid w:val="0"/>
          <w:color w:val="auto"/>
          <w:kern w:val="0"/>
          <w:sz w:val="28"/>
          <w:szCs w:val="20"/>
          <w:lang w:eastAsia="zh-CN"/>
        </w:rPr>
        <w:t>选用比较法进行测算</w:t>
      </w:r>
      <w:r>
        <w:rPr>
          <w:rFonts w:hint="eastAsia" w:ascii="仿宋_GB2312" w:hAnsi="仿宋_GB2312" w:eastAsia="仿宋_GB2312" w:cs="仿宋_GB2312"/>
          <w:snapToGrid w:val="0"/>
          <w:color w:val="auto"/>
          <w:kern w:val="0"/>
          <w:sz w:val="28"/>
          <w:szCs w:val="20"/>
        </w:rPr>
        <w:t>，在综合分析影响估价对象房地产价格因素的基础上测算出估价对象在价值时点2022年06月07</w:t>
      </w:r>
      <w:r>
        <w:rPr>
          <w:rFonts w:hint="eastAsia" w:ascii="仿宋_GB2312" w:hAnsi="仿宋_GB2312" w:eastAsia="仿宋_GB2312" w:cs="仿宋_GB2312"/>
          <w:snapToGrid w:val="0"/>
          <w:color w:val="auto"/>
          <w:kern w:val="0"/>
          <w:sz w:val="28"/>
          <w:szCs w:val="20"/>
          <w:lang w:val="en-US" w:eastAsia="zh-CN"/>
        </w:rPr>
        <w:t>日</w:t>
      </w:r>
      <w:r>
        <w:rPr>
          <w:rFonts w:hint="eastAsia" w:ascii="仿宋_GB2312" w:hAnsi="仿宋_GB2312" w:eastAsia="仿宋_GB2312" w:cs="仿宋_GB2312"/>
          <w:snapToGrid w:val="0"/>
          <w:color w:val="auto"/>
          <w:kern w:val="0"/>
          <w:sz w:val="28"/>
          <w:szCs w:val="20"/>
        </w:rPr>
        <w:t>的</w:t>
      </w:r>
      <w:r>
        <w:rPr>
          <w:rFonts w:hint="eastAsia" w:ascii="仿宋_GB2312" w:hAnsi="仿宋_GB2312" w:eastAsia="仿宋_GB2312" w:cs="仿宋_GB2312"/>
          <w:snapToGrid w:val="0"/>
          <w:color w:val="auto"/>
          <w:kern w:val="0"/>
          <w:sz w:val="28"/>
          <w:szCs w:val="20"/>
          <w:lang w:val="en-US" w:eastAsia="zh-CN"/>
        </w:rPr>
        <w:t>房地产</w:t>
      </w:r>
      <w:r>
        <w:rPr>
          <w:rFonts w:hint="eastAsia" w:ascii="仿宋_GB2312" w:hAnsi="仿宋_GB2312" w:eastAsia="仿宋_GB2312" w:cs="仿宋_GB2312"/>
          <w:snapToGrid w:val="0"/>
          <w:color w:val="auto"/>
          <w:kern w:val="0"/>
          <w:sz w:val="28"/>
          <w:szCs w:val="20"/>
          <w:shd w:val="clear" w:color="auto" w:fill="auto"/>
        </w:rPr>
        <w:t>市场价值为</w:t>
      </w:r>
      <w:r>
        <w:rPr>
          <w:rFonts w:hint="eastAsia" w:ascii="仿宋_GB2312" w:hAnsi="仿宋_GB2312" w:eastAsia="仿宋_GB2312" w:cs="仿宋_GB2312"/>
          <w:b/>
          <w:bCs/>
          <w:snapToGrid w:val="0"/>
          <w:color w:val="auto"/>
          <w:kern w:val="0"/>
          <w:sz w:val="28"/>
          <w:szCs w:val="20"/>
          <w:shd w:val="clear" w:color="auto" w:fill="auto"/>
        </w:rPr>
        <w:t>68.05</w:t>
      </w:r>
      <w:r>
        <w:rPr>
          <w:rFonts w:hint="eastAsia" w:ascii="仿宋_GB2312" w:hAnsi="仿宋_GB2312" w:eastAsia="仿宋_GB2312" w:cs="仿宋_GB2312"/>
          <w:snapToGrid w:val="0"/>
          <w:color w:val="auto"/>
          <w:kern w:val="0"/>
          <w:sz w:val="28"/>
          <w:szCs w:val="20"/>
          <w:shd w:val="clear" w:color="auto" w:fill="auto"/>
          <w:lang w:val="en-US" w:eastAsia="zh-CN"/>
        </w:rPr>
        <w:t>万</w:t>
      </w:r>
      <w:r>
        <w:rPr>
          <w:rFonts w:hint="eastAsia" w:ascii="仿宋_GB2312" w:hAnsi="仿宋_GB2312" w:eastAsia="仿宋_GB2312" w:cs="仿宋_GB2312"/>
          <w:b w:val="0"/>
          <w:bCs w:val="0"/>
          <w:snapToGrid w:val="0"/>
          <w:color w:val="auto"/>
          <w:kern w:val="0"/>
          <w:sz w:val="28"/>
          <w:szCs w:val="20"/>
          <w:shd w:val="clear" w:color="auto" w:fill="auto"/>
        </w:rPr>
        <w:t>元</w:t>
      </w:r>
      <w:r>
        <w:rPr>
          <w:rFonts w:hint="eastAsia" w:ascii="仿宋_GB2312" w:hAnsi="仿宋_GB2312" w:eastAsia="仿宋_GB2312" w:cs="仿宋_GB2312"/>
          <w:snapToGrid w:val="0"/>
          <w:color w:val="auto"/>
          <w:kern w:val="0"/>
          <w:sz w:val="28"/>
          <w:szCs w:val="20"/>
          <w:shd w:val="clear" w:color="auto" w:fill="auto"/>
        </w:rPr>
        <w:t>，人民币大写：</w:t>
      </w:r>
      <w:r>
        <w:rPr>
          <w:rFonts w:hint="eastAsia" w:ascii="仿宋_GB2312" w:hAnsi="仿宋_GB2312" w:eastAsia="仿宋_GB2312" w:cs="仿宋_GB2312"/>
          <w:b/>
          <w:bCs/>
          <w:snapToGrid w:val="0"/>
          <w:color w:val="auto"/>
          <w:kern w:val="0"/>
          <w:sz w:val="28"/>
          <w:szCs w:val="20"/>
          <w:shd w:val="clear" w:color="auto" w:fill="auto"/>
        </w:rPr>
        <w:fldChar w:fldCharType="begin"/>
      </w:r>
      <w:r>
        <w:rPr>
          <w:rFonts w:hint="eastAsia" w:ascii="仿宋_GB2312" w:hAnsi="仿宋_GB2312" w:eastAsia="仿宋_GB2312" w:cs="仿宋_GB2312"/>
          <w:b/>
          <w:bCs/>
          <w:snapToGrid w:val="0"/>
          <w:color w:val="auto"/>
          <w:kern w:val="0"/>
          <w:sz w:val="28"/>
          <w:szCs w:val="20"/>
          <w:shd w:val="clear" w:color="auto" w:fill="auto"/>
        </w:rPr>
        <w:instrText xml:space="preserve"> = 680500 \* CHINESENUM2 \* MERGEFORMAT </w:instrText>
      </w:r>
      <w:r>
        <w:rPr>
          <w:rFonts w:hint="eastAsia" w:ascii="仿宋_GB2312" w:hAnsi="仿宋_GB2312" w:eastAsia="仿宋_GB2312" w:cs="仿宋_GB2312"/>
          <w:b/>
          <w:bCs/>
          <w:snapToGrid w:val="0"/>
          <w:color w:val="auto"/>
          <w:kern w:val="0"/>
          <w:sz w:val="28"/>
          <w:szCs w:val="20"/>
          <w:shd w:val="clear" w:color="auto" w:fill="auto"/>
        </w:rPr>
        <w:fldChar w:fldCharType="separate"/>
      </w:r>
      <w:r>
        <w:rPr>
          <w:rFonts w:hint="eastAsia" w:ascii="仿宋_GB2312" w:hAnsi="仿宋_GB2312" w:eastAsia="仿宋_GB2312" w:cs="仿宋_GB2312"/>
          <w:b/>
          <w:bCs/>
          <w:snapToGrid w:val="0"/>
          <w:color w:val="auto"/>
          <w:kern w:val="0"/>
          <w:sz w:val="28"/>
          <w:szCs w:val="20"/>
          <w:shd w:val="clear" w:color="auto" w:fill="auto"/>
        </w:rPr>
        <w:t>陆拾捌万零伍佰</w:t>
      </w:r>
      <w:r>
        <w:rPr>
          <w:rFonts w:hint="eastAsia" w:ascii="仿宋_GB2312" w:hAnsi="仿宋_GB2312" w:eastAsia="仿宋_GB2312" w:cs="仿宋_GB2312"/>
          <w:b/>
          <w:bCs/>
          <w:snapToGrid w:val="0"/>
          <w:color w:val="auto"/>
          <w:kern w:val="0"/>
          <w:sz w:val="28"/>
          <w:szCs w:val="20"/>
          <w:shd w:val="clear" w:color="auto" w:fill="auto"/>
        </w:rPr>
        <w:fldChar w:fldCharType="end"/>
      </w:r>
      <w:r>
        <w:rPr>
          <w:rFonts w:hint="eastAsia" w:ascii="仿宋_GB2312" w:hAnsi="仿宋_GB2312" w:eastAsia="仿宋_GB2312" w:cs="仿宋_GB2312"/>
          <w:b w:val="0"/>
          <w:bCs w:val="0"/>
          <w:snapToGrid w:val="0"/>
          <w:color w:val="auto"/>
          <w:kern w:val="0"/>
          <w:sz w:val="28"/>
          <w:szCs w:val="20"/>
          <w:shd w:val="clear" w:color="auto" w:fill="auto"/>
          <w:lang w:eastAsia="zh-CN"/>
        </w:rPr>
        <w:t>元整</w:t>
      </w:r>
      <w:r>
        <w:rPr>
          <w:rFonts w:hint="eastAsia" w:ascii="仿宋_GB2312" w:hAnsi="仿宋_GB2312" w:eastAsia="仿宋_GB2312" w:cs="仿宋_GB2312"/>
          <w:snapToGrid w:val="0"/>
          <w:color w:val="auto"/>
          <w:kern w:val="0"/>
          <w:sz w:val="28"/>
          <w:szCs w:val="20"/>
          <w:shd w:val="clear" w:color="auto" w:fill="auto"/>
          <w:lang w:eastAsia="zh-CN"/>
        </w:rPr>
        <w:t>，</w:t>
      </w:r>
      <w:r>
        <w:rPr>
          <w:rFonts w:hint="eastAsia" w:ascii="仿宋_GB2312" w:hAnsi="宋体" w:eastAsia="仿宋_GB2312"/>
          <w:color w:val="auto"/>
          <w:sz w:val="28"/>
          <w:shd w:val="clear" w:color="auto" w:fill="auto"/>
        </w:rPr>
        <w:t>具体详见《评估结果明细表》</w:t>
      </w:r>
      <w:r>
        <w:rPr>
          <w:rFonts w:hint="eastAsia" w:ascii="仿宋_GB2312" w:hAnsi="仿宋_GB2312" w:eastAsia="仿宋_GB2312" w:cs="仿宋_GB2312"/>
          <w:snapToGrid w:val="0"/>
          <w:color w:val="auto"/>
          <w:kern w:val="0"/>
          <w:sz w:val="28"/>
          <w:szCs w:val="20"/>
          <w:shd w:val="clear" w:color="auto" w:fill="auto"/>
        </w:rPr>
        <w:t>。</w:t>
      </w:r>
    </w:p>
    <w:p>
      <w:pPr>
        <w:keepNext w:val="0"/>
        <w:keepLines w:val="0"/>
        <w:pageBreakBefore w:val="0"/>
        <w:widowControl w:val="0"/>
        <w:tabs>
          <w:tab w:val="left" w:pos="267"/>
        </w:tabs>
        <w:kinsoku/>
        <w:wordWrap/>
        <w:overflowPunct/>
        <w:topLinePunct w:val="0"/>
        <w:autoSpaceDE/>
        <w:autoSpaceDN/>
        <w:bidi w:val="0"/>
        <w:adjustRightInd w:val="0"/>
        <w:snapToGrid w:val="0"/>
        <w:spacing w:before="0" w:after="0" w:line="420" w:lineRule="exact"/>
        <w:ind w:firstLine="560" w:firstLineChars="200"/>
        <w:textAlignment w:val="auto"/>
        <w:rPr>
          <w:rFonts w:hint="eastAsia" w:ascii="仿宋_GB2312" w:hAnsi="仿宋_GB2312" w:eastAsia="仿宋_GB2312" w:cs="仿宋_GB2312"/>
          <w:snapToGrid w:val="0"/>
          <w:kern w:val="0"/>
          <w:sz w:val="28"/>
          <w:szCs w:val="20"/>
          <w:lang w:val="en-US" w:eastAsia="zh-CN"/>
        </w:rPr>
      </w:pPr>
      <w:r>
        <w:rPr>
          <w:rFonts w:hint="eastAsia" w:ascii="仿宋_GB2312" w:hAnsi="仿宋_GB2312" w:eastAsia="仿宋_GB2312" w:cs="仿宋_GB2312"/>
          <w:snapToGrid w:val="0"/>
          <w:kern w:val="0"/>
          <w:sz w:val="28"/>
          <w:szCs w:val="20"/>
          <w:lang w:val="en-US" w:eastAsia="zh-CN"/>
        </w:rPr>
        <w:t xml:space="preserve">                     评估结果明细表</w:t>
      </w:r>
    </w:p>
    <w:tbl>
      <w:tblPr>
        <w:tblStyle w:val="24"/>
        <w:tblW w:w="100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0"/>
        <w:gridCol w:w="1505"/>
        <w:gridCol w:w="885"/>
        <w:gridCol w:w="1485"/>
        <w:gridCol w:w="675"/>
        <w:gridCol w:w="690"/>
        <w:gridCol w:w="671"/>
        <w:gridCol w:w="960"/>
        <w:gridCol w:w="900"/>
        <w:gridCol w:w="990"/>
        <w:gridCol w:w="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jc w:val="center"/>
        </w:trPr>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房屋所有权证号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权利人</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坐落</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用途</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建筑</w:t>
            </w:r>
            <w:r>
              <w:rPr>
                <w:rFonts w:hint="eastAsia" w:ascii="仿宋" w:hAnsi="仿宋" w:eastAsia="仿宋" w:cs="仿宋"/>
                <w:b/>
                <w:bCs/>
                <w:i w:val="0"/>
                <w:iCs w:val="0"/>
                <w:color w:val="000000"/>
                <w:kern w:val="0"/>
                <w:sz w:val="21"/>
                <w:szCs w:val="21"/>
                <w:u w:val="none"/>
                <w:lang w:val="en-US" w:eastAsia="zh-CN" w:bidi="ar"/>
              </w:rPr>
              <w:br w:type="textWrapping"/>
            </w:r>
            <w:r>
              <w:rPr>
                <w:rFonts w:hint="eastAsia" w:ascii="仿宋" w:hAnsi="仿宋" w:eastAsia="仿宋" w:cs="仿宋"/>
                <w:b/>
                <w:bCs/>
                <w:i w:val="0"/>
                <w:iCs w:val="0"/>
                <w:color w:val="000000"/>
                <w:kern w:val="0"/>
                <w:sz w:val="21"/>
                <w:szCs w:val="21"/>
                <w:u w:val="none"/>
                <w:lang w:val="en-US" w:eastAsia="zh-CN" w:bidi="ar"/>
              </w:rPr>
              <w:t>结构</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房号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所在层/</w:t>
            </w:r>
            <w:r>
              <w:rPr>
                <w:rFonts w:hint="eastAsia" w:ascii="仿宋" w:hAnsi="仿宋" w:eastAsia="仿宋" w:cs="仿宋"/>
                <w:b/>
                <w:bCs/>
                <w:i w:val="0"/>
                <w:iCs w:val="0"/>
                <w:color w:val="000000"/>
                <w:kern w:val="0"/>
                <w:sz w:val="21"/>
                <w:szCs w:val="21"/>
                <w:u w:val="none"/>
                <w:lang w:val="en-US" w:eastAsia="zh-CN" w:bidi="ar"/>
              </w:rPr>
              <w:br w:type="textWrapping"/>
            </w:r>
            <w:r>
              <w:rPr>
                <w:rFonts w:hint="eastAsia" w:ascii="仿宋" w:hAnsi="仿宋" w:eastAsia="仿宋" w:cs="仿宋"/>
                <w:b/>
                <w:bCs/>
                <w:i w:val="0"/>
                <w:iCs w:val="0"/>
                <w:color w:val="000000"/>
                <w:kern w:val="0"/>
                <w:sz w:val="21"/>
                <w:szCs w:val="21"/>
                <w:u w:val="none"/>
                <w:lang w:val="en-US" w:eastAsia="zh-CN" w:bidi="ar"/>
              </w:rPr>
              <w:t>总层数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面积（㎡）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单价</w:t>
            </w:r>
            <w:r>
              <w:rPr>
                <w:rFonts w:hint="eastAsia" w:ascii="仿宋" w:hAnsi="仿宋" w:eastAsia="仿宋" w:cs="仿宋"/>
                <w:b/>
                <w:bCs/>
                <w:i w:val="0"/>
                <w:iCs w:val="0"/>
                <w:color w:val="000000"/>
                <w:kern w:val="0"/>
                <w:sz w:val="21"/>
                <w:szCs w:val="21"/>
                <w:u w:val="none"/>
                <w:lang w:val="en-US" w:eastAsia="zh-CN" w:bidi="ar"/>
              </w:rPr>
              <w:br w:type="textWrapping"/>
            </w:r>
            <w:r>
              <w:rPr>
                <w:rFonts w:hint="eastAsia" w:ascii="仿宋" w:hAnsi="仿宋" w:eastAsia="仿宋" w:cs="仿宋"/>
                <w:b/>
                <w:bCs/>
                <w:i w:val="0"/>
                <w:iCs w:val="0"/>
                <w:color w:val="000000"/>
                <w:kern w:val="0"/>
                <w:sz w:val="21"/>
                <w:szCs w:val="21"/>
                <w:u w:val="none"/>
                <w:lang w:val="en-US" w:eastAsia="zh-CN" w:bidi="ar"/>
              </w:rPr>
              <w:t>(元/㎡)</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总价</w:t>
            </w:r>
            <w:r>
              <w:rPr>
                <w:rFonts w:hint="eastAsia" w:ascii="仿宋" w:hAnsi="仿宋" w:eastAsia="仿宋" w:cs="仿宋"/>
                <w:b/>
                <w:bCs/>
                <w:i w:val="0"/>
                <w:iCs w:val="0"/>
                <w:color w:val="000000"/>
                <w:kern w:val="0"/>
                <w:sz w:val="21"/>
                <w:szCs w:val="21"/>
                <w:u w:val="none"/>
                <w:lang w:val="en-US" w:eastAsia="zh-CN" w:bidi="ar"/>
              </w:rPr>
              <w:br w:type="textWrapping"/>
            </w:r>
            <w:r>
              <w:rPr>
                <w:rFonts w:hint="eastAsia" w:ascii="仿宋" w:hAnsi="仿宋" w:eastAsia="仿宋" w:cs="仿宋"/>
                <w:b/>
                <w:bCs/>
                <w:i w:val="0"/>
                <w:iCs w:val="0"/>
                <w:color w:val="000000"/>
                <w:kern w:val="0"/>
                <w:sz w:val="21"/>
                <w:szCs w:val="21"/>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4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萍房权证开字第2004002134号</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张贤冬</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萍乡经济技术开发区金三角食品商贸城汇丰五区</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非住宅</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混合</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49.83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8872</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44.21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line="240" w:lineRule="exact"/>
              <w:jc w:val="center"/>
              <w:rPr>
                <w:rFonts w:hint="eastAsia" w:ascii="仿宋" w:hAnsi="仿宋" w:eastAsia="仿宋" w:cs="仿宋"/>
                <w:i w:val="0"/>
                <w:iCs w:val="0"/>
                <w:color w:val="000000"/>
                <w:sz w:val="21"/>
                <w:szCs w:val="21"/>
                <w:u w:val="none"/>
              </w:rPr>
            </w:pPr>
          </w:p>
        </w:tc>
        <w:tc>
          <w:tcPr>
            <w:tcW w:w="1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240" w:lineRule="exact"/>
              <w:jc w:val="center"/>
              <w:rPr>
                <w:rFonts w:hint="eastAsia" w:ascii="仿宋" w:hAnsi="仿宋" w:eastAsia="仿宋" w:cs="仿宋"/>
                <w:i w:val="0"/>
                <w:iCs w:val="0"/>
                <w:color w:val="000000"/>
                <w:sz w:val="21"/>
                <w:szCs w:val="21"/>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240" w:lineRule="exact"/>
              <w:jc w:val="center"/>
              <w:rPr>
                <w:rFonts w:hint="eastAsia" w:ascii="仿宋" w:hAnsi="仿宋" w:eastAsia="仿宋" w:cs="仿宋"/>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240" w:lineRule="exact"/>
              <w:jc w:val="center"/>
              <w:rPr>
                <w:rFonts w:hint="eastAsia" w:ascii="仿宋" w:hAnsi="仿宋" w:eastAsia="仿宋" w:cs="仿宋"/>
                <w:i w:val="0"/>
                <w:iCs w:val="0"/>
                <w:color w:val="000000"/>
                <w:sz w:val="21"/>
                <w:szCs w:val="21"/>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240" w:lineRule="exact"/>
              <w:jc w:val="center"/>
              <w:rPr>
                <w:rFonts w:hint="eastAsia" w:ascii="仿宋" w:hAnsi="仿宋" w:eastAsia="仿宋" w:cs="仿宋"/>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line="240" w:lineRule="exact"/>
              <w:jc w:val="center"/>
              <w:rPr>
                <w:rFonts w:hint="eastAsia" w:ascii="仿宋" w:hAnsi="仿宋" w:eastAsia="仿宋" w:cs="仿宋"/>
                <w:i w:val="0"/>
                <w:iCs w:val="0"/>
                <w:color w:val="000000"/>
                <w:sz w:val="21"/>
                <w:szCs w:val="21"/>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53.74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4436</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23.84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jc w:val="center"/>
        </w:trPr>
        <w:tc>
          <w:tcPr>
            <w:tcW w:w="7271"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z w:val="21"/>
                <w:szCs w:val="21"/>
                <w:u w:val="none"/>
                <w:lang w:val="en-US" w:eastAsia="zh-CN"/>
              </w:rPr>
              <w:t xml:space="preserve">103.57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z w:val="21"/>
                <w:szCs w:val="21"/>
                <w:u w:val="none"/>
                <w:lang w:val="en-US" w:eastAsia="zh-CN"/>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z w:val="21"/>
                <w:szCs w:val="21"/>
                <w:u w:val="none"/>
                <w:lang w:val="en-US" w:eastAsia="zh-CN"/>
              </w:rPr>
              <w:t>68.05</w:t>
            </w:r>
          </w:p>
        </w:tc>
      </w:tr>
    </w:tbl>
    <w:p>
      <w:pPr>
        <w:keepNext w:val="0"/>
        <w:keepLines w:val="0"/>
        <w:pageBreakBefore w:val="0"/>
        <w:widowControl w:val="0"/>
        <w:tabs>
          <w:tab w:val="left" w:pos="267"/>
        </w:tabs>
        <w:kinsoku/>
        <w:wordWrap/>
        <w:overflowPunct/>
        <w:topLinePunct w:val="0"/>
        <w:autoSpaceDE/>
        <w:autoSpaceDN/>
        <w:bidi w:val="0"/>
        <w:adjustRightInd w:val="0"/>
        <w:snapToGrid w:val="0"/>
        <w:spacing w:before="0" w:after="0" w:line="360" w:lineRule="auto"/>
        <w:ind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xml:space="preserve">特别提示： </w:t>
      </w:r>
    </w:p>
    <w:p>
      <w:pPr>
        <w:keepNext w:val="0"/>
        <w:keepLines w:val="0"/>
        <w:pageBreakBefore w:val="0"/>
        <w:widowControl w:val="0"/>
        <w:tabs>
          <w:tab w:val="left" w:pos="267"/>
        </w:tabs>
        <w:kinsoku/>
        <w:wordWrap/>
        <w:overflowPunct/>
        <w:topLinePunct w:val="0"/>
        <w:autoSpaceDE/>
        <w:autoSpaceDN/>
        <w:bidi w:val="0"/>
        <w:adjustRightInd w:val="0"/>
        <w:snapToGrid w:val="0"/>
        <w:spacing w:before="0" w:after="0" w:line="360" w:lineRule="auto"/>
        <w:ind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lang w:val="en-US" w:eastAsia="zh-CN"/>
        </w:rPr>
        <w:t>1、</w:t>
      </w:r>
      <w:r>
        <w:rPr>
          <w:rFonts w:hint="eastAsia" w:ascii="仿宋_GB2312" w:hAnsi="仿宋_GB2312" w:eastAsia="仿宋_GB2312" w:cs="仿宋_GB2312"/>
          <w:snapToGrid w:val="0"/>
          <w:kern w:val="0"/>
          <w:sz w:val="28"/>
          <w:szCs w:val="28"/>
        </w:rPr>
        <w:t>本报告仅限于萍乡市湘东区人民法院执行萍乡农村商业银行股份有限公司与何志军、张贤冬等人金融借款合同纠纷一案</w:t>
      </w:r>
      <w:r>
        <w:rPr>
          <w:rFonts w:hint="eastAsia" w:ascii="仿宋_GB2312" w:hAnsi="仿宋_GB2312" w:eastAsia="仿宋_GB2312" w:cs="仿宋_GB2312"/>
          <w:snapToGrid w:val="0"/>
          <w:kern w:val="0"/>
          <w:sz w:val="28"/>
          <w:szCs w:val="28"/>
          <w:lang w:eastAsia="zh-CN"/>
        </w:rPr>
        <w:t>确定财产处置参考价提供参考依据</w:t>
      </w:r>
      <w:r>
        <w:rPr>
          <w:rFonts w:hint="eastAsia" w:ascii="仿宋_GB2312" w:hAnsi="仿宋_GB2312" w:eastAsia="仿宋_GB2312" w:cs="仿宋_GB2312"/>
          <w:snapToGrid w:val="0"/>
          <w:kern w:val="0"/>
          <w:sz w:val="28"/>
          <w:szCs w:val="28"/>
        </w:rPr>
        <w:t>使用，不作他用。</w:t>
      </w:r>
    </w:p>
    <w:p>
      <w:pPr>
        <w:keepNext w:val="0"/>
        <w:keepLines w:val="0"/>
        <w:pageBreakBefore w:val="0"/>
        <w:widowControl w:val="0"/>
        <w:tabs>
          <w:tab w:val="left" w:pos="267"/>
        </w:tabs>
        <w:kinsoku/>
        <w:wordWrap/>
        <w:overflowPunct/>
        <w:topLinePunct w:val="0"/>
        <w:autoSpaceDE/>
        <w:autoSpaceDN/>
        <w:bidi w:val="0"/>
        <w:adjustRightInd w:val="0"/>
        <w:snapToGrid w:val="0"/>
        <w:spacing w:before="0" w:after="0" w:line="360" w:lineRule="auto"/>
        <w:ind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lang w:val="en-US" w:eastAsia="zh-CN"/>
        </w:rPr>
        <w:t>2、</w:t>
      </w:r>
      <w:r>
        <w:rPr>
          <w:rFonts w:hint="eastAsia" w:ascii="仿宋_GB2312" w:hAnsi="仿宋_GB2312" w:eastAsia="仿宋_GB2312" w:cs="仿宋_GB2312"/>
          <w:snapToGrid w:val="0"/>
          <w:kern w:val="0"/>
          <w:sz w:val="28"/>
          <w:szCs w:val="20"/>
        </w:rPr>
        <w:t>估价</w:t>
      </w:r>
      <w:r>
        <w:rPr>
          <w:rFonts w:hint="eastAsia" w:ascii="仿宋_GB2312" w:hAnsi="仿宋_GB2312" w:eastAsia="仿宋_GB2312" w:cs="仿宋_GB2312"/>
          <w:snapToGrid w:val="0"/>
          <w:kern w:val="0"/>
          <w:sz w:val="28"/>
          <w:szCs w:val="20"/>
          <w:lang w:val="en-US" w:eastAsia="zh-CN"/>
        </w:rPr>
        <w:t>师</w:t>
      </w:r>
      <w:r>
        <w:rPr>
          <w:rFonts w:hint="eastAsia" w:ascii="仿宋_GB2312" w:hAnsi="仿宋_GB2312" w:eastAsia="仿宋_GB2312" w:cs="仿宋_GB2312"/>
          <w:snapToGrid w:val="0"/>
          <w:kern w:val="0"/>
          <w:sz w:val="28"/>
          <w:szCs w:val="20"/>
        </w:rPr>
        <w:t>现场查勘时，</w:t>
      </w:r>
      <w:r>
        <w:rPr>
          <w:rFonts w:hint="eastAsia" w:ascii="仿宋_GB2312" w:hAnsi="仿宋_GB2312" w:eastAsia="仿宋_GB2312" w:cs="仿宋_GB2312"/>
          <w:snapToGrid w:val="0"/>
          <w:kern w:val="0"/>
          <w:sz w:val="28"/>
          <w:szCs w:val="28"/>
          <w:lang w:val="en-US" w:eastAsia="zh-CN"/>
        </w:rPr>
        <w:t>由于房屋业主未到场，未能进入估价对象室内进行查勘，经调查了解，估价对象目前已出租，现由承租户使用。根据本次评估目的，本次评估未考虑租赁因素对评估价格的影响。</w:t>
      </w:r>
    </w:p>
    <w:p>
      <w:pPr>
        <w:keepNext w:val="0"/>
        <w:keepLines w:val="0"/>
        <w:pageBreakBefore w:val="0"/>
        <w:widowControl w:val="0"/>
        <w:tabs>
          <w:tab w:val="left" w:pos="267"/>
        </w:tabs>
        <w:kinsoku/>
        <w:wordWrap/>
        <w:overflowPunct/>
        <w:topLinePunct w:val="0"/>
        <w:autoSpaceDE/>
        <w:autoSpaceDN/>
        <w:bidi w:val="0"/>
        <w:adjustRightInd w:val="0"/>
        <w:snapToGrid w:val="0"/>
        <w:spacing w:before="0" w:after="0" w:line="360" w:lineRule="auto"/>
        <w:ind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lang w:val="en-US" w:eastAsia="zh-CN"/>
        </w:rPr>
        <w:t>3、</w:t>
      </w:r>
      <w:r>
        <w:rPr>
          <w:rFonts w:hint="eastAsia" w:ascii="仿宋_GB2312" w:hAnsi="仿宋_GB2312" w:eastAsia="仿宋_GB2312" w:cs="仿宋_GB2312"/>
          <w:snapToGrid w:val="0"/>
          <w:kern w:val="0"/>
          <w:sz w:val="28"/>
          <w:szCs w:val="28"/>
        </w:rPr>
        <w:t>本估价报告的全文为一个不可分割的整体，报告使用者请详细查阅本报告的估价师声明、估价的假设与限制条件、房地产估价结果报告，以对本报告有一个全面正确的了解。</w:t>
      </w:r>
    </w:p>
    <w:p>
      <w:pPr>
        <w:keepNext w:val="0"/>
        <w:keepLines w:val="0"/>
        <w:pageBreakBefore w:val="0"/>
        <w:widowControl w:val="0"/>
        <w:tabs>
          <w:tab w:val="left" w:pos="267"/>
        </w:tabs>
        <w:kinsoku/>
        <w:wordWrap/>
        <w:overflowPunct/>
        <w:topLinePunct w:val="0"/>
        <w:autoSpaceDE/>
        <w:autoSpaceDN/>
        <w:bidi w:val="0"/>
        <w:adjustRightInd w:val="0"/>
        <w:snapToGrid w:val="0"/>
        <w:spacing w:before="0" w:after="0" w:line="360" w:lineRule="auto"/>
        <w:ind w:firstLine="560" w:firstLineChars="200"/>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4、估价结果未扣除处置时应缴纳的评估费、拍卖费、诉讼费、律师费等财产处置费用。</w:t>
      </w:r>
    </w:p>
    <w:p>
      <w:pPr>
        <w:keepNext w:val="0"/>
        <w:keepLines w:val="0"/>
        <w:pageBreakBefore w:val="0"/>
        <w:widowControl w:val="0"/>
        <w:kinsoku/>
        <w:wordWrap/>
        <w:overflowPunct/>
        <w:topLinePunct w:val="0"/>
        <w:autoSpaceDE/>
        <w:autoSpaceDN/>
        <w:bidi w:val="0"/>
        <w:adjustRightInd/>
        <w:snapToGrid/>
        <w:spacing w:before="0" w:after="0" w:line="480" w:lineRule="auto"/>
        <w:ind w:firstLine="560" w:firstLineChars="200"/>
        <w:jc w:val="both"/>
        <w:textAlignment w:val="auto"/>
        <w:rPr>
          <w:rFonts w:hint="eastAsia" w:eastAsia="仿宋_GB2312"/>
          <w:snapToGrid w:val="0"/>
          <w:kern w:val="0"/>
          <w:sz w:val="28"/>
          <w:szCs w:val="28"/>
          <w:lang w:eastAsia="zh-CN"/>
        </w:rPr>
      </w:pPr>
    </w:p>
    <w:p>
      <w:pPr>
        <w:keepNext w:val="0"/>
        <w:keepLines w:val="0"/>
        <w:pageBreakBefore w:val="0"/>
        <w:widowControl w:val="0"/>
        <w:kinsoku/>
        <w:wordWrap/>
        <w:overflowPunct/>
        <w:topLinePunct w:val="0"/>
        <w:autoSpaceDE/>
        <w:autoSpaceDN/>
        <w:bidi w:val="0"/>
        <w:spacing w:before="0" w:after="0" w:line="480" w:lineRule="auto"/>
        <w:jc w:val="right"/>
        <w:textAlignment w:val="auto"/>
        <w:rPr>
          <w:rFonts w:eastAsia="仿宋_GB2312"/>
          <w:color w:val="000000"/>
          <w:spacing w:val="14"/>
          <w:sz w:val="28"/>
          <w:szCs w:val="28"/>
        </w:rPr>
      </w:pPr>
      <w:r>
        <w:rPr>
          <w:rFonts w:hint="eastAsia" w:eastAsia="仿宋_GB2312"/>
          <w:color w:val="000000"/>
          <w:spacing w:val="14"/>
          <w:sz w:val="28"/>
          <w:szCs w:val="28"/>
        </w:rPr>
        <w:t>江西天禄房地产土地资产评估有限公司</w:t>
      </w:r>
    </w:p>
    <w:p>
      <w:pPr>
        <w:keepNext w:val="0"/>
        <w:keepLines w:val="0"/>
        <w:pageBreakBefore w:val="0"/>
        <w:widowControl w:val="0"/>
        <w:kinsoku/>
        <w:wordWrap/>
        <w:overflowPunct/>
        <w:topLinePunct w:val="0"/>
        <w:autoSpaceDE/>
        <w:autoSpaceDN/>
        <w:bidi w:val="0"/>
        <w:spacing w:before="0" w:after="0" w:line="480" w:lineRule="auto"/>
        <w:jc w:val="center"/>
        <w:textAlignment w:val="auto"/>
        <w:rPr>
          <w:rFonts w:eastAsia="仿宋_GB2312"/>
          <w:color w:val="000000"/>
          <w:spacing w:val="14"/>
          <w:sz w:val="28"/>
          <w:szCs w:val="28"/>
        </w:rPr>
      </w:pPr>
      <w:r>
        <w:rPr>
          <w:rFonts w:hint="eastAsia" w:eastAsia="仿宋_GB2312"/>
          <w:color w:val="000000"/>
          <w:spacing w:val="14"/>
          <w:sz w:val="28"/>
          <w:szCs w:val="28"/>
          <w:lang w:val="en-US" w:eastAsia="zh-CN"/>
        </w:rPr>
        <w:t xml:space="preserve">         </w:t>
      </w:r>
      <w:r>
        <w:rPr>
          <w:rFonts w:eastAsia="仿宋_GB2312"/>
          <w:color w:val="000000"/>
          <w:spacing w:val="14"/>
          <w:sz w:val="28"/>
          <w:szCs w:val="28"/>
        </w:rPr>
        <w:t>法人代表：</w:t>
      </w:r>
    </w:p>
    <w:p>
      <w:pPr>
        <w:keepNext w:val="0"/>
        <w:keepLines w:val="0"/>
        <w:pageBreakBefore w:val="0"/>
        <w:widowControl w:val="0"/>
        <w:tabs>
          <w:tab w:val="left" w:pos="267"/>
        </w:tabs>
        <w:kinsoku/>
        <w:wordWrap/>
        <w:overflowPunct/>
        <w:topLinePunct w:val="0"/>
        <w:autoSpaceDE/>
        <w:autoSpaceDN/>
        <w:bidi w:val="0"/>
        <w:adjustRightInd w:val="0"/>
        <w:snapToGrid w:val="0"/>
        <w:spacing w:before="0" w:after="0" w:line="480" w:lineRule="auto"/>
        <w:ind w:firstLine="616" w:firstLineChars="200"/>
        <w:jc w:val="right"/>
        <w:textAlignment w:val="auto"/>
        <w:rPr>
          <w:rFonts w:hint="eastAsia" w:eastAsia="仿宋_GB2312"/>
          <w:snapToGrid w:val="0"/>
          <w:kern w:val="0"/>
          <w:sz w:val="28"/>
          <w:szCs w:val="20"/>
          <w:lang w:eastAsia="zh-CN"/>
        </w:rPr>
        <w:sectPr>
          <w:footerReference r:id="rId7" w:type="first"/>
          <w:headerReference r:id="rId5" w:type="default"/>
          <w:footerReference r:id="rId6" w:type="even"/>
          <w:pgSz w:w="11906" w:h="16838"/>
          <w:pgMar w:top="1984" w:right="1440" w:bottom="1440" w:left="1440" w:header="471" w:footer="992" w:gutter="0"/>
          <w:pgNumType w:fmt="numberInDash" w:start="1"/>
          <w:cols w:space="720" w:num="1"/>
          <w:docGrid w:type="lines" w:linePitch="312" w:charSpace="0"/>
        </w:sectPr>
      </w:pPr>
      <w:r>
        <w:rPr>
          <w:rFonts w:hint="eastAsia" w:ascii="仿宋_GB2312" w:hAnsi="宋体" w:eastAsia="仿宋_GB2312"/>
          <w:color w:val="000000"/>
          <w:spacing w:val="14"/>
          <w:sz w:val="28"/>
          <w:szCs w:val="28"/>
          <w:lang w:eastAsia="zh-CN"/>
        </w:rPr>
        <w:t>二〇二</w:t>
      </w:r>
      <w:r>
        <w:rPr>
          <w:rFonts w:hint="eastAsia" w:ascii="仿宋_GB2312" w:hAnsi="宋体" w:eastAsia="仿宋_GB2312"/>
          <w:color w:val="000000"/>
          <w:spacing w:val="14"/>
          <w:sz w:val="28"/>
          <w:szCs w:val="28"/>
          <w:lang w:val="en-US" w:eastAsia="zh-CN"/>
        </w:rPr>
        <w:t>二</w:t>
      </w:r>
      <w:r>
        <w:rPr>
          <w:rFonts w:hint="eastAsia" w:ascii="仿宋_GB2312" w:hAnsi="宋体" w:eastAsia="仿宋_GB2312"/>
          <w:color w:val="000000"/>
          <w:spacing w:val="14"/>
          <w:sz w:val="28"/>
          <w:szCs w:val="28"/>
          <w:lang w:eastAsia="zh-CN"/>
        </w:rPr>
        <w:t>年</w:t>
      </w:r>
      <w:r>
        <w:rPr>
          <w:rFonts w:hint="eastAsia" w:ascii="仿宋_GB2312" w:hAnsi="宋体" w:eastAsia="仿宋_GB2312"/>
          <w:color w:val="000000"/>
          <w:spacing w:val="14"/>
          <w:sz w:val="28"/>
          <w:szCs w:val="28"/>
          <w:lang w:val="en-US" w:eastAsia="zh-CN"/>
        </w:rPr>
        <w:t>六</w:t>
      </w:r>
      <w:r>
        <w:rPr>
          <w:rFonts w:hint="eastAsia" w:ascii="仿宋_GB2312" w:hAnsi="宋体" w:eastAsia="仿宋_GB2312"/>
          <w:color w:val="000000"/>
          <w:spacing w:val="14"/>
          <w:sz w:val="28"/>
          <w:szCs w:val="28"/>
          <w:lang w:eastAsia="zh-CN"/>
        </w:rPr>
        <w:t>月</w:t>
      </w:r>
      <w:r>
        <w:rPr>
          <w:rFonts w:hint="eastAsia" w:ascii="仿宋_GB2312" w:hAnsi="宋体" w:eastAsia="仿宋_GB2312"/>
          <w:color w:val="000000"/>
          <w:spacing w:val="14"/>
          <w:sz w:val="28"/>
          <w:szCs w:val="28"/>
          <w:lang w:val="en-US" w:eastAsia="zh-CN"/>
        </w:rPr>
        <w:t>二十七</w:t>
      </w:r>
      <w:r>
        <w:rPr>
          <w:rFonts w:hint="eastAsia" w:ascii="仿宋_GB2312" w:hAnsi="宋体" w:eastAsia="仿宋_GB2312"/>
          <w:color w:val="000000"/>
          <w:spacing w:val="14"/>
          <w:sz w:val="28"/>
          <w:szCs w:val="28"/>
          <w:lang w:eastAsia="zh-CN"/>
        </w:rPr>
        <w:t>日</w:t>
      </w:r>
    </w:p>
    <w:p>
      <w:pPr>
        <w:spacing w:before="0" w:after="0" w:line="360" w:lineRule="auto"/>
        <w:jc w:val="center"/>
        <w:rPr>
          <w:b/>
          <w:color w:val="000000"/>
          <w:sz w:val="36"/>
          <w:szCs w:val="36"/>
          <w:lang w:val="zh-CN"/>
        </w:rPr>
      </w:pPr>
      <w:r>
        <w:rPr>
          <w:rFonts w:eastAsia="楷体_GB2312"/>
          <w:b/>
          <w:color w:val="000000"/>
          <w:sz w:val="36"/>
          <w:szCs w:val="36"/>
          <w:lang w:val="zh-CN"/>
        </w:rPr>
        <w:t>目 录</w:t>
      </w:r>
    </w:p>
    <w:p>
      <w:pPr>
        <w:pStyle w:val="15"/>
        <w:tabs>
          <w:tab w:val="right" w:leader="dot" w:pos="9070"/>
        </w:tabs>
        <w:spacing w:before="0" w:after="0" w:line="360" w:lineRule="auto"/>
        <w:rPr>
          <w:rFonts w:ascii="楷体_GB2312" w:hAnsi="楷体_GB2312" w:eastAsia="楷体_GB2312" w:cs="楷体_GB2312"/>
          <w:color w:val="000000"/>
          <w:sz w:val="24"/>
        </w:rPr>
      </w:pP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TOC \o "1-3" \h \z \u </w:instrText>
      </w:r>
      <w:r>
        <w:rPr>
          <w:rFonts w:hint="eastAsia" w:ascii="楷体_GB2312" w:hAnsi="楷体_GB2312" w:eastAsia="楷体_GB2312" w:cs="楷体_GB2312"/>
          <w:color w:val="000000"/>
          <w:sz w:val="24"/>
        </w:rPr>
        <w:fldChar w:fldCharType="separate"/>
      </w:r>
      <w:r>
        <w:fldChar w:fldCharType="begin"/>
      </w:r>
      <w:r>
        <w:instrText xml:space="preserve"> HYPERLINK \l "_Toc7004" </w:instrText>
      </w:r>
      <w:r>
        <w:fldChar w:fldCharType="separate"/>
      </w:r>
      <w:r>
        <w:rPr>
          <w:rFonts w:hint="eastAsia" w:ascii="楷体_GB2312" w:hAnsi="楷体_GB2312" w:eastAsia="楷体_GB2312" w:cs="楷体_GB2312"/>
          <w:color w:val="000000"/>
          <w:sz w:val="24"/>
        </w:rPr>
        <w:t>一、估价师声明</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_Toc7004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1</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5"/>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"_Toc28931" </w:instrText>
      </w:r>
      <w:r>
        <w:fldChar w:fldCharType="separate"/>
      </w:r>
      <w:r>
        <w:rPr>
          <w:rFonts w:hint="eastAsia" w:ascii="楷体_GB2312" w:hAnsi="楷体_GB2312" w:eastAsia="楷体_GB2312" w:cs="楷体_GB2312"/>
          <w:color w:val="000000"/>
          <w:sz w:val="24"/>
        </w:rPr>
        <w:t>二、估价的假设和限制条件</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_Toc28931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3</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5"/>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"_Toc29835" </w:instrText>
      </w:r>
      <w:r>
        <w:fldChar w:fldCharType="separate"/>
      </w:r>
      <w:r>
        <w:rPr>
          <w:rFonts w:hint="eastAsia" w:ascii="楷体_GB2312" w:hAnsi="楷体_GB2312" w:eastAsia="楷体_GB2312" w:cs="楷体_GB2312"/>
          <w:color w:val="000000"/>
          <w:sz w:val="24"/>
        </w:rPr>
        <w:t>三、估价结果报告</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_Toc29835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6</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"_Toc16238" </w:instrText>
      </w:r>
      <w:r>
        <w:fldChar w:fldCharType="separate"/>
      </w:r>
      <w:r>
        <w:rPr>
          <w:rFonts w:hint="eastAsia" w:ascii="楷体_GB2312" w:hAnsi="楷体_GB2312" w:eastAsia="楷体_GB2312" w:cs="楷体_GB2312"/>
          <w:color w:val="000000"/>
          <w:sz w:val="24"/>
        </w:rPr>
        <w:t>（一）估价委托人</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_Toc16238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6</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"_Toc30080" </w:instrText>
      </w:r>
      <w:r>
        <w:fldChar w:fldCharType="separate"/>
      </w:r>
      <w:r>
        <w:rPr>
          <w:rFonts w:hint="eastAsia" w:ascii="楷体_GB2312" w:hAnsi="楷体_GB2312" w:eastAsia="楷体_GB2312" w:cs="楷体_GB2312"/>
          <w:color w:val="000000"/>
          <w:sz w:val="24"/>
        </w:rPr>
        <w:t>（二）房地产估价机构</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_Toc30080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6</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"_Toc2439" </w:instrText>
      </w:r>
      <w:r>
        <w:fldChar w:fldCharType="separate"/>
      </w:r>
      <w:r>
        <w:rPr>
          <w:rFonts w:hint="eastAsia" w:ascii="楷体_GB2312" w:hAnsi="楷体_GB2312" w:eastAsia="楷体_GB2312" w:cs="楷体_GB2312"/>
          <w:color w:val="000000"/>
          <w:sz w:val="24"/>
        </w:rPr>
        <w:t>（三）估价目的</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_Toc2439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6</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"_Toc31596" </w:instrText>
      </w:r>
      <w:r>
        <w:fldChar w:fldCharType="separate"/>
      </w:r>
      <w:r>
        <w:rPr>
          <w:rFonts w:hint="eastAsia" w:ascii="楷体_GB2312" w:hAnsi="楷体_GB2312" w:eastAsia="楷体_GB2312" w:cs="楷体_GB2312"/>
          <w:color w:val="000000"/>
          <w:sz w:val="24"/>
        </w:rPr>
        <w:t>（四）估价对象</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_Toc31596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6</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"_Toc27070" </w:instrText>
      </w:r>
      <w:r>
        <w:fldChar w:fldCharType="separate"/>
      </w:r>
      <w:r>
        <w:rPr>
          <w:rFonts w:hint="eastAsia" w:ascii="楷体_GB2312" w:hAnsi="楷体_GB2312" w:eastAsia="楷体_GB2312" w:cs="楷体_GB2312"/>
          <w:color w:val="000000"/>
          <w:sz w:val="24"/>
        </w:rPr>
        <w:t>（五）价值时点</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_Toc27070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8</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"_Toc10488" </w:instrText>
      </w:r>
      <w:r>
        <w:fldChar w:fldCharType="separate"/>
      </w:r>
      <w:r>
        <w:rPr>
          <w:rFonts w:hint="eastAsia" w:ascii="楷体_GB2312" w:hAnsi="楷体_GB2312" w:eastAsia="楷体_GB2312" w:cs="楷体_GB2312"/>
          <w:color w:val="000000"/>
          <w:sz w:val="24"/>
        </w:rPr>
        <w:t>（六）价值类型</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_Toc10488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9</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"_Toc2600" </w:instrText>
      </w:r>
      <w:r>
        <w:fldChar w:fldCharType="separate"/>
      </w:r>
      <w:r>
        <w:rPr>
          <w:rFonts w:hint="eastAsia" w:ascii="楷体_GB2312" w:hAnsi="楷体_GB2312" w:eastAsia="楷体_GB2312" w:cs="楷体_GB2312"/>
          <w:color w:val="000000"/>
          <w:sz w:val="24"/>
        </w:rPr>
        <w:t>（七）估价原则</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_Toc2600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9</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"_Toc4525" </w:instrText>
      </w:r>
      <w:r>
        <w:fldChar w:fldCharType="separate"/>
      </w:r>
      <w:r>
        <w:rPr>
          <w:rFonts w:hint="eastAsia" w:ascii="楷体_GB2312" w:hAnsi="楷体_GB2312" w:eastAsia="楷体_GB2312" w:cs="楷体_GB2312"/>
          <w:color w:val="000000"/>
          <w:sz w:val="24"/>
        </w:rPr>
        <w:t>（八）估价依据</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_Toc4525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10</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"_Toc8912" </w:instrText>
      </w:r>
      <w:r>
        <w:fldChar w:fldCharType="separate"/>
      </w:r>
      <w:r>
        <w:rPr>
          <w:rFonts w:hint="eastAsia" w:ascii="楷体_GB2312" w:hAnsi="楷体_GB2312" w:eastAsia="楷体_GB2312" w:cs="楷体_GB2312"/>
          <w:color w:val="000000"/>
          <w:sz w:val="24"/>
        </w:rPr>
        <w:t>（九）估价方法</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_Toc8912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11</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"_Toc15752" </w:instrText>
      </w:r>
      <w:r>
        <w:fldChar w:fldCharType="separate"/>
      </w:r>
      <w:r>
        <w:rPr>
          <w:rFonts w:hint="eastAsia" w:ascii="楷体_GB2312" w:hAnsi="楷体_GB2312" w:eastAsia="楷体_GB2312" w:cs="楷体_GB2312"/>
          <w:color w:val="000000"/>
          <w:sz w:val="24"/>
        </w:rPr>
        <w:t>（十）估价结果</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_Toc15752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12</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"_Toc29547" </w:instrText>
      </w:r>
      <w:r>
        <w:fldChar w:fldCharType="separate"/>
      </w:r>
      <w:r>
        <w:rPr>
          <w:rFonts w:hint="eastAsia" w:ascii="楷体_GB2312" w:hAnsi="楷体_GB2312" w:eastAsia="楷体_GB2312" w:cs="楷体_GB2312"/>
          <w:color w:val="000000"/>
          <w:sz w:val="24"/>
        </w:rPr>
        <w:t>（十一）注册房地产估价师</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_Toc29547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13</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"_Toc11854" </w:instrText>
      </w:r>
      <w:r>
        <w:fldChar w:fldCharType="separate"/>
      </w:r>
      <w:r>
        <w:rPr>
          <w:rFonts w:hint="eastAsia" w:ascii="楷体_GB2312" w:hAnsi="楷体_GB2312" w:eastAsia="楷体_GB2312" w:cs="楷体_GB2312"/>
          <w:color w:val="000000"/>
          <w:sz w:val="24"/>
        </w:rPr>
        <w:t>（十二）实地查勘期</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_Toc11854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13</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8"/>
        <w:tabs>
          <w:tab w:val="right" w:leader="dot" w:pos="9070"/>
        </w:tabs>
        <w:spacing w:before="0" w:after="0" w:line="360" w:lineRule="auto"/>
        <w:rPr>
          <w:rFonts w:ascii="楷体_GB2312" w:hAnsi="楷体_GB2312" w:eastAsia="楷体_GB2312" w:cs="楷体_GB2312"/>
          <w:sz w:val="24"/>
        </w:rPr>
      </w:pPr>
      <w:r>
        <w:fldChar w:fldCharType="begin"/>
      </w:r>
      <w:r>
        <w:instrText xml:space="preserve"> HYPERLINK \l "_Toc23535" </w:instrText>
      </w:r>
      <w:r>
        <w:fldChar w:fldCharType="separate"/>
      </w:r>
      <w:r>
        <w:rPr>
          <w:rFonts w:hint="eastAsia" w:ascii="楷体_GB2312" w:hAnsi="楷体_GB2312" w:eastAsia="楷体_GB2312" w:cs="楷体_GB2312"/>
          <w:color w:val="000000"/>
          <w:sz w:val="24"/>
        </w:rPr>
        <w:t>（十三）估价作业日期</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_Toc23535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13</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pStyle w:val="15"/>
        <w:tabs>
          <w:tab w:val="right" w:leader="dot" w:pos="9070"/>
        </w:tabs>
        <w:spacing w:before="0" w:after="0" w:line="360" w:lineRule="auto"/>
        <w:rPr>
          <w:rFonts w:ascii="楷体_GB2312" w:hAnsi="楷体_GB2312" w:eastAsia="楷体_GB2312" w:cs="楷体_GB2312"/>
          <w:color w:val="000000"/>
          <w:sz w:val="24"/>
        </w:rPr>
      </w:pPr>
      <w:r>
        <w:fldChar w:fldCharType="begin"/>
      </w:r>
      <w:r>
        <w:instrText xml:space="preserve"> HYPERLINK \l "_Toc3648" </w:instrText>
      </w:r>
      <w:r>
        <w:fldChar w:fldCharType="separate"/>
      </w:r>
      <w:r>
        <w:rPr>
          <w:rFonts w:hint="eastAsia" w:ascii="楷体_GB2312" w:hAnsi="楷体_GB2312" w:eastAsia="楷体_GB2312" w:cs="楷体_GB2312"/>
          <w:color w:val="000000"/>
          <w:sz w:val="24"/>
        </w:rPr>
        <w:t>四、附 件</w:t>
      </w:r>
      <w:r>
        <w:rPr>
          <w:rFonts w:hint="eastAsia" w:ascii="楷体_GB2312" w:hAnsi="楷体_GB2312" w:eastAsia="楷体_GB2312" w:cs="楷体_GB2312"/>
          <w:color w:val="000000"/>
          <w:sz w:val="24"/>
        </w:rPr>
        <w:tab/>
      </w:r>
      <w:r>
        <w:rPr>
          <w:rFonts w:hint="eastAsia" w:ascii="楷体_GB2312" w:hAnsi="楷体_GB2312" w:eastAsia="楷体_GB2312" w:cs="楷体_GB2312"/>
          <w:color w:val="000000"/>
          <w:sz w:val="24"/>
        </w:rPr>
        <w:fldChar w:fldCharType="begin"/>
      </w:r>
      <w:r>
        <w:rPr>
          <w:rFonts w:hint="eastAsia" w:ascii="楷体_GB2312" w:hAnsi="楷体_GB2312" w:eastAsia="楷体_GB2312" w:cs="楷体_GB2312"/>
          <w:color w:val="000000"/>
          <w:sz w:val="24"/>
        </w:rPr>
        <w:instrText xml:space="preserve"> PAGEREF _Toc3648 </w:instrText>
      </w:r>
      <w:r>
        <w:rPr>
          <w:rFonts w:hint="eastAsia" w:ascii="楷体_GB2312" w:hAnsi="楷体_GB2312" w:eastAsia="楷体_GB2312" w:cs="楷体_GB2312"/>
          <w:color w:val="000000"/>
          <w:sz w:val="24"/>
        </w:rPr>
        <w:fldChar w:fldCharType="separate"/>
      </w:r>
      <w:r>
        <w:rPr>
          <w:rFonts w:hint="eastAsia" w:ascii="楷体_GB2312" w:hAnsi="楷体_GB2312" w:eastAsia="楷体_GB2312" w:cs="楷体_GB2312"/>
          <w:color w:val="000000"/>
          <w:sz w:val="24"/>
        </w:rPr>
        <w:t>14</w:t>
      </w: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color w:val="000000"/>
          <w:sz w:val="24"/>
        </w:rPr>
        <w:fldChar w:fldCharType="end"/>
      </w:r>
    </w:p>
    <w:p>
      <w:pPr>
        <w:spacing w:before="0" w:after="0" w:line="360" w:lineRule="auto"/>
        <w:ind w:firstLine="480" w:firstLineChars="200"/>
        <w:rPr>
          <w:rFonts w:ascii="楷体_GB2312" w:hAnsi="楷体_GB2312" w:eastAsia="楷体_GB2312" w:cs="楷体_GB2312"/>
          <w:sz w:val="24"/>
        </w:rPr>
      </w:pPr>
      <w:r>
        <w:rPr>
          <w:rFonts w:hint="eastAsia" w:ascii="楷体_GB2312" w:hAnsi="楷体_GB2312" w:eastAsia="楷体_GB2312" w:cs="楷体_GB2312"/>
          <w:color w:val="000000"/>
          <w:sz w:val="24"/>
        </w:rPr>
        <w:fldChar w:fldCharType="end"/>
      </w:r>
      <w:r>
        <w:rPr>
          <w:rFonts w:hint="eastAsia" w:ascii="楷体_GB2312" w:hAnsi="楷体_GB2312" w:eastAsia="楷体_GB2312" w:cs="楷体_GB2312"/>
          <w:sz w:val="24"/>
        </w:rPr>
        <w:t>1、估价委托书复印件</w:t>
      </w:r>
    </w:p>
    <w:p>
      <w:pPr>
        <w:spacing w:before="0" w:after="0" w:line="288" w:lineRule="auto"/>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2、估价对象位置图</w:t>
      </w:r>
    </w:p>
    <w:p>
      <w:pPr>
        <w:spacing w:before="0" w:after="0" w:line="288" w:lineRule="auto"/>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3、估价对象现场查勘照片</w:t>
      </w:r>
    </w:p>
    <w:p>
      <w:pPr>
        <w:spacing w:before="0" w:after="0" w:line="288" w:lineRule="auto"/>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4、估价对象产权资料复印件</w:t>
      </w:r>
    </w:p>
    <w:p>
      <w:pPr>
        <w:spacing w:before="0" w:after="0" w:line="288" w:lineRule="auto"/>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5、房地产估价机构企业营业执照复印件</w:t>
      </w:r>
    </w:p>
    <w:p>
      <w:pPr>
        <w:spacing w:before="0" w:after="0" w:line="288" w:lineRule="auto"/>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6、房地产估价机构资质证书复印件</w:t>
      </w:r>
    </w:p>
    <w:p>
      <w:pPr>
        <w:spacing w:before="0" w:after="0" w:line="288" w:lineRule="auto"/>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7、注册房地产估价师执业证书复印件</w:t>
      </w:r>
    </w:p>
    <w:p>
      <w:pPr>
        <w:rPr>
          <w:rFonts w:ascii="楷体_GB2312" w:hAnsi="楷体_GB2312" w:eastAsia="楷体_GB2312" w:cs="楷体_GB2312"/>
        </w:rPr>
        <w:sectPr>
          <w:pgSz w:w="11906" w:h="16838"/>
          <w:pgMar w:top="1984" w:right="1440" w:bottom="1440" w:left="1440" w:header="471" w:footer="992" w:gutter="0"/>
          <w:pgNumType w:fmt="numberInDash" w:start="1"/>
          <w:cols w:space="720" w:num="1"/>
          <w:docGrid w:type="lines" w:linePitch="312" w:charSpace="0"/>
        </w:sectPr>
      </w:pPr>
    </w:p>
    <w:p>
      <w:pPr>
        <w:pStyle w:val="22"/>
        <w:spacing w:before="0" w:after="0" w:line="360" w:lineRule="auto"/>
        <w:rPr>
          <w:rFonts w:ascii="Times New Roman" w:hAnsi="Times New Roman"/>
        </w:rPr>
      </w:pPr>
      <w:bookmarkStart w:id="0" w:name="_Toc7004"/>
      <w:r>
        <w:rPr>
          <w:rFonts w:ascii="Times New Roman" w:hAnsi="Times New Roman" w:eastAsia="仿宋_GB2312"/>
          <w:color w:val="000000"/>
        </w:rPr>
        <w:t>一、估价师声明</w:t>
      </w:r>
      <w:bookmarkEnd w:id="0"/>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我们根据自己的专业知识和职业道德，在此郑重声明：</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1、我们在本估价报告中陈述的事实是真实的和准确的、没有虚假记载、误导性陈述和重大遗漏。</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2、本估价报告中的分析、意见和结论是我们独立、客观、公正的专业分析、意见和结论，但受到本报告中已经说明的估价假设和限制条件的限制。</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3、我们与本估价报告中的估价对象没有（或有已载明的）现实或潜在的利害关系，也与估价委托方及估价利害人没有（或有已载明的）利害关系，也对估价对象、估价委托方及估价利害关系人没有偏见。</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4、我们依照中华人民共和国国家标准《房地产估价规范》【GB/T 50291-2015】和《房地产估价基本术语标准》【GB/T 50899-2013】的规定进行估价工作，形成意见和结论，撰写评估报告。</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color w:val="auto"/>
          <w:kern w:val="0"/>
          <w:sz w:val="28"/>
          <w:szCs w:val="20"/>
        </w:rPr>
      </w:pPr>
      <w:r>
        <w:rPr>
          <w:rFonts w:hint="eastAsia" w:ascii="仿宋_GB2312" w:hAnsi="仿宋_GB2312" w:eastAsia="仿宋_GB2312" w:cs="仿宋_GB2312"/>
          <w:snapToGrid w:val="0"/>
          <w:color w:val="auto"/>
          <w:kern w:val="0"/>
          <w:sz w:val="28"/>
          <w:szCs w:val="20"/>
        </w:rPr>
        <w:t>5、</w:t>
      </w:r>
      <w:r>
        <w:rPr>
          <w:rFonts w:hint="eastAsia" w:ascii="仿宋_GB2312" w:hAnsi="仿宋_GB2312" w:eastAsia="仿宋_GB2312" w:cs="仿宋_GB2312"/>
          <w:snapToGrid w:val="0"/>
          <w:color w:val="auto"/>
          <w:kern w:val="0"/>
          <w:sz w:val="28"/>
          <w:szCs w:val="20"/>
          <w:lang w:eastAsia="zh-CN"/>
        </w:rPr>
        <w:t>我公司估价人员</w:t>
      </w:r>
      <w:r>
        <w:rPr>
          <w:rFonts w:hint="eastAsia" w:ascii="仿宋_GB2312" w:hAnsi="仿宋_GB2312" w:eastAsia="仿宋_GB2312" w:cs="仿宋_GB2312"/>
          <w:snapToGrid w:val="0"/>
          <w:color w:val="auto"/>
          <w:kern w:val="0"/>
          <w:sz w:val="28"/>
          <w:szCs w:val="20"/>
        </w:rPr>
        <w:t>已于</w:t>
      </w:r>
      <w:r>
        <w:rPr>
          <w:rFonts w:hint="eastAsia" w:ascii="仿宋_GB2312" w:hAnsi="仿宋_GB2312" w:eastAsia="仿宋_GB2312" w:cs="仿宋_GB2312"/>
          <w:snapToGrid w:val="0"/>
          <w:color w:val="auto"/>
          <w:kern w:val="0"/>
          <w:sz w:val="28"/>
          <w:szCs w:val="20"/>
          <w:lang w:eastAsia="zh-CN"/>
        </w:rPr>
        <w:t>202</w:t>
      </w:r>
      <w:r>
        <w:rPr>
          <w:rFonts w:hint="eastAsia" w:ascii="仿宋_GB2312" w:hAnsi="仿宋_GB2312" w:eastAsia="仿宋_GB2312" w:cs="仿宋_GB2312"/>
          <w:snapToGrid w:val="0"/>
          <w:color w:val="auto"/>
          <w:kern w:val="0"/>
          <w:sz w:val="28"/>
          <w:szCs w:val="20"/>
          <w:lang w:val="en-US" w:eastAsia="zh-CN"/>
        </w:rPr>
        <w:t>2</w:t>
      </w:r>
      <w:r>
        <w:rPr>
          <w:rFonts w:hint="eastAsia" w:ascii="仿宋_GB2312" w:hAnsi="仿宋_GB2312" w:eastAsia="仿宋_GB2312" w:cs="仿宋_GB2312"/>
          <w:snapToGrid w:val="0"/>
          <w:color w:val="auto"/>
          <w:kern w:val="0"/>
          <w:sz w:val="28"/>
          <w:szCs w:val="20"/>
          <w:lang w:eastAsia="zh-CN"/>
        </w:rPr>
        <w:t>年</w:t>
      </w:r>
      <w:r>
        <w:rPr>
          <w:rFonts w:hint="eastAsia" w:ascii="仿宋_GB2312" w:hAnsi="仿宋_GB2312" w:eastAsia="仿宋_GB2312" w:cs="仿宋_GB2312"/>
          <w:snapToGrid w:val="0"/>
          <w:color w:val="auto"/>
          <w:kern w:val="0"/>
          <w:sz w:val="28"/>
          <w:szCs w:val="20"/>
          <w:lang w:val="en-US" w:eastAsia="zh-CN"/>
        </w:rPr>
        <w:t>06</w:t>
      </w:r>
      <w:r>
        <w:rPr>
          <w:rFonts w:hint="eastAsia" w:ascii="仿宋_GB2312" w:hAnsi="仿宋_GB2312" w:eastAsia="仿宋_GB2312" w:cs="仿宋_GB2312"/>
          <w:snapToGrid w:val="0"/>
          <w:color w:val="auto"/>
          <w:kern w:val="0"/>
          <w:sz w:val="28"/>
          <w:szCs w:val="20"/>
          <w:lang w:eastAsia="zh-CN"/>
        </w:rPr>
        <w:t>月</w:t>
      </w:r>
      <w:r>
        <w:rPr>
          <w:rFonts w:hint="eastAsia" w:ascii="仿宋_GB2312" w:hAnsi="仿宋_GB2312" w:eastAsia="仿宋_GB2312" w:cs="仿宋_GB2312"/>
          <w:snapToGrid w:val="0"/>
          <w:color w:val="auto"/>
          <w:kern w:val="0"/>
          <w:sz w:val="28"/>
          <w:szCs w:val="20"/>
          <w:lang w:val="en-US" w:eastAsia="zh-CN"/>
        </w:rPr>
        <w:t>07</w:t>
      </w:r>
      <w:r>
        <w:rPr>
          <w:rFonts w:hint="eastAsia" w:ascii="仿宋_GB2312" w:hAnsi="仿宋_GB2312" w:eastAsia="仿宋_GB2312" w:cs="仿宋_GB2312"/>
          <w:snapToGrid w:val="0"/>
          <w:color w:val="auto"/>
          <w:kern w:val="0"/>
          <w:sz w:val="28"/>
          <w:szCs w:val="20"/>
          <w:lang w:eastAsia="zh-CN"/>
        </w:rPr>
        <w:t>日</w:t>
      </w:r>
      <w:r>
        <w:rPr>
          <w:rFonts w:hint="eastAsia" w:ascii="仿宋_GB2312" w:hAnsi="仿宋_GB2312" w:eastAsia="仿宋_GB2312" w:cs="仿宋_GB2312"/>
          <w:snapToGrid w:val="0"/>
          <w:color w:val="auto"/>
          <w:kern w:val="0"/>
          <w:sz w:val="28"/>
          <w:szCs w:val="20"/>
        </w:rPr>
        <w:t>对本报告中的估价对象进行了实地查勘并进行记录，但仅限于估价对象的外观与目前维护管理状况，尤其因提供资料有限，我们不承担对估价对象建筑结构质量、建筑面积数量准确性和相应权益的责任，也不承担其他被掩盖、未暴露及难于接触到的部分进行检视的责任。</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6、随着时间、市场行情及相关条件的变化，该估价结果需做相应的调整。</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7、没有其他行业的专业人员对本估价报告提供重要专业帮助。</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8、本估价报告的依据《</w:t>
      </w:r>
      <w:r>
        <w:rPr>
          <w:rFonts w:hint="eastAsia" w:ascii="仿宋_GB2312" w:hAnsi="仿宋_GB2312" w:eastAsia="仿宋_GB2312" w:cs="仿宋_GB2312"/>
          <w:snapToGrid w:val="0"/>
          <w:kern w:val="0"/>
          <w:sz w:val="28"/>
          <w:szCs w:val="28"/>
        </w:rPr>
        <w:t>萍乡市湘东区人民法院</w:t>
      </w:r>
      <w:r>
        <w:rPr>
          <w:rFonts w:hint="eastAsia" w:ascii="仿宋_GB2312" w:hAnsi="仿宋_GB2312" w:eastAsia="仿宋_GB2312" w:cs="仿宋_GB2312"/>
          <w:snapToGrid w:val="0"/>
          <w:kern w:val="0"/>
          <w:sz w:val="28"/>
          <w:szCs w:val="20"/>
          <w:lang w:eastAsia="zh-CN"/>
        </w:rPr>
        <w:t>委托书</w:t>
      </w:r>
      <w:r>
        <w:rPr>
          <w:rFonts w:hint="eastAsia" w:ascii="仿宋_GB2312" w:hAnsi="仿宋_GB2312" w:eastAsia="仿宋_GB2312" w:cs="仿宋_GB2312"/>
          <w:snapToGrid w:val="0"/>
          <w:kern w:val="0"/>
          <w:sz w:val="28"/>
          <w:szCs w:val="20"/>
        </w:rPr>
        <w:t>》【</w:t>
      </w:r>
      <w:r>
        <w:rPr>
          <w:rFonts w:hint="eastAsia" w:ascii="仿宋_GB2312" w:hAnsi="仿宋_GB2312" w:eastAsia="仿宋_GB2312" w:cs="仿宋_GB2312"/>
          <w:snapToGrid w:val="0"/>
          <w:kern w:val="0"/>
          <w:sz w:val="28"/>
          <w:szCs w:val="20"/>
          <w:lang w:eastAsia="zh-CN"/>
        </w:rPr>
        <w:t>（202</w:t>
      </w:r>
      <w:r>
        <w:rPr>
          <w:rFonts w:hint="eastAsia" w:ascii="仿宋_GB2312" w:hAnsi="仿宋_GB2312" w:eastAsia="仿宋_GB2312" w:cs="仿宋_GB2312"/>
          <w:snapToGrid w:val="0"/>
          <w:kern w:val="0"/>
          <w:sz w:val="28"/>
          <w:szCs w:val="20"/>
          <w:lang w:val="en-US" w:eastAsia="zh-CN"/>
        </w:rPr>
        <w:t>2</w:t>
      </w:r>
      <w:r>
        <w:rPr>
          <w:rFonts w:hint="eastAsia" w:ascii="仿宋_GB2312" w:hAnsi="仿宋_GB2312" w:eastAsia="仿宋_GB2312" w:cs="仿宋_GB2312"/>
          <w:snapToGrid w:val="0"/>
          <w:kern w:val="0"/>
          <w:sz w:val="28"/>
          <w:szCs w:val="20"/>
          <w:lang w:eastAsia="zh-CN"/>
        </w:rPr>
        <w:t>）</w:t>
      </w:r>
      <w:r>
        <w:rPr>
          <w:rFonts w:hint="eastAsia" w:ascii="仿宋_GB2312" w:hAnsi="仿宋_GB2312" w:eastAsia="仿宋_GB2312" w:cs="仿宋_GB2312"/>
          <w:snapToGrid w:val="0"/>
          <w:kern w:val="0"/>
          <w:sz w:val="28"/>
          <w:szCs w:val="20"/>
          <w:lang w:val="en-US" w:eastAsia="zh-CN"/>
        </w:rPr>
        <w:t>赣0313执259号</w:t>
      </w:r>
      <w:r>
        <w:rPr>
          <w:rFonts w:hint="eastAsia" w:ascii="仿宋_GB2312" w:hAnsi="仿宋_GB2312" w:eastAsia="仿宋_GB2312" w:cs="仿宋_GB2312"/>
          <w:snapToGrid w:val="0"/>
          <w:kern w:val="0"/>
          <w:sz w:val="28"/>
          <w:szCs w:val="20"/>
        </w:rPr>
        <w:t>】及相关产权资料是委托方提供的，由委托方对其真实性和准确性负责。</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9、本估价报告仅是在报告中说明的假设条件下对估价对象正常市场价格进行的合理估算，报告中对估价对象权属情况的披露不能作为对其权属确认的依据，估价对象权属界定以产权管理部门认定为准。</w:t>
      </w:r>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10、本报告的评估结果为委托方了解待估房地产客观、公正、合理的市场价格提供参考依据，不得做其他用途，没有考虑将来可能出现并影响物业价值的其它因素。未经本房地产估价机构和注册房地产估价师同意，估价报告不得向委托方及报告审查部门以外的单位及个人提供，凡因委托方使用估价报告不当而引起的后果，房地产估价机构和注册房地产估价师不承担相应的责任。</w:t>
      </w:r>
    </w:p>
    <w:p>
      <w:pPr>
        <w:pStyle w:val="22"/>
        <w:spacing w:before="0" w:after="0" w:line="360" w:lineRule="auto"/>
        <w:rPr>
          <w:rFonts w:ascii="Times New Roman" w:hAnsi="Times New Roman" w:eastAsia="仿宋_GB2312"/>
          <w:color w:val="000000"/>
        </w:rPr>
      </w:pPr>
      <w:r>
        <w:rPr>
          <w:rFonts w:ascii="Times New Roman" w:hAnsi="Times New Roman" w:eastAsia="仿宋_GB2312"/>
          <w:color w:val="000000"/>
        </w:rPr>
        <w:br w:type="page"/>
      </w:r>
      <w:bookmarkStart w:id="1" w:name="_Toc28931"/>
      <w:r>
        <w:rPr>
          <w:rFonts w:ascii="Times New Roman" w:hAnsi="Times New Roman" w:eastAsia="仿宋_GB2312"/>
          <w:color w:val="000000"/>
        </w:rPr>
        <w:t>二、估价的假设和限制条件</w:t>
      </w:r>
      <w:bookmarkEnd w:id="1"/>
    </w:p>
    <w:p>
      <w:pPr>
        <w:tabs>
          <w:tab w:val="left" w:pos="267"/>
        </w:tabs>
        <w:adjustRightInd w:val="0"/>
        <w:snapToGrid w:val="0"/>
        <w:spacing w:before="312" w:beforeLines="100" w:after="0" w:line="360" w:lineRule="auto"/>
        <w:ind w:firstLine="562" w:firstLineChars="200"/>
        <w:jc w:val="left"/>
        <w:rPr>
          <w:rFonts w:ascii="仿宋_GB2312" w:hAnsi="仿宋_GB2312" w:eastAsia="仿宋_GB2312" w:cs="仿宋_GB2312"/>
          <w:b/>
          <w:bCs/>
          <w:snapToGrid w:val="0"/>
          <w:kern w:val="0"/>
          <w:sz w:val="28"/>
          <w:szCs w:val="20"/>
        </w:rPr>
      </w:pPr>
      <w:r>
        <w:rPr>
          <w:rFonts w:hint="eastAsia" w:ascii="仿宋_GB2312" w:hAnsi="仿宋_GB2312" w:eastAsia="仿宋_GB2312" w:cs="仿宋_GB2312"/>
          <w:b/>
          <w:bCs/>
          <w:snapToGrid w:val="0"/>
          <w:kern w:val="0"/>
          <w:sz w:val="28"/>
          <w:szCs w:val="20"/>
        </w:rPr>
        <w:t>1.一般假设</w:t>
      </w:r>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1）注册房地产估价师对估价委托人提供的估价对象权属、面积、用途等资料进行了检查，但未予以核实，在无理由怀疑其合法性、真实性、准确性和完整性的情况下，假定估价委托人提供的资料合法、真实、准确、完整，且估价对象可在公开市场上自由转让。若估价委托人提供的资料失实或有任何隐匿，本公司不承担任何责任。</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（2）注册房地产估价师已对房屋安全、环境污染等影响估价对象价值的重大因素给予了关注，在无理由怀疑估价对象存在安全隐患且无相应的专业机构进行鉴定、检测的情况下，假定估价对象能正常安全使用。</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eastAsia="zh-CN"/>
        </w:rPr>
      </w:pPr>
      <w:r>
        <w:rPr>
          <w:rFonts w:hint="eastAsia" w:ascii="仿宋_GB2312" w:hAnsi="仿宋_GB2312" w:eastAsia="仿宋_GB2312" w:cs="仿宋_GB2312"/>
          <w:snapToGrid w:val="0"/>
          <w:kern w:val="0"/>
          <w:sz w:val="28"/>
          <w:szCs w:val="20"/>
        </w:rPr>
        <w:t>（</w:t>
      </w:r>
      <w:r>
        <w:rPr>
          <w:rFonts w:hint="eastAsia" w:ascii="仿宋_GB2312" w:hAnsi="仿宋_GB2312" w:eastAsia="仿宋_GB2312" w:cs="仿宋_GB2312"/>
          <w:snapToGrid w:val="0"/>
          <w:kern w:val="0"/>
          <w:sz w:val="28"/>
          <w:szCs w:val="20"/>
          <w:lang w:val="en-US" w:eastAsia="zh-CN"/>
        </w:rPr>
        <w:t>3</w:t>
      </w:r>
      <w:r>
        <w:rPr>
          <w:rFonts w:hint="eastAsia" w:ascii="仿宋_GB2312" w:hAnsi="仿宋_GB2312" w:eastAsia="仿宋_GB2312" w:cs="仿宋_GB2312"/>
          <w:snapToGrid w:val="0"/>
          <w:kern w:val="0"/>
          <w:sz w:val="28"/>
          <w:szCs w:val="20"/>
        </w:rPr>
        <w:t>）</w:t>
      </w:r>
      <w:r>
        <w:rPr>
          <w:rFonts w:hint="eastAsia" w:ascii="仿宋_GB2312" w:hAnsi="仿宋_GB2312" w:eastAsia="仿宋_GB2312" w:cs="仿宋_GB2312"/>
          <w:snapToGrid w:val="0"/>
          <w:kern w:val="0"/>
          <w:sz w:val="28"/>
          <w:szCs w:val="28"/>
          <w:lang w:val="en-US" w:eastAsia="zh-CN"/>
        </w:rPr>
        <w:t>经估价师现场查勘，估价对象目前已出租，根据本次评估目的，</w:t>
      </w:r>
      <w:r>
        <w:rPr>
          <w:rFonts w:hint="eastAsia" w:ascii="仿宋_GB2312" w:hAnsi="仿宋_GB2312" w:eastAsia="仿宋_GB2312" w:cs="仿宋_GB2312"/>
          <w:snapToGrid w:val="0"/>
          <w:kern w:val="0"/>
          <w:sz w:val="28"/>
          <w:szCs w:val="20"/>
          <w:lang w:val="en-US" w:eastAsia="zh-CN"/>
        </w:rPr>
        <w:t>本次评估未考虑</w:t>
      </w:r>
      <w:r>
        <w:rPr>
          <w:rFonts w:hint="eastAsia" w:ascii="仿宋_GB2312" w:hAnsi="仿宋_GB2312" w:eastAsia="仿宋_GB2312" w:cs="仿宋_GB2312"/>
          <w:snapToGrid w:val="0"/>
          <w:kern w:val="0"/>
          <w:sz w:val="28"/>
          <w:szCs w:val="20"/>
        </w:rPr>
        <w:t>租赁权、用益物权及占有使用情况</w:t>
      </w:r>
      <w:r>
        <w:rPr>
          <w:rFonts w:hint="eastAsia" w:ascii="仿宋_GB2312" w:hAnsi="仿宋_GB2312" w:eastAsia="仿宋_GB2312" w:cs="仿宋_GB2312"/>
          <w:snapToGrid w:val="0"/>
          <w:kern w:val="0"/>
          <w:sz w:val="28"/>
          <w:szCs w:val="20"/>
          <w:lang w:eastAsia="zh-CN"/>
        </w:rPr>
        <w:t>。</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val="en-US" w:eastAsia="zh-CN"/>
        </w:rPr>
      </w:pPr>
      <w:r>
        <w:rPr>
          <w:rFonts w:hint="eastAsia" w:ascii="仿宋_GB2312" w:hAnsi="仿宋_GB2312" w:eastAsia="仿宋_GB2312" w:cs="仿宋_GB2312"/>
          <w:snapToGrid w:val="0"/>
          <w:kern w:val="0"/>
          <w:sz w:val="28"/>
          <w:szCs w:val="20"/>
        </w:rPr>
        <w:t>（</w:t>
      </w:r>
      <w:r>
        <w:rPr>
          <w:rFonts w:hint="eastAsia" w:ascii="仿宋_GB2312" w:hAnsi="仿宋_GB2312" w:eastAsia="仿宋_GB2312" w:cs="仿宋_GB2312"/>
          <w:snapToGrid w:val="0"/>
          <w:kern w:val="0"/>
          <w:sz w:val="28"/>
          <w:szCs w:val="20"/>
          <w:lang w:val="en-US" w:eastAsia="zh-CN"/>
        </w:rPr>
        <w:t>4</w:t>
      </w:r>
      <w:r>
        <w:rPr>
          <w:rFonts w:hint="eastAsia" w:ascii="仿宋_GB2312" w:hAnsi="仿宋_GB2312" w:eastAsia="仿宋_GB2312" w:cs="仿宋_GB2312"/>
          <w:snapToGrid w:val="0"/>
          <w:kern w:val="0"/>
          <w:sz w:val="28"/>
          <w:szCs w:val="20"/>
        </w:rPr>
        <w:t>）</w:t>
      </w:r>
      <w:r>
        <w:rPr>
          <w:rFonts w:hint="eastAsia" w:ascii="仿宋_GB2312" w:hAnsi="仿宋_GB2312" w:eastAsia="仿宋_GB2312" w:cs="仿宋_GB2312"/>
          <w:snapToGrid w:val="0"/>
          <w:kern w:val="0"/>
          <w:sz w:val="28"/>
          <w:szCs w:val="20"/>
          <w:lang w:val="en-US" w:eastAsia="zh-CN"/>
        </w:rPr>
        <w:t>人民法院未明确估价对象是否存在欠缴税金及相关费用的，本次评估</w:t>
      </w:r>
      <w:r>
        <w:rPr>
          <w:rFonts w:hint="eastAsia" w:ascii="仿宋_GB2312" w:hAnsi="仿宋_GB2312" w:eastAsia="仿宋_GB2312" w:cs="仿宋_GB2312"/>
          <w:snapToGrid w:val="0"/>
          <w:kern w:val="0"/>
          <w:sz w:val="28"/>
          <w:szCs w:val="20"/>
        </w:rPr>
        <w:t>不</w:t>
      </w:r>
      <w:r>
        <w:rPr>
          <w:rFonts w:hint="eastAsia" w:ascii="仿宋_GB2312" w:hAnsi="仿宋_GB2312" w:eastAsia="仿宋_GB2312" w:cs="仿宋_GB2312"/>
          <w:snapToGrid w:val="0"/>
          <w:kern w:val="0"/>
          <w:sz w:val="28"/>
          <w:szCs w:val="20"/>
          <w:lang w:val="en-US" w:eastAsia="zh-CN"/>
        </w:rPr>
        <w:t>考虑欠缴税金及相关费用。</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val="en-US" w:eastAsia="zh-CN"/>
        </w:rPr>
      </w:pPr>
      <w:r>
        <w:rPr>
          <w:rFonts w:hint="eastAsia" w:ascii="仿宋_GB2312" w:hAnsi="仿宋_GB2312" w:eastAsia="仿宋_GB2312" w:cs="仿宋_GB2312"/>
          <w:snapToGrid w:val="0"/>
          <w:kern w:val="0"/>
          <w:sz w:val="28"/>
          <w:szCs w:val="20"/>
        </w:rPr>
        <w:t>（</w:t>
      </w:r>
      <w:r>
        <w:rPr>
          <w:rFonts w:hint="eastAsia" w:ascii="仿宋_GB2312" w:hAnsi="仿宋_GB2312" w:eastAsia="仿宋_GB2312" w:cs="仿宋_GB2312"/>
          <w:snapToGrid w:val="0"/>
          <w:kern w:val="0"/>
          <w:sz w:val="28"/>
          <w:szCs w:val="20"/>
          <w:lang w:val="en-US" w:eastAsia="zh-CN"/>
        </w:rPr>
        <w:t>5</w:t>
      </w:r>
      <w:r>
        <w:rPr>
          <w:rFonts w:hint="eastAsia" w:ascii="仿宋_GB2312" w:hAnsi="仿宋_GB2312" w:eastAsia="仿宋_GB2312" w:cs="仿宋_GB2312"/>
          <w:snapToGrid w:val="0"/>
          <w:kern w:val="0"/>
          <w:sz w:val="28"/>
          <w:szCs w:val="20"/>
        </w:rPr>
        <w:t>）人民法院未书面明确评估对象交易税费负担方式，</w:t>
      </w:r>
      <w:r>
        <w:rPr>
          <w:rFonts w:hint="eastAsia" w:ascii="仿宋_GB2312" w:hAnsi="仿宋_GB2312" w:eastAsia="仿宋_GB2312" w:cs="仿宋_GB2312"/>
          <w:snapToGrid w:val="0"/>
          <w:kern w:val="0"/>
          <w:sz w:val="28"/>
          <w:szCs w:val="20"/>
          <w:lang w:val="en-US" w:eastAsia="zh-CN"/>
        </w:rPr>
        <w:t>本次评估按照法律法规规定，假定转让人和买受人各自负担</w:t>
      </w:r>
      <w:r>
        <w:rPr>
          <w:rFonts w:hint="eastAsia" w:ascii="仿宋_GB2312" w:hAnsi="仿宋_GB2312" w:eastAsia="仿宋_GB2312" w:cs="仿宋_GB2312"/>
          <w:snapToGrid w:val="0"/>
          <w:kern w:val="0"/>
          <w:sz w:val="28"/>
          <w:szCs w:val="20"/>
        </w:rPr>
        <w:t>交易税费</w:t>
      </w:r>
      <w:r>
        <w:rPr>
          <w:rFonts w:hint="eastAsia" w:ascii="仿宋_GB2312" w:hAnsi="仿宋_GB2312" w:eastAsia="仿宋_GB2312" w:cs="仿宋_GB2312"/>
          <w:snapToGrid w:val="0"/>
          <w:kern w:val="0"/>
          <w:sz w:val="28"/>
          <w:szCs w:val="20"/>
          <w:lang w:eastAsia="zh-CN"/>
        </w:rPr>
        <w:t>。</w:t>
      </w:r>
    </w:p>
    <w:p>
      <w:pPr>
        <w:tabs>
          <w:tab w:val="left" w:pos="267"/>
        </w:tabs>
        <w:adjustRightInd w:val="0"/>
        <w:snapToGrid w:val="0"/>
        <w:spacing w:before="0" w:after="0" w:line="360" w:lineRule="auto"/>
        <w:ind w:firstLine="562" w:firstLineChars="200"/>
        <w:jc w:val="left"/>
        <w:rPr>
          <w:rFonts w:ascii="仿宋_GB2312" w:hAnsi="仿宋_GB2312" w:eastAsia="仿宋_GB2312" w:cs="仿宋_GB2312"/>
          <w:b/>
          <w:bCs/>
          <w:snapToGrid w:val="0"/>
          <w:kern w:val="0"/>
          <w:sz w:val="28"/>
          <w:szCs w:val="20"/>
        </w:rPr>
      </w:pPr>
      <w:r>
        <w:rPr>
          <w:rFonts w:hint="eastAsia" w:ascii="仿宋_GB2312" w:hAnsi="仿宋_GB2312" w:eastAsia="仿宋_GB2312" w:cs="仿宋_GB2312"/>
          <w:b/>
          <w:bCs/>
          <w:snapToGrid w:val="0"/>
          <w:kern w:val="0"/>
          <w:sz w:val="28"/>
          <w:szCs w:val="20"/>
        </w:rPr>
        <w:t>2.未定事项假设</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（1）</w:t>
      </w:r>
      <w:r>
        <w:rPr>
          <w:rFonts w:hint="eastAsia" w:ascii="仿宋_GB2312" w:hAnsi="仿宋_GB2312" w:eastAsia="仿宋_GB2312" w:cs="仿宋_GB2312"/>
          <w:snapToGrid w:val="0"/>
          <w:kern w:val="0"/>
          <w:sz w:val="28"/>
          <w:szCs w:val="28"/>
          <w:lang w:val="en-US" w:eastAsia="zh-CN"/>
        </w:rPr>
        <w:t>本次估价对象现场查勘由申请人现场指认</w:t>
      </w:r>
      <w:r>
        <w:rPr>
          <w:rFonts w:hint="eastAsia" w:ascii="仿宋_GB2312" w:hAnsi="仿宋_GB2312" w:eastAsia="仿宋_GB2312" w:cs="仿宋_GB2312"/>
          <w:snapToGrid w:val="0"/>
          <w:kern w:val="0"/>
          <w:sz w:val="28"/>
          <w:szCs w:val="20"/>
        </w:rPr>
        <w:t>，若与实际不符，应重新估价；估价人员现场查勘时，未对其做建筑物基础、房屋结构上的测量和实验，本次估价假设其无建筑物基础、结构等方面重大质量问题。</w:t>
      </w:r>
    </w:p>
    <w:p>
      <w:pPr>
        <w:tabs>
          <w:tab w:val="left" w:pos="267"/>
        </w:tabs>
        <w:adjustRightInd w:val="0"/>
        <w:snapToGrid w:val="0"/>
        <w:spacing w:before="0" w:after="0" w:line="360" w:lineRule="auto"/>
        <w:ind w:firstLine="562" w:firstLineChars="200"/>
        <w:jc w:val="left"/>
        <w:rPr>
          <w:rFonts w:ascii="仿宋_GB2312" w:hAnsi="仿宋_GB2312" w:eastAsia="仿宋_GB2312" w:cs="仿宋_GB2312"/>
          <w:b/>
          <w:bCs/>
          <w:snapToGrid w:val="0"/>
          <w:kern w:val="0"/>
          <w:sz w:val="28"/>
          <w:szCs w:val="20"/>
        </w:rPr>
      </w:pPr>
      <w:r>
        <w:rPr>
          <w:rFonts w:hint="eastAsia" w:ascii="仿宋_GB2312" w:hAnsi="仿宋_GB2312" w:eastAsia="仿宋_GB2312" w:cs="仿宋_GB2312"/>
          <w:b/>
          <w:bCs/>
          <w:snapToGrid w:val="0"/>
          <w:kern w:val="0"/>
          <w:sz w:val="28"/>
          <w:szCs w:val="20"/>
        </w:rPr>
        <w:t>3.背离事实假设</w:t>
      </w:r>
    </w:p>
    <w:p>
      <w:pPr>
        <w:tabs>
          <w:tab w:val="left" w:pos="267"/>
        </w:tabs>
        <w:adjustRightInd w:val="0"/>
        <w:snapToGrid w:val="0"/>
        <w:spacing w:before="0" w:after="0" w:line="360" w:lineRule="auto"/>
        <w:ind w:firstLine="560" w:firstLineChars="200"/>
        <w:jc w:val="left"/>
        <w:rPr>
          <w:rFonts w:hint="eastAsia" w:ascii="仿宋_GB2312" w:hAnsi="宋体" w:eastAsia="仿宋_GB2312"/>
          <w:color w:val="000000"/>
          <w:sz w:val="28"/>
          <w:szCs w:val="28"/>
        </w:rPr>
      </w:pPr>
      <w:r>
        <w:rPr>
          <w:rFonts w:hint="eastAsia" w:ascii="仿宋_GB2312" w:hAnsi="仿宋_GB2312" w:eastAsia="仿宋_GB2312" w:cs="仿宋_GB2312"/>
          <w:snapToGrid w:val="0"/>
          <w:kern w:val="0"/>
          <w:sz w:val="28"/>
          <w:szCs w:val="20"/>
        </w:rPr>
        <w:t>（1）</w:t>
      </w:r>
      <w:r>
        <w:rPr>
          <w:rFonts w:hint="eastAsia" w:ascii="仿宋_GB2312" w:hAnsi="宋体" w:eastAsia="仿宋_GB2312"/>
          <w:color w:val="000000"/>
          <w:sz w:val="28"/>
          <w:szCs w:val="28"/>
        </w:rPr>
        <w:t>估价结果是为人民法院确定财产处置参考价提供参考依据，估价时没有考虑国家宏观经济政策发生变化、市场供应发生变化、市场结构转变、遇有自然力和其他不可抗力等因素对房地产价值的影响，也没有考虑估价对象将来可能承担违约责任的事宜，以及特殊交易方式下的特殊交易价格等对拟评估价值的影响。当上述条件发生变化时，评估结果一般亦会发生变化。</w:t>
      </w:r>
    </w:p>
    <w:p>
      <w:pPr>
        <w:tabs>
          <w:tab w:val="left" w:pos="267"/>
        </w:tabs>
        <w:adjustRightInd w:val="0"/>
        <w:snapToGrid w:val="0"/>
        <w:spacing w:before="0" w:after="0" w:line="360" w:lineRule="auto"/>
        <w:ind w:firstLine="560" w:firstLineChars="200"/>
        <w:jc w:val="left"/>
        <w:rPr>
          <w:rFonts w:hint="eastAsia" w:ascii="仿宋_GB2312" w:hAnsi="宋体" w:eastAsia="仿宋_GB2312" w:cs="Times New Roman"/>
          <w:snapToGrid/>
          <w:color w:val="000000"/>
          <w:kern w:val="2"/>
          <w:sz w:val="28"/>
          <w:szCs w:val="28"/>
        </w:rPr>
      </w:pPr>
      <w:r>
        <w:rPr>
          <w:rFonts w:hint="eastAsia" w:ascii="仿宋_GB2312" w:hAnsi="仿宋_GB2312" w:eastAsia="仿宋_GB2312" w:cs="仿宋_GB2312"/>
          <w:snapToGrid w:val="0"/>
          <w:kern w:val="0"/>
          <w:sz w:val="28"/>
          <w:szCs w:val="20"/>
        </w:rPr>
        <w:t>（</w:t>
      </w:r>
      <w:r>
        <w:rPr>
          <w:rFonts w:hint="eastAsia" w:ascii="仿宋_GB2312" w:hAnsi="仿宋_GB2312" w:eastAsia="仿宋_GB2312" w:cs="仿宋_GB2312"/>
          <w:snapToGrid w:val="0"/>
          <w:kern w:val="0"/>
          <w:sz w:val="28"/>
          <w:szCs w:val="20"/>
          <w:lang w:val="en-US" w:eastAsia="zh-CN"/>
        </w:rPr>
        <w:t>2</w:t>
      </w:r>
      <w:r>
        <w:rPr>
          <w:rFonts w:hint="eastAsia" w:ascii="仿宋_GB2312" w:hAnsi="仿宋_GB2312" w:eastAsia="仿宋_GB2312" w:cs="仿宋_GB2312"/>
          <w:snapToGrid w:val="0"/>
          <w:kern w:val="0"/>
          <w:sz w:val="28"/>
          <w:szCs w:val="20"/>
        </w:rPr>
        <w:t>）</w:t>
      </w:r>
      <w:r>
        <w:rPr>
          <w:rFonts w:hint="eastAsia" w:ascii="仿宋_GB2312" w:hAnsi="宋体" w:eastAsia="仿宋_GB2312"/>
          <w:color w:val="000000"/>
          <w:sz w:val="28"/>
          <w:szCs w:val="28"/>
        </w:rPr>
        <w:t>涉执房地产处置司法评估不应考虑评估对象被查封以及原有的担保物权和其他优先受偿权情况，</w:t>
      </w:r>
      <w:r>
        <w:rPr>
          <w:rFonts w:hint="eastAsia" w:ascii="仿宋_GB2312" w:hAnsi="宋体" w:eastAsia="仿宋_GB2312"/>
          <w:color w:val="000000"/>
          <w:sz w:val="28"/>
          <w:szCs w:val="28"/>
          <w:lang w:val="en-US" w:eastAsia="zh-CN"/>
        </w:rPr>
        <w:t>本次评估假设估价对象</w:t>
      </w:r>
      <w:r>
        <w:rPr>
          <w:rFonts w:hint="eastAsia" w:ascii="仿宋_GB2312" w:hAnsi="宋体" w:eastAsia="仿宋_GB2312"/>
          <w:color w:val="000000"/>
          <w:sz w:val="28"/>
          <w:szCs w:val="28"/>
        </w:rPr>
        <w:t>为没有查封、未设立担保物权及其他优先受偿权的财产进行评估</w:t>
      </w:r>
      <w:r>
        <w:rPr>
          <w:rFonts w:hint="eastAsia" w:ascii="仿宋_GB2312" w:hAnsi="宋体" w:eastAsia="仿宋_GB2312" w:cs="Times New Roman"/>
          <w:snapToGrid/>
          <w:color w:val="000000"/>
          <w:kern w:val="2"/>
          <w:sz w:val="28"/>
          <w:szCs w:val="28"/>
        </w:rPr>
        <w:t>。</w:t>
      </w:r>
    </w:p>
    <w:p>
      <w:pPr>
        <w:tabs>
          <w:tab w:val="left" w:pos="267"/>
        </w:tabs>
        <w:adjustRightInd w:val="0"/>
        <w:snapToGrid w:val="0"/>
        <w:spacing w:before="0" w:after="0" w:line="360" w:lineRule="auto"/>
        <w:ind w:firstLine="562" w:firstLineChars="200"/>
        <w:jc w:val="left"/>
        <w:rPr>
          <w:rFonts w:ascii="仿宋_GB2312" w:hAnsi="仿宋_GB2312" w:eastAsia="仿宋_GB2312" w:cs="仿宋_GB2312"/>
          <w:b/>
          <w:bCs/>
          <w:snapToGrid w:val="0"/>
          <w:kern w:val="0"/>
          <w:sz w:val="28"/>
          <w:szCs w:val="20"/>
        </w:rPr>
      </w:pPr>
      <w:r>
        <w:rPr>
          <w:rFonts w:hint="eastAsia" w:ascii="仿宋_GB2312" w:hAnsi="仿宋_GB2312" w:eastAsia="仿宋_GB2312" w:cs="仿宋_GB2312"/>
          <w:b/>
          <w:bCs/>
          <w:snapToGrid w:val="0"/>
          <w:kern w:val="0"/>
          <w:sz w:val="28"/>
          <w:szCs w:val="20"/>
        </w:rPr>
        <w:t>4.不相一致假设</w:t>
      </w:r>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宋体" w:eastAsia="仿宋_GB2312"/>
          <w:kern w:val="0"/>
          <w:sz w:val="28"/>
          <w:szCs w:val="28"/>
        </w:rPr>
        <w:t>本次估价</w:t>
      </w:r>
      <w:r>
        <w:rPr>
          <w:rFonts w:hint="eastAsia" w:ascii="仿宋_GB2312" w:hAnsi="宋体" w:eastAsia="仿宋_GB2312"/>
          <w:kern w:val="0"/>
          <w:sz w:val="28"/>
          <w:szCs w:val="28"/>
          <w:lang w:val="en-US" w:eastAsia="zh-CN"/>
        </w:rPr>
        <w:t>无</w:t>
      </w:r>
      <w:r>
        <w:rPr>
          <w:rFonts w:hint="eastAsia" w:ascii="仿宋_GB2312" w:hAnsi="仿宋_GB2312" w:eastAsia="仿宋_GB2312" w:cs="仿宋_GB2312"/>
          <w:snapToGrid w:val="0"/>
          <w:kern w:val="0"/>
          <w:sz w:val="28"/>
          <w:szCs w:val="20"/>
        </w:rPr>
        <w:t>不相一致假设。</w:t>
      </w:r>
    </w:p>
    <w:p>
      <w:pPr>
        <w:tabs>
          <w:tab w:val="left" w:pos="267"/>
        </w:tabs>
        <w:adjustRightInd w:val="0"/>
        <w:snapToGrid w:val="0"/>
        <w:spacing w:before="0" w:after="0" w:line="360" w:lineRule="auto"/>
        <w:ind w:firstLine="562" w:firstLineChars="200"/>
        <w:jc w:val="left"/>
        <w:rPr>
          <w:rFonts w:hint="eastAsia" w:ascii="仿宋_GB2312" w:hAnsi="仿宋_GB2312" w:eastAsia="仿宋_GB2312" w:cs="仿宋_GB2312"/>
          <w:b/>
          <w:bCs/>
          <w:snapToGrid w:val="0"/>
          <w:kern w:val="0"/>
          <w:sz w:val="28"/>
          <w:szCs w:val="20"/>
        </w:rPr>
      </w:pPr>
      <w:r>
        <w:rPr>
          <w:rFonts w:hint="eastAsia" w:ascii="仿宋_GB2312" w:hAnsi="仿宋_GB2312" w:eastAsia="仿宋_GB2312" w:cs="仿宋_GB2312"/>
          <w:b/>
          <w:bCs/>
          <w:snapToGrid w:val="0"/>
          <w:kern w:val="0"/>
          <w:sz w:val="28"/>
          <w:szCs w:val="20"/>
        </w:rPr>
        <w:t>5.依据不足假设</w:t>
      </w:r>
    </w:p>
    <w:p>
      <w:pPr>
        <w:tabs>
          <w:tab w:val="left" w:pos="267"/>
        </w:tabs>
        <w:adjustRightInd w:val="0"/>
        <w:snapToGrid w:val="0"/>
        <w:spacing w:before="0" w:after="0" w:line="360" w:lineRule="auto"/>
        <w:ind w:firstLine="560" w:firstLineChars="200"/>
        <w:jc w:val="left"/>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rPr>
        <w:t>本次估价无依据不足假设。</w:t>
      </w:r>
    </w:p>
    <w:p>
      <w:pPr>
        <w:tabs>
          <w:tab w:val="left" w:pos="267"/>
        </w:tabs>
        <w:adjustRightInd w:val="0"/>
        <w:snapToGrid w:val="0"/>
        <w:spacing w:before="0" w:after="0" w:line="360" w:lineRule="auto"/>
        <w:ind w:firstLine="562" w:firstLineChars="200"/>
        <w:jc w:val="left"/>
        <w:rPr>
          <w:rFonts w:ascii="仿宋_GB2312" w:hAnsi="仿宋_GB2312" w:eastAsia="仿宋_GB2312" w:cs="仿宋_GB2312"/>
          <w:b/>
          <w:bCs/>
          <w:snapToGrid w:val="0"/>
          <w:kern w:val="0"/>
          <w:sz w:val="28"/>
          <w:szCs w:val="20"/>
        </w:rPr>
      </w:pPr>
      <w:r>
        <w:rPr>
          <w:rFonts w:hint="eastAsia" w:ascii="仿宋_GB2312" w:hAnsi="仿宋_GB2312" w:eastAsia="仿宋_GB2312" w:cs="仿宋_GB2312"/>
          <w:b/>
          <w:bCs/>
          <w:snapToGrid w:val="0"/>
          <w:kern w:val="0"/>
          <w:sz w:val="28"/>
          <w:szCs w:val="20"/>
        </w:rPr>
        <w:t>6.估价报告使用限制</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val="en-US" w:eastAsia="zh-CN"/>
        </w:rPr>
      </w:pPr>
      <w:r>
        <w:rPr>
          <w:rFonts w:hint="eastAsia" w:ascii="仿宋_GB2312" w:hAnsi="仿宋_GB2312" w:eastAsia="仿宋_GB2312" w:cs="仿宋_GB2312"/>
          <w:snapToGrid w:val="0"/>
          <w:kern w:val="0"/>
          <w:sz w:val="28"/>
          <w:szCs w:val="20"/>
        </w:rPr>
        <w:t>（1）本估价报告结果仅作为委托方在本次估价目的下使用，不作其他估价目的之用。如果估价条件或目的发生变化，估价报告需做相应调整</w:t>
      </w:r>
      <w:r>
        <w:rPr>
          <w:rFonts w:hint="eastAsia" w:ascii="仿宋_GB2312" w:hAnsi="仿宋_GB2312" w:eastAsia="仿宋_GB2312" w:cs="仿宋_GB2312"/>
          <w:snapToGrid w:val="0"/>
          <w:kern w:val="0"/>
          <w:sz w:val="28"/>
          <w:szCs w:val="20"/>
          <w:lang w:val="en-US" w:eastAsia="zh-CN"/>
        </w:rPr>
        <w:t>；</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eastAsia="zh-CN"/>
        </w:rPr>
      </w:pPr>
      <w:r>
        <w:rPr>
          <w:rFonts w:hint="eastAsia" w:ascii="仿宋_GB2312" w:hAnsi="仿宋_GB2312" w:eastAsia="仿宋_GB2312" w:cs="仿宋_GB2312"/>
          <w:snapToGrid w:val="0"/>
          <w:kern w:val="0"/>
          <w:sz w:val="28"/>
          <w:szCs w:val="20"/>
        </w:rPr>
        <w:t>（2）未经本估价机构书面同意，本报告的全部或任何一部分均不得向估价委托人、报告使用者、报告审查部门之外的单位和个人提供，也不得以任何形式公开发表，报告解释权为本估价机构所有</w:t>
      </w:r>
      <w:r>
        <w:rPr>
          <w:rFonts w:hint="eastAsia" w:ascii="仿宋_GB2312" w:hAnsi="仿宋_GB2312" w:eastAsia="仿宋_GB2312" w:cs="仿宋_GB2312"/>
          <w:snapToGrid w:val="0"/>
          <w:kern w:val="0"/>
          <w:sz w:val="28"/>
          <w:szCs w:val="20"/>
          <w:lang w:val="en-US" w:eastAsia="zh-CN"/>
        </w:rPr>
        <w:t>；</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eastAsia="zh-CN"/>
        </w:rPr>
      </w:pPr>
      <w:r>
        <w:rPr>
          <w:rFonts w:hint="eastAsia" w:ascii="仿宋_GB2312" w:hAnsi="仿宋_GB2312" w:eastAsia="仿宋_GB2312" w:cs="仿宋_GB2312"/>
          <w:snapToGrid w:val="0"/>
          <w:kern w:val="0"/>
          <w:sz w:val="28"/>
          <w:szCs w:val="20"/>
        </w:rPr>
        <w:t>（3）本报告必须完整使用方为有效，对仅使用本报告中部分内容而导致可能的损失，本估价机构不承担责任</w:t>
      </w:r>
      <w:r>
        <w:rPr>
          <w:rFonts w:hint="eastAsia" w:ascii="仿宋_GB2312" w:hAnsi="仿宋_GB2312" w:eastAsia="仿宋_GB2312" w:cs="仿宋_GB2312"/>
          <w:snapToGrid w:val="0"/>
          <w:kern w:val="0"/>
          <w:sz w:val="28"/>
          <w:szCs w:val="20"/>
          <w:lang w:val="en-US" w:eastAsia="zh-CN"/>
        </w:rPr>
        <w:t>；</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eastAsia="zh-CN"/>
        </w:rPr>
      </w:pPr>
      <w:r>
        <w:rPr>
          <w:rFonts w:hint="eastAsia" w:ascii="仿宋_GB2312" w:hAnsi="仿宋_GB2312" w:eastAsia="仿宋_GB2312" w:cs="仿宋_GB2312"/>
          <w:snapToGrid w:val="0"/>
          <w:kern w:val="0"/>
          <w:sz w:val="28"/>
          <w:szCs w:val="20"/>
        </w:rPr>
        <w:t>（4）本次估价结果受价值时点的限制，且本估价报告使用期限自估价报告出具之日起为壹年。若报告使用期限内，房地产市场、建筑市场或估价对象自身状况发生重大变化，估价结果也需做相应调整或委托估价机构重新估价</w:t>
      </w:r>
      <w:r>
        <w:rPr>
          <w:rFonts w:hint="eastAsia" w:ascii="仿宋_GB2312" w:hAnsi="仿宋_GB2312" w:eastAsia="仿宋_GB2312" w:cs="仿宋_GB2312"/>
          <w:snapToGrid w:val="0"/>
          <w:kern w:val="0"/>
          <w:sz w:val="28"/>
          <w:szCs w:val="20"/>
          <w:lang w:val="en-US" w:eastAsia="zh-CN"/>
        </w:rPr>
        <w:t>；</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val="en-US" w:eastAsia="zh-CN"/>
        </w:rPr>
      </w:pPr>
      <w:r>
        <w:rPr>
          <w:rFonts w:hint="eastAsia" w:ascii="仿宋_GB2312" w:hAnsi="仿宋_GB2312" w:eastAsia="仿宋_GB2312" w:cs="仿宋_GB2312"/>
          <w:snapToGrid w:val="0"/>
          <w:kern w:val="0"/>
          <w:sz w:val="28"/>
          <w:szCs w:val="20"/>
          <w:lang w:val="en-US" w:eastAsia="zh-CN"/>
        </w:rPr>
        <w:t>（5）应当按照法律规定和评估报告载明的用途、使用人、使用期限等使用范围使用评估报告。否则，房地产估价机构和注册房地产估价师依法不承担责任；</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val="en-US" w:eastAsia="zh-CN"/>
        </w:rPr>
      </w:pPr>
      <w:r>
        <w:rPr>
          <w:rFonts w:hint="eastAsia" w:ascii="仿宋_GB2312" w:hAnsi="仿宋_GB2312" w:eastAsia="仿宋_GB2312" w:cs="仿宋_GB2312"/>
          <w:snapToGrid w:val="0"/>
          <w:kern w:val="0"/>
          <w:sz w:val="28"/>
          <w:szCs w:val="20"/>
          <w:lang w:val="en-US" w:eastAsia="zh-CN"/>
        </w:rPr>
        <w:t>（6）评估结果仅为人民法院确定财产处置参考价服务，不是评估对象处置可实现的成交价格，也不应当被视为对评估对象处置成交价格的保证；</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val="en-US" w:eastAsia="zh-CN"/>
        </w:rPr>
      </w:pPr>
      <w:r>
        <w:rPr>
          <w:rFonts w:hint="eastAsia" w:ascii="仿宋_GB2312" w:hAnsi="仿宋_GB2312" w:eastAsia="仿宋_GB2312" w:cs="仿宋_GB2312"/>
          <w:snapToGrid w:val="0"/>
          <w:kern w:val="0"/>
          <w:sz w:val="28"/>
          <w:szCs w:val="20"/>
          <w:lang w:val="en-US" w:eastAsia="zh-CN"/>
        </w:rPr>
        <w:t>（7）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val="en-US" w:eastAsia="zh-CN"/>
        </w:rPr>
      </w:pPr>
      <w:r>
        <w:rPr>
          <w:rFonts w:hint="eastAsia" w:ascii="仿宋_GB2312" w:hAnsi="仿宋_GB2312" w:eastAsia="仿宋_GB2312" w:cs="仿宋_GB2312"/>
          <w:snapToGrid w:val="0"/>
          <w:kern w:val="0"/>
          <w:sz w:val="28"/>
          <w:szCs w:val="20"/>
          <w:lang w:val="en-US" w:eastAsia="zh-CN"/>
        </w:rPr>
        <w:t>（8）在评估报告使用期限或者评估结果有效期内，评估报告或者评估结果未使用之前，如果评估对象状况或者房地产市场状况发生明显变化的，评估结果应当进行相应调整后才可使用；</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lang w:val="en-US" w:eastAsia="zh-CN"/>
        </w:rPr>
        <w:t>（9）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pPr>
        <w:pStyle w:val="22"/>
        <w:spacing w:before="0" w:after="0" w:line="360" w:lineRule="auto"/>
        <w:rPr>
          <w:rFonts w:ascii="Times New Roman" w:hAnsi="Times New Roman" w:eastAsia="仿宋_GB2312"/>
          <w:color w:val="000000"/>
        </w:rPr>
      </w:pPr>
      <w:r>
        <w:rPr>
          <w:rFonts w:ascii="Times New Roman" w:hAnsi="Times New Roman" w:eastAsia="仿宋_GB2312"/>
          <w:color w:val="000000"/>
        </w:rPr>
        <w:br w:type="page"/>
      </w:r>
      <w:bookmarkStart w:id="2" w:name="_Toc29835"/>
      <w:r>
        <w:rPr>
          <w:rFonts w:ascii="Times New Roman" w:hAnsi="Times New Roman" w:eastAsia="仿宋_GB2312"/>
          <w:color w:val="000000"/>
        </w:rPr>
        <w:t>三、估价结果报告</w:t>
      </w:r>
      <w:bookmarkEnd w:id="2"/>
    </w:p>
    <w:p>
      <w:pPr>
        <w:pStyle w:val="4"/>
        <w:keepLines w:val="0"/>
        <w:snapToGrid w:val="0"/>
        <w:spacing w:before="312" w:beforeLines="100" w:after="0" w:line="360" w:lineRule="auto"/>
        <w:ind w:firstLine="562" w:firstLineChars="200"/>
        <w:jc w:val="left"/>
        <w:rPr>
          <w:rFonts w:ascii="仿宋_GB2312" w:hAnsi="仿宋_GB2312" w:eastAsia="仿宋_GB2312" w:cs="仿宋_GB2312"/>
          <w:color w:val="000000"/>
          <w:sz w:val="28"/>
          <w:szCs w:val="28"/>
        </w:rPr>
      </w:pPr>
      <w:bookmarkStart w:id="3" w:name="_Toc16238"/>
      <w:r>
        <w:rPr>
          <w:rFonts w:hint="eastAsia" w:ascii="仿宋_GB2312" w:hAnsi="仿宋_GB2312" w:eastAsia="仿宋_GB2312" w:cs="仿宋_GB2312"/>
          <w:color w:val="000000"/>
          <w:sz w:val="28"/>
          <w:szCs w:val="28"/>
        </w:rPr>
        <w:t>（一）估价委托人</w:t>
      </w:r>
      <w:bookmarkEnd w:id="3"/>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eastAsia="zh-CN"/>
        </w:rPr>
      </w:pPr>
      <w:r>
        <w:rPr>
          <w:rFonts w:hint="eastAsia" w:ascii="仿宋_GB2312" w:hAnsi="仿宋_GB2312" w:eastAsia="仿宋_GB2312" w:cs="仿宋_GB2312"/>
          <w:snapToGrid w:val="0"/>
          <w:kern w:val="0"/>
          <w:sz w:val="28"/>
          <w:szCs w:val="20"/>
        </w:rPr>
        <w:t>委托单位：萍乡市湘东区人民法院</w:t>
      </w:r>
    </w:p>
    <w:p>
      <w:pPr>
        <w:pStyle w:val="4"/>
        <w:keepLines w:val="0"/>
        <w:snapToGrid w:val="0"/>
        <w:spacing w:before="0" w:after="0" w:line="360" w:lineRule="auto"/>
        <w:ind w:firstLine="562" w:firstLineChars="200"/>
        <w:jc w:val="left"/>
        <w:rPr>
          <w:rFonts w:ascii="仿宋_GB2312" w:hAnsi="仿宋_GB2312" w:eastAsia="仿宋_GB2312" w:cs="仿宋_GB2312"/>
          <w:color w:val="000000"/>
          <w:sz w:val="28"/>
          <w:szCs w:val="28"/>
        </w:rPr>
      </w:pPr>
      <w:bookmarkStart w:id="4" w:name="_Toc30080"/>
      <w:r>
        <w:rPr>
          <w:rFonts w:hint="eastAsia" w:ascii="仿宋_GB2312" w:hAnsi="仿宋_GB2312" w:eastAsia="仿宋_GB2312" w:cs="仿宋_GB2312"/>
          <w:color w:val="000000"/>
          <w:sz w:val="28"/>
          <w:szCs w:val="28"/>
        </w:rPr>
        <w:t>（二）房地产估价机构</w:t>
      </w:r>
      <w:bookmarkEnd w:id="4"/>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受托估价机构：江西天禄房地产土地资产评估有限公司</w:t>
      </w:r>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机构地址：江西省南昌市红谷滩区赣江南大道1888号滨江商务中心</w:t>
      </w:r>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2#楼2922室</w:t>
      </w:r>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估价机构资质级别：壹级</w:t>
      </w:r>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证书编号：赣建房评字115号</w:t>
      </w:r>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法人代表：肖斌</w:t>
      </w:r>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联系电话：0791-87678282</w:t>
      </w:r>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邮    编：330000</w:t>
      </w:r>
    </w:p>
    <w:p>
      <w:pPr>
        <w:pStyle w:val="4"/>
        <w:keepLines w:val="0"/>
        <w:snapToGrid w:val="0"/>
        <w:spacing w:before="0" w:after="0" w:line="360" w:lineRule="auto"/>
        <w:ind w:firstLine="562" w:firstLineChars="200"/>
        <w:jc w:val="left"/>
        <w:rPr>
          <w:rFonts w:ascii="仿宋_GB2312" w:hAnsi="仿宋_GB2312" w:eastAsia="仿宋_GB2312" w:cs="仿宋_GB2312"/>
          <w:color w:val="000000"/>
          <w:sz w:val="28"/>
          <w:szCs w:val="28"/>
        </w:rPr>
      </w:pPr>
      <w:bookmarkStart w:id="5" w:name="_Toc2439"/>
      <w:r>
        <w:rPr>
          <w:rFonts w:hint="eastAsia" w:ascii="仿宋_GB2312" w:hAnsi="仿宋_GB2312" w:eastAsia="仿宋_GB2312" w:cs="仿宋_GB2312"/>
          <w:color w:val="000000"/>
          <w:sz w:val="28"/>
          <w:szCs w:val="28"/>
        </w:rPr>
        <w:t>（三）估价目的</w:t>
      </w:r>
      <w:bookmarkEnd w:id="5"/>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为人民法院确定财产处置参考价提供参考依据。</w:t>
      </w:r>
    </w:p>
    <w:p>
      <w:pPr>
        <w:pStyle w:val="4"/>
        <w:keepLines w:val="0"/>
        <w:snapToGrid w:val="0"/>
        <w:spacing w:before="0" w:after="0" w:line="360" w:lineRule="auto"/>
        <w:ind w:firstLine="562" w:firstLineChars="200"/>
        <w:jc w:val="left"/>
        <w:rPr>
          <w:rFonts w:ascii="仿宋_GB2312" w:hAnsi="仿宋_GB2312" w:eastAsia="仿宋_GB2312" w:cs="仿宋_GB2312"/>
          <w:color w:val="000000"/>
          <w:sz w:val="28"/>
          <w:szCs w:val="28"/>
        </w:rPr>
      </w:pPr>
      <w:bookmarkStart w:id="6" w:name="_Toc31596"/>
      <w:r>
        <w:rPr>
          <w:rFonts w:hint="eastAsia" w:ascii="仿宋_GB2312" w:hAnsi="仿宋_GB2312" w:eastAsia="仿宋_GB2312" w:cs="仿宋_GB2312"/>
          <w:color w:val="000000"/>
          <w:sz w:val="28"/>
          <w:szCs w:val="28"/>
        </w:rPr>
        <w:t>（四）估价对象</w:t>
      </w:r>
      <w:bookmarkEnd w:id="6"/>
    </w:p>
    <w:p>
      <w:pPr>
        <w:tabs>
          <w:tab w:val="left" w:pos="267"/>
        </w:tabs>
        <w:adjustRightInd w:val="0"/>
        <w:snapToGrid w:val="0"/>
        <w:spacing w:before="0" w:after="0" w:line="360" w:lineRule="auto"/>
        <w:ind w:firstLine="560" w:firstLineChars="200"/>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color w:val="auto"/>
          <w:kern w:val="0"/>
          <w:sz w:val="28"/>
          <w:szCs w:val="20"/>
        </w:rPr>
        <w:t>估价对象为萍乡经济技术开发区金三角食品商贸城汇丰五区</w:t>
      </w:r>
      <w:r>
        <w:rPr>
          <w:rFonts w:hint="eastAsia" w:ascii="仿宋_GB2312" w:hAnsi="仿宋_GB2312" w:eastAsia="仿宋_GB2312" w:cs="仿宋_GB2312"/>
          <w:snapToGrid w:val="0"/>
          <w:color w:val="auto"/>
          <w:kern w:val="0"/>
          <w:sz w:val="28"/>
          <w:szCs w:val="20"/>
          <w:lang w:val="en-US" w:eastAsia="zh-CN"/>
        </w:rPr>
        <w:t>的</w:t>
      </w:r>
      <w:r>
        <w:rPr>
          <w:rFonts w:hint="eastAsia" w:ascii="仿宋_GB2312" w:hAnsi="仿宋_GB2312" w:eastAsia="仿宋_GB2312" w:cs="仿宋_GB2312"/>
          <w:snapToGrid w:val="0"/>
          <w:color w:val="auto"/>
          <w:kern w:val="0"/>
          <w:sz w:val="28"/>
          <w:szCs w:val="20"/>
        </w:rPr>
        <w:t>非住宅房地产，</w:t>
      </w:r>
      <w:r>
        <w:rPr>
          <w:rFonts w:hint="eastAsia" w:ascii="仿宋_GB2312" w:hAnsi="仿宋_GB2312" w:eastAsia="仿宋_GB2312" w:cs="仿宋_GB2312"/>
          <w:snapToGrid w:val="0"/>
          <w:color w:val="auto"/>
          <w:kern w:val="0"/>
          <w:sz w:val="28"/>
          <w:szCs w:val="20"/>
          <w:lang w:val="en-US" w:eastAsia="zh-CN"/>
        </w:rPr>
        <w:t>估价对象房屋总</w:t>
      </w:r>
      <w:r>
        <w:rPr>
          <w:rFonts w:hint="eastAsia" w:ascii="仿宋_GB2312" w:hAnsi="仿宋_GB2312" w:eastAsia="仿宋_GB2312" w:cs="仿宋_GB2312"/>
          <w:snapToGrid w:val="0"/>
          <w:color w:val="auto"/>
          <w:kern w:val="0"/>
          <w:sz w:val="28"/>
          <w:szCs w:val="20"/>
        </w:rPr>
        <w:t>建筑面积为103.57平方米。</w:t>
      </w:r>
      <w:r>
        <w:rPr>
          <w:rFonts w:hint="eastAsia" w:eastAsia="仿宋_GB2312"/>
          <w:snapToGrid w:val="0"/>
          <w:color w:val="auto"/>
          <w:kern w:val="0"/>
          <w:sz w:val="28"/>
          <w:szCs w:val="20"/>
          <w:lang w:val="en-US" w:eastAsia="zh-CN"/>
        </w:rPr>
        <w:t>本次评估的对象包括房屋的所有权、分摊的土地使用权和确保其正常使用功能不可分割的基本设备设施及不可移动的装饰装修，现</w:t>
      </w:r>
      <w:r>
        <w:rPr>
          <w:rFonts w:hint="eastAsia" w:eastAsia="仿宋_GB2312"/>
          <w:snapToGrid w:val="0"/>
          <w:kern w:val="0"/>
          <w:sz w:val="28"/>
          <w:szCs w:val="20"/>
          <w:lang w:val="en-US" w:eastAsia="zh-CN"/>
        </w:rPr>
        <w:t>将估价对象基本状况概述如下：</w:t>
      </w:r>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lang w:val="en-US" w:eastAsia="zh-CN"/>
        </w:rPr>
        <w:t>1</w:t>
      </w:r>
      <w:r>
        <w:rPr>
          <w:rFonts w:hint="eastAsia" w:ascii="仿宋_GB2312" w:hAnsi="仿宋_GB2312" w:eastAsia="仿宋_GB2312" w:cs="仿宋_GB2312"/>
          <w:snapToGrid w:val="0"/>
          <w:kern w:val="0"/>
          <w:sz w:val="28"/>
          <w:szCs w:val="20"/>
        </w:rPr>
        <w:t>、土地基本状况</w:t>
      </w:r>
    </w:p>
    <w:p>
      <w:pPr>
        <w:tabs>
          <w:tab w:val="left" w:pos="267"/>
        </w:tabs>
        <w:adjustRightInd w:val="0"/>
        <w:snapToGrid w:val="0"/>
        <w:spacing w:before="0" w:after="0" w:line="360" w:lineRule="auto"/>
        <w:ind w:firstLine="560" w:firstLineChars="200"/>
        <w:rPr>
          <w:rFonts w:hint="eastAsia" w:ascii="仿宋_GB2312" w:hAnsi="仿宋_GB2312" w:eastAsia="仿宋_GB2312" w:cs="仿宋_GB2312"/>
          <w:snapToGrid w:val="0"/>
          <w:color w:val="auto"/>
          <w:kern w:val="0"/>
          <w:sz w:val="28"/>
          <w:szCs w:val="20"/>
          <w:lang w:val="en-US" w:eastAsia="zh-CN"/>
        </w:rPr>
      </w:pPr>
      <w:r>
        <w:rPr>
          <w:rFonts w:hint="eastAsia" w:ascii="仿宋_GB2312" w:hAnsi="仿宋_GB2312" w:eastAsia="仿宋_GB2312" w:cs="仿宋_GB2312"/>
          <w:snapToGrid w:val="0"/>
          <w:color w:val="auto"/>
          <w:kern w:val="0"/>
          <w:sz w:val="28"/>
          <w:szCs w:val="20"/>
        </w:rPr>
        <w:t>根据委托方提供的</w:t>
      </w:r>
      <w:r>
        <w:rPr>
          <w:rFonts w:hint="eastAsia" w:ascii="仿宋_GB2312" w:hAnsi="仿宋_GB2312" w:eastAsia="仿宋_GB2312" w:cs="仿宋_GB2312"/>
          <w:snapToGrid w:val="0"/>
          <w:color w:val="auto"/>
          <w:kern w:val="0"/>
          <w:sz w:val="28"/>
          <w:szCs w:val="20"/>
          <w:lang w:eastAsia="zh-CN"/>
        </w:rPr>
        <w:t>资料</w:t>
      </w:r>
      <w:r>
        <w:rPr>
          <w:rFonts w:hint="eastAsia" w:ascii="仿宋_GB2312" w:hAnsi="仿宋_GB2312" w:eastAsia="仿宋_GB2312" w:cs="仿宋_GB2312"/>
          <w:snapToGrid w:val="0"/>
          <w:color w:val="auto"/>
          <w:kern w:val="0"/>
          <w:sz w:val="28"/>
          <w:szCs w:val="20"/>
        </w:rPr>
        <w:t>及现场查勘</w:t>
      </w:r>
      <w:r>
        <w:rPr>
          <w:rFonts w:hint="eastAsia" w:ascii="仿宋_GB2312" w:hAnsi="仿宋_GB2312" w:eastAsia="仿宋_GB2312" w:cs="仿宋_GB2312"/>
          <w:snapToGrid w:val="0"/>
          <w:color w:val="auto"/>
          <w:kern w:val="0"/>
          <w:sz w:val="28"/>
          <w:szCs w:val="20"/>
          <w:lang w:eastAsia="zh-CN"/>
        </w:rPr>
        <w:t>，</w:t>
      </w:r>
      <w:r>
        <w:rPr>
          <w:rFonts w:hint="eastAsia" w:ascii="仿宋_GB2312" w:hAnsi="仿宋_GB2312" w:eastAsia="仿宋_GB2312" w:cs="仿宋_GB2312"/>
          <w:snapToGrid w:val="0"/>
          <w:color w:val="auto"/>
          <w:kern w:val="0"/>
          <w:sz w:val="28"/>
          <w:szCs w:val="20"/>
          <w:lang w:val="en-US" w:eastAsia="zh-CN"/>
        </w:rPr>
        <w:t>估价对象坐落萍乡经济技术开发区金三角食品商贸城</w:t>
      </w:r>
      <w:r>
        <w:rPr>
          <w:rFonts w:hint="eastAsia" w:ascii="仿宋_GB2312" w:hAnsi="仿宋_GB2312" w:eastAsia="仿宋_GB2312" w:cs="仿宋_GB2312"/>
          <w:snapToGrid w:val="0"/>
          <w:color w:val="auto"/>
          <w:kern w:val="0"/>
          <w:sz w:val="28"/>
          <w:szCs w:val="20"/>
          <w:lang w:eastAsia="zh-CN"/>
        </w:rPr>
        <w:t>，土地所有权状况为国有，土地使用权</w:t>
      </w:r>
      <w:r>
        <w:rPr>
          <w:rFonts w:hint="eastAsia" w:ascii="仿宋_GB2312" w:hAnsi="仿宋_GB2312" w:eastAsia="仿宋_GB2312" w:cs="仿宋_GB2312"/>
          <w:snapToGrid w:val="0"/>
          <w:color w:val="auto"/>
          <w:kern w:val="0"/>
          <w:sz w:val="28"/>
          <w:szCs w:val="20"/>
          <w:lang w:val="en-US" w:eastAsia="zh-CN"/>
        </w:rPr>
        <w:t>类型</w:t>
      </w:r>
      <w:r>
        <w:rPr>
          <w:rFonts w:hint="eastAsia" w:ascii="仿宋_GB2312" w:hAnsi="仿宋_GB2312" w:eastAsia="仿宋_GB2312" w:cs="仿宋_GB2312"/>
          <w:snapToGrid w:val="0"/>
          <w:color w:val="auto"/>
          <w:kern w:val="0"/>
          <w:sz w:val="28"/>
          <w:szCs w:val="20"/>
          <w:lang w:eastAsia="zh-CN"/>
        </w:rPr>
        <w:t>为出让，</w:t>
      </w:r>
      <w:r>
        <w:rPr>
          <w:rFonts w:hint="eastAsia" w:ascii="仿宋_GB2312" w:hAnsi="仿宋_GB2312" w:eastAsia="仿宋_GB2312" w:cs="仿宋_GB2312"/>
          <w:snapToGrid w:val="0"/>
          <w:color w:val="auto"/>
          <w:kern w:val="0"/>
          <w:sz w:val="28"/>
          <w:szCs w:val="20"/>
          <w:lang w:val="en-US" w:eastAsia="zh-CN"/>
        </w:rPr>
        <w:t>用途为商服、住宅，使用期限为商服2044年1月20日、住宅2074年1月20日止；估价对象所在宗地</w:t>
      </w:r>
      <w:r>
        <w:rPr>
          <w:rFonts w:hint="eastAsia" w:ascii="仿宋_GB2312" w:hAnsi="仿宋_GB2312" w:eastAsia="仿宋_GB2312" w:cs="仿宋_GB2312"/>
          <w:snapToGrid w:val="0"/>
          <w:color w:val="auto"/>
          <w:kern w:val="0"/>
          <w:sz w:val="28"/>
          <w:szCs w:val="20"/>
        </w:rPr>
        <w:t>形状</w:t>
      </w:r>
      <w:r>
        <w:rPr>
          <w:rFonts w:hint="eastAsia" w:ascii="仿宋_GB2312" w:hAnsi="仿宋_GB2312" w:eastAsia="仿宋_GB2312" w:cs="仿宋_GB2312"/>
          <w:snapToGrid w:val="0"/>
          <w:color w:val="auto"/>
          <w:kern w:val="0"/>
          <w:sz w:val="28"/>
          <w:szCs w:val="20"/>
          <w:lang w:val="en-US" w:eastAsia="zh-CN"/>
        </w:rPr>
        <w:t>较</w:t>
      </w:r>
      <w:r>
        <w:rPr>
          <w:rFonts w:hint="eastAsia" w:ascii="仿宋_GB2312" w:hAnsi="仿宋_GB2312" w:eastAsia="仿宋_GB2312" w:cs="仿宋_GB2312"/>
          <w:snapToGrid w:val="0"/>
          <w:color w:val="auto"/>
          <w:kern w:val="0"/>
          <w:sz w:val="28"/>
          <w:szCs w:val="20"/>
        </w:rPr>
        <w:t>规则，地形较平坦，地质条件良好</w:t>
      </w:r>
      <w:r>
        <w:rPr>
          <w:rFonts w:hint="eastAsia" w:ascii="仿宋_GB2312" w:hAnsi="仿宋_GB2312" w:eastAsia="仿宋_GB2312" w:cs="仿宋_GB2312"/>
          <w:snapToGrid w:val="0"/>
          <w:color w:val="auto"/>
          <w:kern w:val="0"/>
          <w:sz w:val="28"/>
          <w:szCs w:val="20"/>
          <w:lang w:val="en-US" w:eastAsia="zh-CN"/>
        </w:rPr>
        <w:t>，</w:t>
      </w:r>
      <w:r>
        <w:rPr>
          <w:rFonts w:hint="eastAsia" w:ascii="仿宋_GB2312" w:hAnsi="仿宋_GB2312" w:eastAsia="仿宋_GB2312" w:cs="仿宋_GB2312"/>
          <w:snapToGrid w:val="0"/>
          <w:color w:val="auto"/>
          <w:kern w:val="0"/>
          <w:sz w:val="28"/>
          <w:szCs w:val="20"/>
        </w:rPr>
        <w:t>土地开发程度为红线外“</w:t>
      </w:r>
      <w:r>
        <w:rPr>
          <w:rFonts w:hint="eastAsia" w:ascii="仿宋_GB2312" w:hAnsi="仿宋_GB2312" w:eastAsia="仿宋_GB2312" w:cs="仿宋_GB2312"/>
          <w:snapToGrid w:val="0"/>
          <w:color w:val="auto"/>
          <w:kern w:val="0"/>
          <w:sz w:val="28"/>
          <w:szCs w:val="20"/>
          <w:lang w:val="en-US" w:eastAsia="zh-CN"/>
        </w:rPr>
        <w:t>五</w:t>
      </w:r>
      <w:r>
        <w:rPr>
          <w:rFonts w:hint="eastAsia" w:ascii="仿宋_GB2312" w:hAnsi="仿宋_GB2312" w:eastAsia="仿宋_GB2312" w:cs="仿宋_GB2312"/>
          <w:snapToGrid w:val="0"/>
          <w:color w:val="auto"/>
          <w:kern w:val="0"/>
          <w:sz w:val="28"/>
          <w:szCs w:val="20"/>
        </w:rPr>
        <w:t>通”（指通路、通电、供水、排水、通讯），红线内“</w:t>
      </w:r>
      <w:r>
        <w:rPr>
          <w:rFonts w:hint="eastAsia" w:ascii="仿宋_GB2312" w:hAnsi="仿宋_GB2312" w:eastAsia="仿宋_GB2312" w:cs="仿宋_GB2312"/>
          <w:snapToGrid w:val="0"/>
          <w:color w:val="auto"/>
          <w:kern w:val="0"/>
          <w:sz w:val="28"/>
          <w:szCs w:val="20"/>
          <w:lang w:val="en-US" w:eastAsia="zh-CN"/>
        </w:rPr>
        <w:t>五</w:t>
      </w:r>
      <w:r>
        <w:rPr>
          <w:rFonts w:hint="eastAsia" w:ascii="仿宋_GB2312" w:hAnsi="仿宋_GB2312" w:eastAsia="仿宋_GB2312" w:cs="仿宋_GB2312"/>
          <w:snapToGrid w:val="0"/>
          <w:color w:val="auto"/>
          <w:kern w:val="0"/>
          <w:sz w:val="28"/>
          <w:szCs w:val="20"/>
        </w:rPr>
        <w:t>通一平”（指通路、通电、供水、排水、通讯及场地平整）</w:t>
      </w:r>
      <w:r>
        <w:rPr>
          <w:rFonts w:hint="eastAsia" w:ascii="仿宋_GB2312" w:hAnsi="仿宋_GB2312" w:eastAsia="仿宋_GB2312" w:cs="仿宋_GB2312"/>
          <w:snapToGrid w:val="0"/>
          <w:color w:val="auto"/>
          <w:kern w:val="0"/>
          <w:sz w:val="28"/>
          <w:szCs w:val="20"/>
          <w:lang w:val="en-US" w:eastAsia="zh-CN"/>
        </w:rPr>
        <w:t>。</w:t>
      </w:r>
    </w:p>
    <w:p>
      <w:pPr>
        <w:tabs>
          <w:tab w:val="left" w:pos="267"/>
        </w:tabs>
        <w:adjustRightInd w:val="0"/>
        <w:snapToGrid w:val="0"/>
        <w:spacing w:before="0" w:after="0" w:line="360" w:lineRule="auto"/>
        <w:ind w:firstLine="560" w:firstLineChars="200"/>
        <w:jc w:val="left"/>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lang w:val="en-US" w:eastAsia="zh-CN"/>
        </w:rPr>
        <w:t>2</w:t>
      </w:r>
      <w:r>
        <w:rPr>
          <w:rFonts w:hint="eastAsia" w:ascii="仿宋_GB2312" w:hAnsi="仿宋_GB2312" w:eastAsia="仿宋_GB2312" w:cs="仿宋_GB2312"/>
          <w:snapToGrid w:val="0"/>
          <w:kern w:val="0"/>
          <w:sz w:val="28"/>
          <w:szCs w:val="20"/>
        </w:rPr>
        <w:t>、建筑物基本状况</w:t>
      </w:r>
    </w:p>
    <w:p>
      <w:pPr>
        <w:tabs>
          <w:tab w:val="left" w:pos="267"/>
        </w:tabs>
        <w:adjustRightInd w:val="0"/>
        <w:snapToGrid w:val="0"/>
        <w:spacing w:before="0" w:after="0" w:line="360" w:lineRule="auto"/>
        <w:ind w:firstLine="560" w:firstLineChars="200"/>
        <w:rPr>
          <w:rFonts w:hint="eastAsia" w:ascii="仿宋_GB2312" w:hAnsi="仿宋_GB2312" w:eastAsia="仿宋_GB2312" w:cs="仿宋_GB2312"/>
          <w:snapToGrid w:val="0"/>
          <w:color w:val="auto"/>
          <w:kern w:val="0"/>
          <w:sz w:val="28"/>
          <w:szCs w:val="20"/>
          <w:lang w:val="en-US" w:eastAsia="zh-CN"/>
        </w:rPr>
      </w:pPr>
      <w:r>
        <w:rPr>
          <w:rFonts w:hint="eastAsia" w:ascii="仿宋_GB2312" w:hAnsi="仿宋_GB2312" w:eastAsia="仿宋_GB2312" w:cs="仿宋_GB2312"/>
          <w:snapToGrid w:val="0"/>
          <w:color w:val="auto"/>
          <w:kern w:val="0"/>
          <w:sz w:val="28"/>
          <w:szCs w:val="20"/>
          <w:lang w:val="en-US" w:eastAsia="zh-CN"/>
        </w:rPr>
        <w:t>根据委托方提供的相关资料及估价人员现场勘察，估价对象建筑结构为混合，建成于2000年，</w:t>
      </w:r>
      <w:r>
        <w:rPr>
          <w:rFonts w:hint="eastAsia" w:ascii="仿宋_GB2312" w:hAnsi="仿宋_GB2312" w:eastAsia="仿宋_GB2312" w:cs="仿宋_GB2312"/>
          <w:snapToGrid w:val="0"/>
          <w:color w:val="auto"/>
          <w:kern w:val="0"/>
          <w:sz w:val="28"/>
          <w:szCs w:val="20"/>
        </w:rPr>
        <w:t>建筑物</w:t>
      </w:r>
      <w:r>
        <w:rPr>
          <w:rFonts w:hint="eastAsia" w:ascii="仿宋_GB2312" w:hAnsi="仿宋_GB2312" w:eastAsia="仿宋_GB2312" w:cs="仿宋_GB2312"/>
          <w:snapToGrid w:val="0"/>
          <w:color w:val="auto"/>
          <w:kern w:val="0"/>
          <w:sz w:val="28"/>
          <w:szCs w:val="20"/>
          <w:lang w:val="en-US" w:eastAsia="zh-CN"/>
        </w:rPr>
        <w:t>基本</w:t>
      </w:r>
      <w:r>
        <w:rPr>
          <w:rFonts w:hint="eastAsia" w:ascii="仿宋_GB2312" w:hAnsi="仿宋_GB2312" w:eastAsia="仿宋_GB2312" w:cs="仿宋_GB2312"/>
          <w:snapToGrid w:val="0"/>
          <w:color w:val="auto"/>
          <w:kern w:val="0"/>
          <w:sz w:val="28"/>
          <w:szCs w:val="20"/>
        </w:rPr>
        <w:t>状况</w:t>
      </w:r>
      <w:r>
        <w:rPr>
          <w:rFonts w:hint="eastAsia" w:ascii="仿宋_GB2312" w:hAnsi="仿宋_GB2312" w:eastAsia="仿宋_GB2312" w:cs="仿宋_GB2312"/>
          <w:snapToGrid w:val="0"/>
          <w:color w:val="auto"/>
          <w:kern w:val="0"/>
          <w:sz w:val="28"/>
          <w:szCs w:val="20"/>
          <w:lang w:val="en-US" w:eastAsia="zh-CN"/>
        </w:rPr>
        <w:t>如下表：</w:t>
      </w:r>
    </w:p>
    <w:tbl>
      <w:tblPr>
        <w:tblStyle w:val="24"/>
        <w:tblW w:w="90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4"/>
        <w:gridCol w:w="1769"/>
        <w:gridCol w:w="894"/>
        <w:gridCol w:w="1656"/>
        <w:gridCol w:w="750"/>
        <w:gridCol w:w="767"/>
        <w:gridCol w:w="746"/>
        <w:gridCol w:w="1070"/>
        <w:gridCol w:w="1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房屋所有权证号</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权利人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坐落</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用途</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建筑</w:t>
            </w:r>
            <w:r>
              <w:rPr>
                <w:rFonts w:hint="eastAsia" w:ascii="仿宋" w:hAnsi="仿宋" w:eastAsia="仿宋" w:cs="仿宋"/>
                <w:b/>
                <w:bCs/>
                <w:i w:val="0"/>
                <w:iCs w:val="0"/>
                <w:color w:val="000000"/>
                <w:kern w:val="0"/>
                <w:sz w:val="21"/>
                <w:szCs w:val="21"/>
                <w:u w:val="none"/>
                <w:lang w:val="en-US" w:eastAsia="zh-CN" w:bidi="ar"/>
              </w:rPr>
              <w:br w:type="textWrapping"/>
            </w:r>
            <w:r>
              <w:rPr>
                <w:rFonts w:hint="eastAsia" w:ascii="仿宋" w:hAnsi="仿宋" w:eastAsia="仿宋" w:cs="仿宋"/>
                <w:b/>
                <w:bCs/>
                <w:i w:val="0"/>
                <w:iCs w:val="0"/>
                <w:color w:val="000000"/>
                <w:kern w:val="0"/>
                <w:sz w:val="21"/>
                <w:szCs w:val="21"/>
                <w:u w:val="none"/>
                <w:lang w:val="en-US" w:eastAsia="zh-CN" w:bidi="ar"/>
              </w:rPr>
              <w:t>结构</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房号</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所在层/</w:t>
            </w:r>
            <w:r>
              <w:rPr>
                <w:rFonts w:hint="eastAsia" w:ascii="仿宋" w:hAnsi="仿宋" w:eastAsia="仿宋" w:cs="仿宋"/>
                <w:b/>
                <w:bCs/>
                <w:i w:val="0"/>
                <w:iCs w:val="0"/>
                <w:color w:val="000000"/>
                <w:kern w:val="0"/>
                <w:sz w:val="21"/>
                <w:szCs w:val="21"/>
                <w:u w:val="none"/>
                <w:lang w:val="en-US" w:eastAsia="zh-CN" w:bidi="ar"/>
              </w:rPr>
              <w:br w:type="textWrapping"/>
            </w:r>
            <w:r>
              <w:rPr>
                <w:rFonts w:hint="eastAsia" w:ascii="仿宋" w:hAnsi="仿宋" w:eastAsia="仿宋" w:cs="仿宋"/>
                <w:b/>
                <w:bCs/>
                <w:i w:val="0"/>
                <w:iCs w:val="0"/>
                <w:color w:val="000000"/>
                <w:kern w:val="0"/>
                <w:sz w:val="21"/>
                <w:szCs w:val="21"/>
                <w:u w:val="none"/>
                <w:lang w:val="en-US" w:eastAsia="zh-CN" w:bidi="ar"/>
              </w:rPr>
              <w:t>总层数</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jc w:val="center"/>
        </w:trPr>
        <w:tc>
          <w:tcPr>
            <w:tcW w:w="4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萍房权证开字第2004002134号</w:t>
            </w:r>
          </w:p>
        </w:tc>
        <w:tc>
          <w:tcPr>
            <w:tcW w:w="8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张贤冬</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萍乡经济技术开发区金三角食品商贸城汇丰五区</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非住宅</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混合</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49.83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4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line="240" w:lineRule="exact"/>
              <w:jc w:val="center"/>
              <w:rPr>
                <w:rFonts w:hint="eastAsia" w:ascii="仿宋" w:hAnsi="仿宋" w:eastAsia="仿宋" w:cs="仿宋"/>
                <w:i w:val="0"/>
                <w:iCs w:val="0"/>
                <w:color w:val="000000"/>
                <w:sz w:val="21"/>
                <w:szCs w:val="21"/>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240" w:lineRule="exact"/>
              <w:jc w:val="center"/>
              <w:rPr>
                <w:rFonts w:hint="eastAsia" w:ascii="仿宋" w:hAnsi="仿宋" w:eastAsia="仿宋" w:cs="仿宋"/>
                <w:i w:val="0"/>
                <w:iCs w:val="0"/>
                <w:color w:val="000000"/>
                <w:sz w:val="21"/>
                <w:szCs w:val="21"/>
                <w:u w:val="none"/>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240" w:lineRule="exact"/>
              <w:jc w:val="center"/>
              <w:rPr>
                <w:rFonts w:hint="eastAsia" w:ascii="仿宋" w:hAnsi="仿宋" w:eastAsia="仿宋" w:cs="仿宋"/>
                <w:i w:val="0"/>
                <w:iCs w:val="0"/>
                <w:color w:val="000000"/>
                <w:sz w:val="21"/>
                <w:szCs w:val="21"/>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240" w:lineRule="exact"/>
              <w:jc w:val="center"/>
              <w:rPr>
                <w:rFonts w:hint="eastAsia" w:ascii="仿宋" w:hAnsi="仿宋" w:eastAsia="仿宋" w:cs="仿宋"/>
                <w:i w:val="0"/>
                <w:iCs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240" w:lineRule="exact"/>
              <w:jc w:val="center"/>
              <w:rPr>
                <w:rFonts w:hint="eastAsia" w:ascii="仿宋" w:hAnsi="仿宋" w:eastAsia="仿宋" w:cs="仿宋"/>
                <w:i w:val="0"/>
                <w:iCs w:val="0"/>
                <w:color w:val="000000"/>
                <w:sz w:val="21"/>
                <w:szCs w:val="21"/>
                <w:u w:val="none"/>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line="240" w:lineRule="exact"/>
              <w:jc w:val="center"/>
              <w:rPr>
                <w:rFonts w:hint="eastAsia" w:ascii="仿宋" w:hAnsi="仿宋" w:eastAsia="仿宋" w:cs="仿宋"/>
                <w:i w:val="0"/>
                <w:iCs w:val="0"/>
                <w:color w:val="000000"/>
                <w:sz w:val="21"/>
                <w:szCs w:val="21"/>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208</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53.74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jc w:val="center"/>
        </w:trPr>
        <w:tc>
          <w:tcPr>
            <w:tcW w:w="9097"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ind w:left="630" w:hanging="630" w:hangingChars="30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备注：估价师现场查勘时，由于房屋业主未到场，未能进入估价对象室内进行查勘，经调查了解，估价对象目前已出租，现由承租户使用。根据本次评估目的，本次评估未考虑租赁因素对评估价格的影响。</w:t>
            </w:r>
          </w:p>
        </w:tc>
      </w:tr>
    </w:tbl>
    <w:p>
      <w:pPr>
        <w:keepNext w:val="0"/>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textAlignment w:val="auto"/>
        <w:rPr>
          <w:rFonts w:hint="eastAsia" w:ascii="仿宋_GB2312" w:hAnsi="宋体" w:eastAsia="仿宋_GB2312"/>
          <w:kern w:val="0"/>
          <w:sz w:val="28"/>
          <w:szCs w:val="28"/>
          <w:lang w:val="en-US" w:eastAsia="zh-CN"/>
        </w:rPr>
      </w:pPr>
      <w:r>
        <w:rPr>
          <w:rFonts w:hint="eastAsia" w:ascii="仿宋_GB2312" w:hAnsi="宋体" w:eastAsia="仿宋_GB2312"/>
          <w:kern w:val="0"/>
          <w:sz w:val="28"/>
          <w:szCs w:val="28"/>
          <w:lang w:val="en-US" w:eastAsia="zh-CN"/>
        </w:rPr>
        <w:t>3、他项权利状况</w:t>
      </w:r>
      <w:r>
        <w:rPr>
          <w:rFonts w:hint="eastAsia" w:ascii="仿宋_GB2312" w:hAnsi="宋体" w:eastAsia="仿宋_GB2312"/>
          <w:kern w:val="0"/>
          <w:sz w:val="28"/>
          <w:szCs w:val="28"/>
          <w:lang w:val="en-US" w:eastAsia="zh-CN"/>
        </w:rPr>
        <w:tab/>
      </w:r>
    </w:p>
    <w:p>
      <w:pPr>
        <w:keepLines w:val="0"/>
        <w:pageBreakBefore w:val="0"/>
        <w:widowControl w:val="0"/>
        <w:numPr>
          <w:ilvl w:val="0"/>
          <w:numId w:val="0"/>
        </w:numPr>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hint="eastAsia" w:ascii="仿宋_GB2312" w:hAnsi="仿宋_GB2312" w:eastAsia="仿宋_GB2312" w:cs="仿宋_GB2312"/>
          <w:snapToGrid w:val="0"/>
          <w:kern w:val="0"/>
          <w:sz w:val="28"/>
          <w:szCs w:val="20"/>
          <w:lang w:val="en-US" w:eastAsia="zh-CN"/>
        </w:rPr>
      </w:pPr>
      <w:r>
        <w:rPr>
          <w:rFonts w:hint="eastAsia" w:eastAsia="仿宋_GB2312"/>
          <w:snapToGrid w:val="0"/>
          <w:kern w:val="0"/>
          <w:sz w:val="28"/>
          <w:szCs w:val="20"/>
        </w:rPr>
        <w:t>根据</w:t>
      </w:r>
      <w:r>
        <w:rPr>
          <w:rFonts w:hint="eastAsia" w:eastAsia="仿宋_GB2312"/>
          <w:snapToGrid w:val="0"/>
          <w:kern w:val="0"/>
          <w:sz w:val="28"/>
          <w:szCs w:val="20"/>
          <w:lang w:val="en-US" w:eastAsia="zh-CN"/>
        </w:rPr>
        <w:t>委托方提供的资料及现场调查</w:t>
      </w:r>
      <w:r>
        <w:rPr>
          <w:rFonts w:hint="eastAsia" w:eastAsia="仿宋_GB2312"/>
          <w:snapToGrid w:val="0"/>
          <w:kern w:val="0"/>
          <w:sz w:val="28"/>
          <w:szCs w:val="20"/>
        </w:rPr>
        <w:t>，</w:t>
      </w:r>
      <w:r>
        <w:rPr>
          <w:rFonts w:hint="eastAsia" w:ascii="仿宋_GB2312" w:hAnsi="宋体" w:eastAsia="仿宋_GB2312"/>
          <w:color w:val="000000"/>
          <w:sz w:val="28"/>
          <w:szCs w:val="28"/>
        </w:rPr>
        <w:t>估价对象于价值时点已被法院</w:t>
      </w:r>
      <w:r>
        <w:rPr>
          <w:rFonts w:hint="eastAsia" w:ascii="仿宋_GB2312" w:hAnsi="宋体" w:eastAsia="仿宋_GB2312"/>
          <w:color w:val="000000"/>
          <w:sz w:val="28"/>
          <w:szCs w:val="28"/>
          <w:lang w:eastAsia="zh-CN"/>
        </w:rPr>
        <w:t>查封，且存在</w:t>
      </w:r>
      <w:r>
        <w:rPr>
          <w:rFonts w:hint="eastAsia" w:ascii="仿宋_GB2312" w:hAnsi="宋体" w:eastAsia="仿宋_GB2312"/>
          <w:color w:val="000000"/>
          <w:sz w:val="28"/>
          <w:szCs w:val="28"/>
          <w:lang w:val="en-US" w:eastAsia="zh-CN"/>
        </w:rPr>
        <w:t>抵押、租赁情况。</w:t>
      </w:r>
      <w:r>
        <w:rPr>
          <w:rFonts w:hint="eastAsia" w:ascii="仿宋_GB2312" w:hAnsi="宋体" w:eastAsia="仿宋_GB2312"/>
          <w:color w:val="000000"/>
          <w:sz w:val="28"/>
          <w:szCs w:val="28"/>
        </w:rPr>
        <w:t>根据</w:t>
      </w:r>
      <w:r>
        <w:rPr>
          <w:rFonts w:hint="eastAsia" w:ascii="仿宋_GB2312" w:hAnsi="宋体" w:eastAsia="仿宋_GB2312"/>
          <w:color w:val="000000"/>
          <w:sz w:val="28"/>
          <w:szCs w:val="28"/>
          <w:lang w:val="en-US" w:eastAsia="zh-CN"/>
        </w:rPr>
        <w:t>本次</w:t>
      </w:r>
      <w:r>
        <w:rPr>
          <w:rFonts w:hint="eastAsia" w:ascii="仿宋_GB2312" w:hAnsi="宋体" w:eastAsia="仿宋_GB2312"/>
          <w:color w:val="000000"/>
          <w:sz w:val="28"/>
          <w:szCs w:val="28"/>
        </w:rPr>
        <w:t>估价目的</w:t>
      </w:r>
      <w:r>
        <w:rPr>
          <w:rFonts w:hint="eastAsia" w:ascii="仿宋_GB2312" w:hAnsi="宋体" w:eastAsia="仿宋_GB2312"/>
          <w:color w:val="000000"/>
          <w:sz w:val="28"/>
          <w:szCs w:val="28"/>
          <w:lang w:val="en-US" w:eastAsia="zh-CN"/>
        </w:rPr>
        <w:t>为司法拍卖</w:t>
      </w:r>
      <w:r>
        <w:rPr>
          <w:rFonts w:hint="eastAsia" w:ascii="仿宋_GB2312" w:hAnsi="宋体" w:eastAsia="仿宋_GB2312"/>
          <w:color w:val="000000"/>
          <w:sz w:val="28"/>
          <w:szCs w:val="28"/>
        </w:rPr>
        <w:t>，</w:t>
      </w:r>
      <w:r>
        <w:rPr>
          <w:rFonts w:hint="eastAsia" w:ascii="仿宋_GB2312" w:hAnsi="宋体" w:eastAsia="仿宋_GB2312"/>
          <w:snapToGrid/>
          <w:color w:val="000000"/>
          <w:kern w:val="2"/>
          <w:sz w:val="28"/>
          <w:szCs w:val="28"/>
        </w:rPr>
        <w:t>本次评估未考虑</w:t>
      </w:r>
      <w:r>
        <w:rPr>
          <w:rFonts w:hint="eastAsia" w:ascii="仿宋_GB2312" w:hAnsi="宋体" w:eastAsia="仿宋_GB2312"/>
          <w:snapToGrid/>
          <w:color w:val="000000"/>
          <w:kern w:val="2"/>
          <w:sz w:val="28"/>
          <w:szCs w:val="28"/>
          <w:lang w:val="en-US" w:eastAsia="zh-CN"/>
        </w:rPr>
        <w:t>估价</w:t>
      </w:r>
      <w:r>
        <w:rPr>
          <w:rFonts w:hint="eastAsia" w:ascii="仿宋_GB2312" w:hAnsi="宋体" w:eastAsia="仿宋_GB2312"/>
          <w:snapToGrid/>
          <w:color w:val="000000"/>
          <w:kern w:val="2"/>
          <w:sz w:val="28"/>
          <w:szCs w:val="28"/>
        </w:rPr>
        <w:t>对象</w:t>
      </w:r>
      <w:r>
        <w:rPr>
          <w:rFonts w:hint="eastAsia" w:ascii="仿宋_GB2312" w:hAnsi="宋体" w:eastAsia="仿宋_GB2312"/>
          <w:color w:val="000000"/>
          <w:sz w:val="28"/>
          <w:szCs w:val="28"/>
          <w:lang w:val="en-US" w:eastAsia="zh-CN"/>
        </w:rPr>
        <w:t>抵押、</w:t>
      </w:r>
      <w:r>
        <w:rPr>
          <w:rFonts w:hint="eastAsia" w:ascii="仿宋_GB2312" w:hAnsi="宋体" w:eastAsia="仿宋_GB2312"/>
          <w:snapToGrid/>
          <w:color w:val="000000"/>
          <w:kern w:val="2"/>
          <w:sz w:val="28"/>
          <w:szCs w:val="28"/>
          <w:lang w:val="en-US" w:eastAsia="zh-CN"/>
        </w:rPr>
        <w:t>租赁、</w:t>
      </w:r>
      <w:r>
        <w:rPr>
          <w:rFonts w:hint="eastAsia" w:ascii="仿宋_GB2312" w:hAnsi="宋体" w:eastAsia="仿宋_GB2312"/>
          <w:snapToGrid/>
          <w:color w:val="000000"/>
          <w:kern w:val="2"/>
          <w:sz w:val="28"/>
          <w:szCs w:val="28"/>
        </w:rPr>
        <w:t>被查封以及原有的担保物权和其他优先受偿权的影响</w:t>
      </w:r>
      <w:r>
        <w:rPr>
          <w:rFonts w:hint="eastAsia" w:eastAsia="仿宋_GB2312"/>
          <w:snapToGrid w:val="0"/>
          <w:kern w:val="0"/>
          <w:sz w:val="28"/>
          <w:szCs w:val="20"/>
        </w:rPr>
        <w:t>。</w:t>
      </w:r>
    </w:p>
    <w:p>
      <w:pPr>
        <w:keepLines w:val="0"/>
        <w:pageBreakBefore w:val="0"/>
        <w:widowControl w:val="0"/>
        <w:numPr>
          <w:ilvl w:val="0"/>
          <w:numId w:val="0"/>
        </w:numPr>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lang w:val="en-US" w:eastAsia="zh-CN"/>
        </w:rPr>
        <w:t>4、</w:t>
      </w:r>
      <w:r>
        <w:rPr>
          <w:rFonts w:hint="eastAsia" w:ascii="仿宋_GB2312" w:hAnsi="仿宋_GB2312" w:eastAsia="仿宋_GB2312" w:cs="仿宋_GB2312"/>
          <w:snapToGrid w:val="0"/>
          <w:kern w:val="0"/>
          <w:sz w:val="28"/>
          <w:szCs w:val="20"/>
        </w:rPr>
        <w:t>区位状况</w:t>
      </w:r>
    </w:p>
    <w:p>
      <w:pPr>
        <w:keepLines w:val="0"/>
        <w:pageBreakBefore w:val="0"/>
        <w:widowControl w:val="0"/>
        <w:numPr>
          <w:ilvl w:val="0"/>
          <w:numId w:val="0"/>
        </w:numPr>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hint="eastAsia" w:ascii="仿宋_GB2312" w:hAnsi="宋体" w:eastAsia="仿宋_GB2312"/>
          <w:snapToGrid/>
          <w:color w:val="000000"/>
          <w:kern w:val="2"/>
          <w:sz w:val="28"/>
          <w:szCs w:val="28"/>
          <w:lang w:eastAsia="zh-CN"/>
        </w:rPr>
      </w:pPr>
      <w:r>
        <w:rPr>
          <w:rFonts w:hint="eastAsia" w:ascii="仿宋_GB2312" w:hAnsi="宋体" w:eastAsia="仿宋_GB2312"/>
          <w:snapToGrid/>
          <w:color w:val="000000"/>
          <w:kern w:val="2"/>
          <w:sz w:val="28"/>
          <w:szCs w:val="28"/>
          <w:lang w:eastAsia="zh-CN"/>
        </w:rPr>
        <w:t>估价对象所在区域为</w:t>
      </w:r>
      <w:r>
        <w:rPr>
          <w:rFonts w:hint="eastAsia" w:ascii="仿宋_GB2312" w:hAnsi="仿宋_GB2312" w:eastAsia="仿宋_GB2312" w:cs="仿宋_GB2312"/>
          <w:snapToGrid w:val="0"/>
          <w:color w:val="auto"/>
          <w:kern w:val="0"/>
          <w:sz w:val="28"/>
          <w:szCs w:val="20"/>
          <w:lang w:val="en-US" w:eastAsia="zh-CN"/>
        </w:rPr>
        <w:t>萍乡经济技术开发区</w:t>
      </w:r>
      <w:r>
        <w:rPr>
          <w:rFonts w:hint="eastAsia" w:ascii="仿宋_GB2312" w:hAnsi="宋体" w:eastAsia="仿宋_GB2312"/>
          <w:snapToGrid/>
          <w:color w:val="000000"/>
          <w:kern w:val="2"/>
          <w:sz w:val="28"/>
          <w:szCs w:val="28"/>
          <w:lang w:eastAsia="zh-CN"/>
        </w:rPr>
        <w:t>，萍乡经济技术开发区成立于1992年，1995年升级为省级开发区，2010年升格为国家级经济技术开发区。辖区总面积119.57平方公里，下辖52个行政村（居委会)，常住人口约25万。辖区内有高等本科院校1所、中等职业技校1所、中小学39所，各类企业近8600家。320与319国道在辖区内纵横交汇，G60沪昆高速入口、S89上莲高速入口、沪昆高铁萍乡北站均设在境内，距长沙黄花机场仅105公里，是中部地区极具投资潜力的国家级经开区，已逐步建成为萍乡新的政治、经济、文化、商业中心。</w:t>
      </w:r>
    </w:p>
    <w:p>
      <w:pPr>
        <w:keepLines w:val="0"/>
        <w:pageBreakBefore w:val="0"/>
        <w:widowControl w:val="0"/>
        <w:numPr>
          <w:ilvl w:val="0"/>
          <w:numId w:val="0"/>
        </w:numPr>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hint="eastAsia" w:ascii="仿宋_GB2312" w:hAnsi="宋体" w:eastAsia="仿宋_GB2312"/>
          <w:snapToGrid/>
          <w:color w:val="000000"/>
          <w:kern w:val="2"/>
          <w:sz w:val="28"/>
          <w:szCs w:val="28"/>
          <w:lang w:eastAsia="zh-CN"/>
        </w:rPr>
      </w:pPr>
      <w:r>
        <w:rPr>
          <w:rFonts w:hint="eastAsia" w:ascii="仿宋_GB2312" w:hAnsi="宋体" w:eastAsia="仿宋_GB2312"/>
          <w:snapToGrid/>
          <w:color w:val="000000"/>
          <w:kern w:val="2"/>
          <w:sz w:val="28"/>
          <w:szCs w:val="28"/>
          <w:lang w:eastAsia="zh-CN"/>
        </w:rPr>
        <w:t>2021年，萍乡经开区实现园区工业营业收入685.7亿元，增长19.42%，规模以上工业总产值696.4亿元，增长19.1%；规模以上工业增加值增长8.2%，总量均列全市第1名；完成财政总收入30.72亿元，增长10%；全年共引进外资2.29亿美元，增幅9.43%，全省10家国家级经开区排名第四，完成现汇2286万美元，全年总量、增幅均位列全市第一，为园区争先创优和商务部考核打下坚实的基础；外贸出口91亿元，增幅30%；引进省外2000万元以上项目44个，实际进资120.35亿元，增幅8.34%；全年城镇新增就业2092人，新增转移农村劳动力2742人，省内转移就业2288人，城乡居民人均可支配收入分别达到45785元和23420元，分别增长7.36%和9.32%。</w:t>
      </w:r>
    </w:p>
    <w:p>
      <w:pPr>
        <w:keepLines w:val="0"/>
        <w:pageBreakBefore w:val="0"/>
        <w:widowControl w:val="0"/>
        <w:numPr>
          <w:ilvl w:val="0"/>
          <w:numId w:val="0"/>
        </w:numPr>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hint="default" w:ascii="仿宋_GB2312" w:hAnsi="宋体" w:eastAsia="仿宋_GB2312"/>
          <w:snapToGrid/>
          <w:color w:val="000000"/>
          <w:kern w:val="2"/>
          <w:sz w:val="28"/>
          <w:szCs w:val="28"/>
          <w:lang w:val="en-US" w:eastAsia="zh-CN"/>
        </w:rPr>
      </w:pPr>
      <w:r>
        <w:rPr>
          <w:rFonts w:hint="eastAsia" w:ascii="仿宋_GB2312" w:hAnsi="宋体" w:eastAsia="仿宋_GB2312"/>
          <w:snapToGrid/>
          <w:color w:val="000000"/>
          <w:kern w:val="2"/>
          <w:sz w:val="28"/>
          <w:szCs w:val="28"/>
          <w:lang w:eastAsia="zh-CN"/>
        </w:rPr>
        <w:t>萍乡经开区先后获得了“国家级经济技术开发区”、“全国中小企业信用体系试验区”、“国家新材料产业化示范基地”、“国家劳动关系和谐工业园区”、“国家知识产权试点园区”、“国家知识产权融资质押试点园区”、“国家循环改造重点支持园区”、“国家转型升级示范园区”、“国家级绿色园区”等9项国家级荣誉，连续九年荣获江西省先进工业园区和工业崛起奖。2021年，在国家级经济技术开发区综合发展水平考核中，萍乡经济技术开发区综合排名第74位，较2019年前进23位，连续四年位列全国百强经开区。萍乡经开区已经成为萍乡市经济发展新的增长极、赣西经济转型崛起的主战场、高新技术产业的示范区、改革创新与先行先试的试验区，正继续朝着“千亿园区、百强经开”的目标奋力迈进</w:t>
      </w:r>
      <w:r>
        <w:rPr>
          <w:rFonts w:hint="eastAsia" w:ascii="仿宋_GB2312" w:hAnsi="宋体" w:eastAsia="仿宋_GB2312"/>
          <w:snapToGrid/>
          <w:color w:val="000000"/>
          <w:kern w:val="2"/>
          <w:sz w:val="28"/>
          <w:szCs w:val="28"/>
          <w:lang w:val="en-US" w:eastAsia="zh-CN"/>
        </w:rPr>
        <w:t>。</w:t>
      </w:r>
    </w:p>
    <w:p>
      <w:pPr>
        <w:keepLines w:val="0"/>
        <w:pageBreakBefore w:val="0"/>
        <w:widowControl w:val="0"/>
        <w:numPr>
          <w:ilvl w:val="0"/>
          <w:numId w:val="0"/>
        </w:numPr>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hint="eastAsia" w:ascii="仿宋_GB2312" w:hAnsi="仿宋_GB2312" w:eastAsia="仿宋_GB2312" w:cs="仿宋_GB2312"/>
          <w:snapToGrid w:val="0"/>
          <w:kern w:val="0"/>
          <w:sz w:val="28"/>
          <w:szCs w:val="20"/>
        </w:rPr>
      </w:pPr>
      <w:r>
        <w:rPr>
          <w:rFonts w:hint="eastAsia" w:ascii="仿宋_GB2312" w:hAnsi="宋体" w:eastAsia="仿宋_GB2312"/>
          <w:snapToGrid/>
          <w:color w:val="000000"/>
          <w:kern w:val="2"/>
          <w:sz w:val="28"/>
          <w:szCs w:val="28"/>
          <w:lang w:eastAsia="zh-CN"/>
        </w:rPr>
        <w:t>估价对象位于萍乡经济技术开发区金三角食品商贸城，</w:t>
      </w:r>
      <w:r>
        <w:rPr>
          <w:rFonts w:hint="eastAsia" w:ascii="仿宋_GB2312" w:hAnsi="宋体" w:eastAsia="仿宋_GB2312"/>
          <w:snapToGrid/>
          <w:color w:val="000000"/>
          <w:kern w:val="2"/>
          <w:sz w:val="28"/>
          <w:szCs w:val="28"/>
          <w:lang w:val="en-US" w:eastAsia="zh-CN"/>
        </w:rPr>
        <w:t>周边有公园北路、武功山大道</w:t>
      </w:r>
      <w:r>
        <w:rPr>
          <w:rFonts w:hint="eastAsia" w:ascii="仿宋_GB2312" w:hAnsi="宋体" w:eastAsia="仿宋_GB2312"/>
          <w:snapToGrid/>
          <w:color w:val="000000"/>
          <w:kern w:val="2"/>
          <w:sz w:val="28"/>
          <w:szCs w:val="28"/>
          <w:lang w:eastAsia="zh-CN"/>
        </w:rPr>
        <w:t>，对外交通较便利；周边</w:t>
      </w:r>
      <w:r>
        <w:rPr>
          <w:rFonts w:hint="eastAsia" w:ascii="仿宋_GB2312" w:hAnsi="宋体" w:eastAsia="仿宋_GB2312"/>
          <w:snapToGrid/>
          <w:color w:val="000000"/>
          <w:kern w:val="2"/>
          <w:sz w:val="28"/>
          <w:szCs w:val="28"/>
          <w:lang w:val="en-US" w:eastAsia="zh-CN"/>
        </w:rPr>
        <w:t>商铺、银行、学校</w:t>
      </w:r>
      <w:r>
        <w:rPr>
          <w:rFonts w:hint="eastAsia" w:ascii="仿宋_GB2312" w:hAnsi="宋体" w:eastAsia="仿宋_GB2312"/>
          <w:snapToGrid/>
          <w:color w:val="000000"/>
          <w:kern w:val="2"/>
          <w:sz w:val="28"/>
          <w:szCs w:val="28"/>
          <w:lang w:eastAsia="zh-CN"/>
        </w:rPr>
        <w:t>等公共配套设施</w:t>
      </w:r>
      <w:r>
        <w:rPr>
          <w:rFonts w:hint="eastAsia" w:ascii="仿宋_GB2312" w:hAnsi="宋体" w:eastAsia="仿宋_GB2312"/>
          <w:snapToGrid/>
          <w:color w:val="000000"/>
          <w:kern w:val="2"/>
          <w:sz w:val="28"/>
          <w:szCs w:val="28"/>
          <w:lang w:val="en-US" w:eastAsia="zh-CN"/>
        </w:rPr>
        <w:t>较齐全</w:t>
      </w:r>
      <w:r>
        <w:rPr>
          <w:rFonts w:hint="eastAsia" w:ascii="仿宋_GB2312" w:hAnsi="宋体" w:eastAsia="仿宋_GB2312"/>
          <w:snapToGrid/>
          <w:color w:val="000000"/>
          <w:kern w:val="2"/>
          <w:sz w:val="28"/>
          <w:szCs w:val="28"/>
          <w:lang w:eastAsia="zh-CN"/>
        </w:rPr>
        <w:t>，基础配套设施较完善。</w:t>
      </w:r>
    </w:p>
    <w:p>
      <w:pPr>
        <w:pStyle w:val="4"/>
        <w:keepLines w:val="0"/>
        <w:pageBreakBefore w:val="0"/>
        <w:widowControl w:val="0"/>
        <w:kinsoku/>
        <w:wordWrap/>
        <w:overflowPunct/>
        <w:topLinePunct w:val="0"/>
        <w:autoSpaceDE/>
        <w:autoSpaceDN/>
        <w:bidi w:val="0"/>
        <w:snapToGrid w:val="0"/>
        <w:spacing w:before="0" w:after="0" w:line="520" w:lineRule="exact"/>
        <w:ind w:firstLine="562" w:firstLineChars="200"/>
        <w:jc w:val="left"/>
        <w:textAlignment w:val="auto"/>
        <w:rPr>
          <w:rFonts w:ascii="仿宋_GB2312" w:hAnsi="仿宋_GB2312" w:eastAsia="仿宋_GB2312" w:cs="仿宋_GB2312"/>
          <w:color w:val="000000"/>
          <w:sz w:val="28"/>
          <w:szCs w:val="28"/>
        </w:rPr>
      </w:pPr>
      <w:bookmarkStart w:id="7" w:name="_Toc27070"/>
      <w:r>
        <w:rPr>
          <w:rFonts w:hint="eastAsia" w:ascii="仿宋_GB2312" w:hAnsi="仿宋_GB2312" w:eastAsia="仿宋_GB2312" w:cs="仿宋_GB2312"/>
          <w:color w:val="000000"/>
          <w:sz w:val="28"/>
          <w:szCs w:val="28"/>
        </w:rPr>
        <w:t>（五）价值时点</w:t>
      </w:r>
      <w:bookmarkEnd w:id="7"/>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b/>
          <w:bCs/>
          <w:snapToGrid w:val="0"/>
          <w:kern w:val="0"/>
          <w:sz w:val="28"/>
          <w:szCs w:val="20"/>
        </w:rPr>
      </w:pPr>
      <w:r>
        <w:rPr>
          <w:rFonts w:hint="eastAsia" w:ascii="仿宋_GB2312" w:hAnsi="宋体" w:eastAsia="仿宋_GB2312"/>
          <w:snapToGrid w:val="0"/>
          <w:sz w:val="28"/>
          <w:szCs w:val="28"/>
          <w:lang w:val="en-US" w:eastAsia="zh-CN"/>
        </w:rPr>
        <w:t>涉执房地产处置司法评估的价值时点一般设定为估价对象实地查勘完成之日，即2022年06月07日</w:t>
      </w:r>
      <w:r>
        <w:rPr>
          <w:rFonts w:hint="eastAsia" w:ascii="仿宋_GB2312" w:hAnsi="仿宋_GB2312" w:eastAsia="仿宋_GB2312" w:cs="仿宋_GB2312"/>
          <w:snapToGrid w:val="0"/>
          <w:kern w:val="0"/>
          <w:sz w:val="28"/>
          <w:szCs w:val="20"/>
        </w:rPr>
        <w:t>。</w:t>
      </w:r>
    </w:p>
    <w:p>
      <w:pPr>
        <w:pStyle w:val="4"/>
        <w:keepLines w:val="0"/>
        <w:pageBreakBefore w:val="0"/>
        <w:widowControl w:val="0"/>
        <w:kinsoku/>
        <w:wordWrap/>
        <w:overflowPunct/>
        <w:topLinePunct w:val="0"/>
        <w:autoSpaceDE/>
        <w:autoSpaceDN/>
        <w:bidi w:val="0"/>
        <w:snapToGrid w:val="0"/>
        <w:spacing w:before="0" w:after="0" w:line="520" w:lineRule="exact"/>
        <w:ind w:firstLine="562" w:firstLineChars="200"/>
        <w:jc w:val="left"/>
        <w:textAlignment w:val="auto"/>
        <w:rPr>
          <w:rFonts w:ascii="仿宋_GB2312" w:hAnsi="仿宋_GB2312" w:eastAsia="仿宋_GB2312" w:cs="仿宋_GB2312"/>
          <w:b/>
          <w:bCs/>
          <w:color w:val="000000"/>
          <w:sz w:val="28"/>
          <w:szCs w:val="28"/>
        </w:rPr>
      </w:pPr>
      <w:bookmarkStart w:id="8" w:name="_Toc10488"/>
      <w:r>
        <w:rPr>
          <w:rFonts w:hint="eastAsia" w:ascii="仿宋_GB2312" w:hAnsi="仿宋_GB2312" w:eastAsia="仿宋_GB2312" w:cs="仿宋_GB2312"/>
          <w:b/>
          <w:bCs/>
          <w:color w:val="000000"/>
          <w:sz w:val="28"/>
          <w:szCs w:val="28"/>
        </w:rPr>
        <w:t>（六）价值类型</w:t>
      </w:r>
      <w:bookmarkEnd w:id="8"/>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估价中采用市场价值标准，即所评估出的客观合理价格应是在公开市场上最可能形成或成立的价格。</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公开市场：指交易双方进行交易的目的在于最大限度地追求经济利益，并掌握必要的市场信息，有比较充裕的时间进行交易，对交易对象具有必要的专业知识，交易条件并不具有排他性。</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公开市场价值：指在公开市场上最可能形成的价格。</w:t>
      </w:r>
    </w:p>
    <w:p>
      <w:pPr>
        <w:pStyle w:val="4"/>
        <w:keepLines w:val="0"/>
        <w:pageBreakBefore w:val="0"/>
        <w:widowControl w:val="0"/>
        <w:kinsoku/>
        <w:wordWrap/>
        <w:overflowPunct/>
        <w:topLinePunct w:val="0"/>
        <w:autoSpaceDE/>
        <w:autoSpaceDN/>
        <w:bidi w:val="0"/>
        <w:snapToGrid w:val="0"/>
        <w:spacing w:before="0" w:after="0" w:line="520" w:lineRule="exact"/>
        <w:ind w:firstLine="562" w:firstLineChars="200"/>
        <w:jc w:val="left"/>
        <w:textAlignment w:val="auto"/>
        <w:rPr>
          <w:rFonts w:ascii="仿宋_GB2312" w:hAnsi="仿宋_GB2312" w:eastAsia="仿宋_GB2312" w:cs="仿宋_GB2312"/>
          <w:color w:val="000000"/>
          <w:sz w:val="28"/>
          <w:szCs w:val="28"/>
        </w:rPr>
      </w:pPr>
      <w:bookmarkStart w:id="9" w:name="_Toc2600"/>
      <w:r>
        <w:rPr>
          <w:rFonts w:hint="eastAsia" w:ascii="仿宋_GB2312" w:hAnsi="仿宋_GB2312" w:eastAsia="仿宋_GB2312" w:cs="仿宋_GB2312"/>
          <w:color w:val="000000"/>
          <w:sz w:val="28"/>
          <w:szCs w:val="28"/>
        </w:rPr>
        <w:t>（七）估价原则</w:t>
      </w:r>
      <w:bookmarkEnd w:id="9"/>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我们在本次估价时遵循了以下原则：</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1、独立、客观、公正原则</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独立、客观、公正原则要求房地产估价师站地中立的产场上，评估出对各方当事人来说均是公平合理的价格。</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2、合法原则</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合法原则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或合同等允许的处分方式为依据；在其他方面，如评估出的价格必须符合国家的价格政策。</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3、价值时点原则</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时的状况为准。</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4、替代原则</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根据市场运行规律，在同一商品市场中，商品或提供服务的效用相同或大致相似时，价格低者吸引需求，即有两个以上互有替代性的商品或服务同时存在时，商品或服务的价格中经过相互影响与比较之后来决定。房地产价格也同样遵循替代规律，受其它具有相同使用价值的房地产，即同类型具有替代可能的房地产价格所牵制。换言之，具有相同使用价值、替代可能的房地产之间，会相互影响和竞争，使价格相互牵制而趋于一致。</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5、最高最佳利用原则</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所谓最高最佳利用是估价对象一种最可能的使用，这种最可能的使用是法律上允许、技术上可能、财务上可行、经过充分合理的论证，并能给予估价对象带来最高价值的使用。它的一种具体表现，是以能使估价对象获利最多的用途和开发强度来衡量。这是因为在房地产市场中，每位房地产拥有者在主观上都试图充分地发挥房地产的潜力，采用最高最佳利用方式，取得最大的收益。</w:t>
      </w:r>
    </w:p>
    <w:p>
      <w:pPr>
        <w:pStyle w:val="4"/>
        <w:keepLines w:val="0"/>
        <w:pageBreakBefore w:val="0"/>
        <w:widowControl w:val="0"/>
        <w:kinsoku/>
        <w:wordWrap/>
        <w:overflowPunct/>
        <w:topLinePunct w:val="0"/>
        <w:autoSpaceDE/>
        <w:autoSpaceDN/>
        <w:bidi w:val="0"/>
        <w:snapToGrid w:val="0"/>
        <w:spacing w:before="0" w:after="0" w:line="520" w:lineRule="exact"/>
        <w:ind w:firstLine="562" w:firstLineChars="200"/>
        <w:jc w:val="left"/>
        <w:textAlignment w:val="auto"/>
        <w:rPr>
          <w:rFonts w:ascii="仿宋_GB2312" w:hAnsi="仿宋_GB2312" w:eastAsia="仿宋_GB2312" w:cs="仿宋_GB2312"/>
          <w:color w:val="000000"/>
          <w:sz w:val="28"/>
          <w:szCs w:val="28"/>
        </w:rPr>
      </w:pPr>
      <w:bookmarkStart w:id="10" w:name="_Toc4525"/>
      <w:r>
        <w:rPr>
          <w:rFonts w:hint="eastAsia" w:ascii="仿宋_GB2312" w:hAnsi="仿宋_GB2312" w:eastAsia="仿宋_GB2312" w:cs="仿宋_GB2312"/>
          <w:color w:val="000000"/>
          <w:sz w:val="28"/>
          <w:szCs w:val="28"/>
        </w:rPr>
        <w:t>（八）估价依据</w:t>
      </w:r>
      <w:bookmarkEnd w:id="10"/>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1、本次估价所依据的有关法律、法规和政策文件</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（1）《中华人民共和国房地产管理法》（中华人民共和国主席令第72号，自1995年1月1日起施行，20</w:t>
      </w:r>
      <w:r>
        <w:rPr>
          <w:rFonts w:hint="eastAsia" w:ascii="仿宋_GB2312" w:hAnsi="仿宋_GB2312" w:eastAsia="仿宋_GB2312" w:cs="仿宋_GB2312"/>
          <w:snapToGrid w:val="0"/>
          <w:kern w:val="0"/>
          <w:sz w:val="28"/>
          <w:szCs w:val="20"/>
          <w:lang w:val="en-US" w:eastAsia="zh-CN"/>
        </w:rPr>
        <w:t>1</w:t>
      </w:r>
      <w:r>
        <w:rPr>
          <w:rFonts w:hint="eastAsia" w:ascii="仿宋_GB2312" w:hAnsi="仿宋_GB2312" w:eastAsia="仿宋_GB2312" w:cs="仿宋_GB2312"/>
          <w:snapToGrid w:val="0"/>
          <w:kern w:val="0"/>
          <w:sz w:val="28"/>
          <w:szCs w:val="20"/>
        </w:rPr>
        <w:t>9年8月2</w:t>
      </w:r>
      <w:r>
        <w:rPr>
          <w:rFonts w:hint="eastAsia" w:ascii="仿宋_GB2312" w:hAnsi="仿宋_GB2312" w:eastAsia="仿宋_GB2312" w:cs="仿宋_GB2312"/>
          <w:snapToGrid w:val="0"/>
          <w:kern w:val="0"/>
          <w:sz w:val="28"/>
          <w:szCs w:val="20"/>
          <w:lang w:val="en-US" w:eastAsia="zh-CN"/>
        </w:rPr>
        <w:t>6</w:t>
      </w:r>
      <w:r>
        <w:rPr>
          <w:rFonts w:hint="eastAsia" w:ascii="仿宋_GB2312" w:hAnsi="仿宋_GB2312" w:eastAsia="仿宋_GB2312" w:cs="仿宋_GB2312"/>
          <w:snapToGrid w:val="0"/>
          <w:kern w:val="0"/>
          <w:sz w:val="28"/>
          <w:szCs w:val="20"/>
        </w:rPr>
        <w:t>日第</w:t>
      </w:r>
      <w:r>
        <w:rPr>
          <w:rFonts w:hint="eastAsia" w:ascii="仿宋_GB2312" w:hAnsi="仿宋_GB2312" w:eastAsia="仿宋_GB2312" w:cs="仿宋_GB2312"/>
          <w:snapToGrid w:val="0"/>
          <w:kern w:val="0"/>
          <w:sz w:val="28"/>
          <w:szCs w:val="20"/>
          <w:lang w:eastAsia="zh-CN"/>
        </w:rPr>
        <w:t>三</w:t>
      </w:r>
      <w:r>
        <w:rPr>
          <w:rFonts w:hint="eastAsia" w:ascii="仿宋_GB2312" w:hAnsi="仿宋_GB2312" w:eastAsia="仿宋_GB2312" w:cs="仿宋_GB2312"/>
          <w:snapToGrid w:val="0"/>
          <w:kern w:val="0"/>
          <w:sz w:val="28"/>
          <w:szCs w:val="20"/>
        </w:rPr>
        <w:t>次修正）；</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color w:val="auto"/>
          <w:kern w:val="0"/>
          <w:sz w:val="28"/>
          <w:szCs w:val="20"/>
        </w:rPr>
      </w:pPr>
      <w:r>
        <w:rPr>
          <w:rFonts w:hint="eastAsia" w:ascii="仿宋_GB2312" w:hAnsi="仿宋_GB2312" w:eastAsia="仿宋_GB2312" w:cs="仿宋_GB2312"/>
          <w:snapToGrid w:val="0"/>
          <w:kern w:val="0"/>
          <w:sz w:val="28"/>
          <w:szCs w:val="20"/>
        </w:rPr>
        <w:t>（2）《中华人民共和国土地管理法》（中华人民共和国主席令第28</w:t>
      </w:r>
      <w:r>
        <w:rPr>
          <w:rFonts w:hint="eastAsia" w:ascii="仿宋_GB2312" w:hAnsi="仿宋_GB2312" w:eastAsia="仿宋_GB2312" w:cs="仿宋_GB2312"/>
          <w:snapToGrid w:val="0"/>
          <w:color w:val="auto"/>
          <w:kern w:val="0"/>
          <w:sz w:val="28"/>
          <w:szCs w:val="20"/>
        </w:rPr>
        <w:t>号，自1999年１月１日起施行，20</w:t>
      </w:r>
      <w:r>
        <w:rPr>
          <w:rFonts w:hint="eastAsia" w:ascii="仿宋_GB2312" w:hAnsi="仿宋_GB2312" w:eastAsia="仿宋_GB2312" w:cs="仿宋_GB2312"/>
          <w:snapToGrid w:val="0"/>
          <w:color w:val="auto"/>
          <w:kern w:val="0"/>
          <w:sz w:val="28"/>
          <w:szCs w:val="20"/>
          <w:lang w:val="en-US" w:eastAsia="zh-CN"/>
        </w:rPr>
        <w:t>19</w:t>
      </w:r>
      <w:r>
        <w:rPr>
          <w:rFonts w:hint="eastAsia" w:ascii="仿宋_GB2312" w:hAnsi="仿宋_GB2312" w:eastAsia="仿宋_GB2312" w:cs="仿宋_GB2312"/>
          <w:snapToGrid w:val="0"/>
          <w:color w:val="auto"/>
          <w:kern w:val="0"/>
          <w:sz w:val="28"/>
          <w:szCs w:val="20"/>
        </w:rPr>
        <w:t>年8月2</w:t>
      </w:r>
      <w:r>
        <w:rPr>
          <w:rFonts w:hint="eastAsia" w:ascii="仿宋_GB2312" w:hAnsi="仿宋_GB2312" w:eastAsia="仿宋_GB2312" w:cs="仿宋_GB2312"/>
          <w:snapToGrid w:val="0"/>
          <w:color w:val="auto"/>
          <w:kern w:val="0"/>
          <w:sz w:val="28"/>
          <w:szCs w:val="20"/>
          <w:lang w:val="en-US" w:eastAsia="zh-CN"/>
        </w:rPr>
        <w:t>6</w:t>
      </w:r>
      <w:r>
        <w:rPr>
          <w:rFonts w:hint="eastAsia" w:ascii="仿宋_GB2312" w:hAnsi="仿宋_GB2312" w:eastAsia="仿宋_GB2312" w:cs="仿宋_GB2312"/>
          <w:snapToGrid w:val="0"/>
          <w:color w:val="auto"/>
          <w:kern w:val="0"/>
          <w:sz w:val="28"/>
          <w:szCs w:val="20"/>
        </w:rPr>
        <w:t>日第</w:t>
      </w:r>
      <w:r>
        <w:rPr>
          <w:rFonts w:hint="eastAsia" w:ascii="仿宋_GB2312" w:hAnsi="仿宋_GB2312" w:eastAsia="仿宋_GB2312" w:cs="仿宋_GB2312"/>
          <w:snapToGrid w:val="0"/>
          <w:color w:val="auto"/>
          <w:kern w:val="0"/>
          <w:sz w:val="28"/>
          <w:szCs w:val="20"/>
          <w:lang w:eastAsia="zh-CN"/>
        </w:rPr>
        <w:t>三</w:t>
      </w:r>
      <w:r>
        <w:rPr>
          <w:rFonts w:hint="eastAsia" w:ascii="仿宋_GB2312" w:hAnsi="仿宋_GB2312" w:eastAsia="仿宋_GB2312" w:cs="仿宋_GB2312"/>
          <w:snapToGrid w:val="0"/>
          <w:color w:val="auto"/>
          <w:kern w:val="0"/>
          <w:sz w:val="28"/>
          <w:szCs w:val="20"/>
        </w:rPr>
        <w:t>次修正）；</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color w:val="auto"/>
          <w:kern w:val="0"/>
          <w:sz w:val="28"/>
          <w:szCs w:val="20"/>
        </w:rPr>
      </w:pPr>
      <w:r>
        <w:rPr>
          <w:rFonts w:hint="eastAsia" w:ascii="仿宋_GB2312" w:hAnsi="仿宋_GB2312" w:eastAsia="仿宋_GB2312" w:cs="仿宋_GB2312"/>
          <w:snapToGrid w:val="0"/>
          <w:color w:val="auto"/>
          <w:kern w:val="0"/>
          <w:sz w:val="28"/>
          <w:szCs w:val="20"/>
        </w:rPr>
        <w:t>（3）《中华人民共和国</w:t>
      </w:r>
      <w:r>
        <w:rPr>
          <w:rFonts w:hint="eastAsia" w:ascii="仿宋_GB2312" w:hAnsi="仿宋_GB2312" w:eastAsia="仿宋_GB2312" w:cs="仿宋_GB2312"/>
          <w:snapToGrid w:val="0"/>
          <w:color w:val="auto"/>
          <w:kern w:val="0"/>
          <w:sz w:val="28"/>
          <w:szCs w:val="20"/>
          <w:lang w:eastAsia="zh-CN"/>
        </w:rPr>
        <w:t>民法典</w:t>
      </w:r>
      <w:r>
        <w:rPr>
          <w:rFonts w:hint="eastAsia" w:ascii="仿宋_GB2312" w:hAnsi="仿宋_GB2312" w:eastAsia="仿宋_GB2312" w:cs="仿宋_GB2312"/>
          <w:snapToGrid w:val="0"/>
          <w:color w:val="auto"/>
          <w:kern w:val="0"/>
          <w:sz w:val="28"/>
          <w:szCs w:val="20"/>
        </w:rPr>
        <w:t>》（2020年5月28日第十三届全国人民代表大会第三次会议通过）；</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（4）《中华人民共和国资产评估法》（中华人民共和国主席令第四十六号，自2016年12月1日起施行）；</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（5）《最高人民法院关于人民法院民事执行中拍卖、变卖财产的规定》（法释〔2004〕16号2004年11月15日）；</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（6）《司法鉴定程序通则》（中华人民共和国司法部令第132号，2016年3月2日）。</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2.技术标准、规程、规范</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（1）《房地产估价规范》（GB/T 50291-2015）；</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（2）《房地产估价基本术语标准》（GB/T50899-2013，2014年2月1日实施）；</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（3）《房地产估价报告评审标准（试行）》</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w:t>
      </w:r>
      <w:r>
        <w:rPr>
          <w:rFonts w:hint="eastAsia" w:ascii="仿宋_GB2312" w:hAnsi="仿宋_GB2312" w:eastAsia="仿宋_GB2312" w:cs="仿宋_GB2312"/>
          <w:snapToGrid w:val="0"/>
          <w:kern w:val="0"/>
          <w:sz w:val="28"/>
          <w:szCs w:val="20"/>
          <w:lang w:val="en-US" w:eastAsia="zh-CN"/>
        </w:rPr>
        <w:t>4</w:t>
      </w:r>
      <w:r>
        <w:rPr>
          <w:rFonts w:hint="eastAsia" w:ascii="仿宋_GB2312" w:hAnsi="仿宋_GB2312" w:eastAsia="仿宋_GB2312" w:cs="仿宋_GB2312"/>
          <w:snapToGrid w:val="0"/>
          <w:kern w:val="0"/>
          <w:sz w:val="28"/>
          <w:szCs w:val="20"/>
        </w:rPr>
        <w:t>）关于印发《涉执房地产处置司法评估指导意见（试行）》的通知</w:t>
      </w:r>
      <w:r>
        <w:rPr>
          <w:rFonts w:hint="eastAsia" w:ascii="仿宋_GB2312" w:hAnsi="仿宋_GB2312" w:eastAsia="仿宋_GB2312" w:cs="仿宋_GB2312"/>
          <w:snapToGrid w:val="0"/>
          <w:kern w:val="0"/>
          <w:sz w:val="28"/>
          <w:szCs w:val="20"/>
          <w:lang w:eastAsia="zh-CN"/>
        </w:rPr>
        <w:t>（</w:t>
      </w:r>
      <w:r>
        <w:rPr>
          <w:rFonts w:hint="eastAsia" w:ascii="仿宋_GB2312" w:hAnsi="仿宋_GB2312" w:eastAsia="仿宋_GB2312" w:cs="仿宋_GB2312"/>
          <w:snapToGrid w:val="0"/>
          <w:kern w:val="0"/>
          <w:sz w:val="28"/>
          <w:szCs w:val="20"/>
        </w:rPr>
        <w:t>中房学〔2021〕37号</w:t>
      </w:r>
      <w:r>
        <w:rPr>
          <w:rFonts w:hint="eastAsia" w:ascii="仿宋_GB2312" w:hAnsi="仿宋_GB2312" w:eastAsia="仿宋_GB2312" w:cs="仿宋_GB2312"/>
          <w:snapToGrid w:val="0"/>
          <w:kern w:val="0"/>
          <w:sz w:val="28"/>
          <w:szCs w:val="20"/>
          <w:lang w:eastAsia="zh-CN"/>
        </w:rPr>
        <w:t>）</w:t>
      </w:r>
      <w:r>
        <w:rPr>
          <w:rFonts w:hint="eastAsia" w:ascii="仿宋_GB2312" w:hAnsi="仿宋_GB2312" w:eastAsia="仿宋_GB2312" w:cs="仿宋_GB2312"/>
          <w:snapToGrid w:val="0"/>
          <w:kern w:val="0"/>
          <w:sz w:val="28"/>
          <w:szCs w:val="20"/>
        </w:rPr>
        <w:t>。</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3.估价委托人提供的有关资料</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（1）《</w:t>
      </w:r>
      <w:r>
        <w:rPr>
          <w:rFonts w:hint="eastAsia" w:ascii="仿宋_GB2312" w:hAnsi="仿宋_GB2312" w:eastAsia="仿宋_GB2312" w:cs="仿宋_GB2312"/>
          <w:snapToGrid w:val="0"/>
          <w:kern w:val="0"/>
          <w:sz w:val="28"/>
          <w:szCs w:val="28"/>
        </w:rPr>
        <w:t>萍乡市湘东区人民法院</w:t>
      </w:r>
      <w:r>
        <w:rPr>
          <w:rFonts w:hint="eastAsia" w:ascii="仿宋_GB2312" w:hAnsi="仿宋_GB2312" w:eastAsia="仿宋_GB2312" w:cs="仿宋_GB2312"/>
          <w:snapToGrid w:val="0"/>
          <w:kern w:val="0"/>
          <w:sz w:val="28"/>
          <w:szCs w:val="20"/>
          <w:lang w:eastAsia="zh-CN"/>
        </w:rPr>
        <w:t>委托书</w:t>
      </w:r>
      <w:r>
        <w:rPr>
          <w:rFonts w:hint="eastAsia" w:ascii="仿宋_GB2312" w:hAnsi="仿宋_GB2312" w:eastAsia="仿宋_GB2312" w:cs="仿宋_GB2312"/>
          <w:snapToGrid w:val="0"/>
          <w:kern w:val="0"/>
          <w:sz w:val="28"/>
          <w:szCs w:val="20"/>
        </w:rPr>
        <w:t>》【</w:t>
      </w:r>
      <w:r>
        <w:rPr>
          <w:rFonts w:hint="eastAsia" w:ascii="仿宋_GB2312" w:hAnsi="仿宋_GB2312" w:eastAsia="仿宋_GB2312" w:cs="仿宋_GB2312"/>
          <w:snapToGrid w:val="0"/>
          <w:kern w:val="0"/>
          <w:sz w:val="28"/>
          <w:szCs w:val="20"/>
          <w:lang w:eastAsia="zh-CN"/>
        </w:rPr>
        <w:t>（202</w:t>
      </w:r>
      <w:r>
        <w:rPr>
          <w:rFonts w:hint="eastAsia" w:ascii="仿宋_GB2312" w:hAnsi="仿宋_GB2312" w:eastAsia="仿宋_GB2312" w:cs="仿宋_GB2312"/>
          <w:snapToGrid w:val="0"/>
          <w:kern w:val="0"/>
          <w:sz w:val="28"/>
          <w:szCs w:val="20"/>
          <w:lang w:val="en-US" w:eastAsia="zh-CN"/>
        </w:rPr>
        <w:t>2</w:t>
      </w:r>
      <w:r>
        <w:rPr>
          <w:rFonts w:hint="eastAsia" w:ascii="仿宋_GB2312" w:hAnsi="仿宋_GB2312" w:eastAsia="仿宋_GB2312" w:cs="仿宋_GB2312"/>
          <w:snapToGrid w:val="0"/>
          <w:kern w:val="0"/>
          <w:sz w:val="28"/>
          <w:szCs w:val="20"/>
          <w:lang w:eastAsia="zh-CN"/>
        </w:rPr>
        <w:t>）</w:t>
      </w:r>
      <w:r>
        <w:rPr>
          <w:rFonts w:hint="eastAsia" w:ascii="仿宋_GB2312" w:hAnsi="仿宋_GB2312" w:eastAsia="仿宋_GB2312" w:cs="仿宋_GB2312"/>
          <w:snapToGrid w:val="0"/>
          <w:kern w:val="0"/>
          <w:sz w:val="28"/>
          <w:szCs w:val="20"/>
          <w:lang w:val="en-US" w:eastAsia="zh-CN"/>
        </w:rPr>
        <w:t>赣0313执259号</w:t>
      </w:r>
      <w:r>
        <w:rPr>
          <w:rFonts w:hint="eastAsia" w:ascii="仿宋_GB2312" w:hAnsi="仿宋_GB2312" w:eastAsia="仿宋_GB2312" w:cs="仿宋_GB2312"/>
          <w:snapToGrid w:val="0"/>
          <w:kern w:val="0"/>
          <w:sz w:val="28"/>
          <w:szCs w:val="20"/>
        </w:rPr>
        <w:t>】；</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（2）</w:t>
      </w:r>
      <w:r>
        <w:rPr>
          <w:rFonts w:hint="eastAsia" w:ascii="仿宋_GB2312" w:hAnsi="仿宋_GB2312" w:eastAsia="仿宋_GB2312" w:cs="仿宋_GB2312"/>
          <w:snapToGrid w:val="0"/>
          <w:kern w:val="0"/>
          <w:sz w:val="28"/>
          <w:szCs w:val="20"/>
          <w:lang w:eastAsia="zh-CN"/>
        </w:rPr>
        <w:t>《不动产</w:t>
      </w:r>
      <w:r>
        <w:rPr>
          <w:rFonts w:hint="eastAsia" w:ascii="仿宋_GB2312" w:hAnsi="仿宋_GB2312" w:eastAsia="仿宋_GB2312" w:cs="仿宋_GB2312"/>
          <w:snapToGrid w:val="0"/>
          <w:kern w:val="0"/>
          <w:sz w:val="28"/>
          <w:szCs w:val="20"/>
          <w:lang w:val="en-US" w:eastAsia="zh-CN"/>
        </w:rPr>
        <w:t>登记信息</w:t>
      </w:r>
      <w:r>
        <w:rPr>
          <w:rFonts w:hint="eastAsia" w:ascii="仿宋_GB2312" w:hAnsi="仿宋_GB2312" w:eastAsia="仿宋_GB2312" w:cs="仿宋_GB2312"/>
          <w:snapToGrid w:val="0"/>
          <w:kern w:val="0"/>
          <w:sz w:val="28"/>
          <w:szCs w:val="20"/>
          <w:lang w:eastAsia="zh-CN"/>
        </w:rPr>
        <w:t>》、《</w:t>
      </w:r>
      <w:r>
        <w:rPr>
          <w:rFonts w:hint="eastAsia" w:ascii="仿宋_GB2312" w:hAnsi="仿宋_GB2312" w:eastAsia="仿宋_GB2312" w:cs="仿宋_GB2312"/>
          <w:snapToGrid w:val="0"/>
          <w:kern w:val="0"/>
          <w:sz w:val="28"/>
          <w:szCs w:val="20"/>
          <w:lang w:val="en-US" w:eastAsia="zh-CN"/>
        </w:rPr>
        <w:t>房屋所有权证</w:t>
      </w:r>
      <w:r>
        <w:rPr>
          <w:rFonts w:hint="eastAsia" w:ascii="仿宋_GB2312" w:hAnsi="仿宋_GB2312" w:eastAsia="仿宋_GB2312" w:cs="仿宋_GB2312"/>
          <w:snapToGrid w:val="0"/>
          <w:kern w:val="0"/>
          <w:sz w:val="28"/>
          <w:szCs w:val="20"/>
          <w:lang w:eastAsia="zh-CN"/>
        </w:rPr>
        <w:t>》、《</w:t>
      </w:r>
      <w:r>
        <w:rPr>
          <w:rFonts w:hint="eastAsia" w:ascii="仿宋_GB2312" w:hAnsi="仿宋_GB2312" w:eastAsia="仿宋_GB2312" w:cs="仿宋_GB2312"/>
          <w:snapToGrid w:val="0"/>
          <w:kern w:val="0"/>
          <w:sz w:val="28"/>
          <w:szCs w:val="20"/>
          <w:lang w:val="en-US" w:eastAsia="zh-CN"/>
        </w:rPr>
        <w:t>国有土地使用证</w:t>
      </w:r>
      <w:r>
        <w:rPr>
          <w:rFonts w:hint="eastAsia" w:ascii="仿宋_GB2312" w:hAnsi="仿宋_GB2312" w:eastAsia="仿宋_GB2312" w:cs="仿宋_GB2312"/>
          <w:snapToGrid w:val="0"/>
          <w:kern w:val="0"/>
          <w:sz w:val="28"/>
          <w:szCs w:val="20"/>
          <w:lang w:eastAsia="zh-CN"/>
        </w:rPr>
        <w:t>》</w:t>
      </w:r>
      <w:r>
        <w:rPr>
          <w:rFonts w:hint="eastAsia" w:ascii="仿宋_GB2312" w:hAnsi="仿宋_GB2312" w:eastAsia="仿宋_GB2312" w:cs="仿宋_GB2312"/>
          <w:snapToGrid w:val="0"/>
          <w:kern w:val="0"/>
          <w:sz w:val="28"/>
          <w:szCs w:val="20"/>
        </w:rPr>
        <w:t>等权属资料。</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4.估价机构掌握的资料</w:t>
      </w:r>
    </w:p>
    <w:p>
      <w:pPr>
        <w:keepLines w:val="0"/>
        <w:pageBreakBefore w:val="0"/>
        <w:widowControl w:val="0"/>
        <w:kinsoku/>
        <w:wordWrap/>
        <w:overflowPunct/>
        <w:topLinePunct w:val="0"/>
        <w:autoSpaceDE/>
        <w:autoSpaceDN/>
        <w:bidi w:val="0"/>
        <w:snapToGrid w:val="0"/>
        <w:spacing w:before="0" w:after="0" w:line="520" w:lineRule="exact"/>
        <w:ind w:firstLine="560" w:firstLineChars="200"/>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snapToGrid w:val="0"/>
          <w:kern w:val="0"/>
          <w:sz w:val="28"/>
          <w:szCs w:val="20"/>
        </w:rPr>
        <w:t>（1）</w:t>
      </w:r>
      <w:r>
        <w:rPr>
          <w:rFonts w:hint="eastAsia" w:ascii="仿宋_GB2312" w:hAnsi="仿宋_GB2312" w:eastAsia="仿宋_GB2312" w:cs="仿宋_GB2312"/>
          <w:sz w:val="28"/>
        </w:rPr>
        <w:t>房地产估价机构</w:t>
      </w:r>
      <w:r>
        <w:rPr>
          <w:rFonts w:hint="eastAsia" w:ascii="仿宋_GB2312" w:hAnsi="仿宋_GB2312" w:eastAsia="仿宋_GB2312" w:cs="仿宋_GB2312"/>
          <w:color w:val="000000"/>
          <w:sz w:val="28"/>
        </w:rPr>
        <w:t>平时所积累的市场信息；</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w:t>
      </w:r>
      <w:r>
        <w:rPr>
          <w:rFonts w:hint="eastAsia" w:ascii="仿宋_GB2312" w:hAnsi="仿宋_GB2312" w:eastAsia="仿宋_GB2312" w:cs="仿宋_GB2312"/>
          <w:snapToGrid w:val="0"/>
          <w:kern w:val="0"/>
          <w:sz w:val="28"/>
          <w:szCs w:val="20"/>
          <w:lang w:val="en-US" w:eastAsia="zh-CN"/>
        </w:rPr>
        <w:t>2</w:t>
      </w:r>
      <w:r>
        <w:rPr>
          <w:rFonts w:hint="eastAsia" w:ascii="仿宋_GB2312" w:hAnsi="仿宋_GB2312" w:eastAsia="仿宋_GB2312" w:cs="仿宋_GB2312"/>
          <w:snapToGrid w:val="0"/>
          <w:kern w:val="0"/>
          <w:sz w:val="28"/>
          <w:szCs w:val="20"/>
        </w:rPr>
        <w:t>）估价人员实地查勘和市场调查所取得的资料。</w:t>
      </w:r>
    </w:p>
    <w:p>
      <w:pPr>
        <w:pStyle w:val="4"/>
        <w:keepLines w:val="0"/>
        <w:pageBreakBefore w:val="0"/>
        <w:widowControl w:val="0"/>
        <w:kinsoku/>
        <w:wordWrap/>
        <w:overflowPunct/>
        <w:topLinePunct w:val="0"/>
        <w:autoSpaceDE/>
        <w:autoSpaceDN/>
        <w:bidi w:val="0"/>
        <w:snapToGrid w:val="0"/>
        <w:spacing w:before="0" w:after="0" w:line="520" w:lineRule="exact"/>
        <w:ind w:firstLine="562" w:firstLineChars="200"/>
        <w:jc w:val="left"/>
        <w:textAlignment w:val="auto"/>
        <w:rPr>
          <w:rFonts w:ascii="仿宋_GB2312" w:hAnsi="仿宋_GB2312" w:eastAsia="仿宋_GB2312" w:cs="仿宋_GB2312"/>
          <w:color w:val="000000"/>
          <w:sz w:val="28"/>
          <w:szCs w:val="28"/>
        </w:rPr>
      </w:pPr>
      <w:bookmarkStart w:id="11" w:name="_Toc8912"/>
      <w:r>
        <w:rPr>
          <w:rFonts w:hint="eastAsia" w:ascii="仿宋_GB2312" w:hAnsi="仿宋_GB2312" w:eastAsia="仿宋_GB2312" w:cs="仿宋_GB2312"/>
          <w:color w:val="000000"/>
          <w:sz w:val="28"/>
          <w:szCs w:val="28"/>
        </w:rPr>
        <w:t>（九）估价方法</w:t>
      </w:r>
      <w:bookmarkEnd w:id="11"/>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1、估价技术路线</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根据《房地产估价规范》等，通行的评估方法有比较法、收益法、成本法、假设开发法等。注册房地产估价师在认真分析所掌握的资料并对估价对象进行实地勘察后，根据估价对象的特点及本身的实际情况，遵照国家标准《房地产估价规范》，分析如下：</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（1）比较法：估价对象</w:t>
      </w:r>
      <w:r>
        <w:rPr>
          <w:rFonts w:hint="eastAsia" w:ascii="仿宋_GB2312" w:hAnsi="仿宋_GB2312" w:eastAsia="仿宋_GB2312" w:cs="仿宋_GB2312"/>
          <w:snapToGrid w:val="0"/>
          <w:kern w:val="0"/>
          <w:sz w:val="28"/>
          <w:szCs w:val="20"/>
          <w:lang w:val="en-US" w:eastAsia="zh-CN"/>
        </w:rPr>
        <w:t>用途为商铺</w:t>
      </w:r>
      <w:r>
        <w:rPr>
          <w:rFonts w:hint="eastAsia" w:ascii="仿宋_GB2312" w:hAnsi="仿宋_GB2312" w:eastAsia="仿宋_GB2312" w:cs="仿宋_GB2312"/>
          <w:snapToGrid w:val="0"/>
          <w:kern w:val="0"/>
          <w:sz w:val="28"/>
          <w:szCs w:val="20"/>
        </w:rPr>
        <w:t>，经估价人员现场调查，区域内类似二手房交易市场较活跃且能收集到的该类物业交易案例，因此可采用比较法进行评估。</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（2）收益法：</w:t>
      </w:r>
      <w:r>
        <w:rPr>
          <w:rFonts w:hint="eastAsia" w:ascii="仿宋_GB2312" w:hAnsi="Bookman Old Style" w:eastAsia="仿宋_GB2312"/>
          <w:bCs/>
          <w:snapToGrid w:val="0"/>
          <w:kern w:val="0"/>
          <w:sz w:val="28"/>
          <w:szCs w:val="28"/>
        </w:rPr>
        <w:t>估价对象</w:t>
      </w:r>
      <w:r>
        <w:rPr>
          <w:rFonts w:hint="eastAsia" w:ascii="仿宋_GB2312" w:hAnsi="仿宋_GB2312" w:eastAsia="仿宋_GB2312" w:cs="仿宋_GB2312"/>
          <w:snapToGrid w:val="0"/>
          <w:kern w:val="0"/>
          <w:sz w:val="28"/>
          <w:szCs w:val="20"/>
          <w:lang w:val="en-US" w:eastAsia="zh-CN"/>
        </w:rPr>
        <w:t>用途为商铺</w:t>
      </w:r>
      <w:r>
        <w:rPr>
          <w:rFonts w:hint="eastAsia" w:ascii="仿宋_GB2312" w:hAnsi="Bookman Old Style" w:eastAsia="仿宋_GB2312"/>
          <w:bCs/>
          <w:snapToGrid w:val="0"/>
          <w:kern w:val="0"/>
          <w:sz w:val="28"/>
          <w:szCs w:val="28"/>
          <w:lang w:eastAsia="zh-CN"/>
        </w:rPr>
        <w:t>，</w:t>
      </w:r>
      <w:r>
        <w:rPr>
          <w:rFonts w:hint="eastAsia" w:ascii="仿宋_GB2312" w:hAnsi="Bookman Old Style" w:eastAsia="仿宋_GB2312"/>
          <w:bCs/>
          <w:snapToGrid w:val="0"/>
          <w:kern w:val="0"/>
          <w:sz w:val="28"/>
          <w:szCs w:val="28"/>
          <w:lang w:val="en-US" w:eastAsia="zh-CN"/>
        </w:rPr>
        <w:t>虽然估价对象所在</w:t>
      </w:r>
      <w:r>
        <w:rPr>
          <w:rFonts w:hint="eastAsia" w:ascii="仿宋_GB2312" w:hAnsi="仿宋_GB2312" w:eastAsia="仿宋_GB2312" w:cs="仿宋_GB2312"/>
          <w:snapToGrid w:val="0"/>
          <w:kern w:val="0"/>
          <w:sz w:val="28"/>
          <w:szCs w:val="20"/>
        </w:rPr>
        <w:t>区域内</w:t>
      </w:r>
      <w:r>
        <w:rPr>
          <w:rFonts w:hint="eastAsia" w:ascii="仿宋_GB2312" w:hAnsi="仿宋_GB2312" w:eastAsia="仿宋_GB2312" w:cs="仿宋_GB2312"/>
          <w:snapToGrid w:val="0"/>
          <w:kern w:val="0"/>
          <w:sz w:val="28"/>
          <w:szCs w:val="20"/>
          <w:lang w:val="en-US" w:eastAsia="zh-CN"/>
        </w:rPr>
        <w:t>有一定的</w:t>
      </w:r>
      <w:r>
        <w:rPr>
          <w:rFonts w:hint="eastAsia" w:ascii="仿宋_GB2312" w:hAnsi="Bookman Old Style" w:eastAsia="仿宋_GB2312"/>
          <w:bCs/>
          <w:snapToGrid w:val="0"/>
          <w:kern w:val="0"/>
          <w:sz w:val="28"/>
          <w:szCs w:val="28"/>
          <w:lang w:val="en-US" w:eastAsia="zh-CN"/>
        </w:rPr>
        <w:t>类似</w:t>
      </w:r>
      <w:r>
        <w:rPr>
          <w:rFonts w:hint="eastAsia" w:ascii="仿宋_GB2312" w:hAnsi="仿宋_GB2312" w:eastAsia="仿宋_GB2312" w:cs="仿宋_GB2312"/>
          <w:snapToGrid w:val="0"/>
          <w:kern w:val="0"/>
          <w:sz w:val="28"/>
          <w:szCs w:val="20"/>
          <w:lang w:val="en-US" w:eastAsia="zh-CN"/>
        </w:rPr>
        <w:t>房地产出租案例，但</w:t>
      </w:r>
      <w:r>
        <w:rPr>
          <w:rFonts w:hint="eastAsia" w:ascii="仿宋_GB2312" w:hAnsi="仿宋_GB2312" w:eastAsia="仿宋_GB2312" w:cs="仿宋_GB2312"/>
          <w:snapToGrid w:val="0"/>
          <w:kern w:val="0"/>
          <w:sz w:val="28"/>
          <w:szCs w:val="20"/>
        </w:rPr>
        <w:t>租售比较低，难以反映市场真实成交价，故不宜采用收益法。</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（3）成本法：估价对象为已建成</w:t>
      </w:r>
      <w:r>
        <w:rPr>
          <w:rFonts w:hint="eastAsia" w:ascii="仿宋_GB2312" w:hAnsi="仿宋_GB2312" w:eastAsia="仿宋_GB2312" w:cs="仿宋_GB2312"/>
          <w:snapToGrid w:val="0"/>
          <w:kern w:val="0"/>
          <w:sz w:val="28"/>
          <w:szCs w:val="20"/>
          <w:lang w:eastAsia="zh-CN"/>
        </w:rPr>
        <w:t>房地产</w:t>
      </w:r>
      <w:r>
        <w:rPr>
          <w:rFonts w:hint="eastAsia" w:ascii="仿宋_GB2312" w:hAnsi="仿宋_GB2312" w:eastAsia="仿宋_GB2312" w:cs="仿宋_GB2312"/>
          <w:snapToGrid w:val="0"/>
          <w:kern w:val="0"/>
          <w:sz w:val="28"/>
          <w:szCs w:val="20"/>
        </w:rPr>
        <w:t>，不是独立开发建设的整体房地产，且现时</w:t>
      </w:r>
      <w:r>
        <w:rPr>
          <w:rFonts w:hint="eastAsia" w:ascii="仿宋_GB2312" w:hAnsi="仿宋_GB2312" w:eastAsia="仿宋_GB2312" w:cs="仿宋_GB2312"/>
          <w:snapToGrid w:val="0"/>
          <w:kern w:val="0"/>
          <w:sz w:val="28"/>
          <w:szCs w:val="20"/>
          <w:lang w:eastAsia="zh-CN"/>
        </w:rPr>
        <w:t>房地产</w:t>
      </w:r>
      <w:r>
        <w:rPr>
          <w:rFonts w:hint="eastAsia" w:ascii="仿宋_GB2312" w:hAnsi="仿宋_GB2312" w:eastAsia="仿宋_GB2312" w:cs="仿宋_GB2312"/>
          <w:snapToGrid w:val="0"/>
          <w:kern w:val="0"/>
          <w:sz w:val="28"/>
          <w:szCs w:val="20"/>
        </w:rPr>
        <w:t>价格与成本关联性弱，房地产的开发成本不能准确反映房地产的实际市场价值，故不适宜采用成本法。</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（4）假设开发法：估价对象属已建成物业，本次估价是以现状用途使用对其价值最为有利为前提进行估价，不适宜更新改造、改变用途、重新开发，故不适宜采用假设开发法。</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根据估价对象的特点及本身的实际情况，遵照国家标准《房地产估价规范》，经研究，在此次评估中，选取比较法作为本次估价采用的基本方法来求取估价对象价值。</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2、本次选用估价方法定义</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比较法原理：将估价对象与价值时点有过交易的类似房地产进行比较，对于这些类似房地产的已知价格作适当的修正，以此估算对象的客观合理价格或价值的方法。</w:t>
      </w:r>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比较法公式：估价对象价格=可比实例价格×交易情况修正×市场状况调整系数×房地产状况调整系数</w:t>
      </w:r>
    </w:p>
    <w:p>
      <w:pPr>
        <w:pStyle w:val="4"/>
        <w:keepLines w:val="0"/>
        <w:pageBreakBefore w:val="0"/>
        <w:widowControl w:val="0"/>
        <w:kinsoku/>
        <w:wordWrap/>
        <w:overflowPunct/>
        <w:topLinePunct w:val="0"/>
        <w:autoSpaceDE/>
        <w:autoSpaceDN/>
        <w:bidi w:val="0"/>
        <w:snapToGrid w:val="0"/>
        <w:spacing w:before="0" w:after="0" w:line="520" w:lineRule="exact"/>
        <w:ind w:firstLine="562" w:firstLineChars="200"/>
        <w:jc w:val="left"/>
        <w:textAlignment w:val="auto"/>
        <w:rPr>
          <w:rFonts w:ascii="仿宋_GB2312" w:hAnsi="仿宋_GB2312" w:eastAsia="仿宋_GB2312" w:cs="仿宋_GB2312"/>
          <w:color w:val="000000"/>
          <w:sz w:val="28"/>
          <w:szCs w:val="28"/>
        </w:rPr>
      </w:pPr>
      <w:bookmarkStart w:id="12" w:name="_Toc15752"/>
      <w:r>
        <w:rPr>
          <w:rFonts w:hint="eastAsia" w:ascii="仿宋_GB2312" w:hAnsi="仿宋_GB2312" w:eastAsia="仿宋_GB2312" w:cs="仿宋_GB2312"/>
          <w:color w:val="000000"/>
          <w:sz w:val="28"/>
          <w:szCs w:val="28"/>
        </w:rPr>
        <w:t>（十）估价结果</w:t>
      </w:r>
      <w:bookmarkEnd w:id="12"/>
    </w:p>
    <w:p>
      <w:pPr>
        <w:keepLines w:val="0"/>
        <w:pageBreakBefore w:val="0"/>
        <w:widowControl w:val="0"/>
        <w:tabs>
          <w:tab w:val="left" w:pos="267"/>
        </w:tabs>
        <w:kinsoku/>
        <w:wordWrap/>
        <w:overflowPunct/>
        <w:topLinePunct w:val="0"/>
        <w:autoSpaceDE/>
        <w:autoSpaceDN/>
        <w:bidi w:val="0"/>
        <w:adjustRightInd w:val="0"/>
        <w:snapToGrid w:val="0"/>
        <w:spacing w:before="0" w:after="0" w:line="520" w:lineRule="exact"/>
        <w:ind w:firstLine="560" w:firstLineChars="200"/>
        <w:jc w:val="left"/>
        <w:textAlignment w:val="auto"/>
        <w:rPr>
          <w:rFonts w:hint="eastAsia" w:ascii="仿宋_GB2312" w:hAnsi="仿宋_GB2312" w:eastAsia="仿宋_GB2312" w:cs="仿宋_GB2312"/>
          <w:snapToGrid w:val="0"/>
          <w:kern w:val="0"/>
          <w:sz w:val="28"/>
          <w:szCs w:val="20"/>
        </w:rPr>
      </w:pPr>
      <w:r>
        <w:rPr>
          <w:rFonts w:hint="eastAsia" w:ascii="仿宋_GB2312" w:hAnsi="仿宋_GB2312" w:eastAsia="仿宋_GB2312" w:cs="仿宋_GB2312"/>
          <w:snapToGrid w:val="0"/>
          <w:kern w:val="0"/>
          <w:sz w:val="28"/>
          <w:szCs w:val="20"/>
        </w:rPr>
        <w:t>估价人员根据估价目的，遵循估价原则，根据市场调查，在认真分析所掌握资料与影响估价对象价值诸因素的基础上，结合估价对象的个别因素和使用现状，采用科学的估价方法进行分析、测算和判断，最终确定估价对象于价值时点</w:t>
      </w:r>
      <w:r>
        <w:rPr>
          <w:rFonts w:hint="eastAsia" w:ascii="仿宋_GB2312" w:hAnsi="仿宋_GB2312" w:eastAsia="仿宋_GB2312" w:cs="仿宋_GB2312"/>
          <w:snapToGrid w:val="0"/>
          <w:kern w:val="0"/>
          <w:sz w:val="28"/>
          <w:szCs w:val="20"/>
          <w:lang w:eastAsia="zh-CN"/>
        </w:rPr>
        <w:t>202</w:t>
      </w:r>
      <w:r>
        <w:rPr>
          <w:rFonts w:hint="eastAsia" w:ascii="仿宋_GB2312" w:hAnsi="仿宋_GB2312" w:eastAsia="仿宋_GB2312" w:cs="仿宋_GB2312"/>
          <w:snapToGrid w:val="0"/>
          <w:kern w:val="0"/>
          <w:sz w:val="28"/>
          <w:szCs w:val="20"/>
          <w:lang w:val="en-US" w:eastAsia="zh-CN"/>
        </w:rPr>
        <w:t>2</w:t>
      </w:r>
      <w:r>
        <w:rPr>
          <w:rFonts w:hint="eastAsia" w:ascii="仿宋_GB2312" w:hAnsi="仿宋_GB2312" w:eastAsia="仿宋_GB2312" w:cs="仿宋_GB2312"/>
          <w:snapToGrid w:val="0"/>
          <w:kern w:val="0"/>
          <w:sz w:val="28"/>
          <w:szCs w:val="20"/>
          <w:lang w:eastAsia="zh-CN"/>
        </w:rPr>
        <w:t>年</w:t>
      </w:r>
      <w:r>
        <w:rPr>
          <w:rFonts w:hint="eastAsia" w:ascii="仿宋_GB2312" w:hAnsi="仿宋_GB2312" w:eastAsia="仿宋_GB2312" w:cs="仿宋_GB2312"/>
          <w:snapToGrid w:val="0"/>
          <w:color w:val="auto"/>
          <w:kern w:val="0"/>
          <w:sz w:val="28"/>
          <w:szCs w:val="20"/>
          <w:lang w:val="en-US" w:eastAsia="zh-CN"/>
        </w:rPr>
        <w:t>06</w:t>
      </w:r>
      <w:r>
        <w:rPr>
          <w:rFonts w:hint="eastAsia" w:ascii="仿宋_GB2312" w:hAnsi="仿宋_GB2312" w:eastAsia="仿宋_GB2312" w:cs="仿宋_GB2312"/>
          <w:snapToGrid w:val="0"/>
          <w:color w:val="auto"/>
          <w:kern w:val="0"/>
          <w:sz w:val="28"/>
          <w:szCs w:val="20"/>
          <w:lang w:eastAsia="zh-CN"/>
        </w:rPr>
        <w:t>月</w:t>
      </w:r>
      <w:r>
        <w:rPr>
          <w:rFonts w:hint="eastAsia" w:ascii="仿宋_GB2312" w:hAnsi="仿宋_GB2312" w:eastAsia="仿宋_GB2312" w:cs="仿宋_GB2312"/>
          <w:snapToGrid w:val="0"/>
          <w:color w:val="auto"/>
          <w:kern w:val="0"/>
          <w:sz w:val="28"/>
          <w:szCs w:val="20"/>
          <w:lang w:val="en-US" w:eastAsia="zh-CN"/>
        </w:rPr>
        <w:t>07日</w:t>
      </w:r>
      <w:r>
        <w:rPr>
          <w:rFonts w:hint="eastAsia" w:ascii="仿宋_GB2312" w:hAnsi="仿宋_GB2312" w:eastAsia="仿宋_GB2312" w:cs="仿宋_GB2312"/>
          <w:snapToGrid w:val="0"/>
          <w:color w:val="auto"/>
          <w:kern w:val="0"/>
          <w:sz w:val="28"/>
          <w:szCs w:val="20"/>
        </w:rPr>
        <w:t>的</w:t>
      </w:r>
      <w:r>
        <w:rPr>
          <w:rFonts w:hint="eastAsia" w:ascii="仿宋_GB2312" w:hAnsi="仿宋_GB2312" w:eastAsia="仿宋_GB2312" w:cs="仿宋_GB2312"/>
          <w:snapToGrid w:val="0"/>
          <w:color w:val="auto"/>
          <w:kern w:val="0"/>
          <w:sz w:val="28"/>
          <w:szCs w:val="20"/>
          <w:lang w:val="en-US" w:eastAsia="zh-CN"/>
        </w:rPr>
        <w:t>房地产</w:t>
      </w:r>
      <w:r>
        <w:rPr>
          <w:rFonts w:hint="eastAsia" w:ascii="仿宋_GB2312" w:hAnsi="仿宋_GB2312" w:eastAsia="仿宋_GB2312" w:cs="仿宋_GB2312"/>
          <w:snapToGrid w:val="0"/>
          <w:color w:val="auto"/>
          <w:kern w:val="0"/>
          <w:sz w:val="28"/>
          <w:szCs w:val="20"/>
          <w:shd w:val="clear" w:color="auto" w:fill="auto"/>
        </w:rPr>
        <w:t>市场价值为</w:t>
      </w:r>
      <w:r>
        <w:rPr>
          <w:rFonts w:hint="eastAsia" w:ascii="仿宋_GB2312" w:hAnsi="仿宋_GB2312" w:eastAsia="仿宋_GB2312" w:cs="仿宋_GB2312"/>
          <w:b/>
          <w:bCs/>
          <w:snapToGrid w:val="0"/>
          <w:color w:val="auto"/>
          <w:kern w:val="0"/>
          <w:sz w:val="28"/>
          <w:szCs w:val="20"/>
          <w:shd w:val="clear" w:color="auto" w:fill="auto"/>
        </w:rPr>
        <w:t>68.05</w:t>
      </w:r>
      <w:r>
        <w:rPr>
          <w:rFonts w:hint="eastAsia" w:ascii="仿宋_GB2312" w:hAnsi="仿宋_GB2312" w:eastAsia="仿宋_GB2312" w:cs="仿宋_GB2312"/>
          <w:snapToGrid w:val="0"/>
          <w:color w:val="auto"/>
          <w:kern w:val="0"/>
          <w:sz w:val="28"/>
          <w:szCs w:val="20"/>
          <w:shd w:val="clear" w:color="auto" w:fill="auto"/>
          <w:lang w:val="en-US" w:eastAsia="zh-CN"/>
        </w:rPr>
        <w:t>万</w:t>
      </w:r>
      <w:r>
        <w:rPr>
          <w:rFonts w:hint="eastAsia" w:ascii="仿宋_GB2312" w:hAnsi="仿宋_GB2312" w:eastAsia="仿宋_GB2312" w:cs="仿宋_GB2312"/>
          <w:b w:val="0"/>
          <w:bCs w:val="0"/>
          <w:snapToGrid w:val="0"/>
          <w:color w:val="auto"/>
          <w:kern w:val="0"/>
          <w:sz w:val="28"/>
          <w:szCs w:val="20"/>
          <w:shd w:val="clear" w:color="auto" w:fill="auto"/>
        </w:rPr>
        <w:t>元</w:t>
      </w:r>
      <w:r>
        <w:rPr>
          <w:rFonts w:hint="eastAsia" w:ascii="仿宋_GB2312" w:hAnsi="仿宋_GB2312" w:eastAsia="仿宋_GB2312" w:cs="仿宋_GB2312"/>
          <w:snapToGrid w:val="0"/>
          <w:color w:val="auto"/>
          <w:kern w:val="0"/>
          <w:sz w:val="28"/>
          <w:szCs w:val="20"/>
          <w:shd w:val="clear" w:color="auto" w:fill="auto"/>
        </w:rPr>
        <w:t>，人民币大写：</w:t>
      </w:r>
      <w:r>
        <w:rPr>
          <w:rFonts w:hint="eastAsia" w:ascii="仿宋_GB2312" w:hAnsi="仿宋_GB2312" w:eastAsia="仿宋_GB2312" w:cs="仿宋_GB2312"/>
          <w:b/>
          <w:bCs/>
          <w:snapToGrid w:val="0"/>
          <w:color w:val="auto"/>
          <w:kern w:val="0"/>
          <w:sz w:val="28"/>
          <w:szCs w:val="20"/>
          <w:shd w:val="clear" w:color="auto" w:fill="auto"/>
        </w:rPr>
        <w:fldChar w:fldCharType="begin"/>
      </w:r>
      <w:r>
        <w:rPr>
          <w:rFonts w:hint="eastAsia" w:ascii="仿宋_GB2312" w:hAnsi="仿宋_GB2312" w:eastAsia="仿宋_GB2312" w:cs="仿宋_GB2312"/>
          <w:b/>
          <w:bCs/>
          <w:snapToGrid w:val="0"/>
          <w:color w:val="auto"/>
          <w:kern w:val="0"/>
          <w:sz w:val="28"/>
          <w:szCs w:val="20"/>
          <w:shd w:val="clear" w:color="auto" w:fill="auto"/>
        </w:rPr>
        <w:instrText xml:space="preserve"> = 680500 \* CHINESENUM2 \* MERGEFORMAT </w:instrText>
      </w:r>
      <w:r>
        <w:rPr>
          <w:rFonts w:hint="eastAsia" w:ascii="仿宋_GB2312" w:hAnsi="仿宋_GB2312" w:eastAsia="仿宋_GB2312" w:cs="仿宋_GB2312"/>
          <w:b/>
          <w:bCs/>
          <w:snapToGrid w:val="0"/>
          <w:color w:val="auto"/>
          <w:kern w:val="0"/>
          <w:sz w:val="28"/>
          <w:szCs w:val="20"/>
          <w:shd w:val="clear" w:color="auto" w:fill="auto"/>
        </w:rPr>
        <w:fldChar w:fldCharType="separate"/>
      </w:r>
      <w:r>
        <w:rPr>
          <w:rFonts w:hint="eastAsia" w:ascii="仿宋_GB2312" w:hAnsi="仿宋_GB2312" w:eastAsia="仿宋_GB2312" w:cs="仿宋_GB2312"/>
          <w:b/>
          <w:bCs/>
          <w:snapToGrid w:val="0"/>
          <w:color w:val="auto"/>
          <w:kern w:val="0"/>
          <w:sz w:val="28"/>
          <w:szCs w:val="20"/>
          <w:shd w:val="clear" w:color="auto" w:fill="auto"/>
        </w:rPr>
        <w:t>陆拾捌万零伍佰</w:t>
      </w:r>
      <w:r>
        <w:rPr>
          <w:rFonts w:hint="eastAsia" w:ascii="仿宋_GB2312" w:hAnsi="仿宋_GB2312" w:eastAsia="仿宋_GB2312" w:cs="仿宋_GB2312"/>
          <w:b/>
          <w:bCs/>
          <w:snapToGrid w:val="0"/>
          <w:color w:val="auto"/>
          <w:kern w:val="0"/>
          <w:sz w:val="28"/>
          <w:szCs w:val="20"/>
          <w:shd w:val="clear" w:color="auto" w:fill="auto"/>
        </w:rPr>
        <w:fldChar w:fldCharType="end"/>
      </w:r>
      <w:r>
        <w:rPr>
          <w:rFonts w:hint="eastAsia" w:ascii="仿宋_GB2312" w:hAnsi="仿宋_GB2312" w:eastAsia="仿宋_GB2312" w:cs="仿宋_GB2312"/>
          <w:b w:val="0"/>
          <w:bCs w:val="0"/>
          <w:snapToGrid w:val="0"/>
          <w:kern w:val="0"/>
          <w:sz w:val="28"/>
          <w:szCs w:val="20"/>
          <w:lang w:eastAsia="zh-CN"/>
        </w:rPr>
        <w:t>元整</w:t>
      </w:r>
      <w:r>
        <w:rPr>
          <w:rFonts w:hint="eastAsia" w:ascii="仿宋_GB2312" w:hAnsi="仿宋_GB2312" w:eastAsia="仿宋_GB2312" w:cs="仿宋_GB2312"/>
          <w:snapToGrid w:val="0"/>
          <w:kern w:val="0"/>
          <w:sz w:val="28"/>
          <w:szCs w:val="20"/>
          <w:lang w:eastAsia="zh-CN"/>
        </w:rPr>
        <w:t>，</w:t>
      </w:r>
      <w:r>
        <w:rPr>
          <w:rFonts w:hint="eastAsia" w:ascii="仿宋_GB2312" w:hAnsi="仿宋_GB2312" w:eastAsia="仿宋_GB2312" w:cs="仿宋_GB2312"/>
          <w:snapToGrid w:val="0"/>
          <w:kern w:val="0"/>
          <w:sz w:val="28"/>
          <w:szCs w:val="20"/>
        </w:rPr>
        <w:t>具体详见《评估结果明细表》。</w:t>
      </w:r>
    </w:p>
    <w:p>
      <w:pPr>
        <w:pStyle w:val="2"/>
        <w:rPr>
          <w:rFonts w:hint="eastAsia"/>
        </w:rPr>
      </w:pPr>
    </w:p>
    <w:p>
      <w:pPr>
        <w:pStyle w:val="4"/>
        <w:keepNext/>
        <w:keepLines w:val="0"/>
        <w:pageBreakBefore w:val="0"/>
        <w:widowControl w:val="0"/>
        <w:kinsoku/>
        <w:wordWrap/>
        <w:overflowPunct/>
        <w:topLinePunct w:val="0"/>
        <w:autoSpaceDE/>
        <w:autoSpaceDN/>
        <w:bidi w:val="0"/>
        <w:adjustRightInd/>
        <w:snapToGrid w:val="0"/>
        <w:spacing w:before="0" w:after="0" w:line="360" w:lineRule="auto"/>
        <w:ind w:firstLine="562" w:firstLineChars="200"/>
        <w:jc w:val="left"/>
        <w:textAlignment w:val="auto"/>
        <w:rPr>
          <w:rFonts w:ascii="仿宋_GB2312" w:hAnsi="仿宋_GB2312" w:eastAsia="仿宋_GB2312" w:cs="仿宋_GB2312"/>
          <w:color w:val="000000"/>
          <w:sz w:val="28"/>
          <w:szCs w:val="28"/>
        </w:rPr>
      </w:pPr>
      <w:bookmarkStart w:id="13" w:name="_Toc29547"/>
      <w:r>
        <w:rPr>
          <w:rFonts w:ascii="仿宋_GB2312" w:hAnsi="仿宋_GB2312" w:eastAsia="仿宋_GB2312" w:cs="仿宋_GB2312"/>
          <w:color w:val="000000"/>
          <w:sz w:val="28"/>
          <w:szCs w:val="28"/>
        </w:rPr>
        <w:t>（十一）注册房地产估价师</w:t>
      </w:r>
      <w:bookmarkEnd w:id="13"/>
    </w:p>
    <w:p>
      <w:pPr>
        <w:tabs>
          <w:tab w:val="left" w:pos="267"/>
        </w:tabs>
        <w:adjustRightInd w:val="0"/>
        <w:snapToGrid w:val="0"/>
        <w:spacing w:before="0" w:after="0" w:line="360" w:lineRule="auto"/>
        <w:ind w:firstLine="560" w:firstLineChars="200"/>
        <w:jc w:val="left"/>
        <w:rPr>
          <w:rFonts w:eastAsia="仿宋_GB2312"/>
          <w:snapToGrid w:val="0"/>
          <w:kern w:val="0"/>
          <w:sz w:val="28"/>
          <w:szCs w:val="20"/>
        </w:rPr>
      </w:pPr>
      <w:r>
        <w:rPr>
          <w:rFonts w:eastAsia="仿宋_GB2312"/>
          <w:snapToGrid w:val="0"/>
          <w:kern w:val="0"/>
          <w:sz w:val="28"/>
          <w:szCs w:val="20"/>
        </w:rPr>
        <w:t xml:space="preserve">参加本次估价的注册房地产估价师为： </w:t>
      </w:r>
    </w:p>
    <w:tbl>
      <w:tblPr>
        <w:tblStyle w:val="24"/>
        <w:tblW w:w="9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9"/>
        <w:gridCol w:w="2319"/>
        <w:gridCol w:w="2193"/>
        <w:gridCol w:w="2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2319" w:type="dxa"/>
            <w:vAlign w:val="center"/>
          </w:tcPr>
          <w:p>
            <w:pPr>
              <w:pStyle w:val="70"/>
              <w:keepNext w:val="0"/>
              <w:keepLines w:val="0"/>
              <w:suppressLineNumbers w:val="0"/>
              <w:spacing w:before="0" w:beforeAutospacing="0" w:after="0" w:afterAutospacing="0"/>
              <w:ind w:left="0" w:right="0"/>
              <w:jc w:val="center"/>
              <w:rPr>
                <w:rFonts w:hint="default" w:eastAsia="仿宋_GB2312"/>
                <w:sz w:val="28"/>
                <w:szCs w:val="28"/>
              </w:rPr>
            </w:pPr>
            <w:r>
              <w:rPr>
                <w:rFonts w:hint="default" w:eastAsia="仿宋_GB2312"/>
                <w:sz w:val="28"/>
                <w:szCs w:val="28"/>
              </w:rPr>
              <w:t>姓名</w:t>
            </w:r>
          </w:p>
        </w:tc>
        <w:tc>
          <w:tcPr>
            <w:tcW w:w="2319" w:type="dxa"/>
            <w:vAlign w:val="center"/>
          </w:tcPr>
          <w:p>
            <w:pPr>
              <w:pStyle w:val="70"/>
              <w:keepNext w:val="0"/>
              <w:keepLines w:val="0"/>
              <w:suppressLineNumbers w:val="0"/>
              <w:spacing w:before="0" w:beforeAutospacing="0" w:after="0" w:afterAutospacing="0"/>
              <w:ind w:left="0" w:right="0"/>
              <w:jc w:val="center"/>
              <w:rPr>
                <w:rFonts w:hint="default" w:eastAsia="仿宋_GB2312"/>
                <w:sz w:val="28"/>
                <w:szCs w:val="28"/>
              </w:rPr>
            </w:pPr>
            <w:r>
              <w:rPr>
                <w:rFonts w:hint="default" w:eastAsia="仿宋_GB2312"/>
                <w:sz w:val="28"/>
                <w:szCs w:val="28"/>
              </w:rPr>
              <w:t>注册号</w:t>
            </w:r>
          </w:p>
        </w:tc>
        <w:tc>
          <w:tcPr>
            <w:tcW w:w="2193" w:type="dxa"/>
            <w:vAlign w:val="center"/>
          </w:tcPr>
          <w:p>
            <w:pPr>
              <w:pStyle w:val="70"/>
              <w:keepNext w:val="0"/>
              <w:keepLines w:val="0"/>
              <w:suppressLineNumbers w:val="0"/>
              <w:spacing w:before="0" w:beforeAutospacing="0" w:after="0" w:afterAutospacing="0"/>
              <w:ind w:left="0" w:right="0"/>
              <w:jc w:val="center"/>
              <w:rPr>
                <w:rFonts w:hint="default" w:eastAsia="仿宋_GB2312"/>
                <w:sz w:val="28"/>
                <w:szCs w:val="28"/>
              </w:rPr>
            </w:pPr>
            <w:r>
              <w:rPr>
                <w:rFonts w:hint="default" w:eastAsia="仿宋_GB2312"/>
                <w:sz w:val="28"/>
                <w:szCs w:val="28"/>
              </w:rPr>
              <w:t>签名</w:t>
            </w:r>
          </w:p>
        </w:tc>
        <w:tc>
          <w:tcPr>
            <w:tcW w:w="2447" w:type="dxa"/>
            <w:vAlign w:val="center"/>
          </w:tcPr>
          <w:p>
            <w:pPr>
              <w:pStyle w:val="70"/>
              <w:keepNext w:val="0"/>
              <w:keepLines w:val="0"/>
              <w:suppressLineNumbers w:val="0"/>
              <w:spacing w:before="0" w:beforeAutospacing="0" w:after="0" w:afterAutospacing="0"/>
              <w:ind w:left="0" w:right="0"/>
              <w:jc w:val="center"/>
              <w:rPr>
                <w:rFonts w:hint="default" w:eastAsia="仿宋_GB2312"/>
                <w:sz w:val="28"/>
                <w:szCs w:val="28"/>
              </w:rPr>
            </w:pPr>
            <w:r>
              <w:rPr>
                <w:rFonts w:hint="default" w:eastAsia="仿宋_GB2312"/>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2319" w:type="dxa"/>
            <w:vAlign w:val="center"/>
          </w:tcPr>
          <w:p>
            <w:pPr>
              <w:pStyle w:val="70"/>
              <w:keepNext w:val="0"/>
              <w:keepLines w:val="0"/>
              <w:suppressLineNumbers w:val="0"/>
              <w:spacing w:before="0" w:beforeAutospacing="0" w:after="0" w:afterAutospacing="0"/>
              <w:ind w:left="0" w:right="0"/>
              <w:jc w:val="center"/>
              <w:rPr>
                <w:rFonts w:hint="eastAsia" w:eastAsia="仿宋_GB2312"/>
                <w:sz w:val="28"/>
                <w:szCs w:val="28"/>
                <w:lang w:eastAsia="zh-CN"/>
              </w:rPr>
            </w:pPr>
            <w:r>
              <w:rPr>
                <w:rFonts w:hint="eastAsia" w:eastAsia="仿宋_GB2312"/>
                <w:sz w:val="28"/>
                <w:szCs w:val="28"/>
                <w:lang w:eastAsia="zh-CN"/>
              </w:rPr>
              <w:t>蒋南斌</w:t>
            </w:r>
          </w:p>
        </w:tc>
        <w:tc>
          <w:tcPr>
            <w:tcW w:w="2319" w:type="dxa"/>
            <w:vAlign w:val="center"/>
          </w:tcPr>
          <w:p>
            <w:pPr>
              <w:pStyle w:val="70"/>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3220150163</w:t>
            </w:r>
          </w:p>
        </w:tc>
        <w:tc>
          <w:tcPr>
            <w:tcW w:w="2193" w:type="dxa"/>
            <w:vAlign w:val="center"/>
          </w:tcPr>
          <w:p>
            <w:pPr>
              <w:pStyle w:val="70"/>
              <w:keepNext w:val="0"/>
              <w:keepLines w:val="0"/>
              <w:suppressLineNumbers w:val="0"/>
              <w:spacing w:before="0" w:beforeAutospacing="0" w:after="0" w:afterAutospacing="0"/>
              <w:ind w:left="0" w:right="0"/>
              <w:jc w:val="center"/>
              <w:rPr>
                <w:rFonts w:hint="default" w:eastAsia="仿宋_GB2312"/>
                <w:sz w:val="28"/>
                <w:szCs w:val="28"/>
              </w:rPr>
            </w:pPr>
          </w:p>
        </w:tc>
        <w:tc>
          <w:tcPr>
            <w:tcW w:w="2447" w:type="dxa"/>
            <w:vAlign w:val="center"/>
          </w:tcPr>
          <w:p>
            <w:pPr>
              <w:pStyle w:val="70"/>
              <w:keepNext w:val="0"/>
              <w:keepLines w:val="0"/>
              <w:suppressLineNumbers w:val="0"/>
              <w:spacing w:before="0" w:beforeAutospacing="0" w:after="0" w:afterAutospacing="0"/>
              <w:ind w:left="0" w:right="0"/>
              <w:jc w:val="center"/>
              <w:rPr>
                <w:rFonts w:hint="eastAsia" w:eastAsia="仿宋_GB2312"/>
                <w:sz w:val="28"/>
                <w:szCs w:val="28"/>
                <w:lang w:eastAsia="zh-CN"/>
              </w:rPr>
            </w:pPr>
            <w:r>
              <w:rPr>
                <w:rFonts w:hint="eastAsia" w:ascii="仿宋_GB2312" w:hAnsi="仿宋_GB2312" w:eastAsia="仿宋_GB2312" w:cs="仿宋_GB2312"/>
                <w:snapToGrid w:val="0"/>
                <w:kern w:val="0"/>
                <w:sz w:val="28"/>
                <w:szCs w:val="20"/>
                <w:lang w:eastAsia="zh-CN"/>
              </w:rPr>
              <w:t>202</w:t>
            </w:r>
            <w:r>
              <w:rPr>
                <w:rFonts w:hint="eastAsia" w:ascii="仿宋_GB2312" w:hAnsi="仿宋_GB2312" w:eastAsia="仿宋_GB2312" w:cs="仿宋_GB2312"/>
                <w:snapToGrid w:val="0"/>
                <w:kern w:val="0"/>
                <w:sz w:val="28"/>
                <w:szCs w:val="20"/>
                <w:lang w:val="en-US" w:eastAsia="zh-CN"/>
              </w:rPr>
              <w:t>2</w:t>
            </w:r>
            <w:r>
              <w:rPr>
                <w:rFonts w:hint="eastAsia" w:ascii="仿宋_GB2312" w:hAnsi="仿宋_GB2312" w:eastAsia="仿宋_GB2312" w:cs="仿宋_GB2312"/>
                <w:snapToGrid w:val="0"/>
                <w:kern w:val="0"/>
                <w:sz w:val="28"/>
                <w:szCs w:val="20"/>
                <w:lang w:eastAsia="zh-CN"/>
              </w:rPr>
              <w:t>年</w:t>
            </w:r>
            <w:r>
              <w:rPr>
                <w:rFonts w:hint="eastAsia" w:ascii="仿宋_GB2312" w:hAnsi="仿宋_GB2312" w:eastAsia="仿宋_GB2312" w:cs="仿宋_GB2312"/>
                <w:snapToGrid w:val="0"/>
                <w:kern w:val="0"/>
                <w:sz w:val="28"/>
                <w:szCs w:val="20"/>
                <w:lang w:val="en-US" w:eastAsia="zh-CN"/>
              </w:rPr>
              <w:t>06</w:t>
            </w:r>
            <w:r>
              <w:rPr>
                <w:rFonts w:hint="eastAsia" w:ascii="仿宋_GB2312" w:hAnsi="仿宋_GB2312" w:eastAsia="仿宋_GB2312" w:cs="仿宋_GB2312"/>
                <w:snapToGrid w:val="0"/>
                <w:kern w:val="0"/>
                <w:sz w:val="28"/>
                <w:szCs w:val="20"/>
                <w:lang w:eastAsia="zh-CN"/>
              </w:rPr>
              <w:t>月</w:t>
            </w:r>
            <w:r>
              <w:rPr>
                <w:rFonts w:hint="eastAsia" w:ascii="仿宋_GB2312" w:hAnsi="仿宋_GB2312" w:eastAsia="仿宋_GB2312" w:cs="仿宋_GB2312"/>
                <w:snapToGrid w:val="0"/>
                <w:kern w:val="0"/>
                <w:sz w:val="28"/>
                <w:szCs w:val="20"/>
                <w:lang w:val="en-US" w:eastAsia="zh-CN"/>
              </w:rPr>
              <w:t>27</w:t>
            </w:r>
            <w:r>
              <w:rPr>
                <w:rFonts w:hint="eastAsia" w:ascii="仿宋_GB2312" w:hAnsi="仿宋_GB2312" w:eastAsia="仿宋_GB2312" w:cs="仿宋_GB2312"/>
                <w:snapToGrid w:val="0"/>
                <w:kern w:val="0"/>
                <w:sz w:val="28"/>
                <w:szCs w:val="20"/>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2319" w:type="dxa"/>
            <w:vAlign w:val="center"/>
          </w:tcPr>
          <w:p>
            <w:pPr>
              <w:pStyle w:val="70"/>
              <w:keepNext w:val="0"/>
              <w:keepLines w:val="0"/>
              <w:suppressLineNumbers w:val="0"/>
              <w:spacing w:before="0" w:beforeAutospacing="0" w:after="0" w:afterAutospacing="0"/>
              <w:ind w:left="0" w:right="0"/>
              <w:jc w:val="center"/>
              <w:rPr>
                <w:rFonts w:hint="default" w:eastAsia="仿宋_GB2312"/>
                <w:sz w:val="28"/>
                <w:szCs w:val="28"/>
              </w:rPr>
            </w:pPr>
            <w:r>
              <w:rPr>
                <w:rFonts w:hint="eastAsia" w:eastAsia="仿宋_GB2312"/>
                <w:sz w:val="28"/>
                <w:szCs w:val="28"/>
              </w:rPr>
              <w:t>李宏宇</w:t>
            </w:r>
          </w:p>
        </w:tc>
        <w:tc>
          <w:tcPr>
            <w:tcW w:w="2319" w:type="dxa"/>
            <w:vAlign w:val="center"/>
          </w:tcPr>
          <w:p>
            <w:pPr>
              <w:pStyle w:val="70"/>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3620190029</w:t>
            </w:r>
          </w:p>
        </w:tc>
        <w:tc>
          <w:tcPr>
            <w:tcW w:w="2193" w:type="dxa"/>
            <w:vAlign w:val="center"/>
          </w:tcPr>
          <w:p>
            <w:pPr>
              <w:pStyle w:val="70"/>
              <w:keepNext w:val="0"/>
              <w:keepLines w:val="0"/>
              <w:suppressLineNumbers w:val="0"/>
              <w:spacing w:before="0" w:beforeAutospacing="0" w:after="0" w:afterAutospacing="0"/>
              <w:ind w:left="0" w:right="0"/>
              <w:jc w:val="center"/>
              <w:rPr>
                <w:rFonts w:hint="default" w:eastAsia="仿宋_GB2312"/>
                <w:sz w:val="28"/>
                <w:szCs w:val="28"/>
              </w:rPr>
            </w:pPr>
          </w:p>
        </w:tc>
        <w:tc>
          <w:tcPr>
            <w:tcW w:w="2447" w:type="dxa"/>
            <w:vAlign w:val="center"/>
          </w:tcPr>
          <w:p>
            <w:pPr>
              <w:pStyle w:val="70"/>
              <w:keepNext w:val="0"/>
              <w:keepLines w:val="0"/>
              <w:suppressLineNumbers w:val="0"/>
              <w:spacing w:before="0" w:beforeAutospacing="0" w:after="0" w:afterAutospacing="0"/>
              <w:ind w:left="0" w:right="0"/>
              <w:jc w:val="center"/>
              <w:rPr>
                <w:rFonts w:hint="eastAsia" w:eastAsia="仿宋_GB2312"/>
                <w:sz w:val="28"/>
                <w:szCs w:val="28"/>
                <w:lang w:eastAsia="zh-CN"/>
              </w:rPr>
            </w:pPr>
            <w:r>
              <w:rPr>
                <w:rFonts w:hint="eastAsia" w:ascii="仿宋_GB2312" w:hAnsi="仿宋_GB2312" w:eastAsia="仿宋_GB2312" w:cs="仿宋_GB2312"/>
                <w:snapToGrid w:val="0"/>
                <w:kern w:val="0"/>
                <w:sz w:val="28"/>
                <w:szCs w:val="20"/>
                <w:lang w:eastAsia="zh-CN"/>
              </w:rPr>
              <w:t>202</w:t>
            </w:r>
            <w:r>
              <w:rPr>
                <w:rFonts w:hint="eastAsia" w:ascii="仿宋_GB2312" w:hAnsi="仿宋_GB2312" w:eastAsia="仿宋_GB2312" w:cs="仿宋_GB2312"/>
                <w:snapToGrid w:val="0"/>
                <w:kern w:val="0"/>
                <w:sz w:val="28"/>
                <w:szCs w:val="20"/>
                <w:lang w:val="en-US" w:eastAsia="zh-CN"/>
              </w:rPr>
              <w:t>2</w:t>
            </w:r>
            <w:r>
              <w:rPr>
                <w:rFonts w:hint="eastAsia" w:ascii="仿宋_GB2312" w:hAnsi="仿宋_GB2312" w:eastAsia="仿宋_GB2312" w:cs="仿宋_GB2312"/>
                <w:snapToGrid w:val="0"/>
                <w:kern w:val="0"/>
                <w:sz w:val="28"/>
                <w:szCs w:val="20"/>
                <w:lang w:eastAsia="zh-CN"/>
              </w:rPr>
              <w:t>年</w:t>
            </w:r>
            <w:r>
              <w:rPr>
                <w:rFonts w:hint="eastAsia" w:ascii="仿宋_GB2312" w:hAnsi="仿宋_GB2312" w:eastAsia="仿宋_GB2312" w:cs="仿宋_GB2312"/>
                <w:snapToGrid w:val="0"/>
                <w:kern w:val="0"/>
                <w:sz w:val="28"/>
                <w:szCs w:val="20"/>
                <w:lang w:val="en-US" w:eastAsia="zh-CN"/>
              </w:rPr>
              <w:t>06</w:t>
            </w:r>
            <w:r>
              <w:rPr>
                <w:rFonts w:hint="eastAsia" w:ascii="仿宋_GB2312" w:hAnsi="仿宋_GB2312" w:eastAsia="仿宋_GB2312" w:cs="仿宋_GB2312"/>
                <w:snapToGrid w:val="0"/>
                <w:kern w:val="0"/>
                <w:sz w:val="28"/>
                <w:szCs w:val="20"/>
                <w:lang w:eastAsia="zh-CN"/>
              </w:rPr>
              <w:t>月</w:t>
            </w:r>
            <w:r>
              <w:rPr>
                <w:rFonts w:hint="eastAsia" w:ascii="仿宋_GB2312" w:hAnsi="仿宋_GB2312" w:eastAsia="仿宋_GB2312" w:cs="仿宋_GB2312"/>
                <w:snapToGrid w:val="0"/>
                <w:kern w:val="0"/>
                <w:sz w:val="28"/>
                <w:szCs w:val="20"/>
                <w:lang w:val="en-US" w:eastAsia="zh-CN"/>
              </w:rPr>
              <w:t>27</w:t>
            </w:r>
            <w:r>
              <w:rPr>
                <w:rFonts w:hint="eastAsia" w:ascii="仿宋_GB2312" w:hAnsi="仿宋_GB2312" w:eastAsia="仿宋_GB2312" w:cs="仿宋_GB2312"/>
                <w:snapToGrid w:val="0"/>
                <w:kern w:val="0"/>
                <w:sz w:val="28"/>
                <w:szCs w:val="20"/>
                <w:lang w:eastAsia="zh-CN"/>
              </w:rPr>
              <w:t>日</w:t>
            </w:r>
          </w:p>
        </w:tc>
      </w:tr>
    </w:tbl>
    <w:p>
      <w:pPr>
        <w:pStyle w:val="4"/>
        <w:keepLines w:val="0"/>
        <w:snapToGrid w:val="0"/>
        <w:spacing w:before="0" w:after="0" w:line="360" w:lineRule="auto"/>
        <w:ind w:firstLine="562" w:firstLineChars="200"/>
        <w:jc w:val="left"/>
        <w:rPr>
          <w:rFonts w:hint="eastAsia" w:ascii="仿宋_GB2312" w:hAnsi="仿宋_GB2312" w:eastAsia="仿宋_GB2312" w:cs="仿宋_GB2312"/>
          <w:color w:val="000000"/>
          <w:sz w:val="28"/>
          <w:szCs w:val="28"/>
        </w:rPr>
      </w:pPr>
      <w:bookmarkStart w:id="14" w:name="_Toc11854"/>
      <w:r>
        <w:rPr>
          <w:rFonts w:hint="eastAsia" w:ascii="仿宋_GB2312" w:hAnsi="仿宋_GB2312" w:eastAsia="仿宋_GB2312" w:cs="仿宋_GB2312"/>
          <w:color w:val="000000"/>
          <w:sz w:val="28"/>
          <w:szCs w:val="28"/>
        </w:rPr>
        <w:t>（十二）实地查勘期</w:t>
      </w:r>
      <w:bookmarkEnd w:id="14"/>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lang w:eastAsia="zh-CN"/>
        </w:rPr>
      </w:pPr>
      <w:r>
        <w:rPr>
          <w:rFonts w:hint="eastAsia" w:ascii="仿宋_GB2312" w:hAnsi="仿宋_GB2312" w:eastAsia="仿宋_GB2312" w:cs="仿宋_GB2312"/>
          <w:snapToGrid w:val="0"/>
          <w:kern w:val="0"/>
          <w:sz w:val="28"/>
          <w:szCs w:val="20"/>
          <w:lang w:eastAsia="zh-CN"/>
        </w:rPr>
        <w:t>202</w:t>
      </w:r>
      <w:r>
        <w:rPr>
          <w:rFonts w:hint="eastAsia" w:ascii="仿宋_GB2312" w:hAnsi="仿宋_GB2312" w:eastAsia="仿宋_GB2312" w:cs="仿宋_GB2312"/>
          <w:snapToGrid w:val="0"/>
          <w:kern w:val="0"/>
          <w:sz w:val="28"/>
          <w:szCs w:val="20"/>
          <w:lang w:val="en-US" w:eastAsia="zh-CN"/>
        </w:rPr>
        <w:t>2</w:t>
      </w:r>
      <w:r>
        <w:rPr>
          <w:rFonts w:hint="eastAsia" w:ascii="仿宋_GB2312" w:hAnsi="仿宋_GB2312" w:eastAsia="仿宋_GB2312" w:cs="仿宋_GB2312"/>
          <w:snapToGrid w:val="0"/>
          <w:kern w:val="0"/>
          <w:sz w:val="28"/>
          <w:szCs w:val="20"/>
          <w:lang w:eastAsia="zh-CN"/>
        </w:rPr>
        <w:t>年</w:t>
      </w:r>
      <w:r>
        <w:rPr>
          <w:rFonts w:hint="eastAsia" w:ascii="仿宋_GB2312" w:hAnsi="仿宋_GB2312" w:eastAsia="仿宋_GB2312" w:cs="仿宋_GB2312"/>
          <w:snapToGrid w:val="0"/>
          <w:kern w:val="0"/>
          <w:sz w:val="28"/>
          <w:szCs w:val="20"/>
          <w:lang w:val="en-US" w:eastAsia="zh-CN"/>
        </w:rPr>
        <w:t>06</w:t>
      </w:r>
      <w:r>
        <w:rPr>
          <w:rFonts w:hint="eastAsia" w:ascii="仿宋_GB2312" w:hAnsi="仿宋_GB2312" w:eastAsia="仿宋_GB2312" w:cs="仿宋_GB2312"/>
          <w:snapToGrid w:val="0"/>
          <w:kern w:val="0"/>
          <w:sz w:val="28"/>
          <w:szCs w:val="20"/>
          <w:lang w:eastAsia="zh-CN"/>
        </w:rPr>
        <w:t>月</w:t>
      </w:r>
      <w:r>
        <w:rPr>
          <w:rFonts w:hint="eastAsia" w:ascii="仿宋_GB2312" w:hAnsi="仿宋_GB2312" w:eastAsia="仿宋_GB2312" w:cs="仿宋_GB2312"/>
          <w:snapToGrid w:val="0"/>
          <w:kern w:val="0"/>
          <w:sz w:val="28"/>
          <w:szCs w:val="20"/>
          <w:lang w:val="en-US" w:eastAsia="zh-CN"/>
        </w:rPr>
        <w:t>07</w:t>
      </w:r>
      <w:r>
        <w:rPr>
          <w:rFonts w:hint="eastAsia" w:ascii="仿宋_GB2312" w:hAnsi="仿宋_GB2312" w:eastAsia="仿宋_GB2312" w:cs="仿宋_GB2312"/>
          <w:snapToGrid w:val="0"/>
          <w:kern w:val="0"/>
          <w:sz w:val="28"/>
          <w:szCs w:val="20"/>
          <w:lang w:eastAsia="zh-CN"/>
        </w:rPr>
        <w:t>日</w:t>
      </w:r>
    </w:p>
    <w:p>
      <w:pPr>
        <w:pStyle w:val="4"/>
        <w:keepLines w:val="0"/>
        <w:snapToGrid w:val="0"/>
        <w:spacing w:before="0" w:after="0" w:line="360" w:lineRule="auto"/>
        <w:ind w:firstLine="562" w:firstLineChars="200"/>
        <w:jc w:val="left"/>
        <w:rPr>
          <w:rFonts w:ascii="仿宋_GB2312" w:hAnsi="仿宋_GB2312" w:eastAsia="仿宋_GB2312" w:cs="仿宋_GB2312"/>
          <w:color w:val="000000"/>
          <w:sz w:val="28"/>
          <w:szCs w:val="28"/>
        </w:rPr>
      </w:pPr>
      <w:bookmarkStart w:id="15" w:name="_Toc23535"/>
      <w:r>
        <w:rPr>
          <w:rFonts w:hint="eastAsia" w:ascii="仿宋_GB2312" w:hAnsi="仿宋_GB2312" w:eastAsia="仿宋_GB2312" w:cs="仿宋_GB2312"/>
          <w:color w:val="000000"/>
          <w:sz w:val="28"/>
          <w:szCs w:val="28"/>
        </w:rPr>
        <w:t>（十三）估价作业日期</w:t>
      </w:r>
      <w:bookmarkEnd w:id="15"/>
    </w:p>
    <w:p>
      <w:pPr>
        <w:tabs>
          <w:tab w:val="left" w:pos="267"/>
        </w:tabs>
        <w:adjustRightInd w:val="0"/>
        <w:snapToGrid w:val="0"/>
        <w:spacing w:before="0" w:after="0" w:line="360" w:lineRule="auto"/>
        <w:ind w:firstLine="560" w:firstLineChars="200"/>
        <w:jc w:val="left"/>
        <w:rPr>
          <w:rFonts w:hint="eastAsia" w:ascii="仿宋_GB2312" w:hAnsi="仿宋_GB2312" w:eastAsia="仿宋_GB2312" w:cs="仿宋_GB2312"/>
          <w:snapToGrid w:val="0"/>
          <w:kern w:val="0"/>
          <w:sz w:val="28"/>
          <w:szCs w:val="20"/>
        </w:rPr>
        <w:sectPr>
          <w:footerReference r:id="rId8" w:type="default"/>
          <w:pgSz w:w="11906" w:h="16838"/>
          <w:pgMar w:top="1984" w:right="1440" w:bottom="1440" w:left="1440" w:header="471" w:footer="992" w:gutter="0"/>
          <w:pgNumType w:fmt="decimal" w:start="1"/>
          <w:cols w:space="720" w:num="1"/>
          <w:docGrid w:type="lines" w:linePitch="312" w:charSpace="0"/>
        </w:sectPr>
      </w:pPr>
      <w:r>
        <w:rPr>
          <w:rFonts w:hint="eastAsia" w:ascii="仿宋_GB2312" w:hAnsi="仿宋_GB2312" w:eastAsia="仿宋_GB2312" w:cs="仿宋_GB2312"/>
          <w:snapToGrid w:val="0"/>
          <w:kern w:val="0"/>
          <w:sz w:val="28"/>
          <w:szCs w:val="20"/>
          <w:lang w:eastAsia="zh-CN"/>
        </w:rPr>
        <w:t>202</w:t>
      </w:r>
      <w:r>
        <w:rPr>
          <w:rFonts w:hint="eastAsia" w:ascii="仿宋_GB2312" w:hAnsi="仿宋_GB2312" w:eastAsia="仿宋_GB2312" w:cs="仿宋_GB2312"/>
          <w:snapToGrid w:val="0"/>
          <w:kern w:val="0"/>
          <w:sz w:val="28"/>
          <w:szCs w:val="20"/>
          <w:lang w:val="en-US" w:eastAsia="zh-CN"/>
        </w:rPr>
        <w:t>2</w:t>
      </w:r>
      <w:r>
        <w:rPr>
          <w:rFonts w:hint="eastAsia" w:ascii="仿宋_GB2312" w:hAnsi="仿宋_GB2312" w:eastAsia="仿宋_GB2312" w:cs="仿宋_GB2312"/>
          <w:snapToGrid w:val="0"/>
          <w:kern w:val="0"/>
          <w:sz w:val="28"/>
          <w:szCs w:val="20"/>
          <w:lang w:eastAsia="zh-CN"/>
        </w:rPr>
        <w:t>年</w:t>
      </w:r>
      <w:r>
        <w:rPr>
          <w:rFonts w:hint="eastAsia" w:ascii="仿宋_GB2312" w:hAnsi="仿宋_GB2312" w:eastAsia="仿宋_GB2312" w:cs="仿宋_GB2312"/>
          <w:snapToGrid w:val="0"/>
          <w:kern w:val="0"/>
          <w:sz w:val="28"/>
          <w:szCs w:val="20"/>
          <w:lang w:val="en-US" w:eastAsia="zh-CN"/>
        </w:rPr>
        <w:t>06</w:t>
      </w:r>
      <w:r>
        <w:rPr>
          <w:rFonts w:hint="eastAsia" w:ascii="仿宋_GB2312" w:hAnsi="仿宋_GB2312" w:eastAsia="仿宋_GB2312" w:cs="仿宋_GB2312"/>
          <w:snapToGrid w:val="0"/>
          <w:kern w:val="0"/>
          <w:sz w:val="28"/>
          <w:szCs w:val="20"/>
          <w:lang w:eastAsia="zh-CN"/>
        </w:rPr>
        <w:t>月</w:t>
      </w:r>
      <w:r>
        <w:rPr>
          <w:rFonts w:hint="eastAsia" w:ascii="仿宋_GB2312" w:hAnsi="仿宋_GB2312" w:eastAsia="仿宋_GB2312" w:cs="仿宋_GB2312"/>
          <w:snapToGrid w:val="0"/>
          <w:kern w:val="0"/>
          <w:sz w:val="28"/>
          <w:szCs w:val="20"/>
          <w:lang w:val="en-US" w:eastAsia="zh-CN"/>
        </w:rPr>
        <w:t>07</w:t>
      </w:r>
      <w:r>
        <w:rPr>
          <w:rFonts w:hint="eastAsia" w:ascii="仿宋_GB2312" w:hAnsi="仿宋_GB2312" w:eastAsia="仿宋_GB2312" w:cs="仿宋_GB2312"/>
          <w:snapToGrid w:val="0"/>
          <w:kern w:val="0"/>
          <w:sz w:val="28"/>
          <w:szCs w:val="20"/>
          <w:lang w:eastAsia="zh-CN"/>
        </w:rPr>
        <w:t>日</w:t>
      </w:r>
      <w:r>
        <w:rPr>
          <w:rFonts w:hint="eastAsia" w:ascii="仿宋_GB2312" w:hAnsi="仿宋_GB2312" w:eastAsia="仿宋_GB2312" w:cs="仿宋_GB2312"/>
          <w:snapToGrid w:val="0"/>
          <w:kern w:val="0"/>
          <w:sz w:val="28"/>
          <w:szCs w:val="20"/>
        </w:rPr>
        <w:t>至</w:t>
      </w:r>
      <w:r>
        <w:rPr>
          <w:rFonts w:hint="eastAsia" w:ascii="仿宋_GB2312" w:hAnsi="仿宋_GB2312" w:eastAsia="仿宋_GB2312" w:cs="仿宋_GB2312"/>
          <w:snapToGrid w:val="0"/>
          <w:kern w:val="0"/>
          <w:sz w:val="28"/>
          <w:szCs w:val="20"/>
          <w:lang w:eastAsia="zh-CN"/>
        </w:rPr>
        <w:t>202</w:t>
      </w:r>
      <w:r>
        <w:rPr>
          <w:rFonts w:hint="eastAsia" w:ascii="仿宋_GB2312" w:hAnsi="仿宋_GB2312" w:eastAsia="仿宋_GB2312" w:cs="仿宋_GB2312"/>
          <w:snapToGrid w:val="0"/>
          <w:kern w:val="0"/>
          <w:sz w:val="28"/>
          <w:szCs w:val="20"/>
          <w:lang w:val="en-US" w:eastAsia="zh-CN"/>
        </w:rPr>
        <w:t>2</w:t>
      </w:r>
      <w:r>
        <w:rPr>
          <w:rFonts w:hint="eastAsia" w:ascii="仿宋_GB2312" w:hAnsi="仿宋_GB2312" w:eastAsia="仿宋_GB2312" w:cs="仿宋_GB2312"/>
          <w:snapToGrid w:val="0"/>
          <w:kern w:val="0"/>
          <w:sz w:val="28"/>
          <w:szCs w:val="20"/>
          <w:lang w:eastAsia="zh-CN"/>
        </w:rPr>
        <w:t>年</w:t>
      </w:r>
      <w:r>
        <w:rPr>
          <w:rFonts w:hint="eastAsia" w:ascii="仿宋_GB2312" w:hAnsi="仿宋_GB2312" w:eastAsia="仿宋_GB2312" w:cs="仿宋_GB2312"/>
          <w:snapToGrid w:val="0"/>
          <w:kern w:val="0"/>
          <w:sz w:val="28"/>
          <w:szCs w:val="20"/>
          <w:lang w:val="en-US" w:eastAsia="zh-CN"/>
        </w:rPr>
        <w:t>06</w:t>
      </w:r>
      <w:r>
        <w:rPr>
          <w:rFonts w:hint="eastAsia" w:ascii="仿宋_GB2312" w:hAnsi="仿宋_GB2312" w:eastAsia="仿宋_GB2312" w:cs="仿宋_GB2312"/>
          <w:snapToGrid w:val="0"/>
          <w:kern w:val="0"/>
          <w:sz w:val="28"/>
          <w:szCs w:val="20"/>
          <w:lang w:eastAsia="zh-CN"/>
        </w:rPr>
        <w:t>月</w:t>
      </w:r>
      <w:r>
        <w:rPr>
          <w:rFonts w:hint="eastAsia" w:ascii="仿宋_GB2312" w:hAnsi="仿宋_GB2312" w:eastAsia="仿宋_GB2312" w:cs="仿宋_GB2312"/>
          <w:snapToGrid w:val="0"/>
          <w:kern w:val="0"/>
          <w:sz w:val="28"/>
          <w:szCs w:val="20"/>
          <w:lang w:val="en-US" w:eastAsia="zh-CN"/>
        </w:rPr>
        <w:t>27</w:t>
      </w:r>
      <w:r>
        <w:rPr>
          <w:rFonts w:hint="eastAsia" w:ascii="仿宋_GB2312" w:hAnsi="仿宋_GB2312" w:eastAsia="仿宋_GB2312" w:cs="仿宋_GB2312"/>
          <w:snapToGrid w:val="0"/>
          <w:kern w:val="0"/>
          <w:sz w:val="28"/>
          <w:szCs w:val="20"/>
          <w:lang w:eastAsia="zh-CN"/>
        </w:rPr>
        <w:t>日</w:t>
      </w:r>
    </w:p>
    <w:p>
      <w:pPr>
        <w:pStyle w:val="22"/>
        <w:spacing w:before="0" w:after="0" w:line="360" w:lineRule="auto"/>
        <w:jc w:val="center"/>
        <w:rPr>
          <w:rFonts w:ascii="Times New Roman" w:hAnsi="Times New Roman" w:eastAsia="仿宋_GB2312"/>
          <w:color w:val="000000"/>
        </w:rPr>
      </w:pPr>
      <w:bookmarkStart w:id="16" w:name="_Toc3648"/>
      <w:r>
        <w:rPr>
          <w:rFonts w:hint="eastAsia" w:ascii="Times New Roman" w:hAnsi="Times New Roman" w:eastAsia="仿宋_GB2312"/>
          <w:color w:val="000000"/>
        </w:rPr>
        <w:t>四</w:t>
      </w:r>
      <w:r>
        <w:rPr>
          <w:rFonts w:ascii="Times New Roman" w:hAnsi="Times New Roman" w:eastAsia="仿宋_GB2312"/>
          <w:color w:val="000000"/>
        </w:rPr>
        <w:t>、附 件</w:t>
      </w:r>
      <w:bookmarkEnd w:id="16"/>
    </w:p>
    <w:p>
      <w:pPr>
        <w:spacing w:before="312" w:beforeLines="100" w:after="0" w:line="360" w:lineRule="auto"/>
        <w:ind w:firstLine="1120" w:firstLineChars="400"/>
        <w:rPr>
          <w:rFonts w:eastAsia="仿宋_GB2312"/>
          <w:color w:val="000000"/>
          <w:sz w:val="28"/>
          <w:szCs w:val="28"/>
        </w:rPr>
      </w:pPr>
      <w:r>
        <w:rPr>
          <w:rFonts w:hint="eastAsia" w:ascii="仿宋_GB2312" w:hAnsi="宋体" w:eastAsia="仿宋_GB2312" w:cs="仿宋_GB2312"/>
          <w:sz w:val="28"/>
        </w:rPr>
        <w:t>附件1：估价委托书复印件</w:t>
      </w:r>
      <w:bookmarkStart w:id="17" w:name="_GoBack"/>
      <w:bookmarkEnd w:id="17"/>
    </w:p>
    <w:p>
      <w:pPr>
        <w:spacing w:before="0" w:after="0" w:line="360" w:lineRule="auto"/>
        <w:ind w:firstLine="1120" w:firstLineChars="400"/>
        <w:rPr>
          <w:rFonts w:eastAsia="仿宋_GB2312"/>
          <w:color w:val="000000"/>
          <w:sz w:val="28"/>
          <w:szCs w:val="28"/>
        </w:rPr>
      </w:pPr>
      <w:r>
        <w:rPr>
          <w:rFonts w:hint="eastAsia" w:ascii="仿宋_GB2312" w:hAnsi="宋体" w:eastAsia="仿宋_GB2312" w:cs="仿宋_GB2312"/>
          <w:sz w:val="28"/>
        </w:rPr>
        <w:t>附件2：</w:t>
      </w:r>
      <w:r>
        <w:rPr>
          <w:rFonts w:eastAsia="仿宋_GB2312"/>
          <w:color w:val="000000"/>
          <w:sz w:val="28"/>
          <w:szCs w:val="28"/>
        </w:rPr>
        <w:t>估价对象位置图</w:t>
      </w:r>
    </w:p>
    <w:p>
      <w:pPr>
        <w:spacing w:before="0" w:after="0" w:line="360" w:lineRule="auto"/>
        <w:ind w:firstLine="1120" w:firstLineChars="400"/>
        <w:rPr>
          <w:rFonts w:eastAsia="仿宋_GB2312"/>
          <w:color w:val="000000"/>
          <w:sz w:val="28"/>
          <w:szCs w:val="28"/>
        </w:rPr>
      </w:pPr>
      <w:r>
        <w:rPr>
          <w:rFonts w:hint="eastAsia" w:ascii="仿宋_GB2312" w:hAnsi="宋体" w:eastAsia="仿宋_GB2312" w:cs="仿宋_GB2312"/>
          <w:sz w:val="28"/>
        </w:rPr>
        <w:t>附件3：估价对象现场查勘照片</w:t>
      </w:r>
    </w:p>
    <w:p>
      <w:pPr>
        <w:spacing w:before="0" w:after="0" w:line="360" w:lineRule="auto"/>
        <w:ind w:firstLine="1120" w:firstLineChars="400"/>
        <w:rPr>
          <w:rFonts w:eastAsia="仿宋_GB2312"/>
          <w:color w:val="000000"/>
          <w:sz w:val="28"/>
          <w:szCs w:val="28"/>
        </w:rPr>
      </w:pPr>
      <w:r>
        <w:rPr>
          <w:rFonts w:hint="eastAsia" w:ascii="仿宋_GB2312" w:hAnsi="宋体" w:eastAsia="仿宋_GB2312" w:cs="仿宋_GB2312"/>
          <w:sz w:val="28"/>
        </w:rPr>
        <w:t>附件4：</w:t>
      </w:r>
      <w:r>
        <w:rPr>
          <w:rFonts w:eastAsia="仿宋_GB2312"/>
          <w:color w:val="000000"/>
          <w:sz w:val="28"/>
          <w:szCs w:val="28"/>
        </w:rPr>
        <w:t>估价对象产权资料复印件</w:t>
      </w:r>
    </w:p>
    <w:p>
      <w:pPr>
        <w:spacing w:before="0" w:after="0" w:line="360" w:lineRule="auto"/>
        <w:ind w:firstLine="1120" w:firstLineChars="400"/>
        <w:rPr>
          <w:rFonts w:eastAsia="仿宋_GB2312"/>
          <w:color w:val="000000"/>
          <w:sz w:val="28"/>
          <w:szCs w:val="28"/>
        </w:rPr>
      </w:pPr>
      <w:r>
        <w:rPr>
          <w:rFonts w:hint="eastAsia" w:ascii="仿宋_GB2312" w:hAnsi="宋体" w:eastAsia="仿宋_GB2312" w:cs="仿宋_GB2312"/>
          <w:sz w:val="28"/>
        </w:rPr>
        <w:t>附件5：</w:t>
      </w:r>
      <w:r>
        <w:rPr>
          <w:rFonts w:eastAsia="仿宋_GB2312"/>
          <w:color w:val="000000"/>
          <w:sz w:val="28"/>
          <w:szCs w:val="28"/>
        </w:rPr>
        <w:t>房地产估价机构企业营业执照复印件</w:t>
      </w:r>
    </w:p>
    <w:p>
      <w:pPr>
        <w:spacing w:before="0" w:after="0" w:line="360" w:lineRule="auto"/>
        <w:ind w:firstLine="1120" w:firstLineChars="400"/>
        <w:rPr>
          <w:rFonts w:eastAsia="仿宋_GB2312"/>
          <w:color w:val="000000"/>
          <w:sz w:val="28"/>
          <w:szCs w:val="28"/>
        </w:rPr>
      </w:pPr>
      <w:r>
        <w:rPr>
          <w:rFonts w:hint="eastAsia" w:ascii="仿宋_GB2312" w:hAnsi="宋体" w:eastAsia="仿宋_GB2312" w:cs="仿宋_GB2312"/>
          <w:sz w:val="28"/>
        </w:rPr>
        <w:t>附件6：</w:t>
      </w:r>
      <w:r>
        <w:rPr>
          <w:rFonts w:eastAsia="仿宋_GB2312"/>
          <w:color w:val="000000"/>
          <w:sz w:val="28"/>
          <w:szCs w:val="28"/>
        </w:rPr>
        <w:t>房地产估价机构资质证书复印件</w:t>
      </w:r>
    </w:p>
    <w:p>
      <w:pPr>
        <w:spacing w:before="0" w:after="0" w:line="360" w:lineRule="auto"/>
        <w:ind w:firstLine="1120" w:firstLineChars="400"/>
        <w:rPr>
          <w:rFonts w:eastAsia="仿宋_GB2312"/>
          <w:color w:val="000000"/>
          <w:sz w:val="28"/>
          <w:szCs w:val="28"/>
        </w:rPr>
      </w:pPr>
      <w:r>
        <w:rPr>
          <w:rFonts w:hint="eastAsia" w:ascii="仿宋_GB2312" w:hAnsi="宋体" w:eastAsia="仿宋_GB2312" w:cs="仿宋_GB2312"/>
          <w:sz w:val="28"/>
        </w:rPr>
        <w:t>附件7：</w:t>
      </w:r>
      <w:r>
        <w:rPr>
          <w:rFonts w:eastAsia="仿宋_GB2312"/>
          <w:color w:val="000000"/>
          <w:sz w:val="28"/>
          <w:szCs w:val="28"/>
        </w:rPr>
        <w:t>注册房地产估价师执业证书复印件</w:t>
      </w:r>
    </w:p>
    <w:p>
      <w:pPr>
        <w:spacing w:before="0" w:after="0" w:line="360" w:lineRule="auto"/>
        <w:ind w:firstLine="1120" w:firstLineChars="400"/>
        <w:rPr>
          <w:rFonts w:eastAsia="仿宋_GB2312"/>
          <w:color w:val="000000"/>
          <w:sz w:val="28"/>
          <w:szCs w:val="28"/>
        </w:rPr>
      </w:pPr>
    </w:p>
    <w:p>
      <w:pPr>
        <w:spacing w:before="0" w:after="0"/>
        <w:jc w:val="center"/>
        <w:rPr>
          <w:rFonts w:hint="eastAsia" w:ascii="仿宋_GB2312" w:eastAsia="仿宋_GB2312" w:cs="仿宋_GB2312"/>
          <w:lang w:eastAsia="zh-CN"/>
        </w:rPr>
      </w:pPr>
    </w:p>
    <w:sectPr>
      <w:pgSz w:w="11906" w:h="16838"/>
      <w:pgMar w:top="1984" w:right="1440" w:bottom="1440" w:left="1440" w:header="47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A00002EF" w:usb1="4000004B" w:usb2="00000000" w:usb3="00000000" w:csb0="200000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8"/>
      </w:rPr>
    </w:pPr>
    <w:r>
      <w:fldChar w:fldCharType="begin"/>
    </w:r>
    <w:r>
      <w:rPr>
        <w:rStyle w:val="28"/>
      </w:rPr>
      <w:instrText xml:space="preserve">PAGE  </w:instrText>
    </w:r>
    <w:r>
      <w:fldChar w:fldCharType="separate"/>
    </w:r>
    <w:r>
      <w:rPr>
        <w:rStyle w:val="28"/>
      </w:rPr>
      <w:t>25</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8"/>
      </w:rPr>
    </w:pPr>
    <w:r>
      <w:fldChar w:fldCharType="begin"/>
    </w:r>
    <w:r>
      <w:rPr>
        <w:rStyle w:val="28"/>
      </w:rPr>
      <w:instrText xml:space="preserve">PAGE  </w:instrText>
    </w:r>
    <w:r>
      <w:fldChar w:fldCharType="separate"/>
    </w:r>
    <w:r>
      <w:rPr>
        <w:rStyle w:val="28"/>
      </w:rPr>
      <w:t>25</w:t>
    </w:r>
    <w:r>
      <w:fldChar w:fldCharType="end"/>
    </w:r>
  </w:p>
  <w:p>
    <w:pPr>
      <w:pStyle w:val="1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l05M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K&#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m5dOTIAQAAmQMAAA4AAAAAAAAAAQAgAAAAHgEAAGRycy9lMm9Eb2Mu&#10;eG1sUEsFBgAAAAAGAAYAWQEAAFgFA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pPr>
    <w:r>
      <w:rPr>
        <w:sz w:val="21"/>
      </w:rPr>
      <w:pict>
        <v:shape id="PowerPlusWaterMarkObject40885" o:spid="_x0000_s2051" o:spt="136" type="#_x0000_t136" style="position:absolute;left:0pt;height:66.4pt;width:203.4pt;mso-position-horizontal:center;mso-position-horizontal-relative:margin;mso-position-vertical:center;mso-position-vertical-relative:margin;rotation:-2949120f;z-index:-251656192;mso-width-relative:page;mso-height-relative:page;" fillcolor="#C0C0C0" filled="t" stroked="f" coordsize="21600,21600" adj="10800">
          <v:path/>
          <v:fill on="t" opacity="32768f" focussize="0,0"/>
          <v:stroke on="f"/>
          <v:imagedata o:title=""/>
          <o:lock v:ext="edit" aspectratio="t"/>
          <v:textpath on="t" fitshape="t" fitpath="t" trim="t" xscale="f" string="天禄评估" style="font-family:微软雅黑;font-size:66pt;v-same-letter-heights:f;v-text-align:center;"/>
        </v:shape>
      </w:pict>
    </w:r>
    <w:r>
      <w:drawing>
        <wp:inline distT="0" distB="0" distL="0" distR="0">
          <wp:extent cx="1583055" cy="464185"/>
          <wp:effectExtent l="19050" t="0" r="0" b="0"/>
          <wp:docPr id="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8"/>
                  <pic:cNvPicPr>
                    <a:picLocks noChangeAspect="1" noChangeArrowheads="1"/>
                  </pic:cNvPicPr>
                </pic:nvPicPr>
                <pic:blipFill>
                  <a:blip r:embed="rId1"/>
                  <a:stretch>
                    <a:fillRect/>
                  </a:stretch>
                </pic:blipFill>
                <pic:spPr>
                  <a:xfrm>
                    <a:off x="0" y="0"/>
                    <a:ext cx="1583055" cy="464185"/>
                  </a:xfrm>
                  <a:prstGeom prst="rect">
                    <a:avLst/>
                  </a:prstGeom>
                  <a:noFill/>
                  <a:ln w="9525">
                    <a:noFill/>
                    <a:miter lim="800000"/>
                    <a:headEnd/>
                    <a:tailEnd/>
                  </a:ln>
                </pic:spPr>
              </pic:pic>
            </a:graphicData>
          </a:graphic>
        </wp:inline>
      </w:drawing>
    </w:r>
    <w:r>
      <w:rPr>
        <w:rFonts w:hint="eastAsia" w:eastAsia="华文行楷"/>
        <w:color w:val="FF0000"/>
      </w:rPr>
      <w:t xml:space="preserve">   </w:t>
    </w:r>
    <w:r>
      <w:rPr>
        <w:rFonts w:eastAsia="华文行楷"/>
        <w:color w:val="FF0000"/>
      </w:rPr>
      <w:t xml:space="preserve">    </w:t>
    </w:r>
    <w:r>
      <w:rPr>
        <w:rFonts w:hint="eastAsia" w:eastAsia="华文行楷"/>
        <w:color w:val="FF0000"/>
      </w:rPr>
      <w:t xml:space="preserve">        </w:t>
    </w:r>
    <w:r>
      <w:rPr>
        <w:rFonts w:eastAsia="华文行楷"/>
        <w:color w:val="FF0000"/>
      </w:rPr>
      <w:t xml:space="preserve">         </w:t>
    </w:r>
    <w:r>
      <w:rPr>
        <w:rFonts w:hint="eastAsia" w:eastAsia="华文行楷"/>
        <w:color w:val="FF0000"/>
      </w:rPr>
      <w:t xml:space="preserve">          </w:t>
    </w:r>
    <w:r>
      <w:rPr>
        <w:rFonts w:hint="eastAsia" w:eastAsia="华文行楷"/>
        <w:color w:val="FF0000"/>
      </w:rPr>
      <w:drawing>
        <wp:inline distT="0" distB="0" distL="0" distR="0">
          <wp:extent cx="1801495" cy="457200"/>
          <wp:effectExtent l="19050" t="0" r="8255" b="0"/>
          <wp:docPr id="3"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9"/>
                  <pic:cNvPicPr>
                    <a:picLocks noChangeAspect="1" noChangeArrowheads="1"/>
                  </pic:cNvPicPr>
                </pic:nvPicPr>
                <pic:blipFill>
                  <a:blip r:embed="rId2"/>
                  <a:stretch>
                    <a:fillRect/>
                  </a:stretch>
                </pic:blipFill>
                <pic:spPr>
                  <a:xfrm>
                    <a:off x="0" y="0"/>
                    <a:ext cx="1801495" cy="4572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k2ZTcyM2I1MmYwMTgxYzY5ZjBhMGVjN2U2NzIxZDgifQ=="/>
  </w:docVars>
  <w:rsids>
    <w:rsidRoot w:val="00000000"/>
    <w:rsid w:val="00481626"/>
    <w:rsid w:val="01962A5C"/>
    <w:rsid w:val="02B907B6"/>
    <w:rsid w:val="0520353B"/>
    <w:rsid w:val="06241F76"/>
    <w:rsid w:val="070802F8"/>
    <w:rsid w:val="0ABD39B3"/>
    <w:rsid w:val="0ACE448E"/>
    <w:rsid w:val="0B3E0CD3"/>
    <w:rsid w:val="0B98596E"/>
    <w:rsid w:val="10033249"/>
    <w:rsid w:val="100C09E2"/>
    <w:rsid w:val="114B74B9"/>
    <w:rsid w:val="11D16F16"/>
    <w:rsid w:val="122669D8"/>
    <w:rsid w:val="12D4021E"/>
    <w:rsid w:val="12DB389B"/>
    <w:rsid w:val="134D4AF6"/>
    <w:rsid w:val="139B31B4"/>
    <w:rsid w:val="151E2518"/>
    <w:rsid w:val="152E5EF1"/>
    <w:rsid w:val="169E7EB9"/>
    <w:rsid w:val="16FE2FD4"/>
    <w:rsid w:val="17C62751"/>
    <w:rsid w:val="17D228ED"/>
    <w:rsid w:val="195F334A"/>
    <w:rsid w:val="19D44D7E"/>
    <w:rsid w:val="1AA54823"/>
    <w:rsid w:val="1B1E0DFF"/>
    <w:rsid w:val="1BBF51ED"/>
    <w:rsid w:val="1C0B6D31"/>
    <w:rsid w:val="1C813C63"/>
    <w:rsid w:val="1DAD68C3"/>
    <w:rsid w:val="1DE678BE"/>
    <w:rsid w:val="1F0E3240"/>
    <w:rsid w:val="1F2B510E"/>
    <w:rsid w:val="20BC3474"/>
    <w:rsid w:val="20F83D90"/>
    <w:rsid w:val="21025F16"/>
    <w:rsid w:val="21475A6C"/>
    <w:rsid w:val="22D447A0"/>
    <w:rsid w:val="28626A81"/>
    <w:rsid w:val="28C27439"/>
    <w:rsid w:val="2B1520A2"/>
    <w:rsid w:val="2B3C6BDB"/>
    <w:rsid w:val="2B7A0DFE"/>
    <w:rsid w:val="2B8943E8"/>
    <w:rsid w:val="2C966705"/>
    <w:rsid w:val="2CD62ED8"/>
    <w:rsid w:val="31A82002"/>
    <w:rsid w:val="31C05019"/>
    <w:rsid w:val="3245632C"/>
    <w:rsid w:val="328F2A1B"/>
    <w:rsid w:val="32D571A3"/>
    <w:rsid w:val="34771AF9"/>
    <w:rsid w:val="35875BE3"/>
    <w:rsid w:val="358D6333"/>
    <w:rsid w:val="35BD5D10"/>
    <w:rsid w:val="36124251"/>
    <w:rsid w:val="392A565B"/>
    <w:rsid w:val="39BE0A0F"/>
    <w:rsid w:val="3A135412"/>
    <w:rsid w:val="3A496813"/>
    <w:rsid w:val="3B4419CB"/>
    <w:rsid w:val="3BCB7603"/>
    <w:rsid w:val="3C9B4BF6"/>
    <w:rsid w:val="3DC97671"/>
    <w:rsid w:val="3F752BB8"/>
    <w:rsid w:val="3FF82C6E"/>
    <w:rsid w:val="422457D8"/>
    <w:rsid w:val="42B164EC"/>
    <w:rsid w:val="42D21D8C"/>
    <w:rsid w:val="434C7A13"/>
    <w:rsid w:val="44C87E23"/>
    <w:rsid w:val="45096927"/>
    <w:rsid w:val="4699741E"/>
    <w:rsid w:val="479B4CCF"/>
    <w:rsid w:val="49BB4125"/>
    <w:rsid w:val="4A9A5FE8"/>
    <w:rsid w:val="4CC24D4E"/>
    <w:rsid w:val="4E454EC2"/>
    <w:rsid w:val="4FAD6EAD"/>
    <w:rsid w:val="4FF600E8"/>
    <w:rsid w:val="56FA54C2"/>
    <w:rsid w:val="570201C2"/>
    <w:rsid w:val="587B4021"/>
    <w:rsid w:val="59487052"/>
    <w:rsid w:val="5A3474A7"/>
    <w:rsid w:val="5A3910BE"/>
    <w:rsid w:val="5AB13417"/>
    <w:rsid w:val="5AC55A2C"/>
    <w:rsid w:val="625336C6"/>
    <w:rsid w:val="63F92B1F"/>
    <w:rsid w:val="642C0AD7"/>
    <w:rsid w:val="64A5382A"/>
    <w:rsid w:val="652A4208"/>
    <w:rsid w:val="65AB2A98"/>
    <w:rsid w:val="661E2DA2"/>
    <w:rsid w:val="6694331C"/>
    <w:rsid w:val="66E71979"/>
    <w:rsid w:val="6761740A"/>
    <w:rsid w:val="676F498A"/>
    <w:rsid w:val="67B01438"/>
    <w:rsid w:val="6A77641B"/>
    <w:rsid w:val="6BFA03D0"/>
    <w:rsid w:val="6C8A148E"/>
    <w:rsid w:val="70125E9D"/>
    <w:rsid w:val="70E62BB2"/>
    <w:rsid w:val="70EF2721"/>
    <w:rsid w:val="71203F34"/>
    <w:rsid w:val="735C62EE"/>
    <w:rsid w:val="735D2845"/>
    <w:rsid w:val="73F24FE4"/>
    <w:rsid w:val="75593B86"/>
    <w:rsid w:val="76850C9F"/>
    <w:rsid w:val="790D6594"/>
    <w:rsid w:val="7B607492"/>
    <w:rsid w:val="7CA1175D"/>
    <w:rsid w:val="7CDD1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qFormat="1" w:unhideWhenUsed="0" w:uiPriority="0"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99"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qFormat="1" w:unhideWhenUsed="0" w:uiPriority="0" w:semiHidden="0" w:name="HTML Preformatted"/>
    <w:lsdException w:qFormat="1" w:uiPriority="0" w:name="HTML Sample"/>
    <w:lsdException w:uiPriority="0" w:name="HTML Typewriter"/>
    <w:lsdException w:qFormat="1"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240" w:after="60" w:line="276"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pacing w:line="360" w:lineRule="auto"/>
      <w:ind w:left="128"/>
      <w:jc w:val="left"/>
      <w:outlineLvl w:val="0"/>
    </w:pPr>
    <w:rPr>
      <w:rFonts w:ascii="宋体" w:hAnsi="宋体" w:eastAsia="仿宋_GB2312"/>
      <w:b/>
      <w:sz w:val="28"/>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5">
    <w:name w:val="heading 4"/>
    <w:basedOn w:val="1"/>
    <w:next w:val="1"/>
    <w:qFormat/>
    <w:uiPriority w:val="0"/>
    <w:pPr>
      <w:keepNext/>
      <w:keepLines/>
      <w:tabs>
        <w:tab w:val="left" w:pos="6264"/>
      </w:tabs>
      <w:ind w:left="5400"/>
      <w:outlineLvl w:val="3"/>
    </w:pPr>
    <w:rPr>
      <w:rFonts w:ascii="华文细黑" w:hAnsi="Arial" w:eastAsia="华文细黑"/>
      <w:b/>
      <w:bCs/>
      <w:sz w:val="22"/>
      <w:szCs w:val="22"/>
      <w:u w:val="single"/>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6">
    <w:name w:val="annotation text"/>
    <w:basedOn w:val="1"/>
    <w:qFormat/>
    <w:uiPriority w:val="0"/>
    <w:pPr>
      <w:jc w:val="left"/>
    </w:pPr>
  </w:style>
  <w:style w:type="paragraph" w:styleId="7">
    <w:name w:val="Body Text"/>
    <w:basedOn w:val="1"/>
    <w:qFormat/>
    <w:uiPriority w:val="0"/>
    <w:rPr>
      <w:sz w:val="30"/>
      <w:szCs w:val="20"/>
    </w:rPr>
  </w:style>
  <w:style w:type="paragraph" w:styleId="8">
    <w:name w:val="Body Text Indent"/>
    <w:basedOn w:val="1"/>
    <w:qFormat/>
    <w:uiPriority w:val="0"/>
    <w:pPr>
      <w:spacing w:line="300" w:lineRule="auto"/>
      <w:ind w:firstLine="480" w:firstLineChars="200"/>
    </w:pPr>
    <w:rPr>
      <w:rFonts w:ascii="宋体" w:hAnsi="宋体"/>
      <w:sz w:val="24"/>
    </w:rPr>
  </w:style>
  <w:style w:type="paragraph" w:styleId="9">
    <w:name w:val="Plain Text"/>
    <w:basedOn w:val="1"/>
    <w:qFormat/>
    <w:uiPriority w:val="0"/>
    <w:rPr>
      <w:rFonts w:ascii="宋体" w:hAnsi="Courier New"/>
      <w:szCs w:val="21"/>
    </w:rPr>
  </w:style>
  <w:style w:type="paragraph" w:styleId="10">
    <w:name w:val="Date"/>
    <w:basedOn w:val="1"/>
    <w:next w:val="1"/>
    <w:qFormat/>
    <w:uiPriority w:val="0"/>
    <w:rPr>
      <w:rFonts w:ascii="楷体_GB2312" w:eastAsia="楷体_GB2312"/>
      <w:spacing w:val="10"/>
      <w:sz w:val="24"/>
      <w:szCs w:val="20"/>
    </w:rPr>
  </w:style>
  <w:style w:type="paragraph" w:styleId="11">
    <w:name w:val="Body Text Indent 2"/>
    <w:basedOn w:val="1"/>
    <w:qFormat/>
    <w:uiPriority w:val="0"/>
    <w:pPr>
      <w:spacing w:after="120" w:line="480" w:lineRule="auto"/>
      <w:ind w:left="420" w:leftChars="200"/>
    </w:pPr>
  </w:style>
  <w:style w:type="paragraph" w:styleId="12">
    <w:name w:val="Balloon Text"/>
    <w:basedOn w:val="1"/>
    <w:qFormat/>
    <w:uiPriority w:val="0"/>
    <w:rPr>
      <w:sz w:val="18"/>
      <w:szCs w:val="18"/>
    </w:rPr>
  </w:style>
  <w:style w:type="paragraph" w:styleId="13">
    <w:name w:val="footer"/>
    <w:basedOn w:val="1"/>
    <w:qFormat/>
    <w:uiPriority w:val="0"/>
    <w:pPr>
      <w:tabs>
        <w:tab w:val="center" w:pos="4153"/>
        <w:tab w:val="right" w:pos="8306"/>
      </w:tabs>
      <w:snapToGrid w:val="0"/>
      <w:jc w:val="left"/>
    </w:pPr>
    <w:rPr>
      <w:rFonts w:ascii="Arial" w:hAnsi="Arial" w:eastAsia="幼圆"/>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rFonts w:ascii="Arial" w:hAnsi="Arial" w:eastAsia="幼圆"/>
      <w:sz w:val="18"/>
      <w:szCs w:val="18"/>
    </w:rPr>
  </w:style>
  <w:style w:type="paragraph" w:styleId="15">
    <w:name w:val="toc 1"/>
    <w:basedOn w:val="1"/>
    <w:next w:val="1"/>
    <w:qFormat/>
    <w:uiPriority w:val="39"/>
  </w:style>
  <w:style w:type="paragraph" w:styleId="16">
    <w:name w:val="Body Text Indent 3"/>
    <w:basedOn w:val="1"/>
    <w:qFormat/>
    <w:uiPriority w:val="0"/>
    <w:pPr>
      <w:spacing w:after="120"/>
      <w:ind w:left="420" w:leftChars="200"/>
    </w:pPr>
    <w:rPr>
      <w:sz w:val="16"/>
      <w:szCs w:val="16"/>
    </w:rPr>
  </w:style>
  <w:style w:type="paragraph" w:styleId="17">
    <w:name w:val="table of figures"/>
    <w:basedOn w:val="1"/>
    <w:next w:val="1"/>
    <w:qFormat/>
    <w:uiPriority w:val="0"/>
    <w:pPr>
      <w:spacing w:before="120" w:after="120"/>
      <w:ind w:left="840" w:hanging="420"/>
      <w:jc w:val="center"/>
    </w:pPr>
    <w:rPr>
      <w:rFonts w:eastAsia="黑体"/>
      <w:szCs w:val="20"/>
    </w:rPr>
  </w:style>
  <w:style w:type="paragraph" w:styleId="18">
    <w:name w:val="toc 2"/>
    <w:basedOn w:val="1"/>
    <w:next w:val="1"/>
    <w:qFormat/>
    <w:uiPriority w:val="0"/>
    <w:pPr>
      <w:ind w:left="420" w:leftChars="200"/>
    </w:pPr>
  </w:style>
  <w:style w:type="paragraph" w:styleId="19">
    <w:name w:val="Body Text 2"/>
    <w:basedOn w:val="1"/>
    <w:qFormat/>
    <w:uiPriority w:val="0"/>
    <w:pPr>
      <w:spacing w:after="120" w:line="480" w:lineRule="auto"/>
    </w:pPr>
  </w:style>
  <w:style w:type="paragraph" w:styleId="2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kern w:val="0"/>
      <w:sz w:val="20"/>
      <w:szCs w:val="20"/>
    </w:rPr>
  </w:style>
  <w:style w:type="paragraph" w:styleId="21">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22">
    <w:name w:val="Title"/>
    <w:basedOn w:val="1"/>
    <w:next w:val="1"/>
    <w:link w:val="42"/>
    <w:qFormat/>
    <w:uiPriority w:val="0"/>
    <w:pPr>
      <w:jc w:val="center"/>
      <w:outlineLvl w:val="0"/>
    </w:pPr>
    <w:rPr>
      <w:rFonts w:ascii="Cambria" w:hAnsi="Cambria"/>
      <w:b/>
      <w:bCs/>
      <w:sz w:val="32"/>
      <w:szCs w:val="32"/>
    </w:rPr>
  </w:style>
  <w:style w:type="paragraph" w:styleId="23">
    <w:name w:val="annotation subject"/>
    <w:basedOn w:val="6"/>
    <w:next w:val="6"/>
    <w:qFormat/>
    <w:uiPriority w:val="0"/>
    <w:rPr>
      <w:b/>
      <w:bCs/>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Strong"/>
    <w:basedOn w:val="26"/>
    <w:qFormat/>
    <w:uiPriority w:val="0"/>
    <w:rPr>
      <w:b/>
      <w:bCs/>
    </w:rPr>
  </w:style>
  <w:style w:type="character" w:styleId="28">
    <w:name w:val="page number"/>
    <w:basedOn w:val="26"/>
    <w:qFormat/>
    <w:uiPriority w:val="0"/>
  </w:style>
  <w:style w:type="character" w:styleId="29">
    <w:name w:val="FollowedHyperlink"/>
    <w:basedOn w:val="26"/>
    <w:semiHidden/>
    <w:unhideWhenUsed/>
    <w:qFormat/>
    <w:uiPriority w:val="0"/>
    <w:rPr>
      <w:color w:val="338DE6"/>
      <w:u w:val="none"/>
    </w:rPr>
  </w:style>
  <w:style w:type="character" w:styleId="30">
    <w:name w:val="Emphasis"/>
    <w:basedOn w:val="26"/>
    <w:qFormat/>
    <w:uiPriority w:val="0"/>
  </w:style>
  <w:style w:type="character" w:styleId="31">
    <w:name w:val="HTML Definition"/>
    <w:basedOn w:val="26"/>
    <w:semiHidden/>
    <w:unhideWhenUsed/>
    <w:qFormat/>
    <w:uiPriority w:val="0"/>
  </w:style>
  <w:style w:type="character" w:styleId="32">
    <w:name w:val="HTML Variable"/>
    <w:basedOn w:val="26"/>
    <w:semiHidden/>
    <w:unhideWhenUsed/>
    <w:qFormat/>
    <w:uiPriority w:val="0"/>
  </w:style>
  <w:style w:type="character" w:styleId="33">
    <w:name w:val="Hyperlink"/>
    <w:qFormat/>
    <w:uiPriority w:val="99"/>
    <w:rPr>
      <w:rFonts w:eastAsia="仿宋_GB2312"/>
      <w:color w:val="0162BC"/>
      <w:sz w:val="24"/>
      <w:u w:val="none"/>
    </w:rPr>
  </w:style>
  <w:style w:type="character" w:styleId="34">
    <w:name w:val="HTML Code"/>
    <w:basedOn w:val="26"/>
    <w:semiHidden/>
    <w:unhideWhenUsed/>
    <w:qFormat/>
    <w:uiPriority w:val="0"/>
    <w:rPr>
      <w:rFonts w:hint="default" w:ascii="serif" w:hAnsi="serif" w:eastAsia="serif" w:cs="serif"/>
      <w:vanish/>
      <w:sz w:val="21"/>
      <w:szCs w:val="21"/>
    </w:rPr>
  </w:style>
  <w:style w:type="character" w:styleId="35">
    <w:name w:val="annotation reference"/>
    <w:qFormat/>
    <w:uiPriority w:val="0"/>
    <w:rPr>
      <w:rFonts w:eastAsia="仿宋_GB2312"/>
      <w:sz w:val="21"/>
      <w:szCs w:val="21"/>
    </w:rPr>
  </w:style>
  <w:style w:type="character" w:styleId="36">
    <w:name w:val="HTML Cite"/>
    <w:basedOn w:val="26"/>
    <w:semiHidden/>
    <w:unhideWhenUsed/>
    <w:qFormat/>
    <w:uiPriority w:val="0"/>
  </w:style>
  <w:style w:type="character" w:styleId="37">
    <w:name w:val="HTML Keyboard"/>
    <w:basedOn w:val="26"/>
    <w:semiHidden/>
    <w:unhideWhenUsed/>
    <w:qFormat/>
    <w:uiPriority w:val="0"/>
    <w:rPr>
      <w:rFonts w:hint="default" w:ascii="serif" w:hAnsi="serif" w:eastAsia="serif" w:cs="serif"/>
      <w:sz w:val="21"/>
      <w:szCs w:val="21"/>
    </w:rPr>
  </w:style>
  <w:style w:type="character" w:styleId="38">
    <w:name w:val="HTML Sample"/>
    <w:basedOn w:val="26"/>
    <w:semiHidden/>
    <w:unhideWhenUsed/>
    <w:qFormat/>
    <w:uiPriority w:val="0"/>
    <w:rPr>
      <w:rFonts w:ascii="serif" w:hAnsi="serif" w:eastAsia="serif" w:cs="serif"/>
      <w:sz w:val="21"/>
      <w:szCs w:val="21"/>
    </w:rPr>
  </w:style>
  <w:style w:type="character" w:customStyle="1" w:styleId="39">
    <w:name w:val="description"/>
    <w:basedOn w:val="26"/>
    <w:qFormat/>
    <w:uiPriority w:val="0"/>
  </w:style>
  <w:style w:type="character" w:customStyle="1" w:styleId="40">
    <w:name w:val="newtxt1"/>
    <w:basedOn w:val="26"/>
    <w:qFormat/>
    <w:uiPriority w:val="0"/>
  </w:style>
  <w:style w:type="character" w:customStyle="1" w:styleId="41">
    <w:name w:val="apple-converted-space"/>
    <w:basedOn w:val="26"/>
    <w:qFormat/>
    <w:uiPriority w:val="0"/>
  </w:style>
  <w:style w:type="character" w:customStyle="1" w:styleId="42">
    <w:name w:val="标题 Char"/>
    <w:basedOn w:val="26"/>
    <w:link w:val="22"/>
    <w:qFormat/>
    <w:uiPriority w:val="0"/>
    <w:rPr>
      <w:rFonts w:ascii="Cambria" w:hAnsi="Cambria" w:cs="Times New Roman"/>
      <w:b/>
      <w:bCs/>
      <w:kern w:val="2"/>
      <w:sz w:val="32"/>
      <w:szCs w:val="32"/>
    </w:rPr>
  </w:style>
  <w:style w:type="paragraph" w:customStyle="1" w:styleId="43">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4">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45">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6">
    <w:name w:val="Char"/>
    <w:basedOn w:val="1"/>
    <w:qFormat/>
    <w:uiPriority w:val="0"/>
    <w:pPr>
      <w:snapToGrid w:val="0"/>
      <w:spacing w:line="360" w:lineRule="auto"/>
      <w:ind w:firstLine="200" w:firstLineChars="200"/>
    </w:pPr>
    <w:rPr>
      <w:rFonts w:eastAsia="仿宋_GB2312"/>
      <w:sz w:val="24"/>
    </w:rPr>
  </w:style>
  <w:style w:type="paragraph" w:customStyle="1" w:styleId="47">
    <w:name w:val="xl45"/>
    <w:basedOn w:val="1"/>
    <w:qFormat/>
    <w:uiPriority w:val="0"/>
    <w:pPr>
      <w:widowControl/>
      <w:pBdr>
        <w:top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8">
    <w:name w:val="xl7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9">
    <w:name w:val="报告正文"/>
    <w:basedOn w:val="1"/>
    <w:qFormat/>
    <w:uiPriority w:val="0"/>
    <w:pPr>
      <w:spacing w:line="336" w:lineRule="auto"/>
      <w:ind w:left="2603"/>
    </w:pPr>
    <w:rPr>
      <w:rFonts w:ascii="华文细黑" w:eastAsia="华文细黑" w:cs="宋体"/>
      <w:sz w:val="22"/>
    </w:rPr>
  </w:style>
  <w:style w:type="paragraph" w:customStyle="1" w:styleId="50">
    <w:name w:val="xl6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1">
    <w:name w:val="xl4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2">
    <w:name w:val="xl6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3">
    <w:name w:val="xl57"/>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4">
    <w:name w:val="xl56"/>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5">
    <w:name w:val="xl65"/>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6">
    <w:name w:val="xl51"/>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7">
    <w:name w:val="xl2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8">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59">
    <w:name w:val="xl36"/>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0">
    <w:name w:val="_Style 26"/>
    <w:basedOn w:val="1"/>
    <w:qFormat/>
    <w:uiPriority w:val="0"/>
    <w:pPr>
      <w:snapToGrid w:val="0"/>
      <w:spacing w:line="360" w:lineRule="auto"/>
      <w:ind w:firstLine="200" w:firstLineChars="200"/>
    </w:pPr>
  </w:style>
  <w:style w:type="paragraph" w:customStyle="1" w:styleId="61">
    <w:name w:val="xl4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62">
    <w:name w:val="xl4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63">
    <w:name w:val="xl31"/>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4">
    <w:name w:val="xl53"/>
    <w:basedOn w:val="1"/>
    <w:qFormat/>
    <w:uiPriority w:val="0"/>
    <w:pPr>
      <w:widowControl/>
      <w:pBdr>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5">
    <w:name w:val="xl7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6">
    <w:name w:val="xl48"/>
    <w:basedOn w:val="1"/>
    <w:qFormat/>
    <w:uiPriority w:val="0"/>
    <w:pPr>
      <w:widowControl/>
      <w:pBdr>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7">
    <w:name w:val="xl61"/>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8">
    <w:name w:val="xl7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9">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styleId="70">
    <w:name w:val="No Spacing"/>
    <w:qFormat/>
    <w:uiPriority w:val="1"/>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71">
    <w:name w:val="p15"/>
    <w:basedOn w:val="1"/>
    <w:qFormat/>
    <w:uiPriority w:val="0"/>
    <w:pPr>
      <w:widowControl/>
      <w:spacing w:before="100" w:beforeAutospacing="1" w:after="100" w:afterAutospacing="1"/>
      <w:jc w:val="left"/>
    </w:pPr>
    <w:rPr>
      <w:rFonts w:ascii="宋体" w:hAnsi="宋体" w:cs="宋体"/>
      <w:kern w:val="0"/>
      <w:sz w:val="24"/>
    </w:rPr>
  </w:style>
  <w:style w:type="paragraph" w:customStyle="1" w:styleId="72">
    <w:name w:val="xl78"/>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73">
    <w:name w:val="Char Char Char"/>
    <w:basedOn w:val="1"/>
    <w:next w:val="1"/>
    <w:qFormat/>
    <w:uiPriority w:val="0"/>
    <w:pPr>
      <w:widowControl/>
      <w:spacing w:line="360" w:lineRule="auto"/>
      <w:jc w:val="left"/>
    </w:pPr>
    <w:rPr>
      <w:kern w:val="0"/>
      <w:szCs w:val="20"/>
      <w:lang w:eastAsia="en-US"/>
    </w:rPr>
  </w:style>
  <w:style w:type="paragraph" w:customStyle="1" w:styleId="74">
    <w:name w:val="xl30"/>
    <w:basedOn w:val="1"/>
    <w:qFormat/>
    <w:uiPriority w:val="0"/>
    <w:pPr>
      <w:widowControl/>
      <w:pBdr>
        <w:top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75">
    <w:name w:val="xl34"/>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76">
    <w:name w:val="font6"/>
    <w:basedOn w:val="1"/>
    <w:qFormat/>
    <w:uiPriority w:val="0"/>
    <w:pPr>
      <w:widowControl/>
      <w:spacing w:before="100" w:beforeAutospacing="1" w:after="100" w:afterAutospacing="1"/>
      <w:jc w:val="left"/>
    </w:pPr>
    <w:rPr>
      <w:rFonts w:eastAsia="Arial Unicode MS"/>
      <w:kern w:val="0"/>
      <w:sz w:val="24"/>
    </w:rPr>
  </w:style>
  <w:style w:type="paragraph" w:customStyle="1" w:styleId="77">
    <w:name w:val="font7"/>
    <w:basedOn w:val="1"/>
    <w:qFormat/>
    <w:uiPriority w:val="0"/>
    <w:pPr>
      <w:widowControl/>
      <w:spacing w:before="100" w:beforeAutospacing="1" w:after="100" w:afterAutospacing="1"/>
      <w:jc w:val="left"/>
    </w:pPr>
    <w:rPr>
      <w:rFonts w:eastAsia="Arial Unicode MS"/>
      <w:kern w:val="0"/>
      <w:sz w:val="24"/>
    </w:rPr>
  </w:style>
  <w:style w:type="paragraph" w:customStyle="1" w:styleId="78">
    <w:name w:val="xl6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79">
    <w:name w:val="xl62"/>
    <w:basedOn w:val="1"/>
    <w:qFormat/>
    <w:uiPriority w:val="0"/>
    <w:pPr>
      <w:widowControl/>
      <w:pBdr>
        <w:top w:val="single" w:color="auto" w:sz="4" w:space="0"/>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0">
    <w:name w:val="xl32"/>
    <w:basedOn w:val="1"/>
    <w:qFormat/>
    <w:uiPriority w:val="0"/>
    <w:pPr>
      <w:widowControl/>
      <w:pBdr>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1">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82">
    <w:name w:val="xl44"/>
    <w:basedOn w:val="1"/>
    <w:qFormat/>
    <w:uiPriority w:val="0"/>
    <w:pPr>
      <w:widowControl/>
      <w:pBdr>
        <w:top w:val="single" w:color="auto" w:sz="8"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3">
    <w:name w:val="xl58"/>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4">
    <w:name w:val="TOC 标题1"/>
    <w:basedOn w:val="3"/>
    <w:next w:val="1"/>
    <w:qFormat/>
    <w:uiPriority w:val="39"/>
    <w:pPr>
      <w:keepLines/>
      <w:widowControl/>
      <w:spacing w:before="480" w:line="276" w:lineRule="auto"/>
      <w:ind w:left="0"/>
      <w:outlineLvl w:val="9"/>
    </w:pPr>
    <w:rPr>
      <w:rFonts w:ascii="Cambria" w:hAnsi="Cambria" w:eastAsia="宋体"/>
      <w:bCs/>
      <w:color w:val="365F91"/>
      <w:kern w:val="0"/>
      <w:szCs w:val="28"/>
    </w:rPr>
  </w:style>
  <w:style w:type="paragraph" w:customStyle="1" w:styleId="85">
    <w:name w:val="xl2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6">
    <w:name w:val="xl24"/>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87">
    <w:name w:val="表格内文字"/>
    <w:basedOn w:val="1"/>
    <w:qFormat/>
    <w:uiPriority w:val="0"/>
    <w:pPr>
      <w:spacing w:after="0"/>
      <w:textAlignment w:val="bottom"/>
    </w:pPr>
    <w:rPr>
      <w:rFonts w:ascii="华文细黑" w:eastAsia="华文细黑"/>
      <w:snapToGrid w:val="0"/>
      <w:szCs w:val="18"/>
    </w:rPr>
  </w:style>
  <w:style w:type="paragraph" w:customStyle="1" w:styleId="88">
    <w:name w:val="xl5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9">
    <w:name w:val="xl52"/>
    <w:basedOn w:val="1"/>
    <w:qFormat/>
    <w:uiPriority w:val="0"/>
    <w:pPr>
      <w:widowControl/>
      <w:pBdr>
        <w:top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0">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1">
    <w:name w:val="xl46"/>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2">
    <w:name w:val="列出段落1"/>
    <w:basedOn w:val="1"/>
    <w:qFormat/>
    <w:uiPriority w:val="0"/>
    <w:pPr>
      <w:ind w:firstLine="420" w:firstLineChars="200"/>
    </w:pPr>
    <w:rPr>
      <w:szCs w:val="21"/>
    </w:rPr>
  </w:style>
  <w:style w:type="paragraph" w:customStyle="1" w:styleId="93">
    <w:name w:val="xl68"/>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4">
    <w:name w:val="xl60"/>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5">
    <w:name w:val="xl47"/>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6">
    <w:name w:val="xl5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7">
    <w:name w:val="xl55"/>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8">
    <w:name w:val="xl29"/>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9">
    <w:name w:val="xl33"/>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00">
    <w:name w:val="xl37"/>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01">
    <w:name w:val="xl5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02">
    <w:name w:val="xl63"/>
    <w:basedOn w:val="1"/>
    <w:qFormat/>
    <w:uiPriority w:val="0"/>
    <w:pPr>
      <w:widowControl/>
      <w:pBdr>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03">
    <w:name w:val="xl28"/>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04">
    <w:name w:val="xl40"/>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105">
    <w:name w:val="xl7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06">
    <w:name w:val="报告正文 Char Char Char"/>
    <w:basedOn w:val="1"/>
    <w:qFormat/>
    <w:uiPriority w:val="0"/>
    <w:pPr>
      <w:spacing w:line="336" w:lineRule="auto"/>
      <w:ind w:left="2603"/>
    </w:pPr>
    <w:rPr>
      <w:rFonts w:ascii="华文细黑" w:eastAsia="华文细黑" w:cs="宋体"/>
      <w:sz w:val="22"/>
    </w:rPr>
  </w:style>
  <w:style w:type="paragraph" w:customStyle="1" w:styleId="107">
    <w:name w:val="xl39"/>
    <w:basedOn w:val="1"/>
    <w:qFormat/>
    <w:uiPriority w:val="0"/>
    <w:pPr>
      <w:widowControl/>
      <w:pBdr>
        <w:bottom w:val="single" w:color="auto" w:sz="8"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108">
    <w:name w:val="xl38"/>
    <w:basedOn w:val="1"/>
    <w:qFormat/>
    <w:uiPriority w:val="0"/>
    <w:pPr>
      <w:widowControl/>
      <w:spacing w:before="100" w:beforeAutospacing="1" w:after="100" w:afterAutospacing="1"/>
      <w:jc w:val="center"/>
    </w:pPr>
    <w:rPr>
      <w:rFonts w:ascii="Arial Unicode MS" w:hAnsi="Arial Unicode MS" w:eastAsia="Arial Unicode MS" w:cs="Arial Unicode MS"/>
      <w:b/>
      <w:bCs/>
      <w:kern w:val="0"/>
      <w:sz w:val="32"/>
      <w:szCs w:val="32"/>
    </w:rPr>
  </w:style>
  <w:style w:type="paragraph" w:customStyle="1" w:styleId="109">
    <w:name w:val="xl35"/>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10">
    <w:name w:val="xl7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11">
    <w:name w:val="xl7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character" w:customStyle="1" w:styleId="112">
    <w:name w:val="font01"/>
    <w:basedOn w:val="26"/>
    <w:qFormat/>
    <w:uiPriority w:val="0"/>
    <w:rPr>
      <w:rFonts w:hint="eastAsia" w:ascii="宋体" w:hAnsi="宋体" w:eastAsia="宋体" w:cs="宋体"/>
      <w:color w:val="000000"/>
      <w:sz w:val="20"/>
      <w:szCs w:val="20"/>
      <w:u w:val="none"/>
    </w:rPr>
  </w:style>
  <w:style w:type="character" w:customStyle="1" w:styleId="113">
    <w:name w:val="font21"/>
    <w:basedOn w:val="26"/>
    <w:qFormat/>
    <w:uiPriority w:val="0"/>
    <w:rPr>
      <w:rFonts w:hint="eastAsia" w:ascii="仿宋_GB2312" w:eastAsia="仿宋_GB2312" w:cs="仿宋_GB2312"/>
      <w:color w:val="000000"/>
      <w:sz w:val="20"/>
      <w:szCs w:val="20"/>
      <w:u w:val="none"/>
    </w:rPr>
  </w:style>
  <w:style w:type="character" w:customStyle="1" w:styleId="114">
    <w:name w:val="fontstrikethrough"/>
    <w:basedOn w:val="26"/>
    <w:qFormat/>
    <w:uiPriority w:val="0"/>
    <w:rPr>
      <w:strike/>
    </w:rPr>
  </w:style>
  <w:style w:type="character" w:customStyle="1" w:styleId="115">
    <w:name w:val="fontborder"/>
    <w:basedOn w:val="26"/>
    <w:qFormat/>
    <w:uiPriority w:val="0"/>
    <w:rPr>
      <w:bdr w:val="single" w:color="000000" w:sz="6" w:space="0"/>
    </w:rPr>
  </w:style>
  <w:style w:type="character" w:customStyle="1" w:styleId="116">
    <w:name w:val="font31"/>
    <w:basedOn w:val="26"/>
    <w:qFormat/>
    <w:uiPriority w:val="0"/>
    <w:rPr>
      <w:rFonts w:hint="default"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26</Pages>
  <Words>7986</Words>
  <Characters>8452</Characters>
  <Lines>54</Lines>
  <Paragraphs>15</Paragraphs>
  <TotalTime>0</TotalTime>
  <ScaleCrop>false</ScaleCrop>
  <LinksUpToDate>false</LinksUpToDate>
  <CharactersWithSpaces>8599</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2019-06-10T07:05:00Z</dcterms:created>
  <dc:creator>Legend User</dc:creator>
  <cp:lastModifiedBy>蒋南斌</cp:lastModifiedBy>
  <cp:lastPrinted>2020-12-07T08:58:00Z</cp:lastPrinted>
  <dcterms:modified xsi:type="dcterms:W3CDTF">2022-07-01T07:02:03Z</dcterms:modified>
  <dc:title>房 地 产 估 价 报 告</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C27064E8D2A84E7493751E26E04319D6</vt:lpwstr>
  </property>
</Properties>
</file>