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楷体"/>
          <w:b/>
          <w:bCs/>
          <w:color w:val="000000" w:themeColor="text1"/>
          <w:sz w:val="52"/>
          <w:szCs w:val="52"/>
        </w:rPr>
      </w:pPr>
      <w:r>
        <w:rPr>
          <w:rFonts w:hint="eastAsia" w:ascii="楷体" w:hAnsi="楷体" w:eastAsia="楷体" w:cs="楷体"/>
          <w:b/>
          <w:bCs/>
          <w:color w:val="000000" w:themeColor="text1"/>
          <w:sz w:val="52"/>
          <w:szCs w:val="52"/>
        </w:rPr>
        <w:t xml:space="preserve">                                                                                                                    </w:t>
      </w:r>
    </w:p>
    <w:p>
      <w:pPr>
        <w:jc w:val="center"/>
        <w:rPr>
          <w:rFonts w:eastAsia="黑体"/>
          <w:b/>
          <w:sz w:val="44"/>
        </w:rPr>
      </w:pPr>
      <w:bookmarkStart w:id="0" w:name="_Toc29133"/>
      <w:bookmarkStart w:id="1" w:name="_Toc76"/>
      <w:bookmarkStart w:id="2" w:name="_Toc28208"/>
      <w:bookmarkStart w:id="3" w:name="_Toc243366088"/>
    </w:p>
    <w:p>
      <w:pPr>
        <w:jc w:val="center"/>
        <w:rPr>
          <w:rFonts w:eastAsia="黑体"/>
          <w:b/>
          <w:sz w:val="44"/>
        </w:rPr>
      </w:pPr>
    </w:p>
    <w:bookmarkEnd w:id="0"/>
    <w:bookmarkEnd w:id="1"/>
    <w:bookmarkEnd w:id="2"/>
    <w:p>
      <w:pPr>
        <w:spacing w:line="630" w:lineRule="exact"/>
        <w:jc w:val="center"/>
        <w:rPr>
          <w:rFonts w:eastAsia="黑体"/>
          <w:b/>
          <w:sz w:val="44"/>
        </w:rPr>
      </w:pPr>
      <w:bookmarkStart w:id="4" w:name="_Toc452629514"/>
      <w:bookmarkStart w:id="5" w:name="_Toc456096203"/>
      <w:bookmarkStart w:id="6" w:name="_Toc4789"/>
      <w:bookmarkStart w:id="7" w:name="_Toc4856"/>
      <w:bookmarkStart w:id="8" w:name="_Toc20347"/>
      <w:bookmarkStart w:id="9" w:name="_Toc980"/>
      <w:bookmarkStart w:id="10" w:name="_Toc25007"/>
      <w:r>
        <w:rPr>
          <w:rFonts w:hint="eastAsia" w:eastAsia="黑体"/>
          <w:b/>
          <w:sz w:val="44"/>
        </w:rPr>
        <w:t>房地产估价报告</w:t>
      </w:r>
    </w:p>
    <w:p>
      <w:pPr>
        <w:spacing w:line="630" w:lineRule="exact"/>
      </w:pPr>
    </w:p>
    <w:p>
      <w:pPr>
        <w:spacing w:line="630" w:lineRule="exact"/>
        <w:rPr>
          <w:b/>
          <w:sz w:val="28"/>
        </w:rPr>
      </w:pPr>
    </w:p>
    <w:p>
      <w:pPr>
        <w:spacing w:line="630" w:lineRule="exact"/>
        <w:rPr>
          <w:rFonts w:eastAsia="楷体"/>
          <w:color w:val="auto"/>
          <w:sz w:val="28"/>
          <w:highlight w:val="none"/>
        </w:rPr>
      </w:pPr>
      <w:r>
        <w:rPr>
          <w:rFonts w:hint="eastAsia" w:eastAsia="楷体"/>
          <w:b/>
          <w:sz w:val="28"/>
        </w:rPr>
        <w:t>估价报告编号</w:t>
      </w:r>
      <w:r>
        <w:rPr>
          <w:rFonts w:hint="eastAsia" w:eastAsia="楷体"/>
          <w:sz w:val="28"/>
        </w:rPr>
        <w:t>：杭天平</w:t>
      </w:r>
      <w:r>
        <w:rPr>
          <w:rFonts w:hint="eastAsia" w:eastAsia="楷体"/>
          <w:color w:val="auto"/>
          <w:sz w:val="28"/>
          <w:highlight w:val="none"/>
        </w:rPr>
        <w:t>房估（</w:t>
      </w:r>
      <w:r>
        <w:rPr>
          <w:rFonts w:ascii="楷体" w:hAnsi="楷体" w:eastAsia="楷体"/>
          <w:color w:val="auto"/>
          <w:sz w:val="28"/>
          <w:highlight w:val="none"/>
        </w:rPr>
        <w:t>202</w:t>
      </w:r>
      <w:r>
        <w:rPr>
          <w:rFonts w:hint="eastAsia" w:ascii="楷体" w:hAnsi="楷体" w:eastAsia="楷体"/>
          <w:color w:val="auto"/>
          <w:sz w:val="28"/>
          <w:highlight w:val="none"/>
          <w:lang w:val="en-US" w:eastAsia="zh-CN"/>
        </w:rPr>
        <w:t>2</w:t>
      </w:r>
      <w:r>
        <w:rPr>
          <w:rFonts w:hint="eastAsia" w:eastAsia="楷体"/>
          <w:color w:val="auto"/>
          <w:sz w:val="28"/>
          <w:highlight w:val="none"/>
        </w:rPr>
        <w:t>）字第</w:t>
      </w:r>
      <w:r>
        <w:rPr>
          <w:rFonts w:hint="eastAsia" w:ascii="楷体" w:hAnsi="楷体" w:eastAsia="楷体" w:cs="楷体"/>
          <w:color w:val="auto"/>
          <w:sz w:val="28"/>
          <w:highlight w:val="none"/>
          <w:lang w:val="en-US" w:eastAsia="zh-CN"/>
        </w:rPr>
        <w:t>1296</w:t>
      </w:r>
      <w:r>
        <w:rPr>
          <w:rFonts w:hint="eastAsia" w:ascii="楷体" w:hAnsi="楷体" w:eastAsia="楷体"/>
          <w:color w:val="auto"/>
          <w:sz w:val="28"/>
          <w:highlight w:val="none"/>
        </w:rPr>
        <w:t>号</w:t>
      </w:r>
    </w:p>
    <w:p>
      <w:pPr>
        <w:spacing w:line="630" w:lineRule="exact"/>
        <w:rPr>
          <w:rFonts w:eastAsia="楷体"/>
          <w:sz w:val="28"/>
        </w:rPr>
      </w:pPr>
    </w:p>
    <w:p>
      <w:pPr>
        <w:spacing w:line="630" w:lineRule="exact"/>
        <w:ind w:left="1968" w:hanging="1968" w:hangingChars="700"/>
        <w:rPr>
          <w:rFonts w:hint="eastAsia" w:ascii="楷体" w:hAnsi="楷体" w:eastAsia="楷体"/>
          <w:spacing w:val="-6"/>
          <w:sz w:val="28"/>
          <w:szCs w:val="28"/>
          <w:lang w:val="en-US" w:eastAsia="zh-CN"/>
        </w:rPr>
      </w:pPr>
      <w:r>
        <w:rPr>
          <w:rFonts w:hint="eastAsia" w:eastAsia="楷体"/>
          <w:b/>
          <w:sz w:val="28"/>
        </w:rPr>
        <w:t>估价项目名称：</w:t>
      </w:r>
      <w:r>
        <w:rPr>
          <w:rFonts w:hint="eastAsia" w:ascii="楷体" w:hAnsi="楷体" w:eastAsia="楷体"/>
          <w:spacing w:val="-6"/>
          <w:sz w:val="28"/>
          <w:szCs w:val="28"/>
          <w:lang w:eastAsia="zh-CN"/>
        </w:rPr>
        <w:t>杭州钱塘新区水云城13幢3单元101室</w:t>
      </w:r>
      <w:r>
        <w:rPr>
          <w:rFonts w:hint="eastAsia" w:ascii="楷体" w:hAnsi="楷体" w:eastAsia="楷体"/>
          <w:spacing w:val="-6"/>
          <w:sz w:val="28"/>
          <w:szCs w:val="28"/>
          <w:lang w:val="en-US" w:eastAsia="zh-CN"/>
        </w:rPr>
        <w:t>住宅</w:t>
      </w:r>
    </w:p>
    <w:p>
      <w:pPr>
        <w:spacing w:line="630" w:lineRule="exact"/>
        <w:ind w:left="1892" w:leftChars="901" w:firstLine="0" w:firstLineChars="0"/>
        <w:rPr>
          <w:rFonts w:ascii="楷体" w:hAnsi="楷体" w:eastAsia="楷体"/>
          <w:spacing w:val="-6"/>
          <w:sz w:val="28"/>
          <w:szCs w:val="28"/>
        </w:rPr>
      </w:pPr>
      <w:r>
        <w:rPr>
          <w:rFonts w:hint="eastAsia" w:eastAsia="楷体"/>
          <w:spacing w:val="-6"/>
          <w:sz w:val="28"/>
        </w:rPr>
        <w:t xml:space="preserve">房地产司法估价 </w:t>
      </w:r>
    </w:p>
    <w:p>
      <w:pPr>
        <w:spacing w:line="630" w:lineRule="exact"/>
        <w:ind w:left="1968" w:hanging="1968" w:hangingChars="700"/>
        <w:rPr>
          <w:rFonts w:eastAsia="楷体"/>
          <w:b/>
          <w:sz w:val="28"/>
        </w:rPr>
      </w:pPr>
    </w:p>
    <w:p>
      <w:pPr>
        <w:spacing w:line="630" w:lineRule="exact"/>
        <w:ind w:left="1968" w:hanging="1968" w:hangingChars="700"/>
        <w:rPr>
          <w:rFonts w:hint="eastAsia" w:eastAsia="楷体"/>
          <w:sz w:val="28"/>
          <w:lang w:eastAsia="zh-CN"/>
        </w:rPr>
      </w:pPr>
      <w:r>
        <w:rPr>
          <w:rFonts w:hint="eastAsia" w:eastAsia="楷体"/>
          <w:b/>
          <w:sz w:val="28"/>
        </w:rPr>
        <w:t>估价委托人：</w:t>
      </w:r>
      <w:r>
        <w:rPr>
          <w:rFonts w:hint="eastAsia" w:ascii="楷体" w:hAnsi="楷体" w:eastAsia="楷体"/>
          <w:sz w:val="28"/>
          <w:lang w:eastAsia="zh-CN"/>
        </w:rPr>
        <w:t>杭州市上城区人民法院</w:t>
      </w:r>
    </w:p>
    <w:p>
      <w:pPr>
        <w:spacing w:line="630" w:lineRule="exact"/>
        <w:rPr>
          <w:rFonts w:eastAsia="楷体"/>
          <w:b/>
          <w:sz w:val="28"/>
        </w:rPr>
      </w:pPr>
    </w:p>
    <w:p>
      <w:pPr>
        <w:spacing w:line="630" w:lineRule="exact"/>
        <w:rPr>
          <w:rFonts w:eastAsia="楷体"/>
          <w:sz w:val="28"/>
        </w:rPr>
      </w:pPr>
      <w:r>
        <w:rPr>
          <w:rFonts w:hint="eastAsia" w:eastAsia="楷体"/>
          <w:b/>
          <w:sz w:val="28"/>
        </w:rPr>
        <w:t>房地产估价机构：</w:t>
      </w:r>
      <w:r>
        <w:rPr>
          <w:rFonts w:hint="eastAsia" w:eastAsia="楷体"/>
          <w:sz w:val="28"/>
        </w:rPr>
        <w:t>杭州天平房地产评估有限公司</w:t>
      </w:r>
    </w:p>
    <w:p>
      <w:pPr>
        <w:spacing w:line="630" w:lineRule="exact"/>
        <w:rPr>
          <w:rFonts w:eastAsia="楷体"/>
          <w:b/>
          <w:sz w:val="28"/>
        </w:rPr>
      </w:pPr>
    </w:p>
    <w:p>
      <w:pPr>
        <w:spacing w:line="630" w:lineRule="exact"/>
        <w:rPr>
          <w:rFonts w:ascii="楷体" w:hAnsi="楷体" w:eastAsia="楷体" w:cs="楷体"/>
          <w:sz w:val="28"/>
        </w:rPr>
      </w:pPr>
      <w:r>
        <w:rPr>
          <w:rFonts w:hint="eastAsia" w:eastAsia="楷体"/>
          <w:b/>
          <w:sz w:val="28"/>
        </w:rPr>
        <w:t>注册房地产估价师：</w:t>
      </w:r>
      <w:r>
        <w:rPr>
          <w:rFonts w:hint="eastAsia" w:eastAsia="楷体"/>
          <w:sz w:val="28"/>
          <w:lang w:val="en-US" w:eastAsia="zh-CN"/>
        </w:rPr>
        <w:t>郑  玺</w:t>
      </w:r>
      <w:r>
        <w:rPr>
          <w:rFonts w:hint="eastAsia" w:eastAsia="楷体"/>
          <w:sz w:val="28"/>
        </w:rPr>
        <w:t xml:space="preserve">  </w:t>
      </w:r>
      <w:r>
        <w:rPr>
          <w:rFonts w:hint="eastAsia" w:eastAsia="楷体"/>
          <w:sz w:val="28"/>
          <w:szCs w:val="28"/>
        </w:rPr>
        <w:t>（注册号：</w:t>
      </w:r>
      <w:r>
        <w:rPr>
          <w:rFonts w:hint="eastAsia" w:ascii="楷体" w:hAnsi="楷体" w:eastAsia="楷体" w:cs="楷体"/>
          <w:sz w:val="28"/>
          <w:szCs w:val="28"/>
        </w:rPr>
        <w:t>33201</w:t>
      </w:r>
      <w:r>
        <w:rPr>
          <w:rFonts w:hint="eastAsia" w:ascii="楷体" w:hAnsi="楷体" w:eastAsia="楷体" w:cs="楷体"/>
          <w:sz w:val="28"/>
          <w:szCs w:val="28"/>
          <w:lang w:val="en-US" w:eastAsia="zh-CN"/>
        </w:rPr>
        <w:t>3</w:t>
      </w:r>
      <w:r>
        <w:rPr>
          <w:rFonts w:hint="eastAsia" w:ascii="楷体" w:hAnsi="楷体" w:eastAsia="楷体" w:cs="楷体"/>
          <w:sz w:val="28"/>
          <w:szCs w:val="28"/>
        </w:rPr>
        <w:t>0</w:t>
      </w:r>
      <w:r>
        <w:rPr>
          <w:rFonts w:hint="eastAsia" w:ascii="楷体" w:hAnsi="楷体" w:eastAsia="楷体" w:cs="楷体"/>
          <w:sz w:val="28"/>
          <w:szCs w:val="28"/>
          <w:lang w:val="en-US" w:eastAsia="zh-CN"/>
        </w:rPr>
        <w:t>035</w:t>
      </w:r>
      <w:r>
        <w:rPr>
          <w:rFonts w:hint="eastAsia" w:ascii="楷体" w:hAnsi="楷体" w:eastAsia="楷体" w:cs="楷体"/>
          <w:sz w:val="28"/>
          <w:szCs w:val="28"/>
        </w:rPr>
        <w:t>）</w:t>
      </w:r>
    </w:p>
    <w:p>
      <w:pPr>
        <w:tabs>
          <w:tab w:val="left" w:pos="1701"/>
          <w:tab w:val="left" w:pos="1843"/>
          <w:tab w:val="left" w:pos="1985"/>
          <w:tab w:val="left" w:pos="2127"/>
          <w:tab w:val="left" w:pos="2410"/>
          <w:tab w:val="left" w:pos="2552"/>
        </w:tabs>
        <w:spacing w:line="630" w:lineRule="exact"/>
        <w:ind w:firstLine="2520" w:firstLineChars="900"/>
        <w:rPr>
          <w:rFonts w:ascii="楷体" w:hAnsi="楷体" w:eastAsia="楷体" w:cs="楷体"/>
          <w:sz w:val="28"/>
        </w:rPr>
      </w:pPr>
    </w:p>
    <w:p>
      <w:pPr>
        <w:tabs>
          <w:tab w:val="left" w:pos="1701"/>
          <w:tab w:val="left" w:pos="1843"/>
          <w:tab w:val="left" w:pos="1985"/>
          <w:tab w:val="left" w:pos="2127"/>
          <w:tab w:val="left" w:pos="2410"/>
          <w:tab w:val="left" w:pos="2552"/>
        </w:tabs>
        <w:spacing w:line="630" w:lineRule="exact"/>
        <w:ind w:firstLine="2520" w:firstLineChars="900"/>
        <w:rPr>
          <w:rFonts w:ascii="宋体" w:hAnsi="宋体" w:eastAsia="楷体"/>
          <w:b/>
          <w:sz w:val="28"/>
        </w:rPr>
      </w:pPr>
      <w:r>
        <w:rPr>
          <w:rFonts w:hint="eastAsia" w:ascii="楷体" w:hAnsi="楷体" w:eastAsia="楷体" w:cs="楷体"/>
          <w:sz w:val="28"/>
        </w:rPr>
        <w:t xml:space="preserve">秦振贤  </w:t>
      </w:r>
      <w:r>
        <w:rPr>
          <w:rFonts w:hint="eastAsia" w:ascii="楷体" w:hAnsi="楷体" w:eastAsia="楷体" w:cs="楷体"/>
          <w:sz w:val="28"/>
          <w:szCs w:val="28"/>
        </w:rPr>
        <w:t>（注册号：3320190188）</w:t>
      </w:r>
    </w:p>
    <w:p>
      <w:pPr>
        <w:spacing w:line="630" w:lineRule="exact"/>
        <w:rPr>
          <w:rFonts w:eastAsia="楷体"/>
          <w:sz w:val="28"/>
        </w:rPr>
      </w:pPr>
    </w:p>
    <w:p>
      <w:pPr>
        <w:spacing w:line="630" w:lineRule="exact"/>
        <w:ind w:left="2238" w:hanging="2238" w:hangingChars="796"/>
        <w:rPr>
          <w:rFonts w:hint="eastAsia" w:eastAsia="楷体"/>
          <w:sz w:val="28"/>
          <w:highlight w:val="none"/>
          <w:lang w:eastAsia="zh-CN"/>
        </w:rPr>
      </w:pPr>
      <w:r>
        <w:rPr>
          <w:rFonts w:hint="eastAsia" w:eastAsia="楷体"/>
          <w:b/>
          <w:sz w:val="28"/>
        </w:rPr>
        <w:t>估价报告出具日期</w:t>
      </w:r>
      <w:r>
        <w:rPr>
          <w:rFonts w:hint="eastAsia" w:ascii="仿宋_GB2312" w:hAnsi="宋体" w:eastAsia="楷体"/>
          <w:b/>
          <w:sz w:val="28"/>
          <w:szCs w:val="28"/>
        </w:rPr>
        <w:t>：</w:t>
      </w:r>
      <w:r>
        <w:rPr>
          <w:rFonts w:hint="eastAsia" w:eastAsia="楷体"/>
          <w:sz w:val="28"/>
          <w:highlight w:val="none"/>
        </w:rPr>
        <w:t xml:space="preserve"> </w:t>
      </w:r>
      <w:r>
        <w:rPr>
          <w:rFonts w:hint="eastAsia" w:eastAsia="楷体"/>
          <w:sz w:val="28"/>
          <w:highlight w:val="none"/>
          <w:lang w:eastAsia="zh-CN"/>
        </w:rPr>
        <w:t>二Ο二二年八月二日</w:t>
      </w:r>
    </w:p>
    <w:p>
      <w:pPr>
        <w:spacing w:line="630" w:lineRule="exact"/>
        <w:jc w:val="center"/>
        <w:rPr>
          <w:rFonts w:ascii="楷体" w:hAnsi="楷体" w:eastAsia="楷体" w:cs="楷体"/>
          <w:color w:val="000000" w:themeColor="text1"/>
          <w:spacing w:val="20"/>
          <w:sz w:val="28"/>
          <w:szCs w:val="28"/>
          <w:highlight w:val="none"/>
        </w:rPr>
      </w:pPr>
    </w:p>
    <w:p>
      <w:pPr>
        <w:spacing w:line="630" w:lineRule="exact"/>
        <w:jc w:val="center"/>
        <w:rPr>
          <w:rFonts w:ascii="楷体" w:hAnsi="楷体" w:eastAsia="楷体" w:cs="楷体"/>
          <w:color w:val="000000" w:themeColor="text1"/>
          <w:spacing w:val="20"/>
          <w:sz w:val="28"/>
          <w:szCs w:val="28"/>
        </w:rPr>
      </w:pPr>
    </w:p>
    <w:p>
      <w:pPr>
        <w:jc w:val="center"/>
        <w:rPr>
          <w:rFonts w:ascii="楷体" w:hAnsi="楷体" w:eastAsia="楷体" w:cs="楷体"/>
          <w:color w:val="000000" w:themeColor="text1"/>
          <w:spacing w:val="20"/>
          <w:sz w:val="28"/>
          <w:szCs w:val="28"/>
        </w:rPr>
      </w:pPr>
    </w:p>
    <w:p>
      <w:pPr>
        <w:jc w:val="center"/>
        <w:rPr>
          <w:rFonts w:ascii="楷体" w:hAnsi="楷体" w:eastAsia="楷体" w:cs="楷体"/>
          <w:color w:val="000000" w:themeColor="text1"/>
          <w:spacing w:val="20"/>
          <w:sz w:val="28"/>
          <w:szCs w:val="28"/>
        </w:rPr>
      </w:pPr>
    </w:p>
    <w:p>
      <w:pPr>
        <w:rPr>
          <w:rFonts w:ascii="楷体" w:hAnsi="楷体" w:eastAsia="楷体" w:cs="楷体"/>
          <w:color w:val="000000" w:themeColor="text1"/>
          <w:sz w:val="28"/>
          <w:szCs w:val="28"/>
        </w:rPr>
        <w:sectPr>
          <w:pgSz w:w="11906" w:h="16838"/>
          <w:pgMar w:top="1276" w:right="1797" w:bottom="1134" w:left="1797" w:header="680" w:footer="992" w:gutter="0"/>
          <w:pgNumType w:start="1"/>
          <w:cols w:space="720" w:num="1"/>
        </w:sectPr>
      </w:pPr>
    </w:p>
    <w:p>
      <w:pPr>
        <w:keepNext w:val="0"/>
        <w:keepLines w:val="0"/>
        <w:pageBreakBefore w:val="0"/>
        <w:widowControl w:val="0"/>
        <w:kinsoku/>
        <w:wordWrap/>
        <w:overflowPunct/>
        <w:topLinePunct w:val="0"/>
        <w:autoSpaceDE/>
        <w:autoSpaceDN/>
        <w:bidi w:val="0"/>
        <w:adjustRightInd/>
        <w:snapToGrid/>
        <w:spacing w:before="0" w:afterLines="50" w:line="100" w:lineRule="exact"/>
        <w:jc w:val="center"/>
        <w:textAlignment w:val="auto"/>
        <w:rPr>
          <w:rFonts w:hint="eastAsia" w:ascii="黑体" w:hAnsi="黑体" w:eastAsia="黑体" w:cs="黑体"/>
          <w:b/>
          <w:bCs/>
          <w:color w:val="000000" w:themeColor="text1"/>
          <w:sz w:val="32"/>
          <w:szCs w:val="32"/>
        </w:rPr>
      </w:pPr>
      <w:bookmarkStart w:id="11" w:name="_Toc243366084"/>
    </w:p>
    <w:p>
      <w:pPr>
        <w:keepNext w:val="0"/>
        <w:keepLines w:val="0"/>
        <w:pageBreakBefore w:val="0"/>
        <w:widowControl w:val="0"/>
        <w:kinsoku/>
        <w:wordWrap/>
        <w:overflowPunct/>
        <w:topLinePunct w:val="0"/>
        <w:autoSpaceDE/>
        <w:autoSpaceDN/>
        <w:bidi w:val="0"/>
        <w:adjustRightInd/>
        <w:snapToGrid/>
        <w:spacing w:before="0" w:afterLines="50" w:line="630" w:lineRule="exact"/>
        <w:jc w:val="center"/>
        <w:textAlignment w:val="auto"/>
        <w:rPr>
          <w:rFonts w:ascii="楷体" w:hAnsi="楷体" w:eastAsia="楷体" w:cs="楷体"/>
          <w:b/>
          <w:bCs/>
          <w:color w:val="000000" w:themeColor="text1"/>
          <w:sz w:val="44"/>
          <w:szCs w:val="44"/>
        </w:rPr>
      </w:pPr>
      <w:r>
        <w:rPr>
          <w:rFonts w:hint="eastAsia" w:ascii="黑体" w:hAnsi="黑体" w:eastAsia="黑体" w:cs="黑体"/>
          <w:b/>
          <w:bCs/>
          <w:color w:val="000000" w:themeColor="text1"/>
          <w:sz w:val="32"/>
          <w:szCs w:val="32"/>
        </w:rPr>
        <w:t>致估价委托人函</w:t>
      </w:r>
      <w:bookmarkEnd w:id="11"/>
    </w:p>
    <w:p>
      <w:pPr>
        <w:keepNext w:val="0"/>
        <w:keepLines w:val="0"/>
        <w:pageBreakBefore w:val="0"/>
        <w:widowControl w:val="0"/>
        <w:kinsoku/>
        <w:wordWrap/>
        <w:overflowPunct/>
        <w:topLinePunct w:val="0"/>
        <w:autoSpaceDN/>
        <w:bidi w:val="0"/>
        <w:adjustRightInd/>
        <w:snapToGrid/>
        <w:spacing w:line="540" w:lineRule="exact"/>
        <w:rPr>
          <w:rFonts w:eastAsia="楷体"/>
          <w:sz w:val="28"/>
        </w:rPr>
      </w:pPr>
      <w:r>
        <w:rPr>
          <w:rFonts w:hint="eastAsia" w:ascii="楷体" w:hAnsi="楷体" w:eastAsia="楷体"/>
          <w:sz w:val="28"/>
          <w:szCs w:val="28"/>
          <w:lang w:eastAsia="zh-CN"/>
        </w:rPr>
        <w:t>杭州市上城区人民法院</w:t>
      </w:r>
      <w:r>
        <w:rPr>
          <w:rFonts w:hint="eastAsia" w:eastAsia="楷体"/>
          <w:sz w:val="28"/>
        </w:rPr>
        <w:t>：</w:t>
      </w:r>
    </w:p>
    <w:p>
      <w:pPr>
        <w:keepNext w:val="0"/>
        <w:keepLines w:val="0"/>
        <w:pageBreakBefore w:val="0"/>
        <w:widowControl w:val="0"/>
        <w:kinsoku/>
        <w:wordWrap/>
        <w:overflowPunct/>
        <w:topLinePunct w:val="0"/>
        <w:autoSpaceDE w:val="0"/>
        <w:autoSpaceDN/>
        <w:bidi w:val="0"/>
        <w:adjustRightInd/>
        <w:snapToGrid/>
        <w:spacing w:line="540" w:lineRule="exact"/>
        <w:ind w:firstLine="560" w:firstLineChars="200"/>
        <w:textAlignment w:val="bottom"/>
        <w:rPr>
          <w:rFonts w:ascii="楷体" w:hAnsi="楷体" w:eastAsia="楷体" w:cs="楷体"/>
          <w:color w:val="000000"/>
          <w:sz w:val="28"/>
          <w:szCs w:val="28"/>
        </w:rPr>
      </w:pPr>
      <w:r>
        <w:rPr>
          <w:rFonts w:hint="eastAsia" w:ascii="楷体" w:hAnsi="楷体" w:eastAsia="楷体" w:cs="楷体"/>
          <w:color w:val="000000"/>
          <w:sz w:val="28"/>
          <w:szCs w:val="28"/>
        </w:rPr>
        <w:t>受贵方委托，</w:t>
      </w:r>
      <w:r>
        <w:rPr>
          <w:rFonts w:hint="eastAsia" w:ascii="楷体" w:hAnsi="楷体" w:eastAsia="楷体" w:cs="楷体"/>
          <w:color w:val="000000"/>
          <w:sz w:val="28"/>
          <w:szCs w:val="28"/>
          <w:highlight w:val="none"/>
          <w:lang w:val="en-US" w:eastAsia="zh-CN"/>
        </w:rPr>
        <w:t>根据（2022）浙0102委评224号《资产评估委托书》</w:t>
      </w:r>
      <w:r>
        <w:rPr>
          <w:rFonts w:hint="eastAsia" w:ascii="楷体" w:hAnsi="楷体" w:eastAsia="楷体" w:cs="楷体"/>
          <w:sz w:val="28"/>
          <w:szCs w:val="28"/>
          <w:highlight w:val="none"/>
        </w:rPr>
        <w:t>，</w:t>
      </w:r>
      <w:r>
        <w:rPr>
          <w:rFonts w:hint="eastAsia" w:ascii="楷体" w:hAnsi="楷体" w:eastAsia="楷体" w:cs="楷体"/>
          <w:color w:val="000000"/>
          <w:sz w:val="28"/>
          <w:szCs w:val="28"/>
        </w:rPr>
        <w:t>我们按照估价程序，遵照《中华人民共和国城市房地产管理法》、《房地产估价规范》、</w:t>
      </w:r>
      <w:r>
        <w:rPr>
          <w:rFonts w:hint="eastAsia" w:ascii="楷体" w:hAnsi="楷体" w:eastAsia="楷体"/>
          <w:sz w:val="28"/>
          <w:szCs w:val="28"/>
        </w:rPr>
        <w:t>《最高人民法院关于人民法院确定财产处置参考价若干问题的规定》</w:t>
      </w:r>
      <w:r>
        <w:rPr>
          <w:rFonts w:hint="eastAsia" w:ascii="楷体" w:hAnsi="楷体" w:eastAsia="楷体" w:cs="楷体"/>
          <w:color w:val="000000"/>
          <w:sz w:val="28"/>
          <w:szCs w:val="28"/>
        </w:rPr>
        <w:t xml:space="preserve">等法律法规和技术标准对委托房地产进行了分析、测算和判断，现将估价结果报告如下： </w:t>
      </w:r>
    </w:p>
    <w:p>
      <w:pPr>
        <w:keepNext w:val="0"/>
        <w:keepLines w:val="0"/>
        <w:pageBreakBefore w:val="0"/>
        <w:widowControl w:val="0"/>
        <w:kinsoku/>
        <w:wordWrap/>
        <w:overflowPunct/>
        <w:topLinePunct w:val="0"/>
        <w:autoSpaceDE w:val="0"/>
        <w:autoSpaceDN/>
        <w:bidi w:val="0"/>
        <w:adjustRightInd/>
        <w:snapToGrid/>
        <w:spacing w:line="540" w:lineRule="exact"/>
        <w:ind w:firstLine="560" w:firstLineChars="200"/>
        <w:textAlignment w:val="bottom"/>
        <w:rPr>
          <w:rFonts w:hint="eastAsia" w:ascii="楷体" w:hAnsi="楷体" w:eastAsia="楷体"/>
          <w:w w:val="98"/>
          <w:sz w:val="28"/>
          <w:szCs w:val="28"/>
          <w:lang w:val="en-US" w:eastAsia="zh-CN"/>
        </w:rPr>
      </w:pPr>
      <w:r>
        <w:rPr>
          <w:rFonts w:hint="eastAsia" w:ascii="楷体" w:hAnsi="楷体" w:eastAsia="楷体" w:cs="楷体"/>
          <w:color w:val="000000"/>
          <w:sz w:val="28"/>
          <w:szCs w:val="28"/>
        </w:rPr>
        <w:t>【估价对象】</w:t>
      </w:r>
      <w:r>
        <w:rPr>
          <w:rFonts w:hint="eastAsia" w:ascii="楷体" w:hAnsi="楷体" w:eastAsia="楷体"/>
          <w:w w:val="100"/>
          <w:sz w:val="28"/>
          <w:szCs w:val="28"/>
        </w:rPr>
        <w:t>位于</w:t>
      </w:r>
      <w:r>
        <w:rPr>
          <w:rFonts w:hint="eastAsia" w:ascii="楷体" w:hAnsi="楷体" w:eastAsia="楷体"/>
          <w:spacing w:val="-6"/>
          <w:w w:val="100"/>
          <w:sz w:val="28"/>
          <w:szCs w:val="28"/>
          <w:lang w:eastAsia="zh-CN"/>
        </w:rPr>
        <w:t>杭州钱塘新区水云城13幢3单元101室</w:t>
      </w:r>
      <w:r>
        <w:rPr>
          <w:rFonts w:hint="eastAsia" w:ascii="楷体" w:hAnsi="楷体" w:eastAsia="楷体"/>
          <w:w w:val="100"/>
          <w:sz w:val="28"/>
          <w:szCs w:val="28"/>
        </w:rPr>
        <w:t>住宅房地产（包含估价对象房屋所有权、</w:t>
      </w:r>
      <w:r>
        <w:rPr>
          <w:rFonts w:hint="eastAsia" w:ascii="楷体" w:hAnsi="楷体" w:eastAsia="楷体"/>
          <w:w w:val="100"/>
          <w:sz w:val="28"/>
          <w:szCs w:val="28"/>
          <w:lang w:val="en-US" w:eastAsia="zh-CN"/>
        </w:rPr>
        <w:t>国有土地使用权、室内固定装修及可移动家具家电</w:t>
      </w:r>
      <w:r>
        <w:rPr>
          <w:rFonts w:hint="eastAsia" w:ascii="楷体" w:hAnsi="楷体" w:eastAsia="楷体"/>
          <w:w w:val="100"/>
          <w:sz w:val="28"/>
          <w:szCs w:val="28"/>
        </w:rPr>
        <w:t>）。估价对象</w:t>
      </w:r>
      <w:r>
        <w:rPr>
          <w:rFonts w:hint="eastAsia" w:ascii="楷体" w:hAnsi="楷体" w:eastAsia="楷体"/>
          <w:w w:val="100"/>
          <w:sz w:val="28"/>
          <w:szCs w:val="28"/>
          <w:lang w:val="en-US" w:eastAsia="zh-CN"/>
        </w:rPr>
        <w:t>权利类型为国有建设用地使用权/房屋(构筑物）所有权，权利性质为出让/市场化商品房，</w:t>
      </w:r>
      <w:r>
        <w:rPr>
          <w:rFonts w:hint="eastAsia" w:ascii="楷体" w:hAnsi="楷体" w:eastAsia="楷体"/>
          <w:w w:val="100"/>
          <w:sz w:val="28"/>
          <w:szCs w:val="28"/>
        </w:rPr>
        <w:t>房屋</w:t>
      </w:r>
      <w:r>
        <w:rPr>
          <w:rFonts w:hint="eastAsia" w:ascii="楷体" w:hAnsi="楷体" w:eastAsia="楷体"/>
          <w:w w:val="100"/>
          <w:sz w:val="28"/>
          <w:szCs w:val="28"/>
          <w:lang w:eastAsia="zh-CN"/>
        </w:rPr>
        <w:t>建筑面积88.83平方米</w:t>
      </w:r>
      <w:r>
        <w:rPr>
          <w:rFonts w:hint="eastAsia" w:ascii="楷体" w:hAnsi="楷体" w:eastAsia="楷体"/>
          <w:w w:val="100"/>
          <w:sz w:val="28"/>
          <w:szCs w:val="28"/>
        </w:rPr>
        <w:t>，</w:t>
      </w:r>
      <w:r>
        <w:rPr>
          <w:rFonts w:hint="eastAsia" w:ascii="楷体" w:hAnsi="楷体" w:eastAsia="楷体"/>
          <w:w w:val="100"/>
          <w:sz w:val="28"/>
          <w:szCs w:val="28"/>
          <w:lang w:val="en-US" w:eastAsia="zh-CN"/>
        </w:rPr>
        <w:t>土地使用权面积13.8平方米，使用期限至2088年01月04日。</w:t>
      </w:r>
    </w:p>
    <w:p>
      <w:pPr>
        <w:keepNext w:val="0"/>
        <w:keepLines w:val="0"/>
        <w:pageBreakBefore w:val="0"/>
        <w:widowControl w:val="0"/>
        <w:kinsoku/>
        <w:wordWrap/>
        <w:overflowPunct/>
        <w:topLinePunct w:val="0"/>
        <w:autoSpaceDE w:val="0"/>
        <w:autoSpaceDN/>
        <w:bidi w:val="0"/>
        <w:adjustRightInd/>
        <w:snapToGrid/>
        <w:spacing w:line="540" w:lineRule="exact"/>
        <w:ind w:firstLine="560" w:firstLineChars="200"/>
        <w:textAlignment w:val="bottom"/>
        <w:rPr>
          <w:rFonts w:ascii="楷体" w:hAnsi="楷体" w:eastAsia="楷体" w:cs="楷体"/>
          <w:color w:val="000000"/>
          <w:sz w:val="28"/>
          <w:szCs w:val="28"/>
        </w:rPr>
      </w:pPr>
      <w:r>
        <w:rPr>
          <w:rFonts w:hint="eastAsia" w:ascii="楷体" w:hAnsi="楷体" w:eastAsia="楷体" w:cs="楷体"/>
          <w:color w:val="000000"/>
          <w:sz w:val="28"/>
          <w:szCs w:val="28"/>
        </w:rPr>
        <w:t>【估价目的】</w:t>
      </w:r>
      <w:r>
        <w:rPr>
          <w:rFonts w:hint="eastAsia" w:ascii="楷体" w:hAnsi="楷体" w:eastAsia="楷体"/>
          <w:sz w:val="28"/>
        </w:rPr>
        <w:t>为人民法院确定财产处置参考价提供参考依据。</w:t>
      </w:r>
    </w:p>
    <w:p>
      <w:pPr>
        <w:keepNext w:val="0"/>
        <w:keepLines w:val="0"/>
        <w:pageBreakBefore w:val="0"/>
        <w:widowControl w:val="0"/>
        <w:kinsoku/>
        <w:wordWrap/>
        <w:overflowPunct/>
        <w:topLinePunct w:val="0"/>
        <w:autoSpaceDE w:val="0"/>
        <w:autoSpaceDN/>
        <w:bidi w:val="0"/>
        <w:adjustRightInd/>
        <w:snapToGrid/>
        <w:spacing w:line="540" w:lineRule="exact"/>
        <w:ind w:firstLine="560" w:firstLineChars="200"/>
        <w:textAlignment w:val="bottom"/>
        <w:rPr>
          <w:rFonts w:ascii="楷体" w:hAnsi="楷体" w:eastAsia="楷体" w:cs="楷体"/>
          <w:color w:val="000000"/>
          <w:sz w:val="28"/>
          <w:szCs w:val="28"/>
        </w:rPr>
      </w:pPr>
      <w:r>
        <w:rPr>
          <w:rFonts w:hint="eastAsia" w:ascii="楷体" w:hAnsi="楷体" w:eastAsia="楷体" w:cs="楷体"/>
          <w:color w:val="000000"/>
          <w:sz w:val="28"/>
          <w:szCs w:val="28"/>
        </w:rPr>
        <w:t>【价值时点】</w:t>
      </w:r>
      <w:r>
        <w:rPr>
          <w:rFonts w:hint="eastAsia" w:ascii="楷体" w:hAnsi="楷体" w:eastAsia="楷体" w:cs="楷体"/>
          <w:color w:val="000000"/>
          <w:sz w:val="28"/>
          <w:szCs w:val="28"/>
          <w:lang w:eastAsia="zh-CN"/>
        </w:rPr>
        <w:t>二Ο二二年七月二十七日</w:t>
      </w:r>
      <w:r>
        <w:rPr>
          <w:rFonts w:hint="eastAsia" w:ascii="楷体" w:hAnsi="楷体" w:eastAsia="楷体" w:cs="楷体"/>
          <w:color w:val="000000"/>
          <w:sz w:val="28"/>
          <w:szCs w:val="28"/>
        </w:rPr>
        <w:t>(实地查勘</w:t>
      </w:r>
      <w:r>
        <w:rPr>
          <w:rFonts w:hint="eastAsia" w:ascii="楷体" w:hAnsi="楷体" w:eastAsia="楷体" w:cs="楷体"/>
          <w:color w:val="000000"/>
          <w:sz w:val="28"/>
          <w:szCs w:val="28"/>
          <w:lang w:val="en-US" w:eastAsia="zh-CN"/>
        </w:rPr>
        <w:t>之</w:t>
      </w:r>
      <w:r>
        <w:rPr>
          <w:rFonts w:hint="eastAsia" w:ascii="楷体" w:hAnsi="楷体" w:eastAsia="楷体" w:cs="楷体"/>
          <w:color w:val="000000"/>
          <w:sz w:val="28"/>
          <w:szCs w:val="28"/>
        </w:rPr>
        <w:t>日)。</w:t>
      </w:r>
    </w:p>
    <w:p>
      <w:pPr>
        <w:keepNext w:val="0"/>
        <w:keepLines w:val="0"/>
        <w:pageBreakBefore w:val="0"/>
        <w:widowControl w:val="0"/>
        <w:kinsoku/>
        <w:wordWrap/>
        <w:overflowPunct/>
        <w:topLinePunct w:val="0"/>
        <w:autoSpaceDE w:val="0"/>
        <w:autoSpaceDN/>
        <w:bidi w:val="0"/>
        <w:adjustRightInd/>
        <w:snapToGrid/>
        <w:spacing w:line="540" w:lineRule="exact"/>
        <w:ind w:firstLine="560" w:firstLineChars="200"/>
        <w:textAlignment w:val="bottom"/>
        <w:rPr>
          <w:rFonts w:ascii="楷体" w:hAnsi="楷体" w:eastAsia="楷体" w:cs="楷体"/>
          <w:color w:val="000000"/>
          <w:sz w:val="28"/>
          <w:szCs w:val="28"/>
        </w:rPr>
      </w:pPr>
      <w:r>
        <w:rPr>
          <w:rFonts w:hint="eastAsia" w:ascii="楷体" w:hAnsi="楷体" w:eastAsia="楷体" w:cs="楷体"/>
          <w:color w:val="000000"/>
          <w:sz w:val="28"/>
          <w:szCs w:val="28"/>
        </w:rPr>
        <w:t>【价值类型】本次估价结果为估价对象在价值时点的市场价值。</w:t>
      </w:r>
    </w:p>
    <w:p>
      <w:pPr>
        <w:keepNext w:val="0"/>
        <w:keepLines w:val="0"/>
        <w:pageBreakBefore w:val="0"/>
        <w:widowControl w:val="0"/>
        <w:kinsoku/>
        <w:wordWrap/>
        <w:overflowPunct/>
        <w:topLinePunct w:val="0"/>
        <w:autoSpaceDE w:val="0"/>
        <w:autoSpaceDN/>
        <w:bidi w:val="0"/>
        <w:adjustRightInd/>
        <w:snapToGrid/>
        <w:spacing w:line="540" w:lineRule="exact"/>
        <w:ind w:firstLine="560" w:firstLineChars="200"/>
        <w:textAlignment w:val="bottom"/>
        <w:rPr>
          <w:rFonts w:ascii="楷体" w:hAnsi="楷体" w:eastAsia="楷体" w:cs="楷体"/>
          <w:color w:val="000000"/>
          <w:sz w:val="28"/>
          <w:szCs w:val="28"/>
        </w:rPr>
      </w:pPr>
      <w:r>
        <w:rPr>
          <w:rFonts w:hint="eastAsia" w:ascii="楷体" w:hAnsi="楷体" w:eastAsia="楷体" w:cs="楷体"/>
          <w:color w:val="000000"/>
          <w:sz w:val="28"/>
          <w:szCs w:val="28"/>
        </w:rPr>
        <w:t>【估价方法】采用比较法</w:t>
      </w:r>
      <w:r>
        <w:rPr>
          <w:rFonts w:hint="eastAsia" w:ascii="楷体" w:hAnsi="楷体" w:eastAsia="楷体" w:cs="楷体"/>
          <w:color w:val="000000"/>
          <w:sz w:val="28"/>
          <w:szCs w:val="28"/>
          <w:lang w:val="en-US" w:eastAsia="zh-CN"/>
        </w:rPr>
        <w:t>和</w:t>
      </w:r>
      <w:r>
        <w:rPr>
          <w:rFonts w:hint="eastAsia" w:ascii="楷体" w:hAnsi="楷体" w:eastAsia="楷体" w:cs="楷体"/>
          <w:color w:val="000000"/>
          <w:sz w:val="28"/>
          <w:szCs w:val="28"/>
        </w:rPr>
        <w:t>收益法对估价对象进行测算。</w:t>
      </w:r>
    </w:p>
    <w:p>
      <w:pPr>
        <w:keepNext w:val="0"/>
        <w:keepLines w:val="0"/>
        <w:pageBreakBefore w:val="0"/>
        <w:widowControl w:val="0"/>
        <w:kinsoku/>
        <w:wordWrap/>
        <w:overflowPunct/>
        <w:topLinePunct w:val="0"/>
        <w:autoSpaceDN/>
        <w:bidi w:val="0"/>
        <w:adjustRightInd/>
        <w:snapToGrid/>
        <w:spacing w:line="540" w:lineRule="exact"/>
        <w:ind w:firstLine="560" w:firstLineChars="200"/>
        <w:rPr>
          <w:rFonts w:ascii="楷体" w:hAnsi="楷体" w:eastAsia="楷体"/>
          <w:bCs/>
          <w:sz w:val="28"/>
          <w:szCs w:val="22"/>
          <w:highlight w:val="none"/>
        </w:rPr>
      </w:pPr>
      <w:r>
        <w:rPr>
          <w:rFonts w:hint="eastAsia" w:ascii="楷体" w:hAnsi="楷体" w:eastAsia="楷体" w:cs="楷体"/>
          <w:color w:val="000000"/>
          <w:sz w:val="28"/>
          <w:szCs w:val="28"/>
        </w:rPr>
        <w:t>【估价结果】估价对象受本报告估价目的与</w:t>
      </w:r>
      <w:r>
        <w:rPr>
          <w:rFonts w:hint="eastAsia" w:ascii="楷体" w:hAnsi="楷体" w:eastAsia="楷体" w:cs="楷体"/>
          <w:color w:val="000000"/>
          <w:sz w:val="28"/>
          <w:szCs w:val="28"/>
          <w:lang w:val="en-US" w:eastAsia="zh-CN"/>
        </w:rPr>
        <w:t>估价</w:t>
      </w:r>
      <w:r>
        <w:rPr>
          <w:rFonts w:hint="eastAsia" w:ascii="楷体" w:hAnsi="楷体" w:eastAsia="楷体" w:cs="楷体"/>
          <w:color w:val="000000"/>
          <w:sz w:val="28"/>
          <w:szCs w:val="28"/>
        </w:rPr>
        <w:t>假设</w:t>
      </w:r>
      <w:r>
        <w:rPr>
          <w:rFonts w:hint="eastAsia" w:ascii="楷体" w:hAnsi="楷体" w:eastAsia="楷体" w:cs="楷体"/>
          <w:color w:val="000000"/>
          <w:sz w:val="28"/>
          <w:szCs w:val="28"/>
          <w:lang w:val="en-US" w:eastAsia="zh-CN"/>
        </w:rPr>
        <w:t>和</w:t>
      </w:r>
      <w:r>
        <w:rPr>
          <w:rFonts w:hint="eastAsia" w:ascii="楷体" w:hAnsi="楷体" w:eastAsia="楷体" w:cs="楷体"/>
          <w:color w:val="000000"/>
          <w:sz w:val="28"/>
          <w:szCs w:val="28"/>
        </w:rPr>
        <w:t>限制条件制约，于价值时</w:t>
      </w:r>
      <w:r>
        <w:rPr>
          <w:rFonts w:hint="eastAsia" w:ascii="楷体" w:hAnsi="楷体" w:eastAsia="楷体" w:cs="楷体"/>
          <w:color w:val="000000"/>
          <w:sz w:val="28"/>
          <w:szCs w:val="28"/>
          <w:highlight w:val="none"/>
        </w:rPr>
        <w:t>点</w:t>
      </w:r>
      <w:r>
        <w:rPr>
          <w:rFonts w:hint="eastAsia" w:ascii="楷体" w:hAnsi="楷体" w:eastAsia="楷体" w:cs="楷体"/>
          <w:color w:val="000000"/>
          <w:sz w:val="28"/>
          <w:szCs w:val="28"/>
          <w:highlight w:val="none"/>
          <w:lang w:val="en-US" w:eastAsia="zh-CN"/>
        </w:rPr>
        <w:t>的</w:t>
      </w:r>
      <w:r>
        <w:rPr>
          <w:rFonts w:hint="eastAsia" w:ascii="楷体" w:hAnsi="楷体" w:eastAsia="楷体"/>
          <w:sz w:val="28"/>
          <w:highlight w:val="none"/>
        </w:rPr>
        <w:t>市场价值为</w:t>
      </w:r>
      <w:r>
        <w:rPr>
          <w:rFonts w:hint="eastAsia" w:ascii="楷体" w:hAnsi="楷体" w:eastAsia="楷体"/>
          <w:b/>
          <w:sz w:val="28"/>
          <w:highlight w:val="none"/>
          <w:lang w:val="en-US" w:eastAsia="zh-CN"/>
        </w:rPr>
        <w:t>人民币291.16万元整（其中房地产价值289万元，单价32500元/平方米,可移动家具家电价值2.16万元），大写为人民币贰佰玖拾壹万壹仟陆佰元整。</w:t>
      </w:r>
    </w:p>
    <w:p>
      <w:pPr>
        <w:pStyle w:val="10"/>
        <w:keepNext w:val="0"/>
        <w:keepLines w:val="0"/>
        <w:pageBreakBefore w:val="0"/>
        <w:widowControl w:val="0"/>
        <w:kinsoku/>
        <w:wordWrap/>
        <w:overflowPunct/>
        <w:topLinePunct w:val="0"/>
        <w:autoSpaceDE/>
        <w:autoSpaceDN/>
        <w:bidi w:val="0"/>
        <w:adjustRightInd/>
        <w:snapToGrid/>
        <w:spacing w:before="0" w:after="0" w:afterLines="50" w:line="580" w:lineRule="exact"/>
        <w:ind w:firstLine="560" w:firstLineChars="200"/>
        <w:jc w:val="left"/>
        <w:textAlignment w:val="baseline"/>
        <w:rPr>
          <w:rFonts w:hint="eastAsia" w:ascii="楷体" w:hAnsi="楷体" w:eastAsia="楷体" w:cs="楷体"/>
          <w:color w:val="000000" w:themeColor="text1"/>
          <w:kern w:val="2"/>
          <w:szCs w:val="28"/>
          <w:highlight w:val="none"/>
        </w:rPr>
      </w:pPr>
      <w:r>
        <w:rPr>
          <w:rFonts w:hint="eastAsia" w:ascii="楷体" w:hAnsi="楷体" w:eastAsia="楷体" w:cs="楷体"/>
          <w:color w:val="000000" w:themeColor="text1"/>
          <w:kern w:val="2"/>
          <w:szCs w:val="28"/>
          <w:highlight w:val="none"/>
        </w:rPr>
        <w:t>特此函告！</w:t>
      </w:r>
    </w:p>
    <w:p>
      <w:pPr>
        <w:keepNext w:val="0"/>
        <w:keepLines w:val="0"/>
        <w:pageBreakBefore w:val="0"/>
        <w:widowControl w:val="0"/>
        <w:kinsoku/>
        <w:wordWrap/>
        <w:overflowPunct/>
        <w:topLinePunct w:val="0"/>
        <w:autoSpaceDN/>
        <w:bidi w:val="0"/>
        <w:adjustRightInd/>
        <w:snapToGrid/>
        <w:spacing w:line="580" w:lineRule="exact"/>
        <w:jc w:val="right"/>
        <w:rPr>
          <w:rFonts w:ascii="楷体" w:hAnsi="楷体" w:eastAsia="楷体" w:cs="楷体"/>
          <w:color w:val="000000" w:themeColor="text1"/>
          <w:sz w:val="28"/>
          <w:szCs w:val="28"/>
          <w:highlight w:val="none"/>
        </w:rPr>
      </w:pPr>
      <w:r>
        <w:rPr>
          <w:rFonts w:hint="eastAsia" w:ascii="楷体" w:hAnsi="楷体" w:eastAsia="楷体" w:cs="楷体"/>
          <w:color w:val="000000" w:themeColor="text1"/>
          <w:sz w:val="28"/>
          <w:szCs w:val="28"/>
          <w:highlight w:val="none"/>
        </w:rPr>
        <w:t>杭州天平房地产评估有限公司</w:t>
      </w:r>
    </w:p>
    <w:p>
      <w:pPr>
        <w:keepNext w:val="0"/>
        <w:keepLines w:val="0"/>
        <w:pageBreakBefore w:val="0"/>
        <w:widowControl w:val="0"/>
        <w:kinsoku/>
        <w:wordWrap/>
        <w:overflowPunct/>
        <w:topLinePunct w:val="0"/>
        <w:autoSpaceDN/>
        <w:bidi w:val="0"/>
        <w:adjustRightInd/>
        <w:snapToGrid/>
        <w:spacing w:line="580" w:lineRule="exact"/>
        <w:ind w:firstLine="5880" w:firstLineChars="2100"/>
        <w:jc w:val="left"/>
        <w:rPr>
          <w:rFonts w:ascii="楷体" w:hAnsi="楷体" w:eastAsia="楷体" w:cs="楷体"/>
          <w:color w:val="000000" w:themeColor="text1"/>
          <w:sz w:val="28"/>
          <w:szCs w:val="28"/>
          <w:highlight w:val="none"/>
        </w:rPr>
      </w:pPr>
      <w:r>
        <w:rPr>
          <w:rFonts w:hint="eastAsia" w:ascii="楷体" w:hAnsi="楷体" w:eastAsia="楷体" w:cs="楷体"/>
          <w:color w:val="000000" w:themeColor="text1"/>
          <w:sz w:val="28"/>
          <w:szCs w:val="28"/>
          <w:highlight w:val="none"/>
        </w:rPr>
        <w:t>法定代表人：</w:t>
      </w:r>
      <w:r>
        <w:rPr>
          <w:rFonts w:hint="eastAsia" w:eastAsia="楷体"/>
          <w:sz w:val="28"/>
          <w:szCs w:val="28"/>
          <w:highlight w:val="none"/>
        </w:rPr>
        <w:t>杨甦</w:t>
      </w:r>
    </w:p>
    <w:p>
      <w:pPr>
        <w:keepNext w:val="0"/>
        <w:keepLines w:val="0"/>
        <w:pageBreakBefore w:val="0"/>
        <w:widowControl w:val="0"/>
        <w:kinsoku/>
        <w:wordWrap/>
        <w:overflowPunct/>
        <w:topLinePunct w:val="0"/>
        <w:autoSpaceDN/>
        <w:bidi w:val="0"/>
        <w:adjustRightInd/>
        <w:snapToGrid/>
        <w:spacing w:line="580" w:lineRule="exact"/>
        <w:jc w:val="right"/>
        <w:rPr>
          <w:rFonts w:hint="eastAsia" w:ascii="楷体" w:hAnsi="楷体" w:eastAsia="宋体" w:cs="楷体"/>
          <w:b w:val="0"/>
          <w:bCs w:val="0"/>
          <w:sz w:val="28"/>
          <w:highlight w:val="none"/>
          <w:lang w:eastAsia="zh-CN"/>
        </w:rPr>
      </w:pPr>
      <w:r>
        <w:rPr>
          <w:rFonts w:hint="eastAsia" w:ascii="楷体" w:hAnsi="楷体" w:eastAsia="楷体" w:cs="楷体"/>
          <w:color w:val="000000" w:themeColor="text1"/>
          <w:sz w:val="28"/>
          <w:szCs w:val="28"/>
          <w:highlight w:val="none"/>
        </w:rPr>
        <w:t xml:space="preserve">                  </w:t>
      </w:r>
      <w:r>
        <w:rPr>
          <w:rFonts w:hint="eastAsia"/>
          <w:sz w:val="28"/>
          <w:highlight w:val="none"/>
        </w:rPr>
        <w:t xml:space="preserve">             </w:t>
      </w:r>
      <w:r>
        <w:rPr>
          <w:rFonts w:hint="eastAsia" w:ascii="楷体" w:hAnsi="楷体" w:eastAsia="楷体" w:cs="楷体"/>
          <w:b w:val="0"/>
          <w:bCs w:val="0"/>
          <w:sz w:val="28"/>
          <w:highlight w:val="none"/>
          <w:lang w:eastAsia="zh-CN"/>
        </w:rPr>
        <w:t>二Ο二二年八月二日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楷体" w:hAnsi="楷体" w:eastAsia="楷体" w:cs="楷体"/>
          <w:b/>
          <w:bCs/>
          <w:sz w:val="28"/>
          <w:highlight w:val="none"/>
        </w:rPr>
      </w:pPr>
      <w:r>
        <w:rPr>
          <w:rFonts w:hint="eastAsia" w:ascii="楷体" w:hAnsi="楷体" w:eastAsia="楷体" w:cs="楷体"/>
          <w:b/>
          <w:bCs/>
          <w:color w:val="000000" w:themeColor="text1"/>
          <w:sz w:val="28"/>
          <w:szCs w:val="28"/>
          <w:highlight w:val="none"/>
        </w:rPr>
        <w:t>特别提示：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1、</w:t>
      </w:r>
      <w:r>
        <w:rPr>
          <w:rFonts w:hint="eastAsia" w:ascii="楷体" w:hAnsi="楷体" w:eastAsia="楷体" w:cs="楷体"/>
          <w:b w:val="0"/>
          <w:bCs w:val="0"/>
          <w:sz w:val="28"/>
          <w:highlight w:val="none"/>
        </w:rPr>
        <w:t>以上内容摘自房地产估价报告，请认真阅读房地产估价报告全文。本估价结果受到本估价报告中说明的估价假设和限制条件的制约。本估价报告自出具之日起使用期限壹年。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2、</w:t>
      </w:r>
      <w:r>
        <w:rPr>
          <w:rFonts w:hint="eastAsia" w:ascii="楷体" w:hAnsi="楷体" w:eastAsia="楷体" w:cs="楷体"/>
          <w:b w:val="0"/>
          <w:bCs w:val="0"/>
          <w:sz w:val="28"/>
          <w:highlight w:val="none"/>
        </w:rPr>
        <w:t>应当按照法律规定和评估报告载明的用途、使用人、使用期限等使用范围使用评估报告。否则，房地产估价机构和注册房地产估价师依法不承担责任；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3、估价</w:t>
      </w:r>
      <w:r>
        <w:rPr>
          <w:rFonts w:hint="eastAsia" w:ascii="楷体" w:hAnsi="楷体" w:eastAsia="楷体" w:cs="楷体"/>
          <w:b w:val="0"/>
          <w:bCs w:val="0"/>
          <w:sz w:val="28"/>
          <w:highlight w:val="none"/>
        </w:rPr>
        <w:t>结果仅为人民法院确定财产处置参考价服务，不是</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对象处置可实现的成交价格，也不应当被视为对</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对象处置成交价格的保证；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4、</w:t>
      </w:r>
      <w:r>
        <w:rPr>
          <w:rFonts w:hint="eastAsia" w:ascii="楷体" w:hAnsi="楷体" w:eastAsia="楷体" w:cs="楷体"/>
          <w:b w:val="0"/>
          <w:bCs w:val="0"/>
          <w:sz w:val="28"/>
          <w:highlight w:val="none"/>
        </w:rPr>
        <w:t>财产拍卖或者变卖之日与价值时点不一致，可能导致</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结果对应的</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对象状况、房地产市场状况、欠缴税费状况等与财产拍卖或者变卖时的相应状况不一致，发生明显变化的，</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结果应当进行相应调整后才可使用；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5、</w:t>
      </w:r>
      <w:r>
        <w:rPr>
          <w:rFonts w:hint="eastAsia" w:ascii="楷体" w:hAnsi="楷体" w:eastAsia="楷体" w:cs="楷体"/>
          <w:b w:val="0"/>
          <w:bCs w:val="0"/>
          <w:sz w:val="28"/>
          <w:highlight w:val="none"/>
        </w:rPr>
        <w:t>在</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报告使用期限或者</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结果有效期内，</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报告或者</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结果未使用之前，如果</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对象状况或者房地产市场状况发生明显变化的，</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结果应当进行相应调整后才可使用；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left"/>
        <w:textAlignment w:val="auto"/>
        <w:rPr>
          <w:rFonts w:hint="eastAsia" w:ascii="楷体" w:hAnsi="楷体" w:eastAsia="楷体" w:cs="楷体"/>
          <w:b w:val="0"/>
          <w:bCs w:val="0"/>
          <w:sz w:val="28"/>
          <w:highlight w:val="none"/>
        </w:rPr>
      </w:pPr>
      <w:r>
        <w:rPr>
          <w:rFonts w:hint="eastAsia" w:ascii="楷体" w:hAnsi="楷体" w:eastAsia="楷体" w:cs="楷体"/>
          <w:b w:val="0"/>
          <w:bCs w:val="0"/>
          <w:sz w:val="28"/>
          <w:highlight w:val="none"/>
          <w:lang w:val="en-US" w:eastAsia="zh-CN"/>
        </w:rPr>
        <w:t>6、</w:t>
      </w:r>
      <w:r>
        <w:rPr>
          <w:rFonts w:hint="eastAsia" w:ascii="楷体" w:hAnsi="楷体" w:eastAsia="楷体" w:cs="楷体"/>
          <w:b w:val="0"/>
          <w:bCs w:val="0"/>
          <w:sz w:val="28"/>
          <w:highlight w:val="none"/>
        </w:rPr>
        <w:t>当事人、利害关系人收到</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报告后五日内可对</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报告的参照标准、计算方法或者</w:t>
      </w:r>
      <w:r>
        <w:rPr>
          <w:rFonts w:hint="eastAsia" w:ascii="楷体" w:hAnsi="楷体" w:eastAsia="楷体" w:cs="楷体"/>
          <w:b w:val="0"/>
          <w:bCs w:val="0"/>
          <w:sz w:val="28"/>
          <w:highlight w:val="none"/>
          <w:lang w:val="en-US" w:eastAsia="zh-CN"/>
        </w:rPr>
        <w:t>估价</w:t>
      </w:r>
      <w:r>
        <w:rPr>
          <w:rFonts w:hint="eastAsia" w:ascii="楷体" w:hAnsi="楷体" w:eastAsia="楷体" w:cs="楷体"/>
          <w:b w:val="0"/>
          <w:bCs w:val="0"/>
          <w:sz w:val="28"/>
          <w:highlight w:val="none"/>
        </w:rPr>
        <w:t>结果等向人民法院提出书面异议，本公司将根据异议进行复核并作出书面说明。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jc w:val="left"/>
        <w:textAlignment w:val="auto"/>
        <w:rPr>
          <w:rFonts w:hint="eastAsia" w:ascii="楷体" w:hAnsi="楷体" w:eastAsia="楷体" w:cs="楷体"/>
          <w:b w:val="0"/>
          <w:bCs w:val="0"/>
          <w:sz w:val="28"/>
          <w:highlight w:val="none"/>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b w:val="0"/>
          <w:bCs w:val="0"/>
          <w:sz w:val="28"/>
          <w:highlight w:val="yellow"/>
        </w:rPr>
      </w:pPr>
    </w:p>
    <w:p>
      <w:pPr>
        <w:jc w:val="right"/>
        <w:rPr>
          <w:rFonts w:hint="eastAsia" w:ascii="楷体" w:hAnsi="楷体" w:eastAsia="楷体" w:cs="楷体"/>
          <w:b w:val="0"/>
          <w:bCs w:val="0"/>
          <w:sz w:val="28"/>
          <w:highlight w:val="yellow"/>
        </w:rPr>
      </w:pPr>
    </w:p>
    <w:p>
      <w:pPr>
        <w:jc w:val="right"/>
        <w:rPr>
          <w:rFonts w:hint="eastAsia" w:ascii="楷体" w:hAnsi="楷体" w:eastAsia="楷体" w:cs="楷体"/>
          <w:b w:val="0"/>
          <w:bCs w:val="0"/>
          <w:sz w:val="28"/>
          <w:highlight w:val="yellow"/>
        </w:rPr>
      </w:pPr>
    </w:p>
    <w:p>
      <w:pPr>
        <w:jc w:val="right"/>
        <w:rPr>
          <w:rFonts w:hint="eastAsia" w:ascii="楷体" w:hAnsi="楷体" w:eastAsia="楷体" w:cs="楷体"/>
          <w:b w:val="0"/>
          <w:bCs w:val="0"/>
          <w:sz w:val="28"/>
          <w:highlight w:val="yellow"/>
        </w:rPr>
      </w:pPr>
    </w:p>
    <w:p>
      <w:pPr>
        <w:jc w:val="right"/>
        <w:rPr>
          <w:rFonts w:hint="eastAsia" w:ascii="楷体" w:hAnsi="楷体" w:eastAsia="楷体" w:cs="楷体"/>
          <w:b w:val="0"/>
          <w:bCs w:val="0"/>
          <w:sz w:val="28"/>
          <w:highlight w:val="yellow"/>
        </w:rPr>
      </w:pPr>
    </w:p>
    <w:sdt>
      <w:sdtPr>
        <w:rPr>
          <w:rFonts w:ascii="宋体" w:hAnsi="宋体"/>
          <w:b w:val="0"/>
          <w:bCs w:val="0"/>
          <w:sz w:val="21"/>
          <w:szCs w:val="24"/>
        </w:rPr>
        <w:id w:val="147476667"/>
        <w:docPartObj>
          <w:docPartGallery w:val="Table of Contents"/>
          <w:docPartUnique/>
        </w:docPartObj>
      </w:sdtPr>
      <w:sdtEndPr>
        <w:rPr>
          <w:rFonts w:hint="eastAsia" w:ascii="楷体" w:hAnsi="楷体" w:eastAsia="楷体" w:cs="楷体"/>
          <w:b w:val="0"/>
          <w:bCs w:val="0"/>
          <w:color w:val="000000" w:themeColor="text1"/>
          <w:spacing w:val="20"/>
          <w:sz w:val="28"/>
          <w:szCs w:val="28"/>
        </w:rPr>
      </w:sdtEndPr>
      <w:sdtContent>
        <w:p>
          <w:pPr>
            <w:pStyle w:val="3"/>
            <w:keepNext/>
            <w:keepLines/>
            <w:pageBreakBefore w:val="0"/>
            <w:widowControl w:val="0"/>
            <w:kinsoku/>
            <w:wordWrap/>
            <w:overflowPunct/>
            <w:topLinePunct w:val="0"/>
            <w:autoSpaceDE/>
            <w:autoSpaceDN/>
            <w:bidi w:val="0"/>
            <w:adjustRightInd/>
            <w:snapToGrid w:val="0"/>
            <w:spacing w:before="0" w:beforeLines="50" w:after="0" w:afterLines="50" w:line="630" w:lineRule="exact"/>
            <w:jc w:val="center"/>
            <w:textAlignment w:val="auto"/>
            <w:rPr>
              <w:rFonts w:ascii="楷体" w:hAnsi="楷体" w:cs="楷体"/>
              <w:sz w:val="32"/>
              <w:szCs w:val="40"/>
            </w:rPr>
          </w:pPr>
          <w:bookmarkStart w:id="12" w:name="_Toc25990"/>
          <w:r>
            <w:rPr>
              <w:rFonts w:hint="eastAsia" w:ascii="黑体" w:hAnsi="黑体" w:eastAsia="黑体" w:cs="黑体"/>
              <w:color w:val="000000" w:themeColor="text1"/>
              <w:kern w:val="44"/>
              <w:sz w:val="32"/>
            </w:rPr>
            <w:t>目</w:t>
          </w:r>
          <w:r>
            <w:rPr>
              <w:rFonts w:hint="eastAsia" w:ascii="黑体" w:hAnsi="黑体" w:eastAsia="黑体" w:cs="黑体"/>
              <w:color w:val="000000" w:themeColor="text1"/>
              <w:kern w:val="44"/>
              <w:sz w:val="32"/>
              <w:lang w:val="en-US" w:eastAsia="zh-CN"/>
            </w:rPr>
            <w:t xml:space="preserve">  </w:t>
          </w:r>
          <w:r>
            <w:rPr>
              <w:rFonts w:hint="eastAsia" w:ascii="黑体" w:hAnsi="黑体" w:eastAsia="黑体" w:cs="黑体"/>
              <w:color w:val="000000" w:themeColor="text1"/>
              <w:kern w:val="44"/>
              <w:sz w:val="32"/>
            </w:rPr>
            <w:t>录</w:t>
          </w:r>
          <w:bookmarkEnd w:id="12"/>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4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color w:val="000000" w:themeColor="text1"/>
              <w:spacing w:val="20"/>
              <w:sz w:val="28"/>
              <w:szCs w:val="28"/>
            </w:rPr>
            <w:instrText xml:space="preserve">TOC \o "1-2" \h \u </w:instrText>
          </w:r>
          <w:r>
            <w:rPr>
              <w:rFonts w:hint="eastAsia" w:ascii="楷体" w:hAnsi="楷体" w:eastAsia="楷体" w:cs="楷体"/>
              <w:color w:val="000000" w:themeColor="text1"/>
              <w:spacing w:val="20"/>
              <w:sz w:val="28"/>
              <w:szCs w:val="28"/>
            </w:rPr>
            <w:fldChar w:fldCharType="separate"/>
          </w:r>
        </w:p>
        <w:p>
          <w:pPr>
            <w:pStyle w:val="14"/>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_Toc4397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注册房地产估价师声明</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_Toc4397 </w:instrText>
          </w:r>
          <w:r>
            <w:rPr>
              <w:rFonts w:hint="eastAsia" w:ascii="楷体" w:hAnsi="楷体" w:eastAsia="楷体" w:cs="楷体"/>
              <w:sz w:val="28"/>
              <w:szCs w:val="28"/>
            </w:rPr>
            <w:fldChar w:fldCharType="separate"/>
          </w:r>
          <w:r>
            <w:rPr>
              <w:rFonts w:hint="eastAsia" w:ascii="楷体" w:hAnsi="楷体" w:eastAsia="楷体" w:cs="楷体"/>
              <w:sz w:val="28"/>
              <w:szCs w:val="28"/>
            </w:rPr>
            <w:t>1</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4"/>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_Toc13041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估价假设和限制条件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_Toc13041 </w:instrText>
          </w:r>
          <w:r>
            <w:rPr>
              <w:rFonts w:hint="eastAsia" w:ascii="楷体" w:hAnsi="楷体" w:eastAsia="楷体" w:cs="楷体"/>
              <w:sz w:val="28"/>
              <w:szCs w:val="28"/>
            </w:rPr>
            <w:fldChar w:fldCharType="separate"/>
          </w:r>
          <w:r>
            <w:rPr>
              <w:rFonts w:hint="eastAsia" w:ascii="楷体" w:hAnsi="楷体" w:eastAsia="楷体" w:cs="楷体"/>
              <w:sz w:val="28"/>
              <w:szCs w:val="28"/>
            </w:rPr>
            <w:t>2</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4"/>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_Toc26082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估价结果报告</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_Toc26082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_Toc27359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一、估价委托人</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_Toc27359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_Toc3612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二、房地产估价机构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_Toc3612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_Toc25339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三、估价目的</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_Toc25339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_Toc26892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四、估价对象</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_Toc26892 </w:instrText>
          </w:r>
          <w:r>
            <w:rPr>
              <w:rFonts w:hint="eastAsia" w:ascii="楷体" w:hAnsi="楷体" w:eastAsia="楷体" w:cs="楷体"/>
              <w:sz w:val="28"/>
              <w:szCs w:val="28"/>
            </w:rPr>
            <w:fldChar w:fldCharType="separate"/>
          </w:r>
          <w:r>
            <w:rPr>
              <w:rFonts w:hint="eastAsia" w:ascii="楷体" w:hAnsi="楷体" w:eastAsia="楷体" w:cs="楷体"/>
              <w:sz w:val="28"/>
              <w:szCs w:val="28"/>
            </w:rPr>
            <w:t>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_Toc14512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五、价值时点</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_Toc14512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_Toc32275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六、价值类型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_Toc32275 </w:instrText>
          </w:r>
          <w:r>
            <w:rPr>
              <w:rFonts w:hint="eastAsia" w:ascii="楷体" w:hAnsi="楷体" w:eastAsia="楷体" w:cs="楷体"/>
              <w:sz w:val="28"/>
              <w:szCs w:val="28"/>
            </w:rPr>
            <w:fldChar w:fldCharType="separate"/>
          </w:r>
          <w:r>
            <w:rPr>
              <w:rFonts w:hint="eastAsia" w:ascii="楷体" w:hAnsi="楷体" w:eastAsia="楷体" w:cs="楷体"/>
              <w:sz w:val="28"/>
              <w:szCs w:val="28"/>
            </w:rPr>
            <w:t>10</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_Toc14677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七、估价原则</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_Toc14677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_Toc23485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八、估价依据</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_Toc23485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_Toc21672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九、估价方法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_Toc21672 </w:instrText>
          </w:r>
          <w:r>
            <w:rPr>
              <w:rFonts w:hint="eastAsia" w:ascii="楷体" w:hAnsi="楷体" w:eastAsia="楷体" w:cs="楷体"/>
              <w:sz w:val="28"/>
              <w:szCs w:val="28"/>
            </w:rPr>
            <w:fldChar w:fldCharType="separate"/>
          </w:r>
          <w:r>
            <w:rPr>
              <w:rFonts w:hint="eastAsia" w:ascii="楷体" w:hAnsi="楷体" w:eastAsia="楷体" w:cs="楷体"/>
              <w:sz w:val="28"/>
              <w:szCs w:val="28"/>
            </w:rPr>
            <w:t>13</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_Toc27098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十、估价结果</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_Toc27098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_Toc7064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十一、注册房地产估价师</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_Toc7064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_Toc7944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十二、实地查勘期</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_Toc7944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_Toc15337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十三、估价作业日期</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_Toc15337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6"/>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_Toc23590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十四、估价报告的</w:t>
          </w:r>
          <w:r>
            <w:rPr>
              <w:rFonts w:hint="eastAsia" w:ascii="楷体" w:hAnsi="楷体" w:cs="楷体"/>
              <w:sz w:val="28"/>
              <w:szCs w:val="28"/>
              <w:lang w:val="en-US" w:eastAsia="zh-CN"/>
            </w:rPr>
            <w:t>使用期限</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_Toc23590 </w:instrText>
          </w:r>
          <w:r>
            <w:rPr>
              <w:rFonts w:hint="eastAsia" w:ascii="楷体" w:hAnsi="楷体" w:eastAsia="楷体" w:cs="楷体"/>
              <w:sz w:val="28"/>
              <w:szCs w:val="28"/>
            </w:rPr>
            <w:fldChar w:fldCharType="separate"/>
          </w:r>
          <w:r>
            <w:rPr>
              <w:rFonts w:hint="eastAsia" w:ascii="楷体" w:hAnsi="楷体" w:eastAsia="楷体" w:cs="楷体"/>
              <w:sz w:val="28"/>
              <w:szCs w:val="28"/>
            </w:rPr>
            <w:t>16</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pStyle w:val="14"/>
            <w:keepNext w:val="0"/>
            <w:keepLines w:val="0"/>
            <w:pageBreakBefore w:val="0"/>
            <w:widowControl w:val="0"/>
            <w:tabs>
              <w:tab w:val="right" w:leader="dot" w:pos="8408"/>
            </w:tabs>
            <w:kinsoku/>
            <w:wordWrap/>
            <w:overflowPunct/>
            <w:topLinePunct w:val="0"/>
            <w:autoSpaceDE/>
            <w:autoSpaceDN/>
            <w:bidi w:val="0"/>
            <w:adjustRightInd/>
            <w:snapToGrid/>
            <w:spacing w:line="630" w:lineRule="exact"/>
            <w:textAlignment w:val="auto"/>
            <w:rPr>
              <w:rFonts w:hint="eastAsia" w:ascii="楷体" w:hAnsi="楷体" w:eastAsia="楷体" w:cs="楷体"/>
              <w:sz w:val="28"/>
              <w:szCs w:val="28"/>
            </w:rPr>
          </w:pPr>
          <w:r>
            <w:rPr>
              <w:rFonts w:hint="eastAsia" w:ascii="楷体" w:hAnsi="楷体" w:eastAsia="楷体" w:cs="楷体"/>
              <w:color w:val="000000" w:themeColor="text1"/>
              <w:spacing w:val="20"/>
              <w:sz w:val="28"/>
              <w:szCs w:val="28"/>
            </w:rPr>
            <w:fldChar w:fldCharType="begin"/>
          </w:r>
          <w:r>
            <w:rPr>
              <w:rFonts w:hint="eastAsia" w:ascii="楷体" w:hAnsi="楷体" w:eastAsia="楷体" w:cs="楷体"/>
              <w:spacing w:val="20"/>
              <w:sz w:val="28"/>
              <w:szCs w:val="28"/>
            </w:rPr>
            <w:instrText xml:space="preserve"> HYPERLINK \l _Toc4481 </w:instrText>
          </w:r>
          <w:r>
            <w:rPr>
              <w:rFonts w:hint="eastAsia" w:ascii="楷体" w:hAnsi="楷体" w:eastAsia="楷体" w:cs="楷体"/>
              <w:spacing w:val="20"/>
              <w:sz w:val="28"/>
              <w:szCs w:val="28"/>
            </w:rPr>
            <w:fldChar w:fldCharType="separate"/>
          </w:r>
          <w:r>
            <w:rPr>
              <w:rFonts w:hint="eastAsia" w:ascii="楷体" w:hAnsi="楷体" w:eastAsia="楷体" w:cs="楷体"/>
              <w:sz w:val="28"/>
              <w:szCs w:val="28"/>
            </w:rPr>
            <w:t>附  件</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_Toc4481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color w:val="000000" w:themeColor="text1"/>
              <w:spacing w:val="20"/>
              <w:sz w:val="28"/>
              <w:szCs w:val="28"/>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cs="楷体"/>
              <w:color w:val="000000" w:themeColor="text1"/>
              <w:spacing w:val="20"/>
              <w:sz w:val="28"/>
              <w:szCs w:val="28"/>
            </w:rPr>
            <w:fldChar w:fldCharType="end"/>
          </w:r>
          <w:r>
            <w:rPr>
              <w:rFonts w:hint="eastAsia" w:ascii="楷体" w:hAnsi="楷体" w:eastAsia="楷体"/>
              <w:sz w:val="28"/>
              <w:szCs w:val="28"/>
              <w:lang w:eastAsia="zh-CN"/>
            </w:rPr>
            <w:t>《资产评估委托书》</w:t>
          </w:r>
          <w:r>
            <w:rPr>
              <w:rFonts w:hint="eastAsia" w:ascii="楷体" w:hAnsi="楷体" w:eastAsia="楷体"/>
              <w:sz w:val="28"/>
              <w:szCs w:val="28"/>
            </w:rPr>
            <w:t>复印件</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估价对象位置图</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估价对象实景照片</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《杭州市不动产</w:t>
          </w:r>
          <w:r>
            <w:rPr>
              <w:rFonts w:hint="eastAsia" w:ascii="楷体" w:hAnsi="楷体" w:eastAsia="楷体"/>
              <w:sz w:val="28"/>
              <w:szCs w:val="28"/>
              <w:lang w:val="en-US" w:eastAsia="zh-CN"/>
            </w:rPr>
            <w:t>登记</w:t>
          </w:r>
          <w:r>
            <w:rPr>
              <w:rFonts w:hint="eastAsia" w:ascii="楷体" w:hAnsi="楷体" w:eastAsia="楷体"/>
              <w:sz w:val="28"/>
              <w:szCs w:val="28"/>
            </w:rPr>
            <w:t>信息查询记录》复印件</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lang w:val="en-US" w:eastAsia="zh-CN"/>
            </w:rPr>
            <w:t>室内可移动家具家电清单</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估价机构营业执照</w:t>
          </w:r>
          <w:r>
            <w:rPr>
              <w:rFonts w:hint="eastAsia" w:ascii="楷体" w:hAnsi="楷体" w:eastAsia="楷体"/>
              <w:sz w:val="28"/>
              <w:szCs w:val="28"/>
              <w:lang w:val="en-US" w:eastAsia="zh-CN"/>
            </w:rPr>
            <w:t>影</w:t>
          </w:r>
          <w:r>
            <w:rPr>
              <w:rFonts w:hint="eastAsia" w:ascii="楷体" w:hAnsi="楷体" w:eastAsia="楷体"/>
              <w:sz w:val="28"/>
              <w:szCs w:val="28"/>
            </w:rPr>
            <w:t>印件</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估价机构备案证书</w:t>
          </w:r>
          <w:r>
            <w:rPr>
              <w:rFonts w:hint="eastAsia" w:ascii="楷体" w:hAnsi="楷体" w:eastAsia="楷体"/>
              <w:sz w:val="28"/>
              <w:szCs w:val="28"/>
              <w:lang w:val="en-US" w:eastAsia="zh-CN"/>
            </w:rPr>
            <w:t>影</w:t>
          </w:r>
          <w:r>
            <w:rPr>
              <w:rFonts w:hint="eastAsia" w:ascii="楷体" w:hAnsi="楷体" w:eastAsia="楷体"/>
              <w:sz w:val="28"/>
              <w:szCs w:val="28"/>
            </w:rPr>
            <w:t>印件</w:t>
          </w:r>
        </w:p>
        <w:p>
          <w:pPr>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房地产估价师注册证</w:t>
          </w:r>
          <w:r>
            <w:rPr>
              <w:rFonts w:hint="eastAsia" w:ascii="楷体" w:hAnsi="楷体" w:eastAsia="楷体"/>
              <w:sz w:val="28"/>
              <w:szCs w:val="28"/>
              <w:lang w:val="en-US" w:eastAsia="zh-CN"/>
            </w:rPr>
            <w:t>影</w:t>
          </w:r>
          <w:r>
            <w:rPr>
              <w:rFonts w:hint="eastAsia" w:ascii="楷体" w:hAnsi="楷体" w:eastAsia="楷体"/>
              <w:sz w:val="28"/>
              <w:szCs w:val="28"/>
            </w:rPr>
            <w:t>印件</w:t>
          </w:r>
        </w:p>
        <w:p>
          <w:pPr>
            <w:pStyle w:val="8"/>
            <w:keepNext w:val="0"/>
            <w:keepLines w:val="0"/>
            <w:pageBreakBefore w:val="0"/>
            <w:widowControl w:val="0"/>
            <w:tabs>
              <w:tab w:val="right" w:leader="dot" w:pos="8504"/>
            </w:tabs>
            <w:kinsoku/>
            <w:wordWrap/>
            <w:overflowPunct/>
            <w:topLinePunct w:val="0"/>
            <w:autoSpaceDE/>
            <w:autoSpaceDN/>
            <w:bidi w:val="0"/>
            <w:adjustRightInd/>
            <w:snapToGrid/>
            <w:spacing w:line="630" w:lineRule="exact"/>
            <w:ind w:left="0" w:leftChars="0"/>
            <w:jc w:val="left"/>
            <w:textAlignment w:val="auto"/>
            <w:outlineLvl w:val="0"/>
            <w:rPr>
              <w:rFonts w:hint="eastAsia" w:ascii="楷体" w:hAnsi="楷体" w:eastAsia="楷体" w:cs="楷体"/>
              <w:color w:val="000000" w:themeColor="text1"/>
              <w:spacing w:val="20"/>
              <w:sz w:val="28"/>
              <w:szCs w:val="28"/>
            </w:rPr>
            <w:sectPr>
              <w:headerReference r:id="rId3" w:type="default"/>
              <w:footerReference r:id="rId4" w:type="default"/>
              <w:pgSz w:w="11906" w:h="16838"/>
              <w:pgMar w:top="1276" w:right="1701" w:bottom="1276" w:left="1797" w:header="907" w:footer="992" w:gutter="0"/>
              <w:pgNumType w:start="1"/>
              <w:cols w:space="0" w:num="1"/>
            </w:sectPr>
          </w:pPr>
        </w:p>
      </w:sdtContent>
    </w:sdt>
    <w:p>
      <w:pPr>
        <w:pStyle w:val="2"/>
        <w:keepNext/>
        <w:keepLines/>
        <w:pageBreakBefore w:val="0"/>
        <w:widowControl w:val="0"/>
        <w:kinsoku/>
        <w:wordWrap/>
        <w:overflowPunct/>
        <w:topLinePunct w:val="0"/>
        <w:autoSpaceDE/>
        <w:autoSpaceDN/>
        <w:bidi w:val="0"/>
        <w:adjustRightInd/>
        <w:snapToGrid/>
        <w:spacing w:before="0" w:beforeLines="50" w:after="0" w:afterLines="50" w:line="630" w:lineRule="exact"/>
        <w:textAlignment w:val="auto"/>
        <w:rPr>
          <w:rFonts w:ascii="黑体" w:hAnsi="黑体" w:eastAsia="黑体" w:cs="黑体"/>
          <w:color w:val="000000" w:themeColor="text1"/>
          <w:szCs w:val="32"/>
        </w:rPr>
      </w:pPr>
      <w:bookmarkStart w:id="13" w:name="_Toc5981"/>
      <w:bookmarkStart w:id="14" w:name="_Toc24170"/>
      <w:bookmarkStart w:id="15" w:name="_Toc4397"/>
      <w:r>
        <w:rPr>
          <w:rFonts w:hint="eastAsia" w:ascii="黑体" w:hAnsi="黑体" w:eastAsia="黑体" w:cs="黑体"/>
          <w:color w:val="000000" w:themeColor="text1"/>
          <w:szCs w:val="32"/>
        </w:rPr>
        <w:t>注册房地产估价师声明</w:t>
      </w:r>
      <w:bookmarkEnd w:id="13"/>
      <w:bookmarkEnd w:id="14"/>
      <w:bookmarkEnd w:id="15"/>
    </w:p>
    <w:p>
      <w:pPr>
        <w:spacing w:line="630" w:lineRule="exact"/>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我们郑重声明：</w:t>
      </w:r>
    </w:p>
    <w:p>
      <w:pPr>
        <w:numPr>
          <w:ilvl w:val="0"/>
          <w:numId w:val="2"/>
        </w:numPr>
        <w:spacing w:line="630" w:lineRule="exact"/>
        <w:ind w:firstLine="560" w:firstLineChars="200"/>
        <w:rPr>
          <w:rFonts w:ascii="楷体" w:hAnsi="楷体" w:eastAsia="楷体"/>
          <w:sz w:val="28"/>
        </w:rPr>
      </w:pPr>
      <w:bookmarkStart w:id="16" w:name="_Toc14494"/>
      <w:r>
        <w:rPr>
          <w:rFonts w:hint="eastAsia" w:ascii="楷体" w:hAnsi="楷体" w:eastAsia="楷体"/>
          <w:sz w:val="28"/>
        </w:rPr>
        <w:t>注册房地产估价师在本估价报告中对事实的说明是真实的和准确的，没有虚假记载、误导性陈述和重大遗漏。</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本估价报告中的分析、意见和结论是注册房地产估价师独立、客观、公正的专业分析、意见和结论，但受到本估价报告中已说明的假设和限制条件的限制。</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注册房地产估价师与估价报告中的估价对象没有现实或潜在的利益，与估价委托人及估价利害关系人没有利害关系，也对估价对象、估价委托人及估价利害关系人没有偏见。</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我们依照中华人民共和国国家标准《房地产估价规范》</w:t>
      </w:r>
      <w:r>
        <w:rPr>
          <w:rFonts w:hint="eastAsia" w:ascii="楷体" w:hAnsi="楷体" w:eastAsia="楷体"/>
          <w:sz w:val="28"/>
          <w:lang w:eastAsia="zh-CN"/>
        </w:rPr>
        <w:t>（</w:t>
      </w:r>
      <w:r>
        <w:rPr>
          <w:rFonts w:hint="eastAsia" w:ascii="楷体" w:hAnsi="楷体" w:eastAsia="楷体"/>
          <w:sz w:val="28"/>
          <w:lang w:val="en-US" w:eastAsia="zh-CN"/>
        </w:rPr>
        <w:t>GB/T 50291-2015</w:t>
      </w:r>
      <w:r>
        <w:rPr>
          <w:rFonts w:hint="eastAsia" w:ascii="楷体" w:hAnsi="楷体" w:eastAsia="楷体"/>
          <w:sz w:val="28"/>
          <w:lang w:eastAsia="zh-CN"/>
        </w:rPr>
        <w:t>）、</w:t>
      </w:r>
      <w:r>
        <w:rPr>
          <w:rFonts w:hint="eastAsia" w:ascii="楷体" w:hAnsi="楷体" w:eastAsia="楷体"/>
          <w:sz w:val="28"/>
        </w:rPr>
        <w:t>《房地产估价基本术语标准》</w:t>
      </w:r>
      <w:r>
        <w:rPr>
          <w:rFonts w:hint="eastAsia" w:ascii="楷体" w:hAnsi="楷体" w:eastAsia="楷体"/>
          <w:sz w:val="28"/>
          <w:lang w:eastAsia="zh-CN"/>
        </w:rPr>
        <w:t>（</w:t>
      </w:r>
      <w:r>
        <w:rPr>
          <w:rFonts w:hint="eastAsia" w:ascii="楷体" w:hAnsi="楷体" w:eastAsia="楷体"/>
          <w:sz w:val="28"/>
          <w:lang w:val="en-US" w:eastAsia="zh-CN"/>
        </w:rPr>
        <w:t>GB/T 50889-2013</w:t>
      </w:r>
      <w:r>
        <w:rPr>
          <w:rFonts w:hint="eastAsia" w:ascii="楷体" w:hAnsi="楷体" w:eastAsia="楷体"/>
          <w:sz w:val="28"/>
          <w:lang w:eastAsia="zh-CN"/>
        </w:rPr>
        <w:t>）</w:t>
      </w:r>
      <w:r>
        <w:rPr>
          <w:rFonts w:hint="eastAsia" w:ascii="楷体" w:hAnsi="楷体" w:eastAsia="楷体"/>
          <w:sz w:val="28"/>
          <w:lang w:val="en-US" w:eastAsia="zh-CN"/>
        </w:rPr>
        <w:t>及《涉执房地产处置司法评估指导意见（试行）》（中房学[2021]37号）</w:t>
      </w:r>
      <w:r>
        <w:rPr>
          <w:rFonts w:hint="eastAsia" w:ascii="楷体" w:hAnsi="楷体" w:eastAsia="楷体"/>
          <w:sz w:val="28"/>
        </w:rPr>
        <w:t>进行分析,形成意见和结论,撰写估价报告。</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注册房地产估价</w:t>
      </w:r>
      <w:r>
        <w:rPr>
          <w:rFonts w:hint="eastAsia" w:ascii="楷体" w:hAnsi="楷体" w:eastAsia="楷体"/>
          <w:sz w:val="28"/>
          <w:highlight w:val="none"/>
        </w:rPr>
        <w:t>师</w:t>
      </w:r>
      <w:r>
        <w:rPr>
          <w:rFonts w:hint="eastAsia" w:ascii="楷体" w:hAnsi="楷体" w:eastAsia="楷体"/>
          <w:sz w:val="28"/>
          <w:highlight w:val="none"/>
          <w:lang w:val="en-US" w:eastAsia="zh-CN"/>
        </w:rPr>
        <w:t>秦振贤</w:t>
      </w:r>
      <w:r>
        <w:rPr>
          <w:rFonts w:hint="eastAsia" w:ascii="楷体" w:hAnsi="楷体" w:eastAsia="楷体"/>
          <w:sz w:val="28"/>
          <w:highlight w:val="none"/>
        </w:rPr>
        <w:t>已于</w:t>
      </w:r>
      <w:r>
        <w:rPr>
          <w:rFonts w:hint="eastAsia" w:ascii="楷体" w:hAnsi="楷体" w:eastAsia="楷体"/>
          <w:sz w:val="28"/>
          <w:highlight w:val="none"/>
          <w:lang w:eastAsia="zh-CN"/>
        </w:rPr>
        <w:t>二Ο二二年七月二十七日</w:t>
      </w:r>
      <w:r>
        <w:rPr>
          <w:rFonts w:hint="eastAsia" w:ascii="楷体" w:hAnsi="楷体" w:eastAsia="楷体"/>
          <w:sz w:val="28"/>
          <w:highlight w:val="none"/>
        </w:rPr>
        <w:t>对本估</w:t>
      </w:r>
      <w:r>
        <w:rPr>
          <w:rFonts w:hint="eastAsia" w:ascii="楷体" w:hAnsi="楷体" w:eastAsia="楷体"/>
          <w:sz w:val="28"/>
        </w:rPr>
        <w:t>价报告中的估价对象进行了实地查勘。</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没有外部专家和单位对本报告提供重要专业帮助。</w:t>
      </w:r>
    </w:p>
    <w:p>
      <w:pPr>
        <w:numPr>
          <w:ilvl w:val="0"/>
          <w:numId w:val="2"/>
        </w:numPr>
        <w:spacing w:line="630" w:lineRule="exact"/>
        <w:ind w:firstLine="560" w:firstLineChars="200"/>
        <w:rPr>
          <w:rFonts w:ascii="楷体" w:hAnsi="楷体" w:eastAsia="楷体"/>
          <w:sz w:val="28"/>
        </w:rPr>
      </w:pPr>
      <w:r>
        <w:rPr>
          <w:rFonts w:hint="eastAsia" w:ascii="楷体" w:hAnsi="楷体" w:eastAsia="楷体"/>
          <w:sz w:val="28"/>
        </w:rPr>
        <w:t>本估价报告由杭州天平房地产评估有限公司负责解释。</w:t>
      </w:r>
    </w:p>
    <w:p>
      <w:pPr>
        <w:pStyle w:val="2"/>
        <w:keepNext/>
        <w:keepLines/>
        <w:pageBreakBefore w:val="0"/>
        <w:widowControl w:val="0"/>
        <w:kinsoku/>
        <w:wordWrap/>
        <w:overflowPunct/>
        <w:topLinePunct w:val="0"/>
        <w:autoSpaceDE/>
        <w:autoSpaceDN/>
        <w:bidi w:val="0"/>
        <w:adjustRightInd/>
        <w:snapToGrid/>
        <w:spacing w:before="0" w:beforeLines="50" w:after="0" w:afterLines="50" w:line="630" w:lineRule="exact"/>
        <w:textAlignment w:val="auto"/>
        <w:rPr>
          <w:rFonts w:ascii="黑体" w:hAnsi="黑体" w:eastAsia="黑体" w:cs="黑体"/>
          <w:color w:val="000000" w:themeColor="text1"/>
          <w:szCs w:val="32"/>
        </w:rPr>
      </w:pPr>
      <w:r>
        <w:rPr>
          <w:rFonts w:hint="eastAsia" w:ascii="楷体" w:hAnsi="楷体" w:eastAsia="楷体" w:cs="楷体"/>
          <w:color w:val="000000" w:themeColor="text1"/>
        </w:rPr>
        <w:br w:type="page"/>
      </w:r>
      <w:bookmarkStart w:id="17" w:name="_Toc13041"/>
      <w:bookmarkStart w:id="18" w:name="_Toc25102"/>
      <w:bookmarkStart w:id="19" w:name="_Toc2702"/>
      <w:r>
        <w:rPr>
          <w:rFonts w:hint="eastAsia" w:ascii="黑体" w:hAnsi="黑体" w:eastAsia="黑体" w:cs="黑体"/>
          <w:color w:val="000000" w:themeColor="text1"/>
          <w:szCs w:val="32"/>
        </w:rPr>
        <w:t>估价假设和限制条件</w:t>
      </w:r>
      <w:bookmarkEnd w:id="16"/>
      <w:bookmarkEnd w:id="17"/>
      <w:bookmarkEnd w:id="18"/>
      <w:bookmarkEnd w:id="19"/>
    </w:p>
    <w:p>
      <w:pPr>
        <w:spacing w:line="630" w:lineRule="exact"/>
        <w:ind w:firstLine="562" w:firstLineChars="200"/>
        <w:outlineLvl w:val="0"/>
        <w:rPr>
          <w:rFonts w:ascii="楷体" w:hAnsi="楷体" w:eastAsia="楷体" w:cs="楷体"/>
          <w:b/>
          <w:color w:val="000000" w:themeColor="text1"/>
          <w:sz w:val="28"/>
          <w:szCs w:val="28"/>
        </w:rPr>
      </w:pPr>
      <w:bookmarkStart w:id="20" w:name="_Toc30421"/>
      <w:bookmarkStart w:id="21" w:name="_Toc22254"/>
      <w:r>
        <w:rPr>
          <w:rFonts w:hint="eastAsia" w:ascii="楷体" w:hAnsi="楷体" w:eastAsia="楷体" w:cs="楷体"/>
          <w:b/>
          <w:color w:val="000000" w:themeColor="text1"/>
          <w:sz w:val="28"/>
          <w:szCs w:val="28"/>
        </w:rPr>
        <w:t>一、一般假设</w:t>
      </w:r>
      <w:bookmarkEnd w:id="20"/>
      <w:bookmarkEnd w:id="21"/>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估价对象在价值时点的房地产市场为公开、平等、自愿的交易市场，即能满足以下条件：1、交易双方自愿地进行交易；2、交易双方处于利己动机进行交易；3、交易双方精明、谨慎行事，并了解交易对象、知晓市场行情；4、交易双方有较充裕的时间进行交易；5、不存在买者因特殊兴趣而给予附加出价。</w:t>
      </w:r>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sz w:val="28"/>
          <w:highlight w:val="none"/>
          <w:lang w:val="en-US" w:eastAsia="zh-CN"/>
        </w:rPr>
        <w:t>杭州市规划和自然资源局</w:t>
      </w:r>
      <w:r>
        <w:rPr>
          <w:rFonts w:hint="eastAsia" w:ascii="楷体" w:hAnsi="楷体" w:eastAsia="楷体" w:cs="楷体"/>
          <w:color w:val="000000" w:themeColor="text1"/>
          <w:sz w:val="28"/>
          <w:szCs w:val="28"/>
        </w:rPr>
        <w:t>提供了估价对象的</w:t>
      </w:r>
      <w:r>
        <w:rPr>
          <w:rFonts w:hint="eastAsia" w:ascii="楷体" w:hAnsi="楷体" w:eastAsia="楷体" w:cs="楷体"/>
          <w:color w:val="000000" w:themeColor="text1"/>
          <w:sz w:val="28"/>
          <w:szCs w:val="28"/>
          <w:highlight w:val="none"/>
        </w:rPr>
        <w:t>《杭州市不动产</w:t>
      </w:r>
      <w:r>
        <w:rPr>
          <w:rFonts w:hint="eastAsia" w:ascii="楷体" w:hAnsi="楷体" w:eastAsia="楷体" w:cs="楷体"/>
          <w:color w:val="000000" w:themeColor="text1"/>
          <w:sz w:val="28"/>
          <w:szCs w:val="28"/>
          <w:highlight w:val="none"/>
          <w:lang w:val="en-US" w:eastAsia="zh-CN"/>
        </w:rPr>
        <w:t>登记</w:t>
      </w:r>
      <w:r>
        <w:rPr>
          <w:rFonts w:hint="eastAsia" w:ascii="楷体" w:hAnsi="楷体" w:eastAsia="楷体" w:cs="楷体"/>
          <w:color w:val="000000" w:themeColor="text1"/>
          <w:sz w:val="28"/>
          <w:szCs w:val="28"/>
          <w:highlight w:val="none"/>
        </w:rPr>
        <w:t>信息查询记录》</w:t>
      </w:r>
      <w:r>
        <w:rPr>
          <w:rFonts w:hint="eastAsia" w:ascii="楷体" w:hAnsi="楷体" w:eastAsia="楷体" w:cs="楷体"/>
          <w:color w:val="000000" w:themeColor="text1"/>
          <w:sz w:val="28"/>
          <w:szCs w:val="28"/>
          <w:highlight w:val="none"/>
          <w:lang w:eastAsia="zh-CN"/>
        </w:rPr>
        <w:t>，</w:t>
      </w:r>
      <w:r>
        <w:rPr>
          <w:rFonts w:hint="eastAsia" w:ascii="楷体" w:hAnsi="楷体" w:eastAsia="楷体" w:cs="楷体"/>
          <w:color w:val="000000" w:themeColor="text1"/>
          <w:sz w:val="28"/>
          <w:szCs w:val="28"/>
        </w:rPr>
        <w:t>我们进行了认真的核对，在无理由怀疑其合法性、真实性、准确性和完整性的情况下，假定</w:t>
      </w:r>
      <w:r>
        <w:rPr>
          <w:rFonts w:hint="eastAsia" w:ascii="楷体" w:hAnsi="楷体" w:eastAsia="楷体" w:cs="楷体"/>
          <w:color w:val="000000" w:themeColor="text1"/>
          <w:sz w:val="28"/>
          <w:szCs w:val="28"/>
          <w:lang w:val="en-US" w:eastAsia="zh-CN"/>
        </w:rPr>
        <w:t>该</w:t>
      </w:r>
      <w:r>
        <w:rPr>
          <w:rFonts w:hint="eastAsia" w:ascii="楷体" w:hAnsi="楷体" w:eastAsia="楷体" w:cs="楷体"/>
          <w:color w:val="000000" w:themeColor="text1"/>
          <w:sz w:val="28"/>
          <w:szCs w:val="28"/>
        </w:rPr>
        <w:t>资料合法、真实、准确、完整。</w:t>
      </w:r>
    </w:p>
    <w:p>
      <w:pPr>
        <w:numPr>
          <w:ilvl w:val="0"/>
          <w:numId w:val="3"/>
        </w:numPr>
        <w:spacing w:line="630" w:lineRule="exact"/>
        <w:rPr>
          <w:rFonts w:ascii="楷体" w:hAnsi="楷体" w:eastAsia="楷体" w:cs="楷体"/>
          <w:color w:val="000000" w:themeColor="text1"/>
          <w:sz w:val="28"/>
          <w:szCs w:val="28"/>
        </w:rPr>
      </w:pPr>
      <w:r>
        <w:rPr>
          <w:rFonts w:hint="eastAsia" w:ascii="楷体_GB2312" w:hAnsi="宋体" w:eastAsia="楷体_GB2312"/>
          <w:sz w:val="28"/>
          <w:szCs w:val="28"/>
        </w:rPr>
        <w:t>注册房地产估价师实地查勘时，对房屋质量安全、环境污染等影响估价对象价值或价格的重大因素给予了关注，但由于受到专业的限制，注册房地产估价师未对其做建筑物基础、房屋结构上的测量和实验。在无理由怀疑估价对象存在安全隐患且无相应的专业机构进行鉴定、检测的情况下，本次估价假设其无建筑物基础、结构等方面的重大质量问题，不存在影响估价对象价值或价格的房屋安全、环境污染等重大不利因素。</w:t>
      </w:r>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注册房地产估价师未对房屋建筑面积进行专业测量，经实地查勘，估价对象房屋建筑面积</w:t>
      </w:r>
      <w:r>
        <w:rPr>
          <w:rFonts w:hint="eastAsia" w:ascii="楷体" w:hAnsi="楷体" w:eastAsia="楷体" w:cs="楷体"/>
          <w:color w:val="000000" w:themeColor="text1"/>
          <w:sz w:val="28"/>
          <w:szCs w:val="28"/>
          <w:lang w:val="en-US" w:eastAsia="zh-CN"/>
        </w:rPr>
        <w:t>与</w:t>
      </w:r>
      <w:r>
        <w:rPr>
          <w:rFonts w:hint="eastAsia" w:ascii="楷体" w:hAnsi="楷体" w:eastAsia="楷体" w:cs="楷体"/>
          <w:color w:val="000000" w:themeColor="text1"/>
          <w:sz w:val="28"/>
          <w:szCs w:val="28"/>
          <w:highlight w:val="none"/>
          <w:lang w:eastAsia="zh-CN"/>
        </w:rPr>
        <w:t>《杭州市不动产</w:t>
      </w:r>
      <w:r>
        <w:rPr>
          <w:rFonts w:hint="eastAsia" w:ascii="楷体" w:hAnsi="楷体" w:eastAsia="楷体" w:cs="楷体"/>
          <w:color w:val="000000" w:themeColor="text1"/>
          <w:sz w:val="28"/>
          <w:szCs w:val="28"/>
          <w:highlight w:val="none"/>
          <w:lang w:val="en-US" w:eastAsia="zh-CN"/>
        </w:rPr>
        <w:t>登记</w:t>
      </w:r>
      <w:r>
        <w:rPr>
          <w:rFonts w:hint="eastAsia" w:ascii="楷体" w:hAnsi="楷体" w:eastAsia="楷体" w:cs="楷体"/>
          <w:color w:val="000000" w:themeColor="text1"/>
          <w:sz w:val="28"/>
          <w:szCs w:val="28"/>
          <w:highlight w:val="none"/>
          <w:lang w:eastAsia="zh-CN"/>
        </w:rPr>
        <w:t>信息查询记录》</w:t>
      </w:r>
      <w:r>
        <w:rPr>
          <w:rFonts w:hint="eastAsia" w:ascii="楷体" w:hAnsi="楷体" w:eastAsia="楷体" w:cs="楷体"/>
          <w:color w:val="000000" w:themeColor="text1"/>
          <w:sz w:val="28"/>
          <w:szCs w:val="28"/>
          <w:highlight w:val="none"/>
        </w:rPr>
        <w:t>记</w:t>
      </w:r>
      <w:r>
        <w:rPr>
          <w:rFonts w:hint="eastAsia" w:ascii="楷体" w:hAnsi="楷体" w:eastAsia="楷体" w:cs="楷体"/>
          <w:color w:val="000000" w:themeColor="text1"/>
          <w:sz w:val="28"/>
          <w:szCs w:val="28"/>
        </w:rPr>
        <w:t>载建筑面积</w:t>
      </w:r>
      <w:r>
        <w:rPr>
          <w:rFonts w:hint="eastAsia" w:ascii="楷体" w:hAnsi="楷体" w:eastAsia="楷体" w:cs="楷体"/>
          <w:color w:val="000000" w:themeColor="text1"/>
          <w:sz w:val="28"/>
          <w:szCs w:val="28"/>
          <w:lang w:val="en-US" w:eastAsia="zh-CN"/>
        </w:rPr>
        <w:t>大体相当</w:t>
      </w:r>
      <w:r>
        <w:rPr>
          <w:rFonts w:hint="eastAsia" w:ascii="楷体" w:hAnsi="楷体" w:eastAsia="楷体" w:cs="楷体"/>
          <w:color w:val="000000" w:themeColor="text1"/>
          <w:sz w:val="28"/>
          <w:szCs w:val="28"/>
        </w:rPr>
        <w:t>。</w:t>
      </w:r>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任何有关估价对象的运作方式、程序符合国家、地方的有关法律、法规、文件、政策等，特别是符合建设、规划、房地产主管部门所颁布的法律、法规、文件、政策等，不存在也不涉及任何法律纠纷及权属争议、不受任何权利限制、可以在公开市场上合法地进行转让为假定前提。</w:t>
      </w:r>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 xml:space="preserve">估价对象应享有公共部位的通行权及共用设施的使用权。 </w:t>
      </w:r>
    </w:p>
    <w:p>
      <w:pPr>
        <w:numPr>
          <w:ilvl w:val="0"/>
          <w:numId w:val="3"/>
        </w:numPr>
        <w:spacing w:line="630" w:lineRule="exact"/>
        <w:rPr>
          <w:rFonts w:ascii="楷体" w:hAnsi="楷体" w:eastAsia="楷体" w:cs="楷体"/>
          <w:color w:val="000000" w:themeColor="text1"/>
          <w:sz w:val="28"/>
          <w:szCs w:val="28"/>
        </w:rPr>
      </w:pPr>
      <w:r>
        <w:rPr>
          <w:rFonts w:hint="eastAsia" w:ascii="楷体" w:hAnsi="楷体" w:eastAsia="楷体" w:cs="楷体"/>
          <w:color w:val="000000"/>
          <w:sz w:val="28"/>
          <w:szCs w:val="28"/>
        </w:rPr>
        <w:t>本次估价</w:t>
      </w:r>
      <w:r>
        <w:rPr>
          <w:rFonts w:hint="eastAsia" w:ascii="楷体" w:hAnsi="楷体" w:eastAsia="楷体" w:cs="楷体"/>
          <w:color w:val="000000"/>
          <w:sz w:val="28"/>
          <w:szCs w:val="28"/>
          <w:lang w:val="en-US" w:eastAsia="zh-CN"/>
        </w:rPr>
        <w:t>房地产市场价值</w:t>
      </w:r>
      <w:r>
        <w:rPr>
          <w:rFonts w:hint="eastAsia" w:ascii="楷体" w:hAnsi="楷体" w:eastAsia="楷体" w:cs="楷体"/>
          <w:color w:val="000000"/>
          <w:sz w:val="28"/>
          <w:szCs w:val="28"/>
        </w:rPr>
        <w:t>采用比较法和收益法进行估价。其中收益法采用报酬资本化法。</w:t>
      </w:r>
      <w:r>
        <w:rPr>
          <w:rFonts w:hint="eastAsia" w:ascii="楷体" w:hAnsi="楷体" w:eastAsia="楷体" w:cs="楷体"/>
          <w:sz w:val="28"/>
        </w:rPr>
        <w:t>根据《房地产估价规范》4.3.2条款内容“报酬资本化法估价时，应区分全剩余寿命模式和持有加转售模式。当收益期较长，难以预测该期限内各年净收益时，宜选用持有加转售模式”。故本次估价收益法采用持有加转售模式。</w:t>
      </w:r>
    </w:p>
    <w:p>
      <w:pPr>
        <w:spacing w:line="630" w:lineRule="exact"/>
        <w:ind w:firstLine="562" w:firstLineChars="200"/>
        <w:outlineLvl w:val="0"/>
        <w:rPr>
          <w:rFonts w:ascii="楷体" w:hAnsi="楷体" w:eastAsia="楷体" w:cs="楷体"/>
          <w:b/>
          <w:color w:val="000000" w:themeColor="text1"/>
          <w:sz w:val="28"/>
          <w:szCs w:val="28"/>
        </w:rPr>
      </w:pPr>
      <w:bookmarkStart w:id="22" w:name="_Toc32696"/>
      <w:bookmarkStart w:id="23" w:name="_Toc10440"/>
      <w:r>
        <w:rPr>
          <w:rFonts w:hint="eastAsia" w:ascii="楷体" w:hAnsi="楷体" w:eastAsia="楷体" w:cs="楷体"/>
          <w:b/>
          <w:color w:val="000000" w:themeColor="text1"/>
          <w:sz w:val="28"/>
          <w:szCs w:val="28"/>
        </w:rPr>
        <w:t>二、未定事项假设：</w:t>
      </w:r>
      <w:bookmarkEnd w:id="22"/>
      <w:bookmarkEnd w:id="23"/>
    </w:p>
    <w:p>
      <w:pPr>
        <w:spacing w:line="630" w:lineRule="exact"/>
        <w:ind w:firstLine="560" w:firstLineChars="20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本报告中无未定事项假设。</w:t>
      </w:r>
    </w:p>
    <w:p>
      <w:pPr>
        <w:spacing w:line="630" w:lineRule="exact"/>
        <w:ind w:firstLine="562" w:firstLineChars="200"/>
        <w:outlineLvl w:val="0"/>
        <w:rPr>
          <w:rFonts w:ascii="楷体" w:hAnsi="楷体" w:eastAsia="楷体" w:cs="楷体"/>
          <w:b/>
          <w:color w:val="000000" w:themeColor="text1"/>
          <w:sz w:val="28"/>
          <w:szCs w:val="28"/>
        </w:rPr>
      </w:pPr>
      <w:bookmarkStart w:id="24" w:name="_Toc11451"/>
      <w:bookmarkStart w:id="25" w:name="_Toc29869"/>
      <w:r>
        <w:rPr>
          <w:rFonts w:hint="eastAsia" w:ascii="楷体" w:hAnsi="楷体" w:eastAsia="楷体" w:cs="楷体"/>
          <w:b/>
          <w:color w:val="000000" w:themeColor="text1"/>
          <w:sz w:val="28"/>
          <w:szCs w:val="28"/>
        </w:rPr>
        <w:t>三、背离事实假设</w:t>
      </w:r>
      <w:bookmarkEnd w:id="24"/>
      <w:bookmarkEnd w:id="25"/>
    </w:p>
    <w:p>
      <w:pPr>
        <w:spacing w:line="630" w:lineRule="exact"/>
        <w:ind w:firstLine="560" w:firstLineChars="200"/>
        <w:outlineLvl w:val="0"/>
        <w:rPr>
          <w:rFonts w:hint="eastAsia" w:ascii="楷体" w:hAnsi="楷体" w:eastAsia="楷体"/>
          <w:sz w:val="28"/>
        </w:rPr>
      </w:pPr>
      <w:bookmarkStart w:id="26" w:name="_Toc26995"/>
      <w:bookmarkStart w:id="27" w:name="_Toc2916"/>
      <w:r>
        <w:rPr>
          <w:rFonts w:hint="eastAsia" w:ascii="楷体" w:hAnsi="楷体" w:eastAsia="楷体"/>
          <w:sz w:val="28"/>
        </w:rPr>
        <w:t>根据《杭州市不动产</w:t>
      </w:r>
      <w:r>
        <w:rPr>
          <w:rFonts w:hint="eastAsia" w:ascii="楷体" w:hAnsi="楷体" w:eastAsia="楷体"/>
          <w:sz w:val="28"/>
          <w:lang w:val="en-US" w:eastAsia="zh-CN"/>
        </w:rPr>
        <w:t>登记</w:t>
      </w:r>
      <w:r>
        <w:rPr>
          <w:rFonts w:hint="eastAsia" w:ascii="楷体" w:hAnsi="楷体" w:eastAsia="楷体"/>
          <w:sz w:val="28"/>
        </w:rPr>
        <w:t>信息查询记录》记载，至价值时点，估价对象</w:t>
      </w:r>
      <w:r>
        <w:rPr>
          <w:rFonts w:hint="eastAsia" w:ascii="楷体" w:hAnsi="楷体" w:eastAsia="楷体"/>
          <w:sz w:val="28"/>
          <w:lang w:val="en-US" w:eastAsia="zh-CN"/>
        </w:rPr>
        <w:t>已设定抵押、已被司法机关查封，</w:t>
      </w:r>
      <w:r>
        <w:rPr>
          <w:rFonts w:hint="eastAsia" w:ascii="楷体" w:hAnsi="楷体" w:eastAsia="楷体"/>
          <w:sz w:val="28"/>
        </w:rPr>
        <w:t>根据估价目的，本次估价不考虑估价对象</w:t>
      </w:r>
      <w:r>
        <w:rPr>
          <w:rFonts w:hint="eastAsia" w:ascii="楷体" w:hAnsi="楷体" w:eastAsia="楷体"/>
          <w:sz w:val="28"/>
          <w:lang w:val="en-US" w:eastAsia="zh-CN"/>
        </w:rPr>
        <w:t>抵押、查封</w:t>
      </w:r>
      <w:r>
        <w:rPr>
          <w:rFonts w:hint="eastAsia" w:ascii="楷体" w:hAnsi="楷体" w:eastAsia="楷体"/>
          <w:sz w:val="28"/>
        </w:rPr>
        <w:t>状况对房地产市场价值的影响。</w:t>
      </w:r>
      <w:bookmarkEnd w:id="26"/>
    </w:p>
    <w:p>
      <w:pPr>
        <w:spacing w:line="630" w:lineRule="exact"/>
        <w:ind w:firstLine="562" w:firstLineChars="200"/>
        <w:outlineLvl w:val="0"/>
        <w:rPr>
          <w:rFonts w:ascii="楷体" w:hAnsi="楷体" w:eastAsia="楷体" w:cs="楷体"/>
          <w:b/>
          <w:color w:val="000000" w:themeColor="text1"/>
          <w:sz w:val="28"/>
          <w:szCs w:val="28"/>
        </w:rPr>
      </w:pPr>
      <w:bookmarkStart w:id="28" w:name="_Toc20824"/>
      <w:r>
        <w:rPr>
          <w:rFonts w:hint="eastAsia" w:ascii="楷体" w:hAnsi="楷体" w:eastAsia="楷体" w:cs="楷体"/>
          <w:b/>
          <w:color w:val="000000" w:themeColor="text1"/>
          <w:sz w:val="28"/>
          <w:szCs w:val="28"/>
        </w:rPr>
        <w:t>四、不相一致假设</w:t>
      </w:r>
      <w:bookmarkEnd w:id="27"/>
      <w:bookmarkEnd w:id="28"/>
    </w:p>
    <w:p>
      <w:pPr>
        <w:spacing w:line="630" w:lineRule="exact"/>
        <w:ind w:firstLine="560" w:firstLineChars="20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本报告中无不相一致假设。</w:t>
      </w:r>
    </w:p>
    <w:p>
      <w:pPr>
        <w:spacing w:line="630" w:lineRule="exact"/>
        <w:ind w:firstLine="562" w:firstLineChars="200"/>
        <w:outlineLvl w:val="0"/>
        <w:rPr>
          <w:rFonts w:ascii="楷体" w:hAnsi="楷体" w:eastAsia="楷体" w:cs="楷体"/>
          <w:b/>
          <w:color w:val="000000" w:themeColor="text1"/>
          <w:sz w:val="28"/>
          <w:szCs w:val="28"/>
        </w:rPr>
      </w:pPr>
      <w:bookmarkStart w:id="29" w:name="_Toc14640"/>
      <w:bookmarkStart w:id="30" w:name="_Toc749"/>
      <w:r>
        <w:rPr>
          <w:rFonts w:hint="eastAsia" w:ascii="楷体" w:hAnsi="楷体" w:eastAsia="楷体" w:cs="楷体"/>
          <w:b/>
          <w:color w:val="000000" w:themeColor="text1"/>
          <w:sz w:val="28"/>
          <w:szCs w:val="28"/>
        </w:rPr>
        <w:t>五、依据不足假设</w:t>
      </w:r>
      <w:bookmarkEnd w:id="29"/>
      <w:bookmarkEnd w:id="30"/>
    </w:p>
    <w:p>
      <w:pPr>
        <w:spacing w:line="630" w:lineRule="exact"/>
        <w:ind w:firstLine="560" w:firstLineChars="200"/>
        <w:rPr>
          <w:rFonts w:ascii="楷体" w:hAnsi="楷体" w:eastAsia="楷体" w:cs="楷体"/>
          <w:color w:val="000000" w:themeColor="text1"/>
          <w:sz w:val="28"/>
          <w:szCs w:val="28"/>
        </w:rPr>
      </w:pPr>
      <w:r>
        <w:rPr>
          <w:rFonts w:hint="eastAsia" w:ascii="楷体" w:hAnsi="楷体" w:eastAsia="楷体" w:cs="楷体"/>
          <w:color w:val="000000" w:themeColor="text1"/>
          <w:sz w:val="28"/>
          <w:szCs w:val="28"/>
        </w:rPr>
        <w:t>本报告中无依据不足假设。</w:t>
      </w:r>
    </w:p>
    <w:p>
      <w:pPr>
        <w:spacing w:line="630" w:lineRule="exact"/>
        <w:ind w:firstLine="562" w:firstLineChars="200"/>
        <w:outlineLvl w:val="0"/>
        <w:rPr>
          <w:rFonts w:hint="default" w:ascii="楷体" w:hAnsi="楷体" w:eastAsia="楷体" w:cs="楷体"/>
          <w:b/>
          <w:color w:val="000000" w:themeColor="text1"/>
          <w:sz w:val="28"/>
          <w:szCs w:val="28"/>
          <w:highlight w:val="yellow"/>
          <w:lang w:val="en-US" w:eastAsia="zh-CN"/>
        </w:rPr>
      </w:pPr>
      <w:bookmarkStart w:id="31" w:name="_Toc8679"/>
      <w:bookmarkStart w:id="32" w:name="_Toc6291"/>
      <w:r>
        <w:rPr>
          <w:rFonts w:hint="eastAsia" w:ascii="楷体" w:hAnsi="楷体" w:eastAsia="楷体" w:cs="楷体"/>
          <w:b/>
          <w:color w:val="000000" w:themeColor="text1"/>
          <w:sz w:val="28"/>
          <w:szCs w:val="28"/>
        </w:rPr>
        <w:t>六、</w:t>
      </w:r>
      <w:bookmarkEnd w:id="31"/>
      <w:r>
        <w:rPr>
          <w:rFonts w:hint="eastAsia" w:ascii="楷体" w:hAnsi="楷体" w:eastAsia="楷体" w:cs="楷体"/>
          <w:b/>
          <w:bCs/>
          <w:sz w:val="28"/>
          <w:szCs w:val="28"/>
        </w:rPr>
        <w:t>估价报告使用限制</w:t>
      </w:r>
      <w:bookmarkEnd w:id="32"/>
      <w:r>
        <w:rPr>
          <w:rFonts w:hint="eastAsia" w:ascii="楷体" w:hAnsi="楷体" w:eastAsia="楷体" w:cs="楷体"/>
          <w:b/>
          <w:bCs/>
          <w:sz w:val="28"/>
          <w:szCs w:val="28"/>
        </w:rPr>
        <w:t>和特殊事项说明</w:t>
      </w:r>
    </w:p>
    <w:p>
      <w:pPr>
        <w:pageBreakBefore w:val="0"/>
        <w:numPr>
          <w:ilvl w:val="0"/>
          <w:numId w:val="4"/>
        </w:numPr>
        <w:kinsoku/>
        <w:wordWrap/>
        <w:overflowPunct/>
        <w:bidi w:val="0"/>
        <w:spacing w:line="630" w:lineRule="exact"/>
        <w:ind w:left="0" w:leftChars="0" w:firstLine="420" w:firstLineChars="0"/>
        <w:rPr>
          <w:rFonts w:ascii="楷体" w:hAnsi="楷体" w:eastAsia="楷体" w:cs="楷体"/>
          <w:color w:val="000000"/>
          <w:w w:val="98"/>
          <w:sz w:val="28"/>
          <w:szCs w:val="28"/>
        </w:rPr>
      </w:pPr>
      <w:bookmarkStart w:id="33" w:name="_Toc17727"/>
      <w:bookmarkStart w:id="34" w:name="_Toc243366087"/>
      <w:r>
        <w:rPr>
          <w:rFonts w:ascii="楷体" w:hAnsi="楷体" w:eastAsia="楷体"/>
          <w:w w:val="98"/>
          <w:sz w:val="28"/>
        </w:rPr>
        <w:t>本次估价结果仅</w:t>
      </w:r>
      <w:r>
        <w:rPr>
          <w:rFonts w:hint="eastAsia" w:ascii="楷体" w:hAnsi="楷体" w:eastAsia="楷体"/>
          <w:w w:val="98"/>
          <w:sz w:val="28"/>
        </w:rPr>
        <w:t>为人民法院确定财产处置参考价提供参考依据</w:t>
      </w:r>
      <w:r>
        <w:rPr>
          <w:rFonts w:ascii="楷体" w:hAnsi="楷体" w:eastAsia="楷体"/>
          <w:w w:val="98"/>
          <w:sz w:val="28"/>
        </w:rPr>
        <w:t>，</w:t>
      </w:r>
      <w:r>
        <w:rPr>
          <w:rFonts w:hint="eastAsia" w:ascii="楷体" w:hAnsi="楷体" w:eastAsia="楷体"/>
          <w:w w:val="98"/>
          <w:sz w:val="28"/>
        </w:rPr>
        <w:t>如</w:t>
      </w:r>
      <w:r>
        <w:rPr>
          <w:rFonts w:ascii="楷体" w:hAnsi="楷体" w:eastAsia="楷体"/>
          <w:w w:val="98"/>
          <w:sz w:val="28"/>
        </w:rPr>
        <w:t>超出此范围</w:t>
      </w:r>
      <w:r>
        <w:rPr>
          <w:rFonts w:hint="eastAsia" w:ascii="楷体" w:hAnsi="楷体" w:eastAsia="楷体"/>
          <w:w w:val="98"/>
          <w:sz w:val="28"/>
        </w:rPr>
        <w:t>则估价结果</w:t>
      </w:r>
      <w:r>
        <w:rPr>
          <w:rFonts w:ascii="楷体" w:hAnsi="楷体" w:eastAsia="楷体"/>
          <w:w w:val="98"/>
          <w:sz w:val="28"/>
        </w:rPr>
        <w:t>无效，本</w:t>
      </w:r>
      <w:r>
        <w:rPr>
          <w:rFonts w:hint="eastAsia" w:ascii="楷体" w:hAnsi="楷体" w:eastAsia="楷体"/>
          <w:w w:val="98"/>
          <w:sz w:val="28"/>
          <w:lang w:eastAsia="zh-CN"/>
        </w:rPr>
        <w:t>估价</w:t>
      </w:r>
      <w:r>
        <w:rPr>
          <w:rFonts w:ascii="楷体" w:hAnsi="楷体" w:eastAsia="楷体"/>
          <w:w w:val="98"/>
          <w:sz w:val="28"/>
        </w:rPr>
        <w:t>机构不负</w:t>
      </w:r>
      <w:r>
        <w:rPr>
          <w:rFonts w:hint="eastAsia" w:ascii="楷体" w:hAnsi="楷体" w:eastAsia="楷体"/>
          <w:w w:val="98"/>
          <w:sz w:val="28"/>
        </w:rPr>
        <w:t>相应的</w:t>
      </w:r>
      <w:r>
        <w:rPr>
          <w:rFonts w:ascii="楷体" w:hAnsi="楷体" w:eastAsia="楷体"/>
          <w:w w:val="98"/>
          <w:sz w:val="28"/>
        </w:rPr>
        <w:t>法律责任。</w:t>
      </w:r>
    </w:p>
    <w:p>
      <w:pPr>
        <w:numPr>
          <w:ilvl w:val="0"/>
          <w:numId w:val="4"/>
        </w:numPr>
        <w:spacing w:line="630" w:lineRule="exact"/>
        <w:rPr>
          <w:rFonts w:ascii="楷体" w:hAnsi="楷体" w:eastAsia="楷体" w:cs="楷体"/>
          <w:color w:val="000000"/>
          <w:sz w:val="28"/>
          <w:szCs w:val="28"/>
        </w:rPr>
      </w:pPr>
      <w:r>
        <w:rPr>
          <w:rFonts w:hint="eastAsia" w:ascii="楷体" w:hAnsi="楷体" w:eastAsia="楷体" w:cs="楷体"/>
          <w:color w:val="000000"/>
          <w:sz w:val="28"/>
          <w:szCs w:val="28"/>
        </w:rPr>
        <w:t>本估价报告仅对估价对象房地产的价值做出合理估测，不作为其权属方面确认的依据，有关权属界定以有关部门认定的为准。</w:t>
      </w:r>
    </w:p>
    <w:p>
      <w:pPr>
        <w:numPr>
          <w:ilvl w:val="0"/>
          <w:numId w:val="4"/>
        </w:numPr>
        <w:spacing w:line="630" w:lineRule="exact"/>
        <w:rPr>
          <w:rFonts w:ascii="楷体" w:hAnsi="楷体" w:eastAsia="楷体" w:cs="楷体"/>
          <w:color w:val="000000"/>
          <w:sz w:val="28"/>
          <w:szCs w:val="28"/>
        </w:rPr>
      </w:pPr>
      <w:r>
        <w:rPr>
          <w:rFonts w:hint="eastAsia" w:ascii="楷体" w:hAnsi="楷体" w:eastAsia="楷体" w:cs="楷体"/>
          <w:color w:val="000000"/>
          <w:sz w:val="28"/>
          <w:szCs w:val="28"/>
        </w:rPr>
        <w:t>本估价报告必须完整使用方为有效，对仅使用本报告中部分内容导致的损失本公司不负任何责任。</w:t>
      </w:r>
    </w:p>
    <w:p>
      <w:pPr>
        <w:numPr>
          <w:ilvl w:val="0"/>
          <w:numId w:val="4"/>
        </w:numPr>
        <w:spacing w:line="630" w:lineRule="exact"/>
        <w:rPr>
          <w:rFonts w:ascii="楷体" w:hAnsi="楷体" w:eastAsia="楷体" w:cs="楷体"/>
          <w:color w:val="000000"/>
          <w:sz w:val="28"/>
          <w:szCs w:val="28"/>
          <w:highlight w:val="none"/>
        </w:rPr>
      </w:pPr>
      <w:r>
        <w:rPr>
          <w:rFonts w:hint="eastAsia" w:ascii="楷体" w:hAnsi="楷体" w:eastAsia="楷体" w:cs="楷体"/>
          <w:color w:val="000000"/>
          <w:sz w:val="28"/>
          <w:szCs w:val="28"/>
        </w:rPr>
        <w:t>本报</w:t>
      </w:r>
      <w:r>
        <w:rPr>
          <w:rFonts w:hint="eastAsia" w:ascii="楷体" w:hAnsi="楷体" w:eastAsia="楷体" w:cs="楷体"/>
          <w:color w:val="000000"/>
          <w:sz w:val="28"/>
          <w:szCs w:val="28"/>
          <w:highlight w:val="none"/>
        </w:rPr>
        <w:t>告</w:t>
      </w:r>
      <w:r>
        <w:rPr>
          <w:rFonts w:hint="eastAsia" w:ascii="楷体" w:hAnsi="楷体" w:eastAsia="楷体" w:cs="楷体"/>
          <w:color w:val="000000"/>
          <w:sz w:val="28"/>
          <w:szCs w:val="28"/>
          <w:highlight w:val="none"/>
          <w:lang w:val="en-US" w:eastAsia="zh-CN"/>
        </w:rPr>
        <w:t>须在估价报告</w:t>
      </w:r>
      <w:r>
        <w:rPr>
          <w:rFonts w:hint="eastAsia" w:ascii="楷体" w:hAnsi="楷体" w:eastAsia="楷体" w:cs="楷体"/>
          <w:color w:val="000000"/>
          <w:sz w:val="28"/>
          <w:szCs w:val="28"/>
          <w:highlight w:val="none"/>
        </w:rPr>
        <w:t>使用期限</w:t>
      </w:r>
      <w:r>
        <w:rPr>
          <w:rFonts w:hint="eastAsia" w:ascii="楷体" w:hAnsi="楷体" w:eastAsia="楷体" w:cs="楷体"/>
          <w:color w:val="000000"/>
          <w:sz w:val="28"/>
          <w:szCs w:val="28"/>
          <w:highlight w:val="none"/>
          <w:lang w:val="en-US" w:eastAsia="zh-CN"/>
        </w:rPr>
        <w:t>内使用。本报告使用期限为</w:t>
      </w:r>
      <w:r>
        <w:rPr>
          <w:rFonts w:hint="eastAsia" w:ascii="楷体" w:hAnsi="楷体" w:eastAsia="楷体" w:cs="楷体"/>
          <w:color w:val="000000"/>
          <w:sz w:val="28"/>
          <w:szCs w:val="28"/>
          <w:highlight w:val="none"/>
        </w:rPr>
        <w:t>壹年（自</w:t>
      </w:r>
      <w:r>
        <w:rPr>
          <w:rFonts w:hint="eastAsia" w:ascii="楷体" w:hAnsi="楷体" w:eastAsia="楷体" w:cs="楷体"/>
          <w:color w:val="000000" w:themeColor="text1"/>
          <w:sz w:val="28"/>
          <w:szCs w:val="28"/>
          <w:highlight w:val="none"/>
          <w:lang w:eastAsia="zh-CN"/>
        </w:rPr>
        <w:t>二Ο二二年八月二日</w:t>
      </w:r>
      <w:r>
        <w:rPr>
          <w:rFonts w:hint="eastAsia" w:ascii="楷体" w:hAnsi="楷体" w:eastAsia="楷体" w:cs="楷体"/>
          <w:color w:val="000000"/>
          <w:sz w:val="28"/>
          <w:szCs w:val="28"/>
          <w:highlight w:val="none"/>
        </w:rPr>
        <w:t>至二Ο二</w:t>
      </w:r>
      <w:r>
        <w:rPr>
          <w:rFonts w:hint="eastAsia" w:ascii="楷体" w:hAnsi="楷体" w:eastAsia="楷体" w:cs="楷体"/>
          <w:color w:val="000000"/>
          <w:sz w:val="28"/>
          <w:szCs w:val="28"/>
          <w:highlight w:val="none"/>
          <w:lang w:val="en-US" w:eastAsia="zh-CN"/>
        </w:rPr>
        <w:t>三</w:t>
      </w:r>
      <w:r>
        <w:rPr>
          <w:rFonts w:hint="eastAsia" w:ascii="楷体" w:hAnsi="楷体" w:eastAsia="楷体" w:cs="楷体"/>
          <w:color w:val="000000"/>
          <w:sz w:val="28"/>
          <w:szCs w:val="28"/>
          <w:highlight w:val="none"/>
        </w:rPr>
        <w:t>年</w:t>
      </w:r>
      <w:r>
        <w:rPr>
          <w:rFonts w:hint="eastAsia" w:ascii="楷体" w:hAnsi="楷体" w:eastAsia="楷体" w:cs="楷体"/>
          <w:color w:val="000000"/>
          <w:sz w:val="28"/>
          <w:szCs w:val="28"/>
          <w:highlight w:val="none"/>
          <w:lang w:val="en-US" w:eastAsia="zh-CN"/>
        </w:rPr>
        <w:t>八</w:t>
      </w:r>
      <w:r>
        <w:rPr>
          <w:rFonts w:hint="eastAsia" w:ascii="楷体" w:hAnsi="楷体" w:eastAsia="楷体" w:cs="楷体"/>
          <w:color w:val="000000"/>
          <w:sz w:val="28"/>
          <w:szCs w:val="28"/>
          <w:highlight w:val="none"/>
        </w:rPr>
        <w:t>月</w:t>
      </w:r>
      <w:r>
        <w:rPr>
          <w:rFonts w:hint="eastAsia" w:ascii="楷体" w:hAnsi="楷体" w:eastAsia="楷体" w:cs="楷体"/>
          <w:color w:val="000000"/>
          <w:sz w:val="28"/>
          <w:szCs w:val="28"/>
          <w:highlight w:val="none"/>
          <w:lang w:val="en-US" w:eastAsia="zh-CN"/>
        </w:rPr>
        <w:t>一</w:t>
      </w:r>
      <w:r>
        <w:rPr>
          <w:rFonts w:hint="eastAsia" w:ascii="楷体" w:hAnsi="楷体" w:eastAsia="楷体" w:cs="楷体"/>
          <w:color w:val="000000"/>
          <w:sz w:val="28"/>
          <w:szCs w:val="28"/>
          <w:highlight w:val="none"/>
        </w:rPr>
        <w:t>日止）。</w:t>
      </w:r>
      <w:r>
        <w:rPr>
          <w:rFonts w:hint="eastAsia" w:ascii="楷体" w:hAnsi="楷体" w:eastAsia="楷体"/>
          <w:sz w:val="28"/>
          <w:highlight w:val="none"/>
        </w:rPr>
        <w:t>在评估报告使用期限内，估价报告或者估价结果未使用之前，如果估价对象</w:t>
      </w:r>
      <w:r>
        <w:rPr>
          <w:rFonts w:hint="eastAsia" w:ascii="楷体" w:hAnsi="楷体" w:eastAsia="楷体"/>
          <w:sz w:val="28"/>
          <w:highlight w:val="none"/>
          <w:lang w:val="en-US" w:eastAsia="zh-CN"/>
        </w:rPr>
        <w:t>实体、法律权属</w:t>
      </w:r>
      <w:r>
        <w:rPr>
          <w:rFonts w:hint="eastAsia" w:ascii="楷体" w:hAnsi="楷体" w:eastAsia="楷体"/>
          <w:sz w:val="28"/>
          <w:highlight w:val="none"/>
        </w:rPr>
        <w:t>状况或者房地产市场状况发生明显变化的，估价结果应当进行相应调整后才可使用</w:t>
      </w:r>
      <w:r>
        <w:rPr>
          <w:rFonts w:ascii="楷体" w:hAnsi="楷体" w:eastAsia="楷体"/>
          <w:sz w:val="28"/>
          <w:highlight w:val="none"/>
        </w:rPr>
        <w:t>。</w:t>
      </w:r>
    </w:p>
    <w:p>
      <w:pPr>
        <w:numPr>
          <w:ilvl w:val="0"/>
          <w:numId w:val="4"/>
        </w:numPr>
        <w:spacing w:line="630" w:lineRule="exact"/>
        <w:rPr>
          <w:rFonts w:ascii="楷体" w:hAnsi="楷体" w:eastAsia="楷体" w:cs="楷体"/>
          <w:color w:val="000000"/>
          <w:sz w:val="28"/>
          <w:szCs w:val="28"/>
          <w:highlight w:val="none"/>
        </w:rPr>
      </w:pPr>
      <w:r>
        <w:rPr>
          <w:rFonts w:hint="eastAsia" w:ascii="楷体" w:hAnsi="楷体" w:eastAsia="楷体" w:cs="楷体"/>
          <w:color w:val="000000"/>
          <w:sz w:val="28"/>
          <w:szCs w:val="28"/>
          <w:highlight w:val="none"/>
        </w:rPr>
        <w:t>本估价报告估价结果在满足全部假设与限制条件下成立。</w:t>
      </w:r>
    </w:p>
    <w:p>
      <w:pPr>
        <w:numPr>
          <w:ilvl w:val="0"/>
          <w:numId w:val="4"/>
        </w:numPr>
        <w:spacing w:line="630" w:lineRule="exact"/>
        <w:rPr>
          <w:rFonts w:ascii="楷体" w:hAnsi="楷体" w:eastAsia="楷体" w:cs="楷体"/>
          <w:color w:val="000000"/>
          <w:sz w:val="28"/>
          <w:szCs w:val="28"/>
        </w:rPr>
      </w:pPr>
      <w:r>
        <w:rPr>
          <w:rFonts w:hint="eastAsia" w:ascii="楷体" w:hAnsi="楷体" w:eastAsia="楷体" w:cs="楷体"/>
          <w:color w:val="000000"/>
          <w:sz w:val="28"/>
          <w:szCs w:val="28"/>
        </w:rPr>
        <w:t>价值时点估价对象</w:t>
      </w:r>
      <w:r>
        <w:rPr>
          <w:rFonts w:hint="eastAsia" w:ascii="楷体" w:hAnsi="楷体" w:eastAsia="楷体" w:cs="楷体"/>
          <w:color w:val="000000"/>
          <w:sz w:val="28"/>
          <w:szCs w:val="28"/>
          <w:lang w:val="en-US" w:eastAsia="zh-CN"/>
        </w:rPr>
        <w:t>尚登记在杭州金兴房地产开发有限公司名下</w:t>
      </w:r>
      <w:r>
        <w:rPr>
          <w:rFonts w:hint="eastAsia" w:ascii="楷体" w:hAnsi="楷体" w:eastAsia="楷体" w:cs="楷体"/>
          <w:color w:val="000000"/>
          <w:sz w:val="28"/>
          <w:szCs w:val="28"/>
        </w:rPr>
        <w:t>，</w:t>
      </w:r>
      <w:r>
        <w:rPr>
          <w:rFonts w:hint="eastAsia" w:ascii="楷体" w:hAnsi="楷体" w:eastAsia="楷体"/>
          <w:sz w:val="28"/>
          <w:highlight w:val="none"/>
          <w:lang w:val="en-US" w:eastAsia="zh-CN"/>
        </w:rPr>
        <w:t>估价对象交易</w:t>
      </w:r>
      <w:r>
        <w:rPr>
          <w:rFonts w:hint="eastAsia" w:ascii="楷体" w:hAnsi="楷体" w:eastAsia="楷体" w:cs="楷体"/>
          <w:color w:val="000000"/>
          <w:sz w:val="28"/>
          <w:szCs w:val="28"/>
        </w:rPr>
        <w:t>存在二次过户相关费用，提请估价报告使用人关注。</w:t>
      </w:r>
    </w:p>
    <w:p>
      <w:pPr>
        <w:numPr>
          <w:ilvl w:val="0"/>
          <w:numId w:val="4"/>
        </w:numPr>
        <w:spacing w:line="630" w:lineRule="exact"/>
        <w:rPr>
          <w:rFonts w:ascii="楷体" w:hAnsi="楷体" w:eastAsia="楷体" w:cs="楷体"/>
          <w:color w:val="000000"/>
          <w:sz w:val="28"/>
          <w:szCs w:val="28"/>
        </w:rPr>
      </w:pPr>
      <w:r>
        <w:rPr>
          <w:rFonts w:hint="eastAsia" w:ascii="楷体" w:hAnsi="楷体" w:eastAsia="楷体" w:cs="楷体"/>
          <w:color w:val="000000"/>
          <w:sz w:val="28"/>
          <w:szCs w:val="28"/>
        </w:rPr>
        <w:t>对于本次</w:t>
      </w:r>
      <w:r>
        <w:rPr>
          <w:rFonts w:hint="eastAsia" w:ascii="楷体" w:hAnsi="楷体" w:eastAsia="楷体" w:cs="楷体"/>
          <w:color w:val="000000"/>
          <w:sz w:val="28"/>
          <w:szCs w:val="28"/>
          <w:lang w:val="en-US" w:eastAsia="zh-CN"/>
        </w:rPr>
        <w:t>交易</w:t>
      </w:r>
      <w:r>
        <w:rPr>
          <w:rFonts w:hint="eastAsia" w:ascii="楷体" w:hAnsi="楷体" w:eastAsia="楷体" w:cs="楷体"/>
          <w:color w:val="000000"/>
          <w:sz w:val="28"/>
          <w:szCs w:val="28"/>
        </w:rPr>
        <w:t>卖</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rPr>
        <w:t>买方应负担的税费具体涉及税种及计算方法如下：</w:t>
      </w:r>
    </w:p>
    <w:tbl>
      <w:tblPr>
        <w:tblStyle w:val="19"/>
        <w:tblW w:w="4998" w:type="pct"/>
        <w:jc w:val="center"/>
        <w:shd w:val="clear" w:color="auto" w:fill="auto"/>
        <w:tblLayout w:type="autofit"/>
        <w:tblCellMar>
          <w:top w:w="0" w:type="dxa"/>
          <w:left w:w="0" w:type="dxa"/>
          <w:bottom w:w="0" w:type="dxa"/>
          <w:right w:w="0" w:type="dxa"/>
        </w:tblCellMar>
      </w:tblPr>
      <w:tblGrid>
        <w:gridCol w:w="1020"/>
        <w:gridCol w:w="1220"/>
        <w:gridCol w:w="2921"/>
        <w:gridCol w:w="1139"/>
        <w:gridCol w:w="2125"/>
      </w:tblGrid>
      <w:tr>
        <w:tblPrEx>
          <w:shd w:val="clear" w:color="auto" w:fill="auto"/>
          <w:tblCellMar>
            <w:top w:w="0" w:type="dxa"/>
            <w:left w:w="0" w:type="dxa"/>
            <w:bottom w:w="0" w:type="dxa"/>
            <w:right w:w="0" w:type="dxa"/>
          </w:tblCellMar>
        </w:tblPrEx>
        <w:trPr>
          <w:trHeight w:val="340" w:hRule="atLeast"/>
          <w:jc w:val="center"/>
        </w:trPr>
        <w:tc>
          <w:tcPr>
            <w:tcW w:w="60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税费种类</w:t>
            </w: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税率及计算方法</w:t>
            </w:r>
          </w:p>
        </w:tc>
      </w:tr>
      <w:tr>
        <w:tblPrEx>
          <w:shd w:val="clear" w:color="auto" w:fill="auto"/>
          <w:tblCellMar>
            <w:top w:w="0" w:type="dxa"/>
            <w:left w:w="0" w:type="dxa"/>
            <w:bottom w:w="0" w:type="dxa"/>
            <w:right w:w="0" w:type="dxa"/>
          </w:tblCellMar>
        </w:tblPrEx>
        <w:trPr>
          <w:trHeight w:val="340" w:hRule="atLeast"/>
          <w:jc w:val="center"/>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kern w:val="0"/>
                <w:sz w:val="20"/>
                <w:szCs w:val="20"/>
                <w:highlight w:val="none"/>
                <w:u w:val="none"/>
                <w:lang w:val="en-US" w:eastAsia="zh-CN" w:bidi="ar"/>
              </w:rPr>
            </w:pPr>
            <w:r>
              <w:rPr>
                <w:rFonts w:hint="eastAsia" w:ascii="楷体" w:hAnsi="楷体" w:eastAsia="楷体" w:cs="楷体"/>
                <w:b w:val="0"/>
                <w:bCs w:val="0"/>
                <w:i w:val="0"/>
                <w:color w:val="000000"/>
                <w:kern w:val="0"/>
                <w:sz w:val="20"/>
                <w:szCs w:val="20"/>
                <w:highlight w:val="none"/>
                <w:u w:val="none"/>
                <w:lang w:val="en-US" w:eastAsia="zh-CN" w:bidi="ar"/>
              </w:rPr>
              <w:t>交易时卖方</w:t>
            </w:r>
          </w:p>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应缴纳税费</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增值税及附加</w:t>
            </w: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楷体" w:hAnsi="楷体" w:eastAsia="楷体" w:cs="楷体"/>
                <w:b w:val="0"/>
                <w:bCs w:val="0"/>
                <w:i w:val="0"/>
                <w:color w:val="000000"/>
                <w:sz w:val="20"/>
                <w:szCs w:val="20"/>
                <w:highlight w:val="none"/>
                <w:u w:val="none"/>
                <w:lang w:val="en-US"/>
              </w:rPr>
            </w:pPr>
            <w:r>
              <w:rPr>
                <w:rFonts w:hint="eastAsia" w:ascii="楷体" w:hAnsi="楷体" w:eastAsia="楷体" w:cs="楷体"/>
                <w:b w:val="0"/>
                <w:bCs w:val="0"/>
                <w:i w:val="0"/>
                <w:color w:val="000000"/>
                <w:kern w:val="0"/>
                <w:sz w:val="20"/>
                <w:szCs w:val="20"/>
                <w:highlight w:val="none"/>
                <w:u w:val="none"/>
                <w:lang w:val="en-US" w:eastAsia="zh-CN" w:bidi="ar"/>
              </w:rPr>
              <w:t>未满5年，不含税收入</w:t>
            </w:r>
            <w:r>
              <w:rPr>
                <w:rStyle w:val="32"/>
                <w:rFonts w:hint="eastAsia" w:ascii="楷体" w:hAnsi="楷体" w:eastAsia="楷体" w:cs="楷体"/>
                <w:b w:val="0"/>
                <w:bCs w:val="0"/>
                <w:sz w:val="20"/>
                <w:szCs w:val="20"/>
                <w:highlight w:val="none"/>
                <w:lang w:val="en-US" w:eastAsia="zh-CN" w:bidi="ar"/>
              </w:rPr>
              <w:t>×</w:t>
            </w:r>
            <w:r>
              <w:rPr>
                <w:rStyle w:val="47"/>
                <w:rFonts w:hint="eastAsia" w:ascii="楷体" w:hAnsi="楷体" w:eastAsia="楷体" w:cs="楷体"/>
                <w:b w:val="0"/>
                <w:bCs w:val="0"/>
                <w:sz w:val="20"/>
                <w:szCs w:val="20"/>
                <w:highlight w:val="none"/>
                <w:lang w:val="en-US" w:eastAsia="zh-CN" w:bidi="ar"/>
              </w:rPr>
              <w:t>5.3%，满5年免征</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满2年（含）家庭唯一住房免征</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个人所得税</w:t>
            </w: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转让五年家庭唯一生活住房免征</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（转让收入-房屋原值-合理费用-转让过程中缴纳的税金）</w:t>
            </w:r>
            <w:r>
              <w:rPr>
                <w:rStyle w:val="32"/>
                <w:rFonts w:hint="eastAsia" w:ascii="楷体" w:hAnsi="楷体" w:eastAsia="楷体" w:cs="楷体"/>
                <w:b w:val="0"/>
                <w:bCs w:val="0"/>
                <w:sz w:val="20"/>
                <w:szCs w:val="20"/>
                <w:highlight w:val="none"/>
                <w:lang w:val="en-US" w:eastAsia="zh-CN" w:bidi="ar"/>
              </w:rPr>
              <w:t>×</w:t>
            </w:r>
            <w:r>
              <w:rPr>
                <w:rStyle w:val="47"/>
                <w:rFonts w:hint="eastAsia" w:ascii="楷体" w:hAnsi="楷体" w:eastAsia="楷体" w:cs="楷体"/>
                <w:b w:val="0"/>
                <w:bCs w:val="0"/>
                <w:sz w:val="20"/>
                <w:szCs w:val="20"/>
                <w:highlight w:val="none"/>
                <w:lang w:val="en-US" w:eastAsia="zh-CN" w:bidi="ar"/>
              </w:rPr>
              <w:t>20%</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3670" w:type="pct"/>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拍卖住宅未提供完整、准确的房屋原值凭证，按房屋转让收入的3%核定征收</w:t>
            </w:r>
          </w:p>
        </w:tc>
      </w:tr>
      <w:tr>
        <w:tblPrEx>
          <w:shd w:val="clear" w:color="auto" w:fill="auto"/>
          <w:tblCellMar>
            <w:top w:w="0" w:type="dxa"/>
            <w:left w:w="0" w:type="dxa"/>
            <w:bottom w:w="0" w:type="dxa"/>
            <w:right w:w="0" w:type="dxa"/>
          </w:tblCellMar>
        </w:tblPrEx>
        <w:trPr>
          <w:trHeight w:val="340" w:hRule="atLeast"/>
          <w:jc w:val="center"/>
        </w:trPr>
        <w:tc>
          <w:tcPr>
            <w:tcW w:w="605"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kern w:val="0"/>
                <w:sz w:val="20"/>
                <w:szCs w:val="20"/>
                <w:highlight w:val="none"/>
                <w:u w:val="none"/>
                <w:lang w:val="en-US" w:eastAsia="zh-CN" w:bidi="ar"/>
              </w:rPr>
            </w:pPr>
            <w:r>
              <w:rPr>
                <w:rFonts w:hint="eastAsia" w:ascii="楷体" w:hAnsi="楷体" w:eastAsia="楷体" w:cs="楷体"/>
                <w:b w:val="0"/>
                <w:bCs w:val="0"/>
                <w:i w:val="0"/>
                <w:color w:val="000000"/>
                <w:kern w:val="0"/>
                <w:sz w:val="20"/>
                <w:szCs w:val="20"/>
                <w:highlight w:val="none"/>
                <w:u w:val="none"/>
                <w:lang w:val="en-US" w:eastAsia="zh-CN" w:bidi="ar"/>
              </w:rPr>
              <w:t>交易时买方</w:t>
            </w:r>
          </w:p>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应缴纳税费</w:t>
            </w:r>
          </w:p>
        </w:tc>
        <w:tc>
          <w:tcPr>
            <w:tcW w:w="72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契税</w:t>
            </w:r>
          </w:p>
        </w:tc>
        <w:tc>
          <w:tcPr>
            <w:tcW w:w="173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家庭唯一住房</w:t>
            </w:r>
          </w:p>
        </w:tc>
        <w:tc>
          <w:tcPr>
            <w:tcW w:w="675" w:type="pct"/>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楷体" w:hAnsi="楷体" w:eastAsia="楷体" w:cs="楷体"/>
                <w:b w:val="0"/>
                <w:bCs w:val="0"/>
                <w:i w:val="0"/>
                <w:color w:val="000000"/>
                <w:sz w:val="20"/>
                <w:szCs w:val="20"/>
                <w:highlight w:val="none"/>
                <w:u w:val="none"/>
                <w:lang w:val="en-US"/>
              </w:rPr>
            </w:pPr>
            <w:r>
              <w:rPr>
                <w:rFonts w:hint="eastAsia" w:ascii="楷体" w:hAnsi="楷体" w:eastAsia="楷体" w:cs="楷体"/>
                <w:b w:val="0"/>
                <w:bCs w:val="0"/>
                <w:i w:val="0"/>
                <w:color w:val="000000"/>
                <w:kern w:val="0"/>
                <w:sz w:val="20"/>
                <w:szCs w:val="20"/>
                <w:highlight w:val="none"/>
                <w:u w:val="none"/>
                <w:lang w:val="en-US" w:eastAsia="zh-CN" w:bidi="ar"/>
              </w:rPr>
              <w:t>90㎡</w:t>
            </w:r>
            <w:r>
              <w:rPr>
                <w:rStyle w:val="47"/>
                <w:rFonts w:hint="eastAsia" w:ascii="楷体" w:hAnsi="楷体" w:eastAsia="楷体" w:cs="楷体"/>
                <w:b w:val="0"/>
                <w:bCs w:val="0"/>
                <w:sz w:val="20"/>
                <w:szCs w:val="20"/>
                <w:highlight w:val="none"/>
                <w:lang w:val="en-US" w:eastAsia="zh-CN" w:bidi="ar"/>
              </w:rPr>
              <w:t>以下</w:t>
            </w:r>
          </w:p>
        </w:tc>
        <w:tc>
          <w:tcPr>
            <w:tcW w:w="1259" w:type="pct"/>
            <w:vMerge w:val="restart"/>
            <w:tcBorders>
              <w:top w:val="single" w:color="000000" w:sz="4" w:space="0"/>
              <w:left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成交价格</w:t>
            </w:r>
            <w:r>
              <w:rPr>
                <w:rStyle w:val="32"/>
                <w:rFonts w:hint="eastAsia" w:ascii="楷体" w:hAnsi="楷体" w:eastAsia="楷体" w:cs="楷体"/>
                <w:b w:val="0"/>
                <w:bCs w:val="0"/>
                <w:sz w:val="20"/>
                <w:szCs w:val="20"/>
                <w:highlight w:val="none"/>
                <w:lang w:val="en-US" w:eastAsia="zh-CN" w:bidi="ar"/>
              </w:rPr>
              <w:t>×</w:t>
            </w:r>
            <w:r>
              <w:rPr>
                <w:rStyle w:val="47"/>
                <w:rFonts w:hint="eastAsia" w:ascii="楷体" w:hAnsi="楷体" w:eastAsia="楷体" w:cs="楷体"/>
                <w:b w:val="0"/>
                <w:bCs w:val="0"/>
                <w:sz w:val="20"/>
                <w:szCs w:val="20"/>
                <w:highlight w:val="none"/>
                <w:lang w:val="en-US" w:eastAsia="zh-CN" w:bidi="ar"/>
              </w:rPr>
              <w:t>1%</w:t>
            </w: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173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家庭第二套改善性住房</w:t>
            </w:r>
          </w:p>
        </w:tc>
        <w:tc>
          <w:tcPr>
            <w:tcW w:w="675" w:type="pct"/>
            <w:vMerge w:val="continue"/>
            <w:tcBorders>
              <w:left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楷体" w:hAnsi="楷体" w:eastAsia="楷体" w:cs="楷体"/>
                <w:b w:val="0"/>
                <w:bCs w:val="0"/>
                <w:i w:val="0"/>
                <w:color w:val="000000"/>
                <w:sz w:val="20"/>
                <w:szCs w:val="20"/>
                <w:highlight w:val="none"/>
                <w:u w:val="none"/>
                <w:lang w:val="en-US"/>
              </w:rPr>
            </w:pPr>
          </w:p>
        </w:tc>
        <w:tc>
          <w:tcPr>
            <w:tcW w:w="1259" w:type="pct"/>
            <w:vMerge w:val="continue"/>
            <w:tcBorders>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340" w:hRule="atLeast"/>
          <w:jc w:val="center"/>
        </w:trPr>
        <w:tc>
          <w:tcPr>
            <w:tcW w:w="605"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72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楷体" w:hAnsi="楷体" w:eastAsia="楷体" w:cs="楷体"/>
                <w:b w:val="0"/>
                <w:bCs w:val="0"/>
                <w:i w:val="0"/>
                <w:color w:val="000000"/>
                <w:sz w:val="20"/>
                <w:szCs w:val="20"/>
                <w:highlight w:val="none"/>
                <w:u w:val="none"/>
              </w:rPr>
            </w:pPr>
          </w:p>
        </w:tc>
        <w:tc>
          <w:tcPr>
            <w:tcW w:w="241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其他</w:t>
            </w:r>
          </w:p>
        </w:tc>
        <w:tc>
          <w:tcPr>
            <w:tcW w:w="125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sz w:val="20"/>
                <w:szCs w:val="20"/>
                <w:highlight w:val="none"/>
                <w:u w:val="none"/>
              </w:rPr>
            </w:pPr>
            <w:r>
              <w:rPr>
                <w:rFonts w:hint="eastAsia" w:ascii="楷体" w:hAnsi="楷体" w:eastAsia="楷体" w:cs="楷体"/>
                <w:b w:val="0"/>
                <w:bCs w:val="0"/>
                <w:i w:val="0"/>
                <w:color w:val="000000"/>
                <w:kern w:val="0"/>
                <w:sz w:val="20"/>
                <w:szCs w:val="20"/>
                <w:highlight w:val="none"/>
                <w:u w:val="none"/>
                <w:lang w:val="en-US" w:eastAsia="zh-CN" w:bidi="ar"/>
              </w:rPr>
              <w:t>成交价格</w:t>
            </w:r>
            <w:r>
              <w:rPr>
                <w:rStyle w:val="32"/>
                <w:rFonts w:hint="eastAsia" w:ascii="楷体" w:hAnsi="楷体" w:eastAsia="楷体" w:cs="楷体"/>
                <w:b w:val="0"/>
                <w:bCs w:val="0"/>
                <w:sz w:val="20"/>
                <w:szCs w:val="20"/>
                <w:highlight w:val="none"/>
                <w:lang w:val="en-US" w:eastAsia="zh-CN" w:bidi="ar"/>
              </w:rPr>
              <w:t>×</w:t>
            </w:r>
            <w:r>
              <w:rPr>
                <w:rStyle w:val="47"/>
                <w:rFonts w:hint="eastAsia" w:ascii="楷体" w:hAnsi="楷体" w:eastAsia="楷体" w:cs="楷体"/>
                <w:b w:val="0"/>
                <w:bCs w:val="0"/>
                <w:sz w:val="20"/>
                <w:szCs w:val="20"/>
                <w:highlight w:val="none"/>
                <w:lang w:val="en-US" w:eastAsia="zh-CN" w:bidi="ar"/>
              </w:rPr>
              <w:t>3%</w:t>
            </w:r>
          </w:p>
        </w:tc>
      </w:tr>
      <w:tr>
        <w:tblPrEx>
          <w:tblCellMar>
            <w:top w:w="0" w:type="dxa"/>
            <w:left w:w="0" w:type="dxa"/>
            <w:bottom w:w="0" w:type="dxa"/>
            <w:right w:w="0" w:type="dxa"/>
          </w:tblCellMar>
        </w:tblPrEx>
        <w:trPr>
          <w:trHeight w:val="34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b w:val="0"/>
                <w:bCs w:val="0"/>
                <w:i w:val="0"/>
                <w:color w:val="000000"/>
                <w:kern w:val="0"/>
                <w:sz w:val="20"/>
                <w:szCs w:val="20"/>
                <w:highlight w:val="none"/>
                <w:u w:val="none"/>
                <w:lang w:val="en-US" w:eastAsia="zh-CN" w:bidi="ar"/>
              </w:rPr>
            </w:pPr>
            <w:r>
              <w:rPr>
                <w:rFonts w:hint="eastAsia" w:ascii="楷体" w:hAnsi="楷体" w:eastAsia="楷体" w:cs="楷体"/>
                <w:b w:val="0"/>
                <w:bCs w:val="0"/>
                <w:i w:val="0"/>
                <w:color w:val="000000"/>
                <w:kern w:val="0"/>
                <w:sz w:val="20"/>
                <w:szCs w:val="20"/>
                <w:highlight w:val="none"/>
                <w:u w:val="none"/>
                <w:lang w:val="en-US" w:eastAsia="zh-CN" w:bidi="ar"/>
              </w:rPr>
              <w:t>备注：仅供参考，具体税费数额以税务部门实际计算为准。</w:t>
            </w:r>
          </w:p>
        </w:tc>
      </w:tr>
    </w:tbl>
    <w:p>
      <w:pPr>
        <w:numPr>
          <w:ilvl w:val="0"/>
          <w:numId w:val="4"/>
        </w:numPr>
        <w:spacing w:line="630" w:lineRule="exact"/>
        <w:rPr>
          <w:rFonts w:ascii="楷体" w:hAnsi="楷体" w:eastAsia="楷体" w:cs="楷体"/>
          <w:color w:val="000000"/>
          <w:sz w:val="28"/>
          <w:szCs w:val="28"/>
        </w:rPr>
      </w:pPr>
      <w:r>
        <w:rPr>
          <w:rFonts w:hint="eastAsia" w:ascii="楷体" w:hAnsi="楷体" w:eastAsia="楷体" w:cs="楷体"/>
          <w:color w:val="000000"/>
          <w:sz w:val="28"/>
          <w:szCs w:val="28"/>
          <w:lang w:val="en-US" w:eastAsia="zh-CN"/>
        </w:rPr>
        <w:t>估价对象房地产位于杭州市住房限购范围内，具体限购政策以政府相关部门出台文件为准，提请报告使用人关注。</w:t>
      </w:r>
    </w:p>
    <w:p>
      <w:pPr>
        <w:numPr>
          <w:ilvl w:val="0"/>
          <w:numId w:val="4"/>
        </w:numPr>
        <w:spacing w:line="630" w:lineRule="exact"/>
        <w:rPr>
          <w:rFonts w:ascii="楷体" w:hAnsi="楷体" w:eastAsia="楷体" w:cs="楷体"/>
          <w:color w:val="000000"/>
          <w:sz w:val="28"/>
          <w:szCs w:val="28"/>
        </w:rPr>
      </w:pPr>
      <w:r>
        <w:rPr>
          <w:rFonts w:hint="eastAsia" w:ascii="楷体" w:hAnsi="楷体" w:eastAsia="楷体" w:cs="楷体"/>
          <w:color w:val="000000"/>
          <w:sz w:val="28"/>
          <w:szCs w:val="28"/>
          <w:highlight w:val="none"/>
        </w:rPr>
        <w:t>本估价报告须经本公司盖章及注册房地产估价师签字盖章</w:t>
      </w:r>
      <w:r>
        <w:rPr>
          <w:rFonts w:hint="eastAsia" w:ascii="楷体" w:hAnsi="楷体" w:eastAsia="楷体" w:cs="楷体"/>
          <w:color w:val="000000"/>
          <w:sz w:val="28"/>
          <w:szCs w:val="28"/>
        </w:rPr>
        <w:t>后方为有效，否则，本估价报告的全部或部分复印件均无效。</w:t>
      </w:r>
    </w:p>
    <w:p>
      <w:pPr>
        <w:numPr>
          <w:ilvl w:val="0"/>
          <w:numId w:val="4"/>
        </w:numPr>
        <w:spacing w:line="630" w:lineRule="exact"/>
        <w:ind w:left="0" w:leftChars="0" w:firstLine="420" w:firstLineChars="0"/>
        <w:rPr>
          <w:rFonts w:ascii="楷体" w:hAnsi="楷体" w:eastAsia="楷体" w:cs="楷体"/>
          <w:color w:val="000000"/>
          <w:sz w:val="28"/>
          <w:szCs w:val="28"/>
        </w:rPr>
      </w:pPr>
      <w:r>
        <w:rPr>
          <w:rFonts w:hint="eastAsia" w:ascii="楷体" w:hAnsi="楷体" w:eastAsia="楷体" w:cs="楷体"/>
          <w:color w:val="000000"/>
          <w:sz w:val="28"/>
          <w:szCs w:val="28"/>
        </w:rPr>
        <w:t>本估价报告中数据全部采用电算化连续计算得出，由于在报告中计算的数据均按四舍五入保留两位小数或取整，因此，可能会出现个别等式左右不完全相等的情况，但不影响评估结论的准确性；本次估价报告估价结果以总价为准。</w:t>
      </w:r>
    </w:p>
    <w:p>
      <w:pPr>
        <w:numPr>
          <w:ilvl w:val="0"/>
          <w:numId w:val="4"/>
        </w:numPr>
        <w:spacing w:line="630" w:lineRule="exact"/>
        <w:ind w:left="0" w:leftChars="0" w:firstLine="420" w:firstLineChars="0"/>
        <w:rPr>
          <w:rFonts w:ascii="楷体" w:hAnsi="楷体" w:eastAsia="楷体" w:cs="楷体"/>
          <w:color w:val="000000"/>
          <w:sz w:val="28"/>
          <w:szCs w:val="28"/>
        </w:rPr>
      </w:pPr>
      <w:r>
        <w:rPr>
          <w:rFonts w:hint="eastAsia" w:ascii="楷体" w:hAnsi="楷体" w:eastAsia="楷体" w:cs="楷体"/>
          <w:color w:val="000000"/>
          <w:sz w:val="28"/>
          <w:szCs w:val="28"/>
        </w:rPr>
        <w:t>本估价报告的内容及评估价值等事宜，由本公司负责解释。</w:t>
      </w:r>
    </w:p>
    <w:p>
      <w:pPr>
        <w:spacing w:line="630" w:lineRule="exact"/>
        <w:ind w:firstLine="560" w:firstLineChars="200"/>
        <w:rPr>
          <w:rFonts w:ascii="楷体" w:hAnsi="楷体" w:eastAsia="楷体" w:cs="楷体"/>
          <w:color w:val="000000" w:themeColor="text1"/>
          <w:sz w:val="28"/>
        </w:rPr>
        <w:sectPr>
          <w:footerReference r:id="rId5" w:type="default"/>
          <w:pgSz w:w="11906" w:h="16838"/>
          <w:pgMar w:top="1276" w:right="1701" w:bottom="1276" w:left="1797" w:header="907" w:footer="992" w:gutter="0"/>
          <w:pgNumType w:start="1"/>
          <w:cols w:space="0" w:num="1"/>
        </w:sectPr>
      </w:pPr>
    </w:p>
    <w:p>
      <w:pPr>
        <w:pStyle w:val="2"/>
        <w:keepNext/>
        <w:keepLines/>
        <w:pageBreakBefore w:val="0"/>
        <w:widowControl w:val="0"/>
        <w:kinsoku/>
        <w:wordWrap/>
        <w:overflowPunct/>
        <w:topLinePunct w:val="0"/>
        <w:autoSpaceDE/>
        <w:autoSpaceDN/>
        <w:bidi w:val="0"/>
        <w:adjustRightInd/>
        <w:snapToGrid/>
        <w:spacing w:before="10" w:after="10" w:line="160" w:lineRule="exact"/>
        <w:textAlignment w:val="auto"/>
        <w:rPr>
          <w:rFonts w:hint="eastAsia" w:ascii="黑体" w:hAnsi="黑体" w:eastAsia="黑体" w:cs="黑体"/>
        </w:rPr>
      </w:pPr>
      <w:bookmarkStart w:id="35" w:name="_Toc7440"/>
      <w:bookmarkStart w:id="36" w:name="_Toc24475"/>
      <w:bookmarkStart w:id="37" w:name="_Toc26082"/>
    </w:p>
    <w:p>
      <w:pPr>
        <w:pStyle w:val="2"/>
        <w:keepNext/>
        <w:keepLines/>
        <w:pageBreakBefore w:val="0"/>
        <w:widowControl w:val="0"/>
        <w:kinsoku/>
        <w:wordWrap/>
        <w:overflowPunct/>
        <w:topLinePunct w:val="0"/>
        <w:autoSpaceDE/>
        <w:autoSpaceDN/>
        <w:bidi w:val="0"/>
        <w:adjustRightInd/>
        <w:snapToGrid/>
        <w:spacing w:before="10" w:after="10" w:line="630" w:lineRule="exact"/>
        <w:textAlignment w:val="auto"/>
        <w:rPr>
          <w:rFonts w:hint="eastAsia" w:ascii="黑体" w:hAnsi="黑体" w:eastAsia="黑体" w:cs="黑体"/>
        </w:rPr>
      </w:pPr>
      <w:r>
        <w:rPr>
          <w:rFonts w:hint="eastAsia" w:ascii="黑体" w:hAnsi="黑体" w:eastAsia="黑体" w:cs="黑体"/>
        </w:rPr>
        <w:t>估价结果报告</w:t>
      </w:r>
      <w:bookmarkEnd w:id="33"/>
      <w:bookmarkEnd w:id="34"/>
      <w:bookmarkEnd w:id="35"/>
      <w:bookmarkEnd w:id="36"/>
      <w:bookmarkEnd w:id="37"/>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jc w:val="both"/>
        <w:textAlignment w:val="auto"/>
      </w:pPr>
      <w:bookmarkStart w:id="38" w:name="_Toc451175947"/>
      <w:bookmarkStart w:id="39" w:name="_Toc27359"/>
      <w:bookmarkStart w:id="40" w:name="_Toc19702"/>
      <w:bookmarkStart w:id="41" w:name="_Toc15674"/>
      <w:bookmarkStart w:id="42" w:name="_Toc19004"/>
      <w:bookmarkStart w:id="43" w:name="_Toc404781976"/>
      <w:r>
        <w:rPr>
          <w:rFonts w:hint="eastAsia"/>
        </w:rPr>
        <w:t>估价委托人</w:t>
      </w:r>
      <w:bookmarkEnd w:id="38"/>
      <w:bookmarkEnd w:id="39"/>
      <w:bookmarkEnd w:id="40"/>
      <w:bookmarkEnd w:id="41"/>
    </w:p>
    <w:p>
      <w:pPr>
        <w:spacing w:line="630" w:lineRule="exact"/>
        <w:ind w:left="570"/>
        <w:rPr>
          <w:rFonts w:hint="eastAsia" w:ascii="楷体" w:hAnsi="楷体" w:eastAsia="楷体"/>
          <w:sz w:val="28"/>
          <w:szCs w:val="28"/>
          <w:lang w:eastAsia="zh-CN"/>
        </w:rPr>
      </w:pPr>
      <w:r>
        <w:rPr>
          <w:rFonts w:hint="eastAsia" w:eastAsia="楷体"/>
          <w:b/>
          <w:bCs/>
          <w:sz w:val="28"/>
          <w:lang w:val="en-US" w:eastAsia="zh-CN"/>
        </w:rPr>
        <w:t>名称</w:t>
      </w:r>
      <w:r>
        <w:rPr>
          <w:rFonts w:hint="eastAsia" w:eastAsia="楷体"/>
          <w:sz w:val="28"/>
        </w:rPr>
        <w:t>：</w:t>
      </w:r>
      <w:r>
        <w:rPr>
          <w:rFonts w:hint="eastAsia" w:ascii="楷体" w:hAnsi="楷体" w:eastAsia="楷体"/>
          <w:sz w:val="28"/>
          <w:szCs w:val="28"/>
          <w:lang w:eastAsia="zh-CN"/>
        </w:rPr>
        <w:t>杭州市上城区人民法院</w:t>
      </w:r>
    </w:p>
    <w:p>
      <w:pPr>
        <w:spacing w:line="630" w:lineRule="exact"/>
        <w:ind w:left="570"/>
        <w:rPr>
          <w:rFonts w:hint="default" w:ascii="楷体" w:hAnsi="楷体" w:eastAsia="楷体"/>
          <w:sz w:val="28"/>
          <w:szCs w:val="28"/>
          <w:highlight w:val="yellow"/>
          <w:lang w:val="en-US" w:eastAsia="zh-CN"/>
        </w:rPr>
      </w:pPr>
      <w:r>
        <w:rPr>
          <w:rFonts w:hint="eastAsia" w:ascii="楷体" w:hAnsi="楷体" w:eastAsia="楷体"/>
          <w:b/>
          <w:bCs/>
          <w:sz w:val="28"/>
          <w:szCs w:val="28"/>
          <w:lang w:val="en-US" w:eastAsia="zh-CN"/>
        </w:rPr>
        <w:t>地址：</w:t>
      </w:r>
      <w:r>
        <w:rPr>
          <w:rFonts w:hint="eastAsia" w:ascii="楷体" w:hAnsi="楷体" w:eastAsia="楷体"/>
          <w:b w:val="0"/>
          <w:bCs w:val="0"/>
          <w:sz w:val="28"/>
          <w:szCs w:val="28"/>
          <w:highlight w:val="none"/>
          <w:lang w:val="en-US" w:eastAsia="zh-CN"/>
        </w:rPr>
        <w:t>杭州市新塘路68号</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44" w:name="_Toc451175948"/>
      <w:bookmarkStart w:id="45" w:name="_Toc17397"/>
      <w:bookmarkStart w:id="46" w:name="_Toc3612"/>
      <w:bookmarkStart w:id="47" w:name="_Toc4727"/>
      <w:r>
        <w:rPr>
          <w:rFonts w:hint="eastAsia"/>
        </w:rPr>
        <w:t>房地产估价机构</w:t>
      </w:r>
      <w:bookmarkEnd w:id="44"/>
      <w:bookmarkEnd w:id="45"/>
      <w:bookmarkEnd w:id="46"/>
      <w:bookmarkEnd w:id="47"/>
    </w:p>
    <w:p>
      <w:pPr>
        <w:spacing w:line="630" w:lineRule="exact"/>
        <w:ind w:firstLine="562" w:firstLineChars="200"/>
        <w:rPr>
          <w:rFonts w:ascii="楷体" w:hAnsi="楷体" w:eastAsia="楷体" w:cs="楷体"/>
          <w:sz w:val="28"/>
        </w:rPr>
      </w:pPr>
      <w:r>
        <w:rPr>
          <w:rFonts w:hint="eastAsia" w:ascii="楷体" w:hAnsi="楷体" w:eastAsia="楷体" w:cs="楷体"/>
          <w:b/>
          <w:sz w:val="28"/>
        </w:rPr>
        <w:t>估价机构名称：</w:t>
      </w:r>
      <w:r>
        <w:rPr>
          <w:rFonts w:hint="eastAsia" w:eastAsia="楷体"/>
          <w:sz w:val="28"/>
        </w:rPr>
        <w:t>杭州天平房地产评估有限公司</w:t>
      </w:r>
    </w:p>
    <w:p>
      <w:pPr>
        <w:spacing w:line="630" w:lineRule="exact"/>
        <w:ind w:firstLine="562" w:firstLineChars="200"/>
        <w:rPr>
          <w:rFonts w:ascii="楷体" w:hAnsi="楷体" w:eastAsia="楷体" w:cs="楷体"/>
          <w:sz w:val="28"/>
        </w:rPr>
      </w:pPr>
      <w:r>
        <w:rPr>
          <w:rFonts w:hint="eastAsia" w:ascii="楷体" w:hAnsi="楷体" w:eastAsia="楷体" w:cs="楷体"/>
          <w:b/>
          <w:sz w:val="28"/>
        </w:rPr>
        <w:t>法定代表人：</w:t>
      </w:r>
      <w:r>
        <w:rPr>
          <w:rFonts w:hint="eastAsia" w:eastAsia="楷体"/>
          <w:sz w:val="28"/>
        </w:rPr>
        <w:t>杨甦</w:t>
      </w:r>
    </w:p>
    <w:p>
      <w:pPr>
        <w:spacing w:line="630" w:lineRule="exact"/>
        <w:ind w:firstLine="562" w:firstLineChars="200"/>
        <w:rPr>
          <w:rFonts w:ascii="楷体" w:hAnsi="楷体" w:eastAsia="楷体" w:cs="楷体"/>
          <w:sz w:val="28"/>
        </w:rPr>
      </w:pPr>
      <w:r>
        <w:rPr>
          <w:rFonts w:hint="eastAsia" w:ascii="楷体" w:hAnsi="楷体" w:eastAsia="楷体" w:cs="楷体"/>
          <w:b/>
          <w:sz w:val="28"/>
        </w:rPr>
        <w:t>住所：</w:t>
      </w:r>
      <w:r>
        <w:rPr>
          <w:rFonts w:hint="eastAsia" w:eastAsia="楷体"/>
          <w:sz w:val="28"/>
        </w:rPr>
        <w:t>浙江省</w:t>
      </w:r>
      <w:r>
        <w:rPr>
          <w:rFonts w:hint="eastAsia" w:ascii="楷体" w:hAnsi="楷体" w:eastAsia="楷体"/>
          <w:sz w:val="28"/>
        </w:rPr>
        <w:t>杭州市下城区凤起商务大厦2319室</w:t>
      </w:r>
    </w:p>
    <w:p>
      <w:pPr>
        <w:spacing w:line="630" w:lineRule="exact"/>
        <w:ind w:firstLine="562" w:firstLineChars="200"/>
        <w:rPr>
          <w:rFonts w:ascii="楷体" w:hAnsi="楷体" w:eastAsia="楷体" w:cs="楷体"/>
          <w:sz w:val="28"/>
        </w:rPr>
      </w:pPr>
      <w:r>
        <w:rPr>
          <w:rFonts w:hint="eastAsia" w:ascii="楷体" w:hAnsi="楷体" w:eastAsia="楷体" w:cs="楷体"/>
          <w:b/>
          <w:sz w:val="28"/>
        </w:rPr>
        <w:t>备案等级：</w:t>
      </w:r>
      <w:r>
        <w:rPr>
          <w:rFonts w:hint="eastAsia" w:ascii="楷体" w:hAnsi="楷体" w:eastAsia="楷体" w:cs="楷体"/>
          <w:sz w:val="28"/>
        </w:rPr>
        <w:t>壹级</w:t>
      </w:r>
    </w:p>
    <w:p>
      <w:pPr>
        <w:spacing w:line="630" w:lineRule="exact"/>
        <w:ind w:firstLine="562" w:firstLineChars="200"/>
        <w:rPr>
          <w:rFonts w:ascii="楷体" w:hAnsi="楷体" w:eastAsia="楷体" w:cs="楷体"/>
          <w:sz w:val="28"/>
        </w:rPr>
      </w:pPr>
      <w:r>
        <w:rPr>
          <w:rFonts w:hint="eastAsia" w:ascii="楷体" w:hAnsi="楷体" w:eastAsia="楷体" w:cs="楷体"/>
          <w:b/>
          <w:bCs/>
          <w:sz w:val="28"/>
          <w:lang w:val="en-US" w:eastAsia="zh-CN"/>
        </w:rPr>
        <w:t>资信等级</w:t>
      </w:r>
      <w:r>
        <w:rPr>
          <w:rFonts w:hint="eastAsia" w:ascii="楷体" w:hAnsi="楷体" w:eastAsia="楷体" w:cs="楷体"/>
          <w:b/>
          <w:bCs/>
          <w:sz w:val="28"/>
        </w:rPr>
        <w:t>：</w:t>
      </w:r>
      <w:r>
        <w:rPr>
          <w:rFonts w:hint="eastAsia" w:ascii="楷体" w:hAnsi="楷体" w:eastAsia="楷体" w:cs="楷体"/>
          <w:sz w:val="28"/>
        </w:rPr>
        <w:t>AAA</w:t>
      </w:r>
    </w:p>
    <w:p>
      <w:pPr>
        <w:spacing w:line="630" w:lineRule="exact"/>
        <w:ind w:firstLine="562" w:firstLineChars="200"/>
        <w:rPr>
          <w:rFonts w:ascii="楷体" w:hAnsi="楷体" w:eastAsia="楷体" w:cs="楷体"/>
          <w:sz w:val="28"/>
        </w:rPr>
      </w:pPr>
      <w:r>
        <w:rPr>
          <w:rFonts w:hint="eastAsia" w:ascii="楷体" w:hAnsi="楷体" w:eastAsia="楷体" w:cs="楷体"/>
          <w:b/>
          <w:sz w:val="28"/>
        </w:rPr>
        <w:t>备案证书编号：</w:t>
      </w:r>
      <w:r>
        <w:rPr>
          <w:rFonts w:hint="eastAsia" w:eastAsia="楷体"/>
          <w:sz w:val="28"/>
        </w:rPr>
        <w:t>浙建房估证字[</w:t>
      </w:r>
      <w:r>
        <w:rPr>
          <w:rFonts w:hint="eastAsia" w:ascii="楷体" w:hAnsi="楷体" w:eastAsia="楷体"/>
          <w:sz w:val="28"/>
        </w:rPr>
        <w:t>2010</w:t>
      </w:r>
      <w:r>
        <w:rPr>
          <w:rFonts w:hint="eastAsia" w:eastAsia="楷体"/>
          <w:sz w:val="28"/>
        </w:rPr>
        <w:t>]</w:t>
      </w:r>
      <w:r>
        <w:rPr>
          <w:rFonts w:hint="eastAsia" w:ascii="楷体" w:hAnsi="楷体" w:eastAsia="楷体"/>
          <w:sz w:val="28"/>
        </w:rPr>
        <w:t>020</w:t>
      </w:r>
      <w:r>
        <w:rPr>
          <w:rFonts w:hint="eastAsia" w:eastAsia="楷体"/>
          <w:sz w:val="28"/>
        </w:rPr>
        <w:t>号</w:t>
      </w:r>
    </w:p>
    <w:p>
      <w:pPr>
        <w:spacing w:line="630" w:lineRule="exact"/>
        <w:ind w:firstLine="562" w:firstLineChars="200"/>
        <w:rPr>
          <w:rFonts w:ascii="楷体" w:hAnsi="楷体" w:eastAsia="楷体" w:cs="楷体"/>
          <w:sz w:val="28"/>
        </w:rPr>
      </w:pPr>
      <w:r>
        <w:rPr>
          <w:rFonts w:hint="eastAsia" w:ascii="楷体" w:hAnsi="楷体" w:eastAsia="楷体" w:cs="楷体"/>
          <w:b/>
          <w:sz w:val="28"/>
        </w:rPr>
        <w:t>联系电话：</w:t>
      </w:r>
      <w:r>
        <w:rPr>
          <w:rFonts w:hint="eastAsia" w:ascii="楷体" w:hAnsi="楷体" w:eastAsia="楷体"/>
          <w:sz w:val="28"/>
        </w:rPr>
        <w:t>0571－87293537</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48" w:name="_Toc25339"/>
      <w:bookmarkStart w:id="49" w:name="_Toc13731"/>
      <w:bookmarkStart w:id="50" w:name="_Toc451175949"/>
      <w:bookmarkStart w:id="51" w:name="_Toc21527"/>
      <w:r>
        <w:rPr>
          <w:rFonts w:hint="eastAsia"/>
        </w:rPr>
        <w:t>估价目的</w:t>
      </w:r>
      <w:bookmarkEnd w:id="48"/>
      <w:bookmarkEnd w:id="49"/>
      <w:bookmarkEnd w:id="50"/>
      <w:bookmarkEnd w:id="51"/>
    </w:p>
    <w:p>
      <w:pPr>
        <w:spacing w:line="630" w:lineRule="exact"/>
        <w:ind w:firstLine="560" w:firstLineChars="200"/>
        <w:rPr>
          <w:rFonts w:ascii="楷体" w:hAnsi="楷体" w:eastAsia="楷体"/>
          <w:sz w:val="28"/>
        </w:rPr>
      </w:pPr>
      <w:r>
        <w:rPr>
          <w:rFonts w:hint="eastAsia" w:ascii="楷体" w:hAnsi="楷体" w:eastAsia="楷体"/>
          <w:sz w:val="28"/>
        </w:rPr>
        <w:t>为人民法院确定财产处置参考价提供参考依据。</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52" w:name="_Toc26820"/>
      <w:bookmarkStart w:id="53" w:name="_Toc26892"/>
      <w:bookmarkStart w:id="54" w:name="_Toc23526"/>
      <w:bookmarkStart w:id="55" w:name="_Toc451175950"/>
      <w:r>
        <w:rPr>
          <w:rFonts w:hint="eastAsia"/>
        </w:rPr>
        <w:t>估价对象</w:t>
      </w:r>
      <w:bookmarkEnd w:id="52"/>
      <w:bookmarkEnd w:id="53"/>
      <w:bookmarkEnd w:id="54"/>
      <w:bookmarkEnd w:id="55"/>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jc w:val="left"/>
        <w:textAlignment w:val="bottom"/>
        <w:outlineLvl w:val="9"/>
        <w:rPr>
          <w:rFonts w:ascii="楷体" w:hAnsi="楷体" w:eastAsia="楷体" w:cs="楷体"/>
          <w:sz w:val="28"/>
        </w:rPr>
      </w:pPr>
      <w:bookmarkStart w:id="56" w:name="_Toc18298"/>
      <w:bookmarkStart w:id="57" w:name="_Toc4405"/>
      <w:r>
        <w:rPr>
          <w:rFonts w:hint="eastAsia" w:ascii="楷体" w:hAnsi="楷体" w:eastAsia="楷体" w:cs="楷体"/>
          <w:sz w:val="28"/>
        </w:rPr>
        <w:t>（一）估价对象界定</w:t>
      </w:r>
      <w:bookmarkEnd w:id="56"/>
      <w:bookmarkEnd w:id="57"/>
    </w:p>
    <w:p>
      <w:pPr>
        <w:spacing w:line="630" w:lineRule="exact"/>
        <w:ind w:firstLine="560" w:firstLineChars="200"/>
        <w:rPr>
          <w:rFonts w:ascii="楷体_GB2312" w:hAnsi="宋体" w:eastAsia="楷体"/>
          <w:sz w:val="28"/>
          <w:szCs w:val="28"/>
        </w:rPr>
      </w:pPr>
      <w:bookmarkStart w:id="58" w:name="_Toc27062"/>
      <w:r>
        <w:rPr>
          <w:rFonts w:hint="eastAsia" w:eastAsia="楷体"/>
          <w:sz w:val="28"/>
        </w:rPr>
        <w:t>估价对象位</w:t>
      </w:r>
      <w:r>
        <w:rPr>
          <w:rFonts w:hint="eastAsia" w:ascii="楷体" w:hAnsi="楷体" w:eastAsia="楷体" w:cs="楷体"/>
          <w:sz w:val="28"/>
        </w:rPr>
        <w:t>于</w:t>
      </w:r>
      <w:r>
        <w:rPr>
          <w:rFonts w:hint="eastAsia" w:ascii="楷体" w:hAnsi="楷体" w:eastAsia="楷体"/>
          <w:spacing w:val="-6"/>
          <w:sz w:val="28"/>
          <w:szCs w:val="28"/>
          <w:lang w:eastAsia="zh-CN"/>
        </w:rPr>
        <w:t>杭州钱塘新区水云城13幢3单元101室</w:t>
      </w:r>
      <w:r>
        <w:rPr>
          <w:rFonts w:hint="eastAsia" w:ascii="楷体" w:hAnsi="楷体" w:eastAsia="楷体" w:cs="楷体"/>
          <w:sz w:val="28"/>
        </w:rPr>
        <w:t>，房屋</w:t>
      </w:r>
      <w:r>
        <w:rPr>
          <w:rFonts w:hint="eastAsia" w:ascii="楷体" w:hAnsi="楷体" w:eastAsia="楷体" w:cs="楷体"/>
          <w:sz w:val="28"/>
          <w:lang w:eastAsia="zh-CN"/>
        </w:rPr>
        <w:t>建筑面积88.83平方米</w:t>
      </w:r>
      <w:r>
        <w:rPr>
          <w:rFonts w:hint="eastAsia" w:ascii="楷体" w:hAnsi="楷体" w:eastAsia="楷体" w:cs="楷体"/>
          <w:sz w:val="28"/>
          <w:lang w:val="en-US" w:eastAsia="zh-CN"/>
        </w:rPr>
        <w:t>,土地使用权面积13.8平方米。</w:t>
      </w:r>
      <w:r>
        <w:rPr>
          <w:rFonts w:hint="eastAsia" w:ascii="楷体" w:hAnsi="楷体" w:eastAsia="楷体" w:cs="楷体"/>
          <w:sz w:val="28"/>
        </w:rPr>
        <w:t>估价对象范围</w:t>
      </w:r>
      <w:r>
        <w:rPr>
          <w:rFonts w:hint="eastAsia" w:eastAsia="楷体"/>
          <w:sz w:val="28"/>
        </w:rPr>
        <w:t>包含房屋所有权、国有土地使用权、室内固定装修及可移动家具家电</w:t>
      </w:r>
      <w:r>
        <w:rPr>
          <w:rFonts w:hint="eastAsia" w:eastAsia="楷体"/>
          <w:sz w:val="28"/>
          <w:lang w:eastAsia="zh-CN"/>
        </w:rPr>
        <w:t>，</w:t>
      </w:r>
      <w:r>
        <w:rPr>
          <w:rFonts w:hint="eastAsia" w:eastAsia="楷体"/>
          <w:sz w:val="28"/>
          <w:lang w:val="en-US" w:eastAsia="zh-CN"/>
        </w:rPr>
        <w:t>不包含</w:t>
      </w:r>
      <w:r>
        <w:rPr>
          <w:rFonts w:hint="eastAsia" w:eastAsia="楷体"/>
          <w:sz w:val="28"/>
        </w:rPr>
        <w:t>债权债务、特许经营等其他财产权利</w:t>
      </w:r>
      <w:r>
        <w:rPr>
          <w:rFonts w:hint="eastAsia" w:ascii="楷体" w:hAnsi="楷体" w:eastAsia="楷体"/>
          <w:sz w:val="28"/>
        </w:rPr>
        <w:t>。</w:t>
      </w:r>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jc w:val="left"/>
        <w:textAlignment w:val="bottom"/>
        <w:outlineLvl w:val="9"/>
        <w:rPr>
          <w:rFonts w:ascii="楷体" w:hAnsi="楷体" w:eastAsia="楷体"/>
          <w:sz w:val="28"/>
        </w:rPr>
      </w:pPr>
      <w:bookmarkStart w:id="59" w:name="_Toc7744"/>
      <w:r>
        <w:rPr>
          <w:rFonts w:hint="eastAsia" w:ascii="楷体" w:hAnsi="楷体" w:eastAsia="楷体"/>
          <w:sz w:val="28"/>
        </w:rPr>
        <w:t>（二）</w:t>
      </w:r>
      <w:r>
        <w:rPr>
          <w:rFonts w:hint="eastAsia" w:ascii="楷体" w:hAnsi="楷体" w:eastAsia="楷体"/>
          <w:sz w:val="28"/>
          <w:lang w:val="en-US" w:eastAsia="zh-CN"/>
        </w:rPr>
        <w:t>房地产</w:t>
      </w:r>
      <w:r>
        <w:rPr>
          <w:rFonts w:hint="eastAsia" w:ascii="楷体" w:hAnsi="楷体" w:eastAsia="楷体"/>
          <w:sz w:val="28"/>
        </w:rPr>
        <w:t>权利状况</w:t>
      </w:r>
      <w:bookmarkEnd w:id="58"/>
      <w:bookmarkEnd w:id="59"/>
    </w:p>
    <w:p>
      <w:pPr>
        <w:keepNext w:val="0"/>
        <w:keepLines w:val="0"/>
        <w:pageBreakBefore w:val="0"/>
        <w:widowControl w:val="0"/>
        <w:kinsoku/>
        <w:wordWrap/>
        <w:overflowPunct/>
        <w:topLinePunct w:val="0"/>
        <w:autoSpaceDN/>
        <w:bidi w:val="0"/>
        <w:adjustRightInd/>
        <w:spacing w:line="630" w:lineRule="exact"/>
        <w:ind w:firstLine="560" w:firstLineChars="200"/>
        <w:rPr>
          <w:rFonts w:ascii="楷体" w:hAnsi="楷体" w:eastAsia="楷体"/>
          <w:sz w:val="28"/>
        </w:rPr>
      </w:pPr>
      <w:bookmarkStart w:id="60" w:name="_Toc22249"/>
      <w:r>
        <w:rPr>
          <w:rFonts w:hint="eastAsia" w:ascii="楷体" w:hAnsi="楷体" w:eastAsia="楷体"/>
          <w:sz w:val="28"/>
        </w:rPr>
        <w:t>1、</w:t>
      </w:r>
      <w:r>
        <w:rPr>
          <w:rFonts w:hint="eastAsia" w:ascii="楷体" w:hAnsi="楷体" w:eastAsia="楷体"/>
          <w:sz w:val="28"/>
          <w:lang w:val="en-US" w:eastAsia="zh-CN"/>
        </w:rPr>
        <w:t>房地产</w:t>
      </w:r>
      <w:r>
        <w:rPr>
          <w:rFonts w:hint="eastAsia" w:ascii="楷体" w:hAnsi="楷体" w:eastAsia="楷体"/>
          <w:sz w:val="28"/>
        </w:rPr>
        <w:t>权利状况</w:t>
      </w:r>
    </w:p>
    <w:p>
      <w:pPr>
        <w:keepNext w:val="0"/>
        <w:keepLines w:val="0"/>
        <w:pageBreakBefore w:val="0"/>
        <w:widowControl w:val="0"/>
        <w:kinsoku/>
        <w:wordWrap/>
        <w:overflowPunct/>
        <w:topLinePunct w:val="0"/>
        <w:autoSpaceDN/>
        <w:bidi w:val="0"/>
        <w:adjustRightInd/>
        <w:spacing w:line="630" w:lineRule="exact"/>
        <w:ind w:firstLine="560" w:firstLineChars="200"/>
        <w:rPr>
          <w:rFonts w:hint="eastAsia" w:ascii="楷体_GB2312" w:hAnsi="宋体" w:eastAsia="楷体"/>
          <w:sz w:val="28"/>
          <w:szCs w:val="28"/>
          <w:lang w:val="en-US" w:eastAsia="zh-CN"/>
        </w:rPr>
      </w:pPr>
      <w:r>
        <w:rPr>
          <w:rFonts w:hint="eastAsia" w:ascii="楷体_GB2312" w:hAnsi="宋体" w:eastAsia="楷体"/>
          <w:sz w:val="28"/>
          <w:szCs w:val="28"/>
          <w:highlight w:val="none"/>
          <w:lang w:eastAsia="zh-CN"/>
        </w:rPr>
        <w:t>（</w:t>
      </w:r>
      <w:r>
        <w:rPr>
          <w:rFonts w:hint="eastAsia" w:ascii="楷体_GB2312" w:hAnsi="宋体" w:eastAsia="楷体"/>
          <w:sz w:val="28"/>
          <w:szCs w:val="28"/>
          <w:highlight w:val="none"/>
          <w:lang w:val="en-US" w:eastAsia="zh-CN"/>
        </w:rPr>
        <w:t>1</w:t>
      </w:r>
      <w:r>
        <w:rPr>
          <w:rFonts w:hint="eastAsia" w:ascii="楷体_GB2312" w:hAnsi="宋体" w:eastAsia="楷体"/>
          <w:sz w:val="28"/>
          <w:szCs w:val="28"/>
          <w:highlight w:val="none"/>
          <w:lang w:eastAsia="zh-CN"/>
        </w:rPr>
        <w:t>）</w:t>
      </w:r>
      <w:r>
        <w:rPr>
          <w:rFonts w:hint="eastAsia" w:ascii="楷体_GB2312" w:hAnsi="宋体" w:eastAsia="楷体"/>
          <w:sz w:val="28"/>
          <w:szCs w:val="28"/>
          <w:highlight w:val="none"/>
        </w:rPr>
        <w:t>根据《杭州市不动产</w:t>
      </w:r>
      <w:r>
        <w:rPr>
          <w:rFonts w:hint="eastAsia" w:ascii="楷体_GB2312" w:hAnsi="宋体" w:eastAsia="楷体"/>
          <w:sz w:val="28"/>
          <w:szCs w:val="28"/>
          <w:highlight w:val="none"/>
          <w:lang w:val="en-US" w:eastAsia="zh-CN"/>
        </w:rPr>
        <w:t>登记</w:t>
      </w:r>
      <w:r>
        <w:rPr>
          <w:rFonts w:hint="eastAsia" w:ascii="楷体_GB2312" w:hAnsi="宋体" w:eastAsia="楷体"/>
          <w:sz w:val="28"/>
          <w:szCs w:val="28"/>
          <w:highlight w:val="none"/>
        </w:rPr>
        <w:t>信息查询记录》记载，估价对象权利人为</w:t>
      </w:r>
      <w:r>
        <w:rPr>
          <w:rFonts w:hint="eastAsia" w:ascii="楷体_GB2312" w:hAnsi="宋体" w:eastAsia="楷体"/>
          <w:sz w:val="28"/>
          <w:szCs w:val="28"/>
          <w:highlight w:val="none"/>
          <w:lang w:val="en-US" w:eastAsia="zh-CN"/>
        </w:rPr>
        <w:t>杭州金兴房地产开发有限公司</w:t>
      </w:r>
      <w:r>
        <w:rPr>
          <w:rFonts w:hint="eastAsia" w:ascii="楷体_GB2312" w:hAnsi="宋体" w:eastAsia="楷体"/>
          <w:sz w:val="28"/>
          <w:szCs w:val="28"/>
          <w:highlight w:val="none"/>
        </w:rPr>
        <w:t>，权证号（证明号）为</w:t>
      </w:r>
      <w:r>
        <w:rPr>
          <w:rFonts w:hint="eastAsia" w:ascii="楷体_GB2312" w:hAnsi="宋体" w:eastAsia="楷体"/>
          <w:sz w:val="28"/>
          <w:szCs w:val="28"/>
          <w:highlight w:val="none"/>
          <w:lang w:val="en-US" w:eastAsia="zh-CN"/>
        </w:rPr>
        <w:t>浙（2020）杭州市不动产证明第0027797号</w:t>
      </w:r>
      <w:r>
        <w:rPr>
          <w:rFonts w:hint="eastAsia" w:ascii="楷体_GB2312" w:hAnsi="宋体" w:eastAsia="楷体"/>
          <w:sz w:val="28"/>
          <w:szCs w:val="28"/>
          <w:highlight w:val="none"/>
        </w:rPr>
        <w:t>，</w:t>
      </w:r>
      <w:r>
        <w:rPr>
          <w:rFonts w:hint="eastAsia" w:ascii="楷体_GB2312" w:hAnsi="宋体" w:eastAsia="楷体"/>
          <w:sz w:val="28"/>
          <w:szCs w:val="28"/>
          <w:highlight w:val="none"/>
          <w:lang w:val="en-US" w:eastAsia="zh-CN"/>
        </w:rPr>
        <w:t>坐落为</w:t>
      </w:r>
      <w:r>
        <w:rPr>
          <w:rFonts w:hint="eastAsia" w:ascii="楷体" w:hAnsi="楷体" w:eastAsia="楷体"/>
          <w:spacing w:val="-6"/>
          <w:sz w:val="28"/>
          <w:szCs w:val="28"/>
          <w:highlight w:val="none"/>
          <w:lang w:eastAsia="zh-CN"/>
        </w:rPr>
        <w:t>杭州钱塘新区水云城13幢3单元101室</w:t>
      </w:r>
      <w:r>
        <w:rPr>
          <w:rFonts w:hint="eastAsia" w:ascii="楷体_GB2312" w:hAnsi="宋体" w:eastAsia="楷体"/>
          <w:sz w:val="28"/>
          <w:szCs w:val="28"/>
          <w:highlight w:val="none"/>
          <w:lang w:val="en-US" w:eastAsia="zh-CN"/>
        </w:rPr>
        <w:t>，</w:t>
      </w:r>
      <w:r>
        <w:rPr>
          <w:rFonts w:hint="eastAsia" w:ascii="楷体_GB2312" w:hAnsi="宋体" w:eastAsia="楷体"/>
          <w:sz w:val="28"/>
          <w:szCs w:val="28"/>
          <w:highlight w:val="none"/>
        </w:rPr>
        <w:t>房屋</w:t>
      </w:r>
      <w:r>
        <w:rPr>
          <w:rFonts w:hint="eastAsia" w:ascii="楷体_GB2312" w:hAnsi="宋体" w:eastAsia="楷体"/>
          <w:sz w:val="28"/>
          <w:szCs w:val="28"/>
          <w:highlight w:val="none"/>
          <w:lang w:eastAsia="zh-CN"/>
        </w:rPr>
        <w:t>建筑面积88.83平方米</w:t>
      </w:r>
      <w:r>
        <w:rPr>
          <w:rFonts w:hint="eastAsia" w:ascii="楷体_GB2312" w:hAnsi="宋体" w:eastAsia="楷体"/>
          <w:sz w:val="28"/>
          <w:szCs w:val="28"/>
          <w:highlight w:val="none"/>
        </w:rPr>
        <w:t>，</w:t>
      </w:r>
      <w:r>
        <w:rPr>
          <w:rFonts w:hint="eastAsia" w:ascii="楷体_GB2312" w:hAnsi="宋体" w:eastAsia="楷体"/>
          <w:sz w:val="28"/>
          <w:szCs w:val="28"/>
          <w:highlight w:val="none"/>
          <w:lang w:val="en-US" w:eastAsia="zh-CN"/>
        </w:rPr>
        <w:t>土地使用权面积13.8平方米，用途为城镇住宅用地/住宅用地，</w:t>
      </w:r>
      <w:r>
        <w:rPr>
          <w:rFonts w:hint="eastAsia" w:ascii="楷体_GB2312" w:hAnsi="宋体" w:eastAsia="楷体"/>
          <w:sz w:val="28"/>
          <w:szCs w:val="28"/>
          <w:highlight w:val="none"/>
        </w:rPr>
        <w:t>权利类型为</w:t>
      </w:r>
      <w:r>
        <w:rPr>
          <w:rFonts w:hint="eastAsia" w:ascii="楷体_GB2312" w:hAnsi="宋体" w:eastAsia="楷体"/>
          <w:sz w:val="28"/>
          <w:szCs w:val="28"/>
          <w:highlight w:val="none"/>
          <w:lang w:val="en-US" w:eastAsia="zh-CN"/>
        </w:rPr>
        <w:t>国有建设用地使用权/房屋（构筑物）所有权</w:t>
      </w:r>
      <w:r>
        <w:rPr>
          <w:rFonts w:hint="eastAsia" w:ascii="楷体_GB2312" w:hAnsi="宋体" w:eastAsia="楷体"/>
          <w:sz w:val="28"/>
          <w:szCs w:val="28"/>
          <w:highlight w:val="none"/>
        </w:rPr>
        <w:t>，权利性质为</w:t>
      </w:r>
      <w:r>
        <w:rPr>
          <w:rFonts w:hint="eastAsia" w:ascii="楷体_GB2312" w:hAnsi="宋体" w:eastAsia="楷体"/>
          <w:sz w:val="28"/>
          <w:szCs w:val="28"/>
          <w:highlight w:val="none"/>
          <w:lang w:val="en-US" w:eastAsia="zh-CN"/>
        </w:rPr>
        <w:t>出让/市场化商品房</w:t>
      </w:r>
      <w:r>
        <w:rPr>
          <w:rFonts w:hint="eastAsia" w:ascii="楷体_GB2312" w:hAnsi="宋体" w:eastAsia="楷体"/>
          <w:sz w:val="28"/>
          <w:szCs w:val="28"/>
          <w:highlight w:val="none"/>
        </w:rPr>
        <w:t>，</w:t>
      </w:r>
      <w:r>
        <w:rPr>
          <w:rFonts w:hint="eastAsia" w:ascii="楷体_GB2312" w:hAnsi="宋体" w:eastAsia="楷体"/>
          <w:sz w:val="28"/>
          <w:szCs w:val="28"/>
          <w:highlight w:val="none"/>
          <w:lang w:val="en-US" w:eastAsia="zh-CN"/>
        </w:rPr>
        <w:t>使用期限至2088年01月04日，</w:t>
      </w:r>
      <w:r>
        <w:rPr>
          <w:rFonts w:hint="eastAsia" w:ascii="楷体_GB2312" w:hAnsi="宋体" w:eastAsia="楷体"/>
          <w:sz w:val="28"/>
          <w:szCs w:val="28"/>
          <w:highlight w:val="none"/>
        </w:rPr>
        <w:t>登记日期为20</w:t>
      </w:r>
      <w:r>
        <w:rPr>
          <w:rFonts w:hint="eastAsia" w:ascii="楷体_GB2312" w:hAnsi="宋体" w:eastAsia="楷体"/>
          <w:sz w:val="28"/>
          <w:szCs w:val="28"/>
          <w:highlight w:val="none"/>
          <w:lang w:val="en-US" w:eastAsia="zh-CN"/>
        </w:rPr>
        <w:t>20</w:t>
      </w:r>
      <w:r>
        <w:rPr>
          <w:rFonts w:hint="eastAsia" w:ascii="楷体_GB2312" w:hAnsi="宋体" w:eastAsia="楷体"/>
          <w:sz w:val="28"/>
          <w:szCs w:val="28"/>
        </w:rPr>
        <w:t>年</w:t>
      </w:r>
      <w:r>
        <w:rPr>
          <w:rFonts w:hint="eastAsia" w:ascii="楷体_GB2312" w:hAnsi="宋体" w:eastAsia="楷体"/>
          <w:sz w:val="28"/>
          <w:szCs w:val="28"/>
          <w:lang w:val="en-US" w:eastAsia="zh-CN"/>
        </w:rPr>
        <w:t>03</w:t>
      </w:r>
      <w:r>
        <w:rPr>
          <w:rFonts w:hint="eastAsia" w:ascii="楷体_GB2312" w:hAnsi="宋体" w:eastAsia="楷体"/>
          <w:sz w:val="28"/>
          <w:szCs w:val="28"/>
        </w:rPr>
        <w:t>月</w:t>
      </w:r>
      <w:r>
        <w:rPr>
          <w:rFonts w:hint="eastAsia" w:ascii="楷体_GB2312" w:hAnsi="宋体" w:eastAsia="楷体"/>
          <w:sz w:val="28"/>
          <w:szCs w:val="28"/>
          <w:lang w:val="en-US" w:eastAsia="zh-CN"/>
        </w:rPr>
        <w:t>12日。居住权状况：无。异议状况：无。</w:t>
      </w:r>
    </w:p>
    <w:p>
      <w:pPr>
        <w:keepNext w:val="0"/>
        <w:keepLines w:val="0"/>
        <w:pageBreakBefore w:val="0"/>
        <w:widowControl w:val="0"/>
        <w:kinsoku/>
        <w:wordWrap/>
        <w:overflowPunct/>
        <w:topLinePunct w:val="0"/>
        <w:autoSpaceDN/>
        <w:bidi w:val="0"/>
        <w:adjustRightInd/>
        <w:spacing w:line="630" w:lineRule="exact"/>
        <w:ind w:firstLine="560" w:firstLineChars="200"/>
        <w:rPr>
          <w:rFonts w:hint="default" w:ascii="楷体_GB2312" w:hAnsi="宋体" w:eastAsia="楷体"/>
          <w:sz w:val="28"/>
          <w:szCs w:val="28"/>
          <w:lang w:val="en-US" w:eastAsia="zh-CN"/>
        </w:rPr>
      </w:pPr>
      <w:r>
        <w:rPr>
          <w:rFonts w:hint="eastAsia" w:ascii="楷体_GB2312" w:hAnsi="宋体" w:eastAsia="楷体"/>
          <w:sz w:val="28"/>
          <w:szCs w:val="28"/>
          <w:lang w:val="en-US" w:eastAsia="zh-CN"/>
        </w:rPr>
        <w:t>（2）</w:t>
      </w:r>
      <w:r>
        <w:rPr>
          <w:rFonts w:hint="eastAsia" w:ascii="楷体_GB2312" w:hAnsi="宋体" w:eastAsia="楷体"/>
          <w:sz w:val="28"/>
          <w:szCs w:val="28"/>
          <w:highlight w:val="none"/>
        </w:rPr>
        <w:t>根据《杭州市不动产</w:t>
      </w:r>
      <w:r>
        <w:rPr>
          <w:rFonts w:hint="eastAsia" w:ascii="楷体_GB2312" w:hAnsi="宋体" w:eastAsia="楷体"/>
          <w:sz w:val="28"/>
          <w:szCs w:val="28"/>
          <w:highlight w:val="none"/>
          <w:lang w:val="en-US" w:eastAsia="zh-CN"/>
        </w:rPr>
        <w:t>登记</w:t>
      </w:r>
      <w:r>
        <w:rPr>
          <w:rFonts w:hint="eastAsia" w:ascii="楷体_GB2312" w:hAnsi="宋体" w:eastAsia="楷体"/>
          <w:sz w:val="28"/>
          <w:szCs w:val="28"/>
          <w:highlight w:val="none"/>
        </w:rPr>
        <w:t>信息查询记录》记载，</w:t>
      </w:r>
      <w:r>
        <w:rPr>
          <w:rFonts w:hint="eastAsia" w:ascii="楷体_GB2312" w:hAnsi="宋体" w:eastAsia="楷体"/>
          <w:sz w:val="28"/>
          <w:szCs w:val="28"/>
          <w:highlight w:val="none"/>
          <w:lang w:val="en-US" w:eastAsia="zh-CN"/>
        </w:rPr>
        <w:t>估价对象预告登记权利人为王鑫、沈晴，</w:t>
      </w:r>
      <w:r>
        <w:rPr>
          <w:rFonts w:hint="eastAsia" w:ascii="楷体_GB2312" w:hAnsi="宋体" w:eastAsia="楷体"/>
          <w:sz w:val="28"/>
          <w:szCs w:val="28"/>
          <w:highlight w:val="none"/>
        </w:rPr>
        <w:t>权证号（证明号）为</w:t>
      </w:r>
      <w:r>
        <w:rPr>
          <w:rFonts w:hint="eastAsia" w:ascii="楷体_GB2312" w:hAnsi="宋体" w:eastAsia="楷体"/>
          <w:sz w:val="28"/>
          <w:szCs w:val="28"/>
          <w:highlight w:val="none"/>
          <w:lang w:val="en-US" w:eastAsia="zh-CN"/>
        </w:rPr>
        <w:t>浙（2019）杭州市不动产证明第0038768号，登记日期;2019年04月10日。</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outlineLvl w:val="1"/>
        <w:rPr>
          <w:rFonts w:hint="eastAsia" w:ascii="楷体_GB2312" w:hAnsi="宋体" w:eastAsia="楷体"/>
          <w:sz w:val="28"/>
          <w:szCs w:val="28"/>
          <w:lang w:val="en-US" w:eastAsia="zh-CN"/>
        </w:rPr>
      </w:pPr>
      <w:r>
        <w:rPr>
          <w:rFonts w:hint="eastAsia" w:ascii="楷体_GB2312" w:hAnsi="宋体" w:eastAsia="楷体"/>
          <w:sz w:val="28"/>
          <w:szCs w:val="28"/>
          <w:lang w:val="en-US" w:eastAsia="zh-CN"/>
        </w:rPr>
        <w:t>2、</w:t>
      </w:r>
      <w:bookmarkStart w:id="61" w:name="_Toc14320"/>
      <w:r>
        <w:rPr>
          <w:rFonts w:hint="eastAsia" w:ascii="楷体_GB2312" w:hAnsi="宋体" w:eastAsia="楷体"/>
          <w:sz w:val="28"/>
          <w:szCs w:val="28"/>
          <w:lang w:val="en-US" w:eastAsia="zh-CN"/>
        </w:rPr>
        <w:t>房地产抵押状况</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outlineLvl w:val="1"/>
        <w:rPr>
          <w:rFonts w:hint="default" w:ascii="楷体_GB2312" w:hAnsi="宋体" w:eastAsia="楷体"/>
          <w:sz w:val="28"/>
          <w:szCs w:val="28"/>
          <w:highlight w:val="none"/>
          <w:lang w:val="en-US" w:eastAsia="zh-CN"/>
        </w:rPr>
      </w:pPr>
      <w:r>
        <w:rPr>
          <w:rFonts w:hint="default" w:ascii="楷体_GB2312" w:hAnsi="宋体" w:eastAsia="楷体"/>
          <w:sz w:val="28"/>
          <w:szCs w:val="28"/>
          <w:highlight w:val="none"/>
          <w:lang w:val="en-US" w:eastAsia="zh-CN"/>
        </w:rPr>
        <w:t>根据《杭州市不动产登记信息查询记录》记载，至价值时点，估价对象已设定抵押。抵押权人为</w:t>
      </w:r>
      <w:r>
        <w:rPr>
          <w:rFonts w:hint="eastAsia" w:ascii="楷体_GB2312" w:hAnsi="宋体" w:eastAsia="楷体"/>
          <w:sz w:val="28"/>
          <w:szCs w:val="28"/>
          <w:highlight w:val="none"/>
          <w:lang w:val="en-US" w:eastAsia="zh-CN"/>
        </w:rPr>
        <w:t>中国</w:t>
      </w:r>
      <w:r>
        <w:rPr>
          <w:rFonts w:hint="default" w:ascii="楷体_GB2312" w:hAnsi="宋体" w:eastAsia="楷体"/>
          <w:sz w:val="28"/>
          <w:szCs w:val="28"/>
          <w:highlight w:val="none"/>
          <w:lang w:val="en-US" w:eastAsia="zh-CN"/>
        </w:rPr>
        <w:t>银行股份有限公司杭州</w:t>
      </w:r>
      <w:r>
        <w:rPr>
          <w:rFonts w:hint="eastAsia" w:ascii="楷体_GB2312" w:hAnsi="宋体" w:eastAsia="楷体"/>
          <w:sz w:val="28"/>
          <w:szCs w:val="28"/>
          <w:highlight w:val="none"/>
          <w:lang w:val="en-US" w:eastAsia="zh-CN"/>
        </w:rPr>
        <w:t>九堡</w:t>
      </w:r>
      <w:r>
        <w:rPr>
          <w:rFonts w:hint="default" w:ascii="楷体_GB2312" w:hAnsi="宋体" w:eastAsia="楷体"/>
          <w:sz w:val="28"/>
          <w:szCs w:val="28"/>
          <w:highlight w:val="none"/>
          <w:lang w:val="en-US" w:eastAsia="zh-CN"/>
        </w:rPr>
        <w:t>支行，登记证明号为浙（20</w:t>
      </w:r>
      <w:r>
        <w:rPr>
          <w:rFonts w:hint="eastAsia" w:ascii="楷体_GB2312" w:hAnsi="宋体" w:eastAsia="楷体"/>
          <w:sz w:val="28"/>
          <w:szCs w:val="28"/>
          <w:highlight w:val="none"/>
          <w:lang w:val="en-US" w:eastAsia="zh-CN"/>
        </w:rPr>
        <w:t>19</w:t>
      </w:r>
      <w:r>
        <w:rPr>
          <w:rFonts w:hint="default" w:ascii="楷体_GB2312" w:hAnsi="宋体" w:eastAsia="楷体"/>
          <w:sz w:val="28"/>
          <w:szCs w:val="28"/>
          <w:highlight w:val="none"/>
          <w:lang w:val="en-US" w:eastAsia="zh-CN"/>
        </w:rPr>
        <w:t>）</w:t>
      </w:r>
      <w:r>
        <w:rPr>
          <w:rFonts w:hint="eastAsia" w:ascii="楷体_GB2312" w:hAnsi="宋体" w:eastAsia="楷体"/>
          <w:sz w:val="28"/>
          <w:szCs w:val="28"/>
          <w:highlight w:val="none"/>
          <w:lang w:val="en-US" w:eastAsia="zh-CN"/>
        </w:rPr>
        <w:t>杭州市</w:t>
      </w:r>
      <w:r>
        <w:rPr>
          <w:rFonts w:hint="default" w:ascii="楷体_GB2312" w:hAnsi="宋体" w:eastAsia="楷体"/>
          <w:sz w:val="28"/>
          <w:szCs w:val="28"/>
          <w:highlight w:val="none"/>
          <w:lang w:val="en-US" w:eastAsia="zh-CN"/>
        </w:rPr>
        <w:t>不动产证明第00</w:t>
      </w:r>
      <w:r>
        <w:rPr>
          <w:rFonts w:hint="eastAsia" w:ascii="楷体_GB2312" w:hAnsi="宋体" w:eastAsia="楷体"/>
          <w:sz w:val="28"/>
          <w:szCs w:val="28"/>
          <w:highlight w:val="none"/>
          <w:lang w:val="en-US" w:eastAsia="zh-CN"/>
        </w:rPr>
        <w:t>38769</w:t>
      </w:r>
      <w:r>
        <w:rPr>
          <w:rFonts w:hint="default" w:ascii="楷体_GB2312" w:hAnsi="宋体" w:eastAsia="楷体"/>
          <w:sz w:val="28"/>
          <w:szCs w:val="28"/>
          <w:highlight w:val="none"/>
          <w:lang w:val="en-US" w:eastAsia="zh-CN"/>
        </w:rPr>
        <w:t>号，抵押方式为</w:t>
      </w:r>
      <w:r>
        <w:rPr>
          <w:rFonts w:hint="eastAsia" w:ascii="楷体_GB2312" w:hAnsi="宋体" w:eastAsia="楷体"/>
          <w:sz w:val="28"/>
          <w:szCs w:val="28"/>
          <w:highlight w:val="none"/>
          <w:lang w:val="en-US" w:eastAsia="zh-CN"/>
        </w:rPr>
        <w:t>一般</w:t>
      </w:r>
      <w:r>
        <w:rPr>
          <w:rFonts w:hint="default" w:ascii="楷体_GB2312" w:hAnsi="宋体" w:eastAsia="楷体"/>
          <w:sz w:val="28"/>
          <w:szCs w:val="28"/>
          <w:highlight w:val="none"/>
          <w:lang w:val="en-US" w:eastAsia="zh-CN"/>
        </w:rPr>
        <w:t>抵押，债权数额</w:t>
      </w:r>
      <w:r>
        <w:rPr>
          <w:rFonts w:hint="eastAsia" w:ascii="楷体_GB2312" w:hAnsi="宋体" w:eastAsia="楷体"/>
          <w:sz w:val="28"/>
          <w:szCs w:val="28"/>
          <w:highlight w:val="none"/>
          <w:lang w:val="en-US" w:eastAsia="zh-CN"/>
        </w:rPr>
        <w:t>91</w:t>
      </w:r>
      <w:r>
        <w:rPr>
          <w:rFonts w:hint="default" w:ascii="楷体_GB2312" w:hAnsi="宋体" w:eastAsia="楷体"/>
          <w:sz w:val="28"/>
          <w:szCs w:val="28"/>
          <w:highlight w:val="none"/>
          <w:lang w:val="en-US" w:eastAsia="zh-CN"/>
        </w:rPr>
        <w:t>万元，登记日期20</w:t>
      </w:r>
      <w:r>
        <w:rPr>
          <w:rFonts w:hint="eastAsia" w:ascii="楷体_GB2312" w:hAnsi="宋体" w:eastAsia="楷体"/>
          <w:sz w:val="28"/>
          <w:szCs w:val="28"/>
          <w:highlight w:val="none"/>
          <w:lang w:val="en-US" w:eastAsia="zh-CN"/>
        </w:rPr>
        <w:t>19</w:t>
      </w:r>
      <w:r>
        <w:rPr>
          <w:rFonts w:hint="default" w:ascii="楷体_GB2312" w:hAnsi="宋体" w:eastAsia="楷体"/>
          <w:sz w:val="28"/>
          <w:szCs w:val="28"/>
          <w:highlight w:val="none"/>
          <w:lang w:val="en-US" w:eastAsia="zh-CN"/>
        </w:rPr>
        <w:t>年0</w:t>
      </w:r>
      <w:r>
        <w:rPr>
          <w:rFonts w:hint="eastAsia" w:ascii="楷体_GB2312" w:hAnsi="宋体" w:eastAsia="楷体"/>
          <w:sz w:val="28"/>
          <w:szCs w:val="28"/>
          <w:highlight w:val="none"/>
          <w:lang w:val="en-US" w:eastAsia="zh-CN"/>
        </w:rPr>
        <w:t>4</w:t>
      </w:r>
      <w:r>
        <w:rPr>
          <w:rFonts w:hint="default" w:ascii="楷体_GB2312" w:hAnsi="宋体" w:eastAsia="楷体"/>
          <w:sz w:val="28"/>
          <w:szCs w:val="28"/>
          <w:highlight w:val="none"/>
          <w:lang w:val="en-US" w:eastAsia="zh-CN"/>
        </w:rPr>
        <w:t>月</w:t>
      </w:r>
      <w:r>
        <w:rPr>
          <w:rFonts w:hint="eastAsia" w:ascii="楷体_GB2312" w:hAnsi="宋体" w:eastAsia="楷体"/>
          <w:sz w:val="28"/>
          <w:szCs w:val="28"/>
          <w:highlight w:val="none"/>
          <w:lang w:val="en-US" w:eastAsia="zh-CN"/>
        </w:rPr>
        <w:t>10</w:t>
      </w:r>
      <w:r>
        <w:rPr>
          <w:rFonts w:hint="default" w:ascii="楷体_GB2312" w:hAnsi="宋体" w:eastAsia="楷体"/>
          <w:sz w:val="28"/>
          <w:szCs w:val="28"/>
          <w:highlight w:val="none"/>
          <w:lang w:val="en-US" w:eastAsia="zh-CN"/>
        </w:rPr>
        <w:t>日，债务履行期限（债权确定期间）20</w:t>
      </w:r>
      <w:r>
        <w:rPr>
          <w:rFonts w:hint="eastAsia" w:ascii="楷体_GB2312" w:hAnsi="宋体" w:eastAsia="楷体"/>
          <w:sz w:val="28"/>
          <w:szCs w:val="28"/>
          <w:highlight w:val="none"/>
          <w:lang w:val="en-US" w:eastAsia="zh-CN"/>
        </w:rPr>
        <w:t>19</w:t>
      </w:r>
      <w:r>
        <w:rPr>
          <w:rFonts w:hint="default" w:ascii="楷体_GB2312" w:hAnsi="宋体" w:eastAsia="楷体"/>
          <w:sz w:val="28"/>
          <w:szCs w:val="28"/>
          <w:highlight w:val="none"/>
          <w:lang w:val="en-US" w:eastAsia="zh-CN"/>
        </w:rPr>
        <w:t>年0</w:t>
      </w:r>
      <w:r>
        <w:rPr>
          <w:rFonts w:hint="eastAsia" w:ascii="楷体_GB2312" w:hAnsi="宋体" w:eastAsia="楷体"/>
          <w:sz w:val="28"/>
          <w:szCs w:val="28"/>
          <w:highlight w:val="none"/>
          <w:lang w:val="en-US" w:eastAsia="zh-CN"/>
        </w:rPr>
        <w:t>4</w:t>
      </w:r>
      <w:r>
        <w:rPr>
          <w:rFonts w:hint="default" w:ascii="楷体_GB2312" w:hAnsi="宋体" w:eastAsia="楷体"/>
          <w:sz w:val="28"/>
          <w:szCs w:val="28"/>
          <w:highlight w:val="none"/>
          <w:lang w:val="en-US" w:eastAsia="zh-CN"/>
        </w:rPr>
        <w:t>月</w:t>
      </w:r>
      <w:r>
        <w:rPr>
          <w:rFonts w:hint="eastAsia" w:ascii="楷体_GB2312" w:hAnsi="宋体" w:eastAsia="楷体"/>
          <w:sz w:val="28"/>
          <w:szCs w:val="28"/>
          <w:highlight w:val="none"/>
          <w:lang w:val="en-US" w:eastAsia="zh-CN"/>
        </w:rPr>
        <w:t>03</w:t>
      </w:r>
      <w:r>
        <w:rPr>
          <w:rFonts w:hint="default" w:ascii="楷体_GB2312" w:hAnsi="宋体" w:eastAsia="楷体"/>
          <w:sz w:val="28"/>
          <w:szCs w:val="28"/>
          <w:highlight w:val="none"/>
          <w:lang w:val="en-US" w:eastAsia="zh-CN"/>
        </w:rPr>
        <w:t>日起20</w:t>
      </w:r>
      <w:r>
        <w:rPr>
          <w:rFonts w:hint="eastAsia" w:ascii="楷体_GB2312" w:hAnsi="宋体" w:eastAsia="楷体"/>
          <w:sz w:val="28"/>
          <w:szCs w:val="28"/>
          <w:highlight w:val="none"/>
          <w:lang w:val="en-US" w:eastAsia="zh-CN"/>
        </w:rPr>
        <w:t>49</w:t>
      </w:r>
      <w:r>
        <w:rPr>
          <w:rFonts w:hint="default" w:ascii="楷体_GB2312" w:hAnsi="宋体" w:eastAsia="楷体"/>
          <w:sz w:val="28"/>
          <w:szCs w:val="28"/>
          <w:highlight w:val="none"/>
          <w:lang w:val="en-US" w:eastAsia="zh-CN"/>
        </w:rPr>
        <w:t>年0</w:t>
      </w:r>
      <w:r>
        <w:rPr>
          <w:rFonts w:hint="eastAsia" w:ascii="楷体_GB2312" w:hAnsi="宋体" w:eastAsia="楷体"/>
          <w:sz w:val="28"/>
          <w:szCs w:val="28"/>
          <w:highlight w:val="none"/>
          <w:lang w:val="en-US" w:eastAsia="zh-CN"/>
        </w:rPr>
        <w:t>4</w:t>
      </w:r>
      <w:r>
        <w:rPr>
          <w:rFonts w:hint="default" w:ascii="楷体_GB2312" w:hAnsi="宋体" w:eastAsia="楷体"/>
          <w:sz w:val="28"/>
          <w:szCs w:val="28"/>
          <w:highlight w:val="none"/>
          <w:lang w:val="en-US" w:eastAsia="zh-CN"/>
        </w:rPr>
        <w:t>月</w:t>
      </w:r>
      <w:r>
        <w:rPr>
          <w:rFonts w:hint="eastAsia" w:ascii="楷体_GB2312" w:hAnsi="宋体" w:eastAsia="楷体"/>
          <w:sz w:val="28"/>
          <w:szCs w:val="28"/>
          <w:highlight w:val="none"/>
          <w:lang w:val="en-US" w:eastAsia="zh-CN"/>
        </w:rPr>
        <w:t>03</w:t>
      </w:r>
      <w:r>
        <w:rPr>
          <w:rFonts w:hint="default" w:ascii="楷体_GB2312" w:hAnsi="宋体" w:eastAsia="楷体"/>
          <w:sz w:val="28"/>
          <w:szCs w:val="28"/>
          <w:highlight w:val="none"/>
          <w:lang w:val="en-US" w:eastAsia="zh-CN"/>
        </w:rPr>
        <w:t>日止。</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outlineLvl w:val="1"/>
        <w:rPr>
          <w:rFonts w:hint="default" w:ascii="楷体_GB2312" w:hAnsi="宋体" w:eastAsia="楷体"/>
          <w:sz w:val="28"/>
          <w:szCs w:val="28"/>
          <w:lang w:val="en-US" w:eastAsia="zh-CN"/>
        </w:rPr>
      </w:pPr>
      <w:r>
        <w:rPr>
          <w:rFonts w:hint="eastAsia" w:ascii="楷体_GB2312" w:hAnsi="宋体" w:eastAsia="楷体"/>
          <w:sz w:val="28"/>
          <w:szCs w:val="28"/>
          <w:lang w:val="en-US" w:eastAsia="zh-CN"/>
        </w:rPr>
        <w:t>3、房地产查封状况</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outlineLvl w:val="1"/>
        <w:rPr>
          <w:rFonts w:hint="default" w:ascii="楷体_GB2312" w:hAnsi="宋体" w:eastAsia="楷体"/>
          <w:sz w:val="28"/>
          <w:szCs w:val="28"/>
          <w:lang w:val="en-US" w:eastAsia="zh-CN"/>
        </w:rPr>
      </w:pPr>
      <w:r>
        <w:rPr>
          <w:rFonts w:hint="eastAsia" w:ascii="楷体_GB2312" w:hAnsi="宋体" w:eastAsia="楷体"/>
          <w:sz w:val="28"/>
          <w:szCs w:val="28"/>
        </w:rPr>
        <w:t>根据《杭州市不动产</w:t>
      </w:r>
      <w:r>
        <w:rPr>
          <w:rFonts w:hint="eastAsia" w:ascii="楷体_GB2312" w:hAnsi="宋体" w:eastAsia="楷体"/>
          <w:sz w:val="28"/>
          <w:szCs w:val="28"/>
          <w:lang w:val="en-US" w:eastAsia="zh-CN"/>
        </w:rPr>
        <w:t>登记</w:t>
      </w:r>
      <w:r>
        <w:rPr>
          <w:rFonts w:hint="eastAsia" w:ascii="楷体_GB2312" w:hAnsi="宋体" w:eastAsia="楷体"/>
          <w:sz w:val="28"/>
          <w:szCs w:val="28"/>
        </w:rPr>
        <w:t>信息查询记录》记载，至价值时点，估价对象已经被司法机关查封。</w:t>
      </w:r>
      <w:r>
        <w:rPr>
          <w:rFonts w:hint="eastAsia" w:ascii="楷体_GB2312" w:hAnsi="宋体" w:eastAsia="楷体"/>
          <w:sz w:val="28"/>
          <w:szCs w:val="28"/>
          <w:lang w:val="en-US" w:eastAsia="zh-CN"/>
        </w:rPr>
        <w:t>查封文号为（2022）浙0102民初806号；查封期限为2022年01月28日起2025年01月27日止；查封机关杭州市上城区人民法院。</w:t>
      </w:r>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jc w:val="left"/>
        <w:textAlignment w:val="bottom"/>
        <w:outlineLvl w:val="9"/>
        <w:rPr>
          <w:rFonts w:ascii="楷体" w:hAnsi="楷体" w:eastAsia="楷体"/>
          <w:sz w:val="28"/>
        </w:rPr>
      </w:pPr>
      <w:r>
        <w:rPr>
          <w:rFonts w:hint="eastAsia" w:ascii="楷体" w:hAnsi="楷体" w:eastAsia="楷体"/>
          <w:sz w:val="28"/>
        </w:rPr>
        <w:t>（三）房地产实物状况</w:t>
      </w:r>
      <w:bookmarkEnd w:id="60"/>
      <w:bookmarkEnd w:id="61"/>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 w:hAnsi="楷体" w:eastAsia="楷体"/>
          <w:sz w:val="28"/>
        </w:rPr>
      </w:pPr>
      <w:r>
        <w:rPr>
          <w:rFonts w:hint="eastAsia" w:ascii="楷体" w:hAnsi="楷体" w:eastAsia="楷体"/>
          <w:sz w:val="28"/>
        </w:rPr>
        <w:t>1、土地实物状况</w:t>
      </w:r>
    </w:p>
    <w:p>
      <w:pPr>
        <w:keepNext w:val="0"/>
        <w:keepLines w:val="0"/>
        <w:pageBreakBefore w:val="0"/>
        <w:widowControl w:val="0"/>
        <w:kinsoku/>
        <w:wordWrap/>
        <w:overflowPunct/>
        <w:topLinePunct w:val="0"/>
        <w:autoSpaceDN/>
        <w:bidi w:val="0"/>
        <w:adjustRightInd/>
        <w:spacing w:line="660" w:lineRule="exact"/>
        <w:ind w:firstLine="560" w:firstLineChars="200"/>
        <w:jc w:val="left"/>
        <w:rPr>
          <w:rFonts w:ascii="楷体" w:hAnsi="楷体" w:eastAsia="楷体"/>
          <w:sz w:val="28"/>
          <w:highlight w:val="none"/>
        </w:rPr>
      </w:pPr>
      <w:r>
        <w:rPr>
          <w:rFonts w:hint="eastAsia" w:eastAsia="楷体"/>
          <w:sz w:val="28"/>
        </w:rPr>
        <w:t>估价对象</w:t>
      </w:r>
      <w:r>
        <w:rPr>
          <w:rFonts w:hint="eastAsia" w:eastAsia="楷体"/>
          <w:sz w:val="28"/>
          <w:lang w:val="en-US" w:eastAsia="zh-CN"/>
        </w:rPr>
        <w:t>土</w:t>
      </w:r>
      <w:r>
        <w:rPr>
          <w:rFonts w:hint="eastAsia" w:eastAsia="楷体"/>
          <w:sz w:val="28"/>
        </w:rPr>
        <w:t>地座落于</w:t>
      </w:r>
      <w:r>
        <w:rPr>
          <w:rFonts w:hint="eastAsia" w:ascii="楷体" w:hAnsi="楷体" w:eastAsia="楷体"/>
          <w:spacing w:val="-6"/>
          <w:sz w:val="28"/>
          <w:szCs w:val="28"/>
          <w:highlight w:val="none"/>
          <w:lang w:eastAsia="zh-CN"/>
        </w:rPr>
        <w:t>杭州钱塘新区水云城</w:t>
      </w:r>
      <w:r>
        <w:rPr>
          <w:rFonts w:hint="eastAsia" w:eastAsia="楷体"/>
          <w:sz w:val="28"/>
          <w:highlight w:val="none"/>
        </w:rPr>
        <w:t>，所在宗</w:t>
      </w:r>
      <w:r>
        <w:rPr>
          <w:rFonts w:hint="eastAsia" w:eastAsia="楷体"/>
          <w:sz w:val="28"/>
          <w:highlight w:val="none"/>
          <w:lang w:val="en-US" w:eastAsia="zh-CN"/>
        </w:rPr>
        <w:t>地东至文淙北路，南至凌云街，西至江月路，北至水云街。估价对象所在宗地</w:t>
      </w:r>
      <w:r>
        <w:rPr>
          <w:rFonts w:hint="eastAsia" w:eastAsia="楷体"/>
          <w:sz w:val="28"/>
          <w:highlight w:val="none"/>
        </w:rPr>
        <w:t>形状</w:t>
      </w:r>
      <w:r>
        <w:rPr>
          <w:rFonts w:hint="eastAsia" w:eastAsia="楷体"/>
          <w:sz w:val="28"/>
          <w:highlight w:val="none"/>
          <w:lang w:val="en-US" w:eastAsia="zh-CN"/>
        </w:rPr>
        <w:t>较</w:t>
      </w:r>
      <w:r>
        <w:rPr>
          <w:rFonts w:hint="eastAsia" w:eastAsia="楷体"/>
          <w:sz w:val="28"/>
          <w:highlight w:val="none"/>
        </w:rPr>
        <w:t>规则，所属区域地形</w:t>
      </w:r>
      <w:r>
        <w:rPr>
          <w:rFonts w:hint="eastAsia" w:eastAsia="楷体"/>
          <w:sz w:val="28"/>
          <w:highlight w:val="none"/>
          <w:lang w:val="en-US" w:eastAsia="zh-CN"/>
        </w:rPr>
        <w:t>基本平坦，</w:t>
      </w:r>
      <w:r>
        <w:rPr>
          <w:rFonts w:hint="eastAsia" w:eastAsia="楷体"/>
          <w:sz w:val="28"/>
          <w:highlight w:val="none"/>
        </w:rPr>
        <w:t>地势</w:t>
      </w:r>
      <w:r>
        <w:rPr>
          <w:rFonts w:hint="eastAsia" w:eastAsia="楷体"/>
          <w:sz w:val="28"/>
          <w:highlight w:val="none"/>
          <w:lang w:val="en-US" w:eastAsia="zh-CN"/>
        </w:rPr>
        <w:t>与周边基本持平</w:t>
      </w:r>
      <w:r>
        <w:rPr>
          <w:rFonts w:hint="eastAsia" w:eastAsia="楷体"/>
          <w:sz w:val="28"/>
          <w:highlight w:val="none"/>
        </w:rPr>
        <w:t>，地基承载力较好，水文地质条件较好，基础设施较完善，城市规划限制条件较少，利用状况较好</w:t>
      </w:r>
      <w:r>
        <w:rPr>
          <w:rFonts w:hint="eastAsia" w:ascii="楷体" w:hAnsi="楷体" w:eastAsia="楷体"/>
          <w:sz w:val="28"/>
          <w:highlight w:val="none"/>
        </w:rPr>
        <w:t>。</w:t>
      </w:r>
    </w:p>
    <w:p>
      <w:pPr>
        <w:keepNext w:val="0"/>
        <w:keepLines w:val="0"/>
        <w:pageBreakBefore w:val="0"/>
        <w:widowControl w:val="0"/>
        <w:kinsoku/>
        <w:wordWrap/>
        <w:overflowPunct/>
        <w:topLinePunct w:val="0"/>
        <w:autoSpaceDN/>
        <w:bidi w:val="0"/>
        <w:adjustRightInd/>
        <w:spacing w:line="660" w:lineRule="exact"/>
        <w:ind w:firstLine="560" w:firstLineChars="200"/>
        <w:jc w:val="left"/>
        <w:rPr>
          <w:rFonts w:ascii="楷体_GB2312" w:hAnsi="宋体" w:eastAsia="楷体"/>
          <w:sz w:val="28"/>
          <w:szCs w:val="28"/>
          <w:highlight w:val="none"/>
        </w:rPr>
      </w:pPr>
      <w:r>
        <w:rPr>
          <w:rFonts w:hint="eastAsia" w:ascii="楷体_GB2312" w:hAnsi="宋体" w:eastAsia="楷体"/>
          <w:sz w:val="28"/>
          <w:szCs w:val="28"/>
          <w:highlight w:val="none"/>
        </w:rPr>
        <w:t>2、建筑物实物状况</w:t>
      </w:r>
    </w:p>
    <w:p>
      <w:pPr>
        <w:pStyle w:val="45"/>
        <w:keepNext w:val="0"/>
        <w:keepLines w:val="0"/>
        <w:pageBreakBefore w:val="0"/>
        <w:widowControl w:val="0"/>
        <w:kinsoku/>
        <w:wordWrap/>
        <w:overflowPunct/>
        <w:topLinePunct w:val="0"/>
        <w:autoSpaceDN/>
        <w:bidi w:val="0"/>
        <w:adjustRightInd/>
        <w:snapToGrid w:val="0"/>
        <w:spacing w:line="660" w:lineRule="exact"/>
        <w:ind w:firstLine="560"/>
        <w:jc w:val="left"/>
        <w:rPr>
          <w:rFonts w:hint="eastAsia" w:ascii="楷体" w:hAnsi="楷体" w:eastAsia="楷体"/>
          <w:sz w:val="28"/>
          <w:highlight w:val="none"/>
          <w:lang w:eastAsia="zh-CN"/>
        </w:rPr>
      </w:pPr>
      <w:bookmarkStart w:id="62" w:name="_Toc24922"/>
      <w:r>
        <w:rPr>
          <w:rFonts w:hint="eastAsia" w:ascii="楷体" w:hAnsi="楷体" w:eastAsia="楷体"/>
          <w:sz w:val="28"/>
          <w:highlight w:val="none"/>
        </w:rPr>
        <w:t>估价对象座落于</w:t>
      </w:r>
      <w:r>
        <w:rPr>
          <w:rFonts w:hint="eastAsia" w:ascii="楷体" w:hAnsi="楷体" w:eastAsia="楷体"/>
          <w:spacing w:val="-6"/>
          <w:sz w:val="28"/>
          <w:szCs w:val="28"/>
          <w:highlight w:val="none"/>
          <w:lang w:eastAsia="zh-CN"/>
        </w:rPr>
        <w:t>杭州钱塘新区水云城</w:t>
      </w:r>
      <w:r>
        <w:rPr>
          <w:rFonts w:hint="eastAsia" w:ascii="楷体" w:hAnsi="楷体" w:eastAsia="楷体"/>
          <w:spacing w:val="-6"/>
          <w:sz w:val="28"/>
          <w:szCs w:val="28"/>
          <w:lang w:eastAsia="zh-CN"/>
        </w:rPr>
        <w:t>13幢3单元101室</w:t>
      </w:r>
      <w:r>
        <w:rPr>
          <w:rFonts w:hint="eastAsia" w:ascii="楷体" w:hAnsi="楷体" w:eastAsia="楷体"/>
          <w:sz w:val="28"/>
          <w:lang w:eastAsia="zh-CN"/>
        </w:rPr>
        <w:t>，</w:t>
      </w:r>
      <w:r>
        <w:rPr>
          <w:rFonts w:hint="eastAsia" w:ascii="楷体" w:hAnsi="楷体" w:eastAsia="楷体"/>
          <w:sz w:val="28"/>
        </w:rPr>
        <w:t>所在房屋为钢</w:t>
      </w:r>
      <w:r>
        <w:rPr>
          <w:rFonts w:hint="eastAsia" w:ascii="楷体" w:hAnsi="楷体" w:eastAsia="楷体"/>
          <w:sz w:val="28"/>
          <w:lang w:val="en-US" w:eastAsia="zh-CN"/>
        </w:rPr>
        <w:t>混</w:t>
      </w:r>
      <w:bookmarkStart w:id="112" w:name="_GoBack"/>
      <w:bookmarkEnd w:id="112"/>
      <w:r>
        <w:rPr>
          <w:rFonts w:hint="eastAsia" w:ascii="楷体" w:hAnsi="楷体" w:eastAsia="楷体"/>
          <w:sz w:val="28"/>
        </w:rPr>
        <w:t>结构楼房，</w:t>
      </w:r>
      <w:r>
        <w:rPr>
          <w:rFonts w:hint="eastAsia" w:ascii="楷体" w:hAnsi="楷体" w:eastAsia="楷体"/>
          <w:sz w:val="28"/>
          <w:lang w:val="en-US" w:eastAsia="zh-CN"/>
        </w:rPr>
        <w:t>建成于2019</w:t>
      </w:r>
      <w:r>
        <w:rPr>
          <w:rFonts w:hint="eastAsia" w:ascii="楷体" w:hAnsi="楷体" w:eastAsia="楷体"/>
          <w:sz w:val="28"/>
          <w:highlight w:val="none"/>
          <w:lang w:val="en-US" w:eastAsia="zh-CN"/>
        </w:rPr>
        <w:t>年，</w:t>
      </w:r>
      <w:r>
        <w:rPr>
          <w:rFonts w:hint="eastAsia" w:ascii="楷体" w:hAnsi="楷体" w:eastAsia="楷体"/>
          <w:sz w:val="28"/>
          <w:highlight w:val="none"/>
        </w:rPr>
        <w:t>建筑物外墙为</w:t>
      </w:r>
      <w:r>
        <w:rPr>
          <w:rFonts w:hint="eastAsia" w:ascii="楷体" w:hAnsi="楷体" w:eastAsia="楷体"/>
          <w:sz w:val="28"/>
          <w:highlight w:val="none"/>
          <w:lang w:val="en-US" w:eastAsia="zh-CN"/>
        </w:rPr>
        <w:t>石材和涂料</w:t>
      </w:r>
      <w:r>
        <w:rPr>
          <w:rFonts w:hint="eastAsia" w:ascii="楷体" w:hAnsi="楷体" w:eastAsia="楷体"/>
          <w:sz w:val="28"/>
          <w:highlight w:val="none"/>
        </w:rPr>
        <w:t>，铝合金窗</w:t>
      </w:r>
      <w:r>
        <w:rPr>
          <w:rFonts w:hint="eastAsia" w:ascii="楷体" w:hAnsi="楷体" w:eastAsia="楷体"/>
          <w:sz w:val="28"/>
          <w:highlight w:val="none"/>
          <w:lang w:eastAsia="zh-CN"/>
        </w:rPr>
        <w:t>。</w:t>
      </w:r>
      <w:r>
        <w:rPr>
          <w:rFonts w:hint="eastAsia" w:ascii="楷体" w:hAnsi="楷体" w:eastAsia="楷体"/>
          <w:sz w:val="28"/>
          <w:highlight w:val="none"/>
        </w:rPr>
        <w:t>房屋</w:t>
      </w:r>
      <w:r>
        <w:rPr>
          <w:rFonts w:hint="eastAsia" w:ascii="楷体" w:hAnsi="楷体" w:eastAsia="楷体"/>
          <w:sz w:val="28"/>
          <w:highlight w:val="none"/>
          <w:lang w:val="en-US" w:eastAsia="zh-CN"/>
        </w:rPr>
        <w:t>地上</w:t>
      </w:r>
      <w:r>
        <w:rPr>
          <w:rFonts w:hint="eastAsia" w:ascii="楷体" w:hAnsi="楷体" w:eastAsia="楷体"/>
          <w:sz w:val="28"/>
          <w:highlight w:val="none"/>
        </w:rPr>
        <w:t>总层数</w:t>
      </w:r>
      <w:r>
        <w:rPr>
          <w:rFonts w:hint="eastAsia" w:ascii="楷体" w:hAnsi="楷体" w:eastAsia="楷体"/>
          <w:sz w:val="28"/>
          <w:highlight w:val="none"/>
          <w:lang w:val="en-US" w:eastAsia="zh-CN"/>
        </w:rPr>
        <w:t>8</w:t>
      </w:r>
      <w:r>
        <w:rPr>
          <w:rFonts w:hint="eastAsia" w:ascii="楷体" w:hAnsi="楷体" w:eastAsia="楷体"/>
          <w:sz w:val="28"/>
          <w:highlight w:val="none"/>
        </w:rPr>
        <w:t>层</w:t>
      </w:r>
      <w:r>
        <w:rPr>
          <w:rFonts w:hint="eastAsia" w:ascii="楷体" w:hAnsi="楷体" w:eastAsia="楷体"/>
          <w:sz w:val="28"/>
          <w:highlight w:val="none"/>
          <w:lang w:eastAsia="zh-CN"/>
        </w:rPr>
        <w:t>（</w:t>
      </w:r>
      <w:r>
        <w:rPr>
          <w:rFonts w:hint="eastAsia" w:ascii="楷体" w:hAnsi="楷体" w:eastAsia="楷体"/>
          <w:sz w:val="28"/>
          <w:highlight w:val="none"/>
          <w:lang w:val="en-US" w:eastAsia="zh-CN"/>
        </w:rPr>
        <w:t>地下2层</w:t>
      </w:r>
      <w:r>
        <w:rPr>
          <w:rFonts w:hint="eastAsia" w:ascii="楷体" w:hAnsi="楷体" w:eastAsia="楷体"/>
          <w:sz w:val="28"/>
          <w:highlight w:val="none"/>
          <w:lang w:eastAsia="zh-CN"/>
        </w:rPr>
        <w:t>），</w:t>
      </w:r>
      <w:r>
        <w:rPr>
          <w:rFonts w:hint="eastAsia" w:ascii="楷体" w:hAnsi="楷体" w:eastAsia="楷体"/>
          <w:sz w:val="28"/>
          <w:highlight w:val="none"/>
        </w:rPr>
        <w:t>估价对象位于第</w:t>
      </w:r>
      <w:r>
        <w:rPr>
          <w:rFonts w:hint="eastAsia" w:ascii="楷体" w:hAnsi="楷体" w:eastAsia="楷体"/>
          <w:sz w:val="28"/>
          <w:highlight w:val="none"/>
          <w:lang w:val="en-US" w:eastAsia="zh-CN"/>
        </w:rPr>
        <w:t>1</w:t>
      </w:r>
      <w:r>
        <w:rPr>
          <w:rFonts w:hint="eastAsia" w:ascii="楷体" w:hAnsi="楷体" w:eastAsia="楷体"/>
          <w:sz w:val="28"/>
          <w:highlight w:val="none"/>
        </w:rPr>
        <w:t>层</w:t>
      </w:r>
      <w:r>
        <w:rPr>
          <w:rFonts w:hint="eastAsia" w:ascii="楷体" w:hAnsi="楷体" w:eastAsia="楷体"/>
          <w:sz w:val="28"/>
          <w:highlight w:val="none"/>
          <w:lang w:val="en-US" w:eastAsia="zh-CN"/>
        </w:rPr>
        <w:t>。</w:t>
      </w:r>
      <w:r>
        <w:rPr>
          <w:rFonts w:hint="eastAsia" w:ascii="楷体" w:hAnsi="楷体" w:eastAsia="楷体"/>
          <w:sz w:val="28"/>
          <w:highlight w:val="none"/>
        </w:rPr>
        <w:t>所在单元布置为</w:t>
      </w:r>
      <w:r>
        <w:rPr>
          <w:rFonts w:hint="eastAsia" w:ascii="楷体" w:hAnsi="楷体" w:eastAsia="楷体"/>
          <w:sz w:val="28"/>
          <w:highlight w:val="none"/>
          <w:lang w:val="en-US" w:eastAsia="zh-CN"/>
        </w:rPr>
        <w:t>1</w:t>
      </w:r>
      <w:r>
        <w:rPr>
          <w:rFonts w:hint="eastAsia" w:ascii="楷体" w:hAnsi="楷体" w:eastAsia="楷体"/>
          <w:sz w:val="28"/>
          <w:highlight w:val="none"/>
        </w:rPr>
        <w:t>梯</w:t>
      </w:r>
      <w:r>
        <w:rPr>
          <w:rFonts w:hint="eastAsia" w:ascii="楷体" w:hAnsi="楷体" w:eastAsia="楷体"/>
          <w:sz w:val="28"/>
          <w:highlight w:val="none"/>
          <w:lang w:val="en-US" w:eastAsia="zh-CN"/>
        </w:rPr>
        <w:t>2</w:t>
      </w:r>
      <w:r>
        <w:rPr>
          <w:rFonts w:hint="eastAsia" w:ascii="楷体" w:hAnsi="楷体" w:eastAsia="楷体"/>
          <w:sz w:val="28"/>
          <w:highlight w:val="none"/>
        </w:rPr>
        <w:t>户</w:t>
      </w:r>
      <w:r>
        <w:rPr>
          <w:rFonts w:hint="eastAsia" w:ascii="楷体" w:hAnsi="楷体" w:eastAsia="楷体"/>
          <w:sz w:val="28"/>
          <w:highlight w:val="none"/>
          <w:lang w:eastAsia="zh-CN"/>
        </w:rPr>
        <w:t>。</w:t>
      </w:r>
      <w:r>
        <w:rPr>
          <w:rFonts w:hint="eastAsia" w:ascii="楷体" w:hAnsi="楷体" w:eastAsia="楷体"/>
          <w:sz w:val="28"/>
          <w:highlight w:val="none"/>
          <w:lang w:val="en-US" w:eastAsia="zh-CN"/>
        </w:rPr>
        <w:t>估价对象</w:t>
      </w:r>
      <w:r>
        <w:rPr>
          <w:rFonts w:hint="eastAsia" w:ascii="楷体" w:hAnsi="楷体" w:eastAsia="楷体"/>
          <w:sz w:val="28"/>
          <w:highlight w:val="none"/>
        </w:rPr>
        <w:t>房屋</w:t>
      </w:r>
      <w:r>
        <w:rPr>
          <w:rFonts w:hint="eastAsia" w:ascii="楷体" w:hAnsi="楷体" w:eastAsia="楷体"/>
          <w:sz w:val="28"/>
          <w:highlight w:val="none"/>
          <w:lang w:eastAsia="zh-CN"/>
        </w:rPr>
        <w:t>建筑面积88.83平方米，</w:t>
      </w:r>
      <w:r>
        <w:rPr>
          <w:rFonts w:hint="eastAsia" w:ascii="楷体" w:hAnsi="楷体" w:eastAsia="楷体"/>
          <w:sz w:val="28"/>
          <w:highlight w:val="none"/>
        </w:rPr>
        <w:t>室内布局</w:t>
      </w:r>
      <w:r>
        <w:rPr>
          <w:rFonts w:hint="eastAsia" w:ascii="楷体" w:hAnsi="楷体" w:eastAsia="楷体"/>
          <w:sz w:val="28"/>
          <w:highlight w:val="none"/>
          <w:lang w:val="en-US" w:eastAsia="zh-CN"/>
        </w:rPr>
        <w:t>为三</w:t>
      </w:r>
      <w:r>
        <w:rPr>
          <w:rFonts w:hint="eastAsia" w:ascii="楷体" w:hAnsi="楷体" w:eastAsia="楷体"/>
          <w:sz w:val="28"/>
          <w:highlight w:val="none"/>
        </w:rPr>
        <w:t>室</w:t>
      </w:r>
      <w:r>
        <w:rPr>
          <w:rFonts w:hint="eastAsia" w:ascii="楷体" w:hAnsi="楷体" w:eastAsia="楷体"/>
          <w:sz w:val="28"/>
          <w:highlight w:val="none"/>
          <w:lang w:val="en-US" w:eastAsia="zh-CN"/>
        </w:rPr>
        <w:t>二</w:t>
      </w:r>
      <w:r>
        <w:rPr>
          <w:rFonts w:hint="eastAsia" w:ascii="楷体" w:hAnsi="楷体" w:eastAsia="楷体"/>
          <w:sz w:val="28"/>
          <w:highlight w:val="none"/>
        </w:rPr>
        <w:t>厅一厨</w:t>
      </w:r>
      <w:r>
        <w:rPr>
          <w:rFonts w:hint="eastAsia" w:ascii="楷体" w:hAnsi="楷体" w:eastAsia="楷体"/>
          <w:sz w:val="28"/>
          <w:highlight w:val="none"/>
          <w:lang w:val="en-US" w:eastAsia="zh-CN"/>
        </w:rPr>
        <w:t>一</w:t>
      </w:r>
      <w:r>
        <w:rPr>
          <w:rFonts w:hint="eastAsia" w:ascii="楷体" w:hAnsi="楷体" w:eastAsia="楷体"/>
          <w:sz w:val="28"/>
          <w:highlight w:val="none"/>
        </w:rPr>
        <w:t>卫</w:t>
      </w:r>
      <w:r>
        <w:rPr>
          <w:rFonts w:hint="eastAsia" w:ascii="楷体" w:hAnsi="楷体" w:eastAsia="楷体"/>
          <w:sz w:val="28"/>
          <w:highlight w:val="none"/>
          <w:lang w:val="en-US" w:eastAsia="zh-CN"/>
        </w:rPr>
        <w:t>一</w:t>
      </w:r>
      <w:r>
        <w:rPr>
          <w:rFonts w:hint="eastAsia" w:ascii="楷体" w:hAnsi="楷体" w:eastAsia="楷体"/>
          <w:sz w:val="28"/>
          <w:highlight w:val="none"/>
        </w:rPr>
        <w:t>阳台</w:t>
      </w:r>
      <w:r>
        <w:rPr>
          <w:rFonts w:hint="eastAsia" w:ascii="楷体" w:hAnsi="楷体" w:eastAsia="楷体"/>
          <w:sz w:val="28"/>
          <w:highlight w:val="none"/>
          <w:lang w:val="en-US" w:eastAsia="zh-CN"/>
        </w:rPr>
        <w:t>。房屋由开发商精装修交付，</w:t>
      </w:r>
      <w:r>
        <w:rPr>
          <w:rFonts w:hint="eastAsia" w:ascii="楷体" w:hAnsi="楷体" w:eastAsia="楷体"/>
          <w:sz w:val="28"/>
          <w:highlight w:val="none"/>
        </w:rPr>
        <w:t>室内装修状况：</w:t>
      </w:r>
      <w:r>
        <w:rPr>
          <w:rFonts w:hint="eastAsia" w:ascii="楷体" w:hAnsi="楷体" w:eastAsia="楷体"/>
          <w:sz w:val="28"/>
          <w:highlight w:val="none"/>
          <w:lang w:val="en-US" w:eastAsia="zh-CN"/>
        </w:rPr>
        <w:t>客、餐厅</w:t>
      </w:r>
      <w:r>
        <w:rPr>
          <w:rFonts w:hint="eastAsia" w:ascii="楷体" w:hAnsi="楷体" w:eastAsia="楷体"/>
          <w:sz w:val="28"/>
          <w:highlight w:val="none"/>
        </w:rPr>
        <w:t>地面</w:t>
      </w:r>
      <w:r>
        <w:rPr>
          <w:rFonts w:hint="eastAsia" w:ascii="楷体" w:hAnsi="楷体" w:eastAsia="楷体"/>
          <w:sz w:val="28"/>
          <w:highlight w:val="none"/>
          <w:lang w:val="en-US" w:eastAsia="zh-CN"/>
        </w:rPr>
        <w:t>铺木地板</w:t>
      </w:r>
      <w:r>
        <w:rPr>
          <w:rFonts w:hint="eastAsia" w:ascii="楷体" w:hAnsi="楷体" w:eastAsia="楷体"/>
          <w:sz w:val="28"/>
          <w:highlight w:val="none"/>
        </w:rPr>
        <w:t>，墙面</w:t>
      </w:r>
      <w:r>
        <w:rPr>
          <w:rFonts w:hint="eastAsia" w:ascii="楷体" w:hAnsi="楷体" w:eastAsia="楷体"/>
          <w:sz w:val="28"/>
          <w:highlight w:val="none"/>
          <w:lang w:val="en-US" w:eastAsia="zh-CN"/>
        </w:rPr>
        <w:t>乳胶漆</w:t>
      </w:r>
      <w:r>
        <w:rPr>
          <w:rFonts w:hint="eastAsia" w:ascii="楷体" w:hAnsi="楷体" w:eastAsia="楷体"/>
          <w:sz w:val="28"/>
          <w:highlight w:val="none"/>
          <w:lang w:eastAsia="zh-CN"/>
        </w:rPr>
        <w:t>，</w:t>
      </w:r>
      <w:r>
        <w:rPr>
          <w:rFonts w:hint="eastAsia" w:ascii="楷体" w:hAnsi="楷体" w:eastAsia="楷体"/>
          <w:sz w:val="28"/>
          <w:highlight w:val="none"/>
        </w:rPr>
        <w:t>顶面</w:t>
      </w:r>
      <w:r>
        <w:rPr>
          <w:rFonts w:hint="eastAsia" w:ascii="楷体" w:hAnsi="楷体" w:eastAsia="楷体"/>
          <w:sz w:val="28"/>
          <w:highlight w:val="none"/>
          <w:lang w:val="en-US" w:eastAsia="zh-CN"/>
        </w:rPr>
        <w:t>造型吊顶；卧室地面铺木地板，</w:t>
      </w:r>
      <w:r>
        <w:rPr>
          <w:rFonts w:hint="eastAsia" w:ascii="楷体" w:hAnsi="楷体" w:eastAsia="楷体"/>
          <w:sz w:val="28"/>
          <w:highlight w:val="none"/>
        </w:rPr>
        <w:t>墙面</w:t>
      </w:r>
      <w:r>
        <w:rPr>
          <w:rFonts w:hint="eastAsia" w:ascii="楷体" w:hAnsi="楷体" w:eastAsia="楷体"/>
          <w:sz w:val="28"/>
          <w:highlight w:val="none"/>
          <w:lang w:eastAsia="zh-CN"/>
        </w:rPr>
        <w:t>、</w:t>
      </w:r>
      <w:r>
        <w:rPr>
          <w:rFonts w:hint="eastAsia" w:ascii="楷体" w:hAnsi="楷体" w:eastAsia="楷体"/>
          <w:sz w:val="28"/>
          <w:highlight w:val="none"/>
        </w:rPr>
        <w:t>顶面</w:t>
      </w:r>
      <w:r>
        <w:rPr>
          <w:rFonts w:hint="eastAsia" w:ascii="楷体" w:hAnsi="楷体" w:eastAsia="楷体"/>
          <w:sz w:val="28"/>
          <w:highlight w:val="none"/>
          <w:lang w:val="en-US" w:eastAsia="zh-CN"/>
        </w:rPr>
        <w:t>为乳胶漆；厨房、卫生间地面铺地砖，墙面贴墙砖，顶面铝扣板集成吊顶。</w:t>
      </w:r>
      <w:r>
        <w:rPr>
          <w:rFonts w:hint="eastAsia" w:ascii="楷体" w:hAnsi="楷体" w:eastAsia="楷体"/>
          <w:w w:val="95"/>
          <w:sz w:val="28"/>
          <w:highlight w:val="none"/>
        </w:rPr>
        <w:t>估价对象所在房屋水电卫燃气</w:t>
      </w:r>
      <w:r>
        <w:rPr>
          <w:rFonts w:hint="eastAsia" w:ascii="楷体" w:hAnsi="楷体" w:eastAsia="楷体"/>
          <w:w w:val="95"/>
          <w:sz w:val="28"/>
          <w:highlight w:val="none"/>
          <w:lang w:val="en-US" w:eastAsia="zh-CN"/>
        </w:rPr>
        <w:t>设施齐全</w:t>
      </w:r>
      <w:r>
        <w:rPr>
          <w:rFonts w:hint="eastAsia" w:ascii="楷体" w:hAnsi="楷体" w:eastAsia="楷体"/>
          <w:w w:val="95"/>
          <w:sz w:val="28"/>
          <w:highlight w:val="none"/>
        </w:rPr>
        <w:t>，整体使用维护状况好，属完好房。</w:t>
      </w:r>
    </w:p>
    <w:p>
      <w:pPr>
        <w:keepNext w:val="0"/>
        <w:keepLines w:val="0"/>
        <w:pageBreakBefore w:val="0"/>
        <w:widowControl w:val="0"/>
        <w:numPr>
          <w:ilvl w:val="0"/>
          <w:numId w:val="6"/>
        </w:numPr>
        <w:kinsoku/>
        <w:wordWrap/>
        <w:overflowPunct/>
        <w:topLinePunct w:val="0"/>
        <w:autoSpaceDE w:val="0"/>
        <w:autoSpaceDN/>
        <w:bidi w:val="0"/>
        <w:adjustRightInd/>
        <w:snapToGrid/>
        <w:spacing w:line="660" w:lineRule="exact"/>
        <w:ind w:firstLine="561"/>
        <w:jc w:val="left"/>
        <w:textAlignment w:val="bottom"/>
        <w:outlineLvl w:val="9"/>
        <w:rPr>
          <w:rFonts w:ascii="楷体_GB2312" w:hAnsi="宋体" w:eastAsia="楷体"/>
          <w:sz w:val="28"/>
          <w:szCs w:val="28"/>
        </w:rPr>
      </w:pPr>
      <w:bookmarkStart w:id="63" w:name="_Toc29769"/>
      <w:r>
        <w:rPr>
          <w:rFonts w:hint="eastAsia" w:ascii="楷体_GB2312" w:hAnsi="宋体" w:eastAsia="楷体"/>
          <w:sz w:val="28"/>
          <w:szCs w:val="28"/>
        </w:rPr>
        <w:t>区位状况</w:t>
      </w:r>
      <w:bookmarkEnd w:id="62"/>
      <w:bookmarkEnd w:id="63"/>
    </w:p>
    <w:p>
      <w:pPr>
        <w:keepNext w:val="0"/>
        <w:keepLines w:val="0"/>
        <w:pageBreakBefore w:val="0"/>
        <w:widowControl w:val="0"/>
        <w:kinsoku/>
        <w:wordWrap/>
        <w:overflowPunct/>
        <w:topLinePunct w:val="0"/>
        <w:autoSpaceDN/>
        <w:bidi w:val="0"/>
        <w:adjustRightInd/>
        <w:snapToGrid/>
        <w:spacing w:line="660" w:lineRule="exact"/>
        <w:ind w:firstLine="560" w:firstLineChars="200"/>
        <w:rPr>
          <w:rFonts w:ascii="楷体" w:hAnsi="楷体" w:eastAsia="楷体" w:cs="楷体"/>
          <w:sz w:val="28"/>
        </w:rPr>
      </w:pPr>
      <w:r>
        <w:rPr>
          <w:rFonts w:hint="eastAsia" w:ascii="楷体" w:hAnsi="楷体" w:eastAsia="楷体" w:cs="楷体"/>
          <w:sz w:val="28"/>
        </w:rPr>
        <w:t>杭州市位于浙江省北部，总面积16596平方千米，下辖上城、拱墅、西湖、滨江、萧山、余杭、</w:t>
      </w:r>
      <w:r>
        <w:rPr>
          <w:rFonts w:hint="eastAsia" w:ascii="楷体" w:hAnsi="楷体" w:eastAsia="楷体" w:cs="楷体"/>
          <w:sz w:val="28"/>
          <w:lang w:val="en-US" w:eastAsia="zh-CN"/>
        </w:rPr>
        <w:t>临平、钱塘、</w:t>
      </w:r>
      <w:r>
        <w:rPr>
          <w:rFonts w:hint="eastAsia" w:ascii="楷体" w:hAnsi="楷体" w:eastAsia="楷体" w:cs="楷体"/>
          <w:sz w:val="28"/>
        </w:rPr>
        <w:t>富阳及临安10个市辖区，桐庐、淳安2个县和建德1个县级市。</w:t>
      </w:r>
    </w:p>
    <w:p>
      <w:pPr>
        <w:keepNext w:val="0"/>
        <w:keepLines w:val="0"/>
        <w:pageBreakBefore w:val="0"/>
        <w:widowControl w:val="0"/>
        <w:kinsoku/>
        <w:wordWrap/>
        <w:overflowPunct/>
        <w:topLinePunct w:val="0"/>
        <w:autoSpaceDE w:val="0"/>
        <w:autoSpaceDN/>
        <w:bidi w:val="0"/>
        <w:adjustRightInd/>
        <w:spacing w:line="660" w:lineRule="exact"/>
        <w:ind w:firstLine="560" w:firstLineChars="200"/>
        <w:jc w:val="left"/>
        <w:textAlignment w:val="bottom"/>
        <w:rPr>
          <w:rFonts w:hint="eastAsia" w:ascii="楷体" w:hAnsi="楷体" w:eastAsia="楷体" w:cs="楷体"/>
          <w:sz w:val="28"/>
        </w:rPr>
      </w:pPr>
      <w:r>
        <w:rPr>
          <w:rFonts w:hint="eastAsia" w:ascii="楷体" w:hAnsi="楷体" w:eastAsia="楷体" w:cs="楷体"/>
          <w:sz w:val="28"/>
        </w:rPr>
        <w:t>钱塘区规划控制总面积531.7平方公里，空间范围包括现杭州大江东产业集聚区和现杭州经济技术开发区，管理范围包括江干区的下沙、白杨2个街道，萧山区的河庄、义蓬、新湾、临江、前进5个街道，以及杭州大江东产业集聚区规划控制范围内的其他区域(不含党湾镇所辖接壤区域的行政村)。2021年3月15日，根据杭州市人民政府关于调整杭州市部分行政区划的通知（杭政函〔2021〕25号），设立钱塘区，以原江干区的下沙街道、白杨街道和萧山区的河庄街道、义蓬街道、新湾街道、临江街道、前进街道的行政区域为钱塘区的行政区域，钱塘区人民政府驻河庄街道青六北路499号。</w:t>
      </w:r>
    </w:p>
    <w:p>
      <w:pPr>
        <w:keepNext w:val="0"/>
        <w:keepLines w:val="0"/>
        <w:pageBreakBefore w:val="0"/>
        <w:widowControl w:val="0"/>
        <w:kinsoku/>
        <w:wordWrap/>
        <w:overflowPunct/>
        <w:topLinePunct w:val="0"/>
        <w:autoSpaceDE w:val="0"/>
        <w:autoSpaceDN/>
        <w:bidi w:val="0"/>
        <w:adjustRightInd/>
        <w:spacing w:line="660" w:lineRule="exact"/>
        <w:ind w:firstLine="560" w:firstLineChars="200"/>
        <w:jc w:val="left"/>
        <w:textAlignment w:val="bottom"/>
        <w:rPr>
          <w:rFonts w:ascii="楷体_GB2312" w:hAnsi="宋体" w:eastAsia="楷体"/>
          <w:sz w:val="28"/>
          <w:szCs w:val="28"/>
        </w:rPr>
      </w:pPr>
      <w:r>
        <w:rPr>
          <w:rFonts w:hint="eastAsia" w:ascii="楷体_GB2312" w:hAnsi="宋体" w:eastAsia="楷体"/>
          <w:sz w:val="28"/>
          <w:szCs w:val="28"/>
        </w:rPr>
        <w:t>1.位置状况</w:t>
      </w:r>
    </w:p>
    <w:p>
      <w:pPr>
        <w:keepNext w:val="0"/>
        <w:keepLines w:val="0"/>
        <w:pageBreakBefore w:val="0"/>
        <w:widowControl w:val="0"/>
        <w:kinsoku/>
        <w:wordWrap/>
        <w:overflowPunct/>
        <w:topLinePunct w:val="0"/>
        <w:autoSpaceDN/>
        <w:bidi w:val="0"/>
        <w:adjustRightInd/>
        <w:spacing w:line="660" w:lineRule="exact"/>
        <w:ind w:firstLine="560" w:firstLineChars="200"/>
        <w:rPr>
          <w:rFonts w:ascii="宋体" w:hAnsi="宋体" w:eastAsia="楷体"/>
          <w:sz w:val="28"/>
          <w:highlight w:val="none"/>
        </w:rPr>
      </w:pPr>
      <w:r>
        <w:rPr>
          <w:rFonts w:hint="eastAsia" w:ascii="楷体_GB2312" w:hAnsi="宋体" w:eastAsia="楷体"/>
          <w:sz w:val="28"/>
          <w:szCs w:val="28"/>
        </w:rPr>
        <w:t>估价对象坐落于</w:t>
      </w:r>
      <w:r>
        <w:rPr>
          <w:rFonts w:hint="eastAsia" w:ascii="楷体" w:hAnsi="楷体" w:eastAsia="楷体"/>
          <w:spacing w:val="-6"/>
          <w:sz w:val="28"/>
          <w:szCs w:val="28"/>
          <w:lang w:eastAsia="zh-CN"/>
        </w:rPr>
        <w:t>杭州钱塘新区水云城13幢3单元101室</w:t>
      </w:r>
      <w:r>
        <w:rPr>
          <w:rFonts w:hint="eastAsia" w:ascii="楷体_GB2312" w:hAnsi="宋体" w:eastAsia="楷体"/>
          <w:sz w:val="28"/>
          <w:szCs w:val="28"/>
        </w:rPr>
        <w:t>，位于</w:t>
      </w:r>
      <w:r>
        <w:rPr>
          <w:rFonts w:hint="eastAsia" w:ascii="楷体_GB2312" w:hAnsi="宋体" w:eastAsia="楷体"/>
          <w:sz w:val="28"/>
          <w:szCs w:val="28"/>
          <w:lang w:val="en-US" w:eastAsia="zh-CN"/>
        </w:rPr>
        <w:t>凌云路与江月路</w:t>
      </w:r>
      <w:r>
        <w:rPr>
          <w:rFonts w:hint="eastAsia" w:ascii="楷体_GB2312" w:hAnsi="宋体" w:eastAsia="楷体"/>
          <w:sz w:val="28"/>
          <w:szCs w:val="28"/>
        </w:rPr>
        <w:t>交汇处</w:t>
      </w:r>
      <w:r>
        <w:rPr>
          <w:rFonts w:hint="eastAsia" w:ascii="楷体_GB2312" w:hAnsi="宋体" w:eastAsia="楷体"/>
          <w:sz w:val="28"/>
          <w:szCs w:val="28"/>
          <w:lang w:val="en-US" w:eastAsia="zh-CN"/>
        </w:rPr>
        <w:t>东北</w:t>
      </w:r>
      <w:r>
        <w:rPr>
          <w:rFonts w:hint="eastAsia" w:ascii="楷体_GB2312" w:hAnsi="宋体" w:eastAsia="楷体"/>
          <w:sz w:val="28"/>
          <w:szCs w:val="28"/>
        </w:rPr>
        <w:t>侧</w:t>
      </w:r>
      <w:r>
        <w:rPr>
          <w:rFonts w:hint="eastAsia" w:ascii="楷体_GB2312" w:hAnsi="宋体" w:eastAsia="楷体"/>
          <w:sz w:val="28"/>
          <w:szCs w:val="28"/>
          <w:lang w:eastAsia="zh-CN"/>
        </w:rPr>
        <w:t>。</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highlight w:val="none"/>
        </w:rPr>
      </w:pPr>
      <w:r>
        <w:rPr>
          <w:rFonts w:hint="eastAsia" w:ascii="楷体_GB2312" w:hAnsi="宋体" w:eastAsia="楷体"/>
          <w:sz w:val="28"/>
          <w:szCs w:val="28"/>
          <w:highlight w:val="none"/>
        </w:rPr>
        <w:t>2.交通状况</w:t>
      </w:r>
    </w:p>
    <w:p>
      <w:pPr>
        <w:keepNext w:val="0"/>
        <w:keepLines w:val="0"/>
        <w:pageBreakBefore w:val="0"/>
        <w:widowControl w:val="0"/>
        <w:kinsoku/>
        <w:wordWrap/>
        <w:overflowPunct/>
        <w:topLinePunct w:val="0"/>
        <w:autoSpaceDN/>
        <w:bidi w:val="0"/>
        <w:adjustRightInd/>
        <w:spacing w:line="630" w:lineRule="exact"/>
        <w:ind w:firstLine="560" w:firstLineChars="200"/>
        <w:rPr>
          <w:rFonts w:ascii="楷体" w:hAnsi="楷体" w:eastAsia="楷体"/>
          <w:sz w:val="28"/>
          <w:highlight w:val="none"/>
        </w:rPr>
      </w:pPr>
      <w:r>
        <w:rPr>
          <w:rFonts w:hint="eastAsia" w:ascii="楷体" w:hAnsi="楷体" w:eastAsia="楷体"/>
          <w:sz w:val="28"/>
        </w:rPr>
        <w:t>估价对象附近有</w:t>
      </w:r>
      <w:r>
        <w:rPr>
          <w:rFonts w:hint="eastAsia" w:ascii="楷体_GB2312" w:hAnsi="宋体" w:eastAsia="楷体"/>
          <w:sz w:val="28"/>
          <w:szCs w:val="28"/>
          <w:lang w:val="en-US" w:eastAsia="zh-CN"/>
        </w:rPr>
        <w:t>凌云路</w:t>
      </w:r>
      <w:r>
        <w:rPr>
          <w:rFonts w:hint="eastAsia" w:ascii="楷体" w:hAnsi="楷体" w:eastAsia="楷体"/>
          <w:sz w:val="28"/>
        </w:rPr>
        <w:t>、</w:t>
      </w:r>
      <w:r>
        <w:rPr>
          <w:rFonts w:hint="eastAsia" w:ascii="楷体_GB2312" w:hAnsi="宋体" w:eastAsia="楷体"/>
          <w:sz w:val="28"/>
          <w:szCs w:val="28"/>
          <w:lang w:val="en-US" w:eastAsia="zh-CN"/>
        </w:rPr>
        <w:t>江月路</w:t>
      </w:r>
      <w:r>
        <w:rPr>
          <w:rFonts w:hint="eastAsia" w:ascii="楷体" w:hAnsi="楷体" w:eastAsia="楷体"/>
          <w:sz w:val="28"/>
          <w:lang w:val="en-US" w:eastAsia="zh-CN"/>
        </w:rPr>
        <w:t>、文海北路</w:t>
      </w:r>
      <w:r>
        <w:rPr>
          <w:rFonts w:hint="eastAsia" w:ascii="楷体" w:hAnsi="楷体" w:eastAsia="楷体"/>
          <w:sz w:val="28"/>
        </w:rPr>
        <w:t>等城市主次道路</w:t>
      </w:r>
      <w:r>
        <w:rPr>
          <w:rFonts w:hint="eastAsia" w:ascii="楷体" w:hAnsi="楷体" w:eastAsia="楷体"/>
          <w:sz w:val="28"/>
          <w:lang w:eastAsia="zh-CN"/>
        </w:rPr>
        <w:t>，</w:t>
      </w:r>
      <w:r>
        <w:rPr>
          <w:rFonts w:hint="eastAsia" w:ascii="楷体" w:hAnsi="楷体" w:eastAsia="楷体"/>
          <w:sz w:val="28"/>
          <w:lang w:val="en-US" w:eastAsia="zh-CN"/>
        </w:rPr>
        <w:t>道路通达度较好，对外交通便利度较高</w:t>
      </w:r>
      <w:r>
        <w:rPr>
          <w:rFonts w:hint="eastAsia" w:ascii="楷体" w:hAnsi="楷体" w:eastAsia="楷体"/>
          <w:sz w:val="28"/>
        </w:rPr>
        <w:t>。估价对象所在区域附近有</w:t>
      </w:r>
      <w:r>
        <w:rPr>
          <w:rFonts w:hint="eastAsia" w:ascii="楷体" w:hAnsi="楷体" w:eastAsia="楷体"/>
          <w:sz w:val="28"/>
          <w:lang w:val="en-US" w:eastAsia="zh-CN"/>
        </w:rPr>
        <w:t>3101路、3102M路、3110路</w:t>
      </w:r>
      <w:r>
        <w:rPr>
          <w:rFonts w:hint="eastAsia" w:ascii="楷体" w:hAnsi="楷体" w:eastAsia="楷体"/>
          <w:sz w:val="28"/>
        </w:rPr>
        <w:t>等公交线路设有停靠站点</w:t>
      </w:r>
      <w:r>
        <w:rPr>
          <w:rFonts w:hint="eastAsia" w:ascii="楷体" w:hAnsi="楷体" w:eastAsia="楷体"/>
          <w:sz w:val="28"/>
          <w:lang w:eastAsia="zh-CN"/>
        </w:rPr>
        <w:t>，</w:t>
      </w:r>
      <w:r>
        <w:rPr>
          <w:rFonts w:hint="eastAsia" w:ascii="楷体" w:hAnsi="楷体" w:eastAsia="楷体"/>
          <w:sz w:val="28"/>
        </w:rPr>
        <w:t>公共交通便捷</w:t>
      </w:r>
      <w:r>
        <w:rPr>
          <w:rFonts w:hint="eastAsia" w:ascii="楷体" w:hAnsi="楷体" w:eastAsia="楷体"/>
          <w:sz w:val="28"/>
          <w:lang w:val="en-US" w:eastAsia="zh-CN"/>
        </w:rPr>
        <w:t>度一般</w:t>
      </w:r>
      <w:r>
        <w:rPr>
          <w:rFonts w:hint="eastAsia" w:ascii="楷体" w:hAnsi="楷体" w:eastAsia="楷体"/>
          <w:sz w:val="28"/>
          <w:highlight w:val="none"/>
        </w:rPr>
        <w:t>，停车方便程度</w:t>
      </w:r>
      <w:r>
        <w:rPr>
          <w:rFonts w:hint="eastAsia" w:ascii="楷体" w:hAnsi="楷体" w:eastAsia="楷体"/>
          <w:sz w:val="28"/>
          <w:highlight w:val="none"/>
          <w:lang w:val="en-US" w:eastAsia="zh-CN"/>
        </w:rPr>
        <w:t>较高</w:t>
      </w:r>
      <w:r>
        <w:rPr>
          <w:rFonts w:hint="eastAsia" w:ascii="楷体" w:hAnsi="楷体" w:eastAsia="楷体"/>
          <w:sz w:val="28"/>
          <w:highlight w:val="none"/>
        </w:rPr>
        <w:t>，周边交通管制状况较少。</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rPr>
      </w:pPr>
      <w:r>
        <w:rPr>
          <w:rFonts w:hint="eastAsia" w:ascii="楷体_GB2312" w:hAnsi="宋体" w:eastAsia="楷体"/>
          <w:sz w:val="28"/>
          <w:szCs w:val="28"/>
        </w:rPr>
        <w:t>3.基础配套设施</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hint="eastAsia" w:ascii="楷体_GB2312" w:hAnsi="宋体" w:eastAsia="楷体"/>
          <w:sz w:val="28"/>
          <w:szCs w:val="28"/>
        </w:rPr>
      </w:pPr>
      <w:r>
        <w:rPr>
          <w:rFonts w:hint="eastAsia" w:ascii="楷体_GB2312" w:hAnsi="宋体" w:eastAsia="楷体"/>
          <w:sz w:val="28"/>
          <w:szCs w:val="28"/>
        </w:rPr>
        <w:t>估价对象所在区域具备了以通路、通上水、通下水、通电、通讯、通燃气及场地平整、地上有建筑物为主的“六通一平”基础设施条件，基础配套设施齐全。</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rPr>
      </w:pPr>
      <w:r>
        <w:rPr>
          <w:rFonts w:hint="eastAsia" w:ascii="楷体_GB2312" w:hAnsi="宋体" w:eastAsia="楷体"/>
          <w:sz w:val="28"/>
          <w:szCs w:val="28"/>
        </w:rPr>
        <w:t>4.公共服务设施</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w w:val="98"/>
          <w:sz w:val="28"/>
          <w:szCs w:val="28"/>
          <w:highlight w:val="none"/>
        </w:rPr>
      </w:pPr>
      <w:r>
        <w:rPr>
          <w:rFonts w:hint="eastAsia" w:ascii="楷体_GB2312" w:hAnsi="宋体" w:eastAsia="楷体"/>
          <w:sz w:val="28"/>
          <w:szCs w:val="28"/>
        </w:rPr>
        <w:t>估价对象所在区域附近有</w:t>
      </w:r>
      <w:r>
        <w:rPr>
          <w:rFonts w:hint="eastAsia" w:ascii="楷体_GB2312" w:hAnsi="宋体" w:eastAsia="楷体"/>
          <w:sz w:val="28"/>
          <w:szCs w:val="28"/>
          <w:lang w:val="en-US" w:eastAsia="zh-CN"/>
        </w:rPr>
        <w:t>凌云幼儿园</w:t>
      </w:r>
      <w:r>
        <w:rPr>
          <w:rFonts w:hint="eastAsia" w:ascii="楷体_GB2312" w:hAnsi="宋体" w:eastAsia="楷体"/>
          <w:sz w:val="28"/>
          <w:szCs w:val="28"/>
          <w:lang w:eastAsia="zh-CN"/>
        </w:rPr>
        <w:t>、</w:t>
      </w:r>
      <w:r>
        <w:rPr>
          <w:rFonts w:hint="eastAsia" w:ascii="楷体_GB2312" w:hAnsi="宋体" w:eastAsia="楷体"/>
          <w:sz w:val="28"/>
          <w:szCs w:val="28"/>
          <w:lang w:val="en-US" w:eastAsia="zh-CN"/>
        </w:rPr>
        <w:t>云帆小学、杭州钱塘区启源中学</w:t>
      </w:r>
      <w:r>
        <w:rPr>
          <w:rFonts w:hint="eastAsia" w:ascii="楷体_GB2312" w:hAnsi="宋体" w:eastAsia="楷体"/>
          <w:sz w:val="28"/>
          <w:szCs w:val="28"/>
          <w:lang w:eastAsia="zh-CN"/>
        </w:rPr>
        <w:t>、</w:t>
      </w:r>
      <w:r>
        <w:rPr>
          <w:rFonts w:hint="eastAsia" w:ascii="楷体_GB2312" w:hAnsi="宋体" w:eastAsia="楷体"/>
          <w:sz w:val="28"/>
          <w:szCs w:val="28"/>
          <w:highlight w:val="none"/>
          <w:lang w:val="en-US" w:eastAsia="zh-CN"/>
        </w:rPr>
        <w:t>浙江省中医院(钱塘院区)</w:t>
      </w:r>
      <w:r>
        <w:rPr>
          <w:rFonts w:hint="eastAsia" w:ascii="楷体_GB2312" w:hAnsi="宋体" w:eastAsia="楷体"/>
          <w:w w:val="98"/>
          <w:sz w:val="28"/>
          <w:szCs w:val="28"/>
          <w:highlight w:val="none"/>
        </w:rPr>
        <w:t>等公共</w:t>
      </w:r>
      <w:r>
        <w:rPr>
          <w:rFonts w:hint="eastAsia" w:ascii="楷体_GB2312" w:hAnsi="宋体" w:eastAsia="楷体"/>
          <w:w w:val="98"/>
          <w:sz w:val="28"/>
          <w:szCs w:val="28"/>
          <w:highlight w:val="none"/>
          <w:lang w:val="en-US" w:eastAsia="zh-CN"/>
        </w:rPr>
        <w:t>服务</w:t>
      </w:r>
      <w:r>
        <w:rPr>
          <w:rFonts w:hint="eastAsia" w:ascii="楷体_GB2312" w:hAnsi="宋体" w:eastAsia="楷体"/>
          <w:w w:val="98"/>
          <w:sz w:val="28"/>
          <w:szCs w:val="28"/>
          <w:highlight w:val="none"/>
        </w:rPr>
        <w:t>配套设施，公共</w:t>
      </w:r>
      <w:r>
        <w:rPr>
          <w:rFonts w:hint="eastAsia" w:ascii="楷体_GB2312" w:hAnsi="宋体" w:eastAsia="楷体"/>
          <w:w w:val="98"/>
          <w:sz w:val="28"/>
          <w:szCs w:val="28"/>
          <w:highlight w:val="none"/>
          <w:lang w:val="en-US" w:eastAsia="zh-CN"/>
        </w:rPr>
        <w:t>服务</w:t>
      </w:r>
      <w:r>
        <w:rPr>
          <w:rFonts w:hint="eastAsia" w:ascii="楷体_GB2312" w:hAnsi="宋体" w:eastAsia="楷体"/>
          <w:w w:val="98"/>
          <w:sz w:val="28"/>
          <w:szCs w:val="28"/>
          <w:highlight w:val="none"/>
        </w:rPr>
        <w:t>设施配套</w:t>
      </w:r>
      <w:r>
        <w:rPr>
          <w:rFonts w:hint="eastAsia" w:ascii="楷体_GB2312" w:hAnsi="宋体" w:eastAsia="楷体"/>
          <w:w w:val="98"/>
          <w:sz w:val="28"/>
          <w:szCs w:val="28"/>
          <w:highlight w:val="none"/>
          <w:lang w:val="en-US" w:eastAsia="zh-CN"/>
        </w:rPr>
        <w:t>较</w:t>
      </w:r>
      <w:r>
        <w:rPr>
          <w:rFonts w:hint="eastAsia" w:ascii="楷体_GB2312" w:hAnsi="宋体" w:eastAsia="楷体"/>
          <w:w w:val="98"/>
          <w:sz w:val="28"/>
          <w:szCs w:val="28"/>
          <w:highlight w:val="none"/>
        </w:rPr>
        <w:t>完善。</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rPr>
      </w:pPr>
      <w:r>
        <w:rPr>
          <w:rFonts w:hint="eastAsia" w:ascii="楷体_GB2312" w:hAnsi="宋体" w:eastAsia="楷体"/>
          <w:sz w:val="28"/>
          <w:szCs w:val="28"/>
        </w:rPr>
        <w:t>5.居住氛围及商业繁华程度</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hint="eastAsia" w:ascii="楷体_GB2312" w:hAnsi="宋体" w:eastAsia="楷体"/>
          <w:sz w:val="28"/>
          <w:szCs w:val="28"/>
        </w:rPr>
      </w:pPr>
      <w:r>
        <w:rPr>
          <w:rFonts w:hint="eastAsia" w:ascii="楷体_GB2312" w:hAnsi="宋体" w:eastAsia="楷体"/>
          <w:sz w:val="28"/>
          <w:szCs w:val="28"/>
        </w:rPr>
        <w:t>估价对象附近有</w:t>
      </w:r>
      <w:r>
        <w:rPr>
          <w:rFonts w:hint="eastAsia" w:ascii="楷体_GB2312" w:hAnsi="宋体" w:eastAsia="楷体"/>
          <w:sz w:val="28"/>
          <w:szCs w:val="28"/>
          <w:lang w:val="en-US" w:eastAsia="zh-CN"/>
        </w:rPr>
        <w:t>宋都东郡之星</w:t>
      </w:r>
      <w:r>
        <w:rPr>
          <w:rFonts w:hint="eastAsia" w:ascii="楷体_GB2312" w:hAnsi="宋体" w:eastAsia="楷体"/>
          <w:sz w:val="28"/>
          <w:szCs w:val="28"/>
        </w:rPr>
        <w:t>、</w:t>
      </w:r>
      <w:r>
        <w:rPr>
          <w:rFonts w:hint="eastAsia" w:ascii="楷体_GB2312" w:hAnsi="宋体" w:eastAsia="楷体"/>
          <w:sz w:val="28"/>
          <w:szCs w:val="28"/>
          <w:lang w:val="en-US" w:eastAsia="zh-CN"/>
        </w:rPr>
        <w:t>中国铁建保利·像素</w:t>
      </w:r>
      <w:r>
        <w:rPr>
          <w:rFonts w:hint="eastAsia" w:ascii="楷体_GB2312" w:hAnsi="宋体" w:eastAsia="楷体"/>
          <w:sz w:val="28"/>
          <w:szCs w:val="28"/>
        </w:rPr>
        <w:t>、</w:t>
      </w:r>
      <w:r>
        <w:rPr>
          <w:rFonts w:hint="eastAsia" w:ascii="楷体_GB2312" w:hAnsi="宋体" w:eastAsia="楷体"/>
          <w:sz w:val="28"/>
          <w:szCs w:val="28"/>
          <w:lang w:val="en-US" w:eastAsia="zh-CN"/>
        </w:rPr>
        <w:t>龙湖春江天越</w:t>
      </w:r>
      <w:r>
        <w:rPr>
          <w:rFonts w:hint="eastAsia" w:ascii="楷体_GB2312" w:hAnsi="宋体" w:eastAsia="楷体"/>
          <w:sz w:val="28"/>
          <w:szCs w:val="28"/>
        </w:rPr>
        <w:t>、</w:t>
      </w:r>
      <w:r>
        <w:rPr>
          <w:rFonts w:hint="eastAsia" w:ascii="楷体_GB2312" w:hAnsi="宋体" w:eastAsia="楷体"/>
          <w:sz w:val="28"/>
          <w:szCs w:val="28"/>
          <w:lang w:val="en-US" w:eastAsia="zh-CN"/>
        </w:rPr>
        <w:t>汇澜公寓</w:t>
      </w:r>
      <w:r>
        <w:rPr>
          <w:rFonts w:hint="eastAsia" w:ascii="楷体_GB2312" w:hAnsi="宋体" w:eastAsia="楷体"/>
          <w:sz w:val="28"/>
          <w:szCs w:val="28"/>
        </w:rPr>
        <w:t>等住宅小区，居住氛围</w:t>
      </w:r>
      <w:r>
        <w:rPr>
          <w:rFonts w:hint="eastAsia" w:ascii="楷体_GB2312" w:hAnsi="宋体" w:eastAsia="楷体"/>
          <w:sz w:val="28"/>
          <w:szCs w:val="28"/>
          <w:lang w:val="en-US" w:eastAsia="zh-CN"/>
        </w:rPr>
        <w:t>较</w:t>
      </w:r>
      <w:r>
        <w:rPr>
          <w:rFonts w:hint="eastAsia" w:ascii="楷体_GB2312" w:hAnsi="宋体" w:eastAsia="楷体"/>
          <w:sz w:val="28"/>
          <w:szCs w:val="28"/>
        </w:rPr>
        <w:t>浓厚</w:t>
      </w:r>
      <w:r>
        <w:rPr>
          <w:rFonts w:hint="eastAsia" w:ascii="楷体_GB2312" w:hAnsi="宋体" w:eastAsia="楷体"/>
          <w:sz w:val="28"/>
          <w:szCs w:val="28"/>
          <w:lang w:eastAsia="zh-CN"/>
        </w:rPr>
        <w:t>；</w:t>
      </w:r>
      <w:r>
        <w:rPr>
          <w:rFonts w:hint="eastAsia" w:ascii="楷体_GB2312" w:hAnsi="宋体" w:eastAsia="楷体"/>
          <w:sz w:val="28"/>
          <w:szCs w:val="28"/>
        </w:rPr>
        <w:t>附近有</w:t>
      </w:r>
      <w:r>
        <w:rPr>
          <w:rFonts w:hint="eastAsia" w:ascii="楷体_GB2312" w:hAnsi="宋体" w:eastAsia="楷体"/>
          <w:sz w:val="28"/>
          <w:szCs w:val="28"/>
          <w:lang w:val="en-US" w:eastAsia="zh-CN"/>
        </w:rPr>
        <w:t>水云和达城、圈圈里</w:t>
      </w:r>
      <w:r>
        <w:rPr>
          <w:rFonts w:hint="eastAsia" w:ascii="楷体_GB2312" w:hAnsi="宋体" w:eastAsia="楷体"/>
          <w:sz w:val="28"/>
          <w:szCs w:val="28"/>
        </w:rPr>
        <w:t>等</w:t>
      </w:r>
      <w:r>
        <w:rPr>
          <w:rFonts w:hint="eastAsia" w:ascii="楷体_GB2312" w:hAnsi="宋体" w:eastAsia="楷体"/>
          <w:sz w:val="28"/>
          <w:szCs w:val="28"/>
          <w:lang w:val="en-US" w:eastAsia="zh-CN"/>
        </w:rPr>
        <w:t>购物场所，</w:t>
      </w:r>
      <w:r>
        <w:rPr>
          <w:rFonts w:hint="eastAsia" w:ascii="楷体_GB2312" w:hAnsi="宋体" w:eastAsia="楷体"/>
          <w:sz w:val="28"/>
          <w:szCs w:val="28"/>
        </w:rPr>
        <w:t>商业氛围</w:t>
      </w:r>
      <w:r>
        <w:rPr>
          <w:rFonts w:hint="eastAsia" w:ascii="楷体_GB2312" w:hAnsi="宋体" w:eastAsia="楷体"/>
          <w:sz w:val="28"/>
          <w:szCs w:val="28"/>
          <w:lang w:val="en-US" w:eastAsia="zh-CN"/>
        </w:rPr>
        <w:t>一般</w:t>
      </w:r>
      <w:r>
        <w:rPr>
          <w:rFonts w:hint="eastAsia" w:ascii="楷体_GB2312" w:hAnsi="宋体" w:eastAsia="楷体"/>
          <w:sz w:val="28"/>
          <w:szCs w:val="28"/>
        </w:rPr>
        <w:t>。</w:t>
      </w:r>
    </w:p>
    <w:p>
      <w:pPr>
        <w:keepNext w:val="0"/>
        <w:keepLines w:val="0"/>
        <w:pageBreakBefore w:val="0"/>
        <w:widowControl w:val="0"/>
        <w:kinsoku/>
        <w:wordWrap/>
        <w:overflowPunct/>
        <w:topLinePunct w:val="0"/>
        <w:autoSpaceDE w:val="0"/>
        <w:autoSpaceDN/>
        <w:bidi w:val="0"/>
        <w:adjustRightInd/>
        <w:spacing w:line="630" w:lineRule="exact"/>
        <w:ind w:firstLine="560" w:firstLineChars="200"/>
        <w:jc w:val="left"/>
        <w:textAlignment w:val="bottom"/>
        <w:rPr>
          <w:rFonts w:ascii="楷体_GB2312" w:hAnsi="宋体" w:eastAsia="楷体"/>
          <w:sz w:val="28"/>
          <w:szCs w:val="28"/>
        </w:rPr>
      </w:pPr>
      <w:r>
        <w:rPr>
          <w:rFonts w:hint="eastAsia" w:ascii="楷体_GB2312" w:hAnsi="宋体" w:eastAsia="楷体"/>
          <w:sz w:val="28"/>
          <w:szCs w:val="28"/>
        </w:rPr>
        <w:t>6.环境状况</w:t>
      </w:r>
    </w:p>
    <w:p>
      <w:pPr>
        <w:pStyle w:val="45"/>
        <w:keepNext w:val="0"/>
        <w:keepLines w:val="0"/>
        <w:pageBreakBefore w:val="0"/>
        <w:widowControl w:val="0"/>
        <w:kinsoku/>
        <w:wordWrap/>
        <w:overflowPunct/>
        <w:topLinePunct w:val="0"/>
        <w:autoSpaceDE w:val="0"/>
        <w:autoSpaceDN/>
        <w:bidi w:val="0"/>
        <w:adjustRightInd/>
        <w:spacing w:line="630" w:lineRule="exact"/>
        <w:ind w:firstLineChars="150"/>
        <w:jc w:val="left"/>
        <w:textAlignment w:val="bottom"/>
        <w:rPr>
          <w:rFonts w:ascii="楷体" w:hAnsi="楷体" w:eastAsia="楷体" w:cs="楷体"/>
          <w:sz w:val="28"/>
        </w:rPr>
      </w:pPr>
      <w:bookmarkStart w:id="64" w:name="_Toc11822"/>
      <w:bookmarkStart w:id="65" w:name="_Toc451175951"/>
      <w:bookmarkStart w:id="66" w:name="_Toc4218"/>
      <w:r>
        <w:rPr>
          <w:rFonts w:hint="eastAsia" w:ascii="楷体_GB2312" w:hAnsi="宋体" w:eastAsia="楷体"/>
          <w:sz w:val="28"/>
          <w:szCs w:val="28"/>
        </w:rPr>
        <w:t>估价对象所在区域整体环境较好，自然环境较好；所在区域治安状况较好，人文环境较好。</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67" w:name="_Toc14512"/>
      <w:r>
        <w:rPr>
          <w:rFonts w:hint="eastAsia"/>
        </w:rPr>
        <w:t>价值时点</w:t>
      </w:r>
      <w:bookmarkEnd w:id="64"/>
      <w:bookmarkEnd w:id="65"/>
      <w:bookmarkEnd w:id="66"/>
      <w:bookmarkEnd w:id="67"/>
    </w:p>
    <w:p>
      <w:pPr>
        <w:spacing w:line="630" w:lineRule="exact"/>
        <w:ind w:left="570"/>
        <w:rPr>
          <w:rFonts w:ascii="楷体" w:hAnsi="楷体" w:eastAsia="楷体"/>
          <w:sz w:val="28"/>
        </w:rPr>
      </w:pPr>
      <w:r>
        <w:rPr>
          <w:rFonts w:hint="eastAsia" w:eastAsia="楷体"/>
          <w:sz w:val="28"/>
          <w:highlight w:val="none"/>
          <w:lang w:eastAsia="zh-CN"/>
        </w:rPr>
        <w:t>二Ο二二年七月二十七日</w:t>
      </w:r>
      <w:r>
        <w:rPr>
          <w:rFonts w:hint="eastAsia" w:eastAsia="楷体"/>
          <w:sz w:val="28"/>
          <w:highlight w:val="none"/>
        </w:rPr>
        <w:t>（实地查勘之日</w:t>
      </w:r>
      <w:r>
        <w:rPr>
          <w:rFonts w:hint="eastAsia" w:eastAsia="楷体"/>
          <w:sz w:val="28"/>
        </w:rPr>
        <w:t>）。</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68" w:name="_Toc7054"/>
      <w:bookmarkStart w:id="69" w:name="_Toc32275"/>
      <w:bookmarkStart w:id="70" w:name="_Toc451175952"/>
      <w:bookmarkStart w:id="71" w:name="_Toc14483"/>
      <w:r>
        <w:rPr>
          <w:rFonts w:hint="eastAsia"/>
        </w:rPr>
        <w:t>价值类型</w:t>
      </w:r>
      <w:bookmarkEnd w:id="68"/>
      <w:bookmarkEnd w:id="69"/>
      <w:bookmarkEnd w:id="70"/>
      <w:bookmarkEnd w:id="71"/>
    </w:p>
    <w:p>
      <w:pPr>
        <w:pStyle w:val="45"/>
        <w:spacing w:line="630" w:lineRule="exact"/>
        <w:ind w:firstLine="560"/>
      </w:pPr>
      <w:bookmarkStart w:id="72" w:name="_Toc31480"/>
      <w:bookmarkStart w:id="73" w:name="_Toc451175953"/>
      <w:bookmarkStart w:id="74" w:name="_Toc712"/>
      <w:r>
        <w:rPr>
          <w:rFonts w:hint="eastAsia" w:ascii="宋体" w:eastAsia="楷体"/>
          <w:sz w:val="28"/>
        </w:rPr>
        <w:t>房地产市场价值是在公开市场上最可能形成的价格，公开市场指在该市场上交易双方进行交易的目的在于最大限度地追求经济效益，并掌握必要的市场信息，有较充裕的时间进行交易，对交易对象具有必要的专业知识，交易条件公开并不具有排它性。</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75" w:name="_Toc14677"/>
      <w:r>
        <w:rPr>
          <w:rFonts w:hint="eastAsia"/>
        </w:rPr>
        <w:t>估价原则</w:t>
      </w:r>
      <w:bookmarkEnd w:id="72"/>
      <w:bookmarkEnd w:id="73"/>
      <w:bookmarkEnd w:id="74"/>
      <w:bookmarkEnd w:id="75"/>
    </w:p>
    <w:p>
      <w:pPr>
        <w:spacing w:line="630" w:lineRule="exact"/>
        <w:ind w:firstLine="560" w:firstLineChars="200"/>
        <w:rPr>
          <w:rFonts w:ascii="楷体" w:hAnsi="楷体" w:eastAsia="楷体" w:cs="楷体"/>
          <w:sz w:val="28"/>
        </w:rPr>
      </w:pPr>
      <w:r>
        <w:rPr>
          <w:rFonts w:hint="eastAsia" w:ascii="楷体" w:hAnsi="楷体" w:eastAsia="楷体" w:cs="楷体"/>
          <w:sz w:val="28"/>
        </w:rPr>
        <w:t>本次估价遵循独立、客观、公正原则，合法原则，价值时点原则，替代原则，最高最佳利用原则等估价原则。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（一）客观、独立、公正原则：要求站在中立的立场上，实事求是、公平正直地评估出对各方估价利害关系人均是公平合理的价值或价格的原则。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（二）合法原则：要求估价结果是在依法判定的估价对象状况下的价值或价格的原则。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（三）价值时点原则：要求估价结果是在根据估价目的确定的某一特定时间的价值或价格的原则。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（四）替代原则：要求估价结果与估价对象的类似房地产在同等条件下的价值或价格偏差在合理范围内的原则。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（五）最高最佳利用原则：要求估价结果是在估价对象最高最佳利用状况下的价值或价格的原则。</w:t>
      </w:r>
    </w:p>
    <w:p>
      <w:pPr>
        <w:spacing w:line="630" w:lineRule="exact"/>
        <w:ind w:firstLine="560" w:firstLineChars="200"/>
        <w:rPr>
          <w:rFonts w:ascii="楷体" w:hAnsi="楷体" w:eastAsia="楷体" w:cs="楷体"/>
          <w:sz w:val="28"/>
        </w:rPr>
      </w:pPr>
      <w:r>
        <w:rPr>
          <w:rFonts w:hint="eastAsia" w:ascii="楷体" w:hAnsi="楷体" w:eastAsia="楷体" w:cs="楷体"/>
          <w:sz w:val="28"/>
        </w:rPr>
        <w:t>最高最佳利用：房地产在法律上允许、技术上可能、财务上可行并使价值最大的合理、可能的利用，包括最佳的用途、规模、档次等。</w:t>
      </w:r>
    </w:p>
    <w:p>
      <w:pPr>
        <w:pStyle w:val="3"/>
        <w:keepNext/>
        <w:keepLines/>
        <w:pageBreakBefore w:val="0"/>
        <w:widowControl w:val="0"/>
        <w:numPr>
          <w:ilvl w:val="0"/>
          <w:numId w:val="5"/>
        </w:numPr>
        <w:kinsoku/>
        <w:wordWrap/>
        <w:overflowPunct/>
        <w:topLinePunct w:val="0"/>
        <w:autoSpaceDE/>
        <w:autoSpaceDN/>
        <w:bidi w:val="0"/>
        <w:adjustRightInd/>
        <w:snapToGrid w:val="0"/>
        <w:spacing w:before="0" w:beforeLines="50" w:after="0" w:afterLines="50" w:line="630" w:lineRule="exact"/>
        <w:ind w:left="720"/>
        <w:textAlignment w:val="auto"/>
      </w:pPr>
      <w:bookmarkStart w:id="76" w:name="_Toc7979"/>
      <w:bookmarkStart w:id="77" w:name="_Toc23485"/>
      <w:bookmarkStart w:id="78" w:name="_Toc451175954"/>
      <w:bookmarkStart w:id="79" w:name="_Toc18042"/>
      <w:r>
        <w:rPr>
          <w:rFonts w:hint="eastAsia"/>
        </w:rPr>
        <w:t>估价依据</w:t>
      </w:r>
      <w:bookmarkEnd w:id="76"/>
      <w:bookmarkEnd w:id="77"/>
      <w:bookmarkEnd w:id="78"/>
      <w:bookmarkEnd w:id="79"/>
    </w:p>
    <w:p>
      <w:pPr>
        <w:numPr>
          <w:ilvl w:val="0"/>
          <w:numId w:val="7"/>
        </w:numPr>
        <w:autoSpaceDE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《中华人民共和国民法典》（2020年5月28日第十三届全国人民代表大会第三次会议通过）；</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中华人民共和国城市房地产管理法》（2019年8月26日第十三届全国人民代表大会常务委员会第十二次会议《关于修改&lt;中华人民共和国土地管理法&gt;、&lt;中华人民共和国城市房地产管理法&gt;的决定》第三次修正）；</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《中华人民共和国土地管理法》（2019年8月26日第十三届全国人民代表大会常务委员会第十二次会议《关于修改&lt;中华人民共和国土地管理法&gt;、&lt;中华人民共和国城市房地产管理法&gt;的决定》第三次修正）；</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《中华人民共和国资产评估法》（2016年7月2日中华人民共和国主席令第46号公布）；</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bookmarkStart w:id="80" w:name="_Toc14584"/>
      <w:bookmarkStart w:id="81" w:name="_Toc24098"/>
      <w:bookmarkStart w:id="82" w:name="_Toc451175955"/>
      <w:r>
        <w:rPr>
          <w:rFonts w:hint="eastAsia" w:ascii="楷体" w:hAnsi="楷体" w:eastAsia="楷体" w:cs="楷体"/>
          <w:sz w:val="28"/>
          <w:highlight w:val="none"/>
        </w:rPr>
        <w:t>《中华人民共和国土地管理法实施条例 》（2014年7月29日《国务院关于修改部分行政法规的决定》第二次修订）；</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《不动产登记暂行条例》（2014年11月24日中国人民共和国国务院令第656号发布）;</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《房地产估价规范》GB/T50291-2015（2015年4月8日发布，2015年12月1日实施）；</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《房地产估价基本术语标准》GB/T50899-2013（2013年6月26日发布，2014年2月1日实施）；</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3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lang w:eastAsia="zh-CN"/>
        </w:rPr>
        <w:t>《</w:t>
      </w:r>
      <w:r>
        <w:rPr>
          <w:rFonts w:hint="eastAsia" w:ascii="楷体" w:hAnsi="楷体" w:eastAsia="楷体" w:cs="楷体"/>
          <w:sz w:val="28"/>
          <w:lang w:val="en-US" w:eastAsia="zh-CN"/>
        </w:rPr>
        <w:t>司法鉴定程序通则</w:t>
      </w:r>
      <w:r>
        <w:rPr>
          <w:rFonts w:hint="eastAsia" w:ascii="楷体" w:hAnsi="楷体" w:eastAsia="楷体" w:cs="楷体"/>
          <w:sz w:val="28"/>
          <w:lang w:eastAsia="zh-CN"/>
        </w:rPr>
        <w:t>》（</w:t>
      </w:r>
      <w:r>
        <w:rPr>
          <w:rFonts w:hint="eastAsia" w:ascii="楷体" w:hAnsi="楷体" w:eastAsia="楷体" w:cs="楷体"/>
          <w:sz w:val="28"/>
          <w:lang w:val="en-US" w:eastAsia="zh-CN"/>
        </w:rPr>
        <w:t>司法部令第132号</w:t>
      </w:r>
      <w:r>
        <w:rPr>
          <w:rFonts w:hint="eastAsia" w:ascii="楷体" w:hAnsi="楷体" w:eastAsia="楷体" w:cs="楷体"/>
          <w:sz w:val="28"/>
          <w:lang w:eastAsia="zh-CN"/>
        </w:rPr>
        <w:t>）；</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《最高人民法院关于人民法院确定财产处置参考价若干问题的规定》（法释［2018］15号）；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《人民法院委托评估工作规范》（法办［2018］273号）；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hint="eastAsia" w:ascii="楷体" w:hAnsi="楷体" w:eastAsia="楷体" w:cs="楷体"/>
          <w:sz w:val="28"/>
          <w:szCs w:val="28"/>
          <w:highlight w:val="none"/>
          <w:lang w:eastAsia="zh-CN"/>
        </w:rPr>
      </w:pPr>
      <w:r>
        <w:rPr>
          <w:rFonts w:hint="eastAsia" w:ascii="楷体" w:hAnsi="楷体" w:eastAsia="楷体" w:cs="楷体"/>
          <w:sz w:val="28"/>
          <w:highlight w:val="none"/>
        </w:rPr>
        <w:t>《涉</w:t>
      </w:r>
      <w:r>
        <w:rPr>
          <w:rFonts w:hint="eastAsia" w:ascii="楷体" w:hAnsi="楷体" w:eastAsia="楷体" w:cs="楷体"/>
          <w:sz w:val="28"/>
          <w:szCs w:val="28"/>
          <w:highlight w:val="none"/>
        </w:rPr>
        <w:t>执房地产处置司法评估指导意见（试行）》</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中房学〔2021〕37号</w:t>
      </w:r>
      <w:r>
        <w:rPr>
          <w:rFonts w:hint="eastAsia" w:ascii="楷体" w:hAnsi="楷体" w:eastAsia="楷体" w:cs="楷体"/>
          <w:sz w:val="28"/>
          <w:szCs w:val="28"/>
          <w:highlight w:val="none"/>
          <w:lang w:eastAsia="zh-CN"/>
        </w:rPr>
        <w:t>）</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szCs w:val="28"/>
          <w:highlight w:val="none"/>
        </w:rPr>
      </w:pPr>
      <w:r>
        <w:rPr>
          <w:rFonts w:hint="eastAsia" w:ascii="楷体" w:hAnsi="楷体" w:eastAsia="楷体" w:cs="楷体"/>
          <w:sz w:val="28"/>
          <w:szCs w:val="28"/>
          <w:highlight w:val="none"/>
        </w:rPr>
        <w:t>《浙江省房地产司法评估指导意见（试行）》（浙估协［2021］3号）；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《浙江省高级人民法院执行局关于规范不动产网络司法拍卖、变卖工作指引》（浙高法释[2020]6号）；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《房屋完损等级评定标准（试行）》（1984年 城住字[1984]第678号）；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《关于全面推开营业税改征增值税试点的通知》（2016年3月23日中国财政部和国家税务总局联合发布的财税[2016]36号）；</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ascii="楷体" w:hAnsi="楷体" w:eastAsia="楷体" w:cs="楷体"/>
          <w:sz w:val="28"/>
          <w:highlight w:val="none"/>
        </w:rPr>
      </w:pPr>
      <w:r>
        <w:rPr>
          <w:rFonts w:hint="eastAsia" w:ascii="楷体" w:hAnsi="楷体" w:eastAsia="楷体" w:cs="楷体"/>
          <w:sz w:val="28"/>
          <w:highlight w:val="none"/>
        </w:rPr>
        <w:t>《关于营改增后契税、房产税、土地增值税、个人所得税计税依据问题的通知》（2016年4月25日 由中国财政部和国家税务总局联合发布的财税[2016]43号）；</w:t>
      </w:r>
    </w:p>
    <w:p>
      <w:pPr>
        <w:keepNext w:val="0"/>
        <w:keepLines w:val="0"/>
        <w:pageBreakBefore w:val="0"/>
        <w:widowControl w:val="0"/>
        <w:numPr>
          <w:ilvl w:val="0"/>
          <w:numId w:val="7"/>
        </w:numPr>
        <w:kinsoku/>
        <w:wordWrap/>
        <w:overflowPunct/>
        <w:topLinePunct w:val="0"/>
        <w:autoSpaceDN/>
        <w:bidi w:val="0"/>
        <w:adjustRightInd w:val="0"/>
        <w:snapToGrid w:val="0"/>
        <w:spacing w:line="660" w:lineRule="exact"/>
        <w:ind w:left="0" w:leftChars="0" w:firstLine="420" w:firstLineChars="0"/>
        <w:rPr>
          <w:rFonts w:ascii="楷体" w:hAnsi="楷体" w:eastAsia="楷体"/>
          <w:sz w:val="28"/>
          <w:highlight w:val="none"/>
        </w:rPr>
      </w:pPr>
      <w:r>
        <w:rPr>
          <w:rFonts w:hint="eastAsia" w:ascii="楷体" w:hAnsi="楷体" w:eastAsia="楷体"/>
          <w:sz w:val="28"/>
          <w:highlight w:val="none"/>
          <w:lang w:eastAsia="zh-CN"/>
        </w:rPr>
        <w:t>（2022）浙0102委评224号《资产评估委托书》</w:t>
      </w:r>
      <w:r>
        <w:rPr>
          <w:rFonts w:hint="eastAsia" w:ascii="楷体" w:hAnsi="楷体" w:eastAsia="楷体"/>
          <w:sz w:val="28"/>
          <w:highlight w:val="none"/>
        </w:rPr>
        <w:t>；</w:t>
      </w:r>
    </w:p>
    <w:p>
      <w:pPr>
        <w:keepNext w:val="0"/>
        <w:keepLines w:val="0"/>
        <w:pageBreakBefore w:val="0"/>
        <w:widowControl w:val="0"/>
        <w:numPr>
          <w:ilvl w:val="0"/>
          <w:numId w:val="7"/>
        </w:numPr>
        <w:kinsoku/>
        <w:wordWrap/>
        <w:overflowPunct/>
        <w:topLinePunct w:val="0"/>
        <w:autoSpaceDN/>
        <w:bidi w:val="0"/>
        <w:adjustRightInd w:val="0"/>
        <w:snapToGrid w:val="0"/>
        <w:spacing w:line="660" w:lineRule="exact"/>
        <w:ind w:left="0" w:leftChars="0" w:firstLine="420" w:firstLineChars="0"/>
        <w:rPr>
          <w:rFonts w:ascii="楷体" w:hAnsi="楷体" w:eastAsia="楷体"/>
          <w:sz w:val="28"/>
          <w:highlight w:val="none"/>
        </w:rPr>
      </w:pPr>
      <w:r>
        <w:rPr>
          <w:rFonts w:hint="eastAsia" w:ascii="楷体" w:hAnsi="楷体" w:eastAsia="楷体"/>
          <w:sz w:val="28"/>
          <w:highlight w:val="none"/>
        </w:rPr>
        <w:t>《杭州市不动产</w:t>
      </w:r>
      <w:r>
        <w:rPr>
          <w:rFonts w:hint="eastAsia" w:ascii="楷体" w:hAnsi="楷体" w:eastAsia="楷体"/>
          <w:sz w:val="28"/>
          <w:highlight w:val="none"/>
          <w:lang w:val="en-US" w:eastAsia="zh-CN"/>
        </w:rPr>
        <w:t>登记</w:t>
      </w:r>
      <w:r>
        <w:rPr>
          <w:rFonts w:hint="eastAsia" w:ascii="楷体" w:hAnsi="楷体" w:eastAsia="楷体"/>
          <w:sz w:val="28"/>
          <w:highlight w:val="none"/>
        </w:rPr>
        <w:t>信息查询记录》资料；</w:t>
      </w:r>
    </w:p>
    <w:p>
      <w:pPr>
        <w:keepNext w:val="0"/>
        <w:keepLines w:val="0"/>
        <w:pageBreakBefore w:val="0"/>
        <w:widowControl w:val="0"/>
        <w:numPr>
          <w:ilvl w:val="0"/>
          <w:numId w:val="7"/>
        </w:numPr>
        <w:kinsoku/>
        <w:wordWrap/>
        <w:overflowPunct/>
        <w:topLinePunct w:val="0"/>
        <w:autoSpaceDE w:val="0"/>
        <w:autoSpaceDN/>
        <w:bidi w:val="0"/>
        <w:adjustRightInd w:val="0"/>
        <w:snapToGrid w:val="0"/>
        <w:spacing w:line="660" w:lineRule="exact"/>
        <w:ind w:left="0" w:leftChars="0" w:firstLine="420" w:firstLineChars="0"/>
        <w:textAlignment w:val="bottom"/>
        <w:rPr>
          <w:rFonts w:hint="eastAsia" w:ascii="楷体" w:hAnsi="楷体" w:eastAsia="楷体"/>
          <w:w w:val="100"/>
          <w:sz w:val="28"/>
          <w:szCs w:val="22"/>
          <w:highlight w:val="none"/>
          <w:lang w:eastAsia="zh-CN"/>
        </w:rPr>
      </w:pPr>
      <w:r>
        <w:rPr>
          <w:rFonts w:hint="eastAsia" w:ascii="楷体" w:hAnsi="楷体" w:eastAsia="楷体"/>
          <w:w w:val="100"/>
          <w:sz w:val="28"/>
          <w:szCs w:val="22"/>
          <w:highlight w:val="none"/>
        </w:rPr>
        <w:t>注册房地产估价师现场查勘、掌握和搜集的有关资</w:t>
      </w:r>
      <w:r>
        <w:rPr>
          <w:rFonts w:hint="eastAsia" w:ascii="楷体" w:hAnsi="楷体" w:eastAsia="楷体"/>
          <w:w w:val="100"/>
          <w:sz w:val="28"/>
          <w:szCs w:val="22"/>
          <w:highlight w:val="none"/>
          <w:lang w:val="en-US" w:eastAsia="zh-CN"/>
        </w:rPr>
        <w:t>料</w:t>
      </w:r>
      <w:r>
        <w:rPr>
          <w:rFonts w:hint="eastAsia" w:ascii="楷体" w:hAnsi="楷体" w:eastAsia="楷体"/>
          <w:w w:val="100"/>
          <w:sz w:val="28"/>
          <w:szCs w:val="22"/>
          <w:highlight w:val="none"/>
          <w:lang w:eastAsia="zh-CN"/>
        </w:rPr>
        <w:t>。</w:t>
      </w:r>
    </w:p>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rPr>
          <w:b w:val="0"/>
        </w:rPr>
      </w:pPr>
      <w:bookmarkStart w:id="83" w:name="_Toc21672"/>
      <w:r>
        <w:rPr>
          <w:rFonts w:hint="eastAsia"/>
          <w:b/>
          <w:bCs w:val="0"/>
          <w:lang w:val="en-US" w:eastAsia="zh-CN"/>
        </w:rPr>
        <w:t>九、</w:t>
      </w:r>
      <w:r>
        <w:rPr>
          <w:rFonts w:hint="eastAsia"/>
          <w:b/>
          <w:bCs w:val="0"/>
        </w:rPr>
        <w:t>估价方法</w:t>
      </w:r>
      <w:bookmarkEnd w:id="80"/>
      <w:bookmarkEnd w:id="81"/>
      <w:bookmarkEnd w:id="82"/>
      <w:bookmarkEnd w:id="83"/>
    </w:p>
    <w:p>
      <w:pPr>
        <w:keepNext w:val="0"/>
        <w:keepLines w:val="0"/>
        <w:pageBreakBefore w:val="0"/>
        <w:widowControl w:val="0"/>
        <w:kinsoku/>
        <w:wordWrap/>
        <w:overflowPunct/>
        <w:topLinePunct w:val="0"/>
        <w:autoSpaceDE/>
        <w:autoSpaceDN/>
        <w:bidi w:val="0"/>
        <w:adjustRightInd/>
        <w:snapToGrid/>
        <w:spacing w:line="630" w:lineRule="exact"/>
        <w:ind w:firstLine="560" w:firstLineChars="200"/>
        <w:textAlignment w:val="auto"/>
        <w:outlineLvl w:val="9"/>
        <w:rPr>
          <w:rFonts w:ascii="楷体" w:hAnsi="楷体" w:eastAsia="楷体" w:cs="楷体"/>
          <w:sz w:val="28"/>
        </w:rPr>
      </w:pPr>
      <w:bookmarkStart w:id="84" w:name="_Toc29555"/>
      <w:bookmarkStart w:id="85" w:name="_Toc17836"/>
      <w:r>
        <w:rPr>
          <w:rFonts w:hint="eastAsia" w:ascii="楷体" w:hAnsi="楷体" w:eastAsia="楷体" w:cs="楷体"/>
          <w:sz w:val="28"/>
        </w:rPr>
        <w:t>（一）估价方法选择</w:t>
      </w:r>
      <w:bookmarkEnd w:id="84"/>
      <w:bookmarkEnd w:id="85"/>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textAlignment w:val="bottom"/>
        <w:rPr>
          <w:rFonts w:ascii="楷体" w:hAnsi="楷体" w:eastAsia="楷体"/>
          <w:sz w:val="28"/>
        </w:rPr>
      </w:pPr>
      <w:r>
        <w:rPr>
          <w:rFonts w:hint="eastAsia" w:ascii="楷体" w:hAnsi="楷体" w:eastAsia="楷体"/>
          <w:sz w:val="28"/>
        </w:rPr>
        <w:t>依照国家行业标准《房地产估价规范》，通常的估价方法有比较法、收益法、假设开发法、成本法等。其中估价对象的同类房地产有较多交易的，应选用比较法；估价对象或其同类房地产通常有租金等经济收益的，应选用收益法；估价对象可假定为独立的开发建设项目进行重新开发建设的宜选用成本法；估价对象具有开发或再开发潜力且开发完成后的价值可采用成本法以外的方法测算的，应选用假设开发法。</w:t>
      </w:r>
    </w:p>
    <w:p>
      <w:pPr>
        <w:keepNext w:val="0"/>
        <w:keepLines w:val="0"/>
        <w:pageBreakBefore w:val="0"/>
        <w:widowControl w:val="0"/>
        <w:kinsoku/>
        <w:wordWrap/>
        <w:overflowPunct/>
        <w:topLinePunct w:val="0"/>
        <w:autoSpaceDE w:val="0"/>
        <w:autoSpaceDN/>
        <w:bidi w:val="0"/>
        <w:adjustRightInd/>
        <w:snapToGrid/>
        <w:spacing w:line="630" w:lineRule="exact"/>
        <w:ind w:firstLine="560" w:firstLineChars="200"/>
        <w:textAlignment w:val="bottom"/>
        <w:rPr>
          <w:rFonts w:ascii="楷体" w:hAnsi="楷体" w:eastAsia="楷体"/>
          <w:sz w:val="28"/>
        </w:rPr>
      </w:pPr>
      <w:bookmarkStart w:id="86" w:name="_Toc3616"/>
      <w:bookmarkStart w:id="87" w:name="_Toc451175956"/>
      <w:r>
        <w:rPr>
          <w:rFonts w:hint="eastAsia" w:ascii="楷体" w:hAnsi="楷体" w:eastAsia="楷体"/>
          <w:sz w:val="28"/>
        </w:rPr>
        <w:t>根据估价委托人提供的资料及注册房地产估价师实地查勘、市场调查和向房地产管理部门了解的政策、规划等有关资料，在遵循估价原则的基础上，深入细致地分析了估价对象的特点和实际状况，采用比较法、收益法进行测算分析确定本次估价结果。</w:t>
      </w:r>
    </w:p>
    <w:p>
      <w:pPr>
        <w:keepNext w:val="0"/>
        <w:keepLines w:val="0"/>
        <w:pageBreakBefore w:val="0"/>
        <w:widowControl w:val="0"/>
        <w:kinsoku/>
        <w:wordWrap/>
        <w:overflowPunct/>
        <w:topLinePunct w:val="0"/>
        <w:autoSpaceDN/>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估价对象所在</w:t>
      </w:r>
      <w:r>
        <w:rPr>
          <w:rFonts w:hint="eastAsia" w:ascii="楷体" w:eastAsia="楷体"/>
          <w:sz w:val="28"/>
          <w:szCs w:val="28"/>
        </w:rPr>
        <w:t>区域住宅</w:t>
      </w:r>
      <w:r>
        <w:rPr>
          <w:rFonts w:hint="eastAsia" w:ascii="楷体" w:hAnsi="楷体" w:eastAsia="楷体"/>
          <w:sz w:val="28"/>
          <w:szCs w:val="28"/>
        </w:rPr>
        <w:t>房地产市场较活跃，交易量较大，且较易取得交易案例，符合比较法的应用条件，因此可采用比较法作为估价方法；</w:t>
      </w:r>
    </w:p>
    <w:p>
      <w:pPr>
        <w:keepNext w:val="0"/>
        <w:keepLines w:val="0"/>
        <w:pageBreakBefore w:val="0"/>
        <w:widowControl w:val="0"/>
        <w:kinsoku/>
        <w:wordWrap/>
        <w:overflowPunct/>
        <w:topLinePunct w:val="0"/>
        <w:autoSpaceDN/>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估价对象房地产具有潜在收益，可以根据周边类似房地产的收益价格进行相应调整，得出估价对象对应的客观收益，符合收益法的应用条件，可采用收益法作为估价方法；</w:t>
      </w:r>
    </w:p>
    <w:p>
      <w:pPr>
        <w:keepNext w:val="0"/>
        <w:keepLines w:val="0"/>
        <w:pageBreakBefore w:val="0"/>
        <w:widowControl w:val="0"/>
        <w:kinsoku/>
        <w:wordWrap/>
        <w:overflowPunct/>
        <w:topLinePunct w:val="0"/>
        <w:autoSpaceDN/>
        <w:bidi w:val="0"/>
        <w:adjustRightInd/>
        <w:snapToGrid/>
        <w:spacing w:line="630" w:lineRule="exact"/>
        <w:ind w:firstLine="560" w:firstLineChars="200"/>
        <w:rPr>
          <w:rFonts w:hint="default" w:ascii="楷体" w:hAnsi="楷体" w:eastAsia="楷体"/>
          <w:sz w:val="28"/>
          <w:szCs w:val="28"/>
          <w:lang w:val="en-US" w:eastAsia="zh-CN"/>
        </w:rPr>
      </w:pPr>
      <w:r>
        <w:rPr>
          <w:rFonts w:hint="eastAsia" w:ascii="楷体" w:hAnsi="楷体" w:eastAsia="楷体"/>
          <w:sz w:val="28"/>
          <w:szCs w:val="28"/>
        </w:rPr>
        <w:t>估价对象为住宅房地产，其市场价值受区域经济发展状况、房地产调控政策、市场供需状况、公共配套等非成本因素影响较大，与其直接成本关联性较弱，其成本价值不能客观反映其市场价值，因此不宜采用成本法</w:t>
      </w:r>
      <w:r>
        <w:rPr>
          <w:rFonts w:hint="eastAsia" w:ascii="楷体" w:hAnsi="楷体" w:eastAsia="楷体"/>
          <w:sz w:val="28"/>
          <w:szCs w:val="28"/>
          <w:lang w:val="en-US" w:eastAsia="zh-CN"/>
        </w:rPr>
        <w:t>对估价对象房地产市场价值</w:t>
      </w:r>
      <w:r>
        <w:rPr>
          <w:rFonts w:hint="eastAsia" w:ascii="楷体" w:hAnsi="楷体" w:eastAsia="楷体"/>
          <w:sz w:val="28"/>
          <w:szCs w:val="28"/>
        </w:rPr>
        <w:t>进行估价；</w:t>
      </w:r>
      <w:r>
        <w:rPr>
          <w:rFonts w:hint="eastAsia" w:ascii="楷体" w:hAnsi="楷体" w:eastAsia="楷体"/>
          <w:sz w:val="28"/>
          <w:szCs w:val="28"/>
          <w:lang w:val="en-US" w:eastAsia="zh-CN"/>
        </w:rPr>
        <w:t>室内装修部分市场价值适宜采用成本法进行估价。</w:t>
      </w:r>
    </w:p>
    <w:p>
      <w:pPr>
        <w:keepNext w:val="0"/>
        <w:keepLines w:val="0"/>
        <w:pageBreakBefore w:val="0"/>
        <w:widowControl w:val="0"/>
        <w:kinsoku/>
        <w:wordWrap/>
        <w:overflowPunct/>
        <w:autoSpaceDN/>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估价对象为住宅房地产，目前已建成并处于正常使用状态，就目前状态，处于最佳使用，</w:t>
      </w:r>
      <w:r>
        <w:rPr>
          <w:rFonts w:hint="eastAsia" w:ascii="楷体" w:hAnsi="楷体" w:eastAsia="楷体"/>
          <w:sz w:val="28"/>
          <w:szCs w:val="28"/>
          <w:lang w:val="en-US" w:eastAsia="zh-CN"/>
        </w:rPr>
        <w:t>重新开发不经济也不合理</w:t>
      </w:r>
      <w:r>
        <w:rPr>
          <w:rFonts w:hint="eastAsia" w:ascii="楷体" w:hAnsi="楷体" w:eastAsia="楷体"/>
          <w:sz w:val="28"/>
          <w:szCs w:val="28"/>
        </w:rPr>
        <w:t>，故不适合采用假设开发法进行估价。</w:t>
      </w:r>
    </w:p>
    <w:p>
      <w:pPr>
        <w:keepNext w:val="0"/>
        <w:keepLines w:val="0"/>
        <w:pageBreakBefore w:val="0"/>
        <w:widowControl w:val="0"/>
        <w:kinsoku/>
        <w:wordWrap/>
        <w:overflowPunct/>
        <w:autoSpaceDN/>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故本次评估时，采用比较法、收益法分别进行测算，确定估价对象</w:t>
      </w:r>
      <w:r>
        <w:rPr>
          <w:rFonts w:hint="eastAsia" w:ascii="楷体" w:hAnsi="楷体" w:eastAsia="楷体"/>
          <w:sz w:val="28"/>
          <w:szCs w:val="28"/>
          <w:lang w:val="en-US" w:eastAsia="zh-CN"/>
        </w:rPr>
        <w:t>房地产</w:t>
      </w:r>
      <w:r>
        <w:rPr>
          <w:rFonts w:hint="eastAsia" w:ascii="楷体" w:hAnsi="楷体" w:eastAsia="楷体"/>
          <w:sz w:val="28"/>
          <w:szCs w:val="28"/>
        </w:rPr>
        <w:t>的</w:t>
      </w:r>
      <w:r>
        <w:rPr>
          <w:rFonts w:hint="eastAsia" w:ascii="楷体" w:hAnsi="楷体" w:eastAsia="楷体"/>
          <w:sz w:val="28"/>
          <w:szCs w:val="28"/>
          <w:lang w:val="en-US" w:eastAsia="zh-CN"/>
        </w:rPr>
        <w:t>市场</w:t>
      </w:r>
      <w:r>
        <w:rPr>
          <w:rFonts w:hint="eastAsia" w:ascii="楷体" w:hAnsi="楷体" w:eastAsia="楷体"/>
          <w:sz w:val="28"/>
          <w:szCs w:val="28"/>
        </w:rPr>
        <w:t>价值。</w:t>
      </w:r>
    </w:p>
    <w:p>
      <w:pPr>
        <w:pStyle w:val="10"/>
        <w:keepNext w:val="0"/>
        <w:keepLines w:val="0"/>
        <w:pageBreakBefore w:val="0"/>
        <w:widowControl w:val="0"/>
        <w:kinsoku/>
        <w:wordWrap/>
        <w:overflowPunct/>
        <w:topLinePunct/>
        <w:autoSpaceDE/>
        <w:autoSpaceDN/>
        <w:bidi w:val="0"/>
        <w:adjustRightInd/>
        <w:snapToGrid/>
        <w:spacing w:line="630" w:lineRule="exact"/>
        <w:textAlignment w:val="baseline"/>
        <w:outlineLvl w:val="9"/>
        <w:rPr>
          <w:rFonts w:ascii="楷体" w:hAnsi="楷体" w:eastAsia="楷体"/>
          <w:szCs w:val="28"/>
        </w:rPr>
      </w:pPr>
      <w:bookmarkStart w:id="88" w:name="_Toc15520"/>
      <w:r>
        <w:rPr>
          <w:rFonts w:hint="eastAsia" w:ascii="楷体" w:hAnsi="楷体" w:eastAsia="楷体"/>
          <w:szCs w:val="28"/>
        </w:rPr>
        <w:t>（二）估价方法定义</w:t>
      </w:r>
      <w:bookmarkEnd w:id="86"/>
      <w:bookmarkEnd w:id="88"/>
    </w:p>
    <w:p>
      <w:pPr>
        <w:pStyle w:val="10"/>
        <w:keepNext w:val="0"/>
        <w:keepLines w:val="0"/>
        <w:pageBreakBefore w:val="0"/>
        <w:widowControl w:val="0"/>
        <w:numPr>
          <w:ilvl w:val="0"/>
          <w:numId w:val="8"/>
        </w:numPr>
        <w:kinsoku/>
        <w:wordWrap/>
        <w:overflowPunct/>
        <w:topLinePunct/>
        <w:autoSpaceDN/>
        <w:bidi w:val="0"/>
        <w:adjustRightInd/>
        <w:snapToGrid/>
        <w:spacing w:line="630" w:lineRule="exact"/>
        <w:ind w:firstLine="560"/>
        <w:rPr>
          <w:rFonts w:ascii="楷体" w:hAnsi="楷体" w:eastAsia="楷体"/>
          <w:szCs w:val="28"/>
        </w:rPr>
      </w:pPr>
      <w:r>
        <w:rPr>
          <w:rFonts w:hint="eastAsia" w:ascii="楷体" w:hAnsi="楷体" w:eastAsia="楷体"/>
          <w:szCs w:val="28"/>
        </w:rPr>
        <w:t>比较法</w:t>
      </w:r>
    </w:p>
    <w:p>
      <w:pPr>
        <w:keepNext w:val="0"/>
        <w:keepLines w:val="0"/>
        <w:pageBreakBefore w:val="0"/>
        <w:widowControl w:val="0"/>
        <w:tabs>
          <w:tab w:val="left" w:pos="720"/>
        </w:tabs>
        <w:kinsoku/>
        <w:wordWrap/>
        <w:overflowPunct/>
        <w:autoSpaceDN/>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所谓比较法是将估价对象与在价值时点近期有过交易的类似房地产进行比较，对这些类似房地产的已知价格作适当的修正，以此估算估价对象的客观合理价格或价值的方法。比较法的理论基础为替代原理。其基本计算公式如下：</w:t>
      </w:r>
    </w:p>
    <w:p>
      <w:pPr>
        <w:keepNext w:val="0"/>
        <w:keepLines w:val="0"/>
        <w:pageBreakBefore w:val="0"/>
        <w:kinsoku/>
        <w:wordWrap/>
        <w:overflowPunct/>
        <w:bidi w:val="0"/>
        <w:adjustRightInd/>
        <w:snapToGrid/>
        <w:spacing w:line="630" w:lineRule="exact"/>
        <w:ind w:firstLine="560" w:firstLineChars="200"/>
        <w:rPr>
          <w:rFonts w:ascii="楷体" w:hAnsi="楷体" w:eastAsia="楷体"/>
          <w:sz w:val="28"/>
          <w:szCs w:val="28"/>
        </w:rPr>
      </w:pPr>
      <w:r>
        <w:rPr>
          <w:rFonts w:hint="eastAsia" w:ascii="楷体" w:hAnsi="楷体" w:eastAsia="楷体"/>
          <w:sz w:val="28"/>
          <w:szCs w:val="28"/>
        </w:rPr>
        <w:t>房地产价值=可比实例成交价格×交易情况修正系数×市场状况调整系数×房地产状况调整系数。</w:t>
      </w:r>
    </w:p>
    <w:p>
      <w:pPr>
        <w:pStyle w:val="10"/>
        <w:keepNext w:val="0"/>
        <w:keepLines w:val="0"/>
        <w:pageBreakBefore w:val="0"/>
        <w:kinsoku/>
        <w:wordWrap/>
        <w:overflowPunct/>
        <w:topLinePunct/>
        <w:bidi w:val="0"/>
        <w:adjustRightInd/>
        <w:snapToGrid/>
        <w:spacing w:line="630" w:lineRule="exact"/>
        <w:ind w:left="420" w:leftChars="200" w:firstLine="280" w:firstLineChars="100"/>
        <w:rPr>
          <w:rFonts w:ascii="楷体" w:hAnsi="楷体" w:eastAsia="楷体"/>
          <w:kern w:val="2"/>
          <w:szCs w:val="28"/>
        </w:rPr>
      </w:pPr>
      <w:bookmarkStart w:id="89" w:name="_Toc5498"/>
      <w:bookmarkStart w:id="90" w:name="_Toc27570"/>
      <w:r>
        <w:rPr>
          <w:rFonts w:hint="eastAsia" w:ascii="楷体" w:hAnsi="楷体" w:eastAsia="楷体"/>
          <w:kern w:val="2"/>
          <w:szCs w:val="28"/>
        </w:rPr>
        <w:t>2.收益法</w:t>
      </w:r>
    </w:p>
    <w:p>
      <w:pPr>
        <w:keepNext w:val="0"/>
        <w:keepLines w:val="0"/>
        <w:pageBreakBefore w:val="0"/>
        <w:widowControl/>
        <w:kinsoku/>
        <w:wordWrap/>
        <w:overflowPunct/>
        <w:autoSpaceDE w:val="0"/>
        <w:autoSpaceDN w:val="0"/>
        <w:bidi w:val="0"/>
        <w:adjustRightInd/>
        <w:snapToGrid/>
        <w:spacing w:line="630" w:lineRule="exact"/>
        <w:ind w:right="57" w:firstLine="560" w:firstLineChars="200"/>
        <w:textAlignment w:val="bottom"/>
        <w:rPr>
          <w:rFonts w:ascii="楷体" w:hAnsi="楷体" w:eastAsia="楷体"/>
          <w:sz w:val="28"/>
          <w:szCs w:val="28"/>
        </w:rPr>
      </w:pPr>
      <w:r>
        <w:rPr>
          <w:rFonts w:hint="eastAsia" w:ascii="楷体" w:hAnsi="楷体" w:eastAsia="楷体"/>
          <w:sz w:val="28"/>
          <w:szCs w:val="28"/>
        </w:rPr>
        <w:t>收益法是预计估价对象未来的正常净收益，选用适当的报酬率将其折现到价值时点后累加，以此估算估价对象的客观合理价格或价值的方法。</w:t>
      </w:r>
    </w:p>
    <w:p>
      <w:pPr>
        <w:keepNext w:val="0"/>
        <w:keepLines w:val="0"/>
        <w:pageBreakBefore w:val="0"/>
        <w:widowControl/>
        <w:kinsoku/>
        <w:wordWrap/>
        <w:overflowPunct/>
        <w:topLinePunct w:val="0"/>
        <w:autoSpaceDE w:val="0"/>
        <w:autoSpaceDN w:val="0"/>
        <w:bidi w:val="0"/>
        <w:adjustRightInd/>
        <w:snapToGrid/>
        <w:spacing w:line="630" w:lineRule="exact"/>
        <w:ind w:right="57" w:firstLine="560" w:firstLineChars="200"/>
        <w:textAlignment w:val="bottom"/>
        <w:rPr>
          <w:rFonts w:ascii="楷体" w:hAnsi="楷体" w:eastAsia="楷体"/>
          <w:sz w:val="28"/>
          <w:szCs w:val="28"/>
        </w:rPr>
      </w:pPr>
      <w:r>
        <w:rPr>
          <w:rFonts w:hint="eastAsia" w:ascii="楷体" w:hAnsi="楷体" w:eastAsia="楷体"/>
          <w:sz w:val="28"/>
          <w:szCs w:val="28"/>
        </w:rPr>
        <w:t>根据《房地产估价规范》4.3.2条款内容“报酬资本化法估价时，应区分全剩余寿命模式和持有加转售模式。当收益期较长，难以预测该期限内各年净收益时，宜选用持有加转售模式”。本次估价选用持有加转售模式，拟采用如下计算公式：</w:t>
      </w:r>
      <w:r>
        <w:rPr>
          <w:rFonts w:ascii="楷体" w:hAnsi="楷体" w:eastAsia="楷体"/>
          <w:position w:val="-22"/>
          <w:sz w:val="28"/>
          <w:szCs w:val="28"/>
        </w:rPr>
        <w:object>
          <v:shape id="_x0000_i1025" o:spt="75" type="#_x0000_t75" style="height:37pt;width:176pt;" o:ole="t" filled="f" o:preferrelative="t" stroked="f" coordsize="21600,21600">
            <v:path/>
            <v:fill on="f" focussize="0,0"/>
            <v:stroke on="f" joinstyle="miter"/>
            <v:imagedata r:id="rId10" o:title=""/>
            <o:lock v:ext="edit" aspectratio="f"/>
            <w10:wrap type="none"/>
            <w10:anchorlock/>
          </v:shape>
          <o:OLEObject Type="Embed" ProgID="Equation.3" ShapeID="_x0000_i1025" DrawAspect="Content" ObjectID="_1468075725" r:id="rId9">
            <o:LockedField>false</o:LockedField>
          </o:OLEObject>
        </w:object>
      </w:r>
      <w:r>
        <w:rPr>
          <w:rFonts w:hint="eastAsia" w:ascii="楷体" w:hAnsi="楷体" w:eastAsia="楷体"/>
          <w:sz w:val="28"/>
          <w:szCs w:val="28"/>
        </w:rPr>
        <w:t xml:space="preserve"> </w:t>
      </w:r>
    </w:p>
    <w:p>
      <w:pPr>
        <w:keepNext w:val="0"/>
        <w:keepLines w:val="0"/>
        <w:pageBreakBefore w:val="0"/>
        <w:widowControl/>
        <w:kinsoku/>
        <w:wordWrap/>
        <w:overflowPunct/>
        <w:topLinePunct w:val="0"/>
        <w:autoSpaceDE w:val="0"/>
        <w:autoSpaceDN w:val="0"/>
        <w:bidi w:val="0"/>
        <w:adjustRightInd/>
        <w:snapToGrid/>
        <w:spacing w:line="630" w:lineRule="exact"/>
        <w:ind w:left="420" w:leftChars="200" w:right="57"/>
        <w:textAlignment w:val="bottom"/>
        <w:rPr>
          <w:rFonts w:ascii="楷体" w:hAnsi="楷体" w:eastAsia="楷体"/>
          <w:sz w:val="28"/>
          <w:szCs w:val="28"/>
        </w:rPr>
      </w:pPr>
      <w:r>
        <w:rPr>
          <w:rFonts w:hint="eastAsia" w:ascii="楷体" w:hAnsi="楷体" w:eastAsia="楷体"/>
          <w:sz w:val="28"/>
          <w:szCs w:val="28"/>
        </w:rPr>
        <w:t>式中：V—房地产现值；</w:t>
      </w:r>
    </w:p>
    <w:p>
      <w:pPr>
        <w:keepNext w:val="0"/>
        <w:keepLines w:val="0"/>
        <w:pageBreakBefore w:val="0"/>
        <w:widowControl/>
        <w:kinsoku/>
        <w:wordWrap/>
        <w:overflowPunct/>
        <w:topLinePunct w:val="0"/>
        <w:autoSpaceDE w:val="0"/>
        <w:autoSpaceDN w:val="0"/>
        <w:bidi w:val="0"/>
        <w:adjustRightInd/>
        <w:snapToGrid/>
        <w:spacing w:line="630" w:lineRule="exact"/>
        <w:ind w:left="420" w:leftChars="200" w:right="57" w:firstLine="854" w:firstLineChars="305"/>
        <w:textAlignment w:val="bottom"/>
        <w:rPr>
          <w:rFonts w:ascii="楷体" w:hAnsi="楷体" w:eastAsia="楷体"/>
          <w:sz w:val="28"/>
          <w:szCs w:val="28"/>
        </w:rPr>
      </w:pPr>
      <w:r>
        <w:rPr>
          <w:rFonts w:hint="eastAsia" w:ascii="楷体" w:hAnsi="楷体" w:eastAsia="楷体"/>
          <w:sz w:val="28"/>
          <w:szCs w:val="28"/>
        </w:rPr>
        <w:t>t—持有期；</w:t>
      </w:r>
    </w:p>
    <w:p>
      <w:pPr>
        <w:pageBreakBefore w:val="0"/>
        <w:widowControl/>
        <w:kinsoku/>
        <w:wordWrap/>
        <w:overflowPunct/>
        <w:topLinePunct w:val="0"/>
        <w:autoSpaceDE w:val="0"/>
        <w:autoSpaceDN w:val="0"/>
        <w:bidi w:val="0"/>
        <w:adjustRightInd/>
        <w:spacing w:line="630" w:lineRule="exact"/>
        <w:ind w:left="420" w:leftChars="200" w:right="57" w:firstLine="854" w:firstLineChars="305"/>
        <w:textAlignment w:val="bottom"/>
        <w:rPr>
          <w:rFonts w:ascii="楷体" w:hAnsi="楷体" w:eastAsia="楷体"/>
          <w:sz w:val="28"/>
          <w:szCs w:val="28"/>
        </w:rPr>
      </w:pPr>
      <w:r>
        <w:rPr>
          <w:rFonts w:ascii="楷体" w:hAnsi="楷体" w:eastAsia="楷体"/>
          <w:sz w:val="28"/>
          <w:szCs w:val="28"/>
        </w:rPr>
        <w:t>A</w:t>
      </w:r>
      <w:r>
        <w:rPr>
          <w:rFonts w:ascii="楷体" w:hAnsi="楷体" w:eastAsia="楷体"/>
          <w:sz w:val="28"/>
          <w:szCs w:val="28"/>
          <w:vertAlign w:val="subscript"/>
        </w:rPr>
        <w:t>n</w:t>
      </w:r>
      <w:r>
        <w:rPr>
          <w:rFonts w:hint="eastAsia" w:ascii="楷体" w:hAnsi="楷体" w:eastAsia="楷体"/>
          <w:sz w:val="28"/>
          <w:szCs w:val="28"/>
        </w:rPr>
        <w:t>—期间收益；</w:t>
      </w:r>
    </w:p>
    <w:p>
      <w:pPr>
        <w:pageBreakBefore w:val="0"/>
        <w:widowControl/>
        <w:kinsoku/>
        <w:wordWrap/>
        <w:overflowPunct/>
        <w:topLinePunct w:val="0"/>
        <w:autoSpaceDE w:val="0"/>
        <w:autoSpaceDN w:val="0"/>
        <w:bidi w:val="0"/>
        <w:adjustRightInd/>
        <w:spacing w:line="630" w:lineRule="exact"/>
        <w:ind w:left="420" w:leftChars="200" w:right="57" w:firstLine="854" w:firstLineChars="305"/>
        <w:textAlignment w:val="bottom"/>
        <w:rPr>
          <w:rFonts w:ascii="楷体" w:hAnsi="楷体" w:eastAsia="楷体"/>
          <w:sz w:val="28"/>
          <w:szCs w:val="28"/>
        </w:rPr>
      </w:pPr>
      <w:r>
        <w:rPr>
          <w:rFonts w:ascii="楷体" w:hAnsi="楷体" w:eastAsia="楷体"/>
          <w:sz w:val="28"/>
          <w:szCs w:val="28"/>
        </w:rPr>
        <w:t>V</w:t>
      </w:r>
      <w:r>
        <w:rPr>
          <w:rFonts w:ascii="楷体" w:hAnsi="楷体" w:eastAsia="楷体"/>
          <w:sz w:val="28"/>
          <w:szCs w:val="28"/>
          <w:vertAlign w:val="subscript"/>
        </w:rPr>
        <w:t>t</w:t>
      </w:r>
      <w:r>
        <w:rPr>
          <w:rFonts w:hint="eastAsia" w:ascii="楷体" w:hAnsi="楷体" w:eastAsia="楷体"/>
          <w:sz w:val="28"/>
          <w:szCs w:val="28"/>
        </w:rPr>
        <w:t>—期未转售收益；</w:t>
      </w:r>
    </w:p>
    <w:p>
      <w:pPr>
        <w:pageBreakBefore w:val="0"/>
        <w:widowControl/>
        <w:kinsoku/>
        <w:wordWrap/>
        <w:overflowPunct/>
        <w:topLinePunct w:val="0"/>
        <w:autoSpaceDE w:val="0"/>
        <w:autoSpaceDN w:val="0"/>
        <w:bidi w:val="0"/>
        <w:adjustRightInd/>
        <w:spacing w:line="630" w:lineRule="exact"/>
        <w:ind w:left="420" w:leftChars="200" w:right="57" w:firstLine="854" w:firstLineChars="305"/>
        <w:textAlignment w:val="bottom"/>
        <w:rPr>
          <w:rFonts w:hint="eastAsia" w:ascii="楷体" w:hAnsi="楷体" w:eastAsia="楷体"/>
          <w:sz w:val="28"/>
          <w:szCs w:val="28"/>
          <w:lang w:val="en-US" w:eastAsia="zh-CN"/>
        </w:rPr>
      </w:pPr>
      <w:r>
        <w:rPr>
          <w:rFonts w:ascii="楷体" w:hAnsi="楷体" w:eastAsia="楷体"/>
          <w:sz w:val="28"/>
          <w:szCs w:val="28"/>
        </w:rPr>
        <w:object>
          <v:shape id="_x0000_i1026" o:spt="75" type="#_x0000_t75" style="height:13pt;width:7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r>
        <w:rPr>
          <w:rFonts w:hint="eastAsia" w:ascii="楷体" w:hAnsi="楷体" w:eastAsia="楷体"/>
          <w:sz w:val="28"/>
          <w:szCs w:val="28"/>
        </w:rPr>
        <w:t>—持有期报酬率、期未报酬率。</w:t>
      </w:r>
      <w:r>
        <w:rPr>
          <w:rFonts w:hint="eastAsia" w:ascii="楷体" w:hAnsi="楷体" w:eastAsia="楷体"/>
          <w:sz w:val="28"/>
          <w:szCs w:val="28"/>
          <w:lang w:val="en-US" w:eastAsia="zh-CN"/>
        </w:rPr>
        <w:t xml:space="preserve">                   </w:t>
      </w:r>
    </w:p>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pPr>
      <w:bookmarkStart w:id="91" w:name="_Toc27098"/>
      <w:r>
        <w:rPr>
          <w:rFonts w:hint="eastAsia"/>
          <w:lang w:val="en-US" w:eastAsia="zh-CN"/>
        </w:rPr>
        <w:t>十、</w:t>
      </w:r>
      <w:r>
        <w:rPr>
          <w:rFonts w:hint="eastAsia"/>
        </w:rPr>
        <w:t>估价结果</w:t>
      </w:r>
      <w:bookmarkEnd w:id="87"/>
      <w:bookmarkEnd w:id="89"/>
      <w:bookmarkEnd w:id="90"/>
      <w:bookmarkEnd w:id="91"/>
    </w:p>
    <w:p>
      <w:pPr>
        <w:keepNext w:val="0"/>
        <w:keepLines w:val="0"/>
        <w:pageBreakBefore w:val="0"/>
        <w:widowControl w:val="0"/>
        <w:kinsoku/>
        <w:wordWrap/>
        <w:overflowPunct/>
        <w:topLinePunct w:val="0"/>
        <w:autoSpaceDN/>
        <w:bidi w:val="0"/>
        <w:adjustRightInd/>
        <w:snapToGrid/>
        <w:spacing w:line="560" w:lineRule="exact"/>
        <w:ind w:firstLine="560" w:firstLineChars="200"/>
        <w:rPr>
          <w:rFonts w:ascii="楷体" w:hAnsi="楷体" w:eastAsia="楷体"/>
          <w:bCs/>
          <w:sz w:val="28"/>
          <w:szCs w:val="22"/>
          <w:highlight w:val="none"/>
        </w:rPr>
      </w:pPr>
      <w:bookmarkStart w:id="92" w:name="_Toc11288"/>
      <w:bookmarkStart w:id="93" w:name="_Toc451175957"/>
      <w:bookmarkStart w:id="94" w:name="_Toc28138"/>
      <w:r>
        <w:rPr>
          <w:rFonts w:hint="eastAsia" w:ascii="楷体" w:hAnsi="楷体" w:eastAsia="楷体" w:cs="楷体"/>
          <w:color w:val="000000" w:themeColor="text1"/>
          <w:w w:val="100"/>
          <w:sz w:val="28"/>
          <w:szCs w:val="28"/>
        </w:rPr>
        <w:t>注册房地估价师根据估价目的，经过实地查勘和市场调查，按照严谨的估价程序，遵循估价原则，运用了比较法</w:t>
      </w:r>
      <w:r>
        <w:rPr>
          <w:rFonts w:hint="eastAsia" w:ascii="楷体" w:hAnsi="楷体" w:eastAsia="楷体" w:cs="楷体"/>
          <w:color w:val="000000" w:themeColor="text1"/>
          <w:w w:val="100"/>
          <w:sz w:val="28"/>
          <w:szCs w:val="28"/>
          <w:lang w:eastAsia="zh-CN"/>
        </w:rPr>
        <w:t>、</w:t>
      </w:r>
      <w:r>
        <w:rPr>
          <w:rFonts w:hint="eastAsia" w:ascii="楷体" w:hAnsi="楷体" w:eastAsia="楷体" w:cs="楷体"/>
          <w:color w:val="000000" w:themeColor="text1"/>
          <w:w w:val="100"/>
          <w:sz w:val="28"/>
          <w:szCs w:val="28"/>
        </w:rPr>
        <w:t>收益法进行了专业分析、测算和判断，确定估价对象在价</w:t>
      </w:r>
      <w:r>
        <w:rPr>
          <w:rFonts w:hint="eastAsia" w:ascii="楷体" w:hAnsi="楷体" w:eastAsia="楷体" w:cs="楷体"/>
          <w:color w:val="000000" w:themeColor="text1"/>
          <w:w w:val="100"/>
          <w:sz w:val="28"/>
          <w:szCs w:val="28"/>
          <w:highlight w:val="none"/>
        </w:rPr>
        <w:t>值时点</w:t>
      </w:r>
      <w:r>
        <w:rPr>
          <w:rFonts w:hint="eastAsia" w:ascii="楷体" w:hAnsi="楷体" w:eastAsia="楷体" w:cs="楷体"/>
          <w:color w:val="000000" w:themeColor="text1"/>
          <w:w w:val="100"/>
          <w:sz w:val="28"/>
          <w:szCs w:val="28"/>
          <w:highlight w:val="none"/>
          <w:lang w:eastAsia="zh-CN"/>
        </w:rPr>
        <w:t>二Ο二二年七月二十七日</w:t>
      </w:r>
      <w:r>
        <w:rPr>
          <w:rFonts w:hint="eastAsia" w:ascii="楷体" w:hAnsi="楷体" w:eastAsia="楷体" w:cs="楷体"/>
          <w:color w:val="000000" w:themeColor="text1"/>
          <w:w w:val="100"/>
          <w:sz w:val="28"/>
          <w:szCs w:val="28"/>
          <w:lang w:val="en-US" w:eastAsia="zh-CN"/>
        </w:rPr>
        <w:t>在本报告估价目的与估价假设和限制条件制约下</w:t>
      </w:r>
      <w:r>
        <w:rPr>
          <w:rFonts w:hint="eastAsia" w:ascii="楷体" w:hAnsi="楷体" w:eastAsia="楷体" w:cs="楷体"/>
          <w:color w:val="000000" w:themeColor="text1"/>
          <w:w w:val="100"/>
          <w:sz w:val="28"/>
          <w:szCs w:val="28"/>
        </w:rPr>
        <w:t>的</w:t>
      </w:r>
      <w:r>
        <w:rPr>
          <w:rFonts w:hint="eastAsia" w:ascii="楷体" w:hAnsi="楷体" w:eastAsia="楷体"/>
          <w:sz w:val="28"/>
          <w:highlight w:val="none"/>
        </w:rPr>
        <w:t>市场价值为</w:t>
      </w:r>
      <w:r>
        <w:rPr>
          <w:rFonts w:hint="eastAsia" w:ascii="楷体" w:hAnsi="楷体" w:eastAsia="楷体"/>
          <w:b/>
          <w:sz w:val="28"/>
          <w:highlight w:val="none"/>
          <w:lang w:val="en-US" w:eastAsia="zh-CN"/>
        </w:rPr>
        <w:t>人民币291.16万元整（其中房地产价值289万元，单价32500元/平方米,可移动家具家电价值2.16万元），大写为人民币贰佰玖拾壹万壹仟陆佰元整。</w:t>
      </w:r>
    </w:p>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pPr>
      <w:bookmarkStart w:id="95" w:name="_Toc7064"/>
      <w:r>
        <w:rPr>
          <w:rFonts w:hint="eastAsia"/>
          <w:lang w:val="en-US" w:eastAsia="zh-CN"/>
        </w:rPr>
        <w:t>十一、</w:t>
      </w:r>
      <w:r>
        <w:rPr>
          <w:rFonts w:hint="eastAsia"/>
        </w:rPr>
        <w:t>注册房地产估价师</w:t>
      </w:r>
      <w:bookmarkEnd w:id="92"/>
      <w:bookmarkEnd w:id="93"/>
      <w:bookmarkEnd w:id="94"/>
      <w:bookmarkEnd w:id="95"/>
    </w:p>
    <w:tbl>
      <w:tblPr>
        <w:tblStyle w:val="19"/>
        <w:tblW w:w="8720" w:type="dxa"/>
        <w:jc w:val="center"/>
        <w:tblLayout w:type="fixed"/>
        <w:tblCellMar>
          <w:top w:w="0" w:type="dxa"/>
          <w:left w:w="108" w:type="dxa"/>
          <w:bottom w:w="0" w:type="dxa"/>
          <w:right w:w="108" w:type="dxa"/>
        </w:tblCellMar>
      </w:tblPr>
      <w:tblGrid>
        <w:gridCol w:w="1449"/>
        <w:gridCol w:w="1921"/>
        <w:gridCol w:w="2708"/>
        <w:gridCol w:w="2642"/>
      </w:tblGrid>
      <w:tr>
        <w:tblPrEx>
          <w:tblCellMar>
            <w:top w:w="0" w:type="dxa"/>
            <w:left w:w="108" w:type="dxa"/>
            <w:bottom w:w="0" w:type="dxa"/>
            <w:right w:w="108" w:type="dxa"/>
          </w:tblCellMar>
        </w:tblPrEx>
        <w:trPr>
          <w:trHeight w:val="811" w:hRule="atLeast"/>
          <w:jc w:val="center"/>
        </w:trPr>
        <w:tc>
          <w:tcPr>
            <w:tcW w:w="1449"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姓  名</w:t>
            </w:r>
          </w:p>
        </w:tc>
        <w:tc>
          <w:tcPr>
            <w:tcW w:w="1921"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注册证书号</w:t>
            </w:r>
          </w:p>
        </w:tc>
        <w:tc>
          <w:tcPr>
            <w:tcW w:w="2708"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 xml:space="preserve"> 签 章</w:t>
            </w:r>
          </w:p>
        </w:tc>
        <w:tc>
          <w:tcPr>
            <w:tcW w:w="2642"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日期</w:t>
            </w:r>
          </w:p>
        </w:tc>
      </w:tr>
      <w:tr>
        <w:tblPrEx>
          <w:tblCellMar>
            <w:top w:w="0" w:type="dxa"/>
            <w:left w:w="108" w:type="dxa"/>
            <w:bottom w:w="0" w:type="dxa"/>
            <w:right w:w="108" w:type="dxa"/>
          </w:tblCellMar>
        </w:tblPrEx>
        <w:trPr>
          <w:trHeight w:val="1125" w:hRule="atLeast"/>
          <w:jc w:val="center"/>
        </w:trPr>
        <w:tc>
          <w:tcPr>
            <w:tcW w:w="1449" w:type="dxa"/>
            <w:vAlign w:val="center"/>
          </w:tcPr>
          <w:p>
            <w:pPr>
              <w:widowControl/>
              <w:ind w:firstLine="218" w:firstLineChars="78"/>
              <w:rPr>
                <w:rFonts w:hint="eastAsia" w:ascii="楷体" w:hAnsi="楷体" w:eastAsia="楷体" w:cs="宋体"/>
                <w:kern w:val="0"/>
                <w:sz w:val="28"/>
                <w:szCs w:val="28"/>
                <w:lang w:eastAsia="zh-CN"/>
              </w:rPr>
            </w:pPr>
            <w:r>
              <w:rPr>
                <w:rFonts w:hint="eastAsia" w:ascii="楷体" w:hAnsi="楷体" w:eastAsia="楷体" w:cs="宋体"/>
                <w:kern w:val="0"/>
                <w:sz w:val="28"/>
                <w:szCs w:val="28"/>
                <w:lang w:val="en-US" w:eastAsia="zh-CN"/>
              </w:rPr>
              <w:t>郑  玺</w:t>
            </w:r>
          </w:p>
        </w:tc>
        <w:tc>
          <w:tcPr>
            <w:tcW w:w="1921" w:type="dxa"/>
            <w:vAlign w:val="center"/>
          </w:tcPr>
          <w:p>
            <w:pPr>
              <w:widowControl/>
              <w:jc w:val="center"/>
              <w:rPr>
                <w:rFonts w:hint="default" w:ascii="楷体" w:hAnsi="楷体" w:eastAsia="楷体" w:cs="宋体"/>
                <w:kern w:val="0"/>
                <w:sz w:val="28"/>
                <w:szCs w:val="28"/>
                <w:lang w:val="en-US" w:eastAsia="zh-CN"/>
              </w:rPr>
            </w:pPr>
            <w:r>
              <w:rPr>
                <w:rFonts w:hint="eastAsia" w:ascii="楷体" w:hAnsi="楷体" w:eastAsia="楷体" w:cs="宋体"/>
                <w:kern w:val="0"/>
                <w:sz w:val="28"/>
                <w:szCs w:val="28"/>
              </w:rPr>
              <w:t>33201</w:t>
            </w:r>
            <w:r>
              <w:rPr>
                <w:rFonts w:hint="eastAsia" w:ascii="楷体" w:hAnsi="楷体" w:eastAsia="楷体" w:cs="宋体"/>
                <w:kern w:val="0"/>
                <w:sz w:val="28"/>
                <w:szCs w:val="28"/>
                <w:lang w:val="en-US" w:eastAsia="zh-CN"/>
              </w:rPr>
              <w:t>3</w:t>
            </w:r>
            <w:r>
              <w:rPr>
                <w:rFonts w:hint="eastAsia" w:ascii="楷体" w:hAnsi="楷体" w:eastAsia="楷体" w:cs="宋体"/>
                <w:kern w:val="0"/>
                <w:sz w:val="28"/>
                <w:szCs w:val="28"/>
              </w:rPr>
              <w:t>0</w:t>
            </w:r>
            <w:r>
              <w:rPr>
                <w:rFonts w:hint="eastAsia" w:ascii="楷体" w:hAnsi="楷体" w:eastAsia="楷体" w:cs="宋体"/>
                <w:kern w:val="0"/>
                <w:sz w:val="28"/>
                <w:szCs w:val="28"/>
                <w:lang w:val="en-US" w:eastAsia="zh-CN"/>
              </w:rPr>
              <w:t>035</w:t>
            </w:r>
          </w:p>
        </w:tc>
        <w:tc>
          <w:tcPr>
            <w:tcW w:w="2708" w:type="dxa"/>
            <w:vAlign w:val="center"/>
          </w:tcPr>
          <w:p>
            <w:pPr>
              <w:widowControl/>
              <w:jc w:val="center"/>
              <w:rPr>
                <w:rFonts w:ascii="楷体" w:hAnsi="楷体" w:eastAsia="楷体" w:cs="宋体"/>
                <w:kern w:val="0"/>
                <w:sz w:val="28"/>
                <w:szCs w:val="28"/>
              </w:rPr>
            </w:pPr>
          </w:p>
        </w:tc>
        <w:tc>
          <w:tcPr>
            <w:tcW w:w="2642"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年  月  日</w:t>
            </w:r>
          </w:p>
        </w:tc>
      </w:tr>
      <w:tr>
        <w:tblPrEx>
          <w:tblCellMar>
            <w:top w:w="0" w:type="dxa"/>
            <w:left w:w="108" w:type="dxa"/>
            <w:bottom w:w="0" w:type="dxa"/>
            <w:right w:w="108" w:type="dxa"/>
          </w:tblCellMar>
        </w:tblPrEx>
        <w:trPr>
          <w:trHeight w:val="1125" w:hRule="atLeast"/>
          <w:jc w:val="center"/>
        </w:trPr>
        <w:tc>
          <w:tcPr>
            <w:tcW w:w="1449" w:type="dxa"/>
            <w:vAlign w:val="center"/>
          </w:tcPr>
          <w:p>
            <w:pPr>
              <w:widowControl/>
              <w:jc w:val="center"/>
              <w:rPr>
                <w:rFonts w:ascii="楷体" w:hAnsi="楷体" w:eastAsia="楷体" w:cs="宋体"/>
                <w:kern w:val="0"/>
                <w:sz w:val="28"/>
                <w:szCs w:val="28"/>
              </w:rPr>
            </w:pPr>
            <w:r>
              <w:rPr>
                <w:rFonts w:hint="eastAsia" w:eastAsia="楷体"/>
                <w:sz w:val="28"/>
              </w:rPr>
              <w:t>秦振贤</w:t>
            </w:r>
          </w:p>
        </w:tc>
        <w:tc>
          <w:tcPr>
            <w:tcW w:w="1921" w:type="dxa"/>
            <w:vAlign w:val="center"/>
          </w:tcPr>
          <w:p>
            <w:pPr>
              <w:widowControl/>
              <w:jc w:val="center"/>
              <w:rPr>
                <w:rFonts w:ascii="楷体" w:hAnsi="楷体" w:eastAsia="楷体" w:cs="宋体"/>
                <w:kern w:val="0"/>
                <w:sz w:val="28"/>
                <w:szCs w:val="28"/>
              </w:rPr>
            </w:pPr>
            <w:r>
              <w:rPr>
                <w:rFonts w:hint="eastAsia" w:ascii="楷体" w:hAnsi="楷体" w:eastAsia="楷体"/>
                <w:sz w:val="28"/>
              </w:rPr>
              <w:t>3320190188</w:t>
            </w:r>
          </w:p>
        </w:tc>
        <w:tc>
          <w:tcPr>
            <w:tcW w:w="2708" w:type="dxa"/>
            <w:vAlign w:val="center"/>
          </w:tcPr>
          <w:p>
            <w:pPr>
              <w:widowControl/>
              <w:jc w:val="center"/>
              <w:rPr>
                <w:rFonts w:ascii="楷体" w:hAnsi="楷体" w:eastAsia="楷体" w:cs="宋体"/>
                <w:kern w:val="0"/>
                <w:sz w:val="28"/>
                <w:szCs w:val="28"/>
              </w:rPr>
            </w:pPr>
          </w:p>
        </w:tc>
        <w:tc>
          <w:tcPr>
            <w:tcW w:w="2642" w:type="dxa"/>
            <w:vAlign w:val="center"/>
          </w:tcPr>
          <w:p>
            <w:pPr>
              <w:widowControl/>
              <w:jc w:val="center"/>
              <w:rPr>
                <w:rFonts w:ascii="楷体" w:hAnsi="楷体" w:eastAsia="楷体" w:cs="宋体"/>
                <w:kern w:val="0"/>
                <w:sz w:val="28"/>
                <w:szCs w:val="28"/>
              </w:rPr>
            </w:pPr>
            <w:r>
              <w:rPr>
                <w:rFonts w:hint="eastAsia" w:ascii="楷体" w:hAnsi="楷体" w:eastAsia="楷体" w:cs="宋体"/>
                <w:kern w:val="0"/>
                <w:sz w:val="28"/>
                <w:szCs w:val="28"/>
              </w:rPr>
              <w:t>年  月  日</w:t>
            </w:r>
          </w:p>
        </w:tc>
      </w:tr>
    </w:tbl>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pPr>
      <w:bookmarkStart w:id="96" w:name="_Toc6047"/>
      <w:bookmarkStart w:id="97" w:name="_Toc451175958"/>
      <w:bookmarkStart w:id="98" w:name="_Toc7944"/>
      <w:bookmarkStart w:id="99" w:name="_Toc15258"/>
      <w:r>
        <w:rPr>
          <w:rFonts w:hint="eastAsia"/>
          <w:lang w:val="en-US" w:eastAsia="zh-CN"/>
        </w:rPr>
        <w:t>十二、</w:t>
      </w:r>
      <w:r>
        <w:rPr>
          <w:rFonts w:hint="eastAsia"/>
        </w:rPr>
        <w:t>实地查勘期</w:t>
      </w:r>
      <w:bookmarkEnd w:id="96"/>
      <w:bookmarkEnd w:id="97"/>
      <w:bookmarkEnd w:id="98"/>
      <w:bookmarkEnd w:id="99"/>
    </w:p>
    <w:p>
      <w:pPr>
        <w:spacing w:line="630" w:lineRule="exact"/>
        <w:ind w:firstLine="560"/>
        <w:rPr>
          <w:rFonts w:ascii="楷体" w:hAnsi="楷体" w:eastAsia="楷体" w:cs="楷体"/>
          <w:color w:val="000000" w:themeColor="text1"/>
          <w:sz w:val="28"/>
          <w:highlight w:val="none"/>
        </w:rPr>
      </w:pPr>
      <w:r>
        <w:rPr>
          <w:rFonts w:hint="eastAsia" w:ascii="楷体" w:hAnsi="楷体" w:eastAsia="楷体" w:cs="楷体"/>
          <w:color w:val="000000" w:themeColor="text1"/>
          <w:sz w:val="28"/>
          <w:szCs w:val="28"/>
          <w:highlight w:val="none"/>
          <w:lang w:eastAsia="zh-CN"/>
        </w:rPr>
        <w:t>二Ο二二年七月二十七日</w:t>
      </w:r>
      <w:r>
        <w:rPr>
          <w:rFonts w:hint="eastAsia" w:eastAsia="楷体"/>
          <w:sz w:val="28"/>
          <w:highlight w:val="none"/>
        </w:rPr>
        <w:t>至</w:t>
      </w:r>
      <w:r>
        <w:rPr>
          <w:rFonts w:hint="eastAsia" w:ascii="楷体" w:hAnsi="楷体" w:eastAsia="楷体" w:cs="楷体"/>
          <w:color w:val="000000" w:themeColor="text1"/>
          <w:sz w:val="28"/>
          <w:szCs w:val="28"/>
          <w:highlight w:val="none"/>
          <w:lang w:eastAsia="zh-CN"/>
        </w:rPr>
        <w:t>二Ο二二年七月二十七日</w:t>
      </w:r>
      <w:r>
        <w:rPr>
          <w:rFonts w:hint="eastAsia" w:eastAsia="楷体"/>
          <w:sz w:val="28"/>
          <w:highlight w:val="none"/>
        </w:rPr>
        <w:t>。</w:t>
      </w:r>
    </w:p>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rPr>
          <w:highlight w:val="none"/>
        </w:rPr>
      </w:pPr>
      <w:bookmarkStart w:id="100" w:name="_Toc15337"/>
      <w:bookmarkStart w:id="101" w:name="_Toc451175959"/>
      <w:bookmarkStart w:id="102" w:name="_Toc13857"/>
      <w:bookmarkStart w:id="103" w:name="_Toc19365"/>
      <w:r>
        <w:rPr>
          <w:rFonts w:hint="eastAsia"/>
          <w:highlight w:val="none"/>
          <w:lang w:val="en-US" w:eastAsia="zh-CN"/>
        </w:rPr>
        <w:t>十三、</w:t>
      </w:r>
      <w:r>
        <w:rPr>
          <w:rFonts w:hint="eastAsia"/>
          <w:highlight w:val="none"/>
        </w:rPr>
        <w:t>估价作业日期</w:t>
      </w:r>
      <w:bookmarkEnd w:id="100"/>
      <w:bookmarkEnd w:id="101"/>
      <w:bookmarkEnd w:id="102"/>
      <w:bookmarkEnd w:id="103"/>
    </w:p>
    <w:p>
      <w:pPr>
        <w:spacing w:line="630" w:lineRule="exact"/>
        <w:ind w:firstLine="560"/>
        <w:rPr>
          <w:rFonts w:ascii="楷体" w:hAnsi="楷体" w:eastAsia="楷体" w:cs="楷体"/>
          <w:color w:val="000000" w:themeColor="text1"/>
          <w:sz w:val="28"/>
          <w:highlight w:val="none"/>
        </w:rPr>
      </w:pPr>
      <w:r>
        <w:rPr>
          <w:rFonts w:hint="eastAsia" w:ascii="楷体" w:hAnsi="楷体" w:eastAsia="楷体" w:cs="楷体"/>
          <w:color w:val="000000" w:themeColor="text1"/>
          <w:sz w:val="28"/>
          <w:szCs w:val="28"/>
          <w:highlight w:val="none"/>
        </w:rPr>
        <w:t>二Ο二</w:t>
      </w:r>
      <w:r>
        <w:rPr>
          <w:rFonts w:hint="eastAsia" w:ascii="楷体" w:hAnsi="楷体" w:eastAsia="楷体" w:cs="楷体"/>
          <w:color w:val="000000" w:themeColor="text1"/>
          <w:sz w:val="28"/>
          <w:szCs w:val="28"/>
          <w:highlight w:val="none"/>
          <w:lang w:val="en-US" w:eastAsia="zh-CN"/>
        </w:rPr>
        <w:t>二</w:t>
      </w:r>
      <w:r>
        <w:rPr>
          <w:rFonts w:hint="eastAsia" w:ascii="楷体" w:hAnsi="楷体" w:eastAsia="楷体" w:cs="楷体"/>
          <w:color w:val="000000" w:themeColor="text1"/>
          <w:sz w:val="28"/>
          <w:szCs w:val="28"/>
          <w:highlight w:val="none"/>
        </w:rPr>
        <w:t>年</w:t>
      </w:r>
      <w:r>
        <w:rPr>
          <w:rFonts w:hint="eastAsia" w:ascii="楷体" w:hAnsi="楷体" w:eastAsia="楷体" w:cs="楷体"/>
          <w:color w:val="000000" w:themeColor="text1"/>
          <w:sz w:val="28"/>
          <w:szCs w:val="28"/>
          <w:highlight w:val="none"/>
          <w:lang w:val="en-US" w:eastAsia="zh-CN"/>
        </w:rPr>
        <w:t>七</w:t>
      </w:r>
      <w:r>
        <w:rPr>
          <w:rFonts w:hint="eastAsia" w:ascii="楷体" w:hAnsi="楷体" w:eastAsia="楷体" w:cs="楷体"/>
          <w:color w:val="000000" w:themeColor="text1"/>
          <w:sz w:val="28"/>
          <w:szCs w:val="28"/>
          <w:highlight w:val="none"/>
        </w:rPr>
        <w:t>月</w:t>
      </w:r>
      <w:r>
        <w:rPr>
          <w:rFonts w:hint="eastAsia" w:ascii="楷体" w:hAnsi="楷体" w:eastAsia="楷体" w:cs="楷体"/>
          <w:color w:val="000000" w:themeColor="text1"/>
          <w:sz w:val="28"/>
          <w:szCs w:val="28"/>
          <w:highlight w:val="none"/>
          <w:lang w:val="en-US" w:eastAsia="zh-CN"/>
        </w:rPr>
        <w:t>二十六</w:t>
      </w:r>
      <w:r>
        <w:rPr>
          <w:rFonts w:hint="eastAsia" w:ascii="楷体" w:hAnsi="楷体" w:eastAsia="楷体" w:cs="楷体"/>
          <w:color w:val="000000" w:themeColor="text1"/>
          <w:sz w:val="28"/>
          <w:szCs w:val="28"/>
          <w:highlight w:val="none"/>
        </w:rPr>
        <w:t>日</w:t>
      </w:r>
      <w:r>
        <w:rPr>
          <w:rFonts w:hint="eastAsia" w:eastAsia="楷体"/>
          <w:sz w:val="28"/>
          <w:highlight w:val="none"/>
        </w:rPr>
        <w:t>至</w:t>
      </w:r>
      <w:r>
        <w:rPr>
          <w:rFonts w:hint="eastAsia" w:ascii="楷体" w:hAnsi="楷体" w:eastAsia="楷体" w:cs="楷体"/>
          <w:color w:val="000000" w:themeColor="text1"/>
          <w:sz w:val="28"/>
          <w:szCs w:val="28"/>
          <w:highlight w:val="none"/>
          <w:lang w:eastAsia="zh-CN"/>
        </w:rPr>
        <w:t>二Ο二二年八月二日</w:t>
      </w:r>
      <w:r>
        <w:rPr>
          <w:rFonts w:hint="eastAsia" w:ascii="楷体" w:hAnsi="楷体" w:eastAsia="楷体" w:cs="楷体"/>
          <w:color w:val="000000" w:themeColor="text1"/>
          <w:sz w:val="28"/>
          <w:highlight w:val="none"/>
        </w:rPr>
        <w:t>。</w:t>
      </w:r>
    </w:p>
    <w:p>
      <w:pPr>
        <w:pStyle w:val="3"/>
        <w:keepNext/>
        <w:keepLines/>
        <w:pageBreakBefore w:val="0"/>
        <w:widowControl w:val="0"/>
        <w:numPr>
          <w:ilvl w:val="0"/>
          <w:numId w:val="0"/>
        </w:numPr>
        <w:kinsoku/>
        <w:wordWrap/>
        <w:overflowPunct/>
        <w:topLinePunct w:val="0"/>
        <w:autoSpaceDE/>
        <w:autoSpaceDN/>
        <w:bidi w:val="0"/>
        <w:adjustRightInd/>
        <w:snapToGrid w:val="0"/>
        <w:spacing w:before="0" w:beforeLines="50" w:after="0" w:afterLines="50" w:line="630" w:lineRule="exact"/>
        <w:ind w:leftChars="0"/>
        <w:textAlignment w:val="auto"/>
        <w:rPr>
          <w:rFonts w:hint="default" w:eastAsia="楷体"/>
          <w:highlight w:val="none"/>
          <w:lang w:val="en-US" w:eastAsia="zh-CN"/>
        </w:rPr>
      </w:pPr>
      <w:bookmarkStart w:id="104" w:name="_Toc10668"/>
      <w:bookmarkStart w:id="105" w:name="_Toc451175960"/>
      <w:bookmarkStart w:id="106" w:name="_Toc3517"/>
      <w:bookmarkStart w:id="107" w:name="_Toc23590"/>
      <w:r>
        <w:rPr>
          <w:rFonts w:hint="eastAsia"/>
          <w:highlight w:val="none"/>
          <w:lang w:val="en-US" w:eastAsia="zh-CN"/>
        </w:rPr>
        <w:t>十四、</w:t>
      </w:r>
      <w:r>
        <w:rPr>
          <w:rFonts w:hint="eastAsia"/>
          <w:highlight w:val="none"/>
        </w:rPr>
        <w:t>估价报告的</w:t>
      </w:r>
      <w:bookmarkEnd w:id="104"/>
      <w:bookmarkEnd w:id="105"/>
      <w:bookmarkEnd w:id="106"/>
      <w:bookmarkEnd w:id="107"/>
      <w:r>
        <w:rPr>
          <w:rFonts w:hint="eastAsia"/>
          <w:highlight w:val="none"/>
          <w:lang w:val="en-US" w:eastAsia="zh-CN"/>
        </w:rPr>
        <w:t>使用期限</w:t>
      </w:r>
    </w:p>
    <w:p>
      <w:pPr>
        <w:spacing w:line="630" w:lineRule="exact"/>
        <w:ind w:firstLine="565" w:firstLineChars="202"/>
        <w:rPr>
          <w:rFonts w:ascii="楷体" w:hAnsi="楷体" w:eastAsia="楷体" w:cs="楷体"/>
          <w:color w:val="000000" w:themeColor="text1"/>
          <w:sz w:val="28"/>
          <w:highlight w:val="none"/>
        </w:rPr>
      </w:pPr>
      <w:r>
        <w:rPr>
          <w:rFonts w:hint="eastAsia" w:eastAsia="楷体"/>
          <w:bCs/>
          <w:sz w:val="28"/>
          <w:highlight w:val="none"/>
        </w:rPr>
        <w:t>本估价报告的</w:t>
      </w:r>
      <w:r>
        <w:rPr>
          <w:rFonts w:hint="eastAsia" w:eastAsia="楷体"/>
          <w:bCs/>
          <w:sz w:val="28"/>
          <w:highlight w:val="none"/>
          <w:lang w:val="en-US" w:eastAsia="zh-CN"/>
        </w:rPr>
        <w:t>使用期限</w:t>
      </w:r>
      <w:r>
        <w:rPr>
          <w:rFonts w:hint="eastAsia" w:eastAsia="楷体"/>
          <w:bCs/>
          <w:sz w:val="28"/>
          <w:highlight w:val="none"/>
        </w:rPr>
        <w:t>为</w:t>
      </w:r>
      <w:r>
        <w:rPr>
          <w:rFonts w:hint="eastAsia" w:eastAsia="楷体"/>
          <w:sz w:val="28"/>
          <w:highlight w:val="none"/>
        </w:rPr>
        <w:t>壹年（</w:t>
      </w:r>
      <w:r>
        <w:rPr>
          <w:rFonts w:hint="eastAsia" w:ascii="楷体" w:hAnsi="楷体" w:eastAsia="楷体" w:cs="楷体"/>
          <w:color w:val="000000"/>
          <w:sz w:val="28"/>
          <w:szCs w:val="28"/>
          <w:highlight w:val="none"/>
        </w:rPr>
        <w:t>自</w:t>
      </w:r>
      <w:r>
        <w:rPr>
          <w:rFonts w:hint="eastAsia" w:ascii="楷体" w:hAnsi="楷体" w:eastAsia="楷体" w:cs="楷体"/>
          <w:color w:val="000000" w:themeColor="text1"/>
          <w:sz w:val="28"/>
          <w:szCs w:val="28"/>
          <w:highlight w:val="none"/>
          <w:lang w:eastAsia="zh-CN"/>
        </w:rPr>
        <w:t>二Ο二二年八月二日</w:t>
      </w:r>
      <w:r>
        <w:rPr>
          <w:rFonts w:hint="eastAsia" w:ascii="楷体" w:hAnsi="楷体" w:eastAsia="楷体" w:cs="楷体"/>
          <w:color w:val="000000"/>
          <w:sz w:val="28"/>
          <w:szCs w:val="28"/>
          <w:highlight w:val="none"/>
        </w:rPr>
        <w:t>至二Ο二</w:t>
      </w:r>
      <w:r>
        <w:rPr>
          <w:rFonts w:hint="eastAsia" w:ascii="楷体" w:hAnsi="楷体" w:eastAsia="楷体" w:cs="楷体"/>
          <w:color w:val="000000"/>
          <w:sz w:val="28"/>
          <w:szCs w:val="28"/>
          <w:highlight w:val="none"/>
          <w:lang w:val="en-US" w:eastAsia="zh-CN"/>
        </w:rPr>
        <w:t>三</w:t>
      </w:r>
      <w:r>
        <w:rPr>
          <w:rFonts w:hint="eastAsia" w:ascii="楷体" w:hAnsi="楷体" w:eastAsia="楷体" w:cs="楷体"/>
          <w:color w:val="000000"/>
          <w:sz w:val="28"/>
          <w:szCs w:val="28"/>
          <w:highlight w:val="none"/>
        </w:rPr>
        <w:t>年</w:t>
      </w:r>
      <w:r>
        <w:rPr>
          <w:rFonts w:hint="eastAsia" w:ascii="楷体" w:hAnsi="楷体" w:eastAsia="楷体" w:cs="楷体"/>
          <w:color w:val="000000"/>
          <w:sz w:val="28"/>
          <w:szCs w:val="28"/>
          <w:highlight w:val="none"/>
          <w:lang w:val="en-US" w:eastAsia="zh-CN"/>
        </w:rPr>
        <w:t>八</w:t>
      </w:r>
      <w:r>
        <w:rPr>
          <w:rFonts w:hint="eastAsia" w:ascii="楷体" w:hAnsi="楷体" w:eastAsia="楷体" w:cs="楷体"/>
          <w:color w:val="000000"/>
          <w:sz w:val="28"/>
          <w:szCs w:val="28"/>
          <w:highlight w:val="none"/>
        </w:rPr>
        <w:t>月</w:t>
      </w:r>
      <w:r>
        <w:rPr>
          <w:rFonts w:hint="eastAsia" w:ascii="楷体" w:hAnsi="楷体" w:eastAsia="楷体" w:cs="楷体"/>
          <w:color w:val="000000"/>
          <w:sz w:val="28"/>
          <w:szCs w:val="28"/>
          <w:highlight w:val="none"/>
          <w:lang w:val="en-US" w:eastAsia="zh-CN"/>
        </w:rPr>
        <w:t>一</w:t>
      </w:r>
      <w:r>
        <w:rPr>
          <w:rFonts w:hint="eastAsia" w:ascii="楷体" w:hAnsi="楷体" w:eastAsia="楷体" w:cs="楷体"/>
          <w:color w:val="000000"/>
          <w:sz w:val="28"/>
          <w:szCs w:val="28"/>
          <w:highlight w:val="none"/>
        </w:rPr>
        <w:t>日止</w:t>
      </w:r>
      <w:r>
        <w:rPr>
          <w:rFonts w:hint="eastAsia" w:eastAsia="楷体"/>
          <w:sz w:val="28"/>
          <w:highlight w:val="none"/>
        </w:rPr>
        <w:t>）。</w:t>
      </w:r>
    </w:p>
    <w:bookmarkEnd w:id="42"/>
    <w:bookmarkEnd w:id="43"/>
    <w:p>
      <w:pPr>
        <w:numPr>
          <w:ilvl w:val="0"/>
          <w:numId w:val="9"/>
        </w:numPr>
        <w:spacing w:line="630" w:lineRule="exact"/>
        <w:jc w:val="left"/>
        <w:rPr>
          <w:rFonts w:ascii="楷体" w:hAnsi="楷体" w:eastAsia="楷体" w:cs="楷体"/>
          <w:color w:val="000000" w:themeColor="text1"/>
          <w:highlight w:val="none"/>
        </w:rPr>
      </w:pPr>
      <w:r>
        <w:rPr>
          <w:rFonts w:hint="eastAsia" w:ascii="楷体" w:hAnsi="楷体" w:eastAsia="楷体" w:cs="楷体"/>
          <w:color w:val="000000" w:themeColor="text1"/>
          <w:highlight w:val="none"/>
        </w:rPr>
        <w:br w:type="page"/>
      </w:r>
      <w:bookmarkEnd w:id="4"/>
      <w:bookmarkEnd w:id="5"/>
      <w:bookmarkEnd w:id="6"/>
      <w:bookmarkEnd w:id="7"/>
      <w:bookmarkEnd w:id="8"/>
    </w:p>
    <w:bookmarkEnd w:id="3"/>
    <w:bookmarkEnd w:id="9"/>
    <w:bookmarkEnd w:id="10"/>
    <w:p>
      <w:pPr>
        <w:pStyle w:val="2"/>
        <w:keepNext/>
        <w:keepLines/>
        <w:pageBreakBefore w:val="0"/>
        <w:widowControl w:val="0"/>
        <w:kinsoku/>
        <w:wordWrap/>
        <w:overflowPunct/>
        <w:topLinePunct w:val="0"/>
        <w:autoSpaceDE/>
        <w:autoSpaceDN/>
        <w:bidi w:val="0"/>
        <w:adjustRightInd/>
        <w:snapToGrid/>
        <w:spacing w:before="0" w:beforeLines="50" w:after="0" w:afterLines="50" w:line="630" w:lineRule="exact"/>
        <w:textAlignment w:val="auto"/>
        <w:rPr>
          <w:rFonts w:ascii="方正黑体简体" w:hAnsi="方正黑体简体" w:eastAsia="方正黑体简体" w:cs="方正黑体简体"/>
        </w:rPr>
      </w:pPr>
      <w:bookmarkStart w:id="108" w:name="_Toc4481"/>
      <w:bookmarkStart w:id="109" w:name="_Toc30530"/>
      <w:bookmarkStart w:id="110" w:name="_Toc12592"/>
      <w:bookmarkStart w:id="111" w:name="_Toc10184"/>
      <w:r>
        <w:rPr>
          <w:rFonts w:hint="eastAsia" w:ascii="方正黑体简体" w:hAnsi="方正黑体简体" w:eastAsia="方正黑体简体" w:cs="方正黑体简体"/>
        </w:rPr>
        <w:t>附  件</w:t>
      </w:r>
      <w:bookmarkEnd w:id="108"/>
      <w:bookmarkEnd w:id="109"/>
      <w:bookmarkEnd w:id="110"/>
    </w:p>
    <w:bookmarkEnd w:id="111"/>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lang w:eastAsia="zh-CN"/>
        </w:rPr>
        <w:t>《资产评估委托书》</w:t>
      </w:r>
      <w:r>
        <w:rPr>
          <w:rFonts w:hint="eastAsia" w:ascii="楷体" w:hAnsi="楷体" w:eastAsia="楷体"/>
          <w:sz w:val="28"/>
          <w:szCs w:val="28"/>
        </w:rPr>
        <w:t>复印件</w:t>
      </w:r>
    </w:p>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rPr>
        <w:t>估价对象位置图</w:t>
      </w:r>
    </w:p>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rPr>
        <w:t>估价对象实景照片</w:t>
      </w:r>
    </w:p>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rPr>
        <w:t>《杭州市不动产登记信息查询记录》复印件</w:t>
      </w:r>
    </w:p>
    <w:p>
      <w:pPr>
        <w:keepNext w:val="0"/>
        <w:keepLines w:val="0"/>
        <w:pageBreakBefore w:val="0"/>
        <w:widowControl w:val="0"/>
        <w:numPr>
          <w:ilvl w:val="0"/>
          <w:numId w:val="10"/>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lang w:val="en-US" w:eastAsia="zh-CN"/>
        </w:rPr>
        <w:t>室内可移动家具家电清单</w:t>
      </w:r>
    </w:p>
    <w:p>
      <w:pPr>
        <w:keepNext w:val="0"/>
        <w:keepLines w:val="0"/>
        <w:pageBreakBefore w:val="0"/>
        <w:widowControl w:val="0"/>
        <w:numPr>
          <w:ilvl w:val="0"/>
          <w:numId w:val="10"/>
        </w:numPr>
        <w:kinsoku/>
        <w:wordWrap/>
        <w:overflowPunct/>
        <w:topLinePunct w:val="0"/>
        <w:autoSpaceDE/>
        <w:autoSpaceDN/>
        <w:bidi w:val="0"/>
        <w:adjustRightInd/>
        <w:snapToGrid/>
        <w:spacing w:line="630" w:lineRule="exact"/>
        <w:ind w:left="0" w:leftChars="0" w:firstLine="420" w:firstLineChars="0"/>
        <w:textAlignment w:val="auto"/>
        <w:rPr>
          <w:rFonts w:hint="eastAsia" w:ascii="楷体" w:hAnsi="楷体" w:eastAsia="楷体"/>
          <w:sz w:val="28"/>
          <w:szCs w:val="28"/>
        </w:rPr>
      </w:pPr>
      <w:r>
        <w:rPr>
          <w:rFonts w:hint="eastAsia" w:ascii="楷体" w:hAnsi="楷体" w:eastAsia="楷体"/>
          <w:sz w:val="28"/>
          <w:szCs w:val="28"/>
        </w:rPr>
        <w:t>估价机构营业执照</w:t>
      </w:r>
      <w:r>
        <w:rPr>
          <w:rFonts w:hint="eastAsia" w:ascii="楷体" w:hAnsi="楷体" w:eastAsia="楷体"/>
          <w:sz w:val="28"/>
          <w:szCs w:val="28"/>
          <w:lang w:val="en-US" w:eastAsia="zh-CN"/>
        </w:rPr>
        <w:t>影</w:t>
      </w:r>
      <w:r>
        <w:rPr>
          <w:rFonts w:hint="eastAsia" w:ascii="楷体" w:hAnsi="楷体" w:eastAsia="楷体"/>
          <w:sz w:val="28"/>
          <w:szCs w:val="28"/>
        </w:rPr>
        <w:t>印件</w:t>
      </w:r>
    </w:p>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rPr>
        <w:t>估价机构备案证书</w:t>
      </w:r>
      <w:r>
        <w:rPr>
          <w:rFonts w:hint="eastAsia" w:ascii="楷体" w:hAnsi="楷体" w:eastAsia="楷体"/>
          <w:sz w:val="28"/>
          <w:szCs w:val="28"/>
          <w:lang w:val="en-US" w:eastAsia="zh-CN"/>
        </w:rPr>
        <w:t>影</w:t>
      </w:r>
      <w:r>
        <w:rPr>
          <w:rFonts w:hint="eastAsia" w:ascii="楷体" w:hAnsi="楷体" w:eastAsia="楷体"/>
          <w:sz w:val="28"/>
          <w:szCs w:val="28"/>
        </w:rPr>
        <w:t>印件</w:t>
      </w:r>
    </w:p>
    <w:p>
      <w:pPr>
        <w:numPr>
          <w:ilvl w:val="0"/>
          <w:numId w:val="10"/>
        </w:numPr>
        <w:spacing w:line="630" w:lineRule="exact"/>
        <w:ind w:left="0" w:leftChars="0" w:firstLine="420" w:firstLineChars="0"/>
        <w:rPr>
          <w:rFonts w:hint="eastAsia" w:ascii="楷体" w:hAnsi="楷体" w:eastAsia="楷体"/>
          <w:sz w:val="28"/>
          <w:szCs w:val="28"/>
        </w:rPr>
      </w:pPr>
      <w:r>
        <w:rPr>
          <w:rFonts w:hint="eastAsia" w:ascii="楷体" w:hAnsi="楷体" w:eastAsia="楷体"/>
          <w:sz w:val="28"/>
          <w:szCs w:val="28"/>
        </w:rPr>
        <w:t>房地产估价师注册证书</w:t>
      </w:r>
      <w:r>
        <w:rPr>
          <w:rFonts w:hint="eastAsia" w:ascii="楷体" w:hAnsi="楷体" w:eastAsia="楷体"/>
          <w:sz w:val="28"/>
          <w:szCs w:val="28"/>
          <w:lang w:val="en-US" w:eastAsia="zh-CN"/>
        </w:rPr>
        <w:t>影</w:t>
      </w:r>
      <w:r>
        <w:rPr>
          <w:rFonts w:hint="eastAsia" w:ascii="楷体" w:hAnsi="楷体" w:eastAsia="楷体"/>
          <w:sz w:val="28"/>
          <w:szCs w:val="28"/>
        </w:rPr>
        <w:t>印件</w:t>
      </w:r>
    </w:p>
    <w:p>
      <w:pPr>
        <w:spacing w:line="630" w:lineRule="exact"/>
        <w:ind w:left="420"/>
      </w:pPr>
    </w:p>
    <w:p>
      <w:pPr>
        <w:pStyle w:val="8"/>
        <w:tabs>
          <w:tab w:val="right" w:leader="dot" w:pos="8504"/>
        </w:tabs>
        <w:spacing w:line="630" w:lineRule="exact"/>
        <w:ind w:left="420" w:leftChars="0"/>
        <w:outlineLvl w:val="0"/>
        <w:rPr>
          <w:rFonts w:ascii="楷体" w:hAnsi="楷体" w:cs="楷体"/>
          <w:color w:val="000000" w:themeColor="text1"/>
          <w:spacing w:val="20"/>
          <w:sz w:val="28"/>
          <w:szCs w:val="28"/>
        </w:rPr>
      </w:pPr>
    </w:p>
    <w:sectPr>
      <w:headerReference r:id="rId6" w:type="default"/>
      <w:footerReference r:id="rId7" w:type="default"/>
      <w:pgSz w:w="11906" w:h="16838"/>
      <w:pgMar w:top="1276" w:right="1701" w:bottom="1276" w:left="1797" w:header="907" w:footer="1134"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黑体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 xml:space="preserve">- </w:t>
    </w:r>
    <w:r>
      <w:fldChar w:fldCharType="begin"/>
    </w:r>
    <w:r>
      <w:instrText xml:space="preserve"> PAGE </w:instrText>
    </w:r>
    <w:r>
      <w:fldChar w:fldCharType="separate"/>
    </w:r>
    <w: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t xml:space="preserve">- </w:t>
    </w:r>
    <w:r>
      <w:fldChar w:fldCharType="begin"/>
    </w:r>
    <w:r>
      <w:instrText xml:space="preserve"> PAGE </w:instrText>
    </w:r>
    <w:r>
      <w:fldChar w:fldCharType="separate"/>
    </w:r>
    <w:r>
      <w:t>6</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distribute"/>
      <w:rPr>
        <w:rFonts w:ascii="楷体" w:hAnsi="楷体" w:eastAsia="楷体" w:cs="楷体"/>
        <w:szCs w:val="18"/>
      </w:rPr>
    </w:pPr>
    <w:r>
      <w:rPr>
        <w:rFonts w:hint="eastAsia" w:ascii="楷体" w:hAnsi="楷体" w:eastAsia="楷体" w:cs="楷体"/>
        <w:szCs w:val="18"/>
      </w:rPr>
      <w:t>杭州天平房地产评估有限公司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distribute"/>
      <w:rPr>
        <w:rFonts w:ascii="楷体" w:hAnsi="楷体" w:eastAsia="楷体" w:cs="楷体"/>
        <w:szCs w:val="18"/>
      </w:rPr>
    </w:pPr>
    <w:r>
      <w:rPr>
        <w:rFonts w:hint="eastAsia" w:ascii="楷体" w:hAnsi="楷体" w:eastAsia="楷体" w:cs="楷体"/>
        <w:szCs w:val="18"/>
      </w:rPr>
      <w:t>杭州天平房地产评估有限公司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0C6605"/>
    <w:multiLevelType w:val="singleLevel"/>
    <w:tmpl w:val="AE0C6605"/>
    <w:lvl w:ilvl="0" w:tentative="0">
      <w:start w:val="4"/>
      <w:numFmt w:val="chineseCounting"/>
      <w:suff w:val="nothing"/>
      <w:lvlText w:val="（%1）"/>
      <w:lvlJc w:val="left"/>
      <w:rPr>
        <w:rFonts w:hint="eastAsia"/>
      </w:rPr>
    </w:lvl>
  </w:abstractNum>
  <w:abstractNum w:abstractNumId="1">
    <w:nsid w:val="B820B62C"/>
    <w:multiLevelType w:val="singleLevel"/>
    <w:tmpl w:val="B820B62C"/>
    <w:lvl w:ilvl="0" w:tentative="0">
      <w:start w:val="1"/>
      <w:numFmt w:val="chineseCounting"/>
      <w:suff w:val="nothing"/>
      <w:lvlText w:val="%1、"/>
      <w:lvlJc w:val="left"/>
      <w:pPr>
        <w:ind w:left="0" w:firstLine="420"/>
      </w:pPr>
      <w:rPr>
        <w:rFonts w:hint="eastAsia"/>
      </w:rPr>
    </w:lvl>
  </w:abstractNum>
  <w:abstractNum w:abstractNumId="2">
    <w:nsid w:val="D2A4A9E6"/>
    <w:multiLevelType w:val="singleLevel"/>
    <w:tmpl w:val="D2A4A9E6"/>
    <w:lvl w:ilvl="0" w:tentative="0">
      <w:start w:val="1"/>
      <w:numFmt w:val="chineseCounting"/>
      <w:suff w:val="nothing"/>
      <w:lvlText w:val="%1、"/>
      <w:lvlJc w:val="left"/>
      <w:pPr>
        <w:ind w:left="0" w:firstLine="420"/>
      </w:pPr>
      <w:rPr>
        <w:rFonts w:hint="eastAsia"/>
      </w:rPr>
    </w:lvl>
  </w:abstractNum>
  <w:abstractNum w:abstractNumId="3">
    <w:nsid w:val="E5C82F5D"/>
    <w:multiLevelType w:val="singleLevel"/>
    <w:tmpl w:val="E5C82F5D"/>
    <w:lvl w:ilvl="0" w:tentative="0">
      <w:start w:val="1"/>
      <w:numFmt w:val="chineseCounting"/>
      <w:suff w:val="nothing"/>
      <w:lvlText w:val="（%1）"/>
      <w:lvlJc w:val="left"/>
      <w:pPr>
        <w:ind w:left="0" w:firstLine="420"/>
      </w:pPr>
      <w:rPr>
        <w:rFonts w:hint="eastAsia"/>
        <w:sz w:val="28"/>
        <w:szCs w:val="28"/>
      </w:rPr>
    </w:lvl>
  </w:abstractNum>
  <w:abstractNum w:abstractNumId="4">
    <w:nsid w:val="0000000E"/>
    <w:multiLevelType w:val="multilevel"/>
    <w:tmpl w:val="0000000E"/>
    <w:lvl w:ilvl="0" w:tentative="0">
      <w:start w:val="1"/>
      <w:numFmt w:val="japaneseCounting"/>
      <w:lvlText w:val="%1、"/>
      <w:lvlJc w:val="left"/>
      <w:pPr>
        <w:ind w:left="1146"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045B923"/>
    <w:multiLevelType w:val="singleLevel"/>
    <w:tmpl w:val="3045B923"/>
    <w:lvl w:ilvl="0" w:tentative="0">
      <w:start w:val="1"/>
      <w:numFmt w:val="decimal"/>
      <w:suff w:val="nothing"/>
      <w:lvlText w:val="%1．"/>
      <w:lvlJc w:val="left"/>
      <w:pPr>
        <w:ind w:left="0" w:firstLine="400"/>
      </w:pPr>
      <w:rPr>
        <w:rFonts w:hint="default"/>
      </w:rPr>
    </w:lvl>
  </w:abstractNum>
  <w:abstractNum w:abstractNumId="6">
    <w:nsid w:val="70BD8361"/>
    <w:multiLevelType w:val="singleLevel"/>
    <w:tmpl w:val="70BD8361"/>
    <w:lvl w:ilvl="0" w:tentative="0">
      <w:start w:val="1"/>
      <w:numFmt w:val="chineseCounting"/>
      <w:suff w:val="nothing"/>
      <w:lvlText w:val="（%1）"/>
      <w:lvlJc w:val="left"/>
      <w:pPr>
        <w:ind w:left="0" w:firstLine="420"/>
      </w:pPr>
      <w:rPr>
        <w:rFonts w:hint="eastAsia"/>
      </w:rPr>
    </w:lvl>
  </w:abstractNum>
  <w:abstractNum w:abstractNumId="7">
    <w:nsid w:val="72221524"/>
    <w:multiLevelType w:val="singleLevel"/>
    <w:tmpl w:val="72221524"/>
    <w:lvl w:ilvl="0" w:tentative="0">
      <w:start w:val="1"/>
      <w:numFmt w:val="chineseCounting"/>
      <w:suff w:val="nothing"/>
      <w:lvlText w:val="（%1）"/>
      <w:lvlJc w:val="left"/>
      <w:pPr>
        <w:ind w:left="0" w:firstLine="420"/>
      </w:pPr>
      <w:rPr>
        <w:rFonts w:hint="eastAsia"/>
      </w:rPr>
    </w:lvl>
  </w:abstractNum>
  <w:abstractNum w:abstractNumId="8">
    <w:nsid w:val="79595DDC"/>
    <w:multiLevelType w:val="singleLevel"/>
    <w:tmpl w:val="79595DDC"/>
    <w:lvl w:ilvl="0" w:tentative="0">
      <w:start w:val="1"/>
      <w:numFmt w:val="chineseCounting"/>
      <w:suff w:val="nothing"/>
      <w:lvlText w:val="（%1）"/>
      <w:lvlJc w:val="left"/>
      <w:pPr>
        <w:ind w:left="0" w:firstLine="420"/>
      </w:pPr>
      <w:rPr>
        <w:rFonts w:hint="eastAsia"/>
      </w:rPr>
    </w:lvl>
  </w:abstractNum>
  <w:abstractNum w:abstractNumId="9">
    <w:nsid w:val="7DC26D32"/>
    <w:multiLevelType w:val="singleLevel"/>
    <w:tmpl w:val="7DC26D32"/>
    <w:lvl w:ilvl="0" w:tentative="0">
      <w:start w:val="1"/>
      <w:numFmt w:val="chineseCounting"/>
      <w:suff w:val="nothing"/>
      <w:lvlText w:val="%1、"/>
      <w:lvlJc w:val="left"/>
      <w:pPr>
        <w:ind w:left="0" w:firstLine="420"/>
      </w:pPr>
      <w:rPr>
        <w:rFonts w:hint="eastAsia"/>
      </w:rPr>
    </w:lvl>
  </w:abstractNum>
  <w:num w:numId="1">
    <w:abstractNumId w:val="2"/>
  </w:num>
  <w:num w:numId="2">
    <w:abstractNumId w:val="9"/>
  </w:num>
  <w:num w:numId="3">
    <w:abstractNumId w:val="8"/>
  </w:num>
  <w:num w:numId="4">
    <w:abstractNumId w:val="6"/>
  </w:num>
  <w:num w:numId="5">
    <w:abstractNumId w:val="4"/>
  </w:num>
  <w:num w:numId="6">
    <w:abstractNumId w:val="0"/>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M0YTUzNTlkNTNjY2JkZjAyMjE3N2FhNWY1ZmQ0YWIifQ=="/>
  </w:docVars>
  <w:rsids>
    <w:rsidRoot w:val="00172A27"/>
    <w:rsid w:val="00032689"/>
    <w:rsid w:val="00032891"/>
    <w:rsid w:val="00036622"/>
    <w:rsid w:val="0004724B"/>
    <w:rsid w:val="00074044"/>
    <w:rsid w:val="00077899"/>
    <w:rsid w:val="000974FF"/>
    <w:rsid w:val="000A431A"/>
    <w:rsid w:val="000A547A"/>
    <w:rsid w:val="000A7D6A"/>
    <w:rsid w:val="000B7587"/>
    <w:rsid w:val="000C5000"/>
    <w:rsid w:val="000C61EF"/>
    <w:rsid w:val="000D63A2"/>
    <w:rsid w:val="000F60FD"/>
    <w:rsid w:val="000F6C03"/>
    <w:rsid w:val="0011776A"/>
    <w:rsid w:val="00141373"/>
    <w:rsid w:val="00146B4B"/>
    <w:rsid w:val="00155D1A"/>
    <w:rsid w:val="00167200"/>
    <w:rsid w:val="00172A27"/>
    <w:rsid w:val="00191F4C"/>
    <w:rsid w:val="001957B0"/>
    <w:rsid w:val="00196D29"/>
    <w:rsid w:val="001A0170"/>
    <w:rsid w:val="001A0228"/>
    <w:rsid w:val="001A7A45"/>
    <w:rsid w:val="001B02D6"/>
    <w:rsid w:val="001B4EF3"/>
    <w:rsid w:val="001C1D31"/>
    <w:rsid w:val="001C40D0"/>
    <w:rsid w:val="001E1ED6"/>
    <w:rsid w:val="001E406C"/>
    <w:rsid w:val="001F1CFF"/>
    <w:rsid w:val="00215AA4"/>
    <w:rsid w:val="00225195"/>
    <w:rsid w:val="00225A4B"/>
    <w:rsid w:val="00237B07"/>
    <w:rsid w:val="00243A20"/>
    <w:rsid w:val="00245C0D"/>
    <w:rsid w:val="00252461"/>
    <w:rsid w:val="002531DB"/>
    <w:rsid w:val="002558ED"/>
    <w:rsid w:val="0026319A"/>
    <w:rsid w:val="002772F0"/>
    <w:rsid w:val="00277C7F"/>
    <w:rsid w:val="002806D6"/>
    <w:rsid w:val="00283622"/>
    <w:rsid w:val="00286FA1"/>
    <w:rsid w:val="00287AAD"/>
    <w:rsid w:val="002B3074"/>
    <w:rsid w:val="002C1E9B"/>
    <w:rsid w:val="002C3290"/>
    <w:rsid w:val="002E025A"/>
    <w:rsid w:val="002E048A"/>
    <w:rsid w:val="002E2DFD"/>
    <w:rsid w:val="002F6BE1"/>
    <w:rsid w:val="00301E33"/>
    <w:rsid w:val="0030794D"/>
    <w:rsid w:val="00315FDC"/>
    <w:rsid w:val="00326F16"/>
    <w:rsid w:val="00332BB1"/>
    <w:rsid w:val="00332EBD"/>
    <w:rsid w:val="00341783"/>
    <w:rsid w:val="00347190"/>
    <w:rsid w:val="00351C99"/>
    <w:rsid w:val="00363606"/>
    <w:rsid w:val="0036695A"/>
    <w:rsid w:val="003837E5"/>
    <w:rsid w:val="00391F5C"/>
    <w:rsid w:val="00395049"/>
    <w:rsid w:val="003962A4"/>
    <w:rsid w:val="003A28D5"/>
    <w:rsid w:val="003A6E79"/>
    <w:rsid w:val="003C0793"/>
    <w:rsid w:val="003D2CEC"/>
    <w:rsid w:val="003D732D"/>
    <w:rsid w:val="003E06BF"/>
    <w:rsid w:val="003E3476"/>
    <w:rsid w:val="003F1115"/>
    <w:rsid w:val="00425640"/>
    <w:rsid w:val="004258AC"/>
    <w:rsid w:val="00430423"/>
    <w:rsid w:val="004407A2"/>
    <w:rsid w:val="00440FF0"/>
    <w:rsid w:val="0044382C"/>
    <w:rsid w:val="004456E3"/>
    <w:rsid w:val="00452147"/>
    <w:rsid w:val="004607F5"/>
    <w:rsid w:val="00461F57"/>
    <w:rsid w:val="004654DD"/>
    <w:rsid w:val="00472909"/>
    <w:rsid w:val="00485D0E"/>
    <w:rsid w:val="00486617"/>
    <w:rsid w:val="00487756"/>
    <w:rsid w:val="0049217D"/>
    <w:rsid w:val="00495178"/>
    <w:rsid w:val="004A46AC"/>
    <w:rsid w:val="004A65A5"/>
    <w:rsid w:val="004B5332"/>
    <w:rsid w:val="004C7D4E"/>
    <w:rsid w:val="004D038C"/>
    <w:rsid w:val="004D1FAD"/>
    <w:rsid w:val="004D42BE"/>
    <w:rsid w:val="00503539"/>
    <w:rsid w:val="00516974"/>
    <w:rsid w:val="00517AC0"/>
    <w:rsid w:val="00517AD2"/>
    <w:rsid w:val="00542750"/>
    <w:rsid w:val="005427F0"/>
    <w:rsid w:val="0054719D"/>
    <w:rsid w:val="00561476"/>
    <w:rsid w:val="00561990"/>
    <w:rsid w:val="00562089"/>
    <w:rsid w:val="00563CA1"/>
    <w:rsid w:val="00570521"/>
    <w:rsid w:val="00574B1A"/>
    <w:rsid w:val="00580A59"/>
    <w:rsid w:val="0058166A"/>
    <w:rsid w:val="005A4227"/>
    <w:rsid w:val="005A722E"/>
    <w:rsid w:val="005B5BC4"/>
    <w:rsid w:val="005D6CAC"/>
    <w:rsid w:val="005E3CB3"/>
    <w:rsid w:val="005E47DD"/>
    <w:rsid w:val="005F18E1"/>
    <w:rsid w:val="005F1B9D"/>
    <w:rsid w:val="005F34FA"/>
    <w:rsid w:val="005F6F2B"/>
    <w:rsid w:val="00603A97"/>
    <w:rsid w:val="0062278C"/>
    <w:rsid w:val="00640532"/>
    <w:rsid w:val="00641ABC"/>
    <w:rsid w:val="006431A1"/>
    <w:rsid w:val="00644F9B"/>
    <w:rsid w:val="00652B56"/>
    <w:rsid w:val="006548A9"/>
    <w:rsid w:val="006665FE"/>
    <w:rsid w:val="00673CA5"/>
    <w:rsid w:val="00677F52"/>
    <w:rsid w:val="006962C3"/>
    <w:rsid w:val="00696ADF"/>
    <w:rsid w:val="006A657E"/>
    <w:rsid w:val="006B003D"/>
    <w:rsid w:val="006B0B2C"/>
    <w:rsid w:val="006B4532"/>
    <w:rsid w:val="006B6287"/>
    <w:rsid w:val="00700476"/>
    <w:rsid w:val="00711681"/>
    <w:rsid w:val="00712350"/>
    <w:rsid w:val="007258D9"/>
    <w:rsid w:val="00731AEF"/>
    <w:rsid w:val="00734393"/>
    <w:rsid w:val="0073661F"/>
    <w:rsid w:val="007452D7"/>
    <w:rsid w:val="00746E68"/>
    <w:rsid w:val="007511C0"/>
    <w:rsid w:val="007547F5"/>
    <w:rsid w:val="00774C92"/>
    <w:rsid w:val="007779AB"/>
    <w:rsid w:val="007839E9"/>
    <w:rsid w:val="00785333"/>
    <w:rsid w:val="00795204"/>
    <w:rsid w:val="007A67B3"/>
    <w:rsid w:val="007B3577"/>
    <w:rsid w:val="007C0197"/>
    <w:rsid w:val="007D69DD"/>
    <w:rsid w:val="007E2964"/>
    <w:rsid w:val="007E78C2"/>
    <w:rsid w:val="008059E4"/>
    <w:rsid w:val="008258E6"/>
    <w:rsid w:val="00863A4B"/>
    <w:rsid w:val="008705E3"/>
    <w:rsid w:val="008726E9"/>
    <w:rsid w:val="0088470D"/>
    <w:rsid w:val="00890EA3"/>
    <w:rsid w:val="008937B7"/>
    <w:rsid w:val="008F7747"/>
    <w:rsid w:val="0091458D"/>
    <w:rsid w:val="0091770F"/>
    <w:rsid w:val="00920402"/>
    <w:rsid w:val="00922BCD"/>
    <w:rsid w:val="00925096"/>
    <w:rsid w:val="00937023"/>
    <w:rsid w:val="009405E2"/>
    <w:rsid w:val="009448C7"/>
    <w:rsid w:val="00951C61"/>
    <w:rsid w:val="00952CA0"/>
    <w:rsid w:val="00976276"/>
    <w:rsid w:val="0098093C"/>
    <w:rsid w:val="009A1F1C"/>
    <w:rsid w:val="009B2E32"/>
    <w:rsid w:val="009C33F5"/>
    <w:rsid w:val="009C41DD"/>
    <w:rsid w:val="009C7C97"/>
    <w:rsid w:val="009D5D28"/>
    <w:rsid w:val="009E6285"/>
    <w:rsid w:val="009F7FCC"/>
    <w:rsid w:val="00A27E69"/>
    <w:rsid w:val="00A47FC2"/>
    <w:rsid w:val="00A53392"/>
    <w:rsid w:val="00A54A49"/>
    <w:rsid w:val="00A62353"/>
    <w:rsid w:val="00A67BB9"/>
    <w:rsid w:val="00A7425F"/>
    <w:rsid w:val="00A85CBD"/>
    <w:rsid w:val="00A93F04"/>
    <w:rsid w:val="00A9525A"/>
    <w:rsid w:val="00A977D0"/>
    <w:rsid w:val="00AA2F54"/>
    <w:rsid w:val="00AA78B6"/>
    <w:rsid w:val="00AB3B02"/>
    <w:rsid w:val="00AC373E"/>
    <w:rsid w:val="00AD1391"/>
    <w:rsid w:val="00AD71A4"/>
    <w:rsid w:val="00AD78E6"/>
    <w:rsid w:val="00AF50D3"/>
    <w:rsid w:val="00B03BE7"/>
    <w:rsid w:val="00B10D7C"/>
    <w:rsid w:val="00B12374"/>
    <w:rsid w:val="00B21BAC"/>
    <w:rsid w:val="00B30ACB"/>
    <w:rsid w:val="00B31C61"/>
    <w:rsid w:val="00B3497B"/>
    <w:rsid w:val="00B4044E"/>
    <w:rsid w:val="00B5005C"/>
    <w:rsid w:val="00B6174D"/>
    <w:rsid w:val="00B67438"/>
    <w:rsid w:val="00B83AD4"/>
    <w:rsid w:val="00B845B1"/>
    <w:rsid w:val="00B92B45"/>
    <w:rsid w:val="00B935E9"/>
    <w:rsid w:val="00B9717F"/>
    <w:rsid w:val="00BB206B"/>
    <w:rsid w:val="00BB213C"/>
    <w:rsid w:val="00BB2D38"/>
    <w:rsid w:val="00BB3F55"/>
    <w:rsid w:val="00BC09B8"/>
    <w:rsid w:val="00BD25D4"/>
    <w:rsid w:val="00BD3907"/>
    <w:rsid w:val="00BE0848"/>
    <w:rsid w:val="00BE55A0"/>
    <w:rsid w:val="00BE76A7"/>
    <w:rsid w:val="00BF01B9"/>
    <w:rsid w:val="00C01B42"/>
    <w:rsid w:val="00C2061A"/>
    <w:rsid w:val="00C26808"/>
    <w:rsid w:val="00C26BD0"/>
    <w:rsid w:val="00C30720"/>
    <w:rsid w:val="00C3154A"/>
    <w:rsid w:val="00C37BDE"/>
    <w:rsid w:val="00C56528"/>
    <w:rsid w:val="00C6662F"/>
    <w:rsid w:val="00C671D9"/>
    <w:rsid w:val="00C70638"/>
    <w:rsid w:val="00C83CD2"/>
    <w:rsid w:val="00C91E80"/>
    <w:rsid w:val="00C9504E"/>
    <w:rsid w:val="00C955B7"/>
    <w:rsid w:val="00CA043A"/>
    <w:rsid w:val="00CA5488"/>
    <w:rsid w:val="00CA5D49"/>
    <w:rsid w:val="00CA7A35"/>
    <w:rsid w:val="00CB1E82"/>
    <w:rsid w:val="00CD3FA8"/>
    <w:rsid w:val="00CE0E1A"/>
    <w:rsid w:val="00CE133F"/>
    <w:rsid w:val="00CE546A"/>
    <w:rsid w:val="00CF49B4"/>
    <w:rsid w:val="00D02A5E"/>
    <w:rsid w:val="00D121DF"/>
    <w:rsid w:val="00D1455A"/>
    <w:rsid w:val="00D154FC"/>
    <w:rsid w:val="00D17548"/>
    <w:rsid w:val="00D216B9"/>
    <w:rsid w:val="00D2178D"/>
    <w:rsid w:val="00D3672B"/>
    <w:rsid w:val="00D40F31"/>
    <w:rsid w:val="00D44310"/>
    <w:rsid w:val="00D5061E"/>
    <w:rsid w:val="00D92899"/>
    <w:rsid w:val="00D953BD"/>
    <w:rsid w:val="00DA1431"/>
    <w:rsid w:val="00DB24CD"/>
    <w:rsid w:val="00DB28EF"/>
    <w:rsid w:val="00DD449D"/>
    <w:rsid w:val="00DF1EFD"/>
    <w:rsid w:val="00DF7AB7"/>
    <w:rsid w:val="00E154E9"/>
    <w:rsid w:val="00E26626"/>
    <w:rsid w:val="00E352BE"/>
    <w:rsid w:val="00E40679"/>
    <w:rsid w:val="00E51144"/>
    <w:rsid w:val="00E55C78"/>
    <w:rsid w:val="00E57152"/>
    <w:rsid w:val="00E627C0"/>
    <w:rsid w:val="00E71CD8"/>
    <w:rsid w:val="00E82CD3"/>
    <w:rsid w:val="00E83DF0"/>
    <w:rsid w:val="00EB11D7"/>
    <w:rsid w:val="00EB16B7"/>
    <w:rsid w:val="00EB5A22"/>
    <w:rsid w:val="00EC5404"/>
    <w:rsid w:val="00EC75D2"/>
    <w:rsid w:val="00ED46CA"/>
    <w:rsid w:val="00EE21B1"/>
    <w:rsid w:val="00EE52DB"/>
    <w:rsid w:val="00EE5C52"/>
    <w:rsid w:val="00EE6F57"/>
    <w:rsid w:val="00EF0A23"/>
    <w:rsid w:val="00EF0D3B"/>
    <w:rsid w:val="00EF758C"/>
    <w:rsid w:val="00F03D2A"/>
    <w:rsid w:val="00F349D6"/>
    <w:rsid w:val="00F44564"/>
    <w:rsid w:val="00F553CE"/>
    <w:rsid w:val="00F55612"/>
    <w:rsid w:val="00F611DD"/>
    <w:rsid w:val="00F64116"/>
    <w:rsid w:val="00F67A24"/>
    <w:rsid w:val="00F7063F"/>
    <w:rsid w:val="00F719D7"/>
    <w:rsid w:val="00F81598"/>
    <w:rsid w:val="00F84593"/>
    <w:rsid w:val="00F9223A"/>
    <w:rsid w:val="00FA04B3"/>
    <w:rsid w:val="00FB2829"/>
    <w:rsid w:val="00FB7457"/>
    <w:rsid w:val="00FC3235"/>
    <w:rsid w:val="00FC73DB"/>
    <w:rsid w:val="00FD3363"/>
    <w:rsid w:val="00FE0C71"/>
    <w:rsid w:val="00FE4064"/>
    <w:rsid w:val="00FE4417"/>
    <w:rsid w:val="00FF3BD5"/>
    <w:rsid w:val="01131A32"/>
    <w:rsid w:val="011A0835"/>
    <w:rsid w:val="011B1E20"/>
    <w:rsid w:val="01323B09"/>
    <w:rsid w:val="013E1580"/>
    <w:rsid w:val="015138CE"/>
    <w:rsid w:val="01586B7D"/>
    <w:rsid w:val="015B2E64"/>
    <w:rsid w:val="016A2761"/>
    <w:rsid w:val="016E6950"/>
    <w:rsid w:val="0171336B"/>
    <w:rsid w:val="01796792"/>
    <w:rsid w:val="017D284D"/>
    <w:rsid w:val="01827C5D"/>
    <w:rsid w:val="01986206"/>
    <w:rsid w:val="01A875DD"/>
    <w:rsid w:val="01CC5E26"/>
    <w:rsid w:val="01CD6344"/>
    <w:rsid w:val="01DA3F15"/>
    <w:rsid w:val="01E6767F"/>
    <w:rsid w:val="01F03469"/>
    <w:rsid w:val="01FB273B"/>
    <w:rsid w:val="02000787"/>
    <w:rsid w:val="02092BC2"/>
    <w:rsid w:val="020967F0"/>
    <w:rsid w:val="021F2D2B"/>
    <w:rsid w:val="023E0EA5"/>
    <w:rsid w:val="023E6032"/>
    <w:rsid w:val="024C1960"/>
    <w:rsid w:val="0261791C"/>
    <w:rsid w:val="02741FDC"/>
    <w:rsid w:val="027470FC"/>
    <w:rsid w:val="02973006"/>
    <w:rsid w:val="029D3935"/>
    <w:rsid w:val="02AC64E3"/>
    <w:rsid w:val="02B775C6"/>
    <w:rsid w:val="02BD4086"/>
    <w:rsid w:val="02C71646"/>
    <w:rsid w:val="02CB2AAF"/>
    <w:rsid w:val="02D3267B"/>
    <w:rsid w:val="02DA0756"/>
    <w:rsid w:val="02E34EA5"/>
    <w:rsid w:val="02EA30E4"/>
    <w:rsid w:val="02EB6CE4"/>
    <w:rsid w:val="02FE6D1A"/>
    <w:rsid w:val="030574F1"/>
    <w:rsid w:val="030821FD"/>
    <w:rsid w:val="03185CC8"/>
    <w:rsid w:val="032453D3"/>
    <w:rsid w:val="032A3240"/>
    <w:rsid w:val="03301D99"/>
    <w:rsid w:val="033C30A2"/>
    <w:rsid w:val="034616F4"/>
    <w:rsid w:val="03516745"/>
    <w:rsid w:val="0357726E"/>
    <w:rsid w:val="036B2B35"/>
    <w:rsid w:val="03707FB3"/>
    <w:rsid w:val="03743EE2"/>
    <w:rsid w:val="037C4B2A"/>
    <w:rsid w:val="037D4AC6"/>
    <w:rsid w:val="03AB3A21"/>
    <w:rsid w:val="03BD7D9D"/>
    <w:rsid w:val="03C3740D"/>
    <w:rsid w:val="03CA5D0F"/>
    <w:rsid w:val="03D751FE"/>
    <w:rsid w:val="03E40D89"/>
    <w:rsid w:val="03E7366A"/>
    <w:rsid w:val="03FC65D9"/>
    <w:rsid w:val="03FD065F"/>
    <w:rsid w:val="0402181A"/>
    <w:rsid w:val="040915A2"/>
    <w:rsid w:val="04137FBF"/>
    <w:rsid w:val="0428312E"/>
    <w:rsid w:val="0440610F"/>
    <w:rsid w:val="045628DA"/>
    <w:rsid w:val="046244DB"/>
    <w:rsid w:val="047D240A"/>
    <w:rsid w:val="04987F71"/>
    <w:rsid w:val="049F78F0"/>
    <w:rsid w:val="04AF0445"/>
    <w:rsid w:val="04BA6D95"/>
    <w:rsid w:val="04E706B7"/>
    <w:rsid w:val="04F04DFC"/>
    <w:rsid w:val="05034C1D"/>
    <w:rsid w:val="05103A0F"/>
    <w:rsid w:val="0519465C"/>
    <w:rsid w:val="05287D8F"/>
    <w:rsid w:val="052A17B5"/>
    <w:rsid w:val="052A1FC3"/>
    <w:rsid w:val="052F0286"/>
    <w:rsid w:val="0534588F"/>
    <w:rsid w:val="053825B2"/>
    <w:rsid w:val="054D15B2"/>
    <w:rsid w:val="054F684A"/>
    <w:rsid w:val="05525D18"/>
    <w:rsid w:val="05723C7C"/>
    <w:rsid w:val="05834EC2"/>
    <w:rsid w:val="05856CF0"/>
    <w:rsid w:val="059310C4"/>
    <w:rsid w:val="05BE190C"/>
    <w:rsid w:val="05BE7E99"/>
    <w:rsid w:val="05C24107"/>
    <w:rsid w:val="05C41C64"/>
    <w:rsid w:val="05CD30E0"/>
    <w:rsid w:val="05D07C16"/>
    <w:rsid w:val="05ED208F"/>
    <w:rsid w:val="05F34BA3"/>
    <w:rsid w:val="05F85E55"/>
    <w:rsid w:val="05FD1E26"/>
    <w:rsid w:val="05FF1146"/>
    <w:rsid w:val="06114212"/>
    <w:rsid w:val="06125D57"/>
    <w:rsid w:val="062F26A8"/>
    <w:rsid w:val="06334840"/>
    <w:rsid w:val="06594DA3"/>
    <w:rsid w:val="065A53FC"/>
    <w:rsid w:val="065E2393"/>
    <w:rsid w:val="066626FE"/>
    <w:rsid w:val="0676175A"/>
    <w:rsid w:val="06776577"/>
    <w:rsid w:val="067B40DF"/>
    <w:rsid w:val="06876005"/>
    <w:rsid w:val="06A353E0"/>
    <w:rsid w:val="06AA3AB5"/>
    <w:rsid w:val="06B87D95"/>
    <w:rsid w:val="06BB2606"/>
    <w:rsid w:val="06C06D04"/>
    <w:rsid w:val="06CA5301"/>
    <w:rsid w:val="06DA24AC"/>
    <w:rsid w:val="06F03A87"/>
    <w:rsid w:val="07277241"/>
    <w:rsid w:val="07325D7A"/>
    <w:rsid w:val="073F5CE6"/>
    <w:rsid w:val="074314BE"/>
    <w:rsid w:val="07477221"/>
    <w:rsid w:val="074A13E0"/>
    <w:rsid w:val="075638FD"/>
    <w:rsid w:val="07572194"/>
    <w:rsid w:val="075A6E36"/>
    <w:rsid w:val="0769262D"/>
    <w:rsid w:val="07871351"/>
    <w:rsid w:val="07876DA3"/>
    <w:rsid w:val="0788435E"/>
    <w:rsid w:val="078F795C"/>
    <w:rsid w:val="07A37B12"/>
    <w:rsid w:val="07C76C14"/>
    <w:rsid w:val="07CE4A3B"/>
    <w:rsid w:val="07DC28A3"/>
    <w:rsid w:val="07ED3609"/>
    <w:rsid w:val="07F9615A"/>
    <w:rsid w:val="08024301"/>
    <w:rsid w:val="08202DBC"/>
    <w:rsid w:val="08366821"/>
    <w:rsid w:val="083D65F0"/>
    <w:rsid w:val="0858484E"/>
    <w:rsid w:val="086041FB"/>
    <w:rsid w:val="08673234"/>
    <w:rsid w:val="086E5D05"/>
    <w:rsid w:val="08707CF7"/>
    <w:rsid w:val="087B5F6E"/>
    <w:rsid w:val="088A35DE"/>
    <w:rsid w:val="088F539A"/>
    <w:rsid w:val="089A73E5"/>
    <w:rsid w:val="089D7C92"/>
    <w:rsid w:val="08A8125F"/>
    <w:rsid w:val="08AE41FE"/>
    <w:rsid w:val="08AE6343"/>
    <w:rsid w:val="08C83301"/>
    <w:rsid w:val="08D441B9"/>
    <w:rsid w:val="08D73321"/>
    <w:rsid w:val="08DD78CB"/>
    <w:rsid w:val="08DF3617"/>
    <w:rsid w:val="08EC10BC"/>
    <w:rsid w:val="08F051D6"/>
    <w:rsid w:val="08FE0277"/>
    <w:rsid w:val="09172A0D"/>
    <w:rsid w:val="092159E2"/>
    <w:rsid w:val="092B5722"/>
    <w:rsid w:val="092D66BF"/>
    <w:rsid w:val="09380071"/>
    <w:rsid w:val="0953627B"/>
    <w:rsid w:val="0957037C"/>
    <w:rsid w:val="0967273B"/>
    <w:rsid w:val="097431D5"/>
    <w:rsid w:val="09851417"/>
    <w:rsid w:val="09883595"/>
    <w:rsid w:val="0989518D"/>
    <w:rsid w:val="09955A35"/>
    <w:rsid w:val="09956C8E"/>
    <w:rsid w:val="09A86E49"/>
    <w:rsid w:val="09B20A08"/>
    <w:rsid w:val="09B21137"/>
    <w:rsid w:val="09CD0497"/>
    <w:rsid w:val="09E32519"/>
    <w:rsid w:val="09E45BDF"/>
    <w:rsid w:val="0A195DC3"/>
    <w:rsid w:val="0A211A52"/>
    <w:rsid w:val="0A231FA1"/>
    <w:rsid w:val="0A2C1662"/>
    <w:rsid w:val="0A500431"/>
    <w:rsid w:val="0A550CA1"/>
    <w:rsid w:val="0A6939AD"/>
    <w:rsid w:val="0A7077BF"/>
    <w:rsid w:val="0A76027A"/>
    <w:rsid w:val="0A764B67"/>
    <w:rsid w:val="0A8161CC"/>
    <w:rsid w:val="0A8828B9"/>
    <w:rsid w:val="0A900771"/>
    <w:rsid w:val="0A960758"/>
    <w:rsid w:val="0AA90BF2"/>
    <w:rsid w:val="0AB275CF"/>
    <w:rsid w:val="0ABC73BE"/>
    <w:rsid w:val="0AC16AED"/>
    <w:rsid w:val="0AC54FD2"/>
    <w:rsid w:val="0ACA00B8"/>
    <w:rsid w:val="0ACF709A"/>
    <w:rsid w:val="0AD15725"/>
    <w:rsid w:val="0AE16B37"/>
    <w:rsid w:val="0AF002A3"/>
    <w:rsid w:val="0B1D2F63"/>
    <w:rsid w:val="0B253338"/>
    <w:rsid w:val="0B347AF6"/>
    <w:rsid w:val="0B416A16"/>
    <w:rsid w:val="0B4B19E9"/>
    <w:rsid w:val="0B4E5290"/>
    <w:rsid w:val="0B5F0EB8"/>
    <w:rsid w:val="0B6C7020"/>
    <w:rsid w:val="0B702A15"/>
    <w:rsid w:val="0B771030"/>
    <w:rsid w:val="0BA7604B"/>
    <w:rsid w:val="0BAA670C"/>
    <w:rsid w:val="0BAC78D5"/>
    <w:rsid w:val="0BB570C5"/>
    <w:rsid w:val="0BC72462"/>
    <w:rsid w:val="0BD975EB"/>
    <w:rsid w:val="0BED6619"/>
    <w:rsid w:val="0BF35BA6"/>
    <w:rsid w:val="0BFD5AB5"/>
    <w:rsid w:val="0C04503A"/>
    <w:rsid w:val="0C0F4280"/>
    <w:rsid w:val="0C251A9C"/>
    <w:rsid w:val="0C343E5A"/>
    <w:rsid w:val="0C4515BE"/>
    <w:rsid w:val="0C5067FE"/>
    <w:rsid w:val="0C55468D"/>
    <w:rsid w:val="0C5D4C36"/>
    <w:rsid w:val="0C615A92"/>
    <w:rsid w:val="0C805EFF"/>
    <w:rsid w:val="0C827C85"/>
    <w:rsid w:val="0C850EEA"/>
    <w:rsid w:val="0C851EA4"/>
    <w:rsid w:val="0C8E4250"/>
    <w:rsid w:val="0C977B80"/>
    <w:rsid w:val="0C9D4611"/>
    <w:rsid w:val="0CA26468"/>
    <w:rsid w:val="0CA41A11"/>
    <w:rsid w:val="0CCE1990"/>
    <w:rsid w:val="0CDD5B88"/>
    <w:rsid w:val="0CDE7FF1"/>
    <w:rsid w:val="0CEA5E4B"/>
    <w:rsid w:val="0D077B9B"/>
    <w:rsid w:val="0D0C5DFA"/>
    <w:rsid w:val="0D1A0A03"/>
    <w:rsid w:val="0D1A2290"/>
    <w:rsid w:val="0D1A5D55"/>
    <w:rsid w:val="0D231F32"/>
    <w:rsid w:val="0D24150A"/>
    <w:rsid w:val="0D292FA3"/>
    <w:rsid w:val="0D2E1312"/>
    <w:rsid w:val="0D335B19"/>
    <w:rsid w:val="0D514B9B"/>
    <w:rsid w:val="0D5D4B5F"/>
    <w:rsid w:val="0D6F2E1D"/>
    <w:rsid w:val="0D7000B9"/>
    <w:rsid w:val="0D77410B"/>
    <w:rsid w:val="0D780DBC"/>
    <w:rsid w:val="0DA44D31"/>
    <w:rsid w:val="0DC86AF8"/>
    <w:rsid w:val="0DDF1BE8"/>
    <w:rsid w:val="0E010B65"/>
    <w:rsid w:val="0E112FF6"/>
    <w:rsid w:val="0E141872"/>
    <w:rsid w:val="0E1C05B2"/>
    <w:rsid w:val="0E2C0370"/>
    <w:rsid w:val="0E2D4544"/>
    <w:rsid w:val="0E3254A9"/>
    <w:rsid w:val="0E335BA6"/>
    <w:rsid w:val="0E4B0886"/>
    <w:rsid w:val="0E5F5066"/>
    <w:rsid w:val="0E653F8C"/>
    <w:rsid w:val="0E8D73D5"/>
    <w:rsid w:val="0E8E2099"/>
    <w:rsid w:val="0E9225C9"/>
    <w:rsid w:val="0E965E43"/>
    <w:rsid w:val="0E9735AA"/>
    <w:rsid w:val="0E9B3B85"/>
    <w:rsid w:val="0EBE186B"/>
    <w:rsid w:val="0ED00C0F"/>
    <w:rsid w:val="0ED5370C"/>
    <w:rsid w:val="0EE33613"/>
    <w:rsid w:val="0EEC0BBF"/>
    <w:rsid w:val="0EF249A8"/>
    <w:rsid w:val="0EF33696"/>
    <w:rsid w:val="0EF43256"/>
    <w:rsid w:val="0F0339B3"/>
    <w:rsid w:val="0F0A18D6"/>
    <w:rsid w:val="0F0A3B56"/>
    <w:rsid w:val="0F0F39CD"/>
    <w:rsid w:val="0F1470DF"/>
    <w:rsid w:val="0F244062"/>
    <w:rsid w:val="0F2C5412"/>
    <w:rsid w:val="0F423C90"/>
    <w:rsid w:val="0F4F3C7B"/>
    <w:rsid w:val="0F654466"/>
    <w:rsid w:val="0F7778AF"/>
    <w:rsid w:val="0F925C4D"/>
    <w:rsid w:val="0FA94400"/>
    <w:rsid w:val="0FB02211"/>
    <w:rsid w:val="0FB37482"/>
    <w:rsid w:val="0FBF1CE2"/>
    <w:rsid w:val="0FD53E86"/>
    <w:rsid w:val="0FE013D7"/>
    <w:rsid w:val="0FE05FFF"/>
    <w:rsid w:val="0FE32E12"/>
    <w:rsid w:val="0FEE0542"/>
    <w:rsid w:val="0FFB716C"/>
    <w:rsid w:val="10031799"/>
    <w:rsid w:val="100928A7"/>
    <w:rsid w:val="100D0566"/>
    <w:rsid w:val="10136650"/>
    <w:rsid w:val="101766EF"/>
    <w:rsid w:val="101C1F4D"/>
    <w:rsid w:val="101E3A06"/>
    <w:rsid w:val="10202AD6"/>
    <w:rsid w:val="102D753F"/>
    <w:rsid w:val="103617AF"/>
    <w:rsid w:val="108814FD"/>
    <w:rsid w:val="108B1368"/>
    <w:rsid w:val="10A21FC5"/>
    <w:rsid w:val="10A54FD3"/>
    <w:rsid w:val="10A650A0"/>
    <w:rsid w:val="10B24403"/>
    <w:rsid w:val="10BD7019"/>
    <w:rsid w:val="10C42B3E"/>
    <w:rsid w:val="10CE375D"/>
    <w:rsid w:val="10F32869"/>
    <w:rsid w:val="11044FC7"/>
    <w:rsid w:val="110527E5"/>
    <w:rsid w:val="110E4174"/>
    <w:rsid w:val="112E44A5"/>
    <w:rsid w:val="11444655"/>
    <w:rsid w:val="11492DE0"/>
    <w:rsid w:val="11493CCA"/>
    <w:rsid w:val="114A6CDB"/>
    <w:rsid w:val="114E4B23"/>
    <w:rsid w:val="11657718"/>
    <w:rsid w:val="116C0AA4"/>
    <w:rsid w:val="118227DF"/>
    <w:rsid w:val="118E227B"/>
    <w:rsid w:val="118F1B42"/>
    <w:rsid w:val="11921EA0"/>
    <w:rsid w:val="119F419B"/>
    <w:rsid w:val="11AA3CF7"/>
    <w:rsid w:val="11AB3B00"/>
    <w:rsid w:val="11B7720B"/>
    <w:rsid w:val="11CA3C61"/>
    <w:rsid w:val="11D237A6"/>
    <w:rsid w:val="11D51EDB"/>
    <w:rsid w:val="11D57124"/>
    <w:rsid w:val="11DF6239"/>
    <w:rsid w:val="11F12EFC"/>
    <w:rsid w:val="12050AF2"/>
    <w:rsid w:val="1208585F"/>
    <w:rsid w:val="120D1BAF"/>
    <w:rsid w:val="121713E6"/>
    <w:rsid w:val="121E5148"/>
    <w:rsid w:val="121F7E41"/>
    <w:rsid w:val="12235046"/>
    <w:rsid w:val="122B27B2"/>
    <w:rsid w:val="122E5C82"/>
    <w:rsid w:val="12344A56"/>
    <w:rsid w:val="12361A43"/>
    <w:rsid w:val="126C6986"/>
    <w:rsid w:val="127D3116"/>
    <w:rsid w:val="12873776"/>
    <w:rsid w:val="129B5E9B"/>
    <w:rsid w:val="12AA72E3"/>
    <w:rsid w:val="12AC24D6"/>
    <w:rsid w:val="12B6732D"/>
    <w:rsid w:val="12B678AF"/>
    <w:rsid w:val="12BA6EBC"/>
    <w:rsid w:val="12BE2595"/>
    <w:rsid w:val="12D563F1"/>
    <w:rsid w:val="12D954AA"/>
    <w:rsid w:val="12E54297"/>
    <w:rsid w:val="130C3D33"/>
    <w:rsid w:val="130F0201"/>
    <w:rsid w:val="13110E99"/>
    <w:rsid w:val="13167A74"/>
    <w:rsid w:val="1355468A"/>
    <w:rsid w:val="135D51B9"/>
    <w:rsid w:val="13795601"/>
    <w:rsid w:val="139173E1"/>
    <w:rsid w:val="13973053"/>
    <w:rsid w:val="13C17083"/>
    <w:rsid w:val="13C938D7"/>
    <w:rsid w:val="13CE64C8"/>
    <w:rsid w:val="13E420D1"/>
    <w:rsid w:val="1402733B"/>
    <w:rsid w:val="141126D1"/>
    <w:rsid w:val="142975DB"/>
    <w:rsid w:val="142D1A1B"/>
    <w:rsid w:val="1430370A"/>
    <w:rsid w:val="14335A79"/>
    <w:rsid w:val="14397A6A"/>
    <w:rsid w:val="144776E7"/>
    <w:rsid w:val="14490944"/>
    <w:rsid w:val="144C6FC7"/>
    <w:rsid w:val="14535AF7"/>
    <w:rsid w:val="14920D8C"/>
    <w:rsid w:val="149D2E3A"/>
    <w:rsid w:val="14B13CE5"/>
    <w:rsid w:val="14C2630C"/>
    <w:rsid w:val="14D06719"/>
    <w:rsid w:val="14D073D9"/>
    <w:rsid w:val="14D43A70"/>
    <w:rsid w:val="14D7226C"/>
    <w:rsid w:val="14D87CC6"/>
    <w:rsid w:val="14EE45A0"/>
    <w:rsid w:val="14F21926"/>
    <w:rsid w:val="14FB4173"/>
    <w:rsid w:val="15281730"/>
    <w:rsid w:val="152C487D"/>
    <w:rsid w:val="153348C4"/>
    <w:rsid w:val="15367BBB"/>
    <w:rsid w:val="15476F29"/>
    <w:rsid w:val="15514E5A"/>
    <w:rsid w:val="155A29DF"/>
    <w:rsid w:val="156B7B78"/>
    <w:rsid w:val="157B47EE"/>
    <w:rsid w:val="157B607D"/>
    <w:rsid w:val="158908E2"/>
    <w:rsid w:val="159632F8"/>
    <w:rsid w:val="15AB661B"/>
    <w:rsid w:val="15B5629D"/>
    <w:rsid w:val="15B57927"/>
    <w:rsid w:val="15C56DEE"/>
    <w:rsid w:val="15E72B7C"/>
    <w:rsid w:val="16033142"/>
    <w:rsid w:val="16277771"/>
    <w:rsid w:val="163C57D0"/>
    <w:rsid w:val="163E7524"/>
    <w:rsid w:val="164C3390"/>
    <w:rsid w:val="165C1A47"/>
    <w:rsid w:val="166172A0"/>
    <w:rsid w:val="168750D2"/>
    <w:rsid w:val="16913B34"/>
    <w:rsid w:val="16983DAC"/>
    <w:rsid w:val="16C543C5"/>
    <w:rsid w:val="16D26A63"/>
    <w:rsid w:val="16D66719"/>
    <w:rsid w:val="16E9196E"/>
    <w:rsid w:val="16EC6C3B"/>
    <w:rsid w:val="16ED0036"/>
    <w:rsid w:val="170C34F8"/>
    <w:rsid w:val="17155AED"/>
    <w:rsid w:val="17174E15"/>
    <w:rsid w:val="17187CDF"/>
    <w:rsid w:val="171D6791"/>
    <w:rsid w:val="17204247"/>
    <w:rsid w:val="1737153C"/>
    <w:rsid w:val="17385718"/>
    <w:rsid w:val="173B6502"/>
    <w:rsid w:val="17401F45"/>
    <w:rsid w:val="174B4F71"/>
    <w:rsid w:val="17537A06"/>
    <w:rsid w:val="17705037"/>
    <w:rsid w:val="177176AD"/>
    <w:rsid w:val="177E4F0D"/>
    <w:rsid w:val="17805515"/>
    <w:rsid w:val="178B57D4"/>
    <w:rsid w:val="179B4C68"/>
    <w:rsid w:val="17AD7EE0"/>
    <w:rsid w:val="17B13FF9"/>
    <w:rsid w:val="17B26290"/>
    <w:rsid w:val="17BD7529"/>
    <w:rsid w:val="17D773F7"/>
    <w:rsid w:val="17DC54BB"/>
    <w:rsid w:val="17E104EE"/>
    <w:rsid w:val="17E72C09"/>
    <w:rsid w:val="17ED5094"/>
    <w:rsid w:val="17EF10D7"/>
    <w:rsid w:val="17FC0ACC"/>
    <w:rsid w:val="180625B1"/>
    <w:rsid w:val="1807129E"/>
    <w:rsid w:val="18251D49"/>
    <w:rsid w:val="18282DD3"/>
    <w:rsid w:val="182D69AD"/>
    <w:rsid w:val="18386669"/>
    <w:rsid w:val="1845427A"/>
    <w:rsid w:val="1860166E"/>
    <w:rsid w:val="186B60FA"/>
    <w:rsid w:val="187A7987"/>
    <w:rsid w:val="188470C9"/>
    <w:rsid w:val="188A331D"/>
    <w:rsid w:val="188F3B64"/>
    <w:rsid w:val="18A47843"/>
    <w:rsid w:val="18B072B4"/>
    <w:rsid w:val="18BC6DCF"/>
    <w:rsid w:val="18CD55E7"/>
    <w:rsid w:val="18D30E6E"/>
    <w:rsid w:val="18D568BE"/>
    <w:rsid w:val="19132DBC"/>
    <w:rsid w:val="19231F84"/>
    <w:rsid w:val="193B416C"/>
    <w:rsid w:val="19462CB4"/>
    <w:rsid w:val="196E22DF"/>
    <w:rsid w:val="196F34AA"/>
    <w:rsid w:val="196F4E94"/>
    <w:rsid w:val="198E1DE3"/>
    <w:rsid w:val="19906F63"/>
    <w:rsid w:val="199C11B2"/>
    <w:rsid w:val="19A02AD7"/>
    <w:rsid w:val="19A6768F"/>
    <w:rsid w:val="19A95372"/>
    <w:rsid w:val="19C57860"/>
    <w:rsid w:val="19C71E29"/>
    <w:rsid w:val="19C75FCD"/>
    <w:rsid w:val="19C833DC"/>
    <w:rsid w:val="19D0657E"/>
    <w:rsid w:val="19DA36E0"/>
    <w:rsid w:val="19DD315C"/>
    <w:rsid w:val="19DE2288"/>
    <w:rsid w:val="19E26F6A"/>
    <w:rsid w:val="19E31D9D"/>
    <w:rsid w:val="19E804D0"/>
    <w:rsid w:val="19EC69D4"/>
    <w:rsid w:val="19F14504"/>
    <w:rsid w:val="19F25C88"/>
    <w:rsid w:val="19FD0DC9"/>
    <w:rsid w:val="1A081318"/>
    <w:rsid w:val="1A1E07D1"/>
    <w:rsid w:val="1A1E677A"/>
    <w:rsid w:val="1A2B7F77"/>
    <w:rsid w:val="1A473A0A"/>
    <w:rsid w:val="1A5C6CAC"/>
    <w:rsid w:val="1A756AA6"/>
    <w:rsid w:val="1A7900E8"/>
    <w:rsid w:val="1A7A5B4E"/>
    <w:rsid w:val="1A804120"/>
    <w:rsid w:val="1A8176F6"/>
    <w:rsid w:val="1A9C0403"/>
    <w:rsid w:val="1AA01AE7"/>
    <w:rsid w:val="1AA950DD"/>
    <w:rsid w:val="1AAC2CBB"/>
    <w:rsid w:val="1AAE05B6"/>
    <w:rsid w:val="1AB82D84"/>
    <w:rsid w:val="1ABC0D01"/>
    <w:rsid w:val="1ABE5DBB"/>
    <w:rsid w:val="1AE63612"/>
    <w:rsid w:val="1AF94CC0"/>
    <w:rsid w:val="1B0433E1"/>
    <w:rsid w:val="1B0E4F84"/>
    <w:rsid w:val="1B141447"/>
    <w:rsid w:val="1B217324"/>
    <w:rsid w:val="1B267A54"/>
    <w:rsid w:val="1B5D7B73"/>
    <w:rsid w:val="1B5F6296"/>
    <w:rsid w:val="1B601E5F"/>
    <w:rsid w:val="1B6F35D2"/>
    <w:rsid w:val="1B7316B6"/>
    <w:rsid w:val="1B79518D"/>
    <w:rsid w:val="1B7951CF"/>
    <w:rsid w:val="1B9F77CF"/>
    <w:rsid w:val="1BA03FAD"/>
    <w:rsid w:val="1BAD0EC9"/>
    <w:rsid w:val="1BC73C92"/>
    <w:rsid w:val="1BC84091"/>
    <w:rsid w:val="1BD81AE5"/>
    <w:rsid w:val="1BF510BE"/>
    <w:rsid w:val="1BF5197B"/>
    <w:rsid w:val="1C0A2394"/>
    <w:rsid w:val="1C161CA6"/>
    <w:rsid w:val="1C172B3C"/>
    <w:rsid w:val="1C370501"/>
    <w:rsid w:val="1C502905"/>
    <w:rsid w:val="1C514422"/>
    <w:rsid w:val="1C7551F6"/>
    <w:rsid w:val="1C811901"/>
    <w:rsid w:val="1C9545B0"/>
    <w:rsid w:val="1CA82357"/>
    <w:rsid w:val="1CAE5ECD"/>
    <w:rsid w:val="1CB850A1"/>
    <w:rsid w:val="1CC3484D"/>
    <w:rsid w:val="1CC35955"/>
    <w:rsid w:val="1CD767C0"/>
    <w:rsid w:val="1CDE1AC7"/>
    <w:rsid w:val="1CE20E98"/>
    <w:rsid w:val="1CE356DD"/>
    <w:rsid w:val="1CF01EEC"/>
    <w:rsid w:val="1CFF632B"/>
    <w:rsid w:val="1D047D6B"/>
    <w:rsid w:val="1D245DC7"/>
    <w:rsid w:val="1D2B5C05"/>
    <w:rsid w:val="1D39508E"/>
    <w:rsid w:val="1D4B3D03"/>
    <w:rsid w:val="1D4D5A93"/>
    <w:rsid w:val="1D4E5D5F"/>
    <w:rsid w:val="1D754932"/>
    <w:rsid w:val="1D792AFB"/>
    <w:rsid w:val="1D980F2A"/>
    <w:rsid w:val="1DAB755C"/>
    <w:rsid w:val="1DCA41AE"/>
    <w:rsid w:val="1DCB52F0"/>
    <w:rsid w:val="1DD5026B"/>
    <w:rsid w:val="1DD63321"/>
    <w:rsid w:val="1DEA34E1"/>
    <w:rsid w:val="1DED1FEA"/>
    <w:rsid w:val="1DF81D7F"/>
    <w:rsid w:val="1E0561EB"/>
    <w:rsid w:val="1E06195E"/>
    <w:rsid w:val="1E1A4A4A"/>
    <w:rsid w:val="1E1E2588"/>
    <w:rsid w:val="1E3429EF"/>
    <w:rsid w:val="1E3455D9"/>
    <w:rsid w:val="1E3608F1"/>
    <w:rsid w:val="1E3A7241"/>
    <w:rsid w:val="1E4503E2"/>
    <w:rsid w:val="1E464AB1"/>
    <w:rsid w:val="1E487D98"/>
    <w:rsid w:val="1E4B1042"/>
    <w:rsid w:val="1E5966FD"/>
    <w:rsid w:val="1E5C5A8A"/>
    <w:rsid w:val="1E635735"/>
    <w:rsid w:val="1E674934"/>
    <w:rsid w:val="1E6A6DE0"/>
    <w:rsid w:val="1E6C0347"/>
    <w:rsid w:val="1E806DE2"/>
    <w:rsid w:val="1E8C4488"/>
    <w:rsid w:val="1E9342BA"/>
    <w:rsid w:val="1E9B3EFB"/>
    <w:rsid w:val="1E9E668F"/>
    <w:rsid w:val="1EBE52E4"/>
    <w:rsid w:val="1EC02A3C"/>
    <w:rsid w:val="1EC46171"/>
    <w:rsid w:val="1ECE533F"/>
    <w:rsid w:val="1EDB6B41"/>
    <w:rsid w:val="1EF64365"/>
    <w:rsid w:val="1EF71194"/>
    <w:rsid w:val="1EF925B4"/>
    <w:rsid w:val="1F204EA9"/>
    <w:rsid w:val="1F3C6A6F"/>
    <w:rsid w:val="1F3F2BD4"/>
    <w:rsid w:val="1F476D3D"/>
    <w:rsid w:val="1F4E656C"/>
    <w:rsid w:val="1F5F7113"/>
    <w:rsid w:val="1F7A2683"/>
    <w:rsid w:val="1F8C6A0D"/>
    <w:rsid w:val="1F9A0C53"/>
    <w:rsid w:val="1FB90E64"/>
    <w:rsid w:val="1FBD6041"/>
    <w:rsid w:val="1FC16199"/>
    <w:rsid w:val="1FE05C80"/>
    <w:rsid w:val="1FEC732D"/>
    <w:rsid w:val="20033F7F"/>
    <w:rsid w:val="20044E12"/>
    <w:rsid w:val="2007713A"/>
    <w:rsid w:val="201E5C4D"/>
    <w:rsid w:val="202672B7"/>
    <w:rsid w:val="202F348A"/>
    <w:rsid w:val="203533B3"/>
    <w:rsid w:val="203D7B4E"/>
    <w:rsid w:val="203F395C"/>
    <w:rsid w:val="204235E3"/>
    <w:rsid w:val="2046367C"/>
    <w:rsid w:val="204A0167"/>
    <w:rsid w:val="204E054D"/>
    <w:rsid w:val="205B6824"/>
    <w:rsid w:val="205E222D"/>
    <w:rsid w:val="206041D8"/>
    <w:rsid w:val="20667676"/>
    <w:rsid w:val="206C32B9"/>
    <w:rsid w:val="20941DE2"/>
    <w:rsid w:val="20DB1F23"/>
    <w:rsid w:val="20E22222"/>
    <w:rsid w:val="20EB5FA4"/>
    <w:rsid w:val="2113617E"/>
    <w:rsid w:val="21192430"/>
    <w:rsid w:val="214037C6"/>
    <w:rsid w:val="214A61D0"/>
    <w:rsid w:val="214E2256"/>
    <w:rsid w:val="216D4EBB"/>
    <w:rsid w:val="216E61B7"/>
    <w:rsid w:val="216F58F9"/>
    <w:rsid w:val="218D02BC"/>
    <w:rsid w:val="21955A8E"/>
    <w:rsid w:val="21A33CC7"/>
    <w:rsid w:val="21B34242"/>
    <w:rsid w:val="21D270F2"/>
    <w:rsid w:val="21D42297"/>
    <w:rsid w:val="21E656DA"/>
    <w:rsid w:val="21EA5EBF"/>
    <w:rsid w:val="21EF1F36"/>
    <w:rsid w:val="22106188"/>
    <w:rsid w:val="221C6196"/>
    <w:rsid w:val="22257A7E"/>
    <w:rsid w:val="22441326"/>
    <w:rsid w:val="22630AFE"/>
    <w:rsid w:val="226C6A41"/>
    <w:rsid w:val="227710FC"/>
    <w:rsid w:val="22872552"/>
    <w:rsid w:val="228E09B7"/>
    <w:rsid w:val="22A92A14"/>
    <w:rsid w:val="22A93ACD"/>
    <w:rsid w:val="22B92A81"/>
    <w:rsid w:val="22BB3DB0"/>
    <w:rsid w:val="22C0252C"/>
    <w:rsid w:val="22D700DE"/>
    <w:rsid w:val="22E51FCF"/>
    <w:rsid w:val="22F27CEF"/>
    <w:rsid w:val="22F47007"/>
    <w:rsid w:val="22F605C2"/>
    <w:rsid w:val="230A0591"/>
    <w:rsid w:val="232A365C"/>
    <w:rsid w:val="23371709"/>
    <w:rsid w:val="233B1D5C"/>
    <w:rsid w:val="233F582B"/>
    <w:rsid w:val="234D67AA"/>
    <w:rsid w:val="23514956"/>
    <w:rsid w:val="235266BE"/>
    <w:rsid w:val="235419B3"/>
    <w:rsid w:val="235F7E04"/>
    <w:rsid w:val="236B7609"/>
    <w:rsid w:val="23701FEC"/>
    <w:rsid w:val="238C4CE2"/>
    <w:rsid w:val="23A93A90"/>
    <w:rsid w:val="23B452A1"/>
    <w:rsid w:val="23BF3BC5"/>
    <w:rsid w:val="23BF6944"/>
    <w:rsid w:val="23D6232B"/>
    <w:rsid w:val="23D6451A"/>
    <w:rsid w:val="23D93C86"/>
    <w:rsid w:val="23E6478B"/>
    <w:rsid w:val="24065080"/>
    <w:rsid w:val="240C3097"/>
    <w:rsid w:val="240D76D8"/>
    <w:rsid w:val="240E5957"/>
    <w:rsid w:val="24305AB5"/>
    <w:rsid w:val="24356CB2"/>
    <w:rsid w:val="243B1909"/>
    <w:rsid w:val="243C6142"/>
    <w:rsid w:val="24617540"/>
    <w:rsid w:val="246760DF"/>
    <w:rsid w:val="246F34D3"/>
    <w:rsid w:val="247455AC"/>
    <w:rsid w:val="247918A8"/>
    <w:rsid w:val="24AD09E6"/>
    <w:rsid w:val="24B016C9"/>
    <w:rsid w:val="24B804C8"/>
    <w:rsid w:val="24BE7009"/>
    <w:rsid w:val="24D05CB7"/>
    <w:rsid w:val="24D35C48"/>
    <w:rsid w:val="24E17E30"/>
    <w:rsid w:val="24E6364B"/>
    <w:rsid w:val="24EA2CA5"/>
    <w:rsid w:val="24EA6467"/>
    <w:rsid w:val="24F13D32"/>
    <w:rsid w:val="24F50D34"/>
    <w:rsid w:val="24FD5703"/>
    <w:rsid w:val="25004A9A"/>
    <w:rsid w:val="250A1DDA"/>
    <w:rsid w:val="250A5FE8"/>
    <w:rsid w:val="251731AF"/>
    <w:rsid w:val="251A3587"/>
    <w:rsid w:val="251D0771"/>
    <w:rsid w:val="252647A9"/>
    <w:rsid w:val="25292703"/>
    <w:rsid w:val="252C1978"/>
    <w:rsid w:val="25326053"/>
    <w:rsid w:val="25331CB9"/>
    <w:rsid w:val="253554FF"/>
    <w:rsid w:val="253604AE"/>
    <w:rsid w:val="25467268"/>
    <w:rsid w:val="2552044A"/>
    <w:rsid w:val="25591B78"/>
    <w:rsid w:val="255C2793"/>
    <w:rsid w:val="25690CB9"/>
    <w:rsid w:val="258B6D6F"/>
    <w:rsid w:val="25A262B6"/>
    <w:rsid w:val="25A47CD0"/>
    <w:rsid w:val="25A54BB6"/>
    <w:rsid w:val="25BB17B6"/>
    <w:rsid w:val="25C90DA6"/>
    <w:rsid w:val="25DA1CE8"/>
    <w:rsid w:val="25F53321"/>
    <w:rsid w:val="25F9101A"/>
    <w:rsid w:val="25FF6E63"/>
    <w:rsid w:val="26207A88"/>
    <w:rsid w:val="26353F04"/>
    <w:rsid w:val="26432452"/>
    <w:rsid w:val="26647C45"/>
    <w:rsid w:val="26890700"/>
    <w:rsid w:val="26920F16"/>
    <w:rsid w:val="269B4CA6"/>
    <w:rsid w:val="26AF0400"/>
    <w:rsid w:val="26BB0FB5"/>
    <w:rsid w:val="26BC45E7"/>
    <w:rsid w:val="26C61C98"/>
    <w:rsid w:val="26CC3869"/>
    <w:rsid w:val="26D62EF0"/>
    <w:rsid w:val="26EA17E5"/>
    <w:rsid w:val="26EA65A5"/>
    <w:rsid w:val="272012FE"/>
    <w:rsid w:val="272327ED"/>
    <w:rsid w:val="27250A22"/>
    <w:rsid w:val="273A7D75"/>
    <w:rsid w:val="275346EB"/>
    <w:rsid w:val="27534701"/>
    <w:rsid w:val="27544493"/>
    <w:rsid w:val="27582595"/>
    <w:rsid w:val="27655331"/>
    <w:rsid w:val="27896154"/>
    <w:rsid w:val="27CC3A3C"/>
    <w:rsid w:val="27CE52EC"/>
    <w:rsid w:val="27DB21EA"/>
    <w:rsid w:val="27DD178B"/>
    <w:rsid w:val="27E21865"/>
    <w:rsid w:val="27E868C0"/>
    <w:rsid w:val="27F131E8"/>
    <w:rsid w:val="281A560D"/>
    <w:rsid w:val="28490CC5"/>
    <w:rsid w:val="28573958"/>
    <w:rsid w:val="28645A64"/>
    <w:rsid w:val="286F7347"/>
    <w:rsid w:val="287F659F"/>
    <w:rsid w:val="289D3BDA"/>
    <w:rsid w:val="289E7ABE"/>
    <w:rsid w:val="28B068FD"/>
    <w:rsid w:val="28BE54F1"/>
    <w:rsid w:val="28D370DE"/>
    <w:rsid w:val="28DC12F5"/>
    <w:rsid w:val="28EE49B4"/>
    <w:rsid w:val="28F16672"/>
    <w:rsid w:val="28FB30F3"/>
    <w:rsid w:val="29043DD3"/>
    <w:rsid w:val="290576ED"/>
    <w:rsid w:val="29082F2F"/>
    <w:rsid w:val="291C6D5D"/>
    <w:rsid w:val="292F30AE"/>
    <w:rsid w:val="293173F2"/>
    <w:rsid w:val="29337FF9"/>
    <w:rsid w:val="2938694B"/>
    <w:rsid w:val="293A38E9"/>
    <w:rsid w:val="294C0340"/>
    <w:rsid w:val="295264B1"/>
    <w:rsid w:val="296B7439"/>
    <w:rsid w:val="296C2E69"/>
    <w:rsid w:val="297E3EB6"/>
    <w:rsid w:val="29825FDF"/>
    <w:rsid w:val="29960882"/>
    <w:rsid w:val="2999193A"/>
    <w:rsid w:val="299A6CEC"/>
    <w:rsid w:val="29A50FFD"/>
    <w:rsid w:val="29A66B20"/>
    <w:rsid w:val="29BE18F5"/>
    <w:rsid w:val="29D13391"/>
    <w:rsid w:val="29D47367"/>
    <w:rsid w:val="29E75019"/>
    <w:rsid w:val="29EC6648"/>
    <w:rsid w:val="29FB6949"/>
    <w:rsid w:val="29FD4FED"/>
    <w:rsid w:val="2A012E3B"/>
    <w:rsid w:val="2A0D2C2B"/>
    <w:rsid w:val="2A2F54C5"/>
    <w:rsid w:val="2A38053E"/>
    <w:rsid w:val="2A526D76"/>
    <w:rsid w:val="2A5D1316"/>
    <w:rsid w:val="2A623794"/>
    <w:rsid w:val="2A712F55"/>
    <w:rsid w:val="2A727FB3"/>
    <w:rsid w:val="2A76060F"/>
    <w:rsid w:val="2A770777"/>
    <w:rsid w:val="2A9632EB"/>
    <w:rsid w:val="2A9E4FF8"/>
    <w:rsid w:val="2ABB4965"/>
    <w:rsid w:val="2AC867BD"/>
    <w:rsid w:val="2ADB5387"/>
    <w:rsid w:val="2AF1525E"/>
    <w:rsid w:val="2AF22B98"/>
    <w:rsid w:val="2B0739A7"/>
    <w:rsid w:val="2B0E3049"/>
    <w:rsid w:val="2B356445"/>
    <w:rsid w:val="2B444FDC"/>
    <w:rsid w:val="2B6C319F"/>
    <w:rsid w:val="2B774B23"/>
    <w:rsid w:val="2B7A30F5"/>
    <w:rsid w:val="2B7C3418"/>
    <w:rsid w:val="2B833A94"/>
    <w:rsid w:val="2B8E3094"/>
    <w:rsid w:val="2B907184"/>
    <w:rsid w:val="2B921F24"/>
    <w:rsid w:val="2B970DE0"/>
    <w:rsid w:val="2B9E382A"/>
    <w:rsid w:val="2B9F0EF5"/>
    <w:rsid w:val="2BA62F9F"/>
    <w:rsid w:val="2BA8556C"/>
    <w:rsid w:val="2BAB72C3"/>
    <w:rsid w:val="2BAE50A7"/>
    <w:rsid w:val="2BB61BD0"/>
    <w:rsid w:val="2BBC643D"/>
    <w:rsid w:val="2BC75161"/>
    <w:rsid w:val="2BEF05B2"/>
    <w:rsid w:val="2BF942AA"/>
    <w:rsid w:val="2C3464EA"/>
    <w:rsid w:val="2C372417"/>
    <w:rsid w:val="2C553E10"/>
    <w:rsid w:val="2C58247C"/>
    <w:rsid w:val="2C63006B"/>
    <w:rsid w:val="2C8F0C17"/>
    <w:rsid w:val="2C9B7D55"/>
    <w:rsid w:val="2C9F34F2"/>
    <w:rsid w:val="2CA40F2B"/>
    <w:rsid w:val="2CB5010E"/>
    <w:rsid w:val="2CCA6FAF"/>
    <w:rsid w:val="2CCD0B9B"/>
    <w:rsid w:val="2CCF5514"/>
    <w:rsid w:val="2CD90005"/>
    <w:rsid w:val="2CFF3923"/>
    <w:rsid w:val="2D1A0A24"/>
    <w:rsid w:val="2D252A00"/>
    <w:rsid w:val="2D271208"/>
    <w:rsid w:val="2D5B0571"/>
    <w:rsid w:val="2D5C1104"/>
    <w:rsid w:val="2D7B3CD6"/>
    <w:rsid w:val="2D7C79D6"/>
    <w:rsid w:val="2D8309E4"/>
    <w:rsid w:val="2D846B02"/>
    <w:rsid w:val="2D8E0D80"/>
    <w:rsid w:val="2D940CF3"/>
    <w:rsid w:val="2D950B93"/>
    <w:rsid w:val="2D9A3D17"/>
    <w:rsid w:val="2D9E24B8"/>
    <w:rsid w:val="2DA24672"/>
    <w:rsid w:val="2DAF53B9"/>
    <w:rsid w:val="2DB2776C"/>
    <w:rsid w:val="2DB322EF"/>
    <w:rsid w:val="2DBF6779"/>
    <w:rsid w:val="2DC255E4"/>
    <w:rsid w:val="2DDA521F"/>
    <w:rsid w:val="2DDE6C74"/>
    <w:rsid w:val="2DFA4621"/>
    <w:rsid w:val="2E06706D"/>
    <w:rsid w:val="2E1135A2"/>
    <w:rsid w:val="2E1A0080"/>
    <w:rsid w:val="2E1C3FC2"/>
    <w:rsid w:val="2E3B39E0"/>
    <w:rsid w:val="2E3F5D9E"/>
    <w:rsid w:val="2E956FF8"/>
    <w:rsid w:val="2E977130"/>
    <w:rsid w:val="2EA465DC"/>
    <w:rsid w:val="2EBD2130"/>
    <w:rsid w:val="2ED215E3"/>
    <w:rsid w:val="2ED34C33"/>
    <w:rsid w:val="2ED76F45"/>
    <w:rsid w:val="2EDE35B0"/>
    <w:rsid w:val="2EE62234"/>
    <w:rsid w:val="2EEA10A6"/>
    <w:rsid w:val="2EFD4EC1"/>
    <w:rsid w:val="2F1B7921"/>
    <w:rsid w:val="2F393F98"/>
    <w:rsid w:val="2F3A232A"/>
    <w:rsid w:val="2F3B667F"/>
    <w:rsid w:val="2F466A48"/>
    <w:rsid w:val="2F4E1C30"/>
    <w:rsid w:val="2F4F212E"/>
    <w:rsid w:val="2F546447"/>
    <w:rsid w:val="2F5729E1"/>
    <w:rsid w:val="2F5D6D83"/>
    <w:rsid w:val="2F6739CC"/>
    <w:rsid w:val="2F6B12B2"/>
    <w:rsid w:val="2F830AEE"/>
    <w:rsid w:val="2F8C1696"/>
    <w:rsid w:val="2F9173B4"/>
    <w:rsid w:val="2FA93803"/>
    <w:rsid w:val="2FAD77C4"/>
    <w:rsid w:val="2FB433BB"/>
    <w:rsid w:val="2FB71108"/>
    <w:rsid w:val="2FC13AEA"/>
    <w:rsid w:val="2FCF2BED"/>
    <w:rsid w:val="2FDD1767"/>
    <w:rsid w:val="302E350E"/>
    <w:rsid w:val="30631B49"/>
    <w:rsid w:val="307100A3"/>
    <w:rsid w:val="307860AD"/>
    <w:rsid w:val="307E6CCC"/>
    <w:rsid w:val="30931113"/>
    <w:rsid w:val="309832E2"/>
    <w:rsid w:val="30A605F5"/>
    <w:rsid w:val="30A83EF5"/>
    <w:rsid w:val="30AE27DA"/>
    <w:rsid w:val="30BE628B"/>
    <w:rsid w:val="30CE6D3B"/>
    <w:rsid w:val="30DA5027"/>
    <w:rsid w:val="30E272BA"/>
    <w:rsid w:val="30E86FE1"/>
    <w:rsid w:val="31025737"/>
    <w:rsid w:val="31104375"/>
    <w:rsid w:val="31141F11"/>
    <w:rsid w:val="311B6B87"/>
    <w:rsid w:val="3127372E"/>
    <w:rsid w:val="31335D5C"/>
    <w:rsid w:val="31412BCC"/>
    <w:rsid w:val="3153501A"/>
    <w:rsid w:val="316C5B47"/>
    <w:rsid w:val="316D7761"/>
    <w:rsid w:val="31A139BC"/>
    <w:rsid w:val="31B378B4"/>
    <w:rsid w:val="31C538A8"/>
    <w:rsid w:val="31D90F51"/>
    <w:rsid w:val="31DD64C8"/>
    <w:rsid w:val="31DE710A"/>
    <w:rsid w:val="31E038D6"/>
    <w:rsid w:val="31E47BCF"/>
    <w:rsid w:val="31E944BB"/>
    <w:rsid w:val="31EC6A1C"/>
    <w:rsid w:val="31EE06B6"/>
    <w:rsid w:val="31F1550F"/>
    <w:rsid w:val="31F82558"/>
    <w:rsid w:val="32025AFB"/>
    <w:rsid w:val="32032D95"/>
    <w:rsid w:val="32050A2D"/>
    <w:rsid w:val="32066E34"/>
    <w:rsid w:val="321A0D7A"/>
    <w:rsid w:val="322040CC"/>
    <w:rsid w:val="322A6170"/>
    <w:rsid w:val="32422609"/>
    <w:rsid w:val="32485FBE"/>
    <w:rsid w:val="32585E12"/>
    <w:rsid w:val="325D57AE"/>
    <w:rsid w:val="327007E8"/>
    <w:rsid w:val="32851872"/>
    <w:rsid w:val="32890D78"/>
    <w:rsid w:val="328F162C"/>
    <w:rsid w:val="329A3BF6"/>
    <w:rsid w:val="32A01C3C"/>
    <w:rsid w:val="32A16555"/>
    <w:rsid w:val="32A52BE2"/>
    <w:rsid w:val="32A619BE"/>
    <w:rsid w:val="32B26E10"/>
    <w:rsid w:val="32BF69AB"/>
    <w:rsid w:val="32C31F0A"/>
    <w:rsid w:val="32C430E7"/>
    <w:rsid w:val="32CB54C5"/>
    <w:rsid w:val="32D6557C"/>
    <w:rsid w:val="32D90D4F"/>
    <w:rsid w:val="32DA195F"/>
    <w:rsid w:val="32DD2D7E"/>
    <w:rsid w:val="32E4281F"/>
    <w:rsid w:val="32E72A14"/>
    <w:rsid w:val="32EA289B"/>
    <w:rsid w:val="32EB0993"/>
    <w:rsid w:val="32EF7E1C"/>
    <w:rsid w:val="32F053C8"/>
    <w:rsid w:val="32F81814"/>
    <w:rsid w:val="32F81988"/>
    <w:rsid w:val="32FA05E8"/>
    <w:rsid w:val="33011F9F"/>
    <w:rsid w:val="330148CA"/>
    <w:rsid w:val="33032C6C"/>
    <w:rsid w:val="33040F8B"/>
    <w:rsid w:val="331729C2"/>
    <w:rsid w:val="33182F84"/>
    <w:rsid w:val="331D4A88"/>
    <w:rsid w:val="332F523C"/>
    <w:rsid w:val="333900D3"/>
    <w:rsid w:val="333B5094"/>
    <w:rsid w:val="333C0EF1"/>
    <w:rsid w:val="33421C25"/>
    <w:rsid w:val="334D114A"/>
    <w:rsid w:val="335C04D1"/>
    <w:rsid w:val="3376143E"/>
    <w:rsid w:val="33A72C4E"/>
    <w:rsid w:val="33B015C6"/>
    <w:rsid w:val="33B27BDD"/>
    <w:rsid w:val="33B92BAD"/>
    <w:rsid w:val="33D5031D"/>
    <w:rsid w:val="33E05E48"/>
    <w:rsid w:val="33E6043F"/>
    <w:rsid w:val="33EB51C2"/>
    <w:rsid w:val="33EF2F24"/>
    <w:rsid w:val="33F076BF"/>
    <w:rsid w:val="33F512E2"/>
    <w:rsid w:val="33FA4C57"/>
    <w:rsid w:val="33FD7727"/>
    <w:rsid w:val="33FF2390"/>
    <w:rsid w:val="34185A64"/>
    <w:rsid w:val="341F672C"/>
    <w:rsid w:val="342A40E0"/>
    <w:rsid w:val="34312FEC"/>
    <w:rsid w:val="34350B30"/>
    <w:rsid w:val="34573D30"/>
    <w:rsid w:val="345E3491"/>
    <w:rsid w:val="34603692"/>
    <w:rsid w:val="347C5DAE"/>
    <w:rsid w:val="3481524F"/>
    <w:rsid w:val="348509BB"/>
    <w:rsid w:val="3498075E"/>
    <w:rsid w:val="349B3FE0"/>
    <w:rsid w:val="349F3B13"/>
    <w:rsid w:val="34B01294"/>
    <w:rsid w:val="34B162E0"/>
    <w:rsid w:val="34BA1467"/>
    <w:rsid w:val="34D571E2"/>
    <w:rsid w:val="34D903F5"/>
    <w:rsid w:val="34F24F46"/>
    <w:rsid w:val="34F33A7D"/>
    <w:rsid w:val="34F428FD"/>
    <w:rsid w:val="35004125"/>
    <w:rsid w:val="351C4115"/>
    <w:rsid w:val="35295ECF"/>
    <w:rsid w:val="35334600"/>
    <w:rsid w:val="35626C87"/>
    <w:rsid w:val="35650454"/>
    <w:rsid w:val="3569377D"/>
    <w:rsid w:val="35707D1F"/>
    <w:rsid w:val="35883257"/>
    <w:rsid w:val="3594492B"/>
    <w:rsid w:val="35981879"/>
    <w:rsid w:val="3599165E"/>
    <w:rsid w:val="359B4A17"/>
    <w:rsid w:val="35A20C52"/>
    <w:rsid w:val="35A95DEE"/>
    <w:rsid w:val="35AD5AEB"/>
    <w:rsid w:val="35AE3538"/>
    <w:rsid w:val="35B3758E"/>
    <w:rsid w:val="35BD65A6"/>
    <w:rsid w:val="35C458A5"/>
    <w:rsid w:val="35DD1E4F"/>
    <w:rsid w:val="35E225D0"/>
    <w:rsid w:val="360908C5"/>
    <w:rsid w:val="360B63A0"/>
    <w:rsid w:val="361004C9"/>
    <w:rsid w:val="3618394C"/>
    <w:rsid w:val="362C76BB"/>
    <w:rsid w:val="36477D59"/>
    <w:rsid w:val="365332C5"/>
    <w:rsid w:val="36615E05"/>
    <w:rsid w:val="366E4D55"/>
    <w:rsid w:val="36807448"/>
    <w:rsid w:val="36990146"/>
    <w:rsid w:val="36994708"/>
    <w:rsid w:val="36B410AB"/>
    <w:rsid w:val="36B9317E"/>
    <w:rsid w:val="36BA00E3"/>
    <w:rsid w:val="36BA0582"/>
    <w:rsid w:val="36DF4707"/>
    <w:rsid w:val="36E622BF"/>
    <w:rsid w:val="36F817EA"/>
    <w:rsid w:val="370700E6"/>
    <w:rsid w:val="37082843"/>
    <w:rsid w:val="370E620C"/>
    <w:rsid w:val="37204160"/>
    <w:rsid w:val="37220771"/>
    <w:rsid w:val="372B5309"/>
    <w:rsid w:val="373D2C45"/>
    <w:rsid w:val="3741516F"/>
    <w:rsid w:val="374F05B0"/>
    <w:rsid w:val="375D13C6"/>
    <w:rsid w:val="375D3D2E"/>
    <w:rsid w:val="376019D3"/>
    <w:rsid w:val="37635EAB"/>
    <w:rsid w:val="37854C46"/>
    <w:rsid w:val="37883E07"/>
    <w:rsid w:val="37895EEC"/>
    <w:rsid w:val="378F306A"/>
    <w:rsid w:val="378F4B98"/>
    <w:rsid w:val="37943EA2"/>
    <w:rsid w:val="37A5188E"/>
    <w:rsid w:val="37A96603"/>
    <w:rsid w:val="37AD12B8"/>
    <w:rsid w:val="37B11A0A"/>
    <w:rsid w:val="37BB2B88"/>
    <w:rsid w:val="37E0504F"/>
    <w:rsid w:val="37EB7B2F"/>
    <w:rsid w:val="3801126E"/>
    <w:rsid w:val="38264B61"/>
    <w:rsid w:val="382B0EE3"/>
    <w:rsid w:val="384169B8"/>
    <w:rsid w:val="3855771C"/>
    <w:rsid w:val="38684D60"/>
    <w:rsid w:val="38A67B67"/>
    <w:rsid w:val="38A717F3"/>
    <w:rsid w:val="38A95B2F"/>
    <w:rsid w:val="38BF3269"/>
    <w:rsid w:val="38E708A3"/>
    <w:rsid w:val="38E8320B"/>
    <w:rsid w:val="38EB7E96"/>
    <w:rsid w:val="392003AA"/>
    <w:rsid w:val="392E230B"/>
    <w:rsid w:val="394319DD"/>
    <w:rsid w:val="394B6AC2"/>
    <w:rsid w:val="395202D0"/>
    <w:rsid w:val="3960605C"/>
    <w:rsid w:val="39625A82"/>
    <w:rsid w:val="396A6F0D"/>
    <w:rsid w:val="396F5556"/>
    <w:rsid w:val="399F4CE5"/>
    <w:rsid w:val="39AB25F5"/>
    <w:rsid w:val="39B4599B"/>
    <w:rsid w:val="39B77011"/>
    <w:rsid w:val="39B83559"/>
    <w:rsid w:val="39D63BA2"/>
    <w:rsid w:val="39DD7B40"/>
    <w:rsid w:val="39E91581"/>
    <w:rsid w:val="39EE2C4B"/>
    <w:rsid w:val="3A0E7EDB"/>
    <w:rsid w:val="3A15327D"/>
    <w:rsid w:val="3A154FB9"/>
    <w:rsid w:val="3A1C1C45"/>
    <w:rsid w:val="3A277E5F"/>
    <w:rsid w:val="3A362693"/>
    <w:rsid w:val="3A3E5578"/>
    <w:rsid w:val="3A4B779C"/>
    <w:rsid w:val="3A582122"/>
    <w:rsid w:val="3A5D3513"/>
    <w:rsid w:val="3A6E781D"/>
    <w:rsid w:val="3A737138"/>
    <w:rsid w:val="3A880F57"/>
    <w:rsid w:val="3A8B6CF7"/>
    <w:rsid w:val="3A9043EA"/>
    <w:rsid w:val="3A967793"/>
    <w:rsid w:val="3A9721AC"/>
    <w:rsid w:val="3AA706E2"/>
    <w:rsid w:val="3AAC782D"/>
    <w:rsid w:val="3AAF226F"/>
    <w:rsid w:val="3AB3071C"/>
    <w:rsid w:val="3AB7508C"/>
    <w:rsid w:val="3AC03AFF"/>
    <w:rsid w:val="3AD352A3"/>
    <w:rsid w:val="3ADB2E2C"/>
    <w:rsid w:val="3AE80E56"/>
    <w:rsid w:val="3AEA64B7"/>
    <w:rsid w:val="3AF47CD8"/>
    <w:rsid w:val="3AFB75CB"/>
    <w:rsid w:val="3B000B78"/>
    <w:rsid w:val="3B0B0079"/>
    <w:rsid w:val="3B1333D8"/>
    <w:rsid w:val="3B2E099E"/>
    <w:rsid w:val="3B387E49"/>
    <w:rsid w:val="3B537BBF"/>
    <w:rsid w:val="3B546D75"/>
    <w:rsid w:val="3B5D5D03"/>
    <w:rsid w:val="3B6F74D8"/>
    <w:rsid w:val="3B831F4C"/>
    <w:rsid w:val="3B8476E2"/>
    <w:rsid w:val="3B933BB1"/>
    <w:rsid w:val="3BA77552"/>
    <w:rsid w:val="3BB533A9"/>
    <w:rsid w:val="3BBD2DAB"/>
    <w:rsid w:val="3BBD7979"/>
    <w:rsid w:val="3BC40DB4"/>
    <w:rsid w:val="3BC4119F"/>
    <w:rsid w:val="3BD64539"/>
    <w:rsid w:val="3BD7741E"/>
    <w:rsid w:val="3BE73FD0"/>
    <w:rsid w:val="3C032FAA"/>
    <w:rsid w:val="3C0975D7"/>
    <w:rsid w:val="3C0A0E48"/>
    <w:rsid w:val="3C2C63AD"/>
    <w:rsid w:val="3C2E2F99"/>
    <w:rsid w:val="3C39400C"/>
    <w:rsid w:val="3C3B0AE0"/>
    <w:rsid w:val="3C401B17"/>
    <w:rsid w:val="3C4F45B9"/>
    <w:rsid w:val="3C551D8D"/>
    <w:rsid w:val="3C692E7C"/>
    <w:rsid w:val="3C7D49BA"/>
    <w:rsid w:val="3C7F268E"/>
    <w:rsid w:val="3C9079CC"/>
    <w:rsid w:val="3C9B4135"/>
    <w:rsid w:val="3C9D3306"/>
    <w:rsid w:val="3CB12314"/>
    <w:rsid w:val="3CB71A58"/>
    <w:rsid w:val="3CBC3E83"/>
    <w:rsid w:val="3D023B3C"/>
    <w:rsid w:val="3D0732DC"/>
    <w:rsid w:val="3D185252"/>
    <w:rsid w:val="3D271B04"/>
    <w:rsid w:val="3D283BC5"/>
    <w:rsid w:val="3D314A9E"/>
    <w:rsid w:val="3D324393"/>
    <w:rsid w:val="3D347C66"/>
    <w:rsid w:val="3D3C24D0"/>
    <w:rsid w:val="3D4245F4"/>
    <w:rsid w:val="3D433842"/>
    <w:rsid w:val="3D720F07"/>
    <w:rsid w:val="3D823B1E"/>
    <w:rsid w:val="3D973BEB"/>
    <w:rsid w:val="3D9D0A9C"/>
    <w:rsid w:val="3DC57103"/>
    <w:rsid w:val="3DC62FD5"/>
    <w:rsid w:val="3DD46EF7"/>
    <w:rsid w:val="3DF3557F"/>
    <w:rsid w:val="3DFB4C6F"/>
    <w:rsid w:val="3E1E22BC"/>
    <w:rsid w:val="3E266C8B"/>
    <w:rsid w:val="3E2760D3"/>
    <w:rsid w:val="3E385A78"/>
    <w:rsid w:val="3E385C0D"/>
    <w:rsid w:val="3E3B637D"/>
    <w:rsid w:val="3E463BB8"/>
    <w:rsid w:val="3E510229"/>
    <w:rsid w:val="3E51125F"/>
    <w:rsid w:val="3E5B2F1D"/>
    <w:rsid w:val="3E6857C4"/>
    <w:rsid w:val="3E69698F"/>
    <w:rsid w:val="3E765260"/>
    <w:rsid w:val="3E8B00EF"/>
    <w:rsid w:val="3E9A1458"/>
    <w:rsid w:val="3E9E26AF"/>
    <w:rsid w:val="3EA25CFF"/>
    <w:rsid w:val="3EB72C67"/>
    <w:rsid w:val="3EBA1B25"/>
    <w:rsid w:val="3EBB12DE"/>
    <w:rsid w:val="3ECB10CF"/>
    <w:rsid w:val="3ECB7799"/>
    <w:rsid w:val="3ECC795F"/>
    <w:rsid w:val="3ED22EBA"/>
    <w:rsid w:val="3EE1021C"/>
    <w:rsid w:val="3EE63AE9"/>
    <w:rsid w:val="3EE65CBF"/>
    <w:rsid w:val="3F15090F"/>
    <w:rsid w:val="3F4C155F"/>
    <w:rsid w:val="3F532150"/>
    <w:rsid w:val="3F543ABA"/>
    <w:rsid w:val="3F5711F2"/>
    <w:rsid w:val="3F635B6B"/>
    <w:rsid w:val="3F6C1982"/>
    <w:rsid w:val="3F95686E"/>
    <w:rsid w:val="3F9828FD"/>
    <w:rsid w:val="3FBC7210"/>
    <w:rsid w:val="3FBF3AA2"/>
    <w:rsid w:val="3FC23C92"/>
    <w:rsid w:val="3FDD116B"/>
    <w:rsid w:val="3FF13922"/>
    <w:rsid w:val="3FFC5BC4"/>
    <w:rsid w:val="400E3515"/>
    <w:rsid w:val="400E7532"/>
    <w:rsid w:val="401C73E9"/>
    <w:rsid w:val="40267D8E"/>
    <w:rsid w:val="402C3DD7"/>
    <w:rsid w:val="40382BCC"/>
    <w:rsid w:val="403B0B1D"/>
    <w:rsid w:val="40474EE4"/>
    <w:rsid w:val="4067744E"/>
    <w:rsid w:val="4079565C"/>
    <w:rsid w:val="407A0614"/>
    <w:rsid w:val="407D70E7"/>
    <w:rsid w:val="40841DB0"/>
    <w:rsid w:val="40945E2B"/>
    <w:rsid w:val="409B1752"/>
    <w:rsid w:val="40A47BC2"/>
    <w:rsid w:val="40A74787"/>
    <w:rsid w:val="40B64E3E"/>
    <w:rsid w:val="40CD32BC"/>
    <w:rsid w:val="40D10751"/>
    <w:rsid w:val="40D35BD4"/>
    <w:rsid w:val="40E631BD"/>
    <w:rsid w:val="40F11CD0"/>
    <w:rsid w:val="40F969FC"/>
    <w:rsid w:val="41027943"/>
    <w:rsid w:val="41084A3F"/>
    <w:rsid w:val="411C44CB"/>
    <w:rsid w:val="4121353A"/>
    <w:rsid w:val="412D4F08"/>
    <w:rsid w:val="41341585"/>
    <w:rsid w:val="414337A0"/>
    <w:rsid w:val="414A346E"/>
    <w:rsid w:val="416B4744"/>
    <w:rsid w:val="416B585C"/>
    <w:rsid w:val="417219C0"/>
    <w:rsid w:val="417F220B"/>
    <w:rsid w:val="4198236F"/>
    <w:rsid w:val="41A2536B"/>
    <w:rsid w:val="41A427A3"/>
    <w:rsid w:val="41B01FC2"/>
    <w:rsid w:val="41B621CF"/>
    <w:rsid w:val="41B77634"/>
    <w:rsid w:val="41D733E5"/>
    <w:rsid w:val="41DA6B97"/>
    <w:rsid w:val="41E01632"/>
    <w:rsid w:val="41E35B57"/>
    <w:rsid w:val="41EE5246"/>
    <w:rsid w:val="420C6FB2"/>
    <w:rsid w:val="42132DC6"/>
    <w:rsid w:val="4216331A"/>
    <w:rsid w:val="423D2C52"/>
    <w:rsid w:val="424D5404"/>
    <w:rsid w:val="424E6925"/>
    <w:rsid w:val="425075AF"/>
    <w:rsid w:val="42577226"/>
    <w:rsid w:val="425B469E"/>
    <w:rsid w:val="4267386E"/>
    <w:rsid w:val="42716F5E"/>
    <w:rsid w:val="42757283"/>
    <w:rsid w:val="427D6BF1"/>
    <w:rsid w:val="42806BEC"/>
    <w:rsid w:val="429D49DE"/>
    <w:rsid w:val="42BE4F76"/>
    <w:rsid w:val="42C11252"/>
    <w:rsid w:val="42CB4C5F"/>
    <w:rsid w:val="42D519AC"/>
    <w:rsid w:val="42DC78A2"/>
    <w:rsid w:val="42E845AD"/>
    <w:rsid w:val="42F449F9"/>
    <w:rsid w:val="4303205F"/>
    <w:rsid w:val="43115DD3"/>
    <w:rsid w:val="434066A2"/>
    <w:rsid w:val="434250DE"/>
    <w:rsid w:val="43625E59"/>
    <w:rsid w:val="43653C98"/>
    <w:rsid w:val="43A375CE"/>
    <w:rsid w:val="43A530FE"/>
    <w:rsid w:val="43B836AA"/>
    <w:rsid w:val="43CB164D"/>
    <w:rsid w:val="43D46D36"/>
    <w:rsid w:val="43DD0912"/>
    <w:rsid w:val="43DD2DB9"/>
    <w:rsid w:val="43E91F20"/>
    <w:rsid w:val="43F25407"/>
    <w:rsid w:val="43FA34D8"/>
    <w:rsid w:val="440617F2"/>
    <w:rsid w:val="441F2CE6"/>
    <w:rsid w:val="4420334A"/>
    <w:rsid w:val="446B5263"/>
    <w:rsid w:val="446D03BF"/>
    <w:rsid w:val="448805B9"/>
    <w:rsid w:val="448F475A"/>
    <w:rsid w:val="44950494"/>
    <w:rsid w:val="449546F2"/>
    <w:rsid w:val="44AC25F1"/>
    <w:rsid w:val="44B861B7"/>
    <w:rsid w:val="44BA370D"/>
    <w:rsid w:val="44BD2AEA"/>
    <w:rsid w:val="44BE3408"/>
    <w:rsid w:val="44CA1984"/>
    <w:rsid w:val="44D11071"/>
    <w:rsid w:val="44D6598F"/>
    <w:rsid w:val="44E11D77"/>
    <w:rsid w:val="450A18EB"/>
    <w:rsid w:val="450D750F"/>
    <w:rsid w:val="451D201E"/>
    <w:rsid w:val="45260D46"/>
    <w:rsid w:val="45403199"/>
    <w:rsid w:val="45434942"/>
    <w:rsid w:val="455A6C52"/>
    <w:rsid w:val="45645A62"/>
    <w:rsid w:val="45684BA8"/>
    <w:rsid w:val="458D6027"/>
    <w:rsid w:val="45917F4C"/>
    <w:rsid w:val="45935AEF"/>
    <w:rsid w:val="45A9189F"/>
    <w:rsid w:val="45AB0F84"/>
    <w:rsid w:val="45AC0B73"/>
    <w:rsid w:val="45BB5620"/>
    <w:rsid w:val="45C55A0E"/>
    <w:rsid w:val="45D73973"/>
    <w:rsid w:val="45E97EC0"/>
    <w:rsid w:val="45EA48A0"/>
    <w:rsid w:val="45F2245D"/>
    <w:rsid w:val="45F2569D"/>
    <w:rsid w:val="45FC54AE"/>
    <w:rsid w:val="4631666F"/>
    <w:rsid w:val="46390881"/>
    <w:rsid w:val="46435311"/>
    <w:rsid w:val="46540AFF"/>
    <w:rsid w:val="465950BA"/>
    <w:rsid w:val="467B0053"/>
    <w:rsid w:val="468A6331"/>
    <w:rsid w:val="469D1267"/>
    <w:rsid w:val="46AE3B1E"/>
    <w:rsid w:val="46B12CDB"/>
    <w:rsid w:val="46B91F26"/>
    <w:rsid w:val="46BF773B"/>
    <w:rsid w:val="46F03EF8"/>
    <w:rsid w:val="46F21CD1"/>
    <w:rsid w:val="470000E2"/>
    <w:rsid w:val="47016A25"/>
    <w:rsid w:val="47076C06"/>
    <w:rsid w:val="47137788"/>
    <w:rsid w:val="4715276D"/>
    <w:rsid w:val="47256125"/>
    <w:rsid w:val="472D1847"/>
    <w:rsid w:val="474E29C8"/>
    <w:rsid w:val="474E6020"/>
    <w:rsid w:val="475F2963"/>
    <w:rsid w:val="475F4743"/>
    <w:rsid w:val="476513C5"/>
    <w:rsid w:val="478D5986"/>
    <w:rsid w:val="4791705C"/>
    <w:rsid w:val="47935219"/>
    <w:rsid w:val="479B2F25"/>
    <w:rsid w:val="47C9673C"/>
    <w:rsid w:val="47CC1D1C"/>
    <w:rsid w:val="47DA19E2"/>
    <w:rsid w:val="47EF13CA"/>
    <w:rsid w:val="48014065"/>
    <w:rsid w:val="48087DA8"/>
    <w:rsid w:val="480A1F47"/>
    <w:rsid w:val="4826468A"/>
    <w:rsid w:val="48436774"/>
    <w:rsid w:val="48632B3C"/>
    <w:rsid w:val="486E2F78"/>
    <w:rsid w:val="4875501E"/>
    <w:rsid w:val="487E35D4"/>
    <w:rsid w:val="489302A3"/>
    <w:rsid w:val="48931799"/>
    <w:rsid w:val="4896447E"/>
    <w:rsid w:val="48A04A19"/>
    <w:rsid w:val="48AC1F5E"/>
    <w:rsid w:val="48AC61D8"/>
    <w:rsid w:val="48B16848"/>
    <w:rsid w:val="48BC2B40"/>
    <w:rsid w:val="48C1701C"/>
    <w:rsid w:val="48C9510E"/>
    <w:rsid w:val="48E74B46"/>
    <w:rsid w:val="48EE2F0A"/>
    <w:rsid w:val="48F34DFF"/>
    <w:rsid w:val="490260FB"/>
    <w:rsid w:val="49091D14"/>
    <w:rsid w:val="490E1005"/>
    <w:rsid w:val="491221FA"/>
    <w:rsid w:val="491633B3"/>
    <w:rsid w:val="49332B9D"/>
    <w:rsid w:val="494628C4"/>
    <w:rsid w:val="49570150"/>
    <w:rsid w:val="495930FA"/>
    <w:rsid w:val="495C20AE"/>
    <w:rsid w:val="49626727"/>
    <w:rsid w:val="498A2D93"/>
    <w:rsid w:val="498A448F"/>
    <w:rsid w:val="49950EDE"/>
    <w:rsid w:val="499819EF"/>
    <w:rsid w:val="49AC1B59"/>
    <w:rsid w:val="49AC750C"/>
    <w:rsid w:val="49C50D39"/>
    <w:rsid w:val="49D84F8F"/>
    <w:rsid w:val="49FE0C57"/>
    <w:rsid w:val="4A0714CC"/>
    <w:rsid w:val="4A0C47F4"/>
    <w:rsid w:val="4A334FAF"/>
    <w:rsid w:val="4A4315DF"/>
    <w:rsid w:val="4A7776F8"/>
    <w:rsid w:val="4A992887"/>
    <w:rsid w:val="4ABA5543"/>
    <w:rsid w:val="4AC20F97"/>
    <w:rsid w:val="4AC54C7C"/>
    <w:rsid w:val="4AD53FD3"/>
    <w:rsid w:val="4AF0448B"/>
    <w:rsid w:val="4AFD68DA"/>
    <w:rsid w:val="4B056E95"/>
    <w:rsid w:val="4B0C3A0B"/>
    <w:rsid w:val="4B213D10"/>
    <w:rsid w:val="4B2C42C5"/>
    <w:rsid w:val="4B3A6678"/>
    <w:rsid w:val="4B3F30FC"/>
    <w:rsid w:val="4B4822FD"/>
    <w:rsid w:val="4B5848EA"/>
    <w:rsid w:val="4B5E25E2"/>
    <w:rsid w:val="4B9628E3"/>
    <w:rsid w:val="4BB041E9"/>
    <w:rsid w:val="4BB9526D"/>
    <w:rsid w:val="4BBC3E95"/>
    <w:rsid w:val="4BC720A4"/>
    <w:rsid w:val="4BE14337"/>
    <w:rsid w:val="4BF449EC"/>
    <w:rsid w:val="4BF75249"/>
    <w:rsid w:val="4C0E0AB4"/>
    <w:rsid w:val="4C1638B2"/>
    <w:rsid w:val="4C226146"/>
    <w:rsid w:val="4C367327"/>
    <w:rsid w:val="4C542DFD"/>
    <w:rsid w:val="4C5436A5"/>
    <w:rsid w:val="4C5619FF"/>
    <w:rsid w:val="4C67797F"/>
    <w:rsid w:val="4C764662"/>
    <w:rsid w:val="4C76670D"/>
    <w:rsid w:val="4C7E005A"/>
    <w:rsid w:val="4C81256B"/>
    <w:rsid w:val="4C912D49"/>
    <w:rsid w:val="4C95161A"/>
    <w:rsid w:val="4C9F0E0B"/>
    <w:rsid w:val="4CAB57AF"/>
    <w:rsid w:val="4CAF5F29"/>
    <w:rsid w:val="4CB27E71"/>
    <w:rsid w:val="4CB40AE3"/>
    <w:rsid w:val="4CB86D2D"/>
    <w:rsid w:val="4CBA21C2"/>
    <w:rsid w:val="4CC44A76"/>
    <w:rsid w:val="4CCA47D5"/>
    <w:rsid w:val="4CCE01CA"/>
    <w:rsid w:val="4CCE2F02"/>
    <w:rsid w:val="4CD82952"/>
    <w:rsid w:val="4CDB3FD7"/>
    <w:rsid w:val="4CDD1C5C"/>
    <w:rsid w:val="4CE44A86"/>
    <w:rsid w:val="4D107BF0"/>
    <w:rsid w:val="4D126EC4"/>
    <w:rsid w:val="4D4F05D7"/>
    <w:rsid w:val="4D546FF4"/>
    <w:rsid w:val="4D955825"/>
    <w:rsid w:val="4D9D2EFA"/>
    <w:rsid w:val="4DAF0678"/>
    <w:rsid w:val="4DC46B33"/>
    <w:rsid w:val="4DD102A7"/>
    <w:rsid w:val="4DD667A6"/>
    <w:rsid w:val="4DDC0BD4"/>
    <w:rsid w:val="4DE569EA"/>
    <w:rsid w:val="4DEC3178"/>
    <w:rsid w:val="4DF4339B"/>
    <w:rsid w:val="4E004E38"/>
    <w:rsid w:val="4E1A3C03"/>
    <w:rsid w:val="4E2876F1"/>
    <w:rsid w:val="4E465CA3"/>
    <w:rsid w:val="4E595C86"/>
    <w:rsid w:val="4E5B5607"/>
    <w:rsid w:val="4E7E5239"/>
    <w:rsid w:val="4E881B78"/>
    <w:rsid w:val="4EC479DE"/>
    <w:rsid w:val="4ECA642D"/>
    <w:rsid w:val="4ECE619C"/>
    <w:rsid w:val="4EF03AAD"/>
    <w:rsid w:val="4EFE18D7"/>
    <w:rsid w:val="4F0530A4"/>
    <w:rsid w:val="4F06429E"/>
    <w:rsid w:val="4F0F7AE3"/>
    <w:rsid w:val="4F2A1B27"/>
    <w:rsid w:val="4F79555A"/>
    <w:rsid w:val="4F945D57"/>
    <w:rsid w:val="4FA726D6"/>
    <w:rsid w:val="4FB1074F"/>
    <w:rsid w:val="4FB77C42"/>
    <w:rsid w:val="4FC3400F"/>
    <w:rsid w:val="4FD04826"/>
    <w:rsid w:val="4FD34568"/>
    <w:rsid w:val="4FD9398C"/>
    <w:rsid w:val="4FDF1B12"/>
    <w:rsid w:val="4FE145CA"/>
    <w:rsid w:val="4FFB1F0F"/>
    <w:rsid w:val="50081DCD"/>
    <w:rsid w:val="50147E37"/>
    <w:rsid w:val="50170ED2"/>
    <w:rsid w:val="50283985"/>
    <w:rsid w:val="502E389E"/>
    <w:rsid w:val="50327F4C"/>
    <w:rsid w:val="503475A8"/>
    <w:rsid w:val="504222B0"/>
    <w:rsid w:val="50486CBC"/>
    <w:rsid w:val="508D202F"/>
    <w:rsid w:val="50926F63"/>
    <w:rsid w:val="50997655"/>
    <w:rsid w:val="509D6C84"/>
    <w:rsid w:val="50AF48E4"/>
    <w:rsid w:val="50C86BB3"/>
    <w:rsid w:val="50CC72DC"/>
    <w:rsid w:val="50CD4DA0"/>
    <w:rsid w:val="50CF7FD4"/>
    <w:rsid w:val="50E042B2"/>
    <w:rsid w:val="50EF0BD8"/>
    <w:rsid w:val="51074095"/>
    <w:rsid w:val="510C157A"/>
    <w:rsid w:val="51275051"/>
    <w:rsid w:val="51301AA0"/>
    <w:rsid w:val="51330ED4"/>
    <w:rsid w:val="513F2F29"/>
    <w:rsid w:val="51401B45"/>
    <w:rsid w:val="5147342C"/>
    <w:rsid w:val="5148408F"/>
    <w:rsid w:val="514D36C2"/>
    <w:rsid w:val="514E2D70"/>
    <w:rsid w:val="516079C7"/>
    <w:rsid w:val="51666995"/>
    <w:rsid w:val="51953B7F"/>
    <w:rsid w:val="51A24AB0"/>
    <w:rsid w:val="51AC1F48"/>
    <w:rsid w:val="51B06F09"/>
    <w:rsid w:val="51B379E7"/>
    <w:rsid w:val="51B729CF"/>
    <w:rsid w:val="51B9499D"/>
    <w:rsid w:val="51D813C6"/>
    <w:rsid w:val="51DF12B5"/>
    <w:rsid w:val="51DF2E74"/>
    <w:rsid w:val="51F34082"/>
    <w:rsid w:val="51FB7581"/>
    <w:rsid w:val="51FC4E00"/>
    <w:rsid w:val="51FF49CE"/>
    <w:rsid w:val="522D6AD6"/>
    <w:rsid w:val="52383444"/>
    <w:rsid w:val="523A5957"/>
    <w:rsid w:val="525C6A9F"/>
    <w:rsid w:val="52645DAA"/>
    <w:rsid w:val="527903F5"/>
    <w:rsid w:val="528A1A0D"/>
    <w:rsid w:val="529A15E0"/>
    <w:rsid w:val="529A7116"/>
    <w:rsid w:val="52A4077C"/>
    <w:rsid w:val="52AC662D"/>
    <w:rsid w:val="52B50779"/>
    <w:rsid w:val="52B52CD8"/>
    <w:rsid w:val="52DE24C5"/>
    <w:rsid w:val="52E11901"/>
    <w:rsid w:val="52E4473F"/>
    <w:rsid w:val="52E6098B"/>
    <w:rsid w:val="52E86A8A"/>
    <w:rsid w:val="52EA51A3"/>
    <w:rsid w:val="52F262C0"/>
    <w:rsid w:val="52F479D5"/>
    <w:rsid w:val="52F66CEB"/>
    <w:rsid w:val="52FB0724"/>
    <w:rsid w:val="52FB1AC6"/>
    <w:rsid w:val="52FD77D9"/>
    <w:rsid w:val="530A479A"/>
    <w:rsid w:val="530E3C15"/>
    <w:rsid w:val="531664D8"/>
    <w:rsid w:val="531E7977"/>
    <w:rsid w:val="53473DF9"/>
    <w:rsid w:val="535673AF"/>
    <w:rsid w:val="536058A5"/>
    <w:rsid w:val="536D08A8"/>
    <w:rsid w:val="5370427D"/>
    <w:rsid w:val="537C5558"/>
    <w:rsid w:val="53881649"/>
    <w:rsid w:val="538D5288"/>
    <w:rsid w:val="53942C51"/>
    <w:rsid w:val="539774F6"/>
    <w:rsid w:val="539C2B80"/>
    <w:rsid w:val="53BD156D"/>
    <w:rsid w:val="53D8262B"/>
    <w:rsid w:val="53EA1820"/>
    <w:rsid w:val="53F526C5"/>
    <w:rsid w:val="53FA4FDF"/>
    <w:rsid w:val="53FF6164"/>
    <w:rsid w:val="540B7B86"/>
    <w:rsid w:val="541175C6"/>
    <w:rsid w:val="542841C7"/>
    <w:rsid w:val="54291570"/>
    <w:rsid w:val="542A6069"/>
    <w:rsid w:val="542B3836"/>
    <w:rsid w:val="542B5FE8"/>
    <w:rsid w:val="542F19AB"/>
    <w:rsid w:val="543729F0"/>
    <w:rsid w:val="54385976"/>
    <w:rsid w:val="5446381C"/>
    <w:rsid w:val="54464093"/>
    <w:rsid w:val="545719A0"/>
    <w:rsid w:val="546C468E"/>
    <w:rsid w:val="546F1DF9"/>
    <w:rsid w:val="54713687"/>
    <w:rsid w:val="54903FE8"/>
    <w:rsid w:val="54950281"/>
    <w:rsid w:val="549A39C0"/>
    <w:rsid w:val="54AE6D86"/>
    <w:rsid w:val="54B46162"/>
    <w:rsid w:val="54CB396C"/>
    <w:rsid w:val="54E811E0"/>
    <w:rsid w:val="54FE1D62"/>
    <w:rsid w:val="55000368"/>
    <w:rsid w:val="550A641A"/>
    <w:rsid w:val="550A73AA"/>
    <w:rsid w:val="550C3845"/>
    <w:rsid w:val="550E679E"/>
    <w:rsid w:val="550F558A"/>
    <w:rsid w:val="55102589"/>
    <w:rsid w:val="55134DDA"/>
    <w:rsid w:val="55141AD3"/>
    <w:rsid w:val="55210310"/>
    <w:rsid w:val="55226F86"/>
    <w:rsid w:val="552448E0"/>
    <w:rsid w:val="55620F19"/>
    <w:rsid w:val="557F0DD7"/>
    <w:rsid w:val="55956798"/>
    <w:rsid w:val="55957627"/>
    <w:rsid w:val="55A446C3"/>
    <w:rsid w:val="55B01FC3"/>
    <w:rsid w:val="55C008C7"/>
    <w:rsid w:val="55C3517F"/>
    <w:rsid w:val="55CA03CC"/>
    <w:rsid w:val="55D37A3B"/>
    <w:rsid w:val="55D80F38"/>
    <w:rsid w:val="55E320D6"/>
    <w:rsid w:val="55EB5E0E"/>
    <w:rsid w:val="55EC3634"/>
    <w:rsid w:val="55F35DEB"/>
    <w:rsid w:val="55F422A4"/>
    <w:rsid w:val="55FE2599"/>
    <w:rsid w:val="56040233"/>
    <w:rsid w:val="5607555D"/>
    <w:rsid w:val="56245862"/>
    <w:rsid w:val="5629579B"/>
    <w:rsid w:val="562D652D"/>
    <w:rsid w:val="563229FE"/>
    <w:rsid w:val="563666D0"/>
    <w:rsid w:val="56370685"/>
    <w:rsid w:val="56376A98"/>
    <w:rsid w:val="563E0E00"/>
    <w:rsid w:val="563F50BF"/>
    <w:rsid w:val="56414DEA"/>
    <w:rsid w:val="5650598B"/>
    <w:rsid w:val="565900E5"/>
    <w:rsid w:val="56711776"/>
    <w:rsid w:val="568B68BC"/>
    <w:rsid w:val="569F43FD"/>
    <w:rsid w:val="56A16B9C"/>
    <w:rsid w:val="56A634DF"/>
    <w:rsid w:val="56AA3C60"/>
    <w:rsid w:val="56D35BDC"/>
    <w:rsid w:val="56D87A3B"/>
    <w:rsid w:val="56E05184"/>
    <w:rsid w:val="56E630EB"/>
    <w:rsid w:val="56F50FA1"/>
    <w:rsid w:val="570E531D"/>
    <w:rsid w:val="571268D2"/>
    <w:rsid w:val="57233FFC"/>
    <w:rsid w:val="573B06DA"/>
    <w:rsid w:val="574A6914"/>
    <w:rsid w:val="57673DE2"/>
    <w:rsid w:val="57904574"/>
    <w:rsid w:val="57B7309F"/>
    <w:rsid w:val="57BB2D10"/>
    <w:rsid w:val="57C256B2"/>
    <w:rsid w:val="57D82895"/>
    <w:rsid w:val="580066E7"/>
    <w:rsid w:val="58234BF3"/>
    <w:rsid w:val="58267E98"/>
    <w:rsid w:val="582B3634"/>
    <w:rsid w:val="586A172B"/>
    <w:rsid w:val="58721E8E"/>
    <w:rsid w:val="587E1000"/>
    <w:rsid w:val="58832DC3"/>
    <w:rsid w:val="58871A1F"/>
    <w:rsid w:val="58896C82"/>
    <w:rsid w:val="58925AF5"/>
    <w:rsid w:val="58A17C4B"/>
    <w:rsid w:val="58B45955"/>
    <w:rsid w:val="58B757C7"/>
    <w:rsid w:val="58C6127B"/>
    <w:rsid w:val="58CB0564"/>
    <w:rsid w:val="58D06389"/>
    <w:rsid w:val="58E07BF8"/>
    <w:rsid w:val="58E42079"/>
    <w:rsid w:val="58E4362B"/>
    <w:rsid w:val="58EC444F"/>
    <w:rsid w:val="58F12FEA"/>
    <w:rsid w:val="58FB2964"/>
    <w:rsid w:val="58FC4A8A"/>
    <w:rsid w:val="59080ACC"/>
    <w:rsid w:val="59151477"/>
    <w:rsid w:val="59184673"/>
    <w:rsid w:val="59245CFC"/>
    <w:rsid w:val="592542F6"/>
    <w:rsid w:val="59264E05"/>
    <w:rsid w:val="59277B98"/>
    <w:rsid w:val="592B5B5A"/>
    <w:rsid w:val="594C6690"/>
    <w:rsid w:val="594E4ABA"/>
    <w:rsid w:val="595729F3"/>
    <w:rsid w:val="598037EF"/>
    <w:rsid w:val="59824464"/>
    <w:rsid w:val="599503B0"/>
    <w:rsid w:val="59AD0583"/>
    <w:rsid w:val="59C85971"/>
    <w:rsid w:val="59CC1D54"/>
    <w:rsid w:val="59DF79C5"/>
    <w:rsid w:val="59E14ACA"/>
    <w:rsid w:val="59F40308"/>
    <w:rsid w:val="59F45A8E"/>
    <w:rsid w:val="59FA18BA"/>
    <w:rsid w:val="5A076157"/>
    <w:rsid w:val="5A0D04C7"/>
    <w:rsid w:val="5A151D3C"/>
    <w:rsid w:val="5A1B3E65"/>
    <w:rsid w:val="5A2566CC"/>
    <w:rsid w:val="5A355077"/>
    <w:rsid w:val="5A4C73C8"/>
    <w:rsid w:val="5A4E7F1E"/>
    <w:rsid w:val="5A53127A"/>
    <w:rsid w:val="5A644349"/>
    <w:rsid w:val="5A8A78DC"/>
    <w:rsid w:val="5A997FDD"/>
    <w:rsid w:val="5AAB1868"/>
    <w:rsid w:val="5AB26F57"/>
    <w:rsid w:val="5AC254DD"/>
    <w:rsid w:val="5AC41023"/>
    <w:rsid w:val="5AD3590E"/>
    <w:rsid w:val="5AE676A7"/>
    <w:rsid w:val="5AFE65E2"/>
    <w:rsid w:val="5B110484"/>
    <w:rsid w:val="5B1146F6"/>
    <w:rsid w:val="5B1771DA"/>
    <w:rsid w:val="5B3F0F34"/>
    <w:rsid w:val="5B4163FE"/>
    <w:rsid w:val="5B5C2300"/>
    <w:rsid w:val="5B6D264F"/>
    <w:rsid w:val="5B722DA8"/>
    <w:rsid w:val="5B781E23"/>
    <w:rsid w:val="5B825016"/>
    <w:rsid w:val="5B833730"/>
    <w:rsid w:val="5B9153D6"/>
    <w:rsid w:val="5B9767CE"/>
    <w:rsid w:val="5B9F4F4B"/>
    <w:rsid w:val="5BA5639A"/>
    <w:rsid w:val="5BB23813"/>
    <w:rsid w:val="5BBC4FC5"/>
    <w:rsid w:val="5BC103D1"/>
    <w:rsid w:val="5BDC7911"/>
    <w:rsid w:val="5BDF659D"/>
    <w:rsid w:val="5C072AC2"/>
    <w:rsid w:val="5C120134"/>
    <w:rsid w:val="5C1D455F"/>
    <w:rsid w:val="5C254B31"/>
    <w:rsid w:val="5C2E1C71"/>
    <w:rsid w:val="5C302BD2"/>
    <w:rsid w:val="5C317A2C"/>
    <w:rsid w:val="5C3573F5"/>
    <w:rsid w:val="5C3631A2"/>
    <w:rsid w:val="5C487B8B"/>
    <w:rsid w:val="5C4F4145"/>
    <w:rsid w:val="5C513BBE"/>
    <w:rsid w:val="5C5C0287"/>
    <w:rsid w:val="5C656AB6"/>
    <w:rsid w:val="5C6E2876"/>
    <w:rsid w:val="5C794D0F"/>
    <w:rsid w:val="5C7E1583"/>
    <w:rsid w:val="5C890CB0"/>
    <w:rsid w:val="5C912127"/>
    <w:rsid w:val="5C990085"/>
    <w:rsid w:val="5CA44044"/>
    <w:rsid w:val="5CB702A9"/>
    <w:rsid w:val="5CD62033"/>
    <w:rsid w:val="5D0E0221"/>
    <w:rsid w:val="5D17644F"/>
    <w:rsid w:val="5D1B5326"/>
    <w:rsid w:val="5D1B6DC0"/>
    <w:rsid w:val="5D1F673B"/>
    <w:rsid w:val="5D262A99"/>
    <w:rsid w:val="5D461951"/>
    <w:rsid w:val="5D581C70"/>
    <w:rsid w:val="5D583BED"/>
    <w:rsid w:val="5D5918D1"/>
    <w:rsid w:val="5D5F5F9F"/>
    <w:rsid w:val="5D6B1CC0"/>
    <w:rsid w:val="5D9924A6"/>
    <w:rsid w:val="5D9A106F"/>
    <w:rsid w:val="5D9C1821"/>
    <w:rsid w:val="5D9F69F0"/>
    <w:rsid w:val="5DB403DA"/>
    <w:rsid w:val="5DC1780C"/>
    <w:rsid w:val="5DC5598B"/>
    <w:rsid w:val="5DCC3602"/>
    <w:rsid w:val="5DD136AD"/>
    <w:rsid w:val="5DE458A7"/>
    <w:rsid w:val="5DFA65CB"/>
    <w:rsid w:val="5DFB26C3"/>
    <w:rsid w:val="5DFD13A8"/>
    <w:rsid w:val="5E001E6D"/>
    <w:rsid w:val="5E0B2B47"/>
    <w:rsid w:val="5E170D56"/>
    <w:rsid w:val="5E312D94"/>
    <w:rsid w:val="5E334255"/>
    <w:rsid w:val="5E7E1DDC"/>
    <w:rsid w:val="5E886789"/>
    <w:rsid w:val="5E8D319C"/>
    <w:rsid w:val="5E97479C"/>
    <w:rsid w:val="5E993A8C"/>
    <w:rsid w:val="5E9A00DF"/>
    <w:rsid w:val="5EC442F5"/>
    <w:rsid w:val="5EC56094"/>
    <w:rsid w:val="5EC74623"/>
    <w:rsid w:val="5EC848DC"/>
    <w:rsid w:val="5EC94A86"/>
    <w:rsid w:val="5ED75D25"/>
    <w:rsid w:val="5EE076AA"/>
    <w:rsid w:val="5EE914C3"/>
    <w:rsid w:val="5EF83694"/>
    <w:rsid w:val="5EFC69FB"/>
    <w:rsid w:val="5F0F25AB"/>
    <w:rsid w:val="5F1150AB"/>
    <w:rsid w:val="5F1C7711"/>
    <w:rsid w:val="5F2175CE"/>
    <w:rsid w:val="5F230FA0"/>
    <w:rsid w:val="5F42360F"/>
    <w:rsid w:val="5F857C60"/>
    <w:rsid w:val="5F9B6D48"/>
    <w:rsid w:val="5FA7437B"/>
    <w:rsid w:val="5FD92CB5"/>
    <w:rsid w:val="5FEB5CC5"/>
    <w:rsid w:val="5FFA27D6"/>
    <w:rsid w:val="60136FBF"/>
    <w:rsid w:val="601436DA"/>
    <w:rsid w:val="60180B6B"/>
    <w:rsid w:val="601A105C"/>
    <w:rsid w:val="6020439A"/>
    <w:rsid w:val="604520E7"/>
    <w:rsid w:val="604629AF"/>
    <w:rsid w:val="607432D5"/>
    <w:rsid w:val="607F7A0B"/>
    <w:rsid w:val="608D0820"/>
    <w:rsid w:val="6091234D"/>
    <w:rsid w:val="609537B1"/>
    <w:rsid w:val="60982CBC"/>
    <w:rsid w:val="60AE2340"/>
    <w:rsid w:val="60AF3990"/>
    <w:rsid w:val="60B80B5C"/>
    <w:rsid w:val="60B875A4"/>
    <w:rsid w:val="60D109ED"/>
    <w:rsid w:val="60D63538"/>
    <w:rsid w:val="60D96BD7"/>
    <w:rsid w:val="60DC31C4"/>
    <w:rsid w:val="60E81616"/>
    <w:rsid w:val="610D5126"/>
    <w:rsid w:val="611046CB"/>
    <w:rsid w:val="61146A09"/>
    <w:rsid w:val="611F52BF"/>
    <w:rsid w:val="612C6F7A"/>
    <w:rsid w:val="61322BFF"/>
    <w:rsid w:val="61356887"/>
    <w:rsid w:val="613A5C2E"/>
    <w:rsid w:val="614D6CCB"/>
    <w:rsid w:val="615343C6"/>
    <w:rsid w:val="616235C9"/>
    <w:rsid w:val="616946D9"/>
    <w:rsid w:val="61707B35"/>
    <w:rsid w:val="61773EEB"/>
    <w:rsid w:val="618C5232"/>
    <w:rsid w:val="61943C95"/>
    <w:rsid w:val="61973749"/>
    <w:rsid w:val="619D1E38"/>
    <w:rsid w:val="619F4CAF"/>
    <w:rsid w:val="61AA3A4B"/>
    <w:rsid w:val="61BF627C"/>
    <w:rsid w:val="61DB1857"/>
    <w:rsid w:val="62072FE3"/>
    <w:rsid w:val="621002DB"/>
    <w:rsid w:val="621E262A"/>
    <w:rsid w:val="62283F17"/>
    <w:rsid w:val="623474C0"/>
    <w:rsid w:val="62372A47"/>
    <w:rsid w:val="624E3DA8"/>
    <w:rsid w:val="626A7C77"/>
    <w:rsid w:val="62724D47"/>
    <w:rsid w:val="62A17511"/>
    <w:rsid w:val="62A9523A"/>
    <w:rsid w:val="62A97CD6"/>
    <w:rsid w:val="62AD50A7"/>
    <w:rsid w:val="62B81204"/>
    <w:rsid w:val="62B972FD"/>
    <w:rsid w:val="62CE4F38"/>
    <w:rsid w:val="62DF4F0B"/>
    <w:rsid w:val="62F55830"/>
    <w:rsid w:val="62F6764C"/>
    <w:rsid w:val="62FC189B"/>
    <w:rsid w:val="62FF2A4C"/>
    <w:rsid w:val="630132FB"/>
    <w:rsid w:val="6315298D"/>
    <w:rsid w:val="631E4341"/>
    <w:rsid w:val="63221593"/>
    <w:rsid w:val="63316161"/>
    <w:rsid w:val="63547CFB"/>
    <w:rsid w:val="635A193F"/>
    <w:rsid w:val="638D7EB0"/>
    <w:rsid w:val="63CF1A59"/>
    <w:rsid w:val="63DC53E7"/>
    <w:rsid w:val="63DF5923"/>
    <w:rsid w:val="63F603BA"/>
    <w:rsid w:val="63FA5093"/>
    <w:rsid w:val="64077497"/>
    <w:rsid w:val="640913C5"/>
    <w:rsid w:val="640B4D94"/>
    <w:rsid w:val="64303700"/>
    <w:rsid w:val="6433111E"/>
    <w:rsid w:val="64476BA1"/>
    <w:rsid w:val="64706B0B"/>
    <w:rsid w:val="64723FA1"/>
    <w:rsid w:val="64777C5D"/>
    <w:rsid w:val="64834AC0"/>
    <w:rsid w:val="64840BC5"/>
    <w:rsid w:val="64936F01"/>
    <w:rsid w:val="64997164"/>
    <w:rsid w:val="64A51691"/>
    <w:rsid w:val="64B87F2A"/>
    <w:rsid w:val="64C11A95"/>
    <w:rsid w:val="64CA66CA"/>
    <w:rsid w:val="64F602E0"/>
    <w:rsid w:val="64F91EF5"/>
    <w:rsid w:val="65033D16"/>
    <w:rsid w:val="65051BD5"/>
    <w:rsid w:val="65191BE8"/>
    <w:rsid w:val="651F2D61"/>
    <w:rsid w:val="652007E3"/>
    <w:rsid w:val="65390198"/>
    <w:rsid w:val="654051CF"/>
    <w:rsid w:val="654962DD"/>
    <w:rsid w:val="65542B6A"/>
    <w:rsid w:val="655561C9"/>
    <w:rsid w:val="65665E86"/>
    <w:rsid w:val="657C0319"/>
    <w:rsid w:val="658D1136"/>
    <w:rsid w:val="658D5441"/>
    <w:rsid w:val="65977DED"/>
    <w:rsid w:val="65A17839"/>
    <w:rsid w:val="65AB7E8F"/>
    <w:rsid w:val="65E5264A"/>
    <w:rsid w:val="65F06F93"/>
    <w:rsid w:val="65FA0150"/>
    <w:rsid w:val="66031C0C"/>
    <w:rsid w:val="66093404"/>
    <w:rsid w:val="661C08C9"/>
    <w:rsid w:val="66345ED5"/>
    <w:rsid w:val="66417885"/>
    <w:rsid w:val="66455775"/>
    <w:rsid w:val="6650130D"/>
    <w:rsid w:val="669267A0"/>
    <w:rsid w:val="66A07FA0"/>
    <w:rsid w:val="66A62A49"/>
    <w:rsid w:val="66B6197A"/>
    <w:rsid w:val="66B81701"/>
    <w:rsid w:val="66BC5DF7"/>
    <w:rsid w:val="66C1124E"/>
    <w:rsid w:val="66D02AD5"/>
    <w:rsid w:val="66D3683E"/>
    <w:rsid w:val="66D55C4F"/>
    <w:rsid w:val="66DA1C58"/>
    <w:rsid w:val="66EF7C9D"/>
    <w:rsid w:val="66FB10D8"/>
    <w:rsid w:val="67093572"/>
    <w:rsid w:val="670D57A8"/>
    <w:rsid w:val="671E506C"/>
    <w:rsid w:val="67300A65"/>
    <w:rsid w:val="67324EA4"/>
    <w:rsid w:val="67367DE4"/>
    <w:rsid w:val="67597B75"/>
    <w:rsid w:val="676775EA"/>
    <w:rsid w:val="677D0501"/>
    <w:rsid w:val="67AA4964"/>
    <w:rsid w:val="67B37821"/>
    <w:rsid w:val="67BB0A3A"/>
    <w:rsid w:val="67C17FC6"/>
    <w:rsid w:val="67D85FCB"/>
    <w:rsid w:val="67E33780"/>
    <w:rsid w:val="67E96929"/>
    <w:rsid w:val="67EB3B32"/>
    <w:rsid w:val="6812382B"/>
    <w:rsid w:val="683F42E1"/>
    <w:rsid w:val="684616EA"/>
    <w:rsid w:val="68470E3F"/>
    <w:rsid w:val="68613B23"/>
    <w:rsid w:val="686C3018"/>
    <w:rsid w:val="687E527D"/>
    <w:rsid w:val="6883228D"/>
    <w:rsid w:val="688B49B7"/>
    <w:rsid w:val="68912487"/>
    <w:rsid w:val="689126F1"/>
    <w:rsid w:val="68925E8B"/>
    <w:rsid w:val="68AD3132"/>
    <w:rsid w:val="68BD0429"/>
    <w:rsid w:val="68BD25AC"/>
    <w:rsid w:val="68C627D7"/>
    <w:rsid w:val="68CD2B97"/>
    <w:rsid w:val="68DC3034"/>
    <w:rsid w:val="68E77B92"/>
    <w:rsid w:val="68F11244"/>
    <w:rsid w:val="6902027F"/>
    <w:rsid w:val="690B6A69"/>
    <w:rsid w:val="6915312D"/>
    <w:rsid w:val="6916610C"/>
    <w:rsid w:val="691A321C"/>
    <w:rsid w:val="69205FE2"/>
    <w:rsid w:val="69233E67"/>
    <w:rsid w:val="69243400"/>
    <w:rsid w:val="692B0D4C"/>
    <w:rsid w:val="693251B9"/>
    <w:rsid w:val="69362DAC"/>
    <w:rsid w:val="694F2C16"/>
    <w:rsid w:val="69553ADC"/>
    <w:rsid w:val="695E79A3"/>
    <w:rsid w:val="695F6B6D"/>
    <w:rsid w:val="69606FA8"/>
    <w:rsid w:val="696462D8"/>
    <w:rsid w:val="697D20D0"/>
    <w:rsid w:val="6992698A"/>
    <w:rsid w:val="69931C83"/>
    <w:rsid w:val="69962DC6"/>
    <w:rsid w:val="69A0794A"/>
    <w:rsid w:val="69A95707"/>
    <w:rsid w:val="69F753E9"/>
    <w:rsid w:val="6A1D4D2A"/>
    <w:rsid w:val="6A282BA3"/>
    <w:rsid w:val="6A476664"/>
    <w:rsid w:val="6A582E6E"/>
    <w:rsid w:val="6A5B2D03"/>
    <w:rsid w:val="6A6D7968"/>
    <w:rsid w:val="6A825EEF"/>
    <w:rsid w:val="6A8B63AB"/>
    <w:rsid w:val="6A8E534F"/>
    <w:rsid w:val="6A92080D"/>
    <w:rsid w:val="6AA0452A"/>
    <w:rsid w:val="6AA1457D"/>
    <w:rsid w:val="6AB42284"/>
    <w:rsid w:val="6AB43643"/>
    <w:rsid w:val="6AB8343E"/>
    <w:rsid w:val="6AB95345"/>
    <w:rsid w:val="6ABA142F"/>
    <w:rsid w:val="6ACB3994"/>
    <w:rsid w:val="6AD44BA5"/>
    <w:rsid w:val="6AD67EBB"/>
    <w:rsid w:val="6AE01913"/>
    <w:rsid w:val="6AEA3A0D"/>
    <w:rsid w:val="6AED294A"/>
    <w:rsid w:val="6AF630F6"/>
    <w:rsid w:val="6AF96574"/>
    <w:rsid w:val="6B126644"/>
    <w:rsid w:val="6B30219C"/>
    <w:rsid w:val="6B3C4F97"/>
    <w:rsid w:val="6B531E21"/>
    <w:rsid w:val="6B6B0C9C"/>
    <w:rsid w:val="6B7251A0"/>
    <w:rsid w:val="6B795BBC"/>
    <w:rsid w:val="6B825D3B"/>
    <w:rsid w:val="6B875DDC"/>
    <w:rsid w:val="6BA33513"/>
    <w:rsid w:val="6BAD488D"/>
    <w:rsid w:val="6BB83730"/>
    <w:rsid w:val="6BB976DA"/>
    <w:rsid w:val="6BC74EEB"/>
    <w:rsid w:val="6BC77E6E"/>
    <w:rsid w:val="6BCA5958"/>
    <w:rsid w:val="6BD33AB4"/>
    <w:rsid w:val="6BD94617"/>
    <w:rsid w:val="6BEA5426"/>
    <w:rsid w:val="6BEB0393"/>
    <w:rsid w:val="6BF126D2"/>
    <w:rsid w:val="6BF7770E"/>
    <w:rsid w:val="6C0A2147"/>
    <w:rsid w:val="6C1275AF"/>
    <w:rsid w:val="6C2B6FFB"/>
    <w:rsid w:val="6C3068FC"/>
    <w:rsid w:val="6C3F6612"/>
    <w:rsid w:val="6C436973"/>
    <w:rsid w:val="6C49338A"/>
    <w:rsid w:val="6C4B640F"/>
    <w:rsid w:val="6C505AFC"/>
    <w:rsid w:val="6C590D74"/>
    <w:rsid w:val="6C5B2EB0"/>
    <w:rsid w:val="6C5C701A"/>
    <w:rsid w:val="6C875D2A"/>
    <w:rsid w:val="6C88002E"/>
    <w:rsid w:val="6C8E4ED4"/>
    <w:rsid w:val="6C9261BE"/>
    <w:rsid w:val="6CAD47FC"/>
    <w:rsid w:val="6CB10559"/>
    <w:rsid w:val="6CB6024D"/>
    <w:rsid w:val="6CBB3BC4"/>
    <w:rsid w:val="6CBE5226"/>
    <w:rsid w:val="6CC61D04"/>
    <w:rsid w:val="6CC855A6"/>
    <w:rsid w:val="6CC92D2D"/>
    <w:rsid w:val="6CD534B2"/>
    <w:rsid w:val="6CD764FA"/>
    <w:rsid w:val="6CEC3297"/>
    <w:rsid w:val="6CEF078A"/>
    <w:rsid w:val="6D022C97"/>
    <w:rsid w:val="6D0E3150"/>
    <w:rsid w:val="6D172D14"/>
    <w:rsid w:val="6D2B47C4"/>
    <w:rsid w:val="6D651E04"/>
    <w:rsid w:val="6D6B1F42"/>
    <w:rsid w:val="6D702704"/>
    <w:rsid w:val="6D702DF8"/>
    <w:rsid w:val="6D7169AC"/>
    <w:rsid w:val="6D7E0B30"/>
    <w:rsid w:val="6D881EB0"/>
    <w:rsid w:val="6D94161E"/>
    <w:rsid w:val="6DA8501D"/>
    <w:rsid w:val="6DA952A3"/>
    <w:rsid w:val="6DAB1A4F"/>
    <w:rsid w:val="6DAC1E42"/>
    <w:rsid w:val="6DB4084B"/>
    <w:rsid w:val="6DB52389"/>
    <w:rsid w:val="6DC84691"/>
    <w:rsid w:val="6DD37EAB"/>
    <w:rsid w:val="6DD96970"/>
    <w:rsid w:val="6DDF5EBE"/>
    <w:rsid w:val="6DE35A17"/>
    <w:rsid w:val="6DF175B9"/>
    <w:rsid w:val="6DF5597A"/>
    <w:rsid w:val="6E051D29"/>
    <w:rsid w:val="6E0764F5"/>
    <w:rsid w:val="6E091D92"/>
    <w:rsid w:val="6E0F034C"/>
    <w:rsid w:val="6E142F6F"/>
    <w:rsid w:val="6E2144F9"/>
    <w:rsid w:val="6E216A22"/>
    <w:rsid w:val="6E251123"/>
    <w:rsid w:val="6E28024E"/>
    <w:rsid w:val="6E380D0F"/>
    <w:rsid w:val="6E395F0F"/>
    <w:rsid w:val="6E3B2E01"/>
    <w:rsid w:val="6E3F2896"/>
    <w:rsid w:val="6E417F70"/>
    <w:rsid w:val="6E636422"/>
    <w:rsid w:val="6E7538EA"/>
    <w:rsid w:val="6E7D390D"/>
    <w:rsid w:val="6E955BEB"/>
    <w:rsid w:val="6E9D5C12"/>
    <w:rsid w:val="6EA23758"/>
    <w:rsid w:val="6EA7743E"/>
    <w:rsid w:val="6EB851AF"/>
    <w:rsid w:val="6EC47CFD"/>
    <w:rsid w:val="6EE30BE6"/>
    <w:rsid w:val="6EE51F6E"/>
    <w:rsid w:val="6EE74164"/>
    <w:rsid w:val="6F006D7B"/>
    <w:rsid w:val="6F170463"/>
    <w:rsid w:val="6F1D2311"/>
    <w:rsid w:val="6F291F74"/>
    <w:rsid w:val="6F360931"/>
    <w:rsid w:val="6F435E7A"/>
    <w:rsid w:val="6F68581D"/>
    <w:rsid w:val="6F696073"/>
    <w:rsid w:val="6F771A6A"/>
    <w:rsid w:val="6F8215E9"/>
    <w:rsid w:val="6F8D7626"/>
    <w:rsid w:val="6F904395"/>
    <w:rsid w:val="6FAD1D96"/>
    <w:rsid w:val="6FC745FF"/>
    <w:rsid w:val="6FDE4155"/>
    <w:rsid w:val="6FE22DF6"/>
    <w:rsid w:val="70077C2D"/>
    <w:rsid w:val="702A32AC"/>
    <w:rsid w:val="70335130"/>
    <w:rsid w:val="703A7077"/>
    <w:rsid w:val="704044A3"/>
    <w:rsid w:val="704D6320"/>
    <w:rsid w:val="70573C18"/>
    <w:rsid w:val="705F6CD6"/>
    <w:rsid w:val="70711485"/>
    <w:rsid w:val="70760E52"/>
    <w:rsid w:val="707C17AA"/>
    <w:rsid w:val="70836E86"/>
    <w:rsid w:val="708F4D67"/>
    <w:rsid w:val="709543D1"/>
    <w:rsid w:val="709906E7"/>
    <w:rsid w:val="70B00877"/>
    <w:rsid w:val="70CD2E7C"/>
    <w:rsid w:val="70D025D6"/>
    <w:rsid w:val="70D76213"/>
    <w:rsid w:val="70D94FC5"/>
    <w:rsid w:val="711966C9"/>
    <w:rsid w:val="71292890"/>
    <w:rsid w:val="712E3BB1"/>
    <w:rsid w:val="714029B7"/>
    <w:rsid w:val="71471D0F"/>
    <w:rsid w:val="714F440D"/>
    <w:rsid w:val="71581745"/>
    <w:rsid w:val="71607CFA"/>
    <w:rsid w:val="7184414C"/>
    <w:rsid w:val="71944A8A"/>
    <w:rsid w:val="719A10DB"/>
    <w:rsid w:val="71AD5746"/>
    <w:rsid w:val="71AE3080"/>
    <w:rsid w:val="71B74E6A"/>
    <w:rsid w:val="71BF54D0"/>
    <w:rsid w:val="71CD6D2B"/>
    <w:rsid w:val="71D55D7F"/>
    <w:rsid w:val="71D762FC"/>
    <w:rsid w:val="71D948A7"/>
    <w:rsid w:val="71E267A5"/>
    <w:rsid w:val="720F1979"/>
    <w:rsid w:val="721A55C2"/>
    <w:rsid w:val="72207D57"/>
    <w:rsid w:val="72401026"/>
    <w:rsid w:val="725E29CE"/>
    <w:rsid w:val="725F172B"/>
    <w:rsid w:val="72874E47"/>
    <w:rsid w:val="7287796A"/>
    <w:rsid w:val="7292003E"/>
    <w:rsid w:val="72974D26"/>
    <w:rsid w:val="729E30D7"/>
    <w:rsid w:val="72B20BED"/>
    <w:rsid w:val="72C03590"/>
    <w:rsid w:val="72E31257"/>
    <w:rsid w:val="72E314B6"/>
    <w:rsid w:val="73336003"/>
    <w:rsid w:val="73347CB8"/>
    <w:rsid w:val="73363593"/>
    <w:rsid w:val="733E53B8"/>
    <w:rsid w:val="735253F6"/>
    <w:rsid w:val="73596161"/>
    <w:rsid w:val="73755885"/>
    <w:rsid w:val="737E64C9"/>
    <w:rsid w:val="73822A1E"/>
    <w:rsid w:val="73916C83"/>
    <w:rsid w:val="73B12DF9"/>
    <w:rsid w:val="73C43300"/>
    <w:rsid w:val="73CC4F69"/>
    <w:rsid w:val="73D36A94"/>
    <w:rsid w:val="73D4334F"/>
    <w:rsid w:val="74130EBF"/>
    <w:rsid w:val="74162223"/>
    <w:rsid w:val="74192335"/>
    <w:rsid w:val="741A19F8"/>
    <w:rsid w:val="741B401E"/>
    <w:rsid w:val="7433399C"/>
    <w:rsid w:val="74384838"/>
    <w:rsid w:val="74417080"/>
    <w:rsid w:val="74491ACC"/>
    <w:rsid w:val="74567B70"/>
    <w:rsid w:val="747E5AA3"/>
    <w:rsid w:val="747F20D7"/>
    <w:rsid w:val="74A279CE"/>
    <w:rsid w:val="74BE5062"/>
    <w:rsid w:val="74C42CB5"/>
    <w:rsid w:val="74C60928"/>
    <w:rsid w:val="74C6310B"/>
    <w:rsid w:val="74C9373B"/>
    <w:rsid w:val="74D05396"/>
    <w:rsid w:val="74D42B3D"/>
    <w:rsid w:val="74E26107"/>
    <w:rsid w:val="74EC3E5E"/>
    <w:rsid w:val="74ED55D4"/>
    <w:rsid w:val="74F47B8E"/>
    <w:rsid w:val="74F5223B"/>
    <w:rsid w:val="75073F81"/>
    <w:rsid w:val="75164628"/>
    <w:rsid w:val="75197C32"/>
    <w:rsid w:val="75311268"/>
    <w:rsid w:val="75351105"/>
    <w:rsid w:val="75482DC8"/>
    <w:rsid w:val="75500BC7"/>
    <w:rsid w:val="755771B8"/>
    <w:rsid w:val="75601CC4"/>
    <w:rsid w:val="75660855"/>
    <w:rsid w:val="756A0AC4"/>
    <w:rsid w:val="757A3E91"/>
    <w:rsid w:val="75A61023"/>
    <w:rsid w:val="75B04508"/>
    <w:rsid w:val="75CA00CE"/>
    <w:rsid w:val="75DE1A46"/>
    <w:rsid w:val="75E84ACB"/>
    <w:rsid w:val="75F77FBF"/>
    <w:rsid w:val="75F869B9"/>
    <w:rsid w:val="7606703F"/>
    <w:rsid w:val="760A297B"/>
    <w:rsid w:val="761473F0"/>
    <w:rsid w:val="76206ED0"/>
    <w:rsid w:val="7620778A"/>
    <w:rsid w:val="763847AA"/>
    <w:rsid w:val="763A4508"/>
    <w:rsid w:val="76437C51"/>
    <w:rsid w:val="764D5D92"/>
    <w:rsid w:val="764D5DEF"/>
    <w:rsid w:val="765B57C1"/>
    <w:rsid w:val="7660547F"/>
    <w:rsid w:val="76620EE2"/>
    <w:rsid w:val="7662676C"/>
    <w:rsid w:val="76644DE4"/>
    <w:rsid w:val="766A73EE"/>
    <w:rsid w:val="767E4FFC"/>
    <w:rsid w:val="767F101F"/>
    <w:rsid w:val="76821984"/>
    <w:rsid w:val="769A5A66"/>
    <w:rsid w:val="76A14F02"/>
    <w:rsid w:val="76AB78E3"/>
    <w:rsid w:val="76BD38F2"/>
    <w:rsid w:val="76C21E71"/>
    <w:rsid w:val="76D96ED2"/>
    <w:rsid w:val="76DF4EAE"/>
    <w:rsid w:val="77077040"/>
    <w:rsid w:val="77112194"/>
    <w:rsid w:val="771352E9"/>
    <w:rsid w:val="771D120E"/>
    <w:rsid w:val="771E2FF4"/>
    <w:rsid w:val="7720249B"/>
    <w:rsid w:val="772334BE"/>
    <w:rsid w:val="772351FD"/>
    <w:rsid w:val="77302CCE"/>
    <w:rsid w:val="773802B5"/>
    <w:rsid w:val="77440460"/>
    <w:rsid w:val="77486FB6"/>
    <w:rsid w:val="775B3E89"/>
    <w:rsid w:val="777973AA"/>
    <w:rsid w:val="777A1768"/>
    <w:rsid w:val="777E3D7E"/>
    <w:rsid w:val="77923EE7"/>
    <w:rsid w:val="77990BB5"/>
    <w:rsid w:val="77B71AD2"/>
    <w:rsid w:val="77B724BE"/>
    <w:rsid w:val="77BD4B5C"/>
    <w:rsid w:val="77C577DB"/>
    <w:rsid w:val="77D04199"/>
    <w:rsid w:val="77DA7ECE"/>
    <w:rsid w:val="77F10ED8"/>
    <w:rsid w:val="78043043"/>
    <w:rsid w:val="78070F55"/>
    <w:rsid w:val="780D1602"/>
    <w:rsid w:val="783748C4"/>
    <w:rsid w:val="7843380A"/>
    <w:rsid w:val="78663866"/>
    <w:rsid w:val="787419D8"/>
    <w:rsid w:val="789C2CEA"/>
    <w:rsid w:val="78A85264"/>
    <w:rsid w:val="78A94579"/>
    <w:rsid w:val="78C74670"/>
    <w:rsid w:val="78D8063B"/>
    <w:rsid w:val="78D86DC8"/>
    <w:rsid w:val="78E260F3"/>
    <w:rsid w:val="78E66C94"/>
    <w:rsid w:val="78F60999"/>
    <w:rsid w:val="79137E81"/>
    <w:rsid w:val="791421F7"/>
    <w:rsid w:val="79201D19"/>
    <w:rsid w:val="79332981"/>
    <w:rsid w:val="794A2FAA"/>
    <w:rsid w:val="794F464F"/>
    <w:rsid w:val="79684A8E"/>
    <w:rsid w:val="79692BFC"/>
    <w:rsid w:val="79780809"/>
    <w:rsid w:val="79793DF9"/>
    <w:rsid w:val="79A1449A"/>
    <w:rsid w:val="79A37BC9"/>
    <w:rsid w:val="79B04496"/>
    <w:rsid w:val="79B14867"/>
    <w:rsid w:val="79B23B36"/>
    <w:rsid w:val="79C575E8"/>
    <w:rsid w:val="79D13F02"/>
    <w:rsid w:val="79D623FE"/>
    <w:rsid w:val="79E51C40"/>
    <w:rsid w:val="79E67899"/>
    <w:rsid w:val="79F968DE"/>
    <w:rsid w:val="79FD24CC"/>
    <w:rsid w:val="7A031DBF"/>
    <w:rsid w:val="7A050B4B"/>
    <w:rsid w:val="7A2C5C0B"/>
    <w:rsid w:val="7A2D46C5"/>
    <w:rsid w:val="7A3074A9"/>
    <w:rsid w:val="7A344287"/>
    <w:rsid w:val="7A39124E"/>
    <w:rsid w:val="7A5212F0"/>
    <w:rsid w:val="7A555119"/>
    <w:rsid w:val="7A6D1D3E"/>
    <w:rsid w:val="7A7372C2"/>
    <w:rsid w:val="7A821A6C"/>
    <w:rsid w:val="7A8D5301"/>
    <w:rsid w:val="7A957873"/>
    <w:rsid w:val="7AAB03ED"/>
    <w:rsid w:val="7AB03A59"/>
    <w:rsid w:val="7AC13A9A"/>
    <w:rsid w:val="7AC9705C"/>
    <w:rsid w:val="7ACF0844"/>
    <w:rsid w:val="7ACF123F"/>
    <w:rsid w:val="7AD532FF"/>
    <w:rsid w:val="7AEE277D"/>
    <w:rsid w:val="7B0A2B92"/>
    <w:rsid w:val="7B177BD0"/>
    <w:rsid w:val="7B4527D5"/>
    <w:rsid w:val="7B5274A0"/>
    <w:rsid w:val="7B57627D"/>
    <w:rsid w:val="7B617589"/>
    <w:rsid w:val="7B6A7AB6"/>
    <w:rsid w:val="7BA76DD6"/>
    <w:rsid w:val="7BB574DF"/>
    <w:rsid w:val="7BBD68AF"/>
    <w:rsid w:val="7BCA3DF4"/>
    <w:rsid w:val="7BCF4C73"/>
    <w:rsid w:val="7BD957C1"/>
    <w:rsid w:val="7BDE4FE7"/>
    <w:rsid w:val="7BEA54E6"/>
    <w:rsid w:val="7C256E3D"/>
    <w:rsid w:val="7C257EBD"/>
    <w:rsid w:val="7C4250E9"/>
    <w:rsid w:val="7C607016"/>
    <w:rsid w:val="7C7D09C6"/>
    <w:rsid w:val="7C826FCD"/>
    <w:rsid w:val="7C88770D"/>
    <w:rsid w:val="7C9B6905"/>
    <w:rsid w:val="7CA95865"/>
    <w:rsid w:val="7CBF7ACA"/>
    <w:rsid w:val="7CDF1421"/>
    <w:rsid w:val="7D075792"/>
    <w:rsid w:val="7D0C7450"/>
    <w:rsid w:val="7D1246D8"/>
    <w:rsid w:val="7D1527D6"/>
    <w:rsid w:val="7D187ED8"/>
    <w:rsid w:val="7D2318F5"/>
    <w:rsid w:val="7D241DFD"/>
    <w:rsid w:val="7D290D4F"/>
    <w:rsid w:val="7D296E76"/>
    <w:rsid w:val="7D363B60"/>
    <w:rsid w:val="7D3A0C2D"/>
    <w:rsid w:val="7D3F3CFF"/>
    <w:rsid w:val="7D463816"/>
    <w:rsid w:val="7D5D0AA6"/>
    <w:rsid w:val="7D740AFF"/>
    <w:rsid w:val="7D76359E"/>
    <w:rsid w:val="7D77341F"/>
    <w:rsid w:val="7D8F219D"/>
    <w:rsid w:val="7D930DD2"/>
    <w:rsid w:val="7DA00109"/>
    <w:rsid w:val="7DA621C5"/>
    <w:rsid w:val="7DB10A06"/>
    <w:rsid w:val="7DB25AB8"/>
    <w:rsid w:val="7DB37CED"/>
    <w:rsid w:val="7DBD1026"/>
    <w:rsid w:val="7DDA16E8"/>
    <w:rsid w:val="7DE30B33"/>
    <w:rsid w:val="7DF97B9D"/>
    <w:rsid w:val="7E030EF4"/>
    <w:rsid w:val="7E032299"/>
    <w:rsid w:val="7E090698"/>
    <w:rsid w:val="7E0D2215"/>
    <w:rsid w:val="7E134DFD"/>
    <w:rsid w:val="7E201258"/>
    <w:rsid w:val="7E217C07"/>
    <w:rsid w:val="7E244E49"/>
    <w:rsid w:val="7E2654AB"/>
    <w:rsid w:val="7E2F6BAF"/>
    <w:rsid w:val="7E48058B"/>
    <w:rsid w:val="7E5A0F76"/>
    <w:rsid w:val="7E5A482C"/>
    <w:rsid w:val="7E6D3CA4"/>
    <w:rsid w:val="7E6F544B"/>
    <w:rsid w:val="7E6F5FC7"/>
    <w:rsid w:val="7E726542"/>
    <w:rsid w:val="7E734AFF"/>
    <w:rsid w:val="7E756213"/>
    <w:rsid w:val="7E7A671A"/>
    <w:rsid w:val="7E991ABC"/>
    <w:rsid w:val="7E9B412C"/>
    <w:rsid w:val="7E9D773F"/>
    <w:rsid w:val="7EAC2A13"/>
    <w:rsid w:val="7EB52AD0"/>
    <w:rsid w:val="7EC05D3A"/>
    <w:rsid w:val="7ED54AA7"/>
    <w:rsid w:val="7ED93DEE"/>
    <w:rsid w:val="7EE53746"/>
    <w:rsid w:val="7EE910D2"/>
    <w:rsid w:val="7EF060C6"/>
    <w:rsid w:val="7EF7492C"/>
    <w:rsid w:val="7F034A50"/>
    <w:rsid w:val="7F0642B9"/>
    <w:rsid w:val="7F1E01F3"/>
    <w:rsid w:val="7F252AD1"/>
    <w:rsid w:val="7F2F1C47"/>
    <w:rsid w:val="7F3735C5"/>
    <w:rsid w:val="7F3D38F3"/>
    <w:rsid w:val="7F553914"/>
    <w:rsid w:val="7F580CE2"/>
    <w:rsid w:val="7F6C7FA9"/>
    <w:rsid w:val="7F791EFB"/>
    <w:rsid w:val="7F973191"/>
    <w:rsid w:val="7F9E07A2"/>
    <w:rsid w:val="7FA75648"/>
    <w:rsid w:val="7FAA68A9"/>
    <w:rsid w:val="7FBA7FA5"/>
    <w:rsid w:val="7FBB1896"/>
    <w:rsid w:val="7FBE18EB"/>
    <w:rsid w:val="7FD11914"/>
    <w:rsid w:val="7FD652BE"/>
    <w:rsid w:val="7FD76F90"/>
    <w:rsid w:val="7FE24C39"/>
    <w:rsid w:val="7FEB5C5E"/>
    <w:rsid w:val="7FF04C83"/>
    <w:rsid w:val="7FF95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before="300" w:after="30" w:line="360" w:lineRule="auto"/>
      <w:jc w:val="center"/>
      <w:outlineLvl w:val="0"/>
    </w:pPr>
    <w:rPr>
      <w:b/>
      <w:bCs/>
      <w:kern w:val="44"/>
      <w:sz w:val="32"/>
      <w:szCs w:val="44"/>
    </w:rPr>
  </w:style>
  <w:style w:type="paragraph" w:styleId="3">
    <w:name w:val="heading 2"/>
    <w:basedOn w:val="1"/>
    <w:next w:val="1"/>
    <w:qFormat/>
    <w:uiPriority w:val="0"/>
    <w:pPr>
      <w:keepNext/>
      <w:keepLines/>
      <w:snapToGrid w:val="0"/>
      <w:spacing w:line="360" w:lineRule="auto"/>
      <w:jc w:val="left"/>
      <w:outlineLvl w:val="1"/>
    </w:pPr>
    <w:rPr>
      <w:rFonts w:ascii="Arial" w:hAnsi="Arial" w:eastAsia="楷体"/>
      <w:b/>
      <w:bCs/>
      <w:sz w:val="30"/>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qFormat/>
    <w:uiPriority w:val="0"/>
    <w:rPr>
      <w:rFonts w:ascii="宋体"/>
      <w:sz w:val="18"/>
      <w:szCs w:val="18"/>
    </w:rPr>
  </w:style>
  <w:style w:type="paragraph" w:styleId="6">
    <w:name w:val="annotation text"/>
    <w:basedOn w:val="1"/>
    <w:link w:val="43"/>
    <w:qFormat/>
    <w:uiPriority w:val="0"/>
    <w:pPr>
      <w:jc w:val="left"/>
    </w:pPr>
  </w:style>
  <w:style w:type="paragraph" w:styleId="7">
    <w:name w:val="Body Text Indent"/>
    <w:basedOn w:val="1"/>
    <w:qFormat/>
    <w:uiPriority w:val="0"/>
    <w:pPr>
      <w:ind w:firstLine="360"/>
    </w:pPr>
    <w:rPr>
      <w:szCs w:val="20"/>
    </w:rPr>
  </w:style>
  <w:style w:type="paragraph" w:styleId="8">
    <w:name w:val="toc 3"/>
    <w:basedOn w:val="1"/>
    <w:next w:val="1"/>
    <w:qFormat/>
    <w:uiPriority w:val="39"/>
    <w:pPr>
      <w:ind w:left="840" w:leftChars="400"/>
    </w:pPr>
    <w:rPr>
      <w:rFonts w:eastAsia="楷体"/>
    </w:rPr>
  </w:style>
  <w:style w:type="paragraph" w:styleId="9">
    <w:name w:val="Date"/>
    <w:basedOn w:val="1"/>
    <w:next w:val="1"/>
    <w:qFormat/>
    <w:uiPriority w:val="0"/>
    <w:pPr>
      <w:ind w:left="100" w:leftChars="2500"/>
    </w:pPr>
  </w:style>
  <w:style w:type="paragraph" w:styleId="10">
    <w:name w:val="Body Text Indent 2"/>
    <w:basedOn w:val="1"/>
    <w:qFormat/>
    <w:uiPriority w:val="0"/>
    <w:pPr>
      <w:adjustRightInd w:val="0"/>
      <w:spacing w:line="360" w:lineRule="auto"/>
      <w:ind w:firstLine="560" w:firstLineChars="200"/>
      <w:jc w:val="left"/>
      <w:textAlignment w:val="baseline"/>
    </w:pPr>
    <w:rPr>
      <w:rFonts w:ascii="楷体_GB2312" w:hAnsi="宋体" w:eastAsia="楷体_GB2312"/>
      <w:kern w:val="0"/>
      <w:sz w:val="28"/>
      <w:szCs w:val="20"/>
    </w:r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adjustRightInd w:val="0"/>
      <w:snapToGrid w:val="0"/>
      <w:jc w:val="left"/>
      <w:textAlignment w:val="baseline"/>
    </w:pPr>
    <w:rPr>
      <w:kern w:val="0"/>
      <w:sz w:val="18"/>
      <w:szCs w:val="20"/>
    </w:rPr>
  </w:style>
  <w:style w:type="paragraph" w:styleId="13">
    <w:name w:val="header"/>
    <w:basedOn w:val="1"/>
    <w:qFormat/>
    <w:uiPriority w:val="0"/>
    <w:pPr>
      <w:pBdr>
        <w:bottom w:val="single" w:color="auto" w:sz="6" w:space="1"/>
      </w:pBdr>
      <w:tabs>
        <w:tab w:val="center" w:pos="4153"/>
        <w:tab w:val="right" w:pos="8306"/>
      </w:tabs>
      <w:adjustRightInd w:val="0"/>
      <w:snapToGrid w:val="0"/>
      <w:jc w:val="center"/>
      <w:textAlignment w:val="baseline"/>
    </w:pPr>
    <w:rPr>
      <w:kern w:val="0"/>
      <w:sz w:val="18"/>
      <w:szCs w:val="20"/>
    </w:rPr>
  </w:style>
  <w:style w:type="paragraph" w:styleId="14">
    <w:name w:val="toc 1"/>
    <w:basedOn w:val="1"/>
    <w:next w:val="1"/>
    <w:qFormat/>
    <w:uiPriority w:val="39"/>
    <w:pPr>
      <w:jc w:val="distribute"/>
    </w:pPr>
    <w:rPr>
      <w:rFonts w:ascii="仿宋_GB2312" w:hAnsi="宋体" w:eastAsia="楷体"/>
      <w:spacing w:val="36"/>
      <w:sz w:val="28"/>
    </w:rPr>
  </w:style>
  <w:style w:type="paragraph" w:styleId="15">
    <w:name w:val="Body Text Indent 3"/>
    <w:basedOn w:val="1"/>
    <w:qFormat/>
    <w:uiPriority w:val="0"/>
    <w:pPr>
      <w:adjustRightInd w:val="0"/>
      <w:spacing w:line="360" w:lineRule="auto"/>
      <w:ind w:firstLine="560" w:firstLineChars="200"/>
      <w:textAlignment w:val="baseline"/>
    </w:pPr>
    <w:rPr>
      <w:rFonts w:ascii="仿宋_GB2312" w:hAnsi="宋体" w:eastAsia="仿宋_GB2312"/>
      <w:kern w:val="0"/>
      <w:sz w:val="28"/>
      <w:szCs w:val="20"/>
    </w:rPr>
  </w:style>
  <w:style w:type="paragraph" w:styleId="16">
    <w:name w:val="toc 2"/>
    <w:basedOn w:val="1"/>
    <w:next w:val="1"/>
    <w:qFormat/>
    <w:uiPriority w:val="39"/>
    <w:rPr>
      <w:rFonts w:eastAsia="楷体"/>
    </w:r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annotation subject"/>
    <w:basedOn w:val="6"/>
    <w:next w:val="6"/>
    <w:link w:val="44"/>
    <w:qFormat/>
    <w:uiPriority w:val="0"/>
    <w:rPr>
      <w:b/>
      <w:bCs/>
    </w:rPr>
  </w:style>
  <w:style w:type="table" w:styleId="20">
    <w:name w:val="Table Grid"/>
    <w:basedOn w:val="1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qFormat/>
    <w:uiPriority w:val="0"/>
  </w:style>
  <w:style w:type="character" w:styleId="24">
    <w:name w:val="FollowedHyperlink"/>
    <w:qFormat/>
    <w:uiPriority w:val="0"/>
    <w:rPr>
      <w:color w:val="012E22"/>
      <w:u w:val="none"/>
    </w:rPr>
  </w:style>
  <w:style w:type="character" w:styleId="25">
    <w:name w:val="Hyperlink"/>
    <w:qFormat/>
    <w:uiPriority w:val="99"/>
    <w:rPr>
      <w:color w:val="012E22"/>
      <w:u w:val="none"/>
    </w:rPr>
  </w:style>
  <w:style w:type="character" w:styleId="26">
    <w:name w:val="annotation reference"/>
    <w:basedOn w:val="21"/>
    <w:qFormat/>
    <w:uiPriority w:val="0"/>
    <w:rPr>
      <w:sz w:val="21"/>
      <w:szCs w:val="21"/>
    </w:rPr>
  </w:style>
  <w:style w:type="character" w:customStyle="1" w:styleId="27">
    <w:name w:val="标题 1 Char"/>
    <w:link w:val="2"/>
    <w:qFormat/>
    <w:uiPriority w:val="0"/>
    <w:rPr>
      <w:rFonts w:eastAsia="宋体"/>
      <w:b/>
      <w:bCs/>
      <w:kern w:val="44"/>
      <w:sz w:val="32"/>
      <w:szCs w:val="44"/>
    </w:rPr>
  </w:style>
  <w:style w:type="paragraph" w:customStyle="1" w:styleId="28">
    <w:name w:val="报告模板"/>
    <w:basedOn w:val="29"/>
    <w:qFormat/>
    <w:uiPriority w:val="0"/>
    <w:pPr>
      <w:spacing w:line="560" w:lineRule="exact"/>
      <w:ind w:firstLine="560"/>
      <w:jc w:val="left"/>
    </w:pPr>
    <w:rPr>
      <w:rFonts w:hAnsi="仿宋_GB2312" w:cs="宋体"/>
      <w:szCs w:val="20"/>
    </w:rPr>
  </w:style>
  <w:style w:type="paragraph" w:customStyle="1" w:styleId="29">
    <w:name w:val="龙泰正文 + First line:  2 ch1"/>
    <w:basedOn w:val="30"/>
    <w:qFormat/>
    <w:uiPriority w:val="0"/>
    <w:pPr>
      <w:ind w:firstLine="600"/>
    </w:pPr>
  </w:style>
  <w:style w:type="paragraph" w:customStyle="1" w:styleId="30">
    <w:name w:val="龙泰正文"/>
    <w:basedOn w:val="1"/>
    <w:qFormat/>
    <w:uiPriority w:val="0"/>
    <w:pPr>
      <w:autoSpaceDE w:val="0"/>
      <w:autoSpaceDN w:val="0"/>
      <w:spacing w:line="360" w:lineRule="auto"/>
      <w:ind w:firstLine="200" w:firstLineChars="200"/>
    </w:pPr>
    <w:rPr>
      <w:rFonts w:ascii="仿宋_GB2312" w:hAnsi="Arial" w:eastAsia="仿宋_GB2312"/>
      <w:szCs w:val="28"/>
    </w:rPr>
  </w:style>
  <w:style w:type="character" w:customStyle="1" w:styleId="31">
    <w:name w:val="文档结构图 Char"/>
    <w:link w:val="5"/>
    <w:qFormat/>
    <w:uiPriority w:val="0"/>
    <w:rPr>
      <w:rFonts w:ascii="宋体"/>
      <w:kern w:val="2"/>
      <w:sz w:val="18"/>
      <w:szCs w:val="18"/>
    </w:rPr>
  </w:style>
  <w:style w:type="character" w:customStyle="1" w:styleId="32">
    <w:name w:val="font11"/>
    <w:basedOn w:val="21"/>
    <w:qFormat/>
    <w:uiPriority w:val="0"/>
    <w:rPr>
      <w:rFonts w:hint="eastAsia" w:ascii="宋体" w:hAnsi="宋体" w:eastAsia="宋体" w:cs="宋体"/>
      <w:color w:val="000000"/>
      <w:sz w:val="24"/>
      <w:szCs w:val="24"/>
      <w:u w:val="none"/>
    </w:rPr>
  </w:style>
  <w:style w:type="character" w:customStyle="1" w:styleId="33">
    <w:name w:val="client1"/>
    <w:basedOn w:val="21"/>
    <w:qFormat/>
    <w:uiPriority w:val="0"/>
  </w:style>
  <w:style w:type="character" w:customStyle="1" w:styleId="34">
    <w:name w:val="r_价值类型"/>
    <w:basedOn w:val="21"/>
    <w:qFormat/>
    <w:uiPriority w:val="0"/>
  </w:style>
  <w:style w:type="character" w:customStyle="1" w:styleId="35">
    <w:name w:val="s_土地证号"/>
    <w:basedOn w:val="21"/>
    <w:qFormat/>
    <w:uiPriority w:val="0"/>
  </w:style>
  <w:style w:type="character" w:customStyle="1" w:styleId="36">
    <w:name w:val="font01"/>
    <w:basedOn w:val="21"/>
    <w:qFormat/>
    <w:uiPriority w:val="0"/>
    <w:rPr>
      <w:rFonts w:hint="eastAsia" w:ascii="宋体" w:hAnsi="宋体" w:eastAsia="宋体" w:cs="宋体"/>
      <w:color w:val="000000"/>
      <w:sz w:val="21"/>
      <w:szCs w:val="21"/>
      <w:u w:val="none"/>
    </w:rPr>
  </w:style>
  <w:style w:type="character" w:customStyle="1" w:styleId="37">
    <w:name w:val="r_报告编号"/>
    <w:basedOn w:val="21"/>
    <w:qFormat/>
    <w:uiPriority w:val="0"/>
  </w:style>
  <w:style w:type="character" w:customStyle="1" w:styleId="38">
    <w:name w:val="r_结束日期(长)"/>
    <w:basedOn w:val="21"/>
    <w:qFormat/>
    <w:uiPriority w:val="0"/>
  </w:style>
  <w:style w:type="character" w:customStyle="1" w:styleId="39">
    <w:name w:val="s_地址"/>
    <w:basedOn w:val="21"/>
    <w:qFormat/>
    <w:uiPriority w:val="0"/>
  </w:style>
  <w:style w:type="character" w:customStyle="1" w:styleId="40">
    <w:name w:val="s_权利人"/>
    <w:basedOn w:val="21"/>
    <w:qFormat/>
    <w:uiPriority w:val="0"/>
  </w:style>
  <w:style w:type="character" w:customStyle="1" w:styleId="41">
    <w:name w:val="15"/>
    <w:qFormat/>
    <w:uiPriority w:val="0"/>
    <w:rPr>
      <w:rFonts w:hint="default" w:ascii="Verdana" w:hAnsi="Verdana" w:eastAsia="Times New Roman" w:cs="Verdana"/>
      <w:sz w:val="20"/>
      <w:szCs w:val="20"/>
    </w:rPr>
  </w:style>
  <w:style w:type="character" w:customStyle="1" w:styleId="42">
    <w:name w:val="10"/>
    <w:qFormat/>
    <w:uiPriority w:val="0"/>
    <w:rPr>
      <w:rFonts w:hint="default" w:ascii="Verdana" w:hAnsi="Verdana" w:eastAsia="Times New Roman" w:cs="Verdana"/>
      <w:sz w:val="20"/>
      <w:szCs w:val="20"/>
    </w:rPr>
  </w:style>
  <w:style w:type="character" w:customStyle="1" w:styleId="43">
    <w:name w:val="批注文字 Char"/>
    <w:basedOn w:val="21"/>
    <w:link w:val="6"/>
    <w:qFormat/>
    <w:uiPriority w:val="0"/>
    <w:rPr>
      <w:kern w:val="2"/>
      <w:sz w:val="21"/>
      <w:szCs w:val="24"/>
    </w:rPr>
  </w:style>
  <w:style w:type="character" w:customStyle="1" w:styleId="44">
    <w:name w:val="批注主题 Char"/>
    <w:basedOn w:val="43"/>
    <w:link w:val="18"/>
    <w:qFormat/>
    <w:uiPriority w:val="0"/>
    <w:rPr>
      <w:b/>
      <w:bCs/>
      <w:kern w:val="2"/>
      <w:sz w:val="21"/>
      <w:szCs w:val="24"/>
    </w:rPr>
  </w:style>
  <w:style w:type="paragraph" w:styleId="45">
    <w:name w:val="List Paragraph"/>
    <w:basedOn w:val="1"/>
    <w:qFormat/>
    <w:uiPriority w:val="34"/>
    <w:pPr>
      <w:ind w:firstLine="420" w:firstLineChars="200"/>
    </w:pPr>
    <w:rPr>
      <w:rFonts w:ascii="Calibri" w:hAnsi="Calibri"/>
      <w:szCs w:val="22"/>
    </w:rPr>
  </w:style>
  <w:style w:type="character" w:styleId="46">
    <w:name w:val="Placeholder Text"/>
    <w:basedOn w:val="21"/>
    <w:unhideWhenUsed/>
    <w:qFormat/>
    <w:uiPriority w:val="99"/>
    <w:rPr>
      <w:color w:val="808080"/>
    </w:rPr>
  </w:style>
  <w:style w:type="character" w:customStyle="1" w:styleId="47">
    <w:name w:val="font21"/>
    <w:basedOn w:val="21"/>
    <w:qFormat/>
    <w:uiPriority w:val="0"/>
    <w:rPr>
      <w:rFonts w:hint="eastAsia" w:ascii="楷体" w:hAnsi="楷体" w:eastAsia="楷体" w:cs="楷体"/>
      <w:b/>
      <w:color w:val="000000"/>
      <w:sz w:val="24"/>
      <w:szCs w:val="24"/>
      <w:u w:val="none"/>
    </w:rPr>
  </w:style>
  <w:style w:type="character" w:customStyle="1" w:styleId="48">
    <w:name w:val="font41"/>
    <w:basedOn w:val="21"/>
    <w:qFormat/>
    <w:uiPriority w:val="0"/>
    <w:rPr>
      <w:rFonts w:hint="eastAsia" w:ascii="楷体" w:hAnsi="楷体" w:eastAsia="楷体" w:cs="楷体"/>
      <w:b/>
      <w:color w:val="000000"/>
      <w:sz w:val="24"/>
      <w:szCs w:val="24"/>
      <w:u w:val="none"/>
    </w:rPr>
  </w:style>
  <w:style w:type="character" w:customStyle="1" w:styleId="49">
    <w:name w:val="font31"/>
    <w:basedOn w:val="21"/>
    <w:qFormat/>
    <w:uiPriority w:val="0"/>
    <w:rPr>
      <w:rFonts w:hint="eastAsia" w:ascii="楷体" w:hAnsi="楷体" w:eastAsia="楷体" w:cs="楷体"/>
      <w:b/>
      <w:color w:val="000000"/>
      <w:sz w:val="24"/>
      <w:szCs w:val="24"/>
      <w:u w:val="none"/>
    </w:rPr>
  </w:style>
  <w:style w:type="character" w:customStyle="1" w:styleId="50">
    <w:name w:val="font51"/>
    <w:basedOn w:val="21"/>
    <w:qFormat/>
    <w:uiPriority w:val="0"/>
    <w:rPr>
      <w:rFonts w:hint="eastAsia" w:ascii="楷体" w:hAnsi="楷体" w:eastAsia="楷体" w:cs="楷体"/>
      <w:b/>
      <w:color w:val="000000"/>
      <w:sz w:val="24"/>
      <w:szCs w:val="24"/>
      <w:u w:val="none"/>
    </w:rPr>
  </w:style>
  <w:style w:type="paragraph" w:customStyle="1" w:styleId="51">
    <w:name w:val="WPSOffice手动目录 2"/>
    <w:qFormat/>
    <w:uiPriority w:val="0"/>
    <w:pPr>
      <w:ind w:left="200" w:leftChars="200"/>
    </w:pPr>
    <w:rPr>
      <w:rFonts w:ascii="Calibri" w:hAnsi="Calibri" w:eastAsia="宋体" w:cs="Times New Roman"/>
      <w:lang w:val="en-US" w:eastAsia="zh-CN" w:bidi="ar-SA"/>
    </w:rPr>
  </w:style>
  <w:style w:type="paragraph" w:customStyle="1" w:styleId="52">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19FB-F1FC-4F70-B364-CE958C6AC513}">
  <ds:schemaRefs/>
</ds:datastoreItem>
</file>

<file path=docProps/app.xml><?xml version="1.0" encoding="utf-8"?>
<Properties xmlns="http://schemas.openxmlformats.org/officeDocument/2006/extended-properties" xmlns:vt="http://schemas.openxmlformats.org/officeDocument/2006/docPropsVTypes">
  <Template>Normal</Template>
  <Company>天平评估</Company>
  <Pages>22</Pages>
  <Words>8341</Words>
  <Characters>8796</Characters>
  <Lines>228</Lines>
  <Paragraphs>64</Paragraphs>
  <TotalTime>24</TotalTime>
  <ScaleCrop>false</ScaleCrop>
  <LinksUpToDate>false</LinksUpToDate>
  <CharactersWithSpaces>9052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2018-04-02T03:35:00Z</dcterms:created>
  <dc:creator>秦振贤</dc:creator>
  <cp:lastModifiedBy>淡水</cp:lastModifiedBy>
  <cp:lastPrinted>2022-08-02T06:10:41Z</cp:lastPrinted>
  <dcterms:modified xsi:type="dcterms:W3CDTF">2022-08-02T06:30:02Z</dcterms:modified>
  <dc:title>估价结果报告</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1DA31387B9704B6CBC3F5FAA1FF9CE81</vt:lpwstr>
  </property>
</Properties>
</file>