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新魏" w:hAnsi="华文新魏" w:eastAsia="华文新魏" w:cs="华文新魏"/>
          <w:sz w:val="84"/>
          <w:szCs w:val="84"/>
          <w:lang w:val="en-US" w:eastAsia="zh-CN"/>
        </w:rPr>
      </w:pPr>
    </w:p>
    <w:p>
      <w:pPr>
        <w:jc w:val="both"/>
        <w:rPr>
          <w:rFonts w:hint="eastAsia" w:ascii="华文新魏" w:hAnsi="华文新魏" w:eastAsia="华文新魏" w:cs="华文新魏"/>
          <w:sz w:val="84"/>
          <w:szCs w:val="84"/>
          <w:lang w:val="en-US" w:eastAsia="zh-CN"/>
        </w:rPr>
      </w:pPr>
    </w:p>
    <w:p>
      <w:pPr>
        <w:jc w:val="center"/>
        <w:rPr>
          <w:rFonts w:hint="eastAsia" w:ascii="华文新魏" w:hAnsi="华文新魏" w:eastAsia="华文新魏" w:cs="华文新魏"/>
          <w:sz w:val="84"/>
          <w:szCs w:val="84"/>
          <w:lang w:val="en-US" w:eastAsia="zh-CN"/>
        </w:rPr>
      </w:pPr>
      <w:r>
        <w:rPr>
          <w:rFonts w:hint="eastAsia" w:ascii="华文新魏" w:hAnsi="华文新魏" w:eastAsia="华文新魏" w:cs="华文新魏"/>
          <w:sz w:val="84"/>
          <w:szCs w:val="84"/>
          <w:lang w:val="en-US" w:eastAsia="zh-CN"/>
        </w:rPr>
        <w:t>涉执房地产处置司法</w:t>
      </w:r>
    </w:p>
    <w:p>
      <w:pPr>
        <w:jc w:val="center"/>
        <w:rPr>
          <w:rFonts w:hint="eastAsia" w:ascii="华文新魏" w:hAnsi="华文新魏" w:eastAsia="华文新魏" w:cs="华文新魏"/>
          <w:sz w:val="84"/>
          <w:szCs w:val="84"/>
          <w:lang w:val="en-US" w:eastAsia="zh-CN"/>
        </w:rPr>
      </w:pPr>
      <w:r>
        <w:rPr>
          <w:rFonts w:hint="eastAsia" w:ascii="华文新魏" w:hAnsi="华文新魏" w:eastAsia="华文新魏" w:cs="华文新魏"/>
          <w:sz w:val="84"/>
          <w:szCs w:val="84"/>
          <w:lang w:val="en-US" w:eastAsia="zh-CN"/>
        </w:rPr>
        <w:t>评 估 报 告</w:t>
      </w:r>
    </w:p>
    <w:p>
      <w:pPr>
        <w:rPr>
          <w:rFonts w:hint="eastAsia"/>
          <w:lang w:val="en-US" w:eastAsia="zh-CN"/>
        </w:rPr>
      </w:pPr>
    </w:p>
    <w:p>
      <w:pPr>
        <w:rPr>
          <w:rFonts w:hint="default"/>
          <w:color w:val="000000" w:themeColor="text1"/>
          <w:lang w:val="en-US" w:eastAsia="zh-CN"/>
          <w14:textFill>
            <w14:solidFill>
              <w14:schemeClr w14:val="tx1"/>
            </w14:solidFill>
          </w14:textFill>
        </w:rPr>
      </w:pPr>
      <w:r>
        <w:rPr>
          <w:rFonts w:hint="eastAsia"/>
          <w:lang w:val="en-US" w:eastAsia="zh-CN"/>
        </w:rPr>
        <w:t xml:space="preserve">                                     </w:t>
      </w:r>
      <w:r>
        <w:rPr>
          <w:rFonts w:hint="eastAsia" w:ascii="华文新魏" w:hAnsi="华文新魏" w:eastAsia="华文新魏" w:cs="华文新魏"/>
          <w:color w:val="000000" w:themeColor="text1"/>
          <w:spacing w:val="-10"/>
          <w:sz w:val="32"/>
          <w:szCs w:val="32"/>
          <w:lang w:val="en-US" w:eastAsia="zh-CN"/>
          <w14:textFill>
            <w14:solidFill>
              <w14:schemeClr w14:val="tx1"/>
            </w14:solidFill>
          </w14:textFill>
        </w:rPr>
        <w:t xml:space="preserve"> 正 </w:t>
      </w:r>
      <w:bookmarkStart w:id="13" w:name="_GoBack"/>
      <w:bookmarkEnd w:id="13"/>
      <w:r>
        <w:rPr>
          <w:rFonts w:hint="eastAsia" w:ascii="华文新魏" w:hAnsi="华文新魏" w:eastAsia="华文新魏" w:cs="华文新魏"/>
          <w:color w:val="000000" w:themeColor="text1"/>
          <w:spacing w:val="-10"/>
          <w:sz w:val="32"/>
          <w:szCs w:val="32"/>
          <w:lang w:val="en-US" w:eastAsia="zh-CN"/>
          <w14:textFill>
            <w14:solidFill>
              <w14:schemeClr w14:val="tx1"/>
            </w14:solidFill>
          </w14:textFill>
        </w:rPr>
        <w:t xml:space="preserve">  本</w:t>
      </w:r>
    </w:p>
    <w:p>
      <w:pPr>
        <w:rPr>
          <w:rFonts w:hint="eastAsia" w:ascii="华文新魏" w:hAnsi="华文新魏" w:eastAsia="华文新魏" w:cs="华文新魏"/>
          <w:color w:val="000000" w:themeColor="text1"/>
          <w:spacing w:val="-10"/>
          <w:sz w:val="32"/>
          <w:szCs w:val="32"/>
          <w:lang w:val="en-US" w:eastAsia="zh-CN"/>
          <w14:textFill>
            <w14:solidFill>
              <w14:schemeClr w14:val="tx1"/>
            </w14:solidFill>
          </w14:textFill>
        </w:rPr>
      </w:pP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估价报告编号：鸡誉评字第【2022-SFJD-7-2】号</w:t>
      </w: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估价项目名称：虎林市永信小区2号楼6单元503住宅房屋财产</w:t>
      </w:r>
    </w:p>
    <w:p>
      <w:pPr>
        <w:ind w:firstLine="3080" w:firstLineChars="11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处置参考价评估</w:t>
      </w: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估 价 委 托 人：虎林市人民法院</w:t>
      </w: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估 价 机 构：   鸡西誉兴房地产估价有限责任公司</w:t>
      </w: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注册房地产估价师：许志忠（注册号：2319970013）</w:t>
      </w:r>
    </w:p>
    <w:p>
      <w:pPr>
        <w:ind w:firstLine="1120" w:firstLineChars="400"/>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注册房地产估价师：李红梅（注册号：2320100052）</w:t>
      </w:r>
    </w:p>
    <w:p>
      <w:pPr>
        <w:ind w:firstLine="1120" w:firstLineChars="400"/>
        <w:rPr>
          <w:rFonts w:hint="eastAsia" w:ascii="华文新魏" w:hAnsi="华文新魏" w:eastAsia="华文新魏" w:cs="华文新魏"/>
          <w:color w:val="000000" w:themeColor="text1"/>
          <w:spacing w:val="-10"/>
          <w:sz w:val="32"/>
          <w:szCs w:val="32"/>
          <w:lang w:val="en-US" w:eastAsia="zh-CN"/>
          <w14:textFill>
            <w14:solidFill>
              <w14:schemeClr w14:val="tx1"/>
            </w14:solidFill>
          </w14:textFill>
        </w:rPr>
      </w:pPr>
      <w:r>
        <w:rPr>
          <w:rFonts w:hint="eastAsia" w:ascii="华文楷体" w:hAnsi="华文楷体" w:eastAsia="华文楷体" w:cs="华文楷体"/>
          <w:color w:val="000000" w:themeColor="text1"/>
          <w:spacing w:val="-10"/>
          <w:sz w:val="30"/>
          <w:szCs w:val="30"/>
          <w:lang w:val="en-US" w:eastAsia="zh-CN"/>
          <w14:textFill>
            <w14:solidFill>
              <w14:schemeClr w14:val="tx1"/>
            </w14:solidFill>
          </w14:textFill>
        </w:rPr>
        <w:t>估价作业日期：  2022年7月6日至2022年7月10日</w:t>
      </w:r>
    </w:p>
    <w:p>
      <w:pPr>
        <w:ind w:firstLine="1200" w:firstLineChars="400"/>
        <w:rPr>
          <w:rFonts w:hint="eastAsia" w:ascii="华文新魏" w:hAnsi="华文新魏" w:eastAsia="华文新魏" w:cs="华文新魏"/>
          <w:color w:val="000000" w:themeColor="text1"/>
          <w:spacing w:val="-10"/>
          <w:sz w:val="32"/>
          <w:szCs w:val="32"/>
          <w:lang w:val="en-US" w:eastAsia="zh-CN"/>
          <w14:textFill>
            <w14:solidFill>
              <w14:schemeClr w14:val="tx1"/>
            </w14:solidFill>
          </w14:textFill>
        </w:rPr>
      </w:pPr>
    </w:p>
    <w:p>
      <w:pPr>
        <w:ind w:firstLine="1200" w:firstLineChars="400"/>
        <w:rPr>
          <w:rFonts w:hint="eastAsia" w:ascii="华文新魏" w:hAnsi="华文新魏" w:eastAsia="华文新魏" w:cs="华文新魏"/>
          <w:color w:val="000000" w:themeColor="text1"/>
          <w:spacing w:val="-10"/>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00" w:lineRule="exact"/>
        <w:jc w:val="distribute"/>
        <w:textAlignment w:val="auto"/>
        <w:rPr>
          <w:rFonts w:hint="eastAsia" w:ascii="楷体" w:hAnsi="楷体" w:eastAsia="楷体" w:cs="楷体"/>
          <w:b/>
          <w:color w:val="auto"/>
          <w:spacing w:val="14"/>
          <w:w w:val="66"/>
          <w:sz w:val="32"/>
          <w:szCs w:val="32"/>
          <w:lang w:val="en-US" w:eastAsia="zh-CN"/>
        </w:rPr>
        <w:sectPr>
          <w:headerReference r:id="rId3" w:type="default"/>
          <w:pgSz w:w="11906" w:h="16838"/>
          <w:pgMar w:top="964" w:right="1274" w:bottom="964" w:left="1276" w:header="851" w:footer="992" w:gutter="0"/>
          <w:pgNumType w:fmt="decimal" w:start="1"/>
          <w:cols w:space="720" w:num="1"/>
          <w:docGrid w:type="lines" w:linePitch="312" w:charSpace="0"/>
        </w:sectPr>
      </w:pPr>
    </w:p>
    <w:p>
      <w:pPr>
        <w:pStyle w:val="2"/>
        <w:bidi w:val="0"/>
        <w:rPr>
          <w:rFonts w:hint="eastAsia"/>
          <w:lang w:val="en-US" w:eastAsia="zh-CN"/>
        </w:rPr>
      </w:pPr>
      <w:bookmarkStart w:id="0" w:name="_Toc5398"/>
      <w:bookmarkStart w:id="1" w:name="_Toc31882"/>
      <w:bookmarkStart w:id="2" w:name="_Toc9695"/>
      <w:r>
        <w:rPr>
          <w:rFonts w:hint="eastAsia"/>
          <w:lang w:val="en-US" w:eastAsia="zh-CN"/>
        </w:rPr>
        <w:t>致估价委托人函</w:t>
      </w:r>
      <w:bookmarkEnd w:id="0"/>
      <w:bookmarkEnd w:id="1"/>
      <w:bookmarkEnd w:id="2"/>
    </w:p>
    <w:p>
      <w:pPr>
        <w:rPr>
          <w:rFonts w:hint="eastAsia" w:ascii="华文楷体" w:hAnsi="华文楷体" w:eastAsia="华文楷体" w:cs="华文楷体"/>
          <w:color w:val="FF0000"/>
          <w:sz w:val="30"/>
          <w:szCs w:val="30"/>
        </w:rPr>
      </w:pPr>
      <w:r>
        <w:rPr>
          <w:rFonts w:hint="eastAsia" w:ascii="华文楷体" w:hAnsi="华文楷体" w:eastAsia="华文楷体" w:cs="华文楷体"/>
          <w:color w:val="FF0000"/>
          <w:sz w:val="30"/>
          <w:szCs w:val="30"/>
          <w:lang w:val="en-US" w:eastAsia="zh-CN"/>
        </w:rPr>
        <w:t>虎林市</w:t>
      </w:r>
      <w:r>
        <w:rPr>
          <w:rFonts w:hint="eastAsia" w:ascii="华文楷体" w:hAnsi="华文楷体" w:eastAsia="华文楷体" w:cs="华文楷体"/>
          <w:color w:val="FF0000"/>
          <w:sz w:val="30"/>
          <w:szCs w:val="30"/>
        </w:rPr>
        <w:t>人民法院:</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我公司受</w:t>
      </w:r>
      <w:r>
        <w:rPr>
          <w:rFonts w:hint="eastAsia" w:ascii="华文楷体" w:hAnsi="华文楷体" w:eastAsia="华文楷体" w:cs="华文楷体"/>
          <w:color w:val="auto"/>
          <w:sz w:val="30"/>
          <w:szCs w:val="30"/>
        </w:rPr>
        <w:t>贵单位的委托</w:t>
      </w:r>
      <w:r>
        <w:rPr>
          <w:rFonts w:hint="eastAsia" w:ascii="华文楷体" w:hAnsi="华文楷体" w:eastAsia="华文楷体" w:cs="华文楷体"/>
          <w:color w:val="auto"/>
          <w:sz w:val="30"/>
          <w:szCs w:val="30"/>
          <w:lang w:eastAsia="zh-CN"/>
        </w:rPr>
        <w:t>，</w:t>
      </w:r>
      <w:r>
        <w:rPr>
          <w:rFonts w:hint="eastAsia" w:ascii="华文楷体" w:hAnsi="华文楷体" w:eastAsia="华文楷体" w:cs="华文楷体"/>
          <w:color w:val="auto"/>
          <w:sz w:val="30"/>
          <w:szCs w:val="30"/>
          <w:lang w:val="en-US" w:eastAsia="zh-CN"/>
        </w:rPr>
        <w:t>对估价对象进行了估价，有关内容汇报如下：</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估价目的：为人民法院确定财产处置参考价提供参考依据。</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估价对象均位于</w:t>
      </w:r>
      <w:r>
        <w:rPr>
          <w:rFonts w:hint="eastAsia" w:ascii="华文楷体" w:hAnsi="华文楷体" w:eastAsia="华文楷体" w:cs="华文楷体"/>
          <w:color w:val="FF0000"/>
          <w:sz w:val="30"/>
          <w:szCs w:val="30"/>
          <w:lang w:val="en-US" w:eastAsia="zh-CN"/>
        </w:rPr>
        <w:t>红旗街道立新委永信小区</w:t>
      </w:r>
      <w:r>
        <w:rPr>
          <w:rFonts w:hint="eastAsia" w:ascii="华文楷体" w:hAnsi="华文楷体" w:eastAsia="华文楷体" w:cs="华文楷体"/>
          <w:color w:val="auto"/>
          <w:sz w:val="30"/>
          <w:szCs w:val="30"/>
          <w:lang w:val="en-US" w:eastAsia="zh-CN"/>
        </w:rPr>
        <w:t>，本次估价范围包括建筑物及分摊的土地使用权及室内不可移动装修价值，不包括动产、债权债务、设备等其他财产或权益。估价对象所有权人：</w:t>
      </w:r>
      <w:r>
        <w:rPr>
          <w:rFonts w:hint="eastAsia" w:ascii="华文楷体" w:hAnsi="华文楷体" w:eastAsia="华文楷体" w:cs="华文楷体"/>
          <w:color w:val="FF0000"/>
          <w:sz w:val="30"/>
          <w:szCs w:val="30"/>
          <w:lang w:val="en-US" w:eastAsia="zh-CN"/>
        </w:rPr>
        <w:t>杜燕，产权证号，11701168</w:t>
      </w:r>
      <w:r>
        <w:rPr>
          <w:rFonts w:hint="eastAsia" w:ascii="华文楷体" w:hAnsi="华文楷体" w:eastAsia="华文楷体" w:cs="华文楷体"/>
          <w:color w:val="auto"/>
          <w:sz w:val="30"/>
          <w:szCs w:val="30"/>
          <w:lang w:val="en-US" w:eastAsia="zh-CN"/>
        </w:rPr>
        <w:t>，所在层：5层，</w:t>
      </w:r>
      <w:r>
        <w:rPr>
          <w:rFonts w:hint="eastAsia" w:ascii="华文楷体" w:hAnsi="华文楷体" w:eastAsia="华文楷体" w:cs="华文楷体"/>
          <w:color w:val="FF0000"/>
          <w:sz w:val="30"/>
          <w:szCs w:val="30"/>
          <w:lang w:val="en-US" w:eastAsia="zh-CN"/>
        </w:rPr>
        <w:t>混合结构，房屋用途：住宅，现状：闲置。</w:t>
      </w:r>
    </w:p>
    <w:tbl>
      <w:tblPr>
        <w:tblStyle w:val="8"/>
        <w:tblpPr w:leftFromText="180" w:rightFromText="180" w:vertAnchor="text" w:tblpX="475" w:tblpY="3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1"/>
        <w:gridCol w:w="4294"/>
        <w:gridCol w:w="136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731"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4294"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房屋坐落</w:t>
            </w:r>
          </w:p>
        </w:tc>
        <w:tc>
          <w:tcPr>
            <w:tcW w:w="136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建筑面积（平方米）</w:t>
            </w:r>
          </w:p>
        </w:tc>
        <w:tc>
          <w:tcPr>
            <w:tcW w:w="148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房屋用途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731"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估价对象</w:t>
            </w:r>
          </w:p>
        </w:tc>
        <w:tc>
          <w:tcPr>
            <w:tcW w:w="4294"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红旗街道立新委永信小区2号楼6单元503</w:t>
            </w:r>
          </w:p>
        </w:tc>
        <w:tc>
          <w:tcPr>
            <w:tcW w:w="136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76.65</w:t>
            </w:r>
          </w:p>
        </w:tc>
        <w:tc>
          <w:tcPr>
            <w:tcW w:w="148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住宅</w:t>
            </w:r>
          </w:p>
        </w:tc>
      </w:tr>
    </w:tbl>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估价时点：2022年7月6日。</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价值类型：市场价值。</w:t>
      </w:r>
    </w:p>
    <w:p>
      <w:pPr>
        <w:ind w:firstLine="600" w:firstLineChars="200"/>
        <w:rPr>
          <w:rFonts w:hint="default"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估价方法：比较法。</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估价结果：见下表</w:t>
      </w: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tbl>
      <w:tblPr>
        <w:tblStyle w:val="8"/>
        <w:tblpPr w:leftFromText="180" w:rightFromText="180" w:vertAnchor="text" w:tblpX="70" w:tblpY="38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3197"/>
        <w:gridCol w:w="1157"/>
        <w:gridCol w:w="1081"/>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1360"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3197"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房屋坐落</w:t>
            </w:r>
          </w:p>
        </w:tc>
        <w:tc>
          <w:tcPr>
            <w:tcW w:w="1157"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建筑面积（平方米）</w:t>
            </w:r>
          </w:p>
        </w:tc>
        <w:tc>
          <w:tcPr>
            <w:tcW w:w="1081"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评估单价 （元/平方米）</w:t>
            </w:r>
          </w:p>
        </w:tc>
        <w:tc>
          <w:tcPr>
            <w:tcW w:w="172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评估金额（元）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360"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估价对象</w:t>
            </w:r>
          </w:p>
        </w:tc>
        <w:tc>
          <w:tcPr>
            <w:tcW w:w="3197"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红旗街道立新委永信小区2号楼6单元503</w:t>
            </w:r>
          </w:p>
        </w:tc>
        <w:tc>
          <w:tcPr>
            <w:tcW w:w="1157"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76.65</w:t>
            </w:r>
          </w:p>
        </w:tc>
        <w:tc>
          <w:tcPr>
            <w:tcW w:w="1081"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2720</w:t>
            </w:r>
          </w:p>
        </w:tc>
        <w:tc>
          <w:tcPr>
            <w:tcW w:w="172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208,488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360"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3197"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157"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081"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725" w:type="dxa"/>
            <w:vAlign w:val="center"/>
          </w:tcPr>
          <w:p>
            <w:pPr>
              <w:jc w:val="center"/>
              <w:rPr>
                <w:rFonts w:hint="eastAsia" w:ascii="华文楷体" w:hAnsi="华文楷体" w:eastAsia="华文楷体" w:cs="华文楷体"/>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1360"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3197"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合计</w:t>
            </w:r>
          </w:p>
        </w:tc>
        <w:tc>
          <w:tcPr>
            <w:tcW w:w="1157"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081"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725" w:type="dxa"/>
            <w:vAlign w:val="center"/>
          </w:tcPr>
          <w:p>
            <w:p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208,488</w:t>
            </w:r>
          </w:p>
        </w:tc>
      </w:tr>
    </w:tbl>
    <w:p>
      <w:pPr>
        <w:ind w:firstLine="600" w:firstLineChars="200"/>
        <w:rPr>
          <w:rFonts w:hint="eastAsia" w:ascii="华文楷体" w:hAnsi="华文楷体" w:eastAsia="华文楷体" w:cs="华文楷体"/>
          <w:color w:val="auto"/>
          <w:sz w:val="30"/>
          <w:szCs w:val="30"/>
          <w:lang w:val="en-US" w:eastAsia="zh-CN"/>
        </w:rPr>
      </w:pPr>
    </w:p>
    <w:p>
      <w:pPr>
        <w:rPr>
          <w:rFonts w:hint="default"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估价总金额： 208,488元人民币</w:t>
      </w:r>
    </w:p>
    <w:p>
      <w:pPr>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大写金额（人民币）： 贰拾万零捌仟肆佰捌拾捌元整。</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 xml:space="preserve">               </w:t>
      </w:r>
    </w:p>
    <w:p>
      <w:pPr>
        <w:ind w:firstLine="600" w:firstLineChars="200"/>
        <w:rPr>
          <w:rFonts w:hint="eastAsia" w:ascii="华文楷体" w:hAnsi="华文楷体" w:eastAsia="华文楷体" w:cs="华文楷体"/>
          <w:color w:val="auto"/>
          <w:sz w:val="30"/>
          <w:szCs w:val="30"/>
          <w:lang w:val="en-US" w:eastAsia="zh-CN"/>
        </w:rPr>
      </w:pPr>
    </w:p>
    <w:p>
      <w:pPr>
        <w:ind w:firstLine="3300" w:firstLineChars="11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 xml:space="preserve">   鸡西誉兴房地产估价有限责任公司</w:t>
      </w:r>
    </w:p>
    <w:p>
      <w:p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 xml:space="preserve">                            法定代表人：许志忠</w:t>
      </w:r>
    </w:p>
    <w:p>
      <w:pPr>
        <w:ind w:firstLine="5100" w:firstLineChars="1700"/>
        <w:rPr>
          <w:rFonts w:hint="default"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2022年7月10日</w:t>
      </w: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rPr>
          <w:rFonts w:hint="eastAsia" w:ascii="华文楷体" w:hAnsi="华文楷体" w:eastAsia="华文楷体" w:cs="华文楷体"/>
          <w:color w:val="auto"/>
          <w:sz w:val="30"/>
          <w:szCs w:val="30"/>
          <w:lang w:val="en-US" w:eastAsia="zh-CN"/>
        </w:rPr>
      </w:pPr>
    </w:p>
    <w:sdt>
      <w:sdtPr>
        <w:rPr>
          <w:rFonts w:ascii="宋体" w:hAnsi="宋体" w:eastAsia="宋体" w:cstheme="minorBidi"/>
          <w:kern w:val="2"/>
          <w:sz w:val="21"/>
          <w:szCs w:val="24"/>
          <w:lang w:val="en-US" w:eastAsia="zh-CN" w:bidi="ar-SA"/>
        </w:rPr>
        <w:id w:val="147469315"/>
        <w15:color w:val="DBDBDB"/>
        <w:docPartObj>
          <w:docPartGallery w:val="Table of Contents"/>
          <w:docPartUnique/>
        </w:docPartObj>
      </w:sdtPr>
      <w:sdtEndPr>
        <w:rPr>
          <w:rFonts w:hint="eastAsia" w:ascii="华文楷体" w:hAnsi="华文楷体" w:eastAsia="华文楷体" w:cs="华文楷体"/>
          <w:color w:val="auto"/>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sz w:val="44"/>
              <w:szCs w:val="44"/>
            </w:rPr>
          </w:pPr>
          <w:r>
            <w:rPr>
              <w:rFonts w:ascii="宋体" w:hAnsi="宋体" w:eastAsia="宋体"/>
              <w:sz w:val="44"/>
              <w:szCs w:val="44"/>
            </w:rPr>
            <w:t>目</w:t>
          </w:r>
          <w:r>
            <w:rPr>
              <w:rFonts w:hint="eastAsia" w:ascii="宋体" w:hAnsi="宋体" w:eastAsia="宋体"/>
              <w:sz w:val="44"/>
              <w:szCs w:val="44"/>
              <w:lang w:val="en-US" w:eastAsia="zh-CN"/>
            </w:rPr>
            <w:t xml:space="preserve"> </w:t>
          </w:r>
          <w:r>
            <w:rPr>
              <w:rFonts w:ascii="宋体" w:hAnsi="宋体" w:eastAsia="宋体"/>
              <w:sz w:val="44"/>
              <w:szCs w:val="44"/>
            </w:rPr>
            <w:t>录</w:t>
          </w:r>
        </w:p>
        <w:p>
          <w:pPr>
            <w:spacing w:before="0" w:beforeLines="0" w:after="0" w:afterLines="0" w:line="240" w:lineRule="auto"/>
            <w:ind w:left="0" w:leftChars="0" w:right="0" w:rightChars="0" w:firstLine="0" w:firstLineChars="0"/>
            <w:jc w:val="center"/>
            <w:rPr>
              <w:rFonts w:ascii="宋体" w:hAnsi="宋体" w:eastAsia="宋体"/>
              <w:sz w:val="32"/>
              <w:szCs w:val="32"/>
            </w:rPr>
          </w:pPr>
        </w:p>
        <w:p>
          <w:pPr>
            <w:spacing w:before="0" w:beforeLines="0" w:after="0" w:afterLines="0" w:line="240" w:lineRule="auto"/>
            <w:ind w:left="0" w:leftChars="0" w:right="0" w:rightChars="0" w:firstLine="0" w:firstLineChars="0"/>
            <w:jc w:val="center"/>
            <w:rPr>
              <w:rFonts w:ascii="宋体" w:hAnsi="宋体" w:eastAsia="宋体"/>
              <w:sz w:val="32"/>
              <w:szCs w:val="32"/>
            </w:rPr>
          </w:pPr>
        </w:p>
        <w:p>
          <w:pPr>
            <w:pStyle w:val="5"/>
            <w:tabs>
              <w:tab w:val="right" w:leader="dot" w:pos="8306"/>
            </w:tabs>
            <w:rPr>
              <w:sz w:val="32"/>
              <w:szCs w:val="32"/>
            </w:rPr>
          </w:pPr>
          <w:r>
            <w:rPr>
              <w:rFonts w:hint="eastAsia" w:ascii="华文楷体" w:hAnsi="华文楷体" w:eastAsia="华文楷体" w:cs="华文楷体"/>
              <w:color w:val="auto"/>
              <w:sz w:val="32"/>
              <w:szCs w:val="32"/>
              <w:lang w:val="en-US" w:eastAsia="zh-CN"/>
            </w:rPr>
            <w:fldChar w:fldCharType="begin"/>
          </w:r>
          <w:r>
            <w:rPr>
              <w:rFonts w:hint="eastAsia" w:ascii="华文楷体" w:hAnsi="华文楷体" w:eastAsia="华文楷体" w:cs="华文楷体"/>
              <w:color w:val="auto"/>
              <w:sz w:val="32"/>
              <w:szCs w:val="32"/>
              <w:lang w:val="en-US" w:eastAsia="zh-CN"/>
            </w:rPr>
            <w:instrText xml:space="preserve">TOC \o "1-3" \h \u </w:instrText>
          </w:r>
          <w:r>
            <w:rPr>
              <w:rFonts w:hint="eastAsia" w:ascii="华文楷体" w:hAnsi="华文楷体" w:eastAsia="华文楷体" w:cs="华文楷体"/>
              <w:color w:val="auto"/>
              <w:sz w:val="32"/>
              <w:szCs w:val="32"/>
              <w:lang w:val="en-US" w:eastAsia="zh-CN"/>
            </w:rPr>
            <w:fldChar w:fldCharType="separate"/>
          </w:r>
          <w:r>
            <w:rPr>
              <w:rFonts w:hint="eastAsia" w:ascii="华文楷体" w:hAnsi="华文楷体" w:eastAsia="华文楷体" w:cs="华文楷体"/>
              <w:color w:val="auto"/>
              <w:sz w:val="32"/>
              <w:szCs w:val="32"/>
              <w:lang w:val="en-US" w:eastAsia="zh-CN"/>
            </w:rPr>
            <w:fldChar w:fldCharType="begin"/>
          </w:r>
          <w:r>
            <w:rPr>
              <w:rFonts w:hint="eastAsia" w:ascii="华文楷体" w:hAnsi="华文楷体" w:eastAsia="华文楷体" w:cs="华文楷体"/>
              <w:sz w:val="32"/>
              <w:szCs w:val="32"/>
              <w:lang w:val="en-US" w:eastAsia="zh-CN"/>
            </w:rPr>
            <w:instrText xml:space="preserve"> HYPERLINK \l _Toc31882 </w:instrText>
          </w:r>
          <w:r>
            <w:rPr>
              <w:rFonts w:hint="eastAsia" w:ascii="华文楷体" w:hAnsi="华文楷体" w:eastAsia="华文楷体" w:cs="华文楷体"/>
              <w:sz w:val="32"/>
              <w:szCs w:val="32"/>
              <w:lang w:val="en-US" w:eastAsia="zh-CN"/>
            </w:rPr>
            <w:fldChar w:fldCharType="separate"/>
          </w:r>
          <w:r>
            <w:rPr>
              <w:rFonts w:hint="eastAsia"/>
              <w:sz w:val="32"/>
              <w:szCs w:val="32"/>
              <w:lang w:val="en-US" w:eastAsia="zh-CN"/>
            </w:rPr>
            <w:t>致估价委托人函</w:t>
          </w:r>
          <w:r>
            <w:rPr>
              <w:sz w:val="32"/>
              <w:szCs w:val="32"/>
            </w:rPr>
            <w:tab/>
          </w:r>
          <w:r>
            <w:rPr>
              <w:sz w:val="32"/>
              <w:szCs w:val="32"/>
            </w:rPr>
            <w:fldChar w:fldCharType="begin"/>
          </w:r>
          <w:r>
            <w:rPr>
              <w:sz w:val="32"/>
              <w:szCs w:val="32"/>
            </w:rPr>
            <w:instrText xml:space="preserve"> PAGEREF _Toc31882 \h </w:instrText>
          </w:r>
          <w:r>
            <w:rPr>
              <w:sz w:val="32"/>
              <w:szCs w:val="32"/>
            </w:rPr>
            <w:fldChar w:fldCharType="separate"/>
          </w:r>
          <w:r>
            <w:rPr>
              <w:sz w:val="32"/>
              <w:szCs w:val="32"/>
            </w:rPr>
            <w:t>1</w:t>
          </w:r>
          <w:r>
            <w:rPr>
              <w:sz w:val="32"/>
              <w:szCs w:val="32"/>
            </w:rPr>
            <w:fldChar w:fldCharType="end"/>
          </w:r>
          <w:r>
            <w:rPr>
              <w:rFonts w:hint="eastAsia" w:ascii="华文楷体" w:hAnsi="华文楷体" w:eastAsia="华文楷体" w:cs="华文楷体"/>
              <w:color w:val="auto"/>
              <w:sz w:val="32"/>
              <w:szCs w:val="32"/>
              <w:lang w:val="en-US" w:eastAsia="zh-CN"/>
            </w:rPr>
            <w:fldChar w:fldCharType="end"/>
          </w:r>
        </w:p>
        <w:p>
          <w:pPr>
            <w:pStyle w:val="5"/>
            <w:tabs>
              <w:tab w:val="right" w:leader="dot" w:pos="8306"/>
            </w:tabs>
            <w:rPr>
              <w:sz w:val="32"/>
              <w:szCs w:val="32"/>
            </w:rPr>
          </w:pPr>
          <w:r>
            <w:rPr>
              <w:rFonts w:hint="eastAsia" w:ascii="华文楷体" w:hAnsi="华文楷体" w:eastAsia="华文楷体" w:cs="华文楷体"/>
              <w:color w:val="auto"/>
              <w:sz w:val="32"/>
              <w:szCs w:val="32"/>
              <w:lang w:val="en-US" w:eastAsia="zh-CN"/>
            </w:rPr>
            <w:fldChar w:fldCharType="begin"/>
          </w:r>
          <w:r>
            <w:rPr>
              <w:rFonts w:hint="eastAsia" w:ascii="华文楷体" w:hAnsi="华文楷体" w:eastAsia="华文楷体" w:cs="华文楷体"/>
              <w:sz w:val="32"/>
              <w:szCs w:val="32"/>
              <w:lang w:val="en-US" w:eastAsia="zh-CN"/>
            </w:rPr>
            <w:instrText xml:space="preserve"> HYPERLINK \l _Toc8514 </w:instrText>
          </w:r>
          <w:r>
            <w:rPr>
              <w:rFonts w:hint="eastAsia" w:ascii="华文楷体" w:hAnsi="华文楷体" w:eastAsia="华文楷体" w:cs="华文楷体"/>
              <w:sz w:val="32"/>
              <w:szCs w:val="32"/>
              <w:lang w:val="en-US" w:eastAsia="zh-CN"/>
            </w:rPr>
            <w:fldChar w:fldCharType="separate"/>
          </w:r>
          <w:r>
            <w:rPr>
              <w:rFonts w:hint="eastAsia"/>
              <w:sz w:val="32"/>
              <w:szCs w:val="32"/>
              <w:lang w:val="en-US" w:eastAsia="zh-CN"/>
            </w:rPr>
            <w:t>估价师声明</w:t>
          </w:r>
          <w:r>
            <w:rPr>
              <w:sz w:val="32"/>
              <w:szCs w:val="32"/>
            </w:rPr>
            <w:tab/>
          </w:r>
          <w:r>
            <w:rPr>
              <w:sz w:val="32"/>
              <w:szCs w:val="32"/>
            </w:rPr>
            <w:fldChar w:fldCharType="begin"/>
          </w:r>
          <w:r>
            <w:rPr>
              <w:sz w:val="32"/>
              <w:szCs w:val="32"/>
            </w:rPr>
            <w:instrText xml:space="preserve"> PAGEREF _Toc8514 \h </w:instrText>
          </w:r>
          <w:r>
            <w:rPr>
              <w:sz w:val="32"/>
              <w:szCs w:val="32"/>
            </w:rPr>
            <w:fldChar w:fldCharType="separate"/>
          </w:r>
          <w:r>
            <w:rPr>
              <w:sz w:val="32"/>
              <w:szCs w:val="32"/>
            </w:rPr>
            <w:t>4</w:t>
          </w:r>
          <w:r>
            <w:rPr>
              <w:sz w:val="32"/>
              <w:szCs w:val="32"/>
            </w:rPr>
            <w:fldChar w:fldCharType="end"/>
          </w:r>
          <w:r>
            <w:rPr>
              <w:rFonts w:hint="eastAsia" w:ascii="华文楷体" w:hAnsi="华文楷体" w:eastAsia="华文楷体" w:cs="华文楷体"/>
              <w:color w:val="auto"/>
              <w:sz w:val="32"/>
              <w:szCs w:val="32"/>
              <w:lang w:val="en-US" w:eastAsia="zh-CN"/>
            </w:rPr>
            <w:fldChar w:fldCharType="end"/>
          </w:r>
        </w:p>
        <w:p>
          <w:pPr>
            <w:pStyle w:val="5"/>
            <w:tabs>
              <w:tab w:val="right" w:leader="dot" w:pos="8306"/>
            </w:tabs>
            <w:rPr>
              <w:sz w:val="32"/>
              <w:szCs w:val="32"/>
            </w:rPr>
          </w:pPr>
          <w:r>
            <w:rPr>
              <w:rFonts w:hint="eastAsia" w:ascii="华文楷体" w:hAnsi="华文楷体" w:eastAsia="华文楷体" w:cs="华文楷体"/>
              <w:color w:val="auto"/>
              <w:sz w:val="32"/>
              <w:szCs w:val="32"/>
              <w:lang w:val="en-US" w:eastAsia="zh-CN"/>
            </w:rPr>
            <w:fldChar w:fldCharType="begin"/>
          </w:r>
          <w:r>
            <w:rPr>
              <w:rFonts w:hint="eastAsia" w:ascii="华文楷体" w:hAnsi="华文楷体" w:eastAsia="华文楷体" w:cs="华文楷体"/>
              <w:sz w:val="32"/>
              <w:szCs w:val="32"/>
              <w:lang w:val="en-US" w:eastAsia="zh-CN"/>
            </w:rPr>
            <w:instrText xml:space="preserve"> HYPERLINK \l _Toc7536 </w:instrText>
          </w:r>
          <w:r>
            <w:rPr>
              <w:rFonts w:hint="eastAsia" w:ascii="华文楷体" w:hAnsi="华文楷体" w:eastAsia="华文楷体" w:cs="华文楷体"/>
              <w:sz w:val="32"/>
              <w:szCs w:val="32"/>
              <w:lang w:val="en-US" w:eastAsia="zh-CN"/>
            </w:rPr>
            <w:fldChar w:fldCharType="separate"/>
          </w:r>
          <w:r>
            <w:rPr>
              <w:rFonts w:hint="eastAsia"/>
              <w:sz w:val="32"/>
              <w:szCs w:val="32"/>
              <w:lang w:val="en-US" w:eastAsia="zh-CN"/>
            </w:rPr>
            <w:t>估价假设和限制条件</w:t>
          </w:r>
          <w:r>
            <w:rPr>
              <w:sz w:val="32"/>
              <w:szCs w:val="32"/>
            </w:rPr>
            <w:tab/>
          </w:r>
          <w:r>
            <w:rPr>
              <w:rFonts w:hint="eastAsia"/>
              <w:sz w:val="32"/>
              <w:szCs w:val="32"/>
              <w:lang w:val="en-US" w:eastAsia="zh-CN"/>
            </w:rPr>
            <w:t>6</w:t>
          </w:r>
          <w:r>
            <w:rPr>
              <w:rFonts w:hint="eastAsia" w:ascii="华文楷体" w:hAnsi="华文楷体" w:eastAsia="华文楷体" w:cs="华文楷体"/>
              <w:color w:val="auto"/>
              <w:sz w:val="32"/>
              <w:szCs w:val="32"/>
              <w:lang w:val="en-US" w:eastAsia="zh-CN"/>
            </w:rPr>
            <w:fldChar w:fldCharType="end"/>
          </w:r>
        </w:p>
        <w:p>
          <w:pPr>
            <w:pStyle w:val="5"/>
            <w:tabs>
              <w:tab w:val="right" w:leader="dot" w:pos="8306"/>
            </w:tabs>
            <w:rPr>
              <w:rFonts w:hint="default"/>
              <w:sz w:val="32"/>
              <w:szCs w:val="32"/>
              <w:lang w:val="en-US"/>
            </w:rPr>
          </w:pPr>
          <w:r>
            <w:rPr>
              <w:rFonts w:hint="eastAsia" w:ascii="华文楷体" w:hAnsi="华文楷体" w:eastAsia="华文楷体" w:cs="华文楷体"/>
              <w:color w:val="auto"/>
              <w:sz w:val="32"/>
              <w:szCs w:val="32"/>
              <w:lang w:val="en-US" w:eastAsia="zh-CN"/>
            </w:rPr>
            <w:fldChar w:fldCharType="begin"/>
          </w:r>
          <w:r>
            <w:rPr>
              <w:rFonts w:hint="eastAsia" w:ascii="华文楷体" w:hAnsi="华文楷体" w:eastAsia="华文楷体" w:cs="华文楷体"/>
              <w:sz w:val="32"/>
              <w:szCs w:val="32"/>
              <w:lang w:val="en-US" w:eastAsia="zh-CN"/>
            </w:rPr>
            <w:instrText xml:space="preserve"> HYPERLINK \l _Toc30929 </w:instrText>
          </w:r>
          <w:r>
            <w:rPr>
              <w:rFonts w:hint="eastAsia" w:ascii="华文楷体" w:hAnsi="华文楷体" w:eastAsia="华文楷体" w:cs="华文楷体"/>
              <w:sz w:val="32"/>
              <w:szCs w:val="32"/>
              <w:lang w:val="en-US" w:eastAsia="zh-CN"/>
            </w:rPr>
            <w:fldChar w:fldCharType="separate"/>
          </w:r>
          <w:r>
            <w:rPr>
              <w:rFonts w:hint="eastAsia"/>
              <w:sz w:val="32"/>
              <w:szCs w:val="32"/>
              <w:lang w:val="en-US" w:eastAsia="zh-CN"/>
            </w:rPr>
            <w:t>房地产估价结果报告</w:t>
          </w:r>
          <w:r>
            <w:rPr>
              <w:sz w:val="32"/>
              <w:szCs w:val="32"/>
            </w:rPr>
            <w:tab/>
          </w:r>
          <w:r>
            <w:rPr>
              <w:rFonts w:hint="eastAsia"/>
              <w:sz w:val="32"/>
              <w:szCs w:val="32"/>
              <w:lang w:val="en-US" w:eastAsia="zh-CN"/>
            </w:rPr>
            <w:t>1</w:t>
          </w:r>
          <w:r>
            <w:rPr>
              <w:rFonts w:hint="eastAsia" w:ascii="华文楷体" w:hAnsi="华文楷体" w:eastAsia="华文楷体" w:cs="华文楷体"/>
              <w:color w:val="auto"/>
              <w:sz w:val="32"/>
              <w:szCs w:val="32"/>
              <w:lang w:val="en-US" w:eastAsia="zh-CN"/>
            </w:rPr>
            <w:fldChar w:fldCharType="end"/>
          </w:r>
          <w:r>
            <w:rPr>
              <w:rFonts w:hint="eastAsia" w:ascii="华文楷体" w:hAnsi="华文楷体" w:eastAsia="华文楷体" w:cs="华文楷体"/>
              <w:color w:val="auto"/>
              <w:sz w:val="32"/>
              <w:szCs w:val="32"/>
              <w:lang w:val="en-US" w:eastAsia="zh-CN"/>
            </w:rPr>
            <w:t>0</w:t>
          </w:r>
        </w:p>
        <w:p>
          <w:pPr>
            <w:pStyle w:val="5"/>
            <w:tabs>
              <w:tab w:val="right" w:leader="dot" w:pos="8306"/>
            </w:tabs>
          </w:pPr>
          <w:r>
            <w:rPr>
              <w:rFonts w:hint="eastAsia" w:ascii="华文楷体" w:hAnsi="华文楷体" w:eastAsia="华文楷体" w:cs="华文楷体"/>
              <w:color w:val="auto"/>
              <w:sz w:val="32"/>
              <w:szCs w:val="32"/>
              <w:lang w:val="en-US" w:eastAsia="zh-CN"/>
            </w:rPr>
            <w:fldChar w:fldCharType="begin"/>
          </w:r>
          <w:r>
            <w:rPr>
              <w:rFonts w:hint="eastAsia" w:ascii="华文楷体" w:hAnsi="华文楷体" w:eastAsia="华文楷体" w:cs="华文楷体"/>
              <w:sz w:val="32"/>
              <w:szCs w:val="32"/>
              <w:lang w:val="en-US" w:eastAsia="zh-CN"/>
            </w:rPr>
            <w:instrText xml:space="preserve"> HYPERLINK \l _Toc2589 </w:instrText>
          </w:r>
          <w:r>
            <w:rPr>
              <w:rFonts w:hint="eastAsia" w:ascii="华文楷体" w:hAnsi="华文楷体" w:eastAsia="华文楷体" w:cs="华文楷体"/>
              <w:sz w:val="32"/>
              <w:szCs w:val="32"/>
              <w:lang w:val="en-US" w:eastAsia="zh-CN"/>
            </w:rPr>
            <w:fldChar w:fldCharType="separate"/>
          </w:r>
          <w:r>
            <w:rPr>
              <w:rFonts w:hint="eastAsia"/>
              <w:sz w:val="32"/>
              <w:szCs w:val="32"/>
              <w:lang w:val="en-US" w:eastAsia="zh-CN"/>
            </w:rPr>
            <w:t>附件及照片</w:t>
          </w:r>
          <w:r>
            <w:rPr>
              <w:sz w:val="32"/>
              <w:szCs w:val="32"/>
            </w:rPr>
            <w:tab/>
          </w:r>
          <w:r>
            <w:rPr>
              <w:sz w:val="32"/>
              <w:szCs w:val="32"/>
            </w:rPr>
            <w:fldChar w:fldCharType="begin"/>
          </w:r>
          <w:r>
            <w:rPr>
              <w:sz w:val="32"/>
              <w:szCs w:val="32"/>
            </w:rPr>
            <w:instrText xml:space="preserve"> PAGEREF _Toc2589 \h </w:instrText>
          </w:r>
          <w:r>
            <w:rPr>
              <w:sz w:val="32"/>
              <w:szCs w:val="32"/>
            </w:rPr>
            <w:fldChar w:fldCharType="separate"/>
          </w:r>
          <w:r>
            <w:rPr>
              <w:sz w:val="32"/>
              <w:szCs w:val="32"/>
            </w:rPr>
            <w:t>15</w:t>
          </w:r>
          <w:r>
            <w:rPr>
              <w:sz w:val="32"/>
              <w:szCs w:val="32"/>
            </w:rPr>
            <w:fldChar w:fldCharType="end"/>
          </w:r>
          <w:r>
            <w:rPr>
              <w:rFonts w:hint="eastAsia" w:ascii="华文楷体" w:hAnsi="华文楷体" w:eastAsia="华文楷体" w:cs="华文楷体"/>
              <w:color w:val="auto"/>
              <w:sz w:val="32"/>
              <w:szCs w:val="32"/>
              <w:lang w:val="en-US" w:eastAsia="zh-CN"/>
            </w:rPr>
            <w:fldChar w:fldCharType="end"/>
          </w:r>
        </w:p>
        <w:p>
          <w:pPr>
            <w:ind w:firstLine="42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Cs w:val="32"/>
              <w:lang w:val="en-US" w:eastAsia="zh-CN"/>
            </w:rPr>
            <w:fldChar w:fldCharType="end"/>
          </w:r>
        </w:p>
      </w:sdtContent>
    </w:sdt>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ind w:firstLine="600" w:firstLineChars="200"/>
        <w:rPr>
          <w:rFonts w:hint="eastAsia" w:ascii="华文楷体" w:hAnsi="华文楷体" w:eastAsia="华文楷体" w:cs="华文楷体"/>
          <w:color w:val="auto"/>
          <w:sz w:val="30"/>
          <w:szCs w:val="30"/>
          <w:lang w:val="en-US" w:eastAsia="zh-CN"/>
        </w:rPr>
      </w:pPr>
    </w:p>
    <w:p>
      <w:pPr>
        <w:rPr>
          <w:rFonts w:hint="eastAsia" w:ascii="华文楷体" w:hAnsi="华文楷体" w:eastAsia="华文楷体" w:cs="华文楷体"/>
          <w:color w:val="auto"/>
          <w:sz w:val="30"/>
          <w:szCs w:val="30"/>
          <w:lang w:val="en-US" w:eastAsia="zh-CN"/>
        </w:rPr>
      </w:pPr>
    </w:p>
    <w:p>
      <w:pPr>
        <w:rPr>
          <w:rFonts w:hint="eastAsia" w:ascii="华文楷体" w:hAnsi="华文楷体" w:eastAsia="华文楷体" w:cs="华文楷体"/>
          <w:color w:val="auto"/>
          <w:sz w:val="30"/>
          <w:szCs w:val="30"/>
          <w:lang w:val="en-US" w:eastAsia="zh-CN"/>
        </w:rPr>
      </w:pPr>
    </w:p>
    <w:p>
      <w:pPr>
        <w:rPr>
          <w:rFonts w:hint="eastAsia" w:ascii="华文楷体" w:hAnsi="华文楷体" w:eastAsia="华文楷体" w:cs="华文楷体"/>
          <w:color w:val="auto"/>
          <w:sz w:val="30"/>
          <w:szCs w:val="30"/>
          <w:lang w:val="en-US" w:eastAsia="zh-CN"/>
        </w:rPr>
      </w:pPr>
    </w:p>
    <w:p>
      <w:pPr>
        <w:rPr>
          <w:rFonts w:hint="eastAsia" w:ascii="华文楷体" w:hAnsi="华文楷体" w:eastAsia="华文楷体" w:cs="华文楷体"/>
          <w:color w:val="auto"/>
          <w:sz w:val="30"/>
          <w:szCs w:val="30"/>
          <w:lang w:val="en-US" w:eastAsia="zh-CN"/>
        </w:rPr>
      </w:pPr>
    </w:p>
    <w:p>
      <w:pPr>
        <w:pStyle w:val="2"/>
        <w:bidi w:val="0"/>
        <w:rPr>
          <w:rFonts w:hint="eastAsia"/>
          <w:lang w:val="en-US" w:eastAsia="zh-CN"/>
        </w:rPr>
      </w:pPr>
      <w:bookmarkStart w:id="3" w:name="_Toc8514"/>
      <w:bookmarkStart w:id="4" w:name="_Toc25114"/>
      <w:bookmarkStart w:id="5" w:name="_Toc17092"/>
      <w:r>
        <w:rPr>
          <w:rFonts w:hint="eastAsia"/>
          <w:lang w:val="en-US" w:eastAsia="zh-CN"/>
        </w:rPr>
        <w:t>估价师声明</w:t>
      </w:r>
      <w:bookmarkEnd w:id="3"/>
      <w:bookmarkEnd w:id="4"/>
      <w:bookmarkEnd w:id="5"/>
    </w:p>
    <w:p>
      <w:pPr>
        <w:rPr>
          <w:rFonts w:hint="default"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我们根据自己的专业知识和职业道德，在此郑重声明：</w:t>
      </w:r>
    </w:p>
    <w:p>
      <w:pPr>
        <w:numPr>
          <w:ilvl w:val="0"/>
          <w:numId w:val="1"/>
        </w:num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我们在本估价报告中对事实的说明是真实和准确的，没有虚假记载、误导性陈述和重大遗漏。</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2、估价报告中的分析、意见和结论是我们独立、客观、公正的专业分析、意见和结论，但受到本估价报告中已说明的估价假设和限制条件的限制。</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3、我们与本估价报告中的估价对象没有现实或潜在的利益，与估价委托大及估价利害关系人没有利害关系。</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4、我们对本估价报告中的估价对象、估价委托人及估价利害关系人没有偏见。</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5、我们依照《房地产估价规范》GB/T 50291 -3015、 《房地产估价基本术语标准》GB/T 50899-2013 及《人民法院委托评估工作规范》进行分析，形成意见和结论，撰写本估价报告。</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6、注册房地产估价师许志忠、李红梅已于</w:t>
      </w:r>
      <w:r>
        <w:rPr>
          <w:rFonts w:hint="eastAsia" w:ascii="华文楷体" w:hAnsi="华文楷体" w:eastAsia="华文楷体" w:cs="华文楷体"/>
          <w:color w:val="FF0000"/>
          <w:sz w:val="30"/>
          <w:szCs w:val="30"/>
          <w:lang w:val="en-US" w:eastAsia="zh-CN"/>
        </w:rPr>
        <w:t>2022年7月6日</w:t>
      </w:r>
      <w:r>
        <w:rPr>
          <w:rFonts w:hint="eastAsia" w:ascii="华文楷体" w:hAnsi="华文楷体" w:eastAsia="华文楷体" w:cs="华文楷体"/>
          <w:color w:val="auto"/>
          <w:sz w:val="30"/>
          <w:szCs w:val="30"/>
          <w:lang w:val="en-US" w:eastAsia="zh-CN"/>
        </w:rPr>
        <w:t>对本估价报告中的估价对象进行了实地查勘。</w:t>
      </w:r>
    </w:p>
    <w:p>
      <w:pPr>
        <w:numPr>
          <w:ilvl w:val="0"/>
          <w:numId w:val="0"/>
        </w:num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7、没有人对本估价报告提供了重要专业帮助。</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8、本次估价的注册房地产估价师:</w:t>
      </w:r>
    </w:p>
    <w:p>
      <w:pPr>
        <w:numPr>
          <w:ilvl w:val="0"/>
          <w:numId w:val="0"/>
        </w:numPr>
        <w:rPr>
          <w:rFonts w:hint="default"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 xml:space="preserve">   9、</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175"/>
        <w:gridCol w:w="232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28"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姓名</w:t>
            </w:r>
          </w:p>
        </w:tc>
        <w:tc>
          <w:tcPr>
            <w:tcW w:w="217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注册号</w:t>
            </w:r>
          </w:p>
        </w:tc>
        <w:tc>
          <w:tcPr>
            <w:tcW w:w="232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签名</w:t>
            </w:r>
          </w:p>
        </w:tc>
        <w:tc>
          <w:tcPr>
            <w:tcW w:w="223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8"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lang w:val="en-US" w:eastAsia="zh-CN"/>
              </w:rPr>
              <w:t>许志忠</w:t>
            </w:r>
          </w:p>
        </w:tc>
        <w:tc>
          <w:tcPr>
            <w:tcW w:w="2175" w:type="dxa"/>
            <w:vAlign w:val="center"/>
          </w:tcPr>
          <w:p>
            <w:pPr>
              <w:numPr>
                <w:ilvl w:val="0"/>
                <w:numId w:val="0"/>
              </w:numPr>
              <w:jc w:val="center"/>
              <w:rPr>
                <w:rFonts w:hint="default" w:ascii="华文楷体" w:hAnsi="华文楷体" w:eastAsia="华文楷体" w:cs="华文楷体"/>
                <w:color w:val="auto"/>
                <w:sz w:val="24"/>
                <w:szCs w:val="24"/>
                <w:lang w:val="en-US" w:eastAsia="zh-CN"/>
              </w:rPr>
            </w:pPr>
            <w:r>
              <w:rPr>
                <w:rFonts w:hint="eastAsia" w:ascii="华文楷体" w:hAnsi="华文楷体" w:eastAsia="华文楷体" w:cs="华文楷体"/>
                <w:color w:val="auto"/>
                <w:sz w:val="24"/>
                <w:szCs w:val="24"/>
                <w:lang w:val="en-US" w:eastAsia="zh-CN"/>
              </w:rPr>
              <w:t>2319970013</w:t>
            </w:r>
          </w:p>
        </w:tc>
        <w:tc>
          <w:tcPr>
            <w:tcW w:w="232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p>
        </w:tc>
        <w:tc>
          <w:tcPr>
            <w:tcW w:w="223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528"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lang w:val="en-US" w:eastAsia="zh-CN"/>
              </w:rPr>
              <w:t>李红梅</w:t>
            </w:r>
          </w:p>
        </w:tc>
        <w:tc>
          <w:tcPr>
            <w:tcW w:w="2175" w:type="dxa"/>
            <w:vAlign w:val="center"/>
          </w:tcPr>
          <w:p>
            <w:pPr>
              <w:numPr>
                <w:ilvl w:val="0"/>
                <w:numId w:val="0"/>
              </w:numPr>
              <w:jc w:val="center"/>
              <w:rPr>
                <w:rFonts w:hint="default" w:ascii="华文楷体" w:hAnsi="华文楷体" w:eastAsia="华文楷体" w:cs="华文楷体"/>
                <w:color w:val="auto"/>
                <w:sz w:val="24"/>
                <w:szCs w:val="24"/>
                <w:lang w:val="en-US" w:eastAsia="zh-CN"/>
              </w:rPr>
            </w:pPr>
            <w:r>
              <w:rPr>
                <w:rFonts w:hint="eastAsia" w:ascii="华文楷体" w:hAnsi="华文楷体" w:eastAsia="华文楷体" w:cs="华文楷体"/>
                <w:color w:val="auto"/>
                <w:sz w:val="24"/>
                <w:szCs w:val="24"/>
                <w:lang w:val="en-US" w:eastAsia="zh-CN"/>
              </w:rPr>
              <w:t>2320100052</w:t>
            </w:r>
          </w:p>
        </w:tc>
        <w:tc>
          <w:tcPr>
            <w:tcW w:w="232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p>
        </w:tc>
        <w:tc>
          <w:tcPr>
            <w:tcW w:w="223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 xml:space="preserve">      年  月  日</w:t>
            </w:r>
          </w:p>
        </w:tc>
      </w:tr>
    </w:tbl>
    <w:p>
      <w:pPr>
        <w:pStyle w:val="2"/>
        <w:bidi w:val="0"/>
        <w:rPr>
          <w:rFonts w:hint="eastAsia"/>
          <w:lang w:val="en-US" w:eastAsia="zh-CN"/>
        </w:rPr>
      </w:pPr>
      <w:bookmarkStart w:id="6" w:name="_Toc26528"/>
      <w:bookmarkStart w:id="7" w:name="_Toc31410"/>
    </w:p>
    <w:p>
      <w:pPr>
        <w:pStyle w:val="2"/>
        <w:bidi w:val="0"/>
        <w:rPr>
          <w:rFonts w:hint="eastAsia"/>
          <w:lang w:val="en-US" w:eastAsia="zh-CN"/>
        </w:rPr>
      </w:pPr>
    </w:p>
    <w:p>
      <w:pPr>
        <w:pStyle w:val="2"/>
        <w:bidi w:val="0"/>
        <w:jc w:val="both"/>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pStyle w:val="2"/>
        <w:bidi w:val="0"/>
        <w:rPr>
          <w:rFonts w:hint="eastAsia"/>
          <w:lang w:val="en-US" w:eastAsia="zh-CN"/>
        </w:rPr>
      </w:pPr>
    </w:p>
    <w:p>
      <w:pPr>
        <w:pStyle w:val="2"/>
        <w:bidi w:val="0"/>
        <w:jc w:val="both"/>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bidi w:val="0"/>
      </w:pPr>
      <w:bookmarkStart w:id="8" w:name="_Toc7536"/>
      <w:r>
        <w:rPr>
          <w:rFonts w:hint="eastAsia"/>
          <w:lang w:val="en-US" w:eastAsia="zh-CN"/>
        </w:rPr>
        <w:t>估价假设和限制条件</w:t>
      </w:r>
      <w:bookmarkEnd w:id="6"/>
      <w:bookmarkEnd w:id="7"/>
      <w:bookmarkEnd w:id="8"/>
    </w:p>
    <w:p>
      <w:pPr>
        <w:numPr>
          <w:ilvl w:val="0"/>
          <w:numId w:val="2"/>
        </w:numPr>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b/>
          <w:bCs/>
          <w:color w:val="auto"/>
          <w:sz w:val="30"/>
          <w:szCs w:val="30"/>
          <w:lang w:val="en-US" w:eastAsia="zh-CN"/>
        </w:rPr>
        <w:t>本次估价的各项估价假设</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(一)一般假设</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1、本估价报告按价值时点的国家法律、法规、市场情况以及估价对象的区位、实体、权益因素等估价要素为依据评估制作完成。</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2、本估价报告所提供的评估价值，其价值类型为注册房地产估价师在遵循估价原则的前提下，测算得到的估价对象于价值时点的房地产市场价值。</w:t>
      </w:r>
    </w:p>
    <w:p>
      <w:pPr>
        <w:numPr>
          <w:ilvl w:val="0"/>
          <w:numId w:val="0"/>
        </w:numPr>
        <w:ind w:leftChars="0" w:firstLine="600" w:firstLineChars="200"/>
        <w:rPr>
          <w:rFonts w:hint="default" w:ascii="华文楷体" w:hAnsi="华文楷体" w:eastAsia="华文楷体" w:cs="华文楷体"/>
          <w:color w:val="FF0000"/>
          <w:sz w:val="30"/>
          <w:szCs w:val="30"/>
          <w:lang w:val="en-US" w:eastAsia="zh-CN"/>
        </w:rPr>
      </w:pPr>
      <w:r>
        <w:rPr>
          <w:rFonts w:hint="eastAsia" w:ascii="华文楷体" w:hAnsi="华文楷体" w:eastAsia="华文楷体" w:cs="华文楷体"/>
          <w:color w:val="auto"/>
          <w:sz w:val="30"/>
          <w:szCs w:val="30"/>
          <w:lang w:val="en-US" w:eastAsia="zh-CN"/>
        </w:rPr>
        <w:t>3、本次估价假定人民法院拍卖(或者变卖)财产之日的估价对象状况和房地产市场状况与实地查勘完成之日的状况相同为前提。</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4、本次估价以估价委托人提供的估价资料真实性、完整性、合法性为前提，否则本公司不承担任何责任。</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5、本次估价对象由估价委托人现场指认，估价人员仅对估价对象作一般性的查勘，未对其进行结构及设施等内在质量的测试，不对估价对象是否有内部缺陷作鉴定。本次估价以估价对象达到国家或行业规定的标准要求为前。</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6、本次估价是为人民法院确定财产处置参考价提供参考依据，估价时没有考虑国家宏观经济政策发生变化、市场供应关系变化、市场结构转变、遇有自然力和其他不可抗力等因素对房地产价值的影响，也没有考虑估价对象特殊交易方式下的特殊交易价格等对估价结果的影响。当上述条件发生变化时，估价结果一般亦会发生变化。</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7、估价结果未包括各项交易税费及所欠缴的各项费用。</w:t>
      </w:r>
    </w:p>
    <w:p>
      <w:pPr>
        <w:numPr>
          <w:ilvl w:val="0"/>
          <w:numId w:val="3"/>
        </w:numPr>
        <w:ind w:left="600" w:hanging="600" w:hangingChars="200"/>
        <w:rPr>
          <w:rFonts w:hint="eastAsia" w:ascii="华文楷体" w:hAnsi="华文楷体" w:eastAsia="华文楷体" w:cs="华文楷体"/>
          <w:color w:val="FF0000"/>
          <w:sz w:val="30"/>
          <w:szCs w:val="30"/>
          <w:lang w:val="en-US" w:eastAsia="zh-CN"/>
        </w:rPr>
      </w:pPr>
      <w:r>
        <w:rPr>
          <w:rFonts w:hint="eastAsia" w:ascii="华文楷体" w:hAnsi="华文楷体" w:eastAsia="华文楷体" w:cs="华文楷体"/>
          <w:color w:val="FF0000"/>
          <w:sz w:val="30"/>
          <w:szCs w:val="30"/>
          <w:lang w:val="en-US" w:eastAsia="zh-CN"/>
        </w:rPr>
        <w:t>未定事项假设</w:t>
      </w:r>
    </w:p>
    <w:p>
      <w:pPr>
        <w:numPr>
          <w:ilvl w:val="0"/>
          <w:numId w:val="0"/>
        </w:numPr>
        <w:ind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无</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(三）背离事实假设</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1、本次估价是为人民法院确定财产处置参考价提供参考依据，估价时没有考虑国家宏观经济政策发生变化、市场供应关系变化、市场结构转变、遇有自然力和其他不可抗力等因素对房地产价值的影响，也没有考虑估价对象特殊交易方式下的特殊交易价格等对估价结果的影响。当上述条件发生变化时，估价结果一般亦会发生变化。</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2、本次估价结果未考虑估价对象被查封以及原有的担保物权和其他优先受偿权情况，也未考虑估价对象及其权利人已承担的债务、或有债务等对其价值的影响。</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(四)不相一致假设</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无不相一致假设。</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FF0000"/>
          <w:sz w:val="30"/>
          <w:szCs w:val="30"/>
          <w:lang w:val="en-US" w:eastAsia="zh-CN"/>
        </w:rPr>
        <w:t>(五）依据不足假设</w:t>
      </w:r>
      <w:r>
        <w:rPr>
          <w:rFonts w:hint="eastAsia" w:ascii="华文楷体" w:hAnsi="华文楷体" w:eastAsia="华文楷体" w:cs="华文楷体"/>
          <w:color w:val="FF0000"/>
          <w:sz w:val="30"/>
          <w:szCs w:val="30"/>
          <w:lang w:val="en-US" w:eastAsia="zh-CN"/>
        </w:rPr>
        <w:br w:type="textWrapping"/>
      </w:r>
      <w:r>
        <w:rPr>
          <w:rFonts w:hint="eastAsia" w:ascii="华文楷体" w:hAnsi="华文楷体" w:eastAsia="华文楷体" w:cs="华文楷体"/>
          <w:color w:val="FF0000"/>
          <w:sz w:val="30"/>
          <w:szCs w:val="30"/>
          <w:lang w:val="en-US" w:eastAsia="zh-CN"/>
        </w:rPr>
        <w:t xml:space="preserve">    因委托方未提供估价对象《不动产权证书》或初始登记等资料，估价师无法了解估价对象产权登记信息，本次估价以委托方提供档案查档单上记载的建筑面积、产权人为假设前提，以现场勘查认为混合结构为前提，如与相关审核、登记部门记载内容不相一致，本次估价结果将作相应调整。</w:t>
      </w:r>
      <w:r>
        <w:rPr>
          <w:rFonts w:hint="eastAsia" w:ascii="华文楷体" w:hAnsi="华文楷体" w:eastAsia="华文楷体" w:cs="华文楷体"/>
          <w:color w:val="FF0000"/>
          <w:sz w:val="30"/>
          <w:szCs w:val="30"/>
          <w:lang w:val="en-US" w:eastAsia="zh-CN"/>
        </w:rPr>
        <w:br w:type="textWrapping"/>
      </w:r>
      <w:r>
        <w:rPr>
          <w:rFonts w:hint="eastAsia" w:ascii="华文楷体" w:hAnsi="华文楷体" w:eastAsia="华文楷体" w:cs="华文楷体"/>
          <w:color w:val="auto"/>
          <w:sz w:val="30"/>
          <w:szCs w:val="30"/>
          <w:lang w:val="en-US" w:eastAsia="zh-CN"/>
        </w:rPr>
        <w:t>二、估价报告使用限制</w:t>
      </w:r>
    </w:p>
    <w:p>
      <w:pPr>
        <w:numPr>
          <w:ilvl w:val="0"/>
          <w:numId w:val="4"/>
        </w:numPr>
        <w:ind w:left="-120" w:leftChars="-57" w:firstLine="600" w:firstLineChars="200"/>
        <w:rPr>
          <w:rFonts w:hint="eastAsia"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 xml:space="preserve">本次估价结果，仅为本次估价目的参考使用，未经估价单位同意，估价报告的全部或任何部分不得发表于任何公开媒体上。                                                                                                                                                                                                                                                                                                                                                                                        </w:t>
      </w:r>
    </w:p>
    <w:p>
      <w:pPr>
        <w:numPr>
          <w:ilvl w:val="0"/>
          <w:numId w:val="4"/>
        </w:numPr>
        <w:ind w:left="-120" w:leftChars="-57" w:firstLine="600" w:firstLineChars="200"/>
        <w:rPr>
          <w:rFonts w:hint="default" w:ascii="华文楷体" w:hAnsi="华文楷体" w:eastAsia="华文楷体" w:cs="华文楷体"/>
          <w:color w:val="auto"/>
          <w:sz w:val="30"/>
          <w:szCs w:val="30"/>
          <w:lang w:val="en-US" w:eastAsia="zh-CN"/>
        </w:rPr>
      </w:pPr>
      <w:r>
        <w:rPr>
          <w:rFonts w:hint="eastAsia" w:ascii="华文楷体" w:hAnsi="华文楷体" w:eastAsia="华文楷体" w:cs="华文楷体"/>
          <w:color w:val="auto"/>
          <w:sz w:val="30"/>
          <w:szCs w:val="30"/>
          <w:lang w:val="en-US" w:eastAsia="zh-CN"/>
        </w:rPr>
        <w:t>本估价报告的估价目的是为人民法院确定财产处置参考价提供参考依据，估价委托人或报告使用人应当按照法律规定和估价报告载明的使用范围使用估价报告，否则房地产估价机构和注册房地产估价师依法不承担责任。若委托人用于其他目的，需向本公司咨询后作必要修正，甚至于重新估价，否则本机构不承担任何责任。</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3、估价结果不等于估价对象处置可实现的成交价，不应被认为是对估价对象处置成交价的保证。</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4、报告中的数据全部采用电算化连续计算得出，由于在报告中计算的数据均保留两位小数或取整，因此，可能出现个别等式左右不完全相等的情况，但不影响计算结果及最终评估结论的准确性。</w:t>
      </w:r>
      <w:r>
        <w:rPr>
          <w:rFonts w:hint="eastAsia" w:ascii="华文楷体" w:hAnsi="华文楷体" w:eastAsia="华文楷体" w:cs="华文楷体"/>
          <w:color w:val="auto"/>
          <w:sz w:val="30"/>
          <w:szCs w:val="30"/>
          <w:lang w:val="en-US" w:eastAsia="zh-CN"/>
        </w:rPr>
        <w:br w:type="textWrapping"/>
      </w:r>
      <w:r>
        <w:rPr>
          <w:rFonts w:hint="eastAsia" w:ascii="华文楷体" w:hAnsi="华文楷体" w:eastAsia="华文楷体" w:cs="华文楷体"/>
          <w:color w:val="auto"/>
          <w:sz w:val="30"/>
          <w:szCs w:val="30"/>
          <w:lang w:val="en-US" w:eastAsia="zh-CN"/>
        </w:rPr>
        <w:t xml:space="preserve">    5、估价报告使用者应详细阅读此报告，估价报告应整体使用方可有效，不得部分使用，本估价报告复印无效。估价报告使用期限自本估价报告出具之日起不超过一年。</w:t>
      </w:r>
    </w:p>
    <w:p>
      <w:pPr>
        <w:numPr>
          <w:ilvl w:val="0"/>
          <w:numId w:val="0"/>
        </w:numPr>
        <w:rPr>
          <w:rFonts w:hint="eastAsia" w:ascii="华文楷体" w:hAnsi="华文楷体" w:eastAsia="华文楷体" w:cs="华文楷体"/>
          <w:color w:val="auto"/>
          <w:sz w:val="30"/>
          <w:szCs w:val="30"/>
          <w:lang w:val="en-US" w:eastAsia="zh-CN"/>
        </w:rPr>
      </w:pPr>
    </w:p>
    <w:p>
      <w:pPr>
        <w:numPr>
          <w:ilvl w:val="0"/>
          <w:numId w:val="0"/>
        </w:numPr>
        <w:rPr>
          <w:rFonts w:hint="eastAsia" w:ascii="华文楷体" w:hAnsi="华文楷体" w:eastAsia="华文楷体" w:cs="华文楷体"/>
          <w:color w:val="auto"/>
          <w:sz w:val="30"/>
          <w:szCs w:val="30"/>
          <w:lang w:val="en-US" w:eastAsia="zh-CN"/>
        </w:rPr>
      </w:pPr>
    </w:p>
    <w:p>
      <w:pPr>
        <w:pStyle w:val="2"/>
        <w:bidi w:val="0"/>
        <w:rPr>
          <w:rFonts w:hint="eastAsia"/>
          <w:lang w:val="en-US" w:eastAsia="zh-CN"/>
        </w:rPr>
      </w:pPr>
      <w:bookmarkStart w:id="9" w:name="_Toc30929"/>
      <w:bookmarkStart w:id="10" w:name="_Toc10840"/>
      <w:bookmarkStart w:id="11" w:name="_Toc4594"/>
      <w:r>
        <w:rPr>
          <w:rFonts w:hint="eastAsia"/>
          <w:lang w:val="en-US" w:eastAsia="zh-CN"/>
        </w:rPr>
        <w:t>房地产估价结果报告</w:t>
      </w:r>
      <w:bookmarkEnd w:id="9"/>
      <w:bookmarkEnd w:id="10"/>
      <w:bookmarkEnd w:id="11"/>
    </w:p>
    <w:p>
      <w:pPr>
        <w:numPr>
          <w:ilvl w:val="0"/>
          <w:numId w:val="0"/>
        </w:numPr>
        <w:jc w:val="center"/>
        <w:rPr>
          <w:rFonts w:hint="eastAsia" w:ascii="楷体" w:hAnsi="楷体" w:eastAsia="楷体" w:cs="楷体"/>
          <w:color w:val="FF0000"/>
          <w:spacing w:val="-10"/>
          <w:sz w:val="44"/>
          <w:szCs w:val="44"/>
          <w:lang w:val="en-US" w:eastAsia="zh-CN"/>
        </w:rPr>
      </w:pPr>
    </w:p>
    <w:p>
      <w:pPr>
        <w:numPr>
          <w:ilvl w:val="0"/>
          <w:numId w:val="5"/>
        </w:numPr>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估价委托人</w:t>
      </w:r>
    </w:p>
    <w:p>
      <w:pPr>
        <w:numPr>
          <w:ilvl w:val="0"/>
          <w:numId w:val="0"/>
        </w:numPr>
        <w:jc w:val="both"/>
        <w:rPr>
          <w:rFonts w:hint="eastAsia" w:ascii="楷体" w:hAnsi="楷体" w:eastAsia="楷体" w:cs="楷体"/>
          <w:bCs/>
          <w:color w:val="FF0000"/>
          <w:sz w:val="32"/>
          <w:szCs w:val="32"/>
        </w:rPr>
      </w:pPr>
      <w:r>
        <w:rPr>
          <w:rFonts w:hint="eastAsia" w:ascii="华文楷体" w:hAnsi="华文楷体" w:eastAsia="华文楷体" w:cs="华文楷体"/>
          <w:color w:val="auto"/>
          <w:sz w:val="32"/>
          <w:szCs w:val="32"/>
          <w:lang w:val="en-US" w:eastAsia="zh-CN"/>
        </w:rPr>
        <w:t>估价委托人：</w:t>
      </w:r>
      <w:r>
        <w:rPr>
          <w:rFonts w:hint="eastAsia" w:ascii="楷体" w:hAnsi="楷体" w:eastAsia="楷体" w:cs="楷体"/>
          <w:bCs/>
          <w:color w:val="FF0000"/>
          <w:sz w:val="32"/>
          <w:szCs w:val="32"/>
          <w:lang w:val="en-US" w:eastAsia="zh-CN"/>
        </w:rPr>
        <w:t>虎林市</w:t>
      </w:r>
      <w:r>
        <w:rPr>
          <w:rFonts w:hint="eastAsia" w:ascii="楷体" w:hAnsi="楷体" w:eastAsia="楷体" w:cs="楷体"/>
          <w:bCs/>
          <w:color w:val="FF0000"/>
          <w:sz w:val="32"/>
          <w:szCs w:val="32"/>
        </w:rPr>
        <w:t>人民法院</w:t>
      </w:r>
    </w:p>
    <w:p>
      <w:pPr>
        <w:numPr>
          <w:ilvl w:val="0"/>
          <w:numId w:val="5"/>
        </w:numPr>
        <w:ind w:left="0" w:leftChars="0" w:firstLine="0" w:firstLineChars="0"/>
        <w:jc w:val="both"/>
        <w:rPr>
          <w:rFonts w:hint="eastAsia" w:ascii="楷体" w:hAnsi="楷体" w:eastAsia="楷体" w:cs="楷体"/>
          <w:bCs/>
          <w:color w:val="auto"/>
          <w:sz w:val="32"/>
          <w:szCs w:val="32"/>
          <w:lang w:val="en-US" w:eastAsia="zh-CN"/>
        </w:rPr>
      </w:pPr>
      <w:r>
        <w:rPr>
          <w:rFonts w:hint="eastAsia" w:ascii="楷体" w:hAnsi="楷体" w:eastAsia="楷体" w:cs="楷体"/>
          <w:bCs/>
          <w:color w:val="auto"/>
          <w:sz w:val="32"/>
          <w:szCs w:val="32"/>
          <w:lang w:val="en-US" w:eastAsia="zh-CN"/>
        </w:rPr>
        <w:t>估价机构</w:t>
      </w:r>
    </w:p>
    <w:p>
      <w:pPr>
        <w:numPr>
          <w:ilvl w:val="0"/>
          <w:numId w:val="0"/>
        </w:numPr>
        <w:ind w:leftChars="0"/>
        <w:jc w:val="both"/>
        <w:rPr>
          <w:rFonts w:hint="eastAsia" w:ascii="楷体" w:hAnsi="楷体" w:eastAsia="楷体" w:cs="楷体"/>
          <w:color w:val="auto"/>
          <w:sz w:val="32"/>
          <w:szCs w:val="32"/>
        </w:rPr>
      </w:pPr>
      <w:r>
        <w:rPr>
          <w:rFonts w:hint="eastAsia" w:ascii="楷体" w:hAnsi="楷体" w:eastAsia="楷体" w:cs="楷体"/>
          <w:bCs/>
          <w:color w:val="auto"/>
          <w:sz w:val="32"/>
          <w:szCs w:val="32"/>
          <w:lang w:val="en-US" w:eastAsia="zh-CN"/>
        </w:rPr>
        <w:t>机构名称：</w:t>
      </w:r>
      <w:r>
        <w:rPr>
          <w:rFonts w:hint="eastAsia" w:ascii="楷体" w:hAnsi="楷体" w:eastAsia="楷体" w:cs="楷体"/>
          <w:bCs/>
          <w:color w:val="auto"/>
          <w:sz w:val="32"/>
          <w:szCs w:val="32"/>
        </w:rPr>
        <w:t>鸡西誉兴房地产估价有限</w:t>
      </w:r>
      <w:r>
        <w:rPr>
          <w:rFonts w:hint="eastAsia" w:ascii="楷体" w:hAnsi="楷体" w:eastAsia="楷体" w:cs="楷体"/>
          <w:color w:val="auto"/>
          <w:sz w:val="32"/>
          <w:szCs w:val="32"/>
        </w:rPr>
        <w:t>责任公司</w:t>
      </w:r>
    </w:p>
    <w:p>
      <w:pPr>
        <w:numPr>
          <w:ilvl w:val="0"/>
          <w:numId w:val="0"/>
        </w:numPr>
        <w:ind w:leftChars="0"/>
        <w:jc w:val="both"/>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 xml:space="preserve">住    所： </w:t>
      </w:r>
      <w:r>
        <w:rPr>
          <w:rFonts w:hint="eastAsia" w:ascii="楷体" w:hAnsi="楷体" w:eastAsia="楷体" w:cs="楷体"/>
          <w:color w:val="auto"/>
          <w:sz w:val="32"/>
          <w:szCs w:val="32"/>
        </w:rPr>
        <w:t>黑龙江省鸡西市鸡冠区</w:t>
      </w:r>
      <w:r>
        <w:rPr>
          <w:rFonts w:hint="eastAsia" w:ascii="楷体" w:hAnsi="楷体" w:eastAsia="楷体" w:cs="楷体"/>
          <w:color w:val="auto"/>
          <w:sz w:val="32"/>
          <w:szCs w:val="32"/>
          <w:lang w:eastAsia="zh-CN"/>
        </w:rPr>
        <w:t>园林</w:t>
      </w:r>
      <w:r>
        <w:rPr>
          <w:rFonts w:hint="eastAsia" w:ascii="楷体" w:hAnsi="楷体" w:eastAsia="楷体" w:cs="楷体"/>
          <w:color w:val="auto"/>
          <w:sz w:val="32"/>
          <w:szCs w:val="32"/>
          <w:lang w:val="en-US" w:eastAsia="zh-CN"/>
        </w:rPr>
        <w:t>3-门市-（1-2）-35</w:t>
      </w:r>
    </w:p>
    <w:p>
      <w:pPr>
        <w:numPr>
          <w:ilvl w:val="0"/>
          <w:numId w:val="0"/>
        </w:numPr>
        <w:ind w:leftChars="0"/>
        <w:jc w:val="both"/>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统一社会信用代码：912303007418368176</w:t>
      </w:r>
    </w:p>
    <w:p>
      <w:pPr>
        <w:numPr>
          <w:ilvl w:val="0"/>
          <w:numId w:val="0"/>
        </w:numPr>
        <w:ind w:leftChars="0"/>
        <w:jc w:val="both"/>
        <w:rPr>
          <w:rFonts w:hint="eastAsia" w:ascii="Calibri" w:hAnsi="Calibri" w:eastAsia="楷体" w:cs="Calibri"/>
          <w:color w:val="auto"/>
          <w:sz w:val="32"/>
          <w:szCs w:val="32"/>
          <w:lang w:val="en-US" w:eastAsia="zh-CN"/>
        </w:rPr>
      </w:pPr>
      <w:r>
        <w:rPr>
          <w:rFonts w:hint="eastAsia" w:ascii="Calibri" w:hAnsi="Calibri" w:eastAsia="楷体" w:cs="Calibri"/>
          <w:color w:val="auto"/>
          <w:sz w:val="32"/>
          <w:szCs w:val="32"/>
          <w:lang w:val="en-US" w:eastAsia="zh-CN"/>
        </w:rPr>
        <w:t>资质证书编号：23060005</w:t>
      </w:r>
    </w:p>
    <w:p>
      <w:pPr>
        <w:numPr>
          <w:ilvl w:val="0"/>
          <w:numId w:val="0"/>
        </w:numPr>
        <w:ind w:leftChars="0"/>
        <w:jc w:val="both"/>
        <w:rPr>
          <w:rFonts w:hint="eastAsia" w:ascii="Calibri" w:hAnsi="Calibri" w:eastAsia="楷体" w:cs="Calibri"/>
          <w:color w:val="auto"/>
          <w:sz w:val="32"/>
          <w:szCs w:val="32"/>
          <w:lang w:val="en-US" w:eastAsia="zh-CN"/>
        </w:rPr>
      </w:pPr>
      <w:r>
        <w:rPr>
          <w:rFonts w:hint="eastAsia" w:ascii="Calibri" w:hAnsi="Calibri" w:eastAsia="楷体" w:cs="Calibri"/>
          <w:color w:val="auto"/>
          <w:sz w:val="32"/>
          <w:szCs w:val="32"/>
          <w:lang w:val="en-US" w:eastAsia="zh-CN"/>
        </w:rPr>
        <w:t>资质等级：二级</w:t>
      </w:r>
    </w:p>
    <w:p>
      <w:pPr>
        <w:numPr>
          <w:ilvl w:val="0"/>
          <w:numId w:val="0"/>
        </w:numPr>
        <w:ind w:leftChars="0"/>
        <w:jc w:val="both"/>
        <w:rPr>
          <w:rFonts w:hint="eastAsia" w:ascii="Calibri" w:hAnsi="Calibri" w:eastAsia="楷体" w:cs="Calibri"/>
          <w:color w:val="auto"/>
          <w:sz w:val="32"/>
          <w:szCs w:val="32"/>
          <w:lang w:val="en-US" w:eastAsia="zh-CN"/>
        </w:rPr>
      </w:pPr>
      <w:r>
        <w:rPr>
          <w:rFonts w:hint="eastAsia" w:ascii="Calibri" w:hAnsi="Calibri" w:eastAsia="楷体" w:cs="Calibri"/>
          <w:color w:val="auto"/>
          <w:sz w:val="32"/>
          <w:szCs w:val="32"/>
          <w:lang w:val="en-US" w:eastAsia="zh-CN"/>
        </w:rPr>
        <w:t>法定代表人：许志忠</w:t>
      </w:r>
    </w:p>
    <w:p>
      <w:pPr>
        <w:numPr>
          <w:ilvl w:val="0"/>
          <w:numId w:val="0"/>
        </w:numPr>
        <w:ind w:leftChars="0"/>
        <w:jc w:val="both"/>
        <w:rPr>
          <w:rFonts w:hint="eastAsia" w:ascii="Calibri" w:hAnsi="Calibri" w:eastAsia="楷体" w:cs="Calibri"/>
          <w:color w:val="auto"/>
          <w:sz w:val="32"/>
          <w:szCs w:val="32"/>
          <w:lang w:val="en-US" w:eastAsia="zh-CN"/>
        </w:rPr>
      </w:pPr>
      <w:r>
        <w:rPr>
          <w:rFonts w:hint="eastAsia" w:ascii="Calibri" w:hAnsi="Calibri" w:eastAsia="楷体" w:cs="Calibri"/>
          <w:color w:val="auto"/>
          <w:sz w:val="32"/>
          <w:szCs w:val="32"/>
          <w:lang w:val="en-US" w:eastAsia="zh-CN"/>
        </w:rPr>
        <w:t>联系电话：0467-2356696</w:t>
      </w:r>
    </w:p>
    <w:p>
      <w:pPr>
        <w:numPr>
          <w:ilvl w:val="0"/>
          <w:numId w:val="5"/>
        </w:numPr>
        <w:ind w:left="0" w:leftChars="0" w:firstLine="0" w:firstLineChars="0"/>
        <w:jc w:val="both"/>
        <w:rPr>
          <w:rFonts w:hint="eastAsia" w:ascii="Calibri" w:hAnsi="Calibri" w:eastAsia="楷体" w:cs="Calibri"/>
          <w:color w:val="auto"/>
          <w:sz w:val="32"/>
          <w:szCs w:val="32"/>
          <w:lang w:val="en-US" w:eastAsia="zh-CN"/>
        </w:rPr>
      </w:pPr>
      <w:r>
        <w:rPr>
          <w:rFonts w:hint="eastAsia" w:ascii="Calibri" w:hAnsi="Calibri" w:eastAsia="楷体" w:cs="Calibri"/>
          <w:color w:val="auto"/>
          <w:sz w:val="32"/>
          <w:szCs w:val="32"/>
          <w:lang w:val="en-US" w:eastAsia="zh-CN"/>
        </w:rPr>
        <w:t>估价目的</w:t>
      </w:r>
    </w:p>
    <w:p>
      <w:pPr>
        <w:numPr>
          <w:ilvl w:val="0"/>
          <w:numId w:val="0"/>
        </w:numPr>
        <w:ind w:leftChars="0" w:firstLine="640" w:firstLineChars="200"/>
        <w:jc w:val="both"/>
        <w:rPr>
          <w:rFonts w:hint="eastAsia" w:ascii="楷体" w:hAnsi="楷体" w:eastAsia="楷体" w:cs="楷体"/>
          <w:color w:val="auto"/>
          <w:sz w:val="32"/>
          <w:szCs w:val="32"/>
        </w:rPr>
      </w:pPr>
      <w:r>
        <w:rPr>
          <w:rFonts w:hint="eastAsia" w:ascii="Calibri" w:hAnsi="Calibri" w:eastAsia="楷体" w:cs="Calibri"/>
          <w:color w:val="auto"/>
          <w:sz w:val="32"/>
          <w:szCs w:val="32"/>
          <w:lang w:val="en-US" w:eastAsia="zh-CN"/>
        </w:rPr>
        <w:t>本次估价目的是</w:t>
      </w:r>
      <w:r>
        <w:rPr>
          <w:rFonts w:hint="eastAsia" w:ascii="楷体" w:hAnsi="楷体" w:eastAsia="楷体" w:cs="楷体"/>
          <w:color w:val="auto"/>
          <w:sz w:val="32"/>
          <w:szCs w:val="32"/>
        </w:rPr>
        <w:t>为人民法院确定财产处置参考价提供参考依据。</w:t>
      </w:r>
    </w:p>
    <w:p>
      <w:pPr>
        <w:numPr>
          <w:ilvl w:val="0"/>
          <w:numId w:val="5"/>
        </w:numPr>
        <w:ind w:left="0" w:leftChars="0" w:firstLine="0" w:firstLineChars="0"/>
        <w:jc w:val="both"/>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估价对象</w:t>
      </w:r>
    </w:p>
    <w:p>
      <w:pPr>
        <w:numPr>
          <w:ilvl w:val="0"/>
          <w:numId w:val="6"/>
        </w:numPr>
        <w:ind w:leftChars="0"/>
        <w:jc w:val="both"/>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估价对象范围</w:t>
      </w:r>
    </w:p>
    <w:p>
      <w:pPr>
        <w:numPr>
          <w:ilvl w:val="0"/>
          <w:numId w:val="0"/>
        </w:numPr>
        <w:ind w:firstLine="640" w:firstLineChars="200"/>
        <w:jc w:val="both"/>
        <w:rPr>
          <w:rFonts w:hint="eastAsia" w:ascii="华文楷体" w:hAnsi="华文楷体" w:eastAsia="华文楷体" w:cs="华文楷体"/>
          <w:color w:val="auto"/>
          <w:sz w:val="32"/>
          <w:szCs w:val="32"/>
          <w:lang w:val="en-US" w:eastAsia="zh-CN"/>
        </w:rPr>
      </w:pPr>
      <w:r>
        <w:rPr>
          <w:rFonts w:hint="eastAsia" w:ascii="楷体" w:hAnsi="楷体" w:eastAsia="楷体" w:cs="楷体"/>
          <w:color w:val="auto"/>
          <w:sz w:val="32"/>
          <w:szCs w:val="32"/>
          <w:lang w:val="en-US" w:eastAsia="zh-CN"/>
        </w:rPr>
        <w:t>本次估价范围为</w:t>
      </w:r>
      <w:r>
        <w:rPr>
          <w:rFonts w:hint="eastAsia" w:ascii="华文楷体" w:hAnsi="华文楷体" w:eastAsia="华文楷体" w:cs="华文楷体"/>
          <w:color w:val="auto"/>
          <w:sz w:val="32"/>
          <w:szCs w:val="32"/>
          <w:lang w:val="en-US" w:eastAsia="zh-CN"/>
        </w:rPr>
        <w:t>建筑物及分摊的土地使用权及室内不可移动装修价值，不包括动产、债权债务等其他财产或权益。</w:t>
      </w:r>
    </w:p>
    <w:p>
      <w:pPr>
        <w:numPr>
          <w:ilvl w:val="0"/>
          <w:numId w:val="6"/>
        </w:numPr>
        <w:ind w:left="0" w:leftChars="0" w:firstLine="0" w:firstLine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估价对象基本状况</w:t>
      </w:r>
    </w:p>
    <w:p>
      <w:pPr>
        <w:numPr>
          <w:ilvl w:val="0"/>
          <w:numId w:val="0"/>
        </w:numPr>
        <w:ind w:leftChars="0"/>
        <w:jc w:val="both"/>
        <w:rPr>
          <w:rFonts w:hint="eastAsia" w:ascii="华文楷体" w:hAnsi="华文楷体" w:eastAsia="华文楷体" w:cs="华文楷体"/>
          <w:color w:val="auto"/>
          <w:sz w:val="32"/>
          <w:szCs w:val="32"/>
          <w:lang w:val="en-US" w:eastAsia="zh-CN"/>
        </w:rPr>
      </w:pPr>
    </w:p>
    <w:p>
      <w:pPr>
        <w:numPr>
          <w:ilvl w:val="0"/>
          <w:numId w:val="0"/>
        </w:numPr>
        <w:ind w:leftChars="0"/>
        <w:jc w:val="both"/>
        <w:rPr>
          <w:rFonts w:hint="eastAsia" w:ascii="华文楷体" w:hAnsi="华文楷体" w:eastAsia="华文楷体" w:cs="华文楷体"/>
          <w:color w:val="auto"/>
          <w:sz w:val="32"/>
          <w:szCs w:val="32"/>
          <w:lang w:val="en-US" w:eastAsia="zh-CN"/>
        </w:rPr>
      </w:pPr>
    </w:p>
    <w:tbl>
      <w:tblPr>
        <w:tblStyle w:val="8"/>
        <w:tblpPr w:leftFromText="180" w:rightFromText="180" w:vertAnchor="text" w:horzAnchor="page" w:tblpX="1725" w:tblpY="-1521"/>
        <w:tblOverlap w:val="never"/>
        <w:tblW w:w="8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2160"/>
        <w:gridCol w:w="1545"/>
        <w:gridCol w:w="1005"/>
        <w:gridCol w:w="111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36" w:type="dxa"/>
            <w:vAlign w:val="center"/>
          </w:tcPr>
          <w:p>
            <w:pPr>
              <w:numPr>
                <w:ilvl w:val="0"/>
                <w:numId w:val="0"/>
              </w:numPr>
              <w:jc w:val="center"/>
              <w:rPr>
                <w:rFonts w:hint="eastAsia" w:ascii="华文楷体" w:hAnsi="华文楷体" w:eastAsia="华文楷体" w:cs="华文楷体"/>
                <w:color w:val="auto"/>
                <w:sz w:val="21"/>
                <w:szCs w:val="21"/>
                <w:vertAlign w:val="baseline"/>
                <w:lang w:val="en-US" w:eastAsia="zh-CN"/>
              </w:rPr>
            </w:pPr>
          </w:p>
        </w:tc>
        <w:tc>
          <w:tcPr>
            <w:tcW w:w="2160"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名称</w:t>
            </w:r>
          </w:p>
        </w:tc>
        <w:tc>
          <w:tcPr>
            <w:tcW w:w="1545"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坐落</w:t>
            </w:r>
          </w:p>
        </w:tc>
        <w:tc>
          <w:tcPr>
            <w:tcW w:w="1005"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建筑面积（㎡）</w:t>
            </w:r>
          </w:p>
        </w:tc>
        <w:tc>
          <w:tcPr>
            <w:tcW w:w="1110"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用途</w:t>
            </w:r>
          </w:p>
        </w:tc>
        <w:tc>
          <w:tcPr>
            <w:tcW w:w="1740"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所有权人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636" w:type="dxa"/>
            <w:vAlign w:val="center"/>
          </w:tcPr>
          <w:p>
            <w:pPr>
              <w:numPr>
                <w:ilvl w:val="0"/>
                <w:numId w:val="0"/>
              </w:numPr>
              <w:jc w:val="center"/>
              <w:rPr>
                <w:rFonts w:hint="eastAsia"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估价</w:t>
            </w:r>
          </w:p>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对象</w:t>
            </w:r>
          </w:p>
        </w:tc>
        <w:tc>
          <w:tcPr>
            <w:tcW w:w="2160"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kern w:val="2"/>
                <w:sz w:val="21"/>
                <w:szCs w:val="21"/>
                <w:vertAlign w:val="baseline"/>
                <w:lang w:val="en-US" w:eastAsia="zh-CN" w:bidi="ar-SA"/>
              </w:rPr>
              <w:t>永信小区2号楼6单元503室</w:t>
            </w:r>
          </w:p>
        </w:tc>
        <w:tc>
          <w:tcPr>
            <w:tcW w:w="1545"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红旗街道立新委</w:t>
            </w:r>
          </w:p>
        </w:tc>
        <w:tc>
          <w:tcPr>
            <w:tcW w:w="1005"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sz w:val="21"/>
                <w:szCs w:val="21"/>
                <w:vertAlign w:val="baseline"/>
                <w:lang w:val="en-US" w:eastAsia="zh-CN"/>
              </w:rPr>
              <w:t>76.65</w:t>
            </w:r>
          </w:p>
        </w:tc>
        <w:tc>
          <w:tcPr>
            <w:tcW w:w="1110"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住宅</w:t>
            </w:r>
          </w:p>
        </w:tc>
        <w:tc>
          <w:tcPr>
            <w:tcW w:w="1740" w:type="dxa"/>
            <w:vAlign w:val="center"/>
          </w:tcPr>
          <w:p>
            <w:pPr>
              <w:numPr>
                <w:ilvl w:val="0"/>
                <w:numId w:val="0"/>
              </w:numPr>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杜燕</w:t>
            </w:r>
          </w:p>
        </w:tc>
      </w:tr>
    </w:tbl>
    <w:p>
      <w:pPr>
        <w:numPr>
          <w:ilvl w:val="0"/>
          <w:numId w:val="0"/>
        </w:numPr>
        <w:ind w:leftChars="0"/>
        <w:jc w:val="both"/>
        <w:rPr>
          <w:rFonts w:hint="eastAsia" w:ascii="华文楷体" w:hAnsi="华文楷体" w:eastAsia="华文楷体" w:cs="华文楷体"/>
          <w:color w:val="auto"/>
          <w:sz w:val="32"/>
          <w:szCs w:val="32"/>
          <w:lang w:val="en-US" w:eastAsia="zh-CN"/>
        </w:rPr>
      </w:pPr>
    </w:p>
    <w:p>
      <w:pPr>
        <w:numPr>
          <w:ilvl w:val="0"/>
          <w:numId w:val="6"/>
        </w:numPr>
        <w:ind w:left="0" w:leftChars="0" w:firstLine="0" w:firstLine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土地基本状况</w:t>
      </w:r>
    </w:p>
    <w:p>
      <w:pPr>
        <w:numPr>
          <w:ilvl w:val="0"/>
          <w:numId w:val="7"/>
        </w:numPr>
        <w:ind w:leftChars="0"/>
        <w:jc w:val="both"/>
        <w:rPr>
          <w:rFonts w:hint="eastAsia" w:ascii="华文楷体" w:hAnsi="华文楷体" w:eastAsia="华文楷体" w:cs="华文楷体"/>
          <w:color w:val="FF0000"/>
          <w:sz w:val="32"/>
          <w:szCs w:val="32"/>
          <w:lang w:val="en-US" w:eastAsia="zh-CN"/>
        </w:rPr>
      </w:pPr>
      <w:r>
        <w:rPr>
          <w:rFonts w:hint="eastAsia" w:ascii="华文楷体" w:hAnsi="华文楷体" w:eastAsia="华文楷体" w:cs="华文楷体"/>
          <w:color w:val="FF0000"/>
          <w:sz w:val="32"/>
          <w:szCs w:val="32"/>
          <w:lang w:val="en-US" w:eastAsia="zh-CN"/>
        </w:rPr>
        <w:t>地籍编号：不详（委托方未提供相应资料）</w:t>
      </w:r>
    </w:p>
    <w:p>
      <w:pPr>
        <w:numPr>
          <w:ilvl w:val="0"/>
          <w:numId w:val="7"/>
        </w:numPr>
        <w:ind w:leftChars="0"/>
        <w:jc w:val="both"/>
        <w:rPr>
          <w:rFonts w:hint="default" w:ascii="华文楷体" w:hAnsi="华文楷体" w:eastAsia="华文楷体" w:cs="华文楷体"/>
          <w:color w:val="FF0000"/>
          <w:sz w:val="32"/>
          <w:szCs w:val="32"/>
          <w:lang w:val="en-US" w:eastAsia="zh-CN"/>
        </w:rPr>
      </w:pPr>
      <w:r>
        <w:rPr>
          <w:rFonts w:hint="eastAsia" w:ascii="华文楷体" w:hAnsi="华文楷体" w:eastAsia="华文楷体" w:cs="华文楷体"/>
          <w:color w:val="FF0000"/>
          <w:sz w:val="32"/>
          <w:szCs w:val="32"/>
          <w:lang w:val="en-US" w:eastAsia="zh-CN"/>
        </w:rPr>
        <w:t>土地使用期限：不详（委托方未提供相应资料）</w:t>
      </w:r>
    </w:p>
    <w:p>
      <w:pPr>
        <w:numPr>
          <w:ilvl w:val="0"/>
          <w:numId w:val="7"/>
        </w:numPr>
        <w:ind w:leftChars="0"/>
        <w:jc w:val="both"/>
        <w:rPr>
          <w:rFonts w:hint="default" w:ascii="华文楷体" w:hAnsi="华文楷体" w:eastAsia="华文楷体" w:cs="华文楷体"/>
          <w:color w:val="FF0000"/>
          <w:sz w:val="32"/>
          <w:szCs w:val="32"/>
          <w:lang w:val="en-US" w:eastAsia="zh-CN"/>
        </w:rPr>
      </w:pPr>
      <w:r>
        <w:rPr>
          <w:rFonts w:hint="eastAsia" w:ascii="华文楷体" w:hAnsi="华文楷体" w:eastAsia="华文楷体" w:cs="华文楷体"/>
          <w:color w:val="FF0000"/>
          <w:sz w:val="32"/>
          <w:szCs w:val="32"/>
          <w:lang w:val="en-US" w:eastAsia="zh-CN"/>
        </w:rPr>
        <w:t>使用权类型：不详（委托方未提供相应资料）</w:t>
      </w:r>
    </w:p>
    <w:p>
      <w:pPr>
        <w:numPr>
          <w:ilvl w:val="0"/>
          <w:numId w:val="7"/>
        </w:numPr>
        <w:ind w:leftChars="0"/>
        <w:jc w:val="both"/>
        <w:rPr>
          <w:rFonts w:hint="default" w:ascii="华文楷体" w:hAnsi="华文楷体" w:eastAsia="华文楷体" w:cs="华文楷体"/>
          <w:color w:val="FF0000"/>
          <w:sz w:val="32"/>
          <w:szCs w:val="32"/>
          <w:lang w:val="en-US" w:eastAsia="zh-CN"/>
        </w:rPr>
      </w:pPr>
      <w:r>
        <w:rPr>
          <w:rFonts w:hint="eastAsia" w:ascii="华文楷体" w:hAnsi="华文楷体" w:eastAsia="华文楷体" w:cs="华文楷体"/>
          <w:color w:val="FF0000"/>
          <w:sz w:val="32"/>
          <w:szCs w:val="32"/>
          <w:lang w:val="en-US" w:eastAsia="zh-CN"/>
        </w:rPr>
        <w:t>用途：不详（委托方未提供相应资料）</w:t>
      </w:r>
    </w:p>
    <w:p>
      <w:pPr>
        <w:numPr>
          <w:ilvl w:val="0"/>
          <w:numId w:val="7"/>
        </w:numPr>
        <w:ind w:leftChars="0"/>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开发程度：根据估价人员实地查勘，估价对象所在位置路面平坦，规划用地形状规则，地形地势较好，无不良地质现象。开发程度达到六通一平。</w:t>
      </w:r>
    </w:p>
    <w:p>
      <w:pPr>
        <w:numPr>
          <w:ilvl w:val="0"/>
          <w:numId w:val="0"/>
        </w:numPr>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（四）建筑物基本状况：</w:t>
      </w:r>
    </w:p>
    <w:p>
      <w:pPr>
        <w:numPr>
          <w:ilvl w:val="0"/>
          <w:numId w:val="0"/>
        </w:numPr>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1、建成时间：2006年3月15日</w:t>
      </w:r>
    </w:p>
    <w:p>
      <w:pPr>
        <w:numPr>
          <w:ilvl w:val="0"/>
          <w:numId w:val="0"/>
        </w:numPr>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2、建筑结构：混合结构</w:t>
      </w:r>
    </w:p>
    <w:p>
      <w:pPr>
        <w:numPr>
          <w:ilvl w:val="0"/>
          <w:numId w:val="0"/>
        </w:numPr>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3、设施设备：建筑物配有供水、排水、供暖、供电、通讯、等设施设备。</w:t>
      </w:r>
    </w:p>
    <w:p>
      <w:pPr>
        <w:numPr>
          <w:ilvl w:val="0"/>
          <w:numId w:val="0"/>
        </w:numPr>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4、装饰装修：现状布局一室一厅一厨一卫一阳台，地板，墙面刷乳胶漆，塑窗，阳台、卫生间、厨房地面铺地砖，设施设备完善，层高3米左右，暖气采暖。</w:t>
      </w:r>
    </w:p>
    <w:p>
      <w:pPr>
        <w:numPr>
          <w:ilvl w:val="0"/>
          <w:numId w:val="0"/>
        </w:numPr>
        <w:jc w:val="both"/>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5、维护状况：估价对象主体结构及非主体结构均保持完好，无倾斜裂缝情况。</w:t>
      </w:r>
    </w:p>
    <w:p>
      <w:pPr>
        <w:numPr>
          <w:ilvl w:val="0"/>
          <w:numId w:val="5"/>
        </w:numPr>
        <w:ind w:left="0" w:leftChars="0" w:firstLine="0" w:firstLine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估价时点</w:t>
      </w:r>
    </w:p>
    <w:p>
      <w:pPr>
        <w:numPr>
          <w:ilvl w:val="0"/>
          <w:numId w:val="0"/>
        </w:numPr>
        <w:ind w:left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以进行实地查勘之日即2022年7月6日确定为价值时点。</w:t>
      </w:r>
    </w:p>
    <w:p>
      <w:pPr>
        <w:numPr>
          <w:ilvl w:val="0"/>
          <w:numId w:val="5"/>
        </w:numPr>
        <w:ind w:left="0" w:leftChars="0" w:firstLine="0" w:firstLine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价值类型</w:t>
      </w:r>
    </w:p>
    <w:p>
      <w:pPr>
        <w:numPr>
          <w:ilvl w:val="0"/>
          <w:numId w:val="8"/>
        </w:numPr>
        <w:ind w:left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价值类型</w:t>
      </w:r>
    </w:p>
    <w:p>
      <w:pPr>
        <w:numPr>
          <w:ilvl w:val="0"/>
          <w:numId w:val="0"/>
        </w:numPr>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本次估价的价值类型为市场价值。</w:t>
      </w:r>
    </w:p>
    <w:p>
      <w:pPr>
        <w:numPr>
          <w:ilvl w:val="0"/>
          <w:numId w:val="8"/>
        </w:numPr>
        <w:ind w:left="0" w:leftChars="0" w:firstLine="0" w:firstLineChars="0"/>
        <w:jc w:val="both"/>
        <w:rPr>
          <w:rFonts w:hint="eastAsia"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价值定义</w:t>
      </w:r>
    </w:p>
    <w:p>
      <w:pPr>
        <w:ind w:firstLine="640" w:firstLineChars="200"/>
        <w:rPr>
          <w:rFonts w:hint="eastAsia" w:ascii="楷体" w:hAnsi="楷体" w:eastAsia="楷体" w:cs="楷体"/>
          <w:color w:val="auto"/>
          <w:sz w:val="32"/>
          <w:szCs w:val="32"/>
        </w:rPr>
      </w:pPr>
      <w:r>
        <w:rPr>
          <w:rFonts w:hint="eastAsia" w:ascii="楷体" w:hAnsi="楷体" w:eastAsia="楷体" w:cs="楷体"/>
          <w:color w:val="auto"/>
          <w:sz w:val="32"/>
          <w:szCs w:val="32"/>
        </w:rPr>
        <w:t>市场价值</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即估价对象经适当营销后，由熟悉情况、谨慎行事且不受强迫的交易双方，以公平交易方式在价值时点自愿进行交易的金额。</w:t>
      </w:r>
    </w:p>
    <w:p>
      <w:pPr>
        <w:numPr>
          <w:ilvl w:val="0"/>
          <w:numId w:val="8"/>
        </w:numPr>
        <w:ind w:left="0" w:leftChars="0" w:firstLine="0" w:firstLine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rPr>
        <w:t>价值内</w:t>
      </w:r>
      <w:r>
        <w:rPr>
          <w:rFonts w:hint="eastAsia" w:ascii="楷体" w:hAnsi="楷体" w:eastAsia="楷体" w:cs="楷体"/>
          <w:color w:val="auto"/>
          <w:sz w:val="32"/>
          <w:szCs w:val="32"/>
          <w:lang w:val="en-US" w:eastAsia="zh-CN"/>
        </w:rPr>
        <w:t>涵</w:t>
      </w:r>
    </w:p>
    <w:p>
      <w:pPr>
        <w:numPr>
          <w:ilvl w:val="0"/>
          <w:numId w:val="0"/>
        </w:numPr>
        <w:ind w:leftChars="0"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价值内涵</w:t>
      </w:r>
      <w:r>
        <w:rPr>
          <w:rFonts w:hint="eastAsia" w:ascii="楷体" w:hAnsi="楷体" w:eastAsia="楷体" w:cs="楷体"/>
          <w:color w:val="auto"/>
          <w:sz w:val="32"/>
          <w:szCs w:val="32"/>
        </w:rPr>
        <w:t>是估价对象在价值时点，满足本次估价假设和限制</w:t>
      </w:r>
      <w:r>
        <w:rPr>
          <w:rFonts w:hint="eastAsia" w:ascii="楷体" w:hAnsi="楷体" w:eastAsia="楷体" w:cs="楷体"/>
          <w:color w:val="auto"/>
          <w:sz w:val="32"/>
          <w:szCs w:val="32"/>
          <w:lang w:val="en-US" w:eastAsia="zh-CN"/>
        </w:rPr>
        <w:t>条</w:t>
      </w:r>
      <w:r>
        <w:rPr>
          <w:rFonts w:hint="eastAsia" w:ascii="楷体" w:hAnsi="楷体" w:eastAsia="楷体" w:cs="楷体"/>
          <w:color w:val="auto"/>
          <w:sz w:val="32"/>
          <w:szCs w:val="32"/>
        </w:rPr>
        <w:t>件下包括建</w:t>
      </w:r>
      <w:r>
        <w:rPr>
          <w:rFonts w:hint="eastAsia" w:ascii="楷体" w:hAnsi="楷体" w:eastAsia="楷体" w:cs="楷体"/>
          <w:color w:val="auto"/>
          <w:sz w:val="32"/>
          <w:szCs w:val="32"/>
          <w:lang w:val="en-US" w:eastAsia="zh-CN"/>
        </w:rPr>
        <w:t>筑</w:t>
      </w:r>
      <w:r>
        <w:rPr>
          <w:rFonts w:hint="eastAsia" w:ascii="楷体" w:hAnsi="楷体" w:eastAsia="楷体" w:cs="楷体"/>
          <w:color w:val="auto"/>
          <w:sz w:val="32"/>
          <w:szCs w:val="32"/>
        </w:rPr>
        <w:t>物、分摊的土地使用权及室内不可移动装修价值</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不包括动产、债权债务</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特许经营权等其他财产或权益的房地产市场价值。</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rPr>
        <w:t>七</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估价依据</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（一）法律</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法规及政策文件</w:t>
      </w:r>
      <w:r>
        <w:rPr>
          <w:rFonts w:hint="eastAsia" w:ascii="楷体" w:hAnsi="楷体" w:eastAsia="楷体" w:cs="楷体"/>
          <w:color w:val="auto"/>
          <w:sz w:val="32"/>
          <w:szCs w:val="32"/>
        </w:rPr>
        <w:t>依据</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1、《中华人民共和国城市房地产管理法》</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2、《中华人民共和国土地管理法》</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3、《中华人民共和国</w:t>
      </w:r>
      <w:r>
        <w:rPr>
          <w:rFonts w:hint="eastAsia" w:ascii="楷体" w:hAnsi="楷体" w:eastAsia="楷体" w:cs="楷体"/>
          <w:color w:val="auto"/>
          <w:sz w:val="32"/>
          <w:szCs w:val="32"/>
          <w:lang w:val="en-US" w:eastAsia="zh-CN"/>
        </w:rPr>
        <w:t>民法典</w:t>
      </w:r>
      <w:r>
        <w:rPr>
          <w:rFonts w:hint="eastAsia" w:ascii="楷体" w:hAnsi="楷体" w:eastAsia="楷体" w:cs="楷体"/>
          <w:color w:val="auto"/>
          <w:sz w:val="32"/>
          <w:szCs w:val="32"/>
        </w:rPr>
        <w:t>》</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4、《中华人民共和国拍卖法》</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5、《最高人民法院关于人民法院确定财产处置参考价若干问题的规定》</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（二）技术</w:t>
      </w:r>
      <w:r>
        <w:rPr>
          <w:rFonts w:hint="eastAsia" w:ascii="楷体" w:hAnsi="楷体" w:eastAsia="楷体" w:cs="楷体"/>
          <w:color w:val="auto"/>
          <w:sz w:val="32"/>
          <w:szCs w:val="32"/>
          <w:lang w:val="en-US" w:eastAsia="zh-CN"/>
        </w:rPr>
        <w:t>标准、规程、规范</w:t>
      </w:r>
      <w:r>
        <w:rPr>
          <w:rFonts w:hint="eastAsia" w:ascii="楷体" w:hAnsi="楷体" w:eastAsia="楷体" w:cs="楷体"/>
          <w:color w:val="auto"/>
          <w:sz w:val="32"/>
          <w:szCs w:val="32"/>
        </w:rPr>
        <w:t>依据</w:t>
      </w:r>
    </w:p>
    <w:p>
      <w:pPr>
        <w:numPr>
          <w:ilvl w:val="0"/>
          <w:numId w:val="0"/>
        </w:numPr>
        <w:ind w:left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rPr>
        <w:t>1、《房地产估价规范》</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GB/T 50291-</w:t>
      </w:r>
      <w:r>
        <w:rPr>
          <w:rFonts w:hint="eastAsia" w:ascii="楷体" w:hAnsi="楷体" w:eastAsia="楷体" w:cs="楷体"/>
          <w:color w:val="auto"/>
          <w:sz w:val="32"/>
          <w:szCs w:val="32"/>
          <w:lang w:val="en-US" w:eastAsia="zh-CN"/>
        </w:rPr>
        <w:t>2015）</w:t>
      </w:r>
    </w:p>
    <w:p>
      <w:pPr>
        <w:numPr>
          <w:ilvl w:val="0"/>
          <w:numId w:val="0"/>
        </w:numPr>
        <w:ind w:leftChars="0"/>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2、《房地产估价基本术语标准》</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GB/T 50</w:t>
      </w:r>
      <w:r>
        <w:rPr>
          <w:rFonts w:hint="eastAsia" w:ascii="楷体" w:hAnsi="楷体" w:eastAsia="楷体" w:cs="楷体"/>
          <w:color w:val="auto"/>
          <w:sz w:val="32"/>
          <w:szCs w:val="32"/>
          <w:lang w:val="en-US" w:eastAsia="zh-CN"/>
        </w:rPr>
        <w:t>899</w:t>
      </w:r>
      <w:r>
        <w:rPr>
          <w:rFonts w:hint="eastAsia" w:ascii="楷体" w:hAnsi="楷体" w:eastAsia="楷体" w:cs="楷体"/>
          <w:color w:val="auto"/>
          <w:sz w:val="32"/>
          <w:szCs w:val="32"/>
        </w:rPr>
        <w:t>-</w:t>
      </w:r>
      <w:r>
        <w:rPr>
          <w:rFonts w:hint="eastAsia" w:ascii="楷体" w:hAnsi="楷体" w:eastAsia="楷体" w:cs="楷体"/>
          <w:color w:val="auto"/>
          <w:sz w:val="32"/>
          <w:szCs w:val="32"/>
          <w:lang w:val="en-US" w:eastAsia="zh-CN"/>
        </w:rPr>
        <w:t>2013）</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w:t>
      </w:r>
      <w:r>
        <w:rPr>
          <w:rFonts w:hint="eastAsia" w:ascii="楷体" w:hAnsi="楷体" w:eastAsia="楷体" w:cs="楷体"/>
          <w:color w:val="auto"/>
          <w:sz w:val="32"/>
          <w:szCs w:val="32"/>
          <w:lang w:val="en-US" w:eastAsia="zh-CN"/>
        </w:rPr>
        <w:t>黑龙江省房屋新旧程度评定标准</w:t>
      </w:r>
      <w:r>
        <w:rPr>
          <w:rFonts w:hint="eastAsia" w:ascii="楷体" w:hAnsi="楷体" w:eastAsia="楷体" w:cs="楷体"/>
          <w:color w:val="auto"/>
          <w:sz w:val="32"/>
          <w:szCs w:val="32"/>
        </w:rPr>
        <w:t>》</w:t>
      </w:r>
    </w:p>
    <w:p>
      <w:pPr>
        <w:numPr>
          <w:ilvl w:val="0"/>
          <w:numId w:val="0"/>
        </w:numPr>
        <w:ind w:left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4、《人民法院委托评估工作规范》（法办（2018）273号）</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rPr>
        <w:t>（三）</w:t>
      </w:r>
      <w:r>
        <w:rPr>
          <w:rFonts w:hint="eastAsia" w:ascii="楷体" w:hAnsi="楷体" w:eastAsia="楷体" w:cs="楷体"/>
          <w:color w:val="auto"/>
          <w:sz w:val="32"/>
          <w:szCs w:val="32"/>
          <w:lang w:val="en-US" w:eastAsia="zh-CN"/>
        </w:rPr>
        <w:t>估价委托人提供的资料</w:t>
      </w:r>
      <w:r>
        <w:rPr>
          <w:rFonts w:hint="eastAsia" w:ascii="楷体" w:hAnsi="楷体" w:eastAsia="楷体" w:cs="楷体"/>
          <w:color w:val="auto"/>
          <w:sz w:val="32"/>
          <w:szCs w:val="32"/>
        </w:rPr>
        <w:t>依据</w:t>
      </w:r>
    </w:p>
    <w:p>
      <w:pPr>
        <w:numPr>
          <w:ilvl w:val="0"/>
          <w:numId w:val="0"/>
        </w:numPr>
        <w:ind w:leftChars="0"/>
        <w:rPr>
          <w:rFonts w:hint="eastAsia" w:ascii="楷体" w:hAnsi="楷体" w:eastAsia="楷体" w:cs="楷体"/>
          <w:color w:val="FF0000"/>
          <w:sz w:val="32"/>
          <w:szCs w:val="32"/>
        </w:rPr>
      </w:pPr>
      <w:r>
        <w:rPr>
          <w:rFonts w:hint="eastAsia" w:ascii="楷体" w:hAnsi="楷体" w:eastAsia="楷体" w:cs="楷体"/>
          <w:color w:val="FF0000"/>
          <w:sz w:val="32"/>
          <w:szCs w:val="32"/>
          <w:lang w:val="en-US" w:eastAsia="zh-CN"/>
        </w:rPr>
        <w:t>1</w:t>
      </w:r>
      <w:r>
        <w:rPr>
          <w:rFonts w:hint="eastAsia" w:ascii="楷体" w:hAnsi="楷体" w:eastAsia="楷体" w:cs="楷体"/>
          <w:color w:val="FF0000"/>
          <w:sz w:val="32"/>
          <w:szCs w:val="32"/>
        </w:rPr>
        <w:t>、《</w:t>
      </w:r>
      <w:r>
        <w:rPr>
          <w:rFonts w:hint="eastAsia" w:ascii="楷体" w:hAnsi="楷体" w:eastAsia="楷体" w:cs="楷体"/>
          <w:color w:val="FF0000"/>
          <w:sz w:val="32"/>
          <w:szCs w:val="32"/>
          <w:lang w:val="en-US" w:eastAsia="zh-CN"/>
        </w:rPr>
        <w:t>虎林市</w:t>
      </w:r>
      <w:r>
        <w:rPr>
          <w:rFonts w:hint="eastAsia" w:ascii="楷体" w:hAnsi="楷体" w:eastAsia="楷体" w:cs="楷体"/>
          <w:color w:val="FF0000"/>
          <w:sz w:val="32"/>
          <w:szCs w:val="32"/>
        </w:rPr>
        <w:t>人民法院委托书》【（20</w:t>
      </w:r>
      <w:r>
        <w:rPr>
          <w:rFonts w:hint="eastAsia" w:ascii="楷体" w:hAnsi="楷体" w:eastAsia="楷体" w:cs="楷体"/>
          <w:color w:val="FF0000"/>
          <w:sz w:val="32"/>
          <w:szCs w:val="32"/>
          <w:lang w:val="en-US" w:eastAsia="zh-CN"/>
        </w:rPr>
        <w:t>22</w:t>
      </w:r>
      <w:r>
        <w:rPr>
          <w:rFonts w:hint="eastAsia" w:ascii="楷体" w:hAnsi="楷体" w:eastAsia="楷体" w:cs="楷体"/>
          <w:color w:val="FF0000"/>
          <w:sz w:val="32"/>
          <w:szCs w:val="32"/>
        </w:rPr>
        <w:t>）</w:t>
      </w:r>
      <w:r>
        <w:rPr>
          <w:rFonts w:hint="eastAsia" w:ascii="楷体" w:hAnsi="楷体" w:eastAsia="楷体" w:cs="楷体"/>
          <w:color w:val="FF0000"/>
          <w:sz w:val="32"/>
          <w:szCs w:val="32"/>
          <w:lang w:val="en-US" w:eastAsia="zh-CN"/>
        </w:rPr>
        <w:t>黑0381执361</w:t>
      </w:r>
      <w:r>
        <w:rPr>
          <w:rFonts w:hint="eastAsia" w:ascii="楷体" w:hAnsi="楷体" w:eastAsia="楷体" w:cs="楷体"/>
          <w:color w:val="FF0000"/>
          <w:sz w:val="32"/>
          <w:szCs w:val="32"/>
        </w:rPr>
        <w:t>号】</w:t>
      </w:r>
    </w:p>
    <w:p>
      <w:pPr>
        <w:numPr>
          <w:ilvl w:val="0"/>
          <w:numId w:val="0"/>
        </w:numPr>
        <w:ind w:leftChars="0"/>
        <w:rPr>
          <w:rFonts w:hint="default" w:ascii="楷体" w:hAnsi="楷体" w:eastAsia="楷体" w:cs="楷体"/>
          <w:color w:val="FF0000"/>
          <w:sz w:val="32"/>
          <w:szCs w:val="32"/>
          <w:lang w:val="en-US" w:eastAsia="zh-CN"/>
        </w:rPr>
      </w:pPr>
      <w:r>
        <w:rPr>
          <w:rFonts w:hint="eastAsia" w:ascii="楷体" w:hAnsi="楷体" w:eastAsia="楷体" w:cs="楷体"/>
          <w:color w:val="FF0000"/>
          <w:sz w:val="32"/>
          <w:szCs w:val="32"/>
          <w:lang w:val="en-US" w:eastAsia="zh-CN"/>
        </w:rPr>
        <w:t>2、虎林市不动产查档证明</w:t>
      </w:r>
    </w:p>
    <w:p>
      <w:pPr>
        <w:numPr>
          <w:ilvl w:val="0"/>
          <w:numId w:val="0"/>
        </w:numPr>
        <w:ind w:leftChars="0"/>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四</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估价机构及注册房地产估价师搜集的资料依据</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1</w:t>
      </w:r>
      <w:r>
        <w:rPr>
          <w:rFonts w:hint="eastAsia" w:ascii="楷体" w:hAnsi="楷体" w:eastAsia="楷体" w:cs="楷体"/>
          <w:color w:val="auto"/>
          <w:sz w:val="32"/>
          <w:szCs w:val="32"/>
        </w:rPr>
        <w:t>、估价人员现场</w:t>
      </w:r>
      <w:r>
        <w:rPr>
          <w:rFonts w:hint="eastAsia" w:ascii="楷体" w:hAnsi="楷体" w:eastAsia="楷体" w:cs="楷体"/>
          <w:color w:val="auto"/>
          <w:sz w:val="32"/>
          <w:szCs w:val="32"/>
          <w:lang w:val="en-US" w:eastAsia="zh-CN"/>
        </w:rPr>
        <w:t>勘察</w:t>
      </w:r>
      <w:r>
        <w:rPr>
          <w:rFonts w:hint="eastAsia" w:ascii="楷体" w:hAnsi="楷体" w:eastAsia="楷体" w:cs="楷体"/>
          <w:color w:val="auto"/>
          <w:sz w:val="32"/>
          <w:szCs w:val="32"/>
        </w:rPr>
        <w:t>和市场调查资料</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2</w:t>
      </w:r>
      <w:r>
        <w:rPr>
          <w:rFonts w:hint="eastAsia" w:ascii="楷体" w:hAnsi="楷体" w:eastAsia="楷体" w:cs="楷体"/>
          <w:color w:val="auto"/>
          <w:sz w:val="32"/>
          <w:szCs w:val="32"/>
        </w:rPr>
        <w:t>、估价单位掌握的当地房地产市场状况及信息。</w:t>
      </w:r>
    </w:p>
    <w:p>
      <w:pPr>
        <w:numPr>
          <w:ilvl w:val="0"/>
          <w:numId w:val="0"/>
        </w:numPr>
        <w:ind w:left="640" w:leftChars="0" w:hanging="640" w:hanging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八、估价原则</w:t>
      </w:r>
    </w:p>
    <w:p>
      <w:pPr>
        <w:numPr>
          <w:ilvl w:val="0"/>
          <w:numId w:val="0"/>
        </w:numPr>
        <w:ind w:firstLine="640" w:firstLineChars="200"/>
        <w:rPr>
          <w:rFonts w:hint="eastAsia" w:ascii="楷体" w:hAnsi="楷体" w:eastAsia="楷体" w:cs="楷体"/>
          <w:color w:val="auto"/>
          <w:sz w:val="32"/>
          <w:szCs w:val="32"/>
        </w:rPr>
      </w:pPr>
      <w:r>
        <w:rPr>
          <w:rFonts w:hint="eastAsia" w:ascii="楷体" w:hAnsi="楷体" w:eastAsia="楷体" w:cs="楷体"/>
          <w:color w:val="auto"/>
          <w:sz w:val="32"/>
          <w:szCs w:val="32"/>
        </w:rPr>
        <w:t>定义:在房地产估价的反复实践和理论探索中，在认识房地产价格形成和变动客观规律的基础上，总结和提炼出的一些简明扼要的进行房地产估价所应依据的法则或标准。</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rPr>
        <w:t>1、独立、客观、公正原则</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lang w:val="en-US" w:eastAsia="zh-CN"/>
        </w:rPr>
        <w:t xml:space="preserve">   </w:t>
      </w:r>
      <w:r>
        <w:rPr>
          <w:rFonts w:hint="eastAsia" w:ascii="楷体" w:hAnsi="楷体" w:eastAsia="楷体" w:cs="楷体"/>
          <w:color w:val="auto"/>
          <w:sz w:val="32"/>
          <w:szCs w:val="32"/>
        </w:rPr>
        <w:t>独立、客观、公正</w:t>
      </w:r>
      <w:r>
        <w:rPr>
          <w:rFonts w:hint="eastAsia" w:ascii="楷体" w:hAnsi="楷体" w:eastAsia="楷体" w:cs="楷体"/>
          <w:color w:val="auto"/>
          <w:sz w:val="32"/>
          <w:szCs w:val="32"/>
          <w:lang w:val="en-US" w:eastAsia="zh-CN"/>
        </w:rPr>
        <w:t>是房地产估价的基本</w:t>
      </w:r>
      <w:r>
        <w:rPr>
          <w:rFonts w:hint="eastAsia" w:ascii="楷体" w:hAnsi="楷体" w:eastAsia="楷体" w:cs="楷体"/>
          <w:color w:val="auto"/>
          <w:sz w:val="32"/>
          <w:szCs w:val="32"/>
        </w:rPr>
        <w:t>原则，要求站在中立的立场上，实事求是、公平正直地评估出对各方估价利害关系人均是公平合理的价值或价格的原则。</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rPr>
        <w:t>2、合法原则</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lang w:val="en-US" w:eastAsia="zh-CN"/>
        </w:rPr>
        <w:t xml:space="preserve">    评估价值应为</w:t>
      </w:r>
      <w:r>
        <w:rPr>
          <w:rFonts w:hint="eastAsia" w:ascii="楷体" w:hAnsi="楷体" w:eastAsia="楷体" w:cs="楷体"/>
          <w:color w:val="auto"/>
          <w:sz w:val="32"/>
          <w:szCs w:val="32"/>
        </w:rPr>
        <w:t>在依法判定的估价对象状况下的价值或价格的原则。</w:t>
      </w:r>
    </w:p>
    <w:p>
      <w:pPr>
        <w:numPr>
          <w:ilvl w:val="0"/>
          <w:numId w:val="0"/>
        </w:numPr>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3、</w:t>
      </w:r>
      <w:r>
        <w:rPr>
          <w:rFonts w:hint="eastAsia" w:ascii="楷体" w:hAnsi="楷体" w:eastAsia="楷体" w:cs="楷体"/>
          <w:color w:val="auto"/>
          <w:sz w:val="32"/>
          <w:szCs w:val="32"/>
        </w:rPr>
        <w:t>价值时点原则</w:t>
      </w:r>
    </w:p>
    <w:p>
      <w:pPr>
        <w:numPr>
          <w:ilvl w:val="0"/>
          <w:numId w:val="0"/>
        </w:numPr>
        <w:ind w:firstLine="640" w:firstLineChars="200"/>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评估价值</w:t>
      </w:r>
      <w:r>
        <w:rPr>
          <w:rFonts w:hint="eastAsia" w:ascii="楷体" w:hAnsi="楷体" w:eastAsia="楷体" w:cs="楷体"/>
          <w:color w:val="auto"/>
          <w:sz w:val="32"/>
          <w:szCs w:val="32"/>
        </w:rPr>
        <w:t>是在根据估价目的确定的某</w:t>
      </w: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特定时间的价值或</w:t>
      </w:r>
      <w:r>
        <w:rPr>
          <w:rFonts w:hint="eastAsia" w:ascii="楷体" w:hAnsi="楷体" w:eastAsia="楷体" w:cs="楷体"/>
          <w:color w:val="auto"/>
          <w:sz w:val="32"/>
          <w:szCs w:val="32"/>
          <w:lang w:val="en-US" w:eastAsia="zh-CN"/>
        </w:rPr>
        <w:t>价格的原则。</w:t>
      </w:r>
    </w:p>
    <w:p>
      <w:pPr>
        <w:numPr>
          <w:ilvl w:val="0"/>
          <w:numId w:val="0"/>
        </w:numPr>
        <w:ind w:leftChars="0"/>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4、</w:t>
      </w:r>
      <w:r>
        <w:rPr>
          <w:rFonts w:hint="eastAsia" w:ascii="楷体" w:hAnsi="楷体" w:eastAsia="楷体" w:cs="楷体"/>
          <w:color w:val="auto"/>
          <w:sz w:val="32"/>
          <w:szCs w:val="32"/>
        </w:rPr>
        <w:t>替代原则</w:t>
      </w:r>
    </w:p>
    <w:p>
      <w:pPr>
        <w:numPr>
          <w:ilvl w:val="0"/>
          <w:numId w:val="0"/>
        </w:numPr>
        <w:ind w:leftChars="0" w:firstLine="640" w:firstLineChars="200"/>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评估价值</w:t>
      </w:r>
      <w:r>
        <w:rPr>
          <w:rFonts w:hint="eastAsia" w:ascii="楷体" w:hAnsi="楷体" w:eastAsia="楷体" w:cs="楷体"/>
          <w:color w:val="auto"/>
          <w:sz w:val="32"/>
          <w:szCs w:val="32"/>
        </w:rPr>
        <w:t>与估价对象的类似房地产在同等条件下的价值或价格偏差在合理范围内的原则。</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lang w:val="en-US" w:eastAsia="zh-CN"/>
        </w:rPr>
        <w:t>5、</w:t>
      </w:r>
      <w:r>
        <w:rPr>
          <w:rFonts w:hint="eastAsia" w:ascii="楷体" w:hAnsi="楷体" w:eastAsia="楷体" w:cs="楷体"/>
          <w:color w:val="auto"/>
          <w:sz w:val="32"/>
          <w:szCs w:val="32"/>
        </w:rPr>
        <w:t>最高最佳利用原则</w:t>
      </w:r>
    </w:p>
    <w:p>
      <w:pPr>
        <w:numPr>
          <w:ilvl w:val="0"/>
          <w:numId w:val="0"/>
        </w:numPr>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rPr>
        <w:t>要求估价结果是在估价对象最高最佳利用状况下的价值或价格的原则。最高最佳利用是指房地产在法律上允许、技术上可能、财务上可行并使价值最大的合理、可能的利用，包括最佳的用途、规模、档次等。</w:t>
      </w:r>
      <w:r>
        <w:rPr>
          <w:rFonts w:hint="eastAsia" w:ascii="楷体" w:hAnsi="楷体" w:eastAsia="楷体" w:cs="楷体"/>
          <w:color w:val="auto"/>
          <w:sz w:val="32"/>
          <w:szCs w:val="32"/>
        </w:rPr>
        <w:br w:type="textWrapping"/>
      </w:r>
      <w:r>
        <w:rPr>
          <w:rFonts w:hint="eastAsia" w:ascii="楷体" w:hAnsi="楷体" w:eastAsia="楷体" w:cs="楷体"/>
          <w:color w:val="auto"/>
          <w:sz w:val="32"/>
          <w:szCs w:val="32"/>
          <w:lang w:val="en-US" w:eastAsia="zh-CN"/>
        </w:rPr>
        <w:t>九、估价方法</w:t>
      </w:r>
    </w:p>
    <w:p>
      <w:pPr>
        <w:numPr>
          <w:ilvl w:val="0"/>
          <w:numId w:val="0"/>
        </w:numPr>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本次评估采用比较法进行估价。</w:t>
      </w:r>
    </w:p>
    <w:p>
      <w:pPr>
        <w:numPr>
          <w:ilvl w:val="0"/>
          <w:numId w:val="9"/>
        </w:numPr>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比较法：</w:t>
      </w:r>
      <w:r>
        <w:rPr>
          <w:rFonts w:hint="eastAsia" w:ascii="楷体" w:hAnsi="楷体" w:eastAsia="楷体" w:cs="楷体"/>
          <w:color w:val="auto"/>
          <w:sz w:val="32"/>
          <w:szCs w:val="32"/>
        </w:rPr>
        <w:t>比较法</w:t>
      </w:r>
      <w:r>
        <w:rPr>
          <w:rFonts w:hint="eastAsia" w:ascii="楷体" w:hAnsi="楷体" w:eastAsia="楷体" w:cs="楷体"/>
          <w:color w:val="auto"/>
          <w:sz w:val="32"/>
          <w:szCs w:val="32"/>
          <w:lang w:val="en-US" w:eastAsia="zh-CN"/>
        </w:rPr>
        <w:t>是</w:t>
      </w:r>
      <w:r>
        <w:rPr>
          <w:rFonts w:hint="eastAsia" w:ascii="楷体" w:hAnsi="楷体" w:eastAsia="楷体" w:cs="楷体"/>
          <w:color w:val="auto"/>
          <w:sz w:val="32"/>
          <w:szCs w:val="32"/>
        </w:rPr>
        <w:t>选取一定数量的可比实例，将它们与估价对象进行比较，根据期间的差异对可比实例成交价格进行处理后得到估价对象价值或价格的方法。</w:t>
      </w:r>
    </w:p>
    <w:p>
      <w:pPr>
        <w:numPr>
          <w:ilvl w:val="0"/>
          <w:numId w:val="10"/>
        </w:numPr>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估价结果</w:t>
      </w:r>
    </w:p>
    <w:p>
      <w:pPr>
        <w:numPr>
          <w:ilvl w:val="0"/>
          <w:numId w:val="0"/>
        </w:numPr>
        <w:ind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根据为人民法院确定财产处置参考价提供参考参考依据的估价目的，我公司遵循估价原则，以实地查勘之日2022年7月6日为价值时点，采用比较法进行分析、测算和判断，最终求得估价对象在满足全部假设和限制条件下于价值时点的估价结果如下：（币种：人民币）</w:t>
      </w:r>
    </w:p>
    <w:tbl>
      <w:tblPr>
        <w:tblStyle w:val="8"/>
        <w:tblpPr w:leftFromText="180" w:rightFromText="180" w:vertAnchor="text" w:tblpX="141" w:tblpY="370"/>
        <w:tblOverlap w:val="never"/>
        <w:tblW w:w="8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3143"/>
        <w:gridCol w:w="1500"/>
        <w:gridCol w:w="1350"/>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1331" w:type="dxa"/>
            <w:vAlign w:val="center"/>
          </w:tcPr>
          <w:p>
            <w:pPr>
              <w:jc w:val="center"/>
              <w:rPr>
                <w:rFonts w:hint="eastAsia" w:ascii="华文楷体" w:hAnsi="华文楷体" w:eastAsia="华文楷体" w:cs="华文楷体"/>
                <w:color w:val="auto"/>
                <w:sz w:val="22"/>
                <w:szCs w:val="22"/>
                <w:vertAlign w:val="baseline"/>
                <w:lang w:val="en-US" w:eastAsia="zh-CN"/>
              </w:rPr>
            </w:pPr>
          </w:p>
        </w:tc>
        <w:tc>
          <w:tcPr>
            <w:tcW w:w="3143" w:type="dxa"/>
            <w:vAlign w:val="center"/>
          </w:tcPr>
          <w:p>
            <w:pPr>
              <w:jc w:val="center"/>
              <w:rPr>
                <w:rFonts w:hint="default" w:ascii="华文楷体" w:hAnsi="华文楷体" w:eastAsia="华文楷体" w:cs="华文楷体"/>
                <w:color w:val="auto"/>
                <w:sz w:val="22"/>
                <w:szCs w:val="22"/>
                <w:vertAlign w:val="baseline"/>
                <w:lang w:val="en-US" w:eastAsia="zh-CN"/>
              </w:rPr>
            </w:pPr>
            <w:r>
              <w:rPr>
                <w:rFonts w:hint="eastAsia" w:ascii="华文楷体" w:hAnsi="华文楷体" w:eastAsia="华文楷体" w:cs="华文楷体"/>
                <w:color w:val="auto"/>
                <w:sz w:val="22"/>
                <w:szCs w:val="22"/>
                <w:vertAlign w:val="baseline"/>
                <w:lang w:val="en-US" w:eastAsia="zh-CN"/>
              </w:rPr>
              <w:t>名称</w:t>
            </w:r>
          </w:p>
        </w:tc>
        <w:tc>
          <w:tcPr>
            <w:tcW w:w="1500" w:type="dxa"/>
            <w:vAlign w:val="center"/>
          </w:tcPr>
          <w:p>
            <w:pPr>
              <w:jc w:val="center"/>
              <w:rPr>
                <w:rFonts w:hint="default" w:ascii="华文楷体" w:hAnsi="华文楷体" w:eastAsia="华文楷体" w:cs="华文楷体"/>
                <w:color w:val="auto"/>
                <w:sz w:val="22"/>
                <w:szCs w:val="22"/>
                <w:vertAlign w:val="baseline"/>
                <w:lang w:val="en-US" w:eastAsia="zh-CN"/>
              </w:rPr>
            </w:pPr>
            <w:r>
              <w:rPr>
                <w:rFonts w:hint="eastAsia" w:ascii="华文楷体" w:hAnsi="华文楷体" w:eastAsia="华文楷体" w:cs="华文楷体"/>
                <w:color w:val="auto"/>
                <w:sz w:val="22"/>
                <w:szCs w:val="22"/>
                <w:vertAlign w:val="baseline"/>
                <w:lang w:val="en-US" w:eastAsia="zh-CN"/>
              </w:rPr>
              <w:t>建筑面积（㎡）</w:t>
            </w:r>
          </w:p>
        </w:tc>
        <w:tc>
          <w:tcPr>
            <w:tcW w:w="1350" w:type="dxa"/>
            <w:vAlign w:val="center"/>
          </w:tcPr>
          <w:p>
            <w:pPr>
              <w:jc w:val="center"/>
              <w:rPr>
                <w:rFonts w:hint="default" w:ascii="华文楷体" w:hAnsi="华文楷体" w:eastAsia="华文楷体" w:cs="华文楷体"/>
                <w:color w:val="auto"/>
                <w:sz w:val="22"/>
                <w:szCs w:val="22"/>
                <w:vertAlign w:val="baseline"/>
                <w:lang w:val="en-US" w:eastAsia="zh-CN"/>
              </w:rPr>
            </w:pPr>
            <w:r>
              <w:rPr>
                <w:rFonts w:hint="eastAsia" w:ascii="华文楷体" w:hAnsi="华文楷体" w:eastAsia="华文楷体" w:cs="华文楷体"/>
                <w:color w:val="auto"/>
                <w:sz w:val="22"/>
                <w:szCs w:val="22"/>
                <w:vertAlign w:val="baseline"/>
                <w:lang w:val="en-US" w:eastAsia="zh-CN"/>
              </w:rPr>
              <w:t>评估单价（元/㎡）</w:t>
            </w:r>
          </w:p>
        </w:tc>
        <w:tc>
          <w:tcPr>
            <w:tcW w:w="1632" w:type="dxa"/>
            <w:vAlign w:val="center"/>
          </w:tcPr>
          <w:p>
            <w:pPr>
              <w:jc w:val="center"/>
              <w:rPr>
                <w:rFonts w:hint="default" w:ascii="华文楷体" w:hAnsi="华文楷体" w:eastAsia="华文楷体" w:cs="华文楷体"/>
                <w:color w:val="auto"/>
                <w:sz w:val="22"/>
                <w:szCs w:val="22"/>
                <w:vertAlign w:val="baseline"/>
                <w:lang w:val="en-US" w:eastAsia="zh-CN"/>
              </w:rPr>
            </w:pPr>
            <w:r>
              <w:rPr>
                <w:rFonts w:hint="eastAsia" w:ascii="华文楷体" w:hAnsi="华文楷体" w:eastAsia="华文楷体" w:cs="华文楷体"/>
                <w:color w:val="auto"/>
                <w:sz w:val="22"/>
                <w:szCs w:val="22"/>
                <w:vertAlign w:val="baseline"/>
                <w:lang w:val="en-US" w:eastAsia="zh-CN"/>
              </w:rPr>
              <w:t>评估金额（元）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331" w:type="dxa"/>
            <w:vAlign w:val="center"/>
          </w:tcPr>
          <w:p>
            <w:pPr>
              <w:numPr>
                <w:ilvl w:val="0"/>
                <w:numId w:val="0"/>
              </w:numPr>
              <w:ind w:left="0" w:leftChars="0" w:firstLine="0" w:firstLineChars="0"/>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sz w:val="21"/>
                <w:szCs w:val="21"/>
                <w:vertAlign w:val="baseline"/>
                <w:lang w:val="en-US" w:eastAsia="zh-CN"/>
              </w:rPr>
              <w:t>估价对象</w:t>
            </w:r>
          </w:p>
        </w:tc>
        <w:tc>
          <w:tcPr>
            <w:tcW w:w="3143" w:type="dxa"/>
            <w:vAlign w:val="center"/>
          </w:tcPr>
          <w:p>
            <w:pPr>
              <w:jc w:val="both"/>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kern w:val="2"/>
                <w:sz w:val="21"/>
                <w:szCs w:val="21"/>
                <w:vertAlign w:val="baseline"/>
                <w:lang w:val="en-US" w:eastAsia="zh-CN" w:bidi="ar-SA"/>
              </w:rPr>
              <w:t>永信小区2号楼6单元503</w:t>
            </w:r>
          </w:p>
        </w:tc>
        <w:tc>
          <w:tcPr>
            <w:tcW w:w="1500"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sz w:val="21"/>
                <w:szCs w:val="21"/>
                <w:vertAlign w:val="baseline"/>
                <w:lang w:val="en-US" w:eastAsia="zh-CN"/>
              </w:rPr>
              <w:t>76.65</w:t>
            </w:r>
          </w:p>
        </w:tc>
        <w:tc>
          <w:tcPr>
            <w:tcW w:w="1350"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kern w:val="2"/>
                <w:sz w:val="21"/>
                <w:szCs w:val="21"/>
                <w:vertAlign w:val="baseline"/>
                <w:lang w:val="en-US" w:eastAsia="zh-CN" w:bidi="ar-SA"/>
              </w:rPr>
              <w:t>2,720</w:t>
            </w:r>
          </w:p>
        </w:tc>
        <w:tc>
          <w:tcPr>
            <w:tcW w:w="1632"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kern w:val="2"/>
                <w:sz w:val="21"/>
                <w:szCs w:val="21"/>
                <w:vertAlign w:val="baseline"/>
                <w:lang w:val="en-US" w:eastAsia="zh-CN" w:bidi="ar-SA"/>
              </w:rPr>
              <w:t>208,488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331" w:type="dxa"/>
            <w:vAlign w:val="center"/>
          </w:tcPr>
          <w:p>
            <w:pPr>
              <w:numPr>
                <w:ilvl w:val="0"/>
                <w:numId w:val="0"/>
              </w:numPr>
              <w:ind w:left="0" w:leftChars="0" w:firstLine="0" w:firstLineChars="0"/>
              <w:jc w:val="center"/>
              <w:rPr>
                <w:rFonts w:hint="default" w:ascii="华文楷体" w:hAnsi="华文楷体" w:eastAsia="华文楷体" w:cs="华文楷体"/>
                <w:color w:val="auto"/>
                <w:sz w:val="21"/>
                <w:szCs w:val="21"/>
                <w:vertAlign w:val="baseline"/>
                <w:lang w:val="en-US" w:eastAsia="zh-CN"/>
              </w:rPr>
            </w:pPr>
            <w:r>
              <w:rPr>
                <w:rFonts w:hint="eastAsia" w:ascii="华文楷体" w:hAnsi="华文楷体" w:eastAsia="华文楷体" w:cs="华文楷体"/>
                <w:color w:val="auto"/>
                <w:sz w:val="21"/>
                <w:szCs w:val="21"/>
                <w:vertAlign w:val="baseline"/>
                <w:lang w:val="en-US" w:eastAsia="zh-CN"/>
              </w:rPr>
              <w:t>合计</w:t>
            </w:r>
          </w:p>
        </w:tc>
        <w:tc>
          <w:tcPr>
            <w:tcW w:w="3143"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500" w:type="dxa"/>
            <w:vAlign w:val="center"/>
          </w:tcPr>
          <w:p>
            <w:pPr>
              <w:jc w:val="center"/>
              <w:rPr>
                <w:rFonts w:hint="eastAsia" w:ascii="华文楷体" w:hAnsi="华文楷体" w:eastAsia="华文楷体" w:cs="华文楷体"/>
                <w:color w:val="auto"/>
                <w:sz w:val="21"/>
                <w:szCs w:val="21"/>
                <w:vertAlign w:val="baseline"/>
                <w:lang w:val="en-US" w:eastAsia="zh-CN"/>
              </w:rPr>
            </w:pPr>
          </w:p>
        </w:tc>
        <w:tc>
          <w:tcPr>
            <w:tcW w:w="1350"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p>
        </w:tc>
        <w:tc>
          <w:tcPr>
            <w:tcW w:w="1632" w:type="dxa"/>
            <w:vAlign w:val="center"/>
          </w:tcPr>
          <w:p>
            <w:pPr>
              <w:jc w:val="center"/>
              <w:rPr>
                <w:rFonts w:hint="default" w:ascii="华文楷体" w:hAnsi="华文楷体" w:eastAsia="华文楷体" w:cs="华文楷体"/>
                <w:color w:val="auto"/>
                <w:kern w:val="2"/>
                <w:sz w:val="21"/>
                <w:szCs w:val="21"/>
                <w:vertAlign w:val="baseline"/>
                <w:lang w:val="en-US" w:eastAsia="zh-CN" w:bidi="ar-SA"/>
              </w:rPr>
            </w:pPr>
            <w:r>
              <w:rPr>
                <w:rFonts w:hint="eastAsia" w:ascii="华文楷体" w:hAnsi="华文楷体" w:eastAsia="华文楷体" w:cs="华文楷体"/>
                <w:color w:val="auto"/>
                <w:kern w:val="2"/>
                <w:sz w:val="21"/>
                <w:szCs w:val="21"/>
                <w:vertAlign w:val="baseline"/>
                <w:lang w:val="en-US" w:eastAsia="zh-CN" w:bidi="ar-SA"/>
              </w:rPr>
              <w:t>208,488</w:t>
            </w:r>
          </w:p>
        </w:tc>
      </w:tr>
    </w:tbl>
    <w:p>
      <w:pPr>
        <w:numPr>
          <w:ilvl w:val="0"/>
          <w:numId w:val="0"/>
        </w:numPr>
        <w:ind w:firstLine="640" w:firstLineChars="200"/>
        <w:rPr>
          <w:rFonts w:hint="eastAsia" w:ascii="楷体" w:hAnsi="楷体" w:eastAsia="楷体" w:cs="楷体"/>
          <w:color w:val="auto"/>
          <w:sz w:val="32"/>
          <w:szCs w:val="32"/>
          <w:lang w:val="en-US" w:eastAsia="zh-CN"/>
        </w:rPr>
      </w:pPr>
    </w:p>
    <w:p>
      <w:pPr>
        <w:rPr>
          <w:rFonts w:hint="default" w:ascii="华文楷体" w:hAnsi="华文楷体" w:eastAsia="华文楷体" w:cs="华文楷体"/>
          <w:color w:val="auto"/>
          <w:sz w:val="32"/>
          <w:szCs w:val="32"/>
          <w:lang w:val="en-US" w:eastAsia="zh-CN"/>
        </w:rPr>
      </w:pPr>
      <w:r>
        <w:rPr>
          <w:rFonts w:hint="eastAsia" w:ascii="华文楷体" w:hAnsi="华文楷体" w:eastAsia="华文楷体" w:cs="华文楷体"/>
          <w:color w:val="auto"/>
          <w:sz w:val="32"/>
          <w:szCs w:val="32"/>
          <w:lang w:val="en-US" w:eastAsia="zh-CN"/>
        </w:rPr>
        <w:t>评估总金额：208,488元人民币</w:t>
      </w:r>
    </w:p>
    <w:p>
      <w:pPr>
        <w:rPr>
          <w:rFonts w:hint="eastAsia" w:ascii="楷体" w:hAnsi="楷体" w:eastAsia="楷体" w:cs="楷体"/>
          <w:color w:val="auto"/>
          <w:sz w:val="32"/>
          <w:szCs w:val="32"/>
          <w:lang w:val="en-US" w:eastAsia="zh-CN"/>
        </w:rPr>
      </w:pPr>
      <w:r>
        <w:rPr>
          <w:rFonts w:hint="eastAsia" w:ascii="华文楷体" w:hAnsi="华文楷体" w:eastAsia="华文楷体" w:cs="华文楷体"/>
          <w:color w:val="auto"/>
          <w:sz w:val="32"/>
          <w:szCs w:val="32"/>
          <w:lang w:val="en-US" w:eastAsia="zh-CN"/>
        </w:rPr>
        <w:t>大写金额（人民币）：贰拾万零捌仟肆佰捌拾捌元整。</w:t>
      </w:r>
    </w:p>
    <w:p>
      <w:pPr>
        <w:numPr>
          <w:ilvl w:val="0"/>
          <w:numId w:val="10"/>
        </w:numPr>
        <w:ind w:left="0" w:leftChars="0" w:firstLine="0" w:firstLine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估价人员</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175"/>
        <w:gridCol w:w="2325"/>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28"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姓名</w:t>
            </w:r>
          </w:p>
        </w:tc>
        <w:tc>
          <w:tcPr>
            <w:tcW w:w="217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注册号</w:t>
            </w:r>
          </w:p>
        </w:tc>
        <w:tc>
          <w:tcPr>
            <w:tcW w:w="232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签名</w:t>
            </w:r>
          </w:p>
        </w:tc>
        <w:tc>
          <w:tcPr>
            <w:tcW w:w="223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签字日期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8"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lang w:val="en-US" w:eastAsia="zh-CN"/>
              </w:rPr>
              <w:t>许志忠</w:t>
            </w:r>
          </w:p>
        </w:tc>
        <w:tc>
          <w:tcPr>
            <w:tcW w:w="2175" w:type="dxa"/>
            <w:vAlign w:val="center"/>
          </w:tcPr>
          <w:p>
            <w:pPr>
              <w:numPr>
                <w:ilvl w:val="0"/>
                <w:numId w:val="0"/>
              </w:numPr>
              <w:jc w:val="center"/>
              <w:rPr>
                <w:rFonts w:hint="default" w:ascii="华文楷体" w:hAnsi="华文楷体" w:eastAsia="华文楷体" w:cs="华文楷体"/>
                <w:color w:val="auto"/>
                <w:sz w:val="24"/>
                <w:szCs w:val="24"/>
                <w:lang w:val="en-US" w:eastAsia="zh-CN"/>
              </w:rPr>
            </w:pPr>
            <w:r>
              <w:rPr>
                <w:rFonts w:hint="eastAsia" w:ascii="华文楷体" w:hAnsi="华文楷体" w:eastAsia="华文楷体" w:cs="华文楷体"/>
                <w:color w:val="auto"/>
                <w:sz w:val="24"/>
                <w:szCs w:val="24"/>
                <w:lang w:val="en-US" w:eastAsia="zh-CN"/>
              </w:rPr>
              <w:t>2319970013</w:t>
            </w:r>
          </w:p>
        </w:tc>
        <w:tc>
          <w:tcPr>
            <w:tcW w:w="232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p>
        </w:tc>
        <w:tc>
          <w:tcPr>
            <w:tcW w:w="223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1528"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lang w:val="en-US" w:eastAsia="zh-CN"/>
              </w:rPr>
              <w:t>李红梅</w:t>
            </w:r>
          </w:p>
        </w:tc>
        <w:tc>
          <w:tcPr>
            <w:tcW w:w="2175" w:type="dxa"/>
            <w:vAlign w:val="center"/>
          </w:tcPr>
          <w:p>
            <w:pPr>
              <w:numPr>
                <w:ilvl w:val="0"/>
                <w:numId w:val="0"/>
              </w:numPr>
              <w:jc w:val="center"/>
              <w:rPr>
                <w:rFonts w:hint="default" w:ascii="华文楷体" w:hAnsi="华文楷体" w:eastAsia="华文楷体" w:cs="华文楷体"/>
                <w:color w:val="auto"/>
                <w:sz w:val="24"/>
                <w:szCs w:val="24"/>
                <w:lang w:val="en-US" w:eastAsia="zh-CN"/>
              </w:rPr>
            </w:pPr>
            <w:r>
              <w:rPr>
                <w:rFonts w:hint="eastAsia" w:ascii="华文楷体" w:hAnsi="华文楷体" w:eastAsia="华文楷体" w:cs="华文楷体"/>
                <w:color w:val="auto"/>
                <w:sz w:val="24"/>
                <w:szCs w:val="24"/>
                <w:lang w:val="en-US" w:eastAsia="zh-CN"/>
              </w:rPr>
              <w:t>2320100052</w:t>
            </w:r>
          </w:p>
        </w:tc>
        <w:tc>
          <w:tcPr>
            <w:tcW w:w="232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p>
        </w:tc>
        <w:tc>
          <w:tcPr>
            <w:tcW w:w="2235" w:type="dxa"/>
            <w:vAlign w:val="center"/>
          </w:tcPr>
          <w:p>
            <w:pPr>
              <w:numPr>
                <w:ilvl w:val="0"/>
                <w:numId w:val="0"/>
              </w:numPr>
              <w:jc w:val="center"/>
              <w:rPr>
                <w:rFonts w:hint="default" w:ascii="华文楷体" w:hAnsi="华文楷体" w:eastAsia="华文楷体" w:cs="华文楷体"/>
                <w:color w:val="auto"/>
                <w:sz w:val="24"/>
                <w:szCs w:val="24"/>
                <w:vertAlign w:val="baseline"/>
                <w:lang w:val="en-US" w:eastAsia="zh-CN"/>
              </w:rPr>
            </w:pPr>
            <w:r>
              <w:rPr>
                <w:rFonts w:hint="eastAsia" w:ascii="华文楷体" w:hAnsi="华文楷体" w:eastAsia="华文楷体" w:cs="华文楷体"/>
                <w:color w:val="auto"/>
                <w:sz w:val="24"/>
                <w:szCs w:val="24"/>
                <w:vertAlign w:val="baseline"/>
                <w:lang w:val="en-US" w:eastAsia="zh-CN"/>
              </w:rPr>
              <w:t xml:space="preserve">      年  月  日</w:t>
            </w:r>
          </w:p>
        </w:tc>
      </w:tr>
    </w:tbl>
    <w:p>
      <w:pPr>
        <w:numPr>
          <w:ilvl w:val="0"/>
          <w:numId w:val="10"/>
        </w:numPr>
        <w:ind w:left="0" w:leftChars="0" w:firstLine="0" w:firstLine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实地查勘期</w:t>
      </w:r>
    </w:p>
    <w:p>
      <w:pPr>
        <w:numPr>
          <w:ilvl w:val="0"/>
          <w:numId w:val="0"/>
        </w:numPr>
        <w:ind w:left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实地查看日：2022年7月6日至2022年7月6日。</w:t>
      </w:r>
    </w:p>
    <w:p>
      <w:pPr>
        <w:numPr>
          <w:ilvl w:val="0"/>
          <w:numId w:val="10"/>
        </w:numPr>
        <w:ind w:left="0" w:leftChars="0" w:firstLine="0" w:firstLine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估价作业日期</w:t>
      </w:r>
    </w:p>
    <w:p>
      <w:pPr>
        <w:numPr>
          <w:ilvl w:val="0"/>
          <w:numId w:val="0"/>
        </w:numPr>
        <w:ind w:left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rPr>
        <w:t xml:space="preserve"> 20</w:t>
      </w:r>
      <w:r>
        <w:rPr>
          <w:rFonts w:hint="eastAsia" w:ascii="楷体" w:hAnsi="楷体" w:eastAsia="楷体" w:cs="楷体"/>
          <w:color w:val="auto"/>
          <w:sz w:val="32"/>
          <w:szCs w:val="32"/>
          <w:lang w:val="en-US" w:eastAsia="zh-CN"/>
        </w:rPr>
        <w:t>22</w:t>
      </w:r>
      <w:r>
        <w:rPr>
          <w:rFonts w:hint="eastAsia" w:ascii="楷体" w:hAnsi="楷体" w:eastAsia="楷体" w:cs="楷体"/>
          <w:color w:val="auto"/>
          <w:sz w:val="32"/>
          <w:szCs w:val="32"/>
        </w:rPr>
        <w:t>年</w:t>
      </w:r>
      <w:r>
        <w:rPr>
          <w:rFonts w:hint="eastAsia" w:ascii="楷体" w:hAnsi="楷体" w:eastAsia="楷体" w:cs="楷体"/>
          <w:color w:val="auto"/>
          <w:sz w:val="32"/>
          <w:szCs w:val="32"/>
          <w:lang w:val="en-US" w:eastAsia="zh-CN"/>
        </w:rPr>
        <w:t>7</w:t>
      </w:r>
      <w:r>
        <w:rPr>
          <w:rFonts w:hint="eastAsia" w:ascii="楷体" w:hAnsi="楷体" w:eastAsia="楷体" w:cs="楷体"/>
          <w:color w:val="auto"/>
          <w:sz w:val="32"/>
          <w:szCs w:val="32"/>
        </w:rPr>
        <w:t>月</w:t>
      </w:r>
      <w:r>
        <w:rPr>
          <w:rFonts w:hint="eastAsia" w:ascii="楷体" w:hAnsi="楷体" w:eastAsia="楷体" w:cs="楷体"/>
          <w:color w:val="auto"/>
          <w:sz w:val="32"/>
          <w:szCs w:val="32"/>
          <w:lang w:val="en-US" w:eastAsia="zh-CN"/>
        </w:rPr>
        <w:t>6</w:t>
      </w:r>
      <w:r>
        <w:rPr>
          <w:rFonts w:hint="eastAsia" w:ascii="楷体" w:hAnsi="楷体" w:eastAsia="楷体" w:cs="楷体"/>
          <w:color w:val="auto"/>
          <w:sz w:val="32"/>
          <w:szCs w:val="32"/>
        </w:rPr>
        <w:t>日</w:t>
      </w:r>
      <w:r>
        <w:rPr>
          <w:rFonts w:hint="eastAsia" w:ascii="楷体" w:hAnsi="楷体" w:eastAsia="楷体" w:cs="楷体"/>
          <w:color w:val="auto"/>
          <w:sz w:val="32"/>
          <w:szCs w:val="32"/>
          <w:lang w:eastAsia="zh-CN"/>
        </w:rPr>
        <w:t>至</w:t>
      </w:r>
      <w:r>
        <w:rPr>
          <w:rFonts w:hint="eastAsia" w:ascii="楷体" w:hAnsi="楷体" w:eastAsia="楷体" w:cs="楷体"/>
          <w:color w:val="auto"/>
          <w:sz w:val="32"/>
          <w:szCs w:val="32"/>
          <w:lang w:val="en-US" w:eastAsia="zh-CN"/>
        </w:rPr>
        <w:t>2022年7月10日。</w:t>
      </w:r>
    </w:p>
    <w:p>
      <w:pPr>
        <w:numPr>
          <w:ilvl w:val="0"/>
          <w:numId w:val="10"/>
        </w:numPr>
        <w:ind w:left="0" w:leftChars="0" w:firstLine="0" w:firstLineChars="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估价报告使用期限</w:t>
      </w:r>
    </w:p>
    <w:p>
      <w:pPr>
        <w:numPr>
          <w:ilvl w:val="0"/>
          <w:numId w:val="0"/>
        </w:numPr>
        <w:ind w:leftChars="0"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估价报告应用的有效期自完成估价报告之日起为一年，即截止于2023年7月9日。</w:t>
      </w:r>
    </w:p>
    <w:p>
      <w:pPr>
        <w:numPr>
          <w:ilvl w:val="0"/>
          <w:numId w:val="0"/>
        </w:numPr>
        <w:ind w:leftChars="0" w:firstLine="3200" w:firstLineChars="1000"/>
        <w:rPr>
          <w:rFonts w:hint="eastAsia" w:ascii="楷体" w:hAnsi="楷体" w:eastAsia="楷体" w:cs="楷体"/>
          <w:color w:val="auto"/>
          <w:sz w:val="32"/>
          <w:szCs w:val="32"/>
          <w:lang w:val="en-US" w:eastAsia="zh-CN"/>
        </w:rPr>
      </w:pPr>
    </w:p>
    <w:p>
      <w:pPr>
        <w:numPr>
          <w:ilvl w:val="0"/>
          <w:numId w:val="0"/>
        </w:numPr>
        <w:ind w:leftChars="0" w:firstLine="3200" w:firstLineChars="10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鸡西誉兴房地产估价有限责任公司</w:t>
      </w:r>
    </w:p>
    <w:p>
      <w:pPr>
        <w:numPr>
          <w:ilvl w:val="0"/>
          <w:numId w:val="0"/>
        </w:numPr>
        <w:ind w:leftChars="0" w:firstLine="640" w:firstLineChars="200"/>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 xml:space="preserve">                     二零二二年七月十日</w:t>
      </w:r>
    </w:p>
    <w:p/>
    <w:p>
      <w:pPr>
        <w:pStyle w:val="2"/>
        <w:bidi w:val="0"/>
        <w:rPr>
          <w:rFonts w:hint="eastAsia"/>
          <w:lang w:val="en-US" w:eastAsia="zh-CN"/>
        </w:rPr>
      </w:pPr>
      <w:bookmarkStart w:id="12" w:name="_Toc2589"/>
      <w:r>
        <w:rPr>
          <w:rFonts w:hint="eastAsia"/>
          <w:lang w:val="en-US" w:eastAsia="zh-CN"/>
        </w:rPr>
        <w:t>附件及照片</w:t>
      </w:r>
      <w:bookmarkEnd w:id="12"/>
      <w:r>
        <w:rPr>
          <w:rFonts w:hint="eastAsia"/>
          <w:lang w:val="en-US" w:eastAsia="zh-CN"/>
        </w:rPr>
        <w:t xml:space="preserve"> </w:t>
      </w:r>
    </w:p>
    <w:p>
      <w:pPr>
        <w:rPr>
          <w:rFonts w:hint="eastAsia"/>
          <w:lang w:val="en-US" w:eastAsia="zh-CN"/>
        </w:rPr>
      </w:pPr>
    </w:p>
    <w:p>
      <w:pPr>
        <w:rPr>
          <w:rFonts w:hint="eastAsia"/>
          <w:lang w:val="en-US" w:eastAsia="zh-CN"/>
        </w:rPr>
      </w:pPr>
      <w:r>
        <w:drawing>
          <wp:anchor distT="0" distB="0" distL="114300" distR="114300" simplePos="0" relativeHeight="251660288" behindDoc="0" locked="0" layoutInCell="1" allowOverlap="1">
            <wp:simplePos x="0" y="0"/>
            <wp:positionH relativeFrom="column">
              <wp:posOffset>220345</wp:posOffset>
            </wp:positionH>
            <wp:positionV relativeFrom="paragraph">
              <wp:posOffset>121285</wp:posOffset>
            </wp:positionV>
            <wp:extent cx="4994275" cy="7063105"/>
            <wp:effectExtent l="0" t="0" r="15875" b="4445"/>
            <wp:wrapTopAndBottom/>
            <wp:docPr id="2" name="图片 3" descr="营业执照正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营业执照正本"/>
                    <pic:cNvPicPr>
                      <a:picLocks noChangeAspect="1"/>
                    </pic:cNvPicPr>
                  </pic:nvPicPr>
                  <pic:blipFill>
                    <a:blip r:embed="rId6"/>
                    <a:stretch>
                      <a:fillRect/>
                    </a:stretch>
                  </pic:blipFill>
                  <pic:spPr>
                    <a:xfrm>
                      <a:off x="0" y="0"/>
                      <a:ext cx="4994275" cy="7063105"/>
                    </a:xfrm>
                    <a:prstGeom prst="rect">
                      <a:avLst/>
                    </a:prstGeom>
                    <a:noFill/>
                    <a:ln>
                      <a:noFill/>
                    </a:ln>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9230" cy="7442835"/>
            <wp:effectExtent l="0" t="0" r="7620" b="5715"/>
            <wp:docPr id="8" name="图片 8" descr="备案证书（2021-202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备案证书（2021-2024）_00"/>
                    <pic:cNvPicPr>
                      <a:picLocks noChangeAspect="1"/>
                    </pic:cNvPicPr>
                  </pic:nvPicPr>
                  <pic:blipFill>
                    <a:blip r:embed="rId7"/>
                    <a:stretch>
                      <a:fillRect/>
                    </a:stretch>
                  </pic:blipFill>
                  <pic:spPr>
                    <a:xfrm>
                      <a:off x="0" y="0"/>
                      <a:ext cx="5269230" cy="7442835"/>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drawing>
          <wp:anchor distT="0" distB="0" distL="114300" distR="114300" simplePos="0" relativeHeight="251661312" behindDoc="0" locked="0" layoutInCell="1" allowOverlap="1">
            <wp:simplePos x="0" y="0"/>
            <wp:positionH relativeFrom="column">
              <wp:posOffset>-106045</wp:posOffset>
            </wp:positionH>
            <wp:positionV relativeFrom="paragraph">
              <wp:posOffset>188595</wp:posOffset>
            </wp:positionV>
            <wp:extent cx="5300345" cy="3683000"/>
            <wp:effectExtent l="0" t="0" r="14605" b="12700"/>
            <wp:wrapNone/>
            <wp:docPr id="5" name="图片 5" descr="许志忠注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许志忠注册证"/>
                    <pic:cNvPicPr>
                      <a:picLocks noChangeAspect="1"/>
                    </pic:cNvPicPr>
                  </pic:nvPicPr>
                  <pic:blipFill>
                    <a:blip r:embed="rId8"/>
                    <a:srcRect t="47618" r="10698" b="7306"/>
                    <a:stretch>
                      <a:fillRect/>
                    </a:stretch>
                  </pic:blipFill>
                  <pic:spPr>
                    <a:xfrm>
                      <a:off x="0" y="0"/>
                      <a:ext cx="5300345" cy="3683000"/>
                    </a:xfrm>
                    <a:prstGeom prst="rect">
                      <a:avLst/>
                    </a:prstGeom>
                    <a:noFill/>
                    <a:ln>
                      <a:noFill/>
                    </a:ln>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drawing>
          <wp:anchor distT="0" distB="0" distL="114300" distR="114300" simplePos="0" relativeHeight="251662336" behindDoc="0" locked="0" layoutInCell="1" allowOverlap="1">
            <wp:simplePos x="0" y="0"/>
            <wp:positionH relativeFrom="column">
              <wp:posOffset>-198755</wp:posOffset>
            </wp:positionH>
            <wp:positionV relativeFrom="paragraph">
              <wp:posOffset>161925</wp:posOffset>
            </wp:positionV>
            <wp:extent cx="5621655" cy="4360545"/>
            <wp:effectExtent l="0" t="0" r="17145" b="1905"/>
            <wp:wrapNone/>
            <wp:docPr id="6" name="图片 6" descr="李红梅注册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李红梅注册2021"/>
                    <pic:cNvPicPr>
                      <a:picLocks noChangeAspect="1"/>
                    </pic:cNvPicPr>
                  </pic:nvPicPr>
                  <pic:blipFill>
                    <a:blip r:embed="rId9"/>
                    <a:srcRect r="5286" b="46638"/>
                    <a:stretch>
                      <a:fillRect/>
                    </a:stretch>
                  </pic:blipFill>
                  <pic:spPr>
                    <a:xfrm>
                      <a:off x="0" y="0"/>
                      <a:ext cx="5621655" cy="4360545"/>
                    </a:xfrm>
                    <a:prstGeom prst="rect">
                      <a:avLst/>
                    </a:prstGeom>
                    <a:noFill/>
                    <a:ln>
                      <a:noFill/>
                    </a:ln>
                  </pic:spPr>
                </pic:pic>
              </a:graphicData>
            </a:graphic>
          </wp:anchor>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jc w:val="both"/>
        <w:rPr>
          <w:rFonts w:hint="default"/>
          <w:lang w:val="en-US" w:eastAsia="zh-CN"/>
        </w:rPr>
      </w:pPr>
    </w:p>
    <w:p>
      <w:pPr>
        <w:jc w:val="center"/>
        <w:rPr>
          <w:rFonts w:hint="default"/>
          <w:lang w:val="en-US" w:eastAsia="zh-CN"/>
        </w:rPr>
      </w:pPr>
    </w:p>
    <w:p>
      <w:pPr>
        <w:jc w:val="center"/>
        <w:rPr>
          <w:rFonts w:hint="default"/>
          <w:lang w:val="en-US" w:eastAsia="zh-CN"/>
        </w:rPr>
      </w:pPr>
    </w:p>
    <w:p>
      <w:pPr>
        <w:jc w:val="center"/>
        <w:rPr>
          <w:rFonts w:hint="default"/>
          <w:lang w:val="en-US" w:eastAsia="zh-CN"/>
        </w:rPr>
      </w:pPr>
      <w:r>
        <w:rPr>
          <w:rFonts w:hint="default"/>
          <w:lang w:val="en-US" w:eastAsia="zh-CN"/>
        </w:rPr>
        <w:drawing>
          <wp:inline distT="0" distB="0" distL="114300" distR="114300">
            <wp:extent cx="5247005" cy="6995795"/>
            <wp:effectExtent l="0" t="0" r="10795" b="14605"/>
            <wp:docPr id="1" name="图片 1" descr="2f1c0aff44342e26b4ef04c3ed3b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1c0aff44342e26b4ef04c3ed3be63"/>
                    <pic:cNvPicPr>
                      <a:picLocks noChangeAspect="1"/>
                    </pic:cNvPicPr>
                  </pic:nvPicPr>
                  <pic:blipFill>
                    <a:blip r:embed="rId10"/>
                    <a:stretch>
                      <a:fillRect/>
                    </a:stretch>
                  </pic:blipFill>
                  <pic:spPr>
                    <a:xfrm>
                      <a:off x="0" y="0"/>
                      <a:ext cx="5247005" cy="6995795"/>
                    </a:xfrm>
                    <a:prstGeom prst="rect">
                      <a:avLst/>
                    </a:prstGeom>
                  </pic:spPr>
                </pic:pic>
              </a:graphicData>
            </a:graphic>
          </wp:inline>
        </w:drawing>
      </w:r>
      <w:r>
        <w:rPr>
          <w:rFonts w:hint="default"/>
          <w:lang w:val="en-US" w:eastAsia="zh-CN"/>
        </w:rPr>
        <w:drawing>
          <wp:inline distT="0" distB="0" distL="114300" distR="114300">
            <wp:extent cx="5255260" cy="7322820"/>
            <wp:effectExtent l="0" t="0" r="2540" b="11430"/>
            <wp:docPr id="3" name="图片 3" descr="250e9cd4f8682bbd0c9ebf7264ccf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50e9cd4f8682bbd0c9ebf7264ccf06"/>
                    <pic:cNvPicPr>
                      <a:picLocks noChangeAspect="1"/>
                    </pic:cNvPicPr>
                  </pic:nvPicPr>
                  <pic:blipFill>
                    <a:blip r:embed="rId11"/>
                    <a:stretch>
                      <a:fillRect/>
                    </a:stretch>
                  </pic:blipFill>
                  <pic:spPr>
                    <a:xfrm>
                      <a:off x="0" y="0"/>
                      <a:ext cx="5255260" cy="7322820"/>
                    </a:xfrm>
                    <a:prstGeom prst="rect">
                      <a:avLst/>
                    </a:prstGeom>
                  </pic:spPr>
                </pic:pic>
              </a:graphicData>
            </a:graphic>
          </wp:inline>
        </w:drawing>
      </w:r>
      <w:r>
        <w:rPr>
          <w:rFonts w:hint="default"/>
          <w:lang w:val="en-US" w:eastAsia="zh-CN"/>
        </w:rPr>
        <w:drawing>
          <wp:inline distT="0" distB="0" distL="114300" distR="114300">
            <wp:extent cx="4083685" cy="8848725"/>
            <wp:effectExtent l="0" t="0" r="12065" b="9525"/>
            <wp:docPr id="4" name="图片 4" descr="照片Screenshot_20220720_205500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照片Screenshot_20220720_205500_com.tencent.mm"/>
                    <pic:cNvPicPr>
                      <a:picLocks noChangeAspect="1"/>
                    </pic:cNvPicPr>
                  </pic:nvPicPr>
                  <pic:blipFill>
                    <a:blip r:embed="rId12"/>
                    <a:stretch>
                      <a:fillRect/>
                    </a:stretch>
                  </pic:blipFill>
                  <pic:spPr>
                    <a:xfrm>
                      <a:off x="0" y="0"/>
                      <a:ext cx="4083685" cy="8848725"/>
                    </a:xfrm>
                    <a:prstGeom prst="rect">
                      <a:avLst/>
                    </a:prstGeom>
                  </pic:spPr>
                </pic:pic>
              </a:graphicData>
            </a:graphic>
          </wp:inline>
        </w:drawing>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C5C2ED"/>
    <w:multiLevelType w:val="singleLevel"/>
    <w:tmpl w:val="B4C5C2ED"/>
    <w:lvl w:ilvl="0" w:tentative="0">
      <w:start w:val="1"/>
      <w:numFmt w:val="decimal"/>
      <w:suff w:val="nothing"/>
      <w:lvlText w:val="%1、"/>
      <w:lvlJc w:val="left"/>
    </w:lvl>
  </w:abstractNum>
  <w:abstractNum w:abstractNumId="1">
    <w:nsid w:val="C901A41D"/>
    <w:multiLevelType w:val="singleLevel"/>
    <w:tmpl w:val="C901A41D"/>
    <w:lvl w:ilvl="0" w:tentative="0">
      <w:start w:val="1"/>
      <w:numFmt w:val="decimal"/>
      <w:suff w:val="nothing"/>
      <w:lvlText w:val="%1、"/>
      <w:lvlJc w:val="left"/>
    </w:lvl>
  </w:abstractNum>
  <w:abstractNum w:abstractNumId="2">
    <w:nsid w:val="D8DD5AF2"/>
    <w:multiLevelType w:val="singleLevel"/>
    <w:tmpl w:val="D8DD5AF2"/>
    <w:lvl w:ilvl="0" w:tentative="0">
      <w:start w:val="1"/>
      <w:numFmt w:val="chineseCounting"/>
      <w:suff w:val="nothing"/>
      <w:lvlText w:val="（%1）"/>
      <w:lvlJc w:val="left"/>
      <w:rPr>
        <w:rFonts w:hint="eastAsia"/>
      </w:rPr>
    </w:lvl>
  </w:abstractNum>
  <w:abstractNum w:abstractNumId="3">
    <w:nsid w:val="E80B89CE"/>
    <w:multiLevelType w:val="singleLevel"/>
    <w:tmpl w:val="E80B89CE"/>
    <w:lvl w:ilvl="0" w:tentative="0">
      <w:start w:val="1"/>
      <w:numFmt w:val="chineseCounting"/>
      <w:suff w:val="nothing"/>
      <w:lvlText w:val="%1、"/>
      <w:lvlJc w:val="left"/>
      <w:rPr>
        <w:rFonts w:hint="eastAsia"/>
      </w:rPr>
    </w:lvl>
  </w:abstractNum>
  <w:abstractNum w:abstractNumId="4">
    <w:nsid w:val="E8A888CD"/>
    <w:multiLevelType w:val="singleLevel"/>
    <w:tmpl w:val="E8A888CD"/>
    <w:lvl w:ilvl="0" w:tentative="0">
      <w:start w:val="1"/>
      <w:numFmt w:val="decimal"/>
      <w:suff w:val="nothing"/>
      <w:lvlText w:val="%1、"/>
      <w:lvlJc w:val="left"/>
    </w:lvl>
  </w:abstractNum>
  <w:abstractNum w:abstractNumId="5">
    <w:nsid w:val="EF36F739"/>
    <w:multiLevelType w:val="singleLevel"/>
    <w:tmpl w:val="EF36F739"/>
    <w:lvl w:ilvl="0" w:tentative="0">
      <w:start w:val="2"/>
      <w:numFmt w:val="chineseCounting"/>
      <w:lvlText w:val="(%1)"/>
      <w:lvlJc w:val="left"/>
      <w:pPr>
        <w:tabs>
          <w:tab w:val="left" w:pos="312"/>
        </w:tabs>
      </w:pPr>
      <w:rPr>
        <w:rFonts w:hint="eastAsia"/>
      </w:rPr>
    </w:lvl>
  </w:abstractNum>
  <w:abstractNum w:abstractNumId="6">
    <w:nsid w:val="FF1EE92D"/>
    <w:multiLevelType w:val="singleLevel"/>
    <w:tmpl w:val="FF1EE92D"/>
    <w:lvl w:ilvl="0" w:tentative="0">
      <w:start w:val="1"/>
      <w:numFmt w:val="decimal"/>
      <w:suff w:val="nothing"/>
      <w:lvlText w:val="%1、"/>
      <w:lvlJc w:val="left"/>
    </w:lvl>
  </w:abstractNum>
  <w:abstractNum w:abstractNumId="7">
    <w:nsid w:val="0C7313AB"/>
    <w:multiLevelType w:val="singleLevel"/>
    <w:tmpl w:val="0C7313AB"/>
    <w:lvl w:ilvl="0" w:tentative="0">
      <w:start w:val="10"/>
      <w:numFmt w:val="chineseCounting"/>
      <w:suff w:val="nothing"/>
      <w:lvlText w:val="%1、"/>
      <w:lvlJc w:val="left"/>
      <w:rPr>
        <w:rFonts w:hint="eastAsia"/>
      </w:rPr>
    </w:lvl>
  </w:abstractNum>
  <w:abstractNum w:abstractNumId="8">
    <w:nsid w:val="14FE84D3"/>
    <w:multiLevelType w:val="singleLevel"/>
    <w:tmpl w:val="14FE84D3"/>
    <w:lvl w:ilvl="0" w:tentative="0">
      <w:start w:val="1"/>
      <w:numFmt w:val="chineseCounting"/>
      <w:suff w:val="nothing"/>
      <w:lvlText w:val="（%1）"/>
      <w:lvlJc w:val="left"/>
      <w:rPr>
        <w:rFonts w:hint="eastAsia"/>
      </w:rPr>
    </w:lvl>
  </w:abstractNum>
  <w:abstractNum w:abstractNumId="9">
    <w:nsid w:val="76F5CAF4"/>
    <w:multiLevelType w:val="singleLevel"/>
    <w:tmpl w:val="76F5CAF4"/>
    <w:lvl w:ilvl="0" w:tentative="0">
      <w:start w:val="1"/>
      <w:numFmt w:val="chineseCounting"/>
      <w:suff w:val="nothing"/>
      <w:lvlText w:val="%1、"/>
      <w:lvlJc w:val="left"/>
      <w:rPr>
        <w:rFonts w:hint="eastAsia"/>
      </w:rPr>
    </w:lvl>
  </w:abstractNum>
  <w:num w:numId="1">
    <w:abstractNumId w:val="1"/>
  </w:num>
  <w:num w:numId="2">
    <w:abstractNumId w:val="9"/>
  </w:num>
  <w:num w:numId="3">
    <w:abstractNumId w:val="5"/>
  </w:num>
  <w:num w:numId="4">
    <w:abstractNumId w:val="4"/>
  </w:num>
  <w:num w:numId="5">
    <w:abstractNumId w:val="3"/>
  </w:num>
  <w:num w:numId="6">
    <w:abstractNumId w:val="8"/>
  </w:num>
  <w:num w:numId="7">
    <w:abstractNumId w:val="6"/>
  </w:num>
  <w:num w:numId="8">
    <w:abstractNumId w:val="2"/>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iODkwMTFlOGMzZjgwMzIzNmY4NTgzNzU3NjM3NjIifQ=="/>
  </w:docVars>
  <w:rsids>
    <w:rsidRoot w:val="701F3963"/>
    <w:rsid w:val="108B6AA1"/>
    <w:rsid w:val="11C55BC3"/>
    <w:rsid w:val="1AA0138C"/>
    <w:rsid w:val="1E4A3485"/>
    <w:rsid w:val="28480CE5"/>
    <w:rsid w:val="2C0E57AE"/>
    <w:rsid w:val="2C6F26D7"/>
    <w:rsid w:val="2D8A73A9"/>
    <w:rsid w:val="35532A41"/>
    <w:rsid w:val="4AC62810"/>
    <w:rsid w:val="4BE554DD"/>
    <w:rsid w:val="4F8660F6"/>
    <w:rsid w:val="51E80E30"/>
    <w:rsid w:val="60B14C6D"/>
    <w:rsid w:val="681C16CB"/>
    <w:rsid w:val="6AA13B95"/>
    <w:rsid w:val="6D80034B"/>
    <w:rsid w:val="701F3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100" w:beforeLines="0" w:beforeAutospacing="0" w:after="90" w:afterLines="0" w:afterAutospacing="0" w:line="576" w:lineRule="auto"/>
      <w:jc w:val="center"/>
      <w:outlineLvl w:val="0"/>
    </w:pPr>
    <w:rPr>
      <w:rFonts w:eastAsia="华文楷体" w:asciiTheme="minorAscii" w:hAnsiTheme="minorAscii"/>
      <w:b/>
      <w:kern w:val="44"/>
      <w:sz w:val="44"/>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5">
    <w:name w:val="toc 1"/>
    <w:basedOn w:val="1"/>
    <w:next w:val="1"/>
    <w:qFormat/>
    <w:uiPriority w:val="0"/>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4235</Words>
  <Characters>4522</Characters>
  <Lines>0</Lines>
  <Paragraphs>0</Paragraphs>
  <TotalTime>18</TotalTime>
  <ScaleCrop>false</ScaleCrop>
  <LinksUpToDate>false</LinksUpToDate>
  <CharactersWithSpaces>5198</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2021-08-28T09:56:00Z</dcterms:created>
  <dc:creator>YM</dc:creator>
  <cp:lastModifiedBy>X (^_^)Y</cp:lastModifiedBy>
  <cp:lastPrinted>2022-07-26T04:57:48Z</cp:lastPrinted>
  <dcterms:modified xsi:type="dcterms:W3CDTF">2022-07-26T04:59:11Z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FCEEBA7C52264FA3BF7BE6364C4645DD</vt:lpwstr>
  </property>
</Properties>
</file>