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highlight w:val="none"/>
        </w:rPr>
      </w:pPr>
      <w:r>
        <w:rPr>
          <w:rFonts w:ascii="宋体" w:hAnsi="宋体" w:eastAsia="宋体" w:cs="宋体"/>
          <w:sz w:val="24"/>
          <w:szCs w:val="24"/>
        </w:rPr>
        <w:drawing>
          <wp:inline distT="0" distB="0" distL="114300" distR="114300">
            <wp:extent cx="538480" cy="613410"/>
            <wp:effectExtent l="0" t="0" r="13970" b="1524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11"/>
                    <a:stretch>
                      <a:fillRect/>
                    </a:stretch>
                  </pic:blipFill>
                  <pic:spPr>
                    <a:xfrm>
                      <a:off x="0" y="0"/>
                      <a:ext cx="538480" cy="613410"/>
                    </a:xfrm>
                    <a:prstGeom prst="rect">
                      <a:avLst/>
                    </a:prstGeom>
                    <a:noFill/>
                    <a:ln w="9525">
                      <a:noFill/>
                    </a:ln>
                  </pic:spPr>
                </pic:pic>
              </a:graphicData>
            </a:graphic>
          </wp:inline>
        </w:drawing>
      </w:r>
    </w:p>
    <w:p>
      <w:pPr>
        <w:rPr>
          <w:rFonts w:hint="eastAsia" w:ascii="仿宋_GB2312" w:hAnsi="宋体" w:eastAsia="仿宋_GB2312"/>
          <w:highlight w:val="none"/>
        </w:rPr>
      </w:pPr>
    </w:p>
    <w:p>
      <w:pPr>
        <w:rPr>
          <w:rFonts w:hint="eastAsia" w:ascii="仿宋_GB2312" w:hAnsi="宋体" w:eastAsia="仿宋_GB2312"/>
          <w:highlight w:val="none"/>
        </w:rPr>
      </w:pPr>
    </w:p>
    <w:p>
      <w:pPr>
        <w:rPr>
          <w:rFonts w:hint="eastAsia" w:ascii="仿宋_GB2312" w:hAnsi="宋体" w:eastAsia="仿宋_GB2312"/>
          <w:highlight w:val="none"/>
        </w:rPr>
      </w:pPr>
    </w:p>
    <w:p>
      <w:pPr>
        <w:rPr>
          <w:rFonts w:hint="eastAsia" w:ascii="仿宋_GB2312" w:hAnsi="宋体" w:eastAsia="仿宋_GB2312"/>
          <w:highlight w:val="none"/>
        </w:rPr>
      </w:pPr>
    </w:p>
    <w:p>
      <w:pPr>
        <w:rPr>
          <w:rFonts w:hint="eastAsia" w:ascii="仿宋_GB2312" w:hAnsi="宋体" w:eastAsia="仿宋_GB2312"/>
          <w:highlight w:val="none"/>
        </w:rPr>
      </w:pPr>
    </w:p>
    <w:p>
      <w:pPr>
        <w:rPr>
          <w:rFonts w:hint="eastAsia" w:ascii="仿宋_GB2312" w:hAnsi="宋体" w:eastAsia="仿宋_GB2312"/>
          <w:highlight w:val="none"/>
        </w:rPr>
      </w:pPr>
    </w:p>
    <w:p>
      <w:pPr>
        <w:rPr>
          <w:rFonts w:hint="eastAsia" w:ascii="仿宋_GB2312" w:hAnsi="宋体" w:eastAsia="仿宋_GB2312"/>
          <w:highlight w:val="none"/>
        </w:rPr>
      </w:pPr>
    </w:p>
    <w:p>
      <w:pPr>
        <w:rPr>
          <w:rFonts w:hint="eastAsia" w:ascii="仿宋_GB2312" w:hAnsi="宋体" w:eastAsia="仿宋_GB2312"/>
          <w:highlight w:val="none"/>
          <w:lang w:val="en-US" w:eastAsia="zh-CN"/>
        </w:rPr>
      </w:pPr>
    </w:p>
    <w:p>
      <w:pPr>
        <w:rPr>
          <w:rFonts w:hint="eastAsia" w:ascii="仿宋_GB2312" w:hAnsi="宋体" w:eastAsia="仿宋_GB2312"/>
          <w:highlight w:val="none"/>
          <w:lang w:val="en-US" w:eastAsia="zh-CN"/>
        </w:rPr>
      </w:pPr>
    </w:p>
    <w:p>
      <w:pPr>
        <w:rPr>
          <w:rFonts w:hint="eastAsia" w:ascii="仿宋_GB2312" w:hAnsi="宋体" w:eastAsia="仿宋_GB2312"/>
          <w:highlight w:val="none"/>
          <w:lang w:val="en-US" w:eastAsia="zh-CN"/>
        </w:rPr>
      </w:pPr>
    </w:p>
    <w:p>
      <w:pPr>
        <w:jc w:val="center"/>
        <w:rPr>
          <w:rFonts w:hint="eastAsia" w:ascii="仿宋_GB2312" w:hAnsi="宋体" w:eastAsia="仿宋_GB2312"/>
          <w:sz w:val="44"/>
          <w:szCs w:val="44"/>
          <w:highlight w:val="none"/>
        </w:rPr>
      </w:pPr>
      <w:r>
        <w:rPr>
          <w:rFonts w:hint="eastAsia" w:ascii="仿宋_GB2312" w:hAnsi="宋体" w:eastAsia="仿宋_GB2312"/>
          <w:sz w:val="44"/>
          <w:szCs w:val="44"/>
          <w:highlight w:val="none"/>
        </w:rPr>
        <w:t>涉执房地产处置司法评估报告</w:t>
      </w: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spacing w:line="560" w:lineRule="exact"/>
        <w:ind w:left="2559" w:leftChars="152" w:hanging="2240" w:hangingChars="700"/>
        <w:rPr>
          <w:rFonts w:hint="eastAsia" w:ascii="仿宋_GB2312" w:hAnsi="宋体" w:eastAsia="仿宋_GB2312"/>
          <w:spacing w:val="-20"/>
          <w:sz w:val="32"/>
          <w:szCs w:val="32"/>
          <w:highlight w:val="none"/>
        </w:rPr>
      </w:pPr>
      <w:r>
        <w:rPr>
          <w:rFonts w:hint="eastAsia" w:ascii="仿宋_GB2312" w:hAnsi="宋体" w:eastAsia="仿宋_GB2312"/>
          <w:sz w:val="32"/>
          <w:szCs w:val="32"/>
          <w:highlight w:val="none"/>
        </w:rPr>
        <w:t>估价项目名称：</w:t>
      </w:r>
      <w:r>
        <w:rPr>
          <w:rFonts w:hint="eastAsia" w:ascii="仿宋_GB2312" w:hAnsi="宋体" w:eastAsia="仿宋_GB2312"/>
          <w:spacing w:val="-6"/>
          <w:sz w:val="32"/>
          <w:szCs w:val="32"/>
          <w:highlight w:val="none"/>
          <w:lang w:eastAsia="zh-CN"/>
        </w:rPr>
        <w:t>大余县黄龙镇长胜村竹子桥住宅</w:t>
      </w:r>
      <w:r>
        <w:rPr>
          <w:rFonts w:hint="eastAsia" w:ascii="仿宋_GB2312" w:hAnsi="宋体" w:eastAsia="仿宋_GB2312"/>
          <w:spacing w:val="-6"/>
          <w:sz w:val="32"/>
          <w:szCs w:val="32"/>
          <w:highlight w:val="none"/>
          <w:lang w:val="en-US" w:eastAsia="zh-CN"/>
        </w:rPr>
        <w:t>房地产</w:t>
      </w:r>
      <w:r>
        <w:rPr>
          <w:rFonts w:hint="eastAsia" w:ascii="仿宋_GB2312" w:hAnsi="宋体" w:eastAsia="仿宋_GB2312"/>
          <w:spacing w:val="-6"/>
          <w:sz w:val="32"/>
          <w:szCs w:val="32"/>
          <w:highlight w:val="none"/>
        </w:rPr>
        <w:t>市场</w:t>
      </w:r>
      <w:r>
        <w:rPr>
          <w:rFonts w:hint="eastAsia" w:ascii="仿宋_GB2312" w:hAnsi="宋体" w:eastAsia="仿宋_GB2312"/>
          <w:spacing w:val="-6"/>
          <w:sz w:val="32"/>
          <w:szCs w:val="32"/>
          <w:highlight w:val="none"/>
          <w:lang w:val="en-US" w:eastAsia="zh-CN"/>
        </w:rPr>
        <w:t>价格</w:t>
      </w:r>
      <w:r>
        <w:rPr>
          <w:rFonts w:hint="eastAsia" w:ascii="仿宋_GB2312" w:hAnsi="宋体" w:eastAsia="仿宋_GB2312"/>
          <w:spacing w:val="-6"/>
          <w:sz w:val="32"/>
          <w:szCs w:val="32"/>
          <w:highlight w:val="none"/>
        </w:rPr>
        <w:t>评估</w:t>
      </w:r>
    </w:p>
    <w:p>
      <w:pPr>
        <w:spacing w:line="560" w:lineRule="exact"/>
        <w:ind w:left="3007" w:leftChars="152" w:hanging="2688" w:hangingChars="700"/>
        <w:rPr>
          <w:rFonts w:hint="eastAsia" w:ascii="仿宋_GB2312" w:hAnsi="宋体" w:eastAsia="仿宋_GB2312"/>
          <w:sz w:val="32"/>
          <w:szCs w:val="32"/>
          <w:highlight w:val="none"/>
        </w:rPr>
      </w:pPr>
      <w:r>
        <w:rPr>
          <w:rFonts w:hint="eastAsia" w:ascii="仿宋_GB2312" w:hAnsi="宋体" w:eastAsia="仿宋_GB2312"/>
          <w:spacing w:val="32"/>
          <w:sz w:val="32"/>
          <w:szCs w:val="32"/>
          <w:highlight w:val="none"/>
        </w:rPr>
        <w:t>估价委托人：</w:t>
      </w:r>
      <w:r>
        <w:rPr>
          <w:rFonts w:hint="eastAsia" w:ascii="仿宋_GB2312" w:hAnsi="宋体" w:eastAsia="仿宋_GB2312"/>
          <w:sz w:val="32"/>
          <w:szCs w:val="32"/>
          <w:highlight w:val="none"/>
          <w:lang w:eastAsia="zh-CN"/>
        </w:rPr>
        <w:t>大余县人民法院</w:t>
      </w:r>
    </w:p>
    <w:p>
      <w:pPr>
        <w:spacing w:line="560" w:lineRule="exact"/>
        <w:ind w:firstLine="320" w:firstLineChars="100"/>
        <w:rPr>
          <w:rFonts w:hint="eastAsia" w:ascii="仿宋_GB2312" w:hAnsi="宋体" w:eastAsia="仿宋_GB2312"/>
          <w:sz w:val="32"/>
          <w:szCs w:val="32"/>
          <w:highlight w:val="none"/>
          <w:lang w:val="en-US"/>
        </w:rPr>
      </w:pPr>
      <w:r>
        <w:rPr>
          <w:rFonts w:hint="eastAsia" w:ascii="仿宋_GB2312" w:hAnsi="宋体" w:eastAsia="仿宋_GB2312"/>
          <w:sz w:val="32"/>
          <w:szCs w:val="32"/>
          <w:highlight w:val="none"/>
        </w:rPr>
        <w:t>产   权   人 ：</w:t>
      </w:r>
      <w:r>
        <w:rPr>
          <w:rFonts w:hint="eastAsia" w:ascii="仿宋_GB2312" w:hAnsi="宋体" w:eastAsia="仿宋_GB2312"/>
          <w:sz w:val="32"/>
          <w:szCs w:val="32"/>
          <w:highlight w:val="none"/>
          <w:lang w:eastAsia="zh-CN"/>
        </w:rPr>
        <w:t>谢文君、刘彩花</w:t>
      </w:r>
    </w:p>
    <w:p>
      <w:pPr>
        <w:spacing w:line="560" w:lineRule="exact"/>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 xml:space="preserve">  估   价   方：</w:t>
      </w:r>
      <w:r>
        <w:rPr>
          <w:rFonts w:hint="eastAsia" w:ascii="仿宋_GB2312" w:hAnsi="宋体" w:eastAsia="仿宋_GB2312"/>
          <w:sz w:val="32"/>
          <w:szCs w:val="32"/>
          <w:highlight w:val="none"/>
          <w:lang w:eastAsia="zh-CN"/>
        </w:rPr>
        <w:t>江西新源洪城房地产土地资产评估有限公司</w:t>
      </w:r>
    </w:p>
    <w:p>
      <w:pPr>
        <w:spacing w:line="560" w:lineRule="exact"/>
        <w:ind w:firstLine="320" w:firstLineChars="1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估  价 人 员：</w:t>
      </w:r>
      <w:r>
        <w:rPr>
          <w:rFonts w:hint="eastAsia" w:ascii="仿宋_GB2312" w:hAnsi="宋体" w:eastAsia="仿宋_GB2312"/>
          <w:sz w:val="32"/>
          <w:szCs w:val="32"/>
          <w:highlight w:val="none"/>
          <w:lang w:eastAsia="zh-CN"/>
        </w:rPr>
        <w:t>张泗芳</w:t>
      </w:r>
      <w:r>
        <w:rPr>
          <w:rFonts w:hint="eastAsia" w:ascii="仿宋_GB2312" w:hAnsi="宋体" w:eastAsia="仿宋_GB2312"/>
          <w:sz w:val="32"/>
          <w:szCs w:val="32"/>
          <w:highlight w:val="none"/>
        </w:rPr>
        <w:t xml:space="preserve">    </w:t>
      </w:r>
      <w:r>
        <w:rPr>
          <w:rFonts w:hint="eastAsia" w:ascii="仿宋_GB2312" w:hAnsi="宋体" w:eastAsia="仿宋_GB2312"/>
          <w:sz w:val="32"/>
          <w:szCs w:val="32"/>
          <w:highlight w:val="none"/>
          <w:lang w:eastAsia="zh-CN"/>
        </w:rPr>
        <w:t>4420110222</w:t>
      </w:r>
    </w:p>
    <w:p>
      <w:pPr>
        <w:spacing w:line="560" w:lineRule="exact"/>
        <w:ind w:firstLine="2560" w:firstLineChars="8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汪文春</w:t>
      </w:r>
      <w:r>
        <w:rPr>
          <w:rFonts w:hint="eastAsia" w:ascii="仿宋_GB2312" w:hAnsi="宋体" w:eastAsia="仿宋_GB2312"/>
          <w:sz w:val="32"/>
          <w:szCs w:val="32"/>
          <w:highlight w:val="none"/>
        </w:rPr>
        <w:t xml:space="preserve">    </w:t>
      </w:r>
      <w:r>
        <w:rPr>
          <w:rFonts w:hint="eastAsia" w:ascii="仿宋_GB2312" w:hAnsi="宋体" w:eastAsia="仿宋_GB2312"/>
          <w:sz w:val="32"/>
          <w:szCs w:val="32"/>
          <w:highlight w:val="none"/>
          <w:lang w:eastAsia="zh-CN"/>
        </w:rPr>
        <w:t>3619970062</w:t>
      </w:r>
    </w:p>
    <w:p>
      <w:pPr>
        <w:spacing w:line="560" w:lineRule="exact"/>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rPr>
        <w:t xml:space="preserve">  估价报告出具日期：</w:t>
      </w:r>
      <w:r>
        <w:rPr>
          <w:rFonts w:hint="eastAsia" w:ascii="仿宋_GB2312" w:hAnsi="宋体" w:eastAsia="仿宋_GB2312"/>
          <w:sz w:val="32"/>
          <w:szCs w:val="32"/>
          <w:highlight w:val="none"/>
          <w:lang w:eastAsia="zh-CN"/>
        </w:rPr>
        <w:t>2022年5月24日</w:t>
      </w:r>
      <w:r>
        <w:rPr>
          <w:rFonts w:hint="eastAsia" w:ascii="仿宋_GB2312" w:hAnsi="宋体" w:eastAsia="仿宋_GB2312"/>
          <w:sz w:val="32"/>
          <w:szCs w:val="32"/>
          <w:highlight w:val="none"/>
          <w:lang w:val="en-US" w:eastAsia="zh-CN"/>
        </w:rPr>
        <w:t xml:space="preserve"> </w:t>
      </w:r>
    </w:p>
    <w:p>
      <w:pPr>
        <w:tabs>
          <w:tab w:val="left" w:pos="315"/>
        </w:tabs>
        <w:spacing w:line="560" w:lineRule="exact"/>
        <w:ind w:firstLine="320" w:firstLineChars="100"/>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估价报告编号：新洪房估字[202</w:t>
      </w:r>
      <w:r>
        <w:rPr>
          <w:rFonts w:hint="eastAsia" w:ascii="仿宋_GB2312" w:hAnsi="宋体" w:eastAsia="仿宋_GB2312"/>
          <w:color w:val="000000"/>
          <w:sz w:val="32"/>
          <w:szCs w:val="32"/>
          <w:highlight w:val="none"/>
          <w:lang w:val="en-US" w:eastAsia="zh-CN"/>
        </w:rPr>
        <w:t>2</w:t>
      </w:r>
      <w:r>
        <w:rPr>
          <w:rFonts w:hint="eastAsia" w:ascii="仿宋_GB2312" w:hAnsi="宋体" w:eastAsia="仿宋_GB2312"/>
          <w:color w:val="000000"/>
          <w:sz w:val="32"/>
          <w:szCs w:val="32"/>
          <w:highlight w:val="none"/>
        </w:rPr>
        <w:t>]第</w:t>
      </w:r>
      <w:r>
        <w:rPr>
          <w:rFonts w:hint="eastAsia" w:ascii="仿宋_GB2312" w:hAnsi="宋体" w:eastAsia="仿宋_GB2312"/>
          <w:color w:val="000000"/>
          <w:sz w:val="32"/>
          <w:szCs w:val="32"/>
          <w:highlight w:val="none"/>
          <w:lang w:val="en-US" w:eastAsia="zh-CN"/>
        </w:rPr>
        <w:t>184</w:t>
      </w:r>
      <w:r>
        <w:rPr>
          <w:rFonts w:hint="eastAsia" w:ascii="仿宋_GB2312" w:hAnsi="宋体" w:eastAsia="仿宋_GB2312"/>
          <w:color w:val="000000"/>
          <w:sz w:val="32"/>
          <w:szCs w:val="32"/>
          <w:highlight w:val="none"/>
        </w:rPr>
        <w:t>号</w:t>
      </w:r>
    </w:p>
    <w:p>
      <w:pPr>
        <w:spacing w:line="300" w:lineRule="exact"/>
        <w:jc w:val="center"/>
        <w:rPr>
          <w:rFonts w:hint="eastAsia" w:ascii="仿宋_GB2312" w:hAnsi="宋体" w:eastAsia="仿宋_GB2312"/>
          <w:b/>
          <w:sz w:val="32"/>
          <w:szCs w:val="32"/>
          <w:highlight w:val="none"/>
        </w:rPr>
      </w:pPr>
    </w:p>
    <w:p>
      <w:pPr>
        <w:spacing w:line="520" w:lineRule="exact"/>
        <w:jc w:val="center"/>
        <w:rPr>
          <w:rFonts w:hint="eastAsia" w:ascii="仿宋_GB2312" w:hAnsi="宋体" w:eastAsia="仿宋_GB2312"/>
          <w:b/>
          <w:sz w:val="32"/>
          <w:szCs w:val="32"/>
          <w:highlight w:val="none"/>
        </w:rPr>
      </w:pPr>
      <w:r>
        <w:rPr>
          <w:rFonts w:hint="eastAsia" w:ascii="仿宋_GB2312" w:hAnsi="宋体" w:eastAsia="仿宋_GB2312"/>
          <w:b/>
          <w:sz w:val="32"/>
          <w:szCs w:val="32"/>
          <w:highlight w:val="none"/>
        </w:rPr>
        <w:t>致估价委托人函</w:t>
      </w:r>
    </w:p>
    <w:p>
      <w:pPr>
        <w:spacing w:line="540" w:lineRule="exact"/>
        <w:rPr>
          <w:rFonts w:hint="eastAsia" w:ascii="仿宋_GB2312" w:hAnsi="仿宋_GB2312" w:eastAsia="仿宋_GB2312"/>
          <w:b/>
          <w:sz w:val="28"/>
          <w:szCs w:val="28"/>
          <w:highlight w:val="none"/>
        </w:rPr>
      </w:pPr>
      <w:r>
        <w:rPr>
          <w:rFonts w:hint="eastAsia" w:ascii="仿宋_GB2312" w:hAnsi="仿宋_GB2312" w:eastAsia="仿宋_GB2312"/>
          <w:b/>
          <w:sz w:val="28"/>
          <w:szCs w:val="28"/>
          <w:highlight w:val="none"/>
          <w:lang w:eastAsia="zh-CN"/>
        </w:rPr>
        <w:t>大余县人民法院</w:t>
      </w:r>
      <w:r>
        <w:rPr>
          <w:rFonts w:hint="eastAsia" w:ascii="仿宋_GB2312" w:hAnsi="仿宋_GB2312" w:eastAsia="仿宋_GB2312"/>
          <w:b/>
          <w:sz w:val="28"/>
          <w:szCs w:val="28"/>
          <w:highlight w:val="none"/>
        </w:rPr>
        <w:t>：</w:t>
      </w:r>
    </w:p>
    <w:p>
      <w:pPr>
        <w:spacing w:line="460" w:lineRule="exact"/>
        <w:ind w:left="2" w:leftChars="1" w:firstLine="560" w:firstLineChars="200"/>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rPr>
        <w:t>应贵院的书面委托[</w:t>
      </w:r>
      <w:r>
        <w:rPr>
          <w:rFonts w:hint="eastAsia" w:ascii="仿宋_GB2312" w:hAnsi="宋体" w:eastAsia="仿宋_GB2312"/>
          <w:sz w:val="28"/>
          <w:szCs w:val="28"/>
          <w:highlight w:val="none"/>
          <w:lang w:val="en-US" w:eastAsia="zh-CN"/>
        </w:rPr>
        <w:t>案号：（2022）赣0723执262号</w:t>
      </w:r>
      <w:r>
        <w:rPr>
          <w:rFonts w:hint="eastAsia" w:ascii="仿宋_GB2312" w:hAnsi="宋体" w:eastAsia="仿宋_GB2312"/>
          <w:sz w:val="28"/>
          <w:szCs w:val="28"/>
          <w:highlight w:val="none"/>
        </w:rPr>
        <w:t>]，我公司派遣房地产专业估价人员，就贵院</w:t>
      </w:r>
      <w:r>
        <w:rPr>
          <w:rFonts w:hint="eastAsia" w:ascii="仿宋_GB2312" w:hAnsi="宋体" w:eastAsia="仿宋_GB2312"/>
          <w:sz w:val="28"/>
          <w:szCs w:val="28"/>
          <w:highlight w:val="none"/>
          <w:lang w:eastAsia="zh-CN"/>
        </w:rPr>
        <w:t>在执行申请执行人中国建设银行股份有限公司大余支行与被执行人谢文君、刘彩花借款合同纠纷一案中涉及的</w:t>
      </w:r>
      <w:r>
        <w:rPr>
          <w:rFonts w:hint="eastAsia" w:ascii="仿宋_GB2312" w:hAnsi="宋体" w:eastAsia="仿宋_GB2312"/>
          <w:sz w:val="28"/>
          <w:szCs w:val="28"/>
          <w:highlight w:val="none"/>
        </w:rPr>
        <w:t>被执行人</w:t>
      </w:r>
      <w:r>
        <w:rPr>
          <w:rFonts w:hint="eastAsia" w:ascii="仿宋_GB2312" w:hAnsi="宋体" w:eastAsia="仿宋_GB2312"/>
          <w:sz w:val="28"/>
          <w:szCs w:val="28"/>
          <w:highlight w:val="none"/>
          <w:lang w:val="en-US" w:eastAsia="zh-CN"/>
        </w:rPr>
        <w:t>谢文君、刘彩花</w:t>
      </w:r>
      <w:r>
        <w:rPr>
          <w:rFonts w:hint="eastAsia" w:ascii="仿宋_GB2312" w:hAnsi="宋体" w:eastAsia="仿宋_GB2312"/>
          <w:sz w:val="28"/>
          <w:szCs w:val="28"/>
          <w:highlight w:val="none"/>
        </w:rPr>
        <w:t>名下的位于</w:t>
      </w:r>
      <w:r>
        <w:rPr>
          <w:rFonts w:hint="eastAsia" w:ascii="仿宋_GB2312" w:hAnsi="宋体" w:eastAsia="仿宋_GB2312"/>
          <w:sz w:val="28"/>
          <w:szCs w:val="28"/>
          <w:highlight w:val="none"/>
          <w:lang w:val="en-US" w:eastAsia="zh-CN"/>
        </w:rPr>
        <w:t>大余县黄龙镇长胜村竹子桥住宅</w:t>
      </w:r>
      <w:r>
        <w:rPr>
          <w:rFonts w:hint="eastAsia" w:ascii="仿宋_GB2312" w:hAnsi="宋体" w:eastAsia="仿宋_GB2312"/>
          <w:sz w:val="28"/>
          <w:szCs w:val="28"/>
          <w:highlight w:val="none"/>
        </w:rPr>
        <w:t>房地产的市场</w:t>
      </w:r>
      <w:r>
        <w:rPr>
          <w:rFonts w:hint="eastAsia" w:ascii="仿宋_GB2312" w:hAnsi="宋体" w:eastAsia="仿宋_GB2312"/>
          <w:sz w:val="28"/>
          <w:szCs w:val="28"/>
          <w:highlight w:val="none"/>
          <w:lang w:val="en-US" w:eastAsia="zh-CN"/>
        </w:rPr>
        <w:t>价格</w:t>
      </w:r>
      <w:r>
        <w:rPr>
          <w:rFonts w:hint="eastAsia" w:ascii="仿宋_GB2312" w:hAnsi="宋体" w:eastAsia="仿宋_GB2312"/>
          <w:sz w:val="28"/>
          <w:szCs w:val="28"/>
          <w:highlight w:val="none"/>
        </w:rPr>
        <w:t>进行评估，为贵院</w:t>
      </w:r>
      <w:r>
        <w:rPr>
          <w:rFonts w:hint="eastAsia" w:ascii="仿宋_GB2312" w:hAnsi="宋体" w:eastAsia="仿宋_GB2312"/>
          <w:sz w:val="28"/>
          <w:szCs w:val="28"/>
          <w:highlight w:val="none"/>
          <w:lang w:eastAsia="zh-CN"/>
        </w:rPr>
        <w:t>确定财产</w:t>
      </w:r>
      <w:r>
        <w:rPr>
          <w:rFonts w:hint="eastAsia" w:ascii="仿宋_GB2312" w:hAnsi="宋体" w:eastAsia="仿宋_GB2312"/>
          <w:sz w:val="28"/>
          <w:szCs w:val="28"/>
          <w:highlight w:val="none"/>
        </w:rPr>
        <w:t>处置</w:t>
      </w:r>
      <w:r>
        <w:rPr>
          <w:rFonts w:hint="eastAsia" w:ascii="仿宋_GB2312" w:hAnsi="宋体" w:eastAsia="仿宋_GB2312"/>
          <w:sz w:val="28"/>
          <w:szCs w:val="28"/>
          <w:highlight w:val="none"/>
          <w:lang w:eastAsia="zh-CN"/>
        </w:rPr>
        <w:t>参考价</w:t>
      </w:r>
      <w:r>
        <w:rPr>
          <w:rFonts w:hint="eastAsia" w:ascii="仿宋_GB2312" w:hAnsi="宋体" w:eastAsia="仿宋_GB2312"/>
          <w:sz w:val="28"/>
          <w:szCs w:val="28"/>
          <w:highlight w:val="none"/>
        </w:rPr>
        <w:t>提供</w:t>
      </w:r>
      <w:r>
        <w:rPr>
          <w:rFonts w:hint="eastAsia" w:ascii="仿宋_GB2312" w:hAnsi="宋体" w:eastAsia="仿宋_GB2312"/>
          <w:sz w:val="28"/>
          <w:szCs w:val="28"/>
          <w:highlight w:val="none"/>
          <w:lang w:eastAsia="zh-CN"/>
        </w:rPr>
        <w:t>参考</w:t>
      </w:r>
      <w:r>
        <w:rPr>
          <w:rFonts w:hint="eastAsia" w:ascii="仿宋_GB2312" w:hAnsi="宋体" w:eastAsia="仿宋_GB2312"/>
          <w:sz w:val="28"/>
          <w:szCs w:val="28"/>
          <w:highlight w:val="none"/>
        </w:rPr>
        <w:t>依据。</w:t>
      </w:r>
    </w:p>
    <w:p>
      <w:pPr>
        <w:spacing w:line="460" w:lineRule="exact"/>
        <w:ind w:left="2" w:leftChars="1" w:firstLine="560" w:firstLineChars="200"/>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rPr>
        <w:t>由实地查看取得的及估价委托人提供的资料，结合平时估价实践中积累的资料、经验，我公司房地产专业估价人员根据估价目的，遵循估价原则，按照估价程序，选用</w:t>
      </w:r>
      <w:r>
        <w:rPr>
          <w:rFonts w:hint="eastAsia" w:ascii="仿宋_GB2312" w:hAnsi="宋体" w:eastAsia="仿宋_GB2312"/>
          <w:sz w:val="28"/>
          <w:szCs w:val="28"/>
          <w:highlight w:val="none"/>
          <w:lang w:val="en-US" w:eastAsia="zh-CN"/>
        </w:rPr>
        <w:t>比较</w:t>
      </w:r>
      <w:r>
        <w:rPr>
          <w:rFonts w:hint="eastAsia" w:ascii="仿宋_GB2312" w:hAnsi="宋体" w:eastAsia="仿宋_GB2312"/>
          <w:sz w:val="28"/>
          <w:szCs w:val="28"/>
          <w:highlight w:val="none"/>
        </w:rPr>
        <w:t>法，并在综合分析影响估价对象房地产价值因素的基础上，对估价对象在</w:t>
      </w:r>
      <w:r>
        <w:rPr>
          <w:rFonts w:hint="eastAsia" w:ascii="仿宋_GB2312" w:hAnsi="宋体" w:eastAsia="仿宋_GB2312"/>
          <w:sz w:val="28"/>
          <w:szCs w:val="28"/>
          <w:highlight w:val="none"/>
          <w:lang w:eastAsia="zh-CN"/>
        </w:rPr>
        <w:t>2022年5月20日</w:t>
      </w:r>
      <w:r>
        <w:rPr>
          <w:rFonts w:hint="eastAsia" w:ascii="仿宋_GB2312" w:hAnsi="宋体" w:eastAsia="仿宋_GB2312"/>
          <w:sz w:val="28"/>
          <w:szCs w:val="28"/>
          <w:highlight w:val="none"/>
        </w:rPr>
        <w:t>的客观合理价值进行估算和判定，得出估价结果——估价对象评估价值</w:t>
      </w:r>
      <w:r>
        <w:rPr>
          <w:rFonts w:hint="eastAsia" w:ascii="仿宋_GB2312" w:hAnsi="宋体" w:eastAsia="仿宋_GB2312"/>
          <w:sz w:val="28"/>
          <w:szCs w:val="28"/>
          <w:highlight w:val="none"/>
          <w:lang w:val="en-US" w:eastAsia="zh-CN"/>
        </w:rPr>
        <w:t>为</w:t>
      </w:r>
      <w:r>
        <w:rPr>
          <w:rFonts w:hint="eastAsia" w:ascii="仿宋_GB2312" w:hAnsi="宋体" w:eastAsia="仿宋_GB2312"/>
          <w:sz w:val="28"/>
          <w:szCs w:val="28"/>
          <w:highlight w:val="none"/>
        </w:rPr>
        <w:t>大写人民币</w:t>
      </w:r>
      <w:r>
        <w:rPr>
          <w:rFonts w:hint="eastAsia" w:ascii="仿宋_GB2312" w:hAnsi="宋体" w:eastAsia="仿宋_GB2312"/>
          <w:b/>
          <w:bCs/>
          <w:sz w:val="28"/>
          <w:szCs w:val="28"/>
          <w:highlight w:val="none"/>
        </w:rPr>
        <w:fldChar w:fldCharType="begin"/>
      </w:r>
      <w:r>
        <w:rPr>
          <w:rFonts w:hint="eastAsia" w:ascii="仿宋_GB2312" w:hAnsi="宋体" w:eastAsia="仿宋_GB2312"/>
          <w:b/>
          <w:bCs/>
          <w:sz w:val="28"/>
          <w:szCs w:val="28"/>
          <w:highlight w:val="none"/>
        </w:rPr>
        <w:instrText xml:space="preserve"> = 1057700 \* CHINESENUM2 \* MERGEFORMAT </w:instrText>
      </w:r>
      <w:r>
        <w:rPr>
          <w:rFonts w:hint="eastAsia" w:ascii="仿宋_GB2312" w:hAnsi="宋体" w:eastAsia="仿宋_GB2312"/>
          <w:b/>
          <w:bCs/>
          <w:sz w:val="28"/>
          <w:szCs w:val="28"/>
          <w:highlight w:val="none"/>
        </w:rPr>
        <w:fldChar w:fldCharType="separate"/>
      </w:r>
      <w:r>
        <w:rPr>
          <w:rFonts w:hint="eastAsia" w:ascii="仿宋_GB2312" w:hAnsi="宋体" w:eastAsia="仿宋_GB2312"/>
          <w:b/>
          <w:bCs/>
          <w:sz w:val="28"/>
          <w:szCs w:val="28"/>
          <w:highlight w:val="none"/>
          <w:lang w:eastAsia="zh-CN"/>
        </w:rPr>
        <w:t>叁拾捌万陆仟伍佰</w:t>
      </w:r>
      <w:r>
        <w:rPr>
          <w:rFonts w:hint="eastAsia" w:ascii="仿宋_GB2312" w:hAnsi="宋体" w:eastAsia="仿宋_GB2312"/>
          <w:b/>
          <w:bCs/>
          <w:sz w:val="28"/>
          <w:szCs w:val="28"/>
          <w:highlight w:val="none"/>
        </w:rPr>
        <w:fldChar w:fldCharType="end"/>
      </w:r>
      <w:r>
        <w:rPr>
          <w:rFonts w:hint="eastAsia" w:ascii="仿宋_GB2312" w:hAnsi="宋体" w:eastAsia="仿宋_GB2312"/>
          <w:b/>
          <w:bCs/>
          <w:sz w:val="28"/>
          <w:szCs w:val="28"/>
          <w:highlight w:val="none"/>
          <w:lang w:eastAsia="zh-CN"/>
        </w:rPr>
        <w:t>元整</w:t>
      </w:r>
      <w:r>
        <w:rPr>
          <w:rFonts w:hint="eastAsia" w:ascii="仿宋_GB2312" w:hAnsi="宋体" w:eastAsia="仿宋_GB2312"/>
          <w:b/>
          <w:sz w:val="28"/>
          <w:szCs w:val="28"/>
          <w:highlight w:val="none"/>
        </w:rPr>
        <w:t>（¥</w:t>
      </w:r>
      <w:r>
        <w:rPr>
          <w:rFonts w:hint="eastAsia" w:ascii="仿宋_GB2312" w:hAnsi="宋体" w:eastAsia="仿宋_GB2312"/>
          <w:b/>
          <w:sz w:val="28"/>
          <w:szCs w:val="28"/>
          <w:highlight w:val="none"/>
          <w:lang w:eastAsia="zh-CN"/>
        </w:rPr>
        <w:t>38.65</w:t>
      </w:r>
      <w:r>
        <w:rPr>
          <w:rFonts w:hint="eastAsia" w:ascii="仿宋_GB2312" w:hAnsi="宋体" w:eastAsia="仿宋_GB2312"/>
          <w:b/>
          <w:sz w:val="28"/>
          <w:szCs w:val="28"/>
          <w:highlight w:val="none"/>
          <w:lang w:val="en-US" w:eastAsia="zh-CN"/>
        </w:rPr>
        <w:t>万</w:t>
      </w:r>
      <w:r>
        <w:rPr>
          <w:rFonts w:hint="eastAsia" w:ascii="仿宋_GB2312" w:hAnsi="宋体" w:eastAsia="仿宋_GB2312"/>
          <w:b/>
          <w:sz w:val="28"/>
          <w:szCs w:val="28"/>
          <w:highlight w:val="none"/>
        </w:rPr>
        <w:t>元）</w:t>
      </w:r>
      <w:r>
        <w:rPr>
          <w:rFonts w:hint="eastAsia" w:ascii="仿宋_GB2312" w:hAnsi="宋体" w:eastAsia="仿宋_GB2312"/>
          <w:sz w:val="28"/>
          <w:szCs w:val="28"/>
          <w:highlight w:val="none"/>
        </w:rPr>
        <w:t>。</w:t>
      </w:r>
    </w:p>
    <w:tbl>
      <w:tblPr>
        <w:tblStyle w:val="26"/>
        <w:tblW w:w="9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15"/>
        <w:gridCol w:w="930"/>
        <w:gridCol w:w="1635"/>
        <w:gridCol w:w="442"/>
        <w:gridCol w:w="667"/>
        <w:gridCol w:w="1006"/>
        <w:gridCol w:w="1035"/>
        <w:gridCol w:w="118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jc w:val="center"/>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《不动产权证书》编号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权利人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坐落</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用途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结构</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评估层/总楼层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建筑面积（</w:t>
            </w:r>
            <w:r>
              <w:rPr>
                <w:rFonts w:hint="eastAsia" w:ascii="宋体" w:hAnsi="宋体" w:eastAsia="宋体" w:cs="宋体"/>
                <w:b/>
                <w:bCs/>
                <w:i w:val="0"/>
                <w:iCs w:val="0"/>
                <w:color w:val="000000"/>
                <w:kern w:val="0"/>
                <w:sz w:val="20"/>
                <w:szCs w:val="20"/>
                <w:u w:val="none"/>
                <w:lang w:val="en-US" w:eastAsia="zh-CN" w:bidi="ar"/>
              </w:rPr>
              <w:t>㎡</w:t>
            </w:r>
            <w:r>
              <w:rPr>
                <w:rFonts w:hint="eastAsia" w:ascii="仿宋_GB2312" w:hAnsi="宋体" w:eastAsia="仿宋_GB2312" w:cs="仿宋_GB2312"/>
                <w:b/>
                <w:bCs/>
                <w:i w:val="0"/>
                <w:iCs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评估单价（元/</w:t>
            </w:r>
            <w:r>
              <w:rPr>
                <w:rFonts w:hint="eastAsia" w:ascii="宋体" w:hAnsi="宋体" w:eastAsia="宋体" w:cs="宋体"/>
                <w:b/>
                <w:bCs/>
                <w:i w:val="0"/>
                <w:iCs w:val="0"/>
                <w:color w:val="000000"/>
                <w:kern w:val="0"/>
                <w:sz w:val="20"/>
                <w:szCs w:val="20"/>
                <w:u w:val="none"/>
                <w:lang w:val="en-US" w:eastAsia="zh-CN" w:bidi="ar"/>
              </w:rPr>
              <w:t>㎡</w:t>
            </w:r>
            <w:r>
              <w:rPr>
                <w:rFonts w:hint="eastAsia" w:ascii="仿宋_GB2312" w:hAnsi="宋体" w:eastAsia="仿宋_GB2312" w:cs="仿宋_GB2312"/>
                <w:b/>
                <w:bCs/>
                <w:i w:val="0"/>
                <w:iCs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评估总值（万元）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赣（2017）大余县不动产权第0003514号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谢文君、刘彩花</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大余县黄龙镇长胜村竹子桥</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住宅</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钢混</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152.48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979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bCs/>
                <w:szCs w:val="21"/>
                <w:lang w:bidi="ar"/>
              </w:rPr>
              <w:t>备注:</w:t>
            </w:r>
            <w:r>
              <w:rPr>
                <w:rFonts w:hint="eastAsia" w:ascii="仿宋_GB2312" w:hAnsi="仿宋_GB2312" w:eastAsia="仿宋_GB2312" w:cs="仿宋_GB2312"/>
                <w:bCs/>
                <w:szCs w:val="21"/>
                <w:lang w:val="en-US" w:eastAsia="zh-CN" w:bidi="ar"/>
              </w:rPr>
              <w:t>1、本次估价对象评估价值为房地合一价值，包含房屋所有权、所对应的土地使用权价值</w:t>
            </w:r>
            <w:r>
              <w:rPr>
                <w:rFonts w:hint="eastAsia" w:ascii="仿宋_GB2312" w:hAnsi="宋体" w:eastAsia="仿宋_GB2312"/>
                <w:szCs w:val="21"/>
                <w:lang w:val="en-US" w:eastAsia="zh-CN"/>
              </w:rPr>
              <w:t>以及室内装修价值（水、电、消防等房屋配套设施设备价值、不可拆除的装饰装修价值，不包含家具家电、机器设备、债权债务、特许经营权等其他财产价值）</w:t>
            </w:r>
            <w:r>
              <w:rPr>
                <w:rFonts w:hint="eastAsia" w:ascii="仿宋_GB2312" w:hAnsi="仿宋_GB2312" w:eastAsia="仿宋_GB2312" w:cs="仿宋_GB2312"/>
                <w:szCs w:val="21"/>
                <w:highlight w:val="none"/>
                <w:lang w:eastAsia="zh-CN"/>
              </w:rPr>
              <w:t>。</w:t>
            </w:r>
          </w:p>
          <w:p>
            <w:pPr>
              <w:keepNext w:val="0"/>
              <w:keepLines w:val="0"/>
              <w:widowControl/>
              <w:suppressLineNumbers w:val="0"/>
              <w:ind w:firstLine="420" w:firstLineChars="200"/>
              <w:jc w:val="both"/>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szCs w:val="21"/>
                <w:highlight w:val="none"/>
                <w:lang w:val="en-US" w:eastAsia="zh-CN"/>
              </w:rPr>
              <w:t>2、</w:t>
            </w:r>
            <w:r>
              <w:rPr>
                <w:rFonts w:hint="eastAsia" w:ascii="仿宋_GB2312" w:hAnsi="仿宋_GB2312" w:eastAsia="仿宋_GB2312" w:cs="仿宋_GB2312"/>
                <w:szCs w:val="21"/>
              </w:rPr>
              <w:t>本次评估房屋信息来源于《</w:t>
            </w:r>
            <w:r>
              <w:rPr>
                <w:rFonts w:hint="eastAsia" w:ascii="仿宋_GB2312" w:hAnsi="仿宋_GB2312" w:eastAsia="仿宋_GB2312" w:cs="仿宋_GB2312"/>
                <w:szCs w:val="21"/>
                <w:lang w:eastAsia="zh-CN"/>
              </w:rPr>
              <w:t>不动产权证书</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和《江西省大余县人民法院价格评估委托书》，提请报告使用人注意。</w:t>
            </w:r>
          </w:p>
        </w:tc>
      </w:tr>
    </w:tbl>
    <w:p>
      <w:pPr>
        <w:spacing w:line="480" w:lineRule="exact"/>
        <w:ind w:firstLine="556"/>
        <w:jc w:val="left"/>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rPr>
        <w:t>估价的有关情况和相关专业意见，请见附后的估价报告。本估价报告使用期限至20</w:t>
      </w:r>
      <w:r>
        <w:rPr>
          <w:rFonts w:hint="eastAsia" w:ascii="仿宋_GB2312" w:hAnsi="宋体" w:eastAsia="仿宋_GB2312"/>
          <w:sz w:val="28"/>
          <w:szCs w:val="28"/>
          <w:highlight w:val="none"/>
          <w:lang w:val="en-US" w:eastAsia="zh-CN"/>
        </w:rPr>
        <w:t>23</w:t>
      </w:r>
      <w:r>
        <w:rPr>
          <w:rFonts w:hint="eastAsia" w:ascii="仿宋_GB2312" w:hAnsi="宋体" w:eastAsia="仿宋_GB2312"/>
          <w:sz w:val="28"/>
          <w:szCs w:val="28"/>
          <w:highlight w:val="none"/>
        </w:rPr>
        <w:t>年</w:t>
      </w:r>
      <w:r>
        <w:rPr>
          <w:rFonts w:hint="eastAsia" w:ascii="仿宋_GB2312" w:hAnsi="宋体" w:eastAsia="仿宋_GB2312"/>
          <w:sz w:val="28"/>
          <w:szCs w:val="28"/>
          <w:highlight w:val="none"/>
          <w:lang w:val="en-US" w:eastAsia="zh-CN"/>
        </w:rPr>
        <w:t>5</w:t>
      </w:r>
      <w:r>
        <w:rPr>
          <w:rFonts w:hint="eastAsia" w:ascii="仿宋_GB2312" w:hAnsi="宋体" w:eastAsia="仿宋_GB2312"/>
          <w:sz w:val="28"/>
          <w:szCs w:val="28"/>
          <w:highlight w:val="none"/>
        </w:rPr>
        <w:t>月</w:t>
      </w:r>
      <w:r>
        <w:rPr>
          <w:rFonts w:hint="eastAsia" w:ascii="仿宋_GB2312" w:hAnsi="宋体" w:eastAsia="仿宋_GB2312"/>
          <w:sz w:val="28"/>
          <w:szCs w:val="28"/>
          <w:highlight w:val="none"/>
          <w:lang w:val="en-US" w:eastAsia="zh-CN"/>
        </w:rPr>
        <w:t>23</w:t>
      </w:r>
      <w:r>
        <w:rPr>
          <w:rFonts w:hint="eastAsia" w:ascii="仿宋_GB2312" w:hAnsi="宋体" w:eastAsia="仿宋_GB2312"/>
          <w:sz w:val="28"/>
          <w:szCs w:val="28"/>
          <w:highlight w:val="none"/>
        </w:rPr>
        <w:t>日止。另请关注本估价报告中的价值内涵和估价的假设及限制条件。</w:t>
      </w:r>
    </w:p>
    <w:p>
      <w:pPr>
        <w:spacing w:line="480" w:lineRule="exact"/>
        <w:ind w:firstLine="555"/>
        <w:jc w:val="left"/>
        <w:rPr>
          <w:rFonts w:hint="eastAsia" w:ascii="仿宋_GB2312" w:hAnsi="宋体" w:eastAsia="仿宋_GB2312"/>
          <w:sz w:val="28"/>
          <w:szCs w:val="28"/>
          <w:highlight w:val="none"/>
          <w:shd w:val="clear" w:color="FFFFFF" w:fill="D9D9D9"/>
          <w:lang w:val="en-US" w:eastAsia="zh-CN"/>
        </w:rPr>
      </w:pPr>
      <w:r>
        <w:rPr>
          <w:rFonts w:hint="eastAsia" w:ascii="仿宋_GB2312" w:hAnsi="宋体" w:eastAsia="仿宋_GB2312"/>
          <w:sz w:val="28"/>
          <w:szCs w:val="28"/>
          <w:highlight w:val="none"/>
        </w:rPr>
        <w:t>此致！</w:t>
      </w:r>
    </w:p>
    <w:p>
      <w:pPr>
        <w:spacing w:line="480" w:lineRule="exact"/>
        <w:ind w:firstLine="56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估价机构法定代表人签章：</w:t>
      </w:r>
    </w:p>
    <w:p>
      <w:pPr>
        <w:spacing w:line="520" w:lineRule="exact"/>
        <w:jc w:val="right"/>
        <w:rPr>
          <w:rFonts w:hint="eastAsia" w:ascii="仿宋_GB2312" w:hAnsi="宋体" w:eastAsia="仿宋_GB2312"/>
          <w:sz w:val="28"/>
          <w:szCs w:val="28"/>
          <w:highlight w:val="none"/>
        </w:rPr>
      </w:pPr>
      <w:r>
        <w:rPr>
          <w:rFonts w:hint="eastAsia" w:ascii="仿宋_GB2312" w:hAnsi="宋体" w:eastAsia="仿宋_GB2312"/>
          <w:sz w:val="28"/>
          <w:szCs w:val="28"/>
          <w:highlight w:val="none"/>
        </w:rPr>
        <w:t xml:space="preserve">                       </w:t>
      </w:r>
      <w:r>
        <w:rPr>
          <w:rFonts w:hint="eastAsia" w:ascii="仿宋_GB2312" w:hAnsi="宋体" w:eastAsia="仿宋_GB2312"/>
          <w:sz w:val="28"/>
          <w:szCs w:val="28"/>
          <w:highlight w:val="none"/>
          <w:lang w:eastAsia="zh-CN"/>
        </w:rPr>
        <w:t>江西新源洪城房地产土地资产评估有限公司</w:t>
      </w:r>
      <w:r>
        <w:rPr>
          <w:rFonts w:hint="eastAsia" w:ascii="仿宋_GB2312" w:hAnsi="宋体" w:eastAsia="仿宋_GB2312"/>
          <w:sz w:val="28"/>
          <w:szCs w:val="28"/>
          <w:highlight w:val="none"/>
        </w:rPr>
        <w:t xml:space="preserve">                          （机构公章）</w:t>
      </w:r>
    </w:p>
    <w:p>
      <w:pPr>
        <w:spacing w:line="520" w:lineRule="exact"/>
        <w:jc w:val="right"/>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2022年5月24日</w:t>
      </w:r>
    </w:p>
    <w:p>
      <w:pPr>
        <w:spacing w:line="240" w:lineRule="auto"/>
        <w:ind w:firstLine="0" w:firstLineChars="0"/>
        <w:jc w:val="left"/>
        <w:rPr>
          <w:rFonts w:hint="eastAsia" w:ascii="仿宋_GB2312" w:hAnsi="宋体" w:eastAsia="仿宋_GB2312"/>
          <w:b/>
          <w:color w:val="000000"/>
          <w:sz w:val="32"/>
          <w:szCs w:val="32"/>
          <w:highlight w:val="none"/>
        </w:rPr>
      </w:pPr>
      <w:r>
        <w:rPr>
          <w:rFonts w:hint="eastAsia" w:ascii="仿宋_GB2312" w:hAnsi="宋体" w:eastAsia="仿宋_GB2312"/>
          <w:b/>
          <w:color w:val="000000"/>
          <w:sz w:val="32"/>
          <w:szCs w:val="32"/>
          <w:highlight w:val="none"/>
        </w:rPr>
        <w:br w:type="page"/>
      </w:r>
    </w:p>
    <w:p>
      <w:pPr>
        <w:tabs>
          <w:tab w:val="left" w:pos="315"/>
        </w:tabs>
        <w:spacing w:line="500" w:lineRule="exact"/>
        <w:ind w:firstLine="321" w:firstLineChars="100"/>
        <w:jc w:val="center"/>
        <w:rPr>
          <w:rFonts w:hint="eastAsia" w:ascii="仿宋_GB2312" w:hAnsi="宋体" w:eastAsia="仿宋_GB2312"/>
          <w:b/>
          <w:color w:val="000000"/>
          <w:sz w:val="32"/>
          <w:szCs w:val="32"/>
          <w:highlight w:val="none"/>
        </w:rPr>
      </w:pPr>
      <w:r>
        <w:rPr>
          <w:rFonts w:hint="eastAsia" w:ascii="仿宋_GB2312" w:hAnsi="宋体" w:eastAsia="仿宋_GB2312"/>
          <w:b/>
          <w:color w:val="000000"/>
          <w:sz w:val="32"/>
          <w:szCs w:val="32"/>
          <w:highlight w:val="none"/>
        </w:rPr>
        <w:t>目       录</w:t>
      </w:r>
    </w:p>
    <w:p>
      <w:pPr>
        <w:tabs>
          <w:tab w:val="left" w:pos="315"/>
        </w:tabs>
        <w:spacing w:line="400" w:lineRule="exact"/>
        <w:ind w:firstLine="321" w:firstLineChars="100"/>
        <w:jc w:val="center"/>
        <w:rPr>
          <w:rFonts w:hint="eastAsia" w:ascii="仿宋_GB2312" w:hAnsi="宋体" w:eastAsia="仿宋_GB2312"/>
          <w:b/>
          <w:color w:val="000000"/>
          <w:sz w:val="32"/>
          <w:szCs w:val="32"/>
          <w:highlight w:val="none"/>
        </w:rPr>
      </w:pPr>
    </w:p>
    <w:p>
      <w:pPr>
        <w:pStyle w:val="21"/>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TOC \o "1-2" \h \z \u </w:instrText>
      </w:r>
      <w:r>
        <w:rPr>
          <w:rFonts w:hint="eastAsia" w:ascii="仿宋_GB2312" w:hAnsi="宋体" w:eastAsia="仿宋_GB2312"/>
          <w:szCs w:val="21"/>
          <w:highlight w:val="none"/>
        </w:rPr>
        <w:fldChar w:fldCharType="separate"/>
      </w: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_Toc2746 </w:instrText>
      </w:r>
      <w:r>
        <w:rPr>
          <w:rFonts w:hint="eastAsia" w:ascii="仿宋_GB2312" w:hAnsi="宋体" w:eastAsia="仿宋_GB2312"/>
          <w:szCs w:val="21"/>
          <w:highlight w:val="none"/>
        </w:rPr>
        <w:fldChar w:fldCharType="separate"/>
      </w:r>
      <w:r>
        <w:rPr>
          <w:rFonts w:hint="eastAsia" w:ascii="仿宋_GB2312" w:eastAsia="仿宋_GB2312"/>
          <w:highlight w:val="none"/>
        </w:rPr>
        <w:t>一、估价师声明</w:t>
      </w:r>
      <w:r>
        <w:tab/>
      </w:r>
      <w:r>
        <w:fldChar w:fldCharType="begin"/>
      </w:r>
      <w:r>
        <w:instrText xml:space="preserve"> PAGEREF _Toc2746 \h </w:instrText>
      </w:r>
      <w:r>
        <w:fldChar w:fldCharType="separate"/>
      </w:r>
      <w:r>
        <w:t>4</w:t>
      </w:r>
      <w:r>
        <w:fldChar w:fldCharType="end"/>
      </w:r>
      <w:r>
        <w:rPr>
          <w:rFonts w:hint="eastAsia" w:ascii="仿宋_GB2312" w:hAnsi="宋体" w:eastAsia="仿宋_GB2312"/>
          <w:szCs w:val="21"/>
          <w:highlight w:val="none"/>
        </w:rPr>
        <w:fldChar w:fldCharType="end"/>
      </w:r>
    </w:p>
    <w:p>
      <w:pPr>
        <w:pStyle w:val="21"/>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_Toc18427 </w:instrText>
      </w:r>
      <w:r>
        <w:rPr>
          <w:rFonts w:hint="eastAsia" w:ascii="仿宋_GB2312" w:hAnsi="宋体" w:eastAsia="仿宋_GB2312"/>
          <w:szCs w:val="21"/>
          <w:highlight w:val="none"/>
        </w:rPr>
        <w:fldChar w:fldCharType="separate"/>
      </w:r>
      <w:r>
        <w:rPr>
          <w:rFonts w:hint="eastAsia" w:ascii="仿宋_GB2312" w:eastAsia="仿宋_GB2312"/>
          <w:highlight w:val="none"/>
        </w:rPr>
        <w:t>二、估价的假设和限制条件</w:t>
      </w:r>
      <w:r>
        <w:tab/>
      </w:r>
      <w:r>
        <w:fldChar w:fldCharType="begin"/>
      </w:r>
      <w:r>
        <w:instrText xml:space="preserve"> PAGEREF _Toc18427 \h </w:instrText>
      </w:r>
      <w:r>
        <w:fldChar w:fldCharType="separate"/>
      </w:r>
      <w:r>
        <w:t>5</w:t>
      </w:r>
      <w:r>
        <w:fldChar w:fldCharType="end"/>
      </w:r>
      <w:r>
        <w:rPr>
          <w:rFonts w:hint="eastAsia" w:ascii="仿宋_GB2312" w:hAnsi="宋体" w:eastAsia="仿宋_GB2312"/>
          <w:szCs w:val="21"/>
          <w:highlight w:val="none"/>
        </w:rPr>
        <w:fldChar w:fldCharType="end"/>
      </w:r>
    </w:p>
    <w:p>
      <w:pPr>
        <w:pStyle w:val="21"/>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_Toc30600 </w:instrText>
      </w:r>
      <w:r>
        <w:rPr>
          <w:rFonts w:hint="eastAsia" w:ascii="仿宋_GB2312" w:hAnsi="宋体" w:eastAsia="仿宋_GB2312"/>
          <w:szCs w:val="21"/>
          <w:highlight w:val="none"/>
        </w:rPr>
        <w:fldChar w:fldCharType="separate"/>
      </w:r>
      <w:r>
        <w:rPr>
          <w:rFonts w:hint="eastAsia" w:ascii="仿宋_GB2312" w:eastAsia="仿宋_GB2312"/>
          <w:bCs w:val="0"/>
          <w:highlight w:val="none"/>
        </w:rPr>
        <w:t>三、估价结果报告</w:t>
      </w:r>
      <w:r>
        <w:tab/>
      </w:r>
      <w:r>
        <w:fldChar w:fldCharType="begin"/>
      </w:r>
      <w:r>
        <w:instrText xml:space="preserve"> PAGEREF _Toc30600 \h </w:instrText>
      </w:r>
      <w:r>
        <w:fldChar w:fldCharType="separate"/>
      </w:r>
      <w:r>
        <w:t>8</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_Toc14691 </w:instrText>
      </w:r>
      <w:r>
        <w:rPr>
          <w:rFonts w:hint="eastAsia" w:ascii="仿宋_GB2312" w:hAnsi="宋体" w:eastAsia="仿宋_GB2312"/>
          <w:szCs w:val="21"/>
          <w:highlight w:val="none"/>
        </w:rPr>
        <w:fldChar w:fldCharType="separate"/>
      </w:r>
      <w:r>
        <w:rPr>
          <w:rFonts w:hint="eastAsia" w:ascii="仿宋_GB2312" w:eastAsia="仿宋_GB2312"/>
          <w:highlight w:val="none"/>
        </w:rPr>
        <w:t>（一）估价委托人</w:t>
      </w:r>
      <w:r>
        <w:tab/>
      </w:r>
      <w:r>
        <w:fldChar w:fldCharType="begin"/>
      </w:r>
      <w:r>
        <w:instrText xml:space="preserve"> PAGEREF _Toc14691 \h </w:instrText>
      </w:r>
      <w:r>
        <w:fldChar w:fldCharType="separate"/>
      </w:r>
      <w:r>
        <w:t>8</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_Toc12025 </w:instrText>
      </w:r>
      <w:r>
        <w:rPr>
          <w:rFonts w:hint="eastAsia" w:ascii="仿宋_GB2312" w:hAnsi="宋体" w:eastAsia="仿宋_GB2312"/>
          <w:szCs w:val="21"/>
          <w:highlight w:val="none"/>
        </w:rPr>
        <w:fldChar w:fldCharType="separate"/>
      </w:r>
      <w:r>
        <w:rPr>
          <w:rFonts w:hint="eastAsia" w:ascii="仿宋_GB2312" w:eastAsia="仿宋_GB2312"/>
          <w:highlight w:val="none"/>
        </w:rPr>
        <w:t>（二）估价方</w:t>
      </w:r>
      <w:r>
        <w:tab/>
      </w:r>
      <w:r>
        <w:fldChar w:fldCharType="begin"/>
      </w:r>
      <w:r>
        <w:instrText xml:space="preserve"> PAGEREF _Toc12025 \h </w:instrText>
      </w:r>
      <w:r>
        <w:fldChar w:fldCharType="separate"/>
      </w:r>
      <w:r>
        <w:t>8</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_Toc22199 </w:instrText>
      </w:r>
      <w:r>
        <w:rPr>
          <w:rFonts w:hint="eastAsia" w:ascii="仿宋_GB2312" w:hAnsi="宋体" w:eastAsia="仿宋_GB2312"/>
          <w:szCs w:val="21"/>
          <w:highlight w:val="none"/>
        </w:rPr>
        <w:fldChar w:fldCharType="separate"/>
      </w:r>
      <w:r>
        <w:rPr>
          <w:rFonts w:hint="eastAsia" w:ascii="仿宋_GB2312" w:eastAsia="仿宋_GB2312"/>
          <w:highlight w:val="none"/>
        </w:rPr>
        <w:t>（三）估价目的</w:t>
      </w:r>
      <w:bookmarkStart w:id="69" w:name="_GoBack"/>
      <w:bookmarkEnd w:id="69"/>
      <w:r>
        <w:tab/>
      </w:r>
      <w:r>
        <w:fldChar w:fldCharType="begin"/>
      </w:r>
      <w:r>
        <w:instrText xml:space="preserve"> PAGEREF _Toc22199 \h </w:instrText>
      </w:r>
      <w:r>
        <w:fldChar w:fldCharType="separate"/>
      </w:r>
      <w:r>
        <w:t>8</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_Toc22576 </w:instrText>
      </w:r>
      <w:r>
        <w:rPr>
          <w:rFonts w:hint="eastAsia" w:ascii="仿宋_GB2312" w:hAnsi="宋体" w:eastAsia="仿宋_GB2312"/>
          <w:szCs w:val="21"/>
          <w:highlight w:val="none"/>
        </w:rPr>
        <w:fldChar w:fldCharType="separate"/>
      </w:r>
      <w:r>
        <w:rPr>
          <w:rFonts w:hint="eastAsia" w:ascii="仿宋_GB2312" w:eastAsia="仿宋_GB2312"/>
          <w:highlight w:val="none"/>
        </w:rPr>
        <w:t>（四）估价对象</w:t>
      </w:r>
      <w:r>
        <w:tab/>
      </w:r>
      <w:r>
        <w:fldChar w:fldCharType="begin"/>
      </w:r>
      <w:r>
        <w:instrText xml:space="preserve"> PAGEREF _Toc22576 \h </w:instrText>
      </w:r>
      <w:r>
        <w:fldChar w:fldCharType="separate"/>
      </w:r>
      <w:r>
        <w:t>8</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_Toc29465 </w:instrText>
      </w:r>
      <w:r>
        <w:rPr>
          <w:rFonts w:hint="eastAsia" w:ascii="仿宋_GB2312" w:hAnsi="宋体" w:eastAsia="仿宋_GB2312"/>
          <w:szCs w:val="21"/>
          <w:highlight w:val="none"/>
        </w:rPr>
        <w:fldChar w:fldCharType="separate"/>
      </w:r>
      <w:r>
        <w:rPr>
          <w:rFonts w:hint="eastAsia" w:ascii="仿宋_GB2312" w:eastAsia="仿宋_GB2312"/>
          <w:highlight w:val="none"/>
        </w:rPr>
        <w:t>（五）价值时点</w:t>
      </w:r>
      <w:r>
        <w:tab/>
      </w:r>
      <w:r>
        <w:fldChar w:fldCharType="begin"/>
      </w:r>
      <w:r>
        <w:instrText xml:space="preserve"> PAGEREF _Toc29465 \h </w:instrText>
      </w:r>
      <w:r>
        <w:fldChar w:fldCharType="separate"/>
      </w:r>
      <w:r>
        <w:t>10</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_Toc26640 </w:instrText>
      </w:r>
      <w:r>
        <w:rPr>
          <w:rFonts w:hint="eastAsia" w:ascii="仿宋_GB2312" w:hAnsi="宋体" w:eastAsia="仿宋_GB2312"/>
          <w:szCs w:val="21"/>
          <w:highlight w:val="none"/>
        </w:rPr>
        <w:fldChar w:fldCharType="separate"/>
      </w:r>
      <w:r>
        <w:rPr>
          <w:rFonts w:hint="eastAsia" w:ascii="仿宋_GB2312" w:eastAsia="仿宋_GB2312"/>
          <w:highlight w:val="none"/>
        </w:rPr>
        <w:t>（六）</w:t>
      </w:r>
      <w:r>
        <w:rPr>
          <w:rFonts w:hint="eastAsia" w:ascii="仿宋_GB2312" w:hAnsi="Times New Roman" w:eastAsia="仿宋_GB2312" w:cs="Times New Roman"/>
          <w:bCs w:val="0"/>
          <w:kern w:val="2"/>
          <w:szCs w:val="30"/>
          <w:highlight w:val="none"/>
          <w:lang w:bidi="ar"/>
        </w:rPr>
        <w:t>价值</w:t>
      </w:r>
      <w:r>
        <w:rPr>
          <w:rFonts w:hint="eastAsia" w:ascii="仿宋_GB2312" w:hAnsi="Times New Roman" w:eastAsia="仿宋_GB2312" w:cs="Times New Roman"/>
          <w:bCs w:val="0"/>
          <w:kern w:val="2"/>
          <w:szCs w:val="30"/>
          <w:highlight w:val="none"/>
          <w:lang w:val="en-US" w:eastAsia="zh-CN" w:bidi="ar"/>
        </w:rPr>
        <w:t>类型</w:t>
      </w:r>
      <w:r>
        <w:tab/>
      </w:r>
      <w:r>
        <w:fldChar w:fldCharType="begin"/>
      </w:r>
      <w:r>
        <w:instrText xml:space="preserve"> PAGEREF _Toc26640 \h </w:instrText>
      </w:r>
      <w:r>
        <w:fldChar w:fldCharType="separate"/>
      </w:r>
      <w:r>
        <w:t>10</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_Toc3336 </w:instrText>
      </w:r>
      <w:r>
        <w:rPr>
          <w:rFonts w:hint="eastAsia" w:ascii="仿宋_GB2312" w:hAnsi="宋体" w:eastAsia="仿宋_GB2312"/>
          <w:szCs w:val="21"/>
          <w:highlight w:val="none"/>
        </w:rPr>
        <w:fldChar w:fldCharType="separate"/>
      </w:r>
      <w:r>
        <w:rPr>
          <w:rFonts w:hint="eastAsia" w:ascii="仿宋_GB2312" w:eastAsia="仿宋_GB2312"/>
          <w:highlight w:val="none"/>
        </w:rPr>
        <w:t>（七）估价依据</w:t>
      </w:r>
      <w:r>
        <w:tab/>
      </w:r>
      <w:r>
        <w:fldChar w:fldCharType="begin"/>
      </w:r>
      <w:r>
        <w:instrText xml:space="preserve"> PAGEREF _Toc3336 \h </w:instrText>
      </w:r>
      <w:r>
        <w:fldChar w:fldCharType="separate"/>
      </w:r>
      <w:r>
        <w:t>10</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_Toc21428 </w:instrText>
      </w:r>
      <w:r>
        <w:rPr>
          <w:rFonts w:hint="eastAsia" w:ascii="仿宋_GB2312" w:hAnsi="宋体" w:eastAsia="仿宋_GB2312"/>
          <w:szCs w:val="21"/>
          <w:highlight w:val="none"/>
        </w:rPr>
        <w:fldChar w:fldCharType="separate"/>
      </w:r>
      <w:r>
        <w:rPr>
          <w:rFonts w:hint="eastAsia" w:ascii="仿宋_GB2312" w:eastAsia="仿宋_GB2312"/>
          <w:highlight w:val="none"/>
        </w:rPr>
        <w:t>（八）估价原则</w:t>
      </w:r>
      <w:r>
        <w:tab/>
      </w:r>
      <w:r>
        <w:fldChar w:fldCharType="begin"/>
      </w:r>
      <w:r>
        <w:instrText xml:space="preserve"> PAGEREF _Toc21428 \h </w:instrText>
      </w:r>
      <w:r>
        <w:fldChar w:fldCharType="separate"/>
      </w:r>
      <w:r>
        <w:t>12</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_Toc23396 </w:instrText>
      </w:r>
      <w:r>
        <w:rPr>
          <w:rFonts w:hint="eastAsia" w:ascii="仿宋_GB2312" w:hAnsi="宋体" w:eastAsia="仿宋_GB2312"/>
          <w:szCs w:val="21"/>
          <w:highlight w:val="none"/>
        </w:rPr>
        <w:fldChar w:fldCharType="separate"/>
      </w:r>
      <w:r>
        <w:rPr>
          <w:rFonts w:hint="eastAsia" w:ascii="仿宋_GB2312" w:eastAsia="仿宋_GB2312"/>
          <w:highlight w:val="none"/>
        </w:rPr>
        <w:t>（九）估价方法</w:t>
      </w:r>
      <w:r>
        <w:tab/>
      </w:r>
      <w:r>
        <w:fldChar w:fldCharType="begin"/>
      </w:r>
      <w:r>
        <w:instrText xml:space="preserve"> PAGEREF _Toc23396 \h </w:instrText>
      </w:r>
      <w:r>
        <w:fldChar w:fldCharType="separate"/>
      </w:r>
      <w:r>
        <w:t>13</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_Toc31723 </w:instrText>
      </w:r>
      <w:r>
        <w:rPr>
          <w:rFonts w:hint="eastAsia" w:ascii="仿宋_GB2312" w:hAnsi="宋体" w:eastAsia="仿宋_GB2312"/>
          <w:szCs w:val="21"/>
          <w:highlight w:val="none"/>
        </w:rPr>
        <w:fldChar w:fldCharType="separate"/>
      </w:r>
      <w:r>
        <w:rPr>
          <w:rFonts w:hint="eastAsia" w:ascii="仿宋_GB2312" w:eastAsia="仿宋_GB2312"/>
          <w:highlight w:val="none"/>
        </w:rPr>
        <w:t>（十）估价结果</w:t>
      </w:r>
      <w:r>
        <w:tab/>
      </w:r>
      <w:r>
        <w:fldChar w:fldCharType="begin"/>
      </w:r>
      <w:r>
        <w:instrText xml:space="preserve"> PAGEREF _Toc31723 \h </w:instrText>
      </w:r>
      <w:r>
        <w:fldChar w:fldCharType="separate"/>
      </w:r>
      <w:r>
        <w:t>14</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_Toc21377 </w:instrText>
      </w:r>
      <w:r>
        <w:rPr>
          <w:rFonts w:hint="eastAsia" w:ascii="仿宋_GB2312" w:hAnsi="宋体" w:eastAsia="仿宋_GB2312"/>
          <w:szCs w:val="21"/>
          <w:highlight w:val="none"/>
        </w:rPr>
        <w:fldChar w:fldCharType="separate"/>
      </w:r>
      <w:r>
        <w:rPr>
          <w:rFonts w:hint="eastAsia" w:ascii="仿宋_GB2312" w:eastAsia="仿宋_GB2312"/>
          <w:highlight w:val="none"/>
        </w:rPr>
        <w:t>（十一）注册房地产估价师</w:t>
      </w:r>
      <w:r>
        <w:rPr>
          <w:rFonts w:hint="eastAsia" w:ascii="仿宋_GB2312" w:eastAsia="仿宋_GB2312"/>
          <w:highlight w:val="none"/>
          <w:lang w:val="en-US" w:eastAsia="zh-CN"/>
        </w:rPr>
        <w:t>及其他评估专业人员</w:t>
      </w:r>
      <w:r>
        <w:tab/>
      </w:r>
      <w:r>
        <w:fldChar w:fldCharType="begin"/>
      </w:r>
      <w:r>
        <w:instrText xml:space="preserve"> PAGEREF _Toc21377 \h </w:instrText>
      </w:r>
      <w:r>
        <w:fldChar w:fldCharType="separate"/>
      </w:r>
      <w:r>
        <w:t>14</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_Toc16752 </w:instrText>
      </w:r>
      <w:r>
        <w:rPr>
          <w:rFonts w:hint="eastAsia" w:ascii="仿宋_GB2312" w:hAnsi="宋体" w:eastAsia="仿宋_GB2312"/>
          <w:szCs w:val="21"/>
          <w:highlight w:val="none"/>
        </w:rPr>
        <w:fldChar w:fldCharType="separate"/>
      </w:r>
      <w:r>
        <w:rPr>
          <w:rFonts w:hint="eastAsia" w:ascii="仿宋_GB2312" w:eastAsia="仿宋_GB2312"/>
          <w:highlight w:val="none"/>
        </w:rPr>
        <w:t>（十二）实地查勘日期</w:t>
      </w:r>
      <w:r>
        <w:tab/>
      </w:r>
      <w:r>
        <w:fldChar w:fldCharType="begin"/>
      </w:r>
      <w:r>
        <w:instrText xml:space="preserve"> PAGEREF _Toc16752 \h </w:instrText>
      </w:r>
      <w:r>
        <w:fldChar w:fldCharType="separate"/>
      </w:r>
      <w:r>
        <w:t>15</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_Toc30975 </w:instrText>
      </w:r>
      <w:r>
        <w:rPr>
          <w:rFonts w:hint="eastAsia" w:ascii="仿宋_GB2312" w:hAnsi="宋体" w:eastAsia="仿宋_GB2312"/>
          <w:szCs w:val="21"/>
          <w:highlight w:val="none"/>
        </w:rPr>
        <w:fldChar w:fldCharType="separate"/>
      </w:r>
      <w:r>
        <w:rPr>
          <w:rFonts w:hint="eastAsia" w:ascii="仿宋_GB2312" w:eastAsia="仿宋_GB2312"/>
          <w:highlight w:val="none"/>
        </w:rPr>
        <w:t>（十三）估价作业日期</w:t>
      </w:r>
      <w:r>
        <w:tab/>
      </w:r>
      <w:r>
        <w:fldChar w:fldCharType="begin"/>
      </w:r>
      <w:r>
        <w:instrText xml:space="preserve"> PAGEREF _Toc30975 \h </w:instrText>
      </w:r>
      <w:r>
        <w:fldChar w:fldCharType="separate"/>
      </w:r>
      <w:r>
        <w:t>15</w:t>
      </w:r>
      <w:r>
        <w:fldChar w:fldCharType="end"/>
      </w:r>
      <w:r>
        <w:rPr>
          <w:rFonts w:hint="eastAsia" w:ascii="仿宋_GB2312" w:hAnsi="宋体" w:eastAsia="仿宋_GB2312"/>
          <w:szCs w:val="21"/>
          <w:highlight w:val="none"/>
        </w:rPr>
        <w:fldChar w:fldCharType="end"/>
      </w:r>
    </w:p>
    <w:p>
      <w:pPr>
        <w:pStyle w:val="21"/>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_Toc28654 </w:instrText>
      </w:r>
      <w:r>
        <w:rPr>
          <w:rFonts w:hint="eastAsia" w:ascii="仿宋_GB2312" w:hAnsi="宋体" w:eastAsia="仿宋_GB2312"/>
          <w:szCs w:val="21"/>
          <w:highlight w:val="none"/>
        </w:rPr>
        <w:fldChar w:fldCharType="separate"/>
      </w:r>
      <w:r>
        <w:rPr>
          <w:rFonts w:hint="eastAsia" w:ascii="仿宋_GB2312" w:eastAsia="仿宋_GB2312"/>
          <w:highlight w:val="none"/>
        </w:rPr>
        <w:t>四、附  件</w:t>
      </w:r>
      <w:r>
        <w:tab/>
      </w:r>
      <w:r>
        <w:fldChar w:fldCharType="begin"/>
      </w:r>
      <w:r>
        <w:instrText xml:space="preserve"> PAGEREF _Toc28654 \h </w:instrText>
      </w:r>
      <w:r>
        <w:fldChar w:fldCharType="separate"/>
      </w:r>
      <w:r>
        <w:t>16</w:t>
      </w:r>
      <w:r>
        <w:fldChar w:fldCharType="end"/>
      </w:r>
      <w:r>
        <w:rPr>
          <w:rFonts w:hint="eastAsia" w:ascii="仿宋_GB2312" w:hAnsi="宋体" w:eastAsia="仿宋_GB2312"/>
          <w:szCs w:val="21"/>
          <w:highlight w:val="none"/>
        </w:rPr>
        <w:fldChar w:fldCharType="end"/>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宋体" w:eastAsia="仿宋_GB2312"/>
          <w:szCs w:val="21"/>
          <w:highlight w:val="none"/>
        </w:rPr>
        <w:fldChar w:fldCharType="end"/>
      </w:r>
      <w:r>
        <w:rPr>
          <w:rFonts w:hint="eastAsia" w:ascii="仿宋_GB2312" w:hAnsi="华文细黑" w:eastAsia="仿宋_GB2312"/>
          <w:bCs/>
          <w:caps/>
          <w:szCs w:val="21"/>
          <w:highlight w:val="none"/>
        </w:rPr>
        <w:t>（一）《</w:t>
      </w:r>
      <w:r>
        <w:rPr>
          <w:rFonts w:hint="eastAsia" w:ascii="仿宋_GB2312" w:hAnsi="华文细黑" w:eastAsia="仿宋_GB2312"/>
          <w:bCs/>
          <w:caps/>
          <w:szCs w:val="21"/>
          <w:highlight w:val="none"/>
          <w:lang w:eastAsia="zh-CN"/>
        </w:rPr>
        <w:t>江西省大余县人民法院价格评估委托书</w:t>
      </w:r>
      <w:r>
        <w:rPr>
          <w:rFonts w:hint="eastAsia" w:ascii="仿宋_GB2312" w:hAnsi="华文细黑" w:eastAsia="仿宋_GB2312"/>
          <w:bCs/>
          <w:caps/>
          <w:szCs w:val="21"/>
          <w:highlight w:val="none"/>
        </w:rPr>
        <w:t>》复印件</w:t>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华文细黑" w:eastAsia="仿宋_GB2312"/>
          <w:bCs/>
          <w:caps/>
          <w:szCs w:val="21"/>
          <w:highlight w:val="none"/>
        </w:rPr>
        <w:t>（二）估价对象位置图</w:t>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华文细黑" w:eastAsia="仿宋_GB2312"/>
          <w:bCs/>
          <w:caps/>
          <w:szCs w:val="21"/>
          <w:highlight w:val="none"/>
        </w:rPr>
        <w:t>（三）估价对象现状照片</w:t>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华文细黑" w:eastAsia="仿宋_GB2312"/>
          <w:bCs/>
          <w:caps/>
          <w:szCs w:val="21"/>
          <w:highlight w:val="none"/>
        </w:rPr>
        <w:t>（四）估价对象产权材料（复印件）</w:t>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华文细黑" w:eastAsia="仿宋_GB2312"/>
          <w:bCs/>
          <w:caps/>
          <w:szCs w:val="21"/>
          <w:highlight w:val="none"/>
        </w:rPr>
        <w:t>（五）评估机构《营业执照》（复印件）</w:t>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华文细黑" w:eastAsia="仿宋_GB2312"/>
          <w:bCs/>
          <w:caps/>
          <w:szCs w:val="21"/>
          <w:highlight w:val="none"/>
        </w:rPr>
        <w:t>（六）房地产评估机构</w:t>
      </w:r>
      <w:r>
        <w:rPr>
          <w:rFonts w:hint="eastAsia" w:ascii="仿宋_GB2312" w:hAnsi="华文细黑" w:eastAsia="仿宋_GB2312"/>
          <w:bCs/>
          <w:caps/>
          <w:szCs w:val="21"/>
          <w:highlight w:val="none"/>
          <w:lang w:eastAsia="zh-CN"/>
        </w:rPr>
        <w:t>备案</w:t>
      </w:r>
      <w:r>
        <w:rPr>
          <w:rFonts w:hint="eastAsia" w:ascii="仿宋_GB2312" w:hAnsi="华文细黑" w:eastAsia="仿宋_GB2312"/>
          <w:bCs/>
          <w:caps/>
          <w:szCs w:val="21"/>
          <w:highlight w:val="none"/>
        </w:rPr>
        <w:t>证书（复印件）</w:t>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华文细黑" w:eastAsia="仿宋_GB2312"/>
          <w:bCs/>
          <w:caps/>
          <w:szCs w:val="21"/>
          <w:highlight w:val="none"/>
        </w:rPr>
        <w:t>（七）房地产估价师注册证书（复印件）</w:t>
      </w:r>
    </w:p>
    <w:p>
      <w:pPr>
        <w:spacing w:line="500" w:lineRule="exact"/>
        <w:rPr>
          <w:rFonts w:hint="eastAsia" w:ascii="仿宋_GB2312" w:hAnsi="宋体" w:eastAsia="仿宋_GB2312"/>
          <w:sz w:val="28"/>
          <w:szCs w:val="28"/>
          <w:highlight w:val="none"/>
        </w:rPr>
      </w:pPr>
    </w:p>
    <w:p>
      <w:pPr>
        <w:spacing w:line="500" w:lineRule="exact"/>
        <w:rPr>
          <w:rFonts w:hint="eastAsia" w:ascii="仿宋_GB2312" w:hAnsi="宋体" w:eastAsia="仿宋_GB2312"/>
          <w:sz w:val="24"/>
          <w:szCs w:val="24"/>
          <w:highlight w:val="none"/>
        </w:rPr>
      </w:pPr>
    </w:p>
    <w:p>
      <w:pPr>
        <w:spacing w:line="500" w:lineRule="exact"/>
        <w:rPr>
          <w:rFonts w:hint="eastAsia" w:ascii="仿宋_GB2312" w:hAnsi="宋体" w:eastAsia="仿宋_GB2312"/>
          <w:sz w:val="24"/>
          <w:szCs w:val="24"/>
          <w:highlight w:val="none"/>
        </w:rPr>
      </w:pPr>
    </w:p>
    <w:p>
      <w:pPr>
        <w:spacing w:line="500" w:lineRule="exact"/>
        <w:rPr>
          <w:rFonts w:hint="eastAsia" w:ascii="仿宋_GB2312" w:hAnsi="宋体" w:eastAsia="仿宋_GB2312"/>
          <w:sz w:val="24"/>
          <w:szCs w:val="24"/>
          <w:highlight w:val="none"/>
        </w:rPr>
      </w:pPr>
    </w:p>
    <w:p>
      <w:pPr>
        <w:spacing w:line="500" w:lineRule="exact"/>
        <w:rPr>
          <w:rFonts w:hint="eastAsia" w:ascii="仿宋_GB2312" w:hAnsi="宋体" w:eastAsia="仿宋_GB2312"/>
          <w:sz w:val="24"/>
          <w:szCs w:val="24"/>
          <w:highlight w:val="none"/>
        </w:rPr>
      </w:pPr>
    </w:p>
    <w:p>
      <w:pPr>
        <w:rPr>
          <w:rFonts w:hint="eastAsia" w:ascii="仿宋_GB2312" w:eastAsia="仿宋_GB2312"/>
          <w:b/>
          <w:highlight w:val="none"/>
        </w:rPr>
      </w:pPr>
      <w:bookmarkStart w:id="0" w:name="_Toc2746"/>
      <w:bookmarkStart w:id="1" w:name="_Toc517794682"/>
      <w:bookmarkStart w:id="2" w:name="_Toc31399"/>
      <w:bookmarkStart w:id="3" w:name="_Toc517794424"/>
      <w:r>
        <w:rPr>
          <w:rFonts w:hint="eastAsia" w:ascii="仿宋_GB2312" w:eastAsia="仿宋_GB2312"/>
          <w:b/>
          <w:highlight w:val="none"/>
        </w:rPr>
        <w:br w:type="page"/>
      </w:r>
    </w:p>
    <w:p>
      <w:pPr>
        <w:pStyle w:val="2"/>
        <w:spacing w:after="93" w:line="520" w:lineRule="exact"/>
        <w:rPr>
          <w:rFonts w:hint="eastAsia" w:ascii="仿宋_GB2312" w:eastAsia="仿宋_GB2312"/>
          <w:b/>
          <w:highlight w:val="none"/>
        </w:rPr>
      </w:pPr>
      <w:r>
        <w:rPr>
          <w:rFonts w:hint="eastAsia" w:ascii="仿宋_GB2312" w:eastAsia="仿宋_GB2312"/>
          <w:b/>
          <w:highlight w:val="none"/>
        </w:rPr>
        <w:t>一、估价师声明</w:t>
      </w:r>
      <w:bookmarkEnd w:id="0"/>
      <w:bookmarkEnd w:id="1"/>
      <w:bookmarkEnd w:id="2"/>
      <w:bookmarkEnd w:id="3"/>
    </w:p>
    <w:p>
      <w:pPr>
        <w:spacing w:line="4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我们根据自己的专业知识和职业道德，在此郑重声明：</w:t>
      </w:r>
    </w:p>
    <w:p>
      <w:pPr>
        <w:spacing w:line="420" w:lineRule="exact"/>
        <w:rPr>
          <w:rFonts w:hint="eastAsia" w:ascii="仿宋_GB2312" w:hAnsi="宋体" w:eastAsia="仿宋_GB2312"/>
          <w:sz w:val="28"/>
          <w:szCs w:val="28"/>
          <w:highlight w:val="none"/>
        </w:rPr>
      </w:pPr>
      <w:r>
        <w:rPr>
          <w:rFonts w:hint="eastAsia" w:ascii="仿宋_GB2312" w:hAnsi="宋体" w:eastAsia="仿宋_GB2312"/>
          <w:sz w:val="30"/>
          <w:highlight w:val="none"/>
        </w:rPr>
        <w:t xml:space="preserve"> </w:t>
      </w:r>
      <w:r>
        <w:rPr>
          <w:rFonts w:hint="eastAsia" w:ascii="仿宋_GB2312" w:hAnsi="宋体" w:eastAsia="仿宋_GB2312"/>
          <w:sz w:val="28"/>
          <w:szCs w:val="28"/>
          <w:highlight w:val="none"/>
        </w:rPr>
        <w:t xml:space="preserve">   1、我们在本估价报告中对事实的陈述是真实的、准确的，没有虚假记载、误导性陈述和重大遗漏。</w:t>
      </w:r>
    </w:p>
    <w:p>
      <w:pPr>
        <w:spacing w:line="4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2、估价报告中的分析</w:t>
      </w:r>
      <w:r>
        <w:rPr>
          <w:rFonts w:hint="eastAsia" w:ascii="仿宋_GB2312" w:hAnsi="宋体" w:eastAsia="仿宋_GB2312"/>
          <w:sz w:val="28"/>
          <w:szCs w:val="28"/>
          <w:highlight w:val="none"/>
          <w:lang w:eastAsia="zh-CN"/>
        </w:rPr>
        <w:t>、</w:t>
      </w:r>
      <w:r>
        <w:rPr>
          <w:rFonts w:hint="eastAsia" w:ascii="仿宋_GB2312" w:hAnsi="宋体" w:eastAsia="仿宋_GB2312"/>
          <w:sz w:val="28"/>
          <w:szCs w:val="28"/>
          <w:highlight w:val="none"/>
        </w:rPr>
        <w:t>意见和结论，是我</w:t>
      </w:r>
      <w:r>
        <w:rPr>
          <w:rFonts w:hint="eastAsia" w:ascii="仿宋_GB2312" w:hAnsi="宋体" w:eastAsia="仿宋_GB2312"/>
          <w:sz w:val="28"/>
          <w:szCs w:val="28"/>
          <w:highlight w:val="none"/>
          <w:lang w:eastAsia="zh-CN"/>
        </w:rPr>
        <w:t>们</w:t>
      </w:r>
      <w:r>
        <w:rPr>
          <w:rFonts w:hint="eastAsia" w:ascii="仿宋_GB2312" w:hAnsi="宋体" w:eastAsia="仿宋_GB2312"/>
          <w:sz w:val="28"/>
          <w:szCs w:val="28"/>
          <w:highlight w:val="none"/>
        </w:rPr>
        <w:t>公正的专业分析、意见和结论，但要受估价报告中已说明的假设和限制条件的限制和影响。</w:t>
      </w:r>
    </w:p>
    <w:p>
      <w:pPr>
        <w:spacing w:line="46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3、我们与本估价报告中的估价对象没有现实或潜在的利益，与估价委托人及估价利害关系人没有利害关系，也对估价对象、估价委托人及估价利害关系人没有偏见。</w:t>
      </w:r>
    </w:p>
    <w:p>
      <w:pPr>
        <w:spacing w:line="4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4、我们依照中华人民共和国国家标准《房地产估价规范》、《房地产估价基本术语标准》以及相关房地产估价专项标准进行分析，形成意见和结论，撰写本估价报告。</w:t>
      </w:r>
    </w:p>
    <w:p>
      <w:pPr>
        <w:spacing w:line="4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5、本估价报告中，除使用政府部门、行业公布的价格资料和公开市场价格信息外，主要依据估价委托人提供的有关资料，包括但不限于其提供的权属证件等复印件，估价委托人应对其提供的全部资料</w:t>
      </w:r>
      <w:r>
        <w:rPr>
          <w:rFonts w:hint="eastAsia" w:ascii="仿宋_GB2312" w:hAnsi="宋体" w:eastAsia="仿宋_GB2312"/>
          <w:sz w:val="28"/>
          <w:szCs w:val="28"/>
          <w:highlight w:val="none"/>
          <w:lang w:eastAsia="zh-CN"/>
        </w:rPr>
        <w:t>和领勘指界</w:t>
      </w:r>
      <w:r>
        <w:rPr>
          <w:rFonts w:hint="eastAsia" w:ascii="仿宋_GB2312" w:hAnsi="宋体" w:eastAsia="仿宋_GB2312"/>
          <w:sz w:val="28"/>
          <w:szCs w:val="28"/>
          <w:highlight w:val="none"/>
        </w:rPr>
        <w:t>的真实性、</w:t>
      </w:r>
      <w:r>
        <w:rPr>
          <w:rFonts w:hint="eastAsia" w:ascii="仿宋_GB2312" w:hAnsi="宋体" w:eastAsia="仿宋_GB2312"/>
          <w:sz w:val="28"/>
          <w:szCs w:val="28"/>
          <w:highlight w:val="none"/>
          <w:lang w:eastAsia="zh-CN"/>
        </w:rPr>
        <w:t>准确性、</w:t>
      </w:r>
      <w:r>
        <w:rPr>
          <w:rFonts w:hint="eastAsia" w:ascii="仿宋_GB2312" w:hAnsi="宋体" w:eastAsia="仿宋_GB2312"/>
          <w:sz w:val="28"/>
          <w:szCs w:val="28"/>
          <w:highlight w:val="none"/>
        </w:rPr>
        <w:t>合法性和完整性承担全部法律责任。</w:t>
      </w:r>
    </w:p>
    <w:p>
      <w:pPr>
        <w:spacing w:line="4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6、我</w:t>
      </w:r>
      <w:r>
        <w:rPr>
          <w:rFonts w:hint="eastAsia" w:ascii="仿宋_GB2312" w:hAnsi="宋体" w:eastAsia="仿宋_GB2312"/>
          <w:sz w:val="28"/>
          <w:szCs w:val="28"/>
          <w:highlight w:val="none"/>
          <w:lang w:eastAsia="zh-CN"/>
        </w:rPr>
        <w:t>司</w:t>
      </w:r>
      <w:r>
        <w:rPr>
          <w:rFonts w:hint="eastAsia" w:ascii="仿宋_GB2312" w:hAnsi="宋体" w:eastAsia="仿宋_GB2312"/>
          <w:sz w:val="28"/>
          <w:szCs w:val="28"/>
          <w:highlight w:val="none"/>
        </w:rPr>
        <w:t>估价人员已进行了实地查勘，但仅限于其外观和使用状况。估价人员不承担对估价对象的建筑结构、质量进行调查的责任和其他被遮盖、未暴露及难于触及的部分进行检视的责任。</w:t>
      </w:r>
    </w:p>
    <w:p>
      <w:pPr>
        <w:spacing w:line="4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7、没有其他行业的专业人员对估价报告提供了重要专业帮助。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420" w:lineRule="exact"/>
        <w:ind w:left="0" w:right="0" w:firstLine="560" w:firstLineChars="200"/>
        <w:jc w:val="left"/>
        <w:rPr>
          <w:rFonts w:hint="eastAsia" w:ascii="仿宋_GB2312" w:hAnsi="Times New Roman" w:eastAsia="仿宋_GB2312" w:cs="Times New Roman"/>
          <w:i w:val="0"/>
          <w:iCs w:val="0"/>
          <w:caps w:val="0"/>
          <w:spacing w:val="0"/>
          <w:kern w:val="2"/>
          <w:sz w:val="28"/>
          <w:szCs w:val="28"/>
          <w:highlight w:val="none"/>
        </w:rPr>
      </w:pPr>
      <w:r>
        <w:rPr>
          <w:rFonts w:hint="eastAsia" w:ascii="仿宋_GB2312" w:hAnsi="宋体" w:eastAsia="仿宋_GB2312"/>
          <w:sz w:val="28"/>
          <w:szCs w:val="28"/>
          <w:highlight w:val="none"/>
        </w:rPr>
        <w:t>8、</w:t>
      </w:r>
      <w:r>
        <w:rPr>
          <w:rFonts w:eastAsia="仿宋_GB2312"/>
          <w:color w:val="000000"/>
          <w:sz w:val="28"/>
          <w:szCs w:val="28"/>
        </w:rPr>
        <w:t>若相关权利人在收到报告后对估价报告有异议，</w:t>
      </w:r>
      <w:r>
        <w:rPr>
          <w:rFonts w:hint="eastAsia" w:eastAsia="仿宋_GB2312"/>
          <w:color w:val="000000"/>
          <w:sz w:val="28"/>
          <w:szCs w:val="28"/>
        </w:rPr>
        <w:t>五</w:t>
      </w:r>
      <w:r>
        <w:rPr>
          <w:rFonts w:eastAsia="仿宋_GB2312"/>
          <w:color w:val="000000"/>
          <w:sz w:val="28"/>
          <w:szCs w:val="28"/>
        </w:rPr>
        <w:t>天内提交书面意见；逾期未提交，视为对本次估价报告无意见</w:t>
      </w:r>
      <w:r>
        <w:rPr>
          <w:rFonts w:hint="eastAsia" w:ascii="仿宋_GB2312" w:hAnsi="Times New Roman" w:eastAsia="仿宋_GB2312" w:cs="Times New Roman"/>
          <w:i w:val="0"/>
          <w:iCs w:val="0"/>
          <w:caps w:val="0"/>
          <w:spacing w:val="0"/>
          <w:kern w:val="2"/>
          <w:sz w:val="28"/>
          <w:szCs w:val="28"/>
          <w:highlight w:val="none"/>
          <w:shd w:val="clear"/>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lang w:eastAsia="zh-CN"/>
        </w:rPr>
        <w:t>注册房地产估价师</w:t>
      </w:r>
      <w:r>
        <w:rPr>
          <w:rFonts w:hint="eastAsia" w:ascii="仿宋_GB2312" w:hAnsi="宋体" w:eastAsia="仿宋_GB2312"/>
          <w:sz w:val="28"/>
          <w:szCs w:val="28"/>
          <w:highlight w:val="none"/>
        </w:rPr>
        <w:t>签名：</w:t>
      </w:r>
    </w:p>
    <w:tbl>
      <w:tblPr>
        <w:tblStyle w:val="26"/>
        <w:tblW w:w="8794" w:type="dxa"/>
        <w:jc w:val="cente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1972"/>
        <w:gridCol w:w="1972"/>
        <w:gridCol w:w="2879"/>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971"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姓名</w:t>
            </w:r>
          </w:p>
        </w:tc>
        <w:tc>
          <w:tcPr>
            <w:tcW w:w="1972"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注册号</w:t>
            </w:r>
          </w:p>
        </w:tc>
        <w:tc>
          <w:tcPr>
            <w:tcW w:w="1972"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签名</w:t>
            </w:r>
          </w:p>
        </w:tc>
        <w:tc>
          <w:tcPr>
            <w:tcW w:w="2879"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签名日期</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971"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eastAsia="zh-CN" w:bidi="ar"/>
              </w:rPr>
              <w:t>张泗芳</w:t>
            </w:r>
          </w:p>
        </w:tc>
        <w:tc>
          <w:tcPr>
            <w:tcW w:w="1972" w:type="dxa"/>
            <w:tcBorders>
              <w:tl2br w:val="nil"/>
              <w:tr2bl w:val="nil"/>
            </w:tcBorders>
            <w:noWrap w:val="0"/>
            <w:vAlign w:val="center"/>
          </w:tcPr>
          <w:p>
            <w:pPr>
              <w:adjustRightInd w:val="0"/>
              <w:snapToGrid w:val="0"/>
              <w:spacing w:line="240" w:lineRule="auto"/>
              <w:jc w:val="center"/>
              <w:rPr>
                <w:rFonts w:hint="eastAsia" w:eastAsia="仿宋_GB2312"/>
                <w:kern w:val="0"/>
                <w:sz w:val="24"/>
                <w:szCs w:val="24"/>
                <w:highlight w:val="none"/>
                <w:lang w:eastAsia="zh-CN" w:bidi="ar"/>
              </w:rPr>
            </w:pPr>
            <w:r>
              <w:rPr>
                <w:rFonts w:hint="eastAsia" w:eastAsia="仿宋_GB2312"/>
                <w:kern w:val="0"/>
                <w:sz w:val="24"/>
                <w:szCs w:val="24"/>
                <w:highlight w:val="none"/>
                <w:lang w:eastAsia="zh-CN" w:bidi="ar"/>
              </w:rPr>
              <w:t>4420110222</w:t>
            </w:r>
          </w:p>
        </w:tc>
        <w:tc>
          <w:tcPr>
            <w:tcW w:w="1972"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kern w:val="0"/>
                <w:sz w:val="24"/>
                <w:szCs w:val="24"/>
                <w:highlight w:val="none"/>
              </w:rPr>
            </w:pPr>
          </w:p>
        </w:tc>
        <w:tc>
          <w:tcPr>
            <w:tcW w:w="2879" w:type="dxa"/>
            <w:tcBorders>
              <w:tl2br w:val="nil"/>
              <w:tr2bl w:val="nil"/>
            </w:tcBorders>
            <w:noWrap w:val="0"/>
            <w:vAlign w:val="center"/>
          </w:tcPr>
          <w:p>
            <w:pPr>
              <w:adjustRightInd w:val="0"/>
              <w:snapToGrid w:val="0"/>
              <w:spacing w:line="240" w:lineRule="auto"/>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eastAsia="zh-CN" w:bidi="ar"/>
              </w:rPr>
              <w:t>2022年5月24日</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971" w:type="dxa"/>
            <w:tcBorders>
              <w:tl2br w:val="nil"/>
              <w:tr2bl w:val="nil"/>
            </w:tcBorders>
            <w:noWrap w:val="0"/>
            <w:vAlign w:val="center"/>
          </w:tcPr>
          <w:p>
            <w:pPr>
              <w:adjustRightInd w:val="0"/>
              <w:snapToGrid w:val="0"/>
              <w:jc w:val="center"/>
              <w:rPr>
                <w:rFonts w:hint="eastAsia" w:eastAsia="仿宋_GB2312"/>
                <w:kern w:val="0"/>
                <w:sz w:val="24"/>
                <w:szCs w:val="24"/>
                <w:highlight w:val="none"/>
                <w:lang w:eastAsia="zh-CN"/>
              </w:rPr>
            </w:pPr>
            <w:r>
              <w:rPr>
                <w:rFonts w:hint="eastAsia" w:eastAsia="仿宋_GB2312" w:cs="仿宋_GB2312"/>
                <w:kern w:val="0"/>
                <w:sz w:val="24"/>
                <w:szCs w:val="24"/>
                <w:highlight w:val="none"/>
                <w:lang w:eastAsia="zh-CN" w:bidi="ar"/>
              </w:rPr>
              <w:t>汪文春</w:t>
            </w:r>
          </w:p>
        </w:tc>
        <w:tc>
          <w:tcPr>
            <w:tcW w:w="1972" w:type="dxa"/>
            <w:tcBorders>
              <w:tl2br w:val="nil"/>
              <w:tr2bl w:val="nil"/>
            </w:tcBorders>
            <w:noWrap w:val="0"/>
            <w:vAlign w:val="center"/>
          </w:tcPr>
          <w:p>
            <w:pPr>
              <w:adjustRightInd w:val="0"/>
              <w:snapToGrid w:val="0"/>
              <w:jc w:val="center"/>
              <w:rPr>
                <w:rFonts w:hint="eastAsia" w:eastAsia="仿宋_GB2312"/>
                <w:kern w:val="0"/>
                <w:sz w:val="24"/>
                <w:szCs w:val="24"/>
                <w:highlight w:val="none"/>
                <w:lang w:eastAsia="zh-CN"/>
              </w:rPr>
            </w:pPr>
            <w:r>
              <w:rPr>
                <w:rFonts w:hint="eastAsia" w:eastAsia="仿宋_GB2312" w:cs="仿宋_GB2312"/>
                <w:kern w:val="0"/>
                <w:sz w:val="24"/>
                <w:szCs w:val="24"/>
                <w:highlight w:val="none"/>
                <w:lang w:eastAsia="zh-CN" w:bidi="ar"/>
              </w:rPr>
              <w:t>3619970062</w:t>
            </w:r>
          </w:p>
        </w:tc>
        <w:tc>
          <w:tcPr>
            <w:tcW w:w="1972" w:type="dxa"/>
            <w:tcBorders>
              <w:tl2br w:val="nil"/>
              <w:tr2bl w:val="nil"/>
            </w:tcBorders>
            <w:noWrap w:val="0"/>
            <w:vAlign w:val="center"/>
          </w:tcPr>
          <w:p>
            <w:pPr>
              <w:adjustRightInd w:val="0"/>
              <w:snapToGrid w:val="0"/>
              <w:jc w:val="center"/>
              <w:rPr>
                <w:rFonts w:hint="eastAsia" w:eastAsia="仿宋_GB2312"/>
                <w:kern w:val="0"/>
                <w:sz w:val="24"/>
                <w:szCs w:val="24"/>
                <w:highlight w:val="none"/>
              </w:rPr>
            </w:pPr>
          </w:p>
        </w:tc>
        <w:tc>
          <w:tcPr>
            <w:tcW w:w="2879" w:type="dxa"/>
            <w:tcBorders>
              <w:tl2br w:val="nil"/>
              <w:tr2bl w:val="nil"/>
            </w:tcBorders>
            <w:noWrap w:val="0"/>
            <w:vAlign w:val="center"/>
          </w:tcPr>
          <w:p>
            <w:pPr>
              <w:adjustRightInd w:val="0"/>
              <w:snapToGrid w:val="0"/>
              <w:jc w:val="center"/>
              <w:rPr>
                <w:rFonts w:hint="eastAsia" w:eastAsia="仿宋_GB2312"/>
                <w:kern w:val="0"/>
                <w:sz w:val="24"/>
                <w:szCs w:val="24"/>
                <w:highlight w:val="none"/>
                <w:lang w:eastAsia="zh-CN"/>
              </w:rPr>
            </w:pPr>
            <w:r>
              <w:rPr>
                <w:rFonts w:hint="eastAsia" w:eastAsia="仿宋_GB2312" w:cs="仿宋_GB2312"/>
                <w:kern w:val="0"/>
                <w:sz w:val="24"/>
                <w:szCs w:val="24"/>
                <w:highlight w:val="none"/>
                <w:lang w:eastAsia="zh-CN" w:bidi="ar"/>
              </w:rPr>
              <w:t>2022年5月24日</w:t>
            </w:r>
          </w:p>
        </w:tc>
      </w:tr>
    </w:tbl>
    <w:p>
      <w:pPr>
        <w:spacing w:line="240" w:lineRule="exact"/>
        <w:ind w:firstLine="200"/>
        <w:jc w:val="center"/>
        <w:rPr>
          <w:rFonts w:hint="eastAsia" w:ascii="仿宋_GB2312" w:hAnsi="宋体" w:eastAsia="仿宋_GB2312"/>
          <w:bCs/>
          <w:sz w:val="28"/>
          <w:szCs w:val="28"/>
          <w:highlight w:val="none"/>
        </w:rPr>
      </w:pPr>
    </w:p>
    <w:p>
      <w:pPr>
        <w:pStyle w:val="2"/>
        <w:spacing w:after="93" w:line="520" w:lineRule="exact"/>
        <w:rPr>
          <w:rFonts w:hint="eastAsia" w:ascii="仿宋_GB2312" w:hAnsi="宋体" w:eastAsia="仿宋_GB2312"/>
          <w:b/>
          <w:highlight w:val="none"/>
        </w:rPr>
      </w:pPr>
      <w:bookmarkStart w:id="4" w:name="_Toc18427"/>
      <w:bookmarkStart w:id="5" w:name="_Toc517794425"/>
      <w:bookmarkStart w:id="6" w:name="_Toc29444"/>
      <w:bookmarkStart w:id="7" w:name="_Toc517794683"/>
      <w:r>
        <w:rPr>
          <w:rFonts w:hint="eastAsia" w:ascii="仿宋_GB2312" w:eastAsia="仿宋_GB2312"/>
          <w:b/>
          <w:highlight w:val="none"/>
        </w:rPr>
        <w:t>二、估价的假设和限制条件</w:t>
      </w:r>
      <w:bookmarkEnd w:id="4"/>
      <w:bookmarkEnd w:id="5"/>
      <w:bookmarkEnd w:id="6"/>
      <w:bookmarkEnd w:id="7"/>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仿宋_GB2312" w:hAnsi="仿宋" w:eastAsia="仿宋_GB2312" w:cs="Times New Roman"/>
          <w:b/>
          <w:bCs/>
          <w:snapToGrid/>
          <w:spacing w:val="0"/>
          <w:sz w:val="28"/>
          <w:szCs w:val="28"/>
          <w:highlight w:val="none"/>
        </w:rPr>
      </w:pPr>
      <w:r>
        <w:rPr>
          <w:rFonts w:hint="eastAsia" w:ascii="仿宋_GB2312" w:hAnsi="仿宋" w:eastAsia="仿宋_GB2312" w:cs="Times New Roman"/>
          <w:b/>
          <w:bCs/>
          <w:snapToGrid/>
          <w:spacing w:val="0"/>
          <w:sz w:val="28"/>
          <w:szCs w:val="28"/>
          <w:highlight w:val="none"/>
        </w:rPr>
        <w:t>一、一般性假设</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1、估价对象产权明晰，手续齐全，可在公开市场上自由转让。</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2、估价对象合法、持续使用；市场供应关系、市场结构保持稳定、未发生重大变化或实质性改变。</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3、估价对象在价值时点的房地产市场为公开、平等、自愿的市场，即能满足以下条件：（1）自愿销售的卖方及自愿购买的买方；（2）交易双方无任何利害关系，交易的目的是追求各自利益的最大化；（3）交易双方了解交易对象、知晓市场行情；（4）交易双方有较充裕的时间进行交易；（5）不存在特殊买者的附加出价。</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4、估价委托人提供了估价对象的</w:t>
      </w:r>
      <w:r>
        <w:rPr>
          <w:rFonts w:hint="eastAsia" w:ascii="仿宋_GB2312" w:hAnsi="仿宋" w:eastAsia="仿宋_GB2312" w:cs="Times New Roman"/>
          <w:sz w:val="28"/>
          <w:szCs w:val="28"/>
          <w:highlight w:val="none"/>
          <w:lang w:eastAsia="zh-CN"/>
        </w:rPr>
        <w:t>《不动产权证书》</w:t>
      </w:r>
      <w:r>
        <w:rPr>
          <w:rFonts w:hint="eastAsia" w:ascii="仿宋_GB2312" w:hAnsi="仿宋" w:eastAsia="仿宋_GB2312" w:cs="Times New Roman"/>
          <w:sz w:val="28"/>
          <w:szCs w:val="28"/>
          <w:highlight w:val="none"/>
        </w:rPr>
        <w:t>，我们对记载的权属、面积、用途等资料进行了必要的审慎检查，在无理由怀疑其合法性、真实性、准确性和完整性的情况下，假定估价委托人提供的资料合法、真实、准确、完整。</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5、估价人员对估价对象仅进行了外观和利用状况的现场查勘，对被遮盖、未暴露及隐蔽工程未能进行专业的测试和检验，在估价过程中</w:t>
      </w:r>
      <w:r>
        <w:rPr>
          <w:rFonts w:hint="eastAsia" w:ascii="仿宋_GB2312" w:hAnsi="仿宋" w:eastAsia="仿宋_GB2312" w:cs="Times New Roman"/>
          <w:sz w:val="28"/>
          <w:szCs w:val="28"/>
          <w:highlight w:val="none"/>
          <w:lang w:eastAsia="zh-CN"/>
        </w:rPr>
        <w:t>我们对房屋安全等影响估价对象价值或价格的重大因素给予了关注，在无理由怀疑估价对象存在安全隐患且无相应的专业机构进行鉴定、检测的情况下</w:t>
      </w:r>
      <w:r>
        <w:rPr>
          <w:rFonts w:hint="eastAsia" w:ascii="仿宋_GB2312" w:hAnsi="仿宋" w:eastAsia="仿宋_GB2312" w:cs="Times New Roman"/>
          <w:sz w:val="28"/>
          <w:szCs w:val="28"/>
          <w:highlight w:val="none"/>
        </w:rPr>
        <w:t>，本次估价对被遮盖、未暴露及隐蔽工程以其状况良好为假设前提。</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lang w:val="en-US" w:eastAsia="zh-CN"/>
        </w:rPr>
      </w:pPr>
      <w:r>
        <w:rPr>
          <w:rFonts w:hint="eastAsia" w:ascii="仿宋_GB2312" w:hAnsi="仿宋" w:eastAsia="仿宋_GB2312" w:cs="Times New Roman"/>
          <w:sz w:val="28"/>
          <w:szCs w:val="28"/>
          <w:highlight w:val="none"/>
          <w:lang w:val="en-US" w:eastAsia="zh-CN"/>
        </w:rPr>
        <w:t>6、估价委托人提供的资料中未明确存在欠缴税金及相关费用，本次估价以估价对象不存在欠缴税金及相关费用为假设前提。</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lang w:val="en-US" w:eastAsia="zh-CN"/>
        </w:rPr>
      </w:pPr>
      <w:r>
        <w:rPr>
          <w:rFonts w:hint="eastAsia" w:ascii="仿宋_GB2312" w:hAnsi="仿宋" w:eastAsia="仿宋_GB2312" w:cs="Times New Roman"/>
          <w:sz w:val="28"/>
          <w:szCs w:val="28"/>
          <w:highlight w:val="none"/>
          <w:lang w:val="en-US" w:eastAsia="zh-CN"/>
        </w:rPr>
        <w:t>7、估价委托人提供的资料中未明确存在租赁权、用益物权及占有使用情况，</w:t>
      </w:r>
      <w:r>
        <w:rPr>
          <w:rFonts w:hint="eastAsia" w:ascii="仿宋_GB2312" w:eastAsia="仿宋_GB2312"/>
          <w:sz w:val="28"/>
          <w:szCs w:val="28"/>
          <w:highlight w:val="none"/>
        </w:rPr>
        <w:t>估价人员</w:t>
      </w:r>
      <w:r>
        <w:rPr>
          <w:rFonts w:hint="eastAsia" w:ascii="仿宋_GB2312" w:eastAsia="仿宋_GB2312"/>
          <w:sz w:val="28"/>
          <w:szCs w:val="28"/>
          <w:highlight w:val="none"/>
          <w:lang w:eastAsia="zh-CN"/>
        </w:rPr>
        <w:t>经过</w:t>
      </w:r>
      <w:r>
        <w:rPr>
          <w:rFonts w:hint="eastAsia" w:ascii="仿宋_GB2312" w:eastAsia="仿宋_GB2312"/>
          <w:sz w:val="28"/>
          <w:szCs w:val="28"/>
          <w:highlight w:val="none"/>
        </w:rPr>
        <w:t>现场查勘</w:t>
      </w:r>
      <w:r>
        <w:rPr>
          <w:rFonts w:hint="eastAsia" w:ascii="仿宋_GB2312" w:eastAsia="仿宋_GB2312"/>
          <w:sz w:val="28"/>
          <w:szCs w:val="28"/>
          <w:highlight w:val="none"/>
          <w:lang w:eastAsia="zh-CN"/>
        </w:rPr>
        <w:t>和尽职调查后也未发现</w:t>
      </w:r>
      <w:r>
        <w:rPr>
          <w:rFonts w:hint="eastAsia" w:ascii="仿宋_GB2312" w:hAnsi="Times New Roman" w:eastAsia="仿宋_GB2312" w:cs="Times New Roman"/>
          <w:i w:val="0"/>
          <w:iCs w:val="0"/>
          <w:caps w:val="0"/>
          <w:spacing w:val="0"/>
          <w:sz w:val="28"/>
          <w:szCs w:val="28"/>
          <w:highlight w:val="none"/>
          <w:shd w:val="clear"/>
        </w:rPr>
        <w:t>存在租赁权、用益物权及占有使用情况</w:t>
      </w:r>
      <w:r>
        <w:rPr>
          <w:rFonts w:hint="eastAsia" w:ascii="仿宋_GB2312" w:hAnsi="Times New Roman" w:eastAsia="仿宋_GB2312" w:cs="Times New Roman"/>
          <w:i w:val="0"/>
          <w:iCs w:val="0"/>
          <w:caps w:val="0"/>
          <w:spacing w:val="0"/>
          <w:sz w:val="28"/>
          <w:szCs w:val="28"/>
          <w:highlight w:val="none"/>
          <w:shd w:val="clear"/>
          <w:lang w:eastAsia="zh-CN"/>
        </w:rPr>
        <w:t>，</w:t>
      </w:r>
      <w:r>
        <w:rPr>
          <w:rFonts w:hint="eastAsia" w:ascii="仿宋_GB2312" w:eastAsia="仿宋_GB2312"/>
          <w:sz w:val="28"/>
          <w:szCs w:val="28"/>
          <w:highlight w:val="none"/>
          <w:lang w:eastAsia="zh-CN"/>
        </w:rPr>
        <w:t>本次</w:t>
      </w:r>
      <w:r>
        <w:rPr>
          <w:rFonts w:hint="eastAsia" w:ascii="仿宋_GB2312" w:hAnsi="仿宋" w:eastAsia="仿宋_GB2312" w:cs="Times New Roman"/>
          <w:sz w:val="28"/>
          <w:szCs w:val="28"/>
          <w:highlight w:val="none"/>
          <w:lang w:val="en-US" w:eastAsia="zh-CN"/>
        </w:rPr>
        <w:t>估价以估价对象</w:t>
      </w:r>
      <w:r>
        <w:rPr>
          <w:rFonts w:hint="eastAsia" w:ascii="仿宋_GB2312" w:eastAsia="仿宋_GB2312"/>
          <w:sz w:val="28"/>
          <w:szCs w:val="28"/>
          <w:highlight w:val="none"/>
          <w:lang w:eastAsia="zh-CN"/>
        </w:rPr>
        <w:t>不存在租赁权、用益物权及占有使用情况</w:t>
      </w:r>
      <w:r>
        <w:rPr>
          <w:rFonts w:hint="eastAsia" w:ascii="仿宋_GB2312" w:hAnsi="仿宋" w:eastAsia="仿宋_GB2312" w:cs="Times New Roman"/>
          <w:sz w:val="28"/>
          <w:szCs w:val="28"/>
          <w:highlight w:val="none"/>
          <w:lang w:val="en-US" w:eastAsia="zh-CN"/>
        </w:rPr>
        <w:t>为假设前提</w:t>
      </w:r>
      <w:r>
        <w:rPr>
          <w:rFonts w:hint="eastAsia" w:ascii="仿宋_GB2312" w:eastAsia="仿宋_GB2312"/>
          <w:sz w:val="28"/>
          <w:szCs w:val="28"/>
          <w:highlight w:val="none"/>
          <w:lang w:eastAsia="zh-CN"/>
        </w:rPr>
        <w:t>。</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仿宋_GB2312" w:hAnsi="仿宋" w:eastAsia="仿宋_GB2312" w:cs="Times New Roman"/>
          <w:b/>
          <w:bCs/>
          <w:snapToGrid/>
          <w:spacing w:val="0"/>
          <w:sz w:val="28"/>
          <w:szCs w:val="28"/>
          <w:highlight w:val="none"/>
        </w:rPr>
      </w:pPr>
      <w:r>
        <w:rPr>
          <w:rFonts w:hint="eastAsia" w:ascii="仿宋_GB2312" w:hAnsi="仿宋" w:eastAsia="仿宋_GB2312" w:cs="Times New Roman"/>
          <w:b/>
          <w:bCs/>
          <w:snapToGrid/>
          <w:spacing w:val="0"/>
          <w:sz w:val="28"/>
          <w:szCs w:val="28"/>
          <w:highlight w:val="none"/>
        </w:rPr>
        <w:t>二、未定事项假设</w:t>
      </w:r>
    </w:p>
    <w:p>
      <w:pPr>
        <w:keepNext w:val="0"/>
        <w:keepLines w:val="0"/>
        <w:pageBreakBefore w:val="0"/>
        <w:widowControl w:val="0"/>
        <w:tabs>
          <w:tab w:val="left" w:pos="426"/>
          <w:tab w:val="left" w:pos="1065"/>
        </w:tabs>
        <w:kinsoku/>
        <w:wordWrap/>
        <w:overflowPunct/>
        <w:topLinePunct w:val="0"/>
        <w:autoSpaceDE/>
        <w:autoSpaceDN/>
        <w:bidi w:val="0"/>
        <w:adjustRightInd w:val="0"/>
        <w:snapToGrid w:val="0"/>
        <w:spacing w:line="520" w:lineRule="exact"/>
        <w:ind w:right="68" w:firstLine="548" w:firstLineChars="196"/>
        <w:textAlignment w:val="auto"/>
        <w:rPr>
          <w:rFonts w:hint="eastAsia" w:ascii="仿宋_GB2312" w:eastAsia="仿宋_GB2312"/>
          <w:snapToGrid w:val="0"/>
          <w:spacing w:val="4"/>
          <w:sz w:val="28"/>
          <w:szCs w:val="28"/>
        </w:rPr>
      </w:pPr>
      <w:r>
        <w:rPr>
          <w:rFonts w:hint="eastAsia" w:ascii="仿宋_GB2312" w:eastAsia="仿宋_GB2312"/>
          <w:sz w:val="28"/>
          <w:szCs w:val="28"/>
        </w:rPr>
        <w:t>本次估价</w:t>
      </w:r>
      <w:r>
        <w:rPr>
          <w:rFonts w:hint="eastAsia" w:ascii="仿宋_GB2312" w:eastAsia="仿宋_GB2312"/>
          <w:sz w:val="28"/>
          <w:szCs w:val="28"/>
          <w:lang w:eastAsia="zh-CN"/>
        </w:rPr>
        <w:t>对象已被法院查封，</w:t>
      </w:r>
      <w:r>
        <w:rPr>
          <w:rFonts w:hint="eastAsia" w:ascii="仿宋_GB2312" w:hAnsi="宋体" w:eastAsia="仿宋_GB2312"/>
          <w:sz w:val="28"/>
          <w:szCs w:val="28"/>
        </w:rPr>
        <w:t>考虑到本次估价目的，本次评估未考虑他项权利对房地产价值的影响，提请</w:t>
      </w:r>
      <w:r>
        <w:rPr>
          <w:rFonts w:hint="eastAsia" w:ascii="仿宋_GB2312" w:eastAsia="仿宋_GB2312"/>
          <w:snapToGrid w:val="0"/>
          <w:spacing w:val="4"/>
          <w:sz w:val="28"/>
          <w:szCs w:val="28"/>
          <w:lang w:eastAsia="zh-CN"/>
        </w:rPr>
        <w:t>报告使用人</w:t>
      </w:r>
      <w:r>
        <w:rPr>
          <w:rFonts w:hint="eastAsia" w:ascii="仿宋_GB2312" w:hAnsi="宋体" w:eastAsia="仿宋_GB2312"/>
          <w:sz w:val="28"/>
          <w:szCs w:val="28"/>
        </w:rPr>
        <w:t>注意</w:t>
      </w:r>
      <w:r>
        <w:rPr>
          <w:rFonts w:hint="eastAsia" w:ascii="仿宋_GB2312" w:eastAsia="仿宋_GB2312"/>
          <w:snapToGrid w:val="0"/>
          <w:spacing w:val="4"/>
          <w:sz w:val="28"/>
          <w:szCs w:val="28"/>
        </w:rPr>
        <w:t>。</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仿宋_GB2312" w:hAnsi="仿宋" w:eastAsia="仿宋_GB2312" w:cs="Times New Roman"/>
          <w:b/>
          <w:bCs/>
          <w:snapToGrid/>
          <w:spacing w:val="0"/>
          <w:sz w:val="28"/>
          <w:szCs w:val="28"/>
          <w:highlight w:val="none"/>
        </w:rPr>
      </w:pPr>
      <w:r>
        <w:rPr>
          <w:rFonts w:hint="eastAsia" w:ascii="仿宋_GB2312" w:hAnsi="仿宋" w:eastAsia="仿宋_GB2312" w:cs="Times New Roman"/>
          <w:b/>
          <w:bCs/>
          <w:snapToGrid/>
          <w:spacing w:val="0"/>
          <w:sz w:val="28"/>
          <w:szCs w:val="28"/>
          <w:highlight w:val="none"/>
        </w:rPr>
        <w:t>三、背离事实假设</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0" w:firstLineChars="200"/>
        <w:jc w:val="left"/>
        <w:rPr>
          <w:rFonts w:hint="eastAsia" w:ascii="仿宋_GB2312" w:hAnsi="仿宋" w:eastAsia="仿宋_GB2312" w:cs="Times New Roman"/>
          <w:snapToGrid/>
          <w:spacing w:val="0"/>
          <w:sz w:val="28"/>
          <w:szCs w:val="28"/>
          <w:highlight w:val="none"/>
        </w:rPr>
      </w:pPr>
      <w:r>
        <w:rPr>
          <w:rFonts w:hint="eastAsia" w:ascii="仿宋_GB2312" w:hAnsi="仿宋" w:eastAsia="仿宋_GB2312" w:cs="Times New Roman"/>
          <w:snapToGrid/>
          <w:spacing w:val="0"/>
          <w:sz w:val="28"/>
          <w:szCs w:val="28"/>
          <w:highlight w:val="none"/>
          <w:lang w:eastAsia="zh-CN"/>
        </w:rPr>
        <w:t>本次估价不存在背离事实假设</w:t>
      </w:r>
      <w:r>
        <w:rPr>
          <w:rFonts w:hint="eastAsia" w:ascii="仿宋_GB2312" w:hAnsi="仿宋" w:eastAsia="仿宋_GB2312" w:cs="Times New Roman"/>
          <w:snapToGrid/>
          <w:spacing w:val="0"/>
          <w:sz w:val="28"/>
          <w:szCs w:val="28"/>
          <w:highlight w:val="none"/>
        </w:rPr>
        <w:t>。</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仿宋_GB2312" w:hAnsi="仿宋" w:eastAsia="仿宋_GB2312" w:cs="Times New Roman"/>
          <w:b/>
          <w:bCs/>
          <w:snapToGrid/>
          <w:spacing w:val="0"/>
          <w:sz w:val="28"/>
          <w:szCs w:val="28"/>
          <w:highlight w:val="none"/>
        </w:rPr>
      </w:pPr>
      <w:r>
        <w:rPr>
          <w:rFonts w:hint="eastAsia" w:ascii="仿宋_GB2312" w:hAnsi="仿宋" w:eastAsia="仿宋_GB2312" w:cs="Times New Roman"/>
          <w:b/>
          <w:bCs/>
          <w:snapToGrid/>
          <w:spacing w:val="0"/>
          <w:sz w:val="28"/>
          <w:szCs w:val="28"/>
          <w:highlight w:val="none"/>
        </w:rPr>
        <w:t>四、不相一致假设</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napToGrid/>
          <w:spacing w:val="0"/>
          <w:sz w:val="28"/>
          <w:szCs w:val="28"/>
          <w:highlight w:val="none"/>
          <w:lang w:eastAsia="zh-CN"/>
        </w:rPr>
      </w:pPr>
      <w:r>
        <w:rPr>
          <w:rFonts w:hint="eastAsia" w:ascii="仿宋_GB2312" w:hAnsi="仿宋" w:eastAsia="仿宋_GB2312" w:cs="Times New Roman"/>
          <w:snapToGrid/>
          <w:spacing w:val="0"/>
          <w:sz w:val="28"/>
          <w:szCs w:val="28"/>
          <w:highlight w:val="none"/>
          <w:lang w:eastAsia="zh-CN"/>
        </w:rPr>
        <w:t>本次估价不存在不相一致假设。</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仿宋_GB2312" w:hAnsi="仿宋" w:eastAsia="仿宋_GB2312" w:cs="Times New Roman"/>
          <w:b/>
          <w:bCs/>
          <w:snapToGrid/>
          <w:spacing w:val="0"/>
          <w:sz w:val="28"/>
          <w:szCs w:val="28"/>
          <w:highlight w:val="none"/>
        </w:rPr>
      </w:pPr>
      <w:r>
        <w:rPr>
          <w:rFonts w:hint="eastAsia" w:ascii="仿宋_GB2312" w:hAnsi="仿宋" w:eastAsia="仿宋_GB2312" w:cs="Times New Roman"/>
          <w:b/>
          <w:bCs/>
          <w:snapToGrid/>
          <w:spacing w:val="0"/>
          <w:sz w:val="28"/>
          <w:szCs w:val="28"/>
          <w:highlight w:val="none"/>
        </w:rPr>
        <w:t>五、依据不足假设</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napToGrid/>
          <w:spacing w:val="0"/>
          <w:sz w:val="28"/>
          <w:szCs w:val="28"/>
          <w:highlight w:val="none"/>
          <w:lang w:eastAsia="zh-CN"/>
        </w:rPr>
      </w:pPr>
      <w:r>
        <w:rPr>
          <w:rFonts w:hint="eastAsia" w:ascii="仿宋_GB2312" w:hAnsi="仿宋" w:eastAsia="仿宋_GB2312" w:cs="Times New Roman"/>
          <w:snapToGrid/>
          <w:spacing w:val="0"/>
          <w:sz w:val="28"/>
          <w:szCs w:val="28"/>
          <w:highlight w:val="none"/>
          <w:lang w:eastAsia="zh-CN"/>
        </w:rPr>
        <w:t>本次估价不存在依据不足假设。</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仿宋_GB2312" w:hAnsi="仿宋" w:eastAsia="仿宋_GB2312" w:cs="Times New Roman"/>
          <w:b/>
          <w:bCs/>
          <w:snapToGrid/>
          <w:spacing w:val="0"/>
          <w:sz w:val="28"/>
          <w:szCs w:val="28"/>
          <w:highlight w:val="none"/>
        </w:rPr>
      </w:pPr>
      <w:r>
        <w:rPr>
          <w:rFonts w:hint="eastAsia" w:ascii="仿宋_GB2312" w:hAnsi="仿宋" w:eastAsia="仿宋_GB2312" w:cs="Times New Roman"/>
          <w:b/>
          <w:bCs/>
          <w:snapToGrid/>
          <w:spacing w:val="0"/>
          <w:sz w:val="28"/>
          <w:szCs w:val="28"/>
          <w:highlight w:val="none"/>
        </w:rPr>
        <w:t>六、估价报告使用限制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仿宋_GB2312" w:hAnsi="仿宋" w:eastAsia="仿宋_GB2312" w:cs="Times New Roman"/>
          <w:i w:val="0"/>
          <w:iCs w:val="0"/>
          <w:caps w:val="0"/>
          <w:spacing w:val="0"/>
          <w:kern w:val="2"/>
          <w:sz w:val="28"/>
          <w:szCs w:val="28"/>
          <w:highlight w:val="none"/>
          <w:shd w:val="clear"/>
          <w:lang w:eastAsia="zh-CN"/>
        </w:rPr>
      </w:pPr>
      <w:r>
        <w:rPr>
          <w:rFonts w:hint="eastAsia" w:ascii="仿宋_GB2312" w:hAnsi="仿宋" w:eastAsia="仿宋_GB2312" w:cs="Times New Roman"/>
          <w:sz w:val="28"/>
          <w:szCs w:val="28"/>
          <w:highlight w:val="none"/>
        </w:rPr>
        <w:t>1、本估价报告仅为</w:t>
      </w:r>
      <w:r>
        <w:rPr>
          <w:rFonts w:hint="eastAsia" w:ascii="仿宋_GB2312" w:hAnsi="仿宋" w:eastAsia="仿宋_GB2312" w:cs="Times New Roman"/>
          <w:b/>
          <w:bCs/>
          <w:sz w:val="28"/>
          <w:szCs w:val="28"/>
          <w:highlight w:val="none"/>
          <w:lang w:eastAsia="zh-CN"/>
        </w:rPr>
        <w:t>大余县人民法院</w:t>
      </w:r>
      <w:r>
        <w:rPr>
          <w:rFonts w:hint="eastAsia" w:ascii="仿宋_GB2312" w:hAnsi="仿宋" w:eastAsia="仿宋_GB2312" w:cs="Times New Roman"/>
          <w:sz w:val="28"/>
          <w:szCs w:val="28"/>
          <w:highlight w:val="none"/>
          <w:lang w:eastAsia="zh-CN"/>
        </w:rPr>
        <w:t>确定财产</w:t>
      </w:r>
      <w:r>
        <w:rPr>
          <w:rFonts w:hint="eastAsia" w:ascii="仿宋_GB2312" w:hAnsi="仿宋" w:eastAsia="仿宋_GB2312" w:cs="Times New Roman"/>
          <w:sz w:val="28"/>
          <w:szCs w:val="28"/>
          <w:highlight w:val="none"/>
        </w:rPr>
        <w:t>处置</w:t>
      </w:r>
      <w:r>
        <w:rPr>
          <w:rFonts w:hint="eastAsia" w:ascii="仿宋_GB2312" w:hAnsi="仿宋" w:eastAsia="仿宋_GB2312" w:cs="Times New Roman"/>
          <w:sz w:val="28"/>
          <w:szCs w:val="28"/>
          <w:highlight w:val="none"/>
          <w:lang w:eastAsia="zh-CN"/>
        </w:rPr>
        <w:t>参考价</w:t>
      </w:r>
      <w:r>
        <w:rPr>
          <w:rFonts w:hint="eastAsia" w:ascii="仿宋_GB2312" w:hAnsi="仿宋" w:eastAsia="仿宋_GB2312" w:cs="Times New Roman"/>
          <w:sz w:val="28"/>
          <w:szCs w:val="28"/>
          <w:highlight w:val="none"/>
        </w:rPr>
        <w:t>提供</w:t>
      </w:r>
      <w:r>
        <w:rPr>
          <w:rFonts w:hint="eastAsia" w:ascii="仿宋_GB2312" w:hAnsi="仿宋" w:eastAsia="仿宋_GB2312" w:cs="Times New Roman"/>
          <w:sz w:val="28"/>
          <w:szCs w:val="28"/>
          <w:highlight w:val="none"/>
          <w:lang w:eastAsia="zh-CN"/>
        </w:rPr>
        <w:t>参考</w:t>
      </w:r>
      <w:r>
        <w:rPr>
          <w:rFonts w:hint="eastAsia" w:ascii="仿宋_GB2312" w:hAnsi="仿宋" w:eastAsia="仿宋_GB2312" w:cs="Times New Roman"/>
          <w:sz w:val="28"/>
          <w:szCs w:val="28"/>
          <w:highlight w:val="none"/>
        </w:rPr>
        <w:t>依据，不作它用；</w:t>
      </w:r>
      <w:r>
        <w:rPr>
          <w:rFonts w:hint="eastAsia" w:ascii="仿宋_GB2312" w:hAnsi="仿宋" w:eastAsia="仿宋_GB2312" w:cs="Times New Roman"/>
          <w:kern w:val="2"/>
          <w:sz w:val="28"/>
          <w:szCs w:val="28"/>
          <w:highlight w:val="none"/>
          <w:lang w:val="en-US" w:eastAsia="zh-CN"/>
        </w:rPr>
        <w:t>报告使用人</w:t>
      </w:r>
      <w:r>
        <w:rPr>
          <w:rFonts w:hint="eastAsia" w:ascii="仿宋_GB2312" w:hAnsi="仿宋" w:eastAsia="仿宋_GB2312" w:cs="Times New Roman"/>
          <w:i w:val="0"/>
          <w:iCs w:val="0"/>
          <w:caps w:val="0"/>
          <w:spacing w:val="0"/>
          <w:sz w:val="28"/>
          <w:szCs w:val="28"/>
          <w:highlight w:val="none"/>
          <w:shd w:val="clear"/>
        </w:rPr>
        <w:t>应当按照法律规定和报告</w:t>
      </w:r>
      <w:r>
        <w:rPr>
          <w:rFonts w:hint="eastAsia" w:ascii="仿宋_GB2312" w:hAnsi="仿宋" w:eastAsia="仿宋_GB2312" w:cs="Times New Roman"/>
          <w:i w:val="0"/>
          <w:iCs w:val="0"/>
          <w:caps w:val="0"/>
          <w:spacing w:val="0"/>
          <w:kern w:val="2"/>
          <w:sz w:val="28"/>
          <w:szCs w:val="28"/>
          <w:highlight w:val="none"/>
          <w:shd w:val="clear"/>
          <w:lang w:eastAsia="zh-CN"/>
        </w:rPr>
        <w:t>所</w:t>
      </w:r>
      <w:r>
        <w:rPr>
          <w:rFonts w:hint="eastAsia" w:ascii="仿宋_GB2312" w:hAnsi="仿宋" w:eastAsia="仿宋_GB2312" w:cs="Times New Roman"/>
          <w:i w:val="0"/>
          <w:iCs w:val="0"/>
          <w:caps w:val="0"/>
          <w:spacing w:val="0"/>
          <w:sz w:val="28"/>
          <w:szCs w:val="28"/>
          <w:highlight w:val="none"/>
          <w:shd w:val="clear"/>
        </w:rPr>
        <w:t>载明的用途、使用人、使用期限等使用范围使用</w:t>
      </w:r>
      <w:r>
        <w:rPr>
          <w:rFonts w:hint="eastAsia" w:ascii="仿宋_GB2312" w:hAnsi="仿宋" w:eastAsia="仿宋_GB2312" w:cs="Times New Roman"/>
          <w:i w:val="0"/>
          <w:iCs w:val="0"/>
          <w:caps w:val="0"/>
          <w:spacing w:val="0"/>
          <w:kern w:val="2"/>
          <w:sz w:val="28"/>
          <w:szCs w:val="28"/>
          <w:highlight w:val="none"/>
          <w:shd w:val="clear"/>
          <w:lang w:eastAsia="zh-CN"/>
        </w:rPr>
        <w:t>本估价</w:t>
      </w:r>
      <w:r>
        <w:rPr>
          <w:rFonts w:hint="eastAsia" w:ascii="仿宋_GB2312" w:hAnsi="仿宋" w:eastAsia="仿宋_GB2312" w:cs="Times New Roman"/>
          <w:i w:val="0"/>
          <w:iCs w:val="0"/>
          <w:caps w:val="0"/>
          <w:spacing w:val="0"/>
          <w:sz w:val="28"/>
          <w:szCs w:val="28"/>
          <w:highlight w:val="none"/>
          <w:shd w:val="clear"/>
        </w:rPr>
        <w:t>报告</w:t>
      </w:r>
      <w:r>
        <w:rPr>
          <w:rFonts w:hint="eastAsia" w:ascii="仿宋_GB2312" w:hAnsi="仿宋" w:eastAsia="仿宋_GB2312" w:cs="Times New Roman"/>
          <w:i w:val="0"/>
          <w:iCs w:val="0"/>
          <w:caps w:val="0"/>
          <w:spacing w:val="0"/>
          <w:sz w:val="28"/>
          <w:szCs w:val="28"/>
          <w:highlight w:val="none"/>
          <w:shd w:val="clear"/>
          <w:lang w:eastAsia="zh-CN"/>
        </w:rPr>
        <w:t>；</w:t>
      </w:r>
      <w:r>
        <w:rPr>
          <w:rFonts w:hint="eastAsia" w:ascii="仿宋_GB2312" w:hAnsi="仿宋" w:eastAsia="仿宋_GB2312" w:cs="Times New Roman"/>
          <w:i w:val="0"/>
          <w:iCs w:val="0"/>
          <w:caps w:val="0"/>
          <w:spacing w:val="0"/>
          <w:sz w:val="28"/>
          <w:szCs w:val="28"/>
          <w:highlight w:val="none"/>
          <w:shd w:val="clear"/>
        </w:rPr>
        <w:t>否则，房地产估价机构和注册房地产估价师依法不承担责任</w:t>
      </w:r>
      <w:r>
        <w:rPr>
          <w:rFonts w:hint="eastAsia" w:ascii="仿宋_GB2312" w:hAnsi="仿宋" w:eastAsia="仿宋_GB2312" w:cs="Times New Roman"/>
          <w:i w:val="0"/>
          <w:iCs w:val="0"/>
          <w:caps w:val="0"/>
          <w:spacing w:val="0"/>
          <w:kern w:val="2"/>
          <w:sz w:val="28"/>
          <w:szCs w:val="28"/>
          <w:highlight w:val="none"/>
          <w:shd w:val="clear"/>
          <w:lang w:eastAsia="zh-CN"/>
        </w:rPr>
        <w:t>。</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仿宋_GB2312" w:hAnsi="仿宋" w:eastAsia="仿宋_GB2312" w:cs="Times New Roman"/>
          <w:i w:val="0"/>
          <w:iCs w:val="0"/>
          <w:caps w:val="0"/>
          <w:spacing w:val="0"/>
          <w:kern w:val="2"/>
          <w:sz w:val="28"/>
          <w:szCs w:val="28"/>
          <w:highlight w:val="none"/>
          <w:shd w:val="clear"/>
          <w:lang w:eastAsia="zh-CN"/>
        </w:rPr>
      </w:pPr>
      <w:r>
        <w:rPr>
          <w:rFonts w:hint="eastAsia" w:ascii="仿宋_GB2312" w:hAnsi="仿宋" w:eastAsia="仿宋_GB2312" w:cs="Times New Roman"/>
          <w:sz w:val="28"/>
          <w:szCs w:val="28"/>
          <w:highlight w:val="none"/>
          <w:lang w:val="en-US" w:eastAsia="zh-CN"/>
        </w:rPr>
        <w:t>2、</w:t>
      </w:r>
      <w:r>
        <w:rPr>
          <w:rFonts w:hint="eastAsia" w:ascii="仿宋_GB2312" w:hAnsi="仿宋" w:eastAsia="仿宋_GB2312" w:cs="Times New Roman"/>
          <w:sz w:val="28"/>
          <w:szCs w:val="28"/>
          <w:highlight w:val="none"/>
        </w:rPr>
        <w:t>本估价报告自出具之日起一年内有效</w:t>
      </w:r>
      <w:r>
        <w:rPr>
          <w:rFonts w:hint="eastAsia" w:ascii="仿宋_GB2312" w:hAnsi="仿宋" w:eastAsia="仿宋_GB2312" w:cs="Times New Roman"/>
          <w:sz w:val="28"/>
          <w:szCs w:val="28"/>
          <w:highlight w:val="none"/>
          <w:lang w:eastAsia="zh-CN"/>
        </w:rPr>
        <w:t>。</w:t>
      </w:r>
      <w:r>
        <w:rPr>
          <w:rFonts w:hint="eastAsia" w:ascii="仿宋_GB2312" w:hAnsi="仿宋" w:eastAsia="仿宋_GB2312" w:cs="Times New Roman"/>
          <w:i w:val="0"/>
          <w:iCs w:val="0"/>
          <w:caps w:val="0"/>
          <w:spacing w:val="0"/>
          <w:sz w:val="28"/>
          <w:szCs w:val="28"/>
          <w:highlight w:val="none"/>
          <w:shd w:val="clear"/>
        </w:rPr>
        <w:t>在报告使用期限</w:t>
      </w:r>
      <w:r>
        <w:rPr>
          <w:rFonts w:hint="eastAsia" w:ascii="仿宋_GB2312" w:hAnsi="仿宋" w:eastAsia="仿宋_GB2312" w:cs="Times New Roman"/>
          <w:i w:val="0"/>
          <w:iCs w:val="0"/>
          <w:caps w:val="0"/>
          <w:spacing w:val="0"/>
          <w:sz w:val="28"/>
          <w:szCs w:val="28"/>
          <w:highlight w:val="none"/>
          <w:shd w:val="clear"/>
          <w:lang w:eastAsia="zh-CN"/>
        </w:rPr>
        <w:t>及</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sz w:val="28"/>
          <w:szCs w:val="28"/>
          <w:highlight w:val="none"/>
          <w:shd w:val="clear"/>
        </w:rPr>
        <w:t>结果有效期内，</w:t>
      </w:r>
      <w:r>
        <w:rPr>
          <w:rFonts w:hint="eastAsia" w:ascii="仿宋_GB2312" w:hAnsi="仿宋" w:eastAsia="仿宋_GB2312" w:cs="Times New Roman"/>
          <w:i w:val="0"/>
          <w:iCs w:val="0"/>
          <w:caps w:val="0"/>
          <w:spacing w:val="0"/>
          <w:sz w:val="28"/>
          <w:szCs w:val="28"/>
          <w:highlight w:val="none"/>
          <w:shd w:val="clear"/>
          <w:lang w:eastAsia="zh-CN"/>
        </w:rPr>
        <w:t>或者</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sz w:val="28"/>
          <w:szCs w:val="28"/>
          <w:highlight w:val="none"/>
          <w:shd w:val="clear"/>
        </w:rPr>
        <w:t>报告</w:t>
      </w:r>
      <w:r>
        <w:rPr>
          <w:rFonts w:hint="eastAsia" w:ascii="仿宋_GB2312" w:hAnsi="仿宋" w:eastAsia="仿宋_GB2312" w:cs="Times New Roman"/>
          <w:i w:val="0"/>
          <w:iCs w:val="0"/>
          <w:caps w:val="0"/>
          <w:spacing w:val="0"/>
          <w:sz w:val="28"/>
          <w:szCs w:val="28"/>
          <w:highlight w:val="none"/>
          <w:shd w:val="clear"/>
          <w:lang w:eastAsia="zh-CN"/>
        </w:rPr>
        <w:t>和</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sz w:val="28"/>
          <w:szCs w:val="28"/>
          <w:highlight w:val="none"/>
          <w:shd w:val="clear"/>
        </w:rPr>
        <w:t>结果未使用之前，如果</w:t>
      </w:r>
      <w:r>
        <w:rPr>
          <w:rFonts w:hint="eastAsia" w:ascii="仿宋_GB2312" w:hAnsi="仿宋" w:eastAsia="仿宋_GB2312" w:cs="Times New Roman"/>
          <w:i w:val="0"/>
          <w:iCs w:val="0"/>
          <w:caps w:val="0"/>
          <w:spacing w:val="0"/>
          <w:kern w:val="2"/>
          <w:sz w:val="28"/>
          <w:szCs w:val="28"/>
          <w:highlight w:val="none"/>
          <w:shd w:val="clear"/>
          <w:lang w:eastAsia="zh-CN"/>
        </w:rPr>
        <w:t>估价对象</w:t>
      </w:r>
      <w:r>
        <w:rPr>
          <w:rFonts w:hint="eastAsia" w:ascii="仿宋_GB2312" w:hAnsi="仿宋" w:eastAsia="仿宋_GB2312" w:cs="Times New Roman"/>
          <w:i w:val="0"/>
          <w:iCs w:val="0"/>
          <w:caps w:val="0"/>
          <w:spacing w:val="0"/>
          <w:sz w:val="28"/>
          <w:szCs w:val="28"/>
          <w:highlight w:val="none"/>
          <w:shd w:val="clear"/>
        </w:rPr>
        <w:t>状况或者房地产市场状况发生明显变化的，</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sz w:val="28"/>
          <w:szCs w:val="28"/>
          <w:highlight w:val="none"/>
          <w:shd w:val="clear"/>
        </w:rPr>
        <w:t>结果应当进行相应调整后才可使用</w:t>
      </w:r>
      <w:r>
        <w:rPr>
          <w:rFonts w:hint="eastAsia" w:ascii="仿宋_GB2312" w:hAnsi="仿宋" w:eastAsia="仿宋_GB2312" w:cs="Times New Roman"/>
          <w:i w:val="0"/>
          <w:iCs w:val="0"/>
          <w:caps w:val="0"/>
          <w:spacing w:val="0"/>
          <w:kern w:val="2"/>
          <w:sz w:val="28"/>
          <w:szCs w:val="28"/>
          <w:highlight w:val="none"/>
          <w:shd w:val="clear"/>
          <w:lang w:eastAsia="zh-CN"/>
        </w:rPr>
        <w:t>。</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仿宋_GB2312" w:hAnsi="仿宋" w:eastAsia="仿宋_GB2312" w:cs="Times New Roman"/>
          <w:i w:val="0"/>
          <w:iCs w:val="0"/>
          <w:caps w:val="0"/>
          <w:spacing w:val="0"/>
          <w:kern w:val="2"/>
          <w:sz w:val="28"/>
          <w:szCs w:val="28"/>
          <w:highlight w:val="none"/>
          <w:shd w:val="clear"/>
          <w:lang w:eastAsia="zh-CN"/>
        </w:rPr>
      </w:pPr>
      <w:r>
        <w:rPr>
          <w:rFonts w:hint="eastAsia" w:ascii="仿宋_GB2312" w:hAnsi="仿宋" w:eastAsia="仿宋_GB2312" w:cs="Times New Roman"/>
          <w:i w:val="0"/>
          <w:iCs w:val="0"/>
          <w:caps w:val="0"/>
          <w:spacing w:val="0"/>
          <w:kern w:val="2"/>
          <w:sz w:val="28"/>
          <w:szCs w:val="28"/>
          <w:highlight w:val="none"/>
          <w:shd w:val="clear"/>
          <w:lang w:val="en-US" w:eastAsia="zh-CN"/>
        </w:rPr>
        <w:t>3、</w:t>
      </w:r>
      <w:r>
        <w:rPr>
          <w:rFonts w:hint="eastAsia" w:ascii="仿宋_GB2312" w:hAnsi="仿宋" w:eastAsia="仿宋_GB2312" w:cs="Times New Roman"/>
          <w:i w:val="0"/>
          <w:iCs w:val="0"/>
          <w:caps w:val="0"/>
          <w:spacing w:val="0"/>
          <w:kern w:val="2"/>
          <w:sz w:val="28"/>
          <w:szCs w:val="28"/>
          <w:highlight w:val="none"/>
          <w:shd w:val="clear"/>
          <w:lang w:eastAsia="zh-CN"/>
        </w:rPr>
        <w:t>若</w:t>
      </w:r>
      <w:r>
        <w:rPr>
          <w:rFonts w:hint="eastAsia" w:ascii="仿宋_GB2312" w:hAnsi="仿宋" w:eastAsia="仿宋_GB2312" w:cs="Times New Roman"/>
          <w:i w:val="0"/>
          <w:iCs w:val="0"/>
          <w:caps w:val="0"/>
          <w:spacing w:val="0"/>
          <w:sz w:val="28"/>
          <w:szCs w:val="28"/>
          <w:highlight w:val="none"/>
          <w:shd w:val="clear"/>
        </w:rPr>
        <w:t>财产拍卖或者变卖之日与价值时点不一致，可能导致</w:t>
      </w:r>
      <w:r>
        <w:rPr>
          <w:rFonts w:hint="eastAsia" w:ascii="仿宋_GB2312" w:hAnsi="仿宋" w:eastAsia="仿宋_GB2312" w:cs="Times New Roman"/>
          <w:i w:val="0"/>
          <w:iCs w:val="0"/>
          <w:caps w:val="0"/>
          <w:spacing w:val="0"/>
          <w:kern w:val="2"/>
          <w:sz w:val="28"/>
          <w:szCs w:val="28"/>
          <w:highlight w:val="none"/>
          <w:shd w:val="clear"/>
          <w:lang w:eastAsia="zh-CN"/>
        </w:rPr>
        <w:t>估价结果</w:t>
      </w:r>
      <w:r>
        <w:rPr>
          <w:rFonts w:hint="eastAsia" w:ascii="仿宋_GB2312" w:hAnsi="仿宋" w:eastAsia="仿宋_GB2312" w:cs="Times New Roman"/>
          <w:i w:val="0"/>
          <w:iCs w:val="0"/>
          <w:caps w:val="0"/>
          <w:spacing w:val="0"/>
          <w:sz w:val="28"/>
          <w:szCs w:val="28"/>
          <w:highlight w:val="none"/>
          <w:shd w:val="clear"/>
        </w:rPr>
        <w:t>对应的</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sz w:val="28"/>
          <w:szCs w:val="28"/>
          <w:highlight w:val="none"/>
          <w:shd w:val="clear"/>
        </w:rPr>
        <w:t>对象状况、房地产市场状况、欠缴税费状况等与财产拍卖或者变卖时的相应状况不一致，发生明显变化的，</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sz w:val="28"/>
          <w:szCs w:val="28"/>
          <w:highlight w:val="none"/>
          <w:shd w:val="clear"/>
        </w:rPr>
        <w:t>结果应当进行相应调整后才可使用</w:t>
      </w:r>
      <w:r>
        <w:rPr>
          <w:rFonts w:hint="eastAsia" w:ascii="仿宋_GB2312" w:hAnsi="仿宋" w:eastAsia="仿宋_GB2312" w:cs="Times New Roman"/>
          <w:i w:val="0"/>
          <w:iCs w:val="0"/>
          <w:caps w:val="0"/>
          <w:spacing w:val="0"/>
          <w:kern w:val="2"/>
          <w:sz w:val="28"/>
          <w:szCs w:val="28"/>
          <w:highlight w:val="none"/>
          <w:shd w:val="clear"/>
          <w:lang w:eastAsia="zh-CN"/>
        </w:rPr>
        <w:t>。</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lang w:val="en-US" w:eastAsia="zh-CN"/>
        </w:rPr>
        <w:t>4</w:t>
      </w:r>
      <w:r>
        <w:rPr>
          <w:rFonts w:hint="eastAsia" w:ascii="仿宋_GB2312" w:hAnsi="仿宋" w:eastAsia="仿宋_GB2312" w:cs="Times New Roman"/>
          <w:sz w:val="28"/>
          <w:szCs w:val="28"/>
          <w:highlight w:val="none"/>
        </w:rPr>
        <w:t>、本估价报告专为估价委托人所使用，未经本估价机构同意，不得向估价委托人、估价利害关系人和报告审查部门之外的单位和个人提供。本报告的全部或部分及任何参考资料均不允许在任何公开发表的文件、通告或声明中引用，亦不得以其他任何方式公开发表。本公司拥有估价报告的最终解释权。</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lang w:val="en-US" w:eastAsia="zh-CN"/>
        </w:rPr>
        <w:t>5</w:t>
      </w:r>
      <w:r>
        <w:rPr>
          <w:rFonts w:hint="eastAsia" w:ascii="仿宋_GB2312" w:hAnsi="仿宋" w:eastAsia="仿宋_GB2312" w:cs="Times New Roman"/>
          <w:sz w:val="28"/>
          <w:szCs w:val="28"/>
          <w:highlight w:val="none"/>
        </w:rPr>
        <w:t>、本报告必须经估价机构加盖公章后方可使用，估价机构仅对本报告的原件承担责任，对任何形式的复制件概不认可且不承担责任。</w:t>
      </w:r>
    </w:p>
    <w:p>
      <w:pPr>
        <w:tabs>
          <w:tab w:val="left" w:pos="3023"/>
        </w:tabs>
        <w:spacing w:line="520" w:lineRule="exact"/>
        <w:ind w:firstLine="562" w:firstLineChars="200"/>
        <w:rPr>
          <w:rFonts w:hint="eastAsia" w:ascii="仿宋_GB2312" w:eastAsia="仿宋_GB2312"/>
          <w:b/>
          <w:bCs/>
          <w:sz w:val="28"/>
          <w:szCs w:val="28"/>
          <w:highlight w:val="none"/>
        </w:rPr>
      </w:pPr>
      <w:r>
        <w:rPr>
          <w:rFonts w:hint="eastAsia" w:ascii="仿宋_GB2312" w:eastAsia="仿宋_GB2312"/>
          <w:b/>
          <w:bCs/>
          <w:sz w:val="28"/>
          <w:szCs w:val="28"/>
          <w:highlight w:val="none"/>
        </w:rPr>
        <w:t>七、需要特别说明的事项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lang w:val="en-US" w:eastAsia="zh-CN"/>
        </w:rPr>
        <w:t>1、本</w:t>
      </w:r>
      <w:r>
        <w:rPr>
          <w:rFonts w:hint="eastAsia" w:ascii="仿宋_GB2312" w:hAnsi="仿宋" w:eastAsia="仿宋_GB2312" w:cs="Times New Roman"/>
          <w:sz w:val="28"/>
          <w:szCs w:val="28"/>
          <w:highlight w:val="none"/>
        </w:rPr>
        <w:t>估价结果未扣除法定优先受偿款，也未计入估价对象处置时应交纳的拍卖费、契税、土地增值税、交易手续费、评估费、诉讼费、律师费</w:t>
      </w:r>
      <w:r>
        <w:rPr>
          <w:rFonts w:hint="eastAsia" w:ascii="仿宋_GB2312" w:hAnsi="仿宋" w:eastAsia="仿宋_GB2312" w:cs="Times New Roman"/>
          <w:sz w:val="28"/>
          <w:szCs w:val="28"/>
          <w:highlight w:val="none"/>
          <w:lang w:eastAsia="zh-CN"/>
        </w:rPr>
        <w:t>、</w:t>
      </w:r>
      <w:r>
        <w:rPr>
          <w:rFonts w:hint="eastAsia" w:ascii="仿宋_GB2312" w:hAnsi="仿宋" w:eastAsia="仿宋_GB2312" w:cs="Times New Roman"/>
          <w:sz w:val="28"/>
          <w:szCs w:val="28"/>
          <w:highlight w:val="none"/>
        </w:rPr>
        <w:t>发证费以及税收、物业费、供暖费、水电气费等法律、法规规定应交纳的有关税费及费用。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仿宋_GB2312" w:hAnsi="仿宋" w:eastAsia="仿宋_GB2312" w:cs="Times New Roman"/>
          <w:i w:val="0"/>
          <w:iCs w:val="0"/>
          <w:caps w:val="0"/>
          <w:spacing w:val="0"/>
          <w:kern w:val="2"/>
          <w:sz w:val="28"/>
          <w:szCs w:val="28"/>
          <w:highlight w:val="none"/>
          <w:shd w:val="clear"/>
          <w:lang w:eastAsia="zh-CN"/>
        </w:rPr>
      </w:pPr>
      <w:r>
        <w:rPr>
          <w:rFonts w:hint="eastAsia" w:ascii="仿宋_GB2312" w:hAnsi="仿宋" w:eastAsia="仿宋_GB2312" w:cs="Times New Roman"/>
          <w:i w:val="0"/>
          <w:iCs w:val="0"/>
          <w:caps w:val="0"/>
          <w:spacing w:val="0"/>
          <w:kern w:val="2"/>
          <w:sz w:val="28"/>
          <w:szCs w:val="28"/>
          <w:highlight w:val="none"/>
          <w:shd w:val="clear"/>
          <w:lang w:val="en-US" w:eastAsia="zh-CN"/>
        </w:rPr>
        <w:t>2、本</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kern w:val="2"/>
          <w:sz w:val="28"/>
          <w:szCs w:val="28"/>
          <w:highlight w:val="none"/>
          <w:shd w:val="clear"/>
        </w:rPr>
        <w:t>结果仅为人民法院确定财产处置参考价服务，不是</w:t>
      </w:r>
      <w:r>
        <w:rPr>
          <w:rFonts w:hint="eastAsia" w:ascii="仿宋_GB2312" w:hAnsi="仿宋" w:eastAsia="仿宋_GB2312" w:cs="Times New Roman"/>
          <w:i w:val="0"/>
          <w:iCs w:val="0"/>
          <w:caps w:val="0"/>
          <w:spacing w:val="0"/>
          <w:kern w:val="2"/>
          <w:sz w:val="28"/>
          <w:szCs w:val="28"/>
          <w:highlight w:val="none"/>
          <w:shd w:val="clear"/>
          <w:lang w:eastAsia="zh-CN"/>
        </w:rPr>
        <w:t>估价对象</w:t>
      </w:r>
      <w:r>
        <w:rPr>
          <w:rFonts w:hint="eastAsia" w:ascii="仿宋_GB2312" w:hAnsi="仿宋" w:eastAsia="仿宋_GB2312" w:cs="Times New Roman"/>
          <w:i w:val="0"/>
          <w:iCs w:val="0"/>
          <w:caps w:val="0"/>
          <w:spacing w:val="0"/>
          <w:kern w:val="2"/>
          <w:sz w:val="28"/>
          <w:szCs w:val="28"/>
          <w:highlight w:val="none"/>
          <w:shd w:val="clear"/>
        </w:rPr>
        <w:t>处置可实现的成交价格，也不应当被视为对</w:t>
      </w:r>
      <w:r>
        <w:rPr>
          <w:rFonts w:hint="eastAsia" w:ascii="仿宋_GB2312" w:hAnsi="仿宋" w:eastAsia="仿宋_GB2312" w:cs="Times New Roman"/>
          <w:i w:val="0"/>
          <w:iCs w:val="0"/>
          <w:caps w:val="0"/>
          <w:spacing w:val="0"/>
          <w:kern w:val="2"/>
          <w:sz w:val="28"/>
          <w:szCs w:val="28"/>
          <w:highlight w:val="none"/>
          <w:shd w:val="clear"/>
          <w:lang w:eastAsia="zh-CN"/>
        </w:rPr>
        <w:t>估价对象</w:t>
      </w:r>
      <w:r>
        <w:rPr>
          <w:rFonts w:hint="eastAsia" w:ascii="仿宋_GB2312" w:hAnsi="仿宋" w:eastAsia="仿宋_GB2312" w:cs="Times New Roman"/>
          <w:i w:val="0"/>
          <w:iCs w:val="0"/>
          <w:caps w:val="0"/>
          <w:spacing w:val="0"/>
          <w:kern w:val="2"/>
          <w:sz w:val="28"/>
          <w:szCs w:val="28"/>
          <w:highlight w:val="none"/>
          <w:shd w:val="clear"/>
        </w:rPr>
        <w:t>处置成交价格的保证</w:t>
      </w:r>
      <w:r>
        <w:rPr>
          <w:rFonts w:hint="eastAsia" w:ascii="仿宋_GB2312" w:hAnsi="仿宋" w:eastAsia="仿宋_GB2312" w:cs="Times New Roman"/>
          <w:i w:val="0"/>
          <w:iCs w:val="0"/>
          <w:caps w:val="0"/>
          <w:spacing w:val="0"/>
          <w:kern w:val="2"/>
          <w:sz w:val="28"/>
          <w:szCs w:val="28"/>
          <w:highlight w:val="none"/>
          <w:shd w:val="clear"/>
          <w:lang w:eastAsia="zh-CN"/>
        </w:rPr>
        <w:t>。</w:t>
      </w:r>
    </w:p>
    <w:p>
      <w:pPr>
        <w:tabs>
          <w:tab w:val="left" w:pos="3023"/>
        </w:tabs>
        <w:spacing w:line="520" w:lineRule="exact"/>
        <w:ind w:firstLine="560" w:firstLineChars="200"/>
        <w:rPr>
          <w:rFonts w:hint="eastAsia" w:ascii="仿宋_GB2312" w:eastAsia="仿宋_GB2312"/>
          <w:sz w:val="28"/>
          <w:szCs w:val="28"/>
          <w:highlight w:val="none"/>
          <w:lang w:val="en-US" w:eastAsia="zh-CN"/>
        </w:rPr>
      </w:pPr>
    </w:p>
    <w:p>
      <w:pPr>
        <w:pStyle w:val="3"/>
        <w:rPr>
          <w:rFonts w:hint="eastAsia" w:ascii="仿宋_GB2312" w:eastAsia="仿宋_GB2312"/>
          <w:b/>
          <w:bCs w:val="0"/>
          <w:highlight w:val="none"/>
        </w:rPr>
      </w:pPr>
      <w:bookmarkStart w:id="8" w:name="_Toc517794684"/>
      <w:bookmarkStart w:id="9" w:name="_Toc517794426"/>
    </w:p>
    <w:p>
      <w:pPr>
        <w:spacing w:after="93" w:line="540" w:lineRule="exact"/>
        <w:ind w:firstLine="105"/>
        <w:rPr>
          <w:rFonts w:hint="eastAsia" w:ascii="仿宋_GB2312" w:eastAsia="仿宋_GB2312"/>
          <w:b/>
          <w:bCs w:val="0"/>
          <w:highlight w:val="none"/>
        </w:rPr>
      </w:pPr>
      <w:bookmarkStart w:id="10" w:name="_Toc30600"/>
      <w:bookmarkStart w:id="11" w:name="_Toc9201"/>
      <w:r>
        <w:rPr>
          <w:rFonts w:hint="eastAsia" w:ascii="仿宋_GB2312" w:eastAsia="仿宋_GB2312"/>
          <w:b/>
          <w:bCs w:val="0"/>
          <w:highlight w:val="none"/>
        </w:rPr>
        <w:br w:type="page"/>
      </w:r>
    </w:p>
    <w:p>
      <w:pPr>
        <w:pStyle w:val="2"/>
        <w:spacing w:after="93" w:line="540" w:lineRule="exact"/>
        <w:ind w:firstLine="105"/>
        <w:rPr>
          <w:rFonts w:hint="eastAsia" w:ascii="仿宋_GB2312" w:eastAsia="仿宋_GB2312"/>
          <w:b/>
          <w:bCs w:val="0"/>
          <w:highlight w:val="none"/>
        </w:rPr>
      </w:pPr>
      <w:r>
        <w:rPr>
          <w:rFonts w:hint="eastAsia" w:ascii="仿宋_GB2312" w:eastAsia="仿宋_GB2312"/>
          <w:b/>
          <w:bCs w:val="0"/>
          <w:highlight w:val="none"/>
        </w:rPr>
        <w:t>三、估价结果报告</w:t>
      </w:r>
      <w:bookmarkEnd w:id="8"/>
      <w:bookmarkEnd w:id="9"/>
      <w:bookmarkEnd w:id="10"/>
      <w:bookmarkEnd w:id="11"/>
    </w:p>
    <w:p>
      <w:pPr>
        <w:pStyle w:val="4"/>
        <w:spacing w:line="540" w:lineRule="exact"/>
        <w:ind w:firstLine="420"/>
        <w:rPr>
          <w:rFonts w:hint="eastAsia" w:ascii="仿宋_GB2312" w:eastAsia="仿宋_GB2312"/>
          <w:b/>
          <w:highlight w:val="none"/>
        </w:rPr>
      </w:pPr>
      <w:bookmarkStart w:id="12" w:name="_Toc517794685"/>
      <w:bookmarkStart w:id="13" w:name="_Toc4558"/>
      <w:bookmarkStart w:id="14" w:name="_Toc14691"/>
      <w:bookmarkStart w:id="15" w:name="_Toc517794427"/>
      <w:r>
        <w:rPr>
          <w:rFonts w:hint="eastAsia" w:ascii="仿宋_GB2312" w:eastAsia="仿宋_GB2312"/>
          <w:b/>
          <w:highlight w:val="none"/>
        </w:rPr>
        <w:t>（一）估价委托人</w:t>
      </w:r>
      <w:bookmarkEnd w:id="12"/>
      <w:bookmarkEnd w:id="13"/>
      <w:bookmarkEnd w:id="14"/>
      <w:bookmarkEnd w:id="15"/>
    </w:p>
    <w:p>
      <w:pPr>
        <w:spacing w:line="54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估价委托人：</w:t>
      </w:r>
      <w:r>
        <w:rPr>
          <w:rFonts w:hint="eastAsia" w:ascii="仿宋_GB2312" w:hAnsi="宋体" w:eastAsia="仿宋_GB2312"/>
          <w:sz w:val="28"/>
          <w:szCs w:val="28"/>
          <w:highlight w:val="none"/>
          <w:lang w:eastAsia="zh-CN"/>
        </w:rPr>
        <w:t>大余县人民法院</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highlight w:val="none"/>
        </w:rPr>
      </w:pPr>
    </w:p>
    <w:p>
      <w:pPr>
        <w:pStyle w:val="4"/>
        <w:spacing w:line="540" w:lineRule="exact"/>
        <w:ind w:firstLine="420"/>
        <w:rPr>
          <w:rFonts w:hint="eastAsia" w:ascii="仿宋_GB2312" w:eastAsia="仿宋_GB2312"/>
          <w:b/>
          <w:highlight w:val="none"/>
        </w:rPr>
      </w:pPr>
      <w:bookmarkStart w:id="16" w:name="_Toc517794428"/>
      <w:bookmarkStart w:id="17" w:name="_Toc517794686"/>
      <w:bookmarkStart w:id="18" w:name="_Toc6714"/>
      <w:bookmarkStart w:id="19" w:name="_Toc12025"/>
      <w:r>
        <w:rPr>
          <w:rFonts w:hint="eastAsia" w:ascii="仿宋_GB2312" w:eastAsia="仿宋_GB2312"/>
          <w:b/>
          <w:highlight w:val="none"/>
        </w:rPr>
        <w:t>（二）估价方</w:t>
      </w:r>
      <w:bookmarkEnd w:id="16"/>
      <w:bookmarkEnd w:id="17"/>
      <w:bookmarkEnd w:id="18"/>
      <w:bookmarkEnd w:id="19"/>
    </w:p>
    <w:p>
      <w:pPr>
        <w:spacing w:line="520" w:lineRule="exact"/>
        <w:ind w:left="523" w:leftChars="249" w:firstLine="19" w:firstLineChars="7"/>
        <w:rPr>
          <w:rFonts w:hint="default" w:ascii="Times New Roman" w:hAnsi="Times New Roman" w:eastAsia="仿宋_GB2312" w:cs="Times New Roman"/>
          <w:spacing w:val="-4"/>
          <w:sz w:val="28"/>
          <w:szCs w:val="28"/>
          <w:highlight w:val="none"/>
        </w:rPr>
      </w:pPr>
      <w:r>
        <w:rPr>
          <w:rFonts w:hint="default" w:ascii="Times New Roman" w:hAnsi="Times New Roman" w:eastAsia="仿宋_GB2312" w:cs="Times New Roman"/>
          <w:spacing w:val="-4"/>
          <w:sz w:val="28"/>
          <w:szCs w:val="28"/>
          <w:highlight w:val="none"/>
        </w:rPr>
        <w:t>机构</w:t>
      </w:r>
      <w:r>
        <w:rPr>
          <w:rFonts w:hint="default" w:ascii="Times New Roman" w:hAnsi="Times New Roman" w:eastAsia="仿宋_GB2312" w:cs="Times New Roman"/>
          <w:spacing w:val="-4"/>
          <w:sz w:val="28"/>
          <w:szCs w:val="28"/>
          <w:highlight w:val="none"/>
          <w:lang w:val="en-US" w:eastAsia="zh-CN"/>
        </w:rPr>
        <w:t>名称</w:t>
      </w:r>
      <w:r>
        <w:rPr>
          <w:rFonts w:hint="default" w:ascii="Times New Roman" w:hAnsi="Times New Roman" w:eastAsia="仿宋_GB2312" w:cs="Times New Roman"/>
          <w:spacing w:val="-4"/>
          <w:sz w:val="28"/>
          <w:szCs w:val="28"/>
          <w:highlight w:val="none"/>
        </w:rPr>
        <w:t xml:space="preserve">：江西新源洪城房地产土地资产评估有限公司  </w:t>
      </w:r>
    </w:p>
    <w:p>
      <w:pPr>
        <w:spacing w:line="520" w:lineRule="exact"/>
        <w:ind w:left="523" w:leftChars="249" w:firstLine="19" w:firstLineChars="7"/>
        <w:rPr>
          <w:rFonts w:hint="default" w:ascii="Times New Roman" w:hAnsi="Times New Roman" w:eastAsia="仿宋_GB2312" w:cs="Times New Roman"/>
          <w:spacing w:val="-4"/>
          <w:sz w:val="28"/>
          <w:szCs w:val="28"/>
          <w:highlight w:val="none"/>
          <w:lang w:val="en-US" w:eastAsia="zh-CN"/>
        </w:rPr>
      </w:pPr>
      <w:r>
        <w:rPr>
          <w:rFonts w:hint="default" w:ascii="Times New Roman" w:hAnsi="Times New Roman" w:eastAsia="仿宋_GB2312" w:cs="Times New Roman"/>
          <w:spacing w:val="-4"/>
          <w:sz w:val="28"/>
          <w:szCs w:val="28"/>
          <w:highlight w:val="none"/>
          <w:lang w:val="en-US" w:eastAsia="zh-CN"/>
        </w:rPr>
        <w:t>证书编号：</w:t>
      </w:r>
      <w:r>
        <w:rPr>
          <w:rFonts w:hint="default" w:ascii="Times New Roman" w:hAnsi="Times New Roman" w:eastAsia="仿宋_GB2312" w:cs="Times New Roman"/>
          <w:spacing w:val="-4"/>
          <w:sz w:val="28"/>
          <w:szCs w:val="28"/>
          <w:highlight w:val="none"/>
        </w:rPr>
        <w:t>建房估证字[2012]122号</w:t>
      </w:r>
    </w:p>
    <w:p>
      <w:pPr>
        <w:spacing w:line="520" w:lineRule="exact"/>
        <w:ind w:left="523" w:leftChars="249" w:firstLine="19" w:firstLineChars="7"/>
        <w:rPr>
          <w:rFonts w:hint="default" w:ascii="Times New Roman" w:hAnsi="Times New Roman" w:eastAsia="仿宋_GB2312" w:cs="Times New Roman"/>
          <w:spacing w:val="-4"/>
          <w:sz w:val="28"/>
          <w:szCs w:val="28"/>
          <w:highlight w:val="none"/>
        </w:rPr>
      </w:pPr>
      <w:r>
        <w:rPr>
          <w:rFonts w:hint="default" w:ascii="Times New Roman" w:hAnsi="Times New Roman" w:eastAsia="仿宋_GB2312" w:cs="Times New Roman"/>
          <w:spacing w:val="-4"/>
          <w:sz w:val="28"/>
          <w:szCs w:val="28"/>
          <w:highlight w:val="none"/>
        </w:rPr>
        <w:t>备案等级：壹级</w:t>
      </w:r>
    </w:p>
    <w:p>
      <w:pPr>
        <w:spacing w:line="520" w:lineRule="exact"/>
        <w:ind w:left="523" w:leftChars="249" w:firstLine="19" w:firstLineChars="7"/>
        <w:rPr>
          <w:rFonts w:hint="default" w:ascii="Times New Roman" w:hAnsi="Times New Roman" w:eastAsia="仿宋_GB2312" w:cs="Times New Roman"/>
          <w:spacing w:val="-4"/>
          <w:sz w:val="28"/>
          <w:szCs w:val="28"/>
          <w:highlight w:val="none"/>
        </w:rPr>
      </w:pPr>
      <w:r>
        <w:rPr>
          <w:rFonts w:hint="default" w:ascii="Times New Roman" w:hAnsi="Times New Roman" w:eastAsia="仿宋_GB2312" w:cs="Times New Roman"/>
          <w:spacing w:val="-4"/>
          <w:sz w:val="28"/>
          <w:szCs w:val="28"/>
          <w:highlight w:val="none"/>
        </w:rPr>
        <w:t>统一社会信用代码：913601000958893237</w:t>
      </w:r>
    </w:p>
    <w:p>
      <w:pPr>
        <w:spacing w:line="520" w:lineRule="exact"/>
        <w:ind w:left="523" w:leftChars="249" w:firstLine="19" w:firstLineChars="7"/>
        <w:rPr>
          <w:rFonts w:hint="default" w:ascii="Times New Roman" w:hAnsi="Times New Roman" w:eastAsia="仿宋_GB2312" w:cs="Times New Roman"/>
          <w:spacing w:val="-4"/>
          <w:sz w:val="28"/>
          <w:szCs w:val="28"/>
          <w:highlight w:val="none"/>
          <w:lang w:eastAsia="zh-CN"/>
        </w:rPr>
      </w:pPr>
      <w:r>
        <w:rPr>
          <w:rFonts w:hint="default" w:ascii="Times New Roman" w:hAnsi="Times New Roman" w:eastAsia="仿宋_GB2312" w:cs="Times New Roman"/>
          <w:spacing w:val="-4"/>
          <w:sz w:val="28"/>
          <w:szCs w:val="28"/>
          <w:highlight w:val="none"/>
        </w:rPr>
        <w:t>法</w:t>
      </w:r>
      <w:r>
        <w:rPr>
          <w:rFonts w:hint="default" w:ascii="Times New Roman" w:hAnsi="Times New Roman" w:eastAsia="仿宋_GB2312" w:cs="Times New Roman"/>
          <w:spacing w:val="-4"/>
          <w:sz w:val="28"/>
          <w:szCs w:val="28"/>
          <w:highlight w:val="none"/>
          <w:lang w:val="en-US" w:eastAsia="zh-CN"/>
        </w:rPr>
        <w:t>定</w:t>
      </w:r>
      <w:r>
        <w:rPr>
          <w:rFonts w:hint="default" w:ascii="Times New Roman" w:hAnsi="Times New Roman" w:eastAsia="仿宋_GB2312" w:cs="Times New Roman"/>
          <w:spacing w:val="-4"/>
          <w:sz w:val="28"/>
          <w:szCs w:val="28"/>
          <w:highlight w:val="none"/>
        </w:rPr>
        <w:t>代表人：严兴中</w:t>
      </w:r>
    </w:p>
    <w:p>
      <w:pPr>
        <w:spacing w:line="520" w:lineRule="exact"/>
        <w:ind w:left="523" w:leftChars="249" w:firstLine="19" w:firstLineChars="7"/>
        <w:rPr>
          <w:rFonts w:hint="default" w:ascii="Times New Roman" w:hAnsi="Times New Roman" w:eastAsia="仿宋_GB2312" w:cs="Times New Roman"/>
          <w:spacing w:val="-4"/>
          <w:sz w:val="28"/>
          <w:szCs w:val="28"/>
          <w:highlight w:val="none"/>
        </w:rPr>
      </w:pPr>
      <w:r>
        <w:rPr>
          <w:rFonts w:hint="default" w:ascii="Times New Roman" w:hAnsi="Times New Roman" w:eastAsia="仿宋_GB2312" w:cs="Times New Roman"/>
          <w:spacing w:val="-4"/>
          <w:sz w:val="28"/>
          <w:szCs w:val="28"/>
          <w:highlight w:val="none"/>
          <w:lang w:val="en-US" w:eastAsia="zh-CN"/>
        </w:rPr>
        <w:t>详细</w:t>
      </w:r>
      <w:r>
        <w:rPr>
          <w:rFonts w:hint="default" w:ascii="Times New Roman" w:hAnsi="Times New Roman" w:eastAsia="仿宋_GB2312" w:cs="Times New Roman"/>
          <w:spacing w:val="-4"/>
          <w:sz w:val="28"/>
          <w:szCs w:val="28"/>
          <w:highlight w:val="none"/>
        </w:rPr>
        <w:t>地址：江西省南昌市高新开发区紫阳大道3088号泰豪科技广场B栋12楼1211室</w:t>
      </w:r>
    </w:p>
    <w:p>
      <w:pPr>
        <w:spacing w:line="520" w:lineRule="exact"/>
        <w:ind w:firstLine="544" w:firstLineChars="200"/>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pacing w:val="-4"/>
          <w:sz w:val="28"/>
          <w:szCs w:val="28"/>
          <w:highlight w:val="none"/>
        </w:rPr>
        <w:t>联系电话：</w:t>
      </w:r>
      <w:r>
        <w:rPr>
          <w:rFonts w:ascii="Times New Roman" w:hAnsi="Times New Roman" w:eastAsia="仿宋_GB2312" w:cs="Times New Roman"/>
          <w:spacing w:val="-4"/>
          <w:sz w:val="28"/>
          <w:szCs w:val="28"/>
          <w:highlight w:val="none"/>
        </w:rPr>
        <w:t>0791-86166688</w:t>
      </w:r>
      <w:r>
        <w:rPr>
          <w:rFonts w:hint="default" w:ascii="Times New Roman" w:hAnsi="Times New Roman" w:eastAsia="仿宋_GB2312" w:cs="Times New Roman"/>
          <w:spacing w:val="-4"/>
          <w:sz w:val="28"/>
          <w:szCs w:val="28"/>
          <w:highlight w:val="none"/>
        </w:rPr>
        <w:t>、</w:t>
      </w:r>
      <w:r>
        <w:rPr>
          <w:rFonts w:hint="default" w:ascii="Times New Roman" w:hAnsi="Times New Roman" w:eastAsia="仿宋_GB2312" w:cs="Times New Roman"/>
          <w:spacing w:val="-4"/>
          <w:sz w:val="28"/>
          <w:szCs w:val="28"/>
          <w:highlight w:val="none"/>
          <w:lang w:val="en-US" w:eastAsia="zh-CN"/>
        </w:rPr>
        <w:t>0791-</w:t>
      </w:r>
      <w:r>
        <w:rPr>
          <w:rFonts w:ascii="Times New Roman" w:hAnsi="Times New Roman" w:eastAsia="仿宋_GB2312" w:cs="Times New Roman"/>
          <w:spacing w:val="-4"/>
          <w:sz w:val="28"/>
          <w:szCs w:val="28"/>
          <w:highlight w:val="none"/>
        </w:rPr>
        <w:t>861</w:t>
      </w:r>
      <w:r>
        <w:rPr>
          <w:rFonts w:hint="default" w:ascii="Times New Roman" w:hAnsi="Times New Roman" w:eastAsia="仿宋_GB2312" w:cs="Times New Roman"/>
          <w:spacing w:val="-4"/>
          <w:sz w:val="28"/>
          <w:szCs w:val="28"/>
          <w:highlight w:val="none"/>
          <w:lang w:val="en-US" w:eastAsia="zh-CN"/>
        </w:rPr>
        <w:t>00755</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highlight w:val="none"/>
        </w:rPr>
      </w:pPr>
    </w:p>
    <w:p>
      <w:pPr>
        <w:pStyle w:val="4"/>
        <w:spacing w:line="540" w:lineRule="exact"/>
        <w:ind w:firstLine="420"/>
        <w:rPr>
          <w:rFonts w:hint="eastAsia" w:ascii="仿宋_GB2312" w:eastAsia="仿宋_GB2312"/>
          <w:b/>
          <w:sz w:val="28"/>
          <w:highlight w:val="none"/>
        </w:rPr>
      </w:pPr>
      <w:bookmarkStart w:id="20" w:name="_Toc20253"/>
      <w:bookmarkStart w:id="21" w:name="_Toc517794429"/>
      <w:bookmarkStart w:id="22" w:name="_Toc517794687"/>
      <w:bookmarkStart w:id="23" w:name="_Toc22199"/>
      <w:r>
        <w:rPr>
          <w:rFonts w:hint="eastAsia" w:ascii="仿宋_GB2312" w:eastAsia="仿宋_GB2312"/>
          <w:b/>
          <w:highlight w:val="none"/>
        </w:rPr>
        <w:t>（三）估价目的</w:t>
      </w:r>
      <w:bookmarkEnd w:id="20"/>
      <w:bookmarkEnd w:id="21"/>
      <w:bookmarkEnd w:id="22"/>
      <w:bookmarkEnd w:id="23"/>
    </w:p>
    <w:p>
      <w:pPr>
        <w:spacing w:line="54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为估价委托人</w:t>
      </w:r>
      <w:r>
        <w:rPr>
          <w:rFonts w:hint="eastAsia" w:ascii="仿宋_GB2312" w:hAnsi="宋体" w:eastAsia="仿宋_GB2312"/>
          <w:sz w:val="28"/>
          <w:szCs w:val="28"/>
          <w:highlight w:val="none"/>
          <w:lang w:eastAsia="zh-CN"/>
        </w:rPr>
        <w:t>确定财产</w:t>
      </w:r>
      <w:r>
        <w:rPr>
          <w:rFonts w:hint="eastAsia" w:ascii="仿宋_GB2312" w:hAnsi="宋体" w:eastAsia="仿宋_GB2312"/>
          <w:sz w:val="28"/>
          <w:szCs w:val="28"/>
          <w:highlight w:val="none"/>
        </w:rPr>
        <w:t>处置</w:t>
      </w:r>
      <w:r>
        <w:rPr>
          <w:rFonts w:hint="eastAsia" w:ascii="仿宋_GB2312" w:hAnsi="宋体" w:eastAsia="仿宋_GB2312"/>
          <w:sz w:val="28"/>
          <w:szCs w:val="28"/>
          <w:highlight w:val="none"/>
          <w:lang w:eastAsia="zh-CN"/>
        </w:rPr>
        <w:t>参考价</w:t>
      </w:r>
      <w:r>
        <w:rPr>
          <w:rFonts w:hint="eastAsia" w:ascii="仿宋_GB2312" w:hAnsi="宋体" w:eastAsia="仿宋_GB2312"/>
          <w:sz w:val="28"/>
          <w:szCs w:val="28"/>
          <w:highlight w:val="none"/>
        </w:rPr>
        <w:t>提供</w:t>
      </w:r>
      <w:r>
        <w:rPr>
          <w:rFonts w:hint="eastAsia" w:ascii="仿宋_GB2312" w:hAnsi="宋体" w:eastAsia="仿宋_GB2312"/>
          <w:sz w:val="28"/>
          <w:szCs w:val="28"/>
          <w:highlight w:val="none"/>
          <w:lang w:eastAsia="zh-CN"/>
        </w:rPr>
        <w:t>参考</w:t>
      </w:r>
      <w:r>
        <w:rPr>
          <w:rFonts w:hint="eastAsia" w:ascii="仿宋_GB2312" w:hAnsi="宋体" w:eastAsia="仿宋_GB2312"/>
          <w:sz w:val="28"/>
          <w:szCs w:val="28"/>
          <w:highlight w:val="none"/>
        </w:rPr>
        <w:t>依据。</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highlight w:val="none"/>
        </w:rPr>
      </w:pPr>
    </w:p>
    <w:p>
      <w:pPr>
        <w:pStyle w:val="4"/>
        <w:spacing w:line="500" w:lineRule="exact"/>
        <w:ind w:firstLine="420"/>
        <w:rPr>
          <w:rFonts w:hint="eastAsia" w:ascii="仿宋_GB2312" w:eastAsia="仿宋_GB2312"/>
          <w:b/>
          <w:highlight w:val="none"/>
        </w:rPr>
      </w:pPr>
      <w:bookmarkStart w:id="24" w:name="_Toc517794430"/>
      <w:bookmarkStart w:id="25" w:name="_Toc517794688"/>
      <w:bookmarkStart w:id="26" w:name="_Toc14706"/>
      <w:bookmarkStart w:id="27" w:name="_Toc22576"/>
      <w:r>
        <w:rPr>
          <w:rFonts w:hint="eastAsia" w:ascii="仿宋_GB2312" w:eastAsia="仿宋_GB2312"/>
          <w:b/>
          <w:highlight w:val="none"/>
        </w:rPr>
        <w:t>（四）估价对象</w:t>
      </w:r>
      <w:bookmarkEnd w:id="24"/>
      <w:bookmarkEnd w:id="25"/>
      <w:bookmarkEnd w:id="26"/>
      <w:bookmarkEnd w:id="27"/>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估价对象</w:t>
      </w:r>
      <w:r>
        <w:rPr>
          <w:rFonts w:hint="eastAsia" w:ascii="仿宋_GB2312" w:hAnsi="宋体" w:eastAsia="仿宋_GB2312"/>
          <w:sz w:val="28"/>
          <w:szCs w:val="28"/>
          <w:highlight w:val="none"/>
          <w:lang w:val="en-US" w:eastAsia="zh-CN"/>
        </w:rPr>
        <w:t>为</w:t>
      </w:r>
      <w:r>
        <w:rPr>
          <w:rFonts w:hint="eastAsia" w:ascii="仿宋_GB2312" w:hAnsi="宋体" w:eastAsia="仿宋_GB2312"/>
          <w:bCs/>
          <w:sz w:val="28"/>
          <w:szCs w:val="28"/>
          <w:highlight w:val="none"/>
          <w:lang w:eastAsia="zh-CN"/>
        </w:rPr>
        <w:t>大余县黄龙镇长胜村竹子桥住宅</w:t>
      </w:r>
      <w:r>
        <w:rPr>
          <w:rFonts w:hint="eastAsia" w:ascii="仿宋_GB2312" w:hAnsi="宋体" w:eastAsia="仿宋_GB2312"/>
          <w:bCs/>
          <w:sz w:val="28"/>
          <w:szCs w:val="28"/>
          <w:highlight w:val="none"/>
          <w:lang w:val="en-US" w:eastAsia="zh-CN"/>
        </w:rPr>
        <w:t>房屋</w:t>
      </w:r>
      <w:r>
        <w:rPr>
          <w:rFonts w:hint="eastAsia" w:ascii="仿宋_GB2312" w:hAnsi="宋体" w:eastAsia="仿宋_GB2312"/>
          <w:sz w:val="28"/>
          <w:szCs w:val="28"/>
          <w:highlight w:val="none"/>
        </w:rPr>
        <w:t>，包括了房屋所有权和所分摊土地在剩余使用年期的使用权、以及房屋内部装修。房屋建筑面积为</w:t>
      </w:r>
      <w:r>
        <w:rPr>
          <w:rFonts w:hint="eastAsia" w:ascii="仿宋_GB2312" w:hAnsi="宋体" w:eastAsia="仿宋_GB2312"/>
          <w:sz w:val="28"/>
          <w:szCs w:val="28"/>
          <w:highlight w:val="none"/>
          <w:lang w:val="en-US" w:eastAsia="zh-CN"/>
        </w:rPr>
        <w:t>152.48</w:t>
      </w:r>
      <w:r>
        <w:rPr>
          <w:rFonts w:hint="eastAsia" w:ascii="仿宋_GB2312" w:hAnsi="宋体" w:eastAsia="仿宋_GB2312"/>
          <w:sz w:val="28"/>
          <w:szCs w:val="28"/>
          <w:highlight w:val="none"/>
        </w:rPr>
        <w:t>平方米。现将估价对象区位状况、实物状况、权益状况概述如下：</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1、区位状况</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（1）坐落</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估价对象位于</w:t>
      </w:r>
      <w:r>
        <w:rPr>
          <w:rFonts w:hint="eastAsia" w:ascii="仿宋_GB2312" w:hAnsi="宋体" w:eastAsia="仿宋_GB2312"/>
          <w:color w:val="000000"/>
          <w:sz w:val="28"/>
          <w:szCs w:val="28"/>
          <w:highlight w:val="none"/>
          <w:lang w:val="en-US" w:eastAsia="zh-CN"/>
        </w:rPr>
        <w:t>大余县黄龙镇长胜村竹子桥</w:t>
      </w:r>
      <w:r>
        <w:rPr>
          <w:rFonts w:hint="eastAsia" w:ascii="仿宋_GB2312" w:hAnsi="宋体" w:eastAsia="仿宋_GB2312"/>
          <w:color w:val="000000"/>
          <w:sz w:val="28"/>
          <w:szCs w:val="28"/>
          <w:highlight w:val="none"/>
        </w:rPr>
        <w:t>。</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（2）楼层</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估价对象为</w:t>
      </w:r>
      <w:r>
        <w:rPr>
          <w:rFonts w:hint="eastAsia" w:ascii="仿宋_GB2312" w:hAnsi="宋体" w:eastAsia="仿宋_GB2312"/>
          <w:color w:val="000000"/>
          <w:sz w:val="28"/>
          <w:szCs w:val="28"/>
          <w:highlight w:val="none"/>
          <w:lang w:val="en-US" w:eastAsia="zh-CN"/>
        </w:rPr>
        <w:t>5</w:t>
      </w:r>
      <w:r>
        <w:rPr>
          <w:rFonts w:hint="eastAsia" w:ascii="仿宋_GB2312" w:hAnsi="宋体" w:eastAsia="仿宋_GB2312"/>
          <w:color w:val="000000"/>
          <w:sz w:val="28"/>
          <w:szCs w:val="28"/>
          <w:highlight w:val="none"/>
        </w:rPr>
        <w:t>层建筑物的第</w:t>
      </w:r>
      <w:r>
        <w:rPr>
          <w:rFonts w:hint="eastAsia" w:ascii="仿宋_GB2312" w:hAnsi="宋体" w:eastAsia="仿宋_GB2312"/>
          <w:color w:val="000000"/>
          <w:sz w:val="28"/>
          <w:szCs w:val="28"/>
          <w:highlight w:val="none"/>
          <w:lang w:val="en-US" w:eastAsia="zh-CN"/>
        </w:rPr>
        <w:t>4层</w:t>
      </w:r>
      <w:r>
        <w:rPr>
          <w:rFonts w:hint="eastAsia" w:ascii="仿宋_GB2312" w:hAnsi="宋体" w:eastAsia="仿宋_GB2312"/>
          <w:color w:val="000000"/>
          <w:sz w:val="28"/>
          <w:szCs w:val="28"/>
          <w:highlight w:val="none"/>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（3）交通</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估价对象附近可乘</w:t>
      </w:r>
      <w:r>
        <w:rPr>
          <w:rFonts w:hint="eastAsia" w:ascii="仿宋_GB2312" w:hAnsi="宋体" w:eastAsia="仿宋_GB2312"/>
          <w:sz w:val="28"/>
          <w:szCs w:val="28"/>
          <w:highlight w:val="none"/>
          <w:lang w:val="en-US" w:eastAsia="zh-CN"/>
        </w:rPr>
        <w:t>8路、3路线</w:t>
      </w:r>
      <w:r>
        <w:rPr>
          <w:rFonts w:hint="eastAsia" w:ascii="仿宋_GB2312" w:hAnsi="宋体" w:eastAsia="仿宋_GB2312"/>
          <w:sz w:val="28"/>
          <w:szCs w:val="28"/>
          <w:highlight w:val="none"/>
        </w:rPr>
        <w:t>公交车</w:t>
      </w:r>
      <w:r>
        <w:rPr>
          <w:rFonts w:hint="eastAsia" w:ascii="仿宋_GB2312" w:hAnsi="宋体" w:eastAsia="仿宋_GB2312"/>
          <w:sz w:val="28"/>
          <w:szCs w:val="28"/>
          <w:highlight w:val="none"/>
          <w:lang w:val="en-US" w:eastAsia="zh-CN"/>
        </w:rPr>
        <w:t>，</w:t>
      </w:r>
      <w:r>
        <w:rPr>
          <w:rFonts w:hint="eastAsia" w:ascii="仿宋_GB2312" w:hAnsi="宋体" w:eastAsia="仿宋_GB2312"/>
          <w:sz w:val="28"/>
          <w:szCs w:val="28"/>
          <w:highlight w:val="none"/>
        </w:rPr>
        <w:t>交通</w:t>
      </w:r>
      <w:r>
        <w:rPr>
          <w:rFonts w:hint="eastAsia" w:ascii="仿宋_GB2312" w:hAnsi="宋体" w:eastAsia="仿宋_GB2312"/>
          <w:sz w:val="28"/>
          <w:szCs w:val="28"/>
          <w:highlight w:val="none"/>
          <w:lang w:val="en-US" w:eastAsia="zh-CN"/>
        </w:rPr>
        <w:t>便利</w:t>
      </w:r>
      <w:r>
        <w:rPr>
          <w:rFonts w:hint="eastAsia" w:ascii="仿宋_GB2312" w:hAnsi="宋体" w:eastAsia="仿宋_GB2312"/>
          <w:color w:val="000000"/>
          <w:sz w:val="28"/>
          <w:szCs w:val="28"/>
          <w:highlight w:val="none"/>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（4）环境及配套设施</w:t>
      </w:r>
    </w:p>
    <w:p>
      <w:pPr>
        <w:spacing w:line="520" w:lineRule="exact"/>
        <w:ind w:firstLine="560" w:firstLineChars="200"/>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rPr>
        <w:t>估价对象位于</w:t>
      </w:r>
      <w:r>
        <w:rPr>
          <w:rFonts w:hint="eastAsia" w:ascii="仿宋_GB2312" w:hAnsi="宋体" w:eastAsia="仿宋_GB2312"/>
          <w:sz w:val="28"/>
          <w:szCs w:val="28"/>
          <w:highlight w:val="none"/>
          <w:lang w:val="en-US" w:eastAsia="zh-CN"/>
        </w:rPr>
        <w:t>大余县黄龙镇长胜村竹子桥</w:t>
      </w:r>
      <w:r>
        <w:rPr>
          <w:rFonts w:hint="eastAsia" w:ascii="仿宋_GB2312" w:hAnsi="宋体" w:eastAsia="仿宋_GB2312"/>
          <w:sz w:val="28"/>
          <w:szCs w:val="28"/>
          <w:highlight w:val="none"/>
        </w:rPr>
        <w:t>，</w:t>
      </w:r>
      <w:r>
        <w:rPr>
          <w:rFonts w:hint="eastAsia" w:ascii="仿宋_GB2312" w:hAnsi="宋体" w:eastAsia="仿宋_GB2312"/>
          <w:sz w:val="28"/>
          <w:szCs w:val="28"/>
          <w:highlight w:val="none"/>
          <w:lang w:val="en-US" w:eastAsia="zh-CN"/>
        </w:rPr>
        <w:t>周边环境状况较优，市政基础设施及生活配套设施较完善，具体如下：</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教育：</w:t>
      </w:r>
      <w:r>
        <w:rPr>
          <w:rFonts w:hint="eastAsia" w:ascii="仿宋_GB2312" w:hAnsi="宋体" w:eastAsia="仿宋_GB2312"/>
          <w:sz w:val="28"/>
          <w:szCs w:val="28"/>
          <w:highlight w:val="none"/>
          <w:lang w:eastAsia="zh-CN"/>
        </w:rPr>
        <w:t>灵潭金城小学</w:t>
      </w:r>
      <w:r>
        <w:rPr>
          <w:rFonts w:hint="eastAsia" w:ascii="仿宋_GB2312" w:hAnsi="宋体" w:eastAsia="仿宋_GB2312"/>
          <w:sz w:val="28"/>
          <w:szCs w:val="28"/>
          <w:highlight w:val="none"/>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购物：</w:t>
      </w:r>
      <w:r>
        <w:rPr>
          <w:rFonts w:hint="eastAsia" w:ascii="仿宋_GB2312" w:hAnsi="宋体" w:eastAsia="仿宋_GB2312"/>
          <w:sz w:val="28"/>
          <w:szCs w:val="28"/>
          <w:highlight w:val="none"/>
          <w:lang w:eastAsia="zh-CN"/>
        </w:rPr>
        <w:t>年年香超市</w:t>
      </w:r>
      <w:r>
        <w:rPr>
          <w:rFonts w:hint="eastAsia" w:ascii="仿宋_GB2312" w:hAnsi="宋体" w:eastAsia="仿宋_GB2312"/>
          <w:sz w:val="28"/>
          <w:szCs w:val="28"/>
          <w:highlight w:val="none"/>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医院：</w:t>
      </w:r>
      <w:r>
        <w:rPr>
          <w:rFonts w:hint="eastAsia" w:ascii="仿宋_GB2312" w:hAnsi="宋体" w:eastAsia="仿宋_GB2312"/>
          <w:sz w:val="28"/>
          <w:szCs w:val="28"/>
          <w:highlight w:val="none"/>
          <w:lang w:eastAsia="zh-CN"/>
        </w:rPr>
        <w:t>黄龙镇长胜村卫生所</w:t>
      </w:r>
      <w:r>
        <w:rPr>
          <w:rFonts w:hint="eastAsia" w:ascii="仿宋_GB2312" w:hAnsi="宋体" w:eastAsia="仿宋_GB2312"/>
          <w:sz w:val="28"/>
          <w:szCs w:val="28"/>
          <w:highlight w:val="none"/>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其他：</w:t>
      </w:r>
      <w:r>
        <w:rPr>
          <w:rFonts w:hint="eastAsia" w:ascii="仿宋_GB2312" w:hAnsi="宋体" w:eastAsia="仿宋_GB2312"/>
          <w:sz w:val="28"/>
          <w:szCs w:val="28"/>
          <w:highlight w:val="none"/>
          <w:lang w:eastAsia="zh-CN"/>
        </w:rPr>
        <w:t>大余县人民法院</w:t>
      </w:r>
      <w:r>
        <w:rPr>
          <w:rFonts w:hint="eastAsia" w:ascii="仿宋_GB2312" w:hAnsi="宋体" w:eastAsia="仿宋_GB2312"/>
          <w:sz w:val="28"/>
          <w:szCs w:val="28"/>
          <w:highlight w:val="none"/>
        </w:rPr>
        <w:t>等。</w:t>
      </w:r>
    </w:p>
    <w:p>
      <w:pPr>
        <w:spacing w:line="52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 xml:space="preserve">     2、实物状况</w:t>
      </w:r>
    </w:p>
    <w:p>
      <w:pPr>
        <w:spacing w:line="520" w:lineRule="exact"/>
        <w:ind w:firstLine="560" w:firstLineChars="200"/>
        <w:rPr>
          <w:rFonts w:hint="eastAsia" w:ascii="仿宋_GB2312" w:hAnsi="仿宋" w:eastAsia="仿宋_GB2312"/>
          <w:sz w:val="28"/>
          <w:szCs w:val="28"/>
          <w:highlight w:val="none"/>
        </w:rPr>
      </w:pPr>
      <w:r>
        <w:rPr>
          <w:rFonts w:hint="eastAsia" w:ascii="仿宋_GB2312" w:hAnsi="仿宋" w:eastAsia="仿宋_GB2312"/>
          <w:sz w:val="28"/>
          <w:szCs w:val="28"/>
          <w:highlight w:val="none"/>
          <w:lang w:eastAsia="zh-CN"/>
        </w:rPr>
        <w:t>估价对象</w:t>
      </w:r>
      <w:r>
        <w:rPr>
          <w:rFonts w:hint="eastAsia" w:ascii="仿宋_GB2312" w:hAnsi="仿宋" w:eastAsia="仿宋_GB2312"/>
          <w:sz w:val="28"/>
          <w:szCs w:val="28"/>
          <w:highlight w:val="none"/>
        </w:rPr>
        <w:t>位于</w:t>
      </w:r>
      <w:r>
        <w:rPr>
          <w:rFonts w:hint="eastAsia" w:ascii="仿宋_GB2312" w:hAnsi="仿宋" w:eastAsia="仿宋_GB2312"/>
          <w:sz w:val="28"/>
          <w:szCs w:val="28"/>
          <w:highlight w:val="none"/>
          <w:lang w:val="en-US" w:eastAsia="zh-CN"/>
        </w:rPr>
        <w:t>大余县黄龙镇长胜村竹子桥</w:t>
      </w: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val="en-US" w:eastAsia="zh-CN"/>
        </w:rPr>
        <w:t>根据估价人员现场查勘，</w:t>
      </w:r>
      <w:r>
        <w:rPr>
          <w:rFonts w:hint="eastAsia" w:ascii="仿宋_GB2312" w:hAnsi="仿宋" w:eastAsia="仿宋_GB2312"/>
          <w:sz w:val="28"/>
          <w:szCs w:val="28"/>
          <w:highlight w:val="none"/>
        </w:rPr>
        <w:t>建筑面积为</w:t>
      </w:r>
      <w:r>
        <w:rPr>
          <w:rFonts w:hint="eastAsia" w:ascii="仿宋_GB2312" w:hAnsi="仿宋" w:eastAsia="仿宋_GB2312"/>
          <w:sz w:val="28"/>
          <w:szCs w:val="28"/>
          <w:highlight w:val="none"/>
          <w:lang w:val="en-US" w:eastAsia="zh-CN"/>
        </w:rPr>
        <w:t>152.48</w:t>
      </w:r>
      <w:r>
        <w:rPr>
          <w:rFonts w:hint="eastAsia" w:ascii="仿宋_GB2312" w:hAnsi="仿宋" w:eastAsia="仿宋_GB2312"/>
          <w:sz w:val="28"/>
          <w:szCs w:val="28"/>
          <w:highlight w:val="none"/>
        </w:rPr>
        <w:t>平方米</w:t>
      </w:r>
      <w:r>
        <w:rPr>
          <w:rFonts w:hint="eastAsia" w:ascii="仿宋_GB2312" w:hAnsi="仿宋" w:eastAsia="仿宋_GB2312"/>
          <w:sz w:val="28"/>
          <w:szCs w:val="28"/>
          <w:highlight w:val="none"/>
          <w:lang w:eastAsia="zh-CN"/>
        </w:rPr>
        <w:t>，</w:t>
      </w:r>
      <w:r>
        <w:rPr>
          <w:rFonts w:hint="eastAsia" w:ascii="仿宋_GB2312" w:hAnsi="仿宋" w:eastAsia="仿宋_GB2312"/>
          <w:sz w:val="28"/>
          <w:szCs w:val="28"/>
          <w:highlight w:val="none"/>
        </w:rPr>
        <w:t>为</w:t>
      </w:r>
      <w:r>
        <w:rPr>
          <w:rFonts w:hint="eastAsia" w:ascii="仿宋_GB2312" w:hAnsi="仿宋" w:eastAsia="仿宋_GB2312"/>
          <w:sz w:val="28"/>
          <w:szCs w:val="28"/>
          <w:highlight w:val="none"/>
          <w:lang w:val="en-US" w:eastAsia="zh-CN"/>
        </w:rPr>
        <w:t>钢混</w:t>
      </w:r>
      <w:r>
        <w:rPr>
          <w:rFonts w:hint="eastAsia" w:ascii="仿宋_GB2312" w:hAnsi="仿宋" w:eastAsia="仿宋_GB2312"/>
          <w:sz w:val="28"/>
          <w:szCs w:val="28"/>
          <w:highlight w:val="none"/>
        </w:rPr>
        <w:t>结构</w:t>
      </w:r>
      <w:r>
        <w:rPr>
          <w:rFonts w:hint="eastAsia" w:ascii="仿宋_GB2312" w:hAnsi="仿宋" w:eastAsia="仿宋_GB2312"/>
          <w:sz w:val="28"/>
          <w:szCs w:val="28"/>
          <w:highlight w:val="none"/>
          <w:lang w:eastAsia="zh-CN"/>
        </w:rPr>
        <w:t>。</w:t>
      </w:r>
      <w:r>
        <w:rPr>
          <w:rFonts w:hint="eastAsia" w:ascii="仿宋_GB2312" w:hAnsi="仿宋" w:eastAsia="仿宋_GB2312"/>
          <w:sz w:val="28"/>
          <w:szCs w:val="28"/>
          <w:highlight w:val="none"/>
        </w:rPr>
        <w:t>其所处楼栋总楼层为</w:t>
      </w:r>
      <w:r>
        <w:rPr>
          <w:rFonts w:hint="eastAsia" w:ascii="仿宋_GB2312" w:hAnsi="仿宋" w:eastAsia="仿宋_GB2312"/>
          <w:sz w:val="28"/>
          <w:szCs w:val="28"/>
          <w:highlight w:val="none"/>
          <w:lang w:val="en-US" w:eastAsia="zh-CN"/>
        </w:rPr>
        <w:t>5</w:t>
      </w:r>
      <w:r>
        <w:rPr>
          <w:rFonts w:hint="eastAsia" w:ascii="仿宋_GB2312" w:hAnsi="仿宋" w:eastAsia="仿宋_GB2312"/>
          <w:sz w:val="28"/>
          <w:szCs w:val="28"/>
          <w:highlight w:val="none"/>
        </w:rPr>
        <w:t>层，评估层为第</w:t>
      </w:r>
      <w:r>
        <w:rPr>
          <w:rFonts w:hint="eastAsia" w:ascii="仿宋_GB2312" w:hAnsi="仿宋" w:eastAsia="仿宋_GB2312"/>
          <w:sz w:val="28"/>
          <w:szCs w:val="28"/>
          <w:highlight w:val="none"/>
          <w:lang w:val="en-US" w:eastAsia="zh-CN"/>
        </w:rPr>
        <w:t>4</w:t>
      </w:r>
      <w:r>
        <w:rPr>
          <w:rFonts w:hint="eastAsia" w:ascii="仿宋_GB2312" w:hAnsi="仿宋" w:eastAsia="仿宋_GB2312"/>
          <w:sz w:val="28"/>
          <w:szCs w:val="28"/>
          <w:highlight w:val="none"/>
        </w:rPr>
        <w:t>层，</w:t>
      </w:r>
      <w:r>
        <w:rPr>
          <w:rFonts w:hint="eastAsia" w:ascii="仿宋_GB2312" w:hAnsi="仿宋" w:eastAsia="仿宋_GB2312"/>
          <w:sz w:val="28"/>
          <w:szCs w:val="28"/>
          <w:highlight w:val="none"/>
          <w:lang w:val="en-US" w:eastAsia="zh-CN"/>
        </w:rPr>
        <w:t>根据估价人员现场查勘，</w:t>
      </w:r>
      <w:r>
        <w:rPr>
          <w:rFonts w:hint="eastAsia" w:ascii="仿宋_GB2312" w:hAnsi="仿宋" w:eastAsia="仿宋_GB2312"/>
          <w:sz w:val="28"/>
          <w:szCs w:val="28"/>
          <w:highlight w:val="none"/>
        </w:rPr>
        <w:t>该</w:t>
      </w:r>
      <w:r>
        <w:rPr>
          <w:rFonts w:hint="eastAsia" w:ascii="仿宋_GB2312" w:hAnsi="仿宋" w:eastAsia="仿宋_GB2312"/>
          <w:sz w:val="28"/>
          <w:szCs w:val="28"/>
          <w:highlight w:val="none"/>
          <w:lang w:val="en-US" w:eastAsia="zh-CN"/>
        </w:rPr>
        <w:t>房屋目前空置，室内毛坯。</w:t>
      </w:r>
      <w:r>
        <w:rPr>
          <w:rFonts w:hint="eastAsia" w:ascii="仿宋_GB2312" w:hAnsi="仿宋" w:eastAsia="仿宋_GB2312"/>
          <w:sz w:val="28"/>
          <w:szCs w:val="28"/>
          <w:highlight w:val="none"/>
          <w:lang w:eastAsia="zh-CN"/>
        </w:rPr>
        <w:t>房屋</w:t>
      </w:r>
      <w:r>
        <w:rPr>
          <w:rFonts w:hint="eastAsia" w:ascii="仿宋_GB2312" w:hAnsi="仿宋" w:eastAsia="仿宋_GB2312"/>
          <w:sz w:val="28"/>
          <w:szCs w:val="28"/>
          <w:highlight w:val="none"/>
          <w:lang w:val="en-US" w:eastAsia="zh-CN"/>
        </w:rPr>
        <w:t>登记</w:t>
      </w:r>
      <w:r>
        <w:rPr>
          <w:rFonts w:hint="eastAsia" w:ascii="仿宋_GB2312" w:hAnsi="仿宋" w:eastAsia="仿宋_GB2312"/>
          <w:sz w:val="28"/>
          <w:szCs w:val="28"/>
          <w:highlight w:val="none"/>
        </w:rPr>
        <w:t>用途为</w:t>
      </w:r>
      <w:r>
        <w:rPr>
          <w:rFonts w:hint="eastAsia" w:ascii="仿宋_GB2312" w:hAnsi="仿宋" w:eastAsia="仿宋_GB2312"/>
          <w:sz w:val="28"/>
          <w:szCs w:val="28"/>
          <w:highlight w:val="none"/>
          <w:lang w:val="en-US" w:eastAsia="zh-CN"/>
        </w:rPr>
        <w:t>住宅</w:t>
      </w: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val="en-US" w:eastAsia="zh-CN"/>
        </w:rPr>
        <w:t>层高约3米</w:t>
      </w:r>
      <w:r>
        <w:rPr>
          <w:rFonts w:hint="eastAsia" w:ascii="仿宋_GB2312" w:hAnsi="仿宋" w:eastAsia="仿宋_GB2312"/>
          <w:sz w:val="28"/>
          <w:szCs w:val="28"/>
          <w:highlight w:val="none"/>
        </w:rPr>
        <w:t>，于</w:t>
      </w:r>
      <w:r>
        <w:rPr>
          <w:rFonts w:hint="eastAsia" w:ascii="仿宋_GB2312" w:hAnsi="仿宋" w:eastAsia="仿宋_GB2312"/>
          <w:sz w:val="28"/>
          <w:szCs w:val="28"/>
          <w:highlight w:val="none"/>
          <w:lang w:val="en-US" w:eastAsia="zh-CN"/>
        </w:rPr>
        <w:t>2007年</w:t>
      </w:r>
      <w:r>
        <w:rPr>
          <w:rFonts w:hint="eastAsia" w:ascii="仿宋_GB2312" w:hAnsi="仿宋" w:eastAsia="仿宋_GB2312"/>
          <w:sz w:val="28"/>
          <w:szCs w:val="28"/>
          <w:highlight w:val="none"/>
        </w:rPr>
        <w:t>建成，成新度约为</w:t>
      </w:r>
      <w:r>
        <w:rPr>
          <w:rFonts w:hint="eastAsia" w:ascii="仿宋_GB2312" w:hAnsi="仿宋" w:eastAsia="仿宋_GB2312"/>
          <w:sz w:val="28"/>
          <w:szCs w:val="28"/>
          <w:highlight w:val="none"/>
          <w:lang w:val="en-US" w:eastAsia="zh-CN"/>
        </w:rPr>
        <w:t>七五成新</w:t>
      </w:r>
      <w:r>
        <w:rPr>
          <w:rFonts w:hint="eastAsia" w:ascii="仿宋_GB2312" w:hAnsi="仿宋" w:eastAsia="仿宋_GB2312"/>
          <w:sz w:val="28"/>
          <w:szCs w:val="28"/>
          <w:highlight w:val="none"/>
        </w:rPr>
        <w:t>，朝向为</w:t>
      </w:r>
      <w:r>
        <w:rPr>
          <w:rFonts w:hint="eastAsia" w:ascii="仿宋_GB2312" w:hAnsi="仿宋" w:eastAsia="仿宋_GB2312"/>
          <w:sz w:val="28"/>
          <w:szCs w:val="28"/>
          <w:highlight w:val="none"/>
          <w:lang w:val="en-US" w:eastAsia="zh-CN"/>
        </w:rPr>
        <w:t>东</w:t>
      </w:r>
      <w:r>
        <w:rPr>
          <w:rFonts w:hint="eastAsia" w:ascii="仿宋_GB2312" w:hAnsi="仿宋" w:eastAsia="仿宋_GB2312"/>
          <w:sz w:val="28"/>
          <w:szCs w:val="28"/>
          <w:highlight w:val="none"/>
        </w:rPr>
        <w:t>，采光、通风</w:t>
      </w:r>
      <w:r>
        <w:rPr>
          <w:rFonts w:hint="eastAsia" w:ascii="仿宋_GB2312" w:hAnsi="仿宋" w:eastAsia="仿宋_GB2312"/>
          <w:sz w:val="28"/>
          <w:szCs w:val="28"/>
          <w:highlight w:val="none"/>
          <w:lang w:val="en-US" w:eastAsia="zh-CN"/>
        </w:rPr>
        <w:t>较好</w:t>
      </w:r>
      <w:r>
        <w:rPr>
          <w:rFonts w:hint="eastAsia" w:ascii="仿宋_GB2312" w:hAnsi="仿宋" w:eastAsia="仿宋_GB2312"/>
          <w:sz w:val="28"/>
          <w:szCs w:val="28"/>
          <w:highlight w:val="none"/>
        </w:rPr>
        <w:t>。</w:t>
      </w:r>
    </w:p>
    <w:p>
      <w:pPr>
        <w:spacing w:line="520" w:lineRule="exact"/>
        <w:ind w:firstLine="588" w:firstLineChars="210"/>
        <w:rPr>
          <w:rFonts w:hint="eastAsia" w:ascii="仿宋_GB2312" w:hAnsi="宋体" w:eastAsia="仿宋_GB2312"/>
          <w:sz w:val="28"/>
          <w:szCs w:val="28"/>
          <w:highlight w:val="none"/>
        </w:rPr>
      </w:pPr>
      <w:bookmarkStart w:id="28" w:name="OLE_LINK46"/>
      <w:r>
        <w:rPr>
          <w:rFonts w:hint="eastAsia" w:ascii="仿宋_GB2312" w:hAnsi="宋体" w:eastAsia="仿宋_GB2312"/>
          <w:sz w:val="28"/>
          <w:szCs w:val="28"/>
          <w:highlight w:val="none"/>
          <w:lang w:eastAsia="zh-CN"/>
        </w:rPr>
        <w:t>室内：毛坯</w:t>
      </w:r>
      <w:r>
        <w:rPr>
          <w:rFonts w:hint="eastAsia" w:ascii="仿宋_GB2312" w:hAnsi="宋体" w:eastAsia="仿宋_GB2312"/>
          <w:sz w:val="28"/>
          <w:szCs w:val="28"/>
          <w:highlight w:val="none"/>
        </w:rPr>
        <w:t>；</w:t>
      </w:r>
    </w:p>
    <w:p>
      <w:pPr>
        <w:spacing w:line="520" w:lineRule="exact"/>
        <w:ind w:firstLine="588" w:firstLineChars="210"/>
        <w:rPr>
          <w:rFonts w:hint="eastAsia" w:ascii="仿宋_GB2312" w:hAnsi="宋体" w:eastAsia="仿宋_GB2312"/>
          <w:sz w:val="28"/>
          <w:szCs w:val="28"/>
          <w:highlight w:val="none"/>
        </w:rPr>
      </w:pPr>
      <w:r>
        <w:rPr>
          <w:rFonts w:hint="eastAsia" w:ascii="仿宋_GB2312" w:hAnsi="宋体" w:eastAsia="仿宋_GB2312"/>
          <w:sz w:val="28"/>
          <w:szCs w:val="28"/>
          <w:highlight w:val="none"/>
        </w:rPr>
        <w:t>门窗：入户门为防盗门；</w:t>
      </w:r>
    </w:p>
    <w:bookmarkEnd w:id="28"/>
    <w:p>
      <w:pPr>
        <w:spacing w:line="520" w:lineRule="exact"/>
        <w:ind w:firstLine="560" w:firstLineChars="200"/>
        <w:rPr>
          <w:rFonts w:hint="eastAsia" w:ascii="仿宋_GB2312" w:hAnsi="宋体" w:eastAsia="仿宋_GB2312"/>
          <w:sz w:val="28"/>
          <w:szCs w:val="28"/>
          <w:highlight w:val="none"/>
          <w:lang w:eastAsia="zh-CN"/>
        </w:rPr>
      </w:pPr>
      <w:r>
        <w:rPr>
          <w:rFonts w:hint="eastAsia" w:ascii="仿宋_GB2312" w:hAnsi="仿宋" w:eastAsia="仿宋_GB2312"/>
          <w:sz w:val="28"/>
          <w:szCs w:val="28"/>
          <w:highlight w:val="none"/>
        </w:rPr>
        <w:t>具体情况</w:t>
      </w:r>
      <w:r>
        <w:rPr>
          <w:rFonts w:hint="eastAsia" w:ascii="仿宋_GB2312" w:hAnsi="仿宋" w:eastAsia="仿宋_GB2312"/>
          <w:sz w:val="28"/>
          <w:szCs w:val="28"/>
          <w:highlight w:val="none"/>
          <w:lang w:eastAsia="zh-CN"/>
        </w:rPr>
        <w:t>详见《估价对象</w:t>
      </w:r>
      <w:r>
        <w:rPr>
          <w:rFonts w:hint="eastAsia" w:ascii="仿宋_GB2312" w:hAnsi="仿宋" w:eastAsia="仿宋_GB2312"/>
          <w:sz w:val="28"/>
          <w:szCs w:val="28"/>
          <w:highlight w:val="none"/>
          <w:lang w:val="en-US" w:eastAsia="zh-CN"/>
        </w:rPr>
        <w:t>现状</w:t>
      </w:r>
      <w:r>
        <w:rPr>
          <w:rFonts w:hint="eastAsia" w:ascii="仿宋_GB2312" w:hAnsi="仿宋" w:eastAsia="仿宋_GB2312"/>
          <w:sz w:val="28"/>
          <w:szCs w:val="28"/>
          <w:highlight w:val="none"/>
          <w:lang w:eastAsia="zh-CN"/>
        </w:rPr>
        <w:t>照片》</w:t>
      </w:r>
      <w:r>
        <w:rPr>
          <w:rFonts w:hint="eastAsia" w:ascii="仿宋_GB2312" w:hAnsi="宋体" w:eastAsia="仿宋_GB2312"/>
          <w:sz w:val="28"/>
          <w:szCs w:val="28"/>
          <w:highlight w:val="none"/>
          <w:lang w:eastAsia="zh-CN"/>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3、权益状况</w:t>
      </w:r>
    </w:p>
    <w:p>
      <w:pPr>
        <w:adjustRightInd w:val="0"/>
        <w:snapToGrid w:val="0"/>
        <w:spacing w:line="520" w:lineRule="exact"/>
        <w:ind w:firstLine="560" w:firstLineChars="200"/>
        <w:rPr>
          <w:rFonts w:hint="eastAsia" w:ascii="Times New Roman" w:hAnsi="Times New Roman" w:eastAsia="仿宋_GB2312" w:cs="仿宋_GB2312"/>
          <w:sz w:val="28"/>
          <w:szCs w:val="28"/>
          <w:highlight w:val="none"/>
        </w:rPr>
      </w:pPr>
      <w:r>
        <w:rPr>
          <w:rFonts w:hint="eastAsia" w:ascii="Times New Roman" w:hAnsi="Times New Roman" w:eastAsia="仿宋_GB2312"/>
          <w:sz w:val="28"/>
          <w:szCs w:val="28"/>
          <w:highlight w:val="none"/>
        </w:rPr>
        <w:t>（1）</w:t>
      </w:r>
      <w:r>
        <w:rPr>
          <w:rFonts w:hint="eastAsia" w:ascii="Times New Roman" w:hAnsi="Times New Roman" w:eastAsia="仿宋_GB2312" w:cs="仿宋_GB2312"/>
          <w:sz w:val="28"/>
          <w:szCs w:val="28"/>
          <w:highlight w:val="none"/>
        </w:rPr>
        <w:t>不动产登记状况</w:t>
      </w:r>
    </w:p>
    <w:p>
      <w:pPr>
        <w:adjustRightInd w:val="0"/>
        <w:snapToGrid w:val="0"/>
        <w:spacing w:line="520" w:lineRule="exact"/>
        <w:ind w:firstLine="560" w:firstLineChars="200"/>
        <w:rPr>
          <w:rFonts w:hint="eastAsia" w:ascii="Times New Roman" w:hAnsi="Times New Roman" w:eastAsia="仿宋_GB2312" w:cs="仿宋_GB2312"/>
          <w:b/>
          <w:sz w:val="24"/>
          <w:szCs w:val="24"/>
          <w:highlight w:val="none"/>
        </w:rPr>
      </w:pPr>
      <w:r>
        <w:rPr>
          <w:rFonts w:hint="eastAsia" w:ascii="Times New Roman" w:hAnsi="Times New Roman" w:eastAsia="仿宋_GB2312" w:cs="仿宋_GB2312"/>
          <w:bCs/>
          <w:sz w:val="28"/>
          <w:szCs w:val="28"/>
          <w:highlight w:val="none"/>
        </w:rPr>
        <w:t>根据估价委托人提供的《不动产权证书》记载，估价对象</w:t>
      </w:r>
      <w:r>
        <w:rPr>
          <w:rFonts w:hint="eastAsia" w:ascii="Times New Roman" w:hAnsi="Times New Roman" w:eastAsia="仿宋_GB2312" w:cs="仿宋_GB2312"/>
          <w:sz w:val="28"/>
          <w:szCs w:val="28"/>
          <w:highlight w:val="none"/>
        </w:rPr>
        <w:t>权益状况如下：</w:t>
      </w:r>
    </w:p>
    <w:p>
      <w:pPr>
        <w:spacing w:line="560" w:lineRule="exact"/>
        <w:jc w:val="center"/>
        <w:rPr>
          <w:rFonts w:hint="eastAsia" w:ascii="Times New Roman" w:hAnsi="Times New Roman" w:eastAsia="仿宋_GB2312" w:cs="仿宋_GB2312"/>
          <w:b/>
          <w:sz w:val="24"/>
          <w:szCs w:val="24"/>
          <w:highlight w:val="none"/>
        </w:rPr>
      </w:pPr>
      <w:r>
        <w:rPr>
          <w:rFonts w:hint="eastAsia" w:ascii="Times New Roman" w:hAnsi="Times New Roman" w:eastAsia="仿宋_GB2312" w:cs="仿宋_GB2312"/>
          <w:b/>
          <w:sz w:val="24"/>
          <w:szCs w:val="24"/>
          <w:highlight w:val="none"/>
        </w:rPr>
        <w:t>不动产权益状况表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5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23" w:type="dxa"/>
            <w:tcBorders>
              <w:tl2br w:val="nil"/>
              <w:tr2bl w:val="nil"/>
            </w:tcBorders>
            <w:noWrap w:val="0"/>
            <w:vAlign w:val="center"/>
          </w:tcPr>
          <w:p>
            <w:pPr>
              <w:widowControl/>
              <w:rPr>
                <w:rFonts w:hint="eastAsia" w:ascii="Times New Roman" w:hAnsi="Times New Roman" w:eastAsia="仿宋_GB2312" w:cs="宋体"/>
                <w:b/>
                <w:kern w:val="0"/>
                <w:szCs w:val="21"/>
                <w:highlight w:val="none"/>
              </w:rPr>
            </w:pPr>
            <w:r>
              <w:rPr>
                <w:rFonts w:hint="eastAsia" w:ascii="Times New Roman" w:hAnsi="Times New Roman" w:eastAsia="仿宋_GB2312" w:cs="宋体"/>
                <w:b/>
                <w:kern w:val="0"/>
                <w:szCs w:val="21"/>
                <w:highlight w:val="none"/>
              </w:rPr>
              <w:t>坐落</w:t>
            </w:r>
          </w:p>
        </w:tc>
        <w:tc>
          <w:tcPr>
            <w:tcW w:w="5810" w:type="dxa"/>
            <w:tcBorders>
              <w:tl2br w:val="nil"/>
              <w:tr2bl w:val="nil"/>
            </w:tcBorders>
            <w:noWrap w:val="0"/>
            <w:vAlign w:val="center"/>
          </w:tcPr>
          <w:p>
            <w:pPr>
              <w:widowControl/>
              <w:rPr>
                <w:rFonts w:hint="eastAsia" w:ascii="Times New Roman" w:hAnsi="Times New Roman" w:eastAsia="仿宋_GB2312" w:cs="宋体"/>
                <w:kern w:val="0"/>
                <w:szCs w:val="21"/>
                <w:highlight w:val="none"/>
                <w:lang w:eastAsia="zh-CN"/>
              </w:rPr>
            </w:pPr>
            <w:r>
              <w:rPr>
                <w:rFonts w:hint="eastAsia" w:ascii="Times New Roman" w:hAnsi="Times New Roman" w:eastAsia="仿宋_GB2312"/>
                <w:bCs/>
                <w:szCs w:val="21"/>
                <w:highlight w:val="none"/>
                <w:lang w:eastAsia="zh-CN"/>
              </w:rPr>
              <w:t>大余县黄龙镇长胜村竹子桥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523" w:type="dxa"/>
            <w:tcBorders>
              <w:tl2br w:val="nil"/>
              <w:tr2bl w:val="nil"/>
            </w:tcBorders>
            <w:noWrap w:val="0"/>
            <w:vAlign w:val="center"/>
          </w:tcPr>
          <w:p>
            <w:pPr>
              <w:widowControl/>
              <w:rPr>
                <w:rFonts w:hint="eastAsia" w:ascii="Times New Roman" w:hAnsi="Times New Roman" w:eastAsia="仿宋_GB2312" w:cs="宋体"/>
                <w:b/>
                <w:kern w:val="0"/>
                <w:szCs w:val="21"/>
                <w:highlight w:val="none"/>
              </w:rPr>
            </w:pPr>
            <w:r>
              <w:rPr>
                <w:rFonts w:hint="eastAsia" w:ascii="Times New Roman" w:hAnsi="Times New Roman" w:eastAsia="仿宋_GB2312" w:cs="宋体"/>
                <w:b/>
                <w:kern w:val="0"/>
                <w:szCs w:val="21"/>
                <w:highlight w:val="none"/>
              </w:rPr>
              <w:t>不动产单元号</w:t>
            </w:r>
          </w:p>
        </w:tc>
        <w:tc>
          <w:tcPr>
            <w:tcW w:w="5810" w:type="dxa"/>
            <w:tcBorders>
              <w:tl2br w:val="nil"/>
              <w:tr2bl w:val="nil"/>
            </w:tcBorders>
            <w:noWrap w:val="0"/>
            <w:vAlign w:val="center"/>
          </w:tcPr>
          <w:p>
            <w:pPr>
              <w:widowControl/>
              <w:spacing w:line="240" w:lineRule="atLeast"/>
              <w:jc w:val="both"/>
              <w:rPr>
                <w:rFonts w:hint="eastAsia" w:ascii="Times New Roman" w:hAnsi="Times New Roman" w:eastAsia="仿宋_GB2312" w:cs="宋体"/>
                <w:kern w:val="0"/>
                <w:szCs w:val="21"/>
                <w:highlight w:val="none"/>
                <w:lang w:eastAsia="zh-CN"/>
              </w:rPr>
            </w:pPr>
            <w:r>
              <w:rPr>
                <w:rFonts w:hint="eastAsia" w:ascii="Times New Roman" w:hAnsi="Times New Roman" w:eastAsia="仿宋_GB2312" w:cs="仿宋_GB2312"/>
                <w:kern w:val="0"/>
                <w:szCs w:val="21"/>
                <w:highlight w:val="none"/>
                <w:lang w:eastAsia="zh-CN"/>
              </w:rPr>
              <w:t>360723 002001 GB00800 F00010017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523" w:type="dxa"/>
            <w:tcBorders>
              <w:tl2br w:val="nil"/>
              <w:tr2bl w:val="nil"/>
            </w:tcBorders>
            <w:noWrap w:val="0"/>
            <w:vAlign w:val="center"/>
          </w:tcPr>
          <w:p>
            <w:pPr>
              <w:widowControl/>
              <w:rPr>
                <w:rFonts w:hint="eastAsia" w:ascii="Times New Roman" w:hAnsi="Times New Roman" w:eastAsia="仿宋_GB2312" w:cs="宋体"/>
                <w:b/>
                <w:kern w:val="0"/>
                <w:szCs w:val="21"/>
                <w:highlight w:val="none"/>
                <w:lang w:eastAsia="zh-CN"/>
              </w:rPr>
            </w:pPr>
            <w:r>
              <w:rPr>
                <w:rFonts w:hint="eastAsia" w:ascii="Times New Roman" w:hAnsi="Times New Roman" w:eastAsia="仿宋_GB2312" w:cs="宋体"/>
                <w:b/>
                <w:kern w:val="0"/>
                <w:szCs w:val="21"/>
                <w:highlight w:val="none"/>
                <w:lang w:eastAsia="zh-CN"/>
              </w:rPr>
              <w:t>《不动产权证书》编号</w:t>
            </w:r>
          </w:p>
        </w:tc>
        <w:tc>
          <w:tcPr>
            <w:tcW w:w="5810" w:type="dxa"/>
            <w:tcBorders>
              <w:tl2br w:val="nil"/>
              <w:tr2bl w:val="nil"/>
            </w:tcBorders>
            <w:noWrap w:val="0"/>
            <w:vAlign w:val="center"/>
          </w:tcPr>
          <w:p>
            <w:pPr>
              <w:widowControl/>
              <w:rPr>
                <w:rFonts w:hint="eastAsia" w:ascii="Times New Roman" w:hAnsi="Times New Roman" w:eastAsia="仿宋_GB2312" w:cs="宋体"/>
                <w:kern w:val="0"/>
                <w:szCs w:val="21"/>
                <w:highlight w:val="none"/>
                <w:lang w:eastAsia="zh-CN"/>
              </w:rPr>
            </w:pPr>
            <w:r>
              <w:rPr>
                <w:rFonts w:hint="eastAsia" w:ascii="Times New Roman" w:hAnsi="Times New Roman" w:eastAsia="仿宋_GB2312"/>
                <w:bCs/>
                <w:szCs w:val="21"/>
                <w:highlight w:val="none"/>
                <w:lang w:eastAsia="zh-CN"/>
              </w:rPr>
              <w:t>赣（2017）大余县不动产权第0003514号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3" w:type="dxa"/>
            <w:tcBorders>
              <w:tl2br w:val="nil"/>
              <w:tr2bl w:val="nil"/>
            </w:tcBorders>
            <w:noWrap w:val="0"/>
            <w:vAlign w:val="center"/>
          </w:tcPr>
          <w:p>
            <w:pPr>
              <w:widowControl/>
              <w:rPr>
                <w:rFonts w:hint="eastAsia" w:ascii="Times New Roman" w:hAnsi="Times New Roman" w:eastAsia="仿宋_GB2312" w:cs="宋体"/>
                <w:b/>
                <w:kern w:val="0"/>
                <w:szCs w:val="21"/>
                <w:highlight w:val="none"/>
              </w:rPr>
            </w:pPr>
            <w:r>
              <w:rPr>
                <w:rFonts w:hint="eastAsia" w:ascii="Times New Roman" w:hAnsi="Times New Roman" w:eastAsia="仿宋_GB2312" w:cs="宋体"/>
                <w:b/>
                <w:kern w:val="0"/>
                <w:szCs w:val="21"/>
                <w:highlight w:val="none"/>
              </w:rPr>
              <w:t>权利人</w:t>
            </w:r>
          </w:p>
        </w:tc>
        <w:tc>
          <w:tcPr>
            <w:tcW w:w="5810" w:type="dxa"/>
            <w:tcBorders>
              <w:tl2br w:val="nil"/>
              <w:tr2bl w:val="nil"/>
            </w:tcBorders>
            <w:noWrap w:val="0"/>
            <w:vAlign w:val="center"/>
          </w:tcPr>
          <w:p>
            <w:pPr>
              <w:spacing w:line="240" w:lineRule="atLeast"/>
              <w:rPr>
                <w:rFonts w:hint="eastAsia" w:ascii="Times New Roman" w:hAnsi="Times New Roman" w:eastAsia="仿宋_GB2312" w:cs="仿宋_GB2312"/>
                <w:szCs w:val="21"/>
                <w:highlight w:val="none"/>
                <w:lang w:eastAsia="zh-CN"/>
              </w:rPr>
            </w:pPr>
            <w:r>
              <w:rPr>
                <w:rFonts w:hint="eastAsia" w:ascii="Times New Roman" w:hAnsi="Times New Roman" w:eastAsia="仿宋_GB2312"/>
                <w:bCs/>
                <w:szCs w:val="21"/>
                <w:highlight w:val="none"/>
                <w:lang w:eastAsia="zh-CN"/>
              </w:rPr>
              <w:t>谢文君、刘彩花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23" w:type="dxa"/>
            <w:tcBorders>
              <w:tl2br w:val="nil"/>
              <w:tr2bl w:val="nil"/>
            </w:tcBorders>
            <w:noWrap w:val="0"/>
            <w:vAlign w:val="center"/>
          </w:tcPr>
          <w:p>
            <w:pPr>
              <w:widowControl/>
              <w:rPr>
                <w:rFonts w:hint="eastAsia" w:ascii="Times New Roman" w:hAnsi="Times New Roman" w:eastAsia="仿宋_GB2312" w:cs="宋体"/>
                <w:b/>
                <w:kern w:val="0"/>
                <w:szCs w:val="21"/>
                <w:highlight w:val="none"/>
              </w:rPr>
            </w:pPr>
            <w:r>
              <w:rPr>
                <w:rFonts w:hint="eastAsia" w:ascii="Times New Roman" w:hAnsi="Times New Roman" w:eastAsia="仿宋_GB2312" w:cs="宋体"/>
                <w:b/>
                <w:kern w:val="0"/>
                <w:szCs w:val="21"/>
                <w:highlight w:val="none"/>
              </w:rPr>
              <w:t>共有情况</w:t>
            </w:r>
          </w:p>
        </w:tc>
        <w:tc>
          <w:tcPr>
            <w:tcW w:w="5810" w:type="dxa"/>
            <w:tcBorders>
              <w:tl2br w:val="nil"/>
              <w:tr2bl w:val="nil"/>
            </w:tcBorders>
            <w:noWrap w:val="0"/>
            <w:vAlign w:val="center"/>
          </w:tcPr>
          <w:p>
            <w:pPr>
              <w:spacing w:line="0" w:lineRule="atLeast"/>
              <w:rPr>
                <w:rFonts w:hint="eastAsia" w:ascii="Times New Roman" w:hAnsi="Times New Roman" w:eastAsia="仿宋_GB2312"/>
                <w:bCs/>
                <w:szCs w:val="21"/>
                <w:highlight w:val="none"/>
                <w:lang w:eastAsia="zh-CN"/>
              </w:rPr>
            </w:pPr>
            <w:r>
              <w:rPr>
                <w:rFonts w:hint="eastAsia" w:ascii="Times New Roman" w:hAnsi="Times New Roman" w:eastAsia="仿宋_GB2312"/>
                <w:bCs/>
                <w:szCs w:val="21"/>
                <w:highlight w:val="none"/>
                <w:lang w:eastAsia="zh-CN"/>
              </w:rPr>
              <w:t>共同共有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3" w:type="dxa"/>
            <w:tcBorders>
              <w:tl2br w:val="nil"/>
              <w:tr2bl w:val="nil"/>
            </w:tcBorders>
            <w:noWrap w:val="0"/>
            <w:vAlign w:val="center"/>
          </w:tcPr>
          <w:p>
            <w:pPr>
              <w:widowControl/>
              <w:rPr>
                <w:rFonts w:hint="eastAsia" w:ascii="Times New Roman" w:hAnsi="Times New Roman" w:eastAsia="仿宋_GB2312" w:cs="宋体"/>
                <w:b/>
                <w:kern w:val="0"/>
                <w:szCs w:val="21"/>
                <w:highlight w:val="none"/>
              </w:rPr>
            </w:pPr>
            <w:r>
              <w:rPr>
                <w:rFonts w:hint="eastAsia" w:ascii="Times New Roman" w:hAnsi="Times New Roman" w:eastAsia="仿宋_GB2312" w:cs="宋体"/>
                <w:b/>
                <w:kern w:val="0"/>
                <w:szCs w:val="21"/>
                <w:highlight w:val="none"/>
              </w:rPr>
              <w:t>权利类型</w:t>
            </w:r>
          </w:p>
        </w:tc>
        <w:tc>
          <w:tcPr>
            <w:tcW w:w="5810" w:type="dxa"/>
            <w:tcBorders>
              <w:tl2br w:val="nil"/>
              <w:tr2bl w:val="nil"/>
            </w:tcBorders>
            <w:noWrap w:val="0"/>
            <w:vAlign w:val="center"/>
          </w:tcPr>
          <w:p>
            <w:pPr>
              <w:widowControl/>
              <w:rPr>
                <w:rFonts w:hint="eastAsia" w:ascii="Times New Roman" w:hAnsi="Times New Roman" w:eastAsia="仿宋_GB2312" w:cs="宋体"/>
                <w:kern w:val="0"/>
                <w:szCs w:val="21"/>
                <w:highlight w:val="none"/>
              </w:rPr>
            </w:pPr>
            <w:r>
              <w:rPr>
                <w:rFonts w:hint="eastAsia" w:ascii="Times New Roman" w:hAnsi="Times New Roman" w:eastAsia="仿宋_GB2312" w:cs="宋体"/>
                <w:kern w:val="0"/>
                <w:szCs w:val="21"/>
                <w:highlight w:val="none"/>
              </w:rPr>
              <w:t>国有建设用地使用权/房屋（构筑物）所有权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3" w:type="dxa"/>
            <w:tcBorders>
              <w:tl2br w:val="nil"/>
              <w:tr2bl w:val="nil"/>
            </w:tcBorders>
            <w:noWrap w:val="0"/>
            <w:vAlign w:val="center"/>
          </w:tcPr>
          <w:p>
            <w:pPr>
              <w:widowControl/>
              <w:rPr>
                <w:rFonts w:hint="eastAsia" w:ascii="Times New Roman" w:hAnsi="Times New Roman" w:eastAsia="仿宋_GB2312" w:cs="宋体"/>
                <w:b/>
                <w:kern w:val="0"/>
                <w:szCs w:val="21"/>
                <w:highlight w:val="none"/>
              </w:rPr>
            </w:pPr>
            <w:r>
              <w:rPr>
                <w:rFonts w:hint="eastAsia" w:ascii="Times New Roman" w:hAnsi="Times New Roman" w:eastAsia="仿宋_GB2312" w:cs="宋体"/>
                <w:b/>
                <w:kern w:val="0"/>
                <w:szCs w:val="21"/>
                <w:highlight w:val="none"/>
              </w:rPr>
              <w:t>权利性质</w:t>
            </w:r>
          </w:p>
        </w:tc>
        <w:tc>
          <w:tcPr>
            <w:tcW w:w="5810" w:type="dxa"/>
            <w:tcBorders>
              <w:tl2br w:val="nil"/>
              <w:tr2bl w:val="nil"/>
            </w:tcBorders>
            <w:noWrap w:val="0"/>
            <w:vAlign w:val="center"/>
          </w:tcPr>
          <w:p>
            <w:pPr>
              <w:widowControl/>
              <w:rPr>
                <w:rFonts w:hint="eastAsia" w:ascii="Times New Roman" w:hAnsi="Times New Roman" w:eastAsia="仿宋_GB2312" w:cs="宋体"/>
                <w:kern w:val="0"/>
                <w:szCs w:val="21"/>
                <w:highlight w:val="none"/>
                <w:lang w:eastAsia="zh-CN"/>
              </w:rPr>
            </w:pPr>
            <w:r>
              <w:rPr>
                <w:rFonts w:hint="eastAsia" w:ascii="Times New Roman" w:hAnsi="Times New Roman" w:eastAsia="仿宋_GB2312" w:cs="宋体"/>
                <w:kern w:val="0"/>
                <w:szCs w:val="21"/>
                <w:highlight w:val="none"/>
              </w:rPr>
              <w:t>出让/</w:t>
            </w:r>
            <w:r>
              <w:rPr>
                <w:rFonts w:hint="eastAsia" w:ascii="Times New Roman" w:hAnsi="Times New Roman" w:eastAsia="仿宋_GB2312" w:cs="宋体"/>
                <w:kern w:val="0"/>
                <w:szCs w:val="21"/>
                <w:highlight w:val="none"/>
                <w:lang w:eastAsia="zh-CN"/>
              </w:rPr>
              <w:t>自建房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3" w:type="dxa"/>
            <w:tcBorders>
              <w:tl2br w:val="nil"/>
              <w:tr2bl w:val="nil"/>
            </w:tcBorders>
            <w:noWrap w:val="0"/>
            <w:vAlign w:val="center"/>
          </w:tcPr>
          <w:p>
            <w:pPr>
              <w:widowControl/>
              <w:rPr>
                <w:rFonts w:hint="eastAsia" w:ascii="Times New Roman" w:hAnsi="Times New Roman" w:eastAsia="仿宋_GB2312" w:cs="宋体"/>
                <w:b/>
                <w:kern w:val="0"/>
                <w:szCs w:val="21"/>
                <w:highlight w:val="none"/>
              </w:rPr>
            </w:pPr>
            <w:r>
              <w:rPr>
                <w:rFonts w:hint="eastAsia" w:ascii="Times New Roman" w:hAnsi="Times New Roman" w:eastAsia="仿宋_GB2312" w:cs="宋体"/>
                <w:b/>
                <w:kern w:val="0"/>
                <w:szCs w:val="21"/>
                <w:highlight w:val="none"/>
              </w:rPr>
              <w:t>用途</w:t>
            </w:r>
          </w:p>
        </w:tc>
        <w:tc>
          <w:tcPr>
            <w:tcW w:w="5810" w:type="dxa"/>
            <w:tcBorders>
              <w:tl2br w:val="nil"/>
              <w:tr2bl w:val="nil"/>
            </w:tcBorders>
            <w:noWrap w:val="0"/>
            <w:vAlign w:val="center"/>
          </w:tcPr>
          <w:p>
            <w:pPr>
              <w:widowControl/>
              <w:rPr>
                <w:rFonts w:hint="eastAsia" w:ascii="Times New Roman" w:hAnsi="Times New Roman" w:eastAsia="仿宋_GB2312" w:cs="宋体"/>
                <w:kern w:val="0"/>
                <w:szCs w:val="21"/>
                <w:highlight w:val="none"/>
                <w:lang w:eastAsia="zh-CN"/>
              </w:rPr>
            </w:pPr>
            <w:r>
              <w:rPr>
                <w:rFonts w:hint="eastAsia" w:ascii="Times New Roman" w:hAnsi="Times New Roman" w:eastAsia="仿宋_GB2312" w:cs="宋体"/>
                <w:kern w:val="0"/>
                <w:szCs w:val="21"/>
                <w:highlight w:val="none"/>
                <w:lang w:eastAsia="zh-CN"/>
              </w:rPr>
              <w:t>城镇住宅用地/住宅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3" w:type="dxa"/>
            <w:tcBorders>
              <w:tl2br w:val="nil"/>
              <w:tr2bl w:val="nil"/>
            </w:tcBorders>
            <w:noWrap w:val="0"/>
            <w:vAlign w:val="center"/>
          </w:tcPr>
          <w:p>
            <w:pPr>
              <w:widowControl/>
              <w:rPr>
                <w:rFonts w:hint="eastAsia" w:ascii="Times New Roman" w:hAnsi="Times New Roman" w:eastAsia="仿宋_GB2312" w:cs="宋体"/>
                <w:b/>
                <w:kern w:val="0"/>
                <w:szCs w:val="21"/>
                <w:highlight w:val="none"/>
              </w:rPr>
            </w:pPr>
            <w:r>
              <w:rPr>
                <w:rFonts w:hint="eastAsia" w:ascii="Times New Roman" w:hAnsi="Times New Roman" w:eastAsia="仿宋_GB2312" w:cs="宋体"/>
                <w:b/>
                <w:kern w:val="0"/>
                <w:szCs w:val="21"/>
                <w:highlight w:val="none"/>
              </w:rPr>
              <w:t>使用期限</w:t>
            </w:r>
          </w:p>
        </w:tc>
        <w:tc>
          <w:tcPr>
            <w:tcW w:w="5810" w:type="dxa"/>
            <w:tcBorders>
              <w:tl2br w:val="nil"/>
              <w:tr2bl w:val="nil"/>
            </w:tcBorders>
            <w:noWrap w:val="0"/>
            <w:vAlign w:val="center"/>
          </w:tcPr>
          <w:p>
            <w:pPr>
              <w:widowControl/>
              <w:spacing w:line="240" w:lineRule="atLeast"/>
              <w:rPr>
                <w:rFonts w:hint="default" w:ascii="Times New Roman" w:hAnsi="Times New Roman" w:eastAsia="仿宋_GB2312" w:cs="仿宋_GB2312"/>
                <w:kern w:val="0"/>
                <w:szCs w:val="21"/>
                <w:highlight w:val="none"/>
                <w:lang w:val="en-US" w:eastAsia="zh-CN"/>
              </w:rPr>
            </w:pPr>
            <w:r>
              <w:rPr>
                <w:rFonts w:hint="eastAsia" w:ascii="Times New Roman" w:hAnsi="Times New Roman" w:eastAsia="仿宋_GB2312" w:cs="仿宋_GB2312"/>
                <w:kern w:val="0"/>
                <w:szCs w:val="21"/>
                <w:highlight w:val="none"/>
                <w:lang w:val="en-US" w:eastAsia="zh-CN"/>
              </w:rPr>
              <w:t>2002年10月08日起2052年10月07日止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523" w:type="dxa"/>
            <w:tcBorders>
              <w:tl2br w:val="nil"/>
              <w:tr2bl w:val="nil"/>
            </w:tcBorders>
            <w:noWrap w:val="0"/>
            <w:vAlign w:val="center"/>
          </w:tcPr>
          <w:p>
            <w:pPr>
              <w:widowControl/>
              <w:textAlignment w:val="center"/>
              <w:rPr>
                <w:rFonts w:hint="eastAsia" w:ascii="Times New Roman" w:hAnsi="Times New Roman" w:eastAsia="仿宋_GB2312" w:cs="宋体"/>
                <w:b/>
                <w:kern w:val="0"/>
                <w:szCs w:val="21"/>
                <w:highlight w:val="none"/>
              </w:rPr>
            </w:pPr>
            <w:r>
              <w:rPr>
                <w:rFonts w:hint="eastAsia" w:ascii="Times New Roman" w:hAnsi="Times New Roman" w:eastAsia="仿宋_GB2312"/>
                <w:b/>
                <w:szCs w:val="21"/>
                <w:highlight w:val="none"/>
              </w:rPr>
              <w:t>房屋所在层/房屋总层数</w:t>
            </w:r>
          </w:p>
        </w:tc>
        <w:tc>
          <w:tcPr>
            <w:tcW w:w="5810" w:type="dxa"/>
            <w:tcBorders>
              <w:tl2br w:val="nil"/>
              <w:tr2bl w:val="nil"/>
            </w:tcBorders>
            <w:noWrap w:val="0"/>
            <w:vAlign w:val="center"/>
          </w:tcPr>
          <w:p>
            <w:pPr>
              <w:widowControl/>
              <w:spacing w:line="240" w:lineRule="atLeast"/>
              <w:jc w:val="left"/>
              <w:textAlignment w:val="center"/>
              <w:rPr>
                <w:rFonts w:hint="default" w:ascii="Times New Roman" w:hAnsi="Times New Roman" w:eastAsia="仿宋_GB2312" w:cs="宋体"/>
                <w:kern w:val="0"/>
                <w:szCs w:val="21"/>
                <w:highlight w:val="none"/>
                <w:lang w:val="en-US" w:eastAsia="zh-CN"/>
              </w:rPr>
            </w:pPr>
            <w:r>
              <w:rPr>
                <w:rFonts w:hint="eastAsia" w:ascii="Times New Roman" w:hAnsi="Times New Roman" w:eastAsia="仿宋_GB2312"/>
                <w:bCs/>
                <w:szCs w:val="21"/>
                <w:highlight w:val="no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523" w:type="dxa"/>
            <w:tcBorders>
              <w:tl2br w:val="nil"/>
              <w:tr2bl w:val="nil"/>
            </w:tcBorders>
            <w:noWrap w:val="0"/>
            <w:vAlign w:val="center"/>
          </w:tcPr>
          <w:p>
            <w:pPr>
              <w:widowControl/>
              <w:textAlignment w:val="center"/>
              <w:rPr>
                <w:rFonts w:hint="eastAsia" w:ascii="Times New Roman" w:hAnsi="Times New Roman" w:eastAsia="仿宋_GB2312"/>
                <w:b/>
                <w:szCs w:val="21"/>
                <w:highlight w:val="none"/>
                <w:lang w:eastAsia="zh-CN"/>
              </w:rPr>
            </w:pPr>
            <w:r>
              <w:rPr>
                <w:rFonts w:hint="eastAsia" w:ascii="Times New Roman" w:hAnsi="Times New Roman" w:eastAsia="仿宋_GB2312"/>
                <w:b/>
                <w:szCs w:val="21"/>
                <w:highlight w:val="none"/>
                <w:lang w:eastAsia="zh-CN"/>
              </w:rPr>
              <w:t>房屋竣工时间</w:t>
            </w:r>
          </w:p>
        </w:tc>
        <w:tc>
          <w:tcPr>
            <w:tcW w:w="5810" w:type="dxa"/>
            <w:tcBorders>
              <w:tl2br w:val="nil"/>
              <w:tr2bl w:val="nil"/>
            </w:tcBorders>
            <w:noWrap w:val="0"/>
            <w:vAlign w:val="center"/>
          </w:tcPr>
          <w:p>
            <w:pPr>
              <w:widowControl/>
              <w:spacing w:line="240" w:lineRule="atLeast"/>
              <w:jc w:val="left"/>
              <w:textAlignment w:val="center"/>
              <w:rPr>
                <w:rFonts w:hint="default" w:ascii="Times New Roman" w:hAnsi="Times New Roman" w:eastAsia="仿宋_GB2312"/>
                <w:bCs/>
                <w:szCs w:val="21"/>
                <w:highlight w:val="none"/>
                <w:lang w:val="en-US" w:eastAsia="zh-CN"/>
              </w:rPr>
            </w:pPr>
            <w:r>
              <w:rPr>
                <w:rFonts w:hint="eastAsia" w:ascii="Times New Roman" w:hAnsi="Times New Roman" w:eastAsia="仿宋_GB2312"/>
                <w:bCs/>
                <w:szCs w:val="21"/>
                <w:highlight w:val="none"/>
                <w:lang w:val="en-US" w:eastAsia="zh-CN"/>
              </w:rPr>
              <w:t>2007年01月01日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3" w:type="dxa"/>
            <w:tcBorders>
              <w:tl2br w:val="nil"/>
              <w:tr2bl w:val="nil"/>
            </w:tcBorders>
            <w:noWrap w:val="0"/>
            <w:vAlign w:val="center"/>
          </w:tcPr>
          <w:p>
            <w:pPr>
              <w:widowControl/>
              <w:rPr>
                <w:rFonts w:hint="eastAsia" w:ascii="Times New Roman" w:hAnsi="Times New Roman" w:eastAsia="仿宋_GB2312" w:cs="宋体"/>
                <w:b/>
                <w:kern w:val="0"/>
                <w:szCs w:val="21"/>
                <w:highlight w:val="none"/>
              </w:rPr>
            </w:pPr>
            <w:r>
              <w:rPr>
                <w:rFonts w:hint="eastAsia" w:ascii="Times New Roman" w:hAnsi="Times New Roman" w:eastAsia="仿宋_GB2312" w:cs="宋体"/>
                <w:b/>
                <w:kern w:val="0"/>
                <w:szCs w:val="21"/>
                <w:highlight w:val="none"/>
              </w:rPr>
              <w:t>结构</w:t>
            </w:r>
          </w:p>
        </w:tc>
        <w:tc>
          <w:tcPr>
            <w:tcW w:w="5810" w:type="dxa"/>
            <w:tcBorders>
              <w:tl2br w:val="nil"/>
              <w:tr2bl w:val="nil"/>
            </w:tcBorders>
            <w:noWrap w:val="0"/>
            <w:vAlign w:val="center"/>
          </w:tcPr>
          <w:p>
            <w:pPr>
              <w:widowControl/>
              <w:rPr>
                <w:rFonts w:hint="eastAsia" w:ascii="Times New Roman" w:hAnsi="Times New Roman" w:eastAsia="仿宋_GB2312" w:cs="宋体"/>
                <w:kern w:val="0"/>
                <w:szCs w:val="21"/>
                <w:highlight w:val="none"/>
                <w:lang w:eastAsia="zh-CN"/>
              </w:rPr>
            </w:pPr>
            <w:r>
              <w:rPr>
                <w:rFonts w:hint="eastAsia" w:ascii="Times New Roman" w:hAnsi="Times New Roman" w:eastAsia="仿宋_GB2312" w:cs="宋体"/>
                <w:kern w:val="0"/>
                <w:szCs w:val="21"/>
                <w:highlight w:val="none"/>
                <w:lang w:eastAsia="zh-CN"/>
              </w:rPr>
              <w:t>钢筋混凝土结构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523" w:type="dxa"/>
            <w:tcBorders>
              <w:tl2br w:val="nil"/>
              <w:tr2bl w:val="nil"/>
            </w:tcBorders>
            <w:noWrap w:val="0"/>
            <w:vAlign w:val="center"/>
          </w:tcPr>
          <w:p>
            <w:pPr>
              <w:widowControl/>
              <w:rPr>
                <w:rFonts w:hint="eastAsia" w:ascii="Times New Roman" w:hAnsi="Times New Roman" w:eastAsia="仿宋_GB2312" w:cs="宋体"/>
                <w:b/>
                <w:kern w:val="0"/>
                <w:szCs w:val="21"/>
                <w:highlight w:val="none"/>
              </w:rPr>
            </w:pPr>
            <w:r>
              <w:rPr>
                <w:rFonts w:hint="eastAsia" w:ascii="Times New Roman" w:hAnsi="Times New Roman" w:eastAsia="仿宋_GB2312" w:cs="宋体"/>
                <w:b/>
                <w:kern w:val="0"/>
                <w:szCs w:val="21"/>
                <w:highlight w:val="none"/>
              </w:rPr>
              <w:t>建筑面积（㎡</w:t>
            </w:r>
            <w:r>
              <w:rPr>
                <w:rFonts w:hint="eastAsia" w:ascii="Times New Roman" w:hAnsi="Times New Roman" w:eastAsia="仿宋_GB2312" w:cs="仿宋_GB2312"/>
                <w:b/>
                <w:kern w:val="0"/>
                <w:szCs w:val="21"/>
                <w:highlight w:val="none"/>
              </w:rPr>
              <w:t>）</w:t>
            </w:r>
          </w:p>
        </w:tc>
        <w:tc>
          <w:tcPr>
            <w:tcW w:w="5810" w:type="dxa"/>
            <w:tcBorders>
              <w:tl2br w:val="nil"/>
              <w:tr2bl w:val="nil"/>
            </w:tcBorders>
            <w:noWrap w:val="0"/>
            <w:vAlign w:val="center"/>
          </w:tcPr>
          <w:p>
            <w:pPr>
              <w:widowControl/>
              <w:rPr>
                <w:rFonts w:hint="default" w:ascii="Times New Roman" w:hAnsi="Times New Roman" w:eastAsia="仿宋_GB2312" w:cs="宋体"/>
                <w:kern w:val="0"/>
                <w:szCs w:val="21"/>
                <w:highlight w:val="none"/>
                <w:lang w:val="en-US" w:eastAsia="zh-CN"/>
              </w:rPr>
            </w:pPr>
            <w:r>
              <w:rPr>
                <w:rFonts w:hint="eastAsia" w:ascii="Times New Roman" w:hAnsi="Times New Roman" w:eastAsia="仿宋_GB2312" w:cs="宋体"/>
                <w:kern w:val="0"/>
                <w:szCs w:val="21"/>
                <w:highlight w:val="none"/>
                <w:lang w:val="en-US" w:eastAsia="zh-CN"/>
              </w:rPr>
              <w:t>152.48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3" w:type="dxa"/>
            <w:tcBorders>
              <w:tl2br w:val="nil"/>
              <w:tr2bl w:val="nil"/>
            </w:tcBorders>
            <w:noWrap w:val="0"/>
            <w:vAlign w:val="center"/>
          </w:tcPr>
          <w:p>
            <w:pPr>
              <w:widowControl/>
              <w:rPr>
                <w:rFonts w:hint="eastAsia" w:ascii="Times New Roman" w:hAnsi="Times New Roman" w:eastAsia="仿宋_GB2312" w:cs="宋体"/>
                <w:b/>
                <w:kern w:val="0"/>
                <w:szCs w:val="21"/>
                <w:highlight w:val="none"/>
              </w:rPr>
            </w:pPr>
            <w:r>
              <w:rPr>
                <w:rFonts w:hint="eastAsia" w:ascii="Times New Roman" w:hAnsi="Times New Roman" w:eastAsia="仿宋_GB2312" w:cs="宋体"/>
                <w:b/>
                <w:kern w:val="0"/>
                <w:szCs w:val="21"/>
                <w:highlight w:val="none"/>
              </w:rPr>
              <w:t>共有宗地面积（㎡</w:t>
            </w:r>
            <w:r>
              <w:rPr>
                <w:rFonts w:hint="eastAsia" w:ascii="Times New Roman" w:hAnsi="Times New Roman" w:eastAsia="仿宋_GB2312" w:cs="仿宋_GB2312"/>
                <w:b/>
                <w:kern w:val="0"/>
                <w:szCs w:val="21"/>
                <w:highlight w:val="none"/>
              </w:rPr>
              <w:t>）</w:t>
            </w:r>
          </w:p>
        </w:tc>
        <w:tc>
          <w:tcPr>
            <w:tcW w:w="5810" w:type="dxa"/>
            <w:tcBorders>
              <w:tl2br w:val="nil"/>
              <w:tr2bl w:val="nil"/>
            </w:tcBorders>
            <w:noWrap w:val="0"/>
            <w:vAlign w:val="center"/>
          </w:tcPr>
          <w:p>
            <w:pPr>
              <w:widowControl/>
              <w:rPr>
                <w:rFonts w:hint="default" w:ascii="Times New Roman" w:hAnsi="Times New Roman" w:eastAsia="仿宋_GB2312" w:cs="宋体"/>
                <w:kern w:val="0"/>
                <w:szCs w:val="21"/>
                <w:highlight w:val="none"/>
                <w:lang w:val="en-US" w:eastAsia="zh-CN"/>
              </w:rPr>
            </w:pPr>
            <w:r>
              <w:rPr>
                <w:rFonts w:hint="eastAsia" w:ascii="Times New Roman" w:hAnsi="Times New Roman" w:eastAsia="仿宋_GB2312" w:cs="宋体"/>
                <w:kern w:val="0"/>
                <w:szCs w:val="21"/>
                <w:highlight w:val="none"/>
                <w:lang w:val="en-US" w:eastAsia="zh-CN"/>
              </w:rPr>
              <w:t>1362.08</w:t>
            </w:r>
          </w:p>
        </w:tc>
      </w:tr>
    </w:tbl>
    <w:p>
      <w:pPr>
        <w:spacing w:line="520" w:lineRule="exact"/>
        <w:ind w:firstLine="560" w:firstLineChars="200"/>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rPr>
        <w:t>（</w:t>
      </w:r>
      <w:r>
        <w:rPr>
          <w:rFonts w:hint="eastAsia" w:ascii="仿宋_GB2312" w:hAnsi="宋体" w:eastAsia="仿宋_GB2312"/>
          <w:sz w:val="28"/>
          <w:szCs w:val="28"/>
          <w:highlight w:val="none"/>
          <w:lang w:val="en-US" w:eastAsia="zh-CN"/>
        </w:rPr>
        <w:t>2</w:t>
      </w:r>
      <w:r>
        <w:rPr>
          <w:rFonts w:hint="eastAsia" w:ascii="仿宋_GB2312" w:hAnsi="宋体" w:eastAsia="仿宋_GB2312"/>
          <w:sz w:val="28"/>
          <w:szCs w:val="28"/>
          <w:highlight w:val="none"/>
        </w:rPr>
        <w:t>）他项权利</w:t>
      </w:r>
      <w:r>
        <w:rPr>
          <w:rFonts w:hint="eastAsia" w:ascii="仿宋_GB2312" w:hAnsi="宋体" w:eastAsia="仿宋_GB2312"/>
          <w:sz w:val="28"/>
          <w:szCs w:val="28"/>
          <w:highlight w:val="none"/>
          <w:lang w:val="en-US" w:eastAsia="zh-CN"/>
        </w:rPr>
        <w:t>状况</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根据估价委托人提供的</w:t>
      </w:r>
      <w:r>
        <w:rPr>
          <w:rFonts w:hint="eastAsia" w:ascii="仿宋_GB2312" w:hAnsi="仿宋" w:eastAsia="仿宋_GB2312" w:cs="仿宋_GB2312"/>
          <w:bCs/>
          <w:sz w:val="28"/>
          <w:szCs w:val="28"/>
          <w:lang w:eastAsia="zh-CN"/>
        </w:rPr>
        <w:t>《不动产登记证明》</w:t>
      </w:r>
      <w:r>
        <w:rPr>
          <w:rFonts w:hint="eastAsia" w:ascii="仿宋_GB2312" w:hAnsi="宋体" w:eastAsia="仿宋_GB2312"/>
          <w:sz w:val="28"/>
          <w:szCs w:val="28"/>
        </w:rPr>
        <w:t>记载，至价值时点，估价对象存在</w:t>
      </w:r>
      <w:r>
        <w:rPr>
          <w:rFonts w:hint="eastAsia" w:ascii="仿宋_GB2312" w:hAnsi="宋体" w:eastAsia="仿宋_GB2312"/>
          <w:sz w:val="28"/>
          <w:szCs w:val="28"/>
          <w:lang w:eastAsia="zh-CN"/>
        </w:rPr>
        <w:t>抵押权</w:t>
      </w:r>
      <w:r>
        <w:rPr>
          <w:rFonts w:hint="eastAsia" w:ascii="仿宋_GB2312" w:hAnsi="宋体" w:eastAsia="仿宋_GB2312"/>
          <w:sz w:val="28"/>
          <w:szCs w:val="28"/>
        </w:rPr>
        <w:t>。考虑到本次估价目的，本次评估未考虑他项权利对房地产价值的影响，提请</w:t>
      </w:r>
      <w:r>
        <w:rPr>
          <w:rFonts w:hint="eastAsia" w:ascii="仿宋_GB2312" w:hAnsi="宋体" w:eastAsia="仿宋_GB2312"/>
          <w:sz w:val="28"/>
          <w:szCs w:val="28"/>
          <w:lang w:eastAsia="zh-CN"/>
        </w:rPr>
        <w:t>报告使用人</w:t>
      </w:r>
      <w:r>
        <w:rPr>
          <w:rFonts w:hint="eastAsia" w:ascii="仿宋_GB2312" w:hAnsi="宋体" w:eastAsia="仿宋_GB2312"/>
          <w:sz w:val="28"/>
          <w:szCs w:val="28"/>
        </w:rPr>
        <w:t>注意。</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highlight w:val="none"/>
        </w:rPr>
      </w:pPr>
    </w:p>
    <w:p>
      <w:pPr>
        <w:pStyle w:val="4"/>
        <w:spacing w:line="540" w:lineRule="exact"/>
        <w:ind w:firstLine="420"/>
        <w:rPr>
          <w:rFonts w:hint="eastAsia" w:ascii="仿宋_GB2312" w:eastAsia="仿宋_GB2312"/>
          <w:b/>
          <w:spacing w:val="-20"/>
          <w:sz w:val="28"/>
          <w:highlight w:val="none"/>
        </w:rPr>
      </w:pPr>
      <w:bookmarkStart w:id="29" w:name="_Toc17706"/>
      <w:bookmarkStart w:id="30" w:name="_Toc517794689"/>
      <w:bookmarkStart w:id="31" w:name="_Toc517794431"/>
      <w:bookmarkStart w:id="32" w:name="_Toc29465"/>
      <w:r>
        <w:rPr>
          <w:rFonts w:hint="eastAsia" w:ascii="仿宋_GB2312" w:eastAsia="仿宋_GB2312"/>
          <w:b/>
          <w:highlight w:val="none"/>
        </w:rPr>
        <w:t>（五）价值时点</w:t>
      </w:r>
      <w:bookmarkEnd w:id="29"/>
      <w:bookmarkEnd w:id="30"/>
      <w:bookmarkEnd w:id="31"/>
      <w:bookmarkEnd w:id="32"/>
    </w:p>
    <w:p>
      <w:pPr>
        <w:spacing w:line="54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根据《房地产估价规范》及估价委托人所出具的委托书，</w:t>
      </w:r>
      <w:r>
        <w:rPr>
          <w:rFonts w:hint="eastAsia" w:ascii="仿宋_GB2312" w:hAnsi="宋体" w:eastAsia="仿宋_GB2312"/>
          <w:sz w:val="28"/>
          <w:szCs w:val="28"/>
          <w:highlight w:val="none"/>
          <w:lang w:eastAsia="zh-CN"/>
        </w:rPr>
        <w:t>本次估价</w:t>
      </w:r>
      <w:r>
        <w:rPr>
          <w:rFonts w:hint="eastAsia" w:ascii="仿宋_GB2312" w:hAnsi="宋体" w:eastAsia="仿宋_GB2312"/>
          <w:sz w:val="28"/>
          <w:szCs w:val="28"/>
          <w:highlight w:val="none"/>
        </w:rPr>
        <w:t>价值时点与估价师实地查勘之日一致，为</w:t>
      </w:r>
      <w:r>
        <w:rPr>
          <w:rFonts w:hint="eastAsia" w:ascii="仿宋_GB2312" w:hAnsi="宋体" w:eastAsia="仿宋_GB2312"/>
          <w:sz w:val="28"/>
          <w:szCs w:val="28"/>
          <w:highlight w:val="none"/>
          <w:lang w:eastAsia="zh-CN"/>
        </w:rPr>
        <w:t>2022年5月20日</w:t>
      </w:r>
      <w:r>
        <w:rPr>
          <w:rFonts w:hint="eastAsia" w:ascii="仿宋_GB2312" w:hAnsi="宋体" w:eastAsia="仿宋_GB2312"/>
          <w:sz w:val="28"/>
          <w:szCs w:val="28"/>
          <w:highlight w:val="none"/>
        </w:rPr>
        <w:t>。</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highlight w:val="none"/>
        </w:rPr>
      </w:pPr>
    </w:p>
    <w:p>
      <w:pPr>
        <w:pStyle w:val="4"/>
        <w:spacing w:line="540" w:lineRule="exact"/>
        <w:ind w:firstLine="420"/>
        <w:rPr>
          <w:rFonts w:hint="eastAsia" w:ascii="仿宋_GB2312" w:eastAsia="仿宋_GB2312"/>
          <w:b/>
          <w:highlight w:val="none"/>
        </w:rPr>
      </w:pPr>
      <w:bookmarkStart w:id="33" w:name="_Toc26640"/>
      <w:bookmarkStart w:id="34" w:name="_Toc517794432"/>
      <w:bookmarkStart w:id="35" w:name="_Toc20684"/>
      <w:bookmarkStart w:id="36" w:name="_Toc517794690"/>
      <w:r>
        <w:rPr>
          <w:rFonts w:hint="eastAsia" w:ascii="仿宋_GB2312" w:eastAsia="仿宋_GB2312"/>
          <w:b/>
          <w:highlight w:val="none"/>
        </w:rPr>
        <w:t>（六）</w:t>
      </w:r>
      <w:r>
        <w:rPr>
          <w:rFonts w:hint="eastAsia" w:ascii="仿宋_GB2312" w:hAnsi="Times New Roman" w:eastAsia="仿宋_GB2312" w:cs="Times New Roman"/>
          <w:b/>
          <w:bCs w:val="0"/>
          <w:kern w:val="2"/>
          <w:szCs w:val="30"/>
          <w:highlight w:val="none"/>
          <w:lang w:bidi="ar"/>
        </w:rPr>
        <w:t>价值</w:t>
      </w:r>
      <w:r>
        <w:rPr>
          <w:rFonts w:hint="eastAsia" w:ascii="仿宋_GB2312" w:hAnsi="Times New Roman" w:eastAsia="仿宋_GB2312" w:cs="Times New Roman"/>
          <w:b/>
          <w:bCs w:val="0"/>
          <w:kern w:val="2"/>
          <w:szCs w:val="30"/>
          <w:highlight w:val="none"/>
          <w:lang w:val="en-US" w:eastAsia="zh-CN" w:bidi="ar"/>
        </w:rPr>
        <w:t>类型</w:t>
      </w:r>
      <w:bookmarkEnd w:id="33"/>
      <w:bookmarkEnd w:id="34"/>
      <w:bookmarkEnd w:id="35"/>
      <w:bookmarkEnd w:id="36"/>
    </w:p>
    <w:p>
      <w:pPr>
        <w:spacing w:line="54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在估价的假设和限制条件下的市场</w:t>
      </w:r>
      <w:r>
        <w:rPr>
          <w:rFonts w:hint="eastAsia" w:ascii="仿宋_GB2312" w:hAnsi="宋体" w:eastAsia="仿宋_GB2312"/>
          <w:color w:val="000000"/>
          <w:sz w:val="28"/>
          <w:szCs w:val="28"/>
          <w:highlight w:val="none"/>
          <w:lang w:eastAsia="zh-CN"/>
        </w:rPr>
        <w:t>价格</w:t>
      </w:r>
      <w:r>
        <w:rPr>
          <w:rFonts w:hint="eastAsia" w:ascii="仿宋_GB2312" w:hAnsi="宋体" w:eastAsia="仿宋_GB2312"/>
          <w:color w:val="000000"/>
          <w:sz w:val="28"/>
          <w:szCs w:val="28"/>
          <w:highlight w:val="none"/>
        </w:rPr>
        <w:t>。</w:t>
      </w:r>
    </w:p>
    <w:p>
      <w:pPr>
        <w:spacing w:line="540" w:lineRule="exact"/>
        <w:ind w:firstLine="562" w:firstLineChars="200"/>
        <w:rPr>
          <w:rFonts w:hint="eastAsia" w:ascii="仿宋_GB2312" w:hAnsi="宋体" w:eastAsia="仿宋_GB2312"/>
          <w:color w:val="000000"/>
          <w:sz w:val="28"/>
          <w:szCs w:val="28"/>
          <w:highlight w:val="none"/>
        </w:rPr>
      </w:pPr>
      <w:r>
        <w:rPr>
          <w:rFonts w:hint="eastAsia" w:ascii="仿宋_GB2312" w:hAnsi="宋体" w:eastAsia="仿宋_GB2312"/>
          <w:b/>
          <w:color w:val="000000"/>
          <w:sz w:val="28"/>
          <w:szCs w:val="28"/>
          <w:highlight w:val="none"/>
        </w:rPr>
        <w:t>市场</w:t>
      </w:r>
      <w:r>
        <w:rPr>
          <w:rFonts w:hint="eastAsia" w:ascii="仿宋_GB2312" w:hAnsi="宋体" w:eastAsia="仿宋_GB2312"/>
          <w:b/>
          <w:color w:val="000000"/>
          <w:sz w:val="28"/>
          <w:szCs w:val="28"/>
          <w:highlight w:val="none"/>
          <w:lang w:eastAsia="zh-CN"/>
        </w:rPr>
        <w:t>价格</w:t>
      </w:r>
      <w:r>
        <w:rPr>
          <w:rFonts w:hint="eastAsia" w:ascii="仿宋_GB2312" w:hAnsi="宋体" w:eastAsia="仿宋_GB2312"/>
          <w:b/>
          <w:color w:val="000000"/>
          <w:sz w:val="28"/>
          <w:szCs w:val="28"/>
          <w:highlight w:val="none"/>
        </w:rPr>
        <w:t>：</w:t>
      </w:r>
      <w:r>
        <w:rPr>
          <w:rFonts w:hint="eastAsia" w:ascii="仿宋_GB2312" w:hAnsi="宋体" w:eastAsia="仿宋_GB2312"/>
          <w:color w:val="000000"/>
          <w:sz w:val="28"/>
          <w:szCs w:val="28"/>
          <w:highlight w:val="none"/>
        </w:rPr>
        <w:t>简称市场价或市价，是某种房地产在市场上的平均交易价格，以一些类似房地产的成交价格为基础测算，剔除偶然的和不正常的因素造成的价格偏差，并消除房地产之间的状况不同造成的价格差异。</w:t>
      </w:r>
    </w:p>
    <w:p>
      <w:pPr>
        <w:keepNext w:val="0"/>
        <w:keepLines w:val="0"/>
        <w:tabs>
          <w:tab w:val="left" w:pos="315"/>
        </w:tabs>
        <w:adjustRightInd/>
        <w:snapToGrid/>
        <w:spacing w:line="360" w:lineRule="exact"/>
        <w:ind w:firstLine="281" w:firstLineChars="100"/>
        <w:jc w:val="center"/>
        <w:outlineLvl w:val="9"/>
        <w:rPr>
          <w:rFonts w:hint="eastAsia" w:ascii="仿宋_GB2312" w:hAnsi="宋体" w:eastAsia="仿宋_GB2312"/>
          <w:b/>
          <w:color w:val="000000"/>
          <w:sz w:val="28"/>
          <w:szCs w:val="28"/>
          <w:highlight w:val="none"/>
        </w:rPr>
      </w:pPr>
      <w:bookmarkStart w:id="37" w:name="_Toc517794691"/>
      <w:bookmarkStart w:id="38" w:name="_Toc517794433"/>
    </w:p>
    <w:p>
      <w:pPr>
        <w:pStyle w:val="4"/>
        <w:spacing w:line="520" w:lineRule="exact"/>
        <w:ind w:firstLine="420"/>
        <w:rPr>
          <w:rFonts w:hint="eastAsia" w:ascii="仿宋_GB2312" w:eastAsia="仿宋_GB2312"/>
          <w:b/>
          <w:color w:val="000000"/>
          <w:sz w:val="28"/>
          <w:highlight w:val="none"/>
        </w:rPr>
      </w:pPr>
      <w:bookmarkStart w:id="39" w:name="_Toc13492"/>
      <w:bookmarkStart w:id="40" w:name="_Toc3336"/>
      <w:r>
        <w:rPr>
          <w:rFonts w:hint="eastAsia" w:ascii="仿宋_GB2312" w:eastAsia="仿宋_GB2312"/>
          <w:b/>
          <w:highlight w:val="none"/>
        </w:rPr>
        <w:t>（七）估价依据</w:t>
      </w:r>
      <w:bookmarkEnd w:id="37"/>
      <w:bookmarkEnd w:id="38"/>
      <w:bookmarkEnd w:id="39"/>
      <w:bookmarkEnd w:id="40"/>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1、相关法律法规</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1）《中华人民共和国城市房地产管理法》（根据2019年8月26日第十三届全国人民代表大会常务委员会第十二次会议《关于修改〈中华人民共和国土地管理法〉、〈中华人民共和国城市房地产管理法〉的决定》第三次修</w:t>
      </w:r>
      <w:r>
        <w:rPr>
          <w:rFonts w:hint="eastAsia" w:ascii="仿宋_GB2312" w:hAnsi="宋体" w:eastAsia="仿宋_GB2312"/>
          <w:color w:val="000000"/>
          <w:sz w:val="28"/>
          <w:szCs w:val="28"/>
          <w:highlight w:val="none"/>
          <w:lang w:eastAsia="zh-CN"/>
        </w:rPr>
        <w:t>正</w:t>
      </w:r>
      <w:r>
        <w:rPr>
          <w:rFonts w:hint="eastAsia" w:ascii="仿宋_GB2312" w:hAnsi="宋体" w:eastAsia="仿宋_GB2312"/>
          <w:color w:val="000000"/>
          <w:sz w:val="28"/>
          <w:szCs w:val="28"/>
          <w:highlight w:val="none"/>
        </w:rPr>
        <w:t>，2020年1月1日起施行）；</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lang w:eastAsia="zh-CN"/>
        </w:rPr>
        <w:t>（</w:t>
      </w:r>
      <w:r>
        <w:rPr>
          <w:rFonts w:hint="eastAsia" w:ascii="仿宋_GB2312" w:hAnsi="宋体" w:eastAsia="仿宋_GB2312"/>
          <w:color w:val="000000"/>
          <w:sz w:val="28"/>
          <w:szCs w:val="28"/>
          <w:highlight w:val="none"/>
          <w:lang w:val="en-US" w:eastAsia="zh-CN"/>
        </w:rPr>
        <w:t>2</w:t>
      </w:r>
      <w:r>
        <w:rPr>
          <w:rFonts w:hint="eastAsia" w:ascii="仿宋_GB2312" w:hAnsi="宋体" w:eastAsia="仿宋_GB2312"/>
          <w:color w:val="000000"/>
          <w:sz w:val="28"/>
          <w:szCs w:val="28"/>
          <w:highlight w:val="none"/>
          <w:lang w:eastAsia="zh-CN"/>
        </w:rPr>
        <w:t>）</w:t>
      </w:r>
      <w:r>
        <w:rPr>
          <w:rFonts w:hint="eastAsia" w:ascii="仿宋_GB2312" w:hAnsi="宋体" w:eastAsia="仿宋_GB2312"/>
          <w:color w:val="000000"/>
          <w:sz w:val="28"/>
          <w:szCs w:val="28"/>
          <w:highlight w:val="none"/>
        </w:rPr>
        <w:t>《中华人民共和国资产评估法》（2016年7月2日第十二届全国人民代表大会常务委员会第二十一次会议通过）；</w:t>
      </w:r>
    </w:p>
    <w:p>
      <w:pPr>
        <w:tabs>
          <w:tab w:val="left" w:pos="2912"/>
        </w:tabs>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3）《中华人民共和国土地管理法》（根据2019年8月26日第十三届全国人民代表大会常务委员会第十二次会议《关于修改〈中华人民共和国土地管理法〉、〈中华人民共和国城市房地产管理法〉的决定》第三次修正，2020年1月1日起施行）;</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（4）《中华人民共和国民法典》（中华人民共和国第十三届全国人民代表大会第三次会议于2020年5月28日通过</w:t>
      </w:r>
      <w:r>
        <w:rPr>
          <w:rFonts w:hint="eastAsia" w:ascii="仿宋_GB2312" w:hAnsi="宋体" w:eastAsia="仿宋_GB2312"/>
          <w:color w:val="000000"/>
          <w:sz w:val="28"/>
          <w:szCs w:val="28"/>
          <w:highlight w:val="none"/>
          <w:lang w:eastAsia="zh-CN"/>
        </w:rPr>
        <w:t>，</w:t>
      </w:r>
      <w:r>
        <w:rPr>
          <w:rFonts w:hint="eastAsia" w:ascii="仿宋_GB2312" w:hAnsi="宋体" w:eastAsia="仿宋_GB2312"/>
          <w:color w:val="000000"/>
          <w:sz w:val="28"/>
          <w:szCs w:val="28"/>
          <w:highlight w:val="none"/>
        </w:rPr>
        <w:t>自2021年1月1日起施行）；</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（5）《中华人民共和国税收征收管理法》（2015年4月24日中华人民共和国主席令第23号发布）；</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（6）《中华人民共和国契税</w:t>
      </w:r>
      <w:r>
        <w:rPr>
          <w:rFonts w:hint="eastAsia" w:ascii="仿宋_GB2312" w:hAnsi="宋体" w:eastAsia="仿宋_GB2312"/>
          <w:color w:val="000000"/>
          <w:sz w:val="28"/>
          <w:szCs w:val="28"/>
          <w:highlight w:val="none"/>
          <w:lang w:eastAsia="zh-CN"/>
        </w:rPr>
        <w:t>法</w:t>
      </w:r>
      <w:r>
        <w:rPr>
          <w:rFonts w:hint="eastAsia" w:ascii="仿宋_GB2312" w:hAnsi="宋体" w:eastAsia="仿宋_GB2312"/>
          <w:color w:val="000000"/>
          <w:sz w:val="28"/>
          <w:szCs w:val="28"/>
          <w:highlight w:val="none"/>
        </w:rPr>
        <w:t>》（</w:t>
      </w:r>
      <w:r>
        <w:rPr>
          <w:rFonts w:hint="eastAsia" w:ascii="仿宋_GB2312" w:hAnsi="宋体" w:eastAsia="仿宋_GB2312" w:cs="Times New Roman"/>
          <w:color w:val="000000"/>
          <w:sz w:val="28"/>
          <w:szCs w:val="28"/>
          <w:highlight w:val="none"/>
          <w:lang w:eastAsia="zh-CN"/>
        </w:rPr>
        <w:t>由</w:t>
      </w:r>
      <w:r>
        <w:rPr>
          <w:rFonts w:hint="eastAsia" w:ascii="仿宋_GB2312" w:hAnsi="宋体" w:eastAsia="仿宋_GB2312" w:cs="Times New Roman"/>
          <w:i w:val="0"/>
          <w:iCs w:val="0"/>
          <w:caps w:val="0"/>
          <w:color w:val="000000"/>
          <w:spacing w:val="0"/>
          <w:sz w:val="28"/>
          <w:szCs w:val="28"/>
          <w:highlight w:val="none"/>
          <w:shd w:val="clear"/>
        </w:rPr>
        <w:t>中华人民共和国第十三届全国人民代表大会常务委员会第二十一次会议于2020年8月11日通过，自2021年9月1日起施行</w:t>
      </w:r>
      <w:r>
        <w:rPr>
          <w:rFonts w:hint="eastAsia" w:ascii="仿宋_GB2312" w:hAnsi="宋体" w:eastAsia="仿宋_GB2312"/>
          <w:color w:val="000000"/>
          <w:sz w:val="28"/>
          <w:szCs w:val="28"/>
          <w:highlight w:val="none"/>
        </w:rPr>
        <w:t>）；</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（7）《关于全面推开营业税改征增值税试点的通知》</w:t>
      </w:r>
      <w:r>
        <w:rPr>
          <w:rFonts w:hint="eastAsia" w:ascii="仿宋_GB2312" w:hAnsi="宋体" w:eastAsia="仿宋_GB2312"/>
          <w:color w:val="000000"/>
          <w:sz w:val="28"/>
          <w:szCs w:val="28"/>
          <w:highlight w:val="none"/>
          <w:lang w:eastAsia="zh-CN"/>
        </w:rPr>
        <w:t>（</w:t>
      </w:r>
      <w:r>
        <w:rPr>
          <w:rFonts w:hint="eastAsia" w:ascii="仿宋_GB2312" w:hAnsi="宋体" w:eastAsia="仿宋_GB2312"/>
          <w:color w:val="000000"/>
          <w:sz w:val="28"/>
          <w:szCs w:val="28"/>
          <w:highlight w:val="none"/>
        </w:rPr>
        <w:t>财税〔2016〕36号</w:t>
      </w:r>
      <w:r>
        <w:rPr>
          <w:rFonts w:hint="eastAsia" w:ascii="仿宋_GB2312" w:hAnsi="宋体" w:eastAsia="仿宋_GB2312"/>
          <w:color w:val="000000"/>
          <w:sz w:val="28"/>
          <w:szCs w:val="28"/>
          <w:highlight w:val="none"/>
          <w:lang w:eastAsia="zh-CN"/>
        </w:rPr>
        <w:t>）；</w:t>
      </w:r>
    </w:p>
    <w:p>
      <w:pPr>
        <w:spacing w:line="520" w:lineRule="exact"/>
        <w:ind w:firstLine="560" w:firstLineChars="200"/>
        <w:rPr>
          <w:rFonts w:hint="eastAsia" w:ascii="仿宋_GB2312" w:hAnsi="宋体" w:eastAsia="仿宋_GB2312"/>
          <w:color w:val="000000"/>
          <w:sz w:val="28"/>
          <w:szCs w:val="28"/>
          <w:highlight w:val="none"/>
          <w:lang w:eastAsia="zh-CN"/>
        </w:rPr>
      </w:pPr>
      <w:r>
        <w:rPr>
          <w:rFonts w:hint="eastAsia" w:ascii="仿宋_GB2312" w:hAnsi="宋体" w:eastAsia="仿宋_GB2312"/>
          <w:color w:val="000000"/>
          <w:sz w:val="28"/>
          <w:szCs w:val="28"/>
          <w:highlight w:val="none"/>
        </w:rPr>
        <w:t>（8）《中华人民共和国拍卖法》(中华人民共和国主席令第24号发布，自2015年4月24日起施行)</w:t>
      </w:r>
      <w:r>
        <w:rPr>
          <w:rFonts w:hint="eastAsia" w:ascii="仿宋_GB2312" w:hAnsi="宋体" w:eastAsia="仿宋_GB2312"/>
          <w:color w:val="000000"/>
          <w:sz w:val="28"/>
          <w:szCs w:val="28"/>
          <w:highlight w:val="none"/>
          <w:lang w:eastAsia="zh-CN"/>
        </w:rPr>
        <w:t>；</w:t>
      </w:r>
    </w:p>
    <w:p>
      <w:pPr>
        <w:spacing w:line="520" w:lineRule="exact"/>
        <w:ind w:firstLine="560" w:firstLineChars="200"/>
        <w:rPr>
          <w:rFonts w:hint="eastAsia" w:ascii="仿宋_GB2312" w:hAnsi="宋体" w:eastAsia="仿宋_GB2312"/>
          <w:color w:val="000000"/>
          <w:sz w:val="28"/>
          <w:szCs w:val="28"/>
          <w:highlight w:val="none"/>
          <w:lang w:eastAsia="zh-CN"/>
        </w:rPr>
      </w:pPr>
      <w:r>
        <w:rPr>
          <w:rFonts w:hint="eastAsia" w:ascii="仿宋_GB2312" w:hAnsi="宋体" w:eastAsia="仿宋_GB2312"/>
          <w:color w:val="000000"/>
          <w:sz w:val="28"/>
          <w:szCs w:val="28"/>
          <w:highlight w:val="none"/>
        </w:rPr>
        <w:t>（9）《最高人民法院关于人民法院委托评估、拍卖和变卖工作的若干规定》（2009年8月24日法释〔2009〕16号）</w:t>
      </w:r>
      <w:r>
        <w:rPr>
          <w:rFonts w:hint="eastAsia" w:ascii="仿宋_GB2312" w:hAnsi="宋体" w:eastAsia="仿宋_GB2312"/>
          <w:color w:val="000000"/>
          <w:sz w:val="28"/>
          <w:szCs w:val="28"/>
          <w:highlight w:val="none"/>
          <w:lang w:eastAsia="zh-CN"/>
        </w:rPr>
        <w:t>。</w:t>
      </w:r>
    </w:p>
    <w:p>
      <w:pPr>
        <w:spacing w:line="540" w:lineRule="exact"/>
        <w:ind w:firstLine="560" w:firstLineChars="200"/>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10</w:t>
      </w:r>
      <w:r>
        <w:rPr>
          <w:rFonts w:hint="eastAsia" w:ascii="仿宋_GB2312" w:hAnsi="宋体" w:eastAsia="仿宋_GB2312"/>
          <w:color w:val="000000"/>
          <w:sz w:val="28"/>
          <w:szCs w:val="28"/>
          <w:lang w:eastAsia="zh-CN"/>
        </w:rPr>
        <w:t>）《最高人民法院关于人民法院确定财产处置参考价若干问题的规定》</w:t>
      </w:r>
      <w:r>
        <w:rPr>
          <w:rFonts w:hint="eastAsia" w:ascii="仿宋_GB2312" w:hAnsi="宋体" w:eastAsia="仿宋_GB2312"/>
          <w:color w:val="000000"/>
          <w:sz w:val="28"/>
          <w:szCs w:val="28"/>
        </w:rPr>
        <w:t>（2018年6月4日法释〔2018〕15号）</w:t>
      </w:r>
      <w:r>
        <w:rPr>
          <w:rFonts w:hint="eastAsia" w:ascii="仿宋_GB2312" w:hAnsi="宋体" w:eastAsia="仿宋_GB2312"/>
          <w:color w:val="000000"/>
          <w:sz w:val="28"/>
          <w:szCs w:val="28"/>
          <w:lang w:eastAsia="zh-CN"/>
        </w:rPr>
        <w:t>。</w:t>
      </w:r>
    </w:p>
    <w:p>
      <w:pPr>
        <w:spacing w:line="520" w:lineRule="exact"/>
        <w:ind w:firstLine="560" w:firstLineChars="200"/>
        <w:rPr>
          <w:rFonts w:hint="eastAsia" w:ascii="仿宋_GB2312" w:hAnsi="宋体" w:eastAsia="仿宋_GB2312"/>
          <w:color w:val="000000"/>
          <w:sz w:val="28"/>
          <w:szCs w:val="28"/>
          <w:highlight w:val="none"/>
          <w:lang w:eastAsia="zh-CN"/>
        </w:rPr>
      </w:pPr>
    </w:p>
    <w:p>
      <w:pPr>
        <w:spacing w:line="520" w:lineRule="exact"/>
        <w:ind w:firstLine="560" w:firstLineChars="200"/>
        <w:rPr>
          <w:rFonts w:hint="eastAsia" w:ascii="仿宋_GB2312" w:hAnsi="仿宋" w:eastAsia="仿宋_GB2312"/>
          <w:sz w:val="28"/>
          <w:szCs w:val="28"/>
          <w:highlight w:val="none"/>
        </w:rPr>
      </w:pPr>
      <w:r>
        <w:rPr>
          <w:rFonts w:hint="eastAsia" w:ascii="仿宋_GB2312" w:hAnsi="仿宋" w:eastAsia="仿宋_GB2312"/>
          <w:sz w:val="28"/>
          <w:szCs w:val="28"/>
          <w:highlight w:val="none"/>
        </w:rPr>
        <w:t>2、技术标准、规程、规范</w:t>
      </w:r>
    </w:p>
    <w:p>
      <w:pPr>
        <w:spacing w:line="520" w:lineRule="exact"/>
        <w:ind w:firstLine="560" w:firstLineChars="200"/>
        <w:rPr>
          <w:rFonts w:hint="eastAsia" w:ascii="仿宋_GB2312" w:hAnsi="仿宋" w:eastAsia="仿宋_GB2312"/>
          <w:sz w:val="28"/>
          <w:szCs w:val="28"/>
          <w:highlight w:val="none"/>
          <w:lang w:eastAsia="zh-CN"/>
        </w:rPr>
      </w:pPr>
      <w:r>
        <w:rPr>
          <w:rFonts w:hint="eastAsia" w:ascii="仿宋_GB2312" w:hAnsi="仿宋" w:eastAsia="仿宋_GB2312"/>
          <w:sz w:val="28"/>
          <w:szCs w:val="28"/>
          <w:highlight w:val="none"/>
        </w:rPr>
        <w:t>（1）《房地产估价规范》（GB/T50291-2015）</w:t>
      </w:r>
      <w:r>
        <w:rPr>
          <w:rFonts w:hint="eastAsia" w:ascii="仿宋_GB2312" w:hAnsi="仿宋" w:eastAsia="仿宋_GB2312"/>
          <w:sz w:val="28"/>
          <w:szCs w:val="28"/>
          <w:highlight w:val="none"/>
          <w:lang w:eastAsia="zh-CN"/>
        </w:rPr>
        <w:t>；</w:t>
      </w:r>
    </w:p>
    <w:p>
      <w:pPr>
        <w:spacing w:line="520" w:lineRule="exact"/>
        <w:ind w:firstLine="560" w:firstLineChars="200"/>
        <w:rPr>
          <w:rFonts w:hint="eastAsia" w:ascii="仿宋_GB2312" w:hAnsi="仿宋" w:eastAsia="仿宋_GB2312"/>
          <w:sz w:val="28"/>
          <w:szCs w:val="28"/>
          <w:highlight w:val="none"/>
          <w:lang w:eastAsia="zh-CN"/>
        </w:rPr>
      </w:pPr>
      <w:r>
        <w:rPr>
          <w:rFonts w:hint="eastAsia" w:ascii="仿宋_GB2312" w:hAnsi="仿宋" w:eastAsia="仿宋_GB2312"/>
          <w:sz w:val="28"/>
          <w:szCs w:val="28"/>
          <w:highlight w:val="none"/>
        </w:rPr>
        <w:t>（2）《房地产估价基本术语标准》（GB/T50899-2013）</w:t>
      </w:r>
      <w:r>
        <w:rPr>
          <w:rFonts w:hint="eastAsia" w:ascii="仿宋_GB2312" w:hAnsi="仿宋" w:eastAsia="仿宋_GB2312"/>
          <w:sz w:val="28"/>
          <w:szCs w:val="28"/>
          <w:highlight w:val="none"/>
          <w:lang w:eastAsia="zh-CN"/>
        </w:rPr>
        <w:t>；</w:t>
      </w:r>
    </w:p>
    <w:p>
      <w:pPr>
        <w:spacing w:line="520" w:lineRule="exact"/>
        <w:ind w:firstLine="560" w:firstLineChars="200"/>
        <w:rPr>
          <w:rFonts w:hint="eastAsia" w:ascii="仿宋_GB2312" w:hAnsi="仿宋" w:eastAsia="仿宋_GB2312"/>
          <w:sz w:val="28"/>
          <w:szCs w:val="28"/>
          <w:highlight w:val="none"/>
          <w:lang w:eastAsia="zh-CN"/>
        </w:rPr>
      </w:pPr>
      <w:r>
        <w:rPr>
          <w:rFonts w:hint="eastAsia" w:ascii="仿宋_GB2312" w:hAnsi="仿宋" w:eastAsia="仿宋_GB2312"/>
          <w:sz w:val="28"/>
          <w:szCs w:val="28"/>
          <w:highlight w:val="none"/>
          <w:lang w:eastAsia="zh-CN"/>
        </w:rPr>
        <w:t>（</w:t>
      </w:r>
      <w:r>
        <w:rPr>
          <w:rFonts w:hint="eastAsia" w:ascii="仿宋_GB2312" w:hAnsi="仿宋" w:eastAsia="仿宋_GB2312"/>
          <w:sz w:val="28"/>
          <w:szCs w:val="28"/>
          <w:highlight w:val="none"/>
          <w:lang w:val="en-US" w:eastAsia="zh-CN"/>
        </w:rPr>
        <w:t>3</w:t>
      </w:r>
      <w:r>
        <w:rPr>
          <w:rFonts w:hint="eastAsia" w:ascii="仿宋_GB2312" w:hAnsi="仿宋" w:eastAsia="仿宋_GB2312"/>
          <w:sz w:val="28"/>
          <w:szCs w:val="28"/>
          <w:highlight w:val="none"/>
          <w:lang w:eastAsia="zh-CN"/>
        </w:rPr>
        <w:t>）关于印发《涉执房地产处置司法评估指导意见（试行）》的通知（中房学〔2021〕37号）。</w:t>
      </w:r>
    </w:p>
    <w:p>
      <w:pPr>
        <w:spacing w:line="520" w:lineRule="exact"/>
        <w:ind w:firstLine="560" w:firstLineChars="200"/>
        <w:rPr>
          <w:rFonts w:hint="eastAsia" w:ascii="仿宋_GB2312" w:hAnsi="仿宋" w:eastAsia="仿宋_GB2312"/>
          <w:sz w:val="28"/>
          <w:szCs w:val="28"/>
          <w:highlight w:val="none"/>
        </w:rPr>
      </w:pPr>
      <w:r>
        <w:rPr>
          <w:rFonts w:hint="eastAsia" w:ascii="仿宋_GB2312" w:hAnsi="仿宋" w:eastAsia="仿宋_GB2312"/>
          <w:sz w:val="28"/>
          <w:szCs w:val="28"/>
          <w:highlight w:val="none"/>
        </w:rPr>
        <w:t>3、估价委托人提供的相关资料</w:t>
      </w:r>
    </w:p>
    <w:p>
      <w:pPr>
        <w:spacing w:line="520" w:lineRule="exact"/>
        <w:ind w:firstLine="560" w:firstLineChars="200"/>
        <w:rPr>
          <w:rFonts w:hint="eastAsia" w:ascii="仿宋_GB2312" w:hAnsi="仿宋" w:eastAsia="仿宋_GB2312"/>
          <w:sz w:val="28"/>
          <w:szCs w:val="28"/>
          <w:highlight w:val="none"/>
          <w:lang w:eastAsia="zh-CN"/>
        </w:rPr>
      </w:pP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val="en-US" w:eastAsia="zh-CN"/>
        </w:rPr>
        <w:t>1</w:t>
      </w: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eastAsia="zh-CN"/>
        </w:rPr>
        <w:t>《江西大余县人民法院价格评估委托书》</w:t>
      </w:r>
      <w:r>
        <w:rPr>
          <w:rFonts w:hint="eastAsia" w:ascii="仿宋_GB2312" w:hAnsi="仿宋" w:eastAsia="仿宋_GB2312"/>
          <w:sz w:val="28"/>
          <w:szCs w:val="28"/>
          <w:highlight w:val="none"/>
        </w:rPr>
        <w:t>复印件</w:t>
      </w:r>
      <w:r>
        <w:rPr>
          <w:rFonts w:hint="eastAsia" w:ascii="仿宋_GB2312" w:hAnsi="仿宋" w:eastAsia="仿宋_GB2312"/>
          <w:sz w:val="28"/>
          <w:szCs w:val="28"/>
          <w:highlight w:val="none"/>
          <w:lang w:eastAsia="zh-CN"/>
        </w:rPr>
        <w:t>；</w:t>
      </w:r>
    </w:p>
    <w:p>
      <w:pPr>
        <w:spacing w:line="520" w:lineRule="exact"/>
        <w:ind w:firstLine="560" w:firstLineChars="200"/>
        <w:rPr>
          <w:rFonts w:hint="eastAsia" w:ascii="仿宋_GB2312" w:hAnsi="仿宋" w:eastAsia="仿宋_GB2312"/>
          <w:sz w:val="28"/>
          <w:szCs w:val="28"/>
          <w:highlight w:val="none"/>
          <w:lang w:eastAsia="zh-CN"/>
        </w:rPr>
      </w:pP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val="en-US" w:eastAsia="zh-CN"/>
        </w:rPr>
        <w:t>2</w:t>
      </w: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eastAsia="zh-CN"/>
        </w:rPr>
        <w:t>《不动产权证书》</w:t>
      </w:r>
      <w:r>
        <w:rPr>
          <w:rFonts w:hint="eastAsia" w:ascii="仿宋_GB2312" w:hAnsi="仿宋" w:eastAsia="仿宋_GB2312"/>
          <w:sz w:val="28"/>
          <w:szCs w:val="28"/>
          <w:highlight w:val="none"/>
        </w:rPr>
        <w:t>复印件</w:t>
      </w:r>
      <w:r>
        <w:rPr>
          <w:rFonts w:hint="eastAsia" w:ascii="仿宋_GB2312" w:hAnsi="仿宋" w:eastAsia="仿宋_GB2312"/>
          <w:sz w:val="28"/>
          <w:szCs w:val="28"/>
          <w:highlight w:val="none"/>
          <w:lang w:eastAsia="zh-CN"/>
        </w:rPr>
        <w:t>；</w:t>
      </w:r>
    </w:p>
    <w:p>
      <w:pPr>
        <w:spacing w:line="520" w:lineRule="exact"/>
        <w:ind w:firstLine="560" w:firstLineChars="200"/>
        <w:rPr>
          <w:rFonts w:hint="eastAsia" w:ascii="仿宋_GB2312" w:hAnsi="宋体" w:eastAsia="仿宋_GB2312"/>
          <w:sz w:val="28"/>
          <w:szCs w:val="28"/>
          <w:highlight w:val="none"/>
          <w:lang w:eastAsia="zh-CN"/>
        </w:rPr>
      </w:pP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val="en-US" w:eastAsia="zh-CN"/>
        </w:rPr>
        <w:t>3</w:t>
      </w:r>
      <w:r>
        <w:rPr>
          <w:rFonts w:hint="eastAsia" w:ascii="仿宋_GB2312" w:hAnsi="仿宋" w:eastAsia="仿宋_GB2312"/>
          <w:sz w:val="28"/>
          <w:szCs w:val="28"/>
          <w:highlight w:val="none"/>
        </w:rPr>
        <w:t>）</w:t>
      </w:r>
      <w:r>
        <w:rPr>
          <w:rFonts w:hint="eastAsia" w:ascii="仿宋_GB2312" w:hAnsi="宋体" w:eastAsia="仿宋_GB2312"/>
          <w:sz w:val="28"/>
          <w:szCs w:val="28"/>
          <w:highlight w:val="none"/>
          <w:lang w:eastAsia="zh-CN"/>
        </w:rPr>
        <w:t>大余县人民法院</w:t>
      </w:r>
      <w:r>
        <w:rPr>
          <w:rFonts w:hint="eastAsia" w:ascii="仿宋_GB2312" w:hAnsi="宋体" w:eastAsia="仿宋_GB2312"/>
          <w:sz w:val="28"/>
          <w:szCs w:val="28"/>
          <w:highlight w:val="none"/>
        </w:rPr>
        <w:t>提供的相关资料</w:t>
      </w:r>
      <w:r>
        <w:rPr>
          <w:rFonts w:hint="eastAsia" w:ascii="仿宋_GB2312" w:hAnsi="宋体" w:eastAsia="仿宋_GB2312"/>
          <w:sz w:val="28"/>
          <w:szCs w:val="28"/>
          <w:highlight w:val="none"/>
          <w:lang w:eastAsia="zh-CN"/>
        </w:rPr>
        <w:t>。</w:t>
      </w:r>
    </w:p>
    <w:p>
      <w:pPr>
        <w:spacing w:line="520" w:lineRule="exact"/>
        <w:ind w:firstLine="560" w:firstLineChars="200"/>
        <w:rPr>
          <w:rFonts w:hint="eastAsia" w:ascii="仿宋_GB2312" w:hAnsi="仿宋" w:eastAsia="仿宋_GB2312"/>
          <w:sz w:val="28"/>
          <w:szCs w:val="28"/>
          <w:highlight w:val="none"/>
        </w:rPr>
      </w:pPr>
      <w:r>
        <w:rPr>
          <w:rFonts w:hint="eastAsia" w:ascii="仿宋_GB2312" w:hAnsi="仿宋" w:eastAsia="仿宋_GB2312"/>
          <w:sz w:val="28"/>
          <w:szCs w:val="28"/>
          <w:highlight w:val="none"/>
        </w:rPr>
        <w:t>4、估价人员调查收集的相关资料</w:t>
      </w:r>
    </w:p>
    <w:p>
      <w:pPr>
        <w:spacing w:line="520" w:lineRule="exact"/>
        <w:ind w:firstLine="560" w:firstLineChars="200"/>
        <w:rPr>
          <w:rFonts w:hint="eastAsia" w:ascii="仿宋_GB2312" w:hAnsi="仿宋" w:eastAsia="仿宋_GB2312"/>
          <w:sz w:val="28"/>
          <w:szCs w:val="28"/>
          <w:highlight w:val="none"/>
        </w:rPr>
      </w:pPr>
      <w:r>
        <w:rPr>
          <w:rFonts w:hint="eastAsia" w:ascii="仿宋_GB2312" w:hAnsi="仿宋" w:eastAsia="仿宋_GB2312"/>
          <w:sz w:val="28"/>
          <w:szCs w:val="28"/>
          <w:highlight w:val="none"/>
        </w:rPr>
        <w:t>（1）估价人员实地查勘和估价机构掌握的其他相关资料；</w:t>
      </w:r>
    </w:p>
    <w:p>
      <w:pPr>
        <w:spacing w:line="520" w:lineRule="exact"/>
        <w:ind w:firstLine="560" w:firstLineChars="200"/>
        <w:rPr>
          <w:rFonts w:hint="eastAsia" w:ascii="仿宋_GB2312" w:hAnsi="仿宋" w:eastAsia="仿宋_GB2312"/>
          <w:sz w:val="28"/>
          <w:szCs w:val="28"/>
          <w:highlight w:val="none"/>
        </w:rPr>
      </w:pPr>
      <w:r>
        <w:rPr>
          <w:rFonts w:hint="eastAsia" w:ascii="仿宋_GB2312" w:hAnsi="仿宋" w:eastAsia="仿宋_GB2312"/>
          <w:sz w:val="28"/>
          <w:szCs w:val="28"/>
          <w:highlight w:val="none"/>
        </w:rPr>
        <w:t>（2）估价对象所在区域房地产市场状况、同类房地产市场交易等数据资料。</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highlight w:val="none"/>
        </w:rPr>
      </w:pPr>
    </w:p>
    <w:p>
      <w:pPr>
        <w:pStyle w:val="4"/>
        <w:spacing w:line="520" w:lineRule="exact"/>
        <w:ind w:firstLine="420"/>
        <w:rPr>
          <w:rFonts w:hint="eastAsia" w:ascii="仿宋_GB2312" w:eastAsia="仿宋_GB2312"/>
          <w:b/>
          <w:highlight w:val="none"/>
        </w:rPr>
      </w:pPr>
      <w:bookmarkStart w:id="41" w:name="_Toc517794692"/>
      <w:bookmarkStart w:id="42" w:name="_Toc517794434"/>
      <w:bookmarkStart w:id="43" w:name="_Toc31488"/>
      <w:bookmarkStart w:id="44" w:name="_Toc21428"/>
      <w:r>
        <w:rPr>
          <w:rFonts w:hint="eastAsia" w:ascii="仿宋_GB2312" w:eastAsia="仿宋_GB2312"/>
          <w:b/>
          <w:highlight w:val="none"/>
        </w:rPr>
        <w:t>（八）估价原则</w:t>
      </w:r>
      <w:bookmarkEnd w:id="41"/>
      <w:bookmarkEnd w:id="42"/>
      <w:bookmarkEnd w:id="43"/>
      <w:bookmarkEnd w:id="44"/>
    </w:p>
    <w:p>
      <w:pPr>
        <w:spacing w:line="520" w:lineRule="exact"/>
        <w:ind w:firstLine="560" w:firstLineChars="200"/>
        <w:rPr>
          <w:rFonts w:hint="eastAsia" w:ascii="仿宋_GB2312" w:hAnsi="宋体" w:eastAsia="仿宋_GB2312"/>
          <w:b w:val="0"/>
          <w:bCs/>
          <w:sz w:val="28"/>
          <w:szCs w:val="28"/>
          <w:highlight w:val="none"/>
        </w:rPr>
      </w:pPr>
      <w:r>
        <w:rPr>
          <w:rFonts w:hint="eastAsia" w:ascii="仿宋_GB2312" w:hAnsi="宋体" w:eastAsia="仿宋_GB2312"/>
          <w:b w:val="0"/>
          <w:bCs/>
          <w:sz w:val="28"/>
          <w:szCs w:val="28"/>
          <w:highlight w:val="none"/>
        </w:rPr>
        <w:t>1、合法原则</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要求房地产估价应以估价对象的合法权益为前提进行。</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合法权益包括合法产权、合法使用、合法处分等方面。</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 w:val="0"/>
          <w:bCs/>
          <w:sz w:val="28"/>
          <w:szCs w:val="28"/>
          <w:highlight w:val="none"/>
          <w:lang w:val="en-US" w:eastAsia="zh-CN"/>
        </w:rPr>
        <w:t>2</w:t>
      </w:r>
      <w:r>
        <w:rPr>
          <w:rFonts w:hint="eastAsia" w:ascii="仿宋_GB2312" w:hAnsi="宋体" w:eastAsia="仿宋_GB2312"/>
          <w:b w:val="0"/>
          <w:bCs/>
          <w:sz w:val="28"/>
          <w:szCs w:val="28"/>
          <w:highlight w:val="none"/>
        </w:rPr>
        <w:t>、独立、客观、公正原则</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要求站在中立的立场上，实事求</w:t>
      </w:r>
      <w:r>
        <w:rPr>
          <w:rFonts w:hint="eastAsia" w:ascii="仿宋_GB2312" w:hAnsi="宋体" w:eastAsia="仿宋_GB2312"/>
          <w:bCs/>
          <w:sz w:val="28"/>
          <w:szCs w:val="28"/>
          <w:highlight w:val="none"/>
          <w:lang w:val="en-US" w:eastAsia="zh-CN"/>
        </w:rPr>
        <w:t>是</w:t>
      </w:r>
      <w:r>
        <w:rPr>
          <w:rFonts w:hint="eastAsia" w:ascii="仿宋_GB2312" w:hAnsi="宋体" w:eastAsia="仿宋_GB2312"/>
          <w:bCs/>
          <w:sz w:val="28"/>
          <w:szCs w:val="28"/>
          <w:highlight w:val="none"/>
        </w:rPr>
        <w:t>，公平正直地评估出对各方估价利害关系人均是公平合理价值或价格的原则。</w:t>
      </w:r>
    </w:p>
    <w:p>
      <w:pPr>
        <w:spacing w:line="520" w:lineRule="exact"/>
        <w:ind w:firstLine="560" w:firstLineChars="200"/>
        <w:rPr>
          <w:rFonts w:hint="eastAsia" w:ascii="仿宋_GB2312" w:hAnsi="宋体" w:eastAsia="仿宋_GB2312"/>
          <w:b w:val="0"/>
          <w:bCs/>
          <w:sz w:val="28"/>
          <w:szCs w:val="28"/>
          <w:highlight w:val="none"/>
        </w:rPr>
      </w:pPr>
      <w:r>
        <w:rPr>
          <w:rFonts w:hint="eastAsia" w:ascii="仿宋_GB2312" w:hAnsi="宋体" w:eastAsia="仿宋_GB2312"/>
          <w:b w:val="0"/>
          <w:bCs/>
          <w:sz w:val="28"/>
          <w:szCs w:val="28"/>
          <w:highlight w:val="none"/>
        </w:rPr>
        <w:t>3、替代原则</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要求房地产估价结果不得明显偏离类似房地产在同等条件下的正常价格。</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类似房地产是指与估价对象处在同一供求范围内，并在用途、规模、档次、建筑结构等方面与估价对象相同或相近的房地产。</w:t>
      </w:r>
    </w:p>
    <w:p>
      <w:pPr>
        <w:spacing w:line="520" w:lineRule="exact"/>
        <w:ind w:firstLine="560" w:firstLineChars="200"/>
        <w:rPr>
          <w:rFonts w:hint="eastAsia" w:ascii="仿宋_GB2312" w:hAnsi="宋体" w:eastAsia="仿宋_GB2312"/>
          <w:b w:val="0"/>
          <w:bCs/>
          <w:sz w:val="28"/>
          <w:szCs w:val="28"/>
          <w:highlight w:val="none"/>
        </w:rPr>
      </w:pPr>
      <w:r>
        <w:rPr>
          <w:rFonts w:hint="eastAsia" w:ascii="仿宋_GB2312" w:hAnsi="宋体" w:eastAsia="仿宋_GB2312"/>
          <w:b w:val="0"/>
          <w:bCs/>
          <w:sz w:val="28"/>
          <w:szCs w:val="28"/>
          <w:highlight w:val="none"/>
        </w:rPr>
        <w:t>4、价值时点原则</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要求房地产估价结果应是估价对象在价值时点时的客观合理价格或价值。价值时点是评估房地产价格的时间界定。</w:t>
      </w:r>
    </w:p>
    <w:p>
      <w:pPr>
        <w:spacing w:line="520" w:lineRule="exact"/>
        <w:ind w:firstLine="560" w:firstLineChars="200"/>
        <w:rPr>
          <w:rFonts w:hint="eastAsia" w:ascii="仿宋_GB2312" w:hAnsi="宋体" w:eastAsia="仿宋_GB2312"/>
          <w:b w:val="0"/>
          <w:bCs/>
          <w:sz w:val="28"/>
          <w:szCs w:val="28"/>
          <w:highlight w:val="none"/>
        </w:rPr>
      </w:pPr>
      <w:r>
        <w:rPr>
          <w:rFonts w:hint="eastAsia" w:ascii="仿宋_GB2312" w:hAnsi="宋体" w:eastAsia="仿宋_GB2312"/>
          <w:b w:val="0"/>
          <w:bCs/>
          <w:sz w:val="28"/>
          <w:szCs w:val="28"/>
          <w:highlight w:val="none"/>
          <w:lang w:val="en-US" w:eastAsia="zh-CN"/>
        </w:rPr>
        <w:t>5</w:t>
      </w:r>
      <w:r>
        <w:rPr>
          <w:rFonts w:hint="eastAsia" w:ascii="仿宋_GB2312" w:hAnsi="宋体" w:eastAsia="仿宋_GB2312"/>
          <w:b w:val="0"/>
          <w:bCs/>
          <w:sz w:val="28"/>
          <w:szCs w:val="28"/>
          <w:highlight w:val="none"/>
        </w:rPr>
        <w:t>、最高最佳使用原则</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要求房地产估价应以估价对象的最高最佳使用为前提进行。</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最高最佳使用指法律上允许、技术上可能、经济上可行，经过充分合理的论证，能使估价对象的价值达到最大的一种最可能的使用。</w:t>
      </w:r>
    </w:p>
    <w:p>
      <w:pPr>
        <w:spacing w:line="500" w:lineRule="exact"/>
        <w:ind w:firstLine="560" w:firstLineChars="200"/>
        <w:rPr>
          <w:rFonts w:hint="eastAsia" w:ascii="仿宋_GB2312" w:hAnsi="宋体" w:eastAsia="仿宋_GB2312"/>
          <w:sz w:val="28"/>
          <w:szCs w:val="28"/>
          <w:highlight w:val="none"/>
        </w:rPr>
      </w:pPr>
    </w:p>
    <w:p>
      <w:pPr>
        <w:pStyle w:val="4"/>
        <w:spacing w:line="500" w:lineRule="exact"/>
        <w:ind w:firstLine="420"/>
        <w:rPr>
          <w:rFonts w:hint="eastAsia" w:ascii="仿宋_GB2312" w:eastAsia="仿宋_GB2312"/>
          <w:b/>
          <w:highlight w:val="none"/>
        </w:rPr>
      </w:pPr>
      <w:bookmarkStart w:id="45" w:name="_Toc517794693"/>
      <w:bookmarkStart w:id="46" w:name="_Toc517794435"/>
      <w:bookmarkStart w:id="47" w:name="_Toc32451"/>
      <w:bookmarkStart w:id="48" w:name="_Toc23396"/>
      <w:r>
        <w:rPr>
          <w:rFonts w:hint="eastAsia" w:ascii="仿宋_GB2312" w:eastAsia="仿宋_GB2312"/>
          <w:b/>
          <w:highlight w:val="none"/>
        </w:rPr>
        <w:t>（九）估价方法</w:t>
      </w:r>
      <w:bookmarkEnd w:id="45"/>
      <w:bookmarkEnd w:id="46"/>
      <w:bookmarkEnd w:id="47"/>
      <w:bookmarkEnd w:id="48"/>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1、估价方法的选用</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根据《房地产估价规范》（GB/T50291-2015），通行的估价方法有比较法、收益法、成本法、假设开发法等。</w:t>
      </w:r>
    </w:p>
    <w:p>
      <w:pPr>
        <w:spacing w:line="500" w:lineRule="exact"/>
        <w:ind w:firstLine="536" w:firstLineChars="200"/>
        <w:rPr>
          <w:rFonts w:hint="eastAsia" w:ascii="仿宋_GB2312" w:hAnsi="宋体" w:eastAsia="仿宋_GB2312"/>
          <w:spacing w:val="-6"/>
          <w:sz w:val="28"/>
          <w:szCs w:val="28"/>
          <w:highlight w:val="none"/>
        </w:rPr>
      </w:pPr>
      <w:r>
        <w:rPr>
          <w:rFonts w:hint="eastAsia" w:ascii="仿宋_GB2312" w:hAnsi="宋体" w:eastAsia="仿宋_GB2312"/>
          <w:spacing w:val="-6"/>
          <w:sz w:val="28"/>
          <w:szCs w:val="28"/>
          <w:highlight w:val="none"/>
        </w:rPr>
        <w:t>估价人员细致地分析了估价对象的特点和实际状况，并研究了估价委托人提供及估价方所掌握的资料后，确定采用比较法作为</w:t>
      </w:r>
      <w:r>
        <w:rPr>
          <w:rFonts w:hint="eastAsia" w:ascii="仿宋_GB2312" w:hAnsi="宋体" w:eastAsia="仿宋_GB2312"/>
          <w:spacing w:val="-6"/>
          <w:sz w:val="28"/>
          <w:szCs w:val="28"/>
          <w:highlight w:val="none"/>
          <w:lang w:eastAsia="zh-CN"/>
        </w:rPr>
        <w:t>本次估价</w:t>
      </w:r>
      <w:r>
        <w:rPr>
          <w:rFonts w:hint="eastAsia" w:ascii="仿宋_GB2312" w:hAnsi="宋体" w:eastAsia="仿宋_GB2312"/>
          <w:spacing w:val="-6"/>
          <w:sz w:val="28"/>
          <w:szCs w:val="28"/>
          <w:highlight w:val="none"/>
        </w:rPr>
        <w:t>的测算方法，确定待估房地产的价值。理由如下：</w:t>
      </w:r>
    </w:p>
    <w:p>
      <w:pPr>
        <w:spacing w:line="500" w:lineRule="exact"/>
        <w:ind w:firstLine="536" w:firstLineChars="200"/>
        <w:rPr>
          <w:rFonts w:eastAsia="仿宋_GB2312"/>
          <w:spacing w:val="-6"/>
          <w:sz w:val="28"/>
          <w:szCs w:val="28"/>
          <w:highlight w:val="none"/>
        </w:rPr>
      </w:pPr>
      <w:r>
        <w:rPr>
          <w:rFonts w:eastAsia="仿宋_GB2312"/>
          <w:spacing w:val="-6"/>
          <w:sz w:val="28"/>
          <w:szCs w:val="28"/>
          <w:highlight w:val="none"/>
        </w:rPr>
        <w:t>（1）选用方法的理由</w:t>
      </w:r>
    </w:p>
    <w:p>
      <w:pPr>
        <w:spacing w:line="540" w:lineRule="exact"/>
        <w:ind w:firstLine="536" w:firstLineChars="200"/>
        <w:rPr>
          <w:rFonts w:hint="eastAsia" w:eastAsia="仿宋_GB2312"/>
          <w:sz w:val="28"/>
          <w:szCs w:val="28"/>
          <w:highlight w:val="none"/>
          <w:lang w:eastAsia="zh-CN"/>
        </w:rPr>
      </w:pPr>
      <w:r>
        <w:rPr>
          <w:rFonts w:eastAsia="仿宋_GB2312"/>
          <w:spacing w:val="-6"/>
          <w:sz w:val="28"/>
          <w:szCs w:val="28"/>
          <w:highlight w:val="none"/>
        </w:rPr>
        <w:t>估价对象</w:t>
      </w:r>
      <w:r>
        <w:rPr>
          <w:rFonts w:hint="eastAsia" w:eastAsia="仿宋_GB2312"/>
          <w:spacing w:val="-6"/>
          <w:sz w:val="28"/>
          <w:szCs w:val="28"/>
          <w:highlight w:val="none"/>
          <w:lang w:eastAsia="zh-CN"/>
        </w:rPr>
        <w:t>现状</w:t>
      </w:r>
      <w:r>
        <w:rPr>
          <w:rFonts w:eastAsia="仿宋_GB2312"/>
          <w:spacing w:val="-6"/>
          <w:sz w:val="28"/>
          <w:szCs w:val="28"/>
          <w:highlight w:val="none"/>
        </w:rPr>
        <w:t>用途为</w:t>
      </w:r>
      <w:r>
        <w:rPr>
          <w:rFonts w:hint="eastAsia" w:eastAsia="仿宋_GB2312"/>
          <w:spacing w:val="-6"/>
          <w:sz w:val="28"/>
          <w:szCs w:val="28"/>
          <w:highlight w:val="none"/>
          <w:lang w:eastAsia="zh-CN"/>
        </w:rPr>
        <w:t>住宅</w:t>
      </w:r>
      <w:r>
        <w:rPr>
          <w:rFonts w:eastAsia="仿宋_GB2312"/>
          <w:spacing w:val="-6"/>
          <w:sz w:val="28"/>
          <w:szCs w:val="28"/>
          <w:highlight w:val="none"/>
        </w:rPr>
        <w:t>，</w:t>
      </w:r>
      <w:r>
        <w:rPr>
          <w:rFonts w:eastAsia="仿宋_GB2312"/>
          <w:sz w:val="28"/>
          <w:szCs w:val="28"/>
          <w:highlight w:val="none"/>
        </w:rPr>
        <w:t>所在区域近期内</w:t>
      </w:r>
      <w:r>
        <w:rPr>
          <w:rFonts w:hint="eastAsia" w:eastAsia="仿宋_GB2312"/>
          <w:sz w:val="28"/>
          <w:szCs w:val="28"/>
          <w:highlight w:val="none"/>
        </w:rPr>
        <w:t>类似</w:t>
      </w:r>
      <w:r>
        <w:rPr>
          <w:rFonts w:hint="eastAsia" w:eastAsia="仿宋_GB2312"/>
          <w:sz w:val="28"/>
          <w:szCs w:val="28"/>
          <w:highlight w:val="none"/>
          <w:lang w:eastAsia="zh-CN"/>
        </w:rPr>
        <w:t>住宅</w:t>
      </w:r>
      <w:r>
        <w:rPr>
          <w:rFonts w:hint="eastAsia" w:eastAsia="仿宋_GB2312"/>
          <w:sz w:val="28"/>
          <w:szCs w:val="28"/>
          <w:highlight w:val="none"/>
        </w:rPr>
        <w:t>房地产</w:t>
      </w:r>
      <w:r>
        <w:rPr>
          <w:rFonts w:eastAsia="仿宋_GB2312"/>
          <w:sz w:val="28"/>
          <w:szCs w:val="28"/>
          <w:highlight w:val="none"/>
        </w:rPr>
        <w:t>交易案例较丰富，故本次评估可选用比较法进行测算</w:t>
      </w:r>
      <w:r>
        <w:rPr>
          <w:rFonts w:hint="eastAsia" w:eastAsia="仿宋_GB2312"/>
          <w:sz w:val="28"/>
          <w:szCs w:val="28"/>
          <w:highlight w:val="none"/>
          <w:lang w:eastAsia="zh-CN"/>
        </w:rPr>
        <w:t>。</w:t>
      </w:r>
    </w:p>
    <w:p>
      <w:pPr>
        <w:spacing w:line="500" w:lineRule="exact"/>
        <w:ind w:firstLine="536" w:firstLineChars="200"/>
        <w:rPr>
          <w:rFonts w:eastAsia="仿宋_GB2312"/>
          <w:spacing w:val="-6"/>
          <w:sz w:val="28"/>
          <w:szCs w:val="28"/>
          <w:highlight w:val="none"/>
        </w:rPr>
      </w:pPr>
      <w:r>
        <w:rPr>
          <w:rFonts w:eastAsia="仿宋_GB2312"/>
          <w:spacing w:val="-6"/>
          <w:sz w:val="28"/>
          <w:szCs w:val="28"/>
          <w:highlight w:val="none"/>
        </w:rPr>
        <w:t>（2）未选用方法的理由</w:t>
      </w:r>
    </w:p>
    <w:p>
      <w:pPr>
        <w:spacing w:line="540" w:lineRule="exact"/>
        <w:ind w:firstLine="560" w:firstLineChars="200"/>
        <w:rPr>
          <w:rFonts w:hint="eastAsia" w:ascii="仿宋_GB2312" w:hAnsi="宋体" w:eastAsia="仿宋_GB2312" w:cs="仿宋_GB2312"/>
          <w:color w:val="auto"/>
          <w:sz w:val="28"/>
          <w:szCs w:val="28"/>
        </w:rPr>
      </w:pPr>
      <w:r>
        <w:rPr>
          <w:rFonts w:hint="eastAsia" w:ascii="仿宋_GB2312" w:hAnsi="宋体" w:eastAsia="仿宋_GB2312" w:cs="仿宋_GB2312"/>
          <w:sz w:val="28"/>
          <w:szCs w:val="28"/>
          <w:highlight w:val="none"/>
        </w:rPr>
        <w:t>估价对象</w:t>
      </w:r>
      <w:r>
        <w:rPr>
          <w:rFonts w:hint="eastAsia" w:ascii="仿宋_GB2312" w:hAnsi="宋体" w:eastAsia="仿宋_GB2312" w:cs="仿宋_GB2312"/>
          <w:sz w:val="28"/>
          <w:szCs w:val="28"/>
          <w:highlight w:val="none"/>
          <w:lang w:val="en-US" w:eastAsia="zh-CN"/>
        </w:rPr>
        <w:t>房屋现状用途</w:t>
      </w:r>
      <w:r>
        <w:rPr>
          <w:rFonts w:hint="eastAsia" w:ascii="仿宋_GB2312" w:hAnsi="宋体" w:eastAsia="仿宋_GB2312" w:cs="仿宋_GB2312"/>
          <w:sz w:val="28"/>
          <w:szCs w:val="28"/>
          <w:highlight w:val="none"/>
        </w:rPr>
        <w:t>为</w:t>
      </w:r>
      <w:r>
        <w:rPr>
          <w:rFonts w:hint="eastAsia" w:ascii="仿宋_GB2312" w:hAnsi="宋体" w:eastAsia="仿宋_GB2312" w:cs="仿宋_GB2312"/>
          <w:sz w:val="28"/>
          <w:szCs w:val="28"/>
          <w:highlight w:val="none"/>
          <w:lang w:val="en-US" w:eastAsia="zh-CN"/>
        </w:rPr>
        <w:t>住宅</w:t>
      </w:r>
      <w:r>
        <w:rPr>
          <w:rFonts w:hint="eastAsia" w:ascii="仿宋_GB2312" w:hAnsi="宋体" w:eastAsia="仿宋_GB2312" w:cs="仿宋_GB2312"/>
          <w:sz w:val="28"/>
          <w:szCs w:val="28"/>
          <w:highlight w:val="none"/>
        </w:rPr>
        <w:t>，采用成本法进行评估会一定程度上低估估价对象的价值，故不宜选用成本法</w:t>
      </w:r>
      <w:r>
        <w:rPr>
          <w:rFonts w:hint="eastAsia" w:ascii="仿宋_GB2312" w:hAnsi="宋体" w:eastAsia="仿宋_GB2312" w:cs="仿宋_GB2312"/>
          <w:sz w:val="28"/>
          <w:szCs w:val="28"/>
          <w:highlight w:val="none"/>
          <w:lang w:eastAsia="zh-CN"/>
        </w:rPr>
        <w:t>；</w:t>
      </w:r>
      <w:r>
        <w:rPr>
          <w:rFonts w:hint="eastAsia" w:ascii="仿宋_GB2312" w:hAnsi="宋体" w:eastAsia="仿宋_GB2312" w:cs="仿宋_GB2312"/>
          <w:sz w:val="28"/>
          <w:szCs w:val="28"/>
          <w:highlight w:val="none"/>
        </w:rPr>
        <w:t>估价对象为已开发完成房地产，再投资开发潜力不高，故不宜选用假设开发法</w:t>
      </w:r>
      <w:r>
        <w:rPr>
          <w:rFonts w:hint="eastAsia" w:ascii="仿宋_GB2312" w:hAnsi="宋体" w:eastAsia="仿宋_GB2312" w:cs="仿宋_GB2312"/>
          <w:sz w:val="28"/>
          <w:szCs w:val="28"/>
          <w:highlight w:val="none"/>
          <w:lang w:eastAsia="zh-CN"/>
        </w:rPr>
        <w:t>；</w:t>
      </w:r>
      <w:r>
        <w:rPr>
          <w:rFonts w:hint="eastAsia" w:ascii="仿宋_GB2312" w:hAnsi="宋体" w:eastAsia="仿宋_GB2312" w:cs="仿宋_GB2312"/>
          <w:color w:val="auto"/>
          <w:sz w:val="28"/>
          <w:szCs w:val="28"/>
        </w:rPr>
        <w:t>由于同类住宅房屋市场价格上涨幅度远大于租金情况，采用收益法难以体现住宅的价值，故不宜选用收益法。</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2、选用估价方法简介</w:t>
      </w:r>
    </w:p>
    <w:p>
      <w:pPr>
        <w:spacing w:line="54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比较法是将估价对象与估价时点有过交易的类似房地产进行比较，对于这些类似房地产的已知价格作适当的修正，以此估算对象的客观合理价格或价值的方法。</w:t>
      </w:r>
    </w:p>
    <w:p>
      <w:pPr>
        <w:spacing w:line="54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比较法公式：</w:t>
      </w:r>
    </w:p>
    <w:p>
      <w:pPr>
        <w:tabs>
          <w:tab w:val="left" w:pos="5568"/>
        </w:tabs>
        <w:spacing w:line="54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估价对象价格=可比实例价格×市场状况调整修正系数×交易情况修正系数×房地产状况调整系数。</w:t>
      </w:r>
    </w:p>
    <w:p>
      <w:pPr>
        <w:tabs>
          <w:tab w:val="left" w:pos="525"/>
        </w:tabs>
        <w:spacing w:line="500" w:lineRule="exact"/>
        <w:ind w:firstLine="560" w:firstLineChars="200"/>
        <w:rPr>
          <w:rFonts w:hint="eastAsia" w:ascii="仿宋_GB2312" w:hAnsi="宋体" w:eastAsia="仿宋_GB2312"/>
          <w:sz w:val="28"/>
          <w:szCs w:val="28"/>
          <w:highlight w:val="none"/>
        </w:rPr>
      </w:pPr>
    </w:p>
    <w:p>
      <w:pPr>
        <w:pStyle w:val="4"/>
        <w:spacing w:line="520" w:lineRule="exact"/>
        <w:ind w:firstLine="420"/>
        <w:rPr>
          <w:rFonts w:hint="eastAsia" w:ascii="仿宋_GB2312" w:eastAsia="仿宋_GB2312"/>
          <w:b/>
          <w:highlight w:val="none"/>
          <w:lang w:val="en-US" w:eastAsia="zh-CN"/>
        </w:rPr>
      </w:pPr>
      <w:bookmarkStart w:id="49" w:name="_Toc31723"/>
      <w:bookmarkStart w:id="50" w:name="_Toc517794436"/>
      <w:bookmarkStart w:id="51" w:name="_Toc10617"/>
      <w:bookmarkStart w:id="52" w:name="_Toc517794694"/>
      <w:r>
        <w:rPr>
          <w:rFonts w:hint="eastAsia" w:ascii="仿宋_GB2312" w:eastAsia="仿宋_GB2312"/>
          <w:b/>
          <w:highlight w:val="none"/>
        </w:rPr>
        <w:t>（十）估价结果</w:t>
      </w:r>
      <w:bookmarkEnd w:id="49"/>
      <w:bookmarkEnd w:id="50"/>
      <w:bookmarkEnd w:id="51"/>
      <w:bookmarkEnd w:id="52"/>
    </w:p>
    <w:p>
      <w:pPr>
        <w:spacing w:line="500" w:lineRule="exact"/>
        <w:ind w:firstLine="560" w:firstLineChars="200"/>
        <w:rPr>
          <w:rFonts w:hint="eastAsia" w:ascii="仿宋_GB2312" w:hAnsi="宋体" w:eastAsia="仿宋_GB2312" w:cs="仿宋_GB2312"/>
          <w:sz w:val="28"/>
          <w:szCs w:val="28"/>
          <w:highlight w:val="none"/>
          <w:lang w:bidi="ar"/>
        </w:rPr>
      </w:pPr>
      <w:r>
        <w:rPr>
          <w:rFonts w:hint="eastAsia" w:ascii="仿宋_GB2312" w:hAnsi="宋体" w:eastAsia="仿宋_GB2312"/>
          <w:sz w:val="28"/>
          <w:szCs w:val="28"/>
          <w:highlight w:val="none"/>
        </w:rPr>
        <w:t>估价人员根据估价目的，遵循估价原则，根据市场调查，在认真分析所掌握资料与影响估价对象价值诸因素的基础上，结合估价对象的个别因素和使用现状，采用科学的估价方法进行分析、测算和判断，最终确定估价对象于价值时点</w:t>
      </w:r>
      <w:r>
        <w:rPr>
          <w:rFonts w:hint="eastAsia" w:ascii="仿宋_GB2312" w:hAnsi="宋体" w:eastAsia="仿宋_GB2312"/>
          <w:sz w:val="28"/>
          <w:szCs w:val="28"/>
          <w:highlight w:val="none"/>
          <w:lang w:eastAsia="zh-CN"/>
        </w:rPr>
        <w:t>2022年5月20日</w:t>
      </w:r>
      <w:r>
        <w:rPr>
          <w:rFonts w:hint="eastAsia" w:ascii="仿宋_GB2312" w:hAnsi="宋体" w:eastAsia="仿宋_GB2312"/>
          <w:sz w:val="28"/>
          <w:szCs w:val="28"/>
          <w:highlight w:val="none"/>
        </w:rPr>
        <w:t>，</w:t>
      </w:r>
      <w:r>
        <w:rPr>
          <w:rFonts w:hint="eastAsia" w:ascii="仿宋_GB2312" w:hAnsi="宋体" w:eastAsia="仿宋_GB2312" w:cs="仿宋_GB2312"/>
          <w:sz w:val="28"/>
          <w:szCs w:val="28"/>
          <w:highlight w:val="none"/>
          <w:lang w:bidi="ar"/>
        </w:rPr>
        <w:t>在满足估价假设和限制条件下的价值进行估算和判定，得出估价结果——评估价值为大写人民币</w:t>
      </w:r>
      <w:r>
        <w:rPr>
          <w:rFonts w:hint="eastAsia" w:ascii="仿宋_GB2312" w:hAnsi="仿宋_GB2312" w:eastAsia="仿宋_GB2312" w:cs="仿宋_GB2312"/>
          <w:b/>
          <w:bCs/>
          <w:color w:val="000000"/>
          <w:sz w:val="28"/>
          <w:szCs w:val="28"/>
          <w:highlight w:val="none"/>
          <w:lang w:bidi="ar"/>
        </w:rPr>
        <w:fldChar w:fldCharType="begin"/>
      </w:r>
      <w:r>
        <w:rPr>
          <w:rFonts w:hint="eastAsia" w:ascii="仿宋_GB2312" w:hAnsi="仿宋_GB2312" w:eastAsia="仿宋_GB2312" w:cs="仿宋_GB2312"/>
          <w:b/>
          <w:bCs/>
          <w:color w:val="000000"/>
          <w:sz w:val="28"/>
          <w:szCs w:val="28"/>
          <w:highlight w:val="none"/>
          <w:lang w:bidi="ar"/>
        </w:rPr>
        <w:instrText xml:space="preserve"> = 2888800 \* CHINESENUM2 \* MERGEFORMAT </w:instrText>
      </w:r>
      <w:r>
        <w:rPr>
          <w:rFonts w:hint="eastAsia" w:ascii="仿宋_GB2312" w:hAnsi="仿宋_GB2312" w:eastAsia="仿宋_GB2312" w:cs="仿宋_GB2312"/>
          <w:b/>
          <w:bCs/>
          <w:color w:val="000000"/>
          <w:sz w:val="28"/>
          <w:szCs w:val="28"/>
          <w:highlight w:val="none"/>
          <w:lang w:bidi="ar"/>
        </w:rPr>
        <w:fldChar w:fldCharType="separate"/>
      </w:r>
      <w:r>
        <w:rPr>
          <w:rFonts w:hint="eastAsia" w:ascii="仿宋_GB2312" w:hAnsi="仿宋_GB2312" w:eastAsia="仿宋_GB2312" w:cs="仿宋_GB2312"/>
          <w:b/>
          <w:bCs/>
          <w:color w:val="000000"/>
          <w:sz w:val="28"/>
          <w:szCs w:val="28"/>
          <w:highlight w:val="none"/>
          <w:lang w:eastAsia="zh-CN"/>
        </w:rPr>
        <w:t>叁拾捌万陆仟伍佰</w:t>
      </w:r>
      <w:r>
        <w:rPr>
          <w:rFonts w:hint="eastAsia" w:ascii="仿宋_GB2312" w:hAnsi="仿宋_GB2312" w:eastAsia="仿宋_GB2312" w:cs="仿宋_GB2312"/>
          <w:b/>
          <w:bCs/>
          <w:color w:val="000000"/>
          <w:sz w:val="28"/>
          <w:szCs w:val="28"/>
          <w:highlight w:val="none"/>
          <w:lang w:bidi="ar"/>
        </w:rPr>
        <w:fldChar w:fldCharType="end"/>
      </w:r>
      <w:r>
        <w:rPr>
          <w:rFonts w:hint="eastAsia" w:ascii="仿宋_GB2312" w:hAnsi="仿宋_GB2312" w:eastAsia="仿宋_GB2312" w:cs="仿宋_GB2312"/>
          <w:color w:val="000000"/>
          <w:sz w:val="28"/>
          <w:szCs w:val="28"/>
          <w:highlight w:val="none"/>
        </w:rPr>
        <w:t>元整</w:t>
      </w:r>
      <w:r>
        <w:rPr>
          <w:rFonts w:hint="eastAsia" w:ascii="仿宋_GB2312" w:hAnsi="宋体" w:eastAsia="仿宋_GB2312"/>
          <w:sz w:val="28"/>
          <w:szCs w:val="28"/>
          <w:highlight w:val="none"/>
        </w:rPr>
        <w:t>（</w:t>
      </w:r>
      <w:r>
        <w:rPr>
          <w:rFonts w:hint="eastAsia" w:ascii="仿宋_GB2312" w:hAnsi="宋体" w:eastAsia="仿宋_GB2312"/>
          <w:b/>
          <w:bCs/>
          <w:sz w:val="28"/>
          <w:szCs w:val="28"/>
          <w:highlight w:val="none"/>
          <w:lang w:val="zh-CN"/>
        </w:rPr>
        <w:t>¥38.65</w:t>
      </w:r>
      <w:r>
        <w:rPr>
          <w:rFonts w:hint="eastAsia" w:ascii="仿宋_GB2312" w:hAnsi="宋体" w:eastAsia="仿宋_GB2312"/>
          <w:b/>
          <w:bCs/>
          <w:sz w:val="28"/>
          <w:szCs w:val="28"/>
          <w:highlight w:val="none"/>
          <w:lang w:val="en-US" w:eastAsia="zh-CN"/>
        </w:rPr>
        <w:t>万</w:t>
      </w:r>
      <w:r>
        <w:rPr>
          <w:rFonts w:hint="eastAsia" w:ascii="仿宋_GB2312" w:hAnsi="宋体" w:eastAsia="仿宋_GB2312"/>
          <w:b/>
          <w:bCs/>
          <w:sz w:val="28"/>
          <w:szCs w:val="28"/>
          <w:highlight w:val="none"/>
          <w:lang w:val="zh-CN"/>
        </w:rPr>
        <w:t>元</w:t>
      </w:r>
      <w:r>
        <w:rPr>
          <w:rFonts w:hint="eastAsia" w:ascii="仿宋_GB2312" w:hAnsi="宋体" w:eastAsia="仿宋_GB2312"/>
          <w:sz w:val="28"/>
          <w:szCs w:val="28"/>
          <w:highlight w:val="none"/>
        </w:rPr>
        <w:t>）</w:t>
      </w:r>
      <w:r>
        <w:rPr>
          <w:rFonts w:hint="eastAsia" w:ascii="仿宋_GB2312" w:hAnsi="宋体" w:eastAsia="仿宋_GB2312" w:cs="仿宋_GB2312"/>
          <w:sz w:val="28"/>
          <w:szCs w:val="28"/>
          <w:highlight w:val="none"/>
          <w:lang w:bidi="ar"/>
        </w:rPr>
        <w:t>，具体详见下表：</w:t>
      </w:r>
    </w:p>
    <w:p>
      <w:pPr>
        <w:spacing w:line="500" w:lineRule="exact"/>
        <w:ind w:firstLine="562" w:firstLineChars="200"/>
        <w:jc w:val="center"/>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估价结果汇总表</w:t>
      </w:r>
    </w:p>
    <w:tbl>
      <w:tblPr>
        <w:tblStyle w:val="26"/>
        <w:tblW w:w="800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2113"/>
        <w:gridCol w:w="301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569" w:type="dxa"/>
            <w:gridSpan w:val="2"/>
            <w:tcBorders>
              <w:tl2br w:val="nil"/>
              <w:tr2bl w:val="nil"/>
            </w:tcBorders>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widowControl/>
              <w:snapToGrid/>
              <w:spacing w:line="240" w:lineRule="exact"/>
              <w:ind w:firstLine="0" w:firstLineChars="0"/>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 xml:space="preserve">                   </w:t>
            </w:r>
          </w:p>
          <w:p>
            <w:pPr>
              <w:widowControl/>
              <w:snapToGrid w:val="0"/>
              <w:spacing w:line="240" w:lineRule="auto"/>
              <w:ind w:firstLine="210" w:firstLineChars="100"/>
              <mc:AlternateContent>
                <mc:Choice Requires="wpsCustomData">
                  <wpsCustomData:diagonalParaType/>
                </mc:Choice>
              </mc:AlternateContent>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rPr>
              <w:t>相关结果</w:t>
            </w:r>
          </w:p>
          <w:p>
            <w:pPr>
              <w:widowControl/>
              <w:spacing w:line="240" w:lineRule="exact"/>
              <w:ind w:firstLine="1155" w:firstLineChars="550"/>
              <w:rPr>
                <w:rFonts w:hint="eastAsia" w:ascii="仿宋_GB2312" w:hAnsi="仿宋_GB2312" w:eastAsia="仿宋_GB2312" w:cs="仿宋_GB2312"/>
                <w:color w:val="000000"/>
                <w:kern w:val="0"/>
                <w:sz w:val="21"/>
                <w:szCs w:val="21"/>
                <w:highlight w:val="none"/>
              </w:rPr>
            </w:pPr>
          </w:p>
          <w:p>
            <w:pPr>
              <w:widowControl/>
              <w:spacing w:line="240" w:lineRule="exact"/>
              <w:ind w:firstLine="0" w:firstLineChars="0"/>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 w:val="21"/>
                <w:szCs w:val="21"/>
                <w:highlight w:val="none"/>
              </w:rPr>
              <w:t>估价对象</w:t>
            </w:r>
          </w:p>
        </w:tc>
        <w:tc>
          <w:tcPr>
            <w:tcW w:w="3010" w:type="dxa"/>
            <w:tcBorders>
              <w:tl2br w:val="nil"/>
              <w:tr2bl w:val="nil"/>
            </w:tcBorders>
            <w:noWrap w:val="0"/>
            <w:vAlign w:val="center"/>
          </w:tcPr>
          <w:p>
            <w:pPr>
              <w:widowControl/>
              <w:spacing w:line="240" w:lineRule="auto"/>
              <w:jc w:val="center"/>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eastAsia="zh-CN"/>
              </w:rPr>
              <w:t>大余县黄龙镇长胜村竹子桥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56" w:type="dxa"/>
            <w:vMerge w:val="restart"/>
            <w:tcBorders>
              <w:tl2br w:val="nil"/>
              <w:tr2bl w:val="nil"/>
            </w:tcBorders>
            <w:noWrap w:val="0"/>
            <w:vAlign w:val="center"/>
          </w:tcPr>
          <w:p>
            <w:pPr>
              <w:jc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测算结果</w:t>
            </w:r>
          </w:p>
        </w:tc>
        <w:tc>
          <w:tcPr>
            <w:tcW w:w="2113" w:type="dxa"/>
            <w:tcBorders>
              <w:tl2br w:val="nil"/>
              <w:tr2bl w:val="nil"/>
            </w:tcBorders>
            <w:noWrap w:val="0"/>
            <w:vAlign w:val="center"/>
          </w:tcPr>
          <w:p>
            <w:pPr>
              <w:jc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评估单价（元/</w:t>
            </w:r>
            <w:r>
              <w:rPr>
                <w:rFonts w:hint="eastAsia" w:ascii="仿宋_GB2312" w:hAnsi="宋体" w:cs="宋体"/>
                <w:color w:val="000000"/>
                <w:szCs w:val="21"/>
                <w:highlight w:val="none"/>
              </w:rPr>
              <w:t>㎡</w:t>
            </w:r>
            <w:r>
              <w:rPr>
                <w:rFonts w:hint="eastAsia" w:ascii="仿宋_GB2312" w:hAnsi="仿宋_GB2312" w:eastAsia="仿宋_GB2312" w:cs="仿宋_GB2312"/>
                <w:color w:val="000000"/>
                <w:szCs w:val="21"/>
                <w:highlight w:val="none"/>
              </w:rPr>
              <w:t>）</w:t>
            </w:r>
          </w:p>
        </w:tc>
        <w:tc>
          <w:tcPr>
            <w:tcW w:w="3010" w:type="dxa"/>
            <w:tcBorders>
              <w:tl2br w:val="nil"/>
              <w:tr2bl w:val="nil"/>
            </w:tcBorders>
            <w:noWrap w:val="0"/>
            <w:vAlign w:val="center"/>
          </w:tcPr>
          <w:p>
            <w:pPr>
              <w:keepNext w:val="0"/>
              <w:keepLines w:val="0"/>
              <w:widowControl/>
              <w:suppressLineNumbers w:val="0"/>
              <w:jc w:val="center"/>
              <w:textAlignment w:val="auto"/>
              <w:rPr>
                <w:rFonts w:hint="default"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i w:val="0"/>
                <w:color w:val="000000"/>
                <w:kern w:val="2"/>
                <w:sz w:val="21"/>
                <w:szCs w:val="21"/>
                <w:highlight w:val="none"/>
                <w:u w:val="none"/>
                <w:lang w:val="en-US" w:eastAsia="zh-CN" w:bidi="ar"/>
              </w:rPr>
              <w:t>2535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456" w:type="dxa"/>
            <w:vMerge w:val="continue"/>
            <w:tcBorders>
              <w:tl2br w:val="nil"/>
              <w:tr2bl w:val="nil"/>
            </w:tcBorders>
            <w:noWrap w:val="0"/>
            <w:vAlign w:val="center"/>
          </w:tcPr>
          <w:p>
            <w:pPr>
              <w:jc w:val="center"/>
              <w:rPr>
                <w:rFonts w:hint="eastAsia" w:ascii="仿宋_GB2312" w:hAnsi="仿宋_GB2312" w:eastAsia="仿宋_GB2312" w:cs="仿宋_GB2312"/>
                <w:color w:val="000000"/>
                <w:szCs w:val="21"/>
                <w:highlight w:val="none"/>
              </w:rPr>
            </w:pPr>
          </w:p>
        </w:tc>
        <w:tc>
          <w:tcPr>
            <w:tcW w:w="2113" w:type="dxa"/>
            <w:tcBorders>
              <w:tl2br w:val="nil"/>
              <w:tr2bl w:val="nil"/>
            </w:tcBorders>
            <w:noWrap w:val="0"/>
            <w:vAlign w:val="center"/>
          </w:tcPr>
          <w:p>
            <w:pPr>
              <w:jc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评估</w:t>
            </w:r>
            <w:r>
              <w:rPr>
                <w:rFonts w:hint="eastAsia" w:ascii="仿宋_GB2312" w:hAnsi="仿宋_GB2312" w:eastAsia="仿宋_GB2312" w:cs="仿宋_GB2312"/>
                <w:color w:val="000000"/>
                <w:szCs w:val="21"/>
                <w:highlight w:val="none"/>
                <w:lang w:val="en-US" w:eastAsia="zh-CN"/>
              </w:rPr>
              <w:t>价</w:t>
            </w:r>
            <w:r>
              <w:rPr>
                <w:rFonts w:hint="eastAsia" w:ascii="仿宋_GB2312" w:hAnsi="仿宋_GB2312" w:eastAsia="仿宋_GB2312" w:cs="仿宋_GB2312"/>
                <w:color w:val="000000"/>
                <w:szCs w:val="21"/>
                <w:highlight w:val="none"/>
              </w:rPr>
              <w:t>值（</w:t>
            </w:r>
            <w:r>
              <w:rPr>
                <w:rFonts w:hint="eastAsia" w:ascii="仿宋_GB2312" w:hAnsi="仿宋_GB2312" w:eastAsia="仿宋_GB2312" w:cs="仿宋_GB2312"/>
                <w:color w:val="000000"/>
                <w:szCs w:val="21"/>
                <w:highlight w:val="none"/>
                <w:lang w:val="en-US" w:eastAsia="zh-CN"/>
              </w:rPr>
              <w:t>万</w:t>
            </w:r>
            <w:r>
              <w:rPr>
                <w:rFonts w:hint="eastAsia" w:ascii="仿宋_GB2312" w:hAnsi="仿宋_GB2312" w:eastAsia="仿宋_GB2312" w:cs="仿宋_GB2312"/>
                <w:color w:val="000000"/>
                <w:szCs w:val="21"/>
                <w:highlight w:val="none"/>
              </w:rPr>
              <w:t>元）</w:t>
            </w:r>
          </w:p>
        </w:tc>
        <w:tc>
          <w:tcPr>
            <w:tcW w:w="3010" w:type="dxa"/>
            <w:tcBorders>
              <w:tl2br w:val="nil"/>
              <w:tr2bl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2"/>
                <w:sz w:val="20"/>
                <w:szCs w:val="20"/>
                <w:highlight w:val="none"/>
                <w:u w:val="none"/>
                <w:lang w:val="en-US" w:eastAsia="zh-CN" w:bidi="ar-SA"/>
              </w:rPr>
            </w:pPr>
            <w:r>
              <w:rPr>
                <w:rFonts w:hint="eastAsia" w:ascii="仿宋_GB2312" w:hAnsi="宋体" w:eastAsia="仿宋_GB2312" w:cs="仿宋_GB2312"/>
                <w:i w:val="0"/>
                <w:color w:val="000000"/>
                <w:kern w:val="0"/>
                <w:sz w:val="20"/>
                <w:szCs w:val="20"/>
                <w:highlight w:val="none"/>
                <w:u w:val="none"/>
                <w:lang w:val="en-US" w:eastAsia="zh-CN" w:bidi="ar"/>
              </w:rPr>
              <w:t>38.65</w:t>
            </w:r>
          </w:p>
        </w:tc>
      </w:tr>
    </w:tbl>
    <w:p>
      <w:pPr>
        <w:pStyle w:val="4"/>
        <w:spacing w:line="520" w:lineRule="exact"/>
        <w:ind w:firstLine="301" w:firstLineChars="100"/>
        <w:rPr>
          <w:rFonts w:hint="eastAsia" w:ascii="仿宋_GB2312" w:eastAsia="仿宋_GB2312"/>
          <w:b/>
          <w:highlight w:val="none"/>
        </w:rPr>
      </w:pPr>
      <w:bookmarkStart w:id="53" w:name="_Toc517794437"/>
      <w:bookmarkStart w:id="54" w:name="_Toc517794695"/>
      <w:bookmarkStart w:id="55" w:name="_Toc6539"/>
    </w:p>
    <w:p>
      <w:pPr>
        <w:pStyle w:val="4"/>
        <w:spacing w:line="520" w:lineRule="exact"/>
        <w:ind w:firstLine="301" w:firstLineChars="100"/>
        <w:rPr>
          <w:rFonts w:hint="eastAsia" w:ascii="仿宋_GB2312" w:eastAsia="仿宋_GB2312"/>
          <w:b/>
          <w:highlight w:val="none"/>
        </w:rPr>
      </w:pPr>
      <w:bookmarkStart w:id="56" w:name="_Toc21377"/>
      <w:r>
        <w:rPr>
          <w:rFonts w:hint="eastAsia" w:ascii="仿宋_GB2312" w:eastAsia="仿宋_GB2312"/>
          <w:b/>
          <w:highlight w:val="none"/>
        </w:rPr>
        <w:t>（十一）注册房地产估价师</w:t>
      </w:r>
      <w:r>
        <w:rPr>
          <w:rFonts w:hint="eastAsia" w:ascii="仿宋_GB2312" w:eastAsia="仿宋_GB2312"/>
          <w:b/>
          <w:highlight w:val="none"/>
          <w:lang w:val="en-US" w:eastAsia="zh-CN"/>
        </w:rPr>
        <w:t>及其他评估专业人员</w:t>
      </w:r>
      <w:bookmarkEnd w:id="53"/>
      <w:bookmarkEnd w:id="54"/>
      <w:bookmarkEnd w:id="55"/>
      <w:bookmarkEnd w:id="56"/>
    </w:p>
    <w:tbl>
      <w:tblPr>
        <w:tblStyle w:val="26"/>
        <w:tblW w:w="8794" w:type="dxa"/>
        <w:jc w:val="cente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1972"/>
        <w:gridCol w:w="1972"/>
        <w:gridCol w:w="2879"/>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971"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姓名</w:t>
            </w:r>
          </w:p>
        </w:tc>
        <w:tc>
          <w:tcPr>
            <w:tcW w:w="1972"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注册号</w:t>
            </w:r>
          </w:p>
        </w:tc>
        <w:tc>
          <w:tcPr>
            <w:tcW w:w="1972"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签名</w:t>
            </w:r>
          </w:p>
        </w:tc>
        <w:tc>
          <w:tcPr>
            <w:tcW w:w="2879"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签名日期</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971"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eastAsia="zh-CN" w:bidi="ar"/>
              </w:rPr>
              <w:t>张泗芳</w:t>
            </w:r>
          </w:p>
        </w:tc>
        <w:tc>
          <w:tcPr>
            <w:tcW w:w="1972" w:type="dxa"/>
            <w:tcBorders>
              <w:tl2br w:val="nil"/>
              <w:tr2bl w:val="nil"/>
            </w:tcBorders>
            <w:noWrap w:val="0"/>
            <w:vAlign w:val="center"/>
          </w:tcPr>
          <w:p>
            <w:pPr>
              <w:adjustRightInd w:val="0"/>
              <w:snapToGrid w:val="0"/>
              <w:spacing w:line="240" w:lineRule="auto"/>
              <w:jc w:val="center"/>
              <w:rPr>
                <w:rFonts w:hint="eastAsia" w:eastAsia="仿宋_GB2312"/>
                <w:kern w:val="0"/>
                <w:sz w:val="24"/>
                <w:szCs w:val="24"/>
                <w:highlight w:val="none"/>
                <w:lang w:eastAsia="zh-CN" w:bidi="ar"/>
              </w:rPr>
            </w:pPr>
            <w:r>
              <w:rPr>
                <w:rFonts w:hint="eastAsia" w:eastAsia="仿宋_GB2312"/>
                <w:kern w:val="0"/>
                <w:sz w:val="24"/>
                <w:szCs w:val="24"/>
                <w:highlight w:val="none"/>
                <w:lang w:eastAsia="zh-CN" w:bidi="ar"/>
              </w:rPr>
              <w:t>4420110222</w:t>
            </w:r>
          </w:p>
        </w:tc>
        <w:tc>
          <w:tcPr>
            <w:tcW w:w="1972"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kern w:val="0"/>
                <w:sz w:val="24"/>
                <w:szCs w:val="24"/>
                <w:highlight w:val="none"/>
              </w:rPr>
            </w:pPr>
          </w:p>
        </w:tc>
        <w:tc>
          <w:tcPr>
            <w:tcW w:w="2879" w:type="dxa"/>
            <w:tcBorders>
              <w:tl2br w:val="nil"/>
              <w:tr2bl w:val="nil"/>
            </w:tcBorders>
            <w:noWrap w:val="0"/>
            <w:vAlign w:val="center"/>
          </w:tcPr>
          <w:p>
            <w:pPr>
              <w:adjustRightInd w:val="0"/>
              <w:snapToGrid w:val="0"/>
              <w:spacing w:line="240" w:lineRule="auto"/>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eastAsia="zh-CN" w:bidi="ar"/>
              </w:rPr>
              <w:t>2022年5月24日</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971" w:type="dxa"/>
            <w:tcBorders>
              <w:tl2br w:val="nil"/>
              <w:tr2bl w:val="nil"/>
            </w:tcBorders>
            <w:noWrap w:val="0"/>
            <w:vAlign w:val="center"/>
          </w:tcPr>
          <w:p>
            <w:pPr>
              <w:adjustRightInd w:val="0"/>
              <w:snapToGrid w:val="0"/>
              <w:jc w:val="center"/>
              <w:rPr>
                <w:rFonts w:hint="eastAsia" w:eastAsia="仿宋_GB2312"/>
                <w:kern w:val="0"/>
                <w:sz w:val="24"/>
                <w:szCs w:val="24"/>
                <w:highlight w:val="none"/>
                <w:lang w:eastAsia="zh-CN"/>
              </w:rPr>
            </w:pPr>
            <w:r>
              <w:rPr>
                <w:rFonts w:hint="eastAsia" w:eastAsia="仿宋_GB2312" w:cs="仿宋_GB2312"/>
                <w:kern w:val="0"/>
                <w:sz w:val="24"/>
                <w:szCs w:val="24"/>
                <w:highlight w:val="none"/>
                <w:lang w:eastAsia="zh-CN" w:bidi="ar"/>
              </w:rPr>
              <w:t>汪文春</w:t>
            </w:r>
          </w:p>
        </w:tc>
        <w:tc>
          <w:tcPr>
            <w:tcW w:w="1972" w:type="dxa"/>
            <w:tcBorders>
              <w:tl2br w:val="nil"/>
              <w:tr2bl w:val="nil"/>
            </w:tcBorders>
            <w:noWrap w:val="0"/>
            <w:vAlign w:val="center"/>
          </w:tcPr>
          <w:p>
            <w:pPr>
              <w:adjustRightInd w:val="0"/>
              <w:snapToGrid w:val="0"/>
              <w:jc w:val="center"/>
              <w:rPr>
                <w:rFonts w:hint="eastAsia" w:eastAsia="仿宋_GB2312"/>
                <w:kern w:val="0"/>
                <w:sz w:val="24"/>
                <w:szCs w:val="24"/>
                <w:highlight w:val="none"/>
                <w:lang w:eastAsia="zh-CN"/>
              </w:rPr>
            </w:pPr>
            <w:r>
              <w:rPr>
                <w:rFonts w:hint="eastAsia" w:eastAsia="仿宋_GB2312" w:cs="仿宋_GB2312"/>
                <w:kern w:val="0"/>
                <w:sz w:val="24"/>
                <w:szCs w:val="24"/>
                <w:highlight w:val="none"/>
                <w:lang w:eastAsia="zh-CN" w:bidi="ar"/>
              </w:rPr>
              <w:t>3619970062</w:t>
            </w:r>
          </w:p>
        </w:tc>
        <w:tc>
          <w:tcPr>
            <w:tcW w:w="1972" w:type="dxa"/>
            <w:tcBorders>
              <w:tl2br w:val="nil"/>
              <w:tr2bl w:val="nil"/>
            </w:tcBorders>
            <w:noWrap w:val="0"/>
            <w:vAlign w:val="center"/>
          </w:tcPr>
          <w:p>
            <w:pPr>
              <w:adjustRightInd w:val="0"/>
              <w:snapToGrid w:val="0"/>
              <w:jc w:val="center"/>
              <w:rPr>
                <w:rFonts w:hint="eastAsia" w:eastAsia="仿宋_GB2312"/>
                <w:kern w:val="0"/>
                <w:sz w:val="24"/>
                <w:szCs w:val="24"/>
                <w:highlight w:val="none"/>
              </w:rPr>
            </w:pPr>
          </w:p>
        </w:tc>
        <w:tc>
          <w:tcPr>
            <w:tcW w:w="2879" w:type="dxa"/>
            <w:tcBorders>
              <w:tl2br w:val="nil"/>
              <w:tr2bl w:val="nil"/>
            </w:tcBorders>
            <w:noWrap w:val="0"/>
            <w:vAlign w:val="center"/>
          </w:tcPr>
          <w:p>
            <w:pPr>
              <w:adjustRightInd w:val="0"/>
              <w:snapToGrid w:val="0"/>
              <w:jc w:val="center"/>
              <w:rPr>
                <w:rFonts w:hint="eastAsia" w:eastAsia="仿宋_GB2312"/>
                <w:kern w:val="0"/>
                <w:sz w:val="24"/>
                <w:szCs w:val="24"/>
                <w:highlight w:val="none"/>
                <w:lang w:eastAsia="zh-CN"/>
              </w:rPr>
            </w:pPr>
            <w:r>
              <w:rPr>
                <w:rFonts w:hint="eastAsia" w:eastAsia="仿宋_GB2312" w:cs="仿宋_GB2312"/>
                <w:kern w:val="0"/>
                <w:sz w:val="24"/>
                <w:szCs w:val="24"/>
                <w:highlight w:val="none"/>
                <w:lang w:eastAsia="zh-CN" w:bidi="ar"/>
              </w:rPr>
              <w:t>2022年5月24日</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1"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val="en-US" w:eastAsia="zh-CN" w:bidi="ar"/>
              </w:rPr>
              <w:t>刘清霞</w:t>
            </w:r>
          </w:p>
        </w:tc>
        <w:tc>
          <w:tcPr>
            <w:tcW w:w="1972" w:type="dxa"/>
            <w:tcBorders>
              <w:tl2br w:val="nil"/>
              <w:tr2bl w:val="nil"/>
            </w:tcBorders>
            <w:noWrap w:val="0"/>
            <w:vAlign w:val="center"/>
          </w:tcPr>
          <w:p>
            <w:pPr>
              <w:adjustRightInd w:val="0"/>
              <w:snapToGrid w:val="0"/>
              <w:spacing w:line="240" w:lineRule="auto"/>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val="en-US" w:eastAsia="zh-CN" w:bidi="ar"/>
              </w:rPr>
              <w:t>-</w:t>
            </w:r>
          </w:p>
        </w:tc>
        <w:tc>
          <w:tcPr>
            <w:tcW w:w="1972"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highlight w:val="none"/>
                <w:lang w:val="en-US" w:eastAsia="zh-CN" w:bidi="ar"/>
              </w:rPr>
            </w:pPr>
            <w:r>
              <w:rPr>
                <w:rFonts w:hint="eastAsia" w:eastAsia="仿宋_GB2312" w:cs="仿宋_GB2312"/>
                <w:kern w:val="0"/>
                <w:sz w:val="24"/>
                <w:szCs w:val="24"/>
                <w:highlight w:val="none"/>
                <w:lang w:val="en-US" w:eastAsia="zh-CN" w:bidi="ar"/>
              </w:rPr>
              <w:t>-</w:t>
            </w:r>
          </w:p>
        </w:tc>
        <w:tc>
          <w:tcPr>
            <w:tcW w:w="2879" w:type="dxa"/>
            <w:tcBorders>
              <w:tl2br w:val="nil"/>
              <w:tr2bl w:val="nil"/>
            </w:tcBorders>
            <w:noWrap w:val="0"/>
            <w:vAlign w:val="center"/>
          </w:tcPr>
          <w:p>
            <w:pPr>
              <w:adjustRightInd w:val="0"/>
              <w:snapToGrid w:val="0"/>
              <w:spacing w:line="240" w:lineRule="auto"/>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eastAsia="zh-CN" w:bidi="ar"/>
              </w:rPr>
              <w:t>2022年5月24日</w:t>
            </w:r>
          </w:p>
        </w:tc>
      </w:tr>
    </w:tbl>
    <w:p>
      <w:pPr>
        <w:pStyle w:val="4"/>
        <w:spacing w:line="520" w:lineRule="exact"/>
        <w:ind w:firstLine="301" w:firstLineChars="100"/>
        <w:rPr>
          <w:rFonts w:hint="eastAsia" w:ascii="仿宋_GB2312" w:eastAsia="仿宋_GB2312"/>
          <w:b/>
          <w:highlight w:val="none"/>
        </w:rPr>
      </w:pPr>
      <w:bookmarkStart w:id="57" w:name="_Toc517794438"/>
      <w:bookmarkStart w:id="58" w:name="_Toc554"/>
      <w:bookmarkStart w:id="59" w:name="_Toc517794696"/>
    </w:p>
    <w:p>
      <w:pPr>
        <w:pStyle w:val="4"/>
        <w:spacing w:line="520" w:lineRule="exact"/>
        <w:ind w:firstLine="301" w:firstLineChars="100"/>
        <w:rPr>
          <w:rFonts w:hint="eastAsia" w:ascii="仿宋_GB2312" w:eastAsia="仿宋_GB2312"/>
          <w:b/>
          <w:highlight w:val="none"/>
        </w:rPr>
      </w:pPr>
      <w:bookmarkStart w:id="60" w:name="_Toc16752"/>
      <w:r>
        <w:rPr>
          <w:rFonts w:hint="eastAsia" w:ascii="仿宋_GB2312" w:eastAsia="仿宋_GB2312"/>
          <w:b/>
          <w:highlight w:val="none"/>
        </w:rPr>
        <w:t>（十二）实地查勘日期</w:t>
      </w:r>
      <w:bookmarkEnd w:id="57"/>
      <w:bookmarkEnd w:id="58"/>
      <w:bookmarkEnd w:id="59"/>
      <w:bookmarkEnd w:id="60"/>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lang w:eastAsia="zh-CN"/>
        </w:rPr>
        <w:t>2022年5月20日</w:t>
      </w:r>
      <w:r>
        <w:rPr>
          <w:rFonts w:hint="eastAsia" w:ascii="仿宋_GB2312" w:hAnsi="宋体" w:eastAsia="仿宋_GB2312"/>
          <w:sz w:val="28"/>
          <w:szCs w:val="28"/>
          <w:highlight w:val="none"/>
        </w:rPr>
        <w:t>。</w:t>
      </w:r>
    </w:p>
    <w:p>
      <w:pPr>
        <w:spacing w:line="520" w:lineRule="exact"/>
        <w:ind w:firstLine="560" w:firstLineChars="200"/>
        <w:rPr>
          <w:rFonts w:hint="eastAsia" w:ascii="仿宋_GB2312" w:hAnsi="宋体" w:eastAsia="仿宋_GB2312"/>
          <w:sz w:val="28"/>
          <w:szCs w:val="28"/>
          <w:highlight w:val="none"/>
        </w:rPr>
      </w:pPr>
    </w:p>
    <w:p>
      <w:pPr>
        <w:pStyle w:val="4"/>
        <w:spacing w:line="520" w:lineRule="exact"/>
        <w:ind w:firstLine="301" w:firstLineChars="100"/>
        <w:rPr>
          <w:rFonts w:hint="eastAsia" w:ascii="仿宋_GB2312" w:eastAsia="仿宋_GB2312"/>
          <w:b/>
          <w:highlight w:val="none"/>
        </w:rPr>
      </w:pPr>
      <w:bookmarkStart w:id="61" w:name="_Toc517794697"/>
      <w:bookmarkStart w:id="62" w:name="_Toc16765"/>
      <w:bookmarkStart w:id="63" w:name="_Toc517794439"/>
      <w:bookmarkStart w:id="64" w:name="_Toc30975"/>
      <w:r>
        <w:rPr>
          <w:rFonts w:hint="eastAsia" w:ascii="仿宋_GB2312" w:eastAsia="仿宋_GB2312"/>
          <w:b/>
          <w:highlight w:val="none"/>
        </w:rPr>
        <w:t>（十三）估价作业日期</w:t>
      </w:r>
      <w:bookmarkEnd w:id="61"/>
      <w:bookmarkEnd w:id="62"/>
      <w:bookmarkEnd w:id="63"/>
      <w:bookmarkEnd w:id="64"/>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lang w:eastAsia="zh-CN"/>
        </w:rPr>
        <w:t>2022年5月20日（受理估价委托之日）</w:t>
      </w:r>
      <w:r>
        <w:rPr>
          <w:rFonts w:hint="eastAsia" w:ascii="仿宋_GB2312" w:hAnsi="宋体" w:eastAsia="仿宋_GB2312"/>
          <w:sz w:val="28"/>
          <w:szCs w:val="28"/>
          <w:highlight w:val="none"/>
        </w:rPr>
        <w:t>至</w:t>
      </w:r>
      <w:r>
        <w:rPr>
          <w:rFonts w:hint="eastAsia" w:ascii="仿宋_GB2312" w:hAnsi="宋体" w:eastAsia="仿宋_GB2312"/>
          <w:sz w:val="28"/>
          <w:szCs w:val="28"/>
          <w:highlight w:val="none"/>
          <w:lang w:eastAsia="zh-CN"/>
        </w:rPr>
        <w:t>2022年5月24日</w:t>
      </w:r>
      <w:r>
        <w:rPr>
          <w:rFonts w:hint="eastAsia" w:ascii="仿宋_GB2312" w:hAnsi="宋体" w:eastAsia="仿宋_GB2312"/>
          <w:sz w:val="28"/>
          <w:szCs w:val="28"/>
          <w:highlight w:val="none"/>
        </w:rPr>
        <w:t>。</w:t>
      </w:r>
    </w:p>
    <w:p>
      <w:pPr>
        <w:spacing w:line="520" w:lineRule="exact"/>
        <w:ind w:firstLine="560" w:firstLineChars="200"/>
        <w:rPr>
          <w:rFonts w:hint="eastAsia" w:ascii="仿宋_GB2312" w:hAnsi="宋体" w:eastAsia="仿宋_GB2312"/>
          <w:sz w:val="28"/>
          <w:szCs w:val="28"/>
          <w:highlight w:val="none"/>
        </w:rPr>
      </w:pPr>
    </w:p>
    <w:p>
      <w:pPr>
        <w:spacing w:after="93"/>
        <w:rPr>
          <w:rFonts w:hint="eastAsia"/>
        </w:rPr>
      </w:pPr>
      <w:bookmarkStart w:id="65" w:name="_Toc517794698"/>
      <w:bookmarkStart w:id="66" w:name="_Toc517794440"/>
      <w:bookmarkStart w:id="67" w:name="_Toc27875"/>
    </w:p>
    <w:p>
      <w:pPr>
        <w:rPr>
          <w:rFonts w:hint="eastAsia" w:ascii="仿宋_GB2312" w:eastAsia="仿宋_GB2312"/>
          <w:b/>
          <w:highlight w:val="none"/>
        </w:rPr>
      </w:pPr>
      <w:bookmarkStart w:id="68" w:name="_Toc28654"/>
      <w:r>
        <w:rPr>
          <w:rFonts w:hint="eastAsia" w:ascii="仿宋_GB2312" w:eastAsia="仿宋_GB2312"/>
          <w:b/>
          <w:highlight w:val="none"/>
        </w:rPr>
        <w:br w:type="page"/>
      </w:r>
    </w:p>
    <w:p>
      <w:pPr>
        <w:pStyle w:val="2"/>
        <w:spacing w:after="93"/>
        <w:rPr>
          <w:rFonts w:hint="eastAsia" w:ascii="仿宋_GB2312" w:eastAsia="仿宋_GB2312"/>
          <w:b/>
          <w:highlight w:val="none"/>
        </w:rPr>
      </w:pPr>
      <w:r>
        <w:rPr>
          <w:rFonts w:hint="eastAsia" w:ascii="仿宋_GB2312" w:eastAsia="仿宋_GB2312"/>
          <w:b/>
          <w:highlight w:val="none"/>
        </w:rPr>
        <w:t>四、附  件</w:t>
      </w:r>
      <w:bookmarkEnd w:id="65"/>
      <w:bookmarkEnd w:id="66"/>
      <w:bookmarkEnd w:id="67"/>
      <w:bookmarkEnd w:id="68"/>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（一）《</w:t>
      </w:r>
      <w:r>
        <w:rPr>
          <w:rFonts w:hint="eastAsia" w:ascii="仿宋_GB2312" w:hAnsi="宋体" w:eastAsia="仿宋_GB2312"/>
          <w:bCs/>
          <w:sz w:val="28"/>
          <w:szCs w:val="28"/>
          <w:highlight w:val="none"/>
          <w:lang w:eastAsia="zh-CN"/>
        </w:rPr>
        <w:t>江西省大余县人民法院价格评估委托书</w:t>
      </w:r>
      <w:r>
        <w:rPr>
          <w:rFonts w:hint="eastAsia" w:ascii="仿宋_GB2312" w:hAnsi="宋体" w:eastAsia="仿宋_GB2312"/>
          <w:bCs/>
          <w:sz w:val="28"/>
          <w:szCs w:val="28"/>
          <w:highlight w:val="none"/>
        </w:rPr>
        <w:t>》复印件</w:t>
      </w:r>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（二）估价对象位置图</w:t>
      </w:r>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（三）估价对象现状照片</w:t>
      </w:r>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（四）估价对象产权材料（复印件）</w:t>
      </w:r>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（五）评估机构《营业执照》（复印件）</w:t>
      </w:r>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（六）房地产评估机构</w:t>
      </w:r>
      <w:r>
        <w:rPr>
          <w:rFonts w:hint="eastAsia" w:ascii="仿宋_GB2312" w:hAnsi="宋体" w:eastAsia="仿宋_GB2312"/>
          <w:bCs/>
          <w:sz w:val="28"/>
          <w:szCs w:val="28"/>
          <w:highlight w:val="none"/>
          <w:lang w:eastAsia="zh-CN"/>
        </w:rPr>
        <w:t>备案</w:t>
      </w:r>
      <w:r>
        <w:rPr>
          <w:rFonts w:hint="eastAsia" w:ascii="仿宋_GB2312" w:hAnsi="宋体" w:eastAsia="仿宋_GB2312"/>
          <w:bCs/>
          <w:sz w:val="28"/>
          <w:szCs w:val="28"/>
          <w:highlight w:val="none"/>
        </w:rPr>
        <w:t>证书（复印件）</w:t>
      </w:r>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（七）房地产估价师注册证书（复印件）</w:t>
      </w:r>
    </w:p>
    <w:p>
      <w:pPr>
        <w:spacing w:line="520" w:lineRule="exact"/>
        <w:ind w:firstLine="601"/>
        <w:rPr>
          <w:rFonts w:hint="eastAsia" w:ascii="仿宋_GB2312" w:hAnsi="宋体" w:eastAsia="仿宋_GB2312"/>
          <w:sz w:val="18"/>
          <w:szCs w:val="18"/>
          <w:highlight w:val="none"/>
        </w:rPr>
      </w:pPr>
    </w:p>
    <w:p>
      <w:pPr>
        <w:spacing w:line="520" w:lineRule="exact"/>
        <w:ind w:firstLine="601"/>
        <w:rPr>
          <w:rFonts w:hint="eastAsia" w:ascii="仿宋_GB2312" w:hAnsi="宋体" w:eastAsia="仿宋_GB2312"/>
          <w:sz w:val="18"/>
          <w:szCs w:val="18"/>
          <w:highlight w:val="none"/>
        </w:rPr>
      </w:pPr>
    </w:p>
    <w:p>
      <w:pPr>
        <w:spacing w:line="520" w:lineRule="exact"/>
        <w:ind w:firstLine="601"/>
        <w:rPr>
          <w:rFonts w:hint="eastAsia" w:ascii="仿宋_GB2312" w:hAnsi="宋体" w:eastAsia="仿宋_GB2312"/>
          <w:sz w:val="18"/>
          <w:szCs w:val="18"/>
          <w:highlight w:val="none"/>
        </w:rPr>
      </w:pPr>
    </w:p>
    <w:p>
      <w:pPr>
        <w:spacing w:line="520" w:lineRule="exact"/>
        <w:ind w:firstLine="601"/>
        <w:rPr>
          <w:rFonts w:hint="eastAsia" w:ascii="仿宋_GB2312" w:hAnsi="宋体" w:eastAsia="仿宋_GB2312"/>
          <w:sz w:val="18"/>
          <w:szCs w:val="18"/>
          <w:highlight w:val="none"/>
        </w:rPr>
      </w:pPr>
    </w:p>
    <w:p>
      <w:pPr>
        <w:spacing w:line="520" w:lineRule="exact"/>
        <w:ind w:firstLine="601"/>
        <w:rPr>
          <w:rFonts w:hint="eastAsia" w:ascii="仿宋_GB2312" w:hAnsi="宋体" w:eastAsia="仿宋_GB2312"/>
          <w:sz w:val="18"/>
          <w:szCs w:val="18"/>
          <w:highlight w:val="none"/>
        </w:rPr>
      </w:pPr>
    </w:p>
    <w:p>
      <w:pPr>
        <w:spacing w:line="520" w:lineRule="exact"/>
        <w:ind w:firstLine="601"/>
        <w:rPr>
          <w:rFonts w:hint="eastAsia" w:ascii="仿宋_GB2312" w:hAnsi="宋体" w:eastAsia="仿宋_GB2312"/>
          <w:sz w:val="18"/>
          <w:szCs w:val="18"/>
          <w:highlight w:val="none"/>
        </w:rPr>
      </w:pPr>
    </w:p>
    <w:p>
      <w:pPr>
        <w:spacing w:line="520" w:lineRule="exact"/>
        <w:ind w:firstLine="601"/>
        <w:rPr>
          <w:rFonts w:ascii="仿宋_GB2312" w:hAnsi="宋体" w:eastAsia="仿宋_GB2312"/>
          <w:sz w:val="18"/>
          <w:szCs w:val="18"/>
          <w:highlight w:val="none"/>
        </w:rPr>
        <w:sectPr>
          <w:headerReference r:id="rId4" w:type="first"/>
          <w:headerReference r:id="rId3" w:type="default"/>
          <w:footerReference r:id="rId5" w:type="default"/>
          <w:footerReference r:id="rId6" w:type="even"/>
          <w:pgSz w:w="11906" w:h="16838"/>
          <w:pgMar w:top="1714" w:right="1531" w:bottom="1361" w:left="1797" w:header="737" w:footer="936" w:gutter="0"/>
          <w:pgBorders>
            <w:top w:val="none" w:sz="0" w:space="0"/>
            <w:left w:val="none" w:sz="0" w:space="0"/>
            <w:bottom w:val="none" w:sz="0" w:space="0"/>
            <w:right w:val="none" w:sz="0" w:space="0"/>
          </w:pgBorders>
          <w:pgNumType w:fmt="decimal"/>
          <w:cols w:space="720" w:num="1"/>
          <w:titlePg/>
          <w:docGrid w:type="lines" w:linePitch="312" w:charSpace="0"/>
        </w:sectPr>
      </w:pPr>
    </w:p>
    <w:p>
      <w:pPr>
        <w:spacing w:line="520" w:lineRule="exact"/>
        <w:ind w:firstLine="601"/>
        <w:rPr>
          <w:rFonts w:hint="eastAsia" w:ascii="仿宋_GB2312" w:hAnsi="宋体" w:eastAsia="仿宋_GB2312"/>
          <w:sz w:val="18"/>
          <w:szCs w:val="18"/>
          <w:highlight w:val="none"/>
        </w:rPr>
      </w:pPr>
    </w:p>
    <w:p/>
    <w:sectPr>
      <w:headerReference r:id="rId7" w:type="first"/>
      <w:footerReference r:id="rId9" w:type="first"/>
      <w:footerReference r:id="rId8" w:type="default"/>
      <w:pgSz w:w="11906" w:h="16838"/>
      <w:pgMar w:top="1714" w:right="1531" w:bottom="1361" w:left="1797" w:header="737" w:footer="936" w:gutter="0"/>
      <w:pgBorders>
        <w:top w:val="none" w:sz="0" w:space="0"/>
        <w:left w:val="none" w:sz="0" w:space="0"/>
        <w:bottom w:val="none" w:sz="0" w:space="0"/>
        <w:right w:val="none" w:sz="0" w:space="0"/>
      </w:pgBorders>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二</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二</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9"/>
      </w:rPr>
    </w:pPr>
    <w:r>
      <w:fldChar w:fldCharType="begin"/>
    </w:r>
    <w:r>
      <w:rPr>
        <w:rStyle w:val="29"/>
      </w:rPr>
      <w:instrText xml:space="preserve">PAGE  </w:instrText>
    </w:r>
    <w:r>
      <w:fldChar w:fldCharType="separate"/>
    </w:r>
    <w:r>
      <w:rPr>
        <w:rStyle w:val="29"/>
      </w:rPr>
      <w:t>3</w:t>
    </w:r>
    <w: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aYJL0wAAAAUBAAAP&#10;AAAAAAAAAAEAIAAAACIAAABkcnMvZG93bnJldi54bWxQSwECFAAUAAAACACHTuJA1YCvg+QBAAC9&#10;AwAADgAAAAAAAAABACAAAAAiAQAAZHJzL2Uyb0RvYy54bWxQSwUGAAAAAAYABgBZAQAAeAUAAAAA&#10;">
              <v:fill on="f" focussize="0,0"/>
              <v:stroke on="f" weight="1.25pt"/>
              <v:imagedata o:title=""/>
              <o:lock v:ext="edit" aspectratio="f"/>
              <v:textbox inset="0mm,0mm,0mm,0mm" style="mso-fit-shape-to-text:t;">
                <w:txbxContent>
                  <w:p>
                    <w:pPr>
                      <w:pStyle w:val="1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aYJL0wAAAAUBAAAP&#10;AAAAAAAAAAEAIAAAACIAAABkcnMvZG93bnJldi54bWxQSwECFAAUAAAACACHTuJAx5ACleQBAAC9&#10;AwAADgAAAAAAAAABACAAAAAiAQAAZHJzL2Uyb0RvYy54bWxQSwUGAAAAAAYABgBZAQAAeAUAAAAA&#10;">
              <v:fill on="f" focussize="0,0"/>
              <v:stroke on="f" weight="1.25pt"/>
              <v:imagedata o:title=""/>
              <o:lock v:ext="edit" aspectratio="f"/>
              <v:textbox inset="0mm,0mm,0mm,0mm" style="mso-fit-shape-to-text:t;">
                <w:txbxContent>
                  <w:p>
                    <w:pPr>
                      <w:pStyle w:val="1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anchor distT="0" distB="0" distL="114300" distR="114300" simplePos="0" relativeHeight="251662336" behindDoc="1" locked="0" layoutInCell="1" allowOverlap="1">
          <wp:simplePos x="0" y="0"/>
          <wp:positionH relativeFrom="column">
            <wp:posOffset>-9525</wp:posOffset>
          </wp:positionH>
          <wp:positionV relativeFrom="paragraph">
            <wp:posOffset>-15875</wp:posOffset>
          </wp:positionV>
          <wp:extent cx="5366385" cy="493395"/>
          <wp:effectExtent l="0" t="0" r="5715" b="1905"/>
          <wp:wrapNone/>
          <wp:docPr id="8" name="图片 8" descr="页眉（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页眉（黑白）"/>
                  <pic:cNvPicPr>
                    <a:picLocks noChangeAspect="1"/>
                  </pic:cNvPicPr>
                </pic:nvPicPr>
                <pic:blipFill>
                  <a:blip r:embed="rId1"/>
                  <a:stretch>
                    <a:fillRect/>
                  </a:stretch>
                </pic:blipFill>
                <pic:spPr>
                  <a:xfrm>
                    <a:off x="0" y="0"/>
                    <a:ext cx="5366385" cy="493395"/>
                  </a:xfrm>
                  <a:prstGeom prst="rect">
                    <a:avLst/>
                  </a:prstGeom>
                  <a:noFill/>
                  <a:ln>
                    <a:noFill/>
                  </a:ln>
                </pic:spPr>
              </pic:pic>
            </a:graphicData>
          </a:graphic>
        </wp:anchor>
      </w:drawing>
    </w:r>
  </w:p>
  <w:p>
    <w:pPr>
      <w:pStyle w:val="20"/>
      <w:jc w:val="both"/>
    </w:pPr>
  </w:p>
  <w:p>
    <w:pPr>
      <w:pStyle w:val="20"/>
      <w:jc w:val="both"/>
    </w:pPr>
  </w:p>
  <w:p>
    <w:pPr>
      <w:pStyle w:val="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p>
    <w:pPr>
      <w:pStyle w:val="20"/>
    </w:pPr>
    <w:r>
      <w:drawing>
        <wp:inline distT="0" distB="0" distL="114300" distR="114300">
          <wp:extent cx="5366385" cy="493395"/>
          <wp:effectExtent l="0" t="0" r="5715" b="1905"/>
          <wp:docPr id="10" name="图片 10" descr="页眉（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页眉（黑白）"/>
                  <pic:cNvPicPr>
                    <a:picLocks noChangeAspect="1"/>
                  </pic:cNvPicPr>
                </pic:nvPicPr>
                <pic:blipFill>
                  <a:blip r:embed="rId1"/>
                  <a:stretch>
                    <a:fillRect/>
                  </a:stretch>
                </pic:blipFill>
                <pic:spPr>
                  <a:xfrm>
                    <a:off x="0" y="0"/>
                    <a:ext cx="5366385" cy="4933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114300" distR="114300">
          <wp:extent cx="5366385" cy="493395"/>
          <wp:effectExtent l="0" t="0" r="5715" b="1905"/>
          <wp:docPr id="7" name="图片 8" descr="页眉（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页眉（黑白）"/>
                  <pic:cNvPicPr>
                    <a:picLocks noChangeAspect="1"/>
                  </pic:cNvPicPr>
                </pic:nvPicPr>
                <pic:blipFill>
                  <a:blip r:embed="rId1"/>
                  <a:stretch>
                    <a:fillRect/>
                  </a:stretch>
                </pic:blipFill>
                <pic:spPr>
                  <a:xfrm>
                    <a:off x="0" y="0"/>
                    <a:ext cx="5366385" cy="4933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MzA2ZjUzN2UzZDgxODJmNDg4OGNlZjJkZDBlYjQifQ=="/>
  </w:docVars>
  <w:rsids>
    <w:rsidRoot w:val="00A0723F"/>
    <w:rsid w:val="00022485"/>
    <w:rsid w:val="0002289B"/>
    <w:rsid w:val="00024FD9"/>
    <w:rsid w:val="000306FA"/>
    <w:rsid w:val="00033B3E"/>
    <w:rsid w:val="00041338"/>
    <w:rsid w:val="00051791"/>
    <w:rsid w:val="00052662"/>
    <w:rsid w:val="00061431"/>
    <w:rsid w:val="0006290A"/>
    <w:rsid w:val="00063F6B"/>
    <w:rsid w:val="0006749E"/>
    <w:rsid w:val="00077DDD"/>
    <w:rsid w:val="00082E3F"/>
    <w:rsid w:val="0009433D"/>
    <w:rsid w:val="00096DD9"/>
    <w:rsid w:val="000A4D19"/>
    <w:rsid w:val="000C65F6"/>
    <w:rsid w:val="000D34B9"/>
    <w:rsid w:val="000F1414"/>
    <w:rsid w:val="000F29C1"/>
    <w:rsid w:val="001021A7"/>
    <w:rsid w:val="0011052B"/>
    <w:rsid w:val="00113559"/>
    <w:rsid w:val="00120155"/>
    <w:rsid w:val="00127495"/>
    <w:rsid w:val="001371EA"/>
    <w:rsid w:val="00153D39"/>
    <w:rsid w:val="00155881"/>
    <w:rsid w:val="0018217D"/>
    <w:rsid w:val="00184B32"/>
    <w:rsid w:val="001875A5"/>
    <w:rsid w:val="0019409D"/>
    <w:rsid w:val="001A70DD"/>
    <w:rsid w:val="001B5A3E"/>
    <w:rsid w:val="001E282D"/>
    <w:rsid w:val="001F2E50"/>
    <w:rsid w:val="001F585E"/>
    <w:rsid w:val="0020021E"/>
    <w:rsid w:val="00200F83"/>
    <w:rsid w:val="0020247A"/>
    <w:rsid w:val="00207BF6"/>
    <w:rsid w:val="00212D3F"/>
    <w:rsid w:val="0021746E"/>
    <w:rsid w:val="00222D1C"/>
    <w:rsid w:val="00223BDD"/>
    <w:rsid w:val="00224348"/>
    <w:rsid w:val="00225DEA"/>
    <w:rsid w:val="0022715C"/>
    <w:rsid w:val="00230629"/>
    <w:rsid w:val="00254021"/>
    <w:rsid w:val="00256C18"/>
    <w:rsid w:val="00257C89"/>
    <w:rsid w:val="00294A94"/>
    <w:rsid w:val="002A2A3E"/>
    <w:rsid w:val="002A5E20"/>
    <w:rsid w:val="002B4B98"/>
    <w:rsid w:val="002C112A"/>
    <w:rsid w:val="002E2B55"/>
    <w:rsid w:val="002E486C"/>
    <w:rsid w:val="002E7859"/>
    <w:rsid w:val="0030033E"/>
    <w:rsid w:val="00312B4A"/>
    <w:rsid w:val="00320B3F"/>
    <w:rsid w:val="0032709A"/>
    <w:rsid w:val="00332BE1"/>
    <w:rsid w:val="00335EB2"/>
    <w:rsid w:val="00342970"/>
    <w:rsid w:val="003463B2"/>
    <w:rsid w:val="003548D2"/>
    <w:rsid w:val="0036121A"/>
    <w:rsid w:val="00362B73"/>
    <w:rsid w:val="00364B6B"/>
    <w:rsid w:val="00364D14"/>
    <w:rsid w:val="003737B8"/>
    <w:rsid w:val="00377481"/>
    <w:rsid w:val="003B4E56"/>
    <w:rsid w:val="003C0A8B"/>
    <w:rsid w:val="003C4451"/>
    <w:rsid w:val="003C5508"/>
    <w:rsid w:val="003D5DA1"/>
    <w:rsid w:val="003E6170"/>
    <w:rsid w:val="003F0EFF"/>
    <w:rsid w:val="0041454E"/>
    <w:rsid w:val="00422D74"/>
    <w:rsid w:val="00425035"/>
    <w:rsid w:val="00432B76"/>
    <w:rsid w:val="00435DE0"/>
    <w:rsid w:val="00441D5C"/>
    <w:rsid w:val="00441F62"/>
    <w:rsid w:val="004504DA"/>
    <w:rsid w:val="004531CC"/>
    <w:rsid w:val="004571C1"/>
    <w:rsid w:val="00463B93"/>
    <w:rsid w:val="004758CA"/>
    <w:rsid w:val="00491CD4"/>
    <w:rsid w:val="004923A3"/>
    <w:rsid w:val="0049399A"/>
    <w:rsid w:val="00495BF8"/>
    <w:rsid w:val="00496D4A"/>
    <w:rsid w:val="004A7D12"/>
    <w:rsid w:val="004B6277"/>
    <w:rsid w:val="004B7525"/>
    <w:rsid w:val="004D0183"/>
    <w:rsid w:val="004D08F8"/>
    <w:rsid w:val="004D1691"/>
    <w:rsid w:val="004D2626"/>
    <w:rsid w:val="004D3557"/>
    <w:rsid w:val="004D456D"/>
    <w:rsid w:val="004E424B"/>
    <w:rsid w:val="004E43D1"/>
    <w:rsid w:val="004E66BB"/>
    <w:rsid w:val="004F509B"/>
    <w:rsid w:val="0050264B"/>
    <w:rsid w:val="005064F8"/>
    <w:rsid w:val="0050658E"/>
    <w:rsid w:val="0051342F"/>
    <w:rsid w:val="0051659C"/>
    <w:rsid w:val="00516761"/>
    <w:rsid w:val="00522131"/>
    <w:rsid w:val="00523263"/>
    <w:rsid w:val="00524095"/>
    <w:rsid w:val="005348FD"/>
    <w:rsid w:val="00537183"/>
    <w:rsid w:val="00541D06"/>
    <w:rsid w:val="00541EFB"/>
    <w:rsid w:val="005573AA"/>
    <w:rsid w:val="0057758E"/>
    <w:rsid w:val="005822F3"/>
    <w:rsid w:val="0059766D"/>
    <w:rsid w:val="005A60C0"/>
    <w:rsid w:val="005A7C13"/>
    <w:rsid w:val="005B2174"/>
    <w:rsid w:val="005B5467"/>
    <w:rsid w:val="005C06ED"/>
    <w:rsid w:val="005C0F16"/>
    <w:rsid w:val="005C50A7"/>
    <w:rsid w:val="005C61AF"/>
    <w:rsid w:val="005D6685"/>
    <w:rsid w:val="005F3DD5"/>
    <w:rsid w:val="005F3F00"/>
    <w:rsid w:val="0060012E"/>
    <w:rsid w:val="00604A75"/>
    <w:rsid w:val="00615093"/>
    <w:rsid w:val="0062210D"/>
    <w:rsid w:val="00622C4E"/>
    <w:rsid w:val="006325FA"/>
    <w:rsid w:val="00634D31"/>
    <w:rsid w:val="00637472"/>
    <w:rsid w:val="006416C7"/>
    <w:rsid w:val="00647E08"/>
    <w:rsid w:val="00650C5F"/>
    <w:rsid w:val="00657725"/>
    <w:rsid w:val="0066672F"/>
    <w:rsid w:val="00670463"/>
    <w:rsid w:val="0067767B"/>
    <w:rsid w:val="0068192D"/>
    <w:rsid w:val="00683331"/>
    <w:rsid w:val="00696A9E"/>
    <w:rsid w:val="006A011B"/>
    <w:rsid w:val="006A2443"/>
    <w:rsid w:val="006B203E"/>
    <w:rsid w:val="006C1084"/>
    <w:rsid w:val="006C4DBB"/>
    <w:rsid w:val="006D1FCA"/>
    <w:rsid w:val="006F488C"/>
    <w:rsid w:val="006F63B7"/>
    <w:rsid w:val="00701A7C"/>
    <w:rsid w:val="00706D91"/>
    <w:rsid w:val="00715D96"/>
    <w:rsid w:val="00716D77"/>
    <w:rsid w:val="007171EA"/>
    <w:rsid w:val="00722704"/>
    <w:rsid w:val="007251FA"/>
    <w:rsid w:val="007375CF"/>
    <w:rsid w:val="00750019"/>
    <w:rsid w:val="00751CA2"/>
    <w:rsid w:val="00767A4E"/>
    <w:rsid w:val="0077778B"/>
    <w:rsid w:val="00780D02"/>
    <w:rsid w:val="00791520"/>
    <w:rsid w:val="00791D67"/>
    <w:rsid w:val="00797427"/>
    <w:rsid w:val="00797AC2"/>
    <w:rsid w:val="007A0462"/>
    <w:rsid w:val="007A1739"/>
    <w:rsid w:val="007A4DAA"/>
    <w:rsid w:val="007A76D5"/>
    <w:rsid w:val="007B33F6"/>
    <w:rsid w:val="007B72E4"/>
    <w:rsid w:val="007C39B6"/>
    <w:rsid w:val="007C75C8"/>
    <w:rsid w:val="007D283D"/>
    <w:rsid w:val="007D7B16"/>
    <w:rsid w:val="007E1D3D"/>
    <w:rsid w:val="00805C79"/>
    <w:rsid w:val="00810436"/>
    <w:rsid w:val="00812F3D"/>
    <w:rsid w:val="00812F9C"/>
    <w:rsid w:val="00826F1F"/>
    <w:rsid w:val="00831D47"/>
    <w:rsid w:val="00843EF2"/>
    <w:rsid w:val="00851AB9"/>
    <w:rsid w:val="00852B30"/>
    <w:rsid w:val="00852BE3"/>
    <w:rsid w:val="00865135"/>
    <w:rsid w:val="00870065"/>
    <w:rsid w:val="008828ED"/>
    <w:rsid w:val="00883F52"/>
    <w:rsid w:val="00884485"/>
    <w:rsid w:val="008A01B4"/>
    <w:rsid w:val="008A15B9"/>
    <w:rsid w:val="008A34F3"/>
    <w:rsid w:val="008A63CE"/>
    <w:rsid w:val="008A6B96"/>
    <w:rsid w:val="008B0669"/>
    <w:rsid w:val="008C04B2"/>
    <w:rsid w:val="008C25B0"/>
    <w:rsid w:val="008C5C8C"/>
    <w:rsid w:val="008C70F0"/>
    <w:rsid w:val="008C75C6"/>
    <w:rsid w:val="008D0FAA"/>
    <w:rsid w:val="008D6739"/>
    <w:rsid w:val="008F3B4E"/>
    <w:rsid w:val="00900D28"/>
    <w:rsid w:val="00902AD1"/>
    <w:rsid w:val="00916EE8"/>
    <w:rsid w:val="00921BF4"/>
    <w:rsid w:val="009362EE"/>
    <w:rsid w:val="00943326"/>
    <w:rsid w:val="009456D1"/>
    <w:rsid w:val="00946C50"/>
    <w:rsid w:val="00952DFB"/>
    <w:rsid w:val="0095400F"/>
    <w:rsid w:val="00973A65"/>
    <w:rsid w:val="0097509F"/>
    <w:rsid w:val="009760AE"/>
    <w:rsid w:val="009775F0"/>
    <w:rsid w:val="00982992"/>
    <w:rsid w:val="00985C58"/>
    <w:rsid w:val="009900D0"/>
    <w:rsid w:val="009907DE"/>
    <w:rsid w:val="009A6FEB"/>
    <w:rsid w:val="009A7A6A"/>
    <w:rsid w:val="009B0618"/>
    <w:rsid w:val="009B076B"/>
    <w:rsid w:val="009B17AA"/>
    <w:rsid w:val="009B28B6"/>
    <w:rsid w:val="009C7A09"/>
    <w:rsid w:val="009F225F"/>
    <w:rsid w:val="00A03B47"/>
    <w:rsid w:val="00A0723F"/>
    <w:rsid w:val="00A109B7"/>
    <w:rsid w:val="00A1153F"/>
    <w:rsid w:val="00A17F3F"/>
    <w:rsid w:val="00A23142"/>
    <w:rsid w:val="00A3327E"/>
    <w:rsid w:val="00A33364"/>
    <w:rsid w:val="00A41CC4"/>
    <w:rsid w:val="00A46F56"/>
    <w:rsid w:val="00A50A57"/>
    <w:rsid w:val="00A72C46"/>
    <w:rsid w:val="00A75B93"/>
    <w:rsid w:val="00A81579"/>
    <w:rsid w:val="00A96808"/>
    <w:rsid w:val="00AA00CC"/>
    <w:rsid w:val="00AA1897"/>
    <w:rsid w:val="00AA4BE9"/>
    <w:rsid w:val="00AC0816"/>
    <w:rsid w:val="00AC2C74"/>
    <w:rsid w:val="00AE0261"/>
    <w:rsid w:val="00AE06EC"/>
    <w:rsid w:val="00AE0761"/>
    <w:rsid w:val="00AF067D"/>
    <w:rsid w:val="00AF7233"/>
    <w:rsid w:val="00B03F19"/>
    <w:rsid w:val="00B05CFB"/>
    <w:rsid w:val="00B1430D"/>
    <w:rsid w:val="00B349DC"/>
    <w:rsid w:val="00B7050B"/>
    <w:rsid w:val="00B70576"/>
    <w:rsid w:val="00B710F2"/>
    <w:rsid w:val="00B71146"/>
    <w:rsid w:val="00B76AFD"/>
    <w:rsid w:val="00B91E47"/>
    <w:rsid w:val="00B9225E"/>
    <w:rsid w:val="00BB7B85"/>
    <w:rsid w:val="00BC1019"/>
    <w:rsid w:val="00BC5B05"/>
    <w:rsid w:val="00BC7584"/>
    <w:rsid w:val="00BD1E13"/>
    <w:rsid w:val="00BD5350"/>
    <w:rsid w:val="00BD54FD"/>
    <w:rsid w:val="00BD6E92"/>
    <w:rsid w:val="00BE1A5D"/>
    <w:rsid w:val="00BE685A"/>
    <w:rsid w:val="00BF0DB9"/>
    <w:rsid w:val="00C058E5"/>
    <w:rsid w:val="00C2602E"/>
    <w:rsid w:val="00C31103"/>
    <w:rsid w:val="00C413DB"/>
    <w:rsid w:val="00C44C2F"/>
    <w:rsid w:val="00C476D9"/>
    <w:rsid w:val="00C51D48"/>
    <w:rsid w:val="00C532B7"/>
    <w:rsid w:val="00C53B23"/>
    <w:rsid w:val="00C57CC1"/>
    <w:rsid w:val="00C623E1"/>
    <w:rsid w:val="00C62D2C"/>
    <w:rsid w:val="00C66AD1"/>
    <w:rsid w:val="00C70A4F"/>
    <w:rsid w:val="00C72056"/>
    <w:rsid w:val="00CA0B95"/>
    <w:rsid w:val="00CA49DB"/>
    <w:rsid w:val="00CA5769"/>
    <w:rsid w:val="00CA5894"/>
    <w:rsid w:val="00CA683D"/>
    <w:rsid w:val="00CD7706"/>
    <w:rsid w:val="00CE0C58"/>
    <w:rsid w:val="00CE3676"/>
    <w:rsid w:val="00CE5211"/>
    <w:rsid w:val="00CE532A"/>
    <w:rsid w:val="00CF2184"/>
    <w:rsid w:val="00D00B8A"/>
    <w:rsid w:val="00D02B6C"/>
    <w:rsid w:val="00D20282"/>
    <w:rsid w:val="00D51A52"/>
    <w:rsid w:val="00D5667B"/>
    <w:rsid w:val="00D712AB"/>
    <w:rsid w:val="00D81582"/>
    <w:rsid w:val="00D874B1"/>
    <w:rsid w:val="00D966FC"/>
    <w:rsid w:val="00DB217A"/>
    <w:rsid w:val="00DC0E3C"/>
    <w:rsid w:val="00DE1B58"/>
    <w:rsid w:val="00DE2290"/>
    <w:rsid w:val="00DF5A67"/>
    <w:rsid w:val="00E220E7"/>
    <w:rsid w:val="00E22E71"/>
    <w:rsid w:val="00E31D86"/>
    <w:rsid w:val="00E3325C"/>
    <w:rsid w:val="00E4245B"/>
    <w:rsid w:val="00E43703"/>
    <w:rsid w:val="00E56AFC"/>
    <w:rsid w:val="00E66EA4"/>
    <w:rsid w:val="00E66ED6"/>
    <w:rsid w:val="00E71EE6"/>
    <w:rsid w:val="00E73268"/>
    <w:rsid w:val="00E73DDC"/>
    <w:rsid w:val="00E741CA"/>
    <w:rsid w:val="00E838D0"/>
    <w:rsid w:val="00E97890"/>
    <w:rsid w:val="00EB0B54"/>
    <w:rsid w:val="00EB2E97"/>
    <w:rsid w:val="00EB7BA9"/>
    <w:rsid w:val="00EC4347"/>
    <w:rsid w:val="00EC6E10"/>
    <w:rsid w:val="00ED6BA0"/>
    <w:rsid w:val="00ED7336"/>
    <w:rsid w:val="00EE009A"/>
    <w:rsid w:val="00EE5910"/>
    <w:rsid w:val="00F01373"/>
    <w:rsid w:val="00F03295"/>
    <w:rsid w:val="00F05D71"/>
    <w:rsid w:val="00F07A76"/>
    <w:rsid w:val="00F2357B"/>
    <w:rsid w:val="00F555FC"/>
    <w:rsid w:val="00F579C4"/>
    <w:rsid w:val="00F661AB"/>
    <w:rsid w:val="00F70434"/>
    <w:rsid w:val="00F71BF3"/>
    <w:rsid w:val="00F71D07"/>
    <w:rsid w:val="00F76C48"/>
    <w:rsid w:val="00F81F28"/>
    <w:rsid w:val="00F9582A"/>
    <w:rsid w:val="00F97C9A"/>
    <w:rsid w:val="00FA169C"/>
    <w:rsid w:val="00FA79A9"/>
    <w:rsid w:val="00FB3EBD"/>
    <w:rsid w:val="00FC0E49"/>
    <w:rsid w:val="00FC1615"/>
    <w:rsid w:val="00FC3ABA"/>
    <w:rsid w:val="00FD1FEF"/>
    <w:rsid w:val="00FD239F"/>
    <w:rsid w:val="00FD4DB9"/>
    <w:rsid w:val="00FD6C32"/>
    <w:rsid w:val="00FD77C7"/>
    <w:rsid w:val="00FE77A2"/>
    <w:rsid w:val="00FF1A9E"/>
    <w:rsid w:val="017546AF"/>
    <w:rsid w:val="01791A64"/>
    <w:rsid w:val="019B3F2B"/>
    <w:rsid w:val="01C16AB1"/>
    <w:rsid w:val="01F33EC3"/>
    <w:rsid w:val="02210538"/>
    <w:rsid w:val="02891CB6"/>
    <w:rsid w:val="0299418F"/>
    <w:rsid w:val="02A6200C"/>
    <w:rsid w:val="02E76063"/>
    <w:rsid w:val="02F55377"/>
    <w:rsid w:val="03036BD2"/>
    <w:rsid w:val="03076E6D"/>
    <w:rsid w:val="032B274B"/>
    <w:rsid w:val="0332763D"/>
    <w:rsid w:val="03350B6D"/>
    <w:rsid w:val="03782E39"/>
    <w:rsid w:val="03AB382C"/>
    <w:rsid w:val="03DF18D5"/>
    <w:rsid w:val="03DF241C"/>
    <w:rsid w:val="03F314D8"/>
    <w:rsid w:val="04170CE5"/>
    <w:rsid w:val="0449749E"/>
    <w:rsid w:val="044B320C"/>
    <w:rsid w:val="04710E71"/>
    <w:rsid w:val="048816B8"/>
    <w:rsid w:val="048B0FC4"/>
    <w:rsid w:val="04C07AE1"/>
    <w:rsid w:val="04C54D74"/>
    <w:rsid w:val="04D27ADE"/>
    <w:rsid w:val="050A40DA"/>
    <w:rsid w:val="051F2D36"/>
    <w:rsid w:val="05431D70"/>
    <w:rsid w:val="055545D8"/>
    <w:rsid w:val="05775E7D"/>
    <w:rsid w:val="05DB54EF"/>
    <w:rsid w:val="063A1EFD"/>
    <w:rsid w:val="064E64DD"/>
    <w:rsid w:val="0652324F"/>
    <w:rsid w:val="065A7420"/>
    <w:rsid w:val="06640A44"/>
    <w:rsid w:val="066B3B0D"/>
    <w:rsid w:val="067B067C"/>
    <w:rsid w:val="06CA37CD"/>
    <w:rsid w:val="06D078E2"/>
    <w:rsid w:val="075061B9"/>
    <w:rsid w:val="07653D54"/>
    <w:rsid w:val="079921BB"/>
    <w:rsid w:val="07AB71AC"/>
    <w:rsid w:val="07BD52F9"/>
    <w:rsid w:val="07BF2E74"/>
    <w:rsid w:val="07D40E31"/>
    <w:rsid w:val="07D665E0"/>
    <w:rsid w:val="08574477"/>
    <w:rsid w:val="087D0351"/>
    <w:rsid w:val="08837446"/>
    <w:rsid w:val="088B2284"/>
    <w:rsid w:val="08BB3117"/>
    <w:rsid w:val="08EC6C80"/>
    <w:rsid w:val="09AF2509"/>
    <w:rsid w:val="09B84172"/>
    <w:rsid w:val="09BD15CA"/>
    <w:rsid w:val="09C73F9C"/>
    <w:rsid w:val="09FF2B67"/>
    <w:rsid w:val="09FF66EA"/>
    <w:rsid w:val="0A7A1399"/>
    <w:rsid w:val="0AD414FD"/>
    <w:rsid w:val="0B09353A"/>
    <w:rsid w:val="0B0B182B"/>
    <w:rsid w:val="0B363DA9"/>
    <w:rsid w:val="0B60355E"/>
    <w:rsid w:val="0BA35284"/>
    <w:rsid w:val="0BB00A93"/>
    <w:rsid w:val="0BEB2A11"/>
    <w:rsid w:val="0C82629B"/>
    <w:rsid w:val="0C8830D2"/>
    <w:rsid w:val="0CFF4BD6"/>
    <w:rsid w:val="0D1F6D33"/>
    <w:rsid w:val="0D4E2BE0"/>
    <w:rsid w:val="0DBC5C40"/>
    <w:rsid w:val="0DE44266"/>
    <w:rsid w:val="0E5E5583"/>
    <w:rsid w:val="0E703EFD"/>
    <w:rsid w:val="0E71269E"/>
    <w:rsid w:val="0E8B3429"/>
    <w:rsid w:val="0EB5073B"/>
    <w:rsid w:val="0EC00201"/>
    <w:rsid w:val="0EC57564"/>
    <w:rsid w:val="0ECA12B7"/>
    <w:rsid w:val="0ED03425"/>
    <w:rsid w:val="0EE72762"/>
    <w:rsid w:val="0EEA4512"/>
    <w:rsid w:val="0EEF112C"/>
    <w:rsid w:val="0F477BE1"/>
    <w:rsid w:val="0F6C47C9"/>
    <w:rsid w:val="0F792CA2"/>
    <w:rsid w:val="0F962F6D"/>
    <w:rsid w:val="0F9A25D5"/>
    <w:rsid w:val="0FAA3245"/>
    <w:rsid w:val="0FC83A7B"/>
    <w:rsid w:val="0FF46710"/>
    <w:rsid w:val="100937F0"/>
    <w:rsid w:val="10185E37"/>
    <w:rsid w:val="103A0076"/>
    <w:rsid w:val="105146F4"/>
    <w:rsid w:val="106B119F"/>
    <w:rsid w:val="10A82413"/>
    <w:rsid w:val="11027E25"/>
    <w:rsid w:val="11107F3B"/>
    <w:rsid w:val="117D6CF8"/>
    <w:rsid w:val="11801F81"/>
    <w:rsid w:val="118243C0"/>
    <w:rsid w:val="118E639D"/>
    <w:rsid w:val="11AB2762"/>
    <w:rsid w:val="11B920D0"/>
    <w:rsid w:val="11FF50DA"/>
    <w:rsid w:val="120F5DCE"/>
    <w:rsid w:val="125F20C9"/>
    <w:rsid w:val="12A8526A"/>
    <w:rsid w:val="13223F37"/>
    <w:rsid w:val="1331706A"/>
    <w:rsid w:val="13570CD5"/>
    <w:rsid w:val="136A3604"/>
    <w:rsid w:val="137A0B41"/>
    <w:rsid w:val="13C05CC6"/>
    <w:rsid w:val="147A59BC"/>
    <w:rsid w:val="14A86A2D"/>
    <w:rsid w:val="14E65A2F"/>
    <w:rsid w:val="15113E60"/>
    <w:rsid w:val="1573659D"/>
    <w:rsid w:val="15C90EB0"/>
    <w:rsid w:val="165A6754"/>
    <w:rsid w:val="16712D33"/>
    <w:rsid w:val="169B60F6"/>
    <w:rsid w:val="16AB2AF2"/>
    <w:rsid w:val="16F341AE"/>
    <w:rsid w:val="173E4F2C"/>
    <w:rsid w:val="17475BAE"/>
    <w:rsid w:val="17603B12"/>
    <w:rsid w:val="1765261F"/>
    <w:rsid w:val="177C25AB"/>
    <w:rsid w:val="17837DA8"/>
    <w:rsid w:val="17B74C7D"/>
    <w:rsid w:val="17C12001"/>
    <w:rsid w:val="17EA57A1"/>
    <w:rsid w:val="1830746E"/>
    <w:rsid w:val="185B5AC1"/>
    <w:rsid w:val="18615713"/>
    <w:rsid w:val="187379C7"/>
    <w:rsid w:val="187F03D4"/>
    <w:rsid w:val="18AA141F"/>
    <w:rsid w:val="18C166C6"/>
    <w:rsid w:val="18C2794C"/>
    <w:rsid w:val="18E92232"/>
    <w:rsid w:val="19415A68"/>
    <w:rsid w:val="194C013A"/>
    <w:rsid w:val="19617D14"/>
    <w:rsid w:val="196232A4"/>
    <w:rsid w:val="19A35132"/>
    <w:rsid w:val="19C5047F"/>
    <w:rsid w:val="19CE7805"/>
    <w:rsid w:val="1A290DB4"/>
    <w:rsid w:val="1A30090A"/>
    <w:rsid w:val="1A4E036B"/>
    <w:rsid w:val="1A4F75D7"/>
    <w:rsid w:val="1A576313"/>
    <w:rsid w:val="1A6C2FE9"/>
    <w:rsid w:val="1A6F16FF"/>
    <w:rsid w:val="1A7A46C7"/>
    <w:rsid w:val="1ADB4228"/>
    <w:rsid w:val="1B043843"/>
    <w:rsid w:val="1B113F92"/>
    <w:rsid w:val="1B216E41"/>
    <w:rsid w:val="1B280C01"/>
    <w:rsid w:val="1B30509F"/>
    <w:rsid w:val="1B30723E"/>
    <w:rsid w:val="1B3B43EB"/>
    <w:rsid w:val="1B5E7A2D"/>
    <w:rsid w:val="1BA07501"/>
    <w:rsid w:val="1BB65B53"/>
    <w:rsid w:val="1BD71CE4"/>
    <w:rsid w:val="1C0B3FC7"/>
    <w:rsid w:val="1C1E7846"/>
    <w:rsid w:val="1C5E56F7"/>
    <w:rsid w:val="1C6E5957"/>
    <w:rsid w:val="1C850B1F"/>
    <w:rsid w:val="1CBF58ED"/>
    <w:rsid w:val="1CE011EF"/>
    <w:rsid w:val="1CFE5FE4"/>
    <w:rsid w:val="1D9674E6"/>
    <w:rsid w:val="1DE90309"/>
    <w:rsid w:val="1E311F10"/>
    <w:rsid w:val="1E5C36C2"/>
    <w:rsid w:val="1E6B15DD"/>
    <w:rsid w:val="1E857CDA"/>
    <w:rsid w:val="1E947B06"/>
    <w:rsid w:val="1E9A18D8"/>
    <w:rsid w:val="1E9C51D3"/>
    <w:rsid w:val="1E9E379A"/>
    <w:rsid w:val="1E9F391E"/>
    <w:rsid w:val="1EED0196"/>
    <w:rsid w:val="1F134757"/>
    <w:rsid w:val="1F1D3322"/>
    <w:rsid w:val="1F4201AC"/>
    <w:rsid w:val="1F5E2B38"/>
    <w:rsid w:val="1F613C00"/>
    <w:rsid w:val="1F61496A"/>
    <w:rsid w:val="1F9250BC"/>
    <w:rsid w:val="1F944163"/>
    <w:rsid w:val="1FA87083"/>
    <w:rsid w:val="1FD17E39"/>
    <w:rsid w:val="200A0366"/>
    <w:rsid w:val="20106291"/>
    <w:rsid w:val="203355D0"/>
    <w:rsid w:val="206275E3"/>
    <w:rsid w:val="20671013"/>
    <w:rsid w:val="206D65DC"/>
    <w:rsid w:val="206E258D"/>
    <w:rsid w:val="207E11CE"/>
    <w:rsid w:val="20921D9B"/>
    <w:rsid w:val="20AE55BD"/>
    <w:rsid w:val="20C2147F"/>
    <w:rsid w:val="20CB69A1"/>
    <w:rsid w:val="210B4169"/>
    <w:rsid w:val="212568FD"/>
    <w:rsid w:val="213D52BE"/>
    <w:rsid w:val="214C3F99"/>
    <w:rsid w:val="216C19AD"/>
    <w:rsid w:val="216D438D"/>
    <w:rsid w:val="218249D8"/>
    <w:rsid w:val="21983C9D"/>
    <w:rsid w:val="219B67D1"/>
    <w:rsid w:val="21AB1A12"/>
    <w:rsid w:val="21AC51ED"/>
    <w:rsid w:val="21C92176"/>
    <w:rsid w:val="21EB36A6"/>
    <w:rsid w:val="21EE324B"/>
    <w:rsid w:val="220C3312"/>
    <w:rsid w:val="222B0ACC"/>
    <w:rsid w:val="22383586"/>
    <w:rsid w:val="22A05038"/>
    <w:rsid w:val="22A87D3A"/>
    <w:rsid w:val="22BC0B9E"/>
    <w:rsid w:val="22BC71BA"/>
    <w:rsid w:val="22C22041"/>
    <w:rsid w:val="22DC4337"/>
    <w:rsid w:val="22E7791E"/>
    <w:rsid w:val="22ED2CEB"/>
    <w:rsid w:val="2317647F"/>
    <w:rsid w:val="231A312D"/>
    <w:rsid w:val="232B7C82"/>
    <w:rsid w:val="23347106"/>
    <w:rsid w:val="234336D9"/>
    <w:rsid w:val="236575D8"/>
    <w:rsid w:val="239A4258"/>
    <w:rsid w:val="23BA53F8"/>
    <w:rsid w:val="23C56EF6"/>
    <w:rsid w:val="242E3AA8"/>
    <w:rsid w:val="24956360"/>
    <w:rsid w:val="249D00A4"/>
    <w:rsid w:val="24A754CE"/>
    <w:rsid w:val="24B76DA8"/>
    <w:rsid w:val="25265C82"/>
    <w:rsid w:val="254B3D77"/>
    <w:rsid w:val="259B737D"/>
    <w:rsid w:val="25D67D40"/>
    <w:rsid w:val="26181A08"/>
    <w:rsid w:val="26876718"/>
    <w:rsid w:val="269B0941"/>
    <w:rsid w:val="26C45168"/>
    <w:rsid w:val="26E8097E"/>
    <w:rsid w:val="26EF45CE"/>
    <w:rsid w:val="27074F3E"/>
    <w:rsid w:val="276A1E7D"/>
    <w:rsid w:val="2774664A"/>
    <w:rsid w:val="2789508E"/>
    <w:rsid w:val="27A25B8D"/>
    <w:rsid w:val="27A9005A"/>
    <w:rsid w:val="27DD2663"/>
    <w:rsid w:val="28160D4A"/>
    <w:rsid w:val="28241089"/>
    <w:rsid w:val="28A56337"/>
    <w:rsid w:val="28CA1746"/>
    <w:rsid w:val="28D0546E"/>
    <w:rsid w:val="28DE4E2F"/>
    <w:rsid w:val="28E31F31"/>
    <w:rsid w:val="28F571D7"/>
    <w:rsid w:val="292B7481"/>
    <w:rsid w:val="29342307"/>
    <w:rsid w:val="297D4B7B"/>
    <w:rsid w:val="2A2A1998"/>
    <w:rsid w:val="2A7B2735"/>
    <w:rsid w:val="2AA5771A"/>
    <w:rsid w:val="2AAC6A7C"/>
    <w:rsid w:val="2ADE3165"/>
    <w:rsid w:val="2AF06AD4"/>
    <w:rsid w:val="2B663EF2"/>
    <w:rsid w:val="2B7B7415"/>
    <w:rsid w:val="2B7D6B6B"/>
    <w:rsid w:val="2BF66FD8"/>
    <w:rsid w:val="2C294A8D"/>
    <w:rsid w:val="2C76367F"/>
    <w:rsid w:val="2C9F1ECD"/>
    <w:rsid w:val="2CB61DB2"/>
    <w:rsid w:val="2CBA1D72"/>
    <w:rsid w:val="2CF5520B"/>
    <w:rsid w:val="2D2A0BE9"/>
    <w:rsid w:val="2D5F7CBC"/>
    <w:rsid w:val="2D600E75"/>
    <w:rsid w:val="2DDE26F0"/>
    <w:rsid w:val="2E283B14"/>
    <w:rsid w:val="2E312541"/>
    <w:rsid w:val="2E6006DB"/>
    <w:rsid w:val="2E7801F9"/>
    <w:rsid w:val="2E8E5375"/>
    <w:rsid w:val="2EA35F63"/>
    <w:rsid w:val="2EAD16F6"/>
    <w:rsid w:val="2EE40541"/>
    <w:rsid w:val="2EE77E30"/>
    <w:rsid w:val="2F2C4DFE"/>
    <w:rsid w:val="2F326539"/>
    <w:rsid w:val="2F996519"/>
    <w:rsid w:val="2FC61653"/>
    <w:rsid w:val="2FDC71F1"/>
    <w:rsid w:val="300F2826"/>
    <w:rsid w:val="30327E11"/>
    <w:rsid w:val="304C5448"/>
    <w:rsid w:val="30582ABE"/>
    <w:rsid w:val="306F4D23"/>
    <w:rsid w:val="309D760A"/>
    <w:rsid w:val="30D67D50"/>
    <w:rsid w:val="313126C9"/>
    <w:rsid w:val="31585DBA"/>
    <w:rsid w:val="31667D3F"/>
    <w:rsid w:val="317D2916"/>
    <w:rsid w:val="31AF6E68"/>
    <w:rsid w:val="31B82D71"/>
    <w:rsid w:val="31DC63B1"/>
    <w:rsid w:val="32020DA6"/>
    <w:rsid w:val="32496AB6"/>
    <w:rsid w:val="32542581"/>
    <w:rsid w:val="327162B8"/>
    <w:rsid w:val="328C01BE"/>
    <w:rsid w:val="32A22815"/>
    <w:rsid w:val="32CA465E"/>
    <w:rsid w:val="32DA7097"/>
    <w:rsid w:val="32E3156C"/>
    <w:rsid w:val="33470468"/>
    <w:rsid w:val="33577E20"/>
    <w:rsid w:val="336278CF"/>
    <w:rsid w:val="336A0E94"/>
    <w:rsid w:val="33862DEE"/>
    <w:rsid w:val="33905438"/>
    <w:rsid w:val="33A862A8"/>
    <w:rsid w:val="33AA302E"/>
    <w:rsid w:val="33F54E8F"/>
    <w:rsid w:val="34222A94"/>
    <w:rsid w:val="342A476B"/>
    <w:rsid w:val="34965E99"/>
    <w:rsid w:val="34A8580A"/>
    <w:rsid w:val="34D9572E"/>
    <w:rsid w:val="35220AED"/>
    <w:rsid w:val="353E10D4"/>
    <w:rsid w:val="35413437"/>
    <w:rsid w:val="357941C9"/>
    <w:rsid w:val="3584501D"/>
    <w:rsid w:val="35A109F9"/>
    <w:rsid w:val="35D85CEB"/>
    <w:rsid w:val="35DB40D8"/>
    <w:rsid w:val="35E02809"/>
    <w:rsid w:val="35EC36D5"/>
    <w:rsid w:val="3606679E"/>
    <w:rsid w:val="361D50EE"/>
    <w:rsid w:val="3635001F"/>
    <w:rsid w:val="363A739E"/>
    <w:rsid w:val="36457C68"/>
    <w:rsid w:val="36564524"/>
    <w:rsid w:val="36802D23"/>
    <w:rsid w:val="36B06E37"/>
    <w:rsid w:val="36E2737F"/>
    <w:rsid w:val="370E53C4"/>
    <w:rsid w:val="37137A04"/>
    <w:rsid w:val="372A7772"/>
    <w:rsid w:val="382D591E"/>
    <w:rsid w:val="385B6441"/>
    <w:rsid w:val="3878752F"/>
    <w:rsid w:val="38C428A1"/>
    <w:rsid w:val="38F24B18"/>
    <w:rsid w:val="39133BC4"/>
    <w:rsid w:val="3961049C"/>
    <w:rsid w:val="39BB7D1E"/>
    <w:rsid w:val="39D66286"/>
    <w:rsid w:val="39DE062D"/>
    <w:rsid w:val="3A1E7D06"/>
    <w:rsid w:val="3A2B6D34"/>
    <w:rsid w:val="3A3344E3"/>
    <w:rsid w:val="3A386B9F"/>
    <w:rsid w:val="3AA27E45"/>
    <w:rsid w:val="3AEA50EF"/>
    <w:rsid w:val="3B234BA7"/>
    <w:rsid w:val="3BC169A3"/>
    <w:rsid w:val="3BE54858"/>
    <w:rsid w:val="3C1F7539"/>
    <w:rsid w:val="3C4538C5"/>
    <w:rsid w:val="3C7B702D"/>
    <w:rsid w:val="3CCF588F"/>
    <w:rsid w:val="3CD06291"/>
    <w:rsid w:val="3CD2323A"/>
    <w:rsid w:val="3CD56DD1"/>
    <w:rsid w:val="3D2E30BF"/>
    <w:rsid w:val="3D576C80"/>
    <w:rsid w:val="3D6848C8"/>
    <w:rsid w:val="3D751A8A"/>
    <w:rsid w:val="3D8F5B01"/>
    <w:rsid w:val="3DA10B92"/>
    <w:rsid w:val="3DA951EA"/>
    <w:rsid w:val="3DBF2E93"/>
    <w:rsid w:val="3DDE17BE"/>
    <w:rsid w:val="3DF55E77"/>
    <w:rsid w:val="3E212548"/>
    <w:rsid w:val="3E265296"/>
    <w:rsid w:val="3E357503"/>
    <w:rsid w:val="3E374C17"/>
    <w:rsid w:val="3E8057F7"/>
    <w:rsid w:val="3E965D5C"/>
    <w:rsid w:val="3EA47656"/>
    <w:rsid w:val="3ED34A6E"/>
    <w:rsid w:val="3EFC47F8"/>
    <w:rsid w:val="3F09498D"/>
    <w:rsid w:val="3F1B1653"/>
    <w:rsid w:val="3F20773C"/>
    <w:rsid w:val="3F5D1A50"/>
    <w:rsid w:val="3FBF5BFE"/>
    <w:rsid w:val="4038752C"/>
    <w:rsid w:val="403D71F7"/>
    <w:rsid w:val="4092477E"/>
    <w:rsid w:val="40AB5591"/>
    <w:rsid w:val="40D1104C"/>
    <w:rsid w:val="40F212D4"/>
    <w:rsid w:val="41271F0F"/>
    <w:rsid w:val="412A5E2A"/>
    <w:rsid w:val="41416676"/>
    <w:rsid w:val="414F2C60"/>
    <w:rsid w:val="4174334F"/>
    <w:rsid w:val="419B0F8E"/>
    <w:rsid w:val="419B3060"/>
    <w:rsid w:val="41F86970"/>
    <w:rsid w:val="4224025B"/>
    <w:rsid w:val="42291924"/>
    <w:rsid w:val="425906F9"/>
    <w:rsid w:val="425A6AE3"/>
    <w:rsid w:val="429D46D0"/>
    <w:rsid w:val="42BE1A90"/>
    <w:rsid w:val="42C055EB"/>
    <w:rsid w:val="42DD59CE"/>
    <w:rsid w:val="437E12E0"/>
    <w:rsid w:val="439703A6"/>
    <w:rsid w:val="43B77325"/>
    <w:rsid w:val="43F952C2"/>
    <w:rsid w:val="446A27C5"/>
    <w:rsid w:val="449361A8"/>
    <w:rsid w:val="449966EE"/>
    <w:rsid w:val="44C41654"/>
    <w:rsid w:val="44D038F6"/>
    <w:rsid w:val="44D73316"/>
    <w:rsid w:val="44EA49BE"/>
    <w:rsid w:val="45391373"/>
    <w:rsid w:val="453A1090"/>
    <w:rsid w:val="46065274"/>
    <w:rsid w:val="463B0E83"/>
    <w:rsid w:val="465240FD"/>
    <w:rsid w:val="466762DF"/>
    <w:rsid w:val="471C4E62"/>
    <w:rsid w:val="47426BBC"/>
    <w:rsid w:val="47D07EA7"/>
    <w:rsid w:val="481B635E"/>
    <w:rsid w:val="481C5A61"/>
    <w:rsid w:val="48316972"/>
    <w:rsid w:val="48346D7B"/>
    <w:rsid w:val="48721B82"/>
    <w:rsid w:val="48E17FC3"/>
    <w:rsid w:val="48F8266E"/>
    <w:rsid w:val="490C3567"/>
    <w:rsid w:val="49220A1C"/>
    <w:rsid w:val="49260C65"/>
    <w:rsid w:val="493D62FA"/>
    <w:rsid w:val="4998485F"/>
    <w:rsid w:val="49A93B76"/>
    <w:rsid w:val="49BE0241"/>
    <w:rsid w:val="49C356DE"/>
    <w:rsid w:val="49CA0211"/>
    <w:rsid w:val="49D64807"/>
    <w:rsid w:val="49E822BB"/>
    <w:rsid w:val="49FA1F6C"/>
    <w:rsid w:val="4A15757E"/>
    <w:rsid w:val="4A4A5EED"/>
    <w:rsid w:val="4A5567B4"/>
    <w:rsid w:val="4A762D4C"/>
    <w:rsid w:val="4ABE2FFA"/>
    <w:rsid w:val="4AE619EB"/>
    <w:rsid w:val="4AE71F4C"/>
    <w:rsid w:val="4AF32A44"/>
    <w:rsid w:val="4B080B30"/>
    <w:rsid w:val="4B2737FD"/>
    <w:rsid w:val="4BA97B61"/>
    <w:rsid w:val="4BB35BFC"/>
    <w:rsid w:val="4BB53D92"/>
    <w:rsid w:val="4BCC7955"/>
    <w:rsid w:val="4C415895"/>
    <w:rsid w:val="4C471016"/>
    <w:rsid w:val="4C505623"/>
    <w:rsid w:val="4D4E07D9"/>
    <w:rsid w:val="4D715D40"/>
    <w:rsid w:val="4DB07202"/>
    <w:rsid w:val="4DEF0270"/>
    <w:rsid w:val="4E846FB7"/>
    <w:rsid w:val="4E8E78EE"/>
    <w:rsid w:val="4EA31B59"/>
    <w:rsid w:val="4EB8591F"/>
    <w:rsid w:val="4EF57506"/>
    <w:rsid w:val="4F221D66"/>
    <w:rsid w:val="4F2636D4"/>
    <w:rsid w:val="4F3B7DB9"/>
    <w:rsid w:val="4FA677F0"/>
    <w:rsid w:val="4FDF7065"/>
    <w:rsid w:val="50113BA4"/>
    <w:rsid w:val="505F31D2"/>
    <w:rsid w:val="506747A8"/>
    <w:rsid w:val="5084138B"/>
    <w:rsid w:val="509D1F55"/>
    <w:rsid w:val="50C027B2"/>
    <w:rsid w:val="50E2154A"/>
    <w:rsid w:val="50E30D2E"/>
    <w:rsid w:val="51136059"/>
    <w:rsid w:val="514B3CE9"/>
    <w:rsid w:val="517506B5"/>
    <w:rsid w:val="51C82EEE"/>
    <w:rsid w:val="52015ED5"/>
    <w:rsid w:val="52173CCD"/>
    <w:rsid w:val="522A4D1E"/>
    <w:rsid w:val="527441A8"/>
    <w:rsid w:val="53601AA9"/>
    <w:rsid w:val="538B2CE0"/>
    <w:rsid w:val="538C2947"/>
    <w:rsid w:val="53C50CBE"/>
    <w:rsid w:val="541835A7"/>
    <w:rsid w:val="545D1506"/>
    <w:rsid w:val="54A02ECF"/>
    <w:rsid w:val="54BC16CD"/>
    <w:rsid w:val="54F06C83"/>
    <w:rsid w:val="552E252C"/>
    <w:rsid w:val="55715D67"/>
    <w:rsid w:val="5595310E"/>
    <w:rsid w:val="55A2468D"/>
    <w:rsid w:val="55C81670"/>
    <w:rsid w:val="55D458DD"/>
    <w:rsid w:val="55FE3518"/>
    <w:rsid w:val="56131FB6"/>
    <w:rsid w:val="56433460"/>
    <w:rsid w:val="56645561"/>
    <w:rsid w:val="566B3A9B"/>
    <w:rsid w:val="56AD3A82"/>
    <w:rsid w:val="56B06CDF"/>
    <w:rsid w:val="56F9783E"/>
    <w:rsid w:val="572B3D5A"/>
    <w:rsid w:val="57B73535"/>
    <w:rsid w:val="57F472AC"/>
    <w:rsid w:val="581461F4"/>
    <w:rsid w:val="583044F9"/>
    <w:rsid w:val="585D5890"/>
    <w:rsid w:val="58B87771"/>
    <w:rsid w:val="59635F2D"/>
    <w:rsid w:val="596607E2"/>
    <w:rsid w:val="596B434B"/>
    <w:rsid w:val="598A36AD"/>
    <w:rsid w:val="59C14CD9"/>
    <w:rsid w:val="59CA5E79"/>
    <w:rsid w:val="59CD791D"/>
    <w:rsid w:val="5A13562A"/>
    <w:rsid w:val="5AA262D0"/>
    <w:rsid w:val="5ABB682F"/>
    <w:rsid w:val="5AC21E7D"/>
    <w:rsid w:val="5ACA133F"/>
    <w:rsid w:val="5B174B23"/>
    <w:rsid w:val="5B626DE6"/>
    <w:rsid w:val="5B675D6A"/>
    <w:rsid w:val="5BA12346"/>
    <w:rsid w:val="5BB2189C"/>
    <w:rsid w:val="5C3C34F3"/>
    <w:rsid w:val="5C9B1828"/>
    <w:rsid w:val="5D555369"/>
    <w:rsid w:val="5D9910A9"/>
    <w:rsid w:val="5DE97F30"/>
    <w:rsid w:val="5E1C7F6D"/>
    <w:rsid w:val="5E5A0A2E"/>
    <w:rsid w:val="5E5B0E4D"/>
    <w:rsid w:val="5E9448B3"/>
    <w:rsid w:val="5EFE0D55"/>
    <w:rsid w:val="5F254E92"/>
    <w:rsid w:val="5F3A033D"/>
    <w:rsid w:val="5F3A6606"/>
    <w:rsid w:val="5F4C3822"/>
    <w:rsid w:val="5F607623"/>
    <w:rsid w:val="5F6A2AE4"/>
    <w:rsid w:val="5F822038"/>
    <w:rsid w:val="5FB16EE5"/>
    <w:rsid w:val="5FEB0458"/>
    <w:rsid w:val="60015026"/>
    <w:rsid w:val="601755E5"/>
    <w:rsid w:val="601D5D43"/>
    <w:rsid w:val="6082039A"/>
    <w:rsid w:val="6099150E"/>
    <w:rsid w:val="60C4788F"/>
    <w:rsid w:val="60EA2555"/>
    <w:rsid w:val="615B44C7"/>
    <w:rsid w:val="61734BA9"/>
    <w:rsid w:val="61751CAB"/>
    <w:rsid w:val="61AE4E29"/>
    <w:rsid w:val="61B44337"/>
    <w:rsid w:val="61CB0C82"/>
    <w:rsid w:val="61E647DF"/>
    <w:rsid w:val="61E81897"/>
    <w:rsid w:val="61FB2829"/>
    <w:rsid w:val="62155210"/>
    <w:rsid w:val="626A0D6C"/>
    <w:rsid w:val="627C072F"/>
    <w:rsid w:val="62EF4030"/>
    <w:rsid w:val="62FE75FF"/>
    <w:rsid w:val="631C6170"/>
    <w:rsid w:val="6325603F"/>
    <w:rsid w:val="634F012F"/>
    <w:rsid w:val="6395380A"/>
    <w:rsid w:val="63BE38F7"/>
    <w:rsid w:val="63CC1248"/>
    <w:rsid w:val="645B7DEE"/>
    <w:rsid w:val="64646F2A"/>
    <w:rsid w:val="6469035B"/>
    <w:rsid w:val="6492787D"/>
    <w:rsid w:val="64B6038C"/>
    <w:rsid w:val="64BC2BCB"/>
    <w:rsid w:val="64D00A58"/>
    <w:rsid w:val="650329A3"/>
    <w:rsid w:val="651A3211"/>
    <w:rsid w:val="6571511B"/>
    <w:rsid w:val="65866387"/>
    <w:rsid w:val="658C7C81"/>
    <w:rsid w:val="65961EFB"/>
    <w:rsid w:val="65E64C72"/>
    <w:rsid w:val="663822ED"/>
    <w:rsid w:val="664B41AA"/>
    <w:rsid w:val="666C58ED"/>
    <w:rsid w:val="66DB1A91"/>
    <w:rsid w:val="671D6A7E"/>
    <w:rsid w:val="67282862"/>
    <w:rsid w:val="67384285"/>
    <w:rsid w:val="67500136"/>
    <w:rsid w:val="675862E1"/>
    <w:rsid w:val="67A20B9E"/>
    <w:rsid w:val="67A36BAE"/>
    <w:rsid w:val="67CF1F0D"/>
    <w:rsid w:val="6812693C"/>
    <w:rsid w:val="682F3931"/>
    <w:rsid w:val="684D1F6F"/>
    <w:rsid w:val="685F364C"/>
    <w:rsid w:val="686271C3"/>
    <w:rsid w:val="689939B1"/>
    <w:rsid w:val="68BA5C46"/>
    <w:rsid w:val="690D26AC"/>
    <w:rsid w:val="697150E5"/>
    <w:rsid w:val="69C435B9"/>
    <w:rsid w:val="69DE11A4"/>
    <w:rsid w:val="6A327841"/>
    <w:rsid w:val="6A531178"/>
    <w:rsid w:val="6A535E45"/>
    <w:rsid w:val="6A8E2B3C"/>
    <w:rsid w:val="6AA0062F"/>
    <w:rsid w:val="6AEE6896"/>
    <w:rsid w:val="6AF232A7"/>
    <w:rsid w:val="6B113A02"/>
    <w:rsid w:val="6B68202E"/>
    <w:rsid w:val="6C1F29B4"/>
    <w:rsid w:val="6C5D70FB"/>
    <w:rsid w:val="6C742DA4"/>
    <w:rsid w:val="6C8F0BE9"/>
    <w:rsid w:val="6CBC5701"/>
    <w:rsid w:val="6CFB6A9D"/>
    <w:rsid w:val="6D1B3F16"/>
    <w:rsid w:val="6D250C66"/>
    <w:rsid w:val="6D4941AD"/>
    <w:rsid w:val="6D5A617B"/>
    <w:rsid w:val="6D637AE8"/>
    <w:rsid w:val="6D97645B"/>
    <w:rsid w:val="6DDE36E9"/>
    <w:rsid w:val="6DF9421C"/>
    <w:rsid w:val="6DFF1A61"/>
    <w:rsid w:val="6E175FD6"/>
    <w:rsid w:val="6E2D640E"/>
    <w:rsid w:val="6E54681D"/>
    <w:rsid w:val="6E8B26A3"/>
    <w:rsid w:val="6ED766F7"/>
    <w:rsid w:val="6EEE4D20"/>
    <w:rsid w:val="6F42007F"/>
    <w:rsid w:val="6F884D63"/>
    <w:rsid w:val="6F967023"/>
    <w:rsid w:val="6FD30627"/>
    <w:rsid w:val="6FD9322F"/>
    <w:rsid w:val="70203CAA"/>
    <w:rsid w:val="702A234C"/>
    <w:rsid w:val="70394698"/>
    <w:rsid w:val="70566023"/>
    <w:rsid w:val="70A373CA"/>
    <w:rsid w:val="70BC18FE"/>
    <w:rsid w:val="70ED2BEF"/>
    <w:rsid w:val="71012E2D"/>
    <w:rsid w:val="7105112F"/>
    <w:rsid w:val="713F4668"/>
    <w:rsid w:val="714E6C19"/>
    <w:rsid w:val="71AC6C98"/>
    <w:rsid w:val="71AF6F6F"/>
    <w:rsid w:val="71FA3760"/>
    <w:rsid w:val="7219458B"/>
    <w:rsid w:val="72320198"/>
    <w:rsid w:val="72B450F2"/>
    <w:rsid w:val="72B50041"/>
    <w:rsid w:val="72D35373"/>
    <w:rsid w:val="72F4309A"/>
    <w:rsid w:val="7317587D"/>
    <w:rsid w:val="73676856"/>
    <w:rsid w:val="736F5723"/>
    <w:rsid w:val="73982336"/>
    <w:rsid w:val="73C5124B"/>
    <w:rsid w:val="73CF4F2E"/>
    <w:rsid w:val="74216D11"/>
    <w:rsid w:val="74287282"/>
    <w:rsid w:val="742A20F7"/>
    <w:rsid w:val="745900E0"/>
    <w:rsid w:val="746C0098"/>
    <w:rsid w:val="746E5A74"/>
    <w:rsid w:val="747D6113"/>
    <w:rsid w:val="74960197"/>
    <w:rsid w:val="74C20896"/>
    <w:rsid w:val="75237B58"/>
    <w:rsid w:val="75656AFF"/>
    <w:rsid w:val="75701148"/>
    <w:rsid w:val="757442F9"/>
    <w:rsid w:val="75747148"/>
    <w:rsid w:val="75BA6428"/>
    <w:rsid w:val="75C03902"/>
    <w:rsid w:val="763F17BF"/>
    <w:rsid w:val="766F5F27"/>
    <w:rsid w:val="76926E86"/>
    <w:rsid w:val="76AB2AED"/>
    <w:rsid w:val="76D32D78"/>
    <w:rsid w:val="76EC5602"/>
    <w:rsid w:val="773564A4"/>
    <w:rsid w:val="773612D1"/>
    <w:rsid w:val="774F2105"/>
    <w:rsid w:val="77657A2E"/>
    <w:rsid w:val="7788724B"/>
    <w:rsid w:val="77BF3A66"/>
    <w:rsid w:val="77F67838"/>
    <w:rsid w:val="783C0BC4"/>
    <w:rsid w:val="786860BD"/>
    <w:rsid w:val="789837B0"/>
    <w:rsid w:val="78C24071"/>
    <w:rsid w:val="78F96587"/>
    <w:rsid w:val="78FA2463"/>
    <w:rsid w:val="791C68AC"/>
    <w:rsid w:val="793939A7"/>
    <w:rsid w:val="7A0318B7"/>
    <w:rsid w:val="7A315E25"/>
    <w:rsid w:val="7A966606"/>
    <w:rsid w:val="7AD1435D"/>
    <w:rsid w:val="7ADA188B"/>
    <w:rsid w:val="7B10431F"/>
    <w:rsid w:val="7B246530"/>
    <w:rsid w:val="7B3A598C"/>
    <w:rsid w:val="7B913670"/>
    <w:rsid w:val="7BA85FEE"/>
    <w:rsid w:val="7BDD2DCF"/>
    <w:rsid w:val="7C55204D"/>
    <w:rsid w:val="7CB943EA"/>
    <w:rsid w:val="7CCD0FC4"/>
    <w:rsid w:val="7CF5251A"/>
    <w:rsid w:val="7CFA1772"/>
    <w:rsid w:val="7D9D0865"/>
    <w:rsid w:val="7DC40185"/>
    <w:rsid w:val="7DC806DC"/>
    <w:rsid w:val="7E2771D5"/>
    <w:rsid w:val="7E425F17"/>
    <w:rsid w:val="7E567B96"/>
    <w:rsid w:val="7E74210C"/>
    <w:rsid w:val="7E774EE7"/>
    <w:rsid w:val="7E8B6678"/>
    <w:rsid w:val="7EEF1B77"/>
    <w:rsid w:val="7F111E31"/>
    <w:rsid w:val="7F144340"/>
    <w:rsid w:val="7F3714F9"/>
    <w:rsid w:val="7F7977F0"/>
    <w:rsid w:val="7F871387"/>
    <w:rsid w:val="7F94559A"/>
    <w:rsid w:val="7F9D5AC0"/>
    <w:rsid w:val="7FAC316D"/>
    <w:rsid w:val="7FBA42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3"/>
    <w:next w:val="3"/>
    <w:qFormat/>
    <w:uiPriority w:val="0"/>
    <w:pPr>
      <w:keepNext/>
      <w:keepLines/>
      <w:spacing w:after="30" w:afterLines="30"/>
      <w:ind w:left="0"/>
      <w:jc w:val="center"/>
      <w:outlineLvl w:val="0"/>
    </w:pPr>
    <w:rPr>
      <w:rFonts w:ascii="Arial" w:hAnsi="Arial" w:eastAsia="宋体"/>
      <w:bCs/>
      <w:kern w:val="44"/>
      <w:sz w:val="32"/>
      <w:szCs w:val="32"/>
    </w:rPr>
  </w:style>
  <w:style w:type="paragraph" w:styleId="4">
    <w:name w:val="heading 2"/>
    <w:basedOn w:val="3"/>
    <w:next w:val="3"/>
    <w:qFormat/>
    <w:uiPriority w:val="0"/>
    <w:pPr>
      <w:keepNext/>
      <w:keepLines/>
      <w:tabs>
        <w:tab w:val="left" w:pos="5568"/>
      </w:tabs>
      <w:ind w:left="0"/>
      <w:jc w:val="left"/>
      <w:outlineLvl w:val="1"/>
    </w:pPr>
    <w:rPr>
      <w:rFonts w:ascii="Arial" w:hAnsi="Arial" w:eastAsia="宋体"/>
      <w:bCs/>
      <w:kern w:val="44"/>
      <w:sz w:val="30"/>
      <w:szCs w:val="28"/>
    </w:rPr>
  </w:style>
  <w:style w:type="paragraph" w:styleId="5">
    <w:name w:val="heading 4"/>
    <w:basedOn w:val="1"/>
    <w:next w:val="1"/>
    <w:qFormat/>
    <w:uiPriority w:val="0"/>
    <w:pPr>
      <w:keepNext/>
      <w:keepLines/>
      <w:tabs>
        <w:tab w:val="left" w:pos="6264"/>
      </w:tabs>
      <w:adjustRightInd w:val="0"/>
      <w:snapToGrid w:val="0"/>
      <w:spacing w:line="312" w:lineRule="auto"/>
      <w:ind w:left="5400"/>
      <w:outlineLvl w:val="3"/>
    </w:pPr>
    <w:rPr>
      <w:rFonts w:ascii="华文细黑" w:hAnsi="Arial" w:eastAsia="华文细黑"/>
      <w:b/>
      <w:bCs/>
      <w:sz w:val="22"/>
      <w:szCs w:val="22"/>
      <w:u w:val="single"/>
    </w:rPr>
  </w:style>
  <w:style w:type="paragraph" w:styleId="6">
    <w:name w:val="heading 5"/>
    <w:basedOn w:val="1"/>
    <w:next w:val="1"/>
    <w:qFormat/>
    <w:uiPriority w:val="0"/>
    <w:pPr>
      <w:keepNext/>
      <w:keepLines/>
      <w:tabs>
        <w:tab w:val="left" w:pos="3608"/>
      </w:tabs>
      <w:adjustRightInd w:val="0"/>
      <w:snapToGrid w:val="0"/>
      <w:spacing w:before="280" w:after="290" w:line="376" w:lineRule="auto"/>
      <w:ind w:left="2600"/>
      <w:outlineLvl w:val="4"/>
    </w:pPr>
    <w:rPr>
      <w:b/>
      <w:bCs/>
      <w:sz w:val="28"/>
      <w:szCs w:val="28"/>
    </w:rPr>
  </w:style>
  <w:style w:type="paragraph" w:styleId="7">
    <w:name w:val="heading 6"/>
    <w:basedOn w:val="1"/>
    <w:next w:val="1"/>
    <w:qFormat/>
    <w:uiPriority w:val="0"/>
    <w:pPr>
      <w:keepNext/>
      <w:keepLines/>
      <w:tabs>
        <w:tab w:val="left" w:pos="3752"/>
      </w:tabs>
      <w:adjustRightInd w:val="0"/>
      <w:snapToGrid w:val="0"/>
      <w:spacing w:before="240" w:after="64" w:line="320" w:lineRule="auto"/>
      <w:ind w:left="3752" w:hanging="1152"/>
      <w:outlineLvl w:val="5"/>
    </w:pPr>
    <w:rPr>
      <w:rFonts w:ascii="Arial" w:hAnsi="Arial" w:eastAsia="黑体"/>
      <w:b/>
      <w:bCs/>
      <w:sz w:val="24"/>
      <w:szCs w:val="24"/>
    </w:rPr>
  </w:style>
  <w:style w:type="paragraph" w:styleId="8">
    <w:name w:val="heading 7"/>
    <w:basedOn w:val="1"/>
    <w:next w:val="1"/>
    <w:qFormat/>
    <w:uiPriority w:val="0"/>
    <w:pPr>
      <w:keepNext/>
      <w:keepLines/>
      <w:tabs>
        <w:tab w:val="left" w:pos="3896"/>
      </w:tabs>
      <w:adjustRightInd w:val="0"/>
      <w:snapToGrid w:val="0"/>
      <w:spacing w:before="240" w:after="64" w:line="320" w:lineRule="auto"/>
      <w:ind w:left="3896" w:hanging="1296"/>
      <w:outlineLvl w:val="6"/>
    </w:pPr>
    <w:rPr>
      <w:b/>
      <w:bCs/>
      <w:sz w:val="24"/>
      <w:szCs w:val="24"/>
    </w:rPr>
  </w:style>
  <w:style w:type="paragraph" w:styleId="9">
    <w:name w:val="heading 8"/>
    <w:basedOn w:val="1"/>
    <w:next w:val="1"/>
    <w:qFormat/>
    <w:uiPriority w:val="0"/>
    <w:pPr>
      <w:keepNext/>
      <w:keepLines/>
      <w:tabs>
        <w:tab w:val="left" w:pos="4040"/>
      </w:tabs>
      <w:adjustRightInd w:val="0"/>
      <w:snapToGrid w:val="0"/>
      <w:spacing w:before="240" w:after="64" w:line="320" w:lineRule="auto"/>
      <w:ind w:left="4040" w:hanging="1440"/>
      <w:outlineLvl w:val="7"/>
    </w:pPr>
    <w:rPr>
      <w:rFonts w:ascii="Arial" w:hAnsi="Arial" w:eastAsia="黑体"/>
      <w:sz w:val="24"/>
      <w:szCs w:val="24"/>
    </w:rPr>
  </w:style>
  <w:style w:type="paragraph" w:styleId="10">
    <w:name w:val="heading 9"/>
    <w:basedOn w:val="1"/>
    <w:next w:val="1"/>
    <w:qFormat/>
    <w:uiPriority w:val="0"/>
    <w:pPr>
      <w:keepNext/>
      <w:keepLines/>
      <w:tabs>
        <w:tab w:val="left" w:pos="4184"/>
      </w:tabs>
      <w:adjustRightInd w:val="0"/>
      <w:snapToGrid w:val="0"/>
      <w:spacing w:before="240" w:after="64" w:line="320" w:lineRule="auto"/>
      <w:ind w:left="4184" w:hanging="1584"/>
      <w:outlineLvl w:val="8"/>
    </w:pPr>
    <w:rPr>
      <w:rFonts w:ascii="Arial" w:hAnsi="Arial" w:eastAsia="黑体"/>
      <w:szCs w:val="21"/>
    </w:rPr>
  </w:style>
  <w:style w:type="character" w:default="1" w:styleId="27">
    <w:name w:val="Default Paragraph Font"/>
    <w:semiHidden/>
    <w:qFormat/>
    <w:uiPriority w:val="0"/>
    <w:rPr>
      <w:rFonts w:ascii="楷体_GB2312" w:eastAsia="楷体_GB2312"/>
      <w:b/>
      <w:bCs/>
      <w:sz w:val="30"/>
      <w:szCs w:val="24"/>
    </w:rPr>
  </w:style>
  <w:style w:type="table" w:default="1" w:styleId="26">
    <w:name w:val="Normal Table"/>
    <w:semiHidden/>
    <w:qFormat/>
    <w:uiPriority w:val="0"/>
    <w:tblPr>
      <w:tblCellMar>
        <w:top w:w="0" w:type="dxa"/>
        <w:left w:w="108" w:type="dxa"/>
        <w:bottom w:w="0" w:type="dxa"/>
        <w:right w:w="108" w:type="dxa"/>
      </w:tblCellMar>
    </w:tblPr>
  </w:style>
  <w:style w:type="paragraph" w:customStyle="1" w:styleId="3">
    <w:name w:val="报告正文 Char Char Char"/>
    <w:basedOn w:val="1"/>
    <w:link w:val="112"/>
    <w:qFormat/>
    <w:uiPriority w:val="0"/>
    <w:pPr>
      <w:adjustRightInd w:val="0"/>
      <w:snapToGrid w:val="0"/>
      <w:spacing w:line="336" w:lineRule="auto"/>
      <w:ind w:left="2603"/>
    </w:pPr>
    <w:rPr>
      <w:rFonts w:ascii="华文细黑" w:eastAsia="华文细黑" w:cs="宋体"/>
      <w:sz w:val="22"/>
      <w:szCs w:val="24"/>
    </w:rPr>
  </w:style>
  <w:style w:type="paragraph" w:styleId="11">
    <w:name w:val="annotation text"/>
    <w:basedOn w:val="1"/>
    <w:qFormat/>
    <w:uiPriority w:val="0"/>
    <w:pPr>
      <w:jc w:val="left"/>
    </w:pPr>
  </w:style>
  <w:style w:type="paragraph" w:styleId="12">
    <w:name w:val="Body Text"/>
    <w:basedOn w:val="1"/>
    <w:qFormat/>
    <w:uiPriority w:val="0"/>
    <w:pPr>
      <w:spacing w:after="120" w:afterLines="0"/>
    </w:pPr>
  </w:style>
  <w:style w:type="paragraph" w:styleId="13">
    <w:name w:val="Body Text Indent"/>
    <w:basedOn w:val="1"/>
    <w:qFormat/>
    <w:uiPriority w:val="0"/>
    <w:pPr>
      <w:ind w:left="420" w:firstLine="629"/>
    </w:pPr>
    <w:rPr>
      <w:rFonts w:ascii="楷体_GB2312" w:eastAsia="楷体_GB2312"/>
      <w:b/>
      <w:sz w:val="30"/>
    </w:rPr>
  </w:style>
  <w:style w:type="paragraph" w:styleId="14">
    <w:name w:val="Block Text"/>
    <w:basedOn w:val="1"/>
    <w:qFormat/>
    <w:uiPriority w:val="0"/>
    <w:pPr>
      <w:ind w:left="420" w:right="342"/>
    </w:pPr>
    <w:rPr>
      <w:rFonts w:ascii="楷体_GB2312" w:eastAsia="楷体_GB2312"/>
      <w:b/>
      <w:sz w:val="30"/>
    </w:rPr>
  </w:style>
  <w:style w:type="paragraph" w:styleId="15">
    <w:name w:val="Plain Text"/>
    <w:basedOn w:val="1"/>
    <w:link w:val="123"/>
    <w:qFormat/>
    <w:uiPriority w:val="0"/>
    <w:rPr>
      <w:rFonts w:ascii="宋体" w:hAnsi="Courier New"/>
      <w:szCs w:val="24"/>
    </w:rPr>
  </w:style>
  <w:style w:type="paragraph" w:styleId="16">
    <w:name w:val="Date"/>
    <w:basedOn w:val="1"/>
    <w:next w:val="1"/>
    <w:qFormat/>
    <w:uiPriority w:val="0"/>
    <w:rPr>
      <w:rFonts w:ascii="楷体_GB2312" w:eastAsia="楷体_GB2312"/>
      <w:b/>
      <w:sz w:val="30"/>
    </w:rPr>
  </w:style>
  <w:style w:type="paragraph" w:styleId="17">
    <w:name w:val="Body Text Indent 2"/>
    <w:basedOn w:val="1"/>
    <w:qFormat/>
    <w:uiPriority w:val="0"/>
    <w:pPr>
      <w:ind w:left="420" w:firstLine="602"/>
    </w:pPr>
    <w:rPr>
      <w:rFonts w:ascii="楷体_GB2312" w:eastAsia="楷体_GB2312"/>
      <w:b/>
      <w:sz w:val="30"/>
    </w:rPr>
  </w:style>
  <w:style w:type="paragraph" w:styleId="18">
    <w:name w:val="Balloon Text"/>
    <w:basedOn w:val="1"/>
    <w:link w:val="111"/>
    <w:qFormat/>
    <w:uiPriority w:val="0"/>
    <w:rPr>
      <w:sz w:val="18"/>
      <w:szCs w:val="18"/>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Body Text Indent 3"/>
    <w:basedOn w:val="1"/>
    <w:qFormat/>
    <w:uiPriority w:val="0"/>
    <w:pPr>
      <w:ind w:left="420" w:firstLine="630"/>
    </w:pPr>
    <w:rPr>
      <w:rFonts w:ascii="楷体_GB2312" w:eastAsia="楷体_GB2312"/>
      <w:b/>
      <w:sz w:val="30"/>
    </w:rPr>
  </w:style>
  <w:style w:type="paragraph" w:styleId="23">
    <w:name w:val="toc 2"/>
    <w:basedOn w:val="1"/>
    <w:next w:val="1"/>
    <w:qFormat/>
    <w:uiPriority w:val="39"/>
    <w:pPr>
      <w:ind w:left="420" w:leftChars="200"/>
    </w:p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 w:val="20"/>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28">
    <w:name w:val="Strong"/>
    <w:basedOn w:val="27"/>
    <w:qFormat/>
    <w:uiPriority w:val="0"/>
    <w:rPr>
      <w:b w:val="0"/>
      <w:bCs w:val="0"/>
      <w:szCs w:val="24"/>
    </w:rPr>
  </w:style>
  <w:style w:type="character" w:styleId="29">
    <w:name w:val="page number"/>
    <w:basedOn w:val="27"/>
    <w:qFormat/>
    <w:uiPriority w:val="0"/>
    <w:rPr>
      <w:szCs w:val="24"/>
    </w:rPr>
  </w:style>
  <w:style w:type="character" w:styleId="30">
    <w:name w:val="FollowedHyperlink"/>
    <w:basedOn w:val="27"/>
    <w:qFormat/>
    <w:uiPriority w:val="0"/>
    <w:rPr>
      <w:color w:val="333333"/>
      <w:szCs w:val="24"/>
      <w:u w:val="none"/>
    </w:rPr>
  </w:style>
  <w:style w:type="character" w:styleId="31">
    <w:name w:val="Emphasis"/>
    <w:basedOn w:val="27"/>
    <w:qFormat/>
    <w:uiPriority w:val="0"/>
    <w:rPr>
      <w:szCs w:val="24"/>
    </w:rPr>
  </w:style>
  <w:style w:type="character" w:styleId="32">
    <w:name w:val="HTML Definition"/>
    <w:basedOn w:val="27"/>
    <w:qFormat/>
    <w:uiPriority w:val="0"/>
    <w:rPr>
      <w:szCs w:val="24"/>
    </w:rPr>
  </w:style>
  <w:style w:type="character" w:styleId="33">
    <w:name w:val="HTML Variable"/>
    <w:basedOn w:val="27"/>
    <w:qFormat/>
    <w:uiPriority w:val="0"/>
    <w:rPr>
      <w:szCs w:val="24"/>
    </w:rPr>
  </w:style>
  <w:style w:type="character" w:styleId="34">
    <w:name w:val="Hyperlink"/>
    <w:basedOn w:val="27"/>
    <w:qFormat/>
    <w:uiPriority w:val="99"/>
    <w:rPr>
      <w:color w:val="136EC2"/>
      <w:szCs w:val="24"/>
      <w:u w:val="single"/>
    </w:rPr>
  </w:style>
  <w:style w:type="character" w:styleId="35">
    <w:name w:val="HTML Code"/>
    <w:basedOn w:val="27"/>
    <w:qFormat/>
    <w:uiPriority w:val="0"/>
    <w:rPr>
      <w:rFonts w:ascii="Courier New" w:hAnsi="Courier New" w:eastAsia="Courier New" w:cs="Courier New"/>
      <w:sz w:val="20"/>
      <w:szCs w:val="24"/>
    </w:rPr>
  </w:style>
  <w:style w:type="character" w:styleId="36">
    <w:name w:val="HTML Cite"/>
    <w:basedOn w:val="27"/>
    <w:qFormat/>
    <w:uiPriority w:val="0"/>
    <w:rPr>
      <w:szCs w:val="24"/>
    </w:rPr>
  </w:style>
  <w:style w:type="character" w:styleId="37">
    <w:name w:val="HTML Keyboard"/>
    <w:basedOn w:val="27"/>
    <w:qFormat/>
    <w:uiPriority w:val="0"/>
    <w:rPr>
      <w:rFonts w:ascii="Courier New" w:hAnsi="Courier New" w:eastAsia="Courier New" w:cs="Courier New"/>
      <w:sz w:val="20"/>
      <w:szCs w:val="24"/>
    </w:rPr>
  </w:style>
  <w:style w:type="character" w:styleId="38">
    <w:name w:val="HTML Sample"/>
    <w:basedOn w:val="27"/>
    <w:qFormat/>
    <w:uiPriority w:val="0"/>
    <w:rPr>
      <w:rFonts w:ascii="Courier New" w:hAnsi="Courier New" w:eastAsia="Courier New" w:cs="Courier New"/>
      <w:szCs w:val="24"/>
    </w:rPr>
  </w:style>
  <w:style w:type="paragraph" w:customStyle="1" w:styleId="39">
    <w:name w:val="xl3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0">
    <w:name w:val="xl6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1">
    <w:name w:val="xl4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42">
    <w:name w:val="xl6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3">
    <w:name w:val="xl30"/>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4">
    <w:name w:val="xl53"/>
    <w:basedOn w:val="1"/>
    <w:qFormat/>
    <w:uiPriority w:val="0"/>
    <w:pPr>
      <w:widowControl/>
      <w:pBdr>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5">
    <w:name w:val="xl29"/>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6">
    <w:name w:val="Char"/>
    <w:basedOn w:val="1"/>
    <w:qFormat/>
    <w:uiPriority w:val="0"/>
    <w:pPr>
      <w:snapToGrid w:val="0"/>
      <w:spacing w:line="360" w:lineRule="auto"/>
      <w:ind w:firstLine="200" w:firstLineChars="200"/>
    </w:pPr>
    <w:rPr>
      <w:rFonts w:eastAsia="Times New Roman"/>
      <w:kern w:val="0"/>
      <w:sz w:val="20"/>
      <w:szCs w:val="24"/>
    </w:rPr>
  </w:style>
  <w:style w:type="paragraph" w:customStyle="1" w:styleId="47">
    <w:name w:val="xl5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8">
    <w:name w:val="xl4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49">
    <w:name w:val="xl78"/>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0">
    <w:name w:val="xl6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1">
    <w:name w:val="xl6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2">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3">
    <w:name w:val="xl2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4">
    <w:name w:val="xl7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5">
    <w:name w:val="xl44"/>
    <w:basedOn w:val="1"/>
    <w:qFormat/>
    <w:uiPriority w:val="0"/>
    <w:pPr>
      <w:widowControl/>
      <w:pBdr>
        <w:top w:val="single" w:color="auto" w:sz="8"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6">
    <w:name w:val="xl33"/>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7">
    <w:name w:val="xl5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8">
    <w:name w:val="xl32"/>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9">
    <w:name w:val="xl4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61">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2">
    <w:name w:val="147147"/>
    <w:basedOn w:val="1"/>
    <w:qFormat/>
    <w:uiPriority w:val="0"/>
    <w:pPr>
      <w:spacing w:before="100" w:beforeAutospacing="1" w:after="100" w:afterAutospacing="1" w:line="360" w:lineRule="auto"/>
      <w:ind w:firstLine="200" w:firstLineChars="200"/>
      <w:jc w:val="left"/>
    </w:pPr>
    <w:rPr>
      <w:rFonts w:ascii="宋体" w:hAnsi="宋体"/>
      <w:bCs/>
      <w:sz w:val="24"/>
      <w:szCs w:val="24"/>
    </w:rPr>
  </w:style>
  <w:style w:type="paragraph" w:customStyle="1" w:styleId="63">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4">
    <w:name w:val="xl7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5">
    <w:name w:val="xl62"/>
    <w:basedOn w:val="1"/>
    <w:qFormat/>
    <w:uiPriority w:val="0"/>
    <w:pPr>
      <w:widowControl/>
      <w:pBdr>
        <w:top w:val="single" w:color="auto" w:sz="4" w:space="0"/>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6">
    <w:name w:val="xl4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67">
    <w:name w:val="xl37"/>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8">
    <w:name w:val="font6"/>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69">
    <w:name w:val="xl52"/>
    <w:basedOn w:val="1"/>
    <w:qFormat/>
    <w:uiPriority w:val="0"/>
    <w:pPr>
      <w:widowControl/>
      <w:pBdr>
        <w:top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0">
    <w:name w:val="xl7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1">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2">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3">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4">
    <w:name w:val="xl45"/>
    <w:basedOn w:val="1"/>
    <w:qFormat/>
    <w:uiPriority w:val="0"/>
    <w:pPr>
      <w:widowControl/>
      <w:pBdr>
        <w:top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5">
    <w:name w:val="xl61"/>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6">
    <w:name w:val="xl24"/>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77">
    <w:name w:val="xl5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8">
    <w:name w:val="xl48"/>
    <w:basedOn w:val="1"/>
    <w:qFormat/>
    <w:uiPriority w:val="0"/>
    <w:pPr>
      <w:widowControl/>
      <w:pBdr>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9">
    <w:name w:val="xl4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0">
    <w:name w:val="p0"/>
    <w:basedOn w:val="1"/>
    <w:qFormat/>
    <w:uiPriority w:val="0"/>
    <w:pPr>
      <w:widowControl/>
    </w:pPr>
    <w:rPr>
      <w:kern w:val="0"/>
      <w:szCs w:val="21"/>
    </w:rPr>
  </w:style>
  <w:style w:type="paragraph" w:customStyle="1" w:styleId="81">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2">
    <w:name w:val="font7"/>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83">
    <w:name w:val="xl5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4">
    <w:name w:val="xl36"/>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5">
    <w:name w:val="xl2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6">
    <w:name w:val="xl63"/>
    <w:basedOn w:val="1"/>
    <w:qFormat/>
    <w:uiPriority w:val="0"/>
    <w:pPr>
      <w:widowControl/>
      <w:pBdr>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7">
    <w:name w:val="xl51"/>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8">
    <w:name w:val="xl3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9">
    <w:name w:val="1"/>
    <w:basedOn w:val="1"/>
    <w:qFormat/>
    <w:uiPriority w:val="0"/>
    <w:pPr>
      <w:ind w:left="420" w:leftChars="200" w:firstLine="629" w:firstLineChars="209"/>
    </w:pPr>
    <w:rPr>
      <w:rFonts w:ascii="楷体_GB2312" w:eastAsia="楷体_GB2312"/>
      <w:b/>
      <w:bCs/>
      <w:sz w:val="30"/>
      <w:szCs w:val="24"/>
    </w:rPr>
  </w:style>
  <w:style w:type="paragraph" w:customStyle="1" w:styleId="90">
    <w:name w:val="xl39"/>
    <w:basedOn w:val="1"/>
    <w:qFormat/>
    <w:uiPriority w:val="0"/>
    <w:pPr>
      <w:widowControl/>
      <w:pBdr>
        <w:bottom w:val="single" w:color="auto" w:sz="8"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91">
    <w:name w:val="xl38"/>
    <w:basedOn w:val="1"/>
    <w:qFormat/>
    <w:uiPriority w:val="0"/>
    <w:pPr>
      <w:widowControl/>
      <w:spacing w:before="100" w:beforeAutospacing="1" w:after="100" w:afterAutospacing="1"/>
      <w:jc w:val="center"/>
    </w:pPr>
    <w:rPr>
      <w:rFonts w:ascii="Arial Unicode MS" w:hAnsi="Arial Unicode MS" w:eastAsia="Arial Unicode MS" w:cs="Arial Unicode MS"/>
      <w:b/>
      <w:bCs/>
      <w:kern w:val="0"/>
      <w:sz w:val="32"/>
      <w:szCs w:val="32"/>
    </w:rPr>
  </w:style>
  <w:style w:type="paragraph" w:customStyle="1" w:styleId="92">
    <w:name w:val="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93">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4">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95">
    <w:name w:val="xl7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6">
    <w:name w:val="xl46"/>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7">
    <w:name w:val="xl28"/>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8">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9">
    <w:name w:val="xl3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0">
    <w:name w:val="xl58"/>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1">
    <w:name w:val="xl56"/>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2">
    <w:name w:val=" Char"/>
    <w:basedOn w:val="1"/>
    <w:qFormat/>
    <w:uiPriority w:val="0"/>
    <w:pPr>
      <w:snapToGrid w:val="0"/>
      <w:spacing w:line="360" w:lineRule="auto"/>
      <w:ind w:firstLine="200" w:firstLineChars="200"/>
    </w:pPr>
    <w:rPr>
      <w:szCs w:val="24"/>
    </w:rPr>
  </w:style>
  <w:style w:type="paragraph" w:customStyle="1" w:styleId="103">
    <w:name w:val="xl7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4">
    <w:name w:val="报告正文"/>
    <w:basedOn w:val="1"/>
    <w:link w:val="114"/>
    <w:qFormat/>
    <w:uiPriority w:val="0"/>
    <w:pPr>
      <w:adjustRightInd w:val="0"/>
      <w:snapToGrid w:val="0"/>
      <w:spacing w:line="336" w:lineRule="auto"/>
      <w:ind w:left="2603"/>
    </w:pPr>
    <w:rPr>
      <w:rFonts w:ascii="华文细黑" w:eastAsia="华文细黑" w:cs="宋体"/>
      <w:sz w:val="22"/>
      <w:szCs w:val="24"/>
    </w:rPr>
  </w:style>
  <w:style w:type="paragraph" w:customStyle="1" w:styleId="105">
    <w:name w:val="修订"/>
    <w:semiHidden/>
    <w:qFormat/>
    <w:uiPriority w:val="99"/>
    <w:rPr>
      <w:rFonts w:ascii="Times New Roman" w:hAnsi="Times New Roman" w:eastAsia="宋体" w:cs="Times New Roman"/>
      <w:kern w:val="2"/>
      <w:sz w:val="21"/>
      <w:lang w:val="en-US" w:eastAsia="zh-CN" w:bidi="ar-SA"/>
    </w:rPr>
  </w:style>
  <w:style w:type="character" w:customStyle="1" w:styleId="106">
    <w:name w:val="fwcdp02bhov"/>
    <w:basedOn w:val="27"/>
    <w:qFormat/>
    <w:uiPriority w:val="0"/>
    <w:rPr>
      <w:color w:val="C60003"/>
      <w:szCs w:val="24"/>
    </w:rPr>
  </w:style>
  <w:style w:type="character" w:customStyle="1" w:styleId="107">
    <w:name w:val="fwsxdlsphov"/>
    <w:basedOn w:val="27"/>
    <w:qFormat/>
    <w:uiPriority w:val="0"/>
    <w:rPr>
      <w:color w:val="000000"/>
      <w:szCs w:val="24"/>
      <w:u w:val="single"/>
    </w:rPr>
  </w:style>
  <w:style w:type="character" w:customStyle="1" w:styleId="108">
    <w:name w:val="fwcdp02a"/>
    <w:basedOn w:val="27"/>
    <w:qFormat/>
    <w:uiPriority w:val="0"/>
    <w:rPr>
      <w:szCs w:val="24"/>
    </w:rPr>
  </w:style>
  <w:style w:type="character" w:customStyle="1" w:styleId="109">
    <w:name w:val="fwcdp02chov"/>
    <w:basedOn w:val="27"/>
    <w:qFormat/>
    <w:uiPriority w:val="0"/>
    <w:rPr>
      <w:color w:val="C60003"/>
      <w:szCs w:val="24"/>
    </w:rPr>
  </w:style>
  <w:style w:type="character" w:customStyle="1" w:styleId="110">
    <w:name w:val="newtxt1"/>
    <w:basedOn w:val="27"/>
    <w:qFormat/>
    <w:uiPriority w:val="0"/>
    <w:rPr>
      <w:szCs w:val="24"/>
    </w:rPr>
  </w:style>
  <w:style w:type="character" w:customStyle="1" w:styleId="111">
    <w:name w:val="批注框文本 Char"/>
    <w:basedOn w:val="27"/>
    <w:link w:val="18"/>
    <w:qFormat/>
    <w:uiPriority w:val="0"/>
    <w:rPr>
      <w:kern w:val="2"/>
      <w:sz w:val="18"/>
      <w:szCs w:val="18"/>
    </w:rPr>
  </w:style>
  <w:style w:type="character" w:customStyle="1" w:styleId="112">
    <w:name w:val="报告正文 Char Char Char Char"/>
    <w:basedOn w:val="27"/>
    <w:link w:val="3"/>
    <w:qFormat/>
    <w:uiPriority w:val="0"/>
    <w:rPr>
      <w:rFonts w:ascii="华文细黑" w:eastAsia="华文细黑" w:cs="宋体"/>
      <w:kern w:val="2"/>
      <w:sz w:val="22"/>
      <w:szCs w:val="24"/>
      <w:lang w:val="en-US" w:eastAsia="zh-CN" w:bidi="ar-SA"/>
    </w:rPr>
  </w:style>
  <w:style w:type="character" w:customStyle="1" w:styleId="113">
    <w:name w:val="fwsxcdh3sping"/>
    <w:basedOn w:val="27"/>
    <w:qFormat/>
    <w:uiPriority w:val="0"/>
    <w:rPr>
      <w:szCs w:val="24"/>
    </w:rPr>
  </w:style>
  <w:style w:type="character" w:customStyle="1" w:styleId="114">
    <w:name w:val="报告正文 Char1"/>
    <w:basedOn w:val="27"/>
    <w:link w:val="104"/>
    <w:qFormat/>
    <w:uiPriority w:val="0"/>
    <w:rPr>
      <w:rFonts w:ascii="华文细黑" w:eastAsia="华文细黑" w:cs="宋体"/>
      <w:kern w:val="2"/>
      <w:sz w:val="22"/>
      <w:szCs w:val="24"/>
      <w:lang w:val="en-US" w:eastAsia="zh-CN" w:bidi="ar-SA"/>
    </w:rPr>
  </w:style>
  <w:style w:type="character" w:customStyle="1" w:styleId="115">
    <w:name w:val="apple-converted-space"/>
    <w:basedOn w:val="27"/>
    <w:qFormat/>
    <w:uiPriority w:val="0"/>
    <w:rPr>
      <w:szCs w:val="24"/>
    </w:rPr>
  </w:style>
  <w:style w:type="character" w:customStyle="1" w:styleId="116">
    <w:name w:val="gdimgri"/>
    <w:basedOn w:val="27"/>
    <w:qFormat/>
    <w:uiPriority w:val="0"/>
    <w:rPr>
      <w:szCs w:val="24"/>
    </w:rPr>
  </w:style>
  <w:style w:type="character" w:customStyle="1" w:styleId="117">
    <w:name w:val="fwsxcddmath02"/>
    <w:basedOn w:val="27"/>
    <w:qFormat/>
    <w:uiPriority w:val="0"/>
    <w:rPr>
      <w:szCs w:val="24"/>
    </w:rPr>
  </w:style>
  <w:style w:type="character" w:customStyle="1" w:styleId="118">
    <w:name w:val="fwcdp02c"/>
    <w:basedOn w:val="27"/>
    <w:qFormat/>
    <w:uiPriority w:val="0"/>
    <w:rPr>
      <w:szCs w:val="24"/>
    </w:rPr>
  </w:style>
  <w:style w:type="character" w:customStyle="1" w:styleId="119">
    <w:name w:val="h1501"/>
    <w:basedOn w:val="27"/>
    <w:qFormat/>
    <w:uiPriority w:val="0"/>
    <w:rPr>
      <w:rFonts w:hint="default" w:ascii="ˎ̥" w:hAnsi="ˎ̥"/>
      <w:sz w:val="21"/>
      <w:szCs w:val="21"/>
    </w:rPr>
  </w:style>
  <w:style w:type="character" w:customStyle="1" w:styleId="120">
    <w:name w:val="fwcdp02ahov"/>
    <w:basedOn w:val="27"/>
    <w:qFormat/>
    <w:uiPriority w:val="0"/>
    <w:rPr>
      <w:color w:val="C60003"/>
      <w:szCs w:val="24"/>
    </w:rPr>
  </w:style>
  <w:style w:type="character" w:customStyle="1" w:styleId="121">
    <w:name w:val="gdimgle"/>
    <w:basedOn w:val="27"/>
    <w:qFormat/>
    <w:uiPriority w:val="0"/>
    <w:rPr>
      <w:szCs w:val="24"/>
    </w:rPr>
  </w:style>
  <w:style w:type="character" w:customStyle="1" w:styleId="122">
    <w:name w:val="fdpfyhov"/>
    <w:basedOn w:val="27"/>
    <w:qFormat/>
    <w:uiPriority w:val="0"/>
    <w:rPr>
      <w:color w:val="000000"/>
      <w:szCs w:val="24"/>
      <w:shd w:val="clear" w:color="auto" w:fill="F9DF88"/>
    </w:rPr>
  </w:style>
  <w:style w:type="character" w:customStyle="1" w:styleId="123">
    <w:name w:val="纯文本 Char"/>
    <w:basedOn w:val="27"/>
    <w:link w:val="15"/>
    <w:qFormat/>
    <w:uiPriority w:val="0"/>
    <w:rPr>
      <w:rFonts w:ascii="宋体" w:hAnsi="Courier New" w:eastAsia="宋体"/>
      <w:kern w:val="2"/>
      <w:sz w:val="21"/>
      <w:szCs w:val="24"/>
      <w:lang w:val="en-US" w:eastAsia="zh-CN" w:bidi="ar-SA"/>
    </w:rPr>
  </w:style>
  <w:style w:type="character" w:customStyle="1" w:styleId="124">
    <w:name w:val="fwcdp02b"/>
    <w:basedOn w:val="27"/>
    <w:qFormat/>
    <w:uiPriority w:val="0"/>
    <w:rPr>
      <w:szCs w:val="24"/>
    </w:rPr>
  </w:style>
  <w:style w:type="character" w:customStyle="1" w:styleId="125">
    <w:name w:val="zxtime"/>
    <w:basedOn w:val="27"/>
    <w:qFormat/>
    <w:uiPriority w:val="0"/>
    <w:rPr>
      <w:color w:val="969696"/>
      <w:sz w:val="18"/>
      <w:szCs w:val="18"/>
    </w:rPr>
  </w:style>
  <w:style w:type="character" w:customStyle="1" w:styleId="126">
    <w:name w:val="bsharetext"/>
    <w:basedOn w:val="27"/>
    <w:qFormat/>
    <w:uiPriority w:val="0"/>
  </w:style>
  <w:style w:type="character" w:customStyle="1" w:styleId="127">
    <w:name w:val="topc1_2"/>
    <w:basedOn w:val="27"/>
    <w:qFormat/>
    <w:uiPriority w:val="0"/>
    <w:rPr>
      <w:rFonts w:ascii="黑体" w:hAnsi="宋体" w:eastAsia="黑体" w:cs="黑体"/>
      <w:color w:val="FA3902"/>
      <w:sz w:val="24"/>
      <w:szCs w:val="24"/>
    </w:rPr>
  </w:style>
  <w:style w:type="character" w:customStyle="1" w:styleId="128">
    <w:name w:val="toptit"/>
    <w:basedOn w:val="27"/>
    <w:qFormat/>
    <w:uiPriority w:val="0"/>
  </w:style>
  <w:style w:type="character" w:customStyle="1" w:styleId="129">
    <w:name w:val="toptit1"/>
    <w:basedOn w:val="27"/>
    <w:qFormat/>
    <w:uiPriority w:val="0"/>
    <w:rPr>
      <w:sz w:val="24"/>
      <w:szCs w:val="24"/>
    </w:rPr>
  </w:style>
  <w:style w:type="character" w:customStyle="1" w:styleId="130">
    <w:name w:val="topc0"/>
    <w:basedOn w:val="27"/>
    <w:qFormat/>
    <w:uiPriority w:val="0"/>
    <w:rPr>
      <w:rFonts w:ascii="微软雅黑" w:hAnsi="微软雅黑" w:eastAsia="微软雅黑" w:cs="微软雅黑"/>
      <w:b w:val="0"/>
      <w:color w:val="737373"/>
      <w:sz w:val="22"/>
      <w:szCs w:val="22"/>
    </w:rPr>
  </w:style>
  <w:style w:type="character" w:customStyle="1" w:styleId="131">
    <w:name w:val="topc1"/>
    <w:basedOn w:val="27"/>
    <w:qFormat/>
    <w:uiPriority w:val="0"/>
    <w:rPr>
      <w:rFonts w:hint="eastAsia" w:ascii="微软雅黑" w:hAnsi="微软雅黑" w:eastAsia="微软雅黑" w:cs="微软雅黑"/>
      <w:color w:val="FFFFFF"/>
      <w:spacing w:val="11"/>
      <w:sz w:val="22"/>
      <w:szCs w:val="22"/>
      <w:shd w:val="clear" w:fill="E74A05"/>
    </w:rPr>
  </w:style>
  <w:style w:type="character" w:customStyle="1" w:styleId="132">
    <w:name w:val="topc11"/>
    <w:basedOn w:val="27"/>
    <w:qFormat/>
    <w:uiPriority w:val="0"/>
    <w:rPr>
      <w:rFonts w:hint="eastAsia" w:ascii="黑体" w:hAnsi="宋体" w:eastAsia="黑体" w:cs="黑体"/>
      <w:color w:val="FA3902"/>
      <w:sz w:val="24"/>
      <w:szCs w:val="24"/>
    </w:rPr>
  </w:style>
  <w:style w:type="character" w:customStyle="1" w:styleId="133">
    <w:name w:val="topc1_3"/>
    <w:basedOn w:val="27"/>
    <w:qFormat/>
    <w:uiPriority w:val="0"/>
    <w:rPr>
      <w:color w:val="B80002"/>
      <w:spacing w:val="11"/>
      <w:sz w:val="21"/>
      <w:szCs w:val="21"/>
      <w:bdr w:val="single" w:color="0A8DD3" w:sz="6" w:space="0"/>
      <w:shd w:val="clear" w:fill="FFFFFF"/>
    </w:rPr>
  </w:style>
  <w:style w:type="character" w:customStyle="1" w:styleId="134">
    <w:name w:val="toptit_3"/>
    <w:basedOn w:val="27"/>
    <w:qFormat/>
    <w:uiPriority w:val="0"/>
  </w:style>
  <w:style w:type="character" w:customStyle="1" w:styleId="135">
    <w:name w:val="topc0_3"/>
    <w:basedOn w:val="27"/>
    <w:qFormat/>
    <w:uiPriority w:val="0"/>
    <w:rPr>
      <w:color w:val="000000"/>
      <w:sz w:val="21"/>
      <w:szCs w:val="21"/>
    </w:rPr>
  </w:style>
  <w:style w:type="character" w:customStyle="1" w:styleId="136">
    <w:name w:val="topc0_normal"/>
    <w:basedOn w:val="27"/>
    <w:qFormat/>
    <w:uiPriority w:val="0"/>
    <w:rPr>
      <w:rFonts w:hint="eastAsia" w:ascii="黑体" w:hAnsi="宋体" w:eastAsia="黑体" w:cs="黑体"/>
      <w:color w:val="939192"/>
      <w:sz w:val="24"/>
      <w:szCs w:val="24"/>
    </w:rPr>
  </w:style>
  <w:style w:type="character" w:customStyle="1" w:styleId="137">
    <w:name w:val="toptit_normal"/>
    <w:basedOn w:val="27"/>
    <w:qFormat/>
    <w:uiPriority w:val="0"/>
  </w:style>
  <w:style w:type="character" w:customStyle="1" w:styleId="138">
    <w:name w:val="topc1_normal"/>
    <w:basedOn w:val="27"/>
    <w:qFormat/>
    <w:uiPriority w:val="0"/>
    <w:rPr>
      <w:rFonts w:hint="eastAsia" w:ascii="黑体" w:hAnsi="宋体" w:eastAsia="黑体" w:cs="黑体"/>
      <w:color w:val="FA3902"/>
      <w:sz w:val="24"/>
      <w:szCs w:val="24"/>
    </w:rPr>
  </w:style>
  <w:style w:type="character" w:customStyle="1" w:styleId="139">
    <w:name w:val="topc0_2"/>
    <w:basedOn w:val="27"/>
    <w:qFormat/>
    <w:uiPriority w:val="0"/>
    <w:rPr>
      <w:rFonts w:hint="eastAsia" w:ascii="黑体" w:hAnsi="宋体" w:eastAsia="黑体" w:cs="黑体"/>
      <w:color w:val="939192"/>
      <w:sz w:val="24"/>
      <w:szCs w:val="24"/>
    </w:rPr>
  </w:style>
  <w:style w:type="character" w:customStyle="1" w:styleId="140">
    <w:name w:val="toptit_2"/>
    <w:basedOn w:val="27"/>
    <w:qFormat/>
    <w:uiPriority w:val="0"/>
  </w:style>
  <w:style w:type="character" w:customStyle="1" w:styleId="141">
    <w:name w:val="toptit_top"/>
    <w:basedOn w:val="27"/>
    <w:qFormat/>
    <w:uiPriority w:val="0"/>
  </w:style>
  <w:style w:type="character" w:customStyle="1" w:styleId="142">
    <w:name w:val="topc0_top"/>
    <w:basedOn w:val="27"/>
    <w:qFormat/>
    <w:uiPriority w:val="0"/>
    <w:rPr>
      <w:rFonts w:hint="eastAsia" w:ascii="黑体" w:hAnsi="宋体" w:eastAsia="黑体" w:cs="黑体"/>
      <w:color w:val="939192"/>
      <w:sz w:val="27"/>
      <w:szCs w:val="27"/>
    </w:rPr>
  </w:style>
  <w:style w:type="character" w:customStyle="1" w:styleId="143">
    <w:name w:val="topc1_top"/>
    <w:basedOn w:val="27"/>
    <w:qFormat/>
    <w:uiPriority w:val="0"/>
    <w:rPr>
      <w:rFonts w:hint="eastAsia" w:ascii="黑体" w:hAnsi="宋体" w:eastAsia="黑体" w:cs="黑体"/>
      <w:color w:val="FA3902"/>
      <w:sz w:val="27"/>
      <w:szCs w:val="27"/>
    </w:rPr>
  </w:style>
  <w:style w:type="character" w:customStyle="1" w:styleId="144">
    <w:name w:val="topc07"/>
    <w:basedOn w:val="27"/>
    <w:qFormat/>
    <w:uiPriority w:val="0"/>
    <w:rPr>
      <w:rFonts w:ascii="微软雅黑" w:hAnsi="微软雅黑" w:eastAsia="微软雅黑" w:cs="微软雅黑"/>
      <w:b w:val="0"/>
      <w:color w:val="737373"/>
      <w:sz w:val="22"/>
      <w:szCs w:val="22"/>
    </w:rPr>
  </w:style>
  <w:style w:type="character" w:customStyle="1" w:styleId="145">
    <w:name w:val="topc17"/>
    <w:basedOn w:val="27"/>
    <w:qFormat/>
    <w:uiPriority w:val="0"/>
    <w:rPr>
      <w:rFonts w:hint="eastAsia" w:ascii="微软雅黑" w:hAnsi="微软雅黑" w:eastAsia="微软雅黑" w:cs="微软雅黑"/>
      <w:color w:val="FFFFFF"/>
      <w:spacing w:val="11"/>
      <w:sz w:val="22"/>
      <w:szCs w:val="22"/>
      <w:shd w:val="clear" w:fill="E74A05"/>
    </w:rPr>
  </w:style>
  <w:style w:type="character" w:customStyle="1" w:styleId="146">
    <w:name w:val="topc18"/>
    <w:basedOn w:val="27"/>
    <w:qFormat/>
    <w:uiPriority w:val="0"/>
    <w:rPr>
      <w:rFonts w:ascii="黑体" w:hAnsi="宋体" w:eastAsia="黑体" w:cs="黑体"/>
      <w:color w:val="FA3902"/>
      <w:sz w:val="24"/>
      <w:szCs w:val="24"/>
    </w:rPr>
  </w:style>
  <w:style w:type="character" w:customStyle="1" w:styleId="147">
    <w:name w:val="toptit_32"/>
    <w:basedOn w:val="27"/>
    <w:qFormat/>
    <w:uiPriority w:val="0"/>
  </w:style>
  <w:style w:type="character" w:customStyle="1" w:styleId="148">
    <w:name w:val="font21"/>
    <w:basedOn w:val="27"/>
    <w:qFormat/>
    <w:uiPriority w:val="0"/>
    <w:rPr>
      <w:rFonts w:hint="default" w:ascii="仿宋_GB2312" w:eastAsia="仿宋_GB2312" w:cs="仿宋_GB2312"/>
      <w:color w:val="000000"/>
      <w:sz w:val="21"/>
      <w:szCs w:val="21"/>
      <w:u w:val="none"/>
    </w:rPr>
  </w:style>
  <w:style w:type="character" w:customStyle="1" w:styleId="149">
    <w:name w:val="font01"/>
    <w:basedOn w:val="27"/>
    <w:qFormat/>
    <w:uiPriority w:val="0"/>
    <w:rPr>
      <w:rFonts w:hint="eastAsia" w:ascii="宋体" w:hAnsi="宋体" w:eastAsia="宋体" w:cs="宋体"/>
      <w:color w:val="000000"/>
      <w:sz w:val="21"/>
      <w:szCs w:val="21"/>
      <w:u w:val="none"/>
    </w:rPr>
  </w:style>
  <w:style w:type="character" w:customStyle="1" w:styleId="150">
    <w:name w:val="span1"/>
    <w:basedOn w:val="27"/>
    <w:qFormat/>
    <w:uiPriority w:val="0"/>
    <w:rPr>
      <w:color w:val="1C1C1C"/>
      <w:sz w:val="21"/>
      <w:szCs w:val="21"/>
    </w:rPr>
  </w:style>
  <w:style w:type="character" w:customStyle="1" w:styleId="151">
    <w:name w:val="font31"/>
    <w:basedOn w:val="27"/>
    <w:qFormat/>
    <w:uiPriority w:val="0"/>
    <w:rPr>
      <w:rFonts w:hint="default" w:ascii="仿宋_GB2312" w:eastAsia="仿宋_GB2312" w:cs="仿宋_GB2312"/>
      <w:color w:val="000000"/>
      <w:sz w:val="21"/>
      <w:szCs w:val="21"/>
      <w:u w:val="none"/>
    </w:rPr>
  </w:style>
  <w:style w:type="character" w:customStyle="1" w:styleId="152">
    <w:name w:val="font41"/>
    <w:basedOn w:val="27"/>
    <w:qFormat/>
    <w:uiPriority w:val="0"/>
    <w:rPr>
      <w:rFonts w:hint="eastAsia" w:ascii="宋体" w:hAnsi="宋体" w:eastAsia="宋体" w:cs="宋体"/>
      <w:color w:val="000000"/>
      <w:sz w:val="21"/>
      <w:szCs w:val="21"/>
      <w:u w:val="none"/>
    </w:rPr>
  </w:style>
  <w:style w:type="character" w:customStyle="1" w:styleId="153">
    <w:name w:val="font11"/>
    <w:basedOn w:val="27"/>
    <w:qFormat/>
    <w:uiPriority w:val="0"/>
    <w:rPr>
      <w:rFonts w:hint="default" w:ascii="仿宋_GB2312" w:eastAsia="仿宋_GB2312" w:cs="仿宋_GB2312"/>
      <w:color w:val="000000"/>
      <w:sz w:val="21"/>
      <w:szCs w:val="21"/>
      <w:u w:val="none"/>
    </w:rPr>
  </w:style>
  <w:style w:type="character" w:customStyle="1" w:styleId="154">
    <w:name w:val="font51"/>
    <w:basedOn w:val="2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26</Pages>
  <Words>11049</Words>
  <Characters>12010</Characters>
  <Lines>124</Lines>
  <Paragraphs>35</Paragraphs>
  <TotalTime>4</TotalTime>
  <ScaleCrop>false</ScaleCrop>
  <LinksUpToDate>false</LinksUpToDate>
  <CharactersWithSpaces>12202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2016-10-10T07:33:00Z</dcterms:created>
  <dc:creator>PC</dc:creator>
  <cp:lastModifiedBy>Administrator</cp:lastModifiedBy>
  <cp:lastPrinted>2021-11-08T07:29:00Z</cp:lastPrinted>
  <dcterms:modified xsi:type="dcterms:W3CDTF">2022-06-09T02:32:31Z</dcterms:modified>
  <dc:title>房地产估价报告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92DC805FA43E4AB79A6F7DA5AD8065AD</vt:lpwstr>
  </property>
  <property fmtid="{D5CDD505-2E9C-101B-9397-08002B2CF9AE}" pid="4" name="commondata">
    <vt:lpwstr>eyJoZGlkIjoiNWQyOGUzZDk3ODA3OWUyZWQwMGU1MTU1MjAyM2UyYzQifQ==</vt:lpwstr>
  </property>
</Properties>
</file>