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bCs/>
          <w:spacing w:val="40"/>
          <w:sz w:val="52"/>
        </w:rPr>
      </w:pPr>
    </w:p>
    <w:p>
      <w:pPr>
        <w:spacing w:line="600" w:lineRule="exact"/>
        <w:jc w:val="center"/>
        <w:rPr>
          <w:rFonts w:ascii="黑体" w:eastAsia="黑体"/>
          <w:bCs/>
          <w:spacing w:val="40"/>
          <w:sz w:val="52"/>
        </w:rPr>
      </w:pPr>
    </w:p>
    <w:p>
      <w:pPr>
        <w:spacing w:line="600" w:lineRule="exact"/>
        <w:jc w:val="center"/>
        <w:rPr>
          <w:rFonts w:ascii="黑体" w:eastAsia="黑体"/>
          <w:bCs/>
          <w:spacing w:val="40"/>
          <w:sz w:val="52"/>
        </w:rPr>
      </w:pPr>
    </w:p>
    <w:p>
      <w:pPr>
        <w:spacing w:line="600" w:lineRule="exact"/>
        <w:jc w:val="center"/>
        <w:rPr>
          <w:rFonts w:ascii="黑体" w:eastAsia="黑体"/>
          <w:bCs/>
          <w:spacing w:val="40"/>
          <w:sz w:val="52"/>
        </w:rPr>
      </w:pPr>
    </w:p>
    <w:p>
      <w:pPr>
        <w:spacing w:line="600" w:lineRule="exact"/>
        <w:jc w:val="center"/>
        <w:rPr>
          <w:rFonts w:ascii="黑体" w:eastAsia="黑体"/>
          <w:bCs/>
          <w:spacing w:val="40"/>
          <w:sz w:val="52"/>
        </w:rPr>
      </w:pPr>
      <w:r>
        <w:rPr>
          <w:rFonts w:hint="eastAsia" w:ascii="黑体" w:eastAsia="黑体"/>
          <w:bCs/>
          <w:spacing w:val="40"/>
          <w:sz w:val="52"/>
        </w:rPr>
        <w:t>涉执房地产处置司法</w:t>
      </w:r>
    </w:p>
    <w:p>
      <w:pPr>
        <w:spacing w:line="600" w:lineRule="exact"/>
        <w:jc w:val="center"/>
        <w:rPr>
          <w:rFonts w:ascii="黑体" w:eastAsia="黑体"/>
          <w:bCs/>
          <w:spacing w:val="40"/>
          <w:sz w:val="52"/>
        </w:rPr>
      </w:pPr>
      <w:r>
        <w:rPr>
          <w:rFonts w:hint="eastAsia" w:ascii="黑体" w:eastAsia="黑体"/>
          <w:bCs/>
          <w:spacing w:val="40"/>
          <w:sz w:val="52"/>
        </w:rPr>
        <w:t>评估报告</w:t>
      </w:r>
    </w:p>
    <w:p>
      <w:pPr>
        <w:spacing w:line="600" w:lineRule="exact"/>
        <w:rPr>
          <w:rFonts w:ascii="楷体_GB2312" w:eastAsia="楷体_GB2312"/>
          <w:sz w:val="24"/>
        </w:rPr>
      </w:pPr>
    </w:p>
    <w:p>
      <w:pPr>
        <w:spacing w:line="600" w:lineRule="exact"/>
        <w:rPr>
          <w:rFonts w:ascii="楷体_GB2312" w:eastAsia="楷体_GB2312"/>
          <w:sz w:val="24"/>
        </w:rPr>
      </w:pPr>
    </w:p>
    <w:p>
      <w:pPr>
        <w:spacing w:line="600" w:lineRule="exact"/>
        <w:rPr>
          <w:rFonts w:ascii="楷体_GB2312" w:eastAsia="楷体_GB2312"/>
          <w:sz w:val="24"/>
        </w:rPr>
      </w:pPr>
    </w:p>
    <w:p>
      <w:pPr>
        <w:spacing w:line="600" w:lineRule="exact"/>
        <w:ind w:left="1680" w:leftChars="800"/>
        <w:rPr>
          <w:rFonts w:ascii="楷体_GB2312" w:eastAsia="楷体_GB2312"/>
          <w:sz w:val="24"/>
        </w:rPr>
      </w:pPr>
    </w:p>
    <w:p>
      <w:pPr>
        <w:spacing w:line="640" w:lineRule="exact"/>
        <w:ind w:left="3395" w:leftChars="550" w:right="-315" w:rightChars="-150" w:hanging="2240" w:hangingChars="700"/>
        <w:rPr>
          <w:rFonts w:ascii="楷体_GB2312" w:eastAsia="楷体_GB2312"/>
          <w:sz w:val="32"/>
          <w:szCs w:val="32"/>
        </w:rPr>
      </w:pPr>
      <w:r>
        <w:rPr>
          <w:rFonts w:hint="eastAsia" w:ascii="楷体_GB2312" w:eastAsia="楷体_GB2312"/>
          <w:sz w:val="32"/>
          <w:szCs w:val="32"/>
        </w:rPr>
        <w:t>估价报告编号：湘天信202</w:t>
      </w:r>
      <w:r>
        <w:rPr>
          <w:rFonts w:ascii="楷体_GB2312" w:eastAsia="楷体_GB2312"/>
          <w:sz w:val="32"/>
          <w:szCs w:val="32"/>
        </w:rPr>
        <w:t>2</w:t>
      </w:r>
      <w:r>
        <w:rPr>
          <w:rFonts w:hint="eastAsia" w:ascii="楷体_GB2312" w:eastAsia="楷体_GB2312"/>
          <w:sz w:val="32"/>
          <w:szCs w:val="32"/>
        </w:rPr>
        <w:t>（鉴）字第</w:t>
      </w:r>
      <w:r>
        <w:rPr>
          <w:rFonts w:ascii="楷体_GB2312" w:eastAsia="楷体_GB2312"/>
          <w:sz w:val="32"/>
          <w:szCs w:val="32"/>
        </w:rPr>
        <w:t>GZ1-002</w:t>
      </w:r>
      <w:r>
        <w:rPr>
          <w:rFonts w:hint="eastAsia" w:ascii="楷体_GB2312" w:eastAsia="楷体_GB2312"/>
          <w:sz w:val="32"/>
          <w:szCs w:val="32"/>
        </w:rPr>
        <w:t>号</w:t>
      </w:r>
    </w:p>
    <w:p>
      <w:pPr>
        <w:spacing w:line="640" w:lineRule="exact"/>
        <w:ind w:left="3570" w:leftChars="550" w:right="-315" w:rightChars="-150" w:hanging="2415" w:hangingChars="1150"/>
        <w:rPr>
          <w:rFonts w:ascii="楷体_GB2312" w:eastAsia="楷体_GB2312"/>
          <w:sz w:val="32"/>
          <w:szCs w:val="32"/>
        </w:rPr>
      </w:pPr>
      <w:r>
        <w:pict>
          <v:line id="_x0000_s2050" o:spid="_x0000_s2050" o:spt="20" style="position:absolute;left:0pt;margin-left:120.75pt;margin-top:0pt;height:0pt;width:0.05pt;z-index:251659264;mso-width-relative:page;mso-height-relative:page;" coordsize="21600,21600" o:allowincell="f">
            <v:path arrowok="t"/>
            <v:fill focussize="0,0"/>
            <v:stroke/>
            <v:imagedata o:title=""/>
            <o:lock v:ext="edit"/>
          </v:line>
        </w:pict>
      </w:r>
      <w:r>
        <w:rPr>
          <w:rFonts w:hint="eastAsia" w:ascii="楷体_GB2312" w:eastAsia="楷体_GB2312"/>
          <w:sz w:val="32"/>
          <w:szCs w:val="32"/>
        </w:rPr>
        <w:t>估价项目名称：贵州省龙里县龙山镇青龙路A幢整栋1-5层及B幢整栋1-3层共两栋房地产市场价值估价</w:t>
      </w:r>
    </w:p>
    <w:p>
      <w:pPr>
        <w:tabs>
          <w:tab w:val="left" w:pos="2880"/>
        </w:tabs>
        <w:spacing w:line="640" w:lineRule="exact"/>
        <w:ind w:left="4035" w:leftChars="550" w:right="-315" w:rightChars="-150" w:hanging="2880" w:hangingChars="720"/>
        <w:jc w:val="left"/>
        <w:rPr>
          <w:rFonts w:ascii="楷体_GB2312" w:eastAsia="楷体_GB2312"/>
          <w:sz w:val="32"/>
          <w:szCs w:val="32"/>
        </w:rPr>
      </w:pPr>
      <w:r>
        <w:rPr>
          <w:rFonts w:hint="eastAsia" w:ascii="楷体_GB2312" w:eastAsia="楷体_GB2312"/>
          <w:spacing w:val="40"/>
          <w:kern w:val="0"/>
          <w:sz w:val="32"/>
          <w:szCs w:val="32"/>
        </w:rPr>
        <w:t>估价委托人</w:t>
      </w:r>
      <w:r>
        <w:rPr>
          <w:rFonts w:hint="eastAsia" w:ascii="楷体_GB2312" w:eastAsia="楷体_GB2312"/>
          <w:sz w:val="32"/>
          <w:szCs w:val="32"/>
        </w:rPr>
        <w:t>：贵州省龙里县人民法院</w:t>
      </w:r>
    </w:p>
    <w:p>
      <w:pPr>
        <w:tabs>
          <w:tab w:val="left" w:pos="3045"/>
        </w:tabs>
        <w:spacing w:line="640" w:lineRule="exact"/>
        <w:ind w:left="3459" w:leftChars="550" w:right="-315" w:rightChars="-150" w:hanging="2304" w:hangingChars="720"/>
        <w:jc w:val="left"/>
        <w:rPr>
          <w:rFonts w:ascii="楷体_GB2312" w:eastAsia="楷体_GB2312"/>
          <w:sz w:val="32"/>
          <w:szCs w:val="32"/>
        </w:rPr>
      </w:pPr>
      <w:r>
        <w:rPr>
          <w:rFonts w:hint="eastAsia" w:ascii="楷体_GB2312" w:eastAsia="楷体_GB2312"/>
          <w:sz w:val="32"/>
          <w:szCs w:val="32"/>
        </w:rPr>
        <w:t>房地产估价机构：天信房地产土地资产评估有限公司</w:t>
      </w:r>
    </w:p>
    <w:p>
      <w:pPr>
        <w:tabs>
          <w:tab w:val="left" w:pos="3045"/>
          <w:tab w:val="left" w:pos="7513"/>
        </w:tabs>
        <w:spacing w:line="640" w:lineRule="exact"/>
        <w:ind w:left="3459" w:leftChars="550" w:right="-315" w:rightChars="-150" w:hanging="2304" w:hangingChars="720"/>
        <w:jc w:val="left"/>
        <w:rPr>
          <w:rFonts w:ascii="楷体_GB2312" w:eastAsia="楷体_GB2312"/>
          <w:spacing w:val="10"/>
          <w:sz w:val="32"/>
          <w:szCs w:val="32"/>
        </w:rPr>
      </w:pPr>
      <w:r>
        <w:rPr>
          <w:rFonts w:hint="eastAsia" w:ascii="楷体_GB2312" w:eastAsia="楷体_GB2312"/>
          <w:sz w:val="32"/>
          <w:szCs w:val="32"/>
        </w:rPr>
        <w:t>注册房地产估价师</w:t>
      </w:r>
      <w:r>
        <w:rPr>
          <w:rFonts w:hint="eastAsia" w:ascii="楷体_GB2312" w:eastAsia="楷体_GB2312"/>
          <w:spacing w:val="10"/>
          <w:sz w:val="32"/>
          <w:szCs w:val="32"/>
        </w:rPr>
        <w:t>：</w:t>
      </w:r>
      <w:r>
        <w:rPr>
          <w:rFonts w:hint="eastAsia" w:ascii="楷体_GB2312" w:eastAsia="楷体_GB2312"/>
          <w:sz w:val="32"/>
          <w:szCs w:val="32"/>
        </w:rPr>
        <w:t xml:space="preserve">贺 </w:t>
      </w:r>
      <w:r>
        <w:rPr>
          <w:rFonts w:ascii="楷体_GB2312" w:eastAsia="楷体_GB2312"/>
          <w:sz w:val="32"/>
          <w:szCs w:val="32"/>
        </w:rPr>
        <w:t xml:space="preserve"> </w:t>
      </w:r>
      <w:r>
        <w:rPr>
          <w:rFonts w:hint="eastAsia" w:ascii="楷体_GB2312" w:eastAsia="楷体_GB2312"/>
          <w:sz w:val="32"/>
          <w:szCs w:val="32"/>
        </w:rPr>
        <w:t>方（注册号：</w:t>
      </w:r>
      <w:r>
        <w:rPr>
          <w:rFonts w:ascii="楷体_GB2312" w:eastAsia="楷体_GB2312"/>
          <w:sz w:val="32"/>
          <w:szCs w:val="32"/>
        </w:rPr>
        <w:t>4320090011</w:t>
      </w:r>
      <w:r>
        <w:rPr>
          <w:rFonts w:hint="eastAsia" w:ascii="楷体_GB2312" w:eastAsia="楷体_GB2312"/>
          <w:sz w:val="32"/>
          <w:szCs w:val="32"/>
        </w:rPr>
        <w:t>）</w:t>
      </w:r>
    </w:p>
    <w:p>
      <w:pPr>
        <w:tabs>
          <w:tab w:val="left" w:pos="3045"/>
          <w:tab w:val="left" w:pos="7513"/>
        </w:tabs>
        <w:spacing w:line="640" w:lineRule="exact"/>
        <w:ind w:left="1155" w:leftChars="550" w:right="-315" w:rightChars="-150" w:firstLine="2880" w:firstLineChars="900"/>
        <w:jc w:val="left"/>
        <w:rPr>
          <w:rFonts w:ascii="楷体_GB2312" w:eastAsia="楷体_GB2312"/>
          <w:color w:val="000000"/>
          <w:sz w:val="32"/>
          <w:szCs w:val="32"/>
        </w:rPr>
      </w:pPr>
      <w:r>
        <w:rPr>
          <w:rFonts w:hint="eastAsia" w:ascii="楷体_GB2312" w:eastAsia="楷体_GB2312"/>
          <w:color w:val="000000"/>
          <w:sz w:val="32"/>
          <w:szCs w:val="32"/>
        </w:rPr>
        <w:t>岳新美（</w:t>
      </w:r>
      <w:r>
        <w:rPr>
          <w:rFonts w:hint="eastAsia" w:ascii="楷体_GB2312" w:eastAsia="楷体_GB2312"/>
          <w:sz w:val="32"/>
          <w:szCs w:val="32"/>
        </w:rPr>
        <w:t>注册号：</w:t>
      </w:r>
      <w:r>
        <w:rPr>
          <w:rFonts w:ascii="楷体_GB2312" w:eastAsia="楷体_GB2312"/>
          <w:color w:val="000000"/>
          <w:sz w:val="32"/>
          <w:szCs w:val="32"/>
        </w:rPr>
        <w:t>4320190037</w:t>
      </w:r>
      <w:r>
        <w:rPr>
          <w:rFonts w:hint="eastAsia" w:ascii="楷体_GB2312" w:eastAsia="楷体_GB2312"/>
          <w:color w:val="000000"/>
          <w:sz w:val="32"/>
          <w:szCs w:val="32"/>
        </w:rPr>
        <w:t>）</w:t>
      </w:r>
    </w:p>
    <w:p>
      <w:pPr>
        <w:tabs>
          <w:tab w:val="left" w:pos="3045"/>
          <w:tab w:val="left" w:pos="7513"/>
        </w:tabs>
        <w:spacing w:line="640" w:lineRule="exact"/>
        <w:ind w:left="1155" w:leftChars="550" w:right="-315" w:rightChars="-150"/>
        <w:jc w:val="left"/>
        <w:rPr>
          <w:rFonts w:ascii="楷体_GB2312" w:eastAsia="楷体_GB2312"/>
          <w:color w:val="000000"/>
          <w:sz w:val="32"/>
          <w:szCs w:val="32"/>
        </w:rPr>
      </w:pPr>
      <w:r>
        <w:rPr>
          <w:rFonts w:hint="eastAsia" w:ascii="楷体_GB2312" w:eastAsia="楷体_GB2312"/>
          <w:sz w:val="32"/>
          <w:szCs w:val="32"/>
        </w:rPr>
        <w:t>估价报告出具日期：二〇二二年六月二日</w:t>
      </w:r>
    </w:p>
    <w:p/>
    <w:p>
      <w:pPr>
        <w:sectPr>
          <w:headerReference r:id="rId4" w:type="first"/>
          <w:headerReference r:id="rId3" w:type="default"/>
          <w:footerReference r:id="rId5" w:type="default"/>
          <w:pgSz w:w="11906" w:h="16838"/>
          <w:pgMar w:top="1440" w:right="1797" w:bottom="1440" w:left="1797" w:header="851" w:footer="992" w:gutter="0"/>
          <w:cols w:space="425" w:num="1"/>
          <w:titlePg/>
          <w:docGrid w:type="lines" w:linePitch="312" w:charSpace="0"/>
        </w:sectPr>
      </w:pPr>
    </w:p>
    <w:p>
      <w:bookmarkStart w:id="0" w:name="_Hlk89182580"/>
    </w:p>
    <w:p>
      <w:pPr>
        <w:adjustRightInd w:val="0"/>
        <w:spacing w:line="360" w:lineRule="auto"/>
        <w:ind w:firstLine="560" w:firstLineChars="200"/>
        <w:rPr>
          <w:rFonts w:ascii="楷体_GB2312" w:eastAsia="楷体_GB2312"/>
          <w:sz w:val="28"/>
        </w:rPr>
      </w:pPr>
      <w:r>
        <w:rPr>
          <w:rFonts w:ascii="楷体_GB2312" w:eastAsia="楷体_GB2312"/>
          <w:sz w:val="28"/>
        </w:rPr>
        <w:t xml:space="preserve">                           </w:t>
      </w:r>
    </w:p>
    <w:p>
      <w:pPr>
        <w:rPr>
          <w:rFonts w:ascii="楷体_GB2312" w:eastAsia="楷体_GB2312"/>
          <w:b/>
          <w:bCs/>
          <w:sz w:val="28"/>
        </w:rPr>
      </w:pPr>
    </w:p>
    <w:p>
      <w:pPr>
        <w:rPr>
          <w:rFonts w:ascii="楷体_GB2312" w:eastAsia="楷体_GB2312"/>
          <w:b/>
          <w:bCs/>
          <w:sz w:val="28"/>
        </w:rPr>
      </w:pPr>
    </w:p>
    <w:p>
      <w:pPr>
        <w:pStyle w:val="16"/>
        <w:jc w:val="center"/>
        <w:rPr>
          <w:rFonts w:ascii="黑体" w:eastAsia="黑体"/>
          <w:b/>
          <w:bCs/>
          <w:sz w:val="36"/>
          <w:szCs w:val="36"/>
        </w:rPr>
      </w:pPr>
    </w:p>
    <w:bookmarkEnd w:id="0"/>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jc w:val="center"/>
        <w:rPr>
          <w:rFonts w:ascii="黑体" w:eastAsia="黑体"/>
          <w:b/>
          <w:bCs/>
          <w:sz w:val="36"/>
          <w:szCs w:val="36"/>
        </w:rPr>
      </w:pPr>
    </w:p>
    <w:p>
      <w:pPr>
        <w:pStyle w:val="16"/>
        <w:rPr>
          <w:rFonts w:ascii="黑体" w:eastAsia="黑体"/>
          <w:b/>
          <w:bCs/>
          <w:sz w:val="36"/>
          <w:szCs w:val="36"/>
        </w:rPr>
      </w:pPr>
    </w:p>
    <w:p>
      <w:pPr>
        <w:pStyle w:val="16"/>
        <w:rPr>
          <w:rFonts w:ascii="黑体" w:eastAsia="黑体"/>
          <w:b/>
          <w:bCs/>
          <w:sz w:val="36"/>
          <w:szCs w:val="36"/>
        </w:rPr>
      </w:pPr>
    </w:p>
    <w:p>
      <w:pPr>
        <w:pStyle w:val="16"/>
        <w:spacing w:line="700" w:lineRule="exact"/>
        <w:jc w:val="center"/>
        <w:rPr>
          <w:sz w:val="36"/>
          <w:szCs w:val="36"/>
        </w:rPr>
      </w:pPr>
      <w:r>
        <w:rPr>
          <w:rFonts w:hint="eastAsia" w:ascii="黑体" w:eastAsia="黑体"/>
          <w:b/>
          <w:bCs/>
          <w:sz w:val="36"/>
          <w:szCs w:val="36"/>
        </w:rPr>
        <w:t>致估价委托人函</w:t>
      </w:r>
    </w:p>
    <w:p>
      <w:pPr>
        <w:adjustRightInd w:val="0"/>
        <w:spacing w:line="520" w:lineRule="exact"/>
        <w:rPr>
          <w:rFonts w:ascii="楷体_GB2312" w:eastAsia="楷体_GB2312"/>
          <w:sz w:val="28"/>
        </w:rPr>
      </w:pPr>
      <w:r>
        <w:rPr>
          <w:rFonts w:hint="eastAsia" w:ascii="楷体_GB2312" w:eastAsia="楷体_GB2312"/>
          <w:sz w:val="28"/>
        </w:rPr>
        <w:t>贵州省龙里县人民法院：</w:t>
      </w:r>
    </w:p>
    <w:p>
      <w:pPr>
        <w:adjustRightInd w:val="0"/>
        <w:spacing w:line="600" w:lineRule="exact"/>
        <w:ind w:firstLine="560" w:firstLineChars="200"/>
        <w:rPr>
          <w:rFonts w:ascii="楷体_GB2312" w:eastAsia="楷体_GB2312"/>
          <w:sz w:val="28"/>
        </w:rPr>
      </w:pPr>
      <w:bookmarkStart w:id="1" w:name="_Hlk88570552"/>
      <w:r>
        <w:rPr>
          <w:rFonts w:hint="eastAsia" w:ascii="楷体_GB2312" w:eastAsia="楷体_GB2312"/>
          <w:sz w:val="28"/>
        </w:rPr>
        <w:t>承蒙委托，我公司</w:t>
      </w:r>
      <w:r>
        <w:rPr>
          <w:rFonts w:hint="eastAsia" w:ascii="楷体_GB2312" w:eastAsia="楷体_GB2312"/>
          <w:sz w:val="28"/>
          <w:szCs w:val="22"/>
        </w:rPr>
        <w:t>注册房地产估价师遵循估价原则，按照估价程序，采用了比较法和收益</w:t>
      </w:r>
      <w:r>
        <w:rPr>
          <w:rFonts w:hint="eastAsia" w:ascii="楷体_GB2312" w:eastAsia="楷体_GB2312"/>
          <w:sz w:val="28"/>
        </w:rPr>
        <w:t>法的估价方法，对贵院委托的朱勇单独所有的位于贵州省龙里县龙山镇青龙路A幢整栋1-5层及B幢整栋1-3层共两栋房地产市场价值进</w:t>
      </w:r>
      <w:bookmarkEnd w:id="1"/>
      <w:r>
        <w:rPr>
          <w:rFonts w:hint="eastAsia" w:ascii="楷体_GB2312" w:eastAsia="楷体_GB2312"/>
          <w:sz w:val="28"/>
        </w:rPr>
        <w:t>行了评估，总建筑面积为924.54平方米，价值时点为2022年05月19日。</w:t>
      </w:r>
    </w:p>
    <w:p>
      <w:pPr>
        <w:adjustRightInd w:val="0"/>
        <w:spacing w:line="460" w:lineRule="exact"/>
        <w:ind w:firstLine="560" w:firstLineChars="200"/>
        <w:rPr>
          <w:rFonts w:ascii="楷体_GB2312" w:eastAsia="楷体_GB2312"/>
          <w:sz w:val="28"/>
        </w:rPr>
      </w:pPr>
      <w:r>
        <w:rPr>
          <w:rFonts w:hint="eastAsia" w:ascii="楷体_GB2312" w:eastAsia="楷体_GB2312"/>
          <w:sz w:val="28"/>
        </w:rPr>
        <w:t>估价目的：为人民法院确定财产处置参考价提供参考依据。</w:t>
      </w:r>
    </w:p>
    <w:p>
      <w:pPr>
        <w:adjustRightInd w:val="0"/>
        <w:spacing w:line="600" w:lineRule="exact"/>
        <w:ind w:firstLine="560" w:firstLineChars="200"/>
        <w:rPr>
          <w:rFonts w:ascii="楷体_GB2312" w:eastAsia="楷体_GB2312"/>
          <w:sz w:val="28"/>
        </w:rPr>
      </w:pPr>
      <w:r>
        <w:rPr>
          <w:rFonts w:hint="eastAsia" w:ascii="楷体_GB2312" w:eastAsia="楷体_GB2312"/>
          <w:sz w:val="28"/>
        </w:rPr>
        <w:t>经注册房地产估价师现场勘察和市场调查，本着独立、客观、公正、合法的原则，在认真分析现有资料的基础上，结合估价经验，并综合考虑房地产市场价格影响因素的影响，通过认真测算，本公司确认估价对象在市场上有足够的买方和卖方，并且进入市场无障碍的前提下，于价值时点的估价结果为</w:t>
      </w:r>
      <w:r>
        <w:rPr>
          <w:rFonts w:hint="eastAsia" w:ascii="楷体_GB2312" w:eastAsia="楷体_GB2312"/>
          <w:b/>
          <w:bCs/>
          <w:sz w:val="28"/>
        </w:rPr>
        <w:t>人民币</w:t>
      </w:r>
      <w:r>
        <w:rPr>
          <w:rFonts w:hint="eastAsia" w:ascii="楷体_GB2312" w:eastAsia="楷体_GB2312"/>
          <w:b/>
          <w:bCs/>
          <w:sz w:val="28"/>
          <w:szCs w:val="22"/>
          <w:lang w:eastAsia="zh-CN"/>
        </w:rPr>
        <w:t>陆佰贰拾伍万伍仟捌佰元整</w:t>
      </w:r>
      <w:r>
        <w:rPr>
          <w:rFonts w:hint="eastAsia" w:ascii="楷体_GB2312" w:eastAsia="楷体_GB2312"/>
          <w:b/>
          <w:bCs/>
          <w:sz w:val="28"/>
          <w:szCs w:val="22"/>
        </w:rPr>
        <w:t>（</w:t>
      </w:r>
      <w:r>
        <w:rPr>
          <w:rFonts w:hint="eastAsia" w:ascii="楷体_GB2312" w:eastAsia="楷体_GB2312"/>
          <w:b/>
          <w:bCs/>
          <w:sz w:val="28"/>
        </w:rPr>
        <w:t>￥</w:t>
      </w:r>
      <w:r>
        <w:rPr>
          <w:rFonts w:hint="eastAsia" w:ascii="楷体_GB2312" w:hAnsi="宋体" w:eastAsia="楷体_GB2312" w:cs="宋体"/>
          <w:b/>
          <w:bCs/>
          <w:kern w:val="0"/>
          <w:sz w:val="28"/>
          <w:szCs w:val="28"/>
          <w:lang w:eastAsia="zh-CN"/>
        </w:rPr>
        <w:t>625.58</w:t>
      </w:r>
      <w:r>
        <w:rPr>
          <w:rFonts w:hint="eastAsia" w:ascii="楷体_GB2312" w:hAnsi="宋体" w:eastAsia="楷体_GB2312" w:cs="宋体"/>
          <w:b/>
          <w:bCs/>
          <w:kern w:val="0"/>
          <w:sz w:val="28"/>
          <w:szCs w:val="28"/>
        </w:rPr>
        <w:t>万</w:t>
      </w:r>
      <w:r>
        <w:rPr>
          <w:rFonts w:hint="eastAsia" w:ascii="楷体_GB2312" w:eastAsia="楷体_GB2312"/>
          <w:b/>
          <w:bCs/>
          <w:sz w:val="28"/>
        </w:rPr>
        <w:t>元）</w:t>
      </w:r>
      <w:r>
        <w:rPr>
          <w:rFonts w:hint="eastAsia" w:ascii="宋体" w:hAnsi="宋体" w:cs="Segoe UI Symbol"/>
          <w:b/>
          <w:bCs/>
          <w:sz w:val="28"/>
        </w:rPr>
        <w:t>，</w:t>
      </w:r>
      <w:r>
        <w:rPr>
          <w:rFonts w:hint="eastAsia" w:ascii="楷体" w:hAnsi="楷体" w:eastAsia="楷体" w:cs="楷体"/>
          <w:b/>
          <w:bCs/>
          <w:sz w:val="28"/>
        </w:rPr>
        <w:t>详见《评估结果明细表》</w:t>
      </w:r>
      <w:r>
        <w:rPr>
          <w:rFonts w:hint="eastAsia" w:ascii="楷体_GB2312" w:eastAsia="楷体_GB2312"/>
          <w:sz w:val="28"/>
        </w:rPr>
        <w:t>。</w:t>
      </w:r>
    </w:p>
    <w:p>
      <w:pPr>
        <w:adjustRightInd w:val="0"/>
        <w:spacing w:line="560" w:lineRule="exact"/>
        <w:ind w:firstLine="562" w:firstLineChars="200"/>
        <w:rPr>
          <w:rFonts w:ascii="楷体_GB2312" w:eastAsia="楷体_GB2312"/>
          <w:b/>
          <w:bCs/>
          <w:sz w:val="28"/>
        </w:rPr>
      </w:pPr>
      <w:r>
        <w:rPr>
          <w:rFonts w:hint="eastAsia" w:ascii="楷体_GB2312" w:eastAsia="楷体_GB2312"/>
          <w:b/>
          <w:bCs/>
          <w:sz w:val="28"/>
        </w:rPr>
        <w:t>本报告经估价委托人（人民法院）送达双方当事人后，当事人对本书有异议的，可以在收到报告次日起五个工作日内以书面形式向人民法院提出异议书，逾期视为认可本报告。</w:t>
      </w:r>
    </w:p>
    <w:p>
      <w:pPr>
        <w:spacing w:line="600" w:lineRule="exact"/>
        <w:ind w:firstLine="2240" w:firstLineChars="800"/>
        <w:rPr>
          <w:rFonts w:ascii="楷体_GB2312" w:eastAsia="楷体_GB2312"/>
          <w:b/>
          <w:bCs/>
          <w:sz w:val="28"/>
        </w:rPr>
      </w:pPr>
      <w:r>
        <w:rPr>
          <w:rFonts w:hint="eastAsia" w:ascii="楷体_GB2312" w:eastAsia="楷体_GB2312"/>
          <w:sz w:val="28"/>
        </w:rPr>
        <w:t xml:space="preserve">          </w:t>
      </w:r>
      <w:r>
        <w:rPr>
          <w:rFonts w:ascii="楷体_GB2312" w:eastAsia="楷体_GB2312"/>
          <w:b/>
          <w:bCs/>
          <w:sz w:val="28"/>
        </w:rPr>
        <w:t xml:space="preserve">       </w:t>
      </w:r>
    </w:p>
    <w:p>
      <w:pPr>
        <w:spacing w:line="600" w:lineRule="exact"/>
        <w:ind w:firstLine="2249" w:firstLineChars="800"/>
        <w:jc w:val="right"/>
        <w:rPr>
          <w:rFonts w:ascii="楷体_GB2312" w:eastAsia="楷体_GB2312"/>
          <w:b/>
          <w:bCs/>
          <w:sz w:val="28"/>
        </w:rPr>
      </w:pPr>
      <w:r>
        <w:rPr>
          <w:rFonts w:ascii="楷体_GB2312" w:eastAsia="楷体_GB2312"/>
          <w:b/>
          <w:bCs/>
          <w:sz w:val="28"/>
        </w:rPr>
        <w:t xml:space="preserve"> </w:t>
      </w:r>
      <w:r>
        <w:rPr>
          <w:rFonts w:hint="eastAsia" w:ascii="楷体_GB2312" w:eastAsia="楷体_GB2312"/>
          <w:b/>
          <w:bCs/>
          <w:sz w:val="28"/>
        </w:rPr>
        <w:t>天信房地产土地资产评估有限公司</w:t>
      </w:r>
    </w:p>
    <w:p>
      <w:pPr>
        <w:snapToGrid w:val="0"/>
        <w:spacing w:line="600" w:lineRule="exact"/>
        <w:ind w:firstLine="560"/>
        <w:rPr>
          <w:rFonts w:ascii="楷体_GB2312" w:eastAsia="楷体_GB2312"/>
          <w:b/>
          <w:bCs/>
          <w:sz w:val="28"/>
        </w:rPr>
      </w:pPr>
      <w:r>
        <w:rPr>
          <w:rFonts w:hint="eastAsia" w:ascii="楷体_GB2312" w:eastAsia="楷体_GB2312"/>
          <w:sz w:val="28"/>
        </w:rPr>
        <w:t xml:space="preserve">                    </w:t>
      </w:r>
      <w:r>
        <w:rPr>
          <w:rFonts w:ascii="楷体_GB2312" w:eastAsia="楷体_GB2312"/>
          <w:sz w:val="28"/>
        </w:rPr>
        <w:t xml:space="preserve"> </w:t>
      </w:r>
      <w:r>
        <w:rPr>
          <w:rFonts w:hint="eastAsia" w:ascii="楷体_GB2312" w:eastAsia="楷体_GB2312"/>
          <w:sz w:val="28"/>
        </w:rPr>
        <w:t xml:space="preserve">         </w:t>
      </w:r>
      <w:r>
        <w:rPr>
          <w:rFonts w:ascii="楷体_GB2312" w:eastAsia="楷体_GB2312"/>
          <w:sz w:val="28"/>
        </w:rPr>
        <w:t xml:space="preserve">  </w:t>
      </w:r>
      <w:r>
        <w:rPr>
          <w:rFonts w:hint="eastAsia" w:ascii="楷体_GB2312" w:eastAsia="楷体_GB2312"/>
          <w:sz w:val="28"/>
        </w:rPr>
        <w:t xml:space="preserve"> </w:t>
      </w:r>
      <w:r>
        <w:rPr>
          <w:rFonts w:ascii="楷体_GB2312" w:eastAsia="楷体_GB2312"/>
          <w:sz w:val="28"/>
        </w:rPr>
        <w:t xml:space="preserve">  </w:t>
      </w:r>
      <w:r>
        <w:rPr>
          <w:rFonts w:hint="eastAsia" w:ascii="楷体_GB2312" w:eastAsia="楷体_GB2312"/>
          <w:sz w:val="28"/>
        </w:rPr>
        <w:t xml:space="preserve">  </w:t>
      </w:r>
      <w:r>
        <w:rPr>
          <w:rFonts w:hint="eastAsia" w:ascii="楷体_GB2312" w:eastAsia="楷体_GB2312"/>
          <w:b/>
          <w:bCs/>
          <w:sz w:val="28"/>
        </w:rPr>
        <w:t>法定代表人：</w:t>
      </w:r>
    </w:p>
    <w:p>
      <w:pPr>
        <w:spacing w:line="600" w:lineRule="exact"/>
        <w:ind w:right="560"/>
        <w:jc w:val="center"/>
        <w:rPr>
          <w:rFonts w:ascii="楷体_GB2312" w:eastAsia="楷体_GB2312"/>
          <w:b/>
          <w:bCs/>
          <w:sz w:val="28"/>
        </w:rPr>
        <w:sectPr>
          <w:pgSz w:w="11906" w:h="16838"/>
          <w:pgMar w:top="1021" w:right="1191" w:bottom="1021" w:left="1191" w:header="851" w:footer="992" w:gutter="284"/>
          <w:pgNumType w:start="0"/>
          <w:cols w:space="425" w:num="1"/>
          <w:titlePg/>
          <w:docGrid w:type="lines" w:linePitch="312" w:charSpace="0"/>
        </w:sectPr>
      </w:pPr>
      <w:r>
        <w:rPr>
          <w:rFonts w:hint="eastAsia" w:ascii="楷体_GB2312" w:eastAsia="楷体_GB2312"/>
          <w:b/>
          <w:bCs/>
          <w:sz w:val="28"/>
        </w:rPr>
        <w:t xml:space="preserve">                                 </w:t>
      </w:r>
      <w:r>
        <w:rPr>
          <w:rFonts w:ascii="楷体_GB2312" w:eastAsia="楷体_GB2312"/>
          <w:b/>
          <w:bCs/>
          <w:sz w:val="28"/>
        </w:rPr>
        <w:t xml:space="preserve">   </w:t>
      </w:r>
      <w:r>
        <w:rPr>
          <w:rFonts w:hint="eastAsia" w:ascii="楷体_GB2312" w:eastAsia="楷体_GB2312"/>
          <w:b/>
          <w:bCs/>
          <w:sz w:val="28"/>
        </w:rPr>
        <w:t>二〇二二年六月二日</w:t>
      </w:r>
    </w:p>
    <w:tbl>
      <w:tblPr>
        <w:tblStyle w:val="34"/>
        <w:tblW w:w="12954" w:type="dxa"/>
        <w:jc w:val="center"/>
        <w:tblLayout w:type="autofit"/>
        <w:tblCellMar>
          <w:top w:w="0" w:type="dxa"/>
          <w:left w:w="108" w:type="dxa"/>
          <w:bottom w:w="0" w:type="dxa"/>
          <w:right w:w="108" w:type="dxa"/>
        </w:tblCellMar>
      </w:tblPr>
      <w:tblGrid>
        <w:gridCol w:w="842"/>
        <w:gridCol w:w="1998"/>
        <w:gridCol w:w="973"/>
        <w:gridCol w:w="1601"/>
        <w:gridCol w:w="821"/>
        <w:gridCol w:w="750"/>
        <w:gridCol w:w="1547"/>
        <w:gridCol w:w="1382"/>
        <w:gridCol w:w="1748"/>
        <w:gridCol w:w="1292"/>
      </w:tblGrid>
      <w:tr>
        <w:tblPrEx>
          <w:tblCellMar>
            <w:top w:w="0" w:type="dxa"/>
            <w:left w:w="108" w:type="dxa"/>
            <w:bottom w:w="0" w:type="dxa"/>
            <w:right w:w="108" w:type="dxa"/>
          </w:tblCellMar>
        </w:tblPrEx>
        <w:trPr>
          <w:trHeight w:val="509" w:hRule="atLeast"/>
          <w:tblHeader/>
          <w:jc w:val="center"/>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序号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产权证书</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产权人</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房屋坐落</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用途</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结构</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楼层</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建筑面积（平方米）</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4"/>
                <w:szCs w:val="24"/>
                <w:lang w:bidi="ar"/>
              </w:rPr>
            </w:pPr>
            <w:r>
              <w:rPr>
                <w:rFonts w:hint="eastAsia" w:ascii="楷体" w:hAnsi="楷体" w:eastAsia="楷体" w:cs="楷体"/>
                <w:color w:val="000000"/>
                <w:kern w:val="0"/>
                <w:sz w:val="24"/>
                <w:szCs w:val="24"/>
                <w:lang w:bidi="ar"/>
              </w:rPr>
              <w:t>评估单价</w:t>
            </w:r>
          </w:p>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（元/平方米）</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kern w:val="0"/>
                <w:sz w:val="24"/>
                <w:szCs w:val="24"/>
                <w:lang w:bidi="ar"/>
              </w:rPr>
            </w:pPr>
            <w:r>
              <w:rPr>
                <w:rFonts w:hint="eastAsia" w:ascii="楷体" w:hAnsi="楷体" w:eastAsia="楷体" w:cs="楷体"/>
                <w:color w:val="000000"/>
                <w:kern w:val="0"/>
                <w:sz w:val="24"/>
                <w:szCs w:val="24"/>
                <w:lang w:bidi="ar"/>
              </w:rPr>
              <w:t>评估总价</w:t>
            </w:r>
          </w:p>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（万元）</w:t>
            </w:r>
          </w:p>
        </w:tc>
      </w:tr>
      <w:tr>
        <w:tblPrEx>
          <w:tblCellMar>
            <w:top w:w="0" w:type="dxa"/>
            <w:left w:w="108" w:type="dxa"/>
            <w:bottom w:w="0" w:type="dxa"/>
            <w:right w:w="108" w:type="dxa"/>
          </w:tblCellMar>
        </w:tblPrEx>
        <w:trPr>
          <w:trHeight w:val="980" w:hRule="atLeast"/>
          <w:jc w:val="center"/>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1</w:t>
            </w:r>
          </w:p>
        </w:tc>
        <w:tc>
          <w:tcPr>
            <w:tcW w:w="1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龙国用（2000）字第035号、龙房权证龙山镇字第05071904号</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朱勇</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龙里县龙山镇青龙路A幢1层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商业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混合</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总层数5层/位于第1层</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138.24</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26204</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362.24</w:t>
            </w:r>
          </w:p>
        </w:tc>
      </w:tr>
      <w:tr>
        <w:tblPrEx>
          <w:tblCellMar>
            <w:top w:w="0" w:type="dxa"/>
            <w:left w:w="108" w:type="dxa"/>
            <w:bottom w:w="0" w:type="dxa"/>
            <w:right w:w="108" w:type="dxa"/>
          </w:tblCellMar>
        </w:tblPrEx>
        <w:trPr>
          <w:trHeight w:val="980" w:hRule="atLeast"/>
          <w:jc w:val="center"/>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2</w:t>
            </w:r>
          </w:p>
        </w:tc>
        <w:tc>
          <w:tcPr>
            <w:tcW w:w="1998"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龙国用（2000）字第035号、龙房权证龙山镇字第05071903号</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朱勇</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龙里县龙山镇青龙路A幢2层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住宅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混合</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总层数5层/位于第2层</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150.23</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3349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50.31</w:t>
            </w:r>
          </w:p>
        </w:tc>
      </w:tr>
      <w:tr>
        <w:tblPrEx>
          <w:tblCellMar>
            <w:top w:w="0" w:type="dxa"/>
            <w:left w:w="108" w:type="dxa"/>
            <w:bottom w:w="0" w:type="dxa"/>
            <w:right w:w="108" w:type="dxa"/>
          </w:tblCellMar>
        </w:tblPrEx>
        <w:trPr>
          <w:trHeight w:val="980" w:hRule="atLeast"/>
          <w:jc w:val="center"/>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3</w:t>
            </w:r>
          </w:p>
        </w:tc>
        <w:tc>
          <w:tcPr>
            <w:tcW w:w="1998"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朱勇</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龙里县龙山镇青龙路A幢3层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住宅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混合</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总层数5层/位于第3层</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150.23</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3349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50.31</w:t>
            </w:r>
          </w:p>
        </w:tc>
      </w:tr>
      <w:tr>
        <w:tblPrEx>
          <w:tblCellMar>
            <w:top w:w="0" w:type="dxa"/>
            <w:left w:w="108" w:type="dxa"/>
            <w:bottom w:w="0" w:type="dxa"/>
            <w:right w:w="108" w:type="dxa"/>
          </w:tblCellMar>
        </w:tblPrEx>
        <w:trPr>
          <w:trHeight w:val="980" w:hRule="atLeast"/>
          <w:jc w:val="center"/>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4</w:t>
            </w:r>
          </w:p>
        </w:tc>
        <w:tc>
          <w:tcPr>
            <w:tcW w:w="1998"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朱勇</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龙里县龙山镇青龙路A幢4层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住宅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混合</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总层数5层/位于第4层</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150.23</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3349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50.31</w:t>
            </w:r>
          </w:p>
        </w:tc>
      </w:tr>
      <w:tr>
        <w:tblPrEx>
          <w:tblCellMar>
            <w:top w:w="0" w:type="dxa"/>
            <w:left w:w="108" w:type="dxa"/>
            <w:bottom w:w="0" w:type="dxa"/>
            <w:right w:w="108" w:type="dxa"/>
          </w:tblCellMar>
        </w:tblPrEx>
        <w:trPr>
          <w:trHeight w:val="980" w:hRule="atLeast"/>
          <w:jc w:val="center"/>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5</w:t>
            </w:r>
          </w:p>
        </w:tc>
        <w:tc>
          <w:tcPr>
            <w:tcW w:w="199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朱勇</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龙里县龙山镇青龙路A幢5层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住宅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混合</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总层数5层/位于第5层</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151.2</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3349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50.64</w:t>
            </w:r>
          </w:p>
        </w:tc>
      </w:tr>
      <w:tr>
        <w:tblPrEx>
          <w:tblCellMar>
            <w:top w:w="0" w:type="dxa"/>
            <w:left w:w="108" w:type="dxa"/>
            <w:bottom w:w="0" w:type="dxa"/>
            <w:right w:w="108" w:type="dxa"/>
          </w:tblCellMar>
        </w:tblPrEx>
        <w:trPr>
          <w:trHeight w:val="980" w:hRule="atLeast"/>
          <w:jc w:val="center"/>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6</w:t>
            </w:r>
          </w:p>
        </w:tc>
        <w:tc>
          <w:tcPr>
            <w:tcW w:w="1998"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龙国用（2000）字第035号、龙房权证龙山镇字第05071902号</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朱勇</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龙里县龙山镇青龙路B幢1层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住宅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混合</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总层数3层/位于第1层</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60.99</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3349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20.43</w:t>
            </w:r>
          </w:p>
        </w:tc>
      </w:tr>
      <w:tr>
        <w:tblPrEx>
          <w:tblCellMar>
            <w:top w:w="0" w:type="dxa"/>
            <w:left w:w="108" w:type="dxa"/>
            <w:bottom w:w="0" w:type="dxa"/>
            <w:right w:w="108" w:type="dxa"/>
          </w:tblCellMar>
        </w:tblPrEx>
        <w:trPr>
          <w:trHeight w:val="980" w:hRule="atLeast"/>
          <w:jc w:val="center"/>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7</w:t>
            </w:r>
          </w:p>
        </w:tc>
        <w:tc>
          <w:tcPr>
            <w:tcW w:w="1998" w:type="dxa"/>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朱勇</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龙里县龙山镇青龙路B幢2层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住宅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混合</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总层数3层/位于第2层</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61.71</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3349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20.67</w:t>
            </w:r>
          </w:p>
        </w:tc>
      </w:tr>
      <w:tr>
        <w:tblPrEx>
          <w:tblCellMar>
            <w:top w:w="0" w:type="dxa"/>
            <w:left w:w="108" w:type="dxa"/>
            <w:bottom w:w="0" w:type="dxa"/>
            <w:right w:w="108" w:type="dxa"/>
          </w:tblCellMar>
        </w:tblPrEx>
        <w:trPr>
          <w:trHeight w:val="980" w:hRule="atLeast"/>
          <w:jc w:val="center"/>
        </w:trPr>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8</w:t>
            </w:r>
          </w:p>
        </w:tc>
        <w:tc>
          <w:tcPr>
            <w:tcW w:w="1998"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朱勇</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龙里县龙山镇青龙路B幢3层</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住宅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混合</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总层数3层/位于第3层</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szCs w:val="24"/>
              </w:rPr>
            </w:pPr>
            <w:r>
              <w:rPr>
                <w:rFonts w:hint="eastAsia" w:ascii="楷体" w:hAnsi="楷体" w:eastAsia="楷体" w:cs="楷体"/>
                <w:color w:val="000000"/>
                <w:kern w:val="0"/>
                <w:sz w:val="24"/>
                <w:szCs w:val="24"/>
                <w:lang w:bidi="ar"/>
              </w:rPr>
              <w:t>61.71</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3349</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color w:val="000000"/>
                <w:sz w:val="24"/>
                <w:szCs w:val="24"/>
              </w:rPr>
            </w:pPr>
            <w:r>
              <w:rPr>
                <w:rFonts w:hint="eastAsia" w:ascii="楷体" w:hAnsi="楷体" w:eastAsia="楷体" w:cs="楷体"/>
                <w:i w:val="0"/>
                <w:iCs w:val="0"/>
                <w:color w:val="000000"/>
                <w:kern w:val="0"/>
                <w:sz w:val="24"/>
                <w:szCs w:val="24"/>
                <w:u w:val="none"/>
                <w:lang w:val="en-US" w:eastAsia="zh-CN" w:bidi="ar"/>
              </w:rPr>
              <w:t>20.67</w:t>
            </w:r>
          </w:p>
        </w:tc>
      </w:tr>
      <w:tr>
        <w:tblPrEx>
          <w:tblCellMar>
            <w:top w:w="0" w:type="dxa"/>
            <w:left w:w="108" w:type="dxa"/>
            <w:bottom w:w="0" w:type="dxa"/>
            <w:right w:w="108" w:type="dxa"/>
          </w:tblCellMar>
        </w:tblPrEx>
        <w:trPr>
          <w:trHeight w:val="365" w:hRule="atLeast"/>
          <w:jc w:val="center"/>
        </w:trPr>
        <w:tc>
          <w:tcPr>
            <w:tcW w:w="85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sz w:val="24"/>
                <w:szCs w:val="24"/>
              </w:rPr>
            </w:pPr>
            <w:r>
              <w:rPr>
                <w:rFonts w:hint="eastAsia" w:ascii="楷体" w:hAnsi="楷体" w:eastAsia="楷体" w:cs="楷体"/>
                <w:b/>
                <w:bCs/>
                <w:color w:val="000000"/>
                <w:kern w:val="0"/>
                <w:sz w:val="24"/>
                <w:szCs w:val="24"/>
                <w:lang w:bidi="ar"/>
              </w:rPr>
              <w:t>合计</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bCs/>
                <w:color w:val="000000"/>
                <w:sz w:val="24"/>
                <w:szCs w:val="24"/>
              </w:rPr>
            </w:pPr>
            <w:r>
              <w:rPr>
                <w:rFonts w:hint="eastAsia" w:ascii="楷体" w:hAnsi="楷体" w:eastAsia="楷体" w:cs="楷体"/>
                <w:b/>
                <w:bCs/>
                <w:color w:val="000000"/>
                <w:kern w:val="0"/>
                <w:sz w:val="24"/>
                <w:szCs w:val="24"/>
                <w:lang w:bidi="ar"/>
              </w:rPr>
              <w:t>924.54</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楷体" w:hAnsi="楷体" w:eastAsia="楷体" w:cs="楷体"/>
                <w:b/>
                <w:bCs/>
                <w:color w:val="000000"/>
                <w:sz w:val="24"/>
                <w:szCs w:val="24"/>
              </w:rPr>
            </w:pPr>
            <w:r>
              <w:rPr>
                <w:rFonts w:hint="eastAsia" w:ascii="楷体" w:hAnsi="楷体" w:eastAsia="楷体" w:cs="楷体"/>
                <w:b/>
                <w:bCs/>
                <w:color w:val="000000"/>
                <w:sz w:val="24"/>
                <w:szCs w:val="24"/>
              </w:rPr>
              <w:t>/</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楷体" w:hAnsi="楷体" w:eastAsia="楷体" w:cs="楷体"/>
                <w:b/>
                <w:bCs/>
                <w:color w:val="000000"/>
                <w:sz w:val="24"/>
                <w:szCs w:val="24"/>
                <w:lang w:eastAsia="zh-CN"/>
              </w:rPr>
            </w:pPr>
            <w:r>
              <w:rPr>
                <w:rFonts w:hint="eastAsia" w:ascii="楷体" w:hAnsi="楷体" w:eastAsia="楷体" w:cs="楷体"/>
                <w:b/>
                <w:bCs/>
                <w:color w:val="000000"/>
                <w:kern w:val="0"/>
                <w:sz w:val="24"/>
                <w:szCs w:val="24"/>
                <w:lang w:eastAsia="zh-CN" w:bidi="ar"/>
              </w:rPr>
              <w:t>625.58</w:t>
            </w:r>
          </w:p>
        </w:tc>
      </w:tr>
    </w:tbl>
    <w:p>
      <w:pPr>
        <w:spacing w:line="600" w:lineRule="exact"/>
        <w:ind w:right="560"/>
        <w:jc w:val="center"/>
        <w:rPr>
          <w:rFonts w:ascii="楷体_GB2312" w:eastAsia="楷体_GB2312"/>
          <w:b/>
          <w:bCs/>
          <w:sz w:val="28"/>
        </w:rPr>
        <w:sectPr>
          <w:pgSz w:w="16838" w:h="11906" w:orient="landscape"/>
          <w:pgMar w:top="1191" w:right="1021" w:bottom="1191" w:left="1021" w:header="851" w:footer="992" w:gutter="284"/>
          <w:cols w:space="425" w:num="1"/>
          <w:titlePg/>
          <w:docGrid w:type="lines" w:linePitch="312" w:charSpace="0"/>
        </w:sectPr>
      </w:pPr>
    </w:p>
    <w:p>
      <w:pPr>
        <w:tabs>
          <w:tab w:val="left" w:pos="7275"/>
        </w:tabs>
      </w:pPr>
    </w:p>
    <w:p>
      <w:pPr>
        <w:pStyle w:val="16"/>
        <w:spacing w:line="700" w:lineRule="exact"/>
        <w:jc w:val="center"/>
        <w:rPr>
          <w:rFonts w:ascii="黑体" w:eastAsia="黑体"/>
          <w:b/>
          <w:bCs/>
          <w:sz w:val="36"/>
          <w:szCs w:val="36"/>
        </w:rPr>
      </w:pPr>
      <w:r>
        <w:rPr>
          <w:rFonts w:hint="eastAsia" w:ascii="黑体" w:eastAsia="黑体"/>
          <w:b/>
          <w:bCs/>
          <w:sz w:val="36"/>
          <w:szCs w:val="36"/>
        </w:rPr>
        <w:t>目  录</w:t>
      </w:r>
    </w:p>
    <w:p>
      <w:pPr>
        <w:pStyle w:val="23"/>
        <w:tabs>
          <w:tab w:val="right" w:leader="dot" w:pos="9230"/>
        </w:tabs>
        <w:rPr>
          <w:rFonts w:ascii="楷体_GB2312" w:hAnsi="Calibri" w:eastAsia="楷体_GB2312"/>
          <w:bCs w:val="0"/>
          <w:iCs w:val="0"/>
          <w:sz w:val="21"/>
          <w:szCs w:val="22"/>
        </w:rPr>
      </w:pPr>
      <w:r>
        <w:rPr>
          <w:rFonts w:hint="eastAsia" w:ascii="楷体_GB2312" w:eastAsia="楷体_GB2312"/>
          <w:b/>
          <w:i/>
          <w:iCs w:val="0"/>
          <w:sz w:val="24"/>
          <w:szCs w:val="24"/>
          <w:highlight w:val="yellow"/>
        </w:rPr>
        <w:fldChar w:fldCharType="begin"/>
      </w:r>
      <w:r>
        <w:rPr>
          <w:rFonts w:hint="eastAsia" w:ascii="楷体_GB2312" w:eastAsia="楷体_GB2312"/>
          <w:iCs w:val="0"/>
          <w:sz w:val="24"/>
          <w:szCs w:val="24"/>
          <w:highlight w:val="yellow"/>
        </w:rPr>
        <w:instrText xml:space="preserve"> TOC \o "1-3" \h \z \u </w:instrText>
      </w:r>
      <w:r>
        <w:rPr>
          <w:rFonts w:hint="eastAsia" w:ascii="楷体_GB2312" w:eastAsia="楷体_GB2312"/>
          <w:b/>
          <w:i/>
          <w:iCs w:val="0"/>
          <w:sz w:val="24"/>
          <w:szCs w:val="24"/>
          <w:highlight w:val="yellow"/>
        </w:rPr>
        <w:fldChar w:fldCharType="separate"/>
      </w:r>
      <w:r>
        <w:fldChar w:fldCharType="begin"/>
      </w:r>
      <w:r>
        <w:instrText xml:space="preserve"> HYPERLINK \l "_Toc89182837" </w:instrText>
      </w:r>
      <w:r>
        <w:fldChar w:fldCharType="separate"/>
      </w:r>
      <w:r>
        <w:rPr>
          <w:rStyle w:val="40"/>
          <w:rFonts w:hint="eastAsia" w:ascii="楷体_GB2312" w:hAnsi="黑体" w:eastAsia="楷体_GB2312"/>
        </w:rPr>
        <w:t>估价师声明</w:t>
      </w:r>
      <w:r>
        <w:rPr>
          <w:rFonts w:hint="eastAsia" w:ascii="楷体_GB2312" w:eastAsia="楷体_GB2312"/>
        </w:rPr>
        <w:tab/>
      </w:r>
      <w:r>
        <w:rPr>
          <w:rFonts w:hint="eastAsia" w:ascii="楷体_GB2312" w:eastAsia="楷体_GB2312"/>
        </w:rPr>
        <w:fldChar w:fldCharType="begin"/>
      </w:r>
      <w:r>
        <w:rPr>
          <w:rFonts w:hint="eastAsia" w:ascii="楷体_GB2312" w:eastAsia="楷体_GB2312"/>
        </w:rPr>
        <w:instrText xml:space="preserve"> PAGEREF _Toc89182837 \h </w:instrText>
      </w:r>
      <w:r>
        <w:rPr>
          <w:rFonts w:hint="eastAsia" w:ascii="楷体_GB2312" w:eastAsia="楷体_GB2312"/>
        </w:rPr>
        <w:fldChar w:fldCharType="separate"/>
      </w:r>
      <w:r>
        <w:rPr>
          <w:rFonts w:hint="eastAsia" w:ascii="楷体_GB2312" w:eastAsia="楷体_GB2312"/>
        </w:rPr>
        <w:t>4</w:t>
      </w:r>
      <w:r>
        <w:rPr>
          <w:rFonts w:hint="eastAsia" w:ascii="楷体_GB2312" w:eastAsia="楷体_GB2312"/>
        </w:rPr>
        <w:fldChar w:fldCharType="end"/>
      </w:r>
      <w:r>
        <w:rPr>
          <w:rFonts w:hint="eastAsia" w:ascii="楷体_GB2312" w:eastAsia="楷体_GB2312"/>
        </w:rPr>
        <w:fldChar w:fldCharType="end"/>
      </w:r>
    </w:p>
    <w:p>
      <w:pPr>
        <w:pStyle w:val="23"/>
        <w:tabs>
          <w:tab w:val="right" w:leader="dot" w:pos="9230"/>
        </w:tabs>
        <w:rPr>
          <w:rFonts w:ascii="楷体_GB2312" w:hAnsi="Calibri" w:eastAsia="楷体_GB2312"/>
          <w:bCs w:val="0"/>
          <w:iCs w:val="0"/>
          <w:sz w:val="21"/>
          <w:szCs w:val="22"/>
        </w:rPr>
      </w:pPr>
      <w:r>
        <w:fldChar w:fldCharType="begin"/>
      </w:r>
      <w:r>
        <w:instrText xml:space="preserve"> HYPERLINK \l "_Toc89182838" </w:instrText>
      </w:r>
      <w:r>
        <w:fldChar w:fldCharType="separate"/>
      </w:r>
      <w:r>
        <w:rPr>
          <w:rStyle w:val="40"/>
          <w:rFonts w:hint="eastAsia" w:ascii="楷体_GB2312" w:hAnsi="黑体" w:eastAsia="楷体_GB2312"/>
        </w:rPr>
        <w:t>估价假设和限制条件</w:t>
      </w:r>
      <w:r>
        <w:rPr>
          <w:rFonts w:hint="eastAsia" w:ascii="楷体_GB2312" w:eastAsia="楷体_GB2312"/>
        </w:rPr>
        <w:tab/>
      </w:r>
      <w:r>
        <w:rPr>
          <w:rFonts w:hint="eastAsia" w:ascii="楷体_GB2312" w:eastAsia="楷体_GB2312"/>
        </w:rPr>
        <w:fldChar w:fldCharType="begin"/>
      </w:r>
      <w:r>
        <w:rPr>
          <w:rFonts w:hint="eastAsia" w:ascii="楷体_GB2312" w:eastAsia="楷体_GB2312"/>
        </w:rPr>
        <w:instrText xml:space="preserve"> PAGEREF _Toc89182838 \h </w:instrText>
      </w:r>
      <w:r>
        <w:rPr>
          <w:rFonts w:hint="eastAsia" w:ascii="楷体_GB2312" w:eastAsia="楷体_GB2312"/>
        </w:rPr>
        <w:fldChar w:fldCharType="separate"/>
      </w:r>
      <w:r>
        <w:rPr>
          <w:rFonts w:hint="eastAsia" w:ascii="楷体_GB2312" w:eastAsia="楷体_GB2312"/>
        </w:rPr>
        <w:t>5</w:t>
      </w:r>
      <w:r>
        <w:rPr>
          <w:rFonts w:hint="eastAsia" w:ascii="楷体_GB2312" w:eastAsia="楷体_GB2312"/>
        </w:rPr>
        <w:fldChar w:fldCharType="end"/>
      </w:r>
      <w:r>
        <w:rPr>
          <w:rFonts w:hint="eastAsia" w:ascii="楷体_GB2312" w:eastAsia="楷体_GB2312"/>
        </w:rPr>
        <w:fldChar w:fldCharType="end"/>
      </w:r>
    </w:p>
    <w:p>
      <w:pPr>
        <w:pStyle w:val="23"/>
        <w:tabs>
          <w:tab w:val="right" w:leader="dot" w:pos="9230"/>
        </w:tabs>
        <w:rPr>
          <w:rFonts w:ascii="楷体_GB2312" w:hAnsi="Calibri" w:eastAsia="楷体_GB2312"/>
          <w:bCs w:val="0"/>
          <w:iCs w:val="0"/>
          <w:sz w:val="21"/>
          <w:szCs w:val="22"/>
        </w:rPr>
      </w:pPr>
      <w:r>
        <w:fldChar w:fldCharType="begin"/>
      </w:r>
      <w:r>
        <w:instrText xml:space="preserve"> HYPERLINK \l "_Toc89182839" </w:instrText>
      </w:r>
      <w:r>
        <w:fldChar w:fldCharType="separate"/>
      </w:r>
      <w:r>
        <w:rPr>
          <w:rStyle w:val="40"/>
          <w:rFonts w:hint="eastAsia" w:ascii="楷体_GB2312" w:hAnsi="黑体" w:eastAsia="楷体_GB2312"/>
        </w:rPr>
        <w:t>估价结果报告</w:t>
      </w:r>
      <w:r>
        <w:rPr>
          <w:rFonts w:hint="eastAsia" w:ascii="楷体_GB2312" w:eastAsia="楷体_GB2312"/>
        </w:rPr>
        <w:tab/>
      </w:r>
      <w:r>
        <w:rPr>
          <w:rFonts w:hint="eastAsia" w:ascii="楷体_GB2312" w:eastAsia="楷体_GB2312"/>
        </w:rPr>
        <w:fldChar w:fldCharType="begin"/>
      </w:r>
      <w:r>
        <w:rPr>
          <w:rFonts w:hint="eastAsia" w:ascii="楷体_GB2312" w:eastAsia="楷体_GB2312"/>
        </w:rPr>
        <w:instrText xml:space="preserve"> PAGEREF _Toc89182839 \h </w:instrText>
      </w:r>
      <w:r>
        <w:rPr>
          <w:rFonts w:hint="eastAsia" w:ascii="楷体_GB2312" w:eastAsia="楷体_GB2312"/>
        </w:rPr>
        <w:fldChar w:fldCharType="separate"/>
      </w:r>
      <w:r>
        <w:rPr>
          <w:rFonts w:hint="eastAsia" w:ascii="楷体_GB2312" w:eastAsia="楷体_GB2312"/>
        </w:rPr>
        <w:t>10</w:t>
      </w:r>
      <w:r>
        <w:rPr>
          <w:rFonts w:hint="eastAsia" w:ascii="楷体_GB2312" w:eastAsia="楷体_GB2312"/>
        </w:rPr>
        <w:fldChar w:fldCharType="end"/>
      </w:r>
      <w:r>
        <w:rPr>
          <w:rFonts w:hint="eastAsia" w:ascii="楷体_GB2312" w:eastAsia="楷体_GB2312"/>
        </w:rPr>
        <w:fldChar w:fldCharType="end"/>
      </w:r>
    </w:p>
    <w:p>
      <w:pPr>
        <w:pStyle w:val="28"/>
        <w:rPr>
          <w:rFonts w:hAnsi="Calibri"/>
          <w:sz w:val="24"/>
          <w:szCs w:val="24"/>
        </w:rPr>
      </w:pPr>
      <w:r>
        <w:fldChar w:fldCharType="begin"/>
      </w:r>
      <w:r>
        <w:instrText xml:space="preserve"> HYPERLINK \l "_Toc89182840" </w:instrText>
      </w:r>
      <w:r>
        <w:fldChar w:fldCharType="separate"/>
      </w:r>
      <w:r>
        <w:rPr>
          <w:rStyle w:val="40"/>
          <w:rFonts w:hint="eastAsia"/>
          <w:sz w:val="24"/>
          <w:szCs w:val="24"/>
        </w:rPr>
        <w:t>一、估价委托人</w:t>
      </w:r>
      <w:r>
        <w:rPr>
          <w:rFonts w:hint="eastAsia"/>
          <w:sz w:val="24"/>
          <w:szCs w:val="24"/>
        </w:rPr>
        <w:tab/>
      </w:r>
      <w:r>
        <w:rPr>
          <w:rFonts w:hint="eastAsia"/>
          <w:sz w:val="24"/>
          <w:szCs w:val="24"/>
        </w:rPr>
        <w:fldChar w:fldCharType="begin"/>
      </w:r>
      <w:r>
        <w:rPr>
          <w:rFonts w:hint="eastAsia"/>
          <w:sz w:val="24"/>
          <w:szCs w:val="24"/>
        </w:rPr>
        <w:instrText xml:space="preserve"> PAGEREF _Toc89182840 \h </w:instrText>
      </w:r>
      <w:r>
        <w:rPr>
          <w:rFonts w:hint="eastAsia"/>
          <w:sz w:val="24"/>
          <w:szCs w:val="24"/>
        </w:rPr>
        <w:fldChar w:fldCharType="separate"/>
      </w:r>
      <w:r>
        <w:rPr>
          <w:rFonts w:hint="eastAsia"/>
          <w:sz w:val="24"/>
          <w:szCs w:val="24"/>
        </w:rPr>
        <w:t>10</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"_Toc89182841" </w:instrText>
      </w:r>
      <w:r>
        <w:fldChar w:fldCharType="separate"/>
      </w:r>
      <w:r>
        <w:rPr>
          <w:rStyle w:val="40"/>
          <w:rFonts w:hint="eastAsia"/>
          <w:sz w:val="24"/>
          <w:szCs w:val="24"/>
        </w:rPr>
        <w:t>二、房地产估价机构</w:t>
      </w:r>
      <w:r>
        <w:rPr>
          <w:rFonts w:hint="eastAsia"/>
          <w:sz w:val="24"/>
          <w:szCs w:val="24"/>
        </w:rPr>
        <w:tab/>
      </w:r>
      <w:r>
        <w:rPr>
          <w:rFonts w:hint="eastAsia"/>
          <w:sz w:val="24"/>
          <w:szCs w:val="24"/>
        </w:rPr>
        <w:fldChar w:fldCharType="begin"/>
      </w:r>
      <w:r>
        <w:rPr>
          <w:rFonts w:hint="eastAsia"/>
          <w:sz w:val="24"/>
          <w:szCs w:val="24"/>
        </w:rPr>
        <w:instrText xml:space="preserve"> PAGEREF _Toc89182841 \h </w:instrText>
      </w:r>
      <w:r>
        <w:rPr>
          <w:rFonts w:hint="eastAsia"/>
          <w:sz w:val="24"/>
          <w:szCs w:val="24"/>
        </w:rPr>
        <w:fldChar w:fldCharType="separate"/>
      </w:r>
      <w:r>
        <w:rPr>
          <w:rFonts w:hint="eastAsia"/>
          <w:sz w:val="24"/>
          <w:szCs w:val="24"/>
        </w:rPr>
        <w:t>10</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"_Toc89182842" </w:instrText>
      </w:r>
      <w:r>
        <w:fldChar w:fldCharType="separate"/>
      </w:r>
      <w:r>
        <w:rPr>
          <w:rStyle w:val="40"/>
          <w:rFonts w:hint="eastAsia"/>
          <w:sz w:val="24"/>
          <w:szCs w:val="24"/>
        </w:rPr>
        <w:t>三、估价目的</w:t>
      </w:r>
      <w:r>
        <w:rPr>
          <w:rFonts w:hint="eastAsia"/>
          <w:sz w:val="24"/>
          <w:szCs w:val="24"/>
        </w:rPr>
        <w:tab/>
      </w:r>
      <w:r>
        <w:rPr>
          <w:rFonts w:hint="eastAsia"/>
          <w:sz w:val="24"/>
          <w:szCs w:val="24"/>
        </w:rPr>
        <w:fldChar w:fldCharType="begin"/>
      </w:r>
      <w:r>
        <w:rPr>
          <w:rFonts w:hint="eastAsia"/>
          <w:sz w:val="24"/>
          <w:szCs w:val="24"/>
        </w:rPr>
        <w:instrText xml:space="preserve"> PAGEREF _Toc89182842 \h </w:instrText>
      </w:r>
      <w:r>
        <w:rPr>
          <w:rFonts w:hint="eastAsia"/>
          <w:sz w:val="24"/>
          <w:szCs w:val="24"/>
        </w:rPr>
        <w:fldChar w:fldCharType="separate"/>
      </w:r>
      <w:r>
        <w:rPr>
          <w:rFonts w:hint="eastAsia"/>
          <w:sz w:val="24"/>
          <w:szCs w:val="24"/>
        </w:rPr>
        <w:t>10</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"_Toc89182843" </w:instrText>
      </w:r>
      <w:r>
        <w:fldChar w:fldCharType="separate"/>
      </w:r>
      <w:r>
        <w:rPr>
          <w:rStyle w:val="40"/>
          <w:rFonts w:hint="eastAsia"/>
          <w:sz w:val="24"/>
          <w:szCs w:val="24"/>
        </w:rPr>
        <w:t>四、估价对象</w:t>
      </w:r>
      <w:r>
        <w:rPr>
          <w:rFonts w:hint="eastAsia"/>
          <w:sz w:val="24"/>
          <w:szCs w:val="24"/>
        </w:rPr>
        <w:tab/>
      </w:r>
      <w:r>
        <w:rPr>
          <w:rFonts w:hint="eastAsia"/>
          <w:sz w:val="24"/>
          <w:szCs w:val="24"/>
        </w:rPr>
        <w:fldChar w:fldCharType="begin"/>
      </w:r>
      <w:r>
        <w:rPr>
          <w:rFonts w:hint="eastAsia"/>
          <w:sz w:val="24"/>
          <w:szCs w:val="24"/>
        </w:rPr>
        <w:instrText xml:space="preserve"> PAGEREF _Toc89182843 \h </w:instrText>
      </w:r>
      <w:r>
        <w:rPr>
          <w:rFonts w:hint="eastAsia"/>
          <w:sz w:val="24"/>
          <w:szCs w:val="24"/>
        </w:rPr>
        <w:fldChar w:fldCharType="separate"/>
      </w:r>
      <w:r>
        <w:rPr>
          <w:rFonts w:hint="eastAsia"/>
          <w:sz w:val="24"/>
          <w:szCs w:val="24"/>
        </w:rPr>
        <w:t>10</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"_Toc89182844" </w:instrText>
      </w:r>
      <w:r>
        <w:fldChar w:fldCharType="separate"/>
      </w:r>
      <w:r>
        <w:rPr>
          <w:rStyle w:val="40"/>
          <w:rFonts w:hint="eastAsia"/>
          <w:sz w:val="24"/>
          <w:szCs w:val="24"/>
        </w:rPr>
        <w:t>五、价值时点</w:t>
      </w:r>
      <w:r>
        <w:rPr>
          <w:rFonts w:hint="eastAsia"/>
          <w:sz w:val="24"/>
          <w:szCs w:val="24"/>
        </w:rPr>
        <w:tab/>
      </w:r>
      <w:r>
        <w:rPr>
          <w:rFonts w:hint="eastAsia"/>
          <w:sz w:val="24"/>
          <w:szCs w:val="24"/>
        </w:rPr>
        <w:fldChar w:fldCharType="begin"/>
      </w:r>
      <w:r>
        <w:rPr>
          <w:rFonts w:hint="eastAsia"/>
          <w:sz w:val="24"/>
          <w:szCs w:val="24"/>
        </w:rPr>
        <w:instrText xml:space="preserve"> PAGEREF _Toc89182844 \h </w:instrText>
      </w:r>
      <w:r>
        <w:rPr>
          <w:rFonts w:hint="eastAsia"/>
          <w:sz w:val="24"/>
          <w:szCs w:val="24"/>
        </w:rPr>
        <w:fldChar w:fldCharType="separate"/>
      </w:r>
      <w:r>
        <w:rPr>
          <w:rFonts w:hint="eastAsia"/>
          <w:sz w:val="24"/>
          <w:szCs w:val="24"/>
        </w:rPr>
        <w:t>15</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"_Toc89182845" </w:instrText>
      </w:r>
      <w:r>
        <w:fldChar w:fldCharType="separate"/>
      </w:r>
      <w:r>
        <w:rPr>
          <w:rStyle w:val="40"/>
          <w:rFonts w:hint="eastAsia"/>
          <w:sz w:val="24"/>
          <w:szCs w:val="24"/>
        </w:rPr>
        <w:t>六、价值类型</w:t>
      </w:r>
      <w:r>
        <w:rPr>
          <w:rFonts w:hint="eastAsia"/>
          <w:sz w:val="24"/>
          <w:szCs w:val="24"/>
        </w:rPr>
        <w:tab/>
      </w:r>
      <w:r>
        <w:rPr>
          <w:rFonts w:hint="eastAsia"/>
          <w:sz w:val="24"/>
          <w:szCs w:val="24"/>
        </w:rPr>
        <w:fldChar w:fldCharType="begin"/>
      </w:r>
      <w:r>
        <w:rPr>
          <w:rFonts w:hint="eastAsia"/>
          <w:sz w:val="24"/>
          <w:szCs w:val="24"/>
        </w:rPr>
        <w:instrText xml:space="preserve"> PAGEREF _Toc89182845 \h </w:instrText>
      </w:r>
      <w:r>
        <w:rPr>
          <w:rFonts w:hint="eastAsia"/>
          <w:sz w:val="24"/>
          <w:szCs w:val="24"/>
        </w:rPr>
        <w:fldChar w:fldCharType="separate"/>
      </w:r>
      <w:r>
        <w:rPr>
          <w:rFonts w:hint="eastAsia"/>
          <w:sz w:val="24"/>
          <w:szCs w:val="24"/>
        </w:rPr>
        <w:t>15</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"_Toc89182846" </w:instrText>
      </w:r>
      <w:r>
        <w:fldChar w:fldCharType="separate"/>
      </w:r>
      <w:r>
        <w:rPr>
          <w:rStyle w:val="40"/>
          <w:rFonts w:hint="eastAsia"/>
          <w:sz w:val="24"/>
          <w:szCs w:val="24"/>
        </w:rPr>
        <w:t>七、估价原则</w:t>
      </w:r>
      <w:r>
        <w:rPr>
          <w:rFonts w:hint="eastAsia"/>
          <w:sz w:val="24"/>
          <w:szCs w:val="24"/>
        </w:rPr>
        <w:tab/>
      </w:r>
      <w:r>
        <w:rPr>
          <w:rFonts w:hint="eastAsia"/>
          <w:sz w:val="24"/>
          <w:szCs w:val="24"/>
        </w:rPr>
        <w:fldChar w:fldCharType="begin"/>
      </w:r>
      <w:r>
        <w:rPr>
          <w:rFonts w:hint="eastAsia"/>
          <w:sz w:val="24"/>
          <w:szCs w:val="24"/>
        </w:rPr>
        <w:instrText xml:space="preserve"> PAGEREF _Toc89182846 \h </w:instrText>
      </w:r>
      <w:r>
        <w:rPr>
          <w:rFonts w:hint="eastAsia"/>
          <w:sz w:val="24"/>
          <w:szCs w:val="24"/>
        </w:rPr>
        <w:fldChar w:fldCharType="separate"/>
      </w:r>
      <w:r>
        <w:rPr>
          <w:rFonts w:hint="eastAsia"/>
          <w:sz w:val="24"/>
          <w:szCs w:val="24"/>
        </w:rPr>
        <w:t>15</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"_Toc89182847" </w:instrText>
      </w:r>
      <w:r>
        <w:fldChar w:fldCharType="separate"/>
      </w:r>
      <w:r>
        <w:rPr>
          <w:rStyle w:val="40"/>
          <w:rFonts w:hint="eastAsia"/>
          <w:sz w:val="24"/>
          <w:szCs w:val="24"/>
        </w:rPr>
        <w:t>八、估价依据</w:t>
      </w:r>
      <w:r>
        <w:rPr>
          <w:rFonts w:hint="eastAsia"/>
          <w:sz w:val="24"/>
          <w:szCs w:val="24"/>
        </w:rPr>
        <w:tab/>
      </w:r>
      <w:r>
        <w:rPr>
          <w:rFonts w:hint="eastAsia"/>
          <w:sz w:val="24"/>
          <w:szCs w:val="24"/>
        </w:rPr>
        <w:fldChar w:fldCharType="begin"/>
      </w:r>
      <w:r>
        <w:rPr>
          <w:rFonts w:hint="eastAsia"/>
          <w:sz w:val="24"/>
          <w:szCs w:val="24"/>
        </w:rPr>
        <w:instrText xml:space="preserve"> PAGEREF _Toc89182847 \h </w:instrText>
      </w:r>
      <w:r>
        <w:rPr>
          <w:rFonts w:hint="eastAsia"/>
          <w:sz w:val="24"/>
          <w:szCs w:val="24"/>
        </w:rPr>
        <w:fldChar w:fldCharType="separate"/>
      </w:r>
      <w:r>
        <w:rPr>
          <w:rFonts w:hint="eastAsia"/>
          <w:sz w:val="24"/>
          <w:szCs w:val="24"/>
        </w:rPr>
        <w:t>16</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"_Toc89182848" </w:instrText>
      </w:r>
      <w:r>
        <w:fldChar w:fldCharType="separate"/>
      </w:r>
      <w:r>
        <w:rPr>
          <w:rStyle w:val="40"/>
          <w:rFonts w:hint="eastAsia"/>
          <w:sz w:val="24"/>
          <w:szCs w:val="24"/>
        </w:rPr>
        <w:t>九、估价方法</w:t>
      </w:r>
      <w:r>
        <w:rPr>
          <w:rFonts w:hint="eastAsia"/>
          <w:sz w:val="24"/>
          <w:szCs w:val="24"/>
        </w:rPr>
        <w:tab/>
      </w:r>
      <w:r>
        <w:rPr>
          <w:rFonts w:hint="eastAsia"/>
          <w:sz w:val="24"/>
          <w:szCs w:val="24"/>
        </w:rPr>
        <w:fldChar w:fldCharType="begin"/>
      </w:r>
      <w:r>
        <w:rPr>
          <w:rFonts w:hint="eastAsia"/>
          <w:sz w:val="24"/>
          <w:szCs w:val="24"/>
        </w:rPr>
        <w:instrText xml:space="preserve"> PAGEREF _Toc89182848 \h </w:instrText>
      </w:r>
      <w:r>
        <w:rPr>
          <w:rFonts w:hint="eastAsia"/>
          <w:sz w:val="24"/>
          <w:szCs w:val="24"/>
        </w:rPr>
        <w:fldChar w:fldCharType="separate"/>
      </w:r>
      <w:r>
        <w:rPr>
          <w:rFonts w:hint="eastAsia"/>
          <w:sz w:val="24"/>
          <w:szCs w:val="24"/>
        </w:rPr>
        <w:t>18</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"_Toc89182849" </w:instrText>
      </w:r>
      <w:r>
        <w:fldChar w:fldCharType="separate"/>
      </w:r>
      <w:r>
        <w:rPr>
          <w:rStyle w:val="40"/>
          <w:rFonts w:hint="eastAsia"/>
          <w:sz w:val="24"/>
          <w:szCs w:val="24"/>
        </w:rPr>
        <w:t>十、估价结果</w:t>
      </w:r>
      <w:r>
        <w:rPr>
          <w:rFonts w:hint="eastAsia"/>
          <w:sz w:val="24"/>
          <w:szCs w:val="24"/>
        </w:rPr>
        <w:tab/>
      </w:r>
      <w:r>
        <w:rPr>
          <w:rFonts w:hint="eastAsia"/>
          <w:sz w:val="24"/>
          <w:szCs w:val="24"/>
        </w:rPr>
        <w:fldChar w:fldCharType="begin"/>
      </w:r>
      <w:r>
        <w:rPr>
          <w:rFonts w:hint="eastAsia"/>
          <w:sz w:val="24"/>
          <w:szCs w:val="24"/>
        </w:rPr>
        <w:instrText xml:space="preserve"> PAGEREF _Toc89182849 \h </w:instrText>
      </w:r>
      <w:r>
        <w:rPr>
          <w:rFonts w:hint="eastAsia"/>
          <w:sz w:val="24"/>
          <w:szCs w:val="24"/>
        </w:rPr>
        <w:fldChar w:fldCharType="separate"/>
      </w:r>
      <w:r>
        <w:rPr>
          <w:rFonts w:hint="eastAsia"/>
          <w:sz w:val="24"/>
          <w:szCs w:val="24"/>
        </w:rPr>
        <w:t>21</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"_Toc89182850" </w:instrText>
      </w:r>
      <w:r>
        <w:fldChar w:fldCharType="separate"/>
      </w:r>
      <w:r>
        <w:rPr>
          <w:rStyle w:val="40"/>
          <w:rFonts w:hint="eastAsia"/>
          <w:sz w:val="24"/>
          <w:szCs w:val="24"/>
        </w:rPr>
        <w:t>十二、实地查勘期</w:t>
      </w:r>
      <w:r>
        <w:rPr>
          <w:rFonts w:hint="eastAsia"/>
          <w:sz w:val="24"/>
          <w:szCs w:val="24"/>
        </w:rPr>
        <w:tab/>
      </w:r>
      <w:r>
        <w:rPr>
          <w:rFonts w:hint="eastAsia"/>
          <w:sz w:val="24"/>
          <w:szCs w:val="24"/>
        </w:rPr>
        <w:fldChar w:fldCharType="begin"/>
      </w:r>
      <w:r>
        <w:rPr>
          <w:rFonts w:hint="eastAsia"/>
          <w:sz w:val="24"/>
          <w:szCs w:val="24"/>
        </w:rPr>
        <w:instrText xml:space="preserve"> PAGEREF _Toc89182850 \h </w:instrText>
      </w:r>
      <w:r>
        <w:rPr>
          <w:rFonts w:hint="eastAsia"/>
          <w:sz w:val="24"/>
          <w:szCs w:val="24"/>
        </w:rPr>
        <w:fldChar w:fldCharType="separate"/>
      </w:r>
      <w:r>
        <w:rPr>
          <w:rFonts w:hint="eastAsia"/>
          <w:sz w:val="24"/>
          <w:szCs w:val="24"/>
        </w:rPr>
        <w:t>22</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"_Toc89182851" </w:instrText>
      </w:r>
      <w:r>
        <w:fldChar w:fldCharType="separate"/>
      </w:r>
      <w:r>
        <w:rPr>
          <w:rStyle w:val="40"/>
          <w:rFonts w:hint="eastAsia"/>
          <w:sz w:val="24"/>
          <w:szCs w:val="24"/>
        </w:rPr>
        <w:t>十三、估价作业期</w:t>
      </w:r>
      <w:r>
        <w:rPr>
          <w:rFonts w:hint="eastAsia"/>
          <w:sz w:val="24"/>
          <w:szCs w:val="24"/>
        </w:rPr>
        <w:tab/>
      </w:r>
      <w:r>
        <w:rPr>
          <w:rFonts w:hint="eastAsia"/>
          <w:sz w:val="24"/>
          <w:szCs w:val="24"/>
        </w:rPr>
        <w:fldChar w:fldCharType="begin"/>
      </w:r>
      <w:r>
        <w:rPr>
          <w:rFonts w:hint="eastAsia"/>
          <w:sz w:val="24"/>
          <w:szCs w:val="24"/>
        </w:rPr>
        <w:instrText xml:space="preserve"> PAGEREF _Toc89182851 \h </w:instrText>
      </w:r>
      <w:r>
        <w:rPr>
          <w:rFonts w:hint="eastAsia"/>
          <w:sz w:val="24"/>
          <w:szCs w:val="24"/>
        </w:rPr>
        <w:fldChar w:fldCharType="separate"/>
      </w:r>
      <w:r>
        <w:rPr>
          <w:rFonts w:hint="eastAsia"/>
          <w:sz w:val="24"/>
          <w:szCs w:val="24"/>
        </w:rPr>
        <w:t>22</w:t>
      </w:r>
      <w:r>
        <w:rPr>
          <w:rFonts w:hint="eastAsia"/>
          <w:sz w:val="24"/>
          <w:szCs w:val="24"/>
        </w:rPr>
        <w:fldChar w:fldCharType="end"/>
      </w:r>
      <w:r>
        <w:rPr>
          <w:rFonts w:hint="eastAsia"/>
          <w:sz w:val="24"/>
          <w:szCs w:val="24"/>
        </w:rPr>
        <w:fldChar w:fldCharType="end"/>
      </w:r>
    </w:p>
    <w:p>
      <w:pPr>
        <w:pStyle w:val="23"/>
        <w:tabs>
          <w:tab w:val="right" w:leader="dot" w:pos="9230"/>
        </w:tabs>
        <w:rPr>
          <w:rFonts w:ascii="楷体_GB2312" w:hAnsi="Calibri" w:eastAsia="楷体_GB2312"/>
          <w:bCs w:val="0"/>
          <w:iCs w:val="0"/>
        </w:rPr>
      </w:pPr>
      <w:r>
        <w:fldChar w:fldCharType="begin"/>
      </w:r>
      <w:r>
        <w:instrText xml:space="preserve"> HYPERLINK \l "_Toc89182852" </w:instrText>
      </w:r>
      <w:r>
        <w:fldChar w:fldCharType="separate"/>
      </w:r>
      <w:r>
        <w:rPr>
          <w:rStyle w:val="40"/>
          <w:rFonts w:hint="eastAsia" w:ascii="楷体_GB2312" w:hAnsi="黑体" w:eastAsia="楷体_GB2312"/>
        </w:rPr>
        <w:t>附   件</w:t>
      </w:r>
      <w:r>
        <w:rPr>
          <w:rFonts w:hint="eastAsia" w:ascii="楷体_GB2312" w:eastAsia="楷体_GB2312"/>
        </w:rPr>
        <w:tab/>
      </w:r>
      <w:r>
        <w:rPr>
          <w:rFonts w:hint="eastAsia" w:ascii="楷体_GB2312" w:eastAsia="楷体_GB2312"/>
        </w:rPr>
        <w:fldChar w:fldCharType="begin"/>
      </w:r>
      <w:r>
        <w:rPr>
          <w:rFonts w:hint="eastAsia" w:ascii="楷体_GB2312" w:eastAsia="楷体_GB2312"/>
        </w:rPr>
        <w:instrText xml:space="preserve"> PAGEREF _Toc89182852 \h </w:instrText>
      </w:r>
      <w:r>
        <w:rPr>
          <w:rFonts w:hint="eastAsia" w:ascii="楷体_GB2312" w:eastAsia="楷体_GB2312"/>
        </w:rPr>
        <w:fldChar w:fldCharType="separate"/>
      </w:r>
      <w:r>
        <w:rPr>
          <w:rFonts w:hint="eastAsia" w:ascii="楷体_GB2312" w:eastAsia="楷体_GB2312"/>
        </w:rPr>
        <w:t>23</w:t>
      </w:r>
      <w:r>
        <w:rPr>
          <w:rFonts w:hint="eastAsia" w:ascii="楷体_GB2312" w:eastAsia="楷体_GB2312"/>
        </w:rPr>
        <w:fldChar w:fldCharType="end"/>
      </w:r>
      <w:r>
        <w:rPr>
          <w:rFonts w:hint="eastAsia" w:ascii="楷体_GB2312" w:eastAsia="楷体_GB2312"/>
        </w:rPr>
        <w:fldChar w:fldCharType="end"/>
      </w:r>
    </w:p>
    <w:p>
      <w:pPr>
        <w:pStyle w:val="28"/>
        <w:rPr>
          <w:rFonts w:hAnsi="Calibri"/>
          <w:sz w:val="24"/>
          <w:szCs w:val="24"/>
        </w:rPr>
      </w:pPr>
      <w:r>
        <w:fldChar w:fldCharType="begin"/>
      </w:r>
      <w:r>
        <w:instrText xml:space="preserve"> HYPERLINK \l "_Toc89182853" </w:instrText>
      </w:r>
      <w:r>
        <w:fldChar w:fldCharType="separate"/>
      </w:r>
      <w:r>
        <w:rPr>
          <w:rStyle w:val="40"/>
          <w:rFonts w:hint="eastAsia"/>
          <w:sz w:val="24"/>
          <w:szCs w:val="24"/>
        </w:rPr>
        <w:t>一、《贵州省龙里县人民法院委托书》[（2022）黔2730执恢26号]复印件</w:t>
      </w:r>
      <w:r>
        <w:rPr>
          <w:rFonts w:hint="eastAsia"/>
          <w:sz w:val="24"/>
          <w:szCs w:val="24"/>
        </w:rPr>
        <w:tab/>
      </w:r>
      <w:r>
        <w:rPr>
          <w:rFonts w:hint="eastAsia"/>
          <w:sz w:val="24"/>
          <w:szCs w:val="24"/>
        </w:rPr>
        <w:fldChar w:fldCharType="begin"/>
      </w:r>
      <w:r>
        <w:rPr>
          <w:rFonts w:hint="eastAsia"/>
          <w:sz w:val="24"/>
          <w:szCs w:val="24"/>
        </w:rPr>
        <w:instrText xml:space="preserve"> PAGEREF _Toc89182853 \h </w:instrText>
      </w:r>
      <w:r>
        <w:rPr>
          <w:rFonts w:hint="eastAsia"/>
          <w:sz w:val="24"/>
          <w:szCs w:val="24"/>
        </w:rPr>
        <w:fldChar w:fldCharType="separate"/>
      </w:r>
      <w:r>
        <w:rPr>
          <w:rFonts w:hint="eastAsia"/>
          <w:sz w:val="24"/>
          <w:szCs w:val="24"/>
        </w:rPr>
        <w:t>23</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"_Toc89182854" </w:instrText>
      </w:r>
      <w:r>
        <w:fldChar w:fldCharType="separate"/>
      </w:r>
      <w:r>
        <w:rPr>
          <w:rStyle w:val="40"/>
          <w:rFonts w:hint="eastAsia"/>
          <w:sz w:val="24"/>
          <w:szCs w:val="24"/>
        </w:rPr>
        <w:t>二、估价对象位置图</w:t>
      </w:r>
      <w:r>
        <w:rPr>
          <w:rFonts w:hint="eastAsia"/>
          <w:sz w:val="24"/>
          <w:szCs w:val="24"/>
        </w:rPr>
        <w:tab/>
      </w:r>
      <w:r>
        <w:rPr>
          <w:rFonts w:hint="eastAsia"/>
          <w:sz w:val="24"/>
          <w:szCs w:val="24"/>
        </w:rPr>
        <w:fldChar w:fldCharType="begin"/>
      </w:r>
      <w:r>
        <w:rPr>
          <w:rFonts w:hint="eastAsia"/>
          <w:sz w:val="24"/>
          <w:szCs w:val="24"/>
        </w:rPr>
        <w:instrText xml:space="preserve"> PAGEREF _Toc89182854 \h </w:instrText>
      </w:r>
      <w:r>
        <w:rPr>
          <w:rFonts w:hint="eastAsia"/>
          <w:sz w:val="24"/>
          <w:szCs w:val="24"/>
        </w:rPr>
        <w:fldChar w:fldCharType="separate"/>
      </w:r>
      <w:r>
        <w:rPr>
          <w:rFonts w:hint="eastAsia"/>
          <w:sz w:val="24"/>
          <w:szCs w:val="24"/>
        </w:rPr>
        <w:t>23</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"_Toc89182855" </w:instrText>
      </w:r>
      <w:r>
        <w:fldChar w:fldCharType="separate"/>
      </w:r>
      <w:r>
        <w:rPr>
          <w:rStyle w:val="40"/>
          <w:rFonts w:hint="eastAsia"/>
          <w:sz w:val="24"/>
          <w:szCs w:val="24"/>
        </w:rPr>
        <w:t>三、估价对象内外部状况以及周围环境和景观的照片</w:t>
      </w:r>
      <w:r>
        <w:rPr>
          <w:rFonts w:hint="eastAsia"/>
          <w:sz w:val="24"/>
          <w:szCs w:val="24"/>
        </w:rPr>
        <w:tab/>
      </w:r>
      <w:r>
        <w:rPr>
          <w:rFonts w:hint="eastAsia"/>
          <w:sz w:val="24"/>
          <w:szCs w:val="24"/>
        </w:rPr>
        <w:fldChar w:fldCharType="begin"/>
      </w:r>
      <w:r>
        <w:rPr>
          <w:rFonts w:hint="eastAsia"/>
          <w:sz w:val="24"/>
          <w:szCs w:val="24"/>
        </w:rPr>
        <w:instrText xml:space="preserve"> PAGEREF _Toc89182855 \h </w:instrText>
      </w:r>
      <w:r>
        <w:rPr>
          <w:rFonts w:hint="eastAsia"/>
          <w:sz w:val="24"/>
          <w:szCs w:val="24"/>
        </w:rPr>
        <w:fldChar w:fldCharType="separate"/>
      </w:r>
      <w:r>
        <w:rPr>
          <w:rFonts w:hint="eastAsia"/>
          <w:sz w:val="24"/>
          <w:szCs w:val="24"/>
        </w:rPr>
        <w:t>23</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"_Toc89182856" </w:instrText>
      </w:r>
      <w:r>
        <w:fldChar w:fldCharType="separate"/>
      </w:r>
      <w:r>
        <w:rPr>
          <w:rStyle w:val="40"/>
          <w:rFonts w:hint="eastAsia"/>
          <w:sz w:val="24"/>
          <w:szCs w:val="24"/>
        </w:rPr>
        <w:t>四、估价对象实地查勘情况表</w:t>
      </w:r>
      <w:r>
        <w:rPr>
          <w:rFonts w:hint="eastAsia"/>
          <w:sz w:val="24"/>
          <w:szCs w:val="24"/>
        </w:rPr>
        <w:tab/>
      </w:r>
      <w:r>
        <w:rPr>
          <w:rFonts w:hint="eastAsia"/>
          <w:sz w:val="24"/>
          <w:szCs w:val="24"/>
        </w:rPr>
        <w:fldChar w:fldCharType="begin"/>
      </w:r>
      <w:r>
        <w:rPr>
          <w:rFonts w:hint="eastAsia"/>
          <w:sz w:val="24"/>
          <w:szCs w:val="24"/>
        </w:rPr>
        <w:instrText xml:space="preserve"> PAGEREF _Toc89182856 \h </w:instrText>
      </w:r>
      <w:r>
        <w:rPr>
          <w:rFonts w:hint="eastAsia"/>
          <w:sz w:val="24"/>
          <w:szCs w:val="24"/>
        </w:rPr>
        <w:fldChar w:fldCharType="separate"/>
      </w:r>
      <w:r>
        <w:rPr>
          <w:rFonts w:hint="eastAsia"/>
          <w:sz w:val="24"/>
          <w:szCs w:val="24"/>
        </w:rPr>
        <w:t>23</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"_Toc89182857" </w:instrText>
      </w:r>
      <w:r>
        <w:fldChar w:fldCharType="separate"/>
      </w:r>
      <w:r>
        <w:rPr>
          <w:rStyle w:val="40"/>
          <w:rFonts w:hint="eastAsia"/>
          <w:sz w:val="24"/>
          <w:szCs w:val="24"/>
        </w:rPr>
        <w:t>五、估价对象权属证明复印件</w:t>
      </w:r>
      <w:r>
        <w:rPr>
          <w:rFonts w:hint="eastAsia"/>
          <w:sz w:val="24"/>
          <w:szCs w:val="24"/>
        </w:rPr>
        <w:tab/>
      </w:r>
      <w:r>
        <w:rPr>
          <w:rFonts w:hint="eastAsia"/>
          <w:sz w:val="24"/>
          <w:szCs w:val="24"/>
        </w:rPr>
        <w:fldChar w:fldCharType="begin"/>
      </w:r>
      <w:r>
        <w:rPr>
          <w:rFonts w:hint="eastAsia"/>
          <w:sz w:val="24"/>
          <w:szCs w:val="24"/>
        </w:rPr>
        <w:instrText xml:space="preserve"> PAGEREF _Toc89182857 \h </w:instrText>
      </w:r>
      <w:r>
        <w:rPr>
          <w:rFonts w:hint="eastAsia"/>
          <w:sz w:val="24"/>
          <w:szCs w:val="24"/>
        </w:rPr>
        <w:fldChar w:fldCharType="separate"/>
      </w:r>
      <w:r>
        <w:rPr>
          <w:rFonts w:hint="eastAsia"/>
          <w:sz w:val="24"/>
          <w:szCs w:val="24"/>
        </w:rPr>
        <w:t>23</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"_Toc89182858" </w:instrText>
      </w:r>
      <w:r>
        <w:fldChar w:fldCharType="separate"/>
      </w:r>
      <w:r>
        <w:rPr>
          <w:rStyle w:val="40"/>
          <w:rFonts w:hint="eastAsia"/>
          <w:sz w:val="24"/>
          <w:szCs w:val="24"/>
        </w:rPr>
        <w:t>六、房地产估价机构营业执照和备案证书复印件</w:t>
      </w:r>
      <w:r>
        <w:rPr>
          <w:rFonts w:hint="eastAsia"/>
          <w:sz w:val="24"/>
          <w:szCs w:val="24"/>
        </w:rPr>
        <w:tab/>
      </w:r>
      <w:r>
        <w:rPr>
          <w:rFonts w:hint="eastAsia"/>
          <w:sz w:val="24"/>
          <w:szCs w:val="24"/>
        </w:rPr>
        <w:fldChar w:fldCharType="begin"/>
      </w:r>
      <w:r>
        <w:rPr>
          <w:rFonts w:hint="eastAsia"/>
          <w:sz w:val="24"/>
          <w:szCs w:val="24"/>
        </w:rPr>
        <w:instrText xml:space="preserve"> PAGEREF _Toc89182858 \h </w:instrText>
      </w:r>
      <w:r>
        <w:rPr>
          <w:rFonts w:hint="eastAsia"/>
          <w:sz w:val="24"/>
          <w:szCs w:val="24"/>
        </w:rPr>
        <w:fldChar w:fldCharType="separate"/>
      </w:r>
      <w:r>
        <w:rPr>
          <w:rFonts w:hint="eastAsia"/>
          <w:sz w:val="24"/>
          <w:szCs w:val="24"/>
        </w:rPr>
        <w:t>23</w:t>
      </w:r>
      <w:r>
        <w:rPr>
          <w:rFonts w:hint="eastAsia"/>
          <w:sz w:val="24"/>
          <w:szCs w:val="24"/>
        </w:rPr>
        <w:fldChar w:fldCharType="end"/>
      </w:r>
      <w:r>
        <w:rPr>
          <w:rFonts w:hint="eastAsia"/>
          <w:sz w:val="24"/>
          <w:szCs w:val="24"/>
        </w:rPr>
        <w:fldChar w:fldCharType="end"/>
      </w:r>
    </w:p>
    <w:p>
      <w:pPr>
        <w:pStyle w:val="28"/>
        <w:rPr>
          <w:rFonts w:hAnsi="Calibri"/>
          <w:sz w:val="24"/>
          <w:szCs w:val="24"/>
        </w:rPr>
      </w:pPr>
      <w:r>
        <w:fldChar w:fldCharType="begin"/>
      </w:r>
      <w:r>
        <w:instrText xml:space="preserve"> HYPERLINK \l "_Toc89182859" </w:instrText>
      </w:r>
      <w:r>
        <w:fldChar w:fldCharType="separate"/>
      </w:r>
      <w:r>
        <w:rPr>
          <w:rStyle w:val="40"/>
          <w:rFonts w:hint="eastAsia"/>
          <w:sz w:val="24"/>
          <w:szCs w:val="24"/>
        </w:rPr>
        <w:t>七、注册房地产估价师估价资格证书复印件</w:t>
      </w:r>
      <w:r>
        <w:rPr>
          <w:rFonts w:hint="eastAsia"/>
          <w:sz w:val="24"/>
          <w:szCs w:val="24"/>
        </w:rPr>
        <w:tab/>
      </w:r>
      <w:r>
        <w:rPr>
          <w:rFonts w:hint="eastAsia"/>
          <w:sz w:val="24"/>
          <w:szCs w:val="24"/>
        </w:rPr>
        <w:fldChar w:fldCharType="begin"/>
      </w:r>
      <w:r>
        <w:rPr>
          <w:rFonts w:hint="eastAsia"/>
          <w:sz w:val="24"/>
          <w:szCs w:val="24"/>
        </w:rPr>
        <w:instrText xml:space="preserve"> PAGEREF _Toc89182859 \h </w:instrText>
      </w:r>
      <w:r>
        <w:rPr>
          <w:rFonts w:hint="eastAsia"/>
          <w:sz w:val="24"/>
          <w:szCs w:val="24"/>
        </w:rPr>
        <w:fldChar w:fldCharType="separate"/>
      </w:r>
      <w:r>
        <w:rPr>
          <w:rFonts w:hint="eastAsia"/>
          <w:sz w:val="24"/>
          <w:szCs w:val="24"/>
        </w:rPr>
        <w:t>23</w:t>
      </w:r>
      <w:r>
        <w:rPr>
          <w:rFonts w:hint="eastAsia"/>
          <w:sz w:val="24"/>
          <w:szCs w:val="24"/>
        </w:rPr>
        <w:fldChar w:fldCharType="end"/>
      </w:r>
      <w:r>
        <w:rPr>
          <w:rFonts w:hint="eastAsia"/>
          <w:sz w:val="24"/>
          <w:szCs w:val="24"/>
        </w:rPr>
        <w:fldChar w:fldCharType="end"/>
      </w:r>
    </w:p>
    <w:p>
      <w:pPr>
        <w:pStyle w:val="16"/>
        <w:spacing w:line="400" w:lineRule="exact"/>
        <w:jc w:val="center"/>
        <w:rPr>
          <w:rFonts w:ascii="楷体_GB2312" w:hAnsi="Times New Roman" w:eastAsia="楷体_GB2312"/>
          <w:iCs/>
          <w:kern w:val="2"/>
          <w:sz w:val="24"/>
          <w:szCs w:val="24"/>
          <w:highlight w:val="yellow"/>
        </w:rPr>
      </w:pPr>
      <w:r>
        <w:rPr>
          <w:rFonts w:hint="eastAsia" w:ascii="楷体_GB2312" w:hAnsi="Times New Roman" w:eastAsia="楷体_GB2312"/>
          <w:bCs/>
          <w:kern w:val="2"/>
          <w:sz w:val="24"/>
          <w:szCs w:val="24"/>
          <w:highlight w:val="yellow"/>
        </w:rPr>
        <w:fldChar w:fldCharType="end"/>
      </w:r>
    </w:p>
    <w:p>
      <w:pPr>
        <w:pStyle w:val="16"/>
        <w:spacing w:line="340" w:lineRule="exact"/>
        <w:jc w:val="center"/>
        <w:rPr>
          <w:rFonts w:ascii="楷体_GB2312" w:eastAsia="楷体_GB2312"/>
          <w:bCs/>
          <w:sz w:val="24"/>
          <w:szCs w:val="24"/>
          <w:highlight w:val="yellow"/>
        </w:rPr>
      </w:pPr>
    </w:p>
    <w:p>
      <w:pPr>
        <w:pStyle w:val="16"/>
        <w:spacing w:line="340" w:lineRule="exact"/>
        <w:jc w:val="center"/>
        <w:rPr>
          <w:rFonts w:ascii="楷体_GB2312" w:eastAsia="楷体_GB2312"/>
          <w:bCs/>
          <w:sz w:val="24"/>
          <w:szCs w:val="24"/>
          <w:highlight w:val="yellow"/>
        </w:rPr>
      </w:pPr>
    </w:p>
    <w:p>
      <w:pPr>
        <w:pStyle w:val="16"/>
        <w:spacing w:line="340" w:lineRule="exact"/>
        <w:rPr>
          <w:rFonts w:ascii="楷体_GB2312" w:eastAsia="楷体_GB2312"/>
          <w:bCs/>
          <w:sz w:val="24"/>
          <w:szCs w:val="24"/>
          <w:highlight w:val="yellow"/>
        </w:rPr>
      </w:pPr>
    </w:p>
    <w:p>
      <w:pPr>
        <w:pStyle w:val="2"/>
        <w:spacing w:before="0" w:after="0"/>
        <w:jc w:val="center"/>
        <w:rPr>
          <w:rFonts w:ascii="黑体" w:hAnsi="黑体" w:eastAsia="黑体"/>
          <w:sz w:val="36"/>
          <w:szCs w:val="36"/>
        </w:rPr>
      </w:pPr>
      <w:bookmarkStart w:id="2" w:name="_Toc89182837"/>
      <w:bookmarkStart w:id="3" w:name="_Toc322348926"/>
      <w:r>
        <w:rPr>
          <w:rFonts w:hint="eastAsia" w:ascii="黑体" w:hAnsi="黑体" w:eastAsia="黑体"/>
          <w:sz w:val="36"/>
          <w:szCs w:val="36"/>
        </w:rPr>
        <w:t>估价师声明</w:t>
      </w:r>
      <w:bookmarkEnd w:id="2"/>
      <w:bookmarkEnd w:id="3"/>
    </w:p>
    <w:p>
      <w:pPr>
        <w:pStyle w:val="18"/>
        <w:snapToGrid w:val="0"/>
        <w:spacing w:line="480" w:lineRule="exact"/>
        <w:rPr>
          <w:rFonts w:ascii="楷体_GB2312" w:eastAsia="楷体_GB2312"/>
          <w:sz w:val="28"/>
        </w:rPr>
      </w:pPr>
      <w:bookmarkStart w:id="4" w:name="_Toc322348927"/>
      <w:r>
        <w:rPr>
          <w:rFonts w:hint="eastAsia" w:ascii="楷体_GB2312" w:eastAsia="楷体_GB2312"/>
          <w:sz w:val="28"/>
        </w:rPr>
        <w:t>我们郑重声明：</w:t>
      </w:r>
    </w:p>
    <w:p>
      <w:pPr>
        <w:numPr>
          <w:ilvl w:val="0"/>
          <w:numId w:val="1"/>
        </w:numPr>
        <w:tabs>
          <w:tab w:val="left" w:pos="735"/>
          <w:tab w:val="left" w:pos="945"/>
          <w:tab w:val="clear" w:pos="930"/>
        </w:tabs>
        <w:snapToGrid w:val="0"/>
        <w:spacing w:line="480" w:lineRule="exact"/>
        <w:ind w:left="0" w:firstLine="570"/>
        <w:rPr>
          <w:rFonts w:ascii="楷体_GB2312" w:eastAsia="楷体_GB2312"/>
          <w:sz w:val="28"/>
        </w:rPr>
      </w:pPr>
      <w:r>
        <w:rPr>
          <w:rFonts w:hint="eastAsia" w:ascii="楷体_GB2312" w:eastAsia="楷体_GB2312"/>
          <w:sz w:val="28"/>
        </w:rPr>
        <w:t>注册房地产估价师在本估价报告中陈述的事实是真实的和准确的，没有虚假记载、误导性陈述和重大遗漏。</w:t>
      </w:r>
    </w:p>
    <w:p>
      <w:pPr>
        <w:numPr>
          <w:ilvl w:val="0"/>
          <w:numId w:val="1"/>
        </w:numPr>
        <w:tabs>
          <w:tab w:val="left" w:pos="735"/>
          <w:tab w:val="left" w:pos="945"/>
          <w:tab w:val="clear" w:pos="930"/>
        </w:tabs>
        <w:snapToGrid w:val="0"/>
        <w:spacing w:line="480" w:lineRule="exact"/>
        <w:ind w:left="0" w:firstLine="570"/>
        <w:rPr>
          <w:rFonts w:ascii="楷体_GB2312" w:eastAsia="楷体_GB2312"/>
          <w:sz w:val="28"/>
        </w:rPr>
      </w:pPr>
      <w:r>
        <w:rPr>
          <w:rFonts w:hint="eastAsia" w:ascii="楷体_GB2312" w:eastAsia="楷体_GB2312"/>
          <w:sz w:val="28"/>
        </w:rPr>
        <w:t>本估价报告中的分析、意见和结论是注册房地产估价师独立、客观、公正的专业分析、意见和结论，但受到本估价报告中已说明的假设和限制条件的限制。</w:t>
      </w:r>
    </w:p>
    <w:p>
      <w:pPr>
        <w:numPr>
          <w:ilvl w:val="0"/>
          <w:numId w:val="1"/>
        </w:numPr>
        <w:tabs>
          <w:tab w:val="left" w:pos="735"/>
          <w:tab w:val="left" w:pos="945"/>
          <w:tab w:val="clear" w:pos="930"/>
        </w:tabs>
        <w:snapToGrid w:val="0"/>
        <w:spacing w:line="480" w:lineRule="exact"/>
        <w:ind w:left="0" w:firstLine="570"/>
        <w:rPr>
          <w:rFonts w:ascii="楷体_GB2312" w:eastAsia="楷体_GB2312"/>
          <w:sz w:val="28"/>
        </w:rPr>
      </w:pPr>
      <w:r>
        <w:rPr>
          <w:rFonts w:hint="eastAsia" w:ascii="楷体_GB2312" w:eastAsia="楷体_GB2312"/>
          <w:sz w:val="28"/>
        </w:rPr>
        <w:t>注册房地产估价师与本估价报告中的估价对象没有现实或潜在的利益，与估价委托人及估价利害关系人没有利害关系，也对估价对象、估价委托人及估价利害关系人没有偏见。</w:t>
      </w:r>
    </w:p>
    <w:p>
      <w:pPr>
        <w:numPr>
          <w:ilvl w:val="0"/>
          <w:numId w:val="1"/>
        </w:numPr>
        <w:tabs>
          <w:tab w:val="left" w:pos="735"/>
          <w:tab w:val="left" w:pos="945"/>
          <w:tab w:val="clear" w:pos="930"/>
        </w:tabs>
        <w:snapToGrid w:val="0"/>
        <w:spacing w:line="480" w:lineRule="exact"/>
        <w:ind w:left="0" w:firstLine="570"/>
        <w:rPr>
          <w:rFonts w:ascii="楷体_GB2312" w:hAnsi="宋体" w:eastAsia="楷体_GB2312"/>
          <w:sz w:val="28"/>
        </w:rPr>
      </w:pPr>
      <w:r>
        <w:rPr>
          <w:rFonts w:hint="eastAsia" w:ascii="楷体_GB2312" w:eastAsia="楷体_GB2312"/>
          <w:sz w:val="28"/>
        </w:rPr>
        <w:t>注册房地产估价师是按照中华人民共和国国家标准《房地产估价规范》（</w:t>
      </w:r>
      <w:r>
        <w:rPr>
          <w:rFonts w:ascii="楷体_GB2312" w:eastAsia="楷体_GB2312"/>
          <w:sz w:val="28"/>
        </w:rPr>
        <w:t>GB/T50291-2015</w:t>
      </w:r>
      <w:r>
        <w:rPr>
          <w:rFonts w:hint="eastAsia" w:ascii="楷体_GB2312" w:eastAsia="楷体_GB2312"/>
          <w:sz w:val="28"/>
        </w:rPr>
        <w:t>）《房地产估价基本术语标准》（</w:t>
      </w:r>
      <w:r>
        <w:rPr>
          <w:rFonts w:ascii="楷体_GB2312" w:eastAsia="楷体_GB2312"/>
          <w:sz w:val="28"/>
        </w:rPr>
        <w:t>GB/T50899-2013</w:t>
      </w:r>
      <w:r>
        <w:rPr>
          <w:rFonts w:hint="eastAsia" w:ascii="楷体_GB2312" w:eastAsia="楷体_GB2312"/>
          <w:sz w:val="28"/>
        </w:rPr>
        <w:t>）的规定进行分析、形成意见和结论，撰写本估价报告。</w:t>
      </w:r>
    </w:p>
    <w:p>
      <w:pPr>
        <w:numPr>
          <w:ilvl w:val="0"/>
          <w:numId w:val="1"/>
        </w:numPr>
        <w:tabs>
          <w:tab w:val="left" w:pos="735"/>
          <w:tab w:val="left" w:pos="945"/>
          <w:tab w:val="clear" w:pos="930"/>
        </w:tabs>
        <w:snapToGrid w:val="0"/>
        <w:spacing w:line="480" w:lineRule="exact"/>
        <w:ind w:left="0" w:firstLine="570"/>
        <w:rPr>
          <w:rFonts w:ascii="楷体_GB2312" w:eastAsia="楷体_GB2312"/>
          <w:sz w:val="28"/>
        </w:rPr>
      </w:pPr>
      <w:r>
        <w:rPr>
          <w:rFonts w:hint="eastAsia" w:ascii="楷体_GB2312" w:eastAsia="楷体_GB2312"/>
          <w:sz w:val="28"/>
        </w:rPr>
        <w:t>没有外部专家和单位对本估价报告提供重要专业帮助。</w:t>
      </w: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tabs>
          <w:tab w:val="left" w:pos="735"/>
          <w:tab w:val="left" w:pos="945"/>
        </w:tabs>
        <w:snapToGrid w:val="0"/>
        <w:spacing w:line="480" w:lineRule="exact"/>
        <w:ind w:left="570"/>
        <w:rPr>
          <w:rFonts w:ascii="楷体_GB2312" w:eastAsia="楷体_GB2312"/>
          <w:sz w:val="28"/>
        </w:rPr>
      </w:pPr>
    </w:p>
    <w:p>
      <w:pPr>
        <w:pStyle w:val="2"/>
        <w:spacing w:before="0" w:after="0"/>
        <w:jc w:val="center"/>
        <w:rPr>
          <w:rFonts w:ascii="黑体" w:hAnsi="黑体" w:eastAsia="黑体"/>
          <w:sz w:val="36"/>
          <w:szCs w:val="36"/>
        </w:rPr>
      </w:pPr>
      <w:bookmarkStart w:id="5" w:name="_Toc89182838"/>
      <w:r>
        <w:rPr>
          <w:rFonts w:hint="eastAsia" w:ascii="黑体" w:hAnsi="黑体" w:eastAsia="黑体"/>
          <w:sz w:val="36"/>
          <w:szCs w:val="36"/>
        </w:rPr>
        <w:t>估价假设和限制条件</w:t>
      </w:r>
      <w:bookmarkEnd w:id="4"/>
      <w:bookmarkEnd w:id="5"/>
    </w:p>
    <w:p>
      <w:pPr>
        <w:pStyle w:val="4"/>
        <w:spacing w:line="400" w:lineRule="exact"/>
        <w:ind w:firstLine="0"/>
        <w:rPr>
          <w:rFonts w:ascii="黑体" w:eastAsia="黑体"/>
          <w:b/>
        </w:rPr>
      </w:pPr>
      <w:r>
        <w:rPr>
          <w:rFonts w:hint="eastAsia" w:ascii="黑体" w:eastAsia="黑体"/>
          <w:b/>
        </w:rPr>
        <w:t>一、估价的假设条件</w:t>
      </w:r>
    </w:p>
    <w:p>
      <w:pPr>
        <w:snapToGrid w:val="0"/>
        <w:spacing w:line="400" w:lineRule="exact"/>
        <w:ind w:firstLine="560" w:firstLineChars="200"/>
        <w:rPr>
          <w:rFonts w:ascii="黑体" w:eastAsia="黑体"/>
          <w:b/>
          <w:sz w:val="28"/>
        </w:rPr>
      </w:pPr>
      <w:r>
        <w:rPr>
          <w:rFonts w:hint="eastAsia" w:ascii="楷体_GB2312" w:eastAsia="楷体_GB2312"/>
          <w:sz w:val="28"/>
        </w:rPr>
        <w:t>估价假设条件是针对估价对象状况等估价前提所做的必要的、合理且有依据的假设，包括一般假设、未定事项假设、背离事实假设、不相一致假设、依据不足假设。</w:t>
      </w:r>
    </w:p>
    <w:p>
      <w:pPr>
        <w:tabs>
          <w:tab w:val="left" w:pos="1134"/>
          <w:tab w:val="left" w:pos="3940"/>
        </w:tabs>
        <w:snapToGrid w:val="0"/>
        <w:spacing w:line="400" w:lineRule="exact"/>
        <w:ind w:firstLine="562" w:firstLineChars="200"/>
        <w:rPr>
          <w:rFonts w:ascii="黑体" w:eastAsia="黑体"/>
          <w:b/>
          <w:sz w:val="28"/>
        </w:rPr>
      </w:pPr>
    </w:p>
    <w:p>
      <w:pPr>
        <w:tabs>
          <w:tab w:val="left" w:pos="1134"/>
          <w:tab w:val="left" w:pos="3940"/>
        </w:tabs>
        <w:snapToGrid w:val="0"/>
        <w:spacing w:line="400" w:lineRule="exact"/>
        <w:ind w:firstLine="562" w:firstLineChars="200"/>
        <w:rPr>
          <w:rFonts w:ascii="黑体" w:eastAsia="黑体"/>
          <w:b/>
          <w:sz w:val="28"/>
        </w:rPr>
      </w:pPr>
      <w:r>
        <w:rPr>
          <w:rFonts w:hint="eastAsia" w:ascii="黑体" w:eastAsia="黑体"/>
          <w:b/>
          <w:sz w:val="28"/>
        </w:rPr>
        <w:t>（一）一般假设</w:t>
      </w:r>
    </w:p>
    <w:p>
      <w:pPr>
        <w:snapToGrid w:val="0"/>
        <w:spacing w:line="480" w:lineRule="exact"/>
        <w:ind w:firstLine="560" w:firstLineChars="200"/>
        <w:rPr>
          <w:rFonts w:ascii="楷体_GB2312" w:eastAsia="楷体_GB2312"/>
          <w:sz w:val="28"/>
        </w:rPr>
      </w:pPr>
      <w:r>
        <w:rPr>
          <w:rFonts w:hint="eastAsia" w:ascii="楷体_GB2312" w:eastAsia="楷体_GB2312"/>
          <w:sz w:val="28"/>
        </w:rPr>
        <w:t>一般假设是对估价所依据的估价对象的权属、面积、用途等资料进行了检查，在无理由怀疑其合法性、真实性、准确性和完整性且未予以核实的情况下，对其合</w:t>
      </w:r>
      <w:r>
        <w:rPr>
          <w:rFonts w:hint="eastAsia" w:ascii="楷体_GB2312" w:hAnsi="楷体_GB2312" w:eastAsia="楷体_GB2312" w:cs="楷体_GB2312"/>
          <w:sz w:val="28"/>
        </w:rPr>
        <w:t>法、真实、准确和完整的合理假定</w:t>
      </w:r>
      <w:r>
        <w:rPr>
          <w:rFonts w:hint="eastAsia" w:ascii="楷体_GB2312" w:eastAsia="楷体_GB2312"/>
          <w:sz w:val="28"/>
        </w:rPr>
        <w:t>;对房屋安全、环境污染等影响估价对象价值或价格的重大因素给予了关注，在无理由怀疑估价对象存在安全隐患且无相应的专业机构进行鉴定、检测的情况下、对其安全的合理假定。</w:t>
      </w:r>
    </w:p>
    <w:p>
      <w:pPr>
        <w:snapToGrid w:val="0"/>
        <w:spacing w:line="480" w:lineRule="exact"/>
        <w:ind w:firstLine="560" w:firstLineChars="200"/>
        <w:rPr>
          <w:rFonts w:ascii="楷体_GB2312" w:hAnsi="宋体" w:eastAsia="楷体_GB2312" w:cs="宋体"/>
          <w:kern w:val="0"/>
          <w:sz w:val="28"/>
          <w:szCs w:val="28"/>
        </w:rPr>
      </w:pPr>
      <w:r>
        <w:rPr>
          <w:rFonts w:hint="eastAsia" w:ascii="楷体_GB2312" w:hAnsi="宋体" w:eastAsia="楷体_GB2312" w:cs="宋体"/>
          <w:kern w:val="0"/>
          <w:sz w:val="28"/>
          <w:szCs w:val="28"/>
        </w:rPr>
        <w:t>1</w:t>
      </w:r>
      <w:r>
        <w:rPr>
          <w:rFonts w:ascii="楷体_GB2312" w:hAnsi="宋体" w:eastAsia="楷体_GB2312" w:cs="宋体"/>
          <w:kern w:val="0"/>
          <w:sz w:val="28"/>
          <w:szCs w:val="28"/>
        </w:rPr>
        <w:t>.</w:t>
      </w:r>
      <w:r>
        <w:rPr>
          <w:rFonts w:hint="eastAsia" w:ascii="楷体_GB2312" w:hAnsi="宋体" w:eastAsia="楷体_GB2312" w:cs="宋体"/>
          <w:kern w:val="0"/>
          <w:sz w:val="28"/>
          <w:szCs w:val="28"/>
        </w:rPr>
        <w:t>由于估价目的的特殊性，</w:t>
      </w:r>
      <w:r>
        <w:rPr>
          <w:rFonts w:hint="eastAsia" w:ascii="楷体_GB2312" w:eastAsia="楷体_GB2312"/>
          <w:sz w:val="28"/>
        </w:rPr>
        <w:t>《国有土地使用证》（龙国用（2000）字第035号）、《房屋所有权证》（龙房权证龙山镇字第05071902号、龙房权证龙山镇字第05071903号、龙房权证龙山镇字第05071904号）由</w:t>
      </w:r>
      <w:r>
        <w:rPr>
          <w:rFonts w:hint="eastAsia" w:ascii="楷体_GB2312" w:hAnsi="宋体" w:eastAsia="楷体_GB2312" w:cs="宋体"/>
          <w:kern w:val="0"/>
          <w:sz w:val="28"/>
          <w:szCs w:val="28"/>
        </w:rPr>
        <w:t>估价委托人提供，我们未向政府有关部门进行核实；在无理由怀疑其合法性、真实性、准确性和完整性的情况下，假定估价委托人提供的资料合法、真实、准确、完整。</w:t>
      </w:r>
    </w:p>
    <w:p>
      <w:pPr>
        <w:snapToGrid w:val="0"/>
        <w:spacing w:line="480" w:lineRule="exact"/>
        <w:ind w:firstLine="560" w:firstLineChars="200"/>
        <w:rPr>
          <w:rFonts w:ascii="楷体_GB2312" w:hAnsi="宋体" w:eastAsia="楷体_GB2312" w:cs="宋体"/>
          <w:kern w:val="0"/>
          <w:sz w:val="28"/>
          <w:szCs w:val="28"/>
        </w:rPr>
      </w:pPr>
      <w:r>
        <w:rPr>
          <w:rFonts w:hint="eastAsia" w:ascii="楷体_GB2312" w:hAnsi="宋体" w:eastAsia="楷体_GB2312" w:cs="宋体"/>
          <w:kern w:val="0"/>
          <w:sz w:val="28"/>
          <w:szCs w:val="28"/>
        </w:rPr>
        <w:t>2</w:t>
      </w:r>
      <w:r>
        <w:rPr>
          <w:rFonts w:ascii="楷体_GB2312" w:hAnsi="宋体" w:eastAsia="楷体_GB2312" w:cs="宋体"/>
          <w:kern w:val="0"/>
          <w:sz w:val="28"/>
          <w:szCs w:val="28"/>
        </w:rPr>
        <w:t>.</w:t>
      </w:r>
      <w:r>
        <w:rPr>
          <w:rFonts w:hint="eastAsia" w:ascii="楷体_GB2312" w:hAnsi="宋体" w:eastAsia="楷体_GB2312" w:cs="宋体"/>
          <w:kern w:val="0"/>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945"/>
          <w:tab w:val="left" w:pos="1050"/>
          <w:tab w:val="left" w:pos="1493"/>
        </w:tabs>
        <w:snapToGrid w:val="0"/>
        <w:spacing w:line="480" w:lineRule="exact"/>
        <w:ind w:firstLine="560" w:firstLineChars="200"/>
        <w:rPr>
          <w:rFonts w:ascii="楷体_GB2312" w:hAnsi="宋体" w:eastAsia="楷体_GB2312" w:cs="宋体"/>
          <w:kern w:val="0"/>
          <w:sz w:val="28"/>
          <w:szCs w:val="28"/>
        </w:rPr>
      </w:pPr>
      <w:r>
        <w:rPr>
          <w:rFonts w:hint="eastAsia" w:ascii="楷体_GB2312" w:hAnsi="宋体" w:eastAsia="楷体_GB2312" w:cs="宋体"/>
          <w:kern w:val="0"/>
          <w:sz w:val="28"/>
          <w:szCs w:val="28"/>
        </w:rPr>
        <w:t>3.</w:t>
      </w:r>
      <w:r>
        <w:rPr>
          <w:rFonts w:hint="eastAsia" w:ascii="楷体_GB2312" w:eastAsia="楷体_GB2312"/>
          <w:sz w:val="28"/>
        </w:rPr>
        <w:t>注册房地产估价师未对房屋建筑面积进行专业测量，但予以了关注，经现场查勘观察，估价对象的建筑面积及土地使用权面积与《国有土地使用证》（龙国用（2000）字第035号）、《房屋所有权证》（龙房权证龙山镇字第05071902号、龙房权证龙山镇字第05071903号、龙房权证龙山镇字第05071904号）记载的面积大体相当。估价对象的建筑面积及土地使用权面积，以估价委托人提供的《国有土地使用证》、《房屋所有权证》记载面积为依据。</w:t>
      </w:r>
    </w:p>
    <w:p>
      <w:pPr>
        <w:snapToGrid w:val="0"/>
        <w:spacing w:line="480" w:lineRule="exact"/>
        <w:ind w:firstLine="560" w:firstLineChars="200"/>
        <w:rPr>
          <w:rFonts w:ascii="楷体_GB2312" w:eastAsia="楷体_GB2312"/>
          <w:spacing w:val="-8"/>
          <w:sz w:val="28"/>
        </w:rPr>
      </w:pPr>
      <w:r>
        <w:rPr>
          <w:rFonts w:hint="eastAsia" w:ascii="楷体_GB2312" w:eastAsia="楷体_GB2312"/>
          <w:sz w:val="28"/>
        </w:rPr>
        <w:t>4</w:t>
      </w:r>
      <w:r>
        <w:rPr>
          <w:rFonts w:ascii="楷体_GB2312" w:eastAsia="楷体_GB2312"/>
          <w:sz w:val="28"/>
        </w:rPr>
        <w:t>.</w:t>
      </w:r>
      <w:r>
        <w:rPr>
          <w:rFonts w:hint="eastAsia" w:ascii="楷体_GB2312" w:eastAsia="楷体_GB2312"/>
          <w:sz w:val="28"/>
        </w:rPr>
        <w:t>估价对象在价值时点的房地产市场为公开、平等、自愿的交易市场，即能满足以下条件</w:t>
      </w:r>
      <w:r>
        <w:rPr>
          <w:rFonts w:hint="eastAsia" w:ascii="楷体_GB2312" w:eastAsia="楷体_GB2312"/>
          <w:spacing w:val="-8"/>
          <w:sz w:val="28"/>
        </w:rPr>
        <w:t>：</w:t>
      </w:r>
    </w:p>
    <w:p>
      <w:pPr>
        <w:snapToGrid w:val="0"/>
        <w:spacing w:line="480" w:lineRule="exact"/>
        <w:ind w:firstLine="528" w:firstLineChars="200"/>
        <w:rPr>
          <w:rFonts w:ascii="楷体_GB2312" w:eastAsia="楷体_GB2312"/>
          <w:sz w:val="28"/>
        </w:rPr>
      </w:pPr>
      <w:r>
        <w:rPr>
          <w:rFonts w:ascii="楷体_GB2312" w:eastAsia="楷体_GB2312"/>
          <w:spacing w:val="-8"/>
          <w:sz w:val="28"/>
        </w:rPr>
        <w:t>(1)</w:t>
      </w:r>
      <w:r>
        <w:rPr>
          <w:rFonts w:hint="eastAsia" w:ascii="楷体_GB2312" w:eastAsia="楷体_GB2312"/>
          <w:sz w:val="28"/>
        </w:rPr>
        <w:t>交易双方自愿的进行交易；</w:t>
      </w:r>
    </w:p>
    <w:p>
      <w:pPr>
        <w:snapToGrid w:val="0"/>
        <w:spacing w:line="480" w:lineRule="exact"/>
        <w:ind w:firstLine="528" w:firstLineChars="200"/>
        <w:rPr>
          <w:rFonts w:ascii="楷体_GB2312" w:eastAsia="楷体_GB2312"/>
          <w:sz w:val="28"/>
        </w:rPr>
      </w:pPr>
      <w:r>
        <w:rPr>
          <w:rFonts w:ascii="楷体_GB2312" w:eastAsia="楷体_GB2312"/>
          <w:spacing w:val="-8"/>
          <w:sz w:val="28"/>
        </w:rPr>
        <w:t>(2)</w:t>
      </w:r>
      <w:r>
        <w:rPr>
          <w:rFonts w:hint="eastAsia" w:ascii="楷体_GB2312" w:eastAsia="楷体_GB2312"/>
          <w:sz w:val="28"/>
        </w:rPr>
        <w:t>交易双方处于利己动机进行交易；</w:t>
      </w:r>
      <w:r>
        <w:rPr>
          <w:rFonts w:ascii="楷体_GB2312" w:eastAsia="楷体_GB2312"/>
          <w:sz w:val="28"/>
        </w:rPr>
        <w:t xml:space="preserve"> </w:t>
      </w:r>
    </w:p>
    <w:p>
      <w:pPr>
        <w:snapToGrid w:val="0"/>
        <w:spacing w:line="480" w:lineRule="exact"/>
        <w:ind w:firstLine="528" w:firstLineChars="200"/>
        <w:rPr>
          <w:rFonts w:ascii="楷体_GB2312" w:eastAsia="楷体_GB2312"/>
          <w:sz w:val="28"/>
        </w:rPr>
      </w:pPr>
      <w:r>
        <w:rPr>
          <w:rFonts w:ascii="楷体_GB2312" w:eastAsia="楷体_GB2312"/>
          <w:spacing w:val="-8"/>
          <w:sz w:val="28"/>
        </w:rPr>
        <w:t>(3)</w:t>
      </w:r>
      <w:r>
        <w:rPr>
          <w:rFonts w:hint="eastAsia" w:ascii="楷体_GB2312" w:eastAsia="楷体_GB2312"/>
          <w:sz w:val="28"/>
        </w:rPr>
        <w:t>交易双方精明、谨慎行事，并了解交易对象、知晓市场行情；</w:t>
      </w:r>
    </w:p>
    <w:p>
      <w:pPr>
        <w:snapToGrid w:val="0"/>
        <w:spacing w:line="480" w:lineRule="exact"/>
        <w:ind w:firstLine="528" w:firstLineChars="200"/>
        <w:rPr>
          <w:rFonts w:ascii="楷体_GB2312" w:eastAsia="楷体_GB2312"/>
          <w:sz w:val="28"/>
        </w:rPr>
      </w:pPr>
      <w:r>
        <w:rPr>
          <w:rFonts w:ascii="楷体_GB2312" w:eastAsia="楷体_GB2312"/>
          <w:spacing w:val="-8"/>
          <w:sz w:val="28"/>
        </w:rPr>
        <w:t>(4)</w:t>
      </w:r>
      <w:r>
        <w:rPr>
          <w:rFonts w:hint="eastAsia" w:ascii="楷体_GB2312" w:eastAsia="楷体_GB2312"/>
          <w:sz w:val="28"/>
        </w:rPr>
        <w:t>交易双方有较充裕的时间进行交易；</w:t>
      </w:r>
    </w:p>
    <w:p>
      <w:pPr>
        <w:snapToGrid w:val="0"/>
        <w:spacing w:line="480" w:lineRule="exact"/>
        <w:ind w:firstLine="528" w:firstLineChars="200"/>
        <w:rPr>
          <w:rFonts w:ascii="楷体_GB2312" w:eastAsia="楷体_GB2312"/>
          <w:spacing w:val="-8"/>
          <w:sz w:val="28"/>
        </w:rPr>
      </w:pPr>
      <w:r>
        <w:rPr>
          <w:rFonts w:ascii="楷体_GB2312" w:eastAsia="楷体_GB2312"/>
          <w:spacing w:val="-8"/>
          <w:sz w:val="28"/>
        </w:rPr>
        <w:t>(5)不存在买者因特殊兴趣而给予附加出价</w:t>
      </w:r>
      <w:r>
        <w:rPr>
          <w:rFonts w:hint="eastAsia" w:ascii="楷体_GB2312" w:eastAsia="楷体_GB2312"/>
          <w:spacing w:val="-8"/>
          <w:sz w:val="28"/>
        </w:rPr>
        <w:t>；</w:t>
      </w:r>
    </w:p>
    <w:p>
      <w:pPr>
        <w:snapToGrid w:val="0"/>
        <w:spacing w:line="480" w:lineRule="exact"/>
        <w:ind w:firstLine="560" w:firstLineChars="200"/>
        <w:rPr>
          <w:rFonts w:ascii="楷体_GB2312" w:eastAsia="楷体_GB2312"/>
          <w:sz w:val="28"/>
        </w:rPr>
      </w:pPr>
      <w:r>
        <w:rPr>
          <w:rFonts w:hint="eastAsia" w:ascii="楷体_GB2312" w:eastAsia="楷体_GB2312"/>
          <w:sz w:val="28"/>
        </w:rPr>
        <w:t>5.估价对象公共配套设施、水、电供应及人流、物流交通均与整体物业为不可分割的一体，因此本次估价是以估价对象可享有合理的公共配套设施、水、电供应及道路交通的使用的权益为假设前提。</w:t>
      </w:r>
    </w:p>
    <w:p>
      <w:pPr>
        <w:snapToGrid w:val="0"/>
        <w:spacing w:line="480" w:lineRule="exact"/>
        <w:ind w:firstLine="560" w:firstLineChars="200"/>
        <w:rPr>
          <w:rFonts w:ascii="楷体_GB2312" w:eastAsia="楷体_GB2312"/>
          <w:sz w:val="28"/>
        </w:rPr>
      </w:pPr>
      <w:r>
        <w:rPr>
          <w:rFonts w:ascii="楷体_GB2312" w:eastAsia="楷体_GB2312"/>
          <w:sz w:val="28"/>
        </w:rPr>
        <w:t>6.</w:t>
      </w:r>
      <w:r>
        <w:rPr>
          <w:rFonts w:hint="eastAsia" w:ascii="楷体_GB2312" w:eastAsia="楷体_GB2312"/>
          <w:sz w:val="28"/>
        </w:rPr>
        <w:t>根据估价委托人提供的《贵州省龙里县人民法院委托书》，人民法院未明确存在租赁权、用益物权及占有使用情况，本次估价对象经注册房地产估价师尽职调查后发现估价对象贵州省龙里县龙山镇青龙路A幢1-5层均已出租，现场向承租方相关工作人员询问，工作人员不清楚具体的租赁情况，因被执行人不配合未提供租赁合同，本次不考虑租赁合同对价值的影响。</w:t>
      </w:r>
    </w:p>
    <w:p>
      <w:pPr>
        <w:snapToGrid w:val="0"/>
        <w:spacing w:line="480" w:lineRule="exact"/>
        <w:ind w:firstLine="560" w:firstLineChars="200"/>
        <w:rPr>
          <w:rFonts w:ascii="楷体_GB2312" w:eastAsia="楷体_GB2312"/>
          <w:sz w:val="28"/>
        </w:rPr>
      </w:pPr>
      <w:r>
        <w:rPr>
          <w:rFonts w:ascii="楷体_GB2312" w:eastAsia="楷体_GB2312"/>
          <w:sz w:val="28"/>
        </w:rPr>
        <w:t>7.</w:t>
      </w:r>
      <w:r>
        <w:rPr>
          <w:rFonts w:hint="eastAsia" w:ascii="楷体_GB2312" w:eastAsia="楷体_GB2312"/>
          <w:sz w:val="28"/>
        </w:rPr>
        <w:t>根据估价委托人提供的《贵州省龙里县人民法院委托书》，人民法院未明确存在欠缴税金及相关费用，包括税收、物业费、供暖费、水电费等及滞纳金，本次估价对象经注册房地产估价师尽职调查后发现相关费用由承租方支付，根据承租方相关工作人员反馈，承租方均准时缴纳相关费用，故本次假定估价对象不存在欠缴税金及相关费用。</w:t>
      </w:r>
    </w:p>
    <w:p>
      <w:pPr>
        <w:snapToGrid w:val="0"/>
        <w:spacing w:line="480" w:lineRule="exact"/>
        <w:ind w:firstLine="560" w:firstLineChars="200"/>
        <w:rPr>
          <w:rFonts w:ascii="楷体_GB2312" w:eastAsia="楷体_GB2312"/>
          <w:sz w:val="28"/>
        </w:rPr>
      </w:pPr>
      <w:r>
        <w:rPr>
          <w:rFonts w:ascii="楷体_GB2312" w:eastAsia="楷体_GB2312"/>
          <w:sz w:val="28"/>
        </w:rPr>
        <w:t>9</w:t>
      </w:r>
      <w:r>
        <w:rPr>
          <w:rFonts w:hint="eastAsia" w:ascii="楷体_GB2312" w:eastAsia="楷体_GB2312"/>
          <w:sz w:val="28"/>
        </w:rPr>
        <w:t>.根据估价委托人提供的</w:t>
      </w:r>
      <w:bookmarkStart w:id="6" w:name="_Hlk88573316"/>
      <w:r>
        <w:rPr>
          <w:rFonts w:hint="eastAsia" w:ascii="楷体_GB2312" w:eastAsia="楷体_GB2312"/>
          <w:sz w:val="28"/>
        </w:rPr>
        <w:t>《贵州省龙里县人民法院委托书》</w:t>
      </w:r>
      <w:bookmarkEnd w:id="6"/>
      <w:r>
        <w:rPr>
          <w:rFonts w:hint="eastAsia" w:ascii="楷体_GB2312" w:eastAsia="楷体_GB2312"/>
          <w:sz w:val="28"/>
        </w:rPr>
        <w:t>，人民法院未书面明确评估费、拍卖费、诉讼费等财产处置费用，相关处置费用如下：</w:t>
      </w:r>
    </w:p>
    <w:tbl>
      <w:tblPr>
        <w:tblStyle w:val="34"/>
        <w:tblW w:w="9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00"/>
        <w:gridCol w:w="935"/>
        <w:gridCol w:w="1627"/>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00"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项目</w:t>
            </w:r>
          </w:p>
        </w:tc>
        <w:tc>
          <w:tcPr>
            <w:tcW w:w="935"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标准</w:t>
            </w:r>
          </w:p>
        </w:tc>
        <w:tc>
          <w:tcPr>
            <w:tcW w:w="1627"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收费</w:t>
            </w:r>
          </w:p>
          <w:p>
            <w:pPr>
              <w:spacing w:line="320" w:lineRule="atLeast"/>
              <w:jc w:val="center"/>
              <w:rPr>
                <w:rFonts w:ascii="楷体_GB2312" w:eastAsia="楷体_GB2312"/>
                <w:sz w:val="24"/>
                <w:szCs w:val="24"/>
              </w:rPr>
            </w:pPr>
            <w:r>
              <w:rPr>
                <w:rFonts w:ascii="楷体_GB2312" w:eastAsia="楷体_GB2312"/>
                <w:sz w:val="24"/>
                <w:szCs w:val="24"/>
              </w:rPr>
              <w:t>(</w:t>
            </w:r>
            <w:r>
              <w:rPr>
                <w:rFonts w:hint="eastAsia" w:ascii="楷体_GB2312" w:eastAsia="楷体_GB2312"/>
                <w:sz w:val="24"/>
                <w:szCs w:val="24"/>
              </w:rPr>
              <w:t>折价</w:t>
            </w:r>
            <w:r>
              <w:rPr>
                <w:rFonts w:ascii="楷体_GB2312" w:eastAsia="楷体_GB2312"/>
                <w:sz w:val="24"/>
                <w:szCs w:val="24"/>
              </w:rPr>
              <w:t>)</w:t>
            </w:r>
            <w:r>
              <w:rPr>
                <w:rFonts w:hint="eastAsia" w:ascii="楷体_GB2312" w:eastAsia="楷体_GB2312"/>
                <w:sz w:val="24"/>
                <w:szCs w:val="24"/>
              </w:rPr>
              <w:t>比例</w:t>
            </w:r>
          </w:p>
        </w:tc>
        <w:tc>
          <w:tcPr>
            <w:tcW w:w="5103"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00"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案件受理费、执行费、其他诉讼费等</w:t>
            </w:r>
          </w:p>
        </w:tc>
        <w:tc>
          <w:tcPr>
            <w:tcW w:w="935"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诉讼标的</w:t>
            </w:r>
          </w:p>
        </w:tc>
        <w:tc>
          <w:tcPr>
            <w:tcW w:w="1627"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合计约</w:t>
            </w:r>
            <w:r>
              <w:rPr>
                <w:rFonts w:ascii="楷体_GB2312" w:eastAsia="楷体_GB2312"/>
                <w:sz w:val="24"/>
                <w:szCs w:val="24"/>
              </w:rPr>
              <w:t>4-5%</w:t>
            </w:r>
          </w:p>
        </w:tc>
        <w:tc>
          <w:tcPr>
            <w:tcW w:w="5103" w:type="dxa"/>
            <w:vAlign w:val="center"/>
          </w:tcPr>
          <w:p>
            <w:pPr>
              <w:spacing w:line="320" w:lineRule="atLeast"/>
              <w:jc w:val="center"/>
              <w:rPr>
                <w:rFonts w:ascii="楷体_GB2312" w:hAnsi="宋体" w:eastAsia="楷体_GB2312"/>
                <w:sz w:val="24"/>
                <w:szCs w:val="24"/>
              </w:rPr>
            </w:pPr>
            <w:r>
              <w:rPr>
                <w:rFonts w:hint="eastAsia" w:ascii="楷体_GB2312" w:eastAsia="楷体_GB2312"/>
                <w:sz w:val="24"/>
                <w:szCs w:val="24"/>
              </w:rPr>
              <w:t>法发[2007]12号最高人民法院关于印发《人民法院诉讼收费办法》的通知等有关文件并结合实际情况综合确定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000"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拍卖佣金</w:t>
            </w:r>
          </w:p>
        </w:tc>
        <w:tc>
          <w:tcPr>
            <w:tcW w:w="935"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成交额</w:t>
            </w:r>
          </w:p>
        </w:tc>
        <w:tc>
          <w:tcPr>
            <w:tcW w:w="1627" w:type="dxa"/>
            <w:vAlign w:val="center"/>
          </w:tcPr>
          <w:p>
            <w:pPr>
              <w:spacing w:line="320" w:lineRule="atLeast"/>
              <w:jc w:val="center"/>
              <w:rPr>
                <w:rFonts w:ascii="楷体_GB2312" w:eastAsia="楷体_GB2312"/>
                <w:sz w:val="24"/>
                <w:szCs w:val="24"/>
              </w:rPr>
            </w:pPr>
            <w:r>
              <w:rPr>
                <w:rFonts w:ascii="楷体_GB2312" w:eastAsia="楷体_GB2312"/>
                <w:sz w:val="24"/>
                <w:szCs w:val="24"/>
              </w:rPr>
              <w:t>1-5%</w:t>
            </w:r>
            <w:r>
              <w:rPr>
                <w:rFonts w:hint="eastAsia" w:ascii="楷体_GB2312" w:eastAsia="楷体_GB2312"/>
                <w:sz w:val="24"/>
                <w:szCs w:val="24"/>
              </w:rPr>
              <w:t>以内（超额递减累进）</w:t>
            </w:r>
          </w:p>
        </w:tc>
        <w:tc>
          <w:tcPr>
            <w:tcW w:w="5103" w:type="dxa"/>
            <w:vAlign w:val="center"/>
          </w:tcPr>
          <w:p>
            <w:pPr>
              <w:spacing w:line="320" w:lineRule="atLeast"/>
              <w:jc w:val="center"/>
              <w:rPr>
                <w:rFonts w:ascii="楷体_GB2312" w:eastAsia="楷体_GB2312"/>
                <w:sz w:val="24"/>
                <w:szCs w:val="24"/>
              </w:rPr>
            </w:pPr>
            <w:r>
              <w:rPr>
                <w:rFonts w:hint="eastAsia" w:ascii="楷体_GB2312" w:hAnsi="宋体" w:eastAsia="楷体_GB2312"/>
                <w:sz w:val="24"/>
                <w:szCs w:val="24"/>
              </w:rPr>
              <w:t>法释[2018]15号《最高人民法院关于人民法院确定财产处置参考价若干问题的规定》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2000"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评估鉴定费</w:t>
            </w:r>
          </w:p>
        </w:tc>
        <w:tc>
          <w:tcPr>
            <w:tcW w:w="935" w:type="dxa"/>
            <w:vAlign w:val="center"/>
          </w:tcPr>
          <w:p>
            <w:pPr>
              <w:spacing w:line="320" w:lineRule="atLeast"/>
              <w:jc w:val="center"/>
              <w:rPr>
                <w:rFonts w:ascii="楷体_GB2312" w:eastAsia="楷体_GB2312"/>
                <w:sz w:val="24"/>
                <w:szCs w:val="24"/>
              </w:rPr>
            </w:pPr>
            <w:r>
              <w:rPr>
                <w:rFonts w:hint="eastAsia" w:ascii="楷体_GB2312" w:eastAsia="楷体_GB2312"/>
                <w:sz w:val="24"/>
                <w:szCs w:val="24"/>
              </w:rPr>
              <w:t>评估额</w:t>
            </w:r>
          </w:p>
        </w:tc>
        <w:tc>
          <w:tcPr>
            <w:tcW w:w="1627" w:type="dxa"/>
            <w:vAlign w:val="center"/>
          </w:tcPr>
          <w:p>
            <w:pPr>
              <w:pStyle w:val="22"/>
              <w:pBdr>
                <w:bottom w:val="none" w:color="auto" w:sz="0" w:space="0"/>
              </w:pBdr>
              <w:tabs>
                <w:tab w:val="clear" w:pos="4153"/>
                <w:tab w:val="clear" w:pos="8306"/>
              </w:tabs>
              <w:snapToGrid/>
              <w:spacing w:line="320" w:lineRule="atLeast"/>
              <w:rPr>
                <w:rFonts w:ascii="楷体_GB2312" w:eastAsia="楷体_GB2312"/>
                <w:sz w:val="24"/>
                <w:szCs w:val="24"/>
              </w:rPr>
            </w:pPr>
            <w:r>
              <w:rPr>
                <w:rFonts w:ascii="楷体_GB2312" w:eastAsia="楷体_GB2312"/>
                <w:sz w:val="24"/>
                <w:szCs w:val="24"/>
              </w:rPr>
              <w:t>0.</w:t>
            </w:r>
            <w:r>
              <w:rPr>
                <w:rFonts w:hint="eastAsia" w:ascii="楷体_GB2312" w:eastAsia="楷体_GB2312"/>
                <w:sz w:val="24"/>
                <w:szCs w:val="24"/>
              </w:rPr>
              <w:t>5</w:t>
            </w:r>
            <w:r>
              <w:rPr>
                <w:rFonts w:ascii="楷体_GB2312" w:eastAsia="楷体_GB2312"/>
                <w:sz w:val="24"/>
                <w:szCs w:val="24"/>
              </w:rPr>
              <w:t>%</w:t>
            </w:r>
            <w:r>
              <w:rPr>
                <w:rFonts w:hint="eastAsia" w:ascii="楷体_GB2312" w:eastAsia="楷体_GB2312"/>
                <w:sz w:val="24"/>
                <w:szCs w:val="24"/>
              </w:rPr>
              <w:t>－3</w:t>
            </w:r>
            <w:r>
              <w:rPr>
                <w:rFonts w:ascii="楷体_GB2312" w:eastAsia="楷体_GB2312"/>
                <w:sz w:val="24"/>
                <w:szCs w:val="24"/>
              </w:rPr>
              <w:t>%</w:t>
            </w:r>
          </w:p>
        </w:tc>
        <w:tc>
          <w:tcPr>
            <w:tcW w:w="5103" w:type="dxa"/>
            <w:vAlign w:val="center"/>
          </w:tcPr>
          <w:p>
            <w:pPr>
              <w:spacing w:line="320" w:lineRule="atLeast"/>
              <w:rPr>
                <w:rFonts w:ascii="楷体_GB2312" w:eastAsia="楷体_GB2312"/>
                <w:sz w:val="24"/>
                <w:szCs w:val="24"/>
              </w:rPr>
            </w:pPr>
            <w:r>
              <w:rPr>
                <w:rFonts w:hint="eastAsia" w:ascii="楷体_GB2312" w:eastAsia="楷体_GB2312"/>
                <w:sz w:val="24"/>
                <w:szCs w:val="24"/>
              </w:rPr>
              <w:t>黔价办</w:t>
            </w:r>
            <w:r>
              <w:rPr>
                <w:rFonts w:ascii="楷体_GB2312" w:eastAsia="楷体_GB2312"/>
                <w:sz w:val="24"/>
                <w:szCs w:val="24"/>
              </w:rPr>
              <w:t>[20</w:t>
            </w:r>
            <w:r>
              <w:rPr>
                <w:rFonts w:hint="eastAsia" w:ascii="楷体_GB2312" w:eastAsia="楷体_GB2312"/>
                <w:sz w:val="24"/>
                <w:szCs w:val="24"/>
              </w:rPr>
              <w:t>08</w:t>
            </w:r>
            <w:r>
              <w:rPr>
                <w:rFonts w:ascii="楷体_GB2312" w:eastAsia="楷体_GB2312"/>
                <w:sz w:val="24"/>
                <w:szCs w:val="24"/>
              </w:rPr>
              <w:t>]</w:t>
            </w:r>
            <w:r>
              <w:rPr>
                <w:rFonts w:hint="eastAsia" w:ascii="楷体_GB2312" w:eastAsia="楷体_GB2312"/>
                <w:sz w:val="24"/>
                <w:szCs w:val="24"/>
              </w:rPr>
              <w:t>160</w:t>
            </w:r>
            <w:r>
              <w:rPr>
                <w:rFonts w:ascii="楷体_GB2312" w:eastAsia="楷体_GB2312"/>
                <w:sz w:val="24"/>
                <w:szCs w:val="24"/>
              </w:rPr>
              <w:t>号</w:t>
            </w:r>
            <w:r>
              <w:rPr>
                <w:rFonts w:hint="eastAsia" w:ascii="楷体_GB2312" w:eastAsia="楷体_GB2312"/>
                <w:sz w:val="24"/>
                <w:szCs w:val="24"/>
              </w:rPr>
              <w:t>贵州省物价局办公室</w:t>
            </w:r>
            <w:r>
              <w:rPr>
                <w:rFonts w:ascii="楷体_GB2312" w:eastAsia="楷体_GB2312"/>
                <w:sz w:val="24"/>
                <w:szCs w:val="24"/>
              </w:rPr>
              <w:t>《</w:t>
            </w:r>
            <w:r>
              <w:rPr>
                <w:rFonts w:hint="eastAsia" w:ascii="楷体_GB2312" w:eastAsia="楷体_GB2312"/>
                <w:sz w:val="24"/>
                <w:szCs w:val="24"/>
              </w:rPr>
              <w:t>贵州省非刑事案件财务价格鉴定收费项目和标准</w:t>
            </w:r>
            <w:r>
              <w:rPr>
                <w:rFonts w:ascii="楷体_GB2312" w:eastAsia="楷体_GB2312"/>
                <w:sz w:val="24"/>
                <w:szCs w:val="24"/>
              </w:rPr>
              <w:t xml:space="preserve">》 </w:t>
            </w:r>
          </w:p>
        </w:tc>
      </w:tr>
    </w:tbl>
    <w:p>
      <w:pPr>
        <w:snapToGrid w:val="0"/>
        <w:spacing w:line="420" w:lineRule="exact"/>
        <w:ind w:firstLine="560" w:firstLineChars="200"/>
        <w:rPr>
          <w:rFonts w:ascii="楷体_GB2312" w:eastAsia="楷体_GB2312"/>
          <w:sz w:val="28"/>
        </w:rPr>
      </w:pPr>
      <w:r>
        <w:rPr>
          <w:rFonts w:hint="eastAsia" w:ascii="楷体_GB2312" w:eastAsia="楷体_GB2312"/>
          <w:sz w:val="28"/>
        </w:rPr>
        <w:t>本次估价结果未扣除上述费用，以实际发生的费用为准，提请报告使用人注意。</w:t>
      </w:r>
    </w:p>
    <w:p>
      <w:pPr>
        <w:tabs>
          <w:tab w:val="left" w:pos="1134"/>
          <w:tab w:val="left" w:pos="3940"/>
        </w:tabs>
        <w:snapToGrid w:val="0"/>
        <w:spacing w:line="400" w:lineRule="exact"/>
        <w:rPr>
          <w:rFonts w:ascii="黑体" w:eastAsia="黑体"/>
          <w:b/>
          <w:sz w:val="28"/>
        </w:rPr>
      </w:pPr>
    </w:p>
    <w:p>
      <w:pPr>
        <w:tabs>
          <w:tab w:val="left" w:pos="1134"/>
          <w:tab w:val="left" w:pos="3940"/>
        </w:tabs>
        <w:snapToGrid w:val="0"/>
        <w:spacing w:line="400" w:lineRule="exact"/>
        <w:ind w:firstLine="562" w:firstLineChars="200"/>
        <w:rPr>
          <w:rFonts w:ascii="黑体" w:eastAsia="黑体"/>
          <w:b/>
          <w:sz w:val="28"/>
        </w:rPr>
      </w:pPr>
      <w:r>
        <w:rPr>
          <w:rFonts w:hint="eastAsia" w:ascii="黑体" w:eastAsia="黑体"/>
          <w:b/>
          <w:sz w:val="28"/>
        </w:rPr>
        <w:t>（二）未定事项假设</w:t>
      </w:r>
    </w:p>
    <w:p>
      <w:pPr>
        <w:tabs>
          <w:tab w:val="left" w:pos="1134"/>
          <w:tab w:val="left" w:pos="3940"/>
        </w:tabs>
        <w:snapToGrid w:val="0"/>
        <w:spacing w:line="480" w:lineRule="exact"/>
        <w:ind w:firstLine="560" w:firstLineChars="200"/>
        <w:rPr>
          <w:rFonts w:ascii="楷体_GB2312" w:eastAsia="楷体_GB2312"/>
          <w:sz w:val="28"/>
        </w:rPr>
      </w:pPr>
      <w:r>
        <w:rPr>
          <w:rFonts w:hint="eastAsia" w:ascii="楷体_GB2312" w:eastAsia="楷体_GB2312"/>
          <w:sz w:val="28"/>
        </w:rPr>
        <w:t>未定事项假设是对估价所必需的尚未明确或不够明确的土地用途、容积率等事项所做的合理的、最可能的假定。</w:t>
      </w:r>
    </w:p>
    <w:p>
      <w:pPr>
        <w:tabs>
          <w:tab w:val="left" w:pos="1134"/>
          <w:tab w:val="left" w:pos="3940"/>
        </w:tabs>
        <w:snapToGrid w:val="0"/>
        <w:spacing w:line="480" w:lineRule="exact"/>
        <w:ind w:firstLine="560" w:firstLineChars="200"/>
        <w:rPr>
          <w:rFonts w:ascii="楷体_GB2312" w:eastAsia="楷体_GB2312"/>
          <w:spacing w:val="-8"/>
          <w:sz w:val="28"/>
        </w:rPr>
      </w:pPr>
      <w:r>
        <w:rPr>
          <w:rFonts w:hint="eastAsia" w:ascii="楷体_GB2312" w:eastAsia="楷体_GB2312"/>
          <w:sz w:val="28"/>
        </w:rPr>
        <w:t>本次估价的估价对象A幢3、4、5层出租给庆伟会计学校使用，估价师于价值时点实地查勘时，承租人未能在现场开门，估价师未能进入室内查勘，仅能对估价对象A幢3、4、5层外观及入户处查勘，据产权人介绍，估价对象室内地面为地板砖，墙面及顶棚刷白，装修情况为精装修，本次估价假设估价对象A幢3、4、5层装修情况为精装修，与产权人介绍一致。</w:t>
      </w:r>
    </w:p>
    <w:p>
      <w:pPr>
        <w:snapToGrid w:val="0"/>
        <w:spacing w:line="400" w:lineRule="exact"/>
        <w:ind w:firstLine="555"/>
        <w:rPr>
          <w:rFonts w:ascii="黑体" w:eastAsia="黑体"/>
          <w:b/>
          <w:sz w:val="28"/>
        </w:rPr>
      </w:pPr>
    </w:p>
    <w:p>
      <w:pPr>
        <w:snapToGrid w:val="0"/>
        <w:spacing w:line="400" w:lineRule="exact"/>
        <w:ind w:firstLine="555"/>
        <w:rPr>
          <w:rFonts w:ascii="黑体" w:eastAsia="黑体"/>
          <w:b/>
          <w:sz w:val="28"/>
        </w:rPr>
      </w:pPr>
      <w:r>
        <w:rPr>
          <w:rFonts w:hint="eastAsia" w:ascii="黑体" w:eastAsia="黑体"/>
          <w:b/>
          <w:sz w:val="28"/>
        </w:rPr>
        <w:t>（三）背离事实假设</w:t>
      </w:r>
    </w:p>
    <w:p>
      <w:pPr>
        <w:tabs>
          <w:tab w:val="left" w:pos="1134"/>
          <w:tab w:val="left" w:pos="3940"/>
        </w:tabs>
        <w:snapToGrid w:val="0"/>
        <w:spacing w:line="520" w:lineRule="exact"/>
        <w:ind w:firstLine="560" w:firstLineChars="200"/>
        <w:rPr>
          <w:rFonts w:ascii="楷体_GB2312" w:eastAsia="楷体_GB2312"/>
          <w:sz w:val="28"/>
        </w:rPr>
      </w:pPr>
      <w:r>
        <w:rPr>
          <w:rFonts w:hint="eastAsia" w:ascii="楷体_GB2312" w:eastAsia="楷体_GB2312"/>
          <w:sz w:val="28"/>
        </w:rPr>
        <w:t>背离事实假设是对因估价目的的特殊需要、交易条定或约定，对估价对象状况所做的与估价对象的实际状况不一致的合理假定。</w:t>
      </w:r>
    </w:p>
    <w:p>
      <w:pPr>
        <w:snapToGrid w:val="0"/>
        <w:spacing w:line="520" w:lineRule="exact"/>
        <w:ind w:firstLine="555"/>
        <w:rPr>
          <w:rFonts w:ascii="楷体_GB2312" w:eastAsia="楷体_GB2312"/>
          <w:sz w:val="28"/>
        </w:rPr>
      </w:pPr>
      <w:r>
        <w:rPr>
          <w:rFonts w:hint="eastAsia" w:ascii="楷体_GB2312" w:eastAsia="楷体_GB2312"/>
          <w:sz w:val="28"/>
        </w:rPr>
        <w:t>根据估价委托人提供的</w:t>
      </w:r>
      <w:r>
        <w:rPr>
          <w:rFonts w:hint="eastAsia" w:ascii="楷体_GB2312" w:hAnsi="宋体" w:eastAsia="楷体_GB2312" w:cs="宋体"/>
          <w:kern w:val="0"/>
          <w:sz w:val="28"/>
          <w:szCs w:val="28"/>
        </w:rPr>
        <w:t>《不动产登记证明》（黔（2019）龙里县不动产证明第0022668号、黔（2018）龙里县不动产证明第0010457号）号</w:t>
      </w:r>
      <w:r>
        <w:rPr>
          <w:rFonts w:hint="eastAsia" w:ascii="楷体_GB2312" w:eastAsia="楷体_GB2312"/>
          <w:sz w:val="28"/>
        </w:rPr>
        <w:t>，估价对象有他项权，为抵押权，详细情况如下：</w:t>
      </w:r>
    </w:p>
    <w:tbl>
      <w:tblPr>
        <w:tblStyle w:val="34"/>
        <w:tblW w:w="54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8"/>
        <w:gridCol w:w="1058"/>
        <w:gridCol w:w="1077"/>
        <w:gridCol w:w="1339"/>
        <w:gridCol w:w="1619"/>
        <w:gridCol w:w="903"/>
        <w:gridCol w:w="838"/>
        <w:gridCol w:w="975"/>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8" w:type="pct"/>
            <w:vAlign w:val="center"/>
          </w:tcPr>
          <w:p>
            <w:pPr>
              <w:jc w:val="center"/>
              <w:rPr>
                <w:rFonts w:ascii="楷体_GB2312" w:eastAsia="楷体_GB2312"/>
                <w:szCs w:val="21"/>
              </w:rPr>
            </w:pPr>
            <w:r>
              <w:rPr>
                <w:rFonts w:hint="eastAsia" w:ascii="楷体_GB2312" w:eastAsia="楷体_GB2312"/>
                <w:szCs w:val="21"/>
              </w:rPr>
              <w:t>房屋他项权利人</w:t>
            </w:r>
          </w:p>
        </w:tc>
        <w:tc>
          <w:tcPr>
            <w:tcW w:w="511" w:type="pct"/>
            <w:vAlign w:val="center"/>
          </w:tcPr>
          <w:p>
            <w:pPr>
              <w:jc w:val="center"/>
              <w:rPr>
                <w:rFonts w:ascii="楷体_GB2312" w:eastAsia="楷体_GB2312"/>
                <w:szCs w:val="21"/>
              </w:rPr>
            </w:pPr>
            <w:r>
              <w:rPr>
                <w:rFonts w:hint="eastAsia" w:ascii="楷体_GB2312" w:eastAsia="楷体_GB2312"/>
                <w:szCs w:val="21"/>
              </w:rPr>
              <w:t>债务人</w:t>
            </w:r>
          </w:p>
        </w:tc>
        <w:tc>
          <w:tcPr>
            <w:tcW w:w="520" w:type="pct"/>
            <w:vAlign w:val="center"/>
          </w:tcPr>
          <w:p>
            <w:pPr>
              <w:jc w:val="center"/>
              <w:rPr>
                <w:rFonts w:ascii="楷体_GB2312" w:eastAsia="楷体_GB2312"/>
                <w:szCs w:val="21"/>
              </w:rPr>
            </w:pPr>
            <w:r>
              <w:rPr>
                <w:rFonts w:hint="eastAsia" w:ascii="楷体_GB2312" w:eastAsia="楷体_GB2312"/>
                <w:szCs w:val="21"/>
              </w:rPr>
              <w:t>房屋所有权人</w:t>
            </w:r>
          </w:p>
        </w:tc>
        <w:tc>
          <w:tcPr>
            <w:tcW w:w="647" w:type="pct"/>
            <w:vAlign w:val="center"/>
          </w:tcPr>
          <w:p>
            <w:pPr>
              <w:jc w:val="center"/>
              <w:rPr>
                <w:rFonts w:ascii="楷体_GB2312" w:eastAsia="楷体_GB2312"/>
                <w:szCs w:val="21"/>
              </w:rPr>
            </w:pPr>
            <w:r>
              <w:rPr>
                <w:rFonts w:hint="eastAsia" w:ascii="楷体_GB2312" w:eastAsia="楷体_GB2312"/>
                <w:szCs w:val="21"/>
              </w:rPr>
              <w:t>不动产登记证明</w:t>
            </w:r>
          </w:p>
        </w:tc>
        <w:tc>
          <w:tcPr>
            <w:tcW w:w="782" w:type="pct"/>
            <w:vAlign w:val="center"/>
          </w:tcPr>
          <w:p>
            <w:pPr>
              <w:jc w:val="center"/>
              <w:rPr>
                <w:rFonts w:ascii="楷体_GB2312" w:eastAsia="楷体_GB2312"/>
                <w:szCs w:val="21"/>
              </w:rPr>
            </w:pPr>
            <w:r>
              <w:rPr>
                <w:rFonts w:hint="eastAsia" w:ascii="楷体_GB2312" w:eastAsia="楷体_GB2312"/>
                <w:szCs w:val="21"/>
              </w:rPr>
              <w:t>房屋</w:t>
            </w:r>
          </w:p>
          <w:p>
            <w:pPr>
              <w:jc w:val="center"/>
              <w:rPr>
                <w:rFonts w:ascii="楷体_GB2312" w:eastAsia="楷体_GB2312"/>
                <w:szCs w:val="21"/>
              </w:rPr>
            </w:pPr>
            <w:r>
              <w:rPr>
                <w:rFonts w:hint="eastAsia" w:ascii="楷体_GB2312" w:eastAsia="楷体_GB2312"/>
                <w:szCs w:val="21"/>
              </w:rPr>
              <w:t>坐落</w:t>
            </w:r>
          </w:p>
        </w:tc>
        <w:tc>
          <w:tcPr>
            <w:tcW w:w="436" w:type="pct"/>
            <w:vAlign w:val="center"/>
          </w:tcPr>
          <w:p>
            <w:pPr>
              <w:jc w:val="center"/>
              <w:rPr>
                <w:rFonts w:ascii="楷体_GB2312" w:eastAsia="楷体_GB2312"/>
                <w:szCs w:val="21"/>
              </w:rPr>
            </w:pPr>
            <w:r>
              <w:rPr>
                <w:rFonts w:hint="eastAsia" w:ascii="楷体_GB2312" w:eastAsia="楷体_GB2312"/>
                <w:szCs w:val="21"/>
              </w:rPr>
              <w:t>他项权利种类</w:t>
            </w:r>
          </w:p>
        </w:tc>
        <w:tc>
          <w:tcPr>
            <w:tcW w:w="405" w:type="pct"/>
            <w:vAlign w:val="center"/>
          </w:tcPr>
          <w:p>
            <w:pPr>
              <w:jc w:val="center"/>
              <w:rPr>
                <w:rFonts w:ascii="楷体_GB2312" w:eastAsia="楷体_GB2312"/>
                <w:szCs w:val="21"/>
              </w:rPr>
            </w:pPr>
            <w:r>
              <w:rPr>
                <w:rFonts w:hint="eastAsia" w:ascii="楷体_GB2312" w:eastAsia="楷体_GB2312"/>
                <w:szCs w:val="21"/>
              </w:rPr>
              <w:t>债权</w:t>
            </w:r>
          </w:p>
          <w:p>
            <w:pPr>
              <w:jc w:val="center"/>
              <w:rPr>
                <w:rFonts w:ascii="楷体_GB2312" w:eastAsia="楷体_GB2312"/>
                <w:szCs w:val="21"/>
              </w:rPr>
            </w:pPr>
            <w:r>
              <w:rPr>
                <w:rFonts w:hint="eastAsia" w:ascii="楷体_GB2312" w:eastAsia="楷体_GB2312"/>
                <w:szCs w:val="21"/>
              </w:rPr>
              <w:t>数额</w:t>
            </w:r>
          </w:p>
        </w:tc>
        <w:tc>
          <w:tcPr>
            <w:tcW w:w="471" w:type="pct"/>
            <w:vAlign w:val="center"/>
          </w:tcPr>
          <w:p>
            <w:pPr>
              <w:jc w:val="center"/>
              <w:rPr>
                <w:rFonts w:ascii="楷体_GB2312" w:eastAsia="楷体_GB2312"/>
                <w:szCs w:val="21"/>
              </w:rPr>
            </w:pPr>
            <w:r>
              <w:rPr>
                <w:rFonts w:hint="eastAsia" w:ascii="楷体_GB2312" w:eastAsia="楷体_GB2312"/>
                <w:szCs w:val="21"/>
              </w:rPr>
              <w:t>登记</w:t>
            </w:r>
          </w:p>
          <w:p>
            <w:pPr>
              <w:jc w:val="center"/>
              <w:rPr>
                <w:rFonts w:ascii="楷体_GB2312" w:eastAsia="楷体_GB2312"/>
                <w:szCs w:val="21"/>
              </w:rPr>
            </w:pPr>
            <w:r>
              <w:rPr>
                <w:rFonts w:hint="eastAsia" w:ascii="楷体_GB2312" w:eastAsia="楷体_GB2312"/>
                <w:szCs w:val="21"/>
              </w:rPr>
              <w:t>时间</w:t>
            </w:r>
          </w:p>
        </w:tc>
        <w:tc>
          <w:tcPr>
            <w:tcW w:w="621" w:type="pct"/>
            <w:vAlign w:val="center"/>
          </w:tcPr>
          <w:p>
            <w:pPr>
              <w:jc w:val="center"/>
              <w:rPr>
                <w:rFonts w:ascii="楷体_GB2312" w:eastAsia="楷体_GB2312"/>
                <w:szCs w:val="21"/>
              </w:rPr>
            </w:pPr>
            <w:r>
              <w:rPr>
                <w:rFonts w:hint="eastAsia" w:ascii="楷体_GB2312" w:eastAsia="楷体_GB2312"/>
                <w:szCs w:val="21"/>
              </w:rPr>
              <w:t>附记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08" w:type="pct"/>
            <w:vAlign w:val="center"/>
          </w:tcPr>
          <w:p>
            <w:pPr>
              <w:spacing w:line="280" w:lineRule="exact"/>
              <w:jc w:val="center"/>
              <w:rPr>
                <w:rFonts w:ascii="楷体_GB2312" w:eastAsia="楷体_GB2312"/>
                <w:szCs w:val="21"/>
              </w:rPr>
            </w:pPr>
            <w:r>
              <w:rPr>
                <w:rFonts w:hint="eastAsia" w:ascii="楷体_GB2312" w:eastAsia="楷体_GB2312"/>
                <w:szCs w:val="21"/>
              </w:rPr>
              <w:t>贵州龙里农村商业银行股份有限公司</w:t>
            </w:r>
          </w:p>
        </w:tc>
        <w:tc>
          <w:tcPr>
            <w:tcW w:w="511" w:type="pct"/>
            <w:vAlign w:val="center"/>
          </w:tcPr>
          <w:p>
            <w:pPr>
              <w:jc w:val="center"/>
              <w:rPr>
                <w:rFonts w:ascii="楷体_GB2312" w:eastAsia="楷体_GB2312"/>
                <w:szCs w:val="21"/>
              </w:rPr>
            </w:pPr>
            <w:r>
              <w:rPr>
                <w:rFonts w:hint="eastAsia" w:ascii="楷体_GB2312" w:eastAsia="楷体_GB2312"/>
                <w:szCs w:val="21"/>
              </w:rPr>
              <w:t>陈万玉</w:t>
            </w:r>
          </w:p>
        </w:tc>
        <w:tc>
          <w:tcPr>
            <w:tcW w:w="520" w:type="pct"/>
            <w:vAlign w:val="center"/>
          </w:tcPr>
          <w:p>
            <w:pPr>
              <w:jc w:val="center"/>
              <w:rPr>
                <w:rFonts w:ascii="楷体_GB2312" w:eastAsia="楷体_GB2312"/>
                <w:szCs w:val="21"/>
              </w:rPr>
            </w:pPr>
            <w:r>
              <w:rPr>
                <w:rFonts w:hint="eastAsia" w:ascii="楷体_GB2312" w:eastAsia="楷体_GB2312"/>
                <w:szCs w:val="21"/>
              </w:rPr>
              <w:t>朱勇</w:t>
            </w:r>
          </w:p>
        </w:tc>
        <w:tc>
          <w:tcPr>
            <w:tcW w:w="647" w:type="pct"/>
            <w:vAlign w:val="center"/>
          </w:tcPr>
          <w:p>
            <w:pPr>
              <w:spacing w:line="300" w:lineRule="exact"/>
              <w:jc w:val="center"/>
              <w:rPr>
                <w:rFonts w:ascii="楷体_GB2312" w:eastAsia="楷体_GB2312"/>
                <w:szCs w:val="21"/>
              </w:rPr>
            </w:pPr>
            <w:r>
              <w:rPr>
                <w:rFonts w:hint="eastAsia" w:ascii="楷体_GB2312" w:eastAsia="楷体_GB2312"/>
                <w:szCs w:val="21"/>
              </w:rPr>
              <w:t>黔（2018）龙里县不动产证明第0010457号</w:t>
            </w:r>
          </w:p>
        </w:tc>
        <w:tc>
          <w:tcPr>
            <w:tcW w:w="782" w:type="pct"/>
            <w:vAlign w:val="center"/>
          </w:tcPr>
          <w:p>
            <w:pPr>
              <w:spacing w:line="300" w:lineRule="exact"/>
              <w:jc w:val="center"/>
              <w:rPr>
                <w:rFonts w:ascii="楷体_GB2312" w:eastAsia="楷体_GB2312"/>
                <w:szCs w:val="21"/>
              </w:rPr>
            </w:pPr>
            <w:r>
              <w:rPr>
                <w:rFonts w:hint="eastAsia" w:ascii="楷体_GB2312" w:eastAsia="楷体_GB2312"/>
                <w:szCs w:val="21"/>
              </w:rPr>
              <w:t>龙里县龙山镇青龙路A幢2、3、4、5层</w:t>
            </w:r>
          </w:p>
        </w:tc>
        <w:tc>
          <w:tcPr>
            <w:tcW w:w="436" w:type="pct"/>
            <w:vAlign w:val="center"/>
          </w:tcPr>
          <w:p>
            <w:pPr>
              <w:jc w:val="center"/>
              <w:rPr>
                <w:rFonts w:ascii="楷体_GB2312" w:eastAsia="楷体_GB2312"/>
                <w:szCs w:val="21"/>
              </w:rPr>
            </w:pPr>
            <w:r>
              <w:rPr>
                <w:rFonts w:hint="eastAsia" w:ascii="楷体_GB2312" w:eastAsia="楷体_GB2312"/>
                <w:szCs w:val="21"/>
              </w:rPr>
              <w:t>抵押权登记</w:t>
            </w:r>
          </w:p>
        </w:tc>
        <w:tc>
          <w:tcPr>
            <w:tcW w:w="405" w:type="pct"/>
            <w:vAlign w:val="center"/>
          </w:tcPr>
          <w:p>
            <w:pPr>
              <w:jc w:val="center"/>
              <w:rPr>
                <w:rFonts w:ascii="楷体_GB2312" w:eastAsia="楷体_GB2312"/>
                <w:szCs w:val="21"/>
              </w:rPr>
            </w:pPr>
            <w:r>
              <w:rPr>
                <w:rFonts w:hint="eastAsia" w:ascii="楷体_GB2312" w:eastAsia="楷体_GB2312"/>
                <w:szCs w:val="21"/>
              </w:rPr>
              <w:t>120</w:t>
            </w:r>
          </w:p>
          <w:p>
            <w:pPr>
              <w:jc w:val="center"/>
              <w:rPr>
                <w:rFonts w:ascii="楷体_GB2312" w:eastAsia="楷体_GB2312"/>
                <w:szCs w:val="21"/>
              </w:rPr>
            </w:pPr>
            <w:r>
              <w:rPr>
                <w:rFonts w:hint="eastAsia" w:ascii="楷体_GB2312" w:eastAsia="楷体_GB2312"/>
                <w:szCs w:val="21"/>
              </w:rPr>
              <w:t>万元</w:t>
            </w:r>
          </w:p>
        </w:tc>
        <w:tc>
          <w:tcPr>
            <w:tcW w:w="471" w:type="pct"/>
            <w:vAlign w:val="center"/>
          </w:tcPr>
          <w:p>
            <w:pPr>
              <w:jc w:val="center"/>
              <w:rPr>
                <w:rFonts w:ascii="楷体_GB2312" w:eastAsia="楷体_GB2312"/>
                <w:szCs w:val="21"/>
              </w:rPr>
            </w:pPr>
            <w:r>
              <w:rPr>
                <w:rFonts w:hint="eastAsia" w:ascii="楷体_GB2312" w:eastAsia="楷体_GB2312"/>
                <w:szCs w:val="21"/>
              </w:rPr>
              <w:t>2018-11</w:t>
            </w:r>
          </w:p>
          <w:p>
            <w:pPr>
              <w:jc w:val="center"/>
              <w:rPr>
                <w:rFonts w:ascii="楷体_GB2312" w:eastAsia="楷体_GB2312"/>
                <w:szCs w:val="21"/>
              </w:rPr>
            </w:pPr>
            <w:r>
              <w:rPr>
                <w:rFonts w:hint="eastAsia" w:ascii="楷体_GB2312" w:eastAsia="楷体_GB2312"/>
                <w:szCs w:val="21"/>
              </w:rPr>
              <w:t>-02</w:t>
            </w:r>
          </w:p>
        </w:tc>
        <w:tc>
          <w:tcPr>
            <w:tcW w:w="621" w:type="pct"/>
            <w:vAlign w:val="center"/>
          </w:tcPr>
          <w:p>
            <w:pPr>
              <w:jc w:val="center"/>
              <w:rPr>
                <w:rFonts w:ascii="楷体_GB2312" w:eastAsia="楷体_GB2312"/>
                <w:szCs w:val="21"/>
              </w:rPr>
            </w:pPr>
            <w:r>
              <w:rPr>
                <w:rFonts w:hint="eastAsia" w:ascii="楷体_GB2312" w:eastAsia="楷体_GB2312"/>
                <w:szCs w:val="21"/>
              </w:rPr>
              <w:t>本次抵押房屋面积（601.89平方米）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08" w:type="pct"/>
            <w:vAlign w:val="center"/>
          </w:tcPr>
          <w:p>
            <w:pPr>
              <w:spacing w:line="280" w:lineRule="exact"/>
              <w:jc w:val="center"/>
              <w:rPr>
                <w:rFonts w:ascii="楷体_GB2312" w:eastAsia="楷体_GB2312"/>
                <w:szCs w:val="21"/>
              </w:rPr>
            </w:pPr>
            <w:r>
              <w:rPr>
                <w:rFonts w:hint="eastAsia" w:ascii="楷体_GB2312" w:eastAsia="楷体_GB2312"/>
                <w:szCs w:val="21"/>
              </w:rPr>
              <w:t>贵州龙里农村商业银行股份有限公司</w:t>
            </w:r>
          </w:p>
        </w:tc>
        <w:tc>
          <w:tcPr>
            <w:tcW w:w="511" w:type="pct"/>
            <w:vAlign w:val="center"/>
          </w:tcPr>
          <w:p>
            <w:pPr>
              <w:jc w:val="center"/>
              <w:rPr>
                <w:rFonts w:ascii="楷体_GB2312" w:eastAsia="楷体_GB2312"/>
                <w:szCs w:val="21"/>
              </w:rPr>
            </w:pPr>
            <w:r>
              <w:rPr>
                <w:rFonts w:hint="eastAsia" w:ascii="楷体_GB2312" w:eastAsia="楷体_GB2312"/>
                <w:szCs w:val="21"/>
              </w:rPr>
              <w:t>朱勇</w:t>
            </w:r>
          </w:p>
        </w:tc>
        <w:tc>
          <w:tcPr>
            <w:tcW w:w="520" w:type="pct"/>
            <w:vAlign w:val="center"/>
          </w:tcPr>
          <w:p>
            <w:pPr>
              <w:jc w:val="center"/>
              <w:rPr>
                <w:rFonts w:ascii="楷体_GB2312" w:eastAsia="楷体_GB2312"/>
                <w:szCs w:val="21"/>
              </w:rPr>
            </w:pPr>
            <w:r>
              <w:rPr>
                <w:rFonts w:hint="eastAsia" w:ascii="楷体_GB2312" w:eastAsia="楷体_GB2312"/>
                <w:szCs w:val="21"/>
              </w:rPr>
              <w:t>朱勇</w:t>
            </w:r>
          </w:p>
        </w:tc>
        <w:tc>
          <w:tcPr>
            <w:tcW w:w="647" w:type="pct"/>
            <w:vAlign w:val="center"/>
          </w:tcPr>
          <w:p>
            <w:pPr>
              <w:spacing w:line="300" w:lineRule="exact"/>
              <w:jc w:val="center"/>
              <w:rPr>
                <w:rFonts w:ascii="楷体_GB2312" w:eastAsia="楷体_GB2312"/>
                <w:szCs w:val="21"/>
              </w:rPr>
            </w:pPr>
            <w:r>
              <w:rPr>
                <w:rFonts w:hint="eastAsia" w:ascii="楷体_GB2312" w:eastAsia="楷体_GB2312"/>
                <w:szCs w:val="21"/>
              </w:rPr>
              <w:t>黔（2019）龙里县不动产证明第0022668号</w:t>
            </w:r>
          </w:p>
        </w:tc>
        <w:tc>
          <w:tcPr>
            <w:tcW w:w="782" w:type="pct"/>
            <w:vAlign w:val="center"/>
          </w:tcPr>
          <w:p>
            <w:pPr>
              <w:spacing w:line="300" w:lineRule="exact"/>
              <w:jc w:val="center"/>
              <w:rPr>
                <w:rFonts w:ascii="楷体_GB2312" w:eastAsia="楷体_GB2312"/>
                <w:szCs w:val="21"/>
              </w:rPr>
            </w:pPr>
            <w:r>
              <w:rPr>
                <w:rFonts w:hint="eastAsia" w:ascii="楷体_GB2312" w:eastAsia="楷体_GB2312"/>
                <w:szCs w:val="21"/>
              </w:rPr>
              <w:t>龙里县龙山镇青龙路A幢1层、青龙路B幢1、2、3层</w:t>
            </w:r>
          </w:p>
        </w:tc>
        <w:tc>
          <w:tcPr>
            <w:tcW w:w="436" w:type="pct"/>
            <w:vAlign w:val="center"/>
          </w:tcPr>
          <w:p>
            <w:pPr>
              <w:jc w:val="center"/>
              <w:rPr>
                <w:rFonts w:ascii="楷体_GB2312" w:eastAsia="楷体_GB2312"/>
                <w:szCs w:val="21"/>
              </w:rPr>
            </w:pPr>
            <w:r>
              <w:rPr>
                <w:rFonts w:hint="eastAsia" w:ascii="楷体_GB2312" w:eastAsia="楷体_GB2312"/>
                <w:szCs w:val="21"/>
              </w:rPr>
              <w:t>抵押权登记</w:t>
            </w:r>
          </w:p>
        </w:tc>
        <w:tc>
          <w:tcPr>
            <w:tcW w:w="405" w:type="pct"/>
            <w:vAlign w:val="center"/>
          </w:tcPr>
          <w:p>
            <w:pPr>
              <w:jc w:val="center"/>
              <w:rPr>
                <w:rFonts w:ascii="楷体_GB2312" w:eastAsia="楷体_GB2312"/>
                <w:szCs w:val="21"/>
              </w:rPr>
            </w:pPr>
            <w:r>
              <w:rPr>
                <w:rFonts w:hint="eastAsia" w:ascii="楷体_GB2312" w:eastAsia="楷体_GB2312"/>
                <w:szCs w:val="21"/>
              </w:rPr>
              <w:t>250</w:t>
            </w:r>
          </w:p>
          <w:p>
            <w:pPr>
              <w:jc w:val="center"/>
              <w:rPr>
                <w:rFonts w:ascii="楷体_GB2312" w:eastAsia="楷体_GB2312"/>
                <w:szCs w:val="21"/>
              </w:rPr>
            </w:pPr>
            <w:r>
              <w:rPr>
                <w:rFonts w:hint="eastAsia" w:ascii="楷体_GB2312" w:eastAsia="楷体_GB2312"/>
                <w:szCs w:val="21"/>
              </w:rPr>
              <w:t>万元</w:t>
            </w:r>
          </w:p>
        </w:tc>
        <w:tc>
          <w:tcPr>
            <w:tcW w:w="471" w:type="pct"/>
            <w:vAlign w:val="center"/>
          </w:tcPr>
          <w:p>
            <w:pPr>
              <w:jc w:val="center"/>
              <w:rPr>
                <w:rFonts w:ascii="楷体_GB2312" w:eastAsia="楷体_GB2312"/>
                <w:szCs w:val="21"/>
              </w:rPr>
            </w:pPr>
            <w:r>
              <w:rPr>
                <w:rFonts w:hint="eastAsia" w:ascii="楷体_GB2312" w:eastAsia="楷体_GB2312"/>
                <w:szCs w:val="21"/>
              </w:rPr>
              <w:t>2</w:t>
            </w:r>
            <w:r>
              <w:rPr>
                <w:rFonts w:ascii="楷体_GB2312" w:eastAsia="楷体_GB2312"/>
                <w:szCs w:val="21"/>
              </w:rPr>
              <w:t>01</w:t>
            </w:r>
            <w:r>
              <w:rPr>
                <w:rFonts w:hint="eastAsia" w:ascii="楷体_GB2312" w:eastAsia="楷体_GB2312"/>
                <w:szCs w:val="21"/>
              </w:rPr>
              <w:t>9</w:t>
            </w:r>
            <w:r>
              <w:rPr>
                <w:rFonts w:ascii="楷体_GB2312" w:eastAsia="楷体_GB2312"/>
                <w:szCs w:val="21"/>
              </w:rPr>
              <w:t>-</w:t>
            </w:r>
            <w:r>
              <w:rPr>
                <w:rFonts w:hint="eastAsia" w:ascii="楷体_GB2312" w:eastAsia="楷体_GB2312"/>
                <w:szCs w:val="21"/>
              </w:rPr>
              <w:t>11</w:t>
            </w:r>
          </w:p>
          <w:p>
            <w:pPr>
              <w:jc w:val="center"/>
              <w:rPr>
                <w:rFonts w:ascii="楷体_GB2312" w:eastAsia="楷体_GB2312"/>
                <w:szCs w:val="21"/>
              </w:rPr>
            </w:pPr>
            <w:r>
              <w:rPr>
                <w:rFonts w:ascii="楷体_GB2312" w:eastAsia="楷体_GB2312"/>
                <w:szCs w:val="21"/>
              </w:rPr>
              <w:t>-</w:t>
            </w:r>
            <w:r>
              <w:rPr>
                <w:rFonts w:hint="eastAsia" w:ascii="楷体_GB2312" w:eastAsia="楷体_GB2312"/>
                <w:szCs w:val="21"/>
              </w:rPr>
              <w:t>13</w:t>
            </w:r>
          </w:p>
        </w:tc>
        <w:tc>
          <w:tcPr>
            <w:tcW w:w="621" w:type="pct"/>
            <w:vAlign w:val="center"/>
          </w:tcPr>
          <w:p>
            <w:pPr>
              <w:jc w:val="center"/>
              <w:rPr>
                <w:rFonts w:ascii="楷体_GB2312" w:eastAsia="楷体_GB2312"/>
                <w:szCs w:val="21"/>
              </w:rPr>
            </w:pPr>
            <w:r>
              <w:rPr>
                <w:rFonts w:hint="eastAsia" w:ascii="楷体_GB2312" w:eastAsia="楷体_GB2312"/>
                <w:szCs w:val="21"/>
              </w:rPr>
              <w:t>本次抵押房屋面积（322.65平方米）</w:t>
            </w:r>
          </w:p>
        </w:tc>
      </w:tr>
    </w:tbl>
    <w:p>
      <w:pPr>
        <w:snapToGrid w:val="0"/>
        <w:spacing w:line="440" w:lineRule="exact"/>
        <w:ind w:firstLine="555"/>
        <w:rPr>
          <w:rFonts w:ascii="楷体_GB2312" w:eastAsia="楷体_GB2312"/>
          <w:sz w:val="28"/>
        </w:rPr>
      </w:pPr>
      <w:r>
        <w:rPr>
          <w:rFonts w:hint="eastAsia" w:ascii="楷体_GB2312" w:eastAsia="楷体_GB2312"/>
          <w:sz w:val="28"/>
        </w:rPr>
        <w:t>本次估价目的为人民法院确定财产处置参考价提供参考依据，涉执房地产处置司法评估结果不应当考虑评估对象被查封以及原有的担保物和其他优先受偿权的影响。故本次评估未考虑估价对象原有的担保物和其他优先受偿权的影响。</w:t>
      </w:r>
    </w:p>
    <w:p>
      <w:pPr>
        <w:snapToGrid w:val="0"/>
        <w:spacing w:line="440" w:lineRule="exact"/>
        <w:ind w:firstLine="555"/>
        <w:rPr>
          <w:rFonts w:ascii="楷体_GB2312" w:eastAsia="楷体_GB2312"/>
          <w:sz w:val="28"/>
        </w:rPr>
      </w:pPr>
    </w:p>
    <w:p>
      <w:pPr>
        <w:snapToGrid w:val="0"/>
        <w:spacing w:line="440" w:lineRule="exact"/>
        <w:ind w:firstLine="555"/>
        <w:rPr>
          <w:rFonts w:ascii="黑体" w:eastAsia="黑体"/>
          <w:b/>
          <w:sz w:val="28"/>
        </w:rPr>
      </w:pPr>
    </w:p>
    <w:p>
      <w:pPr>
        <w:snapToGrid w:val="0"/>
        <w:spacing w:line="440" w:lineRule="exact"/>
        <w:ind w:firstLine="555"/>
        <w:rPr>
          <w:rFonts w:ascii="黑体" w:eastAsia="黑体"/>
          <w:b/>
          <w:sz w:val="28"/>
        </w:rPr>
      </w:pPr>
      <w:r>
        <w:rPr>
          <w:rFonts w:hint="eastAsia" w:ascii="黑体" w:eastAsia="黑体"/>
          <w:b/>
          <w:sz w:val="28"/>
        </w:rPr>
        <w:t>（四）不相一致假设</w:t>
      </w:r>
    </w:p>
    <w:p>
      <w:pPr>
        <w:tabs>
          <w:tab w:val="left" w:pos="1134"/>
          <w:tab w:val="left" w:pos="3940"/>
        </w:tabs>
        <w:snapToGrid w:val="0"/>
        <w:spacing w:line="440" w:lineRule="exact"/>
        <w:ind w:firstLine="560" w:firstLineChars="200"/>
        <w:rPr>
          <w:rFonts w:ascii="楷体_GB2312" w:eastAsia="楷体_GB2312"/>
          <w:sz w:val="28"/>
        </w:rPr>
      </w:pPr>
      <w:r>
        <w:rPr>
          <w:rFonts w:hint="eastAsia" w:ascii="楷体_GB2312" w:eastAsia="楷体_GB2312"/>
          <w:sz w:val="28"/>
        </w:rPr>
        <w:t>不相一致假设是对在估价对象的实际用途、登记用途、规划用途等用途之间不一致，或不同权属证明上的权利人之间不一致，估价对象的名称或地址不一致等情况下，对估价所依据的用途或是权利人、名称、地址等的合理假定。</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 xml:space="preserve"> </w:t>
      </w:r>
      <w:r>
        <w:rPr>
          <w:rFonts w:hint="eastAsia" w:ascii="楷体_GB2312" w:eastAsia="楷体_GB2312"/>
          <w:sz w:val="28"/>
        </w:rPr>
        <w:t>本次估价的估价对象不存在不相一致事项，故本报告无不相一致假设。</w:t>
      </w:r>
    </w:p>
    <w:p>
      <w:pPr>
        <w:tabs>
          <w:tab w:val="left" w:pos="862"/>
          <w:tab w:val="left" w:pos="1134"/>
        </w:tabs>
        <w:snapToGrid w:val="0"/>
        <w:spacing w:line="440" w:lineRule="exact"/>
        <w:rPr>
          <w:rFonts w:ascii="楷体_GB2312" w:eastAsia="楷体_GB2312"/>
          <w:sz w:val="28"/>
        </w:rPr>
      </w:pPr>
    </w:p>
    <w:p>
      <w:pPr>
        <w:tabs>
          <w:tab w:val="left" w:pos="862"/>
          <w:tab w:val="left" w:pos="1134"/>
        </w:tabs>
        <w:snapToGrid w:val="0"/>
        <w:spacing w:line="440" w:lineRule="exact"/>
        <w:ind w:firstLine="562" w:firstLineChars="200"/>
        <w:rPr>
          <w:rFonts w:ascii="黑体" w:eastAsia="黑体"/>
          <w:b/>
          <w:sz w:val="28"/>
        </w:rPr>
      </w:pPr>
      <w:r>
        <w:rPr>
          <w:rFonts w:hint="eastAsia" w:ascii="黑体" w:eastAsia="黑体"/>
          <w:b/>
          <w:sz w:val="28"/>
        </w:rPr>
        <w:t>（五）依据不足假设</w:t>
      </w:r>
    </w:p>
    <w:p>
      <w:pPr>
        <w:tabs>
          <w:tab w:val="left" w:pos="1134"/>
          <w:tab w:val="left" w:pos="3940"/>
        </w:tabs>
        <w:snapToGrid w:val="0"/>
        <w:spacing w:line="460" w:lineRule="exact"/>
        <w:ind w:firstLine="560" w:firstLineChars="200"/>
        <w:rPr>
          <w:rFonts w:ascii="楷体_GB2312" w:eastAsia="楷体_GB2312"/>
          <w:sz w:val="28"/>
        </w:rPr>
      </w:pPr>
      <w:r>
        <w:rPr>
          <w:rFonts w:hint="eastAsia" w:ascii="楷体_GB2312" w:eastAsia="楷体_GB2312"/>
          <w:sz w:val="28"/>
        </w:rPr>
        <w:t>依据不足假设是对在估价委托人无法提供估价所必需的反映估价对象状况的资料及注册房地产估价师进行尽职调查仍然难以取得该资料情况下，缺少该资料及对相应的估价对象状况的合理假定。</w:t>
      </w:r>
    </w:p>
    <w:p>
      <w:pPr>
        <w:tabs>
          <w:tab w:val="left" w:pos="1134"/>
          <w:tab w:val="left" w:pos="3940"/>
        </w:tabs>
        <w:snapToGrid w:val="0"/>
        <w:spacing w:line="460" w:lineRule="exact"/>
        <w:ind w:firstLine="560" w:firstLineChars="200"/>
        <w:rPr>
          <w:rFonts w:ascii="楷体_GB2312" w:eastAsia="楷体_GB2312"/>
          <w:sz w:val="28"/>
        </w:rPr>
      </w:pPr>
      <w:r>
        <w:rPr>
          <w:rFonts w:hint="eastAsia" w:ascii="楷体_GB2312" w:eastAsia="楷体_GB2312"/>
          <w:sz w:val="28"/>
        </w:rPr>
        <w:t>本次估价的估价对象不存在依据不足事项，故本报告无依据不足假设。</w:t>
      </w:r>
    </w:p>
    <w:p>
      <w:pPr>
        <w:tabs>
          <w:tab w:val="left" w:pos="862"/>
          <w:tab w:val="left" w:pos="1134"/>
        </w:tabs>
        <w:snapToGrid w:val="0"/>
        <w:spacing w:line="360" w:lineRule="exact"/>
        <w:ind w:firstLine="562" w:firstLineChars="200"/>
        <w:rPr>
          <w:rFonts w:ascii="黑体" w:eastAsia="黑体"/>
          <w:b/>
          <w:sz w:val="28"/>
        </w:rPr>
      </w:pPr>
    </w:p>
    <w:p>
      <w:pPr>
        <w:tabs>
          <w:tab w:val="left" w:pos="862"/>
          <w:tab w:val="left" w:pos="1134"/>
        </w:tabs>
        <w:snapToGrid w:val="0"/>
        <w:spacing w:line="440" w:lineRule="exact"/>
        <w:rPr>
          <w:rFonts w:ascii="黑体" w:eastAsia="黑体"/>
          <w:b/>
          <w:sz w:val="28"/>
        </w:rPr>
      </w:pPr>
      <w:r>
        <w:rPr>
          <w:rFonts w:hint="eastAsia" w:ascii="黑体" w:eastAsia="黑体"/>
          <w:b/>
          <w:sz w:val="28"/>
        </w:rPr>
        <w:t>二、估价报告使用限制</w:t>
      </w:r>
    </w:p>
    <w:p>
      <w:pPr>
        <w:tabs>
          <w:tab w:val="left" w:pos="1134"/>
          <w:tab w:val="left" w:pos="3940"/>
        </w:tabs>
        <w:snapToGrid w:val="0"/>
        <w:spacing w:line="440" w:lineRule="exact"/>
        <w:ind w:firstLine="560" w:firstLineChars="200"/>
        <w:rPr>
          <w:rFonts w:ascii="楷体_GB2312" w:eastAsia="楷体_GB2312"/>
          <w:sz w:val="28"/>
        </w:rPr>
      </w:pPr>
      <w:r>
        <w:rPr>
          <w:rFonts w:hint="eastAsia" w:ascii="楷体_GB2312" w:eastAsia="楷体_GB2312"/>
          <w:sz w:val="28"/>
        </w:rPr>
        <w:t>估价报告使用限制是对估价报告和估价结果的用途、使用者、使用期限等使用范围及在使用估价报告和估价结果时需注意的其他事项。</w:t>
      </w:r>
    </w:p>
    <w:p>
      <w:pPr>
        <w:tabs>
          <w:tab w:val="left" w:pos="1134"/>
          <w:tab w:val="left" w:pos="3940"/>
        </w:tabs>
        <w:snapToGrid w:val="0"/>
        <w:spacing w:line="440" w:lineRule="exact"/>
        <w:ind w:firstLine="560" w:firstLineChars="200"/>
        <w:rPr>
          <w:rFonts w:ascii="楷体_GB2312" w:eastAsia="楷体_GB2312"/>
          <w:sz w:val="28"/>
        </w:rPr>
      </w:pPr>
      <w:r>
        <w:rPr>
          <w:rFonts w:hint="eastAsia" w:ascii="楷体_GB2312" w:eastAsia="楷体_GB2312"/>
          <w:sz w:val="28"/>
        </w:rPr>
        <w:t>1</w:t>
      </w:r>
      <w:r>
        <w:rPr>
          <w:rFonts w:ascii="楷体_GB2312" w:eastAsia="楷体_GB2312"/>
          <w:sz w:val="28"/>
        </w:rPr>
        <w:t>.</w:t>
      </w:r>
      <w:r>
        <w:rPr>
          <w:rFonts w:hint="eastAsia" w:ascii="楷体_GB2312" w:eastAsia="楷体_GB2312"/>
          <w:sz w:val="28"/>
        </w:rPr>
        <w:t>应当按照法律规定和评估报告载明的用途、使用人、使用期限等使用范围使用评估报告、否则，房地产估价机构和注册房地产估价师依法不承担责任。</w:t>
      </w:r>
    </w:p>
    <w:p>
      <w:pPr>
        <w:tabs>
          <w:tab w:val="left" w:pos="1134"/>
          <w:tab w:val="left" w:pos="3940"/>
        </w:tabs>
        <w:snapToGrid w:val="0"/>
        <w:spacing w:line="440" w:lineRule="exact"/>
        <w:ind w:firstLine="560" w:firstLineChars="200"/>
        <w:rPr>
          <w:rFonts w:ascii="楷体_GB2312" w:eastAsia="楷体_GB2312"/>
          <w:sz w:val="28"/>
        </w:rPr>
      </w:pPr>
      <w:r>
        <w:rPr>
          <w:rFonts w:hint="eastAsia" w:ascii="楷体_GB2312" w:eastAsia="楷体_GB2312"/>
          <w:sz w:val="28"/>
        </w:rPr>
        <w:t>2</w:t>
      </w:r>
      <w:r>
        <w:rPr>
          <w:rFonts w:ascii="楷体_GB2312" w:eastAsia="楷体_GB2312"/>
          <w:sz w:val="28"/>
        </w:rPr>
        <w:t>.</w:t>
      </w:r>
      <w:r>
        <w:rPr>
          <w:rFonts w:hint="eastAsia" w:ascii="楷体_GB2312" w:eastAsia="楷体_GB2312"/>
          <w:sz w:val="28"/>
        </w:rPr>
        <w:t>评估结果仅为人民法院确定财产处置参考价服务，不是评估对象处置可实现的成交价格，也不应当被视为对评估对象处置成交价格的保证。</w:t>
      </w:r>
    </w:p>
    <w:p>
      <w:pPr>
        <w:tabs>
          <w:tab w:val="left" w:pos="1134"/>
          <w:tab w:val="left" w:pos="3940"/>
        </w:tabs>
        <w:snapToGrid w:val="0"/>
        <w:spacing w:line="440" w:lineRule="exact"/>
        <w:ind w:firstLine="560" w:firstLineChars="200"/>
        <w:rPr>
          <w:rFonts w:ascii="楷体_GB2312" w:eastAsia="楷体_GB2312"/>
          <w:sz w:val="28"/>
        </w:rPr>
      </w:pPr>
      <w:r>
        <w:rPr>
          <w:rFonts w:hint="eastAsia" w:ascii="楷体_GB2312" w:eastAsia="楷体_GB2312"/>
          <w:sz w:val="28"/>
        </w:rPr>
        <w:t>3</w:t>
      </w:r>
      <w:r>
        <w:rPr>
          <w:rFonts w:ascii="楷体_GB2312" w:eastAsia="楷体_GB2312"/>
          <w:sz w:val="28"/>
        </w:rPr>
        <w:t>.</w:t>
      </w:r>
      <w:r>
        <w:rPr>
          <w:rFonts w:hint="eastAsia" w:ascii="楷体_GB2312" w:eastAsia="楷体_GB2312"/>
          <w:sz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4.</w:t>
      </w:r>
      <w:r>
        <w:rPr>
          <w:rFonts w:hint="eastAsia" w:ascii="楷体_GB2312" w:eastAsia="楷体_GB2312"/>
          <w:sz w:val="28"/>
        </w:rPr>
        <w:t>在评估报告使用期限或者评估结果有效期内，评估报告或者评估结果未使用之前，如果评估对象状况或者房地产市场状况发生明显变化的，评估结果应当进行相应调整后才可使用。</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5.</w:t>
      </w:r>
      <w:r>
        <w:rPr>
          <w:rFonts w:hint="eastAsia" w:ascii="楷体_GB2312" w:eastAsia="楷体_GB2312"/>
          <w:sz w:val="28"/>
        </w:rPr>
        <w:t xml:space="preserve">根据估价委托人提供的《贵州省龙里县人民法院委托书》，人民法院未书面明确评估对象交易税费负担方式的，本次估价对象按照法律法规规定，转让人和买受人各自负担。 </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6.</w:t>
      </w:r>
      <w:r>
        <w:rPr>
          <w:rFonts w:hint="eastAsia" w:ascii="楷体_GB2312" w:eastAsia="楷体_GB2312"/>
          <w:sz w:val="28"/>
        </w:rPr>
        <w:t>本估价报告结论包含与房地产不可分割的满足其使用功能的水、电、气以及室内装饰装修等配套的辅助设施，但不包括可移动部分的价值。</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7.</w:t>
      </w:r>
      <w:r>
        <w:rPr>
          <w:rFonts w:hint="eastAsia" w:ascii="楷体_GB2312" w:eastAsia="楷体_GB2312"/>
          <w:sz w:val="28"/>
        </w:rPr>
        <w:t>本报告估价结果没有考虑快速变现、税费转嫁等特殊交易方式，以及可能发生的权利转移相关费用对估价对象房地产的影响，也未考虑国家宏观经济政策发生重大变化以及遇有自然力和其他不可抗力对估价结论的影响。</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8.</w:t>
      </w:r>
      <w:r>
        <w:rPr>
          <w:rFonts w:hint="eastAsia" w:ascii="楷体_GB2312" w:eastAsia="楷体_GB2312"/>
          <w:sz w:val="28"/>
        </w:rPr>
        <w:t>本报告结论中的数据系采用计算机连续运算得出，加之在报告中的计算公式数据均按四舍五入保留几位小数或取整，因此可能出现个别等式小数位后不完全相等的情况。此为正常情况，不影响计算结果及最终评估结论的准确性。</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9.</w:t>
      </w:r>
      <w:r>
        <w:rPr>
          <w:rFonts w:hint="eastAsia" w:ascii="楷体_GB2312" w:eastAsia="楷体_GB2312"/>
          <w:sz w:val="28"/>
        </w:rPr>
        <w:t>本估价报告按价值时点的国家法律、法规、市场情况以及估价对象的个别因素等估价要素与依据评估制作完成。价值时点之后，或估价报告有效期内估价对象的质量及价格标准发生变化，并对估价对象产生明显影响时，不能直接使用本估价结论。</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10.</w:t>
      </w:r>
      <w:r>
        <w:rPr>
          <w:rFonts w:hint="eastAsia" w:ascii="楷体_GB2312" w:eastAsia="楷体_GB2312"/>
          <w:sz w:val="28"/>
        </w:rPr>
        <w:t>本报告结论系为估价委托人提供专业化估价意见，这个意见本身并无强制执行的效力，评估者只对结论本身合乎规范要求负责，而不对司法判决负责。</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11.</w:t>
      </w:r>
      <w:r>
        <w:rPr>
          <w:rFonts w:hint="eastAsia" w:ascii="楷体_GB2312" w:eastAsia="楷体_GB2312"/>
          <w:sz w:val="28"/>
        </w:rPr>
        <w:t>本估价报告专为委托人所使用，未经本单位同意，不得向估价委托人和估价报告审查部门之外的单位与个人提供，报告的全部或其部分内容不得发表于任何公开媒体上，报告解释权为本估价机构所有。</w:t>
      </w:r>
    </w:p>
    <w:p>
      <w:pPr>
        <w:tabs>
          <w:tab w:val="left" w:pos="1134"/>
          <w:tab w:val="left" w:pos="3940"/>
        </w:tabs>
        <w:snapToGrid w:val="0"/>
        <w:spacing w:line="440" w:lineRule="exact"/>
        <w:ind w:firstLine="560" w:firstLineChars="200"/>
        <w:rPr>
          <w:rFonts w:ascii="楷体_GB2312" w:eastAsia="楷体_GB2312"/>
          <w:sz w:val="28"/>
        </w:rPr>
      </w:pPr>
      <w:r>
        <w:rPr>
          <w:rFonts w:ascii="楷体_GB2312" w:eastAsia="楷体_GB2312"/>
          <w:sz w:val="28"/>
        </w:rPr>
        <w:t>12.</w:t>
      </w:r>
      <w:r>
        <w:rPr>
          <w:rFonts w:hint="eastAsia" w:ascii="楷体_GB2312" w:eastAsia="楷体_GB2312"/>
          <w:sz w:val="28"/>
        </w:rPr>
        <w:t>本估价报告有效期为壹年，自估价报告出具之日起计算一年，即2022年06月02日至</w:t>
      </w:r>
      <w:r>
        <w:rPr>
          <w:rFonts w:ascii="楷体_GB2312" w:eastAsia="楷体_GB2312"/>
          <w:sz w:val="28"/>
        </w:rPr>
        <w:t>20</w:t>
      </w:r>
      <w:r>
        <w:rPr>
          <w:rFonts w:hint="eastAsia" w:ascii="楷体_GB2312" w:eastAsia="楷体_GB2312"/>
          <w:sz w:val="28"/>
        </w:rPr>
        <w:t>23年06月01日止。若报告使用期限内，房地产市场或估价对象状况发生重大变化，估价结果需做相应调整或委托估价机构重新估价。</w:t>
      </w:r>
    </w:p>
    <w:p>
      <w:bookmarkStart w:id="7" w:name="_Toc322348928"/>
    </w:p>
    <w:p/>
    <w:p/>
    <w:p/>
    <w:p/>
    <w:p/>
    <w:p/>
    <w:p/>
    <w:p/>
    <w:p/>
    <w:p/>
    <w:p/>
    <w:p/>
    <w:p/>
    <w:p/>
    <w:p/>
    <w:p>
      <w:pPr>
        <w:pStyle w:val="2"/>
        <w:spacing w:before="0" w:after="0"/>
        <w:jc w:val="center"/>
        <w:rPr>
          <w:rFonts w:ascii="黑体" w:hAnsi="黑体" w:eastAsia="黑体"/>
          <w:sz w:val="36"/>
          <w:szCs w:val="36"/>
        </w:rPr>
      </w:pPr>
      <w:bookmarkStart w:id="8" w:name="_Toc89182839"/>
      <w:r>
        <w:rPr>
          <w:rFonts w:hint="eastAsia" w:ascii="黑体" w:hAnsi="黑体" w:eastAsia="黑体"/>
          <w:sz w:val="36"/>
          <w:szCs w:val="36"/>
        </w:rPr>
        <w:t>估价结果报告</w:t>
      </w:r>
      <w:bookmarkEnd w:id="7"/>
      <w:bookmarkEnd w:id="8"/>
    </w:p>
    <w:p>
      <w:pPr>
        <w:jc w:val="center"/>
        <w:rPr>
          <w:rFonts w:ascii="楷体_GB2312" w:eastAsia="楷体_GB2312"/>
        </w:rPr>
      </w:pPr>
    </w:p>
    <w:p>
      <w:pPr>
        <w:pStyle w:val="3"/>
        <w:ind w:firstLine="562" w:firstLineChars="200"/>
        <w:jc w:val="left"/>
        <w:rPr>
          <w:sz w:val="28"/>
          <w:szCs w:val="28"/>
        </w:rPr>
      </w:pPr>
      <w:bookmarkStart w:id="9" w:name="_Toc89182840"/>
      <w:bookmarkStart w:id="10" w:name="_Toc322348929"/>
      <w:r>
        <w:rPr>
          <w:rFonts w:hint="eastAsia"/>
          <w:sz w:val="28"/>
          <w:szCs w:val="28"/>
        </w:rPr>
        <w:t>一、估价委托人</w:t>
      </w:r>
      <w:bookmarkEnd w:id="9"/>
      <w:bookmarkEnd w:id="10"/>
    </w:p>
    <w:p>
      <w:pPr>
        <w:snapToGrid w:val="0"/>
        <w:spacing w:line="480" w:lineRule="exact"/>
        <w:ind w:firstLine="560" w:firstLineChars="200"/>
        <w:rPr>
          <w:rFonts w:ascii="楷体_GB2312" w:eastAsia="楷体_GB2312"/>
          <w:sz w:val="28"/>
        </w:rPr>
      </w:pPr>
      <w:r>
        <w:rPr>
          <w:rFonts w:hint="eastAsia" w:ascii="楷体_GB2312" w:eastAsia="楷体_GB2312"/>
          <w:sz w:val="28"/>
        </w:rPr>
        <w:t>单位名称：贵州省龙里县人民法院</w:t>
      </w:r>
    </w:p>
    <w:p>
      <w:pPr>
        <w:snapToGrid w:val="0"/>
        <w:spacing w:line="480" w:lineRule="exact"/>
        <w:ind w:firstLine="560" w:firstLineChars="200"/>
        <w:rPr>
          <w:rFonts w:ascii="楷体_GB2312" w:eastAsia="楷体_GB2312"/>
          <w:sz w:val="28"/>
        </w:rPr>
      </w:pPr>
      <w:r>
        <w:rPr>
          <w:rFonts w:hint="eastAsia" w:ascii="楷体_GB2312" w:eastAsia="楷体_GB2312"/>
          <w:sz w:val="28"/>
        </w:rPr>
        <w:t>地址：贵州省龙里县冠山街道办体育路</w:t>
      </w:r>
    </w:p>
    <w:p>
      <w:pPr>
        <w:snapToGrid w:val="0"/>
        <w:spacing w:line="480" w:lineRule="exact"/>
        <w:ind w:firstLine="560" w:firstLineChars="200"/>
        <w:rPr>
          <w:rFonts w:ascii="楷体_GB2312" w:eastAsia="楷体_GB2312"/>
          <w:sz w:val="28"/>
        </w:rPr>
      </w:pPr>
      <w:r>
        <w:rPr>
          <w:rFonts w:hint="eastAsia" w:ascii="楷体_GB2312" w:eastAsia="楷体_GB2312"/>
          <w:sz w:val="28"/>
        </w:rPr>
        <w:t>联系电话：0854-5631404</w:t>
      </w:r>
    </w:p>
    <w:p>
      <w:pPr>
        <w:snapToGrid w:val="0"/>
        <w:spacing w:line="480" w:lineRule="exact"/>
        <w:ind w:firstLine="548" w:firstLineChars="196"/>
        <w:rPr>
          <w:rFonts w:ascii="楷体_GB2312" w:hAnsi="宋体" w:eastAsia="楷体_GB2312"/>
          <w:sz w:val="28"/>
        </w:rPr>
      </w:pPr>
      <w:bookmarkStart w:id="11" w:name="_Toc322348930"/>
    </w:p>
    <w:p>
      <w:pPr>
        <w:pStyle w:val="3"/>
        <w:ind w:firstLine="562" w:firstLineChars="200"/>
        <w:jc w:val="left"/>
        <w:rPr>
          <w:sz w:val="28"/>
          <w:szCs w:val="28"/>
        </w:rPr>
      </w:pPr>
      <w:bookmarkStart w:id="12" w:name="_Toc89182841"/>
      <w:r>
        <w:rPr>
          <w:rFonts w:hint="eastAsia"/>
          <w:sz w:val="28"/>
          <w:szCs w:val="28"/>
        </w:rPr>
        <w:t>二、</w:t>
      </w:r>
      <w:bookmarkEnd w:id="11"/>
      <w:r>
        <w:rPr>
          <w:rFonts w:hint="eastAsia"/>
          <w:sz w:val="28"/>
          <w:szCs w:val="28"/>
        </w:rPr>
        <w:t>房地产估价机构</w:t>
      </w:r>
      <w:bookmarkEnd w:id="12"/>
    </w:p>
    <w:p>
      <w:pPr>
        <w:snapToGrid w:val="0"/>
        <w:spacing w:line="480" w:lineRule="exact"/>
        <w:ind w:firstLine="560" w:firstLineChars="200"/>
        <w:rPr>
          <w:rFonts w:ascii="楷体_GB2312" w:eastAsia="楷体_GB2312"/>
          <w:sz w:val="28"/>
        </w:rPr>
      </w:pPr>
      <w:bookmarkStart w:id="13" w:name="_Toc322348931"/>
      <w:r>
        <w:rPr>
          <w:rFonts w:hint="eastAsia" w:ascii="楷体_GB2312" w:eastAsia="楷体_GB2312"/>
          <w:sz w:val="28"/>
        </w:rPr>
        <w:t>机构名称：天信房地产土地资产评估有限公司</w:t>
      </w:r>
    </w:p>
    <w:p>
      <w:pPr>
        <w:snapToGrid w:val="0"/>
        <w:spacing w:line="480" w:lineRule="exact"/>
        <w:ind w:firstLine="560" w:firstLineChars="200"/>
        <w:rPr>
          <w:rFonts w:ascii="楷体_GB2312" w:eastAsia="楷体_GB2312"/>
          <w:sz w:val="28"/>
        </w:rPr>
      </w:pPr>
      <w:r>
        <w:rPr>
          <w:rFonts w:hint="eastAsia" w:ascii="楷体_GB2312" w:eastAsia="楷体_GB2312"/>
          <w:sz w:val="28"/>
        </w:rPr>
        <w:t>法定代表人：贺方</w:t>
      </w:r>
    </w:p>
    <w:p>
      <w:pPr>
        <w:snapToGrid w:val="0"/>
        <w:spacing w:line="480" w:lineRule="exact"/>
        <w:ind w:firstLine="560" w:firstLineChars="200"/>
        <w:rPr>
          <w:rFonts w:ascii="楷体_GB2312" w:eastAsia="楷体_GB2312"/>
          <w:sz w:val="28"/>
        </w:rPr>
      </w:pPr>
      <w:r>
        <w:rPr>
          <w:rFonts w:hint="eastAsia" w:ascii="楷体_GB2312" w:eastAsia="楷体_GB2312"/>
          <w:sz w:val="28"/>
        </w:rPr>
        <w:t>住所：长沙市雨花区湘府东路二段99号汇财御景湾新寓11栋1601房</w:t>
      </w:r>
    </w:p>
    <w:p>
      <w:pPr>
        <w:snapToGrid w:val="0"/>
        <w:spacing w:line="480" w:lineRule="exact"/>
        <w:ind w:firstLine="560" w:firstLineChars="200"/>
        <w:rPr>
          <w:rFonts w:ascii="楷体_GB2312" w:eastAsia="楷体_GB2312"/>
          <w:sz w:val="28"/>
        </w:rPr>
      </w:pPr>
      <w:r>
        <w:rPr>
          <w:rFonts w:hint="eastAsia" w:ascii="楷体_GB2312" w:eastAsia="楷体_GB2312"/>
          <w:sz w:val="28"/>
        </w:rPr>
        <w:t>统一社会信用代码：91430111572239789T</w:t>
      </w:r>
    </w:p>
    <w:p>
      <w:pPr>
        <w:snapToGrid w:val="0"/>
        <w:spacing w:line="480" w:lineRule="exact"/>
        <w:ind w:firstLine="560" w:firstLineChars="200"/>
        <w:rPr>
          <w:rFonts w:ascii="楷体_GB2312" w:eastAsia="楷体_GB2312"/>
          <w:sz w:val="28"/>
        </w:rPr>
      </w:pPr>
      <w:r>
        <w:rPr>
          <w:rFonts w:hint="eastAsia" w:ascii="楷体_GB2312" w:eastAsia="楷体_GB2312"/>
          <w:sz w:val="28"/>
        </w:rPr>
        <w:t>备案等级：一级</w:t>
      </w:r>
    </w:p>
    <w:p>
      <w:pPr>
        <w:snapToGrid w:val="0"/>
        <w:spacing w:line="480" w:lineRule="exact"/>
        <w:ind w:firstLine="560" w:firstLineChars="200"/>
        <w:rPr>
          <w:rFonts w:ascii="楷体_GB2312" w:eastAsia="楷体_GB2312"/>
          <w:sz w:val="28"/>
        </w:rPr>
      </w:pPr>
      <w:r>
        <w:rPr>
          <w:rFonts w:hint="eastAsia" w:ascii="楷体_GB2312" w:eastAsia="楷体_GB2312"/>
          <w:sz w:val="28"/>
        </w:rPr>
        <w:t>证书编号：湘建房估(长)字第0510264号</w:t>
      </w:r>
    </w:p>
    <w:p>
      <w:pPr>
        <w:snapToGrid w:val="0"/>
        <w:spacing w:line="480" w:lineRule="exact"/>
        <w:ind w:firstLine="560" w:firstLineChars="200"/>
        <w:rPr>
          <w:rFonts w:ascii="楷体_GB2312" w:eastAsia="楷体_GB2312"/>
          <w:sz w:val="28"/>
        </w:rPr>
      </w:pPr>
      <w:r>
        <w:rPr>
          <w:rFonts w:hint="eastAsia" w:ascii="楷体_GB2312" w:eastAsia="楷体_GB2312"/>
          <w:sz w:val="28"/>
        </w:rPr>
        <w:t>联系电话：0731-89796208</w:t>
      </w:r>
    </w:p>
    <w:p>
      <w:pPr>
        <w:snapToGrid w:val="0"/>
        <w:spacing w:line="480" w:lineRule="exact"/>
        <w:ind w:firstLine="551" w:firstLineChars="196"/>
        <w:rPr>
          <w:rFonts w:ascii="黑体" w:eastAsia="黑体"/>
          <w:b/>
          <w:sz w:val="28"/>
        </w:rPr>
      </w:pPr>
    </w:p>
    <w:p>
      <w:pPr>
        <w:pStyle w:val="3"/>
        <w:ind w:firstLine="562" w:firstLineChars="200"/>
        <w:jc w:val="left"/>
        <w:rPr>
          <w:sz w:val="28"/>
          <w:szCs w:val="28"/>
        </w:rPr>
      </w:pPr>
      <w:bookmarkStart w:id="14" w:name="_Toc89182842"/>
      <w:r>
        <w:rPr>
          <w:rFonts w:hint="eastAsia"/>
          <w:sz w:val="28"/>
          <w:szCs w:val="28"/>
        </w:rPr>
        <w:t>三、估价目的</w:t>
      </w:r>
      <w:bookmarkEnd w:id="14"/>
    </w:p>
    <w:p>
      <w:pPr>
        <w:pStyle w:val="16"/>
        <w:spacing w:line="440" w:lineRule="exact"/>
        <w:ind w:firstLine="560" w:firstLineChars="200"/>
        <w:rPr>
          <w:rFonts w:ascii="楷体_GB2312" w:hAnsi="宋体" w:eastAsia="楷体_GB2312"/>
          <w:sz w:val="28"/>
        </w:rPr>
      </w:pPr>
      <w:r>
        <w:rPr>
          <w:rFonts w:hint="eastAsia" w:ascii="楷体_GB2312" w:eastAsia="楷体_GB2312"/>
          <w:sz w:val="28"/>
        </w:rPr>
        <w:t>根据《贵州省龙里县人民法院委托书》</w:t>
      </w:r>
      <w:r>
        <w:rPr>
          <w:rFonts w:ascii="楷体_GB2312" w:eastAsia="楷体_GB2312"/>
          <w:sz w:val="28"/>
        </w:rPr>
        <w:t>[</w:t>
      </w:r>
      <w:r>
        <w:rPr>
          <w:rFonts w:hint="eastAsia" w:ascii="楷体_GB2312" w:eastAsia="楷体_GB2312"/>
          <w:sz w:val="28"/>
        </w:rPr>
        <w:t>（2022）黔2730执恢26号</w:t>
      </w:r>
      <w:r>
        <w:rPr>
          <w:rFonts w:ascii="楷体_GB2312" w:eastAsia="楷体_GB2312"/>
          <w:sz w:val="28"/>
        </w:rPr>
        <w:t>]</w:t>
      </w:r>
      <w:r>
        <w:rPr>
          <w:rFonts w:hint="eastAsia" w:ascii="楷体_GB2312" w:eastAsia="楷体_GB2312"/>
          <w:sz w:val="28"/>
        </w:rPr>
        <w:t>，本次估价目的为人民法院确定财产处置参考价提供参考依据。</w:t>
      </w:r>
    </w:p>
    <w:p>
      <w:pPr>
        <w:snapToGrid w:val="0"/>
        <w:spacing w:line="480" w:lineRule="exact"/>
        <w:ind w:firstLine="551" w:firstLineChars="196"/>
        <w:rPr>
          <w:rFonts w:ascii="黑体" w:eastAsia="黑体"/>
          <w:b/>
          <w:sz w:val="28"/>
        </w:rPr>
      </w:pPr>
    </w:p>
    <w:p>
      <w:pPr>
        <w:pStyle w:val="3"/>
        <w:spacing w:line="480" w:lineRule="exact"/>
        <w:ind w:firstLine="562" w:firstLineChars="200"/>
        <w:jc w:val="left"/>
        <w:rPr>
          <w:sz w:val="28"/>
          <w:szCs w:val="28"/>
        </w:rPr>
      </w:pPr>
      <w:bookmarkStart w:id="15" w:name="_Toc89182843"/>
      <w:r>
        <w:rPr>
          <w:rFonts w:hint="eastAsia"/>
          <w:sz w:val="28"/>
          <w:szCs w:val="28"/>
        </w:rPr>
        <w:t>四、估价对象</w:t>
      </w:r>
      <w:bookmarkEnd w:id="13"/>
      <w:bookmarkEnd w:id="15"/>
    </w:p>
    <w:p>
      <w:pPr>
        <w:snapToGrid w:val="0"/>
        <w:spacing w:line="480" w:lineRule="exact"/>
        <w:ind w:firstLine="560" w:firstLineChars="200"/>
        <w:rPr>
          <w:rFonts w:ascii="楷体_GB2312" w:hAnsi="仿宋" w:eastAsia="楷体_GB2312"/>
          <w:sz w:val="28"/>
          <w:szCs w:val="28"/>
        </w:rPr>
      </w:pPr>
      <w:r>
        <w:rPr>
          <w:rFonts w:hint="eastAsia" w:ascii="楷体_GB2312" w:hAnsi="仿宋" w:eastAsia="楷体_GB2312"/>
          <w:sz w:val="28"/>
          <w:szCs w:val="28"/>
        </w:rPr>
        <w:t>（一）估价对象财产范围界定</w:t>
      </w:r>
    </w:p>
    <w:p>
      <w:pPr>
        <w:pStyle w:val="16"/>
        <w:adjustRightInd w:val="0"/>
        <w:snapToGrid w:val="0"/>
        <w:spacing w:line="480" w:lineRule="exact"/>
        <w:ind w:firstLine="560" w:firstLineChars="200"/>
        <w:rPr>
          <w:rFonts w:ascii="楷体_GB2312" w:hAnsi="宋体" w:eastAsia="楷体_GB2312"/>
          <w:sz w:val="28"/>
        </w:rPr>
      </w:pPr>
      <w:r>
        <w:rPr>
          <w:rFonts w:hint="eastAsia" w:ascii="楷体_GB2312" w:hAnsi="宋体" w:eastAsia="楷体_GB2312"/>
          <w:sz w:val="28"/>
        </w:rPr>
        <w:t>本次估价对象范围为龙里县龙山镇青龙路A幢整栋1-5层商住房地产，建筑面积共计740.13平方米，1层规划用途为商业，本次评估设定用途为商业，2-5层规划用途为住宅，本次评估设定用途为住宅，包括房屋主体、分摊的土地使用权价值、上下水、供电、卫生、室内装饰装修等，不包含家具家电等可移动的非房屋附属设施设备的价值及不包含债权债务等。</w:t>
      </w:r>
    </w:p>
    <w:p>
      <w:pPr>
        <w:pStyle w:val="16"/>
        <w:adjustRightInd w:val="0"/>
        <w:snapToGrid w:val="0"/>
        <w:spacing w:line="480" w:lineRule="exact"/>
        <w:ind w:firstLine="560" w:firstLineChars="200"/>
        <w:rPr>
          <w:rFonts w:ascii="楷体_GB2312" w:hAnsi="宋体" w:eastAsia="楷体_GB2312"/>
          <w:color w:val="FF0000"/>
          <w:sz w:val="28"/>
        </w:rPr>
      </w:pPr>
      <w:r>
        <w:rPr>
          <w:rFonts w:hint="eastAsia" w:ascii="楷体_GB2312" w:hAnsi="宋体" w:eastAsia="楷体_GB2312"/>
          <w:sz w:val="28"/>
        </w:rPr>
        <w:t>本次估价对象范围为龙里县龙山镇青龙路B幢整栋1-3层住宅房地产，建筑面积共计184.41平方米，规划用途均为住宅，本次评估设定用途为住宅，包括房屋主体、分摊的土地使用权价值、上下水、供电、卫生、室内装饰装修等，不包含家具家电等可移动的非房屋附属设施设备的价值及不包含债权债务等。</w:t>
      </w:r>
    </w:p>
    <w:p>
      <w:pPr>
        <w:spacing w:line="480" w:lineRule="exact"/>
        <w:ind w:firstLine="560" w:firstLineChars="200"/>
        <w:rPr>
          <w:rFonts w:ascii="楷体_GB2312" w:hAnsi="仿宋" w:eastAsia="楷体_GB2312"/>
          <w:sz w:val="28"/>
          <w:szCs w:val="28"/>
        </w:rPr>
      </w:pPr>
      <w:r>
        <w:rPr>
          <w:rFonts w:hint="eastAsia" w:ascii="楷体_GB2312" w:hAnsi="仿宋" w:eastAsia="楷体_GB2312"/>
          <w:sz w:val="28"/>
          <w:szCs w:val="28"/>
        </w:rPr>
        <w:t>（二）估价对象基本状况</w:t>
      </w:r>
    </w:p>
    <w:p>
      <w:pPr>
        <w:spacing w:line="480" w:lineRule="exact"/>
        <w:ind w:firstLine="560" w:firstLineChars="200"/>
        <w:rPr>
          <w:rFonts w:ascii="楷体_GB2312" w:hAnsi="仿宋" w:eastAsia="楷体_GB2312"/>
          <w:sz w:val="28"/>
          <w:szCs w:val="28"/>
        </w:rPr>
      </w:pPr>
      <w:r>
        <w:rPr>
          <w:rFonts w:hint="eastAsia" w:ascii="仿宋" w:hAnsi="仿宋" w:eastAsia="仿宋"/>
          <w:sz w:val="28"/>
          <w:szCs w:val="28"/>
        </w:rPr>
        <w:t>1.</w:t>
      </w:r>
      <w:r>
        <w:rPr>
          <w:rFonts w:hint="eastAsia" w:ascii="楷体_GB2312" w:hAnsi="仿宋" w:eastAsia="楷体_GB2312"/>
          <w:sz w:val="28"/>
          <w:szCs w:val="28"/>
        </w:rPr>
        <w:t>估价对象基本情况详见下表：</w:t>
      </w:r>
      <w:r>
        <w:rPr>
          <w:rFonts w:ascii="楷体_GB2312" w:hAnsi="仿宋" w:eastAsia="楷体_GB2312"/>
          <w:sz w:val="28"/>
          <w:szCs w:val="28"/>
        </w:rPr>
        <w:t xml:space="preserve"> </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2"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估价对象名称</w:t>
            </w:r>
          </w:p>
        </w:tc>
        <w:tc>
          <w:tcPr>
            <w:tcW w:w="4118"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龙里县龙山镇青龙路A幢整栋1-5层、B幢整栋1</w:t>
            </w:r>
            <w:r>
              <w:rPr>
                <w:rFonts w:ascii="楷体_GB2312" w:hAnsi="宋体" w:eastAsia="楷体_GB2312" w:cs="宋体"/>
                <w:color w:val="000000"/>
                <w:kern w:val="0"/>
                <w:sz w:val="24"/>
                <w:szCs w:val="24"/>
              </w:rPr>
              <w:t>-</w:t>
            </w:r>
            <w:r>
              <w:rPr>
                <w:rFonts w:hint="eastAsia" w:ascii="楷体_GB2312" w:hAnsi="宋体" w:eastAsia="楷体_GB2312" w:cs="宋体"/>
                <w:color w:val="000000"/>
                <w:kern w:val="0"/>
                <w:sz w:val="24"/>
                <w:szCs w:val="24"/>
              </w:rPr>
              <w:t>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2"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坐落</w:t>
            </w:r>
          </w:p>
        </w:tc>
        <w:tc>
          <w:tcPr>
            <w:tcW w:w="4118"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龙里县龙山镇青龙路A幢整栋1-5层、B幢整栋1</w:t>
            </w:r>
            <w:r>
              <w:rPr>
                <w:rFonts w:ascii="楷体_GB2312" w:hAnsi="宋体" w:eastAsia="楷体_GB2312" w:cs="宋体"/>
                <w:color w:val="000000"/>
                <w:kern w:val="0"/>
                <w:sz w:val="24"/>
                <w:szCs w:val="24"/>
              </w:rPr>
              <w:t>-</w:t>
            </w:r>
            <w:r>
              <w:rPr>
                <w:rFonts w:hint="eastAsia" w:ascii="楷体_GB2312" w:hAnsi="宋体" w:eastAsia="楷体_GB2312" w:cs="宋体"/>
                <w:color w:val="000000"/>
                <w:kern w:val="0"/>
                <w:sz w:val="24"/>
                <w:szCs w:val="24"/>
              </w:rPr>
              <w:t>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2"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规模</w:t>
            </w:r>
          </w:p>
        </w:tc>
        <w:tc>
          <w:tcPr>
            <w:tcW w:w="4118"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估价对象A幢建筑面积740.13平方米，B幢建筑面积共计184.41平方米，占用土地面积为205.2平方米。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882"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用途</w:t>
            </w:r>
          </w:p>
        </w:tc>
        <w:tc>
          <w:tcPr>
            <w:tcW w:w="4118"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商业、住宅</w:t>
            </w:r>
          </w:p>
        </w:tc>
      </w:tr>
    </w:tbl>
    <w:p>
      <w:pPr>
        <w:spacing w:line="420" w:lineRule="exact"/>
        <w:ind w:firstLine="560" w:firstLineChars="200"/>
        <w:rPr>
          <w:rFonts w:ascii="楷体_GB2312" w:hAnsi="仿宋" w:eastAsia="楷体_GB2312"/>
          <w:sz w:val="28"/>
          <w:szCs w:val="28"/>
        </w:rPr>
      </w:pPr>
      <w:r>
        <w:rPr>
          <w:rFonts w:ascii="楷体_GB2312" w:hAnsi="仿宋" w:eastAsia="楷体_GB2312"/>
          <w:sz w:val="28"/>
          <w:szCs w:val="28"/>
        </w:rPr>
        <w:t>2.</w:t>
      </w:r>
      <w:r>
        <w:rPr>
          <w:rFonts w:hint="eastAsia" w:ascii="楷体_GB2312" w:hAnsi="仿宋" w:eastAsia="楷体_GB2312"/>
          <w:sz w:val="28"/>
          <w:szCs w:val="28"/>
        </w:rPr>
        <w:t>区位状况</w:t>
      </w:r>
    </w:p>
    <w:tbl>
      <w:tblPr>
        <w:tblStyle w:val="34"/>
        <w:tblW w:w="51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2058"/>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69" w:type="pct"/>
            <w:gridSpan w:val="2"/>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项目</w:t>
            </w:r>
          </w:p>
        </w:tc>
        <w:tc>
          <w:tcPr>
            <w:tcW w:w="3331"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10" w:type="pct"/>
            <w:vMerge w:val="restar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位置状况</w:t>
            </w: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坐落</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龙里县龙山镇青龙路A幢整栋1-5层、B幢整栋1</w:t>
            </w:r>
            <w:r>
              <w:rPr>
                <w:rFonts w:ascii="楷体_GB2312" w:hAnsi="宋体" w:eastAsia="楷体_GB2312" w:cs="宋体"/>
                <w:color w:val="000000"/>
                <w:kern w:val="0"/>
                <w:sz w:val="24"/>
                <w:szCs w:val="24"/>
              </w:rPr>
              <w:t>-</w:t>
            </w:r>
            <w:r>
              <w:rPr>
                <w:rFonts w:hint="eastAsia" w:ascii="楷体_GB2312" w:hAnsi="宋体" w:eastAsia="楷体_GB2312" w:cs="宋体"/>
                <w:color w:val="000000"/>
                <w:kern w:val="0"/>
                <w:sz w:val="24"/>
                <w:szCs w:val="24"/>
              </w:rPr>
              <w:t>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方位</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估价对象位于龙里县龙山镇青龙路A幢整栋1-5层、B幢整栋1</w:t>
            </w:r>
            <w:r>
              <w:rPr>
                <w:rFonts w:ascii="楷体_GB2312" w:hAnsi="宋体" w:eastAsia="楷体_GB2312" w:cs="宋体"/>
                <w:color w:val="000000"/>
                <w:kern w:val="0"/>
                <w:sz w:val="24"/>
                <w:szCs w:val="24"/>
              </w:rPr>
              <w:t>-</w:t>
            </w:r>
            <w:r>
              <w:rPr>
                <w:rFonts w:hint="eastAsia" w:ascii="楷体_GB2312" w:hAnsi="宋体" w:eastAsia="楷体_GB2312" w:cs="宋体"/>
                <w:color w:val="000000"/>
                <w:kern w:val="0"/>
                <w:sz w:val="24"/>
                <w:szCs w:val="24"/>
              </w:rPr>
              <w:t>3层。处于龙里县城区，该房屋东临住宅区，西临祥华酒店，南临青龙路，北临住宅区。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临街状况</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临青龙路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所在层数/总层数</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sz w:val="24"/>
                <w:szCs w:val="24"/>
              </w:rPr>
              <w:t>A幢第1-5层/共5层（实勘为1-5层/共5层），B幢第1-3层/共3层（实勘为1-3层/共3层）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所处楼幢</w:t>
            </w:r>
          </w:p>
        </w:tc>
        <w:tc>
          <w:tcPr>
            <w:tcW w:w="3331" w:type="pct"/>
            <w:shd w:val="clear" w:color="auto" w:fill="auto"/>
            <w:vAlign w:val="center"/>
          </w:tcPr>
          <w:p>
            <w:pPr>
              <w:widowControl/>
              <w:jc w:val="left"/>
              <w:rPr>
                <w:rFonts w:ascii="楷体_GB2312" w:hAnsi="宋体" w:eastAsia="楷体_GB2312"/>
                <w:sz w:val="24"/>
                <w:szCs w:val="24"/>
              </w:rPr>
            </w:pPr>
            <w:r>
              <w:rPr>
                <w:rFonts w:hint="eastAsia" w:ascii="楷体_GB2312" w:hAnsi="宋体" w:eastAsia="楷体_GB2312" w:cs="宋体"/>
                <w:color w:val="000000"/>
                <w:kern w:val="0"/>
                <w:sz w:val="24"/>
                <w:szCs w:val="24"/>
              </w:rPr>
              <w:t>青龙路A幢、B幢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朝向</w:t>
            </w:r>
          </w:p>
        </w:tc>
        <w:tc>
          <w:tcPr>
            <w:tcW w:w="3331" w:type="pct"/>
            <w:shd w:val="clear" w:color="auto" w:fill="auto"/>
            <w:vAlign w:val="center"/>
          </w:tcPr>
          <w:p>
            <w:pPr>
              <w:widowControl/>
              <w:jc w:val="left"/>
              <w:rPr>
                <w:rFonts w:ascii="楷体_GB2312" w:hAnsi="宋体" w:eastAsia="楷体_GB2312"/>
                <w:sz w:val="24"/>
                <w:szCs w:val="24"/>
              </w:rPr>
            </w:pPr>
            <w:r>
              <w:rPr>
                <w:rFonts w:hint="eastAsia" w:ascii="楷体_GB2312" w:hAnsi="宋体" w:eastAsia="楷体_GB2312"/>
                <w:sz w:val="24"/>
                <w:szCs w:val="24"/>
              </w:rPr>
              <w:t>朝南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10" w:type="pct"/>
            <w:vMerge w:val="restar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交通状况</w:t>
            </w: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道路名称与类型</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估价对象南临青龙路，为交通型次干道，道路通达度较好，对外联接方便。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交通</w:t>
            </w:r>
          </w:p>
        </w:tc>
        <w:tc>
          <w:tcPr>
            <w:tcW w:w="3331" w:type="pct"/>
            <w:shd w:val="clear" w:color="auto" w:fill="auto"/>
            <w:vAlign w:val="center"/>
          </w:tcPr>
          <w:p>
            <w:pPr>
              <w:widowControl/>
              <w:jc w:val="left"/>
              <w:rPr>
                <w:rFonts w:ascii="楷体_GB2312" w:hAnsi="宋体" w:eastAsia="楷体_GB2312" w:cs="宋体"/>
                <w:kern w:val="0"/>
                <w:sz w:val="24"/>
                <w:szCs w:val="24"/>
              </w:rPr>
            </w:pPr>
            <w:r>
              <w:rPr>
                <w:rFonts w:hint="eastAsia" w:ascii="楷体_GB2312" w:hAnsi="宋体" w:eastAsia="楷体_GB2312" w:cs="宋体"/>
                <w:kern w:val="0"/>
                <w:sz w:val="24"/>
                <w:szCs w:val="24"/>
              </w:rPr>
              <w:t>公交：</w:t>
            </w:r>
            <w:r>
              <w:rPr>
                <w:rFonts w:hint="eastAsia" w:ascii="楷体_GB2312" w:eastAsia="楷体_GB2312"/>
                <w:sz w:val="24"/>
                <w:szCs w:val="24"/>
              </w:rPr>
              <w:t>距离公交车站约200米，有龙里1路公交线路通过</w:t>
            </w:r>
            <w:r>
              <w:rPr>
                <w:rFonts w:hint="eastAsia" w:ascii="楷体_GB2312" w:hAnsi="宋体" w:eastAsia="楷体_GB2312"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交通管制</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周边道路无交通管制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出入可利用</w:t>
            </w:r>
          </w:p>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交通工具</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主要交通方式为公交车、自驾。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10" w:type="pct"/>
            <w:vMerge w:val="restar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环境状况</w:t>
            </w: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自然环境</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估价对象周边无明显的大气污染、水文污染，有轻度噪声污染；周边没有影响视觉环境的杂乱因素；卫生状况良好。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人文环境</w:t>
            </w:r>
          </w:p>
        </w:tc>
        <w:tc>
          <w:tcPr>
            <w:tcW w:w="3331" w:type="pct"/>
            <w:shd w:val="clear" w:color="auto" w:fill="auto"/>
            <w:vAlign w:val="center"/>
          </w:tcPr>
          <w:p>
            <w:pPr>
              <w:widowControl/>
              <w:jc w:val="left"/>
              <w:rPr>
                <w:rFonts w:ascii="楷体_GB2312" w:hAnsi="宋体" w:eastAsia="楷体_GB2312" w:cs="宋体"/>
                <w:color w:val="FF0000"/>
                <w:kern w:val="0"/>
                <w:sz w:val="24"/>
                <w:szCs w:val="24"/>
              </w:rPr>
            </w:pPr>
            <w:r>
              <w:rPr>
                <w:rFonts w:hint="eastAsia" w:ascii="楷体_GB2312" w:hAnsi="宋体" w:eastAsia="楷体_GB2312" w:cs="宋体"/>
                <w:kern w:val="0"/>
                <w:sz w:val="24"/>
                <w:szCs w:val="24"/>
              </w:rPr>
              <w:t>位于</w:t>
            </w:r>
            <w:r>
              <w:rPr>
                <w:rFonts w:hint="eastAsia" w:ascii="楷体_GB2312" w:hAnsi="宋体" w:eastAsia="楷体_GB2312" w:cs="宋体"/>
                <w:color w:val="000000"/>
                <w:kern w:val="0"/>
                <w:sz w:val="24"/>
                <w:szCs w:val="24"/>
              </w:rPr>
              <w:t>青龙路，周边聚集有红星幼儿园、龙里县第一小学，治安环境较好，人文环境一般。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10" w:type="pct"/>
            <w:vMerge w:val="restar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外部配套设施</w:t>
            </w: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基础设施</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区域内基础设施条件达到“五通一平”（通上水、通下水、通电、通路、通讯和场地平整），供水、供电的保证度较高，排水、排污直接接入市政管网，通信及互联网等讯息接收流畅，能满足生活日常要求。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10" w:type="pct"/>
            <w:vMerge w:val="continue"/>
            <w:vAlign w:val="center"/>
          </w:tcPr>
          <w:p>
            <w:pPr>
              <w:widowControl/>
              <w:jc w:val="left"/>
              <w:rPr>
                <w:rFonts w:ascii="楷体_GB2312" w:hAnsi="宋体" w:eastAsia="楷体_GB2312" w:cs="宋体"/>
                <w:color w:val="000000"/>
                <w:kern w:val="0"/>
                <w:sz w:val="24"/>
                <w:szCs w:val="24"/>
              </w:rPr>
            </w:pP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公共服务设施</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购物：名门时代广场等；</w:t>
            </w:r>
          </w:p>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金融：中国建设银行、龙里农商银行等；</w:t>
            </w:r>
          </w:p>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医院：冠山社区卫生服务站、龙里县人民医院等。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10"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规划条件</w:t>
            </w: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规划条件</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估价对象建筑高度、密度、建筑容积率、消防间距及土地使用要求等符合规划限制要求.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10"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居住聚集程度</w:t>
            </w:r>
          </w:p>
        </w:tc>
        <w:tc>
          <w:tcPr>
            <w:tcW w:w="1059"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居住聚集程度</w:t>
            </w:r>
          </w:p>
        </w:tc>
        <w:tc>
          <w:tcPr>
            <w:tcW w:w="3331" w:type="pct"/>
            <w:shd w:val="clear" w:color="auto" w:fill="auto"/>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周边聚集有金鹏花园、和帝公园里、云邦</w:t>
            </w:r>
            <w:r>
              <w:rPr>
                <w:rFonts w:hint="eastAsia" w:ascii="宋体" w:hAnsi="宋体" w:cs="宋体"/>
                <w:color w:val="000000"/>
                <w:kern w:val="0"/>
                <w:sz w:val="24"/>
                <w:szCs w:val="24"/>
              </w:rPr>
              <w:t>·</w:t>
            </w:r>
            <w:r>
              <w:rPr>
                <w:rFonts w:hint="eastAsia" w:ascii="楷体_GB2312" w:hAnsi="宋体" w:eastAsia="楷体_GB2312" w:cs="宋体"/>
                <w:color w:val="000000"/>
                <w:kern w:val="0"/>
                <w:sz w:val="24"/>
                <w:szCs w:val="24"/>
              </w:rPr>
              <w:t>城上城等小区，居住聚集度高。</w:t>
            </w:r>
          </w:p>
        </w:tc>
      </w:tr>
    </w:tbl>
    <w:p>
      <w:pPr>
        <w:spacing w:line="420" w:lineRule="exact"/>
        <w:ind w:firstLine="560" w:firstLineChars="200"/>
        <w:rPr>
          <w:rFonts w:ascii="楷体_GB2312" w:hAnsi="仿宋" w:eastAsia="楷体_GB2312"/>
          <w:sz w:val="28"/>
          <w:szCs w:val="28"/>
        </w:rPr>
      </w:pPr>
      <w:r>
        <w:rPr>
          <w:rFonts w:ascii="仿宋" w:hAnsi="仿宋" w:eastAsia="仿宋"/>
          <w:sz w:val="28"/>
          <w:szCs w:val="28"/>
        </w:rPr>
        <w:t>3.</w:t>
      </w:r>
      <w:r>
        <w:rPr>
          <w:rFonts w:hint="eastAsia" w:ascii="楷体_GB2312" w:hAnsi="仿宋" w:eastAsia="楷体_GB2312"/>
          <w:sz w:val="28"/>
          <w:szCs w:val="28"/>
        </w:rPr>
        <w:t>估价对象权属状况</w:t>
      </w:r>
    </w:p>
    <w:p>
      <w:pPr>
        <w:spacing w:line="440" w:lineRule="exact"/>
        <w:ind w:firstLine="560" w:firstLineChars="200"/>
        <w:rPr>
          <w:rFonts w:ascii="楷体_GB2312" w:eastAsia="楷体_GB2312"/>
          <w:sz w:val="28"/>
        </w:rPr>
      </w:pPr>
      <w:r>
        <w:rPr>
          <w:rFonts w:hint="eastAsia" w:ascii="仿宋" w:hAnsi="仿宋" w:eastAsia="仿宋"/>
          <w:sz w:val="28"/>
        </w:rPr>
        <w:t>⑴</w:t>
      </w:r>
      <w:r>
        <w:rPr>
          <w:rFonts w:hint="eastAsia" w:ascii="楷体_GB2312" w:eastAsia="楷体_GB2312"/>
          <w:sz w:val="28"/>
        </w:rPr>
        <w:t>产权登记状况描述</w:t>
      </w:r>
    </w:p>
    <w:p>
      <w:pPr>
        <w:snapToGrid w:val="0"/>
        <w:spacing w:line="420" w:lineRule="exact"/>
        <w:ind w:firstLine="560" w:firstLineChars="200"/>
        <w:rPr>
          <w:rFonts w:ascii="楷体_GB2312" w:hAnsi="宋体" w:eastAsia="楷体_GB2312"/>
          <w:sz w:val="28"/>
        </w:rPr>
      </w:pPr>
      <w:r>
        <w:rPr>
          <w:rFonts w:hint="eastAsia" w:ascii="楷体_GB2312" w:hAnsi="宋体" w:eastAsia="楷体_GB2312"/>
          <w:sz w:val="28"/>
        </w:rPr>
        <w:t>根据估价委托人提供的《国有土地使用证》（龙国用（2000）字第035号），估价对象所占土地权属状况如下：</w:t>
      </w:r>
    </w:p>
    <w:tbl>
      <w:tblPr>
        <w:tblStyle w:val="34"/>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2584"/>
        <w:gridCol w:w="2315"/>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46"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国有土地使用证号</w:t>
            </w:r>
          </w:p>
        </w:tc>
        <w:tc>
          <w:tcPr>
            <w:tcW w:w="7217" w:type="dxa"/>
            <w:gridSpan w:val="3"/>
            <w:vAlign w:val="center"/>
          </w:tcPr>
          <w:p>
            <w:pPr>
              <w:adjustRightInd w:val="0"/>
              <w:snapToGrid w:val="0"/>
              <w:spacing w:line="400" w:lineRule="exact"/>
              <w:jc w:val="center"/>
              <w:rPr>
                <w:rFonts w:ascii="楷体_GB2312" w:hAnsi="宋体" w:eastAsia="楷体_GB2312"/>
                <w:bCs/>
                <w:szCs w:val="21"/>
              </w:rPr>
            </w:pPr>
            <w:r>
              <w:rPr>
                <w:rFonts w:hint="eastAsia" w:ascii="楷体_GB2312" w:hAnsi="宋体" w:eastAsia="楷体_GB2312"/>
                <w:bCs/>
                <w:szCs w:val="21"/>
              </w:rPr>
              <w:t>龙国用（2000）字第035号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046"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地址</w:t>
            </w:r>
          </w:p>
        </w:tc>
        <w:tc>
          <w:tcPr>
            <w:tcW w:w="7217" w:type="dxa"/>
            <w:gridSpan w:val="3"/>
            <w:vAlign w:val="center"/>
          </w:tcPr>
          <w:p>
            <w:pPr>
              <w:adjustRightInd w:val="0"/>
              <w:snapToGrid w:val="0"/>
              <w:spacing w:line="400" w:lineRule="exact"/>
              <w:jc w:val="center"/>
              <w:rPr>
                <w:rFonts w:ascii="楷体_GB2312" w:hAnsi="宋体" w:eastAsia="楷体_GB2312"/>
                <w:color w:val="FF0000"/>
                <w:szCs w:val="21"/>
              </w:rPr>
            </w:pPr>
            <w:r>
              <w:rPr>
                <w:rFonts w:hint="eastAsia" w:ascii="楷体_GB2312" w:hAnsi="宋体" w:eastAsia="楷体_GB2312"/>
                <w:bCs/>
                <w:szCs w:val="21"/>
              </w:rPr>
              <w:t>龙里县龙山镇青龙路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46"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土地使用者</w:t>
            </w:r>
          </w:p>
        </w:tc>
        <w:tc>
          <w:tcPr>
            <w:tcW w:w="7217" w:type="dxa"/>
            <w:gridSpan w:val="3"/>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朱勇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46" w:type="dxa"/>
            <w:tcBorders>
              <w:top w:val="nil"/>
            </w:tcBorders>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地号</w:t>
            </w:r>
          </w:p>
        </w:tc>
        <w:tc>
          <w:tcPr>
            <w:tcW w:w="7217" w:type="dxa"/>
            <w:gridSpan w:val="3"/>
            <w:tcBorders>
              <w:top w:val="nil"/>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99-31-2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46"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用途</w:t>
            </w:r>
          </w:p>
        </w:tc>
        <w:tc>
          <w:tcPr>
            <w:tcW w:w="7217" w:type="dxa"/>
            <w:gridSpan w:val="3"/>
            <w:tcBorders>
              <w:right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商、住综合用地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46"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批准使用期限</w:t>
            </w:r>
          </w:p>
        </w:tc>
        <w:tc>
          <w:tcPr>
            <w:tcW w:w="7217" w:type="dxa"/>
            <w:gridSpan w:val="3"/>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伍拾年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46"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用地面积</w:t>
            </w:r>
          </w:p>
        </w:tc>
        <w:tc>
          <w:tcPr>
            <w:tcW w:w="7217" w:type="dxa"/>
            <w:gridSpan w:val="3"/>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205.2平方米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46" w:type="dxa"/>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b/>
                <w:kern w:val="0"/>
                <w:szCs w:val="21"/>
              </w:rPr>
              <w:t>发证日期</w:t>
            </w:r>
          </w:p>
        </w:tc>
        <w:tc>
          <w:tcPr>
            <w:tcW w:w="2584"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Cs/>
                <w:kern w:val="0"/>
                <w:szCs w:val="21"/>
              </w:rPr>
              <w:t>2000年9月13日</w:t>
            </w:r>
          </w:p>
        </w:tc>
        <w:tc>
          <w:tcPr>
            <w:tcW w:w="2315"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发证机关</w:t>
            </w:r>
          </w:p>
        </w:tc>
        <w:tc>
          <w:tcPr>
            <w:tcW w:w="2318"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Cs/>
                <w:kern w:val="0"/>
                <w:szCs w:val="21"/>
              </w:rPr>
              <w:t>龙里县国土局</w:t>
            </w:r>
          </w:p>
        </w:tc>
      </w:tr>
    </w:tbl>
    <w:p>
      <w:pPr>
        <w:snapToGrid w:val="0"/>
        <w:spacing w:line="420" w:lineRule="exact"/>
        <w:ind w:firstLine="560" w:firstLineChars="200"/>
        <w:rPr>
          <w:rFonts w:ascii="楷体_GB2312" w:hAnsi="宋体" w:eastAsia="楷体_GB2312"/>
          <w:sz w:val="28"/>
        </w:rPr>
      </w:pPr>
    </w:p>
    <w:p>
      <w:pPr>
        <w:snapToGrid w:val="0"/>
        <w:spacing w:line="420" w:lineRule="exact"/>
        <w:ind w:firstLine="560" w:firstLineChars="200"/>
        <w:rPr>
          <w:rFonts w:ascii="楷体_GB2312" w:hAnsi="宋体" w:eastAsia="楷体_GB2312"/>
          <w:sz w:val="28"/>
        </w:rPr>
      </w:pPr>
      <w:r>
        <w:rPr>
          <w:rFonts w:hint="eastAsia" w:ascii="楷体_GB2312" w:hAnsi="宋体" w:eastAsia="楷体_GB2312"/>
          <w:sz w:val="28"/>
        </w:rPr>
        <w:t>根据估价委托人提供的《房屋所有权证》（龙房权证龙山镇字第05071904号），估价对象权属状况如下：</w:t>
      </w:r>
    </w:p>
    <w:tbl>
      <w:tblPr>
        <w:tblStyle w:val="34"/>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1368"/>
        <w:gridCol w:w="1418"/>
        <w:gridCol w:w="1134"/>
        <w:gridCol w:w="1417"/>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46"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房屋所有权证号</w:t>
            </w:r>
          </w:p>
        </w:tc>
        <w:tc>
          <w:tcPr>
            <w:tcW w:w="7217" w:type="dxa"/>
            <w:gridSpan w:val="5"/>
            <w:vAlign w:val="center"/>
          </w:tcPr>
          <w:p>
            <w:pPr>
              <w:adjustRightInd w:val="0"/>
              <w:snapToGrid w:val="0"/>
              <w:spacing w:line="400" w:lineRule="exact"/>
              <w:jc w:val="center"/>
              <w:rPr>
                <w:rFonts w:ascii="楷体_GB2312" w:hAnsi="宋体" w:eastAsia="楷体_GB2312"/>
                <w:bCs/>
                <w:szCs w:val="21"/>
              </w:rPr>
            </w:pPr>
            <w:r>
              <w:rPr>
                <w:rFonts w:hint="eastAsia" w:ascii="楷体_GB2312" w:hAnsi="宋体" w:eastAsia="楷体_GB2312"/>
                <w:bCs/>
                <w:szCs w:val="21"/>
              </w:rPr>
              <w:t>龙房权证龙山镇字第05071904号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046"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房屋坐落</w:t>
            </w:r>
          </w:p>
        </w:tc>
        <w:tc>
          <w:tcPr>
            <w:tcW w:w="7217" w:type="dxa"/>
            <w:gridSpan w:val="5"/>
            <w:vAlign w:val="center"/>
          </w:tcPr>
          <w:p>
            <w:pPr>
              <w:adjustRightInd w:val="0"/>
              <w:snapToGrid w:val="0"/>
              <w:spacing w:line="400" w:lineRule="exact"/>
              <w:jc w:val="center"/>
              <w:rPr>
                <w:rFonts w:ascii="楷体_GB2312" w:hAnsi="宋体" w:eastAsia="楷体_GB2312"/>
                <w:color w:val="FF0000"/>
                <w:szCs w:val="21"/>
              </w:rPr>
            </w:pPr>
            <w:r>
              <w:rPr>
                <w:rFonts w:hint="eastAsia" w:ascii="楷体_GB2312" w:hAnsi="宋体" w:eastAsia="楷体_GB2312"/>
                <w:bCs/>
                <w:szCs w:val="21"/>
              </w:rPr>
              <w:t>龙里县龙山镇青龙路A幢1层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46"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房屋所有权人</w:t>
            </w:r>
          </w:p>
        </w:tc>
        <w:tc>
          <w:tcPr>
            <w:tcW w:w="1368"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朱勇</w:t>
            </w:r>
          </w:p>
        </w:tc>
        <w:tc>
          <w:tcPr>
            <w:tcW w:w="1418"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产别</w:t>
            </w:r>
          </w:p>
        </w:tc>
        <w:tc>
          <w:tcPr>
            <w:tcW w:w="1134"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Cs/>
                <w:kern w:val="0"/>
                <w:szCs w:val="21"/>
              </w:rPr>
            </w:pPr>
            <w:r>
              <w:rPr>
                <w:rFonts w:hint="eastAsia" w:ascii="楷体_GB2312" w:hAnsi="宋体" w:eastAsia="楷体_GB2312" w:cs="宋体"/>
                <w:bCs/>
                <w:kern w:val="0"/>
                <w:szCs w:val="21"/>
              </w:rPr>
              <w:t>私产</w:t>
            </w:r>
          </w:p>
        </w:tc>
        <w:tc>
          <w:tcPr>
            <w:tcW w:w="1417"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楼号或幢号</w:t>
            </w:r>
          </w:p>
        </w:tc>
        <w:tc>
          <w:tcPr>
            <w:tcW w:w="1880"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bCs/>
                <w:szCs w:val="21"/>
              </w:rPr>
              <w:t>A幢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46" w:type="dxa"/>
            <w:tcBorders>
              <w:top w:val="nil"/>
            </w:tcBorders>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房屋结构</w:t>
            </w:r>
          </w:p>
        </w:tc>
        <w:tc>
          <w:tcPr>
            <w:tcW w:w="1368" w:type="dxa"/>
            <w:tcBorders>
              <w:top w:val="nil"/>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混合</w:t>
            </w:r>
          </w:p>
        </w:tc>
        <w:tc>
          <w:tcPr>
            <w:tcW w:w="1418" w:type="dxa"/>
            <w:tcBorders>
              <w:top w:val="nil"/>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房屋总层数</w:t>
            </w:r>
          </w:p>
        </w:tc>
        <w:tc>
          <w:tcPr>
            <w:tcW w:w="1134" w:type="dxa"/>
            <w:tcBorders>
              <w:top w:val="nil"/>
            </w:tcBorders>
            <w:vAlign w:val="center"/>
          </w:tcPr>
          <w:p>
            <w:pPr>
              <w:widowControl/>
              <w:adjustRightInd w:val="0"/>
              <w:snapToGrid w:val="0"/>
              <w:spacing w:line="400" w:lineRule="exact"/>
              <w:jc w:val="center"/>
              <w:rPr>
                <w:rFonts w:ascii="楷体_GB2312" w:hAnsi="宋体" w:eastAsia="楷体_GB2312" w:cs="宋体"/>
                <w:bCs/>
                <w:kern w:val="0"/>
                <w:szCs w:val="21"/>
              </w:rPr>
            </w:pPr>
            <w:r>
              <w:rPr>
                <w:rFonts w:hint="eastAsia" w:ascii="楷体_GB2312" w:hAnsi="宋体" w:eastAsia="楷体_GB2312" w:cs="宋体"/>
                <w:bCs/>
                <w:kern w:val="0"/>
                <w:szCs w:val="21"/>
              </w:rPr>
              <w:t>5层</w:t>
            </w:r>
          </w:p>
        </w:tc>
        <w:tc>
          <w:tcPr>
            <w:tcW w:w="1417" w:type="dxa"/>
            <w:tcBorders>
              <w:top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所在层数</w:t>
            </w:r>
          </w:p>
        </w:tc>
        <w:tc>
          <w:tcPr>
            <w:tcW w:w="1880" w:type="dxa"/>
            <w:tcBorders>
              <w:top w:val="nil"/>
              <w:bottom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ascii="楷体_GB2312" w:hAnsi="宋体" w:eastAsia="楷体_GB2312" w:cs="宋体"/>
                <w:kern w:val="0"/>
                <w:szCs w:val="21"/>
              </w:rPr>
              <w:t>1</w:t>
            </w:r>
            <w:r>
              <w:rPr>
                <w:rFonts w:hint="eastAsia" w:ascii="楷体_GB2312" w:hAnsi="宋体" w:eastAsia="楷体_GB2312" w:cs="宋体"/>
                <w:kern w:val="0"/>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46"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建筑面积(</w:t>
            </w:r>
            <w:r>
              <w:rPr>
                <w:rFonts w:hint="eastAsia" w:ascii="宋体" w:hAnsi="宋体" w:cs="宋体"/>
                <w:b/>
                <w:kern w:val="0"/>
                <w:szCs w:val="21"/>
              </w:rPr>
              <w:t>㎡</w:t>
            </w:r>
            <w:r>
              <w:rPr>
                <w:rFonts w:hint="eastAsia" w:ascii="楷体_GB2312" w:hAnsi="宋体" w:eastAsia="楷体_GB2312" w:cs="宋体"/>
                <w:b/>
                <w:kern w:val="0"/>
                <w:szCs w:val="21"/>
              </w:rPr>
              <w:t>)</w:t>
            </w:r>
          </w:p>
        </w:tc>
        <w:tc>
          <w:tcPr>
            <w:tcW w:w="1368" w:type="dxa"/>
            <w:vAlign w:val="center"/>
          </w:tcPr>
          <w:p>
            <w:pPr>
              <w:widowControl/>
              <w:adjustRightInd w:val="0"/>
              <w:snapToGrid w:val="0"/>
              <w:spacing w:line="400" w:lineRule="exact"/>
              <w:jc w:val="center"/>
              <w:rPr>
                <w:rFonts w:ascii="楷体_GB2312" w:hAnsi="宋体" w:eastAsia="楷体_GB2312" w:cs="宋体"/>
                <w:color w:val="FF0000"/>
                <w:kern w:val="0"/>
                <w:szCs w:val="21"/>
              </w:rPr>
            </w:pPr>
            <w:r>
              <w:rPr>
                <w:rFonts w:hint="eastAsia" w:ascii="楷体_GB2312" w:hAnsi="宋体" w:eastAsia="楷体_GB2312" w:cs="宋体"/>
                <w:kern w:val="0"/>
                <w:szCs w:val="21"/>
              </w:rPr>
              <w:t>138.24</w:t>
            </w:r>
          </w:p>
        </w:tc>
        <w:tc>
          <w:tcPr>
            <w:tcW w:w="1418" w:type="dxa"/>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套内建筑面积(</w:t>
            </w:r>
            <w:r>
              <w:rPr>
                <w:rFonts w:hint="eastAsia" w:ascii="宋体" w:hAnsi="宋体" w:cs="宋体"/>
                <w:b/>
                <w:bCs/>
                <w:kern w:val="0"/>
                <w:szCs w:val="21"/>
              </w:rPr>
              <w:t>㎡</w:t>
            </w:r>
            <w:r>
              <w:rPr>
                <w:rFonts w:hint="eastAsia" w:ascii="楷体_GB2312" w:hAnsi="宋体" w:eastAsia="楷体_GB2312" w:cs="宋体"/>
                <w:b/>
                <w:bCs/>
                <w:kern w:val="0"/>
                <w:szCs w:val="21"/>
              </w:rPr>
              <w:t>)</w:t>
            </w:r>
          </w:p>
        </w:tc>
        <w:tc>
          <w:tcPr>
            <w:tcW w:w="1134" w:type="dxa"/>
            <w:tcBorders>
              <w:top w:val="single" w:color="auto" w:sz="4" w:space="0"/>
              <w:right w:val="single" w:color="auto" w:sz="4" w:space="0"/>
            </w:tcBorders>
            <w:vAlign w:val="center"/>
          </w:tcPr>
          <w:p>
            <w:pPr>
              <w:widowControl/>
              <w:adjustRightInd w:val="0"/>
              <w:snapToGrid w:val="0"/>
              <w:spacing w:line="400" w:lineRule="exact"/>
              <w:jc w:val="center"/>
              <w:rPr>
                <w:rFonts w:ascii="楷体_GB2312" w:hAnsi="宋体" w:eastAsia="楷体_GB2312" w:cs="宋体"/>
                <w:bCs/>
                <w:kern w:val="0"/>
                <w:szCs w:val="21"/>
              </w:rPr>
            </w:pPr>
            <w:r>
              <w:rPr>
                <w:rFonts w:hint="eastAsia" w:ascii="楷体_GB2312" w:hAnsi="宋体" w:eastAsia="楷体_GB2312" w:cs="宋体"/>
                <w:bCs/>
                <w:kern w:val="0"/>
                <w:szCs w:val="21"/>
              </w:rPr>
              <w:t>-</w:t>
            </w:r>
          </w:p>
        </w:tc>
        <w:tc>
          <w:tcPr>
            <w:tcW w:w="1417" w:type="dxa"/>
            <w:tcBorders>
              <w:top w:val="single" w:color="auto" w:sz="4" w:space="0"/>
              <w:right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房号</w:t>
            </w:r>
          </w:p>
        </w:tc>
        <w:tc>
          <w:tcPr>
            <w:tcW w:w="1880" w:type="dxa"/>
            <w:tcBorders>
              <w:top w:val="single" w:color="auto" w:sz="4" w:space="0"/>
              <w:right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ascii="楷体_GB2312" w:hAnsi="宋体" w:eastAsia="楷体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46"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规划用途</w:t>
            </w:r>
          </w:p>
        </w:tc>
        <w:tc>
          <w:tcPr>
            <w:tcW w:w="1368" w:type="dxa"/>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商业</w:t>
            </w:r>
          </w:p>
        </w:tc>
        <w:tc>
          <w:tcPr>
            <w:tcW w:w="1418" w:type="dxa"/>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建成年代</w:t>
            </w:r>
          </w:p>
        </w:tc>
        <w:tc>
          <w:tcPr>
            <w:tcW w:w="1134" w:type="dxa"/>
            <w:vAlign w:val="center"/>
          </w:tcPr>
          <w:p>
            <w:pPr>
              <w:widowControl/>
              <w:adjustRightInd w:val="0"/>
              <w:snapToGrid w:val="0"/>
              <w:spacing w:line="400" w:lineRule="exact"/>
              <w:jc w:val="center"/>
              <w:rPr>
                <w:rFonts w:ascii="楷体_GB2312" w:hAnsi="宋体" w:eastAsia="楷体_GB2312" w:cs="宋体"/>
                <w:bCs/>
                <w:kern w:val="0"/>
                <w:szCs w:val="21"/>
              </w:rPr>
            </w:pPr>
            <w:r>
              <w:rPr>
                <w:rFonts w:hint="eastAsia" w:ascii="楷体_GB2312" w:hAnsi="宋体" w:eastAsia="楷体_GB2312" w:cs="宋体"/>
                <w:bCs/>
                <w:kern w:val="0"/>
                <w:szCs w:val="21"/>
              </w:rPr>
              <w:t>2001年</w:t>
            </w:r>
          </w:p>
        </w:tc>
        <w:tc>
          <w:tcPr>
            <w:tcW w:w="1417" w:type="dxa"/>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登记时间</w:t>
            </w:r>
          </w:p>
        </w:tc>
        <w:tc>
          <w:tcPr>
            <w:tcW w:w="1880" w:type="dxa"/>
            <w:vAlign w:val="center"/>
          </w:tcPr>
          <w:p>
            <w:pPr>
              <w:widowControl/>
              <w:adjustRightInd w:val="0"/>
              <w:snapToGrid w:val="0"/>
              <w:spacing w:line="400" w:lineRule="exact"/>
              <w:jc w:val="center"/>
              <w:rPr>
                <w:rFonts w:ascii="楷体_GB2312" w:hAnsi="宋体" w:eastAsia="楷体_GB2312" w:cs="宋体"/>
                <w:kern w:val="0"/>
                <w:szCs w:val="21"/>
              </w:rPr>
            </w:pPr>
            <w:r>
              <w:rPr>
                <w:rFonts w:ascii="楷体_GB2312" w:hAnsi="宋体" w:eastAsia="楷体_GB2312" w:cs="宋体"/>
                <w:kern w:val="0"/>
                <w:szCs w:val="21"/>
              </w:rPr>
              <w:t>20</w:t>
            </w:r>
            <w:r>
              <w:rPr>
                <w:rFonts w:hint="eastAsia" w:ascii="楷体_GB2312" w:hAnsi="宋体" w:eastAsia="楷体_GB2312" w:cs="宋体"/>
                <w:kern w:val="0"/>
                <w:szCs w:val="21"/>
              </w:rPr>
              <w:t>05年</w:t>
            </w:r>
            <w:r>
              <w:rPr>
                <w:rFonts w:ascii="楷体_GB2312" w:hAnsi="宋体" w:eastAsia="楷体_GB2312" w:cs="宋体"/>
                <w:kern w:val="0"/>
                <w:szCs w:val="21"/>
              </w:rPr>
              <w:t>7</w:t>
            </w:r>
            <w:r>
              <w:rPr>
                <w:rFonts w:hint="eastAsia" w:ascii="楷体_GB2312" w:hAnsi="宋体" w:eastAsia="楷体_GB2312" w:cs="宋体"/>
                <w:kern w:val="0"/>
                <w:szCs w:val="21"/>
              </w:rPr>
              <w:t>月</w:t>
            </w:r>
            <w:r>
              <w:rPr>
                <w:rFonts w:ascii="楷体_GB2312" w:hAnsi="宋体" w:eastAsia="楷体_GB2312" w:cs="宋体"/>
                <w:kern w:val="0"/>
                <w:szCs w:val="21"/>
              </w:rPr>
              <w:t>19</w:t>
            </w:r>
            <w:r>
              <w:rPr>
                <w:rFonts w:hint="eastAsia" w:ascii="楷体_GB2312" w:hAnsi="宋体" w:eastAsia="楷体_GB2312" w:cs="宋体"/>
                <w:kern w:val="0"/>
                <w:szCs w:val="21"/>
              </w:rPr>
              <w:t>日</w:t>
            </w:r>
          </w:p>
        </w:tc>
      </w:tr>
    </w:tbl>
    <w:p>
      <w:pPr>
        <w:snapToGrid w:val="0"/>
        <w:spacing w:line="420" w:lineRule="exact"/>
        <w:ind w:firstLine="560" w:firstLineChars="200"/>
        <w:rPr>
          <w:rFonts w:ascii="楷体_GB2312" w:hAnsi="宋体" w:eastAsia="楷体_GB2312"/>
          <w:sz w:val="28"/>
        </w:rPr>
      </w:pPr>
    </w:p>
    <w:p>
      <w:pPr>
        <w:snapToGrid w:val="0"/>
        <w:spacing w:line="420" w:lineRule="exact"/>
        <w:ind w:firstLine="560" w:firstLineChars="200"/>
        <w:rPr>
          <w:rFonts w:ascii="楷体_GB2312" w:hAnsi="宋体" w:eastAsia="楷体_GB2312"/>
          <w:sz w:val="28"/>
        </w:rPr>
      </w:pPr>
      <w:r>
        <w:rPr>
          <w:rFonts w:hint="eastAsia" w:ascii="楷体_GB2312" w:hAnsi="宋体" w:eastAsia="楷体_GB2312"/>
          <w:sz w:val="28"/>
        </w:rPr>
        <w:t>根据估价委托人提供的《房屋所有权证》（龙房权证龙山镇字第05071903号），估价对象权属状况如下：</w:t>
      </w:r>
    </w:p>
    <w:tbl>
      <w:tblPr>
        <w:tblStyle w:val="34"/>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701"/>
        <w:gridCol w:w="1560"/>
        <w:gridCol w:w="1134"/>
        <w:gridCol w:w="1275"/>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3"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房屋所有权证号</w:t>
            </w:r>
          </w:p>
        </w:tc>
        <w:tc>
          <w:tcPr>
            <w:tcW w:w="7550" w:type="dxa"/>
            <w:gridSpan w:val="5"/>
            <w:vAlign w:val="center"/>
          </w:tcPr>
          <w:p>
            <w:pPr>
              <w:adjustRightInd w:val="0"/>
              <w:snapToGrid w:val="0"/>
              <w:spacing w:line="400" w:lineRule="exact"/>
              <w:jc w:val="center"/>
              <w:rPr>
                <w:rFonts w:ascii="楷体_GB2312" w:hAnsi="宋体" w:eastAsia="楷体_GB2312"/>
                <w:bCs/>
                <w:szCs w:val="21"/>
              </w:rPr>
            </w:pPr>
            <w:r>
              <w:rPr>
                <w:rFonts w:hint="eastAsia" w:ascii="楷体_GB2312" w:hAnsi="宋体" w:eastAsia="楷体_GB2312"/>
                <w:bCs/>
                <w:szCs w:val="21"/>
              </w:rPr>
              <w:t>龙房权证龙山镇字第05071903号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713"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房屋坐落</w:t>
            </w:r>
          </w:p>
        </w:tc>
        <w:tc>
          <w:tcPr>
            <w:tcW w:w="7550" w:type="dxa"/>
            <w:gridSpan w:val="5"/>
            <w:vAlign w:val="center"/>
          </w:tcPr>
          <w:p>
            <w:pPr>
              <w:adjustRightInd w:val="0"/>
              <w:snapToGrid w:val="0"/>
              <w:spacing w:line="400" w:lineRule="exact"/>
              <w:jc w:val="center"/>
              <w:rPr>
                <w:rFonts w:ascii="楷体_GB2312" w:hAnsi="宋体" w:eastAsia="楷体_GB2312"/>
                <w:color w:val="FF0000"/>
                <w:szCs w:val="21"/>
              </w:rPr>
            </w:pPr>
            <w:r>
              <w:rPr>
                <w:rFonts w:hint="eastAsia" w:ascii="楷体_GB2312" w:hAnsi="宋体" w:eastAsia="楷体_GB2312"/>
                <w:bCs/>
                <w:szCs w:val="21"/>
              </w:rPr>
              <w:t>龙里县龙山镇青龙路A幢2、3、4、5层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3"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房屋所有权人</w:t>
            </w:r>
          </w:p>
        </w:tc>
        <w:tc>
          <w:tcPr>
            <w:tcW w:w="1701"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朱勇</w:t>
            </w:r>
          </w:p>
        </w:tc>
        <w:tc>
          <w:tcPr>
            <w:tcW w:w="1560"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产别</w:t>
            </w:r>
          </w:p>
        </w:tc>
        <w:tc>
          <w:tcPr>
            <w:tcW w:w="1134"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Cs/>
                <w:kern w:val="0"/>
                <w:szCs w:val="21"/>
              </w:rPr>
            </w:pPr>
            <w:r>
              <w:rPr>
                <w:rFonts w:hint="eastAsia" w:ascii="楷体_GB2312" w:hAnsi="宋体" w:eastAsia="楷体_GB2312" w:cs="宋体"/>
                <w:bCs/>
                <w:kern w:val="0"/>
                <w:szCs w:val="21"/>
              </w:rPr>
              <w:t>私产</w:t>
            </w:r>
          </w:p>
        </w:tc>
        <w:tc>
          <w:tcPr>
            <w:tcW w:w="1275"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楼号或幢号</w:t>
            </w:r>
          </w:p>
        </w:tc>
        <w:tc>
          <w:tcPr>
            <w:tcW w:w="1880"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bCs/>
                <w:szCs w:val="21"/>
              </w:rPr>
              <w:t>A幢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3" w:type="dxa"/>
            <w:tcBorders>
              <w:top w:val="single" w:color="auto" w:sz="4" w:space="0"/>
            </w:tcBorders>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房屋结构</w:t>
            </w:r>
          </w:p>
        </w:tc>
        <w:tc>
          <w:tcPr>
            <w:tcW w:w="1701" w:type="dxa"/>
            <w:tcBorders>
              <w:top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混合</w:t>
            </w:r>
          </w:p>
        </w:tc>
        <w:tc>
          <w:tcPr>
            <w:tcW w:w="1560" w:type="dxa"/>
            <w:tcBorders>
              <w:top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房屋总层数</w:t>
            </w:r>
          </w:p>
        </w:tc>
        <w:tc>
          <w:tcPr>
            <w:tcW w:w="1134" w:type="dxa"/>
            <w:tcBorders>
              <w:top w:val="single" w:color="auto" w:sz="4" w:space="0"/>
            </w:tcBorders>
            <w:vAlign w:val="center"/>
          </w:tcPr>
          <w:p>
            <w:pPr>
              <w:widowControl/>
              <w:adjustRightInd w:val="0"/>
              <w:snapToGrid w:val="0"/>
              <w:spacing w:line="400" w:lineRule="exact"/>
              <w:jc w:val="center"/>
              <w:rPr>
                <w:rFonts w:ascii="楷体_GB2312" w:hAnsi="宋体" w:eastAsia="楷体_GB2312" w:cs="宋体"/>
                <w:bCs/>
                <w:kern w:val="0"/>
                <w:szCs w:val="21"/>
              </w:rPr>
            </w:pPr>
            <w:r>
              <w:rPr>
                <w:rFonts w:hint="eastAsia" w:ascii="楷体_GB2312" w:hAnsi="宋体" w:eastAsia="楷体_GB2312" w:cs="宋体"/>
                <w:bCs/>
                <w:kern w:val="0"/>
                <w:szCs w:val="21"/>
              </w:rPr>
              <w:t>5层</w:t>
            </w:r>
          </w:p>
        </w:tc>
        <w:tc>
          <w:tcPr>
            <w:tcW w:w="1275" w:type="dxa"/>
            <w:tcBorders>
              <w:top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所在层数</w:t>
            </w:r>
          </w:p>
        </w:tc>
        <w:tc>
          <w:tcPr>
            <w:tcW w:w="1880" w:type="dxa"/>
            <w:tcBorders>
              <w:top w:val="single" w:color="auto" w:sz="4" w:space="0"/>
              <w:bottom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13"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建筑面积(</w:t>
            </w:r>
            <w:r>
              <w:rPr>
                <w:rFonts w:hint="eastAsia" w:ascii="宋体" w:hAnsi="宋体" w:cs="宋体"/>
                <w:b/>
                <w:kern w:val="0"/>
                <w:szCs w:val="21"/>
              </w:rPr>
              <w:t>㎡</w:t>
            </w:r>
            <w:r>
              <w:rPr>
                <w:rFonts w:hint="eastAsia" w:ascii="楷体_GB2312" w:hAnsi="宋体" w:eastAsia="楷体_GB2312" w:cs="宋体"/>
                <w:b/>
                <w:kern w:val="0"/>
                <w:szCs w:val="21"/>
              </w:rPr>
              <w:t>)</w:t>
            </w:r>
          </w:p>
        </w:tc>
        <w:tc>
          <w:tcPr>
            <w:tcW w:w="1701" w:type="dxa"/>
            <w:vAlign w:val="center"/>
          </w:tcPr>
          <w:p>
            <w:pPr>
              <w:widowControl/>
              <w:adjustRightInd w:val="0"/>
              <w:snapToGrid w:val="0"/>
              <w:spacing w:line="400" w:lineRule="exact"/>
              <w:jc w:val="center"/>
              <w:rPr>
                <w:rFonts w:ascii="楷体_GB2312" w:hAnsi="宋体" w:eastAsia="楷体_GB2312" w:cs="宋体"/>
                <w:kern w:val="0"/>
                <w:szCs w:val="21"/>
              </w:rPr>
            </w:pPr>
            <w:r>
              <w:rPr>
                <w:rFonts w:ascii="楷体_GB2312" w:hAnsi="宋体" w:eastAsia="楷体_GB2312" w:cs="宋体"/>
                <w:kern w:val="0"/>
                <w:szCs w:val="21"/>
              </w:rPr>
              <w:t>2</w:t>
            </w:r>
            <w:r>
              <w:rPr>
                <w:rFonts w:hint="eastAsia" w:ascii="楷体_GB2312" w:hAnsi="宋体" w:eastAsia="楷体_GB2312" w:cs="宋体"/>
                <w:kern w:val="0"/>
                <w:szCs w:val="21"/>
              </w:rPr>
              <w:t>层：1</w:t>
            </w:r>
            <w:r>
              <w:rPr>
                <w:rFonts w:ascii="楷体_GB2312" w:hAnsi="宋体" w:eastAsia="楷体_GB2312" w:cs="宋体"/>
                <w:kern w:val="0"/>
                <w:szCs w:val="21"/>
              </w:rPr>
              <w:t>50.23</w:t>
            </w:r>
            <w:r>
              <w:rPr>
                <w:rFonts w:hint="eastAsia" w:ascii="Segoe UI Symbol" w:hAnsi="Segoe UI Symbol" w:eastAsia="楷体_GB2312" w:cs="Segoe UI Symbol"/>
                <w:kern w:val="0"/>
                <w:szCs w:val="21"/>
              </w:rPr>
              <w:t>㎡</w:t>
            </w:r>
          </w:p>
          <w:p>
            <w:pPr>
              <w:widowControl/>
              <w:adjustRightInd w:val="0"/>
              <w:snapToGrid w:val="0"/>
              <w:spacing w:line="400" w:lineRule="exact"/>
              <w:jc w:val="center"/>
              <w:rPr>
                <w:rFonts w:ascii="楷体_GB2312" w:hAnsi="宋体" w:eastAsia="楷体_GB2312" w:cs="宋体"/>
                <w:kern w:val="0"/>
                <w:szCs w:val="21"/>
              </w:rPr>
            </w:pPr>
            <w:r>
              <w:rPr>
                <w:rFonts w:ascii="楷体_GB2312" w:hAnsi="宋体" w:eastAsia="楷体_GB2312" w:cs="宋体"/>
                <w:kern w:val="0"/>
                <w:szCs w:val="21"/>
              </w:rPr>
              <w:t>3</w:t>
            </w:r>
            <w:r>
              <w:rPr>
                <w:rFonts w:hint="eastAsia" w:ascii="楷体_GB2312" w:hAnsi="宋体" w:eastAsia="楷体_GB2312" w:cs="宋体"/>
                <w:kern w:val="0"/>
                <w:szCs w:val="21"/>
              </w:rPr>
              <w:t>层：1</w:t>
            </w:r>
            <w:r>
              <w:rPr>
                <w:rFonts w:ascii="楷体_GB2312" w:hAnsi="宋体" w:eastAsia="楷体_GB2312" w:cs="宋体"/>
                <w:kern w:val="0"/>
                <w:szCs w:val="21"/>
              </w:rPr>
              <w:t>50.23</w:t>
            </w:r>
            <w:r>
              <w:rPr>
                <w:rFonts w:hint="eastAsia" w:ascii="Segoe UI Symbol" w:hAnsi="Segoe UI Symbol" w:eastAsia="楷体_GB2312" w:cs="Segoe UI Symbol"/>
                <w:kern w:val="0"/>
                <w:szCs w:val="21"/>
              </w:rPr>
              <w:t>㎡</w:t>
            </w:r>
          </w:p>
          <w:p>
            <w:pPr>
              <w:widowControl/>
              <w:adjustRightInd w:val="0"/>
              <w:snapToGrid w:val="0"/>
              <w:spacing w:line="400" w:lineRule="exact"/>
              <w:jc w:val="center"/>
              <w:rPr>
                <w:rFonts w:ascii="楷体_GB2312" w:hAnsi="宋体" w:eastAsia="楷体_GB2312" w:cs="宋体"/>
                <w:kern w:val="0"/>
                <w:szCs w:val="21"/>
              </w:rPr>
            </w:pPr>
            <w:r>
              <w:rPr>
                <w:rFonts w:ascii="楷体_GB2312" w:hAnsi="宋体" w:eastAsia="楷体_GB2312" w:cs="宋体"/>
                <w:kern w:val="0"/>
                <w:szCs w:val="21"/>
              </w:rPr>
              <w:t>4</w:t>
            </w:r>
            <w:r>
              <w:rPr>
                <w:rFonts w:hint="eastAsia" w:ascii="楷体_GB2312" w:hAnsi="宋体" w:eastAsia="楷体_GB2312" w:cs="宋体"/>
                <w:kern w:val="0"/>
                <w:szCs w:val="21"/>
              </w:rPr>
              <w:t>层：1</w:t>
            </w:r>
            <w:r>
              <w:rPr>
                <w:rFonts w:ascii="楷体_GB2312" w:hAnsi="宋体" w:eastAsia="楷体_GB2312" w:cs="宋体"/>
                <w:kern w:val="0"/>
                <w:szCs w:val="21"/>
              </w:rPr>
              <w:t>50.23</w:t>
            </w:r>
            <w:r>
              <w:rPr>
                <w:rFonts w:hint="eastAsia" w:ascii="Segoe UI Symbol" w:hAnsi="Segoe UI Symbol" w:eastAsia="楷体_GB2312" w:cs="Segoe UI Symbol"/>
                <w:kern w:val="0"/>
                <w:szCs w:val="21"/>
              </w:rPr>
              <w:t>㎡</w:t>
            </w:r>
          </w:p>
          <w:p>
            <w:pPr>
              <w:widowControl/>
              <w:adjustRightInd w:val="0"/>
              <w:snapToGrid w:val="0"/>
              <w:spacing w:line="400" w:lineRule="exact"/>
              <w:jc w:val="center"/>
              <w:rPr>
                <w:rFonts w:ascii="楷体_GB2312" w:hAnsi="宋体" w:eastAsia="楷体_GB2312" w:cs="宋体"/>
                <w:kern w:val="0"/>
                <w:szCs w:val="21"/>
              </w:rPr>
            </w:pPr>
            <w:r>
              <w:rPr>
                <w:rFonts w:ascii="楷体_GB2312" w:hAnsi="宋体" w:eastAsia="楷体_GB2312" w:cs="宋体"/>
                <w:kern w:val="0"/>
                <w:szCs w:val="21"/>
              </w:rPr>
              <w:t>5</w:t>
            </w:r>
            <w:r>
              <w:rPr>
                <w:rFonts w:hint="eastAsia" w:ascii="楷体_GB2312" w:hAnsi="宋体" w:eastAsia="楷体_GB2312" w:cs="宋体"/>
                <w:kern w:val="0"/>
                <w:szCs w:val="21"/>
              </w:rPr>
              <w:t>层：1</w:t>
            </w:r>
            <w:r>
              <w:rPr>
                <w:rFonts w:ascii="楷体_GB2312" w:hAnsi="宋体" w:eastAsia="楷体_GB2312" w:cs="宋体"/>
                <w:kern w:val="0"/>
                <w:szCs w:val="21"/>
              </w:rPr>
              <w:t>51.20</w:t>
            </w:r>
            <w:r>
              <w:rPr>
                <w:rFonts w:hint="eastAsia" w:ascii="Segoe UI Symbol" w:hAnsi="Segoe UI Symbol" w:eastAsia="楷体_GB2312" w:cs="Segoe UI Symbol"/>
                <w:kern w:val="0"/>
                <w:szCs w:val="21"/>
              </w:rPr>
              <w:t>㎡</w:t>
            </w:r>
          </w:p>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合计：601.89</w:t>
            </w:r>
            <w:r>
              <w:rPr>
                <w:rFonts w:hint="eastAsia" w:ascii="Segoe UI Symbol" w:hAnsi="Segoe UI Symbol" w:eastAsia="楷体_GB2312" w:cs="Segoe UI Symbol"/>
                <w:kern w:val="0"/>
                <w:szCs w:val="21"/>
              </w:rPr>
              <w:t>㎡</w:t>
            </w:r>
          </w:p>
        </w:tc>
        <w:tc>
          <w:tcPr>
            <w:tcW w:w="1560" w:type="dxa"/>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套内建筑面积(</w:t>
            </w:r>
            <w:r>
              <w:rPr>
                <w:rFonts w:hint="eastAsia" w:ascii="宋体" w:hAnsi="宋体" w:cs="宋体"/>
                <w:b/>
                <w:bCs/>
                <w:kern w:val="0"/>
                <w:szCs w:val="21"/>
              </w:rPr>
              <w:t>㎡</w:t>
            </w:r>
            <w:r>
              <w:rPr>
                <w:rFonts w:hint="eastAsia" w:ascii="楷体_GB2312" w:hAnsi="宋体" w:eastAsia="楷体_GB2312" w:cs="宋体"/>
                <w:b/>
                <w:bCs/>
                <w:kern w:val="0"/>
                <w:szCs w:val="21"/>
              </w:rPr>
              <w:t>)</w:t>
            </w:r>
          </w:p>
        </w:tc>
        <w:tc>
          <w:tcPr>
            <w:tcW w:w="1134" w:type="dxa"/>
            <w:tcBorders>
              <w:top w:val="single" w:color="auto" w:sz="4" w:space="0"/>
              <w:right w:val="single" w:color="auto" w:sz="4" w:space="0"/>
            </w:tcBorders>
            <w:vAlign w:val="center"/>
          </w:tcPr>
          <w:p>
            <w:pPr>
              <w:widowControl/>
              <w:adjustRightInd w:val="0"/>
              <w:snapToGrid w:val="0"/>
              <w:spacing w:line="400" w:lineRule="exact"/>
              <w:jc w:val="center"/>
              <w:rPr>
                <w:rFonts w:ascii="楷体_GB2312" w:hAnsi="宋体" w:eastAsia="楷体_GB2312" w:cs="宋体"/>
                <w:bCs/>
                <w:kern w:val="0"/>
                <w:szCs w:val="21"/>
              </w:rPr>
            </w:pPr>
            <w:r>
              <w:rPr>
                <w:rFonts w:hint="eastAsia" w:ascii="楷体_GB2312" w:hAnsi="宋体" w:eastAsia="楷体_GB2312" w:cs="宋体"/>
                <w:bCs/>
                <w:kern w:val="0"/>
                <w:szCs w:val="21"/>
              </w:rPr>
              <w:t>-</w:t>
            </w:r>
          </w:p>
        </w:tc>
        <w:tc>
          <w:tcPr>
            <w:tcW w:w="1275" w:type="dxa"/>
            <w:tcBorders>
              <w:top w:val="single" w:color="auto" w:sz="4" w:space="0"/>
              <w:right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房号</w:t>
            </w:r>
          </w:p>
        </w:tc>
        <w:tc>
          <w:tcPr>
            <w:tcW w:w="1880" w:type="dxa"/>
            <w:tcBorders>
              <w:top w:val="single" w:color="auto" w:sz="4" w:space="0"/>
              <w:right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13"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规划用途</w:t>
            </w:r>
          </w:p>
        </w:tc>
        <w:tc>
          <w:tcPr>
            <w:tcW w:w="1701" w:type="dxa"/>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住宅</w:t>
            </w:r>
          </w:p>
        </w:tc>
        <w:tc>
          <w:tcPr>
            <w:tcW w:w="1560" w:type="dxa"/>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建成年代</w:t>
            </w:r>
          </w:p>
        </w:tc>
        <w:tc>
          <w:tcPr>
            <w:tcW w:w="1134" w:type="dxa"/>
            <w:vAlign w:val="center"/>
          </w:tcPr>
          <w:p>
            <w:pPr>
              <w:widowControl/>
              <w:adjustRightInd w:val="0"/>
              <w:snapToGrid w:val="0"/>
              <w:spacing w:line="400" w:lineRule="exact"/>
              <w:jc w:val="center"/>
              <w:rPr>
                <w:rFonts w:ascii="楷体_GB2312" w:hAnsi="宋体" w:eastAsia="楷体_GB2312" w:cs="宋体"/>
                <w:bCs/>
                <w:kern w:val="0"/>
                <w:szCs w:val="21"/>
              </w:rPr>
            </w:pPr>
            <w:r>
              <w:rPr>
                <w:rFonts w:hint="eastAsia" w:ascii="楷体_GB2312" w:hAnsi="宋体" w:eastAsia="楷体_GB2312" w:cs="宋体"/>
                <w:bCs/>
                <w:kern w:val="0"/>
                <w:szCs w:val="21"/>
              </w:rPr>
              <w:t>2001年</w:t>
            </w:r>
          </w:p>
        </w:tc>
        <w:tc>
          <w:tcPr>
            <w:tcW w:w="1275" w:type="dxa"/>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登记时间</w:t>
            </w:r>
          </w:p>
        </w:tc>
        <w:tc>
          <w:tcPr>
            <w:tcW w:w="1880" w:type="dxa"/>
            <w:vAlign w:val="center"/>
          </w:tcPr>
          <w:p>
            <w:pPr>
              <w:widowControl/>
              <w:adjustRightInd w:val="0"/>
              <w:snapToGrid w:val="0"/>
              <w:spacing w:line="400" w:lineRule="exact"/>
              <w:jc w:val="center"/>
              <w:rPr>
                <w:rFonts w:ascii="楷体_GB2312" w:hAnsi="宋体" w:eastAsia="楷体_GB2312" w:cs="宋体"/>
                <w:kern w:val="0"/>
                <w:szCs w:val="21"/>
              </w:rPr>
            </w:pPr>
            <w:r>
              <w:rPr>
                <w:rFonts w:ascii="楷体_GB2312" w:hAnsi="宋体" w:eastAsia="楷体_GB2312" w:cs="宋体"/>
                <w:kern w:val="0"/>
                <w:szCs w:val="21"/>
              </w:rPr>
              <w:t>20</w:t>
            </w:r>
            <w:r>
              <w:rPr>
                <w:rFonts w:hint="eastAsia" w:ascii="楷体_GB2312" w:hAnsi="宋体" w:eastAsia="楷体_GB2312" w:cs="宋体"/>
                <w:kern w:val="0"/>
                <w:szCs w:val="21"/>
              </w:rPr>
              <w:t>05年</w:t>
            </w:r>
            <w:r>
              <w:rPr>
                <w:rFonts w:ascii="楷体_GB2312" w:hAnsi="宋体" w:eastAsia="楷体_GB2312" w:cs="宋体"/>
                <w:kern w:val="0"/>
                <w:szCs w:val="21"/>
              </w:rPr>
              <w:t>7</w:t>
            </w:r>
            <w:r>
              <w:rPr>
                <w:rFonts w:hint="eastAsia" w:ascii="楷体_GB2312" w:hAnsi="宋体" w:eastAsia="楷体_GB2312" w:cs="宋体"/>
                <w:kern w:val="0"/>
                <w:szCs w:val="21"/>
              </w:rPr>
              <w:t>月</w:t>
            </w:r>
            <w:r>
              <w:rPr>
                <w:rFonts w:ascii="楷体_GB2312" w:hAnsi="宋体" w:eastAsia="楷体_GB2312" w:cs="宋体"/>
                <w:kern w:val="0"/>
                <w:szCs w:val="21"/>
              </w:rPr>
              <w:t>19</w:t>
            </w:r>
            <w:r>
              <w:rPr>
                <w:rFonts w:hint="eastAsia" w:ascii="楷体_GB2312" w:hAnsi="宋体" w:eastAsia="楷体_GB2312" w:cs="宋体"/>
                <w:kern w:val="0"/>
                <w:szCs w:val="21"/>
              </w:rPr>
              <w:t>日</w:t>
            </w:r>
          </w:p>
        </w:tc>
      </w:tr>
    </w:tbl>
    <w:p>
      <w:pPr>
        <w:snapToGrid w:val="0"/>
        <w:spacing w:line="420" w:lineRule="exact"/>
        <w:ind w:firstLine="560" w:firstLineChars="200"/>
        <w:rPr>
          <w:rFonts w:ascii="楷体_GB2312" w:hAnsi="宋体" w:eastAsia="楷体_GB2312"/>
          <w:sz w:val="28"/>
        </w:rPr>
      </w:pPr>
    </w:p>
    <w:p>
      <w:pPr>
        <w:snapToGrid w:val="0"/>
        <w:spacing w:line="420" w:lineRule="exact"/>
        <w:ind w:firstLine="560" w:firstLineChars="200"/>
        <w:rPr>
          <w:rFonts w:ascii="楷体_GB2312" w:hAnsi="宋体" w:eastAsia="楷体_GB2312"/>
          <w:sz w:val="28"/>
        </w:rPr>
      </w:pPr>
      <w:r>
        <w:rPr>
          <w:rFonts w:hint="eastAsia" w:ascii="楷体_GB2312" w:hAnsi="宋体" w:eastAsia="楷体_GB2312"/>
          <w:sz w:val="28"/>
        </w:rPr>
        <w:t>根据估价委托人提供的《房屋所有权证》（龙房权证龙山镇字第05071902号），估价对象权属状况如下：</w:t>
      </w:r>
    </w:p>
    <w:tbl>
      <w:tblPr>
        <w:tblStyle w:val="34"/>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560"/>
        <w:gridCol w:w="1559"/>
        <w:gridCol w:w="1134"/>
        <w:gridCol w:w="1417"/>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3"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房屋所有权证号</w:t>
            </w:r>
          </w:p>
        </w:tc>
        <w:tc>
          <w:tcPr>
            <w:tcW w:w="7550" w:type="dxa"/>
            <w:gridSpan w:val="5"/>
            <w:vAlign w:val="center"/>
          </w:tcPr>
          <w:p>
            <w:pPr>
              <w:adjustRightInd w:val="0"/>
              <w:snapToGrid w:val="0"/>
              <w:spacing w:line="400" w:lineRule="exact"/>
              <w:jc w:val="center"/>
              <w:rPr>
                <w:rFonts w:ascii="楷体_GB2312" w:hAnsi="宋体" w:eastAsia="楷体_GB2312"/>
                <w:bCs/>
                <w:szCs w:val="21"/>
              </w:rPr>
            </w:pPr>
            <w:r>
              <w:rPr>
                <w:rFonts w:hint="eastAsia" w:ascii="楷体_GB2312" w:hAnsi="宋体" w:eastAsia="楷体_GB2312"/>
                <w:bCs/>
                <w:szCs w:val="21"/>
              </w:rPr>
              <w:t>龙房权证龙山镇字第05071902号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713"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房屋坐落</w:t>
            </w:r>
          </w:p>
        </w:tc>
        <w:tc>
          <w:tcPr>
            <w:tcW w:w="7550" w:type="dxa"/>
            <w:gridSpan w:val="5"/>
            <w:vAlign w:val="center"/>
          </w:tcPr>
          <w:p>
            <w:pPr>
              <w:adjustRightInd w:val="0"/>
              <w:snapToGrid w:val="0"/>
              <w:spacing w:line="400" w:lineRule="exact"/>
              <w:jc w:val="center"/>
              <w:rPr>
                <w:rFonts w:ascii="楷体_GB2312" w:hAnsi="宋体" w:eastAsia="楷体_GB2312"/>
                <w:color w:val="FF0000"/>
                <w:szCs w:val="21"/>
              </w:rPr>
            </w:pPr>
            <w:r>
              <w:rPr>
                <w:rFonts w:hint="eastAsia" w:ascii="楷体_GB2312" w:hAnsi="宋体" w:eastAsia="楷体_GB2312"/>
                <w:bCs/>
                <w:szCs w:val="21"/>
              </w:rPr>
              <w:t>龙里县龙山镇青龙路B幢1、2、3层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3"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房屋所有权人</w:t>
            </w:r>
          </w:p>
        </w:tc>
        <w:tc>
          <w:tcPr>
            <w:tcW w:w="1560"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朱勇</w:t>
            </w:r>
          </w:p>
        </w:tc>
        <w:tc>
          <w:tcPr>
            <w:tcW w:w="1559"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产别</w:t>
            </w:r>
          </w:p>
        </w:tc>
        <w:tc>
          <w:tcPr>
            <w:tcW w:w="1134"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Cs/>
                <w:kern w:val="0"/>
                <w:szCs w:val="21"/>
              </w:rPr>
            </w:pPr>
            <w:r>
              <w:rPr>
                <w:rFonts w:hint="eastAsia" w:ascii="楷体_GB2312" w:hAnsi="宋体" w:eastAsia="楷体_GB2312" w:cs="宋体"/>
                <w:bCs/>
                <w:kern w:val="0"/>
                <w:szCs w:val="21"/>
              </w:rPr>
              <w:t>私产</w:t>
            </w:r>
          </w:p>
        </w:tc>
        <w:tc>
          <w:tcPr>
            <w:tcW w:w="1417"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楼号或幢号</w:t>
            </w:r>
          </w:p>
        </w:tc>
        <w:tc>
          <w:tcPr>
            <w:tcW w:w="1880" w:type="dxa"/>
            <w:tcBorders>
              <w:bottom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bCs/>
                <w:szCs w:val="21"/>
              </w:rPr>
              <w:t>B幢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3" w:type="dxa"/>
            <w:tcBorders>
              <w:top w:val="nil"/>
            </w:tcBorders>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房屋结构</w:t>
            </w:r>
          </w:p>
        </w:tc>
        <w:tc>
          <w:tcPr>
            <w:tcW w:w="1560" w:type="dxa"/>
            <w:tcBorders>
              <w:top w:val="nil"/>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混合</w:t>
            </w:r>
          </w:p>
        </w:tc>
        <w:tc>
          <w:tcPr>
            <w:tcW w:w="1559" w:type="dxa"/>
            <w:tcBorders>
              <w:top w:val="nil"/>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房屋总层数</w:t>
            </w:r>
          </w:p>
        </w:tc>
        <w:tc>
          <w:tcPr>
            <w:tcW w:w="1134" w:type="dxa"/>
            <w:tcBorders>
              <w:top w:val="nil"/>
            </w:tcBorders>
            <w:vAlign w:val="center"/>
          </w:tcPr>
          <w:p>
            <w:pPr>
              <w:widowControl/>
              <w:adjustRightInd w:val="0"/>
              <w:snapToGrid w:val="0"/>
              <w:spacing w:line="400" w:lineRule="exact"/>
              <w:jc w:val="center"/>
              <w:rPr>
                <w:rFonts w:ascii="楷体_GB2312" w:hAnsi="宋体" w:eastAsia="楷体_GB2312" w:cs="宋体"/>
                <w:bCs/>
                <w:kern w:val="0"/>
                <w:szCs w:val="21"/>
              </w:rPr>
            </w:pPr>
            <w:r>
              <w:rPr>
                <w:rFonts w:hint="eastAsia" w:ascii="楷体_GB2312" w:hAnsi="宋体" w:eastAsia="楷体_GB2312" w:cs="宋体"/>
                <w:bCs/>
                <w:kern w:val="0"/>
                <w:szCs w:val="21"/>
              </w:rPr>
              <w:t>3层</w:t>
            </w:r>
          </w:p>
        </w:tc>
        <w:tc>
          <w:tcPr>
            <w:tcW w:w="1417" w:type="dxa"/>
            <w:tcBorders>
              <w:top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所在层数</w:t>
            </w:r>
          </w:p>
        </w:tc>
        <w:tc>
          <w:tcPr>
            <w:tcW w:w="1880" w:type="dxa"/>
            <w:tcBorders>
              <w:top w:val="nil"/>
              <w:bottom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13"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建筑面积(</w:t>
            </w:r>
            <w:r>
              <w:rPr>
                <w:rFonts w:hint="eastAsia" w:ascii="宋体" w:hAnsi="宋体" w:cs="宋体"/>
                <w:b/>
                <w:kern w:val="0"/>
                <w:szCs w:val="21"/>
              </w:rPr>
              <w:t>㎡</w:t>
            </w:r>
            <w:r>
              <w:rPr>
                <w:rFonts w:hint="eastAsia" w:ascii="楷体_GB2312" w:hAnsi="宋体" w:eastAsia="楷体_GB2312" w:cs="宋体"/>
                <w:b/>
                <w:kern w:val="0"/>
                <w:szCs w:val="21"/>
              </w:rPr>
              <w:t>)</w:t>
            </w:r>
          </w:p>
        </w:tc>
        <w:tc>
          <w:tcPr>
            <w:tcW w:w="1560" w:type="dxa"/>
            <w:vAlign w:val="center"/>
          </w:tcPr>
          <w:p>
            <w:pPr>
              <w:widowControl/>
              <w:adjustRightInd w:val="0"/>
              <w:snapToGrid w:val="0"/>
              <w:spacing w:line="400" w:lineRule="exact"/>
              <w:jc w:val="center"/>
              <w:rPr>
                <w:rFonts w:ascii="楷体_GB2312" w:hAnsi="宋体" w:eastAsia="楷体_GB2312" w:cs="宋体"/>
                <w:kern w:val="0"/>
                <w:szCs w:val="21"/>
              </w:rPr>
            </w:pPr>
            <w:r>
              <w:rPr>
                <w:rFonts w:ascii="楷体_GB2312" w:hAnsi="宋体" w:eastAsia="楷体_GB2312" w:cs="宋体"/>
                <w:kern w:val="0"/>
                <w:szCs w:val="21"/>
              </w:rPr>
              <w:t>1</w:t>
            </w:r>
            <w:r>
              <w:rPr>
                <w:rFonts w:hint="eastAsia" w:ascii="楷体_GB2312" w:hAnsi="宋体" w:eastAsia="楷体_GB2312" w:cs="宋体"/>
                <w:kern w:val="0"/>
                <w:szCs w:val="21"/>
              </w:rPr>
              <w:t>层：</w:t>
            </w:r>
            <w:r>
              <w:rPr>
                <w:rFonts w:ascii="楷体_GB2312" w:hAnsi="宋体" w:eastAsia="楷体_GB2312" w:cs="宋体"/>
                <w:kern w:val="0"/>
                <w:szCs w:val="21"/>
              </w:rPr>
              <w:t>60.99</w:t>
            </w:r>
            <w:r>
              <w:rPr>
                <w:rFonts w:hint="eastAsia" w:ascii="Segoe UI Symbol" w:hAnsi="Segoe UI Symbol" w:eastAsia="楷体_GB2312" w:cs="Segoe UI Symbol"/>
                <w:kern w:val="0"/>
                <w:szCs w:val="21"/>
              </w:rPr>
              <w:t>㎡</w:t>
            </w:r>
          </w:p>
          <w:p>
            <w:pPr>
              <w:widowControl/>
              <w:adjustRightInd w:val="0"/>
              <w:snapToGrid w:val="0"/>
              <w:spacing w:line="400" w:lineRule="exact"/>
              <w:jc w:val="center"/>
              <w:rPr>
                <w:rFonts w:ascii="楷体_GB2312" w:hAnsi="宋体" w:eastAsia="楷体_GB2312" w:cs="宋体"/>
                <w:kern w:val="0"/>
                <w:szCs w:val="21"/>
              </w:rPr>
            </w:pPr>
            <w:r>
              <w:rPr>
                <w:rFonts w:ascii="楷体_GB2312" w:hAnsi="宋体" w:eastAsia="楷体_GB2312" w:cs="宋体"/>
                <w:kern w:val="0"/>
                <w:szCs w:val="21"/>
              </w:rPr>
              <w:t>2</w:t>
            </w:r>
            <w:r>
              <w:rPr>
                <w:rFonts w:hint="eastAsia" w:ascii="楷体_GB2312" w:hAnsi="宋体" w:eastAsia="楷体_GB2312" w:cs="宋体"/>
                <w:kern w:val="0"/>
                <w:szCs w:val="21"/>
              </w:rPr>
              <w:t>层：</w:t>
            </w:r>
            <w:r>
              <w:rPr>
                <w:rFonts w:ascii="楷体_GB2312" w:hAnsi="宋体" w:eastAsia="楷体_GB2312" w:cs="宋体"/>
                <w:kern w:val="0"/>
                <w:szCs w:val="21"/>
              </w:rPr>
              <w:t>61.71</w:t>
            </w:r>
            <w:r>
              <w:rPr>
                <w:rFonts w:hint="eastAsia" w:ascii="Segoe UI Symbol" w:hAnsi="Segoe UI Symbol" w:eastAsia="楷体_GB2312" w:cs="Segoe UI Symbol"/>
                <w:kern w:val="0"/>
                <w:szCs w:val="21"/>
              </w:rPr>
              <w:t>㎡</w:t>
            </w:r>
          </w:p>
          <w:p>
            <w:pPr>
              <w:widowControl/>
              <w:adjustRightInd w:val="0"/>
              <w:snapToGrid w:val="0"/>
              <w:spacing w:line="400" w:lineRule="exact"/>
              <w:jc w:val="center"/>
              <w:rPr>
                <w:rFonts w:ascii="楷体_GB2312" w:hAnsi="宋体" w:eastAsia="楷体_GB2312" w:cs="宋体"/>
                <w:kern w:val="0"/>
                <w:szCs w:val="21"/>
              </w:rPr>
            </w:pPr>
            <w:r>
              <w:rPr>
                <w:rFonts w:ascii="楷体_GB2312" w:hAnsi="宋体" w:eastAsia="楷体_GB2312" w:cs="宋体"/>
                <w:kern w:val="0"/>
                <w:szCs w:val="21"/>
              </w:rPr>
              <w:t>3</w:t>
            </w:r>
            <w:r>
              <w:rPr>
                <w:rFonts w:hint="eastAsia" w:ascii="楷体_GB2312" w:hAnsi="宋体" w:eastAsia="楷体_GB2312" w:cs="宋体"/>
                <w:kern w:val="0"/>
                <w:szCs w:val="21"/>
              </w:rPr>
              <w:t>层：</w:t>
            </w:r>
            <w:r>
              <w:rPr>
                <w:rFonts w:ascii="楷体_GB2312" w:hAnsi="宋体" w:eastAsia="楷体_GB2312" w:cs="宋体"/>
                <w:kern w:val="0"/>
                <w:szCs w:val="21"/>
              </w:rPr>
              <w:t>61.71</w:t>
            </w:r>
            <w:r>
              <w:rPr>
                <w:rFonts w:hint="eastAsia" w:ascii="Segoe UI Symbol" w:hAnsi="Segoe UI Symbol" w:eastAsia="楷体_GB2312" w:cs="Segoe UI Symbol"/>
                <w:kern w:val="0"/>
                <w:szCs w:val="21"/>
              </w:rPr>
              <w:t>㎡</w:t>
            </w:r>
          </w:p>
          <w:p>
            <w:pPr>
              <w:widowControl/>
              <w:adjustRightInd w:val="0"/>
              <w:snapToGrid w:val="0"/>
              <w:spacing w:line="400" w:lineRule="exact"/>
              <w:jc w:val="center"/>
              <w:rPr>
                <w:rFonts w:ascii="楷体_GB2312" w:hAnsi="宋体" w:eastAsia="楷体_GB2312" w:cs="宋体"/>
                <w:color w:val="FF0000"/>
                <w:kern w:val="0"/>
                <w:szCs w:val="21"/>
              </w:rPr>
            </w:pPr>
            <w:r>
              <w:rPr>
                <w:rFonts w:hint="eastAsia" w:ascii="楷体_GB2312" w:hAnsi="宋体" w:eastAsia="楷体_GB2312" w:cs="宋体"/>
                <w:kern w:val="0"/>
                <w:szCs w:val="21"/>
              </w:rPr>
              <w:t>合计：184.41</w:t>
            </w:r>
          </w:p>
        </w:tc>
        <w:tc>
          <w:tcPr>
            <w:tcW w:w="1559" w:type="dxa"/>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套内建筑面积(</w:t>
            </w:r>
            <w:r>
              <w:rPr>
                <w:rFonts w:hint="eastAsia" w:ascii="宋体" w:hAnsi="宋体" w:cs="宋体"/>
                <w:b/>
                <w:bCs/>
                <w:kern w:val="0"/>
                <w:szCs w:val="21"/>
              </w:rPr>
              <w:t>㎡</w:t>
            </w:r>
            <w:r>
              <w:rPr>
                <w:rFonts w:hint="eastAsia" w:ascii="楷体_GB2312" w:hAnsi="宋体" w:eastAsia="楷体_GB2312" w:cs="宋体"/>
                <w:b/>
                <w:bCs/>
                <w:kern w:val="0"/>
                <w:szCs w:val="21"/>
              </w:rPr>
              <w:t>)</w:t>
            </w:r>
          </w:p>
        </w:tc>
        <w:tc>
          <w:tcPr>
            <w:tcW w:w="1134" w:type="dxa"/>
            <w:tcBorders>
              <w:top w:val="single" w:color="auto" w:sz="4" w:space="0"/>
              <w:right w:val="single" w:color="auto" w:sz="4" w:space="0"/>
            </w:tcBorders>
            <w:vAlign w:val="center"/>
          </w:tcPr>
          <w:p>
            <w:pPr>
              <w:widowControl/>
              <w:adjustRightInd w:val="0"/>
              <w:snapToGrid w:val="0"/>
              <w:spacing w:line="400" w:lineRule="exact"/>
              <w:jc w:val="center"/>
              <w:rPr>
                <w:rFonts w:ascii="楷体_GB2312" w:hAnsi="宋体" w:eastAsia="楷体_GB2312" w:cs="宋体"/>
                <w:bCs/>
                <w:kern w:val="0"/>
                <w:szCs w:val="21"/>
              </w:rPr>
            </w:pPr>
            <w:r>
              <w:rPr>
                <w:rFonts w:hint="eastAsia" w:ascii="楷体_GB2312" w:hAnsi="宋体" w:eastAsia="楷体_GB2312" w:cs="宋体"/>
                <w:bCs/>
                <w:kern w:val="0"/>
                <w:szCs w:val="21"/>
              </w:rPr>
              <w:t>-</w:t>
            </w:r>
          </w:p>
        </w:tc>
        <w:tc>
          <w:tcPr>
            <w:tcW w:w="1417" w:type="dxa"/>
            <w:tcBorders>
              <w:top w:val="single" w:color="auto" w:sz="4" w:space="0"/>
              <w:right w:val="single" w:color="auto" w:sz="4" w:space="0"/>
            </w:tcBorders>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房号</w:t>
            </w:r>
          </w:p>
        </w:tc>
        <w:tc>
          <w:tcPr>
            <w:tcW w:w="1880" w:type="dxa"/>
            <w:tcBorders>
              <w:top w:val="single" w:color="auto" w:sz="4" w:space="0"/>
              <w:right w:val="single" w:color="auto" w:sz="4" w:space="0"/>
            </w:tcBorders>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713" w:type="dxa"/>
            <w:vAlign w:val="center"/>
          </w:tcPr>
          <w:p>
            <w:pPr>
              <w:widowControl/>
              <w:adjustRightInd w:val="0"/>
              <w:snapToGrid w:val="0"/>
              <w:spacing w:line="400" w:lineRule="exact"/>
              <w:jc w:val="center"/>
              <w:rPr>
                <w:rFonts w:ascii="楷体_GB2312" w:hAnsi="宋体" w:eastAsia="楷体_GB2312" w:cs="宋体"/>
                <w:b/>
                <w:kern w:val="0"/>
                <w:szCs w:val="21"/>
              </w:rPr>
            </w:pPr>
            <w:r>
              <w:rPr>
                <w:rFonts w:hint="eastAsia" w:ascii="楷体_GB2312" w:hAnsi="宋体" w:eastAsia="楷体_GB2312" w:cs="宋体"/>
                <w:b/>
                <w:kern w:val="0"/>
                <w:szCs w:val="21"/>
              </w:rPr>
              <w:t>规划用途</w:t>
            </w:r>
          </w:p>
        </w:tc>
        <w:tc>
          <w:tcPr>
            <w:tcW w:w="1560" w:type="dxa"/>
            <w:vAlign w:val="center"/>
          </w:tcPr>
          <w:p>
            <w:pPr>
              <w:widowControl/>
              <w:adjustRightInd w:val="0"/>
              <w:snapToGrid w:val="0"/>
              <w:spacing w:line="400" w:lineRule="exact"/>
              <w:jc w:val="center"/>
              <w:rPr>
                <w:rFonts w:ascii="楷体_GB2312" w:hAnsi="宋体" w:eastAsia="楷体_GB2312" w:cs="宋体"/>
                <w:kern w:val="0"/>
                <w:szCs w:val="21"/>
              </w:rPr>
            </w:pPr>
            <w:r>
              <w:rPr>
                <w:rFonts w:hint="eastAsia" w:ascii="楷体_GB2312" w:hAnsi="宋体" w:eastAsia="楷体_GB2312" w:cs="宋体"/>
                <w:kern w:val="0"/>
                <w:szCs w:val="21"/>
              </w:rPr>
              <w:t>住宅</w:t>
            </w:r>
          </w:p>
        </w:tc>
        <w:tc>
          <w:tcPr>
            <w:tcW w:w="1559" w:type="dxa"/>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建成年代</w:t>
            </w:r>
          </w:p>
        </w:tc>
        <w:tc>
          <w:tcPr>
            <w:tcW w:w="1134" w:type="dxa"/>
            <w:vAlign w:val="center"/>
          </w:tcPr>
          <w:p>
            <w:pPr>
              <w:widowControl/>
              <w:adjustRightInd w:val="0"/>
              <w:snapToGrid w:val="0"/>
              <w:spacing w:line="400" w:lineRule="exact"/>
              <w:jc w:val="center"/>
              <w:rPr>
                <w:rFonts w:ascii="楷体_GB2312" w:hAnsi="宋体" w:eastAsia="楷体_GB2312" w:cs="宋体"/>
                <w:bCs/>
                <w:kern w:val="0"/>
                <w:szCs w:val="21"/>
              </w:rPr>
            </w:pPr>
            <w:r>
              <w:rPr>
                <w:rFonts w:hint="eastAsia" w:ascii="楷体_GB2312" w:hAnsi="宋体" w:eastAsia="楷体_GB2312" w:cs="宋体"/>
                <w:bCs/>
                <w:kern w:val="0"/>
                <w:szCs w:val="21"/>
              </w:rPr>
              <w:t>2001年</w:t>
            </w:r>
          </w:p>
        </w:tc>
        <w:tc>
          <w:tcPr>
            <w:tcW w:w="1417" w:type="dxa"/>
            <w:vAlign w:val="center"/>
          </w:tcPr>
          <w:p>
            <w:pPr>
              <w:widowControl/>
              <w:adjustRightInd w:val="0"/>
              <w:snapToGrid w:val="0"/>
              <w:spacing w:line="400" w:lineRule="exact"/>
              <w:jc w:val="center"/>
              <w:rPr>
                <w:rFonts w:ascii="楷体_GB2312" w:hAnsi="宋体" w:eastAsia="楷体_GB2312" w:cs="宋体"/>
                <w:b/>
                <w:bCs/>
                <w:kern w:val="0"/>
                <w:szCs w:val="21"/>
              </w:rPr>
            </w:pPr>
            <w:r>
              <w:rPr>
                <w:rFonts w:hint="eastAsia" w:ascii="楷体_GB2312" w:hAnsi="宋体" w:eastAsia="楷体_GB2312" w:cs="宋体"/>
                <w:b/>
                <w:bCs/>
                <w:kern w:val="0"/>
                <w:szCs w:val="21"/>
              </w:rPr>
              <w:t>登记时间</w:t>
            </w:r>
          </w:p>
        </w:tc>
        <w:tc>
          <w:tcPr>
            <w:tcW w:w="1880" w:type="dxa"/>
            <w:vAlign w:val="center"/>
          </w:tcPr>
          <w:p>
            <w:pPr>
              <w:widowControl/>
              <w:adjustRightInd w:val="0"/>
              <w:snapToGrid w:val="0"/>
              <w:spacing w:line="400" w:lineRule="exact"/>
              <w:jc w:val="center"/>
              <w:rPr>
                <w:rFonts w:ascii="楷体_GB2312" w:hAnsi="宋体" w:eastAsia="楷体_GB2312" w:cs="宋体"/>
                <w:kern w:val="0"/>
                <w:szCs w:val="21"/>
              </w:rPr>
            </w:pPr>
            <w:r>
              <w:rPr>
                <w:rFonts w:ascii="楷体_GB2312" w:hAnsi="宋体" w:eastAsia="楷体_GB2312" w:cs="宋体"/>
                <w:kern w:val="0"/>
                <w:szCs w:val="21"/>
              </w:rPr>
              <w:t>20</w:t>
            </w:r>
            <w:r>
              <w:rPr>
                <w:rFonts w:hint="eastAsia" w:ascii="楷体_GB2312" w:hAnsi="宋体" w:eastAsia="楷体_GB2312" w:cs="宋体"/>
                <w:kern w:val="0"/>
                <w:szCs w:val="21"/>
              </w:rPr>
              <w:t>05年</w:t>
            </w:r>
            <w:r>
              <w:rPr>
                <w:rFonts w:ascii="楷体_GB2312" w:hAnsi="宋体" w:eastAsia="楷体_GB2312" w:cs="宋体"/>
                <w:kern w:val="0"/>
                <w:szCs w:val="21"/>
              </w:rPr>
              <w:t>7</w:t>
            </w:r>
            <w:r>
              <w:rPr>
                <w:rFonts w:hint="eastAsia" w:ascii="楷体_GB2312" w:hAnsi="宋体" w:eastAsia="楷体_GB2312" w:cs="宋体"/>
                <w:kern w:val="0"/>
                <w:szCs w:val="21"/>
              </w:rPr>
              <w:t>月</w:t>
            </w:r>
            <w:r>
              <w:rPr>
                <w:rFonts w:ascii="楷体_GB2312" w:hAnsi="宋体" w:eastAsia="楷体_GB2312" w:cs="宋体"/>
                <w:kern w:val="0"/>
                <w:szCs w:val="21"/>
              </w:rPr>
              <w:t>19</w:t>
            </w:r>
            <w:r>
              <w:rPr>
                <w:rFonts w:hint="eastAsia" w:ascii="楷体_GB2312" w:hAnsi="宋体" w:eastAsia="楷体_GB2312" w:cs="宋体"/>
                <w:kern w:val="0"/>
                <w:szCs w:val="21"/>
              </w:rPr>
              <w:t>日</w:t>
            </w:r>
          </w:p>
        </w:tc>
      </w:tr>
    </w:tbl>
    <w:p>
      <w:pPr>
        <w:pStyle w:val="16"/>
        <w:adjustRightInd w:val="0"/>
        <w:snapToGrid w:val="0"/>
        <w:spacing w:line="480" w:lineRule="exact"/>
        <w:ind w:firstLine="560" w:firstLineChars="200"/>
        <w:rPr>
          <w:rFonts w:ascii="楷体_GB2312" w:hAnsi="宋体" w:eastAsia="楷体_GB2312"/>
          <w:sz w:val="28"/>
        </w:rPr>
      </w:pPr>
      <w:r>
        <w:rPr>
          <w:rFonts w:hint="eastAsia" w:ascii="仿宋" w:hAnsi="仿宋" w:eastAsia="仿宋"/>
          <w:sz w:val="28"/>
        </w:rPr>
        <w:t>⑵</w:t>
      </w:r>
      <w:r>
        <w:rPr>
          <w:rFonts w:hint="eastAsia" w:ascii="楷体_GB2312" w:hAnsi="宋体" w:eastAsia="楷体_GB2312"/>
          <w:sz w:val="28"/>
        </w:rPr>
        <w:t>估价对象其他权益状况</w:t>
      </w:r>
    </w:p>
    <w:p>
      <w:pPr>
        <w:pStyle w:val="16"/>
        <w:adjustRightInd w:val="0"/>
        <w:snapToGrid w:val="0"/>
        <w:spacing w:line="480" w:lineRule="exact"/>
        <w:ind w:firstLine="560" w:firstLineChars="200"/>
        <w:rPr>
          <w:rFonts w:ascii="楷体_GB2312" w:hAnsi="宋体" w:eastAsia="楷体_GB2312"/>
          <w:sz w:val="28"/>
        </w:rPr>
      </w:pPr>
      <w:r>
        <w:rPr>
          <w:rFonts w:ascii="仿宋" w:hAnsi="仿宋" w:eastAsia="仿宋"/>
          <w:sz w:val="28"/>
        </w:rPr>
        <w:fldChar w:fldCharType="begin"/>
      </w:r>
      <w:r>
        <w:rPr>
          <w:rFonts w:ascii="仿宋" w:hAnsi="仿宋" w:eastAsia="仿宋"/>
          <w:sz w:val="28"/>
        </w:rPr>
        <w:instrText xml:space="preserve"> </w:instrText>
      </w:r>
      <w:r>
        <w:rPr>
          <w:rFonts w:hint="eastAsia" w:ascii="仿宋" w:hAnsi="仿宋" w:eastAsia="仿宋"/>
          <w:sz w:val="28"/>
        </w:rPr>
        <w:instrText xml:space="preserve">= 1 \* GB3</w:instrText>
      </w:r>
      <w:r>
        <w:rPr>
          <w:rFonts w:ascii="仿宋" w:hAnsi="仿宋" w:eastAsia="仿宋"/>
          <w:sz w:val="28"/>
        </w:rPr>
        <w:instrText xml:space="preserve"> </w:instrText>
      </w:r>
      <w:r>
        <w:rPr>
          <w:rFonts w:ascii="仿宋" w:hAnsi="仿宋" w:eastAsia="仿宋"/>
          <w:sz w:val="28"/>
        </w:rPr>
        <w:fldChar w:fldCharType="separate"/>
      </w:r>
      <w:r>
        <w:rPr>
          <w:rFonts w:hint="eastAsia" w:ascii="仿宋" w:hAnsi="仿宋" w:eastAsia="仿宋"/>
          <w:sz w:val="28"/>
        </w:rPr>
        <w:t>①</w:t>
      </w:r>
      <w:r>
        <w:rPr>
          <w:rFonts w:ascii="仿宋" w:hAnsi="仿宋" w:eastAsia="仿宋"/>
          <w:sz w:val="28"/>
        </w:rPr>
        <w:fldChar w:fldCharType="end"/>
      </w:r>
      <w:r>
        <w:rPr>
          <w:rFonts w:hint="eastAsia" w:ascii="楷体_GB2312" w:hAnsi="宋体" w:eastAsia="楷体_GB2312"/>
          <w:sz w:val="28"/>
        </w:rPr>
        <w:t>租赁或占用情况：本次评估对象为龙里县龙山镇青龙路A幢整栋1-5层、B幢整栋1</w:t>
      </w:r>
      <w:r>
        <w:rPr>
          <w:rFonts w:ascii="楷体_GB2312" w:hAnsi="宋体" w:eastAsia="楷体_GB2312"/>
          <w:sz w:val="28"/>
        </w:rPr>
        <w:t>-</w:t>
      </w:r>
      <w:r>
        <w:rPr>
          <w:rFonts w:hint="eastAsia" w:ascii="楷体_GB2312" w:hAnsi="宋体" w:eastAsia="楷体_GB2312"/>
          <w:sz w:val="28"/>
        </w:rPr>
        <w:t>3层</w:t>
      </w:r>
      <w:r>
        <w:rPr>
          <w:rFonts w:ascii="楷体_GB2312" w:hAnsi="宋体" w:eastAsia="楷体_GB2312"/>
          <w:sz w:val="28"/>
        </w:rPr>
        <w:t>，</w:t>
      </w:r>
      <w:r>
        <w:rPr>
          <w:rFonts w:hint="eastAsia" w:ascii="楷体_GB2312" w:hAnsi="宋体" w:eastAsia="楷体_GB2312"/>
          <w:sz w:val="28"/>
        </w:rPr>
        <w:t>实勘估价对象商业房地产位于A幢</w:t>
      </w:r>
      <w:r>
        <w:rPr>
          <w:rFonts w:ascii="楷体_GB2312" w:hAnsi="宋体" w:eastAsia="楷体_GB2312"/>
          <w:sz w:val="28"/>
        </w:rPr>
        <w:t>1层，</w:t>
      </w:r>
      <w:r>
        <w:rPr>
          <w:rFonts w:hint="eastAsia" w:ascii="楷体_GB2312" w:hAnsi="宋体" w:eastAsia="楷体_GB2312"/>
          <w:sz w:val="28"/>
        </w:rPr>
        <w:t>层高约为4</w:t>
      </w:r>
      <w:r>
        <w:rPr>
          <w:rFonts w:ascii="楷体_GB2312" w:hAnsi="宋体" w:eastAsia="楷体_GB2312"/>
          <w:sz w:val="28"/>
        </w:rPr>
        <w:t>米</w:t>
      </w:r>
      <w:r>
        <w:rPr>
          <w:rFonts w:hint="eastAsia" w:ascii="楷体_GB2312" w:hAnsi="宋体" w:eastAsia="楷体_GB2312"/>
          <w:sz w:val="28"/>
        </w:rPr>
        <w:t>，</w:t>
      </w:r>
      <w:r>
        <w:rPr>
          <w:rFonts w:ascii="楷体_GB2312" w:hAnsi="宋体" w:eastAsia="楷体_GB2312"/>
          <w:sz w:val="28"/>
        </w:rPr>
        <w:t>目前出租给</w:t>
      </w:r>
      <w:r>
        <w:rPr>
          <w:rFonts w:hint="eastAsia" w:ascii="楷体_GB2312" w:hAnsi="宋体" w:eastAsia="楷体_GB2312"/>
          <w:sz w:val="28"/>
        </w:rPr>
        <w:t>艺迹服装店使用</w:t>
      </w:r>
      <w:r>
        <w:rPr>
          <w:rFonts w:ascii="楷体_GB2312" w:hAnsi="宋体" w:eastAsia="楷体_GB2312"/>
          <w:sz w:val="28"/>
        </w:rPr>
        <w:t>，</w:t>
      </w:r>
      <w:r>
        <w:rPr>
          <w:rFonts w:hint="eastAsia" w:ascii="楷体_GB2312" w:hAnsi="宋体" w:eastAsia="楷体_GB2312"/>
          <w:sz w:val="28"/>
        </w:rPr>
        <w:t>因未提供租赁合同，本次未考虑出租的影响价值；实勘估价对象住宅房地产位于A幢2-5层及B幢1-3层，层高约为3米，其中A幢2层出租给美术培训学校使用，A幢3-5层出租给庆伟会计学校使用，B幢1-3层为产权人自用，因未提供租赁合同，本次未考虑出租的影响价值。</w:t>
      </w:r>
    </w:p>
    <w:p>
      <w:pPr>
        <w:pStyle w:val="16"/>
        <w:adjustRightInd w:val="0"/>
        <w:snapToGrid w:val="0"/>
        <w:spacing w:line="480" w:lineRule="exact"/>
        <w:ind w:firstLine="560" w:firstLineChars="200"/>
        <w:rPr>
          <w:rFonts w:ascii="楷体_GB2312" w:hAnsi="宋体" w:eastAsia="楷体_GB2312"/>
          <w:sz w:val="28"/>
        </w:rPr>
      </w:pPr>
      <w:r>
        <w:rPr>
          <w:rFonts w:hint="eastAsia" w:ascii="仿宋" w:hAnsi="仿宋" w:eastAsia="仿宋"/>
          <w:sz w:val="28"/>
        </w:rPr>
        <w:t>②</w:t>
      </w:r>
      <w:r>
        <w:rPr>
          <w:rFonts w:hint="eastAsia" w:ascii="楷体_GB2312" w:hAnsi="宋体" w:eastAsia="楷体_GB2312"/>
          <w:sz w:val="28"/>
        </w:rPr>
        <w:t>用益物权设立情况：估价对象未设立用益物权。</w:t>
      </w:r>
    </w:p>
    <w:p>
      <w:pPr>
        <w:pStyle w:val="16"/>
        <w:adjustRightInd w:val="0"/>
        <w:snapToGrid w:val="0"/>
        <w:spacing w:line="480" w:lineRule="exact"/>
        <w:ind w:firstLine="560" w:firstLineChars="200"/>
        <w:rPr>
          <w:rFonts w:ascii="楷体_GB2312" w:hAnsi="宋体" w:eastAsia="楷体_GB2312"/>
          <w:sz w:val="28"/>
        </w:rPr>
      </w:pPr>
      <w:r>
        <w:rPr>
          <w:rFonts w:ascii="仿宋" w:hAnsi="仿宋" w:eastAsia="仿宋"/>
          <w:sz w:val="28"/>
        </w:rPr>
        <w:fldChar w:fldCharType="begin"/>
      </w:r>
      <w:r>
        <w:rPr>
          <w:rFonts w:ascii="仿宋" w:hAnsi="仿宋" w:eastAsia="仿宋"/>
          <w:sz w:val="28"/>
        </w:rPr>
        <w:instrText xml:space="preserve"> </w:instrText>
      </w:r>
      <w:r>
        <w:rPr>
          <w:rFonts w:hint="eastAsia" w:ascii="仿宋" w:hAnsi="仿宋" w:eastAsia="仿宋"/>
          <w:sz w:val="28"/>
        </w:rPr>
        <w:instrText xml:space="preserve">= 3 \* GB3</w:instrText>
      </w:r>
      <w:r>
        <w:rPr>
          <w:rFonts w:ascii="仿宋" w:hAnsi="仿宋" w:eastAsia="仿宋"/>
          <w:sz w:val="28"/>
        </w:rPr>
        <w:instrText xml:space="preserve"> </w:instrText>
      </w:r>
      <w:r>
        <w:rPr>
          <w:rFonts w:ascii="仿宋" w:hAnsi="仿宋" w:eastAsia="仿宋"/>
          <w:sz w:val="28"/>
        </w:rPr>
        <w:fldChar w:fldCharType="separate"/>
      </w:r>
      <w:r>
        <w:rPr>
          <w:rFonts w:hint="eastAsia" w:ascii="仿宋" w:hAnsi="仿宋" w:eastAsia="仿宋"/>
          <w:sz w:val="28"/>
        </w:rPr>
        <w:t>③</w:t>
      </w:r>
      <w:r>
        <w:rPr>
          <w:rFonts w:ascii="仿宋" w:hAnsi="仿宋" w:eastAsia="仿宋"/>
          <w:sz w:val="28"/>
        </w:rPr>
        <w:fldChar w:fldCharType="end"/>
      </w:r>
      <w:r>
        <w:rPr>
          <w:rFonts w:hint="eastAsia" w:ascii="楷体_GB2312" w:hAnsi="宋体" w:eastAsia="楷体_GB2312"/>
          <w:sz w:val="28"/>
        </w:rPr>
        <w:t>担保物权设立情况：估价对象未设立担保物权。</w:t>
      </w:r>
    </w:p>
    <w:p>
      <w:pPr>
        <w:snapToGrid w:val="0"/>
        <w:spacing w:line="480" w:lineRule="exact"/>
        <w:ind w:firstLine="555"/>
        <w:rPr>
          <w:rFonts w:ascii="楷体_GB2312" w:eastAsia="楷体_GB2312"/>
          <w:sz w:val="28"/>
        </w:rPr>
      </w:pPr>
      <w:r>
        <w:rPr>
          <w:rFonts w:hint="eastAsia" w:ascii="仿宋" w:hAnsi="仿宋" w:eastAsia="仿宋"/>
          <w:sz w:val="28"/>
        </w:rPr>
        <w:t>④</w:t>
      </w:r>
      <w:r>
        <w:rPr>
          <w:rFonts w:hint="eastAsia" w:ascii="楷体_GB2312" w:hAnsi="宋体" w:eastAsia="楷体_GB2312"/>
          <w:sz w:val="28"/>
        </w:rPr>
        <w:t>抵押权及</w:t>
      </w:r>
      <w:r>
        <w:rPr>
          <w:rFonts w:hint="eastAsia" w:ascii="楷体_GB2312" w:eastAsia="楷体_GB2312"/>
          <w:sz w:val="28"/>
        </w:rPr>
        <w:t>法定优先受偿权</w:t>
      </w:r>
      <w:r>
        <w:rPr>
          <w:rFonts w:hint="eastAsia" w:ascii="楷体_GB2312" w:hAnsi="宋体" w:eastAsia="楷体_GB2312"/>
          <w:sz w:val="28"/>
        </w:rPr>
        <w:t>情况：</w:t>
      </w:r>
      <w:r>
        <w:rPr>
          <w:rFonts w:hint="eastAsia" w:ascii="楷体_GB2312" w:eastAsia="楷体_GB2312"/>
          <w:sz w:val="28"/>
        </w:rPr>
        <w:t>根据估价委托人提供的</w:t>
      </w:r>
      <w:r>
        <w:rPr>
          <w:rFonts w:hint="eastAsia" w:ascii="楷体_GB2312" w:hAnsi="宋体" w:eastAsia="楷体_GB2312"/>
          <w:sz w:val="28"/>
        </w:rPr>
        <w:t>《不动产登记证明》（黔（2019）龙里县不动产证明第0022668号、黔（2018）龙里县不动产证明第0010457号）号</w:t>
      </w:r>
      <w:r>
        <w:rPr>
          <w:rFonts w:hint="eastAsia" w:ascii="楷体_GB2312" w:eastAsia="楷体_GB2312"/>
          <w:sz w:val="28"/>
        </w:rPr>
        <w:t>，在价值时点，估价对象已设定抵押登记，有法定优先受偿权。本次估价目的为人民法院确定财产处置参考价提供参考依据，涉执房地产处置司法评估结果不应当考虑评估对象被查封以及原有的担保物和其他优先受偿权的影响。故本次评估未考虑估价对象原有的担保物和其他优先受偿权的影响。</w:t>
      </w:r>
    </w:p>
    <w:p>
      <w:pPr>
        <w:snapToGrid w:val="0"/>
        <w:spacing w:line="480" w:lineRule="exact"/>
        <w:ind w:firstLine="555"/>
        <w:rPr>
          <w:rFonts w:ascii="楷体_GB2312" w:hAnsi="宋体" w:eastAsia="楷体_GB2312"/>
          <w:sz w:val="28"/>
        </w:rPr>
      </w:pPr>
      <w:r>
        <w:rPr>
          <w:rFonts w:hint="eastAsia" w:ascii="仿宋" w:hAnsi="仿宋" w:eastAsia="仿宋"/>
          <w:sz w:val="28"/>
        </w:rPr>
        <w:t>⑤</w:t>
      </w:r>
      <w:r>
        <w:rPr>
          <w:rFonts w:hint="eastAsia" w:ascii="楷体_GB2312" w:hAnsi="宋体" w:eastAsia="楷体_GB2312"/>
          <w:sz w:val="28"/>
        </w:rPr>
        <w:t>拖欠税费情况：无</w:t>
      </w:r>
    </w:p>
    <w:p>
      <w:pPr>
        <w:spacing w:line="480" w:lineRule="exact"/>
        <w:ind w:firstLine="560" w:firstLineChars="200"/>
        <w:rPr>
          <w:rFonts w:ascii="楷体_GB2312" w:hAnsi="仿宋" w:eastAsia="楷体_GB2312"/>
          <w:sz w:val="28"/>
          <w:szCs w:val="28"/>
        </w:rPr>
      </w:pPr>
      <w:r>
        <w:rPr>
          <w:rFonts w:hint="eastAsia" w:ascii="楷体_GB2312" w:hAnsi="仿宋" w:eastAsia="楷体_GB2312"/>
          <w:sz w:val="28"/>
          <w:szCs w:val="28"/>
        </w:rPr>
        <w:t>（三）土地基本状况</w:t>
      </w:r>
    </w:p>
    <w:p>
      <w:pPr>
        <w:spacing w:line="480" w:lineRule="exact"/>
        <w:ind w:firstLine="560" w:firstLineChars="200"/>
        <w:rPr>
          <w:rFonts w:ascii="楷体_GB2312" w:hAnsi="仿宋" w:eastAsia="楷体_GB2312"/>
          <w:sz w:val="28"/>
          <w:szCs w:val="28"/>
        </w:rPr>
      </w:pPr>
      <w:r>
        <w:rPr>
          <w:rFonts w:hint="eastAsia" w:ascii="楷体_GB2312" w:hAnsi="仿宋" w:eastAsia="楷体_GB2312"/>
          <w:sz w:val="28"/>
          <w:szCs w:val="28"/>
        </w:rPr>
        <w:t>估价对象土地基本状况详见下表：</w:t>
      </w:r>
    </w:p>
    <w:tbl>
      <w:tblPr>
        <w:tblStyle w:val="34"/>
        <w:tblW w:w="47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四至</w:t>
            </w:r>
          </w:p>
        </w:tc>
        <w:tc>
          <w:tcPr>
            <w:tcW w:w="36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估价对象所在小区东临住宅区，西临祥华酒店，南临青龙路，北临住宅区。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形状</w:t>
            </w:r>
          </w:p>
        </w:tc>
        <w:tc>
          <w:tcPr>
            <w:tcW w:w="36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形状规则，有利于商业地产布局及住宅地产居住。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土地使用期限</w:t>
            </w:r>
          </w:p>
        </w:tc>
        <w:tc>
          <w:tcPr>
            <w:tcW w:w="36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土地使用期限：</w:t>
            </w:r>
            <w:r>
              <w:rPr>
                <w:rFonts w:ascii="楷体_GB2312" w:hAnsi="宋体" w:eastAsia="楷体_GB2312" w:cs="宋体"/>
                <w:kern w:val="0"/>
                <w:sz w:val="24"/>
                <w:szCs w:val="24"/>
              </w:rPr>
              <w:t>20</w:t>
            </w:r>
            <w:r>
              <w:rPr>
                <w:rFonts w:hint="eastAsia" w:ascii="楷体_GB2312" w:hAnsi="宋体" w:eastAsia="楷体_GB2312" w:cs="宋体"/>
                <w:kern w:val="0"/>
                <w:sz w:val="24"/>
                <w:szCs w:val="24"/>
              </w:rPr>
              <w:t>50年09月13日，剩余使用年期28.34年。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开发程度</w:t>
            </w:r>
          </w:p>
        </w:tc>
        <w:tc>
          <w:tcPr>
            <w:tcW w:w="36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已达到五通（通路、通电、供水、排水、通讯），红线内场地平整。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356"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土地使用权类型</w:t>
            </w:r>
          </w:p>
        </w:tc>
        <w:tc>
          <w:tcPr>
            <w:tcW w:w="3644"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出让</w:t>
            </w:r>
          </w:p>
        </w:tc>
      </w:tr>
    </w:tbl>
    <w:p>
      <w:pPr>
        <w:spacing w:line="460" w:lineRule="exact"/>
        <w:ind w:firstLine="560" w:firstLineChars="200"/>
        <w:rPr>
          <w:rFonts w:ascii="楷体_GB2312" w:hAnsi="仿宋" w:eastAsia="楷体_GB2312"/>
          <w:sz w:val="28"/>
          <w:szCs w:val="28"/>
        </w:rPr>
      </w:pPr>
      <w:r>
        <w:rPr>
          <w:rFonts w:hint="eastAsia" w:ascii="楷体_GB2312" w:hAnsi="仿宋" w:eastAsia="楷体_GB2312"/>
          <w:sz w:val="28"/>
          <w:szCs w:val="28"/>
        </w:rPr>
        <w:t>（四）建筑物基本状况</w:t>
      </w:r>
    </w:p>
    <w:p>
      <w:pPr>
        <w:spacing w:line="460" w:lineRule="exact"/>
        <w:ind w:firstLine="560" w:firstLineChars="200"/>
        <w:rPr>
          <w:rFonts w:ascii="楷体_GB2312" w:hAnsi="仿宋" w:eastAsia="楷体_GB2312"/>
          <w:sz w:val="28"/>
          <w:szCs w:val="28"/>
        </w:rPr>
      </w:pPr>
      <w:r>
        <w:rPr>
          <w:rFonts w:hint="eastAsia" w:ascii="楷体_GB2312" w:hAnsi="仿宋" w:eastAsia="楷体_GB2312"/>
          <w:sz w:val="28"/>
          <w:szCs w:val="28"/>
        </w:rPr>
        <w:t>估价对象建筑物基本状况详见下表：</w:t>
      </w:r>
    </w:p>
    <w:tbl>
      <w:tblPr>
        <w:tblStyle w:val="34"/>
        <w:tblW w:w="5018"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7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9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竣工日期</w:t>
            </w:r>
          </w:p>
        </w:tc>
        <w:tc>
          <w:tcPr>
            <w:tcW w:w="4103" w:type="pct"/>
            <w:shd w:val="clear" w:color="auto" w:fill="auto"/>
            <w:noWrap/>
            <w:vAlign w:val="center"/>
          </w:tcPr>
          <w:p>
            <w:pPr>
              <w:widowControl/>
              <w:jc w:val="left"/>
              <w:rPr>
                <w:rFonts w:ascii="楷体_GB2312" w:hAnsi="宋体" w:eastAsia="楷体_GB2312" w:cs="宋体"/>
                <w:color w:val="000000"/>
                <w:kern w:val="0"/>
                <w:sz w:val="24"/>
                <w:szCs w:val="24"/>
              </w:rPr>
            </w:pPr>
            <w:r>
              <w:rPr>
                <w:rFonts w:ascii="楷体_GB2312" w:hAnsi="宋体" w:eastAsia="楷体_GB2312" w:cs="宋体"/>
                <w:color w:val="000000"/>
                <w:kern w:val="0"/>
                <w:sz w:val="24"/>
                <w:szCs w:val="24"/>
              </w:rPr>
              <w:t>20</w:t>
            </w:r>
            <w:r>
              <w:rPr>
                <w:rFonts w:hint="eastAsia" w:ascii="楷体_GB2312" w:hAnsi="宋体" w:eastAsia="楷体_GB2312" w:cs="宋体"/>
                <w:color w:val="000000"/>
                <w:kern w:val="0"/>
                <w:sz w:val="24"/>
                <w:szCs w:val="24"/>
              </w:rPr>
              <w:t>01年，设计使用年限为50年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89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新旧程度</w:t>
            </w:r>
          </w:p>
        </w:tc>
        <w:tc>
          <w:tcPr>
            <w:tcW w:w="4103"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9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建筑结构</w:t>
            </w:r>
          </w:p>
        </w:tc>
        <w:tc>
          <w:tcPr>
            <w:tcW w:w="4103" w:type="pct"/>
            <w:shd w:val="clear" w:color="auto" w:fill="auto"/>
            <w:noWrap/>
            <w:vAlign w:val="center"/>
          </w:tcPr>
          <w:p>
            <w:pPr>
              <w:widowControl/>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混合结构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设施设备</w:t>
            </w:r>
          </w:p>
        </w:tc>
        <w:tc>
          <w:tcPr>
            <w:tcW w:w="4103" w:type="pct"/>
            <w:shd w:val="clear" w:color="auto" w:fill="auto"/>
            <w:noWrap/>
            <w:vAlign w:val="center"/>
          </w:tcPr>
          <w:p>
            <w:pPr>
              <w:adjustRightInd w:val="0"/>
              <w:jc w:val="left"/>
              <w:rPr>
                <w:rFonts w:ascii="楷体_GB2312" w:hAnsi="宋体" w:eastAsia="楷体_GB2312"/>
                <w:sz w:val="24"/>
                <w:szCs w:val="24"/>
              </w:rPr>
            </w:pPr>
            <w:r>
              <w:rPr>
                <w:rFonts w:hint="eastAsia" w:ascii="楷体_GB2312" w:hAnsi="宋体" w:eastAsia="楷体_GB2312"/>
                <w:sz w:val="24"/>
                <w:szCs w:val="24"/>
              </w:rPr>
              <w:t>供电线路全部隐蔽敷没，独立IC卡电表，</w:t>
            </w:r>
            <w:r>
              <w:rPr>
                <w:rFonts w:ascii="楷体_GB2312" w:hAnsi="宋体" w:eastAsia="楷体_GB2312"/>
                <w:sz w:val="24"/>
                <w:szCs w:val="24"/>
              </w:rPr>
              <w:t>市政供水等</w:t>
            </w:r>
            <w:r>
              <w:rPr>
                <w:rFonts w:hint="eastAsia" w:ascii="楷体_GB2312" w:hAnsi="宋体" w:eastAsia="楷体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装饰装修</w:t>
            </w:r>
          </w:p>
        </w:tc>
        <w:tc>
          <w:tcPr>
            <w:tcW w:w="4103" w:type="pct"/>
            <w:shd w:val="clear" w:color="auto" w:fill="auto"/>
            <w:noWrap/>
            <w:vAlign w:val="center"/>
          </w:tcPr>
          <w:p>
            <w:pPr>
              <w:adjustRightInd w:val="0"/>
              <w:jc w:val="left"/>
              <w:rPr>
                <w:rFonts w:ascii="楷体_GB2312" w:hAnsi="宋体" w:eastAsia="楷体_GB2312"/>
                <w:sz w:val="24"/>
                <w:szCs w:val="24"/>
              </w:rPr>
            </w:pPr>
            <w:r>
              <w:rPr>
                <w:rFonts w:hint="eastAsia" w:ascii="楷体_GB2312" w:hAnsi="宋体" w:eastAsia="楷体_GB2312"/>
                <w:sz w:val="24"/>
                <w:szCs w:val="24"/>
              </w:rPr>
              <w:t>估价对象A幢大楼外墙为瓷砖，总楼层为5层，本次评估为青龙路A幢1-5层，实勘估价对象商业房地产位于1层，层高为4米，目前出租给艺迹服装店使用，A幢2层出租给美术培训学校使用，A幢3-5层出租给庆伟会计学校使用；A幢1层入户门为玻璃钢化门，室内地面为地板砖，墙面贴墙纸，开间为10.8米，进深为12.8米；A幢2层入户门为玻璃钢化门，室内地面为地板砖，墙面及顶棚刷白；A幢3、4、5层入户门为防盗门，估价师未能进入室内查勘，据产权人介绍，室内地面为地板砖，墙面及顶棚刷白，装修情况为精装修。</w:t>
            </w:r>
          </w:p>
          <w:p>
            <w:pPr>
              <w:adjustRightInd w:val="0"/>
              <w:jc w:val="left"/>
              <w:rPr>
                <w:rFonts w:ascii="楷体_GB2312" w:hAnsi="宋体" w:eastAsia="楷体_GB2312"/>
                <w:sz w:val="24"/>
                <w:szCs w:val="24"/>
              </w:rPr>
            </w:pPr>
            <w:r>
              <w:rPr>
                <w:rFonts w:hint="eastAsia" w:ascii="楷体_GB2312" w:hAnsi="宋体" w:eastAsia="楷体_GB2312"/>
                <w:sz w:val="24"/>
                <w:szCs w:val="24"/>
              </w:rPr>
              <w:t>估价对象B幢大楼外墙为瓷砖，总楼层为3层，本次评估为青龙路A幢1-3层，实勘估价对象住宅房地产位于1-3层，层高为3米，目前为产权人自用；B幢1-3层被产权人打通自用，入户门为铁门，室内门为实木门，室内地面为地板砖，墙面及顶棚刷白。</w:t>
            </w:r>
          </w:p>
          <w:p>
            <w:pPr>
              <w:adjustRightInd w:val="0"/>
              <w:jc w:val="left"/>
              <w:rPr>
                <w:rFonts w:ascii="楷体_GB2312" w:hAnsi="宋体" w:eastAsia="楷体_GB2312"/>
                <w:sz w:val="24"/>
                <w:szCs w:val="24"/>
              </w:rPr>
            </w:pPr>
            <w:r>
              <w:rPr>
                <w:rFonts w:hint="eastAsia" w:ascii="楷体_GB2312" w:hAnsi="宋体" w:eastAsia="楷体_GB2312"/>
                <w:sz w:val="24"/>
                <w:szCs w:val="24"/>
              </w:rPr>
              <w:t>该房屋水、电、通讯、网络等基础设施齐全。根据注册房地产估价师现场查勘情况，房屋工程质量合格，完损程度判定为完好房。但对估价对象的现实勘察仅限于其外观和使用状况，对被遮盖、未暴露及难以接触到的部分，则是依据委托方提供的资料进行评估，我们不承担对估价对象建筑结构质量进行调查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97" w:type="pct"/>
            <w:shd w:val="clear" w:color="auto" w:fill="auto"/>
            <w:noWrap/>
            <w:vAlign w:val="center"/>
          </w:tcPr>
          <w:p>
            <w:pPr>
              <w:widowControl/>
              <w:jc w:val="center"/>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维护状况</w:t>
            </w:r>
          </w:p>
        </w:tc>
        <w:tc>
          <w:tcPr>
            <w:tcW w:w="4103" w:type="pct"/>
            <w:shd w:val="clear" w:color="auto" w:fill="auto"/>
            <w:noWrap/>
            <w:vAlign w:val="center"/>
          </w:tcPr>
          <w:p>
            <w:pPr>
              <w:widowControl/>
              <w:jc w:val="left"/>
              <w:rPr>
                <w:rFonts w:ascii="楷体_GB2312" w:hAnsi="宋体" w:eastAsia="楷体_GB2312" w:cs="宋体"/>
                <w:color w:val="000000"/>
                <w:kern w:val="0"/>
                <w:sz w:val="24"/>
                <w:szCs w:val="24"/>
              </w:rPr>
            </w:pPr>
            <w:r>
              <w:rPr>
                <w:rFonts w:hint="eastAsia" w:ascii="楷体_GB2312" w:hAnsi="宋体" w:eastAsia="楷体_GB2312"/>
                <w:sz w:val="24"/>
                <w:szCs w:val="24"/>
              </w:rPr>
              <w:t>使用正常，维护保养较好，约7.5成新</w:t>
            </w:r>
          </w:p>
        </w:tc>
      </w:tr>
    </w:tbl>
    <w:p>
      <w:pPr>
        <w:spacing w:line="420" w:lineRule="exact"/>
        <w:ind w:firstLine="560" w:firstLineChars="200"/>
        <w:rPr>
          <w:rFonts w:ascii="楷体_GB2312" w:hAnsi="仿宋" w:eastAsia="楷体_GB2312"/>
          <w:sz w:val="28"/>
          <w:szCs w:val="28"/>
        </w:rPr>
      </w:pPr>
    </w:p>
    <w:p>
      <w:pPr>
        <w:pStyle w:val="3"/>
        <w:ind w:firstLine="562" w:firstLineChars="200"/>
        <w:jc w:val="left"/>
        <w:rPr>
          <w:sz w:val="28"/>
          <w:szCs w:val="28"/>
        </w:rPr>
      </w:pPr>
      <w:bookmarkStart w:id="16" w:name="_Toc322348933"/>
      <w:bookmarkStart w:id="17" w:name="_Toc89182844"/>
      <w:r>
        <w:rPr>
          <w:rFonts w:hint="eastAsia"/>
          <w:sz w:val="28"/>
          <w:szCs w:val="28"/>
        </w:rPr>
        <w:t>五、价值时点</w:t>
      </w:r>
      <w:bookmarkEnd w:id="16"/>
      <w:bookmarkEnd w:id="17"/>
    </w:p>
    <w:p>
      <w:pPr>
        <w:pStyle w:val="16"/>
        <w:spacing w:line="440" w:lineRule="exact"/>
        <w:ind w:firstLine="560" w:firstLineChars="200"/>
        <w:rPr>
          <w:rFonts w:ascii="楷体_GB2312" w:hAnsi="宋体" w:eastAsia="楷体_GB2312"/>
          <w:sz w:val="28"/>
        </w:rPr>
      </w:pPr>
      <w:bookmarkStart w:id="18" w:name="_Toc322348934"/>
      <w:r>
        <w:rPr>
          <w:rFonts w:hint="eastAsia" w:ascii="楷体_GB2312" w:hAnsi="宋体" w:eastAsia="楷体_GB2312"/>
          <w:sz w:val="28"/>
        </w:rPr>
        <w:t>根据《贵州省龙里县人民法院委托书》</w:t>
      </w:r>
      <w:r>
        <w:rPr>
          <w:rFonts w:ascii="楷体_GB2312" w:hAnsi="宋体" w:eastAsia="楷体_GB2312"/>
          <w:sz w:val="28"/>
        </w:rPr>
        <w:t>[</w:t>
      </w:r>
      <w:r>
        <w:rPr>
          <w:rFonts w:hint="eastAsia" w:ascii="楷体_GB2312" w:hAnsi="宋体" w:eastAsia="楷体_GB2312"/>
          <w:sz w:val="28"/>
        </w:rPr>
        <w:t>（2022）黔2730执恢26号</w:t>
      </w:r>
      <w:r>
        <w:rPr>
          <w:rFonts w:ascii="楷体_GB2312" w:hAnsi="宋体" w:eastAsia="楷体_GB2312"/>
          <w:sz w:val="28"/>
        </w:rPr>
        <w:t>]</w:t>
      </w:r>
      <w:r>
        <w:rPr>
          <w:rFonts w:hint="eastAsia" w:ascii="楷体_GB2312" w:hAnsi="宋体" w:eastAsia="楷体_GB2312"/>
          <w:sz w:val="28"/>
        </w:rPr>
        <w:t>，本次评估设定价值时点为注册房地产估价师现场查勘日期2022年05月19日。</w:t>
      </w:r>
    </w:p>
    <w:p>
      <w:pPr>
        <w:pStyle w:val="3"/>
        <w:ind w:firstLine="562" w:firstLineChars="200"/>
        <w:jc w:val="left"/>
        <w:rPr>
          <w:sz w:val="28"/>
          <w:szCs w:val="28"/>
        </w:rPr>
      </w:pPr>
      <w:bookmarkStart w:id="19" w:name="_Toc89182845"/>
      <w:r>
        <w:rPr>
          <w:rFonts w:hint="eastAsia"/>
          <w:sz w:val="28"/>
          <w:szCs w:val="28"/>
        </w:rPr>
        <w:t>六、</w:t>
      </w:r>
      <w:bookmarkEnd w:id="18"/>
      <w:r>
        <w:rPr>
          <w:rFonts w:hint="eastAsia"/>
          <w:sz w:val="28"/>
          <w:szCs w:val="28"/>
        </w:rPr>
        <w:t>价值类型</w:t>
      </w:r>
      <w:bookmarkEnd w:id="19"/>
    </w:p>
    <w:p>
      <w:pPr>
        <w:pStyle w:val="16"/>
        <w:spacing w:line="440" w:lineRule="exact"/>
        <w:ind w:firstLine="560" w:firstLineChars="200"/>
        <w:rPr>
          <w:sz w:val="28"/>
        </w:rPr>
      </w:pPr>
      <w:r>
        <w:rPr>
          <w:rFonts w:hint="eastAsia" w:ascii="楷体_GB2312" w:hAnsi="宋体" w:eastAsia="楷体_GB2312"/>
          <w:sz w:val="28"/>
        </w:rPr>
        <w:t>本次估价的房地产市场价值为估价对象在价值时点2022年05月19日，在现实市场情况下，满足上述全部限制条件下的市场价值。</w:t>
      </w:r>
    </w:p>
    <w:p>
      <w:pPr>
        <w:pStyle w:val="16"/>
        <w:adjustRightInd w:val="0"/>
        <w:snapToGrid w:val="0"/>
        <w:spacing w:line="440" w:lineRule="exact"/>
        <w:ind w:firstLine="560" w:firstLineChars="200"/>
        <w:rPr>
          <w:rFonts w:ascii="楷体_GB2312" w:hAnsi="宋体" w:eastAsia="楷体_GB2312"/>
          <w:sz w:val="28"/>
        </w:rPr>
      </w:pPr>
      <w:r>
        <w:rPr>
          <w:rFonts w:hint="eastAsia" w:ascii="楷体_GB2312" w:hAnsi="宋体" w:eastAsia="楷体_GB2312"/>
          <w:sz w:val="28"/>
        </w:rPr>
        <w:t>市场价值是指估价对象经适当营销后，由熟悉情况、谨慎行事且不受强迫的交易双方，以公平交易方式在价值时点自愿进行交易的金额。</w:t>
      </w:r>
    </w:p>
    <w:p>
      <w:pPr>
        <w:pStyle w:val="16"/>
        <w:adjustRightInd w:val="0"/>
        <w:snapToGrid w:val="0"/>
        <w:spacing w:line="440" w:lineRule="exact"/>
        <w:ind w:firstLine="560" w:firstLineChars="200"/>
        <w:rPr>
          <w:rFonts w:ascii="楷体_GB2312" w:hAnsi="宋体" w:eastAsia="楷体_GB2312"/>
          <w:sz w:val="28"/>
        </w:rPr>
      </w:pPr>
      <w:r>
        <w:rPr>
          <w:rFonts w:ascii="楷体_GB2312" w:hAnsi="宋体" w:eastAsia="楷体_GB2312"/>
          <w:sz w:val="28"/>
        </w:rPr>
        <w:t>本报告所述的房地产市场价值为公开市场价值</w:t>
      </w:r>
      <w:r>
        <w:rPr>
          <w:rFonts w:hint="eastAsia" w:ascii="楷体_GB2312" w:hAnsi="宋体" w:eastAsia="楷体_GB2312"/>
          <w:sz w:val="28"/>
        </w:rPr>
        <w:t>，</w:t>
      </w:r>
      <w:r>
        <w:rPr>
          <w:rFonts w:ascii="楷体_GB2312" w:hAnsi="宋体" w:eastAsia="楷体_GB2312"/>
          <w:sz w:val="28"/>
        </w:rPr>
        <w:t>公开市场价值为在下列交易条件下最可实现的价格</w:t>
      </w:r>
      <w:r>
        <w:rPr>
          <w:rFonts w:hint="eastAsia" w:ascii="楷体_GB2312" w:hAnsi="宋体" w:eastAsia="楷体_GB2312"/>
          <w:sz w:val="28"/>
        </w:rPr>
        <w:t>：⑴交易双方自愿地进行交易；⑵交易双方进行交易的目的是追求各自利用最大化；⑶交易双方有较充裕的时间进行交易；⑷交易双方掌握必要的市场信息；⑸交易双方具有必要的专业知识并了解估价对象；⑹不存在特殊买者的附加出价。</w:t>
      </w:r>
    </w:p>
    <w:p>
      <w:pPr>
        <w:pStyle w:val="3"/>
        <w:ind w:firstLine="562" w:firstLineChars="200"/>
        <w:jc w:val="left"/>
        <w:rPr>
          <w:sz w:val="28"/>
          <w:szCs w:val="28"/>
        </w:rPr>
      </w:pPr>
      <w:bookmarkStart w:id="20" w:name="_Toc89182846"/>
      <w:r>
        <w:rPr>
          <w:rFonts w:hint="eastAsia"/>
          <w:sz w:val="28"/>
          <w:szCs w:val="28"/>
        </w:rPr>
        <w:t>七、估价原则</w:t>
      </w:r>
      <w:bookmarkEnd w:id="20"/>
    </w:p>
    <w:p>
      <w:pPr>
        <w:snapToGrid w:val="0"/>
        <w:spacing w:line="420" w:lineRule="exact"/>
        <w:ind w:firstLine="540"/>
        <w:rPr>
          <w:rFonts w:ascii="楷体_GB2312" w:eastAsia="楷体_GB2312"/>
          <w:sz w:val="28"/>
        </w:rPr>
      </w:pPr>
      <w:bookmarkStart w:id="21" w:name="_Toc322348935"/>
      <w:r>
        <w:rPr>
          <w:rFonts w:hint="eastAsia" w:ascii="楷体_GB2312" w:eastAsia="楷体_GB2312"/>
          <w:sz w:val="28"/>
        </w:rPr>
        <w:t>估价原则是在房地产估价的反复实践和理论探索中，在认识房地产价格形成和变动客观规律的基础上，总结和提炼出的一些简明扼要的进行房地产估价活动所依据的法则和标准。</w:t>
      </w:r>
    </w:p>
    <w:p>
      <w:pPr>
        <w:snapToGrid w:val="0"/>
        <w:spacing w:line="420" w:lineRule="exact"/>
        <w:ind w:firstLine="540"/>
        <w:rPr>
          <w:rFonts w:ascii="楷体_GB2312" w:eastAsia="楷体_GB2312"/>
          <w:sz w:val="28"/>
        </w:rPr>
      </w:pPr>
      <w:r>
        <w:rPr>
          <w:rFonts w:hint="eastAsia" w:ascii="楷体_GB2312" w:eastAsia="楷体_GB2312"/>
          <w:sz w:val="28"/>
        </w:rPr>
        <w:t>根据本次估价目的，结合估价对象具体情况，本次估价遵循独立、客观、公正原则，合法原则，价值时点原则、替代原则，最高最佳利用原则。具体如下：</w:t>
      </w:r>
    </w:p>
    <w:p>
      <w:pPr>
        <w:snapToGrid w:val="0"/>
        <w:spacing w:line="420" w:lineRule="exact"/>
        <w:ind w:firstLine="540"/>
        <w:rPr>
          <w:rFonts w:ascii="楷体_GB2312" w:eastAsia="楷体_GB2312"/>
          <w:sz w:val="28"/>
        </w:rPr>
      </w:pPr>
      <w:r>
        <w:rPr>
          <w:rFonts w:hint="eastAsia" w:ascii="楷体_GB2312" w:eastAsia="楷体_GB2312"/>
          <w:sz w:val="28"/>
        </w:rPr>
        <w:t>1．独立、客观、公正原则</w:t>
      </w:r>
    </w:p>
    <w:p>
      <w:pPr>
        <w:pStyle w:val="26"/>
        <w:spacing w:line="420" w:lineRule="exact"/>
      </w:pPr>
      <w:r>
        <w:rPr>
          <w:rFonts w:hint="eastAsia"/>
        </w:rPr>
        <w:t>房地产估价要求站在中立的立场上，实事求是、公平正直地评估出对各方估价利害关系人均是公平合理的价值或价格的原则。评估价值如不公平、合理，必然会损害相关当事人中某一方的利益，也有损于房地产估价师、房地产估价机构以至整个房地产估价行业的社会公信力和声誉。因此，房地产估价工作的性质，决定了独立、客观、公正原则是房地产估价的基本原则。</w:t>
      </w:r>
    </w:p>
    <w:p>
      <w:pPr>
        <w:snapToGrid w:val="0"/>
        <w:spacing w:line="420" w:lineRule="exact"/>
        <w:ind w:firstLine="540"/>
        <w:rPr>
          <w:rFonts w:ascii="楷体_GB2312" w:eastAsia="楷体_GB2312"/>
          <w:sz w:val="28"/>
        </w:rPr>
      </w:pPr>
      <w:r>
        <w:rPr>
          <w:rFonts w:hint="eastAsia" w:ascii="楷体_GB2312" w:eastAsia="楷体_GB2312"/>
          <w:sz w:val="28"/>
        </w:rPr>
        <w:t>2．合法原则</w:t>
      </w:r>
    </w:p>
    <w:p>
      <w:pPr>
        <w:snapToGrid w:val="0"/>
        <w:spacing w:line="420" w:lineRule="exact"/>
        <w:ind w:firstLine="539"/>
        <w:rPr>
          <w:rFonts w:ascii="楷体_GB2312" w:eastAsia="楷体_GB2312"/>
          <w:sz w:val="28"/>
        </w:rPr>
      </w:pPr>
      <w:r>
        <w:rPr>
          <w:rFonts w:hint="eastAsia" w:ascii="楷体_GB2312" w:eastAsia="楷体_GB2312"/>
          <w:sz w:val="28"/>
        </w:rPr>
        <w:t>要求估价结果是在依法判定的估价对象状况下的价值或价格的原则。房地产价格实质上是房地产权益的价格，只有当房地产合法使用时，其权益才能得到法律法规的保障。因此，估价中以估价对象的合法使用、合法交易或合法处分为前提。</w:t>
      </w:r>
    </w:p>
    <w:p>
      <w:pPr>
        <w:snapToGrid w:val="0"/>
        <w:spacing w:line="420" w:lineRule="exact"/>
        <w:ind w:firstLine="539"/>
        <w:rPr>
          <w:rFonts w:ascii="楷体_GB2312" w:eastAsia="楷体_GB2312"/>
          <w:sz w:val="28"/>
        </w:rPr>
      </w:pPr>
      <w:r>
        <w:rPr>
          <w:rFonts w:hint="eastAsia" w:ascii="楷体_GB2312" w:eastAsia="楷体_GB2312"/>
          <w:sz w:val="28"/>
        </w:rPr>
        <w:t>3. 价值时点原则</w:t>
      </w:r>
    </w:p>
    <w:p>
      <w:pPr>
        <w:snapToGrid w:val="0"/>
        <w:spacing w:line="420" w:lineRule="exact"/>
        <w:ind w:firstLine="539"/>
        <w:rPr>
          <w:rFonts w:ascii="楷体_GB2312" w:eastAsia="楷体_GB2312"/>
          <w:sz w:val="28"/>
        </w:rPr>
      </w:pPr>
      <w:r>
        <w:rPr>
          <w:rFonts w:hint="eastAsia" w:ascii="楷体_GB2312" w:eastAsia="楷体_GB2312"/>
          <w:sz w:val="28"/>
        </w:rPr>
        <w:t>要求估价结果是在根据估价目的确定的某一特定时间的价值或价格的原则。估价实际上是求取某一时点上的价格。房地产的价格具有很强的时间性，在不同时点，同一宗房地产往往会有不同的价格。</w:t>
      </w:r>
    </w:p>
    <w:p>
      <w:pPr>
        <w:snapToGrid w:val="0"/>
        <w:spacing w:line="420" w:lineRule="exact"/>
        <w:ind w:firstLine="539"/>
        <w:rPr>
          <w:rFonts w:ascii="宋体"/>
          <w:sz w:val="28"/>
        </w:rPr>
      </w:pPr>
      <w:r>
        <w:rPr>
          <w:rFonts w:hint="eastAsia" w:ascii="楷体_GB2312" w:eastAsia="楷体_GB2312"/>
          <w:sz w:val="28"/>
        </w:rPr>
        <w:t>4. 替代原则</w:t>
      </w:r>
    </w:p>
    <w:p>
      <w:pPr>
        <w:snapToGrid w:val="0"/>
        <w:spacing w:line="420" w:lineRule="exact"/>
        <w:ind w:firstLine="539"/>
        <w:rPr>
          <w:rFonts w:ascii="楷体_GB2312" w:eastAsia="楷体_GB2312"/>
          <w:sz w:val="28"/>
        </w:rPr>
      </w:pPr>
      <w:r>
        <w:rPr>
          <w:rFonts w:hint="eastAsia" w:ascii="楷体_GB2312" w:eastAsia="楷体_GB2312"/>
          <w:sz w:val="28"/>
        </w:rPr>
        <w:t>要求估价结果与估价对象的类似房地产在同等条件下的价值或价格偏差在合理范围内的原则。同一个市场中的具有相近效用的房地产，其价格应当相近。在同一市场供需圈内，可以通过调查近期发生交易的、与估价对象有替代可能的房地产的价格和条件，通过与估价对象进行比较来确定估价对象价格。</w:t>
      </w:r>
    </w:p>
    <w:p>
      <w:pPr>
        <w:snapToGrid w:val="0"/>
        <w:spacing w:line="420" w:lineRule="exact"/>
        <w:ind w:firstLine="539"/>
        <w:rPr>
          <w:rFonts w:ascii="楷体_GB2312" w:eastAsia="楷体_GB2312"/>
          <w:sz w:val="28"/>
        </w:rPr>
      </w:pPr>
      <w:r>
        <w:rPr>
          <w:rFonts w:hint="eastAsia" w:ascii="楷体_GB2312" w:eastAsia="楷体_GB2312"/>
          <w:sz w:val="28"/>
        </w:rPr>
        <w:t>5. 最高最佳利用原则</w:t>
      </w:r>
    </w:p>
    <w:p>
      <w:pPr>
        <w:snapToGrid w:val="0"/>
        <w:spacing w:line="420" w:lineRule="exact"/>
        <w:ind w:firstLine="539"/>
        <w:rPr>
          <w:rFonts w:ascii="楷体_GB2312" w:eastAsia="楷体_GB2312"/>
          <w:sz w:val="28"/>
        </w:rPr>
      </w:pPr>
      <w:r>
        <w:rPr>
          <w:rFonts w:hint="eastAsia" w:ascii="楷体_GB2312" w:eastAsia="楷体_GB2312"/>
          <w:sz w:val="28"/>
        </w:rPr>
        <w:t>要求估价结果是在估价对象最高最佳利用状况下的价值或价格的原则。房地产估价要以房地产的最高、最佳使用为前提。也就是说，房地产评估价格应是在合法使用方式下，各种可能的使用方式中，能获得最大收益的使用方式的估价结果。</w:t>
      </w:r>
    </w:p>
    <w:p>
      <w:pPr>
        <w:pStyle w:val="3"/>
        <w:spacing w:line="480" w:lineRule="exact"/>
        <w:ind w:firstLine="562" w:firstLineChars="200"/>
        <w:jc w:val="left"/>
        <w:rPr>
          <w:sz w:val="28"/>
          <w:szCs w:val="28"/>
        </w:rPr>
      </w:pPr>
      <w:bookmarkStart w:id="22" w:name="_Toc89182847"/>
      <w:r>
        <w:rPr>
          <w:rFonts w:hint="eastAsia"/>
          <w:sz w:val="28"/>
          <w:szCs w:val="28"/>
        </w:rPr>
        <w:t>八、估价依据</w:t>
      </w:r>
      <w:bookmarkEnd w:id="21"/>
      <w:bookmarkEnd w:id="22"/>
    </w:p>
    <w:p>
      <w:pPr>
        <w:pStyle w:val="4"/>
        <w:adjustRightInd w:val="0"/>
        <w:snapToGrid w:val="0"/>
        <w:spacing w:line="480" w:lineRule="exact"/>
        <w:ind w:firstLine="280" w:firstLineChars="100"/>
        <w:rPr>
          <w:rFonts w:ascii="楷体_GB2312"/>
        </w:rPr>
      </w:pPr>
      <w:bookmarkStart w:id="23" w:name="_Toc322348936"/>
      <w:bookmarkStart w:id="24" w:name="_Toc322348937"/>
      <w:r>
        <w:rPr>
          <w:rFonts w:ascii="楷体_GB2312"/>
        </w:rPr>
        <w:t>(</w:t>
      </w:r>
      <w:r>
        <w:rPr>
          <w:rFonts w:hint="eastAsia" w:ascii="楷体_GB2312"/>
        </w:rPr>
        <w:t>一</w:t>
      </w:r>
      <w:r>
        <w:rPr>
          <w:rFonts w:ascii="楷体_GB2312"/>
        </w:rPr>
        <w:t xml:space="preserve">) </w:t>
      </w:r>
      <w:r>
        <w:rPr>
          <w:rFonts w:hint="eastAsia" w:ascii="楷体_GB2312"/>
        </w:rPr>
        <w:t>国家和地方的有关法律、法规和部门规章</w:t>
      </w:r>
    </w:p>
    <w:p>
      <w:pPr>
        <w:tabs>
          <w:tab w:val="left" w:pos="735"/>
          <w:tab w:val="left" w:pos="840"/>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1.《中华人民共和国民法典》（2020年5月28日第十三届全国人民代表大会第三次会议通过，自2021年1月1日起施行）；</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2.《中华人民共和国城市房地产管理法》（中华人民共和国主席令第70号，自1995年1月1日起施行, 2019年8月26日第十三届全国人民代表大会常务委员会第十二次会议第三次修正）；</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3.《中华人民共和国土地管理法》（中华人民共和国主席令第28号，2001年7月23日建设部第45次常务会议审议通过，自2001年8月15日颁布实施，2019年8月26日第十三届全国人民代表大会常务委员会第十二次会议第三次修正）；</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4.《中华人民共和国资产评估法》（中华人民共和国主席令第46号，自2016年12月1日起施行）；</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5.《城市房地产转让管理规定》（中华人民共和国建设部令第96号，自1997年6月1日起施行；</w:t>
      </w:r>
      <w:r>
        <w:rPr>
          <w:rFonts w:ascii="楷体_GB2312" w:eastAsia="楷体_GB2312"/>
          <w:sz w:val="28"/>
        </w:rPr>
        <w:t>2001年7月23日</w:t>
      </w:r>
      <w:r>
        <w:fldChar w:fldCharType="begin"/>
      </w:r>
      <w:r>
        <w:instrText xml:space="preserve"> HYPERLINK "https://baike.baidu.com/item/%E5%BB%BA%E8%AE%BE%E9%83%A8/2280491" \t "_blank" </w:instrText>
      </w:r>
      <w:r>
        <w:fldChar w:fldCharType="separate"/>
      </w:r>
      <w:r>
        <w:rPr>
          <w:rFonts w:ascii="楷体_GB2312" w:eastAsia="楷体_GB2312"/>
          <w:sz w:val="28"/>
        </w:rPr>
        <w:t>建设部</w:t>
      </w:r>
      <w:r>
        <w:rPr>
          <w:rFonts w:ascii="楷体_GB2312" w:eastAsia="楷体_GB2312"/>
          <w:sz w:val="28"/>
        </w:rPr>
        <w:fldChar w:fldCharType="end"/>
      </w:r>
      <w:r>
        <w:rPr>
          <w:rFonts w:ascii="楷体_GB2312" w:eastAsia="楷体_GB2312"/>
          <w:sz w:val="28"/>
        </w:rPr>
        <w:t>第45次常务会议</w:t>
      </w:r>
      <w:r>
        <w:rPr>
          <w:rFonts w:hint="eastAsia" w:ascii="楷体_GB2312" w:eastAsia="楷体_GB2312"/>
          <w:sz w:val="28"/>
        </w:rPr>
        <w:t>修正；）</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6.《中华人民共和国土地管理法实施条例》（2021年4月21日，国务院第132次会议修订通过，自2021年9月1日起施行）；</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7.《不动产登记暂行条例》（国务院令第656号发布，自</w:t>
      </w:r>
      <w:r>
        <w:rPr>
          <w:rFonts w:hint="eastAsia" w:ascii="楷体_GB2312" w:hAnsi="宋体" w:eastAsia="楷体_GB2312"/>
          <w:sz w:val="28"/>
        </w:rPr>
        <w:t>2015年3月1日起施行</w:t>
      </w:r>
      <w:r>
        <w:rPr>
          <w:rFonts w:hint="eastAsia" w:ascii="楷体_GB2312" w:eastAsia="楷体_GB2312"/>
          <w:sz w:val="28"/>
        </w:rPr>
        <w:t>）；</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8.《不动产登记暂行条例实施细则》（国土资源部令第63号，自</w:t>
      </w:r>
      <w:r>
        <w:rPr>
          <w:rFonts w:hint="eastAsia" w:ascii="楷体_GB2312" w:hAnsi="宋体" w:eastAsia="楷体_GB2312"/>
          <w:sz w:val="28"/>
        </w:rPr>
        <w:t>2016年1月1日起施行</w:t>
      </w:r>
      <w:r>
        <w:rPr>
          <w:rFonts w:hint="eastAsia" w:ascii="楷体_GB2312" w:eastAsia="楷体_GB2312"/>
          <w:sz w:val="28"/>
        </w:rPr>
        <w:t>）；</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9.《中华人民共和国城乡规划法》（中华人民共和国主席令第74号，自2008年1月1日起施行）；</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1</w:t>
      </w:r>
      <w:r>
        <w:rPr>
          <w:rFonts w:ascii="楷体_GB2312" w:eastAsia="楷体_GB2312"/>
          <w:sz w:val="28"/>
        </w:rPr>
        <w:t xml:space="preserve">0. </w:t>
      </w:r>
      <w:r>
        <w:rPr>
          <w:rFonts w:hint="eastAsia" w:ascii="楷体_GB2312" w:eastAsia="楷体_GB2312"/>
          <w:sz w:val="28"/>
        </w:rPr>
        <w:t>《</w:t>
      </w:r>
      <w:r>
        <w:rPr>
          <w:rFonts w:ascii="楷体_GB2312" w:eastAsia="楷体_GB2312"/>
          <w:sz w:val="28"/>
        </w:rPr>
        <w:t>中华人民共和国民事诉讼法</w:t>
      </w:r>
      <w:r>
        <w:rPr>
          <w:rFonts w:hint="eastAsia" w:ascii="楷体_GB2312" w:eastAsia="楷体_GB2312"/>
          <w:sz w:val="28"/>
        </w:rPr>
        <w:t>》（</w:t>
      </w:r>
      <w:r>
        <w:rPr>
          <w:rFonts w:ascii="楷体_GB2312" w:eastAsia="楷体_GB2312"/>
          <w:sz w:val="28"/>
        </w:rPr>
        <w:t>1991年4月9日</w:t>
      </w:r>
      <w:r>
        <w:rPr>
          <w:rFonts w:hint="eastAsia" w:ascii="楷体_GB2312" w:eastAsia="楷体_GB2312"/>
          <w:sz w:val="28"/>
        </w:rPr>
        <w:t>施行，</w:t>
      </w:r>
      <w:r>
        <w:rPr>
          <w:rFonts w:ascii="楷体_GB2312" w:eastAsia="楷体_GB2312"/>
          <w:sz w:val="28"/>
        </w:rPr>
        <w:t>2017年6月27日第十二届全国人民代表大会常务委员会第二十八次会议</w:t>
      </w:r>
      <w:r>
        <w:rPr>
          <w:rFonts w:hint="eastAsia" w:ascii="楷体_GB2312" w:eastAsia="楷体_GB2312"/>
          <w:sz w:val="28"/>
        </w:rPr>
        <w:t>修改）</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1</w:t>
      </w:r>
      <w:r>
        <w:rPr>
          <w:rFonts w:ascii="楷体_GB2312" w:eastAsia="楷体_GB2312"/>
          <w:sz w:val="28"/>
        </w:rPr>
        <w:t>1</w:t>
      </w:r>
      <w:r>
        <w:rPr>
          <w:rFonts w:hint="eastAsia" w:ascii="楷体_GB2312" w:eastAsia="楷体_GB2312"/>
          <w:sz w:val="28"/>
        </w:rPr>
        <w:t>.《司法鉴定程序通则》（中华人民共和国司法部令第136号，于</w:t>
      </w:r>
      <w:r>
        <w:rPr>
          <w:rFonts w:hint="eastAsia" w:ascii="楷体_GB2312" w:hAnsi="宋体" w:eastAsia="楷体_GB2312"/>
          <w:sz w:val="28"/>
        </w:rPr>
        <w:t>2015年12月24日司法部部务会议修订通过，自2016年5月1日起施行</w:t>
      </w:r>
      <w:r>
        <w:rPr>
          <w:rFonts w:hint="eastAsia" w:ascii="楷体_GB2312" w:eastAsia="楷体_GB2312"/>
          <w:sz w:val="28"/>
        </w:rPr>
        <w:t>）；</w:t>
      </w:r>
    </w:p>
    <w:p>
      <w:pPr>
        <w:tabs>
          <w:tab w:val="left" w:pos="735"/>
        </w:tabs>
        <w:adjustRightInd w:val="0"/>
        <w:snapToGrid w:val="0"/>
        <w:spacing w:line="480" w:lineRule="exact"/>
        <w:ind w:firstLine="560" w:firstLineChars="200"/>
        <w:rPr>
          <w:rFonts w:ascii="楷体_GB2312" w:hAnsi="宋体" w:eastAsia="楷体_GB2312"/>
          <w:sz w:val="28"/>
        </w:rPr>
      </w:pPr>
      <w:r>
        <w:rPr>
          <w:rFonts w:hint="eastAsia" w:ascii="楷体_GB2312" w:hAnsi="宋体" w:eastAsia="楷体_GB2312"/>
          <w:sz w:val="28"/>
        </w:rPr>
        <w:t>1</w:t>
      </w:r>
      <w:r>
        <w:rPr>
          <w:rFonts w:ascii="楷体_GB2312" w:hAnsi="宋体" w:eastAsia="楷体_GB2312"/>
          <w:sz w:val="28"/>
        </w:rPr>
        <w:t>2</w:t>
      </w:r>
      <w:r>
        <w:rPr>
          <w:rFonts w:hint="eastAsia" w:ascii="楷体_GB2312" w:hAnsi="宋体" w:eastAsia="楷体_GB2312"/>
          <w:sz w:val="28"/>
        </w:rPr>
        <w:t>.《最高人民法院关于人民法院委托评估、拍卖和变卖工作的若干规定》（法释[2011]21号，于2010年8月16日由最高人民法院审判委员会第1492次会议通过，自2012年1月1日起施行）；</w:t>
      </w:r>
    </w:p>
    <w:p>
      <w:pPr>
        <w:tabs>
          <w:tab w:val="left" w:pos="735"/>
        </w:tabs>
        <w:adjustRightInd w:val="0"/>
        <w:snapToGrid w:val="0"/>
        <w:spacing w:line="480" w:lineRule="exact"/>
        <w:ind w:firstLine="560" w:firstLineChars="200"/>
        <w:rPr>
          <w:rFonts w:ascii="楷体_GB2312" w:hAnsi="宋体" w:eastAsia="楷体_GB2312"/>
          <w:sz w:val="28"/>
        </w:rPr>
      </w:pPr>
      <w:r>
        <w:rPr>
          <w:rFonts w:ascii="楷体_GB2312" w:hAnsi="宋体" w:eastAsia="楷体_GB2312"/>
          <w:sz w:val="28"/>
        </w:rPr>
        <w:t>13.</w:t>
      </w:r>
      <w:r>
        <w:rPr>
          <w:rFonts w:hint="eastAsia" w:ascii="楷体_GB2312" w:hAnsi="宋体" w:eastAsia="楷体_GB2312"/>
          <w:sz w:val="28"/>
        </w:rPr>
        <w:t>《最高人民法院关于实施</w:t>
      </w:r>
      <w:r>
        <w:rPr>
          <w:rFonts w:ascii="楷体_GB2312" w:hAnsi="宋体" w:eastAsia="楷体_GB2312"/>
          <w:sz w:val="28"/>
        </w:rPr>
        <w:t>&lt;</w:t>
      </w:r>
      <w:r>
        <w:rPr>
          <w:rFonts w:hint="eastAsia" w:ascii="楷体_GB2312" w:hAnsi="宋体" w:eastAsia="楷体_GB2312"/>
          <w:sz w:val="28"/>
        </w:rPr>
        <w:t>高人民法院关于人民法院委托评估、拍卖和变卖工作的若干规定</w:t>
      </w:r>
      <w:r>
        <w:rPr>
          <w:rFonts w:ascii="楷体_GB2312" w:hAnsi="宋体" w:eastAsia="楷体_GB2312"/>
          <w:sz w:val="28"/>
        </w:rPr>
        <w:t>&gt;</w:t>
      </w:r>
      <w:r>
        <w:rPr>
          <w:rFonts w:hint="eastAsia" w:ascii="楷体_GB2312" w:hAnsi="宋体" w:eastAsia="楷体_GB2312"/>
          <w:sz w:val="28"/>
        </w:rPr>
        <w:t>有关问题的通知》（法释[201</w:t>
      </w:r>
      <w:r>
        <w:rPr>
          <w:rFonts w:ascii="楷体_GB2312" w:hAnsi="宋体" w:eastAsia="楷体_GB2312"/>
          <w:sz w:val="28"/>
        </w:rPr>
        <w:t>2</w:t>
      </w:r>
      <w:r>
        <w:rPr>
          <w:rFonts w:hint="eastAsia" w:ascii="楷体_GB2312" w:hAnsi="宋体" w:eastAsia="楷体_GB2312"/>
          <w:sz w:val="28"/>
        </w:rPr>
        <w:t>]</w:t>
      </w:r>
      <w:r>
        <w:rPr>
          <w:rFonts w:ascii="楷体_GB2312" w:hAnsi="宋体" w:eastAsia="楷体_GB2312"/>
          <w:sz w:val="28"/>
        </w:rPr>
        <w:t>30</w:t>
      </w:r>
      <w:r>
        <w:rPr>
          <w:rFonts w:hint="eastAsia" w:ascii="楷体_GB2312" w:hAnsi="宋体" w:eastAsia="楷体_GB2312"/>
          <w:sz w:val="28"/>
        </w:rPr>
        <w:t>号，由</w:t>
      </w:r>
      <w:r>
        <w:rPr>
          <w:rFonts w:ascii="楷体_GB2312" w:hAnsi="宋体" w:eastAsia="楷体_GB2312"/>
          <w:sz w:val="28"/>
        </w:rPr>
        <w:t>最高人民法院审判委员会第1492次会议通过</w:t>
      </w:r>
      <w:r>
        <w:rPr>
          <w:rFonts w:hint="eastAsia" w:ascii="楷体_GB2312" w:hAnsi="宋体" w:eastAsia="楷体_GB2312"/>
          <w:sz w:val="28"/>
        </w:rPr>
        <w:t>，自</w:t>
      </w:r>
      <w:r>
        <w:rPr>
          <w:rFonts w:ascii="楷体_GB2312" w:hAnsi="宋体" w:eastAsia="楷体_GB2312"/>
          <w:sz w:val="28"/>
        </w:rPr>
        <w:t>2012年1月1日起实施</w:t>
      </w:r>
      <w:r>
        <w:rPr>
          <w:rFonts w:hint="eastAsia" w:ascii="楷体_GB2312" w:hAnsi="宋体" w:eastAsia="楷体_GB2312"/>
          <w:sz w:val="28"/>
        </w:rPr>
        <w:t>）；</w:t>
      </w:r>
    </w:p>
    <w:p>
      <w:pPr>
        <w:tabs>
          <w:tab w:val="left" w:pos="735"/>
        </w:tabs>
        <w:adjustRightInd w:val="0"/>
        <w:snapToGrid w:val="0"/>
        <w:spacing w:line="480" w:lineRule="exact"/>
        <w:ind w:firstLine="560" w:firstLineChars="200"/>
        <w:rPr>
          <w:rFonts w:ascii="楷体_GB2312" w:eastAsia="楷体_GB2312"/>
          <w:sz w:val="28"/>
        </w:rPr>
      </w:pPr>
      <w:bookmarkStart w:id="25" w:name="_Hlk77686870"/>
      <w:r>
        <w:rPr>
          <w:rFonts w:hint="eastAsia" w:ascii="楷体_GB2312" w:eastAsia="楷体_GB2312"/>
          <w:sz w:val="28"/>
        </w:rPr>
        <w:t>14.《</w:t>
      </w:r>
      <w:r>
        <w:rPr>
          <w:rFonts w:hint="eastAsia" w:ascii="楷体_GB2312" w:hAnsi="Courier New" w:eastAsia="楷体_GB2312"/>
          <w:bCs/>
          <w:kern w:val="0"/>
          <w:sz w:val="28"/>
          <w:szCs w:val="28"/>
        </w:rPr>
        <w:t>中华人民共和国房产税暂行条例</w:t>
      </w:r>
      <w:r>
        <w:rPr>
          <w:rFonts w:hint="eastAsia" w:ascii="楷体_GB2312" w:eastAsia="楷体_GB2312"/>
          <w:sz w:val="28"/>
        </w:rPr>
        <w:t>》（国发</w:t>
      </w:r>
      <w:r>
        <w:rPr>
          <w:rFonts w:hint="eastAsia" w:ascii="楷体_GB2312" w:hAnsi="仿宋" w:eastAsia="楷体_GB2312"/>
          <w:sz w:val="28"/>
        </w:rPr>
        <w:t>〔1986〕90号</w:t>
      </w:r>
      <w:r>
        <w:rPr>
          <w:rFonts w:hint="eastAsia" w:ascii="楷体_GB2312" w:eastAsia="楷体_GB2312"/>
          <w:sz w:val="28"/>
        </w:rPr>
        <w:t>，自1986年10月1日起施行）；</w:t>
      </w:r>
    </w:p>
    <w:p>
      <w:pPr>
        <w:tabs>
          <w:tab w:val="left" w:pos="735"/>
        </w:tabs>
        <w:adjustRightInd w:val="0"/>
        <w:snapToGrid w:val="0"/>
        <w:spacing w:line="480" w:lineRule="exact"/>
        <w:ind w:firstLine="560" w:firstLineChars="200"/>
        <w:rPr>
          <w:rFonts w:ascii="楷体_GB2312" w:eastAsia="楷体_GB2312"/>
          <w:sz w:val="28"/>
        </w:rPr>
      </w:pPr>
      <w:r>
        <w:rPr>
          <w:rFonts w:ascii="楷体_GB2312" w:eastAsia="楷体_GB2312"/>
          <w:sz w:val="28"/>
        </w:rPr>
        <w:t>1</w:t>
      </w:r>
      <w:r>
        <w:rPr>
          <w:rFonts w:hint="eastAsia" w:ascii="楷体_GB2312" w:eastAsia="楷体_GB2312"/>
          <w:sz w:val="28"/>
        </w:rPr>
        <w:t>5.《中华人民共和国印花税暂行条例》（中华人民共和国国务院令第11号，自1988年10月1日起施行）；</w:t>
      </w:r>
    </w:p>
    <w:p>
      <w:pPr>
        <w:tabs>
          <w:tab w:val="left" w:pos="735"/>
        </w:tabs>
        <w:adjustRightInd w:val="0"/>
        <w:snapToGrid w:val="0"/>
        <w:spacing w:line="480" w:lineRule="exact"/>
        <w:ind w:firstLine="560" w:firstLineChars="200"/>
        <w:rPr>
          <w:rFonts w:ascii="楷体_GB2312" w:eastAsia="楷体_GB2312"/>
          <w:sz w:val="28"/>
        </w:rPr>
      </w:pPr>
      <w:r>
        <w:rPr>
          <w:rFonts w:ascii="楷体_GB2312" w:eastAsia="楷体_GB2312"/>
          <w:sz w:val="28"/>
        </w:rPr>
        <w:t>1</w:t>
      </w:r>
      <w:r>
        <w:rPr>
          <w:rFonts w:hint="eastAsia" w:ascii="楷体_GB2312" w:eastAsia="楷体_GB2312"/>
          <w:sz w:val="28"/>
        </w:rPr>
        <w:t>6.《国家税务总局 中华人民共和国个人所得税法》（2018年8月31日第十三届全国人民代表大会常务委员会第五次会议《关于修改（中华人民共和国个人所得税法）的决定》第七次修正）；</w:t>
      </w:r>
    </w:p>
    <w:p>
      <w:pPr>
        <w:tabs>
          <w:tab w:val="left" w:pos="735"/>
        </w:tabs>
        <w:adjustRightInd w:val="0"/>
        <w:snapToGrid w:val="0"/>
        <w:spacing w:line="480" w:lineRule="exact"/>
        <w:ind w:firstLine="560" w:firstLineChars="200"/>
        <w:rPr>
          <w:rFonts w:ascii="楷体_GB2312" w:eastAsia="楷体_GB2312"/>
          <w:sz w:val="28"/>
        </w:rPr>
      </w:pPr>
      <w:r>
        <w:rPr>
          <w:rFonts w:ascii="楷体_GB2312" w:hAnsi="仿宋" w:eastAsia="楷体_GB2312"/>
          <w:sz w:val="28"/>
        </w:rPr>
        <w:t>1</w:t>
      </w:r>
      <w:r>
        <w:rPr>
          <w:rFonts w:hint="eastAsia" w:ascii="楷体_GB2312" w:hAnsi="仿宋" w:eastAsia="楷体_GB2312"/>
          <w:sz w:val="28"/>
        </w:rPr>
        <w:t>7.《中华人民共和国城市维护建设税暂行条例》（1985年2月8日国务院 国发〔1985〕19号文件发布，</w:t>
      </w:r>
      <w:r>
        <w:rPr>
          <w:rFonts w:hint="eastAsia" w:ascii="楷体_GB2312" w:eastAsia="楷体_GB2312"/>
          <w:sz w:val="28"/>
        </w:rPr>
        <w:t>2011年1月8日《国务院关于废止和修改部分行政法规的决定》修订</w:t>
      </w:r>
      <w:r>
        <w:rPr>
          <w:rFonts w:hint="eastAsia" w:ascii="楷体_GB2312" w:hAnsi="仿宋" w:eastAsia="楷体_GB2312"/>
          <w:sz w:val="28"/>
        </w:rPr>
        <w:t>）；</w:t>
      </w:r>
    </w:p>
    <w:p>
      <w:pPr>
        <w:tabs>
          <w:tab w:val="left" w:pos="735"/>
        </w:tabs>
        <w:adjustRightInd w:val="0"/>
        <w:snapToGrid w:val="0"/>
        <w:spacing w:line="480" w:lineRule="exact"/>
        <w:ind w:firstLine="560" w:firstLineChars="200"/>
        <w:rPr>
          <w:rFonts w:ascii="楷体_GB2312" w:eastAsia="楷体_GB2312"/>
          <w:sz w:val="28"/>
        </w:rPr>
      </w:pPr>
      <w:r>
        <w:rPr>
          <w:rFonts w:ascii="楷体_GB2312" w:eastAsia="楷体_GB2312"/>
          <w:sz w:val="28"/>
        </w:rPr>
        <w:t>1</w:t>
      </w:r>
      <w:r>
        <w:rPr>
          <w:rFonts w:hint="eastAsia" w:ascii="楷体_GB2312" w:eastAsia="楷体_GB2312"/>
          <w:sz w:val="28"/>
        </w:rPr>
        <w:t>8.《财政部 国家税务总局关于全面推开营业税改征增值税试点的通知》 (财税〔2016〕36号，自</w:t>
      </w:r>
      <w:r>
        <w:rPr>
          <w:rFonts w:ascii="楷体_GB2312" w:hAnsi="宋体" w:eastAsia="楷体_GB2312"/>
          <w:sz w:val="28"/>
        </w:rPr>
        <w:t>2016年5月1日起施行</w:t>
      </w:r>
      <w:r>
        <w:rPr>
          <w:rFonts w:hint="eastAsia" w:ascii="楷体_GB2312" w:eastAsia="楷体_GB2312"/>
          <w:sz w:val="28"/>
        </w:rPr>
        <w:t>)；</w:t>
      </w:r>
    </w:p>
    <w:p>
      <w:pPr>
        <w:tabs>
          <w:tab w:val="left" w:pos="735"/>
        </w:tabs>
        <w:adjustRightInd w:val="0"/>
        <w:snapToGrid w:val="0"/>
        <w:spacing w:line="480" w:lineRule="exact"/>
        <w:ind w:firstLine="560" w:firstLineChars="200"/>
        <w:rPr>
          <w:rFonts w:ascii="楷体_GB2312" w:eastAsia="楷体_GB2312"/>
          <w:sz w:val="28"/>
        </w:rPr>
      </w:pPr>
      <w:r>
        <w:rPr>
          <w:rFonts w:hint="eastAsia" w:ascii="楷体_GB2312" w:eastAsia="楷体_GB2312"/>
          <w:sz w:val="28"/>
        </w:rPr>
        <w:t>19</w:t>
      </w:r>
      <w:r>
        <w:rPr>
          <w:rFonts w:ascii="楷体_GB2312" w:eastAsia="楷体_GB2312"/>
          <w:sz w:val="28"/>
        </w:rPr>
        <w:t>.</w:t>
      </w:r>
      <w:r>
        <w:rPr>
          <w:rFonts w:hint="eastAsia" w:ascii="楷体_GB2312" w:eastAsia="楷体_GB2312"/>
          <w:sz w:val="28"/>
        </w:rPr>
        <w:t>关于印发《涉执房地产处置司法评估指导意见（试行）的通知》（中房学</w:t>
      </w:r>
      <w:r>
        <w:rPr>
          <w:rFonts w:ascii="楷体_GB2312" w:eastAsia="楷体_GB2312"/>
          <w:sz w:val="28"/>
        </w:rPr>
        <w:t xml:space="preserve"> [2021]37</w:t>
      </w:r>
      <w:r>
        <w:rPr>
          <w:rFonts w:hint="eastAsia" w:ascii="楷体_GB2312" w:eastAsia="楷体_GB2312"/>
          <w:sz w:val="28"/>
        </w:rPr>
        <w:t>号）</w:t>
      </w:r>
    </w:p>
    <w:p>
      <w:pPr>
        <w:tabs>
          <w:tab w:val="left" w:pos="735"/>
        </w:tabs>
        <w:adjustRightInd w:val="0"/>
        <w:snapToGrid w:val="0"/>
        <w:spacing w:line="480" w:lineRule="exact"/>
        <w:ind w:firstLine="560" w:firstLineChars="200"/>
        <w:rPr>
          <w:rFonts w:ascii="楷体_GB2312" w:eastAsia="楷体_GB2312"/>
          <w:sz w:val="28"/>
        </w:rPr>
      </w:pPr>
      <w:r>
        <w:rPr>
          <w:rFonts w:ascii="楷体_GB2312" w:eastAsia="楷体_GB2312"/>
          <w:sz w:val="28"/>
        </w:rPr>
        <w:t>2</w:t>
      </w:r>
      <w:r>
        <w:rPr>
          <w:rFonts w:hint="eastAsia" w:ascii="楷体_GB2312" w:eastAsia="楷体_GB2312"/>
          <w:sz w:val="28"/>
        </w:rPr>
        <w:t>0</w:t>
      </w:r>
      <w:r>
        <w:rPr>
          <w:rFonts w:ascii="楷体_GB2312" w:eastAsia="楷体_GB2312"/>
          <w:sz w:val="28"/>
        </w:rPr>
        <w:t>.</w:t>
      </w:r>
      <w:r>
        <w:rPr>
          <w:rFonts w:hint="eastAsia" w:ascii="楷体_GB2312" w:eastAsia="楷体_GB2312"/>
          <w:sz w:val="28"/>
        </w:rPr>
        <w:t xml:space="preserve"> 《最高人民法院关于人民法院确定财产处置参考价若干问题的规定》（法释[2018]15号）</w:t>
      </w:r>
    </w:p>
    <w:p>
      <w:pPr>
        <w:tabs>
          <w:tab w:val="left" w:pos="735"/>
        </w:tabs>
        <w:adjustRightInd w:val="0"/>
        <w:snapToGrid w:val="0"/>
        <w:spacing w:line="480" w:lineRule="exact"/>
        <w:ind w:firstLine="560" w:firstLineChars="200"/>
        <w:rPr>
          <w:rFonts w:ascii="楷体_GB2312" w:eastAsia="楷体_GB2312"/>
          <w:sz w:val="28"/>
        </w:rPr>
      </w:pPr>
      <w:r>
        <w:rPr>
          <w:rFonts w:ascii="楷体_GB2312" w:eastAsia="楷体_GB2312"/>
          <w:sz w:val="28"/>
        </w:rPr>
        <w:t>2</w:t>
      </w:r>
      <w:r>
        <w:rPr>
          <w:rFonts w:hint="eastAsia" w:ascii="楷体_GB2312" w:eastAsia="楷体_GB2312"/>
          <w:sz w:val="28"/>
        </w:rPr>
        <w:t>1</w:t>
      </w:r>
      <w:r>
        <w:rPr>
          <w:rFonts w:ascii="楷体_GB2312" w:eastAsia="楷体_GB2312"/>
          <w:sz w:val="28"/>
        </w:rPr>
        <w:t>.</w:t>
      </w:r>
      <w:r>
        <w:rPr>
          <w:rFonts w:hint="eastAsia" w:ascii="楷体_GB2312" w:eastAsia="楷体_GB2312"/>
          <w:sz w:val="28"/>
        </w:rPr>
        <w:t>《人民法院委托评估工作规范》（法办【2018】273号）</w:t>
      </w:r>
    </w:p>
    <w:bookmarkEnd w:id="25"/>
    <w:p>
      <w:pPr>
        <w:tabs>
          <w:tab w:val="left" w:pos="735"/>
        </w:tabs>
        <w:adjustRightInd w:val="0"/>
        <w:snapToGrid w:val="0"/>
        <w:spacing w:line="480" w:lineRule="exact"/>
        <w:ind w:firstLine="560" w:firstLineChars="200"/>
        <w:rPr>
          <w:rFonts w:ascii="楷体_GB2312" w:eastAsia="楷体_GB2312"/>
          <w:sz w:val="28"/>
        </w:rPr>
      </w:pPr>
      <w:r>
        <w:rPr>
          <w:rFonts w:ascii="楷体_GB2312" w:hAnsi="仿宋" w:eastAsia="楷体_GB2312"/>
          <w:sz w:val="28"/>
        </w:rPr>
        <w:t>2</w:t>
      </w:r>
      <w:r>
        <w:rPr>
          <w:rFonts w:hint="eastAsia" w:ascii="楷体_GB2312" w:hAnsi="仿宋" w:eastAsia="楷体_GB2312"/>
          <w:sz w:val="28"/>
        </w:rPr>
        <w:t>2</w:t>
      </w:r>
      <w:r>
        <w:rPr>
          <w:rFonts w:ascii="楷体_GB2312" w:hAnsi="仿宋" w:eastAsia="楷体_GB2312"/>
          <w:sz w:val="28"/>
        </w:rPr>
        <w:t>.</w:t>
      </w:r>
      <w:r>
        <w:rPr>
          <w:rFonts w:hint="eastAsia" w:ascii="楷体_GB2312" w:eastAsia="楷体_GB2312"/>
          <w:sz w:val="28"/>
        </w:rPr>
        <w:t>贵州省人民政府、龙里县人民政府及相关部门颁布的其他有关政策、规定、实施办法、通知文件等。</w:t>
      </w:r>
    </w:p>
    <w:p>
      <w:pPr>
        <w:pStyle w:val="4"/>
        <w:adjustRightInd w:val="0"/>
        <w:snapToGrid w:val="0"/>
        <w:spacing w:line="440" w:lineRule="exact"/>
        <w:ind w:firstLine="284"/>
        <w:rPr>
          <w:rFonts w:ascii="楷体_GB2312"/>
        </w:rPr>
      </w:pPr>
      <w:r>
        <w:rPr>
          <w:rFonts w:ascii="楷体_GB2312"/>
        </w:rPr>
        <w:t xml:space="preserve"> (</w:t>
      </w:r>
      <w:r>
        <w:rPr>
          <w:rFonts w:hint="eastAsia" w:ascii="楷体_GB2312"/>
        </w:rPr>
        <w:t>二</w:t>
      </w:r>
      <w:r>
        <w:rPr>
          <w:rFonts w:ascii="楷体_GB2312"/>
        </w:rPr>
        <w:t xml:space="preserve">) </w:t>
      </w:r>
      <w:r>
        <w:rPr>
          <w:rFonts w:hint="eastAsia" w:ascii="楷体_GB2312"/>
        </w:rPr>
        <w:t>采用的技术规程</w:t>
      </w:r>
    </w:p>
    <w:p>
      <w:pPr>
        <w:pStyle w:val="4"/>
        <w:adjustRightInd w:val="0"/>
        <w:snapToGrid w:val="0"/>
        <w:spacing w:line="440" w:lineRule="exact"/>
        <w:ind w:firstLine="560" w:firstLineChars="200"/>
        <w:rPr>
          <w:rFonts w:ascii="楷体_GB2312" w:hAnsi="宋体"/>
        </w:rPr>
      </w:pPr>
      <w:r>
        <w:rPr>
          <w:rFonts w:hint="eastAsia" w:ascii="楷体_GB2312" w:hAnsi="宋体"/>
        </w:rPr>
        <w:t>1.《房地产估价规范》（GB/T50291-2015,2015年12月1日起实施）；</w:t>
      </w:r>
    </w:p>
    <w:p>
      <w:pPr>
        <w:pStyle w:val="4"/>
        <w:adjustRightInd w:val="0"/>
        <w:snapToGrid w:val="0"/>
        <w:spacing w:line="440" w:lineRule="exact"/>
        <w:ind w:firstLine="560" w:firstLineChars="200"/>
        <w:rPr>
          <w:rFonts w:ascii="楷体_GB2312" w:hAnsi="宋体"/>
        </w:rPr>
      </w:pPr>
      <w:r>
        <w:rPr>
          <w:rFonts w:hint="eastAsia" w:ascii="楷体_GB2312" w:hAnsi="宋体"/>
        </w:rPr>
        <w:t>2.《房地产估价基本术语标准》（GB/T50899-2013，2014年12月1日起实施）；</w:t>
      </w:r>
    </w:p>
    <w:p>
      <w:pPr>
        <w:pStyle w:val="4"/>
        <w:adjustRightInd w:val="0"/>
        <w:snapToGrid w:val="0"/>
        <w:spacing w:line="440" w:lineRule="exact"/>
        <w:ind w:firstLine="560" w:firstLineChars="200"/>
        <w:rPr>
          <w:rFonts w:ascii="楷体_GB2312" w:hAnsi="宋体"/>
        </w:rPr>
      </w:pPr>
      <w:r>
        <w:rPr>
          <w:rFonts w:hint="eastAsia" w:ascii="楷体_GB2312" w:hAnsi="宋体"/>
        </w:rPr>
        <w:t>3.《城镇土地估价规程》（GB/T18508-2014,2014年12月1日起实施）；</w:t>
      </w:r>
    </w:p>
    <w:p>
      <w:pPr>
        <w:pStyle w:val="4"/>
        <w:adjustRightInd w:val="0"/>
        <w:snapToGrid w:val="0"/>
        <w:spacing w:line="440" w:lineRule="exact"/>
        <w:ind w:firstLine="560" w:firstLineChars="200"/>
        <w:rPr>
          <w:rFonts w:ascii="楷体_GB2312" w:hAnsi="宋体"/>
        </w:rPr>
      </w:pPr>
      <w:r>
        <w:rPr>
          <w:rFonts w:ascii="楷体_GB2312"/>
        </w:rPr>
        <w:t xml:space="preserve"> (</w:t>
      </w:r>
      <w:r>
        <w:rPr>
          <w:rFonts w:hint="eastAsia" w:ascii="楷体_GB2312" w:hAnsi="宋体"/>
        </w:rPr>
        <w:t>三</w:t>
      </w:r>
      <w:r>
        <w:rPr>
          <w:rFonts w:ascii="楷体_GB2312" w:hAnsi="宋体"/>
        </w:rPr>
        <w:t xml:space="preserve">) </w:t>
      </w:r>
      <w:r>
        <w:rPr>
          <w:rFonts w:hint="eastAsia" w:ascii="楷体_GB2312" w:hAnsi="宋体"/>
        </w:rPr>
        <w:t>估价委托人提供的估价对象有关资料</w:t>
      </w:r>
    </w:p>
    <w:p>
      <w:pPr>
        <w:pStyle w:val="4"/>
        <w:adjustRightInd w:val="0"/>
        <w:snapToGrid w:val="0"/>
        <w:spacing w:line="440" w:lineRule="exact"/>
        <w:ind w:firstLine="560" w:firstLineChars="200"/>
        <w:rPr>
          <w:rFonts w:ascii="楷体_GB2312" w:hAnsi="宋体"/>
        </w:rPr>
      </w:pPr>
      <w:r>
        <w:rPr>
          <w:rFonts w:ascii="楷体_GB2312" w:hAnsi="宋体"/>
        </w:rPr>
        <w:t>1.</w:t>
      </w:r>
      <w:r>
        <w:rPr>
          <w:rFonts w:hint="eastAsia" w:ascii="楷体_GB2312" w:hAnsi="宋体"/>
        </w:rPr>
        <w:t>《贵州省龙里县人民法院委托书》</w:t>
      </w:r>
      <w:r>
        <w:rPr>
          <w:rFonts w:ascii="楷体_GB2312" w:hAnsi="宋体"/>
        </w:rPr>
        <w:t>[</w:t>
      </w:r>
      <w:r>
        <w:rPr>
          <w:rFonts w:hint="eastAsia" w:ascii="楷体_GB2312" w:hAnsi="宋体"/>
        </w:rPr>
        <w:t>（2022）黔2730执恢26号</w:t>
      </w:r>
      <w:r>
        <w:rPr>
          <w:rFonts w:ascii="楷体_GB2312" w:hAnsi="宋体"/>
        </w:rPr>
        <w:t>]</w:t>
      </w:r>
    </w:p>
    <w:p>
      <w:pPr>
        <w:pStyle w:val="4"/>
        <w:adjustRightInd w:val="0"/>
        <w:snapToGrid w:val="0"/>
        <w:spacing w:line="440" w:lineRule="exact"/>
        <w:ind w:firstLine="560" w:firstLineChars="200"/>
        <w:rPr>
          <w:rFonts w:ascii="楷体_GB2312" w:hAnsi="宋体"/>
        </w:rPr>
      </w:pPr>
      <w:r>
        <w:rPr>
          <w:rFonts w:ascii="楷体_GB2312" w:hAnsi="宋体"/>
        </w:rPr>
        <w:t>2.</w:t>
      </w:r>
      <w:r>
        <w:rPr>
          <w:rFonts w:hint="eastAsia" w:ascii="楷体_GB2312" w:hAnsi="宋体"/>
        </w:rPr>
        <w:t>《国有土地使用证》（龙国用（2000）字第035号）复印件</w:t>
      </w:r>
    </w:p>
    <w:p>
      <w:pPr>
        <w:pStyle w:val="4"/>
        <w:adjustRightInd w:val="0"/>
        <w:snapToGrid w:val="0"/>
        <w:spacing w:line="440" w:lineRule="exact"/>
        <w:ind w:firstLine="560" w:firstLineChars="200"/>
        <w:rPr>
          <w:rFonts w:ascii="楷体_GB2312" w:hAnsi="宋体"/>
        </w:rPr>
      </w:pPr>
      <w:r>
        <w:rPr>
          <w:rFonts w:hint="eastAsia" w:ascii="楷体_GB2312" w:hAnsi="宋体"/>
        </w:rPr>
        <w:t>3</w:t>
      </w:r>
      <w:r>
        <w:rPr>
          <w:rFonts w:ascii="楷体_GB2312" w:hAnsi="宋体"/>
        </w:rPr>
        <w:t>.</w:t>
      </w:r>
      <w:r>
        <w:rPr>
          <w:rFonts w:hint="eastAsia" w:ascii="楷体_GB2312" w:hAnsi="宋体"/>
        </w:rPr>
        <w:t>《房屋所有权证》（龙房权证龙山镇字第05071902号、龙房权证龙山镇字第05071903号、龙房权证龙山镇字第05071904号）复印件</w:t>
      </w:r>
    </w:p>
    <w:p>
      <w:pPr>
        <w:pStyle w:val="4"/>
        <w:adjustRightInd w:val="0"/>
        <w:snapToGrid w:val="0"/>
        <w:spacing w:line="440" w:lineRule="exact"/>
        <w:ind w:firstLine="560" w:firstLineChars="200"/>
        <w:rPr>
          <w:rFonts w:ascii="楷体_GB2312" w:hAnsi="宋体"/>
        </w:rPr>
      </w:pPr>
      <w:r>
        <w:rPr>
          <w:rFonts w:ascii="楷体_GB2312" w:hAnsi="宋体"/>
        </w:rPr>
        <w:t>4.</w:t>
      </w:r>
      <w:r>
        <w:rPr>
          <w:rFonts w:hint="eastAsia" w:ascii="楷体_GB2312" w:hAnsi="宋体"/>
        </w:rPr>
        <w:t>《不动产登记证明》（黔（2019）龙里县不动产证明第0022668号、黔（2018）龙里县不动产证明第0010457号）复印件</w:t>
      </w:r>
    </w:p>
    <w:bookmarkEnd w:id="23"/>
    <w:p>
      <w:pPr>
        <w:pStyle w:val="4"/>
        <w:adjustRightInd w:val="0"/>
        <w:snapToGrid w:val="0"/>
        <w:spacing w:line="440" w:lineRule="exact"/>
        <w:ind w:firstLine="560" w:firstLineChars="200"/>
        <w:rPr>
          <w:rFonts w:ascii="楷体_GB2312" w:hAnsi="宋体"/>
        </w:rPr>
      </w:pPr>
      <w:r>
        <w:rPr>
          <w:rFonts w:hint="eastAsia" w:ascii="楷体_GB2312" w:hAnsi="宋体"/>
        </w:rPr>
        <w:t xml:space="preserve"> (四) 估价师掌握和收集的资料；</w:t>
      </w:r>
    </w:p>
    <w:p>
      <w:pPr>
        <w:pStyle w:val="4"/>
        <w:adjustRightInd w:val="0"/>
        <w:snapToGrid w:val="0"/>
        <w:spacing w:line="440" w:lineRule="exact"/>
        <w:ind w:firstLine="560" w:firstLineChars="200"/>
        <w:rPr>
          <w:rFonts w:ascii="楷体_GB2312" w:hAnsi="宋体"/>
        </w:rPr>
      </w:pPr>
      <w:r>
        <w:rPr>
          <w:rFonts w:hint="eastAsia" w:ascii="楷体_GB2312" w:hAnsi="宋体"/>
        </w:rPr>
        <w:t>1.估价对象权利状况调查资料；</w:t>
      </w:r>
    </w:p>
    <w:p>
      <w:pPr>
        <w:pStyle w:val="4"/>
        <w:adjustRightInd w:val="0"/>
        <w:snapToGrid w:val="0"/>
        <w:spacing w:line="440" w:lineRule="exact"/>
        <w:ind w:firstLine="560" w:firstLineChars="200"/>
        <w:rPr>
          <w:rFonts w:ascii="楷体_GB2312" w:hAnsi="宋体"/>
        </w:rPr>
      </w:pPr>
      <w:r>
        <w:rPr>
          <w:rFonts w:ascii="楷体_GB2312" w:hAnsi="宋体"/>
        </w:rPr>
        <w:t>2</w:t>
      </w:r>
      <w:r>
        <w:rPr>
          <w:rFonts w:hint="eastAsia" w:ascii="楷体_GB2312" w:hAnsi="宋体"/>
        </w:rPr>
        <w:t>.估价对象现状及周边环境照片；</w:t>
      </w:r>
    </w:p>
    <w:p>
      <w:pPr>
        <w:pStyle w:val="4"/>
        <w:adjustRightInd w:val="0"/>
        <w:snapToGrid w:val="0"/>
        <w:spacing w:line="440" w:lineRule="exact"/>
        <w:ind w:firstLine="560" w:firstLineChars="200"/>
        <w:rPr>
          <w:rFonts w:ascii="楷体_GB2312" w:hAnsi="宋体"/>
        </w:rPr>
      </w:pPr>
      <w:r>
        <w:rPr>
          <w:rFonts w:ascii="楷体_GB2312" w:hAnsi="宋体"/>
        </w:rPr>
        <w:t>3</w:t>
      </w:r>
      <w:r>
        <w:rPr>
          <w:rFonts w:hint="eastAsia" w:ascii="楷体_GB2312" w:hAnsi="宋体"/>
        </w:rPr>
        <w:t>.《估价对象实地查勘情况表》</w:t>
      </w:r>
    </w:p>
    <w:p>
      <w:pPr>
        <w:pStyle w:val="4"/>
        <w:adjustRightInd w:val="0"/>
        <w:snapToGrid w:val="0"/>
        <w:spacing w:line="440" w:lineRule="exact"/>
        <w:ind w:firstLine="560" w:firstLineChars="200"/>
        <w:rPr>
          <w:rFonts w:ascii="楷体_GB2312" w:hAnsi="宋体"/>
        </w:rPr>
      </w:pPr>
      <w:r>
        <w:rPr>
          <w:rFonts w:ascii="楷体_GB2312" w:hAnsi="宋体"/>
        </w:rPr>
        <w:t>4</w:t>
      </w:r>
      <w:r>
        <w:rPr>
          <w:rFonts w:hint="eastAsia" w:ascii="楷体_GB2312" w:hAnsi="宋体"/>
        </w:rPr>
        <w:t>.房地产估价机构及注册房地产估价师掌握的其他相关信息资料</w:t>
      </w:r>
    </w:p>
    <w:p>
      <w:pPr>
        <w:pStyle w:val="4"/>
        <w:adjustRightInd w:val="0"/>
        <w:snapToGrid w:val="0"/>
        <w:spacing w:line="420" w:lineRule="exact"/>
        <w:ind w:firstLine="560" w:firstLineChars="200"/>
        <w:rPr>
          <w:rFonts w:ascii="楷体_GB2312" w:hAnsi="宋体"/>
        </w:rPr>
      </w:pPr>
    </w:p>
    <w:p>
      <w:pPr>
        <w:pStyle w:val="3"/>
        <w:spacing w:line="440" w:lineRule="exact"/>
        <w:ind w:firstLine="562" w:firstLineChars="200"/>
        <w:jc w:val="left"/>
        <w:rPr>
          <w:sz w:val="28"/>
          <w:szCs w:val="28"/>
        </w:rPr>
      </w:pPr>
      <w:bookmarkStart w:id="26" w:name="_Toc89182848"/>
      <w:r>
        <w:rPr>
          <w:rFonts w:hint="eastAsia"/>
          <w:sz w:val="28"/>
          <w:szCs w:val="28"/>
        </w:rPr>
        <w:t>九、估价方法</w:t>
      </w:r>
      <w:bookmarkEnd w:id="24"/>
      <w:bookmarkEnd w:id="26"/>
    </w:p>
    <w:p>
      <w:pPr>
        <w:spacing w:line="480" w:lineRule="exact"/>
        <w:rPr>
          <w:b/>
        </w:rPr>
      </w:pPr>
      <w:r>
        <w:rPr>
          <w:rFonts w:hint="eastAsia" w:ascii="楷体_GB2312" w:eastAsia="楷体_GB2312"/>
          <w:b/>
          <w:sz w:val="28"/>
        </w:rPr>
        <w:t xml:space="preserve">  （一）估价方法的定义及选用原则</w:t>
      </w:r>
    </w:p>
    <w:p>
      <w:pPr>
        <w:spacing w:line="480" w:lineRule="exact"/>
        <w:ind w:firstLine="560" w:firstLineChars="200"/>
        <w:rPr>
          <w:rFonts w:ascii="楷体_GB2312" w:eastAsia="楷体_GB2312"/>
          <w:sz w:val="28"/>
        </w:rPr>
      </w:pPr>
      <w:r>
        <w:rPr>
          <w:rFonts w:hint="eastAsia" w:ascii="楷体_GB2312" w:eastAsia="楷体_GB2312"/>
          <w:sz w:val="28"/>
        </w:rPr>
        <w:t>根据《房地产估价规范》（GB/T50291-2015）及《房地产估价基本术语标准》（GB/T50899-2013），房地产估价的基本方法有比较法、收益法、成本法、假设开发法等，评估过程中应根据估价对象的实际情况选择适合的估价方法。</w:t>
      </w:r>
    </w:p>
    <w:p>
      <w:pPr>
        <w:spacing w:line="480" w:lineRule="exact"/>
        <w:ind w:firstLine="560" w:firstLineChars="200"/>
        <w:rPr>
          <w:rFonts w:ascii="楷体_GB2312" w:eastAsia="楷体_GB2312"/>
          <w:sz w:val="28"/>
        </w:rPr>
      </w:pPr>
      <w:r>
        <w:rPr>
          <w:rFonts w:hint="eastAsia" w:ascii="楷体_GB2312" w:eastAsia="楷体_GB2312"/>
          <w:sz w:val="28"/>
        </w:rPr>
        <w:t>1.比较法：选取一定数量的可比实例，将他们与估价对象进行比较，根据期间的差异对可比实例成交价格进行处理后得到估价对象价值或价格的方法。</w:t>
      </w:r>
    </w:p>
    <w:p>
      <w:pPr>
        <w:spacing w:line="480" w:lineRule="exact"/>
        <w:ind w:firstLine="560" w:firstLineChars="200"/>
        <w:rPr>
          <w:rFonts w:ascii="楷体_GB2312" w:eastAsia="楷体_GB2312"/>
          <w:sz w:val="28"/>
        </w:rPr>
      </w:pPr>
      <w:r>
        <w:rPr>
          <w:rFonts w:hint="eastAsia" w:ascii="楷体_GB2312" w:eastAsia="楷体_GB2312"/>
          <w:sz w:val="28"/>
        </w:rPr>
        <w:t>2.收益法：预测估价对象的未来收益，利用报酬率或者资本化率、收益乘数将未来收益转换为价值得到估价对象价值或价格的方法。</w:t>
      </w:r>
    </w:p>
    <w:p>
      <w:pPr>
        <w:spacing w:line="480" w:lineRule="exact"/>
        <w:ind w:firstLine="560" w:firstLineChars="200"/>
        <w:rPr>
          <w:rFonts w:ascii="楷体_GB2312" w:eastAsia="楷体_GB2312"/>
          <w:sz w:val="28"/>
        </w:rPr>
      </w:pPr>
      <w:r>
        <w:rPr>
          <w:rFonts w:hint="eastAsia" w:ascii="楷体_GB2312" w:eastAsia="楷体_GB2312"/>
          <w:sz w:val="28"/>
        </w:rPr>
        <w:t>3.成本法：测算估价对象在价值时点的重置成本或重建成本和折旧，将重置成本或重建成本减去折旧得到估价对象价值或价格的方法。</w:t>
      </w:r>
    </w:p>
    <w:p>
      <w:pPr>
        <w:spacing w:line="480" w:lineRule="exact"/>
        <w:ind w:firstLine="560" w:firstLineChars="200"/>
        <w:rPr>
          <w:rFonts w:ascii="楷体_GB2312" w:eastAsia="楷体_GB2312"/>
          <w:sz w:val="28"/>
        </w:rPr>
      </w:pPr>
      <w:r>
        <w:rPr>
          <w:rFonts w:hint="eastAsia" w:ascii="楷体_GB2312" w:eastAsia="楷体_GB2312"/>
          <w:sz w:val="28"/>
        </w:rPr>
        <w:t>4.假设开发法：求得估价对象后续开发的必要支出及折现率或后续开发的必要支出及应得利润和开发完成后的价值，将开发完成的价值和后续开发的必要支出折现到价值时点后相减，或将开发完成后的价值减去后续开发的必要支出及应得利润得到估价对象价值或价格的方法。</w:t>
      </w:r>
    </w:p>
    <w:p>
      <w:pPr>
        <w:spacing w:line="480" w:lineRule="exact"/>
        <w:ind w:firstLine="560" w:firstLineChars="200"/>
        <w:rPr>
          <w:rFonts w:ascii="楷体_GB2312" w:eastAsia="楷体_GB2312"/>
          <w:sz w:val="28"/>
        </w:rPr>
      </w:pPr>
      <w:r>
        <w:rPr>
          <w:rFonts w:hint="eastAsia" w:ascii="楷体_GB2312" w:eastAsia="楷体_GB2312"/>
          <w:sz w:val="28"/>
        </w:rPr>
        <w:t xml:space="preserve">有条件选用比较法进行估价的，应以比较法作为主要估价方法；收益性房地产的估价，应选用收益法作为其中的一种估价方法；具有投资开发或再开发潜力的房地产的估价，应选用假设开发法作为其中的一种估价方法；在无市场依据或市场依据不充分而不宜采用市场法、收益法、假设开发法进行估价的情况下，可采用成本法作为主要的估价方法。 </w:t>
      </w:r>
      <w:r>
        <w:rPr>
          <w:rFonts w:ascii="楷体_GB2312" w:eastAsia="楷体_GB2312"/>
          <w:sz w:val="28"/>
        </w:rPr>
        <w:t xml:space="preserve"> </w:t>
      </w:r>
    </w:p>
    <w:p>
      <w:pPr>
        <w:spacing w:line="480" w:lineRule="exact"/>
        <w:ind w:firstLine="562" w:firstLineChars="200"/>
        <w:rPr>
          <w:rFonts w:ascii="楷体_GB2312" w:eastAsia="楷体_GB2312"/>
          <w:b/>
          <w:sz w:val="28"/>
        </w:rPr>
      </w:pPr>
      <w:r>
        <w:rPr>
          <w:rFonts w:hint="eastAsia" w:ascii="楷体_GB2312" w:eastAsia="楷体_GB2312"/>
          <w:b/>
          <w:sz w:val="28"/>
        </w:rPr>
        <w:t>（二）本次估价方法的选择</w:t>
      </w:r>
    </w:p>
    <w:p>
      <w:pPr>
        <w:spacing w:line="480" w:lineRule="exact"/>
        <w:ind w:firstLine="560" w:firstLineChars="200"/>
        <w:rPr>
          <w:rFonts w:ascii="楷体_GB2312" w:eastAsia="楷体_GB2312"/>
          <w:sz w:val="28"/>
        </w:rPr>
      </w:pPr>
      <w:r>
        <w:rPr>
          <w:rFonts w:hint="eastAsia" w:ascii="楷体_GB2312" w:eastAsia="楷体_GB2312"/>
          <w:sz w:val="28"/>
        </w:rPr>
        <w:t>注册房地产估价师深入细致地分析了估价对象的特点和实际状况，并认真分析估价委托人提供的资料及注册房地产估价师掌握的资料，结合实地查勘和市场调查的结果，遵照《房地产估价规范》(GB/T50291-2015)，在选用项目的估价方法时，主要做了以下考虑：</w:t>
      </w:r>
    </w:p>
    <w:p>
      <w:pPr>
        <w:spacing w:line="480" w:lineRule="exact"/>
        <w:ind w:firstLine="560"/>
        <w:rPr>
          <w:rFonts w:ascii="楷体_GB2312" w:eastAsia="楷体_GB2312"/>
          <w:b/>
          <w:sz w:val="28"/>
          <w:szCs w:val="28"/>
        </w:rPr>
      </w:pPr>
      <w:r>
        <w:rPr>
          <w:rFonts w:hint="eastAsia" w:ascii="楷体_GB2312" w:eastAsia="楷体_GB2312"/>
          <w:b/>
          <w:sz w:val="28"/>
          <w:szCs w:val="28"/>
        </w:rPr>
        <w:t>1.不选</w:t>
      </w:r>
      <w:r>
        <w:rPr>
          <w:rFonts w:ascii="楷体_GB2312" w:eastAsia="楷体_GB2312"/>
          <w:b/>
          <w:sz w:val="28"/>
          <w:szCs w:val="28"/>
        </w:rPr>
        <w:t>用方法</w:t>
      </w:r>
      <w:r>
        <w:rPr>
          <w:rFonts w:hint="eastAsia" w:ascii="楷体_GB2312" w:eastAsia="楷体_GB2312"/>
          <w:b/>
          <w:sz w:val="28"/>
          <w:szCs w:val="28"/>
        </w:rPr>
        <w:t>的理由</w:t>
      </w:r>
    </w:p>
    <w:p>
      <w:pPr>
        <w:adjustRightInd w:val="0"/>
        <w:snapToGrid w:val="0"/>
        <w:spacing w:line="480" w:lineRule="exact"/>
        <w:ind w:firstLine="540"/>
        <w:rPr>
          <w:rFonts w:ascii="楷体_GB2312" w:eastAsia="楷体_GB2312"/>
          <w:sz w:val="28"/>
        </w:rPr>
      </w:pPr>
      <w:r>
        <w:rPr>
          <w:rFonts w:hint="eastAsia" w:ascii="楷体_GB2312" w:eastAsia="楷体_GB2312"/>
          <w:sz w:val="28"/>
          <w:szCs w:val="28"/>
        </w:rPr>
        <w:t>⑴</w:t>
      </w:r>
      <w:r>
        <w:rPr>
          <w:rFonts w:hint="eastAsia" w:ascii="楷体_GB2312" w:eastAsia="楷体_GB2312"/>
          <w:sz w:val="28"/>
        </w:rPr>
        <w:t>具有投资开发或再开发潜力的房地产的估价，应选用假设开发法作为其中的一种估价方法。由于估价对象为已建成的房地产，不具有投资开发或再开发潜力，故不适用假设开发法。</w:t>
      </w:r>
    </w:p>
    <w:p>
      <w:pPr>
        <w:adjustRightInd w:val="0"/>
        <w:snapToGrid w:val="0"/>
        <w:spacing w:line="480" w:lineRule="exact"/>
        <w:ind w:firstLine="540"/>
        <w:rPr>
          <w:rFonts w:ascii="楷体_GB2312" w:eastAsia="楷体_GB2312"/>
          <w:sz w:val="28"/>
        </w:rPr>
      </w:pPr>
      <w:r>
        <w:rPr>
          <w:rFonts w:hint="eastAsia" w:ascii="楷体_GB2312" w:eastAsia="楷体_GB2312"/>
          <w:sz w:val="28"/>
          <w:szCs w:val="28"/>
        </w:rPr>
        <w:t>⑵</w:t>
      </w:r>
      <w:r>
        <w:rPr>
          <w:rFonts w:hint="eastAsia" w:ascii="楷体_GB2312" w:eastAsia="楷体_GB2312"/>
          <w:sz w:val="28"/>
        </w:rPr>
        <w:t>由于估价对象为商业房地产及住宅房地产，非新近开发建设或计划开发建设的房地产，也非无收益和很少发生交易的房地产，也非具有独特设计或针对个别用户的特殊需要而建设的房地产，故不宜采用成本法进行评估。</w:t>
      </w:r>
    </w:p>
    <w:p>
      <w:pPr>
        <w:spacing w:line="480" w:lineRule="exact"/>
        <w:ind w:firstLine="560"/>
        <w:rPr>
          <w:rFonts w:ascii="楷体_GB2312" w:eastAsia="楷体_GB2312"/>
          <w:b/>
          <w:sz w:val="28"/>
          <w:szCs w:val="28"/>
        </w:rPr>
      </w:pPr>
      <w:r>
        <w:rPr>
          <w:rFonts w:hint="eastAsia" w:ascii="楷体_GB2312" w:eastAsia="楷体_GB2312"/>
          <w:b/>
          <w:sz w:val="28"/>
        </w:rPr>
        <w:t>2.选</w:t>
      </w:r>
      <w:r>
        <w:rPr>
          <w:rFonts w:ascii="楷体_GB2312" w:eastAsia="楷体_GB2312"/>
          <w:b/>
          <w:sz w:val="28"/>
        </w:rPr>
        <w:t>用方法</w:t>
      </w:r>
      <w:r>
        <w:rPr>
          <w:rFonts w:hint="eastAsia" w:ascii="楷体_GB2312" w:eastAsia="楷体_GB2312"/>
          <w:b/>
          <w:sz w:val="28"/>
          <w:szCs w:val="28"/>
        </w:rPr>
        <w:t>的理由</w:t>
      </w:r>
    </w:p>
    <w:p>
      <w:pPr>
        <w:adjustRightInd w:val="0"/>
        <w:snapToGrid w:val="0"/>
        <w:spacing w:line="480" w:lineRule="exact"/>
        <w:ind w:firstLine="540"/>
        <w:rPr>
          <w:rFonts w:ascii="楷体_GB2312" w:eastAsia="楷体_GB2312"/>
          <w:sz w:val="28"/>
        </w:rPr>
      </w:pPr>
      <w:r>
        <w:rPr>
          <w:rFonts w:hint="eastAsia" w:ascii="楷体_GB2312" w:eastAsia="楷体_GB2312"/>
          <w:sz w:val="28"/>
          <w:szCs w:val="28"/>
        </w:rPr>
        <w:t>⑴有条件选用比较法进行估价的，应以比较法作为主要估价方法。</w:t>
      </w:r>
      <w:r>
        <w:rPr>
          <w:rFonts w:hint="eastAsia" w:ascii="楷体_GB2312" w:eastAsia="楷体_GB2312"/>
          <w:sz w:val="28"/>
        </w:rPr>
        <w:t>由于与估价对象同一供求范围内并在价值时点的近期，存在较多类似房地产的交易，因此适宜选用比较法对商业房地产及住宅房地产进行评估；</w:t>
      </w:r>
    </w:p>
    <w:p>
      <w:pPr>
        <w:adjustRightInd w:val="0"/>
        <w:snapToGrid w:val="0"/>
        <w:spacing w:line="480" w:lineRule="exact"/>
        <w:ind w:firstLine="540"/>
        <w:rPr>
          <w:rFonts w:ascii="楷体_GB2312" w:eastAsia="楷体_GB2312"/>
          <w:sz w:val="28"/>
        </w:rPr>
      </w:pPr>
      <w:r>
        <w:rPr>
          <w:rFonts w:hint="eastAsia" w:ascii="楷体_GB2312" w:eastAsia="楷体_GB2312"/>
          <w:sz w:val="28"/>
          <w:szCs w:val="28"/>
        </w:rPr>
        <w:t>⑵收益性房地产的估价，应选用收益法作为其中的一种估价方法。</w:t>
      </w:r>
      <w:r>
        <w:rPr>
          <w:rFonts w:hint="eastAsia" w:ascii="楷体_GB2312" w:eastAsia="楷体_GB2312"/>
          <w:sz w:val="28"/>
        </w:rPr>
        <w:t>由于估价对象类似房地产租赁较多，有现实收益，因此可用适当的资本化率，将其未来各年的净收益折算到价值时点上，计算出估价对象的收益价格，因此适宜选用收益法对估价对象进行评估。</w:t>
      </w:r>
    </w:p>
    <w:p>
      <w:pPr>
        <w:spacing w:line="480" w:lineRule="exact"/>
        <w:ind w:firstLine="560" w:firstLineChars="200"/>
        <w:rPr>
          <w:rFonts w:ascii="楷体_GB2312" w:eastAsia="楷体_GB2312"/>
          <w:sz w:val="28"/>
        </w:rPr>
      </w:pPr>
      <w:bookmarkStart w:id="27" w:name="_Toc334023567"/>
      <w:bookmarkStart w:id="28" w:name="_Toc322348940"/>
      <w:r>
        <w:rPr>
          <w:rFonts w:hint="eastAsia" w:ascii="楷体_GB2312" w:eastAsia="楷体_GB2312"/>
          <w:sz w:val="28"/>
          <w:szCs w:val="28"/>
        </w:rPr>
        <w:t>综上所述，本次估价对象为商业房地产及住宅房地产</w:t>
      </w:r>
      <w:r>
        <w:rPr>
          <w:rFonts w:hint="eastAsia" w:ascii="楷体_GB2312" w:eastAsia="楷体_GB2312"/>
          <w:sz w:val="28"/>
        </w:rPr>
        <w:t>，存在较多类似房地产的交易以及类似房地产租赁较多，有现实收益，可采用比较法和收益法作为估价对象估价方法。</w:t>
      </w:r>
    </w:p>
    <w:p>
      <w:pPr>
        <w:spacing w:line="480" w:lineRule="exact"/>
        <w:ind w:firstLine="560" w:firstLineChars="200"/>
        <w:rPr>
          <w:rFonts w:ascii="楷体_GB2312" w:eastAsia="楷体_GB2312"/>
          <w:sz w:val="28"/>
        </w:rPr>
      </w:pPr>
      <w:r>
        <w:rPr>
          <w:rFonts w:hint="eastAsia" w:ascii="楷体_GB2312" w:eastAsia="楷体_GB2312"/>
          <w:sz w:val="28"/>
          <w:szCs w:val="28"/>
        </w:rPr>
        <w:t>因此，对估价方法进行适用性分析后，</w:t>
      </w:r>
      <w:r>
        <w:rPr>
          <w:rFonts w:hint="eastAsia" w:ascii="楷体_GB2312" w:eastAsia="楷体_GB2312"/>
          <w:sz w:val="28"/>
        </w:rPr>
        <w:t>本次估价采用比较法和收益法对估价对象进行评估，将两种估价方法的估价结果分析综合后，得出估价对象最终评估价值。</w:t>
      </w:r>
    </w:p>
    <w:p>
      <w:pPr>
        <w:spacing w:line="480" w:lineRule="exact"/>
        <w:ind w:firstLine="562" w:firstLineChars="200"/>
        <w:rPr>
          <w:rFonts w:ascii="楷体_GB2312" w:eastAsia="楷体_GB2312"/>
          <w:b/>
          <w:sz w:val="28"/>
          <w:szCs w:val="28"/>
        </w:rPr>
      </w:pPr>
      <w:r>
        <w:rPr>
          <w:rFonts w:hint="eastAsia" w:ascii="楷体_GB2312" w:eastAsia="楷体_GB2312"/>
          <w:b/>
          <w:sz w:val="28"/>
          <w:szCs w:val="28"/>
        </w:rPr>
        <w:t>（三）估价技术路线</w:t>
      </w:r>
    </w:p>
    <w:p>
      <w:pPr>
        <w:snapToGrid w:val="0"/>
        <w:spacing w:line="480" w:lineRule="exact"/>
        <w:ind w:firstLine="539"/>
        <w:rPr>
          <w:rFonts w:ascii="楷体_GB2312" w:eastAsia="楷体_GB2312"/>
          <w:sz w:val="28"/>
        </w:rPr>
      </w:pPr>
      <w:r>
        <w:rPr>
          <w:rFonts w:hint="eastAsia" w:ascii="楷体_GB2312" w:eastAsia="楷体_GB2312"/>
          <w:sz w:val="28"/>
        </w:rPr>
        <w:t>1.选用比较法测算估价对象价格</w:t>
      </w:r>
    </w:p>
    <w:p>
      <w:pPr>
        <w:snapToGrid w:val="0"/>
        <w:spacing w:line="480" w:lineRule="exact"/>
        <w:ind w:firstLine="539"/>
        <w:rPr>
          <w:rFonts w:ascii="楷体_GB2312" w:eastAsia="楷体_GB2312"/>
          <w:sz w:val="28"/>
        </w:rPr>
      </w:pPr>
      <w:r>
        <w:rPr>
          <w:rFonts w:hint="eastAsia" w:ascii="楷体_GB2312" w:eastAsia="楷体_GB2312"/>
          <w:sz w:val="28"/>
          <w:szCs w:val="28"/>
        </w:rPr>
        <w:t>⑴</w:t>
      </w:r>
      <w:r>
        <w:rPr>
          <w:rFonts w:hint="eastAsia" w:ascii="楷体_GB2312" w:eastAsia="楷体_GB2312"/>
          <w:sz w:val="28"/>
        </w:rPr>
        <w:t>比较法计算公式如下：</w:t>
      </w:r>
    </w:p>
    <w:p>
      <w:pPr>
        <w:snapToGrid w:val="0"/>
        <w:spacing w:line="480" w:lineRule="exact"/>
        <w:ind w:firstLine="539"/>
        <w:rPr>
          <w:rFonts w:ascii="楷体_GB2312" w:eastAsia="楷体_GB2312"/>
          <w:sz w:val="28"/>
        </w:rPr>
      </w:pPr>
      <w:r>
        <w:rPr>
          <w:rFonts w:hint="eastAsia" w:ascii="楷体_GB2312" w:eastAsia="楷体_GB2312"/>
          <w:sz w:val="28"/>
        </w:rPr>
        <w:t>估价对象价格=可比实例价格×交易情况修正系数×市场状况（交易日期）调整系数×房地产状况调整系数</w:t>
      </w:r>
    </w:p>
    <w:p>
      <w:pPr>
        <w:snapToGrid w:val="0"/>
        <w:spacing w:line="480" w:lineRule="exact"/>
        <w:ind w:firstLine="539"/>
        <w:rPr>
          <w:rFonts w:ascii="楷体_GB2312" w:eastAsia="楷体_GB2312"/>
          <w:sz w:val="28"/>
        </w:rPr>
      </w:pPr>
      <w:r>
        <w:rPr>
          <w:rFonts w:hint="eastAsia" w:ascii="楷体_GB2312" w:eastAsia="楷体_GB2312"/>
          <w:sz w:val="28"/>
          <w:szCs w:val="28"/>
        </w:rPr>
        <w:t>⑵</w:t>
      </w:r>
      <w:r>
        <w:rPr>
          <w:rFonts w:hint="eastAsia" w:ascii="楷体_GB2312" w:eastAsia="楷体_GB2312"/>
          <w:sz w:val="28"/>
        </w:rPr>
        <w:t>比较法测算步骤：</w:t>
      </w:r>
    </w:p>
    <w:p>
      <w:pPr>
        <w:snapToGrid w:val="0"/>
        <w:spacing w:line="480" w:lineRule="exact"/>
        <w:ind w:firstLine="539"/>
        <w:rPr>
          <w:rFonts w:ascii="楷体_GB2312" w:eastAsia="楷体_GB2312"/>
          <w:sz w:val="28"/>
        </w:rPr>
      </w:pPr>
      <w:r>
        <w:rPr>
          <w:rFonts w:hint="eastAsia" w:ascii="楷体_GB2312" w:eastAsia="楷体_GB2312"/>
          <w:sz w:val="28"/>
        </w:rPr>
        <w:t>①搜集交易实例→②选取可比实例→③建立价格可比基础→④进行交易情况修正→⑤进行交易日期修正→⑥进行房地产状况修正→⑦求出比准价格</w:t>
      </w:r>
    </w:p>
    <w:p>
      <w:pPr>
        <w:snapToGrid w:val="0"/>
        <w:spacing w:line="480" w:lineRule="exact"/>
        <w:ind w:firstLine="540"/>
        <w:rPr>
          <w:rFonts w:ascii="楷体_GB2312" w:eastAsia="楷体_GB2312"/>
          <w:sz w:val="28"/>
        </w:rPr>
      </w:pPr>
      <w:r>
        <w:rPr>
          <w:rFonts w:hint="eastAsia" w:ascii="楷体_GB2312" w:eastAsia="楷体_GB2312"/>
          <w:sz w:val="28"/>
        </w:rPr>
        <w:t>2.选用收益法测算估价对象价格</w:t>
      </w:r>
    </w:p>
    <w:p>
      <w:pPr>
        <w:snapToGrid w:val="0"/>
        <w:spacing w:line="480" w:lineRule="exact"/>
        <w:ind w:firstLine="540"/>
        <w:rPr>
          <w:rFonts w:ascii="楷体_GB2312" w:eastAsia="楷体_GB2312"/>
          <w:sz w:val="28"/>
          <w:szCs w:val="28"/>
        </w:rPr>
      </w:pPr>
      <w:r>
        <w:rPr>
          <w:rFonts w:hint="eastAsia" w:ascii="楷体_GB2312" w:eastAsia="楷体_GB2312"/>
          <w:sz w:val="28"/>
          <w:szCs w:val="28"/>
        </w:rPr>
        <w:t>根据《房地产估价规范》(BT50291-2015)，估价对象或同类房地产通常有租金等经济收入的，应选用收益法。</w:t>
      </w:r>
      <w:r>
        <w:rPr>
          <w:rFonts w:hint="eastAsia" w:ascii="楷体_GB2312" w:eastAsia="楷体_GB2312"/>
          <w:sz w:val="28"/>
        </w:rPr>
        <w:t>收益法是预测估价对象的未来收益，利用报酬率或者资本化率、收益乘数将未来收益转化为价值得到估价对象价值或价格的方法。</w:t>
      </w:r>
    </w:p>
    <w:p>
      <w:pPr>
        <w:spacing w:line="480" w:lineRule="exact"/>
        <w:ind w:firstLine="573"/>
        <w:jc w:val="left"/>
        <w:rPr>
          <w:rFonts w:ascii="楷体_GB2312" w:eastAsia="楷体_GB2312"/>
          <w:sz w:val="28"/>
          <w:szCs w:val="28"/>
        </w:rPr>
      </w:pPr>
      <w:r>
        <w:rPr>
          <w:rFonts w:hint="eastAsia" w:ascii="楷体_GB2312" w:eastAsia="楷体_GB2312"/>
          <w:sz w:val="28"/>
          <w:szCs w:val="28"/>
        </w:rPr>
        <w:t>收益法测算应按下列步骤进行：</w:t>
      </w:r>
    </w:p>
    <w:p>
      <w:pPr>
        <w:spacing w:line="480" w:lineRule="exact"/>
        <w:ind w:firstLine="570"/>
        <w:jc w:val="left"/>
        <w:rPr>
          <w:rFonts w:ascii="楷体_GB2312" w:eastAsia="楷体_GB2312"/>
          <w:sz w:val="28"/>
          <w:szCs w:val="28"/>
        </w:rPr>
      </w:pPr>
      <w:r>
        <w:rPr>
          <w:rFonts w:hint="eastAsia" w:ascii="楷体_GB2312" w:eastAsia="楷体_GB2312"/>
          <w:sz w:val="28"/>
          <w:szCs w:val="28"/>
        </w:rPr>
        <w:t>1.选择具体估价方法         2.测算收益期或持有期；</w:t>
      </w:r>
    </w:p>
    <w:p>
      <w:pPr>
        <w:spacing w:line="480" w:lineRule="exact"/>
        <w:ind w:firstLine="570"/>
        <w:jc w:val="left"/>
        <w:rPr>
          <w:rFonts w:ascii="楷体_GB2312" w:eastAsia="楷体_GB2312"/>
          <w:sz w:val="28"/>
          <w:szCs w:val="28"/>
        </w:rPr>
      </w:pPr>
      <w:r>
        <w:rPr>
          <w:rFonts w:hint="eastAsia" w:ascii="楷体_GB2312" w:eastAsia="楷体_GB2312"/>
          <w:sz w:val="28"/>
          <w:szCs w:val="28"/>
        </w:rPr>
        <w:t>3.预测未来收益             4.确定报酬率或资本化率、收益乘数；</w:t>
      </w:r>
    </w:p>
    <w:p>
      <w:pPr>
        <w:pStyle w:val="16"/>
        <w:spacing w:line="480" w:lineRule="exact"/>
        <w:ind w:firstLine="560" w:firstLineChars="200"/>
        <w:rPr>
          <w:rFonts w:ascii="楷体_GB2312" w:hAnsi="Times New Roman" w:eastAsia="楷体_GB2312"/>
          <w:sz w:val="28"/>
        </w:rPr>
      </w:pPr>
      <w:r>
        <w:rPr>
          <w:rFonts w:hint="eastAsia" w:ascii="楷体_GB2312" w:eastAsia="楷体_GB2312"/>
          <w:sz w:val="28"/>
          <w:szCs w:val="28"/>
        </w:rPr>
        <w:t>5.计算收益价值。</w:t>
      </w:r>
    </w:p>
    <w:p>
      <w:pPr>
        <w:pStyle w:val="16"/>
        <w:spacing w:line="480" w:lineRule="exact"/>
        <w:ind w:firstLine="560" w:firstLineChars="200"/>
        <w:rPr>
          <w:rFonts w:ascii="楷体_GB2312" w:hAnsi="Times New Roman" w:eastAsia="楷体_GB2312"/>
          <w:sz w:val="28"/>
        </w:rPr>
      </w:pPr>
      <w:r>
        <w:rPr>
          <w:rFonts w:hint="eastAsia" w:ascii="楷体_GB2312" w:hAnsi="Times New Roman" w:eastAsia="楷体_GB2312"/>
          <w:sz w:val="28"/>
        </w:rPr>
        <w:t>1.选择具体估价方法</w:t>
      </w:r>
    </w:p>
    <w:p>
      <w:pPr>
        <w:pStyle w:val="16"/>
        <w:spacing w:line="480" w:lineRule="exact"/>
        <w:ind w:firstLine="560" w:firstLineChars="200"/>
        <w:rPr>
          <w:rFonts w:ascii="楷体_GB2312" w:hAnsi="Times New Roman" w:eastAsia="楷体_GB2312"/>
          <w:sz w:val="28"/>
        </w:rPr>
      </w:pPr>
      <w:r>
        <w:rPr>
          <w:rFonts w:hint="eastAsia" w:ascii="楷体_GB2312" w:hAnsi="Times New Roman" w:eastAsia="楷体_GB2312"/>
          <w:sz w:val="28"/>
        </w:rPr>
        <w:t>本次估价选用报酬资本化法中的全剩余寿命模式，则计算公式为：</w:t>
      </w:r>
    </w:p>
    <w:p>
      <w:pPr>
        <w:spacing w:line="440" w:lineRule="exact"/>
        <w:ind w:firstLine="630" w:firstLineChars="300"/>
      </w:pPr>
      <w:r>
        <w:pict>
          <v:shape id="图片 4" o:spid="_x0000_s2051" o:spt="75" type="#_x0000_t75" style="position:absolute;left:0pt;margin-left:31.25pt;margin-top:0.85pt;height:37.4pt;width:95.2pt;z-index:251659264;mso-width-relative:margin;mso-height-relative:margin;" filled="f" o:preferrelative="t" stroked="f" coordsize="21600,21600">
            <v:path/>
            <v:fill on="f" focussize="0,0"/>
            <v:stroke on="f" joinstyle="miter"/>
            <v:imagedata r:id="rId7" o:title=""/>
            <o:lock v:ext="edit" aspectratio="t"/>
          </v:shape>
        </w:pict>
      </w:r>
    </w:p>
    <w:p>
      <w:pPr>
        <w:pStyle w:val="16"/>
        <w:spacing w:line="440" w:lineRule="exact"/>
        <w:ind w:firstLine="560" w:firstLineChars="200"/>
        <w:rPr>
          <w:rFonts w:ascii="楷体_GB2312" w:hAnsi="Times New Roman" w:eastAsia="楷体_GB2312"/>
          <w:sz w:val="28"/>
        </w:rPr>
      </w:pPr>
    </w:p>
    <w:p>
      <w:pPr>
        <w:pStyle w:val="16"/>
        <w:spacing w:line="400" w:lineRule="exact"/>
        <w:ind w:firstLine="560" w:firstLineChars="200"/>
        <w:rPr>
          <w:rFonts w:ascii="楷体_GB2312" w:hAnsi="Times New Roman" w:eastAsia="楷体_GB2312"/>
          <w:sz w:val="28"/>
        </w:rPr>
      </w:pPr>
      <w:r>
        <w:rPr>
          <w:rFonts w:hint="eastAsia" w:ascii="楷体_GB2312" w:hAnsi="Times New Roman" w:eastAsia="楷体_GB2312"/>
          <w:sz w:val="28"/>
        </w:rPr>
        <w:t>式中：V—收益价值</w:t>
      </w:r>
    </w:p>
    <w:p>
      <w:pPr>
        <w:pStyle w:val="16"/>
        <w:spacing w:line="400" w:lineRule="exact"/>
        <w:ind w:firstLine="1400" w:firstLineChars="500"/>
        <w:rPr>
          <w:rFonts w:ascii="楷体_GB2312" w:hAnsi="Times New Roman" w:eastAsia="楷体_GB2312"/>
          <w:sz w:val="28"/>
        </w:rPr>
      </w:pPr>
      <w:r>
        <w:rPr>
          <w:rFonts w:hint="eastAsia" w:ascii="楷体_GB2312" w:hAnsi="Times New Roman" w:eastAsia="楷体_GB2312"/>
          <w:sz w:val="28"/>
        </w:rPr>
        <w:t>Ai—未来第i年的净收益</w:t>
      </w:r>
    </w:p>
    <w:p>
      <w:pPr>
        <w:pStyle w:val="16"/>
        <w:spacing w:line="400" w:lineRule="exact"/>
        <w:ind w:firstLine="1400" w:firstLineChars="500"/>
        <w:rPr>
          <w:rFonts w:ascii="楷体_GB2312" w:hAnsi="Times New Roman" w:eastAsia="楷体_GB2312"/>
          <w:sz w:val="28"/>
        </w:rPr>
      </w:pPr>
      <w:r>
        <w:rPr>
          <w:rFonts w:hint="eastAsia" w:ascii="楷体_GB2312" w:hAnsi="Times New Roman" w:eastAsia="楷体_GB2312"/>
          <w:sz w:val="28"/>
        </w:rPr>
        <w:t>Yi—未来第i年的报酬率</w:t>
      </w:r>
    </w:p>
    <w:p>
      <w:pPr>
        <w:pStyle w:val="16"/>
        <w:spacing w:line="400" w:lineRule="exact"/>
        <w:ind w:firstLine="1400" w:firstLineChars="500"/>
        <w:rPr>
          <w:rFonts w:ascii="楷体_GB2312" w:hAnsi="Times New Roman" w:eastAsia="楷体_GB2312"/>
          <w:sz w:val="28"/>
        </w:rPr>
      </w:pPr>
      <w:r>
        <w:rPr>
          <w:rFonts w:hint="eastAsia" w:ascii="楷体_GB2312" w:hAnsi="Times New Roman" w:eastAsia="楷体_GB2312"/>
          <w:sz w:val="28"/>
        </w:rPr>
        <w:t>n—收益期（年）</w:t>
      </w:r>
    </w:p>
    <w:p>
      <w:pPr>
        <w:adjustRightInd w:val="0"/>
        <w:snapToGrid w:val="0"/>
        <w:spacing w:line="400" w:lineRule="exact"/>
        <w:ind w:firstLine="560" w:firstLineChars="200"/>
        <w:rPr>
          <w:rFonts w:ascii="楷体_GB2312" w:eastAsia="楷体_GB2312"/>
          <w:sz w:val="28"/>
        </w:rPr>
      </w:pPr>
      <w:r>
        <w:rPr>
          <w:rFonts w:hint="eastAsia" w:ascii="楷体_GB2312" w:eastAsia="楷体_GB2312"/>
          <w:sz w:val="28"/>
        </w:rPr>
        <w:t>3.估价结果确定</w:t>
      </w:r>
    </w:p>
    <w:p>
      <w:pPr>
        <w:adjustRightInd w:val="0"/>
        <w:snapToGrid w:val="0"/>
        <w:spacing w:line="400" w:lineRule="exact"/>
        <w:ind w:firstLine="560" w:firstLineChars="200"/>
        <w:rPr>
          <w:rFonts w:ascii="黑体" w:eastAsia="黑体"/>
          <w:b/>
          <w:sz w:val="28"/>
        </w:rPr>
      </w:pPr>
      <w:r>
        <w:rPr>
          <w:rFonts w:hint="eastAsia" w:ascii="楷体_GB2312" w:eastAsia="楷体_GB2312"/>
          <w:sz w:val="28"/>
        </w:rPr>
        <w:t>综上所述，本次估价采用比较法和收益法对估价对象进行评估，将两种估价方法的估价结果分析综合后，得出估价对象最终评估价值。</w:t>
      </w:r>
    </w:p>
    <w:p>
      <w:pPr>
        <w:pStyle w:val="3"/>
        <w:spacing w:line="500" w:lineRule="exact"/>
        <w:ind w:firstLine="562" w:firstLineChars="200"/>
        <w:jc w:val="left"/>
        <w:rPr>
          <w:sz w:val="28"/>
          <w:szCs w:val="28"/>
        </w:rPr>
      </w:pPr>
      <w:bookmarkStart w:id="29" w:name="_Toc89182849"/>
      <w:bookmarkStart w:id="30" w:name="_Toc322348938"/>
      <w:r>
        <w:rPr>
          <w:rFonts w:hint="eastAsia"/>
          <w:sz w:val="28"/>
          <w:szCs w:val="28"/>
        </w:rPr>
        <w:t>十、估价结果</w:t>
      </w:r>
      <w:bookmarkEnd w:id="29"/>
      <w:bookmarkEnd w:id="30"/>
    </w:p>
    <w:p>
      <w:pPr>
        <w:adjustRightInd w:val="0"/>
        <w:spacing w:line="500" w:lineRule="exact"/>
        <w:ind w:firstLine="560" w:firstLineChars="200"/>
        <w:rPr>
          <w:rFonts w:ascii="楷体_GB2312" w:eastAsia="楷体_GB2312"/>
          <w:sz w:val="28"/>
        </w:rPr>
      </w:pPr>
      <w:r>
        <w:rPr>
          <w:rFonts w:hint="eastAsia" w:ascii="楷体_GB2312" w:eastAsia="楷体_GB2312"/>
          <w:sz w:val="28"/>
        </w:rPr>
        <w:t>注册房地产估价师根据估价目的，遵循估价原则，按照估价程序，经过现场勘察与市场调查，采用科学合理的估价方法，综合考虑房地产市场价格影响因素的影响和相关估价资料，通过认真的分析和测算，我公司确认估价对象在市场上有足够的买方和卖方，并且进入市场无障碍的前提下，于价值时点满足“估价假设和限制性条件”的估价结果为</w:t>
      </w:r>
      <w:r>
        <w:rPr>
          <w:rFonts w:hint="eastAsia" w:ascii="楷体_GB2312" w:eastAsia="楷体_GB2312"/>
          <w:b/>
          <w:bCs/>
          <w:sz w:val="28"/>
        </w:rPr>
        <w:t>人民币</w:t>
      </w:r>
      <w:r>
        <w:rPr>
          <w:rFonts w:hint="eastAsia" w:ascii="楷体_GB2312" w:eastAsia="楷体_GB2312"/>
          <w:b/>
          <w:bCs/>
          <w:sz w:val="28"/>
          <w:szCs w:val="22"/>
          <w:lang w:eastAsia="zh-CN"/>
        </w:rPr>
        <w:t>陆佰贰拾伍万伍仟捌佰元整</w:t>
      </w:r>
      <w:r>
        <w:rPr>
          <w:rFonts w:hint="eastAsia" w:ascii="楷体_GB2312" w:eastAsia="楷体_GB2312"/>
          <w:b/>
          <w:bCs/>
          <w:sz w:val="28"/>
          <w:szCs w:val="22"/>
        </w:rPr>
        <w:t>（</w:t>
      </w:r>
      <w:r>
        <w:rPr>
          <w:rFonts w:hint="eastAsia" w:ascii="楷体_GB2312" w:eastAsia="楷体_GB2312"/>
          <w:b/>
          <w:bCs/>
          <w:sz w:val="28"/>
        </w:rPr>
        <w:t>￥</w:t>
      </w:r>
      <w:r>
        <w:rPr>
          <w:rFonts w:hint="eastAsia" w:ascii="楷体_GB2312" w:hAnsi="宋体" w:eastAsia="楷体_GB2312" w:cs="宋体"/>
          <w:b/>
          <w:bCs/>
          <w:kern w:val="0"/>
          <w:sz w:val="28"/>
          <w:szCs w:val="28"/>
          <w:lang w:eastAsia="zh-CN"/>
        </w:rPr>
        <w:t>625.58</w:t>
      </w:r>
      <w:r>
        <w:rPr>
          <w:rFonts w:hint="eastAsia" w:ascii="楷体_GB2312" w:hAnsi="宋体" w:eastAsia="楷体_GB2312" w:cs="宋体"/>
          <w:b/>
          <w:bCs/>
          <w:kern w:val="0"/>
          <w:sz w:val="28"/>
          <w:szCs w:val="28"/>
        </w:rPr>
        <w:t>万</w:t>
      </w:r>
      <w:r>
        <w:rPr>
          <w:rFonts w:hint="eastAsia" w:ascii="楷体_GB2312" w:eastAsia="楷体_GB2312"/>
          <w:b/>
          <w:bCs/>
          <w:sz w:val="28"/>
        </w:rPr>
        <w:t>元），</w:t>
      </w:r>
      <w:r>
        <w:rPr>
          <w:rFonts w:hint="eastAsia" w:ascii="楷体_GB2312" w:hAnsi="宋体" w:eastAsia="楷体_GB2312"/>
          <w:b/>
          <w:bCs/>
          <w:sz w:val="28"/>
        </w:rPr>
        <w:t>详见《评估结果明细表》</w:t>
      </w:r>
      <w:r>
        <w:rPr>
          <w:rFonts w:hint="eastAsia" w:ascii="楷体_GB2312" w:eastAsia="楷体_GB2312"/>
          <w:sz w:val="28"/>
        </w:rPr>
        <w:t>。</w:t>
      </w:r>
    </w:p>
    <w:p>
      <w:pPr>
        <w:adjustRightInd w:val="0"/>
        <w:snapToGrid w:val="0"/>
        <w:spacing w:line="440" w:lineRule="exact"/>
        <w:ind w:firstLine="562" w:firstLineChars="200"/>
        <w:rPr>
          <w:rFonts w:ascii="Arial" w:hAnsi="Arial" w:eastAsia="黑体"/>
          <w:b/>
          <w:sz w:val="28"/>
          <w:szCs w:val="28"/>
        </w:rPr>
      </w:pPr>
    </w:p>
    <w:p>
      <w:pPr>
        <w:adjustRightInd w:val="0"/>
        <w:snapToGrid w:val="0"/>
        <w:spacing w:line="440" w:lineRule="exact"/>
        <w:ind w:firstLine="562" w:firstLineChars="200"/>
        <w:rPr>
          <w:rFonts w:ascii="Arial" w:hAnsi="Arial" w:eastAsia="黑体"/>
          <w:b/>
          <w:sz w:val="28"/>
          <w:szCs w:val="28"/>
        </w:rPr>
      </w:pPr>
      <w:r>
        <w:rPr>
          <w:rFonts w:hint="eastAsia" w:ascii="Arial" w:hAnsi="Arial" w:eastAsia="黑体"/>
          <w:b/>
          <w:sz w:val="28"/>
          <w:szCs w:val="28"/>
        </w:rPr>
        <w:t>十一、注册房地产估价师</w:t>
      </w:r>
    </w:p>
    <w:p>
      <w:pPr>
        <w:pStyle w:val="16"/>
        <w:spacing w:line="440" w:lineRule="exact"/>
        <w:ind w:firstLine="560" w:firstLineChars="200"/>
        <w:rPr>
          <w:rFonts w:ascii="楷体_GB2312" w:eastAsia="楷体_GB2312"/>
          <w:sz w:val="28"/>
        </w:rPr>
      </w:pPr>
      <w:r>
        <w:rPr>
          <w:rFonts w:hint="eastAsia" w:ascii="楷体_GB2312" w:eastAsia="楷体_GB2312"/>
          <w:sz w:val="28"/>
        </w:rPr>
        <w:t>姓</w:t>
      </w:r>
      <w:r>
        <w:rPr>
          <w:rFonts w:ascii="楷体_GB2312" w:eastAsia="楷体_GB2312"/>
          <w:sz w:val="28"/>
        </w:rPr>
        <w:t xml:space="preserve">  </w:t>
      </w:r>
      <w:r>
        <w:rPr>
          <w:rFonts w:hint="eastAsia" w:ascii="楷体_GB2312" w:eastAsia="楷体_GB2312"/>
          <w:sz w:val="28"/>
        </w:rPr>
        <w:t>名</w:t>
      </w:r>
      <w:r>
        <w:rPr>
          <w:rFonts w:ascii="楷体_GB2312" w:eastAsia="楷体_GB2312"/>
          <w:sz w:val="28"/>
        </w:rPr>
        <w:t xml:space="preserve">           </w:t>
      </w:r>
      <w:r>
        <w:rPr>
          <w:rFonts w:hint="eastAsia" w:ascii="楷体_GB2312" w:eastAsia="楷体_GB2312"/>
          <w:sz w:val="28"/>
        </w:rPr>
        <w:t>注册号</w:t>
      </w:r>
      <w:r>
        <w:rPr>
          <w:rFonts w:ascii="楷体_GB2312" w:eastAsia="楷体_GB2312"/>
          <w:sz w:val="28"/>
        </w:rPr>
        <w:t xml:space="preserve">          </w:t>
      </w:r>
      <w:r>
        <w:rPr>
          <w:rFonts w:hint="eastAsia" w:ascii="楷体_GB2312" w:eastAsia="楷体_GB2312"/>
          <w:sz w:val="28"/>
        </w:rPr>
        <w:t>签</w:t>
      </w:r>
      <w:r>
        <w:rPr>
          <w:rFonts w:ascii="楷体_GB2312" w:eastAsia="楷体_GB2312"/>
          <w:sz w:val="28"/>
        </w:rPr>
        <w:t xml:space="preserve">  </w:t>
      </w:r>
      <w:r>
        <w:rPr>
          <w:rFonts w:hint="eastAsia" w:ascii="楷体_GB2312" w:eastAsia="楷体_GB2312"/>
          <w:sz w:val="28"/>
        </w:rPr>
        <w:t>名</w:t>
      </w:r>
      <w:r>
        <w:rPr>
          <w:rFonts w:ascii="楷体_GB2312" w:eastAsia="楷体_GB2312"/>
          <w:sz w:val="28"/>
        </w:rPr>
        <w:t xml:space="preserve">           </w:t>
      </w:r>
      <w:r>
        <w:rPr>
          <w:rFonts w:hint="eastAsia" w:ascii="楷体_GB2312" w:eastAsia="楷体_GB2312"/>
          <w:sz w:val="28"/>
        </w:rPr>
        <w:t>签名日期</w:t>
      </w:r>
    </w:p>
    <w:p>
      <w:pPr>
        <w:pStyle w:val="16"/>
        <w:spacing w:before="120" w:line="440" w:lineRule="exact"/>
        <w:ind w:firstLine="560" w:firstLineChars="200"/>
        <w:rPr>
          <w:rFonts w:ascii="楷体_GB2312" w:eastAsia="楷体_GB2312"/>
          <w:sz w:val="28"/>
          <w:szCs w:val="22"/>
        </w:rPr>
      </w:pPr>
      <w:r>
        <w:rPr>
          <w:rFonts w:hint="eastAsia" w:ascii="楷体_GB2312" w:eastAsia="楷体_GB2312"/>
          <w:sz w:val="28"/>
          <w:szCs w:val="22"/>
        </w:rPr>
        <w:t xml:space="preserve">贺 </w:t>
      </w:r>
      <w:r>
        <w:rPr>
          <w:rFonts w:ascii="楷体_GB2312" w:eastAsia="楷体_GB2312"/>
          <w:sz w:val="28"/>
          <w:szCs w:val="22"/>
        </w:rPr>
        <w:t xml:space="preserve"> </w:t>
      </w:r>
      <w:r>
        <w:rPr>
          <w:rFonts w:hint="eastAsia" w:ascii="楷体_GB2312" w:eastAsia="楷体_GB2312"/>
          <w:sz w:val="28"/>
          <w:szCs w:val="22"/>
        </w:rPr>
        <w:t xml:space="preserve">方      </w:t>
      </w:r>
      <w:r>
        <w:rPr>
          <w:rFonts w:ascii="楷体_GB2312" w:eastAsia="楷体_GB2312"/>
          <w:sz w:val="28"/>
          <w:szCs w:val="22"/>
        </w:rPr>
        <w:t xml:space="preserve"> </w:t>
      </w:r>
      <w:r>
        <w:rPr>
          <w:rFonts w:hint="eastAsia" w:ascii="楷体_GB2312" w:eastAsia="楷体_GB2312"/>
          <w:sz w:val="28"/>
          <w:szCs w:val="22"/>
        </w:rPr>
        <w:t xml:space="preserve">  </w:t>
      </w:r>
      <w:r>
        <w:rPr>
          <w:rFonts w:ascii="楷体_GB2312" w:eastAsia="楷体_GB2312"/>
          <w:sz w:val="28"/>
          <w:szCs w:val="22"/>
        </w:rPr>
        <w:t xml:space="preserve"> 4320090011      </w:t>
      </w:r>
      <w:r>
        <w:rPr>
          <w:rFonts w:hint="eastAsia" w:ascii="楷体_GB2312" w:eastAsia="楷体_GB2312"/>
          <w:sz w:val="28"/>
          <w:szCs w:val="22"/>
        </w:rPr>
        <w:t xml:space="preserve">  </w:t>
      </w:r>
      <w:r>
        <w:rPr>
          <w:rFonts w:ascii="楷体_GB2312" w:eastAsia="楷体_GB2312"/>
          <w:sz w:val="28"/>
          <w:szCs w:val="22"/>
        </w:rPr>
        <w:t xml:space="preserve"> </w:t>
      </w:r>
      <w:r>
        <w:rPr>
          <w:rFonts w:hint="eastAsia" w:ascii="楷体_GB2312" w:eastAsia="楷体_GB2312"/>
          <w:sz w:val="28"/>
          <w:szCs w:val="22"/>
        </w:rPr>
        <w:t xml:space="preserve">        </w:t>
      </w:r>
      <w:r>
        <w:rPr>
          <w:rFonts w:ascii="楷体_GB2312" w:eastAsia="楷体_GB2312"/>
          <w:sz w:val="28"/>
          <w:szCs w:val="22"/>
        </w:rPr>
        <w:t xml:space="preserve"> </w:t>
      </w:r>
      <w:r>
        <w:rPr>
          <w:rFonts w:hint="eastAsia" w:ascii="楷体_GB2312" w:eastAsia="楷体_GB2312"/>
          <w:sz w:val="28"/>
          <w:szCs w:val="22"/>
        </w:rPr>
        <w:t xml:space="preserve"> </w:t>
      </w:r>
      <w:r>
        <w:rPr>
          <w:rFonts w:ascii="楷体_GB2312" w:eastAsia="楷体_GB2312"/>
          <w:sz w:val="28"/>
          <w:szCs w:val="22"/>
        </w:rPr>
        <w:t xml:space="preserve">   </w:t>
      </w:r>
      <w:r>
        <w:rPr>
          <w:rFonts w:hint="eastAsia" w:ascii="楷体_GB2312" w:eastAsia="楷体_GB2312"/>
          <w:sz w:val="28"/>
          <w:szCs w:val="22"/>
        </w:rPr>
        <w:t>年   月   日</w:t>
      </w:r>
    </w:p>
    <w:p>
      <w:pPr>
        <w:pStyle w:val="16"/>
        <w:spacing w:before="120" w:line="440" w:lineRule="exact"/>
        <w:ind w:firstLine="560" w:firstLineChars="200"/>
        <w:rPr>
          <w:rFonts w:ascii="楷体_GB2312" w:eastAsia="楷体_GB2312"/>
          <w:sz w:val="28"/>
          <w:szCs w:val="22"/>
        </w:rPr>
      </w:pPr>
    </w:p>
    <w:p>
      <w:pPr>
        <w:pStyle w:val="16"/>
        <w:spacing w:line="440" w:lineRule="exact"/>
        <w:ind w:right="475" w:rightChars="226"/>
        <w:rPr>
          <w:rFonts w:ascii="楷体_GB2312" w:eastAsia="楷体_GB2312"/>
          <w:sz w:val="28"/>
          <w:szCs w:val="22"/>
        </w:rPr>
      </w:pPr>
    </w:p>
    <w:p>
      <w:pPr>
        <w:pStyle w:val="16"/>
        <w:spacing w:before="120" w:line="440" w:lineRule="exact"/>
        <w:ind w:firstLine="560" w:firstLineChars="200"/>
        <w:rPr>
          <w:rFonts w:ascii="楷体_GB2312" w:eastAsia="楷体_GB2312"/>
          <w:sz w:val="28"/>
          <w:szCs w:val="22"/>
        </w:rPr>
      </w:pPr>
      <w:r>
        <w:rPr>
          <w:rFonts w:hint="eastAsia" w:ascii="楷体_GB2312" w:eastAsia="楷体_GB2312"/>
          <w:sz w:val="28"/>
          <w:szCs w:val="22"/>
        </w:rPr>
        <w:t xml:space="preserve">岳新美       </w:t>
      </w:r>
      <w:r>
        <w:rPr>
          <w:rFonts w:ascii="楷体_GB2312" w:eastAsia="楷体_GB2312"/>
          <w:sz w:val="28"/>
          <w:szCs w:val="22"/>
        </w:rPr>
        <w:t xml:space="preserve">  </w:t>
      </w:r>
      <w:r>
        <w:rPr>
          <w:rFonts w:hint="eastAsia" w:ascii="楷体_GB2312" w:eastAsia="楷体_GB2312"/>
          <w:sz w:val="28"/>
          <w:szCs w:val="22"/>
        </w:rPr>
        <w:t xml:space="preserve"> </w:t>
      </w:r>
      <w:r>
        <w:rPr>
          <w:rFonts w:ascii="楷体_GB2312" w:eastAsia="楷体_GB2312"/>
          <w:sz w:val="28"/>
          <w:szCs w:val="22"/>
        </w:rPr>
        <w:t xml:space="preserve">4320190037       </w:t>
      </w:r>
      <w:r>
        <w:rPr>
          <w:rFonts w:hint="eastAsia" w:ascii="楷体_GB2312" w:eastAsia="楷体_GB2312"/>
          <w:sz w:val="28"/>
          <w:szCs w:val="22"/>
        </w:rPr>
        <w:t xml:space="preserve">             </w:t>
      </w:r>
      <w:r>
        <w:rPr>
          <w:rFonts w:ascii="楷体_GB2312" w:eastAsia="楷体_GB2312"/>
          <w:sz w:val="28"/>
          <w:szCs w:val="22"/>
        </w:rPr>
        <w:t xml:space="preserve"> </w:t>
      </w:r>
      <w:r>
        <w:rPr>
          <w:rFonts w:hint="eastAsia" w:ascii="楷体_GB2312" w:eastAsia="楷体_GB2312"/>
          <w:sz w:val="28"/>
          <w:szCs w:val="22"/>
        </w:rPr>
        <w:t xml:space="preserve"> 年   月   日</w:t>
      </w:r>
      <w:bookmarkStart w:id="31" w:name="_Toc89182850"/>
    </w:p>
    <w:p>
      <w:pPr>
        <w:pStyle w:val="16"/>
        <w:spacing w:before="120" w:line="440" w:lineRule="exact"/>
        <w:ind w:firstLine="560" w:firstLineChars="200"/>
        <w:rPr>
          <w:rFonts w:ascii="楷体_GB2312" w:eastAsia="楷体_GB2312"/>
          <w:sz w:val="28"/>
          <w:szCs w:val="22"/>
        </w:rPr>
      </w:pPr>
    </w:p>
    <w:p>
      <w:pPr>
        <w:pStyle w:val="3"/>
        <w:ind w:firstLine="562" w:firstLineChars="200"/>
        <w:jc w:val="left"/>
        <w:rPr>
          <w:sz w:val="28"/>
          <w:szCs w:val="28"/>
        </w:rPr>
      </w:pPr>
      <w:r>
        <w:rPr>
          <w:rFonts w:hint="eastAsia"/>
          <w:sz w:val="28"/>
          <w:szCs w:val="28"/>
        </w:rPr>
        <w:t>十二、实地查勘期</w:t>
      </w:r>
      <w:bookmarkEnd w:id="31"/>
    </w:p>
    <w:p>
      <w:pPr>
        <w:adjustRightInd w:val="0"/>
        <w:snapToGrid w:val="0"/>
        <w:spacing w:line="440" w:lineRule="exact"/>
        <w:ind w:firstLine="560" w:firstLineChars="200"/>
        <w:rPr>
          <w:rFonts w:ascii="楷体_GB2312" w:eastAsia="楷体_GB2312"/>
          <w:bCs/>
          <w:sz w:val="28"/>
        </w:rPr>
      </w:pPr>
      <w:bookmarkStart w:id="32" w:name="_Toc46483387"/>
      <w:bookmarkStart w:id="33" w:name="_Toc46483118"/>
      <w:bookmarkStart w:id="34" w:name="_Toc44798469"/>
      <w:bookmarkStart w:id="35" w:name="_Toc45725275"/>
      <w:bookmarkStart w:id="36" w:name="_Toc44798570"/>
      <w:bookmarkStart w:id="37" w:name="_Toc45716213"/>
      <w:r>
        <w:rPr>
          <w:rFonts w:hint="eastAsia" w:ascii="楷体_GB2312" w:eastAsia="楷体_GB2312"/>
          <w:bCs/>
          <w:sz w:val="28"/>
        </w:rPr>
        <w:t>注册房地产估价师于</w:t>
      </w:r>
      <w:bookmarkEnd w:id="32"/>
      <w:bookmarkEnd w:id="33"/>
      <w:bookmarkEnd w:id="34"/>
      <w:bookmarkEnd w:id="35"/>
      <w:bookmarkEnd w:id="36"/>
      <w:bookmarkEnd w:id="37"/>
      <w:r>
        <w:rPr>
          <w:rFonts w:hint="eastAsia" w:ascii="楷体_GB2312" w:eastAsia="楷体_GB2312"/>
          <w:bCs/>
          <w:sz w:val="28"/>
        </w:rPr>
        <w:t>2022年05月19日进入估价对象现场进行实地查勘，并于当天完成查勘，即实地查勘期为2022年05月19日～2022年05月19日。</w:t>
      </w:r>
    </w:p>
    <w:p>
      <w:pPr>
        <w:snapToGrid w:val="0"/>
        <w:spacing w:line="400" w:lineRule="exact"/>
        <w:ind w:firstLine="551" w:firstLineChars="196"/>
        <w:rPr>
          <w:rFonts w:ascii="黑体" w:eastAsia="黑体"/>
          <w:b/>
          <w:sz w:val="28"/>
        </w:rPr>
      </w:pPr>
    </w:p>
    <w:p>
      <w:pPr>
        <w:pStyle w:val="3"/>
        <w:ind w:firstLine="562" w:firstLineChars="200"/>
        <w:jc w:val="left"/>
        <w:rPr>
          <w:sz w:val="28"/>
          <w:szCs w:val="28"/>
        </w:rPr>
      </w:pPr>
      <w:bookmarkStart w:id="38" w:name="_Toc89182851"/>
      <w:r>
        <w:rPr>
          <w:rFonts w:hint="eastAsia"/>
          <w:sz w:val="28"/>
          <w:szCs w:val="28"/>
        </w:rPr>
        <w:t>十三、估价作业期</w:t>
      </w:r>
      <w:bookmarkEnd w:id="38"/>
    </w:p>
    <w:p>
      <w:pPr>
        <w:adjustRightInd w:val="0"/>
        <w:snapToGrid w:val="0"/>
        <w:spacing w:line="440" w:lineRule="exact"/>
        <w:ind w:firstLine="560" w:firstLineChars="200"/>
        <w:rPr>
          <w:rFonts w:ascii="楷体_GB2312" w:eastAsia="楷体_GB2312"/>
          <w:bCs/>
          <w:sz w:val="28"/>
        </w:rPr>
      </w:pPr>
      <w:r>
        <w:rPr>
          <w:rFonts w:hint="eastAsia" w:ascii="楷体_GB2312" w:eastAsia="楷体_GB2312"/>
          <w:bCs/>
          <w:sz w:val="28"/>
        </w:rPr>
        <w:t>2022年05月19日～</w:t>
      </w:r>
      <w:bookmarkEnd w:id="27"/>
      <w:bookmarkEnd w:id="28"/>
      <w:r>
        <w:rPr>
          <w:rFonts w:hint="eastAsia" w:ascii="楷体_GB2312" w:eastAsia="楷体_GB2312"/>
          <w:bCs/>
          <w:sz w:val="28"/>
        </w:rPr>
        <w:t>2022年06月02日</w:t>
      </w:r>
    </w:p>
    <w:p>
      <w:pPr>
        <w:pStyle w:val="32"/>
        <w:rPr>
          <w:rFonts w:ascii="黑体" w:hAnsi="黑体" w:eastAsia="黑体"/>
          <w:bCs w:val="0"/>
          <w:sz w:val="36"/>
          <w:szCs w:val="36"/>
        </w:rPr>
      </w:pPr>
    </w:p>
    <w:p>
      <w:pPr>
        <w:pStyle w:val="2"/>
        <w:spacing w:before="0" w:after="0"/>
        <w:jc w:val="center"/>
      </w:pPr>
      <w:r>
        <w:rPr>
          <w:rFonts w:ascii="楷体" w:hAnsi="楷体" w:eastAsia="楷体"/>
          <w:sz w:val="28"/>
          <w:szCs w:val="28"/>
        </w:rPr>
        <w:br w:type="page"/>
      </w:r>
      <w:bookmarkStart w:id="39" w:name="_Toc89182852"/>
      <w:r>
        <w:rPr>
          <w:rFonts w:hint="eastAsia" w:ascii="黑体" w:hAnsi="黑体" w:eastAsia="黑体"/>
          <w:sz w:val="36"/>
          <w:szCs w:val="36"/>
        </w:rPr>
        <w:t>附</w:t>
      </w:r>
      <w:r>
        <w:rPr>
          <w:rFonts w:ascii="黑体" w:hAnsi="黑体" w:eastAsia="黑体"/>
          <w:sz w:val="36"/>
          <w:szCs w:val="36"/>
        </w:rPr>
        <w:t xml:space="preserve">   </w:t>
      </w:r>
      <w:r>
        <w:rPr>
          <w:rFonts w:hint="eastAsia" w:ascii="黑体" w:hAnsi="黑体" w:eastAsia="黑体"/>
          <w:sz w:val="36"/>
          <w:szCs w:val="36"/>
        </w:rPr>
        <w:t>件</w:t>
      </w:r>
      <w:bookmarkEnd w:id="39"/>
    </w:p>
    <w:p>
      <w:pPr>
        <w:pStyle w:val="28"/>
      </w:pPr>
    </w:p>
    <w:p>
      <w:pPr>
        <w:pStyle w:val="3"/>
        <w:ind w:firstLine="560" w:firstLineChars="200"/>
        <w:jc w:val="left"/>
        <w:rPr>
          <w:rFonts w:ascii="楷体_GB2312" w:eastAsia="楷体_GB2312"/>
          <w:b w:val="0"/>
          <w:sz w:val="28"/>
          <w:szCs w:val="28"/>
        </w:rPr>
      </w:pPr>
      <w:bookmarkStart w:id="40" w:name="_Toc46483398"/>
      <w:bookmarkStart w:id="41" w:name="_Toc10035787"/>
      <w:bookmarkStart w:id="42" w:name="_Toc24010"/>
      <w:bookmarkStart w:id="43" w:name="_Toc89182853"/>
      <w:bookmarkStart w:id="44" w:name="_Toc4733"/>
      <w:bookmarkStart w:id="45" w:name="_Toc488911883"/>
      <w:r>
        <w:rPr>
          <w:rFonts w:hint="eastAsia" w:ascii="楷体_GB2312" w:eastAsia="楷体_GB2312"/>
          <w:b w:val="0"/>
          <w:sz w:val="28"/>
          <w:szCs w:val="28"/>
        </w:rPr>
        <w:t>一、</w:t>
      </w:r>
      <w:bookmarkEnd w:id="40"/>
      <w:bookmarkEnd w:id="41"/>
      <w:bookmarkEnd w:id="42"/>
      <w:r>
        <w:rPr>
          <w:rFonts w:hint="eastAsia" w:ascii="楷体_GB2312" w:eastAsia="楷体_GB2312"/>
          <w:b w:val="0"/>
          <w:sz w:val="28"/>
          <w:szCs w:val="28"/>
        </w:rPr>
        <w:t>《贵州省龙里县人民法院委托书》</w:t>
      </w:r>
      <w:r>
        <w:rPr>
          <w:rFonts w:ascii="楷体_GB2312" w:eastAsia="楷体_GB2312"/>
          <w:b w:val="0"/>
          <w:sz w:val="28"/>
          <w:szCs w:val="28"/>
        </w:rPr>
        <w:t>[</w:t>
      </w:r>
      <w:r>
        <w:rPr>
          <w:rFonts w:hint="eastAsia" w:ascii="楷体_GB2312" w:eastAsia="楷体_GB2312"/>
          <w:b w:val="0"/>
          <w:sz w:val="28"/>
          <w:szCs w:val="28"/>
        </w:rPr>
        <w:t>（2022）黔2730执恢26号</w:t>
      </w:r>
      <w:r>
        <w:rPr>
          <w:rFonts w:ascii="楷体_GB2312" w:eastAsia="楷体_GB2312"/>
          <w:b w:val="0"/>
          <w:sz w:val="28"/>
          <w:szCs w:val="28"/>
        </w:rPr>
        <w:t>]</w:t>
      </w:r>
      <w:r>
        <w:rPr>
          <w:rFonts w:hint="eastAsia" w:ascii="楷体_GB2312" w:eastAsia="楷体_GB2312"/>
          <w:b w:val="0"/>
          <w:sz w:val="28"/>
          <w:szCs w:val="28"/>
        </w:rPr>
        <w:t>复印件</w:t>
      </w:r>
      <w:bookmarkEnd w:id="43"/>
    </w:p>
    <w:p>
      <w:pPr>
        <w:pStyle w:val="3"/>
        <w:ind w:firstLine="560" w:firstLineChars="200"/>
        <w:jc w:val="left"/>
        <w:rPr>
          <w:rFonts w:ascii="楷体_GB2312" w:eastAsia="楷体_GB2312"/>
          <w:b w:val="0"/>
          <w:sz w:val="28"/>
          <w:szCs w:val="28"/>
        </w:rPr>
      </w:pPr>
      <w:bookmarkStart w:id="46" w:name="_Toc46483399"/>
      <w:bookmarkStart w:id="47" w:name="_Toc89182854"/>
      <w:bookmarkStart w:id="48" w:name="_Toc23547"/>
      <w:bookmarkStart w:id="49" w:name="_Toc10035788"/>
      <w:r>
        <w:rPr>
          <w:rFonts w:hint="eastAsia" w:ascii="楷体_GB2312" w:eastAsia="楷体_GB2312"/>
          <w:b w:val="0"/>
          <w:sz w:val="28"/>
          <w:szCs w:val="28"/>
        </w:rPr>
        <w:t>二、估价对象位置图</w:t>
      </w:r>
      <w:bookmarkEnd w:id="46"/>
      <w:bookmarkEnd w:id="47"/>
    </w:p>
    <w:p>
      <w:pPr>
        <w:pStyle w:val="3"/>
        <w:ind w:firstLine="560" w:firstLineChars="200"/>
        <w:jc w:val="left"/>
        <w:rPr>
          <w:rFonts w:ascii="楷体_GB2312" w:eastAsia="楷体_GB2312"/>
          <w:b w:val="0"/>
          <w:sz w:val="28"/>
          <w:szCs w:val="28"/>
        </w:rPr>
      </w:pPr>
      <w:bookmarkStart w:id="50" w:name="_Toc89182855"/>
      <w:bookmarkStart w:id="51" w:name="_Toc46483400"/>
      <w:r>
        <w:rPr>
          <w:rFonts w:hint="eastAsia" w:ascii="楷体_GB2312" w:eastAsia="楷体_GB2312"/>
          <w:b w:val="0"/>
          <w:sz w:val="28"/>
          <w:szCs w:val="28"/>
        </w:rPr>
        <w:t>三、估价对象内外部状况以及周围环境和景观的照片</w:t>
      </w:r>
      <w:bookmarkEnd w:id="50"/>
      <w:bookmarkEnd w:id="51"/>
    </w:p>
    <w:bookmarkEnd w:id="48"/>
    <w:bookmarkEnd w:id="49"/>
    <w:p>
      <w:pPr>
        <w:pStyle w:val="3"/>
        <w:ind w:firstLine="560" w:firstLineChars="200"/>
        <w:jc w:val="left"/>
        <w:rPr>
          <w:rFonts w:ascii="楷体_GB2312" w:eastAsia="楷体_GB2312"/>
          <w:b w:val="0"/>
          <w:sz w:val="28"/>
          <w:szCs w:val="28"/>
        </w:rPr>
      </w:pPr>
      <w:bookmarkStart w:id="52" w:name="_Toc89182856"/>
      <w:bookmarkStart w:id="53" w:name="_Toc46483401"/>
      <w:bookmarkStart w:id="54" w:name="_Toc10035789"/>
      <w:bookmarkStart w:id="55" w:name="_Toc3405"/>
      <w:r>
        <w:rPr>
          <w:rFonts w:hint="eastAsia" w:ascii="楷体_GB2312" w:eastAsia="楷体_GB2312"/>
          <w:b w:val="0"/>
          <w:sz w:val="28"/>
          <w:szCs w:val="28"/>
        </w:rPr>
        <w:t>四、估价对象实地查勘情况表</w:t>
      </w:r>
      <w:bookmarkEnd w:id="52"/>
      <w:bookmarkEnd w:id="53"/>
      <w:bookmarkEnd w:id="54"/>
      <w:bookmarkEnd w:id="55"/>
    </w:p>
    <w:p>
      <w:pPr>
        <w:pStyle w:val="3"/>
        <w:ind w:firstLine="560" w:firstLineChars="200"/>
        <w:jc w:val="left"/>
        <w:rPr>
          <w:rFonts w:ascii="楷体_GB2312" w:eastAsia="楷体_GB2312"/>
          <w:b w:val="0"/>
          <w:sz w:val="28"/>
          <w:szCs w:val="28"/>
        </w:rPr>
      </w:pPr>
      <w:bookmarkStart w:id="56" w:name="_Toc46483405"/>
      <w:bookmarkStart w:id="57" w:name="_Toc32309"/>
      <w:bookmarkStart w:id="58" w:name="_Toc89182857"/>
      <w:bookmarkStart w:id="59" w:name="_Toc10035791"/>
      <w:r>
        <w:rPr>
          <w:rFonts w:hint="eastAsia" w:ascii="楷体_GB2312" w:eastAsia="楷体_GB2312"/>
          <w:b w:val="0"/>
          <w:sz w:val="28"/>
          <w:szCs w:val="28"/>
        </w:rPr>
        <w:t>五、估价对象权属证明复印件</w:t>
      </w:r>
      <w:bookmarkEnd w:id="56"/>
      <w:bookmarkEnd w:id="57"/>
      <w:bookmarkEnd w:id="58"/>
      <w:bookmarkEnd w:id="59"/>
    </w:p>
    <w:p>
      <w:pPr>
        <w:pStyle w:val="3"/>
        <w:ind w:firstLine="560" w:firstLineChars="200"/>
        <w:jc w:val="left"/>
        <w:rPr>
          <w:rFonts w:ascii="楷体_GB2312" w:eastAsia="楷体_GB2312"/>
          <w:b w:val="0"/>
          <w:sz w:val="28"/>
          <w:szCs w:val="28"/>
        </w:rPr>
      </w:pPr>
      <w:bookmarkStart w:id="60" w:name="_Toc10035793"/>
      <w:bookmarkStart w:id="61" w:name="_Toc4264"/>
      <w:bookmarkStart w:id="62" w:name="_Toc46483407"/>
      <w:bookmarkStart w:id="63" w:name="_Toc89182858"/>
      <w:r>
        <w:rPr>
          <w:rFonts w:hint="eastAsia" w:ascii="楷体_GB2312" w:eastAsia="楷体_GB2312"/>
          <w:b w:val="0"/>
          <w:sz w:val="28"/>
          <w:szCs w:val="28"/>
        </w:rPr>
        <w:t>六、房地产估价机构营业执照和备案证书复印件</w:t>
      </w:r>
      <w:bookmarkEnd w:id="60"/>
      <w:bookmarkEnd w:id="61"/>
      <w:bookmarkEnd w:id="62"/>
      <w:bookmarkEnd w:id="63"/>
    </w:p>
    <w:p>
      <w:pPr>
        <w:pStyle w:val="3"/>
        <w:ind w:firstLine="560" w:firstLineChars="200"/>
        <w:jc w:val="left"/>
        <w:rPr>
          <w:rFonts w:ascii="楷体_GB2312" w:eastAsia="楷体_GB2312"/>
          <w:b w:val="0"/>
          <w:sz w:val="28"/>
          <w:szCs w:val="28"/>
        </w:rPr>
      </w:pPr>
      <w:bookmarkStart w:id="64" w:name="_Toc10313"/>
      <w:bookmarkStart w:id="65" w:name="_Toc46483408"/>
      <w:bookmarkStart w:id="66" w:name="_Toc89182859"/>
      <w:bookmarkStart w:id="67" w:name="_Toc10035794"/>
      <w:r>
        <w:rPr>
          <w:rFonts w:hint="eastAsia" w:ascii="楷体_GB2312" w:eastAsia="楷体_GB2312"/>
          <w:b w:val="0"/>
          <w:sz w:val="28"/>
          <w:szCs w:val="28"/>
        </w:rPr>
        <w:t>七、注册房地产估价师估价资格证书复印件</w:t>
      </w:r>
      <w:bookmarkEnd w:id="64"/>
      <w:bookmarkEnd w:id="65"/>
      <w:bookmarkEnd w:id="66"/>
      <w:bookmarkEnd w:id="67"/>
    </w:p>
    <w:bookmarkEnd w:id="44"/>
    <w:bookmarkEnd w:id="45"/>
    <w:p>
      <w:pPr>
        <w:pStyle w:val="16"/>
        <w:spacing w:line="700" w:lineRule="exact"/>
        <w:jc w:val="center"/>
        <w:rPr>
          <w:rFonts w:ascii="楷体" w:hAnsi="楷体" w:eastAsia="楷体"/>
          <w:sz w:val="28"/>
          <w:szCs w:val="28"/>
        </w:rPr>
      </w:pPr>
    </w:p>
    <w:p>
      <w:pPr>
        <w:pStyle w:val="16"/>
        <w:spacing w:line="700" w:lineRule="exact"/>
        <w:jc w:val="center"/>
        <w:rPr>
          <w:rFonts w:ascii="楷体" w:hAnsi="楷体" w:eastAsia="楷体"/>
          <w:sz w:val="28"/>
          <w:szCs w:val="28"/>
        </w:rPr>
      </w:pPr>
    </w:p>
    <w:p>
      <w:pPr>
        <w:pStyle w:val="16"/>
        <w:spacing w:line="700" w:lineRule="exact"/>
        <w:jc w:val="center"/>
        <w:rPr>
          <w:rFonts w:ascii="楷体" w:hAnsi="楷体" w:eastAsia="楷体"/>
          <w:sz w:val="28"/>
          <w:szCs w:val="28"/>
        </w:rPr>
      </w:pPr>
    </w:p>
    <w:p>
      <w:pPr>
        <w:pStyle w:val="16"/>
        <w:spacing w:line="700" w:lineRule="exact"/>
        <w:jc w:val="center"/>
        <w:rPr>
          <w:rFonts w:ascii="楷体" w:hAnsi="楷体" w:eastAsia="楷体"/>
          <w:sz w:val="28"/>
          <w:szCs w:val="28"/>
        </w:rPr>
      </w:pPr>
    </w:p>
    <w:p>
      <w:pPr>
        <w:pStyle w:val="16"/>
        <w:spacing w:line="700" w:lineRule="exact"/>
        <w:jc w:val="center"/>
        <w:rPr>
          <w:rFonts w:ascii="楷体" w:hAnsi="楷体" w:eastAsia="楷体"/>
          <w:sz w:val="28"/>
          <w:szCs w:val="28"/>
        </w:rPr>
      </w:pPr>
    </w:p>
    <w:p>
      <w:pPr>
        <w:pStyle w:val="16"/>
        <w:spacing w:line="700" w:lineRule="exact"/>
        <w:jc w:val="center"/>
        <w:rPr>
          <w:rFonts w:ascii="楷体" w:hAnsi="楷体" w:eastAsia="楷体"/>
          <w:sz w:val="28"/>
          <w:szCs w:val="28"/>
        </w:rPr>
      </w:pPr>
    </w:p>
    <w:p>
      <w:pPr>
        <w:pStyle w:val="16"/>
        <w:spacing w:line="700" w:lineRule="exact"/>
        <w:jc w:val="center"/>
        <w:rPr>
          <w:rFonts w:ascii="楷体" w:hAnsi="楷体" w:eastAsia="楷体"/>
          <w:sz w:val="28"/>
          <w:szCs w:val="28"/>
        </w:rPr>
      </w:pPr>
    </w:p>
    <w:p>
      <w:pPr>
        <w:pStyle w:val="16"/>
        <w:spacing w:line="700" w:lineRule="exact"/>
        <w:jc w:val="center"/>
        <w:rPr>
          <w:rFonts w:ascii="楷体" w:hAnsi="楷体" w:eastAsia="楷体"/>
          <w:sz w:val="28"/>
          <w:szCs w:val="28"/>
        </w:rPr>
      </w:pPr>
    </w:p>
    <w:p>
      <w:pPr>
        <w:pStyle w:val="16"/>
        <w:spacing w:line="700" w:lineRule="exact"/>
        <w:jc w:val="center"/>
        <w:rPr>
          <w:rFonts w:ascii="楷体" w:hAnsi="楷体" w:eastAsia="楷体"/>
          <w:sz w:val="28"/>
          <w:szCs w:val="28"/>
        </w:rPr>
      </w:pPr>
    </w:p>
    <w:p>
      <w:pPr>
        <w:pStyle w:val="16"/>
        <w:spacing w:line="700" w:lineRule="exact"/>
        <w:jc w:val="center"/>
        <w:rPr>
          <w:rFonts w:ascii="楷体" w:hAnsi="楷体" w:eastAsia="楷体"/>
          <w:sz w:val="28"/>
          <w:szCs w:val="28"/>
        </w:rPr>
      </w:pPr>
    </w:p>
    <w:p>
      <w:pPr>
        <w:pStyle w:val="16"/>
        <w:spacing w:line="700" w:lineRule="exact"/>
        <w:jc w:val="both"/>
        <w:rPr>
          <w:rFonts w:ascii="楷体" w:hAnsi="楷体" w:eastAsia="楷体"/>
          <w:sz w:val="28"/>
          <w:szCs w:val="28"/>
        </w:rPr>
      </w:pPr>
      <w:bookmarkStart w:id="68" w:name="_GoBack"/>
      <w:bookmarkEnd w:id="68"/>
    </w:p>
    <w:sectPr>
      <w:pgSz w:w="11906" w:h="16838"/>
      <w:pgMar w:top="1021" w:right="1191" w:bottom="1021" w:left="1191" w:header="851" w:footer="992" w:gutter="284"/>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Segoe UI Emoji">
    <w:panose1 w:val="020B0502040204020203"/>
    <w:charset w:val="00"/>
    <w:family w:val="swiss"/>
    <w:pitch w:val="default"/>
    <w:sig w:usb0="00000001" w:usb1="02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9135"/>
        <w:tab w:val="clear" w:pos="8306"/>
      </w:tabs>
      <w:ind w:right="49"/>
      <w:jc w:val="center"/>
      <w:rPr>
        <w:rFonts w:ascii="宋体" w:hAnsi="宋体"/>
        <w:position w:val="-24"/>
        <w:sz w:val="15"/>
        <w:szCs w:val="15"/>
      </w:rPr>
    </w:pPr>
    <w:r>
      <w:pict>
        <v:line id="直接连接符 79" o:spid="_x0000_s1026" o:spt="20" style="position:absolute;left:0pt;margin-left:0pt;margin-top:1.6pt;height:0pt;width:473.3pt;z-index:251659264;mso-width-relative:page;mso-height-relative:page;" coordsize="21600,21600">
          <v:path arrowok="t"/>
          <v:fill focussize="0,0"/>
          <v:stroke/>
          <v:imagedata o:title=""/>
          <o:lock v:ext="edit"/>
        </v:line>
      </w:pict>
    </w:r>
    <w:r>
      <w:rPr>
        <w:rFonts w:hint="eastAsia"/>
        <w:position w:val="-24"/>
        <w:sz w:val="15"/>
        <w:szCs w:val="15"/>
      </w:rPr>
      <w:t>天信房地产土地资产评估有限公司</w:t>
    </w:r>
    <w:r>
      <w:rPr>
        <w:position w:val="-24"/>
        <w:sz w:val="15"/>
        <w:szCs w:val="15"/>
      </w:rPr>
      <w:t xml:space="preserve">                        </w:t>
    </w:r>
    <w:r>
      <w:rPr>
        <w:kern w:val="0"/>
        <w:position w:val="-24"/>
        <w:sz w:val="15"/>
        <w:szCs w:val="15"/>
      </w:rPr>
      <w:t xml:space="preserve">- </w:t>
    </w:r>
    <w:r>
      <w:rPr>
        <w:kern w:val="0"/>
        <w:position w:val="-24"/>
        <w:sz w:val="15"/>
        <w:szCs w:val="15"/>
      </w:rPr>
      <w:fldChar w:fldCharType="begin"/>
    </w:r>
    <w:r>
      <w:rPr>
        <w:kern w:val="0"/>
        <w:position w:val="-24"/>
        <w:sz w:val="15"/>
        <w:szCs w:val="15"/>
      </w:rPr>
      <w:instrText xml:space="preserve"> PAGE </w:instrText>
    </w:r>
    <w:r>
      <w:rPr>
        <w:kern w:val="0"/>
        <w:position w:val="-24"/>
        <w:sz w:val="15"/>
        <w:szCs w:val="15"/>
      </w:rPr>
      <w:fldChar w:fldCharType="separate"/>
    </w:r>
    <w:r>
      <w:rPr>
        <w:kern w:val="0"/>
        <w:position w:val="-24"/>
        <w:sz w:val="15"/>
        <w:szCs w:val="15"/>
      </w:rPr>
      <w:t>1</w:t>
    </w:r>
    <w:r>
      <w:rPr>
        <w:kern w:val="0"/>
        <w:position w:val="-24"/>
        <w:sz w:val="15"/>
        <w:szCs w:val="15"/>
      </w:rPr>
      <w:fldChar w:fldCharType="end"/>
    </w:r>
    <w:r>
      <w:rPr>
        <w:kern w:val="0"/>
        <w:position w:val="-24"/>
        <w:sz w:val="15"/>
        <w:szCs w:val="15"/>
      </w:rPr>
      <w:t xml:space="preserve"> -</w:t>
    </w:r>
    <w:r>
      <w:rPr>
        <w:position w:val="-24"/>
        <w:sz w:val="15"/>
        <w:szCs w:val="15"/>
      </w:rPr>
      <w:t xml:space="preserve">                 </w:t>
    </w:r>
    <w:r>
      <w:rPr>
        <w:rFonts w:hint="eastAsia" w:ascii="宋体" w:hAnsi="宋体"/>
        <w:position w:val="-24"/>
        <w:sz w:val="15"/>
        <w:szCs w:val="15"/>
      </w:rPr>
      <w:t>TIANXIN REAL ESTATE LAND CAPITAL APPRAISAL Co.,LTD</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left" w:pos="8295"/>
        <w:tab w:val="clear" w:pos="8306"/>
      </w:tabs>
      <w:ind w:firstLine="1440" w:firstLineChars="800"/>
      <w:jc w:val="both"/>
      <w:textAlignment w:val="center"/>
    </w:pPr>
    <w:r>
      <w:pict>
        <v:shape id="图片 2" o:spid="_x0000_s1025" o:spt="75" alt="标志1" type="#_x0000_t75" style="position:absolute;left:0pt;margin-left:-0.1pt;margin-top:-2.85pt;height:17.25pt;width:68.25pt;z-index:251659264;mso-width-relative:page;mso-height-relative:page;" filled="f" o:preferrelative="t" stroked="f" coordsize="21600,21600">
          <v:path/>
          <v:fill on="f" focussize="0,0"/>
          <v:stroke on="f" joinstyle="miter"/>
          <v:imagedata r:id="rId1" o:title="标志1"/>
          <o:lock v:ext="edit" aspectratio="t"/>
        </v:shape>
      </w:pict>
    </w:r>
    <w:r>
      <w:rPr>
        <w:rFonts w:hint="eastAsia"/>
        <w:kern w:val="0"/>
        <w:position w:val="20"/>
      </w:rPr>
      <w:t>《房地产估价报告》</w:t>
    </w:r>
    <w:r>
      <w:rPr>
        <w:kern w:val="0"/>
        <w:position w:val="20"/>
      </w:rPr>
      <w:t xml:space="preserve">                                          </w:t>
    </w:r>
    <w:r>
      <w:rPr>
        <w:position w:val="20"/>
      </w:rPr>
      <w:t>Real Estate Appraisal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left" w:pos="8295"/>
        <w:tab w:val="clear" w:pos="8306"/>
      </w:tabs>
      <w:ind w:left="3588" w:leftChars="680" w:hanging="2160" w:hangingChars="1200"/>
      <w:jc w:val="both"/>
      <w:textAlignment w:val="center"/>
    </w:pPr>
    <w:r>
      <w:pict>
        <v:shape id="_x0000_s1028" o:spid="_x0000_s1028" o:spt="75" alt="标志1" type="#_x0000_t75" style="position:absolute;left:0pt;margin-left:-0.1pt;margin-top:-2.85pt;height:17.25pt;width:68.25pt;z-index:251659264;mso-width-relative:page;mso-height-relative:page;" filled="f" o:preferrelative="t" stroked="f" coordsize="21600,21600">
          <v:path/>
          <v:fill on="f" focussize="0,0"/>
          <v:stroke on="f" joinstyle="miter"/>
          <v:imagedata r:id="rId1" o:title="标志1"/>
          <o:lock v:ext="edit" aspectratio="t"/>
        </v:shape>
      </w:pict>
    </w:r>
    <w:r>
      <w:rPr>
        <w:rFonts w:hint="eastAsia"/>
        <w:kern w:val="0"/>
        <w:position w:val="20"/>
      </w:rPr>
      <w:t>《房地产估价报告》</w:t>
    </w:r>
    <w:r>
      <w:rPr>
        <w:kern w:val="0"/>
        <w:position w:val="20"/>
      </w:rPr>
      <w:t xml:space="preserve">                                   </w:t>
    </w:r>
    <w:r>
      <w:rPr>
        <w:rFonts w:hint="eastAsia"/>
        <w:kern w:val="0"/>
        <w:position w:val="20"/>
      </w:rPr>
      <w:t xml:space="preserve"> </w:t>
    </w:r>
    <w:r>
      <w:rPr>
        <w:position w:val="20"/>
      </w:rPr>
      <w:t>Real Estate Appraisal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930"/>
        </w:tabs>
        <w:ind w:left="930" w:hanging="36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1MDgxODgyY2M4MTg3ZjlkYjgzMWZiNDUyOWU1YWQifQ=="/>
  </w:docVars>
  <w:rsids>
    <w:rsidRoot w:val="00AD54E0"/>
    <w:rsid w:val="000B0AE6"/>
    <w:rsid w:val="000D67DE"/>
    <w:rsid w:val="0014067E"/>
    <w:rsid w:val="00151678"/>
    <w:rsid w:val="001612DF"/>
    <w:rsid w:val="00163AF4"/>
    <w:rsid w:val="001668C1"/>
    <w:rsid w:val="00177991"/>
    <w:rsid w:val="001C2EB6"/>
    <w:rsid w:val="001D4D48"/>
    <w:rsid w:val="001F7A5C"/>
    <w:rsid w:val="002140E8"/>
    <w:rsid w:val="00277E15"/>
    <w:rsid w:val="00277E2C"/>
    <w:rsid w:val="00287505"/>
    <w:rsid w:val="002A18A6"/>
    <w:rsid w:val="002B3071"/>
    <w:rsid w:val="002D38E5"/>
    <w:rsid w:val="002D43D4"/>
    <w:rsid w:val="00341388"/>
    <w:rsid w:val="00370EFD"/>
    <w:rsid w:val="00423C5C"/>
    <w:rsid w:val="00477C45"/>
    <w:rsid w:val="004A0847"/>
    <w:rsid w:val="004A406B"/>
    <w:rsid w:val="004B4EAC"/>
    <w:rsid w:val="004D6059"/>
    <w:rsid w:val="005A1CAD"/>
    <w:rsid w:val="005B41FA"/>
    <w:rsid w:val="005C6984"/>
    <w:rsid w:val="005D1BB8"/>
    <w:rsid w:val="005E45DA"/>
    <w:rsid w:val="006219B6"/>
    <w:rsid w:val="006B2CDA"/>
    <w:rsid w:val="006C0176"/>
    <w:rsid w:val="006D4E57"/>
    <w:rsid w:val="00703C27"/>
    <w:rsid w:val="00706446"/>
    <w:rsid w:val="0071569C"/>
    <w:rsid w:val="0071788F"/>
    <w:rsid w:val="007831CC"/>
    <w:rsid w:val="00791727"/>
    <w:rsid w:val="007C4339"/>
    <w:rsid w:val="007D17D9"/>
    <w:rsid w:val="007E7998"/>
    <w:rsid w:val="008338FD"/>
    <w:rsid w:val="00867C13"/>
    <w:rsid w:val="008A1C0D"/>
    <w:rsid w:val="008B3E17"/>
    <w:rsid w:val="008F5443"/>
    <w:rsid w:val="00910E79"/>
    <w:rsid w:val="00921971"/>
    <w:rsid w:val="0096458B"/>
    <w:rsid w:val="009E32D0"/>
    <w:rsid w:val="00A4262C"/>
    <w:rsid w:val="00A5219D"/>
    <w:rsid w:val="00A87886"/>
    <w:rsid w:val="00AD54E0"/>
    <w:rsid w:val="00AD6C23"/>
    <w:rsid w:val="00AE14B2"/>
    <w:rsid w:val="00B31260"/>
    <w:rsid w:val="00BF21B0"/>
    <w:rsid w:val="00C30F09"/>
    <w:rsid w:val="00C313A9"/>
    <w:rsid w:val="00C46BA3"/>
    <w:rsid w:val="00C95354"/>
    <w:rsid w:val="00CB5FE9"/>
    <w:rsid w:val="00CC42E7"/>
    <w:rsid w:val="00CD157A"/>
    <w:rsid w:val="00CD5B07"/>
    <w:rsid w:val="00CE590B"/>
    <w:rsid w:val="00CF4FDE"/>
    <w:rsid w:val="00D36B31"/>
    <w:rsid w:val="00D57D09"/>
    <w:rsid w:val="00DB6DEF"/>
    <w:rsid w:val="00E0746B"/>
    <w:rsid w:val="00E32EDB"/>
    <w:rsid w:val="00E95E87"/>
    <w:rsid w:val="00EA009B"/>
    <w:rsid w:val="00EA2463"/>
    <w:rsid w:val="00ED2779"/>
    <w:rsid w:val="00F254D6"/>
    <w:rsid w:val="02950CDA"/>
    <w:rsid w:val="02C40EE4"/>
    <w:rsid w:val="06823276"/>
    <w:rsid w:val="08A2454E"/>
    <w:rsid w:val="0B8727E0"/>
    <w:rsid w:val="11274A63"/>
    <w:rsid w:val="160E2C45"/>
    <w:rsid w:val="168E2E13"/>
    <w:rsid w:val="20111502"/>
    <w:rsid w:val="26D70DBB"/>
    <w:rsid w:val="44291BA7"/>
    <w:rsid w:val="46FD5E48"/>
    <w:rsid w:val="511467A8"/>
    <w:rsid w:val="52BE66DE"/>
    <w:rsid w:val="55905203"/>
    <w:rsid w:val="55FF2F9D"/>
    <w:rsid w:val="6010622D"/>
    <w:rsid w:val="64454B69"/>
    <w:rsid w:val="66061603"/>
    <w:rsid w:val="6A100D05"/>
    <w:rsid w:val="6AE159CF"/>
    <w:rsid w:val="6C3A20F5"/>
    <w:rsid w:val="76FE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0" w:semiHidden="0"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3"/>
    <w:qFormat/>
    <w:locked/>
    <w:uiPriority w:val="0"/>
    <w:pPr>
      <w:keepNext/>
      <w:keepLines/>
      <w:spacing w:before="340" w:after="330" w:line="578" w:lineRule="auto"/>
      <w:outlineLvl w:val="0"/>
    </w:pPr>
    <w:rPr>
      <w:b/>
      <w:bCs/>
      <w:kern w:val="44"/>
      <w:sz w:val="44"/>
      <w:szCs w:val="44"/>
    </w:rPr>
  </w:style>
  <w:style w:type="paragraph" w:styleId="3">
    <w:name w:val="heading 2"/>
    <w:basedOn w:val="1"/>
    <w:next w:val="4"/>
    <w:link w:val="42"/>
    <w:qFormat/>
    <w:locked/>
    <w:uiPriority w:val="0"/>
    <w:pPr>
      <w:keepNext/>
      <w:keepLines/>
      <w:jc w:val="center"/>
      <w:outlineLvl w:val="1"/>
    </w:pPr>
    <w:rPr>
      <w:rFonts w:ascii="Arial" w:hAnsi="Arial" w:eastAsia="黑体"/>
      <w:b/>
      <w:sz w:val="32"/>
    </w:rPr>
  </w:style>
  <w:style w:type="paragraph" w:styleId="5">
    <w:name w:val="heading 3"/>
    <w:basedOn w:val="1"/>
    <w:next w:val="1"/>
    <w:link w:val="43"/>
    <w:qFormat/>
    <w:locked/>
    <w:uiPriority w:val="0"/>
    <w:pPr>
      <w:keepNext/>
      <w:keepLines/>
      <w:spacing w:before="260" w:after="260" w:line="416" w:lineRule="auto"/>
      <w:outlineLvl w:val="2"/>
    </w:pPr>
    <w:rPr>
      <w:b/>
      <w:bCs/>
      <w:sz w:val="32"/>
      <w:szCs w:val="32"/>
    </w:rPr>
  </w:style>
  <w:style w:type="paragraph" w:styleId="6">
    <w:name w:val="heading 4"/>
    <w:basedOn w:val="1"/>
    <w:next w:val="1"/>
    <w:link w:val="54"/>
    <w:qFormat/>
    <w:locked/>
    <w:uiPriority w:val="0"/>
    <w:pPr>
      <w:keepNext/>
      <w:keepLines/>
      <w:suppressAutoHyphens/>
      <w:snapToGrid w:val="0"/>
      <w:spacing w:line="300" w:lineRule="auto"/>
      <w:ind w:firstLine="560"/>
      <w:outlineLvl w:val="3"/>
    </w:pPr>
    <w:rPr>
      <w:rFonts w:ascii="??_GB2312" w:hAnsi="??_GB2312" w:eastAsia="Times New Roman"/>
      <w:bCs/>
      <w:kern w:val="0"/>
      <w:sz w:val="28"/>
      <w:szCs w:val="28"/>
      <w:lang w:val="zh-CN" w:eastAsia="ar-SA"/>
    </w:rPr>
  </w:style>
  <w:style w:type="paragraph" w:styleId="7">
    <w:name w:val="heading 5"/>
    <w:basedOn w:val="1"/>
    <w:next w:val="1"/>
    <w:link w:val="55"/>
    <w:qFormat/>
    <w:locked/>
    <w:uiPriority w:val="0"/>
    <w:pPr>
      <w:keepNext/>
      <w:keepLines/>
      <w:spacing w:before="280" w:after="290" w:line="376" w:lineRule="auto"/>
      <w:outlineLvl w:val="4"/>
    </w:pPr>
    <w:rPr>
      <w:rFonts w:ascii="Calibri" w:hAnsi="Calibri"/>
      <w:b/>
      <w:bCs/>
      <w:sz w:val="28"/>
      <w:szCs w:val="28"/>
    </w:r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4">
    <w:name w:val="Normal Indent"/>
    <w:basedOn w:val="1"/>
    <w:link w:val="140"/>
    <w:qFormat/>
    <w:uiPriority w:val="0"/>
    <w:pPr>
      <w:ind w:firstLine="420"/>
    </w:pPr>
    <w:rPr>
      <w:rFonts w:eastAsia="楷体_GB2312"/>
      <w:sz w:val="28"/>
    </w:rPr>
  </w:style>
  <w:style w:type="paragraph" w:styleId="8">
    <w:name w:val="toc 7"/>
    <w:basedOn w:val="1"/>
    <w:next w:val="1"/>
    <w:qFormat/>
    <w:locked/>
    <w:uiPriority w:val="0"/>
    <w:pPr>
      <w:ind w:left="1260"/>
      <w:jc w:val="left"/>
    </w:pPr>
    <w:rPr>
      <w:szCs w:val="24"/>
    </w:rPr>
  </w:style>
  <w:style w:type="paragraph" w:styleId="9">
    <w:name w:val="annotation text"/>
    <w:basedOn w:val="1"/>
    <w:semiHidden/>
    <w:unhideWhenUsed/>
    <w:uiPriority w:val="99"/>
    <w:pPr>
      <w:jc w:val="left"/>
    </w:pPr>
  </w:style>
  <w:style w:type="paragraph" w:styleId="10">
    <w:name w:val="Salutation"/>
    <w:basedOn w:val="1"/>
    <w:next w:val="1"/>
    <w:link w:val="58"/>
    <w:qFormat/>
    <w:uiPriority w:val="0"/>
    <w:rPr>
      <w:sz w:val="30"/>
    </w:rPr>
  </w:style>
  <w:style w:type="paragraph" w:styleId="11">
    <w:name w:val="Closing"/>
    <w:basedOn w:val="1"/>
    <w:link w:val="56"/>
    <w:qFormat/>
    <w:uiPriority w:val="0"/>
    <w:pPr>
      <w:ind w:left="100" w:leftChars="2100"/>
    </w:pPr>
    <w:rPr>
      <w:rFonts w:ascii="楷体_GB2312" w:eastAsia="楷体_GB2312"/>
      <w:sz w:val="28"/>
    </w:rPr>
  </w:style>
  <w:style w:type="paragraph" w:styleId="12">
    <w:name w:val="Body Text"/>
    <w:basedOn w:val="1"/>
    <w:link w:val="57"/>
    <w:qFormat/>
    <w:uiPriority w:val="0"/>
    <w:pPr>
      <w:spacing w:line="500" w:lineRule="exact"/>
    </w:pPr>
    <w:rPr>
      <w:sz w:val="32"/>
    </w:rPr>
  </w:style>
  <w:style w:type="paragraph" w:styleId="13">
    <w:name w:val="Body Text Indent"/>
    <w:basedOn w:val="1"/>
    <w:link w:val="59"/>
    <w:qFormat/>
    <w:uiPriority w:val="0"/>
    <w:pPr>
      <w:adjustRightInd w:val="0"/>
      <w:spacing w:line="400" w:lineRule="exact"/>
      <w:ind w:firstLine="555"/>
    </w:pPr>
    <w:rPr>
      <w:rFonts w:ascii="楷体_GB2312" w:eastAsia="楷体_GB2312"/>
      <w:sz w:val="28"/>
    </w:rPr>
  </w:style>
  <w:style w:type="paragraph" w:styleId="14">
    <w:name w:val="toc 5"/>
    <w:basedOn w:val="1"/>
    <w:next w:val="1"/>
    <w:qFormat/>
    <w:locked/>
    <w:uiPriority w:val="0"/>
    <w:pPr>
      <w:ind w:left="840"/>
      <w:jc w:val="left"/>
    </w:pPr>
    <w:rPr>
      <w:szCs w:val="24"/>
    </w:rPr>
  </w:style>
  <w:style w:type="paragraph" w:styleId="15">
    <w:name w:val="toc 3"/>
    <w:basedOn w:val="1"/>
    <w:next w:val="1"/>
    <w:qFormat/>
    <w:locked/>
    <w:uiPriority w:val="39"/>
    <w:pPr>
      <w:tabs>
        <w:tab w:val="right" w:leader="middleDot" w:pos="9030"/>
      </w:tabs>
      <w:spacing w:line="480" w:lineRule="exact"/>
      <w:ind w:left="420" w:firstLine="841" w:firstLineChars="400"/>
      <w:jc w:val="left"/>
    </w:pPr>
    <w:rPr>
      <w:rFonts w:eastAsia="楷体"/>
      <w:sz w:val="24"/>
      <w:szCs w:val="24"/>
    </w:rPr>
  </w:style>
  <w:style w:type="paragraph" w:styleId="16">
    <w:name w:val="Plain Text"/>
    <w:basedOn w:val="1"/>
    <w:link w:val="47"/>
    <w:qFormat/>
    <w:uiPriority w:val="0"/>
    <w:rPr>
      <w:rFonts w:ascii="宋体" w:hAnsi="Courier New"/>
      <w:kern w:val="0"/>
      <w:sz w:val="20"/>
    </w:rPr>
  </w:style>
  <w:style w:type="paragraph" w:styleId="17">
    <w:name w:val="toc 8"/>
    <w:basedOn w:val="1"/>
    <w:next w:val="1"/>
    <w:qFormat/>
    <w:locked/>
    <w:uiPriority w:val="0"/>
    <w:pPr>
      <w:ind w:left="1470"/>
      <w:jc w:val="left"/>
    </w:pPr>
    <w:rPr>
      <w:szCs w:val="24"/>
    </w:rPr>
  </w:style>
  <w:style w:type="paragraph" w:styleId="18">
    <w:name w:val="Date"/>
    <w:basedOn w:val="1"/>
    <w:next w:val="1"/>
    <w:link w:val="44"/>
    <w:qFormat/>
    <w:uiPriority w:val="0"/>
    <w:rPr>
      <w:sz w:val="30"/>
    </w:rPr>
  </w:style>
  <w:style w:type="paragraph" w:styleId="19">
    <w:name w:val="Body Text Indent 2"/>
    <w:basedOn w:val="1"/>
    <w:link w:val="61"/>
    <w:qFormat/>
    <w:uiPriority w:val="0"/>
    <w:pPr>
      <w:snapToGrid w:val="0"/>
      <w:spacing w:line="480" w:lineRule="exact"/>
      <w:ind w:firstLine="420" w:firstLineChars="175"/>
    </w:pPr>
    <w:rPr>
      <w:rFonts w:ascii="楷体_GB2312" w:eastAsia="楷体_GB2312"/>
      <w:sz w:val="24"/>
    </w:rPr>
  </w:style>
  <w:style w:type="paragraph" w:styleId="20">
    <w:name w:val="Balloon Text"/>
    <w:basedOn w:val="1"/>
    <w:link w:val="50"/>
    <w:qFormat/>
    <w:uiPriority w:val="99"/>
    <w:rPr>
      <w:sz w:val="18"/>
      <w:szCs w:val="18"/>
    </w:rPr>
  </w:style>
  <w:style w:type="paragraph" w:styleId="21">
    <w:name w:val="footer"/>
    <w:basedOn w:val="1"/>
    <w:link w:val="49"/>
    <w:qFormat/>
    <w:uiPriority w:val="99"/>
    <w:pPr>
      <w:tabs>
        <w:tab w:val="center" w:pos="4153"/>
        <w:tab w:val="right" w:pos="8306"/>
      </w:tabs>
      <w:snapToGrid w:val="0"/>
      <w:jc w:val="left"/>
    </w:pPr>
    <w:rPr>
      <w:sz w:val="18"/>
      <w:szCs w:val="18"/>
    </w:rPr>
  </w:style>
  <w:style w:type="paragraph" w:styleId="22">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locked/>
    <w:uiPriority w:val="39"/>
    <w:pPr>
      <w:spacing w:before="120" w:line="380" w:lineRule="exact"/>
      <w:jc w:val="left"/>
    </w:pPr>
    <w:rPr>
      <w:rFonts w:eastAsia="楷体"/>
      <w:bCs/>
      <w:iCs/>
      <w:sz w:val="28"/>
      <w:szCs w:val="28"/>
    </w:rPr>
  </w:style>
  <w:style w:type="paragraph" w:styleId="24">
    <w:name w:val="toc 4"/>
    <w:basedOn w:val="1"/>
    <w:next w:val="1"/>
    <w:qFormat/>
    <w:locked/>
    <w:uiPriority w:val="0"/>
    <w:pPr>
      <w:ind w:left="630"/>
      <w:jc w:val="left"/>
    </w:pPr>
    <w:rPr>
      <w:szCs w:val="24"/>
    </w:rPr>
  </w:style>
  <w:style w:type="paragraph" w:styleId="25">
    <w:name w:val="toc 6"/>
    <w:basedOn w:val="1"/>
    <w:next w:val="1"/>
    <w:qFormat/>
    <w:locked/>
    <w:uiPriority w:val="0"/>
    <w:pPr>
      <w:ind w:left="1050"/>
      <w:jc w:val="left"/>
    </w:pPr>
    <w:rPr>
      <w:szCs w:val="24"/>
    </w:rPr>
  </w:style>
  <w:style w:type="paragraph" w:styleId="26">
    <w:name w:val="Body Text Indent 3"/>
    <w:basedOn w:val="1"/>
    <w:link w:val="52"/>
    <w:qFormat/>
    <w:uiPriority w:val="0"/>
    <w:pPr>
      <w:snapToGrid w:val="0"/>
      <w:spacing w:line="440" w:lineRule="exact"/>
      <w:ind w:firstLine="524" w:firstLineChars="187"/>
    </w:pPr>
    <w:rPr>
      <w:rFonts w:ascii="楷体_GB2312" w:eastAsia="楷体_GB2312"/>
      <w:sz w:val="28"/>
    </w:rPr>
  </w:style>
  <w:style w:type="paragraph" w:styleId="27">
    <w:name w:val="table of figures"/>
    <w:basedOn w:val="1"/>
    <w:next w:val="1"/>
    <w:unhideWhenUsed/>
    <w:qFormat/>
    <w:uiPriority w:val="99"/>
    <w:pPr>
      <w:spacing w:before="120" w:after="120"/>
      <w:ind w:left="840" w:hanging="420"/>
      <w:jc w:val="center"/>
    </w:pPr>
    <w:rPr>
      <w:rFonts w:ascii="Calibri" w:hAnsi="Calibri" w:eastAsia="黑体"/>
    </w:rPr>
  </w:style>
  <w:style w:type="paragraph" w:styleId="28">
    <w:name w:val="toc 2"/>
    <w:basedOn w:val="1"/>
    <w:next w:val="1"/>
    <w:qFormat/>
    <w:locked/>
    <w:uiPriority w:val="39"/>
    <w:pPr>
      <w:tabs>
        <w:tab w:val="right" w:leader="middleDot" w:pos="9030"/>
      </w:tabs>
      <w:spacing w:line="480" w:lineRule="exact"/>
      <w:jc w:val="center"/>
    </w:pPr>
    <w:rPr>
      <w:rFonts w:ascii="楷体_GB2312" w:eastAsia="楷体_GB2312"/>
      <w:sz w:val="28"/>
      <w:szCs w:val="32"/>
    </w:rPr>
  </w:style>
  <w:style w:type="paragraph" w:styleId="29">
    <w:name w:val="toc 9"/>
    <w:basedOn w:val="1"/>
    <w:next w:val="1"/>
    <w:qFormat/>
    <w:locked/>
    <w:uiPriority w:val="0"/>
    <w:pPr>
      <w:ind w:left="1680"/>
      <w:jc w:val="left"/>
    </w:pPr>
    <w:rPr>
      <w:szCs w:val="24"/>
    </w:rPr>
  </w:style>
  <w:style w:type="paragraph" w:styleId="30">
    <w:name w:val="Body Text 2"/>
    <w:basedOn w:val="1"/>
    <w:link w:val="60"/>
    <w:qFormat/>
    <w:uiPriority w:val="0"/>
    <w:pPr>
      <w:snapToGrid w:val="0"/>
      <w:spacing w:line="14" w:lineRule="exact"/>
    </w:pPr>
    <w:rPr>
      <w:rFonts w:ascii="楷体_GB2312" w:eastAsia="楷体_GB2312"/>
      <w:sz w:val="28"/>
    </w:rPr>
  </w:style>
  <w:style w:type="paragraph" w:styleId="31">
    <w:name w:val="Normal (Web)"/>
    <w:basedOn w:val="1"/>
    <w:qFormat/>
    <w:uiPriority w:val="99"/>
    <w:pPr>
      <w:widowControl/>
      <w:suppressAutoHyphens/>
      <w:spacing w:before="280" w:after="280"/>
      <w:jc w:val="left"/>
    </w:pPr>
    <w:rPr>
      <w:rFonts w:ascii="宋体" w:hAnsi="宋体" w:cs="宋体"/>
      <w:kern w:val="0"/>
      <w:sz w:val="24"/>
      <w:szCs w:val="24"/>
      <w:lang w:eastAsia="ar-SA"/>
    </w:rPr>
  </w:style>
  <w:style w:type="paragraph" w:styleId="32">
    <w:name w:val="Title"/>
    <w:basedOn w:val="1"/>
    <w:next w:val="1"/>
    <w:link w:val="132"/>
    <w:qFormat/>
    <w:locked/>
    <w:uiPriority w:val="0"/>
    <w:pPr>
      <w:spacing w:before="240" w:after="60"/>
      <w:jc w:val="center"/>
      <w:outlineLvl w:val="0"/>
    </w:pPr>
    <w:rPr>
      <w:rFonts w:ascii="Cambria" w:hAnsi="Cambria"/>
      <w:b/>
      <w:bCs/>
      <w:sz w:val="32"/>
      <w:szCs w:val="32"/>
    </w:rPr>
  </w:style>
  <w:style w:type="paragraph" w:styleId="33">
    <w:name w:val="Body Text First Indent"/>
    <w:basedOn w:val="12"/>
    <w:link w:val="67"/>
    <w:qFormat/>
    <w:uiPriority w:val="0"/>
    <w:pPr>
      <w:spacing w:after="120" w:line="240" w:lineRule="auto"/>
      <w:ind w:firstLine="420" w:firstLineChars="100"/>
    </w:pPr>
    <w:rPr>
      <w:sz w:val="21"/>
    </w:rPr>
  </w:style>
  <w:style w:type="table" w:styleId="35">
    <w:name w:val="Table Grid"/>
    <w:basedOn w:val="34"/>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locked/>
    <w:uiPriority w:val="22"/>
    <w:rPr>
      <w:b/>
      <w:bCs/>
    </w:rPr>
  </w:style>
  <w:style w:type="character" w:styleId="38">
    <w:name w:val="page number"/>
    <w:qFormat/>
    <w:uiPriority w:val="0"/>
  </w:style>
  <w:style w:type="character" w:styleId="39">
    <w:name w:val="FollowedHyperlink"/>
    <w:unhideWhenUsed/>
    <w:qFormat/>
    <w:uiPriority w:val="99"/>
    <w:rPr>
      <w:color w:val="800080"/>
      <w:u w:val="single"/>
    </w:rPr>
  </w:style>
  <w:style w:type="character" w:styleId="40">
    <w:name w:val="Hyperlink"/>
    <w:qFormat/>
    <w:uiPriority w:val="99"/>
    <w:rPr>
      <w:color w:val="0000FF"/>
      <w:u w:val="single"/>
    </w:rPr>
  </w:style>
  <w:style w:type="character" w:styleId="41">
    <w:name w:val="annotation reference"/>
    <w:semiHidden/>
    <w:unhideWhenUsed/>
    <w:uiPriority w:val="99"/>
    <w:rPr>
      <w:sz w:val="21"/>
      <w:szCs w:val="21"/>
    </w:rPr>
  </w:style>
  <w:style w:type="character" w:customStyle="1" w:styleId="42">
    <w:name w:val="标题 2 字符"/>
    <w:link w:val="3"/>
    <w:qFormat/>
    <w:locked/>
    <w:uiPriority w:val="0"/>
    <w:rPr>
      <w:rFonts w:ascii="Cambria" w:hAnsi="Cambria" w:eastAsia="宋体" w:cs="Times New Roman"/>
      <w:b/>
      <w:bCs/>
      <w:sz w:val="32"/>
      <w:szCs w:val="32"/>
    </w:rPr>
  </w:style>
  <w:style w:type="character" w:customStyle="1" w:styleId="43">
    <w:name w:val="标题 3 字符"/>
    <w:link w:val="5"/>
    <w:qFormat/>
    <w:locked/>
    <w:uiPriority w:val="0"/>
    <w:rPr>
      <w:rFonts w:ascii="Times New Roman" w:hAnsi="Times New Roman" w:cs="Times New Roman"/>
      <w:b/>
      <w:bCs/>
      <w:sz w:val="32"/>
      <w:szCs w:val="32"/>
    </w:rPr>
  </w:style>
  <w:style w:type="character" w:customStyle="1" w:styleId="44">
    <w:name w:val="日期 字符"/>
    <w:link w:val="18"/>
    <w:qFormat/>
    <w:locked/>
    <w:uiPriority w:val="0"/>
    <w:rPr>
      <w:rFonts w:ascii="Times New Roman" w:hAnsi="Times New Roman" w:eastAsia="宋体" w:cs="Times New Roman"/>
      <w:sz w:val="20"/>
      <w:szCs w:val="20"/>
    </w:rPr>
  </w:style>
  <w:style w:type="character" w:customStyle="1" w:styleId="45">
    <w:name w:val="Plain Text Char"/>
    <w:qFormat/>
    <w:locked/>
    <w:uiPriority w:val="99"/>
    <w:rPr>
      <w:rFonts w:ascii="宋体" w:hAnsi="Courier New"/>
    </w:rPr>
  </w:style>
  <w:style w:type="character" w:customStyle="1" w:styleId="46">
    <w:name w:val="Plain Text Char1"/>
    <w:qFormat/>
    <w:locked/>
    <w:uiPriority w:val="0"/>
    <w:rPr>
      <w:rFonts w:ascii="宋体" w:hAnsi="Courier New" w:cs="Times New Roman"/>
      <w:sz w:val="21"/>
      <w:szCs w:val="21"/>
    </w:rPr>
  </w:style>
  <w:style w:type="character" w:customStyle="1" w:styleId="47">
    <w:name w:val="纯文本 字符"/>
    <w:link w:val="16"/>
    <w:qFormat/>
    <w:locked/>
    <w:uiPriority w:val="0"/>
    <w:rPr>
      <w:rFonts w:ascii="宋体" w:hAnsi="Courier New" w:eastAsia="宋体" w:cs="Courier New"/>
      <w:sz w:val="21"/>
      <w:szCs w:val="21"/>
    </w:rPr>
  </w:style>
  <w:style w:type="character" w:customStyle="1" w:styleId="48">
    <w:name w:val="页眉 字符"/>
    <w:link w:val="22"/>
    <w:qFormat/>
    <w:locked/>
    <w:uiPriority w:val="0"/>
    <w:rPr>
      <w:rFonts w:ascii="Times New Roman" w:hAnsi="Times New Roman" w:eastAsia="宋体" w:cs="Times New Roman"/>
      <w:sz w:val="18"/>
      <w:szCs w:val="18"/>
    </w:rPr>
  </w:style>
  <w:style w:type="character" w:customStyle="1" w:styleId="49">
    <w:name w:val="页脚 字符"/>
    <w:link w:val="21"/>
    <w:qFormat/>
    <w:locked/>
    <w:uiPriority w:val="99"/>
    <w:rPr>
      <w:rFonts w:ascii="Times New Roman" w:hAnsi="Times New Roman" w:eastAsia="宋体" w:cs="Times New Roman"/>
      <w:sz w:val="18"/>
      <w:szCs w:val="18"/>
    </w:rPr>
  </w:style>
  <w:style w:type="character" w:customStyle="1" w:styleId="50">
    <w:name w:val="批注框文本 字符"/>
    <w:link w:val="20"/>
    <w:qFormat/>
    <w:locked/>
    <w:uiPriority w:val="99"/>
    <w:rPr>
      <w:rFonts w:ascii="Times New Roman" w:hAnsi="Times New Roman" w:eastAsia="宋体" w:cs="Times New Roman"/>
      <w:sz w:val="18"/>
      <w:szCs w:val="18"/>
    </w:rPr>
  </w:style>
  <w:style w:type="character" w:customStyle="1" w:styleId="51">
    <w:name w:val="Char Char"/>
    <w:qFormat/>
    <w:uiPriority w:val="99"/>
    <w:rPr>
      <w:rFonts w:ascii="宋体" w:hAnsi="Courier New" w:cs="Times New Roman"/>
      <w:kern w:val="2"/>
      <w:sz w:val="21"/>
    </w:rPr>
  </w:style>
  <w:style w:type="character" w:customStyle="1" w:styleId="52">
    <w:name w:val="正文文本缩进 3 字符"/>
    <w:link w:val="26"/>
    <w:qFormat/>
    <w:locked/>
    <w:uiPriority w:val="0"/>
    <w:rPr>
      <w:rFonts w:ascii="Times New Roman" w:hAnsi="Times New Roman" w:cs="Times New Roman"/>
      <w:sz w:val="16"/>
      <w:szCs w:val="16"/>
    </w:rPr>
  </w:style>
  <w:style w:type="character" w:customStyle="1" w:styleId="53">
    <w:name w:val="标题 1 字符"/>
    <w:link w:val="2"/>
    <w:qFormat/>
    <w:uiPriority w:val="0"/>
    <w:rPr>
      <w:rFonts w:ascii="Times New Roman" w:hAnsi="Times New Roman"/>
      <w:b/>
      <w:bCs/>
      <w:kern w:val="44"/>
      <w:sz w:val="44"/>
      <w:szCs w:val="44"/>
    </w:rPr>
  </w:style>
  <w:style w:type="character" w:customStyle="1" w:styleId="54">
    <w:name w:val="标题 4 字符"/>
    <w:link w:val="6"/>
    <w:qFormat/>
    <w:uiPriority w:val="0"/>
    <w:rPr>
      <w:rFonts w:ascii="??_GB2312" w:hAnsi="??_GB2312" w:eastAsia="Times New Roman"/>
      <w:bCs/>
      <w:sz w:val="28"/>
      <w:szCs w:val="28"/>
      <w:lang w:val="zh-CN" w:eastAsia="ar-SA"/>
    </w:rPr>
  </w:style>
  <w:style w:type="character" w:customStyle="1" w:styleId="55">
    <w:name w:val="标题 5 字符"/>
    <w:link w:val="7"/>
    <w:qFormat/>
    <w:uiPriority w:val="0"/>
    <w:rPr>
      <w:b/>
      <w:bCs/>
      <w:kern w:val="2"/>
      <w:sz w:val="28"/>
      <w:szCs w:val="28"/>
    </w:rPr>
  </w:style>
  <w:style w:type="character" w:customStyle="1" w:styleId="56">
    <w:name w:val="结束语 字符"/>
    <w:link w:val="11"/>
    <w:qFormat/>
    <w:uiPriority w:val="0"/>
    <w:rPr>
      <w:rFonts w:ascii="楷体_GB2312" w:hAnsi="Times New Roman" w:eastAsia="楷体_GB2312"/>
      <w:kern w:val="2"/>
      <w:sz w:val="28"/>
    </w:rPr>
  </w:style>
  <w:style w:type="character" w:customStyle="1" w:styleId="57">
    <w:name w:val="正文文本 字符"/>
    <w:link w:val="12"/>
    <w:qFormat/>
    <w:uiPriority w:val="0"/>
    <w:rPr>
      <w:rFonts w:ascii="Times New Roman" w:hAnsi="Times New Roman"/>
      <w:kern w:val="2"/>
      <w:sz w:val="32"/>
    </w:rPr>
  </w:style>
  <w:style w:type="character" w:customStyle="1" w:styleId="58">
    <w:name w:val="称呼 字符"/>
    <w:link w:val="10"/>
    <w:qFormat/>
    <w:uiPriority w:val="0"/>
    <w:rPr>
      <w:rFonts w:ascii="Times New Roman" w:hAnsi="Times New Roman"/>
      <w:kern w:val="2"/>
      <w:sz w:val="30"/>
    </w:rPr>
  </w:style>
  <w:style w:type="character" w:customStyle="1" w:styleId="59">
    <w:name w:val="正文文本缩进 字符"/>
    <w:link w:val="13"/>
    <w:qFormat/>
    <w:uiPriority w:val="0"/>
    <w:rPr>
      <w:rFonts w:ascii="楷体_GB2312" w:hAnsi="Times New Roman" w:eastAsia="楷体_GB2312"/>
      <w:kern w:val="2"/>
      <w:sz w:val="28"/>
    </w:rPr>
  </w:style>
  <w:style w:type="character" w:customStyle="1" w:styleId="60">
    <w:name w:val="正文文本 2 字符"/>
    <w:link w:val="30"/>
    <w:qFormat/>
    <w:uiPriority w:val="0"/>
    <w:rPr>
      <w:rFonts w:ascii="楷体_GB2312" w:hAnsi="Times New Roman" w:eastAsia="楷体_GB2312"/>
      <w:kern w:val="2"/>
      <w:sz w:val="28"/>
    </w:rPr>
  </w:style>
  <w:style w:type="character" w:customStyle="1" w:styleId="61">
    <w:name w:val="正文文本缩进 2 字符"/>
    <w:link w:val="19"/>
    <w:qFormat/>
    <w:uiPriority w:val="0"/>
    <w:rPr>
      <w:rFonts w:ascii="楷体_GB2312" w:hAnsi="Times New Roman" w:eastAsia="楷体_GB2312"/>
      <w:kern w:val="2"/>
      <w:sz w:val="24"/>
    </w:rPr>
  </w:style>
  <w:style w:type="paragraph" w:customStyle="1" w:styleId="62">
    <w:name w:val="样式1"/>
    <w:basedOn w:val="23"/>
    <w:qFormat/>
    <w:uiPriority w:val="0"/>
    <w:pPr>
      <w:spacing w:before="156" w:beforeLines="50"/>
    </w:pPr>
    <w:rPr>
      <w:spacing w:val="20"/>
      <w:sz w:val="32"/>
    </w:rPr>
  </w:style>
  <w:style w:type="paragraph" w:customStyle="1" w:styleId="63">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4">
    <w:name w:val="样式2"/>
    <w:basedOn w:val="1"/>
    <w:qFormat/>
    <w:uiPriority w:val="0"/>
    <w:pPr>
      <w:snapToGrid w:val="0"/>
      <w:spacing w:line="480" w:lineRule="exact"/>
      <w:ind w:firstLine="420" w:firstLineChars="175"/>
    </w:pPr>
    <w:rPr>
      <w:rFonts w:ascii="楷体_GB2312" w:eastAsia="楷体_GB2312"/>
      <w:sz w:val="24"/>
    </w:rPr>
  </w:style>
  <w:style w:type="paragraph" w:customStyle="1" w:styleId="65">
    <w:name w:val="Char"/>
    <w:basedOn w:val="1"/>
    <w:qFormat/>
    <w:uiPriority w:val="0"/>
    <w:rPr>
      <w:szCs w:val="24"/>
    </w:rPr>
  </w:style>
  <w:style w:type="paragraph" w:customStyle="1" w:styleId="66">
    <w:name w:val="Char1"/>
    <w:basedOn w:val="1"/>
    <w:qFormat/>
    <w:uiPriority w:val="0"/>
    <w:pPr>
      <w:widowControl/>
      <w:spacing w:after="160" w:line="240" w:lineRule="exact"/>
      <w:jc w:val="left"/>
    </w:pPr>
    <w:rPr>
      <w:rFonts w:ascii="Verdana" w:hAnsi="Verdana" w:cs="Verdana"/>
      <w:kern w:val="0"/>
      <w:sz w:val="20"/>
      <w:lang w:eastAsia="en-US"/>
    </w:rPr>
  </w:style>
  <w:style w:type="character" w:customStyle="1" w:styleId="67">
    <w:name w:val="正文文本首行缩进 字符"/>
    <w:link w:val="33"/>
    <w:qFormat/>
    <w:uiPriority w:val="0"/>
    <w:rPr>
      <w:rFonts w:ascii="Times New Roman" w:hAnsi="Times New Roman"/>
      <w:kern w:val="2"/>
      <w:sz w:val="21"/>
    </w:rPr>
  </w:style>
  <w:style w:type="paragraph" w:customStyle="1" w:styleId="68">
    <w:name w:val="zw"/>
    <w:basedOn w:val="1"/>
    <w:qFormat/>
    <w:uiPriority w:val="0"/>
    <w:pPr>
      <w:autoSpaceDE w:val="0"/>
      <w:autoSpaceDN w:val="0"/>
      <w:adjustRightInd w:val="0"/>
      <w:spacing w:line="360" w:lineRule="auto"/>
      <w:ind w:firstLine="482"/>
      <w:textAlignment w:val="bottom"/>
    </w:pPr>
    <w:rPr>
      <w:rFonts w:ascii="Arial Narrow" w:hAnsi="Arial Narrow" w:eastAsia="幼圆"/>
      <w:kern w:val="0"/>
      <w:sz w:val="24"/>
      <w:lang w:val="zh-CN" w:eastAsia="ar-SA"/>
    </w:rPr>
  </w:style>
  <w:style w:type="character" w:customStyle="1" w:styleId="69">
    <w:name w:val="批注框文本 Char1"/>
    <w:qFormat/>
    <w:uiPriority w:val="0"/>
    <w:rPr>
      <w:kern w:val="2"/>
      <w:sz w:val="18"/>
      <w:szCs w:val="18"/>
    </w:rPr>
  </w:style>
  <w:style w:type="character" w:customStyle="1" w:styleId="70">
    <w:name w:val="m_481"/>
    <w:qFormat/>
    <w:uiPriority w:val="0"/>
  </w:style>
  <w:style w:type="character" w:customStyle="1" w:styleId="71">
    <w:name w:val="m_91"/>
    <w:qFormat/>
    <w:uiPriority w:val="0"/>
  </w:style>
  <w:style w:type="character" w:customStyle="1" w:styleId="72">
    <w:name w:val="m_311"/>
    <w:qFormat/>
    <w:uiPriority w:val="0"/>
  </w:style>
  <w:style w:type="character" w:customStyle="1" w:styleId="73">
    <w:name w:val="til1"/>
    <w:qFormat/>
    <w:uiPriority w:val="0"/>
  </w:style>
  <w:style w:type="character" w:customStyle="1" w:styleId="74">
    <w:name w:val="m_110"/>
    <w:qFormat/>
    <w:uiPriority w:val="0"/>
  </w:style>
  <w:style w:type="character" w:customStyle="1" w:styleId="75">
    <w:name w:val="m_141"/>
    <w:qFormat/>
    <w:uiPriority w:val="0"/>
  </w:style>
  <w:style w:type="paragraph" w:customStyle="1" w:styleId="76">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7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78">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7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0">
    <w:name w:val="Char Char Char1 Char Char Char Char"/>
    <w:basedOn w:val="1"/>
    <w:qFormat/>
    <w:uiPriority w:val="0"/>
    <w:rPr>
      <w:rFonts w:ascii="楷体_GB2312" w:eastAsia="楷体_GB2312"/>
      <w:sz w:val="32"/>
      <w:szCs w:val="24"/>
    </w:rPr>
  </w:style>
  <w:style w:type="paragraph" w:customStyle="1" w:styleId="8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2">
    <w:name w:val="font0"/>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83">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eastAsia="Arial Unicode MS"/>
      <w:kern w:val="0"/>
      <w:sz w:val="24"/>
      <w:szCs w:val="24"/>
    </w:rPr>
  </w:style>
  <w:style w:type="paragraph" w:customStyle="1" w:styleId="8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5">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86">
    <w:name w:val="font5"/>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87">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8">
    <w:name w:val="四号仿宋28磅"/>
    <w:basedOn w:val="1"/>
    <w:qFormat/>
    <w:uiPriority w:val="0"/>
    <w:pPr>
      <w:spacing w:line="560" w:lineRule="exact"/>
      <w:ind w:firstLine="200" w:firstLineChars="200"/>
    </w:pPr>
    <w:rPr>
      <w:rFonts w:ascii="仿宋_GB2312" w:eastAsia="仿宋_GB2312"/>
      <w:sz w:val="28"/>
    </w:rPr>
  </w:style>
  <w:style w:type="paragraph" w:customStyle="1" w:styleId="8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0">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eastAsia="Arial Unicode MS"/>
      <w:kern w:val="0"/>
      <w:sz w:val="24"/>
      <w:szCs w:val="24"/>
    </w:rPr>
  </w:style>
  <w:style w:type="paragraph" w:customStyle="1" w:styleId="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92">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9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szCs w:val="24"/>
    </w:rPr>
  </w:style>
  <w:style w:type="paragraph" w:customStyle="1" w:styleId="94">
    <w:name w:val="font7"/>
    <w:basedOn w:val="1"/>
    <w:qFormat/>
    <w:uiPriority w:val="0"/>
    <w:pPr>
      <w:widowControl/>
      <w:spacing w:before="100" w:beforeAutospacing="1" w:after="100" w:afterAutospacing="1"/>
      <w:jc w:val="left"/>
    </w:pPr>
    <w:rPr>
      <w:rFonts w:eastAsia="Arial Unicode MS"/>
      <w:kern w:val="0"/>
      <w:sz w:val="24"/>
      <w:szCs w:val="24"/>
    </w:rPr>
  </w:style>
  <w:style w:type="paragraph" w:customStyle="1" w:styleId="9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Cs w:val="21"/>
    </w:rPr>
  </w:style>
  <w:style w:type="paragraph" w:customStyle="1" w:styleId="9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 w:val="24"/>
      <w:szCs w:val="24"/>
    </w:rPr>
  </w:style>
  <w:style w:type="paragraph" w:customStyle="1" w:styleId="97">
    <w:name w:val="font1"/>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9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99">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00">
    <w:name w:val="xl67"/>
    <w:basedOn w:val="1"/>
    <w:qFormat/>
    <w:uiPriority w:val="0"/>
    <w:pPr>
      <w:widowControl/>
      <w:spacing w:before="100" w:beforeAutospacing="1" w:after="100" w:afterAutospacing="1"/>
      <w:jc w:val="left"/>
    </w:pPr>
    <w:rPr>
      <w:rFonts w:ascii="宋体" w:hAnsi="宋体" w:cs="宋体"/>
      <w:b/>
      <w:bCs/>
      <w:kern w:val="0"/>
      <w:sz w:val="24"/>
      <w:szCs w:val="24"/>
    </w:rPr>
  </w:style>
  <w:style w:type="paragraph" w:customStyle="1" w:styleId="101">
    <w:name w:val="xl68"/>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102">
    <w:name w:val="xl69"/>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0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0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05">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4"/>
      <w:szCs w:val="24"/>
    </w:rPr>
  </w:style>
  <w:style w:type="paragraph" w:customStyle="1" w:styleId="106">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4"/>
      <w:szCs w:val="24"/>
    </w:rPr>
  </w:style>
  <w:style w:type="paragraph" w:customStyle="1" w:styleId="10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0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09">
    <w:name w:val="xl76"/>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1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1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1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1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14">
    <w:name w:val="xl81"/>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1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1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1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1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19">
    <w:name w:val="xl86"/>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20">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1">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2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2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26">
    <w:name w:val="xl93"/>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27">
    <w:name w:val="xl94"/>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character" w:customStyle="1" w:styleId="128">
    <w:name w:val="Char Char13"/>
    <w:qFormat/>
    <w:uiPriority w:val="0"/>
    <w:rPr>
      <w:rFonts w:ascii="仿宋_GB2312" w:eastAsia="仿宋_GB2312"/>
      <w:kern w:val="2"/>
      <w:sz w:val="28"/>
      <w:lang w:val="en-US" w:eastAsia="zh-CN" w:bidi="ar-SA"/>
    </w:rPr>
  </w:style>
  <w:style w:type="table" w:customStyle="1" w:styleId="129">
    <w:name w:val="000"/>
    <w:basedOn w:val="34"/>
    <w:qFormat/>
    <w:uiPriority w:val="0"/>
    <w:tblPr>
      <w:tblBorders>
        <w:top w:val="single" w:color="auto" w:sz="8" w:space="0"/>
        <w:bottom w:val="single" w:color="auto" w:sz="8" w:space="0"/>
        <w:insideH w:val="single" w:color="auto" w:sz="4" w:space="0"/>
        <w:insideV w:val="single" w:color="auto" w:sz="4" w:space="0"/>
      </w:tblBorders>
    </w:tblPr>
  </w:style>
  <w:style w:type="character" w:customStyle="1" w:styleId="130">
    <w:name w:val="apple-converted-space"/>
    <w:qFormat/>
    <w:uiPriority w:val="0"/>
  </w:style>
  <w:style w:type="paragraph" w:customStyle="1" w:styleId="131">
    <w:name w:val="列出段落1"/>
    <w:basedOn w:val="1"/>
    <w:qFormat/>
    <w:uiPriority w:val="34"/>
    <w:pPr>
      <w:ind w:firstLine="420" w:firstLineChars="200"/>
    </w:pPr>
  </w:style>
  <w:style w:type="character" w:customStyle="1" w:styleId="132">
    <w:name w:val="标题 字符"/>
    <w:link w:val="32"/>
    <w:qFormat/>
    <w:uiPriority w:val="0"/>
    <w:rPr>
      <w:rFonts w:ascii="Cambria" w:hAnsi="Cambria" w:cs="Times New Roman"/>
      <w:b/>
      <w:bCs/>
      <w:kern w:val="2"/>
      <w:sz w:val="32"/>
      <w:szCs w:val="32"/>
    </w:rPr>
  </w:style>
  <w:style w:type="character" w:customStyle="1" w:styleId="133">
    <w:name w:val="font31"/>
    <w:qFormat/>
    <w:uiPriority w:val="0"/>
    <w:rPr>
      <w:rFonts w:hint="default" w:ascii="楷体_GB2312" w:eastAsia="楷体_GB2312" w:cs="楷体_GB2312"/>
      <w:color w:val="000000"/>
      <w:sz w:val="21"/>
      <w:szCs w:val="21"/>
      <w:u w:val="none"/>
    </w:rPr>
  </w:style>
  <w:style w:type="paragraph" w:customStyle="1" w:styleId="134">
    <w:name w:val="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5">
    <w:name w:val="Char31"/>
    <w:basedOn w:val="1"/>
    <w:qFormat/>
    <w:uiPriority w:val="0"/>
    <w:pPr>
      <w:widowControl/>
      <w:spacing w:after="160" w:line="240" w:lineRule="exact"/>
      <w:jc w:val="left"/>
    </w:pPr>
    <w:rPr>
      <w:rFonts w:ascii="Verdana" w:hAnsi="Verdana" w:eastAsia="仿宋_GB2312"/>
      <w:kern w:val="0"/>
      <w:sz w:val="24"/>
      <w:lang w:eastAsia="en-US"/>
    </w:rPr>
  </w:style>
  <w:style w:type="paragraph" w:styleId="136">
    <w:name w:val="List Paragraph"/>
    <w:basedOn w:val="1"/>
    <w:qFormat/>
    <w:uiPriority w:val="34"/>
    <w:pPr>
      <w:ind w:firstLine="420" w:firstLineChars="200"/>
    </w:pPr>
  </w:style>
  <w:style w:type="paragraph" w:customStyle="1" w:styleId="137">
    <w:name w:val="1"/>
    <w:qFormat/>
    <w:uiPriority w:val="99"/>
    <w:rPr>
      <w:rFonts w:ascii="Calibri" w:hAnsi="Calibri" w:eastAsia="宋体" w:cs="Times New Roman"/>
      <w:lang w:val="en-US" w:eastAsia="zh-CN" w:bidi="ar-SA"/>
    </w:rPr>
  </w:style>
  <w:style w:type="paragraph" w:customStyle="1" w:styleId="138">
    <w:name w:val="TOC 标题2"/>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39">
    <w:name w:val="纯文本 Char2"/>
    <w:qFormat/>
    <w:uiPriority w:val="0"/>
    <w:rPr>
      <w:rFonts w:ascii="宋体" w:hAnsi="Courier New"/>
      <w:kern w:val="2"/>
      <w:sz w:val="21"/>
    </w:rPr>
  </w:style>
  <w:style w:type="character" w:customStyle="1" w:styleId="140">
    <w:name w:val="正文缩进 字符"/>
    <w:link w:val="4"/>
    <w:qFormat/>
    <w:uiPriority w:val="0"/>
    <w:rPr>
      <w:rFonts w:eastAsia="楷体_GB2312"/>
      <w:kern w:val="2"/>
      <w:sz w:val="28"/>
    </w:rPr>
  </w:style>
  <w:style w:type="character" w:customStyle="1" w:styleId="141">
    <w:name w:val="标题 Char1"/>
    <w:qFormat/>
    <w:uiPriority w:val="0"/>
    <w:rPr>
      <w:rFonts w:ascii="Cambria" w:hAnsi="Cambria" w:cs="Times New Roman"/>
      <w:b/>
      <w:bCs/>
      <w:kern w:val="2"/>
      <w:sz w:val="32"/>
      <w:szCs w:val="32"/>
    </w:rPr>
  </w:style>
  <w:style w:type="character" w:customStyle="1" w:styleId="142">
    <w:name w:val="纯文本 字符1"/>
    <w:qFormat/>
    <w:locked/>
    <w:uiPriority w:val="0"/>
    <w:rPr>
      <w:rFonts w:ascii="宋体" w:hAnsi="Courier New"/>
    </w:rPr>
  </w:style>
  <w:style w:type="character" w:customStyle="1" w:styleId="143">
    <w:name w:val="称呼 字符1"/>
    <w:qFormat/>
    <w:uiPriority w:val="99"/>
    <w:rPr>
      <w:kern w:val="2"/>
      <w:sz w:val="30"/>
    </w:rPr>
  </w:style>
  <w:style w:type="paragraph" w:customStyle="1" w:styleId="144">
    <w:name w:val="修订1"/>
    <w:hidden/>
    <w:semiHidden/>
    <w:qFormat/>
    <w:uiPriority w:val="99"/>
    <w:rPr>
      <w:rFonts w:ascii="Times New Roman" w:hAnsi="Times New Roman" w:eastAsia="宋体" w:cs="Times New Roman"/>
      <w:kern w:val="2"/>
      <w:sz w:val="21"/>
      <w:lang w:val="en-US" w:eastAsia="zh-CN" w:bidi="ar-SA"/>
    </w:rPr>
  </w:style>
  <w:style w:type="character" w:customStyle="1" w:styleId="145">
    <w:name w:val="font21"/>
    <w:qFormat/>
    <w:uiPriority w:val="0"/>
    <w:rPr>
      <w:rFonts w:hint="default" w:ascii="楷体_GB2312" w:eastAsia="楷体_GB2312" w:cs="楷体_GB2312"/>
      <w:color w:val="000000"/>
      <w:sz w:val="22"/>
      <w:szCs w:val="22"/>
      <w:u w:val="none"/>
    </w:rPr>
  </w:style>
  <w:style w:type="character" w:customStyle="1" w:styleId="146">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1028"/>
    <customShpInfo spid="_x0000_s1026"/>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9FB34-A5EF-481B-B115-D92229F31F20}">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61</Pages>
  <Words>35507</Words>
  <Characters>39724</Characters>
  <Lines>318</Lines>
  <Paragraphs>89</Paragraphs>
  <TotalTime>2</TotalTime>
  <ScaleCrop>false</ScaleCrop>
  <LinksUpToDate>false</LinksUpToDate>
  <CharactersWithSpaces>40271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2016-07-04T09:18:00Z</dcterms:created>
  <dc:creator>陈艳</dc:creator>
  <cp:lastModifiedBy>莫望</cp:lastModifiedBy>
  <cp:lastPrinted>2018-01-29T02:55:00Z</cp:lastPrinted>
  <dcterms:modified xsi:type="dcterms:W3CDTF">2022-08-08T13:24:08Z</dcterms:modified>
  <dc:title>房地产抵押估价报告</dc:title>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ED6881E69E1D4291B81BE04B34D47033</vt:lpwstr>
  </property>
</Properties>
</file>