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default" w:ascii="Times New Roman" w:hAnsi="Times New Roman" w:eastAsia="仿宋" w:cs="Times New Roman"/>
          <w:b/>
          <w:bCs/>
          <w:color w:val="000000" w:themeColor="text1"/>
          <w:sz w:val="28"/>
          <w:szCs w:val="28"/>
        </w:rPr>
      </w:pPr>
    </w:p>
    <w:p>
      <w:pPr>
        <w:jc w:val="left"/>
        <w:rPr>
          <w:rFonts w:hint="default" w:ascii="Times New Roman" w:hAnsi="Times New Roman" w:eastAsia="仿宋" w:cs="Times New Roman"/>
          <w:b/>
          <w:bCs/>
          <w:color w:val="000000" w:themeColor="text1"/>
          <w:sz w:val="28"/>
          <w:szCs w:val="28"/>
        </w:rPr>
      </w:pPr>
    </w:p>
    <w:p>
      <w:pPr>
        <w:jc w:val="left"/>
        <w:rPr>
          <w:rFonts w:hint="default" w:ascii="Times New Roman" w:hAnsi="Times New Roman" w:eastAsia="仿宋" w:cs="Times New Roman"/>
          <w:b/>
          <w:bCs/>
          <w:color w:val="000000" w:themeColor="text1"/>
          <w:sz w:val="28"/>
          <w:szCs w:val="28"/>
        </w:rPr>
      </w:pPr>
    </w:p>
    <w:p>
      <w:pPr>
        <w:jc w:val="left"/>
        <w:rPr>
          <w:rFonts w:hint="default" w:ascii="Times New Roman" w:hAnsi="Times New Roman" w:eastAsia="仿宋" w:cs="Times New Roman"/>
          <w:b/>
          <w:bCs/>
          <w:color w:val="000000" w:themeColor="text1"/>
          <w:sz w:val="28"/>
          <w:szCs w:val="28"/>
        </w:rPr>
      </w:pPr>
    </w:p>
    <w:p>
      <w:pPr>
        <w:tabs>
          <w:tab w:val="left" w:pos="709"/>
        </w:tabs>
        <w:adjustRightInd w:val="0"/>
        <w:snapToGrid w:val="0"/>
        <w:spacing w:line="600" w:lineRule="auto"/>
        <w:jc w:val="center"/>
        <w:rPr>
          <w:rFonts w:hint="default" w:ascii="Times New Roman" w:hAnsi="Times New Roman" w:eastAsia="仿宋" w:cs="Times New Roman"/>
          <w:b/>
          <w:bCs/>
          <w:color w:val="000000" w:themeColor="text1"/>
          <w:sz w:val="36"/>
          <w:szCs w:val="36"/>
        </w:rPr>
      </w:pPr>
      <w:bookmarkStart w:id="0" w:name="_Toc362509683"/>
    </w:p>
    <w:p>
      <w:pPr>
        <w:tabs>
          <w:tab w:val="left" w:pos="709"/>
        </w:tabs>
        <w:adjustRightInd w:val="0"/>
        <w:snapToGrid w:val="0"/>
        <w:spacing w:line="600" w:lineRule="auto"/>
        <w:jc w:val="both"/>
        <w:rPr>
          <w:rFonts w:hint="default" w:ascii="Times New Roman" w:hAnsi="Times New Roman" w:eastAsia="仿宋" w:cs="Times New Roman"/>
          <w:b/>
          <w:bCs/>
          <w:color w:val="000000" w:themeColor="text1"/>
          <w:sz w:val="36"/>
          <w:szCs w:val="36"/>
        </w:rPr>
      </w:pPr>
    </w:p>
    <w:bookmarkEnd w:id="0"/>
    <w:p>
      <w:pPr>
        <w:tabs>
          <w:tab w:val="left" w:pos="709"/>
        </w:tabs>
        <w:adjustRightInd w:val="0"/>
        <w:snapToGrid w:val="0"/>
        <w:spacing w:line="480" w:lineRule="auto"/>
        <w:jc w:val="center"/>
        <w:rPr>
          <w:rFonts w:hint="default" w:ascii="Times New Roman" w:hAnsi="Times New Roman" w:eastAsia="仿宋" w:cs="Times New Roman"/>
          <w:b/>
          <w:bCs/>
          <w:color w:val="000000" w:themeColor="text1"/>
          <w:sz w:val="44"/>
          <w:szCs w:val="44"/>
        </w:rPr>
      </w:pPr>
      <w:r>
        <w:rPr>
          <w:rFonts w:hint="default" w:ascii="Times New Roman" w:hAnsi="Times New Roman" w:eastAsia="仿宋" w:cs="Times New Roman"/>
          <w:b/>
          <w:bCs/>
          <w:color w:val="000000" w:themeColor="text1"/>
          <w:sz w:val="44"/>
          <w:szCs w:val="44"/>
        </w:rPr>
        <w:t>涉执房地产处置司法评估报告</w:t>
      </w:r>
    </w:p>
    <w:p>
      <w:pPr>
        <w:tabs>
          <w:tab w:val="left" w:pos="709"/>
        </w:tabs>
        <w:adjustRightInd w:val="0"/>
        <w:snapToGrid w:val="0"/>
        <w:spacing w:line="480" w:lineRule="auto"/>
        <w:jc w:val="center"/>
        <w:rPr>
          <w:rFonts w:hint="default" w:ascii="Times New Roman" w:hAnsi="Times New Roman" w:eastAsia="仿宋" w:cs="Times New Roman"/>
          <w:b/>
          <w:bCs/>
          <w:color w:val="000000" w:themeColor="text1"/>
          <w:sz w:val="36"/>
          <w:szCs w:val="36"/>
        </w:rPr>
      </w:pPr>
    </w:p>
    <w:p>
      <w:pPr>
        <w:tabs>
          <w:tab w:val="left" w:pos="709"/>
        </w:tabs>
        <w:adjustRightInd w:val="0"/>
        <w:snapToGrid w:val="0"/>
        <w:spacing w:line="480" w:lineRule="auto"/>
        <w:jc w:val="center"/>
        <w:rPr>
          <w:rFonts w:hint="default" w:ascii="Times New Roman" w:hAnsi="Times New Roman" w:eastAsia="仿宋" w:cs="Times New Roman"/>
          <w:b/>
          <w:bCs/>
          <w:color w:val="000000" w:themeColor="text1"/>
          <w:sz w:val="36"/>
          <w:szCs w:val="36"/>
        </w:rPr>
      </w:pPr>
    </w:p>
    <w:p>
      <w:pPr>
        <w:tabs>
          <w:tab w:val="left" w:pos="709"/>
        </w:tabs>
        <w:adjustRightInd w:val="0"/>
        <w:snapToGrid w:val="0"/>
        <w:spacing w:line="360" w:lineRule="auto"/>
        <w:ind w:left="2947" w:leftChars="0" w:hanging="2947" w:hangingChars="656"/>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b/>
          <w:bCs/>
          <w:color w:val="000000" w:themeColor="text1"/>
          <w:spacing w:val="64"/>
          <w:kern w:val="0"/>
          <w:sz w:val="32"/>
          <w:szCs w:val="32"/>
          <w:fitText w:val="2560" w:id="1450853405"/>
        </w:rPr>
        <w:t>估价项目名</w:t>
      </w:r>
      <w:r>
        <w:rPr>
          <w:rFonts w:hint="default" w:ascii="Times New Roman" w:hAnsi="Times New Roman" w:eastAsia="仿宋" w:cs="Times New Roman"/>
          <w:b/>
          <w:bCs/>
          <w:color w:val="000000" w:themeColor="text1"/>
          <w:spacing w:val="0"/>
          <w:kern w:val="0"/>
          <w:sz w:val="32"/>
          <w:szCs w:val="32"/>
          <w:fitText w:val="2560" w:id="1450853405"/>
        </w:rPr>
        <w:t>称</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themeColor="text1"/>
          <w:sz w:val="32"/>
          <w:szCs w:val="32"/>
          <w:lang w:eastAsia="zh-CN"/>
        </w:rPr>
        <w:t>宜丰县人民法院执行刘桂中与黄萍华、刘慧琴、黄建中的合同、无因管理、不当得利纠纷一案涉及新昌镇解放路2号涉执房地产处置司法评估</w:t>
      </w:r>
    </w:p>
    <w:p>
      <w:pPr>
        <w:tabs>
          <w:tab w:val="left" w:pos="709"/>
          <w:tab w:val="left" w:pos="851"/>
          <w:tab w:val="left" w:pos="993"/>
          <w:tab w:val="left" w:pos="1560"/>
        </w:tabs>
        <w:adjustRightInd w:val="0"/>
        <w:snapToGrid w:val="0"/>
        <w:spacing w:line="360" w:lineRule="auto"/>
        <w:rPr>
          <w:rFonts w:hint="default" w:ascii="Times New Roman" w:hAnsi="Times New Roman" w:eastAsia="仿宋" w:cs="Times New Roman"/>
          <w:color w:val="000000" w:themeColor="text1"/>
          <w:sz w:val="32"/>
          <w:szCs w:val="32"/>
          <w:lang w:eastAsia="zh-CN"/>
        </w:rPr>
      </w:pPr>
      <w:r>
        <w:rPr>
          <w:rFonts w:hint="default" w:ascii="Times New Roman" w:hAnsi="Times New Roman" w:eastAsia="仿宋" w:cs="Times New Roman"/>
          <w:b/>
          <w:bCs/>
          <w:color w:val="000000" w:themeColor="text1"/>
          <w:spacing w:val="120"/>
          <w:kern w:val="0"/>
          <w:sz w:val="32"/>
          <w:szCs w:val="32"/>
          <w:fitText w:val="2560" w:id="1"/>
        </w:rPr>
        <w:t>估价委托</w:t>
      </w:r>
      <w:r>
        <w:rPr>
          <w:rFonts w:hint="default" w:ascii="Times New Roman" w:hAnsi="Times New Roman" w:eastAsia="仿宋" w:cs="Times New Roman"/>
          <w:b/>
          <w:bCs/>
          <w:color w:val="000000" w:themeColor="text1"/>
          <w:spacing w:val="0"/>
          <w:kern w:val="0"/>
          <w:sz w:val="32"/>
          <w:szCs w:val="32"/>
          <w:fitText w:val="2560" w:id="1"/>
        </w:rPr>
        <w:t>人</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themeColor="text1"/>
          <w:sz w:val="32"/>
          <w:szCs w:val="32"/>
          <w:lang w:eastAsia="zh-CN"/>
        </w:rPr>
        <w:t>宜丰县人民法院</w:t>
      </w:r>
    </w:p>
    <w:p>
      <w:pPr>
        <w:tabs>
          <w:tab w:val="left" w:pos="709"/>
        </w:tabs>
        <w:adjustRightInd w:val="0"/>
        <w:snapToGrid w:val="0"/>
        <w:spacing w:line="360" w:lineRule="auto"/>
        <w:rPr>
          <w:rFonts w:hint="default" w:ascii="Times New Roman" w:hAnsi="Times New Roman" w:eastAsia="仿宋" w:cs="Times New Roman"/>
          <w:color w:val="000000" w:themeColor="text1"/>
          <w:sz w:val="32"/>
          <w:szCs w:val="32"/>
          <w:lang w:eastAsia="zh-CN"/>
        </w:rPr>
      </w:pPr>
      <w:r>
        <w:rPr>
          <w:rFonts w:hint="default" w:ascii="Times New Roman" w:hAnsi="Times New Roman" w:eastAsia="仿宋" w:cs="Times New Roman"/>
          <w:b/>
          <w:bCs/>
          <w:color w:val="000000" w:themeColor="text1"/>
          <w:spacing w:val="26"/>
          <w:kern w:val="0"/>
          <w:sz w:val="32"/>
          <w:szCs w:val="32"/>
          <w:fitText w:val="2560" w:id="2"/>
        </w:rPr>
        <w:t>房地产估价机</w:t>
      </w:r>
      <w:r>
        <w:rPr>
          <w:rFonts w:hint="default" w:ascii="Times New Roman" w:hAnsi="Times New Roman" w:eastAsia="仿宋" w:cs="Times New Roman"/>
          <w:b/>
          <w:bCs/>
          <w:color w:val="000000" w:themeColor="text1"/>
          <w:spacing w:val="4"/>
          <w:kern w:val="0"/>
          <w:sz w:val="32"/>
          <w:szCs w:val="32"/>
          <w:fitText w:val="2560" w:id="2"/>
        </w:rPr>
        <w:t>构</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themeColor="text1"/>
          <w:sz w:val="32"/>
          <w:szCs w:val="32"/>
          <w:lang w:eastAsia="zh-CN"/>
        </w:rPr>
        <w:t>佳信拓投房地产资产评估有限公司</w:t>
      </w:r>
    </w:p>
    <w:p>
      <w:pPr>
        <w:tabs>
          <w:tab w:val="left" w:pos="2520"/>
        </w:tabs>
        <w:adjustRightInd w:val="0"/>
        <w:snapToGrid w:val="0"/>
        <w:spacing w:line="360" w:lineRule="auto"/>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b/>
          <w:bCs/>
          <w:color w:val="000000" w:themeColor="text1"/>
          <w:spacing w:val="0"/>
          <w:kern w:val="0"/>
          <w:sz w:val="32"/>
          <w:szCs w:val="32"/>
          <w:fitText w:val="2560" w:id="3"/>
        </w:rPr>
        <w:t>注册房地产估价师</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bCs/>
          <w:color w:val="000000" w:themeColor="text1"/>
          <w:sz w:val="32"/>
          <w:szCs w:val="32"/>
          <w:lang w:eastAsia="zh-CN"/>
        </w:rPr>
        <w:t>吴</w:t>
      </w:r>
      <w:r>
        <w:rPr>
          <w:rFonts w:hint="default" w:ascii="Times New Roman" w:hAnsi="Times New Roman" w:eastAsia="仿宋" w:cs="Times New Roman"/>
          <w:bCs/>
          <w:color w:val="000000" w:themeColor="text1"/>
          <w:sz w:val="32"/>
          <w:szCs w:val="32"/>
          <w:lang w:val="en-US" w:eastAsia="zh-CN"/>
        </w:rPr>
        <w:t xml:space="preserve">  </w:t>
      </w:r>
      <w:r>
        <w:rPr>
          <w:rFonts w:hint="default" w:ascii="Times New Roman" w:hAnsi="Times New Roman" w:eastAsia="仿宋" w:cs="Times New Roman"/>
          <w:bCs/>
          <w:color w:val="000000" w:themeColor="text1"/>
          <w:sz w:val="32"/>
          <w:szCs w:val="32"/>
          <w:lang w:eastAsia="zh-CN"/>
        </w:rPr>
        <w:t>昊</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themeColor="text1"/>
          <w:sz w:val="32"/>
          <w:szCs w:val="32"/>
          <w:lang w:val="en-US" w:eastAsia="zh-CN"/>
        </w:rPr>
        <w:t>注册号：</w:t>
      </w:r>
      <w:r>
        <w:rPr>
          <w:rFonts w:hint="default" w:ascii="Times New Roman" w:hAnsi="Times New Roman" w:eastAsia="仿宋" w:cs="Times New Roman"/>
          <w:bCs/>
          <w:color w:val="000000" w:themeColor="text1"/>
          <w:sz w:val="32"/>
          <w:szCs w:val="32"/>
          <w:lang w:eastAsia="zh-CN"/>
        </w:rPr>
        <w:t>3620040035</w:t>
      </w:r>
      <w:r>
        <w:rPr>
          <w:rFonts w:hint="default" w:ascii="Times New Roman" w:hAnsi="Times New Roman" w:eastAsia="仿宋" w:cs="Times New Roman"/>
          <w:color w:val="000000" w:themeColor="text1"/>
          <w:sz w:val="32"/>
          <w:szCs w:val="32"/>
        </w:rPr>
        <w:t>）</w:t>
      </w:r>
    </w:p>
    <w:p>
      <w:pPr>
        <w:tabs>
          <w:tab w:val="left" w:pos="2520"/>
        </w:tabs>
        <w:adjustRightInd w:val="0"/>
        <w:snapToGrid w:val="0"/>
        <w:spacing w:line="360" w:lineRule="auto"/>
        <w:ind w:firstLine="2880" w:firstLineChars="900"/>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bCs/>
          <w:color w:val="000000" w:themeColor="text1"/>
          <w:sz w:val="32"/>
          <w:szCs w:val="32"/>
          <w:lang w:eastAsia="zh-CN"/>
        </w:rPr>
        <w:t>吴美茜</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themeColor="text1"/>
          <w:sz w:val="32"/>
          <w:szCs w:val="32"/>
          <w:lang w:val="en-US" w:eastAsia="zh-CN"/>
        </w:rPr>
        <w:t>注册号：</w:t>
      </w:r>
      <w:r>
        <w:rPr>
          <w:rFonts w:hint="default" w:ascii="Times New Roman" w:hAnsi="Times New Roman" w:eastAsia="仿宋" w:cs="Times New Roman"/>
          <w:bCs/>
          <w:color w:val="000000" w:themeColor="text1"/>
          <w:sz w:val="32"/>
          <w:szCs w:val="32"/>
          <w:lang w:eastAsia="zh-CN"/>
        </w:rPr>
        <w:t>3620200006</w:t>
      </w:r>
      <w:r>
        <w:rPr>
          <w:rFonts w:hint="default" w:ascii="Times New Roman" w:hAnsi="Times New Roman" w:eastAsia="仿宋" w:cs="Times New Roman"/>
          <w:color w:val="000000" w:themeColor="text1"/>
          <w:sz w:val="32"/>
          <w:szCs w:val="32"/>
        </w:rPr>
        <w:t>）</w:t>
      </w:r>
    </w:p>
    <w:p>
      <w:pPr>
        <w:tabs>
          <w:tab w:val="left" w:pos="540"/>
        </w:tabs>
        <w:snapToGrid w:val="0"/>
        <w:spacing w:line="360" w:lineRule="auto"/>
        <w:jc w:val="left"/>
        <w:rPr>
          <w:rFonts w:hint="default" w:ascii="Times New Roman" w:hAnsi="Times New Roman" w:eastAsia="仿宋" w:cs="Times New Roman"/>
          <w:color w:val="000000" w:themeColor="text1"/>
          <w:sz w:val="32"/>
          <w:szCs w:val="32"/>
          <w:lang w:eastAsia="zh-CN"/>
        </w:rPr>
      </w:pPr>
      <w:r>
        <w:rPr>
          <w:rFonts w:hint="default" w:ascii="Times New Roman" w:hAnsi="Times New Roman" w:eastAsia="仿宋" w:cs="Times New Roman"/>
          <w:b/>
          <w:bCs/>
          <w:color w:val="000000" w:themeColor="text1"/>
          <w:spacing w:val="0"/>
          <w:kern w:val="0"/>
          <w:sz w:val="32"/>
          <w:szCs w:val="32"/>
          <w:fitText w:val="2560" w:id="4"/>
        </w:rPr>
        <w:t>估价报告出具日期</w:t>
      </w:r>
      <w:r>
        <w:rPr>
          <w:rFonts w:hint="default" w:ascii="Times New Roman" w:hAnsi="Times New Roman" w:eastAsia="仿宋" w:cs="Times New Roman"/>
          <w:color w:val="000000" w:themeColor="text1"/>
          <w:sz w:val="32"/>
          <w:szCs w:val="32"/>
        </w:rPr>
        <w:t>：</w:t>
      </w:r>
      <w:r>
        <w:rPr>
          <w:rFonts w:hint="default" w:ascii="Times New Roman" w:hAnsi="Times New Roman" w:eastAsia="仿宋" w:cs="Times New Roman"/>
          <w:color w:val="000000" w:themeColor="text1"/>
          <w:sz w:val="32"/>
          <w:szCs w:val="32"/>
          <w:lang w:eastAsia="zh-CN"/>
        </w:rPr>
        <w:t>2021年09月15日</w:t>
      </w:r>
    </w:p>
    <w:p>
      <w:pPr>
        <w:tabs>
          <w:tab w:val="left" w:pos="540"/>
          <w:tab w:val="left" w:pos="2696"/>
        </w:tabs>
        <w:snapToGrid w:val="0"/>
        <w:spacing w:line="360" w:lineRule="auto"/>
        <w:rPr>
          <w:rFonts w:hint="default" w:ascii="Times New Roman" w:hAnsi="Times New Roman" w:eastAsia="仿宋" w:cs="Times New Roman"/>
          <w:color w:val="000000" w:themeColor="text1"/>
          <w:lang w:val="en-US" w:eastAsia="zh-CN"/>
        </w:rPr>
        <w:sectPr>
          <w:headerReference r:id="rId5" w:type="first"/>
          <w:headerReference r:id="rId3" w:type="default"/>
          <w:footerReference r:id="rId6" w:type="default"/>
          <w:headerReference r:id="rId4" w:type="even"/>
          <w:footerReference r:id="rId7" w:type="even"/>
          <w:pgSz w:w="11906" w:h="16838"/>
          <w:pgMar w:top="1814" w:right="1247" w:bottom="1418" w:left="1701" w:header="850" w:footer="737" w:gutter="0"/>
          <w:pgBorders>
            <w:top w:val="none" w:sz="0" w:space="0"/>
            <w:left w:val="none" w:sz="0" w:space="0"/>
            <w:bottom w:val="none" w:sz="0" w:space="0"/>
            <w:right w:val="none" w:sz="0" w:space="0"/>
          </w:pgBorders>
          <w:cols w:space="720" w:num="1"/>
          <w:titlePg/>
          <w:docGrid w:linePitch="286" w:charSpace="0"/>
        </w:sectPr>
      </w:pPr>
      <w:r>
        <w:rPr>
          <w:rFonts w:hint="default" w:ascii="Times New Roman" w:hAnsi="Times New Roman" w:eastAsia="仿宋" w:cs="Times New Roman"/>
          <w:b/>
          <w:bCs/>
          <w:color w:val="000000" w:themeColor="text1"/>
          <w:spacing w:val="64"/>
          <w:kern w:val="0"/>
          <w:sz w:val="32"/>
          <w:szCs w:val="32"/>
          <w:fitText w:val="2560" w:id="5"/>
        </w:rPr>
        <w:t>估价报告编</w:t>
      </w:r>
      <w:r>
        <w:rPr>
          <w:rFonts w:hint="default" w:ascii="Times New Roman" w:hAnsi="Times New Roman" w:eastAsia="仿宋" w:cs="Times New Roman"/>
          <w:b/>
          <w:bCs/>
          <w:color w:val="000000" w:themeColor="text1"/>
          <w:spacing w:val="0"/>
          <w:kern w:val="0"/>
          <w:sz w:val="32"/>
          <w:szCs w:val="32"/>
          <w:fitText w:val="2560" w:id="5"/>
        </w:rPr>
        <w:t>号</w:t>
      </w:r>
      <w:r>
        <w:rPr>
          <w:rFonts w:hint="default" w:ascii="Times New Roman" w:hAnsi="Times New Roman" w:eastAsia="仿宋" w:cs="Times New Roman"/>
          <w:b/>
          <w:bCs/>
          <w:color w:val="000000" w:themeColor="text1"/>
          <w:sz w:val="32"/>
          <w:szCs w:val="32"/>
        </w:rPr>
        <w:t>：</w:t>
      </w:r>
      <w:r>
        <w:rPr>
          <w:rFonts w:hint="default" w:ascii="Times New Roman" w:hAnsi="Times New Roman" w:eastAsia="仿宋" w:cs="Times New Roman"/>
          <w:color w:val="000000" w:themeColor="text1"/>
          <w:sz w:val="32"/>
          <w:szCs w:val="32"/>
          <w:lang w:val="en-US" w:eastAsia="zh-CN"/>
        </w:rPr>
        <w:t>赣佳信房估字[2021]第1799号</w:t>
      </w:r>
    </w:p>
    <w:p>
      <w:pPr>
        <w:pStyle w:val="3"/>
        <w:spacing w:before="0" w:after="0" w:line="500" w:lineRule="exact"/>
        <w:jc w:val="center"/>
        <w:rPr>
          <w:rFonts w:hint="default" w:ascii="Times New Roman" w:hAnsi="Times New Roman" w:eastAsia="仿宋" w:cs="Times New Roman"/>
          <w:snapToGrid w:val="0"/>
          <w:color w:val="000000" w:themeColor="text1"/>
          <w:kern w:val="0"/>
          <w:sz w:val="32"/>
          <w:szCs w:val="32"/>
        </w:rPr>
      </w:pPr>
      <w:bookmarkStart w:id="1" w:name="_Toc19719"/>
      <w:bookmarkStart w:id="2" w:name="_Toc464632560"/>
      <w:bookmarkStart w:id="3" w:name="_Toc437251012"/>
      <w:bookmarkStart w:id="4" w:name="_Toc435110940"/>
      <w:bookmarkStart w:id="5" w:name="_Toc435110678"/>
      <w:bookmarkStart w:id="6" w:name="_Toc435111749"/>
      <w:bookmarkStart w:id="7" w:name="_Toc3027"/>
      <w:bookmarkStart w:id="8" w:name="_Toc461131196"/>
      <w:bookmarkStart w:id="9" w:name="_Toc448735641"/>
      <w:bookmarkStart w:id="10" w:name="_Toc498007614"/>
      <w:bookmarkStart w:id="11" w:name="_Toc435604001"/>
      <w:bookmarkStart w:id="12" w:name="_Toc514309569"/>
      <w:bookmarkStart w:id="13" w:name="_Toc435178263"/>
      <w:r>
        <w:rPr>
          <w:rFonts w:hint="default" w:ascii="Times New Roman" w:hAnsi="Times New Roman" w:eastAsia="仿宋" w:cs="Times New Roman"/>
          <w:snapToGrid w:val="0"/>
          <w:color w:val="000000" w:themeColor="text1"/>
          <w:kern w:val="0"/>
          <w:sz w:val="32"/>
          <w:szCs w:val="32"/>
        </w:rPr>
        <w:t>致估价委托人函</w:t>
      </w:r>
      <w:bookmarkEnd w:id="1"/>
      <w:bookmarkEnd w:id="2"/>
      <w:bookmarkEnd w:id="3"/>
      <w:bookmarkEnd w:id="4"/>
      <w:bookmarkEnd w:id="5"/>
      <w:bookmarkEnd w:id="6"/>
      <w:bookmarkEnd w:id="7"/>
      <w:bookmarkEnd w:id="8"/>
      <w:bookmarkEnd w:id="9"/>
      <w:bookmarkEnd w:id="10"/>
      <w:bookmarkEnd w:id="11"/>
      <w:bookmarkEnd w:id="12"/>
      <w:bookmarkEnd w:id="13"/>
    </w:p>
    <w:p>
      <w:pPr>
        <w:adjustRightInd w:val="0"/>
        <w:snapToGrid w:val="0"/>
        <w:spacing w:line="500" w:lineRule="exact"/>
        <w:jc w:val="left"/>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lang w:eastAsia="zh-CN"/>
        </w:rPr>
        <w:t>宜丰县人民法院</w:t>
      </w:r>
      <w:r>
        <w:rPr>
          <w:rFonts w:hint="default" w:ascii="Times New Roman" w:hAnsi="Times New Roman" w:eastAsia="仿宋" w:cs="Times New Roman"/>
          <w:b/>
          <w:bCs/>
          <w:color w:val="000000" w:themeColor="text1"/>
          <w:sz w:val="28"/>
          <w:szCs w:val="28"/>
        </w:rPr>
        <w:t>：</w:t>
      </w:r>
    </w:p>
    <w:p>
      <w:pPr>
        <w:tabs>
          <w:tab w:val="left" w:pos="993"/>
        </w:tabs>
        <w:adjustRightInd w:val="0"/>
        <w:snapToGrid w:val="0"/>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受贵院委托，本公司对</w:t>
      </w:r>
      <w:r>
        <w:rPr>
          <w:rFonts w:hint="default" w:ascii="Times New Roman" w:hAnsi="Times New Roman" w:eastAsia="仿宋" w:cs="Times New Roman"/>
          <w:color w:val="000000" w:themeColor="text1"/>
          <w:sz w:val="28"/>
          <w:szCs w:val="28"/>
          <w:lang w:eastAsia="zh-CN"/>
        </w:rPr>
        <w:t>宜丰县人民法院执行刘桂中与黄萍华、刘慧琴、黄建中的合同、无因管理、不当得利纠纷一案涉及新昌镇解放路2号</w:t>
      </w:r>
      <w:r>
        <w:rPr>
          <w:rFonts w:hint="default" w:ascii="Times New Roman" w:hAnsi="Times New Roman" w:eastAsia="仿宋" w:cs="Times New Roman"/>
          <w:color w:val="000000" w:themeColor="text1"/>
          <w:sz w:val="28"/>
          <w:szCs w:val="28"/>
          <w:highlight w:val="none"/>
          <w:lang w:val="en-US" w:eastAsia="zh-CN"/>
        </w:rPr>
        <w:t>房地产</w:t>
      </w:r>
      <w:r>
        <w:rPr>
          <w:rFonts w:hint="default" w:ascii="Times New Roman" w:hAnsi="Times New Roman" w:eastAsia="仿宋" w:cs="Times New Roman"/>
          <w:color w:val="000000" w:themeColor="text1"/>
          <w:sz w:val="28"/>
          <w:szCs w:val="28"/>
        </w:rPr>
        <w:t>进行评估，</w:t>
      </w:r>
      <w:r>
        <w:rPr>
          <w:rFonts w:hint="default" w:ascii="Times New Roman" w:hAnsi="Times New Roman" w:eastAsia="仿宋" w:cs="Times New Roman"/>
          <w:color w:val="000000" w:themeColor="text1"/>
          <w:sz w:val="28"/>
          <w:szCs w:val="28"/>
          <w:lang w:val="en-US" w:eastAsia="zh-CN"/>
        </w:rPr>
        <w:t>估价目的是</w:t>
      </w:r>
      <w:r>
        <w:rPr>
          <w:rFonts w:hint="default" w:ascii="Times New Roman" w:hAnsi="Times New Roman" w:eastAsia="仿宋" w:cs="Times New Roman"/>
          <w:color w:val="000000" w:themeColor="text1"/>
          <w:sz w:val="28"/>
          <w:szCs w:val="28"/>
          <w:lang w:eastAsia="zh-CN"/>
        </w:rPr>
        <w:t>为人民法院确定财产处置参考价提供参考依据</w:t>
      </w:r>
      <w:r>
        <w:rPr>
          <w:rFonts w:hint="default" w:ascii="Times New Roman" w:hAnsi="Times New Roman" w:eastAsia="仿宋" w:cs="Times New Roman"/>
          <w:color w:val="000000" w:themeColor="text1"/>
          <w:sz w:val="28"/>
          <w:szCs w:val="28"/>
        </w:rPr>
        <w:t>。</w:t>
      </w:r>
    </w:p>
    <w:p>
      <w:pPr>
        <w:tabs>
          <w:tab w:val="left" w:pos="993"/>
        </w:tabs>
        <w:adjustRightInd w:val="0"/>
        <w:snapToGrid w:val="0"/>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我公司按照国家有关法律法规和《房地产估价规范》的要求，遵循估价原则，按照估价工作程序，依据贵院提供的相关资料，此次评估选用</w:t>
      </w:r>
      <w:r>
        <w:rPr>
          <w:rFonts w:hint="eastAsia" w:eastAsia="仿宋" w:cs="Times New Roman"/>
          <w:color w:val="000000" w:themeColor="text1"/>
          <w:sz w:val="28"/>
          <w:szCs w:val="28"/>
          <w:highlight w:val="none"/>
          <w:lang w:val="en-US" w:eastAsia="zh-CN"/>
        </w:rPr>
        <w:t>比较法</w:t>
      </w:r>
      <w:r>
        <w:rPr>
          <w:rFonts w:hint="default" w:ascii="Times New Roman" w:hAnsi="Times New Roman" w:eastAsia="仿宋" w:cs="Times New Roman"/>
          <w:color w:val="000000" w:themeColor="text1"/>
          <w:sz w:val="28"/>
          <w:szCs w:val="28"/>
          <w:highlight w:val="none"/>
        </w:rPr>
        <w:t>，通过综合分析影响房地产价格因素，进行认真测算，确定估价对象</w:t>
      </w:r>
      <w:r>
        <w:rPr>
          <w:rFonts w:hint="default" w:ascii="Times New Roman" w:hAnsi="Times New Roman" w:eastAsia="仿宋" w:cs="Times New Roman"/>
          <w:color w:val="000000" w:themeColor="text1"/>
          <w:sz w:val="28"/>
          <w:szCs w:val="28"/>
        </w:rPr>
        <w:t>在价值时点</w:t>
      </w:r>
      <w:r>
        <w:rPr>
          <w:rFonts w:hint="eastAsia" w:eastAsia="仿宋" w:cs="Times New Roman"/>
          <w:color w:val="000000" w:themeColor="text1"/>
          <w:sz w:val="28"/>
          <w:szCs w:val="28"/>
          <w:lang w:eastAsia="zh-CN"/>
        </w:rPr>
        <w:t>2021年09月07日</w:t>
      </w:r>
      <w:r>
        <w:rPr>
          <w:rFonts w:hint="default" w:ascii="Times New Roman" w:hAnsi="Times New Roman" w:eastAsia="仿宋" w:cs="Times New Roman"/>
          <w:color w:val="000000" w:themeColor="text1"/>
          <w:sz w:val="28"/>
          <w:szCs w:val="28"/>
        </w:rPr>
        <w:t>满足全部假设和限制条件下的市场价值为¥</w:t>
      </w:r>
      <w:r>
        <w:rPr>
          <w:rFonts w:hint="eastAsia" w:eastAsia="仿宋" w:cs="Times New Roman"/>
          <w:b/>
          <w:color w:val="000000" w:themeColor="text1"/>
          <w:sz w:val="28"/>
          <w:szCs w:val="28"/>
          <w:lang w:val="en-US" w:eastAsia="zh-CN"/>
        </w:rPr>
        <w:t>567884</w:t>
      </w:r>
      <w:r>
        <w:rPr>
          <w:rFonts w:hint="default" w:ascii="Times New Roman" w:hAnsi="Times New Roman" w:eastAsia="仿宋" w:cs="Times New Roman"/>
          <w:color w:val="000000" w:themeColor="text1"/>
          <w:sz w:val="28"/>
          <w:szCs w:val="28"/>
        </w:rPr>
        <w:t>元，人民币大写：</w:t>
      </w:r>
      <w:r>
        <w:rPr>
          <w:rFonts w:hint="eastAsia" w:eastAsia="仿宋" w:cs="Times New Roman"/>
          <w:b/>
          <w:bCs/>
          <w:color w:val="000000" w:themeColor="text1"/>
          <w:sz w:val="28"/>
          <w:szCs w:val="28"/>
          <w:lang w:eastAsia="zh-CN"/>
        </w:rPr>
        <w:t>伍拾陆万柒仟捌佰捌拾肆</w:t>
      </w:r>
      <w:r>
        <w:rPr>
          <w:rFonts w:hint="default" w:ascii="Times New Roman" w:hAnsi="Times New Roman" w:eastAsia="仿宋" w:cs="Times New Roman"/>
          <w:bCs/>
          <w:color w:val="000000" w:themeColor="text1"/>
          <w:sz w:val="28"/>
          <w:szCs w:val="28"/>
        </w:rPr>
        <w:t>元整</w:t>
      </w:r>
      <w:r>
        <w:rPr>
          <w:rFonts w:hint="default" w:ascii="Times New Roman" w:hAnsi="Times New Roman" w:eastAsia="仿宋" w:cs="Times New Roman"/>
          <w:color w:val="000000" w:themeColor="text1"/>
          <w:sz w:val="28"/>
          <w:szCs w:val="28"/>
        </w:rPr>
        <w:t>，具体详见《估价结果</w:t>
      </w:r>
      <w:r>
        <w:rPr>
          <w:rFonts w:hint="default" w:ascii="Times New Roman" w:hAnsi="Times New Roman" w:eastAsia="仿宋" w:cs="Times New Roman"/>
          <w:color w:val="000000" w:themeColor="text1"/>
          <w:sz w:val="28"/>
          <w:szCs w:val="28"/>
          <w:lang w:val="en-US" w:eastAsia="zh-CN"/>
        </w:rPr>
        <w:t>汇总</w:t>
      </w:r>
      <w:r>
        <w:rPr>
          <w:rFonts w:hint="default" w:ascii="Times New Roman" w:hAnsi="Times New Roman" w:eastAsia="仿宋" w:cs="Times New Roman"/>
          <w:color w:val="000000" w:themeColor="text1"/>
          <w:sz w:val="28"/>
          <w:szCs w:val="28"/>
        </w:rPr>
        <w:t>表》：</w:t>
      </w:r>
    </w:p>
    <w:p>
      <w:pPr>
        <w:pStyle w:val="39"/>
        <w:adjustRightInd w:val="0"/>
        <w:snapToGrid w:val="0"/>
        <w:spacing w:before="0" w:beforeAutospacing="0" w:after="0" w:afterAutospacing="0" w:line="500" w:lineRule="exact"/>
        <w:jc w:val="center"/>
        <w:rPr>
          <w:rFonts w:hint="default" w:ascii="Times New Roman" w:hAnsi="Times New Roman" w:eastAsia="仿宋" w:cs="Times New Roman"/>
          <w:b/>
          <w:bCs/>
          <w:color w:val="000000" w:themeColor="text1"/>
          <w:kern w:val="2"/>
          <w:sz w:val="28"/>
          <w:szCs w:val="28"/>
          <w:lang w:val="en-US" w:eastAsia="zh-CN"/>
        </w:rPr>
      </w:pPr>
      <w:r>
        <w:rPr>
          <w:rFonts w:hint="default" w:ascii="Times New Roman" w:hAnsi="Times New Roman" w:eastAsia="仿宋" w:cs="Times New Roman"/>
          <w:b/>
          <w:bCs/>
          <w:color w:val="000000" w:themeColor="text1"/>
          <w:kern w:val="2"/>
          <w:sz w:val="28"/>
          <w:szCs w:val="28"/>
          <w:lang w:eastAsia="zh-CN"/>
        </w:rPr>
        <w:t>估价结果汇总表</w:t>
      </w:r>
    </w:p>
    <w:tbl>
      <w:tblPr>
        <w:tblStyle w:val="42"/>
        <w:tblW w:w="5731" w:type="pct"/>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337"/>
        <w:gridCol w:w="1119"/>
        <w:gridCol w:w="1211"/>
        <w:gridCol w:w="1080"/>
        <w:gridCol w:w="657"/>
        <w:gridCol w:w="697"/>
        <w:gridCol w:w="1115"/>
        <w:gridCol w:w="925"/>
        <w:gridCol w:w="1225"/>
        <w:gridCol w:w="1117"/>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80" w:hRule="atLeast"/>
          <w:jc w:val="center"/>
        </w:trPr>
        <w:tc>
          <w:tcPr>
            <w:tcW w:w="63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kern w:val="0"/>
                <w:sz w:val="21"/>
                <w:szCs w:val="21"/>
                <w:u w:val="none"/>
                <w:lang w:val="en-US" w:eastAsia="zh-CN" w:bidi="ar"/>
              </w:rPr>
            </w:pPr>
            <w:r>
              <w:rPr>
                <w:rFonts w:hint="default" w:ascii="Times New Roman" w:hAnsi="Times New Roman" w:eastAsia="仿宋" w:cs="Times New Roman"/>
                <w:b/>
                <w:bCs/>
                <w:i w:val="0"/>
                <w:iCs w:val="0"/>
                <w:color w:val="000000" w:themeColor="text1"/>
                <w:kern w:val="0"/>
                <w:sz w:val="21"/>
                <w:szCs w:val="21"/>
                <w:u w:val="none"/>
                <w:lang w:val="en-US" w:eastAsia="zh-CN" w:bidi="ar"/>
              </w:rPr>
              <w:t>产权证号</w:t>
            </w:r>
          </w:p>
        </w:tc>
        <w:tc>
          <w:tcPr>
            <w:tcW w:w="53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kern w:val="0"/>
                <w:sz w:val="21"/>
                <w:szCs w:val="21"/>
                <w:u w:val="none"/>
                <w:lang w:val="en-US" w:eastAsia="zh-CN" w:bidi="ar"/>
              </w:rPr>
            </w:pPr>
            <w:r>
              <w:rPr>
                <w:rFonts w:hint="default" w:ascii="Times New Roman" w:hAnsi="Times New Roman" w:eastAsia="仿宋" w:cs="Times New Roman"/>
                <w:b/>
                <w:bCs/>
                <w:i w:val="0"/>
                <w:iCs w:val="0"/>
                <w:color w:val="000000" w:themeColor="text1"/>
                <w:kern w:val="0"/>
                <w:sz w:val="21"/>
                <w:szCs w:val="21"/>
                <w:u w:val="none"/>
                <w:lang w:val="en-US" w:eastAsia="zh-CN" w:bidi="ar"/>
              </w:rPr>
              <w:t>房屋所有权人</w:t>
            </w:r>
          </w:p>
        </w:tc>
        <w:tc>
          <w:tcPr>
            <w:tcW w:w="57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rPr>
            </w:pPr>
            <w:r>
              <w:rPr>
                <w:rFonts w:hint="default" w:ascii="Times New Roman" w:hAnsi="Times New Roman" w:eastAsia="仿宋" w:cs="Times New Roman"/>
                <w:b/>
                <w:bCs/>
                <w:i w:val="0"/>
                <w:iCs w:val="0"/>
                <w:color w:val="000000" w:themeColor="text1"/>
                <w:kern w:val="0"/>
                <w:sz w:val="21"/>
                <w:szCs w:val="21"/>
                <w:u w:val="none"/>
                <w:lang w:val="en-US" w:eastAsia="zh-CN" w:bidi="ar"/>
              </w:rPr>
              <w:t>房屋坐落</w:t>
            </w:r>
          </w:p>
        </w:tc>
        <w:tc>
          <w:tcPr>
            <w:tcW w:w="5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rPr>
            </w:pPr>
            <w:r>
              <w:rPr>
                <w:rFonts w:hint="default" w:ascii="Times New Roman" w:hAnsi="Times New Roman" w:eastAsia="仿宋" w:cs="Times New Roman"/>
                <w:b/>
                <w:bCs/>
                <w:i w:val="0"/>
                <w:iCs w:val="0"/>
                <w:color w:val="000000" w:themeColor="text1"/>
                <w:kern w:val="0"/>
                <w:sz w:val="21"/>
                <w:szCs w:val="21"/>
                <w:u w:val="none"/>
                <w:lang w:val="en-US" w:eastAsia="zh-CN" w:bidi="ar"/>
              </w:rPr>
              <w:t>房屋用途</w:t>
            </w:r>
          </w:p>
        </w:tc>
        <w:tc>
          <w:tcPr>
            <w:tcW w:w="31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rPr>
            </w:pPr>
            <w:r>
              <w:rPr>
                <w:rFonts w:hint="default" w:ascii="Times New Roman" w:hAnsi="Times New Roman" w:eastAsia="仿宋" w:cs="Times New Roman"/>
                <w:b/>
                <w:bCs/>
                <w:i w:val="0"/>
                <w:iCs w:val="0"/>
                <w:color w:val="000000" w:themeColor="text1"/>
                <w:kern w:val="0"/>
                <w:sz w:val="21"/>
                <w:szCs w:val="21"/>
                <w:u w:val="none"/>
                <w:lang w:val="en-US" w:eastAsia="zh-CN" w:bidi="ar"/>
              </w:rPr>
              <w:t>结构</w:t>
            </w:r>
          </w:p>
        </w:tc>
        <w:tc>
          <w:tcPr>
            <w:tcW w:w="33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rPr>
            </w:pPr>
            <w:r>
              <w:rPr>
                <w:rFonts w:hint="eastAsia" w:eastAsia="仿宋" w:cs="Times New Roman"/>
                <w:b/>
                <w:bCs/>
                <w:i w:val="0"/>
                <w:iCs w:val="0"/>
                <w:color w:val="000000"/>
                <w:sz w:val="21"/>
                <w:szCs w:val="21"/>
                <w:u w:val="none"/>
                <w:lang w:val="en-US" w:eastAsia="zh-CN"/>
              </w:rPr>
              <w:t>竣工时间</w:t>
            </w:r>
          </w:p>
        </w:tc>
        <w:tc>
          <w:tcPr>
            <w:tcW w:w="5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lang w:val="en-US" w:eastAsia="zh-CN"/>
              </w:rPr>
            </w:pPr>
            <w:r>
              <w:rPr>
                <w:rFonts w:hint="default" w:ascii="Times New Roman" w:hAnsi="Times New Roman" w:eastAsia="仿宋" w:cs="Times New Roman"/>
                <w:b/>
                <w:bCs/>
                <w:i w:val="0"/>
                <w:iCs w:val="0"/>
                <w:color w:val="000000" w:themeColor="text1"/>
                <w:sz w:val="21"/>
                <w:szCs w:val="21"/>
                <w:u w:val="none"/>
                <w:lang w:val="en-US" w:eastAsia="zh-CN"/>
              </w:rPr>
              <w:t>评估楼层/总层数</w:t>
            </w:r>
          </w:p>
        </w:tc>
        <w:tc>
          <w:tcPr>
            <w:tcW w:w="44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rPr>
            </w:pPr>
            <w:r>
              <w:rPr>
                <w:rFonts w:hint="default" w:ascii="Times New Roman" w:hAnsi="Times New Roman" w:eastAsia="仿宋" w:cs="Times New Roman"/>
                <w:b/>
                <w:bCs/>
                <w:i w:val="0"/>
                <w:iCs w:val="0"/>
                <w:color w:val="000000" w:themeColor="text1"/>
                <w:kern w:val="0"/>
                <w:sz w:val="21"/>
                <w:szCs w:val="21"/>
                <w:u w:val="none"/>
                <w:lang w:val="en-US" w:eastAsia="zh-CN" w:bidi="ar"/>
              </w:rPr>
              <w:t>建筑面积(㎡)</w:t>
            </w:r>
          </w:p>
        </w:tc>
        <w:tc>
          <w:tcPr>
            <w:tcW w:w="5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rPr>
            </w:pPr>
            <w:r>
              <w:rPr>
                <w:rFonts w:hint="default" w:ascii="Times New Roman" w:hAnsi="Times New Roman" w:eastAsia="仿宋" w:cs="Times New Roman"/>
                <w:b/>
                <w:bCs/>
                <w:i w:val="0"/>
                <w:iCs w:val="0"/>
                <w:color w:val="000000" w:themeColor="text1"/>
                <w:kern w:val="0"/>
                <w:sz w:val="21"/>
                <w:szCs w:val="21"/>
                <w:u w:val="none"/>
                <w:lang w:val="en-US" w:eastAsia="zh-CN" w:bidi="ar"/>
              </w:rPr>
              <w:t>评估单价(元/㎡)</w:t>
            </w: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rPr>
            </w:pPr>
            <w:r>
              <w:rPr>
                <w:rFonts w:hint="default" w:ascii="Times New Roman" w:hAnsi="Times New Roman" w:eastAsia="仿宋" w:cs="Times New Roman"/>
                <w:b/>
                <w:bCs/>
                <w:i w:val="0"/>
                <w:iCs w:val="0"/>
                <w:color w:val="000000" w:themeColor="text1"/>
                <w:kern w:val="0"/>
                <w:sz w:val="21"/>
                <w:szCs w:val="21"/>
                <w:u w:val="none"/>
                <w:lang w:val="en-US" w:eastAsia="zh-CN" w:bidi="ar"/>
              </w:rPr>
              <w:t>评估总价(元)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637"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rPr>
            </w:pPr>
            <w:r>
              <w:rPr>
                <w:rFonts w:hint="default" w:ascii="Times New Roman" w:hAnsi="Times New Roman" w:eastAsia="仿宋" w:cs="Times New Roman"/>
                <w:i w:val="0"/>
                <w:iCs w:val="0"/>
                <w:color w:val="000000" w:themeColor="text1"/>
                <w:kern w:val="0"/>
                <w:sz w:val="21"/>
                <w:szCs w:val="21"/>
                <w:u w:val="none"/>
                <w:lang w:val="en-US" w:eastAsia="zh-CN" w:bidi="ar"/>
              </w:rPr>
              <w:t>宜丰房权证字第0009043号</w:t>
            </w:r>
          </w:p>
        </w:tc>
        <w:tc>
          <w:tcPr>
            <w:tcW w:w="533"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default" w:ascii="Times New Roman" w:hAnsi="Times New Roman" w:eastAsia="仿宋" w:cs="Times New Roman"/>
                <w:i w:val="0"/>
                <w:iCs w:val="0"/>
                <w:color w:val="000000" w:themeColor="text1"/>
                <w:kern w:val="0"/>
                <w:sz w:val="21"/>
                <w:szCs w:val="21"/>
                <w:u w:val="none"/>
                <w:lang w:val="en-US" w:eastAsia="zh-CN" w:bidi="ar"/>
              </w:rPr>
              <w:t>黄建中</w:t>
            </w:r>
          </w:p>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default" w:ascii="Times New Roman" w:hAnsi="Times New Roman" w:eastAsia="仿宋" w:cs="Times New Roman"/>
                <w:i w:val="0"/>
                <w:iCs w:val="0"/>
                <w:color w:val="000000" w:themeColor="text1"/>
                <w:kern w:val="0"/>
                <w:sz w:val="21"/>
                <w:szCs w:val="21"/>
                <w:u w:val="none"/>
                <w:lang w:val="en-US" w:eastAsia="zh-CN" w:bidi="ar"/>
              </w:rPr>
              <w:t>谢芝秀</w:t>
            </w:r>
          </w:p>
        </w:tc>
        <w:tc>
          <w:tcPr>
            <w:tcW w:w="577"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rPr>
            </w:pPr>
            <w:r>
              <w:rPr>
                <w:rFonts w:hint="default" w:ascii="Times New Roman" w:hAnsi="Times New Roman" w:eastAsia="仿宋" w:cs="Times New Roman"/>
                <w:i w:val="0"/>
                <w:iCs w:val="0"/>
                <w:color w:val="000000" w:themeColor="text1"/>
                <w:kern w:val="0"/>
                <w:sz w:val="21"/>
                <w:szCs w:val="21"/>
                <w:u w:val="none"/>
                <w:lang w:val="en-US" w:eastAsia="zh-CN" w:bidi="ar"/>
              </w:rPr>
              <w:t>新昌镇解放路2号</w:t>
            </w:r>
          </w:p>
        </w:tc>
        <w:tc>
          <w:tcPr>
            <w:tcW w:w="515"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rPr>
            </w:pPr>
            <w:r>
              <w:rPr>
                <w:rFonts w:hint="default" w:ascii="Times New Roman" w:hAnsi="Times New Roman" w:eastAsia="仿宋" w:cs="Times New Roman"/>
                <w:i w:val="0"/>
                <w:iCs w:val="0"/>
                <w:color w:val="000000" w:themeColor="text1"/>
                <w:kern w:val="0"/>
                <w:sz w:val="21"/>
                <w:szCs w:val="21"/>
                <w:u w:val="none"/>
                <w:lang w:val="en-US" w:eastAsia="zh-CN" w:bidi="ar"/>
              </w:rPr>
              <w:t>住宅</w:t>
            </w:r>
          </w:p>
        </w:tc>
        <w:tc>
          <w:tcPr>
            <w:tcW w:w="31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rPr>
            </w:pPr>
            <w:r>
              <w:rPr>
                <w:rFonts w:hint="default" w:ascii="Times New Roman" w:hAnsi="Times New Roman" w:eastAsia="仿宋" w:cs="Times New Roman"/>
                <w:i w:val="0"/>
                <w:iCs w:val="0"/>
                <w:color w:val="000000" w:themeColor="text1"/>
                <w:kern w:val="0"/>
                <w:sz w:val="21"/>
                <w:szCs w:val="21"/>
                <w:u w:val="none"/>
                <w:lang w:val="en-US" w:eastAsia="zh-CN" w:bidi="ar"/>
              </w:rPr>
              <w:t>混合</w:t>
            </w:r>
          </w:p>
        </w:tc>
        <w:tc>
          <w:tcPr>
            <w:tcW w:w="33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lang w:val="en-US"/>
              </w:rPr>
            </w:pPr>
            <w:r>
              <w:rPr>
                <w:rFonts w:hint="default" w:ascii="Times New Roman" w:hAnsi="Times New Roman" w:eastAsia="仿宋" w:cs="Times New Roman"/>
                <w:i w:val="0"/>
                <w:iCs w:val="0"/>
                <w:color w:val="000000" w:themeColor="text1"/>
                <w:kern w:val="0"/>
                <w:sz w:val="21"/>
                <w:szCs w:val="21"/>
                <w:u w:val="none"/>
                <w:lang w:val="en-US" w:eastAsia="zh-CN" w:bidi="ar"/>
              </w:rPr>
              <w:t>2000年</w:t>
            </w:r>
          </w:p>
        </w:tc>
        <w:tc>
          <w:tcPr>
            <w:tcW w:w="5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lang w:val="en-US" w:eastAsia="zh-CN"/>
              </w:rPr>
            </w:pPr>
            <w:r>
              <w:rPr>
                <w:rFonts w:hint="default" w:ascii="Times New Roman" w:hAnsi="Times New Roman" w:eastAsia="仿宋" w:cs="Times New Roman"/>
                <w:i w:val="0"/>
                <w:iCs w:val="0"/>
                <w:color w:val="000000" w:themeColor="text1"/>
                <w:sz w:val="21"/>
                <w:szCs w:val="21"/>
                <w:u w:val="none"/>
                <w:lang w:val="en-US" w:eastAsia="zh-CN"/>
              </w:rPr>
              <w:t>6/6</w:t>
            </w:r>
          </w:p>
        </w:tc>
        <w:tc>
          <w:tcPr>
            <w:tcW w:w="44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eastAsia" w:eastAsia="仿宋" w:cs="Times New Roman"/>
                <w:i w:val="0"/>
                <w:iCs w:val="0"/>
                <w:color w:val="000000" w:themeColor="text1"/>
                <w:kern w:val="0"/>
                <w:sz w:val="21"/>
                <w:szCs w:val="21"/>
                <w:u w:val="none"/>
                <w:lang w:val="en-US" w:eastAsia="zh-CN" w:bidi="ar"/>
              </w:rPr>
              <w:t>122.54</w:t>
            </w:r>
          </w:p>
        </w:tc>
        <w:tc>
          <w:tcPr>
            <w:tcW w:w="5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eastAsia" w:eastAsia="仿宋" w:cs="Times New Roman"/>
                <w:i w:val="0"/>
                <w:iCs w:val="0"/>
                <w:color w:val="000000" w:themeColor="text1"/>
                <w:kern w:val="0"/>
                <w:sz w:val="21"/>
                <w:szCs w:val="21"/>
                <w:u w:val="none"/>
                <w:lang w:val="en-US" w:eastAsia="zh-CN" w:bidi="ar"/>
              </w:rPr>
              <w:t>5275</w:t>
            </w: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eastAsia" w:eastAsia="仿宋" w:cs="Times New Roman"/>
                <w:b w:val="0"/>
                <w:bCs w:val="0"/>
                <w:i w:val="0"/>
                <w:iCs w:val="0"/>
                <w:color w:val="000000" w:themeColor="text1"/>
                <w:kern w:val="0"/>
                <w:sz w:val="21"/>
                <w:szCs w:val="21"/>
                <w:u w:val="none"/>
                <w:lang w:val="en-US" w:eastAsia="zh-CN" w:bidi="ar"/>
              </w:rPr>
              <w:t>646399</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637"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p>
        </w:tc>
        <w:tc>
          <w:tcPr>
            <w:tcW w:w="533"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p>
        </w:tc>
        <w:tc>
          <w:tcPr>
            <w:tcW w:w="577"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p>
        </w:tc>
        <w:tc>
          <w:tcPr>
            <w:tcW w:w="51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themeColor="text1"/>
                <w:kern w:val="0"/>
                <w:sz w:val="21"/>
                <w:szCs w:val="21"/>
                <w:u w:val="none"/>
                <w:lang w:val="en-US" w:eastAsia="zh-CN" w:bidi="ar"/>
              </w:rPr>
            </w:pPr>
            <w:r>
              <w:rPr>
                <w:rFonts w:hint="eastAsia" w:eastAsia="仿宋" w:cs="Times New Roman"/>
                <w:i w:val="0"/>
                <w:iCs w:val="0"/>
                <w:color w:val="000000" w:themeColor="text1"/>
                <w:kern w:val="0"/>
                <w:sz w:val="21"/>
                <w:szCs w:val="21"/>
                <w:u w:val="none"/>
                <w:lang w:val="en-US" w:eastAsia="zh-CN" w:bidi="ar"/>
              </w:rPr>
              <w:t>杂物间</w:t>
            </w:r>
          </w:p>
        </w:tc>
        <w:tc>
          <w:tcPr>
            <w:tcW w:w="31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default" w:ascii="Times New Roman" w:hAnsi="Times New Roman" w:eastAsia="仿宋" w:cs="Times New Roman"/>
                <w:i w:val="0"/>
                <w:iCs w:val="0"/>
                <w:color w:val="000000" w:themeColor="text1"/>
                <w:kern w:val="0"/>
                <w:sz w:val="21"/>
                <w:szCs w:val="21"/>
                <w:u w:val="none"/>
                <w:lang w:val="en-US" w:eastAsia="zh-CN" w:bidi="ar"/>
              </w:rPr>
              <w:t>混合</w:t>
            </w:r>
          </w:p>
        </w:tc>
        <w:tc>
          <w:tcPr>
            <w:tcW w:w="33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default" w:ascii="Times New Roman" w:hAnsi="Times New Roman" w:eastAsia="仿宋" w:cs="Times New Roman"/>
                <w:i w:val="0"/>
                <w:iCs w:val="0"/>
                <w:color w:val="000000" w:themeColor="text1"/>
                <w:kern w:val="0"/>
                <w:sz w:val="21"/>
                <w:szCs w:val="21"/>
                <w:u w:val="none"/>
                <w:lang w:val="en-US" w:eastAsia="zh-CN" w:bidi="ar"/>
              </w:rPr>
              <w:t>2000年</w:t>
            </w:r>
          </w:p>
        </w:tc>
        <w:tc>
          <w:tcPr>
            <w:tcW w:w="53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lang w:val="en-US" w:eastAsia="zh-CN"/>
              </w:rPr>
            </w:pPr>
            <w:r>
              <w:rPr>
                <w:rFonts w:hint="eastAsia" w:eastAsia="仿宋" w:cs="Times New Roman"/>
                <w:i w:val="0"/>
                <w:iCs w:val="0"/>
                <w:color w:val="000000" w:themeColor="text1"/>
                <w:sz w:val="21"/>
                <w:szCs w:val="21"/>
                <w:u w:val="none"/>
                <w:lang w:val="en-US" w:eastAsia="zh-CN"/>
              </w:rPr>
              <w:t>1/6</w:t>
            </w:r>
          </w:p>
        </w:tc>
        <w:tc>
          <w:tcPr>
            <w:tcW w:w="44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eastAsia" w:eastAsia="仿宋" w:cs="Times New Roman"/>
                <w:i w:val="0"/>
                <w:iCs w:val="0"/>
                <w:color w:val="000000" w:themeColor="text1"/>
                <w:kern w:val="0"/>
                <w:sz w:val="21"/>
                <w:szCs w:val="21"/>
                <w:u w:val="none"/>
                <w:lang w:val="en-US" w:eastAsia="zh-CN" w:bidi="ar"/>
              </w:rPr>
              <w:t>7.75</w:t>
            </w:r>
          </w:p>
        </w:tc>
        <w:tc>
          <w:tcPr>
            <w:tcW w:w="5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eastAsia" w:eastAsia="仿宋" w:cs="Times New Roman"/>
                <w:i w:val="0"/>
                <w:iCs w:val="0"/>
                <w:color w:val="000000" w:themeColor="text1"/>
                <w:kern w:val="0"/>
                <w:sz w:val="21"/>
                <w:szCs w:val="21"/>
                <w:u w:val="none"/>
                <w:lang w:val="en-US" w:eastAsia="zh-CN" w:bidi="ar"/>
              </w:rPr>
              <w:t>2800</w:t>
            </w: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themeColor="text1"/>
                <w:kern w:val="0"/>
                <w:sz w:val="21"/>
                <w:szCs w:val="21"/>
                <w:u w:val="none"/>
                <w:lang w:val="en-US" w:eastAsia="zh-CN" w:bidi="ar"/>
              </w:rPr>
            </w:pPr>
            <w:r>
              <w:rPr>
                <w:rFonts w:hint="eastAsia" w:eastAsia="仿宋" w:cs="Times New Roman"/>
                <w:b w:val="0"/>
                <w:bCs w:val="0"/>
                <w:i w:val="0"/>
                <w:iCs w:val="0"/>
                <w:color w:val="000000" w:themeColor="text1"/>
                <w:kern w:val="0"/>
                <w:sz w:val="21"/>
                <w:szCs w:val="21"/>
                <w:u w:val="none"/>
                <w:lang w:val="en-US" w:eastAsia="zh-CN" w:bidi="ar"/>
              </w:rPr>
              <w:t>21700</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3441" w:type="pct"/>
            <w:gridSpan w:val="7"/>
            <w:tcBorders>
              <w:tl2br w:val="nil"/>
              <w:tr2bl w:val="nil"/>
            </w:tcBorders>
            <w:shd w:val="clear" w:color="auto" w:fill="auto"/>
            <w:noWrap/>
            <w:vAlign w:val="center"/>
          </w:tcPr>
          <w:p>
            <w:pPr>
              <w:keepNext w:val="0"/>
              <w:keepLines w:val="0"/>
              <w:widowControl/>
              <w:suppressLineNumbers w:val="0"/>
              <w:jc w:val="center"/>
              <w:textAlignment w:val="center"/>
              <w:rPr>
                <w:rFonts w:hint="eastAsia" w:eastAsia="仿宋" w:cs="Times New Roman"/>
                <w:i w:val="0"/>
                <w:iCs w:val="0"/>
                <w:color w:val="000000" w:themeColor="text1"/>
                <w:sz w:val="21"/>
                <w:szCs w:val="21"/>
                <w:u w:val="none"/>
                <w:lang w:val="en-US" w:eastAsia="zh-CN"/>
              </w:rPr>
            </w:pPr>
            <w:r>
              <w:rPr>
                <w:rFonts w:hint="eastAsia" w:eastAsia="仿宋" w:cs="Times New Roman"/>
                <w:i w:val="0"/>
                <w:iCs w:val="0"/>
                <w:color w:val="000000" w:themeColor="text1"/>
                <w:sz w:val="21"/>
                <w:szCs w:val="21"/>
                <w:u w:val="none"/>
                <w:lang w:val="en-US" w:eastAsia="zh-CN"/>
              </w:rPr>
              <w:t>合计</w:t>
            </w:r>
          </w:p>
        </w:tc>
        <w:tc>
          <w:tcPr>
            <w:tcW w:w="441" w:type="pct"/>
            <w:tcBorders>
              <w:tl2br w:val="nil"/>
              <w:tr2bl w:val="nil"/>
            </w:tcBorders>
            <w:shd w:val="clear" w:color="auto" w:fill="auto"/>
            <w:vAlign w:val="center"/>
          </w:tcPr>
          <w:p>
            <w:pPr>
              <w:keepNext w:val="0"/>
              <w:keepLines w:val="0"/>
              <w:widowControl/>
              <w:suppressLineNumbers w:val="0"/>
              <w:jc w:val="center"/>
              <w:textAlignment w:val="center"/>
              <w:rPr>
                <w:rFonts w:hint="default" w:eastAsia="仿宋" w:cs="Times New Roman"/>
                <w:i w:val="0"/>
                <w:iCs w:val="0"/>
                <w:color w:val="000000" w:themeColor="text1"/>
                <w:kern w:val="0"/>
                <w:sz w:val="21"/>
                <w:szCs w:val="21"/>
                <w:u w:val="none"/>
                <w:lang w:val="en-US" w:eastAsia="zh-CN" w:bidi="ar"/>
              </w:rPr>
            </w:pPr>
            <w:r>
              <w:rPr>
                <w:rFonts w:hint="eastAsia" w:eastAsia="仿宋" w:cs="Times New Roman"/>
                <w:i w:val="0"/>
                <w:iCs w:val="0"/>
                <w:color w:val="000000" w:themeColor="text1"/>
                <w:kern w:val="0"/>
                <w:sz w:val="21"/>
                <w:szCs w:val="21"/>
                <w:u w:val="none"/>
                <w:lang w:val="en-US" w:eastAsia="zh-CN" w:bidi="ar"/>
              </w:rPr>
              <w:t>130.29</w:t>
            </w:r>
          </w:p>
        </w:tc>
        <w:tc>
          <w:tcPr>
            <w:tcW w:w="584" w:type="pct"/>
            <w:tcBorders>
              <w:tl2br w:val="nil"/>
              <w:tr2bl w:val="nil"/>
            </w:tcBorders>
            <w:shd w:val="clear" w:color="auto" w:fill="auto"/>
            <w:vAlign w:val="center"/>
          </w:tcPr>
          <w:p>
            <w:pPr>
              <w:keepNext w:val="0"/>
              <w:keepLines w:val="0"/>
              <w:widowControl/>
              <w:suppressLineNumbers w:val="0"/>
              <w:jc w:val="center"/>
              <w:textAlignment w:val="center"/>
              <w:rPr>
                <w:rFonts w:hint="default" w:eastAsia="仿宋" w:cs="Times New Roman"/>
                <w:i w:val="0"/>
                <w:iCs w:val="0"/>
                <w:color w:val="000000" w:themeColor="text1"/>
                <w:kern w:val="0"/>
                <w:sz w:val="21"/>
                <w:szCs w:val="21"/>
                <w:u w:val="none"/>
                <w:lang w:val="en-US" w:eastAsia="zh-CN" w:bidi="ar"/>
              </w:rPr>
            </w:pPr>
            <w:r>
              <w:rPr>
                <w:rFonts w:hint="eastAsia" w:eastAsia="仿宋" w:cs="Times New Roman"/>
                <w:i w:val="0"/>
                <w:iCs w:val="0"/>
                <w:color w:val="000000" w:themeColor="text1"/>
                <w:kern w:val="0"/>
                <w:sz w:val="21"/>
                <w:szCs w:val="21"/>
                <w:u w:val="none"/>
                <w:lang w:val="en-US" w:eastAsia="zh-CN" w:bidi="ar"/>
              </w:rPr>
              <w:t>/</w:t>
            </w: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default" w:eastAsia="仿宋" w:cs="Times New Roman"/>
                <w:b w:val="0"/>
                <w:bCs w:val="0"/>
                <w:i w:val="0"/>
                <w:iCs w:val="0"/>
                <w:color w:val="000000" w:themeColor="text1"/>
                <w:kern w:val="0"/>
                <w:sz w:val="21"/>
                <w:szCs w:val="21"/>
                <w:u w:val="none"/>
                <w:lang w:val="en-US" w:eastAsia="zh-CN" w:bidi="ar"/>
              </w:rPr>
            </w:pPr>
            <w:r>
              <w:rPr>
                <w:rFonts w:hint="eastAsia" w:eastAsia="仿宋" w:cs="Times New Roman"/>
                <w:b w:val="0"/>
                <w:bCs w:val="0"/>
                <w:i w:val="0"/>
                <w:iCs w:val="0"/>
                <w:color w:val="000000" w:themeColor="text1"/>
                <w:kern w:val="0"/>
                <w:sz w:val="21"/>
                <w:szCs w:val="21"/>
                <w:u w:val="none"/>
                <w:lang w:val="en-US" w:eastAsia="zh-CN" w:bidi="ar"/>
              </w:rPr>
              <w:t>668099</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4467" w:type="pct"/>
            <w:gridSpan w:val="9"/>
            <w:tcBorders>
              <w:tl2br w:val="nil"/>
              <w:tr2bl w:val="nil"/>
            </w:tcBorders>
            <w:shd w:val="clear" w:color="auto" w:fill="auto"/>
            <w:noWrap/>
            <w:vAlign w:val="center"/>
          </w:tcPr>
          <w:p>
            <w:pPr>
              <w:widowControl/>
              <w:spacing w:line="280" w:lineRule="exact"/>
              <w:jc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default" w:ascii="Times New Roman" w:hAnsi="Times New Roman" w:eastAsia="仿宋" w:cs="Times New Roman"/>
                <w:color w:val="000000" w:themeColor="text1"/>
                <w:kern w:val="0"/>
                <w:lang w:val="en-US" w:eastAsia="zh-CN"/>
              </w:rPr>
              <w:t>应扣除的土地出让金</w:t>
            </w: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val="0"/>
                <w:bCs w:val="0"/>
                <w:i w:val="0"/>
                <w:iCs w:val="0"/>
                <w:color w:val="000000" w:themeColor="text1"/>
                <w:kern w:val="0"/>
                <w:sz w:val="21"/>
                <w:szCs w:val="21"/>
                <w:u w:val="none"/>
                <w:lang w:val="en-US" w:eastAsia="zh-CN" w:bidi="ar"/>
              </w:rPr>
            </w:pPr>
            <w:r>
              <w:rPr>
                <w:rFonts w:hint="eastAsia" w:eastAsia="仿宋" w:cs="Times New Roman"/>
                <w:b w:val="0"/>
                <w:bCs w:val="0"/>
                <w:i w:val="0"/>
                <w:iCs w:val="0"/>
                <w:color w:val="000000" w:themeColor="text1"/>
                <w:kern w:val="0"/>
                <w:sz w:val="21"/>
                <w:szCs w:val="21"/>
                <w:u w:val="none"/>
                <w:lang w:val="en-US" w:eastAsia="zh-CN" w:bidi="ar"/>
              </w:rPr>
              <w:t>100215</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4467" w:type="pct"/>
            <w:gridSpan w:val="9"/>
            <w:tcBorders>
              <w:tl2br w:val="nil"/>
              <w:tr2bl w:val="nil"/>
            </w:tcBorders>
            <w:shd w:val="clear" w:color="auto" w:fill="auto"/>
            <w:noWrap/>
            <w:vAlign w:val="center"/>
          </w:tcPr>
          <w:p>
            <w:pPr>
              <w:widowControl/>
              <w:spacing w:line="280" w:lineRule="exact"/>
              <w:jc w:val="center"/>
              <w:rPr>
                <w:rFonts w:hint="default" w:ascii="Times New Roman" w:hAnsi="Times New Roman" w:eastAsia="仿宋" w:cs="Times New Roman"/>
                <w:b/>
                <w:bCs/>
                <w:i w:val="0"/>
                <w:iCs w:val="0"/>
                <w:color w:val="000000" w:themeColor="text1"/>
                <w:kern w:val="0"/>
                <w:sz w:val="21"/>
                <w:szCs w:val="21"/>
                <w:u w:val="none"/>
                <w:lang w:val="en-US" w:eastAsia="zh-CN" w:bidi="ar"/>
              </w:rPr>
            </w:pPr>
            <w:r>
              <w:rPr>
                <w:rFonts w:hint="default" w:ascii="Times New Roman" w:hAnsi="Times New Roman" w:eastAsia="仿宋" w:cs="Times New Roman"/>
                <w:b/>
                <w:bCs/>
                <w:color w:val="000000" w:themeColor="text1"/>
                <w:kern w:val="0"/>
                <w:lang w:val="en-US" w:eastAsia="zh-CN"/>
              </w:rPr>
              <w:t>扣除土地出让金后净值</w:t>
            </w:r>
          </w:p>
        </w:tc>
        <w:tc>
          <w:tcPr>
            <w:tcW w:w="532"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kern w:val="0"/>
                <w:sz w:val="21"/>
                <w:szCs w:val="21"/>
                <w:u w:val="none"/>
                <w:lang w:val="en-US" w:eastAsia="zh-CN" w:bidi="ar"/>
              </w:rPr>
            </w:pPr>
            <w:bookmarkStart w:id="217" w:name="_GoBack"/>
            <w:r>
              <w:rPr>
                <w:rFonts w:hint="eastAsia" w:eastAsia="仿宋" w:cs="Times New Roman"/>
                <w:b/>
                <w:bCs/>
                <w:i w:val="0"/>
                <w:iCs w:val="0"/>
                <w:color w:val="000000" w:themeColor="text1"/>
                <w:kern w:val="0"/>
                <w:sz w:val="21"/>
                <w:szCs w:val="21"/>
                <w:u w:val="none"/>
                <w:lang w:val="en-US" w:eastAsia="zh-CN" w:bidi="ar"/>
              </w:rPr>
              <w:t>567884</w:t>
            </w:r>
            <w:bookmarkEnd w:id="217"/>
          </w:p>
        </w:tc>
      </w:tr>
    </w:tbl>
    <w:p>
      <w:pPr>
        <w:spacing w:line="400" w:lineRule="exact"/>
        <w:ind w:left="420" w:right="17"/>
        <w:rPr>
          <w:rFonts w:hint="default" w:ascii="Times New Roman" w:hAnsi="Times New Roman" w:eastAsia="仿宋" w:cs="Times New Roman"/>
          <w:color w:val="000000" w:themeColor="text1"/>
          <w:sz w:val="24"/>
          <w:szCs w:val="24"/>
        </w:rPr>
      </w:pPr>
      <w:r>
        <w:rPr>
          <w:rFonts w:hint="default" w:ascii="Times New Roman" w:hAnsi="Times New Roman" w:eastAsia="仿宋" w:cs="Times New Roman"/>
          <w:color w:val="000000" w:themeColor="text1"/>
          <w:sz w:val="24"/>
          <w:szCs w:val="24"/>
        </w:rPr>
        <w:t>特别提示：</w:t>
      </w:r>
    </w:p>
    <w:p>
      <w:pPr>
        <w:widowControl/>
        <w:spacing w:line="400" w:lineRule="exact"/>
        <w:ind w:firstLine="480" w:firstLineChars="200"/>
        <w:jc w:val="left"/>
        <w:rPr>
          <w:rFonts w:hint="default" w:ascii="Times New Roman" w:hAnsi="Times New Roman" w:eastAsia="仿宋" w:cs="Times New Roman"/>
          <w:color w:val="000000" w:themeColor="text1"/>
          <w:sz w:val="24"/>
          <w:szCs w:val="24"/>
          <w:highlight w:val="none"/>
          <w:lang w:eastAsia="zh-CN"/>
        </w:rPr>
      </w:pPr>
      <w:r>
        <w:rPr>
          <w:rFonts w:hint="default" w:ascii="Times New Roman" w:hAnsi="Times New Roman" w:eastAsia="仿宋" w:cs="Times New Roman"/>
          <w:color w:val="000000" w:themeColor="text1"/>
          <w:sz w:val="24"/>
          <w:szCs w:val="24"/>
          <w:highlight w:val="none"/>
          <w:lang w:val="en-US" w:eastAsia="zh-CN"/>
        </w:rPr>
        <w:t>1.</w:t>
      </w:r>
      <w:r>
        <w:rPr>
          <w:rFonts w:hint="default" w:ascii="Times New Roman" w:hAnsi="Times New Roman" w:eastAsia="仿宋" w:cs="Times New Roman"/>
          <w:color w:val="000000" w:themeColor="text1"/>
          <w:sz w:val="24"/>
          <w:szCs w:val="24"/>
          <w:highlight w:val="none"/>
        </w:rPr>
        <w:t>本次评估物业土地使用权类型为划拨，</w:t>
      </w:r>
      <w:r>
        <w:rPr>
          <w:rFonts w:hint="default" w:ascii="Times New Roman" w:hAnsi="Times New Roman" w:eastAsia="仿宋" w:cs="Times New Roman"/>
          <w:color w:val="000000" w:themeColor="text1"/>
          <w:sz w:val="24"/>
          <w:szCs w:val="24"/>
          <w:highlight w:val="none"/>
          <w:lang w:eastAsia="zh-CN"/>
        </w:rPr>
        <w:t>故</w:t>
      </w:r>
      <w:r>
        <w:rPr>
          <w:rFonts w:hint="default" w:ascii="Times New Roman" w:hAnsi="Times New Roman" w:eastAsia="仿宋" w:cs="Times New Roman"/>
          <w:color w:val="000000" w:themeColor="text1"/>
          <w:sz w:val="24"/>
          <w:szCs w:val="24"/>
          <w:highlight w:val="none"/>
        </w:rPr>
        <w:t>先评估出让条件下物业价值，再考虑划拨土地使用权转让为出让土地使用权应缴纳的土地使用权出让金等款额。根据</w:t>
      </w:r>
      <w:r>
        <w:rPr>
          <w:rFonts w:hint="default" w:ascii="Times New Roman" w:hAnsi="Times New Roman" w:eastAsia="仿宋" w:cs="Times New Roman"/>
          <w:color w:val="000000" w:themeColor="text1"/>
          <w:sz w:val="24"/>
          <w:szCs w:val="24"/>
          <w:highlight w:val="none"/>
          <w:lang w:eastAsia="zh-CN"/>
        </w:rPr>
        <w:t>《宜丰县人民政府办公室关于印发宜丰县经济适用住房上市交易管理办法的通知》（宜府办发〔2019〕46号）第十条</w:t>
      </w:r>
      <w:r>
        <w:rPr>
          <w:rFonts w:hint="default" w:ascii="Times New Roman" w:hAnsi="Times New Roman" w:eastAsia="仿宋" w:cs="Times New Roman"/>
          <w:color w:val="000000" w:themeColor="text1"/>
          <w:sz w:val="24"/>
          <w:szCs w:val="24"/>
          <w:highlight w:val="none"/>
        </w:rPr>
        <w:t>规定“属划拨用地性质的经济适用住房还应按该地段土地评估地价的50％补缴土地出让金及相关税费，但其补缴标准不得低于出让地块所在地级别基准地价的70%，纳入县财政土地收益专户管理。</w:t>
      </w:r>
      <w:r>
        <w:rPr>
          <w:rFonts w:hint="default" w:ascii="Times New Roman" w:hAnsi="Times New Roman" w:eastAsia="仿宋" w:cs="Times New Roman"/>
          <w:color w:val="000000" w:themeColor="text1"/>
          <w:sz w:val="24"/>
          <w:szCs w:val="24"/>
          <w:highlight w:val="none"/>
          <w:lang w:eastAsia="zh-CN"/>
        </w:rPr>
        <w:t>”</w:t>
      </w:r>
    </w:p>
    <w:p>
      <w:pPr>
        <w:widowControl/>
        <w:spacing w:line="400" w:lineRule="exact"/>
        <w:ind w:firstLine="480" w:firstLineChars="200"/>
        <w:jc w:val="left"/>
        <w:rPr>
          <w:rFonts w:hint="default" w:ascii="Times New Roman" w:hAnsi="Times New Roman" w:eastAsia="仿宋" w:cs="Times New Roman"/>
          <w:color w:val="000000" w:themeColor="text1"/>
          <w:sz w:val="24"/>
          <w:szCs w:val="24"/>
          <w:highlight w:val="none"/>
          <w:lang w:val="en-US" w:eastAsia="zh-CN"/>
        </w:rPr>
      </w:pPr>
      <w:r>
        <w:rPr>
          <w:rFonts w:hint="default" w:ascii="Times New Roman" w:hAnsi="Times New Roman" w:eastAsia="仿宋" w:cs="Times New Roman"/>
          <w:color w:val="000000" w:themeColor="text1"/>
          <w:sz w:val="24"/>
          <w:szCs w:val="24"/>
          <w:highlight w:val="none"/>
          <w:lang w:val="en-US" w:eastAsia="zh-CN"/>
        </w:rPr>
        <w:t>2.根据房地产估价规范及我公司估价师的经验，一般情况下楼面地价在房地产单价中约占30%左右，综合分析后本次评估确定楼面地价为房地产单价的30%，则按物业总价值的15%扣除土地出让金。</w:t>
      </w:r>
    </w:p>
    <w:p>
      <w:pPr>
        <w:widowControl/>
        <w:spacing w:line="400" w:lineRule="exact"/>
        <w:ind w:firstLine="480" w:firstLineChars="200"/>
        <w:jc w:val="left"/>
        <w:rPr>
          <w:rFonts w:hint="eastAsia" w:ascii="Times New Roman" w:hAnsi="Times New Roman" w:eastAsia="仿宋" w:cs="Times New Roman"/>
          <w:color w:val="000000" w:themeColor="text1"/>
          <w:sz w:val="24"/>
          <w:szCs w:val="24"/>
          <w:highlight w:val="none"/>
          <w:lang w:val="en-US" w:eastAsia="zh-CN"/>
        </w:rPr>
      </w:pPr>
      <w:r>
        <w:rPr>
          <w:rFonts w:hint="eastAsia" w:ascii="Times New Roman" w:hAnsi="Times New Roman" w:eastAsia="仿宋" w:cs="Times New Roman"/>
          <w:color w:val="000000" w:themeColor="text1"/>
          <w:sz w:val="24"/>
          <w:szCs w:val="24"/>
          <w:highlight w:val="none"/>
          <w:lang w:val="en-US" w:eastAsia="zh-CN"/>
        </w:rPr>
        <w:t>3.根据委托方提供的《全额集资建住房协议书》第七条规定“关于房基地问题：如本套住宅集资款未含征地拆迁费的，今后乙方转让该房产权时，乙方须按转让时的市场价格向甲方补交土地33.57㎡的征地拆迁费。但如转让给甲方或甲方职工可不补交此项征地拆迁费。”</w:t>
      </w:r>
    </w:p>
    <w:p>
      <w:pPr>
        <w:widowControl/>
        <w:spacing w:line="400" w:lineRule="exact"/>
        <w:ind w:firstLine="480" w:firstLineChars="200"/>
        <w:jc w:val="left"/>
        <w:rPr>
          <w:rFonts w:hint="default" w:ascii="Times New Roman" w:hAnsi="Times New Roman" w:eastAsia="仿宋" w:cs="Times New Roman"/>
          <w:color w:val="000000" w:themeColor="text1"/>
          <w:sz w:val="24"/>
          <w:szCs w:val="24"/>
          <w:highlight w:val="none"/>
          <w:lang w:val="en-US" w:eastAsia="zh-CN"/>
        </w:rPr>
      </w:pPr>
      <w:r>
        <w:rPr>
          <w:rFonts w:hint="eastAsia" w:ascii="Times New Roman" w:hAnsi="Times New Roman" w:eastAsia="仿宋" w:cs="Times New Roman"/>
          <w:color w:val="000000" w:themeColor="text1"/>
          <w:sz w:val="24"/>
          <w:szCs w:val="24"/>
          <w:highlight w:val="none"/>
          <w:lang w:val="en-US" w:eastAsia="zh-CN"/>
        </w:rPr>
        <w:t>4</w:t>
      </w:r>
      <w:r>
        <w:rPr>
          <w:rFonts w:hint="default" w:ascii="Times New Roman" w:hAnsi="Times New Roman" w:eastAsia="仿宋" w:cs="Times New Roman"/>
          <w:color w:val="000000" w:themeColor="text1"/>
          <w:sz w:val="24"/>
          <w:szCs w:val="24"/>
          <w:highlight w:val="none"/>
          <w:lang w:val="en-US" w:eastAsia="zh-CN"/>
        </w:rPr>
        <w:t>.本估价报告仅限于宜丰县人民法院执行刘桂中与黄萍华、刘慧琴、黄建中的合同、无因管理、不当得利纠纷一案使用，不作他用。</w:t>
      </w:r>
    </w:p>
    <w:p>
      <w:pPr>
        <w:widowControl/>
        <w:spacing w:line="400" w:lineRule="exact"/>
        <w:ind w:firstLine="480" w:firstLineChars="200"/>
        <w:jc w:val="left"/>
        <w:rPr>
          <w:rFonts w:hint="default" w:ascii="Times New Roman" w:hAnsi="Times New Roman" w:eastAsia="仿宋" w:cs="Times New Roman"/>
          <w:color w:val="000000" w:themeColor="text1"/>
          <w:sz w:val="24"/>
          <w:szCs w:val="24"/>
          <w:highlight w:val="none"/>
          <w:lang w:val="en-US" w:eastAsia="zh-CN"/>
        </w:rPr>
      </w:pPr>
      <w:r>
        <w:rPr>
          <w:rFonts w:hint="eastAsia" w:ascii="Times New Roman" w:hAnsi="Times New Roman" w:eastAsia="仿宋" w:cs="Times New Roman"/>
          <w:color w:val="000000" w:themeColor="text1"/>
          <w:sz w:val="24"/>
          <w:szCs w:val="24"/>
          <w:highlight w:val="none"/>
          <w:lang w:val="en-US" w:eastAsia="zh-CN"/>
        </w:rPr>
        <w:t>5</w:t>
      </w:r>
      <w:r>
        <w:rPr>
          <w:rFonts w:hint="default" w:ascii="Times New Roman" w:hAnsi="Times New Roman" w:eastAsia="仿宋" w:cs="Times New Roman"/>
          <w:color w:val="000000" w:themeColor="text1"/>
          <w:sz w:val="24"/>
          <w:szCs w:val="24"/>
          <w:highlight w:val="none"/>
          <w:lang w:val="en-US" w:eastAsia="zh-CN"/>
        </w:rPr>
        <w:t>.欲了解估价对象的权益状况、实物状况、区位状况等全面情况，请认真阅读估价报告书全文。本估价报告自出报告之日起一年内有效。</w:t>
      </w:r>
    </w:p>
    <w:p>
      <w:pPr>
        <w:widowControl/>
        <w:spacing w:line="400" w:lineRule="exact"/>
        <w:ind w:firstLine="480" w:firstLineChars="200"/>
        <w:jc w:val="left"/>
        <w:rPr>
          <w:rFonts w:hint="default" w:ascii="Times New Roman" w:hAnsi="Times New Roman" w:eastAsia="仿宋" w:cs="Times New Roman"/>
          <w:color w:val="000000" w:themeColor="text1"/>
          <w:sz w:val="24"/>
          <w:szCs w:val="24"/>
          <w:highlight w:val="none"/>
          <w:lang w:val="en-US" w:eastAsia="zh-CN"/>
        </w:rPr>
      </w:pPr>
      <w:r>
        <w:rPr>
          <w:rFonts w:hint="eastAsia" w:ascii="Times New Roman" w:hAnsi="Times New Roman" w:eastAsia="仿宋" w:cs="Times New Roman"/>
          <w:color w:val="000000" w:themeColor="text1"/>
          <w:sz w:val="24"/>
          <w:szCs w:val="24"/>
          <w:highlight w:val="none"/>
          <w:lang w:val="en-US" w:eastAsia="zh-CN"/>
        </w:rPr>
        <w:t>6</w:t>
      </w:r>
      <w:r>
        <w:rPr>
          <w:rFonts w:hint="default" w:ascii="Times New Roman" w:hAnsi="Times New Roman" w:eastAsia="仿宋" w:cs="Times New Roman"/>
          <w:color w:val="000000" w:themeColor="text1"/>
          <w:sz w:val="24"/>
          <w:szCs w:val="24"/>
          <w:highlight w:val="none"/>
          <w:lang w:val="en-US" w:eastAsia="zh-CN"/>
        </w:rPr>
        <w:t>.本次估价结果包含估价对象房屋室内不可拆除的装饰装修价值。</w:t>
      </w:r>
    </w:p>
    <w:p>
      <w:pPr>
        <w:widowControl/>
        <w:spacing w:line="400" w:lineRule="exact"/>
        <w:ind w:firstLine="480" w:firstLineChars="200"/>
        <w:jc w:val="left"/>
        <w:rPr>
          <w:rFonts w:hint="default" w:ascii="Times New Roman" w:hAnsi="Times New Roman" w:eastAsia="仿宋" w:cs="Times New Roman"/>
          <w:color w:val="000000" w:themeColor="text1"/>
          <w:sz w:val="24"/>
          <w:szCs w:val="24"/>
          <w:highlight w:val="none"/>
          <w:lang w:val="en-US" w:eastAsia="zh-CN"/>
        </w:rPr>
      </w:pPr>
      <w:r>
        <w:rPr>
          <w:rFonts w:hint="eastAsia" w:ascii="Times New Roman" w:hAnsi="Times New Roman" w:eastAsia="仿宋" w:cs="Times New Roman"/>
          <w:color w:val="000000" w:themeColor="text1"/>
          <w:sz w:val="24"/>
          <w:szCs w:val="24"/>
          <w:highlight w:val="none"/>
          <w:lang w:val="en-US" w:eastAsia="zh-CN"/>
        </w:rPr>
        <w:t>7</w:t>
      </w:r>
      <w:r>
        <w:rPr>
          <w:rFonts w:hint="default" w:ascii="Times New Roman" w:hAnsi="Times New Roman" w:eastAsia="仿宋" w:cs="Times New Roman"/>
          <w:color w:val="000000" w:themeColor="text1"/>
          <w:sz w:val="24"/>
          <w:szCs w:val="24"/>
          <w:highlight w:val="none"/>
          <w:lang w:val="en-US" w:eastAsia="zh-CN"/>
        </w:rPr>
        <w:t>.估价结果未扣除处置时应缴纳的评估费、拍卖费、诉讼费、律师费等财产处置费用。</w:t>
      </w:r>
    </w:p>
    <w:p>
      <w:pPr>
        <w:snapToGrid w:val="0"/>
        <w:spacing w:line="500" w:lineRule="exact"/>
        <w:jc w:val="center"/>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 xml:space="preserve">                          </w:t>
      </w:r>
    </w:p>
    <w:p>
      <w:pPr>
        <w:snapToGrid w:val="0"/>
        <w:spacing w:line="500" w:lineRule="exact"/>
        <w:jc w:val="right"/>
        <w:rPr>
          <w:rFonts w:hint="default" w:ascii="Times New Roman" w:hAnsi="Times New Roman" w:eastAsia="仿宋" w:cs="Times New Roman"/>
          <w:b/>
          <w:bCs/>
          <w:color w:val="000000" w:themeColor="text1"/>
          <w:sz w:val="28"/>
          <w:szCs w:val="28"/>
          <w:lang w:eastAsia="zh-CN"/>
        </w:rPr>
      </w:pPr>
    </w:p>
    <w:p>
      <w:pPr>
        <w:snapToGrid w:val="0"/>
        <w:spacing w:line="500" w:lineRule="exact"/>
        <w:jc w:val="right"/>
        <w:rPr>
          <w:rFonts w:hint="default" w:ascii="Times New Roman" w:hAnsi="Times New Roman" w:eastAsia="仿宋" w:cs="Times New Roman"/>
          <w:b/>
          <w:bCs/>
          <w:color w:val="000000" w:themeColor="text1"/>
          <w:sz w:val="28"/>
          <w:szCs w:val="28"/>
          <w:lang w:eastAsia="zh-CN"/>
        </w:rPr>
      </w:pPr>
      <w:r>
        <w:rPr>
          <w:rFonts w:hint="default" w:ascii="Times New Roman" w:hAnsi="Times New Roman" w:eastAsia="仿宋" w:cs="Times New Roman"/>
          <w:b/>
          <w:bCs/>
          <w:color w:val="000000" w:themeColor="text1"/>
          <w:sz w:val="28"/>
          <w:szCs w:val="28"/>
          <w:lang w:eastAsia="zh-CN"/>
        </w:rPr>
        <w:t>佳信拓投房地产资产评估有限公司</w:t>
      </w:r>
    </w:p>
    <w:p>
      <w:pPr>
        <w:snapToGrid w:val="0"/>
        <w:spacing w:line="500" w:lineRule="exact"/>
        <w:ind w:right="560" w:firstLine="5040" w:firstLineChars="1800"/>
        <w:rPr>
          <w:rFonts w:hint="default" w:ascii="Times New Roman" w:hAnsi="Times New Roman" w:eastAsia="仿宋" w:cs="Times New Roman"/>
          <w:color w:val="000000" w:themeColor="text1"/>
          <w:sz w:val="28"/>
          <w:szCs w:val="28"/>
        </w:rPr>
      </w:pPr>
      <w:bookmarkStart w:id="14" w:name="_Toc382493601"/>
      <w:bookmarkStart w:id="15" w:name="_Toc383068120"/>
      <w:bookmarkStart w:id="16" w:name="_Toc155258955"/>
      <w:bookmarkStart w:id="17" w:name="_Toc387827680"/>
      <w:bookmarkStart w:id="18" w:name="_Toc384813569"/>
      <w:r>
        <w:rPr>
          <w:rFonts w:hint="default" w:ascii="Times New Roman" w:hAnsi="Times New Roman" w:eastAsia="仿宋" w:cs="Times New Roman"/>
          <w:color w:val="000000" w:themeColor="text1"/>
          <w:sz w:val="28"/>
          <w:szCs w:val="28"/>
        </w:rPr>
        <w:t>法定代表人：</w:t>
      </w:r>
      <w:bookmarkEnd w:id="14"/>
      <w:bookmarkEnd w:id="15"/>
      <w:bookmarkEnd w:id="16"/>
      <w:bookmarkEnd w:id="17"/>
      <w:bookmarkEnd w:id="18"/>
    </w:p>
    <w:p>
      <w:pPr>
        <w:snapToGrid w:val="0"/>
        <w:spacing w:line="500" w:lineRule="exact"/>
        <w:ind w:right="560" w:firstLine="4760" w:firstLineChars="1700"/>
        <w:rPr>
          <w:rFonts w:hint="default" w:ascii="Times New Roman" w:hAnsi="Times New Roman" w:eastAsia="仿宋" w:cs="Times New Roman"/>
          <w:color w:val="000000" w:themeColor="text1"/>
          <w:sz w:val="28"/>
          <w:szCs w:val="28"/>
          <w:highlight w:val="yellow"/>
          <w:lang w:val="en-US" w:eastAsia="zh-CN"/>
        </w:rPr>
      </w:pPr>
      <w:r>
        <w:rPr>
          <w:rFonts w:hint="default" w:ascii="Times New Roman" w:hAnsi="Times New Roman" w:eastAsia="仿宋" w:cs="Times New Roman"/>
          <w:color w:val="000000" w:themeColor="text1"/>
          <w:sz w:val="28"/>
          <w:szCs w:val="28"/>
          <w:highlight w:val="none"/>
          <w:lang w:val="en-US" w:eastAsia="zh-CN"/>
        </w:rPr>
        <w:t>二〇二一年九月十五日</w:t>
      </w:r>
    </w:p>
    <w:p>
      <w:pPr>
        <w:snapToGrid w:val="0"/>
        <w:spacing w:line="400" w:lineRule="exact"/>
        <w:rPr>
          <w:rFonts w:hint="default" w:ascii="Times New Roman" w:hAnsi="Times New Roman" w:eastAsia="仿宋" w:cs="Times New Roman"/>
          <w:color w:val="000000" w:themeColor="text1"/>
          <w:highlight w:val="yellow"/>
        </w:rPr>
        <w:sectPr>
          <w:pgSz w:w="11906" w:h="16838"/>
          <w:pgMar w:top="1814" w:right="1276" w:bottom="1418" w:left="1701" w:header="850" w:footer="737" w:gutter="0"/>
          <w:pgBorders>
            <w:top w:val="none" w:sz="0" w:space="0"/>
            <w:left w:val="none" w:sz="0" w:space="0"/>
            <w:bottom w:val="none" w:sz="0" w:space="0"/>
            <w:right w:val="none" w:sz="0" w:space="0"/>
          </w:pgBorders>
          <w:pgNumType w:start="1"/>
          <w:cols w:space="425" w:num="1"/>
          <w:docGrid w:linePitch="312" w:charSpace="0"/>
        </w:sectPr>
      </w:pPr>
    </w:p>
    <w:p>
      <w:pPr>
        <w:pStyle w:val="140"/>
        <w:keepNext/>
        <w:keepLines/>
        <w:pageBreakBefore w:val="0"/>
        <w:widowControl/>
        <w:tabs>
          <w:tab w:val="right" w:leader="dot" w:pos="9457"/>
        </w:tabs>
        <w:kinsoku/>
        <w:wordWrap/>
        <w:overflowPunct/>
        <w:topLinePunct w:val="0"/>
        <w:autoSpaceDE/>
        <w:autoSpaceDN/>
        <w:bidi w:val="0"/>
        <w:adjustRightInd/>
        <w:snapToGrid/>
        <w:spacing w:before="0" w:line="500" w:lineRule="exact"/>
        <w:jc w:val="center"/>
        <w:textAlignment w:val="auto"/>
        <w:rPr>
          <w:rFonts w:hint="default" w:ascii="Times New Roman" w:hAnsi="Times New Roman" w:eastAsia="仿宋" w:cs="Times New Roman"/>
          <w:b w:val="0"/>
          <w:bCs w:val="0"/>
          <w:color w:val="000000" w:themeColor="text1"/>
          <w:kern w:val="0"/>
          <w:sz w:val="28"/>
          <w:szCs w:val="28"/>
          <w:lang w:val="en-US" w:eastAsia="zh-CN" w:bidi="ar-SA"/>
        </w:rPr>
      </w:pPr>
      <w:bookmarkStart w:id="19" w:name="_Toc27320"/>
      <w:bookmarkStart w:id="20" w:name="_Toc297122050"/>
      <w:bookmarkStart w:id="21" w:name="_Toc435110679"/>
      <w:bookmarkStart w:id="22" w:name="_Toc301369710"/>
      <w:bookmarkStart w:id="23" w:name="_Toc367869492"/>
      <w:bookmarkStart w:id="24" w:name="_Toc297196345"/>
      <w:r>
        <w:rPr>
          <w:rFonts w:hint="default" w:ascii="Times New Roman" w:hAnsi="Times New Roman" w:eastAsia="仿宋" w:cs="Times New Roman"/>
          <w:color w:val="000000" w:themeColor="text1"/>
          <w:sz w:val="32"/>
          <w:szCs w:val="32"/>
          <w:lang w:val="zh-CN"/>
        </w:rPr>
        <w:t xml:space="preserve">目 </w:t>
      </w:r>
      <w:r>
        <w:rPr>
          <w:rFonts w:hint="default" w:ascii="Times New Roman" w:hAnsi="Times New Roman" w:eastAsia="仿宋" w:cs="Times New Roman"/>
          <w:color w:val="000000" w:themeColor="text1"/>
          <w:sz w:val="32"/>
          <w:szCs w:val="32"/>
        </w:rPr>
        <w:t xml:space="preserve"> </w:t>
      </w:r>
      <w:r>
        <w:rPr>
          <w:rFonts w:hint="default" w:ascii="Times New Roman" w:hAnsi="Times New Roman" w:eastAsia="仿宋" w:cs="Times New Roman"/>
          <w:color w:val="000000" w:themeColor="text1"/>
          <w:sz w:val="32"/>
          <w:szCs w:val="32"/>
          <w:lang w:val="zh-CN"/>
        </w:rPr>
        <w:t>录</w:t>
      </w:r>
      <w:bookmarkEnd w:id="19"/>
      <w:r>
        <w:rPr>
          <w:rFonts w:hint="default" w:ascii="Times New Roman" w:hAnsi="Times New Roman" w:eastAsia="仿宋" w:cs="Times New Roman"/>
          <w:b w:val="0"/>
          <w:bCs w:val="0"/>
          <w:color w:val="000000" w:themeColor="text1"/>
        </w:rPr>
        <w:fldChar w:fldCharType="begin"/>
      </w:r>
      <w:r>
        <w:rPr>
          <w:rFonts w:hint="default" w:ascii="Times New Roman" w:hAnsi="Times New Roman" w:eastAsia="仿宋" w:cs="Times New Roman"/>
          <w:b w:val="0"/>
          <w:bCs w:val="0"/>
          <w:color w:val="000000" w:themeColor="text1"/>
        </w:rPr>
        <w:instrText xml:space="preserve"> TOC \o "1-3" \h \z \u </w:instrText>
      </w:r>
      <w:r>
        <w:rPr>
          <w:rFonts w:hint="default" w:ascii="Times New Roman" w:hAnsi="Times New Roman" w:eastAsia="仿宋" w:cs="Times New Roman"/>
          <w:b w:val="0"/>
          <w:bCs w:val="0"/>
          <w:color w:val="000000" w:themeColor="text1"/>
        </w:rPr>
        <w:fldChar w:fldCharType="separate"/>
      </w:r>
    </w:p>
    <w:p>
      <w:pPr>
        <w:pStyle w:val="28"/>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_Toc5775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一、估价师声明</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_Toc5775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1</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28"/>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_Toc431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snapToGrid w:val="0"/>
          <w:color w:val="000000" w:themeColor="text1"/>
          <w:kern w:val="0"/>
          <w:sz w:val="28"/>
          <w:szCs w:val="28"/>
        </w:rPr>
        <w:t>二、估价假设和限制条件</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_Toc431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2</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28"/>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_Toc22100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snapToGrid w:val="0"/>
          <w:color w:val="000000" w:themeColor="text1"/>
          <w:kern w:val="0"/>
          <w:sz w:val="28"/>
          <w:szCs w:val="28"/>
        </w:rPr>
        <w:t>三、估价结果报告</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_Toc22100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5</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37"/>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_Toc3788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（一）估价委托人</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_Toc3788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5</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37"/>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_Toc6370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（二）房地产估价机构</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_Toc6370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5</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37"/>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_Toc7188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（三）估价目的</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_Toc7188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5</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37"/>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_Toc14926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（四）估价对象</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_Toc14926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5</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37"/>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_Toc928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（五）价值时点</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_Toc928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6</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37"/>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_Toc10586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（六）价值类型</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_Toc10586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7</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37"/>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_Toc10762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（七）估价原则</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_Toc10762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7</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37"/>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_Toc11668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（八）估价依据</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_Toc11668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8</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37"/>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_Toc16538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（九）估价方法</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_Toc16538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10</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37"/>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_Toc25416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（十）估价结果</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_Toc25416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10</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37"/>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_Toc2544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（十一）注册房地产估价师</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_Toc2544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11</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37"/>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_Toc17428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（十二）实地查勘期</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_Toc17428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11</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37"/>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_Toc15550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（十三）估价作业期</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_Toc15550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11</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28"/>
        <w:keepNext w:val="0"/>
        <w:keepLines w:val="0"/>
        <w:pageBreakBefore w:val="0"/>
        <w:widowControl w:val="0"/>
        <w:tabs>
          <w:tab w:val="right" w:leader="dot" w:pos="8958"/>
          <w:tab w:val="clear" w:pos="9457"/>
        </w:tabs>
        <w:kinsoku/>
        <w:wordWrap/>
        <w:overflowPunct/>
        <w:topLinePunct w:val="0"/>
        <w:autoSpaceDE/>
        <w:autoSpaceDN/>
        <w:bidi w:val="0"/>
        <w:spacing w:line="500" w:lineRule="exact"/>
        <w:textAlignment w:val="auto"/>
        <w:rPr>
          <w:rFonts w:hint="default" w:ascii="Times New Roman" w:hAnsi="Times New Roman" w:eastAsia="仿宋" w:cs="Times New Roman"/>
          <w:b w:val="0"/>
          <w:bCs/>
          <w:color w:val="000000" w:themeColor="text1"/>
          <w:sz w:val="28"/>
          <w:szCs w:val="28"/>
        </w:rPr>
      </w:pP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HYPERLINK \l _Toc2348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四、附件</w:t>
      </w:r>
      <w:r>
        <w:rPr>
          <w:rFonts w:hint="default" w:ascii="Times New Roman" w:hAnsi="Times New Roman" w:eastAsia="仿宋" w:cs="Times New Roman"/>
          <w:b w:val="0"/>
          <w:bCs/>
          <w:color w:val="000000" w:themeColor="text1"/>
          <w:sz w:val="28"/>
          <w:szCs w:val="28"/>
        </w:rPr>
        <w:tab/>
      </w:r>
      <w:r>
        <w:rPr>
          <w:rFonts w:hint="default" w:ascii="Times New Roman" w:hAnsi="Times New Roman" w:eastAsia="仿宋" w:cs="Times New Roman"/>
          <w:b w:val="0"/>
          <w:bCs/>
          <w:color w:val="000000" w:themeColor="text1"/>
          <w:sz w:val="28"/>
          <w:szCs w:val="28"/>
        </w:rPr>
        <w:fldChar w:fldCharType="begin"/>
      </w:r>
      <w:r>
        <w:rPr>
          <w:rFonts w:hint="default" w:ascii="Times New Roman" w:hAnsi="Times New Roman" w:eastAsia="仿宋" w:cs="Times New Roman"/>
          <w:b w:val="0"/>
          <w:bCs/>
          <w:color w:val="000000" w:themeColor="text1"/>
          <w:sz w:val="28"/>
          <w:szCs w:val="28"/>
        </w:rPr>
        <w:instrText xml:space="preserve"> PAGEREF _Toc2348 </w:instrText>
      </w:r>
      <w:r>
        <w:rPr>
          <w:rFonts w:hint="default" w:ascii="Times New Roman" w:hAnsi="Times New Roman" w:eastAsia="仿宋" w:cs="Times New Roman"/>
          <w:b w:val="0"/>
          <w:bCs/>
          <w:color w:val="000000" w:themeColor="text1"/>
          <w:sz w:val="28"/>
          <w:szCs w:val="28"/>
        </w:rPr>
        <w:fldChar w:fldCharType="separate"/>
      </w:r>
      <w:r>
        <w:rPr>
          <w:rFonts w:hint="default" w:ascii="Times New Roman" w:hAnsi="Times New Roman" w:eastAsia="仿宋" w:cs="Times New Roman"/>
          <w:b w:val="0"/>
          <w:bCs/>
          <w:color w:val="000000" w:themeColor="text1"/>
          <w:sz w:val="28"/>
          <w:szCs w:val="28"/>
        </w:rPr>
        <w:t>12</w:t>
      </w:r>
      <w:r>
        <w:rPr>
          <w:rFonts w:hint="default" w:ascii="Times New Roman" w:hAnsi="Times New Roman" w:eastAsia="仿宋" w:cs="Times New Roman"/>
          <w:b w:val="0"/>
          <w:bCs/>
          <w:color w:val="000000" w:themeColor="text1"/>
          <w:sz w:val="28"/>
          <w:szCs w:val="28"/>
        </w:rPr>
        <w:fldChar w:fldCharType="end"/>
      </w:r>
      <w:r>
        <w:rPr>
          <w:rFonts w:hint="default" w:ascii="Times New Roman" w:hAnsi="Times New Roman" w:eastAsia="仿宋" w:cs="Times New Roman"/>
          <w:b w:val="0"/>
          <w:bCs/>
          <w:color w:val="000000" w:themeColor="text1"/>
          <w:sz w:val="28"/>
          <w:szCs w:val="28"/>
        </w:rPr>
        <w:fldChar w:fldCharType="end"/>
      </w:r>
    </w:p>
    <w:p>
      <w:pPr>
        <w:pStyle w:val="28"/>
        <w:keepNext/>
        <w:keepLines/>
        <w:pageBreakBefore w:val="0"/>
        <w:widowControl/>
        <w:kinsoku/>
        <w:wordWrap/>
        <w:overflowPunct/>
        <w:topLinePunct w:val="0"/>
        <w:autoSpaceDE/>
        <w:autoSpaceDN/>
        <w:bidi w:val="0"/>
        <w:adjustRightInd/>
        <w:snapToGrid/>
        <w:spacing w:before="0" w:line="400" w:lineRule="exact"/>
        <w:jc w:val="center"/>
        <w:textAlignment w:val="auto"/>
        <w:rPr>
          <w:rFonts w:hint="default" w:ascii="Times New Roman" w:hAnsi="Times New Roman" w:eastAsia="仿宋" w:cs="Times New Roman"/>
          <w:color w:val="000000" w:themeColor="text1"/>
          <w:sz w:val="28"/>
          <w:szCs w:val="28"/>
        </w:rPr>
        <w:sectPr>
          <w:footerReference r:id="rId8" w:type="default"/>
          <w:pgSz w:w="11906" w:h="16838"/>
          <w:pgMar w:top="1814" w:right="1247" w:bottom="1418" w:left="1701" w:header="850" w:footer="850" w:gutter="0"/>
          <w:pgBorders>
            <w:top w:val="none" w:sz="0" w:space="0"/>
            <w:left w:val="none" w:sz="0" w:space="0"/>
            <w:bottom w:val="none" w:sz="0" w:space="0"/>
            <w:right w:val="none" w:sz="0" w:space="0"/>
          </w:pgBorders>
          <w:cols w:space="720" w:num="1"/>
          <w:docGrid w:linePitch="286" w:charSpace="0"/>
        </w:sectPr>
      </w:pPr>
      <w:r>
        <w:rPr>
          <w:rFonts w:hint="default" w:ascii="Times New Roman" w:hAnsi="Times New Roman" w:eastAsia="仿宋" w:cs="Times New Roman"/>
          <w:b w:val="0"/>
          <w:bCs w:val="0"/>
          <w:color w:val="000000" w:themeColor="text1"/>
        </w:rPr>
        <w:fldChar w:fldCharType="end"/>
      </w:r>
    </w:p>
    <w:p>
      <w:pPr>
        <w:pStyle w:val="28"/>
        <w:spacing w:line="500" w:lineRule="exact"/>
        <w:rPr>
          <w:rFonts w:hint="default" w:ascii="Times New Roman" w:hAnsi="Times New Roman" w:eastAsia="仿宋" w:cs="Times New Roman"/>
          <w:color w:val="000000" w:themeColor="text1"/>
        </w:rPr>
      </w:pPr>
      <w:bookmarkStart w:id="25" w:name="_Toc5775"/>
      <w:r>
        <w:rPr>
          <w:rFonts w:hint="default" w:ascii="Times New Roman" w:hAnsi="Times New Roman" w:eastAsia="仿宋" w:cs="Times New Roman"/>
          <w:color w:val="000000" w:themeColor="text1"/>
        </w:rPr>
        <w:t>一、估价师声明</w:t>
      </w:r>
      <w:bookmarkEnd w:id="20"/>
      <w:bookmarkEnd w:id="21"/>
      <w:bookmarkEnd w:id="22"/>
      <w:bookmarkEnd w:id="23"/>
      <w:bookmarkEnd w:id="24"/>
      <w:bookmarkEnd w:id="25"/>
    </w:p>
    <w:p>
      <w:pPr>
        <w:spacing w:line="500" w:lineRule="exact"/>
        <w:rPr>
          <w:rFonts w:hint="default" w:ascii="Times New Roman" w:hAnsi="Times New Roman" w:eastAsia="仿宋" w:cs="Times New Roman"/>
          <w:b/>
          <w:bCs/>
          <w:color w:val="000000" w:themeColor="text1"/>
          <w:sz w:val="28"/>
          <w:szCs w:val="28"/>
        </w:rPr>
      </w:pPr>
      <w:bookmarkStart w:id="26" w:name="_Toc362509711"/>
      <w:r>
        <w:rPr>
          <w:rFonts w:hint="default" w:ascii="Times New Roman" w:hAnsi="Times New Roman" w:eastAsia="仿宋" w:cs="Times New Roman"/>
          <w:b/>
          <w:bCs/>
          <w:color w:val="000000" w:themeColor="text1"/>
          <w:sz w:val="28"/>
          <w:szCs w:val="28"/>
        </w:rPr>
        <w:t>我们郑重声明：</w:t>
      </w:r>
      <w:bookmarkEnd w:id="26"/>
    </w:p>
    <w:p>
      <w:pPr>
        <w:pStyle w:val="101"/>
        <w:numPr>
          <w:ilvl w:val="0"/>
          <w:numId w:val="1"/>
        </w:numPr>
        <w:adjustRightInd w:val="0"/>
        <w:snapToGrid w:val="0"/>
        <w:spacing w:line="500" w:lineRule="exact"/>
        <w:ind w:left="420" w:hanging="420" w:firstLineChars="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 xml:space="preserve">我们在本估价报告中陈述的事实是真实的和准确的，没有虚假记载、误导性陈述和重大遗漏。 </w:t>
      </w:r>
    </w:p>
    <w:p>
      <w:pPr>
        <w:pStyle w:val="101"/>
        <w:numPr>
          <w:ilvl w:val="0"/>
          <w:numId w:val="1"/>
        </w:numPr>
        <w:adjustRightInd w:val="0"/>
        <w:snapToGrid w:val="0"/>
        <w:spacing w:line="500" w:lineRule="exact"/>
        <w:ind w:left="420" w:hanging="420" w:firstLineChars="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本估价报告中的分析、意见和结论是我们自己独立、客观、公正的专业分析、意见和结论，但受到本估价报告中已说明的假设和限制条件的限制。</w:t>
      </w:r>
    </w:p>
    <w:p>
      <w:pPr>
        <w:pStyle w:val="101"/>
        <w:numPr>
          <w:ilvl w:val="0"/>
          <w:numId w:val="1"/>
        </w:numPr>
        <w:adjustRightInd w:val="0"/>
        <w:snapToGrid w:val="0"/>
        <w:spacing w:line="500" w:lineRule="exact"/>
        <w:ind w:left="420" w:hanging="420" w:firstLineChars="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我们与本估价报告中的估价对象没有现实或潜在的利益，也与估价委托人及估价利害关系人没有利害关系。</w:t>
      </w:r>
    </w:p>
    <w:p>
      <w:pPr>
        <w:pStyle w:val="101"/>
        <w:numPr>
          <w:ilvl w:val="0"/>
          <w:numId w:val="1"/>
        </w:numPr>
        <w:adjustRightInd w:val="0"/>
        <w:snapToGrid w:val="0"/>
        <w:spacing w:line="500" w:lineRule="exact"/>
        <w:ind w:left="420" w:hanging="420" w:firstLineChars="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我们对估价报告中的估价对象、估价委托人及估价利害关系人没有偏见。</w:t>
      </w:r>
    </w:p>
    <w:p>
      <w:pPr>
        <w:pStyle w:val="101"/>
        <w:numPr>
          <w:ilvl w:val="0"/>
          <w:numId w:val="1"/>
        </w:numPr>
        <w:adjustRightInd w:val="0"/>
        <w:snapToGrid w:val="0"/>
        <w:spacing w:line="500" w:lineRule="exact"/>
        <w:ind w:left="420" w:hanging="420" w:firstLineChars="0"/>
        <w:rPr>
          <w:rFonts w:hint="default" w:ascii="Times New Roman" w:hAnsi="Times New Roman" w:eastAsia="仿宋" w:cs="Times New Roman"/>
          <w:snapToGrid w:val="0"/>
          <w:color w:val="000000" w:themeColor="text1"/>
          <w:kern w:val="0"/>
          <w:sz w:val="32"/>
          <w:szCs w:val="32"/>
        </w:rPr>
      </w:pPr>
      <w:r>
        <w:rPr>
          <w:rFonts w:hint="default" w:ascii="Times New Roman" w:hAnsi="Times New Roman" w:eastAsia="仿宋" w:cs="Times New Roman"/>
          <w:color w:val="000000" w:themeColor="text1"/>
          <w:sz w:val="28"/>
          <w:szCs w:val="28"/>
        </w:rPr>
        <w:t>我们依照中华人民共和国国家标准《房地产估价规范》【GB/T 50291-2015】、《房地产估价基本术语标准》【GB/T50899-2013】进行分析，形成意见和结论，撰写本估价报告。</w:t>
      </w:r>
      <w:bookmarkStart w:id="27" w:name="_Toc435110680"/>
    </w:p>
    <w:p>
      <w:pPr>
        <w:pStyle w:val="101"/>
        <w:numPr>
          <w:ilvl w:val="0"/>
          <w:numId w:val="1"/>
        </w:numPr>
        <w:adjustRightInd w:val="0"/>
        <w:snapToGrid w:val="0"/>
        <w:spacing w:line="500" w:lineRule="exact"/>
        <w:ind w:left="420" w:hanging="420" w:firstLineChars="0"/>
        <w:rPr>
          <w:rFonts w:hint="default" w:ascii="Times New Roman" w:hAnsi="Times New Roman" w:eastAsia="仿宋" w:cs="Times New Roman"/>
          <w:snapToGrid w:val="0"/>
          <w:color w:val="000000" w:themeColor="text1"/>
          <w:kern w:val="0"/>
          <w:sz w:val="32"/>
          <w:szCs w:val="32"/>
        </w:rPr>
      </w:pPr>
      <w:r>
        <w:rPr>
          <w:rFonts w:hint="default" w:ascii="Times New Roman" w:hAnsi="Times New Roman" w:eastAsia="仿宋" w:cs="Times New Roman"/>
          <w:color w:val="000000" w:themeColor="text1"/>
          <w:sz w:val="28"/>
        </w:rPr>
        <w:t>本公司注册房地产估价师对估价报告中的估价对象进行了实地查勘。</w:t>
      </w:r>
    </w:p>
    <w:p>
      <w:pPr>
        <w:pStyle w:val="101"/>
        <w:numPr>
          <w:ilvl w:val="0"/>
          <w:numId w:val="1"/>
        </w:numPr>
        <w:adjustRightInd w:val="0"/>
        <w:snapToGrid w:val="0"/>
        <w:spacing w:line="500" w:lineRule="exact"/>
        <w:ind w:left="420" w:hanging="420" w:firstLineChars="0"/>
        <w:rPr>
          <w:rFonts w:hint="default" w:ascii="Times New Roman" w:hAnsi="Times New Roman" w:eastAsia="仿宋" w:cs="Times New Roman"/>
          <w:snapToGrid w:val="0"/>
          <w:color w:val="000000" w:themeColor="text1"/>
          <w:kern w:val="0"/>
          <w:sz w:val="28"/>
          <w:szCs w:val="28"/>
        </w:rPr>
      </w:pPr>
      <w:r>
        <w:rPr>
          <w:rFonts w:hint="default" w:ascii="Times New Roman" w:hAnsi="Times New Roman" w:eastAsia="仿宋" w:cs="Times New Roman"/>
          <w:snapToGrid w:val="0"/>
          <w:color w:val="000000" w:themeColor="text1"/>
          <w:kern w:val="0"/>
          <w:sz w:val="28"/>
          <w:szCs w:val="28"/>
        </w:rPr>
        <w:t>在本次估价报告撰写过程中，没有人对本估价报告提供过估价以外的重要专业帮助。</w:t>
      </w:r>
    </w:p>
    <w:p>
      <w:pPr>
        <w:pStyle w:val="101"/>
        <w:numPr>
          <w:ilvl w:val="0"/>
          <w:numId w:val="1"/>
        </w:numPr>
        <w:adjustRightInd w:val="0"/>
        <w:snapToGrid w:val="0"/>
        <w:spacing w:line="500" w:lineRule="exact"/>
        <w:ind w:left="420" w:hanging="420" w:firstLineChars="0"/>
        <w:rPr>
          <w:rFonts w:hint="default" w:ascii="Times New Roman" w:hAnsi="Times New Roman" w:eastAsia="仿宋" w:cs="Times New Roman"/>
          <w:snapToGrid w:val="0"/>
          <w:color w:val="000000" w:themeColor="text1"/>
          <w:kern w:val="0"/>
          <w:sz w:val="28"/>
          <w:szCs w:val="28"/>
        </w:rPr>
      </w:pPr>
      <w:r>
        <w:rPr>
          <w:rFonts w:hint="default" w:ascii="Times New Roman" w:hAnsi="Times New Roman" w:eastAsia="仿宋" w:cs="Times New Roman"/>
          <w:color w:val="000000" w:themeColor="text1"/>
          <w:sz w:val="28"/>
        </w:rPr>
        <w:t>我们在估价作业过程中严格遵守职业道德。</w:t>
      </w:r>
    </w:p>
    <w:p>
      <w:pPr>
        <w:ind w:left="480"/>
        <w:jc w:val="center"/>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注册房地产估价师</w:t>
      </w:r>
    </w:p>
    <w:tbl>
      <w:tblPr>
        <w:tblStyle w:val="42"/>
        <w:tblW w:w="95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2354"/>
        <w:gridCol w:w="2354"/>
        <w:gridCol w:w="25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260" w:type="dxa"/>
            <w:tcBorders>
              <w:tl2br w:val="nil"/>
              <w:tr2bl w:val="nil"/>
            </w:tcBorders>
            <w:vAlign w:val="center"/>
          </w:tcPr>
          <w:p>
            <w:pPr>
              <w:spacing w:line="500" w:lineRule="exact"/>
              <w:jc w:val="center"/>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姓名</w:t>
            </w:r>
          </w:p>
        </w:tc>
        <w:tc>
          <w:tcPr>
            <w:tcW w:w="2354" w:type="dxa"/>
            <w:tcBorders>
              <w:tl2br w:val="nil"/>
              <w:tr2bl w:val="nil"/>
            </w:tcBorders>
            <w:vAlign w:val="center"/>
          </w:tcPr>
          <w:p>
            <w:pPr>
              <w:spacing w:line="500" w:lineRule="exact"/>
              <w:jc w:val="center"/>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注册号</w:t>
            </w:r>
          </w:p>
        </w:tc>
        <w:tc>
          <w:tcPr>
            <w:tcW w:w="2354" w:type="dxa"/>
            <w:tcBorders>
              <w:tl2br w:val="nil"/>
              <w:tr2bl w:val="nil"/>
            </w:tcBorders>
            <w:vAlign w:val="center"/>
          </w:tcPr>
          <w:p>
            <w:pPr>
              <w:spacing w:line="500" w:lineRule="exact"/>
              <w:jc w:val="center"/>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签名</w:t>
            </w:r>
          </w:p>
        </w:tc>
        <w:tc>
          <w:tcPr>
            <w:tcW w:w="2535" w:type="dxa"/>
            <w:tcBorders>
              <w:tl2br w:val="nil"/>
              <w:tr2bl w:val="nil"/>
            </w:tcBorders>
            <w:vAlign w:val="center"/>
          </w:tcPr>
          <w:p>
            <w:pPr>
              <w:spacing w:line="500" w:lineRule="exact"/>
              <w:jc w:val="center"/>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2260" w:type="dxa"/>
            <w:tcBorders>
              <w:tl2br w:val="nil"/>
              <w:tr2bl w:val="nil"/>
            </w:tcBorders>
            <w:vAlign w:val="center"/>
          </w:tcPr>
          <w:p>
            <w:pPr>
              <w:spacing w:line="360" w:lineRule="auto"/>
              <w:jc w:val="center"/>
              <w:rPr>
                <w:rFonts w:hint="default"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lang w:eastAsia="zh-CN"/>
              </w:rPr>
              <w:t>吴</w:t>
            </w:r>
            <w:r>
              <w:rPr>
                <w:rFonts w:hint="default" w:ascii="Times New Roman" w:hAnsi="Times New Roman" w:eastAsia="仿宋" w:cs="Times New Roman"/>
                <w:color w:val="000000" w:themeColor="text1"/>
                <w:sz w:val="28"/>
                <w:szCs w:val="28"/>
                <w:lang w:val="en-US" w:eastAsia="zh-CN"/>
              </w:rPr>
              <w:t xml:space="preserve">  </w:t>
            </w:r>
            <w:r>
              <w:rPr>
                <w:rFonts w:hint="default" w:ascii="Times New Roman" w:hAnsi="Times New Roman" w:eastAsia="仿宋" w:cs="Times New Roman"/>
                <w:color w:val="000000" w:themeColor="text1"/>
                <w:sz w:val="28"/>
                <w:szCs w:val="28"/>
                <w:lang w:eastAsia="zh-CN"/>
              </w:rPr>
              <w:t>昊</w:t>
            </w:r>
          </w:p>
        </w:tc>
        <w:tc>
          <w:tcPr>
            <w:tcW w:w="2354" w:type="dxa"/>
            <w:tcBorders>
              <w:tl2br w:val="nil"/>
              <w:tr2bl w:val="nil"/>
            </w:tcBorders>
            <w:vAlign w:val="center"/>
          </w:tcPr>
          <w:p>
            <w:pPr>
              <w:spacing w:line="360" w:lineRule="auto"/>
              <w:jc w:val="center"/>
              <w:rPr>
                <w:rFonts w:hint="default"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lang w:eastAsia="zh-CN"/>
              </w:rPr>
              <w:t>3620040035</w:t>
            </w:r>
          </w:p>
        </w:tc>
        <w:tc>
          <w:tcPr>
            <w:tcW w:w="2354" w:type="dxa"/>
            <w:tcBorders>
              <w:tl2br w:val="nil"/>
              <w:tr2bl w:val="nil"/>
            </w:tcBorders>
            <w:vAlign w:val="center"/>
          </w:tcPr>
          <w:p>
            <w:pPr>
              <w:spacing w:line="500" w:lineRule="exact"/>
              <w:jc w:val="center"/>
              <w:rPr>
                <w:rFonts w:hint="default" w:ascii="Times New Roman" w:hAnsi="Times New Roman" w:eastAsia="仿宋" w:cs="Times New Roman"/>
                <w:color w:val="000000" w:themeColor="text1"/>
                <w:sz w:val="28"/>
                <w:szCs w:val="28"/>
              </w:rPr>
            </w:pPr>
          </w:p>
        </w:tc>
        <w:tc>
          <w:tcPr>
            <w:tcW w:w="2535" w:type="dxa"/>
            <w:tcBorders>
              <w:tl2br w:val="nil"/>
              <w:tr2bl w:val="nil"/>
            </w:tcBorders>
            <w:vAlign w:val="center"/>
          </w:tcPr>
          <w:p>
            <w:pPr>
              <w:spacing w:line="500" w:lineRule="exact"/>
              <w:jc w:val="center"/>
              <w:rPr>
                <w:rFonts w:hint="default"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lang w:eastAsia="zh-CN"/>
              </w:rPr>
              <w:t>2021年09月15日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2260" w:type="dxa"/>
            <w:tcBorders>
              <w:tl2br w:val="nil"/>
              <w:tr2bl w:val="nil"/>
            </w:tcBorders>
            <w:vAlign w:val="center"/>
          </w:tcPr>
          <w:p>
            <w:pPr>
              <w:spacing w:line="360" w:lineRule="auto"/>
              <w:jc w:val="center"/>
              <w:rPr>
                <w:rFonts w:hint="default" w:ascii="Times New Roman" w:hAnsi="Times New Roman" w:eastAsia="仿宋" w:cs="Times New Roman"/>
                <w:color w:val="000000" w:themeColor="text1"/>
                <w:sz w:val="28"/>
                <w:lang w:eastAsia="zh-CN"/>
              </w:rPr>
            </w:pPr>
            <w:r>
              <w:rPr>
                <w:rFonts w:hint="default" w:ascii="Times New Roman" w:hAnsi="Times New Roman" w:eastAsia="仿宋" w:cs="Times New Roman"/>
                <w:color w:val="000000" w:themeColor="text1"/>
                <w:sz w:val="28"/>
                <w:szCs w:val="28"/>
                <w:lang w:eastAsia="zh-CN"/>
              </w:rPr>
              <w:t>吴美茜</w:t>
            </w:r>
          </w:p>
        </w:tc>
        <w:tc>
          <w:tcPr>
            <w:tcW w:w="2354" w:type="dxa"/>
            <w:tcBorders>
              <w:tl2br w:val="nil"/>
              <w:tr2bl w:val="nil"/>
            </w:tcBorders>
            <w:vAlign w:val="center"/>
          </w:tcPr>
          <w:p>
            <w:pPr>
              <w:spacing w:line="360" w:lineRule="auto"/>
              <w:jc w:val="center"/>
              <w:rPr>
                <w:rFonts w:hint="default" w:ascii="Times New Roman" w:hAnsi="Times New Roman" w:eastAsia="仿宋" w:cs="Times New Roman"/>
                <w:color w:val="000000" w:themeColor="text1"/>
                <w:sz w:val="28"/>
                <w:lang w:eastAsia="zh-CN"/>
              </w:rPr>
            </w:pPr>
            <w:r>
              <w:rPr>
                <w:rFonts w:hint="default" w:ascii="Times New Roman" w:hAnsi="Times New Roman" w:eastAsia="仿宋" w:cs="Times New Roman"/>
                <w:color w:val="000000" w:themeColor="text1"/>
                <w:sz w:val="28"/>
                <w:szCs w:val="28"/>
                <w:lang w:eastAsia="zh-CN"/>
              </w:rPr>
              <w:t>3620200006</w:t>
            </w:r>
          </w:p>
        </w:tc>
        <w:tc>
          <w:tcPr>
            <w:tcW w:w="2354" w:type="dxa"/>
            <w:tcBorders>
              <w:tl2br w:val="nil"/>
              <w:tr2bl w:val="nil"/>
            </w:tcBorders>
            <w:vAlign w:val="center"/>
          </w:tcPr>
          <w:p>
            <w:pPr>
              <w:spacing w:line="500" w:lineRule="exact"/>
              <w:jc w:val="center"/>
              <w:rPr>
                <w:rFonts w:hint="default" w:ascii="Times New Roman" w:hAnsi="Times New Roman" w:eastAsia="仿宋" w:cs="Times New Roman"/>
                <w:color w:val="000000" w:themeColor="text1"/>
                <w:sz w:val="28"/>
                <w:szCs w:val="28"/>
              </w:rPr>
            </w:pPr>
          </w:p>
        </w:tc>
        <w:tc>
          <w:tcPr>
            <w:tcW w:w="2535" w:type="dxa"/>
            <w:tcBorders>
              <w:tl2br w:val="nil"/>
              <w:tr2bl w:val="nil"/>
            </w:tcBorders>
            <w:vAlign w:val="center"/>
          </w:tcPr>
          <w:p>
            <w:pPr>
              <w:spacing w:line="500" w:lineRule="exact"/>
              <w:jc w:val="center"/>
              <w:rPr>
                <w:rFonts w:hint="default"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lang w:eastAsia="zh-CN"/>
              </w:rPr>
              <w:t>2021年09月15日</w:t>
            </w:r>
          </w:p>
        </w:tc>
      </w:tr>
    </w:tbl>
    <w:p>
      <w:pPr>
        <w:pStyle w:val="3"/>
        <w:spacing w:before="0" w:after="0" w:line="480" w:lineRule="exact"/>
        <w:jc w:val="center"/>
        <w:rPr>
          <w:rFonts w:hint="default" w:ascii="Times New Roman" w:hAnsi="Times New Roman" w:eastAsia="仿宋" w:cs="Times New Roman"/>
          <w:snapToGrid w:val="0"/>
          <w:color w:val="000000" w:themeColor="text1"/>
          <w:kern w:val="0"/>
          <w:sz w:val="32"/>
          <w:szCs w:val="32"/>
        </w:rPr>
      </w:pPr>
      <w:bookmarkStart w:id="28" w:name="_Toc431"/>
      <w:r>
        <w:rPr>
          <w:rFonts w:hint="default" w:ascii="Times New Roman" w:hAnsi="Times New Roman" w:eastAsia="仿宋" w:cs="Times New Roman"/>
          <w:snapToGrid w:val="0"/>
          <w:color w:val="000000" w:themeColor="text1"/>
          <w:kern w:val="0"/>
          <w:sz w:val="32"/>
          <w:szCs w:val="32"/>
        </w:rPr>
        <w:t>二、估价假设和限制条件</w:t>
      </w:r>
      <w:bookmarkEnd w:id="27"/>
      <w:bookmarkEnd w:id="28"/>
    </w:p>
    <w:p>
      <w:pPr>
        <w:spacing w:line="480" w:lineRule="exact"/>
        <w:ind w:firstLine="562" w:firstLineChars="200"/>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1.一般假设</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（1）在价值时点的房地产市场为公开、平等、自愿的交易市场。</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（2）估价对象产权明晰，手续齐全，可在公开市场上自由转让。</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（3）任何有关估价对象的运作方式、程序均符合国家、地方的有关法律、法规。</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（4）本次估价结果未考虑国家宏观经济政策发生重大变化以及遇有自然力和其他不可抗力对估价结论的影响。</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（5）本报告以估价对象在价值时点时的状况为依据进行的，且以该状况在估价报告使用期限内无重大变化为前提。</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（6）本次估价未考虑可能与估价对象产权人有关的债权及债务情况对估价结果的影响。</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（7）本报告估价结果没有考虑快速变现、税费转嫁等特殊的交易方式，以及可能发生的权利转移相关费用对估价对象房地产价值的影响，如上述条件发生变化，估价结果需做相应调整。</w:t>
      </w:r>
    </w:p>
    <w:p>
      <w:pPr>
        <w:spacing w:line="480" w:lineRule="exact"/>
        <w:ind w:firstLine="560" w:firstLineChars="200"/>
        <w:rPr>
          <w:rFonts w:hint="default"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8</w:t>
      </w:r>
      <w:r>
        <w:rPr>
          <w:rFonts w:hint="default" w:ascii="Times New Roman" w:hAnsi="Times New Roman" w:eastAsia="仿宋" w:cs="Times New Roman"/>
          <w:color w:val="000000" w:themeColor="text1"/>
          <w:sz w:val="28"/>
          <w:szCs w:val="28"/>
        </w:rPr>
        <w:t>）人民法院未明确评估对象</w:t>
      </w:r>
      <w:r>
        <w:rPr>
          <w:rFonts w:hint="default" w:ascii="Times New Roman" w:hAnsi="Times New Roman" w:eastAsia="仿宋" w:cs="Times New Roman"/>
          <w:color w:val="000000" w:themeColor="text1"/>
          <w:sz w:val="28"/>
          <w:szCs w:val="28"/>
          <w:lang w:val="en-US" w:eastAsia="zh-CN"/>
        </w:rPr>
        <w:t>是否</w:t>
      </w:r>
      <w:r>
        <w:rPr>
          <w:rFonts w:hint="default" w:ascii="Times New Roman" w:hAnsi="Times New Roman" w:eastAsia="仿宋" w:cs="Times New Roman"/>
          <w:color w:val="000000" w:themeColor="text1"/>
          <w:sz w:val="28"/>
          <w:szCs w:val="28"/>
        </w:rPr>
        <w:t>存在租赁权、用益物权及占有使用情况，</w:t>
      </w:r>
      <w:r>
        <w:rPr>
          <w:rFonts w:hint="default" w:ascii="Times New Roman" w:hAnsi="Times New Roman" w:eastAsia="仿宋" w:cs="Times New Roman"/>
          <w:color w:val="000000" w:themeColor="text1"/>
          <w:sz w:val="28"/>
          <w:szCs w:val="28"/>
          <w:lang w:val="en-US" w:eastAsia="zh-CN"/>
        </w:rPr>
        <w:t>经估价师现场查勘，估价对象现为空置状态</w:t>
      </w: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根据本次评估目的，本次评估不考虑</w:t>
      </w:r>
      <w:r>
        <w:rPr>
          <w:rFonts w:hint="default" w:ascii="Times New Roman" w:hAnsi="Times New Roman" w:eastAsia="仿宋" w:cs="Times New Roman"/>
          <w:color w:val="000000" w:themeColor="text1"/>
          <w:sz w:val="28"/>
          <w:szCs w:val="28"/>
        </w:rPr>
        <w:t>租赁权、用益物权及占有使用情况</w:t>
      </w:r>
      <w:r>
        <w:rPr>
          <w:rFonts w:hint="default" w:ascii="Times New Roman" w:hAnsi="Times New Roman" w:eastAsia="仿宋" w:cs="Times New Roman"/>
          <w:color w:val="000000" w:themeColor="text1"/>
          <w:sz w:val="28"/>
          <w:szCs w:val="28"/>
          <w:lang w:eastAsia="zh-CN"/>
        </w:rPr>
        <w:t>。</w:t>
      </w:r>
    </w:p>
    <w:p>
      <w:pPr>
        <w:spacing w:line="480" w:lineRule="exact"/>
        <w:ind w:firstLine="560" w:firstLineChars="200"/>
        <w:rPr>
          <w:rFonts w:hint="default" w:ascii="Times New Roman" w:hAnsi="Times New Roman" w:eastAsia="仿宋" w:cs="Times New Roman"/>
          <w:color w:val="000000" w:themeColor="text1"/>
          <w:sz w:val="28"/>
          <w:szCs w:val="28"/>
          <w:lang w:val="en-US" w:eastAsia="zh-CN"/>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9</w:t>
      </w: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人民法院未明确</w:t>
      </w:r>
      <w:r>
        <w:rPr>
          <w:rFonts w:hint="default" w:ascii="Times New Roman" w:hAnsi="Times New Roman" w:eastAsia="仿宋" w:cs="Times New Roman"/>
          <w:color w:val="000000" w:themeColor="text1"/>
          <w:sz w:val="28"/>
          <w:szCs w:val="28"/>
        </w:rPr>
        <w:t>评估对象</w:t>
      </w:r>
      <w:r>
        <w:rPr>
          <w:rFonts w:hint="default" w:ascii="Times New Roman" w:hAnsi="Times New Roman" w:eastAsia="仿宋" w:cs="Times New Roman"/>
          <w:color w:val="000000" w:themeColor="text1"/>
          <w:sz w:val="28"/>
          <w:szCs w:val="28"/>
          <w:lang w:val="en-US" w:eastAsia="zh-CN"/>
        </w:rPr>
        <w:t>是否存在欠缴税金及相关费用的，本次评估不考虑欠缴税金及相关费用。</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10</w:t>
      </w:r>
      <w:r>
        <w:rPr>
          <w:rFonts w:hint="default" w:ascii="Times New Roman" w:hAnsi="Times New Roman" w:eastAsia="仿宋" w:cs="Times New Roman"/>
          <w:color w:val="000000" w:themeColor="text1"/>
          <w:sz w:val="28"/>
          <w:szCs w:val="28"/>
        </w:rPr>
        <w:t>）人民法院未书面明确评估对象交易税费负担方式，</w:t>
      </w:r>
      <w:r>
        <w:rPr>
          <w:rFonts w:hint="default" w:ascii="Times New Roman" w:hAnsi="Times New Roman" w:eastAsia="仿宋" w:cs="Times New Roman"/>
          <w:color w:val="000000" w:themeColor="text1"/>
          <w:sz w:val="28"/>
          <w:szCs w:val="28"/>
          <w:lang w:val="en-US" w:eastAsia="zh-CN"/>
        </w:rPr>
        <w:t>本次评估按照法律法规规定，假定转让人和买受人各自负担</w:t>
      </w:r>
      <w:r>
        <w:rPr>
          <w:rFonts w:hint="default" w:ascii="Times New Roman" w:hAnsi="Times New Roman" w:eastAsia="仿宋" w:cs="Times New Roman"/>
          <w:color w:val="000000" w:themeColor="text1"/>
          <w:sz w:val="28"/>
          <w:szCs w:val="28"/>
        </w:rPr>
        <w:t>交易税费。</w:t>
      </w:r>
    </w:p>
    <w:p>
      <w:pPr>
        <w:spacing w:line="480" w:lineRule="exact"/>
        <w:ind w:firstLine="560" w:firstLineChars="200"/>
        <w:rPr>
          <w:rFonts w:hint="default" w:ascii="Times New Roman" w:hAnsi="Times New Roman" w:eastAsia="仿宋" w:cs="Times New Roman"/>
          <w:color w:val="000000" w:themeColor="text1"/>
          <w:sz w:val="28"/>
          <w:szCs w:val="28"/>
          <w:lang w:val="en-US" w:eastAsia="zh-CN"/>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11</w:t>
      </w: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eastAsia="zh-CN"/>
        </w:rPr>
        <w:t>本次估价价值时点为</w:t>
      </w:r>
      <w:r>
        <w:rPr>
          <w:rFonts w:hint="eastAsia" w:eastAsia="仿宋" w:cs="Times New Roman"/>
          <w:color w:val="000000" w:themeColor="text1"/>
          <w:sz w:val="28"/>
          <w:szCs w:val="28"/>
          <w:lang w:eastAsia="zh-CN"/>
        </w:rPr>
        <w:t>2021年09月07日</w:t>
      </w:r>
      <w:r>
        <w:rPr>
          <w:rFonts w:hint="default" w:ascii="Times New Roman" w:hAnsi="Times New Roman" w:eastAsia="仿宋" w:cs="Times New Roman"/>
          <w:color w:val="000000" w:themeColor="text1"/>
          <w:sz w:val="28"/>
          <w:szCs w:val="28"/>
          <w:lang w:eastAsia="zh-CN"/>
        </w:rPr>
        <w:t>，实地查勘日期为</w:t>
      </w:r>
      <w:r>
        <w:rPr>
          <w:rFonts w:hint="eastAsia" w:eastAsia="仿宋" w:cs="Times New Roman"/>
          <w:color w:val="000000" w:themeColor="text1"/>
          <w:sz w:val="28"/>
          <w:szCs w:val="28"/>
          <w:lang w:eastAsia="zh-CN"/>
        </w:rPr>
        <w:t>2021年09月07日</w:t>
      </w:r>
      <w:r>
        <w:rPr>
          <w:rFonts w:hint="default" w:ascii="Times New Roman" w:hAnsi="Times New Roman" w:eastAsia="仿宋" w:cs="Times New Roman"/>
          <w:color w:val="000000" w:themeColor="text1"/>
          <w:sz w:val="28"/>
          <w:szCs w:val="28"/>
          <w:lang w:eastAsia="zh-CN"/>
        </w:rPr>
        <w:t>，</w:t>
      </w:r>
      <w:r>
        <w:rPr>
          <w:rFonts w:hint="default" w:ascii="Times New Roman" w:hAnsi="Times New Roman" w:eastAsia="仿宋" w:cs="Times New Roman"/>
          <w:color w:val="000000" w:themeColor="text1"/>
          <w:sz w:val="28"/>
          <w:szCs w:val="28"/>
        </w:rPr>
        <w:t>价值时点与实地查勘日期一致</w:t>
      </w:r>
      <w:r>
        <w:rPr>
          <w:rFonts w:hint="default" w:ascii="Times New Roman" w:hAnsi="Times New Roman" w:eastAsia="仿宋" w:cs="Times New Roman"/>
          <w:color w:val="000000" w:themeColor="text1"/>
          <w:sz w:val="28"/>
          <w:szCs w:val="28"/>
          <w:lang w:eastAsia="zh-CN"/>
        </w:rPr>
        <w:t>。</w:t>
      </w:r>
    </w:p>
    <w:p>
      <w:pPr>
        <w:adjustRightInd w:val="0"/>
        <w:spacing w:line="520" w:lineRule="exact"/>
        <w:ind w:firstLine="560" w:firstLineChars="200"/>
        <w:textAlignment w:val="baseline"/>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12</w:t>
      </w:r>
      <w:r>
        <w:rPr>
          <w:rFonts w:hint="default" w:ascii="Times New Roman" w:hAnsi="Times New Roman" w:eastAsia="仿宋" w:cs="Times New Roman"/>
          <w:color w:val="000000" w:themeColor="text1"/>
          <w:sz w:val="28"/>
          <w:szCs w:val="28"/>
        </w:rPr>
        <w:t>）本次估价对象的房屋权属情况以</w:t>
      </w:r>
      <w:r>
        <w:rPr>
          <w:rFonts w:hint="default" w:ascii="Times New Roman" w:hAnsi="Times New Roman" w:eastAsia="仿宋" w:cs="Times New Roman"/>
          <w:bCs/>
          <w:color w:val="000000" w:themeColor="text1"/>
          <w:sz w:val="28"/>
          <w:szCs w:val="28"/>
          <w:highlight w:val="none"/>
          <w:lang w:eastAsia="zh-CN"/>
        </w:rPr>
        <w:t>《宜丰县房产登记情况查询统计表》、《江西省宜丰县房产所有权登记审核表》</w:t>
      </w:r>
      <w:r>
        <w:rPr>
          <w:rFonts w:hint="eastAsia" w:eastAsia="仿宋" w:cs="Times New Roman"/>
          <w:bCs/>
          <w:color w:val="000000" w:themeColor="text1"/>
          <w:sz w:val="28"/>
          <w:szCs w:val="28"/>
          <w:highlight w:val="none"/>
          <w:lang w:eastAsia="zh-CN"/>
        </w:rPr>
        <w:t>、《宜丰县公有住房出售现场勘查记录表》</w:t>
      </w:r>
      <w:r>
        <w:rPr>
          <w:rFonts w:hint="default" w:ascii="Times New Roman" w:hAnsi="Times New Roman" w:eastAsia="仿宋" w:cs="Times New Roman"/>
          <w:color w:val="000000" w:themeColor="text1"/>
          <w:sz w:val="28"/>
          <w:szCs w:val="28"/>
        </w:rPr>
        <w:t>为依据。如上述情况发生变化，估价结果需做相应调整。</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13</w:t>
      </w:r>
      <w:r>
        <w:rPr>
          <w:rFonts w:hint="default" w:ascii="Times New Roman" w:hAnsi="Times New Roman" w:eastAsia="仿宋" w:cs="Times New Roman"/>
          <w:color w:val="000000" w:themeColor="text1"/>
          <w:sz w:val="28"/>
          <w:szCs w:val="28"/>
        </w:rPr>
        <w:t>）估价人员曾对估价对象进行了实地查勘，但估价人员进行的实地查勘仅限于估价对象的外观和使用状况，未进行专业面积测量和质量鉴定，不承担对估价对象建筑结构质量进行调查的责任，也不承担对其他被遮盖未暴露及难于接触到的部分进行勘查的责任，故无理由怀疑建筑物存在安全隐患，假定估价对象建筑结构是安全的，无结构性损坏。</w:t>
      </w:r>
    </w:p>
    <w:p>
      <w:pPr>
        <w:spacing w:line="480" w:lineRule="exact"/>
        <w:ind w:firstLine="562" w:firstLineChars="200"/>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2.未定事项假设</w:t>
      </w:r>
    </w:p>
    <w:p>
      <w:pPr>
        <w:spacing w:line="480" w:lineRule="exact"/>
        <w:ind w:firstLine="560" w:firstLineChars="200"/>
        <w:rPr>
          <w:rFonts w:hint="default" w:ascii="Times New Roman" w:hAnsi="Times New Roman" w:eastAsia="仿宋" w:cs="Times New Roman"/>
          <w:color w:val="000000" w:themeColor="text1"/>
          <w:sz w:val="28"/>
          <w:szCs w:val="28"/>
          <w:highlight w:val="none"/>
        </w:rPr>
      </w:pPr>
      <w:r>
        <w:rPr>
          <w:rFonts w:hint="eastAsia" w:eastAsia="仿宋" w:cs="Times New Roman"/>
          <w:color w:val="000000" w:themeColor="text1"/>
          <w:sz w:val="28"/>
          <w:szCs w:val="28"/>
          <w:highlight w:val="none"/>
          <w:lang w:eastAsia="zh-CN"/>
        </w:rPr>
        <w:t>无未定事项假设</w:t>
      </w:r>
      <w:r>
        <w:rPr>
          <w:rFonts w:hint="default" w:ascii="Times New Roman" w:hAnsi="Times New Roman" w:eastAsia="仿宋" w:cs="Times New Roman"/>
          <w:color w:val="000000" w:themeColor="text1"/>
          <w:sz w:val="28"/>
          <w:szCs w:val="28"/>
          <w:highlight w:val="none"/>
        </w:rPr>
        <w:t>。</w:t>
      </w:r>
    </w:p>
    <w:p>
      <w:pPr>
        <w:spacing w:line="480" w:lineRule="exact"/>
        <w:ind w:firstLine="562" w:firstLineChars="200"/>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3.背离事实假设</w:t>
      </w:r>
    </w:p>
    <w:p>
      <w:pPr>
        <w:spacing w:line="480" w:lineRule="exact"/>
        <w:ind w:firstLine="560" w:firstLineChars="200"/>
        <w:rPr>
          <w:rFonts w:hint="default"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lang w:eastAsia="zh-CN"/>
        </w:rPr>
        <w:t>涉执房地产处置司法评估不应考虑评估对象被查封以及原有的担保物权和其他优先受偿权情况，本次评估假设估价对象为没有查封、未设立担保物权及其他优先受偿权的财产进行评估。</w:t>
      </w:r>
    </w:p>
    <w:p>
      <w:pPr>
        <w:spacing w:line="480" w:lineRule="exact"/>
        <w:ind w:firstLine="562" w:firstLineChars="200"/>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4.不相一致假设</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无不相一致假设。</w:t>
      </w:r>
    </w:p>
    <w:p>
      <w:pPr>
        <w:numPr>
          <w:ilvl w:val="0"/>
          <w:numId w:val="2"/>
        </w:numPr>
        <w:spacing w:line="480" w:lineRule="exact"/>
        <w:ind w:firstLine="562" w:firstLineChars="200"/>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依据不足假设</w:t>
      </w:r>
    </w:p>
    <w:p>
      <w:pPr>
        <w:spacing w:line="480" w:lineRule="exact"/>
        <w:ind w:firstLine="560" w:firstLineChars="200"/>
        <w:rPr>
          <w:rFonts w:hint="default" w:ascii="Times New Roman" w:hAnsi="Times New Roman" w:eastAsia="仿宋" w:cs="Times New Roman"/>
          <w:color w:val="000000" w:themeColor="text1"/>
          <w:sz w:val="28"/>
          <w:szCs w:val="28"/>
          <w:highlight w:val="none"/>
          <w:lang w:eastAsia="zh-CN"/>
        </w:rPr>
      </w:pPr>
      <w:r>
        <w:rPr>
          <w:rFonts w:hint="default" w:ascii="Times New Roman" w:hAnsi="Times New Roman" w:eastAsia="仿宋" w:cs="Times New Roman"/>
          <w:color w:val="000000" w:themeColor="text1"/>
          <w:sz w:val="28"/>
          <w:szCs w:val="28"/>
          <w:highlight w:val="none"/>
          <w:lang w:eastAsia="zh-CN"/>
        </w:rPr>
        <w:t>由于</w:t>
      </w:r>
      <w:r>
        <w:rPr>
          <w:rFonts w:hint="eastAsia" w:eastAsia="仿宋" w:cs="Times New Roman"/>
          <w:color w:val="000000" w:themeColor="text1"/>
          <w:sz w:val="28"/>
          <w:szCs w:val="28"/>
          <w:highlight w:val="none"/>
          <w:lang w:eastAsia="zh-CN"/>
        </w:rPr>
        <w:t>被申请执行人不配合的</w:t>
      </w:r>
      <w:r>
        <w:rPr>
          <w:rFonts w:hint="default" w:ascii="Times New Roman" w:hAnsi="Times New Roman" w:eastAsia="仿宋" w:cs="Times New Roman"/>
          <w:color w:val="000000" w:themeColor="text1"/>
          <w:sz w:val="28"/>
          <w:szCs w:val="28"/>
          <w:highlight w:val="none"/>
          <w:lang w:eastAsia="zh-CN"/>
        </w:rPr>
        <w:t>原因，本次评估未能入室查勘，本次评估设定估价对象室内为毛坯。</w:t>
      </w:r>
    </w:p>
    <w:p>
      <w:pPr>
        <w:spacing w:line="500" w:lineRule="exact"/>
        <w:ind w:firstLine="562" w:firstLineChars="200"/>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6.估价报告使用限制</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（1）本估价报告仅为委托方在本次估价目的下使用，不作其他估价目的之用。若改变估价目的及使用条件需向本估价机构咨询后重新出具报告。</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2）未经估价机构和估价委托人书面同意，本报告的全部或部分及任何参考资料均不允许在任何公开发表的文件、通告或声明中引用，亦不得以其他任何方式公开发表。凡因报告使用人不当使用估价报告而引起的后果，估价机构及估价人员不承担相应的责任。</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3</w:t>
      </w:r>
      <w:r>
        <w:rPr>
          <w:rFonts w:hint="default" w:ascii="Times New Roman" w:hAnsi="Times New Roman" w:eastAsia="仿宋" w:cs="Times New Roman"/>
          <w:color w:val="000000" w:themeColor="text1"/>
          <w:sz w:val="28"/>
          <w:szCs w:val="28"/>
        </w:rPr>
        <w:t>）本次估价结果受价值时点的限制，且本估价报告使用期限自估价报告出具之日起为壹年。若报告使用期限内，房地产市场、建筑市场或估价对象自身状况发生重大变化，估价结果也需做相应调整或委托估价机构重新估价。</w:t>
      </w:r>
    </w:p>
    <w:p>
      <w:pPr>
        <w:spacing w:line="480" w:lineRule="exact"/>
        <w:ind w:firstLine="544"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aps/>
          <w:color w:val="000000" w:themeColor="text1"/>
          <w:spacing w:val="-4"/>
          <w:sz w:val="28"/>
          <w:szCs w:val="28"/>
        </w:rPr>
        <w:t>（</w:t>
      </w:r>
      <w:r>
        <w:rPr>
          <w:rFonts w:hint="default" w:ascii="Times New Roman" w:hAnsi="Times New Roman" w:eastAsia="仿宋" w:cs="Times New Roman"/>
          <w:caps/>
          <w:color w:val="000000" w:themeColor="text1"/>
          <w:spacing w:val="-4"/>
          <w:sz w:val="28"/>
          <w:szCs w:val="28"/>
          <w:lang w:val="en-US" w:eastAsia="zh-CN"/>
        </w:rPr>
        <w:t>4</w:t>
      </w:r>
      <w:r>
        <w:rPr>
          <w:rFonts w:hint="default" w:ascii="Times New Roman" w:hAnsi="Times New Roman" w:eastAsia="仿宋" w:cs="Times New Roman"/>
          <w:caps/>
          <w:color w:val="000000" w:themeColor="text1"/>
          <w:spacing w:val="-4"/>
          <w:sz w:val="28"/>
          <w:szCs w:val="28"/>
        </w:rPr>
        <w:t>）</w:t>
      </w:r>
      <w:r>
        <w:rPr>
          <w:rFonts w:hint="default" w:ascii="Times New Roman" w:hAnsi="Times New Roman" w:eastAsia="仿宋" w:cs="Times New Roman"/>
          <w:snapToGrid w:val="0"/>
          <w:color w:val="000000" w:themeColor="text1"/>
          <w:kern w:val="0"/>
          <w:sz w:val="28"/>
          <w:szCs w:val="20"/>
          <w:lang w:val="en-US" w:eastAsia="zh-CN"/>
        </w:rPr>
        <w:t>应当按照法律规定和评估报告载明的用途、使用人、使用期限等使用范围使用评估报告。否则，房地产估价机构和注册房地产估价师依法不承担责任</w:t>
      </w:r>
      <w:r>
        <w:rPr>
          <w:rFonts w:hint="default" w:ascii="Times New Roman" w:hAnsi="Times New Roman" w:eastAsia="仿宋" w:cs="Times New Roman"/>
          <w:caps/>
          <w:color w:val="000000" w:themeColor="text1"/>
          <w:spacing w:val="-4"/>
          <w:sz w:val="28"/>
          <w:szCs w:val="28"/>
        </w:rPr>
        <w:t>。</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5</w:t>
      </w:r>
      <w:r>
        <w:rPr>
          <w:rFonts w:hint="default" w:ascii="Times New Roman" w:hAnsi="Times New Roman" w:eastAsia="仿宋" w:cs="Times New Roman"/>
          <w:color w:val="000000" w:themeColor="text1"/>
          <w:sz w:val="28"/>
          <w:szCs w:val="28"/>
        </w:rPr>
        <w:t>）本估价报告仅是在报告中说明的假设条件下对估价对象市场价值进行的合理估算，报告中对估价对象权属情况的披露不能作为对其权属确认的依据，估价对象权属界定以有关权利管理部门认定为准。</w:t>
      </w:r>
    </w:p>
    <w:p>
      <w:pPr>
        <w:spacing w:line="480" w:lineRule="exact"/>
        <w:ind w:firstLine="544" w:firstLineChars="200"/>
        <w:rPr>
          <w:rFonts w:hint="default" w:ascii="Times New Roman" w:hAnsi="Times New Roman" w:eastAsia="仿宋" w:cs="Times New Roman"/>
          <w:caps/>
          <w:color w:val="000000" w:themeColor="text1"/>
          <w:spacing w:val="-4"/>
          <w:sz w:val="28"/>
          <w:szCs w:val="28"/>
          <w:lang w:eastAsia="zh-CN"/>
        </w:rPr>
      </w:pPr>
      <w:r>
        <w:rPr>
          <w:rFonts w:hint="default" w:ascii="Times New Roman" w:hAnsi="Times New Roman" w:eastAsia="仿宋" w:cs="Times New Roman"/>
          <w:caps/>
          <w:color w:val="000000" w:themeColor="text1"/>
          <w:spacing w:val="-4"/>
          <w:sz w:val="28"/>
          <w:szCs w:val="28"/>
          <w:lang w:eastAsia="zh-CN"/>
        </w:rPr>
        <w:t>（</w:t>
      </w:r>
      <w:r>
        <w:rPr>
          <w:rFonts w:hint="default" w:ascii="Times New Roman" w:hAnsi="Times New Roman" w:eastAsia="仿宋" w:cs="Times New Roman"/>
          <w:caps/>
          <w:color w:val="000000" w:themeColor="text1"/>
          <w:spacing w:val="-4"/>
          <w:sz w:val="28"/>
          <w:szCs w:val="28"/>
          <w:lang w:val="en-US" w:eastAsia="zh-CN"/>
        </w:rPr>
        <w:t>6</w:t>
      </w:r>
      <w:r>
        <w:rPr>
          <w:rFonts w:hint="default" w:ascii="Times New Roman" w:hAnsi="Times New Roman" w:eastAsia="仿宋" w:cs="Times New Roman"/>
          <w:caps/>
          <w:color w:val="000000" w:themeColor="text1"/>
          <w:spacing w:val="-4"/>
          <w:sz w:val="28"/>
          <w:szCs w:val="28"/>
          <w:lang w:eastAsia="zh-CN"/>
        </w:rPr>
        <w:t>）评估结果仅为人民法院确定财产处置参考价服务，不是评估对象处置可实现的成交价格，也不应当被视为对评估对象处置成交价格的保证；</w:t>
      </w:r>
    </w:p>
    <w:p>
      <w:pPr>
        <w:spacing w:line="480" w:lineRule="exact"/>
        <w:ind w:firstLine="544" w:firstLineChars="200"/>
        <w:rPr>
          <w:rFonts w:hint="default" w:ascii="Times New Roman" w:hAnsi="Times New Roman" w:eastAsia="仿宋" w:cs="Times New Roman"/>
          <w:caps/>
          <w:color w:val="000000" w:themeColor="text1"/>
          <w:spacing w:val="-4"/>
          <w:sz w:val="28"/>
          <w:szCs w:val="28"/>
          <w:lang w:eastAsia="zh-CN"/>
        </w:rPr>
      </w:pPr>
      <w:r>
        <w:rPr>
          <w:rFonts w:hint="default" w:ascii="Times New Roman" w:hAnsi="Times New Roman" w:eastAsia="仿宋" w:cs="Times New Roman"/>
          <w:caps/>
          <w:color w:val="000000" w:themeColor="text1"/>
          <w:spacing w:val="-4"/>
          <w:sz w:val="28"/>
          <w:szCs w:val="28"/>
          <w:lang w:eastAsia="zh-CN"/>
        </w:rPr>
        <w:t>（</w:t>
      </w:r>
      <w:r>
        <w:rPr>
          <w:rFonts w:hint="default" w:ascii="Times New Roman" w:hAnsi="Times New Roman" w:eastAsia="仿宋" w:cs="Times New Roman"/>
          <w:caps/>
          <w:color w:val="000000" w:themeColor="text1"/>
          <w:spacing w:val="-4"/>
          <w:sz w:val="28"/>
          <w:szCs w:val="28"/>
          <w:lang w:val="en-US" w:eastAsia="zh-CN"/>
        </w:rPr>
        <w:t>7</w:t>
      </w:r>
      <w:r>
        <w:rPr>
          <w:rFonts w:hint="default" w:ascii="Times New Roman" w:hAnsi="Times New Roman" w:eastAsia="仿宋" w:cs="Times New Roman"/>
          <w:caps/>
          <w:color w:val="000000" w:themeColor="text1"/>
          <w:spacing w:val="-4"/>
          <w:sz w:val="28"/>
          <w:szCs w:val="28"/>
          <w:lang w:eastAsia="zh-CN"/>
        </w:rPr>
        <w:t>）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spacing w:line="480" w:lineRule="exact"/>
        <w:ind w:firstLine="544" w:firstLineChars="200"/>
        <w:rPr>
          <w:rFonts w:hint="default" w:ascii="Times New Roman" w:hAnsi="Times New Roman" w:eastAsia="仿宋" w:cs="Times New Roman"/>
          <w:caps/>
          <w:color w:val="000000" w:themeColor="text1"/>
          <w:spacing w:val="-4"/>
          <w:sz w:val="28"/>
          <w:szCs w:val="28"/>
          <w:lang w:eastAsia="zh-CN"/>
        </w:rPr>
      </w:pPr>
      <w:r>
        <w:rPr>
          <w:rFonts w:hint="default" w:ascii="Times New Roman" w:hAnsi="Times New Roman" w:eastAsia="仿宋" w:cs="Times New Roman"/>
          <w:caps/>
          <w:color w:val="000000" w:themeColor="text1"/>
          <w:spacing w:val="-4"/>
          <w:sz w:val="28"/>
          <w:szCs w:val="28"/>
          <w:lang w:eastAsia="zh-CN"/>
        </w:rPr>
        <w:t>（</w:t>
      </w:r>
      <w:r>
        <w:rPr>
          <w:rFonts w:hint="default" w:ascii="Times New Roman" w:hAnsi="Times New Roman" w:eastAsia="仿宋" w:cs="Times New Roman"/>
          <w:caps/>
          <w:color w:val="000000" w:themeColor="text1"/>
          <w:spacing w:val="-4"/>
          <w:sz w:val="28"/>
          <w:szCs w:val="28"/>
          <w:lang w:val="en-US" w:eastAsia="zh-CN"/>
        </w:rPr>
        <w:t>8</w:t>
      </w:r>
      <w:r>
        <w:rPr>
          <w:rFonts w:hint="default" w:ascii="Times New Roman" w:hAnsi="Times New Roman" w:eastAsia="仿宋" w:cs="Times New Roman"/>
          <w:caps/>
          <w:color w:val="000000" w:themeColor="text1"/>
          <w:spacing w:val="-4"/>
          <w:sz w:val="28"/>
          <w:szCs w:val="28"/>
          <w:lang w:eastAsia="zh-CN"/>
        </w:rPr>
        <w:t>）在评估报告使用期限或者评估结果有效期内，评估报告或者评估结果未使用之前，如果评估对象状况或者房地产市场状况发生明显变化的，评估结果应当进行相应调整后才可使用。</w:t>
      </w:r>
    </w:p>
    <w:p>
      <w:pPr>
        <w:spacing w:line="480" w:lineRule="exact"/>
        <w:ind w:firstLine="544" w:firstLineChars="200"/>
        <w:rPr>
          <w:rFonts w:hint="default" w:ascii="Times New Roman" w:hAnsi="Times New Roman" w:eastAsia="仿宋" w:cs="Times New Roman"/>
          <w:caps/>
          <w:color w:val="000000" w:themeColor="text1"/>
          <w:spacing w:val="-4"/>
          <w:sz w:val="28"/>
          <w:szCs w:val="28"/>
          <w:lang w:eastAsia="zh-CN"/>
        </w:rPr>
      </w:pPr>
      <w:r>
        <w:rPr>
          <w:rFonts w:hint="default" w:ascii="Times New Roman" w:hAnsi="Times New Roman" w:eastAsia="仿宋" w:cs="Times New Roman"/>
          <w:caps/>
          <w:color w:val="000000" w:themeColor="text1"/>
          <w:spacing w:val="-4"/>
          <w:sz w:val="28"/>
          <w:szCs w:val="28"/>
          <w:lang w:eastAsia="zh-CN"/>
        </w:rPr>
        <w:t>（</w:t>
      </w:r>
      <w:r>
        <w:rPr>
          <w:rFonts w:hint="default" w:ascii="Times New Roman" w:hAnsi="Times New Roman" w:eastAsia="仿宋" w:cs="Times New Roman"/>
          <w:caps/>
          <w:color w:val="000000" w:themeColor="text1"/>
          <w:spacing w:val="-4"/>
          <w:sz w:val="28"/>
          <w:szCs w:val="28"/>
          <w:lang w:val="en-US" w:eastAsia="zh-CN"/>
        </w:rPr>
        <w:t>9</w:t>
      </w:r>
      <w:r>
        <w:rPr>
          <w:rFonts w:hint="default" w:ascii="Times New Roman" w:hAnsi="Times New Roman" w:eastAsia="仿宋" w:cs="Times New Roman"/>
          <w:caps/>
          <w:color w:val="000000" w:themeColor="text1"/>
          <w:spacing w:val="-4"/>
          <w:sz w:val="28"/>
          <w:szCs w:val="28"/>
          <w:lang w:eastAsia="zh-CN"/>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pPr>
        <w:spacing w:line="480" w:lineRule="exact"/>
        <w:ind w:firstLine="560" w:firstLineChars="200"/>
        <w:rPr>
          <w:rFonts w:hint="default" w:ascii="Times New Roman" w:hAnsi="Times New Roman" w:eastAsia="仿宋" w:cs="Times New Roman"/>
          <w:color w:val="000000" w:themeColor="text1"/>
          <w:lang w:eastAsia="zh-CN"/>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10</w:t>
      </w:r>
      <w:r>
        <w:rPr>
          <w:rFonts w:hint="default" w:ascii="Times New Roman" w:hAnsi="Times New Roman" w:eastAsia="仿宋" w:cs="Times New Roman"/>
          <w:color w:val="000000" w:themeColor="text1"/>
          <w:sz w:val="28"/>
          <w:szCs w:val="28"/>
        </w:rPr>
        <w:t>）本估价报告经估价机构盖章并由注册房地产估价师签章后方可使用。由我公司负责解释</w:t>
      </w:r>
      <w:r>
        <w:rPr>
          <w:rFonts w:hint="default" w:ascii="Times New Roman" w:hAnsi="Times New Roman" w:eastAsia="仿宋" w:cs="Times New Roman"/>
          <w:color w:val="000000" w:themeColor="text1"/>
          <w:sz w:val="28"/>
          <w:szCs w:val="28"/>
          <w:lang w:eastAsia="zh-CN"/>
        </w:rPr>
        <w:t>。</w:t>
      </w:r>
    </w:p>
    <w:tbl>
      <w:tblPr>
        <w:tblStyle w:val="42"/>
        <w:tblW w:w="9572" w:type="dxa"/>
        <w:tblInd w:w="-136" w:type="dxa"/>
        <w:tblLayout w:type="fixed"/>
        <w:tblCellMar>
          <w:top w:w="0" w:type="dxa"/>
          <w:left w:w="108" w:type="dxa"/>
          <w:bottom w:w="0" w:type="dxa"/>
          <w:right w:w="108" w:type="dxa"/>
        </w:tblCellMar>
      </w:tblPr>
      <w:tblGrid>
        <w:gridCol w:w="9572"/>
      </w:tblGrid>
      <w:tr>
        <w:tblPrEx>
          <w:tblCellMar>
            <w:top w:w="0" w:type="dxa"/>
            <w:left w:w="108" w:type="dxa"/>
            <w:bottom w:w="0" w:type="dxa"/>
            <w:right w:w="108" w:type="dxa"/>
          </w:tblCellMar>
        </w:tblPrEx>
        <w:trPr>
          <w:trHeight w:val="723" w:hRule="atLeast"/>
        </w:trPr>
        <w:tc>
          <w:tcPr>
            <w:tcW w:w="9572" w:type="dxa"/>
            <w:vAlign w:val="center"/>
          </w:tcPr>
          <w:p>
            <w:pPr>
              <w:spacing w:line="480" w:lineRule="exact"/>
              <w:ind w:firstLine="562"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7.</w:t>
            </w:r>
            <w:r>
              <w:rPr>
                <w:rFonts w:hint="default" w:ascii="Times New Roman" w:hAnsi="Times New Roman" w:eastAsia="仿宋" w:cs="Times New Roman"/>
                <w:b/>
                <w:color w:val="000000" w:themeColor="text1"/>
                <w:sz w:val="28"/>
                <w:szCs w:val="28"/>
              </w:rPr>
              <w:t>其他说明事项</w:t>
            </w:r>
          </w:p>
        </w:tc>
      </w:tr>
      <w:tr>
        <w:tblPrEx>
          <w:tblCellMar>
            <w:top w:w="0" w:type="dxa"/>
            <w:left w:w="108" w:type="dxa"/>
            <w:bottom w:w="0" w:type="dxa"/>
            <w:right w:w="108" w:type="dxa"/>
          </w:tblCellMar>
        </w:tblPrEx>
        <w:tc>
          <w:tcPr>
            <w:tcW w:w="9572" w:type="dxa"/>
            <w:vAlign w:val="center"/>
          </w:tcPr>
          <w:p>
            <w:pPr>
              <w:spacing w:line="480" w:lineRule="exact"/>
              <w:ind w:firstLine="56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（1）本估价报告中的数据全部采用电算化连续计算得出，由于在报告中计算的数据均按四舍五入进行取整，因此，可能出现个别等式左右不完全相等的情况，但此种情况不影响计算结果及估价结论的准确性。</w:t>
            </w:r>
          </w:p>
          <w:p>
            <w:pPr>
              <w:spacing w:line="480" w:lineRule="exact"/>
              <w:ind w:firstLine="560"/>
              <w:rPr>
                <w:rFonts w:hint="default" w:ascii="Times New Roman" w:hAnsi="Times New Roman" w:eastAsia="仿宋" w:cs="Times New Roman"/>
                <w:color w:val="000000" w:themeColor="text1"/>
                <w:sz w:val="28"/>
                <w:szCs w:val="28"/>
              </w:rPr>
            </w:pPr>
          </w:p>
        </w:tc>
      </w:tr>
    </w:tbl>
    <w:p>
      <w:pPr>
        <w:spacing w:line="480" w:lineRule="exact"/>
        <w:rPr>
          <w:rFonts w:hint="default" w:ascii="Times New Roman" w:hAnsi="Times New Roman" w:eastAsia="仿宋" w:cs="Times New Roman"/>
          <w:color w:val="000000" w:themeColor="text1"/>
          <w:sz w:val="28"/>
          <w:szCs w:val="28"/>
        </w:rPr>
      </w:pPr>
    </w:p>
    <w:p>
      <w:pPr>
        <w:pStyle w:val="3"/>
        <w:spacing w:before="0" w:after="0" w:line="500" w:lineRule="exact"/>
        <w:jc w:val="center"/>
        <w:rPr>
          <w:rFonts w:hint="default" w:ascii="Times New Roman" w:hAnsi="Times New Roman" w:eastAsia="仿宋" w:cs="Times New Roman"/>
          <w:b w:val="0"/>
          <w:bCs w:val="0"/>
          <w:snapToGrid w:val="0"/>
          <w:color w:val="000000" w:themeColor="text1"/>
          <w:kern w:val="0"/>
          <w:sz w:val="32"/>
          <w:szCs w:val="32"/>
        </w:rPr>
      </w:pPr>
      <w:bookmarkStart w:id="29" w:name="_Toc254875137"/>
      <w:bookmarkStart w:id="30" w:name="_Toc130033720"/>
      <w:bookmarkStart w:id="31" w:name="_Toc435110681"/>
      <w:bookmarkStart w:id="32" w:name="_Toc243111683"/>
      <w:bookmarkStart w:id="33" w:name="_Toc243111712"/>
      <w:bookmarkStart w:id="34" w:name="_Toc257051888"/>
      <w:bookmarkStart w:id="35" w:name="_Toc297122054"/>
      <w:bookmarkStart w:id="36" w:name="_Toc367869494"/>
      <w:bookmarkStart w:id="37" w:name="_Toc269132866"/>
      <w:bookmarkStart w:id="38" w:name="_Toc270691065"/>
      <w:bookmarkStart w:id="39" w:name="_Toc135016170"/>
      <w:bookmarkStart w:id="40" w:name="_Toc297196349"/>
      <w:bookmarkStart w:id="41" w:name="_Toc301369712"/>
      <w:bookmarkStart w:id="42" w:name="_Toc254860123"/>
      <w:bookmarkStart w:id="43" w:name="_Toc22100"/>
      <w:r>
        <w:rPr>
          <w:rFonts w:hint="default" w:ascii="Times New Roman" w:hAnsi="Times New Roman" w:eastAsia="仿宋" w:cs="Times New Roman"/>
          <w:snapToGrid w:val="0"/>
          <w:color w:val="000000" w:themeColor="text1"/>
          <w:kern w:val="0"/>
          <w:sz w:val="32"/>
          <w:szCs w:val="32"/>
        </w:rPr>
        <w:t>三、估价结果报告</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Start w:id="44" w:name="_Toc435110682"/>
      <w:bookmarkStart w:id="45" w:name="_Toc367869495"/>
      <w:bookmarkStart w:id="46" w:name="_Toc301369713"/>
      <w:bookmarkStart w:id="47" w:name="_Toc269132882"/>
      <w:bookmarkStart w:id="48" w:name="_Toc299006852"/>
      <w:bookmarkStart w:id="49" w:name="_Toc254860169"/>
      <w:bookmarkStart w:id="50" w:name="_Toc254875153"/>
      <w:bookmarkStart w:id="51" w:name="_Toc94587045"/>
      <w:bookmarkStart w:id="52" w:name="_Toc298936786"/>
      <w:bookmarkStart w:id="53" w:name="_Toc94587103"/>
      <w:bookmarkStart w:id="54" w:name="_Toc367869511"/>
      <w:bookmarkStart w:id="55" w:name="_Toc299007139"/>
      <w:bookmarkStart w:id="56" w:name="_Toc299005654"/>
      <w:bookmarkStart w:id="57" w:name="_Toc301369583"/>
      <w:bookmarkStart w:id="58" w:name="_Toc254860139"/>
      <w:bookmarkStart w:id="59" w:name="_Toc270691081"/>
      <w:bookmarkStart w:id="60" w:name="_Toc301369729"/>
      <w:bookmarkStart w:id="61" w:name="_Toc243111699"/>
      <w:bookmarkStart w:id="62" w:name="_Toc135016185"/>
      <w:bookmarkStart w:id="63" w:name="_Toc243111728"/>
      <w:bookmarkStart w:id="64" w:name="_Toc298936729"/>
      <w:bookmarkStart w:id="65" w:name="_Toc299004833"/>
    </w:p>
    <w:p>
      <w:pPr>
        <w:pStyle w:val="4"/>
        <w:spacing w:before="0" w:after="0" w:line="500" w:lineRule="exact"/>
        <w:rPr>
          <w:rFonts w:hint="default" w:ascii="Times New Roman" w:hAnsi="Times New Roman" w:eastAsia="仿宋" w:cs="Times New Roman"/>
          <w:b w:val="0"/>
          <w:bCs w:val="0"/>
          <w:snapToGrid w:val="0"/>
          <w:color w:val="000000" w:themeColor="text1"/>
          <w:kern w:val="0"/>
        </w:rPr>
      </w:pPr>
      <w:bookmarkStart w:id="66" w:name="_Toc3788"/>
      <w:r>
        <w:rPr>
          <w:rFonts w:hint="default" w:ascii="Times New Roman" w:hAnsi="Times New Roman" w:eastAsia="仿宋" w:cs="Times New Roman"/>
          <w:color w:val="000000" w:themeColor="text1"/>
          <w:sz w:val="28"/>
          <w:szCs w:val="28"/>
        </w:rPr>
        <w:t>（一）估价委托人</w:t>
      </w:r>
      <w:bookmarkEnd w:id="44"/>
      <w:bookmarkEnd w:id="45"/>
      <w:bookmarkEnd w:id="46"/>
      <w:bookmarkEnd w:id="66"/>
    </w:p>
    <w:p>
      <w:pPr>
        <w:spacing w:line="500" w:lineRule="exact"/>
        <w:ind w:firstLine="560" w:firstLineChars="200"/>
        <w:rPr>
          <w:rFonts w:hint="default" w:ascii="Times New Roman" w:hAnsi="Times New Roman" w:eastAsia="仿宋" w:cs="Times New Roman"/>
          <w:caps/>
          <w:color w:val="000000" w:themeColor="text1"/>
          <w:sz w:val="28"/>
          <w:szCs w:val="28"/>
          <w:lang w:eastAsia="zh-CN"/>
        </w:rPr>
      </w:pPr>
      <w:bookmarkStart w:id="67" w:name="_Toc269132867"/>
      <w:bookmarkStart w:id="68" w:name="_Toc301369714"/>
      <w:bookmarkStart w:id="69" w:name="_Toc135016171"/>
      <w:bookmarkStart w:id="70" w:name="_Toc130033721"/>
      <w:bookmarkStart w:id="71" w:name="_Toc254860124"/>
      <w:bookmarkStart w:id="72" w:name="_Toc254875138"/>
      <w:bookmarkStart w:id="73" w:name="_Toc367869496"/>
      <w:bookmarkStart w:id="74" w:name="_Toc243111684"/>
      <w:bookmarkStart w:id="75" w:name="_Toc243111713"/>
      <w:bookmarkStart w:id="76" w:name="_Toc270691066"/>
      <w:r>
        <w:rPr>
          <w:rFonts w:hint="default" w:ascii="Times New Roman" w:hAnsi="Times New Roman" w:eastAsia="仿宋" w:cs="Times New Roman"/>
          <w:caps/>
          <w:color w:val="000000" w:themeColor="text1"/>
          <w:sz w:val="28"/>
          <w:szCs w:val="28"/>
          <w:lang w:eastAsia="zh-CN"/>
        </w:rPr>
        <w:t>宜丰县人民法院</w:t>
      </w:r>
    </w:p>
    <w:p>
      <w:pPr>
        <w:pStyle w:val="4"/>
        <w:spacing w:before="0" w:after="0" w:line="500" w:lineRule="exact"/>
        <w:rPr>
          <w:rFonts w:hint="default" w:ascii="Times New Roman" w:hAnsi="Times New Roman" w:eastAsia="仿宋" w:cs="Times New Roman"/>
          <w:b w:val="0"/>
          <w:bCs w:val="0"/>
          <w:caps/>
          <w:color w:val="000000" w:themeColor="text1"/>
          <w:sz w:val="28"/>
          <w:szCs w:val="28"/>
        </w:rPr>
      </w:pPr>
      <w:bookmarkStart w:id="77" w:name="_Toc435110683"/>
      <w:bookmarkStart w:id="78" w:name="_Toc6370"/>
      <w:r>
        <w:rPr>
          <w:rFonts w:hint="default" w:ascii="Times New Roman" w:hAnsi="Times New Roman" w:eastAsia="仿宋" w:cs="Times New Roman"/>
          <w:color w:val="000000" w:themeColor="text1"/>
          <w:sz w:val="28"/>
          <w:szCs w:val="28"/>
        </w:rPr>
        <w:t>（二）房地产估价</w:t>
      </w:r>
      <w:bookmarkEnd w:id="67"/>
      <w:bookmarkEnd w:id="68"/>
      <w:bookmarkEnd w:id="69"/>
      <w:bookmarkEnd w:id="70"/>
      <w:bookmarkEnd w:id="71"/>
      <w:bookmarkEnd w:id="72"/>
      <w:bookmarkEnd w:id="73"/>
      <w:bookmarkEnd w:id="74"/>
      <w:bookmarkEnd w:id="75"/>
      <w:bookmarkEnd w:id="76"/>
      <w:r>
        <w:rPr>
          <w:rFonts w:hint="default" w:ascii="Times New Roman" w:hAnsi="Times New Roman" w:eastAsia="仿宋" w:cs="Times New Roman"/>
          <w:color w:val="000000" w:themeColor="text1"/>
          <w:sz w:val="28"/>
          <w:szCs w:val="28"/>
        </w:rPr>
        <w:t>机构</w:t>
      </w:r>
      <w:bookmarkEnd w:id="77"/>
      <w:bookmarkEnd w:id="78"/>
    </w:p>
    <w:p>
      <w:pPr>
        <w:pageBreakBefore w:val="0"/>
        <w:widowControl w:val="0"/>
        <w:kinsoku/>
        <w:wordWrap/>
        <w:overflowPunct/>
        <w:topLinePunct w:val="0"/>
        <w:autoSpaceDE/>
        <w:autoSpaceDN/>
        <w:bidi w:val="0"/>
        <w:adjustRightInd w:val="0"/>
        <w:spacing w:line="500" w:lineRule="exact"/>
        <w:ind w:firstLine="560" w:firstLineChars="200"/>
        <w:textAlignment w:val="baseline"/>
        <w:rPr>
          <w:rFonts w:hint="default" w:ascii="Times New Roman" w:hAnsi="Times New Roman" w:eastAsia="仿宋" w:cs="Times New Roman"/>
          <w:color w:val="000000" w:themeColor="text1"/>
          <w:sz w:val="28"/>
          <w:szCs w:val="28"/>
          <w:lang w:eastAsia="zh-CN"/>
        </w:rPr>
      </w:pPr>
      <w:bookmarkStart w:id="79" w:name="_Toc435110684"/>
      <w:bookmarkStart w:id="80" w:name="_Toc270691067"/>
      <w:bookmarkStart w:id="81" w:name="_Toc269132868"/>
      <w:bookmarkStart w:id="82" w:name="_Toc243111685"/>
      <w:bookmarkStart w:id="83" w:name="_Toc254860125"/>
      <w:bookmarkStart w:id="84" w:name="_Toc301369715"/>
      <w:bookmarkStart w:id="85" w:name="_Toc135016172"/>
      <w:bookmarkStart w:id="86" w:name="_Toc254875139"/>
      <w:bookmarkStart w:id="87" w:name="_Toc130033722"/>
      <w:bookmarkStart w:id="88" w:name="_Toc367869497"/>
      <w:bookmarkStart w:id="89" w:name="_Toc243111714"/>
      <w:r>
        <w:rPr>
          <w:rFonts w:hint="default" w:ascii="Times New Roman" w:hAnsi="Times New Roman" w:eastAsia="仿宋" w:cs="Times New Roman"/>
          <w:color w:val="000000" w:themeColor="text1"/>
          <w:sz w:val="28"/>
          <w:szCs w:val="28"/>
        </w:rPr>
        <w:t>受托单位：</w:t>
      </w:r>
      <w:r>
        <w:rPr>
          <w:rFonts w:hint="default" w:ascii="Times New Roman" w:hAnsi="Times New Roman" w:eastAsia="仿宋" w:cs="Times New Roman"/>
          <w:color w:val="000000" w:themeColor="text1"/>
          <w:sz w:val="28"/>
          <w:szCs w:val="28"/>
          <w:lang w:eastAsia="zh-CN"/>
        </w:rPr>
        <w:t>佳信拓投房地产资产评估有限公司</w:t>
      </w:r>
    </w:p>
    <w:p>
      <w:pPr>
        <w:pageBreakBefore w:val="0"/>
        <w:widowControl w:val="0"/>
        <w:kinsoku/>
        <w:wordWrap/>
        <w:overflowPunct/>
        <w:topLinePunct w:val="0"/>
        <w:autoSpaceDE/>
        <w:autoSpaceDN/>
        <w:bidi w:val="0"/>
        <w:adjustRightInd w:val="0"/>
        <w:snapToGrid w:val="0"/>
        <w:spacing w:line="500" w:lineRule="exact"/>
        <w:ind w:left="540" w:leftChars="257"/>
        <w:textAlignment w:val="baseline"/>
        <w:rPr>
          <w:rFonts w:hint="default" w:ascii="Times New Roman" w:hAnsi="Times New Roman" w:eastAsia="仿宋" w:cs="Times New Roman"/>
          <w:color w:val="000000" w:themeColor="text1"/>
          <w:sz w:val="28"/>
          <w:szCs w:val="28"/>
          <w:lang w:val="en-US" w:eastAsia="zh-CN"/>
        </w:rPr>
      </w:pPr>
      <w:r>
        <w:rPr>
          <w:rFonts w:hint="default" w:ascii="Times New Roman" w:hAnsi="Times New Roman" w:eastAsia="仿宋" w:cs="Times New Roman"/>
          <w:color w:val="000000" w:themeColor="text1"/>
          <w:sz w:val="28"/>
          <w:szCs w:val="28"/>
        </w:rPr>
        <w:t>单位地址：江西省南昌市红谷滩区</w:t>
      </w:r>
      <w:r>
        <w:rPr>
          <w:rFonts w:hint="default" w:ascii="Times New Roman" w:hAnsi="Times New Roman" w:eastAsia="仿宋" w:cs="Times New Roman"/>
          <w:color w:val="000000" w:themeColor="text1"/>
          <w:sz w:val="28"/>
          <w:szCs w:val="28"/>
          <w:lang w:val="en-US" w:eastAsia="zh-CN"/>
        </w:rPr>
        <w:t>九龙大道1177号绿地国际博览城JLH703-B02地块1、2、3#办公商业楼623、624室</w:t>
      </w:r>
    </w:p>
    <w:p>
      <w:pPr>
        <w:pageBreakBefore w:val="0"/>
        <w:widowControl w:val="0"/>
        <w:kinsoku/>
        <w:wordWrap/>
        <w:overflowPunct/>
        <w:topLinePunct w:val="0"/>
        <w:autoSpaceDE/>
        <w:autoSpaceDN/>
        <w:bidi w:val="0"/>
        <w:adjustRightInd w:val="0"/>
        <w:spacing w:line="500" w:lineRule="exact"/>
        <w:ind w:firstLine="560" w:firstLineChars="200"/>
        <w:textAlignment w:val="baseline"/>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 xml:space="preserve">资质等级：壹级 </w:t>
      </w:r>
    </w:p>
    <w:p>
      <w:pPr>
        <w:pageBreakBefore w:val="0"/>
        <w:widowControl w:val="0"/>
        <w:kinsoku/>
        <w:wordWrap/>
        <w:overflowPunct/>
        <w:topLinePunct w:val="0"/>
        <w:autoSpaceDE/>
        <w:autoSpaceDN/>
        <w:bidi w:val="0"/>
        <w:adjustRightInd w:val="0"/>
        <w:spacing w:line="500" w:lineRule="exact"/>
        <w:ind w:firstLine="560" w:firstLineChars="200"/>
        <w:textAlignment w:val="baseline"/>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法人代表：吴昊</w:t>
      </w:r>
    </w:p>
    <w:p>
      <w:pPr>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资质证书编号：</w:t>
      </w:r>
      <w:r>
        <w:rPr>
          <w:rFonts w:hint="default" w:ascii="Times New Roman" w:hAnsi="Times New Roman" w:eastAsia="仿宋" w:cs="Times New Roman"/>
          <w:bCs/>
          <w:color w:val="000000" w:themeColor="text1"/>
          <w:sz w:val="28"/>
          <w:szCs w:val="28"/>
        </w:rPr>
        <w:t>赣建房评字169号</w:t>
      </w:r>
    </w:p>
    <w:p>
      <w:pPr>
        <w:pStyle w:val="4"/>
        <w:spacing w:before="0" w:after="0" w:line="500" w:lineRule="exact"/>
        <w:rPr>
          <w:rFonts w:hint="default" w:ascii="Times New Roman" w:hAnsi="Times New Roman" w:eastAsia="仿宋" w:cs="Times New Roman"/>
          <w:b w:val="0"/>
          <w:bCs w:val="0"/>
          <w:color w:val="000000" w:themeColor="text1"/>
          <w:sz w:val="28"/>
          <w:szCs w:val="28"/>
        </w:rPr>
      </w:pPr>
      <w:bookmarkStart w:id="90" w:name="_Toc7188"/>
      <w:r>
        <w:rPr>
          <w:rFonts w:hint="default" w:ascii="Times New Roman" w:hAnsi="Times New Roman" w:eastAsia="仿宋" w:cs="Times New Roman"/>
          <w:color w:val="000000" w:themeColor="text1"/>
          <w:sz w:val="28"/>
          <w:szCs w:val="28"/>
        </w:rPr>
        <w:t>（三）估价目的</w:t>
      </w:r>
      <w:bookmarkEnd w:id="79"/>
      <w:bookmarkEnd w:id="90"/>
    </w:p>
    <w:p>
      <w:pPr>
        <w:spacing w:line="500" w:lineRule="exact"/>
        <w:ind w:firstLine="560" w:firstLineChars="200"/>
        <w:rPr>
          <w:rFonts w:hint="default" w:ascii="Times New Roman" w:hAnsi="Times New Roman" w:eastAsia="仿宋" w:cs="Times New Roman"/>
          <w:bCs/>
          <w:color w:val="000000" w:themeColor="text1"/>
          <w:sz w:val="28"/>
          <w:szCs w:val="28"/>
        </w:rPr>
      </w:pPr>
      <w:r>
        <w:rPr>
          <w:rFonts w:hint="default" w:ascii="Times New Roman" w:hAnsi="Times New Roman" w:eastAsia="仿宋" w:cs="Times New Roman"/>
          <w:bCs/>
          <w:color w:val="000000" w:themeColor="text1"/>
          <w:sz w:val="28"/>
          <w:szCs w:val="28"/>
        </w:rPr>
        <w:t>为人民法院确定财产处置参考价提供参考依据。</w:t>
      </w:r>
      <w:bookmarkStart w:id="91" w:name="_Toc435110685"/>
    </w:p>
    <w:p>
      <w:pPr>
        <w:pStyle w:val="4"/>
        <w:spacing w:before="0" w:after="0" w:line="500" w:lineRule="exact"/>
        <w:rPr>
          <w:rFonts w:hint="default" w:ascii="Times New Roman" w:hAnsi="Times New Roman" w:eastAsia="仿宋" w:cs="Times New Roman"/>
          <w:b w:val="0"/>
          <w:bCs w:val="0"/>
          <w:color w:val="000000" w:themeColor="text1"/>
          <w:sz w:val="28"/>
          <w:szCs w:val="28"/>
        </w:rPr>
      </w:pPr>
      <w:bookmarkStart w:id="92" w:name="_Toc14926"/>
      <w:r>
        <w:rPr>
          <w:rFonts w:hint="default" w:ascii="Times New Roman" w:hAnsi="Times New Roman" w:eastAsia="仿宋" w:cs="Times New Roman"/>
          <w:color w:val="000000" w:themeColor="text1"/>
          <w:sz w:val="28"/>
          <w:szCs w:val="28"/>
        </w:rPr>
        <w:t>（四）估价对象</w:t>
      </w:r>
      <w:bookmarkEnd w:id="80"/>
      <w:bookmarkEnd w:id="81"/>
      <w:bookmarkEnd w:id="82"/>
      <w:bookmarkEnd w:id="83"/>
      <w:bookmarkEnd w:id="84"/>
      <w:bookmarkEnd w:id="85"/>
      <w:bookmarkEnd w:id="86"/>
      <w:bookmarkEnd w:id="87"/>
      <w:bookmarkEnd w:id="88"/>
      <w:bookmarkEnd w:id="89"/>
      <w:bookmarkEnd w:id="91"/>
      <w:bookmarkEnd w:id="92"/>
    </w:p>
    <w:p>
      <w:pPr>
        <w:adjustRightInd w:val="0"/>
        <w:snapToGrid w:val="0"/>
        <w:spacing w:line="500" w:lineRule="exact"/>
        <w:ind w:firstLine="562" w:firstLineChars="200"/>
        <w:rPr>
          <w:rFonts w:hint="default" w:ascii="Times New Roman" w:hAnsi="Times New Roman" w:eastAsia="仿宋" w:cs="Times New Roman"/>
          <w:b/>
          <w:bCs/>
          <w:color w:val="000000" w:themeColor="text1"/>
          <w:sz w:val="28"/>
          <w:szCs w:val="28"/>
        </w:rPr>
      </w:pPr>
      <w:bookmarkStart w:id="93" w:name="_Toc155258965"/>
      <w:bookmarkStart w:id="94" w:name="_Toc301369719"/>
      <w:bookmarkStart w:id="95" w:name="_Toc367869501"/>
      <w:bookmarkStart w:id="96" w:name="_Toc254875143"/>
      <w:bookmarkStart w:id="97" w:name="_Toc270691071"/>
      <w:bookmarkStart w:id="98" w:name="_Toc269132872"/>
      <w:bookmarkStart w:id="99" w:name="_Toc243111689"/>
      <w:bookmarkStart w:id="100" w:name="_Toc254860129"/>
      <w:bookmarkStart w:id="101" w:name="_Toc130033725"/>
      <w:bookmarkStart w:id="102" w:name="_Toc135016175"/>
      <w:bookmarkStart w:id="103" w:name="_Toc243111718"/>
      <w:r>
        <w:rPr>
          <w:rFonts w:hint="default" w:ascii="Times New Roman" w:hAnsi="Times New Roman" w:eastAsia="仿宋" w:cs="Times New Roman"/>
          <w:b/>
          <w:bCs/>
          <w:color w:val="000000" w:themeColor="text1"/>
          <w:sz w:val="28"/>
          <w:szCs w:val="28"/>
        </w:rPr>
        <w:t>1.估价对象范围</w:t>
      </w:r>
    </w:p>
    <w:p>
      <w:pPr>
        <w:snapToGrid w:val="0"/>
        <w:spacing w:line="500" w:lineRule="exact"/>
        <w:ind w:firstLine="560" w:firstLineChars="200"/>
        <w:rPr>
          <w:rFonts w:hint="default" w:ascii="Times New Roman" w:hAnsi="Times New Roman" w:eastAsia="仿宋" w:cs="Times New Roman"/>
          <w:caps/>
          <w:color w:val="000000" w:themeColor="text1"/>
          <w:sz w:val="28"/>
          <w:szCs w:val="28"/>
        </w:rPr>
      </w:pPr>
      <w:r>
        <w:rPr>
          <w:rFonts w:hint="default" w:ascii="Times New Roman" w:hAnsi="Times New Roman" w:eastAsia="仿宋" w:cs="Times New Roman"/>
          <w:caps/>
          <w:color w:val="000000" w:themeColor="text1"/>
          <w:sz w:val="28"/>
          <w:szCs w:val="28"/>
        </w:rPr>
        <w:t>估价对象为</w:t>
      </w:r>
      <w:r>
        <w:rPr>
          <w:rFonts w:hint="default" w:ascii="Times New Roman" w:hAnsi="Times New Roman" w:eastAsia="仿宋" w:cs="Times New Roman"/>
          <w:caps/>
          <w:color w:val="000000" w:themeColor="text1"/>
          <w:sz w:val="28"/>
          <w:szCs w:val="28"/>
          <w:lang w:eastAsia="zh-CN"/>
        </w:rPr>
        <w:t>宜春市宜丰县新昌镇解放路2号</w:t>
      </w:r>
      <w:r>
        <w:rPr>
          <w:rFonts w:hint="default" w:ascii="Times New Roman" w:hAnsi="Times New Roman" w:eastAsia="仿宋" w:cs="Times New Roman"/>
          <w:color w:val="000000" w:themeColor="text1"/>
          <w:sz w:val="28"/>
          <w:szCs w:val="28"/>
        </w:rPr>
        <w:t>，建筑总面积为</w:t>
      </w:r>
      <w:r>
        <w:rPr>
          <w:rFonts w:hint="default" w:ascii="Times New Roman" w:hAnsi="Times New Roman" w:eastAsia="仿宋" w:cs="Times New Roman"/>
          <w:color w:val="000000" w:themeColor="text1"/>
          <w:sz w:val="28"/>
          <w:szCs w:val="28"/>
          <w:lang w:val="en-US" w:eastAsia="zh-CN"/>
        </w:rPr>
        <w:t>130.29</w:t>
      </w:r>
      <w:r>
        <w:rPr>
          <w:rFonts w:hint="default" w:ascii="Times New Roman" w:hAnsi="Times New Roman" w:eastAsia="仿宋" w:cs="Times New Roman"/>
          <w:caps/>
          <w:color w:val="000000" w:themeColor="text1"/>
          <w:sz w:val="28"/>
          <w:szCs w:val="28"/>
        </w:rPr>
        <w:t>平方米房地产</w:t>
      </w:r>
      <w:r>
        <w:rPr>
          <w:rFonts w:hint="default" w:ascii="Times New Roman" w:hAnsi="Times New Roman" w:eastAsia="仿宋" w:cs="Times New Roman"/>
          <w:caps/>
          <w:color w:val="000000" w:themeColor="text1"/>
          <w:sz w:val="28"/>
          <w:szCs w:val="28"/>
          <w:highlight w:val="none"/>
        </w:rPr>
        <w:t>，</w:t>
      </w:r>
      <w:r>
        <w:rPr>
          <w:rFonts w:hint="default" w:ascii="Times New Roman" w:hAnsi="Times New Roman" w:eastAsia="仿宋" w:cs="Times New Roman"/>
          <w:caps/>
          <w:color w:val="000000" w:themeColor="text1"/>
          <w:sz w:val="28"/>
          <w:szCs w:val="28"/>
          <w:highlight w:val="none"/>
          <w:lang w:val="en-US" w:eastAsia="zh-CN"/>
        </w:rPr>
        <w:t>包括房屋的所有权及其不可拆卸的装饰装修和所分摊的土地在剩余使用年限的使用权，</w:t>
      </w:r>
      <w:r>
        <w:rPr>
          <w:rFonts w:hint="default" w:ascii="Times New Roman" w:hAnsi="Times New Roman" w:eastAsia="仿宋" w:cs="Times New Roman"/>
          <w:caps/>
          <w:color w:val="000000" w:themeColor="text1"/>
          <w:sz w:val="28"/>
          <w:szCs w:val="28"/>
          <w:highlight w:val="none"/>
        </w:rPr>
        <w:t>未包</w:t>
      </w:r>
      <w:r>
        <w:rPr>
          <w:rFonts w:hint="default" w:ascii="Times New Roman" w:hAnsi="Times New Roman" w:eastAsia="仿宋" w:cs="Times New Roman"/>
          <w:caps/>
          <w:color w:val="000000" w:themeColor="text1"/>
          <w:sz w:val="28"/>
          <w:szCs w:val="28"/>
        </w:rPr>
        <w:t>含其附属构筑物、绿化树木、及相关债权债务等。</w:t>
      </w:r>
    </w:p>
    <w:p>
      <w:pPr>
        <w:adjustRightInd w:val="0"/>
        <w:snapToGrid w:val="0"/>
        <w:spacing w:line="500" w:lineRule="exact"/>
        <w:ind w:firstLine="562" w:firstLineChars="200"/>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2.估价对象权益状况</w:t>
      </w:r>
    </w:p>
    <w:p>
      <w:pPr>
        <w:snapToGrid w:val="0"/>
        <w:spacing w:line="500" w:lineRule="exact"/>
        <w:ind w:firstLine="560" w:firstLineChars="200"/>
        <w:rPr>
          <w:rFonts w:hint="default" w:ascii="Times New Roman" w:hAnsi="Times New Roman" w:eastAsia="仿宋" w:cs="Times New Roman"/>
          <w:bCs/>
          <w:caps/>
          <w:color w:val="000000" w:themeColor="text1"/>
          <w:sz w:val="28"/>
          <w:szCs w:val="28"/>
          <w:highlight w:val="yellow"/>
        </w:rPr>
      </w:pPr>
      <w:r>
        <w:rPr>
          <w:rFonts w:hint="default" w:ascii="Times New Roman" w:hAnsi="Times New Roman" w:eastAsia="仿宋" w:cs="Times New Roman"/>
          <w:bCs/>
          <w:caps/>
          <w:color w:val="000000" w:themeColor="text1"/>
          <w:sz w:val="28"/>
          <w:szCs w:val="28"/>
        </w:rPr>
        <w:t>根据委托人提供的</w:t>
      </w:r>
      <w:r>
        <w:rPr>
          <w:rFonts w:hint="default" w:ascii="Times New Roman" w:hAnsi="Times New Roman" w:eastAsia="仿宋" w:cs="Times New Roman"/>
          <w:bCs/>
          <w:color w:val="000000" w:themeColor="text1"/>
          <w:sz w:val="28"/>
          <w:szCs w:val="28"/>
          <w:highlight w:val="none"/>
          <w:lang w:eastAsia="zh-CN"/>
        </w:rPr>
        <w:t>《宜丰县房产登记情况查询统计表》、《江西省宜丰县房产所有权登记审核表》</w:t>
      </w:r>
      <w:r>
        <w:rPr>
          <w:rFonts w:hint="eastAsia" w:eastAsia="仿宋" w:cs="Times New Roman"/>
          <w:bCs/>
          <w:color w:val="000000" w:themeColor="text1"/>
          <w:sz w:val="28"/>
          <w:szCs w:val="28"/>
          <w:highlight w:val="none"/>
          <w:lang w:eastAsia="zh-CN"/>
        </w:rPr>
        <w:t>、《宜丰县公有住房出售现场勘查记录表》</w:t>
      </w:r>
      <w:r>
        <w:rPr>
          <w:rFonts w:hint="default" w:ascii="Times New Roman" w:hAnsi="Times New Roman" w:eastAsia="仿宋" w:cs="Times New Roman"/>
          <w:bCs/>
          <w:caps/>
          <w:color w:val="000000" w:themeColor="text1"/>
          <w:sz w:val="28"/>
          <w:szCs w:val="28"/>
        </w:rPr>
        <w:t>复印件，估价对象权益状况及分析如下：</w:t>
      </w:r>
    </w:p>
    <w:p>
      <w:pPr>
        <w:adjustRightInd w:val="0"/>
        <w:snapToGrid w:val="0"/>
        <w:spacing w:line="500" w:lineRule="exact"/>
        <w:jc w:val="center"/>
        <w:rPr>
          <w:rFonts w:hint="default" w:ascii="Times New Roman" w:hAnsi="Times New Roman" w:eastAsia="仿宋" w:cs="Times New Roman"/>
          <w:b/>
          <w:color w:val="000000" w:themeColor="text1"/>
          <w:sz w:val="28"/>
          <w:szCs w:val="28"/>
        </w:rPr>
      </w:pPr>
      <w:r>
        <w:rPr>
          <w:rFonts w:hint="default" w:ascii="Times New Roman" w:hAnsi="Times New Roman" w:eastAsia="仿宋" w:cs="Times New Roman"/>
          <w:b/>
          <w:color w:val="000000" w:themeColor="text1"/>
          <w:sz w:val="28"/>
          <w:szCs w:val="28"/>
        </w:rPr>
        <w:br w:type="page"/>
      </w:r>
      <w:r>
        <w:rPr>
          <w:rFonts w:hint="default" w:ascii="Times New Roman" w:hAnsi="Times New Roman" w:eastAsia="仿宋" w:cs="Times New Roman"/>
          <w:b/>
          <w:color w:val="000000" w:themeColor="text1"/>
          <w:sz w:val="28"/>
          <w:szCs w:val="28"/>
        </w:rPr>
        <w:t>房屋权属状况明细表</w:t>
      </w:r>
    </w:p>
    <w:tbl>
      <w:tblPr>
        <w:tblStyle w:val="42"/>
        <w:tblW w:w="4450" w:type="pct"/>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341"/>
        <w:gridCol w:w="1122"/>
        <w:gridCol w:w="1215"/>
        <w:gridCol w:w="1083"/>
        <w:gridCol w:w="659"/>
        <w:gridCol w:w="699"/>
        <w:gridCol w:w="1118"/>
        <w:gridCol w:w="928"/>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80" w:hRule="atLeast"/>
          <w:jc w:val="center"/>
        </w:trPr>
        <w:tc>
          <w:tcPr>
            <w:tcW w:w="821"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kern w:val="0"/>
                <w:sz w:val="21"/>
                <w:szCs w:val="21"/>
                <w:u w:val="none"/>
                <w:lang w:val="en-US" w:eastAsia="zh-CN" w:bidi="ar"/>
              </w:rPr>
            </w:pPr>
            <w:r>
              <w:rPr>
                <w:rFonts w:hint="default" w:ascii="Times New Roman" w:hAnsi="Times New Roman" w:eastAsia="仿宋" w:cs="Times New Roman"/>
                <w:b/>
                <w:bCs/>
                <w:i w:val="0"/>
                <w:iCs w:val="0"/>
                <w:color w:val="000000" w:themeColor="text1"/>
                <w:kern w:val="0"/>
                <w:sz w:val="21"/>
                <w:szCs w:val="21"/>
                <w:u w:val="none"/>
                <w:lang w:val="en-US" w:eastAsia="zh-CN" w:bidi="ar"/>
              </w:rPr>
              <w:t>产权证号</w:t>
            </w:r>
          </w:p>
        </w:tc>
        <w:tc>
          <w:tcPr>
            <w:tcW w:w="68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kern w:val="0"/>
                <w:sz w:val="21"/>
                <w:szCs w:val="21"/>
                <w:u w:val="none"/>
                <w:lang w:val="en-US" w:eastAsia="zh-CN" w:bidi="ar"/>
              </w:rPr>
            </w:pPr>
            <w:r>
              <w:rPr>
                <w:rFonts w:hint="default" w:ascii="Times New Roman" w:hAnsi="Times New Roman" w:eastAsia="仿宋" w:cs="Times New Roman"/>
                <w:b/>
                <w:bCs/>
                <w:i w:val="0"/>
                <w:iCs w:val="0"/>
                <w:color w:val="000000" w:themeColor="text1"/>
                <w:kern w:val="0"/>
                <w:sz w:val="21"/>
                <w:szCs w:val="21"/>
                <w:u w:val="none"/>
                <w:lang w:val="en-US" w:eastAsia="zh-CN" w:bidi="ar"/>
              </w:rPr>
              <w:t>房屋所有权人</w:t>
            </w:r>
          </w:p>
        </w:tc>
        <w:tc>
          <w:tcPr>
            <w:tcW w:w="74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rPr>
            </w:pPr>
            <w:r>
              <w:rPr>
                <w:rFonts w:hint="default" w:ascii="Times New Roman" w:hAnsi="Times New Roman" w:eastAsia="仿宋" w:cs="Times New Roman"/>
                <w:b/>
                <w:bCs/>
                <w:i w:val="0"/>
                <w:iCs w:val="0"/>
                <w:color w:val="000000" w:themeColor="text1"/>
                <w:kern w:val="0"/>
                <w:sz w:val="21"/>
                <w:szCs w:val="21"/>
                <w:u w:val="none"/>
                <w:lang w:val="en-US" w:eastAsia="zh-CN" w:bidi="ar"/>
              </w:rPr>
              <w:t>房屋坐落</w:t>
            </w:r>
          </w:p>
        </w:tc>
        <w:tc>
          <w:tcPr>
            <w:tcW w:w="66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rPr>
            </w:pPr>
            <w:r>
              <w:rPr>
                <w:rFonts w:hint="default" w:ascii="Times New Roman" w:hAnsi="Times New Roman" w:eastAsia="仿宋" w:cs="Times New Roman"/>
                <w:b/>
                <w:bCs/>
                <w:i w:val="0"/>
                <w:iCs w:val="0"/>
                <w:color w:val="000000" w:themeColor="text1"/>
                <w:kern w:val="0"/>
                <w:sz w:val="21"/>
                <w:szCs w:val="21"/>
                <w:u w:val="none"/>
                <w:lang w:val="en-US" w:eastAsia="zh-CN" w:bidi="ar"/>
              </w:rPr>
              <w:t>房屋用途</w:t>
            </w: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rPr>
            </w:pPr>
            <w:r>
              <w:rPr>
                <w:rFonts w:hint="default" w:ascii="Times New Roman" w:hAnsi="Times New Roman" w:eastAsia="仿宋" w:cs="Times New Roman"/>
                <w:b/>
                <w:bCs/>
                <w:i w:val="0"/>
                <w:iCs w:val="0"/>
                <w:color w:val="000000" w:themeColor="text1"/>
                <w:kern w:val="0"/>
                <w:sz w:val="21"/>
                <w:szCs w:val="21"/>
                <w:u w:val="none"/>
                <w:lang w:val="en-US" w:eastAsia="zh-CN" w:bidi="ar"/>
              </w:rPr>
              <w:t>结构</w:t>
            </w:r>
          </w:p>
        </w:tc>
        <w:tc>
          <w:tcPr>
            <w:tcW w:w="4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rPr>
            </w:pPr>
            <w:r>
              <w:rPr>
                <w:rFonts w:hint="eastAsia" w:eastAsia="仿宋" w:cs="Times New Roman"/>
                <w:b/>
                <w:bCs/>
                <w:i w:val="0"/>
                <w:iCs w:val="0"/>
                <w:color w:val="000000"/>
                <w:sz w:val="21"/>
                <w:szCs w:val="21"/>
                <w:u w:val="none"/>
                <w:lang w:val="en-US" w:eastAsia="zh-CN"/>
              </w:rPr>
              <w:t>竣工时间</w:t>
            </w:r>
          </w:p>
        </w:tc>
        <w:tc>
          <w:tcPr>
            <w:tcW w:w="6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lang w:val="en-US" w:eastAsia="zh-CN"/>
              </w:rPr>
            </w:pPr>
            <w:r>
              <w:rPr>
                <w:rFonts w:hint="default" w:ascii="Times New Roman" w:hAnsi="Times New Roman" w:eastAsia="仿宋" w:cs="Times New Roman"/>
                <w:b/>
                <w:bCs/>
                <w:i w:val="0"/>
                <w:iCs w:val="0"/>
                <w:color w:val="000000" w:themeColor="text1"/>
                <w:sz w:val="21"/>
                <w:szCs w:val="21"/>
                <w:u w:val="none"/>
                <w:lang w:val="en-US" w:eastAsia="zh-CN"/>
              </w:rPr>
              <w:t>评估楼层/总层数</w:t>
            </w:r>
          </w:p>
        </w:tc>
        <w:tc>
          <w:tcPr>
            <w:tcW w:w="56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themeColor="text1"/>
                <w:sz w:val="21"/>
                <w:szCs w:val="21"/>
                <w:u w:val="none"/>
              </w:rPr>
            </w:pPr>
            <w:r>
              <w:rPr>
                <w:rFonts w:hint="default" w:ascii="Times New Roman" w:hAnsi="Times New Roman" w:eastAsia="仿宋" w:cs="Times New Roman"/>
                <w:b/>
                <w:bCs/>
                <w:i w:val="0"/>
                <w:iCs w:val="0"/>
                <w:color w:val="000000" w:themeColor="text1"/>
                <w:kern w:val="0"/>
                <w:sz w:val="21"/>
                <w:szCs w:val="21"/>
                <w:u w:val="none"/>
                <w:lang w:val="en-US" w:eastAsia="zh-CN" w:bidi="ar"/>
              </w:rPr>
              <w:t>建筑面积(㎡)</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821"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rPr>
            </w:pPr>
            <w:r>
              <w:rPr>
                <w:rFonts w:hint="default" w:ascii="Times New Roman" w:hAnsi="Times New Roman" w:eastAsia="仿宋" w:cs="Times New Roman"/>
                <w:i w:val="0"/>
                <w:iCs w:val="0"/>
                <w:color w:val="000000" w:themeColor="text1"/>
                <w:kern w:val="0"/>
                <w:sz w:val="21"/>
                <w:szCs w:val="21"/>
                <w:u w:val="none"/>
                <w:lang w:val="en-US" w:eastAsia="zh-CN" w:bidi="ar"/>
              </w:rPr>
              <w:t>宜丰房权证字第0009043号</w:t>
            </w:r>
          </w:p>
        </w:tc>
        <w:tc>
          <w:tcPr>
            <w:tcW w:w="687" w:type="pct"/>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default" w:ascii="Times New Roman" w:hAnsi="Times New Roman" w:eastAsia="仿宋" w:cs="Times New Roman"/>
                <w:i w:val="0"/>
                <w:iCs w:val="0"/>
                <w:color w:val="000000" w:themeColor="text1"/>
                <w:kern w:val="0"/>
                <w:sz w:val="21"/>
                <w:szCs w:val="21"/>
                <w:u w:val="none"/>
                <w:lang w:val="en-US" w:eastAsia="zh-CN" w:bidi="ar"/>
              </w:rPr>
              <w:t>黄建中</w:t>
            </w:r>
          </w:p>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default" w:ascii="Times New Roman" w:hAnsi="Times New Roman" w:eastAsia="仿宋" w:cs="Times New Roman"/>
                <w:i w:val="0"/>
                <w:iCs w:val="0"/>
                <w:color w:val="000000" w:themeColor="text1"/>
                <w:kern w:val="0"/>
                <w:sz w:val="21"/>
                <w:szCs w:val="21"/>
                <w:u w:val="none"/>
                <w:lang w:val="en-US" w:eastAsia="zh-CN" w:bidi="ar"/>
              </w:rPr>
              <w:t>谢芝秀</w:t>
            </w:r>
          </w:p>
        </w:tc>
        <w:tc>
          <w:tcPr>
            <w:tcW w:w="74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rPr>
            </w:pPr>
            <w:r>
              <w:rPr>
                <w:rFonts w:hint="default" w:ascii="Times New Roman" w:hAnsi="Times New Roman" w:eastAsia="仿宋" w:cs="Times New Roman"/>
                <w:i w:val="0"/>
                <w:iCs w:val="0"/>
                <w:color w:val="000000" w:themeColor="text1"/>
                <w:kern w:val="0"/>
                <w:sz w:val="21"/>
                <w:szCs w:val="21"/>
                <w:u w:val="none"/>
                <w:lang w:val="en-US" w:eastAsia="zh-CN" w:bidi="ar"/>
              </w:rPr>
              <w:t>新昌镇解放路2号</w:t>
            </w:r>
          </w:p>
        </w:tc>
        <w:tc>
          <w:tcPr>
            <w:tcW w:w="66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rPr>
            </w:pPr>
            <w:r>
              <w:rPr>
                <w:rFonts w:hint="default" w:ascii="Times New Roman" w:hAnsi="Times New Roman" w:eastAsia="仿宋" w:cs="Times New Roman"/>
                <w:i w:val="0"/>
                <w:iCs w:val="0"/>
                <w:color w:val="000000" w:themeColor="text1"/>
                <w:kern w:val="0"/>
                <w:sz w:val="21"/>
                <w:szCs w:val="21"/>
                <w:u w:val="none"/>
                <w:lang w:val="en-US" w:eastAsia="zh-CN" w:bidi="ar"/>
              </w:rPr>
              <w:t>住宅</w:t>
            </w: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rPr>
            </w:pPr>
            <w:r>
              <w:rPr>
                <w:rFonts w:hint="default" w:ascii="Times New Roman" w:hAnsi="Times New Roman" w:eastAsia="仿宋" w:cs="Times New Roman"/>
                <w:i w:val="0"/>
                <w:iCs w:val="0"/>
                <w:color w:val="000000" w:themeColor="text1"/>
                <w:kern w:val="0"/>
                <w:sz w:val="21"/>
                <w:szCs w:val="21"/>
                <w:u w:val="none"/>
                <w:lang w:val="en-US" w:eastAsia="zh-CN" w:bidi="ar"/>
              </w:rPr>
              <w:t>混合</w:t>
            </w:r>
          </w:p>
        </w:tc>
        <w:tc>
          <w:tcPr>
            <w:tcW w:w="4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lang w:val="en-US"/>
              </w:rPr>
            </w:pPr>
            <w:r>
              <w:rPr>
                <w:rFonts w:hint="default" w:ascii="Times New Roman" w:hAnsi="Times New Roman" w:eastAsia="仿宋" w:cs="Times New Roman"/>
                <w:i w:val="0"/>
                <w:iCs w:val="0"/>
                <w:color w:val="000000" w:themeColor="text1"/>
                <w:kern w:val="0"/>
                <w:sz w:val="21"/>
                <w:szCs w:val="21"/>
                <w:u w:val="none"/>
                <w:lang w:val="en-US" w:eastAsia="zh-CN" w:bidi="ar"/>
              </w:rPr>
              <w:t>2000年</w:t>
            </w:r>
          </w:p>
        </w:tc>
        <w:tc>
          <w:tcPr>
            <w:tcW w:w="6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lang w:val="en-US" w:eastAsia="zh-CN"/>
              </w:rPr>
            </w:pPr>
            <w:r>
              <w:rPr>
                <w:rFonts w:hint="default" w:ascii="Times New Roman" w:hAnsi="Times New Roman" w:eastAsia="仿宋" w:cs="Times New Roman"/>
                <w:i w:val="0"/>
                <w:iCs w:val="0"/>
                <w:color w:val="000000" w:themeColor="text1"/>
                <w:sz w:val="21"/>
                <w:szCs w:val="21"/>
                <w:u w:val="none"/>
                <w:lang w:val="en-US" w:eastAsia="zh-CN"/>
              </w:rPr>
              <w:t>6/6</w:t>
            </w:r>
          </w:p>
        </w:tc>
        <w:tc>
          <w:tcPr>
            <w:tcW w:w="56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eastAsia" w:eastAsia="仿宋" w:cs="Times New Roman"/>
                <w:i w:val="0"/>
                <w:iCs w:val="0"/>
                <w:color w:val="000000" w:themeColor="text1"/>
                <w:kern w:val="0"/>
                <w:sz w:val="21"/>
                <w:szCs w:val="21"/>
                <w:u w:val="none"/>
                <w:lang w:val="en-US" w:eastAsia="zh-CN" w:bidi="ar"/>
              </w:rPr>
              <w:t>122.54</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821"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p>
        </w:tc>
        <w:tc>
          <w:tcPr>
            <w:tcW w:w="687" w:type="pct"/>
            <w:vMerge w:val="continue"/>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p>
        </w:tc>
        <w:tc>
          <w:tcPr>
            <w:tcW w:w="744" w:type="pct"/>
            <w:vMerge w:val="continue"/>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p>
        </w:tc>
        <w:tc>
          <w:tcPr>
            <w:tcW w:w="66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 w:cs="Times New Roman"/>
                <w:i w:val="0"/>
                <w:iCs w:val="0"/>
                <w:color w:val="000000" w:themeColor="text1"/>
                <w:kern w:val="0"/>
                <w:sz w:val="21"/>
                <w:szCs w:val="21"/>
                <w:u w:val="none"/>
                <w:lang w:val="en-US" w:eastAsia="zh-CN" w:bidi="ar"/>
              </w:rPr>
            </w:pPr>
            <w:r>
              <w:rPr>
                <w:rFonts w:hint="eastAsia" w:eastAsia="仿宋" w:cs="Times New Roman"/>
                <w:i w:val="0"/>
                <w:iCs w:val="0"/>
                <w:color w:val="000000" w:themeColor="text1"/>
                <w:kern w:val="0"/>
                <w:sz w:val="21"/>
                <w:szCs w:val="21"/>
                <w:u w:val="none"/>
                <w:lang w:val="en-US" w:eastAsia="zh-CN" w:bidi="ar"/>
              </w:rPr>
              <w:t>杂物间</w:t>
            </w:r>
          </w:p>
        </w:tc>
        <w:tc>
          <w:tcPr>
            <w:tcW w:w="403"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default" w:ascii="Times New Roman" w:hAnsi="Times New Roman" w:eastAsia="仿宋" w:cs="Times New Roman"/>
                <w:i w:val="0"/>
                <w:iCs w:val="0"/>
                <w:color w:val="000000" w:themeColor="text1"/>
                <w:kern w:val="0"/>
                <w:sz w:val="21"/>
                <w:szCs w:val="21"/>
                <w:u w:val="none"/>
                <w:lang w:val="en-US" w:eastAsia="zh-CN" w:bidi="ar"/>
              </w:rPr>
              <w:t>混合</w:t>
            </w:r>
          </w:p>
        </w:tc>
        <w:tc>
          <w:tcPr>
            <w:tcW w:w="42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default" w:ascii="Times New Roman" w:hAnsi="Times New Roman" w:eastAsia="仿宋" w:cs="Times New Roman"/>
                <w:i w:val="0"/>
                <w:iCs w:val="0"/>
                <w:color w:val="000000" w:themeColor="text1"/>
                <w:kern w:val="0"/>
                <w:sz w:val="21"/>
                <w:szCs w:val="21"/>
                <w:u w:val="none"/>
                <w:lang w:val="en-US" w:eastAsia="zh-CN" w:bidi="ar"/>
              </w:rPr>
              <w:t>2000年</w:t>
            </w:r>
          </w:p>
        </w:tc>
        <w:tc>
          <w:tcPr>
            <w:tcW w:w="6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sz w:val="21"/>
                <w:szCs w:val="21"/>
                <w:u w:val="none"/>
                <w:lang w:val="en-US" w:eastAsia="zh-CN"/>
              </w:rPr>
            </w:pPr>
            <w:r>
              <w:rPr>
                <w:rFonts w:hint="eastAsia" w:eastAsia="仿宋" w:cs="Times New Roman"/>
                <w:i w:val="0"/>
                <w:iCs w:val="0"/>
                <w:color w:val="000000" w:themeColor="text1"/>
                <w:sz w:val="21"/>
                <w:szCs w:val="21"/>
                <w:u w:val="none"/>
                <w:lang w:val="en-US" w:eastAsia="zh-CN"/>
              </w:rPr>
              <w:t>1/6</w:t>
            </w:r>
          </w:p>
        </w:tc>
        <w:tc>
          <w:tcPr>
            <w:tcW w:w="568"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themeColor="text1"/>
                <w:kern w:val="0"/>
                <w:sz w:val="21"/>
                <w:szCs w:val="21"/>
                <w:u w:val="none"/>
                <w:lang w:val="en-US" w:eastAsia="zh-CN" w:bidi="ar"/>
              </w:rPr>
            </w:pPr>
            <w:r>
              <w:rPr>
                <w:rFonts w:hint="eastAsia" w:eastAsia="仿宋" w:cs="Times New Roman"/>
                <w:i w:val="0"/>
                <w:iCs w:val="0"/>
                <w:color w:val="000000" w:themeColor="text1"/>
                <w:kern w:val="0"/>
                <w:sz w:val="21"/>
                <w:szCs w:val="21"/>
                <w:u w:val="none"/>
                <w:lang w:val="en-US" w:eastAsia="zh-CN" w:bidi="ar"/>
              </w:rPr>
              <w:t>7.75</w:t>
            </w:r>
          </w:p>
        </w:tc>
      </w:tr>
    </w:tbl>
    <w:p>
      <w:pPr>
        <w:adjustRightInd w:val="0"/>
        <w:snapToGrid w:val="0"/>
        <w:spacing w:line="500" w:lineRule="exact"/>
        <w:ind w:firstLine="560" w:firstLineChars="200"/>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color w:val="000000" w:themeColor="text1"/>
          <w:sz w:val="28"/>
        </w:rPr>
        <w:t>根据评估目的，本次评估未考虑估价对象抵押、租赁、查封对评估价格的影响。</w:t>
      </w:r>
    </w:p>
    <w:p>
      <w:pPr>
        <w:adjustRightInd w:val="0"/>
        <w:snapToGrid w:val="0"/>
        <w:spacing w:line="500" w:lineRule="exact"/>
        <w:ind w:firstLine="562" w:firstLineChars="200"/>
        <w:rPr>
          <w:rFonts w:hint="default" w:ascii="Times New Roman" w:hAnsi="Times New Roman" w:eastAsia="仿宋" w:cs="Times New Roman"/>
          <w:b/>
          <w:bCs/>
          <w:color w:val="000000" w:themeColor="text1"/>
          <w:sz w:val="28"/>
          <w:szCs w:val="28"/>
        </w:rPr>
      </w:pPr>
      <w:r>
        <w:rPr>
          <w:rFonts w:hint="default" w:ascii="Times New Roman" w:hAnsi="Times New Roman" w:eastAsia="仿宋" w:cs="Times New Roman"/>
          <w:b/>
          <w:bCs/>
          <w:color w:val="000000" w:themeColor="text1"/>
          <w:sz w:val="28"/>
          <w:szCs w:val="28"/>
        </w:rPr>
        <w:t>3.估价对象实物情况</w:t>
      </w:r>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rPr>
        <w:t>根据</w:t>
      </w:r>
      <w:r>
        <w:rPr>
          <w:rFonts w:hint="default" w:ascii="Times New Roman" w:hAnsi="Times New Roman" w:eastAsia="仿宋" w:cs="Times New Roman"/>
          <w:color w:val="000000" w:themeColor="text1"/>
          <w:sz w:val="28"/>
          <w:szCs w:val="28"/>
        </w:rPr>
        <w:t>委托方提供的相关查档资料</w:t>
      </w:r>
      <w:r>
        <w:rPr>
          <w:rFonts w:hint="default" w:ascii="Times New Roman" w:hAnsi="Times New Roman" w:eastAsia="仿宋" w:cs="Times New Roman"/>
          <w:color w:val="000000" w:themeColor="text1"/>
          <w:sz w:val="28"/>
        </w:rPr>
        <w:t>和估价人员实地查勘，</w:t>
      </w:r>
      <w:r>
        <w:rPr>
          <w:rFonts w:hint="default" w:ascii="Times New Roman" w:hAnsi="Times New Roman" w:eastAsia="仿宋" w:cs="Times New Roman"/>
          <w:color w:val="000000" w:themeColor="text1"/>
          <w:sz w:val="28"/>
          <w:szCs w:val="28"/>
        </w:rPr>
        <w:t>估价对象位于</w:t>
      </w:r>
      <w:r>
        <w:rPr>
          <w:rFonts w:hint="default" w:ascii="Times New Roman" w:hAnsi="Times New Roman" w:eastAsia="仿宋" w:cs="Times New Roman"/>
          <w:color w:val="000000" w:themeColor="text1"/>
          <w:sz w:val="28"/>
          <w:szCs w:val="28"/>
          <w:lang w:eastAsia="zh-CN"/>
        </w:rPr>
        <w:t>新昌镇解放路2号，</w:t>
      </w:r>
      <w:r>
        <w:rPr>
          <w:rFonts w:hint="default" w:ascii="Times New Roman" w:hAnsi="Times New Roman" w:eastAsia="仿宋" w:cs="Times New Roman"/>
          <w:color w:val="000000" w:themeColor="text1"/>
          <w:sz w:val="28"/>
          <w:szCs w:val="28"/>
        </w:rPr>
        <w:t>建成</w:t>
      </w:r>
      <w:r>
        <w:rPr>
          <w:rFonts w:hint="default" w:ascii="Times New Roman" w:hAnsi="Times New Roman" w:eastAsia="仿宋" w:cs="Times New Roman"/>
          <w:color w:val="000000" w:themeColor="text1"/>
          <w:sz w:val="28"/>
          <w:szCs w:val="28"/>
          <w:lang w:eastAsia="zh-CN"/>
        </w:rPr>
        <w:t>于</w:t>
      </w:r>
      <w:r>
        <w:rPr>
          <w:rFonts w:hint="default" w:ascii="Times New Roman" w:hAnsi="Times New Roman" w:eastAsia="仿宋" w:cs="Times New Roman"/>
          <w:color w:val="000000" w:themeColor="text1"/>
          <w:sz w:val="28"/>
          <w:szCs w:val="28"/>
          <w:lang w:val="en-US" w:eastAsia="zh-CN"/>
        </w:rPr>
        <w:t>2000年</w:t>
      </w:r>
      <w:r>
        <w:rPr>
          <w:rFonts w:hint="default" w:ascii="Times New Roman" w:hAnsi="Times New Roman" w:eastAsia="仿宋" w:cs="Times New Roman"/>
          <w:color w:val="000000" w:themeColor="text1"/>
          <w:sz w:val="28"/>
          <w:szCs w:val="28"/>
        </w:rPr>
        <w:t>，建筑总面积为</w:t>
      </w:r>
      <w:r>
        <w:rPr>
          <w:rFonts w:hint="default" w:ascii="Times New Roman" w:hAnsi="Times New Roman" w:eastAsia="仿宋" w:cs="Times New Roman"/>
          <w:color w:val="000000" w:themeColor="text1"/>
          <w:sz w:val="28"/>
          <w:szCs w:val="28"/>
          <w:lang w:val="en-US" w:eastAsia="zh-CN"/>
        </w:rPr>
        <w:t>130.29</w:t>
      </w:r>
      <w:r>
        <w:rPr>
          <w:rFonts w:hint="default" w:ascii="Times New Roman" w:hAnsi="Times New Roman" w:eastAsia="仿宋" w:cs="Times New Roman"/>
          <w:color w:val="000000" w:themeColor="text1"/>
          <w:sz w:val="28"/>
          <w:szCs w:val="28"/>
        </w:rPr>
        <w:t>平方米。</w:t>
      </w:r>
    </w:p>
    <w:p>
      <w:pPr>
        <w:spacing w:line="480" w:lineRule="exact"/>
        <w:ind w:firstLine="560" w:firstLineChars="200"/>
        <w:rPr>
          <w:rFonts w:hint="default" w:ascii="Times New Roman" w:hAnsi="Times New Roman" w:eastAsia="仿宋" w:cs="Times New Roman"/>
          <w:color w:val="000000" w:themeColor="text1"/>
          <w:sz w:val="28"/>
          <w:szCs w:val="28"/>
          <w:highlight w:val="none"/>
          <w:lang w:eastAsia="zh-CN"/>
        </w:rPr>
      </w:pPr>
      <w:r>
        <w:rPr>
          <w:rFonts w:hint="default" w:ascii="Times New Roman" w:hAnsi="Times New Roman" w:eastAsia="仿宋" w:cs="Times New Roman"/>
          <w:color w:val="000000" w:themeColor="text1"/>
          <w:sz w:val="28"/>
          <w:szCs w:val="28"/>
        </w:rPr>
        <w:t>估价对象</w:t>
      </w:r>
      <w:r>
        <w:rPr>
          <w:rFonts w:hint="default" w:ascii="Times New Roman" w:hAnsi="Times New Roman" w:eastAsia="仿宋" w:cs="Times New Roman"/>
          <w:color w:val="000000" w:themeColor="text1"/>
          <w:sz w:val="28"/>
          <w:szCs w:val="28"/>
          <w:lang w:val="en-US" w:eastAsia="zh-CN"/>
        </w:rPr>
        <w:t>位于六层建筑的第六层</w:t>
      </w:r>
      <w:r>
        <w:rPr>
          <w:rFonts w:hint="eastAsia" w:eastAsia="仿宋" w:cs="Times New Roman"/>
          <w:color w:val="000000" w:themeColor="text1"/>
          <w:sz w:val="28"/>
          <w:szCs w:val="28"/>
          <w:lang w:val="en-US" w:eastAsia="zh-CN"/>
        </w:rPr>
        <w:t>（住宅）、第一层（杂物间）</w:t>
      </w:r>
      <w:r>
        <w:rPr>
          <w:rFonts w:hint="default" w:ascii="Times New Roman" w:hAnsi="Times New Roman" w:eastAsia="仿宋" w:cs="Times New Roman"/>
          <w:color w:val="000000" w:themeColor="text1"/>
          <w:sz w:val="28"/>
          <w:szCs w:val="28"/>
          <w:lang w:eastAsia="zh-CN"/>
        </w:rPr>
        <w:t>，</w:t>
      </w:r>
      <w:r>
        <w:rPr>
          <w:rFonts w:hint="default" w:ascii="Times New Roman" w:hAnsi="Times New Roman" w:eastAsia="仿宋" w:cs="Times New Roman"/>
          <w:color w:val="000000" w:themeColor="text1"/>
          <w:sz w:val="28"/>
          <w:lang w:eastAsia="zh-CN"/>
        </w:rPr>
        <w:t>混合</w:t>
      </w:r>
      <w:r>
        <w:rPr>
          <w:rFonts w:hint="default" w:ascii="Times New Roman" w:hAnsi="Times New Roman" w:eastAsia="仿宋" w:cs="Times New Roman"/>
          <w:color w:val="000000" w:themeColor="text1"/>
          <w:sz w:val="28"/>
        </w:rPr>
        <w:t>结构</w:t>
      </w:r>
      <w:r>
        <w:rPr>
          <w:rFonts w:hint="default" w:ascii="Times New Roman" w:hAnsi="Times New Roman" w:eastAsia="仿宋" w:cs="Times New Roman"/>
          <w:color w:val="000000" w:themeColor="text1"/>
          <w:sz w:val="28"/>
          <w:szCs w:val="28"/>
          <w:lang w:eastAsia="zh-CN"/>
        </w:rPr>
        <w:t>，</w:t>
      </w:r>
      <w:r>
        <w:rPr>
          <w:rFonts w:hint="default" w:ascii="Times New Roman" w:hAnsi="Times New Roman" w:eastAsia="仿宋" w:cs="Times New Roman"/>
          <w:color w:val="000000" w:themeColor="text1"/>
          <w:sz w:val="28"/>
          <w:szCs w:val="28"/>
        </w:rPr>
        <w:t>外墙为</w:t>
      </w:r>
      <w:r>
        <w:rPr>
          <w:rFonts w:hint="default" w:ascii="Times New Roman" w:hAnsi="Times New Roman" w:eastAsia="仿宋" w:cs="Times New Roman"/>
          <w:color w:val="000000" w:themeColor="text1"/>
          <w:sz w:val="28"/>
          <w:szCs w:val="28"/>
          <w:lang w:val="en-US" w:eastAsia="zh-CN"/>
        </w:rPr>
        <w:t>涂料</w:t>
      </w:r>
      <w:r>
        <w:rPr>
          <w:rFonts w:hint="default" w:ascii="Times New Roman" w:hAnsi="Times New Roman" w:eastAsia="仿宋" w:cs="Times New Roman"/>
          <w:color w:val="000000" w:themeColor="text1"/>
          <w:sz w:val="28"/>
          <w:szCs w:val="28"/>
        </w:rPr>
        <w:t>，入户门为</w:t>
      </w:r>
      <w:r>
        <w:rPr>
          <w:rFonts w:hint="default" w:ascii="Times New Roman" w:hAnsi="Times New Roman" w:eastAsia="仿宋" w:cs="Times New Roman"/>
          <w:color w:val="000000" w:themeColor="text1"/>
          <w:sz w:val="28"/>
          <w:szCs w:val="28"/>
          <w:lang w:eastAsia="zh-CN"/>
        </w:rPr>
        <w:t>防盗门。</w:t>
      </w:r>
      <w:r>
        <w:rPr>
          <w:rFonts w:hint="default" w:ascii="Times New Roman" w:hAnsi="Times New Roman" w:eastAsia="仿宋" w:cs="Times New Roman"/>
          <w:color w:val="000000" w:themeColor="text1"/>
          <w:sz w:val="28"/>
          <w:szCs w:val="28"/>
          <w:highlight w:val="none"/>
          <w:lang w:eastAsia="zh-CN"/>
        </w:rPr>
        <w:t>由于</w:t>
      </w:r>
      <w:r>
        <w:rPr>
          <w:rFonts w:hint="eastAsia" w:eastAsia="仿宋" w:cs="Times New Roman"/>
          <w:color w:val="000000" w:themeColor="text1"/>
          <w:sz w:val="28"/>
          <w:szCs w:val="28"/>
          <w:highlight w:val="none"/>
          <w:lang w:eastAsia="zh-CN"/>
        </w:rPr>
        <w:t>被申请执行人不配合的</w:t>
      </w:r>
      <w:r>
        <w:rPr>
          <w:rFonts w:hint="default" w:ascii="Times New Roman" w:hAnsi="Times New Roman" w:eastAsia="仿宋" w:cs="Times New Roman"/>
          <w:color w:val="000000" w:themeColor="text1"/>
          <w:sz w:val="28"/>
          <w:szCs w:val="28"/>
          <w:highlight w:val="none"/>
          <w:lang w:eastAsia="zh-CN"/>
        </w:rPr>
        <w:t>原因，本次评估未能入室查勘，本次评估设定估价对象室内为毛坯。</w:t>
      </w:r>
    </w:p>
    <w:p>
      <w:pPr>
        <w:adjustRightInd w:val="0"/>
        <w:snapToGrid w:val="0"/>
        <w:spacing w:line="500" w:lineRule="exact"/>
        <w:ind w:firstLine="562" w:firstLineChars="200"/>
        <w:rPr>
          <w:rFonts w:hint="default" w:ascii="Times New Roman" w:hAnsi="Times New Roman" w:eastAsia="仿宋" w:cs="Times New Roman"/>
          <w:b/>
          <w:bCs/>
          <w:snapToGrid w:val="0"/>
          <w:color w:val="000000" w:themeColor="text1"/>
          <w:kern w:val="0"/>
          <w:sz w:val="28"/>
          <w:szCs w:val="28"/>
        </w:rPr>
      </w:pPr>
      <w:r>
        <w:rPr>
          <w:rFonts w:hint="default" w:ascii="Times New Roman" w:hAnsi="Times New Roman" w:eastAsia="仿宋" w:cs="Times New Roman"/>
          <w:b/>
          <w:bCs/>
          <w:snapToGrid w:val="0"/>
          <w:color w:val="000000" w:themeColor="text1"/>
          <w:kern w:val="0"/>
          <w:sz w:val="28"/>
          <w:szCs w:val="28"/>
        </w:rPr>
        <w:t>4.区位状况描述与分析</w:t>
      </w:r>
    </w:p>
    <w:p>
      <w:pPr>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（1）坐落：</w:t>
      </w:r>
      <w:r>
        <w:rPr>
          <w:rFonts w:hint="default" w:ascii="Times New Roman" w:hAnsi="Times New Roman" w:eastAsia="仿宋" w:cs="Times New Roman"/>
          <w:caps/>
          <w:color w:val="000000" w:themeColor="text1"/>
          <w:sz w:val="28"/>
          <w:szCs w:val="28"/>
          <w:lang w:eastAsia="zh-CN"/>
        </w:rPr>
        <w:t>宜春市宜丰县</w:t>
      </w:r>
      <w:r>
        <w:rPr>
          <w:rFonts w:hint="default" w:ascii="Times New Roman" w:hAnsi="Times New Roman" w:eastAsia="仿宋" w:cs="Times New Roman"/>
          <w:color w:val="000000" w:themeColor="text1"/>
          <w:sz w:val="28"/>
          <w:szCs w:val="28"/>
          <w:lang w:eastAsia="zh-CN"/>
        </w:rPr>
        <w:t>新昌镇解放路2号，</w:t>
      </w:r>
      <w:r>
        <w:rPr>
          <w:rFonts w:hint="default" w:ascii="Times New Roman" w:hAnsi="Times New Roman" w:eastAsia="仿宋" w:cs="Times New Roman"/>
          <w:color w:val="000000" w:themeColor="text1"/>
          <w:sz w:val="28"/>
          <w:szCs w:val="28"/>
          <w:lang w:val="en-US" w:eastAsia="zh-CN"/>
        </w:rPr>
        <w:t>六层建筑的第六层</w:t>
      </w:r>
      <w:r>
        <w:rPr>
          <w:rFonts w:hint="eastAsia" w:eastAsia="仿宋" w:cs="Times New Roman"/>
          <w:color w:val="000000" w:themeColor="text1"/>
          <w:sz w:val="28"/>
          <w:szCs w:val="28"/>
          <w:lang w:val="en-US" w:eastAsia="zh-CN"/>
        </w:rPr>
        <w:t>（住宅）、第一层（杂物间）</w:t>
      </w:r>
      <w:r>
        <w:rPr>
          <w:rFonts w:hint="default" w:ascii="Times New Roman" w:hAnsi="Times New Roman" w:eastAsia="仿宋" w:cs="Times New Roman"/>
          <w:color w:val="000000" w:themeColor="text1"/>
          <w:sz w:val="28"/>
          <w:szCs w:val="28"/>
        </w:rPr>
        <w:t>。</w:t>
      </w:r>
    </w:p>
    <w:p>
      <w:pPr>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（2）交通：</w:t>
      </w:r>
      <w:r>
        <w:rPr>
          <w:rFonts w:hint="default" w:ascii="Times New Roman" w:hAnsi="Times New Roman" w:eastAsia="仿宋" w:cs="Times New Roman"/>
          <w:caps/>
          <w:color w:val="000000" w:themeColor="text1"/>
          <w:sz w:val="28"/>
          <w:szCs w:val="28"/>
        </w:rPr>
        <w:t>附近公交</w:t>
      </w:r>
      <w:r>
        <w:rPr>
          <w:rFonts w:hint="default" w:ascii="Times New Roman" w:hAnsi="Times New Roman" w:eastAsia="仿宋" w:cs="Times New Roman"/>
          <w:caps/>
          <w:color w:val="000000" w:themeColor="text1"/>
          <w:sz w:val="28"/>
          <w:szCs w:val="28"/>
          <w:lang w:eastAsia="zh-CN"/>
        </w:rPr>
        <w:t>不便利</w:t>
      </w:r>
      <w:r>
        <w:rPr>
          <w:rFonts w:hint="default" w:ascii="Times New Roman" w:hAnsi="Times New Roman" w:eastAsia="仿宋" w:cs="Times New Roman"/>
          <w:caps/>
          <w:color w:val="000000" w:themeColor="text1"/>
          <w:sz w:val="28"/>
          <w:szCs w:val="28"/>
        </w:rPr>
        <w:t>。</w:t>
      </w:r>
    </w:p>
    <w:p>
      <w:pPr>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（3）环境：</w:t>
      </w:r>
      <w:r>
        <w:rPr>
          <w:rFonts w:hint="default" w:ascii="Times New Roman" w:hAnsi="Times New Roman" w:eastAsia="仿宋" w:cs="Times New Roman"/>
          <w:caps/>
          <w:color w:val="000000" w:themeColor="text1"/>
          <w:sz w:val="28"/>
          <w:szCs w:val="28"/>
        </w:rPr>
        <w:t>估价对象周边景观环境较好，人文环境较好，周边以</w:t>
      </w:r>
      <w:r>
        <w:rPr>
          <w:rFonts w:hint="default" w:ascii="Times New Roman" w:hAnsi="Times New Roman" w:eastAsia="仿宋" w:cs="Times New Roman"/>
          <w:caps/>
          <w:color w:val="000000" w:themeColor="text1"/>
          <w:sz w:val="28"/>
          <w:szCs w:val="28"/>
          <w:lang w:val="en-US" w:eastAsia="zh-CN"/>
        </w:rPr>
        <w:t>商业</w:t>
      </w:r>
      <w:r>
        <w:rPr>
          <w:rFonts w:hint="default" w:ascii="Times New Roman" w:hAnsi="Times New Roman" w:eastAsia="仿宋" w:cs="Times New Roman"/>
          <w:caps/>
          <w:color w:val="000000" w:themeColor="text1"/>
          <w:sz w:val="28"/>
          <w:szCs w:val="28"/>
        </w:rPr>
        <w:t>住宅小区为主，环境污染及噪音影响较小。</w:t>
      </w:r>
    </w:p>
    <w:p>
      <w:pPr>
        <w:snapToGrid w:val="0"/>
        <w:spacing w:line="500" w:lineRule="exact"/>
        <w:ind w:firstLine="520"/>
        <w:rPr>
          <w:rFonts w:hint="default" w:ascii="Times New Roman" w:hAnsi="Times New Roman" w:eastAsia="仿宋" w:cs="Times New Roman"/>
          <w:caps/>
          <w:color w:val="000000" w:themeColor="text1"/>
          <w:sz w:val="28"/>
          <w:szCs w:val="28"/>
        </w:rPr>
      </w:pPr>
      <w:r>
        <w:rPr>
          <w:rFonts w:hint="default" w:ascii="Times New Roman" w:hAnsi="Times New Roman" w:eastAsia="仿宋" w:cs="Times New Roman"/>
          <w:color w:val="000000" w:themeColor="text1"/>
          <w:sz w:val="28"/>
          <w:szCs w:val="28"/>
        </w:rPr>
        <w:t>（4）配套设施：区域内水、电等基础设施较齐全，配套设施</w:t>
      </w:r>
      <w:r>
        <w:rPr>
          <w:rFonts w:hint="default" w:ascii="Times New Roman" w:hAnsi="Times New Roman" w:eastAsia="仿宋" w:cs="Times New Roman"/>
          <w:color w:val="000000" w:themeColor="text1"/>
          <w:sz w:val="28"/>
          <w:szCs w:val="28"/>
          <w:lang w:val="en-US" w:eastAsia="zh-CN"/>
        </w:rPr>
        <w:t>较完善</w:t>
      </w:r>
      <w:r>
        <w:rPr>
          <w:rFonts w:hint="default" w:ascii="Times New Roman" w:hAnsi="Times New Roman" w:eastAsia="仿宋" w:cs="Times New Roman"/>
          <w:color w:val="000000" w:themeColor="text1"/>
          <w:sz w:val="28"/>
          <w:szCs w:val="28"/>
        </w:rPr>
        <w:t>。附近学校有</w:t>
      </w:r>
      <w:r>
        <w:rPr>
          <w:rFonts w:hint="default" w:ascii="Times New Roman" w:hAnsi="Times New Roman" w:eastAsia="仿宋" w:cs="Times New Roman"/>
          <w:color w:val="000000" w:themeColor="text1"/>
          <w:sz w:val="28"/>
          <w:szCs w:val="28"/>
          <w:lang w:val="en-US" w:eastAsia="zh-CN"/>
        </w:rPr>
        <w:t>新昌二小、江西省宜丰中学</w:t>
      </w:r>
      <w:r>
        <w:rPr>
          <w:rFonts w:hint="default" w:ascii="Times New Roman" w:hAnsi="Times New Roman" w:eastAsia="仿宋" w:cs="Times New Roman"/>
          <w:color w:val="000000" w:themeColor="text1"/>
          <w:sz w:val="28"/>
          <w:szCs w:val="28"/>
        </w:rPr>
        <w:t>等</w:t>
      </w:r>
      <w:r>
        <w:rPr>
          <w:rFonts w:hint="default" w:ascii="Times New Roman" w:hAnsi="Times New Roman" w:eastAsia="仿宋" w:cs="Times New Roman"/>
          <w:color w:val="000000" w:themeColor="text1"/>
          <w:sz w:val="28"/>
          <w:szCs w:val="28"/>
          <w:lang w:eastAsia="zh-CN"/>
        </w:rPr>
        <w:t>，</w:t>
      </w:r>
      <w:r>
        <w:rPr>
          <w:rFonts w:hint="default" w:ascii="Times New Roman" w:hAnsi="Times New Roman" w:eastAsia="仿宋" w:cs="Times New Roman"/>
          <w:color w:val="000000" w:themeColor="text1"/>
          <w:sz w:val="28"/>
          <w:szCs w:val="28"/>
        </w:rPr>
        <w:t>附近</w:t>
      </w:r>
      <w:r>
        <w:rPr>
          <w:rFonts w:hint="default" w:ascii="Times New Roman" w:hAnsi="Times New Roman" w:eastAsia="仿宋" w:cs="Times New Roman"/>
          <w:color w:val="000000" w:themeColor="text1"/>
          <w:sz w:val="28"/>
          <w:szCs w:val="28"/>
          <w:lang w:eastAsia="zh-CN"/>
        </w:rPr>
        <w:t>医院有</w:t>
      </w:r>
      <w:r>
        <w:rPr>
          <w:rFonts w:hint="default" w:ascii="Times New Roman" w:hAnsi="Times New Roman" w:eastAsia="仿宋" w:cs="Times New Roman"/>
          <w:color w:val="000000" w:themeColor="text1"/>
          <w:sz w:val="28"/>
          <w:szCs w:val="28"/>
          <w:lang w:val="en-US" w:eastAsia="zh-CN"/>
        </w:rPr>
        <w:t>宜丰县人民医院、宜丰县中医院。另超市、</w:t>
      </w:r>
      <w:r>
        <w:rPr>
          <w:rFonts w:hint="default" w:ascii="Times New Roman" w:hAnsi="Times New Roman" w:eastAsia="仿宋" w:cs="Times New Roman"/>
          <w:caps/>
          <w:color w:val="000000" w:themeColor="text1"/>
          <w:sz w:val="28"/>
          <w:szCs w:val="28"/>
        </w:rPr>
        <w:t>银行等众多公共配套设施及住宅坐落在区域范围内。</w:t>
      </w:r>
    </w:p>
    <w:bookmarkEnd w:id="93"/>
    <w:p>
      <w:pPr>
        <w:pStyle w:val="4"/>
        <w:spacing w:before="0" w:after="0" w:line="500" w:lineRule="exact"/>
        <w:rPr>
          <w:rFonts w:hint="default" w:ascii="Times New Roman" w:hAnsi="Times New Roman" w:eastAsia="仿宋" w:cs="Times New Roman"/>
          <w:b w:val="0"/>
          <w:bCs w:val="0"/>
          <w:color w:val="000000" w:themeColor="text1"/>
          <w:sz w:val="28"/>
          <w:szCs w:val="28"/>
        </w:rPr>
      </w:pPr>
      <w:bookmarkStart w:id="104" w:name="_Toc928"/>
      <w:bookmarkStart w:id="105" w:name="_Toc435110686"/>
      <w:r>
        <w:rPr>
          <w:rFonts w:hint="default" w:ascii="Times New Roman" w:hAnsi="Times New Roman" w:eastAsia="仿宋" w:cs="Times New Roman"/>
          <w:color w:val="000000" w:themeColor="text1"/>
          <w:sz w:val="28"/>
          <w:szCs w:val="28"/>
        </w:rPr>
        <w:t>（五）</w:t>
      </w:r>
      <w:bookmarkEnd w:id="94"/>
      <w:bookmarkEnd w:id="95"/>
      <w:bookmarkEnd w:id="96"/>
      <w:bookmarkEnd w:id="97"/>
      <w:bookmarkEnd w:id="98"/>
      <w:bookmarkEnd w:id="99"/>
      <w:bookmarkEnd w:id="100"/>
      <w:bookmarkEnd w:id="101"/>
      <w:bookmarkEnd w:id="102"/>
      <w:bookmarkEnd w:id="103"/>
      <w:r>
        <w:rPr>
          <w:rFonts w:hint="default" w:ascii="Times New Roman" w:hAnsi="Times New Roman" w:eastAsia="仿宋" w:cs="Times New Roman"/>
          <w:color w:val="000000" w:themeColor="text1"/>
          <w:sz w:val="28"/>
          <w:szCs w:val="28"/>
        </w:rPr>
        <w:t>价值时点</w:t>
      </w:r>
      <w:bookmarkEnd w:id="104"/>
      <w:bookmarkEnd w:id="105"/>
    </w:p>
    <w:p>
      <w:pPr>
        <w:spacing w:line="500" w:lineRule="exact"/>
        <w:ind w:firstLine="560" w:firstLineChars="200"/>
        <w:rPr>
          <w:rFonts w:hint="default" w:ascii="Times New Roman" w:hAnsi="Times New Roman" w:eastAsia="仿宋" w:cs="Times New Roman"/>
          <w:caps/>
          <w:color w:val="000000" w:themeColor="text1"/>
          <w:sz w:val="28"/>
          <w:szCs w:val="28"/>
          <w:lang w:val="en-US" w:eastAsia="zh-CN"/>
        </w:rPr>
      </w:pPr>
      <w:bookmarkStart w:id="106" w:name="_Toc254875144"/>
      <w:bookmarkStart w:id="107" w:name="_Toc135016176"/>
      <w:bookmarkStart w:id="108" w:name="_Toc367869502"/>
      <w:bookmarkStart w:id="109" w:name="_Toc130033726"/>
      <w:bookmarkStart w:id="110" w:name="_Toc243111719"/>
      <w:bookmarkStart w:id="111" w:name="_Toc270691072"/>
      <w:bookmarkStart w:id="112" w:name="_Toc301369720"/>
      <w:bookmarkStart w:id="113" w:name="_Toc254860130"/>
      <w:bookmarkStart w:id="114" w:name="_Toc269132873"/>
      <w:bookmarkStart w:id="115" w:name="_Toc243111690"/>
      <w:bookmarkStart w:id="116" w:name="_Toc435110687"/>
      <w:r>
        <w:rPr>
          <w:rFonts w:hint="default" w:ascii="Times New Roman" w:hAnsi="Times New Roman" w:eastAsia="仿宋" w:cs="Times New Roman"/>
          <w:caps/>
          <w:color w:val="000000" w:themeColor="text1"/>
          <w:sz w:val="28"/>
          <w:szCs w:val="28"/>
          <w:lang w:val="en-US" w:eastAsia="zh-CN"/>
        </w:rPr>
        <w:t>涉执房地产处置司法评估的价值时点一般设定为估价对象实地查勘完成之日，即</w:t>
      </w:r>
      <w:r>
        <w:rPr>
          <w:rFonts w:hint="eastAsia" w:eastAsia="仿宋" w:cs="Times New Roman"/>
          <w:caps/>
          <w:color w:val="000000" w:themeColor="text1"/>
          <w:sz w:val="28"/>
          <w:szCs w:val="28"/>
          <w:lang w:val="en-US" w:eastAsia="zh-CN"/>
        </w:rPr>
        <w:t>2021年09月07日</w:t>
      </w:r>
      <w:r>
        <w:rPr>
          <w:rFonts w:hint="default" w:ascii="Times New Roman" w:hAnsi="Times New Roman" w:eastAsia="仿宋" w:cs="Times New Roman"/>
          <w:caps/>
          <w:color w:val="000000" w:themeColor="text1"/>
          <w:sz w:val="28"/>
          <w:szCs w:val="28"/>
          <w:lang w:val="en-US" w:eastAsia="zh-CN"/>
        </w:rPr>
        <w:t>。</w:t>
      </w:r>
    </w:p>
    <w:p>
      <w:pPr>
        <w:pStyle w:val="4"/>
        <w:spacing w:before="0" w:after="0" w:line="500" w:lineRule="exact"/>
        <w:rPr>
          <w:rFonts w:hint="default" w:ascii="Times New Roman" w:hAnsi="Times New Roman" w:eastAsia="仿宋" w:cs="Times New Roman"/>
          <w:b w:val="0"/>
          <w:bCs w:val="0"/>
          <w:snapToGrid w:val="0"/>
          <w:color w:val="000000" w:themeColor="text1"/>
          <w:kern w:val="0"/>
          <w:sz w:val="28"/>
          <w:szCs w:val="28"/>
        </w:rPr>
      </w:pPr>
      <w:bookmarkStart w:id="117" w:name="_Toc10586"/>
      <w:r>
        <w:rPr>
          <w:rFonts w:hint="default" w:ascii="Times New Roman" w:hAnsi="Times New Roman" w:eastAsia="仿宋" w:cs="Times New Roman"/>
          <w:color w:val="000000" w:themeColor="text1"/>
          <w:sz w:val="28"/>
          <w:szCs w:val="28"/>
        </w:rPr>
        <w:t>（六）价值</w:t>
      </w:r>
      <w:bookmarkEnd w:id="106"/>
      <w:bookmarkEnd w:id="107"/>
      <w:bookmarkEnd w:id="108"/>
      <w:bookmarkEnd w:id="109"/>
      <w:bookmarkEnd w:id="110"/>
      <w:bookmarkEnd w:id="111"/>
      <w:bookmarkEnd w:id="112"/>
      <w:bookmarkEnd w:id="113"/>
      <w:bookmarkEnd w:id="114"/>
      <w:bookmarkEnd w:id="115"/>
      <w:r>
        <w:rPr>
          <w:rFonts w:hint="default" w:ascii="Times New Roman" w:hAnsi="Times New Roman" w:eastAsia="仿宋" w:cs="Times New Roman"/>
          <w:color w:val="000000" w:themeColor="text1"/>
          <w:sz w:val="28"/>
          <w:szCs w:val="28"/>
        </w:rPr>
        <w:t>类型</w:t>
      </w:r>
      <w:bookmarkEnd w:id="116"/>
      <w:bookmarkEnd w:id="117"/>
    </w:p>
    <w:p>
      <w:pPr>
        <w:spacing w:line="500" w:lineRule="exact"/>
        <w:ind w:firstLine="560" w:firstLineChars="200"/>
        <w:rPr>
          <w:rFonts w:hint="default" w:ascii="Times New Roman" w:hAnsi="Times New Roman" w:eastAsia="仿宋" w:cs="Times New Roman"/>
          <w:caps/>
          <w:color w:val="000000" w:themeColor="text1"/>
          <w:sz w:val="28"/>
          <w:szCs w:val="28"/>
          <w:lang w:val="en-US" w:eastAsia="zh-CN"/>
        </w:rPr>
      </w:pPr>
      <w:bookmarkStart w:id="118" w:name="_Toc367869504"/>
      <w:bookmarkStart w:id="119" w:name="_Toc135016178"/>
      <w:bookmarkStart w:id="120" w:name="_Toc243111692"/>
      <w:bookmarkStart w:id="121" w:name="_Toc243111721"/>
      <w:bookmarkStart w:id="122" w:name="_Toc301369722"/>
      <w:bookmarkStart w:id="123" w:name="_Toc254875146"/>
      <w:bookmarkStart w:id="124" w:name="_Toc254860132"/>
      <w:bookmarkStart w:id="125" w:name="_Toc269132875"/>
      <w:bookmarkStart w:id="126" w:name="_Toc270691074"/>
      <w:bookmarkStart w:id="127" w:name="_Toc130033728"/>
      <w:bookmarkStart w:id="128" w:name="_Toc435110688"/>
      <w:r>
        <w:rPr>
          <w:rFonts w:hint="default" w:ascii="Times New Roman" w:hAnsi="Times New Roman" w:eastAsia="仿宋" w:cs="Times New Roman"/>
          <w:caps/>
          <w:color w:val="000000" w:themeColor="text1"/>
          <w:sz w:val="28"/>
          <w:szCs w:val="28"/>
          <w:lang w:val="en-US" w:eastAsia="zh-CN"/>
        </w:rPr>
        <w:t>估价中采用市场价值标准，即所评估出的客观合理价格应是在公开市场上最可能形成或成立的价格。</w:t>
      </w:r>
    </w:p>
    <w:p>
      <w:pPr>
        <w:spacing w:line="500" w:lineRule="exact"/>
        <w:ind w:firstLine="560" w:firstLineChars="200"/>
        <w:rPr>
          <w:rFonts w:hint="default" w:ascii="Times New Roman" w:hAnsi="Times New Roman" w:eastAsia="仿宋" w:cs="Times New Roman"/>
          <w:caps/>
          <w:color w:val="000000" w:themeColor="text1"/>
          <w:sz w:val="28"/>
          <w:szCs w:val="28"/>
          <w:lang w:val="en-US" w:eastAsia="zh-CN"/>
        </w:rPr>
      </w:pPr>
      <w:r>
        <w:rPr>
          <w:rFonts w:hint="default" w:ascii="Times New Roman" w:hAnsi="Times New Roman" w:eastAsia="仿宋" w:cs="Times New Roman"/>
          <w:caps/>
          <w:color w:val="000000" w:themeColor="text1"/>
          <w:sz w:val="28"/>
          <w:szCs w:val="28"/>
          <w:lang w:val="en-US" w:eastAsia="zh-CN"/>
        </w:rPr>
        <w:t>公开市场：指交易双方进行交易的目的在于最大限度地追求经济利益，并掌握必要的市场信息，有比较充裕的时间进行交易，对交易对象具有必要的专业知识，交易条件并不具有排他性。</w:t>
      </w:r>
    </w:p>
    <w:p>
      <w:pPr>
        <w:spacing w:line="500" w:lineRule="exact"/>
        <w:ind w:firstLine="560" w:firstLineChars="200"/>
        <w:rPr>
          <w:rFonts w:hint="default" w:ascii="Times New Roman" w:hAnsi="Times New Roman" w:eastAsia="仿宋" w:cs="Times New Roman"/>
          <w:caps/>
          <w:color w:val="000000" w:themeColor="text1"/>
          <w:sz w:val="28"/>
          <w:szCs w:val="28"/>
          <w:lang w:val="en-US" w:eastAsia="zh-CN"/>
        </w:rPr>
      </w:pPr>
      <w:r>
        <w:rPr>
          <w:rFonts w:hint="default" w:ascii="Times New Roman" w:hAnsi="Times New Roman" w:eastAsia="仿宋" w:cs="Times New Roman"/>
          <w:caps/>
          <w:color w:val="000000" w:themeColor="text1"/>
          <w:sz w:val="28"/>
          <w:szCs w:val="28"/>
          <w:lang w:val="en-US" w:eastAsia="zh-CN"/>
        </w:rPr>
        <w:t>公开市场价值：指在公开市场上最可能形成的价格。</w:t>
      </w:r>
    </w:p>
    <w:p>
      <w:pPr>
        <w:pStyle w:val="4"/>
        <w:spacing w:before="0" w:after="0" w:line="500" w:lineRule="exact"/>
        <w:rPr>
          <w:rFonts w:hint="default" w:ascii="Times New Roman" w:hAnsi="Times New Roman" w:eastAsia="仿宋" w:cs="Times New Roman"/>
          <w:b w:val="0"/>
          <w:bCs w:val="0"/>
          <w:color w:val="000000" w:themeColor="text1"/>
          <w:sz w:val="28"/>
          <w:szCs w:val="28"/>
        </w:rPr>
      </w:pPr>
      <w:bookmarkStart w:id="129" w:name="_Toc10762"/>
      <w:r>
        <w:rPr>
          <w:rFonts w:hint="default" w:ascii="Times New Roman" w:hAnsi="Times New Roman" w:eastAsia="仿宋" w:cs="Times New Roman"/>
          <w:color w:val="000000" w:themeColor="text1"/>
          <w:sz w:val="28"/>
          <w:szCs w:val="28"/>
        </w:rPr>
        <w:t>（七）估价原则</w:t>
      </w:r>
      <w:bookmarkEnd w:id="118"/>
      <w:bookmarkEnd w:id="119"/>
      <w:bookmarkEnd w:id="120"/>
      <w:bookmarkEnd w:id="121"/>
      <w:bookmarkEnd w:id="122"/>
      <w:bookmarkEnd w:id="123"/>
      <w:bookmarkEnd w:id="124"/>
      <w:bookmarkEnd w:id="125"/>
      <w:bookmarkEnd w:id="126"/>
      <w:bookmarkEnd w:id="127"/>
      <w:bookmarkEnd w:id="128"/>
      <w:bookmarkEnd w:id="129"/>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本次估价遵循的房地产估价原则有：独立、客观、公正原则、合法原则、价值时点原则、替代原则、最高最佳利用原则。</w:t>
      </w:r>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1.独立、客观、公正原则</w:t>
      </w:r>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lang w:val="en-US" w:eastAsia="zh-CN"/>
        </w:rPr>
        <w:t>独立、客观、公正原则是房地产估价的最高行为原则，要求估价机构有完全独立性，估价机构和估价人员与估价对象及相关当事人没有利害关系，不受外部干扰因素影响，从实际出发，完全凭借自己的专业知识、经验公平合理地进行估价</w:t>
      </w:r>
      <w:r>
        <w:rPr>
          <w:rFonts w:hint="default" w:ascii="Times New Roman" w:hAnsi="Times New Roman" w:eastAsia="仿宋" w:cs="Times New Roman"/>
          <w:color w:val="000000" w:themeColor="text1"/>
          <w:sz w:val="28"/>
          <w:szCs w:val="28"/>
        </w:rPr>
        <w:t>。</w:t>
      </w:r>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2.合法原则</w:t>
      </w:r>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lang w:val="en-US" w:eastAsia="zh-CN"/>
        </w:rPr>
      </w:pPr>
      <w:r>
        <w:rPr>
          <w:rFonts w:hint="default" w:ascii="Times New Roman" w:hAnsi="Times New Roman" w:eastAsia="仿宋" w:cs="Times New Roman"/>
          <w:color w:val="000000" w:themeColor="text1"/>
          <w:sz w:val="28"/>
          <w:szCs w:val="28"/>
          <w:lang w:val="en-US" w:eastAsia="zh-CN"/>
        </w:rPr>
        <w:t>房地产估价应以估价对象的合法权益为前提进行，合法权益包括合法产权、合法使用、合法处分等方面。在合法产权方面，要求土地估价应以房地产权属证书、权属档案的记载或者其他合法证件为依据；在合法使用方面，要求房地产估价应以使用管制(如城市规划、土地用途管制等)为依据；在合法处分方面，要求房地产估价应以法律、法规或合同(如土地使用权出让合同)等允许的处分方式为依据。</w:t>
      </w:r>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3.价值时点原则</w:t>
      </w:r>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lang w:val="en-US" w:eastAsia="zh-CN"/>
        </w:rPr>
      </w:pPr>
      <w:r>
        <w:rPr>
          <w:rFonts w:hint="default" w:ascii="Times New Roman" w:hAnsi="Times New Roman" w:eastAsia="仿宋" w:cs="Times New Roman"/>
          <w:color w:val="000000" w:themeColor="text1"/>
          <w:sz w:val="28"/>
          <w:szCs w:val="28"/>
          <w:lang w:val="en-US" w:eastAsia="zh-CN"/>
        </w:rPr>
        <w:t>影响房地产价格的因素是不断变化的，房地产市场是不断变化的，房地产价格自然也是不断变化的；因此在不同的时间上，同一宗房地产往往会有不同的价格。价值时点原则要求房地产估价结果应是估价对象根据估价目的确定的某一特定时间的价值或价格。</w:t>
      </w:r>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4.替代原则</w:t>
      </w:r>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lang w:val="en-US" w:eastAsia="zh-CN"/>
        </w:rPr>
      </w:pPr>
      <w:r>
        <w:rPr>
          <w:rFonts w:hint="default" w:ascii="Times New Roman" w:hAnsi="Times New Roman" w:eastAsia="仿宋" w:cs="Times New Roman"/>
          <w:color w:val="000000" w:themeColor="text1"/>
          <w:sz w:val="28"/>
          <w:szCs w:val="28"/>
          <w:lang w:val="en-US" w:eastAsia="zh-CN"/>
        </w:rPr>
        <w:t>替代原则要求房地产估价结果不得明显偏离类似房地产在同等条件下的价值或价格。同一供求范围内，在用途、规模、档次、建筑结构等方面类似的房地产之间具有相互影响作用，其价格会相互牵制而趋于一致。</w:t>
      </w:r>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5.最高最佳利用原则</w:t>
      </w:r>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lang w:val="en-US" w:eastAsia="zh-CN"/>
        </w:rPr>
      </w:pPr>
      <w:r>
        <w:rPr>
          <w:rFonts w:hint="default" w:ascii="Times New Roman" w:hAnsi="Times New Roman" w:eastAsia="仿宋" w:cs="Times New Roman"/>
          <w:color w:val="000000" w:themeColor="text1"/>
          <w:sz w:val="28"/>
          <w:szCs w:val="28"/>
          <w:lang w:val="en-US" w:eastAsia="zh-CN"/>
        </w:rPr>
        <w:t>在合法使用前提下，房地产只有在最高最佳利用状态下才能发挥最大效用。最高最佳利用应是法律上允许、技术上可能、财务上可行并使价值最大的合理、可能的利用，包括最佳的用途、规模、档次等。</w:t>
      </w:r>
      <w:bookmarkStart w:id="130" w:name="_Toc130033727"/>
      <w:bookmarkStart w:id="131" w:name="_Toc269132874"/>
      <w:bookmarkStart w:id="132" w:name="_Toc135016177"/>
      <w:bookmarkStart w:id="133" w:name="_Toc435110689"/>
      <w:bookmarkStart w:id="134" w:name="_Toc367869503"/>
      <w:bookmarkStart w:id="135" w:name="_Toc243111691"/>
      <w:bookmarkStart w:id="136" w:name="_Toc301369721"/>
      <w:bookmarkStart w:id="137" w:name="_Toc254875145"/>
      <w:bookmarkStart w:id="138" w:name="_Toc243111720"/>
      <w:bookmarkStart w:id="139" w:name="_Toc270691073"/>
      <w:bookmarkStart w:id="140" w:name="_Toc254860131"/>
    </w:p>
    <w:p>
      <w:pPr>
        <w:pStyle w:val="4"/>
        <w:spacing w:before="0" w:after="0" w:line="500" w:lineRule="exact"/>
        <w:rPr>
          <w:rFonts w:hint="default" w:ascii="Times New Roman" w:hAnsi="Times New Roman" w:eastAsia="仿宋" w:cs="Times New Roman"/>
          <w:b w:val="0"/>
          <w:bCs w:val="0"/>
          <w:color w:val="000000" w:themeColor="text1"/>
          <w:sz w:val="28"/>
          <w:szCs w:val="28"/>
        </w:rPr>
      </w:pPr>
      <w:bookmarkStart w:id="141" w:name="_Toc11668"/>
      <w:r>
        <w:rPr>
          <w:rFonts w:hint="default" w:ascii="Times New Roman" w:hAnsi="Times New Roman" w:eastAsia="仿宋" w:cs="Times New Roman"/>
          <w:color w:val="000000" w:themeColor="text1"/>
          <w:sz w:val="28"/>
          <w:szCs w:val="28"/>
        </w:rPr>
        <w:t>（八）估价依据</w:t>
      </w:r>
      <w:bookmarkEnd w:id="130"/>
      <w:bookmarkEnd w:id="131"/>
      <w:bookmarkEnd w:id="132"/>
      <w:bookmarkEnd w:id="133"/>
      <w:bookmarkEnd w:id="134"/>
      <w:bookmarkEnd w:id="135"/>
      <w:bookmarkEnd w:id="136"/>
      <w:bookmarkEnd w:id="137"/>
      <w:bookmarkEnd w:id="138"/>
      <w:bookmarkEnd w:id="139"/>
      <w:bookmarkEnd w:id="140"/>
      <w:bookmarkEnd w:id="141"/>
    </w:p>
    <w:p>
      <w:pPr>
        <w:pStyle w:val="101"/>
        <w:numPr>
          <w:ilvl w:val="1"/>
          <w:numId w:val="3"/>
        </w:numPr>
        <w:tabs>
          <w:tab w:val="left" w:pos="993"/>
        </w:tabs>
        <w:adjustRightInd w:val="0"/>
        <w:snapToGrid w:val="0"/>
        <w:spacing w:line="480" w:lineRule="exact"/>
        <w:ind w:left="0" w:firstLine="633" w:firstLineChars="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本次估价所依据的有关法律、法规和政策文件：</w:t>
      </w:r>
    </w:p>
    <w:p>
      <w:pPr>
        <w:pStyle w:val="20"/>
        <w:tabs>
          <w:tab w:val="left" w:pos="-360"/>
        </w:tabs>
        <w:snapToGrid w:val="0"/>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（1）《中华人民共和国民事诉讼法》；</w:t>
      </w:r>
    </w:p>
    <w:p>
      <w:pPr>
        <w:pStyle w:val="20"/>
        <w:tabs>
          <w:tab w:val="left" w:pos="-360"/>
        </w:tabs>
        <w:snapToGrid w:val="0"/>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（2）《中华人民共和国民法典》（中华人民共和国主席令第45号，中华人民共和国第十三届全国人民代表大会第三次会议于2020年5月28日通过，自2021年1月1日起施行）；</w:t>
      </w:r>
    </w:p>
    <w:p>
      <w:pPr>
        <w:pStyle w:val="20"/>
        <w:tabs>
          <w:tab w:val="left" w:pos="-360"/>
        </w:tabs>
        <w:snapToGrid w:val="0"/>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（3）《中华人民共和国土地管理法》</w:t>
      </w:r>
      <w:r>
        <w:rPr>
          <w:rFonts w:hint="default" w:ascii="Times New Roman" w:hAnsi="Times New Roman" w:eastAsia="仿宋" w:cs="Times New Roman"/>
          <w:color w:val="000000" w:themeColor="text1"/>
          <w:sz w:val="28"/>
        </w:rPr>
        <w:t>（</w:t>
      </w:r>
      <w:r>
        <w:rPr>
          <w:rFonts w:hint="default" w:ascii="Times New Roman" w:hAnsi="Times New Roman" w:eastAsia="仿宋" w:cs="Times New Roman"/>
          <w:color w:val="000000" w:themeColor="text1"/>
          <w:sz w:val="28"/>
          <w:szCs w:val="28"/>
        </w:rPr>
        <w:t>中华人民共和国主席令第28号，自1999年1月1日起施行，2019年8月26日第三次修正</w:t>
      </w:r>
      <w:r>
        <w:rPr>
          <w:rFonts w:hint="default" w:ascii="Times New Roman" w:hAnsi="Times New Roman" w:eastAsia="仿宋" w:cs="Times New Roman"/>
          <w:color w:val="000000" w:themeColor="text1"/>
          <w:sz w:val="28"/>
        </w:rPr>
        <w:t>）</w:t>
      </w:r>
      <w:r>
        <w:rPr>
          <w:rFonts w:hint="default" w:ascii="Times New Roman" w:hAnsi="Times New Roman" w:eastAsia="仿宋" w:cs="Times New Roman"/>
          <w:color w:val="000000" w:themeColor="text1"/>
          <w:sz w:val="28"/>
          <w:szCs w:val="28"/>
        </w:rPr>
        <w:t>；</w:t>
      </w:r>
    </w:p>
    <w:p>
      <w:pPr>
        <w:pStyle w:val="20"/>
        <w:tabs>
          <w:tab w:val="left" w:pos="-360"/>
        </w:tabs>
        <w:snapToGrid w:val="0"/>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（4）《中华人民共和国城市房地产管理法》</w:t>
      </w:r>
      <w:r>
        <w:rPr>
          <w:rFonts w:hint="default" w:ascii="Times New Roman" w:hAnsi="Times New Roman" w:eastAsia="仿宋" w:cs="Times New Roman"/>
          <w:color w:val="000000" w:themeColor="text1"/>
          <w:sz w:val="28"/>
        </w:rPr>
        <w:t>（</w:t>
      </w:r>
      <w:r>
        <w:rPr>
          <w:rFonts w:hint="default" w:ascii="Times New Roman" w:hAnsi="Times New Roman" w:eastAsia="仿宋" w:cs="Times New Roman"/>
          <w:color w:val="000000" w:themeColor="text1"/>
          <w:sz w:val="28"/>
          <w:szCs w:val="28"/>
        </w:rPr>
        <w:t>中华人民共和国主席令第72号，自1995年1月1日起施行，2019年8月26日第三次修正</w:t>
      </w:r>
      <w:r>
        <w:rPr>
          <w:rFonts w:hint="default" w:ascii="Times New Roman" w:hAnsi="Times New Roman" w:eastAsia="仿宋" w:cs="Times New Roman"/>
          <w:color w:val="000000" w:themeColor="text1"/>
          <w:sz w:val="28"/>
        </w:rPr>
        <w:t>）</w:t>
      </w:r>
      <w:r>
        <w:rPr>
          <w:rFonts w:hint="default" w:ascii="Times New Roman" w:hAnsi="Times New Roman" w:eastAsia="仿宋" w:cs="Times New Roman"/>
          <w:color w:val="000000" w:themeColor="text1"/>
          <w:sz w:val="28"/>
          <w:szCs w:val="28"/>
        </w:rPr>
        <w:t>；</w:t>
      </w:r>
    </w:p>
    <w:p>
      <w:pPr>
        <w:pStyle w:val="20"/>
        <w:tabs>
          <w:tab w:val="left" w:pos="-360"/>
        </w:tabs>
        <w:snapToGrid w:val="0"/>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5</w:t>
      </w:r>
      <w:r>
        <w:rPr>
          <w:rFonts w:hint="default" w:ascii="Times New Roman" w:hAnsi="Times New Roman" w:eastAsia="仿宋" w:cs="Times New Roman"/>
          <w:color w:val="000000" w:themeColor="text1"/>
          <w:sz w:val="28"/>
          <w:szCs w:val="28"/>
        </w:rPr>
        <w:t>）《中华人民共和国土地管理法实施条例》（中华人民共和国国务院令第743号，2021年7月2日第三次修订，自2021年9月1日起施行）</w:t>
      </w:r>
      <w:r>
        <w:rPr>
          <w:rFonts w:hint="default" w:ascii="Times New Roman" w:hAnsi="Times New Roman" w:eastAsia="仿宋" w:cs="Times New Roman"/>
          <w:color w:val="000000" w:themeColor="text1"/>
          <w:sz w:val="28"/>
        </w:rPr>
        <w:t>；</w:t>
      </w:r>
    </w:p>
    <w:p>
      <w:pPr>
        <w:pStyle w:val="20"/>
        <w:tabs>
          <w:tab w:val="left" w:pos="-360"/>
        </w:tabs>
        <w:snapToGrid w:val="0"/>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6</w:t>
      </w:r>
      <w:r>
        <w:rPr>
          <w:rFonts w:hint="default" w:ascii="Times New Roman" w:hAnsi="Times New Roman" w:eastAsia="仿宋" w:cs="Times New Roman"/>
          <w:color w:val="000000" w:themeColor="text1"/>
          <w:sz w:val="28"/>
          <w:szCs w:val="28"/>
        </w:rPr>
        <w:t>）《中华人民共和国城镇国有土地使用权出让和转让暂行条例》（国务院[90]55号令、1990年5月19日起施行）；</w:t>
      </w:r>
    </w:p>
    <w:p>
      <w:pPr>
        <w:pStyle w:val="20"/>
        <w:tabs>
          <w:tab w:val="left" w:pos="-360"/>
        </w:tabs>
        <w:snapToGrid w:val="0"/>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7</w:t>
      </w:r>
      <w:r>
        <w:rPr>
          <w:rFonts w:hint="default" w:ascii="Times New Roman" w:hAnsi="Times New Roman" w:eastAsia="仿宋" w:cs="Times New Roman"/>
          <w:color w:val="000000" w:themeColor="text1"/>
          <w:sz w:val="28"/>
          <w:szCs w:val="28"/>
        </w:rPr>
        <w:t>）《城市房地产转让管理规定》；</w:t>
      </w:r>
    </w:p>
    <w:p>
      <w:pPr>
        <w:pStyle w:val="20"/>
        <w:tabs>
          <w:tab w:val="left" w:pos="-360"/>
        </w:tabs>
        <w:snapToGrid w:val="0"/>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8</w:t>
      </w:r>
      <w:r>
        <w:rPr>
          <w:rFonts w:hint="default" w:ascii="Times New Roman" w:hAnsi="Times New Roman" w:eastAsia="仿宋" w:cs="Times New Roman"/>
          <w:color w:val="000000" w:themeColor="text1"/>
          <w:sz w:val="28"/>
          <w:szCs w:val="28"/>
        </w:rPr>
        <w:t>）《最高人民法院关于人民法院民事执行中拍卖、变卖财产的规定》(法释[2004]16号) [2005年1月1日起实施]；</w:t>
      </w:r>
    </w:p>
    <w:p>
      <w:pPr>
        <w:pStyle w:val="20"/>
        <w:tabs>
          <w:tab w:val="left" w:pos="-360"/>
        </w:tabs>
        <w:snapToGrid w:val="0"/>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w:t>
      </w:r>
      <w:r>
        <w:rPr>
          <w:rFonts w:hint="default" w:ascii="Times New Roman" w:hAnsi="Times New Roman" w:eastAsia="仿宋" w:cs="Times New Roman"/>
          <w:color w:val="000000" w:themeColor="text1"/>
          <w:sz w:val="28"/>
          <w:szCs w:val="28"/>
          <w:lang w:val="en-US" w:eastAsia="zh-CN"/>
        </w:rPr>
        <w:t>9</w:t>
      </w:r>
      <w:r>
        <w:rPr>
          <w:rFonts w:hint="default" w:ascii="Times New Roman" w:hAnsi="Times New Roman" w:eastAsia="仿宋" w:cs="Times New Roman"/>
          <w:color w:val="000000" w:themeColor="text1"/>
          <w:sz w:val="28"/>
          <w:szCs w:val="28"/>
        </w:rPr>
        <w:t>）《司法鉴定程序通则》（2007年8月7日司法部第107号令）[2007年10月1日起施行]；</w:t>
      </w:r>
    </w:p>
    <w:p>
      <w:pPr>
        <w:pStyle w:val="20"/>
        <w:tabs>
          <w:tab w:val="left" w:pos="-360"/>
        </w:tabs>
        <w:snapToGrid w:val="0"/>
        <w:spacing w:line="480" w:lineRule="exact"/>
        <w:ind w:firstLine="560" w:firstLineChars="200"/>
        <w:rPr>
          <w:rFonts w:hint="default"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rPr>
        <w:t>（1</w:t>
      </w:r>
      <w:r>
        <w:rPr>
          <w:rFonts w:hint="default" w:ascii="Times New Roman" w:hAnsi="Times New Roman" w:eastAsia="仿宋" w:cs="Times New Roman"/>
          <w:color w:val="000000" w:themeColor="text1"/>
          <w:sz w:val="28"/>
          <w:szCs w:val="28"/>
          <w:lang w:val="en-US" w:eastAsia="zh-CN"/>
        </w:rPr>
        <w:t>0</w:t>
      </w:r>
      <w:r>
        <w:rPr>
          <w:rFonts w:hint="default" w:ascii="Times New Roman" w:hAnsi="Times New Roman" w:eastAsia="仿宋" w:cs="Times New Roman"/>
          <w:color w:val="000000" w:themeColor="text1"/>
          <w:sz w:val="28"/>
          <w:szCs w:val="28"/>
        </w:rPr>
        <w:t>）《中华人民共和国资产评估法》（中华人民共和国主席令第46号）</w:t>
      </w:r>
      <w:r>
        <w:rPr>
          <w:rFonts w:hint="default" w:ascii="Times New Roman" w:hAnsi="Times New Roman" w:eastAsia="仿宋" w:cs="Times New Roman"/>
          <w:color w:val="000000" w:themeColor="text1"/>
          <w:sz w:val="28"/>
          <w:szCs w:val="28"/>
          <w:lang w:eastAsia="zh-CN"/>
        </w:rPr>
        <w:t>；</w:t>
      </w:r>
    </w:p>
    <w:p>
      <w:pPr>
        <w:pStyle w:val="20"/>
        <w:tabs>
          <w:tab w:val="left" w:pos="-360"/>
        </w:tabs>
        <w:snapToGrid w:val="0"/>
        <w:spacing w:line="480" w:lineRule="exact"/>
        <w:ind w:firstLine="560" w:firstLineChars="200"/>
        <w:rPr>
          <w:rFonts w:hint="default"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lang w:eastAsia="zh-CN"/>
        </w:rPr>
        <w:t>（</w:t>
      </w:r>
      <w:r>
        <w:rPr>
          <w:rFonts w:hint="default" w:ascii="Times New Roman" w:hAnsi="Times New Roman" w:eastAsia="仿宋" w:cs="Times New Roman"/>
          <w:color w:val="000000" w:themeColor="text1"/>
          <w:sz w:val="28"/>
          <w:szCs w:val="28"/>
          <w:lang w:val="en-US" w:eastAsia="zh-CN"/>
        </w:rPr>
        <w:t>11</w:t>
      </w:r>
      <w:r>
        <w:rPr>
          <w:rFonts w:hint="default" w:ascii="Times New Roman" w:hAnsi="Times New Roman" w:eastAsia="仿宋" w:cs="Times New Roman"/>
          <w:color w:val="000000" w:themeColor="text1"/>
          <w:sz w:val="28"/>
          <w:szCs w:val="28"/>
          <w:lang w:eastAsia="zh-CN"/>
        </w:rPr>
        <w:t>）《江西省契税具体适用税率等有关事项的方案》（2021年7月28日，江西省十三届人大常委会第三十一次会议表决通过，自2021年9月1日起施行）</w:t>
      </w:r>
    </w:p>
    <w:p>
      <w:pPr>
        <w:widowControl/>
        <w:snapToGrid w:val="0"/>
        <w:spacing w:line="480" w:lineRule="exact"/>
        <w:ind w:firstLine="560" w:firstLineChars="200"/>
        <w:jc w:val="left"/>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2.技术标准</w:t>
      </w:r>
      <w:r>
        <w:rPr>
          <w:rFonts w:hint="default" w:ascii="Times New Roman" w:hAnsi="Times New Roman" w:eastAsia="仿宋" w:cs="Times New Roman"/>
          <w:caps/>
          <w:color w:val="000000" w:themeColor="text1"/>
          <w:sz w:val="28"/>
          <w:szCs w:val="28"/>
        </w:rPr>
        <w:t>、规程、规范</w:t>
      </w:r>
    </w:p>
    <w:p>
      <w:pPr>
        <w:widowControl/>
        <w:snapToGrid w:val="0"/>
        <w:spacing w:line="480" w:lineRule="exact"/>
        <w:ind w:firstLine="560" w:firstLineChars="200"/>
        <w:jc w:val="left"/>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（1）《房地产估价规范》（GB/T 50291-2015）；</w:t>
      </w:r>
    </w:p>
    <w:p>
      <w:pPr>
        <w:widowControl/>
        <w:snapToGrid w:val="0"/>
        <w:spacing w:line="480" w:lineRule="exact"/>
        <w:ind w:firstLine="560" w:firstLineChars="200"/>
        <w:jc w:val="left"/>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（2）《城镇土地估价规程》</w:t>
      </w:r>
      <w:r>
        <w:rPr>
          <w:rFonts w:hint="default" w:ascii="Times New Roman" w:hAnsi="Times New Roman" w:eastAsia="仿宋" w:cs="Times New Roman"/>
          <w:color w:val="000000" w:themeColor="text1"/>
          <w:sz w:val="28"/>
          <w:szCs w:val="28"/>
          <w:highlight w:val="none"/>
        </w:rPr>
        <w:t>(GB／T18508-2014)</w:t>
      </w:r>
      <w:r>
        <w:rPr>
          <w:rFonts w:hint="default" w:ascii="Times New Roman" w:hAnsi="Times New Roman" w:eastAsia="仿宋" w:cs="Times New Roman"/>
          <w:color w:val="000000" w:themeColor="text1"/>
          <w:sz w:val="28"/>
          <w:szCs w:val="28"/>
        </w:rPr>
        <w:t>；</w:t>
      </w:r>
    </w:p>
    <w:p>
      <w:pPr>
        <w:widowControl/>
        <w:snapToGrid w:val="0"/>
        <w:spacing w:line="480" w:lineRule="exact"/>
        <w:ind w:firstLine="560" w:firstLineChars="200"/>
        <w:jc w:val="left"/>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（3）《房地产估价基本术语标准》（GB/T50899-2013、中华人民共和国住房和城乡建设部、国家质量监督检验检疫总局联合发布、2013年6月26日发布、2014年2月1日实施）；</w:t>
      </w:r>
    </w:p>
    <w:p>
      <w:pPr>
        <w:widowControl/>
        <w:snapToGrid w:val="0"/>
        <w:spacing w:line="480" w:lineRule="exact"/>
        <w:ind w:firstLine="560" w:firstLineChars="200"/>
        <w:jc w:val="left"/>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（4）《房地产估价报告评审标准（试行）》；</w:t>
      </w:r>
    </w:p>
    <w:p>
      <w:pPr>
        <w:widowControl/>
        <w:snapToGrid w:val="0"/>
        <w:spacing w:line="480" w:lineRule="exact"/>
        <w:ind w:firstLine="560" w:firstLineChars="200"/>
        <w:jc w:val="left"/>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（5）关于印发《涉执房地产处置司法评估指导意见（试行）》的通知（中房学〔2021〕37号）。</w:t>
      </w:r>
    </w:p>
    <w:p>
      <w:pPr>
        <w:widowControl/>
        <w:snapToGrid w:val="0"/>
        <w:spacing w:line="480" w:lineRule="exact"/>
        <w:ind w:firstLine="560" w:firstLineChars="200"/>
        <w:jc w:val="left"/>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3.估价委托人提供的有关资料</w:t>
      </w:r>
    </w:p>
    <w:p>
      <w:pPr>
        <w:widowControl/>
        <w:snapToGrid w:val="0"/>
        <w:spacing w:line="480" w:lineRule="exact"/>
        <w:ind w:firstLine="560" w:firstLineChars="200"/>
        <w:jc w:val="left"/>
        <w:rPr>
          <w:rFonts w:hint="eastAsia"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rPr>
        <w:t>（1）</w:t>
      </w:r>
      <w:r>
        <w:rPr>
          <w:rFonts w:hint="eastAsia" w:eastAsia="仿宋" w:cs="Times New Roman"/>
          <w:color w:val="000000" w:themeColor="text1"/>
          <w:sz w:val="28"/>
          <w:szCs w:val="28"/>
          <w:lang w:eastAsia="zh-CN"/>
        </w:rPr>
        <w:t>《宜丰县人民法院委托书》【（2021）赣0924执恢195号】、《宜丰县人民法院暂缓委托评估通知书》【（2021）赣0924执恢195号】、</w:t>
      </w:r>
      <w:r>
        <w:rPr>
          <w:rFonts w:hint="default" w:ascii="Times New Roman" w:hAnsi="Times New Roman" w:eastAsia="仿宋" w:cs="Times New Roman"/>
          <w:color w:val="000000" w:themeColor="text1"/>
          <w:sz w:val="28"/>
          <w:szCs w:val="28"/>
          <w:lang w:eastAsia="zh-CN"/>
        </w:rPr>
        <w:t>《宜丰县人民法院恢复委托评估通知书》</w:t>
      </w:r>
      <w:r>
        <w:rPr>
          <w:rFonts w:hint="eastAsia" w:eastAsia="仿宋" w:cs="Times New Roman"/>
          <w:color w:val="000000" w:themeColor="text1"/>
          <w:sz w:val="28"/>
          <w:szCs w:val="28"/>
          <w:lang w:eastAsia="zh-CN"/>
        </w:rPr>
        <w:t>【（2021）赣0924执恢195号】</w:t>
      </w:r>
      <w:r>
        <w:rPr>
          <w:rFonts w:hint="eastAsia" w:ascii="Times New Roman" w:hAnsi="Times New Roman" w:eastAsia="仿宋" w:cs="Times New Roman"/>
          <w:color w:val="000000" w:themeColor="text1"/>
          <w:sz w:val="28"/>
          <w:szCs w:val="28"/>
          <w:lang w:eastAsia="zh-CN"/>
        </w:rPr>
        <w:t>；</w:t>
      </w:r>
    </w:p>
    <w:p>
      <w:pPr>
        <w:widowControl/>
        <w:snapToGrid w:val="0"/>
        <w:spacing w:line="480" w:lineRule="exact"/>
        <w:ind w:firstLine="560" w:firstLineChars="200"/>
        <w:jc w:val="left"/>
        <w:rPr>
          <w:rFonts w:hint="default" w:ascii="Times New Roman" w:hAnsi="Times New Roman" w:eastAsia="仿宋" w:cs="Times New Roman"/>
          <w:color w:val="000000" w:themeColor="text1"/>
          <w:sz w:val="28"/>
          <w:szCs w:val="28"/>
        </w:rPr>
      </w:pPr>
      <w:r>
        <w:rPr>
          <w:rFonts w:hint="eastAsia" w:ascii="Times New Roman" w:hAnsi="Times New Roman" w:eastAsia="仿宋" w:cs="Times New Roman"/>
          <w:color w:val="000000" w:themeColor="text1"/>
          <w:sz w:val="28"/>
          <w:szCs w:val="28"/>
          <w:lang w:eastAsia="zh-CN"/>
        </w:rPr>
        <w:t>（</w:t>
      </w:r>
      <w:r>
        <w:rPr>
          <w:rFonts w:hint="eastAsia" w:ascii="Times New Roman" w:hAnsi="Times New Roman" w:eastAsia="仿宋" w:cs="Times New Roman"/>
          <w:color w:val="000000" w:themeColor="text1"/>
          <w:sz w:val="28"/>
          <w:szCs w:val="28"/>
          <w:lang w:val="en-US" w:eastAsia="zh-CN"/>
        </w:rPr>
        <w:t>2</w:t>
      </w:r>
      <w:r>
        <w:rPr>
          <w:rFonts w:hint="eastAsia" w:ascii="Times New Roman" w:hAnsi="Times New Roman" w:eastAsia="仿宋" w:cs="Times New Roman"/>
          <w:color w:val="000000" w:themeColor="text1"/>
          <w:sz w:val="28"/>
          <w:szCs w:val="28"/>
          <w:lang w:eastAsia="zh-CN"/>
        </w:rPr>
        <w:t>）</w:t>
      </w:r>
      <w:r>
        <w:rPr>
          <w:rFonts w:hint="default" w:ascii="Times New Roman" w:hAnsi="Times New Roman" w:eastAsia="仿宋" w:cs="Times New Roman"/>
          <w:color w:val="000000" w:themeColor="text1"/>
          <w:sz w:val="28"/>
          <w:szCs w:val="28"/>
          <w:lang w:eastAsia="zh-CN"/>
        </w:rPr>
        <w:t>《宜丰县房产登记情况查询统计表》、《江西省宜丰县房产所有权登记审核表》</w:t>
      </w:r>
      <w:r>
        <w:rPr>
          <w:rFonts w:hint="eastAsia" w:eastAsia="仿宋" w:cs="Times New Roman"/>
          <w:color w:val="000000" w:themeColor="text1"/>
          <w:sz w:val="28"/>
          <w:szCs w:val="28"/>
          <w:lang w:eastAsia="zh-CN"/>
        </w:rPr>
        <w:t>、</w:t>
      </w:r>
      <w:r>
        <w:rPr>
          <w:rFonts w:hint="eastAsia" w:eastAsia="仿宋" w:cs="Times New Roman"/>
          <w:bCs/>
          <w:color w:val="000000" w:themeColor="text1"/>
          <w:sz w:val="28"/>
          <w:szCs w:val="28"/>
          <w:highlight w:val="none"/>
          <w:lang w:eastAsia="zh-CN"/>
        </w:rPr>
        <w:t>《宜丰县公有住房出售现场勘查记录表》、</w:t>
      </w:r>
      <w:r>
        <w:rPr>
          <w:rFonts w:hint="eastAsia" w:eastAsia="仿宋" w:cs="Times New Roman"/>
          <w:color w:val="000000" w:themeColor="text1"/>
          <w:sz w:val="28"/>
          <w:szCs w:val="28"/>
          <w:lang w:val="en-US" w:eastAsia="zh-CN"/>
        </w:rPr>
        <w:t>《全额集资建住房协议书》</w:t>
      </w:r>
      <w:r>
        <w:rPr>
          <w:rFonts w:hint="default" w:ascii="Times New Roman" w:hAnsi="Times New Roman" w:eastAsia="仿宋" w:cs="Times New Roman"/>
          <w:color w:val="000000" w:themeColor="text1"/>
          <w:sz w:val="28"/>
          <w:szCs w:val="28"/>
          <w:lang w:eastAsia="zh-CN"/>
        </w:rPr>
        <w:t>；</w:t>
      </w:r>
    </w:p>
    <w:p>
      <w:pPr>
        <w:widowControl/>
        <w:snapToGrid w:val="0"/>
        <w:spacing w:line="480" w:lineRule="exact"/>
        <w:ind w:firstLine="560" w:firstLineChars="200"/>
        <w:jc w:val="left"/>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w:t>
      </w:r>
      <w:r>
        <w:rPr>
          <w:rFonts w:hint="eastAsia" w:ascii="Times New Roman" w:hAnsi="Times New Roman" w:eastAsia="仿宋" w:cs="Times New Roman"/>
          <w:color w:val="000000" w:themeColor="text1"/>
          <w:sz w:val="28"/>
          <w:szCs w:val="28"/>
          <w:lang w:val="en-US" w:eastAsia="zh-CN"/>
        </w:rPr>
        <w:t>3</w:t>
      </w:r>
      <w:r>
        <w:rPr>
          <w:rFonts w:hint="default" w:ascii="Times New Roman" w:hAnsi="Times New Roman" w:eastAsia="仿宋" w:cs="Times New Roman"/>
          <w:color w:val="000000" w:themeColor="text1"/>
          <w:sz w:val="28"/>
          <w:szCs w:val="28"/>
        </w:rPr>
        <w:t>）委托方提供的其它相关资料。</w:t>
      </w:r>
    </w:p>
    <w:p>
      <w:pPr>
        <w:widowControl/>
        <w:snapToGrid w:val="0"/>
        <w:spacing w:line="480" w:lineRule="exact"/>
        <w:ind w:firstLine="560" w:firstLineChars="200"/>
        <w:jc w:val="left"/>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4.房地产估价机构掌握的有关资料以及注册房地产估价师实地查勘所获取的资料</w:t>
      </w:r>
    </w:p>
    <w:p>
      <w:pPr>
        <w:pStyle w:val="20"/>
        <w:tabs>
          <w:tab w:val="left" w:pos="-360"/>
        </w:tabs>
        <w:snapToGrid w:val="0"/>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（1）</w:t>
      </w:r>
      <w:r>
        <w:rPr>
          <w:rFonts w:hint="default" w:ascii="Times New Roman" w:hAnsi="Times New Roman" w:eastAsia="仿宋" w:cs="Times New Roman"/>
          <w:color w:val="000000" w:themeColor="text1"/>
          <w:sz w:val="28"/>
          <w:szCs w:val="28"/>
          <w:lang w:eastAsia="zh-CN"/>
        </w:rPr>
        <w:t>宜春市商业、住宅</w:t>
      </w:r>
      <w:r>
        <w:rPr>
          <w:rFonts w:hint="default" w:ascii="Times New Roman" w:hAnsi="Times New Roman" w:eastAsia="仿宋" w:cs="Times New Roman"/>
          <w:color w:val="000000" w:themeColor="text1"/>
          <w:sz w:val="28"/>
          <w:szCs w:val="28"/>
        </w:rPr>
        <w:t>房地产市场信息及估价对象所在区域的房地产市场状况、同类房地产市场交易等数据资料；</w:t>
      </w:r>
    </w:p>
    <w:p>
      <w:pPr>
        <w:pStyle w:val="20"/>
        <w:tabs>
          <w:tab w:val="left" w:pos="-360"/>
        </w:tabs>
        <w:snapToGrid w:val="0"/>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（2）</w:t>
      </w:r>
      <w:r>
        <w:rPr>
          <w:rFonts w:hint="default" w:ascii="Times New Roman" w:hAnsi="Times New Roman" w:eastAsia="仿宋" w:cs="Times New Roman"/>
          <w:color w:val="000000" w:themeColor="text1"/>
          <w:sz w:val="28"/>
          <w:szCs w:val="28"/>
          <w:lang w:eastAsia="zh-CN"/>
        </w:rPr>
        <w:t>宜春市</w:t>
      </w:r>
      <w:r>
        <w:rPr>
          <w:rFonts w:hint="default" w:ascii="Times New Roman" w:hAnsi="Times New Roman" w:eastAsia="仿宋" w:cs="Times New Roman"/>
          <w:color w:val="000000" w:themeColor="text1"/>
          <w:sz w:val="28"/>
          <w:szCs w:val="28"/>
        </w:rPr>
        <w:t>城市概况、规划、经济发展及自然、人文环境资料</w:t>
      </w:r>
      <w:bookmarkStart w:id="142" w:name="_Toc435110690"/>
      <w:r>
        <w:rPr>
          <w:rFonts w:hint="default" w:ascii="Times New Roman" w:hAnsi="Times New Roman" w:eastAsia="仿宋" w:cs="Times New Roman"/>
          <w:color w:val="000000" w:themeColor="text1"/>
          <w:sz w:val="28"/>
          <w:szCs w:val="28"/>
        </w:rPr>
        <w:t>。</w:t>
      </w:r>
    </w:p>
    <w:p>
      <w:pPr>
        <w:pStyle w:val="20"/>
        <w:tabs>
          <w:tab w:val="left" w:pos="-360"/>
        </w:tabs>
        <w:snapToGrid w:val="0"/>
        <w:outlineLvl w:val="1"/>
        <w:rPr>
          <w:rFonts w:hint="default" w:ascii="Times New Roman" w:hAnsi="Times New Roman" w:eastAsia="仿宋" w:cs="Times New Roman"/>
          <w:b/>
          <w:bCs/>
          <w:color w:val="000000" w:themeColor="text1"/>
          <w:sz w:val="28"/>
          <w:szCs w:val="28"/>
        </w:rPr>
      </w:pPr>
      <w:bookmarkStart w:id="143" w:name="_Toc16538"/>
      <w:r>
        <w:rPr>
          <w:rFonts w:hint="default" w:ascii="Times New Roman" w:hAnsi="Times New Roman" w:eastAsia="仿宋" w:cs="Times New Roman"/>
          <w:b/>
          <w:bCs/>
          <w:color w:val="000000" w:themeColor="text1"/>
          <w:sz w:val="28"/>
          <w:szCs w:val="28"/>
        </w:rPr>
        <w:t>（九）</w:t>
      </w:r>
      <w:bookmarkStart w:id="144" w:name="_Toc301369723"/>
      <w:bookmarkStart w:id="145" w:name="_Toc243111693"/>
      <w:bookmarkStart w:id="146" w:name="_Toc269132876"/>
      <w:bookmarkStart w:id="147" w:name="_Toc135016179"/>
      <w:bookmarkStart w:id="148" w:name="_Toc243111722"/>
      <w:bookmarkStart w:id="149" w:name="_Toc254860133"/>
      <w:bookmarkStart w:id="150" w:name="_Toc367869505"/>
      <w:bookmarkStart w:id="151" w:name="_Toc270691075"/>
      <w:bookmarkStart w:id="152" w:name="_Toc130033729"/>
      <w:bookmarkStart w:id="153" w:name="_Toc254875147"/>
      <w:r>
        <w:rPr>
          <w:rFonts w:hint="default" w:ascii="Times New Roman" w:hAnsi="Times New Roman" w:eastAsia="仿宋" w:cs="Times New Roman"/>
          <w:b/>
          <w:bCs/>
          <w:color w:val="000000" w:themeColor="text1"/>
          <w:sz w:val="28"/>
          <w:szCs w:val="28"/>
        </w:rPr>
        <w:t>估价方法</w:t>
      </w:r>
      <w:bookmarkEnd w:id="142"/>
      <w:bookmarkEnd w:id="143"/>
      <w:bookmarkEnd w:id="144"/>
      <w:bookmarkEnd w:id="145"/>
      <w:bookmarkEnd w:id="146"/>
      <w:bookmarkEnd w:id="147"/>
      <w:bookmarkEnd w:id="148"/>
      <w:bookmarkEnd w:id="149"/>
      <w:bookmarkEnd w:id="150"/>
      <w:bookmarkEnd w:id="151"/>
      <w:bookmarkEnd w:id="152"/>
      <w:bookmarkEnd w:id="153"/>
    </w:p>
    <w:p>
      <w:pPr>
        <w:adjustRightInd w:val="0"/>
        <w:snapToGrid w:val="0"/>
        <w:spacing w:line="480" w:lineRule="exact"/>
        <w:ind w:firstLine="560" w:firstLineChars="200"/>
        <w:rPr>
          <w:rFonts w:hint="default" w:ascii="Times New Roman" w:hAnsi="Times New Roman" w:eastAsia="仿宋" w:cs="Times New Roman"/>
          <w:color w:val="000000" w:themeColor="text1"/>
          <w:sz w:val="28"/>
          <w:szCs w:val="28"/>
        </w:rPr>
      </w:pPr>
      <w:bookmarkStart w:id="154" w:name="_Toc135016180"/>
      <w:bookmarkStart w:id="155" w:name="_Toc130033730"/>
      <w:r>
        <w:rPr>
          <w:rFonts w:hint="default" w:ascii="Times New Roman" w:hAnsi="Times New Roman" w:eastAsia="仿宋" w:cs="Times New Roman"/>
          <w:color w:val="000000" w:themeColor="text1"/>
          <w:sz w:val="28"/>
          <w:szCs w:val="28"/>
        </w:rPr>
        <w:t>根据《房地产估价规范》，主要的估价方法有比较法、收益法、成本法、假设开发法等。比较法适用于同类房地产交易案例较多的房地产估价；收益法适用于有收益或潜在收益性的房地产估价；可作为独立的开发建设项目进行重新开发建设的，应选用成本法；假设开发法适用于具有开发或再开发潜力的房地产估价。</w:t>
      </w:r>
    </w:p>
    <w:p>
      <w:pPr>
        <w:adjustRightInd w:val="0"/>
        <w:snapToGrid w:val="0"/>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本次估价对象估价采用了</w:t>
      </w:r>
      <w:r>
        <w:rPr>
          <w:rFonts w:hint="default" w:ascii="Times New Roman" w:hAnsi="Times New Roman" w:eastAsia="仿宋" w:cs="Times New Roman"/>
          <w:color w:val="000000" w:themeColor="text1"/>
          <w:sz w:val="28"/>
          <w:szCs w:val="28"/>
          <w:lang w:eastAsia="zh-CN"/>
        </w:rPr>
        <w:t>比较法</w:t>
      </w:r>
      <w:r>
        <w:rPr>
          <w:rFonts w:hint="default" w:ascii="Times New Roman" w:hAnsi="Times New Roman" w:eastAsia="仿宋" w:cs="Times New Roman"/>
          <w:color w:val="000000" w:themeColor="text1"/>
          <w:sz w:val="28"/>
          <w:szCs w:val="28"/>
        </w:rPr>
        <w:t>。</w:t>
      </w:r>
    </w:p>
    <w:p>
      <w:pPr>
        <w:spacing w:line="480" w:lineRule="exact"/>
        <w:ind w:firstLine="560" w:firstLineChars="200"/>
        <w:rPr>
          <w:rFonts w:hint="default" w:ascii="Times New Roman" w:hAnsi="Times New Roman" w:eastAsia="仿宋" w:cs="Times New Roman"/>
          <w:color w:val="000000" w:themeColor="text1"/>
          <w:sz w:val="28"/>
          <w:szCs w:val="28"/>
          <w:lang w:eastAsia="zh-CN"/>
        </w:rPr>
      </w:pPr>
      <w:bookmarkStart w:id="156" w:name="_Toc254860134"/>
      <w:bookmarkStart w:id="157" w:name="_Toc243111694"/>
      <w:bookmarkStart w:id="158" w:name="_Toc301369724"/>
      <w:bookmarkStart w:id="159" w:name="_Toc435110691"/>
      <w:bookmarkStart w:id="160" w:name="_Toc367869506"/>
      <w:bookmarkStart w:id="161" w:name="_Toc243111723"/>
      <w:bookmarkStart w:id="162" w:name="_Toc254875148"/>
      <w:bookmarkStart w:id="163" w:name="_Toc270691076"/>
      <w:bookmarkStart w:id="164" w:name="_Toc269132877"/>
      <w:r>
        <w:rPr>
          <w:rFonts w:hint="default" w:ascii="Times New Roman" w:hAnsi="Times New Roman" w:eastAsia="仿宋" w:cs="Times New Roman"/>
          <w:color w:val="000000" w:themeColor="text1"/>
          <w:sz w:val="28"/>
          <w:szCs w:val="28"/>
        </w:rPr>
        <w:t>估价人员分析了评估项目的的特点和实际状况，并研究了委托方提供及所掌握的资料，在实地勘察和调研的基础上认为，估价对象实际用途为</w:t>
      </w:r>
      <w:r>
        <w:rPr>
          <w:rFonts w:hint="default" w:ascii="Times New Roman" w:hAnsi="Times New Roman" w:eastAsia="仿宋" w:cs="Times New Roman"/>
          <w:color w:val="000000" w:themeColor="text1"/>
          <w:sz w:val="28"/>
          <w:szCs w:val="28"/>
          <w:lang w:val="en-US" w:eastAsia="zh-CN"/>
        </w:rPr>
        <w:t>住宅</w:t>
      </w:r>
      <w:r>
        <w:rPr>
          <w:rFonts w:hint="default" w:ascii="Times New Roman" w:hAnsi="Times New Roman" w:eastAsia="仿宋" w:cs="Times New Roman"/>
          <w:color w:val="000000" w:themeColor="text1"/>
          <w:sz w:val="28"/>
          <w:szCs w:val="28"/>
        </w:rPr>
        <w:t>，估价对象类似物业的</w:t>
      </w:r>
      <w:r>
        <w:rPr>
          <w:rFonts w:hint="default" w:ascii="Times New Roman" w:hAnsi="Times New Roman" w:eastAsia="仿宋" w:cs="Times New Roman"/>
          <w:color w:val="000000" w:themeColor="text1"/>
          <w:sz w:val="28"/>
          <w:szCs w:val="28"/>
          <w:lang w:val="en-US" w:eastAsia="zh-CN"/>
        </w:rPr>
        <w:t>成交</w:t>
      </w:r>
      <w:r>
        <w:rPr>
          <w:rFonts w:hint="default" w:ascii="Times New Roman" w:hAnsi="Times New Roman" w:eastAsia="仿宋" w:cs="Times New Roman"/>
          <w:color w:val="000000" w:themeColor="text1"/>
          <w:sz w:val="28"/>
          <w:szCs w:val="28"/>
        </w:rPr>
        <w:t>案例比较多，适宜采取</w:t>
      </w:r>
      <w:r>
        <w:rPr>
          <w:rFonts w:hint="default" w:ascii="Times New Roman" w:hAnsi="Times New Roman" w:eastAsia="仿宋" w:cs="Times New Roman"/>
          <w:color w:val="000000" w:themeColor="text1"/>
          <w:sz w:val="28"/>
          <w:szCs w:val="28"/>
          <w:lang w:val="en-US" w:eastAsia="zh-CN"/>
        </w:rPr>
        <w:t>比较法</w:t>
      </w:r>
      <w:r>
        <w:rPr>
          <w:rFonts w:hint="default" w:ascii="Times New Roman" w:hAnsi="Times New Roman" w:eastAsia="仿宋" w:cs="Times New Roman"/>
          <w:color w:val="000000" w:themeColor="text1"/>
          <w:sz w:val="28"/>
          <w:szCs w:val="28"/>
        </w:rPr>
        <w:t>进行估价</w:t>
      </w:r>
      <w:r>
        <w:rPr>
          <w:rFonts w:hint="default" w:ascii="Times New Roman" w:hAnsi="Times New Roman" w:eastAsia="仿宋" w:cs="Times New Roman"/>
          <w:color w:val="000000" w:themeColor="text1"/>
          <w:sz w:val="28"/>
          <w:szCs w:val="28"/>
          <w:lang w:eastAsia="zh-CN"/>
        </w:rPr>
        <w:t>；</w:t>
      </w:r>
    </w:p>
    <w:p>
      <w:pPr>
        <w:spacing w:line="480" w:lineRule="exact"/>
        <w:ind w:firstLine="560" w:firstLineChars="200"/>
        <w:rPr>
          <w:rFonts w:hint="default" w:ascii="Times New Roman" w:hAnsi="Times New Roman" w:eastAsia="仿宋" w:cs="Times New Roman"/>
          <w:color w:val="000000" w:themeColor="text1"/>
          <w:sz w:val="28"/>
        </w:rPr>
      </w:pPr>
      <w:r>
        <w:rPr>
          <w:rFonts w:hint="default" w:ascii="Times New Roman" w:hAnsi="Times New Roman" w:eastAsia="仿宋" w:cs="Times New Roman"/>
          <w:bCs/>
          <w:color w:val="000000" w:themeColor="text1"/>
          <w:sz w:val="28"/>
          <w:szCs w:val="28"/>
        </w:rPr>
        <w:t>比较法是指选取一定数量的可比实例，将它们与估价对象进行比较，根据其间的差异对可比实例成交价格进行处理后得到估价对象价值或价格的方法。其基本公式为</w:t>
      </w:r>
      <w:r>
        <w:rPr>
          <w:rFonts w:hint="default" w:ascii="Times New Roman" w:hAnsi="Times New Roman" w:eastAsia="仿宋" w:cs="Times New Roman"/>
          <w:color w:val="000000" w:themeColor="text1"/>
          <w:sz w:val="28"/>
        </w:rPr>
        <w:t>：</w:t>
      </w:r>
    </w:p>
    <w:p>
      <w:pPr>
        <w:spacing w:line="480" w:lineRule="exact"/>
        <w:ind w:firstLine="560" w:firstLineChars="200"/>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Cs/>
          <w:color w:val="000000" w:themeColor="text1"/>
          <w:sz w:val="28"/>
          <w:szCs w:val="28"/>
        </w:rPr>
        <w:t>比较价值＝实例价格×交易情况修正×市场状况修正×区位状况修正×实物状况修正×权益状况修正</w:t>
      </w:r>
    </w:p>
    <w:p>
      <w:pPr>
        <w:pStyle w:val="4"/>
        <w:spacing w:before="0" w:after="0" w:line="500" w:lineRule="exact"/>
        <w:rPr>
          <w:rFonts w:hint="default" w:ascii="Times New Roman" w:hAnsi="Times New Roman" w:eastAsia="仿宋" w:cs="Times New Roman"/>
          <w:b w:val="0"/>
          <w:bCs w:val="0"/>
          <w:color w:val="000000" w:themeColor="text1"/>
          <w:sz w:val="28"/>
          <w:szCs w:val="28"/>
        </w:rPr>
      </w:pPr>
      <w:bookmarkStart w:id="165" w:name="_Toc25416"/>
      <w:r>
        <w:rPr>
          <w:rFonts w:hint="default" w:ascii="Times New Roman" w:hAnsi="Times New Roman" w:eastAsia="仿宋" w:cs="Times New Roman"/>
          <w:color w:val="000000" w:themeColor="text1"/>
          <w:sz w:val="28"/>
          <w:szCs w:val="28"/>
        </w:rPr>
        <w:t>（十）估价结果</w:t>
      </w:r>
      <w:bookmarkEnd w:id="154"/>
      <w:bookmarkEnd w:id="155"/>
      <w:bookmarkEnd w:id="156"/>
      <w:bookmarkEnd w:id="157"/>
      <w:bookmarkEnd w:id="158"/>
      <w:bookmarkEnd w:id="159"/>
      <w:bookmarkEnd w:id="160"/>
      <w:bookmarkEnd w:id="161"/>
      <w:bookmarkEnd w:id="162"/>
      <w:bookmarkEnd w:id="163"/>
      <w:bookmarkEnd w:id="164"/>
      <w:bookmarkEnd w:id="165"/>
    </w:p>
    <w:p>
      <w:pPr>
        <w:tabs>
          <w:tab w:val="left" w:pos="993"/>
        </w:tabs>
        <w:adjustRightInd w:val="0"/>
        <w:snapToGrid w:val="0"/>
        <w:spacing w:line="480" w:lineRule="exact"/>
        <w:ind w:firstLine="560" w:firstLineChars="200"/>
        <w:rPr>
          <w:rFonts w:hint="default" w:ascii="Times New Roman" w:hAnsi="Times New Roman" w:eastAsia="仿宋" w:cs="Times New Roman"/>
          <w:b/>
          <w:bCs/>
          <w:color w:val="000000" w:themeColor="text1"/>
          <w:sz w:val="28"/>
          <w:szCs w:val="28"/>
        </w:rPr>
      </w:pPr>
      <w:bookmarkStart w:id="166" w:name="_Toc243111724"/>
      <w:bookmarkStart w:id="167" w:name="_Toc254860135"/>
      <w:bookmarkStart w:id="168" w:name="_Toc367869507"/>
      <w:bookmarkStart w:id="169" w:name="_Toc243111695"/>
      <w:bookmarkStart w:id="170" w:name="_Toc130033731"/>
      <w:bookmarkStart w:id="171" w:name="_Toc270691077"/>
      <w:bookmarkStart w:id="172" w:name="_Toc301369725"/>
      <w:bookmarkStart w:id="173" w:name="_Toc269132878"/>
      <w:bookmarkStart w:id="174" w:name="_Toc135016181"/>
      <w:bookmarkStart w:id="175" w:name="_Toc254875149"/>
      <w:r>
        <w:rPr>
          <w:rFonts w:hint="default" w:ascii="Times New Roman" w:hAnsi="Times New Roman" w:eastAsia="仿宋" w:cs="Times New Roman"/>
          <w:color w:val="000000" w:themeColor="text1"/>
          <w:sz w:val="28"/>
          <w:szCs w:val="28"/>
        </w:rPr>
        <w:t>估价人员遵循各项估价原则，根据估价目的和国家有关房地产估价的规范、规定，按照估价程序，经过实地查勘与市场调查，并进行了测算，确定估价对象在满足全部假设和限制条件下于价值时点</w:t>
      </w:r>
      <w:r>
        <w:rPr>
          <w:rFonts w:hint="eastAsia" w:eastAsia="仿宋" w:cs="Times New Roman"/>
          <w:color w:val="000000" w:themeColor="text1"/>
          <w:sz w:val="28"/>
          <w:szCs w:val="28"/>
          <w:lang w:eastAsia="zh-CN"/>
        </w:rPr>
        <w:t>2021年09月07日</w:t>
      </w:r>
      <w:r>
        <w:rPr>
          <w:rFonts w:hint="default" w:ascii="Times New Roman" w:hAnsi="Times New Roman" w:eastAsia="仿宋" w:cs="Times New Roman"/>
          <w:color w:val="000000" w:themeColor="text1"/>
          <w:sz w:val="28"/>
          <w:szCs w:val="28"/>
        </w:rPr>
        <w:t>的估价结果为</w:t>
      </w:r>
      <w:bookmarkStart w:id="176" w:name="_Toc435110692"/>
      <w:r>
        <w:rPr>
          <w:rFonts w:hint="default" w:ascii="Times New Roman" w:hAnsi="Times New Roman" w:eastAsia="仿宋" w:cs="Times New Roman"/>
          <w:color w:val="000000" w:themeColor="text1"/>
          <w:sz w:val="28"/>
          <w:szCs w:val="28"/>
        </w:rPr>
        <w:t>¥</w:t>
      </w:r>
      <w:r>
        <w:rPr>
          <w:rFonts w:hint="eastAsia" w:eastAsia="仿宋" w:cs="Times New Roman"/>
          <w:b/>
          <w:bCs/>
          <w:color w:val="000000" w:themeColor="text1"/>
          <w:sz w:val="28"/>
          <w:szCs w:val="28"/>
          <w:lang w:val="en-US" w:eastAsia="zh-CN"/>
        </w:rPr>
        <w:t>567884</w:t>
      </w:r>
      <w:r>
        <w:rPr>
          <w:rFonts w:hint="default" w:ascii="Times New Roman" w:hAnsi="Times New Roman" w:eastAsia="仿宋" w:cs="Times New Roman"/>
          <w:b/>
          <w:bCs/>
          <w:color w:val="000000" w:themeColor="text1"/>
          <w:sz w:val="28"/>
          <w:szCs w:val="28"/>
        </w:rPr>
        <w:t>元，</w:t>
      </w:r>
      <w:r>
        <w:rPr>
          <w:rFonts w:hint="default" w:ascii="Times New Roman" w:hAnsi="Times New Roman" w:eastAsia="仿宋" w:cs="Times New Roman"/>
          <w:color w:val="000000" w:themeColor="text1"/>
          <w:sz w:val="28"/>
          <w:szCs w:val="28"/>
        </w:rPr>
        <w:t>人民币大写：</w:t>
      </w:r>
      <w:r>
        <w:rPr>
          <w:rFonts w:hint="eastAsia" w:eastAsia="仿宋" w:cs="Times New Roman"/>
          <w:b/>
          <w:bCs/>
          <w:color w:val="000000" w:themeColor="text1"/>
          <w:sz w:val="28"/>
          <w:szCs w:val="28"/>
          <w:lang w:eastAsia="zh-CN"/>
        </w:rPr>
        <w:t>伍拾陆万柒仟捌佰捌拾肆</w:t>
      </w:r>
      <w:r>
        <w:rPr>
          <w:rFonts w:hint="default" w:ascii="Times New Roman" w:hAnsi="Times New Roman" w:eastAsia="仿宋" w:cs="Times New Roman"/>
          <w:bCs/>
          <w:color w:val="000000" w:themeColor="text1"/>
          <w:sz w:val="28"/>
          <w:szCs w:val="28"/>
        </w:rPr>
        <w:t>元整</w:t>
      </w:r>
      <w:r>
        <w:rPr>
          <w:rFonts w:hint="default" w:ascii="Times New Roman" w:hAnsi="Times New Roman" w:eastAsia="仿宋" w:cs="Times New Roman"/>
          <w:b/>
          <w:bCs/>
          <w:color w:val="000000" w:themeColor="text1"/>
          <w:sz w:val="28"/>
          <w:szCs w:val="28"/>
        </w:rPr>
        <w:t>。（详见致估价委托人函）</w:t>
      </w:r>
    </w:p>
    <w:p>
      <w:pPr>
        <w:pStyle w:val="4"/>
        <w:spacing w:before="0" w:after="0" w:line="500" w:lineRule="exact"/>
        <w:rPr>
          <w:rFonts w:hint="default" w:ascii="Times New Roman" w:hAnsi="Times New Roman" w:eastAsia="仿宋" w:cs="Times New Roman"/>
          <w:b w:val="0"/>
          <w:bCs w:val="0"/>
          <w:color w:val="000000" w:themeColor="text1"/>
        </w:rPr>
      </w:pPr>
      <w:r>
        <w:rPr>
          <w:rFonts w:hint="default" w:ascii="Times New Roman" w:hAnsi="Times New Roman" w:eastAsia="仿宋" w:cs="Times New Roman"/>
          <w:color w:val="000000" w:themeColor="text1"/>
          <w:sz w:val="28"/>
          <w:szCs w:val="28"/>
        </w:rPr>
        <w:br w:type="page"/>
      </w:r>
      <w:bookmarkStart w:id="177" w:name="_Toc2544"/>
      <w:r>
        <w:rPr>
          <w:rFonts w:hint="default" w:ascii="Times New Roman" w:hAnsi="Times New Roman" w:eastAsia="仿宋" w:cs="Times New Roman"/>
          <w:color w:val="000000" w:themeColor="text1"/>
          <w:sz w:val="28"/>
          <w:szCs w:val="28"/>
        </w:rPr>
        <w:t>（十一）</w:t>
      </w:r>
      <w:bookmarkEnd w:id="166"/>
      <w:bookmarkEnd w:id="167"/>
      <w:bookmarkEnd w:id="168"/>
      <w:bookmarkEnd w:id="169"/>
      <w:bookmarkEnd w:id="170"/>
      <w:bookmarkEnd w:id="171"/>
      <w:bookmarkEnd w:id="172"/>
      <w:bookmarkEnd w:id="173"/>
      <w:bookmarkEnd w:id="174"/>
      <w:bookmarkEnd w:id="175"/>
      <w:bookmarkStart w:id="178" w:name="_Toc387827702"/>
      <w:r>
        <w:rPr>
          <w:rFonts w:hint="default" w:ascii="Times New Roman" w:hAnsi="Times New Roman" w:eastAsia="仿宋" w:cs="Times New Roman"/>
          <w:color w:val="000000" w:themeColor="text1"/>
          <w:sz w:val="28"/>
          <w:szCs w:val="28"/>
        </w:rPr>
        <w:t>注册房地产估价师</w:t>
      </w:r>
      <w:bookmarkEnd w:id="176"/>
      <w:bookmarkEnd w:id="177"/>
      <w:bookmarkEnd w:id="178"/>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rPr>
      </w:pPr>
      <w:bookmarkStart w:id="179" w:name="_Toc367869508"/>
      <w:bookmarkStart w:id="180" w:name="_Toc301369726"/>
      <w:bookmarkStart w:id="181" w:name="_Toc269132879"/>
      <w:bookmarkStart w:id="182" w:name="_Toc254860136"/>
      <w:bookmarkStart w:id="183" w:name="_Toc243111725"/>
      <w:bookmarkStart w:id="184" w:name="_Toc243111696"/>
      <w:bookmarkStart w:id="185" w:name="_Toc135016182"/>
      <w:bookmarkStart w:id="186" w:name="_Toc254875150"/>
      <w:bookmarkStart w:id="187" w:name="_Toc130033732"/>
      <w:bookmarkStart w:id="188" w:name="_Toc270691078"/>
      <w:r>
        <w:rPr>
          <w:rFonts w:hint="default" w:ascii="Times New Roman" w:hAnsi="Times New Roman" w:eastAsia="仿宋" w:cs="Times New Roman"/>
          <w:color w:val="000000" w:themeColor="text1"/>
          <w:sz w:val="28"/>
          <w:szCs w:val="28"/>
        </w:rPr>
        <w:t>参加本次估价的注册房地产估价师为：</w:t>
      </w:r>
      <w:bookmarkStart w:id="189" w:name="_Toc435110693"/>
    </w:p>
    <w:tbl>
      <w:tblPr>
        <w:tblStyle w:val="42"/>
        <w:tblW w:w="96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2354"/>
        <w:gridCol w:w="2354"/>
        <w:gridCol w:w="26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2260" w:type="dxa"/>
            <w:vAlign w:val="center"/>
          </w:tcPr>
          <w:p>
            <w:pPr>
              <w:spacing w:line="500" w:lineRule="exact"/>
              <w:jc w:val="center"/>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姓名</w:t>
            </w:r>
          </w:p>
        </w:tc>
        <w:tc>
          <w:tcPr>
            <w:tcW w:w="2354" w:type="dxa"/>
            <w:vAlign w:val="center"/>
          </w:tcPr>
          <w:p>
            <w:pPr>
              <w:spacing w:line="500" w:lineRule="exact"/>
              <w:jc w:val="center"/>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注册号</w:t>
            </w:r>
          </w:p>
        </w:tc>
        <w:tc>
          <w:tcPr>
            <w:tcW w:w="2354" w:type="dxa"/>
            <w:vAlign w:val="center"/>
          </w:tcPr>
          <w:p>
            <w:pPr>
              <w:spacing w:line="500" w:lineRule="exact"/>
              <w:jc w:val="center"/>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签名</w:t>
            </w:r>
          </w:p>
        </w:tc>
        <w:tc>
          <w:tcPr>
            <w:tcW w:w="2635" w:type="dxa"/>
            <w:vAlign w:val="center"/>
          </w:tcPr>
          <w:p>
            <w:pPr>
              <w:spacing w:line="500" w:lineRule="exact"/>
              <w:jc w:val="center"/>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color w:val="000000" w:themeColor="text1"/>
                <w:sz w:val="28"/>
                <w:szCs w:val="28"/>
              </w:rPr>
              <w:t>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jc w:val="center"/>
        </w:trPr>
        <w:tc>
          <w:tcPr>
            <w:tcW w:w="2260" w:type="dxa"/>
            <w:vAlign w:val="center"/>
          </w:tcPr>
          <w:p>
            <w:pPr>
              <w:spacing w:line="360" w:lineRule="auto"/>
              <w:jc w:val="center"/>
              <w:rPr>
                <w:rFonts w:hint="default"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lang w:eastAsia="zh-CN"/>
              </w:rPr>
              <w:t>吴</w:t>
            </w:r>
            <w:r>
              <w:rPr>
                <w:rFonts w:hint="default" w:ascii="Times New Roman" w:hAnsi="Times New Roman" w:eastAsia="仿宋" w:cs="Times New Roman"/>
                <w:color w:val="000000" w:themeColor="text1"/>
                <w:sz w:val="28"/>
                <w:szCs w:val="28"/>
                <w:lang w:val="en-US" w:eastAsia="zh-CN"/>
              </w:rPr>
              <w:t xml:space="preserve">  </w:t>
            </w:r>
            <w:r>
              <w:rPr>
                <w:rFonts w:hint="default" w:ascii="Times New Roman" w:hAnsi="Times New Roman" w:eastAsia="仿宋" w:cs="Times New Roman"/>
                <w:color w:val="000000" w:themeColor="text1"/>
                <w:sz w:val="28"/>
                <w:szCs w:val="28"/>
                <w:lang w:eastAsia="zh-CN"/>
              </w:rPr>
              <w:t>昊</w:t>
            </w:r>
          </w:p>
        </w:tc>
        <w:tc>
          <w:tcPr>
            <w:tcW w:w="2354" w:type="dxa"/>
            <w:vAlign w:val="center"/>
          </w:tcPr>
          <w:p>
            <w:pPr>
              <w:spacing w:line="360" w:lineRule="auto"/>
              <w:jc w:val="center"/>
              <w:rPr>
                <w:rFonts w:hint="default"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lang w:eastAsia="zh-CN"/>
              </w:rPr>
              <w:t>3620040035</w:t>
            </w:r>
          </w:p>
        </w:tc>
        <w:tc>
          <w:tcPr>
            <w:tcW w:w="2354" w:type="dxa"/>
            <w:vAlign w:val="center"/>
          </w:tcPr>
          <w:p>
            <w:pPr>
              <w:spacing w:line="500" w:lineRule="exact"/>
              <w:jc w:val="center"/>
              <w:rPr>
                <w:rFonts w:hint="default" w:ascii="Times New Roman" w:hAnsi="Times New Roman" w:eastAsia="仿宋" w:cs="Times New Roman"/>
                <w:color w:val="000000" w:themeColor="text1"/>
                <w:sz w:val="28"/>
                <w:szCs w:val="28"/>
              </w:rPr>
            </w:pPr>
          </w:p>
        </w:tc>
        <w:tc>
          <w:tcPr>
            <w:tcW w:w="2635" w:type="dxa"/>
            <w:vAlign w:val="center"/>
          </w:tcPr>
          <w:p>
            <w:pPr>
              <w:adjustRightInd w:val="0"/>
              <w:snapToGrid w:val="0"/>
              <w:spacing w:line="500" w:lineRule="exact"/>
              <w:jc w:val="center"/>
              <w:rPr>
                <w:rFonts w:hint="default"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lang w:eastAsia="zh-CN"/>
              </w:rPr>
              <w:t>2021年09月15日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2260" w:type="dxa"/>
            <w:vAlign w:val="center"/>
          </w:tcPr>
          <w:p>
            <w:pPr>
              <w:spacing w:line="360" w:lineRule="auto"/>
              <w:jc w:val="center"/>
              <w:rPr>
                <w:rFonts w:hint="default" w:ascii="Times New Roman" w:hAnsi="Times New Roman" w:eastAsia="仿宋" w:cs="Times New Roman"/>
                <w:color w:val="000000" w:themeColor="text1"/>
                <w:sz w:val="28"/>
                <w:lang w:eastAsia="zh-CN"/>
              </w:rPr>
            </w:pPr>
            <w:r>
              <w:rPr>
                <w:rFonts w:hint="default" w:ascii="Times New Roman" w:hAnsi="Times New Roman" w:eastAsia="仿宋" w:cs="Times New Roman"/>
                <w:color w:val="000000" w:themeColor="text1"/>
                <w:sz w:val="28"/>
                <w:szCs w:val="28"/>
                <w:lang w:eastAsia="zh-CN"/>
              </w:rPr>
              <w:t>吴美茜</w:t>
            </w:r>
          </w:p>
        </w:tc>
        <w:tc>
          <w:tcPr>
            <w:tcW w:w="2354" w:type="dxa"/>
            <w:vAlign w:val="center"/>
          </w:tcPr>
          <w:p>
            <w:pPr>
              <w:spacing w:line="360" w:lineRule="auto"/>
              <w:jc w:val="center"/>
              <w:rPr>
                <w:rFonts w:hint="default"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lang w:eastAsia="zh-CN"/>
              </w:rPr>
              <w:t>3620200006</w:t>
            </w:r>
          </w:p>
        </w:tc>
        <w:tc>
          <w:tcPr>
            <w:tcW w:w="2354" w:type="dxa"/>
            <w:vAlign w:val="center"/>
          </w:tcPr>
          <w:p>
            <w:pPr>
              <w:spacing w:line="500" w:lineRule="exact"/>
              <w:jc w:val="center"/>
              <w:rPr>
                <w:rFonts w:hint="default" w:ascii="Times New Roman" w:hAnsi="Times New Roman" w:eastAsia="仿宋" w:cs="Times New Roman"/>
                <w:color w:val="000000" w:themeColor="text1"/>
                <w:sz w:val="28"/>
                <w:szCs w:val="28"/>
              </w:rPr>
            </w:pPr>
          </w:p>
        </w:tc>
        <w:tc>
          <w:tcPr>
            <w:tcW w:w="2635" w:type="dxa"/>
            <w:vAlign w:val="center"/>
          </w:tcPr>
          <w:p>
            <w:pPr>
              <w:spacing w:line="500" w:lineRule="exact"/>
              <w:jc w:val="center"/>
              <w:rPr>
                <w:rFonts w:hint="default" w:ascii="Times New Roman" w:hAnsi="Times New Roman" w:eastAsia="仿宋" w:cs="Times New Roman"/>
                <w:color w:val="000000" w:themeColor="text1"/>
                <w:sz w:val="28"/>
                <w:szCs w:val="28"/>
                <w:lang w:eastAsia="zh-CN"/>
              </w:rPr>
            </w:pPr>
            <w:r>
              <w:rPr>
                <w:rFonts w:hint="default" w:ascii="Times New Roman" w:hAnsi="Times New Roman" w:eastAsia="仿宋" w:cs="Times New Roman"/>
                <w:color w:val="000000" w:themeColor="text1"/>
                <w:sz w:val="28"/>
                <w:szCs w:val="28"/>
                <w:lang w:eastAsia="zh-CN"/>
              </w:rPr>
              <w:t>2021年09月15日</w:t>
            </w:r>
          </w:p>
        </w:tc>
      </w:tr>
    </w:tbl>
    <w:p>
      <w:pPr>
        <w:pStyle w:val="4"/>
        <w:spacing w:before="0" w:after="0" w:line="500" w:lineRule="exact"/>
        <w:rPr>
          <w:rFonts w:hint="default" w:ascii="Times New Roman" w:hAnsi="Times New Roman" w:eastAsia="仿宋" w:cs="Times New Roman"/>
          <w:b w:val="0"/>
          <w:bCs w:val="0"/>
          <w:color w:val="000000" w:themeColor="text1"/>
          <w:sz w:val="28"/>
          <w:szCs w:val="28"/>
        </w:rPr>
      </w:pPr>
      <w:bookmarkStart w:id="190" w:name="_Toc17428"/>
      <w:r>
        <w:rPr>
          <w:rFonts w:hint="default" w:ascii="Times New Roman" w:hAnsi="Times New Roman" w:eastAsia="仿宋" w:cs="Times New Roman"/>
          <w:color w:val="000000" w:themeColor="text1"/>
          <w:sz w:val="28"/>
          <w:szCs w:val="28"/>
        </w:rPr>
        <w:t>（十二）</w:t>
      </w:r>
      <w:bookmarkEnd w:id="179"/>
      <w:bookmarkEnd w:id="180"/>
      <w:bookmarkEnd w:id="181"/>
      <w:bookmarkEnd w:id="182"/>
      <w:bookmarkEnd w:id="183"/>
      <w:bookmarkEnd w:id="184"/>
      <w:bookmarkEnd w:id="185"/>
      <w:bookmarkEnd w:id="186"/>
      <w:bookmarkEnd w:id="187"/>
      <w:bookmarkEnd w:id="188"/>
      <w:r>
        <w:rPr>
          <w:rFonts w:hint="default" w:ascii="Times New Roman" w:hAnsi="Times New Roman" w:eastAsia="仿宋" w:cs="Times New Roman"/>
          <w:color w:val="000000" w:themeColor="text1"/>
          <w:sz w:val="28"/>
          <w:szCs w:val="28"/>
        </w:rPr>
        <w:t>实地查勘期</w:t>
      </w:r>
      <w:bookmarkEnd w:id="189"/>
      <w:bookmarkEnd w:id="190"/>
    </w:p>
    <w:p>
      <w:pPr>
        <w:spacing w:line="500" w:lineRule="exact"/>
        <w:ind w:firstLine="560" w:firstLineChars="200"/>
        <w:rPr>
          <w:rFonts w:hint="default" w:ascii="Times New Roman" w:hAnsi="Times New Roman" w:eastAsia="仿宋" w:cs="Times New Roman"/>
          <w:color w:val="000000" w:themeColor="text1"/>
          <w:sz w:val="28"/>
          <w:szCs w:val="28"/>
          <w:lang w:eastAsia="zh-CN"/>
        </w:rPr>
      </w:pPr>
      <w:bookmarkStart w:id="191" w:name="_Toc243111697"/>
      <w:bookmarkStart w:id="192" w:name="_Toc135016183"/>
      <w:bookmarkStart w:id="193" w:name="_Toc269132880"/>
      <w:bookmarkStart w:id="194" w:name="_Toc270691079"/>
      <w:bookmarkStart w:id="195" w:name="_Toc367869509"/>
      <w:bookmarkStart w:id="196" w:name="_Toc254860137"/>
      <w:bookmarkStart w:id="197" w:name="_Toc254875151"/>
      <w:bookmarkStart w:id="198" w:name="_Toc130033733"/>
      <w:bookmarkStart w:id="199" w:name="_Toc301369727"/>
      <w:bookmarkStart w:id="200" w:name="_Toc243111726"/>
      <w:bookmarkStart w:id="201" w:name="_Toc435110694"/>
      <w:r>
        <w:rPr>
          <w:rFonts w:hint="eastAsia" w:eastAsia="仿宋" w:cs="Times New Roman"/>
          <w:color w:val="000000" w:themeColor="text1"/>
          <w:sz w:val="28"/>
          <w:szCs w:val="28"/>
          <w:lang w:eastAsia="zh-CN"/>
        </w:rPr>
        <w:t>2021年09月07日</w:t>
      </w:r>
    </w:p>
    <w:p>
      <w:pPr>
        <w:pStyle w:val="4"/>
        <w:keepNext/>
        <w:keepLines/>
        <w:pageBreakBefore w:val="0"/>
        <w:widowControl w:val="0"/>
        <w:kinsoku/>
        <w:wordWrap/>
        <w:overflowPunct/>
        <w:topLinePunct w:val="0"/>
        <w:autoSpaceDE/>
        <w:autoSpaceDN/>
        <w:bidi w:val="0"/>
        <w:adjustRightInd/>
        <w:snapToGrid/>
        <w:spacing w:before="0" w:after="0" w:line="500" w:lineRule="exact"/>
        <w:textAlignment w:val="auto"/>
        <w:rPr>
          <w:rFonts w:hint="default" w:ascii="Times New Roman" w:hAnsi="Times New Roman" w:eastAsia="仿宋" w:cs="Times New Roman"/>
          <w:b w:val="0"/>
          <w:bCs w:val="0"/>
          <w:color w:val="000000" w:themeColor="text1"/>
          <w:sz w:val="28"/>
          <w:szCs w:val="28"/>
        </w:rPr>
      </w:pPr>
      <w:bookmarkStart w:id="202" w:name="_Toc15550"/>
      <w:r>
        <w:rPr>
          <w:rFonts w:hint="default" w:ascii="Times New Roman" w:hAnsi="Times New Roman" w:eastAsia="仿宋" w:cs="Times New Roman"/>
          <w:color w:val="000000" w:themeColor="text1"/>
          <w:sz w:val="28"/>
          <w:szCs w:val="28"/>
        </w:rPr>
        <w:t>（十三）</w:t>
      </w:r>
      <w:bookmarkEnd w:id="191"/>
      <w:bookmarkEnd w:id="192"/>
      <w:bookmarkEnd w:id="193"/>
      <w:bookmarkEnd w:id="194"/>
      <w:bookmarkEnd w:id="195"/>
      <w:bookmarkEnd w:id="196"/>
      <w:bookmarkEnd w:id="197"/>
      <w:bookmarkEnd w:id="198"/>
      <w:bookmarkEnd w:id="199"/>
      <w:bookmarkEnd w:id="200"/>
      <w:r>
        <w:rPr>
          <w:rFonts w:hint="default" w:ascii="Times New Roman" w:hAnsi="Times New Roman" w:eastAsia="仿宋" w:cs="Times New Roman"/>
          <w:color w:val="000000" w:themeColor="text1"/>
          <w:sz w:val="28"/>
          <w:szCs w:val="28"/>
        </w:rPr>
        <w:t>估价作业期</w:t>
      </w:r>
      <w:bookmarkEnd w:id="201"/>
      <w:bookmarkEnd w:id="202"/>
    </w:p>
    <w:p>
      <w:pPr>
        <w:adjustRightInd w:val="0"/>
        <w:snapToGrid w:val="0"/>
        <w:spacing w:line="500" w:lineRule="exact"/>
        <w:ind w:firstLine="560" w:firstLineChars="200"/>
        <w:rPr>
          <w:rFonts w:hint="default" w:ascii="Times New Roman" w:hAnsi="Times New Roman" w:eastAsia="仿宋" w:cs="Times New Roman"/>
          <w:color w:val="000000" w:themeColor="text1"/>
          <w:sz w:val="28"/>
          <w:szCs w:val="28"/>
          <w:lang w:eastAsia="zh-CN"/>
        </w:rPr>
      </w:pPr>
      <w:bookmarkStart w:id="203" w:name="_Toc135016184"/>
      <w:bookmarkStart w:id="204" w:name="_Toc269132881"/>
      <w:bookmarkStart w:id="205" w:name="_Toc299004801"/>
      <w:bookmarkStart w:id="206" w:name="_Toc243111698"/>
      <w:bookmarkStart w:id="207" w:name="_Toc254875152"/>
      <w:bookmarkStart w:id="208" w:name="_Toc254860138"/>
      <w:bookmarkStart w:id="209" w:name="_Toc130033734"/>
      <w:bookmarkStart w:id="210" w:name="_Toc299004832"/>
      <w:bookmarkStart w:id="211" w:name="_Toc270691080"/>
      <w:bookmarkStart w:id="212" w:name="_Toc243111727"/>
      <w:r>
        <w:rPr>
          <w:rFonts w:hint="eastAsia" w:eastAsia="仿宋" w:cs="Times New Roman"/>
          <w:color w:val="000000" w:themeColor="text1"/>
          <w:sz w:val="28"/>
          <w:szCs w:val="28"/>
          <w:lang w:eastAsia="zh-CN"/>
        </w:rPr>
        <w:t>2021年09月07日</w:t>
      </w:r>
      <w:r>
        <w:rPr>
          <w:rFonts w:hint="default" w:ascii="Times New Roman" w:hAnsi="Times New Roman" w:eastAsia="仿宋" w:cs="Times New Roman"/>
          <w:color w:val="000000" w:themeColor="text1"/>
          <w:sz w:val="28"/>
          <w:szCs w:val="28"/>
        </w:rPr>
        <w:t>至</w:t>
      </w:r>
      <w:r>
        <w:rPr>
          <w:rFonts w:hint="default" w:ascii="Times New Roman" w:hAnsi="Times New Roman" w:eastAsia="仿宋" w:cs="Times New Roman"/>
          <w:color w:val="000000" w:themeColor="text1"/>
          <w:sz w:val="28"/>
          <w:szCs w:val="28"/>
          <w:lang w:eastAsia="zh-CN"/>
        </w:rPr>
        <w:t>2021年09月15日</w:t>
      </w: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203"/>
    <w:bookmarkEnd w:id="204"/>
    <w:bookmarkEnd w:id="205"/>
    <w:bookmarkEnd w:id="206"/>
    <w:bookmarkEnd w:id="207"/>
    <w:bookmarkEnd w:id="208"/>
    <w:bookmarkEnd w:id="209"/>
    <w:bookmarkEnd w:id="210"/>
    <w:bookmarkEnd w:id="211"/>
    <w:bookmarkEnd w:id="212"/>
    <w:p>
      <w:pPr>
        <w:pStyle w:val="101"/>
        <w:keepNext w:val="0"/>
        <w:keepLines w:val="0"/>
        <w:pageBreakBefore w:val="0"/>
        <w:widowControl w:val="0"/>
        <w:kinsoku/>
        <w:wordWrap/>
        <w:overflowPunct/>
        <w:topLinePunct w:val="0"/>
        <w:autoSpaceDE/>
        <w:autoSpaceDN/>
        <w:bidi w:val="0"/>
        <w:adjustRightInd w:val="0"/>
        <w:snapToGrid w:val="0"/>
        <w:spacing w:line="360" w:lineRule="auto"/>
        <w:ind w:left="283" w:firstLine="0" w:firstLineChars="0"/>
        <w:jc w:val="center"/>
        <w:textAlignment w:val="auto"/>
        <w:outlineLvl w:val="0"/>
        <w:rPr>
          <w:rFonts w:hint="default" w:ascii="Times New Roman" w:hAnsi="Times New Roman" w:eastAsia="仿宋" w:cs="Times New Roman"/>
          <w:b/>
          <w:bCs/>
          <w:color w:val="000000" w:themeColor="text1"/>
          <w:sz w:val="32"/>
          <w:szCs w:val="32"/>
        </w:rPr>
      </w:pPr>
      <w:bookmarkStart w:id="213" w:name="_Toc301369728"/>
      <w:bookmarkStart w:id="214" w:name="_Toc435110707"/>
      <w:bookmarkStart w:id="215" w:name="_Toc367869510"/>
      <w:r>
        <w:rPr>
          <w:rFonts w:hint="default" w:ascii="Times New Roman" w:hAnsi="Times New Roman" w:eastAsia="仿宋" w:cs="Times New Roman"/>
          <w:b/>
          <w:bCs/>
          <w:color w:val="000000" w:themeColor="text1"/>
          <w:sz w:val="32"/>
          <w:szCs w:val="32"/>
        </w:rPr>
        <w:br w:type="page"/>
      </w:r>
      <w:bookmarkStart w:id="216" w:name="_Toc2348"/>
      <w:r>
        <w:rPr>
          <w:rFonts w:hint="default" w:ascii="Times New Roman" w:hAnsi="Times New Roman" w:eastAsia="仿宋" w:cs="Times New Roman"/>
          <w:b/>
          <w:bCs/>
          <w:color w:val="000000" w:themeColor="text1"/>
          <w:sz w:val="32"/>
          <w:szCs w:val="32"/>
        </w:rPr>
        <w:t>四、附件</w:t>
      </w:r>
      <w:bookmarkEnd w:id="213"/>
      <w:bookmarkEnd w:id="214"/>
      <w:bookmarkEnd w:id="215"/>
      <w:bookmarkEnd w:id="216"/>
    </w:p>
    <w:p>
      <w:pPr>
        <w:pStyle w:val="101"/>
        <w:numPr>
          <w:ilvl w:val="0"/>
          <w:numId w:val="0"/>
        </w:numPr>
        <w:adjustRightInd w:val="0"/>
        <w:snapToGrid w:val="0"/>
        <w:spacing w:line="360" w:lineRule="auto"/>
        <w:ind w:left="284" w:leftChars="0"/>
        <w:rPr>
          <w:rFonts w:hint="eastAsia" w:eastAsia="仿宋" w:cs="Times New Roman"/>
          <w:color w:val="000000" w:themeColor="text1"/>
          <w:sz w:val="28"/>
          <w:szCs w:val="28"/>
          <w:lang w:val="en-US" w:eastAsia="zh-CN"/>
        </w:rPr>
      </w:pPr>
    </w:p>
    <w:p>
      <w:pPr>
        <w:pStyle w:val="101"/>
        <w:numPr>
          <w:ilvl w:val="0"/>
          <w:numId w:val="0"/>
        </w:numPr>
        <w:adjustRightInd w:val="0"/>
        <w:snapToGrid w:val="0"/>
        <w:spacing w:line="360" w:lineRule="auto"/>
        <w:rPr>
          <w:rFonts w:hint="default" w:ascii="Times New Roman" w:hAnsi="Times New Roman" w:eastAsia="仿宋" w:cs="Times New Roman"/>
          <w:color w:val="000000" w:themeColor="text1"/>
          <w:sz w:val="28"/>
          <w:szCs w:val="28"/>
        </w:rPr>
      </w:pPr>
      <w:r>
        <w:rPr>
          <w:rFonts w:hint="eastAsia" w:eastAsia="仿宋" w:cs="Times New Roman"/>
          <w:color w:val="000000" w:themeColor="text1"/>
          <w:sz w:val="28"/>
          <w:szCs w:val="28"/>
          <w:lang w:val="en-US" w:eastAsia="zh-CN"/>
        </w:rPr>
        <w:t>1.</w:t>
      </w:r>
      <w:r>
        <w:rPr>
          <w:rFonts w:hint="default" w:ascii="Times New Roman" w:hAnsi="Times New Roman" w:eastAsia="仿宋" w:cs="Times New Roman"/>
          <w:color w:val="000000" w:themeColor="text1"/>
          <w:sz w:val="28"/>
          <w:szCs w:val="28"/>
        </w:rPr>
        <w:t>估价对象现状照片；</w:t>
      </w:r>
    </w:p>
    <w:p>
      <w:pPr>
        <w:pStyle w:val="101"/>
        <w:numPr>
          <w:ilvl w:val="0"/>
          <w:numId w:val="0"/>
        </w:numPr>
        <w:adjustRightInd w:val="0"/>
        <w:snapToGrid w:val="0"/>
        <w:spacing w:line="360" w:lineRule="auto"/>
        <w:rPr>
          <w:rFonts w:hint="default" w:eastAsia="仿宋" w:cs="Times New Roman"/>
          <w:color w:val="000000" w:themeColor="text1"/>
          <w:sz w:val="28"/>
          <w:szCs w:val="28"/>
          <w:lang w:val="en-US" w:eastAsia="zh-CN"/>
        </w:rPr>
      </w:pPr>
      <w:r>
        <w:rPr>
          <w:rFonts w:hint="eastAsia" w:eastAsia="仿宋" w:cs="Times New Roman"/>
          <w:color w:val="000000" w:themeColor="text1"/>
          <w:sz w:val="28"/>
          <w:szCs w:val="28"/>
          <w:lang w:val="en-US" w:eastAsia="zh-CN"/>
        </w:rPr>
        <w:t>2.</w:t>
      </w:r>
      <w:r>
        <w:rPr>
          <w:rFonts w:hint="default" w:eastAsia="仿宋" w:cs="Times New Roman"/>
          <w:color w:val="000000" w:themeColor="text1"/>
          <w:sz w:val="28"/>
          <w:szCs w:val="28"/>
          <w:lang w:val="en-US" w:eastAsia="zh-CN"/>
        </w:rPr>
        <w:t>估价对象位置示意图；</w:t>
      </w:r>
    </w:p>
    <w:p>
      <w:pPr>
        <w:pStyle w:val="101"/>
        <w:numPr>
          <w:ilvl w:val="0"/>
          <w:numId w:val="0"/>
        </w:numPr>
        <w:adjustRightInd w:val="0"/>
        <w:snapToGrid w:val="0"/>
        <w:spacing w:line="360" w:lineRule="auto"/>
        <w:ind w:left="280" w:hanging="280" w:hangingChars="100"/>
        <w:rPr>
          <w:rFonts w:hint="eastAsia" w:eastAsia="仿宋" w:cs="Times New Roman"/>
          <w:color w:val="000000" w:themeColor="text1"/>
          <w:sz w:val="28"/>
          <w:szCs w:val="28"/>
          <w:lang w:val="en-US" w:eastAsia="zh-CN"/>
        </w:rPr>
      </w:pPr>
      <w:r>
        <w:rPr>
          <w:rFonts w:hint="eastAsia" w:eastAsia="仿宋" w:cs="Times New Roman"/>
          <w:color w:val="000000" w:themeColor="text1"/>
          <w:sz w:val="28"/>
          <w:szCs w:val="28"/>
          <w:lang w:val="en-US" w:eastAsia="zh-CN"/>
        </w:rPr>
        <w:t>3.《宜丰县人民法院委托书》</w:t>
      </w:r>
      <w:r>
        <w:rPr>
          <w:rFonts w:hint="default" w:ascii="Times New Roman" w:hAnsi="Times New Roman" w:eastAsia="宋体" w:cs="Times New Roman"/>
          <w:sz w:val="24"/>
          <w:szCs w:val="24"/>
          <w:highlight w:val="none"/>
          <w:lang w:val="en-US" w:eastAsia="zh-CN"/>
        </w:rPr>
        <w:t>【</w:t>
      </w:r>
      <w:r>
        <w:rPr>
          <w:rFonts w:hint="default" w:eastAsia="仿宋" w:cs="Times New Roman"/>
          <w:color w:val="000000" w:themeColor="text1"/>
          <w:sz w:val="28"/>
          <w:szCs w:val="28"/>
          <w:lang w:val="en-US" w:eastAsia="zh-CN"/>
        </w:rPr>
        <w:t>（2021）赣0924执恢195号</w:t>
      </w:r>
      <w:r>
        <w:rPr>
          <w:rFonts w:hint="default" w:ascii="Times New Roman" w:hAnsi="Times New Roman" w:eastAsia="宋体" w:cs="Times New Roman"/>
          <w:sz w:val="24"/>
          <w:szCs w:val="24"/>
          <w:highlight w:val="none"/>
          <w:lang w:val="en-US" w:eastAsia="zh-CN"/>
        </w:rPr>
        <w:t>】</w:t>
      </w:r>
      <w:r>
        <w:rPr>
          <w:rFonts w:hint="eastAsia" w:eastAsia="仿宋" w:cs="Times New Roman"/>
          <w:color w:val="000000" w:themeColor="text1"/>
          <w:sz w:val="28"/>
          <w:szCs w:val="28"/>
          <w:lang w:val="en-US" w:eastAsia="zh-CN"/>
        </w:rPr>
        <w:t>、《宜丰县人民法院暂缓委托评估通知书》【（2021）赣0924执恢195号】、</w:t>
      </w:r>
      <w:r>
        <w:rPr>
          <w:rFonts w:hint="default" w:eastAsia="仿宋" w:cs="Times New Roman"/>
          <w:color w:val="000000" w:themeColor="text1"/>
          <w:sz w:val="28"/>
          <w:szCs w:val="28"/>
          <w:lang w:val="en-US" w:eastAsia="zh-CN"/>
        </w:rPr>
        <w:t>《宜丰县人民法院恢复委托评估通知书》</w:t>
      </w:r>
      <w:r>
        <w:rPr>
          <w:rFonts w:hint="eastAsia" w:eastAsia="仿宋" w:cs="Times New Roman"/>
          <w:color w:val="000000" w:themeColor="text1"/>
          <w:sz w:val="28"/>
          <w:szCs w:val="28"/>
          <w:lang w:val="en-US" w:eastAsia="zh-CN"/>
        </w:rPr>
        <w:t>【（2021）赣0924执恢195号】；</w:t>
      </w:r>
    </w:p>
    <w:p>
      <w:pPr>
        <w:pStyle w:val="101"/>
        <w:numPr>
          <w:ilvl w:val="0"/>
          <w:numId w:val="0"/>
        </w:numPr>
        <w:adjustRightInd w:val="0"/>
        <w:snapToGrid w:val="0"/>
        <w:spacing w:line="360" w:lineRule="auto"/>
        <w:ind w:left="280" w:hanging="280" w:hangingChars="100"/>
        <w:rPr>
          <w:rFonts w:hint="default" w:eastAsia="仿宋" w:cs="Times New Roman"/>
          <w:color w:val="000000" w:themeColor="text1"/>
          <w:sz w:val="28"/>
          <w:szCs w:val="28"/>
          <w:lang w:val="en-US" w:eastAsia="zh-CN"/>
        </w:rPr>
      </w:pPr>
      <w:r>
        <w:rPr>
          <w:rFonts w:hint="eastAsia" w:eastAsia="仿宋" w:cs="Times New Roman"/>
          <w:color w:val="000000" w:themeColor="text1"/>
          <w:sz w:val="28"/>
          <w:szCs w:val="28"/>
          <w:lang w:val="en-US" w:eastAsia="zh-CN"/>
        </w:rPr>
        <w:t>4.</w:t>
      </w:r>
      <w:r>
        <w:rPr>
          <w:rFonts w:hint="default" w:eastAsia="仿宋" w:cs="Times New Roman"/>
          <w:color w:val="000000" w:themeColor="text1"/>
          <w:sz w:val="28"/>
          <w:szCs w:val="28"/>
          <w:lang w:val="en-US" w:eastAsia="zh-CN"/>
        </w:rPr>
        <w:t>《宜丰县房产登记情况查询统计表》、《江西省宜丰县房产所有权登记审核表》</w:t>
      </w:r>
      <w:r>
        <w:rPr>
          <w:rFonts w:hint="eastAsia" w:eastAsia="仿宋" w:cs="Times New Roman"/>
          <w:color w:val="000000" w:themeColor="text1"/>
          <w:sz w:val="28"/>
          <w:szCs w:val="28"/>
          <w:lang w:val="en-US" w:eastAsia="zh-CN"/>
        </w:rPr>
        <w:t>、《宜丰县公有住房出售现场勘查记录表》、《全额集资建住房协议书》</w:t>
      </w:r>
      <w:r>
        <w:rPr>
          <w:rFonts w:hint="default" w:eastAsia="仿宋" w:cs="Times New Roman"/>
          <w:color w:val="000000" w:themeColor="text1"/>
          <w:sz w:val="28"/>
          <w:szCs w:val="28"/>
          <w:lang w:val="en-US" w:eastAsia="zh-CN"/>
        </w:rPr>
        <w:t>；</w:t>
      </w:r>
    </w:p>
    <w:p>
      <w:pPr>
        <w:pStyle w:val="101"/>
        <w:numPr>
          <w:ilvl w:val="0"/>
          <w:numId w:val="0"/>
        </w:numPr>
        <w:adjustRightInd w:val="0"/>
        <w:snapToGrid w:val="0"/>
        <w:spacing w:line="360" w:lineRule="auto"/>
        <w:rPr>
          <w:rFonts w:hint="default" w:eastAsia="仿宋" w:cs="Times New Roman"/>
          <w:color w:val="000000" w:themeColor="text1"/>
          <w:sz w:val="28"/>
          <w:szCs w:val="28"/>
          <w:lang w:val="en-US" w:eastAsia="zh-CN"/>
        </w:rPr>
      </w:pPr>
      <w:r>
        <w:rPr>
          <w:rFonts w:hint="eastAsia" w:eastAsia="仿宋" w:cs="Times New Roman"/>
          <w:color w:val="000000" w:themeColor="text1"/>
          <w:sz w:val="28"/>
          <w:szCs w:val="28"/>
          <w:lang w:val="en-US" w:eastAsia="zh-CN"/>
        </w:rPr>
        <w:t>5.</w:t>
      </w:r>
      <w:r>
        <w:rPr>
          <w:rFonts w:hint="default" w:eastAsia="仿宋" w:cs="Times New Roman"/>
          <w:color w:val="000000" w:themeColor="text1"/>
          <w:sz w:val="28"/>
          <w:szCs w:val="28"/>
          <w:lang w:val="en-US" w:eastAsia="zh-CN"/>
        </w:rPr>
        <w:t>房地产估价机构营业执照；</w:t>
      </w:r>
    </w:p>
    <w:p>
      <w:pPr>
        <w:pStyle w:val="101"/>
        <w:numPr>
          <w:ilvl w:val="0"/>
          <w:numId w:val="0"/>
        </w:numPr>
        <w:adjustRightInd w:val="0"/>
        <w:snapToGrid w:val="0"/>
        <w:spacing w:line="360" w:lineRule="auto"/>
        <w:rPr>
          <w:rFonts w:hint="default" w:eastAsia="仿宋" w:cs="Times New Roman"/>
          <w:color w:val="000000" w:themeColor="text1"/>
          <w:sz w:val="28"/>
          <w:szCs w:val="28"/>
          <w:lang w:val="en-US" w:eastAsia="zh-CN"/>
        </w:rPr>
      </w:pPr>
      <w:r>
        <w:rPr>
          <w:rFonts w:hint="eastAsia" w:eastAsia="仿宋" w:cs="Times New Roman"/>
          <w:color w:val="000000" w:themeColor="text1"/>
          <w:sz w:val="28"/>
          <w:szCs w:val="28"/>
          <w:lang w:val="en-US" w:eastAsia="zh-CN"/>
        </w:rPr>
        <w:t>6.</w:t>
      </w:r>
      <w:r>
        <w:rPr>
          <w:rFonts w:hint="default" w:eastAsia="仿宋" w:cs="Times New Roman"/>
          <w:color w:val="000000" w:themeColor="text1"/>
          <w:sz w:val="28"/>
          <w:szCs w:val="28"/>
          <w:lang w:val="en-US" w:eastAsia="zh-CN"/>
        </w:rPr>
        <w:t>房地产估价机构备案证书；</w:t>
      </w:r>
    </w:p>
    <w:p>
      <w:pPr>
        <w:pStyle w:val="101"/>
        <w:numPr>
          <w:ilvl w:val="0"/>
          <w:numId w:val="0"/>
        </w:numPr>
        <w:adjustRightInd w:val="0"/>
        <w:snapToGrid w:val="0"/>
        <w:spacing w:line="360" w:lineRule="auto"/>
        <w:rPr>
          <w:rFonts w:hint="default" w:eastAsia="仿宋" w:cs="Times New Roman"/>
          <w:color w:val="000000" w:themeColor="text1"/>
          <w:sz w:val="28"/>
          <w:szCs w:val="28"/>
          <w:lang w:val="en-US" w:eastAsia="zh-CN"/>
        </w:rPr>
      </w:pPr>
      <w:r>
        <w:rPr>
          <w:rFonts w:hint="eastAsia" w:eastAsia="仿宋" w:cs="Times New Roman"/>
          <w:color w:val="000000" w:themeColor="text1"/>
          <w:sz w:val="28"/>
          <w:szCs w:val="28"/>
          <w:lang w:val="en-US" w:eastAsia="zh-CN"/>
        </w:rPr>
        <w:t>7.</w:t>
      </w:r>
      <w:r>
        <w:rPr>
          <w:rFonts w:hint="default" w:eastAsia="仿宋" w:cs="Times New Roman"/>
          <w:color w:val="000000" w:themeColor="text1"/>
          <w:sz w:val="28"/>
          <w:szCs w:val="28"/>
          <w:lang w:val="en-US" w:eastAsia="zh-CN"/>
        </w:rPr>
        <w:t>注册房地产估价师注册证书。</w:t>
      </w:r>
    </w:p>
    <w:p>
      <w:pPr>
        <w:pStyle w:val="101"/>
        <w:numPr>
          <w:ilvl w:val="0"/>
          <w:numId w:val="0"/>
        </w:numPr>
        <w:adjustRightInd w:val="0"/>
        <w:snapToGrid w:val="0"/>
        <w:spacing w:line="360" w:lineRule="auto"/>
        <w:ind w:left="284" w:leftChars="0"/>
        <w:rPr>
          <w:rFonts w:hint="default" w:eastAsia="仿宋" w:cs="Times New Roman"/>
          <w:color w:val="000000" w:themeColor="text1"/>
          <w:sz w:val="28"/>
          <w:szCs w:val="28"/>
          <w:lang w:val="en-US" w:eastAsia="zh-CN"/>
        </w:rPr>
      </w:pPr>
      <w:r>
        <w:rPr>
          <w:rFonts w:hint="default" w:eastAsia="仿宋" w:cs="Times New Roman"/>
          <w:color w:val="000000" w:themeColor="text1"/>
          <w:sz w:val="28"/>
          <w:szCs w:val="28"/>
          <w:lang w:val="en-US" w:eastAsia="zh-CN"/>
        </w:rPr>
        <w:t>（以上均为复印件）</w:t>
      </w:r>
    </w:p>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spacing w:line="500" w:lineRule="exact"/>
        <w:jc w:val="center"/>
        <w:rPr>
          <w:rFonts w:hint="default" w:ascii="Times New Roman" w:hAnsi="Times New Roman" w:eastAsia="仿宋" w:cs="Times New Roman"/>
          <w:color w:val="000000" w:themeColor="text1"/>
          <w:sz w:val="28"/>
          <w:szCs w:val="28"/>
        </w:rPr>
      </w:pPr>
      <w:r>
        <w:rPr>
          <w:rFonts w:hint="default" w:ascii="Times New Roman" w:hAnsi="Times New Roman" w:eastAsia="仿宋" w:cs="Times New Roman"/>
          <w:b/>
          <w:bCs/>
          <w:color w:val="000000" w:themeColor="text1"/>
          <w:sz w:val="28"/>
          <w:szCs w:val="28"/>
        </w:rPr>
        <w:t>估价对象现状照片</w:t>
      </w:r>
    </w:p>
    <w:tbl>
      <w:tblPr>
        <w:tblStyle w:val="4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7"/>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4" w:hRule="atLeast"/>
          <w:jc w:val="center"/>
        </w:trPr>
        <w:tc>
          <w:tcPr>
            <w:tcW w:w="2500" w:type="pct"/>
            <w:vAlign w:val="center"/>
          </w:tcPr>
          <w:p>
            <w:pPr>
              <w:jc w:val="center"/>
              <w:rPr>
                <w:rFonts w:hint="default" w:ascii="Times New Roman" w:hAnsi="Times New Roman" w:eastAsia="仿宋" w:cs="Times New Roman"/>
                <w:bCs/>
                <w:color w:val="000000" w:themeColor="text1"/>
                <w:lang w:eastAsia="zh-CN"/>
              </w:rPr>
            </w:pPr>
            <w:r>
              <w:rPr>
                <w:rFonts w:hint="default" w:ascii="Times New Roman" w:hAnsi="Times New Roman" w:eastAsia="仿宋" w:cs="Times New Roman"/>
                <w:bCs/>
                <w:color w:val="000000" w:themeColor="text1"/>
                <w:lang w:eastAsia="zh-CN"/>
              </w:rPr>
              <w:pict>
                <v:shape id="_x0000_i1025" o:spt="75" alt="90114484beb6c36befb62f9ec081bab" type="#_x0000_t75" style="height:177.3pt;width:216pt;" filled="f" o:preferrelative="t" stroked="f" coordsize="21600,21600">
                  <v:path/>
                  <v:fill on="f" focussize="0,0"/>
                  <v:stroke on="f"/>
                  <v:imagedata r:id="rId11" o:title="90114484beb6c36befb62f9ec081bab"/>
                  <o:lock v:ext="edit" aspectratio="t"/>
                  <w10:wrap type="none"/>
                  <w10:anchorlock/>
                </v:shape>
              </w:pict>
            </w:r>
          </w:p>
        </w:tc>
        <w:tc>
          <w:tcPr>
            <w:tcW w:w="2500" w:type="pct"/>
            <w:vAlign w:val="center"/>
          </w:tcPr>
          <w:p>
            <w:pPr>
              <w:jc w:val="center"/>
              <w:rPr>
                <w:rFonts w:hint="default" w:ascii="Times New Roman" w:hAnsi="Times New Roman" w:eastAsia="仿宋" w:cs="Times New Roman"/>
                <w:bCs/>
                <w:color w:val="000000" w:themeColor="text1"/>
                <w:lang w:eastAsia="zh-CN"/>
              </w:rPr>
            </w:pPr>
            <w:r>
              <w:rPr>
                <w:rFonts w:hint="default" w:ascii="Times New Roman" w:hAnsi="Times New Roman" w:eastAsia="仿宋" w:cs="Times New Roman"/>
                <w:bCs/>
                <w:color w:val="000000" w:themeColor="text1"/>
                <w:lang w:eastAsia="zh-CN"/>
              </w:rPr>
              <w:pict>
                <v:shape id="_x0000_i1026" o:spt="75" alt="2cfc9c5fb791723458bd19ac3dfe37c" type="#_x0000_t75" style="height:178.45pt;width:216pt;" filled="f" o:preferrelative="t" stroked="f" coordsize="21600,21600">
                  <v:path/>
                  <v:fill on="f" focussize="0,0"/>
                  <v:stroke on="f"/>
                  <v:imagedata r:id="rId12" o:title="2cfc9c5fb791723458bd19ac3dfe37c"/>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0" w:hRule="atLeast"/>
          <w:jc w:val="center"/>
        </w:trPr>
        <w:tc>
          <w:tcPr>
            <w:tcW w:w="2500" w:type="pct"/>
            <w:vAlign w:val="center"/>
          </w:tcPr>
          <w:p>
            <w:pPr>
              <w:jc w:val="center"/>
              <w:rPr>
                <w:rFonts w:hint="default" w:ascii="Times New Roman" w:hAnsi="Times New Roman" w:eastAsia="仿宋" w:cs="Times New Roman"/>
                <w:bCs/>
                <w:color w:val="000000" w:themeColor="text1"/>
                <w:lang w:eastAsia="zh-CN"/>
              </w:rPr>
            </w:pPr>
            <w:r>
              <w:rPr>
                <w:rFonts w:hint="default" w:ascii="Times New Roman" w:hAnsi="Times New Roman" w:eastAsia="仿宋" w:cs="Times New Roman"/>
                <w:bCs/>
                <w:color w:val="000000" w:themeColor="text1"/>
                <w:lang w:eastAsia="zh-CN"/>
              </w:rPr>
              <w:pict>
                <v:shape id="_x0000_i1027" o:spt="75" alt="f971d68a6c3839913115f18aefb2aa6" type="#_x0000_t75" style="height:187.1pt;width:216pt;" filled="f" o:preferrelative="t" stroked="f" coordsize="21600,21600">
                  <v:path/>
                  <v:fill on="f" focussize="0,0"/>
                  <v:stroke on="f"/>
                  <v:imagedata r:id="rId13" o:title="f971d68a6c3839913115f18aefb2aa6"/>
                  <o:lock v:ext="edit" aspectratio="t"/>
                  <w10:wrap type="none"/>
                  <w10:anchorlock/>
                </v:shape>
              </w:pict>
            </w:r>
          </w:p>
        </w:tc>
        <w:tc>
          <w:tcPr>
            <w:tcW w:w="2500" w:type="pct"/>
            <w:vAlign w:val="center"/>
          </w:tcPr>
          <w:p>
            <w:pPr>
              <w:jc w:val="center"/>
              <w:rPr>
                <w:rFonts w:hint="default" w:ascii="Times New Roman" w:hAnsi="Times New Roman" w:eastAsia="仿宋" w:cs="Times New Roman"/>
                <w:bCs/>
                <w:color w:val="000000" w:themeColor="text1"/>
                <w:lang w:eastAsia="zh-CN"/>
              </w:rPr>
            </w:pPr>
            <w:r>
              <w:rPr>
                <w:rFonts w:hint="default" w:ascii="Times New Roman" w:hAnsi="Times New Roman" w:eastAsia="仿宋" w:cs="Times New Roman"/>
                <w:bCs/>
                <w:color w:val="000000" w:themeColor="text1"/>
                <w:lang w:eastAsia="zh-CN"/>
              </w:rPr>
              <w:pict>
                <v:shape id="_x0000_i1028" o:spt="75" alt="7a41fe5d8e540e3b40874b3e48e6684" type="#_x0000_t75" style="height:182.45pt;width:216pt;" filled="f" o:preferrelative="t" stroked="f" coordsize="21600,21600">
                  <v:path/>
                  <v:fill on="f" focussize="0,0"/>
                  <v:stroke on="f"/>
                  <v:imagedata r:id="rId14" o:title="7a41fe5d8e540e3b40874b3e48e6684"/>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5" w:hRule="atLeast"/>
          <w:jc w:val="center"/>
        </w:trPr>
        <w:tc>
          <w:tcPr>
            <w:tcW w:w="2500" w:type="pct"/>
            <w:vAlign w:val="center"/>
          </w:tcPr>
          <w:p>
            <w:pPr>
              <w:jc w:val="center"/>
              <w:rPr>
                <w:rFonts w:hint="default" w:ascii="Times New Roman" w:hAnsi="Times New Roman" w:eastAsia="仿宋" w:cs="Times New Roman"/>
                <w:bCs/>
                <w:color w:val="000000" w:themeColor="text1"/>
                <w:lang w:eastAsia="zh-CN"/>
              </w:rPr>
            </w:pPr>
            <w:r>
              <w:rPr>
                <w:rFonts w:hint="default" w:ascii="Times New Roman" w:hAnsi="Times New Roman" w:eastAsia="仿宋" w:cs="Times New Roman"/>
                <w:bCs/>
                <w:color w:val="000000" w:themeColor="text1"/>
                <w:lang w:eastAsia="zh-CN"/>
              </w:rPr>
              <w:pict>
                <v:shape id="_x0000_i1029" o:spt="75" alt="ff32f2f1bf1dd2d1983fc6a11cb9f1a" type="#_x0000_t75" style="height:191.65pt;width:216pt;" filled="f" o:preferrelative="t" stroked="f" coordsize="21600,21600">
                  <v:path/>
                  <v:fill on="f" focussize="0,0"/>
                  <v:stroke on="f"/>
                  <v:imagedata r:id="rId15" o:title="ff32f2f1bf1dd2d1983fc6a11cb9f1a"/>
                  <o:lock v:ext="edit" aspectratio="t"/>
                  <w10:wrap type="none"/>
                  <w10:anchorlock/>
                </v:shape>
              </w:pict>
            </w:r>
          </w:p>
        </w:tc>
        <w:tc>
          <w:tcPr>
            <w:tcW w:w="2500" w:type="pct"/>
            <w:vAlign w:val="center"/>
          </w:tcPr>
          <w:p>
            <w:pPr>
              <w:jc w:val="center"/>
              <w:rPr>
                <w:rFonts w:hint="default" w:ascii="Times New Roman" w:hAnsi="Times New Roman" w:eastAsia="仿宋" w:cs="Times New Roman"/>
                <w:bCs/>
                <w:color w:val="000000" w:themeColor="text1"/>
                <w:lang w:eastAsia="zh-CN"/>
              </w:rPr>
            </w:pPr>
            <w:r>
              <w:rPr>
                <w:rFonts w:hint="default" w:ascii="Times New Roman" w:hAnsi="Times New Roman" w:eastAsia="仿宋" w:cs="Times New Roman"/>
                <w:bCs/>
                <w:color w:val="000000" w:themeColor="text1"/>
                <w:lang w:eastAsia="zh-CN"/>
              </w:rPr>
              <w:pict>
                <v:shape id="_x0000_i1030" o:spt="75" alt="17600828d2f07eb91ecfcbb61d16435" type="#_x0000_t75" style="height:189.45pt;width:216pt;" filled="f" o:preferrelative="t" stroked="f" coordsize="21600,21600">
                  <v:path/>
                  <v:fill on="f" focussize="0,0"/>
                  <v:stroke on="f"/>
                  <v:imagedata r:id="rId16" o:title="17600828d2f07eb91ecfcbb61d16435"/>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8" w:hRule="atLeast"/>
          <w:jc w:val="center"/>
        </w:trPr>
        <w:tc>
          <w:tcPr>
            <w:tcW w:w="2500" w:type="pct"/>
            <w:vAlign w:val="center"/>
          </w:tcPr>
          <w:p>
            <w:pPr>
              <w:jc w:val="center"/>
              <w:rPr>
                <w:rFonts w:hint="default" w:ascii="Times New Roman" w:hAnsi="Times New Roman" w:eastAsia="仿宋" w:cs="Times New Roman"/>
                <w:bCs/>
                <w:color w:val="000000" w:themeColor="text1"/>
                <w:lang w:eastAsia="zh-CN"/>
              </w:rPr>
            </w:pPr>
            <w:r>
              <w:rPr>
                <w:rFonts w:hint="default" w:ascii="Times New Roman" w:hAnsi="Times New Roman" w:eastAsia="仿宋" w:cs="Times New Roman"/>
                <w:bCs/>
                <w:color w:val="000000" w:themeColor="text1"/>
                <w:lang w:eastAsia="zh-CN"/>
              </w:rPr>
              <w:pict>
                <v:shape id="_x0000_i1031" o:spt="75" alt="3f315b968f22c00227a4357fe284de8" type="#_x0000_t75" style="height:210.85pt;width:226.4pt;rotation:5898240f;" filled="f" o:preferrelative="t" stroked="f" coordsize="21600,21600">
                  <v:path/>
                  <v:fill on="f" focussize="0,0"/>
                  <v:stroke on="f"/>
                  <v:imagedata r:id="rId17" o:title="3f315b968f22c00227a4357fe284de8"/>
                  <o:lock v:ext="edit" aspectratio="t"/>
                  <w10:wrap type="none"/>
                  <w10:anchorlock/>
                </v:shape>
              </w:pict>
            </w:r>
          </w:p>
        </w:tc>
        <w:tc>
          <w:tcPr>
            <w:tcW w:w="2500" w:type="pct"/>
            <w:vAlign w:val="center"/>
          </w:tcPr>
          <w:p>
            <w:pPr>
              <w:jc w:val="center"/>
              <w:rPr>
                <w:rFonts w:hint="default" w:ascii="Times New Roman" w:hAnsi="Times New Roman" w:eastAsia="仿宋" w:cs="Times New Roman"/>
                <w:bCs/>
                <w:color w:val="000000" w:themeColor="text1"/>
                <w:lang w:eastAsia="zh-CN"/>
              </w:rPr>
            </w:pPr>
            <w:r>
              <w:rPr>
                <w:rFonts w:hint="default" w:ascii="Times New Roman" w:hAnsi="Times New Roman" w:eastAsia="仿宋" w:cs="Times New Roman"/>
                <w:bCs/>
                <w:color w:val="000000" w:themeColor="text1"/>
                <w:lang w:eastAsia="zh-CN"/>
              </w:rPr>
              <w:pict>
                <v:shape id="_x0000_i1032" o:spt="75" alt="5b622dafbe5564b9f6cfe18eb28db00" type="#_x0000_t75" style="height:229.1pt;width:216pt;" filled="f" o:preferrelative="t" stroked="f" coordsize="21600,21600">
                  <v:path/>
                  <v:fill on="f" focussize="0,0"/>
                  <v:stroke on="f"/>
                  <v:imagedata r:id="rId18" o:title="5b622dafbe5564b9f6cfe18eb28db00"/>
                  <o:lock v:ext="edit" aspectratio="t"/>
                  <w10:wrap type="none"/>
                  <w10:anchorlock/>
                </v:shape>
              </w:pict>
            </w:r>
          </w:p>
        </w:tc>
      </w:tr>
    </w:tbl>
    <w:p>
      <w:pPr>
        <w:pStyle w:val="101"/>
        <w:adjustRightInd w:val="0"/>
        <w:snapToGrid w:val="0"/>
        <w:spacing w:line="360" w:lineRule="auto"/>
        <w:ind w:firstLine="0" w:firstLineChars="0"/>
        <w:rPr>
          <w:rFonts w:hint="default" w:ascii="Times New Roman" w:hAnsi="Times New Roman" w:eastAsia="仿宋" w:cs="Times New Roman"/>
          <w:color w:val="000000" w:themeColor="text1"/>
          <w:sz w:val="26"/>
          <w:szCs w:val="26"/>
        </w:rPr>
      </w:pPr>
    </w:p>
    <w:p>
      <w:pPr>
        <w:pStyle w:val="101"/>
        <w:adjustRightInd w:val="0"/>
        <w:snapToGrid w:val="0"/>
        <w:spacing w:line="360" w:lineRule="auto"/>
        <w:ind w:firstLine="0" w:firstLineChars="0"/>
        <w:jc w:val="center"/>
        <w:rPr>
          <w:rFonts w:hint="default" w:ascii="Times New Roman" w:hAnsi="Times New Roman" w:eastAsia="仿宋" w:cs="Times New Roman"/>
          <w:color w:val="000000" w:themeColor="text1"/>
        </w:rPr>
      </w:pPr>
      <w:r>
        <w:rPr>
          <w:rFonts w:hint="default" w:ascii="Times New Roman" w:hAnsi="Times New Roman" w:eastAsia="仿宋" w:cs="Times New Roman"/>
          <w:color w:val="000000" w:themeColor="text1"/>
          <w:sz w:val="26"/>
          <w:szCs w:val="26"/>
        </w:rPr>
        <w:br w:type="page"/>
      </w:r>
      <w:r>
        <w:rPr>
          <w:rFonts w:hint="default" w:ascii="Times New Roman" w:hAnsi="Times New Roman" w:eastAsia="仿宋" w:cs="Times New Roman"/>
          <w:b/>
          <w:bCs/>
          <w:color w:val="000000" w:themeColor="text1"/>
          <w:sz w:val="28"/>
          <w:szCs w:val="28"/>
        </w:rPr>
        <w:t>估价对象位置示意图</w:t>
      </w:r>
    </w:p>
    <w:p>
      <w:pPr>
        <w:pStyle w:val="101"/>
        <w:adjustRightInd w:val="0"/>
        <w:snapToGrid w:val="0"/>
        <w:spacing w:line="360" w:lineRule="auto"/>
        <w:ind w:firstLine="0" w:firstLineChars="0"/>
        <w:jc w:val="center"/>
        <w:rPr>
          <w:rFonts w:hint="default" w:ascii="Times New Roman" w:hAnsi="Times New Roman" w:eastAsia="仿宋" w:cs="Times New Roman"/>
          <w:b/>
          <w:bCs/>
          <w:color w:val="000000" w:themeColor="text1"/>
          <w:sz w:val="28"/>
          <w:szCs w:val="28"/>
          <w:lang w:eastAsia="zh-CN"/>
        </w:rPr>
      </w:pPr>
      <w:r>
        <w:rPr>
          <w:rFonts w:hint="default" w:ascii="Times New Roman" w:hAnsi="Times New Roman" w:eastAsia="仿宋" w:cs="Times New Roman"/>
          <w:color w:val="000000" w:themeColor="text1"/>
        </w:rPr>
        <w:pict>
          <v:shape id="AutoShape 599" o:spid="_x0000_s1026" o:spt="62" type="#_x0000_t62" style="position:absolute;left:0pt;margin-left:174.55pt;margin-top:317.35pt;height:25.35pt;width:67.25pt;rotation:11796480f;z-index:251659264;mso-width-relative:page;mso-height-relative:page;" coordsize="21600,21600" adj="14084,51508">
            <v:path/>
            <v:fill focussize="0,0"/>
            <v:stroke joinstyle="miter"/>
            <v:imagedata o:title=""/>
            <o:lock v:ext="edit"/>
            <v:textbox>
              <w:txbxContent>
                <w:p>
                  <w:pPr>
                    <w:jc w:val="center"/>
                    <w:rPr>
                      <w:b/>
                    </w:rPr>
                  </w:pPr>
                  <w:r>
                    <w:rPr>
                      <w:rFonts w:hint="eastAsia"/>
                    </w:rPr>
                    <w:t>估价对象</w:t>
                  </w:r>
                </w:p>
              </w:txbxContent>
            </v:textbox>
          </v:shape>
        </w:pict>
      </w:r>
      <w:r>
        <w:rPr>
          <w:rFonts w:hint="default" w:ascii="Times New Roman" w:hAnsi="Times New Roman" w:eastAsia="仿宋" w:cs="Times New Roman"/>
          <w:color w:val="000000" w:themeColor="text1"/>
        </w:rPr>
        <w:pict>
          <v:shape id="_x0000_i1033" o:spt="75" type="#_x0000_t75" style="height:509.4pt;width:447.65pt;" filled="f" o:preferrelative="t" stroked="f" coordsize="21600,21600">
            <v:path/>
            <v:fill on="f" focussize="0,0"/>
            <v:stroke on="f"/>
            <v:imagedata r:id="rId19" o:title=""/>
            <o:lock v:ext="edit" aspectratio="t"/>
            <w10:wrap type="none"/>
            <w10:anchorlock/>
          </v:shape>
        </w:pict>
      </w:r>
    </w:p>
    <w:p>
      <w:pPr>
        <w:pStyle w:val="101"/>
        <w:adjustRightInd w:val="0"/>
        <w:snapToGrid w:val="0"/>
        <w:spacing w:line="360" w:lineRule="auto"/>
        <w:ind w:firstLine="0" w:firstLineChars="0"/>
        <w:jc w:val="center"/>
        <w:rPr>
          <w:rFonts w:hint="default" w:ascii="Times New Roman" w:hAnsi="Times New Roman" w:eastAsia="仿宋" w:cs="Times New Roman"/>
          <w:b/>
          <w:bCs/>
          <w:color w:val="000000" w:themeColor="text1"/>
          <w:sz w:val="28"/>
          <w:szCs w:val="28"/>
          <w:lang w:eastAsia="zh-CN"/>
        </w:rPr>
      </w:pPr>
    </w:p>
    <w:p>
      <w:pPr>
        <w:pStyle w:val="101"/>
        <w:adjustRightInd w:val="0"/>
        <w:snapToGrid w:val="0"/>
        <w:spacing w:line="360" w:lineRule="auto"/>
        <w:ind w:firstLine="0" w:firstLineChars="0"/>
        <w:jc w:val="center"/>
        <w:rPr>
          <w:rFonts w:hint="default" w:ascii="Times New Roman" w:hAnsi="Times New Roman" w:eastAsia="仿宋" w:cs="Times New Roman"/>
          <w:b/>
          <w:bCs/>
          <w:color w:val="000000" w:themeColor="text1"/>
          <w:kern w:val="44"/>
          <w:sz w:val="44"/>
          <w:szCs w:val="44"/>
          <w:lang w:val="en-US" w:eastAsia="zh-CN" w:bidi="ar-SA"/>
        </w:rPr>
      </w:pPr>
    </w:p>
    <w:p>
      <w:pPr>
        <w:pStyle w:val="101"/>
        <w:adjustRightInd w:val="0"/>
        <w:snapToGrid w:val="0"/>
        <w:spacing w:line="360" w:lineRule="auto"/>
        <w:ind w:firstLine="0" w:firstLineChars="0"/>
        <w:jc w:val="center"/>
        <w:rPr>
          <w:rFonts w:hint="default" w:ascii="Times New Roman" w:hAnsi="Times New Roman" w:eastAsia="仿宋" w:cs="Times New Roman"/>
          <w:b/>
          <w:bCs/>
          <w:color w:val="000000" w:themeColor="text1"/>
          <w:kern w:val="44"/>
          <w:sz w:val="44"/>
          <w:szCs w:val="44"/>
          <w:lang w:val="en-US" w:eastAsia="zh-CN" w:bidi="ar-SA"/>
        </w:rPr>
      </w:pPr>
    </w:p>
    <w:sectPr>
      <w:footerReference r:id="rId9" w:type="default"/>
      <w:pgSz w:w="11906" w:h="16838"/>
      <w:pgMar w:top="1814" w:right="1247" w:bottom="1418" w:left="1701" w:header="850" w:footer="737" w:gutter="0"/>
      <w:pgBorders>
        <w:top w:val="none" w:sz="0" w:space="0"/>
        <w:left w:val="none" w:sz="0" w:space="0"/>
        <w:bottom w:val="none" w:sz="0" w:space="0"/>
        <w:right w:val="none" w:sz="0" w:space="0"/>
      </w:pgBorders>
      <w:pgNumType w:start="1"/>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体">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419" w:y="1"/>
      <w:ind w:left="3420" w:hanging="3420" w:hangingChars="1900"/>
      <w:rPr>
        <w:rFonts w:eastAsia="楷体_GB2312"/>
        <w:u w:val="single"/>
      </w:rP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1"/>
      </w:pBdr>
      <w:tabs>
        <w:tab w:val="center" w:pos="4819"/>
        <w:tab w:val="right" w:pos="9638"/>
      </w:tabs>
      <w:ind w:right="90"/>
      <w:jc w:val="right"/>
    </w:pPr>
    <w:r>
      <w:rPr>
        <w:rStyle w:val="65"/>
        <w:rFonts w:hint="eastAsia" w:cs="宋体"/>
      </w:rPr>
      <w:t>第</w:t>
    </w:r>
    <w:r>
      <w:rPr>
        <w:rStyle w:val="65"/>
      </w:rPr>
      <w:fldChar w:fldCharType="begin"/>
    </w:r>
    <w:r>
      <w:rPr>
        <w:rStyle w:val="65"/>
      </w:rPr>
      <w:instrText xml:space="preserve">PAGE   \* MERGEFORMAT</w:instrText>
    </w:r>
    <w:r>
      <w:rPr>
        <w:rStyle w:val="65"/>
      </w:rPr>
      <w:fldChar w:fldCharType="separate"/>
    </w:r>
    <w:r>
      <w:rPr>
        <w:rStyle w:val="65"/>
        <w:lang w:val="zh-CN"/>
      </w:rPr>
      <w:t>2</w:t>
    </w:r>
    <w:r>
      <w:rPr>
        <w:rStyle w:val="65"/>
      </w:rPr>
      <w:fldChar w:fldCharType="end"/>
    </w:r>
    <w:r>
      <w:rPr>
        <w:rStyle w:val="65"/>
        <w:rFonts w:hint="eastAsia" w:cs="宋体"/>
      </w:rPr>
      <w:t>页</w: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rPr>
        <w:rFonts w:hint="eastAsia" w:ascii="宋体" w:hAnsi="宋体"/>
        <w:sz w:val="28"/>
        <w:szCs w:val="28"/>
      </w:rPr>
    </w:pPr>
    <w:r>
      <w:pict>
        <v:shape id="_x0000_s3075" o:spid="_x0000_s3075" o:spt="75" alt="说明: 1" type="#_x0000_t75" style="position:absolute;left:0pt;margin-left:24.25pt;margin-top:-9.8pt;height:57.6pt;width:50pt;z-index:-251655168;mso-width-relative:page;mso-height-relative:page;" filled="f" o:preferrelative="t" stroked="f" coordsize="21600,21600">
          <v:path/>
          <v:fill on="f" focussize="0,0"/>
          <v:stroke on="f"/>
          <v:imagedata r:id="rId1" o:title="说明: 1"/>
          <o:lock v:ext="edit" aspectratio="t"/>
        </v:shape>
      </w:pict>
    </w:r>
    <w:r>
      <w:rPr>
        <w:rFonts w:hint="eastAsia" w:ascii="宋体" w:hAnsi="宋体"/>
        <w:sz w:val="28"/>
        <w:szCs w:val="28"/>
        <w:lang w:val="en-US" w:eastAsia="zh-CN"/>
      </w:rPr>
      <w:t xml:space="preserve">                                 </w:t>
    </w:r>
    <w:r>
      <w:rPr>
        <w:rFonts w:hint="eastAsia" w:ascii="宋体" w:hAnsi="宋体"/>
        <w:sz w:val="28"/>
        <w:szCs w:val="28"/>
        <w:lang w:eastAsia="zh-CN"/>
      </w:rPr>
      <w:t>佳信拓投</w:t>
    </w:r>
    <w:r>
      <w:rPr>
        <w:rFonts w:hint="eastAsia" w:ascii="宋体" w:hAnsi="宋体"/>
        <w:sz w:val="28"/>
        <w:szCs w:val="28"/>
      </w:rPr>
      <w:t>房地产资产评估有限公司</w:t>
    </w:r>
  </w:p>
  <w:p>
    <w:pPr>
      <w:pStyle w:val="27"/>
      <w:pBdr>
        <w:bottom w:val="single" w:color="auto" w:sz="4" w:space="0"/>
      </w:pBdr>
    </w:pPr>
    <w:r>
      <w:rPr>
        <w:rFonts w:hint="eastAsia" w:ascii="宋体" w:hAnsi="宋体"/>
        <w:sz w:val="28"/>
        <w:szCs w:val="28"/>
        <w:lang w:val="en-US" w:eastAsia="zh-CN"/>
      </w:rPr>
      <w:t xml:space="preserve">                                            </w:t>
    </w:r>
    <w:r>
      <w:rPr>
        <w:rFonts w:hint="eastAsia" w:ascii="宋体" w:hAnsi="宋体"/>
        <w:sz w:val="28"/>
        <w:szCs w:val="28"/>
      </w:rPr>
      <w:t>电话</w:t>
    </w:r>
    <w:r>
      <w:rPr>
        <w:rFonts w:ascii="宋体" w:hAnsi="宋体"/>
        <w:sz w:val="28"/>
        <w:szCs w:val="28"/>
      </w:rPr>
      <w:t>:</w:t>
    </w:r>
    <w:r>
      <w:rPr>
        <w:rFonts w:hint="eastAsia" w:ascii="宋体" w:hAnsi="宋体"/>
        <w:sz w:val="28"/>
        <w:szCs w:val="28"/>
        <w:lang w:val="en-US" w:eastAsia="zh-CN"/>
      </w:rPr>
      <w:t>0791-88389136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single" w:color="auto" w:sz="4" w:space="1"/>
      </w:pBdr>
      <w:jc w:val="right"/>
      <w:rPr>
        <w:rFonts w:hint="eastAsia" w:ascii="宋体" w:hAnsi="宋体"/>
        <w:sz w:val="28"/>
        <w:szCs w:val="28"/>
      </w:rPr>
    </w:pPr>
    <w:r>
      <w:pict>
        <v:shape id="图片 1" o:spid="_x0000_s3074" o:spt="75" alt="说明: 1" type="#_x0000_t75" style="position:absolute;left:0pt;margin-left:9.95pt;margin-top:-22.5pt;height:57.6pt;width:50pt;z-index:-251656192;mso-width-relative:page;mso-height-relative:page;" filled="f" o:preferrelative="t" stroked="f" coordsize="21600,21600">
          <v:path/>
          <v:fill on="f" focussize="0,0"/>
          <v:stroke on="f"/>
          <v:imagedata r:id="rId1" o:title="说明: 1"/>
          <o:lock v:ext="edit" aspectratio="t"/>
        </v:shape>
      </w:pict>
    </w:r>
    <w:r>
      <w:rPr>
        <w:rFonts w:hint="eastAsia" w:ascii="宋体" w:hAnsi="宋体"/>
        <w:sz w:val="28"/>
        <w:szCs w:val="28"/>
        <w:lang w:val="en-US" w:eastAsia="zh-CN"/>
      </w:rPr>
      <w:t xml:space="preserve">                            </w:t>
    </w:r>
    <w:r>
      <w:rPr>
        <w:rFonts w:hint="eastAsia" w:ascii="宋体" w:hAnsi="宋体"/>
        <w:sz w:val="28"/>
        <w:szCs w:val="28"/>
        <w:lang w:eastAsia="zh-CN"/>
      </w:rPr>
      <w:t>佳信拓投</w:t>
    </w:r>
    <w:r>
      <w:rPr>
        <w:rFonts w:hint="eastAsia" w:ascii="宋体" w:hAnsi="宋体"/>
        <w:sz w:val="28"/>
        <w:szCs w:val="28"/>
      </w:rPr>
      <w:t>房地产资产评估有限公司</w:t>
    </w:r>
  </w:p>
  <w:p>
    <w:pPr>
      <w:pStyle w:val="27"/>
      <w:pBdr>
        <w:bottom w:val="single" w:color="auto" w:sz="4" w:space="1"/>
      </w:pBdr>
      <w:jc w:val="right"/>
      <w:rPr>
        <w:rFonts w:hint="eastAsia" w:ascii="宋体"/>
        <w:sz w:val="28"/>
        <w:szCs w:val="28"/>
        <w:lang w:val="en-US" w:eastAsia="zh-CN"/>
      </w:rPr>
    </w:pPr>
    <w:r>
      <w:rPr>
        <w:rFonts w:hint="eastAsia" w:ascii="宋体" w:hAnsi="宋体"/>
        <w:sz w:val="28"/>
        <w:szCs w:val="28"/>
      </w:rPr>
      <w:t>电话</w:t>
    </w:r>
    <w:r>
      <w:rPr>
        <w:rFonts w:ascii="宋体" w:hAnsi="宋体"/>
        <w:sz w:val="28"/>
        <w:szCs w:val="28"/>
      </w:rPr>
      <w:t>:</w:t>
    </w:r>
    <w:r>
      <w:rPr>
        <w:rFonts w:hint="eastAsia" w:ascii="宋体" w:hAnsi="宋体"/>
        <w:sz w:val="28"/>
        <w:szCs w:val="28"/>
        <w:lang w:val="en-US" w:eastAsia="zh-CN"/>
      </w:rPr>
      <w:t>0791-88389136</w:t>
    </w:r>
    <w:r>
      <w:rPr>
        <w:rFonts w:ascii="宋体" w:hAnsi="宋体"/>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023A19"/>
    <w:multiLevelType w:val="multilevel"/>
    <w:tmpl w:val="32023A19"/>
    <w:lvl w:ilvl="0" w:tentative="0">
      <w:start w:val="1"/>
      <w:numFmt w:val="decimal"/>
      <w:lvlText w:val="（%1）"/>
      <w:lvlJc w:val="left"/>
      <w:pPr>
        <w:ind w:left="1728" w:hanging="1160"/>
      </w:pPr>
      <w:rPr>
        <w:rFonts w:hint="eastAsia"/>
      </w:rPr>
    </w:lvl>
    <w:lvl w:ilvl="1" w:tentative="0">
      <w:start w:val="1"/>
      <w:numFmt w:val="decimal"/>
      <w:lvlText w:val="%2."/>
      <w:lvlJc w:val="left"/>
      <w:pPr>
        <w:ind w:left="1360" w:hanging="360"/>
      </w:pPr>
      <w:rPr>
        <w:rFonts w:hint="eastAsia"/>
      </w:rPr>
    </w:lvl>
    <w:lvl w:ilvl="2" w:tentative="0">
      <w:start w:val="6"/>
      <w:numFmt w:val="bullet"/>
      <w:lvlText w:val="●"/>
      <w:lvlJc w:val="left"/>
      <w:pPr>
        <w:ind w:left="1840" w:hanging="360"/>
      </w:pPr>
      <w:rPr>
        <w:rFonts w:hint="eastAsia" w:ascii="仿宋_GB2312" w:hAnsi="仿宋" w:eastAsia="仿宋_GB2312"/>
      </w:rPr>
    </w:lvl>
    <w:lvl w:ilvl="3" w:tentative="0">
      <w:start w:val="1"/>
      <w:numFmt w:val="decimalEnclosedCircle"/>
      <w:lvlText w:val="%4"/>
      <w:lvlJc w:val="left"/>
      <w:pPr>
        <w:ind w:left="2320" w:hanging="360"/>
      </w:pPr>
      <w:rPr>
        <w:rFonts w:hint="default"/>
      </w:rPr>
    </w:lvl>
    <w:lvl w:ilvl="4" w:tentative="0">
      <w:start w:val="1"/>
      <w:numFmt w:val="lowerLetter"/>
      <w:lvlText w:val="%5)"/>
      <w:lvlJc w:val="left"/>
      <w:pPr>
        <w:ind w:left="2920" w:hanging="480"/>
      </w:pPr>
    </w:lvl>
    <w:lvl w:ilvl="5" w:tentative="0">
      <w:start w:val="1"/>
      <w:numFmt w:val="lowerRoman"/>
      <w:lvlText w:val="%6."/>
      <w:lvlJc w:val="right"/>
      <w:pPr>
        <w:ind w:left="3400" w:hanging="480"/>
      </w:pPr>
    </w:lvl>
    <w:lvl w:ilvl="6" w:tentative="0">
      <w:start w:val="1"/>
      <w:numFmt w:val="decimal"/>
      <w:lvlText w:val="%7."/>
      <w:lvlJc w:val="left"/>
      <w:pPr>
        <w:ind w:left="3880" w:hanging="480"/>
      </w:pPr>
    </w:lvl>
    <w:lvl w:ilvl="7" w:tentative="0">
      <w:start w:val="1"/>
      <w:numFmt w:val="lowerLetter"/>
      <w:lvlText w:val="%8)"/>
      <w:lvlJc w:val="left"/>
      <w:pPr>
        <w:ind w:left="4360" w:hanging="480"/>
      </w:pPr>
    </w:lvl>
    <w:lvl w:ilvl="8" w:tentative="0">
      <w:start w:val="1"/>
      <w:numFmt w:val="lowerRoman"/>
      <w:lvlText w:val="%9."/>
      <w:lvlJc w:val="right"/>
      <w:pPr>
        <w:ind w:left="4840" w:hanging="480"/>
      </w:pPr>
    </w:lvl>
  </w:abstractNum>
  <w:abstractNum w:abstractNumId="1">
    <w:nsid w:val="4EDD36DC"/>
    <w:multiLevelType w:val="multilevel"/>
    <w:tmpl w:val="4EDD36DC"/>
    <w:lvl w:ilvl="0" w:tentative="0">
      <w:start w:val="1"/>
      <w:numFmt w:val="decimal"/>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69A85B89"/>
    <w:multiLevelType w:val="singleLevel"/>
    <w:tmpl w:val="69A85B89"/>
    <w:lvl w:ilvl="0" w:tentative="0">
      <w:start w:val="5"/>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NotTrackMoves/>
  <w:documentProtection w:enforcement="0"/>
  <w:defaultTabStop w:val="424"/>
  <w:doNotHyphenateCaps/>
  <w:drawingGridHorizontalSpacing w:val="105"/>
  <w:drawingGridVerticalSpacing w:val="143"/>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3"/>
    </o:shapelayout>
  </w:hdrShapeDefaults>
  <w:compat>
    <w:spaceForUL/>
    <w:balanceSingleByteDoubleByteWidth/>
    <w:doNotLeaveBackslashAlon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239"/>
    <w:rsid w:val="0000139C"/>
    <w:rsid w:val="00001541"/>
    <w:rsid w:val="000023D0"/>
    <w:rsid w:val="000039E0"/>
    <w:rsid w:val="00004727"/>
    <w:rsid w:val="00004EDE"/>
    <w:rsid w:val="00005ABB"/>
    <w:rsid w:val="00005DC2"/>
    <w:rsid w:val="00005EB8"/>
    <w:rsid w:val="00005F14"/>
    <w:rsid w:val="000114E4"/>
    <w:rsid w:val="000121AD"/>
    <w:rsid w:val="000122C6"/>
    <w:rsid w:val="00012E94"/>
    <w:rsid w:val="00013937"/>
    <w:rsid w:val="00016558"/>
    <w:rsid w:val="00016613"/>
    <w:rsid w:val="00016938"/>
    <w:rsid w:val="00017434"/>
    <w:rsid w:val="00017614"/>
    <w:rsid w:val="00017FDB"/>
    <w:rsid w:val="0002006F"/>
    <w:rsid w:val="00022278"/>
    <w:rsid w:val="00023BA8"/>
    <w:rsid w:val="00023DDD"/>
    <w:rsid w:val="00027E6C"/>
    <w:rsid w:val="00030B6C"/>
    <w:rsid w:val="0003335C"/>
    <w:rsid w:val="00035B04"/>
    <w:rsid w:val="00035DF9"/>
    <w:rsid w:val="000367B5"/>
    <w:rsid w:val="0004081C"/>
    <w:rsid w:val="00040F6F"/>
    <w:rsid w:val="00041D60"/>
    <w:rsid w:val="0004249A"/>
    <w:rsid w:val="00042A84"/>
    <w:rsid w:val="00042B87"/>
    <w:rsid w:val="00043EF3"/>
    <w:rsid w:val="000444C8"/>
    <w:rsid w:val="00047BE6"/>
    <w:rsid w:val="00050203"/>
    <w:rsid w:val="00050ED1"/>
    <w:rsid w:val="000522BC"/>
    <w:rsid w:val="0005255C"/>
    <w:rsid w:val="00052FCD"/>
    <w:rsid w:val="00054220"/>
    <w:rsid w:val="000547A5"/>
    <w:rsid w:val="00055226"/>
    <w:rsid w:val="00060A8D"/>
    <w:rsid w:val="00062DCB"/>
    <w:rsid w:val="0006374D"/>
    <w:rsid w:val="00064485"/>
    <w:rsid w:val="00064CB6"/>
    <w:rsid w:val="00071044"/>
    <w:rsid w:val="000721EE"/>
    <w:rsid w:val="00073DF9"/>
    <w:rsid w:val="00073EFD"/>
    <w:rsid w:val="000753F4"/>
    <w:rsid w:val="00076A9B"/>
    <w:rsid w:val="00076E00"/>
    <w:rsid w:val="000807E4"/>
    <w:rsid w:val="00081CD9"/>
    <w:rsid w:val="00082DBD"/>
    <w:rsid w:val="0008439A"/>
    <w:rsid w:val="00084AE9"/>
    <w:rsid w:val="000852BE"/>
    <w:rsid w:val="00085443"/>
    <w:rsid w:val="000860BD"/>
    <w:rsid w:val="000869E4"/>
    <w:rsid w:val="000879A3"/>
    <w:rsid w:val="0009359F"/>
    <w:rsid w:val="00093CBE"/>
    <w:rsid w:val="00094679"/>
    <w:rsid w:val="00095128"/>
    <w:rsid w:val="00095473"/>
    <w:rsid w:val="00097594"/>
    <w:rsid w:val="00097F99"/>
    <w:rsid w:val="000A0AC8"/>
    <w:rsid w:val="000A1C9D"/>
    <w:rsid w:val="000A208B"/>
    <w:rsid w:val="000A2EBC"/>
    <w:rsid w:val="000A36C7"/>
    <w:rsid w:val="000A6201"/>
    <w:rsid w:val="000A628A"/>
    <w:rsid w:val="000A766E"/>
    <w:rsid w:val="000A77A9"/>
    <w:rsid w:val="000B0AF7"/>
    <w:rsid w:val="000B4252"/>
    <w:rsid w:val="000B43D9"/>
    <w:rsid w:val="000B4A6D"/>
    <w:rsid w:val="000B5E88"/>
    <w:rsid w:val="000B60BD"/>
    <w:rsid w:val="000B69E2"/>
    <w:rsid w:val="000C1E38"/>
    <w:rsid w:val="000C30F1"/>
    <w:rsid w:val="000C3721"/>
    <w:rsid w:val="000C4669"/>
    <w:rsid w:val="000C53B0"/>
    <w:rsid w:val="000C57FB"/>
    <w:rsid w:val="000C5A4F"/>
    <w:rsid w:val="000C5DAA"/>
    <w:rsid w:val="000C5EA7"/>
    <w:rsid w:val="000C6A54"/>
    <w:rsid w:val="000C767C"/>
    <w:rsid w:val="000C7C28"/>
    <w:rsid w:val="000D044E"/>
    <w:rsid w:val="000D0633"/>
    <w:rsid w:val="000D1291"/>
    <w:rsid w:val="000D2B3E"/>
    <w:rsid w:val="000D3683"/>
    <w:rsid w:val="000D4A99"/>
    <w:rsid w:val="000D52A8"/>
    <w:rsid w:val="000D52E1"/>
    <w:rsid w:val="000D5FF3"/>
    <w:rsid w:val="000D7A45"/>
    <w:rsid w:val="000D7CC8"/>
    <w:rsid w:val="000E08F0"/>
    <w:rsid w:val="000E1855"/>
    <w:rsid w:val="000E28F8"/>
    <w:rsid w:val="000E292A"/>
    <w:rsid w:val="000E3261"/>
    <w:rsid w:val="000E595F"/>
    <w:rsid w:val="000E5C9D"/>
    <w:rsid w:val="000E60F0"/>
    <w:rsid w:val="000E74BF"/>
    <w:rsid w:val="000F1279"/>
    <w:rsid w:val="000F2565"/>
    <w:rsid w:val="000F4579"/>
    <w:rsid w:val="000F6B6B"/>
    <w:rsid w:val="00100563"/>
    <w:rsid w:val="001006D1"/>
    <w:rsid w:val="001016CA"/>
    <w:rsid w:val="001027D6"/>
    <w:rsid w:val="0010282A"/>
    <w:rsid w:val="001054B5"/>
    <w:rsid w:val="00106D74"/>
    <w:rsid w:val="00106E22"/>
    <w:rsid w:val="00107F04"/>
    <w:rsid w:val="00112949"/>
    <w:rsid w:val="0011480A"/>
    <w:rsid w:val="00114DA6"/>
    <w:rsid w:val="00115649"/>
    <w:rsid w:val="00116949"/>
    <w:rsid w:val="0012260D"/>
    <w:rsid w:val="00122DEE"/>
    <w:rsid w:val="00123132"/>
    <w:rsid w:val="00125181"/>
    <w:rsid w:val="001254AB"/>
    <w:rsid w:val="00125503"/>
    <w:rsid w:val="00125740"/>
    <w:rsid w:val="001263FD"/>
    <w:rsid w:val="00127117"/>
    <w:rsid w:val="00127A8F"/>
    <w:rsid w:val="00130218"/>
    <w:rsid w:val="001302D2"/>
    <w:rsid w:val="001315C3"/>
    <w:rsid w:val="001327A1"/>
    <w:rsid w:val="00132DFC"/>
    <w:rsid w:val="00133EF6"/>
    <w:rsid w:val="001341E6"/>
    <w:rsid w:val="00136855"/>
    <w:rsid w:val="001414C1"/>
    <w:rsid w:val="00141857"/>
    <w:rsid w:val="00141D35"/>
    <w:rsid w:val="00142346"/>
    <w:rsid w:val="0014244D"/>
    <w:rsid w:val="001424E3"/>
    <w:rsid w:val="00143CFF"/>
    <w:rsid w:val="001446AE"/>
    <w:rsid w:val="00144A57"/>
    <w:rsid w:val="0014501F"/>
    <w:rsid w:val="001461CA"/>
    <w:rsid w:val="00147CA5"/>
    <w:rsid w:val="00151FF6"/>
    <w:rsid w:val="00153B9C"/>
    <w:rsid w:val="00153CFF"/>
    <w:rsid w:val="00154688"/>
    <w:rsid w:val="00160A85"/>
    <w:rsid w:val="0016169C"/>
    <w:rsid w:val="00164E3C"/>
    <w:rsid w:val="00167DEA"/>
    <w:rsid w:val="00172000"/>
    <w:rsid w:val="0017406E"/>
    <w:rsid w:val="00174207"/>
    <w:rsid w:val="0017579A"/>
    <w:rsid w:val="00176045"/>
    <w:rsid w:val="001769A8"/>
    <w:rsid w:val="00176D6D"/>
    <w:rsid w:val="001770A5"/>
    <w:rsid w:val="0017715E"/>
    <w:rsid w:val="00180BCD"/>
    <w:rsid w:val="00181E16"/>
    <w:rsid w:val="001823DA"/>
    <w:rsid w:val="00182A99"/>
    <w:rsid w:val="001844A5"/>
    <w:rsid w:val="00185604"/>
    <w:rsid w:val="001864C6"/>
    <w:rsid w:val="00186E90"/>
    <w:rsid w:val="00191275"/>
    <w:rsid w:val="00192F84"/>
    <w:rsid w:val="0019322D"/>
    <w:rsid w:val="001934D6"/>
    <w:rsid w:val="00193B86"/>
    <w:rsid w:val="0019483E"/>
    <w:rsid w:val="00194959"/>
    <w:rsid w:val="00195421"/>
    <w:rsid w:val="00195AC3"/>
    <w:rsid w:val="00197779"/>
    <w:rsid w:val="001A0105"/>
    <w:rsid w:val="001A25B4"/>
    <w:rsid w:val="001A2822"/>
    <w:rsid w:val="001A2D00"/>
    <w:rsid w:val="001A6787"/>
    <w:rsid w:val="001A6BEA"/>
    <w:rsid w:val="001B1FFB"/>
    <w:rsid w:val="001B4F4B"/>
    <w:rsid w:val="001B5B01"/>
    <w:rsid w:val="001C031D"/>
    <w:rsid w:val="001C0B11"/>
    <w:rsid w:val="001C12B1"/>
    <w:rsid w:val="001C1C42"/>
    <w:rsid w:val="001C2F6B"/>
    <w:rsid w:val="001C3229"/>
    <w:rsid w:val="001C5D05"/>
    <w:rsid w:val="001C6A7E"/>
    <w:rsid w:val="001C6C8C"/>
    <w:rsid w:val="001D1802"/>
    <w:rsid w:val="001D2174"/>
    <w:rsid w:val="001D3F02"/>
    <w:rsid w:val="001D4825"/>
    <w:rsid w:val="001D5342"/>
    <w:rsid w:val="001D5AC0"/>
    <w:rsid w:val="001D5EED"/>
    <w:rsid w:val="001D79E8"/>
    <w:rsid w:val="001E0215"/>
    <w:rsid w:val="001E0B3C"/>
    <w:rsid w:val="001E1228"/>
    <w:rsid w:val="001E2271"/>
    <w:rsid w:val="001E4539"/>
    <w:rsid w:val="001E6D75"/>
    <w:rsid w:val="001E766F"/>
    <w:rsid w:val="001E7F91"/>
    <w:rsid w:val="001F1A0A"/>
    <w:rsid w:val="001F20B8"/>
    <w:rsid w:val="001F25F6"/>
    <w:rsid w:val="001F27A4"/>
    <w:rsid w:val="001F42BD"/>
    <w:rsid w:val="001F4A9D"/>
    <w:rsid w:val="001F4DDB"/>
    <w:rsid w:val="001F51B0"/>
    <w:rsid w:val="001F5503"/>
    <w:rsid w:val="001F5570"/>
    <w:rsid w:val="001F5B98"/>
    <w:rsid w:val="001F745B"/>
    <w:rsid w:val="002004C5"/>
    <w:rsid w:val="00200F4F"/>
    <w:rsid w:val="002012E3"/>
    <w:rsid w:val="00202C50"/>
    <w:rsid w:val="00203E7D"/>
    <w:rsid w:val="002046D3"/>
    <w:rsid w:val="00204823"/>
    <w:rsid w:val="00204A55"/>
    <w:rsid w:val="0020507D"/>
    <w:rsid w:val="002055C5"/>
    <w:rsid w:val="00205A4F"/>
    <w:rsid w:val="00205FC4"/>
    <w:rsid w:val="00207035"/>
    <w:rsid w:val="00207158"/>
    <w:rsid w:val="00210DBD"/>
    <w:rsid w:val="00211878"/>
    <w:rsid w:val="00212445"/>
    <w:rsid w:val="002130F6"/>
    <w:rsid w:val="00214732"/>
    <w:rsid w:val="00216BDA"/>
    <w:rsid w:val="0021705F"/>
    <w:rsid w:val="0021773C"/>
    <w:rsid w:val="002211AA"/>
    <w:rsid w:val="002223F5"/>
    <w:rsid w:val="00223C07"/>
    <w:rsid w:val="0022458D"/>
    <w:rsid w:val="00226AB6"/>
    <w:rsid w:val="0023032E"/>
    <w:rsid w:val="0023168F"/>
    <w:rsid w:val="00231F19"/>
    <w:rsid w:val="0023253E"/>
    <w:rsid w:val="00232FB9"/>
    <w:rsid w:val="00232FE0"/>
    <w:rsid w:val="002340EC"/>
    <w:rsid w:val="002343B8"/>
    <w:rsid w:val="0023661F"/>
    <w:rsid w:val="002373CF"/>
    <w:rsid w:val="00240DA9"/>
    <w:rsid w:val="002424BE"/>
    <w:rsid w:val="002433D4"/>
    <w:rsid w:val="00244827"/>
    <w:rsid w:val="002448BD"/>
    <w:rsid w:val="002448E8"/>
    <w:rsid w:val="00245597"/>
    <w:rsid w:val="00245CEC"/>
    <w:rsid w:val="00247AF2"/>
    <w:rsid w:val="00250EA8"/>
    <w:rsid w:val="00251A38"/>
    <w:rsid w:val="0025314C"/>
    <w:rsid w:val="00253F3E"/>
    <w:rsid w:val="00255B88"/>
    <w:rsid w:val="00256552"/>
    <w:rsid w:val="002566D0"/>
    <w:rsid w:val="00256993"/>
    <w:rsid w:val="00260CDD"/>
    <w:rsid w:val="00261F5E"/>
    <w:rsid w:val="002631DD"/>
    <w:rsid w:val="00264238"/>
    <w:rsid w:val="00265626"/>
    <w:rsid w:val="00265D5D"/>
    <w:rsid w:val="00265EE5"/>
    <w:rsid w:val="002702C6"/>
    <w:rsid w:val="0027109E"/>
    <w:rsid w:val="002717C6"/>
    <w:rsid w:val="0027554F"/>
    <w:rsid w:val="00275737"/>
    <w:rsid w:val="002762AB"/>
    <w:rsid w:val="002766E4"/>
    <w:rsid w:val="00282970"/>
    <w:rsid w:val="00282C0B"/>
    <w:rsid w:val="002840A9"/>
    <w:rsid w:val="00285566"/>
    <w:rsid w:val="00286162"/>
    <w:rsid w:val="00286618"/>
    <w:rsid w:val="00286D77"/>
    <w:rsid w:val="00287A4E"/>
    <w:rsid w:val="00287D88"/>
    <w:rsid w:val="002916C6"/>
    <w:rsid w:val="00292395"/>
    <w:rsid w:val="00294431"/>
    <w:rsid w:val="002946CA"/>
    <w:rsid w:val="002967B3"/>
    <w:rsid w:val="00296C1B"/>
    <w:rsid w:val="002973B2"/>
    <w:rsid w:val="00297EA8"/>
    <w:rsid w:val="002A2D21"/>
    <w:rsid w:val="002A3676"/>
    <w:rsid w:val="002A3C2E"/>
    <w:rsid w:val="002A4477"/>
    <w:rsid w:val="002A7989"/>
    <w:rsid w:val="002A7F6D"/>
    <w:rsid w:val="002B1481"/>
    <w:rsid w:val="002B1EF6"/>
    <w:rsid w:val="002B1F94"/>
    <w:rsid w:val="002B2BE5"/>
    <w:rsid w:val="002B3197"/>
    <w:rsid w:val="002B3833"/>
    <w:rsid w:val="002B3A22"/>
    <w:rsid w:val="002B55F7"/>
    <w:rsid w:val="002B61E7"/>
    <w:rsid w:val="002B6A0D"/>
    <w:rsid w:val="002B70F7"/>
    <w:rsid w:val="002C11C9"/>
    <w:rsid w:val="002C1F4D"/>
    <w:rsid w:val="002C24EE"/>
    <w:rsid w:val="002C3535"/>
    <w:rsid w:val="002C383F"/>
    <w:rsid w:val="002C4957"/>
    <w:rsid w:val="002C5717"/>
    <w:rsid w:val="002C65E7"/>
    <w:rsid w:val="002C6CD6"/>
    <w:rsid w:val="002C72E5"/>
    <w:rsid w:val="002D1FC2"/>
    <w:rsid w:val="002D2993"/>
    <w:rsid w:val="002D485C"/>
    <w:rsid w:val="002D5903"/>
    <w:rsid w:val="002D706E"/>
    <w:rsid w:val="002D731B"/>
    <w:rsid w:val="002D7486"/>
    <w:rsid w:val="002D7E71"/>
    <w:rsid w:val="002E00B6"/>
    <w:rsid w:val="002E3101"/>
    <w:rsid w:val="002E4B28"/>
    <w:rsid w:val="002E4D61"/>
    <w:rsid w:val="002E57F8"/>
    <w:rsid w:val="002E58A3"/>
    <w:rsid w:val="002E6E09"/>
    <w:rsid w:val="002E7EB6"/>
    <w:rsid w:val="002F00C8"/>
    <w:rsid w:val="002F0B98"/>
    <w:rsid w:val="002F0D4A"/>
    <w:rsid w:val="002F0ECF"/>
    <w:rsid w:val="002F2AB4"/>
    <w:rsid w:val="002F347A"/>
    <w:rsid w:val="002F49F4"/>
    <w:rsid w:val="002F4EC5"/>
    <w:rsid w:val="002F5807"/>
    <w:rsid w:val="002F5AAE"/>
    <w:rsid w:val="002F5D99"/>
    <w:rsid w:val="002F6F2D"/>
    <w:rsid w:val="00300F3F"/>
    <w:rsid w:val="00301433"/>
    <w:rsid w:val="00302312"/>
    <w:rsid w:val="00302710"/>
    <w:rsid w:val="00302A21"/>
    <w:rsid w:val="0030697E"/>
    <w:rsid w:val="00306F8B"/>
    <w:rsid w:val="00307CB9"/>
    <w:rsid w:val="00311319"/>
    <w:rsid w:val="00311822"/>
    <w:rsid w:val="00311883"/>
    <w:rsid w:val="00311C35"/>
    <w:rsid w:val="00312C88"/>
    <w:rsid w:val="0031373C"/>
    <w:rsid w:val="00313AAA"/>
    <w:rsid w:val="00314438"/>
    <w:rsid w:val="00314781"/>
    <w:rsid w:val="00316558"/>
    <w:rsid w:val="00316C2E"/>
    <w:rsid w:val="003173F7"/>
    <w:rsid w:val="003178C4"/>
    <w:rsid w:val="00317E9D"/>
    <w:rsid w:val="0032016B"/>
    <w:rsid w:val="00320DCB"/>
    <w:rsid w:val="00321273"/>
    <w:rsid w:val="00323455"/>
    <w:rsid w:val="003265F9"/>
    <w:rsid w:val="003266B7"/>
    <w:rsid w:val="0032688A"/>
    <w:rsid w:val="00327305"/>
    <w:rsid w:val="00330AB2"/>
    <w:rsid w:val="003312CC"/>
    <w:rsid w:val="00332148"/>
    <w:rsid w:val="0033294B"/>
    <w:rsid w:val="00332A30"/>
    <w:rsid w:val="0033466C"/>
    <w:rsid w:val="003354B6"/>
    <w:rsid w:val="00336EC9"/>
    <w:rsid w:val="0034010A"/>
    <w:rsid w:val="00340BA8"/>
    <w:rsid w:val="00342EAE"/>
    <w:rsid w:val="003434F2"/>
    <w:rsid w:val="0034351A"/>
    <w:rsid w:val="00343DA0"/>
    <w:rsid w:val="00344658"/>
    <w:rsid w:val="00345863"/>
    <w:rsid w:val="00345ED0"/>
    <w:rsid w:val="00346091"/>
    <w:rsid w:val="003468AD"/>
    <w:rsid w:val="00347AD4"/>
    <w:rsid w:val="00347B56"/>
    <w:rsid w:val="00350BA2"/>
    <w:rsid w:val="00351280"/>
    <w:rsid w:val="00354234"/>
    <w:rsid w:val="0035426F"/>
    <w:rsid w:val="003542D0"/>
    <w:rsid w:val="00354474"/>
    <w:rsid w:val="0035490D"/>
    <w:rsid w:val="003566D0"/>
    <w:rsid w:val="00356B63"/>
    <w:rsid w:val="00357A27"/>
    <w:rsid w:val="00357C88"/>
    <w:rsid w:val="00362131"/>
    <w:rsid w:val="00362251"/>
    <w:rsid w:val="00364206"/>
    <w:rsid w:val="0036525A"/>
    <w:rsid w:val="003652C9"/>
    <w:rsid w:val="003672BC"/>
    <w:rsid w:val="00370982"/>
    <w:rsid w:val="00372DBE"/>
    <w:rsid w:val="00372E6A"/>
    <w:rsid w:val="00374B81"/>
    <w:rsid w:val="003765A6"/>
    <w:rsid w:val="00376A8B"/>
    <w:rsid w:val="00380F72"/>
    <w:rsid w:val="00382768"/>
    <w:rsid w:val="00382AB8"/>
    <w:rsid w:val="00382D7E"/>
    <w:rsid w:val="00383939"/>
    <w:rsid w:val="0038524B"/>
    <w:rsid w:val="00386DDB"/>
    <w:rsid w:val="003902DA"/>
    <w:rsid w:val="00391126"/>
    <w:rsid w:val="003927B5"/>
    <w:rsid w:val="00393426"/>
    <w:rsid w:val="00394146"/>
    <w:rsid w:val="00395C7B"/>
    <w:rsid w:val="00396B77"/>
    <w:rsid w:val="0039776F"/>
    <w:rsid w:val="003A02E2"/>
    <w:rsid w:val="003A0AB1"/>
    <w:rsid w:val="003A2C8E"/>
    <w:rsid w:val="003A2EB6"/>
    <w:rsid w:val="003A47BD"/>
    <w:rsid w:val="003A4936"/>
    <w:rsid w:val="003A72B0"/>
    <w:rsid w:val="003A74CD"/>
    <w:rsid w:val="003B09A2"/>
    <w:rsid w:val="003B4825"/>
    <w:rsid w:val="003B5B1B"/>
    <w:rsid w:val="003B66BF"/>
    <w:rsid w:val="003B756D"/>
    <w:rsid w:val="003C0B0C"/>
    <w:rsid w:val="003C0B5E"/>
    <w:rsid w:val="003C0F09"/>
    <w:rsid w:val="003C1BD2"/>
    <w:rsid w:val="003C2CD1"/>
    <w:rsid w:val="003C2D82"/>
    <w:rsid w:val="003C3ABE"/>
    <w:rsid w:val="003C525D"/>
    <w:rsid w:val="003C54AF"/>
    <w:rsid w:val="003C5D38"/>
    <w:rsid w:val="003D2576"/>
    <w:rsid w:val="003D318B"/>
    <w:rsid w:val="003D36A9"/>
    <w:rsid w:val="003D506A"/>
    <w:rsid w:val="003D5746"/>
    <w:rsid w:val="003D73F3"/>
    <w:rsid w:val="003D7B48"/>
    <w:rsid w:val="003E0431"/>
    <w:rsid w:val="003E0A49"/>
    <w:rsid w:val="003E1205"/>
    <w:rsid w:val="003E55D1"/>
    <w:rsid w:val="003E561A"/>
    <w:rsid w:val="003E6D31"/>
    <w:rsid w:val="003F158B"/>
    <w:rsid w:val="003F3E20"/>
    <w:rsid w:val="003F50F3"/>
    <w:rsid w:val="003F5A47"/>
    <w:rsid w:val="003F5E03"/>
    <w:rsid w:val="003F62E3"/>
    <w:rsid w:val="003F6971"/>
    <w:rsid w:val="00400BEA"/>
    <w:rsid w:val="00400E4F"/>
    <w:rsid w:val="00401E85"/>
    <w:rsid w:val="00404D86"/>
    <w:rsid w:val="00405F8B"/>
    <w:rsid w:val="00407355"/>
    <w:rsid w:val="004100D8"/>
    <w:rsid w:val="004109C1"/>
    <w:rsid w:val="00412A25"/>
    <w:rsid w:val="00413827"/>
    <w:rsid w:val="00414E8E"/>
    <w:rsid w:val="00414EF7"/>
    <w:rsid w:val="00415AE5"/>
    <w:rsid w:val="004163D0"/>
    <w:rsid w:val="00416DB5"/>
    <w:rsid w:val="00422842"/>
    <w:rsid w:val="00422A53"/>
    <w:rsid w:val="0042374C"/>
    <w:rsid w:val="00423C32"/>
    <w:rsid w:val="00423CFD"/>
    <w:rsid w:val="00424360"/>
    <w:rsid w:val="0042775B"/>
    <w:rsid w:val="00427962"/>
    <w:rsid w:val="00430F6F"/>
    <w:rsid w:val="00432305"/>
    <w:rsid w:val="00432DE2"/>
    <w:rsid w:val="00433AC2"/>
    <w:rsid w:val="00433E5C"/>
    <w:rsid w:val="00436924"/>
    <w:rsid w:val="00437413"/>
    <w:rsid w:val="00441CCC"/>
    <w:rsid w:val="004424C1"/>
    <w:rsid w:val="004433C0"/>
    <w:rsid w:val="00443837"/>
    <w:rsid w:val="0044389F"/>
    <w:rsid w:val="00446053"/>
    <w:rsid w:val="00446530"/>
    <w:rsid w:val="00446943"/>
    <w:rsid w:val="004469EC"/>
    <w:rsid w:val="004500A5"/>
    <w:rsid w:val="0045074B"/>
    <w:rsid w:val="0045081F"/>
    <w:rsid w:val="00450F92"/>
    <w:rsid w:val="00451246"/>
    <w:rsid w:val="004514EC"/>
    <w:rsid w:val="004519B8"/>
    <w:rsid w:val="004522DA"/>
    <w:rsid w:val="00452811"/>
    <w:rsid w:val="00452F0D"/>
    <w:rsid w:val="0045376F"/>
    <w:rsid w:val="00453D3F"/>
    <w:rsid w:val="00454740"/>
    <w:rsid w:val="00455129"/>
    <w:rsid w:val="00456809"/>
    <w:rsid w:val="0045712A"/>
    <w:rsid w:val="004572E1"/>
    <w:rsid w:val="004577B1"/>
    <w:rsid w:val="00460A38"/>
    <w:rsid w:val="0046121A"/>
    <w:rsid w:val="004616E4"/>
    <w:rsid w:val="004618BF"/>
    <w:rsid w:val="00461E8A"/>
    <w:rsid w:val="00462757"/>
    <w:rsid w:val="00462B07"/>
    <w:rsid w:val="004643FF"/>
    <w:rsid w:val="00464546"/>
    <w:rsid w:val="00464E84"/>
    <w:rsid w:val="00470B9C"/>
    <w:rsid w:val="00470E71"/>
    <w:rsid w:val="0047164F"/>
    <w:rsid w:val="00471C21"/>
    <w:rsid w:val="00471C74"/>
    <w:rsid w:val="004724E3"/>
    <w:rsid w:val="004724E8"/>
    <w:rsid w:val="00473667"/>
    <w:rsid w:val="00474915"/>
    <w:rsid w:val="00475008"/>
    <w:rsid w:val="0047613D"/>
    <w:rsid w:val="00477686"/>
    <w:rsid w:val="00483257"/>
    <w:rsid w:val="00484927"/>
    <w:rsid w:val="004851C8"/>
    <w:rsid w:val="0048583E"/>
    <w:rsid w:val="00485DFF"/>
    <w:rsid w:val="00486315"/>
    <w:rsid w:val="0048660E"/>
    <w:rsid w:val="004900EB"/>
    <w:rsid w:val="00490542"/>
    <w:rsid w:val="00492C75"/>
    <w:rsid w:val="0049318E"/>
    <w:rsid w:val="004955B0"/>
    <w:rsid w:val="00496867"/>
    <w:rsid w:val="00497648"/>
    <w:rsid w:val="00497A9E"/>
    <w:rsid w:val="004A3115"/>
    <w:rsid w:val="004A4201"/>
    <w:rsid w:val="004A5EE2"/>
    <w:rsid w:val="004A66C0"/>
    <w:rsid w:val="004B0011"/>
    <w:rsid w:val="004B098F"/>
    <w:rsid w:val="004B09CE"/>
    <w:rsid w:val="004B14DA"/>
    <w:rsid w:val="004B1526"/>
    <w:rsid w:val="004B3A20"/>
    <w:rsid w:val="004B3B0B"/>
    <w:rsid w:val="004B3BF1"/>
    <w:rsid w:val="004B4EDF"/>
    <w:rsid w:val="004B5E87"/>
    <w:rsid w:val="004B7283"/>
    <w:rsid w:val="004B74EC"/>
    <w:rsid w:val="004C11F7"/>
    <w:rsid w:val="004C15D6"/>
    <w:rsid w:val="004C1A02"/>
    <w:rsid w:val="004C1EE0"/>
    <w:rsid w:val="004C262A"/>
    <w:rsid w:val="004C2D87"/>
    <w:rsid w:val="004C3C99"/>
    <w:rsid w:val="004C413B"/>
    <w:rsid w:val="004C431B"/>
    <w:rsid w:val="004C452F"/>
    <w:rsid w:val="004C4A1C"/>
    <w:rsid w:val="004C50B5"/>
    <w:rsid w:val="004C5898"/>
    <w:rsid w:val="004C754E"/>
    <w:rsid w:val="004D03A3"/>
    <w:rsid w:val="004D10D7"/>
    <w:rsid w:val="004D1C64"/>
    <w:rsid w:val="004D2ABA"/>
    <w:rsid w:val="004D424E"/>
    <w:rsid w:val="004D4D36"/>
    <w:rsid w:val="004D5BE1"/>
    <w:rsid w:val="004D61B9"/>
    <w:rsid w:val="004D652C"/>
    <w:rsid w:val="004D66C3"/>
    <w:rsid w:val="004D7EAA"/>
    <w:rsid w:val="004E2CA4"/>
    <w:rsid w:val="004F137C"/>
    <w:rsid w:val="004F31E9"/>
    <w:rsid w:val="004F4AA2"/>
    <w:rsid w:val="004F604E"/>
    <w:rsid w:val="004F6453"/>
    <w:rsid w:val="004F6C55"/>
    <w:rsid w:val="004F7057"/>
    <w:rsid w:val="004F7258"/>
    <w:rsid w:val="005001F8"/>
    <w:rsid w:val="0050175A"/>
    <w:rsid w:val="0050611F"/>
    <w:rsid w:val="00506A27"/>
    <w:rsid w:val="00506A39"/>
    <w:rsid w:val="00506EF7"/>
    <w:rsid w:val="00507DEE"/>
    <w:rsid w:val="005111E4"/>
    <w:rsid w:val="00517826"/>
    <w:rsid w:val="00520A51"/>
    <w:rsid w:val="0052112B"/>
    <w:rsid w:val="00521947"/>
    <w:rsid w:val="00521F9D"/>
    <w:rsid w:val="00522F42"/>
    <w:rsid w:val="00523A64"/>
    <w:rsid w:val="005250EA"/>
    <w:rsid w:val="0052567A"/>
    <w:rsid w:val="005273C5"/>
    <w:rsid w:val="00527BC6"/>
    <w:rsid w:val="005313BC"/>
    <w:rsid w:val="00532F43"/>
    <w:rsid w:val="00534B02"/>
    <w:rsid w:val="00535D98"/>
    <w:rsid w:val="005361CB"/>
    <w:rsid w:val="00537982"/>
    <w:rsid w:val="00541275"/>
    <w:rsid w:val="00543CEE"/>
    <w:rsid w:val="00544E1A"/>
    <w:rsid w:val="00545B93"/>
    <w:rsid w:val="00545E19"/>
    <w:rsid w:val="005513AB"/>
    <w:rsid w:val="00552641"/>
    <w:rsid w:val="005556C7"/>
    <w:rsid w:val="005571BD"/>
    <w:rsid w:val="00560D6D"/>
    <w:rsid w:val="005610C5"/>
    <w:rsid w:val="005615EB"/>
    <w:rsid w:val="00561802"/>
    <w:rsid w:val="00561BF5"/>
    <w:rsid w:val="00562787"/>
    <w:rsid w:val="00562E45"/>
    <w:rsid w:val="0056312B"/>
    <w:rsid w:val="00565E22"/>
    <w:rsid w:val="00566E61"/>
    <w:rsid w:val="005705F7"/>
    <w:rsid w:val="00571400"/>
    <w:rsid w:val="0057368A"/>
    <w:rsid w:val="00577D13"/>
    <w:rsid w:val="005801DA"/>
    <w:rsid w:val="00580C28"/>
    <w:rsid w:val="00582033"/>
    <w:rsid w:val="0058478B"/>
    <w:rsid w:val="00584B2A"/>
    <w:rsid w:val="005860AE"/>
    <w:rsid w:val="00592F57"/>
    <w:rsid w:val="00594B1B"/>
    <w:rsid w:val="00595146"/>
    <w:rsid w:val="00595554"/>
    <w:rsid w:val="005A088B"/>
    <w:rsid w:val="005A3F4E"/>
    <w:rsid w:val="005A5E2E"/>
    <w:rsid w:val="005A5E91"/>
    <w:rsid w:val="005A6A32"/>
    <w:rsid w:val="005B01F5"/>
    <w:rsid w:val="005B0384"/>
    <w:rsid w:val="005B07A5"/>
    <w:rsid w:val="005B1248"/>
    <w:rsid w:val="005B211D"/>
    <w:rsid w:val="005B2DCE"/>
    <w:rsid w:val="005B34CC"/>
    <w:rsid w:val="005B4B1D"/>
    <w:rsid w:val="005B662A"/>
    <w:rsid w:val="005C0045"/>
    <w:rsid w:val="005C169E"/>
    <w:rsid w:val="005C1C7F"/>
    <w:rsid w:val="005C32C2"/>
    <w:rsid w:val="005C534E"/>
    <w:rsid w:val="005C65F5"/>
    <w:rsid w:val="005C6720"/>
    <w:rsid w:val="005C7A90"/>
    <w:rsid w:val="005D1F41"/>
    <w:rsid w:val="005D200C"/>
    <w:rsid w:val="005D267A"/>
    <w:rsid w:val="005D31F7"/>
    <w:rsid w:val="005D3681"/>
    <w:rsid w:val="005D39CA"/>
    <w:rsid w:val="005D4646"/>
    <w:rsid w:val="005D519C"/>
    <w:rsid w:val="005D5CB8"/>
    <w:rsid w:val="005D5CD0"/>
    <w:rsid w:val="005D6196"/>
    <w:rsid w:val="005D71C0"/>
    <w:rsid w:val="005E07DD"/>
    <w:rsid w:val="005E2170"/>
    <w:rsid w:val="005E2A6E"/>
    <w:rsid w:val="005E350D"/>
    <w:rsid w:val="005E3E35"/>
    <w:rsid w:val="005E3E8B"/>
    <w:rsid w:val="005E5E46"/>
    <w:rsid w:val="005F07F6"/>
    <w:rsid w:val="005F18D4"/>
    <w:rsid w:val="005F1D5D"/>
    <w:rsid w:val="005F247F"/>
    <w:rsid w:val="005F2F9D"/>
    <w:rsid w:val="005F334F"/>
    <w:rsid w:val="005F3F13"/>
    <w:rsid w:val="005F4514"/>
    <w:rsid w:val="005F5E6A"/>
    <w:rsid w:val="005F6AB1"/>
    <w:rsid w:val="005F6B6E"/>
    <w:rsid w:val="00600C65"/>
    <w:rsid w:val="00601F9E"/>
    <w:rsid w:val="00604797"/>
    <w:rsid w:val="00605C90"/>
    <w:rsid w:val="00606442"/>
    <w:rsid w:val="00607564"/>
    <w:rsid w:val="00607947"/>
    <w:rsid w:val="006115D4"/>
    <w:rsid w:val="006115FC"/>
    <w:rsid w:val="00612202"/>
    <w:rsid w:val="006122FB"/>
    <w:rsid w:val="006145D4"/>
    <w:rsid w:val="00614AA5"/>
    <w:rsid w:val="00615568"/>
    <w:rsid w:val="006169B8"/>
    <w:rsid w:val="006172AC"/>
    <w:rsid w:val="006201E7"/>
    <w:rsid w:val="00620FC5"/>
    <w:rsid w:val="00621DB7"/>
    <w:rsid w:val="006224F3"/>
    <w:rsid w:val="00625F28"/>
    <w:rsid w:val="00627389"/>
    <w:rsid w:val="00627BCA"/>
    <w:rsid w:val="00630167"/>
    <w:rsid w:val="00631236"/>
    <w:rsid w:val="00631C9C"/>
    <w:rsid w:val="006320D2"/>
    <w:rsid w:val="0063437F"/>
    <w:rsid w:val="00634708"/>
    <w:rsid w:val="00634F35"/>
    <w:rsid w:val="00635599"/>
    <w:rsid w:val="006364BA"/>
    <w:rsid w:val="00636819"/>
    <w:rsid w:val="00636BBE"/>
    <w:rsid w:val="00637231"/>
    <w:rsid w:val="006375C4"/>
    <w:rsid w:val="00641F70"/>
    <w:rsid w:val="00642452"/>
    <w:rsid w:val="00643C05"/>
    <w:rsid w:val="006444ED"/>
    <w:rsid w:val="0064492D"/>
    <w:rsid w:val="00645E49"/>
    <w:rsid w:val="00646C73"/>
    <w:rsid w:val="00647577"/>
    <w:rsid w:val="00647C15"/>
    <w:rsid w:val="00647C91"/>
    <w:rsid w:val="0065261B"/>
    <w:rsid w:val="006529B8"/>
    <w:rsid w:val="00653081"/>
    <w:rsid w:val="006530A6"/>
    <w:rsid w:val="00653570"/>
    <w:rsid w:val="006555D7"/>
    <w:rsid w:val="006566FC"/>
    <w:rsid w:val="00656AF3"/>
    <w:rsid w:val="00657F2A"/>
    <w:rsid w:val="00660932"/>
    <w:rsid w:val="00660B7F"/>
    <w:rsid w:val="006611E2"/>
    <w:rsid w:val="00661C16"/>
    <w:rsid w:val="00661FBC"/>
    <w:rsid w:val="00664004"/>
    <w:rsid w:val="00664714"/>
    <w:rsid w:val="00665157"/>
    <w:rsid w:val="006651A7"/>
    <w:rsid w:val="0066549C"/>
    <w:rsid w:val="00665BAC"/>
    <w:rsid w:val="00666AA1"/>
    <w:rsid w:val="00666B17"/>
    <w:rsid w:val="00666D0D"/>
    <w:rsid w:val="00667B03"/>
    <w:rsid w:val="00667C1A"/>
    <w:rsid w:val="00671FBE"/>
    <w:rsid w:val="00672B48"/>
    <w:rsid w:val="00673C5C"/>
    <w:rsid w:val="00674951"/>
    <w:rsid w:val="006756F8"/>
    <w:rsid w:val="0067583F"/>
    <w:rsid w:val="0067622F"/>
    <w:rsid w:val="0068007D"/>
    <w:rsid w:val="00680DC8"/>
    <w:rsid w:val="0068154B"/>
    <w:rsid w:val="00681630"/>
    <w:rsid w:val="00682E4C"/>
    <w:rsid w:val="0068321C"/>
    <w:rsid w:val="006837AC"/>
    <w:rsid w:val="00684214"/>
    <w:rsid w:val="00684ACC"/>
    <w:rsid w:val="0068618A"/>
    <w:rsid w:val="00687414"/>
    <w:rsid w:val="006879A8"/>
    <w:rsid w:val="0069115D"/>
    <w:rsid w:val="00692010"/>
    <w:rsid w:val="00692463"/>
    <w:rsid w:val="00696103"/>
    <w:rsid w:val="00697B80"/>
    <w:rsid w:val="00697EE1"/>
    <w:rsid w:val="006A001C"/>
    <w:rsid w:val="006A0B45"/>
    <w:rsid w:val="006A11C0"/>
    <w:rsid w:val="006A3804"/>
    <w:rsid w:val="006A3AC4"/>
    <w:rsid w:val="006A47A2"/>
    <w:rsid w:val="006A491B"/>
    <w:rsid w:val="006A4BE9"/>
    <w:rsid w:val="006A5D85"/>
    <w:rsid w:val="006A6405"/>
    <w:rsid w:val="006A72A1"/>
    <w:rsid w:val="006B0E9F"/>
    <w:rsid w:val="006B3DF5"/>
    <w:rsid w:val="006B47D5"/>
    <w:rsid w:val="006B4FE9"/>
    <w:rsid w:val="006B4FEF"/>
    <w:rsid w:val="006B7D26"/>
    <w:rsid w:val="006B7FB4"/>
    <w:rsid w:val="006C04FE"/>
    <w:rsid w:val="006C177D"/>
    <w:rsid w:val="006C2A1E"/>
    <w:rsid w:val="006C4790"/>
    <w:rsid w:val="006C4967"/>
    <w:rsid w:val="006C7C1D"/>
    <w:rsid w:val="006D03A7"/>
    <w:rsid w:val="006D15C1"/>
    <w:rsid w:val="006D2BAF"/>
    <w:rsid w:val="006D38C7"/>
    <w:rsid w:val="006D3B78"/>
    <w:rsid w:val="006D4220"/>
    <w:rsid w:val="006D4470"/>
    <w:rsid w:val="006D532E"/>
    <w:rsid w:val="006D553A"/>
    <w:rsid w:val="006D5DCB"/>
    <w:rsid w:val="006D686F"/>
    <w:rsid w:val="006D6EF2"/>
    <w:rsid w:val="006E097D"/>
    <w:rsid w:val="006E192E"/>
    <w:rsid w:val="006E273A"/>
    <w:rsid w:val="006E328C"/>
    <w:rsid w:val="006E32EA"/>
    <w:rsid w:val="006F00B6"/>
    <w:rsid w:val="006F15A5"/>
    <w:rsid w:val="006F2C1F"/>
    <w:rsid w:val="006F37BC"/>
    <w:rsid w:val="006F4203"/>
    <w:rsid w:val="00700241"/>
    <w:rsid w:val="00700B41"/>
    <w:rsid w:val="007011BD"/>
    <w:rsid w:val="007017DC"/>
    <w:rsid w:val="00702FA5"/>
    <w:rsid w:val="007038E1"/>
    <w:rsid w:val="007062D5"/>
    <w:rsid w:val="00711FCA"/>
    <w:rsid w:val="0071266A"/>
    <w:rsid w:val="00713E74"/>
    <w:rsid w:val="00716556"/>
    <w:rsid w:val="00717C29"/>
    <w:rsid w:val="00717E91"/>
    <w:rsid w:val="00717EBD"/>
    <w:rsid w:val="00721DDC"/>
    <w:rsid w:val="007237AB"/>
    <w:rsid w:val="00724BC5"/>
    <w:rsid w:val="00725DA7"/>
    <w:rsid w:val="0072796C"/>
    <w:rsid w:val="00732737"/>
    <w:rsid w:val="00733D86"/>
    <w:rsid w:val="00734231"/>
    <w:rsid w:val="00735D60"/>
    <w:rsid w:val="007430A3"/>
    <w:rsid w:val="0074510D"/>
    <w:rsid w:val="00750173"/>
    <w:rsid w:val="00750249"/>
    <w:rsid w:val="00750390"/>
    <w:rsid w:val="007503AC"/>
    <w:rsid w:val="007507BD"/>
    <w:rsid w:val="0075098D"/>
    <w:rsid w:val="00750EFD"/>
    <w:rsid w:val="00751BAE"/>
    <w:rsid w:val="00753033"/>
    <w:rsid w:val="00757965"/>
    <w:rsid w:val="00757DCD"/>
    <w:rsid w:val="00760B99"/>
    <w:rsid w:val="00762220"/>
    <w:rsid w:val="00762870"/>
    <w:rsid w:val="007644F7"/>
    <w:rsid w:val="00765156"/>
    <w:rsid w:val="00765F92"/>
    <w:rsid w:val="007667A7"/>
    <w:rsid w:val="007669D5"/>
    <w:rsid w:val="00767556"/>
    <w:rsid w:val="00767F69"/>
    <w:rsid w:val="00770636"/>
    <w:rsid w:val="00771061"/>
    <w:rsid w:val="00771977"/>
    <w:rsid w:val="0077646D"/>
    <w:rsid w:val="00777567"/>
    <w:rsid w:val="00777FF6"/>
    <w:rsid w:val="0078007E"/>
    <w:rsid w:val="00780B74"/>
    <w:rsid w:val="007812A9"/>
    <w:rsid w:val="007817FB"/>
    <w:rsid w:val="00782002"/>
    <w:rsid w:val="00782FFC"/>
    <w:rsid w:val="007832FE"/>
    <w:rsid w:val="007838A9"/>
    <w:rsid w:val="00785214"/>
    <w:rsid w:val="007852F5"/>
    <w:rsid w:val="00785304"/>
    <w:rsid w:val="0078649E"/>
    <w:rsid w:val="007867C2"/>
    <w:rsid w:val="00791A3F"/>
    <w:rsid w:val="00791E69"/>
    <w:rsid w:val="00792091"/>
    <w:rsid w:val="00792595"/>
    <w:rsid w:val="00794D9A"/>
    <w:rsid w:val="00795542"/>
    <w:rsid w:val="007959B6"/>
    <w:rsid w:val="00795CBB"/>
    <w:rsid w:val="007961A4"/>
    <w:rsid w:val="00796B2B"/>
    <w:rsid w:val="007978EE"/>
    <w:rsid w:val="007A04DF"/>
    <w:rsid w:val="007A26E7"/>
    <w:rsid w:val="007A2EF3"/>
    <w:rsid w:val="007A3EB5"/>
    <w:rsid w:val="007A4A17"/>
    <w:rsid w:val="007A4E67"/>
    <w:rsid w:val="007A537D"/>
    <w:rsid w:val="007A6573"/>
    <w:rsid w:val="007A6AAD"/>
    <w:rsid w:val="007B13D9"/>
    <w:rsid w:val="007B1FE8"/>
    <w:rsid w:val="007B23E1"/>
    <w:rsid w:val="007B3E1F"/>
    <w:rsid w:val="007B7683"/>
    <w:rsid w:val="007B7FBB"/>
    <w:rsid w:val="007C0156"/>
    <w:rsid w:val="007C01B0"/>
    <w:rsid w:val="007C35A4"/>
    <w:rsid w:val="007C3A40"/>
    <w:rsid w:val="007C3F29"/>
    <w:rsid w:val="007C4C97"/>
    <w:rsid w:val="007C7653"/>
    <w:rsid w:val="007D154D"/>
    <w:rsid w:val="007D19ED"/>
    <w:rsid w:val="007D2055"/>
    <w:rsid w:val="007D2646"/>
    <w:rsid w:val="007D41F6"/>
    <w:rsid w:val="007D5526"/>
    <w:rsid w:val="007D58BD"/>
    <w:rsid w:val="007D5B26"/>
    <w:rsid w:val="007D5ECD"/>
    <w:rsid w:val="007D5FCD"/>
    <w:rsid w:val="007D7145"/>
    <w:rsid w:val="007D78BF"/>
    <w:rsid w:val="007E0DC6"/>
    <w:rsid w:val="007E0E38"/>
    <w:rsid w:val="007E13A9"/>
    <w:rsid w:val="007E23F4"/>
    <w:rsid w:val="007E3554"/>
    <w:rsid w:val="007E4A3E"/>
    <w:rsid w:val="007E5D3D"/>
    <w:rsid w:val="007E72F6"/>
    <w:rsid w:val="007E7728"/>
    <w:rsid w:val="007E7B87"/>
    <w:rsid w:val="007F407B"/>
    <w:rsid w:val="007F417E"/>
    <w:rsid w:val="007F4FCB"/>
    <w:rsid w:val="007F5421"/>
    <w:rsid w:val="007F5446"/>
    <w:rsid w:val="008023B1"/>
    <w:rsid w:val="00802618"/>
    <w:rsid w:val="0080281D"/>
    <w:rsid w:val="00802E5A"/>
    <w:rsid w:val="00803ED6"/>
    <w:rsid w:val="0080663D"/>
    <w:rsid w:val="0080690F"/>
    <w:rsid w:val="00806A0B"/>
    <w:rsid w:val="00806BD5"/>
    <w:rsid w:val="008071C4"/>
    <w:rsid w:val="00811A8B"/>
    <w:rsid w:val="00813DC9"/>
    <w:rsid w:val="00813FD2"/>
    <w:rsid w:val="0081479A"/>
    <w:rsid w:val="00814ABE"/>
    <w:rsid w:val="00815247"/>
    <w:rsid w:val="008163C0"/>
    <w:rsid w:val="00816622"/>
    <w:rsid w:val="00816E52"/>
    <w:rsid w:val="00817756"/>
    <w:rsid w:val="00820A9E"/>
    <w:rsid w:val="0082163C"/>
    <w:rsid w:val="00822416"/>
    <w:rsid w:val="008228EB"/>
    <w:rsid w:val="008248B6"/>
    <w:rsid w:val="00825553"/>
    <w:rsid w:val="00825DBD"/>
    <w:rsid w:val="008275C1"/>
    <w:rsid w:val="00827A0A"/>
    <w:rsid w:val="00827B8A"/>
    <w:rsid w:val="00830CCA"/>
    <w:rsid w:val="00834EFD"/>
    <w:rsid w:val="00837D24"/>
    <w:rsid w:val="00841149"/>
    <w:rsid w:val="00841C81"/>
    <w:rsid w:val="0084276C"/>
    <w:rsid w:val="008427B1"/>
    <w:rsid w:val="008427CE"/>
    <w:rsid w:val="00842BCD"/>
    <w:rsid w:val="00842C6D"/>
    <w:rsid w:val="008431E6"/>
    <w:rsid w:val="00844239"/>
    <w:rsid w:val="00845504"/>
    <w:rsid w:val="00846466"/>
    <w:rsid w:val="0084653E"/>
    <w:rsid w:val="008478CD"/>
    <w:rsid w:val="00850148"/>
    <w:rsid w:val="00851284"/>
    <w:rsid w:val="0085131C"/>
    <w:rsid w:val="00852A13"/>
    <w:rsid w:val="00852CB7"/>
    <w:rsid w:val="00852FCE"/>
    <w:rsid w:val="008530DC"/>
    <w:rsid w:val="00853604"/>
    <w:rsid w:val="00856118"/>
    <w:rsid w:val="00856166"/>
    <w:rsid w:val="008563CC"/>
    <w:rsid w:val="00856D01"/>
    <w:rsid w:val="00857469"/>
    <w:rsid w:val="00861432"/>
    <w:rsid w:val="00861E6D"/>
    <w:rsid w:val="00863782"/>
    <w:rsid w:val="00863E87"/>
    <w:rsid w:val="00864374"/>
    <w:rsid w:val="00864955"/>
    <w:rsid w:val="00864999"/>
    <w:rsid w:val="008649E4"/>
    <w:rsid w:val="00864ABC"/>
    <w:rsid w:val="00865225"/>
    <w:rsid w:val="00870A1C"/>
    <w:rsid w:val="00871845"/>
    <w:rsid w:val="00871F03"/>
    <w:rsid w:val="00873946"/>
    <w:rsid w:val="008753F5"/>
    <w:rsid w:val="00875D47"/>
    <w:rsid w:val="0087770C"/>
    <w:rsid w:val="00877AB7"/>
    <w:rsid w:val="00880B70"/>
    <w:rsid w:val="00881B3B"/>
    <w:rsid w:val="00881E3F"/>
    <w:rsid w:val="0088275A"/>
    <w:rsid w:val="00882CF8"/>
    <w:rsid w:val="008837EA"/>
    <w:rsid w:val="0088416A"/>
    <w:rsid w:val="00884DDA"/>
    <w:rsid w:val="008859F9"/>
    <w:rsid w:val="008872C0"/>
    <w:rsid w:val="008878D0"/>
    <w:rsid w:val="00887CC3"/>
    <w:rsid w:val="0089174F"/>
    <w:rsid w:val="00891F94"/>
    <w:rsid w:val="008932FA"/>
    <w:rsid w:val="00895828"/>
    <w:rsid w:val="0089588D"/>
    <w:rsid w:val="008A0BCE"/>
    <w:rsid w:val="008A13C3"/>
    <w:rsid w:val="008A3709"/>
    <w:rsid w:val="008A4ABC"/>
    <w:rsid w:val="008A7E4C"/>
    <w:rsid w:val="008B1298"/>
    <w:rsid w:val="008B20E5"/>
    <w:rsid w:val="008B2FDB"/>
    <w:rsid w:val="008B37B9"/>
    <w:rsid w:val="008C1F22"/>
    <w:rsid w:val="008C3C1D"/>
    <w:rsid w:val="008C4716"/>
    <w:rsid w:val="008C4882"/>
    <w:rsid w:val="008C559F"/>
    <w:rsid w:val="008C5915"/>
    <w:rsid w:val="008C65AB"/>
    <w:rsid w:val="008C73BA"/>
    <w:rsid w:val="008C78C5"/>
    <w:rsid w:val="008C7A37"/>
    <w:rsid w:val="008C7E73"/>
    <w:rsid w:val="008D1334"/>
    <w:rsid w:val="008D1BBF"/>
    <w:rsid w:val="008D3411"/>
    <w:rsid w:val="008D3D51"/>
    <w:rsid w:val="008D4E33"/>
    <w:rsid w:val="008D6406"/>
    <w:rsid w:val="008D7798"/>
    <w:rsid w:val="008E197F"/>
    <w:rsid w:val="008E32AC"/>
    <w:rsid w:val="008E462E"/>
    <w:rsid w:val="008E57F8"/>
    <w:rsid w:val="008E6A36"/>
    <w:rsid w:val="008E7DD0"/>
    <w:rsid w:val="008F034F"/>
    <w:rsid w:val="008F0A45"/>
    <w:rsid w:val="008F21D7"/>
    <w:rsid w:val="008F28C5"/>
    <w:rsid w:val="008F2F49"/>
    <w:rsid w:val="008F339A"/>
    <w:rsid w:val="008F39B5"/>
    <w:rsid w:val="008F3CD8"/>
    <w:rsid w:val="008F4F2D"/>
    <w:rsid w:val="008F59CF"/>
    <w:rsid w:val="008F623D"/>
    <w:rsid w:val="00901823"/>
    <w:rsid w:val="00903BC3"/>
    <w:rsid w:val="00903C0F"/>
    <w:rsid w:val="009040B3"/>
    <w:rsid w:val="0090499C"/>
    <w:rsid w:val="00905D3D"/>
    <w:rsid w:val="009110F6"/>
    <w:rsid w:val="009115C9"/>
    <w:rsid w:val="00911807"/>
    <w:rsid w:val="00911EE5"/>
    <w:rsid w:val="0091238A"/>
    <w:rsid w:val="00913064"/>
    <w:rsid w:val="0091399D"/>
    <w:rsid w:val="00914A13"/>
    <w:rsid w:val="00915094"/>
    <w:rsid w:val="00915DB2"/>
    <w:rsid w:val="00915F83"/>
    <w:rsid w:val="00916D41"/>
    <w:rsid w:val="00916D5E"/>
    <w:rsid w:val="009216FD"/>
    <w:rsid w:val="00921D17"/>
    <w:rsid w:val="00922937"/>
    <w:rsid w:val="00925F42"/>
    <w:rsid w:val="009271DC"/>
    <w:rsid w:val="00927666"/>
    <w:rsid w:val="00931DFA"/>
    <w:rsid w:val="00932E1C"/>
    <w:rsid w:val="009331DA"/>
    <w:rsid w:val="00933F88"/>
    <w:rsid w:val="00933FCD"/>
    <w:rsid w:val="0093451A"/>
    <w:rsid w:val="009363FD"/>
    <w:rsid w:val="00936408"/>
    <w:rsid w:val="0093759B"/>
    <w:rsid w:val="00940A0B"/>
    <w:rsid w:val="009418BD"/>
    <w:rsid w:val="00942173"/>
    <w:rsid w:val="00942334"/>
    <w:rsid w:val="0094538B"/>
    <w:rsid w:val="00945A16"/>
    <w:rsid w:val="00945C3F"/>
    <w:rsid w:val="0094600B"/>
    <w:rsid w:val="00946715"/>
    <w:rsid w:val="00946F88"/>
    <w:rsid w:val="009478CA"/>
    <w:rsid w:val="00947CCC"/>
    <w:rsid w:val="00951ABA"/>
    <w:rsid w:val="009551E6"/>
    <w:rsid w:val="00955B57"/>
    <w:rsid w:val="00955F89"/>
    <w:rsid w:val="009568C1"/>
    <w:rsid w:val="00956D74"/>
    <w:rsid w:val="00956ED9"/>
    <w:rsid w:val="00957A74"/>
    <w:rsid w:val="0096116F"/>
    <w:rsid w:val="00961666"/>
    <w:rsid w:val="009617DA"/>
    <w:rsid w:val="00963D7C"/>
    <w:rsid w:val="00963E28"/>
    <w:rsid w:val="00964423"/>
    <w:rsid w:val="00965FA2"/>
    <w:rsid w:val="00966957"/>
    <w:rsid w:val="00966A53"/>
    <w:rsid w:val="0096763D"/>
    <w:rsid w:val="0097002F"/>
    <w:rsid w:val="009700C1"/>
    <w:rsid w:val="009726B2"/>
    <w:rsid w:val="009732A0"/>
    <w:rsid w:val="00974984"/>
    <w:rsid w:val="0097524A"/>
    <w:rsid w:val="009752F5"/>
    <w:rsid w:val="00976114"/>
    <w:rsid w:val="00977E1E"/>
    <w:rsid w:val="00985368"/>
    <w:rsid w:val="00987193"/>
    <w:rsid w:val="00987BD5"/>
    <w:rsid w:val="0099089B"/>
    <w:rsid w:val="00990B93"/>
    <w:rsid w:val="0099111E"/>
    <w:rsid w:val="00993DE9"/>
    <w:rsid w:val="009946E9"/>
    <w:rsid w:val="00994ECF"/>
    <w:rsid w:val="0099505D"/>
    <w:rsid w:val="009956FF"/>
    <w:rsid w:val="009963E0"/>
    <w:rsid w:val="009973C1"/>
    <w:rsid w:val="009A248C"/>
    <w:rsid w:val="009A2C11"/>
    <w:rsid w:val="009A377F"/>
    <w:rsid w:val="009A3E86"/>
    <w:rsid w:val="009A6587"/>
    <w:rsid w:val="009A6D0D"/>
    <w:rsid w:val="009B0234"/>
    <w:rsid w:val="009B1A4C"/>
    <w:rsid w:val="009B1C99"/>
    <w:rsid w:val="009B1EF0"/>
    <w:rsid w:val="009B233E"/>
    <w:rsid w:val="009B3BFC"/>
    <w:rsid w:val="009B540E"/>
    <w:rsid w:val="009B545F"/>
    <w:rsid w:val="009B5DD8"/>
    <w:rsid w:val="009B6363"/>
    <w:rsid w:val="009B6ECA"/>
    <w:rsid w:val="009B7F2B"/>
    <w:rsid w:val="009C0A00"/>
    <w:rsid w:val="009C3AB5"/>
    <w:rsid w:val="009C5D43"/>
    <w:rsid w:val="009C7126"/>
    <w:rsid w:val="009D1BD8"/>
    <w:rsid w:val="009D2950"/>
    <w:rsid w:val="009D37DD"/>
    <w:rsid w:val="009D5A1D"/>
    <w:rsid w:val="009D6639"/>
    <w:rsid w:val="009D6F41"/>
    <w:rsid w:val="009E0422"/>
    <w:rsid w:val="009E1486"/>
    <w:rsid w:val="009E2AC0"/>
    <w:rsid w:val="009E2F3D"/>
    <w:rsid w:val="009E358D"/>
    <w:rsid w:val="009E362F"/>
    <w:rsid w:val="009E7A27"/>
    <w:rsid w:val="009E7D40"/>
    <w:rsid w:val="009F0F58"/>
    <w:rsid w:val="009F3F75"/>
    <w:rsid w:val="009F52B1"/>
    <w:rsid w:val="009F7364"/>
    <w:rsid w:val="00A0068B"/>
    <w:rsid w:val="00A00763"/>
    <w:rsid w:val="00A014F2"/>
    <w:rsid w:val="00A024DC"/>
    <w:rsid w:val="00A0273C"/>
    <w:rsid w:val="00A03C23"/>
    <w:rsid w:val="00A05721"/>
    <w:rsid w:val="00A06F7E"/>
    <w:rsid w:val="00A111AF"/>
    <w:rsid w:val="00A112CA"/>
    <w:rsid w:val="00A122C5"/>
    <w:rsid w:val="00A123A6"/>
    <w:rsid w:val="00A12964"/>
    <w:rsid w:val="00A140FD"/>
    <w:rsid w:val="00A14521"/>
    <w:rsid w:val="00A157B8"/>
    <w:rsid w:val="00A16968"/>
    <w:rsid w:val="00A17DFC"/>
    <w:rsid w:val="00A21917"/>
    <w:rsid w:val="00A219A9"/>
    <w:rsid w:val="00A22C18"/>
    <w:rsid w:val="00A24608"/>
    <w:rsid w:val="00A26B6F"/>
    <w:rsid w:val="00A30580"/>
    <w:rsid w:val="00A31124"/>
    <w:rsid w:val="00A31267"/>
    <w:rsid w:val="00A31990"/>
    <w:rsid w:val="00A33E8F"/>
    <w:rsid w:val="00A346FB"/>
    <w:rsid w:val="00A3623B"/>
    <w:rsid w:val="00A36F2C"/>
    <w:rsid w:val="00A37005"/>
    <w:rsid w:val="00A379C7"/>
    <w:rsid w:val="00A456BC"/>
    <w:rsid w:val="00A46878"/>
    <w:rsid w:val="00A53114"/>
    <w:rsid w:val="00A538D2"/>
    <w:rsid w:val="00A53EF9"/>
    <w:rsid w:val="00A55347"/>
    <w:rsid w:val="00A57DCF"/>
    <w:rsid w:val="00A600BA"/>
    <w:rsid w:val="00A60B68"/>
    <w:rsid w:val="00A619FA"/>
    <w:rsid w:val="00A61D73"/>
    <w:rsid w:val="00A63166"/>
    <w:rsid w:val="00A66651"/>
    <w:rsid w:val="00A70B20"/>
    <w:rsid w:val="00A718FA"/>
    <w:rsid w:val="00A74482"/>
    <w:rsid w:val="00A747AF"/>
    <w:rsid w:val="00A76D54"/>
    <w:rsid w:val="00A76FD4"/>
    <w:rsid w:val="00A80244"/>
    <w:rsid w:val="00A80C05"/>
    <w:rsid w:val="00A820E0"/>
    <w:rsid w:val="00A845F5"/>
    <w:rsid w:val="00A84C71"/>
    <w:rsid w:val="00A857CE"/>
    <w:rsid w:val="00A85BAF"/>
    <w:rsid w:val="00A85DFF"/>
    <w:rsid w:val="00A91A53"/>
    <w:rsid w:val="00A91DA9"/>
    <w:rsid w:val="00A92224"/>
    <w:rsid w:val="00A930A7"/>
    <w:rsid w:val="00A93536"/>
    <w:rsid w:val="00A94291"/>
    <w:rsid w:val="00A96EE3"/>
    <w:rsid w:val="00A97FAE"/>
    <w:rsid w:val="00AA0362"/>
    <w:rsid w:val="00AA2DA9"/>
    <w:rsid w:val="00AA46C3"/>
    <w:rsid w:val="00AA5AFA"/>
    <w:rsid w:val="00AA6BBE"/>
    <w:rsid w:val="00AA76D7"/>
    <w:rsid w:val="00AB0EC0"/>
    <w:rsid w:val="00AB25E5"/>
    <w:rsid w:val="00AB261A"/>
    <w:rsid w:val="00AB3BF4"/>
    <w:rsid w:val="00AB4374"/>
    <w:rsid w:val="00AB566B"/>
    <w:rsid w:val="00AB7195"/>
    <w:rsid w:val="00AB71A2"/>
    <w:rsid w:val="00AB7F8D"/>
    <w:rsid w:val="00AC0218"/>
    <w:rsid w:val="00AC102F"/>
    <w:rsid w:val="00AC1C37"/>
    <w:rsid w:val="00AC1FC3"/>
    <w:rsid w:val="00AC4778"/>
    <w:rsid w:val="00AC4D92"/>
    <w:rsid w:val="00AC52D7"/>
    <w:rsid w:val="00AC6CB6"/>
    <w:rsid w:val="00AC75C6"/>
    <w:rsid w:val="00AD297B"/>
    <w:rsid w:val="00AD329F"/>
    <w:rsid w:val="00AD3C82"/>
    <w:rsid w:val="00AD4D43"/>
    <w:rsid w:val="00AD60B0"/>
    <w:rsid w:val="00AD62DD"/>
    <w:rsid w:val="00AD67EF"/>
    <w:rsid w:val="00AD76FE"/>
    <w:rsid w:val="00AD7D0D"/>
    <w:rsid w:val="00AD7FEE"/>
    <w:rsid w:val="00AE20CF"/>
    <w:rsid w:val="00AE34EA"/>
    <w:rsid w:val="00AE36C2"/>
    <w:rsid w:val="00AE53DA"/>
    <w:rsid w:val="00AE5CFC"/>
    <w:rsid w:val="00AE72AE"/>
    <w:rsid w:val="00AF0F02"/>
    <w:rsid w:val="00AF1E15"/>
    <w:rsid w:val="00AF2ADB"/>
    <w:rsid w:val="00AF52FA"/>
    <w:rsid w:val="00AF7043"/>
    <w:rsid w:val="00B00430"/>
    <w:rsid w:val="00B025BA"/>
    <w:rsid w:val="00B03252"/>
    <w:rsid w:val="00B03592"/>
    <w:rsid w:val="00B03E94"/>
    <w:rsid w:val="00B04428"/>
    <w:rsid w:val="00B04A70"/>
    <w:rsid w:val="00B04D7F"/>
    <w:rsid w:val="00B066D3"/>
    <w:rsid w:val="00B100C2"/>
    <w:rsid w:val="00B104D5"/>
    <w:rsid w:val="00B114CE"/>
    <w:rsid w:val="00B11E16"/>
    <w:rsid w:val="00B12403"/>
    <w:rsid w:val="00B13061"/>
    <w:rsid w:val="00B17FB0"/>
    <w:rsid w:val="00B21A13"/>
    <w:rsid w:val="00B24515"/>
    <w:rsid w:val="00B246D0"/>
    <w:rsid w:val="00B27283"/>
    <w:rsid w:val="00B30672"/>
    <w:rsid w:val="00B3070B"/>
    <w:rsid w:val="00B30A0A"/>
    <w:rsid w:val="00B339DC"/>
    <w:rsid w:val="00B33EDA"/>
    <w:rsid w:val="00B348BD"/>
    <w:rsid w:val="00B348EC"/>
    <w:rsid w:val="00B35E0E"/>
    <w:rsid w:val="00B36E0F"/>
    <w:rsid w:val="00B36E8E"/>
    <w:rsid w:val="00B3710E"/>
    <w:rsid w:val="00B37BFA"/>
    <w:rsid w:val="00B45CD4"/>
    <w:rsid w:val="00B46EFE"/>
    <w:rsid w:val="00B476E6"/>
    <w:rsid w:val="00B53729"/>
    <w:rsid w:val="00B5375E"/>
    <w:rsid w:val="00B54348"/>
    <w:rsid w:val="00B54C43"/>
    <w:rsid w:val="00B54CB3"/>
    <w:rsid w:val="00B566A0"/>
    <w:rsid w:val="00B56FEE"/>
    <w:rsid w:val="00B57D18"/>
    <w:rsid w:val="00B57FB8"/>
    <w:rsid w:val="00B614E7"/>
    <w:rsid w:val="00B63934"/>
    <w:rsid w:val="00B6521E"/>
    <w:rsid w:val="00B65775"/>
    <w:rsid w:val="00B65B66"/>
    <w:rsid w:val="00B70771"/>
    <w:rsid w:val="00B722BE"/>
    <w:rsid w:val="00B72466"/>
    <w:rsid w:val="00B72D65"/>
    <w:rsid w:val="00B7333E"/>
    <w:rsid w:val="00B73BD2"/>
    <w:rsid w:val="00B73EC3"/>
    <w:rsid w:val="00B74A32"/>
    <w:rsid w:val="00B75CA8"/>
    <w:rsid w:val="00B75D2B"/>
    <w:rsid w:val="00B764C9"/>
    <w:rsid w:val="00B772AE"/>
    <w:rsid w:val="00B80FAD"/>
    <w:rsid w:val="00B83FF3"/>
    <w:rsid w:val="00B842DC"/>
    <w:rsid w:val="00B84464"/>
    <w:rsid w:val="00B85197"/>
    <w:rsid w:val="00B86228"/>
    <w:rsid w:val="00B8673F"/>
    <w:rsid w:val="00B869D0"/>
    <w:rsid w:val="00B87169"/>
    <w:rsid w:val="00B87AC2"/>
    <w:rsid w:val="00B91449"/>
    <w:rsid w:val="00B92039"/>
    <w:rsid w:val="00B92AD7"/>
    <w:rsid w:val="00B92CA2"/>
    <w:rsid w:val="00B955D3"/>
    <w:rsid w:val="00B96A69"/>
    <w:rsid w:val="00BA1991"/>
    <w:rsid w:val="00BA1DDC"/>
    <w:rsid w:val="00BA38F7"/>
    <w:rsid w:val="00BA439F"/>
    <w:rsid w:val="00BA7A4D"/>
    <w:rsid w:val="00BB04A2"/>
    <w:rsid w:val="00BB273C"/>
    <w:rsid w:val="00BB41DA"/>
    <w:rsid w:val="00BB6ADC"/>
    <w:rsid w:val="00BB6C55"/>
    <w:rsid w:val="00BB71BE"/>
    <w:rsid w:val="00BC037A"/>
    <w:rsid w:val="00BC0CB9"/>
    <w:rsid w:val="00BC1124"/>
    <w:rsid w:val="00BC15FB"/>
    <w:rsid w:val="00BC2995"/>
    <w:rsid w:val="00BC407F"/>
    <w:rsid w:val="00BC50D0"/>
    <w:rsid w:val="00BC74E9"/>
    <w:rsid w:val="00BC75B8"/>
    <w:rsid w:val="00BC7E87"/>
    <w:rsid w:val="00BD0130"/>
    <w:rsid w:val="00BD1373"/>
    <w:rsid w:val="00BD2205"/>
    <w:rsid w:val="00BD3A80"/>
    <w:rsid w:val="00BD3C9E"/>
    <w:rsid w:val="00BD46E4"/>
    <w:rsid w:val="00BD4811"/>
    <w:rsid w:val="00BD4DC3"/>
    <w:rsid w:val="00BD525A"/>
    <w:rsid w:val="00BD54EC"/>
    <w:rsid w:val="00BD582D"/>
    <w:rsid w:val="00BD6436"/>
    <w:rsid w:val="00BD7A5F"/>
    <w:rsid w:val="00BE50B0"/>
    <w:rsid w:val="00BE682A"/>
    <w:rsid w:val="00BF05C8"/>
    <w:rsid w:val="00BF1B56"/>
    <w:rsid w:val="00BF22A4"/>
    <w:rsid w:val="00BF2766"/>
    <w:rsid w:val="00BF3FBE"/>
    <w:rsid w:val="00BF49E2"/>
    <w:rsid w:val="00BF56C9"/>
    <w:rsid w:val="00BF6191"/>
    <w:rsid w:val="00BF6590"/>
    <w:rsid w:val="00BF70AE"/>
    <w:rsid w:val="00BF78AA"/>
    <w:rsid w:val="00C00923"/>
    <w:rsid w:val="00C0145A"/>
    <w:rsid w:val="00C02854"/>
    <w:rsid w:val="00C034A9"/>
    <w:rsid w:val="00C03757"/>
    <w:rsid w:val="00C062DD"/>
    <w:rsid w:val="00C06AAF"/>
    <w:rsid w:val="00C07386"/>
    <w:rsid w:val="00C1170C"/>
    <w:rsid w:val="00C1240B"/>
    <w:rsid w:val="00C12422"/>
    <w:rsid w:val="00C12EBB"/>
    <w:rsid w:val="00C1339F"/>
    <w:rsid w:val="00C153B0"/>
    <w:rsid w:val="00C162ED"/>
    <w:rsid w:val="00C17285"/>
    <w:rsid w:val="00C20336"/>
    <w:rsid w:val="00C23020"/>
    <w:rsid w:val="00C232F8"/>
    <w:rsid w:val="00C26BDB"/>
    <w:rsid w:val="00C26C08"/>
    <w:rsid w:val="00C34179"/>
    <w:rsid w:val="00C346A7"/>
    <w:rsid w:val="00C350E6"/>
    <w:rsid w:val="00C3533D"/>
    <w:rsid w:val="00C37AFC"/>
    <w:rsid w:val="00C4107C"/>
    <w:rsid w:val="00C413B6"/>
    <w:rsid w:val="00C42D0D"/>
    <w:rsid w:val="00C442DC"/>
    <w:rsid w:val="00C44A13"/>
    <w:rsid w:val="00C52F6F"/>
    <w:rsid w:val="00C54254"/>
    <w:rsid w:val="00C55391"/>
    <w:rsid w:val="00C55588"/>
    <w:rsid w:val="00C56611"/>
    <w:rsid w:val="00C57624"/>
    <w:rsid w:val="00C632DF"/>
    <w:rsid w:val="00C63F09"/>
    <w:rsid w:val="00C647A3"/>
    <w:rsid w:val="00C65559"/>
    <w:rsid w:val="00C659F9"/>
    <w:rsid w:val="00C66345"/>
    <w:rsid w:val="00C707BA"/>
    <w:rsid w:val="00C70E00"/>
    <w:rsid w:val="00C7201C"/>
    <w:rsid w:val="00C73229"/>
    <w:rsid w:val="00C73A9B"/>
    <w:rsid w:val="00C7536F"/>
    <w:rsid w:val="00C75425"/>
    <w:rsid w:val="00C76278"/>
    <w:rsid w:val="00C76838"/>
    <w:rsid w:val="00C7740E"/>
    <w:rsid w:val="00C77C78"/>
    <w:rsid w:val="00C8438F"/>
    <w:rsid w:val="00C846E1"/>
    <w:rsid w:val="00C85984"/>
    <w:rsid w:val="00C91A4F"/>
    <w:rsid w:val="00C92506"/>
    <w:rsid w:val="00C92555"/>
    <w:rsid w:val="00C92DB2"/>
    <w:rsid w:val="00C9369B"/>
    <w:rsid w:val="00C93FC7"/>
    <w:rsid w:val="00C9453A"/>
    <w:rsid w:val="00CA0297"/>
    <w:rsid w:val="00CA108E"/>
    <w:rsid w:val="00CA2745"/>
    <w:rsid w:val="00CA2BA2"/>
    <w:rsid w:val="00CA2BBE"/>
    <w:rsid w:val="00CA42CD"/>
    <w:rsid w:val="00CA4A8D"/>
    <w:rsid w:val="00CA51F0"/>
    <w:rsid w:val="00CA56C3"/>
    <w:rsid w:val="00CA6029"/>
    <w:rsid w:val="00CA6D9E"/>
    <w:rsid w:val="00CA7416"/>
    <w:rsid w:val="00CA745E"/>
    <w:rsid w:val="00CA7879"/>
    <w:rsid w:val="00CB12AC"/>
    <w:rsid w:val="00CB33FC"/>
    <w:rsid w:val="00CB7D4A"/>
    <w:rsid w:val="00CC06E1"/>
    <w:rsid w:val="00CC2A58"/>
    <w:rsid w:val="00CC3545"/>
    <w:rsid w:val="00CC7B46"/>
    <w:rsid w:val="00CD0C31"/>
    <w:rsid w:val="00CD184D"/>
    <w:rsid w:val="00CD184F"/>
    <w:rsid w:val="00CD2CD7"/>
    <w:rsid w:val="00CD341E"/>
    <w:rsid w:val="00CD67AE"/>
    <w:rsid w:val="00CE1079"/>
    <w:rsid w:val="00CE1F18"/>
    <w:rsid w:val="00CE1FA8"/>
    <w:rsid w:val="00CE3A05"/>
    <w:rsid w:val="00CE443D"/>
    <w:rsid w:val="00CE5F99"/>
    <w:rsid w:val="00CE7AE4"/>
    <w:rsid w:val="00CE7F3C"/>
    <w:rsid w:val="00CF037B"/>
    <w:rsid w:val="00CF037C"/>
    <w:rsid w:val="00CF04F0"/>
    <w:rsid w:val="00CF0C45"/>
    <w:rsid w:val="00CF31E5"/>
    <w:rsid w:val="00CF3B6E"/>
    <w:rsid w:val="00CF4C8C"/>
    <w:rsid w:val="00CF5878"/>
    <w:rsid w:val="00CF613C"/>
    <w:rsid w:val="00CF7260"/>
    <w:rsid w:val="00CF7CCC"/>
    <w:rsid w:val="00D01490"/>
    <w:rsid w:val="00D0439C"/>
    <w:rsid w:val="00D04A78"/>
    <w:rsid w:val="00D069D1"/>
    <w:rsid w:val="00D12035"/>
    <w:rsid w:val="00D12592"/>
    <w:rsid w:val="00D127FD"/>
    <w:rsid w:val="00D13612"/>
    <w:rsid w:val="00D13D6A"/>
    <w:rsid w:val="00D15C2E"/>
    <w:rsid w:val="00D16271"/>
    <w:rsid w:val="00D16472"/>
    <w:rsid w:val="00D16D46"/>
    <w:rsid w:val="00D16D7F"/>
    <w:rsid w:val="00D21205"/>
    <w:rsid w:val="00D215EA"/>
    <w:rsid w:val="00D23089"/>
    <w:rsid w:val="00D23C95"/>
    <w:rsid w:val="00D25113"/>
    <w:rsid w:val="00D27A09"/>
    <w:rsid w:val="00D3214F"/>
    <w:rsid w:val="00D3316E"/>
    <w:rsid w:val="00D34C4A"/>
    <w:rsid w:val="00D3501B"/>
    <w:rsid w:val="00D36EA2"/>
    <w:rsid w:val="00D37154"/>
    <w:rsid w:val="00D3729A"/>
    <w:rsid w:val="00D400EA"/>
    <w:rsid w:val="00D40293"/>
    <w:rsid w:val="00D402A5"/>
    <w:rsid w:val="00D4045A"/>
    <w:rsid w:val="00D406D0"/>
    <w:rsid w:val="00D40A35"/>
    <w:rsid w:val="00D41304"/>
    <w:rsid w:val="00D41AE9"/>
    <w:rsid w:val="00D4320C"/>
    <w:rsid w:val="00D439E9"/>
    <w:rsid w:val="00D44D6A"/>
    <w:rsid w:val="00D45880"/>
    <w:rsid w:val="00D4597C"/>
    <w:rsid w:val="00D4623E"/>
    <w:rsid w:val="00D5005F"/>
    <w:rsid w:val="00D50B85"/>
    <w:rsid w:val="00D50FAC"/>
    <w:rsid w:val="00D51938"/>
    <w:rsid w:val="00D51EE2"/>
    <w:rsid w:val="00D53D7B"/>
    <w:rsid w:val="00D55619"/>
    <w:rsid w:val="00D55737"/>
    <w:rsid w:val="00D5580D"/>
    <w:rsid w:val="00D56641"/>
    <w:rsid w:val="00D57AFC"/>
    <w:rsid w:val="00D62065"/>
    <w:rsid w:val="00D623B9"/>
    <w:rsid w:val="00D63E88"/>
    <w:rsid w:val="00D64D37"/>
    <w:rsid w:val="00D650C5"/>
    <w:rsid w:val="00D67A94"/>
    <w:rsid w:val="00D7018D"/>
    <w:rsid w:val="00D713AE"/>
    <w:rsid w:val="00D713CB"/>
    <w:rsid w:val="00D72AD6"/>
    <w:rsid w:val="00D72BFB"/>
    <w:rsid w:val="00D72E7A"/>
    <w:rsid w:val="00D733EA"/>
    <w:rsid w:val="00D76557"/>
    <w:rsid w:val="00D76663"/>
    <w:rsid w:val="00D8066F"/>
    <w:rsid w:val="00D8420D"/>
    <w:rsid w:val="00D84A02"/>
    <w:rsid w:val="00D85CAF"/>
    <w:rsid w:val="00D86175"/>
    <w:rsid w:val="00D862F3"/>
    <w:rsid w:val="00D866E7"/>
    <w:rsid w:val="00D874E1"/>
    <w:rsid w:val="00D87824"/>
    <w:rsid w:val="00D90413"/>
    <w:rsid w:val="00D913B8"/>
    <w:rsid w:val="00D919FA"/>
    <w:rsid w:val="00D926F2"/>
    <w:rsid w:val="00D93AA9"/>
    <w:rsid w:val="00D9463B"/>
    <w:rsid w:val="00D95501"/>
    <w:rsid w:val="00DA1878"/>
    <w:rsid w:val="00DA2035"/>
    <w:rsid w:val="00DA2800"/>
    <w:rsid w:val="00DA5E6F"/>
    <w:rsid w:val="00DA76D7"/>
    <w:rsid w:val="00DA7E55"/>
    <w:rsid w:val="00DB0791"/>
    <w:rsid w:val="00DB0856"/>
    <w:rsid w:val="00DB1B31"/>
    <w:rsid w:val="00DB2630"/>
    <w:rsid w:val="00DB4656"/>
    <w:rsid w:val="00DB727F"/>
    <w:rsid w:val="00DB74BB"/>
    <w:rsid w:val="00DB77E8"/>
    <w:rsid w:val="00DC0958"/>
    <w:rsid w:val="00DC1520"/>
    <w:rsid w:val="00DC17EE"/>
    <w:rsid w:val="00DC43E1"/>
    <w:rsid w:val="00DC6528"/>
    <w:rsid w:val="00DC6B05"/>
    <w:rsid w:val="00DC7539"/>
    <w:rsid w:val="00DD089F"/>
    <w:rsid w:val="00DD09D9"/>
    <w:rsid w:val="00DD1F81"/>
    <w:rsid w:val="00DD228E"/>
    <w:rsid w:val="00DD3E2F"/>
    <w:rsid w:val="00DD53D4"/>
    <w:rsid w:val="00DD6295"/>
    <w:rsid w:val="00DD64F5"/>
    <w:rsid w:val="00DD7914"/>
    <w:rsid w:val="00DE1133"/>
    <w:rsid w:val="00DE15FD"/>
    <w:rsid w:val="00DE1FB9"/>
    <w:rsid w:val="00DE2C0D"/>
    <w:rsid w:val="00DE3C15"/>
    <w:rsid w:val="00DE402B"/>
    <w:rsid w:val="00DE5B75"/>
    <w:rsid w:val="00DE769A"/>
    <w:rsid w:val="00DF26AB"/>
    <w:rsid w:val="00DF3B65"/>
    <w:rsid w:val="00DF4202"/>
    <w:rsid w:val="00DF50A6"/>
    <w:rsid w:val="00DF55F5"/>
    <w:rsid w:val="00DF58C6"/>
    <w:rsid w:val="00DF592E"/>
    <w:rsid w:val="00DF6201"/>
    <w:rsid w:val="00DF7731"/>
    <w:rsid w:val="00DF7C65"/>
    <w:rsid w:val="00E03854"/>
    <w:rsid w:val="00E03C8F"/>
    <w:rsid w:val="00E03FE2"/>
    <w:rsid w:val="00E04AFD"/>
    <w:rsid w:val="00E06352"/>
    <w:rsid w:val="00E10090"/>
    <w:rsid w:val="00E12DDE"/>
    <w:rsid w:val="00E139C0"/>
    <w:rsid w:val="00E16233"/>
    <w:rsid w:val="00E20101"/>
    <w:rsid w:val="00E204CA"/>
    <w:rsid w:val="00E20C0A"/>
    <w:rsid w:val="00E213BB"/>
    <w:rsid w:val="00E22583"/>
    <w:rsid w:val="00E232A2"/>
    <w:rsid w:val="00E26E6C"/>
    <w:rsid w:val="00E30FB5"/>
    <w:rsid w:val="00E31D47"/>
    <w:rsid w:val="00E322D4"/>
    <w:rsid w:val="00E3481A"/>
    <w:rsid w:val="00E41A73"/>
    <w:rsid w:val="00E4363D"/>
    <w:rsid w:val="00E441C5"/>
    <w:rsid w:val="00E465EA"/>
    <w:rsid w:val="00E509CA"/>
    <w:rsid w:val="00E5170D"/>
    <w:rsid w:val="00E52759"/>
    <w:rsid w:val="00E539A7"/>
    <w:rsid w:val="00E53D95"/>
    <w:rsid w:val="00E563BE"/>
    <w:rsid w:val="00E57B3D"/>
    <w:rsid w:val="00E57BD6"/>
    <w:rsid w:val="00E60554"/>
    <w:rsid w:val="00E606B5"/>
    <w:rsid w:val="00E61260"/>
    <w:rsid w:val="00E615F4"/>
    <w:rsid w:val="00E6165B"/>
    <w:rsid w:val="00E63F8F"/>
    <w:rsid w:val="00E6477B"/>
    <w:rsid w:val="00E65E2B"/>
    <w:rsid w:val="00E66313"/>
    <w:rsid w:val="00E6688D"/>
    <w:rsid w:val="00E66FF2"/>
    <w:rsid w:val="00E70AE2"/>
    <w:rsid w:val="00E72AFA"/>
    <w:rsid w:val="00E731A1"/>
    <w:rsid w:val="00E733BF"/>
    <w:rsid w:val="00E73D7C"/>
    <w:rsid w:val="00E77988"/>
    <w:rsid w:val="00E82633"/>
    <w:rsid w:val="00E8490C"/>
    <w:rsid w:val="00E85E3B"/>
    <w:rsid w:val="00E872D8"/>
    <w:rsid w:val="00E87365"/>
    <w:rsid w:val="00E87BDB"/>
    <w:rsid w:val="00E87D0F"/>
    <w:rsid w:val="00E87D9C"/>
    <w:rsid w:val="00E9230E"/>
    <w:rsid w:val="00E933A8"/>
    <w:rsid w:val="00E9517A"/>
    <w:rsid w:val="00E95802"/>
    <w:rsid w:val="00E969B4"/>
    <w:rsid w:val="00E9780B"/>
    <w:rsid w:val="00E97B42"/>
    <w:rsid w:val="00EA0057"/>
    <w:rsid w:val="00EA0DB6"/>
    <w:rsid w:val="00EA0F7F"/>
    <w:rsid w:val="00EA187D"/>
    <w:rsid w:val="00EA1C45"/>
    <w:rsid w:val="00EA1DC9"/>
    <w:rsid w:val="00EA7FF8"/>
    <w:rsid w:val="00EB01F7"/>
    <w:rsid w:val="00EB0FA2"/>
    <w:rsid w:val="00EB122D"/>
    <w:rsid w:val="00EB19DB"/>
    <w:rsid w:val="00EB1A9B"/>
    <w:rsid w:val="00EB2D44"/>
    <w:rsid w:val="00EB2E3A"/>
    <w:rsid w:val="00EB36A1"/>
    <w:rsid w:val="00EB39D3"/>
    <w:rsid w:val="00EB3ACC"/>
    <w:rsid w:val="00EB3CB3"/>
    <w:rsid w:val="00EB46AE"/>
    <w:rsid w:val="00EB5D07"/>
    <w:rsid w:val="00EB7D9A"/>
    <w:rsid w:val="00EB7E6A"/>
    <w:rsid w:val="00EC0D80"/>
    <w:rsid w:val="00EC1380"/>
    <w:rsid w:val="00EC28A2"/>
    <w:rsid w:val="00EC50AD"/>
    <w:rsid w:val="00ED3CA0"/>
    <w:rsid w:val="00ED478F"/>
    <w:rsid w:val="00ED4D9F"/>
    <w:rsid w:val="00ED65A5"/>
    <w:rsid w:val="00ED6933"/>
    <w:rsid w:val="00EE105A"/>
    <w:rsid w:val="00EE136A"/>
    <w:rsid w:val="00EE14BC"/>
    <w:rsid w:val="00EE37A5"/>
    <w:rsid w:val="00EE3906"/>
    <w:rsid w:val="00EE5A79"/>
    <w:rsid w:val="00EE7087"/>
    <w:rsid w:val="00EE7708"/>
    <w:rsid w:val="00EF5F19"/>
    <w:rsid w:val="00EF7AFC"/>
    <w:rsid w:val="00EF7DE2"/>
    <w:rsid w:val="00F02279"/>
    <w:rsid w:val="00F04B70"/>
    <w:rsid w:val="00F04F0F"/>
    <w:rsid w:val="00F056FA"/>
    <w:rsid w:val="00F069FF"/>
    <w:rsid w:val="00F07BCB"/>
    <w:rsid w:val="00F1086D"/>
    <w:rsid w:val="00F11482"/>
    <w:rsid w:val="00F119FC"/>
    <w:rsid w:val="00F170D6"/>
    <w:rsid w:val="00F2052D"/>
    <w:rsid w:val="00F221D6"/>
    <w:rsid w:val="00F22EBD"/>
    <w:rsid w:val="00F23B40"/>
    <w:rsid w:val="00F24CE3"/>
    <w:rsid w:val="00F24EFE"/>
    <w:rsid w:val="00F25321"/>
    <w:rsid w:val="00F268E7"/>
    <w:rsid w:val="00F26F33"/>
    <w:rsid w:val="00F31522"/>
    <w:rsid w:val="00F32CD6"/>
    <w:rsid w:val="00F32EB6"/>
    <w:rsid w:val="00F33C0C"/>
    <w:rsid w:val="00F35631"/>
    <w:rsid w:val="00F35827"/>
    <w:rsid w:val="00F36682"/>
    <w:rsid w:val="00F366F3"/>
    <w:rsid w:val="00F40056"/>
    <w:rsid w:val="00F4167D"/>
    <w:rsid w:val="00F42104"/>
    <w:rsid w:val="00F44F3E"/>
    <w:rsid w:val="00F458DB"/>
    <w:rsid w:val="00F50E15"/>
    <w:rsid w:val="00F51E3B"/>
    <w:rsid w:val="00F532C5"/>
    <w:rsid w:val="00F562BF"/>
    <w:rsid w:val="00F61B12"/>
    <w:rsid w:val="00F623E4"/>
    <w:rsid w:val="00F634BC"/>
    <w:rsid w:val="00F652E0"/>
    <w:rsid w:val="00F70926"/>
    <w:rsid w:val="00F71156"/>
    <w:rsid w:val="00F717B5"/>
    <w:rsid w:val="00F71AF6"/>
    <w:rsid w:val="00F74CF6"/>
    <w:rsid w:val="00F751F2"/>
    <w:rsid w:val="00F76357"/>
    <w:rsid w:val="00F821C9"/>
    <w:rsid w:val="00F8296F"/>
    <w:rsid w:val="00F92763"/>
    <w:rsid w:val="00F93947"/>
    <w:rsid w:val="00F958B1"/>
    <w:rsid w:val="00F969D7"/>
    <w:rsid w:val="00F97B3C"/>
    <w:rsid w:val="00FA0457"/>
    <w:rsid w:val="00FA1651"/>
    <w:rsid w:val="00FA2BCE"/>
    <w:rsid w:val="00FA537A"/>
    <w:rsid w:val="00FA6E7A"/>
    <w:rsid w:val="00FB18D5"/>
    <w:rsid w:val="00FB319C"/>
    <w:rsid w:val="00FB3A88"/>
    <w:rsid w:val="00FB40D7"/>
    <w:rsid w:val="00FB4332"/>
    <w:rsid w:val="00FB57E5"/>
    <w:rsid w:val="00FB6C1C"/>
    <w:rsid w:val="00FB7504"/>
    <w:rsid w:val="00FB7E40"/>
    <w:rsid w:val="00FC0E44"/>
    <w:rsid w:val="00FC32A3"/>
    <w:rsid w:val="00FC40F3"/>
    <w:rsid w:val="00FC534D"/>
    <w:rsid w:val="00FC6E11"/>
    <w:rsid w:val="00FC7CE8"/>
    <w:rsid w:val="00FD0141"/>
    <w:rsid w:val="00FD0A60"/>
    <w:rsid w:val="00FD21AD"/>
    <w:rsid w:val="00FD3817"/>
    <w:rsid w:val="00FD60E1"/>
    <w:rsid w:val="00FD63E5"/>
    <w:rsid w:val="00FE0622"/>
    <w:rsid w:val="00FE0A9E"/>
    <w:rsid w:val="00FE11BE"/>
    <w:rsid w:val="00FE1EE2"/>
    <w:rsid w:val="00FE475B"/>
    <w:rsid w:val="00FE616A"/>
    <w:rsid w:val="00FE76ED"/>
    <w:rsid w:val="00FE7807"/>
    <w:rsid w:val="00FE7B30"/>
    <w:rsid w:val="00FF0A96"/>
    <w:rsid w:val="00FF48EA"/>
    <w:rsid w:val="00FF6114"/>
    <w:rsid w:val="00FF7532"/>
    <w:rsid w:val="01036917"/>
    <w:rsid w:val="01114D4E"/>
    <w:rsid w:val="0172383B"/>
    <w:rsid w:val="01DD7288"/>
    <w:rsid w:val="01DF3502"/>
    <w:rsid w:val="022B6D59"/>
    <w:rsid w:val="025673E8"/>
    <w:rsid w:val="02E34E0F"/>
    <w:rsid w:val="03142C59"/>
    <w:rsid w:val="031633FF"/>
    <w:rsid w:val="03217689"/>
    <w:rsid w:val="033B1F2D"/>
    <w:rsid w:val="03806638"/>
    <w:rsid w:val="03D33331"/>
    <w:rsid w:val="03E448D0"/>
    <w:rsid w:val="044A3AC7"/>
    <w:rsid w:val="049B67CE"/>
    <w:rsid w:val="04B74454"/>
    <w:rsid w:val="04D60BDD"/>
    <w:rsid w:val="04E12763"/>
    <w:rsid w:val="04F67AF3"/>
    <w:rsid w:val="05254332"/>
    <w:rsid w:val="05556E2E"/>
    <w:rsid w:val="058121FC"/>
    <w:rsid w:val="05A53C38"/>
    <w:rsid w:val="05C14DCB"/>
    <w:rsid w:val="065D593D"/>
    <w:rsid w:val="069C0AA2"/>
    <w:rsid w:val="06A743AF"/>
    <w:rsid w:val="077734AC"/>
    <w:rsid w:val="07984D05"/>
    <w:rsid w:val="07FC1767"/>
    <w:rsid w:val="080727B7"/>
    <w:rsid w:val="08486950"/>
    <w:rsid w:val="085954C3"/>
    <w:rsid w:val="089A1F96"/>
    <w:rsid w:val="09130FE7"/>
    <w:rsid w:val="095112FA"/>
    <w:rsid w:val="09737F92"/>
    <w:rsid w:val="09F6066E"/>
    <w:rsid w:val="0A0817E5"/>
    <w:rsid w:val="0AB60EFB"/>
    <w:rsid w:val="0B394781"/>
    <w:rsid w:val="0B4A1B68"/>
    <w:rsid w:val="0B5161BA"/>
    <w:rsid w:val="0B960841"/>
    <w:rsid w:val="0BD54CAF"/>
    <w:rsid w:val="0BED4FA3"/>
    <w:rsid w:val="0BF37B19"/>
    <w:rsid w:val="0C037608"/>
    <w:rsid w:val="0C332CED"/>
    <w:rsid w:val="0C6F19E2"/>
    <w:rsid w:val="0C7F036D"/>
    <w:rsid w:val="0D9D0F18"/>
    <w:rsid w:val="0DE476D0"/>
    <w:rsid w:val="0DE85F5C"/>
    <w:rsid w:val="0EE8239A"/>
    <w:rsid w:val="0F145EE2"/>
    <w:rsid w:val="0F3B40FC"/>
    <w:rsid w:val="0F4D52DF"/>
    <w:rsid w:val="0FBB043D"/>
    <w:rsid w:val="108F12EA"/>
    <w:rsid w:val="10AF6E23"/>
    <w:rsid w:val="10BE1291"/>
    <w:rsid w:val="11741F7A"/>
    <w:rsid w:val="11D30182"/>
    <w:rsid w:val="12520D79"/>
    <w:rsid w:val="128D2EE4"/>
    <w:rsid w:val="131668CE"/>
    <w:rsid w:val="1319620D"/>
    <w:rsid w:val="13587ACA"/>
    <w:rsid w:val="137B55C5"/>
    <w:rsid w:val="140B44C8"/>
    <w:rsid w:val="142D1123"/>
    <w:rsid w:val="14505DBB"/>
    <w:rsid w:val="14AA00AB"/>
    <w:rsid w:val="15512292"/>
    <w:rsid w:val="1564099D"/>
    <w:rsid w:val="15D12F04"/>
    <w:rsid w:val="161E4D9C"/>
    <w:rsid w:val="16232652"/>
    <w:rsid w:val="16B43022"/>
    <w:rsid w:val="16D56BBD"/>
    <w:rsid w:val="17024C62"/>
    <w:rsid w:val="173043A1"/>
    <w:rsid w:val="17357E5C"/>
    <w:rsid w:val="17D34E72"/>
    <w:rsid w:val="182B636A"/>
    <w:rsid w:val="19011DE1"/>
    <w:rsid w:val="19230AC2"/>
    <w:rsid w:val="1959086A"/>
    <w:rsid w:val="19785985"/>
    <w:rsid w:val="19A50A23"/>
    <w:rsid w:val="19CF2275"/>
    <w:rsid w:val="19E110FC"/>
    <w:rsid w:val="1A0A2FDB"/>
    <w:rsid w:val="1A4C05C8"/>
    <w:rsid w:val="1A5F112F"/>
    <w:rsid w:val="1A721154"/>
    <w:rsid w:val="1A9105E6"/>
    <w:rsid w:val="1AD3333C"/>
    <w:rsid w:val="1B6F0A2A"/>
    <w:rsid w:val="1C092124"/>
    <w:rsid w:val="1C4431F9"/>
    <w:rsid w:val="1C657A42"/>
    <w:rsid w:val="1CBD06D0"/>
    <w:rsid w:val="1D15695A"/>
    <w:rsid w:val="1D17050D"/>
    <w:rsid w:val="1D2C7069"/>
    <w:rsid w:val="1D7C49FA"/>
    <w:rsid w:val="1DB01BAC"/>
    <w:rsid w:val="1DB20E70"/>
    <w:rsid w:val="1DF565E3"/>
    <w:rsid w:val="1E7A5A32"/>
    <w:rsid w:val="1EE35A79"/>
    <w:rsid w:val="1EED5B26"/>
    <w:rsid w:val="20540402"/>
    <w:rsid w:val="205B6FBD"/>
    <w:rsid w:val="20907D3B"/>
    <w:rsid w:val="21230C65"/>
    <w:rsid w:val="21DF67CF"/>
    <w:rsid w:val="21FB0187"/>
    <w:rsid w:val="22004961"/>
    <w:rsid w:val="22BF4ABC"/>
    <w:rsid w:val="22C17A53"/>
    <w:rsid w:val="232979B0"/>
    <w:rsid w:val="233344E9"/>
    <w:rsid w:val="235E2731"/>
    <w:rsid w:val="236D25D4"/>
    <w:rsid w:val="2391300B"/>
    <w:rsid w:val="23D9018B"/>
    <w:rsid w:val="23E72A2F"/>
    <w:rsid w:val="23EA3C55"/>
    <w:rsid w:val="2405132A"/>
    <w:rsid w:val="24085141"/>
    <w:rsid w:val="2481071E"/>
    <w:rsid w:val="24AA122D"/>
    <w:rsid w:val="25357DBD"/>
    <w:rsid w:val="25845059"/>
    <w:rsid w:val="25B43AB5"/>
    <w:rsid w:val="261F6DBE"/>
    <w:rsid w:val="266250FD"/>
    <w:rsid w:val="267F26A1"/>
    <w:rsid w:val="26CE257A"/>
    <w:rsid w:val="26ED7E81"/>
    <w:rsid w:val="27042347"/>
    <w:rsid w:val="272173F2"/>
    <w:rsid w:val="274A48CF"/>
    <w:rsid w:val="279F58E8"/>
    <w:rsid w:val="27A22B37"/>
    <w:rsid w:val="280B768D"/>
    <w:rsid w:val="282F3D6F"/>
    <w:rsid w:val="299E2B5C"/>
    <w:rsid w:val="2A8026E5"/>
    <w:rsid w:val="2A831F20"/>
    <w:rsid w:val="2AF81D42"/>
    <w:rsid w:val="2B1C1D53"/>
    <w:rsid w:val="2BA75EFF"/>
    <w:rsid w:val="2BB97E72"/>
    <w:rsid w:val="2C1E7FE0"/>
    <w:rsid w:val="2C3C599D"/>
    <w:rsid w:val="2CD22633"/>
    <w:rsid w:val="2CE16E73"/>
    <w:rsid w:val="2CF963B8"/>
    <w:rsid w:val="2D0111CA"/>
    <w:rsid w:val="2DD16B7D"/>
    <w:rsid w:val="2E3F7D92"/>
    <w:rsid w:val="2E755DFD"/>
    <w:rsid w:val="2E850184"/>
    <w:rsid w:val="2E8D760E"/>
    <w:rsid w:val="2EAC3CD6"/>
    <w:rsid w:val="2ED52786"/>
    <w:rsid w:val="2FB10CC3"/>
    <w:rsid w:val="2FFB113C"/>
    <w:rsid w:val="30C9409E"/>
    <w:rsid w:val="311A24A3"/>
    <w:rsid w:val="312B76DF"/>
    <w:rsid w:val="31333BF1"/>
    <w:rsid w:val="31D47BC2"/>
    <w:rsid w:val="32196C39"/>
    <w:rsid w:val="32B031F3"/>
    <w:rsid w:val="330C56DA"/>
    <w:rsid w:val="33137265"/>
    <w:rsid w:val="334A2FAF"/>
    <w:rsid w:val="34547849"/>
    <w:rsid w:val="357B2CD4"/>
    <w:rsid w:val="3582168A"/>
    <w:rsid w:val="359849F8"/>
    <w:rsid w:val="35D92957"/>
    <w:rsid w:val="35E72AF4"/>
    <w:rsid w:val="365C4CBA"/>
    <w:rsid w:val="366C41C9"/>
    <w:rsid w:val="36BE0BE2"/>
    <w:rsid w:val="36FB0D4A"/>
    <w:rsid w:val="370D557B"/>
    <w:rsid w:val="37AA47D3"/>
    <w:rsid w:val="37AE7859"/>
    <w:rsid w:val="37D4218D"/>
    <w:rsid w:val="381236E9"/>
    <w:rsid w:val="38407C6F"/>
    <w:rsid w:val="385310D1"/>
    <w:rsid w:val="386E128B"/>
    <w:rsid w:val="38A0003F"/>
    <w:rsid w:val="39014C9C"/>
    <w:rsid w:val="39A252D0"/>
    <w:rsid w:val="39AC2D28"/>
    <w:rsid w:val="3A221CCD"/>
    <w:rsid w:val="3A5E10F4"/>
    <w:rsid w:val="3B094A3E"/>
    <w:rsid w:val="3BD16495"/>
    <w:rsid w:val="3C1B74E6"/>
    <w:rsid w:val="3C6A273D"/>
    <w:rsid w:val="3C6F2688"/>
    <w:rsid w:val="3CF83C18"/>
    <w:rsid w:val="3D7E5B68"/>
    <w:rsid w:val="3D9116C7"/>
    <w:rsid w:val="3E0475AA"/>
    <w:rsid w:val="3E1B4205"/>
    <w:rsid w:val="3E463059"/>
    <w:rsid w:val="3E4C1C41"/>
    <w:rsid w:val="3E8F3FF9"/>
    <w:rsid w:val="3EE719D9"/>
    <w:rsid w:val="3F404547"/>
    <w:rsid w:val="3FAB59A6"/>
    <w:rsid w:val="3FAD4EA5"/>
    <w:rsid w:val="3FDA054D"/>
    <w:rsid w:val="3FED0667"/>
    <w:rsid w:val="4028078E"/>
    <w:rsid w:val="40785717"/>
    <w:rsid w:val="40A71265"/>
    <w:rsid w:val="410E1EFE"/>
    <w:rsid w:val="42EF33D6"/>
    <w:rsid w:val="43540D0C"/>
    <w:rsid w:val="44190E07"/>
    <w:rsid w:val="444370B6"/>
    <w:rsid w:val="44832ADE"/>
    <w:rsid w:val="456C4D7C"/>
    <w:rsid w:val="45787AC8"/>
    <w:rsid w:val="458B2E52"/>
    <w:rsid w:val="45F036D5"/>
    <w:rsid w:val="46052C6B"/>
    <w:rsid w:val="46057E03"/>
    <w:rsid w:val="46231545"/>
    <w:rsid w:val="46657E5A"/>
    <w:rsid w:val="47510385"/>
    <w:rsid w:val="47787D3F"/>
    <w:rsid w:val="47E20C6E"/>
    <w:rsid w:val="48A80334"/>
    <w:rsid w:val="48AC1016"/>
    <w:rsid w:val="48CB2E57"/>
    <w:rsid w:val="49AB74C6"/>
    <w:rsid w:val="49EB3439"/>
    <w:rsid w:val="4AAF05D5"/>
    <w:rsid w:val="4ACD0C65"/>
    <w:rsid w:val="4B2D5F5F"/>
    <w:rsid w:val="4B600F43"/>
    <w:rsid w:val="4B7854B9"/>
    <w:rsid w:val="4BDF24EB"/>
    <w:rsid w:val="4BE20F4B"/>
    <w:rsid w:val="4BF56CFD"/>
    <w:rsid w:val="4C1F2B56"/>
    <w:rsid w:val="4C3C3071"/>
    <w:rsid w:val="4C3D094C"/>
    <w:rsid w:val="4CBF37F0"/>
    <w:rsid w:val="4CCC462C"/>
    <w:rsid w:val="4CE364DC"/>
    <w:rsid w:val="4D625EF0"/>
    <w:rsid w:val="4D9F3B17"/>
    <w:rsid w:val="4DDA779F"/>
    <w:rsid w:val="4DE164B9"/>
    <w:rsid w:val="4E331306"/>
    <w:rsid w:val="4E570EA1"/>
    <w:rsid w:val="4EAE480F"/>
    <w:rsid w:val="4EBE498F"/>
    <w:rsid w:val="4F57775E"/>
    <w:rsid w:val="502A5BAE"/>
    <w:rsid w:val="502E59E1"/>
    <w:rsid w:val="504C6739"/>
    <w:rsid w:val="50EA4384"/>
    <w:rsid w:val="51326B27"/>
    <w:rsid w:val="513C4B1C"/>
    <w:rsid w:val="527A4EEB"/>
    <w:rsid w:val="52BE3EB3"/>
    <w:rsid w:val="53504586"/>
    <w:rsid w:val="53710308"/>
    <w:rsid w:val="538233A4"/>
    <w:rsid w:val="53C1364F"/>
    <w:rsid w:val="53C5321D"/>
    <w:rsid w:val="53DE1AB4"/>
    <w:rsid w:val="53DF2391"/>
    <w:rsid w:val="54CB338A"/>
    <w:rsid w:val="55F5724F"/>
    <w:rsid w:val="560D7483"/>
    <w:rsid w:val="56394266"/>
    <w:rsid w:val="564A7711"/>
    <w:rsid w:val="56894326"/>
    <w:rsid w:val="56AC3D9C"/>
    <w:rsid w:val="56EB6675"/>
    <w:rsid w:val="56F765E6"/>
    <w:rsid w:val="57A013BC"/>
    <w:rsid w:val="5813318B"/>
    <w:rsid w:val="582555D9"/>
    <w:rsid w:val="58297A04"/>
    <w:rsid w:val="5953467A"/>
    <w:rsid w:val="59DC3B50"/>
    <w:rsid w:val="59EC6CCC"/>
    <w:rsid w:val="5A6F7039"/>
    <w:rsid w:val="5A7002FB"/>
    <w:rsid w:val="5AE11414"/>
    <w:rsid w:val="5B1D5F6B"/>
    <w:rsid w:val="5B20159D"/>
    <w:rsid w:val="5B330F06"/>
    <w:rsid w:val="5B3E7952"/>
    <w:rsid w:val="5B581A69"/>
    <w:rsid w:val="5B5D291E"/>
    <w:rsid w:val="5BE60628"/>
    <w:rsid w:val="5C163722"/>
    <w:rsid w:val="5C55246F"/>
    <w:rsid w:val="5C6C67C7"/>
    <w:rsid w:val="5CE43169"/>
    <w:rsid w:val="5CFC0A2B"/>
    <w:rsid w:val="5D715199"/>
    <w:rsid w:val="5D937ED7"/>
    <w:rsid w:val="5D944795"/>
    <w:rsid w:val="5DBF1CC7"/>
    <w:rsid w:val="5E236C00"/>
    <w:rsid w:val="5E773E3D"/>
    <w:rsid w:val="5E7F384B"/>
    <w:rsid w:val="5ECF2AF4"/>
    <w:rsid w:val="5EE1057B"/>
    <w:rsid w:val="60061320"/>
    <w:rsid w:val="601A1377"/>
    <w:rsid w:val="607B0FDF"/>
    <w:rsid w:val="6105763A"/>
    <w:rsid w:val="6116251D"/>
    <w:rsid w:val="612D1208"/>
    <w:rsid w:val="6132478D"/>
    <w:rsid w:val="623F06F0"/>
    <w:rsid w:val="62704299"/>
    <w:rsid w:val="62941AE1"/>
    <w:rsid w:val="62A55EE6"/>
    <w:rsid w:val="62E16D7E"/>
    <w:rsid w:val="62E2241A"/>
    <w:rsid w:val="62F57C28"/>
    <w:rsid w:val="633C089E"/>
    <w:rsid w:val="63C412F2"/>
    <w:rsid w:val="64082871"/>
    <w:rsid w:val="649C5D7B"/>
    <w:rsid w:val="64CA6165"/>
    <w:rsid w:val="64DB1553"/>
    <w:rsid w:val="64EC495B"/>
    <w:rsid w:val="660D0432"/>
    <w:rsid w:val="661A6342"/>
    <w:rsid w:val="66416691"/>
    <w:rsid w:val="66D73924"/>
    <w:rsid w:val="67136C12"/>
    <w:rsid w:val="67151213"/>
    <w:rsid w:val="674A469E"/>
    <w:rsid w:val="67D414FF"/>
    <w:rsid w:val="67F46C2F"/>
    <w:rsid w:val="681A34A5"/>
    <w:rsid w:val="68653673"/>
    <w:rsid w:val="68A07F14"/>
    <w:rsid w:val="68EE7513"/>
    <w:rsid w:val="69293BCF"/>
    <w:rsid w:val="69482294"/>
    <w:rsid w:val="69620A77"/>
    <w:rsid w:val="69954CCF"/>
    <w:rsid w:val="6A542445"/>
    <w:rsid w:val="6A5B44E0"/>
    <w:rsid w:val="6A8D0C89"/>
    <w:rsid w:val="6A9069A9"/>
    <w:rsid w:val="6AA6797E"/>
    <w:rsid w:val="6B003B29"/>
    <w:rsid w:val="6B01180E"/>
    <w:rsid w:val="6B35525C"/>
    <w:rsid w:val="6B8447D3"/>
    <w:rsid w:val="6C291093"/>
    <w:rsid w:val="6CBE681D"/>
    <w:rsid w:val="6D52645E"/>
    <w:rsid w:val="6DD164D5"/>
    <w:rsid w:val="6E010BCE"/>
    <w:rsid w:val="6E6803A9"/>
    <w:rsid w:val="6E8E6B8D"/>
    <w:rsid w:val="6F274083"/>
    <w:rsid w:val="6F46182D"/>
    <w:rsid w:val="6F5C35B0"/>
    <w:rsid w:val="6F7D1F4A"/>
    <w:rsid w:val="6FDC6DF5"/>
    <w:rsid w:val="701B7458"/>
    <w:rsid w:val="70AD2ECD"/>
    <w:rsid w:val="71976B7D"/>
    <w:rsid w:val="71A72BE2"/>
    <w:rsid w:val="72035E6F"/>
    <w:rsid w:val="721021B2"/>
    <w:rsid w:val="725F3173"/>
    <w:rsid w:val="7298114E"/>
    <w:rsid w:val="731831BC"/>
    <w:rsid w:val="734C3399"/>
    <w:rsid w:val="73B326B3"/>
    <w:rsid w:val="740B2CAF"/>
    <w:rsid w:val="748D3C24"/>
    <w:rsid w:val="74A018DA"/>
    <w:rsid w:val="74B25906"/>
    <w:rsid w:val="74E868C7"/>
    <w:rsid w:val="74FE2818"/>
    <w:rsid w:val="75324C5B"/>
    <w:rsid w:val="753616AD"/>
    <w:rsid w:val="75FA4B30"/>
    <w:rsid w:val="76333777"/>
    <w:rsid w:val="7650604B"/>
    <w:rsid w:val="7672168F"/>
    <w:rsid w:val="771E7BA2"/>
    <w:rsid w:val="77602D92"/>
    <w:rsid w:val="77F62ACC"/>
    <w:rsid w:val="78E04264"/>
    <w:rsid w:val="78F605AC"/>
    <w:rsid w:val="7910693F"/>
    <w:rsid w:val="797B0B5D"/>
    <w:rsid w:val="7A1A4809"/>
    <w:rsid w:val="7AF77CBD"/>
    <w:rsid w:val="7B221A49"/>
    <w:rsid w:val="7B74240A"/>
    <w:rsid w:val="7B9761A8"/>
    <w:rsid w:val="7BB44667"/>
    <w:rsid w:val="7BDA2DBC"/>
    <w:rsid w:val="7C226959"/>
    <w:rsid w:val="7C3A3EE3"/>
    <w:rsid w:val="7CBD5316"/>
    <w:rsid w:val="7CC35A35"/>
    <w:rsid w:val="7CEE7CFD"/>
    <w:rsid w:val="7D681258"/>
    <w:rsid w:val="7D956174"/>
    <w:rsid w:val="7D9A764C"/>
    <w:rsid w:val="7DE956AA"/>
    <w:rsid w:val="7E254129"/>
    <w:rsid w:val="7E45424E"/>
    <w:rsid w:val="7E6E4143"/>
    <w:rsid w:val="7E9E28BD"/>
    <w:rsid w:val="7EA747CC"/>
    <w:rsid w:val="7FBE2AA9"/>
    <w:rsid w:val="7FCE311E"/>
    <w:rsid w:val="7FCF648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nhideWhenUsed="0" w:uiPriority="99" w:semiHidden="0" w:name="heading 9" w:locked="1"/>
    <w:lsdException w:qFormat="1" w:unhideWhenUsed="0"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0" w:semiHidden="0" w:name="header"/>
    <w:lsdException w:qFormat="1" w:unhideWhenUsed="0" w:uiPriority="99" w:semiHidden="0" w:name="footer"/>
    <w:lsdException w:qFormat="1" w:unhideWhenUsed="0" w:uiPriority="99" w:name="index heading"/>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1"/>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52"/>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53"/>
    <w:qFormat/>
    <w:uiPriority w:val="99"/>
    <w:pPr>
      <w:keepNext/>
      <w:keepLines/>
      <w:spacing w:before="260" w:after="260" w:line="416" w:lineRule="auto"/>
      <w:outlineLvl w:val="2"/>
    </w:pPr>
    <w:rPr>
      <w:b/>
      <w:bCs/>
      <w:sz w:val="32"/>
      <w:szCs w:val="32"/>
    </w:rPr>
  </w:style>
  <w:style w:type="paragraph" w:styleId="6">
    <w:name w:val="heading 4"/>
    <w:basedOn w:val="1"/>
    <w:next w:val="1"/>
    <w:link w:val="54"/>
    <w:qFormat/>
    <w:uiPriority w:val="99"/>
    <w:pPr>
      <w:keepNext/>
      <w:keepLines/>
      <w:spacing w:before="280" w:after="290" w:line="376" w:lineRule="auto"/>
      <w:outlineLvl w:val="3"/>
    </w:pPr>
    <w:rPr>
      <w:rFonts w:ascii="Cambria" w:hAnsi="Cambria" w:cs="Cambria"/>
      <w:b/>
      <w:bCs/>
      <w:sz w:val="28"/>
      <w:szCs w:val="28"/>
    </w:rPr>
  </w:style>
  <w:style w:type="paragraph" w:styleId="7">
    <w:name w:val="heading 5"/>
    <w:basedOn w:val="1"/>
    <w:next w:val="1"/>
    <w:link w:val="55"/>
    <w:qFormat/>
    <w:uiPriority w:val="99"/>
    <w:pPr>
      <w:keepNext/>
      <w:keepLines/>
      <w:spacing w:before="280" w:after="290" w:line="376" w:lineRule="auto"/>
      <w:outlineLvl w:val="4"/>
    </w:pPr>
    <w:rPr>
      <w:rFonts w:ascii="Calibri" w:hAnsi="Calibri" w:cs="Calibri"/>
      <w:b/>
      <w:bCs/>
      <w:sz w:val="28"/>
      <w:szCs w:val="28"/>
    </w:rPr>
  </w:style>
  <w:style w:type="paragraph" w:styleId="8">
    <w:name w:val="heading 9"/>
    <w:basedOn w:val="1"/>
    <w:next w:val="1"/>
    <w:link w:val="142"/>
    <w:qFormat/>
    <w:locked/>
    <w:uiPriority w:val="99"/>
    <w:pPr>
      <w:keepNext/>
      <w:keepLines/>
      <w:widowControl/>
      <w:spacing w:before="240" w:after="64" w:line="320" w:lineRule="auto"/>
      <w:jc w:val="left"/>
      <w:outlineLvl w:val="8"/>
    </w:pPr>
    <w:rPr>
      <w:rFonts w:ascii="Calibri" w:hAnsi="Calibri" w:cs="Calibri"/>
      <w:kern w:val="0"/>
    </w:rPr>
  </w:style>
  <w:style w:type="character" w:default="1" w:styleId="45">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9">
    <w:name w:val="toc 7"/>
    <w:basedOn w:val="1"/>
    <w:next w:val="1"/>
    <w:semiHidden/>
    <w:qFormat/>
    <w:uiPriority w:val="99"/>
    <w:pPr>
      <w:ind w:left="1260"/>
      <w:jc w:val="left"/>
    </w:pPr>
    <w:rPr>
      <w:sz w:val="20"/>
      <w:szCs w:val="20"/>
    </w:rPr>
  </w:style>
  <w:style w:type="paragraph" w:styleId="10">
    <w:name w:val="index 8"/>
    <w:basedOn w:val="1"/>
    <w:next w:val="1"/>
    <w:semiHidden/>
    <w:qFormat/>
    <w:uiPriority w:val="99"/>
    <w:pPr>
      <w:ind w:left="1400" w:leftChars="1400"/>
    </w:pPr>
  </w:style>
  <w:style w:type="paragraph" w:styleId="11">
    <w:name w:val="index 5"/>
    <w:basedOn w:val="1"/>
    <w:next w:val="1"/>
    <w:semiHidden/>
    <w:qFormat/>
    <w:uiPriority w:val="99"/>
    <w:pPr>
      <w:ind w:left="800" w:leftChars="800"/>
    </w:pPr>
  </w:style>
  <w:style w:type="paragraph" w:styleId="12">
    <w:name w:val="Document Map"/>
    <w:basedOn w:val="1"/>
    <w:link w:val="58"/>
    <w:semiHidden/>
    <w:qFormat/>
    <w:uiPriority w:val="99"/>
    <w:rPr>
      <w:rFonts w:ascii="宋体" w:cs="宋体"/>
      <w:sz w:val="18"/>
      <w:szCs w:val="18"/>
    </w:rPr>
  </w:style>
  <w:style w:type="paragraph" w:styleId="13">
    <w:name w:val="annotation text"/>
    <w:basedOn w:val="1"/>
    <w:link w:val="56"/>
    <w:semiHidden/>
    <w:qFormat/>
    <w:uiPriority w:val="99"/>
    <w:pPr>
      <w:jc w:val="left"/>
    </w:pPr>
  </w:style>
  <w:style w:type="paragraph" w:styleId="14">
    <w:name w:val="index 6"/>
    <w:basedOn w:val="1"/>
    <w:next w:val="1"/>
    <w:semiHidden/>
    <w:qFormat/>
    <w:uiPriority w:val="99"/>
    <w:pPr>
      <w:ind w:left="1000" w:leftChars="1000"/>
    </w:pPr>
  </w:style>
  <w:style w:type="paragraph" w:styleId="15">
    <w:name w:val="Body Text"/>
    <w:basedOn w:val="1"/>
    <w:link w:val="59"/>
    <w:qFormat/>
    <w:uiPriority w:val="99"/>
    <w:rPr>
      <w:spacing w:val="20"/>
      <w:sz w:val="24"/>
      <w:szCs w:val="24"/>
    </w:rPr>
  </w:style>
  <w:style w:type="paragraph" w:styleId="16">
    <w:name w:val="Body Text Indent"/>
    <w:basedOn w:val="1"/>
    <w:link w:val="60"/>
    <w:qFormat/>
    <w:uiPriority w:val="99"/>
    <w:pPr>
      <w:adjustRightInd w:val="0"/>
      <w:spacing w:line="360" w:lineRule="auto"/>
      <w:ind w:firstLine="660"/>
      <w:textAlignment w:val="baseline"/>
    </w:pPr>
    <w:rPr>
      <w:rFonts w:ascii="宋体" w:cs="宋体"/>
      <w:spacing w:val="20"/>
      <w:kern w:val="0"/>
      <w:sz w:val="28"/>
      <w:szCs w:val="28"/>
    </w:rPr>
  </w:style>
  <w:style w:type="paragraph" w:styleId="17">
    <w:name w:val="index 4"/>
    <w:basedOn w:val="1"/>
    <w:next w:val="1"/>
    <w:semiHidden/>
    <w:qFormat/>
    <w:uiPriority w:val="99"/>
    <w:pPr>
      <w:ind w:left="600" w:leftChars="600"/>
    </w:pPr>
  </w:style>
  <w:style w:type="paragraph" w:styleId="18">
    <w:name w:val="toc 5"/>
    <w:basedOn w:val="1"/>
    <w:next w:val="1"/>
    <w:semiHidden/>
    <w:qFormat/>
    <w:uiPriority w:val="99"/>
    <w:pPr>
      <w:ind w:left="840"/>
      <w:jc w:val="left"/>
    </w:pPr>
    <w:rPr>
      <w:sz w:val="20"/>
      <w:szCs w:val="20"/>
    </w:rPr>
  </w:style>
  <w:style w:type="paragraph" w:styleId="19">
    <w:name w:val="toc 3"/>
    <w:basedOn w:val="1"/>
    <w:next w:val="1"/>
    <w:semiHidden/>
    <w:qFormat/>
    <w:uiPriority w:val="99"/>
    <w:pPr>
      <w:ind w:left="420"/>
      <w:jc w:val="left"/>
    </w:pPr>
    <w:rPr>
      <w:sz w:val="20"/>
      <w:szCs w:val="20"/>
    </w:rPr>
  </w:style>
  <w:style w:type="paragraph" w:styleId="20">
    <w:name w:val="Plain Text"/>
    <w:basedOn w:val="1"/>
    <w:link w:val="61"/>
    <w:qFormat/>
    <w:uiPriority w:val="99"/>
    <w:pPr>
      <w:spacing w:line="500" w:lineRule="exact"/>
    </w:pPr>
    <w:rPr>
      <w:rFonts w:ascii="宋体" w:hAnsi="Courier New" w:cs="宋体"/>
    </w:rPr>
  </w:style>
  <w:style w:type="paragraph" w:styleId="21">
    <w:name w:val="toc 8"/>
    <w:basedOn w:val="1"/>
    <w:next w:val="1"/>
    <w:semiHidden/>
    <w:qFormat/>
    <w:uiPriority w:val="99"/>
    <w:pPr>
      <w:ind w:left="1470"/>
      <w:jc w:val="left"/>
    </w:pPr>
    <w:rPr>
      <w:sz w:val="20"/>
      <w:szCs w:val="20"/>
    </w:rPr>
  </w:style>
  <w:style w:type="paragraph" w:styleId="22">
    <w:name w:val="index 3"/>
    <w:basedOn w:val="1"/>
    <w:next w:val="1"/>
    <w:semiHidden/>
    <w:qFormat/>
    <w:uiPriority w:val="99"/>
    <w:pPr>
      <w:ind w:left="400" w:leftChars="400"/>
    </w:pPr>
  </w:style>
  <w:style w:type="paragraph" w:styleId="23">
    <w:name w:val="Date"/>
    <w:basedOn w:val="1"/>
    <w:next w:val="1"/>
    <w:link w:val="62"/>
    <w:qFormat/>
    <w:uiPriority w:val="99"/>
    <w:pPr>
      <w:adjustRightInd w:val="0"/>
      <w:spacing w:line="312" w:lineRule="atLeast"/>
      <w:jc w:val="right"/>
      <w:textAlignment w:val="baseline"/>
    </w:pPr>
    <w:rPr>
      <w:rFonts w:ascii="宋体" w:cs="宋体"/>
      <w:spacing w:val="20"/>
      <w:kern w:val="0"/>
      <w:sz w:val="28"/>
      <w:szCs w:val="28"/>
    </w:rPr>
  </w:style>
  <w:style w:type="paragraph" w:styleId="24">
    <w:name w:val="Body Text Indent 2"/>
    <w:basedOn w:val="1"/>
    <w:link w:val="63"/>
    <w:qFormat/>
    <w:uiPriority w:val="99"/>
    <w:pPr>
      <w:spacing w:line="360" w:lineRule="auto"/>
      <w:ind w:firstLine="624"/>
    </w:pPr>
    <w:rPr>
      <w:spacing w:val="20"/>
      <w:sz w:val="28"/>
      <w:szCs w:val="28"/>
    </w:rPr>
  </w:style>
  <w:style w:type="paragraph" w:styleId="25">
    <w:name w:val="Balloon Text"/>
    <w:basedOn w:val="1"/>
    <w:link w:val="64"/>
    <w:semiHidden/>
    <w:qFormat/>
    <w:uiPriority w:val="99"/>
    <w:rPr>
      <w:sz w:val="18"/>
      <w:szCs w:val="18"/>
    </w:rPr>
  </w:style>
  <w:style w:type="paragraph" w:styleId="26">
    <w:name w:val="footer"/>
    <w:basedOn w:val="1"/>
    <w:link w:val="65"/>
    <w:qFormat/>
    <w:uiPriority w:val="99"/>
    <w:pPr>
      <w:tabs>
        <w:tab w:val="center" w:pos="4153"/>
        <w:tab w:val="right" w:pos="8306"/>
      </w:tabs>
      <w:adjustRightInd w:val="0"/>
      <w:spacing w:line="240" w:lineRule="atLeast"/>
      <w:jc w:val="left"/>
      <w:textAlignment w:val="baseline"/>
    </w:pPr>
    <w:rPr>
      <w:kern w:val="0"/>
      <w:sz w:val="18"/>
      <w:szCs w:val="18"/>
    </w:rPr>
  </w:style>
  <w:style w:type="paragraph" w:styleId="27">
    <w:name w:val="header"/>
    <w:basedOn w:val="1"/>
    <w:link w:val="66"/>
    <w:qFormat/>
    <w:uiPriority w:val="0"/>
    <w:pP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9457"/>
      </w:tabs>
      <w:spacing w:line="360" w:lineRule="auto"/>
      <w:jc w:val="center"/>
      <w:outlineLvl w:val="0"/>
    </w:pPr>
    <w:rPr>
      <w:rFonts w:eastAsia="仿宋_GB2312"/>
      <w:b/>
      <w:bCs/>
      <w:spacing w:val="40"/>
      <w:kern w:val="0"/>
      <w:sz w:val="32"/>
      <w:szCs w:val="32"/>
    </w:rPr>
  </w:style>
  <w:style w:type="paragraph" w:styleId="29">
    <w:name w:val="toc 4"/>
    <w:basedOn w:val="1"/>
    <w:next w:val="1"/>
    <w:semiHidden/>
    <w:qFormat/>
    <w:uiPriority w:val="99"/>
    <w:pPr>
      <w:ind w:left="630"/>
      <w:jc w:val="left"/>
    </w:pPr>
    <w:rPr>
      <w:sz w:val="20"/>
      <w:szCs w:val="20"/>
    </w:rPr>
  </w:style>
  <w:style w:type="paragraph" w:styleId="30">
    <w:name w:val="index heading"/>
    <w:basedOn w:val="1"/>
    <w:next w:val="31"/>
    <w:semiHidden/>
    <w:qFormat/>
    <w:uiPriority w:val="99"/>
  </w:style>
  <w:style w:type="paragraph" w:styleId="31">
    <w:name w:val="index 1"/>
    <w:basedOn w:val="1"/>
    <w:next w:val="1"/>
    <w:semiHidden/>
    <w:qFormat/>
    <w:uiPriority w:val="99"/>
    <w:pPr>
      <w:spacing w:line="360" w:lineRule="auto"/>
      <w:jc w:val="center"/>
    </w:pPr>
    <w:rPr>
      <w:b/>
      <w:bCs/>
      <w:kern w:val="0"/>
      <w:sz w:val="30"/>
      <w:szCs w:val="30"/>
    </w:rPr>
  </w:style>
  <w:style w:type="paragraph" w:styleId="32">
    <w:name w:val="Subtitle"/>
    <w:basedOn w:val="1"/>
    <w:next w:val="1"/>
    <w:link w:val="67"/>
    <w:qFormat/>
    <w:uiPriority w:val="99"/>
    <w:pPr>
      <w:spacing w:before="240" w:after="60" w:line="312" w:lineRule="auto"/>
      <w:jc w:val="center"/>
      <w:outlineLvl w:val="1"/>
    </w:pPr>
    <w:rPr>
      <w:rFonts w:ascii="Cambria" w:hAnsi="Cambria" w:cs="Cambria"/>
      <w:b/>
      <w:bCs/>
      <w:kern w:val="28"/>
      <w:sz w:val="32"/>
      <w:szCs w:val="32"/>
    </w:rPr>
  </w:style>
  <w:style w:type="paragraph" w:styleId="33">
    <w:name w:val="toc 6"/>
    <w:basedOn w:val="1"/>
    <w:next w:val="1"/>
    <w:semiHidden/>
    <w:qFormat/>
    <w:uiPriority w:val="99"/>
    <w:pPr>
      <w:ind w:left="1050"/>
      <w:jc w:val="left"/>
    </w:pPr>
    <w:rPr>
      <w:sz w:val="20"/>
      <w:szCs w:val="20"/>
    </w:rPr>
  </w:style>
  <w:style w:type="paragraph" w:styleId="34">
    <w:name w:val="Body Text Indent 3"/>
    <w:basedOn w:val="1"/>
    <w:link w:val="68"/>
    <w:qFormat/>
    <w:uiPriority w:val="99"/>
    <w:pPr>
      <w:adjustRightInd w:val="0"/>
      <w:spacing w:line="360" w:lineRule="auto"/>
      <w:ind w:firstLine="660"/>
      <w:jc w:val="left"/>
      <w:textAlignment w:val="baseline"/>
    </w:pPr>
    <w:rPr>
      <w:rFonts w:ascii="宋体" w:cs="宋体"/>
      <w:spacing w:val="20"/>
      <w:kern w:val="0"/>
      <w:sz w:val="28"/>
      <w:szCs w:val="28"/>
    </w:rPr>
  </w:style>
  <w:style w:type="paragraph" w:styleId="35">
    <w:name w:val="index 7"/>
    <w:basedOn w:val="1"/>
    <w:next w:val="1"/>
    <w:semiHidden/>
    <w:qFormat/>
    <w:uiPriority w:val="99"/>
    <w:pPr>
      <w:ind w:left="1200" w:leftChars="1200"/>
    </w:pPr>
  </w:style>
  <w:style w:type="paragraph" w:styleId="36">
    <w:name w:val="index 9"/>
    <w:basedOn w:val="1"/>
    <w:next w:val="1"/>
    <w:semiHidden/>
    <w:qFormat/>
    <w:uiPriority w:val="99"/>
    <w:pPr>
      <w:ind w:left="1600" w:leftChars="1600"/>
    </w:pPr>
  </w:style>
  <w:style w:type="paragraph" w:styleId="37">
    <w:name w:val="toc 2"/>
    <w:basedOn w:val="1"/>
    <w:next w:val="1"/>
    <w:qFormat/>
    <w:uiPriority w:val="39"/>
    <w:pPr>
      <w:tabs>
        <w:tab w:val="right" w:leader="dot" w:pos="9457"/>
      </w:tabs>
      <w:adjustRightInd w:val="0"/>
      <w:snapToGrid w:val="0"/>
      <w:spacing w:line="500" w:lineRule="exact"/>
      <w:ind w:left="29" w:hanging="29" w:hangingChars="12"/>
    </w:pPr>
    <w:rPr>
      <w:rFonts w:ascii="宋体" w:hAnsi="宋体" w:cs="宋体"/>
      <w:sz w:val="24"/>
      <w:szCs w:val="24"/>
    </w:rPr>
  </w:style>
  <w:style w:type="paragraph" w:styleId="38">
    <w:name w:val="toc 9"/>
    <w:basedOn w:val="1"/>
    <w:next w:val="1"/>
    <w:semiHidden/>
    <w:qFormat/>
    <w:uiPriority w:val="99"/>
    <w:pPr>
      <w:ind w:left="1680"/>
      <w:jc w:val="left"/>
    </w:pPr>
    <w:rPr>
      <w:sz w:val="20"/>
      <w:szCs w:val="20"/>
    </w:rPr>
  </w:style>
  <w:style w:type="paragraph" w:styleId="39">
    <w:name w:val="Normal (Web)"/>
    <w:basedOn w:val="1"/>
    <w:qFormat/>
    <w:uiPriority w:val="99"/>
    <w:pPr>
      <w:widowControl/>
      <w:spacing w:before="100" w:beforeAutospacing="1" w:after="100" w:afterAutospacing="1"/>
      <w:jc w:val="left"/>
    </w:pPr>
    <w:rPr>
      <w:rFonts w:ascii="Arial Unicode MS" w:eastAsia="Arial Unicode MS" w:cs="Arial Unicode MS"/>
      <w:kern w:val="0"/>
      <w:sz w:val="24"/>
      <w:szCs w:val="24"/>
    </w:rPr>
  </w:style>
  <w:style w:type="paragraph" w:styleId="40">
    <w:name w:val="index 2"/>
    <w:basedOn w:val="1"/>
    <w:next w:val="1"/>
    <w:semiHidden/>
    <w:qFormat/>
    <w:uiPriority w:val="99"/>
    <w:pPr>
      <w:ind w:left="200" w:leftChars="200"/>
    </w:pPr>
  </w:style>
  <w:style w:type="paragraph" w:styleId="41">
    <w:name w:val="annotation subject"/>
    <w:basedOn w:val="13"/>
    <w:next w:val="13"/>
    <w:link w:val="57"/>
    <w:semiHidden/>
    <w:qFormat/>
    <w:uiPriority w:val="99"/>
    <w:rPr>
      <w:b/>
      <w:bCs/>
    </w:rPr>
  </w:style>
  <w:style w:type="table" w:styleId="43">
    <w:name w:val="Table Grid"/>
    <w:basedOn w:val="4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4">
    <w:name w:val="Table Theme"/>
    <w:basedOn w:val="4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99"/>
    <w:rPr>
      <w:b/>
      <w:bCs/>
    </w:rPr>
  </w:style>
  <w:style w:type="character" w:styleId="47">
    <w:name w:val="page number"/>
    <w:basedOn w:val="45"/>
    <w:qFormat/>
    <w:uiPriority w:val="99"/>
  </w:style>
  <w:style w:type="character" w:styleId="48">
    <w:name w:val="FollowedHyperlink"/>
    <w:qFormat/>
    <w:uiPriority w:val="99"/>
    <w:rPr>
      <w:color w:val="800080"/>
      <w:u w:val="single"/>
    </w:rPr>
  </w:style>
  <w:style w:type="character" w:styleId="49">
    <w:name w:val="Hyperlink"/>
    <w:qFormat/>
    <w:uiPriority w:val="99"/>
    <w:rPr>
      <w:color w:val="0000FF"/>
      <w:u w:val="single"/>
    </w:rPr>
  </w:style>
  <w:style w:type="character" w:styleId="50">
    <w:name w:val="annotation reference"/>
    <w:semiHidden/>
    <w:qFormat/>
    <w:uiPriority w:val="99"/>
    <w:rPr>
      <w:sz w:val="21"/>
      <w:szCs w:val="21"/>
    </w:rPr>
  </w:style>
  <w:style w:type="character" w:customStyle="1" w:styleId="51">
    <w:name w:val="标题 1 字符"/>
    <w:link w:val="3"/>
    <w:qFormat/>
    <w:locked/>
    <w:uiPriority w:val="99"/>
    <w:rPr>
      <w:b/>
      <w:bCs/>
      <w:kern w:val="44"/>
      <w:sz w:val="44"/>
      <w:szCs w:val="44"/>
    </w:rPr>
  </w:style>
  <w:style w:type="character" w:customStyle="1" w:styleId="52">
    <w:name w:val="标题 2 字符"/>
    <w:link w:val="4"/>
    <w:qFormat/>
    <w:locked/>
    <w:uiPriority w:val="99"/>
    <w:rPr>
      <w:rFonts w:ascii="Arial" w:hAnsi="Arial" w:eastAsia="黑体" w:cs="Arial"/>
      <w:b/>
      <w:bCs/>
      <w:kern w:val="2"/>
      <w:sz w:val="32"/>
      <w:szCs w:val="32"/>
    </w:rPr>
  </w:style>
  <w:style w:type="character" w:customStyle="1" w:styleId="53">
    <w:name w:val="标题 3 字符"/>
    <w:link w:val="5"/>
    <w:qFormat/>
    <w:locked/>
    <w:uiPriority w:val="99"/>
    <w:rPr>
      <w:b/>
      <w:bCs/>
      <w:kern w:val="2"/>
      <w:sz w:val="32"/>
      <w:szCs w:val="32"/>
    </w:rPr>
  </w:style>
  <w:style w:type="character" w:customStyle="1" w:styleId="54">
    <w:name w:val="标题 4 字符"/>
    <w:link w:val="6"/>
    <w:qFormat/>
    <w:locked/>
    <w:uiPriority w:val="99"/>
    <w:rPr>
      <w:rFonts w:ascii="Cambria" w:hAnsi="Cambria" w:cs="Cambria"/>
      <w:b/>
      <w:bCs/>
      <w:kern w:val="2"/>
      <w:sz w:val="28"/>
      <w:szCs w:val="28"/>
    </w:rPr>
  </w:style>
  <w:style w:type="character" w:customStyle="1" w:styleId="55">
    <w:name w:val="标题 5 字符"/>
    <w:link w:val="7"/>
    <w:qFormat/>
    <w:locked/>
    <w:uiPriority w:val="99"/>
    <w:rPr>
      <w:rFonts w:ascii="Calibri" w:hAnsi="Calibri" w:cs="Calibri"/>
      <w:b/>
      <w:bCs/>
      <w:kern w:val="2"/>
      <w:sz w:val="28"/>
      <w:szCs w:val="28"/>
    </w:rPr>
  </w:style>
  <w:style w:type="character" w:customStyle="1" w:styleId="56">
    <w:name w:val="批注文字 字符"/>
    <w:link w:val="13"/>
    <w:qFormat/>
    <w:locked/>
    <w:uiPriority w:val="99"/>
    <w:rPr>
      <w:kern w:val="2"/>
      <w:sz w:val="21"/>
      <w:szCs w:val="21"/>
    </w:rPr>
  </w:style>
  <w:style w:type="character" w:customStyle="1" w:styleId="57">
    <w:name w:val="批注主题 字符"/>
    <w:link w:val="41"/>
    <w:qFormat/>
    <w:locked/>
    <w:uiPriority w:val="99"/>
    <w:rPr>
      <w:b/>
      <w:bCs/>
      <w:kern w:val="2"/>
      <w:sz w:val="21"/>
      <w:szCs w:val="21"/>
    </w:rPr>
  </w:style>
  <w:style w:type="character" w:customStyle="1" w:styleId="58">
    <w:name w:val="文档结构图 字符"/>
    <w:link w:val="12"/>
    <w:qFormat/>
    <w:locked/>
    <w:uiPriority w:val="99"/>
    <w:rPr>
      <w:rFonts w:ascii="宋体" w:cs="宋体"/>
      <w:kern w:val="2"/>
      <w:sz w:val="18"/>
      <w:szCs w:val="18"/>
    </w:rPr>
  </w:style>
  <w:style w:type="character" w:customStyle="1" w:styleId="59">
    <w:name w:val="正文文本 字符"/>
    <w:link w:val="15"/>
    <w:qFormat/>
    <w:locked/>
    <w:uiPriority w:val="99"/>
    <w:rPr>
      <w:spacing w:val="20"/>
      <w:kern w:val="2"/>
      <w:sz w:val="24"/>
      <w:szCs w:val="24"/>
    </w:rPr>
  </w:style>
  <w:style w:type="character" w:customStyle="1" w:styleId="60">
    <w:name w:val="正文文本缩进 字符"/>
    <w:link w:val="16"/>
    <w:qFormat/>
    <w:locked/>
    <w:uiPriority w:val="99"/>
    <w:rPr>
      <w:rFonts w:ascii="宋体" w:cs="宋体"/>
      <w:spacing w:val="20"/>
      <w:sz w:val="28"/>
      <w:szCs w:val="28"/>
    </w:rPr>
  </w:style>
  <w:style w:type="character" w:customStyle="1" w:styleId="61">
    <w:name w:val="纯文本 字符"/>
    <w:link w:val="20"/>
    <w:qFormat/>
    <w:locked/>
    <w:uiPriority w:val="99"/>
    <w:rPr>
      <w:rFonts w:ascii="宋体" w:hAnsi="Courier New" w:cs="宋体"/>
      <w:kern w:val="2"/>
      <w:sz w:val="21"/>
      <w:szCs w:val="21"/>
    </w:rPr>
  </w:style>
  <w:style w:type="character" w:customStyle="1" w:styleId="62">
    <w:name w:val="日期 字符"/>
    <w:link w:val="23"/>
    <w:qFormat/>
    <w:locked/>
    <w:uiPriority w:val="99"/>
    <w:rPr>
      <w:rFonts w:ascii="宋体" w:cs="宋体"/>
      <w:spacing w:val="20"/>
      <w:sz w:val="28"/>
      <w:szCs w:val="28"/>
    </w:rPr>
  </w:style>
  <w:style w:type="character" w:customStyle="1" w:styleId="63">
    <w:name w:val="正文文本缩进 2 字符"/>
    <w:link w:val="24"/>
    <w:qFormat/>
    <w:locked/>
    <w:uiPriority w:val="99"/>
    <w:rPr>
      <w:spacing w:val="20"/>
      <w:kern w:val="2"/>
      <w:sz w:val="28"/>
      <w:szCs w:val="28"/>
    </w:rPr>
  </w:style>
  <w:style w:type="character" w:customStyle="1" w:styleId="64">
    <w:name w:val="批注框文本 字符"/>
    <w:link w:val="25"/>
    <w:qFormat/>
    <w:locked/>
    <w:uiPriority w:val="99"/>
    <w:rPr>
      <w:kern w:val="2"/>
      <w:sz w:val="18"/>
      <w:szCs w:val="18"/>
    </w:rPr>
  </w:style>
  <w:style w:type="character" w:customStyle="1" w:styleId="65">
    <w:name w:val="页脚 字符"/>
    <w:link w:val="26"/>
    <w:qFormat/>
    <w:locked/>
    <w:uiPriority w:val="99"/>
    <w:rPr>
      <w:sz w:val="18"/>
      <w:szCs w:val="18"/>
    </w:rPr>
  </w:style>
  <w:style w:type="character" w:customStyle="1" w:styleId="66">
    <w:name w:val="页眉 字符"/>
    <w:link w:val="27"/>
    <w:qFormat/>
    <w:locked/>
    <w:uiPriority w:val="99"/>
    <w:rPr>
      <w:kern w:val="2"/>
      <w:sz w:val="18"/>
      <w:szCs w:val="18"/>
    </w:rPr>
  </w:style>
  <w:style w:type="character" w:customStyle="1" w:styleId="67">
    <w:name w:val="副标题 字符"/>
    <w:link w:val="32"/>
    <w:qFormat/>
    <w:locked/>
    <w:uiPriority w:val="99"/>
    <w:rPr>
      <w:rFonts w:ascii="Cambria" w:hAnsi="Cambria" w:cs="Cambria"/>
      <w:b/>
      <w:bCs/>
      <w:kern w:val="28"/>
      <w:sz w:val="32"/>
      <w:szCs w:val="32"/>
    </w:rPr>
  </w:style>
  <w:style w:type="character" w:customStyle="1" w:styleId="68">
    <w:name w:val="正文文本缩进 3 字符"/>
    <w:link w:val="34"/>
    <w:qFormat/>
    <w:locked/>
    <w:uiPriority w:val="99"/>
    <w:rPr>
      <w:rFonts w:ascii="宋体" w:cs="宋体"/>
      <w:spacing w:val="20"/>
      <w:sz w:val="28"/>
      <w:szCs w:val="28"/>
    </w:rPr>
  </w:style>
  <w:style w:type="paragraph" w:customStyle="1" w:styleId="6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70">
    <w:name w:val="font6"/>
    <w:basedOn w:val="1"/>
    <w:qFormat/>
    <w:uiPriority w:val="99"/>
    <w:pPr>
      <w:widowControl/>
      <w:spacing w:before="100" w:beforeAutospacing="1" w:after="100" w:afterAutospacing="1"/>
      <w:jc w:val="left"/>
    </w:pPr>
    <w:rPr>
      <w:rFonts w:eastAsia="Arial Unicode MS"/>
      <w:kern w:val="0"/>
      <w:sz w:val="18"/>
      <w:szCs w:val="18"/>
    </w:rPr>
  </w:style>
  <w:style w:type="paragraph" w:customStyle="1" w:styleId="71">
    <w:name w:val="font7"/>
    <w:basedOn w:val="1"/>
    <w:qFormat/>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72">
    <w:name w:val="font8"/>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73">
    <w:name w:val="font9"/>
    <w:basedOn w:val="1"/>
    <w:qFormat/>
    <w:uiPriority w:val="99"/>
    <w:pPr>
      <w:widowControl/>
      <w:spacing w:before="100" w:beforeAutospacing="1" w:after="100" w:afterAutospacing="1"/>
      <w:jc w:val="left"/>
    </w:pPr>
    <w:rPr>
      <w:rFonts w:ascii="宋体" w:hAnsi="宋体" w:cs="宋体"/>
      <w:kern w:val="0"/>
      <w:sz w:val="16"/>
      <w:szCs w:val="16"/>
    </w:rPr>
  </w:style>
  <w:style w:type="paragraph" w:customStyle="1" w:styleId="74">
    <w:name w:val="font10"/>
    <w:basedOn w:val="1"/>
    <w:qFormat/>
    <w:uiPriority w:val="99"/>
    <w:pPr>
      <w:widowControl/>
      <w:spacing w:before="100" w:beforeAutospacing="1" w:after="100" w:afterAutospacing="1"/>
      <w:jc w:val="left"/>
    </w:pPr>
    <w:rPr>
      <w:rFonts w:eastAsia="Arial Unicode MS"/>
      <w:color w:val="000000"/>
      <w:kern w:val="0"/>
      <w:sz w:val="18"/>
      <w:szCs w:val="18"/>
    </w:rPr>
  </w:style>
  <w:style w:type="paragraph" w:customStyle="1" w:styleId="75">
    <w:name w:val="font11"/>
    <w:basedOn w:val="1"/>
    <w:qFormat/>
    <w:uiPriority w:val="99"/>
    <w:pPr>
      <w:widowControl/>
      <w:spacing w:before="100" w:beforeAutospacing="1" w:after="100" w:afterAutospacing="1"/>
      <w:jc w:val="left"/>
    </w:pPr>
    <w:rPr>
      <w:rFonts w:eastAsia="Arial Unicode MS"/>
      <w:kern w:val="0"/>
      <w:sz w:val="16"/>
      <w:szCs w:val="16"/>
    </w:rPr>
  </w:style>
  <w:style w:type="paragraph" w:customStyle="1" w:styleId="76">
    <w:name w:val="xl2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7">
    <w:name w:val="xl2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8">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9">
    <w:name w:val="xl2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0">
    <w:name w:val="xl28"/>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1">
    <w:name w:val="xl29"/>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2">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3">
    <w:name w:val="xl31"/>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4">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5">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6">
    <w:name w:val="xl3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7">
    <w:name w:val="xl35"/>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8">
    <w:name w:val="xl3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9">
    <w:name w:val="xl37"/>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0">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1">
    <w:name w:val="xl39"/>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2">
    <w:name w:val="font1"/>
    <w:basedOn w:val="1"/>
    <w:qFormat/>
    <w:uiPriority w:val="99"/>
    <w:pPr>
      <w:widowControl/>
      <w:spacing w:before="100" w:beforeAutospacing="1" w:after="100" w:afterAutospacing="1"/>
      <w:jc w:val="left"/>
    </w:pPr>
    <w:rPr>
      <w:rFonts w:ascii="宋体" w:hAnsi="宋体" w:cs="宋体"/>
      <w:b/>
      <w:bCs/>
      <w:kern w:val="0"/>
      <w:sz w:val="24"/>
      <w:szCs w:val="24"/>
    </w:rPr>
  </w:style>
  <w:style w:type="paragraph" w:customStyle="1" w:styleId="93">
    <w:name w:val="xl40"/>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94">
    <w:name w:val="Char1 Char Char Char"/>
    <w:basedOn w:val="1"/>
    <w:qFormat/>
    <w:uiPriority w:val="99"/>
    <w:pPr>
      <w:widowControl/>
      <w:spacing w:after="160" w:line="240" w:lineRule="exact"/>
      <w:jc w:val="left"/>
    </w:pPr>
    <w:rPr>
      <w:rFonts w:ascii="Tahoma" w:hAnsi="Tahoma" w:cs="Tahoma"/>
      <w:kern w:val="0"/>
      <w:sz w:val="24"/>
      <w:szCs w:val="24"/>
      <w:lang w:eastAsia="en-US"/>
    </w:rPr>
  </w:style>
  <w:style w:type="paragraph" w:customStyle="1" w:styleId="95">
    <w:name w:val="Char1 Char Char Char1"/>
    <w:basedOn w:val="1"/>
    <w:qFormat/>
    <w:uiPriority w:val="99"/>
    <w:pPr>
      <w:widowControl/>
      <w:spacing w:after="160" w:line="240" w:lineRule="exact"/>
      <w:jc w:val="left"/>
    </w:pPr>
    <w:rPr>
      <w:rFonts w:ascii="Tahoma" w:hAnsi="Tahoma" w:cs="Tahoma"/>
      <w:kern w:val="0"/>
      <w:sz w:val="24"/>
      <w:szCs w:val="24"/>
      <w:lang w:eastAsia="en-US"/>
    </w:rPr>
  </w:style>
  <w:style w:type="character" w:customStyle="1" w:styleId="96">
    <w:name w:val="short_text1"/>
    <w:qFormat/>
    <w:uiPriority w:val="99"/>
    <w:rPr>
      <w:sz w:val="29"/>
      <w:szCs w:val="29"/>
    </w:rPr>
  </w:style>
  <w:style w:type="paragraph" w:customStyle="1" w:styleId="97">
    <w:name w:val="Default"/>
    <w:qFormat/>
    <w:uiPriority w:val="99"/>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character" w:customStyle="1" w:styleId="98">
    <w:name w:val="apple-style-span"/>
    <w:basedOn w:val="45"/>
    <w:qFormat/>
    <w:uiPriority w:val="99"/>
  </w:style>
  <w:style w:type="character" w:customStyle="1" w:styleId="99">
    <w:name w:val="apple-converted-space"/>
    <w:basedOn w:val="45"/>
    <w:qFormat/>
    <w:uiPriority w:val="99"/>
  </w:style>
  <w:style w:type="paragraph" w:customStyle="1" w:styleId="100">
    <w:name w:val="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1">
    <w:name w:val="列出段落1"/>
    <w:basedOn w:val="1"/>
    <w:qFormat/>
    <w:uiPriority w:val="99"/>
    <w:pPr>
      <w:ind w:firstLine="420" w:firstLineChars="200"/>
    </w:pPr>
  </w:style>
  <w:style w:type="paragraph" w:customStyle="1" w:styleId="102">
    <w:name w:val="Char"/>
    <w:basedOn w:val="1"/>
    <w:qFormat/>
    <w:uiPriority w:val="99"/>
  </w:style>
  <w:style w:type="paragraph" w:customStyle="1" w:styleId="103">
    <w:name w:val="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4">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5">
    <w:name w:val="默认段落字体 Para Char Char Char Char Char Char Char"/>
    <w:basedOn w:val="1"/>
    <w:qFormat/>
    <w:uiPriority w:val="99"/>
    <w:rPr>
      <w:rFonts w:ascii="Tahoma" w:hAnsi="Tahoma" w:cs="Tahoma"/>
      <w:sz w:val="24"/>
      <w:szCs w:val="24"/>
    </w:rPr>
  </w:style>
  <w:style w:type="paragraph" w:customStyle="1" w:styleId="106">
    <w:name w:val="修订1"/>
    <w:hidden/>
    <w:qFormat/>
    <w:uiPriority w:val="99"/>
    <w:rPr>
      <w:rFonts w:ascii="Calibri" w:hAnsi="Calibri" w:eastAsia="宋体" w:cs="Calibri"/>
      <w:kern w:val="2"/>
      <w:sz w:val="21"/>
      <w:szCs w:val="21"/>
      <w:lang w:val="en-US" w:eastAsia="zh-CN" w:bidi="ar-SA"/>
    </w:rPr>
  </w:style>
  <w:style w:type="paragraph" w:customStyle="1" w:styleId="107">
    <w:name w:val="正文文本缩进 21"/>
    <w:basedOn w:val="1"/>
    <w:qFormat/>
    <w:uiPriority w:val="99"/>
    <w:pPr>
      <w:spacing w:after="120" w:line="480" w:lineRule="auto"/>
      <w:ind w:left="420" w:leftChars="200"/>
    </w:pPr>
  </w:style>
  <w:style w:type="paragraph" w:customStyle="1" w:styleId="108">
    <w:name w:val="样式1"/>
    <w:basedOn w:val="1"/>
    <w:qFormat/>
    <w:uiPriority w:val="99"/>
    <w:pPr>
      <w:spacing w:line="360" w:lineRule="auto"/>
      <w:ind w:firstLine="360" w:firstLineChars="150"/>
    </w:pPr>
    <w:rPr>
      <w:rFonts w:ascii="仿宋_GB2312" w:hAnsi="宋体" w:eastAsia="仿宋_GB2312" w:cs="仿宋_GB2312"/>
      <w:sz w:val="24"/>
      <w:szCs w:val="24"/>
    </w:rPr>
  </w:style>
  <w:style w:type="paragraph" w:customStyle="1" w:styleId="109">
    <w:name w:val="font12"/>
    <w:basedOn w:val="1"/>
    <w:qFormat/>
    <w:uiPriority w:val="99"/>
    <w:pPr>
      <w:widowControl/>
      <w:spacing w:before="100" w:beforeAutospacing="1" w:after="100" w:afterAutospacing="1"/>
      <w:jc w:val="left"/>
    </w:pPr>
    <w:rPr>
      <w:b/>
      <w:bCs/>
      <w:color w:val="000000"/>
      <w:kern w:val="0"/>
      <w:sz w:val="18"/>
      <w:szCs w:val="18"/>
    </w:rPr>
  </w:style>
  <w:style w:type="character" w:customStyle="1" w:styleId="110">
    <w:name w:val="unnamed11"/>
    <w:qFormat/>
    <w:uiPriority w:val="99"/>
    <w:rPr>
      <w:rFonts w:ascii="宋体" w:hAnsi="宋体" w:eastAsia="宋体" w:cs="宋体"/>
      <w:spacing w:val="240"/>
      <w:sz w:val="18"/>
      <w:szCs w:val="18"/>
    </w:rPr>
  </w:style>
  <w:style w:type="character" w:customStyle="1" w:styleId="111">
    <w:name w:val="duanl"/>
    <w:basedOn w:val="45"/>
    <w:qFormat/>
    <w:uiPriority w:val="99"/>
  </w:style>
  <w:style w:type="character" w:customStyle="1" w:styleId="112">
    <w:name w:val="divtxt1"/>
    <w:qFormat/>
    <w:uiPriority w:val="99"/>
    <w:rPr>
      <w:color w:val="000000"/>
      <w:spacing w:val="15"/>
    </w:rPr>
  </w:style>
  <w:style w:type="character" w:customStyle="1" w:styleId="113">
    <w:name w:val="bb1"/>
    <w:qFormat/>
    <w:uiPriority w:val="99"/>
    <w:rPr>
      <w:sz w:val="24"/>
      <w:szCs w:val="24"/>
    </w:rPr>
  </w:style>
  <w:style w:type="paragraph" w:customStyle="1" w:styleId="114">
    <w:name w:val="4"/>
    <w:basedOn w:val="1"/>
    <w:next w:val="34"/>
    <w:qFormat/>
    <w:uiPriority w:val="99"/>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115">
    <w:name w:val="3"/>
    <w:basedOn w:val="1"/>
    <w:next w:val="39"/>
    <w:qFormat/>
    <w:uiPriority w:val="99"/>
    <w:pPr>
      <w:widowControl/>
      <w:spacing w:before="100" w:after="100"/>
      <w:jc w:val="left"/>
    </w:pPr>
    <w:rPr>
      <w:rFonts w:ascii="宋体" w:hAnsi="宋体" w:cs="宋体"/>
      <w:kern w:val="0"/>
      <w:sz w:val="18"/>
      <w:szCs w:val="18"/>
    </w:rPr>
  </w:style>
  <w:style w:type="paragraph" w:customStyle="1" w:styleId="116">
    <w:name w:val="2"/>
    <w:basedOn w:val="1"/>
    <w:next w:val="34"/>
    <w:qFormat/>
    <w:uiPriority w:val="99"/>
    <w:pPr>
      <w:adjustRightInd w:val="0"/>
      <w:spacing w:line="360" w:lineRule="auto"/>
      <w:ind w:left="600" w:firstLine="555"/>
      <w:jc w:val="left"/>
      <w:textAlignment w:val="baseline"/>
      <w:outlineLvl w:val="0"/>
    </w:pPr>
    <w:rPr>
      <w:rFonts w:ascii="楷体_GB2312" w:eastAsia="楷体_GB2312" w:cs="楷体_GB2312"/>
      <w:sz w:val="28"/>
      <w:szCs w:val="28"/>
    </w:rPr>
  </w:style>
  <w:style w:type="paragraph" w:customStyle="1" w:styleId="117">
    <w:name w:val="1"/>
    <w:basedOn w:val="1"/>
    <w:next w:val="39"/>
    <w:qFormat/>
    <w:uiPriority w:val="99"/>
    <w:pPr>
      <w:widowControl/>
      <w:spacing w:before="100" w:after="100"/>
      <w:jc w:val="left"/>
    </w:pPr>
    <w:rPr>
      <w:rFonts w:ascii="宋体" w:hAnsi="宋体" w:cs="宋体"/>
      <w:kern w:val="0"/>
      <w:sz w:val="18"/>
      <w:szCs w:val="18"/>
    </w:rPr>
  </w:style>
  <w:style w:type="paragraph" w:customStyle="1" w:styleId="118">
    <w:name w:val="正文 + 宋体"/>
    <w:basedOn w:val="1"/>
    <w:link w:val="119"/>
    <w:qFormat/>
    <w:uiPriority w:val="99"/>
    <w:pPr>
      <w:adjustRightInd w:val="0"/>
      <w:snapToGrid w:val="0"/>
      <w:spacing w:line="360" w:lineRule="auto"/>
      <w:ind w:firstLine="527"/>
    </w:pPr>
    <w:rPr>
      <w:rFonts w:ascii="宋体"/>
      <w:sz w:val="26"/>
      <w:szCs w:val="26"/>
    </w:rPr>
  </w:style>
  <w:style w:type="character" w:customStyle="1" w:styleId="119">
    <w:name w:val="正文 + 宋体 Char"/>
    <w:link w:val="118"/>
    <w:qFormat/>
    <w:locked/>
    <w:uiPriority w:val="99"/>
    <w:rPr>
      <w:rFonts w:ascii="宋体" w:eastAsia="宋体" w:cs="宋体"/>
      <w:kern w:val="2"/>
      <w:sz w:val="26"/>
      <w:szCs w:val="26"/>
    </w:rPr>
  </w:style>
  <w:style w:type="character" w:customStyle="1" w:styleId="120">
    <w:name w:val="f101"/>
    <w:qFormat/>
    <w:uiPriority w:val="99"/>
    <w:rPr>
      <w:rFonts w:ascii="Arial" w:hAnsi="Arial" w:cs="Arial"/>
      <w:spacing w:val="480"/>
      <w:sz w:val="18"/>
      <w:szCs w:val="18"/>
    </w:rPr>
  </w:style>
  <w:style w:type="character" w:customStyle="1" w:styleId="121">
    <w:name w:val="f131"/>
    <w:basedOn w:val="45"/>
    <w:qFormat/>
    <w:uiPriority w:val="99"/>
  </w:style>
  <w:style w:type="character" w:customStyle="1" w:styleId="122">
    <w:name w:val="ts2"/>
    <w:qFormat/>
    <w:uiPriority w:val="99"/>
    <w:rPr>
      <w:rFonts w:ascii="楷体" w:eastAsia="楷体" w:cs="楷体"/>
      <w:sz w:val="24"/>
      <w:szCs w:val="24"/>
    </w:rPr>
  </w:style>
  <w:style w:type="paragraph" w:customStyle="1" w:styleId="123">
    <w:name w:val="font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4">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2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0"/>
      <w:szCs w:val="20"/>
    </w:rPr>
  </w:style>
  <w:style w:type="paragraph" w:customStyle="1" w:styleId="126">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character" w:customStyle="1" w:styleId="127">
    <w:name w:val="正文 + 宋体 Char1"/>
    <w:qFormat/>
    <w:uiPriority w:val="99"/>
    <w:rPr>
      <w:rFonts w:eastAsia="宋体"/>
      <w:kern w:val="2"/>
      <w:sz w:val="21"/>
      <w:szCs w:val="21"/>
      <w:lang w:val="en-US" w:eastAsia="zh-CN"/>
    </w:rPr>
  </w:style>
  <w:style w:type="paragraph" w:customStyle="1" w:styleId="128">
    <w:name w:val="xl41"/>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29">
    <w:name w:val="xl42"/>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30">
    <w:name w:val="xl4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131">
    <w:name w:val="普通(网站)1"/>
    <w:basedOn w:val="1"/>
    <w:qFormat/>
    <w:uiPriority w:val="99"/>
    <w:pPr>
      <w:widowControl/>
      <w:spacing w:before="100" w:after="100"/>
      <w:jc w:val="left"/>
    </w:pPr>
    <w:rPr>
      <w:rFonts w:ascii="宋体" w:hAnsi="宋体" w:cs="宋体"/>
      <w:kern w:val="0"/>
      <w:sz w:val="18"/>
      <w:szCs w:val="18"/>
    </w:rPr>
  </w:style>
  <w:style w:type="paragraph" w:customStyle="1" w:styleId="132">
    <w:name w:val="样式3"/>
    <w:basedOn w:val="1"/>
    <w:qFormat/>
    <w:uiPriority w:val="99"/>
    <w:pPr>
      <w:adjustRightInd w:val="0"/>
      <w:spacing w:line="400" w:lineRule="exact"/>
      <w:ind w:firstLine="737"/>
      <w:jc w:val="left"/>
      <w:textAlignment w:val="baseline"/>
    </w:pPr>
    <w:rPr>
      <w:rFonts w:ascii="仿宋体" w:cs="仿宋体"/>
      <w:spacing w:val="24"/>
      <w:kern w:val="0"/>
      <w:sz w:val="30"/>
      <w:szCs w:val="30"/>
    </w:rPr>
  </w:style>
  <w:style w:type="paragraph" w:customStyle="1" w:styleId="133">
    <w:name w:val="列出段落11"/>
    <w:basedOn w:val="1"/>
    <w:qFormat/>
    <w:uiPriority w:val="99"/>
    <w:pPr>
      <w:ind w:firstLine="420" w:firstLineChars="200"/>
    </w:pPr>
    <w:rPr>
      <w:rFonts w:ascii="Calibri" w:hAnsi="Calibri" w:cs="Calibri"/>
    </w:rPr>
  </w:style>
  <w:style w:type="character" w:customStyle="1" w:styleId="134">
    <w:name w:val="批注引用1"/>
    <w:qFormat/>
    <w:uiPriority w:val="99"/>
    <w:rPr>
      <w:sz w:val="21"/>
      <w:szCs w:val="21"/>
    </w:rPr>
  </w:style>
  <w:style w:type="paragraph" w:customStyle="1" w:styleId="135">
    <w:name w:val="彩色列表 - 强调文字颜色 11"/>
    <w:basedOn w:val="1"/>
    <w:qFormat/>
    <w:uiPriority w:val="99"/>
    <w:pPr>
      <w:ind w:firstLine="420" w:firstLineChars="200"/>
    </w:pPr>
    <w:rPr>
      <w:rFonts w:ascii="Calibri" w:hAnsi="Calibri" w:cs="Calibri"/>
    </w:rPr>
  </w:style>
  <w:style w:type="paragraph" w:customStyle="1" w:styleId="136">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37">
    <w:name w:val="正文文本缩进 211"/>
    <w:basedOn w:val="1"/>
    <w:qFormat/>
    <w:uiPriority w:val="99"/>
    <w:pPr>
      <w:spacing w:after="120" w:line="480" w:lineRule="auto"/>
      <w:ind w:left="420" w:leftChars="200"/>
    </w:pPr>
  </w:style>
  <w:style w:type="paragraph" w:customStyle="1" w:styleId="138">
    <w:name w:val="引用1"/>
    <w:basedOn w:val="1"/>
    <w:next w:val="1"/>
    <w:link w:val="139"/>
    <w:qFormat/>
    <w:uiPriority w:val="99"/>
    <w:rPr>
      <w:i/>
      <w:iCs/>
      <w:color w:val="000000"/>
    </w:rPr>
  </w:style>
  <w:style w:type="character" w:customStyle="1" w:styleId="139">
    <w:name w:val="引用 Char"/>
    <w:link w:val="138"/>
    <w:qFormat/>
    <w:locked/>
    <w:uiPriority w:val="99"/>
    <w:rPr>
      <w:i/>
      <w:iCs/>
      <w:color w:val="000000"/>
      <w:kern w:val="2"/>
      <w:sz w:val="21"/>
      <w:szCs w:val="21"/>
    </w:rPr>
  </w:style>
  <w:style w:type="paragraph" w:customStyle="1" w:styleId="140">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141">
    <w:name w:val="报告正文"/>
    <w:basedOn w:val="1"/>
    <w:qFormat/>
    <w:uiPriority w:val="99"/>
    <w:pPr>
      <w:spacing w:line="500" w:lineRule="atLeast"/>
      <w:ind w:firstLine="567"/>
    </w:pPr>
    <w:rPr>
      <w:rFonts w:ascii="仿宋_GB2312" w:hAnsi="Courier New" w:eastAsia="仿宋_GB2312" w:cs="仿宋_GB2312"/>
      <w:sz w:val="28"/>
      <w:szCs w:val="28"/>
    </w:rPr>
  </w:style>
  <w:style w:type="character" w:customStyle="1" w:styleId="142">
    <w:name w:val="标题 9 字符"/>
    <w:link w:val="8"/>
    <w:qFormat/>
    <w:uiPriority w:val="99"/>
    <w:rPr>
      <w:rFonts w:ascii="Calibri" w:hAnsi="Calibri" w:cs="Calibri"/>
      <w:sz w:val="21"/>
      <w:szCs w:val="21"/>
      <w:lang w:bidi="ar-SA"/>
    </w:rPr>
  </w:style>
  <w:style w:type="paragraph" w:styleId="143">
    <w:name w:val="List Paragraph"/>
    <w:basedOn w:val="1"/>
    <w:qFormat/>
    <w:uiPriority w:val="99"/>
    <w:pPr>
      <w:ind w:firstLine="420" w:firstLineChars="200"/>
    </w:pPr>
  </w:style>
  <w:style w:type="paragraph" w:customStyle="1" w:styleId="144">
    <w:name w:val="模版-目录"/>
    <w:basedOn w:val="1"/>
    <w:qFormat/>
    <w:uiPriority w:val="99"/>
    <w:pPr>
      <w:widowControl/>
      <w:spacing w:after="50" w:line="360" w:lineRule="auto"/>
      <w:jc w:val="center"/>
    </w:pPr>
    <w:rPr>
      <w:rFonts w:eastAsia="华文细黑"/>
      <w:b/>
      <w:bCs/>
      <w:sz w:val="28"/>
      <w:szCs w:val="28"/>
    </w:rPr>
  </w:style>
  <w:style w:type="paragraph" w:customStyle="1" w:styleId="145">
    <w:name w:val="模板-表格下段落"/>
    <w:qFormat/>
    <w:uiPriority w:val="99"/>
    <w:pPr>
      <w:spacing w:line="40" w:lineRule="exact"/>
    </w:pPr>
    <w:rPr>
      <w:rFonts w:ascii="Calibri" w:hAnsi="Calibri" w:eastAsia="宋体" w:cs="Calibri"/>
      <w:kern w:val="2"/>
      <w:sz w:val="21"/>
      <w:szCs w:val="21"/>
      <w:lang w:val="en-US" w:eastAsia="zh-CN" w:bidi="ar-SA"/>
    </w:rPr>
  </w:style>
  <w:style w:type="paragraph" w:customStyle="1" w:styleId="146">
    <w:name w:val="模版-附件内容加粗"/>
    <w:basedOn w:val="147"/>
    <w:qFormat/>
    <w:uiPriority w:val="99"/>
    <w:rPr>
      <w:b/>
      <w:bCs/>
      <w:sz w:val="21"/>
      <w:szCs w:val="21"/>
    </w:rPr>
  </w:style>
  <w:style w:type="paragraph" w:customStyle="1" w:styleId="147">
    <w:name w:val="模版-正文居中"/>
    <w:basedOn w:val="148"/>
    <w:qFormat/>
    <w:uiPriority w:val="99"/>
    <w:pPr>
      <w:jc w:val="center"/>
    </w:pPr>
  </w:style>
  <w:style w:type="paragraph" w:customStyle="1" w:styleId="148">
    <w:name w:val="模版-正文顶头"/>
    <w:qFormat/>
    <w:uiPriority w:val="99"/>
    <w:pPr>
      <w:adjustRightInd w:val="0"/>
      <w:snapToGrid w:val="0"/>
      <w:spacing w:line="300" w:lineRule="exact"/>
      <w:jc w:val="both"/>
    </w:pPr>
    <w:rPr>
      <w:rFonts w:ascii="Times New Roman" w:hAnsi="Times New Roman" w:eastAsia="华文细黑" w:cs="Times New Roman"/>
      <w:kern w:val="2"/>
      <w:sz w:val="18"/>
      <w:szCs w:val="18"/>
      <w:lang w:val="en-US" w:eastAsia="zh-CN" w:bidi="ar-SA"/>
    </w:rPr>
  </w:style>
  <w:style w:type="paragraph" w:customStyle="1" w:styleId="149">
    <w:name w:val="模版-一级标题"/>
    <w:qFormat/>
    <w:uiPriority w:val="99"/>
    <w:pPr>
      <w:spacing w:after="156" w:line="360" w:lineRule="auto"/>
      <w:jc w:val="center"/>
      <w:outlineLvl w:val="0"/>
    </w:pPr>
    <w:rPr>
      <w:rFonts w:ascii="Times New Roman" w:hAnsi="Times New Roman" w:eastAsia="华文细黑" w:cs="Times New Roman"/>
      <w:b/>
      <w:bCs/>
      <w:kern w:val="2"/>
      <w:sz w:val="28"/>
      <w:szCs w:val="28"/>
      <w:lang w:val="en-US" w:eastAsia="zh-CN" w:bidi="ar-SA"/>
    </w:rPr>
  </w:style>
  <w:style w:type="paragraph" w:customStyle="1" w:styleId="150">
    <w:name w:val="模版-正文加粗"/>
    <w:basedOn w:val="1"/>
    <w:qFormat/>
    <w:uiPriority w:val="99"/>
    <w:pPr>
      <w:adjustRightInd w:val="0"/>
      <w:snapToGrid w:val="0"/>
      <w:spacing w:line="300" w:lineRule="exact"/>
      <w:ind w:firstLine="360"/>
    </w:pPr>
    <w:rPr>
      <w:rFonts w:hAnsi="华文细黑" w:eastAsia="华文细黑"/>
      <w:b/>
      <w:bCs/>
      <w:sz w:val="18"/>
      <w:szCs w:val="18"/>
    </w:rPr>
  </w:style>
  <w:style w:type="paragraph" w:customStyle="1" w:styleId="151">
    <w:name w:val="模板-附件空4格"/>
    <w:basedOn w:val="150"/>
    <w:qFormat/>
    <w:uiPriority w:val="99"/>
    <w:pPr>
      <w:ind w:firstLine="400"/>
    </w:pPr>
    <w:rPr>
      <w:rFonts w:hAnsi="Times New Roman"/>
    </w:rPr>
  </w:style>
  <w:style w:type="paragraph" w:customStyle="1" w:styleId="152">
    <w:name w:val="模版-二级标题"/>
    <w:qFormat/>
    <w:uiPriority w:val="99"/>
    <w:pPr>
      <w:spacing w:beforeLines="50" w:afterLines="50"/>
      <w:outlineLvl w:val="1"/>
    </w:pPr>
    <w:rPr>
      <w:rFonts w:ascii="Times New Roman" w:hAnsi="Times New Roman" w:eastAsia="华文细黑" w:cs="Times New Roman"/>
      <w:b/>
      <w:bCs/>
      <w:kern w:val="2"/>
      <w:sz w:val="24"/>
      <w:szCs w:val="24"/>
      <w:lang w:val="en-US" w:eastAsia="zh-CN" w:bidi="ar-SA"/>
    </w:rPr>
  </w:style>
  <w:style w:type="paragraph" w:customStyle="1" w:styleId="153">
    <w:name w:val="模版-表格居中"/>
    <w:basedOn w:val="148"/>
    <w:qFormat/>
    <w:uiPriority w:val="99"/>
    <w:pPr>
      <w:spacing w:line="240" w:lineRule="exact"/>
      <w:jc w:val="center"/>
    </w:pPr>
  </w:style>
  <w:style w:type="paragraph" w:customStyle="1" w:styleId="154">
    <w:name w:val="模版-正文分散对齐"/>
    <w:basedOn w:val="148"/>
    <w:qFormat/>
    <w:uiPriority w:val="99"/>
    <w:pPr>
      <w:spacing w:line="240" w:lineRule="auto"/>
      <w:jc w:val="distribute"/>
    </w:pPr>
  </w:style>
  <w:style w:type="paragraph" w:customStyle="1" w:styleId="155">
    <w:name w:val="模版-正文空两格"/>
    <w:basedOn w:val="148"/>
    <w:qFormat/>
    <w:uiPriority w:val="99"/>
    <w:pPr>
      <w:ind w:firstLine="360"/>
    </w:pPr>
  </w:style>
  <w:style w:type="paragraph" w:customStyle="1" w:styleId="156">
    <w:name w:val="模版-正文空两格加粗"/>
    <w:basedOn w:val="155"/>
    <w:qFormat/>
    <w:uiPriority w:val="99"/>
    <w:rPr>
      <w:b/>
      <w:bCs/>
    </w:rPr>
  </w:style>
  <w:style w:type="paragraph" w:customStyle="1" w:styleId="157">
    <w:name w:val="模版-致函标题"/>
    <w:qFormat/>
    <w:uiPriority w:val="99"/>
    <w:pPr>
      <w:spacing w:after="50" w:line="360" w:lineRule="auto"/>
      <w:jc w:val="center"/>
    </w:pPr>
    <w:rPr>
      <w:rFonts w:ascii="Times New Roman" w:hAnsi="Times New Roman" w:eastAsia="华文细黑" w:cs="Times New Roman"/>
      <w:b/>
      <w:bCs/>
      <w:kern w:val="2"/>
      <w:sz w:val="28"/>
      <w:szCs w:val="28"/>
      <w:lang w:val="en-US" w:eastAsia="zh-CN" w:bidi="ar-SA"/>
    </w:rPr>
  </w:style>
  <w:style w:type="paragraph" w:customStyle="1" w:styleId="158">
    <w:name w:val="模版-封皮"/>
    <w:qFormat/>
    <w:uiPriority w:val="99"/>
    <w:pPr>
      <w:spacing w:line="360" w:lineRule="auto"/>
      <w:jc w:val="center"/>
    </w:pPr>
    <w:rPr>
      <w:rFonts w:ascii="Times New Roman" w:hAnsi="Times New Roman" w:eastAsia="黑体" w:cs="Times New Roman"/>
      <w:b/>
      <w:bCs/>
      <w:kern w:val="2"/>
      <w:sz w:val="44"/>
      <w:szCs w:val="44"/>
      <w:lang w:val="en-US" w:eastAsia="zh-CN" w:bidi="ar-SA"/>
    </w:rPr>
  </w:style>
  <w:style w:type="paragraph" w:customStyle="1" w:styleId="159">
    <w:name w:val="模版-封皮1"/>
    <w:qFormat/>
    <w:uiPriority w:val="99"/>
    <w:pPr>
      <w:spacing w:line="360" w:lineRule="auto"/>
      <w:jc w:val="distribute"/>
    </w:pPr>
    <w:rPr>
      <w:rFonts w:ascii="Times New Roman" w:hAnsi="Times New Roman" w:eastAsia="华文细黑" w:cs="Times New Roman"/>
      <w:b/>
      <w:bCs/>
      <w:kern w:val="2"/>
      <w:sz w:val="21"/>
      <w:szCs w:val="21"/>
      <w:lang w:val="en-US" w:eastAsia="zh-CN" w:bidi="ar-SA"/>
    </w:rPr>
  </w:style>
  <w:style w:type="paragraph" w:customStyle="1" w:styleId="160">
    <w:name w:val="模版-封皮2"/>
    <w:basedOn w:val="159"/>
    <w:qFormat/>
    <w:uiPriority w:val="99"/>
    <w:pPr>
      <w:jc w:val="left"/>
    </w:pPr>
  </w:style>
  <w:style w:type="character" w:customStyle="1" w:styleId="161">
    <w:name w:val="Date Char"/>
    <w:qFormat/>
    <w:locked/>
    <w:uiPriority w:val="99"/>
    <w:rPr>
      <w:rFonts w:ascii="宋体" w:hAnsi="Times New Roman" w:cs="宋体"/>
      <w:spacing w:val="20"/>
      <w:sz w:val="28"/>
      <w:szCs w:val="28"/>
    </w:rPr>
  </w:style>
  <w:style w:type="character" w:customStyle="1" w:styleId="162">
    <w:name w:val="Plain Text Char"/>
    <w:qFormat/>
    <w:locked/>
    <w:uiPriority w:val="99"/>
    <w:rPr>
      <w:rFonts w:ascii="宋体" w:hAnsi="Courier New" w:cs="宋体"/>
      <w:kern w:val="2"/>
      <w:sz w:val="21"/>
      <w:szCs w:val="21"/>
    </w:rPr>
  </w:style>
  <w:style w:type="character" w:customStyle="1" w:styleId="163">
    <w:name w:val="Document Map Char"/>
    <w:qFormat/>
    <w:locked/>
    <w:uiPriority w:val="99"/>
    <w:rPr>
      <w:rFonts w:ascii="宋体" w:hAnsi="Times New Roman" w:cs="宋体"/>
      <w:kern w:val="2"/>
      <w:sz w:val="18"/>
      <w:szCs w:val="18"/>
    </w:rPr>
  </w:style>
  <w:style w:type="paragraph" w:customStyle="1" w:styleId="164">
    <w:name w:val="无间隔1"/>
    <w:link w:val="165"/>
    <w:qFormat/>
    <w:uiPriority w:val="99"/>
    <w:rPr>
      <w:rFonts w:ascii="Cambria" w:hAnsi="Cambria" w:eastAsia="宋体" w:cs="Cambria"/>
      <w:sz w:val="22"/>
      <w:szCs w:val="22"/>
      <w:lang w:val="en-US" w:eastAsia="zh-CN" w:bidi="ar-SA"/>
    </w:rPr>
  </w:style>
  <w:style w:type="character" w:customStyle="1" w:styleId="165">
    <w:name w:val="No Spacing Char"/>
    <w:link w:val="164"/>
    <w:qFormat/>
    <w:locked/>
    <w:uiPriority w:val="99"/>
    <w:rPr>
      <w:rFonts w:ascii="Cambria" w:hAnsi="Cambria" w:cs="Cambria"/>
      <w:sz w:val="22"/>
      <w:szCs w:val="22"/>
      <w:lang w:val="en-US" w:eastAsia="zh-CN" w:bidi="ar-SA"/>
    </w:rPr>
  </w:style>
  <w:style w:type="character" w:customStyle="1" w:styleId="166">
    <w:name w:val="Quote Char"/>
    <w:qFormat/>
    <w:locked/>
    <w:uiPriority w:val="99"/>
    <w:rPr>
      <w:rFonts w:ascii="Times New Roman" w:hAnsi="Times New Roman"/>
      <w:i/>
      <w:iCs/>
      <w:color w:val="000000"/>
      <w:kern w:val="2"/>
      <w:sz w:val="21"/>
      <w:szCs w:val="21"/>
      <w:lang w:bidi="ar-SA"/>
    </w:rPr>
  </w:style>
  <w:style w:type="character" w:customStyle="1" w:styleId="167">
    <w:name w:val="批注引用2"/>
    <w:qFormat/>
    <w:uiPriority w:val="99"/>
    <w:rPr>
      <w:sz w:val="21"/>
      <w:szCs w:val="21"/>
    </w:rPr>
  </w:style>
  <w:style w:type="paragraph" w:customStyle="1" w:styleId="168">
    <w:name w:val="修订2"/>
    <w:hidden/>
    <w:semiHidden/>
    <w:qFormat/>
    <w:uiPriority w:val="99"/>
    <w:rPr>
      <w:rFonts w:ascii="Calibri" w:hAnsi="Calibri" w:eastAsia="宋体" w:cs="Calibri"/>
      <w:kern w:val="2"/>
      <w:sz w:val="21"/>
      <w:szCs w:val="21"/>
      <w:lang w:val="en-US" w:eastAsia="zh-CN" w:bidi="ar-SA"/>
    </w:rPr>
  </w:style>
  <w:style w:type="paragraph" w:styleId="169">
    <w:name w:val="Quote"/>
    <w:basedOn w:val="1"/>
    <w:next w:val="1"/>
    <w:link w:val="170"/>
    <w:qFormat/>
    <w:uiPriority w:val="99"/>
    <w:rPr>
      <w:i/>
      <w:iCs/>
      <w:color w:val="000000"/>
    </w:rPr>
  </w:style>
  <w:style w:type="character" w:customStyle="1" w:styleId="170">
    <w:name w:val="引用 字符"/>
    <w:link w:val="169"/>
    <w:qFormat/>
    <w:uiPriority w:val="29"/>
    <w:rPr>
      <w:i/>
      <w:iCs/>
      <w:color w:val="000000"/>
      <w:kern w:val="2"/>
      <w:sz w:val="21"/>
      <w:szCs w:val="21"/>
      <w:lang w:bidi="ar-SA"/>
    </w:rPr>
  </w:style>
  <w:style w:type="paragraph" w:customStyle="1" w:styleId="171">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5"/>
    <customShpInfo spid="_x0000_s3074"/>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7B310-6A57-4525-9A8D-936E2FF9D1F9}">
  <ds:schemaRefs/>
</ds:datastoreItem>
</file>

<file path=docProps/app.xml><?xml version="1.0" encoding="utf-8"?>
<Properties xmlns="http://schemas.openxmlformats.org/officeDocument/2006/extended-properties" xmlns:vt="http://schemas.openxmlformats.org/officeDocument/2006/docPropsVTypes">
  <Template>Normal.dotm</Template>
  <Company>hengtong</Company>
  <Pages>21</Pages>
  <Words>1273</Words>
  <Characters>7257</Characters>
  <Lines>60</Lines>
  <Paragraphs>17</Paragraphs>
  <TotalTime>1</TotalTime>
  <ScaleCrop>false</ScaleCrop>
  <LinksUpToDate>false</LinksUpToDate>
  <CharactersWithSpaces>8513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2015-12-07T02:58:00Z</dcterms:created>
  <dc:creator>yu</dc:creator>
  <cp:lastModifiedBy>Ciao:)</cp:lastModifiedBy>
  <cp:lastPrinted>2020-12-25T02:06:00Z</cp:lastPrinted>
  <dcterms:modified xsi:type="dcterms:W3CDTF">2021-09-17T03:46:05Z</dcterms:modified>
  <dc:title>致 委 托 方 函</dc:title>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E8F352485BC04D308B6D81336A030723</vt:lpwstr>
  </property>
</Properties>
</file>