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right"/>
        <w:rPr>
          <w:sz w:val="24"/>
          <w:szCs w:val="24"/>
        </w:rPr>
      </w:pPr>
      <w:r>
        <w:rPr>
          <w:sz w:val="24"/>
          <w:szCs w:val="24"/>
        </w:rPr>
        <w:t>鹏信房估字[20</w:t>
      </w:r>
      <w:r>
        <w:rPr>
          <w:rFonts w:hint="eastAsia"/>
          <w:sz w:val="24"/>
          <w:szCs w:val="24"/>
        </w:rPr>
        <w:t>22</w:t>
      </w:r>
      <w:r>
        <w:rPr>
          <w:sz w:val="24"/>
          <w:szCs w:val="24"/>
        </w:rPr>
        <w:t>]第</w:t>
      </w:r>
      <w:r>
        <w:rPr>
          <w:rFonts w:hint="eastAsia"/>
          <w:sz w:val="24"/>
          <w:szCs w:val="24"/>
        </w:rPr>
        <w:t>QHN218号</w:t>
      </w:r>
    </w:p>
    <w:p>
      <w:pPr>
        <w:spacing w:line="500" w:lineRule="exact"/>
        <w:jc w:val="center"/>
        <w:rPr>
          <w:rFonts w:eastAsia="黑体"/>
          <w:b/>
          <w:spacing w:val="40"/>
          <w:sz w:val="44"/>
        </w:rPr>
      </w:pPr>
    </w:p>
    <w:p>
      <w:pPr>
        <w:spacing w:line="500" w:lineRule="exact"/>
        <w:jc w:val="center"/>
        <w:rPr>
          <w:rFonts w:eastAsia="黑体"/>
          <w:b/>
          <w:spacing w:val="40"/>
          <w:sz w:val="44"/>
        </w:rPr>
      </w:pPr>
    </w:p>
    <w:p>
      <w:pPr>
        <w:spacing w:line="500" w:lineRule="exact"/>
        <w:jc w:val="center"/>
        <w:rPr>
          <w:rFonts w:eastAsia="黑体"/>
          <w:b/>
          <w:spacing w:val="40"/>
          <w:sz w:val="44"/>
        </w:rPr>
      </w:pPr>
    </w:p>
    <w:p>
      <w:pPr>
        <w:spacing w:line="500" w:lineRule="exact"/>
        <w:jc w:val="center"/>
        <w:rPr>
          <w:rFonts w:eastAsia="黑体"/>
          <w:b/>
          <w:spacing w:val="40"/>
          <w:sz w:val="44"/>
        </w:rPr>
      </w:pPr>
    </w:p>
    <w:p>
      <w:pPr>
        <w:spacing w:line="500" w:lineRule="exact"/>
        <w:jc w:val="center"/>
        <w:rPr>
          <w:rFonts w:eastAsia="黑体"/>
          <w:b/>
          <w:spacing w:val="40"/>
          <w:sz w:val="44"/>
        </w:rPr>
      </w:pPr>
      <w:r>
        <w:rPr>
          <w:rFonts w:eastAsia="黑体"/>
          <w:b/>
          <w:spacing w:val="40"/>
          <w:sz w:val="44"/>
        </w:rPr>
        <w:t xml:space="preserve">                   </w:t>
      </w:r>
      <w:r>
        <w:rPr>
          <w:sz w:val="24"/>
          <w:szCs w:val="24"/>
        </w:rPr>
        <w:t>防伪二维码</w:t>
      </w:r>
    </w:p>
    <w:p>
      <w:pPr>
        <w:spacing w:line="600" w:lineRule="exact"/>
        <w:jc w:val="center"/>
        <w:rPr>
          <w:rFonts w:ascii="宋体" w:hAnsi="宋体"/>
          <w:b/>
          <w:spacing w:val="-12"/>
          <w:sz w:val="44"/>
          <w:szCs w:val="44"/>
        </w:rPr>
      </w:pPr>
      <w:r>
        <w:rPr>
          <w:rFonts w:hint="eastAsia" w:ascii="宋体" w:hAnsi="宋体"/>
          <w:b/>
          <w:sz w:val="44"/>
          <w:szCs w:val="44"/>
        </w:rPr>
        <w:t>关于海口市人民路沿江三西街13号海南大学40栋401房一套住宅之涉执房地产处置司法评估</w:t>
      </w:r>
    </w:p>
    <w:p>
      <w:pPr>
        <w:spacing w:line="500" w:lineRule="exact"/>
        <w:jc w:val="center"/>
        <w:rPr>
          <w:rFonts w:eastAsia="黑体"/>
          <w:b/>
          <w:spacing w:val="40"/>
          <w:sz w:val="32"/>
        </w:rPr>
      </w:pPr>
    </w:p>
    <w:p>
      <w:pPr>
        <w:spacing w:line="500" w:lineRule="exact"/>
        <w:jc w:val="center"/>
        <w:rPr>
          <w:rFonts w:eastAsia="黑体"/>
          <w:b/>
          <w:spacing w:val="40"/>
          <w:sz w:val="32"/>
        </w:rPr>
      </w:pPr>
    </w:p>
    <w:p>
      <w:pPr>
        <w:spacing w:line="500" w:lineRule="exact"/>
        <w:jc w:val="center"/>
        <w:rPr>
          <w:rFonts w:eastAsia="黑体"/>
          <w:b/>
          <w:spacing w:val="40"/>
          <w:sz w:val="32"/>
        </w:rPr>
      </w:pPr>
    </w:p>
    <w:p>
      <w:pPr>
        <w:spacing w:line="360" w:lineRule="auto"/>
        <w:jc w:val="center"/>
        <w:rPr>
          <w:rFonts w:eastAsia="黑体"/>
          <w:b/>
          <w:spacing w:val="40"/>
          <w:sz w:val="84"/>
          <w:szCs w:val="84"/>
        </w:rPr>
        <w:sectPr>
          <w:headerReference r:id="rId3" w:type="default"/>
          <w:footerReference r:id="rId4" w:type="even"/>
          <w:pgSz w:w="11907" w:h="16839"/>
          <w:pgMar w:top="2325" w:right="1503" w:bottom="1202" w:left="1503" w:header="0" w:footer="1361" w:gutter="0"/>
          <w:cols w:space="720" w:num="1"/>
          <w:docGrid w:type="lines" w:linePitch="300" w:charSpace="0"/>
        </w:sectPr>
      </w:pPr>
      <w:r>
        <w:rPr>
          <w:rFonts w:eastAsia="黑体"/>
          <w:b/>
          <w:spacing w:val="40"/>
          <w:sz w:val="84"/>
          <w:szCs w:val="84"/>
        </w:rPr>
        <w:t>报告书</w:t>
      </w:r>
    </w:p>
    <w:p>
      <w:pPr>
        <w:tabs>
          <w:tab w:val="left" w:pos="7980"/>
        </w:tabs>
        <w:spacing w:before="450" w:beforeLines="150" w:line="360" w:lineRule="auto"/>
        <w:ind w:right="-31" w:rightChars="-15" w:firstLine="442" w:firstLineChars="100"/>
        <w:rPr>
          <w:b/>
          <w:sz w:val="44"/>
          <w:szCs w:val="44"/>
        </w:rPr>
      </w:pPr>
      <w:r>
        <w:rPr>
          <w:rFonts w:hint="eastAsia"/>
          <w:b/>
          <w:sz w:val="44"/>
          <w:szCs w:val="44"/>
        </w:rPr>
        <w:t>涉执</w:t>
      </w:r>
      <w:r>
        <w:rPr>
          <w:b/>
          <w:sz w:val="44"/>
          <w:szCs w:val="44"/>
        </w:rPr>
        <w:t>房地产</w:t>
      </w:r>
      <w:r>
        <w:rPr>
          <w:rFonts w:hint="eastAsia"/>
          <w:b/>
          <w:sz w:val="44"/>
          <w:szCs w:val="44"/>
        </w:rPr>
        <w:t>司法评估</w:t>
      </w:r>
      <w:r>
        <w:rPr>
          <w:b/>
          <w:sz w:val="44"/>
          <w:szCs w:val="44"/>
        </w:rPr>
        <w:t>报告</w:t>
      </w:r>
      <w:r>
        <w:rPr>
          <w:rFonts w:hint="eastAsia"/>
          <w:b/>
          <w:sz w:val="44"/>
          <w:szCs w:val="44"/>
        </w:rPr>
        <w:t>书</w:t>
      </w:r>
    </w:p>
    <w:p>
      <w:pPr>
        <w:tabs>
          <w:tab w:val="left" w:pos="7980"/>
        </w:tabs>
        <w:spacing w:line="360" w:lineRule="auto"/>
        <w:ind w:left="420" w:leftChars="200" w:right="-31" w:rightChars="-15"/>
        <w:rPr>
          <w:szCs w:val="21"/>
          <w:u w:val="thick"/>
        </w:rPr>
      </w:pPr>
      <w:r>
        <w:rPr>
          <w:szCs w:val="21"/>
          <w:u w:val="thick"/>
        </w:rPr>
        <w:t xml:space="preserve">                                                                               </w:t>
      </w:r>
    </w:p>
    <w:p>
      <w:pPr>
        <w:tabs>
          <w:tab w:val="left" w:pos="7980"/>
        </w:tabs>
        <w:spacing w:line="480" w:lineRule="auto"/>
        <w:ind w:left="420" w:leftChars="200" w:right="-31" w:rightChars="-15"/>
        <w:rPr>
          <w:szCs w:val="21"/>
          <w:u w:val="thick"/>
        </w:rPr>
      </w:pPr>
    </w:p>
    <w:p>
      <w:pPr>
        <w:tabs>
          <w:tab w:val="left" w:pos="7980"/>
        </w:tabs>
        <w:spacing w:line="480" w:lineRule="auto"/>
        <w:ind w:left="420" w:leftChars="200" w:right="-31" w:rightChars="-15"/>
        <w:rPr>
          <w:szCs w:val="21"/>
          <w:u w:val="thick"/>
        </w:rPr>
      </w:pPr>
    </w:p>
    <w:p>
      <w:pPr>
        <w:tabs>
          <w:tab w:val="left" w:pos="7980"/>
        </w:tabs>
        <w:spacing w:line="360" w:lineRule="auto"/>
        <w:ind w:left="420" w:leftChars="200" w:right="-29" w:rightChars="-14"/>
        <w:rPr>
          <w:i/>
          <w:sz w:val="10"/>
          <w:szCs w:val="10"/>
        </w:rPr>
      </w:pPr>
      <w:r>
        <w:rPr>
          <w:sz w:val="10"/>
          <w:szCs w:val="10"/>
          <w:u w:val="single"/>
        </w:rPr>
        <w:t xml:space="preserve">                                                                                                                                                                               </w:t>
      </w:r>
      <w:r>
        <w:rPr>
          <w:sz w:val="10"/>
          <w:szCs w:val="10"/>
        </w:rPr>
        <w:t xml:space="preserve">                </w:t>
      </w:r>
      <w:r>
        <w:rPr>
          <w:i/>
          <w:sz w:val="10"/>
          <w:szCs w:val="10"/>
        </w:rPr>
        <w:t xml:space="preserve">                                       </w:t>
      </w:r>
    </w:p>
    <w:p>
      <w:pPr>
        <w:spacing w:line="600" w:lineRule="exact"/>
        <w:jc w:val="center"/>
        <w:rPr>
          <w:sz w:val="28"/>
          <w:szCs w:val="28"/>
        </w:rPr>
      </w:pPr>
      <w:r>
        <w:rPr>
          <w:b/>
          <w:sz w:val="28"/>
          <w:szCs w:val="28"/>
        </w:rPr>
        <w:t>估价项目名称</w:t>
      </w:r>
      <w:r>
        <w:t>：</w:t>
      </w:r>
      <w:r>
        <w:rPr>
          <w:rFonts w:hint="eastAsia"/>
          <w:sz w:val="28"/>
          <w:szCs w:val="28"/>
        </w:rPr>
        <w:t>关于海口市人民路沿江三西街13号海南大学40栋401房一套住宅之涉执房地产处置司法评估</w:t>
      </w:r>
    </w:p>
    <w:p>
      <w:pPr>
        <w:pStyle w:val="11"/>
        <w:spacing w:line="380" w:lineRule="exact"/>
        <w:ind w:left="2204" w:leftChars="199" w:right="-29" w:rightChars="-14" w:hanging="1786" w:hangingChars="638"/>
        <w:rPr>
          <w:rFonts w:ascii="Times New Roman" w:hAnsi="Times New Roman" w:cs="Times New Roman"/>
          <w:sz w:val="28"/>
          <w:szCs w:val="28"/>
        </w:rPr>
      </w:pPr>
    </w:p>
    <w:p>
      <w:pPr>
        <w:tabs>
          <w:tab w:val="left" w:pos="7980"/>
        </w:tabs>
        <w:ind w:left="1018" w:leftChars="199" w:right="-29" w:rightChars="-14" w:hanging="600" w:hangingChars="600"/>
        <w:rPr>
          <w:sz w:val="28"/>
          <w:szCs w:val="28"/>
          <w:u w:val="single"/>
        </w:rPr>
      </w:pPr>
      <w:r>
        <w:rPr>
          <w:sz w:val="10"/>
          <w:szCs w:val="10"/>
          <w:u w:val="single"/>
        </w:rPr>
        <w:t xml:space="preserve">                                                                                                                                                                         </w:t>
      </w:r>
    </w:p>
    <w:p>
      <w:pPr>
        <w:tabs>
          <w:tab w:val="left" w:pos="7980"/>
        </w:tabs>
        <w:ind w:left="2105" w:leftChars="199" w:right="-29" w:rightChars="-14" w:hanging="1687" w:hangingChars="600"/>
        <w:rPr>
          <w:sz w:val="28"/>
          <w:szCs w:val="28"/>
        </w:rPr>
      </w:pPr>
      <w:r>
        <w:rPr>
          <w:b/>
          <w:bCs/>
          <w:sz w:val="28"/>
          <w:szCs w:val="28"/>
        </w:rPr>
        <w:t>估价委托人</w:t>
      </w:r>
      <w:r>
        <w:rPr>
          <w:sz w:val="28"/>
          <w:szCs w:val="28"/>
        </w:rPr>
        <w:t>：</w:t>
      </w:r>
      <w:r>
        <w:rPr>
          <w:rFonts w:hint="eastAsia"/>
          <w:sz w:val="28"/>
          <w:szCs w:val="28"/>
        </w:rPr>
        <w:t>海口市琼山区人民法院</w:t>
      </w:r>
    </w:p>
    <w:p>
      <w:pPr>
        <w:tabs>
          <w:tab w:val="left" w:pos="7980"/>
        </w:tabs>
        <w:ind w:left="1018" w:leftChars="199" w:right="-29" w:rightChars="-14" w:hanging="600" w:hangingChars="600"/>
        <w:rPr>
          <w:sz w:val="28"/>
          <w:szCs w:val="28"/>
          <w:u w:val="single"/>
        </w:rPr>
      </w:pPr>
      <w:r>
        <w:rPr>
          <w:sz w:val="10"/>
          <w:szCs w:val="10"/>
          <w:u w:val="single"/>
        </w:rPr>
        <w:t xml:space="preserve">                                                                                                                                                                         </w:t>
      </w:r>
    </w:p>
    <w:p>
      <w:pPr>
        <w:tabs>
          <w:tab w:val="left" w:pos="7980"/>
        </w:tabs>
        <w:ind w:left="2105" w:leftChars="199" w:right="-29" w:rightChars="-14" w:hanging="1687" w:hangingChars="600"/>
        <w:rPr>
          <w:sz w:val="28"/>
          <w:szCs w:val="28"/>
        </w:rPr>
      </w:pPr>
      <w:r>
        <w:rPr>
          <w:b/>
          <w:sz w:val="28"/>
          <w:szCs w:val="28"/>
        </w:rPr>
        <w:t>房地产估价机构</w:t>
      </w:r>
      <w:r>
        <w:rPr>
          <w:sz w:val="28"/>
          <w:szCs w:val="28"/>
        </w:rPr>
        <w:t>：深圳市鹏信资产评估土地房地产估价有限公司</w:t>
      </w:r>
    </w:p>
    <w:p>
      <w:pPr>
        <w:tabs>
          <w:tab w:val="left" w:pos="7980"/>
        </w:tabs>
        <w:ind w:left="1018" w:leftChars="199" w:right="-29" w:rightChars="-14" w:hanging="600" w:hangingChars="600"/>
        <w:rPr>
          <w:sz w:val="28"/>
          <w:szCs w:val="28"/>
          <w:u w:val="single"/>
        </w:rPr>
      </w:pPr>
      <w:r>
        <w:rPr>
          <w:sz w:val="10"/>
          <w:szCs w:val="10"/>
          <w:u w:val="single"/>
        </w:rPr>
        <w:t xml:space="preserve">                                                                                                                                                                         </w:t>
      </w:r>
    </w:p>
    <w:p>
      <w:pPr>
        <w:tabs>
          <w:tab w:val="left" w:pos="7980"/>
        </w:tabs>
        <w:ind w:left="2105" w:leftChars="199" w:right="-29" w:rightChars="-14" w:hanging="1687" w:hangingChars="600"/>
        <w:rPr>
          <w:sz w:val="28"/>
          <w:szCs w:val="28"/>
        </w:rPr>
      </w:pPr>
      <w:r>
        <w:rPr>
          <w:b/>
          <w:sz w:val="28"/>
          <w:szCs w:val="28"/>
        </w:rPr>
        <w:t>注册房地产估价师</w:t>
      </w:r>
      <w:r>
        <w:rPr>
          <w:sz w:val="28"/>
          <w:szCs w:val="28"/>
        </w:rPr>
        <w:t>：</w:t>
      </w:r>
      <w:r>
        <w:rPr>
          <w:rFonts w:hint="eastAsia"/>
          <w:sz w:val="28"/>
          <w:szCs w:val="28"/>
        </w:rPr>
        <w:t>赵  越</w:t>
      </w:r>
      <w:r>
        <w:rPr>
          <w:sz w:val="28"/>
          <w:szCs w:val="28"/>
        </w:rPr>
        <w:t xml:space="preserve">    注册号: </w:t>
      </w:r>
      <w:r>
        <w:rPr>
          <w:rFonts w:hint="eastAsia"/>
          <w:sz w:val="28"/>
          <w:szCs w:val="28"/>
        </w:rPr>
        <w:t>4420190220</w:t>
      </w:r>
    </w:p>
    <w:p>
      <w:pPr>
        <w:tabs>
          <w:tab w:val="left" w:pos="7980"/>
        </w:tabs>
        <w:ind w:left="2105" w:leftChars="199" w:right="-29" w:rightChars="-14" w:hanging="1687" w:hangingChars="600"/>
        <w:rPr>
          <w:sz w:val="28"/>
          <w:szCs w:val="28"/>
        </w:rPr>
      </w:pPr>
      <w:r>
        <w:rPr>
          <w:b/>
          <w:sz w:val="28"/>
          <w:szCs w:val="28"/>
        </w:rPr>
        <w:t xml:space="preserve">                 </w:t>
      </w:r>
      <w:r>
        <w:rPr>
          <w:rFonts w:hint="eastAsia"/>
          <w:b/>
          <w:sz w:val="28"/>
          <w:szCs w:val="28"/>
        </w:rPr>
        <w:t xml:space="preserve"> </w:t>
      </w:r>
      <w:r>
        <w:rPr>
          <w:rFonts w:hint="eastAsia"/>
          <w:sz w:val="28"/>
          <w:szCs w:val="28"/>
        </w:rPr>
        <w:t>曾  勇</w:t>
      </w:r>
      <w:r>
        <w:rPr>
          <w:sz w:val="28"/>
          <w:szCs w:val="28"/>
        </w:rPr>
        <w:t xml:space="preserve">    注册号:</w:t>
      </w:r>
      <w:r>
        <w:rPr>
          <w:rFonts w:hint="eastAsia"/>
          <w:sz w:val="28"/>
          <w:szCs w:val="28"/>
        </w:rPr>
        <w:t xml:space="preserve"> 5320160082</w:t>
      </w:r>
    </w:p>
    <w:p>
      <w:pPr>
        <w:tabs>
          <w:tab w:val="left" w:pos="7980"/>
        </w:tabs>
        <w:ind w:left="2098" w:leftChars="199" w:right="-29" w:rightChars="-14" w:hanging="1680" w:hangingChars="600"/>
        <w:rPr>
          <w:sz w:val="28"/>
          <w:szCs w:val="28"/>
          <w:u w:val="single"/>
        </w:rPr>
      </w:pPr>
      <w:r>
        <w:rPr>
          <w:sz w:val="28"/>
          <w:szCs w:val="28"/>
          <w:u w:val="single"/>
        </w:rPr>
        <w:t xml:space="preserve">                                                         </w:t>
      </w:r>
      <w:r>
        <w:rPr>
          <w:sz w:val="10"/>
          <w:szCs w:val="10"/>
          <w:u w:val="single"/>
        </w:rPr>
        <w:t xml:space="preserve">        </w:t>
      </w:r>
    </w:p>
    <w:p>
      <w:pPr>
        <w:tabs>
          <w:tab w:val="left" w:pos="7980"/>
        </w:tabs>
        <w:ind w:left="2105" w:leftChars="199" w:right="-29" w:rightChars="-14" w:hanging="1687" w:hangingChars="600"/>
        <w:rPr>
          <w:sz w:val="28"/>
          <w:szCs w:val="28"/>
        </w:rPr>
      </w:pPr>
      <w:r>
        <w:rPr>
          <w:b/>
          <w:sz w:val="28"/>
          <w:szCs w:val="28"/>
        </w:rPr>
        <w:t>估价报告出具日期</w:t>
      </w:r>
      <w:r>
        <w:rPr>
          <w:sz w:val="28"/>
          <w:szCs w:val="28"/>
        </w:rPr>
        <w:t>：</w:t>
      </w:r>
      <w:r>
        <w:rPr>
          <w:rFonts w:hint="eastAsia"/>
          <w:sz w:val="28"/>
          <w:szCs w:val="28"/>
        </w:rPr>
        <w:t>202</w:t>
      </w:r>
      <w:r>
        <w:rPr>
          <w:sz w:val="28"/>
          <w:szCs w:val="28"/>
        </w:rPr>
        <w:t>2年04月</w:t>
      </w:r>
      <w:r>
        <w:rPr>
          <w:rFonts w:hint="eastAsia"/>
          <w:sz w:val="28"/>
          <w:szCs w:val="28"/>
        </w:rPr>
        <w:t>27</w:t>
      </w:r>
      <w:r>
        <w:rPr>
          <w:sz w:val="28"/>
          <w:szCs w:val="28"/>
        </w:rPr>
        <w:t>日</w:t>
      </w:r>
    </w:p>
    <w:p>
      <w:pPr>
        <w:tabs>
          <w:tab w:val="left" w:pos="7980"/>
        </w:tabs>
        <w:ind w:left="2098" w:leftChars="199" w:right="-29" w:rightChars="-14" w:hanging="1680" w:hangingChars="600"/>
        <w:rPr>
          <w:sz w:val="28"/>
          <w:szCs w:val="28"/>
          <w:u w:val="single"/>
        </w:rPr>
      </w:pPr>
      <w:r>
        <w:rPr>
          <w:sz w:val="28"/>
          <w:szCs w:val="28"/>
          <w:u w:val="single"/>
        </w:rPr>
        <w:t xml:space="preserve">                                                          </w:t>
      </w:r>
      <w:r>
        <w:rPr>
          <w:sz w:val="10"/>
          <w:szCs w:val="10"/>
          <w:u w:val="single"/>
        </w:rPr>
        <w:t xml:space="preserve">        </w:t>
      </w:r>
    </w:p>
    <w:p>
      <w:pPr>
        <w:tabs>
          <w:tab w:val="left" w:pos="7980"/>
        </w:tabs>
        <w:spacing w:line="480" w:lineRule="auto"/>
        <w:ind w:left="2105" w:leftChars="199" w:right="-29" w:rightChars="-14" w:hanging="1687" w:hangingChars="600"/>
        <w:rPr>
          <w:sz w:val="28"/>
          <w:szCs w:val="28"/>
        </w:rPr>
      </w:pPr>
      <w:r>
        <w:rPr>
          <w:b/>
          <w:sz w:val="28"/>
          <w:szCs w:val="28"/>
        </w:rPr>
        <w:t>估价报告编号</w:t>
      </w:r>
      <w:r>
        <w:rPr>
          <w:sz w:val="28"/>
          <w:szCs w:val="28"/>
        </w:rPr>
        <w:t>：鹏信房估字[20</w:t>
      </w:r>
      <w:r>
        <w:rPr>
          <w:rFonts w:hint="eastAsia"/>
          <w:sz w:val="28"/>
          <w:szCs w:val="28"/>
        </w:rPr>
        <w:t>22</w:t>
      </w:r>
      <w:r>
        <w:rPr>
          <w:sz w:val="28"/>
          <w:szCs w:val="28"/>
        </w:rPr>
        <w:t>]第</w:t>
      </w:r>
      <w:r>
        <w:rPr>
          <w:rFonts w:hint="eastAsia"/>
          <w:sz w:val="28"/>
          <w:szCs w:val="28"/>
        </w:rPr>
        <w:t>QHN218号</w:t>
      </w:r>
    </w:p>
    <w:p>
      <w:pPr>
        <w:tabs>
          <w:tab w:val="left" w:pos="7980"/>
        </w:tabs>
        <w:ind w:left="2098" w:leftChars="199" w:right="-29" w:rightChars="-14" w:hanging="1680" w:hangingChars="600"/>
        <w:rPr>
          <w:sz w:val="10"/>
          <w:szCs w:val="10"/>
          <w:u w:val="single"/>
        </w:rPr>
        <w:sectPr>
          <w:pgSz w:w="11907" w:h="16839"/>
          <w:pgMar w:top="2325" w:right="1503" w:bottom="1202" w:left="1503" w:header="0" w:footer="1361" w:gutter="0"/>
          <w:cols w:space="720" w:num="1"/>
          <w:docGrid w:type="lines" w:linePitch="300" w:charSpace="0"/>
        </w:sectPr>
      </w:pPr>
      <w:r>
        <w:rPr>
          <w:sz w:val="28"/>
          <w:szCs w:val="28"/>
          <w:u w:val="single"/>
        </w:rPr>
        <w:t xml:space="preserve">                                                            </w:t>
      </w:r>
      <w:r>
        <w:rPr>
          <w:sz w:val="10"/>
          <w:szCs w:val="10"/>
          <w:u w:val="single"/>
        </w:rPr>
        <w:t xml:space="preserve">    </w:t>
      </w:r>
    </w:p>
    <w:p>
      <w:pPr>
        <w:adjustRightInd w:val="0"/>
        <w:snapToGrid w:val="0"/>
        <w:spacing w:line="360" w:lineRule="auto"/>
        <w:jc w:val="center"/>
        <w:rPr>
          <w:b/>
          <w:sz w:val="36"/>
          <w:szCs w:val="36"/>
        </w:rPr>
      </w:pPr>
      <w:bookmarkStart w:id="0" w:name="_Toc2798"/>
    </w:p>
    <w:p>
      <w:pPr>
        <w:adjustRightInd w:val="0"/>
        <w:snapToGrid w:val="0"/>
        <w:spacing w:line="360" w:lineRule="auto"/>
        <w:jc w:val="center"/>
        <w:rPr>
          <w:b/>
          <w:sz w:val="36"/>
          <w:szCs w:val="36"/>
        </w:rPr>
      </w:pPr>
    </w:p>
    <w:p>
      <w:pPr>
        <w:adjustRightInd w:val="0"/>
        <w:snapToGrid w:val="0"/>
        <w:spacing w:line="360" w:lineRule="auto"/>
        <w:jc w:val="center"/>
        <w:rPr>
          <w:b/>
          <w:sz w:val="36"/>
          <w:szCs w:val="36"/>
        </w:rPr>
      </w:pPr>
    </w:p>
    <w:p>
      <w:pPr>
        <w:adjustRightInd w:val="0"/>
        <w:snapToGrid w:val="0"/>
        <w:spacing w:line="360" w:lineRule="auto"/>
        <w:jc w:val="center"/>
        <w:rPr>
          <w:b/>
          <w:sz w:val="36"/>
          <w:szCs w:val="36"/>
        </w:rPr>
      </w:pPr>
    </w:p>
    <w:p>
      <w:pPr>
        <w:adjustRightInd w:val="0"/>
        <w:snapToGrid w:val="0"/>
        <w:spacing w:line="360" w:lineRule="auto"/>
        <w:jc w:val="center"/>
        <w:rPr>
          <w:b/>
          <w:sz w:val="36"/>
          <w:szCs w:val="36"/>
        </w:rPr>
      </w:pPr>
      <w:r>
        <w:rPr>
          <w:b/>
          <w:sz w:val="36"/>
          <w:szCs w:val="36"/>
        </w:rPr>
        <w:t>致 估 价 委 托 人 函</w:t>
      </w:r>
      <w:bookmarkEnd w:id="0"/>
    </w:p>
    <w:p>
      <w:pPr>
        <w:adjustRightInd w:val="0"/>
        <w:snapToGrid w:val="0"/>
        <w:spacing w:line="360" w:lineRule="auto"/>
        <w:rPr>
          <w:b/>
          <w:sz w:val="24"/>
          <w:szCs w:val="24"/>
        </w:rPr>
      </w:pPr>
      <w:r>
        <w:rPr>
          <w:rFonts w:hint="eastAsia"/>
          <w:b/>
          <w:sz w:val="24"/>
          <w:szCs w:val="24"/>
        </w:rPr>
        <w:t>海口市琼山区人民法院：</w:t>
      </w:r>
    </w:p>
    <w:p>
      <w:pPr>
        <w:adjustRightInd w:val="0"/>
        <w:snapToGrid w:val="0"/>
        <w:spacing w:line="460" w:lineRule="exact"/>
        <w:ind w:firstLine="480" w:firstLineChars="200"/>
        <w:rPr>
          <w:sz w:val="24"/>
          <w:szCs w:val="24"/>
        </w:rPr>
      </w:pPr>
      <w:r>
        <w:rPr>
          <w:sz w:val="24"/>
          <w:szCs w:val="24"/>
        </w:rPr>
        <w:t>承蒙委托，我公司对</w:t>
      </w:r>
      <w:r>
        <w:rPr>
          <w:rFonts w:hint="eastAsia"/>
          <w:sz w:val="24"/>
          <w:szCs w:val="24"/>
        </w:rPr>
        <w:t>海口市人民路沿江三西街13号海南大学40栋401房一套住宅房地产之市场价值进行评定估算，估价目的为确定房地产拍卖底价提供参考而评估房地产市场价值</w:t>
      </w:r>
      <w:r>
        <w:rPr>
          <w:sz w:val="24"/>
          <w:szCs w:val="24"/>
        </w:rPr>
        <w:t>。</w:t>
      </w:r>
    </w:p>
    <w:p>
      <w:pPr>
        <w:adjustRightInd w:val="0"/>
        <w:snapToGrid w:val="0"/>
        <w:spacing w:line="460" w:lineRule="exact"/>
        <w:ind w:firstLine="480" w:firstLineChars="200"/>
        <w:rPr>
          <w:sz w:val="24"/>
          <w:szCs w:val="24"/>
        </w:rPr>
      </w:pPr>
      <w:r>
        <w:rPr>
          <w:sz w:val="24"/>
          <w:szCs w:val="24"/>
        </w:rPr>
        <w:t>估价对象为</w:t>
      </w:r>
      <w:r>
        <w:rPr>
          <w:rFonts w:hint="eastAsia"/>
          <w:sz w:val="24"/>
          <w:szCs w:val="24"/>
        </w:rPr>
        <w:t>关于海口市人民路沿江三西街13号海南大学40栋401房（建筑面积为91.2㎡）住宅房地产估价</w:t>
      </w:r>
      <w:r>
        <w:rPr>
          <w:sz w:val="24"/>
          <w:szCs w:val="24"/>
        </w:rPr>
        <w:t>房屋所有权及其所分摊的土地在剩余使用年期的土地使用权，以及房屋内部装修（详见下文评估结果明细表）。</w:t>
      </w:r>
    </w:p>
    <w:p>
      <w:pPr>
        <w:adjustRightInd w:val="0"/>
        <w:snapToGrid w:val="0"/>
        <w:spacing w:line="460" w:lineRule="exact"/>
        <w:ind w:firstLine="480" w:firstLineChars="200"/>
        <w:rPr>
          <w:sz w:val="24"/>
          <w:szCs w:val="24"/>
        </w:rPr>
      </w:pPr>
      <w:r>
        <w:rPr>
          <w:sz w:val="24"/>
          <w:szCs w:val="24"/>
        </w:rPr>
        <w:t>我公司根据国家有关的政策、法规文件、委托人提供的有关资料以及估价人员实地查勘、查阅掌握的资料，遵循估价原则，按照估价程序，选取比较法作为估价方法，在认真分析现有资料的基础上，结合估价经验和对影响房地产价值因素分析、估算，确定委托评估物业在价值时点</w:t>
      </w:r>
      <w:r>
        <w:rPr>
          <w:b/>
          <w:sz w:val="24"/>
          <w:szCs w:val="24"/>
        </w:rPr>
        <w:t>二〇二二年</w:t>
      </w:r>
      <w:r>
        <w:rPr>
          <w:rFonts w:hint="eastAsia"/>
          <w:b/>
          <w:sz w:val="24"/>
          <w:szCs w:val="24"/>
        </w:rPr>
        <w:t>四月二十日</w:t>
      </w:r>
      <w:r>
        <w:rPr>
          <w:sz w:val="24"/>
          <w:szCs w:val="24"/>
        </w:rPr>
        <w:t>的假定未设立法定优先受偿权利下评估总值为</w:t>
      </w:r>
      <w:r>
        <w:rPr>
          <w:rFonts w:hint="eastAsia"/>
          <w:b/>
          <w:sz w:val="24"/>
          <w:szCs w:val="24"/>
        </w:rPr>
        <w:t xml:space="preserve">1,011,408 </w:t>
      </w:r>
      <w:r>
        <w:rPr>
          <w:sz w:val="24"/>
          <w:szCs w:val="24"/>
        </w:rPr>
        <w:t>元（取整至</w:t>
      </w:r>
      <w:r>
        <w:rPr>
          <w:rFonts w:hint="eastAsia"/>
          <w:sz w:val="24"/>
          <w:szCs w:val="24"/>
          <w:lang w:eastAsia="zh-CN"/>
        </w:rPr>
        <w:t>个</w:t>
      </w:r>
      <w:r>
        <w:rPr>
          <w:sz w:val="24"/>
          <w:szCs w:val="24"/>
        </w:rPr>
        <w:t>位），大写人民币</w:t>
      </w:r>
      <w:r>
        <w:rPr>
          <w:rFonts w:hint="eastAsia" w:ascii="宋体" w:hAnsi="宋体" w:cs="宋体"/>
          <w:b/>
          <w:bCs/>
          <w:color w:val="000000"/>
          <w:kern w:val="0"/>
          <w:sz w:val="24"/>
          <w:szCs w:val="24"/>
          <w:lang w:bidi="ar"/>
        </w:rPr>
        <w:t>壹佰零壹万壹仟肆佰零捌元整</w:t>
      </w:r>
      <w:r>
        <w:rPr>
          <w:sz w:val="24"/>
          <w:szCs w:val="24"/>
        </w:rPr>
        <w:t>，详见评估结果明细表。</w:t>
      </w:r>
    </w:p>
    <w:p>
      <w:pPr>
        <w:tabs>
          <w:tab w:val="left" w:pos="4935"/>
          <w:tab w:val="left" w:pos="5040"/>
          <w:tab w:val="left" w:pos="5145"/>
          <w:tab w:val="left" w:pos="5670"/>
        </w:tabs>
        <w:snapToGrid w:val="0"/>
        <w:spacing w:line="360" w:lineRule="auto"/>
        <w:jc w:val="center"/>
        <w:rPr>
          <w:b/>
          <w:sz w:val="24"/>
          <w:szCs w:val="24"/>
        </w:rPr>
      </w:pPr>
      <w:r>
        <w:rPr>
          <w:b/>
          <w:sz w:val="24"/>
          <w:szCs w:val="24"/>
        </w:rPr>
        <w:t>评估结果明细表</w:t>
      </w:r>
    </w:p>
    <w:tbl>
      <w:tblPr>
        <w:tblStyle w:val="28"/>
        <w:tblW w:w="9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278"/>
        <w:gridCol w:w="1827"/>
        <w:gridCol w:w="1563"/>
        <w:gridCol w:w="1845"/>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24" w:type="dxa"/>
            <w:vAlign w:val="center"/>
          </w:tcPr>
          <w:p>
            <w:pPr>
              <w:widowControl/>
              <w:jc w:val="center"/>
              <w:textAlignment w:val="center"/>
              <w:rPr>
                <w:b/>
                <w:szCs w:val="21"/>
              </w:rPr>
            </w:pPr>
            <w:r>
              <w:rPr>
                <w:rFonts w:hint="eastAsia" w:ascii="宋体" w:hAnsi="宋体" w:cs="宋体"/>
                <w:b/>
                <w:bCs/>
                <w:color w:val="000000"/>
                <w:kern w:val="0"/>
                <w:szCs w:val="21"/>
                <w:lang w:bidi="ar"/>
              </w:rPr>
              <w:t>序号</w:t>
            </w:r>
          </w:p>
        </w:tc>
        <w:tc>
          <w:tcPr>
            <w:tcW w:w="1278" w:type="dxa"/>
            <w:vAlign w:val="center"/>
          </w:tcPr>
          <w:p>
            <w:pPr>
              <w:widowControl/>
              <w:jc w:val="center"/>
              <w:textAlignment w:val="center"/>
              <w:rPr>
                <w:b/>
                <w:szCs w:val="21"/>
              </w:rPr>
            </w:pPr>
            <w:r>
              <w:rPr>
                <w:rFonts w:hint="eastAsia" w:ascii="宋体" w:hAnsi="宋体" w:cs="宋体"/>
                <w:b/>
                <w:bCs/>
                <w:color w:val="000000"/>
                <w:kern w:val="0"/>
                <w:szCs w:val="21"/>
                <w:lang w:bidi="ar"/>
              </w:rPr>
              <w:t>证载权利人</w:t>
            </w:r>
          </w:p>
        </w:tc>
        <w:tc>
          <w:tcPr>
            <w:tcW w:w="1827" w:type="dxa"/>
            <w:vAlign w:val="center"/>
          </w:tcPr>
          <w:p>
            <w:pPr>
              <w:widowControl/>
              <w:jc w:val="center"/>
              <w:textAlignment w:val="center"/>
              <w:rPr>
                <w:b/>
                <w:szCs w:val="21"/>
              </w:rPr>
            </w:pPr>
            <w:r>
              <w:rPr>
                <w:rFonts w:hint="eastAsia" w:ascii="宋体" w:hAnsi="宋体" w:cs="宋体"/>
                <w:b/>
                <w:bCs/>
                <w:color w:val="000000"/>
                <w:kern w:val="0"/>
                <w:szCs w:val="21"/>
                <w:lang w:bidi="ar"/>
              </w:rPr>
              <w:t>物业名称</w:t>
            </w:r>
          </w:p>
        </w:tc>
        <w:tc>
          <w:tcPr>
            <w:tcW w:w="1563" w:type="dxa"/>
            <w:vAlign w:val="center"/>
          </w:tcPr>
          <w:p>
            <w:pPr>
              <w:widowControl/>
              <w:jc w:val="center"/>
              <w:textAlignment w:val="center"/>
              <w:rPr>
                <w:b/>
                <w:szCs w:val="21"/>
              </w:rPr>
            </w:pPr>
            <w:r>
              <w:rPr>
                <w:rFonts w:hint="eastAsia" w:ascii="宋体" w:hAnsi="宋体" w:cs="宋体"/>
                <w:b/>
                <w:bCs/>
                <w:color w:val="000000"/>
                <w:kern w:val="0"/>
                <w:szCs w:val="21"/>
                <w:lang w:bidi="ar"/>
              </w:rPr>
              <w:t>建筑面积（㎡）</w:t>
            </w:r>
          </w:p>
        </w:tc>
        <w:tc>
          <w:tcPr>
            <w:tcW w:w="1845" w:type="dxa"/>
            <w:vAlign w:val="center"/>
          </w:tcPr>
          <w:p>
            <w:pPr>
              <w:widowControl/>
              <w:jc w:val="center"/>
              <w:textAlignment w:val="center"/>
              <w:rPr>
                <w:b/>
                <w:szCs w:val="21"/>
              </w:rPr>
            </w:pPr>
            <w:r>
              <w:rPr>
                <w:rFonts w:hint="eastAsia" w:ascii="宋体" w:hAnsi="宋体" w:cs="宋体"/>
                <w:b/>
                <w:bCs/>
                <w:color w:val="000000"/>
                <w:kern w:val="0"/>
                <w:szCs w:val="21"/>
                <w:lang w:bidi="ar"/>
              </w:rPr>
              <w:t>评估单价（元</w:t>
            </w:r>
            <w:r>
              <w:rPr>
                <w:rStyle w:val="144"/>
                <w:lang w:bidi="ar"/>
              </w:rPr>
              <w:t>/</w:t>
            </w:r>
            <w:r>
              <w:rPr>
                <w:rFonts w:hint="eastAsia" w:ascii="宋体" w:hAnsi="宋体" w:cs="宋体"/>
                <w:b/>
                <w:bCs/>
                <w:color w:val="000000"/>
                <w:kern w:val="0"/>
                <w:szCs w:val="21"/>
                <w:lang w:bidi="ar"/>
              </w:rPr>
              <w:t>㎡）</w:t>
            </w:r>
          </w:p>
        </w:tc>
        <w:tc>
          <w:tcPr>
            <w:tcW w:w="1986" w:type="dxa"/>
            <w:vAlign w:val="center"/>
          </w:tcPr>
          <w:p>
            <w:pPr>
              <w:widowControl/>
              <w:jc w:val="center"/>
              <w:textAlignment w:val="center"/>
              <w:rPr>
                <w:b/>
                <w:szCs w:val="21"/>
              </w:rPr>
            </w:pPr>
            <w:r>
              <w:rPr>
                <w:rFonts w:hint="eastAsia" w:ascii="宋体" w:hAnsi="宋体" w:cs="宋体"/>
                <w:b/>
                <w:bCs/>
                <w:color w:val="000000"/>
                <w:kern w:val="0"/>
                <w:szCs w:val="21"/>
                <w:lang w:bidi="ar"/>
              </w:rPr>
              <w:t>评估总值</w:t>
            </w:r>
            <w:r>
              <w:rPr>
                <w:rStyle w:val="144"/>
                <w:lang w:bidi="ar"/>
              </w:rPr>
              <w:t xml:space="preserve">             (</w:t>
            </w:r>
            <w:r>
              <w:rPr>
                <w:rFonts w:hint="eastAsia" w:ascii="宋体" w:hAnsi="宋体" w:cs="宋体"/>
                <w:b/>
                <w:bCs/>
                <w:color w:val="000000"/>
                <w:kern w:val="0"/>
                <w:szCs w:val="21"/>
                <w:lang w:bidi="ar"/>
              </w:rPr>
              <w:t>元</w:t>
            </w:r>
            <w:r>
              <w:rPr>
                <w:rStyle w:val="14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524" w:type="dxa"/>
            <w:vAlign w:val="center"/>
          </w:tcPr>
          <w:p>
            <w:pPr>
              <w:widowControl/>
              <w:jc w:val="center"/>
              <w:textAlignment w:val="center"/>
              <w:rPr>
                <w:szCs w:val="21"/>
              </w:rPr>
            </w:pPr>
            <w:r>
              <w:rPr>
                <w:color w:val="000000"/>
                <w:kern w:val="0"/>
                <w:szCs w:val="21"/>
                <w:lang w:bidi="ar"/>
              </w:rPr>
              <w:t>1</w:t>
            </w:r>
          </w:p>
        </w:tc>
        <w:tc>
          <w:tcPr>
            <w:tcW w:w="1278" w:type="dxa"/>
            <w:vAlign w:val="center"/>
          </w:tcPr>
          <w:p>
            <w:pPr>
              <w:widowControl/>
              <w:jc w:val="center"/>
              <w:textAlignment w:val="center"/>
              <w:rPr>
                <w:szCs w:val="21"/>
              </w:rPr>
            </w:pPr>
            <w:r>
              <w:rPr>
                <w:rFonts w:hint="eastAsia" w:ascii="宋体" w:hAnsi="宋体" w:cs="宋体"/>
                <w:color w:val="000000"/>
                <w:kern w:val="0"/>
                <w:szCs w:val="21"/>
                <w:lang w:bidi="ar"/>
              </w:rPr>
              <w:t>王曼华</w:t>
            </w:r>
          </w:p>
        </w:tc>
        <w:tc>
          <w:tcPr>
            <w:tcW w:w="1827" w:type="dxa"/>
            <w:vAlign w:val="center"/>
          </w:tcPr>
          <w:p>
            <w:pPr>
              <w:widowControl/>
              <w:jc w:val="center"/>
              <w:textAlignment w:val="center"/>
              <w:rPr>
                <w:szCs w:val="21"/>
              </w:rPr>
            </w:pPr>
            <w:r>
              <w:rPr>
                <w:rFonts w:hint="eastAsia" w:ascii="宋体" w:hAnsi="宋体" w:cs="宋体"/>
                <w:color w:val="000000"/>
                <w:kern w:val="0"/>
                <w:szCs w:val="21"/>
                <w:lang w:bidi="ar"/>
              </w:rPr>
              <w:t>海口市人民路沿江三西街</w:t>
            </w:r>
            <w:r>
              <w:rPr>
                <w:rStyle w:val="145"/>
                <w:lang w:bidi="ar"/>
              </w:rPr>
              <w:t>13</w:t>
            </w:r>
            <w:r>
              <w:rPr>
                <w:rStyle w:val="146"/>
                <w:rFonts w:hint="default"/>
                <w:lang w:bidi="ar"/>
              </w:rPr>
              <w:t>号海南大学</w:t>
            </w:r>
            <w:r>
              <w:rPr>
                <w:rStyle w:val="145"/>
                <w:lang w:bidi="ar"/>
              </w:rPr>
              <w:t>40</w:t>
            </w:r>
            <w:r>
              <w:rPr>
                <w:rStyle w:val="146"/>
                <w:rFonts w:hint="default"/>
                <w:lang w:bidi="ar"/>
              </w:rPr>
              <w:t>栋</w:t>
            </w:r>
            <w:r>
              <w:rPr>
                <w:rStyle w:val="145"/>
                <w:lang w:bidi="ar"/>
              </w:rPr>
              <w:t>401</w:t>
            </w:r>
            <w:r>
              <w:rPr>
                <w:rStyle w:val="146"/>
                <w:rFonts w:hint="default"/>
                <w:lang w:bidi="ar"/>
              </w:rPr>
              <w:t>房</w:t>
            </w:r>
          </w:p>
        </w:tc>
        <w:tc>
          <w:tcPr>
            <w:tcW w:w="1563" w:type="dxa"/>
            <w:vAlign w:val="center"/>
          </w:tcPr>
          <w:p>
            <w:pPr>
              <w:widowControl/>
              <w:jc w:val="center"/>
              <w:textAlignment w:val="center"/>
              <w:rPr>
                <w:szCs w:val="21"/>
              </w:rPr>
            </w:pPr>
            <w:r>
              <w:rPr>
                <w:color w:val="000000"/>
                <w:kern w:val="0"/>
                <w:szCs w:val="21"/>
                <w:lang w:bidi="ar"/>
              </w:rPr>
              <w:t>91.2</w:t>
            </w:r>
          </w:p>
        </w:tc>
        <w:tc>
          <w:tcPr>
            <w:tcW w:w="1845" w:type="dxa"/>
            <w:vAlign w:val="center"/>
          </w:tcPr>
          <w:p>
            <w:pPr>
              <w:widowControl/>
              <w:jc w:val="center"/>
              <w:textAlignment w:val="center"/>
              <w:rPr>
                <w:szCs w:val="21"/>
              </w:rPr>
            </w:pPr>
            <w:r>
              <w:rPr>
                <w:rFonts w:hint="eastAsia"/>
                <w:b/>
                <w:bCs/>
                <w:color w:val="000000"/>
                <w:kern w:val="0"/>
                <w:sz w:val="24"/>
                <w:szCs w:val="24"/>
                <w:lang w:bidi="ar"/>
              </w:rPr>
              <w:t>11,090</w:t>
            </w:r>
          </w:p>
        </w:tc>
        <w:tc>
          <w:tcPr>
            <w:tcW w:w="1986" w:type="dxa"/>
            <w:vAlign w:val="center"/>
          </w:tcPr>
          <w:p>
            <w:pPr>
              <w:widowControl/>
              <w:jc w:val="center"/>
              <w:textAlignment w:val="center"/>
              <w:rPr>
                <w:szCs w:val="21"/>
              </w:rPr>
            </w:pPr>
            <w:r>
              <w:rPr>
                <w:rFonts w:hint="eastAsia"/>
                <w:b/>
                <w:bCs/>
                <w:color w:val="000000"/>
                <w:kern w:val="0"/>
                <w:sz w:val="24"/>
                <w:szCs w:val="24"/>
                <w:lang w:bidi="ar"/>
              </w:rPr>
              <w:t>1,011,408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9" w:type="dxa"/>
            <w:gridSpan w:val="3"/>
            <w:vAlign w:val="center"/>
          </w:tcPr>
          <w:p>
            <w:pPr>
              <w:widowControl/>
              <w:jc w:val="center"/>
              <w:textAlignment w:val="center"/>
              <w:rPr>
                <w:b/>
                <w:szCs w:val="21"/>
              </w:rPr>
            </w:pPr>
            <w:r>
              <w:rPr>
                <w:rFonts w:hint="eastAsia" w:ascii="宋体" w:hAnsi="宋体" w:cs="宋体"/>
                <w:b/>
                <w:bCs/>
                <w:color w:val="000000"/>
                <w:kern w:val="0"/>
                <w:szCs w:val="21"/>
                <w:lang w:bidi="ar"/>
              </w:rPr>
              <w:t>合计</w:t>
            </w:r>
          </w:p>
        </w:tc>
        <w:tc>
          <w:tcPr>
            <w:tcW w:w="1563" w:type="dxa"/>
            <w:vAlign w:val="center"/>
          </w:tcPr>
          <w:p>
            <w:pPr>
              <w:widowControl/>
              <w:jc w:val="center"/>
              <w:textAlignment w:val="center"/>
              <w:rPr>
                <w:b/>
                <w:szCs w:val="21"/>
              </w:rPr>
            </w:pPr>
            <w:r>
              <w:rPr>
                <w:b/>
                <w:bCs/>
                <w:color w:val="000000"/>
                <w:kern w:val="0"/>
                <w:szCs w:val="21"/>
                <w:lang w:bidi="ar"/>
              </w:rPr>
              <w:t>91.2</w:t>
            </w:r>
          </w:p>
        </w:tc>
        <w:tc>
          <w:tcPr>
            <w:tcW w:w="1845" w:type="dxa"/>
            <w:vAlign w:val="center"/>
          </w:tcPr>
          <w:p>
            <w:pPr>
              <w:jc w:val="center"/>
              <w:rPr>
                <w:b/>
                <w:szCs w:val="21"/>
              </w:rPr>
            </w:pPr>
          </w:p>
        </w:tc>
        <w:tc>
          <w:tcPr>
            <w:tcW w:w="1986" w:type="dxa"/>
            <w:vAlign w:val="center"/>
          </w:tcPr>
          <w:p>
            <w:pPr>
              <w:widowControl/>
              <w:jc w:val="center"/>
              <w:textAlignment w:val="center"/>
              <w:rPr>
                <w:b/>
                <w:szCs w:val="21"/>
              </w:rPr>
            </w:pPr>
            <w:r>
              <w:rPr>
                <w:rFonts w:hint="eastAsia"/>
                <w:b/>
                <w:bCs/>
                <w:color w:val="000000"/>
                <w:kern w:val="0"/>
                <w:sz w:val="24"/>
                <w:szCs w:val="24"/>
                <w:lang w:bidi="ar"/>
              </w:rPr>
              <w:t>1,011,408</w:t>
            </w:r>
          </w:p>
        </w:tc>
      </w:tr>
    </w:tbl>
    <w:p>
      <w:pPr>
        <w:pStyle w:val="2"/>
        <w:rPr>
          <w:b/>
          <w:bCs/>
          <w:sz w:val="21"/>
          <w:szCs w:val="21"/>
        </w:rPr>
      </w:pPr>
      <w:r>
        <w:rPr>
          <w:rFonts w:hint="eastAsia" w:hAnsi="宋体"/>
          <w:b/>
          <w:sz w:val="21"/>
          <w:szCs w:val="21"/>
        </w:rPr>
        <w:t>备注</w:t>
      </w:r>
      <w:r>
        <w:rPr>
          <w:rStyle w:val="35"/>
          <w:rFonts w:hint="eastAsia" w:hAnsi="宋体"/>
          <w:b/>
        </w:rPr>
        <w:t>:</w:t>
      </w:r>
      <w:r>
        <w:rPr>
          <w:rFonts w:hAnsi="宋体"/>
          <w:b/>
          <w:sz w:val="21"/>
          <w:szCs w:val="21"/>
        </w:rPr>
        <w:t>经向有关部门了解,划拨用地上房屋补交土地出让金及相关税费后,可以转为市场商品房，根据《土地登记信息查询情况说明》，该房屋所在地为划拨用地，显示比房屋土地产权未进行分割，所以出让金及相关税费无法测算，本次评估价值为完全产权状态下的市场价值，包含土地出让金，</w:t>
      </w:r>
      <w:r>
        <w:rPr>
          <w:rFonts w:hint="eastAsia" w:hAnsi="宋体"/>
          <w:b/>
          <w:sz w:val="21"/>
          <w:szCs w:val="21"/>
        </w:rPr>
        <w:t>具体应缴纳金额最终以相关部门最终核定为准，</w:t>
      </w:r>
      <w:r>
        <w:rPr>
          <w:rFonts w:hAnsi="宋体"/>
          <w:b/>
          <w:sz w:val="21"/>
          <w:szCs w:val="21"/>
        </w:rPr>
        <w:t>提请报告使用者注意。</w:t>
      </w:r>
    </w:p>
    <w:p>
      <w:pPr>
        <w:tabs>
          <w:tab w:val="left" w:pos="2279"/>
          <w:tab w:val="left" w:pos="4935"/>
          <w:tab w:val="left" w:pos="5040"/>
          <w:tab w:val="left" w:pos="5145"/>
          <w:tab w:val="left" w:pos="5670"/>
        </w:tabs>
        <w:adjustRightInd w:val="0"/>
        <w:snapToGrid w:val="0"/>
        <w:spacing w:line="360" w:lineRule="auto"/>
        <w:jc w:val="left"/>
        <w:rPr>
          <w:b/>
          <w:szCs w:val="21"/>
        </w:rPr>
      </w:pPr>
    </w:p>
    <w:p>
      <w:pPr>
        <w:tabs>
          <w:tab w:val="left" w:pos="4935"/>
          <w:tab w:val="left" w:pos="5040"/>
          <w:tab w:val="left" w:pos="5145"/>
          <w:tab w:val="left" w:pos="5670"/>
        </w:tabs>
        <w:adjustRightInd w:val="0"/>
        <w:snapToGrid w:val="0"/>
        <w:spacing w:line="360" w:lineRule="auto"/>
        <w:jc w:val="right"/>
        <w:rPr>
          <w:b/>
          <w:sz w:val="24"/>
          <w:szCs w:val="24"/>
        </w:rPr>
      </w:pPr>
      <w:r>
        <w:rPr>
          <w:rFonts w:hint="eastAsia"/>
          <w:b/>
          <w:sz w:val="24"/>
          <w:szCs w:val="24"/>
        </w:rPr>
        <w:t xml:space="preserve"> </w:t>
      </w:r>
      <w:r>
        <w:rPr>
          <w:b/>
          <w:sz w:val="24"/>
          <w:szCs w:val="24"/>
        </w:rPr>
        <w:t>深圳市鹏信资产评估土地房地产估价有限公司</w:t>
      </w:r>
    </w:p>
    <w:p>
      <w:pPr>
        <w:tabs>
          <w:tab w:val="left" w:pos="4935"/>
          <w:tab w:val="left" w:pos="5040"/>
          <w:tab w:val="left" w:pos="5145"/>
          <w:tab w:val="left" w:pos="5670"/>
        </w:tabs>
        <w:adjustRightInd w:val="0"/>
        <w:snapToGrid w:val="0"/>
        <w:spacing w:line="360" w:lineRule="auto"/>
        <w:ind w:firstLine="4865" w:firstLineChars="2019"/>
        <w:rPr>
          <w:b/>
          <w:sz w:val="24"/>
          <w:szCs w:val="24"/>
        </w:rPr>
      </w:pPr>
      <w:r>
        <w:rPr>
          <w:b/>
          <w:sz w:val="24"/>
          <w:szCs w:val="24"/>
        </w:rPr>
        <w:t>法定代表人：</w:t>
      </w:r>
    </w:p>
    <w:p>
      <w:pPr>
        <w:tabs>
          <w:tab w:val="left" w:pos="4935"/>
          <w:tab w:val="left" w:pos="5040"/>
          <w:tab w:val="left" w:pos="5145"/>
          <w:tab w:val="left" w:pos="5670"/>
        </w:tabs>
        <w:adjustRightInd w:val="0"/>
        <w:snapToGrid w:val="0"/>
        <w:spacing w:line="360" w:lineRule="auto"/>
        <w:ind w:left="420" w:leftChars="200" w:firstLine="4631" w:firstLineChars="1922"/>
        <w:rPr>
          <w:b/>
          <w:sz w:val="24"/>
          <w:szCs w:val="24"/>
        </w:rPr>
      </w:pPr>
      <w:r>
        <w:rPr>
          <w:b/>
          <w:sz w:val="24"/>
          <w:szCs w:val="24"/>
        </w:rPr>
        <w:t>二〇二二年四月</w:t>
      </w:r>
      <w:r>
        <w:rPr>
          <w:rFonts w:hint="eastAsia"/>
          <w:b/>
          <w:sz w:val="24"/>
          <w:szCs w:val="24"/>
        </w:rPr>
        <w:t>二十七</w:t>
      </w:r>
      <w:r>
        <w:rPr>
          <w:b/>
          <w:sz w:val="24"/>
          <w:szCs w:val="24"/>
        </w:rPr>
        <w:t>日</w:t>
      </w:r>
    </w:p>
    <w:p>
      <w:pPr>
        <w:tabs>
          <w:tab w:val="left" w:pos="4935"/>
          <w:tab w:val="left" w:pos="5040"/>
          <w:tab w:val="left" w:pos="5145"/>
          <w:tab w:val="left" w:pos="5670"/>
        </w:tabs>
        <w:adjustRightInd w:val="0"/>
        <w:snapToGrid w:val="0"/>
        <w:spacing w:line="360" w:lineRule="auto"/>
        <w:ind w:firstLine="4614" w:firstLineChars="1915"/>
        <w:rPr>
          <w:b/>
          <w:sz w:val="24"/>
          <w:szCs w:val="24"/>
        </w:rPr>
      </w:pPr>
    </w:p>
    <w:p>
      <w:pPr>
        <w:pStyle w:val="2"/>
      </w:pPr>
    </w:p>
    <w:p>
      <w:pPr>
        <w:pStyle w:val="7"/>
        <w:adjustRightInd w:val="0"/>
        <w:snapToGrid w:val="0"/>
        <w:spacing w:after="150" w:afterLines="50" w:line="320" w:lineRule="exact"/>
        <w:jc w:val="center"/>
        <w:rPr>
          <w:rFonts w:ascii="Times New Roman" w:hAnsi="Times New Roman" w:cs="Times New Roman"/>
          <w:b/>
          <w:sz w:val="32"/>
          <w:szCs w:val="32"/>
        </w:rPr>
      </w:pPr>
      <w:bookmarkStart w:id="1" w:name="_Toc11454"/>
      <w:r>
        <w:rPr>
          <w:rFonts w:ascii="Times New Roman" w:hAnsi="Times New Roman" w:cs="Times New Roman"/>
          <w:b/>
          <w:sz w:val="32"/>
          <w:szCs w:val="32"/>
        </w:rPr>
        <w:t>目     录</w:t>
      </w:r>
    </w:p>
    <w:p>
      <w:pPr>
        <w:pStyle w:val="18"/>
        <w:spacing w:line="360" w:lineRule="exact"/>
        <w:rPr>
          <w:rFonts w:ascii="Times New Roman"/>
          <w:b w:val="0"/>
          <w:sz w:val="21"/>
          <w:szCs w:val="22"/>
        </w:rPr>
      </w:pPr>
      <w:r>
        <w:rPr>
          <w:rFonts w:ascii="Times New Roman"/>
          <w:b w:val="0"/>
        </w:rPr>
        <w:fldChar w:fldCharType="begin"/>
      </w:r>
      <w:r>
        <w:rPr>
          <w:rStyle w:val="34"/>
          <w:rFonts w:ascii="Times New Roman"/>
          <w:b w:val="0"/>
        </w:rPr>
        <w:instrText xml:space="preserve"> TOC \o "1-3" \h \z </w:instrText>
      </w:r>
      <w:r>
        <w:rPr>
          <w:rFonts w:ascii="Times New Roman"/>
          <w:b w:val="0"/>
        </w:rPr>
        <w:fldChar w:fldCharType="separate"/>
      </w:r>
      <w:r>
        <w:fldChar w:fldCharType="begin"/>
      </w:r>
      <w:r>
        <w:instrText xml:space="preserve"> HYPERLINK \l "_Toc491874778" </w:instrText>
      </w:r>
      <w:r>
        <w:fldChar w:fldCharType="separate"/>
      </w:r>
      <w:r>
        <w:rPr>
          <w:rStyle w:val="34"/>
          <w:rFonts w:ascii="Times New Roman"/>
        </w:rPr>
        <w:t>估价师声明</w:t>
      </w:r>
      <w:r>
        <w:rPr>
          <w:rFonts w:ascii="Times New Roman"/>
        </w:rPr>
        <w:tab/>
      </w:r>
      <w:r>
        <w:rPr>
          <w:rFonts w:ascii="Times New Roman"/>
        </w:rPr>
        <w:fldChar w:fldCharType="begin"/>
      </w:r>
      <w:r>
        <w:rPr>
          <w:rFonts w:ascii="Times New Roman"/>
        </w:rPr>
        <w:instrText xml:space="preserve"> PAGEREF _Toc491874778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8"/>
        <w:spacing w:line="360" w:lineRule="exact"/>
        <w:rPr>
          <w:rFonts w:ascii="Times New Roman"/>
          <w:b w:val="0"/>
          <w:sz w:val="21"/>
          <w:szCs w:val="22"/>
        </w:rPr>
      </w:pPr>
      <w:r>
        <w:fldChar w:fldCharType="begin"/>
      </w:r>
      <w:r>
        <w:instrText xml:space="preserve"> HYPERLINK \l "_Toc491874779" </w:instrText>
      </w:r>
      <w:r>
        <w:fldChar w:fldCharType="separate"/>
      </w:r>
      <w:r>
        <w:rPr>
          <w:rStyle w:val="34"/>
          <w:rFonts w:ascii="Times New Roman"/>
        </w:rPr>
        <w:t>估价假设和限制条件</w:t>
      </w:r>
      <w:r>
        <w:rPr>
          <w:rFonts w:ascii="Times New Roman"/>
        </w:rPr>
        <w:tab/>
      </w:r>
      <w:r>
        <w:rPr>
          <w:rFonts w:ascii="Times New Roman"/>
        </w:rPr>
        <w:fldChar w:fldCharType="begin"/>
      </w:r>
      <w:r>
        <w:rPr>
          <w:rFonts w:ascii="Times New Roman"/>
        </w:rPr>
        <w:instrText xml:space="preserve"> PAGEREF _Toc491874779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18"/>
        <w:spacing w:line="360" w:lineRule="exact"/>
        <w:rPr>
          <w:rFonts w:ascii="Times New Roman"/>
          <w:b w:val="0"/>
          <w:sz w:val="21"/>
          <w:szCs w:val="22"/>
        </w:rPr>
      </w:pPr>
      <w:r>
        <w:fldChar w:fldCharType="begin"/>
      </w:r>
      <w:r>
        <w:instrText xml:space="preserve"> HYPERLINK \l "_Toc491874780" </w:instrText>
      </w:r>
      <w:r>
        <w:fldChar w:fldCharType="separate"/>
      </w:r>
      <w:r>
        <w:rPr>
          <w:rStyle w:val="34"/>
          <w:rFonts w:ascii="Times New Roman"/>
        </w:rPr>
        <w:t>房地产估价结果报告</w:t>
      </w:r>
      <w:r>
        <w:rPr>
          <w:rFonts w:ascii="Times New Roman"/>
        </w:rPr>
        <w:tab/>
      </w:r>
      <w:r>
        <w:rPr>
          <w:rFonts w:ascii="Times New Roman"/>
        </w:rPr>
        <w:fldChar w:fldCharType="begin"/>
      </w:r>
      <w:r>
        <w:rPr>
          <w:rFonts w:ascii="Times New Roman"/>
        </w:rPr>
        <w:instrText xml:space="preserve"> PAGEREF _Toc491874780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23"/>
        <w:spacing w:line="360" w:lineRule="exact"/>
        <w:rPr>
          <w:color w:val="auto"/>
          <w:sz w:val="21"/>
          <w:szCs w:val="22"/>
        </w:rPr>
      </w:pPr>
      <w:r>
        <w:fldChar w:fldCharType="begin"/>
      </w:r>
      <w:r>
        <w:instrText xml:space="preserve"> HYPERLINK \l "_Toc491874781" </w:instrText>
      </w:r>
      <w:r>
        <w:fldChar w:fldCharType="separate"/>
      </w:r>
      <w:r>
        <w:rPr>
          <w:rStyle w:val="34"/>
          <w:color w:val="auto"/>
        </w:rPr>
        <w:t>（一）估价委托人</w:t>
      </w:r>
      <w:r>
        <w:rPr>
          <w:color w:val="auto"/>
        </w:rPr>
        <w:tab/>
      </w:r>
      <w:r>
        <w:rPr>
          <w:color w:val="auto"/>
        </w:rPr>
        <w:fldChar w:fldCharType="begin"/>
      </w:r>
      <w:r>
        <w:rPr>
          <w:color w:val="auto"/>
        </w:rPr>
        <w:instrText xml:space="preserve"> PAGEREF _Toc491874781 \h </w:instrText>
      </w:r>
      <w:r>
        <w:rPr>
          <w:color w:val="auto"/>
        </w:rPr>
        <w:fldChar w:fldCharType="separate"/>
      </w:r>
      <w:r>
        <w:rPr>
          <w:color w:val="auto"/>
        </w:rPr>
        <w:t>6</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"_Toc491874782" </w:instrText>
      </w:r>
      <w:r>
        <w:fldChar w:fldCharType="separate"/>
      </w:r>
      <w:r>
        <w:rPr>
          <w:rStyle w:val="34"/>
          <w:color w:val="auto"/>
        </w:rPr>
        <w:t>（二）房地产估价机构</w:t>
      </w:r>
      <w:r>
        <w:rPr>
          <w:color w:val="auto"/>
        </w:rPr>
        <w:tab/>
      </w:r>
      <w:r>
        <w:rPr>
          <w:color w:val="auto"/>
        </w:rPr>
        <w:fldChar w:fldCharType="begin"/>
      </w:r>
      <w:r>
        <w:rPr>
          <w:color w:val="auto"/>
        </w:rPr>
        <w:instrText xml:space="preserve"> PAGEREF _Toc491874782 \h </w:instrText>
      </w:r>
      <w:r>
        <w:rPr>
          <w:color w:val="auto"/>
        </w:rPr>
        <w:fldChar w:fldCharType="separate"/>
      </w:r>
      <w:r>
        <w:rPr>
          <w:color w:val="auto"/>
        </w:rPr>
        <w:t>6</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"_Toc491874783" </w:instrText>
      </w:r>
      <w:r>
        <w:fldChar w:fldCharType="separate"/>
      </w:r>
      <w:r>
        <w:rPr>
          <w:rStyle w:val="34"/>
          <w:color w:val="auto"/>
        </w:rPr>
        <w:t>（三）估价目的</w:t>
      </w:r>
      <w:r>
        <w:rPr>
          <w:color w:val="auto"/>
        </w:rPr>
        <w:tab/>
      </w:r>
      <w:r>
        <w:rPr>
          <w:color w:val="auto"/>
        </w:rPr>
        <w:fldChar w:fldCharType="begin"/>
      </w:r>
      <w:r>
        <w:rPr>
          <w:color w:val="auto"/>
        </w:rPr>
        <w:instrText xml:space="preserve"> PAGEREF _Toc491874783 \h </w:instrText>
      </w:r>
      <w:r>
        <w:rPr>
          <w:color w:val="auto"/>
        </w:rPr>
        <w:fldChar w:fldCharType="separate"/>
      </w:r>
      <w:r>
        <w:rPr>
          <w:color w:val="auto"/>
        </w:rPr>
        <w:t>6</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"_Toc491874784" </w:instrText>
      </w:r>
      <w:r>
        <w:fldChar w:fldCharType="separate"/>
      </w:r>
      <w:r>
        <w:rPr>
          <w:rStyle w:val="34"/>
          <w:color w:val="auto"/>
        </w:rPr>
        <w:t>（四）估价对象</w:t>
      </w:r>
      <w:r>
        <w:rPr>
          <w:color w:val="auto"/>
        </w:rPr>
        <w:tab/>
      </w:r>
      <w:r>
        <w:rPr>
          <w:color w:val="auto"/>
        </w:rPr>
        <w:fldChar w:fldCharType="begin"/>
      </w:r>
      <w:r>
        <w:rPr>
          <w:color w:val="auto"/>
        </w:rPr>
        <w:instrText xml:space="preserve"> PAGEREF _Toc491874784 \h </w:instrText>
      </w:r>
      <w:r>
        <w:rPr>
          <w:color w:val="auto"/>
        </w:rPr>
        <w:fldChar w:fldCharType="separate"/>
      </w:r>
      <w:r>
        <w:rPr>
          <w:color w:val="auto"/>
        </w:rPr>
        <w:t>7</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"_Toc491874785" </w:instrText>
      </w:r>
      <w:r>
        <w:fldChar w:fldCharType="separate"/>
      </w:r>
      <w:r>
        <w:rPr>
          <w:rStyle w:val="34"/>
          <w:color w:val="auto"/>
        </w:rPr>
        <w:t>（五）价值时点</w:t>
      </w:r>
      <w:r>
        <w:rPr>
          <w:color w:val="auto"/>
        </w:rPr>
        <w:tab/>
      </w:r>
      <w:r>
        <w:rPr>
          <w:color w:val="auto"/>
        </w:rPr>
        <w:fldChar w:fldCharType="begin"/>
      </w:r>
      <w:r>
        <w:rPr>
          <w:color w:val="auto"/>
        </w:rPr>
        <w:instrText xml:space="preserve"> PAGEREF _Toc491874785 \h </w:instrText>
      </w:r>
      <w:r>
        <w:rPr>
          <w:color w:val="auto"/>
        </w:rPr>
        <w:fldChar w:fldCharType="separate"/>
      </w:r>
      <w:r>
        <w:rPr>
          <w:color w:val="auto"/>
        </w:rPr>
        <w:t>7</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"_Toc491874786" </w:instrText>
      </w:r>
      <w:r>
        <w:fldChar w:fldCharType="separate"/>
      </w:r>
      <w:r>
        <w:rPr>
          <w:rStyle w:val="34"/>
          <w:color w:val="auto"/>
        </w:rPr>
        <w:t>（六）价值类型</w:t>
      </w:r>
      <w:r>
        <w:rPr>
          <w:color w:val="auto"/>
        </w:rPr>
        <w:tab/>
      </w:r>
      <w:r>
        <w:rPr>
          <w:color w:val="auto"/>
        </w:rPr>
        <w:fldChar w:fldCharType="begin"/>
      </w:r>
      <w:r>
        <w:rPr>
          <w:color w:val="auto"/>
        </w:rPr>
        <w:instrText xml:space="preserve"> PAGEREF _Toc491874786 \h </w:instrText>
      </w:r>
      <w:r>
        <w:rPr>
          <w:color w:val="auto"/>
        </w:rPr>
        <w:fldChar w:fldCharType="separate"/>
      </w:r>
      <w:r>
        <w:rPr>
          <w:color w:val="auto"/>
        </w:rPr>
        <w:t>8</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"_Toc491874787" </w:instrText>
      </w:r>
      <w:r>
        <w:fldChar w:fldCharType="separate"/>
      </w:r>
      <w:r>
        <w:rPr>
          <w:rStyle w:val="34"/>
          <w:color w:val="auto"/>
        </w:rPr>
        <w:t>（七）估价原则</w:t>
      </w:r>
      <w:r>
        <w:rPr>
          <w:color w:val="auto"/>
        </w:rPr>
        <w:tab/>
      </w:r>
      <w:r>
        <w:rPr>
          <w:color w:val="auto"/>
        </w:rPr>
        <w:fldChar w:fldCharType="begin"/>
      </w:r>
      <w:r>
        <w:rPr>
          <w:color w:val="auto"/>
        </w:rPr>
        <w:instrText xml:space="preserve"> PAGEREF _Toc491874787 \h </w:instrText>
      </w:r>
      <w:r>
        <w:rPr>
          <w:color w:val="auto"/>
        </w:rPr>
        <w:fldChar w:fldCharType="separate"/>
      </w:r>
      <w:r>
        <w:rPr>
          <w:color w:val="auto"/>
        </w:rPr>
        <w:t>8</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"_Toc491874788" </w:instrText>
      </w:r>
      <w:r>
        <w:fldChar w:fldCharType="separate"/>
      </w:r>
      <w:r>
        <w:rPr>
          <w:rStyle w:val="34"/>
          <w:color w:val="auto"/>
        </w:rPr>
        <w:t>（八）估价依据</w:t>
      </w:r>
      <w:r>
        <w:rPr>
          <w:color w:val="auto"/>
        </w:rPr>
        <w:tab/>
      </w:r>
      <w:r>
        <w:rPr>
          <w:color w:val="auto"/>
        </w:rPr>
        <w:fldChar w:fldCharType="begin"/>
      </w:r>
      <w:r>
        <w:rPr>
          <w:color w:val="auto"/>
        </w:rPr>
        <w:instrText xml:space="preserve"> PAGEREF _Toc491874788 \h </w:instrText>
      </w:r>
      <w:r>
        <w:rPr>
          <w:color w:val="auto"/>
        </w:rPr>
        <w:fldChar w:fldCharType="separate"/>
      </w:r>
      <w:r>
        <w:rPr>
          <w:color w:val="auto"/>
        </w:rPr>
        <w:t>8</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"_Toc491874789" </w:instrText>
      </w:r>
      <w:r>
        <w:fldChar w:fldCharType="separate"/>
      </w:r>
      <w:r>
        <w:rPr>
          <w:rStyle w:val="34"/>
          <w:color w:val="auto"/>
        </w:rPr>
        <w:t>（九）估价方法</w:t>
      </w:r>
      <w:r>
        <w:rPr>
          <w:color w:val="auto"/>
        </w:rPr>
        <w:tab/>
      </w:r>
      <w:r>
        <w:rPr>
          <w:color w:val="auto"/>
        </w:rPr>
        <w:fldChar w:fldCharType="begin"/>
      </w:r>
      <w:r>
        <w:rPr>
          <w:color w:val="auto"/>
        </w:rPr>
        <w:instrText xml:space="preserve"> PAGEREF _Toc491874789 \h </w:instrText>
      </w:r>
      <w:r>
        <w:rPr>
          <w:color w:val="auto"/>
        </w:rPr>
        <w:fldChar w:fldCharType="separate"/>
      </w:r>
      <w:r>
        <w:rPr>
          <w:color w:val="auto"/>
        </w:rPr>
        <w:t>10</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"_Toc491874790" </w:instrText>
      </w:r>
      <w:r>
        <w:fldChar w:fldCharType="separate"/>
      </w:r>
      <w:r>
        <w:rPr>
          <w:rStyle w:val="34"/>
          <w:color w:val="auto"/>
        </w:rPr>
        <w:t>（十）估价结果</w:t>
      </w:r>
      <w:r>
        <w:rPr>
          <w:color w:val="auto"/>
        </w:rPr>
        <w:tab/>
      </w:r>
      <w:r>
        <w:rPr>
          <w:color w:val="auto"/>
        </w:rPr>
        <w:fldChar w:fldCharType="begin"/>
      </w:r>
      <w:r>
        <w:rPr>
          <w:color w:val="auto"/>
        </w:rPr>
        <w:instrText xml:space="preserve"> PAGEREF _Toc491874790 \h </w:instrText>
      </w:r>
      <w:r>
        <w:rPr>
          <w:color w:val="auto"/>
        </w:rPr>
        <w:fldChar w:fldCharType="separate"/>
      </w:r>
      <w:r>
        <w:rPr>
          <w:color w:val="auto"/>
        </w:rPr>
        <w:t>10</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"_Toc491874791" </w:instrText>
      </w:r>
      <w:r>
        <w:fldChar w:fldCharType="separate"/>
      </w:r>
      <w:r>
        <w:rPr>
          <w:rStyle w:val="34"/>
          <w:color w:val="auto"/>
        </w:rPr>
        <w:t>（十一）注册房地产估价师</w:t>
      </w:r>
      <w:r>
        <w:rPr>
          <w:color w:val="auto"/>
        </w:rPr>
        <w:tab/>
      </w:r>
      <w:r>
        <w:rPr>
          <w:color w:val="auto"/>
        </w:rPr>
        <w:fldChar w:fldCharType="begin"/>
      </w:r>
      <w:r>
        <w:rPr>
          <w:color w:val="auto"/>
        </w:rPr>
        <w:instrText xml:space="preserve"> PAGEREF _Toc491874791 \h </w:instrText>
      </w:r>
      <w:r>
        <w:rPr>
          <w:color w:val="auto"/>
        </w:rPr>
        <w:fldChar w:fldCharType="separate"/>
      </w:r>
      <w:r>
        <w:rPr>
          <w:color w:val="auto"/>
        </w:rPr>
        <w:t>10</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"_Toc491874792" </w:instrText>
      </w:r>
      <w:r>
        <w:fldChar w:fldCharType="separate"/>
      </w:r>
      <w:r>
        <w:rPr>
          <w:rStyle w:val="34"/>
          <w:color w:val="auto"/>
        </w:rPr>
        <w:t>（十二）实地查勘期</w:t>
      </w:r>
      <w:r>
        <w:rPr>
          <w:color w:val="auto"/>
        </w:rPr>
        <w:tab/>
      </w:r>
      <w:r>
        <w:rPr>
          <w:color w:val="auto"/>
        </w:rPr>
        <w:fldChar w:fldCharType="begin"/>
      </w:r>
      <w:r>
        <w:rPr>
          <w:color w:val="auto"/>
        </w:rPr>
        <w:instrText xml:space="preserve"> PAGEREF _Toc491874792 \h </w:instrText>
      </w:r>
      <w:r>
        <w:rPr>
          <w:color w:val="auto"/>
        </w:rPr>
        <w:fldChar w:fldCharType="separate"/>
      </w:r>
      <w:r>
        <w:rPr>
          <w:color w:val="auto"/>
        </w:rPr>
        <w:t>11</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"_Toc491874793" </w:instrText>
      </w:r>
      <w:r>
        <w:fldChar w:fldCharType="separate"/>
      </w:r>
      <w:r>
        <w:rPr>
          <w:rStyle w:val="34"/>
          <w:color w:val="auto"/>
        </w:rPr>
        <w:t>（十三）估价作业期</w:t>
      </w:r>
      <w:r>
        <w:rPr>
          <w:color w:val="auto"/>
        </w:rPr>
        <w:tab/>
      </w:r>
      <w:r>
        <w:rPr>
          <w:color w:val="auto"/>
        </w:rPr>
        <w:fldChar w:fldCharType="begin"/>
      </w:r>
      <w:r>
        <w:rPr>
          <w:color w:val="auto"/>
        </w:rPr>
        <w:instrText xml:space="preserve"> PAGEREF _Toc491874793 \h </w:instrText>
      </w:r>
      <w:r>
        <w:rPr>
          <w:color w:val="auto"/>
        </w:rPr>
        <w:fldChar w:fldCharType="separate"/>
      </w:r>
      <w:r>
        <w:rPr>
          <w:color w:val="auto"/>
        </w:rPr>
        <w:t>11</w:t>
      </w:r>
      <w:r>
        <w:rPr>
          <w:color w:val="auto"/>
        </w:rPr>
        <w:fldChar w:fldCharType="end"/>
      </w:r>
      <w:r>
        <w:rPr>
          <w:color w:val="auto"/>
        </w:rPr>
        <w:fldChar w:fldCharType="end"/>
      </w:r>
    </w:p>
    <w:p>
      <w:pPr>
        <w:pStyle w:val="18"/>
        <w:spacing w:line="360" w:lineRule="exact"/>
        <w:rPr>
          <w:rFonts w:ascii="Times New Roman"/>
          <w:b w:val="0"/>
          <w:sz w:val="21"/>
          <w:szCs w:val="22"/>
        </w:rPr>
      </w:pPr>
      <w:r>
        <w:fldChar w:fldCharType="begin"/>
      </w:r>
      <w:r>
        <w:instrText xml:space="preserve"> HYPERLINK \l "_Toc491874794" </w:instrText>
      </w:r>
      <w:r>
        <w:fldChar w:fldCharType="separate"/>
      </w:r>
      <w:r>
        <w:rPr>
          <w:rStyle w:val="34"/>
          <w:rFonts w:ascii="Times New Roman"/>
        </w:rPr>
        <w:t>估价技术报告</w:t>
      </w:r>
      <w:r>
        <w:rPr>
          <w:rFonts w:ascii="Times New Roman"/>
        </w:rPr>
        <w:tab/>
      </w:r>
      <w:r>
        <w:rPr>
          <w:rFonts w:ascii="Times New Roman"/>
        </w:rPr>
        <w:fldChar w:fldCharType="begin"/>
      </w:r>
      <w:r>
        <w:rPr>
          <w:rFonts w:ascii="Times New Roman"/>
        </w:rPr>
        <w:instrText xml:space="preserve"> PAGEREF _Toc491874794 \h </w:instrText>
      </w:r>
      <w:r>
        <w:rPr>
          <w:rFonts w:ascii="Times New Roman"/>
        </w:rPr>
        <w:fldChar w:fldCharType="separate"/>
      </w:r>
      <w:r>
        <w:rPr>
          <w:rFonts w:ascii="Times New Roman"/>
        </w:rPr>
        <w:t>12</w:t>
      </w:r>
      <w:r>
        <w:rPr>
          <w:rFonts w:ascii="Times New Roman"/>
        </w:rPr>
        <w:fldChar w:fldCharType="end"/>
      </w:r>
      <w:r>
        <w:rPr>
          <w:rFonts w:ascii="Times New Roman"/>
        </w:rPr>
        <w:fldChar w:fldCharType="end"/>
      </w:r>
    </w:p>
    <w:p>
      <w:pPr>
        <w:pStyle w:val="23"/>
        <w:spacing w:line="360" w:lineRule="exact"/>
        <w:rPr>
          <w:color w:val="auto"/>
          <w:sz w:val="21"/>
          <w:szCs w:val="22"/>
        </w:rPr>
      </w:pPr>
      <w:r>
        <w:fldChar w:fldCharType="begin"/>
      </w:r>
      <w:r>
        <w:instrText xml:space="preserve"> HYPERLINK \l "_Toc491874795" </w:instrText>
      </w:r>
      <w:r>
        <w:fldChar w:fldCharType="separate"/>
      </w:r>
      <w:r>
        <w:rPr>
          <w:rStyle w:val="34"/>
          <w:color w:val="auto"/>
        </w:rPr>
        <w:t>（一）估价对象描述与分析</w:t>
      </w:r>
      <w:r>
        <w:rPr>
          <w:color w:val="auto"/>
        </w:rPr>
        <w:tab/>
      </w:r>
      <w:r>
        <w:rPr>
          <w:color w:val="auto"/>
        </w:rPr>
        <w:fldChar w:fldCharType="begin"/>
      </w:r>
      <w:r>
        <w:rPr>
          <w:color w:val="auto"/>
        </w:rPr>
        <w:instrText xml:space="preserve"> PAGEREF _Toc491874795 \h </w:instrText>
      </w:r>
      <w:r>
        <w:rPr>
          <w:color w:val="auto"/>
        </w:rPr>
        <w:fldChar w:fldCharType="separate"/>
      </w:r>
      <w:r>
        <w:rPr>
          <w:color w:val="auto"/>
        </w:rPr>
        <w:t>12</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"_Toc491874796" </w:instrText>
      </w:r>
      <w:r>
        <w:fldChar w:fldCharType="separate"/>
      </w:r>
      <w:r>
        <w:rPr>
          <w:rStyle w:val="34"/>
          <w:color w:val="auto"/>
        </w:rPr>
        <w:t>（二）市场背景分析</w:t>
      </w:r>
      <w:r>
        <w:rPr>
          <w:color w:val="auto"/>
        </w:rPr>
        <w:tab/>
      </w:r>
      <w:r>
        <w:rPr>
          <w:color w:val="auto"/>
        </w:rPr>
        <w:fldChar w:fldCharType="begin"/>
      </w:r>
      <w:r>
        <w:rPr>
          <w:color w:val="auto"/>
        </w:rPr>
        <w:instrText xml:space="preserve"> PAGEREF _Toc491874796 \h </w:instrText>
      </w:r>
      <w:r>
        <w:rPr>
          <w:color w:val="auto"/>
        </w:rPr>
        <w:fldChar w:fldCharType="separate"/>
      </w:r>
      <w:r>
        <w:rPr>
          <w:color w:val="auto"/>
        </w:rPr>
        <w:t>15</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"_Toc491874797" </w:instrText>
      </w:r>
      <w:r>
        <w:fldChar w:fldCharType="separate"/>
      </w:r>
      <w:r>
        <w:rPr>
          <w:rStyle w:val="34"/>
          <w:color w:val="auto"/>
        </w:rPr>
        <w:t>（三）最高最佳利用分析</w:t>
      </w:r>
      <w:r>
        <w:rPr>
          <w:color w:val="auto"/>
        </w:rPr>
        <w:tab/>
      </w:r>
      <w:r>
        <w:rPr>
          <w:color w:val="auto"/>
        </w:rPr>
        <w:fldChar w:fldCharType="begin"/>
      </w:r>
      <w:r>
        <w:rPr>
          <w:color w:val="auto"/>
        </w:rPr>
        <w:instrText xml:space="preserve"> PAGEREF _Toc491874797 \h </w:instrText>
      </w:r>
      <w:r>
        <w:rPr>
          <w:color w:val="auto"/>
        </w:rPr>
        <w:fldChar w:fldCharType="separate"/>
      </w:r>
      <w:r>
        <w:rPr>
          <w:color w:val="auto"/>
        </w:rPr>
        <w:t>15</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"_Toc491874798" </w:instrText>
      </w:r>
      <w:r>
        <w:fldChar w:fldCharType="separate"/>
      </w:r>
      <w:r>
        <w:rPr>
          <w:rStyle w:val="34"/>
          <w:color w:val="auto"/>
        </w:rPr>
        <w:t>（四）估价方法适用性分析</w:t>
      </w:r>
      <w:r>
        <w:rPr>
          <w:color w:val="auto"/>
        </w:rPr>
        <w:tab/>
      </w:r>
      <w:r>
        <w:rPr>
          <w:color w:val="auto"/>
        </w:rPr>
        <w:fldChar w:fldCharType="begin"/>
      </w:r>
      <w:r>
        <w:rPr>
          <w:color w:val="auto"/>
        </w:rPr>
        <w:instrText xml:space="preserve"> PAGEREF _Toc491874798 \h </w:instrText>
      </w:r>
      <w:r>
        <w:rPr>
          <w:color w:val="auto"/>
        </w:rPr>
        <w:fldChar w:fldCharType="separate"/>
      </w:r>
      <w:r>
        <w:rPr>
          <w:color w:val="auto"/>
        </w:rPr>
        <w:t>29</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"_Toc491874799" </w:instrText>
      </w:r>
      <w:r>
        <w:fldChar w:fldCharType="separate"/>
      </w:r>
      <w:r>
        <w:rPr>
          <w:rStyle w:val="34"/>
          <w:color w:val="auto"/>
        </w:rPr>
        <w:t>（五）估价测算过程</w:t>
      </w:r>
      <w:r>
        <w:rPr>
          <w:color w:val="auto"/>
        </w:rPr>
        <w:tab/>
      </w:r>
      <w:r>
        <w:rPr>
          <w:color w:val="auto"/>
        </w:rPr>
        <w:fldChar w:fldCharType="begin"/>
      </w:r>
      <w:r>
        <w:rPr>
          <w:color w:val="auto"/>
        </w:rPr>
        <w:instrText xml:space="preserve"> PAGEREF _Toc491874799 \h </w:instrText>
      </w:r>
      <w:r>
        <w:rPr>
          <w:color w:val="auto"/>
        </w:rPr>
        <w:fldChar w:fldCharType="separate"/>
      </w:r>
      <w:r>
        <w:rPr>
          <w:color w:val="auto"/>
        </w:rPr>
        <w:t>29</w:t>
      </w:r>
      <w:r>
        <w:rPr>
          <w:color w:val="auto"/>
        </w:rPr>
        <w:fldChar w:fldCharType="end"/>
      </w:r>
      <w:r>
        <w:rPr>
          <w:color w:val="auto"/>
        </w:rPr>
        <w:fldChar w:fldCharType="end"/>
      </w:r>
    </w:p>
    <w:p>
      <w:pPr>
        <w:pStyle w:val="23"/>
        <w:spacing w:line="360" w:lineRule="exact"/>
        <w:rPr>
          <w:color w:val="auto"/>
        </w:rPr>
      </w:pPr>
      <w:r>
        <w:fldChar w:fldCharType="begin"/>
      </w:r>
      <w:r>
        <w:instrText xml:space="preserve"> HYPERLINK \l "_Toc491874800" </w:instrText>
      </w:r>
      <w:r>
        <w:fldChar w:fldCharType="separate"/>
      </w:r>
      <w:r>
        <w:rPr>
          <w:rStyle w:val="34"/>
          <w:color w:val="auto"/>
        </w:rPr>
        <w:t>（六）估价结果的确定</w:t>
      </w:r>
      <w:r>
        <w:rPr>
          <w:color w:val="auto"/>
        </w:rPr>
        <w:tab/>
      </w:r>
      <w:r>
        <w:rPr>
          <w:color w:val="auto"/>
        </w:rPr>
        <w:fldChar w:fldCharType="begin"/>
      </w:r>
      <w:r>
        <w:rPr>
          <w:color w:val="auto"/>
        </w:rPr>
        <w:instrText xml:space="preserve"> PAGEREF _Toc491874800 \h </w:instrText>
      </w:r>
      <w:r>
        <w:rPr>
          <w:color w:val="auto"/>
        </w:rPr>
        <w:fldChar w:fldCharType="separate"/>
      </w:r>
      <w:r>
        <w:rPr>
          <w:color w:val="auto"/>
        </w:rPr>
        <w:t>33</w:t>
      </w:r>
      <w:r>
        <w:rPr>
          <w:color w:val="auto"/>
        </w:rPr>
        <w:fldChar w:fldCharType="end"/>
      </w:r>
      <w:r>
        <w:rPr>
          <w:color w:val="auto"/>
        </w:rPr>
        <w:fldChar w:fldCharType="end"/>
      </w:r>
    </w:p>
    <w:p>
      <w:pPr>
        <w:pStyle w:val="18"/>
        <w:spacing w:line="360" w:lineRule="exact"/>
        <w:rPr>
          <w:rFonts w:ascii="Times New Roman"/>
          <w:b w:val="0"/>
          <w:sz w:val="21"/>
          <w:szCs w:val="22"/>
        </w:rPr>
      </w:pPr>
      <w:r>
        <w:fldChar w:fldCharType="begin"/>
      </w:r>
      <w:r>
        <w:instrText xml:space="preserve"> HYPERLINK \l "_Toc491874801" </w:instrText>
      </w:r>
      <w:r>
        <w:fldChar w:fldCharType="separate"/>
      </w:r>
      <w:r>
        <w:rPr>
          <w:rStyle w:val="34"/>
          <w:rFonts w:ascii="Times New Roman"/>
        </w:rPr>
        <w:t>附件</w:t>
      </w:r>
      <w:r>
        <w:rPr>
          <w:rFonts w:ascii="Times New Roman"/>
        </w:rPr>
        <w:tab/>
      </w:r>
      <w:r>
        <w:rPr>
          <w:rFonts w:ascii="Times New Roman"/>
        </w:rPr>
        <w:fldChar w:fldCharType="begin"/>
      </w:r>
      <w:r>
        <w:rPr>
          <w:rFonts w:ascii="Times New Roman"/>
        </w:rPr>
        <w:instrText xml:space="preserve"> PAGEREF _Toc491874801 \h </w:instrText>
      </w:r>
      <w:r>
        <w:rPr>
          <w:rFonts w:ascii="Times New Roman"/>
        </w:rPr>
        <w:fldChar w:fldCharType="separate"/>
      </w:r>
      <w:r>
        <w:rPr>
          <w:rFonts w:ascii="Times New Roman"/>
        </w:rPr>
        <w:t>36</w:t>
      </w:r>
      <w:r>
        <w:rPr>
          <w:rFonts w:ascii="Times New Roman"/>
        </w:rPr>
        <w:fldChar w:fldCharType="end"/>
      </w:r>
      <w:r>
        <w:rPr>
          <w:rFonts w:ascii="Times New Roman"/>
        </w:rPr>
        <w:fldChar w:fldCharType="end"/>
      </w:r>
    </w:p>
    <w:p>
      <w:pPr>
        <w:pStyle w:val="23"/>
        <w:spacing w:line="360" w:lineRule="exact"/>
        <w:rPr>
          <w:color w:val="auto"/>
          <w:sz w:val="21"/>
          <w:szCs w:val="22"/>
        </w:rPr>
      </w:pPr>
      <w:r>
        <w:fldChar w:fldCharType="begin"/>
      </w:r>
      <w:r>
        <w:instrText xml:space="preserve"> HYPERLINK \l "_Toc491874802" </w:instrText>
      </w:r>
      <w:r>
        <w:fldChar w:fldCharType="separate"/>
      </w:r>
      <w:r>
        <w:rPr>
          <w:rStyle w:val="34"/>
          <w:color w:val="auto"/>
        </w:rPr>
        <w:t>（一）</w:t>
      </w:r>
      <w:r>
        <w:rPr>
          <w:rStyle w:val="34"/>
          <w:rFonts w:hint="eastAsia" w:ascii="宋体" w:hAnsi="宋体"/>
          <w:color w:val="auto"/>
        </w:rPr>
        <w:t>《海口市琼山区人民法院司法鉴定委托书》</w:t>
      </w:r>
      <w:r>
        <w:rPr>
          <w:color w:val="auto"/>
        </w:rPr>
        <w:tab/>
      </w:r>
      <w:r>
        <w:rPr>
          <w:color w:val="auto"/>
        </w:rPr>
        <w:fldChar w:fldCharType="begin"/>
      </w:r>
      <w:r>
        <w:rPr>
          <w:color w:val="auto"/>
        </w:rPr>
        <w:instrText xml:space="preserve"> PAGEREF _Toc491874802 \h </w:instrText>
      </w:r>
      <w:r>
        <w:rPr>
          <w:color w:val="auto"/>
        </w:rPr>
        <w:fldChar w:fldCharType="separate"/>
      </w:r>
      <w:r>
        <w:rPr>
          <w:color w:val="auto"/>
        </w:rPr>
        <w:t>36</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"_Toc491874803" </w:instrText>
      </w:r>
      <w:r>
        <w:fldChar w:fldCharType="separate"/>
      </w:r>
      <w:r>
        <w:rPr>
          <w:rStyle w:val="34"/>
          <w:color w:val="auto"/>
        </w:rPr>
        <w:t>（二）估价对象位置</w:t>
      </w:r>
      <w:r>
        <w:rPr>
          <w:color w:val="auto"/>
        </w:rPr>
        <w:tab/>
      </w:r>
      <w:r>
        <w:rPr>
          <w:color w:val="auto"/>
        </w:rPr>
        <w:fldChar w:fldCharType="begin"/>
      </w:r>
      <w:r>
        <w:rPr>
          <w:color w:val="auto"/>
        </w:rPr>
        <w:instrText xml:space="preserve"> PAGEREF _Toc491874803 \h </w:instrText>
      </w:r>
      <w:r>
        <w:rPr>
          <w:color w:val="auto"/>
        </w:rPr>
        <w:fldChar w:fldCharType="separate"/>
      </w:r>
      <w:r>
        <w:rPr>
          <w:color w:val="auto"/>
        </w:rPr>
        <w:t>36</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"_Toc491874804" </w:instrText>
      </w:r>
      <w:r>
        <w:fldChar w:fldCharType="separate"/>
      </w:r>
      <w:r>
        <w:rPr>
          <w:rStyle w:val="34"/>
          <w:color w:val="auto"/>
        </w:rPr>
        <w:t>（三）估价对象照片</w:t>
      </w:r>
      <w:r>
        <w:rPr>
          <w:color w:val="auto"/>
        </w:rPr>
        <w:tab/>
      </w:r>
      <w:r>
        <w:rPr>
          <w:color w:val="auto"/>
        </w:rPr>
        <w:fldChar w:fldCharType="begin"/>
      </w:r>
      <w:r>
        <w:rPr>
          <w:color w:val="auto"/>
        </w:rPr>
        <w:instrText xml:space="preserve"> PAGEREF _Toc491874804 \h </w:instrText>
      </w:r>
      <w:r>
        <w:rPr>
          <w:color w:val="auto"/>
        </w:rPr>
        <w:fldChar w:fldCharType="separate"/>
      </w:r>
      <w:r>
        <w:rPr>
          <w:color w:val="auto"/>
        </w:rPr>
        <w:t>36</w:t>
      </w:r>
      <w:r>
        <w:rPr>
          <w:color w:val="auto"/>
        </w:rPr>
        <w:fldChar w:fldCharType="end"/>
      </w:r>
      <w:r>
        <w:rPr>
          <w:color w:val="auto"/>
        </w:rPr>
        <w:fldChar w:fldCharType="end"/>
      </w:r>
    </w:p>
    <w:p>
      <w:pPr>
        <w:pStyle w:val="23"/>
        <w:spacing w:line="360" w:lineRule="exact"/>
        <w:rPr>
          <w:color w:val="auto"/>
          <w:sz w:val="21"/>
          <w:szCs w:val="22"/>
        </w:rPr>
      </w:pPr>
      <w:r>
        <w:fldChar w:fldCharType="begin"/>
      </w:r>
      <w:r>
        <w:instrText xml:space="preserve"> HYPERLINK \l "_Toc491874805" </w:instrText>
      </w:r>
      <w:r>
        <w:fldChar w:fldCharType="separate"/>
      </w:r>
      <w:r>
        <w:rPr>
          <w:rStyle w:val="34"/>
          <w:color w:val="auto"/>
        </w:rPr>
        <w:t>（四）</w:t>
      </w:r>
      <w:r>
        <w:rPr>
          <w:rStyle w:val="34"/>
          <w:rFonts w:hint="eastAsia"/>
          <w:color w:val="auto"/>
        </w:rPr>
        <w:t>《不动产登记信息查询情况说明》《土地登记信息查询情况说明》等</w:t>
      </w:r>
      <w:r>
        <w:rPr>
          <w:color w:val="auto"/>
        </w:rPr>
        <w:tab/>
      </w:r>
      <w:r>
        <w:rPr>
          <w:color w:val="auto"/>
        </w:rPr>
        <w:fldChar w:fldCharType="begin"/>
      </w:r>
      <w:r>
        <w:rPr>
          <w:color w:val="auto"/>
        </w:rPr>
        <w:instrText xml:space="preserve"> PAGEREF _Toc491874805 \h </w:instrText>
      </w:r>
      <w:r>
        <w:rPr>
          <w:color w:val="auto"/>
        </w:rPr>
        <w:fldChar w:fldCharType="separate"/>
      </w:r>
      <w:r>
        <w:rPr>
          <w:color w:val="auto"/>
        </w:rPr>
        <w:t>36</w:t>
      </w:r>
      <w:r>
        <w:rPr>
          <w:color w:val="auto"/>
        </w:rPr>
        <w:fldChar w:fldCharType="end"/>
      </w:r>
      <w:r>
        <w:rPr>
          <w:color w:val="auto"/>
        </w:rPr>
        <w:fldChar w:fldCharType="end"/>
      </w:r>
    </w:p>
    <w:p>
      <w:pPr>
        <w:pStyle w:val="23"/>
        <w:rPr>
          <w:rStyle w:val="34"/>
          <w:rFonts w:ascii="宋体" w:hAnsi="宋体"/>
          <w:color w:val="auto"/>
        </w:rPr>
      </w:pPr>
      <w:r>
        <w:rPr>
          <w:rStyle w:val="34"/>
          <w:color w:val="auto"/>
        </w:rPr>
        <w:fldChar w:fldCharType="begin"/>
      </w:r>
      <w:r>
        <w:rPr>
          <w:rStyle w:val="34"/>
          <w:color w:val="auto"/>
        </w:rPr>
        <w:instrText xml:space="preserve"> </w:instrText>
      </w:r>
      <w:r>
        <w:rPr>
          <w:color w:val="auto"/>
        </w:rPr>
        <w:instrText xml:space="preserve">HYPERLINK \l "_Toc499823954"</w:instrText>
      </w:r>
      <w:r>
        <w:rPr>
          <w:rStyle w:val="34"/>
          <w:color w:val="auto"/>
        </w:rPr>
        <w:instrText xml:space="preserve"> </w:instrText>
      </w:r>
      <w:r>
        <w:rPr>
          <w:rStyle w:val="34"/>
          <w:color w:val="auto"/>
        </w:rPr>
        <w:fldChar w:fldCharType="separate"/>
      </w:r>
      <w:r>
        <w:rPr>
          <w:rStyle w:val="34"/>
          <w:rFonts w:hint="eastAsia" w:ascii="宋体" w:hAnsi="宋体"/>
          <w:color w:val="auto"/>
        </w:rPr>
        <w:t>（五）其他相关材料</w:t>
      </w:r>
      <w:r>
        <w:rPr>
          <w:color w:val="auto"/>
        </w:rPr>
        <w:tab/>
      </w:r>
      <w:r>
        <w:rPr>
          <w:color w:val="auto"/>
        </w:rPr>
        <w:fldChar w:fldCharType="begin"/>
      </w:r>
      <w:r>
        <w:rPr>
          <w:color w:val="auto"/>
        </w:rPr>
        <w:instrText xml:space="preserve"> PAGEREF _Toc491874804 \h </w:instrText>
      </w:r>
      <w:r>
        <w:rPr>
          <w:color w:val="auto"/>
        </w:rPr>
        <w:fldChar w:fldCharType="separate"/>
      </w:r>
      <w:r>
        <w:rPr>
          <w:color w:val="auto"/>
        </w:rPr>
        <w:t>36</w:t>
      </w:r>
      <w:r>
        <w:rPr>
          <w:color w:val="auto"/>
        </w:rPr>
        <w:fldChar w:fldCharType="end"/>
      </w:r>
    </w:p>
    <w:p>
      <w:pPr>
        <w:pStyle w:val="23"/>
        <w:ind w:left="0" w:leftChars="0" w:firstLine="480" w:firstLineChars="200"/>
        <w:rPr>
          <w:rFonts w:ascii="Calibri" w:hAnsi="Calibri"/>
          <w:color w:val="auto"/>
          <w:sz w:val="21"/>
          <w:szCs w:val="22"/>
        </w:rPr>
      </w:pPr>
      <w:r>
        <w:rPr>
          <w:rStyle w:val="34"/>
          <w:rFonts w:hint="eastAsia" w:ascii="宋体" w:hAnsi="宋体"/>
          <w:color w:val="auto"/>
        </w:rPr>
        <w:t>（六）估价机构营业执照和估价资质证书复印件</w:t>
      </w:r>
      <w:r>
        <w:rPr>
          <w:color w:val="auto"/>
        </w:rPr>
        <w:tab/>
      </w:r>
      <w:r>
        <w:rPr>
          <w:color w:val="auto"/>
        </w:rPr>
        <w:fldChar w:fldCharType="begin"/>
      </w:r>
      <w:r>
        <w:rPr>
          <w:color w:val="auto"/>
        </w:rPr>
        <w:instrText xml:space="preserve"> PAGEREF _Toc491874804 \h </w:instrText>
      </w:r>
      <w:r>
        <w:rPr>
          <w:color w:val="auto"/>
        </w:rPr>
        <w:fldChar w:fldCharType="separate"/>
      </w:r>
      <w:r>
        <w:rPr>
          <w:color w:val="auto"/>
        </w:rPr>
        <w:t>36</w:t>
      </w:r>
      <w:r>
        <w:rPr>
          <w:color w:val="auto"/>
        </w:rPr>
        <w:fldChar w:fldCharType="end"/>
      </w:r>
      <w:r>
        <w:rPr>
          <w:rStyle w:val="34"/>
          <w:color w:val="auto"/>
        </w:rPr>
        <w:fldChar w:fldCharType="end"/>
      </w:r>
    </w:p>
    <w:p>
      <w:pPr>
        <w:pStyle w:val="23"/>
        <w:spacing w:line="360" w:lineRule="exact"/>
        <w:rPr>
          <w:color w:val="auto"/>
          <w:sz w:val="21"/>
          <w:szCs w:val="22"/>
        </w:rPr>
      </w:pPr>
      <w:r>
        <w:fldChar w:fldCharType="begin"/>
      </w:r>
      <w:r>
        <w:instrText xml:space="preserve"> HYPERLINK \l "_Toc499823955" </w:instrText>
      </w:r>
      <w:r>
        <w:fldChar w:fldCharType="separate"/>
      </w:r>
      <w:r>
        <w:rPr>
          <w:rStyle w:val="34"/>
          <w:rFonts w:hint="eastAsia" w:ascii="宋体" w:hAnsi="宋体"/>
          <w:color w:val="auto"/>
        </w:rPr>
        <w:t>（七）注册房地产估价师估价资格证书复印件</w:t>
      </w:r>
      <w:r>
        <w:rPr>
          <w:color w:val="auto"/>
        </w:rPr>
        <w:tab/>
      </w:r>
      <w:r>
        <w:rPr>
          <w:color w:val="auto"/>
        </w:rPr>
        <w:fldChar w:fldCharType="begin"/>
      </w:r>
      <w:r>
        <w:rPr>
          <w:color w:val="auto"/>
        </w:rPr>
        <w:instrText xml:space="preserve"> PAGEREF _Toc491874804 \h </w:instrText>
      </w:r>
      <w:r>
        <w:rPr>
          <w:color w:val="auto"/>
        </w:rPr>
        <w:fldChar w:fldCharType="separate"/>
      </w:r>
      <w:r>
        <w:rPr>
          <w:color w:val="auto"/>
        </w:rPr>
        <w:t>36</w:t>
      </w:r>
      <w:r>
        <w:rPr>
          <w:color w:val="auto"/>
        </w:rPr>
        <w:fldChar w:fldCharType="end"/>
      </w:r>
      <w:r>
        <w:rPr>
          <w:color w:val="auto"/>
        </w:rPr>
        <w:fldChar w:fldCharType="end"/>
      </w:r>
    </w:p>
    <w:p>
      <w:pPr>
        <w:pStyle w:val="3"/>
        <w:adjustRightInd w:val="0"/>
        <w:snapToGrid w:val="0"/>
        <w:spacing w:line="360" w:lineRule="exact"/>
        <w:jc w:val="center"/>
        <w:rPr>
          <w:sz w:val="24"/>
          <w:szCs w:val="24"/>
        </w:rPr>
        <w:sectPr>
          <w:type w:val="continuous"/>
          <w:pgSz w:w="11907" w:h="16839"/>
          <w:pgMar w:top="2247" w:right="1503" w:bottom="1134" w:left="1503" w:header="794" w:footer="1361" w:gutter="0"/>
          <w:pgNumType w:start="1"/>
          <w:cols w:space="720" w:num="1"/>
          <w:docGrid w:type="lines" w:linePitch="300" w:charSpace="0"/>
        </w:sectPr>
      </w:pPr>
      <w:r>
        <w:rPr>
          <w:b w:val="0"/>
          <w:kern w:val="2"/>
        </w:rPr>
        <w:fldChar w:fldCharType="end"/>
      </w:r>
    </w:p>
    <w:p>
      <w:pPr>
        <w:pStyle w:val="3"/>
        <w:snapToGrid w:val="0"/>
        <w:spacing w:line="240" w:lineRule="auto"/>
        <w:jc w:val="center"/>
        <w:rPr>
          <w:sz w:val="36"/>
          <w:szCs w:val="36"/>
        </w:rPr>
      </w:pPr>
      <w:bookmarkStart w:id="2" w:name="_Toc491874778"/>
      <w:r>
        <w:rPr>
          <w:sz w:val="36"/>
          <w:szCs w:val="36"/>
        </w:rPr>
        <w:t>估价师声明</w:t>
      </w:r>
      <w:bookmarkEnd w:id="1"/>
      <w:bookmarkEnd w:id="2"/>
    </w:p>
    <w:p>
      <w:pPr>
        <w:tabs>
          <w:tab w:val="right" w:pos="8901"/>
        </w:tabs>
        <w:spacing w:line="360" w:lineRule="auto"/>
        <w:rPr>
          <w:sz w:val="24"/>
          <w:szCs w:val="24"/>
        </w:rPr>
      </w:pPr>
    </w:p>
    <w:p>
      <w:pPr>
        <w:tabs>
          <w:tab w:val="right" w:pos="8901"/>
        </w:tabs>
        <w:spacing w:line="360" w:lineRule="auto"/>
        <w:rPr>
          <w:sz w:val="24"/>
          <w:szCs w:val="24"/>
        </w:rPr>
      </w:pPr>
      <w:r>
        <w:rPr>
          <w:sz w:val="24"/>
          <w:szCs w:val="24"/>
        </w:rPr>
        <w:t>我们郑重声明：</w:t>
      </w:r>
      <w:r>
        <w:rPr>
          <w:sz w:val="24"/>
          <w:szCs w:val="24"/>
        </w:rPr>
        <w:tab/>
      </w:r>
    </w:p>
    <w:p>
      <w:pPr>
        <w:numPr>
          <w:ilvl w:val="255"/>
          <w:numId w:val="0"/>
        </w:numPr>
        <w:tabs>
          <w:tab w:val="left" w:pos="630"/>
        </w:tabs>
        <w:spacing w:line="360" w:lineRule="auto"/>
        <w:ind w:firstLine="480" w:firstLineChars="200"/>
        <w:jc w:val="left"/>
        <w:rPr>
          <w:sz w:val="24"/>
          <w:szCs w:val="24"/>
        </w:rPr>
      </w:pPr>
      <w:r>
        <w:rPr>
          <w:rFonts w:hint="eastAsia"/>
          <w:sz w:val="24"/>
          <w:szCs w:val="24"/>
        </w:rPr>
        <w:t>1、</w:t>
      </w:r>
      <w:r>
        <w:rPr>
          <w:sz w:val="24"/>
          <w:szCs w:val="24"/>
        </w:rPr>
        <w:t>我们在本估价报告中陈述的事实是真实的和准确的，没有虚假记载、误导性陈述和重大遗漏；</w:t>
      </w:r>
    </w:p>
    <w:p>
      <w:pPr>
        <w:numPr>
          <w:ilvl w:val="255"/>
          <w:numId w:val="0"/>
        </w:numPr>
        <w:tabs>
          <w:tab w:val="left" w:pos="630"/>
        </w:tabs>
        <w:spacing w:line="360" w:lineRule="auto"/>
        <w:ind w:firstLine="480" w:firstLineChars="200"/>
        <w:jc w:val="left"/>
        <w:rPr>
          <w:sz w:val="24"/>
          <w:szCs w:val="24"/>
        </w:rPr>
      </w:pPr>
      <w:r>
        <w:rPr>
          <w:rFonts w:hint="eastAsia"/>
          <w:sz w:val="24"/>
          <w:szCs w:val="24"/>
        </w:rPr>
        <w:t>2、</w:t>
      </w:r>
      <w:r>
        <w:rPr>
          <w:sz w:val="24"/>
          <w:szCs w:val="24"/>
        </w:rPr>
        <w:t>本估价报告中的分析、意见和结论是我们独立、客观、公正的专业分析、意见和结论，但受到本估价报告中已说明的假设和限制条件的限制；</w:t>
      </w:r>
    </w:p>
    <w:p>
      <w:pPr>
        <w:numPr>
          <w:ilvl w:val="255"/>
          <w:numId w:val="0"/>
        </w:numPr>
        <w:tabs>
          <w:tab w:val="left" w:pos="0"/>
        </w:tabs>
        <w:spacing w:line="360" w:lineRule="auto"/>
        <w:ind w:firstLine="480" w:firstLineChars="200"/>
        <w:jc w:val="left"/>
        <w:rPr>
          <w:sz w:val="24"/>
          <w:szCs w:val="24"/>
        </w:rPr>
      </w:pPr>
      <w:r>
        <w:rPr>
          <w:rFonts w:hint="eastAsia"/>
          <w:sz w:val="24"/>
          <w:szCs w:val="24"/>
        </w:rPr>
        <w:t>3、</w:t>
      </w:r>
      <w:r>
        <w:rPr>
          <w:sz w:val="24"/>
          <w:szCs w:val="24"/>
        </w:rPr>
        <w:t>我们与本估价报告中的被评估对象没有利害关系，也与有关当事人没有个人利害关系或偏见。</w:t>
      </w:r>
    </w:p>
    <w:p>
      <w:pPr>
        <w:numPr>
          <w:ilvl w:val="255"/>
          <w:numId w:val="0"/>
        </w:numPr>
        <w:tabs>
          <w:tab w:val="left" w:pos="0"/>
        </w:tabs>
        <w:spacing w:line="360" w:lineRule="auto"/>
        <w:ind w:firstLine="480" w:firstLineChars="200"/>
        <w:jc w:val="left"/>
        <w:rPr>
          <w:sz w:val="24"/>
          <w:szCs w:val="24"/>
        </w:rPr>
      </w:pPr>
      <w:r>
        <w:rPr>
          <w:rFonts w:hint="eastAsia"/>
          <w:sz w:val="24"/>
          <w:szCs w:val="24"/>
        </w:rPr>
        <w:t>4、</w:t>
      </w:r>
      <w:r>
        <w:rPr>
          <w:sz w:val="24"/>
          <w:szCs w:val="24"/>
        </w:rPr>
        <w:t>我们依照中华人民共和国国家标准《房地产估价规范》（GB/T 50291-2015）、《房地产估价基本术语标准》（GB/T 50899-2013）和进行估价工作，撰写估价报告。</w:t>
      </w:r>
    </w:p>
    <w:p>
      <w:pPr>
        <w:pStyle w:val="2"/>
        <w:tabs>
          <w:tab w:val="left" w:pos="0"/>
        </w:tabs>
        <w:spacing w:line="360" w:lineRule="auto"/>
        <w:ind w:firstLine="480" w:firstLineChars="200"/>
        <w:sectPr>
          <w:headerReference r:id="rId5" w:type="default"/>
          <w:footerReference r:id="rId6" w:type="default"/>
          <w:pgSz w:w="11907" w:h="16839"/>
          <w:pgMar w:top="2247" w:right="1503" w:bottom="1701" w:left="1503" w:header="794" w:footer="1361" w:gutter="0"/>
          <w:pgNumType w:start="1"/>
          <w:cols w:space="720" w:num="1"/>
          <w:docGrid w:type="lines" w:linePitch="300" w:charSpace="0"/>
        </w:sectPr>
      </w:pPr>
      <w:r>
        <w:rPr>
          <w:rFonts w:hint="eastAsia"/>
        </w:rPr>
        <w:t>5、</w:t>
      </w:r>
      <w:r>
        <w:t>我公司注册房地产估价师赵越于2022年04月</w:t>
      </w:r>
      <w:r>
        <w:rPr>
          <w:rFonts w:hint="eastAsia"/>
        </w:rPr>
        <w:t>20</w:t>
      </w:r>
      <w:r>
        <w:t>日已对本估价报告中的估价对象进行了实地查勘；注册房地产估价师赵越（房地产估价师注册证号： 4420190220）、注册房地产估价师曾勇（房地产估价师注册证号：5320160082）参加了此次估价，并做上述申明。</w:t>
      </w:r>
    </w:p>
    <w:p>
      <w:pPr>
        <w:pStyle w:val="3"/>
        <w:jc w:val="center"/>
        <w:rPr>
          <w:sz w:val="36"/>
          <w:szCs w:val="36"/>
        </w:rPr>
      </w:pPr>
      <w:bookmarkStart w:id="3" w:name="_Toc491874779"/>
      <w:bookmarkStart w:id="4" w:name="_Toc2374"/>
      <w:r>
        <w:rPr>
          <w:sz w:val="36"/>
          <w:szCs w:val="36"/>
        </w:rPr>
        <w:t>估价假设和限制条件</w:t>
      </w:r>
      <w:bookmarkEnd w:id="3"/>
      <w:bookmarkEnd w:id="4"/>
    </w:p>
    <w:p>
      <w:pPr>
        <w:tabs>
          <w:tab w:val="left" w:pos="990"/>
        </w:tabs>
        <w:snapToGrid w:val="0"/>
        <w:spacing w:line="360" w:lineRule="auto"/>
        <w:rPr>
          <w:b/>
          <w:sz w:val="24"/>
          <w:szCs w:val="24"/>
        </w:rPr>
      </w:pPr>
      <w:r>
        <w:rPr>
          <w:b/>
          <w:sz w:val="24"/>
          <w:szCs w:val="24"/>
        </w:rPr>
        <w:t>（一）一般假设</w:t>
      </w:r>
    </w:p>
    <w:p>
      <w:pPr>
        <w:snapToGrid w:val="0"/>
        <w:spacing w:line="500" w:lineRule="exact"/>
        <w:ind w:firstLine="424" w:firstLineChars="177"/>
        <w:rPr>
          <w:sz w:val="24"/>
          <w:szCs w:val="24"/>
        </w:rPr>
      </w:pPr>
      <w:r>
        <w:rPr>
          <w:sz w:val="24"/>
          <w:szCs w:val="24"/>
        </w:rPr>
        <w:t>1、估价委托人提供</w:t>
      </w:r>
      <w:r>
        <w:rPr>
          <w:rFonts w:hint="eastAsia"/>
          <w:sz w:val="24"/>
          <w:szCs w:val="24"/>
        </w:rPr>
        <w:t>的《海南省海口市琼山区人民法院司法鉴定委托书》（2022）琼0107鉴委60号原件1份、《海南省海口市琼山区人民法院民事裁定书（2021）琼0107财保18号》复印件1份、《不动产登记信息查询情况说明》原</w:t>
      </w:r>
      <w:r>
        <w:rPr>
          <w:sz w:val="24"/>
          <w:szCs w:val="24"/>
        </w:rPr>
        <w:t>件</w:t>
      </w:r>
      <w:r>
        <w:rPr>
          <w:rFonts w:hint="eastAsia"/>
          <w:sz w:val="24"/>
          <w:szCs w:val="24"/>
        </w:rPr>
        <w:t>1份</w:t>
      </w:r>
      <w:r>
        <w:rPr>
          <w:sz w:val="24"/>
          <w:szCs w:val="24"/>
        </w:rPr>
        <w:t>，</w:t>
      </w:r>
      <w:r>
        <w:rPr>
          <w:rFonts w:hint="eastAsia"/>
          <w:sz w:val="24"/>
          <w:szCs w:val="24"/>
        </w:rPr>
        <w:t>《不动产查封信息查询情况说明》原件1份、《不动产抵押信息查询情况说明》原件2份，《中华人民共和国房屋所有权证》、《不动产登记证明》复印件各1份，</w:t>
      </w:r>
      <w:r>
        <w:rPr>
          <w:sz w:val="24"/>
          <w:szCs w:val="24"/>
        </w:rPr>
        <w:t>我们慎审检查了估价委托人提供的上述资料，但未能核查其资料原件，并未能向政府有关部门进行核实。在无理由怀疑其合法性、真实性、准确性和完整性的情况下，本次估价假定估价委托人提供的资料是合法、真实、准确、完整的。估价人员及估价机构不对上述资料的合法、真实、准确、完整性负责。本次估价以该权属文件所载的相关内容作为估价依据。</w:t>
      </w:r>
    </w:p>
    <w:p>
      <w:pPr>
        <w:snapToGrid w:val="0"/>
        <w:spacing w:line="500" w:lineRule="exact"/>
        <w:ind w:firstLine="480" w:firstLineChars="200"/>
        <w:rPr>
          <w:sz w:val="24"/>
          <w:szCs w:val="24"/>
        </w:rPr>
      </w:pPr>
      <w:r>
        <w:rPr>
          <w:rFonts w:hint="eastAsia"/>
          <w:sz w:val="24"/>
          <w:szCs w:val="24"/>
        </w:rPr>
        <w:t>2</w:t>
      </w:r>
      <w:r>
        <w:rPr>
          <w:sz w:val="24"/>
          <w:szCs w:val="24"/>
        </w:rPr>
        <w:t>、我们未获得估价对象的建筑面积的测量专业意见，亦未对其进行专业测量。本次估价时我们以权属证明</w:t>
      </w:r>
      <w:r>
        <w:rPr>
          <w:rFonts w:hint="eastAsia"/>
          <w:sz w:val="24"/>
          <w:szCs w:val="24"/>
        </w:rPr>
        <w:t>原件照片</w:t>
      </w:r>
      <w:r>
        <w:rPr>
          <w:sz w:val="24"/>
          <w:szCs w:val="24"/>
        </w:rPr>
        <w:t>所记载数据为准进行相关说明和测算。根据现场查看，估价对象现状为</w:t>
      </w:r>
      <w:r>
        <w:rPr>
          <w:rFonts w:hint="eastAsia"/>
          <w:sz w:val="24"/>
          <w:szCs w:val="24"/>
        </w:rPr>
        <w:t>普通装修改造后出租</w:t>
      </w:r>
      <w:r>
        <w:rPr>
          <w:sz w:val="24"/>
          <w:szCs w:val="24"/>
        </w:rPr>
        <w:t>，为住宅布局。</w:t>
      </w:r>
    </w:p>
    <w:p>
      <w:pPr>
        <w:snapToGrid w:val="0"/>
        <w:spacing w:line="500" w:lineRule="exact"/>
        <w:ind w:firstLine="480" w:firstLineChars="200"/>
        <w:rPr>
          <w:sz w:val="24"/>
          <w:szCs w:val="24"/>
        </w:rPr>
      </w:pPr>
      <w:r>
        <w:rPr>
          <w:rFonts w:hint="eastAsia"/>
          <w:sz w:val="24"/>
          <w:szCs w:val="24"/>
        </w:rPr>
        <w:t>3</w:t>
      </w:r>
      <w:r>
        <w:rPr>
          <w:sz w:val="24"/>
          <w:szCs w:val="24"/>
        </w:rPr>
        <w:t>、我们对估价对象进行了实地查勘，但我们对估价对象的查勘仅限于其外观和使用状况，并未进行结构测量和设备测试以确认估价对象是否存在结构性损害或其他缺陷；我们已对房屋安全、环境污染等影响估价对象价值的重大因素给予了关注。在无理由怀疑估价对象存在安全、环境污染隐患且无相应的专业机构进行鉴定、检测的情况下，假定估价对象能正常安全使用。</w:t>
      </w:r>
    </w:p>
    <w:p>
      <w:pPr>
        <w:tabs>
          <w:tab w:val="left" w:pos="900"/>
          <w:tab w:val="left" w:pos="1080"/>
          <w:tab w:val="left" w:pos="1288"/>
        </w:tabs>
        <w:snapToGrid w:val="0"/>
        <w:spacing w:line="500" w:lineRule="exact"/>
        <w:ind w:firstLine="480" w:firstLineChars="200"/>
        <w:rPr>
          <w:rStyle w:val="35"/>
          <w:rFonts w:asciiTheme="minorEastAsia" w:hAnsiTheme="minorEastAsia" w:eastAsiaTheme="minorEastAsia" w:cstheme="minorEastAsia"/>
          <w:sz w:val="24"/>
          <w:szCs w:val="24"/>
        </w:rPr>
      </w:pPr>
      <w:r>
        <w:rPr>
          <w:rFonts w:hint="eastAsia"/>
          <w:sz w:val="24"/>
          <w:szCs w:val="24"/>
        </w:rPr>
        <w:t>4、</w:t>
      </w:r>
      <w:r>
        <w:rPr>
          <w:rStyle w:val="35"/>
          <w:rFonts w:hint="eastAsia" w:asciiTheme="minorEastAsia" w:hAnsiTheme="minorEastAsia" w:eastAsiaTheme="minorEastAsia" w:cstheme="minorEastAsia"/>
          <w:sz w:val="24"/>
          <w:szCs w:val="24"/>
        </w:rPr>
        <w:t>我公司估价人员在领勘人</w:t>
      </w:r>
      <w:r>
        <w:rPr>
          <w:sz w:val="24"/>
          <w:szCs w:val="24"/>
        </w:rPr>
        <w:t>陈业霖</w:t>
      </w:r>
      <w:r>
        <w:rPr>
          <w:rStyle w:val="35"/>
          <w:rFonts w:hint="eastAsia" w:asciiTheme="minorEastAsia" w:hAnsiTheme="minorEastAsia" w:eastAsiaTheme="minorEastAsia" w:cstheme="minorEastAsia"/>
          <w:sz w:val="24"/>
          <w:szCs w:val="24"/>
        </w:rPr>
        <w:t>的带领下于</w:t>
      </w:r>
      <w:r>
        <w:rPr>
          <w:sz w:val="24"/>
          <w:szCs w:val="24"/>
        </w:rPr>
        <w:t>2022年4月20日</w:t>
      </w:r>
      <w:r>
        <w:rPr>
          <w:rStyle w:val="35"/>
          <w:rFonts w:hint="eastAsia" w:asciiTheme="minorEastAsia" w:hAnsiTheme="minorEastAsia" w:eastAsiaTheme="minorEastAsia" w:cstheme="minorEastAsia"/>
          <w:sz w:val="24"/>
          <w:szCs w:val="24"/>
        </w:rPr>
        <w:t>完成了对本估价报告中的估价对象实地查勘。实地查勘中未见估价对象门牌号，估价对象位置、评估范围及使用状况等，均以领勘人描述为准，本次估价时以此为前提进行评估，估价人员无法确定其是否存在误指或错指的情况，若与实际情况不符，则估价结果应作相应调整或重新评估，提醒报告使用人注意。</w:t>
      </w:r>
    </w:p>
    <w:p>
      <w:pPr>
        <w:snapToGrid w:val="0"/>
        <w:spacing w:line="500" w:lineRule="exact"/>
        <w:ind w:firstLine="480" w:firstLineChars="200"/>
        <w:rPr>
          <w:rFonts w:ascii="宋体" w:hAnsi="宋体" w:cs="宋体"/>
          <w:sz w:val="24"/>
          <w:szCs w:val="24"/>
        </w:rPr>
      </w:pPr>
      <w:r>
        <w:rPr>
          <w:rFonts w:hint="eastAsia"/>
          <w:sz w:val="24"/>
          <w:szCs w:val="24"/>
        </w:rPr>
        <w:t>5、</w:t>
      </w:r>
      <w:r>
        <w:rPr>
          <w:rFonts w:hint="eastAsia" w:ascii="宋体" w:hAnsi="宋体" w:cs="宋体"/>
          <w:sz w:val="24"/>
          <w:szCs w:val="24"/>
        </w:rPr>
        <w:t>根据我公司估价人员调查及询问，发现估价对象于估价时点已被出租，</w:t>
      </w:r>
      <w:r>
        <w:rPr>
          <w:rFonts w:ascii="宋体" w:hAnsi="宋体" w:cs="宋体"/>
          <w:sz w:val="24"/>
          <w:szCs w:val="24"/>
        </w:rPr>
        <w:t>未了解到其他的</w:t>
      </w:r>
      <w:r>
        <w:rPr>
          <w:rFonts w:ascii="宋体" w:hAnsi="宋体" w:cs="宋体"/>
          <w:color w:val="auto"/>
          <w:sz w:val="24"/>
          <w:szCs w:val="24"/>
          <w:shd w:val="clear" w:color="auto" w:fill="auto"/>
        </w:rPr>
        <w:t>用益物权及占用使用情况</w:t>
      </w:r>
      <w:r>
        <w:rPr>
          <w:rFonts w:ascii="宋体" w:hAnsi="宋体" w:cs="宋体"/>
          <w:sz w:val="24"/>
          <w:szCs w:val="24"/>
        </w:rPr>
        <w:t>，</w:t>
      </w:r>
      <w:r>
        <w:rPr>
          <w:rFonts w:hint="eastAsia" w:ascii="宋体" w:hAnsi="宋体" w:cs="宋体"/>
          <w:sz w:val="24"/>
          <w:szCs w:val="24"/>
        </w:rPr>
        <w:t>因委托人未能提供估价对象正式租赁合同,房地产估价师无法判定估价对象租金水平、租赁起止时间等租赁信息，故本次评估未考虑租赁情况对评估结论的影响，根据《中华人民共和国民法典》第七百二十五条：“租赁物在承租人按照租赁合同占有期限内发生所有权变动的，不影响租赁合同的效力。”</w:t>
      </w:r>
      <w:r>
        <w:rPr>
          <w:rFonts w:ascii="宋体" w:hAnsi="宋体" w:cs="宋体"/>
          <w:sz w:val="24"/>
          <w:szCs w:val="24"/>
        </w:rPr>
        <w:t>现有租赁合同的长短及其与市场租金的差异对估价对象市场价值存在影响，</w:t>
      </w:r>
      <w:r>
        <w:rPr>
          <w:rFonts w:hint="eastAsia" w:ascii="宋体" w:hAnsi="宋体" w:cs="宋体"/>
          <w:sz w:val="24"/>
          <w:szCs w:val="24"/>
        </w:rPr>
        <w:t>请报告使用人关注此点。</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6、</w:t>
      </w:r>
      <w:r>
        <w:rPr>
          <w:rFonts w:ascii="宋体" w:hAnsi="宋体" w:cs="宋体"/>
          <w:sz w:val="24"/>
          <w:szCs w:val="24"/>
        </w:rPr>
        <w:t>我司估价人员无法获取有关估价对象是否存在欠缴税金及相关费用等信息，包括税收、物业费、供暖费、水电费等及其相关费用，此次估价未考虑估价对象可能存在欠缴税金及相关费用，包括税收、物业费、供暖费、水电费等及其相关费用，若于实际情况不符，则估价结果应调整或重新评估，提醒报告使用人注意。</w:t>
      </w:r>
    </w:p>
    <w:p>
      <w:pPr>
        <w:spacing w:line="500" w:lineRule="exact"/>
        <w:ind w:firstLine="480" w:firstLineChars="200"/>
        <w:rPr>
          <w:rFonts w:ascii="宋体" w:hAnsi="宋体" w:cs="宋体"/>
          <w:sz w:val="24"/>
          <w:szCs w:val="24"/>
        </w:rPr>
      </w:pPr>
      <w:r>
        <w:rPr>
          <w:rFonts w:hint="eastAsia" w:ascii="宋体" w:hAnsi="宋体" w:cs="宋体"/>
          <w:sz w:val="24"/>
          <w:szCs w:val="24"/>
        </w:rPr>
        <w:t>7、根据《</w:t>
      </w:r>
      <w:r>
        <w:rPr>
          <w:rFonts w:hint="eastAsia" w:ascii="宋体" w:hAnsi="宋体" w:cs="宋体"/>
          <w:sz w:val="24"/>
          <w:szCs w:val="24"/>
        </w:rPr>
        <w:t>涉执房地产处置司法评估指导意见（试行）</w:t>
      </w:r>
      <w:r>
        <w:rPr>
          <w:rFonts w:hint="eastAsia" w:ascii="宋体" w:hAnsi="宋体" w:cs="宋体"/>
          <w:sz w:val="24"/>
          <w:szCs w:val="24"/>
        </w:rPr>
        <w:t>》，人民法院书面明确前款财产处置费用（评估费、</w:t>
      </w:r>
      <w:r>
        <w:rPr>
          <w:rFonts w:ascii="宋体" w:hAnsi="宋体" w:cs="宋体"/>
          <w:sz w:val="24"/>
          <w:szCs w:val="24"/>
        </w:rPr>
        <w:t>拍卖费、诉讼费、律师费等财产处置费用</w:t>
      </w:r>
      <w:r>
        <w:rPr>
          <w:rFonts w:hint="eastAsia" w:ascii="宋体" w:hAnsi="宋体" w:cs="宋体"/>
          <w:sz w:val="24"/>
          <w:szCs w:val="24"/>
        </w:rPr>
        <w:t>）从财产处置价款中扣除的，评估结果不应当扣除上述费用，否则评估结果应当扣除预估的上述费用，并在评估报告中予以说明；根据《诉讼费交纳办法》 第十二条，诉讼过程中因鉴定、公告、勘验、翻译、评估、拍卖、变卖、仓储、保管、运输、船舶监管等发生的依法应当由当事人负担的费用，人民法院根据谁主张、谁负担的原则，决定由当事人直接支付给有关机构或者单位；</w:t>
      </w:r>
      <w:r>
        <w:rPr>
          <w:rFonts w:ascii="宋体" w:hAnsi="宋体" w:cs="宋体"/>
          <w:sz w:val="24"/>
          <w:szCs w:val="24"/>
        </w:rPr>
        <w:t>根据《中华人民共和国拍卖法》的规定，拍卖成交后，拍卖人直接从买受人缴付的拍卖保证金中扣收，资产拍卖底价超过200万元的，按0.2%交纳拍卖佣金；根据《诉讼费用交纳办法》财产案件根据诉讼请求的金额或者价额，按照分段累计缴纳；根据《律师服务收费管理办法》的规定，涉及财产关系的，按照争议标的额分段按比例累加收费。我们无法确定拍卖费、诉讼费、律师费等财产处置费用的具体金额，委托人提供相关资料亦未能明确各项费用具体承担方式。本次评估时，未考虑上述相关处置费用对估价结果的影响。</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8、本估价报告出具的市场价值是指估价对象于价值时点二〇二二年四月二十日日，符合前述假设和限制条件下、最高最佳利用情况下所能体现的价值。不考虑评估对象被迫转让及处置后被执行人不自愿配合交付因素对评估结果的不利影响，提醒报告使用人注意。</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9、</w:t>
      </w:r>
      <w:r>
        <w:rPr>
          <w:rFonts w:ascii="宋体" w:hAnsi="宋体" w:cs="宋体"/>
          <w:sz w:val="24"/>
          <w:szCs w:val="24"/>
        </w:rPr>
        <w:t>由于委托人未书面明确评估对象交易税费负担方式，按照以往同类涉执房地产处置惯例负担，过户登记手续由买受人自行办理，办理过程中所涉执的买卖双方所需承担的一切税、费和所需补交的相关税、费（包括但不限于所得税、增值税、土地增值税、契税、过户手续费、印花税、权证费、水利基金费、出让金以及房产及土地交易中规定缴纳的各种费用）及有可能存在的物业费、水、电、气等欠缴费均由买受人自行承担；买受人应自行办理水、电、气等户名变更手续，相关费用自理，可能存在的物业费、水、电、气等欠费均由买受人承担，未明确缴费义务人的费用也由买受人承担；综合同类涉执房地产处置惯例负担及现有市场状况，本次评估价值</w:t>
      </w:r>
      <w:r>
        <w:rPr>
          <w:rFonts w:hint="eastAsia" w:ascii="宋体" w:hAnsi="宋体" w:cs="宋体"/>
          <w:sz w:val="24"/>
          <w:szCs w:val="24"/>
        </w:rPr>
        <w:t>税费负担方式为估价对象交易期间所发生的各种税费全部由买受人负担，</w:t>
      </w:r>
      <w:r>
        <w:rPr>
          <w:rFonts w:ascii="宋体" w:hAnsi="宋体" w:cs="宋体"/>
          <w:sz w:val="24"/>
          <w:szCs w:val="24"/>
        </w:rPr>
        <w:t>上述已列举的或未列举的具体费用请竞买人于竞买之前至相关单位自行咨询确认。若与实际情况不符，则本评估报告应做相应调整，提醒报告使用者注意。</w:t>
      </w:r>
    </w:p>
    <w:p>
      <w:pPr>
        <w:snapToGrid w:val="0"/>
        <w:spacing w:line="500" w:lineRule="exact"/>
        <w:ind w:firstLine="480" w:firstLineChars="200"/>
        <w:rPr>
          <w:sz w:val="24"/>
          <w:szCs w:val="24"/>
        </w:rPr>
      </w:pPr>
      <w:r>
        <w:rPr>
          <w:rFonts w:hint="eastAsia"/>
          <w:sz w:val="24"/>
          <w:szCs w:val="24"/>
        </w:rPr>
        <w:t>10</w:t>
      </w:r>
      <w:r>
        <w:rPr>
          <w:sz w:val="24"/>
          <w:szCs w:val="24"/>
        </w:rPr>
        <w:t>、估价对象在价值时点的房地产市场为公开、平等、自愿的市场交易，即能满足以下条件：</w:t>
      </w:r>
    </w:p>
    <w:p>
      <w:pPr>
        <w:numPr>
          <w:ilvl w:val="1"/>
          <w:numId w:val="1"/>
        </w:numPr>
        <w:tabs>
          <w:tab w:val="left" w:pos="900"/>
          <w:tab w:val="left" w:pos="1004"/>
          <w:tab w:val="left" w:pos="1080"/>
          <w:tab w:val="left" w:pos="1288"/>
          <w:tab w:val="clear" w:pos="1575"/>
        </w:tabs>
        <w:snapToGrid w:val="0"/>
        <w:spacing w:line="500" w:lineRule="exact"/>
        <w:ind w:left="0" w:firstLine="480" w:firstLineChars="200"/>
        <w:rPr>
          <w:sz w:val="24"/>
          <w:szCs w:val="24"/>
        </w:rPr>
      </w:pPr>
      <w:r>
        <w:rPr>
          <w:sz w:val="24"/>
          <w:szCs w:val="24"/>
        </w:rPr>
        <w:t>交易双方是自愿地进行交易的；</w:t>
      </w:r>
    </w:p>
    <w:p>
      <w:pPr>
        <w:numPr>
          <w:ilvl w:val="1"/>
          <w:numId w:val="1"/>
        </w:numPr>
        <w:tabs>
          <w:tab w:val="left" w:pos="900"/>
          <w:tab w:val="left" w:pos="1004"/>
          <w:tab w:val="left" w:pos="1080"/>
          <w:tab w:val="left" w:pos="1288"/>
          <w:tab w:val="clear" w:pos="1575"/>
        </w:tabs>
        <w:snapToGrid w:val="0"/>
        <w:spacing w:line="500" w:lineRule="exact"/>
        <w:ind w:left="0" w:firstLine="480" w:firstLineChars="200"/>
        <w:rPr>
          <w:sz w:val="24"/>
          <w:szCs w:val="24"/>
        </w:rPr>
      </w:pPr>
      <w:r>
        <w:rPr>
          <w:sz w:val="24"/>
          <w:szCs w:val="24"/>
        </w:rPr>
        <w:t xml:space="preserve">交易双方是出于利己动机进行交易的； </w:t>
      </w:r>
    </w:p>
    <w:p>
      <w:pPr>
        <w:numPr>
          <w:ilvl w:val="1"/>
          <w:numId w:val="1"/>
        </w:numPr>
        <w:tabs>
          <w:tab w:val="left" w:pos="900"/>
          <w:tab w:val="left" w:pos="1004"/>
          <w:tab w:val="left" w:pos="1080"/>
          <w:tab w:val="left" w:pos="1288"/>
          <w:tab w:val="clear" w:pos="1575"/>
        </w:tabs>
        <w:snapToGrid w:val="0"/>
        <w:spacing w:line="500" w:lineRule="exact"/>
        <w:ind w:left="0" w:firstLine="480" w:firstLineChars="200"/>
        <w:rPr>
          <w:sz w:val="24"/>
          <w:szCs w:val="24"/>
        </w:rPr>
      </w:pPr>
      <w:r>
        <w:rPr>
          <w:sz w:val="24"/>
          <w:szCs w:val="24"/>
        </w:rPr>
        <w:t>交易双方是精明的、谨慎行事的，并且了解交易对象、知晓市场行情；</w:t>
      </w:r>
    </w:p>
    <w:p>
      <w:pPr>
        <w:numPr>
          <w:ilvl w:val="1"/>
          <w:numId w:val="1"/>
        </w:numPr>
        <w:tabs>
          <w:tab w:val="left" w:pos="900"/>
          <w:tab w:val="left" w:pos="1004"/>
          <w:tab w:val="left" w:pos="1080"/>
          <w:tab w:val="left" w:pos="1288"/>
          <w:tab w:val="clear" w:pos="1575"/>
        </w:tabs>
        <w:snapToGrid w:val="0"/>
        <w:spacing w:line="500" w:lineRule="exact"/>
        <w:ind w:left="0" w:firstLine="480" w:firstLineChars="200"/>
        <w:rPr>
          <w:sz w:val="24"/>
          <w:szCs w:val="24"/>
        </w:rPr>
      </w:pPr>
      <w:r>
        <w:rPr>
          <w:sz w:val="24"/>
          <w:szCs w:val="24"/>
        </w:rPr>
        <w:t>交易双方有较充裕的时间进行交易；</w:t>
      </w:r>
    </w:p>
    <w:p>
      <w:pPr>
        <w:numPr>
          <w:ilvl w:val="1"/>
          <w:numId w:val="1"/>
        </w:numPr>
        <w:tabs>
          <w:tab w:val="left" w:pos="900"/>
          <w:tab w:val="left" w:pos="1004"/>
          <w:tab w:val="left" w:pos="1080"/>
          <w:tab w:val="left" w:pos="1288"/>
          <w:tab w:val="clear" w:pos="1575"/>
        </w:tabs>
        <w:snapToGrid w:val="0"/>
        <w:spacing w:line="500" w:lineRule="exact"/>
        <w:ind w:left="0" w:firstLine="480" w:firstLineChars="200"/>
        <w:rPr>
          <w:sz w:val="24"/>
          <w:szCs w:val="24"/>
        </w:rPr>
      </w:pPr>
      <w:r>
        <w:rPr>
          <w:sz w:val="24"/>
          <w:szCs w:val="24"/>
        </w:rPr>
        <w:t>该房地产可以继续使用；</w:t>
      </w:r>
    </w:p>
    <w:p>
      <w:pPr>
        <w:numPr>
          <w:ilvl w:val="1"/>
          <w:numId w:val="1"/>
        </w:numPr>
        <w:tabs>
          <w:tab w:val="left" w:pos="900"/>
          <w:tab w:val="left" w:pos="1004"/>
          <w:tab w:val="left" w:pos="1080"/>
          <w:tab w:val="left" w:pos="1288"/>
          <w:tab w:val="clear" w:pos="1575"/>
        </w:tabs>
        <w:snapToGrid w:val="0"/>
        <w:spacing w:line="500" w:lineRule="exact"/>
        <w:ind w:left="0" w:firstLine="480" w:firstLineChars="200"/>
        <w:rPr>
          <w:sz w:val="24"/>
          <w:szCs w:val="24"/>
        </w:rPr>
      </w:pPr>
      <w:r>
        <w:rPr>
          <w:snapToGrid w:val="0"/>
          <w:kern w:val="0"/>
          <w:sz w:val="24"/>
        </w:rPr>
        <w:t>在此期间物业价值将保持稳定</w:t>
      </w:r>
      <w:r>
        <w:rPr>
          <w:sz w:val="24"/>
          <w:szCs w:val="24"/>
        </w:rPr>
        <w:t xml:space="preserve">； </w:t>
      </w:r>
    </w:p>
    <w:p>
      <w:pPr>
        <w:numPr>
          <w:ilvl w:val="1"/>
          <w:numId w:val="1"/>
        </w:numPr>
        <w:tabs>
          <w:tab w:val="left" w:pos="900"/>
          <w:tab w:val="left" w:pos="1004"/>
          <w:tab w:val="left" w:pos="1080"/>
          <w:tab w:val="left" w:pos="1288"/>
          <w:tab w:val="clear" w:pos="1575"/>
        </w:tabs>
        <w:snapToGrid w:val="0"/>
        <w:spacing w:line="500" w:lineRule="exact"/>
        <w:ind w:left="0" w:firstLine="480" w:firstLineChars="200"/>
        <w:rPr>
          <w:sz w:val="24"/>
          <w:szCs w:val="24"/>
        </w:rPr>
      </w:pPr>
      <w:r>
        <w:rPr>
          <w:sz w:val="24"/>
          <w:szCs w:val="24"/>
        </w:rPr>
        <w:t>不考虑特殊买家的额外出价。</w:t>
      </w:r>
    </w:p>
    <w:p>
      <w:pPr>
        <w:tabs>
          <w:tab w:val="left" w:pos="990"/>
        </w:tabs>
        <w:snapToGrid w:val="0"/>
        <w:spacing w:line="500" w:lineRule="exact"/>
        <w:rPr>
          <w:b/>
          <w:sz w:val="24"/>
          <w:szCs w:val="24"/>
        </w:rPr>
      </w:pPr>
      <w:r>
        <w:rPr>
          <w:b/>
          <w:sz w:val="24"/>
          <w:szCs w:val="24"/>
        </w:rPr>
        <w:t>（二）未定事项假设</w:t>
      </w:r>
    </w:p>
    <w:p>
      <w:pPr>
        <w:tabs>
          <w:tab w:val="left" w:pos="990"/>
        </w:tabs>
        <w:snapToGrid w:val="0"/>
        <w:spacing w:line="500" w:lineRule="exact"/>
        <w:ind w:firstLine="480" w:firstLineChars="200"/>
        <w:rPr>
          <w:sz w:val="24"/>
          <w:szCs w:val="24"/>
        </w:rPr>
      </w:pPr>
      <w:r>
        <w:rPr>
          <w:sz w:val="24"/>
          <w:szCs w:val="24"/>
        </w:rPr>
        <w:t>本次估价的估价对象不存在未定事项，故本估价报告无未定事项假设。</w:t>
      </w:r>
    </w:p>
    <w:p>
      <w:pPr>
        <w:tabs>
          <w:tab w:val="left" w:pos="990"/>
        </w:tabs>
        <w:snapToGrid w:val="0"/>
        <w:spacing w:line="360" w:lineRule="auto"/>
        <w:ind w:firstLine="482" w:firstLineChars="200"/>
        <w:rPr>
          <w:sz w:val="24"/>
          <w:szCs w:val="24"/>
        </w:rPr>
      </w:pPr>
      <w:r>
        <w:rPr>
          <w:b/>
          <w:sz w:val="24"/>
          <w:szCs w:val="24"/>
        </w:rPr>
        <w:t>（三）背离事实假设</w:t>
      </w:r>
    </w:p>
    <w:p>
      <w:pPr>
        <w:tabs>
          <w:tab w:val="left" w:pos="990"/>
        </w:tabs>
        <w:snapToGrid w:val="0"/>
        <w:spacing w:line="360" w:lineRule="auto"/>
        <w:ind w:firstLine="480" w:firstLineChars="200"/>
        <w:rPr>
          <w:sz w:val="24"/>
          <w:szCs w:val="24"/>
        </w:rPr>
      </w:pPr>
      <w:r>
        <w:rPr>
          <w:rFonts w:hint="eastAsia"/>
          <w:sz w:val="24"/>
          <w:szCs w:val="24"/>
        </w:rPr>
        <w:t>本次估价对象存在查封，抵押，根据《房地产估价规范》（GB/T50291-2015），房地产拍卖、变卖估价的，评估价值的影响因素包括拍卖房地产的瑕疵，但不应包括房地产被查封及拍卖房地产上原有的担保物权和其他优先受偿款，根据评估目的，本次估价的评估结果不考虑评估对象被查封以及原有的担保物权和其他优先受偿款及出租的影响，提醒报告使用者注意！</w:t>
      </w:r>
    </w:p>
    <w:p>
      <w:pPr>
        <w:tabs>
          <w:tab w:val="left" w:pos="990"/>
        </w:tabs>
        <w:snapToGrid w:val="0"/>
        <w:spacing w:line="500" w:lineRule="exact"/>
        <w:rPr>
          <w:b/>
          <w:sz w:val="24"/>
          <w:szCs w:val="24"/>
        </w:rPr>
      </w:pPr>
      <w:r>
        <w:rPr>
          <w:b/>
          <w:sz w:val="24"/>
          <w:szCs w:val="24"/>
        </w:rPr>
        <w:t>（四）不相一致假设</w:t>
      </w:r>
    </w:p>
    <w:p>
      <w:pPr>
        <w:tabs>
          <w:tab w:val="left" w:pos="990"/>
        </w:tabs>
        <w:snapToGrid w:val="0"/>
        <w:spacing w:line="500" w:lineRule="exact"/>
        <w:ind w:firstLine="480" w:firstLineChars="200"/>
        <w:rPr>
          <w:rFonts w:hAnsi="宋体"/>
          <w:sz w:val="24"/>
          <w:szCs w:val="24"/>
        </w:rPr>
      </w:pPr>
      <w:r>
        <w:rPr>
          <w:rFonts w:hint="eastAsia" w:hAnsi="宋体"/>
          <w:sz w:val="24"/>
          <w:szCs w:val="24"/>
        </w:rPr>
        <w:t>本次估价的估价对象不存在不相一致事项，故本估价报告无不相一致假设。</w:t>
      </w:r>
    </w:p>
    <w:p>
      <w:pPr>
        <w:tabs>
          <w:tab w:val="left" w:pos="990"/>
        </w:tabs>
        <w:snapToGrid w:val="0"/>
        <w:spacing w:line="500" w:lineRule="exact"/>
        <w:rPr>
          <w:b/>
          <w:sz w:val="24"/>
          <w:szCs w:val="24"/>
        </w:rPr>
      </w:pPr>
      <w:r>
        <w:rPr>
          <w:b/>
          <w:sz w:val="24"/>
          <w:szCs w:val="24"/>
        </w:rPr>
        <w:t>（五）依据不足假设</w:t>
      </w:r>
    </w:p>
    <w:p>
      <w:pPr>
        <w:tabs>
          <w:tab w:val="left" w:pos="990"/>
        </w:tabs>
        <w:snapToGrid w:val="0"/>
        <w:spacing w:line="500" w:lineRule="exact"/>
        <w:ind w:firstLine="480" w:firstLineChars="200"/>
        <w:rPr>
          <w:sz w:val="24"/>
          <w:szCs w:val="24"/>
        </w:rPr>
      </w:pPr>
      <w:r>
        <w:rPr>
          <w:rFonts w:hint="eastAsia"/>
          <w:sz w:val="24"/>
          <w:szCs w:val="24"/>
        </w:rPr>
        <w:t>1、</w:t>
      </w:r>
      <w:r>
        <w:rPr>
          <w:sz w:val="24"/>
          <w:szCs w:val="24"/>
        </w:rPr>
        <w:t>估价委托人提供的《</w:t>
      </w:r>
      <w:r>
        <w:rPr>
          <w:rFonts w:hint="eastAsia"/>
          <w:sz w:val="24"/>
          <w:szCs w:val="24"/>
        </w:rPr>
        <w:t>房屋所有权证</w:t>
      </w:r>
      <w:r>
        <w:rPr>
          <w:sz w:val="24"/>
          <w:szCs w:val="24"/>
        </w:rPr>
        <w:t>》</w:t>
      </w:r>
      <w:r>
        <w:rPr>
          <w:rFonts w:hint="eastAsia"/>
          <w:sz w:val="24"/>
          <w:szCs w:val="24"/>
        </w:rPr>
        <w:t>，</w:t>
      </w:r>
      <w:r>
        <w:rPr>
          <w:sz w:val="24"/>
          <w:szCs w:val="24"/>
        </w:rPr>
        <w:t>我们慎审检查了估价委托人提供的上述资料，但未能向政府有关部门进行核实。</w:t>
      </w:r>
      <w:r>
        <w:rPr>
          <w:rFonts w:hint="eastAsia"/>
          <w:sz w:val="24"/>
          <w:szCs w:val="24"/>
        </w:rPr>
        <w:t>报告中有关产权证明材料由委托人提供并负责准确性和真实性，估价机构和估价人员不具产权界定功能，我们不负责因材料不真实和不准确而造成的任何评估风险和责任</w:t>
      </w:r>
      <w:r>
        <w:rPr>
          <w:sz w:val="24"/>
          <w:szCs w:val="24"/>
        </w:rPr>
        <w:t>。本次估价假设估价委托人提供的</w:t>
      </w:r>
      <w:r>
        <w:rPr>
          <w:rFonts w:hint="eastAsia"/>
          <w:sz w:val="24"/>
          <w:szCs w:val="24"/>
        </w:rPr>
        <w:t>说明文件</w:t>
      </w:r>
      <w:r>
        <w:rPr>
          <w:sz w:val="24"/>
          <w:szCs w:val="24"/>
        </w:rPr>
        <w:t>其记载信息合法、真实、准确、完整为估价前提。</w:t>
      </w:r>
    </w:p>
    <w:p>
      <w:pPr>
        <w:tabs>
          <w:tab w:val="left" w:pos="990"/>
        </w:tabs>
        <w:snapToGrid w:val="0"/>
        <w:spacing w:line="500" w:lineRule="exact"/>
        <w:ind w:firstLine="480" w:firstLineChars="200"/>
        <w:rPr>
          <w:sz w:val="24"/>
          <w:szCs w:val="24"/>
        </w:rPr>
      </w:pPr>
      <w:r>
        <w:rPr>
          <w:rFonts w:hint="eastAsia"/>
          <w:sz w:val="24"/>
          <w:szCs w:val="24"/>
        </w:rPr>
        <w:t xml:space="preserve"> </w:t>
      </w:r>
    </w:p>
    <w:p>
      <w:pPr>
        <w:tabs>
          <w:tab w:val="left" w:pos="990"/>
        </w:tabs>
        <w:snapToGrid w:val="0"/>
        <w:spacing w:line="500" w:lineRule="exact"/>
        <w:jc w:val="left"/>
        <w:rPr>
          <w:b/>
          <w:sz w:val="24"/>
          <w:szCs w:val="24"/>
        </w:rPr>
      </w:pPr>
      <w:r>
        <w:rPr>
          <w:b/>
          <w:sz w:val="24"/>
          <w:szCs w:val="24"/>
        </w:rPr>
        <w:t>（六）、估价报告使用限制</w:t>
      </w:r>
    </w:p>
    <w:p>
      <w:pPr>
        <w:tabs>
          <w:tab w:val="left" w:pos="990"/>
        </w:tabs>
        <w:snapToGrid w:val="0"/>
        <w:spacing w:line="500" w:lineRule="exact"/>
        <w:ind w:firstLine="480" w:firstLineChars="200"/>
        <w:rPr>
          <w:sz w:val="24"/>
          <w:szCs w:val="24"/>
        </w:rPr>
      </w:pPr>
      <w:r>
        <w:rPr>
          <w:sz w:val="24"/>
          <w:szCs w:val="24"/>
        </w:rPr>
        <w:t>1、本估价报告仅</w:t>
      </w:r>
      <w:r>
        <w:rPr>
          <w:rFonts w:hint="eastAsia"/>
          <w:sz w:val="24"/>
          <w:szCs w:val="24"/>
        </w:rPr>
        <w:t>确定房地产拍卖底价提供参考而评估房地产市场价值</w:t>
      </w:r>
      <w:r>
        <w:rPr>
          <w:sz w:val="24"/>
          <w:szCs w:val="24"/>
        </w:rPr>
        <w:t>，不对其他用途负责。</w:t>
      </w:r>
      <w:r>
        <w:rPr>
          <w:rFonts w:hint="eastAsia" w:ascii="宋体" w:hAnsi="宋体" w:cs="宋体"/>
          <w:sz w:val="24"/>
          <w:szCs w:val="24"/>
        </w:rPr>
        <w:t>不适用于其他估价目的。如估价目的变更，须另行估价。同时因估价委托人使用不当而引起的后果，相应的责任由估价委托人承担。</w:t>
      </w:r>
    </w:p>
    <w:p>
      <w:pPr>
        <w:tabs>
          <w:tab w:val="left" w:pos="990"/>
        </w:tabs>
        <w:snapToGrid w:val="0"/>
        <w:spacing w:line="500" w:lineRule="exact"/>
        <w:ind w:firstLine="480" w:firstLineChars="200"/>
        <w:jc w:val="left"/>
        <w:rPr>
          <w:sz w:val="24"/>
          <w:szCs w:val="24"/>
        </w:rPr>
      </w:pPr>
      <w:r>
        <w:rPr>
          <w:sz w:val="24"/>
          <w:szCs w:val="24"/>
        </w:rPr>
        <w:t>2、本估价报告的使用者为估价委托人和国家法律、法规规定的估价报告使用者。估价机构不承担上述以外的任何单位和个人对本估价报告书的全文或部分内容提出的任何责任。</w:t>
      </w:r>
    </w:p>
    <w:p>
      <w:pPr>
        <w:tabs>
          <w:tab w:val="left" w:pos="990"/>
        </w:tabs>
        <w:snapToGrid w:val="0"/>
        <w:spacing w:line="500" w:lineRule="exact"/>
        <w:ind w:firstLine="480" w:firstLineChars="200"/>
        <w:jc w:val="left"/>
        <w:rPr>
          <w:sz w:val="24"/>
          <w:szCs w:val="24"/>
        </w:rPr>
      </w:pPr>
      <w:r>
        <w:rPr>
          <w:sz w:val="24"/>
          <w:szCs w:val="24"/>
        </w:rPr>
        <w:t>3、本估价报告包括致估价委托人函、估价师声明、估价的假设和限制条件、估价结果报告、估价技术报告、附件共六部分，必须完整使用方为有效，对使用本报告中部分内容而导致的损失，我公司不承担责任。</w:t>
      </w:r>
    </w:p>
    <w:p>
      <w:pPr>
        <w:tabs>
          <w:tab w:val="left" w:pos="990"/>
        </w:tabs>
        <w:snapToGrid w:val="0"/>
        <w:spacing w:line="500" w:lineRule="exact"/>
        <w:ind w:firstLine="480" w:firstLineChars="200"/>
        <w:jc w:val="left"/>
        <w:rPr>
          <w:sz w:val="24"/>
          <w:szCs w:val="24"/>
        </w:rPr>
      </w:pPr>
      <w:r>
        <w:rPr>
          <w:rFonts w:hint="eastAsia"/>
          <w:sz w:val="24"/>
          <w:szCs w:val="24"/>
        </w:rPr>
        <w:t>4</w:t>
      </w:r>
      <w:r>
        <w:rPr>
          <w:sz w:val="24"/>
          <w:szCs w:val="24"/>
        </w:rPr>
        <w:t>、使用本报告有关人士，如有疑问，可向本公司咨询，任何其它单位或个人意见不代表我公司对该物业价值之意见。如报告使用不当引起的任何法律、民事责任等与评估机构无关，同时，评估机构保留追究因报告使用不当给评估机构造成损失的法律责任。</w:t>
      </w:r>
    </w:p>
    <w:p>
      <w:pPr>
        <w:tabs>
          <w:tab w:val="left" w:pos="990"/>
        </w:tabs>
        <w:snapToGrid w:val="0"/>
        <w:spacing w:line="500" w:lineRule="exact"/>
        <w:ind w:firstLine="480" w:firstLineChars="200"/>
        <w:jc w:val="left"/>
        <w:rPr>
          <w:sz w:val="24"/>
          <w:szCs w:val="24"/>
        </w:rPr>
      </w:pPr>
      <w:r>
        <w:rPr>
          <w:rFonts w:hint="eastAsia"/>
          <w:sz w:val="24"/>
          <w:szCs w:val="24"/>
        </w:rPr>
        <w:t>5</w:t>
      </w:r>
      <w:r>
        <w:rPr>
          <w:sz w:val="24"/>
          <w:szCs w:val="24"/>
        </w:rPr>
        <w:t>、本报告在市场无较大波动情况下的使用期为一年，即从二〇二二年四月二十七日至二〇二三年四月二十六日止，若在此期间房地产行情发生较大变动或者国家相关政策发生变化，该估价结果应作相应调整或重新估价。</w:t>
      </w:r>
    </w:p>
    <w:p>
      <w:pPr>
        <w:tabs>
          <w:tab w:val="left" w:pos="990"/>
        </w:tabs>
        <w:snapToGrid w:val="0"/>
        <w:spacing w:line="500" w:lineRule="exact"/>
        <w:ind w:firstLine="480" w:firstLineChars="200"/>
        <w:jc w:val="left"/>
        <w:rPr>
          <w:sz w:val="24"/>
          <w:szCs w:val="24"/>
        </w:rPr>
      </w:pPr>
      <w:r>
        <w:rPr>
          <w:rFonts w:hint="eastAsia"/>
          <w:sz w:val="24"/>
          <w:szCs w:val="24"/>
        </w:rPr>
        <w:t>6、</w:t>
      </w:r>
      <w:r>
        <w:rPr>
          <w:rFonts w:hint="eastAsia" w:ascii="宋体" w:hAnsi="宋体" w:cs="宋体"/>
          <w:bCs/>
          <w:sz w:val="24"/>
          <w:szCs w:val="24"/>
        </w:rPr>
        <w:t>本报告估价结果是对估价对象于价值时点、估价范围内的房地产价值的正常与公允的反映，没有考虑价值时点之后国家法律法规、宏观经济政策、区域经济形势、房地产市场状况（市场供需关系、市场结构）等发生变化以及遇有自然力和其他不可抗力对房地产价值的影响，也没有考虑强制变现、处置费用、税费转嫁等因素对估价对象价格的影响；当上述条件发生变化时，估价结果一般亦会发生变化。</w:t>
      </w:r>
    </w:p>
    <w:p>
      <w:pPr>
        <w:tabs>
          <w:tab w:val="left" w:pos="990"/>
        </w:tabs>
        <w:snapToGrid w:val="0"/>
        <w:spacing w:line="500" w:lineRule="exact"/>
        <w:ind w:firstLine="480" w:firstLineChars="200"/>
        <w:jc w:val="left"/>
        <w:rPr>
          <w:rStyle w:val="35"/>
        </w:rPr>
      </w:pPr>
      <w:r>
        <w:rPr>
          <w:rFonts w:hint="eastAsia"/>
          <w:sz w:val="24"/>
          <w:szCs w:val="24"/>
        </w:rPr>
        <w:t>7</w:t>
      </w:r>
      <w:r>
        <w:rPr>
          <w:sz w:val="24"/>
          <w:szCs w:val="24"/>
        </w:rPr>
        <w:t>、未经本公司同意，任何单位或个人不得将本报告的全部或部分内容在任何公开的文件、通告或声明中引用，亦不得以其他任何方式公开发表。</w:t>
      </w:r>
    </w:p>
    <w:p>
      <w:pPr>
        <w:pStyle w:val="2"/>
        <w:adjustRightInd/>
        <w:rPr>
          <w:rFonts w:hAnsi="宋体"/>
          <w:b/>
          <w:bCs/>
        </w:rPr>
      </w:pPr>
      <w:r>
        <w:rPr>
          <w:rFonts w:hAnsi="宋体"/>
          <w:b/>
          <w:bCs/>
        </w:rPr>
        <w:t>（七）特别提示</w:t>
      </w:r>
    </w:p>
    <w:p>
      <w:pPr>
        <w:pStyle w:val="2"/>
        <w:adjustRightIn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1、应当按照法律规定和评估报告载明的用途、使用人、使用期限等使用范围使用评估报告。否则，房地产估价机构和注册房地产估价师依法不承担责任；</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    2、评估结果仅为人民法院确定财产处置参考价服务，不是评估对象处置可实现的成交价格，也不应当被视为对评估对象处置成交价格的保证。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    3、财产拍卖或者变卖之日与价值时点不一致，可能导致评估结果对应的评估对象状况、房地产市场状况、欠缴税费状况等与财产拍卖或者变卖时的相应状况不一致，发生明显变化的，发生明显变化的，评估结果应当进行相应调整后才可使用；</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    4、在评估报告使用期限或者评估结果有效期内，评估报告或者评估结果未使用之前，如果评估对象状况或者房地产市场状况发生明显变化的，评估结果应当进行相应调整后才可使用；</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    5、当事人、利害关系人收到评估报告后五日内可对评估报告的参照标准、计算方法或者评估结果等向人民法院委托评估行业组织进行专业技术评审。</w:t>
      </w:r>
    </w:p>
    <w:p>
      <w:pPr>
        <w:tabs>
          <w:tab w:val="left" w:pos="990"/>
        </w:tabs>
        <w:snapToGrid w:val="0"/>
        <w:spacing w:line="500" w:lineRule="exact"/>
        <w:ind w:firstLine="480" w:firstLineChars="200"/>
        <w:jc w:val="left"/>
        <w:rPr>
          <w:sz w:val="24"/>
          <w:szCs w:val="24"/>
        </w:rPr>
      </w:pPr>
      <w:bookmarkStart w:id="5" w:name="_Toc29620"/>
      <w:bookmarkStart w:id="6" w:name="_Toc491874780"/>
    </w:p>
    <w:p>
      <w:pPr>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2"/>
        <w:ind w:firstLine="720" w:firstLineChars="200"/>
        <w:rPr>
          <w:sz w:val="36"/>
          <w:szCs w:val="36"/>
        </w:rPr>
      </w:pPr>
    </w:p>
    <w:p>
      <w:pPr>
        <w:pStyle w:val="3"/>
        <w:jc w:val="center"/>
        <w:rPr>
          <w:sz w:val="36"/>
          <w:szCs w:val="36"/>
        </w:rPr>
      </w:pPr>
    </w:p>
    <w:p>
      <w:pPr>
        <w:pStyle w:val="3"/>
        <w:jc w:val="center"/>
        <w:rPr>
          <w:sz w:val="36"/>
          <w:szCs w:val="36"/>
        </w:rPr>
      </w:pPr>
      <w:r>
        <w:rPr>
          <w:sz w:val="36"/>
          <w:szCs w:val="36"/>
        </w:rPr>
        <w:t>房地产估价结果报告</w:t>
      </w:r>
      <w:bookmarkEnd w:id="5"/>
      <w:bookmarkEnd w:id="6"/>
    </w:p>
    <w:p>
      <w:pPr>
        <w:pStyle w:val="4"/>
        <w:rPr>
          <w:rFonts w:ascii="Times New Roman" w:hAnsi="Times New Roman"/>
          <w:sz w:val="24"/>
          <w:szCs w:val="24"/>
        </w:rPr>
      </w:pPr>
      <w:bookmarkStart w:id="7" w:name="_Toc491874781"/>
      <w:bookmarkStart w:id="8" w:name="_Toc8840"/>
      <w:r>
        <w:rPr>
          <w:rFonts w:ascii="Times New Roman" w:hAnsi="Times New Roman"/>
          <w:sz w:val="24"/>
          <w:szCs w:val="24"/>
        </w:rPr>
        <w:t>（一）估价委托人</w:t>
      </w:r>
      <w:bookmarkEnd w:id="7"/>
      <w:bookmarkEnd w:id="8"/>
    </w:p>
    <w:p>
      <w:pPr>
        <w:adjustRightInd w:val="0"/>
        <w:snapToGrid w:val="0"/>
        <w:spacing w:line="500" w:lineRule="exact"/>
        <w:ind w:firstLine="480" w:firstLineChars="200"/>
        <w:rPr>
          <w:sz w:val="24"/>
          <w:szCs w:val="24"/>
        </w:rPr>
      </w:pPr>
      <w:r>
        <w:rPr>
          <w:rFonts w:hint="eastAsia"/>
          <w:sz w:val="24"/>
          <w:szCs w:val="24"/>
        </w:rPr>
        <w:t>机构名称</w:t>
      </w:r>
      <w:r>
        <w:rPr>
          <w:sz w:val="24"/>
          <w:szCs w:val="24"/>
        </w:rPr>
        <w:t>：</w:t>
      </w:r>
      <w:r>
        <w:rPr>
          <w:rFonts w:hint="eastAsia"/>
          <w:sz w:val="24"/>
          <w:szCs w:val="24"/>
        </w:rPr>
        <w:t>海口市琼山区人民法院</w:t>
      </w:r>
    </w:p>
    <w:p>
      <w:pPr>
        <w:pStyle w:val="2"/>
        <w:ind w:firstLine="480" w:firstLineChars="200"/>
      </w:pPr>
      <w:r>
        <w:rPr>
          <w:rFonts w:hint="eastAsia"/>
        </w:rPr>
        <w:t>机关性质：机关</w:t>
      </w:r>
    </w:p>
    <w:p>
      <w:pPr>
        <w:pStyle w:val="2"/>
        <w:ind w:firstLine="480" w:firstLineChars="200"/>
      </w:pPr>
      <w:r>
        <w:rPr>
          <w:rFonts w:hint="eastAsia"/>
        </w:rPr>
        <w:t>机构地址：海口市琼山区新大洲大道398号</w:t>
      </w:r>
    </w:p>
    <w:p>
      <w:pPr>
        <w:pStyle w:val="2"/>
        <w:ind w:firstLine="480" w:firstLineChars="200"/>
      </w:pPr>
      <w:r>
        <w:rPr>
          <w:rFonts w:hint="eastAsia"/>
        </w:rPr>
        <w:t>负责人：龙仕新、陈业霖</w:t>
      </w:r>
    </w:p>
    <w:p>
      <w:pPr>
        <w:pStyle w:val="2"/>
        <w:ind w:firstLine="480" w:firstLineChars="200"/>
      </w:pPr>
      <w:r>
        <w:rPr>
          <w:rFonts w:hint="eastAsia"/>
        </w:rPr>
        <w:t>电话：0898-65811832</w:t>
      </w:r>
    </w:p>
    <w:p>
      <w:pPr>
        <w:pStyle w:val="4"/>
        <w:rPr>
          <w:rFonts w:ascii="Times New Roman" w:hAnsi="Times New Roman"/>
          <w:sz w:val="24"/>
          <w:szCs w:val="24"/>
        </w:rPr>
      </w:pPr>
      <w:bookmarkStart w:id="9" w:name="_Toc491874782"/>
      <w:bookmarkStart w:id="10" w:name="_Toc16673"/>
      <w:r>
        <w:rPr>
          <w:rFonts w:ascii="Times New Roman" w:hAnsi="Times New Roman"/>
          <w:sz w:val="24"/>
          <w:szCs w:val="24"/>
        </w:rPr>
        <w:t>（二）房地产估价机构</w:t>
      </w:r>
      <w:bookmarkEnd w:id="9"/>
      <w:bookmarkEnd w:id="10"/>
    </w:p>
    <w:p>
      <w:pPr>
        <w:adjustRightInd w:val="0"/>
        <w:snapToGrid w:val="0"/>
        <w:spacing w:line="500" w:lineRule="exact"/>
        <w:ind w:firstLine="480" w:firstLineChars="200"/>
        <w:rPr>
          <w:sz w:val="24"/>
        </w:rPr>
      </w:pPr>
      <w:bookmarkStart w:id="11" w:name="_Toc16746"/>
      <w:bookmarkStart w:id="12" w:name="_Toc17352"/>
      <w:r>
        <w:rPr>
          <w:sz w:val="24"/>
        </w:rPr>
        <w:t>机构名称：深圳市鹏信资产评估土地房地产估价有限公司</w:t>
      </w:r>
    </w:p>
    <w:p>
      <w:pPr>
        <w:adjustRightInd w:val="0"/>
        <w:snapToGrid w:val="0"/>
        <w:spacing w:line="500" w:lineRule="exact"/>
        <w:ind w:firstLine="480" w:firstLineChars="200"/>
        <w:rPr>
          <w:sz w:val="24"/>
        </w:rPr>
      </w:pPr>
      <w:r>
        <w:rPr>
          <w:sz w:val="24"/>
        </w:rPr>
        <w:t>统一社会信用代码：914403007084267362</w:t>
      </w:r>
    </w:p>
    <w:p>
      <w:pPr>
        <w:adjustRightInd w:val="0"/>
        <w:snapToGrid w:val="0"/>
        <w:spacing w:line="500" w:lineRule="exact"/>
        <w:ind w:firstLine="480" w:firstLineChars="200"/>
        <w:rPr>
          <w:sz w:val="24"/>
        </w:rPr>
      </w:pPr>
      <w:r>
        <w:rPr>
          <w:sz w:val="24"/>
        </w:rPr>
        <w:t>法定代表人：聂竹青</w:t>
      </w:r>
    </w:p>
    <w:p>
      <w:pPr>
        <w:adjustRightInd w:val="0"/>
        <w:snapToGrid w:val="0"/>
        <w:spacing w:line="500" w:lineRule="exact"/>
        <w:ind w:firstLine="480" w:firstLineChars="200"/>
        <w:rPr>
          <w:sz w:val="24"/>
        </w:rPr>
      </w:pPr>
      <w:r>
        <w:rPr>
          <w:sz w:val="24"/>
        </w:rPr>
        <w:t>地  址：深圳市福田区彩田路与福中路交汇处瑰丽福景大厦3#楼14层1401</w:t>
      </w:r>
    </w:p>
    <w:p>
      <w:pPr>
        <w:adjustRightInd w:val="0"/>
        <w:snapToGrid w:val="0"/>
        <w:spacing w:line="500" w:lineRule="exact"/>
        <w:ind w:firstLine="480" w:firstLineChars="200"/>
        <w:rPr>
          <w:sz w:val="24"/>
        </w:rPr>
      </w:pPr>
      <w:r>
        <w:rPr>
          <w:rFonts w:hint="eastAsia"/>
          <w:sz w:val="24"/>
        </w:rPr>
        <w:t>备案</w:t>
      </w:r>
      <w:r>
        <w:rPr>
          <w:sz w:val="24"/>
        </w:rPr>
        <w:t>等级：</w:t>
      </w:r>
      <w:r>
        <w:rPr>
          <w:rFonts w:hint="eastAsia"/>
          <w:sz w:val="24"/>
        </w:rPr>
        <w:t>壹</w:t>
      </w:r>
      <w:r>
        <w:rPr>
          <w:sz w:val="24"/>
        </w:rPr>
        <w:t>级</w:t>
      </w:r>
    </w:p>
    <w:p>
      <w:pPr>
        <w:adjustRightInd w:val="0"/>
        <w:snapToGrid w:val="0"/>
        <w:spacing w:line="500" w:lineRule="exact"/>
        <w:ind w:firstLine="480" w:firstLineChars="200"/>
        <w:rPr>
          <w:sz w:val="24"/>
        </w:rPr>
      </w:pPr>
      <w:r>
        <w:rPr>
          <w:sz w:val="24"/>
        </w:rPr>
        <w:t>证书编号：粤</w:t>
      </w:r>
      <w:r>
        <w:rPr>
          <w:rFonts w:hint="eastAsia"/>
          <w:sz w:val="24"/>
        </w:rPr>
        <w:t>房估备字壹0200040</w:t>
      </w:r>
    </w:p>
    <w:p>
      <w:pPr>
        <w:pStyle w:val="11"/>
        <w:tabs>
          <w:tab w:val="left" w:pos="180"/>
          <w:tab w:val="left" w:pos="360"/>
        </w:tabs>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rPr>
        <w:t>联系电话：0755-82404555</w:t>
      </w:r>
    </w:p>
    <w:p>
      <w:pPr>
        <w:pStyle w:val="4"/>
        <w:rPr>
          <w:rFonts w:ascii="Times New Roman" w:hAnsi="Times New Roman"/>
          <w:sz w:val="24"/>
          <w:szCs w:val="24"/>
        </w:rPr>
      </w:pPr>
      <w:bookmarkStart w:id="13" w:name="_Toc491874783"/>
      <w:r>
        <w:rPr>
          <w:rFonts w:ascii="Times New Roman" w:hAnsi="Times New Roman"/>
          <w:sz w:val="24"/>
          <w:szCs w:val="24"/>
        </w:rPr>
        <w:t>（三）估价目的</w:t>
      </w:r>
      <w:bookmarkEnd w:id="11"/>
      <w:bookmarkEnd w:id="13"/>
      <w:r>
        <w:rPr>
          <w:rFonts w:ascii="Times New Roman" w:hAnsi="Times New Roman"/>
          <w:sz w:val="24"/>
          <w:szCs w:val="24"/>
        </w:rPr>
        <w:tab/>
      </w:r>
    </w:p>
    <w:p>
      <w:pPr>
        <w:spacing w:line="500" w:lineRule="exact"/>
        <w:ind w:firstLine="480" w:firstLineChars="200"/>
        <w:rPr>
          <w:sz w:val="24"/>
          <w:szCs w:val="24"/>
        </w:rPr>
      </w:pPr>
      <w:r>
        <w:rPr>
          <w:sz w:val="24"/>
        </w:rPr>
        <w:t>根据《</w:t>
      </w:r>
      <w:r>
        <w:rPr>
          <w:rFonts w:hint="eastAsia"/>
          <w:sz w:val="24"/>
        </w:rPr>
        <w:t>司法鉴定</w:t>
      </w:r>
      <w:r>
        <w:rPr>
          <w:sz w:val="24"/>
        </w:rPr>
        <w:t>委托书》，本次估价</w:t>
      </w:r>
      <w:r>
        <w:rPr>
          <w:rFonts w:hint="eastAsia"/>
          <w:sz w:val="24"/>
          <w:szCs w:val="24"/>
        </w:rPr>
        <w:t>为确定房地产拍卖底价提供参考而评估房地产市场价值</w:t>
      </w:r>
      <w:r>
        <w:rPr>
          <w:sz w:val="24"/>
          <w:szCs w:val="24"/>
        </w:rPr>
        <w:t>。</w:t>
      </w:r>
    </w:p>
    <w:p>
      <w:pPr>
        <w:pStyle w:val="4"/>
        <w:rPr>
          <w:rFonts w:ascii="Times New Roman" w:hAnsi="Times New Roman"/>
          <w:sz w:val="24"/>
          <w:szCs w:val="24"/>
        </w:rPr>
      </w:pPr>
      <w:bookmarkStart w:id="14" w:name="_Toc491874784"/>
      <w:r>
        <w:rPr>
          <w:rFonts w:ascii="Times New Roman" w:hAnsi="Times New Roman"/>
          <w:sz w:val="24"/>
          <w:szCs w:val="24"/>
        </w:rPr>
        <w:t>（四）估价</w:t>
      </w:r>
      <w:r>
        <w:rPr>
          <w:rFonts w:ascii="Times New Roman" w:hAnsi="Times New Roman" w:eastAsia="宋体"/>
          <w:sz w:val="24"/>
          <w:szCs w:val="24"/>
        </w:rPr>
        <w:t>对象</w:t>
      </w:r>
      <w:bookmarkEnd w:id="12"/>
      <w:bookmarkEnd w:id="14"/>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估价对象为</w:t>
      </w:r>
      <w:r>
        <w:rPr>
          <w:rFonts w:hint="eastAsia" w:ascii="Times New Roman" w:hAnsi="Times New Roman" w:cs="Times New Roman"/>
          <w:sz w:val="24"/>
          <w:szCs w:val="24"/>
        </w:rPr>
        <w:t>海口市人民路沿江三西街13号海南大学40栋401房（建筑面积为91.2㎡）</w:t>
      </w:r>
      <w:r>
        <w:rPr>
          <w:rFonts w:ascii="Times New Roman" w:hAnsi="Times New Roman" w:cs="Times New Roman"/>
          <w:sz w:val="24"/>
          <w:szCs w:val="24"/>
        </w:rPr>
        <w:t>的房屋所有权及其所分摊的土地在剩余使用年期的土地使用权，以及房屋内部装修。估价对象具体情况如下：</w:t>
      </w:r>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1、估价对象产权状况</w:t>
      </w:r>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根据估价</w:t>
      </w:r>
      <w:r>
        <w:rPr>
          <w:rFonts w:hint="eastAsia" w:ascii="Times New Roman" w:hAnsi="Times New Roman" w:cs="Times New Roman"/>
          <w:sz w:val="24"/>
          <w:szCs w:val="24"/>
        </w:rPr>
        <w:t>估价委托人</w:t>
      </w:r>
      <w:r>
        <w:rPr>
          <w:rFonts w:ascii="Times New Roman" w:hAnsi="Times New Roman" w:cs="Times New Roman"/>
          <w:sz w:val="24"/>
          <w:szCs w:val="24"/>
        </w:rPr>
        <w:t>提供的</w:t>
      </w:r>
      <w:r>
        <w:rPr>
          <w:rFonts w:hint="eastAsia" w:ascii="Times New Roman" w:hAnsi="Times New Roman" w:cs="Times New Roman"/>
          <w:sz w:val="24"/>
          <w:szCs w:val="24"/>
        </w:rPr>
        <w:t>《不动产登记信息查询情况说明》</w:t>
      </w:r>
      <w:r>
        <w:rPr>
          <w:rFonts w:ascii="Times New Roman" w:hAnsi="Times New Roman" w:cs="Times New Roman"/>
          <w:sz w:val="24"/>
          <w:szCs w:val="24"/>
        </w:rPr>
        <w:t>记载，估价对象</w:t>
      </w:r>
      <w:r>
        <w:rPr>
          <w:rFonts w:hint="eastAsia" w:ascii="Times New Roman" w:hAnsi="Times New Roman" w:cs="Times New Roman"/>
          <w:sz w:val="24"/>
          <w:szCs w:val="24"/>
        </w:rPr>
        <w:t>权利人</w:t>
      </w:r>
      <w:r>
        <w:rPr>
          <w:rFonts w:ascii="Times New Roman" w:hAnsi="Times New Roman" w:cs="Times New Roman"/>
          <w:sz w:val="24"/>
          <w:szCs w:val="24"/>
        </w:rPr>
        <w:t>：</w:t>
      </w:r>
      <w:r>
        <w:rPr>
          <w:rFonts w:hint="eastAsia"/>
          <w:sz w:val="24"/>
          <w:szCs w:val="24"/>
        </w:rPr>
        <w:t>王曼华</w:t>
      </w:r>
      <w:r>
        <w:rPr>
          <w:rFonts w:hint="eastAsia" w:ascii="Times New Roman" w:hAnsi="Times New Roman" w:cs="Times New Roman"/>
          <w:sz w:val="24"/>
          <w:szCs w:val="24"/>
        </w:rPr>
        <w:t>；共有方式：单独所有；《房屋所有权证》：海房字第64606号；登记时间：</w:t>
      </w:r>
      <w:r>
        <w:rPr>
          <w:rFonts w:hint="eastAsia"/>
          <w:sz w:val="24"/>
          <w:szCs w:val="24"/>
        </w:rPr>
        <w:t>2015年7 月8 日</w:t>
      </w:r>
      <w:r>
        <w:rPr>
          <w:rFonts w:ascii="Times New Roman" w:hAnsi="Times New Roman" w:cs="Times New Roman"/>
          <w:sz w:val="24"/>
          <w:szCs w:val="24"/>
        </w:rPr>
        <w:t>。</w:t>
      </w:r>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2、土地基本状况</w:t>
      </w:r>
    </w:p>
    <w:p>
      <w:pPr>
        <w:pStyle w:val="7"/>
        <w:snapToGrid w:val="0"/>
        <w:ind w:firstLine="484" w:firstLineChars="202"/>
        <w:rPr>
          <w:rFonts w:ascii="Times New Roman" w:hAnsi="Times New Roman" w:cs="Times New Roman"/>
          <w:sz w:val="24"/>
          <w:szCs w:val="24"/>
        </w:rPr>
      </w:pPr>
      <w:r>
        <w:rPr>
          <w:rFonts w:ascii="Times New Roman" w:hAnsi="Times New Roman" w:cs="Times New Roman"/>
          <w:sz w:val="24"/>
          <w:szCs w:val="24"/>
        </w:rPr>
        <w:t>估价委托人提供了估价对象的</w:t>
      </w:r>
      <w:r>
        <w:rPr>
          <w:rFonts w:hint="eastAsia" w:ascii="Times New Roman" w:hAnsi="Times New Roman" w:cs="Times New Roman"/>
          <w:sz w:val="24"/>
          <w:szCs w:val="24"/>
        </w:rPr>
        <w:t>《土地登记信息查询情况说明》</w:t>
      </w:r>
      <w:r>
        <w:rPr>
          <w:rFonts w:ascii="Times New Roman" w:hAnsi="Times New Roman" w:cs="Times New Roman"/>
          <w:sz w:val="24"/>
          <w:szCs w:val="24"/>
        </w:rPr>
        <w:t>，</w:t>
      </w:r>
      <w:r>
        <w:rPr>
          <w:rFonts w:hint="eastAsia" w:ascii="Times New Roman" w:hAnsi="Times New Roman" w:cs="Times New Roman"/>
          <w:sz w:val="24"/>
          <w:szCs w:val="24"/>
        </w:rPr>
        <w:t>估价对象权利类型为国有建设用地使用权；土地使用权类型为划拨；土地用途为教育</w:t>
      </w:r>
      <w:r>
        <w:rPr>
          <w:rFonts w:ascii="Times New Roman" w:hAnsi="Times New Roman" w:cs="Times New Roman"/>
          <w:sz w:val="24"/>
          <w:szCs w:val="24"/>
        </w:rPr>
        <w:t>用地。估价对象土地形状较规则，开发程度达到</w:t>
      </w:r>
      <w:r>
        <w:rPr>
          <w:rFonts w:hint="eastAsia" w:ascii="Times New Roman" w:hAnsi="Times New Roman" w:cs="Times New Roman"/>
          <w:sz w:val="24"/>
          <w:szCs w:val="24"/>
        </w:rPr>
        <w:t>六</w:t>
      </w:r>
      <w:r>
        <w:rPr>
          <w:rFonts w:ascii="Times New Roman" w:hAnsi="Times New Roman" w:cs="Times New Roman"/>
          <w:sz w:val="24"/>
          <w:szCs w:val="24"/>
        </w:rPr>
        <w:t>通一平</w:t>
      </w:r>
      <w:r>
        <w:rPr>
          <w:rFonts w:hint="eastAsia" w:ascii="Times New Roman" w:hAnsi="Times New Roman" w:cs="Times New Roman"/>
          <w:sz w:val="24"/>
          <w:szCs w:val="24"/>
        </w:rPr>
        <w:t>，四至：</w:t>
      </w:r>
      <w:r>
        <w:rPr>
          <w:rFonts w:ascii="Times New Roman" w:hAnsi="Times New Roman" w:cs="Times New Roman"/>
          <w:sz w:val="22"/>
        </w:rPr>
        <w:t>至</w:t>
      </w:r>
      <w:r>
        <w:rPr>
          <w:rFonts w:hint="eastAsia" w:cs="Times New Roman"/>
          <w:sz w:val="22"/>
        </w:rPr>
        <w:t>邦墩西</w:t>
      </w:r>
      <w:r>
        <w:rPr>
          <w:rFonts w:ascii="Times New Roman" w:hAnsi="Times New Roman" w:cs="Times New Roman"/>
          <w:sz w:val="22"/>
        </w:rPr>
        <w:t>路，南至海</w:t>
      </w:r>
      <w:r>
        <w:rPr>
          <w:rFonts w:hint="eastAsia" w:cs="Times New Roman"/>
          <w:sz w:val="22"/>
        </w:rPr>
        <w:t>甸三西路</w:t>
      </w:r>
      <w:r>
        <w:rPr>
          <w:rFonts w:ascii="Times New Roman" w:hAnsi="Times New Roman" w:cs="Times New Roman"/>
          <w:sz w:val="22"/>
        </w:rPr>
        <w:t>，西至</w:t>
      </w:r>
      <w:r>
        <w:rPr>
          <w:rFonts w:hint="eastAsia" w:cs="Times New Roman"/>
          <w:sz w:val="22"/>
        </w:rPr>
        <w:t>甸昆</w:t>
      </w:r>
      <w:r>
        <w:rPr>
          <w:rFonts w:ascii="Times New Roman" w:hAnsi="Times New Roman" w:cs="Times New Roman"/>
          <w:sz w:val="22"/>
        </w:rPr>
        <w:t>路，北至</w:t>
      </w:r>
      <w:r>
        <w:rPr>
          <w:rFonts w:hint="eastAsia" w:cs="Times New Roman"/>
          <w:sz w:val="22"/>
        </w:rPr>
        <w:t>海甸五西路</w:t>
      </w:r>
      <w:r>
        <w:rPr>
          <w:rFonts w:ascii="Times New Roman" w:hAnsi="Times New Roman" w:cs="Times New Roman"/>
          <w:sz w:val="22"/>
        </w:rPr>
        <w:t>。</w:t>
      </w:r>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3、建筑物及附着物基本状况</w:t>
      </w:r>
    </w:p>
    <w:p>
      <w:pPr>
        <w:pStyle w:val="7"/>
        <w:snapToGrid w:val="0"/>
        <w:ind w:firstLine="480" w:firstLineChars="200"/>
        <w:rPr>
          <w:rFonts w:ascii="Times New Roman" w:hAnsi="Times New Roman" w:cs="Times New Roman"/>
          <w:sz w:val="24"/>
          <w:szCs w:val="24"/>
        </w:rPr>
      </w:pPr>
      <w:bookmarkStart w:id="15" w:name="_Toc491874785"/>
      <w:bookmarkStart w:id="16" w:name="_Toc5363"/>
      <w:r>
        <w:rPr>
          <w:rFonts w:ascii="Times New Roman" w:hAnsi="Times New Roman" w:cs="Times New Roman"/>
          <w:sz w:val="24"/>
          <w:szCs w:val="24"/>
        </w:rPr>
        <w:t>估价对象房屋</w:t>
      </w:r>
      <w:r>
        <w:rPr>
          <w:rFonts w:hint="eastAsia" w:ascii="Times New Roman" w:hAnsi="Times New Roman" w:cs="Times New Roman"/>
          <w:sz w:val="24"/>
          <w:szCs w:val="24"/>
        </w:rPr>
        <w:t>建筑面积：91.2平方米；</w:t>
      </w:r>
      <w:r>
        <w:rPr>
          <w:rFonts w:ascii="Times New Roman" w:hAnsi="Times New Roman" w:cs="Times New Roman"/>
          <w:sz w:val="24"/>
          <w:szCs w:val="24"/>
        </w:rPr>
        <w:t>用途：住宅。总楼层：</w:t>
      </w:r>
      <w:r>
        <w:rPr>
          <w:rFonts w:hint="eastAsia" w:ascii="Times New Roman" w:hAnsi="Times New Roman" w:cs="Times New Roman"/>
          <w:sz w:val="24"/>
          <w:szCs w:val="24"/>
        </w:rPr>
        <w:t>5</w:t>
      </w:r>
      <w:r>
        <w:rPr>
          <w:rFonts w:ascii="Times New Roman" w:hAnsi="Times New Roman" w:cs="Times New Roman"/>
          <w:sz w:val="24"/>
          <w:szCs w:val="24"/>
        </w:rPr>
        <w:t>层，估价对象所在楼层：第</w:t>
      </w:r>
      <w:r>
        <w:rPr>
          <w:rFonts w:hint="eastAsia" w:ascii="Times New Roman" w:hAnsi="Times New Roman" w:cs="Times New Roman"/>
          <w:sz w:val="24"/>
          <w:szCs w:val="24"/>
        </w:rPr>
        <w:t>4</w:t>
      </w:r>
      <w:r>
        <w:rPr>
          <w:rFonts w:ascii="Times New Roman" w:hAnsi="Times New Roman" w:cs="Times New Roman"/>
          <w:sz w:val="24"/>
          <w:szCs w:val="24"/>
        </w:rPr>
        <w:t>层；</w:t>
      </w:r>
      <w:r>
        <w:rPr>
          <w:rFonts w:hint="eastAsia" w:ascii="Times New Roman" w:hAnsi="Times New Roman" w:cs="Times New Roman"/>
          <w:sz w:val="24"/>
          <w:szCs w:val="24"/>
        </w:rPr>
        <w:t>建筑物为框架</w:t>
      </w:r>
      <w:r>
        <w:rPr>
          <w:rFonts w:ascii="Times New Roman" w:hAnsi="Times New Roman" w:cs="Times New Roman"/>
          <w:sz w:val="24"/>
          <w:szCs w:val="24"/>
        </w:rPr>
        <w:t>结构，房屋室内现为</w:t>
      </w:r>
      <w:r>
        <w:rPr>
          <w:rFonts w:hint="eastAsia" w:ascii="Times New Roman" w:hAnsi="Times New Roman" w:cs="Times New Roman"/>
          <w:sz w:val="24"/>
          <w:szCs w:val="24"/>
        </w:rPr>
        <w:t>普通</w:t>
      </w:r>
      <w:r>
        <w:rPr>
          <w:rFonts w:ascii="Times New Roman" w:hAnsi="Times New Roman" w:cs="Times New Roman"/>
          <w:sz w:val="24"/>
          <w:szCs w:val="24"/>
        </w:rPr>
        <w:t>装修水平</w:t>
      </w:r>
      <w:r>
        <w:rPr>
          <w:rFonts w:hint="eastAsia" w:ascii="Times New Roman" w:hAnsi="Times New Roman" w:cs="Times New Roman"/>
          <w:sz w:val="24"/>
          <w:szCs w:val="24"/>
        </w:rPr>
        <w:t>，水、电、通讯、楼梯、无消防设施，建筑物维护使用情况一般，房屋约于1990年建成，计算成新率50%。</w:t>
      </w:r>
    </w:p>
    <w:p>
      <w:pPr>
        <w:pStyle w:val="4"/>
        <w:rPr>
          <w:rFonts w:ascii="Times New Roman" w:hAnsi="Times New Roman"/>
          <w:sz w:val="24"/>
          <w:szCs w:val="24"/>
        </w:rPr>
      </w:pPr>
      <w:r>
        <w:rPr>
          <w:rFonts w:ascii="Times New Roman" w:hAnsi="Times New Roman"/>
          <w:sz w:val="24"/>
          <w:szCs w:val="24"/>
        </w:rPr>
        <w:t>（五）价值时点</w:t>
      </w:r>
      <w:bookmarkEnd w:id="15"/>
      <w:bookmarkEnd w:id="16"/>
    </w:p>
    <w:p>
      <w:pPr>
        <w:pStyle w:val="7"/>
        <w:snapToGrid w:val="0"/>
        <w:ind w:firstLine="527"/>
        <w:rPr>
          <w:rFonts w:ascii="Times New Roman" w:hAnsi="Times New Roman" w:cs="Times New Roman"/>
          <w:sz w:val="24"/>
          <w:szCs w:val="24"/>
        </w:rPr>
      </w:pPr>
      <w:r>
        <w:rPr>
          <w:rFonts w:ascii="Times New Roman" w:hAnsi="Times New Roman" w:cs="Times New Roman"/>
          <w:sz w:val="24"/>
          <w:szCs w:val="24"/>
        </w:rPr>
        <w:t>根据《</w:t>
      </w:r>
      <w:r>
        <w:rPr>
          <w:rFonts w:hint="eastAsia" w:ascii="宋体" w:hAnsi="宋体"/>
          <w:sz w:val="24"/>
          <w:szCs w:val="24"/>
        </w:rPr>
        <w:t>海口市琼山区人民法院司法评估委托书</w:t>
      </w:r>
      <w:r>
        <w:rPr>
          <w:rFonts w:ascii="Times New Roman" w:hAnsi="Times New Roman" w:cs="Times New Roman"/>
          <w:sz w:val="24"/>
          <w:szCs w:val="24"/>
        </w:rPr>
        <w:t>》</w:t>
      </w:r>
      <w:r>
        <w:rPr>
          <w:rFonts w:hint="eastAsia" w:ascii="Times New Roman" w:hAnsi="Times New Roman" w:cs="Times New Roman"/>
          <w:sz w:val="24"/>
          <w:szCs w:val="24"/>
        </w:rPr>
        <w:t>，</w:t>
      </w:r>
      <w:r>
        <w:rPr>
          <w:rFonts w:ascii="Times New Roman" w:hAnsi="Times New Roman" w:cs="Times New Roman"/>
          <w:sz w:val="24"/>
          <w:szCs w:val="24"/>
        </w:rPr>
        <w:t>以查勘之日作为本次价值时点，即</w:t>
      </w:r>
      <w:r>
        <w:rPr>
          <w:rFonts w:hint="eastAsia" w:ascii="宋体" w:hAnsi="宋体"/>
          <w:sz w:val="24"/>
          <w:szCs w:val="24"/>
        </w:rPr>
        <w:t>二○二二年四月二十日</w:t>
      </w:r>
      <w:r>
        <w:rPr>
          <w:rFonts w:ascii="Times New Roman" w:hAnsi="Times New Roman" w:cs="Times New Roman"/>
          <w:sz w:val="24"/>
          <w:szCs w:val="24"/>
        </w:rPr>
        <w:t>。</w:t>
      </w:r>
    </w:p>
    <w:p>
      <w:pPr>
        <w:pStyle w:val="4"/>
        <w:rPr>
          <w:rFonts w:ascii="Times New Roman" w:hAnsi="Times New Roman"/>
          <w:sz w:val="24"/>
          <w:szCs w:val="24"/>
        </w:rPr>
      </w:pPr>
      <w:bookmarkStart w:id="17" w:name="_Toc23931"/>
      <w:bookmarkStart w:id="18" w:name="_Toc491874786"/>
      <w:r>
        <w:rPr>
          <w:rFonts w:ascii="Times New Roman" w:hAnsi="Times New Roman"/>
          <w:sz w:val="24"/>
          <w:szCs w:val="24"/>
        </w:rPr>
        <w:t>（六）价值类型</w:t>
      </w:r>
      <w:bookmarkEnd w:id="17"/>
      <w:bookmarkEnd w:id="18"/>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本估价报告出具的</w:t>
      </w:r>
      <w:r>
        <w:rPr>
          <w:rFonts w:hint="eastAsia" w:ascii="Times New Roman" w:hAnsi="Times New Roman" w:cs="Times New Roman"/>
          <w:sz w:val="24"/>
          <w:szCs w:val="24"/>
        </w:rPr>
        <w:t>市场价值</w:t>
      </w:r>
      <w:r>
        <w:rPr>
          <w:rFonts w:ascii="Times New Roman" w:hAnsi="Times New Roman" w:cs="Times New Roman"/>
          <w:sz w:val="24"/>
          <w:szCs w:val="24"/>
        </w:rPr>
        <w:t>是指估价对象于价值时点</w:t>
      </w:r>
      <w:r>
        <w:rPr>
          <w:rFonts w:hint="eastAsia" w:ascii="Times New Roman" w:hAnsi="Times New Roman" w:cs="Times New Roman"/>
          <w:sz w:val="24"/>
          <w:szCs w:val="24"/>
        </w:rPr>
        <w:t>二〇二二年四月二十日，</w:t>
      </w:r>
      <w:r>
        <w:rPr>
          <w:rFonts w:ascii="Times New Roman" w:hAnsi="Times New Roman" w:cs="Times New Roman"/>
          <w:sz w:val="24"/>
          <w:szCs w:val="24"/>
        </w:rPr>
        <w:t>符合前述假设和限制条件下、最高最佳利用情况下所能体现的价值。</w:t>
      </w:r>
    </w:p>
    <w:p>
      <w:pPr>
        <w:pStyle w:val="4"/>
        <w:rPr>
          <w:rFonts w:ascii="Times New Roman" w:hAnsi="Times New Roman"/>
          <w:sz w:val="24"/>
          <w:szCs w:val="24"/>
        </w:rPr>
      </w:pPr>
      <w:bookmarkStart w:id="19" w:name="_Toc2599"/>
      <w:bookmarkStart w:id="20" w:name="_Toc491874787"/>
      <w:r>
        <w:rPr>
          <w:rFonts w:ascii="Times New Roman" w:hAnsi="Times New Roman"/>
          <w:sz w:val="24"/>
          <w:szCs w:val="24"/>
        </w:rPr>
        <w:t>（七）估价原则</w:t>
      </w:r>
      <w:bookmarkEnd w:id="19"/>
      <w:bookmarkEnd w:id="20"/>
    </w:p>
    <w:p>
      <w:pPr>
        <w:pStyle w:val="11"/>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本次估价以独立、客观、公正为工作原则，以合法原则、价值时点原则、最高最佳利用原则、替代原则为操作性原则。</w:t>
      </w:r>
    </w:p>
    <w:p>
      <w:pPr>
        <w:pStyle w:val="11"/>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1、独立、客观、公正原则</w:t>
      </w:r>
    </w:p>
    <w:p>
      <w:pPr>
        <w:pStyle w:val="11"/>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要求注册房地产估价师和房地产估价机构站在中立的立场上，实事求是、公平正直地评估出对各方利害关系人均是公平合理的价值或价格。</w:t>
      </w:r>
    </w:p>
    <w:p>
      <w:pPr>
        <w:pStyle w:val="11"/>
        <w:numPr>
          <w:ilvl w:val="0"/>
          <w:numId w:val="2"/>
        </w:numPr>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合法原则</w:t>
      </w:r>
    </w:p>
    <w:p>
      <w:pPr>
        <w:pStyle w:val="11"/>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要求评估价值是在依法判定的估价对象状况下的价值或价格的原则。</w:t>
      </w:r>
    </w:p>
    <w:p>
      <w:pPr>
        <w:pStyle w:val="11"/>
        <w:numPr>
          <w:ilvl w:val="0"/>
          <w:numId w:val="2"/>
        </w:numPr>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价值时点原则</w:t>
      </w:r>
    </w:p>
    <w:p>
      <w:pPr>
        <w:pStyle w:val="11"/>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评估价值应是估价对象在根据估价目的确定的某一特定时间的价值或价格。</w:t>
      </w:r>
    </w:p>
    <w:p>
      <w:pPr>
        <w:pStyle w:val="11"/>
        <w:numPr>
          <w:ilvl w:val="0"/>
          <w:numId w:val="2"/>
        </w:numPr>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替代原则</w:t>
      </w:r>
    </w:p>
    <w:p>
      <w:pPr>
        <w:pStyle w:val="11"/>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评估价值与估价对象的类似房地产在同等条件下的价值或价格差应在合理范围内。</w:t>
      </w:r>
    </w:p>
    <w:p>
      <w:pPr>
        <w:pStyle w:val="11"/>
        <w:numPr>
          <w:ilvl w:val="0"/>
          <w:numId w:val="2"/>
        </w:numPr>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最高最佳利用原则</w:t>
      </w:r>
    </w:p>
    <w:p>
      <w:pPr>
        <w:pStyle w:val="11"/>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房地产在法律上允许、技术上可能、财务上可行并使价值最大化的合理、可能的利用，包括最佳的用途、规模、档次等。</w:t>
      </w:r>
    </w:p>
    <w:p>
      <w:pPr>
        <w:pStyle w:val="4"/>
        <w:rPr>
          <w:rFonts w:ascii="Times New Roman" w:hAnsi="Times New Roman"/>
          <w:sz w:val="24"/>
          <w:szCs w:val="24"/>
        </w:rPr>
      </w:pPr>
      <w:bookmarkStart w:id="21" w:name="_Toc491874788"/>
      <w:bookmarkStart w:id="22" w:name="_Toc301"/>
      <w:r>
        <w:rPr>
          <w:rFonts w:ascii="Times New Roman" w:hAnsi="Times New Roman"/>
          <w:sz w:val="24"/>
          <w:szCs w:val="24"/>
        </w:rPr>
        <w:t>（八）估价依据</w:t>
      </w:r>
      <w:bookmarkEnd w:id="21"/>
      <w:bookmarkEnd w:id="22"/>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本次评估依据国家、海南省及海口市人民政府及其有关部门颁布的法律规定和政策性文件以及评估房地产的具体资料，主要有：</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1、法律、法规和政策文件</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（1）《中华人民共和国城市房地产管理法》（主席令第</w:t>
      </w:r>
      <w:r>
        <w:rPr>
          <w:rFonts w:hint="eastAsia" w:ascii="Times New Roman" w:hAnsi="Times New Roman" w:cs="Times New Roman"/>
          <w:sz w:val="24"/>
          <w:szCs w:val="24"/>
        </w:rPr>
        <w:t>32</w:t>
      </w:r>
      <w:r>
        <w:rPr>
          <w:rFonts w:ascii="Times New Roman" w:hAnsi="Times New Roman" w:cs="Times New Roman"/>
          <w:sz w:val="24"/>
          <w:szCs w:val="24"/>
        </w:rPr>
        <w:t>号20</w:t>
      </w:r>
      <w:r>
        <w:rPr>
          <w:rFonts w:hint="eastAsia" w:ascii="Times New Roman" w:hAnsi="Times New Roman" w:cs="Times New Roman"/>
          <w:sz w:val="24"/>
          <w:szCs w:val="24"/>
        </w:rPr>
        <w:t>19</w:t>
      </w:r>
      <w:r>
        <w:rPr>
          <w:rFonts w:ascii="Times New Roman" w:hAnsi="Times New Roman" w:cs="Times New Roman"/>
          <w:sz w:val="24"/>
          <w:szCs w:val="24"/>
        </w:rPr>
        <w:t>年8月</w:t>
      </w:r>
      <w:r>
        <w:rPr>
          <w:rFonts w:hint="eastAsia" w:ascii="Times New Roman" w:hAnsi="Times New Roman" w:cs="Times New Roman"/>
          <w:sz w:val="24"/>
          <w:szCs w:val="24"/>
        </w:rPr>
        <w:t>26</w:t>
      </w:r>
      <w:r>
        <w:rPr>
          <w:rFonts w:ascii="Times New Roman" w:hAnsi="Times New Roman" w:cs="Times New Roman"/>
          <w:sz w:val="24"/>
          <w:szCs w:val="24"/>
        </w:rPr>
        <w:t>日修订）；</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（2）《中华人民共和国土地管理法》（主席令第</w:t>
      </w:r>
      <w:r>
        <w:rPr>
          <w:rFonts w:hint="eastAsia" w:ascii="Times New Roman" w:hAnsi="Times New Roman" w:cs="Times New Roman"/>
          <w:sz w:val="24"/>
          <w:szCs w:val="24"/>
        </w:rPr>
        <w:t>32</w:t>
      </w:r>
      <w:r>
        <w:rPr>
          <w:rFonts w:ascii="Times New Roman" w:hAnsi="Times New Roman" w:cs="Times New Roman"/>
          <w:sz w:val="24"/>
          <w:szCs w:val="24"/>
        </w:rPr>
        <w:t>号20</w:t>
      </w:r>
      <w:r>
        <w:rPr>
          <w:rFonts w:hint="eastAsia" w:ascii="Times New Roman" w:hAnsi="Times New Roman" w:cs="Times New Roman"/>
          <w:sz w:val="24"/>
          <w:szCs w:val="24"/>
        </w:rPr>
        <w:t>19</w:t>
      </w:r>
      <w:r>
        <w:rPr>
          <w:rFonts w:ascii="Times New Roman" w:hAnsi="Times New Roman" w:cs="Times New Roman"/>
          <w:sz w:val="24"/>
          <w:szCs w:val="24"/>
        </w:rPr>
        <w:t>年8月2</w:t>
      </w:r>
      <w:r>
        <w:rPr>
          <w:rFonts w:hint="eastAsia" w:ascii="Times New Roman" w:hAnsi="Times New Roman" w:cs="Times New Roman"/>
          <w:sz w:val="24"/>
          <w:szCs w:val="24"/>
        </w:rPr>
        <w:t>6</w:t>
      </w:r>
      <w:r>
        <w:rPr>
          <w:rFonts w:ascii="Times New Roman" w:hAnsi="Times New Roman" w:cs="Times New Roman"/>
          <w:sz w:val="24"/>
          <w:szCs w:val="24"/>
        </w:rPr>
        <w:t>日修订）；</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（3）《中华人民共和国物权法》（主席令第62号2007年10月1日起实施）；</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（4）《中华人民共和国城乡规划法》（主席令第74号</w:t>
      </w:r>
      <w:r>
        <w:rPr>
          <w:rFonts w:hint="eastAsia" w:ascii="Times New Roman" w:hAnsi="Times New Roman" w:cs="Times New Roman"/>
          <w:sz w:val="24"/>
          <w:szCs w:val="24"/>
        </w:rPr>
        <w:t>，2019年4月23日第二次修订</w:t>
      </w:r>
      <w:r>
        <w:rPr>
          <w:rFonts w:ascii="Times New Roman" w:hAnsi="Times New Roman" w:cs="Times New Roman"/>
          <w:sz w:val="24"/>
          <w:szCs w:val="24"/>
        </w:rPr>
        <w:t>实施）</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5</w:t>
      </w:r>
      <w:r>
        <w:rPr>
          <w:rFonts w:ascii="Times New Roman" w:hAnsi="Times New Roman" w:cs="Times New Roman"/>
          <w:sz w:val="24"/>
          <w:szCs w:val="24"/>
        </w:rPr>
        <w:t>）《中华人民共和国城市维护建设税暂行条例》（国发[1985]19号，国务院于1985年2月8日颁布，自颁布之日起施行）。</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6</w:t>
      </w:r>
      <w:r>
        <w:rPr>
          <w:rFonts w:ascii="Times New Roman" w:hAnsi="Times New Roman" w:cs="Times New Roman"/>
          <w:sz w:val="24"/>
          <w:szCs w:val="24"/>
        </w:rPr>
        <w:t>）《海南经济特区土地管理条例》（1994年6月24日海南省第一届人民代表大会常务委员会第九次会议通过，根据2014年9月26日海南省第五届人民代表大会常务委员会第十次会议《海南省人民代表大会常务委员会关于修改〈海南经济特区土地管理条例〉的决定》第四次修正，自2014年11月1日起施行）。</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（7）《中华人民共和国资产评估法》（中华人民共和国主席令第四十六号2016年12月1日起施行）。</w:t>
      </w:r>
    </w:p>
    <w:p>
      <w:pPr>
        <w:pStyle w:val="11"/>
        <w:tabs>
          <w:tab w:val="left" w:pos="105"/>
        </w:tabs>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2、技术规程</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（1）《房地产估价规范》（GB/T50291-2015）；</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（2）《房地产估价基本术语标准》（GB/T50899-2013）；</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（3）《房地产估价报告评审标准（试行）》（2011年6月起试用）</w:t>
      </w:r>
      <w:r>
        <w:rPr>
          <w:rFonts w:hint="eastAsia" w:ascii="Times New Roman" w:hAnsi="Times New Roman" w:cs="Times New Roman"/>
          <w:sz w:val="24"/>
          <w:szCs w:val="24"/>
        </w:rPr>
        <w:t>；</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（4）关于印发《涉执房地产处置司法评估指导意见（试行）的通知》（中房学（2021）37号）。</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3、估价委托人提供的资料</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《不动产登记信息查询情况说明》</w:t>
      </w:r>
      <w:r>
        <w:rPr>
          <w:rFonts w:ascii="Times New Roman" w:hAnsi="Times New Roman" w:cs="Times New Roman"/>
          <w:sz w:val="24"/>
          <w:szCs w:val="24"/>
        </w:rPr>
        <w:t>；</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海口市琼山区人民法院司法鉴定委托书</w:t>
      </w:r>
      <w:r>
        <w:rPr>
          <w:rFonts w:ascii="Times New Roman" w:hAnsi="Times New Roman" w:cs="Times New Roman"/>
          <w:sz w:val="24"/>
          <w:szCs w:val="24"/>
        </w:rPr>
        <w:t>》；</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（3）《房屋所有权证》；</w:t>
      </w:r>
    </w:p>
    <w:p>
      <w:pPr>
        <w:pStyle w:val="11"/>
        <w:numPr>
          <w:ilvl w:val="255"/>
          <w:numId w:val="0"/>
        </w:numPr>
        <w:tabs>
          <w:tab w:val="left" w:pos="105"/>
        </w:tabs>
        <w:snapToGrid w:val="0"/>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（4）《土地登记信息查询情况说明》。</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4、其他资料</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（1）估价人员对估价对象有关权属等资料的了解；</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（2）估价人员对估价对象现场勘察记录；</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（3）估价人员对估价对象有关的市场调查记录；</w:t>
      </w:r>
    </w:p>
    <w:p>
      <w:pPr>
        <w:pStyle w:val="11"/>
        <w:tabs>
          <w:tab w:val="left" w:pos="105"/>
        </w:tabs>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（4）其他与本次估价取价相关的资料。</w:t>
      </w:r>
    </w:p>
    <w:p>
      <w:pPr>
        <w:pStyle w:val="4"/>
        <w:rPr>
          <w:rFonts w:ascii="Times New Roman" w:hAnsi="Times New Roman"/>
          <w:sz w:val="24"/>
          <w:szCs w:val="24"/>
        </w:rPr>
      </w:pPr>
      <w:bookmarkStart w:id="23" w:name="_Toc3893"/>
      <w:bookmarkStart w:id="24" w:name="_Toc491874789"/>
      <w:r>
        <w:rPr>
          <w:rFonts w:ascii="Times New Roman" w:hAnsi="Times New Roman"/>
          <w:sz w:val="24"/>
          <w:szCs w:val="24"/>
        </w:rPr>
        <w:t>（九）估价方法</w:t>
      </w:r>
      <w:bookmarkEnd w:id="23"/>
      <w:bookmarkEnd w:id="24"/>
      <w:r>
        <w:rPr>
          <w:rFonts w:ascii="Times New Roman" w:hAnsi="Times New Roman"/>
          <w:sz w:val="24"/>
          <w:szCs w:val="24"/>
        </w:rPr>
        <w:t xml:space="preserve"> </w:t>
      </w:r>
    </w:p>
    <w:p>
      <w:pPr>
        <w:pStyle w:val="7"/>
        <w:snapToGrid w:val="0"/>
        <w:ind w:firstLine="480" w:firstLineChars="200"/>
        <w:rPr>
          <w:rFonts w:ascii="Times New Roman" w:hAnsi="Times New Roman" w:cs="Times New Roman"/>
          <w:sz w:val="24"/>
          <w:szCs w:val="24"/>
        </w:rPr>
      </w:pPr>
      <w:bookmarkStart w:id="25" w:name="_Toc27528"/>
      <w:bookmarkStart w:id="26" w:name="_Toc491874790"/>
      <w:r>
        <w:rPr>
          <w:rFonts w:ascii="Times New Roman" w:hAnsi="Times New Roman" w:cs="Times New Roman"/>
          <w:sz w:val="24"/>
          <w:szCs w:val="24"/>
        </w:rPr>
        <w:t>本次估价选择了比较法对估价对象价值进行评估。</w:t>
      </w:r>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比较法是指选取一定数量的可比实例，将它们与估价对象进行比较，根据其间的差异对可比实例成交价格进行处理后得到估价对象价值或价格的方法。</w:t>
      </w:r>
    </w:p>
    <w:p>
      <w:pPr>
        <w:pStyle w:val="4"/>
        <w:rPr>
          <w:rFonts w:ascii="Times New Roman" w:hAnsi="Times New Roman"/>
          <w:sz w:val="24"/>
          <w:szCs w:val="24"/>
        </w:rPr>
      </w:pPr>
      <w:r>
        <w:rPr>
          <w:rFonts w:ascii="Times New Roman" w:hAnsi="Times New Roman"/>
          <w:sz w:val="24"/>
          <w:szCs w:val="24"/>
        </w:rPr>
        <w:t>（十）估价结果</w:t>
      </w:r>
      <w:bookmarkEnd w:id="25"/>
      <w:bookmarkEnd w:id="26"/>
    </w:p>
    <w:p>
      <w:pPr>
        <w:adjustRightInd w:val="0"/>
        <w:snapToGrid w:val="0"/>
        <w:spacing w:line="500" w:lineRule="exact"/>
        <w:ind w:firstLine="480" w:firstLineChars="200"/>
        <w:rPr>
          <w:sz w:val="24"/>
          <w:szCs w:val="24"/>
        </w:rPr>
      </w:pPr>
      <w:bookmarkStart w:id="27" w:name="_Toc29131"/>
      <w:r>
        <w:rPr>
          <w:sz w:val="24"/>
          <w:szCs w:val="24"/>
        </w:rPr>
        <w:t>经过市场调查和实地查勘，根据相关资料和有关政策法规，并遵循房地产估价原则，选用比较法确定委托评估物业在价值时点</w:t>
      </w:r>
      <w:r>
        <w:rPr>
          <w:rFonts w:hint="eastAsia"/>
          <w:b/>
          <w:sz w:val="24"/>
          <w:szCs w:val="24"/>
        </w:rPr>
        <w:t>二〇二</w:t>
      </w:r>
      <w:r>
        <w:rPr>
          <w:b/>
          <w:sz w:val="24"/>
          <w:szCs w:val="24"/>
        </w:rPr>
        <w:t>二年</w:t>
      </w:r>
      <w:r>
        <w:rPr>
          <w:rFonts w:hint="eastAsia"/>
          <w:b/>
          <w:sz w:val="24"/>
          <w:szCs w:val="24"/>
        </w:rPr>
        <w:t>四月二十日</w:t>
      </w:r>
      <w:r>
        <w:rPr>
          <w:sz w:val="24"/>
          <w:szCs w:val="24"/>
        </w:rPr>
        <w:t>的</w:t>
      </w:r>
      <w:r>
        <w:rPr>
          <w:rFonts w:hint="eastAsia"/>
          <w:sz w:val="24"/>
          <w:szCs w:val="24"/>
        </w:rPr>
        <w:t>评估总值</w:t>
      </w:r>
      <w:r>
        <w:rPr>
          <w:sz w:val="24"/>
          <w:szCs w:val="24"/>
        </w:rPr>
        <w:t>为</w:t>
      </w:r>
      <w:r>
        <w:rPr>
          <w:rFonts w:hint="eastAsia"/>
          <w:b/>
          <w:sz w:val="24"/>
          <w:szCs w:val="24"/>
        </w:rPr>
        <w:t>1,011,408</w:t>
      </w:r>
      <w:r>
        <w:rPr>
          <w:sz w:val="24"/>
          <w:szCs w:val="24"/>
        </w:rPr>
        <w:t>元</w:t>
      </w:r>
      <w:r>
        <w:rPr>
          <w:rFonts w:hint="eastAsia"/>
          <w:sz w:val="24"/>
          <w:szCs w:val="24"/>
        </w:rPr>
        <w:t>（取整至个位）</w:t>
      </w:r>
      <w:r>
        <w:rPr>
          <w:sz w:val="24"/>
          <w:szCs w:val="24"/>
        </w:rPr>
        <w:t>，大写人民币</w:t>
      </w:r>
      <w:r>
        <w:rPr>
          <w:b/>
          <w:bCs/>
          <w:sz w:val="24"/>
          <w:szCs w:val="24"/>
          <w:u w:val="single"/>
        </w:rPr>
        <w:fldChar w:fldCharType="begin"/>
      </w:r>
      <w:r>
        <w:rPr>
          <w:b/>
          <w:bCs/>
          <w:sz w:val="24"/>
          <w:szCs w:val="24"/>
          <w:u w:val="single"/>
        </w:rPr>
        <w:instrText xml:space="preserve"> = 412220 \* CHINESENUM2 </w:instrText>
      </w:r>
      <w:r>
        <w:rPr>
          <w:b/>
          <w:bCs/>
          <w:sz w:val="24"/>
          <w:szCs w:val="24"/>
          <w:u w:val="single"/>
        </w:rPr>
        <w:fldChar w:fldCharType="separate"/>
      </w:r>
      <w:r>
        <w:rPr>
          <w:rFonts w:hint="eastAsia"/>
          <w:b/>
          <w:bCs/>
          <w:sz w:val="24"/>
          <w:szCs w:val="24"/>
          <w:u w:val="single"/>
        </w:rPr>
        <w:t>壹佰零壹万捌仟柒佰零肆元整</w:t>
      </w:r>
      <w:r>
        <w:rPr>
          <w:b/>
          <w:bCs/>
          <w:sz w:val="24"/>
          <w:szCs w:val="24"/>
          <w:u w:val="single"/>
        </w:rPr>
        <w:fldChar w:fldCharType="end"/>
      </w:r>
      <w:r>
        <w:rPr>
          <w:sz w:val="24"/>
          <w:szCs w:val="24"/>
        </w:rPr>
        <w:t>元整，详见评估结果明细表。</w:t>
      </w:r>
    </w:p>
    <w:p>
      <w:pPr>
        <w:tabs>
          <w:tab w:val="left" w:pos="4935"/>
          <w:tab w:val="left" w:pos="5040"/>
          <w:tab w:val="left" w:pos="5145"/>
          <w:tab w:val="left" w:pos="5670"/>
        </w:tabs>
        <w:snapToGrid w:val="0"/>
        <w:spacing w:line="360" w:lineRule="auto"/>
        <w:jc w:val="center"/>
        <w:rPr>
          <w:b/>
          <w:sz w:val="24"/>
          <w:szCs w:val="24"/>
        </w:rPr>
      </w:pPr>
      <w:r>
        <w:rPr>
          <w:b/>
          <w:sz w:val="24"/>
          <w:szCs w:val="24"/>
        </w:rPr>
        <w:t>评估结果明细表</w:t>
      </w:r>
    </w:p>
    <w:tbl>
      <w:tblPr>
        <w:tblStyle w:val="28"/>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188"/>
        <w:gridCol w:w="1917"/>
        <w:gridCol w:w="1458"/>
        <w:gridCol w:w="1815"/>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524" w:type="dxa"/>
            <w:vAlign w:val="center"/>
          </w:tcPr>
          <w:p>
            <w:pPr>
              <w:spacing w:line="240" w:lineRule="exact"/>
              <w:jc w:val="center"/>
              <w:rPr>
                <w:b/>
                <w:szCs w:val="21"/>
              </w:rPr>
            </w:pPr>
            <w:r>
              <w:rPr>
                <w:b/>
                <w:szCs w:val="21"/>
              </w:rPr>
              <w:t>序号</w:t>
            </w:r>
          </w:p>
        </w:tc>
        <w:tc>
          <w:tcPr>
            <w:tcW w:w="1188" w:type="dxa"/>
            <w:vAlign w:val="center"/>
          </w:tcPr>
          <w:p>
            <w:pPr>
              <w:spacing w:line="240" w:lineRule="exact"/>
              <w:jc w:val="center"/>
              <w:rPr>
                <w:b/>
                <w:szCs w:val="21"/>
              </w:rPr>
            </w:pPr>
            <w:r>
              <w:rPr>
                <w:b/>
                <w:szCs w:val="21"/>
              </w:rPr>
              <w:t>证载权利人</w:t>
            </w:r>
          </w:p>
        </w:tc>
        <w:tc>
          <w:tcPr>
            <w:tcW w:w="1917" w:type="dxa"/>
            <w:vAlign w:val="center"/>
          </w:tcPr>
          <w:p>
            <w:pPr>
              <w:spacing w:line="240" w:lineRule="exact"/>
              <w:jc w:val="center"/>
              <w:rPr>
                <w:b/>
                <w:szCs w:val="21"/>
              </w:rPr>
            </w:pPr>
            <w:r>
              <w:rPr>
                <w:b/>
                <w:szCs w:val="21"/>
              </w:rPr>
              <w:t>物业名称</w:t>
            </w:r>
          </w:p>
        </w:tc>
        <w:tc>
          <w:tcPr>
            <w:tcW w:w="1458" w:type="dxa"/>
            <w:vAlign w:val="center"/>
          </w:tcPr>
          <w:p>
            <w:pPr>
              <w:spacing w:line="240" w:lineRule="exact"/>
              <w:jc w:val="center"/>
              <w:rPr>
                <w:b/>
                <w:szCs w:val="21"/>
              </w:rPr>
            </w:pPr>
            <w:r>
              <w:rPr>
                <w:b/>
                <w:szCs w:val="21"/>
              </w:rPr>
              <w:t>建筑面积（㎡）</w:t>
            </w:r>
          </w:p>
        </w:tc>
        <w:tc>
          <w:tcPr>
            <w:tcW w:w="1815" w:type="dxa"/>
            <w:vAlign w:val="center"/>
          </w:tcPr>
          <w:p>
            <w:pPr>
              <w:spacing w:line="240" w:lineRule="exact"/>
              <w:jc w:val="center"/>
              <w:rPr>
                <w:b/>
                <w:szCs w:val="21"/>
              </w:rPr>
            </w:pPr>
            <w:r>
              <w:rPr>
                <w:rFonts w:hint="eastAsia"/>
                <w:b/>
                <w:szCs w:val="21"/>
              </w:rPr>
              <w:t>评估单价（元/㎡）</w:t>
            </w:r>
          </w:p>
        </w:tc>
        <w:tc>
          <w:tcPr>
            <w:tcW w:w="2166" w:type="dxa"/>
            <w:vAlign w:val="center"/>
          </w:tcPr>
          <w:p>
            <w:pPr>
              <w:spacing w:line="240" w:lineRule="exact"/>
              <w:jc w:val="center"/>
              <w:rPr>
                <w:b/>
                <w:szCs w:val="21"/>
              </w:rPr>
            </w:pPr>
            <w:r>
              <w:rPr>
                <w:rFonts w:hint="eastAsia" w:ascii="宋体" w:hAnsi="宋体"/>
                <w:b/>
                <w:bCs/>
                <w:spacing w:val="-6"/>
              </w:rPr>
              <w:t>评估总值</w:t>
            </w:r>
            <w:r>
              <w:rPr>
                <w:b/>
                <w:bCs/>
                <w:spacing w:val="-6"/>
              </w:rPr>
              <w:t xml:space="preserve">             (</w:t>
            </w:r>
            <w:r>
              <w:rPr>
                <w:rFonts w:ascii="宋体" w:hAnsi="宋体"/>
                <w:b/>
                <w:bCs/>
                <w:spacing w:val="-6"/>
              </w:rPr>
              <w:t>元</w:t>
            </w:r>
            <w:r>
              <w:rPr>
                <w:b/>
                <w:bCs/>
                <w:spacing w:val="-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524" w:type="dxa"/>
            <w:vAlign w:val="center"/>
          </w:tcPr>
          <w:p>
            <w:pPr>
              <w:widowControl/>
              <w:jc w:val="center"/>
              <w:textAlignment w:val="center"/>
              <w:rPr>
                <w:szCs w:val="21"/>
              </w:rPr>
            </w:pPr>
            <w:r>
              <w:rPr>
                <w:color w:val="000000"/>
                <w:kern w:val="0"/>
                <w:szCs w:val="21"/>
                <w:lang w:bidi="ar"/>
              </w:rPr>
              <w:t>1</w:t>
            </w:r>
          </w:p>
        </w:tc>
        <w:tc>
          <w:tcPr>
            <w:tcW w:w="1188" w:type="dxa"/>
            <w:vAlign w:val="center"/>
          </w:tcPr>
          <w:p>
            <w:pPr>
              <w:widowControl/>
              <w:jc w:val="center"/>
              <w:textAlignment w:val="center"/>
              <w:rPr>
                <w:szCs w:val="21"/>
              </w:rPr>
            </w:pPr>
            <w:r>
              <w:rPr>
                <w:rFonts w:hint="eastAsia" w:ascii="宋体" w:hAnsi="宋体" w:cs="宋体"/>
                <w:color w:val="000000"/>
                <w:kern w:val="0"/>
                <w:szCs w:val="21"/>
                <w:lang w:bidi="ar"/>
              </w:rPr>
              <w:t>王曼华</w:t>
            </w:r>
          </w:p>
        </w:tc>
        <w:tc>
          <w:tcPr>
            <w:tcW w:w="1917" w:type="dxa"/>
            <w:vAlign w:val="center"/>
          </w:tcPr>
          <w:p>
            <w:pPr>
              <w:widowControl/>
              <w:jc w:val="center"/>
              <w:textAlignment w:val="center"/>
              <w:rPr>
                <w:szCs w:val="21"/>
              </w:rPr>
            </w:pPr>
            <w:r>
              <w:rPr>
                <w:rFonts w:hint="eastAsia" w:ascii="宋体" w:hAnsi="宋体" w:cs="宋体"/>
                <w:color w:val="000000"/>
                <w:kern w:val="0"/>
                <w:szCs w:val="21"/>
                <w:lang w:bidi="ar"/>
              </w:rPr>
              <w:t>海口市人民路沿江三西街</w:t>
            </w:r>
            <w:r>
              <w:rPr>
                <w:rStyle w:val="145"/>
                <w:lang w:bidi="ar"/>
              </w:rPr>
              <w:t>13</w:t>
            </w:r>
            <w:r>
              <w:rPr>
                <w:rStyle w:val="146"/>
                <w:rFonts w:hint="default"/>
                <w:lang w:bidi="ar"/>
              </w:rPr>
              <w:t>号海南大学</w:t>
            </w:r>
            <w:r>
              <w:rPr>
                <w:rStyle w:val="145"/>
                <w:lang w:bidi="ar"/>
              </w:rPr>
              <w:t>40</w:t>
            </w:r>
            <w:r>
              <w:rPr>
                <w:rStyle w:val="146"/>
                <w:rFonts w:hint="default"/>
                <w:lang w:bidi="ar"/>
              </w:rPr>
              <w:t>栋</w:t>
            </w:r>
            <w:r>
              <w:rPr>
                <w:rStyle w:val="145"/>
                <w:lang w:bidi="ar"/>
              </w:rPr>
              <w:t>401</w:t>
            </w:r>
            <w:r>
              <w:rPr>
                <w:rStyle w:val="146"/>
                <w:rFonts w:hint="default"/>
                <w:lang w:bidi="ar"/>
              </w:rPr>
              <w:t>房</w:t>
            </w:r>
          </w:p>
        </w:tc>
        <w:tc>
          <w:tcPr>
            <w:tcW w:w="1458" w:type="dxa"/>
            <w:vAlign w:val="center"/>
          </w:tcPr>
          <w:p>
            <w:pPr>
              <w:widowControl/>
              <w:jc w:val="center"/>
              <w:textAlignment w:val="center"/>
              <w:rPr>
                <w:szCs w:val="21"/>
              </w:rPr>
            </w:pPr>
            <w:r>
              <w:rPr>
                <w:color w:val="000000"/>
                <w:kern w:val="0"/>
                <w:szCs w:val="21"/>
                <w:lang w:bidi="ar"/>
              </w:rPr>
              <w:t>91.2</w:t>
            </w:r>
          </w:p>
        </w:tc>
        <w:tc>
          <w:tcPr>
            <w:tcW w:w="1815" w:type="dxa"/>
            <w:vAlign w:val="center"/>
          </w:tcPr>
          <w:p>
            <w:pPr>
              <w:widowControl/>
              <w:jc w:val="center"/>
              <w:textAlignment w:val="center"/>
              <w:rPr>
                <w:szCs w:val="21"/>
              </w:rPr>
            </w:pPr>
            <w:r>
              <w:rPr>
                <w:rFonts w:hint="eastAsia"/>
                <w:b/>
                <w:bCs/>
                <w:color w:val="000000"/>
                <w:kern w:val="0"/>
                <w:sz w:val="24"/>
                <w:szCs w:val="24"/>
                <w:lang w:bidi="ar"/>
              </w:rPr>
              <w:t>11,090</w:t>
            </w:r>
          </w:p>
        </w:tc>
        <w:tc>
          <w:tcPr>
            <w:tcW w:w="2166" w:type="dxa"/>
            <w:vAlign w:val="center"/>
          </w:tcPr>
          <w:p>
            <w:pPr>
              <w:widowControl/>
              <w:jc w:val="center"/>
              <w:textAlignment w:val="center"/>
              <w:rPr>
                <w:szCs w:val="21"/>
              </w:rPr>
            </w:pPr>
            <w:r>
              <w:rPr>
                <w:rFonts w:hint="eastAsia"/>
                <w:b/>
                <w:bCs/>
                <w:color w:val="000000"/>
                <w:kern w:val="0"/>
                <w:sz w:val="24"/>
                <w:szCs w:val="24"/>
                <w:lang w:bidi="ar"/>
              </w:rPr>
              <w:t>1,011,408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9" w:type="dxa"/>
            <w:gridSpan w:val="3"/>
            <w:vAlign w:val="center"/>
          </w:tcPr>
          <w:p>
            <w:pPr>
              <w:widowControl/>
              <w:jc w:val="center"/>
              <w:textAlignment w:val="center"/>
              <w:rPr>
                <w:b/>
                <w:szCs w:val="21"/>
              </w:rPr>
            </w:pPr>
            <w:r>
              <w:rPr>
                <w:rFonts w:hint="eastAsia" w:ascii="宋体" w:hAnsi="宋体" w:cs="宋体"/>
                <w:b/>
                <w:bCs/>
                <w:color w:val="000000"/>
                <w:kern w:val="0"/>
                <w:szCs w:val="21"/>
                <w:lang w:bidi="ar"/>
              </w:rPr>
              <w:t>合计</w:t>
            </w:r>
          </w:p>
        </w:tc>
        <w:tc>
          <w:tcPr>
            <w:tcW w:w="1458" w:type="dxa"/>
            <w:vAlign w:val="center"/>
          </w:tcPr>
          <w:p>
            <w:pPr>
              <w:widowControl/>
              <w:jc w:val="center"/>
              <w:textAlignment w:val="center"/>
              <w:rPr>
                <w:b/>
                <w:szCs w:val="21"/>
              </w:rPr>
            </w:pPr>
            <w:r>
              <w:rPr>
                <w:b/>
                <w:bCs/>
                <w:color w:val="000000"/>
                <w:kern w:val="0"/>
                <w:szCs w:val="21"/>
                <w:lang w:bidi="ar"/>
              </w:rPr>
              <w:t>91.2</w:t>
            </w:r>
          </w:p>
        </w:tc>
        <w:tc>
          <w:tcPr>
            <w:tcW w:w="1815" w:type="dxa"/>
            <w:vAlign w:val="center"/>
          </w:tcPr>
          <w:p>
            <w:pPr>
              <w:jc w:val="center"/>
              <w:rPr>
                <w:b/>
                <w:szCs w:val="21"/>
              </w:rPr>
            </w:pPr>
          </w:p>
        </w:tc>
        <w:tc>
          <w:tcPr>
            <w:tcW w:w="2166" w:type="dxa"/>
            <w:vAlign w:val="center"/>
          </w:tcPr>
          <w:p>
            <w:pPr>
              <w:widowControl/>
              <w:jc w:val="center"/>
              <w:textAlignment w:val="center"/>
              <w:rPr>
                <w:b/>
                <w:szCs w:val="21"/>
              </w:rPr>
            </w:pPr>
            <w:r>
              <w:rPr>
                <w:rFonts w:hint="eastAsia"/>
                <w:b/>
                <w:bCs/>
                <w:color w:val="000000"/>
                <w:kern w:val="0"/>
                <w:sz w:val="24"/>
                <w:szCs w:val="24"/>
                <w:lang w:bidi="ar"/>
              </w:rPr>
              <w:t>1,011,408</w:t>
            </w:r>
          </w:p>
        </w:tc>
      </w:tr>
    </w:tbl>
    <w:p>
      <w:pPr>
        <w:pStyle w:val="2"/>
        <w:rPr>
          <w:b/>
          <w:szCs w:val="21"/>
        </w:rPr>
      </w:pPr>
      <w:bookmarkStart w:id="28" w:name="_Toc491874791"/>
      <w:r>
        <w:rPr>
          <w:rFonts w:hint="eastAsia" w:hAnsi="宋体"/>
          <w:b/>
          <w:sz w:val="21"/>
          <w:szCs w:val="21"/>
        </w:rPr>
        <w:t>备注</w:t>
      </w:r>
      <w:r>
        <w:rPr>
          <w:rStyle w:val="35"/>
          <w:rFonts w:hint="eastAsia" w:hAnsi="宋体"/>
          <w:b/>
        </w:rPr>
        <w:t>:</w:t>
      </w:r>
      <w:r>
        <w:rPr>
          <w:rFonts w:hAnsi="宋体"/>
          <w:b/>
          <w:sz w:val="21"/>
          <w:szCs w:val="21"/>
        </w:rPr>
        <w:t>经向有关部门了解,划拨用地上房屋补交土地出让金及相关税费后,可以转为市场商品房，根据《土地登记信息查询情况说明》，该房屋所在地为划拨用地，显示比房屋土地产权未进行分割，所以出让金及相关税费无法测算，本次评估价值为完全产权状态下的市场价值，包含土地出让金，</w:t>
      </w:r>
      <w:r>
        <w:rPr>
          <w:rFonts w:hint="eastAsia" w:hAnsi="宋体"/>
          <w:b/>
          <w:sz w:val="21"/>
          <w:szCs w:val="21"/>
        </w:rPr>
        <w:t>具体应缴纳金额最终以相关部门最终核定为准，</w:t>
      </w:r>
      <w:r>
        <w:rPr>
          <w:rFonts w:hAnsi="宋体"/>
          <w:b/>
          <w:sz w:val="21"/>
          <w:szCs w:val="21"/>
        </w:rPr>
        <w:t>提请报告使用者注意。</w:t>
      </w:r>
    </w:p>
    <w:p>
      <w:pPr>
        <w:pStyle w:val="4"/>
        <w:rPr>
          <w:rFonts w:ascii="Times New Roman" w:hAnsi="Times New Roman"/>
          <w:sz w:val="24"/>
          <w:szCs w:val="24"/>
        </w:rPr>
      </w:pPr>
      <w:r>
        <w:rPr>
          <w:rFonts w:ascii="Times New Roman" w:hAnsi="Times New Roman"/>
          <w:sz w:val="24"/>
          <w:szCs w:val="24"/>
        </w:rPr>
        <w:t>（十一）</w:t>
      </w:r>
      <w:bookmarkEnd w:id="27"/>
      <w:r>
        <w:rPr>
          <w:rFonts w:ascii="Times New Roman" w:hAnsi="Times New Roman"/>
          <w:sz w:val="24"/>
          <w:szCs w:val="24"/>
        </w:rPr>
        <w:t>注册房地产估价师</w:t>
      </w:r>
      <w:bookmarkEnd w:id="28"/>
    </w:p>
    <w:p>
      <w:pPr>
        <w:jc w:val="center"/>
        <w:rPr>
          <w:sz w:val="24"/>
          <w:szCs w:val="24"/>
        </w:rPr>
      </w:pPr>
      <w:r>
        <w:rPr>
          <w:sz w:val="24"/>
          <w:szCs w:val="24"/>
        </w:rPr>
        <w:t>参加估价的注册房地产估价师</w:t>
      </w:r>
    </w:p>
    <w:tbl>
      <w:tblPr>
        <w:tblStyle w:val="28"/>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510"/>
        <w:gridCol w:w="227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668" w:type="dxa"/>
            <w:vAlign w:val="center"/>
          </w:tcPr>
          <w:p>
            <w:pPr>
              <w:jc w:val="center"/>
              <w:rPr>
                <w:sz w:val="24"/>
                <w:szCs w:val="24"/>
              </w:rPr>
            </w:pPr>
            <w:r>
              <w:rPr>
                <w:sz w:val="24"/>
                <w:szCs w:val="24"/>
              </w:rPr>
              <w:t>姓名</w:t>
            </w:r>
          </w:p>
        </w:tc>
        <w:tc>
          <w:tcPr>
            <w:tcW w:w="2510" w:type="dxa"/>
            <w:vAlign w:val="center"/>
          </w:tcPr>
          <w:p>
            <w:pPr>
              <w:jc w:val="center"/>
              <w:rPr>
                <w:sz w:val="24"/>
                <w:szCs w:val="24"/>
              </w:rPr>
            </w:pPr>
            <w:r>
              <w:rPr>
                <w:sz w:val="24"/>
                <w:szCs w:val="24"/>
              </w:rPr>
              <w:t>注册号</w:t>
            </w:r>
          </w:p>
        </w:tc>
        <w:tc>
          <w:tcPr>
            <w:tcW w:w="2279" w:type="dxa"/>
            <w:vAlign w:val="center"/>
          </w:tcPr>
          <w:p>
            <w:pPr>
              <w:jc w:val="center"/>
              <w:rPr>
                <w:sz w:val="24"/>
                <w:szCs w:val="24"/>
              </w:rPr>
            </w:pPr>
            <w:r>
              <w:rPr>
                <w:sz w:val="24"/>
                <w:szCs w:val="24"/>
              </w:rPr>
              <w:t>签名</w:t>
            </w:r>
          </w:p>
        </w:tc>
        <w:tc>
          <w:tcPr>
            <w:tcW w:w="2826" w:type="dxa"/>
            <w:vAlign w:val="center"/>
          </w:tcPr>
          <w:p>
            <w:pPr>
              <w:jc w:val="center"/>
              <w:rPr>
                <w:sz w:val="24"/>
                <w:szCs w:val="24"/>
              </w:rPr>
            </w:pPr>
            <w:r>
              <w:rPr>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1668" w:type="dxa"/>
            <w:vAlign w:val="center"/>
          </w:tcPr>
          <w:p>
            <w:pPr>
              <w:jc w:val="center"/>
              <w:rPr>
                <w:sz w:val="24"/>
                <w:szCs w:val="24"/>
              </w:rPr>
            </w:pPr>
            <w:r>
              <w:rPr>
                <w:rFonts w:hint="eastAsia"/>
                <w:sz w:val="24"/>
                <w:szCs w:val="24"/>
              </w:rPr>
              <w:t>赵 越</w:t>
            </w:r>
          </w:p>
        </w:tc>
        <w:tc>
          <w:tcPr>
            <w:tcW w:w="2510" w:type="dxa"/>
            <w:vAlign w:val="center"/>
          </w:tcPr>
          <w:p>
            <w:pPr>
              <w:jc w:val="center"/>
              <w:rPr>
                <w:sz w:val="24"/>
                <w:szCs w:val="24"/>
              </w:rPr>
            </w:pPr>
            <w:r>
              <w:rPr>
                <w:rFonts w:hint="eastAsia"/>
                <w:sz w:val="24"/>
                <w:szCs w:val="24"/>
              </w:rPr>
              <w:t>4420190220</w:t>
            </w:r>
          </w:p>
        </w:tc>
        <w:tc>
          <w:tcPr>
            <w:tcW w:w="2279" w:type="dxa"/>
            <w:vAlign w:val="center"/>
          </w:tcPr>
          <w:p>
            <w:pPr>
              <w:jc w:val="center"/>
              <w:rPr>
                <w:sz w:val="24"/>
                <w:szCs w:val="24"/>
              </w:rPr>
            </w:pPr>
          </w:p>
        </w:tc>
        <w:tc>
          <w:tcPr>
            <w:tcW w:w="2826" w:type="dxa"/>
            <w:vAlign w:val="center"/>
          </w:tcPr>
          <w:p>
            <w:pPr>
              <w:jc w:val="center"/>
              <w:rPr>
                <w:sz w:val="24"/>
                <w:szCs w:val="24"/>
              </w:rPr>
            </w:pPr>
            <w:r>
              <w:rPr>
                <w:rFonts w:hint="eastAsia"/>
                <w:sz w:val="24"/>
                <w:szCs w:val="24"/>
              </w:rPr>
              <w:t>202</w:t>
            </w:r>
            <w:r>
              <w:rPr>
                <w:sz w:val="24"/>
                <w:szCs w:val="24"/>
              </w:rPr>
              <w:t>2年04月2</w:t>
            </w:r>
            <w:r>
              <w:rPr>
                <w:rFonts w:hint="eastAsia"/>
                <w:sz w:val="24"/>
                <w:szCs w:val="24"/>
              </w:rPr>
              <w:t>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1668" w:type="dxa"/>
            <w:vAlign w:val="center"/>
          </w:tcPr>
          <w:p>
            <w:pPr>
              <w:jc w:val="center"/>
              <w:rPr>
                <w:sz w:val="24"/>
                <w:szCs w:val="24"/>
              </w:rPr>
            </w:pPr>
          </w:p>
          <w:p>
            <w:pPr>
              <w:jc w:val="center"/>
              <w:rPr>
                <w:sz w:val="24"/>
                <w:szCs w:val="24"/>
              </w:rPr>
            </w:pPr>
            <w:r>
              <w:rPr>
                <w:rFonts w:hint="eastAsia"/>
                <w:sz w:val="24"/>
                <w:szCs w:val="24"/>
              </w:rPr>
              <w:t>曾  勇</w:t>
            </w:r>
          </w:p>
        </w:tc>
        <w:tc>
          <w:tcPr>
            <w:tcW w:w="2510" w:type="dxa"/>
            <w:vAlign w:val="center"/>
          </w:tcPr>
          <w:p>
            <w:pPr>
              <w:jc w:val="center"/>
              <w:rPr>
                <w:sz w:val="24"/>
                <w:szCs w:val="24"/>
              </w:rPr>
            </w:pPr>
          </w:p>
          <w:p>
            <w:pPr>
              <w:jc w:val="center"/>
              <w:rPr>
                <w:sz w:val="24"/>
                <w:szCs w:val="24"/>
              </w:rPr>
            </w:pPr>
            <w:r>
              <w:rPr>
                <w:rFonts w:hint="eastAsia"/>
                <w:sz w:val="24"/>
                <w:szCs w:val="24"/>
              </w:rPr>
              <w:t>5320160082</w:t>
            </w:r>
          </w:p>
          <w:p>
            <w:pPr>
              <w:jc w:val="center"/>
              <w:rPr>
                <w:sz w:val="24"/>
                <w:szCs w:val="24"/>
              </w:rPr>
            </w:pPr>
          </w:p>
        </w:tc>
        <w:tc>
          <w:tcPr>
            <w:tcW w:w="2279" w:type="dxa"/>
            <w:vAlign w:val="center"/>
          </w:tcPr>
          <w:p>
            <w:pPr>
              <w:jc w:val="center"/>
              <w:rPr>
                <w:sz w:val="24"/>
                <w:szCs w:val="24"/>
              </w:rPr>
            </w:pPr>
          </w:p>
        </w:tc>
        <w:tc>
          <w:tcPr>
            <w:tcW w:w="2826" w:type="dxa"/>
            <w:vAlign w:val="center"/>
          </w:tcPr>
          <w:p>
            <w:pPr>
              <w:jc w:val="center"/>
              <w:rPr>
                <w:sz w:val="24"/>
                <w:szCs w:val="24"/>
              </w:rPr>
            </w:pPr>
            <w:r>
              <w:rPr>
                <w:rFonts w:hint="eastAsia"/>
                <w:sz w:val="24"/>
                <w:szCs w:val="24"/>
              </w:rPr>
              <w:t>202</w:t>
            </w:r>
            <w:r>
              <w:rPr>
                <w:sz w:val="24"/>
                <w:szCs w:val="24"/>
              </w:rPr>
              <w:t>2年04月2</w:t>
            </w:r>
            <w:r>
              <w:rPr>
                <w:rFonts w:hint="eastAsia"/>
                <w:sz w:val="24"/>
                <w:szCs w:val="24"/>
              </w:rPr>
              <w:t>7日</w:t>
            </w:r>
          </w:p>
        </w:tc>
      </w:tr>
    </w:tbl>
    <w:p>
      <w:pPr>
        <w:pStyle w:val="4"/>
        <w:spacing w:line="500" w:lineRule="exact"/>
        <w:rPr>
          <w:rFonts w:ascii="Times New Roman" w:hAnsi="Times New Roman"/>
          <w:b w:val="0"/>
          <w:bCs w:val="0"/>
          <w:sz w:val="24"/>
          <w:szCs w:val="24"/>
        </w:rPr>
      </w:pPr>
      <w:bookmarkStart w:id="29" w:name="_Toc31181"/>
      <w:bookmarkStart w:id="30" w:name="_Toc14219"/>
      <w:bookmarkStart w:id="31" w:name="_Toc13654"/>
      <w:bookmarkStart w:id="32" w:name="_Toc29796"/>
      <w:bookmarkStart w:id="33" w:name="_Toc9664"/>
      <w:bookmarkStart w:id="34" w:name="_Toc1564"/>
      <w:bookmarkStart w:id="35" w:name="_Toc20664"/>
      <w:bookmarkStart w:id="36" w:name="_Toc22097"/>
      <w:bookmarkStart w:id="37" w:name="_Toc18285"/>
      <w:bookmarkStart w:id="38" w:name="_Toc491874792"/>
      <w:bookmarkStart w:id="39" w:name="_Toc13371"/>
      <w:r>
        <w:rPr>
          <w:rFonts w:ascii="Times New Roman" w:hAnsi="Times New Roman"/>
          <w:b w:val="0"/>
          <w:bCs w:val="0"/>
          <w:sz w:val="24"/>
          <w:szCs w:val="24"/>
        </w:rPr>
        <w:t>参加本次估价的估价人员：赵越、曾勇、</w:t>
      </w:r>
      <w:bookmarkEnd w:id="29"/>
      <w:bookmarkEnd w:id="30"/>
      <w:bookmarkEnd w:id="31"/>
      <w:bookmarkEnd w:id="32"/>
      <w:bookmarkEnd w:id="33"/>
      <w:bookmarkEnd w:id="34"/>
      <w:bookmarkEnd w:id="35"/>
      <w:bookmarkEnd w:id="36"/>
      <w:bookmarkEnd w:id="37"/>
      <w:r>
        <w:rPr>
          <w:rFonts w:hint="eastAsia" w:ascii="Times New Roman" w:hAnsi="Times New Roman"/>
          <w:b w:val="0"/>
          <w:bCs w:val="0"/>
          <w:sz w:val="24"/>
          <w:szCs w:val="24"/>
        </w:rPr>
        <w:t>曾金菊</w:t>
      </w:r>
    </w:p>
    <w:p>
      <w:pPr>
        <w:pStyle w:val="4"/>
        <w:spacing w:line="500" w:lineRule="exact"/>
        <w:rPr>
          <w:rFonts w:ascii="Times New Roman" w:hAnsi="Times New Roman"/>
          <w:sz w:val="24"/>
          <w:szCs w:val="24"/>
        </w:rPr>
      </w:pPr>
      <w:r>
        <w:rPr>
          <w:rFonts w:ascii="Times New Roman" w:hAnsi="Times New Roman"/>
          <w:sz w:val="24"/>
          <w:szCs w:val="24"/>
        </w:rPr>
        <w:t>（十二）实地查勘期</w:t>
      </w:r>
      <w:bookmarkEnd w:id="38"/>
    </w:p>
    <w:p>
      <w:pPr>
        <w:spacing w:line="500" w:lineRule="exact"/>
        <w:ind w:firstLine="566" w:firstLineChars="236"/>
      </w:pPr>
      <w:r>
        <w:rPr>
          <w:rFonts w:hint="eastAsia"/>
          <w:sz w:val="24"/>
          <w:szCs w:val="24"/>
        </w:rPr>
        <w:t>二〇二</w:t>
      </w:r>
      <w:r>
        <w:rPr>
          <w:sz w:val="24"/>
          <w:szCs w:val="24"/>
        </w:rPr>
        <w:t>二年</w:t>
      </w:r>
      <w:r>
        <w:rPr>
          <w:rFonts w:hint="eastAsia"/>
          <w:sz w:val="24"/>
          <w:szCs w:val="24"/>
        </w:rPr>
        <w:t>四月二十日</w:t>
      </w:r>
    </w:p>
    <w:p>
      <w:pPr>
        <w:pStyle w:val="4"/>
        <w:rPr>
          <w:rFonts w:ascii="Times New Roman" w:hAnsi="Times New Roman"/>
          <w:sz w:val="24"/>
          <w:szCs w:val="24"/>
        </w:rPr>
      </w:pPr>
      <w:bookmarkStart w:id="40" w:name="_Toc491874793"/>
      <w:r>
        <w:rPr>
          <w:rFonts w:ascii="Times New Roman" w:hAnsi="Times New Roman"/>
          <w:sz w:val="24"/>
          <w:szCs w:val="24"/>
        </w:rPr>
        <w:t>（十三）估价作业期</w:t>
      </w:r>
      <w:bookmarkEnd w:id="39"/>
      <w:bookmarkEnd w:id="40"/>
    </w:p>
    <w:p>
      <w:pPr>
        <w:snapToGrid w:val="0"/>
        <w:spacing w:line="360" w:lineRule="auto"/>
        <w:ind w:firstLine="523" w:firstLineChars="218"/>
        <w:rPr>
          <w:sz w:val="24"/>
          <w:szCs w:val="24"/>
        </w:rPr>
      </w:pPr>
      <w:r>
        <w:rPr>
          <w:rFonts w:hint="eastAsia"/>
          <w:sz w:val="24"/>
          <w:szCs w:val="24"/>
        </w:rPr>
        <w:t>二〇二</w:t>
      </w:r>
      <w:r>
        <w:rPr>
          <w:sz w:val="24"/>
          <w:szCs w:val="24"/>
        </w:rPr>
        <w:t>二年</w:t>
      </w:r>
      <w:r>
        <w:rPr>
          <w:rFonts w:hint="eastAsia"/>
          <w:sz w:val="24"/>
          <w:szCs w:val="24"/>
        </w:rPr>
        <w:t>四月二十日</w:t>
      </w:r>
      <w:r>
        <w:rPr>
          <w:sz w:val="24"/>
          <w:szCs w:val="24"/>
        </w:rPr>
        <w:t>至二〇二二年四月</w:t>
      </w:r>
      <w:r>
        <w:rPr>
          <w:rFonts w:hint="eastAsia"/>
          <w:sz w:val="24"/>
          <w:szCs w:val="24"/>
        </w:rPr>
        <w:t>二</w:t>
      </w:r>
      <w:r>
        <w:rPr>
          <w:sz w:val="24"/>
          <w:szCs w:val="24"/>
        </w:rPr>
        <w:t>十</w:t>
      </w:r>
      <w:r>
        <w:rPr>
          <w:rFonts w:hint="eastAsia"/>
          <w:sz w:val="24"/>
          <w:szCs w:val="24"/>
        </w:rPr>
        <w:t>七</w:t>
      </w:r>
      <w:r>
        <w:rPr>
          <w:sz w:val="24"/>
          <w:szCs w:val="24"/>
        </w:rPr>
        <w:t>日。</w:t>
      </w:r>
    </w:p>
    <w:p>
      <w:pPr>
        <w:snapToGrid w:val="0"/>
        <w:spacing w:line="360" w:lineRule="auto"/>
        <w:ind w:firstLine="523" w:firstLineChars="218"/>
        <w:rPr>
          <w:sz w:val="24"/>
          <w:szCs w:val="24"/>
        </w:rPr>
        <w:sectPr>
          <w:pgSz w:w="11907" w:h="16839"/>
          <w:pgMar w:top="2247" w:right="1503" w:bottom="1701" w:left="1503" w:header="794" w:footer="1361" w:gutter="0"/>
          <w:cols w:space="720" w:num="1"/>
          <w:docGrid w:type="lines" w:linePitch="300" w:charSpace="0"/>
        </w:sectPr>
      </w:pPr>
    </w:p>
    <w:p>
      <w:pPr>
        <w:pStyle w:val="3"/>
        <w:jc w:val="center"/>
        <w:rPr>
          <w:sz w:val="36"/>
          <w:szCs w:val="36"/>
        </w:rPr>
      </w:pPr>
      <w:bookmarkStart w:id="41" w:name="_Toc10163"/>
      <w:bookmarkStart w:id="42" w:name="_Toc491874794"/>
      <w:r>
        <w:rPr>
          <w:sz w:val="36"/>
          <w:szCs w:val="36"/>
        </w:rPr>
        <w:t>估价技术报告</w:t>
      </w:r>
      <w:bookmarkEnd w:id="41"/>
      <w:bookmarkEnd w:id="42"/>
    </w:p>
    <w:p>
      <w:pPr>
        <w:pStyle w:val="4"/>
        <w:spacing w:after="120" w:line="360" w:lineRule="auto"/>
        <w:rPr>
          <w:rFonts w:ascii="Times New Roman" w:hAnsi="Times New Roman"/>
          <w:b w:val="0"/>
          <w:sz w:val="24"/>
          <w:szCs w:val="24"/>
        </w:rPr>
      </w:pPr>
      <w:bookmarkStart w:id="43" w:name="_Toc2806"/>
      <w:bookmarkStart w:id="44" w:name="_Toc491874795"/>
      <w:r>
        <w:rPr>
          <w:rFonts w:ascii="Times New Roman" w:hAnsi="Times New Roman"/>
          <w:b w:val="0"/>
          <w:sz w:val="24"/>
          <w:szCs w:val="24"/>
        </w:rPr>
        <w:t>（一）</w:t>
      </w:r>
      <w:bookmarkEnd w:id="43"/>
      <w:r>
        <w:rPr>
          <w:rFonts w:ascii="Times New Roman" w:hAnsi="Times New Roman"/>
          <w:b w:val="0"/>
          <w:sz w:val="24"/>
          <w:szCs w:val="24"/>
        </w:rPr>
        <w:t>估价对象描述与分析</w:t>
      </w:r>
      <w:bookmarkEnd w:id="44"/>
    </w:p>
    <w:p>
      <w:pPr>
        <w:adjustRightInd w:val="0"/>
        <w:snapToGrid w:val="0"/>
        <w:ind w:firstLine="424" w:firstLineChars="177"/>
        <w:rPr>
          <w:sz w:val="24"/>
          <w:szCs w:val="24"/>
        </w:rPr>
      </w:pPr>
      <w:r>
        <w:rPr>
          <w:sz w:val="24"/>
          <w:szCs w:val="24"/>
        </w:rPr>
        <w:t>1</w:t>
      </w:r>
      <w:r>
        <w:rPr>
          <w:rFonts w:hint="eastAsia"/>
          <w:sz w:val="24"/>
          <w:szCs w:val="24"/>
        </w:rPr>
        <w:t>、</w:t>
      </w:r>
      <w:r>
        <w:rPr>
          <w:sz w:val="24"/>
          <w:szCs w:val="24"/>
        </w:rPr>
        <w:t>估价对象的实物状况描述</w:t>
      </w:r>
    </w:p>
    <w:tbl>
      <w:tblPr>
        <w:tblStyle w:val="28"/>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
        <w:gridCol w:w="759"/>
        <w:gridCol w:w="722"/>
        <w:gridCol w:w="3574"/>
        <w:gridCol w:w="979"/>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919" w:type="dxa"/>
            <w:gridSpan w:val="3"/>
            <w:shd w:val="clear" w:color="000000" w:fill="FFFFFF"/>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名称</w:t>
            </w:r>
          </w:p>
        </w:tc>
        <w:tc>
          <w:tcPr>
            <w:tcW w:w="6928" w:type="dxa"/>
            <w:gridSpan w:val="3"/>
            <w:shd w:val="clear" w:color="000000" w:fill="FFFFFF"/>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海口市人民路沿江三西街13号海南大学40栋401房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438" w:type="dxa"/>
            <w:vMerge w:val="restart"/>
            <w:shd w:val="clear" w:color="000000" w:fill="FFFFFF"/>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土地实物状况描述</w:t>
            </w:r>
          </w:p>
        </w:tc>
        <w:tc>
          <w:tcPr>
            <w:tcW w:w="1481" w:type="dxa"/>
            <w:gridSpan w:val="2"/>
            <w:shd w:val="clear" w:color="000000" w:fill="FFFFFF"/>
            <w:vAlign w:val="center"/>
          </w:tcPr>
          <w:p>
            <w:pPr>
              <w:jc w:val="center"/>
              <w:rPr>
                <w:rFonts w:ascii="宋体" w:hAnsi="宋体" w:cs="宋体"/>
                <w:sz w:val="22"/>
                <w:szCs w:val="22"/>
              </w:rPr>
            </w:pPr>
            <w:r>
              <w:rPr>
                <w:rFonts w:hint="eastAsia" w:ascii="宋体" w:hAnsi="宋体" w:cs="宋体"/>
                <w:sz w:val="22"/>
                <w:szCs w:val="22"/>
              </w:rPr>
              <w:t>土地权利人</w:t>
            </w:r>
          </w:p>
        </w:tc>
        <w:tc>
          <w:tcPr>
            <w:tcW w:w="3574" w:type="dxa"/>
            <w:shd w:val="clear" w:color="000000" w:fill="FFFFFF"/>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海南大学</w:t>
            </w:r>
          </w:p>
        </w:tc>
        <w:tc>
          <w:tcPr>
            <w:tcW w:w="979" w:type="dxa"/>
            <w:shd w:val="clear" w:color="000000" w:fill="FFFFFF"/>
            <w:vAlign w:val="center"/>
          </w:tcPr>
          <w:p>
            <w:pPr>
              <w:jc w:val="center"/>
              <w:rPr>
                <w:rFonts w:ascii="宋体" w:hAnsi="宋体" w:cs="宋体"/>
                <w:sz w:val="22"/>
                <w:szCs w:val="22"/>
              </w:rPr>
            </w:pPr>
            <w:r>
              <w:rPr>
                <w:rFonts w:hint="eastAsia" w:ascii="宋体" w:hAnsi="宋体" w:cs="宋体"/>
                <w:sz w:val="22"/>
                <w:szCs w:val="22"/>
              </w:rPr>
              <w:t>地形地势</w:t>
            </w:r>
          </w:p>
        </w:tc>
        <w:tc>
          <w:tcPr>
            <w:tcW w:w="2375" w:type="dxa"/>
            <w:shd w:val="clear" w:color="000000" w:fill="FFFFFF"/>
            <w:vAlign w:val="center"/>
          </w:tcPr>
          <w:p>
            <w:pPr>
              <w:jc w:val="center"/>
              <w:rPr>
                <w:rFonts w:ascii="宋体" w:hAnsi="宋体" w:cs="宋体"/>
                <w:sz w:val="22"/>
                <w:szCs w:val="22"/>
              </w:rPr>
            </w:pPr>
            <w:r>
              <w:rPr>
                <w:rFonts w:hint="eastAsia" w:ascii="宋体" w:hAnsi="宋体" w:cs="宋体"/>
                <w:sz w:val="22"/>
                <w:szCs w:val="22"/>
              </w:rPr>
              <w:t>较平坦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rPr>
        <w:tc>
          <w:tcPr>
            <w:tcW w:w="438" w:type="dxa"/>
            <w:vMerge w:val="continue"/>
            <w:shd w:val="clear" w:color="000000" w:fill="FFFFFF"/>
            <w:tcMar>
              <w:top w:w="12" w:type="dxa"/>
              <w:left w:w="12" w:type="dxa"/>
              <w:bottom w:w="0" w:type="dxa"/>
              <w:right w:w="12" w:type="dxa"/>
            </w:tcMar>
            <w:vAlign w:val="center"/>
          </w:tcPr>
          <w:p>
            <w:pPr>
              <w:jc w:val="center"/>
              <w:rPr>
                <w:rFonts w:ascii="宋体" w:hAnsi="宋体" w:cs="宋体"/>
                <w:sz w:val="22"/>
                <w:szCs w:val="22"/>
              </w:rPr>
            </w:pPr>
          </w:p>
        </w:tc>
        <w:tc>
          <w:tcPr>
            <w:tcW w:w="1481" w:type="dxa"/>
            <w:gridSpan w:val="2"/>
            <w:shd w:val="clear" w:color="000000" w:fill="FFFFFF"/>
            <w:vAlign w:val="center"/>
          </w:tcPr>
          <w:p>
            <w:pPr>
              <w:jc w:val="center"/>
              <w:rPr>
                <w:rFonts w:ascii="宋体" w:hAnsi="宋体" w:cs="宋体"/>
                <w:sz w:val="22"/>
                <w:szCs w:val="22"/>
              </w:rPr>
            </w:pPr>
            <w:r>
              <w:rPr>
                <w:rFonts w:hint="eastAsia" w:ascii="宋体" w:hAnsi="宋体" w:cs="宋体"/>
                <w:sz w:val="22"/>
                <w:szCs w:val="22"/>
              </w:rPr>
              <w:t>形状</w:t>
            </w:r>
          </w:p>
        </w:tc>
        <w:tc>
          <w:tcPr>
            <w:tcW w:w="3574" w:type="dxa"/>
            <w:shd w:val="clear" w:color="000000" w:fill="FFFFFF"/>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2006006925</w:t>
            </w:r>
          </w:p>
        </w:tc>
        <w:tc>
          <w:tcPr>
            <w:tcW w:w="979" w:type="dxa"/>
            <w:shd w:val="clear" w:color="000000" w:fill="FFFFFF"/>
            <w:vAlign w:val="center"/>
          </w:tcPr>
          <w:p>
            <w:pPr>
              <w:jc w:val="center"/>
              <w:rPr>
                <w:rFonts w:ascii="宋体" w:hAnsi="宋体" w:cs="宋体"/>
                <w:sz w:val="22"/>
                <w:szCs w:val="22"/>
              </w:rPr>
            </w:pPr>
            <w:r>
              <w:rPr>
                <w:rFonts w:hint="eastAsia" w:ascii="宋体" w:hAnsi="宋体" w:cs="宋体"/>
                <w:sz w:val="22"/>
                <w:szCs w:val="22"/>
              </w:rPr>
              <w:t>共有宗地面积</w:t>
            </w:r>
          </w:p>
        </w:tc>
        <w:tc>
          <w:tcPr>
            <w:tcW w:w="2375" w:type="dxa"/>
            <w:shd w:val="clear" w:color="000000" w:fill="FFFFFF"/>
            <w:vAlign w:val="center"/>
          </w:tcPr>
          <w:p>
            <w:pPr>
              <w:jc w:val="center"/>
              <w:rPr>
                <w:rFonts w:ascii="宋体" w:hAnsi="宋体" w:cs="宋体"/>
                <w:sz w:val="22"/>
                <w:szCs w:val="22"/>
              </w:rPr>
            </w:pPr>
            <w:r>
              <w:rPr>
                <w:rFonts w:hint="eastAsia" w:ascii="宋体" w:hAnsi="宋体" w:cs="宋体"/>
                <w:sz w:val="22"/>
                <w:szCs w:val="22"/>
              </w:rPr>
              <w:t>1459585.76㎡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trPr>
        <w:tc>
          <w:tcPr>
            <w:tcW w:w="438" w:type="dxa"/>
            <w:vMerge w:val="continue"/>
            <w:shd w:val="clear" w:color="000000" w:fill="FFFFFF"/>
            <w:tcMar>
              <w:top w:w="12" w:type="dxa"/>
              <w:left w:w="12" w:type="dxa"/>
              <w:bottom w:w="0" w:type="dxa"/>
              <w:right w:w="12" w:type="dxa"/>
            </w:tcMar>
            <w:vAlign w:val="center"/>
          </w:tcPr>
          <w:p>
            <w:pPr>
              <w:jc w:val="center"/>
              <w:rPr>
                <w:rFonts w:ascii="宋体" w:hAnsi="宋体" w:cs="宋体"/>
                <w:sz w:val="22"/>
                <w:szCs w:val="22"/>
              </w:rPr>
            </w:pPr>
          </w:p>
        </w:tc>
        <w:tc>
          <w:tcPr>
            <w:tcW w:w="1481" w:type="dxa"/>
            <w:gridSpan w:val="2"/>
            <w:shd w:val="clear" w:color="000000" w:fill="FFFFFF"/>
            <w:vAlign w:val="center"/>
          </w:tcPr>
          <w:p>
            <w:pPr>
              <w:jc w:val="center"/>
              <w:rPr>
                <w:rFonts w:ascii="宋体" w:hAnsi="宋体" w:cs="宋体"/>
                <w:sz w:val="22"/>
                <w:szCs w:val="22"/>
              </w:rPr>
            </w:pPr>
            <w:r>
              <w:rPr>
                <w:rFonts w:hint="eastAsia" w:ascii="宋体" w:hAnsi="宋体" w:cs="宋体"/>
                <w:sz w:val="22"/>
                <w:szCs w:val="22"/>
              </w:rPr>
              <w:t>土壤地质</w:t>
            </w:r>
          </w:p>
        </w:tc>
        <w:tc>
          <w:tcPr>
            <w:tcW w:w="3574" w:type="dxa"/>
            <w:shd w:val="clear" w:color="000000" w:fill="FFFFFF"/>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较规则</w:t>
            </w:r>
          </w:p>
        </w:tc>
        <w:tc>
          <w:tcPr>
            <w:tcW w:w="979" w:type="dxa"/>
            <w:shd w:val="clear" w:color="000000" w:fill="FFFFFF"/>
            <w:vAlign w:val="center"/>
          </w:tcPr>
          <w:p>
            <w:pPr>
              <w:jc w:val="center"/>
              <w:rPr>
                <w:rFonts w:ascii="宋体" w:hAnsi="宋体" w:cs="宋体"/>
                <w:sz w:val="22"/>
                <w:szCs w:val="22"/>
              </w:rPr>
            </w:pPr>
            <w:r>
              <w:rPr>
                <w:rFonts w:hint="eastAsia" w:ascii="宋体" w:hAnsi="宋体" w:cs="宋体"/>
                <w:sz w:val="22"/>
                <w:szCs w:val="22"/>
              </w:rPr>
              <w:t>开发程度</w:t>
            </w:r>
          </w:p>
        </w:tc>
        <w:tc>
          <w:tcPr>
            <w:tcW w:w="2375" w:type="dxa"/>
            <w:shd w:val="clear" w:color="000000" w:fill="FFFFFF"/>
            <w:vAlign w:val="center"/>
          </w:tcPr>
          <w:p>
            <w:pPr>
              <w:jc w:val="center"/>
              <w:rPr>
                <w:rFonts w:ascii="宋体" w:hAnsi="宋体" w:cs="宋体"/>
                <w:sz w:val="22"/>
                <w:szCs w:val="22"/>
              </w:rPr>
            </w:pPr>
            <w:r>
              <w:rPr>
                <w:rFonts w:hint="eastAsia" w:ascii="宋体" w:hAnsi="宋体" w:cs="宋体"/>
                <w:sz w:val="22"/>
                <w:szCs w:val="22"/>
              </w:rPr>
              <w:t>宗地红线外六通，红线内场地平整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438" w:type="dxa"/>
            <w:vMerge w:val="continue"/>
            <w:shd w:val="clear" w:color="000000" w:fill="FFFFFF"/>
            <w:tcMar>
              <w:top w:w="12" w:type="dxa"/>
              <w:left w:w="12" w:type="dxa"/>
              <w:bottom w:w="0" w:type="dxa"/>
              <w:right w:w="12" w:type="dxa"/>
            </w:tcMar>
            <w:vAlign w:val="center"/>
          </w:tcPr>
          <w:p>
            <w:pPr>
              <w:jc w:val="center"/>
              <w:rPr>
                <w:rFonts w:ascii="宋体" w:hAnsi="宋体" w:cs="宋体"/>
                <w:sz w:val="22"/>
                <w:szCs w:val="22"/>
              </w:rPr>
            </w:pPr>
          </w:p>
        </w:tc>
        <w:tc>
          <w:tcPr>
            <w:tcW w:w="1481" w:type="dxa"/>
            <w:gridSpan w:val="2"/>
            <w:shd w:val="clear" w:color="000000" w:fill="FFFFFF"/>
            <w:vAlign w:val="center"/>
          </w:tcPr>
          <w:p>
            <w:pPr>
              <w:jc w:val="center"/>
              <w:rPr>
                <w:rFonts w:ascii="宋体" w:hAnsi="宋体" w:cs="宋体"/>
                <w:sz w:val="22"/>
                <w:szCs w:val="22"/>
              </w:rPr>
            </w:pPr>
            <w:r>
              <w:rPr>
                <w:rFonts w:hint="eastAsia" w:ascii="宋体" w:hAnsi="宋体" w:cs="宋体"/>
                <w:sz w:val="22"/>
                <w:szCs w:val="22"/>
              </w:rPr>
              <w:t>其他</w:t>
            </w:r>
          </w:p>
        </w:tc>
        <w:tc>
          <w:tcPr>
            <w:tcW w:w="3574" w:type="dxa"/>
            <w:shd w:val="clear" w:color="000000" w:fill="FFFFFF"/>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土壤未受污染，地基承载力和稳定性较好</w:t>
            </w:r>
          </w:p>
        </w:tc>
        <w:tc>
          <w:tcPr>
            <w:tcW w:w="979" w:type="dxa"/>
            <w:shd w:val="clear" w:color="000000" w:fill="FFFFFF"/>
            <w:tcMar>
              <w:top w:w="12" w:type="dxa"/>
              <w:left w:w="12" w:type="dxa"/>
              <w:bottom w:w="0" w:type="dxa"/>
              <w:right w:w="12" w:type="dxa"/>
            </w:tcMar>
            <w:vAlign w:val="center"/>
          </w:tcPr>
          <w:p>
            <w:pPr>
              <w:jc w:val="center"/>
              <w:rPr>
                <w:rFonts w:ascii="宋体" w:hAnsi="宋体" w:cs="宋体"/>
              </w:rPr>
            </w:pPr>
            <w:r>
              <w:rPr>
                <w:rFonts w:hint="eastAsia" w:ascii="宋体" w:hAnsi="宋体" w:cs="宋体"/>
                <w:sz w:val="22"/>
                <w:szCs w:val="22"/>
              </w:rPr>
              <w:t>四至</w:t>
            </w:r>
          </w:p>
        </w:tc>
        <w:tc>
          <w:tcPr>
            <w:tcW w:w="2375" w:type="dxa"/>
            <w:shd w:val="clear" w:color="000000" w:fill="FFFFFF"/>
            <w:tcMar>
              <w:top w:w="12" w:type="dxa"/>
              <w:left w:w="12" w:type="dxa"/>
              <w:bottom w:w="0" w:type="dxa"/>
              <w:right w:w="12" w:type="dxa"/>
            </w:tcMar>
            <w:vAlign w:val="center"/>
          </w:tcPr>
          <w:p>
            <w:pPr>
              <w:jc w:val="center"/>
              <w:rPr>
                <w:rFonts w:ascii="宋体" w:hAnsi="宋体" w:cs="宋体"/>
              </w:rPr>
            </w:pPr>
            <w:r>
              <w:rPr>
                <w:rFonts w:hint="eastAsia" w:ascii="宋体" w:hAnsi="宋体" w:cs="宋体"/>
                <w:sz w:val="22"/>
                <w:szCs w:val="22"/>
              </w:rPr>
              <w:t>东至邦墩西路，南至海甸三西路，西至甸昆路，北至海甸五西路。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438" w:type="dxa"/>
            <w:vMerge w:val="restart"/>
            <w:shd w:val="clear" w:color="000000" w:fill="FFFFFF"/>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建筑物实物状况描述</w:t>
            </w:r>
          </w:p>
        </w:tc>
        <w:tc>
          <w:tcPr>
            <w:tcW w:w="1481" w:type="dxa"/>
            <w:gridSpan w:val="2"/>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建筑规模（㎡）</w:t>
            </w:r>
          </w:p>
        </w:tc>
        <w:tc>
          <w:tcPr>
            <w:tcW w:w="6928" w:type="dxa"/>
            <w:gridSpan w:val="3"/>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438" w:type="dxa"/>
            <w:vMerge w:val="continue"/>
            <w:vAlign w:val="center"/>
          </w:tcPr>
          <w:p>
            <w:pPr>
              <w:rPr>
                <w:rFonts w:ascii="宋体" w:hAnsi="宋体" w:cs="宋体"/>
                <w:sz w:val="22"/>
                <w:szCs w:val="22"/>
              </w:rPr>
            </w:pPr>
          </w:p>
        </w:tc>
        <w:tc>
          <w:tcPr>
            <w:tcW w:w="1481" w:type="dxa"/>
            <w:gridSpan w:val="2"/>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空间布局</w:t>
            </w:r>
          </w:p>
        </w:tc>
        <w:tc>
          <w:tcPr>
            <w:tcW w:w="3574"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建筑面积91.2</w:t>
            </w:r>
          </w:p>
        </w:tc>
        <w:tc>
          <w:tcPr>
            <w:tcW w:w="979"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建筑结构</w:t>
            </w:r>
          </w:p>
        </w:tc>
        <w:tc>
          <w:tcPr>
            <w:tcW w:w="2375"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438" w:type="dxa"/>
            <w:vMerge w:val="continue"/>
            <w:vAlign w:val="center"/>
          </w:tcPr>
          <w:p>
            <w:pPr>
              <w:rPr>
                <w:rFonts w:ascii="宋体" w:hAnsi="宋体" w:cs="宋体"/>
                <w:sz w:val="22"/>
                <w:szCs w:val="22"/>
              </w:rPr>
            </w:pPr>
          </w:p>
        </w:tc>
        <w:tc>
          <w:tcPr>
            <w:tcW w:w="1481" w:type="dxa"/>
            <w:gridSpan w:val="2"/>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总层数及评估楼层</w:t>
            </w:r>
          </w:p>
        </w:tc>
        <w:tc>
          <w:tcPr>
            <w:tcW w:w="3574"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平面住宅</w:t>
            </w:r>
          </w:p>
        </w:tc>
        <w:tc>
          <w:tcPr>
            <w:tcW w:w="979"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平面布局</w:t>
            </w:r>
          </w:p>
        </w:tc>
        <w:tc>
          <w:tcPr>
            <w:tcW w:w="2375"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一梯两户，改建为七房一厨二卫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438" w:type="dxa"/>
            <w:vMerge w:val="continue"/>
            <w:vAlign w:val="center"/>
          </w:tcPr>
          <w:p>
            <w:pPr>
              <w:rPr>
                <w:rFonts w:ascii="宋体" w:hAnsi="宋体" w:cs="宋体"/>
                <w:sz w:val="22"/>
                <w:szCs w:val="22"/>
              </w:rPr>
            </w:pPr>
          </w:p>
        </w:tc>
        <w:tc>
          <w:tcPr>
            <w:tcW w:w="1481" w:type="dxa"/>
            <w:gridSpan w:val="2"/>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建筑功能</w:t>
            </w:r>
          </w:p>
        </w:tc>
        <w:tc>
          <w:tcPr>
            <w:tcW w:w="3574"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共5层，本次评估为第4层401房</w:t>
            </w:r>
          </w:p>
        </w:tc>
        <w:tc>
          <w:tcPr>
            <w:tcW w:w="979"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层高</w:t>
            </w:r>
          </w:p>
        </w:tc>
        <w:tc>
          <w:tcPr>
            <w:tcW w:w="2375"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trPr>
        <w:tc>
          <w:tcPr>
            <w:tcW w:w="438" w:type="dxa"/>
            <w:vMerge w:val="continue"/>
            <w:vAlign w:val="center"/>
          </w:tcPr>
          <w:p>
            <w:pPr>
              <w:rPr>
                <w:rFonts w:ascii="宋体" w:hAnsi="宋体" w:cs="宋体"/>
                <w:sz w:val="22"/>
                <w:szCs w:val="22"/>
              </w:rPr>
            </w:pPr>
          </w:p>
        </w:tc>
        <w:tc>
          <w:tcPr>
            <w:tcW w:w="1481" w:type="dxa"/>
            <w:gridSpan w:val="2"/>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设施设备</w:t>
            </w:r>
          </w:p>
        </w:tc>
        <w:tc>
          <w:tcPr>
            <w:tcW w:w="3574"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通风、采光、隔热、防渗漏好</w:t>
            </w:r>
          </w:p>
        </w:tc>
        <w:tc>
          <w:tcPr>
            <w:tcW w:w="979"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房屋现状用途</w:t>
            </w:r>
          </w:p>
        </w:tc>
        <w:tc>
          <w:tcPr>
            <w:tcW w:w="2375"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438" w:type="dxa"/>
            <w:vMerge w:val="continue"/>
            <w:vAlign w:val="center"/>
          </w:tcPr>
          <w:p>
            <w:pPr>
              <w:rPr>
                <w:rFonts w:ascii="宋体" w:hAnsi="宋体" w:cs="宋体"/>
                <w:sz w:val="22"/>
                <w:szCs w:val="22"/>
              </w:rPr>
            </w:pPr>
          </w:p>
        </w:tc>
        <w:tc>
          <w:tcPr>
            <w:tcW w:w="1481" w:type="dxa"/>
            <w:gridSpan w:val="2"/>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建成时间</w:t>
            </w:r>
          </w:p>
        </w:tc>
        <w:tc>
          <w:tcPr>
            <w:tcW w:w="3574"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水电暗装、宽带接口、消防、楼梯</w:t>
            </w:r>
          </w:p>
        </w:tc>
        <w:tc>
          <w:tcPr>
            <w:tcW w:w="979"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维护状况</w:t>
            </w:r>
          </w:p>
        </w:tc>
        <w:tc>
          <w:tcPr>
            <w:tcW w:w="2375"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维护和保养状况一般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438" w:type="dxa"/>
            <w:vMerge w:val="continue"/>
            <w:vAlign w:val="center"/>
          </w:tcPr>
          <w:p>
            <w:pPr>
              <w:rPr>
                <w:rFonts w:ascii="宋体" w:hAnsi="宋体" w:cs="宋体"/>
                <w:sz w:val="22"/>
                <w:szCs w:val="22"/>
              </w:rPr>
            </w:pPr>
          </w:p>
        </w:tc>
        <w:tc>
          <w:tcPr>
            <w:tcW w:w="759" w:type="dxa"/>
            <w:vMerge w:val="restart"/>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装饰装修</w:t>
            </w:r>
          </w:p>
        </w:tc>
        <w:tc>
          <w:tcPr>
            <w:tcW w:w="722" w:type="dxa"/>
            <w:vAlign w:val="center"/>
          </w:tcPr>
          <w:p>
            <w:pPr>
              <w:jc w:val="center"/>
              <w:rPr>
                <w:rFonts w:ascii="宋体" w:hAnsi="宋体" w:cs="宋体"/>
                <w:sz w:val="22"/>
                <w:szCs w:val="22"/>
              </w:rPr>
            </w:pPr>
            <w:r>
              <w:rPr>
                <w:rFonts w:hint="eastAsia" w:ascii="宋体" w:hAnsi="宋体" w:cs="宋体"/>
                <w:sz w:val="22"/>
                <w:szCs w:val="22"/>
              </w:rPr>
              <w:t>外墙</w:t>
            </w:r>
          </w:p>
        </w:tc>
        <w:tc>
          <w:tcPr>
            <w:tcW w:w="3574"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经向委托人了解，约建成时间为1990年</w:t>
            </w:r>
          </w:p>
        </w:tc>
        <w:tc>
          <w:tcPr>
            <w:tcW w:w="979" w:type="dxa"/>
            <w:vAlign w:val="center"/>
          </w:tcPr>
          <w:p>
            <w:pPr>
              <w:jc w:val="center"/>
              <w:rPr>
                <w:rFonts w:ascii="宋体" w:hAnsi="宋体" w:cs="宋体"/>
                <w:sz w:val="22"/>
                <w:szCs w:val="22"/>
              </w:rPr>
            </w:pPr>
            <w:r>
              <w:rPr>
                <w:rFonts w:hint="eastAsia" w:ascii="宋体" w:hAnsi="宋体" w:cs="宋体"/>
                <w:sz w:val="22"/>
                <w:szCs w:val="22"/>
              </w:rPr>
              <w:t>成新率</w:t>
            </w:r>
          </w:p>
        </w:tc>
        <w:tc>
          <w:tcPr>
            <w:tcW w:w="2375" w:type="dxa"/>
            <w:vAlign w:val="center"/>
          </w:tcPr>
          <w:p>
            <w:pPr>
              <w:jc w:val="center"/>
              <w:rPr>
                <w:rFonts w:ascii="宋体" w:hAnsi="宋体" w:cs="宋体"/>
                <w:sz w:val="22"/>
                <w:szCs w:val="22"/>
              </w:rPr>
            </w:pPr>
            <w:r>
              <w:rPr>
                <w:rFonts w:hint="eastAsia" w:ascii="宋体" w:hAnsi="宋体" w:cs="宋体"/>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trPr>
        <w:tc>
          <w:tcPr>
            <w:tcW w:w="438" w:type="dxa"/>
            <w:vMerge w:val="continue"/>
            <w:vAlign w:val="center"/>
          </w:tcPr>
          <w:p>
            <w:pPr>
              <w:rPr>
                <w:rFonts w:ascii="宋体" w:hAnsi="宋体" w:cs="宋体"/>
                <w:sz w:val="22"/>
                <w:szCs w:val="22"/>
              </w:rPr>
            </w:pPr>
          </w:p>
        </w:tc>
        <w:tc>
          <w:tcPr>
            <w:tcW w:w="759" w:type="dxa"/>
            <w:vMerge w:val="continue"/>
            <w:tcMar>
              <w:top w:w="12" w:type="dxa"/>
              <w:left w:w="12" w:type="dxa"/>
              <w:bottom w:w="0" w:type="dxa"/>
              <w:right w:w="12" w:type="dxa"/>
            </w:tcMar>
            <w:vAlign w:val="center"/>
          </w:tcPr>
          <w:p>
            <w:pPr>
              <w:jc w:val="center"/>
              <w:rPr>
                <w:rFonts w:ascii="宋体" w:hAnsi="宋体" w:cs="宋体"/>
                <w:sz w:val="22"/>
                <w:szCs w:val="22"/>
              </w:rPr>
            </w:pPr>
          </w:p>
        </w:tc>
        <w:tc>
          <w:tcPr>
            <w:tcW w:w="722" w:type="dxa"/>
            <w:vAlign w:val="center"/>
          </w:tcPr>
          <w:p>
            <w:pPr>
              <w:jc w:val="center"/>
              <w:rPr>
                <w:rFonts w:ascii="宋体" w:hAnsi="宋体" w:cs="宋体"/>
                <w:sz w:val="22"/>
                <w:szCs w:val="22"/>
              </w:rPr>
            </w:pPr>
            <w:r>
              <w:rPr>
                <w:rFonts w:hint="eastAsia" w:ascii="宋体" w:hAnsi="宋体" w:cs="宋体"/>
                <w:sz w:val="22"/>
                <w:szCs w:val="22"/>
              </w:rPr>
              <w:t>门</w:t>
            </w:r>
          </w:p>
        </w:tc>
        <w:tc>
          <w:tcPr>
            <w:tcW w:w="3574"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涂料</w:t>
            </w:r>
          </w:p>
        </w:tc>
        <w:tc>
          <w:tcPr>
            <w:tcW w:w="979" w:type="dxa"/>
            <w:vAlign w:val="center"/>
          </w:tcPr>
          <w:p>
            <w:pPr>
              <w:jc w:val="center"/>
              <w:rPr>
                <w:rFonts w:ascii="宋体" w:hAnsi="宋体" w:cs="宋体"/>
                <w:sz w:val="22"/>
                <w:szCs w:val="22"/>
              </w:rPr>
            </w:pPr>
            <w:r>
              <w:rPr>
                <w:rFonts w:hint="eastAsia" w:ascii="宋体" w:hAnsi="宋体" w:cs="宋体"/>
                <w:sz w:val="22"/>
                <w:szCs w:val="22"/>
              </w:rPr>
              <w:t>内墙</w:t>
            </w:r>
          </w:p>
        </w:tc>
        <w:tc>
          <w:tcPr>
            <w:tcW w:w="2375" w:type="dxa"/>
            <w:vAlign w:val="center"/>
          </w:tcPr>
          <w:p>
            <w:pPr>
              <w:jc w:val="center"/>
              <w:rPr>
                <w:rFonts w:ascii="宋体" w:hAnsi="宋体" w:cs="宋体"/>
                <w:sz w:val="22"/>
                <w:szCs w:val="22"/>
              </w:rPr>
            </w:pPr>
            <w:r>
              <w:rPr>
                <w:rFonts w:hint="eastAsia" w:ascii="宋体" w:hAnsi="宋体" w:cs="宋体"/>
                <w:sz w:val="22"/>
                <w:szCs w:val="22"/>
              </w:rPr>
              <w:t>水泥找平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trPr>
        <w:tc>
          <w:tcPr>
            <w:tcW w:w="438" w:type="dxa"/>
            <w:vMerge w:val="continue"/>
            <w:vAlign w:val="center"/>
          </w:tcPr>
          <w:p>
            <w:pPr>
              <w:rPr>
                <w:rFonts w:ascii="宋体" w:hAnsi="宋体" w:cs="宋体"/>
                <w:sz w:val="22"/>
                <w:szCs w:val="22"/>
              </w:rPr>
            </w:pPr>
          </w:p>
        </w:tc>
        <w:tc>
          <w:tcPr>
            <w:tcW w:w="759" w:type="dxa"/>
            <w:vMerge w:val="continue"/>
            <w:tcMar>
              <w:top w:w="12" w:type="dxa"/>
              <w:left w:w="12" w:type="dxa"/>
              <w:bottom w:w="0" w:type="dxa"/>
              <w:right w:w="12" w:type="dxa"/>
            </w:tcMar>
            <w:vAlign w:val="center"/>
          </w:tcPr>
          <w:p>
            <w:pPr>
              <w:jc w:val="center"/>
              <w:rPr>
                <w:rFonts w:ascii="宋体" w:hAnsi="宋体" w:cs="宋体"/>
                <w:sz w:val="22"/>
                <w:szCs w:val="22"/>
              </w:rPr>
            </w:pPr>
          </w:p>
        </w:tc>
        <w:tc>
          <w:tcPr>
            <w:tcW w:w="722" w:type="dxa"/>
            <w:vAlign w:val="center"/>
          </w:tcPr>
          <w:p>
            <w:pPr>
              <w:jc w:val="center"/>
              <w:rPr>
                <w:rFonts w:ascii="宋体" w:hAnsi="宋体" w:cs="宋体"/>
                <w:sz w:val="22"/>
                <w:szCs w:val="22"/>
              </w:rPr>
            </w:pPr>
            <w:r>
              <w:rPr>
                <w:rFonts w:hint="eastAsia" w:ascii="宋体" w:hAnsi="宋体" w:cs="宋体"/>
                <w:sz w:val="22"/>
                <w:szCs w:val="22"/>
              </w:rPr>
              <w:t>地面</w:t>
            </w:r>
          </w:p>
        </w:tc>
        <w:tc>
          <w:tcPr>
            <w:tcW w:w="3574"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防盗门</w:t>
            </w:r>
          </w:p>
        </w:tc>
        <w:tc>
          <w:tcPr>
            <w:tcW w:w="979" w:type="dxa"/>
            <w:vAlign w:val="center"/>
          </w:tcPr>
          <w:p>
            <w:pPr>
              <w:jc w:val="center"/>
              <w:rPr>
                <w:rFonts w:ascii="宋体" w:hAnsi="宋体" w:cs="宋体"/>
                <w:sz w:val="22"/>
                <w:szCs w:val="22"/>
              </w:rPr>
            </w:pPr>
            <w:r>
              <w:rPr>
                <w:rFonts w:hint="eastAsia" w:ascii="宋体" w:hAnsi="宋体" w:cs="宋体"/>
                <w:sz w:val="22"/>
                <w:szCs w:val="22"/>
              </w:rPr>
              <w:t>窗</w:t>
            </w:r>
          </w:p>
        </w:tc>
        <w:tc>
          <w:tcPr>
            <w:tcW w:w="2375" w:type="dxa"/>
            <w:vAlign w:val="center"/>
          </w:tcPr>
          <w:p>
            <w:pPr>
              <w:jc w:val="center"/>
              <w:rPr>
                <w:rFonts w:ascii="宋体" w:hAnsi="宋体" w:cs="宋体"/>
                <w:sz w:val="22"/>
                <w:szCs w:val="22"/>
              </w:rPr>
            </w:pPr>
            <w:r>
              <w:rPr>
                <w:rFonts w:hint="eastAsia" w:ascii="宋体" w:hAnsi="宋体" w:cs="宋体"/>
                <w:sz w:val="22"/>
                <w:szCs w:val="22"/>
              </w:rPr>
              <w:t>铝合金窗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trPr>
        <w:tc>
          <w:tcPr>
            <w:tcW w:w="438" w:type="dxa"/>
            <w:vMerge w:val="continue"/>
            <w:vAlign w:val="center"/>
          </w:tcPr>
          <w:p>
            <w:pPr>
              <w:rPr>
                <w:rFonts w:ascii="宋体" w:hAnsi="宋体" w:cs="宋体"/>
                <w:sz w:val="22"/>
                <w:szCs w:val="22"/>
              </w:rPr>
            </w:pPr>
          </w:p>
        </w:tc>
        <w:tc>
          <w:tcPr>
            <w:tcW w:w="759" w:type="dxa"/>
            <w:vMerge w:val="continue"/>
            <w:tcMar>
              <w:top w:w="12" w:type="dxa"/>
              <w:left w:w="12" w:type="dxa"/>
              <w:bottom w:w="0" w:type="dxa"/>
              <w:right w:w="12" w:type="dxa"/>
            </w:tcMar>
            <w:vAlign w:val="center"/>
          </w:tcPr>
          <w:p>
            <w:pPr>
              <w:jc w:val="center"/>
              <w:rPr>
                <w:rFonts w:ascii="宋体" w:hAnsi="宋体" w:cs="宋体"/>
                <w:sz w:val="22"/>
                <w:szCs w:val="22"/>
              </w:rPr>
            </w:pPr>
          </w:p>
        </w:tc>
        <w:tc>
          <w:tcPr>
            <w:tcW w:w="722" w:type="dxa"/>
            <w:vAlign w:val="center"/>
          </w:tcPr>
          <w:p>
            <w:pPr>
              <w:jc w:val="center"/>
              <w:rPr>
                <w:rFonts w:ascii="宋体" w:hAnsi="宋体" w:cs="宋体"/>
                <w:sz w:val="22"/>
                <w:szCs w:val="22"/>
              </w:rPr>
            </w:pPr>
            <w:r>
              <w:rPr>
                <w:rFonts w:hint="eastAsia" w:ascii="宋体" w:hAnsi="宋体" w:cs="宋体"/>
                <w:sz w:val="22"/>
                <w:szCs w:val="22"/>
              </w:rPr>
              <w:t>卧室</w:t>
            </w:r>
          </w:p>
        </w:tc>
        <w:tc>
          <w:tcPr>
            <w:tcW w:w="3574"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地砖</w:t>
            </w:r>
          </w:p>
        </w:tc>
        <w:tc>
          <w:tcPr>
            <w:tcW w:w="979" w:type="dxa"/>
            <w:vAlign w:val="center"/>
          </w:tcPr>
          <w:p>
            <w:pPr>
              <w:jc w:val="center"/>
              <w:rPr>
                <w:rFonts w:ascii="宋体" w:hAnsi="宋体" w:cs="宋体"/>
                <w:kern w:val="0"/>
                <w:sz w:val="22"/>
                <w:szCs w:val="22"/>
              </w:rPr>
            </w:pPr>
            <w:r>
              <w:rPr>
                <w:rFonts w:hint="eastAsia" w:ascii="宋体" w:hAnsi="宋体" w:cs="宋体"/>
                <w:sz w:val="22"/>
                <w:szCs w:val="22"/>
              </w:rPr>
              <w:t>天花</w:t>
            </w:r>
          </w:p>
        </w:tc>
        <w:tc>
          <w:tcPr>
            <w:tcW w:w="2375" w:type="dxa"/>
            <w:vAlign w:val="center"/>
          </w:tcPr>
          <w:p>
            <w:pPr>
              <w:jc w:val="center"/>
              <w:rPr>
                <w:rFonts w:ascii="宋体" w:hAnsi="宋体" w:cs="宋体"/>
                <w:kern w:val="0"/>
                <w:sz w:val="22"/>
                <w:szCs w:val="22"/>
              </w:rPr>
            </w:pPr>
            <w:r>
              <w:rPr>
                <w:rFonts w:hint="eastAsia" w:ascii="宋体" w:hAnsi="宋体" w:cs="宋体"/>
                <w:sz w:val="22"/>
                <w:szCs w:val="22"/>
              </w:rPr>
              <w:t>水泥找平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438" w:type="dxa"/>
            <w:vMerge w:val="continue"/>
            <w:vAlign w:val="center"/>
          </w:tcPr>
          <w:p>
            <w:pPr>
              <w:rPr>
                <w:rFonts w:ascii="宋体" w:hAnsi="宋体" w:cs="宋体"/>
                <w:sz w:val="22"/>
                <w:szCs w:val="22"/>
              </w:rPr>
            </w:pPr>
          </w:p>
        </w:tc>
        <w:tc>
          <w:tcPr>
            <w:tcW w:w="1481" w:type="dxa"/>
            <w:gridSpan w:val="2"/>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其他</w:t>
            </w:r>
          </w:p>
        </w:tc>
        <w:tc>
          <w:tcPr>
            <w:tcW w:w="3574" w:type="dxa"/>
            <w:tcMar>
              <w:top w:w="12" w:type="dxa"/>
              <w:left w:w="12" w:type="dxa"/>
              <w:bottom w:w="0" w:type="dxa"/>
              <w:right w:w="12" w:type="dxa"/>
            </w:tcMar>
            <w:vAlign w:val="center"/>
          </w:tcPr>
          <w:p>
            <w:pPr>
              <w:jc w:val="center"/>
              <w:rPr>
                <w:rFonts w:ascii="宋体" w:hAnsi="宋体" w:cs="宋体"/>
                <w:sz w:val="22"/>
                <w:szCs w:val="22"/>
              </w:rPr>
            </w:pPr>
            <w:r>
              <w:rPr>
                <w:rFonts w:hint="eastAsia" w:ascii="宋体" w:hAnsi="宋体" w:cs="宋体"/>
                <w:sz w:val="22"/>
                <w:szCs w:val="22"/>
              </w:rPr>
              <w:t>地砖地面、墙面瓷砖围裙，天花为涂料</w:t>
            </w:r>
          </w:p>
        </w:tc>
        <w:tc>
          <w:tcPr>
            <w:tcW w:w="979" w:type="dxa"/>
            <w:tcMar>
              <w:top w:w="12" w:type="dxa"/>
              <w:left w:w="12" w:type="dxa"/>
              <w:bottom w:w="0" w:type="dxa"/>
              <w:right w:w="12" w:type="dxa"/>
            </w:tcMar>
            <w:vAlign w:val="center"/>
          </w:tcPr>
          <w:p>
            <w:pPr>
              <w:widowControl/>
              <w:jc w:val="center"/>
              <w:rPr>
                <w:rFonts w:ascii="宋体" w:hAnsi="宋体" w:cs="宋体"/>
              </w:rPr>
            </w:pPr>
            <w:r>
              <w:rPr>
                <w:rFonts w:hint="eastAsia" w:ascii="宋体" w:hAnsi="宋体" w:cs="宋体"/>
                <w:kern w:val="0"/>
                <w:sz w:val="22"/>
                <w:szCs w:val="22"/>
              </w:rPr>
              <w:t>卫生间</w:t>
            </w:r>
          </w:p>
        </w:tc>
        <w:tc>
          <w:tcPr>
            <w:tcW w:w="2375" w:type="dxa"/>
            <w:tcMar>
              <w:top w:w="12" w:type="dxa"/>
              <w:left w:w="12" w:type="dxa"/>
              <w:bottom w:w="0" w:type="dxa"/>
              <w:right w:w="12" w:type="dxa"/>
            </w:tcMar>
            <w:vAlign w:val="center"/>
          </w:tcPr>
          <w:p>
            <w:pPr>
              <w:widowControl/>
              <w:jc w:val="center"/>
              <w:rPr>
                <w:rFonts w:ascii="宋体" w:hAnsi="宋体" w:cs="宋体"/>
              </w:rPr>
            </w:pPr>
            <w:r>
              <w:rPr>
                <w:rFonts w:hint="eastAsia" w:ascii="宋体" w:hAnsi="宋体" w:cs="宋体"/>
                <w:sz w:val="22"/>
                <w:szCs w:val="22"/>
              </w:rPr>
              <w:t>砖地面、墙面瓷砖围裙，天花为涂料，内设有便器、洗手盆等洁具。</w:t>
            </w:r>
          </w:p>
        </w:tc>
      </w:tr>
    </w:tbl>
    <w:p>
      <w:pPr>
        <w:numPr>
          <w:ilvl w:val="255"/>
          <w:numId w:val="0"/>
        </w:numPr>
        <w:adjustRightInd w:val="0"/>
        <w:snapToGrid w:val="0"/>
        <w:ind w:firstLine="480" w:firstLineChars="200"/>
        <w:rPr>
          <w:rFonts w:ascii="宋体" w:hAnsi="宋体" w:cs="宋体"/>
          <w:sz w:val="24"/>
          <w:szCs w:val="24"/>
        </w:rPr>
      </w:pPr>
      <w:bookmarkStart w:id="45" w:name="_Toc8186"/>
      <w:r>
        <w:rPr>
          <w:rFonts w:hint="eastAsia" w:ascii="宋体" w:hAnsi="宋体" w:cs="宋体"/>
          <w:sz w:val="24"/>
          <w:szCs w:val="24"/>
        </w:rPr>
        <w:t>2、权益状况描述与分析</w:t>
      </w:r>
      <w:bookmarkEnd w:id="45"/>
    </w:p>
    <w:p>
      <w:pPr>
        <w:pStyle w:val="2"/>
        <w:rPr>
          <w:rFonts w:hAnsi="宋体"/>
        </w:rPr>
      </w:pPr>
    </w:p>
    <w:p>
      <w:pPr>
        <w:pStyle w:val="2"/>
        <w:rPr>
          <w:rFonts w:hAnsi="宋体"/>
        </w:rPr>
      </w:pPr>
    </w:p>
    <w:p>
      <w:pPr>
        <w:pStyle w:val="2"/>
        <w:rPr>
          <w:rFonts w:hAnsi="宋体"/>
        </w:rPr>
      </w:pPr>
    </w:p>
    <w:p>
      <w:pPr>
        <w:pStyle w:val="2"/>
        <w:rPr>
          <w:rFonts w:hAnsi="宋体"/>
        </w:rPr>
      </w:pPr>
    </w:p>
    <w:tbl>
      <w:tblPr>
        <w:tblStyle w:val="28"/>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845"/>
        <w:gridCol w:w="2250"/>
        <w:gridCol w:w="1642"/>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Align w:val="center"/>
          </w:tcPr>
          <w:p>
            <w:pPr>
              <w:widowControl/>
              <w:jc w:val="center"/>
              <w:rPr>
                <w:rFonts w:ascii="宋体" w:hAnsi="宋体" w:cs="宋体"/>
                <w:sz w:val="22"/>
                <w:szCs w:val="22"/>
              </w:rPr>
            </w:pPr>
            <w:r>
              <w:rPr>
                <w:rFonts w:hint="eastAsia" w:ascii="宋体" w:hAnsi="宋体" w:cs="宋体"/>
                <w:sz w:val="22"/>
                <w:szCs w:val="22"/>
              </w:rPr>
              <w:t>名称</w:t>
            </w:r>
          </w:p>
        </w:tc>
        <w:tc>
          <w:tcPr>
            <w:tcW w:w="7783" w:type="dxa"/>
            <w:gridSpan w:val="4"/>
            <w:vAlign w:val="center"/>
          </w:tcPr>
          <w:p>
            <w:pPr>
              <w:jc w:val="center"/>
              <w:rPr>
                <w:rFonts w:ascii="宋体" w:hAnsi="宋体" w:cs="宋体"/>
                <w:sz w:val="22"/>
                <w:szCs w:val="22"/>
              </w:rPr>
            </w:pPr>
            <w:r>
              <w:rPr>
                <w:rFonts w:hint="eastAsia" w:ascii="宋体" w:hAnsi="宋体" w:cs="宋体"/>
                <w:sz w:val="22"/>
                <w:szCs w:val="22"/>
              </w:rPr>
              <w:t>海口市人民路沿江三西街13号海南大学40栋401房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Merge w:val="restart"/>
            <w:vAlign w:val="center"/>
          </w:tcPr>
          <w:p>
            <w:pPr>
              <w:widowControl/>
              <w:jc w:val="center"/>
              <w:rPr>
                <w:rFonts w:ascii="宋体" w:hAnsi="宋体" w:cs="宋体"/>
                <w:sz w:val="22"/>
                <w:szCs w:val="22"/>
              </w:rPr>
            </w:pPr>
            <w:r>
              <w:rPr>
                <w:rFonts w:hint="eastAsia" w:ascii="宋体" w:hAnsi="宋体" w:cs="宋体"/>
                <w:sz w:val="22"/>
                <w:szCs w:val="22"/>
              </w:rPr>
              <w:t>房地产权基本信息</w:t>
            </w: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产权人</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王曼华</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共有情况</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Merge w:val="continue"/>
            <w:vAlign w:val="center"/>
          </w:tcPr>
          <w:p>
            <w:pPr>
              <w:widowControl/>
              <w:jc w:val="center"/>
              <w:rPr>
                <w:rFonts w:ascii="宋体" w:hAnsi="宋体" w:cs="宋体"/>
                <w:sz w:val="22"/>
                <w:szCs w:val="22"/>
              </w:rPr>
            </w:pP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不动产权证书号</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海口市房权证海房第64606号</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房号</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4" w:type="dxa"/>
            <w:vMerge w:val="continue"/>
            <w:vAlign w:val="center"/>
          </w:tcPr>
          <w:p>
            <w:pPr>
              <w:widowControl/>
              <w:jc w:val="center"/>
              <w:rPr>
                <w:rFonts w:ascii="宋体" w:hAnsi="宋体" w:cs="宋体"/>
                <w:sz w:val="22"/>
                <w:szCs w:val="22"/>
              </w:rPr>
            </w:pP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不动产单元号</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460108 005002 GB02144 F00010002</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所在层数</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334" w:type="dxa"/>
            <w:vMerge w:val="continue"/>
            <w:vAlign w:val="center"/>
          </w:tcPr>
          <w:p>
            <w:pPr>
              <w:widowControl/>
              <w:jc w:val="center"/>
              <w:rPr>
                <w:rFonts w:ascii="宋体" w:hAnsi="宋体" w:cs="宋体"/>
                <w:sz w:val="22"/>
                <w:szCs w:val="22"/>
              </w:rPr>
            </w:pP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总层数</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5层</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建筑面积</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Merge w:val="continue"/>
            <w:vAlign w:val="center"/>
          </w:tcPr>
          <w:p>
            <w:pPr>
              <w:widowControl/>
              <w:jc w:val="center"/>
              <w:rPr>
                <w:rFonts w:ascii="宋体" w:hAnsi="宋体" w:cs="宋体"/>
                <w:sz w:val="22"/>
                <w:szCs w:val="22"/>
              </w:rPr>
            </w:pP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其他</w:t>
            </w:r>
          </w:p>
        </w:tc>
        <w:tc>
          <w:tcPr>
            <w:tcW w:w="5938" w:type="dxa"/>
            <w:gridSpan w:val="3"/>
            <w:vAlign w:val="center"/>
          </w:tcPr>
          <w:p>
            <w:pPr>
              <w:widowControl/>
              <w:jc w:val="center"/>
              <w:rPr>
                <w:rFonts w:ascii="宋体" w:hAnsi="宋体" w:cs="宋体"/>
                <w:sz w:val="22"/>
                <w:szCs w:val="22"/>
              </w:rPr>
            </w:pP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Merge w:val="continue"/>
            <w:vAlign w:val="center"/>
          </w:tcPr>
          <w:p>
            <w:pPr>
              <w:widowControl/>
              <w:jc w:val="center"/>
              <w:rPr>
                <w:rFonts w:ascii="宋体" w:hAnsi="宋体" w:cs="宋体"/>
                <w:sz w:val="22"/>
                <w:szCs w:val="22"/>
              </w:rPr>
            </w:pP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附记</w:t>
            </w:r>
          </w:p>
        </w:tc>
        <w:tc>
          <w:tcPr>
            <w:tcW w:w="5938" w:type="dxa"/>
            <w:gridSpan w:val="3"/>
            <w:vAlign w:val="center"/>
          </w:tcPr>
          <w:p>
            <w:pPr>
              <w:widowControl/>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Merge w:val="restart"/>
            <w:vAlign w:val="center"/>
          </w:tcPr>
          <w:p>
            <w:pPr>
              <w:widowControl/>
              <w:jc w:val="center"/>
              <w:rPr>
                <w:rFonts w:ascii="宋体" w:hAnsi="宋体" w:cs="宋体"/>
                <w:sz w:val="22"/>
                <w:szCs w:val="22"/>
                <w:highlight w:val="yellow"/>
              </w:rPr>
            </w:pPr>
            <w:r>
              <w:rPr>
                <w:rFonts w:hint="eastAsia" w:ascii="宋体" w:hAnsi="宋体" w:cs="宋体"/>
                <w:sz w:val="22"/>
                <w:szCs w:val="22"/>
              </w:rPr>
              <w:t>土地权益状况描述</w:t>
            </w: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权利类型</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国家建设用地使用权</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权利性质</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Merge w:val="continue"/>
            <w:vAlign w:val="center"/>
          </w:tcPr>
          <w:p>
            <w:pPr>
              <w:widowControl/>
              <w:jc w:val="center"/>
              <w:rPr>
                <w:rFonts w:ascii="宋体" w:hAnsi="宋体" w:cs="宋体"/>
                <w:sz w:val="22"/>
                <w:szCs w:val="22"/>
              </w:rPr>
            </w:pP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规划用途</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教育用地</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使用期限</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Merge w:val="continue"/>
            <w:vAlign w:val="center"/>
          </w:tcPr>
          <w:p>
            <w:pPr>
              <w:widowControl/>
              <w:jc w:val="center"/>
              <w:rPr>
                <w:rFonts w:ascii="宋体" w:hAnsi="宋体" w:cs="宋体"/>
                <w:sz w:val="22"/>
                <w:szCs w:val="22"/>
                <w:highlight w:val="yellow"/>
              </w:rPr>
            </w:pP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土地使用管制</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无</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其他</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Merge w:val="restart"/>
            <w:vAlign w:val="center"/>
          </w:tcPr>
          <w:p>
            <w:pPr>
              <w:widowControl/>
              <w:jc w:val="center"/>
              <w:rPr>
                <w:rFonts w:ascii="宋体" w:hAnsi="宋体" w:cs="宋体"/>
                <w:sz w:val="22"/>
                <w:szCs w:val="22"/>
              </w:rPr>
            </w:pPr>
            <w:r>
              <w:rPr>
                <w:rFonts w:hint="eastAsia" w:ascii="宋体" w:hAnsi="宋体" w:cs="宋体"/>
                <w:sz w:val="22"/>
                <w:szCs w:val="22"/>
              </w:rPr>
              <w:t>房屋权益状况描述</w:t>
            </w: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房屋建筑面积</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91.2㎡</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房屋用途</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Merge w:val="continue"/>
            <w:vAlign w:val="center"/>
          </w:tcPr>
          <w:p>
            <w:pPr>
              <w:widowControl/>
              <w:jc w:val="center"/>
              <w:rPr>
                <w:rFonts w:ascii="宋体" w:hAnsi="宋体" w:cs="宋体"/>
                <w:sz w:val="22"/>
                <w:szCs w:val="22"/>
              </w:rPr>
            </w:pP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专有建筑面积</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分摊建筑面积</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Merge w:val="continue"/>
            <w:vAlign w:val="center"/>
          </w:tcPr>
          <w:p>
            <w:pPr>
              <w:widowControl/>
              <w:jc w:val="center"/>
              <w:rPr>
                <w:rFonts w:ascii="宋体" w:hAnsi="宋体" w:cs="宋体"/>
                <w:sz w:val="22"/>
                <w:szCs w:val="22"/>
              </w:rPr>
            </w:pP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其他</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房屋类型</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市场商品房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34" w:type="dxa"/>
            <w:vMerge w:val="restart"/>
            <w:vAlign w:val="center"/>
          </w:tcPr>
          <w:p>
            <w:pPr>
              <w:widowControl/>
              <w:jc w:val="center"/>
              <w:rPr>
                <w:rFonts w:ascii="宋体" w:hAnsi="宋体" w:cs="宋体"/>
                <w:sz w:val="22"/>
                <w:szCs w:val="22"/>
              </w:rPr>
            </w:pPr>
            <w:r>
              <w:rPr>
                <w:rFonts w:hint="eastAsia" w:ascii="宋体" w:hAnsi="宋体" w:cs="宋体"/>
                <w:sz w:val="22"/>
                <w:szCs w:val="22"/>
              </w:rPr>
              <w:t>房地产他项权利状况</w:t>
            </w: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权属状况</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划拨/市场商品房</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他项权利记载</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34" w:type="dxa"/>
            <w:vMerge w:val="continue"/>
            <w:vAlign w:val="center"/>
          </w:tcPr>
          <w:p>
            <w:pPr>
              <w:widowControl/>
              <w:jc w:val="center"/>
              <w:rPr>
                <w:rFonts w:ascii="宋体" w:hAnsi="宋体" w:cs="宋体"/>
                <w:sz w:val="22"/>
                <w:szCs w:val="22"/>
              </w:rPr>
            </w:pPr>
          </w:p>
        </w:tc>
        <w:tc>
          <w:tcPr>
            <w:tcW w:w="1845" w:type="dxa"/>
            <w:vAlign w:val="center"/>
          </w:tcPr>
          <w:p>
            <w:pPr>
              <w:widowControl/>
              <w:jc w:val="center"/>
              <w:rPr>
                <w:rFonts w:ascii="宋体" w:hAnsi="宋体" w:cs="宋体"/>
                <w:sz w:val="22"/>
                <w:szCs w:val="22"/>
              </w:rPr>
            </w:pPr>
            <w:r>
              <w:rPr>
                <w:rFonts w:hint="eastAsia" w:ascii="宋体" w:hAnsi="宋体" w:cs="宋体"/>
                <w:sz w:val="22"/>
                <w:szCs w:val="22"/>
              </w:rPr>
              <w:t>出租或占有情况</w:t>
            </w:r>
          </w:p>
        </w:tc>
        <w:tc>
          <w:tcPr>
            <w:tcW w:w="2250" w:type="dxa"/>
            <w:vAlign w:val="center"/>
          </w:tcPr>
          <w:p>
            <w:pPr>
              <w:widowControl/>
              <w:jc w:val="center"/>
              <w:rPr>
                <w:rFonts w:ascii="宋体" w:hAnsi="宋体" w:cs="宋体"/>
                <w:sz w:val="22"/>
                <w:szCs w:val="22"/>
              </w:rPr>
            </w:pPr>
            <w:r>
              <w:rPr>
                <w:rFonts w:hint="eastAsia" w:ascii="宋体" w:hAnsi="宋体" w:cs="宋体"/>
                <w:sz w:val="22"/>
                <w:szCs w:val="22"/>
              </w:rPr>
              <w:t>出租</w:t>
            </w:r>
          </w:p>
        </w:tc>
        <w:tc>
          <w:tcPr>
            <w:tcW w:w="1642" w:type="dxa"/>
            <w:vAlign w:val="center"/>
          </w:tcPr>
          <w:p>
            <w:pPr>
              <w:widowControl/>
              <w:jc w:val="center"/>
              <w:rPr>
                <w:rFonts w:ascii="宋体" w:hAnsi="宋体" w:cs="宋体"/>
                <w:sz w:val="22"/>
                <w:szCs w:val="22"/>
              </w:rPr>
            </w:pPr>
            <w:r>
              <w:rPr>
                <w:rFonts w:hint="eastAsia" w:ascii="宋体" w:hAnsi="宋体" w:cs="宋体"/>
                <w:sz w:val="22"/>
                <w:szCs w:val="22"/>
              </w:rPr>
              <w:t>其他</w:t>
            </w:r>
          </w:p>
        </w:tc>
        <w:tc>
          <w:tcPr>
            <w:tcW w:w="2046" w:type="dxa"/>
            <w:vAlign w:val="center"/>
          </w:tcPr>
          <w:p>
            <w:pPr>
              <w:widowControl/>
              <w:jc w:val="center"/>
              <w:rPr>
                <w:rFonts w:ascii="宋体" w:hAnsi="宋体" w:cs="宋体"/>
                <w:sz w:val="22"/>
                <w:szCs w:val="22"/>
              </w:rPr>
            </w:pPr>
            <w:r>
              <w:rPr>
                <w:rFonts w:hint="eastAsia" w:ascii="宋体" w:hAnsi="宋体" w:cs="宋体"/>
                <w:sz w:val="22"/>
                <w:szCs w:val="22"/>
              </w:rPr>
              <w:t>---</w:t>
            </w:r>
          </w:p>
        </w:tc>
      </w:tr>
    </w:tbl>
    <w:p>
      <w:pPr>
        <w:adjustRightInd w:val="0"/>
        <w:snapToGrid w:val="0"/>
        <w:spacing w:line="500" w:lineRule="exact"/>
        <w:ind w:firstLine="424" w:firstLineChars="177"/>
        <w:rPr>
          <w:sz w:val="24"/>
          <w:szCs w:val="24"/>
        </w:rPr>
      </w:pPr>
      <w:bookmarkStart w:id="46" w:name="_Toc28343"/>
      <w:r>
        <w:rPr>
          <w:sz w:val="24"/>
          <w:szCs w:val="24"/>
        </w:rPr>
        <w:t>3</w:t>
      </w:r>
      <w:r>
        <w:rPr>
          <w:rFonts w:hint="eastAsia"/>
          <w:sz w:val="24"/>
          <w:szCs w:val="24"/>
        </w:rPr>
        <w:t>、</w:t>
      </w:r>
      <w:r>
        <w:rPr>
          <w:sz w:val="24"/>
          <w:szCs w:val="24"/>
        </w:rPr>
        <w:t>区位状况描述与分析</w:t>
      </w:r>
      <w:bookmarkEnd w:id="46"/>
    </w:p>
    <w:p>
      <w:pPr>
        <w:shd w:val="clear" w:color="auto" w:fill="FFFFFF"/>
        <w:snapToGrid w:val="0"/>
        <w:spacing w:line="500" w:lineRule="exact"/>
        <w:ind w:firstLine="480" w:firstLineChars="200"/>
        <w:rPr>
          <w:rFonts w:ascii="宋体" w:hAnsi="宋体" w:cs="宋体"/>
          <w:sz w:val="24"/>
          <w:szCs w:val="24"/>
        </w:rPr>
      </w:pPr>
      <w:r>
        <w:rPr>
          <w:rFonts w:hint="eastAsia" w:ascii="宋体" w:hAnsi="宋体" w:cs="宋体"/>
          <w:sz w:val="24"/>
          <w:szCs w:val="24"/>
        </w:rPr>
        <w:t>3.1、区域概况</w:t>
      </w:r>
    </w:p>
    <w:p>
      <w:pPr>
        <w:pStyle w:val="7"/>
        <w:snapToGrid w:val="0"/>
        <w:ind w:firstLine="480" w:firstLineChars="200"/>
        <w:rPr>
          <w:rFonts w:ascii="宋体" w:hAnsi="宋体" w:eastAsia="宋体" w:cs="宋体"/>
          <w:sz w:val="24"/>
          <w:szCs w:val="24"/>
        </w:rPr>
      </w:pPr>
      <w:r>
        <w:rPr>
          <w:rFonts w:hint="eastAsia" w:ascii="宋体" w:hAnsi="宋体" w:eastAsia="宋体" w:cs="宋体"/>
          <w:sz w:val="24"/>
          <w:szCs w:val="24"/>
        </w:rPr>
        <w:t>（1）海口又称椰城，位于琼州海峡南岸，因地处南渡江入海口而得名，系中国最大的经济特区——海南省省会，全省经济、政治、文化、商贸和交通中心。分设秀英、龙华、琼山、美兰4个区。共辖23个镇和17个街道办事处，138个社区居委会、248个村民委员会、2765个经济社（村民小组）、4个农垦农场、2个省属农场。截止2011年末统计，海口市共有常住人口2097300人， 2011年常住人口自然增长率为8.20%。</w:t>
      </w:r>
    </w:p>
    <w:p>
      <w:pPr>
        <w:pStyle w:val="7"/>
        <w:snapToGrid w:val="0"/>
        <w:ind w:firstLine="480" w:firstLineChars="200"/>
        <w:rPr>
          <w:rFonts w:ascii="宋体" w:hAnsi="宋体" w:eastAsia="宋体" w:cs="宋体"/>
          <w:sz w:val="24"/>
          <w:szCs w:val="24"/>
        </w:rPr>
      </w:pPr>
      <w:r>
        <w:rPr>
          <w:rFonts w:hint="eastAsia" w:ascii="宋体" w:hAnsi="宋体" w:eastAsia="宋体" w:cs="宋体"/>
          <w:sz w:val="24"/>
          <w:szCs w:val="24"/>
        </w:rPr>
        <w:t>海口市地处热带滨海，热带资源呈现多样性，富于海滨自然特色风光景观。地形略呈长心形，地势平缓，海南岛最长的河流—南渡江从海口市中部穿过。西北部和东南部较高，中部南渡江沿岸低平，北部多为沿海小平原。地处低纬度热带边缘，属于热带海洋气候，春季温暖少雨多旱，夏季高温多雨，秋季湿凉多台风暴雨，冬季干旱时有冷气流侵袭带有阵寒。全年日照时间长，辐射能量大，年平均日照时数2000小时以上，年平均气温23.8℃左右，年平均降水量1664毫米，年平均蒸发量1834毫米，平均相对湿度85%，常年以东北风和东南风为主。南渡江主流在市区长75公里，流域面积1300平方公里，年径流量60.99亿立方米。有凤谭、铁炉、东湖、风圮、云龙、丁荣、岭北、玉凤、沙坡等水库，总库容量15000多万立方米。海口市北面临海，海域面积830平方公里，海岸线长131平方公里。60米～100米等深线以内的海域面积约200平方公里，10米等深线以内的浅海、滩涂面积上百平方公里。大部分海岸坡度平缓，岸线开阔连绵，沙岸带沙细洁白，有热带海洋世界、假日海滩、西秀海滩、粤海铁路通道南站码头海滩、白沙门海滩、东寨港海滨海滩、桂林洋海滩等海滨风景区和游乐区。海口市矿产资源丰富，现探明的矿产主要有煤、硅藻土、泥碳、粘土、高岭土、铝土矿、矿泉水、地热水、石材和河砂等。</w:t>
      </w:r>
    </w:p>
    <w:p>
      <w:pPr>
        <w:pStyle w:val="7"/>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海口市现有陆地面积2304.84平方公里。农业用地（耕地、园地、林地、草地等）面积131262.82公顷、建设用地面积44391.32公顷、未利用土地14250.83公顷。建设用地中，城镇工矿用地面积为923.65公顷；农村居民点用地面积11176.00公顷；交通运输用地和水利设施用地分别为3360.99公顷和3210.05公顷；其他建设用地面积5197.05公顷。“十二五”期间海口市计划储备土地约9万亩，分布在主城区、产业园区、城镇等。至2011年底，海口市土地储备量为4.7万亩。</w:t>
      </w:r>
    </w:p>
    <w:p>
      <w:pPr>
        <w:shd w:val="clear" w:color="auto" w:fill="FFFFFF"/>
        <w:snapToGrid w:val="0"/>
        <w:spacing w:line="360" w:lineRule="auto"/>
        <w:ind w:firstLine="480" w:firstLineChars="200"/>
        <w:rPr>
          <w:rFonts w:ascii="宋体" w:hAnsi="宋体" w:cs="宋体"/>
          <w:sz w:val="24"/>
          <w:szCs w:val="24"/>
        </w:rPr>
      </w:pPr>
      <w:r>
        <w:rPr>
          <w:rFonts w:hint="eastAsia" w:ascii="宋体" w:hAnsi="宋体" w:cs="宋体"/>
          <w:sz w:val="24"/>
          <w:szCs w:val="24"/>
        </w:rPr>
        <w:t>（2）美兰区隶属于</w:t>
      </w:r>
      <w:r>
        <w:fldChar w:fldCharType="begin"/>
      </w:r>
      <w:r>
        <w:instrText xml:space="preserve"> HYPERLINK "https://baike.sogou.com/lemma/ShowInnerLink.htm?lemmaId=121241&amp;ss_c=ssc.citiao.link" \t "https://baike.sogou.com/_blank" </w:instrText>
      </w:r>
      <w:r>
        <w:fldChar w:fldCharType="separate"/>
      </w:r>
      <w:r>
        <w:rPr>
          <w:rFonts w:hint="eastAsia" w:ascii="宋体" w:hAnsi="宋体" w:cs="宋体"/>
          <w:sz w:val="24"/>
          <w:szCs w:val="24"/>
        </w:rPr>
        <w:t>海南省海口市</w:t>
      </w:r>
      <w:r>
        <w:rPr>
          <w:rFonts w:hint="eastAsia" w:ascii="宋体" w:hAnsi="宋体" w:cs="宋体"/>
          <w:sz w:val="24"/>
          <w:szCs w:val="24"/>
        </w:rPr>
        <w:fldChar w:fldCharType="end"/>
      </w:r>
      <w:r>
        <w:rPr>
          <w:rFonts w:hint="eastAsia" w:ascii="宋体" w:hAnsi="宋体" w:cs="宋体"/>
          <w:sz w:val="24"/>
          <w:szCs w:val="24"/>
        </w:rPr>
        <w:t>，位于海口东部19’57-20’05，东经110’10-110’23，东接</w:t>
      </w:r>
      <w:r>
        <w:fldChar w:fldCharType="begin"/>
      </w:r>
      <w:r>
        <w:instrText xml:space="preserve"> HYPERLINK "https://baike.sogou.com/lemma/ShowInnerLink.htm?lemmaId=4250731&amp;ss_c=ssc.citiao.link" \t "https://baike.sogou.com/_blank" </w:instrText>
      </w:r>
      <w:r>
        <w:fldChar w:fldCharType="separate"/>
      </w:r>
      <w:r>
        <w:rPr>
          <w:rFonts w:hint="eastAsia" w:ascii="宋体" w:hAnsi="宋体" w:cs="宋体"/>
          <w:sz w:val="24"/>
          <w:szCs w:val="24"/>
        </w:rPr>
        <w:t>文昌市</w:t>
      </w:r>
      <w:r>
        <w:rPr>
          <w:rFonts w:hint="eastAsia" w:ascii="宋体" w:hAnsi="宋体" w:cs="宋体"/>
          <w:sz w:val="24"/>
          <w:szCs w:val="24"/>
        </w:rPr>
        <w:fldChar w:fldCharType="end"/>
      </w:r>
      <w:r>
        <w:rPr>
          <w:rFonts w:hint="eastAsia" w:ascii="宋体" w:hAnsi="宋体" w:cs="宋体"/>
          <w:sz w:val="24"/>
          <w:szCs w:val="24"/>
        </w:rPr>
        <w:t>，南连</w:t>
      </w:r>
      <w:r>
        <w:fldChar w:fldCharType="begin"/>
      </w:r>
      <w:r>
        <w:instrText xml:space="preserve"> HYPERLINK "https://baike.sogou.com/lemma/ShowInnerLink.htm?lemmaId=80815&amp;ss_c=ssc.citiao.link" \t "https://baike.sogou.com/_blank" </w:instrText>
      </w:r>
      <w:r>
        <w:fldChar w:fldCharType="separate"/>
      </w:r>
      <w:r>
        <w:rPr>
          <w:rFonts w:hint="eastAsia" w:ascii="宋体" w:hAnsi="宋体" w:cs="宋体"/>
          <w:sz w:val="24"/>
          <w:szCs w:val="24"/>
        </w:rPr>
        <w:t>琼山区</w:t>
      </w:r>
      <w:r>
        <w:rPr>
          <w:rFonts w:hint="eastAsia" w:ascii="宋体" w:hAnsi="宋体" w:cs="宋体"/>
          <w:sz w:val="24"/>
          <w:szCs w:val="24"/>
        </w:rPr>
        <w:fldChar w:fldCharType="end"/>
      </w:r>
      <w:r>
        <w:rPr>
          <w:rFonts w:hint="eastAsia" w:ascii="宋体" w:hAnsi="宋体" w:cs="宋体"/>
          <w:sz w:val="24"/>
          <w:szCs w:val="24"/>
        </w:rPr>
        <w:t>，西接龙华区，北临琼州海峡，是海南省委、省政府机关所在地，是海南省政治经济文化中心和海口市的中心城区，是全国连片面积最大的</w:t>
      </w:r>
      <w:r>
        <w:fldChar w:fldCharType="begin"/>
      </w:r>
      <w:r>
        <w:instrText xml:space="preserve"> HYPERLINK "https://baike.sogou.com/lemma/ShowInnerLink.htm?lemmaId=108965&amp;ss_c=ssc.citiao.link" \t "https://baike.sogou.com/_blank" </w:instrText>
      </w:r>
      <w:r>
        <w:fldChar w:fldCharType="separate"/>
      </w:r>
      <w:r>
        <w:rPr>
          <w:rFonts w:hint="eastAsia" w:ascii="宋体" w:hAnsi="宋体" w:cs="宋体"/>
          <w:sz w:val="24"/>
          <w:szCs w:val="24"/>
        </w:rPr>
        <w:t>莲雾</w:t>
      </w:r>
      <w:r>
        <w:rPr>
          <w:rFonts w:hint="eastAsia" w:ascii="宋体" w:hAnsi="宋体" w:cs="宋体"/>
          <w:sz w:val="24"/>
          <w:szCs w:val="24"/>
        </w:rPr>
        <w:fldChar w:fldCharType="end"/>
      </w:r>
      <w:r>
        <w:rPr>
          <w:rFonts w:hint="eastAsia" w:ascii="宋体" w:hAnsi="宋体" w:cs="宋体"/>
          <w:sz w:val="24"/>
          <w:szCs w:val="24"/>
        </w:rPr>
        <w:t>种植基地，是</w:t>
      </w:r>
      <w:r>
        <w:fldChar w:fldCharType="begin"/>
      </w:r>
      <w:r>
        <w:instrText xml:space="preserve"> HYPERLINK "https://baike.sogou.com/lemma/ShowInnerLink.htm?lemmaId=513497&amp;ss_c=ssc.citiao.link" \t "https://baike.sogou.com/_blank" </w:instrText>
      </w:r>
      <w:r>
        <w:fldChar w:fldCharType="separate"/>
      </w:r>
      <w:r>
        <w:rPr>
          <w:rFonts w:hint="eastAsia" w:ascii="宋体" w:hAnsi="宋体" w:cs="宋体"/>
          <w:sz w:val="24"/>
          <w:szCs w:val="24"/>
        </w:rPr>
        <w:t>国家农业部</w:t>
      </w:r>
      <w:r>
        <w:rPr>
          <w:rFonts w:hint="eastAsia" w:ascii="宋体" w:hAnsi="宋体" w:cs="宋体"/>
          <w:sz w:val="24"/>
          <w:szCs w:val="24"/>
        </w:rPr>
        <w:fldChar w:fldCharType="end"/>
      </w:r>
      <w:r>
        <w:rPr>
          <w:rFonts w:hint="eastAsia" w:ascii="宋体" w:hAnsi="宋体" w:cs="宋体"/>
          <w:sz w:val="24"/>
          <w:szCs w:val="24"/>
        </w:rPr>
        <w:t>、</w:t>
      </w:r>
      <w:r>
        <w:fldChar w:fldCharType="begin"/>
      </w:r>
      <w:r>
        <w:instrText xml:space="preserve"> HYPERLINK "https://baike.sogou.com/lemma/ShowInnerLink.htm?lemmaId=73615523&amp;ss_c=ssc.citiao.link" \t "https://baike.sogou.com/_blank" </w:instrText>
      </w:r>
      <w:r>
        <w:fldChar w:fldCharType="separate"/>
      </w:r>
      <w:r>
        <w:rPr>
          <w:rFonts w:hint="eastAsia" w:ascii="宋体" w:hAnsi="宋体" w:cs="宋体"/>
          <w:sz w:val="24"/>
          <w:szCs w:val="24"/>
        </w:rPr>
        <w:t>海南省农业厅</w:t>
      </w:r>
      <w:r>
        <w:rPr>
          <w:rFonts w:hint="eastAsia" w:ascii="宋体" w:hAnsi="宋体" w:cs="宋体"/>
          <w:sz w:val="24"/>
          <w:szCs w:val="24"/>
        </w:rPr>
        <w:fldChar w:fldCharType="end"/>
      </w:r>
      <w:r>
        <w:rPr>
          <w:rFonts w:hint="eastAsia" w:ascii="宋体" w:hAnsi="宋体" w:cs="宋体"/>
          <w:sz w:val="24"/>
          <w:szCs w:val="24"/>
        </w:rPr>
        <w:t>的重要热带水果示范基地。</w:t>
      </w:r>
    </w:p>
    <w:p>
      <w:pPr>
        <w:pStyle w:val="7"/>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美兰区属于季风性热带气候区</w:t>
      </w:r>
      <w:bookmarkStart w:id="47" w:name="ref_1"/>
      <w:bookmarkEnd w:id="47"/>
      <w:r>
        <w:rPr>
          <w:rFonts w:hint="eastAsia" w:ascii="宋体" w:hAnsi="宋体" w:eastAsia="宋体" w:cs="宋体"/>
          <w:sz w:val="24"/>
          <w:szCs w:val="24"/>
        </w:rPr>
        <w:t>，总面积581平方公里，常住人口69.59万人（2016年末）</w:t>
      </w:r>
      <w:bookmarkStart w:id="48" w:name="ref_2"/>
      <w:bookmarkEnd w:id="48"/>
      <w:r>
        <w:rPr>
          <w:rFonts w:hint="eastAsia" w:ascii="宋体" w:hAnsi="宋体" w:eastAsia="宋体" w:cs="宋体"/>
          <w:sz w:val="24"/>
          <w:szCs w:val="24"/>
        </w:rPr>
        <w:t>，下辖9个街道办事处、4个镇，共53个</w:t>
      </w:r>
      <w:r>
        <w:fldChar w:fldCharType="begin"/>
      </w:r>
      <w:r>
        <w:instrText xml:space="preserve"> HYPERLINK "https://baike.sogou.com/lemma/ShowInnerLink.htm?lemmaId=673796&amp;ss_c=ssc.citiao.link" \t "https://baike.sogou.com/_blank" </w:instrText>
      </w:r>
      <w:r>
        <w:fldChar w:fldCharType="separate"/>
      </w:r>
      <w:r>
        <w:rPr>
          <w:rFonts w:hint="eastAsia" w:ascii="宋体" w:hAnsi="宋体" w:eastAsia="宋体" w:cs="宋体"/>
          <w:sz w:val="24"/>
          <w:szCs w:val="24"/>
        </w:rPr>
        <w:t>社区居民委员会</w:t>
      </w:r>
      <w:r>
        <w:rPr>
          <w:rFonts w:hint="eastAsia" w:ascii="宋体" w:hAnsi="宋体" w:eastAsia="宋体" w:cs="宋体"/>
          <w:sz w:val="24"/>
          <w:szCs w:val="24"/>
        </w:rPr>
        <w:fldChar w:fldCharType="end"/>
      </w:r>
      <w:r>
        <w:rPr>
          <w:rFonts w:hint="eastAsia" w:ascii="宋体" w:hAnsi="宋体" w:eastAsia="宋体" w:cs="宋体"/>
          <w:sz w:val="24"/>
          <w:szCs w:val="24"/>
        </w:rPr>
        <w:t>、53个村民委员会，3个农场和冲坡岭热带作物场（区管），境内有</w:t>
      </w:r>
      <w:r>
        <w:fldChar w:fldCharType="begin"/>
      </w:r>
      <w:r>
        <w:instrText xml:space="preserve"> HYPERLINK "https://baike.sogou.com/lemma/ShowInnerLink.htm?lemmaId=430688&amp;ss_c=ssc.citiao.link" \t "https://baike.sogou.com/_blank" </w:instrText>
      </w:r>
      <w:r>
        <w:fldChar w:fldCharType="separate"/>
      </w:r>
      <w:r>
        <w:rPr>
          <w:rFonts w:hint="eastAsia" w:ascii="宋体" w:hAnsi="宋体" w:eastAsia="宋体" w:cs="宋体"/>
          <w:sz w:val="24"/>
          <w:szCs w:val="24"/>
        </w:rPr>
        <w:t>东寨港红树林</w:t>
      </w:r>
      <w:r>
        <w:rPr>
          <w:rFonts w:hint="eastAsia" w:ascii="宋体" w:hAnsi="宋体" w:eastAsia="宋体" w:cs="宋体"/>
          <w:sz w:val="24"/>
          <w:szCs w:val="24"/>
        </w:rPr>
        <w:fldChar w:fldCharType="end"/>
      </w:r>
      <w:r>
        <w:rPr>
          <w:rFonts w:hint="eastAsia" w:ascii="宋体" w:hAnsi="宋体" w:eastAsia="宋体" w:cs="宋体"/>
          <w:sz w:val="24"/>
          <w:szCs w:val="24"/>
        </w:rPr>
        <w:t>、东寨港琼北地震遗址、</w:t>
      </w:r>
      <w:r>
        <w:fldChar w:fldCharType="begin"/>
      </w:r>
      <w:r>
        <w:instrText xml:space="preserve"> HYPERLINK "https://baike.sogou.com/lemma/ShowInnerLink.htm?lemmaId=742065&amp;ss_c=ssc.citiao.link" \t "https://baike.sogou.com/_blank" </w:instrText>
      </w:r>
      <w:r>
        <w:fldChar w:fldCharType="separate"/>
      </w:r>
      <w:r>
        <w:rPr>
          <w:rFonts w:hint="eastAsia" w:ascii="宋体" w:hAnsi="宋体" w:eastAsia="宋体" w:cs="宋体"/>
          <w:sz w:val="24"/>
          <w:szCs w:val="24"/>
        </w:rPr>
        <w:t>海甸岛</w:t>
      </w:r>
      <w:r>
        <w:rPr>
          <w:rFonts w:hint="eastAsia" w:ascii="宋体" w:hAnsi="宋体" w:eastAsia="宋体" w:cs="宋体"/>
          <w:sz w:val="24"/>
          <w:szCs w:val="24"/>
        </w:rPr>
        <w:fldChar w:fldCharType="end"/>
      </w:r>
      <w:r>
        <w:rPr>
          <w:rFonts w:hint="eastAsia" w:ascii="宋体" w:hAnsi="宋体" w:eastAsia="宋体" w:cs="宋体"/>
          <w:sz w:val="24"/>
          <w:szCs w:val="24"/>
        </w:rPr>
        <w:t>、新埠岛、司马坡岛和</w:t>
      </w:r>
      <w:r>
        <w:fldChar w:fldCharType="begin"/>
      </w:r>
      <w:r>
        <w:instrText xml:space="preserve"> HYPERLINK "https://baike.sogou.com/lemma/ShowInnerLink.htm?lemmaId=10655234&amp;ss_c=ssc.citiao.link" \t "https://baike.sogou.com/_blank" </w:instrText>
      </w:r>
      <w:r>
        <w:fldChar w:fldCharType="separate"/>
      </w:r>
      <w:r>
        <w:rPr>
          <w:rFonts w:hint="eastAsia" w:ascii="宋体" w:hAnsi="宋体" w:eastAsia="宋体" w:cs="宋体"/>
          <w:sz w:val="24"/>
          <w:szCs w:val="24"/>
        </w:rPr>
        <w:t>北港岛</w:t>
      </w:r>
      <w:r>
        <w:rPr>
          <w:rFonts w:hint="eastAsia" w:ascii="宋体" w:hAnsi="宋体" w:eastAsia="宋体" w:cs="宋体"/>
          <w:sz w:val="24"/>
          <w:szCs w:val="24"/>
        </w:rPr>
        <w:fldChar w:fldCharType="end"/>
      </w:r>
      <w:r>
        <w:rPr>
          <w:rFonts w:hint="eastAsia" w:ascii="宋体" w:hAnsi="宋体" w:eastAsia="宋体" w:cs="宋体"/>
          <w:sz w:val="24"/>
          <w:szCs w:val="24"/>
        </w:rPr>
        <w:t>等景点。</w:t>
      </w:r>
    </w:p>
    <w:p>
      <w:pPr>
        <w:pStyle w:val="7"/>
        <w:snapToGrid w:val="0"/>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3.2、所在区位状况描述与分析</w:t>
      </w:r>
    </w:p>
    <w:tbl>
      <w:tblPr>
        <w:tblStyle w:val="28"/>
        <w:tblW w:w="8741" w:type="dxa"/>
        <w:tblInd w:w="85" w:type="dxa"/>
        <w:tblLayout w:type="fixed"/>
        <w:tblCellMar>
          <w:top w:w="0" w:type="dxa"/>
          <w:left w:w="108" w:type="dxa"/>
          <w:bottom w:w="0" w:type="dxa"/>
          <w:right w:w="108" w:type="dxa"/>
        </w:tblCellMar>
      </w:tblPr>
      <w:tblGrid>
        <w:gridCol w:w="775"/>
        <w:gridCol w:w="1835"/>
        <w:gridCol w:w="6131"/>
      </w:tblGrid>
      <w:tr>
        <w:tblPrEx>
          <w:tblCellMar>
            <w:top w:w="0" w:type="dxa"/>
            <w:left w:w="108" w:type="dxa"/>
            <w:bottom w:w="0" w:type="dxa"/>
            <w:right w:w="108" w:type="dxa"/>
          </w:tblCellMar>
        </w:tblPrEx>
        <w:trPr>
          <w:trHeight w:val="562" w:hRule="atLeast"/>
        </w:trPr>
        <w:tc>
          <w:tcPr>
            <w:tcW w:w="2610" w:type="dxa"/>
            <w:gridSpan w:val="2"/>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名称</w:t>
            </w:r>
          </w:p>
        </w:tc>
        <w:tc>
          <w:tcPr>
            <w:tcW w:w="6131" w:type="dxa"/>
            <w:tcBorders>
              <w:top w:val="double" w:color="auto" w:sz="6" w:space="0"/>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kern w:val="0"/>
                <w:sz w:val="22"/>
                <w:szCs w:val="22"/>
              </w:rPr>
              <w:t>海口市人民路沿江三西街13号海南大学40栋401房</w:t>
            </w:r>
          </w:p>
        </w:tc>
      </w:tr>
      <w:tr>
        <w:tblPrEx>
          <w:tblCellMar>
            <w:top w:w="0" w:type="dxa"/>
            <w:left w:w="108" w:type="dxa"/>
            <w:bottom w:w="0" w:type="dxa"/>
            <w:right w:w="108" w:type="dxa"/>
          </w:tblCellMar>
        </w:tblPrEx>
        <w:trPr>
          <w:trHeight w:val="376" w:hRule="atLeast"/>
        </w:trPr>
        <w:tc>
          <w:tcPr>
            <w:tcW w:w="775" w:type="dxa"/>
            <w:vMerge w:val="restart"/>
            <w:tcBorders>
              <w:top w:val="nil"/>
              <w:left w:val="double" w:color="auto" w:sz="6"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位置状况</w:t>
            </w: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坐落</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海口市</w:t>
            </w:r>
            <w:r>
              <w:rPr>
                <w:rFonts w:hint="eastAsia"/>
                <w:kern w:val="0"/>
                <w:sz w:val="22"/>
                <w:szCs w:val="22"/>
              </w:rPr>
              <w:t>沿江三山西路</w:t>
            </w:r>
          </w:p>
        </w:tc>
      </w:tr>
      <w:tr>
        <w:tblPrEx>
          <w:tblCellMar>
            <w:top w:w="0" w:type="dxa"/>
            <w:left w:w="108" w:type="dxa"/>
            <w:bottom w:w="0" w:type="dxa"/>
            <w:right w:w="108" w:type="dxa"/>
          </w:tblCellMar>
        </w:tblPrEx>
        <w:trPr>
          <w:trHeight w:val="319" w:hRule="atLeast"/>
        </w:trPr>
        <w:tc>
          <w:tcPr>
            <w:tcW w:w="775" w:type="dxa"/>
            <w:vMerge w:val="continue"/>
            <w:tcBorders>
              <w:top w:val="nil"/>
              <w:left w:val="double" w:color="auto" w:sz="6" w:space="0"/>
              <w:bottom w:val="single" w:color="auto" w:sz="4" w:space="0"/>
              <w:right w:val="single" w:color="auto" w:sz="4" w:space="0"/>
            </w:tcBorders>
            <w:shd w:val="clear" w:color="auto" w:fill="auto"/>
            <w:vAlign w:val="center"/>
          </w:tcPr>
          <w:p>
            <w:pPr>
              <w:widowControl/>
              <w:jc w:val="left"/>
              <w:rPr>
                <w:kern w:val="0"/>
                <w:sz w:val="22"/>
                <w:szCs w:val="22"/>
              </w:rPr>
            </w:pP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方位</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kern w:val="0"/>
                <w:sz w:val="22"/>
                <w:szCs w:val="22"/>
              </w:rPr>
              <w:t>海口市美兰区</w:t>
            </w:r>
          </w:p>
        </w:tc>
      </w:tr>
      <w:tr>
        <w:tblPrEx>
          <w:tblCellMar>
            <w:top w:w="0" w:type="dxa"/>
            <w:left w:w="108" w:type="dxa"/>
            <w:bottom w:w="0" w:type="dxa"/>
            <w:right w:w="108" w:type="dxa"/>
          </w:tblCellMar>
        </w:tblPrEx>
        <w:trPr>
          <w:trHeight w:val="519" w:hRule="atLeast"/>
        </w:trPr>
        <w:tc>
          <w:tcPr>
            <w:tcW w:w="775" w:type="dxa"/>
            <w:vMerge w:val="continue"/>
            <w:tcBorders>
              <w:top w:val="nil"/>
              <w:left w:val="double" w:color="auto" w:sz="6" w:space="0"/>
              <w:bottom w:val="single" w:color="auto" w:sz="4" w:space="0"/>
              <w:right w:val="single" w:color="auto" w:sz="4" w:space="0"/>
            </w:tcBorders>
            <w:shd w:val="clear" w:color="auto" w:fill="auto"/>
            <w:vAlign w:val="center"/>
          </w:tcPr>
          <w:p>
            <w:pPr>
              <w:widowControl/>
              <w:jc w:val="left"/>
              <w:rPr>
                <w:kern w:val="0"/>
                <w:sz w:val="22"/>
                <w:szCs w:val="22"/>
              </w:rPr>
            </w:pP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与重要场所或设施的距离</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cs="宋体"/>
                <w:kern w:val="0"/>
                <w:sz w:val="22"/>
                <w:szCs w:val="22"/>
              </w:rPr>
              <w:t>距离海口长途汽车东站</w:t>
            </w:r>
            <w:r>
              <w:rPr>
                <w:rFonts w:hint="eastAsia"/>
                <w:kern w:val="0"/>
                <w:sz w:val="22"/>
                <w:szCs w:val="22"/>
              </w:rPr>
              <w:t>7</w:t>
            </w:r>
            <w:r>
              <w:rPr>
                <w:rFonts w:hint="eastAsia" w:ascii="宋体" w:hAnsi="宋体" w:cs="宋体"/>
                <w:kern w:val="0"/>
                <w:sz w:val="22"/>
                <w:szCs w:val="22"/>
              </w:rPr>
              <w:t>公</w:t>
            </w:r>
            <w:r>
              <w:rPr>
                <w:rFonts w:hint="eastAsia"/>
                <w:kern w:val="0"/>
                <w:sz w:val="22"/>
                <w:szCs w:val="22"/>
              </w:rPr>
              <w:t>里</w:t>
            </w:r>
          </w:p>
        </w:tc>
      </w:tr>
      <w:tr>
        <w:tblPrEx>
          <w:tblCellMar>
            <w:top w:w="0" w:type="dxa"/>
            <w:left w:w="108" w:type="dxa"/>
            <w:bottom w:w="0" w:type="dxa"/>
            <w:right w:w="108" w:type="dxa"/>
          </w:tblCellMar>
        </w:tblPrEx>
        <w:trPr>
          <w:trHeight w:val="308" w:hRule="atLeast"/>
        </w:trPr>
        <w:tc>
          <w:tcPr>
            <w:tcW w:w="775" w:type="dxa"/>
            <w:vMerge w:val="continue"/>
            <w:tcBorders>
              <w:top w:val="nil"/>
              <w:left w:val="double" w:color="auto" w:sz="6" w:space="0"/>
              <w:bottom w:val="single" w:color="auto" w:sz="4" w:space="0"/>
              <w:right w:val="single" w:color="auto" w:sz="4" w:space="0"/>
            </w:tcBorders>
            <w:shd w:val="clear" w:color="auto" w:fill="auto"/>
            <w:vAlign w:val="center"/>
          </w:tcPr>
          <w:p>
            <w:pPr>
              <w:widowControl/>
              <w:jc w:val="left"/>
              <w:rPr>
                <w:kern w:val="0"/>
                <w:sz w:val="22"/>
                <w:szCs w:val="22"/>
              </w:rPr>
            </w:pP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朝向/临街状况</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cs="宋体"/>
                <w:kern w:val="0"/>
                <w:sz w:val="22"/>
                <w:szCs w:val="22"/>
              </w:rPr>
              <w:t>南北朝向，不临街</w:t>
            </w:r>
          </w:p>
        </w:tc>
      </w:tr>
      <w:tr>
        <w:tblPrEx>
          <w:tblCellMar>
            <w:top w:w="0" w:type="dxa"/>
            <w:left w:w="108" w:type="dxa"/>
            <w:bottom w:w="0" w:type="dxa"/>
            <w:right w:w="108" w:type="dxa"/>
          </w:tblCellMar>
        </w:tblPrEx>
        <w:trPr>
          <w:trHeight w:val="386" w:hRule="atLeast"/>
        </w:trPr>
        <w:tc>
          <w:tcPr>
            <w:tcW w:w="775" w:type="dxa"/>
            <w:vMerge w:val="continue"/>
            <w:tcBorders>
              <w:top w:val="nil"/>
              <w:left w:val="double" w:color="auto" w:sz="6" w:space="0"/>
              <w:bottom w:val="single" w:color="auto" w:sz="4" w:space="0"/>
              <w:right w:val="single" w:color="auto" w:sz="4" w:space="0"/>
            </w:tcBorders>
            <w:shd w:val="clear" w:color="auto" w:fill="auto"/>
            <w:vAlign w:val="center"/>
          </w:tcPr>
          <w:p>
            <w:pPr>
              <w:widowControl/>
              <w:jc w:val="left"/>
              <w:rPr>
                <w:kern w:val="0"/>
                <w:sz w:val="22"/>
                <w:szCs w:val="22"/>
              </w:rPr>
            </w:pP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楼层</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cs="宋体"/>
                <w:kern w:val="0"/>
                <w:sz w:val="22"/>
                <w:szCs w:val="22"/>
              </w:rPr>
              <w:t>总楼层</w:t>
            </w:r>
            <w:r>
              <w:rPr>
                <w:rFonts w:hint="eastAsia"/>
                <w:kern w:val="0"/>
                <w:sz w:val="22"/>
                <w:szCs w:val="22"/>
              </w:rPr>
              <w:t>5</w:t>
            </w:r>
            <w:r>
              <w:rPr>
                <w:rFonts w:hint="eastAsia" w:ascii="宋体" w:hAnsi="宋体" w:cs="宋体"/>
                <w:kern w:val="0"/>
                <w:sz w:val="22"/>
                <w:szCs w:val="22"/>
              </w:rPr>
              <w:t>层，评估对象所在楼层为第</w:t>
            </w:r>
            <w:r>
              <w:rPr>
                <w:rFonts w:hint="eastAsia"/>
                <w:kern w:val="0"/>
                <w:sz w:val="22"/>
                <w:szCs w:val="22"/>
              </w:rPr>
              <w:t>4</w:t>
            </w:r>
            <w:r>
              <w:rPr>
                <w:rFonts w:hint="eastAsia" w:ascii="宋体" w:hAnsi="宋体" w:cs="宋体"/>
                <w:kern w:val="0"/>
                <w:sz w:val="22"/>
                <w:szCs w:val="22"/>
              </w:rPr>
              <w:t>层</w:t>
            </w:r>
          </w:p>
        </w:tc>
      </w:tr>
      <w:tr>
        <w:tblPrEx>
          <w:tblCellMar>
            <w:top w:w="0" w:type="dxa"/>
            <w:left w:w="108" w:type="dxa"/>
            <w:bottom w:w="0" w:type="dxa"/>
            <w:right w:w="108" w:type="dxa"/>
          </w:tblCellMar>
        </w:tblPrEx>
        <w:trPr>
          <w:trHeight w:val="548" w:hRule="atLeast"/>
        </w:trPr>
        <w:tc>
          <w:tcPr>
            <w:tcW w:w="2610" w:type="dxa"/>
            <w:gridSpan w:val="2"/>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kern w:val="0"/>
                <w:sz w:val="22"/>
                <w:szCs w:val="22"/>
              </w:rPr>
            </w:pPr>
            <w:r>
              <w:rPr>
                <w:kern w:val="0"/>
                <w:sz w:val="22"/>
                <w:szCs w:val="22"/>
              </w:rPr>
              <w:t>周边知名物业</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cs="宋体"/>
                <w:kern w:val="0"/>
                <w:sz w:val="22"/>
                <w:szCs w:val="22"/>
              </w:rPr>
              <w:t>海口市政花园、兆南公寓、水岸银湾、南希苑</w:t>
            </w:r>
          </w:p>
        </w:tc>
      </w:tr>
      <w:tr>
        <w:tblPrEx>
          <w:tblCellMar>
            <w:top w:w="0" w:type="dxa"/>
            <w:left w:w="108" w:type="dxa"/>
            <w:bottom w:w="0" w:type="dxa"/>
            <w:right w:w="108" w:type="dxa"/>
          </w:tblCellMar>
        </w:tblPrEx>
        <w:trPr>
          <w:trHeight w:val="320" w:hRule="atLeast"/>
        </w:trPr>
        <w:tc>
          <w:tcPr>
            <w:tcW w:w="775" w:type="dxa"/>
            <w:vMerge w:val="restart"/>
            <w:tcBorders>
              <w:top w:val="nil"/>
              <w:left w:val="double" w:color="auto" w:sz="6" w:space="0"/>
              <w:bottom w:val="single" w:color="000000" w:sz="4" w:space="0"/>
              <w:right w:val="single" w:color="auto" w:sz="4" w:space="0"/>
            </w:tcBorders>
            <w:shd w:val="clear" w:color="000000" w:fill="FFFFFF"/>
            <w:vAlign w:val="center"/>
          </w:tcPr>
          <w:p>
            <w:pPr>
              <w:widowControl/>
              <w:jc w:val="center"/>
              <w:rPr>
                <w:kern w:val="0"/>
                <w:sz w:val="22"/>
                <w:szCs w:val="22"/>
              </w:rPr>
            </w:pPr>
            <w:r>
              <w:rPr>
                <w:kern w:val="0"/>
                <w:sz w:val="22"/>
                <w:szCs w:val="22"/>
              </w:rPr>
              <w:t>交通状况</w:t>
            </w: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道路状况</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cs="宋体"/>
                <w:kern w:val="0"/>
                <w:sz w:val="22"/>
                <w:szCs w:val="22"/>
              </w:rPr>
              <w:t>海甸三西路，车流量大</w:t>
            </w:r>
            <w:r>
              <w:rPr>
                <w:rFonts w:hint="eastAsia"/>
                <w:kern w:val="0"/>
                <w:sz w:val="22"/>
                <w:szCs w:val="22"/>
              </w:rPr>
              <w:t>,</w:t>
            </w:r>
            <w:r>
              <w:rPr>
                <w:kern w:val="0"/>
                <w:sz w:val="22"/>
                <w:szCs w:val="22"/>
              </w:rPr>
              <w:t>车流量较大，车流量大</w:t>
            </w:r>
          </w:p>
        </w:tc>
      </w:tr>
      <w:tr>
        <w:tblPrEx>
          <w:tblCellMar>
            <w:top w:w="0" w:type="dxa"/>
            <w:left w:w="108" w:type="dxa"/>
            <w:bottom w:w="0" w:type="dxa"/>
            <w:right w:w="108" w:type="dxa"/>
          </w:tblCellMar>
        </w:tblPrEx>
        <w:trPr>
          <w:trHeight w:val="562" w:hRule="atLeast"/>
        </w:trPr>
        <w:tc>
          <w:tcPr>
            <w:tcW w:w="775" w:type="dxa"/>
            <w:vMerge w:val="continue"/>
            <w:tcBorders>
              <w:top w:val="nil"/>
              <w:left w:val="double" w:color="auto" w:sz="6" w:space="0"/>
              <w:bottom w:val="single" w:color="000000" w:sz="4" w:space="0"/>
              <w:right w:val="single" w:color="auto" w:sz="4" w:space="0"/>
            </w:tcBorders>
            <w:shd w:val="clear" w:color="auto" w:fill="auto"/>
            <w:vAlign w:val="center"/>
          </w:tcPr>
          <w:p>
            <w:pPr>
              <w:widowControl/>
              <w:jc w:val="left"/>
              <w:rPr>
                <w:kern w:val="0"/>
                <w:sz w:val="22"/>
                <w:szCs w:val="22"/>
              </w:rPr>
            </w:pP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出入可利用交通工具</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kern w:val="0"/>
                <w:sz w:val="22"/>
                <w:szCs w:val="22"/>
              </w:rPr>
              <w:t>17路、30路、20路、26路、61路</w:t>
            </w:r>
            <w:r>
              <w:rPr>
                <w:kern w:val="0"/>
                <w:sz w:val="22"/>
                <w:szCs w:val="22"/>
              </w:rPr>
              <w:t>等</w:t>
            </w:r>
          </w:p>
        </w:tc>
      </w:tr>
      <w:tr>
        <w:tblPrEx>
          <w:tblCellMar>
            <w:top w:w="0" w:type="dxa"/>
            <w:left w:w="108" w:type="dxa"/>
            <w:bottom w:w="0" w:type="dxa"/>
            <w:right w:w="108" w:type="dxa"/>
          </w:tblCellMar>
        </w:tblPrEx>
        <w:trPr>
          <w:trHeight w:val="376" w:hRule="atLeast"/>
        </w:trPr>
        <w:tc>
          <w:tcPr>
            <w:tcW w:w="775" w:type="dxa"/>
            <w:vMerge w:val="continue"/>
            <w:tcBorders>
              <w:top w:val="nil"/>
              <w:left w:val="double" w:color="auto" w:sz="6" w:space="0"/>
              <w:bottom w:val="single" w:color="000000" w:sz="4" w:space="0"/>
              <w:right w:val="single" w:color="auto" w:sz="4" w:space="0"/>
            </w:tcBorders>
            <w:shd w:val="clear" w:color="auto" w:fill="auto"/>
            <w:vAlign w:val="center"/>
          </w:tcPr>
          <w:p>
            <w:pPr>
              <w:widowControl/>
              <w:jc w:val="left"/>
              <w:rPr>
                <w:kern w:val="0"/>
                <w:sz w:val="22"/>
                <w:szCs w:val="22"/>
              </w:rPr>
            </w:pP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交通管制情况</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无车辆及交通时间限制</w:t>
            </w:r>
          </w:p>
        </w:tc>
      </w:tr>
      <w:tr>
        <w:tblPrEx>
          <w:tblCellMar>
            <w:top w:w="0" w:type="dxa"/>
            <w:left w:w="108" w:type="dxa"/>
            <w:bottom w:w="0" w:type="dxa"/>
            <w:right w:w="108" w:type="dxa"/>
          </w:tblCellMar>
        </w:tblPrEx>
        <w:trPr>
          <w:trHeight w:val="467" w:hRule="atLeast"/>
        </w:trPr>
        <w:tc>
          <w:tcPr>
            <w:tcW w:w="775" w:type="dxa"/>
            <w:vMerge w:val="continue"/>
            <w:tcBorders>
              <w:top w:val="nil"/>
              <w:left w:val="double" w:color="auto" w:sz="6" w:space="0"/>
              <w:bottom w:val="single" w:color="000000" w:sz="4" w:space="0"/>
              <w:right w:val="single" w:color="auto" w:sz="4" w:space="0"/>
            </w:tcBorders>
            <w:shd w:val="clear" w:color="auto" w:fill="auto"/>
            <w:vAlign w:val="center"/>
          </w:tcPr>
          <w:p>
            <w:pPr>
              <w:widowControl/>
              <w:jc w:val="left"/>
              <w:rPr>
                <w:kern w:val="0"/>
                <w:sz w:val="22"/>
                <w:szCs w:val="22"/>
              </w:rPr>
            </w:pP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停车方便程度</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设地面</w:t>
            </w:r>
            <w:r>
              <w:rPr>
                <w:rFonts w:hint="eastAsia"/>
                <w:kern w:val="0"/>
                <w:sz w:val="22"/>
                <w:szCs w:val="22"/>
              </w:rPr>
              <w:t>、地下</w:t>
            </w:r>
            <w:r>
              <w:rPr>
                <w:kern w:val="0"/>
                <w:sz w:val="22"/>
                <w:szCs w:val="22"/>
              </w:rPr>
              <w:t>停车库，车位较充裕</w:t>
            </w:r>
          </w:p>
        </w:tc>
      </w:tr>
      <w:tr>
        <w:tblPrEx>
          <w:tblCellMar>
            <w:top w:w="0" w:type="dxa"/>
            <w:left w:w="108" w:type="dxa"/>
            <w:bottom w:w="0" w:type="dxa"/>
            <w:right w:w="108" w:type="dxa"/>
          </w:tblCellMar>
        </w:tblPrEx>
        <w:trPr>
          <w:trHeight w:val="376" w:hRule="atLeast"/>
        </w:trPr>
        <w:tc>
          <w:tcPr>
            <w:tcW w:w="775" w:type="dxa"/>
            <w:vMerge w:val="restart"/>
            <w:tcBorders>
              <w:top w:val="nil"/>
              <w:left w:val="double" w:color="auto" w:sz="6"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周围环境</w:t>
            </w: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自然环境</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绿化率</w:t>
            </w:r>
            <w:r>
              <w:rPr>
                <w:rFonts w:hint="eastAsia"/>
                <w:kern w:val="0"/>
                <w:sz w:val="22"/>
                <w:szCs w:val="22"/>
              </w:rPr>
              <w:t>较高</w:t>
            </w:r>
            <w:r>
              <w:rPr>
                <w:kern w:val="0"/>
                <w:sz w:val="22"/>
                <w:szCs w:val="22"/>
              </w:rPr>
              <w:t>，自然环境</w:t>
            </w:r>
            <w:r>
              <w:rPr>
                <w:rFonts w:hint="eastAsia"/>
                <w:kern w:val="0"/>
                <w:sz w:val="22"/>
                <w:szCs w:val="22"/>
              </w:rPr>
              <w:t>较</w:t>
            </w:r>
            <w:r>
              <w:rPr>
                <w:kern w:val="0"/>
                <w:sz w:val="22"/>
                <w:szCs w:val="22"/>
              </w:rPr>
              <w:t>好</w:t>
            </w:r>
          </w:p>
        </w:tc>
      </w:tr>
      <w:tr>
        <w:tblPrEx>
          <w:tblCellMar>
            <w:top w:w="0" w:type="dxa"/>
            <w:left w:w="108" w:type="dxa"/>
            <w:bottom w:w="0" w:type="dxa"/>
            <w:right w:w="108" w:type="dxa"/>
          </w:tblCellMar>
        </w:tblPrEx>
        <w:trPr>
          <w:trHeight w:val="376" w:hRule="atLeast"/>
        </w:trPr>
        <w:tc>
          <w:tcPr>
            <w:tcW w:w="775" w:type="dxa"/>
            <w:vMerge w:val="continue"/>
            <w:tcBorders>
              <w:top w:val="nil"/>
              <w:left w:val="double" w:color="auto" w:sz="6" w:space="0"/>
              <w:bottom w:val="single" w:color="auto" w:sz="4" w:space="0"/>
              <w:right w:val="single" w:color="auto" w:sz="4" w:space="0"/>
            </w:tcBorders>
            <w:shd w:val="clear" w:color="auto" w:fill="auto"/>
            <w:vAlign w:val="center"/>
          </w:tcPr>
          <w:p>
            <w:pPr>
              <w:widowControl/>
              <w:jc w:val="left"/>
              <w:rPr>
                <w:kern w:val="0"/>
                <w:sz w:val="22"/>
                <w:szCs w:val="22"/>
              </w:rPr>
            </w:pP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人文环境</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人口素质较高，治安良好</w:t>
            </w:r>
          </w:p>
        </w:tc>
      </w:tr>
      <w:tr>
        <w:tblPrEx>
          <w:tblCellMar>
            <w:top w:w="0" w:type="dxa"/>
            <w:left w:w="108" w:type="dxa"/>
            <w:bottom w:w="0" w:type="dxa"/>
            <w:right w:w="108" w:type="dxa"/>
          </w:tblCellMar>
        </w:tblPrEx>
        <w:trPr>
          <w:trHeight w:val="376" w:hRule="atLeast"/>
        </w:trPr>
        <w:tc>
          <w:tcPr>
            <w:tcW w:w="775" w:type="dxa"/>
            <w:vMerge w:val="continue"/>
            <w:tcBorders>
              <w:top w:val="nil"/>
              <w:left w:val="double" w:color="auto" w:sz="6" w:space="0"/>
              <w:bottom w:val="single" w:color="auto" w:sz="4" w:space="0"/>
              <w:right w:val="single" w:color="auto" w:sz="4" w:space="0"/>
            </w:tcBorders>
            <w:shd w:val="clear" w:color="auto" w:fill="auto"/>
            <w:vAlign w:val="center"/>
          </w:tcPr>
          <w:p>
            <w:pPr>
              <w:widowControl/>
              <w:jc w:val="left"/>
              <w:rPr>
                <w:kern w:val="0"/>
                <w:sz w:val="22"/>
                <w:szCs w:val="22"/>
              </w:rPr>
            </w:pP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景观</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无特殊景观</w:t>
            </w:r>
          </w:p>
        </w:tc>
      </w:tr>
      <w:tr>
        <w:tblPrEx>
          <w:tblCellMar>
            <w:top w:w="0" w:type="dxa"/>
            <w:left w:w="108" w:type="dxa"/>
            <w:bottom w:w="0" w:type="dxa"/>
            <w:right w:w="108" w:type="dxa"/>
          </w:tblCellMar>
        </w:tblPrEx>
        <w:trPr>
          <w:trHeight w:val="385" w:hRule="atLeast"/>
        </w:trPr>
        <w:tc>
          <w:tcPr>
            <w:tcW w:w="775" w:type="dxa"/>
            <w:vMerge w:val="restart"/>
            <w:tcBorders>
              <w:top w:val="nil"/>
              <w:left w:val="double" w:color="auto" w:sz="6" w:space="0"/>
              <w:bottom w:val="double" w:color="000000" w:sz="6" w:space="0"/>
              <w:right w:val="single" w:color="auto" w:sz="4" w:space="0"/>
            </w:tcBorders>
            <w:shd w:val="clear" w:color="000000" w:fill="FFFFFF"/>
            <w:vAlign w:val="center"/>
          </w:tcPr>
          <w:p>
            <w:pPr>
              <w:widowControl/>
              <w:jc w:val="center"/>
              <w:rPr>
                <w:kern w:val="0"/>
                <w:sz w:val="22"/>
                <w:szCs w:val="22"/>
              </w:rPr>
            </w:pPr>
            <w:r>
              <w:rPr>
                <w:kern w:val="0"/>
                <w:sz w:val="22"/>
                <w:szCs w:val="22"/>
              </w:rPr>
              <w:t>外部配套设施设备</w:t>
            </w:r>
          </w:p>
        </w:tc>
        <w:tc>
          <w:tcPr>
            <w:tcW w:w="1835"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基础设施</w:t>
            </w:r>
          </w:p>
        </w:tc>
        <w:tc>
          <w:tcPr>
            <w:tcW w:w="6131"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供水、排水、供电、供气、通信、道路等基础设施完备</w:t>
            </w:r>
          </w:p>
        </w:tc>
      </w:tr>
      <w:tr>
        <w:tblPrEx>
          <w:tblCellMar>
            <w:top w:w="0" w:type="dxa"/>
            <w:left w:w="108" w:type="dxa"/>
            <w:bottom w:w="0" w:type="dxa"/>
            <w:right w:w="108" w:type="dxa"/>
          </w:tblCellMar>
        </w:tblPrEx>
        <w:trPr>
          <w:trHeight w:val="800" w:hRule="atLeast"/>
        </w:trPr>
        <w:tc>
          <w:tcPr>
            <w:tcW w:w="775" w:type="dxa"/>
            <w:vMerge w:val="continue"/>
            <w:tcBorders>
              <w:top w:val="nil"/>
              <w:left w:val="double" w:color="auto" w:sz="6" w:space="0"/>
              <w:bottom w:val="double" w:color="000000" w:sz="6" w:space="0"/>
              <w:right w:val="single" w:color="auto" w:sz="4" w:space="0"/>
            </w:tcBorders>
            <w:shd w:val="clear" w:color="auto" w:fill="auto"/>
            <w:vAlign w:val="center"/>
          </w:tcPr>
          <w:p>
            <w:pPr>
              <w:widowControl/>
              <w:jc w:val="left"/>
              <w:rPr>
                <w:kern w:val="0"/>
                <w:sz w:val="22"/>
                <w:szCs w:val="22"/>
                <w:highlight w:val="yellow"/>
              </w:rPr>
            </w:pPr>
          </w:p>
        </w:tc>
        <w:tc>
          <w:tcPr>
            <w:tcW w:w="1835" w:type="dxa"/>
            <w:tcBorders>
              <w:top w:val="nil"/>
              <w:left w:val="nil"/>
              <w:bottom w:val="double" w:color="auto" w:sz="6" w:space="0"/>
              <w:right w:val="single" w:color="auto" w:sz="4" w:space="0"/>
            </w:tcBorders>
            <w:shd w:val="clear" w:color="000000" w:fill="FFFFFF"/>
            <w:vAlign w:val="center"/>
          </w:tcPr>
          <w:p>
            <w:pPr>
              <w:widowControl/>
              <w:jc w:val="center"/>
              <w:rPr>
                <w:kern w:val="0"/>
                <w:sz w:val="22"/>
                <w:szCs w:val="22"/>
              </w:rPr>
            </w:pPr>
            <w:r>
              <w:rPr>
                <w:kern w:val="0"/>
                <w:sz w:val="22"/>
                <w:szCs w:val="22"/>
              </w:rPr>
              <w:t>公共服务设施</w:t>
            </w:r>
          </w:p>
        </w:tc>
        <w:tc>
          <w:tcPr>
            <w:tcW w:w="6131" w:type="dxa"/>
            <w:tcBorders>
              <w:top w:val="nil"/>
              <w:left w:val="nil"/>
              <w:bottom w:val="double" w:color="auto" w:sz="6" w:space="0"/>
              <w:right w:val="single" w:color="auto" w:sz="4" w:space="0"/>
            </w:tcBorders>
            <w:shd w:val="clear" w:color="000000" w:fill="FFFFFF"/>
            <w:vAlign w:val="center"/>
          </w:tcPr>
          <w:p>
            <w:pPr>
              <w:widowControl/>
              <w:jc w:val="left"/>
              <w:rPr>
                <w:kern w:val="0"/>
                <w:sz w:val="22"/>
                <w:szCs w:val="22"/>
              </w:rPr>
            </w:pPr>
            <w:r>
              <w:rPr>
                <w:rFonts w:hint="eastAsia" w:ascii="宋体" w:hAnsi="宋体" w:cs="宋体"/>
                <w:kern w:val="0"/>
                <w:sz w:val="22"/>
                <w:szCs w:val="22"/>
              </w:rPr>
              <w:t>周边有海口景山学校（海甸分校）、海天学校、海口华兴学校、星星幼儿园（海甸三西路）、海天幼儿园、万福幼儿园、宝真广场、中国农业银行（海口海大营业厅）金海岸市场等</w:t>
            </w:r>
          </w:p>
        </w:tc>
      </w:tr>
    </w:tbl>
    <w:p>
      <w:pPr>
        <w:pStyle w:val="4"/>
        <w:rPr>
          <w:rFonts w:ascii="Times New Roman" w:hAnsi="Times New Roman"/>
          <w:sz w:val="24"/>
          <w:szCs w:val="24"/>
        </w:rPr>
      </w:pPr>
      <w:bookmarkStart w:id="49" w:name="_Toc14996"/>
      <w:bookmarkStart w:id="50" w:name="_Toc491874796"/>
      <w:r>
        <w:rPr>
          <w:rFonts w:ascii="Times New Roman" w:hAnsi="Times New Roman"/>
          <w:b w:val="0"/>
          <w:bCs w:val="0"/>
          <w:sz w:val="24"/>
          <w:szCs w:val="24"/>
        </w:rPr>
        <w:t>（二）</w:t>
      </w:r>
      <w:r>
        <w:rPr>
          <w:rFonts w:ascii="Times New Roman" w:hAnsi="Times New Roman"/>
          <w:b w:val="0"/>
          <w:sz w:val="24"/>
          <w:szCs w:val="24"/>
        </w:rPr>
        <w:t>市场背景分析</w:t>
      </w:r>
      <w:bookmarkEnd w:id="49"/>
      <w:bookmarkEnd w:id="50"/>
    </w:p>
    <w:p>
      <w:pPr>
        <w:snapToGrid w:val="0"/>
        <w:spacing w:line="360" w:lineRule="auto"/>
        <w:ind w:firstLine="480" w:firstLineChars="200"/>
        <w:rPr>
          <w:rFonts w:ascii="宋体" w:hAnsi="宋体" w:cs="宋体"/>
          <w:sz w:val="24"/>
        </w:rPr>
      </w:pPr>
      <w:bookmarkStart w:id="51" w:name="_Toc19059"/>
      <w:bookmarkStart w:id="52" w:name="_Toc491874797"/>
      <w:r>
        <w:rPr>
          <w:rFonts w:hint="eastAsia" w:ascii="宋体" w:hAnsi="宋体" w:cs="宋体"/>
          <w:sz w:val="24"/>
        </w:rPr>
        <w:t>1、海口市2021年上半年经济运行简况</w:t>
      </w:r>
    </w:p>
    <w:p>
      <w:pPr>
        <w:snapToGrid w:val="0"/>
        <w:spacing w:line="360" w:lineRule="auto"/>
        <w:ind w:firstLine="480" w:firstLineChars="200"/>
        <w:rPr>
          <w:rFonts w:ascii="宋体" w:hAnsi="宋体" w:cs="宋体"/>
          <w:sz w:val="24"/>
        </w:rPr>
      </w:pPr>
      <w:r>
        <w:rPr>
          <w:rFonts w:hint="eastAsia" w:ascii="宋体" w:hAnsi="宋体" w:cs="宋体"/>
          <w:sz w:val="24"/>
        </w:rPr>
        <w:t>（1）地区生产总值</w:t>
      </w:r>
    </w:p>
    <w:p>
      <w:pPr>
        <w:snapToGrid w:val="0"/>
        <w:spacing w:line="360" w:lineRule="auto"/>
        <w:ind w:firstLine="480" w:firstLineChars="200"/>
        <w:rPr>
          <w:rFonts w:ascii="宋体" w:hAnsi="宋体" w:cs="宋体"/>
          <w:sz w:val="24"/>
        </w:rPr>
      </w:pPr>
      <w:r>
        <w:rPr>
          <w:rFonts w:hint="eastAsia" w:ascii="宋体" w:hAnsi="宋体" w:cs="宋体"/>
          <w:sz w:val="24"/>
        </w:rPr>
        <w:t>2021年上半年实现地区生产总值861.81亿元，按可比价格计算，比上年增长18.0%。按产业分，第一产业增加值38.46亿元，增长4.5%；第二产业增加值110.01亿元，增长10.5%；第三产业增加值713.35亿元，增长20.1%。</w:t>
      </w:r>
    </w:p>
    <w:p>
      <w:pPr>
        <w:snapToGrid w:val="0"/>
        <w:spacing w:line="360" w:lineRule="auto"/>
        <w:ind w:firstLine="480" w:firstLineChars="200"/>
        <w:rPr>
          <w:rFonts w:ascii="宋体" w:hAnsi="宋体" w:cs="宋体"/>
          <w:sz w:val="24"/>
        </w:rPr>
      </w:pPr>
      <w:r>
        <w:rPr>
          <w:rFonts w:hint="eastAsia" w:ascii="宋体" w:hAnsi="宋体" w:cs="宋体"/>
          <w:sz w:val="24"/>
        </w:rPr>
        <w:drawing>
          <wp:inline distT="0" distB="0" distL="114300" distR="114300">
            <wp:extent cx="4838700" cy="3904615"/>
            <wp:effectExtent l="0" t="0" r="0" b="635"/>
            <wp:docPr id="9" name="图片 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1"/>
                    <pic:cNvPicPr>
                      <a:picLocks noChangeAspect="1"/>
                    </pic:cNvPicPr>
                  </pic:nvPicPr>
                  <pic:blipFill>
                    <a:blip r:embed="rId8"/>
                    <a:stretch>
                      <a:fillRect/>
                    </a:stretch>
                  </pic:blipFill>
                  <pic:spPr>
                    <a:xfrm>
                      <a:off x="0" y="0"/>
                      <a:ext cx="4838700" cy="3904615"/>
                    </a:xfrm>
                    <a:prstGeom prst="rect">
                      <a:avLst/>
                    </a:prstGeom>
                  </pic:spPr>
                </pic:pic>
              </a:graphicData>
            </a:graphic>
          </wp:inline>
        </w:drawing>
      </w:r>
    </w:p>
    <w:p>
      <w:pPr>
        <w:snapToGrid w:val="0"/>
        <w:spacing w:line="360" w:lineRule="auto"/>
        <w:ind w:firstLine="480" w:firstLineChars="200"/>
        <w:rPr>
          <w:rFonts w:ascii="宋体" w:hAnsi="宋体" w:cs="宋体"/>
          <w:sz w:val="24"/>
        </w:rPr>
      </w:pPr>
      <w:r>
        <w:rPr>
          <w:rFonts w:hint="eastAsia" w:ascii="宋体" w:hAnsi="宋体" w:cs="宋体"/>
          <w:sz w:val="24"/>
        </w:rPr>
        <w:t>（2）工业生产情况</w:t>
      </w:r>
    </w:p>
    <w:p>
      <w:pPr>
        <w:snapToGrid w:val="0"/>
        <w:spacing w:line="360" w:lineRule="auto"/>
        <w:ind w:firstLine="480" w:firstLineChars="200"/>
        <w:rPr>
          <w:rFonts w:ascii="宋体" w:hAnsi="宋体" w:cs="宋体"/>
          <w:sz w:val="24"/>
        </w:rPr>
      </w:pPr>
      <w:r>
        <w:rPr>
          <w:rFonts w:hint="eastAsia" w:ascii="宋体" w:hAnsi="宋体" w:cs="宋体"/>
          <w:sz w:val="24"/>
        </w:rPr>
        <w:t>规模以上工业增加值比上年同期增长15.5%。</w:t>
      </w:r>
    </w:p>
    <w:p>
      <w:pPr>
        <w:pStyle w:val="2"/>
      </w:pPr>
      <w:r>
        <w:rPr>
          <w:rFonts w:hint="eastAsia"/>
        </w:rPr>
        <w:drawing>
          <wp:inline distT="0" distB="0" distL="114300" distR="114300">
            <wp:extent cx="4610100" cy="5457190"/>
            <wp:effectExtent l="0" t="0" r="0" b="10160"/>
            <wp:docPr id="18" name="图片 18"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2"/>
                    <pic:cNvPicPr>
                      <a:picLocks noChangeAspect="1"/>
                    </pic:cNvPicPr>
                  </pic:nvPicPr>
                  <pic:blipFill>
                    <a:blip r:embed="rId9"/>
                    <a:stretch>
                      <a:fillRect/>
                    </a:stretch>
                  </pic:blipFill>
                  <pic:spPr>
                    <a:xfrm>
                      <a:off x="0" y="0"/>
                      <a:ext cx="4610100" cy="5457190"/>
                    </a:xfrm>
                    <a:prstGeom prst="rect">
                      <a:avLst/>
                    </a:prstGeom>
                  </pic:spPr>
                </pic:pic>
              </a:graphicData>
            </a:graphic>
          </wp:inline>
        </w:drawing>
      </w:r>
    </w:p>
    <w:p>
      <w:pPr>
        <w:snapToGrid w:val="0"/>
        <w:spacing w:line="360" w:lineRule="auto"/>
        <w:ind w:firstLine="480" w:firstLineChars="200"/>
        <w:rPr>
          <w:rFonts w:ascii="宋体" w:hAnsi="宋体" w:cs="宋体"/>
          <w:sz w:val="24"/>
        </w:rPr>
      </w:pPr>
      <w:r>
        <w:rPr>
          <w:rFonts w:hint="eastAsia" w:ascii="宋体" w:hAnsi="宋体" w:cs="宋体"/>
          <w:sz w:val="24"/>
        </w:rPr>
        <w:t>（3）固定资产投资</w:t>
      </w:r>
    </w:p>
    <w:p>
      <w:pPr>
        <w:snapToGrid w:val="0"/>
        <w:spacing w:line="360" w:lineRule="auto"/>
        <w:ind w:firstLine="480" w:firstLineChars="200"/>
        <w:rPr>
          <w:rFonts w:ascii="宋体" w:hAnsi="宋体" w:cs="宋体"/>
          <w:sz w:val="24"/>
        </w:rPr>
      </w:pPr>
      <w:r>
        <w:rPr>
          <w:rFonts w:hint="eastAsia" w:ascii="宋体" w:hAnsi="宋体" w:cs="宋体"/>
          <w:sz w:val="24"/>
        </w:rPr>
        <w:t>固定资产投资总额比上年同期增长13.8%。</w:t>
      </w:r>
    </w:p>
    <w:p>
      <w:pPr>
        <w:snapToGrid w:val="0"/>
        <w:spacing w:line="360" w:lineRule="auto"/>
        <w:ind w:firstLine="480" w:firstLineChars="200"/>
        <w:rPr>
          <w:rFonts w:ascii="宋体" w:hAnsi="宋体" w:cs="宋体"/>
          <w:sz w:val="24"/>
        </w:rPr>
      </w:pPr>
      <w:r>
        <w:rPr>
          <w:rFonts w:hint="eastAsia" w:ascii="宋体" w:hAnsi="宋体" w:cs="宋体"/>
          <w:sz w:val="24"/>
        </w:rPr>
        <w:drawing>
          <wp:inline distT="0" distB="0" distL="114300" distR="114300">
            <wp:extent cx="4371975" cy="6515100"/>
            <wp:effectExtent l="0" t="0" r="9525" b="0"/>
            <wp:docPr id="20" name="图片 20"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44"/>
                    <pic:cNvPicPr>
                      <a:picLocks noChangeAspect="1"/>
                    </pic:cNvPicPr>
                  </pic:nvPicPr>
                  <pic:blipFill>
                    <a:blip r:embed="rId10"/>
                    <a:stretch>
                      <a:fillRect/>
                    </a:stretch>
                  </pic:blipFill>
                  <pic:spPr>
                    <a:xfrm>
                      <a:off x="0" y="0"/>
                      <a:ext cx="4371975" cy="6515100"/>
                    </a:xfrm>
                    <a:prstGeom prst="rect">
                      <a:avLst/>
                    </a:prstGeom>
                  </pic:spPr>
                </pic:pic>
              </a:graphicData>
            </a:graphic>
          </wp:inline>
        </w:drawing>
      </w:r>
    </w:p>
    <w:p>
      <w:pPr>
        <w:snapToGrid w:val="0"/>
        <w:spacing w:line="360" w:lineRule="auto"/>
        <w:ind w:firstLine="480" w:firstLineChars="200"/>
        <w:rPr>
          <w:rFonts w:ascii="宋体" w:hAnsi="宋体" w:cs="宋体"/>
          <w:sz w:val="24"/>
        </w:rPr>
      </w:pPr>
      <w:r>
        <w:rPr>
          <w:rFonts w:hint="eastAsia" w:ascii="宋体" w:hAnsi="宋体" w:cs="宋体"/>
          <w:sz w:val="24"/>
        </w:rPr>
        <w:t>（4）房地产开发投资</w:t>
      </w:r>
    </w:p>
    <w:p>
      <w:pPr>
        <w:snapToGrid w:val="0"/>
        <w:spacing w:line="360" w:lineRule="auto"/>
        <w:ind w:firstLine="480" w:firstLineChars="200"/>
        <w:rPr>
          <w:rFonts w:ascii="宋体" w:hAnsi="宋体" w:cs="宋体"/>
          <w:sz w:val="24"/>
        </w:rPr>
      </w:pPr>
      <w:r>
        <w:rPr>
          <w:rFonts w:hint="eastAsia" w:ascii="宋体" w:hAnsi="宋体" w:cs="宋体"/>
          <w:sz w:val="24"/>
        </w:rPr>
        <w:t>2021年上半年房地产开发投资总额为2161788万元，比上年同期增长18.1%。</w:t>
      </w:r>
    </w:p>
    <w:p>
      <w:pPr>
        <w:snapToGrid w:val="0"/>
        <w:spacing w:line="360" w:lineRule="auto"/>
        <w:ind w:firstLine="480" w:firstLineChars="200"/>
        <w:rPr>
          <w:rFonts w:ascii="宋体" w:hAnsi="宋体" w:cs="宋体"/>
          <w:sz w:val="24"/>
        </w:rPr>
      </w:pPr>
      <w:r>
        <w:rPr>
          <w:rFonts w:hint="eastAsia" w:ascii="宋体" w:hAnsi="宋体" w:cs="宋体"/>
          <w:sz w:val="24"/>
        </w:rPr>
        <w:drawing>
          <wp:inline distT="0" distB="0" distL="114300" distR="114300">
            <wp:extent cx="4314825" cy="6581775"/>
            <wp:effectExtent l="0" t="0" r="9525" b="9525"/>
            <wp:docPr id="21" name="图片 21"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55"/>
                    <pic:cNvPicPr>
                      <a:picLocks noChangeAspect="1"/>
                    </pic:cNvPicPr>
                  </pic:nvPicPr>
                  <pic:blipFill>
                    <a:blip r:embed="rId11"/>
                    <a:stretch>
                      <a:fillRect/>
                    </a:stretch>
                  </pic:blipFill>
                  <pic:spPr>
                    <a:xfrm>
                      <a:off x="0" y="0"/>
                      <a:ext cx="4314825" cy="6581775"/>
                    </a:xfrm>
                    <a:prstGeom prst="rect">
                      <a:avLst/>
                    </a:prstGeom>
                  </pic:spPr>
                </pic:pic>
              </a:graphicData>
            </a:graphic>
          </wp:inline>
        </w:drawing>
      </w:r>
    </w:p>
    <w:p>
      <w:pPr>
        <w:snapToGrid w:val="0"/>
        <w:spacing w:line="360" w:lineRule="auto"/>
        <w:ind w:firstLine="480" w:firstLineChars="200"/>
        <w:rPr>
          <w:rFonts w:ascii="宋体" w:hAnsi="宋体" w:cs="宋体"/>
          <w:sz w:val="24"/>
        </w:rPr>
      </w:pPr>
      <w:r>
        <w:rPr>
          <w:rFonts w:hint="eastAsia" w:ascii="宋体" w:hAnsi="宋体" w:cs="宋体"/>
          <w:sz w:val="24"/>
        </w:rPr>
        <w:t>（5）旅游业基本情况</w:t>
      </w:r>
    </w:p>
    <w:p>
      <w:pPr>
        <w:snapToGrid w:val="0"/>
        <w:spacing w:line="360" w:lineRule="auto"/>
        <w:ind w:firstLine="480" w:firstLineChars="200"/>
        <w:rPr>
          <w:rFonts w:ascii="宋体" w:hAnsi="宋体" w:cs="宋体"/>
          <w:sz w:val="24"/>
        </w:rPr>
      </w:pPr>
      <w:r>
        <w:rPr>
          <w:rFonts w:hint="eastAsia" w:ascii="宋体" w:hAnsi="宋体" w:cs="宋体"/>
          <w:sz w:val="24"/>
        </w:rPr>
        <w:t>2021年上半年接待游客总数为12821260人，比上年同期增长171.8%</w:t>
      </w:r>
    </w:p>
    <w:p>
      <w:pPr>
        <w:snapToGrid w:val="0"/>
        <w:spacing w:line="360" w:lineRule="auto"/>
        <w:ind w:firstLine="480" w:firstLineChars="200"/>
        <w:rPr>
          <w:rFonts w:ascii="宋体" w:hAnsi="宋体" w:cs="宋体"/>
          <w:sz w:val="24"/>
        </w:rPr>
      </w:pPr>
      <w:r>
        <w:rPr>
          <w:rFonts w:hint="eastAsia" w:ascii="宋体" w:hAnsi="宋体" w:cs="宋体"/>
          <w:sz w:val="24"/>
        </w:rPr>
        <w:drawing>
          <wp:inline distT="0" distB="0" distL="114300" distR="114300">
            <wp:extent cx="4600575" cy="6372225"/>
            <wp:effectExtent l="0" t="0" r="9525" b="9525"/>
            <wp:docPr id="22" name="图片 2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66"/>
                    <pic:cNvPicPr>
                      <a:picLocks noChangeAspect="1"/>
                    </pic:cNvPicPr>
                  </pic:nvPicPr>
                  <pic:blipFill>
                    <a:blip r:embed="rId12"/>
                    <a:stretch>
                      <a:fillRect/>
                    </a:stretch>
                  </pic:blipFill>
                  <pic:spPr>
                    <a:xfrm>
                      <a:off x="0" y="0"/>
                      <a:ext cx="4600575" cy="6372225"/>
                    </a:xfrm>
                    <a:prstGeom prst="rect">
                      <a:avLst/>
                    </a:prstGeom>
                  </pic:spPr>
                </pic:pic>
              </a:graphicData>
            </a:graphic>
          </wp:inline>
        </w:drawing>
      </w:r>
    </w:p>
    <w:p>
      <w:pPr>
        <w:snapToGrid w:val="0"/>
        <w:spacing w:line="360" w:lineRule="auto"/>
        <w:ind w:firstLine="480" w:firstLineChars="200"/>
        <w:rPr>
          <w:rFonts w:ascii="宋体" w:hAnsi="宋体" w:cs="宋体"/>
          <w:sz w:val="24"/>
        </w:rPr>
      </w:pPr>
      <w:r>
        <w:rPr>
          <w:rFonts w:hint="eastAsia" w:ascii="宋体" w:hAnsi="宋体" w:cs="宋体"/>
          <w:sz w:val="24"/>
        </w:rPr>
        <w:t>（6）财政收入与支出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2021年上半年全口径一般公共预算收入为2990228万元，比上年同期增长54.5%，地方一般公共预算收入为1081457万元，比上年同期增长46.3%。2021年上半年地方一般公共预算支出为1091418万元，比上年同期增长11.7%。</w:t>
      </w:r>
    </w:p>
    <w:p>
      <w:pPr>
        <w:pStyle w:val="2"/>
        <w:numPr>
          <w:ilvl w:val="255"/>
          <w:numId w:val="0"/>
        </w:numPr>
        <w:ind w:firstLine="480" w:firstLineChars="200"/>
      </w:pPr>
    </w:p>
    <w:p>
      <w:pPr>
        <w:snapToGrid w:val="0"/>
        <w:spacing w:line="360" w:lineRule="auto"/>
        <w:ind w:firstLine="480" w:firstLineChars="200"/>
        <w:rPr>
          <w:rFonts w:ascii="宋体" w:hAnsi="宋体" w:cs="宋体"/>
          <w:sz w:val="24"/>
        </w:rPr>
      </w:pPr>
      <w:r>
        <w:rPr>
          <w:rFonts w:hint="eastAsia" w:ascii="宋体" w:hAnsi="宋体" w:cs="宋体"/>
          <w:sz w:val="24"/>
        </w:rPr>
        <w:drawing>
          <wp:inline distT="0" distB="0" distL="114300" distR="114300">
            <wp:extent cx="4362450" cy="6734175"/>
            <wp:effectExtent l="0" t="0" r="0" b="9525"/>
            <wp:docPr id="23" name="图片 23"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88"/>
                    <pic:cNvPicPr>
                      <a:picLocks noChangeAspect="1"/>
                    </pic:cNvPicPr>
                  </pic:nvPicPr>
                  <pic:blipFill>
                    <a:blip r:embed="rId13"/>
                    <a:stretch>
                      <a:fillRect/>
                    </a:stretch>
                  </pic:blipFill>
                  <pic:spPr>
                    <a:xfrm>
                      <a:off x="0" y="0"/>
                      <a:ext cx="4362450" cy="6734175"/>
                    </a:xfrm>
                    <a:prstGeom prst="rect">
                      <a:avLst/>
                    </a:prstGeom>
                  </pic:spPr>
                </pic:pic>
              </a:graphicData>
            </a:graphic>
          </wp:inline>
        </w:drawing>
      </w:r>
    </w:p>
    <w:p>
      <w:pPr>
        <w:snapToGrid w:val="0"/>
        <w:spacing w:line="360" w:lineRule="auto"/>
        <w:ind w:firstLine="480" w:firstLineChars="200"/>
        <w:rPr>
          <w:rFonts w:ascii="宋体" w:hAnsi="宋体" w:cs="宋体"/>
          <w:sz w:val="24"/>
        </w:rPr>
      </w:pPr>
      <w:r>
        <w:rPr>
          <w:rFonts w:hint="eastAsia" w:ascii="宋体" w:hAnsi="宋体" w:cs="宋体"/>
          <w:sz w:val="24"/>
        </w:rPr>
        <w:drawing>
          <wp:inline distT="0" distB="0" distL="114300" distR="114300">
            <wp:extent cx="4267200" cy="4152900"/>
            <wp:effectExtent l="0" t="0" r="0" b="0"/>
            <wp:docPr id="24" name="图片 24"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00"/>
                    <pic:cNvPicPr>
                      <a:picLocks noChangeAspect="1"/>
                    </pic:cNvPicPr>
                  </pic:nvPicPr>
                  <pic:blipFill>
                    <a:blip r:embed="rId14"/>
                    <a:stretch>
                      <a:fillRect/>
                    </a:stretch>
                  </pic:blipFill>
                  <pic:spPr>
                    <a:xfrm>
                      <a:off x="0" y="0"/>
                      <a:ext cx="4267200" cy="4152900"/>
                    </a:xfrm>
                    <a:prstGeom prst="rect">
                      <a:avLst/>
                    </a:prstGeom>
                  </pic:spPr>
                </pic:pic>
              </a:graphicData>
            </a:graphic>
          </wp:inline>
        </w:drawing>
      </w:r>
    </w:p>
    <w:p>
      <w:pPr>
        <w:snapToGrid w:val="0"/>
        <w:spacing w:line="360" w:lineRule="auto"/>
        <w:ind w:firstLine="480" w:firstLineChars="200"/>
        <w:rPr>
          <w:rFonts w:ascii="宋体" w:hAnsi="宋体" w:cs="宋体"/>
          <w:sz w:val="24"/>
        </w:rPr>
      </w:pPr>
      <w:r>
        <w:rPr>
          <w:rFonts w:hint="eastAsia" w:ascii="宋体" w:hAnsi="宋体" w:cs="宋体"/>
          <w:sz w:val="24"/>
        </w:rPr>
        <w:t>（7）居民消费价格指数</w:t>
      </w:r>
    </w:p>
    <w:p>
      <w:pPr>
        <w:snapToGrid w:val="0"/>
        <w:spacing w:line="360" w:lineRule="auto"/>
        <w:ind w:firstLine="480" w:firstLineChars="200"/>
        <w:rPr>
          <w:rFonts w:ascii="宋体" w:hAnsi="宋体" w:cs="宋体"/>
          <w:sz w:val="24"/>
        </w:rPr>
      </w:pPr>
      <w:r>
        <w:rPr>
          <w:rFonts w:hint="eastAsia" w:ascii="宋体" w:hAnsi="宋体" w:cs="宋体"/>
          <w:sz w:val="24"/>
        </w:rPr>
        <w:drawing>
          <wp:inline distT="0" distB="0" distL="114300" distR="114300">
            <wp:extent cx="4524375" cy="3649345"/>
            <wp:effectExtent l="0" t="0" r="9525" b="8255"/>
            <wp:docPr id="25" name="图片 2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2"/>
                    <pic:cNvPicPr>
                      <a:picLocks noChangeAspect="1"/>
                    </pic:cNvPicPr>
                  </pic:nvPicPr>
                  <pic:blipFill>
                    <a:blip r:embed="rId15"/>
                    <a:stretch>
                      <a:fillRect/>
                    </a:stretch>
                  </pic:blipFill>
                  <pic:spPr>
                    <a:xfrm>
                      <a:off x="0" y="0"/>
                      <a:ext cx="4524375" cy="3649345"/>
                    </a:xfrm>
                    <a:prstGeom prst="rect">
                      <a:avLst/>
                    </a:prstGeom>
                  </pic:spPr>
                </pic:pic>
              </a:graphicData>
            </a:graphic>
          </wp:inline>
        </w:drawing>
      </w:r>
    </w:p>
    <w:p>
      <w:pPr>
        <w:snapToGrid w:val="0"/>
        <w:spacing w:line="360" w:lineRule="auto"/>
        <w:ind w:firstLine="480" w:firstLineChars="200"/>
        <w:rPr>
          <w:rFonts w:ascii="宋体" w:hAnsi="宋体" w:cs="宋体"/>
          <w:sz w:val="24"/>
        </w:rPr>
      </w:pPr>
      <w:r>
        <w:rPr>
          <w:rFonts w:hint="eastAsia" w:ascii="宋体" w:hAnsi="宋体" w:cs="宋体"/>
          <w:sz w:val="24"/>
        </w:rPr>
        <w:t>2、房地产相关政策</w:t>
      </w:r>
    </w:p>
    <w:p>
      <w:pPr>
        <w:snapToGrid w:val="0"/>
        <w:spacing w:line="360" w:lineRule="auto"/>
        <w:ind w:firstLine="480" w:firstLineChars="200"/>
        <w:rPr>
          <w:bCs/>
          <w:sz w:val="24"/>
        </w:rPr>
      </w:pPr>
      <w:r>
        <w:rPr>
          <w:rFonts w:hint="eastAsia"/>
          <w:bCs/>
          <w:sz w:val="24"/>
        </w:rPr>
        <w:t>房子是用来住的、不是用来炒，针对海南房价涨幅过快，海南出台了一系列政策。2018年4月22日，海南宣布全域限购，此后打补丁式的调控，堵住炒房漏洞。2019年海口暂停向企事业单位出售商品住宅，新落户家庭限购一套。2020年海南发布《关于建立房地产市场平稳健康发展城市主体责任制的通知》，对在本省已拥有2套及以上住房的本省户籍和常住居民家庭，停止向其销售安居型商品住房和市场化商品住房。这两条政策，彻底把企事业单位、新落户、省内户籍买房的漏洞堵上了。</w:t>
      </w:r>
    </w:p>
    <w:p>
      <w:pPr>
        <w:snapToGrid w:val="0"/>
        <w:spacing w:line="360" w:lineRule="auto"/>
        <w:ind w:firstLine="480" w:firstLineChars="200"/>
        <w:rPr>
          <w:bCs/>
          <w:sz w:val="24"/>
        </w:rPr>
      </w:pPr>
      <w:r>
        <w:rPr>
          <w:rFonts w:hint="eastAsia"/>
          <w:bCs/>
          <w:sz w:val="24"/>
        </w:rPr>
        <w:drawing>
          <wp:inline distT="0" distB="0" distL="114300" distR="114300">
            <wp:extent cx="5647690" cy="7489190"/>
            <wp:effectExtent l="0" t="0" r="10160" b="16510"/>
            <wp:docPr id="10"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
                    <pic:cNvPicPr>
                      <a:picLocks noChangeAspect="1"/>
                    </pic:cNvPicPr>
                  </pic:nvPicPr>
                  <pic:blipFill>
                    <a:blip r:embed="rId16"/>
                    <a:stretch>
                      <a:fillRect/>
                    </a:stretch>
                  </pic:blipFill>
                  <pic:spPr>
                    <a:xfrm>
                      <a:off x="0" y="0"/>
                      <a:ext cx="5647690" cy="7489190"/>
                    </a:xfrm>
                    <a:prstGeom prst="rect">
                      <a:avLst/>
                    </a:prstGeom>
                  </pic:spPr>
                </pic:pic>
              </a:graphicData>
            </a:graphic>
          </wp:inline>
        </w:drawing>
      </w:r>
    </w:p>
    <w:p>
      <w:pPr>
        <w:snapToGrid w:val="0"/>
        <w:spacing w:line="360" w:lineRule="auto"/>
        <w:ind w:firstLine="480" w:firstLineChars="200"/>
        <w:rPr>
          <w:bCs/>
          <w:sz w:val="24"/>
        </w:rPr>
      </w:pPr>
      <w:r>
        <w:rPr>
          <w:rFonts w:hint="eastAsia"/>
          <w:bCs/>
          <w:sz w:val="24"/>
        </w:rPr>
        <w:t>资料来源：中商产业研究院整理</w:t>
      </w:r>
    </w:p>
    <w:p>
      <w:pPr>
        <w:snapToGrid w:val="0"/>
        <w:spacing w:line="360" w:lineRule="auto"/>
        <w:ind w:firstLine="480" w:firstLineChars="200"/>
        <w:rPr>
          <w:bCs/>
          <w:sz w:val="24"/>
        </w:rPr>
      </w:pPr>
      <w:r>
        <w:rPr>
          <w:rFonts w:hint="eastAsia"/>
          <w:bCs/>
          <w:sz w:val="24"/>
        </w:rPr>
        <w:t>海南省住建厅厅长霍巨燃曾表示，海南将继续坚持全域限购政策不改变。坚持房地产调控目标不动摇、力度不放松、政策不走样，保持政策的连续性、稳定性，支持合理自住需求，坚决遏制投机炒房。</w:t>
      </w:r>
    </w:p>
    <w:p>
      <w:pPr>
        <w:snapToGrid w:val="0"/>
        <w:spacing w:line="360" w:lineRule="auto"/>
        <w:ind w:firstLine="480" w:firstLineChars="200"/>
        <w:rPr>
          <w:sz w:val="24"/>
          <w:szCs w:val="22"/>
        </w:rPr>
      </w:pPr>
      <w:r>
        <w:rPr>
          <w:sz w:val="24"/>
          <w:szCs w:val="22"/>
        </w:rPr>
        <w:t>3、房地产市场分析</w:t>
      </w:r>
    </w:p>
    <w:p>
      <w:pPr>
        <w:snapToGrid w:val="0"/>
        <w:spacing w:line="360" w:lineRule="auto"/>
        <w:ind w:firstLine="480" w:firstLineChars="200"/>
        <w:rPr>
          <w:bCs/>
          <w:sz w:val="24"/>
        </w:rPr>
      </w:pPr>
      <w:r>
        <w:rPr>
          <w:rFonts w:hint="eastAsia"/>
          <w:bCs/>
          <w:sz w:val="24"/>
        </w:rPr>
        <w:t>（1）海南省房地产市场分析</w:t>
      </w:r>
    </w:p>
    <w:p>
      <w:pPr>
        <w:snapToGrid w:val="0"/>
        <w:spacing w:line="360" w:lineRule="auto"/>
        <w:ind w:firstLine="480" w:firstLineChars="200"/>
        <w:rPr>
          <w:bCs/>
          <w:sz w:val="24"/>
        </w:rPr>
      </w:pPr>
      <w:r>
        <w:rPr>
          <w:rFonts w:hint="eastAsia"/>
          <w:bCs/>
          <w:sz w:val="24"/>
        </w:rPr>
        <w:t>2020年1-11月，海南省房地产开发投资1158.20亿元，同比增长1.4%。房屋施工面积8434.18万平方米，同比减少7.5%。房屋销售面积631.77万平方米，同比减少13.6%。房屋销售额1032.45亿元，同比减少8.5%。</w:t>
      </w:r>
    </w:p>
    <w:p>
      <w:pPr>
        <w:snapToGrid w:val="0"/>
        <w:spacing w:line="360" w:lineRule="auto"/>
        <w:ind w:firstLine="480" w:firstLineChars="200"/>
        <w:rPr>
          <w:bCs/>
          <w:sz w:val="24"/>
        </w:rPr>
      </w:pPr>
      <w:r>
        <w:rPr>
          <w:rFonts w:hint="eastAsia"/>
          <w:bCs/>
          <w:sz w:val="24"/>
        </w:rPr>
        <w:drawing>
          <wp:inline distT="0" distB="0" distL="114300" distR="114300">
            <wp:extent cx="3629025" cy="5924550"/>
            <wp:effectExtent l="0" t="0" r="9525" b="0"/>
            <wp:docPr id="26" name="图片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
                    <pic:cNvPicPr>
                      <a:picLocks noChangeAspect="1"/>
                    </pic:cNvPicPr>
                  </pic:nvPicPr>
                  <pic:blipFill>
                    <a:blip r:embed="rId17"/>
                    <a:stretch>
                      <a:fillRect/>
                    </a:stretch>
                  </pic:blipFill>
                  <pic:spPr>
                    <a:xfrm>
                      <a:off x="0" y="0"/>
                      <a:ext cx="3629025" cy="5924550"/>
                    </a:xfrm>
                    <a:prstGeom prst="rect">
                      <a:avLst/>
                    </a:prstGeom>
                  </pic:spPr>
                </pic:pic>
              </a:graphicData>
            </a:graphic>
          </wp:inline>
        </w:drawing>
      </w:r>
    </w:p>
    <w:p>
      <w:pPr>
        <w:snapToGrid w:val="0"/>
        <w:spacing w:line="360" w:lineRule="auto"/>
        <w:ind w:firstLine="480" w:firstLineChars="200"/>
        <w:rPr>
          <w:bCs/>
          <w:sz w:val="24"/>
        </w:rPr>
      </w:pPr>
      <w:r>
        <w:rPr>
          <w:rFonts w:hint="eastAsia"/>
          <w:bCs/>
          <w:sz w:val="24"/>
        </w:rPr>
        <w:t>资料来源：海南统计局、中商产业研究院整理</w:t>
      </w:r>
    </w:p>
    <w:p>
      <w:pPr>
        <w:snapToGrid w:val="0"/>
        <w:spacing w:line="360" w:lineRule="auto"/>
        <w:ind w:firstLine="480" w:firstLineChars="200"/>
        <w:rPr>
          <w:bCs/>
          <w:sz w:val="24"/>
        </w:rPr>
      </w:pPr>
      <w:r>
        <w:rPr>
          <w:rFonts w:hint="eastAsia"/>
          <w:bCs/>
          <w:sz w:val="24"/>
        </w:rPr>
        <w:t>　　据悉，2017年以“壮士断腕”的决心摆脱经济对房地产业的依赖，海南房地产楼市降温。海南于今年3月明确新出让土地建设的商品住房，实行现房销售制度，成为全国首个提出现房销售的省份。3月7日，海南省委办公厅、省政府办公厅印发了《关于建立房地产市场平稳健康发展城市主体责任制的通知》。《通知》包括发展安居型商品住房、实行本地居民多套住房限购政策和推行商品住房现房销售制度等三大重要政策。</w:t>
      </w:r>
    </w:p>
    <w:p>
      <w:pPr>
        <w:snapToGrid w:val="0"/>
        <w:spacing w:line="360" w:lineRule="auto"/>
        <w:ind w:firstLine="480" w:firstLineChars="200"/>
        <w:rPr>
          <w:bCs/>
          <w:sz w:val="24"/>
        </w:rPr>
      </w:pPr>
      <w:r>
        <w:rPr>
          <w:rFonts w:hint="eastAsia"/>
          <w:bCs/>
          <w:sz w:val="24"/>
        </w:rPr>
        <w:t>（2）海口市房地产市场分析</w:t>
      </w:r>
    </w:p>
    <w:p>
      <w:pPr>
        <w:snapToGrid w:val="0"/>
        <w:spacing w:line="360" w:lineRule="auto"/>
        <w:ind w:firstLine="480" w:firstLineChars="200"/>
        <w:rPr>
          <w:bCs/>
          <w:sz w:val="24"/>
        </w:rPr>
      </w:pPr>
      <w:r>
        <w:rPr>
          <w:rFonts w:hint="eastAsia"/>
          <w:bCs/>
          <w:sz w:val="24"/>
        </w:rPr>
        <w:fldChar w:fldCharType="begin"/>
      </w:r>
      <w:r>
        <w:rPr>
          <w:rFonts w:hint="eastAsia"/>
          <w:bCs/>
          <w:sz w:val="24"/>
        </w:rPr>
        <w:instrText xml:space="preserve"> = 1 \* GB3 \* MERGEFORMAT </w:instrText>
      </w:r>
      <w:r>
        <w:rPr>
          <w:rFonts w:hint="eastAsia"/>
          <w:bCs/>
          <w:sz w:val="24"/>
        </w:rPr>
        <w:fldChar w:fldCharType="separate"/>
      </w:r>
      <w:r>
        <w:t>①</w:t>
      </w:r>
      <w:r>
        <w:rPr>
          <w:rFonts w:hint="eastAsia"/>
          <w:bCs/>
          <w:sz w:val="24"/>
        </w:rPr>
        <w:fldChar w:fldCharType="end"/>
      </w:r>
      <w:r>
        <w:rPr>
          <w:rFonts w:hint="eastAsia"/>
          <w:bCs/>
          <w:sz w:val="24"/>
        </w:rPr>
        <w:t>房地产开发投资情况，据有关部门统计，2020年1－12月全市共完成房地产开发投资21.36亿元，同比下降22.5%。</w:t>
      </w:r>
      <w:r>
        <w:rPr>
          <w:rFonts w:hint="eastAsia"/>
          <w:bCs/>
          <w:sz w:val="24"/>
        </w:rPr>
        <w:fldChar w:fldCharType="begin"/>
      </w:r>
      <w:r>
        <w:rPr>
          <w:rFonts w:hint="eastAsia"/>
          <w:bCs/>
          <w:sz w:val="24"/>
        </w:rPr>
        <w:instrText xml:space="preserve"> = 2 \* GB3 \* MERGEFORMAT </w:instrText>
      </w:r>
      <w:r>
        <w:rPr>
          <w:rFonts w:hint="eastAsia"/>
          <w:bCs/>
          <w:sz w:val="24"/>
        </w:rPr>
        <w:fldChar w:fldCharType="separate"/>
      </w:r>
      <w:r>
        <w:t>②</w:t>
      </w:r>
      <w:r>
        <w:rPr>
          <w:rFonts w:hint="eastAsia"/>
          <w:bCs/>
          <w:sz w:val="24"/>
        </w:rPr>
        <w:fldChar w:fldCharType="end"/>
      </w:r>
      <w:r>
        <w:rPr>
          <w:rFonts w:hint="eastAsia"/>
          <w:bCs/>
          <w:sz w:val="24"/>
        </w:rPr>
        <w:t>商品房批准预售情况，2020年1－12月，全市共批准预售项目61宗，预售面积91.58万平方米，同比下降30.9%。</w:t>
      </w:r>
      <w:r>
        <w:rPr>
          <w:rFonts w:hint="eastAsia"/>
          <w:bCs/>
          <w:sz w:val="24"/>
        </w:rPr>
        <w:fldChar w:fldCharType="begin"/>
      </w:r>
      <w:r>
        <w:rPr>
          <w:rFonts w:hint="eastAsia"/>
          <w:bCs/>
          <w:sz w:val="24"/>
        </w:rPr>
        <w:instrText xml:space="preserve"> = 3 \* GB3 \* MERGEFORMAT </w:instrText>
      </w:r>
      <w:r>
        <w:rPr>
          <w:rFonts w:hint="eastAsia"/>
          <w:bCs/>
          <w:sz w:val="24"/>
        </w:rPr>
        <w:fldChar w:fldCharType="separate"/>
      </w:r>
      <w:r>
        <w:t>③</w:t>
      </w:r>
      <w:r>
        <w:rPr>
          <w:rFonts w:hint="eastAsia"/>
          <w:bCs/>
          <w:sz w:val="24"/>
        </w:rPr>
        <w:fldChar w:fldCharType="end"/>
      </w:r>
      <w:r>
        <w:rPr>
          <w:rFonts w:hint="eastAsia"/>
          <w:bCs/>
          <w:sz w:val="24"/>
        </w:rPr>
        <w:t>市场交易情况， 2020年1－12月，全市商品房成交7424套，成交面积86.18万平方米，同比下降11.1%；成交金额51.66亿元，同比下降8.4%。2020年1－12月，全市二手房共成交2644套，成交面积48.7万平方米，同比下降13%；成交金额12.4亿元，同比下降17%。  2020年1－12月，我市商品房销售均价5994元/平方米，同比增长3%，商品房销售均价整体依然呈上升趋势。2020年1－12月，我市商品房库存面积137.94万平方米，同比上升8.2%，库存量增幅较1－9月收窄18.2个百分点。</w:t>
      </w:r>
    </w:p>
    <w:p>
      <w:pPr>
        <w:snapToGrid w:val="0"/>
        <w:spacing w:line="360" w:lineRule="auto"/>
        <w:ind w:firstLine="480" w:firstLineChars="200"/>
        <w:rPr>
          <w:bCs/>
          <w:sz w:val="24"/>
        </w:rPr>
      </w:pPr>
      <w:r>
        <w:rPr>
          <w:rFonts w:hint="eastAsia"/>
          <w:bCs/>
          <w:sz w:val="24"/>
        </w:rPr>
        <w:t>2020年海口商品房供应394万方，成交358万方，同比下滑23.04%、1.1%，供求比达到1.2，呈现供大于求。</w:t>
      </w:r>
    </w:p>
    <w:p>
      <w:pPr>
        <w:snapToGrid w:val="0"/>
        <w:spacing w:line="360" w:lineRule="auto"/>
        <w:ind w:firstLine="480" w:firstLineChars="200"/>
        <w:rPr>
          <w:bCs/>
          <w:sz w:val="24"/>
        </w:rPr>
      </w:pPr>
      <w:r>
        <w:rPr>
          <w:rFonts w:hint="eastAsia"/>
          <w:bCs/>
          <w:sz w:val="24"/>
        </w:rPr>
        <w:drawing>
          <wp:inline distT="0" distB="0" distL="114300" distR="114300">
            <wp:extent cx="5650230" cy="2637790"/>
            <wp:effectExtent l="0" t="0" r="7620" b="10160"/>
            <wp:docPr id="27" name="图片 2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1"/>
                    <pic:cNvPicPr>
                      <a:picLocks noChangeAspect="1"/>
                    </pic:cNvPicPr>
                  </pic:nvPicPr>
                  <pic:blipFill>
                    <a:blip r:embed="rId18"/>
                    <a:stretch>
                      <a:fillRect/>
                    </a:stretch>
                  </pic:blipFill>
                  <pic:spPr>
                    <a:xfrm>
                      <a:off x="0" y="0"/>
                      <a:ext cx="5650230" cy="2637790"/>
                    </a:xfrm>
                    <a:prstGeom prst="rect">
                      <a:avLst/>
                    </a:prstGeom>
                  </pic:spPr>
                </pic:pic>
              </a:graphicData>
            </a:graphic>
          </wp:inline>
        </w:drawing>
      </w:r>
    </w:p>
    <w:p>
      <w:pPr>
        <w:snapToGrid w:val="0"/>
        <w:spacing w:line="360" w:lineRule="auto"/>
        <w:ind w:firstLine="480" w:firstLineChars="200"/>
        <w:rPr>
          <w:bCs/>
          <w:sz w:val="24"/>
        </w:rPr>
      </w:pPr>
      <w:r>
        <w:rPr>
          <w:rFonts w:hint="eastAsia"/>
          <w:bCs/>
          <w:sz w:val="24"/>
        </w:rPr>
        <w:t>2020年商办产品供应持续走高，住宅持续走低，住宅成交高位占比，住宅商办两极分化，2020年海口商品房供应中仅69%为住宅，成交中81%占比，两者差值由2019年8%扩大至12%。</w:t>
      </w:r>
    </w:p>
    <w:p>
      <w:pPr>
        <w:snapToGrid w:val="0"/>
        <w:spacing w:line="360" w:lineRule="auto"/>
        <w:ind w:firstLine="480" w:firstLineChars="200"/>
        <w:rPr>
          <w:bCs/>
          <w:sz w:val="24"/>
        </w:rPr>
      </w:pPr>
      <w:r>
        <w:rPr>
          <w:rFonts w:hint="eastAsia"/>
          <w:bCs/>
          <w:sz w:val="24"/>
        </w:rPr>
        <w:drawing>
          <wp:inline distT="0" distB="0" distL="114300" distR="114300">
            <wp:extent cx="5644515" cy="2346325"/>
            <wp:effectExtent l="0" t="0" r="13335" b="15875"/>
            <wp:docPr id="28" name="图片 28"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2"/>
                    <pic:cNvPicPr>
                      <a:picLocks noChangeAspect="1"/>
                    </pic:cNvPicPr>
                  </pic:nvPicPr>
                  <pic:blipFill>
                    <a:blip r:embed="rId19"/>
                    <a:stretch>
                      <a:fillRect/>
                    </a:stretch>
                  </pic:blipFill>
                  <pic:spPr>
                    <a:xfrm>
                      <a:off x="0" y="0"/>
                      <a:ext cx="5644515" cy="2346325"/>
                    </a:xfrm>
                    <a:prstGeom prst="rect">
                      <a:avLst/>
                    </a:prstGeom>
                  </pic:spPr>
                </pic:pic>
              </a:graphicData>
            </a:graphic>
          </wp:inline>
        </w:drawing>
      </w:r>
    </w:p>
    <w:p>
      <w:pPr>
        <w:snapToGrid w:val="0"/>
        <w:spacing w:line="360" w:lineRule="auto"/>
        <w:ind w:firstLine="480" w:firstLineChars="200"/>
        <w:rPr>
          <w:bCs/>
          <w:sz w:val="24"/>
        </w:rPr>
      </w:pPr>
      <w:r>
        <w:rPr>
          <w:rFonts w:hint="eastAsia"/>
          <w:bCs/>
          <w:sz w:val="24"/>
        </w:rPr>
        <w:t>商办产品供应量上涨，但因市场消化不足，库存增量，周期延长。</w:t>
      </w:r>
    </w:p>
    <w:p>
      <w:pPr>
        <w:snapToGrid w:val="0"/>
        <w:spacing w:line="360" w:lineRule="auto"/>
        <w:ind w:firstLine="480" w:firstLineChars="200"/>
        <w:rPr>
          <w:bCs/>
          <w:sz w:val="24"/>
        </w:rPr>
      </w:pPr>
      <w:r>
        <w:rPr>
          <w:rFonts w:hint="eastAsia"/>
          <w:bCs/>
          <w:sz w:val="24"/>
        </w:rPr>
        <w:drawing>
          <wp:inline distT="0" distB="0" distL="114300" distR="114300">
            <wp:extent cx="5650865" cy="2346960"/>
            <wp:effectExtent l="0" t="0" r="6985" b="15240"/>
            <wp:docPr id="29" name="图片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
                    <pic:cNvPicPr>
                      <a:picLocks noChangeAspect="1"/>
                    </pic:cNvPicPr>
                  </pic:nvPicPr>
                  <pic:blipFill>
                    <a:blip r:embed="rId20"/>
                    <a:stretch>
                      <a:fillRect/>
                    </a:stretch>
                  </pic:blipFill>
                  <pic:spPr>
                    <a:xfrm>
                      <a:off x="0" y="0"/>
                      <a:ext cx="5650865" cy="2346960"/>
                    </a:xfrm>
                    <a:prstGeom prst="rect">
                      <a:avLst/>
                    </a:prstGeom>
                  </pic:spPr>
                </pic:pic>
              </a:graphicData>
            </a:graphic>
          </wp:inline>
        </w:drawing>
      </w:r>
    </w:p>
    <w:p>
      <w:pPr>
        <w:snapToGrid w:val="0"/>
        <w:spacing w:line="360" w:lineRule="auto"/>
        <w:ind w:firstLine="480" w:firstLineChars="200"/>
        <w:rPr>
          <w:rFonts w:ascii="宋体" w:hAnsi="宋体" w:cs="宋体"/>
          <w:bCs/>
          <w:sz w:val="24"/>
        </w:rPr>
      </w:pPr>
      <w:r>
        <w:rPr>
          <w:rFonts w:hint="eastAsia" w:ascii="宋体" w:hAnsi="宋体" w:cs="宋体"/>
          <w:bCs/>
          <w:sz w:val="24"/>
        </w:rPr>
        <w:t>商办新项目频入市，龙湖光年、绿地空港国际作为产品明星项目，企业充分发挥产品研发和创新能力。对于商办面积限制，市场暂无良好解决办法。</w:t>
      </w:r>
    </w:p>
    <w:p>
      <w:pPr>
        <w:snapToGrid w:val="0"/>
        <w:spacing w:line="360" w:lineRule="auto"/>
        <w:ind w:firstLine="480" w:firstLineChars="200"/>
        <w:rPr>
          <w:rFonts w:ascii="宋体" w:hAnsi="宋体" w:cs="宋体"/>
          <w:sz w:val="24"/>
        </w:rPr>
      </w:pPr>
      <w:r>
        <w:rPr>
          <w:rFonts w:hint="eastAsia" w:ascii="宋体" w:hAnsi="宋体" w:cs="宋体"/>
          <w:sz w:val="24"/>
        </w:rPr>
        <w:t>4、小结及展望</w:t>
      </w:r>
    </w:p>
    <w:p>
      <w:pPr>
        <w:snapToGrid w:val="0"/>
        <w:spacing w:line="360" w:lineRule="auto"/>
        <w:ind w:firstLine="480" w:firstLineChars="200"/>
        <w:rPr>
          <w:bCs/>
          <w:sz w:val="24"/>
        </w:rPr>
      </w:pPr>
      <w:r>
        <w:rPr>
          <w:rFonts w:hint="eastAsia" w:ascii="宋体" w:hAnsi="宋体" w:cs="宋体"/>
          <w:sz w:val="24"/>
        </w:rPr>
        <w:t>随着“三道红线”为主的融资监管政策正式落地，房企资金压力及销售去化压力进一步显现，预计短期内新开工与土地购置规模收紧，同时在资金压力下，房企将加快推盘速度，市场新增供应量上升，商品房销售均价在地价上涨等因素的支撑下稳中微涨，商品房成交量与2020年同比有望正增长；需求端，由于房地产行业信贷环境收紧，或将推动需求释放更趋理性。改善需求仍存较大释放空间，经过2020年疫情，</w:t>
      </w:r>
      <w:r>
        <w:rPr>
          <w:rFonts w:hint="eastAsia" w:ascii="宋体" w:hAnsi="宋体" w:cs="宋体"/>
          <w:bCs/>
          <w:sz w:val="24"/>
        </w:rPr>
        <w:t>消费者更加注重住房的品质及服务，未来优质中高端项目成交占比或将提升。由于2020年三季度房地产政策表态频繁，调控总体趋严，资金面趋紧，市场风险加大，预计2021年房企的投资态度保持谨慎，甚至保守；从稳定现金流、降低负债、</w:t>
      </w:r>
      <w:r>
        <w:rPr>
          <w:rFonts w:hint="eastAsia"/>
          <w:bCs/>
          <w:sz w:val="24"/>
        </w:rPr>
        <w:t>防范经营风险等角度出发，2021年房企将继续加大项目的营销力度，创新营销模式，把商品房销售作为主攻方向，增加现金回笼，以应对融资新政所带来的资金压力。“促销售、抢回款、降负债”仍是房企2021年的工作重点。客户对大面积产品认可程度在2021年会拨云见日，为实现良好去化，不排除一部分项目以价换量，对商办物业运营能力要求进一步提高，房企需结合地理区位，精准把握客户群体，打造特色高端产品吸引客户，在政策限制下，面积、规划限制严格，商改住产品打造在后期户型装修上为客户提供定制个性化服务。</w:t>
      </w:r>
    </w:p>
    <w:p>
      <w:pPr>
        <w:pStyle w:val="4"/>
        <w:rPr>
          <w:rFonts w:ascii="Times New Roman" w:hAnsi="Times New Roman"/>
          <w:sz w:val="24"/>
          <w:szCs w:val="24"/>
        </w:rPr>
      </w:pPr>
      <w:r>
        <w:rPr>
          <w:rFonts w:ascii="Times New Roman" w:hAnsi="Times New Roman"/>
          <w:b w:val="0"/>
          <w:bCs w:val="0"/>
          <w:sz w:val="24"/>
          <w:szCs w:val="24"/>
        </w:rPr>
        <w:t>（三）最高最佳利用分析</w:t>
      </w:r>
      <w:bookmarkEnd w:id="51"/>
      <w:bookmarkEnd w:id="52"/>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最高最佳利用是指房地产在法律上允许、技术上可能、财务上可行并使价值最大的合理、可能的利用，包括最佳的用途、规模、档次等。</w:t>
      </w:r>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1、法律上允许：法律上允许是指在法律、法规、政策以及建设用地使用权出让合同等允许范围内的最高最佳利用。估价对象建筑物法定用途为住宅，在估价对象实际的利用中，亦遵循了合法使用原则，</w:t>
      </w:r>
      <w:r>
        <w:rPr>
          <w:rFonts w:hint="eastAsia" w:ascii="Times New Roman" w:hAnsi="Times New Roman" w:cs="Times New Roman"/>
          <w:sz w:val="24"/>
          <w:szCs w:val="24"/>
        </w:rPr>
        <w:t>现</w:t>
      </w:r>
      <w:r>
        <w:rPr>
          <w:rFonts w:ascii="Times New Roman" w:hAnsi="Times New Roman" w:cs="Times New Roman"/>
          <w:sz w:val="24"/>
          <w:szCs w:val="24"/>
        </w:rPr>
        <w:t>作为住宅利用，住宅用途是其合法原则的体现；</w:t>
      </w:r>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2、技术上可能：对法律上允许的每一种利用方式，要检查其技术上是否具有可能。估价对象原设计用途为住宅，</w:t>
      </w:r>
      <w:r>
        <w:rPr>
          <w:rFonts w:hint="eastAsia" w:ascii="Times New Roman" w:hAnsi="Times New Roman" w:cs="Times New Roman"/>
          <w:sz w:val="24"/>
          <w:szCs w:val="24"/>
        </w:rPr>
        <w:t>现</w:t>
      </w:r>
      <w:r>
        <w:rPr>
          <w:rFonts w:ascii="Times New Roman" w:hAnsi="Times New Roman" w:cs="Times New Roman"/>
          <w:sz w:val="24"/>
          <w:szCs w:val="24"/>
        </w:rPr>
        <w:t>作为住宅利用</w:t>
      </w:r>
      <w:r>
        <w:rPr>
          <w:rFonts w:hint="eastAsia" w:ascii="Times New Roman" w:hAnsi="Times New Roman" w:cs="Times New Roman"/>
          <w:sz w:val="24"/>
          <w:szCs w:val="24"/>
        </w:rPr>
        <w:t>，</w:t>
      </w:r>
      <w:r>
        <w:rPr>
          <w:rFonts w:ascii="Times New Roman" w:hAnsi="Times New Roman" w:cs="Times New Roman"/>
          <w:sz w:val="24"/>
          <w:szCs w:val="24"/>
        </w:rPr>
        <w:t>作为住宅利用在技术上可实现。</w:t>
      </w:r>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3、财务上可行：对法律上允许、技术上可能的每一种利用方式，需要从财务上预测其可行性，只有估价对象未来的收入现值大于支出现值的利用方式，才是财务上可行的利用方式。估价对象作为住宅利用，其收入现值大于其支出现值，财务上可行。</w:t>
      </w:r>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4、价值最大化：在法律上允许、技术上可能、财务上可行的利用方式中，能使估价对象的价值达到最大的利用方式。根据分析，估价对象做住宅利用，符合片区整体规划，能在合法前提下实现价值的最大化。</w:t>
      </w:r>
    </w:p>
    <w:p>
      <w:pPr>
        <w:pStyle w:val="7"/>
        <w:snapToGrid w:val="0"/>
        <w:ind w:firstLine="480" w:firstLineChars="200"/>
        <w:rPr>
          <w:rFonts w:ascii="Times New Roman" w:hAnsi="Times New Roman" w:cs="Times New Roman"/>
          <w:sz w:val="24"/>
          <w:szCs w:val="24"/>
        </w:rPr>
      </w:pPr>
      <w:r>
        <w:rPr>
          <w:rFonts w:ascii="Times New Roman" w:hAnsi="Times New Roman" w:cs="Times New Roman"/>
          <w:sz w:val="24"/>
          <w:szCs w:val="24"/>
        </w:rPr>
        <w:t>综上分析，我们认为估价对象的最高最佳利用为</w:t>
      </w:r>
      <w:r>
        <w:rPr>
          <w:rFonts w:hint="eastAsia" w:ascii="Times New Roman" w:hAnsi="Times New Roman" w:cs="Times New Roman"/>
          <w:sz w:val="24"/>
          <w:szCs w:val="24"/>
        </w:rPr>
        <w:t>按证载</w:t>
      </w:r>
      <w:r>
        <w:rPr>
          <w:rFonts w:ascii="Times New Roman" w:hAnsi="Times New Roman" w:cs="Times New Roman"/>
          <w:sz w:val="24"/>
          <w:szCs w:val="24"/>
        </w:rPr>
        <w:t>做住宅利用。</w:t>
      </w:r>
    </w:p>
    <w:p>
      <w:pPr>
        <w:pStyle w:val="4"/>
        <w:rPr>
          <w:rFonts w:ascii="Times New Roman" w:hAnsi="Times New Roman"/>
          <w:sz w:val="24"/>
          <w:szCs w:val="24"/>
        </w:rPr>
      </w:pPr>
      <w:bookmarkStart w:id="53" w:name="_Toc11618"/>
      <w:bookmarkStart w:id="54" w:name="_Toc491874798"/>
      <w:r>
        <w:rPr>
          <w:rFonts w:ascii="Times New Roman" w:hAnsi="Times New Roman"/>
          <w:b w:val="0"/>
          <w:bCs w:val="0"/>
          <w:sz w:val="24"/>
          <w:szCs w:val="24"/>
        </w:rPr>
        <w:t>（四</w:t>
      </w:r>
      <w:r>
        <w:rPr>
          <w:rFonts w:ascii="Times New Roman" w:hAnsi="Times New Roman"/>
          <w:b w:val="0"/>
          <w:sz w:val="24"/>
          <w:szCs w:val="24"/>
        </w:rPr>
        <w:t>）估价方法适用性分析</w:t>
      </w:r>
      <w:bookmarkEnd w:id="53"/>
      <w:bookmarkEnd w:id="54"/>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根据《房地产估价规范》，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1、估价方法选用</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估价人员在认真分析所掌握的资料，并对估价对象进行实地查勘后，根据估价对象的特点及本身的实际情况，遵照国家标准《房地产估价规范》和《房地产估价基本术语标准》，经过认真分析、反复研究：</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（1）市场上有较多同类房地产交易案例，且交易案例情况较易收集，可选用比较法进行估价；</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（2）估价对象为可出租类型收益性物业，近年来海南省房屋租赁市场活跃，可采用收益还原法进行评估，但</w:t>
      </w:r>
      <w:r>
        <w:rPr>
          <w:rFonts w:hint="eastAsia" w:ascii="Times New Roman" w:hAnsi="Times New Roman" w:cs="Times New Roman"/>
          <w:sz w:val="24"/>
          <w:szCs w:val="24"/>
        </w:rPr>
        <w:t>海口市</w:t>
      </w:r>
      <w:r>
        <w:rPr>
          <w:rFonts w:ascii="Times New Roman" w:hAnsi="Times New Roman" w:cs="Times New Roman"/>
          <w:sz w:val="24"/>
          <w:szCs w:val="24"/>
        </w:rPr>
        <w:t>目前租金水平</w:t>
      </w:r>
      <w:r>
        <w:rPr>
          <w:rFonts w:hint="eastAsia" w:ascii="Times New Roman" w:hAnsi="Times New Roman" w:cs="Times New Roman"/>
          <w:sz w:val="24"/>
          <w:szCs w:val="24"/>
        </w:rPr>
        <w:t>难以确定</w:t>
      </w:r>
      <w:r>
        <w:rPr>
          <w:rFonts w:ascii="Times New Roman" w:hAnsi="Times New Roman" w:cs="Times New Roman"/>
          <w:sz w:val="24"/>
          <w:szCs w:val="24"/>
        </w:rPr>
        <w:t>，不宜选用收益法进行估价；</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（3）估价对象为建成后物业，其最高最佳利用方式为</w:t>
      </w:r>
      <w:r>
        <w:rPr>
          <w:rFonts w:hint="eastAsia" w:ascii="Times New Roman" w:hAnsi="Times New Roman" w:eastAsia="宋体" w:cs="Times New Roman"/>
          <w:sz w:val="24"/>
          <w:szCs w:val="24"/>
        </w:rPr>
        <w:t>按照证载用途作为住宅使用</w:t>
      </w:r>
      <w:r>
        <w:rPr>
          <w:rFonts w:ascii="Times New Roman" w:hAnsi="Times New Roman" w:cs="Times New Roman"/>
          <w:sz w:val="24"/>
          <w:szCs w:val="24"/>
        </w:rPr>
        <w:t>，不宜选用假设开发法进行估价；</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（4）估价对象及同类物业市场交易活跃，且其所处区域为城市建成区，房地产市场发育良好，成本溢价较高，不宜选用成本法进行估价。</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2、技术路线</w:t>
      </w:r>
    </w:p>
    <w:p>
      <w:pPr>
        <w:pStyle w:val="7"/>
        <w:snapToGrid w:val="0"/>
        <w:ind w:firstLine="480" w:firstLineChars="200"/>
        <w:rPr>
          <w:sz w:val="24"/>
          <w:szCs w:val="24"/>
        </w:rPr>
      </w:pPr>
      <w:r>
        <w:rPr>
          <w:rFonts w:hint="eastAsia" w:ascii="Times New Roman" w:hAnsi="Times New Roman" w:cs="Times New Roman"/>
          <w:sz w:val="24"/>
          <w:szCs w:val="24"/>
        </w:rPr>
        <w:t>根</w:t>
      </w:r>
      <w:r>
        <w:rPr>
          <w:sz w:val="24"/>
          <w:szCs w:val="24"/>
        </w:rPr>
        <w:t>据本次估价目的，本次估价对房地产市场价值进行评估。</w:t>
      </w:r>
    </w:p>
    <w:p>
      <w:pPr>
        <w:pStyle w:val="4"/>
        <w:rPr>
          <w:b w:val="0"/>
          <w:bCs w:val="0"/>
          <w:sz w:val="24"/>
          <w:szCs w:val="24"/>
        </w:rPr>
      </w:pPr>
      <w:bookmarkStart w:id="55" w:name="_Toc17952"/>
      <w:bookmarkStart w:id="56" w:name="_Toc491874799"/>
      <w:r>
        <w:rPr>
          <w:b w:val="0"/>
          <w:bCs w:val="0"/>
          <w:sz w:val="24"/>
          <w:szCs w:val="24"/>
        </w:rPr>
        <w:t>（五）估价测算过程</w:t>
      </w:r>
      <w:bookmarkEnd w:id="55"/>
      <w:bookmarkEnd w:id="56"/>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1、比较法测算过程：</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比较法是指选取一定数量的可比实例，将它们与估价对象进行比较，根据其间的差异对可比实例成交价格进行处理后得到估价对象价值或价格的方法。</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公式：P=PI×A×B×C</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式中：P ---被估价房地产估价价格</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PI---可比交易案例价格</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A ---交易情况修正系数</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B ---市场状况调整</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C ---房地产状况调整（包括区位状况调整、实物状况调整和权益状况调整）</w:t>
      </w:r>
    </w:p>
    <w:p>
      <w:pPr>
        <w:pStyle w:val="7"/>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市场调查三个与估价对象房地产条件类似的物业成交案例作为可比实例，将案例的交易情况、市场状况、区位状况、实物状况、权益状况分别与估价对象房地产相比较调整。</w:t>
      </w:r>
    </w:p>
    <w:p>
      <w:pPr>
        <w:pStyle w:val="7"/>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可比实例A：</w:t>
      </w:r>
      <w:r>
        <w:rPr>
          <w:rFonts w:hint="eastAsia" w:ascii="宋体" w:hAnsi="宋体" w:cs="宋体"/>
          <w:sz w:val="24"/>
        </w:rPr>
        <w:t>位于人民大道7号，工商银行宿舍楼4层，建筑面积62平方米，朝向为南北，室内为普通装修，成交单价10968元/平方米，于2022年3月成交，</w:t>
      </w:r>
      <w:r>
        <w:rPr>
          <w:rFonts w:ascii="Times New Roman" w:hAnsi="Times New Roman" w:cs="Times New Roman"/>
          <w:sz w:val="24"/>
        </w:rPr>
        <w:t>三级市场交易价格。</w:t>
      </w:r>
    </w:p>
    <w:p>
      <w:pPr>
        <w:pStyle w:val="7"/>
        <w:snapToGrid w:val="0"/>
        <w:spacing w:line="360" w:lineRule="auto"/>
        <w:ind w:firstLine="480" w:firstLineChars="200"/>
        <w:rPr>
          <w:rFonts w:ascii="Times New Roman" w:hAnsi="Times New Roman" w:cs="Times New Roman"/>
          <w:sz w:val="24"/>
        </w:rPr>
      </w:pPr>
      <w:r>
        <w:rPr>
          <w:rFonts w:hint="eastAsia" w:ascii="宋体" w:hAnsi="宋体" w:cs="宋体"/>
          <w:sz w:val="24"/>
        </w:rPr>
        <w:t>可比实例B：位于文明东路，千家新村A7栋7层，建筑面积67.91平方米，朝向为南北，室内为普通装修，成交单价为12,075元/平方米，于2022年4月成交，</w:t>
      </w:r>
      <w:r>
        <w:rPr>
          <w:rFonts w:ascii="Times New Roman" w:hAnsi="Times New Roman" w:cs="Times New Roman"/>
          <w:sz w:val="24"/>
        </w:rPr>
        <w:t>三级市场交易价格。</w:t>
      </w:r>
    </w:p>
    <w:p>
      <w:pPr>
        <w:pStyle w:val="7"/>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可比实例C：</w:t>
      </w:r>
      <w:r>
        <w:rPr>
          <w:rFonts w:hint="eastAsia" w:ascii="宋体" w:hAnsi="宋体" w:cs="宋体"/>
          <w:sz w:val="24"/>
        </w:rPr>
        <w:t>位于人民大道7号，工商银行宿舍楼4层，建筑面积63.77平方米，朝向为南北，室内为普通装修，成交单价为10664元/平方米，于2022年3月成交，</w:t>
      </w:r>
      <w:r>
        <w:rPr>
          <w:rFonts w:ascii="Times New Roman" w:hAnsi="Times New Roman" w:cs="Times New Roman"/>
          <w:sz w:val="24"/>
        </w:rPr>
        <w:t>三级市场交易价格。</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r>
        <w:rPr>
          <w:szCs w:val="22"/>
        </w:rPr>
        <mc:AlternateContent>
          <mc:Choice Requires="wps">
            <w:drawing>
              <wp:anchor distT="0" distB="0" distL="114300" distR="114300" simplePos="0" relativeHeight="251665408" behindDoc="0" locked="0" layoutInCell="1" allowOverlap="1">
                <wp:simplePos x="0" y="0"/>
                <wp:positionH relativeFrom="column">
                  <wp:posOffset>4813935</wp:posOffset>
                </wp:positionH>
                <wp:positionV relativeFrom="paragraph">
                  <wp:posOffset>3253740</wp:posOffset>
                </wp:positionV>
                <wp:extent cx="626745" cy="942975"/>
                <wp:effectExtent l="15875" t="0" r="5080" b="28575"/>
                <wp:wrapNone/>
                <wp:docPr id="11" name="直接连接符 11"/>
                <wp:cNvGraphicFramePr/>
                <a:graphic xmlns:a="http://schemas.openxmlformats.org/drawingml/2006/main">
                  <a:graphicData uri="http://schemas.microsoft.com/office/word/2010/wordprocessingShape">
                    <wps:wsp>
                      <wps:cNvCnPr/>
                      <wps:spPr>
                        <a:xfrm flipV="1">
                          <a:off x="0" y="0"/>
                          <a:ext cx="626745" cy="942975"/>
                        </a:xfrm>
                        <a:prstGeom prst="line">
                          <a:avLst/>
                        </a:prstGeom>
                        <a:ln w="38100" cap="flat" cmpd="sng">
                          <a:solidFill>
                            <a:srgbClr val="FF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379.05pt;margin-top:256.2pt;height:74.25pt;width:49.35pt;z-index:251665408;mso-width-relative:page;mso-height-relative:page;" filled="f" stroked="t" coordsize="21600,21600" o:gfxdata="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aKNB/aAAAACwEAAA8AAAAAAAAAAQAgAAAAIgAAAGRy&#10;cy9kb3ducmV2LnhtbFBLAQIUABQAAAAIAIdO4kDj0m74AwIAAO0DAAAOAAAAAAAAAAEAIAAAACkB&#10;AABkcnMvZTJvRG9jLnhtbFBLBQYAAAAABgAGAFkBAACeBQAAAAA=&#10;">
                <v:fill on="f" focussize="0,0"/>
                <v:stroke weight="3pt" color="#FF0000" joinstyle="round" endarrow="block"/>
                <v:imagedata o:title=""/>
                <o:lock v:ext="edit" aspectratio="f"/>
              </v:line>
            </w:pict>
          </mc:Fallback>
        </mc:AlternateContent>
      </w:r>
      <w:r>
        <w:rPr>
          <w:szCs w:val="22"/>
        </w:rPr>
        <mc:AlternateContent>
          <mc:Choice Requires="wps">
            <w:drawing>
              <wp:anchor distT="0" distB="0" distL="114300" distR="114300" simplePos="0" relativeHeight="251664384" behindDoc="0" locked="0" layoutInCell="1" allowOverlap="1">
                <wp:simplePos x="0" y="0"/>
                <wp:positionH relativeFrom="column">
                  <wp:posOffset>2847975</wp:posOffset>
                </wp:positionH>
                <wp:positionV relativeFrom="paragraph">
                  <wp:posOffset>1506220</wp:posOffset>
                </wp:positionV>
                <wp:extent cx="438150" cy="2381250"/>
                <wp:effectExtent l="19050" t="0" r="38100" b="19050"/>
                <wp:wrapNone/>
                <wp:docPr id="15" name="直接连接符 15"/>
                <wp:cNvGraphicFramePr/>
                <a:graphic xmlns:a="http://schemas.openxmlformats.org/drawingml/2006/main">
                  <a:graphicData uri="http://schemas.microsoft.com/office/word/2010/wordprocessingShape">
                    <wps:wsp>
                      <wps:cNvCnPr/>
                      <wps:spPr>
                        <a:xfrm flipV="1">
                          <a:off x="0" y="0"/>
                          <a:ext cx="438150" cy="2381250"/>
                        </a:xfrm>
                        <a:prstGeom prst="line">
                          <a:avLst/>
                        </a:prstGeom>
                        <a:ln w="38100" cap="flat" cmpd="sng">
                          <a:solidFill>
                            <a:srgbClr val="FF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224.25pt;margin-top:118.6pt;height:187.5pt;width:34.5pt;z-index:251664384;mso-width-relative:page;mso-height-relative:page;" filled="f" stroked="t" coordsize="21600,21600" o:gfxdata="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MU6a2gAAAAsBAAAPAAAAAAAAAAEAIAAAACIAAABkcnMvZG93&#10;bnJldi54bWxQSwECFAAUAAAACACHTuJArbDQzf4BAADuAwAADgAAAAAAAAABACAAAAApAQAAZHJz&#10;L2Uyb0RvYy54bWxQSwUGAAAAAAYABgBZAQAAmQUAAAAA&#10;">
                <v:fill on="f" focussize="0,0"/>
                <v:stroke weight="3pt" color="#FF0000" joinstyle="round" endarrow="block"/>
                <v:imagedata o:title=""/>
                <o:lock v:ext="edit" aspectratio="f"/>
              </v:line>
            </w:pict>
          </mc:Fallback>
        </mc:AlternateContent>
      </w:r>
      <w:r>
        <w:rPr>
          <w:szCs w:val="22"/>
        </w:rPr>
        <mc:AlternateContent>
          <mc:Choice Requires="wps">
            <w:drawing>
              <wp:anchor distT="0" distB="0" distL="114300" distR="114300" simplePos="0" relativeHeight="251663360" behindDoc="0" locked="0" layoutInCell="1" allowOverlap="1">
                <wp:simplePos x="0" y="0"/>
                <wp:positionH relativeFrom="column">
                  <wp:posOffset>779145</wp:posOffset>
                </wp:positionH>
                <wp:positionV relativeFrom="paragraph">
                  <wp:posOffset>907415</wp:posOffset>
                </wp:positionV>
                <wp:extent cx="219075" cy="2714625"/>
                <wp:effectExtent l="19050" t="0" r="47625" b="9525"/>
                <wp:wrapNone/>
                <wp:docPr id="4" name="直接连接符 4"/>
                <wp:cNvGraphicFramePr/>
                <a:graphic xmlns:a="http://schemas.openxmlformats.org/drawingml/2006/main">
                  <a:graphicData uri="http://schemas.microsoft.com/office/word/2010/wordprocessingShape">
                    <wps:wsp>
                      <wps:cNvCnPr/>
                      <wps:spPr>
                        <a:xfrm flipV="1">
                          <a:off x="0" y="0"/>
                          <a:ext cx="219075" cy="2714625"/>
                        </a:xfrm>
                        <a:prstGeom prst="line">
                          <a:avLst/>
                        </a:prstGeom>
                        <a:ln w="38100" cap="flat" cmpd="sng">
                          <a:solidFill>
                            <a:srgbClr val="FF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61.35pt;margin-top:71.45pt;height:213.75pt;width:17.25pt;z-index:251663360;mso-width-relative:page;mso-height-relative:page;" filled="f" stroked="t" coordsize="21600,21600" o:gfxdata="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qvFBtkAAAALAQAADwAAAAAAAAABACAAAAAiAAAAZHJz&#10;L2Rvd25yZXYueG1sUEsBAhQAFAAAAAgAh07iQKlP84ADAgAA7AMAAA4AAAAAAAAAAQAgAAAAKAEA&#10;AGRycy9lMm9Eb2MueG1sUEsFBgAAAAAGAAYAWQEAAJ0FAAAAAA==&#10;">
                <v:fill on="f" focussize="0,0"/>
                <v:stroke weight="3pt" color="#FF0000" joinstyle="round" endarrow="block"/>
                <v:imagedata o:title=""/>
                <o:lock v:ext="edit" aspectratio="f"/>
              </v:line>
            </w:pict>
          </mc:Fallback>
        </mc:AlternateContent>
      </w:r>
      <w:r>
        <w:drawing>
          <wp:inline distT="0" distB="0" distL="114300" distR="114300">
            <wp:extent cx="6118225" cy="3533775"/>
            <wp:effectExtent l="0" t="0" r="15875" b="952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21"/>
                    <a:stretch>
                      <a:fillRect/>
                    </a:stretch>
                  </pic:blipFill>
                  <pic:spPr>
                    <a:xfrm>
                      <a:off x="0" y="0"/>
                      <a:ext cx="6118225" cy="3533775"/>
                    </a:xfrm>
                    <a:prstGeom prst="rect">
                      <a:avLst/>
                    </a:prstGeom>
                    <a:noFill/>
                    <a:ln>
                      <a:noFill/>
                    </a:ln>
                  </pic:spPr>
                </pic:pic>
              </a:graphicData>
            </a:graphic>
          </wp:inline>
        </w:drawing>
      </w:r>
    </w:p>
    <w:p>
      <w:pPr>
        <w:widowControl/>
        <w:jc w:val="left"/>
      </w:pPr>
    </w:p>
    <w:p>
      <w:pPr>
        <w:widowControl/>
        <w:jc w:val="left"/>
      </w:pPr>
      <w:r>
        <w:rPr>
          <w:szCs w:val="22"/>
        </w:rPr>
        <mc:AlternateContent>
          <mc:Choice Requires="wps">
            <w:drawing>
              <wp:anchor distT="0" distB="0" distL="114300" distR="114300" simplePos="0" relativeHeight="251661312" behindDoc="0" locked="0" layoutInCell="1" allowOverlap="1">
                <wp:simplePos x="0" y="0"/>
                <wp:positionH relativeFrom="column">
                  <wp:posOffset>2035175</wp:posOffset>
                </wp:positionH>
                <wp:positionV relativeFrom="paragraph">
                  <wp:posOffset>71120</wp:posOffset>
                </wp:positionV>
                <wp:extent cx="2078355" cy="375285"/>
                <wp:effectExtent l="4445" t="4445" r="12700" b="20320"/>
                <wp:wrapNone/>
                <wp:docPr id="14" name="椭圆 14"/>
                <wp:cNvGraphicFramePr/>
                <a:graphic xmlns:a="http://schemas.openxmlformats.org/drawingml/2006/main">
                  <a:graphicData uri="http://schemas.microsoft.com/office/word/2010/wordprocessingShape">
                    <wps:wsp>
                      <wps:cNvSpPr/>
                      <wps:spPr>
                        <a:xfrm flipV="1">
                          <a:off x="0" y="0"/>
                          <a:ext cx="2078355" cy="37528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Calibri" w:hAnsi="Calibri"/>
                                <w:b/>
                                <w:bCs/>
                                <w:sz w:val="32"/>
                                <w:szCs w:val="32"/>
                              </w:rPr>
                            </w:pPr>
                            <w:r>
                              <w:rPr>
                                <w:rFonts w:hint="eastAsia" w:ascii="Calibri" w:hAnsi="Calibri"/>
                                <w:b/>
                                <w:bCs/>
                                <w:sz w:val="18"/>
                                <w:szCs w:val="18"/>
                              </w:rPr>
                              <w:t xml:space="preserve"> 估价案例A C海大宿舍位置</w:t>
                            </w:r>
                          </w:p>
                        </w:txbxContent>
                      </wps:txbx>
                      <wps:bodyPr upright="1"/>
                    </wps:wsp>
                  </a:graphicData>
                </a:graphic>
              </wp:anchor>
            </w:drawing>
          </mc:Choice>
          <mc:Fallback>
            <w:pict>
              <v:shape id="_x0000_s1026" o:spid="_x0000_s1026" o:spt="3" type="#_x0000_t3" style="position:absolute;left:0pt;flip:y;margin-left:160.25pt;margin-top:5.6pt;height:29.55pt;width:163.65pt;z-index:251661312;mso-width-relative:page;mso-height-relative:page;" fillcolor="#FFFFFF" filled="t" stroked="t" coordsize="21600,21600" o:gfxdata="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&#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h/l5bXAAAACQEAAA8AAAAAAAAAAQAgAAAAIgAAAGRy&#10;cy9kb3ducmV2LnhtbFBLAQIUABQAAAAIAIdO4kCiLcfEBgIAAC4EAAAOAAAAAAAAAAEAIAAAACYB&#10;AABkcnMvZTJvRG9jLnhtbFBLBQYAAAAABgAGAFkBAACeBQAAAAA=&#10;">
                <v:fill on="t" focussize="0,0"/>
                <v:stroke color="#000000" joinstyle="round"/>
                <v:imagedata o:title=""/>
                <o:lock v:ext="edit" aspectratio="f"/>
                <v:textbox>
                  <w:txbxContent>
                    <w:p>
                      <w:pPr>
                        <w:jc w:val="center"/>
                        <w:rPr>
                          <w:rFonts w:ascii="Calibri" w:hAnsi="Calibri"/>
                          <w:b/>
                          <w:bCs/>
                          <w:sz w:val="32"/>
                          <w:szCs w:val="32"/>
                        </w:rPr>
                      </w:pPr>
                      <w:r>
                        <w:rPr>
                          <w:rFonts w:hint="eastAsia" w:ascii="Calibri" w:hAnsi="Calibri"/>
                          <w:b/>
                          <w:bCs/>
                          <w:sz w:val="18"/>
                          <w:szCs w:val="18"/>
                        </w:rPr>
                        <w:t xml:space="preserve"> 估价案例A C海大宿舍位置</w:t>
                      </w:r>
                    </w:p>
                  </w:txbxContent>
                </v:textbox>
              </v:shape>
            </w:pict>
          </mc:Fallback>
        </mc:AlternateContent>
      </w:r>
    </w:p>
    <w:p>
      <w:pPr>
        <w:widowControl/>
        <w:jc w:val="left"/>
      </w:pPr>
      <w:r>
        <w:rPr>
          <w:rFonts w:ascii="Calibri" w:hAnsi="Calibri"/>
          <w:szCs w:val="22"/>
        </w:rPr>
        <mc:AlternateContent>
          <mc:Choice Requires="wps">
            <w:drawing>
              <wp:anchor distT="0" distB="0" distL="114300" distR="114300" simplePos="0" relativeHeight="251662336" behindDoc="0" locked="0" layoutInCell="1" allowOverlap="1">
                <wp:simplePos x="0" y="0"/>
                <wp:positionH relativeFrom="column">
                  <wp:posOffset>3946525</wp:posOffset>
                </wp:positionH>
                <wp:positionV relativeFrom="paragraph">
                  <wp:posOffset>165735</wp:posOffset>
                </wp:positionV>
                <wp:extent cx="1800225" cy="619125"/>
                <wp:effectExtent l="4445" t="4445" r="5080" b="5080"/>
                <wp:wrapNone/>
                <wp:docPr id="2" name="椭圆 2"/>
                <wp:cNvGraphicFramePr/>
                <a:graphic xmlns:a="http://schemas.openxmlformats.org/drawingml/2006/main">
                  <a:graphicData uri="http://schemas.microsoft.com/office/word/2010/wordprocessingShape">
                    <wps:wsp>
                      <wps:cNvSpPr/>
                      <wps:spPr>
                        <a:xfrm flipV="1">
                          <a:off x="0" y="0"/>
                          <a:ext cx="1800225" cy="61912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Calibri" w:hAnsi="Calibri"/>
                                <w:b/>
                                <w:bCs/>
                                <w:sz w:val="18"/>
                                <w:szCs w:val="18"/>
                              </w:rPr>
                            </w:pPr>
                            <w:r>
                              <w:rPr>
                                <w:rFonts w:hint="eastAsia" w:ascii="Calibri" w:hAnsi="Calibri"/>
                                <w:b/>
                                <w:bCs/>
                                <w:sz w:val="18"/>
                                <w:szCs w:val="18"/>
                              </w:rPr>
                              <w:t xml:space="preserve"> 案例B千家新村</w:t>
                            </w:r>
                          </w:p>
                        </w:txbxContent>
                      </wps:txbx>
                      <wps:bodyPr upright="1"/>
                    </wps:wsp>
                  </a:graphicData>
                </a:graphic>
              </wp:anchor>
            </w:drawing>
          </mc:Choice>
          <mc:Fallback>
            <w:pict>
              <v:shape id="_x0000_s1026" o:spid="_x0000_s1026" o:spt="3" type="#_x0000_t3" style="position:absolute;left:0pt;flip:y;margin-left:310.75pt;margin-top:13.05pt;height:48.75pt;width:141.75pt;z-index:251662336;mso-width-relative:page;mso-height-relative:page;" fillcolor="#FFFFFF" filled="t" stroked="t" coordsize="21600,21600" o:gfxdata="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&#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jSNo1wAAAAoBAAAPAAAAAAAAAAEAIAAAACIAAABk&#10;cnMvZG93bnJldi54bWxQSwECFAAUAAAACACHTuJA8GNuhAcCAAA6BAAADgAAAAAAAAABACAAAAAm&#10;AQAAZHJzL2Uyb0RvYy54bWxQSwUGAAAAAAYABgBZAQAAnwUAAAAA&#10;">
                <v:fill on="t" focussize="0,0"/>
                <v:stroke color="#000000" joinstyle="round"/>
                <v:imagedata o:title=""/>
                <o:lock v:ext="edit" aspectratio="f"/>
                <v:textbox>
                  <w:txbxContent>
                    <w:p>
                      <w:pPr>
                        <w:jc w:val="center"/>
                        <w:rPr>
                          <w:rFonts w:ascii="Calibri" w:hAnsi="Calibri"/>
                          <w:b/>
                          <w:bCs/>
                          <w:sz w:val="18"/>
                          <w:szCs w:val="18"/>
                        </w:rPr>
                      </w:pPr>
                      <w:r>
                        <w:rPr>
                          <w:rFonts w:hint="eastAsia" w:ascii="Calibri" w:hAnsi="Calibri"/>
                          <w:b/>
                          <w:bCs/>
                          <w:sz w:val="18"/>
                          <w:szCs w:val="18"/>
                        </w:rPr>
                        <w:t xml:space="preserve"> 案例B千家新村</w:t>
                      </w:r>
                    </w:p>
                  </w:txbxContent>
                </v:textbox>
              </v:shape>
            </w:pict>
          </mc:Fallback>
        </mc:AlternateContent>
      </w:r>
      <w:r>
        <w:rPr>
          <w:szCs w:val="22"/>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-300355</wp:posOffset>
                </wp:positionV>
                <wp:extent cx="2078355" cy="517525"/>
                <wp:effectExtent l="4445" t="4445" r="12700" b="11430"/>
                <wp:wrapNone/>
                <wp:docPr id="1" name="椭圆 1"/>
                <wp:cNvGraphicFramePr/>
                <a:graphic xmlns:a="http://schemas.openxmlformats.org/drawingml/2006/main">
                  <a:graphicData uri="http://schemas.microsoft.com/office/word/2010/wordprocessingShape">
                    <wps:wsp>
                      <wps:cNvSpPr/>
                      <wps:spPr>
                        <a:xfrm flipV="1">
                          <a:off x="0" y="0"/>
                          <a:ext cx="2078355" cy="51752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Calibri" w:hAnsi="Calibri"/>
                                <w:b/>
                                <w:bCs/>
                                <w:sz w:val="32"/>
                                <w:szCs w:val="32"/>
                              </w:rPr>
                            </w:pPr>
                            <w:r>
                              <w:rPr>
                                <w:rFonts w:hint="eastAsia" w:ascii="Calibri" w:hAnsi="Calibri"/>
                                <w:b/>
                                <w:bCs/>
                                <w:sz w:val="18"/>
                                <w:szCs w:val="18"/>
                              </w:rPr>
                              <w:t xml:space="preserve"> 估价对象海大宿舍位置</w:t>
                            </w:r>
                          </w:p>
                        </w:txbxContent>
                      </wps:txbx>
                      <wps:bodyPr upright="1"/>
                    </wps:wsp>
                  </a:graphicData>
                </a:graphic>
              </wp:anchor>
            </w:drawing>
          </mc:Choice>
          <mc:Fallback>
            <w:pict>
              <v:shape id="_x0000_s1026" o:spid="_x0000_s1026" o:spt="3" type="#_x0000_t3" style="position:absolute;left:0pt;flip:y;margin-left:-10pt;margin-top:-23.65pt;height:40.75pt;width:163.65pt;z-index:251660288;mso-width-relative:page;mso-height-relative:page;" fillcolor="#FFFFFF" filled="t" stroked="t" coordsize="21600,21600" o:gfxdata="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r8Kat1gAAAAoBAAAPAAAAAAAAAAEAIAAAACIAAABkcnMvZG93&#10;bnJldi54bWxQSwECFAAUAAAACACHTuJAuodBqwICAAAsBAAADgAAAAAAAAABACAAAAAlAQAAZHJz&#10;L2Uyb0RvYy54bWxQSwUGAAAAAAYABgBZAQAAmQUAAAAA&#10;">
                <v:fill on="t" focussize="0,0"/>
                <v:stroke color="#000000" joinstyle="round"/>
                <v:imagedata o:title=""/>
                <o:lock v:ext="edit" aspectratio="f"/>
                <v:textbox>
                  <w:txbxContent>
                    <w:p>
                      <w:pPr>
                        <w:jc w:val="center"/>
                        <w:rPr>
                          <w:rFonts w:ascii="Calibri" w:hAnsi="Calibri"/>
                          <w:b/>
                          <w:bCs/>
                          <w:sz w:val="32"/>
                          <w:szCs w:val="32"/>
                        </w:rPr>
                      </w:pPr>
                      <w:r>
                        <w:rPr>
                          <w:rFonts w:hint="eastAsia" w:ascii="Calibri" w:hAnsi="Calibri"/>
                          <w:b/>
                          <w:bCs/>
                          <w:sz w:val="18"/>
                          <w:szCs w:val="18"/>
                        </w:rPr>
                        <w:t xml:space="preserve"> 估价对象海大宿舍位置</w:t>
                      </w:r>
                    </w:p>
                  </w:txbxContent>
                </v:textbox>
              </v:shape>
            </w:pict>
          </mc:Fallback>
        </mc:AlternateContent>
      </w:r>
    </w:p>
    <w:p>
      <w:pPr>
        <w:widowControl/>
        <w:jc w:val="left"/>
      </w:pPr>
      <w:r>
        <w:rPr>
          <w:szCs w:val="22"/>
        </w:rPr>
        <mc:AlternateContent>
          <mc:Choice Requires="wps">
            <w:drawing>
              <wp:anchor distT="0" distB="0" distL="114300" distR="114300" simplePos="0" relativeHeight="251659264" behindDoc="0" locked="0" layoutInCell="1" allowOverlap="1">
                <wp:simplePos x="0" y="0"/>
                <wp:positionH relativeFrom="column">
                  <wp:posOffset>1812290</wp:posOffset>
                </wp:positionH>
                <wp:positionV relativeFrom="paragraph">
                  <wp:posOffset>353617530</wp:posOffset>
                </wp:positionV>
                <wp:extent cx="2078355" cy="517525"/>
                <wp:effectExtent l="4445" t="4445" r="12700" b="11430"/>
                <wp:wrapNone/>
                <wp:docPr id="12" name="椭圆 12"/>
                <wp:cNvGraphicFramePr/>
                <a:graphic xmlns:a="http://schemas.openxmlformats.org/drawingml/2006/main">
                  <a:graphicData uri="http://schemas.microsoft.com/office/word/2010/wordprocessingShape">
                    <wps:wsp>
                      <wps:cNvSpPr/>
                      <wps:spPr>
                        <a:xfrm flipV="1">
                          <a:off x="0" y="0"/>
                          <a:ext cx="2078355" cy="51752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Calibri" w:hAnsi="Calibri"/>
                                <w:b/>
                                <w:bCs/>
                                <w:sz w:val="32"/>
                                <w:szCs w:val="32"/>
                              </w:rPr>
                            </w:pPr>
                            <w:r>
                              <w:rPr>
                                <w:rFonts w:hint="eastAsia" w:ascii="Calibri" w:hAnsi="Calibri"/>
                                <w:b/>
                                <w:bCs/>
                                <w:sz w:val="18"/>
                                <w:szCs w:val="18"/>
                              </w:rPr>
                              <w:t xml:space="preserve"> 估价对象海大宿舍位置</w:t>
                            </w:r>
                          </w:p>
                        </w:txbxContent>
                      </wps:txbx>
                      <wps:bodyPr upright="1"/>
                    </wps:wsp>
                  </a:graphicData>
                </a:graphic>
              </wp:anchor>
            </w:drawing>
          </mc:Choice>
          <mc:Fallback>
            <w:pict>
              <v:shape id="_x0000_s1026" o:spid="_x0000_s1026" o:spt="3" type="#_x0000_t3" style="position:absolute;left:0pt;flip:y;margin-left:142.7pt;margin-top:27843.9pt;height:40.75pt;width:163.65pt;z-index:251659264;mso-width-relative:page;mso-height-relative:page;" fillcolor="#FFFFFF" filled="t" stroked="t" coordsize="21600,21600" o:gfxdata="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V/Iy7cAAAADwEAAA8AAAAAAAAAAQAgAAAAIgAA&#10;AGRycy9kb3ducmV2LnhtbFBLAQIUABQAAAAIAIdO4kAOk11HBAIAAC4EAAAOAAAAAAAAAAEAIAAA&#10;ACsBAABkcnMvZTJvRG9jLnhtbFBLBQYAAAAABgAGAFkBAAChBQAAAAA=&#10;">
                <v:fill on="t" focussize="0,0"/>
                <v:stroke color="#000000" joinstyle="round"/>
                <v:imagedata o:title=""/>
                <o:lock v:ext="edit" aspectratio="f"/>
                <v:textbox>
                  <w:txbxContent>
                    <w:p>
                      <w:pPr>
                        <w:jc w:val="center"/>
                        <w:rPr>
                          <w:rFonts w:ascii="Calibri" w:hAnsi="Calibri"/>
                          <w:b/>
                          <w:bCs/>
                          <w:sz w:val="32"/>
                          <w:szCs w:val="32"/>
                        </w:rPr>
                      </w:pPr>
                      <w:r>
                        <w:rPr>
                          <w:rFonts w:hint="eastAsia" w:ascii="Calibri" w:hAnsi="Calibri"/>
                          <w:b/>
                          <w:bCs/>
                          <w:sz w:val="18"/>
                          <w:szCs w:val="18"/>
                        </w:rPr>
                        <w:t xml:space="preserve"> 估价对象海大宿舍位置</w:t>
                      </w:r>
                    </w:p>
                  </w:txbxContent>
                </v:textbox>
              </v:shape>
            </w:pict>
          </mc:Fallback>
        </mc:AlternateConten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2"/>
      </w:pPr>
      <w:r>
        <w:drawing>
          <wp:inline distT="0" distB="0" distL="114300" distR="114300">
            <wp:extent cx="5647055" cy="6856730"/>
            <wp:effectExtent l="0" t="0" r="10795" b="12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2"/>
                    <a:stretch>
                      <a:fillRect/>
                    </a:stretch>
                  </pic:blipFill>
                  <pic:spPr>
                    <a:xfrm>
                      <a:off x="0" y="0"/>
                      <a:ext cx="5647055" cy="6856730"/>
                    </a:xfrm>
                    <a:prstGeom prst="rect">
                      <a:avLst/>
                    </a:prstGeom>
                    <a:noFill/>
                    <a:ln>
                      <a:noFill/>
                    </a:ln>
                  </pic:spPr>
                </pic:pic>
              </a:graphicData>
            </a:graphic>
          </wp:inline>
        </w:drawing>
      </w:r>
    </w:p>
    <w:p>
      <w:pPr>
        <w:pStyle w:val="2"/>
      </w:pPr>
    </w:p>
    <w:p>
      <w:pPr>
        <w:pStyle w:val="2"/>
      </w:pPr>
      <w:r>
        <w:drawing>
          <wp:inline distT="0" distB="0" distL="114300" distR="114300">
            <wp:extent cx="5649595" cy="7258050"/>
            <wp:effectExtent l="0" t="0" r="8255"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23"/>
                    <a:stretch>
                      <a:fillRect/>
                    </a:stretch>
                  </pic:blipFill>
                  <pic:spPr>
                    <a:xfrm>
                      <a:off x="0" y="0"/>
                      <a:ext cx="5649595" cy="7258050"/>
                    </a:xfrm>
                    <a:prstGeom prst="rect">
                      <a:avLst/>
                    </a:prstGeom>
                    <a:noFill/>
                    <a:ln>
                      <a:noFill/>
                    </a:ln>
                  </pic:spPr>
                </pic:pic>
              </a:graphicData>
            </a:graphic>
          </wp:inline>
        </w:drawing>
      </w:r>
    </w:p>
    <w:p>
      <w:pPr>
        <w:widowControl/>
        <w:jc w:val="left"/>
        <w:rPr>
          <w:sz w:val="24"/>
          <w:szCs w:val="24"/>
        </w:rPr>
      </w:pPr>
      <w:r>
        <w:rPr>
          <w:rStyle w:val="35"/>
          <w:rFonts w:hint="eastAsia"/>
        </w:rPr>
        <w:t xml:space="preserve">   </w:t>
      </w:r>
      <w:r>
        <w:rPr>
          <w:sz w:val="24"/>
          <w:szCs w:val="24"/>
        </w:rPr>
        <w:t>采用比较法测算得到估价对象市场单价为：</w:t>
      </w:r>
      <w:r>
        <w:rPr>
          <w:rFonts w:hint="eastAsia" w:asciiTheme="minorEastAsia" w:hAnsiTheme="minorEastAsia" w:eastAsiaTheme="minorEastAsia" w:cstheme="minorEastAsia"/>
          <w:sz w:val="24"/>
          <w:szCs w:val="24"/>
        </w:rPr>
        <w:t>11,090</w:t>
      </w:r>
      <w:r>
        <w:rPr>
          <w:sz w:val="24"/>
          <w:szCs w:val="24"/>
        </w:rPr>
        <w:t>元/平方米</w:t>
      </w:r>
      <w:r>
        <w:rPr>
          <w:rFonts w:hint="eastAsia"/>
          <w:sz w:val="24"/>
          <w:szCs w:val="24"/>
        </w:rPr>
        <w:t>（取整至十位）</w:t>
      </w:r>
      <w:r>
        <w:rPr>
          <w:sz w:val="24"/>
          <w:szCs w:val="24"/>
        </w:rPr>
        <w:t>。</w:t>
      </w:r>
    </w:p>
    <w:p>
      <w:pPr>
        <w:pStyle w:val="4"/>
        <w:rPr>
          <w:rFonts w:ascii="Times New Roman" w:hAnsi="Times New Roman"/>
          <w:b w:val="0"/>
          <w:bCs w:val="0"/>
          <w:sz w:val="24"/>
          <w:szCs w:val="24"/>
        </w:rPr>
      </w:pPr>
      <w:bookmarkStart w:id="57" w:name="_Toc491874800"/>
      <w:r>
        <w:rPr>
          <w:rFonts w:ascii="Times New Roman" w:hAnsi="Times New Roman"/>
          <w:b w:val="0"/>
          <w:bCs w:val="0"/>
          <w:sz w:val="24"/>
          <w:szCs w:val="24"/>
        </w:rPr>
        <w:t>（六）估价结果的确定</w:t>
      </w:r>
      <w:bookmarkEnd w:id="57"/>
    </w:p>
    <w:p>
      <w:pPr>
        <w:pStyle w:val="7"/>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评估总值</w:t>
      </w:r>
      <w:r>
        <w:rPr>
          <w:rFonts w:ascii="Times New Roman" w:hAnsi="Times New Roman" w:cs="Times New Roman"/>
          <w:sz w:val="24"/>
        </w:rPr>
        <w:t>确定</w:t>
      </w:r>
    </w:p>
    <w:p>
      <w:pPr>
        <w:pStyle w:val="7"/>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本次评估采用比较法对评估对象进行了评估。估价人员根据实际情况并结合估价经验，认为比较法将估价对象与在估价时点近期有过交易的类似房地产进行比较，对这些类似房地产的已知价格作合理的修正，以此估算的估价对象价格较为客观合理，其评估结果具有很高的可信度和现实说服力。</w:t>
      </w:r>
    </w:p>
    <w:p>
      <w:pPr>
        <w:pStyle w:val="7"/>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rPr>
        <w:t>综合以上分析，结合估价人员对估价对象所在区域房地产价格水平的分析与把握，决定以比较法测算结果作为估价对象房地产市场价值的最终评估结果，确定估价对象在估价时点的</w:t>
      </w:r>
      <w:r>
        <w:rPr>
          <w:rFonts w:hint="eastAsia" w:ascii="Times New Roman" w:hAnsi="Times New Roman" w:cs="Times New Roman"/>
          <w:sz w:val="24"/>
        </w:rPr>
        <w:t>评估单价</w:t>
      </w:r>
      <w:r>
        <w:rPr>
          <w:rFonts w:ascii="Times New Roman" w:hAnsi="Times New Roman" w:cs="Times New Roman"/>
          <w:sz w:val="24"/>
        </w:rPr>
        <w:t>为</w:t>
      </w:r>
      <w:r>
        <w:rPr>
          <w:rFonts w:hint="eastAsia" w:ascii="Times New Roman" w:hAnsi="Times New Roman" w:cs="Times New Roman"/>
          <w:sz w:val="24"/>
        </w:rPr>
        <w:t>11,090</w:t>
      </w:r>
      <w:r>
        <w:rPr>
          <w:rFonts w:ascii="Times New Roman" w:hAnsi="Times New Roman" w:cs="Times New Roman"/>
          <w:sz w:val="24"/>
        </w:rPr>
        <w:t>元/平方米，</w:t>
      </w:r>
      <w:r>
        <w:rPr>
          <w:rFonts w:ascii="Times New Roman" w:hAnsi="Times New Roman" w:cs="Times New Roman"/>
          <w:sz w:val="24"/>
          <w:szCs w:val="24"/>
        </w:rPr>
        <w:t>则：</w:t>
      </w:r>
    </w:p>
    <w:p>
      <w:pPr>
        <w:pStyle w:val="7"/>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szCs w:val="24"/>
        </w:rPr>
        <w:t>估价对象</w:t>
      </w:r>
      <w:r>
        <w:rPr>
          <w:rFonts w:ascii="Times New Roman" w:hAnsi="Times New Roman" w:cs="Times New Roman"/>
          <w:sz w:val="24"/>
        </w:rPr>
        <w:t>的</w:t>
      </w:r>
      <w:r>
        <w:rPr>
          <w:rFonts w:hint="eastAsia" w:ascii="Times New Roman" w:hAnsi="Times New Roman" w:cs="Times New Roman"/>
          <w:sz w:val="24"/>
        </w:rPr>
        <w:t>评估总值：</w:t>
      </w:r>
    </w:p>
    <w:p>
      <w:pPr>
        <w:pStyle w:val="7"/>
        <w:snapToGrid w:val="0"/>
        <w:spacing w:line="360" w:lineRule="auto"/>
        <w:ind w:firstLine="1680" w:firstLineChars="700"/>
        <w:jc w:val="left"/>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91.2</w:t>
      </w:r>
      <w:r>
        <w:rPr>
          <w:rFonts w:ascii="Times New Roman" w:hAnsi="Times New Roman" w:cs="Times New Roman"/>
          <w:sz w:val="24"/>
          <w:szCs w:val="24"/>
        </w:rPr>
        <w:t>平方米×11</w:t>
      </w:r>
      <w:r>
        <w:rPr>
          <w:rFonts w:hint="eastAsia"/>
          <w:sz w:val="24"/>
          <w:szCs w:val="24"/>
        </w:rPr>
        <w:t>,</w:t>
      </w:r>
      <w:r>
        <w:rPr>
          <w:rFonts w:ascii="Times New Roman" w:hAnsi="Times New Roman" w:cs="Times New Roman"/>
          <w:sz w:val="24"/>
          <w:szCs w:val="24"/>
        </w:rPr>
        <w:t>090元/平方米</w:t>
      </w:r>
    </w:p>
    <w:p>
      <w:pPr>
        <w:pStyle w:val="7"/>
        <w:snapToGrid w:val="0"/>
        <w:spacing w:line="360" w:lineRule="auto"/>
        <w:ind w:firstLine="1680" w:firstLineChars="700"/>
        <w:jc w:val="left"/>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01</w:t>
      </w:r>
      <w:r>
        <w:rPr>
          <w:rFonts w:ascii="Times New Roman" w:hAnsi="Times New Roman" w:cs="Times New Roman"/>
          <w:sz w:val="24"/>
          <w:szCs w:val="24"/>
        </w:rPr>
        <w:t>1,</w:t>
      </w:r>
      <w:r>
        <w:rPr>
          <w:rFonts w:hint="eastAsia" w:ascii="Times New Roman" w:hAnsi="Times New Roman" w:cs="Times New Roman"/>
          <w:sz w:val="24"/>
          <w:szCs w:val="24"/>
        </w:rPr>
        <w:t>4</w:t>
      </w:r>
      <w:r>
        <w:rPr>
          <w:rFonts w:ascii="Times New Roman" w:hAnsi="Times New Roman" w:cs="Times New Roman"/>
          <w:sz w:val="24"/>
          <w:szCs w:val="24"/>
        </w:rPr>
        <w:t>08元</w:t>
      </w:r>
      <w:r>
        <w:rPr>
          <w:rFonts w:hint="eastAsia" w:ascii="Times New Roman" w:hAnsi="Times New Roman" w:cs="Times New Roman"/>
          <w:sz w:val="24"/>
          <w:szCs w:val="24"/>
        </w:rPr>
        <w:t>（取整至</w:t>
      </w:r>
      <w:r>
        <w:rPr>
          <w:rFonts w:hint="eastAsia"/>
          <w:sz w:val="24"/>
          <w:szCs w:val="24"/>
        </w:rPr>
        <w:t>个</w:t>
      </w:r>
      <w:r>
        <w:rPr>
          <w:rFonts w:hint="eastAsia" w:ascii="Times New Roman" w:hAnsi="Times New Roman" w:cs="Times New Roman"/>
          <w:sz w:val="24"/>
          <w:szCs w:val="24"/>
        </w:rPr>
        <w:t>位）</w:t>
      </w:r>
    </w:p>
    <w:p>
      <w:pPr>
        <w:pStyle w:val="7"/>
        <w:snapToGrid w:val="0"/>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、估价结果</w:t>
      </w:r>
    </w:p>
    <w:p>
      <w:pPr>
        <w:adjustRightInd w:val="0"/>
        <w:snapToGrid w:val="0"/>
        <w:spacing w:line="500" w:lineRule="exact"/>
        <w:ind w:firstLine="480" w:firstLineChars="200"/>
        <w:rPr>
          <w:sz w:val="24"/>
          <w:szCs w:val="24"/>
        </w:rPr>
      </w:pPr>
      <w:r>
        <w:rPr>
          <w:sz w:val="24"/>
          <w:szCs w:val="24"/>
        </w:rPr>
        <w:t>经过市场调查和实地查勘，根据相关资料和有关政策法规，并遵循房地产估价原则，选用比较法确定估价对象在价值时点</w:t>
      </w:r>
      <w:r>
        <w:rPr>
          <w:rFonts w:hint="eastAsia"/>
          <w:b/>
          <w:sz w:val="24"/>
          <w:szCs w:val="24"/>
        </w:rPr>
        <w:t>二〇二</w:t>
      </w:r>
      <w:r>
        <w:rPr>
          <w:b/>
          <w:sz w:val="24"/>
          <w:szCs w:val="24"/>
        </w:rPr>
        <w:t>二年</w:t>
      </w:r>
      <w:r>
        <w:rPr>
          <w:rFonts w:hint="eastAsia"/>
          <w:b/>
          <w:sz w:val="24"/>
          <w:szCs w:val="24"/>
        </w:rPr>
        <w:t>四月二十日</w:t>
      </w:r>
      <w:r>
        <w:rPr>
          <w:sz w:val="24"/>
          <w:szCs w:val="24"/>
        </w:rPr>
        <w:t>的</w:t>
      </w:r>
      <w:r>
        <w:rPr>
          <w:rFonts w:hint="eastAsia"/>
          <w:sz w:val="24"/>
          <w:szCs w:val="24"/>
        </w:rPr>
        <w:t>评估总值</w:t>
      </w:r>
      <w:r>
        <w:rPr>
          <w:sz w:val="24"/>
          <w:szCs w:val="24"/>
        </w:rPr>
        <w:t>为</w:t>
      </w:r>
      <w:r>
        <w:rPr>
          <w:rFonts w:hint="eastAsia"/>
          <w:b/>
          <w:sz w:val="24"/>
          <w:szCs w:val="24"/>
        </w:rPr>
        <w:t>1,011,408</w:t>
      </w:r>
      <w:r>
        <w:rPr>
          <w:sz w:val="24"/>
          <w:szCs w:val="24"/>
        </w:rPr>
        <w:t>元</w:t>
      </w:r>
      <w:r>
        <w:rPr>
          <w:rFonts w:hint="eastAsia"/>
          <w:sz w:val="24"/>
          <w:szCs w:val="24"/>
        </w:rPr>
        <w:t>（取整至个位）</w:t>
      </w:r>
      <w:r>
        <w:rPr>
          <w:sz w:val="24"/>
          <w:szCs w:val="24"/>
        </w:rPr>
        <w:t>，大写人民币</w:t>
      </w:r>
      <w:r>
        <w:rPr>
          <w:rFonts w:hint="eastAsia" w:ascii="宋体" w:hAnsi="宋体" w:cs="宋体"/>
          <w:b/>
          <w:bCs/>
          <w:color w:val="000000"/>
          <w:kern w:val="0"/>
          <w:sz w:val="24"/>
          <w:szCs w:val="24"/>
          <w:lang w:bidi="ar"/>
        </w:rPr>
        <w:t>壹佰零壹万壹仟肆佰零捌元整</w:t>
      </w:r>
      <w:r>
        <w:rPr>
          <w:sz w:val="24"/>
          <w:szCs w:val="24"/>
        </w:rPr>
        <w:t>，详见评估结果明细表。</w:t>
      </w:r>
    </w:p>
    <w:p>
      <w:pPr>
        <w:tabs>
          <w:tab w:val="left" w:pos="4935"/>
          <w:tab w:val="left" w:pos="5040"/>
          <w:tab w:val="left" w:pos="5145"/>
          <w:tab w:val="left" w:pos="5670"/>
        </w:tabs>
        <w:snapToGrid w:val="0"/>
        <w:spacing w:line="360" w:lineRule="auto"/>
        <w:jc w:val="center"/>
        <w:rPr>
          <w:b/>
          <w:sz w:val="24"/>
          <w:szCs w:val="24"/>
        </w:rPr>
      </w:pPr>
      <w:r>
        <w:rPr>
          <w:b/>
          <w:sz w:val="24"/>
          <w:szCs w:val="24"/>
        </w:rPr>
        <w:t>评估结果明细表</w:t>
      </w:r>
    </w:p>
    <w:tbl>
      <w:tblPr>
        <w:tblStyle w:val="28"/>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906"/>
        <w:gridCol w:w="2199"/>
        <w:gridCol w:w="1268"/>
        <w:gridCol w:w="1875"/>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24" w:type="dxa"/>
            <w:vAlign w:val="center"/>
          </w:tcPr>
          <w:p>
            <w:pPr>
              <w:spacing w:line="240" w:lineRule="exact"/>
              <w:jc w:val="center"/>
              <w:rPr>
                <w:b/>
                <w:szCs w:val="21"/>
              </w:rPr>
            </w:pPr>
            <w:r>
              <w:rPr>
                <w:b/>
                <w:szCs w:val="21"/>
              </w:rPr>
              <w:t>序号</w:t>
            </w:r>
          </w:p>
        </w:tc>
        <w:tc>
          <w:tcPr>
            <w:tcW w:w="906" w:type="dxa"/>
            <w:vAlign w:val="center"/>
          </w:tcPr>
          <w:p>
            <w:pPr>
              <w:spacing w:line="240" w:lineRule="exact"/>
              <w:jc w:val="center"/>
              <w:rPr>
                <w:b/>
                <w:szCs w:val="21"/>
              </w:rPr>
            </w:pPr>
            <w:r>
              <w:rPr>
                <w:b/>
                <w:szCs w:val="21"/>
              </w:rPr>
              <w:t>证载权利人</w:t>
            </w:r>
          </w:p>
        </w:tc>
        <w:tc>
          <w:tcPr>
            <w:tcW w:w="2199" w:type="dxa"/>
            <w:vAlign w:val="center"/>
          </w:tcPr>
          <w:p>
            <w:pPr>
              <w:spacing w:line="240" w:lineRule="exact"/>
              <w:jc w:val="center"/>
              <w:rPr>
                <w:b/>
                <w:szCs w:val="21"/>
              </w:rPr>
            </w:pPr>
            <w:r>
              <w:rPr>
                <w:b/>
                <w:szCs w:val="21"/>
              </w:rPr>
              <w:t>物业名称</w:t>
            </w:r>
          </w:p>
        </w:tc>
        <w:tc>
          <w:tcPr>
            <w:tcW w:w="1268" w:type="dxa"/>
            <w:vAlign w:val="center"/>
          </w:tcPr>
          <w:p>
            <w:pPr>
              <w:spacing w:line="240" w:lineRule="exact"/>
              <w:jc w:val="center"/>
              <w:rPr>
                <w:b/>
                <w:szCs w:val="21"/>
              </w:rPr>
            </w:pPr>
            <w:r>
              <w:rPr>
                <w:b/>
                <w:szCs w:val="21"/>
              </w:rPr>
              <w:t>建筑面积（㎡）</w:t>
            </w:r>
          </w:p>
        </w:tc>
        <w:tc>
          <w:tcPr>
            <w:tcW w:w="1875" w:type="dxa"/>
            <w:vAlign w:val="center"/>
          </w:tcPr>
          <w:p>
            <w:pPr>
              <w:spacing w:line="240" w:lineRule="exact"/>
              <w:jc w:val="center"/>
              <w:rPr>
                <w:b/>
                <w:szCs w:val="21"/>
              </w:rPr>
            </w:pPr>
            <w:r>
              <w:rPr>
                <w:rFonts w:hint="eastAsia"/>
                <w:b/>
                <w:szCs w:val="21"/>
              </w:rPr>
              <w:t>评估单价（元/㎡）</w:t>
            </w:r>
          </w:p>
        </w:tc>
        <w:tc>
          <w:tcPr>
            <w:tcW w:w="2206" w:type="dxa"/>
            <w:vAlign w:val="center"/>
          </w:tcPr>
          <w:p>
            <w:pPr>
              <w:spacing w:line="240" w:lineRule="exact"/>
              <w:jc w:val="center"/>
              <w:rPr>
                <w:b/>
                <w:szCs w:val="21"/>
              </w:rPr>
            </w:pPr>
            <w:r>
              <w:rPr>
                <w:rFonts w:hint="eastAsia" w:ascii="宋体" w:hAnsi="宋体"/>
                <w:b/>
                <w:bCs/>
                <w:spacing w:val="-6"/>
              </w:rPr>
              <w:t>评估总值</w:t>
            </w:r>
            <w:r>
              <w:rPr>
                <w:b/>
                <w:bCs/>
                <w:spacing w:val="-6"/>
              </w:rPr>
              <w:t xml:space="preserve">             (</w:t>
            </w:r>
            <w:r>
              <w:rPr>
                <w:rFonts w:ascii="宋体" w:hAnsi="宋体"/>
                <w:b/>
                <w:bCs/>
                <w:spacing w:val="-6"/>
              </w:rPr>
              <w:t>元</w:t>
            </w:r>
            <w:r>
              <w:rPr>
                <w:b/>
                <w:bCs/>
                <w:spacing w:val="-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524" w:type="dxa"/>
            <w:vAlign w:val="center"/>
          </w:tcPr>
          <w:p>
            <w:pPr>
              <w:spacing w:line="240" w:lineRule="exact"/>
              <w:jc w:val="center"/>
              <w:rPr>
                <w:szCs w:val="21"/>
              </w:rPr>
            </w:pPr>
            <w:r>
              <w:rPr>
                <w:szCs w:val="21"/>
              </w:rPr>
              <w:t>1</w:t>
            </w:r>
          </w:p>
        </w:tc>
        <w:tc>
          <w:tcPr>
            <w:tcW w:w="906" w:type="dxa"/>
            <w:vAlign w:val="center"/>
          </w:tcPr>
          <w:p>
            <w:pPr>
              <w:widowControl/>
              <w:jc w:val="center"/>
              <w:textAlignment w:val="center"/>
              <w:rPr>
                <w:szCs w:val="21"/>
              </w:rPr>
            </w:pPr>
            <w:r>
              <w:rPr>
                <w:rFonts w:hint="eastAsia" w:ascii="宋体" w:hAnsi="宋体" w:cs="宋体"/>
                <w:color w:val="000000"/>
                <w:kern w:val="0"/>
                <w:szCs w:val="21"/>
                <w:lang w:bidi="ar"/>
              </w:rPr>
              <w:t>王曼华</w:t>
            </w:r>
          </w:p>
        </w:tc>
        <w:tc>
          <w:tcPr>
            <w:tcW w:w="2199" w:type="dxa"/>
            <w:vAlign w:val="center"/>
          </w:tcPr>
          <w:p>
            <w:pPr>
              <w:widowControl/>
              <w:jc w:val="center"/>
              <w:textAlignment w:val="center"/>
              <w:rPr>
                <w:szCs w:val="21"/>
              </w:rPr>
            </w:pPr>
            <w:r>
              <w:rPr>
                <w:rFonts w:hint="eastAsia" w:ascii="宋体" w:hAnsi="宋体" w:cs="宋体"/>
                <w:color w:val="000000"/>
                <w:kern w:val="0"/>
                <w:szCs w:val="21"/>
                <w:lang w:bidi="ar"/>
              </w:rPr>
              <w:t>海口市人民路沿江三西街</w:t>
            </w:r>
            <w:r>
              <w:rPr>
                <w:rStyle w:val="145"/>
                <w:lang w:bidi="ar"/>
              </w:rPr>
              <w:t>13</w:t>
            </w:r>
            <w:r>
              <w:rPr>
                <w:rStyle w:val="146"/>
                <w:rFonts w:hint="default"/>
                <w:lang w:bidi="ar"/>
              </w:rPr>
              <w:t>号海南大学</w:t>
            </w:r>
            <w:r>
              <w:rPr>
                <w:rStyle w:val="145"/>
                <w:lang w:bidi="ar"/>
              </w:rPr>
              <w:t>40</w:t>
            </w:r>
            <w:r>
              <w:rPr>
                <w:rStyle w:val="146"/>
                <w:rFonts w:hint="default"/>
                <w:lang w:bidi="ar"/>
              </w:rPr>
              <w:t>栋</w:t>
            </w:r>
            <w:r>
              <w:rPr>
                <w:rStyle w:val="145"/>
                <w:lang w:bidi="ar"/>
              </w:rPr>
              <w:t>401</w:t>
            </w:r>
            <w:r>
              <w:rPr>
                <w:rStyle w:val="146"/>
                <w:rFonts w:hint="default"/>
                <w:lang w:bidi="ar"/>
              </w:rPr>
              <w:t>房</w:t>
            </w:r>
          </w:p>
        </w:tc>
        <w:tc>
          <w:tcPr>
            <w:tcW w:w="126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91.2</w:t>
            </w:r>
          </w:p>
        </w:tc>
        <w:tc>
          <w:tcPr>
            <w:tcW w:w="1875"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11,090</w:t>
            </w:r>
            <w:bookmarkStart w:id="71" w:name="_GoBack"/>
            <w:bookmarkEnd w:id="71"/>
          </w:p>
        </w:tc>
        <w:tc>
          <w:tcPr>
            <w:tcW w:w="2206"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1,011,408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629" w:type="dxa"/>
            <w:gridSpan w:val="3"/>
            <w:vAlign w:val="center"/>
          </w:tcPr>
          <w:p>
            <w:pPr>
              <w:spacing w:line="240" w:lineRule="exact"/>
              <w:jc w:val="center"/>
              <w:rPr>
                <w:b/>
                <w:szCs w:val="21"/>
              </w:rPr>
            </w:pPr>
            <w:r>
              <w:rPr>
                <w:b/>
                <w:szCs w:val="21"/>
              </w:rPr>
              <w:t>合计</w:t>
            </w:r>
          </w:p>
        </w:tc>
        <w:tc>
          <w:tcPr>
            <w:tcW w:w="1268" w:type="dxa"/>
            <w:vAlign w:val="center"/>
          </w:tcPr>
          <w:p>
            <w:pPr>
              <w:spacing w:line="240" w:lineRule="exact"/>
              <w:jc w:val="center"/>
              <w:rPr>
                <w:b/>
                <w:szCs w:val="21"/>
              </w:rPr>
            </w:pPr>
            <w:r>
              <w:rPr>
                <w:rFonts w:hint="eastAsia"/>
                <w:b/>
                <w:szCs w:val="21"/>
              </w:rPr>
              <w:t>91.2</w:t>
            </w:r>
          </w:p>
        </w:tc>
        <w:tc>
          <w:tcPr>
            <w:tcW w:w="1875" w:type="dxa"/>
          </w:tcPr>
          <w:p>
            <w:pPr>
              <w:spacing w:line="240" w:lineRule="exact"/>
              <w:jc w:val="center"/>
              <w:rPr>
                <w:b/>
                <w:szCs w:val="21"/>
              </w:rPr>
            </w:pPr>
          </w:p>
        </w:tc>
        <w:tc>
          <w:tcPr>
            <w:tcW w:w="2206" w:type="dxa"/>
          </w:tcPr>
          <w:p>
            <w:pPr>
              <w:spacing w:line="240" w:lineRule="exact"/>
              <w:jc w:val="center"/>
              <w:rPr>
                <w:b/>
                <w:szCs w:val="21"/>
              </w:rPr>
            </w:pPr>
            <w:r>
              <w:rPr>
                <w:rFonts w:hint="eastAsia"/>
                <w:b/>
                <w:szCs w:val="21"/>
              </w:rPr>
              <w:t>1,011,408</w:t>
            </w:r>
          </w:p>
        </w:tc>
      </w:tr>
    </w:tbl>
    <w:p>
      <w:pPr>
        <w:pStyle w:val="2"/>
        <w:rPr>
          <w:b/>
          <w:bCs/>
          <w:sz w:val="21"/>
          <w:szCs w:val="21"/>
        </w:rPr>
      </w:pPr>
      <w:r>
        <w:rPr>
          <w:rFonts w:hint="eastAsia" w:hAnsi="宋体"/>
          <w:b/>
          <w:sz w:val="21"/>
          <w:szCs w:val="21"/>
        </w:rPr>
        <w:t>备注</w:t>
      </w:r>
      <w:r>
        <w:rPr>
          <w:rStyle w:val="35"/>
          <w:rFonts w:hint="eastAsia" w:hAnsi="宋体"/>
          <w:b/>
        </w:rPr>
        <w:t>:</w:t>
      </w:r>
      <w:r>
        <w:rPr>
          <w:rFonts w:hAnsi="宋体"/>
          <w:b/>
          <w:sz w:val="21"/>
          <w:szCs w:val="21"/>
        </w:rPr>
        <w:t>经向有关部门了解,划拨用地上房屋补交土地出让金及相关税费后,可以转为市场商品房，根据《土地登记信息查询情况说明》，该房屋所在地为划拨用地，显示比房屋土地产权未进行分割，所以出让金及相关税费无法测算，本次评估价值为完全产权状态下的市场价值，包含土地出让金，</w:t>
      </w:r>
      <w:r>
        <w:rPr>
          <w:rFonts w:hint="eastAsia" w:hAnsi="宋体"/>
          <w:b/>
          <w:sz w:val="21"/>
          <w:szCs w:val="21"/>
        </w:rPr>
        <w:t>具体应缴纳金额最终以相关部门最终核定为准，</w:t>
      </w:r>
      <w:r>
        <w:rPr>
          <w:rFonts w:hAnsi="宋体"/>
          <w:b/>
          <w:sz w:val="21"/>
          <w:szCs w:val="21"/>
        </w:rPr>
        <w:t>提请报告使用者注意。</w:t>
      </w:r>
    </w:p>
    <w:p>
      <w:pPr>
        <w:pStyle w:val="2"/>
        <w:rPr>
          <w:b/>
        </w:rPr>
      </w:pPr>
    </w:p>
    <w:p>
      <w:pPr>
        <w:pStyle w:val="2"/>
        <w:rPr>
          <w:b/>
        </w:rPr>
      </w:pPr>
    </w:p>
    <w:p>
      <w:pPr>
        <w:pStyle w:val="3"/>
        <w:jc w:val="center"/>
      </w:pPr>
      <w:bookmarkStart w:id="58" w:name="_Toc12703"/>
      <w:bookmarkStart w:id="59" w:name="_Toc491874801"/>
      <w:bookmarkStart w:id="60" w:name="_Toc436141286"/>
      <w:r>
        <w:t>附件</w:t>
      </w:r>
      <w:bookmarkEnd w:id="58"/>
      <w:bookmarkEnd w:id="59"/>
      <w:bookmarkEnd w:id="60"/>
    </w:p>
    <w:p>
      <w:pPr>
        <w:pStyle w:val="3"/>
        <w:keepNext/>
        <w:keepLines/>
        <w:rPr>
          <w:b w:val="0"/>
          <w:bCs/>
          <w:sz w:val="24"/>
          <w:szCs w:val="24"/>
        </w:rPr>
      </w:pPr>
      <w:bookmarkStart w:id="61" w:name="_Toc436389555"/>
      <w:bookmarkStart w:id="62" w:name="_Toc491874802"/>
      <w:r>
        <w:rPr>
          <w:b w:val="0"/>
          <w:sz w:val="24"/>
          <w:szCs w:val="24"/>
        </w:rPr>
        <w:t>（一）</w:t>
      </w:r>
      <w:r>
        <w:rPr>
          <w:rStyle w:val="34"/>
          <w:rFonts w:hint="eastAsia" w:ascii="宋体" w:hAnsi="宋体"/>
          <w:b w:val="0"/>
          <w:bCs/>
          <w:color w:val="auto"/>
          <w:sz w:val="24"/>
          <w:szCs w:val="24"/>
        </w:rPr>
        <w:t>《海口市琼山区人民法院司法鉴定委托书》</w:t>
      </w:r>
      <w:bookmarkEnd w:id="61"/>
      <w:bookmarkEnd w:id="62"/>
    </w:p>
    <w:p>
      <w:pPr>
        <w:pStyle w:val="3"/>
        <w:keepNext/>
        <w:keepLines/>
        <w:rPr>
          <w:b w:val="0"/>
          <w:bCs/>
          <w:sz w:val="24"/>
          <w:szCs w:val="24"/>
        </w:rPr>
      </w:pPr>
      <w:bookmarkStart w:id="63" w:name="_Toc491874803"/>
      <w:bookmarkStart w:id="64" w:name="_Toc436389556"/>
      <w:r>
        <w:rPr>
          <w:rFonts w:hint="eastAsia"/>
          <w:b w:val="0"/>
          <w:bCs/>
          <w:sz w:val="24"/>
          <w:szCs w:val="24"/>
        </w:rPr>
        <w:t>（二）估价对象位置</w:t>
      </w:r>
      <w:bookmarkEnd w:id="63"/>
      <w:bookmarkEnd w:id="64"/>
    </w:p>
    <w:p>
      <w:pPr>
        <w:pStyle w:val="3"/>
        <w:keepNext/>
        <w:keepLines/>
        <w:rPr>
          <w:b w:val="0"/>
          <w:bCs/>
          <w:sz w:val="24"/>
          <w:szCs w:val="24"/>
        </w:rPr>
      </w:pPr>
      <w:bookmarkStart w:id="65" w:name="_Toc436389557"/>
      <w:bookmarkStart w:id="66" w:name="_Toc491874804"/>
      <w:r>
        <w:rPr>
          <w:rFonts w:hint="eastAsia"/>
          <w:b w:val="0"/>
          <w:bCs/>
          <w:sz w:val="24"/>
          <w:szCs w:val="24"/>
        </w:rPr>
        <w:t>（三）估价对象</w:t>
      </w:r>
      <w:bookmarkEnd w:id="65"/>
      <w:r>
        <w:rPr>
          <w:rFonts w:hint="eastAsia"/>
          <w:b w:val="0"/>
          <w:bCs/>
          <w:sz w:val="24"/>
          <w:szCs w:val="24"/>
        </w:rPr>
        <w:t>照片</w:t>
      </w:r>
      <w:bookmarkEnd w:id="66"/>
    </w:p>
    <w:p>
      <w:pPr>
        <w:pStyle w:val="3"/>
        <w:keepNext/>
        <w:keepLines/>
        <w:rPr>
          <w:b w:val="0"/>
          <w:bCs/>
          <w:sz w:val="24"/>
          <w:szCs w:val="24"/>
        </w:rPr>
      </w:pPr>
      <w:bookmarkStart w:id="67" w:name="_Toc491874805"/>
      <w:r>
        <w:rPr>
          <w:rFonts w:hint="eastAsia"/>
          <w:b w:val="0"/>
          <w:bCs/>
          <w:sz w:val="24"/>
          <w:szCs w:val="24"/>
        </w:rPr>
        <w:t>（四）</w:t>
      </w:r>
      <w:r>
        <w:rPr>
          <w:rStyle w:val="34"/>
          <w:rFonts w:hint="eastAsia"/>
          <w:b w:val="0"/>
          <w:bCs/>
          <w:color w:val="auto"/>
          <w:sz w:val="24"/>
          <w:szCs w:val="24"/>
        </w:rPr>
        <w:t>《不动产登记信息查询情况说明》《土地登记信息查询情况说明》等</w:t>
      </w:r>
      <w:bookmarkEnd w:id="67"/>
    </w:p>
    <w:p>
      <w:pPr>
        <w:pStyle w:val="3"/>
        <w:keepNext/>
        <w:keepLines/>
        <w:rPr>
          <w:b w:val="0"/>
          <w:bCs/>
          <w:sz w:val="24"/>
          <w:szCs w:val="24"/>
        </w:rPr>
      </w:pPr>
      <w:bookmarkStart w:id="68" w:name="_Toc491874806"/>
      <w:r>
        <w:rPr>
          <w:rFonts w:hint="eastAsia"/>
          <w:b w:val="0"/>
          <w:bCs/>
          <w:sz w:val="24"/>
          <w:szCs w:val="24"/>
        </w:rPr>
        <w:t>（五）</w:t>
      </w:r>
      <w:bookmarkEnd w:id="68"/>
      <w:bookmarkStart w:id="69" w:name="_Toc491874807"/>
      <w:bookmarkStart w:id="70" w:name="_Toc436389561"/>
      <w:r>
        <w:rPr>
          <w:rStyle w:val="34"/>
          <w:rFonts w:hint="eastAsia" w:ascii="宋体" w:hAnsi="宋体"/>
          <w:b w:val="0"/>
          <w:bCs/>
          <w:color w:val="auto"/>
          <w:sz w:val="24"/>
          <w:szCs w:val="24"/>
        </w:rPr>
        <w:t>其他相关材料</w:t>
      </w:r>
    </w:p>
    <w:p>
      <w:pPr>
        <w:rPr>
          <w:bCs/>
          <w:sz w:val="24"/>
          <w:szCs w:val="24"/>
        </w:rPr>
      </w:pPr>
      <w:r>
        <w:rPr>
          <w:rFonts w:hint="eastAsia"/>
          <w:bCs/>
          <w:sz w:val="24"/>
          <w:szCs w:val="24"/>
        </w:rPr>
        <w:t>（六）估价机构营业执照和房地产估价机构备案证书复印件</w:t>
      </w:r>
    </w:p>
    <w:p>
      <w:pPr>
        <w:pStyle w:val="3"/>
        <w:keepNext/>
        <w:keepLines/>
        <w:rPr>
          <w:b w:val="0"/>
          <w:bCs/>
          <w:sz w:val="24"/>
          <w:szCs w:val="24"/>
        </w:rPr>
      </w:pPr>
      <w:r>
        <w:rPr>
          <w:rFonts w:hint="eastAsia"/>
          <w:b w:val="0"/>
          <w:bCs/>
          <w:sz w:val="24"/>
          <w:szCs w:val="24"/>
        </w:rPr>
        <w:t>（七）注册房地产估价师估价资格证书复印件</w:t>
      </w:r>
    </w:p>
    <w:bookmarkEnd w:id="69"/>
    <w:bookmarkEnd w:id="70"/>
    <w:p>
      <w:pPr>
        <w:pStyle w:val="3"/>
        <w:keepNext/>
        <w:keepLines/>
      </w:pPr>
    </w:p>
    <w:sectPr>
      <w:pgSz w:w="11907" w:h="16839"/>
      <w:pgMar w:top="1418" w:right="1503" w:bottom="1418" w:left="1503" w:header="794" w:footer="1361" w:gutter="0"/>
      <w:cols w:space="720" w:num="1"/>
      <w:docGrid w:type="linesAndChars"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fldChar w:fldCharType="begin"/>
    </w:r>
    <w:r>
      <w:rPr>
        <w:rStyle w:val="32"/>
      </w:rPr>
      <w:instrText xml:space="preserve">PAGE  </w:instrText>
    </w:r>
    <w:r>
      <w:fldChar w:fldCharType="separate"/>
    </w:r>
    <w:r>
      <w:rPr>
        <w:rStyle w:val="32"/>
      </w:rPr>
      <w:t>1</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8"/>
      <w:tblW w:w="9003" w:type="dxa"/>
      <w:jc w:val="center"/>
      <w:tblLayout w:type="fixed"/>
      <w:tblCellMar>
        <w:top w:w="0" w:type="dxa"/>
        <w:left w:w="108" w:type="dxa"/>
        <w:bottom w:w="0" w:type="dxa"/>
        <w:right w:w="108" w:type="dxa"/>
      </w:tblCellMar>
    </w:tblPr>
    <w:tblGrid>
      <w:gridCol w:w="1050"/>
      <w:gridCol w:w="7953"/>
    </w:tblGrid>
    <w:tr>
      <w:trPr>
        <w:trHeight w:val="240" w:hRule="atLeast"/>
        <w:jc w:val="center"/>
      </w:trPr>
      <w:tc>
        <w:tcPr>
          <w:tcW w:w="1050" w:type="dxa"/>
        </w:tcPr>
        <w:p>
          <w:pPr>
            <w:pStyle w:val="17"/>
            <w:pBdr>
              <w:bottom w:val="none" w:color="auto" w:sz="0" w:space="0"/>
            </w:pBdr>
            <w:rPr>
              <w:sz w:val="44"/>
            </w:rPr>
          </w:pPr>
          <w:r>
            <w:rPr>
              <w:rFonts w:hint="eastAsia"/>
              <w:sz w:val="44"/>
            </w:rPr>
            <w:drawing>
              <wp:inline distT="0" distB="0" distL="0" distR="0">
                <wp:extent cx="577850" cy="598805"/>
                <wp:effectExtent l="0" t="0" r="0" b="0"/>
                <wp:docPr id="8" name="图片 8"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未标题-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7850" cy="598805"/>
                        </a:xfrm>
                        <a:prstGeom prst="rect">
                          <a:avLst/>
                        </a:prstGeom>
                        <a:noFill/>
                        <a:ln>
                          <a:noFill/>
                        </a:ln>
                      </pic:spPr>
                    </pic:pic>
                  </a:graphicData>
                </a:graphic>
              </wp:inline>
            </w:drawing>
          </w:r>
        </w:p>
      </w:tc>
      <w:tc>
        <w:tcPr>
          <w:tcW w:w="7953" w:type="dxa"/>
        </w:tcPr>
        <w:p>
          <w:pPr>
            <w:pStyle w:val="17"/>
            <w:pBdr>
              <w:bottom w:val="none" w:color="auto" w:sz="0" w:space="0"/>
            </w:pBdr>
            <w:rPr>
              <w:sz w:val="30"/>
            </w:rPr>
          </w:pPr>
          <w:r>
            <w:rPr>
              <w:rFonts w:hint="eastAsia"/>
              <w:spacing w:val="40"/>
              <w:sz w:val="30"/>
            </w:rPr>
            <w:t>深圳市鹏信资产评估土地房地产估价有限公司</w:t>
          </w:r>
        </w:p>
        <w:p>
          <w:pPr>
            <w:pStyle w:val="17"/>
            <w:pBdr>
              <w:bottom w:val="none" w:color="auto" w:sz="0" w:space="0"/>
            </w:pBdr>
            <w:ind w:firstLine="360" w:firstLineChars="200"/>
          </w:pPr>
        </w:p>
        <w:p>
          <w:pPr>
            <w:pStyle w:val="17"/>
            <w:pBdr>
              <w:bottom w:val="none" w:color="auto" w:sz="0" w:space="0"/>
            </w:pBdr>
            <w:ind w:firstLine="360" w:firstLineChars="200"/>
            <w:rPr>
              <w:sz w:val="44"/>
            </w:rPr>
          </w:pPr>
          <w:r>
            <w:rPr>
              <w:rFonts w:hint="eastAsia"/>
            </w:rPr>
            <w:t>报告编号：鹏信房估字[2021]第QHN022号</w:t>
          </w:r>
        </w:p>
      </w:tc>
    </w:tr>
  </w:tbl>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DD1124"/>
    <w:multiLevelType w:val="multilevel"/>
    <w:tmpl w:val="1CDD1124"/>
    <w:lvl w:ilvl="0" w:tentative="0">
      <w:start w:val="1"/>
      <w:numFmt w:val="decimal"/>
      <w:lvlText w:val="%1、"/>
      <w:lvlJc w:val="left"/>
      <w:pPr>
        <w:tabs>
          <w:tab w:val="left" w:pos="1459"/>
        </w:tabs>
        <w:ind w:left="1459" w:hanging="750"/>
      </w:pPr>
      <w:rPr>
        <w:rFonts w:hint="eastAsia"/>
      </w:rPr>
    </w:lvl>
    <w:lvl w:ilvl="1" w:tentative="0">
      <w:start w:val="1"/>
      <w:numFmt w:val="decimal"/>
      <w:lvlText w:val="（%2）"/>
      <w:lvlJc w:val="left"/>
      <w:pPr>
        <w:tabs>
          <w:tab w:val="left" w:pos="1575"/>
        </w:tabs>
        <w:ind w:left="1575" w:hanging="720"/>
      </w:pPr>
      <w:rPr>
        <w:rFonts w:hint="eastAsia"/>
      </w:rPr>
    </w:lvl>
    <w:lvl w:ilvl="2" w:tentative="0">
      <w:start w:val="3"/>
      <w:numFmt w:val="decimal"/>
      <w:lvlText w:val="%3．"/>
      <w:lvlJc w:val="left"/>
      <w:pPr>
        <w:tabs>
          <w:tab w:val="left" w:pos="1635"/>
        </w:tabs>
        <w:ind w:left="1635" w:hanging="360"/>
      </w:pPr>
      <w:rPr>
        <w:rFonts w:hint="eastAsia"/>
      </w:rPr>
    </w:lvl>
    <w:lvl w:ilvl="3" w:tentative="0">
      <w:start w:val="3"/>
      <w:numFmt w:val="decimal"/>
      <w:lvlText w:val="%4."/>
      <w:lvlJc w:val="left"/>
      <w:pPr>
        <w:tabs>
          <w:tab w:val="left" w:pos="2055"/>
        </w:tabs>
        <w:ind w:left="2055" w:hanging="360"/>
      </w:pPr>
      <w:rPr>
        <w:rFonts w:hint="eastAsia"/>
      </w:r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530579E1"/>
    <w:multiLevelType w:val="singleLevel"/>
    <w:tmpl w:val="530579E1"/>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1171"/>
    <w:rsid w:val="000B41A0"/>
    <w:rsid w:val="000C79E4"/>
    <w:rsid w:val="000D50FA"/>
    <w:rsid w:val="000E106D"/>
    <w:rsid w:val="000E4063"/>
    <w:rsid w:val="000F565C"/>
    <w:rsid w:val="000F6EED"/>
    <w:rsid w:val="001165C5"/>
    <w:rsid w:val="001200AB"/>
    <w:rsid w:val="0012392A"/>
    <w:rsid w:val="00133196"/>
    <w:rsid w:val="00150955"/>
    <w:rsid w:val="00165D57"/>
    <w:rsid w:val="00172701"/>
    <w:rsid w:val="00172A27"/>
    <w:rsid w:val="0017556E"/>
    <w:rsid w:val="0018685A"/>
    <w:rsid w:val="001908CD"/>
    <w:rsid w:val="001A3A27"/>
    <w:rsid w:val="001A4ADA"/>
    <w:rsid w:val="001D0B52"/>
    <w:rsid w:val="001D190B"/>
    <w:rsid w:val="001E0D3D"/>
    <w:rsid w:val="001F58BE"/>
    <w:rsid w:val="00212265"/>
    <w:rsid w:val="00216592"/>
    <w:rsid w:val="002300F1"/>
    <w:rsid w:val="00234740"/>
    <w:rsid w:val="002416CB"/>
    <w:rsid w:val="0026449A"/>
    <w:rsid w:val="002749E9"/>
    <w:rsid w:val="00277851"/>
    <w:rsid w:val="002B6E4F"/>
    <w:rsid w:val="002D2445"/>
    <w:rsid w:val="002E4BF2"/>
    <w:rsid w:val="002E77F2"/>
    <w:rsid w:val="0030355D"/>
    <w:rsid w:val="00304CB5"/>
    <w:rsid w:val="00316B3A"/>
    <w:rsid w:val="00321573"/>
    <w:rsid w:val="00342934"/>
    <w:rsid w:val="0034330F"/>
    <w:rsid w:val="00347746"/>
    <w:rsid w:val="00393537"/>
    <w:rsid w:val="003C42F2"/>
    <w:rsid w:val="003D3D14"/>
    <w:rsid w:val="003D62F7"/>
    <w:rsid w:val="003E428F"/>
    <w:rsid w:val="00433A5F"/>
    <w:rsid w:val="00436EDB"/>
    <w:rsid w:val="00446C3F"/>
    <w:rsid w:val="00460519"/>
    <w:rsid w:val="00467EAC"/>
    <w:rsid w:val="004A1229"/>
    <w:rsid w:val="004A18ED"/>
    <w:rsid w:val="004E1EB3"/>
    <w:rsid w:val="004E30E6"/>
    <w:rsid w:val="00506557"/>
    <w:rsid w:val="00510299"/>
    <w:rsid w:val="00517AE6"/>
    <w:rsid w:val="00522722"/>
    <w:rsid w:val="005230E6"/>
    <w:rsid w:val="005233B3"/>
    <w:rsid w:val="00527FBB"/>
    <w:rsid w:val="005371AC"/>
    <w:rsid w:val="005453C8"/>
    <w:rsid w:val="00551D50"/>
    <w:rsid w:val="00581354"/>
    <w:rsid w:val="00593BC6"/>
    <w:rsid w:val="005A3012"/>
    <w:rsid w:val="005B1575"/>
    <w:rsid w:val="005B1780"/>
    <w:rsid w:val="005F6A05"/>
    <w:rsid w:val="00615E72"/>
    <w:rsid w:val="00633613"/>
    <w:rsid w:val="006342BD"/>
    <w:rsid w:val="0063461E"/>
    <w:rsid w:val="00637521"/>
    <w:rsid w:val="006550CD"/>
    <w:rsid w:val="00660B11"/>
    <w:rsid w:val="00663B79"/>
    <w:rsid w:val="006A3F6A"/>
    <w:rsid w:val="006C73AF"/>
    <w:rsid w:val="006E5159"/>
    <w:rsid w:val="007474DD"/>
    <w:rsid w:val="0076418C"/>
    <w:rsid w:val="0077170B"/>
    <w:rsid w:val="007A2C0E"/>
    <w:rsid w:val="007B1935"/>
    <w:rsid w:val="007C5963"/>
    <w:rsid w:val="007D1E68"/>
    <w:rsid w:val="007D2B05"/>
    <w:rsid w:val="007E27A7"/>
    <w:rsid w:val="007E4434"/>
    <w:rsid w:val="00806EBB"/>
    <w:rsid w:val="008173BD"/>
    <w:rsid w:val="008364EE"/>
    <w:rsid w:val="00840773"/>
    <w:rsid w:val="00870118"/>
    <w:rsid w:val="008B14A2"/>
    <w:rsid w:val="008D1D6E"/>
    <w:rsid w:val="008D4AFD"/>
    <w:rsid w:val="008D6D90"/>
    <w:rsid w:val="00904515"/>
    <w:rsid w:val="009106F3"/>
    <w:rsid w:val="00915C12"/>
    <w:rsid w:val="00947DE9"/>
    <w:rsid w:val="009710EB"/>
    <w:rsid w:val="009867CE"/>
    <w:rsid w:val="009942CF"/>
    <w:rsid w:val="009A3D3D"/>
    <w:rsid w:val="009A7D65"/>
    <w:rsid w:val="009B7008"/>
    <w:rsid w:val="009F46B8"/>
    <w:rsid w:val="00A05499"/>
    <w:rsid w:val="00A129D1"/>
    <w:rsid w:val="00A2066D"/>
    <w:rsid w:val="00A3561D"/>
    <w:rsid w:val="00A420C7"/>
    <w:rsid w:val="00A444A3"/>
    <w:rsid w:val="00A447CF"/>
    <w:rsid w:val="00A57A4D"/>
    <w:rsid w:val="00AC4EEB"/>
    <w:rsid w:val="00AC65F3"/>
    <w:rsid w:val="00B13BC3"/>
    <w:rsid w:val="00B46E74"/>
    <w:rsid w:val="00B64E80"/>
    <w:rsid w:val="00BB0AD9"/>
    <w:rsid w:val="00BB2976"/>
    <w:rsid w:val="00BB4C2B"/>
    <w:rsid w:val="00BC1AE9"/>
    <w:rsid w:val="00BD4250"/>
    <w:rsid w:val="00BD7F93"/>
    <w:rsid w:val="00BE722B"/>
    <w:rsid w:val="00BF706B"/>
    <w:rsid w:val="00C1379D"/>
    <w:rsid w:val="00C233A3"/>
    <w:rsid w:val="00C454AA"/>
    <w:rsid w:val="00C46AE0"/>
    <w:rsid w:val="00C535AA"/>
    <w:rsid w:val="00C74CDC"/>
    <w:rsid w:val="00CA70A0"/>
    <w:rsid w:val="00CB624D"/>
    <w:rsid w:val="00CC19A1"/>
    <w:rsid w:val="00CE5DAF"/>
    <w:rsid w:val="00CF16CA"/>
    <w:rsid w:val="00CF3FB0"/>
    <w:rsid w:val="00D0084D"/>
    <w:rsid w:val="00D02705"/>
    <w:rsid w:val="00D1593C"/>
    <w:rsid w:val="00D35A16"/>
    <w:rsid w:val="00D55134"/>
    <w:rsid w:val="00D605D8"/>
    <w:rsid w:val="00D86A11"/>
    <w:rsid w:val="00D90DCD"/>
    <w:rsid w:val="00DA3832"/>
    <w:rsid w:val="00DC33C2"/>
    <w:rsid w:val="00DE652F"/>
    <w:rsid w:val="00DE7461"/>
    <w:rsid w:val="00E00954"/>
    <w:rsid w:val="00E16CF7"/>
    <w:rsid w:val="00E34C64"/>
    <w:rsid w:val="00E405F1"/>
    <w:rsid w:val="00E43E74"/>
    <w:rsid w:val="00E7515B"/>
    <w:rsid w:val="00E857A1"/>
    <w:rsid w:val="00EA2C91"/>
    <w:rsid w:val="00EA5D99"/>
    <w:rsid w:val="00EB754B"/>
    <w:rsid w:val="00EC43FF"/>
    <w:rsid w:val="00EC5852"/>
    <w:rsid w:val="00EE6E96"/>
    <w:rsid w:val="00F1510E"/>
    <w:rsid w:val="00F2167E"/>
    <w:rsid w:val="00F824B3"/>
    <w:rsid w:val="00F937A3"/>
    <w:rsid w:val="00F948FA"/>
    <w:rsid w:val="00FC3CAE"/>
    <w:rsid w:val="00FC67A1"/>
    <w:rsid w:val="00FD733B"/>
    <w:rsid w:val="00FE0175"/>
    <w:rsid w:val="00FE3C9C"/>
    <w:rsid w:val="00FE484C"/>
    <w:rsid w:val="00FF4A85"/>
    <w:rsid w:val="010208E1"/>
    <w:rsid w:val="01066201"/>
    <w:rsid w:val="01123D8C"/>
    <w:rsid w:val="01134016"/>
    <w:rsid w:val="011378E5"/>
    <w:rsid w:val="01172446"/>
    <w:rsid w:val="011E04D8"/>
    <w:rsid w:val="011E6A9A"/>
    <w:rsid w:val="0121020D"/>
    <w:rsid w:val="01290F1D"/>
    <w:rsid w:val="012B137D"/>
    <w:rsid w:val="013B1B83"/>
    <w:rsid w:val="01496B68"/>
    <w:rsid w:val="014D0FF7"/>
    <w:rsid w:val="01664C71"/>
    <w:rsid w:val="016D718D"/>
    <w:rsid w:val="0170249C"/>
    <w:rsid w:val="017F5637"/>
    <w:rsid w:val="01901715"/>
    <w:rsid w:val="01934258"/>
    <w:rsid w:val="01934E79"/>
    <w:rsid w:val="01946D82"/>
    <w:rsid w:val="0199502A"/>
    <w:rsid w:val="019E4ED3"/>
    <w:rsid w:val="01A02DB6"/>
    <w:rsid w:val="01A81057"/>
    <w:rsid w:val="01AB5854"/>
    <w:rsid w:val="01AD2F0F"/>
    <w:rsid w:val="01BB2D0B"/>
    <w:rsid w:val="01C732CB"/>
    <w:rsid w:val="01DB720D"/>
    <w:rsid w:val="01E60D60"/>
    <w:rsid w:val="01F10090"/>
    <w:rsid w:val="01F62D76"/>
    <w:rsid w:val="02065C47"/>
    <w:rsid w:val="021076A5"/>
    <w:rsid w:val="0229315C"/>
    <w:rsid w:val="02307624"/>
    <w:rsid w:val="023A5C8A"/>
    <w:rsid w:val="024426B9"/>
    <w:rsid w:val="024536D0"/>
    <w:rsid w:val="024805DA"/>
    <w:rsid w:val="024B02B4"/>
    <w:rsid w:val="024F48E4"/>
    <w:rsid w:val="0250278E"/>
    <w:rsid w:val="025122DA"/>
    <w:rsid w:val="02526568"/>
    <w:rsid w:val="02662CEF"/>
    <w:rsid w:val="02702897"/>
    <w:rsid w:val="027B3F20"/>
    <w:rsid w:val="02824B79"/>
    <w:rsid w:val="028F6268"/>
    <w:rsid w:val="02933D84"/>
    <w:rsid w:val="02A152B0"/>
    <w:rsid w:val="02A81ACA"/>
    <w:rsid w:val="02AE30CE"/>
    <w:rsid w:val="02AE6F83"/>
    <w:rsid w:val="02B259E3"/>
    <w:rsid w:val="02B25BA7"/>
    <w:rsid w:val="02B55341"/>
    <w:rsid w:val="02C61AC9"/>
    <w:rsid w:val="02C9099D"/>
    <w:rsid w:val="02D12FF1"/>
    <w:rsid w:val="02D17D59"/>
    <w:rsid w:val="02D41C52"/>
    <w:rsid w:val="02DC5CB3"/>
    <w:rsid w:val="02DF3171"/>
    <w:rsid w:val="02F01A2C"/>
    <w:rsid w:val="02F07C65"/>
    <w:rsid w:val="02FC6F1D"/>
    <w:rsid w:val="02FE3E7B"/>
    <w:rsid w:val="030E7684"/>
    <w:rsid w:val="031B3F1D"/>
    <w:rsid w:val="03340F9C"/>
    <w:rsid w:val="03346F43"/>
    <w:rsid w:val="03463558"/>
    <w:rsid w:val="03491608"/>
    <w:rsid w:val="034D74E4"/>
    <w:rsid w:val="034E0E0D"/>
    <w:rsid w:val="03500850"/>
    <w:rsid w:val="03511D6F"/>
    <w:rsid w:val="0367133E"/>
    <w:rsid w:val="03681482"/>
    <w:rsid w:val="036D37A6"/>
    <w:rsid w:val="03850BBE"/>
    <w:rsid w:val="03876D87"/>
    <w:rsid w:val="03952C0B"/>
    <w:rsid w:val="0397324C"/>
    <w:rsid w:val="039A4932"/>
    <w:rsid w:val="039B5DAD"/>
    <w:rsid w:val="039E5D5A"/>
    <w:rsid w:val="03A02DC8"/>
    <w:rsid w:val="03A25870"/>
    <w:rsid w:val="03BA5BE6"/>
    <w:rsid w:val="03C92C6F"/>
    <w:rsid w:val="03CA51D8"/>
    <w:rsid w:val="03CB2A43"/>
    <w:rsid w:val="03D353A8"/>
    <w:rsid w:val="03EE3795"/>
    <w:rsid w:val="0408048E"/>
    <w:rsid w:val="04134C94"/>
    <w:rsid w:val="04143A0B"/>
    <w:rsid w:val="04192159"/>
    <w:rsid w:val="04207B6E"/>
    <w:rsid w:val="042B2E04"/>
    <w:rsid w:val="0430691F"/>
    <w:rsid w:val="043D1511"/>
    <w:rsid w:val="043F1A51"/>
    <w:rsid w:val="0446186E"/>
    <w:rsid w:val="044C1DF7"/>
    <w:rsid w:val="044E73A2"/>
    <w:rsid w:val="0450206E"/>
    <w:rsid w:val="046E400E"/>
    <w:rsid w:val="047158AB"/>
    <w:rsid w:val="04726A72"/>
    <w:rsid w:val="047E054C"/>
    <w:rsid w:val="049E65BE"/>
    <w:rsid w:val="04A838E8"/>
    <w:rsid w:val="04AE2326"/>
    <w:rsid w:val="04AF306F"/>
    <w:rsid w:val="04B04EDD"/>
    <w:rsid w:val="04B71A7F"/>
    <w:rsid w:val="04BE71C1"/>
    <w:rsid w:val="04C03B1F"/>
    <w:rsid w:val="04CB036C"/>
    <w:rsid w:val="04CE06AF"/>
    <w:rsid w:val="04D5456B"/>
    <w:rsid w:val="04DB1763"/>
    <w:rsid w:val="04DD1080"/>
    <w:rsid w:val="04E4364B"/>
    <w:rsid w:val="04EF7FA5"/>
    <w:rsid w:val="04FE4254"/>
    <w:rsid w:val="05042F8D"/>
    <w:rsid w:val="05043F7F"/>
    <w:rsid w:val="05145648"/>
    <w:rsid w:val="05245718"/>
    <w:rsid w:val="052544E0"/>
    <w:rsid w:val="0526590B"/>
    <w:rsid w:val="0531520E"/>
    <w:rsid w:val="05316938"/>
    <w:rsid w:val="05347504"/>
    <w:rsid w:val="053C6889"/>
    <w:rsid w:val="053E0225"/>
    <w:rsid w:val="0541445B"/>
    <w:rsid w:val="05474F1B"/>
    <w:rsid w:val="054C5AE8"/>
    <w:rsid w:val="055069BC"/>
    <w:rsid w:val="0554109D"/>
    <w:rsid w:val="05633AED"/>
    <w:rsid w:val="05681A7F"/>
    <w:rsid w:val="0572653A"/>
    <w:rsid w:val="057702D4"/>
    <w:rsid w:val="05785D3B"/>
    <w:rsid w:val="0590018D"/>
    <w:rsid w:val="05955803"/>
    <w:rsid w:val="05977C29"/>
    <w:rsid w:val="059847D5"/>
    <w:rsid w:val="05985EFC"/>
    <w:rsid w:val="05A242AA"/>
    <w:rsid w:val="05AA6AD1"/>
    <w:rsid w:val="05BA6C55"/>
    <w:rsid w:val="05C92236"/>
    <w:rsid w:val="05CA31DF"/>
    <w:rsid w:val="05CC385A"/>
    <w:rsid w:val="05CF68F4"/>
    <w:rsid w:val="05D06694"/>
    <w:rsid w:val="05DF72FC"/>
    <w:rsid w:val="05E33A27"/>
    <w:rsid w:val="05E415FA"/>
    <w:rsid w:val="05EE4F34"/>
    <w:rsid w:val="05F0539C"/>
    <w:rsid w:val="05F53774"/>
    <w:rsid w:val="060A57AD"/>
    <w:rsid w:val="060B309D"/>
    <w:rsid w:val="060D4FBB"/>
    <w:rsid w:val="061B1B63"/>
    <w:rsid w:val="061E09F9"/>
    <w:rsid w:val="0621398A"/>
    <w:rsid w:val="06233D35"/>
    <w:rsid w:val="06360478"/>
    <w:rsid w:val="063E4E35"/>
    <w:rsid w:val="0649617C"/>
    <w:rsid w:val="065B61B9"/>
    <w:rsid w:val="06611C35"/>
    <w:rsid w:val="06700E5D"/>
    <w:rsid w:val="068E3653"/>
    <w:rsid w:val="0691313C"/>
    <w:rsid w:val="0691520B"/>
    <w:rsid w:val="06946977"/>
    <w:rsid w:val="069C0819"/>
    <w:rsid w:val="06AA2A1A"/>
    <w:rsid w:val="06B74B22"/>
    <w:rsid w:val="06C17DD4"/>
    <w:rsid w:val="06C45F52"/>
    <w:rsid w:val="06CE7ED9"/>
    <w:rsid w:val="06D2100B"/>
    <w:rsid w:val="06D3561E"/>
    <w:rsid w:val="06E6196E"/>
    <w:rsid w:val="06E9798E"/>
    <w:rsid w:val="06F03FC1"/>
    <w:rsid w:val="06FE4E03"/>
    <w:rsid w:val="0711504E"/>
    <w:rsid w:val="071202B7"/>
    <w:rsid w:val="071909D3"/>
    <w:rsid w:val="071D4A55"/>
    <w:rsid w:val="074478D4"/>
    <w:rsid w:val="074B1263"/>
    <w:rsid w:val="07640048"/>
    <w:rsid w:val="076419BF"/>
    <w:rsid w:val="076530A8"/>
    <w:rsid w:val="07654CA0"/>
    <w:rsid w:val="077B3496"/>
    <w:rsid w:val="077C6052"/>
    <w:rsid w:val="07826AB5"/>
    <w:rsid w:val="078D1D6C"/>
    <w:rsid w:val="079C2FE7"/>
    <w:rsid w:val="079D0C90"/>
    <w:rsid w:val="07AA157B"/>
    <w:rsid w:val="07B05468"/>
    <w:rsid w:val="07B30BD1"/>
    <w:rsid w:val="07C11484"/>
    <w:rsid w:val="07D20D57"/>
    <w:rsid w:val="07DA7434"/>
    <w:rsid w:val="07E22FC3"/>
    <w:rsid w:val="07ED2F5A"/>
    <w:rsid w:val="080002D1"/>
    <w:rsid w:val="08087320"/>
    <w:rsid w:val="080E405B"/>
    <w:rsid w:val="081508F2"/>
    <w:rsid w:val="081625EE"/>
    <w:rsid w:val="081A279A"/>
    <w:rsid w:val="081E687A"/>
    <w:rsid w:val="081F1D1B"/>
    <w:rsid w:val="08274A0C"/>
    <w:rsid w:val="083567C5"/>
    <w:rsid w:val="08372343"/>
    <w:rsid w:val="08422A80"/>
    <w:rsid w:val="08476705"/>
    <w:rsid w:val="08496F01"/>
    <w:rsid w:val="08550F2C"/>
    <w:rsid w:val="08553934"/>
    <w:rsid w:val="08614511"/>
    <w:rsid w:val="08616543"/>
    <w:rsid w:val="086476E9"/>
    <w:rsid w:val="087253EF"/>
    <w:rsid w:val="0879599B"/>
    <w:rsid w:val="087A1B40"/>
    <w:rsid w:val="087B14C6"/>
    <w:rsid w:val="087C5825"/>
    <w:rsid w:val="087E30F2"/>
    <w:rsid w:val="08812209"/>
    <w:rsid w:val="08820761"/>
    <w:rsid w:val="08934A78"/>
    <w:rsid w:val="08941B90"/>
    <w:rsid w:val="08997873"/>
    <w:rsid w:val="08B723E6"/>
    <w:rsid w:val="08CF1E16"/>
    <w:rsid w:val="08D0759E"/>
    <w:rsid w:val="08E77DF7"/>
    <w:rsid w:val="08ED3754"/>
    <w:rsid w:val="08EF046F"/>
    <w:rsid w:val="08F4338B"/>
    <w:rsid w:val="08F723F0"/>
    <w:rsid w:val="08FF0BA9"/>
    <w:rsid w:val="090F6312"/>
    <w:rsid w:val="0916126D"/>
    <w:rsid w:val="09285CDB"/>
    <w:rsid w:val="09365625"/>
    <w:rsid w:val="09382E69"/>
    <w:rsid w:val="093922F3"/>
    <w:rsid w:val="094414D2"/>
    <w:rsid w:val="09580130"/>
    <w:rsid w:val="095A6B50"/>
    <w:rsid w:val="096078A3"/>
    <w:rsid w:val="09713F98"/>
    <w:rsid w:val="09716BD0"/>
    <w:rsid w:val="09734109"/>
    <w:rsid w:val="099062BE"/>
    <w:rsid w:val="09936290"/>
    <w:rsid w:val="099613AD"/>
    <w:rsid w:val="099707DD"/>
    <w:rsid w:val="099741FE"/>
    <w:rsid w:val="0998300F"/>
    <w:rsid w:val="09AD6EBA"/>
    <w:rsid w:val="09B41383"/>
    <w:rsid w:val="09BE35AB"/>
    <w:rsid w:val="09C10995"/>
    <w:rsid w:val="09C37F11"/>
    <w:rsid w:val="09CB3B8A"/>
    <w:rsid w:val="09CF49FF"/>
    <w:rsid w:val="09DD6581"/>
    <w:rsid w:val="09E162ED"/>
    <w:rsid w:val="09EE5675"/>
    <w:rsid w:val="09F65576"/>
    <w:rsid w:val="09FC5A4A"/>
    <w:rsid w:val="0A0E616D"/>
    <w:rsid w:val="0A1A2D7C"/>
    <w:rsid w:val="0A227263"/>
    <w:rsid w:val="0A23075F"/>
    <w:rsid w:val="0A2334FC"/>
    <w:rsid w:val="0A2C21B9"/>
    <w:rsid w:val="0A387F97"/>
    <w:rsid w:val="0A430D4C"/>
    <w:rsid w:val="0A4355F8"/>
    <w:rsid w:val="0A4A3A82"/>
    <w:rsid w:val="0A553C2D"/>
    <w:rsid w:val="0A5923A6"/>
    <w:rsid w:val="0A5E2A86"/>
    <w:rsid w:val="0A613E54"/>
    <w:rsid w:val="0A6142B9"/>
    <w:rsid w:val="0A760CC0"/>
    <w:rsid w:val="0A7F2006"/>
    <w:rsid w:val="0A952795"/>
    <w:rsid w:val="0A9A2164"/>
    <w:rsid w:val="0A9D5A71"/>
    <w:rsid w:val="0ABC7135"/>
    <w:rsid w:val="0ABF2018"/>
    <w:rsid w:val="0AC373D6"/>
    <w:rsid w:val="0ACB0195"/>
    <w:rsid w:val="0ACB294A"/>
    <w:rsid w:val="0ACF790C"/>
    <w:rsid w:val="0AD66E02"/>
    <w:rsid w:val="0AE5282D"/>
    <w:rsid w:val="0AE8009C"/>
    <w:rsid w:val="0AF22AEE"/>
    <w:rsid w:val="0AF84DD1"/>
    <w:rsid w:val="0AF858A7"/>
    <w:rsid w:val="0AFF78A9"/>
    <w:rsid w:val="0B0534BD"/>
    <w:rsid w:val="0B1134B5"/>
    <w:rsid w:val="0B12757B"/>
    <w:rsid w:val="0B164497"/>
    <w:rsid w:val="0B1C33D0"/>
    <w:rsid w:val="0B204B95"/>
    <w:rsid w:val="0B2661AB"/>
    <w:rsid w:val="0B272271"/>
    <w:rsid w:val="0B403C4C"/>
    <w:rsid w:val="0B552CE5"/>
    <w:rsid w:val="0B763F61"/>
    <w:rsid w:val="0B783E75"/>
    <w:rsid w:val="0B7A42BB"/>
    <w:rsid w:val="0B7C7BBA"/>
    <w:rsid w:val="0B87179D"/>
    <w:rsid w:val="0B8A5378"/>
    <w:rsid w:val="0B943098"/>
    <w:rsid w:val="0B9D4B93"/>
    <w:rsid w:val="0BA42DC2"/>
    <w:rsid w:val="0BB33C80"/>
    <w:rsid w:val="0BB8051F"/>
    <w:rsid w:val="0BC855DC"/>
    <w:rsid w:val="0BCA7CDF"/>
    <w:rsid w:val="0BCC2DBC"/>
    <w:rsid w:val="0BCD77B2"/>
    <w:rsid w:val="0BD2377E"/>
    <w:rsid w:val="0BD451C3"/>
    <w:rsid w:val="0BEB6001"/>
    <w:rsid w:val="0BF11A5B"/>
    <w:rsid w:val="0C024D67"/>
    <w:rsid w:val="0C0726DF"/>
    <w:rsid w:val="0C0848CC"/>
    <w:rsid w:val="0C1B51F4"/>
    <w:rsid w:val="0C1C3F89"/>
    <w:rsid w:val="0C2103A0"/>
    <w:rsid w:val="0C211DD4"/>
    <w:rsid w:val="0C23717D"/>
    <w:rsid w:val="0C3D1F64"/>
    <w:rsid w:val="0C3E380B"/>
    <w:rsid w:val="0C3E6657"/>
    <w:rsid w:val="0C525B51"/>
    <w:rsid w:val="0C5B67D8"/>
    <w:rsid w:val="0C5E0CB0"/>
    <w:rsid w:val="0C6D0591"/>
    <w:rsid w:val="0C7D0E21"/>
    <w:rsid w:val="0C826C54"/>
    <w:rsid w:val="0C9C4E9B"/>
    <w:rsid w:val="0CBB4B8B"/>
    <w:rsid w:val="0CBE2F33"/>
    <w:rsid w:val="0CC23B1A"/>
    <w:rsid w:val="0CC427CE"/>
    <w:rsid w:val="0CCE3656"/>
    <w:rsid w:val="0CCE4E65"/>
    <w:rsid w:val="0CE7491B"/>
    <w:rsid w:val="0CEA13F7"/>
    <w:rsid w:val="0CED5A09"/>
    <w:rsid w:val="0CF11F32"/>
    <w:rsid w:val="0D06612B"/>
    <w:rsid w:val="0D111A0D"/>
    <w:rsid w:val="0D1D159E"/>
    <w:rsid w:val="0D1D6BD7"/>
    <w:rsid w:val="0D2B1235"/>
    <w:rsid w:val="0D2F7863"/>
    <w:rsid w:val="0D331367"/>
    <w:rsid w:val="0D386B6C"/>
    <w:rsid w:val="0D40289D"/>
    <w:rsid w:val="0D4363D5"/>
    <w:rsid w:val="0D4367BA"/>
    <w:rsid w:val="0D440C54"/>
    <w:rsid w:val="0D505A97"/>
    <w:rsid w:val="0D515E56"/>
    <w:rsid w:val="0D531743"/>
    <w:rsid w:val="0D532D53"/>
    <w:rsid w:val="0D5E647A"/>
    <w:rsid w:val="0D746FF4"/>
    <w:rsid w:val="0D760AA2"/>
    <w:rsid w:val="0D820757"/>
    <w:rsid w:val="0D875CA4"/>
    <w:rsid w:val="0D8935C6"/>
    <w:rsid w:val="0D8C2491"/>
    <w:rsid w:val="0D8D5644"/>
    <w:rsid w:val="0D8F2625"/>
    <w:rsid w:val="0D9841FC"/>
    <w:rsid w:val="0DA3375B"/>
    <w:rsid w:val="0DBC24B8"/>
    <w:rsid w:val="0DBD5FB2"/>
    <w:rsid w:val="0DC01331"/>
    <w:rsid w:val="0DC14222"/>
    <w:rsid w:val="0DCC4A18"/>
    <w:rsid w:val="0DCF6E86"/>
    <w:rsid w:val="0DD36B9F"/>
    <w:rsid w:val="0DDB22F3"/>
    <w:rsid w:val="0DDD3362"/>
    <w:rsid w:val="0DDD6D83"/>
    <w:rsid w:val="0DE0154F"/>
    <w:rsid w:val="0DE13B4D"/>
    <w:rsid w:val="0DE26D9A"/>
    <w:rsid w:val="0DE51495"/>
    <w:rsid w:val="0DF16020"/>
    <w:rsid w:val="0DF43E32"/>
    <w:rsid w:val="0DF475BA"/>
    <w:rsid w:val="0DFA16E3"/>
    <w:rsid w:val="0E0B530D"/>
    <w:rsid w:val="0E0D397E"/>
    <w:rsid w:val="0E1B0251"/>
    <w:rsid w:val="0E2D4EA8"/>
    <w:rsid w:val="0E2E0174"/>
    <w:rsid w:val="0E304D28"/>
    <w:rsid w:val="0E3D110D"/>
    <w:rsid w:val="0E3E1F17"/>
    <w:rsid w:val="0E476D37"/>
    <w:rsid w:val="0E4B086F"/>
    <w:rsid w:val="0E4B0E57"/>
    <w:rsid w:val="0E4C7EE3"/>
    <w:rsid w:val="0E4D6471"/>
    <w:rsid w:val="0E4E41F0"/>
    <w:rsid w:val="0E4F4E58"/>
    <w:rsid w:val="0E59465B"/>
    <w:rsid w:val="0E594887"/>
    <w:rsid w:val="0E650CBC"/>
    <w:rsid w:val="0E672C63"/>
    <w:rsid w:val="0E6A21EC"/>
    <w:rsid w:val="0E7F0CCD"/>
    <w:rsid w:val="0E8246D1"/>
    <w:rsid w:val="0E846BEA"/>
    <w:rsid w:val="0E850197"/>
    <w:rsid w:val="0E860EA6"/>
    <w:rsid w:val="0E8641A9"/>
    <w:rsid w:val="0E92359B"/>
    <w:rsid w:val="0EA91ABF"/>
    <w:rsid w:val="0EA96119"/>
    <w:rsid w:val="0EB615C2"/>
    <w:rsid w:val="0EB70C81"/>
    <w:rsid w:val="0EBA3CA0"/>
    <w:rsid w:val="0EC8699C"/>
    <w:rsid w:val="0EC95C85"/>
    <w:rsid w:val="0EDE3F42"/>
    <w:rsid w:val="0EDF1337"/>
    <w:rsid w:val="0EF62B36"/>
    <w:rsid w:val="0EF84910"/>
    <w:rsid w:val="0EF91302"/>
    <w:rsid w:val="0F0913C0"/>
    <w:rsid w:val="0F0A316E"/>
    <w:rsid w:val="0F0D1415"/>
    <w:rsid w:val="0F197089"/>
    <w:rsid w:val="0F1E5C31"/>
    <w:rsid w:val="0F207A6C"/>
    <w:rsid w:val="0F2206B6"/>
    <w:rsid w:val="0F2403AD"/>
    <w:rsid w:val="0F2A2CB6"/>
    <w:rsid w:val="0F3129E3"/>
    <w:rsid w:val="0F375615"/>
    <w:rsid w:val="0F3D305D"/>
    <w:rsid w:val="0F400304"/>
    <w:rsid w:val="0F51560C"/>
    <w:rsid w:val="0F54556C"/>
    <w:rsid w:val="0F6A4E98"/>
    <w:rsid w:val="0F715513"/>
    <w:rsid w:val="0F842FD8"/>
    <w:rsid w:val="0F8E25DA"/>
    <w:rsid w:val="0F914FAA"/>
    <w:rsid w:val="0F9D3230"/>
    <w:rsid w:val="0F9F62C5"/>
    <w:rsid w:val="0FA40CDC"/>
    <w:rsid w:val="0FAA68D9"/>
    <w:rsid w:val="0FB30167"/>
    <w:rsid w:val="0FBB7823"/>
    <w:rsid w:val="0FBD176B"/>
    <w:rsid w:val="0FBD61DB"/>
    <w:rsid w:val="0FC0399A"/>
    <w:rsid w:val="0FC36C1A"/>
    <w:rsid w:val="0FC738A4"/>
    <w:rsid w:val="0FCF7E75"/>
    <w:rsid w:val="0FE01E8A"/>
    <w:rsid w:val="0FE57D4A"/>
    <w:rsid w:val="0FE90F5F"/>
    <w:rsid w:val="0FF2528B"/>
    <w:rsid w:val="0FFC4722"/>
    <w:rsid w:val="100218C1"/>
    <w:rsid w:val="10054166"/>
    <w:rsid w:val="10067B4F"/>
    <w:rsid w:val="10071FCC"/>
    <w:rsid w:val="10101E7C"/>
    <w:rsid w:val="1020551C"/>
    <w:rsid w:val="10484671"/>
    <w:rsid w:val="10522A8D"/>
    <w:rsid w:val="10541298"/>
    <w:rsid w:val="1060555D"/>
    <w:rsid w:val="10953A3D"/>
    <w:rsid w:val="109C11B4"/>
    <w:rsid w:val="109E6C9D"/>
    <w:rsid w:val="10BA5ECF"/>
    <w:rsid w:val="10BC44DC"/>
    <w:rsid w:val="10C21ECE"/>
    <w:rsid w:val="10C27A6E"/>
    <w:rsid w:val="10C32500"/>
    <w:rsid w:val="10CE288F"/>
    <w:rsid w:val="10D36FCC"/>
    <w:rsid w:val="10D73BD2"/>
    <w:rsid w:val="10F00EE0"/>
    <w:rsid w:val="10F94B2F"/>
    <w:rsid w:val="10FC798A"/>
    <w:rsid w:val="10FD1517"/>
    <w:rsid w:val="11194213"/>
    <w:rsid w:val="111C1AB0"/>
    <w:rsid w:val="113215E3"/>
    <w:rsid w:val="114239BB"/>
    <w:rsid w:val="11470560"/>
    <w:rsid w:val="11592B07"/>
    <w:rsid w:val="11635512"/>
    <w:rsid w:val="116F0037"/>
    <w:rsid w:val="116F1518"/>
    <w:rsid w:val="11702DE9"/>
    <w:rsid w:val="11780063"/>
    <w:rsid w:val="117863D2"/>
    <w:rsid w:val="118422DC"/>
    <w:rsid w:val="118A6FAB"/>
    <w:rsid w:val="11947AC1"/>
    <w:rsid w:val="119F781E"/>
    <w:rsid w:val="11A572D9"/>
    <w:rsid w:val="11A70284"/>
    <w:rsid w:val="11A84C39"/>
    <w:rsid w:val="11AB2727"/>
    <w:rsid w:val="11AB404D"/>
    <w:rsid w:val="11B3119B"/>
    <w:rsid w:val="11B40F9B"/>
    <w:rsid w:val="11B95EC4"/>
    <w:rsid w:val="11CC1694"/>
    <w:rsid w:val="11CE710E"/>
    <w:rsid w:val="11CF3F58"/>
    <w:rsid w:val="11D07A04"/>
    <w:rsid w:val="11D23D53"/>
    <w:rsid w:val="11D30627"/>
    <w:rsid w:val="11D36790"/>
    <w:rsid w:val="11E476EC"/>
    <w:rsid w:val="11E62F23"/>
    <w:rsid w:val="11EF0F2D"/>
    <w:rsid w:val="11F3634D"/>
    <w:rsid w:val="11FC4A9D"/>
    <w:rsid w:val="11FD5221"/>
    <w:rsid w:val="12105250"/>
    <w:rsid w:val="1213146B"/>
    <w:rsid w:val="121B6A31"/>
    <w:rsid w:val="121D1A1B"/>
    <w:rsid w:val="122159BD"/>
    <w:rsid w:val="12222BBE"/>
    <w:rsid w:val="122D054A"/>
    <w:rsid w:val="123002EF"/>
    <w:rsid w:val="123D20B5"/>
    <w:rsid w:val="123D4701"/>
    <w:rsid w:val="123E0977"/>
    <w:rsid w:val="124607B2"/>
    <w:rsid w:val="12482247"/>
    <w:rsid w:val="124C6736"/>
    <w:rsid w:val="124D046A"/>
    <w:rsid w:val="1258644E"/>
    <w:rsid w:val="12634752"/>
    <w:rsid w:val="126B5D6F"/>
    <w:rsid w:val="12764875"/>
    <w:rsid w:val="12773FEF"/>
    <w:rsid w:val="127F7E4B"/>
    <w:rsid w:val="128B7128"/>
    <w:rsid w:val="128D35FE"/>
    <w:rsid w:val="12A2465E"/>
    <w:rsid w:val="12A602F8"/>
    <w:rsid w:val="12A83A35"/>
    <w:rsid w:val="12B36EA2"/>
    <w:rsid w:val="12B45929"/>
    <w:rsid w:val="12B60AD3"/>
    <w:rsid w:val="12CA462C"/>
    <w:rsid w:val="12CC10C2"/>
    <w:rsid w:val="12D2582E"/>
    <w:rsid w:val="12D93870"/>
    <w:rsid w:val="12E075DA"/>
    <w:rsid w:val="12E5310B"/>
    <w:rsid w:val="12EC7F45"/>
    <w:rsid w:val="12F80F64"/>
    <w:rsid w:val="12FE13ED"/>
    <w:rsid w:val="130A5C71"/>
    <w:rsid w:val="13142480"/>
    <w:rsid w:val="13153A0A"/>
    <w:rsid w:val="131737F5"/>
    <w:rsid w:val="131823D9"/>
    <w:rsid w:val="13182500"/>
    <w:rsid w:val="131A6830"/>
    <w:rsid w:val="1324128B"/>
    <w:rsid w:val="132B4EC4"/>
    <w:rsid w:val="132C06FE"/>
    <w:rsid w:val="132D5FB4"/>
    <w:rsid w:val="133203DF"/>
    <w:rsid w:val="133D76E1"/>
    <w:rsid w:val="13425FAF"/>
    <w:rsid w:val="1344056E"/>
    <w:rsid w:val="13585B98"/>
    <w:rsid w:val="13615F24"/>
    <w:rsid w:val="1362213D"/>
    <w:rsid w:val="13665659"/>
    <w:rsid w:val="13674631"/>
    <w:rsid w:val="136B1BE4"/>
    <w:rsid w:val="13703DD9"/>
    <w:rsid w:val="13802655"/>
    <w:rsid w:val="13815520"/>
    <w:rsid w:val="13833F28"/>
    <w:rsid w:val="13862ABB"/>
    <w:rsid w:val="13A07C9C"/>
    <w:rsid w:val="13A57615"/>
    <w:rsid w:val="13A6200D"/>
    <w:rsid w:val="13A71114"/>
    <w:rsid w:val="13AF1E6C"/>
    <w:rsid w:val="13B200C7"/>
    <w:rsid w:val="13B36A83"/>
    <w:rsid w:val="13B40632"/>
    <w:rsid w:val="13CF081C"/>
    <w:rsid w:val="13DA4490"/>
    <w:rsid w:val="13DD49FF"/>
    <w:rsid w:val="13DF5288"/>
    <w:rsid w:val="13E21772"/>
    <w:rsid w:val="13F03712"/>
    <w:rsid w:val="13F31147"/>
    <w:rsid w:val="13F94F05"/>
    <w:rsid w:val="14041D2A"/>
    <w:rsid w:val="141D515C"/>
    <w:rsid w:val="1423002E"/>
    <w:rsid w:val="14273F62"/>
    <w:rsid w:val="143231A8"/>
    <w:rsid w:val="145670D4"/>
    <w:rsid w:val="1460053B"/>
    <w:rsid w:val="14637030"/>
    <w:rsid w:val="146D08E5"/>
    <w:rsid w:val="146D74AC"/>
    <w:rsid w:val="14735AD0"/>
    <w:rsid w:val="14766E4B"/>
    <w:rsid w:val="14804946"/>
    <w:rsid w:val="14854E53"/>
    <w:rsid w:val="149A1BBF"/>
    <w:rsid w:val="14A034AA"/>
    <w:rsid w:val="14A04504"/>
    <w:rsid w:val="14A84639"/>
    <w:rsid w:val="14AA093B"/>
    <w:rsid w:val="14B545F6"/>
    <w:rsid w:val="14BA5E47"/>
    <w:rsid w:val="14BB195A"/>
    <w:rsid w:val="14BC0379"/>
    <w:rsid w:val="14C83EED"/>
    <w:rsid w:val="14C95603"/>
    <w:rsid w:val="14D11EA2"/>
    <w:rsid w:val="14D43FC6"/>
    <w:rsid w:val="14D64C58"/>
    <w:rsid w:val="14E25938"/>
    <w:rsid w:val="14E70E48"/>
    <w:rsid w:val="14E7761C"/>
    <w:rsid w:val="14EB31D3"/>
    <w:rsid w:val="14F31755"/>
    <w:rsid w:val="14F857DD"/>
    <w:rsid w:val="14FA7348"/>
    <w:rsid w:val="15123C5D"/>
    <w:rsid w:val="151258EC"/>
    <w:rsid w:val="15142FA1"/>
    <w:rsid w:val="151A2F58"/>
    <w:rsid w:val="15242B5C"/>
    <w:rsid w:val="15302B2A"/>
    <w:rsid w:val="153C2575"/>
    <w:rsid w:val="153D1D48"/>
    <w:rsid w:val="153E715B"/>
    <w:rsid w:val="153F0AC7"/>
    <w:rsid w:val="154158C8"/>
    <w:rsid w:val="15461E6E"/>
    <w:rsid w:val="154C4EF3"/>
    <w:rsid w:val="15554412"/>
    <w:rsid w:val="1566039D"/>
    <w:rsid w:val="156817F8"/>
    <w:rsid w:val="1571105E"/>
    <w:rsid w:val="15764C4E"/>
    <w:rsid w:val="15793A0D"/>
    <w:rsid w:val="159A092C"/>
    <w:rsid w:val="159E50FF"/>
    <w:rsid w:val="159E5F2E"/>
    <w:rsid w:val="15AB06BB"/>
    <w:rsid w:val="15AD5591"/>
    <w:rsid w:val="15B55AE3"/>
    <w:rsid w:val="15BC151E"/>
    <w:rsid w:val="15C45157"/>
    <w:rsid w:val="15C46904"/>
    <w:rsid w:val="15C97072"/>
    <w:rsid w:val="15D51D34"/>
    <w:rsid w:val="15E40631"/>
    <w:rsid w:val="15EA1F99"/>
    <w:rsid w:val="15F10EAD"/>
    <w:rsid w:val="15FD7FC2"/>
    <w:rsid w:val="16032152"/>
    <w:rsid w:val="16040316"/>
    <w:rsid w:val="16060424"/>
    <w:rsid w:val="16062938"/>
    <w:rsid w:val="160A77BF"/>
    <w:rsid w:val="162714E3"/>
    <w:rsid w:val="163C7602"/>
    <w:rsid w:val="165C060A"/>
    <w:rsid w:val="16666FD0"/>
    <w:rsid w:val="16681767"/>
    <w:rsid w:val="166B586C"/>
    <w:rsid w:val="166D6D78"/>
    <w:rsid w:val="166E57FC"/>
    <w:rsid w:val="16711DE4"/>
    <w:rsid w:val="16765837"/>
    <w:rsid w:val="16772084"/>
    <w:rsid w:val="16840662"/>
    <w:rsid w:val="16862627"/>
    <w:rsid w:val="16872728"/>
    <w:rsid w:val="168A2743"/>
    <w:rsid w:val="168F26E0"/>
    <w:rsid w:val="16990D79"/>
    <w:rsid w:val="16B928E1"/>
    <w:rsid w:val="16BA42ED"/>
    <w:rsid w:val="16CC30A0"/>
    <w:rsid w:val="16DC542B"/>
    <w:rsid w:val="16EA2C3C"/>
    <w:rsid w:val="16F868F9"/>
    <w:rsid w:val="1700554D"/>
    <w:rsid w:val="17105E81"/>
    <w:rsid w:val="17127A9D"/>
    <w:rsid w:val="17166F90"/>
    <w:rsid w:val="17190FE7"/>
    <w:rsid w:val="171A1BA3"/>
    <w:rsid w:val="172530FB"/>
    <w:rsid w:val="172A0C0A"/>
    <w:rsid w:val="173C0B7E"/>
    <w:rsid w:val="173F4189"/>
    <w:rsid w:val="17467F5F"/>
    <w:rsid w:val="175A280A"/>
    <w:rsid w:val="1763539A"/>
    <w:rsid w:val="176459FF"/>
    <w:rsid w:val="17674277"/>
    <w:rsid w:val="17683C86"/>
    <w:rsid w:val="177C06A1"/>
    <w:rsid w:val="17817C9C"/>
    <w:rsid w:val="17820008"/>
    <w:rsid w:val="178359E0"/>
    <w:rsid w:val="178F50D2"/>
    <w:rsid w:val="17992671"/>
    <w:rsid w:val="17A61F37"/>
    <w:rsid w:val="17A70DA0"/>
    <w:rsid w:val="17A92BC9"/>
    <w:rsid w:val="17B314DB"/>
    <w:rsid w:val="17B475A2"/>
    <w:rsid w:val="17BF643A"/>
    <w:rsid w:val="17C03D5D"/>
    <w:rsid w:val="17D60448"/>
    <w:rsid w:val="17E1502A"/>
    <w:rsid w:val="17E80039"/>
    <w:rsid w:val="17E930E1"/>
    <w:rsid w:val="17ED7F82"/>
    <w:rsid w:val="17EE06BD"/>
    <w:rsid w:val="17F51570"/>
    <w:rsid w:val="17FA2B39"/>
    <w:rsid w:val="17FD0685"/>
    <w:rsid w:val="17FD1FC2"/>
    <w:rsid w:val="180B0EB1"/>
    <w:rsid w:val="18120BF5"/>
    <w:rsid w:val="182428EF"/>
    <w:rsid w:val="1825240E"/>
    <w:rsid w:val="182F430B"/>
    <w:rsid w:val="184D72B6"/>
    <w:rsid w:val="184F2F7E"/>
    <w:rsid w:val="185813EB"/>
    <w:rsid w:val="186021E0"/>
    <w:rsid w:val="18646437"/>
    <w:rsid w:val="187C6635"/>
    <w:rsid w:val="18804057"/>
    <w:rsid w:val="18AA4173"/>
    <w:rsid w:val="18AC2D50"/>
    <w:rsid w:val="18AF58AF"/>
    <w:rsid w:val="18B15138"/>
    <w:rsid w:val="18BA50E8"/>
    <w:rsid w:val="18C20737"/>
    <w:rsid w:val="18C5721A"/>
    <w:rsid w:val="18CD116E"/>
    <w:rsid w:val="18D33467"/>
    <w:rsid w:val="18D420DB"/>
    <w:rsid w:val="18D8008F"/>
    <w:rsid w:val="18DE16D8"/>
    <w:rsid w:val="18E14DD8"/>
    <w:rsid w:val="18E72D58"/>
    <w:rsid w:val="18EE17AC"/>
    <w:rsid w:val="18EE7BBC"/>
    <w:rsid w:val="18F2485C"/>
    <w:rsid w:val="18F37482"/>
    <w:rsid w:val="18FB3BC5"/>
    <w:rsid w:val="19013A29"/>
    <w:rsid w:val="19087664"/>
    <w:rsid w:val="191143EC"/>
    <w:rsid w:val="191F54FE"/>
    <w:rsid w:val="191F6F80"/>
    <w:rsid w:val="192156B2"/>
    <w:rsid w:val="19282AAE"/>
    <w:rsid w:val="192C6603"/>
    <w:rsid w:val="192F19A4"/>
    <w:rsid w:val="19344C9B"/>
    <w:rsid w:val="19364D61"/>
    <w:rsid w:val="19477CF8"/>
    <w:rsid w:val="19486410"/>
    <w:rsid w:val="194A55AF"/>
    <w:rsid w:val="194B0BBE"/>
    <w:rsid w:val="194E7EC3"/>
    <w:rsid w:val="195216A2"/>
    <w:rsid w:val="195D52CC"/>
    <w:rsid w:val="196459DE"/>
    <w:rsid w:val="196A187F"/>
    <w:rsid w:val="196F78F8"/>
    <w:rsid w:val="197411BB"/>
    <w:rsid w:val="19753288"/>
    <w:rsid w:val="1982615C"/>
    <w:rsid w:val="19856782"/>
    <w:rsid w:val="19872678"/>
    <w:rsid w:val="198C3AC6"/>
    <w:rsid w:val="198E05C1"/>
    <w:rsid w:val="198E6FF8"/>
    <w:rsid w:val="198F5508"/>
    <w:rsid w:val="19990C26"/>
    <w:rsid w:val="199D47BB"/>
    <w:rsid w:val="19A05ECC"/>
    <w:rsid w:val="19A67919"/>
    <w:rsid w:val="19B24884"/>
    <w:rsid w:val="19BD0587"/>
    <w:rsid w:val="19BF3108"/>
    <w:rsid w:val="19CA1C69"/>
    <w:rsid w:val="19D22DC0"/>
    <w:rsid w:val="19EF646F"/>
    <w:rsid w:val="19FA30BF"/>
    <w:rsid w:val="19FE5308"/>
    <w:rsid w:val="1A006CCE"/>
    <w:rsid w:val="1A015E9B"/>
    <w:rsid w:val="1A0921E9"/>
    <w:rsid w:val="1A262D44"/>
    <w:rsid w:val="1A264211"/>
    <w:rsid w:val="1A2D1E62"/>
    <w:rsid w:val="1A3366A8"/>
    <w:rsid w:val="1A3D66BB"/>
    <w:rsid w:val="1A426D0B"/>
    <w:rsid w:val="1A510A62"/>
    <w:rsid w:val="1A590786"/>
    <w:rsid w:val="1A597F13"/>
    <w:rsid w:val="1A6859F9"/>
    <w:rsid w:val="1A71387E"/>
    <w:rsid w:val="1A814767"/>
    <w:rsid w:val="1A902A17"/>
    <w:rsid w:val="1A9C4DC8"/>
    <w:rsid w:val="1A9E40AD"/>
    <w:rsid w:val="1AA4522D"/>
    <w:rsid w:val="1AA81C47"/>
    <w:rsid w:val="1AAF6AE9"/>
    <w:rsid w:val="1AB03C46"/>
    <w:rsid w:val="1AB14890"/>
    <w:rsid w:val="1AB5130C"/>
    <w:rsid w:val="1AB836DA"/>
    <w:rsid w:val="1AC00126"/>
    <w:rsid w:val="1ACB5A9E"/>
    <w:rsid w:val="1ACE112D"/>
    <w:rsid w:val="1AD31267"/>
    <w:rsid w:val="1ADB27FE"/>
    <w:rsid w:val="1AE05AF2"/>
    <w:rsid w:val="1AF0651E"/>
    <w:rsid w:val="1AFC6237"/>
    <w:rsid w:val="1AFF6481"/>
    <w:rsid w:val="1B0177CB"/>
    <w:rsid w:val="1B0F271B"/>
    <w:rsid w:val="1B180FAF"/>
    <w:rsid w:val="1B1A4E97"/>
    <w:rsid w:val="1B1B1285"/>
    <w:rsid w:val="1B225CEF"/>
    <w:rsid w:val="1B2A1C2F"/>
    <w:rsid w:val="1B2F5F56"/>
    <w:rsid w:val="1B3520C5"/>
    <w:rsid w:val="1B427B60"/>
    <w:rsid w:val="1B690FED"/>
    <w:rsid w:val="1B7A2358"/>
    <w:rsid w:val="1B7B0A21"/>
    <w:rsid w:val="1B801C16"/>
    <w:rsid w:val="1B8275D2"/>
    <w:rsid w:val="1B831AFB"/>
    <w:rsid w:val="1B845BB5"/>
    <w:rsid w:val="1B886580"/>
    <w:rsid w:val="1B996755"/>
    <w:rsid w:val="1BB94E35"/>
    <w:rsid w:val="1BC20135"/>
    <w:rsid w:val="1BD263B0"/>
    <w:rsid w:val="1BE345CE"/>
    <w:rsid w:val="1BE35C8B"/>
    <w:rsid w:val="1C1033AD"/>
    <w:rsid w:val="1C1C53BC"/>
    <w:rsid w:val="1C1F1D1A"/>
    <w:rsid w:val="1C1F70DE"/>
    <w:rsid w:val="1C355EE4"/>
    <w:rsid w:val="1C3731AD"/>
    <w:rsid w:val="1C4344B4"/>
    <w:rsid w:val="1C4C097E"/>
    <w:rsid w:val="1C5A0585"/>
    <w:rsid w:val="1C5A0B9B"/>
    <w:rsid w:val="1C5E0C53"/>
    <w:rsid w:val="1C60672D"/>
    <w:rsid w:val="1C632440"/>
    <w:rsid w:val="1C6F03B1"/>
    <w:rsid w:val="1C7B6CD6"/>
    <w:rsid w:val="1C8D52FF"/>
    <w:rsid w:val="1C8F4610"/>
    <w:rsid w:val="1C8F6661"/>
    <w:rsid w:val="1CA111B9"/>
    <w:rsid w:val="1CA41F37"/>
    <w:rsid w:val="1CAB4EC8"/>
    <w:rsid w:val="1CAE780D"/>
    <w:rsid w:val="1CB232F2"/>
    <w:rsid w:val="1CC41C62"/>
    <w:rsid w:val="1CC518A6"/>
    <w:rsid w:val="1CC759F6"/>
    <w:rsid w:val="1CCC6940"/>
    <w:rsid w:val="1CD6594E"/>
    <w:rsid w:val="1CE4706D"/>
    <w:rsid w:val="1CF56BD2"/>
    <w:rsid w:val="1CF97D1E"/>
    <w:rsid w:val="1D065B8C"/>
    <w:rsid w:val="1D0970D6"/>
    <w:rsid w:val="1D0B1070"/>
    <w:rsid w:val="1D1965A4"/>
    <w:rsid w:val="1D27145F"/>
    <w:rsid w:val="1D2E0A55"/>
    <w:rsid w:val="1D422115"/>
    <w:rsid w:val="1D464625"/>
    <w:rsid w:val="1D47747B"/>
    <w:rsid w:val="1D4B6A4B"/>
    <w:rsid w:val="1D4E6FA4"/>
    <w:rsid w:val="1D5122A4"/>
    <w:rsid w:val="1D5634DC"/>
    <w:rsid w:val="1D6D3443"/>
    <w:rsid w:val="1D8305AB"/>
    <w:rsid w:val="1D9F288B"/>
    <w:rsid w:val="1DA26542"/>
    <w:rsid w:val="1DA30E67"/>
    <w:rsid w:val="1DA63C41"/>
    <w:rsid w:val="1DAB2B42"/>
    <w:rsid w:val="1DAB47A7"/>
    <w:rsid w:val="1DB15A45"/>
    <w:rsid w:val="1DC134A4"/>
    <w:rsid w:val="1DCD3797"/>
    <w:rsid w:val="1DD31A46"/>
    <w:rsid w:val="1DD33620"/>
    <w:rsid w:val="1DDA6961"/>
    <w:rsid w:val="1DE32476"/>
    <w:rsid w:val="1DE35A18"/>
    <w:rsid w:val="1DEB6602"/>
    <w:rsid w:val="1DF14DF6"/>
    <w:rsid w:val="1DF61E2C"/>
    <w:rsid w:val="1DFC1E79"/>
    <w:rsid w:val="1E060E87"/>
    <w:rsid w:val="1E1D1614"/>
    <w:rsid w:val="1E1F1DAE"/>
    <w:rsid w:val="1E266BA9"/>
    <w:rsid w:val="1E280617"/>
    <w:rsid w:val="1E2D4B53"/>
    <w:rsid w:val="1E2F3501"/>
    <w:rsid w:val="1E301214"/>
    <w:rsid w:val="1E387BCA"/>
    <w:rsid w:val="1E3B6F1B"/>
    <w:rsid w:val="1E3F5C14"/>
    <w:rsid w:val="1E4B6984"/>
    <w:rsid w:val="1E4E120D"/>
    <w:rsid w:val="1E50489C"/>
    <w:rsid w:val="1E574C6C"/>
    <w:rsid w:val="1E584E3E"/>
    <w:rsid w:val="1E616E88"/>
    <w:rsid w:val="1E630DCC"/>
    <w:rsid w:val="1E676CAD"/>
    <w:rsid w:val="1E6A19B8"/>
    <w:rsid w:val="1E6D3566"/>
    <w:rsid w:val="1E704381"/>
    <w:rsid w:val="1E865799"/>
    <w:rsid w:val="1E924D40"/>
    <w:rsid w:val="1E9A65BB"/>
    <w:rsid w:val="1E9B764F"/>
    <w:rsid w:val="1EA70E0F"/>
    <w:rsid w:val="1EA93706"/>
    <w:rsid w:val="1EBB56C3"/>
    <w:rsid w:val="1ECB5646"/>
    <w:rsid w:val="1ECF1F69"/>
    <w:rsid w:val="1ED073D7"/>
    <w:rsid w:val="1ED71E91"/>
    <w:rsid w:val="1EDA76B3"/>
    <w:rsid w:val="1EDB2308"/>
    <w:rsid w:val="1EED4F06"/>
    <w:rsid w:val="1EEF6C9A"/>
    <w:rsid w:val="1EFE734C"/>
    <w:rsid w:val="1F033C03"/>
    <w:rsid w:val="1F1932A3"/>
    <w:rsid w:val="1F284A14"/>
    <w:rsid w:val="1F2E0FB0"/>
    <w:rsid w:val="1F2F1E8B"/>
    <w:rsid w:val="1F36192F"/>
    <w:rsid w:val="1F3A4CA0"/>
    <w:rsid w:val="1F3B7A72"/>
    <w:rsid w:val="1F511FAF"/>
    <w:rsid w:val="1F5723DD"/>
    <w:rsid w:val="1F5A57B1"/>
    <w:rsid w:val="1F5B3695"/>
    <w:rsid w:val="1F611253"/>
    <w:rsid w:val="1F8D1731"/>
    <w:rsid w:val="1F90037A"/>
    <w:rsid w:val="1F9833B5"/>
    <w:rsid w:val="1F9F2CE6"/>
    <w:rsid w:val="1FB0457C"/>
    <w:rsid w:val="1FB76D28"/>
    <w:rsid w:val="1FC060E3"/>
    <w:rsid w:val="1FCD04EF"/>
    <w:rsid w:val="1FD11AE9"/>
    <w:rsid w:val="1FD94BEF"/>
    <w:rsid w:val="1FDF3DFD"/>
    <w:rsid w:val="1FE11AB4"/>
    <w:rsid w:val="1FE4367B"/>
    <w:rsid w:val="1FEF1226"/>
    <w:rsid w:val="1FF10C4E"/>
    <w:rsid w:val="1FF75494"/>
    <w:rsid w:val="1FF86132"/>
    <w:rsid w:val="1FFC2EB0"/>
    <w:rsid w:val="1FFC341B"/>
    <w:rsid w:val="20085573"/>
    <w:rsid w:val="200B777F"/>
    <w:rsid w:val="200C3A92"/>
    <w:rsid w:val="200C7D10"/>
    <w:rsid w:val="2010512F"/>
    <w:rsid w:val="20164252"/>
    <w:rsid w:val="20192079"/>
    <w:rsid w:val="20195FC7"/>
    <w:rsid w:val="20271A98"/>
    <w:rsid w:val="203172E4"/>
    <w:rsid w:val="20347628"/>
    <w:rsid w:val="20420F28"/>
    <w:rsid w:val="204E02DA"/>
    <w:rsid w:val="2053396B"/>
    <w:rsid w:val="205378A3"/>
    <w:rsid w:val="20575D79"/>
    <w:rsid w:val="2058392A"/>
    <w:rsid w:val="20673B3B"/>
    <w:rsid w:val="206A64C1"/>
    <w:rsid w:val="206B1A3C"/>
    <w:rsid w:val="2079723D"/>
    <w:rsid w:val="207E2066"/>
    <w:rsid w:val="208B6E3D"/>
    <w:rsid w:val="20946984"/>
    <w:rsid w:val="209A4976"/>
    <w:rsid w:val="209A5253"/>
    <w:rsid w:val="20A030D5"/>
    <w:rsid w:val="20A23A81"/>
    <w:rsid w:val="20A8333E"/>
    <w:rsid w:val="20AC0ED0"/>
    <w:rsid w:val="20BA4FB9"/>
    <w:rsid w:val="20C45E2F"/>
    <w:rsid w:val="20D0159A"/>
    <w:rsid w:val="20D5516D"/>
    <w:rsid w:val="20D858B3"/>
    <w:rsid w:val="20E706CB"/>
    <w:rsid w:val="20ED108F"/>
    <w:rsid w:val="20ED5926"/>
    <w:rsid w:val="20F03026"/>
    <w:rsid w:val="20F15104"/>
    <w:rsid w:val="210242C0"/>
    <w:rsid w:val="210B45BA"/>
    <w:rsid w:val="210D285C"/>
    <w:rsid w:val="211065B2"/>
    <w:rsid w:val="21240FBA"/>
    <w:rsid w:val="213B54A9"/>
    <w:rsid w:val="213D6DB6"/>
    <w:rsid w:val="2143380B"/>
    <w:rsid w:val="215A13D0"/>
    <w:rsid w:val="216A30AB"/>
    <w:rsid w:val="21716F14"/>
    <w:rsid w:val="217C4EEB"/>
    <w:rsid w:val="218467B7"/>
    <w:rsid w:val="2185278B"/>
    <w:rsid w:val="21936D21"/>
    <w:rsid w:val="219A4F16"/>
    <w:rsid w:val="219C5A53"/>
    <w:rsid w:val="219E7E30"/>
    <w:rsid w:val="21A55F99"/>
    <w:rsid w:val="21AF1913"/>
    <w:rsid w:val="21B674F4"/>
    <w:rsid w:val="21E44B4D"/>
    <w:rsid w:val="21EC1DD0"/>
    <w:rsid w:val="21ED7A4D"/>
    <w:rsid w:val="21FF78D8"/>
    <w:rsid w:val="221B67C5"/>
    <w:rsid w:val="2228728F"/>
    <w:rsid w:val="222D23AF"/>
    <w:rsid w:val="22353524"/>
    <w:rsid w:val="22401962"/>
    <w:rsid w:val="22443D4E"/>
    <w:rsid w:val="224B12E5"/>
    <w:rsid w:val="224C7E49"/>
    <w:rsid w:val="225545BD"/>
    <w:rsid w:val="226B3B4F"/>
    <w:rsid w:val="22710DA2"/>
    <w:rsid w:val="2272550F"/>
    <w:rsid w:val="227E411C"/>
    <w:rsid w:val="2284549C"/>
    <w:rsid w:val="228F5DF5"/>
    <w:rsid w:val="22901C90"/>
    <w:rsid w:val="22A228CF"/>
    <w:rsid w:val="22B75384"/>
    <w:rsid w:val="22BB77DD"/>
    <w:rsid w:val="22BD226C"/>
    <w:rsid w:val="22C11A1D"/>
    <w:rsid w:val="22D66963"/>
    <w:rsid w:val="22D7374C"/>
    <w:rsid w:val="22EF37DD"/>
    <w:rsid w:val="22F623E9"/>
    <w:rsid w:val="23007EFB"/>
    <w:rsid w:val="23102BB6"/>
    <w:rsid w:val="231C3C1C"/>
    <w:rsid w:val="23296944"/>
    <w:rsid w:val="233B0348"/>
    <w:rsid w:val="233F1666"/>
    <w:rsid w:val="23490CCB"/>
    <w:rsid w:val="234E7106"/>
    <w:rsid w:val="2354679D"/>
    <w:rsid w:val="23595709"/>
    <w:rsid w:val="235A29B5"/>
    <w:rsid w:val="23641F9E"/>
    <w:rsid w:val="2366233A"/>
    <w:rsid w:val="23681A37"/>
    <w:rsid w:val="236C7D8F"/>
    <w:rsid w:val="236F1D8B"/>
    <w:rsid w:val="237F723B"/>
    <w:rsid w:val="23823228"/>
    <w:rsid w:val="23971D6E"/>
    <w:rsid w:val="239F4C92"/>
    <w:rsid w:val="23A82888"/>
    <w:rsid w:val="23AA330F"/>
    <w:rsid w:val="23B34D1A"/>
    <w:rsid w:val="23BE7DA7"/>
    <w:rsid w:val="23C00B44"/>
    <w:rsid w:val="23C310BA"/>
    <w:rsid w:val="23C87CDC"/>
    <w:rsid w:val="23CE05F8"/>
    <w:rsid w:val="23D95F43"/>
    <w:rsid w:val="23DF10F8"/>
    <w:rsid w:val="23E5744E"/>
    <w:rsid w:val="23EF72EF"/>
    <w:rsid w:val="23F96F5C"/>
    <w:rsid w:val="23FF234F"/>
    <w:rsid w:val="24093589"/>
    <w:rsid w:val="24124666"/>
    <w:rsid w:val="241D633A"/>
    <w:rsid w:val="242431B3"/>
    <w:rsid w:val="242547B5"/>
    <w:rsid w:val="243404DC"/>
    <w:rsid w:val="2445238B"/>
    <w:rsid w:val="2446553F"/>
    <w:rsid w:val="24493CD5"/>
    <w:rsid w:val="244C3BC0"/>
    <w:rsid w:val="244C7ED7"/>
    <w:rsid w:val="244E1721"/>
    <w:rsid w:val="24595AAA"/>
    <w:rsid w:val="24830E79"/>
    <w:rsid w:val="248C5EA6"/>
    <w:rsid w:val="249D29A7"/>
    <w:rsid w:val="24A20FA8"/>
    <w:rsid w:val="24AB2191"/>
    <w:rsid w:val="24B449B3"/>
    <w:rsid w:val="24B55E6E"/>
    <w:rsid w:val="24C45478"/>
    <w:rsid w:val="24CB032D"/>
    <w:rsid w:val="24CD7EDE"/>
    <w:rsid w:val="24CE1D43"/>
    <w:rsid w:val="24DB43E6"/>
    <w:rsid w:val="24E25926"/>
    <w:rsid w:val="24EA5D9A"/>
    <w:rsid w:val="24EF3892"/>
    <w:rsid w:val="24F7030B"/>
    <w:rsid w:val="24FD6C1F"/>
    <w:rsid w:val="25054CDA"/>
    <w:rsid w:val="25104EBE"/>
    <w:rsid w:val="251449DE"/>
    <w:rsid w:val="25167C88"/>
    <w:rsid w:val="251C38FC"/>
    <w:rsid w:val="252633E9"/>
    <w:rsid w:val="252A4187"/>
    <w:rsid w:val="2532468C"/>
    <w:rsid w:val="254867A3"/>
    <w:rsid w:val="254B3671"/>
    <w:rsid w:val="25542532"/>
    <w:rsid w:val="255B77AA"/>
    <w:rsid w:val="256A5054"/>
    <w:rsid w:val="256B020E"/>
    <w:rsid w:val="256C77D9"/>
    <w:rsid w:val="25716194"/>
    <w:rsid w:val="25773242"/>
    <w:rsid w:val="25792313"/>
    <w:rsid w:val="2580039F"/>
    <w:rsid w:val="258543DD"/>
    <w:rsid w:val="25885008"/>
    <w:rsid w:val="258C24A9"/>
    <w:rsid w:val="2592565C"/>
    <w:rsid w:val="25A440F9"/>
    <w:rsid w:val="25B16581"/>
    <w:rsid w:val="25BB1998"/>
    <w:rsid w:val="25D94C0F"/>
    <w:rsid w:val="25E3123F"/>
    <w:rsid w:val="25E43C89"/>
    <w:rsid w:val="25E830CA"/>
    <w:rsid w:val="260601D5"/>
    <w:rsid w:val="261360D8"/>
    <w:rsid w:val="2615431B"/>
    <w:rsid w:val="26175E08"/>
    <w:rsid w:val="261A6E94"/>
    <w:rsid w:val="26200E2E"/>
    <w:rsid w:val="26246184"/>
    <w:rsid w:val="262847AC"/>
    <w:rsid w:val="262C4DAE"/>
    <w:rsid w:val="26302EAF"/>
    <w:rsid w:val="26330BFB"/>
    <w:rsid w:val="263765E6"/>
    <w:rsid w:val="264129B3"/>
    <w:rsid w:val="2642556F"/>
    <w:rsid w:val="264A4303"/>
    <w:rsid w:val="264C5491"/>
    <w:rsid w:val="264D1A84"/>
    <w:rsid w:val="264E3050"/>
    <w:rsid w:val="265E14C8"/>
    <w:rsid w:val="26625CE7"/>
    <w:rsid w:val="266A5343"/>
    <w:rsid w:val="266B78BA"/>
    <w:rsid w:val="2672577F"/>
    <w:rsid w:val="26771A06"/>
    <w:rsid w:val="26835E5B"/>
    <w:rsid w:val="26A37A3C"/>
    <w:rsid w:val="26A77ABE"/>
    <w:rsid w:val="26AF332B"/>
    <w:rsid w:val="26B10B23"/>
    <w:rsid w:val="26B31A7A"/>
    <w:rsid w:val="26C744DF"/>
    <w:rsid w:val="26CE5BF4"/>
    <w:rsid w:val="26D03825"/>
    <w:rsid w:val="26D9571E"/>
    <w:rsid w:val="26E1123A"/>
    <w:rsid w:val="26E75CB9"/>
    <w:rsid w:val="26E76755"/>
    <w:rsid w:val="26E86F9B"/>
    <w:rsid w:val="26EB0BA8"/>
    <w:rsid w:val="26EE1C8D"/>
    <w:rsid w:val="26F97187"/>
    <w:rsid w:val="26FB4DD2"/>
    <w:rsid w:val="26FC6DD6"/>
    <w:rsid w:val="2701699A"/>
    <w:rsid w:val="270A368F"/>
    <w:rsid w:val="270C3D7E"/>
    <w:rsid w:val="27143CCA"/>
    <w:rsid w:val="271554DB"/>
    <w:rsid w:val="272510C2"/>
    <w:rsid w:val="27283B1A"/>
    <w:rsid w:val="27303F1A"/>
    <w:rsid w:val="273E0C67"/>
    <w:rsid w:val="274912B9"/>
    <w:rsid w:val="274D51C4"/>
    <w:rsid w:val="275723D5"/>
    <w:rsid w:val="275C63B6"/>
    <w:rsid w:val="27604480"/>
    <w:rsid w:val="27763C4B"/>
    <w:rsid w:val="278421D2"/>
    <w:rsid w:val="278710B4"/>
    <w:rsid w:val="2788443C"/>
    <w:rsid w:val="27931EF9"/>
    <w:rsid w:val="27A83BE4"/>
    <w:rsid w:val="27B07641"/>
    <w:rsid w:val="27B22A72"/>
    <w:rsid w:val="27BB5C5D"/>
    <w:rsid w:val="27BB77CF"/>
    <w:rsid w:val="27BD0CBE"/>
    <w:rsid w:val="27C947A9"/>
    <w:rsid w:val="27CE157A"/>
    <w:rsid w:val="27D826A6"/>
    <w:rsid w:val="27E048AC"/>
    <w:rsid w:val="27E06B2B"/>
    <w:rsid w:val="27E8618B"/>
    <w:rsid w:val="27F14D8A"/>
    <w:rsid w:val="27F34399"/>
    <w:rsid w:val="27F749D3"/>
    <w:rsid w:val="27F755A7"/>
    <w:rsid w:val="27FE4CB0"/>
    <w:rsid w:val="27FE6FF2"/>
    <w:rsid w:val="28043A5C"/>
    <w:rsid w:val="28091506"/>
    <w:rsid w:val="28101F0D"/>
    <w:rsid w:val="28155CF9"/>
    <w:rsid w:val="281B471E"/>
    <w:rsid w:val="28386281"/>
    <w:rsid w:val="283D53C2"/>
    <w:rsid w:val="283F37BE"/>
    <w:rsid w:val="28526DE1"/>
    <w:rsid w:val="28550C1A"/>
    <w:rsid w:val="28557209"/>
    <w:rsid w:val="28565510"/>
    <w:rsid w:val="28651F1E"/>
    <w:rsid w:val="286A0D6F"/>
    <w:rsid w:val="287166B0"/>
    <w:rsid w:val="287B480F"/>
    <w:rsid w:val="287C4344"/>
    <w:rsid w:val="287D5389"/>
    <w:rsid w:val="288977A4"/>
    <w:rsid w:val="289051B3"/>
    <w:rsid w:val="28905257"/>
    <w:rsid w:val="2891228B"/>
    <w:rsid w:val="28970533"/>
    <w:rsid w:val="289E4CD3"/>
    <w:rsid w:val="28BB36A5"/>
    <w:rsid w:val="28C43CB9"/>
    <w:rsid w:val="28D561DA"/>
    <w:rsid w:val="28F227FC"/>
    <w:rsid w:val="28F2555A"/>
    <w:rsid w:val="290A685E"/>
    <w:rsid w:val="29106A8F"/>
    <w:rsid w:val="291D2C0F"/>
    <w:rsid w:val="291E183D"/>
    <w:rsid w:val="29251F9A"/>
    <w:rsid w:val="292B4735"/>
    <w:rsid w:val="292E0C2E"/>
    <w:rsid w:val="29305A21"/>
    <w:rsid w:val="29343051"/>
    <w:rsid w:val="293D1187"/>
    <w:rsid w:val="29412C94"/>
    <w:rsid w:val="294E60BF"/>
    <w:rsid w:val="29560964"/>
    <w:rsid w:val="295E1803"/>
    <w:rsid w:val="295F3C8C"/>
    <w:rsid w:val="296B0657"/>
    <w:rsid w:val="296D4DB0"/>
    <w:rsid w:val="29795FA1"/>
    <w:rsid w:val="297A7CA6"/>
    <w:rsid w:val="298009BF"/>
    <w:rsid w:val="29861AF3"/>
    <w:rsid w:val="298769C3"/>
    <w:rsid w:val="298F753B"/>
    <w:rsid w:val="29986766"/>
    <w:rsid w:val="299C67A8"/>
    <w:rsid w:val="29A55FFE"/>
    <w:rsid w:val="29A56DD0"/>
    <w:rsid w:val="29A71637"/>
    <w:rsid w:val="29AB38D7"/>
    <w:rsid w:val="29B075AA"/>
    <w:rsid w:val="29B14048"/>
    <w:rsid w:val="29BE5E63"/>
    <w:rsid w:val="29D00413"/>
    <w:rsid w:val="29D4784F"/>
    <w:rsid w:val="29D60DFE"/>
    <w:rsid w:val="29D61FBE"/>
    <w:rsid w:val="29E35F79"/>
    <w:rsid w:val="29E52525"/>
    <w:rsid w:val="29F06E35"/>
    <w:rsid w:val="29F81EB7"/>
    <w:rsid w:val="2A005637"/>
    <w:rsid w:val="2A015BE0"/>
    <w:rsid w:val="2A04412C"/>
    <w:rsid w:val="2A086C35"/>
    <w:rsid w:val="2A124029"/>
    <w:rsid w:val="2A336CA5"/>
    <w:rsid w:val="2A4C5D6E"/>
    <w:rsid w:val="2A4E4BD3"/>
    <w:rsid w:val="2A4E53CB"/>
    <w:rsid w:val="2A532E21"/>
    <w:rsid w:val="2A6670C2"/>
    <w:rsid w:val="2A6B7184"/>
    <w:rsid w:val="2A727438"/>
    <w:rsid w:val="2A734B87"/>
    <w:rsid w:val="2A770D4A"/>
    <w:rsid w:val="2A7B33E8"/>
    <w:rsid w:val="2A7E0FF5"/>
    <w:rsid w:val="2A945A6C"/>
    <w:rsid w:val="2A9B02E6"/>
    <w:rsid w:val="2AA61D8D"/>
    <w:rsid w:val="2AAA6656"/>
    <w:rsid w:val="2AAE12D0"/>
    <w:rsid w:val="2AB1185A"/>
    <w:rsid w:val="2AB76A2C"/>
    <w:rsid w:val="2ABA68BF"/>
    <w:rsid w:val="2AD5557E"/>
    <w:rsid w:val="2AE3438B"/>
    <w:rsid w:val="2AFE1015"/>
    <w:rsid w:val="2AFE2AAA"/>
    <w:rsid w:val="2B006233"/>
    <w:rsid w:val="2B007D53"/>
    <w:rsid w:val="2B0653E9"/>
    <w:rsid w:val="2B1437D7"/>
    <w:rsid w:val="2B26355D"/>
    <w:rsid w:val="2B274653"/>
    <w:rsid w:val="2B295162"/>
    <w:rsid w:val="2B3922DB"/>
    <w:rsid w:val="2B4275C4"/>
    <w:rsid w:val="2B5E554F"/>
    <w:rsid w:val="2B637DC7"/>
    <w:rsid w:val="2B64623C"/>
    <w:rsid w:val="2B6972EF"/>
    <w:rsid w:val="2B736B03"/>
    <w:rsid w:val="2B7C280B"/>
    <w:rsid w:val="2B7D55BB"/>
    <w:rsid w:val="2B8129C5"/>
    <w:rsid w:val="2B8769EC"/>
    <w:rsid w:val="2B876BDA"/>
    <w:rsid w:val="2B8B1F8D"/>
    <w:rsid w:val="2B8C098B"/>
    <w:rsid w:val="2B8D0EF9"/>
    <w:rsid w:val="2B9577F6"/>
    <w:rsid w:val="2BA205EA"/>
    <w:rsid w:val="2BAA61AE"/>
    <w:rsid w:val="2BAB688E"/>
    <w:rsid w:val="2BAF365F"/>
    <w:rsid w:val="2BC571C6"/>
    <w:rsid w:val="2BE3601E"/>
    <w:rsid w:val="2BE365CF"/>
    <w:rsid w:val="2BE65088"/>
    <w:rsid w:val="2BE9283C"/>
    <w:rsid w:val="2BEE7586"/>
    <w:rsid w:val="2BF94399"/>
    <w:rsid w:val="2BFD27EF"/>
    <w:rsid w:val="2C014DEB"/>
    <w:rsid w:val="2C022313"/>
    <w:rsid w:val="2C070379"/>
    <w:rsid w:val="2C2614E9"/>
    <w:rsid w:val="2C3C488E"/>
    <w:rsid w:val="2C3E1F32"/>
    <w:rsid w:val="2C44606D"/>
    <w:rsid w:val="2C47762B"/>
    <w:rsid w:val="2C4B2EBD"/>
    <w:rsid w:val="2C5113A9"/>
    <w:rsid w:val="2C7222A9"/>
    <w:rsid w:val="2C735D08"/>
    <w:rsid w:val="2C7E3E17"/>
    <w:rsid w:val="2C9A3254"/>
    <w:rsid w:val="2C9C2CBD"/>
    <w:rsid w:val="2C9D5EBA"/>
    <w:rsid w:val="2C9F17B6"/>
    <w:rsid w:val="2CA9788A"/>
    <w:rsid w:val="2CBA2BE3"/>
    <w:rsid w:val="2CC94776"/>
    <w:rsid w:val="2CCD11A6"/>
    <w:rsid w:val="2CDB5F4D"/>
    <w:rsid w:val="2CDC4794"/>
    <w:rsid w:val="2CE26857"/>
    <w:rsid w:val="2CE3046C"/>
    <w:rsid w:val="2CED7AE7"/>
    <w:rsid w:val="2CEE3C98"/>
    <w:rsid w:val="2CF81310"/>
    <w:rsid w:val="2D101F45"/>
    <w:rsid w:val="2D1B317C"/>
    <w:rsid w:val="2D1E121B"/>
    <w:rsid w:val="2D25107F"/>
    <w:rsid w:val="2D252AC0"/>
    <w:rsid w:val="2D266659"/>
    <w:rsid w:val="2D3A0B23"/>
    <w:rsid w:val="2D4776FA"/>
    <w:rsid w:val="2D5331C0"/>
    <w:rsid w:val="2D56469E"/>
    <w:rsid w:val="2D6927B6"/>
    <w:rsid w:val="2D6A31B4"/>
    <w:rsid w:val="2D785D50"/>
    <w:rsid w:val="2D7A4F1E"/>
    <w:rsid w:val="2D7B6CFD"/>
    <w:rsid w:val="2D7D1D4D"/>
    <w:rsid w:val="2D894414"/>
    <w:rsid w:val="2D8F3DB4"/>
    <w:rsid w:val="2D901EC9"/>
    <w:rsid w:val="2D9E4D86"/>
    <w:rsid w:val="2DA945E9"/>
    <w:rsid w:val="2DB131AA"/>
    <w:rsid w:val="2DB55E9B"/>
    <w:rsid w:val="2DBC2418"/>
    <w:rsid w:val="2DBF1616"/>
    <w:rsid w:val="2DC417DB"/>
    <w:rsid w:val="2DD566F9"/>
    <w:rsid w:val="2DE51A33"/>
    <w:rsid w:val="2DE76980"/>
    <w:rsid w:val="2DEB5F76"/>
    <w:rsid w:val="2DEC7313"/>
    <w:rsid w:val="2DF64890"/>
    <w:rsid w:val="2DFF4D11"/>
    <w:rsid w:val="2E1A02AC"/>
    <w:rsid w:val="2E2640CE"/>
    <w:rsid w:val="2E266230"/>
    <w:rsid w:val="2E2E65DC"/>
    <w:rsid w:val="2E3621EF"/>
    <w:rsid w:val="2E380C88"/>
    <w:rsid w:val="2E3F7E57"/>
    <w:rsid w:val="2E4110A1"/>
    <w:rsid w:val="2E531CAB"/>
    <w:rsid w:val="2E546F59"/>
    <w:rsid w:val="2E571AD5"/>
    <w:rsid w:val="2E5C478F"/>
    <w:rsid w:val="2E5D564A"/>
    <w:rsid w:val="2E5D6AB9"/>
    <w:rsid w:val="2E662C87"/>
    <w:rsid w:val="2E686A1B"/>
    <w:rsid w:val="2E6B00F8"/>
    <w:rsid w:val="2E7574BE"/>
    <w:rsid w:val="2E880EBE"/>
    <w:rsid w:val="2E8C7A38"/>
    <w:rsid w:val="2E9242E1"/>
    <w:rsid w:val="2E94757C"/>
    <w:rsid w:val="2E9F3EB4"/>
    <w:rsid w:val="2EA24B3C"/>
    <w:rsid w:val="2EB3221A"/>
    <w:rsid w:val="2EB53EF3"/>
    <w:rsid w:val="2EBD2B0A"/>
    <w:rsid w:val="2EC76F67"/>
    <w:rsid w:val="2ED061A0"/>
    <w:rsid w:val="2ED21DAB"/>
    <w:rsid w:val="2ED54721"/>
    <w:rsid w:val="2ED70B84"/>
    <w:rsid w:val="2ED82E34"/>
    <w:rsid w:val="2EDA471E"/>
    <w:rsid w:val="2EEA2589"/>
    <w:rsid w:val="2EEB13D5"/>
    <w:rsid w:val="2EF919E6"/>
    <w:rsid w:val="2EFF13FF"/>
    <w:rsid w:val="2F052BEA"/>
    <w:rsid w:val="2F0A0A33"/>
    <w:rsid w:val="2F101B0C"/>
    <w:rsid w:val="2F217CEE"/>
    <w:rsid w:val="2F2242FB"/>
    <w:rsid w:val="2F265F24"/>
    <w:rsid w:val="2F356C88"/>
    <w:rsid w:val="2F3C1703"/>
    <w:rsid w:val="2F3C26E1"/>
    <w:rsid w:val="2F441E65"/>
    <w:rsid w:val="2F4819E5"/>
    <w:rsid w:val="2F514D52"/>
    <w:rsid w:val="2F597360"/>
    <w:rsid w:val="2F5F17C8"/>
    <w:rsid w:val="2F724989"/>
    <w:rsid w:val="2F75004D"/>
    <w:rsid w:val="2F772581"/>
    <w:rsid w:val="2F776818"/>
    <w:rsid w:val="2F7A3622"/>
    <w:rsid w:val="2F7A43FC"/>
    <w:rsid w:val="2F821BB1"/>
    <w:rsid w:val="2F862792"/>
    <w:rsid w:val="2F8B752F"/>
    <w:rsid w:val="2F94012D"/>
    <w:rsid w:val="2F967A2A"/>
    <w:rsid w:val="2FA07180"/>
    <w:rsid w:val="2FA12744"/>
    <w:rsid w:val="2FAB24C5"/>
    <w:rsid w:val="2FAF4185"/>
    <w:rsid w:val="2FB40551"/>
    <w:rsid w:val="2FB54421"/>
    <w:rsid w:val="2FBF3E9F"/>
    <w:rsid w:val="2FC834DD"/>
    <w:rsid w:val="2FD131CC"/>
    <w:rsid w:val="2FD866F2"/>
    <w:rsid w:val="2FD96483"/>
    <w:rsid w:val="2FE05C05"/>
    <w:rsid w:val="2FEC2E2D"/>
    <w:rsid w:val="2FF02E84"/>
    <w:rsid w:val="3011349C"/>
    <w:rsid w:val="301E120C"/>
    <w:rsid w:val="30217744"/>
    <w:rsid w:val="30314791"/>
    <w:rsid w:val="30332FA4"/>
    <w:rsid w:val="30450073"/>
    <w:rsid w:val="304F4659"/>
    <w:rsid w:val="30513BF5"/>
    <w:rsid w:val="30524E38"/>
    <w:rsid w:val="3060649D"/>
    <w:rsid w:val="30691A9C"/>
    <w:rsid w:val="307E0976"/>
    <w:rsid w:val="307E143E"/>
    <w:rsid w:val="308D51A9"/>
    <w:rsid w:val="30927677"/>
    <w:rsid w:val="30AB3317"/>
    <w:rsid w:val="30AB3D72"/>
    <w:rsid w:val="30AE0EA9"/>
    <w:rsid w:val="30AE1E6D"/>
    <w:rsid w:val="30B26482"/>
    <w:rsid w:val="30B33151"/>
    <w:rsid w:val="30B5297A"/>
    <w:rsid w:val="30BF07EF"/>
    <w:rsid w:val="30ED75ED"/>
    <w:rsid w:val="30F66628"/>
    <w:rsid w:val="30FB2BD5"/>
    <w:rsid w:val="30FD6888"/>
    <w:rsid w:val="310C496D"/>
    <w:rsid w:val="311B66B2"/>
    <w:rsid w:val="312100EF"/>
    <w:rsid w:val="31285152"/>
    <w:rsid w:val="313B31F7"/>
    <w:rsid w:val="314E5EC6"/>
    <w:rsid w:val="31520DCE"/>
    <w:rsid w:val="31524B26"/>
    <w:rsid w:val="3152790A"/>
    <w:rsid w:val="31573967"/>
    <w:rsid w:val="315B5822"/>
    <w:rsid w:val="316326ED"/>
    <w:rsid w:val="316E0801"/>
    <w:rsid w:val="316F4B26"/>
    <w:rsid w:val="317679E1"/>
    <w:rsid w:val="31774535"/>
    <w:rsid w:val="31775401"/>
    <w:rsid w:val="31953E39"/>
    <w:rsid w:val="319A674B"/>
    <w:rsid w:val="31A85BA5"/>
    <w:rsid w:val="31C1681A"/>
    <w:rsid w:val="31CE70BB"/>
    <w:rsid w:val="31D247EF"/>
    <w:rsid w:val="31D6114F"/>
    <w:rsid w:val="31DF28F3"/>
    <w:rsid w:val="31EB335E"/>
    <w:rsid w:val="31F64DC9"/>
    <w:rsid w:val="31F76464"/>
    <w:rsid w:val="31FA7A8E"/>
    <w:rsid w:val="31FF1D93"/>
    <w:rsid w:val="32055882"/>
    <w:rsid w:val="32135AD2"/>
    <w:rsid w:val="321B1109"/>
    <w:rsid w:val="32210FF2"/>
    <w:rsid w:val="3226245E"/>
    <w:rsid w:val="322C13E5"/>
    <w:rsid w:val="324B357E"/>
    <w:rsid w:val="324E116D"/>
    <w:rsid w:val="325109B0"/>
    <w:rsid w:val="32525B6C"/>
    <w:rsid w:val="326472F4"/>
    <w:rsid w:val="32862586"/>
    <w:rsid w:val="329D1E96"/>
    <w:rsid w:val="32A74FD0"/>
    <w:rsid w:val="32AB271A"/>
    <w:rsid w:val="32B65CF9"/>
    <w:rsid w:val="32B90989"/>
    <w:rsid w:val="32BA5307"/>
    <w:rsid w:val="32C52AE6"/>
    <w:rsid w:val="32D02AE5"/>
    <w:rsid w:val="32D62B0F"/>
    <w:rsid w:val="32DB3743"/>
    <w:rsid w:val="32DB595F"/>
    <w:rsid w:val="32DC5F00"/>
    <w:rsid w:val="32E56E4D"/>
    <w:rsid w:val="32E60AD0"/>
    <w:rsid w:val="32EC2537"/>
    <w:rsid w:val="32F06357"/>
    <w:rsid w:val="32FF6D6A"/>
    <w:rsid w:val="33002CEC"/>
    <w:rsid w:val="330536F9"/>
    <w:rsid w:val="330B35AE"/>
    <w:rsid w:val="330F071C"/>
    <w:rsid w:val="331D1514"/>
    <w:rsid w:val="331E61FA"/>
    <w:rsid w:val="33245C4C"/>
    <w:rsid w:val="33282A03"/>
    <w:rsid w:val="333016AA"/>
    <w:rsid w:val="33395B0C"/>
    <w:rsid w:val="333E6372"/>
    <w:rsid w:val="334E5CCA"/>
    <w:rsid w:val="33560077"/>
    <w:rsid w:val="336B0C87"/>
    <w:rsid w:val="33724D77"/>
    <w:rsid w:val="33732364"/>
    <w:rsid w:val="33753EC0"/>
    <w:rsid w:val="338058BA"/>
    <w:rsid w:val="338A29DE"/>
    <w:rsid w:val="338C74DA"/>
    <w:rsid w:val="33954E29"/>
    <w:rsid w:val="33A117CD"/>
    <w:rsid w:val="33AB4B87"/>
    <w:rsid w:val="33B9115F"/>
    <w:rsid w:val="33BA6295"/>
    <w:rsid w:val="33E832A6"/>
    <w:rsid w:val="33F91807"/>
    <w:rsid w:val="33FF44AB"/>
    <w:rsid w:val="33FF748A"/>
    <w:rsid w:val="34034AD0"/>
    <w:rsid w:val="3408580C"/>
    <w:rsid w:val="340D72CE"/>
    <w:rsid w:val="34137D97"/>
    <w:rsid w:val="341C7E8B"/>
    <w:rsid w:val="341F7D3C"/>
    <w:rsid w:val="342D287D"/>
    <w:rsid w:val="34415AED"/>
    <w:rsid w:val="3445250A"/>
    <w:rsid w:val="344E2C31"/>
    <w:rsid w:val="34507FB4"/>
    <w:rsid w:val="34657DDE"/>
    <w:rsid w:val="346A68B5"/>
    <w:rsid w:val="347072BF"/>
    <w:rsid w:val="347F6D2F"/>
    <w:rsid w:val="34806CD6"/>
    <w:rsid w:val="34844F3C"/>
    <w:rsid w:val="34863EB8"/>
    <w:rsid w:val="34912D57"/>
    <w:rsid w:val="3491632B"/>
    <w:rsid w:val="349618B6"/>
    <w:rsid w:val="34B75F30"/>
    <w:rsid w:val="34BA63FB"/>
    <w:rsid w:val="34C20631"/>
    <w:rsid w:val="34C66C1E"/>
    <w:rsid w:val="34C9678D"/>
    <w:rsid w:val="34CB1C5E"/>
    <w:rsid w:val="34CE3DDB"/>
    <w:rsid w:val="34D54824"/>
    <w:rsid w:val="34D8168B"/>
    <w:rsid w:val="34DC7BB8"/>
    <w:rsid w:val="34DE6F0D"/>
    <w:rsid w:val="34E02761"/>
    <w:rsid w:val="34E87E13"/>
    <w:rsid w:val="34E97C37"/>
    <w:rsid w:val="34F606B5"/>
    <w:rsid w:val="34FD232F"/>
    <w:rsid w:val="3508023F"/>
    <w:rsid w:val="350B0F56"/>
    <w:rsid w:val="35111AC0"/>
    <w:rsid w:val="351B5156"/>
    <w:rsid w:val="351C67C2"/>
    <w:rsid w:val="351F4A47"/>
    <w:rsid w:val="353C5B82"/>
    <w:rsid w:val="355358A3"/>
    <w:rsid w:val="3562414B"/>
    <w:rsid w:val="35665AC1"/>
    <w:rsid w:val="357C2F4E"/>
    <w:rsid w:val="357F234A"/>
    <w:rsid w:val="358D7D0F"/>
    <w:rsid w:val="35941148"/>
    <w:rsid w:val="35A07009"/>
    <w:rsid w:val="35A37786"/>
    <w:rsid w:val="35A52A46"/>
    <w:rsid w:val="35A834D6"/>
    <w:rsid w:val="35B31DCE"/>
    <w:rsid w:val="35B3602B"/>
    <w:rsid w:val="35BA1EFD"/>
    <w:rsid w:val="35C57C48"/>
    <w:rsid w:val="35C709FB"/>
    <w:rsid w:val="35C80534"/>
    <w:rsid w:val="35CA6B6E"/>
    <w:rsid w:val="35CC2F85"/>
    <w:rsid w:val="35CF537D"/>
    <w:rsid w:val="35D75798"/>
    <w:rsid w:val="35DA557D"/>
    <w:rsid w:val="35E13004"/>
    <w:rsid w:val="35E16ECE"/>
    <w:rsid w:val="35EB796E"/>
    <w:rsid w:val="35EE154F"/>
    <w:rsid w:val="35F26553"/>
    <w:rsid w:val="35F57126"/>
    <w:rsid w:val="360038BF"/>
    <w:rsid w:val="36077A1F"/>
    <w:rsid w:val="360B7201"/>
    <w:rsid w:val="360F0162"/>
    <w:rsid w:val="361D4AEA"/>
    <w:rsid w:val="3620115F"/>
    <w:rsid w:val="36221430"/>
    <w:rsid w:val="362E19E3"/>
    <w:rsid w:val="36312C4D"/>
    <w:rsid w:val="363A3C4A"/>
    <w:rsid w:val="364404E3"/>
    <w:rsid w:val="3649686E"/>
    <w:rsid w:val="36590DED"/>
    <w:rsid w:val="365E1EB3"/>
    <w:rsid w:val="36651C8B"/>
    <w:rsid w:val="36824398"/>
    <w:rsid w:val="36851ECE"/>
    <w:rsid w:val="36863418"/>
    <w:rsid w:val="369544BA"/>
    <w:rsid w:val="369C2A08"/>
    <w:rsid w:val="36B61F28"/>
    <w:rsid w:val="36B630B8"/>
    <w:rsid w:val="36BE0769"/>
    <w:rsid w:val="36C162DF"/>
    <w:rsid w:val="36C93716"/>
    <w:rsid w:val="36D168F4"/>
    <w:rsid w:val="36D8765F"/>
    <w:rsid w:val="36DA07FA"/>
    <w:rsid w:val="36DD2995"/>
    <w:rsid w:val="36DE5495"/>
    <w:rsid w:val="36DF718F"/>
    <w:rsid w:val="36E43847"/>
    <w:rsid w:val="36E76F97"/>
    <w:rsid w:val="37046DBC"/>
    <w:rsid w:val="37161D59"/>
    <w:rsid w:val="37172E95"/>
    <w:rsid w:val="371E70F6"/>
    <w:rsid w:val="37227431"/>
    <w:rsid w:val="37326545"/>
    <w:rsid w:val="37335920"/>
    <w:rsid w:val="37393C29"/>
    <w:rsid w:val="37411FAD"/>
    <w:rsid w:val="374D64EA"/>
    <w:rsid w:val="37533F2F"/>
    <w:rsid w:val="37542A55"/>
    <w:rsid w:val="375C1913"/>
    <w:rsid w:val="376249FE"/>
    <w:rsid w:val="37700DF2"/>
    <w:rsid w:val="37876AE7"/>
    <w:rsid w:val="37A1727C"/>
    <w:rsid w:val="37A823C7"/>
    <w:rsid w:val="37AE722B"/>
    <w:rsid w:val="37AF5ED7"/>
    <w:rsid w:val="37C51B8C"/>
    <w:rsid w:val="37C54042"/>
    <w:rsid w:val="37CB58B3"/>
    <w:rsid w:val="37CD5F1B"/>
    <w:rsid w:val="37D41D65"/>
    <w:rsid w:val="37D569B0"/>
    <w:rsid w:val="37DF2C56"/>
    <w:rsid w:val="37E0350F"/>
    <w:rsid w:val="37E967A5"/>
    <w:rsid w:val="37EC220B"/>
    <w:rsid w:val="37FC642B"/>
    <w:rsid w:val="3803506C"/>
    <w:rsid w:val="38061516"/>
    <w:rsid w:val="380D5A99"/>
    <w:rsid w:val="381405EB"/>
    <w:rsid w:val="381C4F0D"/>
    <w:rsid w:val="382E2658"/>
    <w:rsid w:val="384A2578"/>
    <w:rsid w:val="38572856"/>
    <w:rsid w:val="385F72FE"/>
    <w:rsid w:val="38605B6B"/>
    <w:rsid w:val="386160F7"/>
    <w:rsid w:val="38821A97"/>
    <w:rsid w:val="3882788D"/>
    <w:rsid w:val="388E68F0"/>
    <w:rsid w:val="389173E2"/>
    <w:rsid w:val="38A55D64"/>
    <w:rsid w:val="38A757E7"/>
    <w:rsid w:val="38B80757"/>
    <w:rsid w:val="38BA619F"/>
    <w:rsid w:val="38BE1917"/>
    <w:rsid w:val="38BF45CB"/>
    <w:rsid w:val="38D36FD2"/>
    <w:rsid w:val="38E35036"/>
    <w:rsid w:val="38EA70D4"/>
    <w:rsid w:val="38F267D8"/>
    <w:rsid w:val="38F30216"/>
    <w:rsid w:val="38F40BFF"/>
    <w:rsid w:val="38F56383"/>
    <w:rsid w:val="38F81EE1"/>
    <w:rsid w:val="38FE3622"/>
    <w:rsid w:val="38FE66CE"/>
    <w:rsid w:val="390320A7"/>
    <w:rsid w:val="390913A2"/>
    <w:rsid w:val="39101AC2"/>
    <w:rsid w:val="391A268A"/>
    <w:rsid w:val="391A5A2E"/>
    <w:rsid w:val="391C5AD0"/>
    <w:rsid w:val="392A18B4"/>
    <w:rsid w:val="392E25C7"/>
    <w:rsid w:val="3932703A"/>
    <w:rsid w:val="39366498"/>
    <w:rsid w:val="39373A7F"/>
    <w:rsid w:val="39603F7D"/>
    <w:rsid w:val="396B75B4"/>
    <w:rsid w:val="39703B92"/>
    <w:rsid w:val="39756C54"/>
    <w:rsid w:val="39793068"/>
    <w:rsid w:val="39836B69"/>
    <w:rsid w:val="398A47E0"/>
    <w:rsid w:val="39916BAA"/>
    <w:rsid w:val="3995049D"/>
    <w:rsid w:val="39A00AB9"/>
    <w:rsid w:val="39AD7EC8"/>
    <w:rsid w:val="39B472CC"/>
    <w:rsid w:val="39B96C68"/>
    <w:rsid w:val="39BB4A11"/>
    <w:rsid w:val="39BF4E96"/>
    <w:rsid w:val="39C20389"/>
    <w:rsid w:val="39C84C79"/>
    <w:rsid w:val="39D06CBC"/>
    <w:rsid w:val="39D77A30"/>
    <w:rsid w:val="39D94E86"/>
    <w:rsid w:val="39E66876"/>
    <w:rsid w:val="39ED72D0"/>
    <w:rsid w:val="39EF03F5"/>
    <w:rsid w:val="3A064BCE"/>
    <w:rsid w:val="3A1041B9"/>
    <w:rsid w:val="3A1A6A29"/>
    <w:rsid w:val="3A244A4B"/>
    <w:rsid w:val="3A2B6BA4"/>
    <w:rsid w:val="3A3D0FEF"/>
    <w:rsid w:val="3A3E157C"/>
    <w:rsid w:val="3A55689D"/>
    <w:rsid w:val="3A5F76E0"/>
    <w:rsid w:val="3A621B02"/>
    <w:rsid w:val="3A621FFE"/>
    <w:rsid w:val="3A634FC5"/>
    <w:rsid w:val="3A654E18"/>
    <w:rsid w:val="3A6F2563"/>
    <w:rsid w:val="3A746859"/>
    <w:rsid w:val="3A751F6D"/>
    <w:rsid w:val="3A78218C"/>
    <w:rsid w:val="3A93660B"/>
    <w:rsid w:val="3A936EE8"/>
    <w:rsid w:val="3A963738"/>
    <w:rsid w:val="3AA21B0B"/>
    <w:rsid w:val="3AB01D3C"/>
    <w:rsid w:val="3AC968B1"/>
    <w:rsid w:val="3AD03BA3"/>
    <w:rsid w:val="3AD054F1"/>
    <w:rsid w:val="3ADA026A"/>
    <w:rsid w:val="3ADA610E"/>
    <w:rsid w:val="3AEC4E1A"/>
    <w:rsid w:val="3AF80975"/>
    <w:rsid w:val="3AFC036A"/>
    <w:rsid w:val="3B031C46"/>
    <w:rsid w:val="3B0374A9"/>
    <w:rsid w:val="3B0602DD"/>
    <w:rsid w:val="3B0E762F"/>
    <w:rsid w:val="3B175D5B"/>
    <w:rsid w:val="3B2634F6"/>
    <w:rsid w:val="3B2714BA"/>
    <w:rsid w:val="3B2A1551"/>
    <w:rsid w:val="3B3E2F1F"/>
    <w:rsid w:val="3B4A7705"/>
    <w:rsid w:val="3B4B531D"/>
    <w:rsid w:val="3B552FA5"/>
    <w:rsid w:val="3B5852CD"/>
    <w:rsid w:val="3B66071D"/>
    <w:rsid w:val="3B6C1B67"/>
    <w:rsid w:val="3B787DFA"/>
    <w:rsid w:val="3B803B51"/>
    <w:rsid w:val="3B954171"/>
    <w:rsid w:val="3BA63161"/>
    <w:rsid w:val="3BA67987"/>
    <w:rsid w:val="3BB0595C"/>
    <w:rsid w:val="3BB54502"/>
    <w:rsid w:val="3BBA56B5"/>
    <w:rsid w:val="3BD608B0"/>
    <w:rsid w:val="3BDB0635"/>
    <w:rsid w:val="3BE92C13"/>
    <w:rsid w:val="3BEA5822"/>
    <w:rsid w:val="3BEB5D08"/>
    <w:rsid w:val="3BEB7C82"/>
    <w:rsid w:val="3BED049B"/>
    <w:rsid w:val="3BEE6C23"/>
    <w:rsid w:val="3BF129E1"/>
    <w:rsid w:val="3BFF371F"/>
    <w:rsid w:val="3C004720"/>
    <w:rsid w:val="3C12623D"/>
    <w:rsid w:val="3C13294A"/>
    <w:rsid w:val="3C1A4BDA"/>
    <w:rsid w:val="3C1D0E88"/>
    <w:rsid w:val="3C1E28CC"/>
    <w:rsid w:val="3C4165AB"/>
    <w:rsid w:val="3C4779FD"/>
    <w:rsid w:val="3C4915EC"/>
    <w:rsid w:val="3C523725"/>
    <w:rsid w:val="3C6B3601"/>
    <w:rsid w:val="3C6C1775"/>
    <w:rsid w:val="3C7A5518"/>
    <w:rsid w:val="3C7D20ED"/>
    <w:rsid w:val="3C84190D"/>
    <w:rsid w:val="3C866624"/>
    <w:rsid w:val="3C92720C"/>
    <w:rsid w:val="3C9277D9"/>
    <w:rsid w:val="3C944798"/>
    <w:rsid w:val="3C996BFA"/>
    <w:rsid w:val="3C9F3B83"/>
    <w:rsid w:val="3CA3046B"/>
    <w:rsid w:val="3CAB79D4"/>
    <w:rsid w:val="3CAE3BC6"/>
    <w:rsid w:val="3CB34202"/>
    <w:rsid w:val="3CBB0A4D"/>
    <w:rsid w:val="3CBB2C3E"/>
    <w:rsid w:val="3CC75096"/>
    <w:rsid w:val="3CC9624B"/>
    <w:rsid w:val="3CCE0937"/>
    <w:rsid w:val="3CEE5C1C"/>
    <w:rsid w:val="3CF06C8C"/>
    <w:rsid w:val="3CF7038D"/>
    <w:rsid w:val="3CF707C5"/>
    <w:rsid w:val="3CFD5A3B"/>
    <w:rsid w:val="3D024C46"/>
    <w:rsid w:val="3D093083"/>
    <w:rsid w:val="3D0E7958"/>
    <w:rsid w:val="3D1404E4"/>
    <w:rsid w:val="3D140B64"/>
    <w:rsid w:val="3D1C7D7D"/>
    <w:rsid w:val="3D33695F"/>
    <w:rsid w:val="3D3428EB"/>
    <w:rsid w:val="3D3641DE"/>
    <w:rsid w:val="3D403DE5"/>
    <w:rsid w:val="3D581BA9"/>
    <w:rsid w:val="3D5A753F"/>
    <w:rsid w:val="3D5D2522"/>
    <w:rsid w:val="3D621D18"/>
    <w:rsid w:val="3D6C5E62"/>
    <w:rsid w:val="3D7E1EF2"/>
    <w:rsid w:val="3D89744D"/>
    <w:rsid w:val="3D940828"/>
    <w:rsid w:val="3D971589"/>
    <w:rsid w:val="3DA52FC2"/>
    <w:rsid w:val="3DA60DBB"/>
    <w:rsid w:val="3DAC272E"/>
    <w:rsid w:val="3DB35692"/>
    <w:rsid w:val="3DC468DD"/>
    <w:rsid w:val="3DF36A56"/>
    <w:rsid w:val="3DF70747"/>
    <w:rsid w:val="3DFF2FDF"/>
    <w:rsid w:val="3E0220D8"/>
    <w:rsid w:val="3E0D58E9"/>
    <w:rsid w:val="3E0E4444"/>
    <w:rsid w:val="3E0E78AB"/>
    <w:rsid w:val="3E102871"/>
    <w:rsid w:val="3E102EBB"/>
    <w:rsid w:val="3E13370A"/>
    <w:rsid w:val="3E1D7DCF"/>
    <w:rsid w:val="3E2C3715"/>
    <w:rsid w:val="3E2E33CF"/>
    <w:rsid w:val="3E333742"/>
    <w:rsid w:val="3E3574FD"/>
    <w:rsid w:val="3E386AE0"/>
    <w:rsid w:val="3E394A17"/>
    <w:rsid w:val="3E3E1E5C"/>
    <w:rsid w:val="3E457F4C"/>
    <w:rsid w:val="3E480974"/>
    <w:rsid w:val="3E502CFB"/>
    <w:rsid w:val="3E554136"/>
    <w:rsid w:val="3E69101D"/>
    <w:rsid w:val="3E6C7DAF"/>
    <w:rsid w:val="3E6D043E"/>
    <w:rsid w:val="3E73104F"/>
    <w:rsid w:val="3E7864DF"/>
    <w:rsid w:val="3E962137"/>
    <w:rsid w:val="3E9E1784"/>
    <w:rsid w:val="3EA002BC"/>
    <w:rsid w:val="3EA75197"/>
    <w:rsid w:val="3EAE5A4E"/>
    <w:rsid w:val="3EB51C36"/>
    <w:rsid w:val="3EBD0EBF"/>
    <w:rsid w:val="3EC0772F"/>
    <w:rsid w:val="3EEE75F0"/>
    <w:rsid w:val="3EEF5751"/>
    <w:rsid w:val="3EF41002"/>
    <w:rsid w:val="3EF466D5"/>
    <w:rsid w:val="3EF748BF"/>
    <w:rsid w:val="3F03101A"/>
    <w:rsid w:val="3F09362B"/>
    <w:rsid w:val="3F0A1738"/>
    <w:rsid w:val="3F0E1DF7"/>
    <w:rsid w:val="3F235E30"/>
    <w:rsid w:val="3F2578BD"/>
    <w:rsid w:val="3F274CB4"/>
    <w:rsid w:val="3F275E0E"/>
    <w:rsid w:val="3F3244B3"/>
    <w:rsid w:val="3F3A7E05"/>
    <w:rsid w:val="3F3D4D4F"/>
    <w:rsid w:val="3F494466"/>
    <w:rsid w:val="3F4C6801"/>
    <w:rsid w:val="3F4D2817"/>
    <w:rsid w:val="3F504323"/>
    <w:rsid w:val="3F570838"/>
    <w:rsid w:val="3F637680"/>
    <w:rsid w:val="3F727AFA"/>
    <w:rsid w:val="3F74379B"/>
    <w:rsid w:val="3F7B59A3"/>
    <w:rsid w:val="3F830BBB"/>
    <w:rsid w:val="3F8C3E7A"/>
    <w:rsid w:val="3F966C0E"/>
    <w:rsid w:val="3F9F0952"/>
    <w:rsid w:val="3FC62641"/>
    <w:rsid w:val="3FC65830"/>
    <w:rsid w:val="3FD0051E"/>
    <w:rsid w:val="3FD15E98"/>
    <w:rsid w:val="3FD26AEC"/>
    <w:rsid w:val="3FD35AC4"/>
    <w:rsid w:val="3FD738D9"/>
    <w:rsid w:val="3FD8292D"/>
    <w:rsid w:val="3FD91625"/>
    <w:rsid w:val="3FDB2781"/>
    <w:rsid w:val="3FDE6429"/>
    <w:rsid w:val="3FEC58E0"/>
    <w:rsid w:val="3FEE58F5"/>
    <w:rsid w:val="3FFB6931"/>
    <w:rsid w:val="3FFF1F05"/>
    <w:rsid w:val="40005241"/>
    <w:rsid w:val="400771E6"/>
    <w:rsid w:val="4015695D"/>
    <w:rsid w:val="401F36EA"/>
    <w:rsid w:val="40277592"/>
    <w:rsid w:val="402B5703"/>
    <w:rsid w:val="402F7CA4"/>
    <w:rsid w:val="403D5A21"/>
    <w:rsid w:val="403F4181"/>
    <w:rsid w:val="4040588D"/>
    <w:rsid w:val="4043254C"/>
    <w:rsid w:val="40526829"/>
    <w:rsid w:val="40585C6F"/>
    <w:rsid w:val="405A79E2"/>
    <w:rsid w:val="405F2AEC"/>
    <w:rsid w:val="40816890"/>
    <w:rsid w:val="4084090C"/>
    <w:rsid w:val="408533C9"/>
    <w:rsid w:val="408A6FA4"/>
    <w:rsid w:val="408B5AF7"/>
    <w:rsid w:val="408D463A"/>
    <w:rsid w:val="40977F79"/>
    <w:rsid w:val="409D7EF8"/>
    <w:rsid w:val="40A220C0"/>
    <w:rsid w:val="40A33D9B"/>
    <w:rsid w:val="40AB5373"/>
    <w:rsid w:val="40B24754"/>
    <w:rsid w:val="40CE1C0E"/>
    <w:rsid w:val="40D27E84"/>
    <w:rsid w:val="40D37743"/>
    <w:rsid w:val="40E551A6"/>
    <w:rsid w:val="40ED4E67"/>
    <w:rsid w:val="40F215A0"/>
    <w:rsid w:val="410C4BAB"/>
    <w:rsid w:val="41146FF4"/>
    <w:rsid w:val="41195B78"/>
    <w:rsid w:val="411B5F37"/>
    <w:rsid w:val="41224C37"/>
    <w:rsid w:val="413277D5"/>
    <w:rsid w:val="413609AD"/>
    <w:rsid w:val="41496E14"/>
    <w:rsid w:val="41573A36"/>
    <w:rsid w:val="41574F5E"/>
    <w:rsid w:val="415B0F2E"/>
    <w:rsid w:val="417347E3"/>
    <w:rsid w:val="41815337"/>
    <w:rsid w:val="41855A73"/>
    <w:rsid w:val="41891D19"/>
    <w:rsid w:val="419501A1"/>
    <w:rsid w:val="419E4767"/>
    <w:rsid w:val="41A03959"/>
    <w:rsid w:val="41A120CF"/>
    <w:rsid w:val="41C4300E"/>
    <w:rsid w:val="41D776B7"/>
    <w:rsid w:val="41E31513"/>
    <w:rsid w:val="41E71ECB"/>
    <w:rsid w:val="41EC7FAB"/>
    <w:rsid w:val="41ED631C"/>
    <w:rsid w:val="41FD4D22"/>
    <w:rsid w:val="41FE66D9"/>
    <w:rsid w:val="41FE7C06"/>
    <w:rsid w:val="420B32F1"/>
    <w:rsid w:val="421573F3"/>
    <w:rsid w:val="421C7FB2"/>
    <w:rsid w:val="42213830"/>
    <w:rsid w:val="422322E2"/>
    <w:rsid w:val="42254279"/>
    <w:rsid w:val="422707B8"/>
    <w:rsid w:val="422F7DEB"/>
    <w:rsid w:val="423D671D"/>
    <w:rsid w:val="42413514"/>
    <w:rsid w:val="42534FD8"/>
    <w:rsid w:val="42584984"/>
    <w:rsid w:val="42594160"/>
    <w:rsid w:val="425A6CE8"/>
    <w:rsid w:val="426230D7"/>
    <w:rsid w:val="426717D8"/>
    <w:rsid w:val="42753F86"/>
    <w:rsid w:val="427760CC"/>
    <w:rsid w:val="428552BF"/>
    <w:rsid w:val="42893702"/>
    <w:rsid w:val="4291717E"/>
    <w:rsid w:val="42920C6F"/>
    <w:rsid w:val="42970401"/>
    <w:rsid w:val="429D1792"/>
    <w:rsid w:val="42A01616"/>
    <w:rsid w:val="42A0551A"/>
    <w:rsid w:val="42A149BC"/>
    <w:rsid w:val="42B45D98"/>
    <w:rsid w:val="42B51F00"/>
    <w:rsid w:val="42BA11CD"/>
    <w:rsid w:val="42BF1E47"/>
    <w:rsid w:val="42C4149F"/>
    <w:rsid w:val="42DB5131"/>
    <w:rsid w:val="42DF4640"/>
    <w:rsid w:val="42E114DE"/>
    <w:rsid w:val="42E3384E"/>
    <w:rsid w:val="42EA2BB6"/>
    <w:rsid w:val="42F063A2"/>
    <w:rsid w:val="42F1458D"/>
    <w:rsid w:val="42F66DA2"/>
    <w:rsid w:val="42FF40D3"/>
    <w:rsid w:val="430069FD"/>
    <w:rsid w:val="430D0B35"/>
    <w:rsid w:val="43162DD2"/>
    <w:rsid w:val="43180820"/>
    <w:rsid w:val="431E018E"/>
    <w:rsid w:val="43234A45"/>
    <w:rsid w:val="432717A6"/>
    <w:rsid w:val="4327223C"/>
    <w:rsid w:val="4330211D"/>
    <w:rsid w:val="43344819"/>
    <w:rsid w:val="43393DA3"/>
    <w:rsid w:val="433E4444"/>
    <w:rsid w:val="433F5013"/>
    <w:rsid w:val="43457086"/>
    <w:rsid w:val="4357496E"/>
    <w:rsid w:val="43630C10"/>
    <w:rsid w:val="436B405A"/>
    <w:rsid w:val="436E5F33"/>
    <w:rsid w:val="438435A3"/>
    <w:rsid w:val="43883221"/>
    <w:rsid w:val="43923B30"/>
    <w:rsid w:val="439552B5"/>
    <w:rsid w:val="43963F26"/>
    <w:rsid w:val="439C6571"/>
    <w:rsid w:val="43A425B5"/>
    <w:rsid w:val="43A66D7E"/>
    <w:rsid w:val="43A93C59"/>
    <w:rsid w:val="43A95183"/>
    <w:rsid w:val="43AB51FB"/>
    <w:rsid w:val="43AE2F84"/>
    <w:rsid w:val="43B06F15"/>
    <w:rsid w:val="43BA1890"/>
    <w:rsid w:val="43BC3248"/>
    <w:rsid w:val="43C67C22"/>
    <w:rsid w:val="43D61F2E"/>
    <w:rsid w:val="43E373EF"/>
    <w:rsid w:val="43F74E4F"/>
    <w:rsid w:val="440B627E"/>
    <w:rsid w:val="44195BC6"/>
    <w:rsid w:val="441D14C9"/>
    <w:rsid w:val="442A7EB0"/>
    <w:rsid w:val="44422BE7"/>
    <w:rsid w:val="444C267B"/>
    <w:rsid w:val="44513472"/>
    <w:rsid w:val="445151F9"/>
    <w:rsid w:val="44557691"/>
    <w:rsid w:val="445A55C4"/>
    <w:rsid w:val="445C1B4D"/>
    <w:rsid w:val="4464566F"/>
    <w:rsid w:val="44813D87"/>
    <w:rsid w:val="448319E4"/>
    <w:rsid w:val="44926013"/>
    <w:rsid w:val="449C1480"/>
    <w:rsid w:val="449E75A7"/>
    <w:rsid w:val="449F56A2"/>
    <w:rsid w:val="44AC5C9A"/>
    <w:rsid w:val="44BB29AA"/>
    <w:rsid w:val="44C27416"/>
    <w:rsid w:val="44E209D4"/>
    <w:rsid w:val="44F76697"/>
    <w:rsid w:val="44FC6322"/>
    <w:rsid w:val="451246AB"/>
    <w:rsid w:val="45197A3A"/>
    <w:rsid w:val="45321079"/>
    <w:rsid w:val="453541AB"/>
    <w:rsid w:val="453A2180"/>
    <w:rsid w:val="453E35D9"/>
    <w:rsid w:val="45403D3A"/>
    <w:rsid w:val="454A1238"/>
    <w:rsid w:val="454C34F1"/>
    <w:rsid w:val="45503979"/>
    <w:rsid w:val="4552103A"/>
    <w:rsid w:val="455D5F5D"/>
    <w:rsid w:val="45626FBD"/>
    <w:rsid w:val="45651115"/>
    <w:rsid w:val="456809FA"/>
    <w:rsid w:val="456B4A9D"/>
    <w:rsid w:val="456D47C9"/>
    <w:rsid w:val="45842ECB"/>
    <w:rsid w:val="45874C33"/>
    <w:rsid w:val="45891205"/>
    <w:rsid w:val="458943CE"/>
    <w:rsid w:val="45963518"/>
    <w:rsid w:val="459B1FF8"/>
    <w:rsid w:val="45A1240A"/>
    <w:rsid w:val="45A44146"/>
    <w:rsid w:val="45A84271"/>
    <w:rsid w:val="45AD235B"/>
    <w:rsid w:val="45BC14DF"/>
    <w:rsid w:val="45BF305F"/>
    <w:rsid w:val="45CE60A3"/>
    <w:rsid w:val="45DB7598"/>
    <w:rsid w:val="45DF1325"/>
    <w:rsid w:val="45E144C4"/>
    <w:rsid w:val="45E2072F"/>
    <w:rsid w:val="45E56176"/>
    <w:rsid w:val="45EC1686"/>
    <w:rsid w:val="45EF0A35"/>
    <w:rsid w:val="45EF799B"/>
    <w:rsid w:val="45FE0626"/>
    <w:rsid w:val="45FE1436"/>
    <w:rsid w:val="460414DC"/>
    <w:rsid w:val="46182801"/>
    <w:rsid w:val="461850CD"/>
    <w:rsid w:val="461D5123"/>
    <w:rsid w:val="462032DD"/>
    <w:rsid w:val="46231305"/>
    <w:rsid w:val="46433B00"/>
    <w:rsid w:val="4643412B"/>
    <w:rsid w:val="464E531F"/>
    <w:rsid w:val="465248D8"/>
    <w:rsid w:val="465F49B0"/>
    <w:rsid w:val="46670AA2"/>
    <w:rsid w:val="466773B0"/>
    <w:rsid w:val="466E62AD"/>
    <w:rsid w:val="467F05AF"/>
    <w:rsid w:val="46820933"/>
    <w:rsid w:val="468B01D4"/>
    <w:rsid w:val="46A73238"/>
    <w:rsid w:val="46B87BC2"/>
    <w:rsid w:val="46BD1E39"/>
    <w:rsid w:val="46CD5B9C"/>
    <w:rsid w:val="46D23C6C"/>
    <w:rsid w:val="46D7264C"/>
    <w:rsid w:val="46DA2A13"/>
    <w:rsid w:val="46DE14F9"/>
    <w:rsid w:val="46E627A7"/>
    <w:rsid w:val="46E902AF"/>
    <w:rsid w:val="46EE3F6B"/>
    <w:rsid w:val="46F266AD"/>
    <w:rsid w:val="46F42EBF"/>
    <w:rsid w:val="471A4C03"/>
    <w:rsid w:val="471C51F5"/>
    <w:rsid w:val="4720324B"/>
    <w:rsid w:val="47233584"/>
    <w:rsid w:val="47283E60"/>
    <w:rsid w:val="472F45ED"/>
    <w:rsid w:val="47352B3A"/>
    <w:rsid w:val="47394373"/>
    <w:rsid w:val="47491CE0"/>
    <w:rsid w:val="47517B7D"/>
    <w:rsid w:val="47523FDB"/>
    <w:rsid w:val="4757167A"/>
    <w:rsid w:val="47574ED5"/>
    <w:rsid w:val="475C72A3"/>
    <w:rsid w:val="47641A96"/>
    <w:rsid w:val="47665927"/>
    <w:rsid w:val="476701B2"/>
    <w:rsid w:val="47721C6E"/>
    <w:rsid w:val="47770C8D"/>
    <w:rsid w:val="47790C15"/>
    <w:rsid w:val="47795B4F"/>
    <w:rsid w:val="477D1FB0"/>
    <w:rsid w:val="4788304D"/>
    <w:rsid w:val="479C59F6"/>
    <w:rsid w:val="47A5355C"/>
    <w:rsid w:val="47A718FA"/>
    <w:rsid w:val="47A977A1"/>
    <w:rsid w:val="47AC11EF"/>
    <w:rsid w:val="47C4349B"/>
    <w:rsid w:val="47C6341F"/>
    <w:rsid w:val="47C73816"/>
    <w:rsid w:val="47C81A3F"/>
    <w:rsid w:val="47CF4959"/>
    <w:rsid w:val="47DA4D13"/>
    <w:rsid w:val="47DD51A7"/>
    <w:rsid w:val="47DD70D0"/>
    <w:rsid w:val="47E8309B"/>
    <w:rsid w:val="47F50E73"/>
    <w:rsid w:val="47FD1FA2"/>
    <w:rsid w:val="480253F0"/>
    <w:rsid w:val="481A7C9C"/>
    <w:rsid w:val="48250F12"/>
    <w:rsid w:val="48286E46"/>
    <w:rsid w:val="48427421"/>
    <w:rsid w:val="484E13A5"/>
    <w:rsid w:val="48642E43"/>
    <w:rsid w:val="48665315"/>
    <w:rsid w:val="486C64AC"/>
    <w:rsid w:val="48745EDE"/>
    <w:rsid w:val="487A1240"/>
    <w:rsid w:val="48843E48"/>
    <w:rsid w:val="488638B4"/>
    <w:rsid w:val="48911931"/>
    <w:rsid w:val="48A1294D"/>
    <w:rsid w:val="48A40CE2"/>
    <w:rsid w:val="48AC2C1C"/>
    <w:rsid w:val="48B924B2"/>
    <w:rsid w:val="48C648CF"/>
    <w:rsid w:val="48E34A56"/>
    <w:rsid w:val="48EC715F"/>
    <w:rsid w:val="48ED3C61"/>
    <w:rsid w:val="48F22702"/>
    <w:rsid w:val="49011F03"/>
    <w:rsid w:val="490F6D6D"/>
    <w:rsid w:val="491875F3"/>
    <w:rsid w:val="491C3680"/>
    <w:rsid w:val="491C59C2"/>
    <w:rsid w:val="491C5C24"/>
    <w:rsid w:val="492166F1"/>
    <w:rsid w:val="492F410B"/>
    <w:rsid w:val="493E78DF"/>
    <w:rsid w:val="49406B24"/>
    <w:rsid w:val="4941757C"/>
    <w:rsid w:val="494E7375"/>
    <w:rsid w:val="49502EA6"/>
    <w:rsid w:val="495236B9"/>
    <w:rsid w:val="49583CCA"/>
    <w:rsid w:val="4966249B"/>
    <w:rsid w:val="49662637"/>
    <w:rsid w:val="496D43D5"/>
    <w:rsid w:val="497A3087"/>
    <w:rsid w:val="497B1A35"/>
    <w:rsid w:val="497C0C22"/>
    <w:rsid w:val="497F741D"/>
    <w:rsid w:val="49800067"/>
    <w:rsid w:val="49881259"/>
    <w:rsid w:val="49893855"/>
    <w:rsid w:val="498F5637"/>
    <w:rsid w:val="4998293B"/>
    <w:rsid w:val="49AC2F88"/>
    <w:rsid w:val="49AE496D"/>
    <w:rsid w:val="49B7352B"/>
    <w:rsid w:val="49B736EF"/>
    <w:rsid w:val="49B85773"/>
    <w:rsid w:val="49CB765F"/>
    <w:rsid w:val="49D02F43"/>
    <w:rsid w:val="49D14DF6"/>
    <w:rsid w:val="49D2754B"/>
    <w:rsid w:val="49DE6E3D"/>
    <w:rsid w:val="49E07403"/>
    <w:rsid w:val="49E450B8"/>
    <w:rsid w:val="49F27C67"/>
    <w:rsid w:val="49F561D7"/>
    <w:rsid w:val="4A015101"/>
    <w:rsid w:val="4A0823D9"/>
    <w:rsid w:val="4A0B4E0D"/>
    <w:rsid w:val="4A0E2EEB"/>
    <w:rsid w:val="4A120867"/>
    <w:rsid w:val="4A152F14"/>
    <w:rsid w:val="4A1B056C"/>
    <w:rsid w:val="4A1F04D8"/>
    <w:rsid w:val="4A25496C"/>
    <w:rsid w:val="4A2F593B"/>
    <w:rsid w:val="4A320802"/>
    <w:rsid w:val="4A442403"/>
    <w:rsid w:val="4A4554B8"/>
    <w:rsid w:val="4A4E0113"/>
    <w:rsid w:val="4A4E602F"/>
    <w:rsid w:val="4A5E6CC2"/>
    <w:rsid w:val="4A6328A4"/>
    <w:rsid w:val="4A6C67B2"/>
    <w:rsid w:val="4A891529"/>
    <w:rsid w:val="4A8C3078"/>
    <w:rsid w:val="4A8C3A4C"/>
    <w:rsid w:val="4A8E1F96"/>
    <w:rsid w:val="4A8F344C"/>
    <w:rsid w:val="4A943792"/>
    <w:rsid w:val="4AA27371"/>
    <w:rsid w:val="4AB03BF2"/>
    <w:rsid w:val="4AC36065"/>
    <w:rsid w:val="4ACE0F11"/>
    <w:rsid w:val="4ACF4848"/>
    <w:rsid w:val="4ACF507D"/>
    <w:rsid w:val="4AD12D9B"/>
    <w:rsid w:val="4AD713A5"/>
    <w:rsid w:val="4AD83839"/>
    <w:rsid w:val="4ADA10EA"/>
    <w:rsid w:val="4ADD3029"/>
    <w:rsid w:val="4AE175F3"/>
    <w:rsid w:val="4AE94276"/>
    <w:rsid w:val="4AF479A6"/>
    <w:rsid w:val="4AF926CB"/>
    <w:rsid w:val="4AFB433F"/>
    <w:rsid w:val="4AFC5CF5"/>
    <w:rsid w:val="4AFF4972"/>
    <w:rsid w:val="4B101C35"/>
    <w:rsid w:val="4B1374F4"/>
    <w:rsid w:val="4B1D4FE0"/>
    <w:rsid w:val="4B1D7FCC"/>
    <w:rsid w:val="4B20799D"/>
    <w:rsid w:val="4B2A440C"/>
    <w:rsid w:val="4B397EB1"/>
    <w:rsid w:val="4B4E375F"/>
    <w:rsid w:val="4B52544C"/>
    <w:rsid w:val="4B5F1D20"/>
    <w:rsid w:val="4B6A1DD6"/>
    <w:rsid w:val="4B845F34"/>
    <w:rsid w:val="4B85167B"/>
    <w:rsid w:val="4BAB41D1"/>
    <w:rsid w:val="4BB46F9E"/>
    <w:rsid w:val="4BD301A0"/>
    <w:rsid w:val="4BDD0D4A"/>
    <w:rsid w:val="4BDE2CEB"/>
    <w:rsid w:val="4BE62585"/>
    <w:rsid w:val="4BEA7812"/>
    <w:rsid w:val="4C02759B"/>
    <w:rsid w:val="4C040392"/>
    <w:rsid w:val="4C0424B3"/>
    <w:rsid w:val="4C047CBD"/>
    <w:rsid w:val="4C1234B2"/>
    <w:rsid w:val="4C145DDC"/>
    <w:rsid w:val="4C1930CE"/>
    <w:rsid w:val="4C1C2B01"/>
    <w:rsid w:val="4C1D7EB7"/>
    <w:rsid w:val="4C1E0CE3"/>
    <w:rsid w:val="4C2C70F6"/>
    <w:rsid w:val="4C2F449D"/>
    <w:rsid w:val="4C3635BC"/>
    <w:rsid w:val="4C3949A8"/>
    <w:rsid w:val="4C551157"/>
    <w:rsid w:val="4C59349D"/>
    <w:rsid w:val="4C645F8C"/>
    <w:rsid w:val="4C675CD8"/>
    <w:rsid w:val="4C6F246C"/>
    <w:rsid w:val="4C7178F0"/>
    <w:rsid w:val="4C883D22"/>
    <w:rsid w:val="4CAE5DB0"/>
    <w:rsid w:val="4CB82369"/>
    <w:rsid w:val="4CBD0114"/>
    <w:rsid w:val="4CC034DE"/>
    <w:rsid w:val="4CCB5281"/>
    <w:rsid w:val="4CD00A29"/>
    <w:rsid w:val="4CD52A44"/>
    <w:rsid w:val="4CDD7433"/>
    <w:rsid w:val="4CE927A2"/>
    <w:rsid w:val="4CEE5257"/>
    <w:rsid w:val="4CF1223E"/>
    <w:rsid w:val="4D053BA7"/>
    <w:rsid w:val="4D0B577F"/>
    <w:rsid w:val="4D136EAA"/>
    <w:rsid w:val="4D181372"/>
    <w:rsid w:val="4D1E722E"/>
    <w:rsid w:val="4D1F0C9F"/>
    <w:rsid w:val="4D1F51DD"/>
    <w:rsid w:val="4D2F536E"/>
    <w:rsid w:val="4D3369E5"/>
    <w:rsid w:val="4D373419"/>
    <w:rsid w:val="4D3813B1"/>
    <w:rsid w:val="4D421BB4"/>
    <w:rsid w:val="4D436CD6"/>
    <w:rsid w:val="4D4B64BE"/>
    <w:rsid w:val="4D624B8B"/>
    <w:rsid w:val="4D680243"/>
    <w:rsid w:val="4D7004D2"/>
    <w:rsid w:val="4D716533"/>
    <w:rsid w:val="4D7F20CC"/>
    <w:rsid w:val="4D7F4043"/>
    <w:rsid w:val="4DA46309"/>
    <w:rsid w:val="4DA93740"/>
    <w:rsid w:val="4DB22E48"/>
    <w:rsid w:val="4DC07C36"/>
    <w:rsid w:val="4DC14012"/>
    <w:rsid w:val="4DC15261"/>
    <w:rsid w:val="4DCD1993"/>
    <w:rsid w:val="4DEA5692"/>
    <w:rsid w:val="4DF640C5"/>
    <w:rsid w:val="4E006A83"/>
    <w:rsid w:val="4E06070E"/>
    <w:rsid w:val="4E065D95"/>
    <w:rsid w:val="4E0A7F96"/>
    <w:rsid w:val="4E0D2791"/>
    <w:rsid w:val="4E0E1010"/>
    <w:rsid w:val="4E1002D4"/>
    <w:rsid w:val="4E163A88"/>
    <w:rsid w:val="4E192A96"/>
    <w:rsid w:val="4E1C4CB2"/>
    <w:rsid w:val="4E1E18F8"/>
    <w:rsid w:val="4E201749"/>
    <w:rsid w:val="4E2520FC"/>
    <w:rsid w:val="4E2D2120"/>
    <w:rsid w:val="4E2D7618"/>
    <w:rsid w:val="4E2F09D7"/>
    <w:rsid w:val="4E336E4B"/>
    <w:rsid w:val="4E397395"/>
    <w:rsid w:val="4E412448"/>
    <w:rsid w:val="4E4816C4"/>
    <w:rsid w:val="4E570707"/>
    <w:rsid w:val="4E581861"/>
    <w:rsid w:val="4E593357"/>
    <w:rsid w:val="4E605907"/>
    <w:rsid w:val="4E6460C7"/>
    <w:rsid w:val="4E6768CF"/>
    <w:rsid w:val="4E6B5A57"/>
    <w:rsid w:val="4E6F5B9B"/>
    <w:rsid w:val="4E7504C5"/>
    <w:rsid w:val="4E796018"/>
    <w:rsid w:val="4E7A6843"/>
    <w:rsid w:val="4E836582"/>
    <w:rsid w:val="4E96278D"/>
    <w:rsid w:val="4E972124"/>
    <w:rsid w:val="4E9D2205"/>
    <w:rsid w:val="4EA64006"/>
    <w:rsid w:val="4EA72E8A"/>
    <w:rsid w:val="4EA9370F"/>
    <w:rsid w:val="4EB07909"/>
    <w:rsid w:val="4EC23729"/>
    <w:rsid w:val="4ED02DC9"/>
    <w:rsid w:val="4ED34903"/>
    <w:rsid w:val="4ED85D6E"/>
    <w:rsid w:val="4EE45B6A"/>
    <w:rsid w:val="4EE80DBE"/>
    <w:rsid w:val="4EEA1EAE"/>
    <w:rsid w:val="4EF23AD0"/>
    <w:rsid w:val="4F063B61"/>
    <w:rsid w:val="4F090F2E"/>
    <w:rsid w:val="4F15626B"/>
    <w:rsid w:val="4F1F0979"/>
    <w:rsid w:val="4F254ED3"/>
    <w:rsid w:val="4F2C1F25"/>
    <w:rsid w:val="4F31200B"/>
    <w:rsid w:val="4F3642EB"/>
    <w:rsid w:val="4F3B7D23"/>
    <w:rsid w:val="4F461869"/>
    <w:rsid w:val="4F4753F8"/>
    <w:rsid w:val="4F476F53"/>
    <w:rsid w:val="4F4E487C"/>
    <w:rsid w:val="4F562742"/>
    <w:rsid w:val="4F584D1C"/>
    <w:rsid w:val="4F5A3041"/>
    <w:rsid w:val="4F6B0EE4"/>
    <w:rsid w:val="4F6D5557"/>
    <w:rsid w:val="4F700A0B"/>
    <w:rsid w:val="4F741F3B"/>
    <w:rsid w:val="4F852992"/>
    <w:rsid w:val="4F9443E2"/>
    <w:rsid w:val="4FA252B5"/>
    <w:rsid w:val="4FA647DE"/>
    <w:rsid w:val="4FBA3AD0"/>
    <w:rsid w:val="4FCC7B89"/>
    <w:rsid w:val="4FD72C9C"/>
    <w:rsid w:val="4FE64351"/>
    <w:rsid w:val="4FED2655"/>
    <w:rsid w:val="4FF71E8E"/>
    <w:rsid w:val="50027BB0"/>
    <w:rsid w:val="500378B9"/>
    <w:rsid w:val="500E05A5"/>
    <w:rsid w:val="50115E57"/>
    <w:rsid w:val="5013268C"/>
    <w:rsid w:val="50256971"/>
    <w:rsid w:val="502C3A81"/>
    <w:rsid w:val="50393127"/>
    <w:rsid w:val="503C1316"/>
    <w:rsid w:val="504168EB"/>
    <w:rsid w:val="50420D72"/>
    <w:rsid w:val="5057083E"/>
    <w:rsid w:val="505E1C64"/>
    <w:rsid w:val="505E7FC9"/>
    <w:rsid w:val="50636E87"/>
    <w:rsid w:val="50654494"/>
    <w:rsid w:val="506A54FE"/>
    <w:rsid w:val="508258C9"/>
    <w:rsid w:val="50850FD9"/>
    <w:rsid w:val="508D7ECC"/>
    <w:rsid w:val="50911D5C"/>
    <w:rsid w:val="50935C7E"/>
    <w:rsid w:val="509409C8"/>
    <w:rsid w:val="50AA4E8C"/>
    <w:rsid w:val="50AB5E80"/>
    <w:rsid w:val="50AF28C3"/>
    <w:rsid w:val="50B87738"/>
    <w:rsid w:val="50BB4A2A"/>
    <w:rsid w:val="50CF0081"/>
    <w:rsid w:val="50D4356D"/>
    <w:rsid w:val="50DB1A11"/>
    <w:rsid w:val="50DC694B"/>
    <w:rsid w:val="50ED7195"/>
    <w:rsid w:val="510476C1"/>
    <w:rsid w:val="51077095"/>
    <w:rsid w:val="51093907"/>
    <w:rsid w:val="510D08B3"/>
    <w:rsid w:val="511A01F6"/>
    <w:rsid w:val="511A3245"/>
    <w:rsid w:val="51296C89"/>
    <w:rsid w:val="513B4452"/>
    <w:rsid w:val="513C6205"/>
    <w:rsid w:val="51442C70"/>
    <w:rsid w:val="51457095"/>
    <w:rsid w:val="5147003E"/>
    <w:rsid w:val="51493AE0"/>
    <w:rsid w:val="514A163E"/>
    <w:rsid w:val="514C3A49"/>
    <w:rsid w:val="51516E38"/>
    <w:rsid w:val="5154686E"/>
    <w:rsid w:val="515B3813"/>
    <w:rsid w:val="515D53F1"/>
    <w:rsid w:val="51635AC1"/>
    <w:rsid w:val="516A18E5"/>
    <w:rsid w:val="516C7357"/>
    <w:rsid w:val="517D1B25"/>
    <w:rsid w:val="517E5344"/>
    <w:rsid w:val="5181336A"/>
    <w:rsid w:val="518154EA"/>
    <w:rsid w:val="518A6E4E"/>
    <w:rsid w:val="5193643A"/>
    <w:rsid w:val="51963D1D"/>
    <w:rsid w:val="519725A3"/>
    <w:rsid w:val="51A25C47"/>
    <w:rsid w:val="51A3528C"/>
    <w:rsid w:val="51AC3110"/>
    <w:rsid w:val="51AD6302"/>
    <w:rsid w:val="51B14CD1"/>
    <w:rsid w:val="51B22919"/>
    <w:rsid w:val="51CB2F1B"/>
    <w:rsid w:val="51DA573E"/>
    <w:rsid w:val="51DD160A"/>
    <w:rsid w:val="51DD2AA0"/>
    <w:rsid w:val="51E72777"/>
    <w:rsid w:val="51F6353C"/>
    <w:rsid w:val="520E083B"/>
    <w:rsid w:val="520E5E3D"/>
    <w:rsid w:val="52405F5C"/>
    <w:rsid w:val="5242314E"/>
    <w:rsid w:val="52423ECE"/>
    <w:rsid w:val="5246146C"/>
    <w:rsid w:val="524B7E91"/>
    <w:rsid w:val="524D21E4"/>
    <w:rsid w:val="524E725E"/>
    <w:rsid w:val="526D07E2"/>
    <w:rsid w:val="5273115A"/>
    <w:rsid w:val="527454DD"/>
    <w:rsid w:val="527F1A83"/>
    <w:rsid w:val="528520CC"/>
    <w:rsid w:val="528B0B26"/>
    <w:rsid w:val="528C14DC"/>
    <w:rsid w:val="528D498B"/>
    <w:rsid w:val="52954779"/>
    <w:rsid w:val="529D2229"/>
    <w:rsid w:val="529E46B7"/>
    <w:rsid w:val="52A34C26"/>
    <w:rsid w:val="52A35FB3"/>
    <w:rsid w:val="52B6465E"/>
    <w:rsid w:val="52C640CA"/>
    <w:rsid w:val="52C948DE"/>
    <w:rsid w:val="52CA6425"/>
    <w:rsid w:val="52DD6E54"/>
    <w:rsid w:val="52DF317F"/>
    <w:rsid w:val="52E0695C"/>
    <w:rsid w:val="52EA63C3"/>
    <w:rsid w:val="52EC0A4D"/>
    <w:rsid w:val="52EE6B87"/>
    <w:rsid w:val="52F154E7"/>
    <w:rsid w:val="52F214C2"/>
    <w:rsid w:val="52F97A78"/>
    <w:rsid w:val="52FF72F9"/>
    <w:rsid w:val="530D5177"/>
    <w:rsid w:val="530E32C3"/>
    <w:rsid w:val="531903F9"/>
    <w:rsid w:val="532C5467"/>
    <w:rsid w:val="532E1ACA"/>
    <w:rsid w:val="532E1CAC"/>
    <w:rsid w:val="532E3AE3"/>
    <w:rsid w:val="5335123D"/>
    <w:rsid w:val="533B289C"/>
    <w:rsid w:val="53477993"/>
    <w:rsid w:val="5348671A"/>
    <w:rsid w:val="534A2FB4"/>
    <w:rsid w:val="535D2859"/>
    <w:rsid w:val="5361607B"/>
    <w:rsid w:val="53681EA0"/>
    <w:rsid w:val="53716834"/>
    <w:rsid w:val="53732CF6"/>
    <w:rsid w:val="537364BE"/>
    <w:rsid w:val="537B08DC"/>
    <w:rsid w:val="53863FCA"/>
    <w:rsid w:val="538E71FA"/>
    <w:rsid w:val="53A34EC2"/>
    <w:rsid w:val="53B23FFD"/>
    <w:rsid w:val="53B50A6C"/>
    <w:rsid w:val="53BF6082"/>
    <w:rsid w:val="53C75190"/>
    <w:rsid w:val="53CF1C2B"/>
    <w:rsid w:val="53D17E17"/>
    <w:rsid w:val="53D65992"/>
    <w:rsid w:val="53D73E3B"/>
    <w:rsid w:val="53D84C20"/>
    <w:rsid w:val="53DC6576"/>
    <w:rsid w:val="53E860D7"/>
    <w:rsid w:val="53E91A69"/>
    <w:rsid w:val="53F7259D"/>
    <w:rsid w:val="53F7631B"/>
    <w:rsid w:val="53FE118C"/>
    <w:rsid w:val="540858DB"/>
    <w:rsid w:val="54122E53"/>
    <w:rsid w:val="54314093"/>
    <w:rsid w:val="5433658B"/>
    <w:rsid w:val="543A4C24"/>
    <w:rsid w:val="543D4447"/>
    <w:rsid w:val="544947C8"/>
    <w:rsid w:val="545070A8"/>
    <w:rsid w:val="545D5D95"/>
    <w:rsid w:val="5463625C"/>
    <w:rsid w:val="54696597"/>
    <w:rsid w:val="546A425F"/>
    <w:rsid w:val="546F6B4F"/>
    <w:rsid w:val="547C75D7"/>
    <w:rsid w:val="547E268B"/>
    <w:rsid w:val="54815970"/>
    <w:rsid w:val="54893B2C"/>
    <w:rsid w:val="548C7D02"/>
    <w:rsid w:val="548F04AF"/>
    <w:rsid w:val="549E12B4"/>
    <w:rsid w:val="54A42EA2"/>
    <w:rsid w:val="54A505D5"/>
    <w:rsid w:val="54AA72A6"/>
    <w:rsid w:val="54B10392"/>
    <w:rsid w:val="54B61CFE"/>
    <w:rsid w:val="54BB2F21"/>
    <w:rsid w:val="54C472A0"/>
    <w:rsid w:val="54C5275F"/>
    <w:rsid w:val="54C70F29"/>
    <w:rsid w:val="54D644D1"/>
    <w:rsid w:val="54D73072"/>
    <w:rsid w:val="54E32F28"/>
    <w:rsid w:val="54E42C04"/>
    <w:rsid w:val="54E710A2"/>
    <w:rsid w:val="54E9190A"/>
    <w:rsid w:val="54EB4DEC"/>
    <w:rsid w:val="54F16203"/>
    <w:rsid w:val="54FA087A"/>
    <w:rsid w:val="54FE68A7"/>
    <w:rsid w:val="55005CF8"/>
    <w:rsid w:val="550A473E"/>
    <w:rsid w:val="551514BF"/>
    <w:rsid w:val="551E58E1"/>
    <w:rsid w:val="55237DEA"/>
    <w:rsid w:val="55244D1C"/>
    <w:rsid w:val="55317AA6"/>
    <w:rsid w:val="5547314C"/>
    <w:rsid w:val="55517B90"/>
    <w:rsid w:val="555D2668"/>
    <w:rsid w:val="55767DDB"/>
    <w:rsid w:val="557A19FC"/>
    <w:rsid w:val="55806BB3"/>
    <w:rsid w:val="55896F57"/>
    <w:rsid w:val="558E0FD9"/>
    <w:rsid w:val="55914EF1"/>
    <w:rsid w:val="55921E54"/>
    <w:rsid w:val="55A15816"/>
    <w:rsid w:val="55BB0D24"/>
    <w:rsid w:val="55C16DAA"/>
    <w:rsid w:val="55D161CB"/>
    <w:rsid w:val="55D6073D"/>
    <w:rsid w:val="55DA5E51"/>
    <w:rsid w:val="55E45341"/>
    <w:rsid w:val="55E7051A"/>
    <w:rsid w:val="55FC5E5C"/>
    <w:rsid w:val="5600674D"/>
    <w:rsid w:val="560267E1"/>
    <w:rsid w:val="5609446C"/>
    <w:rsid w:val="560A0B58"/>
    <w:rsid w:val="560C4284"/>
    <w:rsid w:val="56166314"/>
    <w:rsid w:val="56184972"/>
    <w:rsid w:val="56194806"/>
    <w:rsid w:val="561B05CC"/>
    <w:rsid w:val="562009AA"/>
    <w:rsid w:val="56203A37"/>
    <w:rsid w:val="562A238D"/>
    <w:rsid w:val="562F447B"/>
    <w:rsid w:val="563D3E2F"/>
    <w:rsid w:val="564A7311"/>
    <w:rsid w:val="564E0B3E"/>
    <w:rsid w:val="565925EE"/>
    <w:rsid w:val="565A2D29"/>
    <w:rsid w:val="565C39F0"/>
    <w:rsid w:val="565D3B81"/>
    <w:rsid w:val="5665656A"/>
    <w:rsid w:val="56707CB7"/>
    <w:rsid w:val="567101F6"/>
    <w:rsid w:val="5675688F"/>
    <w:rsid w:val="567870D8"/>
    <w:rsid w:val="567C5FE4"/>
    <w:rsid w:val="567F7FA4"/>
    <w:rsid w:val="56960B5F"/>
    <w:rsid w:val="56A63ABA"/>
    <w:rsid w:val="56AA5EF6"/>
    <w:rsid w:val="56AE7CDD"/>
    <w:rsid w:val="56B019BA"/>
    <w:rsid w:val="56B87519"/>
    <w:rsid w:val="56B946B4"/>
    <w:rsid w:val="56BA09AC"/>
    <w:rsid w:val="56BD4CD9"/>
    <w:rsid w:val="56BE0FC8"/>
    <w:rsid w:val="56BF3C51"/>
    <w:rsid w:val="56DA2E30"/>
    <w:rsid w:val="56DE50F6"/>
    <w:rsid w:val="56E330FD"/>
    <w:rsid w:val="56FA69F6"/>
    <w:rsid w:val="570432D1"/>
    <w:rsid w:val="57095C78"/>
    <w:rsid w:val="5710590D"/>
    <w:rsid w:val="571222F6"/>
    <w:rsid w:val="57242934"/>
    <w:rsid w:val="57250987"/>
    <w:rsid w:val="572C76F9"/>
    <w:rsid w:val="572D5AE6"/>
    <w:rsid w:val="57344884"/>
    <w:rsid w:val="5737470B"/>
    <w:rsid w:val="574C670A"/>
    <w:rsid w:val="574F7310"/>
    <w:rsid w:val="575F12CB"/>
    <w:rsid w:val="5764433F"/>
    <w:rsid w:val="576A40A3"/>
    <w:rsid w:val="57731513"/>
    <w:rsid w:val="57745242"/>
    <w:rsid w:val="577675F9"/>
    <w:rsid w:val="57875AB5"/>
    <w:rsid w:val="57895AE0"/>
    <w:rsid w:val="579B5AFE"/>
    <w:rsid w:val="57A47C0E"/>
    <w:rsid w:val="57B9717A"/>
    <w:rsid w:val="57CA15A4"/>
    <w:rsid w:val="57CD00C0"/>
    <w:rsid w:val="57CD1AED"/>
    <w:rsid w:val="57D20F5D"/>
    <w:rsid w:val="57D8044B"/>
    <w:rsid w:val="57D906DC"/>
    <w:rsid w:val="57EF6639"/>
    <w:rsid w:val="57F1023C"/>
    <w:rsid w:val="580140EE"/>
    <w:rsid w:val="58081A22"/>
    <w:rsid w:val="5815609B"/>
    <w:rsid w:val="581D3436"/>
    <w:rsid w:val="582E3DB6"/>
    <w:rsid w:val="583247FD"/>
    <w:rsid w:val="583D798E"/>
    <w:rsid w:val="58450D52"/>
    <w:rsid w:val="58461A9A"/>
    <w:rsid w:val="5846589B"/>
    <w:rsid w:val="58534643"/>
    <w:rsid w:val="585B636E"/>
    <w:rsid w:val="585D03E8"/>
    <w:rsid w:val="586209A6"/>
    <w:rsid w:val="586302A7"/>
    <w:rsid w:val="5867214D"/>
    <w:rsid w:val="58755BF1"/>
    <w:rsid w:val="588D38E3"/>
    <w:rsid w:val="589F69CB"/>
    <w:rsid w:val="58AC0B02"/>
    <w:rsid w:val="58AD560F"/>
    <w:rsid w:val="58B27AC8"/>
    <w:rsid w:val="58C35724"/>
    <w:rsid w:val="58C72ECD"/>
    <w:rsid w:val="58E27667"/>
    <w:rsid w:val="58E47598"/>
    <w:rsid w:val="58F25C1D"/>
    <w:rsid w:val="58F56FC8"/>
    <w:rsid w:val="59131533"/>
    <w:rsid w:val="591A60C8"/>
    <w:rsid w:val="5920294F"/>
    <w:rsid w:val="59321107"/>
    <w:rsid w:val="59322011"/>
    <w:rsid w:val="5936683C"/>
    <w:rsid w:val="5949033E"/>
    <w:rsid w:val="595F085F"/>
    <w:rsid w:val="59645D4E"/>
    <w:rsid w:val="596520A5"/>
    <w:rsid w:val="59687E11"/>
    <w:rsid w:val="596B3205"/>
    <w:rsid w:val="596B5F29"/>
    <w:rsid w:val="59726696"/>
    <w:rsid w:val="59735C3B"/>
    <w:rsid w:val="59763260"/>
    <w:rsid w:val="597D2BEC"/>
    <w:rsid w:val="5988397D"/>
    <w:rsid w:val="59946134"/>
    <w:rsid w:val="599A3FB4"/>
    <w:rsid w:val="599E49BA"/>
    <w:rsid w:val="59AC5384"/>
    <w:rsid w:val="59AF01DD"/>
    <w:rsid w:val="59B3197A"/>
    <w:rsid w:val="59BC421B"/>
    <w:rsid w:val="59C04C6B"/>
    <w:rsid w:val="59C07F00"/>
    <w:rsid w:val="59C32100"/>
    <w:rsid w:val="59C4389A"/>
    <w:rsid w:val="59E15C58"/>
    <w:rsid w:val="59E24B9C"/>
    <w:rsid w:val="59E3785A"/>
    <w:rsid w:val="5A067576"/>
    <w:rsid w:val="5A091D0E"/>
    <w:rsid w:val="5A171386"/>
    <w:rsid w:val="5A3C6A7B"/>
    <w:rsid w:val="5A47603E"/>
    <w:rsid w:val="5A6B62C7"/>
    <w:rsid w:val="5A6C29AE"/>
    <w:rsid w:val="5A8A28E7"/>
    <w:rsid w:val="5A8F05A9"/>
    <w:rsid w:val="5AA03DC5"/>
    <w:rsid w:val="5AA31220"/>
    <w:rsid w:val="5AC3141D"/>
    <w:rsid w:val="5ACD44BB"/>
    <w:rsid w:val="5AE66228"/>
    <w:rsid w:val="5AEB124E"/>
    <w:rsid w:val="5AEC3623"/>
    <w:rsid w:val="5AFE72DE"/>
    <w:rsid w:val="5B007AF3"/>
    <w:rsid w:val="5B1037CA"/>
    <w:rsid w:val="5B2929D2"/>
    <w:rsid w:val="5B2D2C85"/>
    <w:rsid w:val="5B3C01D2"/>
    <w:rsid w:val="5B3C6989"/>
    <w:rsid w:val="5B3E670F"/>
    <w:rsid w:val="5B3F633B"/>
    <w:rsid w:val="5B4B6BE5"/>
    <w:rsid w:val="5B4D40FB"/>
    <w:rsid w:val="5B5E1B92"/>
    <w:rsid w:val="5B622DCF"/>
    <w:rsid w:val="5B64451F"/>
    <w:rsid w:val="5B653FEC"/>
    <w:rsid w:val="5B7626FF"/>
    <w:rsid w:val="5B7918EB"/>
    <w:rsid w:val="5B7D2370"/>
    <w:rsid w:val="5B7D3123"/>
    <w:rsid w:val="5B850B34"/>
    <w:rsid w:val="5B8B68F0"/>
    <w:rsid w:val="5B8C4548"/>
    <w:rsid w:val="5B8D38D7"/>
    <w:rsid w:val="5B8F4EA4"/>
    <w:rsid w:val="5B947CAF"/>
    <w:rsid w:val="5B9C2548"/>
    <w:rsid w:val="5B9E7928"/>
    <w:rsid w:val="5BA10485"/>
    <w:rsid w:val="5BB266CE"/>
    <w:rsid w:val="5BB63D21"/>
    <w:rsid w:val="5BBA2B1E"/>
    <w:rsid w:val="5BBF140D"/>
    <w:rsid w:val="5BC94783"/>
    <w:rsid w:val="5BCB6854"/>
    <w:rsid w:val="5BD06F0D"/>
    <w:rsid w:val="5BDA3ED6"/>
    <w:rsid w:val="5BE10DB2"/>
    <w:rsid w:val="5BE12BC2"/>
    <w:rsid w:val="5BE66C3A"/>
    <w:rsid w:val="5C0955B5"/>
    <w:rsid w:val="5C0A0D89"/>
    <w:rsid w:val="5C0B6CBA"/>
    <w:rsid w:val="5C0E6B06"/>
    <w:rsid w:val="5C16412D"/>
    <w:rsid w:val="5C18500B"/>
    <w:rsid w:val="5C1D6B5E"/>
    <w:rsid w:val="5C212BCC"/>
    <w:rsid w:val="5C234E85"/>
    <w:rsid w:val="5C2368FB"/>
    <w:rsid w:val="5C2E625A"/>
    <w:rsid w:val="5C393E1B"/>
    <w:rsid w:val="5C513573"/>
    <w:rsid w:val="5C585B61"/>
    <w:rsid w:val="5C5D0E1B"/>
    <w:rsid w:val="5C600D54"/>
    <w:rsid w:val="5C6A2201"/>
    <w:rsid w:val="5C750EA9"/>
    <w:rsid w:val="5C7C5DE8"/>
    <w:rsid w:val="5C7E2152"/>
    <w:rsid w:val="5C8C3C74"/>
    <w:rsid w:val="5C91595B"/>
    <w:rsid w:val="5C955693"/>
    <w:rsid w:val="5CA105EA"/>
    <w:rsid w:val="5CAA4CF4"/>
    <w:rsid w:val="5CB40F36"/>
    <w:rsid w:val="5CBE1BDD"/>
    <w:rsid w:val="5CBF7574"/>
    <w:rsid w:val="5CC64AF2"/>
    <w:rsid w:val="5CCD140D"/>
    <w:rsid w:val="5CCD7788"/>
    <w:rsid w:val="5CCE46F1"/>
    <w:rsid w:val="5CD23859"/>
    <w:rsid w:val="5CDC1DF6"/>
    <w:rsid w:val="5CDD6C22"/>
    <w:rsid w:val="5CE151FB"/>
    <w:rsid w:val="5CE3339B"/>
    <w:rsid w:val="5CEC60F0"/>
    <w:rsid w:val="5CFD4B57"/>
    <w:rsid w:val="5D015BB6"/>
    <w:rsid w:val="5D0B22C5"/>
    <w:rsid w:val="5D0F092C"/>
    <w:rsid w:val="5D1916D2"/>
    <w:rsid w:val="5D207073"/>
    <w:rsid w:val="5D2B78B5"/>
    <w:rsid w:val="5D2D75AA"/>
    <w:rsid w:val="5D3621E0"/>
    <w:rsid w:val="5D372931"/>
    <w:rsid w:val="5D3B2B48"/>
    <w:rsid w:val="5D4621E6"/>
    <w:rsid w:val="5D47381B"/>
    <w:rsid w:val="5D495789"/>
    <w:rsid w:val="5D511A55"/>
    <w:rsid w:val="5D581AEB"/>
    <w:rsid w:val="5D647C32"/>
    <w:rsid w:val="5D685520"/>
    <w:rsid w:val="5D6B410E"/>
    <w:rsid w:val="5D754762"/>
    <w:rsid w:val="5D75560C"/>
    <w:rsid w:val="5D812F22"/>
    <w:rsid w:val="5D826928"/>
    <w:rsid w:val="5D9B486D"/>
    <w:rsid w:val="5D9F44ED"/>
    <w:rsid w:val="5DA04160"/>
    <w:rsid w:val="5DAF7E6D"/>
    <w:rsid w:val="5DB95187"/>
    <w:rsid w:val="5DBA11F7"/>
    <w:rsid w:val="5DBA2A56"/>
    <w:rsid w:val="5DC075AF"/>
    <w:rsid w:val="5DC40DCB"/>
    <w:rsid w:val="5DC45326"/>
    <w:rsid w:val="5DC57B6D"/>
    <w:rsid w:val="5DCA4822"/>
    <w:rsid w:val="5DCE3B38"/>
    <w:rsid w:val="5DD50F3C"/>
    <w:rsid w:val="5DD77912"/>
    <w:rsid w:val="5DDA6CEE"/>
    <w:rsid w:val="5DE27339"/>
    <w:rsid w:val="5DF00C74"/>
    <w:rsid w:val="5DF241E6"/>
    <w:rsid w:val="5DF74BEB"/>
    <w:rsid w:val="5DFC2FAD"/>
    <w:rsid w:val="5DFD3EDC"/>
    <w:rsid w:val="5E0B6AAF"/>
    <w:rsid w:val="5E157DF7"/>
    <w:rsid w:val="5E1925DB"/>
    <w:rsid w:val="5E243F10"/>
    <w:rsid w:val="5E2D441D"/>
    <w:rsid w:val="5E3A6A52"/>
    <w:rsid w:val="5E4D352B"/>
    <w:rsid w:val="5E512226"/>
    <w:rsid w:val="5E62456B"/>
    <w:rsid w:val="5E626CFC"/>
    <w:rsid w:val="5E655376"/>
    <w:rsid w:val="5E6C12F3"/>
    <w:rsid w:val="5E6C6141"/>
    <w:rsid w:val="5E7B591B"/>
    <w:rsid w:val="5E8451EA"/>
    <w:rsid w:val="5E9535C4"/>
    <w:rsid w:val="5E970E2E"/>
    <w:rsid w:val="5E9C20B0"/>
    <w:rsid w:val="5E9E3BFF"/>
    <w:rsid w:val="5EAF474F"/>
    <w:rsid w:val="5EB75CE2"/>
    <w:rsid w:val="5EBC1CCF"/>
    <w:rsid w:val="5EC217E2"/>
    <w:rsid w:val="5EC4662E"/>
    <w:rsid w:val="5ECB587A"/>
    <w:rsid w:val="5ED813EB"/>
    <w:rsid w:val="5EDF5572"/>
    <w:rsid w:val="5EE05984"/>
    <w:rsid w:val="5EE26327"/>
    <w:rsid w:val="5EF83F24"/>
    <w:rsid w:val="5EF943EE"/>
    <w:rsid w:val="5F107959"/>
    <w:rsid w:val="5F1C1A3F"/>
    <w:rsid w:val="5F283F29"/>
    <w:rsid w:val="5F2F1F19"/>
    <w:rsid w:val="5F301390"/>
    <w:rsid w:val="5F350C7B"/>
    <w:rsid w:val="5F3A4430"/>
    <w:rsid w:val="5F474359"/>
    <w:rsid w:val="5F5137D1"/>
    <w:rsid w:val="5F520D87"/>
    <w:rsid w:val="5F5B0D8C"/>
    <w:rsid w:val="5F6132B0"/>
    <w:rsid w:val="5F674689"/>
    <w:rsid w:val="5F7750E1"/>
    <w:rsid w:val="5F7D3A51"/>
    <w:rsid w:val="5F803EDD"/>
    <w:rsid w:val="5F8462A4"/>
    <w:rsid w:val="5F8C57C3"/>
    <w:rsid w:val="5F9F1FF1"/>
    <w:rsid w:val="5FA07AA1"/>
    <w:rsid w:val="5FAA796F"/>
    <w:rsid w:val="5FAC3F09"/>
    <w:rsid w:val="5FB119D3"/>
    <w:rsid w:val="5FB337A5"/>
    <w:rsid w:val="5FD25E38"/>
    <w:rsid w:val="5FD61221"/>
    <w:rsid w:val="5FDB3A53"/>
    <w:rsid w:val="5FDE5F5E"/>
    <w:rsid w:val="5FE573DA"/>
    <w:rsid w:val="5FF03080"/>
    <w:rsid w:val="5FF52CA0"/>
    <w:rsid w:val="5FF87A34"/>
    <w:rsid w:val="5FFD11D8"/>
    <w:rsid w:val="600036DC"/>
    <w:rsid w:val="600146CE"/>
    <w:rsid w:val="600218AE"/>
    <w:rsid w:val="60021EC4"/>
    <w:rsid w:val="601408DC"/>
    <w:rsid w:val="6020673F"/>
    <w:rsid w:val="60211332"/>
    <w:rsid w:val="60267321"/>
    <w:rsid w:val="60296CA1"/>
    <w:rsid w:val="602B0A4C"/>
    <w:rsid w:val="602B24AD"/>
    <w:rsid w:val="6046391A"/>
    <w:rsid w:val="60580878"/>
    <w:rsid w:val="605D005A"/>
    <w:rsid w:val="605D1CAD"/>
    <w:rsid w:val="606031BD"/>
    <w:rsid w:val="6074573F"/>
    <w:rsid w:val="60792DA4"/>
    <w:rsid w:val="607B5947"/>
    <w:rsid w:val="607D6B87"/>
    <w:rsid w:val="6080280E"/>
    <w:rsid w:val="608650E4"/>
    <w:rsid w:val="609326EE"/>
    <w:rsid w:val="60970053"/>
    <w:rsid w:val="609B6342"/>
    <w:rsid w:val="60A71A7A"/>
    <w:rsid w:val="60A9652C"/>
    <w:rsid w:val="60AA7534"/>
    <w:rsid w:val="60C51579"/>
    <w:rsid w:val="60D010E2"/>
    <w:rsid w:val="60F26C88"/>
    <w:rsid w:val="60F349F2"/>
    <w:rsid w:val="60F506BA"/>
    <w:rsid w:val="6101609E"/>
    <w:rsid w:val="6108381F"/>
    <w:rsid w:val="610F3912"/>
    <w:rsid w:val="61122A00"/>
    <w:rsid w:val="61135415"/>
    <w:rsid w:val="6119039F"/>
    <w:rsid w:val="61265553"/>
    <w:rsid w:val="6138487F"/>
    <w:rsid w:val="613B067A"/>
    <w:rsid w:val="61430A57"/>
    <w:rsid w:val="61456BC4"/>
    <w:rsid w:val="614F5359"/>
    <w:rsid w:val="61504724"/>
    <w:rsid w:val="615D1EB2"/>
    <w:rsid w:val="61636709"/>
    <w:rsid w:val="61665A70"/>
    <w:rsid w:val="617350E8"/>
    <w:rsid w:val="61750E9B"/>
    <w:rsid w:val="6175733D"/>
    <w:rsid w:val="617C5B98"/>
    <w:rsid w:val="617E3E23"/>
    <w:rsid w:val="617E7EBD"/>
    <w:rsid w:val="61883F61"/>
    <w:rsid w:val="619639E3"/>
    <w:rsid w:val="619C25D9"/>
    <w:rsid w:val="61A62889"/>
    <w:rsid w:val="61A84853"/>
    <w:rsid w:val="61AE16D9"/>
    <w:rsid w:val="61B03ED3"/>
    <w:rsid w:val="61B202CC"/>
    <w:rsid w:val="61B22059"/>
    <w:rsid w:val="61C74C95"/>
    <w:rsid w:val="61CA3EEF"/>
    <w:rsid w:val="61CB61C3"/>
    <w:rsid w:val="61D05E23"/>
    <w:rsid w:val="61E04889"/>
    <w:rsid w:val="61E1338D"/>
    <w:rsid w:val="61E85CCD"/>
    <w:rsid w:val="61EE58C7"/>
    <w:rsid w:val="61FD56F6"/>
    <w:rsid w:val="622355EC"/>
    <w:rsid w:val="622D07E1"/>
    <w:rsid w:val="622F0C69"/>
    <w:rsid w:val="622F532C"/>
    <w:rsid w:val="62367158"/>
    <w:rsid w:val="6237563F"/>
    <w:rsid w:val="623B32AD"/>
    <w:rsid w:val="623F08AD"/>
    <w:rsid w:val="623F30F9"/>
    <w:rsid w:val="624105F9"/>
    <w:rsid w:val="62410C44"/>
    <w:rsid w:val="62424D93"/>
    <w:rsid w:val="624B209A"/>
    <w:rsid w:val="624E6034"/>
    <w:rsid w:val="625F441D"/>
    <w:rsid w:val="626207D3"/>
    <w:rsid w:val="62672226"/>
    <w:rsid w:val="626805E1"/>
    <w:rsid w:val="626B5C7F"/>
    <w:rsid w:val="626E1C6C"/>
    <w:rsid w:val="628E2BF5"/>
    <w:rsid w:val="629A5539"/>
    <w:rsid w:val="62AA3C3E"/>
    <w:rsid w:val="62AE4E45"/>
    <w:rsid w:val="62B04FDB"/>
    <w:rsid w:val="62BF3309"/>
    <w:rsid w:val="62C05E18"/>
    <w:rsid w:val="62C71F33"/>
    <w:rsid w:val="62D5118D"/>
    <w:rsid w:val="62D901FA"/>
    <w:rsid w:val="62E070D4"/>
    <w:rsid w:val="62E51897"/>
    <w:rsid w:val="62E62856"/>
    <w:rsid w:val="62EF00DE"/>
    <w:rsid w:val="62F178C1"/>
    <w:rsid w:val="62FC4F3D"/>
    <w:rsid w:val="63042FA0"/>
    <w:rsid w:val="630E449B"/>
    <w:rsid w:val="632026AC"/>
    <w:rsid w:val="632134BC"/>
    <w:rsid w:val="633571CE"/>
    <w:rsid w:val="63375F41"/>
    <w:rsid w:val="63387E58"/>
    <w:rsid w:val="633D730E"/>
    <w:rsid w:val="633F0C93"/>
    <w:rsid w:val="634A2FC1"/>
    <w:rsid w:val="634E534E"/>
    <w:rsid w:val="635150B7"/>
    <w:rsid w:val="63576604"/>
    <w:rsid w:val="635B76A3"/>
    <w:rsid w:val="6360443D"/>
    <w:rsid w:val="63622357"/>
    <w:rsid w:val="63682A91"/>
    <w:rsid w:val="637C2AB2"/>
    <w:rsid w:val="63860CF4"/>
    <w:rsid w:val="638D1358"/>
    <w:rsid w:val="639E2A57"/>
    <w:rsid w:val="63BA71F2"/>
    <w:rsid w:val="63BB5B38"/>
    <w:rsid w:val="63CE24C5"/>
    <w:rsid w:val="63D211EA"/>
    <w:rsid w:val="63E83879"/>
    <w:rsid w:val="640E6C09"/>
    <w:rsid w:val="6428193C"/>
    <w:rsid w:val="64356463"/>
    <w:rsid w:val="643B25AE"/>
    <w:rsid w:val="644626BC"/>
    <w:rsid w:val="64515FF4"/>
    <w:rsid w:val="64615EC7"/>
    <w:rsid w:val="64624020"/>
    <w:rsid w:val="646851FF"/>
    <w:rsid w:val="647437E0"/>
    <w:rsid w:val="647A0D77"/>
    <w:rsid w:val="648B4EE5"/>
    <w:rsid w:val="648B5122"/>
    <w:rsid w:val="648C58BD"/>
    <w:rsid w:val="649015CE"/>
    <w:rsid w:val="649100DD"/>
    <w:rsid w:val="6494345A"/>
    <w:rsid w:val="649A29BA"/>
    <w:rsid w:val="64A14132"/>
    <w:rsid w:val="64A16DE0"/>
    <w:rsid w:val="64A87305"/>
    <w:rsid w:val="64A96E67"/>
    <w:rsid w:val="64AE0CD2"/>
    <w:rsid w:val="64B7668A"/>
    <w:rsid w:val="64BF6689"/>
    <w:rsid w:val="64CE5A52"/>
    <w:rsid w:val="64D22BCC"/>
    <w:rsid w:val="64D8570C"/>
    <w:rsid w:val="64E71F39"/>
    <w:rsid w:val="64E87E01"/>
    <w:rsid w:val="64EF3587"/>
    <w:rsid w:val="64F90138"/>
    <w:rsid w:val="65016DB1"/>
    <w:rsid w:val="65023C38"/>
    <w:rsid w:val="65030E40"/>
    <w:rsid w:val="650F1095"/>
    <w:rsid w:val="6513318E"/>
    <w:rsid w:val="651A7FF3"/>
    <w:rsid w:val="651E283D"/>
    <w:rsid w:val="652011DA"/>
    <w:rsid w:val="652A2FE2"/>
    <w:rsid w:val="6537197C"/>
    <w:rsid w:val="65382018"/>
    <w:rsid w:val="65392389"/>
    <w:rsid w:val="654621AE"/>
    <w:rsid w:val="65492010"/>
    <w:rsid w:val="654A7077"/>
    <w:rsid w:val="654C307D"/>
    <w:rsid w:val="65533349"/>
    <w:rsid w:val="6557543A"/>
    <w:rsid w:val="65586583"/>
    <w:rsid w:val="655C21A7"/>
    <w:rsid w:val="655C3CA4"/>
    <w:rsid w:val="655F5EAC"/>
    <w:rsid w:val="65652DD6"/>
    <w:rsid w:val="65672CD3"/>
    <w:rsid w:val="656774AD"/>
    <w:rsid w:val="656A683C"/>
    <w:rsid w:val="65726E71"/>
    <w:rsid w:val="658110AE"/>
    <w:rsid w:val="65875CFF"/>
    <w:rsid w:val="65896F83"/>
    <w:rsid w:val="65924FBB"/>
    <w:rsid w:val="65AA326C"/>
    <w:rsid w:val="65AC1CED"/>
    <w:rsid w:val="65AD1926"/>
    <w:rsid w:val="65B93FA8"/>
    <w:rsid w:val="65C54CA0"/>
    <w:rsid w:val="65C62C85"/>
    <w:rsid w:val="65C66BBE"/>
    <w:rsid w:val="65CA3DB0"/>
    <w:rsid w:val="65D02E89"/>
    <w:rsid w:val="65D24584"/>
    <w:rsid w:val="65DD432E"/>
    <w:rsid w:val="65DF2544"/>
    <w:rsid w:val="65E16EEC"/>
    <w:rsid w:val="65E8756B"/>
    <w:rsid w:val="65F72BC7"/>
    <w:rsid w:val="65FF1B0D"/>
    <w:rsid w:val="66065927"/>
    <w:rsid w:val="662270E9"/>
    <w:rsid w:val="663056DC"/>
    <w:rsid w:val="66333ABA"/>
    <w:rsid w:val="663521C3"/>
    <w:rsid w:val="66475499"/>
    <w:rsid w:val="665516FE"/>
    <w:rsid w:val="66577D54"/>
    <w:rsid w:val="665F1B0E"/>
    <w:rsid w:val="66637B26"/>
    <w:rsid w:val="66666A8A"/>
    <w:rsid w:val="666E6B0D"/>
    <w:rsid w:val="6674258C"/>
    <w:rsid w:val="66745BDF"/>
    <w:rsid w:val="6684111B"/>
    <w:rsid w:val="66883300"/>
    <w:rsid w:val="668B5557"/>
    <w:rsid w:val="669044B2"/>
    <w:rsid w:val="66906D0A"/>
    <w:rsid w:val="66962B31"/>
    <w:rsid w:val="66964F28"/>
    <w:rsid w:val="66A413AB"/>
    <w:rsid w:val="66B02013"/>
    <w:rsid w:val="66B527A1"/>
    <w:rsid w:val="66B66CE1"/>
    <w:rsid w:val="66C27E6F"/>
    <w:rsid w:val="66C65A86"/>
    <w:rsid w:val="66D57656"/>
    <w:rsid w:val="66E51010"/>
    <w:rsid w:val="66EA16A7"/>
    <w:rsid w:val="66EC1D2C"/>
    <w:rsid w:val="66F03CAA"/>
    <w:rsid w:val="66F8135B"/>
    <w:rsid w:val="66FB03E7"/>
    <w:rsid w:val="6704255B"/>
    <w:rsid w:val="671B50EA"/>
    <w:rsid w:val="671E44EF"/>
    <w:rsid w:val="672160A6"/>
    <w:rsid w:val="673817BD"/>
    <w:rsid w:val="673B753A"/>
    <w:rsid w:val="6756512E"/>
    <w:rsid w:val="67597AAD"/>
    <w:rsid w:val="675D4306"/>
    <w:rsid w:val="67684B4A"/>
    <w:rsid w:val="6771366E"/>
    <w:rsid w:val="67816EC0"/>
    <w:rsid w:val="67861A52"/>
    <w:rsid w:val="67873703"/>
    <w:rsid w:val="678C7A5C"/>
    <w:rsid w:val="67A57571"/>
    <w:rsid w:val="67A61E21"/>
    <w:rsid w:val="67A9676A"/>
    <w:rsid w:val="67BB2CAB"/>
    <w:rsid w:val="67BF675F"/>
    <w:rsid w:val="67CA3A7E"/>
    <w:rsid w:val="67CD3CA9"/>
    <w:rsid w:val="67CF1A6C"/>
    <w:rsid w:val="67D87BCB"/>
    <w:rsid w:val="67E47496"/>
    <w:rsid w:val="67EE0F69"/>
    <w:rsid w:val="68073540"/>
    <w:rsid w:val="68096D9B"/>
    <w:rsid w:val="68131C4D"/>
    <w:rsid w:val="6816734B"/>
    <w:rsid w:val="681B6CDB"/>
    <w:rsid w:val="6820553C"/>
    <w:rsid w:val="68243786"/>
    <w:rsid w:val="682E6ECF"/>
    <w:rsid w:val="6831437B"/>
    <w:rsid w:val="683C60C6"/>
    <w:rsid w:val="68480EDB"/>
    <w:rsid w:val="68481807"/>
    <w:rsid w:val="684A0200"/>
    <w:rsid w:val="685C2E7C"/>
    <w:rsid w:val="68603D5E"/>
    <w:rsid w:val="68640200"/>
    <w:rsid w:val="686934EC"/>
    <w:rsid w:val="686942D7"/>
    <w:rsid w:val="686D585A"/>
    <w:rsid w:val="686F229F"/>
    <w:rsid w:val="6871274F"/>
    <w:rsid w:val="687362E0"/>
    <w:rsid w:val="68747DCB"/>
    <w:rsid w:val="68887994"/>
    <w:rsid w:val="688A2F5F"/>
    <w:rsid w:val="688E7AC8"/>
    <w:rsid w:val="68906E8A"/>
    <w:rsid w:val="689471DE"/>
    <w:rsid w:val="6897264A"/>
    <w:rsid w:val="689E5D8F"/>
    <w:rsid w:val="68A0174A"/>
    <w:rsid w:val="68B70E04"/>
    <w:rsid w:val="68CC6A17"/>
    <w:rsid w:val="68D0527C"/>
    <w:rsid w:val="68E22EC0"/>
    <w:rsid w:val="68E861AF"/>
    <w:rsid w:val="68FB25D5"/>
    <w:rsid w:val="69025EAD"/>
    <w:rsid w:val="690A4F43"/>
    <w:rsid w:val="690A581C"/>
    <w:rsid w:val="690B47D7"/>
    <w:rsid w:val="691A28AC"/>
    <w:rsid w:val="69224545"/>
    <w:rsid w:val="69251D30"/>
    <w:rsid w:val="693C3BC4"/>
    <w:rsid w:val="693E7E17"/>
    <w:rsid w:val="695005E3"/>
    <w:rsid w:val="695B73CB"/>
    <w:rsid w:val="695D6B65"/>
    <w:rsid w:val="69605595"/>
    <w:rsid w:val="69625C67"/>
    <w:rsid w:val="69643F09"/>
    <w:rsid w:val="696A27F2"/>
    <w:rsid w:val="696E0120"/>
    <w:rsid w:val="69713596"/>
    <w:rsid w:val="6981347B"/>
    <w:rsid w:val="698D6A98"/>
    <w:rsid w:val="69921A0C"/>
    <w:rsid w:val="69982241"/>
    <w:rsid w:val="699C38ED"/>
    <w:rsid w:val="69A462A5"/>
    <w:rsid w:val="69A65868"/>
    <w:rsid w:val="69A839C8"/>
    <w:rsid w:val="69B13E7D"/>
    <w:rsid w:val="69B45D59"/>
    <w:rsid w:val="69B72A66"/>
    <w:rsid w:val="69B765B7"/>
    <w:rsid w:val="69B9654F"/>
    <w:rsid w:val="69BD5CFD"/>
    <w:rsid w:val="69C51B45"/>
    <w:rsid w:val="69CE5900"/>
    <w:rsid w:val="69D34A6A"/>
    <w:rsid w:val="69DA57A8"/>
    <w:rsid w:val="69DD67E8"/>
    <w:rsid w:val="69DD70B7"/>
    <w:rsid w:val="69E11FF7"/>
    <w:rsid w:val="69E56102"/>
    <w:rsid w:val="69E71449"/>
    <w:rsid w:val="69E71D57"/>
    <w:rsid w:val="69EE21ED"/>
    <w:rsid w:val="69F96901"/>
    <w:rsid w:val="69FC68B7"/>
    <w:rsid w:val="6A0740E0"/>
    <w:rsid w:val="6A1E4F77"/>
    <w:rsid w:val="6A1F45F7"/>
    <w:rsid w:val="6A217063"/>
    <w:rsid w:val="6A3364D7"/>
    <w:rsid w:val="6A352370"/>
    <w:rsid w:val="6A366E44"/>
    <w:rsid w:val="6A3A1955"/>
    <w:rsid w:val="6A3B0964"/>
    <w:rsid w:val="6A400043"/>
    <w:rsid w:val="6A4D19BD"/>
    <w:rsid w:val="6A4E1DD9"/>
    <w:rsid w:val="6A5E72B9"/>
    <w:rsid w:val="6A6167C1"/>
    <w:rsid w:val="6A675140"/>
    <w:rsid w:val="6A6A25C5"/>
    <w:rsid w:val="6A6B7533"/>
    <w:rsid w:val="6A6C52D4"/>
    <w:rsid w:val="6A6F68A7"/>
    <w:rsid w:val="6A776A28"/>
    <w:rsid w:val="6A7B02CE"/>
    <w:rsid w:val="6A86504A"/>
    <w:rsid w:val="6A934DCF"/>
    <w:rsid w:val="6A9B732E"/>
    <w:rsid w:val="6AA72182"/>
    <w:rsid w:val="6AAB31A8"/>
    <w:rsid w:val="6AB06526"/>
    <w:rsid w:val="6AB07108"/>
    <w:rsid w:val="6AB327BB"/>
    <w:rsid w:val="6AB33D94"/>
    <w:rsid w:val="6AB63920"/>
    <w:rsid w:val="6AB861E8"/>
    <w:rsid w:val="6AC324A0"/>
    <w:rsid w:val="6ACA63DC"/>
    <w:rsid w:val="6AD6738C"/>
    <w:rsid w:val="6AE210B9"/>
    <w:rsid w:val="6AE942D0"/>
    <w:rsid w:val="6AEC4ED0"/>
    <w:rsid w:val="6AEF37F2"/>
    <w:rsid w:val="6B04451B"/>
    <w:rsid w:val="6B052241"/>
    <w:rsid w:val="6B057C5A"/>
    <w:rsid w:val="6B105DB6"/>
    <w:rsid w:val="6B136E5D"/>
    <w:rsid w:val="6B143431"/>
    <w:rsid w:val="6B160484"/>
    <w:rsid w:val="6B291FA2"/>
    <w:rsid w:val="6B2E2B70"/>
    <w:rsid w:val="6B321D17"/>
    <w:rsid w:val="6B331782"/>
    <w:rsid w:val="6B3C3896"/>
    <w:rsid w:val="6B413470"/>
    <w:rsid w:val="6B415983"/>
    <w:rsid w:val="6B4A727C"/>
    <w:rsid w:val="6B4C6A8E"/>
    <w:rsid w:val="6B5600F8"/>
    <w:rsid w:val="6B5719BE"/>
    <w:rsid w:val="6B577255"/>
    <w:rsid w:val="6B6A1DA5"/>
    <w:rsid w:val="6B7058D5"/>
    <w:rsid w:val="6B736FE9"/>
    <w:rsid w:val="6B82746D"/>
    <w:rsid w:val="6B85315E"/>
    <w:rsid w:val="6B8B37FF"/>
    <w:rsid w:val="6B8D6146"/>
    <w:rsid w:val="6BA141AC"/>
    <w:rsid w:val="6BA9682E"/>
    <w:rsid w:val="6BAF1614"/>
    <w:rsid w:val="6BB104BA"/>
    <w:rsid w:val="6BB24E37"/>
    <w:rsid w:val="6BD208CC"/>
    <w:rsid w:val="6BD90F2C"/>
    <w:rsid w:val="6BDE014C"/>
    <w:rsid w:val="6BDF5424"/>
    <w:rsid w:val="6BE36C43"/>
    <w:rsid w:val="6BF329A4"/>
    <w:rsid w:val="6BFC40D4"/>
    <w:rsid w:val="6BFF6F2E"/>
    <w:rsid w:val="6C01002B"/>
    <w:rsid w:val="6C0576D4"/>
    <w:rsid w:val="6C096309"/>
    <w:rsid w:val="6C180140"/>
    <w:rsid w:val="6C1E2923"/>
    <w:rsid w:val="6C21205C"/>
    <w:rsid w:val="6C250CEA"/>
    <w:rsid w:val="6C252D99"/>
    <w:rsid w:val="6C304F6F"/>
    <w:rsid w:val="6C503C0C"/>
    <w:rsid w:val="6C554AF3"/>
    <w:rsid w:val="6C6350A7"/>
    <w:rsid w:val="6C7433DF"/>
    <w:rsid w:val="6C7E6E0D"/>
    <w:rsid w:val="6C87095B"/>
    <w:rsid w:val="6C88066C"/>
    <w:rsid w:val="6C8B1FFD"/>
    <w:rsid w:val="6C980328"/>
    <w:rsid w:val="6C9B4516"/>
    <w:rsid w:val="6CA04A9C"/>
    <w:rsid w:val="6CAD0FC3"/>
    <w:rsid w:val="6CAF598B"/>
    <w:rsid w:val="6CC94F1D"/>
    <w:rsid w:val="6CD65DFF"/>
    <w:rsid w:val="6CDD229A"/>
    <w:rsid w:val="6CED0433"/>
    <w:rsid w:val="6CF431D3"/>
    <w:rsid w:val="6CF675EA"/>
    <w:rsid w:val="6D13147F"/>
    <w:rsid w:val="6D2649E7"/>
    <w:rsid w:val="6D2B0BC5"/>
    <w:rsid w:val="6D35077A"/>
    <w:rsid w:val="6D382550"/>
    <w:rsid w:val="6D422B16"/>
    <w:rsid w:val="6D46273A"/>
    <w:rsid w:val="6D4A6963"/>
    <w:rsid w:val="6D4F74C9"/>
    <w:rsid w:val="6D5A28EA"/>
    <w:rsid w:val="6D6B34E8"/>
    <w:rsid w:val="6D6C257C"/>
    <w:rsid w:val="6D764F65"/>
    <w:rsid w:val="6D7C1F22"/>
    <w:rsid w:val="6D7D0FA7"/>
    <w:rsid w:val="6D7F79A1"/>
    <w:rsid w:val="6D867487"/>
    <w:rsid w:val="6D885538"/>
    <w:rsid w:val="6D910838"/>
    <w:rsid w:val="6D944C96"/>
    <w:rsid w:val="6D9749A8"/>
    <w:rsid w:val="6D9C7D46"/>
    <w:rsid w:val="6DB3230D"/>
    <w:rsid w:val="6DC4765E"/>
    <w:rsid w:val="6DCA25F1"/>
    <w:rsid w:val="6DD27235"/>
    <w:rsid w:val="6DD422A0"/>
    <w:rsid w:val="6DDF7A59"/>
    <w:rsid w:val="6DEC3182"/>
    <w:rsid w:val="6DF56093"/>
    <w:rsid w:val="6DF904A3"/>
    <w:rsid w:val="6DFA2AD8"/>
    <w:rsid w:val="6DFB4FC6"/>
    <w:rsid w:val="6DFE1194"/>
    <w:rsid w:val="6E091A75"/>
    <w:rsid w:val="6E0D3410"/>
    <w:rsid w:val="6E117A75"/>
    <w:rsid w:val="6E1D2133"/>
    <w:rsid w:val="6E1F358F"/>
    <w:rsid w:val="6E211245"/>
    <w:rsid w:val="6E243C84"/>
    <w:rsid w:val="6E301E58"/>
    <w:rsid w:val="6E323378"/>
    <w:rsid w:val="6E3627E0"/>
    <w:rsid w:val="6E38049D"/>
    <w:rsid w:val="6E4632D1"/>
    <w:rsid w:val="6E47103F"/>
    <w:rsid w:val="6E483A6E"/>
    <w:rsid w:val="6E4C2A0A"/>
    <w:rsid w:val="6E4C6247"/>
    <w:rsid w:val="6E5A1378"/>
    <w:rsid w:val="6E605685"/>
    <w:rsid w:val="6E832A15"/>
    <w:rsid w:val="6E8F45D5"/>
    <w:rsid w:val="6E905549"/>
    <w:rsid w:val="6E98678F"/>
    <w:rsid w:val="6E9C7E79"/>
    <w:rsid w:val="6E9D2522"/>
    <w:rsid w:val="6E9D3181"/>
    <w:rsid w:val="6E9D530D"/>
    <w:rsid w:val="6EAB19B8"/>
    <w:rsid w:val="6EAF1D49"/>
    <w:rsid w:val="6EC656BD"/>
    <w:rsid w:val="6ECA242A"/>
    <w:rsid w:val="6ED30E4D"/>
    <w:rsid w:val="6ED44103"/>
    <w:rsid w:val="6ED80987"/>
    <w:rsid w:val="6ED92835"/>
    <w:rsid w:val="6EDC0FC9"/>
    <w:rsid w:val="6EE167BA"/>
    <w:rsid w:val="6EE76571"/>
    <w:rsid w:val="6EFF25E1"/>
    <w:rsid w:val="6F184D75"/>
    <w:rsid w:val="6F23662B"/>
    <w:rsid w:val="6F246662"/>
    <w:rsid w:val="6F2B4161"/>
    <w:rsid w:val="6F467661"/>
    <w:rsid w:val="6F4E2F6E"/>
    <w:rsid w:val="6F5B189D"/>
    <w:rsid w:val="6F5F7AC5"/>
    <w:rsid w:val="6F6014CD"/>
    <w:rsid w:val="6F6315EF"/>
    <w:rsid w:val="6F6A219B"/>
    <w:rsid w:val="6F79465C"/>
    <w:rsid w:val="6F850274"/>
    <w:rsid w:val="6F85557D"/>
    <w:rsid w:val="6F8B2FC9"/>
    <w:rsid w:val="6F8D03C1"/>
    <w:rsid w:val="6F901B6B"/>
    <w:rsid w:val="6F965ED7"/>
    <w:rsid w:val="6FAD4076"/>
    <w:rsid w:val="6FAE66D6"/>
    <w:rsid w:val="6FB83B54"/>
    <w:rsid w:val="6FBF456A"/>
    <w:rsid w:val="6FC94A52"/>
    <w:rsid w:val="6FCF5DF5"/>
    <w:rsid w:val="6FD24DC8"/>
    <w:rsid w:val="6FE45E18"/>
    <w:rsid w:val="6FE76230"/>
    <w:rsid w:val="6FE83C29"/>
    <w:rsid w:val="6FEB60CB"/>
    <w:rsid w:val="6FF15507"/>
    <w:rsid w:val="6FF2149A"/>
    <w:rsid w:val="6FF35A64"/>
    <w:rsid w:val="6FF9352E"/>
    <w:rsid w:val="6FFF0F25"/>
    <w:rsid w:val="700A2AA5"/>
    <w:rsid w:val="70161616"/>
    <w:rsid w:val="70174F47"/>
    <w:rsid w:val="70197428"/>
    <w:rsid w:val="7028791F"/>
    <w:rsid w:val="702E273D"/>
    <w:rsid w:val="7030005B"/>
    <w:rsid w:val="70371646"/>
    <w:rsid w:val="703758B7"/>
    <w:rsid w:val="703B2022"/>
    <w:rsid w:val="704827F5"/>
    <w:rsid w:val="704A0826"/>
    <w:rsid w:val="70526C36"/>
    <w:rsid w:val="70606711"/>
    <w:rsid w:val="70775AB7"/>
    <w:rsid w:val="70793813"/>
    <w:rsid w:val="707A67ED"/>
    <w:rsid w:val="7081134E"/>
    <w:rsid w:val="7081300D"/>
    <w:rsid w:val="7083188E"/>
    <w:rsid w:val="70845CD6"/>
    <w:rsid w:val="709950D9"/>
    <w:rsid w:val="70AD5AAA"/>
    <w:rsid w:val="70B76F97"/>
    <w:rsid w:val="70BE7139"/>
    <w:rsid w:val="70BF26AA"/>
    <w:rsid w:val="70C45577"/>
    <w:rsid w:val="70C65A5D"/>
    <w:rsid w:val="70CC1E2E"/>
    <w:rsid w:val="70D0347E"/>
    <w:rsid w:val="70D43706"/>
    <w:rsid w:val="70D8770E"/>
    <w:rsid w:val="70EF4100"/>
    <w:rsid w:val="70F05F18"/>
    <w:rsid w:val="70F65070"/>
    <w:rsid w:val="70FA0B13"/>
    <w:rsid w:val="70FD7E67"/>
    <w:rsid w:val="7100512A"/>
    <w:rsid w:val="71040F1D"/>
    <w:rsid w:val="71097BE1"/>
    <w:rsid w:val="712309E9"/>
    <w:rsid w:val="7123233B"/>
    <w:rsid w:val="71237E6B"/>
    <w:rsid w:val="712E3697"/>
    <w:rsid w:val="71314A0E"/>
    <w:rsid w:val="71495E52"/>
    <w:rsid w:val="714A785F"/>
    <w:rsid w:val="715559DB"/>
    <w:rsid w:val="715D160A"/>
    <w:rsid w:val="71614B15"/>
    <w:rsid w:val="71761D94"/>
    <w:rsid w:val="717E4CF6"/>
    <w:rsid w:val="717F7CD6"/>
    <w:rsid w:val="71845DFE"/>
    <w:rsid w:val="71B47C24"/>
    <w:rsid w:val="71BB1991"/>
    <w:rsid w:val="71C04B78"/>
    <w:rsid w:val="71C0648F"/>
    <w:rsid w:val="71CF3736"/>
    <w:rsid w:val="71D41250"/>
    <w:rsid w:val="71D677C8"/>
    <w:rsid w:val="71F17D31"/>
    <w:rsid w:val="71F777D0"/>
    <w:rsid w:val="720539B5"/>
    <w:rsid w:val="720A5FAF"/>
    <w:rsid w:val="72171D25"/>
    <w:rsid w:val="72194564"/>
    <w:rsid w:val="72212DDA"/>
    <w:rsid w:val="7222403C"/>
    <w:rsid w:val="722A11E8"/>
    <w:rsid w:val="722D567E"/>
    <w:rsid w:val="722D66AE"/>
    <w:rsid w:val="72303859"/>
    <w:rsid w:val="723E46F8"/>
    <w:rsid w:val="724E733E"/>
    <w:rsid w:val="724F097E"/>
    <w:rsid w:val="727B76F7"/>
    <w:rsid w:val="72845A9D"/>
    <w:rsid w:val="728720C9"/>
    <w:rsid w:val="728B5404"/>
    <w:rsid w:val="72920FDA"/>
    <w:rsid w:val="7295336B"/>
    <w:rsid w:val="72960F33"/>
    <w:rsid w:val="72C140FB"/>
    <w:rsid w:val="72C15894"/>
    <w:rsid w:val="72C52929"/>
    <w:rsid w:val="72C5639F"/>
    <w:rsid w:val="72CB7486"/>
    <w:rsid w:val="72D7386D"/>
    <w:rsid w:val="72E103DA"/>
    <w:rsid w:val="72E214FA"/>
    <w:rsid w:val="72F65EE2"/>
    <w:rsid w:val="72F837CF"/>
    <w:rsid w:val="72FD275C"/>
    <w:rsid w:val="730C1DCE"/>
    <w:rsid w:val="73157414"/>
    <w:rsid w:val="73382E0E"/>
    <w:rsid w:val="733A49DF"/>
    <w:rsid w:val="735221B9"/>
    <w:rsid w:val="735868D2"/>
    <w:rsid w:val="73721D1F"/>
    <w:rsid w:val="73740466"/>
    <w:rsid w:val="73867951"/>
    <w:rsid w:val="73963935"/>
    <w:rsid w:val="739D6DDD"/>
    <w:rsid w:val="73A703D4"/>
    <w:rsid w:val="73B97F00"/>
    <w:rsid w:val="73CA7E72"/>
    <w:rsid w:val="73CB171D"/>
    <w:rsid w:val="73CB2209"/>
    <w:rsid w:val="73CF19C2"/>
    <w:rsid w:val="73CF7278"/>
    <w:rsid w:val="73F224C2"/>
    <w:rsid w:val="73FB3FC1"/>
    <w:rsid w:val="73FE1505"/>
    <w:rsid w:val="7402343A"/>
    <w:rsid w:val="740268CA"/>
    <w:rsid w:val="740F79F7"/>
    <w:rsid w:val="74213FF1"/>
    <w:rsid w:val="742316A6"/>
    <w:rsid w:val="74267EF0"/>
    <w:rsid w:val="74270041"/>
    <w:rsid w:val="743509AB"/>
    <w:rsid w:val="74362D78"/>
    <w:rsid w:val="743C0BF7"/>
    <w:rsid w:val="74410CF5"/>
    <w:rsid w:val="744B6866"/>
    <w:rsid w:val="74500A89"/>
    <w:rsid w:val="74591315"/>
    <w:rsid w:val="745C1943"/>
    <w:rsid w:val="745E7466"/>
    <w:rsid w:val="74621740"/>
    <w:rsid w:val="7462427B"/>
    <w:rsid w:val="747460DD"/>
    <w:rsid w:val="747819F4"/>
    <w:rsid w:val="74797BED"/>
    <w:rsid w:val="748A2C37"/>
    <w:rsid w:val="7494712C"/>
    <w:rsid w:val="74957892"/>
    <w:rsid w:val="7497421E"/>
    <w:rsid w:val="749F1AE5"/>
    <w:rsid w:val="74A32F63"/>
    <w:rsid w:val="74AE46D5"/>
    <w:rsid w:val="74BA3817"/>
    <w:rsid w:val="74C46620"/>
    <w:rsid w:val="74D23CA2"/>
    <w:rsid w:val="74DC234F"/>
    <w:rsid w:val="74DE3A18"/>
    <w:rsid w:val="74E6028B"/>
    <w:rsid w:val="74E62619"/>
    <w:rsid w:val="74EF5564"/>
    <w:rsid w:val="74F1599D"/>
    <w:rsid w:val="74F7528A"/>
    <w:rsid w:val="74FF3D35"/>
    <w:rsid w:val="75093B10"/>
    <w:rsid w:val="750E51BD"/>
    <w:rsid w:val="750F4631"/>
    <w:rsid w:val="751F2C63"/>
    <w:rsid w:val="752424B2"/>
    <w:rsid w:val="75271BE4"/>
    <w:rsid w:val="752A36CC"/>
    <w:rsid w:val="752E720B"/>
    <w:rsid w:val="752F45C9"/>
    <w:rsid w:val="75426119"/>
    <w:rsid w:val="75493B82"/>
    <w:rsid w:val="75513ECC"/>
    <w:rsid w:val="75532825"/>
    <w:rsid w:val="755822BF"/>
    <w:rsid w:val="75583FB4"/>
    <w:rsid w:val="755B6DC8"/>
    <w:rsid w:val="755D6EA8"/>
    <w:rsid w:val="755F4B43"/>
    <w:rsid w:val="75694CFD"/>
    <w:rsid w:val="757754B7"/>
    <w:rsid w:val="75895F20"/>
    <w:rsid w:val="7595522C"/>
    <w:rsid w:val="759D3833"/>
    <w:rsid w:val="75A1548D"/>
    <w:rsid w:val="75A8510F"/>
    <w:rsid w:val="75AF169B"/>
    <w:rsid w:val="75BC47C0"/>
    <w:rsid w:val="75CB0817"/>
    <w:rsid w:val="75CC231A"/>
    <w:rsid w:val="75CE1CA7"/>
    <w:rsid w:val="75D05ABD"/>
    <w:rsid w:val="75D47825"/>
    <w:rsid w:val="75D97A7A"/>
    <w:rsid w:val="75DA5D0A"/>
    <w:rsid w:val="75F337CB"/>
    <w:rsid w:val="75FB60C1"/>
    <w:rsid w:val="75FC7629"/>
    <w:rsid w:val="760000A7"/>
    <w:rsid w:val="7603168E"/>
    <w:rsid w:val="7607228B"/>
    <w:rsid w:val="7609155F"/>
    <w:rsid w:val="761037EF"/>
    <w:rsid w:val="761344C6"/>
    <w:rsid w:val="76235C46"/>
    <w:rsid w:val="762954AD"/>
    <w:rsid w:val="762C5C7B"/>
    <w:rsid w:val="762D5170"/>
    <w:rsid w:val="762E4285"/>
    <w:rsid w:val="76321A89"/>
    <w:rsid w:val="763B7E84"/>
    <w:rsid w:val="764E6E9B"/>
    <w:rsid w:val="765056E7"/>
    <w:rsid w:val="76642D77"/>
    <w:rsid w:val="76670425"/>
    <w:rsid w:val="76693331"/>
    <w:rsid w:val="766B3F8D"/>
    <w:rsid w:val="7671300D"/>
    <w:rsid w:val="767D1D30"/>
    <w:rsid w:val="76863204"/>
    <w:rsid w:val="76885A80"/>
    <w:rsid w:val="769275CD"/>
    <w:rsid w:val="7697629F"/>
    <w:rsid w:val="76A625A6"/>
    <w:rsid w:val="76A646F5"/>
    <w:rsid w:val="76AB0972"/>
    <w:rsid w:val="76B478D6"/>
    <w:rsid w:val="76B81518"/>
    <w:rsid w:val="76BC4F3C"/>
    <w:rsid w:val="76BC6DBC"/>
    <w:rsid w:val="76C37249"/>
    <w:rsid w:val="76C7767D"/>
    <w:rsid w:val="76C9667B"/>
    <w:rsid w:val="76D92023"/>
    <w:rsid w:val="76DA0A73"/>
    <w:rsid w:val="76DB1873"/>
    <w:rsid w:val="76E06E62"/>
    <w:rsid w:val="76EC4661"/>
    <w:rsid w:val="76EE6A99"/>
    <w:rsid w:val="76EE7565"/>
    <w:rsid w:val="76F343D9"/>
    <w:rsid w:val="76F605C0"/>
    <w:rsid w:val="76F71A1D"/>
    <w:rsid w:val="76FC1D1B"/>
    <w:rsid w:val="76FE6336"/>
    <w:rsid w:val="770F3257"/>
    <w:rsid w:val="77121FF5"/>
    <w:rsid w:val="7714118D"/>
    <w:rsid w:val="771F2C25"/>
    <w:rsid w:val="77296520"/>
    <w:rsid w:val="77326FA9"/>
    <w:rsid w:val="773C1CAD"/>
    <w:rsid w:val="7749034D"/>
    <w:rsid w:val="775247CB"/>
    <w:rsid w:val="775745B5"/>
    <w:rsid w:val="77653E93"/>
    <w:rsid w:val="777C1528"/>
    <w:rsid w:val="77876B9E"/>
    <w:rsid w:val="77931CCB"/>
    <w:rsid w:val="77A549C4"/>
    <w:rsid w:val="77AE4296"/>
    <w:rsid w:val="77B428D8"/>
    <w:rsid w:val="77BB6EDF"/>
    <w:rsid w:val="77C37250"/>
    <w:rsid w:val="77C867E5"/>
    <w:rsid w:val="77E10CB3"/>
    <w:rsid w:val="77E149B7"/>
    <w:rsid w:val="77E158D2"/>
    <w:rsid w:val="77E437C6"/>
    <w:rsid w:val="78031097"/>
    <w:rsid w:val="7807435E"/>
    <w:rsid w:val="78260FC6"/>
    <w:rsid w:val="782825F9"/>
    <w:rsid w:val="782C3313"/>
    <w:rsid w:val="783F4EEA"/>
    <w:rsid w:val="7858419F"/>
    <w:rsid w:val="785A5041"/>
    <w:rsid w:val="7864474E"/>
    <w:rsid w:val="787E05A5"/>
    <w:rsid w:val="788B5B73"/>
    <w:rsid w:val="789D2B33"/>
    <w:rsid w:val="789E3268"/>
    <w:rsid w:val="78A90759"/>
    <w:rsid w:val="78C41CFA"/>
    <w:rsid w:val="78E436D3"/>
    <w:rsid w:val="78E874ED"/>
    <w:rsid w:val="78F43BE0"/>
    <w:rsid w:val="7908165A"/>
    <w:rsid w:val="79176324"/>
    <w:rsid w:val="7920384F"/>
    <w:rsid w:val="792133CF"/>
    <w:rsid w:val="793E2E0B"/>
    <w:rsid w:val="794C77E3"/>
    <w:rsid w:val="795507B3"/>
    <w:rsid w:val="795C4C9A"/>
    <w:rsid w:val="79671FE9"/>
    <w:rsid w:val="796872F4"/>
    <w:rsid w:val="796E3038"/>
    <w:rsid w:val="79715A4C"/>
    <w:rsid w:val="797743B9"/>
    <w:rsid w:val="79776F78"/>
    <w:rsid w:val="7977710A"/>
    <w:rsid w:val="798F7A6C"/>
    <w:rsid w:val="799202E6"/>
    <w:rsid w:val="799A104A"/>
    <w:rsid w:val="79A04706"/>
    <w:rsid w:val="79B73A3B"/>
    <w:rsid w:val="79BE523A"/>
    <w:rsid w:val="79C0378F"/>
    <w:rsid w:val="79C7079B"/>
    <w:rsid w:val="79CB6D94"/>
    <w:rsid w:val="79D13320"/>
    <w:rsid w:val="79D15568"/>
    <w:rsid w:val="79D37B93"/>
    <w:rsid w:val="79D9445B"/>
    <w:rsid w:val="79DC1A63"/>
    <w:rsid w:val="79E158A7"/>
    <w:rsid w:val="79E50A28"/>
    <w:rsid w:val="79E74AF9"/>
    <w:rsid w:val="79EA334A"/>
    <w:rsid w:val="79ED4D6F"/>
    <w:rsid w:val="79F6576F"/>
    <w:rsid w:val="7A031698"/>
    <w:rsid w:val="7A0A1FBA"/>
    <w:rsid w:val="7A1F2378"/>
    <w:rsid w:val="7A2D4F84"/>
    <w:rsid w:val="7A3129F5"/>
    <w:rsid w:val="7A3F1211"/>
    <w:rsid w:val="7A4438FC"/>
    <w:rsid w:val="7A456199"/>
    <w:rsid w:val="7A534B0B"/>
    <w:rsid w:val="7A597410"/>
    <w:rsid w:val="7A617015"/>
    <w:rsid w:val="7A6A69E3"/>
    <w:rsid w:val="7A735B28"/>
    <w:rsid w:val="7A7E5A70"/>
    <w:rsid w:val="7A8136B4"/>
    <w:rsid w:val="7A841AA8"/>
    <w:rsid w:val="7A893EDD"/>
    <w:rsid w:val="7A910E5B"/>
    <w:rsid w:val="7AB23CB3"/>
    <w:rsid w:val="7AB549CC"/>
    <w:rsid w:val="7AC1330D"/>
    <w:rsid w:val="7ACB4084"/>
    <w:rsid w:val="7ACC2B87"/>
    <w:rsid w:val="7AD44DC9"/>
    <w:rsid w:val="7AD64F5A"/>
    <w:rsid w:val="7AE00AC1"/>
    <w:rsid w:val="7AE06E96"/>
    <w:rsid w:val="7AE15EB9"/>
    <w:rsid w:val="7AE50BBF"/>
    <w:rsid w:val="7AEF4DC6"/>
    <w:rsid w:val="7B0101AF"/>
    <w:rsid w:val="7B0A7A90"/>
    <w:rsid w:val="7B0F4663"/>
    <w:rsid w:val="7B1661AC"/>
    <w:rsid w:val="7B17030D"/>
    <w:rsid w:val="7B2818D0"/>
    <w:rsid w:val="7B43290D"/>
    <w:rsid w:val="7B470684"/>
    <w:rsid w:val="7B48099F"/>
    <w:rsid w:val="7B527CD3"/>
    <w:rsid w:val="7B56407B"/>
    <w:rsid w:val="7B620677"/>
    <w:rsid w:val="7B6952DC"/>
    <w:rsid w:val="7B6E52F3"/>
    <w:rsid w:val="7B751F8C"/>
    <w:rsid w:val="7B793AC3"/>
    <w:rsid w:val="7B7952C5"/>
    <w:rsid w:val="7B7E1745"/>
    <w:rsid w:val="7BB35B82"/>
    <w:rsid w:val="7BB60DF7"/>
    <w:rsid w:val="7BB6413D"/>
    <w:rsid w:val="7BB74141"/>
    <w:rsid w:val="7BC30336"/>
    <w:rsid w:val="7BC761A8"/>
    <w:rsid w:val="7BC90B92"/>
    <w:rsid w:val="7BCF100D"/>
    <w:rsid w:val="7BCF596D"/>
    <w:rsid w:val="7BDB0D3E"/>
    <w:rsid w:val="7BDD4F29"/>
    <w:rsid w:val="7BE26FD4"/>
    <w:rsid w:val="7C010B55"/>
    <w:rsid w:val="7C077689"/>
    <w:rsid w:val="7C1178E6"/>
    <w:rsid w:val="7C165F90"/>
    <w:rsid w:val="7C1A1674"/>
    <w:rsid w:val="7C1B3975"/>
    <w:rsid w:val="7C271C5F"/>
    <w:rsid w:val="7C271E12"/>
    <w:rsid w:val="7C2C763E"/>
    <w:rsid w:val="7C2F119F"/>
    <w:rsid w:val="7C3133AB"/>
    <w:rsid w:val="7C331A2B"/>
    <w:rsid w:val="7C3F5016"/>
    <w:rsid w:val="7C4E7AD7"/>
    <w:rsid w:val="7C7576B9"/>
    <w:rsid w:val="7C7C1C53"/>
    <w:rsid w:val="7C864B02"/>
    <w:rsid w:val="7CA0554A"/>
    <w:rsid w:val="7CA0586C"/>
    <w:rsid w:val="7CA3343F"/>
    <w:rsid w:val="7CB612AF"/>
    <w:rsid w:val="7CBA5F34"/>
    <w:rsid w:val="7CBE143C"/>
    <w:rsid w:val="7CC0787D"/>
    <w:rsid w:val="7CC17524"/>
    <w:rsid w:val="7CC46FC7"/>
    <w:rsid w:val="7CD47A82"/>
    <w:rsid w:val="7CD944CA"/>
    <w:rsid w:val="7CF634B0"/>
    <w:rsid w:val="7CFB7E4D"/>
    <w:rsid w:val="7D00059D"/>
    <w:rsid w:val="7D1023D1"/>
    <w:rsid w:val="7D182635"/>
    <w:rsid w:val="7D1F2368"/>
    <w:rsid w:val="7D22466E"/>
    <w:rsid w:val="7D2B5EBC"/>
    <w:rsid w:val="7D340987"/>
    <w:rsid w:val="7D4C3E54"/>
    <w:rsid w:val="7D4C4800"/>
    <w:rsid w:val="7D4D651B"/>
    <w:rsid w:val="7D4F31CD"/>
    <w:rsid w:val="7D5B1C87"/>
    <w:rsid w:val="7D827022"/>
    <w:rsid w:val="7D9D206F"/>
    <w:rsid w:val="7DBD3F68"/>
    <w:rsid w:val="7DBE6474"/>
    <w:rsid w:val="7DC728B2"/>
    <w:rsid w:val="7DE04923"/>
    <w:rsid w:val="7DE8451D"/>
    <w:rsid w:val="7DE85375"/>
    <w:rsid w:val="7DE92B9E"/>
    <w:rsid w:val="7DFA150B"/>
    <w:rsid w:val="7DFC134F"/>
    <w:rsid w:val="7DFE681F"/>
    <w:rsid w:val="7E0C7CF3"/>
    <w:rsid w:val="7E1727B8"/>
    <w:rsid w:val="7E2A2A50"/>
    <w:rsid w:val="7E2F1D9B"/>
    <w:rsid w:val="7E362AEC"/>
    <w:rsid w:val="7E364906"/>
    <w:rsid w:val="7E56758A"/>
    <w:rsid w:val="7E62041C"/>
    <w:rsid w:val="7E714B11"/>
    <w:rsid w:val="7E725803"/>
    <w:rsid w:val="7E74763D"/>
    <w:rsid w:val="7E7F1A81"/>
    <w:rsid w:val="7E861EE8"/>
    <w:rsid w:val="7E8854BA"/>
    <w:rsid w:val="7E8C22BB"/>
    <w:rsid w:val="7EB01CB9"/>
    <w:rsid w:val="7EB304AF"/>
    <w:rsid w:val="7EBB7D18"/>
    <w:rsid w:val="7EC34421"/>
    <w:rsid w:val="7EC712BB"/>
    <w:rsid w:val="7EC83706"/>
    <w:rsid w:val="7ECB2C7E"/>
    <w:rsid w:val="7EDA7A71"/>
    <w:rsid w:val="7EDC1598"/>
    <w:rsid w:val="7EE04E4C"/>
    <w:rsid w:val="7EE443A2"/>
    <w:rsid w:val="7EF27F60"/>
    <w:rsid w:val="7EF43522"/>
    <w:rsid w:val="7EF922CA"/>
    <w:rsid w:val="7F0961E3"/>
    <w:rsid w:val="7F0F44B8"/>
    <w:rsid w:val="7F123F11"/>
    <w:rsid w:val="7F135EB4"/>
    <w:rsid w:val="7F147E9F"/>
    <w:rsid w:val="7F24700C"/>
    <w:rsid w:val="7F256281"/>
    <w:rsid w:val="7F2F5070"/>
    <w:rsid w:val="7F331159"/>
    <w:rsid w:val="7F3A17E6"/>
    <w:rsid w:val="7F434A59"/>
    <w:rsid w:val="7F441F73"/>
    <w:rsid w:val="7F4435D6"/>
    <w:rsid w:val="7F545B83"/>
    <w:rsid w:val="7F5B485B"/>
    <w:rsid w:val="7F6115C1"/>
    <w:rsid w:val="7F61573D"/>
    <w:rsid w:val="7F615791"/>
    <w:rsid w:val="7F6257E0"/>
    <w:rsid w:val="7F6258BA"/>
    <w:rsid w:val="7F642D15"/>
    <w:rsid w:val="7F70341E"/>
    <w:rsid w:val="7F710ADA"/>
    <w:rsid w:val="7F783AE6"/>
    <w:rsid w:val="7F7F0825"/>
    <w:rsid w:val="7F9A013B"/>
    <w:rsid w:val="7F9D160A"/>
    <w:rsid w:val="7FA510B0"/>
    <w:rsid w:val="7FBB6867"/>
    <w:rsid w:val="7FC0391E"/>
    <w:rsid w:val="7FC06A38"/>
    <w:rsid w:val="7FCB5C73"/>
    <w:rsid w:val="7FDB6046"/>
    <w:rsid w:val="7FDE36B6"/>
    <w:rsid w:val="7FF81ADF"/>
    <w:rsid w:val="7FFE0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uiPriority="99"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6"/>
    <w:qFormat/>
    <w:uiPriority w:val="0"/>
    <w:pPr>
      <w:spacing w:before="120" w:after="120" w:line="520" w:lineRule="atLeast"/>
      <w:outlineLvl w:val="0"/>
    </w:pPr>
    <w:rPr>
      <w:b/>
      <w:kern w:val="44"/>
      <w:sz w:val="44"/>
    </w:rPr>
  </w:style>
  <w:style w:type="paragraph" w:styleId="4">
    <w:name w:val="heading 2"/>
    <w:basedOn w:val="1"/>
    <w:next w:val="1"/>
    <w:link w:val="37"/>
    <w:qFormat/>
    <w:uiPriority w:val="0"/>
    <w:pPr>
      <w:keepNext/>
      <w:keepLines/>
      <w:spacing w:before="260" w:after="260" w:line="416" w:lineRule="auto"/>
      <w:outlineLvl w:val="1"/>
    </w:pPr>
    <w:rPr>
      <w:rFonts w:ascii="Arial" w:hAnsi="Arial" w:eastAsia="黑体"/>
      <w:b/>
      <w:bCs/>
      <w:sz w:val="28"/>
      <w:szCs w:val="32"/>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toc 7"/>
    <w:basedOn w:val="1"/>
    <w:next w:val="1"/>
    <w:semiHidden/>
    <w:qFormat/>
    <w:uiPriority w:val="0"/>
    <w:pPr>
      <w:ind w:left="2520" w:leftChars="1200"/>
    </w:pPr>
  </w:style>
  <w:style w:type="paragraph" w:styleId="6">
    <w:name w:val="annotation text"/>
    <w:basedOn w:val="1"/>
    <w:link w:val="74"/>
    <w:semiHidden/>
    <w:unhideWhenUsed/>
    <w:qFormat/>
    <w:uiPriority w:val="0"/>
    <w:pPr>
      <w:jc w:val="left"/>
    </w:pPr>
  </w:style>
  <w:style w:type="paragraph" w:styleId="7">
    <w:name w:val="Body Text"/>
    <w:basedOn w:val="1"/>
    <w:link w:val="48"/>
    <w:qFormat/>
    <w:uiPriority w:val="0"/>
    <w:pPr>
      <w:spacing w:line="500" w:lineRule="exact"/>
    </w:pPr>
    <w:rPr>
      <w:rFonts w:asciiTheme="minorHAnsi" w:hAnsiTheme="minorHAnsi" w:eastAsiaTheme="minorEastAsia" w:cstheme="minorBidi"/>
      <w:sz w:val="28"/>
      <w:szCs w:val="22"/>
    </w:rPr>
  </w:style>
  <w:style w:type="paragraph" w:styleId="8">
    <w:name w:val="Body Text Indent"/>
    <w:basedOn w:val="1"/>
    <w:link w:val="52"/>
    <w:qFormat/>
    <w:uiPriority w:val="0"/>
    <w:pPr>
      <w:ind w:firstLine="420"/>
    </w:pPr>
    <w:rPr>
      <w:sz w:val="18"/>
    </w:rPr>
  </w:style>
  <w:style w:type="paragraph" w:styleId="9">
    <w:name w:val="toc 5"/>
    <w:basedOn w:val="1"/>
    <w:next w:val="1"/>
    <w:semiHidden/>
    <w:qFormat/>
    <w:uiPriority w:val="0"/>
    <w:pPr>
      <w:ind w:left="1680" w:leftChars="800"/>
    </w:pPr>
  </w:style>
  <w:style w:type="paragraph" w:styleId="10">
    <w:name w:val="toc 3"/>
    <w:basedOn w:val="1"/>
    <w:next w:val="1"/>
    <w:semiHidden/>
    <w:qFormat/>
    <w:uiPriority w:val="0"/>
    <w:pPr>
      <w:ind w:left="840" w:leftChars="400"/>
    </w:pPr>
  </w:style>
  <w:style w:type="paragraph" w:styleId="11">
    <w:name w:val="Plain Text"/>
    <w:basedOn w:val="1"/>
    <w:link w:val="44"/>
    <w:qFormat/>
    <w:uiPriority w:val="0"/>
    <w:rPr>
      <w:rFonts w:ascii="宋体" w:hAnsi="Courier New" w:eastAsiaTheme="minorEastAsia" w:cstheme="minorBidi"/>
      <w:szCs w:val="22"/>
    </w:rPr>
  </w:style>
  <w:style w:type="paragraph" w:styleId="12">
    <w:name w:val="toc 8"/>
    <w:basedOn w:val="1"/>
    <w:next w:val="1"/>
    <w:semiHidden/>
    <w:qFormat/>
    <w:uiPriority w:val="0"/>
    <w:pPr>
      <w:ind w:left="2940" w:leftChars="1400"/>
    </w:pPr>
  </w:style>
  <w:style w:type="paragraph" w:styleId="13">
    <w:name w:val="Date"/>
    <w:basedOn w:val="1"/>
    <w:next w:val="1"/>
    <w:link w:val="78"/>
    <w:qFormat/>
    <w:uiPriority w:val="0"/>
  </w:style>
  <w:style w:type="paragraph" w:styleId="14">
    <w:name w:val="Body Text Indent 2"/>
    <w:basedOn w:val="1"/>
    <w:link w:val="57"/>
    <w:qFormat/>
    <w:uiPriority w:val="0"/>
    <w:pPr>
      <w:spacing w:line="400" w:lineRule="atLeast"/>
      <w:ind w:firstLine="460"/>
    </w:pPr>
    <w:rPr>
      <w:sz w:val="28"/>
    </w:rPr>
  </w:style>
  <w:style w:type="paragraph" w:styleId="15">
    <w:name w:val="Balloon Text"/>
    <w:basedOn w:val="1"/>
    <w:link w:val="64"/>
    <w:semiHidden/>
    <w:qFormat/>
    <w:uiPriority w:val="0"/>
    <w:rPr>
      <w:sz w:val="18"/>
      <w:szCs w:val="18"/>
    </w:rPr>
  </w:style>
  <w:style w:type="paragraph" w:styleId="16">
    <w:name w:val="footer"/>
    <w:basedOn w:val="1"/>
    <w:link w:val="45"/>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7">
    <w:name w:val="header"/>
    <w:basedOn w:val="1"/>
    <w:link w:val="47"/>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22"/>
    </w:rPr>
  </w:style>
  <w:style w:type="paragraph" w:styleId="18">
    <w:name w:val="toc 1"/>
    <w:basedOn w:val="1"/>
    <w:next w:val="1"/>
    <w:qFormat/>
    <w:uiPriority w:val="39"/>
    <w:pPr>
      <w:tabs>
        <w:tab w:val="right" w:leader="dot" w:pos="8891"/>
      </w:tabs>
      <w:spacing w:line="500" w:lineRule="exact"/>
    </w:pPr>
    <w:rPr>
      <w:rFonts w:ascii="楷体_GB2312"/>
      <w:b/>
      <w:sz w:val="24"/>
      <w:szCs w:val="24"/>
    </w:rPr>
  </w:style>
  <w:style w:type="paragraph" w:styleId="19">
    <w:name w:val="toc 4"/>
    <w:basedOn w:val="1"/>
    <w:next w:val="1"/>
    <w:semiHidden/>
    <w:qFormat/>
    <w:uiPriority w:val="0"/>
    <w:pPr>
      <w:ind w:left="1260" w:leftChars="600"/>
    </w:pPr>
  </w:style>
  <w:style w:type="paragraph" w:styleId="20">
    <w:name w:val="List"/>
    <w:basedOn w:val="1"/>
    <w:qFormat/>
    <w:uiPriority w:val="0"/>
    <w:pPr>
      <w:adjustRightInd w:val="0"/>
      <w:ind w:left="420" w:hanging="420"/>
      <w:jc w:val="left"/>
      <w:textAlignment w:val="baseline"/>
    </w:pPr>
    <w:rPr>
      <w:sz w:val="24"/>
    </w:rPr>
  </w:style>
  <w:style w:type="paragraph" w:styleId="21">
    <w:name w:val="toc 6"/>
    <w:basedOn w:val="1"/>
    <w:next w:val="1"/>
    <w:semiHidden/>
    <w:qFormat/>
    <w:uiPriority w:val="0"/>
    <w:pPr>
      <w:ind w:left="2100" w:leftChars="1000"/>
    </w:pPr>
  </w:style>
  <w:style w:type="paragraph" w:styleId="22">
    <w:name w:val="Body Text Indent 3"/>
    <w:basedOn w:val="1"/>
    <w:link w:val="61"/>
    <w:qFormat/>
    <w:uiPriority w:val="0"/>
    <w:pPr>
      <w:spacing w:line="288" w:lineRule="auto"/>
      <w:ind w:firstLine="540"/>
    </w:pPr>
    <w:rPr>
      <w:rFonts w:ascii="宋体" w:hAnsi="宋体"/>
      <w:sz w:val="28"/>
    </w:rPr>
  </w:style>
  <w:style w:type="paragraph" w:styleId="23">
    <w:name w:val="toc 2"/>
    <w:basedOn w:val="1"/>
    <w:next w:val="1"/>
    <w:qFormat/>
    <w:uiPriority w:val="39"/>
    <w:pPr>
      <w:tabs>
        <w:tab w:val="right" w:leader="dot" w:pos="8891"/>
      </w:tabs>
      <w:spacing w:line="400" w:lineRule="exact"/>
      <w:ind w:left="420" w:leftChars="200"/>
    </w:pPr>
    <w:rPr>
      <w:color w:val="FF0000"/>
      <w:sz w:val="24"/>
      <w:szCs w:val="24"/>
    </w:rPr>
  </w:style>
  <w:style w:type="paragraph" w:styleId="24">
    <w:name w:val="toc 9"/>
    <w:basedOn w:val="1"/>
    <w:next w:val="1"/>
    <w:semiHidden/>
    <w:qFormat/>
    <w:uiPriority w:val="0"/>
    <w:pPr>
      <w:ind w:left="3360" w:leftChars="1600"/>
    </w:pPr>
  </w:style>
  <w:style w:type="paragraph" w:styleId="25">
    <w:name w:val="Body Text 2"/>
    <w:basedOn w:val="1"/>
    <w:link w:val="88"/>
    <w:qFormat/>
    <w:uiPriority w:val="0"/>
    <w:pPr>
      <w:adjustRightInd w:val="0"/>
      <w:spacing w:after="120" w:line="480" w:lineRule="auto"/>
      <w:jc w:val="left"/>
      <w:textAlignment w:val="baseline"/>
    </w:pPr>
    <w:rPr>
      <w:sz w:val="24"/>
    </w:rPr>
  </w:style>
  <w:style w:type="paragraph" w:styleId="26">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7">
    <w:name w:val="annotation subject"/>
    <w:basedOn w:val="6"/>
    <w:next w:val="6"/>
    <w:link w:val="75"/>
    <w:semiHidden/>
    <w:qFormat/>
    <w:uiPriority w:val="0"/>
    <w:rPr>
      <w:b/>
      <w:bCs/>
    </w:rPr>
  </w:style>
  <w:style w:type="table" w:styleId="29">
    <w:name w:val="Table Grid"/>
    <w:basedOn w:val="28"/>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99"/>
    <w:rPr>
      <w:color w:val="0000FF"/>
      <w:u w:val="single"/>
    </w:rPr>
  </w:style>
  <w:style w:type="character" w:styleId="35">
    <w:name w:val="annotation reference"/>
    <w:semiHidden/>
    <w:qFormat/>
    <w:uiPriority w:val="0"/>
    <w:rPr>
      <w:sz w:val="21"/>
      <w:szCs w:val="21"/>
    </w:rPr>
  </w:style>
  <w:style w:type="character" w:customStyle="1" w:styleId="36">
    <w:name w:val="标题 1 Char"/>
    <w:basedOn w:val="30"/>
    <w:link w:val="3"/>
    <w:qFormat/>
    <w:uiPriority w:val="0"/>
    <w:rPr>
      <w:rFonts w:ascii="Times New Roman" w:hAnsi="Times New Roman" w:eastAsia="宋体" w:cs="Times New Roman"/>
      <w:b/>
      <w:kern w:val="44"/>
      <w:sz w:val="44"/>
      <w:szCs w:val="20"/>
    </w:rPr>
  </w:style>
  <w:style w:type="character" w:customStyle="1" w:styleId="37">
    <w:name w:val="标题 2 Char"/>
    <w:basedOn w:val="30"/>
    <w:link w:val="4"/>
    <w:qFormat/>
    <w:uiPriority w:val="0"/>
    <w:rPr>
      <w:rFonts w:ascii="Arial" w:hAnsi="Arial" w:eastAsia="黑体" w:cs="Times New Roman"/>
      <w:b/>
      <w:bCs/>
      <w:sz w:val="28"/>
      <w:szCs w:val="32"/>
    </w:rPr>
  </w:style>
  <w:style w:type="character" w:customStyle="1" w:styleId="38">
    <w:name w:val="style11"/>
    <w:qFormat/>
    <w:uiPriority w:val="0"/>
    <w:rPr>
      <w:color w:val="000000"/>
    </w:rPr>
  </w:style>
  <w:style w:type="character" w:customStyle="1" w:styleId="39">
    <w:name w:val="报告正文 Char Char Char Char"/>
    <w:link w:val="40"/>
    <w:qFormat/>
    <w:uiPriority w:val="0"/>
    <w:rPr>
      <w:rFonts w:ascii="华文细黑" w:eastAsia="华文细黑" w:cs="宋体"/>
      <w:sz w:val="22"/>
    </w:rPr>
  </w:style>
  <w:style w:type="paragraph" w:customStyle="1" w:styleId="40">
    <w:name w:val="报告正文 Char Char Char"/>
    <w:basedOn w:val="1"/>
    <w:link w:val="39"/>
    <w:qFormat/>
    <w:uiPriority w:val="0"/>
    <w:pPr>
      <w:adjustRightInd w:val="0"/>
      <w:snapToGrid w:val="0"/>
      <w:spacing w:line="336" w:lineRule="auto"/>
      <w:ind w:left="2603"/>
    </w:pPr>
    <w:rPr>
      <w:rFonts w:ascii="华文细黑" w:eastAsia="华文细黑" w:cs="宋体" w:hAnsiTheme="minorHAnsi"/>
      <w:sz w:val="22"/>
      <w:szCs w:val="22"/>
    </w:rPr>
  </w:style>
  <w:style w:type="character" w:customStyle="1" w:styleId="41">
    <w:name w:val="bds_more3"/>
    <w:qFormat/>
    <w:uiPriority w:val="0"/>
  </w:style>
  <w:style w:type="character" w:customStyle="1" w:styleId="42">
    <w:name w:val="无间隔 Char"/>
    <w:link w:val="43"/>
    <w:qFormat/>
    <w:uiPriority w:val="1"/>
    <w:rPr>
      <w:rFonts w:ascii="Calibri" w:hAnsi="Calibri"/>
      <w:sz w:val="22"/>
    </w:rPr>
  </w:style>
  <w:style w:type="paragraph" w:styleId="43">
    <w:name w:val="No Spacing"/>
    <w:link w:val="42"/>
    <w:qFormat/>
    <w:uiPriority w:val="1"/>
    <w:rPr>
      <w:rFonts w:ascii="Calibri" w:hAnsi="Calibri" w:eastAsiaTheme="minorEastAsia" w:cstheme="minorBidi"/>
      <w:kern w:val="2"/>
      <w:sz w:val="22"/>
      <w:szCs w:val="22"/>
      <w:lang w:val="en-US" w:eastAsia="zh-CN" w:bidi="ar-SA"/>
    </w:rPr>
  </w:style>
  <w:style w:type="character" w:customStyle="1" w:styleId="44">
    <w:name w:val="纯文本 Char"/>
    <w:link w:val="11"/>
    <w:qFormat/>
    <w:uiPriority w:val="0"/>
    <w:rPr>
      <w:rFonts w:ascii="宋体" w:hAnsi="Courier New"/>
    </w:rPr>
  </w:style>
  <w:style w:type="character" w:customStyle="1" w:styleId="45">
    <w:name w:val="页脚 Char"/>
    <w:link w:val="16"/>
    <w:qFormat/>
    <w:uiPriority w:val="99"/>
    <w:rPr>
      <w:sz w:val="18"/>
    </w:rPr>
  </w:style>
  <w:style w:type="character" w:customStyle="1" w:styleId="46">
    <w:name w:val="正文文本 Char1"/>
    <w:qFormat/>
    <w:uiPriority w:val="0"/>
    <w:rPr>
      <w:rFonts w:eastAsia="宋体"/>
      <w:kern w:val="2"/>
      <w:sz w:val="28"/>
      <w:lang w:val="en-US" w:eastAsia="zh-CN" w:bidi="ar-SA"/>
    </w:rPr>
  </w:style>
  <w:style w:type="character" w:customStyle="1" w:styleId="47">
    <w:name w:val="页眉 Char"/>
    <w:link w:val="17"/>
    <w:qFormat/>
    <w:uiPriority w:val="99"/>
    <w:rPr>
      <w:sz w:val="18"/>
    </w:rPr>
  </w:style>
  <w:style w:type="character" w:customStyle="1" w:styleId="48">
    <w:name w:val="正文文本 Char"/>
    <w:link w:val="7"/>
    <w:qFormat/>
    <w:uiPriority w:val="0"/>
    <w:rPr>
      <w:sz w:val="28"/>
    </w:rPr>
  </w:style>
  <w:style w:type="paragraph" w:customStyle="1" w:styleId="49">
    <w:name w:val="xl6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kern w:val="0"/>
      <w:szCs w:val="21"/>
    </w:rPr>
  </w:style>
  <w:style w:type="paragraph" w:customStyle="1" w:styleId="50">
    <w:name w:val="font12"/>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51">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4"/>
      <w:szCs w:val="24"/>
    </w:rPr>
  </w:style>
  <w:style w:type="character" w:customStyle="1" w:styleId="52">
    <w:name w:val="正文文本缩进 Char"/>
    <w:basedOn w:val="30"/>
    <w:link w:val="8"/>
    <w:qFormat/>
    <w:uiPriority w:val="0"/>
    <w:rPr>
      <w:rFonts w:ascii="Times New Roman" w:hAnsi="Times New Roman" w:eastAsia="宋体" w:cs="Times New Roman"/>
      <w:sz w:val="18"/>
      <w:szCs w:val="20"/>
    </w:rPr>
  </w:style>
  <w:style w:type="paragraph" w:customStyle="1" w:styleId="53">
    <w:name w:val="xl74"/>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54">
    <w:name w:val="font17"/>
    <w:basedOn w:val="1"/>
    <w:qFormat/>
    <w:uiPriority w:val="0"/>
    <w:pPr>
      <w:widowControl/>
      <w:spacing w:before="100" w:beforeAutospacing="1" w:after="100" w:afterAutospacing="1"/>
      <w:jc w:val="left"/>
    </w:pPr>
    <w:rPr>
      <w:rFonts w:hint="eastAsia" w:ascii="宋体" w:hAnsi="宋体"/>
      <w:color w:val="000000"/>
      <w:kern w:val="0"/>
      <w:sz w:val="18"/>
      <w:szCs w:val="18"/>
    </w:rPr>
  </w:style>
  <w:style w:type="character" w:customStyle="1" w:styleId="55">
    <w:name w:val="页脚 Char1"/>
    <w:basedOn w:val="30"/>
    <w:semiHidden/>
    <w:qFormat/>
    <w:uiPriority w:val="99"/>
    <w:rPr>
      <w:rFonts w:ascii="Times New Roman" w:hAnsi="Times New Roman" w:eastAsia="宋体" w:cs="Times New Roman"/>
      <w:sz w:val="18"/>
      <w:szCs w:val="18"/>
    </w:rPr>
  </w:style>
  <w:style w:type="paragraph" w:customStyle="1" w:styleId="5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kern w:val="0"/>
      <w:szCs w:val="21"/>
    </w:rPr>
  </w:style>
  <w:style w:type="character" w:customStyle="1" w:styleId="57">
    <w:name w:val="正文文本缩进 2 Char"/>
    <w:basedOn w:val="30"/>
    <w:link w:val="14"/>
    <w:qFormat/>
    <w:uiPriority w:val="0"/>
    <w:rPr>
      <w:rFonts w:ascii="Times New Roman" w:hAnsi="Times New Roman" w:eastAsia="宋体" w:cs="Times New Roman"/>
      <w:sz w:val="28"/>
      <w:szCs w:val="20"/>
    </w:rPr>
  </w:style>
  <w:style w:type="paragraph" w:customStyle="1" w:styleId="58">
    <w:name w:val="xl6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59">
    <w:name w:val="xl73"/>
    <w:basedOn w:val="1"/>
    <w:qFormat/>
    <w:uiPriority w:val="0"/>
    <w:pPr>
      <w:widowControl/>
      <w:pBdr>
        <w:top w:val="single" w:color="auto" w:sz="4" w:space="0"/>
      </w:pBdr>
      <w:spacing w:before="100" w:beforeAutospacing="1" w:after="100" w:afterAutospacing="1"/>
      <w:jc w:val="center"/>
    </w:pPr>
    <w:rPr>
      <w:rFonts w:ascii="宋体" w:hAnsi="宋体"/>
      <w:kern w:val="0"/>
      <w:szCs w:val="21"/>
    </w:rPr>
  </w:style>
  <w:style w:type="paragraph" w:customStyle="1" w:styleId="60">
    <w:name w:val="xl3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kern w:val="0"/>
      <w:sz w:val="24"/>
      <w:szCs w:val="24"/>
    </w:rPr>
  </w:style>
  <w:style w:type="character" w:customStyle="1" w:styleId="61">
    <w:name w:val="正文文本缩进 3 Char"/>
    <w:basedOn w:val="30"/>
    <w:link w:val="22"/>
    <w:qFormat/>
    <w:uiPriority w:val="0"/>
    <w:rPr>
      <w:rFonts w:ascii="宋体" w:hAnsi="宋体" w:eastAsia="宋体" w:cs="Times New Roman"/>
      <w:sz w:val="28"/>
      <w:szCs w:val="20"/>
    </w:rPr>
  </w:style>
  <w:style w:type="paragraph" w:customStyle="1" w:styleId="62">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63">
    <w:name w:val="列出段落1"/>
    <w:basedOn w:val="1"/>
    <w:qFormat/>
    <w:uiPriority w:val="34"/>
    <w:pPr>
      <w:ind w:firstLine="420" w:firstLineChars="200"/>
    </w:pPr>
  </w:style>
  <w:style w:type="character" w:customStyle="1" w:styleId="64">
    <w:name w:val="批注框文本 Char"/>
    <w:basedOn w:val="30"/>
    <w:link w:val="15"/>
    <w:semiHidden/>
    <w:qFormat/>
    <w:uiPriority w:val="0"/>
    <w:rPr>
      <w:rFonts w:ascii="Times New Roman" w:hAnsi="Times New Roman" w:eastAsia="宋体" w:cs="Times New Roman"/>
      <w:sz w:val="18"/>
      <w:szCs w:val="18"/>
    </w:rPr>
  </w:style>
  <w:style w:type="paragraph" w:customStyle="1" w:styleId="65">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Cs w:val="21"/>
    </w:rPr>
  </w:style>
  <w:style w:type="paragraph" w:customStyle="1" w:styleId="66">
    <w:name w:val="font18"/>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67">
    <w:name w:val="样式3"/>
    <w:basedOn w:val="1"/>
    <w:qFormat/>
    <w:uiPriority w:val="0"/>
    <w:pPr>
      <w:snapToGrid w:val="0"/>
      <w:jc w:val="center"/>
    </w:pPr>
    <w:rPr>
      <w:rFonts w:ascii="宋体" w:hAnsi="宋体"/>
      <w:spacing w:val="10"/>
      <w:szCs w:val="24"/>
    </w:rPr>
  </w:style>
  <w:style w:type="character" w:customStyle="1" w:styleId="68">
    <w:name w:val="页眉 Char1"/>
    <w:basedOn w:val="30"/>
    <w:semiHidden/>
    <w:qFormat/>
    <w:uiPriority w:val="99"/>
    <w:rPr>
      <w:rFonts w:ascii="Times New Roman" w:hAnsi="Times New Roman" w:eastAsia="宋体" w:cs="Times New Roman"/>
      <w:sz w:val="18"/>
      <w:szCs w:val="18"/>
    </w:rPr>
  </w:style>
  <w:style w:type="paragraph" w:customStyle="1" w:styleId="69">
    <w:name w:val="xl60"/>
    <w:basedOn w:val="1"/>
    <w:qFormat/>
    <w:uiPriority w:val="0"/>
    <w:pPr>
      <w:widowControl/>
      <w:pBdr>
        <w:bottom w:val="single" w:color="auto" w:sz="4" w:space="0"/>
        <w:right w:val="single" w:color="auto" w:sz="4" w:space="0"/>
      </w:pBdr>
      <w:spacing w:before="100" w:beforeAutospacing="1" w:after="100" w:afterAutospacing="1"/>
      <w:textAlignment w:val="center"/>
    </w:pPr>
    <w:rPr>
      <w:rFonts w:ascii="宋体" w:hAnsi="宋体"/>
      <w:kern w:val="0"/>
      <w:szCs w:val="21"/>
    </w:rPr>
  </w:style>
  <w:style w:type="paragraph" w:customStyle="1" w:styleId="70">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宋体" w:hAnsi="宋体"/>
      <w:kern w:val="0"/>
      <w:szCs w:val="21"/>
    </w:rPr>
  </w:style>
  <w:style w:type="paragraph" w:customStyle="1" w:styleId="71">
    <w:name w:val="xl78"/>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kern w:val="0"/>
      <w:szCs w:val="21"/>
    </w:rPr>
  </w:style>
  <w:style w:type="character" w:customStyle="1" w:styleId="72">
    <w:name w:val="正文文本 Char2"/>
    <w:basedOn w:val="30"/>
    <w:semiHidden/>
    <w:qFormat/>
    <w:uiPriority w:val="99"/>
    <w:rPr>
      <w:rFonts w:ascii="Times New Roman" w:hAnsi="Times New Roman" w:eastAsia="宋体" w:cs="Times New Roman"/>
      <w:szCs w:val="20"/>
    </w:rPr>
  </w:style>
  <w:style w:type="paragraph" w:customStyle="1" w:styleId="73">
    <w:name w:val="xl26"/>
    <w:basedOn w:val="1"/>
    <w:qFormat/>
    <w:uiPriority w:val="0"/>
    <w:pPr>
      <w:widowControl/>
      <w:pBdr>
        <w:bottom w:val="single" w:color="auto" w:sz="4" w:space="0"/>
        <w:right w:val="single" w:color="auto" w:sz="4" w:space="0"/>
      </w:pBdr>
      <w:spacing w:before="100" w:beforeAutospacing="1" w:after="100" w:afterAutospacing="1"/>
    </w:pPr>
    <w:rPr>
      <w:rFonts w:ascii="宋体" w:hAnsi="宋体"/>
      <w:kern w:val="0"/>
      <w:szCs w:val="21"/>
    </w:rPr>
  </w:style>
  <w:style w:type="character" w:customStyle="1" w:styleId="74">
    <w:name w:val="批注文字 Char"/>
    <w:basedOn w:val="30"/>
    <w:link w:val="6"/>
    <w:semiHidden/>
    <w:qFormat/>
    <w:uiPriority w:val="99"/>
    <w:rPr>
      <w:rFonts w:ascii="Times New Roman" w:hAnsi="Times New Roman" w:eastAsia="宋体" w:cs="Times New Roman"/>
      <w:szCs w:val="20"/>
    </w:rPr>
  </w:style>
  <w:style w:type="character" w:customStyle="1" w:styleId="75">
    <w:name w:val="批注主题 Char"/>
    <w:basedOn w:val="74"/>
    <w:link w:val="27"/>
    <w:semiHidden/>
    <w:qFormat/>
    <w:uiPriority w:val="0"/>
    <w:rPr>
      <w:rFonts w:ascii="Times New Roman" w:hAnsi="Times New Roman" w:eastAsia="宋体" w:cs="Times New Roman"/>
      <w:b/>
      <w:bCs/>
      <w:szCs w:val="20"/>
    </w:rPr>
  </w:style>
  <w:style w:type="paragraph" w:customStyle="1" w:styleId="76">
    <w:name w:val="xl39"/>
    <w:basedOn w:val="1"/>
    <w:qFormat/>
    <w:uiPriority w:val="0"/>
    <w:pPr>
      <w:widowControl/>
      <w:pBdr>
        <w:top w:val="single" w:color="auto" w:sz="4" w:space="0"/>
        <w:left w:val="single" w:color="auto" w:sz="4" w:space="0"/>
      </w:pBdr>
      <w:spacing w:before="100" w:beforeAutospacing="1" w:after="100" w:afterAutospacing="1"/>
      <w:textAlignment w:val="center"/>
    </w:pPr>
    <w:rPr>
      <w:rFonts w:ascii="宋体" w:hAnsi="宋体"/>
      <w:kern w:val="0"/>
      <w:szCs w:val="21"/>
    </w:rPr>
  </w:style>
  <w:style w:type="paragraph" w:customStyle="1" w:styleId="77">
    <w:name w:val="xl8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b/>
      <w:bCs/>
      <w:kern w:val="0"/>
      <w:sz w:val="24"/>
      <w:szCs w:val="24"/>
    </w:rPr>
  </w:style>
  <w:style w:type="character" w:customStyle="1" w:styleId="78">
    <w:name w:val="日期 Char"/>
    <w:basedOn w:val="30"/>
    <w:link w:val="13"/>
    <w:qFormat/>
    <w:uiPriority w:val="0"/>
    <w:rPr>
      <w:rFonts w:ascii="Times New Roman" w:hAnsi="Times New Roman" w:eastAsia="宋体" w:cs="Times New Roman"/>
      <w:szCs w:val="20"/>
    </w:rPr>
  </w:style>
  <w:style w:type="paragraph" w:customStyle="1" w:styleId="79">
    <w:name w:val="xl59"/>
    <w:basedOn w:val="1"/>
    <w:qFormat/>
    <w:uiPriority w:val="0"/>
    <w:pPr>
      <w:widowControl/>
      <w:pBdr>
        <w:left w:val="single" w:color="auto" w:sz="4" w:space="0"/>
        <w:bottom w:val="single" w:color="auto" w:sz="4" w:space="0"/>
      </w:pBdr>
      <w:spacing w:before="100" w:beforeAutospacing="1" w:after="100" w:afterAutospacing="1"/>
      <w:textAlignment w:val="center"/>
    </w:pPr>
    <w:rPr>
      <w:rFonts w:ascii="宋体" w:hAnsi="宋体"/>
      <w:kern w:val="0"/>
      <w:szCs w:val="21"/>
    </w:rPr>
  </w:style>
  <w:style w:type="paragraph" w:customStyle="1" w:styleId="80">
    <w:name w:val="xl7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81">
    <w:name w:val="xl58"/>
    <w:basedOn w:val="1"/>
    <w:qFormat/>
    <w:uiPriority w:val="0"/>
    <w:pPr>
      <w:widowControl/>
      <w:pBdr>
        <w:top w:val="single" w:color="auto" w:sz="4" w:space="0"/>
        <w:right w:val="single" w:color="auto" w:sz="4" w:space="0"/>
      </w:pBdr>
      <w:spacing w:before="100" w:beforeAutospacing="1" w:after="100" w:afterAutospacing="1"/>
      <w:textAlignment w:val="center"/>
    </w:pPr>
    <w:rPr>
      <w:rFonts w:ascii="宋体" w:hAnsi="宋体"/>
      <w:kern w:val="0"/>
      <w:szCs w:val="21"/>
    </w:rPr>
  </w:style>
  <w:style w:type="paragraph" w:customStyle="1" w:styleId="82">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0"/>
    </w:rPr>
  </w:style>
  <w:style w:type="paragraph" w:customStyle="1" w:styleId="83">
    <w:name w:val="font10"/>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84">
    <w:name w:val="xl5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Cs w:val="21"/>
    </w:rPr>
  </w:style>
  <w:style w:type="paragraph" w:customStyle="1" w:styleId="85">
    <w:name w:val="xl35"/>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kern w:val="0"/>
      <w:sz w:val="20"/>
    </w:rPr>
  </w:style>
  <w:style w:type="paragraph" w:customStyle="1" w:styleId="86">
    <w:name w:val="p15"/>
    <w:basedOn w:val="1"/>
    <w:qFormat/>
    <w:uiPriority w:val="0"/>
    <w:pPr>
      <w:widowControl/>
      <w:spacing w:line="500" w:lineRule="atLeast"/>
    </w:pPr>
    <w:rPr>
      <w:rFonts w:cs="宋体"/>
      <w:kern w:val="0"/>
      <w:sz w:val="28"/>
      <w:szCs w:val="28"/>
      <w:lang w:bidi="bo-CN"/>
    </w:rPr>
  </w:style>
  <w:style w:type="paragraph" w:customStyle="1" w:styleId="87">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character" w:customStyle="1" w:styleId="88">
    <w:name w:val="正文文本 2 Char"/>
    <w:basedOn w:val="30"/>
    <w:link w:val="25"/>
    <w:qFormat/>
    <w:uiPriority w:val="0"/>
    <w:rPr>
      <w:rFonts w:ascii="Times New Roman" w:hAnsi="Times New Roman" w:eastAsia="宋体" w:cs="Times New Roman"/>
      <w:sz w:val="24"/>
      <w:szCs w:val="20"/>
    </w:rPr>
  </w:style>
  <w:style w:type="paragraph" w:customStyle="1" w:styleId="89">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90">
    <w:name w:val="xl4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91">
    <w:name w:val="xl25"/>
    <w:basedOn w:val="1"/>
    <w:qFormat/>
    <w:uiPriority w:val="0"/>
    <w:pPr>
      <w:widowControl/>
      <w:pBdr>
        <w:top w:val="single" w:color="auto" w:sz="4" w:space="0"/>
        <w:right w:val="single" w:color="auto" w:sz="4" w:space="0"/>
      </w:pBdr>
      <w:spacing w:before="100" w:beforeAutospacing="1" w:after="100" w:afterAutospacing="1"/>
    </w:pPr>
    <w:rPr>
      <w:rFonts w:ascii="宋体" w:hAnsi="宋体"/>
      <w:kern w:val="0"/>
      <w:szCs w:val="21"/>
    </w:rPr>
  </w:style>
  <w:style w:type="paragraph" w:customStyle="1" w:styleId="92">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93">
    <w:name w:val="font11"/>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94">
    <w:name w:val="Char Char4"/>
    <w:basedOn w:val="1"/>
    <w:qFormat/>
    <w:uiPriority w:val="0"/>
    <w:rPr>
      <w:rFonts w:ascii="宋体" w:hAnsi="宋体" w:cs="Courier New"/>
      <w:sz w:val="32"/>
      <w:szCs w:val="32"/>
    </w:rPr>
  </w:style>
  <w:style w:type="paragraph" w:customStyle="1" w:styleId="95">
    <w:name w:val="font15"/>
    <w:basedOn w:val="1"/>
    <w:qFormat/>
    <w:uiPriority w:val="0"/>
    <w:pPr>
      <w:widowControl/>
      <w:spacing w:before="100" w:beforeAutospacing="1" w:after="100" w:afterAutospacing="1"/>
      <w:jc w:val="left"/>
    </w:pPr>
    <w:rPr>
      <w:b/>
      <w:bCs/>
      <w:kern w:val="0"/>
      <w:sz w:val="22"/>
      <w:szCs w:val="22"/>
    </w:rPr>
  </w:style>
  <w:style w:type="paragraph" w:customStyle="1" w:styleId="9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97">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98">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hAnsi="宋体"/>
      <w:kern w:val="0"/>
      <w:szCs w:val="21"/>
    </w:rPr>
  </w:style>
  <w:style w:type="paragraph" w:customStyle="1" w:styleId="99">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character" w:customStyle="1" w:styleId="100">
    <w:name w:val="纯文本 Char1"/>
    <w:basedOn w:val="30"/>
    <w:semiHidden/>
    <w:qFormat/>
    <w:uiPriority w:val="99"/>
    <w:rPr>
      <w:rFonts w:ascii="宋体" w:hAnsi="Courier New" w:eastAsia="宋体" w:cs="Courier New"/>
      <w:szCs w:val="21"/>
    </w:rPr>
  </w:style>
  <w:style w:type="paragraph" w:customStyle="1" w:styleId="101">
    <w:name w:val="xl6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kern w:val="0"/>
      <w:szCs w:val="21"/>
    </w:rPr>
  </w:style>
  <w:style w:type="paragraph" w:customStyle="1" w:styleId="102">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Cs w:val="21"/>
    </w:rPr>
  </w:style>
  <w:style w:type="paragraph" w:customStyle="1" w:styleId="103">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Cs w:val="21"/>
    </w:rPr>
  </w:style>
  <w:style w:type="paragraph" w:customStyle="1" w:styleId="104">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05">
    <w:name w:val="font8"/>
    <w:basedOn w:val="1"/>
    <w:qFormat/>
    <w:uiPriority w:val="0"/>
    <w:pPr>
      <w:widowControl/>
      <w:spacing w:before="100" w:beforeAutospacing="1" w:after="100" w:afterAutospacing="1"/>
      <w:jc w:val="left"/>
    </w:pPr>
    <w:rPr>
      <w:kern w:val="0"/>
      <w:szCs w:val="21"/>
    </w:rPr>
  </w:style>
  <w:style w:type="paragraph" w:customStyle="1" w:styleId="106">
    <w:name w:val="xl72"/>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kern w:val="0"/>
      <w:szCs w:val="21"/>
    </w:rPr>
  </w:style>
  <w:style w:type="paragraph" w:customStyle="1" w:styleId="107">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08">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09">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Cs w:val="21"/>
    </w:rPr>
  </w:style>
  <w:style w:type="paragraph" w:customStyle="1" w:styleId="11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1">
    <w:name w:val="xl5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12">
    <w:name w:val="xl28"/>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1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14">
    <w:name w:val="font9"/>
    <w:basedOn w:val="1"/>
    <w:qFormat/>
    <w:uiPriority w:val="0"/>
    <w:pPr>
      <w:widowControl/>
      <w:spacing w:before="100" w:beforeAutospacing="1" w:after="100" w:afterAutospacing="1"/>
      <w:jc w:val="left"/>
    </w:pPr>
    <w:rPr>
      <w:kern w:val="0"/>
      <w:szCs w:val="21"/>
    </w:rPr>
  </w:style>
  <w:style w:type="paragraph" w:customStyle="1" w:styleId="115">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16">
    <w:name w:val="xl5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17">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1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19">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2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Cs w:val="21"/>
    </w:rPr>
  </w:style>
  <w:style w:type="paragraph" w:customStyle="1" w:styleId="122">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24">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25">
    <w:name w:val="xl6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Cs w:val="21"/>
    </w:rPr>
  </w:style>
  <w:style w:type="paragraph" w:customStyle="1" w:styleId="126">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hAnsi="宋体"/>
      <w:kern w:val="0"/>
      <w:szCs w:val="21"/>
    </w:rPr>
  </w:style>
  <w:style w:type="paragraph" w:customStyle="1" w:styleId="127">
    <w:name w:val="font16"/>
    <w:basedOn w:val="1"/>
    <w:qFormat/>
    <w:uiPriority w:val="0"/>
    <w:pPr>
      <w:widowControl/>
      <w:spacing w:before="100" w:beforeAutospacing="1" w:after="100" w:afterAutospacing="1"/>
      <w:jc w:val="left"/>
    </w:pPr>
    <w:rPr>
      <w:b/>
      <w:bCs/>
      <w:kern w:val="0"/>
      <w:sz w:val="22"/>
      <w:szCs w:val="22"/>
    </w:rPr>
  </w:style>
  <w:style w:type="paragraph" w:customStyle="1" w:styleId="128">
    <w:name w:val="xl54"/>
    <w:basedOn w:val="1"/>
    <w:qFormat/>
    <w:uiPriority w:val="0"/>
    <w:pPr>
      <w:widowControl/>
      <w:pBdr>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29">
    <w:name w:val="xl4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kern w:val="0"/>
      <w:szCs w:val="21"/>
    </w:rPr>
  </w:style>
  <w:style w:type="paragraph" w:customStyle="1" w:styleId="130">
    <w:name w:val="font14"/>
    <w:basedOn w:val="1"/>
    <w:qFormat/>
    <w:uiPriority w:val="0"/>
    <w:pPr>
      <w:widowControl/>
      <w:spacing w:before="100" w:beforeAutospacing="1" w:after="100" w:afterAutospacing="1"/>
      <w:jc w:val="left"/>
    </w:pPr>
    <w:rPr>
      <w:rFonts w:hint="eastAsia" w:ascii="宋体" w:hAnsi="宋体"/>
      <w:b/>
      <w:bCs/>
      <w:kern w:val="0"/>
      <w:sz w:val="22"/>
      <w:szCs w:val="22"/>
    </w:rPr>
  </w:style>
  <w:style w:type="paragraph" w:customStyle="1" w:styleId="131">
    <w:name w:val="font13"/>
    <w:basedOn w:val="1"/>
    <w:qFormat/>
    <w:uiPriority w:val="0"/>
    <w:pPr>
      <w:widowControl/>
      <w:spacing w:before="100" w:beforeAutospacing="1" w:after="100" w:afterAutospacing="1"/>
      <w:jc w:val="left"/>
    </w:pPr>
    <w:rPr>
      <w:kern w:val="0"/>
      <w:sz w:val="22"/>
      <w:szCs w:val="22"/>
    </w:rPr>
  </w:style>
  <w:style w:type="paragraph" w:customStyle="1" w:styleId="132">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33">
    <w:name w:val="p0"/>
    <w:basedOn w:val="1"/>
    <w:qFormat/>
    <w:uiPriority w:val="0"/>
    <w:pPr>
      <w:widowControl/>
    </w:pPr>
    <w:rPr>
      <w:rFonts w:cs="宋体"/>
      <w:kern w:val="0"/>
      <w:szCs w:val="21"/>
      <w:lang w:bidi="bo-CN"/>
    </w:rPr>
  </w:style>
  <w:style w:type="paragraph" w:customStyle="1" w:styleId="134">
    <w:name w:val="font6"/>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35">
    <w:name w:val="默认段落字体 Para Char Char Char Char Char Char Char"/>
    <w:basedOn w:val="1"/>
    <w:qFormat/>
    <w:uiPriority w:val="0"/>
    <w:rPr>
      <w:rFonts w:ascii="Tahoma" w:hAnsi="Tahoma"/>
      <w:sz w:val="24"/>
    </w:rPr>
  </w:style>
  <w:style w:type="paragraph" w:customStyle="1" w:styleId="13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Cs w:val="21"/>
    </w:rPr>
  </w:style>
  <w:style w:type="paragraph" w:customStyle="1" w:styleId="137">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Cs w:val="21"/>
    </w:rPr>
  </w:style>
  <w:style w:type="paragraph" w:customStyle="1" w:styleId="138">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Cs w:val="21"/>
    </w:rPr>
  </w:style>
  <w:style w:type="paragraph" w:customStyle="1" w:styleId="139">
    <w:name w:val="纯文本1"/>
    <w:basedOn w:val="1"/>
    <w:qFormat/>
    <w:uiPriority w:val="0"/>
    <w:pPr>
      <w:adjustRightInd w:val="0"/>
      <w:jc w:val="left"/>
      <w:textAlignment w:val="baseline"/>
    </w:pPr>
    <w:rPr>
      <w:rFonts w:ascii="宋体" w:hAnsi="Courier New"/>
      <w:sz w:val="24"/>
    </w:rPr>
  </w:style>
  <w:style w:type="paragraph" w:customStyle="1" w:styleId="140">
    <w:name w:val="xl5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styleId="141">
    <w:name w:val="List Paragraph"/>
    <w:basedOn w:val="1"/>
    <w:qFormat/>
    <w:uiPriority w:val="34"/>
    <w:pPr>
      <w:ind w:firstLine="420" w:firstLineChars="200"/>
    </w:pPr>
  </w:style>
  <w:style w:type="character" w:customStyle="1" w:styleId="142">
    <w:name w:val="font21"/>
    <w:basedOn w:val="30"/>
    <w:qFormat/>
    <w:uiPriority w:val="0"/>
    <w:rPr>
      <w:rFonts w:hint="default" w:ascii="Times New Roman" w:hAnsi="Times New Roman" w:cs="Times New Roman"/>
      <w:color w:val="000000"/>
      <w:sz w:val="20"/>
      <w:szCs w:val="20"/>
      <w:u w:val="none"/>
    </w:rPr>
  </w:style>
  <w:style w:type="character" w:customStyle="1" w:styleId="143">
    <w:name w:val="font61"/>
    <w:basedOn w:val="30"/>
    <w:qFormat/>
    <w:uiPriority w:val="0"/>
    <w:rPr>
      <w:rFonts w:hint="default" w:ascii="Times New Roman" w:hAnsi="Times New Roman" w:cs="Times New Roman"/>
      <w:color w:val="000000"/>
      <w:sz w:val="20"/>
      <w:szCs w:val="20"/>
      <w:u w:val="none"/>
    </w:rPr>
  </w:style>
  <w:style w:type="character" w:customStyle="1" w:styleId="144">
    <w:name w:val="font31"/>
    <w:basedOn w:val="30"/>
    <w:qFormat/>
    <w:uiPriority w:val="0"/>
    <w:rPr>
      <w:rFonts w:hint="default" w:ascii="Times New Roman" w:hAnsi="Times New Roman" w:cs="Times New Roman"/>
      <w:b/>
      <w:bCs/>
      <w:color w:val="000000"/>
      <w:sz w:val="21"/>
      <w:szCs w:val="21"/>
      <w:u w:val="none"/>
    </w:rPr>
  </w:style>
  <w:style w:type="character" w:customStyle="1" w:styleId="145">
    <w:name w:val="font41"/>
    <w:basedOn w:val="30"/>
    <w:qFormat/>
    <w:uiPriority w:val="0"/>
    <w:rPr>
      <w:rFonts w:hint="default" w:ascii="Times New Roman" w:hAnsi="Times New Roman" w:cs="Times New Roman"/>
      <w:color w:val="000000"/>
      <w:sz w:val="21"/>
      <w:szCs w:val="21"/>
      <w:u w:val="none"/>
    </w:rPr>
  </w:style>
  <w:style w:type="character" w:customStyle="1" w:styleId="146">
    <w:name w:val="font51"/>
    <w:basedOn w:val="3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107C8E-C13D-4395-90A6-B4CB6B9A5A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14303</Words>
  <Characters>15410</Characters>
  <Lines>148</Lines>
  <Paragraphs>41</Paragraphs>
  <TotalTime>47</TotalTime>
  <ScaleCrop>false</ScaleCrop>
  <LinksUpToDate>false</LinksUpToDate>
  <CharactersWithSpaces>16604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2019-05-22T06:48:00Z</dcterms:created>
  <dc:creator>mh</dc:creator>
  <cp:lastModifiedBy>ZJJ</cp:lastModifiedBy>
  <dcterms:modified xsi:type="dcterms:W3CDTF">2022-05-05T07:59:32Z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AF93DAB9157C4A16A2FDA8E08AD3FD70</vt:lpwstr>
  </property>
</Properties>
</file>