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72"/>
          <w:szCs w:val="72"/>
        </w:rPr>
      </w:pPr>
    </w:p>
    <w:p>
      <w:pPr>
        <w:jc w:val="center"/>
        <w:rPr>
          <w:rFonts w:hint="eastAsia" w:ascii="宋体" w:hAnsi="宋体"/>
          <w:sz w:val="72"/>
          <w:szCs w:val="72"/>
        </w:rPr>
      </w:pPr>
    </w:p>
    <w:p>
      <w:pPr>
        <w:jc w:val="center"/>
        <w:rPr>
          <w:rFonts w:hint="eastAsia" w:ascii="宋体" w:hAnsi="宋体"/>
          <w:sz w:val="36"/>
          <w:szCs w:val="36"/>
        </w:rPr>
      </w:pPr>
      <w:r>
        <w:rPr>
          <w:rFonts w:hint="eastAsia" w:ascii="宋体" w:hAnsi="宋体"/>
          <w:b/>
          <w:sz w:val="52"/>
          <w:szCs w:val="52"/>
        </w:rPr>
        <w:t>涉执房地产处置司法评估报告</w:t>
      </w: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spacing w:line="640" w:lineRule="exact"/>
        <w:ind w:left="3950" w:leftChars="200" w:hanging="3530" w:hangingChars="800"/>
        <w:rPr>
          <w:rFonts w:hint="eastAsia" w:ascii="宋体" w:hAnsi="宋体"/>
          <w:sz w:val="32"/>
          <w:szCs w:val="32"/>
        </w:rPr>
      </w:pPr>
      <w:r>
        <w:rPr>
          <w:rFonts w:hint="eastAsia" w:ascii="宋体" w:hAnsi="宋体"/>
          <w:b/>
          <w:spacing w:val="60"/>
          <w:sz w:val="32"/>
          <w:szCs w:val="32"/>
        </w:rPr>
        <w:t>估价报告编</w:t>
      </w:r>
      <w:r>
        <w:rPr>
          <w:rFonts w:hint="eastAsia" w:ascii="宋体" w:hAnsi="宋体"/>
          <w:b/>
          <w:sz w:val="32"/>
          <w:szCs w:val="32"/>
        </w:rPr>
        <w:t>号：</w:t>
      </w:r>
      <w:r>
        <w:rPr>
          <w:rFonts w:hint="eastAsia" w:ascii="宋体" w:hAnsi="宋体"/>
          <w:sz w:val="32"/>
          <w:szCs w:val="32"/>
        </w:rPr>
        <w:t>豫郑开来评字[2022]F0</w:t>
      </w:r>
      <w:r>
        <w:rPr>
          <w:rFonts w:hint="eastAsia" w:ascii="宋体" w:hAnsi="宋体"/>
          <w:sz w:val="32"/>
          <w:szCs w:val="32"/>
          <w:lang w:val="en-US" w:eastAsia="zh-CN"/>
        </w:rPr>
        <w:t>6</w:t>
      </w:r>
      <w:r>
        <w:rPr>
          <w:rFonts w:hint="eastAsia" w:ascii="宋体" w:hAnsi="宋体"/>
          <w:sz w:val="32"/>
          <w:szCs w:val="32"/>
        </w:rPr>
        <w:t>0</w:t>
      </w:r>
      <w:r>
        <w:rPr>
          <w:rFonts w:hint="eastAsia" w:ascii="宋体" w:hAnsi="宋体"/>
          <w:sz w:val="32"/>
          <w:szCs w:val="32"/>
          <w:lang w:val="en-US" w:eastAsia="zh-CN"/>
        </w:rPr>
        <w:t>6</w:t>
      </w:r>
      <w:r>
        <w:rPr>
          <w:rFonts w:hint="eastAsia" w:ascii="宋体" w:hAnsi="宋体"/>
          <w:sz w:val="32"/>
          <w:szCs w:val="32"/>
        </w:rPr>
        <w:t>000</w:t>
      </w:r>
      <w:r>
        <w:rPr>
          <w:rFonts w:hint="eastAsia" w:ascii="宋体" w:hAnsi="宋体"/>
          <w:sz w:val="32"/>
          <w:szCs w:val="32"/>
          <w:lang w:val="en-US" w:eastAsia="zh-CN"/>
        </w:rPr>
        <w:t>7</w:t>
      </w:r>
      <w:r>
        <w:rPr>
          <w:rFonts w:hint="eastAsia" w:ascii="宋体" w:hAnsi="宋体"/>
          <w:sz w:val="32"/>
          <w:szCs w:val="32"/>
        </w:rPr>
        <w:t>A号</w:t>
      </w:r>
    </w:p>
    <w:p>
      <w:pPr>
        <w:spacing w:line="600" w:lineRule="exact"/>
        <w:ind w:left="3288" w:leftChars="200" w:hanging="2868" w:hangingChars="650"/>
        <w:rPr>
          <w:rFonts w:ascii="宋体" w:hAnsi="宋体"/>
          <w:sz w:val="32"/>
          <w:szCs w:val="32"/>
        </w:rPr>
      </w:pPr>
      <w:r>
        <w:rPr>
          <w:rFonts w:hint="eastAsia" w:ascii="宋体" w:hAnsi="宋体"/>
          <w:b/>
          <w:spacing w:val="60"/>
          <w:sz w:val="32"/>
          <w:szCs w:val="32"/>
        </w:rPr>
        <w:t>估价项目名</w:t>
      </w:r>
      <w:r>
        <w:rPr>
          <w:rFonts w:hint="eastAsia" w:ascii="宋体" w:hAnsi="宋体"/>
          <w:b/>
          <w:sz w:val="32"/>
          <w:szCs w:val="32"/>
        </w:rPr>
        <w:t>称：</w:t>
      </w:r>
      <w:r>
        <w:rPr>
          <w:rFonts w:hint="eastAsia" w:ascii="宋体" w:hAnsi="宋体"/>
          <w:b w:val="0"/>
          <w:bCs/>
          <w:sz w:val="32"/>
          <w:szCs w:val="32"/>
          <w:lang w:eastAsia="zh-CN"/>
        </w:rPr>
        <w:t>内乡县赤眉镇赤眉村街南南组</w:t>
      </w:r>
      <w:r>
        <w:rPr>
          <w:rFonts w:hint="eastAsia" w:ascii="宋体" w:hAnsi="宋体"/>
          <w:sz w:val="32"/>
          <w:szCs w:val="32"/>
          <w:highlight w:val="none"/>
          <w:lang w:eastAsia="zh-CN"/>
        </w:rPr>
        <w:t>住宅</w:t>
      </w:r>
      <w:r>
        <w:rPr>
          <w:rFonts w:hint="eastAsia" w:ascii="宋体" w:hAnsi="宋体"/>
          <w:sz w:val="32"/>
          <w:szCs w:val="32"/>
          <w:highlight w:val="none"/>
        </w:rPr>
        <w:t>房</w:t>
      </w:r>
      <w:r>
        <w:rPr>
          <w:rFonts w:hint="eastAsia" w:ascii="宋体" w:hAnsi="宋体"/>
          <w:sz w:val="32"/>
          <w:szCs w:val="32"/>
        </w:rPr>
        <w:t>地产市场价值评估</w:t>
      </w:r>
    </w:p>
    <w:p>
      <w:pPr>
        <w:spacing w:line="640" w:lineRule="exact"/>
        <w:ind w:left="5638" w:leftChars="200" w:hanging="5218" w:hangingChars="950"/>
        <w:rPr>
          <w:rFonts w:ascii="宋体" w:hAnsi="宋体"/>
          <w:sz w:val="32"/>
          <w:szCs w:val="32"/>
        </w:rPr>
      </w:pPr>
      <w:r>
        <w:rPr>
          <w:rFonts w:hint="eastAsia" w:ascii="宋体" w:hAnsi="宋体"/>
          <w:b/>
          <w:spacing w:val="114"/>
          <w:sz w:val="32"/>
          <w:szCs w:val="32"/>
        </w:rPr>
        <w:t>估价委托</w:t>
      </w:r>
      <w:r>
        <w:rPr>
          <w:rFonts w:hint="eastAsia" w:ascii="宋体" w:hAnsi="宋体"/>
          <w:b/>
          <w:sz w:val="32"/>
          <w:szCs w:val="32"/>
        </w:rPr>
        <w:t>人：</w:t>
      </w:r>
      <w:r>
        <w:rPr>
          <w:rFonts w:ascii="宋体" w:hAnsi="宋体"/>
          <w:sz w:val="32"/>
          <w:szCs w:val="32"/>
        </w:rPr>
        <w:t>内乡县人民法院</w:t>
      </w:r>
    </w:p>
    <w:p>
      <w:pPr>
        <w:spacing w:line="640" w:lineRule="exact"/>
        <w:ind w:left="3928" w:leftChars="200" w:hanging="3508" w:hangingChars="950"/>
        <w:rPr>
          <w:rFonts w:hint="eastAsia" w:ascii="宋体" w:hAnsi="宋体"/>
          <w:sz w:val="32"/>
          <w:szCs w:val="32"/>
        </w:rPr>
      </w:pPr>
      <w:r>
        <w:rPr>
          <w:rFonts w:hint="eastAsia" w:ascii="宋体" w:hAnsi="宋体"/>
          <w:b/>
          <w:spacing w:val="24"/>
          <w:sz w:val="32"/>
          <w:szCs w:val="32"/>
        </w:rPr>
        <w:t>房地产估价机</w:t>
      </w:r>
      <w:r>
        <w:rPr>
          <w:rFonts w:hint="eastAsia" w:ascii="宋体" w:hAnsi="宋体"/>
          <w:b/>
          <w:sz w:val="32"/>
          <w:szCs w:val="32"/>
        </w:rPr>
        <w:t>构：</w:t>
      </w:r>
      <w:r>
        <w:rPr>
          <w:rFonts w:hint="eastAsia" w:ascii="宋体" w:hAnsi="宋体"/>
          <w:sz w:val="32"/>
          <w:szCs w:val="32"/>
        </w:rPr>
        <w:t>河南开来房地产评估咨询有限公司</w:t>
      </w:r>
    </w:p>
    <w:p>
      <w:pPr>
        <w:spacing w:line="640" w:lineRule="exact"/>
        <w:ind w:left="3472" w:leftChars="200" w:hanging="3052" w:hangingChars="950"/>
        <w:rPr>
          <w:rFonts w:ascii="宋体" w:hAnsi="宋体"/>
          <w:bCs/>
          <w:sz w:val="32"/>
          <w:szCs w:val="32"/>
        </w:rPr>
      </w:pPr>
      <w:r>
        <w:rPr>
          <w:rFonts w:hint="eastAsia" w:ascii="宋体" w:hAnsi="宋体"/>
          <w:b/>
          <w:sz w:val="32"/>
          <w:szCs w:val="32"/>
        </w:rPr>
        <w:t>注册房地产估价师：</w:t>
      </w:r>
      <w:r>
        <w:rPr>
          <w:rFonts w:hint="eastAsia" w:ascii="宋体" w:hAnsi="宋体"/>
          <w:sz w:val="32"/>
          <w:szCs w:val="32"/>
        </w:rPr>
        <w:t>轩幸福（注册号4120210153）</w:t>
      </w:r>
    </w:p>
    <w:p>
      <w:pPr>
        <w:spacing w:line="640" w:lineRule="exact"/>
        <w:ind w:left="3472" w:leftChars="200" w:hanging="3052" w:hangingChars="950"/>
        <w:rPr>
          <w:rFonts w:ascii="宋体" w:hAnsi="宋体"/>
          <w:bCs/>
          <w:sz w:val="32"/>
          <w:szCs w:val="32"/>
        </w:rPr>
      </w:pPr>
      <w:r>
        <w:rPr>
          <w:rFonts w:hint="eastAsia" w:ascii="宋体" w:hAnsi="宋体"/>
          <w:b/>
          <w:sz w:val="32"/>
          <w:szCs w:val="32"/>
        </w:rPr>
        <w:t xml:space="preserve">    </w:t>
      </w:r>
      <w:r>
        <w:rPr>
          <w:rFonts w:hint="eastAsia" w:ascii="宋体" w:hAnsi="宋体"/>
          <w:bCs/>
          <w:sz w:val="32"/>
          <w:szCs w:val="32"/>
        </w:rPr>
        <w:t xml:space="preserve">             </w:t>
      </w:r>
      <w:r>
        <w:rPr>
          <w:rFonts w:ascii="宋体" w:hAnsi="宋体"/>
          <w:bCs/>
          <w:sz w:val="32"/>
          <w:szCs w:val="32"/>
        </w:rPr>
        <w:t xml:space="preserve"> </w:t>
      </w:r>
      <w:r>
        <w:rPr>
          <w:rFonts w:hint="eastAsia" w:ascii="宋体" w:hAnsi="宋体"/>
          <w:sz w:val="32"/>
          <w:szCs w:val="32"/>
        </w:rPr>
        <w:t>刘妙然（注册号</w:t>
      </w:r>
      <w:r>
        <w:rPr>
          <w:rFonts w:hint="eastAsia" w:ascii="宋体" w:hAnsi="宋体"/>
          <w:sz w:val="32"/>
          <w:szCs w:val="32"/>
          <w:highlight w:val="none"/>
          <w:lang w:eastAsia="zh-CN"/>
        </w:rPr>
        <w:t>4120030034</w:t>
      </w:r>
      <w:r>
        <w:rPr>
          <w:rFonts w:hint="eastAsia" w:ascii="宋体" w:hAnsi="宋体"/>
          <w:sz w:val="32"/>
          <w:szCs w:val="32"/>
        </w:rPr>
        <w:t>）</w:t>
      </w:r>
    </w:p>
    <w:p>
      <w:pPr>
        <w:spacing w:line="640" w:lineRule="exact"/>
        <w:ind w:left="3472" w:leftChars="200" w:hanging="3052" w:hangingChars="950"/>
        <w:rPr>
          <w:rFonts w:hint="eastAsia" w:ascii="宋体" w:hAnsi="宋体"/>
          <w:sz w:val="32"/>
          <w:szCs w:val="32"/>
          <w:lang w:eastAsia="zh-CN"/>
        </w:rPr>
      </w:pPr>
      <w:r>
        <w:rPr>
          <w:rFonts w:hint="eastAsia" w:ascii="宋体" w:hAnsi="宋体"/>
          <w:b/>
          <w:sz w:val="32"/>
          <w:szCs w:val="32"/>
        </w:rPr>
        <w:t>估价报告出具日期：</w:t>
      </w:r>
      <w:bookmarkStart w:id="0" w:name="_Toc275767910"/>
      <w:r>
        <w:rPr>
          <w:rFonts w:hint="eastAsia" w:ascii="宋体" w:hAnsi="宋体"/>
          <w:sz w:val="32"/>
          <w:szCs w:val="32"/>
          <w:lang w:eastAsia="zh-CN"/>
        </w:rPr>
        <w:t>二〇二二年六月十日</w:t>
      </w:r>
    </w:p>
    <w:p>
      <w:pPr>
        <w:spacing w:line="640" w:lineRule="exact"/>
        <w:ind w:left="3460" w:leftChars="200" w:hanging="3040" w:hangingChars="950"/>
        <w:rPr>
          <w:rFonts w:hint="eastAsia" w:ascii="宋体" w:hAnsi="宋体"/>
          <w:sz w:val="32"/>
          <w:szCs w:val="32"/>
        </w:rPr>
        <w:sectPr>
          <w:headerReference r:id="rId3" w:type="default"/>
          <w:footerReference r:id="rId4" w:type="default"/>
          <w:pgSz w:w="11906" w:h="16838"/>
          <w:pgMar w:top="1247" w:right="1134" w:bottom="1021" w:left="1418" w:header="794" w:footer="680" w:gutter="0"/>
          <w:pgNumType w:start="1"/>
          <w:cols w:space="720" w:num="1"/>
          <w:docGrid w:type="lines" w:linePitch="312" w:charSpace="0"/>
        </w:sectPr>
      </w:pPr>
    </w:p>
    <w:p>
      <w:pPr>
        <w:spacing w:before="312" w:beforeLines="100" w:after="156" w:afterLines="50"/>
        <w:jc w:val="center"/>
        <w:rPr>
          <w:rFonts w:hint="eastAsia"/>
          <w:b/>
          <w:sz w:val="32"/>
          <w:szCs w:val="32"/>
        </w:rPr>
      </w:pPr>
      <w:r>
        <w:rPr>
          <w:rFonts w:hint="eastAsia"/>
          <w:b/>
          <w:sz w:val="32"/>
          <w:szCs w:val="32"/>
        </w:rPr>
        <w:t>致估价委托人函</w:t>
      </w:r>
      <w:bookmarkEnd w:id="0"/>
    </w:p>
    <w:p>
      <w:pPr>
        <w:spacing w:line="640" w:lineRule="exact"/>
        <w:rPr>
          <w:rFonts w:hint="eastAsia" w:ascii="宋体" w:hAnsi="宋体"/>
          <w:b/>
          <w:bCs/>
          <w:sz w:val="28"/>
          <w:szCs w:val="28"/>
        </w:rPr>
      </w:pPr>
      <w:r>
        <w:rPr>
          <w:rFonts w:ascii="宋体" w:hAnsi="宋体"/>
          <w:b/>
          <w:bCs/>
          <w:sz w:val="32"/>
          <w:szCs w:val="32"/>
        </w:rPr>
        <w:t>内乡县人民法院</w:t>
      </w:r>
      <w:r>
        <w:rPr>
          <w:rFonts w:hint="eastAsia" w:ascii="宋体" w:hAnsi="宋体"/>
          <w:b/>
          <w:bCs/>
          <w:sz w:val="28"/>
          <w:szCs w:val="28"/>
        </w:rPr>
        <w:t>：</w:t>
      </w:r>
    </w:p>
    <w:p>
      <w:pPr>
        <w:spacing w:line="480" w:lineRule="exact"/>
        <w:ind w:firstLine="560" w:firstLineChars="200"/>
        <w:rPr>
          <w:rFonts w:ascii="宋体" w:hAnsi="宋体"/>
          <w:bCs/>
          <w:sz w:val="28"/>
          <w:szCs w:val="28"/>
        </w:rPr>
      </w:pPr>
      <w:r>
        <w:rPr>
          <w:rFonts w:hint="eastAsia" w:ascii="宋体" w:hAnsi="宋体"/>
          <w:sz w:val="28"/>
          <w:szCs w:val="28"/>
        </w:rPr>
        <w:t>受贵院委托，我公司</w:t>
      </w:r>
      <w:r>
        <w:rPr>
          <w:rFonts w:hint="eastAsia" w:ascii="宋体" w:hAnsi="宋体"/>
          <w:bCs/>
          <w:sz w:val="28"/>
          <w:szCs w:val="28"/>
        </w:rPr>
        <w:t>按照《房地产估价规范》（GB/T 50291-2015）、</w:t>
      </w:r>
      <w:r>
        <w:rPr>
          <w:rFonts w:hint="eastAsia" w:ascii="宋体" w:hAnsi="宋体"/>
          <w:sz w:val="28"/>
          <w:szCs w:val="28"/>
        </w:rPr>
        <w:t>《房地产估价基本术语标准》（GB/T50899-2013）和《河南省房地产司法鉴定估价指导意见》</w:t>
      </w:r>
      <w:r>
        <w:rPr>
          <w:rFonts w:hint="eastAsia" w:ascii="宋体" w:hAnsi="宋体"/>
          <w:bCs/>
          <w:sz w:val="28"/>
          <w:szCs w:val="28"/>
        </w:rPr>
        <w:t>等有关估价标准的规定，对贵院委托的房地产进行了</w:t>
      </w:r>
      <w:r>
        <w:rPr>
          <w:rFonts w:hint="eastAsia" w:ascii="宋体" w:hAnsi="宋体"/>
          <w:sz w:val="28"/>
          <w:szCs w:val="28"/>
        </w:rPr>
        <w:t>市场价值</w:t>
      </w:r>
      <w:r>
        <w:rPr>
          <w:rFonts w:hint="eastAsia" w:ascii="宋体" w:hAnsi="宋体"/>
          <w:bCs/>
          <w:sz w:val="28"/>
          <w:szCs w:val="28"/>
        </w:rPr>
        <w:t>评估，现将该项目的估价情况及其结果做如下归纳：</w:t>
      </w:r>
    </w:p>
    <w:p>
      <w:pPr>
        <w:tabs>
          <w:tab w:val="left" w:pos="720"/>
        </w:tabs>
        <w:spacing w:line="480" w:lineRule="exact"/>
        <w:ind w:firstLine="560" w:firstLineChars="200"/>
        <w:rPr>
          <w:rFonts w:hint="eastAsia" w:ascii="宋体" w:hAnsi="宋体"/>
          <w:sz w:val="28"/>
          <w:szCs w:val="28"/>
        </w:rPr>
      </w:pPr>
      <w:r>
        <w:rPr>
          <w:rFonts w:hint="eastAsia" w:ascii="宋体" w:hAnsi="宋体"/>
          <w:sz w:val="28"/>
          <w:szCs w:val="28"/>
        </w:rPr>
        <w:t>估价目的：为人民法院确定财产处置参考价提供参考依据。</w:t>
      </w:r>
    </w:p>
    <w:p>
      <w:pPr>
        <w:tabs>
          <w:tab w:val="left" w:pos="720"/>
        </w:tabs>
        <w:spacing w:line="480" w:lineRule="exact"/>
        <w:ind w:firstLine="560" w:firstLineChars="200"/>
        <w:rPr>
          <w:rFonts w:hint="eastAsia" w:ascii="宋体" w:hAnsi="宋体"/>
          <w:sz w:val="28"/>
          <w:szCs w:val="28"/>
        </w:rPr>
      </w:pPr>
      <w:r>
        <w:rPr>
          <w:rFonts w:hint="eastAsia" w:ascii="宋体" w:hAnsi="宋体"/>
          <w:sz w:val="28"/>
          <w:szCs w:val="28"/>
        </w:rPr>
        <w:t>估价对象：</w:t>
      </w:r>
      <w:r>
        <w:rPr>
          <w:rFonts w:hint="eastAsia" w:ascii="宋体" w:hAnsi="宋体"/>
          <w:sz w:val="28"/>
          <w:szCs w:val="28"/>
          <w:lang w:eastAsia="zh-CN"/>
        </w:rPr>
        <w:t>估价对象</w:t>
      </w:r>
      <w:r>
        <w:rPr>
          <w:rFonts w:hint="eastAsia" w:ascii="宋体" w:hAnsi="宋体"/>
          <w:sz w:val="28"/>
          <w:szCs w:val="28"/>
        </w:rPr>
        <w:t>位于</w:t>
      </w:r>
      <w:r>
        <w:rPr>
          <w:rFonts w:hint="eastAsia" w:ascii="宋体" w:hAnsi="宋体"/>
          <w:sz w:val="28"/>
          <w:szCs w:val="28"/>
          <w:lang w:eastAsia="zh-CN"/>
        </w:rPr>
        <w:t>内乡县赤眉镇赤眉村街南南组</w:t>
      </w:r>
      <w:r>
        <w:rPr>
          <w:rFonts w:hint="eastAsia" w:ascii="宋体" w:hAnsi="宋体"/>
          <w:sz w:val="28"/>
          <w:szCs w:val="28"/>
        </w:rPr>
        <w:t>，建筑面积为</w:t>
      </w:r>
      <w:r>
        <w:rPr>
          <w:rFonts w:hint="eastAsia" w:ascii="宋体" w:hAnsi="宋体"/>
          <w:sz w:val="28"/>
          <w:szCs w:val="28"/>
          <w:lang w:eastAsia="zh-CN"/>
        </w:rPr>
        <w:t>133.70平方米</w:t>
      </w:r>
      <w:r>
        <w:rPr>
          <w:rFonts w:hint="eastAsia" w:ascii="宋体" w:hAnsi="宋体"/>
          <w:sz w:val="28"/>
          <w:szCs w:val="28"/>
        </w:rPr>
        <w:t>的</w:t>
      </w:r>
      <w:r>
        <w:rPr>
          <w:rFonts w:ascii="宋体" w:hAnsi="宋体"/>
          <w:sz w:val="28"/>
          <w:szCs w:val="28"/>
        </w:rPr>
        <w:t>住宅</w:t>
      </w:r>
      <w:r>
        <w:rPr>
          <w:rFonts w:hint="eastAsia" w:ascii="宋体" w:hAnsi="宋体"/>
          <w:sz w:val="28"/>
          <w:szCs w:val="28"/>
          <w:lang w:eastAsia="zh-CN"/>
        </w:rPr>
        <w:t>房</w:t>
      </w:r>
      <w:r>
        <w:rPr>
          <w:rFonts w:hint="eastAsia" w:ascii="宋体" w:hAnsi="宋体"/>
          <w:sz w:val="28"/>
          <w:szCs w:val="28"/>
          <w:highlight w:val="none"/>
          <w:lang w:eastAsia="zh-CN"/>
        </w:rPr>
        <w:t>屋及</w:t>
      </w:r>
      <w:r>
        <w:rPr>
          <w:rFonts w:hint="eastAsia" w:ascii="宋体" w:hAnsi="宋体"/>
          <w:sz w:val="28"/>
          <w:szCs w:val="28"/>
          <w:highlight w:val="none"/>
        </w:rPr>
        <w:t>其</w:t>
      </w:r>
      <w:r>
        <w:rPr>
          <w:rFonts w:hint="eastAsia" w:ascii="宋体" w:hAnsi="宋体" w:cs="宋体"/>
          <w:sz w:val="28"/>
          <w:szCs w:val="28"/>
        </w:rPr>
        <w:t>应分摊</w:t>
      </w:r>
      <w:r>
        <w:rPr>
          <w:rFonts w:hint="eastAsia" w:ascii="宋体" w:hAnsi="宋体" w:cs="宋体"/>
          <w:sz w:val="28"/>
          <w:szCs w:val="28"/>
          <w:lang w:eastAsia="zh-CN"/>
        </w:rPr>
        <w:t>的</w:t>
      </w:r>
      <w:r>
        <w:rPr>
          <w:rFonts w:hint="eastAsia" w:ascii="宋体" w:hAnsi="宋体" w:cs="宋体"/>
          <w:sz w:val="28"/>
          <w:szCs w:val="28"/>
        </w:rPr>
        <w:t>土地</w:t>
      </w:r>
      <w:r>
        <w:rPr>
          <w:rFonts w:hint="eastAsia" w:ascii="宋体" w:hAnsi="宋体" w:cs="宋体"/>
          <w:sz w:val="28"/>
          <w:szCs w:val="28"/>
          <w:lang w:eastAsia="zh-CN"/>
        </w:rPr>
        <w:t>使用权</w:t>
      </w:r>
      <w:r>
        <w:rPr>
          <w:rFonts w:hint="eastAsia" w:ascii="宋体" w:hAnsi="宋体" w:cs="宋体"/>
          <w:sz w:val="28"/>
          <w:szCs w:val="28"/>
        </w:rPr>
        <w:t>和装饰装修</w:t>
      </w:r>
      <w:r>
        <w:rPr>
          <w:rFonts w:hint="eastAsia" w:ascii="宋体" w:hAnsi="宋体"/>
          <w:sz w:val="28"/>
          <w:szCs w:val="28"/>
        </w:rPr>
        <w:t>（不包含动产、债权债务等）。</w:t>
      </w:r>
    </w:p>
    <w:p>
      <w:pPr>
        <w:spacing w:after="156" w:afterLines="50" w:line="520" w:lineRule="exact"/>
        <w:ind w:firstLine="560" w:firstLineChars="200"/>
        <w:jc w:val="center"/>
        <w:rPr>
          <w:rFonts w:ascii="宋体" w:hAnsi="宋体"/>
          <w:sz w:val="28"/>
          <w:szCs w:val="28"/>
        </w:rPr>
      </w:pPr>
      <w:r>
        <w:rPr>
          <w:rFonts w:hint="eastAsia" w:ascii="宋体" w:hAnsi="宋体"/>
          <w:bCs/>
          <w:sz w:val="28"/>
          <w:szCs w:val="28"/>
        </w:rPr>
        <w:t>估价对象基本状况表</w:t>
      </w:r>
    </w:p>
    <w:tbl>
      <w:tblPr>
        <w:tblStyle w:val="2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59"/>
        <w:gridCol w:w="1137"/>
        <w:gridCol w:w="1250"/>
        <w:gridCol w:w="1450"/>
        <w:gridCol w:w="1667"/>
        <w:gridCol w:w="1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59" w:type="dxa"/>
            <w:noWrap w:val="0"/>
            <w:vAlign w:val="center"/>
          </w:tcPr>
          <w:p>
            <w:pPr>
              <w:widowControl/>
              <w:jc w:val="center"/>
              <w:textAlignment w:val="center"/>
              <w:rPr>
                <w:rFonts w:ascii="宋体" w:hAnsi="宋体"/>
                <w:sz w:val="20"/>
                <w:szCs w:val="20"/>
              </w:rPr>
            </w:pPr>
            <w:r>
              <w:rPr>
                <w:rFonts w:hint="eastAsia" w:ascii="宋体" w:hAnsi="宋体"/>
                <w:sz w:val="20"/>
                <w:szCs w:val="20"/>
                <w:lang w:eastAsia="zh-CN"/>
              </w:rPr>
              <w:t>房屋</w:t>
            </w:r>
            <w:r>
              <w:rPr>
                <w:rFonts w:hint="eastAsia" w:ascii="宋体" w:hAnsi="宋体"/>
                <w:sz w:val="20"/>
                <w:szCs w:val="20"/>
              </w:rPr>
              <w:t>所有权人</w:t>
            </w:r>
          </w:p>
        </w:tc>
        <w:tc>
          <w:tcPr>
            <w:tcW w:w="6780" w:type="dxa"/>
            <w:gridSpan w:val="5"/>
            <w:shd w:val="clear" w:color="auto" w:fill="auto"/>
            <w:noWrap w:val="0"/>
            <w:vAlign w:val="center"/>
          </w:tcPr>
          <w:p>
            <w:pPr>
              <w:jc w:val="center"/>
              <w:rPr>
                <w:rFonts w:hint="eastAsia" w:ascii="宋体" w:hAnsi="宋体" w:eastAsia="宋体"/>
                <w:sz w:val="20"/>
                <w:szCs w:val="20"/>
                <w:lang w:eastAsia="zh-CN"/>
              </w:rPr>
            </w:pPr>
            <w:r>
              <w:rPr>
                <w:rFonts w:hint="eastAsia" w:ascii="宋体" w:hAnsi="宋体"/>
                <w:sz w:val="20"/>
                <w:szCs w:val="20"/>
                <w:highlight w:val="none"/>
                <w:lang w:eastAsia="zh-CN"/>
              </w:rPr>
              <w:t>贾保成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2159" w:type="dxa"/>
            <w:noWrap w:val="0"/>
            <w:vAlign w:val="center"/>
          </w:tcPr>
          <w:p>
            <w:pPr>
              <w:widowControl/>
              <w:jc w:val="center"/>
              <w:textAlignment w:val="center"/>
              <w:rPr>
                <w:rFonts w:ascii="宋体" w:hAnsi="宋体"/>
                <w:sz w:val="20"/>
                <w:szCs w:val="20"/>
              </w:rPr>
            </w:pPr>
            <w:r>
              <w:rPr>
                <w:rFonts w:hint="eastAsia" w:ascii="宋体" w:hAnsi="宋体" w:cs="宋体"/>
                <w:kern w:val="0"/>
                <w:sz w:val="20"/>
                <w:szCs w:val="20"/>
                <w:lang w:bidi="ar"/>
              </w:rPr>
              <w:t>房屋所有权证</w:t>
            </w:r>
            <w:r>
              <w:rPr>
                <w:rFonts w:hint="eastAsia" w:ascii="宋体" w:hAnsi="宋体" w:cs="宋体"/>
                <w:kern w:val="0"/>
                <w:sz w:val="20"/>
                <w:szCs w:val="20"/>
                <w:lang w:eastAsia="zh-CN" w:bidi="ar"/>
              </w:rPr>
              <w:t>存根</w:t>
            </w:r>
            <w:r>
              <w:rPr>
                <w:rFonts w:hint="eastAsia" w:ascii="宋体" w:hAnsi="宋体" w:cs="宋体"/>
                <w:kern w:val="0"/>
                <w:sz w:val="20"/>
                <w:szCs w:val="20"/>
                <w:lang w:bidi="ar"/>
              </w:rPr>
              <w:t>号</w:t>
            </w:r>
          </w:p>
        </w:tc>
        <w:tc>
          <w:tcPr>
            <w:tcW w:w="6780" w:type="dxa"/>
            <w:gridSpan w:val="5"/>
            <w:noWrap w:val="0"/>
            <w:vAlign w:val="center"/>
          </w:tcPr>
          <w:p>
            <w:pPr>
              <w:jc w:val="center"/>
              <w:rPr>
                <w:rFonts w:hint="eastAsia" w:ascii="宋体" w:hAnsi="宋体" w:eastAsia="宋体"/>
                <w:sz w:val="20"/>
                <w:szCs w:val="20"/>
                <w:lang w:eastAsia="zh-CN"/>
              </w:rPr>
            </w:pPr>
            <w:r>
              <w:rPr>
                <w:rFonts w:hint="eastAsia" w:ascii="宋体" w:hAnsi="宋体"/>
                <w:sz w:val="20"/>
                <w:szCs w:val="20"/>
                <w:lang w:eastAsia="zh-CN"/>
              </w:rPr>
              <w:t>房权证内房字第0701333号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2159" w:type="dxa"/>
            <w:noWrap w:val="0"/>
            <w:vAlign w:val="center"/>
          </w:tcPr>
          <w:p>
            <w:pPr>
              <w:widowControl/>
              <w:jc w:val="center"/>
              <w:textAlignment w:val="center"/>
              <w:rPr>
                <w:rFonts w:ascii="宋体" w:hAnsi="宋体"/>
                <w:sz w:val="20"/>
                <w:szCs w:val="20"/>
              </w:rPr>
            </w:pPr>
            <w:r>
              <w:rPr>
                <w:rFonts w:hint="eastAsia" w:ascii="宋体" w:hAnsi="宋体" w:cs="宋体"/>
                <w:kern w:val="0"/>
                <w:sz w:val="20"/>
                <w:szCs w:val="20"/>
                <w:lang w:bidi="ar"/>
              </w:rPr>
              <w:t>房屋坐落</w:t>
            </w:r>
          </w:p>
        </w:tc>
        <w:tc>
          <w:tcPr>
            <w:tcW w:w="6780" w:type="dxa"/>
            <w:gridSpan w:val="5"/>
            <w:noWrap w:val="0"/>
            <w:vAlign w:val="center"/>
          </w:tcPr>
          <w:p>
            <w:pPr>
              <w:jc w:val="center"/>
              <w:rPr>
                <w:rFonts w:ascii="宋体" w:hAnsi="宋体"/>
                <w:sz w:val="20"/>
                <w:szCs w:val="20"/>
              </w:rPr>
            </w:pPr>
            <w:r>
              <w:rPr>
                <w:rFonts w:hint="eastAsia" w:ascii="宋体" w:hAnsi="宋体"/>
                <w:sz w:val="20"/>
                <w:szCs w:val="20"/>
                <w:lang w:eastAsia="zh-CN"/>
              </w:rPr>
              <w:t>内乡县</w:t>
            </w:r>
            <w:r>
              <w:rPr>
                <w:rFonts w:ascii="宋体" w:hAnsi="宋体"/>
                <w:sz w:val="20"/>
                <w:szCs w:val="20"/>
              </w:rPr>
              <w:t>赤眉镇赤眉村街南南组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59" w:type="dxa"/>
            <w:noWrap w:val="0"/>
            <w:vAlign w:val="center"/>
          </w:tcPr>
          <w:p>
            <w:pPr>
              <w:jc w:val="center"/>
              <w:rPr>
                <w:rFonts w:hint="eastAsia" w:ascii="宋体" w:hAnsi="宋体"/>
                <w:sz w:val="20"/>
                <w:szCs w:val="20"/>
              </w:rPr>
            </w:pPr>
            <w:r>
              <w:rPr>
                <w:rFonts w:hint="eastAsia" w:ascii="宋体" w:hAnsi="宋体"/>
                <w:sz w:val="20"/>
                <w:szCs w:val="20"/>
              </w:rPr>
              <w:t>建筑结构</w:t>
            </w:r>
          </w:p>
        </w:tc>
        <w:tc>
          <w:tcPr>
            <w:tcW w:w="1137" w:type="dxa"/>
            <w:noWrap w:val="0"/>
            <w:vAlign w:val="center"/>
          </w:tcPr>
          <w:p>
            <w:pPr>
              <w:widowControl/>
              <w:jc w:val="center"/>
              <w:textAlignment w:val="center"/>
              <w:rPr>
                <w:rFonts w:hint="eastAsia" w:ascii="宋体" w:hAnsi="宋体"/>
                <w:sz w:val="20"/>
                <w:szCs w:val="20"/>
              </w:rPr>
            </w:pPr>
            <w:r>
              <w:rPr>
                <w:rFonts w:hint="eastAsia" w:ascii="宋体" w:hAnsi="宋体"/>
                <w:sz w:val="20"/>
                <w:szCs w:val="20"/>
              </w:rPr>
              <w:t>规划用途</w:t>
            </w:r>
          </w:p>
        </w:tc>
        <w:tc>
          <w:tcPr>
            <w:tcW w:w="1250" w:type="dxa"/>
            <w:noWrap w:val="0"/>
            <w:vAlign w:val="center"/>
          </w:tcPr>
          <w:p>
            <w:pPr>
              <w:widowControl/>
              <w:jc w:val="center"/>
              <w:textAlignment w:val="center"/>
              <w:rPr>
                <w:rFonts w:ascii="宋体" w:hAnsi="宋体"/>
                <w:sz w:val="20"/>
                <w:szCs w:val="20"/>
              </w:rPr>
            </w:pPr>
            <w:r>
              <w:rPr>
                <w:rFonts w:hint="eastAsia" w:ascii="宋体" w:hAnsi="宋体" w:cs="宋体"/>
                <w:kern w:val="0"/>
                <w:sz w:val="20"/>
                <w:szCs w:val="20"/>
                <w:lang w:bidi="ar"/>
              </w:rPr>
              <w:t>总层数</w:t>
            </w:r>
          </w:p>
        </w:tc>
        <w:tc>
          <w:tcPr>
            <w:tcW w:w="1450" w:type="dxa"/>
            <w:noWrap w:val="0"/>
            <w:vAlign w:val="center"/>
          </w:tcPr>
          <w:p>
            <w:pPr>
              <w:jc w:val="center"/>
              <w:rPr>
                <w:rFonts w:ascii="宋体" w:hAnsi="宋体"/>
                <w:sz w:val="20"/>
                <w:szCs w:val="20"/>
              </w:rPr>
            </w:pPr>
            <w:r>
              <w:rPr>
                <w:rFonts w:hint="eastAsia" w:ascii="宋体" w:hAnsi="宋体"/>
                <w:sz w:val="20"/>
                <w:szCs w:val="20"/>
              </w:rPr>
              <w:t>所在层数</w:t>
            </w:r>
          </w:p>
        </w:tc>
        <w:tc>
          <w:tcPr>
            <w:tcW w:w="1667" w:type="dxa"/>
            <w:tcBorders>
              <w:right w:val="single" w:color="auto" w:sz="4" w:space="0"/>
            </w:tcBorders>
            <w:noWrap w:val="0"/>
            <w:vAlign w:val="center"/>
          </w:tcPr>
          <w:p>
            <w:pPr>
              <w:jc w:val="center"/>
              <w:rPr>
                <w:rFonts w:ascii="宋体" w:hAnsi="宋体"/>
                <w:sz w:val="20"/>
                <w:szCs w:val="20"/>
              </w:rPr>
            </w:pPr>
            <w:r>
              <w:rPr>
                <w:rFonts w:hint="eastAsia" w:ascii="宋体" w:hAnsi="宋体"/>
                <w:sz w:val="20"/>
                <w:szCs w:val="20"/>
              </w:rPr>
              <w:t>建筑面积（㎡）</w:t>
            </w:r>
          </w:p>
        </w:tc>
        <w:tc>
          <w:tcPr>
            <w:tcW w:w="1276" w:type="dxa"/>
            <w:tcBorders>
              <w:left w:val="single" w:color="auto" w:sz="4" w:space="0"/>
              <w:bottom w:val="single" w:color="auto" w:sz="4" w:space="0"/>
            </w:tcBorders>
            <w:noWrap w:val="0"/>
            <w:vAlign w:val="center"/>
          </w:tcPr>
          <w:p>
            <w:pPr>
              <w:jc w:val="center"/>
              <w:rPr>
                <w:rFonts w:hint="eastAsia" w:ascii="宋体" w:hAnsi="宋体" w:eastAsia="宋体"/>
                <w:sz w:val="20"/>
                <w:szCs w:val="20"/>
                <w:lang w:eastAsia="zh-CN"/>
              </w:rPr>
            </w:pPr>
            <w:r>
              <w:rPr>
                <w:rFonts w:hint="eastAsia" w:ascii="宋体" w:hAnsi="宋体"/>
                <w:sz w:val="20"/>
                <w:szCs w:val="20"/>
                <w:lang w:eastAsia="zh-CN"/>
              </w:rPr>
              <w:t>建成年份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59" w:type="dxa"/>
            <w:noWrap w:val="0"/>
            <w:vAlign w:val="center"/>
          </w:tcPr>
          <w:p>
            <w:pPr>
              <w:widowControl/>
              <w:jc w:val="center"/>
              <w:textAlignment w:val="center"/>
              <w:rPr>
                <w:rFonts w:ascii="宋体" w:hAnsi="宋体"/>
                <w:sz w:val="20"/>
                <w:szCs w:val="20"/>
              </w:rPr>
            </w:pPr>
            <w:r>
              <w:rPr>
                <w:rFonts w:ascii="宋体" w:hAnsi="宋体"/>
                <w:sz w:val="20"/>
                <w:szCs w:val="20"/>
              </w:rPr>
              <w:t>混合</w:t>
            </w:r>
          </w:p>
        </w:tc>
        <w:tc>
          <w:tcPr>
            <w:tcW w:w="1137" w:type="dxa"/>
            <w:noWrap w:val="0"/>
            <w:vAlign w:val="center"/>
          </w:tcPr>
          <w:p>
            <w:pPr>
              <w:widowControl/>
              <w:jc w:val="center"/>
              <w:textAlignment w:val="center"/>
              <w:rPr>
                <w:rFonts w:hint="eastAsia" w:ascii="宋体" w:hAnsi="宋体"/>
                <w:sz w:val="20"/>
                <w:szCs w:val="20"/>
              </w:rPr>
            </w:pPr>
            <w:r>
              <w:rPr>
                <w:rFonts w:ascii="宋体" w:hAnsi="宋体"/>
                <w:sz w:val="20"/>
                <w:szCs w:val="20"/>
              </w:rPr>
              <w:t>住宅</w:t>
            </w:r>
          </w:p>
        </w:tc>
        <w:tc>
          <w:tcPr>
            <w:tcW w:w="1250" w:type="dxa"/>
            <w:noWrap w:val="0"/>
            <w:vAlign w:val="center"/>
          </w:tcPr>
          <w:p>
            <w:pPr>
              <w:widowControl/>
              <w:jc w:val="center"/>
              <w:textAlignment w:val="center"/>
              <w:rPr>
                <w:rFonts w:ascii="宋体" w:hAnsi="宋体"/>
                <w:sz w:val="20"/>
                <w:szCs w:val="20"/>
              </w:rPr>
            </w:pPr>
            <w:r>
              <w:rPr>
                <w:rFonts w:ascii="宋体" w:hAnsi="宋体"/>
                <w:sz w:val="20"/>
                <w:szCs w:val="20"/>
              </w:rPr>
              <w:t>2</w:t>
            </w:r>
          </w:p>
        </w:tc>
        <w:tc>
          <w:tcPr>
            <w:tcW w:w="1450" w:type="dxa"/>
            <w:noWrap w:val="0"/>
            <w:vAlign w:val="center"/>
          </w:tcPr>
          <w:p>
            <w:pPr>
              <w:widowControl/>
              <w:jc w:val="center"/>
              <w:textAlignment w:val="center"/>
              <w:rPr>
                <w:rFonts w:ascii="宋体" w:hAnsi="宋体"/>
                <w:sz w:val="20"/>
                <w:szCs w:val="20"/>
              </w:rPr>
            </w:pPr>
            <w:r>
              <w:rPr>
                <w:rFonts w:hint="eastAsia" w:ascii="宋体" w:hAnsi="宋体"/>
                <w:sz w:val="20"/>
                <w:szCs w:val="20"/>
              </w:rPr>
              <w:t>1-2</w:t>
            </w:r>
          </w:p>
        </w:tc>
        <w:tc>
          <w:tcPr>
            <w:tcW w:w="1667" w:type="dxa"/>
            <w:tcBorders>
              <w:right w:val="single" w:color="auto" w:sz="4" w:space="0"/>
            </w:tcBorders>
            <w:noWrap w:val="0"/>
            <w:vAlign w:val="center"/>
          </w:tcPr>
          <w:p>
            <w:pPr>
              <w:jc w:val="center"/>
              <w:rPr>
                <w:rFonts w:hint="eastAsia" w:ascii="宋体" w:hAnsi="宋体" w:eastAsia="宋体"/>
                <w:sz w:val="20"/>
                <w:szCs w:val="20"/>
                <w:lang w:val="en-US" w:eastAsia="zh-CN"/>
              </w:rPr>
            </w:pPr>
            <w:r>
              <w:rPr>
                <w:rFonts w:ascii="宋体" w:hAnsi="宋体"/>
                <w:sz w:val="20"/>
                <w:szCs w:val="20"/>
              </w:rPr>
              <w:t>133.7</w:t>
            </w:r>
            <w:r>
              <w:rPr>
                <w:rFonts w:hint="eastAsia" w:ascii="宋体" w:hAnsi="宋体"/>
                <w:sz w:val="20"/>
                <w:szCs w:val="20"/>
                <w:lang w:val="en-US" w:eastAsia="zh-CN"/>
              </w:rPr>
              <w:t>0</w:t>
            </w:r>
          </w:p>
        </w:tc>
        <w:tc>
          <w:tcPr>
            <w:tcW w:w="1276" w:type="dxa"/>
            <w:tcBorders>
              <w:top w:val="single" w:color="auto" w:sz="4" w:space="0"/>
              <w:left w:val="single" w:color="auto" w:sz="4" w:space="0"/>
            </w:tcBorders>
            <w:noWrap w:val="0"/>
            <w:vAlign w:val="center"/>
          </w:tcPr>
          <w:p>
            <w:pPr>
              <w:jc w:val="center"/>
              <w:rPr>
                <w:rFonts w:hint="default" w:ascii="宋体" w:hAnsi="宋体" w:eastAsia="宋体"/>
                <w:sz w:val="20"/>
                <w:szCs w:val="20"/>
                <w:lang w:val="en-US" w:eastAsia="zh-CN"/>
              </w:rPr>
            </w:pPr>
            <w:r>
              <w:rPr>
                <w:rFonts w:hint="eastAsia" w:ascii="宋体" w:hAnsi="宋体"/>
                <w:sz w:val="20"/>
                <w:szCs w:val="20"/>
                <w:lang w:val="en-US" w:eastAsia="zh-CN"/>
              </w:rPr>
              <w:t>1992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2159" w:type="dxa"/>
            <w:noWrap w:val="0"/>
            <w:vAlign w:val="center"/>
          </w:tcPr>
          <w:p>
            <w:pPr>
              <w:jc w:val="center"/>
              <w:rPr>
                <w:rFonts w:hint="eastAsia" w:ascii="宋体" w:hAnsi="宋体"/>
                <w:sz w:val="20"/>
                <w:szCs w:val="20"/>
              </w:rPr>
            </w:pPr>
            <w:r>
              <w:rPr>
                <w:rFonts w:hint="eastAsia" w:ascii="宋体" w:hAnsi="宋体"/>
                <w:sz w:val="20"/>
                <w:szCs w:val="20"/>
              </w:rPr>
              <w:t>装修装饰</w:t>
            </w:r>
          </w:p>
        </w:tc>
        <w:tc>
          <w:tcPr>
            <w:tcW w:w="6780" w:type="dxa"/>
            <w:gridSpan w:val="5"/>
            <w:noWrap w:val="0"/>
            <w:vAlign w:val="center"/>
          </w:tcPr>
          <w:p>
            <w:pPr>
              <w:ind w:firstLine="400" w:firstLineChars="200"/>
            </w:pPr>
            <w:r>
              <w:rPr>
                <w:rFonts w:hint="eastAsia" w:ascii="宋体"/>
                <w:sz w:val="20"/>
                <w:szCs w:val="20"/>
              </w:rPr>
              <w:t>外墙贴瓷片，入户门木门、卷帘门，户内水泥地面，内墙顶面涂料粉刷，户内为老式木门、木窗。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59" w:type="dxa"/>
            <w:noWrap w:val="0"/>
            <w:vAlign w:val="center"/>
          </w:tcPr>
          <w:p>
            <w:pPr>
              <w:jc w:val="center"/>
              <w:rPr>
                <w:rFonts w:hint="eastAsia" w:ascii="宋体" w:hAnsi="宋体"/>
                <w:sz w:val="20"/>
                <w:szCs w:val="20"/>
              </w:rPr>
            </w:pPr>
            <w:r>
              <w:rPr>
                <w:rFonts w:hint="eastAsia" w:ascii="宋体" w:hAnsi="宋体"/>
                <w:sz w:val="20"/>
                <w:szCs w:val="20"/>
              </w:rPr>
              <w:t>设施设备</w:t>
            </w:r>
          </w:p>
        </w:tc>
        <w:tc>
          <w:tcPr>
            <w:tcW w:w="6780" w:type="dxa"/>
            <w:gridSpan w:val="5"/>
            <w:noWrap w:val="0"/>
            <w:vAlign w:val="center"/>
          </w:tcPr>
          <w:p>
            <w:pPr>
              <w:ind w:firstLine="300" w:firstLineChars="150"/>
              <w:jc w:val="left"/>
            </w:pPr>
            <w:r>
              <w:rPr>
                <w:rFonts w:ascii="宋体"/>
                <w:sz w:val="20"/>
                <w:szCs w:val="20"/>
              </w:rPr>
              <w:t xml:space="preserve">   </w:t>
            </w:r>
            <w:r>
              <w:rPr>
                <w:rFonts w:hint="eastAsia" w:ascii="宋体"/>
                <w:sz w:val="20"/>
                <w:szCs w:val="20"/>
              </w:rPr>
              <w:t>配套有电等设施</w:t>
            </w:r>
            <w:r>
              <w:rPr>
                <w:rFonts w:ascii="宋体"/>
                <w:sz w:val="20"/>
                <w:szCs w:val="20"/>
              </w:rPr>
              <w:t>。</w:t>
            </w:r>
            <w:r>
              <w:rPr>
                <w:rFonts w:ascii="宋体"/>
                <w:sz w:val="20"/>
                <w:szCs w:val="20"/>
              </w:rPr>
              <w:fldChar w:fldCharType="begin"/>
            </w:r>
            <w:r>
              <w:rPr>
                <w:rFonts w:ascii="宋体"/>
                <w:sz w:val="20"/>
                <w:szCs w:val="20"/>
              </w:rPr>
              <w:instrText xml:space="preserve"> </w:instrText>
            </w:r>
            <w:r>
              <w:rPr>
                <w:rFonts w:hint="eastAsia" w:ascii="宋体"/>
                <w:sz w:val="20"/>
                <w:szCs w:val="20"/>
              </w:rPr>
              <w:instrText xml:space="preserve">LINK </w:instrText>
            </w:r>
            <w:r>
              <w:rPr>
                <w:rFonts w:ascii="宋体"/>
                <w:sz w:val="20"/>
                <w:szCs w:val="20"/>
              </w:rPr>
              <w:instrText xml:space="preserve">Excel.Sheet.8</w:instrText>
            </w:r>
            <w:r>
              <w:rPr>
                <w:rFonts w:hint="eastAsia" w:ascii="宋体"/>
                <w:sz w:val="20"/>
                <w:szCs w:val="20"/>
              </w:rPr>
              <w:instrText xml:space="preserve"> "F:\\刘光辉\\文件模板\\00-齐-模板\\000-2016.5.11-  住宅-单套-新规范-2016版-营改增后\\01-比较法计算表.xls" word链接!R2C3 \a \t</w:instrText>
            </w:r>
            <w:r>
              <w:rPr>
                <w:rFonts w:ascii="宋体"/>
                <w:sz w:val="20"/>
                <w:szCs w:val="20"/>
              </w:rPr>
              <w:instrText xml:space="preserve">  \* MERGEFORMAT </w:instrText>
            </w:r>
            <w:r>
              <w:rPr>
                <w:rFonts w:hint="eastAsia"/>
                <w:kern w:val="0"/>
                <w:sz w:val="20"/>
                <w:szCs w:val="20"/>
              </w:rPr>
              <w:fldChar w:fldCharType="separate"/>
            </w:r>
            <w:r>
              <w:rPr>
                <w:rFonts w:ascii="宋体"/>
                <w:sz w:val="20"/>
                <w:szCs w:val="20"/>
              </w:rPr>
              <w:fldChar w:fldCharType="end"/>
            </w:r>
          </w:p>
        </w:tc>
      </w:tr>
    </w:tbl>
    <w:p>
      <w:pPr>
        <w:tabs>
          <w:tab w:val="left" w:pos="720"/>
        </w:tabs>
        <w:spacing w:line="480" w:lineRule="exact"/>
        <w:ind w:firstLine="560" w:firstLineChars="200"/>
        <w:jc w:val="left"/>
        <w:rPr>
          <w:rFonts w:hint="eastAsia" w:ascii="宋体" w:hAnsi="宋体"/>
          <w:sz w:val="28"/>
          <w:szCs w:val="28"/>
        </w:rPr>
      </w:pPr>
      <w:r>
        <w:rPr>
          <w:rFonts w:hint="eastAsia" w:ascii="宋体" w:hAnsi="宋体"/>
          <w:sz w:val="28"/>
          <w:szCs w:val="28"/>
        </w:rPr>
        <w:t>价值时点：</w:t>
      </w:r>
      <w:r>
        <w:rPr>
          <w:rFonts w:ascii="宋体" w:hAnsi="宋体"/>
          <w:sz w:val="28"/>
          <w:szCs w:val="28"/>
        </w:rPr>
        <w:t>二〇二二年五月三十一日</w:t>
      </w:r>
      <w:r>
        <w:rPr>
          <w:rFonts w:hint="eastAsia" w:ascii="宋体" w:hAnsi="宋体"/>
          <w:sz w:val="28"/>
          <w:szCs w:val="28"/>
        </w:rPr>
        <w:t>。</w:t>
      </w:r>
    </w:p>
    <w:p>
      <w:pPr>
        <w:tabs>
          <w:tab w:val="left" w:pos="720"/>
        </w:tabs>
        <w:spacing w:line="480" w:lineRule="exact"/>
        <w:ind w:firstLine="560" w:firstLineChars="200"/>
        <w:rPr>
          <w:rFonts w:hint="eastAsia" w:ascii="宋体" w:hAnsi="宋体"/>
          <w:sz w:val="28"/>
          <w:szCs w:val="28"/>
        </w:rPr>
      </w:pPr>
      <w:r>
        <w:rPr>
          <w:rFonts w:hint="eastAsia" w:ascii="宋体" w:hAnsi="宋体"/>
          <w:sz w:val="28"/>
          <w:szCs w:val="28"/>
        </w:rPr>
        <w:t>价值类型：市场价值。</w:t>
      </w:r>
    </w:p>
    <w:p>
      <w:pPr>
        <w:tabs>
          <w:tab w:val="left" w:pos="720"/>
        </w:tabs>
        <w:spacing w:line="480" w:lineRule="exact"/>
        <w:ind w:firstLine="560" w:firstLineChars="200"/>
        <w:rPr>
          <w:rFonts w:hint="eastAsia" w:ascii="宋体" w:hAnsi="宋体"/>
          <w:sz w:val="28"/>
          <w:szCs w:val="28"/>
        </w:rPr>
      </w:pPr>
      <w:r>
        <w:rPr>
          <w:rFonts w:hint="eastAsia" w:ascii="宋体" w:hAnsi="宋体"/>
          <w:sz w:val="28"/>
          <w:szCs w:val="28"/>
        </w:rPr>
        <w:t>估价方法：</w:t>
      </w:r>
      <w:r>
        <w:rPr>
          <w:rFonts w:hint="eastAsia" w:ascii="宋体" w:hAnsi="宋体"/>
          <w:sz w:val="28"/>
          <w:szCs w:val="28"/>
          <w:highlight w:val="none"/>
          <w:lang w:eastAsia="zh-CN"/>
        </w:rPr>
        <w:t>成本法</w:t>
      </w:r>
      <w:r>
        <w:rPr>
          <w:rFonts w:hint="eastAsia" w:ascii="宋体" w:hAnsi="宋体"/>
          <w:sz w:val="28"/>
          <w:szCs w:val="28"/>
        </w:rPr>
        <w:t>。</w:t>
      </w:r>
    </w:p>
    <w:p>
      <w:pPr>
        <w:spacing w:line="500" w:lineRule="exact"/>
        <w:ind w:firstLine="560" w:firstLineChars="200"/>
        <w:rPr>
          <w:rFonts w:hint="eastAsia" w:ascii="宋体" w:hAnsi="宋体" w:eastAsia="宋体"/>
          <w:sz w:val="28"/>
          <w:szCs w:val="28"/>
          <w:lang w:val="en-US" w:eastAsia="zh-CN"/>
        </w:rPr>
      </w:pPr>
      <w:r>
        <w:rPr>
          <w:rFonts w:hint="eastAsia" w:ascii="宋体" w:hAnsi="宋体"/>
          <w:sz w:val="28"/>
          <w:szCs w:val="28"/>
        </w:rPr>
        <w:t>估价结果：我公司估价人员经过实地查勘和市场调查，遵照房地产估价的有关法规和技术规范，遵循独立、客观、公正、合法等原则，我们采用</w:t>
      </w:r>
      <w:r>
        <w:rPr>
          <w:rFonts w:hint="eastAsia" w:ascii="宋体" w:hAnsi="宋体"/>
          <w:sz w:val="28"/>
          <w:szCs w:val="28"/>
          <w:lang w:eastAsia="zh-CN"/>
        </w:rPr>
        <w:t>成本</w:t>
      </w:r>
      <w:r>
        <w:rPr>
          <w:rFonts w:hint="eastAsia" w:ascii="宋体" w:hAnsi="宋体"/>
          <w:sz w:val="28"/>
          <w:szCs w:val="28"/>
        </w:rPr>
        <w:t>法进行了分析、测算和判断，测算出估价对象在价值时点的市场价值为人民币191,700元，大写人民币</w:t>
      </w:r>
      <w:r>
        <w:rPr>
          <w:rFonts w:ascii="宋体" w:hAnsi="宋体"/>
          <w:sz w:val="28"/>
          <w:szCs w:val="28"/>
        </w:rPr>
        <w:t>壹拾玖万壹仟柒佰元整</w:t>
      </w:r>
      <w:r>
        <w:rPr>
          <w:rFonts w:hint="eastAsia" w:ascii="宋体" w:hAnsi="宋体"/>
          <w:sz w:val="28"/>
          <w:szCs w:val="28"/>
        </w:rPr>
        <w:t>，单价为</w:t>
      </w:r>
      <w:r>
        <w:rPr>
          <w:rFonts w:ascii="宋体" w:hAnsi="宋体"/>
          <w:sz w:val="28"/>
          <w:szCs w:val="28"/>
        </w:rPr>
        <w:t>1434</w:t>
      </w:r>
      <w:r>
        <w:rPr>
          <w:rFonts w:hint="eastAsia" w:ascii="宋体" w:hAnsi="宋体"/>
          <w:sz w:val="28"/>
          <w:szCs w:val="28"/>
        </w:rPr>
        <w:t>元/</w:t>
      </w:r>
      <w:r>
        <w:rPr>
          <w:rFonts w:ascii="宋体" w:hAnsi="宋体"/>
          <w:sz w:val="28"/>
          <w:szCs w:val="28"/>
        </w:rPr>
        <w:t>m²</w:t>
      </w:r>
      <w:r>
        <w:rPr>
          <w:rFonts w:hint="eastAsia" w:ascii="宋体" w:hAnsi="宋体"/>
          <w:sz w:val="28"/>
          <w:szCs w:val="28"/>
        </w:rPr>
        <w:t>。</w:t>
      </w:r>
    </w:p>
    <w:p>
      <w:pPr>
        <w:spacing w:line="500" w:lineRule="exact"/>
        <w:ind w:firstLine="560" w:firstLineChars="200"/>
        <w:rPr>
          <w:rFonts w:hint="eastAsia" w:ascii="宋体" w:hAnsi="宋体"/>
          <w:sz w:val="28"/>
          <w:szCs w:val="28"/>
        </w:rPr>
      </w:pPr>
    </w:p>
    <w:p>
      <w:pPr>
        <w:spacing w:line="500" w:lineRule="exact"/>
        <w:ind w:firstLine="560" w:firstLineChars="200"/>
        <w:rPr>
          <w:rFonts w:hint="eastAsia" w:ascii="宋体" w:hAnsi="宋体"/>
          <w:sz w:val="28"/>
          <w:szCs w:val="28"/>
        </w:rPr>
      </w:pPr>
    </w:p>
    <w:p>
      <w:pPr>
        <w:spacing w:line="50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b w:val="0"/>
          <w:bCs/>
          <w:sz w:val="28"/>
          <w:szCs w:val="28"/>
          <w:highlight w:val="none"/>
          <w:lang w:val="en-US" w:eastAsia="zh-CN"/>
        </w:rPr>
      </w:pPr>
      <w:r>
        <w:rPr>
          <w:rFonts w:hint="eastAsia" w:ascii="宋体" w:hAnsi="宋体"/>
          <w:b/>
          <w:sz w:val="28"/>
          <w:szCs w:val="28"/>
          <w:highlight w:val="none"/>
        </w:rPr>
        <w:t>特别提示：</w:t>
      </w:r>
      <w:r>
        <w:rPr>
          <w:rFonts w:hint="eastAsia" w:ascii="宋体" w:hAnsi="宋体"/>
          <w:b w:val="0"/>
          <w:bCs/>
          <w:sz w:val="28"/>
          <w:szCs w:val="28"/>
          <w:highlight w:val="none"/>
          <w:lang w:val="en-US" w:eastAsia="zh-CN"/>
        </w:rPr>
        <w:t>1.</w:t>
      </w:r>
      <w:r>
        <w:rPr>
          <w:rFonts w:hint="eastAsia" w:ascii="宋体" w:hAnsi="宋体"/>
          <w:color w:val="auto"/>
          <w:sz w:val="28"/>
          <w:szCs w:val="28"/>
          <w:highlight w:val="none"/>
          <w:lang w:eastAsia="zh-CN"/>
        </w:rPr>
        <w:t>估价对象所占用的土地性质为集体土地，本报告使用人及资产处置中应注意：买受人应符合《中华人民共和国民法典》、《中华人民共和国土地管理法》等法律法规有关规定。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该房地产市场价值的结果未扣除变现处置时的登记费用、过户税费、拍卖佣金、司法诉讼费用及其他应付费用。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3.估价结果仅为人民法院确定财产处置参考价服务，不是估价对象处置可实现的成交价格，也不应当被视为估价对象处置成交价格的保证。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4.估价结果未考虑估价对象是否欠缴税费及相关费用，包含税费、物业费、水电气费等及其滞纳金。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highlight w:val="none"/>
        </w:rPr>
      </w:pPr>
      <w:r>
        <w:rPr>
          <w:rFonts w:hint="eastAsia" w:ascii="宋体" w:hAnsi="宋体"/>
          <w:sz w:val="28"/>
          <w:szCs w:val="28"/>
          <w:highlight w:val="none"/>
          <w:lang w:val="en-US" w:eastAsia="zh-CN"/>
        </w:rPr>
        <w:t>5.</w:t>
      </w:r>
      <w:r>
        <w:rPr>
          <w:rFonts w:hint="eastAsia" w:ascii="宋体" w:hAnsi="宋体"/>
          <w:sz w:val="28"/>
          <w:szCs w:val="28"/>
          <w:highlight w:val="none"/>
        </w:rPr>
        <w:t>报告使用人在使用本报告之前须对报告全文，特别是“估价的假设和限制条件”认真阅读，以免使用不当而造成不必要的损失。</w:t>
      </w:r>
    </w:p>
    <w:p>
      <w:pPr>
        <w:numPr>
          <w:ilvl w:val="0"/>
          <w:numId w:val="0"/>
        </w:numPr>
        <w:spacing w:line="480" w:lineRule="exact"/>
        <w:rPr>
          <w:rFonts w:hint="eastAsia" w:ascii="宋体" w:hAnsi="宋体"/>
          <w:sz w:val="28"/>
          <w:szCs w:val="28"/>
          <w:highlight w:val="lightGray"/>
          <w:lang w:val="en-US" w:eastAsia="zh-CN"/>
        </w:rPr>
      </w:pPr>
    </w:p>
    <w:p>
      <w:pPr>
        <w:numPr>
          <w:ilvl w:val="0"/>
          <w:numId w:val="0"/>
        </w:numPr>
        <w:spacing w:line="480" w:lineRule="exact"/>
        <w:rPr>
          <w:rFonts w:hint="eastAsia" w:ascii="宋体" w:hAnsi="宋体"/>
          <w:sz w:val="28"/>
          <w:szCs w:val="28"/>
          <w:highlight w:val="lightGray"/>
          <w:lang w:val="en-US" w:eastAsia="zh-CN"/>
        </w:rPr>
      </w:pPr>
    </w:p>
    <w:p>
      <w:pPr>
        <w:spacing w:before="312" w:beforeLines="100" w:line="480" w:lineRule="exact"/>
        <w:ind w:right="280" w:firstLine="560" w:firstLineChars="200"/>
        <w:jc w:val="right"/>
        <w:rPr>
          <w:rFonts w:hint="eastAsia" w:ascii="宋体" w:hAnsi="宋体"/>
          <w:sz w:val="28"/>
          <w:szCs w:val="28"/>
        </w:rPr>
      </w:pPr>
    </w:p>
    <w:p>
      <w:pPr>
        <w:spacing w:before="312" w:beforeLines="100" w:line="480" w:lineRule="exact"/>
        <w:ind w:right="280" w:firstLine="560" w:firstLineChars="200"/>
        <w:jc w:val="right"/>
        <w:rPr>
          <w:rFonts w:hint="eastAsia" w:ascii="宋体" w:hAnsi="宋体"/>
          <w:sz w:val="28"/>
          <w:szCs w:val="28"/>
        </w:rPr>
      </w:pPr>
      <w:r>
        <w:rPr>
          <w:rFonts w:hint="eastAsia" w:ascii="宋体" w:hAnsi="宋体"/>
          <w:sz w:val="28"/>
          <w:szCs w:val="28"/>
        </w:rPr>
        <w:t>河南开来房地产评估咨询有限公司</w:t>
      </w:r>
    </w:p>
    <w:p>
      <w:pPr>
        <w:spacing w:before="312" w:beforeLines="100" w:line="480" w:lineRule="exact"/>
        <w:ind w:right="280" w:firstLine="560" w:firstLineChars="200"/>
        <w:jc w:val="right"/>
        <w:rPr>
          <w:rFonts w:hint="eastAsia" w:ascii="宋体" w:hAnsi="宋体"/>
          <w:sz w:val="28"/>
          <w:szCs w:val="28"/>
        </w:rPr>
      </w:pPr>
    </w:p>
    <w:p>
      <w:pPr>
        <w:spacing w:before="156" w:beforeLines="50" w:line="480" w:lineRule="exact"/>
        <w:ind w:firstLine="6020" w:firstLineChars="2150"/>
        <w:rPr>
          <w:rFonts w:hint="eastAsia" w:ascii="宋体" w:hAnsi="宋体"/>
          <w:sz w:val="28"/>
          <w:szCs w:val="28"/>
        </w:rPr>
      </w:pPr>
      <w:r>
        <w:rPr>
          <w:rFonts w:hint="eastAsia" w:ascii="宋体" w:hAnsi="宋体"/>
          <w:sz w:val="28"/>
          <w:szCs w:val="28"/>
        </w:rPr>
        <w:t>法定代表人：</w:t>
      </w:r>
    </w:p>
    <w:p>
      <w:pPr>
        <w:spacing w:before="312" w:beforeLines="100" w:after="312" w:afterLines="100"/>
        <w:jc w:val="center"/>
        <w:rPr>
          <w:rFonts w:hint="eastAsia" w:ascii="宋体" w:hAnsi="宋体" w:eastAsia="宋体"/>
          <w:sz w:val="28"/>
          <w:szCs w:val="28"/>
          <w:lang w:eastAsia="zh-CN"/>
        </w:rPr>
      </w:pPr>
      <w:r>
        <w:rPr>
          <w:rFonts w:hint="eastAsia" w:ascii="宋体" w:hAnsi="宋体"/>
          <w:sz w:val="28"/>
          <w:szCs w:val="28"/>
        </w:rPr>
        <w:t xml:space="preserve">                                      </w:t>
      </w:r>
      <w:r>
        <w:rPr>
          <w:rFonts w:hint="eastAsia" w:ascii="宋体" w:hAnsi="宋体"/>
          <w:sz w:val="28"/>
          <w:szCs w:val="28"/>
          <w:lang w:eastAsia="zh-CN"/>
        </w:rPr>
        <w:t>二〇二二年六月十日</w:t>
      </w:r>
    </w:p>
    <w:p>
      <w:pPr>
        <w:spacing w:before="312" w:beforeLines="100" w:after="312" w:afterLines="100"/>
        <w:jc w:val="center"/>
        <w:rPr>
          <w:rFonts w:ascii="宋体" w:hAnsi="宋体"/>
          <w:sz w:val="28"/>
          <w:szCs w:val="28"/>
        </w:rPr>
      </w:pPr>
    </w:p>
    <w:p>
      <w:pPr>
        <w:spacing w:before="312" w:beforeLines="100" w:after="312" w:afterLines="100"/>
        <w:jc w:val="center"/>
        <w:rPr>
          <w:rFonts w:ascii="宋体" w:hAnsi="宋体"/>
          <w:sz w:val="28"/>
          <w:szCs w:val="28"/>
        </w:rPr>
      </w:pPr>
    </w:p>
    <w:p>
      <w:pPr>
        <w:spacing w:before="312" w:beforeLines="100" w:after="312" w:afterLines="100"/>
        <w:jc w:val="center"/>
        <w:rPr>
          <w:rFonts w:ascii="宋体" w:hAnsi="宋体"/>
          <w:sz w:val="28"/>
          <w:szCs w:val="28"/>
        </w:rPr>
      </w:pPr>
    </w:p>
    <w:p>
      <w:pPr>
        <w:spacing w:before="312" w:beforeLines="100" w:after="312" w:afterLines="100"/>
        <w:jc w:val="both"/>
        <w:rPr>
          <w:rFonts w:ascii="宋体" w:hAnsi="宋体"/>
          <w:sz w:val="28"/>
          <w:szCs w:val="28"/>
        </w:rPr>
      </w:pPr>
    </w:p>
    <w:p>
      <w:pPr>
        <w:spacing w:before="780" w:beforeLines="250" w:after="624" w:afterLines="200" w:line="360" w:lineRule="auto"/>
        <w:ind w:firstLine="3975" w:firstLineChars="900"/>
        <w:jc w:val="both"/>
        <w:rPr>
          <w:rFonts w:hint="eastAsia" w:ascii="宋体" w:hAnsi="宋体"/>
          <w:b/>
          <w:sz w:val="44"/>
          <w:szCs w:val="44"/>
        </w:rPr>
      </w:pPr>
      <w:r>
        <w:rPr>
          <w:rFonts w:hint="eastAsia" w:ascii="宋体" w:hAnsi="宋体"/>
          <w:b/>
          <w:sz w:val="44"/>
          <w:szCs w:val="44"/>
        </w:rPr>
        <w:t>目  录</w:t>
      </w:r>
    </w:p>
    <w:p>
      <w:pPr>
        <w:pStyle w:val="20"/>
        <w:tabs>
          <w:tab w:val="right" w:leader="dot" w:pos="9241"/>
        </w:tabs>
      </w:pPr>
      <w:r>
        <w:rPr>
          <w:rFonts w:ascii="宋体" w:hAnsi="宋体"/>
          <w:smallCaps/>
          <w:sz w:val="28"/>
          <w:szCs w:val="28"/>
        </w:rPr>
        <w:fldChar w:fldCharType="begin"/>
      </w:r>
      <w:r>
        <w:rPr>
          <w:rFonts w:ascii="宋体" w:hAnsi="宋体"/>
          <w:smallCaps/>
          <w:sz w:val="28"/>
          <w:szCs w:val="28"/>
        </w:rPr>
        <w:instrText xml:space="preserve"> TOC \o "1-3" \h \z \u </w:instrText>
      </w:r>
      <w:r>
        <w:rPr>
          <w:rFonts w:ascii="宋体" w:hAnsi="宋体"/>
          <w:smallCaps/>
          <w:sz w:val="28"/>
          <w:szCs w:val="28"/>
        </w:rPr>
        <w:fldChar w:fldCharType="separate"/>
      </w:r>
      <w:r>
        <w:rPr>
          <w:rFonts w:ascii="宋体" w:hAnsi="宋体"/>
          <w:smallCaps/>
          <w:szCs w:val="28"/>
        </w:rPr>
        <w:fldChar w:fldCharType="begin"/>
      </w:r>
      <w:r>
        <w:rPr>
          <w:rFonts w:ascii="宋体" w:hAnsi="宋体"/>
          <w:smallCaps/>
          <w:szCs w:val="28"/>
        </w:rPr>
        <w:instrText xml:space="preserve"> HYPERLINK \l _Toc20791 </w:instrText>
      </w:r>
      <w:r>
        <w:rPr>
          <w:rFonts w:ascii="宋体" w:hAnsi="宋体"/>
          <w:smallCaps/>
          <w:szCs w:val="28"/>
        </w:rPr>
        <w:fldChar w:fldCharType="separate"/>
      </w:r>
      <w:r>
        <w:rPr>
          <w:rFonts w:hint="eastAsia"/>
          <w:szCs w:val="32"/>
        </w:rPr>
        <w:t>一、估价师声明</w:t>
      </w:r>
      <w:r>
        <w:tab/>
      </w:r>
      <w:r>
        <w:fldChar w:fldCharType="begin"/>
      </w:r>
      <w:r>
        <w:instrText xml:space="preserve"> PAGEREF _Toc20791 \h </w:instrText>
      </w:r>
      <w:r>
        <w:fldChar w:fldCharType="separate"/>
      </w:r>
      <w:r>
        <w:t>1</w:t>
      </w:r>
      <w:r>
        <w:fldChar w:fldCharType="end"/>
      </w:r>
      <w:r>
        <w:rPr>
          <w:rFonts w:ascii="宋体" w:hAnsi="宋体"/>
          <w:smallCaps/>
          <w:szCs w:val="28"/>
        </w:rPr>
        <w:fldChar w:fldCharType="end"/>
      </w:r>
    </w:p>
    <w:p>
      <w:pPr>
        <w:pStyle w:val="20"/>
        <w:tabs>
          <w:tab w:val="right" w:leader="dot" w:pos="9241"/>
        </w:tabs>
      </w:pPr>
      <w:r>
        <w:rPr>
          <w:rFonts w:ascii="宋体" w:hAnsi="宋体"/>
          <w:smallCaps/>
          <w:szCs w:val="28"/>
        </w:rPr>
        <w:fldChar w:fldCharType="begin"/>
      </w:r>
      <w:r>
        <w:rPr>
          <w:rFonts w:ascii="宋体" w:hAnsi="宋体"/>
          <w:smallCaps/>
          <w:szCs w:val="28"/>
        </w:rPr>
        <w:instrText xml:space="preserve"> HYPERLINK \l _Toc2558 </w:instrText>
      </w:r>
      <w:r>
        <w:rPr>
          <w:rFonts w:ascii="宋体" w:hAnsi="宋体"/>
          <w:smallCaps/>
          <w:szCs w:val="28"/>
        </w:rPr>
        <w:fldChar w:fldCharType="separate"/>
      </w:r>
      <w:r>
        <w:rPr>
          <w:rFonts w:hint="eastAsia"/>
          <w:szCs w:val="32"/>
        </w:rPr>
        <w:t>二、</w:t>
      </w:r>
      <w:r>
        <w:rPr>
          <w:rFonts w:hint="eastAsia" w:ascii="黑体"/>
          <w:szCs w:val="32"/>
        </w:rPr>
        <w:t>估价假设和限制条件</w:t>
      </w:r>
      <w:r>
        <w:tab/>
      </w:r>
      <w:r>
        <w:fldChar w:fldCharType="begin"/>
      </w:r>
      <w:r>
        <w:instrText xml:space="preserve"> PAGEREF _Toc2558 \h </w:instrText>
      </w:r>
      <w:r>
        <w:fldChar w:fldCharType="separate"/>
      </w:r>
      <w:r>
        <w:t>3</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_Toc8727 </w:instrText>
      </w:r>
      <w:r>
        <w:rPr>
          <w:rFonts w:ascii="宋体" w:hAnsi="宋体"/>
          <w:smallCaps/>
          <w:szCs w:val="28"/>
        </w:rPr>
        <w:fldChar w:fldCharType="separate"/>
      </w:r>
      <w:r>
        <w:rPr>
          <w:rFonts w:hint="eastAsia" w:ascii="宋体" w:hAnsi="宋体"/>
          <w:bCs/>
          <w:szCs w:val="28"/>
        </w:rPr>
        <w:t>（一）一般假设</w:t>
      </w:r>
      <w:r>
        <w:tab/>
      </w:r>
      <w:r>
        <w:fldChar w:fldCharType="begin"/>
      </w:r>
      <w:r>
        <w:instrText xml:space="preserve"> PAGEREF _Toc8727 \h </w:instrText>
      </w:r>
      <w:r>
        <w:fldChar w:fldCharType="separate"/>
      </w:r>
      <w:r>
        <w:t>3</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_Toc21744 </w:instrText>
      </w:r>
      <w:r>
        <w:rPr>
          <w:rFonts w:ascii="宋体" w:hAnsi="宋体"/>
          <w:smallCaps/>
          <w:szCs w:val="28"/>
        </w:rPr>
        <w:fldChar w:fldCharType="separate"/>
      </w:r>
      <w:r>
        <w:rPr>
          <w:rFonts w:hint="eastAsia" w:ascii="宋体" w:hAnsi="宋体"/>
          <w:bCs/>
          <w:szCs w:val="28"/>
        </w:rPr>
        <w:t>（二）未定事项假设</w:t>
      </w:r>
      <w:r>
        <w:tab/>
      </w:r>
      <w:r>
        <w:fldChar w:fldCharType="begin"/>
      </w:r>
      <w:r>
        <w:instrText xml:space="preserve"> PAGEREF _Toc21744 \h </w:instrText>
      </w:r>
      <w:r>
        <w:fldChar w:fldCharType="separate"/>
      </w:r>
      <w:r>
        <w:t>3</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_Toc17315 </w:instrText>
      </w:r>
      <w:r>
        <w:rPr>
          <w:rFonts w:ascii="宋体" w:hAnsi="宋体"/>
          <w:smallCaps/>
          <w:szCs w:val="28"/>
        </w:rPr>
        <w:fldChar w:fldCharType="separate"/>
      </w:r>
      <w:r>
        <w:rPr>
          <w:rFonts w:hint="eastAsia" w:ascii="宋体" w:hAnsi="宋体"/>
          <w:bCs/>
          <w:szCs w:val="28"/>
        </w:rPr>
        <w:t>（三）背离事实假设</w:t>
      </w:r>
      <w:r>
        <w:tab/>
      </w:r>
      <w:r>
        <w:fldChar w:fldCharType="begin"/>
      </w:r>
      <w:r>
        <w:instrText xml:space="preserve"> PAGEREF _Toc17315 \h </w:instrText>
      </w:r>
      <w:r>
        <w:fldChar w:fldCharType="separate"/>
      </w:r>
      <w:r>
        <w:t>3</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_Toc14277 </w:instrText>
      </w:r>
      <w:r>
        <w:rPr>
          <w:rFonts w:ascii="宋体" w:hAnsi="宋体"/>
          <w:smallCaps/>
          <w:szCs w:val="28"/>
        </w:rPr>
        <w:fldChar w:fldCharType="separate"/>
      </w:r>
      <w:r>
        <w:rPr>
          <w:rFonts w:hint="eastAsia" w:ascii="宋体" w:hAnsi="宋体"/>
          <w:bCs/>
          <w:szCs w:val="28"/>
        </w:rPr>
        <w:t>（四）不相一致假设</w:t>
      </w:r>
      <w:r>
        <w:tab/>
      </w:r>
      <w:r>
        <w:fldChar w:fldCharType="begin"/>
      </w:r>
      <w:r>
        <w:instrText xml:space="preserve"> PAGEREF _Toc14277 \h </w:instrText>
      </w:r>
      <w:r>
        <w:fldChar w:fldCharType="separate"/>
      </w:r>
      <w:r>
        <w:t>4</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_Toc22751 </w:instrText>
      </w:r>
      <w:r>
        <w:rPr>
          <w:rFonts w:ascii="宋体" w:hAnsi="宋体"/>
          <w:smallCaps/>
          <w:szCs w:val="28"/>
        </w:rPr>
        <w:fldChar w:fldCharType="separate"/>
      </w:r>
      <w:r>
        <w:rPr>
          <w:rFonts w:hint="eastAsia" w:ascii="宋体" w:hAnsi="宋体"/>
          <w:bCs/>
          <w:szCs w:val="28"/>
        </w:rPr>
        <w:t>（五） 依据不足假设</w:t>
      </w:r>
      <w:r>
        <w:tab/>
      </w:r>
      <w:r>
        <w:fldChar w:fldCharType="begin"/>
      </w:r>
      <w:r>
        <w:instrText xml:space="preserve"> PAGEREF _Toc22751 \h </w:instrText>
      </w:r>
      <w:r>
        <w:fldChar w:fldCharType="separate"/>
      </w:r>
      <w:r>
        <w:t>4</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_Toc634 </w:instrText>
      </w:r>
      <w:r>
        <w:rPr>
          <w:rFonts w:ascii="宋体" w:hAnsi="宋体"/>
          <w:smallCaps/>
          <w:szCs w:val="28"/>
        </w:rPr>
        <w:fldChar w:fldCharType="separate"/>
      </w:r>
      <w:r>
        <w:rPr>
          <w:rFonts w:hint="eastAsia" w:ascii="宋体" w:hAnsi="宋体"/>
          <w:bCs/>
          <w:szCs w:val="28"/>
        </w:rPr>
        <w:t>（六）本估价报告使用的限制条件</w:t>
      </w:r>
      <w:r>
        <w:tab/>
      </w:r>
      <w:r>
        <w:fldChar w:fldCharType="begin"/>
      </w:r>
      <w:r>
        <w:instrText xml:space="preserve"> PAGEREF _Toc634 \h </w:instrText>
      </w:r>
      <w:r>
        <w:fldChar w:fldCharType="separate"/>
      </w:r>
      <w:r>
        <w:t>4</w:t>
      </w:r>
      <w:r>
        <w:fldChar w:fldCharType="end"/>
      </w:r>
      <w:r>
        <w:rPr>
          <w:rFonts w:ascii="宋体" w:hAnsi="宋体"/>
          <w:smallCaps/>
          <w:szCs w:val="28"/>
        </w:rPr>
        <w:fldChar w:fldCharType="end"/>
      </w:r>
    </w:p>
    <w:p>
      <w:pPr>
        <w:pStyle w:val="20"/>
        <w:tabs>
          <w:tab w:val="right" w:leader="dot" w:pos="9241"/>
        </w:tabs>
      </w:pPr>
      <w:r>
        <w:rPr>
          <w:rFonts w:ascii="宋体" w:hAnsi="宋体"/>
          <w:smallCaps/>
          <w:szCs w:val="28"/>
        </w:rPr>
        <w:fldChar w:fldCharType="begin"/>
      </w:r>
      <w:r>
        <w:rPr>
          <w:rFonts w:ascii="宋体" w:hAnsi="宋体"/>
          <w:smallCaps/>
          <w:szCs w:val="28"/>
        </w:rPr>
        <w:instrText xml:space="preserve"> HYPERLINK \l _Toc3746 </w:instrText>
      </w:r>
      <w:r>
        <w:rPr>
          <w:rFonts w:ascii="宋体" w:hAnsi="宋体"/>
          <w:smallCaps/>
          <w:szCs w:val="28"/>
        </w:rPr>
        <w:fldChar w:fldCharType="separate"/>
      </w:r>
      <w:r>
        <w:rPr>
          <w:rFonts w:hint="eastAsia" w:ascii="宋体" w:hAnsi="宋体"/>
          <w:szCs w:val="32"/>
        </w:rPr>
        <w:t>三、估价结果报告</w:t>
      </w:r>
      <w:r>
        <w:tab/>
      </w:r>
      <w:r>
        <w:fldChar w:fldCharType="begin"/>
      </w:r>
      <w:r>
        <w:instrText xml:space="preserve"> PAGEREF _Toc3746 \h </w:instrText>
      </w:r>
      <w:r>
        <w:fldChar w:fldCharType="separate"/>
      </w:r>
      <w:r>
        <w:t>5</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_Toc51 </w:instrText>
      </w:r>
      <w:r>
        <w:rPr>
          <w:rFonts w:ascii="宋体" w:hAnsi="宋体"/>
          <w:smallCaps/>
          <w:szCs w:val="28"/>
        </w:rPr>
        <w:fldChar w:fldCharType="separate"/>
      </w:r>
      <w:r>
        <w:rPr>
          <w:rFonts w:hint="eastAsia" w:ascii="宋体" w:hAnsi="宋体"/>
          <w:szCs w:val="28"/>
        </w:rPr>
        <w:t>（</w:t>
      </w:r>
      <w:r>
        <w:rPr>
          <w:rFonts w:hint="eastAsia"/>
        </w:rPr>
        <w:t>一）估价委托人</w:t>
      </w:r>
      <w:r>
        <w:tab/>
      </w:r>
      <w:r>
        <w:fldChar w:fldCharType="begin"/>
      </w:r>
      <w:r>
        <w:instrText xml:space="preserve"> PAGEREF _Toc51 \h </w:instrText>
      </w:r>
      <w:r>
        <w:fldChar w:fldCharType="separate"/>
      </w:r>
      <w:r>
        <w:t>5</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_Toc5778 </w:instrText>
      </w:r>
      <w:r>
        <w:rPr>
          <w:rFonts w:ascii="宋体" w:hAnsi="宋体"/>
          <w:smallCaps/>
          <w:szCs w:val="28"/>
        </w:rPr>
        <w:fldChar w:fldCharType="separate"/>
      </w:r>
      <w:r>
        <w:rPr>
          <w:rFonts w:hint="eastAsia" w:ascii="宋体" w:hAnsi="宋体"/>
          <w:szCs w:val="28"/>
        </w:rPr>
        <w:t>（二）房地产估价机构</w:t>
      </w:r>
      <w:r>
        <w:tab/>
      </w:r>
      <w:r>
        <w:fldChar w:fldCharType="begin"/>
      </w:r>
      <w:r>
        <w:instrText xml:space="preserve"> PAGEREF _Toc5778 \h </w:instrText>
      </w:r>
      <w:r>
        <w:fldChar w:fldCharType="separate"/>
      </w:r>
      <w:r>
        <w:t>5</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_Toc19116 </w:instrText>
      </w:r>
      <w:r>
        <w:rPr>
          <w:rFonts w:ascii="宋体" w:hAnsi="宋体"/>
          <w:smallCaps/>
          <w:szCs w:val="28"/>
        </w:rPr>
        <w:fldChar w:fldCharType="separate"/>
      </w:r>
      <w:r>
        <w:rPr>
          <w:rFonts w:hint="eastAsia"/>
        </w:rPr>
        <w:t>（三）估价目的</w:t>
      </w:r>
      <w:r>
        <w:tab/>
      </w:r>
      <w:r>
        <w:fldChar w:fldCharType="begin"/>
      </w:r>
      <w:r>
        <w:instrText xml:space="preserve"> PAGEREF _Toc19116 \h </w:instrText>
      </w:r>
      <w:r>
        <w:fldChar w:fldCharType="separate"/>
      </w:r>
      <w:r>
        <w:t>5</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_Toc24428 </w:instrText>
      </w:r>
      <w:r>
        <w:rPr>
          <w:rFonts w:ascii="宋体" w:hAnsi="宋体"/>
          <w:smallCaps/>
          <w:szCs w:val="28"/>
        </w:rPr>
        <w:fldChar w:fldCharType="separate"/>
      </w:r>
      <w:r>
        <w:rPr>
          <w:rFonts w:hint="eastAsia"/>
        </w:rPr>
        <w:t>（四）估价对象</w:t>
      </w:r>
      <w:r>
        <w:tab/>
      </w:r>
      <w:r>
        <w:fldChar w:fldCharType="begin"/>
      </w:r>
      <w:r>
        <w:instrText xml:space="preserve"> PAGEREF _Toc24428 \h </w:instrText>
      </w:r>
      <w:r>
        <w:fldChar w:fldCharType="separate"/>
      </w:r>
      <w:r>
        <w:t>5</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_Toc2545 </w:instrText>
      </w:r>
      <w:r>
        <w:rPr>
          <w:rFonts w:ascii="宋体" w:hAnsi="宋体"/>
          <w:smallCaps/>
          <w:szCs w:val="28"/>
        </w:rPr>
        <w:fldChar w:fldCharType="separate"/>
      </w:r>
      <w:r>
        <w:rPr>
          <w:rFonts w:hint="eastAsia"/>
        </w:rPr>
        <w:t>（五）价值时点</w:t>
      </w:r>
      <w:r>
        <w:tab/>
      </w:r>
      <w:r>
        <w:fldChar w:fldCharType="begin"/>
      </w:r>
      <w:r>
        <w:instrText xml:space="preserve"> PAGEREF _Toc2545 \h </w:instrText>
      </w:r>
      <w:r>
        <w:fldChar w:fldCharType="separate"/>
      </w:r>
      <w:r>
        <w:t>7</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_Toc7233 </w:instrText>
      </w:r>
      <w:r>
        <w:rPr>
          <w:rFonts w:ascii="宋体" w:hAnsi="宋体"/>
          <w:smallCaps/>
          <w:szCs w:val="28"/>
        </w:rPr>
        <w:fldChar w:fldCharType="separate"/>
      </w:r>
      <w:r>
        <w:rPr>
          <w:rFonts w:hint="eastAsia"/>
        </w:rPr>
        <w:t>（六）价值类型</w:t>
      </w:r>
      <w:r>
        <w:tab/>
      </w:r>
      <w:r>
        <w:fldChar w:fldCharType="begin"/>
      </w:r>
      <w:r>
        <w:instrText xml:space="preserve"> PAGEREF _Toc7233 \h </w:instrText>
      </w:r>
      <w:r>
        <w:fldChar w:fldCharType="separate"/>
      </w:r>
      <w:r>
        <w:t>7</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_Toc2849 </w:instrText>
      </w:r>
      <w:r>
        <w:rPr>
          <w:rFonts w:ascii="宋体" w:hAnsi="宋体"/>
          <w:smallCaps/>
          <w:szCs w:val="28"/>
        </w:rPr>
        <w:fldChar w:fldCharType="separate"/>
      </w:r>
      <w:r>
        <w:rPr>
          <w:rFonts w:hint="eastAsia"/>
        </w:rPr>
        <w:t>（七）估价原则</w:t>
      </w:r>
      <w:r>
        <w:tab/>
      </w:r>
      <w:r>
        <w:fldChar w:fldCharType="begin"/>
      </w:r>
      <w:r>
        <w:instrText xml:space="preserve"> PAGEREF _Toc2849 \h </w:instrText>
      </w:r>
      <w:r>
        <w:fldChar w:fldCharType="separate"/>
      </w:r>
      <w:r>
        <w:t>8</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_Toc31427 </w:instrText>
      </w:r>
      <w:r>
        <w:rPr>
          <w:rFonts w:ascii="宋体" w:hAnsi="宋体"/>
          <w:smallCaps/>
          <w:szCs w:val="28"/>
        </w:rPr>
        <w:fldChar w:fldCharType="separate"/>
      </w:r>
      <w:r>
        <w:rPr>
          <w:rFonts w:hint="eastAsia" w:ascii="宋体" w:hAnsi="宋体"/>
          <w:szCs w:val="28"/>
        </w:rPr>
        <w:t>（八）估价依据</w:t>
      </w:r>
      <w:r>
        <w:tab/>
      </w:r>
      <w:r>
        <w:fldChar w:fldCharType="begin"/>
      </w:r>
      <w:r>
        <w:instrText xml:space="preserve"> PAGEREF _Toc31427 \h </w:instrText>
      </w:r>
      <w:r>
        <w:fldChar w:fldCharType="separate"/>
      </w:r>
      <w:r>
        <w:t>9</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_Toc11787 </w:instrText>
      </w:r>
      <w:r>
        <w:rPr>
          <w:rFonts w:ascii="宋体" w:hAnsi="宋体"/>
          <w:smallCaps/>
          <w:szCs w:val="28"/>
        </w:rPr>
        <w:fldChar w:fldCharType="separate"/>
      </w:r>
      <w:r>
        <w:rPr>
          <w:rFonts w:hint="eastAsia" w:ascii="宋体" w:hAnsi="宋体"/>
          <w:szCs w:val="28"/>
        </w:rPr>
        <w:t>（九）估价方法</w:t>
      </w:r>
      <w:r>
        <w:tab/>
      </w:r>
      <w:r>
        <w:fldChar w:fldCharType="begin"/>
      </w:r>
      <w:r>
        <w:instrText xml:space="preserve"> PAGEREF _Toc11787 \h </w:instrText>
      </w:r>
      <w:r>
        <w:fldChar w:fldCharType="separate"/>
      </w:r>
      <w:r>
        <w:t>11</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_Toc10460 </w:instrText>
      </w:r>
      <w:r>
        <w:rPr>
          <w:rFonts w:ascii="宋体" w:hAnsi="宋体"/>
          <w:smallCaps/>
          <w:szCs w:val="28"/>
        </w:rPr>
        <w:fldChar w:fldCharType="separate"/>
      </w:r>
      <w:r>
        <w:rPr>
          <w:rFonts w:hint="eastAsia" w:ascii="宋体" w:hAnsi="宋体"/>
          <w:szCs w:val="28"/>
        </w:rPr>
        <w:t>（十）估价结果</w:t>
      </w:r>
      <w:r>
        <w:tab/>
      </w:r>
      <w:r>
        <w:fldChar w:fldCharType="begin"/>
      </w:r>
      <w:r>
        <w:instrText xml:space="preserve"> PAGEREF _Toc10460 \h </w:instrText>
      </w:r>
      <w:r>
        <w:fldChar w:fldCharType="separate"/>
      </w:r>
      <w:r>
        <w:t>12</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_Toc26847 </w:instrText>
      </w:r>
      <w:r>
        <w:rPr>
          <w:rFonts w:ascii="宋体" w:hAnsi="宋体"/>
          <w:smallCaps/>
          <w:szCs w:val="28"/>
        </w:rPr>
        <w:fldChar w:fldCharType="separate"/>
      </w:r>
      <w:r>
        <w:rPr>
          <w:rFonts w:hint="eastAsia" w:ascii="宋体" w:hAnsi="宋体"/>
          <w:szCs w:val="28"/>
        </w:rPr>
        <w:t>（十一）注册房地产估价师</w:t>
      </w:r>
      <w:r>
        <w:tab/>
      </w:r>
      <w:r>
        <w:fldChar w:fldCharType="begin"/>
      </w:r>
      <w:r>
        <w:instrText xml:space="preserve"> PAGEREF _Toc26847 \h </w:instrText>
      </w:r>
      <w:r>
        <w:fldChar w:fldCharType="separate"/>
      </w:r>
      <w:r>
        <w:t>12</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_Toc3110 </w:instrText>
      </w:r>
      <w:r>
        <w:rPr>
          <w:rFonts w:ascii="宋体" w:hAnsi="宋体"/>
          <w:smallCaps/>
          <w:szCs w:val="28"/>
        </w:rPr>
        <w:fldChar w:fldCharType="separate"/>
      </w:r>
      <w:r>
        <w:rPr>
          <w:rFonts w:hint="eastAsia" w:ascii="宋体" w:hAnsi="宋体"/>
          <w:szCs w:val="28"/>
        </w:rPr>
        <w:t>（十二）实地查勘期</w:t>
      </w:r>
      <w:r>
        <w:tab/>
      </w:r>
      <w:r>
        <w:fldChar w:fldCharType="begin"/>
      </w:r>
      <w:r>
        <w:instrText xml:space="preserve"> PAGEREF _Toc3110 \h </w:instrText>
      </w:r>
      <w:r>
        <w:fldChar w:fldCharType="separate"/>
      </w:r>
      <w:r>
        <w:t>12</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_Toc23120 </w:instrText>
      </w:r>
      <w:r>
        <w:rPr>
          <w:rFonts w:ascii="宋体" w:hAnsi="宋体"/>
          <w:smallCaps/>
          <w:szCs w:val="28"/>
        </w:rPr>
        <w:fldChar w:fldCharType="separate"/>
      </w:r>
      <w:r>
        <w:rPr>
          <w:rFonts w:hint="eastAsia" w:ascii="宋体" w:hAnsi="宋体"/>
          <w:szCs w:val="28"/>
        </w:rPr>
        <w:t>（十三）估价作业期</w:t>
      </w:r>
      <w:r>
        <w:tab/>
      </w:r>
      <w:r>
        <w:fldChar w:fldCharType="begin"/>
      </w:r>
      <w:r>
        <w:instrText xml:space="preserve"> PAGEREF _Toc23120 \h </w:instrText>
      </w:r>
      <w:r>
        <w:fldChar w:fldCharType="separate"/>
      </w:r>
      <w:r>
        <w:t>12</w:t>
      </w:r>
      <w:r>
        <w:fldChar w:fldCharType="end"/>
      </w:r>
      <w:r>
        <w:rPr>
          <w:rFonts w:ascii="宋体" w:hAnsi="宋体"/>
          <w:smallCaps/>
          <w:szCs w:val="28"/>
        </w:rPr>
        <w:fldChar w:fldCharType="end"/>
      </w:r>
    </w:p>
    <w:p>
      <w:pPr>
        <w:pStyle w:val="20"/>
        <w:tabs>
          <w:tab w:val="right" w:leader="dot" w:pos="9241"/>
        </w:tabs>
      </w:pPr>
      <w:r>
        <w:rPr>
          <w:rFonts w:ascii="宋体" w:hAnsi="宋体"/>
          <w:smallCaps/>
          <w:szCs w:val="28"/>
        </w:rPr>
        <w:fldChar w:fldCharType="begin"/>
      </w:r>
      <w:r>
        <w:rPr>
          <w:rFonts w:ascii="宋体" w:hAnsi="宋体"/>
          <w:smallCaps/>
          <w:szCs w:val="28"/>
        </w:rPr>
        <w:instrText xml:space="preserve"> HYPERLINK \l _Toc19418 </w:instrText>
      </w:r>
      <w:r>
        <w:rPr>
          <w:rFonts w:ascii="宋体" w:hAnsi="宋体"/>
          <w:smallCaps/>
          <w:szCs w:val="28"/>
        </w:rPr>
        <w:fldChar w:fldCharType="separate"/>
      </w:r>
      <w:r>
        <w:rPr>
          <w:rFonts w:hint="eastAsia" w:ascii="宋体" w:hAnsi="宋体"/>
          <w:szCs w:val="32"/>
          <w:lang w:eastAsia="zh-CN"/>
        </w:rPr>
        <w:t>四</w:t>
      </w:r>
      <w:r>
        <w:rPr>
          <w:rFonts w:hint="eastAsia" w:ascii="宋体" w:hAnsi="宋体"/>
          <w:szCs w:val="32"/>
        </w:rPr>
        <w:t>、相关附件</w:t>
      </w:r>
      <w:r>
        <w:tab/>
      </w:r>
      <w:r>
        <w:fldChar w:fldCharType="begin"/>
      </w:r>
      <w:r>
        <w:instrText xml:space="preserve"> PAGEREF _Toc19418 \h </w:instrText>
      </w:r>
      <w:r>
        <w:fldChar w:fldCharType="separate"/>
      </w:r>
      <w:r>
        <w:t>13</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_Toc8962 </w:instrText>
      </w:r>
      <w:r>
        <w:rPr>
          <w:rFonts w:ascii="宋体" w:hAnsi="宋体"/>
          <w:smallCaps/>
          <w:szCs w:val="28"/>
        </w:rPr>
        <w:fldChar w:fldCharType="separate"/>
      </w:r>
      <w:r>
        <w:rPr>
          <w:rFonts w:hint="eastAsia"/>
          <w:szCs w:val="28"/>
        </w:rPr>
        <w:t>（一） 估价对象位置示意图</w:t>
      </w:r>
      <w:r>
        <w:tab/>
      </w:r>
      <w:r>
        <w:fldChar w:fldCharType="begin"/>
      </w:r>
      <w:r>
        <w:instrText xml:space="preserve"> PAGEREF _Toc8962 \h </w:instrText>
      </w:r>
      <w:r>
        <w:fldChar w:fldCharType="separate"/>
      </w:r>
      <w:r>
        <w:t>13</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_Toc28431 </w:instrText>
      </w:r>
      <w:r>
        <w:rPr>
          <w:rFonts w:ascii="宋体" w:hAnsi="宋体"/>
          <w:smallCaps/>
          <w:szCs w:val="28"/>
        </w:rPr>
        <w:fldChar w:fldCharType="separate"/>
      </w:r>
      <w:r>
        <w:rPr>
          <w:rFonts w:hint="eastAsia"/>
          <w:szCs w:val="28"/>
        </w:rPr>
        <w:t>（二） 估价对象现场查勘照片</w:t>
      </w:r>
      <w:r>
        <w:tab/>
      </w:r>
      <w:r>
        <w:fldChar w:fldCharType="begin"/>
      </w:r>
      <w:r>
        <w:instrText xml:space="preserve"> PAGEREF _Toc28431 \h </w:instrText>
      </w:r>
      <w:r>
        <w:fldChar w:fldCharType="separate"/>
      </w:r>
      <w:r>
        <w:t>13</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_Toc19851 </w:instrText>
      </w:r>
      <w:r>
        <w:rPr>
          <w:rFonts w:ascii="宋体" w:hAnsi="宋体"/>
          <w:smallCaps/>
          <w:szCs w:val="28"/>
        </w:rPr>
        <w:fldChar w:fldCharType="separate"/>
      </w:r>
      <w:r>
        <w:rPr>
          <w:rFonts w:hint="eastAsia"/>
          <w:szCs w:val="28"/>
        </w:rPr>
        <w:t xml:space="preserve">（三） </w:t>
      </w:r>
      <w:r>
        <w:rPr>
          <w:rFonts w:hint="eastAsia"/>
          <w:szCs w:val="28"/>
          <w:highlight w:val="none"/>
        </w:rPr>
        <w:t>《</w:t>
      </w:r>
      <w:r>
        <w:rPr>
          <w:rFonts w:hint="eastAsia"/>
          <w:szCs w:val="28"/>
          <w:highlight w:val="none"/>
          <w:lang w:eastAsia="zh-CN"/>
        </w:rPr>
        <w:t>内乡县人民法院委托书</w:t>
      </w:r>
      <w:r>
        <w:rPr>
          <w:rFonts w:hint="eastAsia"/>
          <w:szCs w:val="28"/>
          <w:highlight w:val="none"/>
        </w:rPr>
        <w:t>》复印件</w:t>
      </w:r>
      <w:r>
        <w:tab/>
      </w:r>
      <w:r>
        <w:fldChar w:fldCharType="begin"/>
      </w:r>
      <w:r>
        <w:instrText xml:space="preserve"> PAGEREF _Toc19851 \h </w:instrText>
      </w:r>
      <w:r>
        <w:fldChar w:fldCharType="separate"/>
      </w:r>
      <w:r>
        <w:t>13</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_Toc1179 </w:instrText>
      </w:r>
      <w:r>
        <w:rPr>
          <w:rFonts w:ascii="宋体" w:hAnsi="宋体"/>
          <w:smallCaps/>
          <w:szCs w:val="28"/>
        </w:rPr>
        <w:fldChar w:fldCharType="separate"/>
      </w:r>
      <w:r>
        <w:rPr>
          <w:rFonts w:hint="eastAsia"/>
          <w:szCs w:val="28"/>
        </w:rPr>
        <w:t xml:space="preserve">（四） </w:t>
      </w:r>
      <w:r>
        <w:rPr>
          <w:rFonts w:hint="eastAsia"/>
          <w:szCs w:val="28"/>
          <w:highlight w:val="none"/>
        </w:rPr>
        <w:t>《河南省</w:t>
      </w:r>
      <w:r>
        <w:rPr>
          <w:rFonts w:hint="eastAsia"/>
          <w:szCs w:val="28"/>
          <w:highlight w:val="none"/>
          <w:lang w:eastAsia="zh-CN"/>
        </w:rPr>
        <w:t>内乡县人民法院执行</w:t>
      </w:r>
      <w:r>
        <w:rPr>
          <w:rFonts w:hint="eastAsia"/>
          <w:szCs w:val="28"/>
          <w:highlight w:val="none"/>
        </w:rPr>
        <w:t>裁定书》复印件</w:t>
      </w:r>
      <w:r>
        <w:tab/>
      </w:r>
      <w:r>
        <w:fldChar w:fldCharType="begin"/>
      </w:r>
      <w:r>
        <w:instrText xml:space="preserve"> PAGEREF _Toc1179 \h </w:instrText>
      </w:r>
      <w:r>
        <w:fldChar w:fldCharType="separate"/>
      </w:r>
      <w:r>
        <w:t>13</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_Toc22670 </w:instrText>
      </w:r>
      <w:r>
        <w:rPr>
          <w:rFonts w:ascii="宋体" w:hAnsi="宋体"/>
          <w:smallCaps/>
          <w:szCs w:val="28"/>
        </w:rPr>
        <w:fldChar w:fldCharType="separate"/>
      </w:r>
      <w:r>
        <w:rPr>
          <w:rFonts w:hint="eastAsia"/>
          <w:szCs w:val="28"/>
        </w:rPr>
        <w:t xml:space="preserve">（五） </w:t>
      </w:r>
      <w:r>
        <w:rPr>
          <w:rFonts w:hint="eastAsia"/>
          <w:szCs w:val="28"/>
          <w:highlight w:val="none"/>
        </w:rPr>
        <w:t>《</w:t>
      </w:r>
      <w:r>
        <w:rPr>
          <w:rFonts w:hint="eastAsia"/>
          <w:szCs w:val="28"/>
          <w:highlight w:val="none"/>
          <w:lang w:eastAsia="zh-CN"/>
        </w:rPr>
        <w:t>房屋所有权证存根</w:t>
      </w:r>
      <w:r>
        <w:rPr>
          <w:rFonts w:hint="eastAsia"/>
          <w:szCs w:val="28"/>
          <w:highlight w:val="none"/>
        </w:rPr>
        <w:t>》复印件</w:t>
      </w:r>
      <w:r>
        <w:tab/>
      </w:r>
      <w:bookmarkStart w:id="76" w:name="_GoBack"/>
      <w:bookmarkEnd w:id="76"/>
      <w:r>
        <w:fldChar w:fldCharType="begin"/>
      </w:r>
      <w:r>
        <w:instrText xml:space="preserve"> PAGEREF _Toc22670 \h </w:instrText>
      </w:r>
      <w:r>
        <w:fldChar w:fldCharType="separate"/>
      </w:r>
      <w:r>
        <w:t>13</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_Toc24382 </w:instrText>
      </w:r>
      <w:r>
        <w:rPr>
          <w:rFonts w:ascii="宋体" w:hAnsi="宋体"/>
          <w:smallCaps/>
          <w:szCs w:val="28"/>
        </w:rPr>
        <w:fldChar w:fldCharType="separate"/>
      </w:r>
      <w:r>
        <w:rPr>
          <w:rFonts w:hint="eastAsia"/>
          <w:szCs w:val="28"/>
        </w:rPr>
        <w:t xml:space="preserve">（六） </w:t>
      </w:r>
      <w:r>
        <w:rPr>
          <w:rFonts w:hint="eastAsia" w:ascii="宋体" w:hAnsi="宋体"/>
          <w:szCs w:val="28"/>
          <w:highlight w:val="none"/>
        </w:rPr>
        <w:t>《</w:t>
      </w:r>
      <w:r>
        <w:rPr>
          <w:rFonts w:hint="eastAsia" w:ascii="宋体" w:hAnsi="宋体"/>
          <w:szCs w:val="28"/>
          <w:highlight w:val="none"/>
          <w:lang w:eastAsia="zh-CN"/>
        </w:rPr>
        <w:t>内乡县赤眉镇赤眉村民委员会证明</w:t>
      </w:r>
      <w:r>
        <w:rPr>
          <w:rFonts w:hint="eastAsia" w:ascii="宋体" w:hAnsi="宋体"/>
          <w:szCs w:val="28"/>
          <w:highlight w:val="none"/>
        </w:rPr>
        <w:t>》</w:t>
      </w:r>
      <w:r>
        <w:rPr>
          <w:rFonts w:hint="eastAsia" w:ascii="宋体" w:hAnsi="宋体"/>
          <w:szCs w:val="28"/>
          <w:highlight w:val="none"/>
          <w:lang w:eastAsia="zh-CN"/>
        </w:rPr>
        <w:t>复印件</w:t>
      </w:r>
      <w:r>
        <w:tab/>
      </w:r>
      <w:r>
        <w:fldChar w:fldCharType="begin"/>
      </w:r>
      <w:r>
        <w:instrText xml:space="preserve"> PAGEREF _Toc24382 \h </w:instrText>
      </w:r>
      <w:r>
        <w:fldChar w:fldCharType="separate"/>
      </w:r>
      <w:r>
        <w:t>13</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_Toc14790 </w:instrText>
      </w:r>
      <w:r>
        <w:rPr>
          <w:rFonts w:ascii="宋体" w:hAnsi="宋体"/>
          <w:smallCaps/>
          <w:szCs w:val="28"/>
        </w:rPr>
        <w:fldChar w:fldCharType="separate"/>
      </w:r>
      <w:r>
        <w:rPr>
          <w:rFonts w:hint="eastAsia"/>
          <w:szCs w:val="28"/>
        </w:rPr>
        <w:t>（七） 房地产估价机构营业执照和估价备案证书复印件</w:t>
      </w:r>
      <w:r>
        <w:tab/>
      </w:r>
      <w:r>
        <w:fldChar w:fldCharType="begin"/>
      </w:r>
      <w:r>
        <w:instrText xml:space="preserve"> PAGEREF _Toc14790 \h </w:instrText>
      </w:r>
      <w:r>
        <w:fldChar w:fldCharType="separate"/>
      </w:r>
      <w:r>
        <w:t>13</w:t>
      </w:r>
      <w:r>
        <w:fldChar w:fldCharType="end"/>
      </w:r>
      <w:r>
        <w:rPr>
          <w:rFonts w:ascii="宋体" w:hAnsi="宋体"/>
          <w:smallCaps/>
          <w:szCs w:val="28"/>
        </w:rPr>
        <w:fldChar w:fldCharType="end"/>
      </w:r>
    </w:p>
    <w:p>
      <w:pPr>
        <w:pStyle w:val="23"/>
        <w:tabs>
          <w:tab w:val="right" w:leader="dot" w:pos="9241"/>
        </w:tabs>
      </w:pPr>
      <w:r>
        <w:rPr>
          <w:rFonts w:ascii="宋体" w:hAnsi="宋体"/>
          <w:smallCaps/>
          <w:szCs w:val="28"/>
        </w:rPr>
        <w:fldChar w:fldCharType="begin"/>
      </w:r>
      <w:r>
        <w:rPr>
          <w:rFonts w:ascii="宋体" w:hAnsi="宋体"/>
          <w:smallCaps/>
          <w:szCs w:val="28"/>
        </w:rPr>
        <w:instrText xml:space="preserve"> HYPERLINK \l _Toc15316 </w:instrText>
      </w:r>
      <w:r>
        <w:rPr>
          <w:rFonts w:ascii="宋体" w:hAnsi="宋体"/>
          <w:smallCaps/>
          <w:szCs w:val="28"/>
        </w:rPr>
        <w:fldChar w:fldCharType="separate"/>
      </w:r>
      <w:r>
        <w:rPr>
          <w:rFonts w:hint="eastAsia"/>
          <w:szCs w:val="28"/>
        </w:rPr>
        <w:t>（八） 注册房地产估价师注册证书复印件</w:t>
      </w:r>
      <w:r>
        <w:tab/>
      </w:r>
      <w:r>
        <w:fldChar w:fldCharType="begin"/>
      </w:r>
      <w:r>
        <w:instrText xml:space="preserve"> PAGEREF _Toc15316 \h </w:instrText>
      </w:r>
      <w:r>
        <w:fldChar w:fldCharType="separate"/>
      </w:r>
      <w:r>
        <w:t>13</w:t>
      </w:r>
      <w:r>
        <w:fldChar w:fldCharType="end"/>
      </w:r>
      <w:r>
        <w:rPr>
          <w:rFonts w:ascii="宋体" w:hAnsi="宋体"/>
          <w:smallCaps/>
          <w:szCs w:val="28"/>
        </w:rPr>
        <w:fldChar w:fldCharType="end"/>
      </w:r>
    </w:p>
    <w:p>
      <w:pPr>
        <w:snapToGrid w:val="0"/>
        <w:spacing w:line="300" w:lineRule="exact"/>
        <w:rPr>
          <w:rFonts w:hint="eastAsia" w:ascii="宋体" w:hAnsi="宋体"/>
          <w:smallCaps/>
          <w:sz w:val="28"/>
          <w:szCs w:val="28"/>
        </w:rPr>
      </w:pPr>
      <w:r>
        <w:rPr>
          <w:rFonts w:ascii="宋体" w:hAnsi="宋体"/>
          <w:smallCaps/>
          <w:szCs w:val="28"/>
        </w:rPr>
        <w:fldChar w:fldCharType="end"/>
      </w:r>
      <w:r>
        <w:rPr>
          <w:rFonts w:hint="eastAsia" w:ascii="宋体" w:hAnsi="宋体"/>
          <w:smallCaps/>
          <w:sz w:val="28"/>
          <w:szCs w:val="28"/>
        </w:rPr>
        <w:t xml:space="preserve"> </w:t>
      </w:r>
    </w:p>
    <w:p>
      <w:pPr>
        <w:snapToGrid w:val="0"/>
        <w:spacing w:line="300" w:lineRule="exact"/>
        <w:rPr>
          <w:rFonts w:ascii="宋体" w:hAnsi="宋体"/>
          <w:smallCaps/>
          <w:sz w:val="28"/>
          <w:szCs w:val="28"/>
        </w:rPr>
        <w:sectPr>
          <w:headerReference r:id="rId5" w:type="default"/>
          <w:footerReference r:id="rId6" w:type="default"/>
          <w:pgSz w:w="11906" w:h="16838"/>
          <w:pgMar w:top="1247" w:right="1134" w:bottom="1134" w:left="1134" w:header="851" w:footer="765" w:gutter="397"/>
          <w:cols w:space="720" w:num="1"/>
          <w:docGrid w:type="lines" w:linePitch="312" w:charSpace="0"/>
        </w:sectPr>
      </w:pPr>
    </w:p>
    <w:p>
      <w:pPr>
        <w:pStyle w:val="2"/>
        <w:spacing w:before="360" w:after="156" w:afterLines="50"/>
        <w:jc w:val="center"/>
        <w:rPr>
          <w:rFonts w:hint="eastAsia"/>
          <w:sz w:val="32"/>
          <w:szCs w:val="32"/>
        </w:rPr>
      </w:pPr>
      <w:bookmarkStart w:id="1" w:name="_Toc275767911"/>
      <w:bookmarkStart w:id="2" w:name="_Toc20791"/>
      <w:r>
        <w:rPr>
          <w:rFonts w:hint="eastAsia"/>
          <w:sz w:val="32"/>
          <w:szCs w:val="32"/>
        </w:rPr>
        <w:t>一、估价师声明</w:t>
      </w:r>
      <w:bookmarkEnd w:id="1"/>
      <w:bookmarkEnd w:id="2"/>
    </w:p>
    <w:p>
      <w:pPr>
        <w:spacing w:line="600" w:lineRule="exact"/>
        <w:ind w:firstLine="560" w:firstLineChars="200"/>
        <w:rPr>
          <w:rFonts w:hint="eastAsia" w:ascii="宋体" w:hAnsi="宋体"/>
          <w:bCs/>
          <w:sz w:val="28"/>
          <w:szCs w:val="28"/>
        </w:rPr>
      </w:pPr>
      <w:r>
        <w:rPr>
          <w:rFonts w:hint="eastAsia" w:ascii="宋体" w:hAnsi="宋体"/>
          <w:bCs/>
          <w:sz w:val="28"/>
          <w:szCs w:val="28"/>
        </w:rPr>
        <w:t>我们根据自己的专业知识和职业道德，在此郑重声明：</w:t>
      </w:r>
    </w:p>
    <w:p>
      <w:pPr>
        <w:spacing w:line="600" w:lineRule="exact"/>
        <w:ind w:firstLine="560" w:firstLineChars="200"/>
        <w:rPr>
          <w:rFonts w:hint="eastAsia" w:ascii="宋体" w:hAnsi="宋体"/>
          <w:bCs/>
          <w:sz w:val="28"/>
          <w:szCs w:val="28"/>
        </w:rPr>
      </w:pPr>
      <w:r>
        <w:rPr>
          <w:rFonts w:hint="eastAsia" w:ascii="宋体" w:hAnsi="宋体"/>
          <w:bCs/>
          <w:sz w:val="28"/>
          <w:szCs w:val="28"/>
        </w:rPr>
        <w:t>1.注册房地产估价师在估价报告中对事实的说明是真实和准确的，没有虚假记载、误导性陈述和重大遗漏；</w:t>
      </w:r>
    </w:p>
    <w:p>
      <w:pPr>
        <w:spacing w:line="600" w:lineRule="exact"/>
        <w:ind w:firstLine="560" w:firstLineChars="200"/>
        <w:rPr>
          <w:rFonts w:hint="eastAsia" w:ascii="宋体" w:hAnsi="宋体"/>
          <w:bCs/>
          <w:sz w:val="28"/>
          <w:szCs w:val="28"/>
        </w:rPr>
      </w:pPr>
      <w:r>
        <w:rPr>
          <w:rFonts w:hint="eastAsia" w:ascii="宋体" w:hAnsi="宋体"/>
          <w:bCs/>
          <w:sz w:val="28"/>
          <w:szCs w:val="28"/>
        </w:rPr>
        <w:t>2.估价报告中的分析、意见和结论是注册房地产估价师独立、客观、公正的专业分析、意见和结论,但受到估价报告中已说明的估价假设和限制条件的限制；</w:t>
      </w:r>
    </w:p>
    <w:p>
      <w:pPr>
        <w:spacing w:line="600" w:lineRule="exact"/>
        <w:ind w:firstLine="560" w:firstLineChars="200"/>
        <w:rPr>
          <w:rFonts w:hint="eastAsia" w:ascii="宋体" w:hAnsi="宋体"/>
          <w:bCs/>
          <w:sz w:val="28"/>
          <w:szCs w:val="28"/>
        </w:rPr>
      </w:pPr>
      <w:r>
        <w:rPr>
          <w:rFonts w:hint="eastAsia" w:ascii="宋体" w:hAnsi="宋体"/>
          <w:bCs/>
          <w:sz w:val="28"/>
          <w:szCs w:val="28"/>
        </w:rPr>
        <w:t>3.注册房地产估价师与估价报告中的估价对象没有现实或潜在的利益，与估价委托人及估价利害关系人没有利害关系，也对估价对象、估价委托人及估价利害关系人没有偏见；</w:t>
      </w:r>
    </w:p>
    <w:p>
      <w:pPr>
        <w:spacing w:line="600" w:lineRule="exact"/>
        <w:ind w:firstLine="560" w:firstLineChars="200"/>
        <w:rPr>
          <w:rFonts w:hint="eastAsia" w:ascii="宋体" w:hAnsi="宋体"/>
          <w:bCs/>
          <w:sz w:val="28"/>
          <w:szCs w:val="28"/>
        </w:rPr>
      </w:pPr>
      <w:r>
        <w:rPr>
          <w:rFonts w:hint="eastAsia" w:ascii="宋体" w:hAnsi="宋体"/>
          <w:bCs/>
          <w:sz w:val="28"/>
          <w:szCs w:val="28"/>
        </w:rPr>
        <w:t>4.注册房地产估价师按照《房地产估价规范》（GB/T 50291-2015）、《房地产估价基本术语标准》（GB/T 50899-2013）和</w:t>
      </w:r>
      <w:r>
        <w:rPr>
          <w:rFonts w:hint="eastAsia" w:ascii="宋体" w:hAnsi="宋体"/>
          <w:sz w:val="28"/>
          <w:szCs w:val="28"/>
        </w:rPr>
        <w:t>《河南省房地产司法鉴定估价指导意见》</w:t>
      </w:r>
      <w:r>
        <w:rPr>
          <w:rFonts w:hint="eastAsia" w:ascii="宋体" w:hAnsi="宋体"/>
          <w:bCs/>
          <w:sz w:val="28"/>
          <w:szCs w:val="28"/>
        </w:rPr>
        <w:t>等有关房地产估价标准的规定进行估价工作，撰写估价报告；</w:t>
      </w:r>
    </w:p>
    <w:p>
      <w:pPr>
        <w:spacing w:line="600" w:lineRule="exact"/>
        <w:ind w:firstLine="560" w:firstLineChars="200"/>
        <w:rPr>
          <w:rFonts w:hint="eastAsia" w:ascii="宋体" w:hAnsi="宋体"/>
          <w:bCs/>
          <w:sz w:val="28"/>
          <w:szCs w:val="28"/>
        </w:rPr>
      </w:pPr>
      <w:r>
        <w:rPr>
          <w:rFonts w:hint="eastAsia" w:ascii="宋体" w:hAnsi="宋体"/>
          <w:bCs/>
          <w:sz w:val="28"/>
          <w:szCs w:val="28"/>
        </w:rPr>
        <w:t>5.注册房地产估价师</w:t>
      </w:r>
      <w:r>
        <w:rPr>
          <w:rFonts w:hint="eastAsia" w:ascii="宋体" w:hAnsi="宋体"/>
          <w:bCs/>
          <w:sz w:val="28"/>
          <w:szCs w:val="28"/>
          <w:highlight w:val="none"/>
        </w:rPr>
        <w:t>轩幸福、</w:t>
      </w:r>
      <w:r>
        <w:rPr>
          <w:rFonts w:ascii="宋体" w:hAnsi="宋体"/>
          <w:bCs/>
          <w:sz w:val="28"/>
          <w:szCs w:val="28"/>
          <w:highlight w:val="none"/>
        </w:rPr>
        <w:t>刘妙然</w:t>
      </w:r>
      <w:r>
        <w:rPr>
          <w:rFonts w:hint="eastAsia" w:ascii="宋体" w:hAnsi="宋体"/>
          <w:bCs/>
          <w:sz w:val="28"/>
          <w:szCs w:val="28"/>
        </w:rPr>
        <w:t>于</w:t>
      </w:r>
      <w:r>
        <w:rPr>
          <w:rFonts w:ascii="宋体" w:hAnsi="宋体"/>
          <w:bCs/>
          <w:sz w:val="28"/>
          <w:szCs w:val="28"/>
        </w:rPr>
        <w:t>二〇二二年五月三十一日</w:t>
      </w:r>
      <w:r>
        <w:rPr>
          <w:rFonts w:hint="eastAsia" w:ascii="宋体" w:hAnsi="宋体"/>
          <w:bCs/>
          <w:sz w:val="28"/>
          <w:szCs w:val="28"/>
        </w:rPr>
        <w:t>对本估价报告中的估价对象进行了实地查勘并进行实地查勘记录，但仅限于估价对象的外观和使用状况，注册房地产估价师不承担对估价对象建筑结构质量、建筑面积数量准确性和相应权益进行调查的责任，也不承担对其它被遮盖、未暴露及难于接触到的部分进行查勘的责任；</w:t>
      </w:r>
    </w:p>
    <w:p>
      <w:pPr>
        <w:spacing w:line="600" w:lineRule="exact"/>
        <w:ind w:firstLine="560" w:firstLineChars="200"/>
        <w:rPr>
          <w:rFonts w:hint="eastAsia" w:ascii="宋体" w:hAnsi="宋体"/>
          <w:bCs/>
          <w:sz w:val="28"/>
          <w:szCs w:val="28"/>
        </w:rPr>
      </w:pPr>
      <w:r>
        <w:rPr>
          <w:rFonts w:hint="eastAsia" w:ascii="宋体" w:hAnsi="宋体"/>
          <w:bCs/>
          <w:sz w:val="28"/>
          <w:szCs w:val="28"/>
        </w:rPr>
        <w:t>6.没有人对本估价报告提供重要专业帮助；</w:t>
      </w:r>
    </w:p>
    <w:p>
      <w:pPr>
        <w:spacing w:line="600" w:lineRule="exact"/>
        <w:ind w:firstLine="560" w:firstLineChars="200"/>
        <w:rPr>
          <w:rFonts w:hint="eastAsia" w:ascii="宋体" w:hAnsi="宋体"/>
          <w:bCs/>
          <w:sz w:val="28"/>
          <w:szCs w:val="28"/>
        </w:rPr>
      </w:pPr>
      <w:r>
        <w:rPr>
          <w:rFonts w:hint="eastAsia" w:ascii="宋体" w:hAnsi="宋体"/>
          <w:bCs/>
          <w:sz w:val="28"/>
          <w:szCs w:val="28"/>
        </w:rPr>
        <w:t>7.本估价报告需经注册房地产估价师签字（盖章），房地产估价机构盖章并作为一个整体时有效，复印件无效；</w:t>
      </w:r>
    </w:p>
    <w:p>
      <w:pPr>
        <w:spacing w:line="600" w:lineRule="exact"/>
        <w:ind w:firstLine="560" w:firstLineChars="200"/>
        <w:rPr>
          <w:rFonts w:hint="eastAsia" w:ascii="宋体" w:hAnsi="宋体"/>
          <w:bCs/>
          <w:sz w:val="28"/>
          <w:szCs w:val="28"/>
        </w:rPr>
      </w:pPr>
      <w:r>
        <w:rPr>
          <w:rFonts w:hint="eastAsia" w:ascii="宋体" w:hAnsi="宋体"/>
          <w:bCs/>
          <w:sz w:val="28"/>
          <w:szCs w:val="28"/>
        </w:rPr>
        <w:t>8.如发现本估价报告内的文字或数字因校对或其他类似原因出现差错时，请通知本公司进行更正。</w:t>
      </w:r>
    </w:p>
    <w:p>
      <w:pPr>
        <w:spacing w:after="156" w:afterLines="50" w:line="600" w:lineRule="exact"/>
        <w:ind w:firstLine="420" w:firstLineChars="150"/>
        <w:jc w:val="center"/>
        <w:rPr>
          <w:rFonts w:hint="eastAsia" w:ascii="宋体" w:hAnsi="宋体"/>
          <w:sz w:val="28"/>
          <w:szCs w:val="28"/>
        </w:rPr>
      </w:pPr>
      <w:r>
        <w:rPr>
          <w:rFonts w:hint="eastAsia" w:ascii="宋体" w:hAnsi="宋体"/>
          <w:sz w:val="28"/>
          <w:szCs w:val="28"/>
        </w:rPr>
        <w:t>注册房地产估价师</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0"/>
        <w:gridCol w:w="1843"/>
        <w:gridCol w:w="2828"/>
        <w:gridCol w:w="2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1" w:hRule="atLeast"/>
          <w:jc w:val="center"/>
        </w:trPr>
        <w:tc>
          <w:tcPr>
            <w:tcW w:w="1780" w:type="dxa"/>
            <w:noWrap w:val="0"/>
            <w:vAlign w:val="center"/>
          </w:tcPr>
          <w:p>
            <w:pPr>
              <w:widowControl/>
              <w:jc w:val="center"/>
              <w:rPr>
                <w:rFonts w:ascii="宋体" w:cs="宋体"/>
                <w:kern w:val="0"/>
                <w:sz w:val="24"/>
              </w:rPr>
            </w:pPr>
            <w:r>
              <w:rPr>
                <w:rFonts w:hint="eastAsia" w:ascii="宋体" w:hAnsi="宋体" w:cs="宋体"/>
                <w:kern w:val="0"/>
                <w:sz w:val="24"/>
              </w:rPr>
              <w:t>姓</w:t>
            </w:r>
            <w:r>
              <w:rPr>
                <w:kern w:val="0"/>
                <w:sz w:val="24"/>
              </w:rPr>
              <w:t xml:space="preserve">  </w:t>
            </w:r>
            <w:r>
              <w:rPr>
                <w:rFonts w:hint="eastAsia" w:ascii="宋体" w:hAnsi="宋体" w:cs="宋体"/>
                <w:kern w:val="0"/>
                <w:sz w:val="24"/>
              </w:rPr>
              <w:t>名</w:t>
            </w:r>
          </w:p>
        </w:tc>
        <w:tc>
          <w:tcPr>
            <w:tcW w:w="1843" w:type="dxa"/>
            <w:noWrap w:val="0"/>
            <w:vAlign w:val="center"/>
          </w:tcPr>
          <w:p>
            <w:pPr>
              <w:widowControl/>
              <w:jc w:val="center"/>
              <w:rPr>
                <w:rFonts w:ascii="宋体" w:cs="宋体"/>
                <w:kern w:val="0"/>
                <w:sz w:val="24"/>
              </w:rPr>
            </w:pPr>
            <w:r>
              <w:rPr>
                <w:rFonts w:hint="eastAsia" w:ascii="宋体" w:hAnsi="宋体" w:cs="宋体"/>
                <w:kern w:val="0"/>
                <w:sz w:val="24"/>
              </w:rPr>
              <w:t>注</w:t>
            </w:r>
            <w:r>
              <w:rPr>
                <w:rFonts w:ascii="宋体" w:hAnsi="宋体" w:cs="宋体"/>
                <w:kern w:val="0"/>
                <w:sz w:val="24"/>
              </w:rPr>
              <w:t xml:space="preserve"> </w:t>
            </w:r>
            <w:r>
              <w:rPr>
                <w:rFonts w:hint="eastAsia" w:ascii="宋体" w:hAnsi="宋体" w:cs="宋体"/>
                <w:kern w:val="0"/>
                <w:sz w:val="24"/>
              </w:rPr>
              <w:t>册</w:t>
            </w:r>
            <w:r>
              <w:rPr>
                <w:rFonts w:ascii="宋体" w:hAnsi="宋体" w:cs="宋体"/>
                <w:kern w:val="0"/>
                <w:sz w:val="24"/>
              </w:rPr>
              <w:t xml:space="preserve"> </w:t>
            </w:r>
            <w:r>
              <w:rPr>
                <w:rFonts w:hint="eastAsia" w:ascii="宋体" w:hAnsi="宋体" w:cs="宋体"/>
                <w:kern w:val="0"/>
                <w:sz w:val="24"/>
              </w:rPr>
              <w:t>号</w:t>
            </w:r>
          </w:p>
        </w:tc>
        <w:tc>
          <w:tcPr>
            <w:tcW w:w="2828" w:type="dxa"/>
            <w:tcBorders>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签</w:t>
            </w:r>
            <w:r>
              <w:rPr>
                <w:kern w:val="0"/>
                <w:sz w:val="24"/>
              </w:rPr>
              <w:t xml:space="preserve"> </w:t>
            </w:r>
            <w:r>
              <w:rPr>
                <w:rFonts w:hint="eastAsia" w:ascii="宋体" w:hAnsi="宋体" w:cs="宋体"/>
                <w:kern w:val="0"/>
                <w:sz w:val="24"/>
              </w:rPr>
              <w:t>名</w:t>
            </w:r>
          </w:p>
        </w:tc>
        <w:tc>
          <w:tcPr>
            <w:tcW w:w="2664" w:type="dxa"/>
            <w:tcBorders>
              <w:left w:val="single" w:color="auto" w:sz="4" w:space="0"/>
            </w:tcBorders>
            <w:noWrap w:val="0"/>
            <w:vAlign w:val="center"/>
          </w:tcPr>
          <w:p>
            <w:pPr>
              <w:widowControl/>
              <w:jc w:val="center"/>
              <w:rPr>
                <w:rFonts w:ascii="宋体" w:cs="宋体"/>
                <w:kern w:val="0"/>
                <w:sz w:val="24"/>
              </w:rPr>
            </w:pPr>
            <w:r>
              <w:rPr>
                <w:rFonts w:hint="eastAsia" w:ascii="宋体" w:cs="宋体"/>
                <w:kern w:val="0"/>
                <w:sz w:val="24"/>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8" w:hRule="atLeast"/>
          <w:jc w:val="center"/>
        </w:trPr>
        <w:tc>
          <w:tcPr>
            <w:tcW w:w="1780" w:type="dxa"/>
            <w:noWrap w:val="0"/>
            <w:vAlign w:val="center"/>
          </w:tcPr>
          <w:p>
            <w:pPr>
              <w:widowControl/>
              <w:jc w:val="center"/>
              <w:rPr>
                <w:rFonts w:hint="eastAsia" w:ascii="宋体" w:hAnsi="宋体"/>
                <w:bCs/>
                <w:sz w:val="24"/>
              </w:rPr>
            </w:pPr>
            <w:r>
              <w:rPr>
                <w:rFonts w:hint="eastAsia" w:ascii="宋体" w:hAnsi="宋体"/>
                <w:bCs/>
                <w:sz w:val="24"/>
              </w:rPr>
              <w:t>轩幸福</w:t>
            </w:r>
          </w:p>
        </w:tc>
        <w:tc>
          <w:tcPr>
            <w:tcW w:w="1843" w:type="dxa"/>
            <w:noWrap w:val="0"/>
            <w:vAlign w:val="center"/>
          </w:tcPr>
          <w:p>
            <w:pPr>
              <w:widowControl/>
              <w:jc w:val="center"/>
              <w:rPr>
                <w:rFonts w:ascii="宋体" w:hAnsi="宋体"/>
                <w:bCs/>
                <w:sz w:val="24"/>
              </w:rPr>
            </w:pPr>
            <w:r>
              <w:rPr>
                <w:rFonts w:hint="eastAsia" w:ascii="宋体" w:hAnsi="宋体"/>
                <w:bCs/>
                <w:sz w:val="24"/>
              </w:rPr>
              <w:t>4120210153</w:t>
            </w:r>
          </w:p>
        </w:tc>
        <w:tc>
          <w:tcPr>
            <w:tcW w:w="2828" w:type="dxa"/>
            <w:tcBorders>
              <w:right w:val="single" w:color="auto" w:sz="4" w:space="0"/>
            </w:tcBorders>
            <w:noWrap w:val="0"/>
            <w:vAlign w:val="center"/>
          </w:tcPr>
          <w:p>
            <w:pPr>
              <w:widowControl/>
              <w:jc w:val="center"/>
              <w:rPr>
                <w:kern w:val="0"/>
                <w:sz w:val="24"/>
              </w:rPr>
            </w:pPr>
          </w:p>
        </w:tc>
        <w:tc>
          <w:tcPr>
            <w:tcW w:w="2664" w:type="dxa"/>
            <w:tcBorders>
              <w:left w:val="single" w:color="auto" w:sz="4" w:space="0"/>
            </w:tcBorders>
            <w:noWrap w:val="0"/>
            <w:vAlign w:val="center"/>
          </w:tcPr>
          <w:p>
            <w:pPr>
              <w:widowControl/>
              <w:jc w:val="center"/>
              <w:rPr>
                <w:rFonts w:hint="eastAsia" w:eastAsia="宋体"/>
                <w:kern w:val="0"/>
                <w:sz w:val="24"/>
                <w:lang w:eastAsia="zh-CN"/>
              </w:rPr>
            </w:pPr>
            <w:r>
              <w:rPr>
                <w:rFonts w:hint="eastAsia" w:ascii="宋体" w:hAnsi="宋体"/>
                <w:bCs/>
                <w:sz w:val="24"/>
                <w:lang w:eastAsia="zh-CN"/>
              </w:rPr>
              <w:t>二〇二二年六月十日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8" w:hRule="atLeast"/>
          <w:jc w:val="center"/>
        </w:trPr>
        <w:tc>
          <w:tcPr>
            <w:tcW w:w="1780" w:type="dxa"/>
            <w:noWrap w:val="0"/>
            <w:vAlign w:val="center"/>
          </w:tcPr>
          <w:p>
            <w:pPr>
              <w:widowControl/>
              <w:jc w:val="center"/>
              <w:rPr>
                <w:rFonts w:hint="eastAsia" w:ascii="宋体" w:hAnsi="宋体"/>
                <w:bCs/>
                <w:sz w:val="24"/>
              </w:rPr>
            </w:pPr>
            <w:r>
              <w:rPr>
                <w:rFonts w:hint="eastAsia" w:ascii="宋体" w:hAnsi="宋体"/>
                <w:bCs/>
                <w:sz w:val="24"/>
              </w:rPr>
              <w:t>刘妙然</w:t>
            </w:r>
          </w:p>
        </w:tc>
        <w:tc>
          <w:tcPr>
            <w:tcW w:w="1843" w:type="dxa"/>
            <w:noWrap w:val="0"/>
            <w:vAlign w:val="center"/>
          </w:tcPr>
          <w:p>
            <w:pPr>
              <w:widowControl/>
              <w:jc w:val="center"/>
              <w:rPr>
                <w:rFonts w:hint="eastAsia" w:ascii="宋体" w:hAnsi="宋体" w:eastAsia="宋体"/>
                <w:bCs/>
                <w:sz w:val="24"/>
                <w:lang w:eastAsia="zh-CN"/>
              </w:rPr>
            </w:pPr>
            <w:r>
              <w:rPr>
                <w:rFonts w:hint="eastAsia" w:ascii="宋体" w:hAnsi="宋体"/>
                <w:bCs/>
                <w:sz w:val="24"/>
                <w:highlight w:val="none"/>
                <w:lang w:eastAsia="zh-CN"/>
              </w:rPr>
              <w:t>4120030034</w:t>
            </w:r>
          </w:p>
        </w:tc>
        <w:tc>
          <w:tcPr>
            <w:tcW w:w="2828" w:type="dxa"/>
            <w:tcBorders>
              <w:right w:val="single" w:color="auto" w:sz="4" w:space="0"/>
            </w:tcBorders>
            <w:noWrap w:val="0"/>
            <w:vAlign w:val="center"/>
          </w:tcPr>
          <w:p>
            <w:pPr>
              <w:widowControl/>
              <w:jc w:val="center"/>
              <w:rPr>
                <w:kern w:val="0"/>
                <w:sz w:val="24"/>
              </w:rPr>
            </w:pPr>
          </w:p>
        </w:tc>
        <w:tc>
          <w:tcPr>
            <w:tcW w:w="2664" w:type="dxa"/>
            <w:tcBorders>
              <w:left w:val="single" w:color="auto" w:sz="4" w:space="0"/>
            </w:tcBorders>
            <w:noWrap w:val="0"/>
            <w:vAlign w:val="center"/>
          </w:tcPr>
          <w:p>
            <w:pPr>
              <w:widowControl/>
              <w:jc w:val="center"/>
              <w:rPr>
                <w:rFonts w:hint="eastAsia" w:eastAsia="宋体"/>
                <w:kern w:val="0"/>
                <w:sz w:val="24"/>
                <w:lang w:eastAsia="zh-CN"/>
              </w:rPr>
            </w:pPr>
            <w:r>
              <w:rPr>
                <w:rFonts w:hint="eastAsia" w:ascii="宋体" w:hAnsi="宋体"/>
                <w:bCs/>
                <w:sz w:val="24"/>
                <w:lang w:eastAsia="zh-CN"/>
              </w:rPr>
              <w:t>二〇二二年六月十日</w:t>
            </w:r>
          </w:p>
        </w:tc>
      </w:tr>
    </w:tbl>
    <w:p>
      <w:pPr>
        <w:spacing w:before="156" w:beforeLines="50" w:after="156" w:afterLines="50" w:line="600" w:lineRule="exact"/>
        <w:ind w:firstLine="1120" w:firstLineChars="400"/>
        <w:rPr>
          <w:rFonts w:hint="eastAsia" w:ascii="宋体" w:hAnsi="宋体"/>
          <w:sz w:val="28"/>
          <w:szCs w:val="28"/>
        </w:rPr>
      </w:pPr>
      <w:r>
        <w:rPr>
          <w:rFonts w:hint="eastAsia" w:ascii="宋体" w:hAnsi="宋体"/>
          <w:sz w:val="28"/>
          <w:szCs w:val="28"/>
        </w:rPr>
        <w:t xml:space="preserve">                </w:t>
      </w:r>
    </w:p>
    <w:p>
      <w:pPr>
        <w:spacing w:line="600" w:lineRule="exact"/>
        <w:ind w:firstLine="560" w:firstLineChars="200"/>
        <w:rPr>
          <w:rFonts w:hint="eastAsia" w:ascii="宋体" w:hAnsi="宋体"/>
          <w:sz w:val="28"/>
          <w:szCs w:val="28"/>
        </w:rPr>
        <w:sectPr>
          <w:footerReference r:id="rId7" w:type="default"/>
          <w:pgSz w:w="11906" w:h="16838"/>
          <w:pgMar w:top="1418" w:right="1134" w:bottom="1247" w:left="1134" w:header="851" w:footer="765" w:gutter="397"/>
          <w:pgNumType w:start="1"/>
          <w:cols w:space="720" w:num="1"/>
          <w:docGrid w:type="lines" w:linePitch="312" w:charSpace="0"/>
        </w:sectPr>
      </w:pPr>
    </w:p>
    <w:p>
      <w:pPr>
        <w:pStyle w:val="2"/>
        <w:spacing w:before="360" w:after="156" w:afterLines="50"/>
        <w:jc w:val="center"/>
        <w:rPr>
          <w:rFonts w:hint="eastAsia"/>
          <w:sz w:val="32"/>
          <w:szCs w:val="32"/>
        </w:rPr>
      </w:pPr>
      <w:bookmarkStart w:id="3" w:name="_Toc2558"/>
      <w:bookmarkStart w:id="4" w:name="_Toc275767912"/>
      <w:r>
        <w:rPr>
          <w:rFonts w:hint="eastAsia"/>
          <w:sz w:val="32"/>
          <w:szCs w:val="32"/>
        </w:rPr>
        <w:t>二、</w:t>
      </w:r>
      <w:r>
        <w:rPr>
          <w:rFonts w:hint="eastAsia" w:ascii="黑体"/>
          <w:sz w:val="32"/>
          <w:szCs w:val="32"/>
        </w:rPr>
        <w:t>估价假设和限制条件</w:t>
      </w:r>
      <w:bookmarkEnd w:id="3"/>
      <w:bookmarkEnd w:id="4"/>
    </w:p>
    <w:p>
      <w:pPr>
        <w:spacing w:line="500" w:lineRule="exact"/>
        <w:ind w:firstLine="562" w:firstLineChars="200"/>
        <w:outlineLvl w:val="1"/>
        <w:rPr>
          <w:rFonts w:ascii="宋体" w:hAnsi="宋体"/>
          <w:b/>
          <w:bCs/>
          <w:sz w:val="28"/>
          <w:szCs w:val="28"/>
        </w:rPr>
      </w:pPr>
      <w:bookmarkStart w:id="5" w:name="_Toc31135"/>
      <w:bookmarkStart w:id="6" w:name="_Toc32552"/>
      <w:bookmarkStart w:id="7" w:name="_Toc8727"/>
      <w:r>
        <w:rPr>
          <w:rFonts w:hint="eastAsia" w:ascii="宋体" w:hAnsi="宋体"/>
          <w:b/>
          <w:bCs/>
          <w:sz w:val="28"/>
          <w:szCs w:val="28"/>
        </w:rPr>
        <w:t>（一）一般假设</w:t>
      </w:r>
      <w:bookmarkEnd w:id="5"/>
      <w:bookmarkEnd w:id="6"/>
      <w:bookmarkEnd w:id="7"/>
    </w:p>
    <w:p>
      <w:pPr>
        <w:spacing w:line="500" w:lineRule="exact"/>
        <w:ind w:firstLine="560" w:firstLineChars="200"/>
        <w:rPr>
          <w:rFonts w:hint="eastAsia" w:ascii="宋体" w:hAnsi="宋体"/>
          <w:sz w:val="28"/>
          <w:szCs w:val="28"/>
          <w:highlight w:val="none"/>
        </w:rPr>
      </w:pPr>
      <w:r>
        <w:rPr>
          <w:rFonts w:hint="eastAsia" w:ascii="宋体" w:hAnsi="宋体"/>
          <w:sz w:val="28"/>
          <w:szCs w:val="28"/>
        </w:rPr>
        <w:t>1.估价委托人仅提供了估价对象的</w:t>
      </w:r>
      <w:r>
        <w:rPr>
          <w:rFonts w:hint="eastAsia" w:ascii="宋体" w:hAnsi="宋体"/>
          <w:sz w:val="28"/>
          <w:szCs w:val="28"/>
          <w:highlight w:val="none"/>
        </w:rPr>
        <w:t>《</w:t>
      </w:r>
      <w:r>
        <w:rPr>
          <w:rFonts w:hint="eastAsia" w:ascii="宋体" w:hAnsi="宋体"/>
          <w:sz w:val="28"/>
          <w:szCs w:val="28"/>
          <w:highlight w:val="none"/>
          <w:lang w:eastAsia="zh-CN"/>
        </w:rPr>
        <w:t>内乡县人民法院委托书</w:t>
      </w:r>
      <w:r>
        <w:rPr>
          <w:rFonts w:hint="eastAsia" w:ascii="宋体" w:hAnsi="宋体"/>
          <w:sz w:val="28"/>
          <w:szCs w:val="28"/>
          <w:highlight w:val="none"/>
        </w:rPr>
        <w:t>》、《河南省</w:t>
      </w:r>
      <w:r>
        <w:rPr>
          <w:rFonts w:hint="eastAsia" w:ascii="宋体" w:hAnsi="宋体"/>
          <w:sz w:val="28"/>
          <w:szCs w:val="28"/>
          <w:highlight w:val="none"/>
          <w:lang w:eastAsia="zh-CN"/>
        </w:rPr>
        <w:t>内乡县人民法院执行</w:t>
      </w:r>
      <w:r>
        <w:rPr>
          <w:rFonts w:hint="eastAsia" w:ascii="宋体" w:hAnsi="宋体"/>
          <w:sz w:val="28"/>
          <w:szCs w:val="28"/>
          <w:highlight w:val="none"/>
        </w:rPr>
        <w:t>裁定书》、《</w:t>
      </w:r>
      <w:r>
        <w:rPr>
          <w:rFonts w:hint="eastAsia" w:ascii="宋体" w:hAnsi="宋体"/>
          <w:sz w:val="28"/>
          <w:szCs w:val="28"/>
          <w:highlight w:val="none"/>
          <w:lang w:eastAsia="zh-CN"/>
        </w:rPr>
        <w:t>房屋所有权证存根</w:t>
      </w:r>
      <w:r>
        <w:rPr>
          <w:rFonts w:hint="eastAsia" w:ascii="宋体" w:hAnsi="宋体"/>
          <w:sz w:val="28"/>
          <w:szCs w:val="28"/>
          <w:highlight w:val="none"/>
        </w:rPr>
        <w:t>》、《</w:t>
      </w:r>
      <w:r>
        <w:rPr>
          <w:rFonts w:hint="eastAsia" w:ascii="宋体" w:hAnsi="宋体"/>
          <w:sz w:val="28"/>
          <w:szCs w:val="28"/>
          <w:highlight w:val="none"/>
          <w:lang w:eastAsia="zh-CN"/>
        </w:rPr>
        <w:t>内乡县赤眉镇赤眉村民委员会证明</w:t>
      </w:r>
      <w:r>
        <w:rPr>
          <w:rFonts w:hint="eastAsia" w:ascii="宋体" w:hAnsi="宋体"/>
          <w:sz w:val="28"/>
          <w:szCs w:val="28"/>
          <w:highlight w:val="none"/>
        </w:rPr>
        <w:t>》，我们未向政府有关部门进行核实，在无理由怀疑其合法性、真实性、准确性和完整性的情况下，假定估价委托人提供的资料合法、真实、准确、完整。</w:t>
      </w:r>
    </w:p>
    <w:p>
      <w:pPr>
        <w:spacing w:line="500" w:lineRule="exact"/>
        <w:ind w:firstLine="560" w:firstLineChars="200"/>
        <w:rPr>
          <w:rFonts w:hint="eastAsia" w:ascii="宋体" w:hAnsi="宋体"/>
          <w:sz w:val="28"/>
          <w:szCs w:val="28"/>
        </w:rPr>
      </w:pPr>
      <w:r>
        <w:rPr>
          <w:rFonts w:hint="eastAsia" w:ascii="宋体" w:hAnsi="宋体"/>
          <w:sz w:val="28"/>
          <w:szCs w:val="28"/>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spacing w:line="500" w:lineRule="exact"/>
        <w:ind w:firstLine="560" w:firstLineChars="200"/>
        <w:rPr>
          <w:rFonts w:hint="eastAsia" w:ascii="宋体" w:hAnsi="宋体"/>
          <w:sz w:val="28"/>
          <w:szCs w:val="28"/>
        </w:rPr>
      </w:pPr>
      <w:r>
        <w:rPr>
          <w:rFonts w:hint="eastAsia" w:ascii="宋体" w:hAnsi="宋体"/>
          <w:sz w:val="28"/>
          <w:szCs w:val="28"/>
        </w:rPr>
        <w:t>3.注册房地产估价师未对房屋建筑面积进行专业测量，经现场查勘观察，估价对象房屋建筑面积与《</w:t>
      </w:r>
      <w:r>
        <w:rPr>
          <w:rFonts w:hint="eastAsia" w:ascii="宋体" w:hAnsi="宋体"/>
          <w:sz w:val="28"/>
          <w:szCs w:val="28"/>
          <w:highlight w:val="none"/>
          <w:lang w:eastAsia="zh-CN"/>
        </w:rPr>
        <w:t>房屋所有权证存根</w:t>
      </w:r>
      <w:r>
        <w:rPr>
          <w:rFonts w:hint="eastAsia" w:ascii="宋体" w:hAnsi="宋体"/>
          <w:sz w:val="28"/>
          <w:szCs w:val="28"/>
        </w:rPr>
        <w:t>》记载建筑面积大体相当。</w:t>
      </w:r>
    </w:p>
    <w:p>
      <w:pPr>
        <w:spacing w:line="500" w:lineRule="exact"/>
        <w:ind w:firstLine="560" w:firstLineChars="200"/>
        <w:rPr>
          <w:rFonts w:hint="eastAsia" w:ascii="宋体" w:hAnsi="宋体"/>
          <w:sz w:val="28"/>
          <w:szCs w:val="28"/>
        </w:rPr>
      </w:pPr>
      <w:r>
        <w:rPr>
          <w:rFonts w:hint="eastAsia" w:ascii="宋体" w:hAnsi="宋体"/>
          <w:sz w:val="28"/>
          <w:szCs w:val="28"/>
        </w:rPr>
        <w:t>4.估价对象在价值时点的房地产市场为公开、平等、自愿的交易市场，即能满足以下条件：</w:t>
      </w:r>
    </w:p>
    <w:p>
      <w:pPr>
        <w:spacing w:line="500" w:lineRule="exact"/>
        <w:ind w:firstLine="560" w:firstLineChars="200"/>
        <w:rPr>
          <w:rFonts w:hint="eastAsia" w:ascii="宋体" w:hAnsi="宋体"/>
          <w:sz w:val="28"/>
          <w:szCs w:val="28"/>
        </w:rPr>
      </w:pPr>
      <w:r>
        <w:rPr>
          <w:rFonts w:hint="eastAsia" w:ascii="宋体" w:hAnsi="宋体"/>
          <w:sz w:val="28"/>
          <w:szCs w:val="28"/>
        </w:rPr>
        <w:t>（1）交易双方自愿地进行交易；</w:t>
      </w:r>
    </w:p>
    <w:p>
      <w:pPr>
        <w:spacing w:line="500" w:lineRule="exact"/>
        <w:ind w:firstLine="560" w:firstLineChars="200"/>
        <w:rPr>
          <w:rFonts w:hint="eastAsia" w:ascii="宋体" w:hAnsi="宋体"/>
          <w:sz w:val="28"/>
          <w:szCs w:val="28"/>
        </w:rPr>
      </w:pPr>
      <w:r>
        <w:rPr>
          <w:rFonts w:hint="eastAsia" w:ascii="宋体" w:hAnsi="宋体"/>
          <w:sz w:val="28"/>
          <w:szCs w:val="28"/>
        </w:rPr>
        <w:t>（2）交易双方处于利己动机进行交易；</w:t>
      </w:r>
    </w:p>
    <w:p>
      <w:pPr>
        <w:spacing w:line="500" w:lineRule="exact"/>
        <w:ind w:firstLine="560" w:firstLineChars="200"/>
        <w:rPr>
          <w:rFonts w:hint="eastAsia" w:ascii="宋体" w:hAnsi="宋体"/>
          <w:sz w:val="28"/>
          <w:szCs w:val="28"/>
        </w:rPr>
      </w:pPr>
      <w:r>
        <w:rPr>
          <w:rFonts w:hint="eastAsia" w:ascii="宋体" w:hAnsi="宋体"/>
          <w:sz w:val="28"/>
          <w:szCs w:val="28"/>
        </w:rPr>
        <w:t>（3）交易双方精明、谨慎行事，并了解交易对象、知晓市场行情；</w:t>
      </w:r>
    </w:p>
    <w:p>
      <w:pPr>
        <w:spacing w:line="500" w:lineRule="exact"/>
        <w:ind w:firstLine="560" w:firstLineChars="200"/>
        <w:rPr>
          <w:rFonts w:hint="eastAsia" w:ascii="宋体" w:hAnsi="宋体"/>
          <w:sz w:val="28"/>
          <w:szCs w:val="28"/>
        </w:rPr>
      </w:pPr>
      <w:r>
        <w:rPr>
          <w:rFonts w:hint="eastAsia" w:ascii="宋体" w:hAnsi="宋体"/>
          <w:sz w:val="28"/>
          <w:szCs w:val="28"/>
        </w:rPr>
        <w:t>（4）交易双方有较充裕的时间进行交易；</w:t>
      </w:r>
    </w:p>
    <w:p>
      <w:pPr>
        <w:spacing w:line="500" w:lineRule="exact"/>
        <w:ind w:firstLine="560" w:firstLineChars="200"/>
        <w:rPr>
          <w:rFonts w:hint="eastAsia" w:ascii="宋体" w:hAnsi="宋体"/>
          <w:sz w:val="28"/>
          <w:szCs w:val="28"/>
        </w:rPr>
      </w:pPr>
      <w:r>
        <w:rPr>
          <w:rFonts w:hint="eastAsia" w:ascii="宋体" w:hAnsi="宋体"/>
          <w:sz w:val="28"/>
          <w:szCs w:val="28"/>
        </w:rPr>
        <w:t>（5）不存在买者因特殊兴趣而给予附加出价。</w:t>
      </w:r>
    </w:p>
    <w:p>
      <w:pPr>
        <w:spacing w:line="500" w:lineRule="exact"/>
        <w:ind w:firstLine="560" w:firstLineChars="200"/>
        <w:rPr>
          <w:rFonts w:hint="eastAsia" w:ascii="宋体" w:hAnsi="宋体"/>
          <w:sz w:val="28"/>
          <w:szCs w:val="28"/>
        </w:rPr>
      </w:pPr>
      <w:r>
        <w:rPr>
          <w:rFonts w:hint="eastAsia" w:ascii="宋体" w:hAnsi="宋体"/>
          <w:sz w:val="28"/>
          <w:szCs w:val="28"/>
        </w:rPr>
        <w:t>5.估价对象应享有公共部位的通行权及水电等共用设施的使用权。</w:t>
      </w:r>
    </w:p>
    <w:p>
      <w:pPr>
        <w:spacing w:line="500" w:lineRule="exact"/>
        <w:ind w:firstLine="560" w:firstLineChars="200"/>
        <w:rPr>
          <w:rFonts w:ascii="宋体" w:hAnsi="宋体"/>
          <w:sz w:val="28"/>
          <w:szCs w:val="28"/>
        </w:rPr>
      </w:pPr>
      <w:r>
        <w:rPr>
          <w:rFonts w:hint="eastAsia" w:ascii="宋体" w:hAnsi="宋体"/>
          <w:sz w:val="28"/>
          <w:szCs w:val="28"/>
        </w:rPr>
        <w:t>6.由于</w:t>
      </w:r>
      <w:r>
        <w:rPr>
          <w:rFonts w:hint="eastAsia" w:ascii="宋体" w:hAnsi="宋体"/>
          <w:sz w:val="28"/>
          <w:szCs w:val="28"/>
          <w:lang w:eastAsia="zh-CN"/>
        </w:rPr>
        <w:t>估价委托人</w:t>
      </w:r>
      <w:r>
        <w:rPr>
          <w:rFonts w:hint="eastAsia" w:ascii="宋体" w:hAnsi="宋体"/>
          <w:sz w:val="28"/>
          <w:szCs w:val="28"/>
        </w:rPr>
        <w:t>未明确</w:t>
      </w:r>
      <w:r>
        <w:rPr>
          <w:rFonts w:hint="eastAsia" w:ascii="宋体" w:hAnsi="宋体"/>
          <w:sz w:val="28"/>
          <w:szCs w:val="28"/>
          <w:lang w:eastAsia="zh-CN"/>
        </w:rPr>
        <w:t>估价对象</w:t>
      </w:r>
      <w:r>
        <w:rPr>
          <w:rFonts w:hint="eastAsia" w:ascii="宋体" w:hAnsi="宋体"/>
          <w:sz w:val="28"/>
          <w:szCs w:val="28"/>
        </w:rPr>
        <w:t>存在欠缴税金及相关费用，假定估价对象不存在欠缴税金及相关费用。</w:t>
      </w:r>
    </w:p>
    <w:p>
      <w:pPr>
        <w:spacing w:line="500" w:lineRule="exact"/>
        <w:ind w:firstLine="562" w:firstLineChars="200"/>
        <w:outlineLvl w:val="1"/>
        <w:rPr>
          <w:rFonts w:hint="eastAsia" w:ascii="宋体" w:hAnsi="宋体"/>
          <w:b/>
          <w:bCs/>
          <w:sz w:val="28"/>
          <w:szCs w:val="28"/>
        </w:rPr>
      </w:pPr>
      <w:bookmarkStart w:id="8" w:name="_Toc21744"/>
      <w:bookmarkStart w:id="9" w:name="_Toc13103"/>
      <w:bookmarkStart w:id="10" w:name="_Toc12600"/>
      <w:r>
        <w:rPr>
          <w:rFonts w:hint="eastAsia" w:ascii="宋体" w:hAnsi="宋体"/>
          <w:b/>
          <w:bCs/>
          <w:sz w:val="28"/>
          <w:szCs w:val="28"/>
        </w:rPr>
        <w:t>（二）未定事项假设</w:t>
      </w:r>
      <w:bookmarkEnd w:id="8"/>
      <w:bookmarkEnd w:id="9"/>
      <w:bookmarkEnd w:id="10"/>
    </w:p>
    <w:p>
      <w:pPr>
        <w:spacing w:line="5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估价对象无未定事项假设。</w:t>
      </w:r>
    </w:p>
    <w:p>
      <w:pPr>
        <w:spacing w:line="500" w:lineRule="exact"/>
        <w:ind w:firstLine="562" w:firstLineChars="200"/>
        <w:outlineLvl w:val="1"/>
        <w:rPr>
          <w:rFonts w:ascii="宋体" w:hAnsi="宋体"/>
          <w:b/>
          <w:bCs/>
          <w:sz w:val="28"/>
          <w:szCs w:val="28"/>
        </w:rPr>
      </w:pPr>
      <w:bookmarkStart w:id="11" w:name="_Toc17315"/>
      <w:bookmarkStart w:id="12" w:name="_Toc20288"/>
      <w:bookmarkStart w:id="13" w:name="_Toc2882"/>
      <w:r>
        <w:rPr>
          <w:rFonts w:hint="eastAsia" w:ascii="宋体" w:hAnsi="宋体"/>
          <w:b/>
          <w:bCs/>
          <w:sz w:val="28"/>
          <w:szCs w:val="28"/>
        </w:rPr>
        <w:t>（三）背离事实假设</w:t>
      </w:r>
      <w:bookmarkEnd w:id="11"/>
      <w:bookmarkEnd w:id="12"/>
      <w:bookmarkEnd w:id="13"/>
    </w:p>
    <w:p>
      <w:pPr>
        <w:spacing w:line="500" w:lineRule="exact"/>
        <w:ind w:firstLine="560" w:firstLineChars="200"/>
        <w:rPr>
          <w:rFonts w:hint="eastAsia" w:ascii="宋体" w:hAnsi="宋体"/>
          <w:bCs/>
          <w:sz w:val="28"/>
          <w:szCs w:val="28"/>
          <w:highlight w:val="none"/>
        </w:rPr>
      </w:pPr>
      <w:bookmarkStart w:id="14" w:name="_Toc31830"/>
      <w:r>
        <w:rPr>
          <w:rFonts w:hint="eastAsia" w:ascii="宋体" w:hAnsi="宋体"/>
          <w:bCs/>
          <w:sz w:val="28"/>
          <w:szCs w:val="28"/>
          <w:highlight w:val="none"/>
        </w:rPr>
        <w:t>根据估价目的</w:t>
      </w:r>
      <w:r>
        <w:rPr>
          <w:rFonts w:hint="eastAsia" w:ascii="宋体" w:hAnsi="宋体"/>
          <w:bCs/>
          <w:sz w:val="28"/>
          <w:szCs w:val="28"/>
          <w:highlight w:val="none"/>
          <w:lang w:eastAsia="zh-CN"/>
        </w:rPr>
        <w:t>，</w:t>
      </w:r>
      <w:r>
        <w:rPr>
          <w:rFonts w:hint="eastAsia" w:ascii="宋体" w:hAnsi="宋体"/>
          <w:bCs/>
          <w:sz w:val="28"/>
          <w:szCs w:val="28"/>
          <w:highlight w:val="none"/>
        </w:rPr>
        <w:t>本次估价不考虑估价对象上原有的担保物权、其他优先 受偿权及查封因素对估价对象价值的影响。</w:t>
      </w:r>
    </w:p>
    <w:p>
      <w:pPr>
        <w:spacing w:line="500" w:lineRule="exact"/>
        <w:ind w:firstLine="562" w:firstLineChars="200"/>
        <w:outlineLvl w:val="1"/>
        <w:rPr>
          <w:rFonts w:hint="eastAsia" w:ascii="宋体" w:hAnsi="宋体"/>
          <w:b/>
          <w:bCs/>
          <w:sz w:val="28"/>
          <w:szCs w:val="28"/>
        </w:rPr>
      </w:pPr>
      <w:bookmarkStart w:id="15" w:name="_Toc14277"/>
      <w:bookmarkStart w:id="16" w:name="_Toc19919"/>
      <w:r>
        <w:rPr>
          <w:rFonts w:hint="eastAsia" w:ascii="宋体" w:hAnsi="宋体"/>
          <w:b/>
          <w:bCs/>
          <w:sz w:val="28"/>
          <w:szCs w:val="28"/>
        </w:rPr>
        <w:t>（四）不相一致假设</w:t>
      </w:r>
      <w:bookmarkEnd w:id="14"/>
      <w:bookmarkEnd w:id="15"/>
      <w:bookmarkEnd w:id="16"/>
    </w:p>
    <w:p>
      <w:pPr>
        <w:spacing w:line="500" w:lineRule="exact"/>
        <w:ind w:firstLine="560" w:firstLineChars="200"/>
        <w:rPr>
          <w:rFonts w:hint="eastAsia" w:ascii="宋体" w:hAnsi="宋体"/>
          <w:sz w:val="28"/>
          <w:szCs w:val="28"/>
          <w:lang w:eastAsia="zh-CN"/>
        </w:rPr>
      </w:pPr>
      <w:r>
        <w:rPr>
          <w:rFonts w:hint="eastAsia" w:ascii="宋体" w:hAnsi="宋体"/>
          <w:sz w:val="28"/>
          <w:szCs w:val="28"/>
          <w:lang w:eastAsia="zh-CN"/>
        </w:rPr>
        <w:t>估价对象无不相一致假设。</w:t>
      </w:r>
    </w:p>
    <w:p>
      <w:pPr>
        <w:numPr>
          <w:ilvl w:val="0"/>
          <w:numId w:val="1"/>
        </w:numPr>
        <w:spacing w:line="500" w:lineRule="exact"/>
        <w:ind w:firstLine="562" w:firstLineChars="200"/>
        <w:outlineLvl w:val="1"/>
        <w:rPr>
          <w:rFonts w:hint="eastAsia" w:ascii="宋体" w:hAnsi="宋体"/>
          <w:b/>
          <w:bCs/>
          <w:sz w:val="28"/>
          <w:szCs w:val="28"/>
        </w:rPr>
      </w:pPr>
      <w:bookmarkStart w:id="17" w:name="_Toc10319"/>
      <w:bookmarkStart w:id="18" w:name="_Toc26227"/>
      <w:bookmarkStart w:id="19" w:name="_Toc22751"/>
      <w:r>
        <w:rPr>
          <w:rFonts w:hint="eastAsia" w:ascii="宋体" w:hAnsi="宋体"/>
          <w:b/>
          <w:bCs/>
          <w:sz w:val="28"/>
          <w:szCs w:val="28"/>
        </w:rPr>
        <w:t>依据不足假设</w:t>
      </w:r>
      <w:bookmarkEnd w:id="17"/>
      <w:bookmarkEnd w:id="18"/>
      <w:bookmarkEnd w:id="19"/>
    </w:p>
    <w:p>
      <w:pPr>
        <w:spacing w:line="480" w:lineRule="exact"/>
        <w:ind w:firstLine="560" w:firstLineChars="200"/>
        <w:rPr>
          <w:rFonts w:hint="eastAsia"/>
          <w:sz w:val="28"/>
          <w:szCs w:val="28"/>
        </w:rPr>
      </w:pPr>
      <w:r>
        <w:rPr>
          <w:rFonts w:hint="eastAsia" w:ascii="宋体" w:hAnsi="宋体"/>
          <w:sz w:val="28"/>
          <w:szCs w:val="28"/>
          <w:lang w:eastAsia="zh-CN"/>
        </w:rPr>
        <w:t>估价委托人提供的估价对象资料</w:t>
      </w:r>
      <w:r>
        <w:rPr>
          <w:rFonts w:hint="eastAsia" w:ascii="宋体" w:hAnsi="宋体"/>
          <w:sz w:val="28"/>
          <w:szCs w:val="28"/>
        </w:rPr>
        <w:t>未</w:t>
      </w:r>
      <w:r>
        <w:rPr>
          <w:rFonts w:hint="eastAsia" w:ascii="宋体" w:hAnsi="宋体"/>
          <w:sz w:val="28"/>
          <w:szCs w:val="28"/>
          <w:lang w:eastAsia="zh-CN"/>
        </w:rPr>
        <w:t>显示</w:t>
      </w:r>
      <w:r>
        <w:rPr>
          <w:rFonts w:hint="eastAsia" w:ascii="宋体" w:hAnsi="宋体"/>
          <w:sz w:val="28"/>
          <w:szCs w:val="28"/>
        </w:rPr>
        <w:t>估价对象房屋的建成年份，经注册房地产估价师实地调查，房屋建成年份为</w:t>
      </w:r>
      <w:r>
        <w:rPr>
          <w:rFonts w:hint="eastAsia" w:ascii="宋体" w:hAnsi="宋体"/>
          <w:sz w:val="28"/>
          <w:szCs w:val="28"/>
          <w:lang w:val="en-US" w:eastAsia="zh-CN"/>
        </w:rPr>
        <w:t>1992</w:t>
      </w:r>
      <w:r>
        <w:rPr>
          <w:rFonts w:hint="eastAsia" w:ascii="宋体" w:hAnsi="宋体"/>
          <w:sz w:val="28"/>
          <w:szCs w:val="28"/>
        </w:rPr>
        <w:t>年，本次估价房屋建成年份以实际调查为准</w:t>
      </w:r>
      <w:r>
        <w:rPr>
          <w:rFonts w:hint="eastAsia"/>
          <w:sz w:val="28"/>
          <w:szCs w:val="28"/>
        </w:rPr>
        <w:t>。</w:t>
      </w:r>
    </w:p>
    <w:p>
      <w:pPr>
        <w:spacing w:line="500" w:lineRule="exact"/>
        <w:ind w:firstLine="562" w:firstLineChars="200"/>
        <w:outlineLvl w:val="1"/>
        <w:rPr>
          <w:rFonts w:hint="eastAsia" w:ascii="宋体" w:hAnsi="宋体"/>
          <w:b/>
          <w:bCs/>
          <w:sz w:val="28"/>
          <w:szCs w:val="28"/>
        </w:rPr>
      </w:pPr>
      <w:bookmarkStart w:id="20" w:name="_Toc32576"/>
      <w:bookmarkStart w:id="21" w:name="_Toc27381"/>
      <w:bookmarkStart w:id="22" w:name="_Toc634"/>
      <w:r>
        <w:rPr>
          <w:rFonts w:hint="eastAsia" w:ascii="宋体" w:hAnsi="宋体"/>
          <w:b/>
          <w:bCs/>
          <w:sz w:val="28"/>
          <w:szCs w:val="28"/>
        </w:rPr>
        <w:t>（六）本估价报告使用的限制条件</w:t>
      </w:r>
      <w:bookmarkEnd w:id="20"/>
      <w:bookmarkEnd w:id="21"/>
      <w:bookmarkEnd w:id="22"/>
    </w:p>
    <w:p>
      <w:pPr>
        <w:spacing w:line="480" w:lineRule="exact"/>
        <w:ind w:firstLine="560" w:firstLineChars="200"/>
        <w:rPr>
          <w:rFonts w:hint="eastAsia" w:ascii="宋体" w:hAnsi="宋体"/>
          <w:sz w:val="28"/>
          <w:szCs w:val="28"/>
        </w:rPr>
      </w:pPr>
      <w:r>
        <w:rPr>
          <w:rFonts w:ascii="宋体" w:hAnsi="宋体"/>
          <w:sz w:val="28"/>
          <w:szCs w:val="28"/>
        </w:rPr>
        <w:t>1.</w:t>
      </w:r>
      <w:r>
        <w:rPr>
          <w:rFonts w:hint="eastAsia"/>
          <w:sz w:val="28"/>
          <w:szCs w:val="28"/>
        </w:rPr>
        <w:t>本估价报告仅为人民法院确定财产处置参考价提供参考依据</w:t>
      </w:r>
      <w:r>
        <w:rPr>
          <w:rFonts w:hint="eastAsia" w:ascii="宋体" w:hAnsi="宋体"/>
          <w:sz w:val="28"/>
          <w:szCs w:val="28"/>
        </w:rPr>
        <w:t>时使用</w:t>
      </w:r>
      <w:r>
        <w:rPr>
          <w:rFonts w:hint="eastAsia"/>
          <w:sz w:val="28"/>
          <w:szCs w:val="28"/>
        </w:rPr>
        <w:t>，不做它用。本估价报告书必须完整使用，对仅使用其中部分内容所导致的损失，我们不承担责任</w:t>
      </w:r>
      <w:r>
        <w:rPr>
          <w:rFonts w:hint="eastAsia" w:ascii="宋体" w:hAnsi="宋体"/>
          <w:sz w:val="28"/>
          <w:szCs w:val="28"/>
        </w:rPr>
        <w:t>。</w:t>
      </w:r>
    </w:p>
    <w:p>
      <w:pPr>
        <w:spacing w:line="480" w:lineRule="exact"/>
        <w:ind w:firstLine="560" w:firstLineChars="200"/>
        <w:rPr>
          <w:rFonts w:hint="eastAsia" w:ascii="宋体" w:hAnsi="宋体"/>
          <w:sz w:val="28"/>
          <w:szCs w:val="28"/>
        </w:rPr>
      </w:pPr>
      <w:r>
        <w:rPr>
          <w:rFonts w:hint="eastAsia" w:ascii="宋体" w:hAnsi="宋体"/>
          <w:sz w:val="28"/>
          <w:szCs w:val="28"/>
        </w:rPr>
        <w:t>2.本次估价考虑的是价值时点的市场价值，无法提前准确考虑将来可能的变现之日对房地产价值的影响因素，包括国家宏观经济政策有无重大变化、是否遇有自然力破坏和其他不可抗力等因素，以及特殊交易方式下的特殊交易价格等对评估价值的影响，所做的分析系依据常规经验做出的判断，仅供参考。</w:t>
      </w:r>
    </w:p>
    <w:p>
      <w:pPr>
        <w:spacing w:line="480" w:lineRule="exact"/>
        <w:ind w:firstLine="560" w:firstLineChars="200"/>
        <w:rPr>
          <w:rFonts w:hint="eastAsia" w:ascii="宋体" w:hAnsi="宋体"/>
          <w:sz w:val="28"/>
          <w:szCs w:val="28"/>
        </w:rPr>
      </w:pPr>
      <w:r>
        <w:rPr>
          <w:rFonts w:hint="eastAsia" w:ascii="宋体" w:hAnsi="宋体"/>
          <w:sz w:val="28"/>
          <w:szCs w:val="28"/>
        </w:rPr>
        <w:t>3.</w:t>
      </w:r>
      <w:r>
        <w:rPr>
          <w:rFonts w:hint="eastAsia" w:ascii="宋体" w:hAnsi="宋体"/>
          <w:bCs/>
          <w:sz w:val="28"/>
          <w:szCs w:val="28"/>
        </w:rPr>
        <w:t>本报告的</w:t>
      </w:r>
      <w:r>
        <w:rPr>
          <w:rFonts w:ascii="宋体" w:hAnsi="宋体"/>
          <w:bCs/>
          <w:sz w:val="28"/>
          <w:szCs w:val="28"/>
        </w:rPr>
        <w:t>估价结果</w:t>
      </w:r>
      <w:r>
        <w:rPr>
          <w:rFonts w:hint="eastAsia" w:ascii="宋体" w:hAnsi="宋体"/>
          <w:bCs/>
          <w:sz w:val="28"/>
          <w:szCs w:val="28"/>
        </w:rPr>
        <w:t>不</w:t>
      </w:r>
      <w:r>
        <w:rPr>
          <w:rFonts w:ascii="宋体" w:hAnsi="宋体"/>
          <w:bCs/>
          <w:sz w:val="28"/>
          <w:szCs w:val="28"/>
        </w:rPr>
        <w:t>包</w:t>
      </w:r>
      <w:r>
        <w:rPr>
          <w:rFonts w:hint="eastAsia" w:ascii="宋体" w:hAnsi="宋体"/>
          <w:bCs/>
          <w:sz w:val="28"/>
          <w:szCs w:val="28"/>
        </w:rPr>
        <w:t>含估价</w:t>
      </w:r>
      <w:r>
        <w:rPr>
          <w:rFonts w:ascii="宋体" w:hAnsi="宋体"/>
          <w:bCs/>
          <w:sz w:val="28"/>
          <w:szCs w:val="28"/>
        </w:rPr>
        <w:t>对象</w:t>
      </w:r>
      <w:r>
        <w:rPr>
          <w:rFonts w:hint="eastAsia" w:ascii="宋体" w:hAnsi="宋体"/>
          <w:bCs/>
          <w:sz w:val="28"/>
          <w:szCs w:val="28"/>
        </w:rPr>
        <w:t>可能</w:t>
      </w:r>
      <w:r>
        <w:rPr>
          <w:rFonts w:ascii="宋体" w:hAnsi="宋体"/>
          <w:bCs/>
          <w:sz w:val="28"/>
          <w:szCs w:val="28"/>
        </w:rPr>
        <w:t>所欠的</w:t>
      </w:r>
      <w:r>
        <w:rPr>
          <w:rFonts w:hint="eastAsia" w:ascii="宋体" w:hAnsi="宋体"/>
          <w:bCs/>
          <w:sz w:val="28"/>
          <w:szCs w:val="28"/>
        </w:rPr>
        <w:t>物业</w:t>
      </w:r>
      <w:r>
        <w:rPr>
          <w:rFonts w:ascii="宋体" w:hAnsi="宋体"/>
          <w:bCs/>
          <w:sz w:val="28"/>
          <w:szCs w:val="28"/>
        </w:rPr>
        <w:t>费</w:t>
      </w:r>
      <w:r>
        <w:rPr>
          <w:rFonts w:hint="eastAsia" w:ascii="宋体" w:hAnsi="宋体"/>
          <w:bCs/>
          <w:sz w:val="28"/>
          <w:szCs w:val="28"/>
        </w:rPr>
        <w:t>、</w:t>
      </w:r>
      <w:r>
        <w:rPr>
          <w:rFonts w:ascii="宋体" w:hAnsi="宋体"/>
          <w:bCs/>
          <w:sz w:val="28"/>
          <w:szCs w:val="28"/>
        </w:rPr>
        <w:t>水电费</w:t>
      </w:r>
      <w:r>
        <w:rPr>
          <w:rFonts w:hint="eastAsia" w:ascii="宋体" w:hAnsi="宋体"/>
          <w:bCs/>
          <w:sz w:val="28"/>
          <w:szCs w:val="28"/>
        </w:rPr>
        <w:t>、</w:t>
      </w:r>
      <w:r>
        <w:rPr>
          <w:rFonts w:ascii="宋体" w:hAnsi="宋体"/>
          <w:bCs/>
          <w:sz w:val="28"/>
          <w:szCs w:val="28"/>
        </w:rPr>
        <w:t>天然气</w:t>
      </w:r>
      <w:r>
        <w:rPr>
          <w:rFonts w:hint="eastAsia" w:ascii="宋体" w:hAnsi="宋体"/>
          <w:bCs/>
          <w:sz w:val="28"/>
          <w:szCs w:val="28"/>
        </w:rPr>
        <w:t>费</w:t>
      </w:r>
      <w:r>
        <w:rPr>
          <w:rFonts w:ascii="宋体" w:hAnsi="宋体"/>
          <w:bCs/>
          <w:sz w:val="28"/>
          <w:szCs w:val="28"/>
        </w:rPr>
        <w:t>等</w:t>
      </w:r>
      <w:r>
        <w:rPr>
          <w:rFonts w:hint="eastAsia" w:ascii="宋体" w:hAnsi="宋体"/>
          <w:bCs/>
          <w:sz w:val="28"/>
          <w:szCs w:val="28"/>
        </w:rPr>
        <w:t>，</w:t>
      </w:r>
      <w:r>
        <w:rPr>
          <w:rFonts w:ascii="宋体" w:hAnsi="宋体"/>
          <w:bCs/>
          <w:sz w:val="28"/>
          <w:szCs w:val="28"/>
        </w:rPr>
        <w:t>以</w:t>
      </w:r>
      <w:r>
        <w:rPr>
          <w:rFonts w:hint="eastAsia" w:ascii="宋体" w:hAnsi="宋体"/>
          <w:bCs/>
          <w:sz w:val="28"/>
          <w:szCs w:val="28"/>
        </w:rPr>
        <w:t>及在房屋</w:t>
      </w:r>
      <w:r>
        <w:rPr>
          <w:rFonts w:ascii="宋体" w:hAnsi="宋体"/>
          <w:bCs/>
          <w:sz w:val="28"/>
          <w:szCs w:val="28"/>
        </w:rPr>
        <w:t>交易过</w:t>
      </w:r>
      <w:r>
        <w:rPr>
          <w:rFonts w:hint="eastAsia" w:ascii="宋体" w:hAnsi="宋体"/>
          <w:bCs/>
          <w:sz w:val="28"/>
          <w:szCs w:val="28"/>
        </w:rPr>
        <w:t>程</w:t>
      </w:r>
      <w:r>
        <w:rPr>
          <w:rFonts w:ascii="宋体" w:hAnsi="宋体"/>
          <w:bCs/>
          <w:sz w:val="28"/>
          <w:szCs w:val="28"/>
        </w:rPr>
        <w:t>中发</w:t>
      </w:r>
      <w:r>
        <w:rPr>
          <w:rFonts w:hint="eastAsia" w:ascii="宋体" w:hAnsi="宋体"/>
          <w:bCs/>
          <w:sz w:val="28"/>
          <w:szCs w:val="28"/>
        </w:rPr>
        <w:t>生</w:t>
      </w:r>
      <w:r>
        <w:rPr>
          <w:rFonts w:ascii="宋体" w:hAnsi="宋体"/>
          <w:bCs/>
          <w:sz w:val="28"/>
          <w:szCs w:val="28"/>
        </w:rPr>
        <w:t>的</w:t>
      </w:r>
      <w:r>
        <w:rPr>
          <w:rFonts w:hint="eastAsia" w:ascii="宋体" w:hAnsi="宋体"/>
          <w:bCs/>
          <w:sz w:val="28"/>
          <w:szCs w:val="28"/>
        </w:rPr>
        <w:t>拍卖佣金、诉讼费、营业税及附加、印花税、交易手续费等</w:t>
      </w:r>
      <w:r>
        <w:rPr>
          <w:rFonts w:ascii="宋体" w:hAnsi="宋体"/>
          <w:bCs/>
          <w:sz w:val="28"/>
          <w:szCs w:val="28"/>
        </w:rPr>
        <w:t>相关税费</w:t>
      </w:r>
      <w:r>
        <w:rPr>
          <w:rFonts w:hint="eastAsia" w:ascii="宋体" w:hAnsi="宋体"/>
          <w:bCs/>
          <w:sz w:val="28"/>
          <w:szCs w:val="28"/>
        </w:rPr>
        <w:t>。</w:t>
      </w:r>
    </w:p>
    <w:p>
      <w:pPr>
        <w:spacing w:line="480" w:lineRule="exact"/>
        <w:ind w:firstLine="560" w:firstLineChars="200"/>
        <w:rPr>
          <w:sz w:val="28"/>
          <w:szCs w:val="28"/>
        </w:rPr>
      </w:pPr>
      <w:r>
        <w:rPr>
          <w:rFonts w:hint="eastAsia" w:ascii="宋体" w:hAnsi="宋体"/>
          <w:bCs/>
          <w:sz w:val="28"/>
          <w:szCs w:val="28"/>
        </w:rPr>
        <w:t>4</w:t>
      </w:r>
      <w:r>
        <w:rPr>
          <w:rFonts w:ascii="宋体" w:hAnsi="宋体"/>
          <w:bCs/>
          <w:sz w:val="28"/>
          <w:szCs w:val="28"/>
        </w:rPr>
        <w:t>.</w:t>
      </w:r>
      <w:r>
        <w:rPr>
          <w:rFonts w:hint="eastAsia" w:ascii="宋体" w:hAnsi="宋体"/>
          <w:bCs/>
          <w:sz w:val="28"/>
          <w:szCs w:val="28"/>
        </w:rPr>
        <w:t>本估价报告专为估价委托人所使用，未经本公司同意，不得向估价委托人和估价报告审查部门之外的单位和个人提供。报告的全部或部分内容不得发表于任何公开媒体上</w:t>
      </w:r>
      <w:r>
        <w:rPr>
          <w:rFonts w:hint="eastAsia"/>
          <w:sz w:val="28"/>
          <w:szCs w:val="28"/>
        </w:rPr>
        <w:t>。</w:t>
      </w:r>
    </w:p>
    <w:p>
      <w:pPr>
        <w:spacing w:line="480" w:lineRule="exact"/>
        <w:ind w:firstLine="560" w:firstLineChars="200"/>
        <w:rPr>
          <w:rFonts w:hint="eastAsia" w:ascii="宋体" w:hAnsi="宋体" w:eastAsia="宋体" w:cs="Times New Roman"/>
          <w:bCs/>
          <w:sz w:val="28"/>
          <w:szCs w:val="28"/>
        </w:rPr>
      </w:pPr>
      <w:r>
        <w:rPr>
          <w:rFonts w:hint="eastAsia" w:ascii="宋体" w:hAnsi="宋体"/>
          <w:bCs/>
          <w:sz w:val="28"/>
          <w:szCs w:val="28"/>
        </w:rPr>
        <w:t>5.报告的使用期限为一年。</w:t>
      </w:r>
      <w:r>
        <w:rPr>
          <w:rFonts w:hint="eastAsia" w:ascii="宋体" w:hAnsi="宋体" w:eastAsia="宋体" w:cs="Times New Roman"/>
          <w:bCs/>
          <w:sz w:val="28"/>
          <w:szCs w:val="28"/>
          <w:highlight w:val="none"/>
        </w:rPr>
        <w:t>即202</w:t>
      </w:r>
      <w:r>
        <w:rPr>
          <w:rFonts w:hint="eastAsia" w:ascii="宋体" w:hAnsi="宋体" w:cs="Times New Roman"/>
          <w:bCs/>
          <w:sz w:val="28"/>
          <w:szCs w:val="28"/>
          <w:highlight w:val="none"/>
          <w:lang w:val="en-US" w:eastAsia="zh-CN"/>
        </w:rPr>
        <w:t>2</w:t>
      </w:r>
      <w:r>
        <w:rPr>
          <w:rFonts w:hint="eastAsia" w:ascii="宋体" w:hAnsi="宋体" w:eastAsia="宋体" w:cs="Times New Roman"/>
          <w:bCs/>
          <w:sz w:val="28"/>
          <w:szCs w:val="28"/>
          <w:highlight w:val="none"/>
        </w:rPr>
        <w:t>年</w:t>
      </w:r>
      <w:r>
        <w:rPr>
          <w:rFonts w:hint="eastAsia" w:ascii="宋体" w:hAnsi="宋体" w:cs="Times New Roman"/>
          <w:bCs/>
          <w:sz w:val="28"/>
          <w:szCs w:val="28"/>
          <w:highlight w:val="none"/>
          <w:lang w:val="en-US" w:eastAsia="zh-CN"/>
        </w:rPr>
        <w:t>6</w:t>
      </w:r>
      <w:r>
        <w:rPr>
          <w:rFonts w:hint="eastAsia" w:ascii="宋体" w:hAnsi="宋体" w:eastAsia="宋体" w:cs="Times New Roman"/>
          <w:bCs/>
          <w:sz w:val="28"/>
          <w:szCs w:val="28"/>
          <w:highlight w:val="none"/>
        </w:rPr>
        <w:t>月</w:t>
      </w:r>
      <w:r>
        <w:rPr>
          <w:rFonts w:hint="eastAsia" w:ascii="宋体" w:hAnsi="宋体" w:cs="Times New Roman"/>
          <w:bCs/>
          <w:sz w:val="28"/>
          <w:szCs w:val="28"/>
          <w:highlight w:val="none"/>
          <w:lang w:val="en-US" w:eastAsia="zh-CN"/>
        </w:rPr>
        <w:t>10</w:t>
      </w:r>
      <w:r>
        <w:rPr>
          <w:rFonts w:hint="eastAsia" w:ascii="宋体" w:hAnsi="宋体" w:eastAsia="宋体" w:cs="Times New Roman"/>
          <w:bCs/>
          <w:sz w:val="28"/>
          <w:szCs w:val="28"/>
          <w:highlight w:val="none"/>
        </w:rPr>
        <w:t>日至202</w:t>
      </w:r>
      <w:r>
        <w:rPr>
          <w:rFonts w:hint="eastAsia" w:ascii="宋体" w:hAnsi="宋体" w:cs="Times New Roman"/>
          <w:bCs/>
          <w:sz w:val="28"/>
          <w:szCs w:val="28"/>
          <w:highlight w:val="none"/>
          <w:lang w:val="en-US" w:eastAsia="zh-CN"/>
        </w:rPr>
        <w:t>3</w:t>
      </w:r>
      <w:r>
        <w:rPr>
          <w:rFonts w:hint="eastAsia" w:ascii="宋体" w:hAnsi="宋体" w:eastAsia="宋体" w:cs="Times New Roman"/>
          <w:bCs/>
          <w:sz w:val="28"/>
          <w:szCs w:val="28"/>
          <w:highlight w:val="none"/>
        </w:rPr>
        <w:t>年</w:t>
      </w:r>
      <w:r>
        <w:rPr>
          <w:rFonts w:hint="eastAsia" w:ascii="宋体" w:hAnsi="宋体" w:cs="Times New Roman"/>
          <w:bCs/>
          <w:sz w:val="28"/>
          <w:szCs w:val="28"/>
          <w:highlight w:val="none"/>
          <w:lang w:val="en-US" w:eastAsia="zh-CN"/>
        </w:rPr>
        <w:t>6</w:t>
      </w:r>
      <w:r>
        <w:rPr>
          <w:rFonts w:hint="eastAsia" w:ascii="宋体" w:hAnsi="宋体" w:eastAsia="宋体" w:cs="Times New Roman"/>
          <w:bCs/>
          <w:sz w:val="28"/>
          <w:szCs w:val="28"/>
          <w:highlight w:val="none"/>
        </w:rPr>
        <w:t>月</w:t>
      </w:r>
      <w:r>
        <w:rPr>
          <w:rFonts w:hint="eastAsia" w:ascii="宋体" w:hAnsi="宋体" w:cs="Times New Roman"/>
          <w:bCs/>
          <w:sz w:val="28"/>
          <w:szCs w:val="28"/>
          <w:highlight w:val="none"/>
          <w:lang w:val="en-US" w:eastAsia="zh-CN"/>
        </w:rPr>
        <w:t>9</w:t>
      </w:r>
      <w:r>
        <w:rPr>
          <w:rFonts w:hint="eastAsia" w:ascii="宋体" w:hAnsi="宋体" w:eastAsia="宋体" w:cs="Times New Roman"/>
          <w:bCs/>
          <w:sz w:val="28"/>
          <w:szCs w:val="28"/>
          <w:highlight w:val="none"/>
        </w:rPr>
        <w:t>日，</w:t>
      </w:r>
      <w:r>
        <w:rPr>
          <w:rFonts w:hint="eastAsia" w:ascii="宋体" w:hAnsi="宋体" w:eastAsia="宋体" w:cs="Times New Roman"/>
          <w:bCs/>
          <w:sz w:val="28"/>
          <w:szCs w:val="28"/>
        </w:rPr>
        <w:t>若报告使用期限内，房地产市场或估价对象状况发生重大变化，估价结果需做相应调整或委托房地产估价机构重新估价。</w:t>
      </w:r>
    </w:p>
    <w:p>
      <w:pPr>
        <w:spacing w:line="480" w:lineRule="exact"/>
        <w:ind w:firstLine="560" w:firstLineChars="200"/>
        <w:rPr>
          <w:rFonts w:hint="eastAsia" w:ascii="宋体" w:hAnsi="宋体"/>
          <w:bCs/>
          <w:sz w:val="28"/>
          <w:szCs w:val="28"/>
        </w:rPr>
      </w:pPr>
      <w:r>
        <w:rPr>
          <w:rFonts w:hint="eastAsia" w:ascii="宋体" w:hAnsi="宋体"/>
          <w:bCs/>
          <w:sz w:val="28"/>
          <w:szCs w:val="28"/>
          <w:lang w:val="en-US" w:eastAsia="zh-CN"/>
        </w:rPr>
        <w:t>6</w:t>
      </w:r>
      <w:r>
        <w:rPr>
          <w:rFonts w:hint="eastAsia" w:ascii="宋体" w:hAnsi="宋体"/>
          <w:bCs/>
          <w:sz w:val="28"/>
          <w:szCs w:val="28"/>
        </w:rPr>
        <w:t>.本报告数据全部采用电算化连续计算得出，可能出现个别等式左右不完全相等的情况，但不影响计算结果及最终估价结论的准确性。</w:t>
      </w:r>
    </w:p>
    <w:p>
      <w:pPr>
        <w:spacing w:line="480" w:lineRule="exact"/>
        <w:ind w:firstLine="560" w:firstLineChars="200"/>
        <w:rPr>
          <w:rFonts w:hint="eastAsia" w:ascii="宋体" w:hAnsi="宋体"/>
          <w:bCs/>
          <w:sz w:val="28"/>
          <w:szCs w:val="28"/>
        </w:rPr>
      </w:pPr>
      <w:r>
        <w:rPr>
          <w:rFonts w:hint="eastAsia" w:ascii="宋体" w:hAnsi="宋体"/>
          <w:bCs/>
          <w:sz w:val="28"/>
          <w:szCs w:val="28"/>
          <w:lang w:val="en-US" w:eastAsia="zh-CN"/>
        </w:rPr>
        <w:t>7</w:t>
      </w:r>
      <w:r>
        <w:rPr>
          <w:rFonts w:hint="eastAsia" w:ascii="宋体" w:hAnsi="宋体"/>
          <w:bCs/>
          <w:sz w:val="28"/>
          <w:szCs w:val="28"/>
        </w:rPr>
        <w:t>.本报告由河南开来房地产评估咨询有限公司负责解释。</w:t>
      </w:r>
    </w:p>
    <w:p>
      <w:pPr>
        <w:spacing w:line="600" w:lineRule="exact"/>
        <w:rPr>
          <w:rFonts w:hint="eastAsia" w:ascii="宋体" w:hAnsi="宋体"/>
          <w:sz w:val="28"/>
          <w:szCs w:val="28"/>
        </w:rPr>
        <w:sectPr>
          <w:pgSz w:w="11906" w:h="16838"/>
          <w:pgMar w:top="1418" w:right="1134" w:bottom="1247" w:left="1134" w:header="851" w:footer="765" w:gutter="397"/>
          <w:cols w:space="720" w:num="1"/>
          <w:docGrid w:type="lines" w:linePitch="312" w:charSpace="0"/>
        </w:sectPr>
      </w:pPr>
    </w:p>
    <w:p>
      <w:pPr>
        <w:pStyle w:val="2"/>
        <w:spacing w:before="312" w:beforeLines="100" w:after="312" w:afterLines="100" w:line="600" w:lineRule="exact"/>
        <w:jc w:val="center"/>
        <w:rPr>
          <w:rFonts w:hint="eastAsia" w:ascii="宋体" w:hAnsi="宋体"/>
          <w:sz w:val="32"/>
          <w:szCs w:val="32"/>
        </w:rPr>
      </w:pPr>
      <w:bookmarkStart w:id="23" w:name="_Toc3746"/>
      <w:bookmarkStart w:id="24" w:name="_Toc275767913"/>
      <w:r>
        <w:rPr>
          <w:rFonts w:hint="eastAsia" w:ascii="宋体" w:hAnsi="宋体"/>
          <w:sz w:val="32"/>
          <w:szCs w:val="32"/>
        </w:rPr>
        <w:t>三、估价结果报告</w:t>
      </w:r>
      <w:bookmarkEnd w:id="23"/>
      <w:bookmarkEnd w:id="24"/>
    </w:p>
    <w:p>
      <w:pPr>
        <w:pStyle w:val="3"/>
        <w:spacing w:before="156" w:beforeLines="50" w:after="156" w:afterLines="50"/>
        <w:ind w:firstLine="551" w:firstLineChars="196"/>
        <w:rPr>
          <w:rFonts w:hint="eastAsia" w:ascii="宋体" w:hAnsi="宋体"/>
          <w:szCs w:val="28"/>
        </w:rPr>
      </w:pPr>
      <w:bookmarkStart w:id="25" w:name="_Toc275767914"/>
      <w:bookmarkStart w:id="26" w:name="_Toc51"/>
      <w:r>
        <w:rPr>
          <w:rFonts w:hint="eastAsia" w:ascii="宋体" w:hAnsi="宋体"/>
          <w:szCs w:val="28"/>
        </w:rPr>
        <w:t>（</w:t>
      </w:r>
      <w:r>
        <w:rPr>
          <w:rFonts w:hint="eastAsia"/>
        </w:rPr>
        <w:t>一）估价委托人</w:t>
      </w:r>
      <w:bookmarkEnd w:id="25"/>
      <w:bookmarkEnd w:id="26"/>
    </w:p>
    <w:p>
      <w:pPr>
        <w:spacing w:line="540" w:lineRule="exact"/>
        <w:ind w:firstLine="548" w:firstLineChars="196"/>
        <w:rPr>
          <w:rFonts w:hint="eastAsia"/>
          <w:sz w:val="28"/>
          <w:szCs w:val="28"/>
        </w:rPr>
      </w:pPr>
      <w:bookmarkStart w:id="27" w:name="_Toc275767915"/>
      <w:r>
        <w:rPr>
          <w:rFonts w:hint="eastAsia" w:ascii="宋体" w:hAnsi="宋体"/>
          <w:sz w:val="28"/>
          <w:szCs w:val="28"/>
          <w:lang w:eastAsia="zh-CN"/>
        </w:rPr>
        <w:t>名称：</w:t>
      </w:r>
      <w:r>
        <w:rPr>
          <w:rFonts w:ascii="宋体" w:hAnsi="宋体"/>
          <w:sz w:val="28"/>
          <w:szCs w:val="28"/>
        </w:rPr>
        <w:t>内乡县人民法院</w:t>
      </w:r>
    </w:p>
    <w:p>
      <w:pPr>
        <w:pStyle w:val="3"/>
        <w:spacing w:before="156" w:beforeLines="50" w:after="156" w:afterLines="50"/>
        <w:ind w:firstLine="551" w:firstLineChars="196"/>
        <w:rPr>
          <w:rFonts w:hint="eastAsia" w:ascii="宋体" w:hAnsi="宋体"/>
          <w:szCs w:val="28"/>
        </w:rPr>
      </w:pPr>
      <w:bookmarkStart w:id="28" w:name="_Toc5778"/>
      <w:r>
        <w:rPr>
          <w:rFonts w:hint="eastAsia" w:ascii="宋体" w:hAnsi="宋体"/>
          <w:szCs w:val="28"/>
        </w:rPr>
        <w:t>（二）房地产估价机构</w:t>
      </w:r>
      <w:bookmarkEnd w:id="27"/>
      <w:bookmarkEnd w:id="28"/>
    </w:p>
    <w:p>
      <w:pPr>
        <w:spacing w:line="540" w:lineRule="exact"/>
        <w:ind w:firstLine="560" w:firstLineChars="200"/>
        <w:rPr>
          <w:rFonts w:hint="eastAsia" w:ascii="宋体" w:hAnsi="宋体"/>
          <w:sz w:val="28"/>
          <w:szCs w:val="28"/>
        </w:rPr>
      </w:pPr>
      <w:bookmarkStart w:id="29" w:name="_Toc275767916"/>
      <w:r>
        <w:rPr>
          <w:rFonts w:hint="eastAsia" w:ascii="宋体" w:hAnsi="宋体"/>
          <w:sz w:val="28"/>
          <w:szCs w:val="28"/>
        </w:rPr>
        <w:t>房地产估价机构全称：河南开来房地产评估咨询有限公司</w:t>
      </w:r>
    </w:p>
    <w:p>
      <w:pPr>
        <w:spacing w:line="540" w:lineRule="exact"/>
        <w:ind w:firstLine="560" w:firstLineChars="200"/>
        <w:rPr>
          <w:rFonts w:hint="eastAsia" w:ascii="宋体" w:hAnsi="宋体"/>
          <w:sz w:val="28"/>
          <w:szCs w:val="28"/>
        </w:rPr>
      </w:pPr>
      <w:r>
        <w:rPr>
          <w:rFonts w:hint="eastAsia" w:ascii="宋体" w:hAnsi="宋体"/>
          <w:sz w:val="28"/>
          <w:szCs w:val="28"/>
        </w:rPr>
        <w:t xml:space="preserve">法定代表人: </w:t>
      </w:r>
      <w:r>
        <w:rPr>
          <w:rFonts w:hint="eastAsia" w:ascii="宋体" w:hAnsi="宋体"/>
          <w:bCs/>
          <w:kern w:val="10"/>
          <w:sz w:val="28"/>
          <w:szCs w:val="28"/>
        </w:rPr>
        <w:t>周龙</w:t>
      </w:r>
    </w:p>
    <w:p>
      <w:pPr>
        <w:spacing w:line="540" w:lineRule="exact"/>
        <w:ind w:firstLine="560" w:firstLineChars="200"/>
        <w:rPr>
          <w:rFonts w:hint="eastAsia" w:ascii="宋体" w:hAnsi="宋体"/>
          <w:sz w:val="28"/>
          <w:szCs w:val="28"/>
        </w:rPr>
      </w:pPr>
      <w:r>
        <w:rPr>
          <w:rFonts w:hint="eastAsia" w:ascii="宋体" w:hAnsi="宋体"/>
          <w:sz w:val="28"/>
          <w:szCs w:val="28"/>
        </w:rPr>
        <w:t xml:space="preserve">住所: </w:t>
      </w:r>
      <w:r>
        <w:rPr>
          <w:rFonts w:hint="eastAsia" w:ascii="宋体" w:hAnsi="宋体"/>
          <w:bCs/>
          <w:kern w:val="10"/>
          <w:sz w:val="28"/>
          <w:szCs w:val="28"/>
        </w:rPr>
        <w:t>郑州市金水区纬五路12号供销大厦七层</w:t>
      </w:r>
    </w:p>
    <w:p>
      <w:pPr>
        <w:spacing w:line="540" w:lineRule="exact"/>
        <w:ind w:firstLine="560" w:firstLineChars="200"/>
        <w:rPr>
          <w:rFonts w:hint="eastAsia" w:ascii="宋体" w:hAnsi="宋体"/>
          <w:sz w:val="28"/>
          <w:szCs w:val="28"/>
        </w:rPr>
      </w:pPr>
      <w:r>
        <w:rPr>
          <w:rFonts w:hint="eastAsia" w:ascii="宋体" w:hAnsi="宋体"/>
          <w:kern w:val="10"/>
          <w:sz w:val="28"/>
          <w:szCs w:val="28"/>
        </w:rPr>
        <w:t>统一社会信用代码</w:t>
      </w:r>
      <w:r>
        <w:rPr>
          <w:rFonts w:hint="eastAsia" w:ascii="宋体" w:hAnsi="宋体"/>
          <w:sz w:val="28"/>
          <w:szCs w:val="28"/>
        </w:rPr>
        <w:t>：</w:t>
      </w:r>
      <w:r>
        <w:rPr>
          <w:rFonts w:hint="eastAsia" w:ascii="宋体" w:hAnsi="宋体"/>
          <w:bCs/>
          <w:kern w:val="10"/>
          <w:sz w:val="28"/>
          <w:szCs w:val="28"/>
        </w:rPr>
        <w:t>914101057374394562（1-1）</w:t>
      </w:r>
    </w:p>
    <w:p>
      <w:pPr>
        <w:spacing w:line="540" w:lineRule="exact"/>
        <w:ind w:firstLine="560" w:firstLineChars="200"/>
        <w:rPr>
          <w:rFonts w:hint="eastAsia" w:ascii="宋体" w:hAnsi="宋体"/>
          <w:sz w:val="28"/>
          <w:szCs w:val="28"/>
        </w:rPr>
      </w:pPr>
      <w:r>
        <w:rPr>
          <w:rFonts w:hint="eastAsia" w:ascii="宋体" w:hAnsi="宋体"/>
          <w:sz w:val="28"/>
          <w:szCs w:val="28"/>
        </w:rPr>
        <w:t>资格等级：一 级</w:t>
      </w:r>
    </w:p>
    <w:p>
      <w:pPr>
        <w:spacing w:line="540" w:lineRule="exact"/>
        <w:ind w:firstLine="560" w:firstLineChars="200"/>
        <w:rPr>
          <w:rFonts w:hint="eastAsia" w:ascii="宋体" w:hAnsi="宋体"/>
          <w:sz w:val="28"/>
          <w:szCs w:val="28"/>
        </w:rPr>
      </w:pPr>
      <w:r>
        <w:rPr>
          <w:rFonts w:hint="eastAsia" w:ascii="宋体" w:hAnsi="宋体"/>
          <w:sz w:val="28"/>
          <w:szCs w:val="28"/>
        </w:rPr>
        <w:t>证书编号:</w:t>
      </w:r>
      <w:r>
        <w:rPr>
          <w:rFonts w:hint="eastAsia" w:ascii="宋体" w:hAnsi="宋体"/>
          <w:kern w:val="10"/>
          <w:sz w:val="28"/>
          <w:szCs w:val="28"/>
        </w:rPr>
        <w:t>B41010171</w:t>
      </w:r>
    </w:p>
    <w:p>
      <w:pPr>
        <w:pStyle w:val="3"/>
        <w:spacing w:before="156" w:beforeLines="50" w:after="156" w:afterLines="50"/>
        <w:ind w:firstLine="551" w:firstLineChars="196"/>
        <w:rPr>
          <w:rFonts w:hint="eastAsia"/>
        </w:rPr>
      </w:pPr>
      <w:bookmarkStart w:id="30" w:name="_Toc19116"/>
      <w:r>
        <w:rPr>
          <w:rFonts w:hint="eastAsia"/>
        </w:rPr>
        <w:t>（三）估价目的</w:t>
      </w:r>
      <w:bookmarkEnd w:id="30"/>
    </w:p>
    <w:p>
      <w:pPr>
        <w:spacing w:line="600" w:lineRule="exact"/>
        <w:ind w:firstLine="560" w:firstLineChars="200"/>
        <w:rPr>
          <w:rFonts w:hint="eastAsia" w:ascii="宋体" w:hAnsi="宋体"/>
          <w:sz w:val="28"/>
          <w:szCs w:val="28"/>
        </w:rPr>
      </w:pPr>
      <w:r>
        <w:rPr>
          <w:rFonts w:hint="eastAsia"/>
          <w:sz w:val="28"/>
          <w:szCs w:val="28"/>
        </w:rPr>
        <w:t>为人民法院确定财产处置参考价提供参考依据</w:t>
      </w:r>
      <w:r>
        <w:rPr>
          <w:rFonts w:hint="eastAsia" w:ascii="宋体" w:hAnsi="宋体"/>
          <w:sz w:val="28"/>
          <w:szCs w:val="28"/>
        </w:rPr>
        <w:t>。</w:t>
      </w:r>
    </w:p>
    <w:p>
      <w:pPr>
        <w:pStyle w:val="3"/>
        <w:spacing w:before="156" w:beforeLines="50" w:after="156" w:afterLines="50"/>
        <w:ind w:firstLine="551" w:firstLineChars="196"/>
        <w:rPr>
          <w:rFonts w:hint="eastAsia"/>
        </w:rPr>
      </w:pPr>
      <w:bookmarkStart w:id="31" w:name="_Toc275767917"/>
      <w:bookmarkStart w:id="32" w:name="_Toc24428"/>
      <w:r>
        <w:rPr>
          <w:rFonts w:hint="eastAsia"/>
        </w:rPr>
        <w:t>（四）</w:t>
      </w:r>
      <w:bookmarkEnd w:id="31"/>
      <w:r>
        <w:rPr>
          <w:rFonts w:hint="eastAsia"/>
        </w:rPr>
        <w:t>估价对象</w:t>
      </w:r>
      <w:bookmarkEnd w:id="29"/>
      <w:bookmarkEnd w:id="32"/>
    </w:p>
    <w:p>
      <w:pPr>
        <w:spacing w:line="490" w:lineRule="exact"/>
        <w:ind w:firstLine="560" w:firstLineChars="200"/>
        <w:rPr>
          <w:rFonts w:hint="eastAsia"/>
          <w:sz w:val="28"/>
          <w:szCs w:val="28"/>
        </w:rPr>
      </w:pPr>
      <w:r>
        <w:rPr>
          <w:rFonts w:hint="eastAsia"/>
          <w:sz w:val="28"/>
          <w:szCs w:val="28"/>
        </w:rPr>
        <w:t>1．估价对象范围</w:t>
      </w:r>
    </w:p>
    <w:p>
      <w:pPr>
        <w:tabs>
          <w:tab w:val="left" w:pos="720"/>
        </w:tabs>
        <w:spacing w:line="500" w:lineRule="exact"/>
        <w:ind w:firstLine="560" w:firstLineChars="200"/>
        <w:rPr>
          <w:rFonts w:hint="eastAsia"/>
          <w:sz w:val="28"/>
          <w:szCs w:val="28"/>
        </w:rPr>
      </w:pPr>
      <w:r>
        <w:rPr>
          <w:rFonts w:hint="eastAsia" w:ascii="宋体" w:hAnsi="宋体"/>
          <w:sz w:val="28"/>
          <w:szCs w:val="28"/>
        </w:rPr>
        <w:t>位于</w:t>
      </w:r>
      <w:r>
        <w:rPr>
          <w:rFonts w:hint="eastAsia" w:ascii="宋体" w:hAnsi="宋体"/>
          <w:sz w:val="28"/>
          <w:szCs w:val="28"/>
          <w:lang w:eastAsia="zh-CN"/>
        </w:rPr>
        <w:t>内乡县</w:t>
      </w:r>
      <w:r>
        <w:rPr>
          <w:rFonts w:hint="eastAsia" w:ascii="宋体" w:hAnsi="宋体" w:cs="宋体"/>
          <w:sz w:val="28"/>
          <w:szCs w:val="28"/>
        </w:rPr>
        <w:t>赤眉镇赤眉村街南南组，</w:t>
      </w:r>
      <w:r>
        <w:rPr>
          <w:rFonts w:hint="eastAsia" w:ascii="宋体" w:hAnsi="宋体"/>
          <w:sz w:val="28"/>
          <w:szCs w:val="28"/>
        </w:rPr>
        <w:t>建筑面积为</w:t>
      </w:r>
      <w:r>
        <w:rPr>
          <w:rFonts w:hint="eastAsia" w:ascii="宋体" w:hAnsi="宋体" w:cs="宋体"/>
          <w:sz w:val="28"/>
          <w:szCs w:val="28"/>
          <w:lang w:eastAsia="zh-CN"/>
        </w:rPr>
        <w:t>133.70平方米</w:t>
      </w:r>
      <w:r>
        <w:rPr>
          <w:rFonts w:hint="eastAsia" w:ascii="宋体" w:hAnsi="宋体"/>
          <w:sz w:val="28"/>
          <w:szCs w:val="28"/>
        </w:rPr>
        <w:t>的</w:t>
      </w:r>
      <w:r>
        <w:rPr>
          <w:rFonts w:ascii="宋体" w:hAnsi="宋体"/>
          <w:sz w:val="28"/>
          <w:szCs w:val="28"/>
        </w:rPr>
        <w:t>住宅</w:t>
      </w:r>
      <w:r>
        <w:rPr>
          <w:rFonts w:hint="eastAsia" w:ascii="宋体" w:hAnsi="宋体"/>
          <w:sz w:val="28"/>
          <w:szCs w:val="28"/>
          <w:lang w:eastAsia="zh-CN"/>
        </w:rPr>
        <w:t>房屋</w:t>
      </w:r>
      <w:r>
        <w:rPr>
          <w:rFonts w:hint="eastAsia" w:ascii="宋体" w:hAnsi="宋体"/>
          <w:sz w:val="28"/>
          <w:szCs w:val="28"/>
          <w:highlight w:val="none"/>
          <w:lang w:eastAsia="zh-CN"/>
        </w:rPr>
        <w:t>及</w:t>
      </w:r>
      <w:r>
        <w:rPr>
          <w:rFonts w:hint="eastAsia" w:ascii="宋体" w:hAnsi="宋体"/>
          <w:sz w:val="28"/>
          <w:szCs w:val="28"/>
          <w:highlight w:val="none"/>
        </w:rPr>
        <w:t>其</w:t>
      </w:r>
      <w:r>
        <w:rPr>
          <w:rFonts w:hint="eastAsia" w:ascii="宋体" w:hAnsi="宋体" w:cs="宋体"/>
          <w:sz w:val="28"/>
          <w:szCs w:val="28"/>
        </w:rPr>
        <w:t>应分摊</w:t>
      </w:r>
      <w:r>
        <w:rPr>
          <w:rFonts w:hint="eastAsia" w:ascii="宋体" w:hAnsi="宋体" w:cs="宋体"/>
          <w:sz w:val="28"/>
          <w:szCs w:val="28"/>
          <w:lang w:eastAsia="zh-CN"/>
        </w:rPr>
        <w:t>的</w:t>
      </w:r>
      <w:r>
        <w:rPr>
          <w:rFonts w:hint="eastAsia" w:ascii="宋体" w:hAnsi="宋体" w:cs="宋体"/>
          <w:sz w:val="28"/>
          <w:szCs w:val="28"/>
        </w:rPr>
        <w:t>土地</w:t>
      </w:r>
      <w:r>
        <w:rPr>
          <w:rFonts w:hint="eastAsia" w:ascii="宋体" w:hAnsi="宋体" w:cs="宋体"/>
          <w:sz w:val="28"/>
          <w:szCs w:val="28"/>
          <w:lang w:eastAsia="zh-CN"/>
        </w:rPr>
        <w:t>使用权</w:t>
      </w:r>
      <w:r>
        <w:rPr>
          <w:rFonts w:hint="eastAsia" w:ascii="宋体" w:hAnsi="宋体" w:cs="宋体"/>
          <w:sz w:val="28"/>
          <w:szCs w:val="28"/>
        </w:rPr>
        <w:t>和装饰装修</w:t>
      </w:r>
      <w:r>
        <w:rPr>
          <w:rFonts w:hint="eastAsia" w:ascii="宋体" w:hAnsi="宋体"/>
          <w:sz w:val="28"/>
          <w:szCs w:val="28"/>
        </w:rPr>
        <w:t>（不包含动产、债权债务等）。</w:t>
      </w:r>
    </w:p>
    <w:p>
      <w:pPr>
        <w:spacing w:line="520" w:lineRule="exact"/>
        <w:ind w:firstLine="560" w:firstLineChars="200"/>
        <w:rPr>
          <w:rFonts w:hint="eastAsia"/>
          <w:sz w:val="28"/>
          <w:szCs w:val="28"/>
        </w:rPr>
      </w:pPr>
      <w:r>
        <w:rPr>
          <w:rFonts w:hint="eastAsia"/>
          <w:sz w:val="28"/>
          <w:szCs w:val="28"/>
        </w:rPr>
        <w:t>2.估价对象基本状况</w:t>
      </w:r>
    </w:p>
    <w:p>
      <w:pPr>
        <w:spacing w:line="520" w:lineRule="exact"/>
        <w:ind w:firstLine="560" w:firstLineChars="200"/>
        <w:rPr>
          <w:rFonts w:hint="eastAsia"/>
          <w:sz w:val="28"/>
          <w:szCs w:val="28"/>
        </w:rPr>
      </w:pPr>
      <w:r>
        <w:rPr>
          <w:rFonts w:hint="eastAsia"/>
          <w:sz w:val="28"/>
          <w:szCs w:val="28"/>
        </w:rPr>
        <w:t>（1）估价对象概况</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由估价委托人提供的</w:t>
      </w:r>
      <w:r>
        <w:rPr>
          <w:rFonts w:hint="eastAsia" w:ascii="宋体" w:hAnsi="宋体" w:cs="宋体"/>
          <w:sz w:val="28"/>
          <w:szCs w:val="28"/>
          <w:highlight w:val="none"/>
        </w:rPr>
        <w:t>《房屋所有权证</w:t>
      </w:r>
      <w:r>
        <w:rPr>
          <w:rFonts w:hint="eastAsia" w:ascii="宋体" w:hAnsi="宋体" w:cs="宋体"/>
          <w:sz w:val="28"/>
          <w:szCs w:val="28"/>
          <w:highlight w:val="none"/>
          <w:lang w:eastAsia="zh-CN"/>
        </w:rPr>
        <w:t>存根</w:t>
      </w:r>
      <w:r>
        <w:rPr>
          <w:rFonts w:hint="eastAsia" w:ascii="宋体" w:hAnsi="宋体" w:cs="宋体"/>
          <w:sz w:val="28"/>
          <w:szCs w:val="28"/>
          <w:highlight w:val="none"/>
        </w:rPr>
        <w:t>》显示，房屋坐落于</w:t>
      </w:r>
      <w:r>
        <w:rPr>
          <w:rFonts w:hint="eastAsia" w:ascii="宋体" w:hAnsi="宋体"/>
          <w:sz w:val="28"/>
          <w:szCs w:val="28"/>
          <w:lang w:eastAsia="zh-CN"/>
        </w:rPr>
        <w:t>内乡县</w:t>
      </w:r>
      <w:r>
        <w:rPr>
          <w:rFonts w:hint="eastAsia" w:ascii="宋体" w:hAnsi="宋体" w:cs="宋体"/>
          <w:sz w:val="28"/>
          <w:szCs w:val="28"/>
          <w:highlight w:val="none"/>
        </w:rPr>
        <w:t>赤眉镇赤眉村街南南组，</w:t>
      </w:r>
      <w:r>
        <w:rPr>
          <w:rFonts w:hint="eastAsia" w:ascii="宋体" w:hAnsi="宋体" w:cs="宋体"/>
          <w:sz w:val="28"/>
          <w:szCs w:val="28"/>
          <w:highlight w:val="none"/>
          <w:lang w:eastAsia="zh-CN"/>
        </w:rPr>
        <w:t>房屋所有</w:t>
      </w:r>
      <w:r>
        <w:rPr>
          <w:rFonts w:hint="eastAsia" w:ascii="宋体" w:hAnsi="宋体" w:cs="宋体"/>
          <w:sz w:val="28"/>
          <w:szCs w:val="28"/>
          <w:highlight w:val="none"/>
        </w:rPr>
        <w:t>权人为</w:t>
      </w:r>
      <w:r>
        <w:rPr>
          <w:rFonts w:hint="eastAsia" w:ascii="宋体" w:hAnsi="宋体" w:cs="宋体"/>
          <w:sz w:val="28"/>
          <w:szCs w:val="28"/>
          <w:highlight w:val="none"/>
          <w:lang w:eastAsia="zh-CN"/>
        </w:rPr>
        <w:t>贾保成</w:t>
      </w:r>
      <w:r>
        <w:rPr>
          <w:rFonts w:hint="eastAsia" w:ascii="宋体" w:hAnsi="宋体" w:cs="宋体"/>
          <w:sz w:val="28"/>
          <w:szCs w:val="28"/>
          <w:highlight w:val="none"/>
        </w:rPr>
        <w:t>，</w:t>
      </w:r>
      <w:r>
        <w:rPr>
          <w:rFonts w:hint="eastAsia" w:ascii="宋体" w:hAnsi="宋体" w:cs="宋体"/>
          <w:sz w:val="28"/>
          <w:szCs w:val="28"/>
        </w:rPr>
        <w:t>房屋所有权证</w:t>
      </w:r>
      <w:r>
        <w:rPr>
          <w:rFonts w:hint="eastAsia" w:ascii="宋体" w:hAnsi="宋体" w:cs="宋体"/>
          <w:sz w:val="28"/>
          <w:szCs w:val="28"/>
          <w:lang w:eastAsia="zh-CN"/>
        </w:rPr>
        <w:t>存根</w:t>
      </w:r>
      <w:r>
        <w:rPr>
          <w:rFonts w:hint="eastAsia" w:ascii="宋体" w:hAnsi="宋体" w:cs="宋体"/>
          <w:sz w:val="28"/>
          <w:szCs w:val="28"/>
        </w:rPr>
        <w:t>号为</w:t>
      </w:r>
      <w:r>
        <w:rPr>
          <w:rFonts w:hint="eastAsia" w:ascii="宋体" w:hAnsi="宋体" w:cs="宋体"/>
          <w:sz w:val="28"/>
          <w:szCs w:val="28"/>
          <w:lang w:eastAsia="zh-CN"/>
        </w:rPr>
        <w:t>房权证内房字第0701333号</w:t>
      </w:r>
      <w:r>
        <w:rPr>
          <w:rFonts w:hint="eastAsia" w:ascii="宋体" w:hAnsi="宋体" w:cs="宋体"/>
          <w:sz w:val="28"/>
          <w:szCs w:val="28"/>
        </w:rPr>
        <w:t>；规划用途为住宅，混合结构，建筑面积</w:t>
      </w:r>
      <w:r>
        <w:rPr>
          <w:rFonts w:hint="eastAsia" w:ascii="宋体" w:hAnsi="宋体" w:cs="宋体"/>
          <w:sz w:val="28"/>
          <w:szCs w:val="28"/>
          <w:lang w:eastAsia="zh-CN"/>
        </w:rPr>
        <w:t>133.70平方米</w:t>
      </w:r>
      <w:r>
        <w:rPr>
          <w:rFonts w:hint="eastAsia" w:ascii="宋体" w:hAnsi="宋体" w:cs="宋体"/>
          <w:sz w:val="28"/>
          <w:szCs w:val="28"/>
        </w:rPr>
        <w:t>，</w:t>
      </w:r>
      <w:r>
        <w:rPr>
          <w:rFonts w:hint="eastAsia" w:ascii="宋体" w:hAnsi="宋体" w:cs="宋体"/>
          <w:sz w:val="28"/>
          <w:szCs w:val="28"/>
          <w:lang w:eastAsia="zh-CN"/>
        </w:rPr>
        <w:t>建成年份为</w:t>
      </w:r>
      <w:r>
        <w:rPr>
          <w:rFonts w:hint="eastAsia" w:ascii="宋体" w:hAnsi="宋体" w:cs="宋体"/>
          <w:sz w:val="28"/>
          <w:szCs w:val="28"/>
          <w:lang w:val="en-US" w:eastAsia="zh-CN"/>
        </w:rPr>
        <w:t>1992年</w:t>
      </w:r>
      <w:r>
        <w:rPr>
          <w:rFonts w:hint="eastAsia" w:ascii="宋体" w:hAnsi="宋体" w:cs="宋体"/>
          <w:sz w:val="28"/>
          <w:szCs w:val="28"/>
        </w:rPr>
        <w:t>，总层数2层，估价对象所在1-2层，</w:t>
      </w:r>
      <w:r>
        <w:rPr>
          <w:rFonts w:hint="eastAsia" w:ascii="宋体" w:hAnsi="宋体" w:cs="宋体"/>
          <w:sz w:val="28"/>
          <w:szCs w:val="28"/>
          <w:lang w:eastAsia="zh-CN"/>
        </w:rPr>
        <w:t>带一院落，配套有电等设施。</w:t>
      </w:r>
    </w:p>
    <w:p>
      <w:pPr>
        <w:spacing w:line="500" w:lineRule="exact"/>
        <w:ind w:firstLine="560" w:firstLineChars="200"/>
        <w:rPr>
          <w:rFonts w:hint="eastAsia" w:ascii="宋体" w:hAnsi="宋体"/>
          <w:sz w:val="28"/>
          <w:szCs w:val="28"/>
        </w:rPr>
      </w:pPr>
      <w:r>
        <w:rPr>
          <w:rFonts w:ascii="宋体" w:hAnsi="宋体"/>
          <w:sz w:val="28"/>
          <w:szCs w:val="28"/>
        </w:rPr>
        <w:t xml:space="preserve"> </w:t>
      </w:r>
      <w:bookmarkStart w:id="33" w:name="_Toc275767918"/>
      <w:r>
        <w:rPr>
          <w:rFonts w:hint="eastAsia" w:ascii="宋体" w:hAnsi="宋体"/>
          <w:sz w:val="28"/>
          <w:szCs w:val="28"/>
        </w:rPr>
        <w:t>(2)区位状况描述</w:t>
      </w:r>
    </w:p>
    <w:p>
      <w:pPr>
        <w:spacing w:line="520" w:lineRule="exact"/>
        <w:ind w:firstLine="560" w:firstLineChars="200"/>
        <w:rPr>
          <w:rFonts w:hint="eastAsia"/>
          <w:sz w:val="28"/>
          <w:szCs w:val="28"/>
        </w:rPr>
      </w:pPr>
      <w:r>
        <w:rPr>
          <w:rFonts w:hint="eastAsia"/>
          <w:sz w:val="28"/>
          <w:szCs w:val="28"/>
        </w:rPr>
        <w:t>估价对象区位状况包含位置状况（房屋坐落、方位、与重要场所的距离、临街状况、楼层、朝向）、交通状况（道路、公共交通、交通管制、停车方便程度）、外部配套设施（基础设施、公共服务设施）、环境状况（自然环境、人文环境、景观）等因素，详见区位状况表：</w:t>
      </w:r>
    </w:p>
    <w:p>
      <w:pPr>
        <w:spacing w:after="156" w:afterLines="50" w:line="520" w:lineRule="exact"/>
        <w:jc w:val="center"/>
        <w:rPr>
          <w:rFonts w:ascii="黑体" w:hAnsi="黑体" w:eastAsia="黑体"/>
          <w:sz w:val="26"/>
          <w:szCs w:val="26"/>
        </w:rPr>
      </w:pPr>
      <w:r>
        <w:rPr>
          <w:rFonts w:hint="eastAsia" w:ascii="黑体" w:hAnsi="黑体" w:eastAsia="黑体"/>
          <w:sz w:val="26"/>
          <w:szCs w:val="26"/>
        </w:rPr>
        <w:t>区位状况表</w:t>
      </w:r>
    </w:p>
    <w:tbl>
      <w:tblPr>
        <w:tblStyle w:val="27"/>
        <w:tblW w:w="0" w:type="auto"/>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418"/>
        <w:gridCol w:w="68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134" w:type="dxa"/>
            <w:vMerge w:val="restart"/>
            <w:noWrap w:val="0"/>
            <w:vAlign w:val="center"/>
          </w:tcPr>
          <w:p>
            <w:pPr>
              <w:jc w:val="center"/>
              <w:rPr>
                <w:rFonts w:hint="eastAsia" w:ascii="宋体" w:hAnsi="宋体"/>
                <w:b/>
                <w:sz w:val="20"/>
                <w:szCs w:val="20"/>
              </w:rPr>
            </w:pPr>
            <w:r>
              <w:rPr>
                <w:rFonts w:hint="eastAsia" w:ascii="宋体" w:hAnsi="宋体"/>
                <w:b/>
                <w:sz w:val="20"/>
                <w:szCs w:val="20"/>
              </w:rPr>
              <w:t>位置</w:t>
            </w:r>
          </w:p>
          <w:p>
            <w:pPr>
              <w:jc w:val="center"/>
              <w:rPr>
                <w:rFonts w:ascii="宋体"/>
                <w:b/>
                <w:sz w:val="20"/>
                <w:szCs w:val="20"/>
              </w:rPr>
            </w:pPr>
            <w:r>
              <w:rPr>
                <w:rFonts w:hint="eastAsia" w:ascii="宋体" w:hAnsi="宋体"/>
                <w:b/>
                <w:sz w:val="20"/>
                <w:szCs w:val="20"/>
              </w:rPr>
              <w:t>状况</w:t>
            </w:r>
          </w:p>
        </w:tc>
        <w:tc>
          <w:tcPr>
            <w:tcW w:w="1418" w:type="dxa"/>
            <w:noWrap w:val="0"/>
            <w:vAlign w:val="center"/>
          </w:tcPr>
          <w:p>
            <w:pPr>
              <w:jc w:val="center"/>
              <w:rPr>
                <w:rFonts w:ascii="宋体" w:hAnsi="宋体"/>
                <w:sz w:val="20"/>
                <w:szCs w:val="20"/>
              </w:rPr>
            </w:pPr>
            <w:r>
              <w:rPr>
                <w:rFonts w:hint="eastAsia" w:ascii="宋体" w:hAnsi="宋体"/>
                <w:sz w:val="20"/>
                <w:szCs w:val="20"/>
              </w:rPr>
              <w:t>房屋坐落</w:t>
            </w:r>
          </w:p>
        </w:tc>
        <w:tc>
          <w:tcPr>
            <w:tcW w:w="6804" w:type="dxa"/>
            <w:noWrap w:val="0"/>
            <w:vAlign w:val="center"/>
          </w:tcPr>
          <w:p>
            <w:pPr>
              <w:jc w:val="center"/>
              <w:rPr>
                <w:rFonts w:hint="eastAsia" w:ascii="宋体" w:hAnsi="宋体"/>
                <w:sz w:val="20"/>
                <w:szCs w:val="20"/>
              </w:rPr>
            </w:pPr>
            <w:r>
              <w:rPr>
                <w:rFonts w:ascii="宋体" w:hAnsi="宋体"/>
                <w:sz w:val="20"/>
                <w:szCs w:val="20"/>
              </w:rPr>
              <w:t>赤眉镇赤眉村街南南组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134" w:type="dxa"/>
            <w:vMerge w:val="continue"/>
            <w:noWrap w:val="0"/>
            <w:vAlign w:val="center"/>
          </w:tcPr>
          <w:p>
            <w:pPr>
              <w:jc w:val="center"/>
              <w:rPr>
                <w:rFonts w:hint="eastAsia" w:ascii="宋体" w:hAnsi="宋体"/>
                <w:b/>
                <w:sz w:val="20"/>
                <w:szCs w:val="20"/>
              </w:rPr>
            </w:pPr>
          </w:p>
        </w:tc>
        <w:tc>
          <w:tcPr>
            <w:tcW w:w="1418" w:type="dxa"/>
            <w:noWrap w:val="0"/>
            <w:vAlign w:val="center"/>
          </w:tcPr>
          <w:p>
            <w:pPr>
              <w:jc w:val="center"/>
              <w:rPr>
                <w:rFonts w:hint="eastAsia" w:ascii="宋体" w:hAnsi="宋体"/>
                <w:sz w:val="20"/>
                <w:szCs w:val="20"/>
              </w:rPr>
            </w:pPr>
            <w:r>
              <w:rPr>
                <w:rFonts w:hint="eastAsia" w:ascii="宋体" w:hAnsi="宋体"/>
                <w:sz w:val="20"/>
                <w:szCs w:val="20"/>
              </w:rPr>
              <w:t>临街状况</w:t>
            </w:r>
          </w:p>
        </w:tc>
        <w:tc>
          <w:tcPr>
            <w:tcW w:w="6804" w:type="dxa"/>
            <w:noWrap w:val="0"/>
            <w:vAlign w:val="center"/>
          </w:tcPr>
          <w:p>
            <w:pPr>
              <w:jc w:val="center"/>
              <w:rPr>
                <w:rFonts w:hint="eastAsia" w:ascii="宋体" w:hAnsi="宋体"/>
                <w:color w:val="FF0000"/>
                <w:sz w:val="20"/>
                <w:szCs w:val="20"/>
              </w:rPr>
            </w:pPr>
            <w:r>
              <w:rPr>
                <w:rFonts w:hint="eastAsia" w:ascii="宋体" w:hAnsi="宋体"/>
                <w:sz w:val="20"/>
                <w:szCs w:val="20"/>
                <w:lang w:eastAsia="zh-CN"/>
              </w:rPr>
              <w:t>东</w:t>
            </w:r>
            <w:r>
              <w:rPr>
                <w:rFonts w:ascii="宋体" w:hAnsi="宋体"/>
                <w:sz w:val="20"/>
                <w:szCs w:val="20"/>
              </w:rPr>
              <w:t>临249省道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134" w:type="dxa"/>
            <w:vMerge w:val="continue"/>
            <w:noWrap w:val="0"/>
            <w:vAlign w:val="center"/>
          </w:tcPr>
          <w:p>
            <w:pPr>
              <w:jc w:val="center"/>
              <w:rPr>
                <w:rFonts w:ascii="宋体"/>
                <w:b/>
                <w:sz w:val="20"/>
                <w:szCs w:val="20"/>
              </w:rPr>
            </w:pPr>
          </w:p>
        </w:tc>
        <w:tc>
          <w:tcPr>
            <w:tcW w:w="1418" w:type="dxa"/>
            <w:noWrap w:val="0"/>
            <w:vAlign w:val="center"/>
          </w:tcPr>
          <w:p>
            <w:pPr>
              <w:jc w:val="center"/>
              <w:rPr>
                <w:rFonts w:ascii="宋体" w:hAnsi="宋体"/>
                <w:sz w:val="20"/>
                <w:szCs w:val="20"/>
              </w:rPr>
            </w:pPr>
            <w:r>
              <w:rPr>
                <w:rFonts w:hint="eastAsia" w:ascii="宋体" w:hAnsi="宋体"/>
                <w:sz w:val="20"/>
                <w:szCs w:val="20"/>
              </w:rPr>
              <w:t>楼层</w:t>
            </w:r>
          </w:p>
        </w:tc>
        <w:tc>
          <w:tcPr>
            <w:tcW w:w="6804" w:type="dxa"/>
            <w:noWrap w:val="0"/>
            <w:vAlign w:val="center"/>
          </w:tcPr>
          <w:p>
            <w:pPr>
              <w:jc w:val="center"/>
              <w:rPr>
                <w:rFonts w:ascii="宋体" w:hAnsi="宋体"/>
                <w:sz w:val="20"/>
                <w:szCs w:val="20"/>
              </w:rPr>
            </w:pPr>
            <w:r>
              <w:rPr>
                <w:rFonts w:hint="eastAsia" w:ascii="宋体" w:hAnsi="宋体"/>
                <w:sz w:val="20"/>
                <w:szCs w:val="20"/>
              </w:rPr>
              <w:t>建筑物总层数为2层，估价对象在第1-2层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134" w:type="dxa"/>
            <w:vMerge w:val="continue"/>
            <w:noWrap w:val="0"/>
            <w:vAlign w:val="center"/>
          </w:tcPr>
          <w:p>
            <w:pPr>
              <w:jc w:val="center"/>
              <w:rPr>
                <w:rFonts w:ascii="宋体"/>
                <w:b/>
                <w:sz w:val="20"/>
                <w:szCs w:val="20"/>
              </w:rPr>
            </w:pPr>
          </w:p>
        </w:tc>
        <w:tc>
          <w:tcPr>
            <w:tcW w:w="1418" w:type="dxa"/>
            <w:noWrap w:val="0"/>
            <w:vAlign w:val="center"/>
          </w:tcPr>
          <w:p>
            <w:pPr>
              <w:jc w:val="center"/>
              <w:rPr>
                <w:rFonts w:hint="eastAsia" w:ascii="宋体" w:hAnsi="宋体"/>
                <w:sz w:val="20"/>
                <w:szCs w:val="20"/>
              </w:rPr>
            </w:pPr>
            <w:r>
              <w:rPr>
                <w:rFonts w:hint="eastAsia" w:ascii="宋体" w:hAnsi="宋体"/>
                <w:sz w:val="20"/>
                <w:szCs w:val="20"/>
              </w:rPr>
              <w:t>朝向</w:t>
            </w:r>
          </w:p>
        </w:tc>
        <w:tc>
          <w:tcPr>
            <w:tcW w:w="6804" w:type="dxa"/>
            <w:noWrap w:val="0"/>
            <w:vAlign w:val="center"/>
          </w:tcPr>
          <w:p>
            <w:pPr>
              <w:jc w:val="center"/>
              <w:rPr>
                <w:rFonts w:hint="eastAsia" w:ascii="宋体" w:hAnsi="宋体" w:eastAsia="宋体"/>
                <w:sz w:val="20"/>
                <w:szCs w:val="20"/>
                <w:lang w:eastAsia="zh-CN"/>
              </w:rPr>
            </w:pPr>
            <w:r>
              <w:rPr>
                <w:rFonts w:hint="eastAsia" w:ascii="宋体" w:hAnsi="宋体"/>
                <w:sz w:val="20"/>
                <w:szCs w:val="20"/>
                <w:lang w:eastAsia="zh-CN"/>
              </w:rPr>
              <w:t>东西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134" w:type="dxa"/>
            <w:vMerge w:val="restart"/>
            <w:noWrap w:val="0"/>
            <w:vAlign w:val="center"/>
          </w:tcPr>
          <w:p>
            <w:pPr>
              <w:jc w:val="center"/>
              <w:rPr>
                <w:rFonts w:ascii="宋体" w:hAnsi="宋体"/>
                <w:b/>
                <w:sz w:val="20"/>
                <w:szCs w:val="20"/>
              </w:rPr>
            </w:pPr>
            <w:r>
              <w:rPr>
                <w:rFonts w:hint="eastAsia" w:ascii="宋体" w:hAnsi="宋体"/>
                <w:b/>
                <w:sz w:val="20"/>
                <w:szCs w:val="20"/>
              </w:rPr>
              <w:t>交通</w:t>
            </w:r>
          </w:p>
          <w:p>
            <w:pPr>
              <w:jc w:val="center"/>
              <w:rPr>
                <w:rFonts w:ascii="宋体"/>
                <w:b/>
                <w:sz w:val="20"/>
                <w:szCs w:val="20"/>
              </w:rPr>
            </w:pPr>
            <w:r>
              <w:rPr>
                <w:rFonts w:hint="eastAsia" w:ascii="宋体" w:hAnsi="宋体"/>
                <w:b/>
                <w:sz w:val="20"/>
                <w:szCs w:val="20"/>
              </w:rPr>
              <w:t>状况</w:t>
            </w:r>
          </w:p>
        </w:tc>
        <w:tc>
          <w:tcPr>
            <w:tcW w:w="1418" w:type="dxa"/>
            <w:noWrap w:val="0"/>
            <w:vAlign w:val="center"/>
          </w:tcPr>
          <w:p>
            <w:pPr>
              <w:jc w:val="center"/>
              <w:rPr>
                <w:rFonts w:ascii="宋体" w:hAnsi="宋体"/>
                <w:sz w:val="20"/>
                <w:szCs w:val="20"/>
              </w:rPr>
            </w:pPr>
            <w:r>
              <w:rPr>
                <w:rFonts w:hint="eastAsia" w:ascii="宋体" w:hAnsi="宋体"/>
                <w:sz w:val="20"/>
                <w:szCs w:val="20"/>
              </w:rPr>
              <w:t>道路</w:t>
            </w:r>
          </w:p>
        </w:tc>
        <w:tc>
          <w:tcPr>
            <w:tcW w:w="6804" w:type="dxa"/>
            <w:noWrap w:val="0"/>
            <w:vAlign w:val="center"/>
          </w:tcPr>
          <w:p>
            <w:pPr>
              <w:jc w:val="center"/>
              <w:rPr>
                <w:rFonts w:ascii="宋体" w:hAnsi="宋体"/>
                <w:sz w:val="20"/>
                <w:szCs w:val="20"/>
              </w:rPr>
            </w:pPr>
            <w:r>
              <w:rPr>
                <w:rFonts w:hint="eastAsia" w:ascii="宋体" w:hAnsi="宋体"/>
                <w:sz w:val="20"/>
                <w:szCs w:val="20"/>
              </w:rPr>
              <w:t>临249省道主干道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134" w:type="dxa"/>
            <w:vMerge w:val="continue"/>
            <w:noWrap w:val="0"/>
            <w:vAlign w:val="center"/>
          </w:tcPr>
          <w:p>
            <w:pPr>
              <w:jc w:val="center"/>
              <w:rPr>
                <w:rFonts w:ascii="宋体"/>
                <w:b/>
                <w:sz w:val="20"/>
                <w:szCs w:val="20"/>
              </w:rPr>
            </w:pPr>
          </w:p>
        </w:tc>
        <w:tc>
          <w:tcPr>
            <w:tcW w:w="1418" w:type="dxa"/>
            <w:noWrap w:val="0"/>
            <w:vAlign w:val="center"/>
          </w:tcPr>
          <w:p>
            <w:pPr>
              <w:jc w:val="center"/>
              <w:rPr>
                <w:rFonts w:ascii="宋体" w:hAnsi="宋体"/>
                <w:sz w:val="20"/>
                <w:szCs w:val="20"/>
              </w:rPr>
            </w:pPr>
            <w:r>
              <w:rPr>
                <w:rFonts w:hint="eastAsia" w:ascii="宋体" w:hAnsi="宋体"/>
                <w:sz w:val="20"/>
                <w:szCs w:val="20"/>
              </w:rPr>
              <w:t>公共交通</w:t>
            </w:r>
          </w:p>
        </w:tc>
        <w:tc>
          <w:tcPr>
            <w:tcW w:w="6804" w:type="dxa"/>
            <w:noWrap w:val="0"/>
            <w:vAlign w:val="center"/>
          </w:tcPr>
          <w:p>
            <w:pPr>
              <w:jc w:val="center"/>
              <w:rPr>
                <w:rFonts w:hint="eastAsia" w:ascii="宋体" w:hAnsi="宋体"/>
                <w:sz w:val="20"/>
                <w:szCs w:val="20"/>
              </w:rPr>
            </w:pPr>
            <w:r>
              <w:rPr>
                <w:rFonts w:hint="eastAsia" w:ascii="宋体" w:hAnsi="宋体"/>
                <w:sz w:val="20"/>
                <w:szCs w:val="20"/>
              </w:rPr>
              <w:t>有城乡公交车在附近通过，交通便捷度一般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134" w:type="dxa"/>
            <w:vMerge w:val="continue"/>
            <w:noWrap w:val="0"/>
            <w:vAlign w:val="center"/>
          </w:tcPr>
          <w:p>
            <w:pPr>
              <w:jc w:val="center"/>
              <w:rPr>
                <w:rFonts w:ascii="宋体"/>
                <w:b/>
                <w:sz w:val="20"/>
                <w:szCs w:val="20"/>
              </w:rPr>
            </w:pPr>
          </w:p>
        </w:tc>
        <w:tc>
          <w:tcPr>
            <w:tcW w:w="1418" w:type="dxa"/>
            <w:noWrap w:val="0"/>
            <w:vAlign w:val="center"/>
          </w:tcPr>
          <w:p>
            <w:pPr>
              <w:jc w:val="center"/>
              <w:rPr>
                <w:rFonts w:ascii="宋体" w:hAnsi="宋体"/>
                <w:sz w:val="20"/>
                <w:szCs w:val="20"/>
              </w:rPr>
            </w:pPr>
            <w:r>
              <w:rPr>
                <w:rFonts w:hint="eastAsia" w:ascii="宋体" w:hAnsi="宋体"/>
                <w:sz w:val="20"/>
                <w:szCs w:val="20"/>
              </w:rPr>
              <w:t>停车方便程度</w:t>
            </w:r>
          </w:p>
        </w:tc>
        <w:tc>
          <w:tcPr>
            <w:tcW w:w="6804" w:type="dxa"/>
            <w:noWrap w:val="0"/>
            <w:vAlign w:val="center"/>
          </w:tcPr>
          <w:p>
            <w:pPr>
              <w:jc w:val="center"/>
              <w:rPr>
                <w:rFonts w:hint="eastAsia" w:ascii="宋体" w:hAnsi="宋体"/>
                <w:sz w:val="20"/>
                <w:szCs w:val="20"/>
              </w:rPr>
            </w:pPr>
            <w:r>
              <w:rPr>
                <w:rFonts w:ascii="宋体" w:hAnsi="宋体"/>
                <w:sz w:val="20"/>
                <w:szCs w:val="20"/>
              </w:rPr>
              <w:fldChar w:fldCharType="begin"/>
            </w:r>
            <w:r>
              <w:rPr>
                <w:rFonts w:ascii="宋体" w:hAnsi="宋体"/>
                <w:sz w:val="20"/>
                <w:szCs w:val="20"/>
              </w:rPr>
              <w:instrText xml:space="preserve"> </w:instrText>
            </w:r>
            <w:r>
              <w:rPr>
                <w:rFonts w:hint="eastAsia" w:ascii="宋体" w:hAnsi="宋体"/>
                <w:sz w:val="20"/>
                <w:szCs w:val="20"/>
              </w:rPr>
              <w:instrText xml:space="preserve">LINK </w:instrText>
            </w:r>
            <w:r>
              <w:rPr>
                <w:rFonts w:ascii="宋体" w:hAnsi="宋体"/>
                <w:sz w:val="20"/>
                <w:szCs w:val="20"/>
              </w:rPr>
              <w:instrText xml:space="preserve">Excel.Sheet.8 "F:\\刘光辉\\文件模板\\00-齐-模板\\000-2016.5.11-  住宅-单套-新规范-2016版-营改增后\\01-比较法计算表.xls" word链接!R11C3 </w:instrText>
            </w:r>
            <w:r>
              <w:rPr>
                <w:rFonts w:hint="eastAsia" w:ascii="宋体" w:hAnsi="宋体"/>
                <w:sz w:val="20"/>
                <w:szCs w:val="20"/>
              </w:rPr>
              <w:instrText xml:space="preserve">\a \t</w:instrText>
            </w:r>
            <w:r>
              <w:rPr>
                <w:rFonts w:ascii="宋体" w:hAnsi="宋体"/>
                <w:sz w:val="20"/>
                <w:szCs w:val="20"/>
              </w:rPr>
              <w:instrText xml:space="preserve">  \* MERGEFORMAT </w:instrText>
            </w:r>
            <w:bookmarkStart w:id="34" w:name="_1491298113"/>
            <w:bookmarkEnd w:id="34"/>
            <w:bookmarkStart w:id="35" w:name="_1528123946"/>
            <w:bookmarkEnd w:id="35"/>
            <w:r>
              <w:rPr>
                <w:rFonts w:hint="eastAsia"/>
                <w:kern w:val="0"/>
                <w:sz w:val="20"/>
                <w:szCs w:val="20"/>
              </w:rPr>
              <w:fldChar w:fldCharType="separate"/>
            </w:r>
            <w:r>
              <w:rPr>
                <w:rFonts w:hint="eastAsia" w:ascii="宋体" w:hAnsi="宋体"/>
                <w:sz w:val="20"/>
                <w:szCs w:val="20"/>
              </w:rPr>
              <w:t>地面有停车</w:t>
            </w:r>
            <w:r>
              <w:rPr>
                <w:rFonts w:hint="eastAsia" w:ascii="宋体" w:hAnsi="宋体"/>
                <w:sz w:val="20"/>
                <w:szCs w:val="20"/>
                <w:lang w:eastAsia="zh-CN"/>
              </w:rPr>
              <w:t>位</w:t>
            </w:r>
            <w:r>
              <w:rPr>
                <w:rFonts w:hint="eastAsia" w:ascii="宋体" w:hAnsi="宋体"/>
                <w:sz w:val="20"/>
                <w:szCs w:val="20"/>
              </w:rPr>
              <w:t>，但区域内人口</w:t>
            </w:r>
            <w:r>
              <w:rPr>
                <w:rFonts w:hint="eastAsia" w:ascii="宋体" w:hAnsi="宋体"/>
                <w:sz w:val="20"/>
                <w:szCs w:val="20"/>
                <w:lang w:eastAsia="zh-CN"/>
              </w:rPr>
              <w:t>较少</w:t>
            </w:r>
            <w:r>
              <w:rPr>
                <w:rFonts w:hint="eastAsia" w:ascii="宋体" w:hAnsi="宋体"/>
                <w:sz w:val="20"/>
                <w:szCs w:val="20"/>
              </w:rPr>
              <w:t>，人流量</w:t>
            </w:r>
            <w:r>
              <w:rPr>
                <w:rFonts w:hint="eastAsia" w:ascii="宋体" w:hAnsi="宋体"/>
                <w:sz w:val="20"/>
                <w:szCs w:val="20"/>
                <w:lang w:eastAsia="zh-CN"/>
              </w:rPr>
              <w:t>较小</w:t>
            </w:r>
            <w:r>
              <w:rPr>
                <w:rFonts w:hint="eastAsia" w:ascii="宋体" w:hAnsi="宋体"/>
                <w:sz w:val="20"/>
                <w:szCs w:val="20"/>
              </w:rPr>
              <w:t>，停车</w:t>
            </w:r>
            <w:r>
              <w:rPr>
                <w:rFonts w:ascii="宋体" w:hAnsi="宋体"/>
                <w:sz w:val="20"/>
                <w:szCs w:val="20"/>
              </w:rPr>
              <w:fldChar w:fldCharType="end"/>
            </w:r>
            <w:r>
              <w:rPr>
                <w:rFonts w:hint="eastAsia" w:ascii="宋体" w:hAnsi="宋体"/>
                <w:sz w:val="20"/>
                <w:szCs w:val="20"/>
                <w:lang w:eastAsia="zh-CN"/>
              </w:rPr>
              <w:t>方便</w:t>
            </w:r>
            <w:r>
              <w:rPr>
                <w:rFonts w:hint="eastAsia" w:ascii="宋体" w:hAnsi="宋体"/>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134" w:type="dxa"/>
            <w:vMerge w:val="restart"/>
            <w:noWrap w:val="0"/>
            <w:vAlign w:val="center"/>
          </w:tcPr>
          <w:p>
            <w:pPr>
              <w:jc w:val="center"/>
              <w:rPr>
                <w:rFonts w:ascii="宋体" w:hAnsi="宋体"/>
                <w:b/>
                <w:sz w:val="20"/>
                <w:szCs w:val="20"/>
              </w:rPr>
            </w:pPr>
            <w:r>
              <w:rPr>
                <w:rFonts w:hint="eastAsia" w:ascii="宋体" w:hAnsi="宋体"/>
                <w:b/>
                <w:sz w:val="20"/>
                <w:szCs w:val="20"/>
              </w:rPr>
              <w:t>外部</w:t>
            </w:r>
          </w:p>
          <w:p>
            <w:pPr>
              <w:jc w:val="center"/>
              <w:rPr>
                <w:rFonts w:ascii="宋体"/>
                <w:b/>
                <w:sz w:val="20"/>
                <w:szCs w:val="20"/>
              </w:rPr>
            </w:pPr>
            <w:r>
              <w:rPr>
                <w:rFonts w:hint="eastAsia" w:ascii="宋体" w:hAnsi="宋体"/>
                <w:b/>
                <w:sz w:val="20"/>
                <w:szCs w:val="20"/>
              </w:rPr>
              <w:t>配套设施</w:t>
            </w:r>
          </w:p>
        </w:tc>
        <w:tc>
          <w:tcPr>
            <w:tcW w:w="1418" w:type="dxa"/>
            <w:noWrap w:val="0"/>
            <w:vAlign w:val="center"/>
          </w:tcPr>
          <w:p>
            <w:pPr>
              <w:jc w:val="center"/>
              <w:rPr>
                <w:rFonts w:ascii="宋体" w:hAnsi="宋体"/>
                <w:sz w:val="20"/>
                <w:szCs w:val="20"/>
              </w:rPr>
            </w:pPr>
            <w:r>
              <w:rPr>
                <w:rFonts w:hint="eastAsia" w:ascii="宋体" w:hAnsi="宋体"/>
                <w:sz w:val="20"/>
                <w:szCs w:val="20"/>
              </w:rPr>
              <w:t>基础设施</w:t>
            </w:r>
          </w:p>
        </w:tc>
        <w:tc>
          <w:tcPr>
            <w:tcW w:w="6804" w:type="dxa"/>
            <w:noWrap w:val="0"/>
            <w:vAlign w:val="center"/>
          </w:tcPr>
          <w:p>
            <w:pPr>
              <w:jc w:val="center"/>
              <w:rPr>
                <w:rFonts w:ascii="宋体" w:hAnsi="宋体"/>
                <w:sz w:val="20"/>
                <w:szCs w:val="20"/>
              </w:rPr>
            </w:pPr>
            <w:r>
              <w:rPr>
                <w:rFonts w:ascii="宋体" w:hAnsi="宋体"/>
                <w:sz w:val="20"/>
                <w:szCs w:val="20"/>
              </w:rPr>
              <w:fldChar w:fldCharType="begin"/>
            </w:r>
            <w:r>
              <w:rPr>
                <w:rFonts w:ascii="宋体" w:hAnsi="宋体"/>
                <w:sz w:val="20"/>
                <w:szCs w:val="20"/>
              </w:rPr>
              <w:instrText xml:space="preserve"> </w:instrText>
            </w:r>
            <w:r>
              <w:rPr>
                <w:rFonts w:hint="eastAsia" w:ascii="宋体" w:hAnsi="宋体"/>
                <w:sz w:val="20"/>
                <w:szCs w:val="20"/>
              </w:rPr>
              <w:instrText xml:space="preserve">LINK </w:instrText>
            </w:r>
            <w:r>
              <w:rPr>
                <w:rFonts w:ascii="宋体" w:hAnsi="宋体"/>
                <w:sz w:val="20"/>
                <w:szCs w:val="20"/>
              </w:rPr>
              <w:instrText xml:space="preserve">Excel.Sheet.8 "F:\\刘光辉\\文件模板\\00-齐-模板\\000-2016.5.11-  住宅-单套-新规范-2016版-营改增后\\01-比较法计算表.xls" word链接!R12C3 </w:instrText>
            </w:r>
            <w:r>
              <w:rPr>
                <w:rFonts w:hint="eastAsia" w:ascii="宋体" w:hAnsi="宋体"/>
                <w:sz w:val="20"/>
                <w:szCs w:val="20"/>
              </w:rPr>
              <w:instrText xml:space="preserve">\a \t</w:instrText>
            </w:r>
            <w:r>
              <w:rPr>
                <w:rFonts w:ascii="宋体" w:hAnsi="宋体"/>
                <w:sz w:val="20"/>
                <w:szCs w:val="20"/>
              </w:rPr>
              <w:instrText xml:space="preserve">  \* MERGEFORMAT </w:instrText>
            </w:r>
            <w:bookmarkStart w:id="36" w:name="_1528123948"/>
            <w:bookmarkEnd w:id="36"/>
            <w:bookmarkStart w:id="37" w:name="_1491298112"/>
            <w:bookmarkEnd w:id="37"/>
            <w:r>
              <w:rPr>
                <w:rFonts w:hint="eastAsia"/>
                <w:kern w:val="0"/>
                <w:sz w:val="20"/>
                <w:szCs w:val="20"/>
              </w:rPr>
              <w:fldChar w:fldCharType="separate"/>
            </w:r>
            <w:r>
              <w:rPr>
                <w:rFonts w:hint="eastAsia"/>
                <w:sz w:val="20"/>
                <w:szCs w:val="20"/>
              </w:rPr>
              <w:t>道路、供水、排水、供电、通讯</w:t>
            </w:r>
            <w:r>
              <w:rPr>
                <w:rFonts w:ascii="宋体" w:hAnsi="宋体"/>
                <w:sz w:val="20"/>
                <w:szCs w:val="20"/>
              </w:rPr>
              <w:fldChar w:fldCharType="end"/>
            </w:r>
            <w:r>
              <w:rPr>
                <w:rFonts w:hint="eastAsia" w:ascii="宋体" w:hAnsi="宋体"/>
                <w:sz w:val="20"/>
                <w:szCs w:val="20"/>
              </w:rPr>
              <w:t>等基础设施完备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134" w:type="dxa"/>
            <w:vMerge w:val="continue"/>
            <w:noWrap w:val="0"/>
            <w:vAlign w:val="center"/>
          </w:tcPr>
          <w:p>
            <w:pPr>
              <w:jc w:val="center"/>
              <w:rPr>
                <w:rFonts w:ascii="宋体"/>
                <w:b/>
                <w:sz w:val="20"/>
                <w:szCs w:val="20"/>
              </w:rPr>
            </w:pPr>
          </w:p>
        </w:tc>
        <w:tc>
          <w:tcPr>
            <w:tcW w:w="1418" w:type="dxa"/>
            <w:noWrap w:val="0"/>
            <w:vAlign w:val="center"/>
          </w:tcPr>
          <w:p>
            <w:pPr>
              <w:jc w:val="center"/>
              <w:rPr>
                <w:rFonts w:ascii="宋体" w:hAnsi="宋体"/>
                <w:sz w:val="20"/>
                <w:szCs w:val="20"/>
              </w:rPr>
            </w:pPr>
            <w:r>
              <w:rPr>
                <w:rFonts w:hint="eastAsia" w:ascii="宋体" w:hAnsi="宋体"/>
                <w:sz w:val="20"/>
                <w:szCs w:val="20"/>
              </w:rPr>
              <w:t>公共服务设施</w:t>
            </w:r>
          </w:p>
        </w:tc>
        <w:tc>
          <w:tcPr>
            <w:tcW w:w="6804" w:type="dxa"/>
            <w:noWrap w:val="0"/>
            <w:vAlign w:val="center"/>
          </w:tcPr>
          <w:p>
            <w:pPr>
              <w:ind w:firstLine="300" w:firstLineChars="150"/>
              <w:jc w:val="left"/>
              <w:rPr>
                <w:rFonts w:ascii="宋体" w:hAnsi="宋体"/>
                <w:sz w:val="20"/>
                <w:szCs w:val="20"/>
              </w:rPr>
            </w:pPr>
            <w:r>
              <w:rPr>
                <w:rFonts w:hint="eastAsia" w:ascii="宋体" w:hAnsi="宋体"/>
                <w:sz w:val="20"/>
                <w:szCs w:val="20"/>
                <w:lang w:eastAsia="zh-CN"/>
              </w:rPr>
              <w:t>有</w:t>
            </w:r>
            <w:r>
              <w:rPr>
                <w:rFonts w:ascii="宋体" w:hAnsi="宋体"/>
                <w:sz w:val="20"/>
                <w:szCs w:val="20"/>
              </w:rPr>
              <w:t>内乡农商银行、赤眉卫生所、赤眉加油站等，生活配套设施和公共配套设施</w:t>
            </w:r>
            <w:r>
              <w:rPr>
                <w:rFonts w:hint="eastAsia" w:ascii="宋体" w:hAnsi="宋体"/>
                <w:sz w:val="20"/>
                <w:szCs w:val="20"/>
                <w:lang w:eastAsia="zh-CN"/>
              </w:rPr>
              <w:t>一般</w:t>
            </w:r>
            <w:r>
              <w:rPr>
                <w:rFonts w:ascii="宋体" w:hAnsi="宋体"/>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134" w:type="dxa"/>
            <w:vMerge w:val="restart"/>
            <w:noWrap w:val="0"/>
            <w:vAlign w:val="center"/>
          </w:tcPr>
          <w:p>
            <w:pPr>
              <w:jc w:val="center"/>
              <w:rPr>
                <w:rFonts w:ascii="宋体" w:hAnsi="宋体"/>
                <w:b/>
                <w:sz w:val="20"/>
                <w:szCs w:val="20"/>
              </w:rPr>
            </w:pPr>
            <w:r>
              <w:rPr>
                <w:rFonts w:hint="eastAsia" w:ascii="宋体" w:hAnsi="宋体"/>
                <w:b/>
                <w:sz w:val="20"/>
                <w:szCs w:val="20"/>
              </w:rPr>
              <w:t>环境</w:t>
            </w:r>
          </w:p>
          <w:p>
            <w:pPr>
              <w:jc w:val="center"/>
              <w:rPr>
                <w:rFonts w:ascii="宋体"/>
                <w:b/>
                <w:sz w:val="20"/>
                <w:szCs w:val="20"/>
              </w:rPr>
            </w:pPr>
            <w:r>
              <w:rPr>
                <w:rFonts w:hint="eastAsia" w:ascii="宋体" w:hAnsi="宋体"/>
                <w:b/>
                <w:sz w:val="20"/>
                <w:szCs w:val="20"/>
              </w:rPr>
              <w:t>状况</w:t>
            </w:r>
          </w:p>
        </w:tc>
        <w:tc>
          <w:tcPr>
            <w:tcW w:w="1418" w:type="dxa"/>
            <w:noWrap w:val="0"/>
            <w:vAlign w:val="center"/>
          </w:tcPr>
          <w:p>
            <w:pPr>
              <w:jc w:val="center"/>
              <w:rPr>
                <w:rFonts w:ascii="宋体" w:hAnsi="宋体"/>
                <w:sz w:val="20"/>
                <w:szCs w:val="20"/>
              </w:rPr>
            </w:pPr>
            <w:r>
              <w:rPr>
                <w:rFonts w:hint="eastAsia" w:ascii="宋体" w:hAnsi="宋体"/>
                <w:sz w:val="20"/>
                <w:szCs w:val="20"/>
              </w:rPr>
              <w:t>自然环境</w:t>
            </w:r>
          </w:p>
        </w:tc>
        <w:tc>
          <w:tcPr>
            <w:tcW w:w="6804" w:type="dxa"/>
            <w:noWrap w:val="0"/>
            <w:vAlign w:val="center"/>
          </w:tcPr>
          <w:p>
            <w:pPr>
              <w:jc w:val="left"/>
              <w:rPr>
                <w:rFonts w:ascii="宋体" w:hAnsi="宋体"/>
                <w:sz w:val="20"/>
                <w:szCs w:val="20"/>
              </w:rPr>
            </w:pPr>
            <w:r>
              <w:rPr>
                <w:rFonts w:hint="eastAsia" w:ascii="宋体" w:hAnsi="宋体"/>
                <w:sz w:val="20"/>
                <w:szCs w:val="20"/>
              </w:rPr>
              <w:t xml:space="preserve">   </w:t>
            </w:r>
            <w:r>
              <w:rPr>
                <w:rFonts w:ascii="宋体" w:hAnsi="宋体"/>
                <w:sz w:val="20"/>
                <w:szCs w:val="20"/>
              </w:rPr>
              <w:fldChar w:fldCharType="begin"/>
            </w:r>
            <w:r>
              <w:rPr>
                <w:rFonts w:ascii="宋体" w:hAnsi="宋体"/>
                <w:sz w:val="20"/>
                <w:szCs w:val="20"/>
              </w:rPr>
              <w:instrText xml:space="preserve"> </w:instrText>
            </w:r>
            <w:r>
              <w:rPr>
                <w:rFonts w:hint="eastAsia" w:ascii="宋体" w:hAnsi="宋体"/>
                <w:sz w:val="20"/>
                <w:szCs w:val="20"/>
              </w:rPr>
              <w:instrText xml:space="preserve">LINK </w:instrText>
            </w:r>
            <w:r>
              <w:rPr>
                <w:rFonts w:ascii="宋体" w:hAnsi="宋体"/>
                <w:sz w:val="20"/>
                <w:szCs w:val="20"/>
              </w:rPr>
              <w:instrText xml:space="preserve">Excel.Sheet.8 "F:\\刘光辉\\文件模板\\00-齐-模板\\000-2016.5.11-  住宅-单套-新规范-2016版-营改增后\\01-比较法计算表.xls" word链接!R14C3 </w:instrText>
            </w:r>
            <w:r>
              <w:rPr>
                <w:rFonts w:hint="eastAsia" w:ascii="宋体" w:hAnsi="宋体"/>
                <w:sz w:val="20"/>
                <w:szCs w:val="20"/>
              </w:rPr>
              <w:instrText xml:space="preserve">\a \t</w:instrText>
            </w:r>
            <w:r>
              <w:rPr>
                <w:rFonts w:ascii="宋体" w:hAnsi="宋体"/>
                <w:sz w:val="20"/>
                <w:szCs w:val="20"/>
              </w:rPr>
              <w:instrText xml:space="preserve">  \* MERGEFORMAT </w:instrText>
            </w:r>
            <w:bookmarkStart w:id="38" w:name="_1491298110"/>
            <w:bookmarkEnd w:id="38"/>
            <w:bookmarkStart w:id="39" w:name="_1528123952"/>
            <w:bookmarkEnd w:id="39"/>
            <w:bookmarkStart w:id="40" w:name="_1528126044"/>
            <w:bookmarkEnd w:id="40"/>
            <w:r>
              <w:rPr>
                <w:rFonts w:hint="eastAsia"/>
                <w:kern w:val="0"/>
                <w:sz w:val="20"/>
                <w:szCs w:val="20"/>
              </w:rPr>
              <w:fldChar w:fldCharType="separate"/>
            </w:r>
            <w:r>
              <w:rPr>
                <w:rFonts w:hint="eastAsia"/>
                <w:sz w:val="20"/>
                <w:szCs w:val="20"/>
              </w:rPr>
              <w:t>噪音污染程度较低，自然环境状况较好</w:t>
            </w:r>
            <w:r>
              <w:rPr>
                <w:rFonts w:ascii="宋体" w:hAnsi="宋体"/>
                <w:sz w:val="20"/>
                <w:szCs w:val="20"/>
              </w:rPr>
              <w:fldChar w:fldCharType="end"/>
            </w:r>
            <w:r>
              <w:rPr>
                <w:rFonts w:hint="eastAsia" w:ascii="宋体" w:hAnsi="宋体"/>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134" w:type="dxa"/>
            <w:vMerge w:val="continue"/>
            <w:noWrap w:val="0"/>
            <w:vAlign w:val="center"/>
          </w:tcPr>
          <w:p>
            <w:pPr>
              <w:jc w:val="center"/>
              <w:rPr>
                <w:rFonts w:hint="eastAsia" w:ascii="宋体" w:hAnsi="宋体"/>
                <w:b/>
                <w:sz w:val="20"/>
                <w:szCs w:val="20"/>
              </w:rPr>
            </w:pPr>
          </w:p>
        </w:tc>
        <w:tc>
          <w:tcPr>
            <w:tcW w:w="1418" w:type="dxa"/>
            <w:noWrap w:val="0"/>
            <w:vAlign w:val="center"/>
          </w:tcPr>
          <w:p>
            <w:pPr>
              <w:jc w:val="center"/>
              <w:rPr>
                <w:rFonts w:hint="eastAsia" w:ascii="宋体" w:hAnsi="宋体"/>
                <w:sz w:val="20"/>
                <w:szCs w:val="20"/>
              </w:rPr>
            </w:pPr>
            <w:r>
              <w:rPr>
                <w:rFonts w:hint="eastAsia" w:ascii="宋体" w:hAnsi="宋体"/>
                <w:sz w:val="20"/>
                <w:szCs w:val="20"/>
              </w:rPr>
              <w:t>人文环境</w:t>
            </w:r>
          </w:p>
        </w:tc>
        <w:tc>
          <w:tcPr>
            <w:tcW w:w="6804" w:type="dxa"/>
            <w:noWrap w:val="0"/>
            <w:vAlign w:val="center"/>
          </w:tcPr>
          <w:p>
            <w:pPr>
              <w:jc w:val="left"/>
              <w:rPr>
                <w:rFonts w:ascii="宋体" w:hAnsi="宋体"/>
                <w:sz w:val="20"/>
                <w:szCs w:val="20"/>
              </w:rPr>
            </w:pPr>
            <w:r>
              <w:rPr>
                <w:rFonts w:hint="eastAsia"/>
                <w:sz w:val="20"/>
                <w:szCs w:val="20"/>
              </w:rPr>
              <w:t xml:space="preserve">  有成片居住区，社区成熟</w:t>
            </w:r>
            <w:r>
              <w:rPr>
                <w:rFonts w:hint="eastAsia"/>
                <w:sz w:val="20"/>
                <w:szCs w:val="20"/>
                <w:lang w:eastAsia="zh-CN"/>
              </w:rPr>
              <w:t>一般</w:t>
            </w:r>
            <w:r>
              <w:rPr>
                <w:rFonts w:hint="eastAsia"/>
                <w:sz w:val="20"/>
                <w:szCs w:val="20"/>
              </w:rPr>
              <w:t>，人文环境</w:t>
            </w:r>
            <w:r>
              <w:rPr>
                <w:rFonts w:hint="eastAsia"/>
                <w:sz w:val="20"/>
                <w:szCs w:val="20"/>
                <w:lang w:eastAsia="zh-CN"/>
              </w:rPr>
              <w:t>一般</w:t>
            </w:r>
            <w:r>
              <w:rPr>
                <w:rFonts w:hint="eastAsia"/>
                <w:sz w:val="20"/>
                <w:szCs w:val="20"/>
              </w:rPr>
              <w:t>。</w:t>
            </w:r>
          </w:p>
        </w:tc>
      </w:tr>
    </w:tbl>
    <w:p>
      <w:pPr>
        <w:spacing w:line="540" w:lineRule="exact"/>
        <w:ind w:firstLine="560" w:firstLineChars="200"/>
        <w:rPr>
          <w:rFonts w:hint="eastAsia" w:ascii="宋体" w:hAnsi="宋体"/>
          <w:sz w:val="28"/>
        </w:rPr>
      </w:pPr>
      <w:r>
        <w:rPr>
          <w:rFonts w:hint="eastAsia" w:ascii="宋体" w:hAnsi="宋体"/>
          <w:sz w:val="28"/>
        </w:rPr>
        <w:t>(3)实物状况描述</w:t>
      </w:r>
    </w:p>
    <w:p>
      <w:pPr>
        <w:spacing w:line="540" w:lineRule="exact"/>
        <w:ind w:firstLine="560" w:firstLineChars="200"/>
        <w:rPr>
          <w:rFonts w:hint="eastAsia" w:ascii="宋体" w:hAnsi="宋体" w:cs="宋体"/>
          <w:sz w:val="28"/>
        </w:rPr>
      </w:pPr>
      <w:r>
        <w:rPr>
          <w:rFonts w:hint="eastAsia" w:ascii="宋体" w:hAnsi="宋体"/>
          <w:bCs/>
          <w:sz w:val="28"/>
          <w:szCs w:val="28"/>
        </w:rPr>
        <w:t>①</w:t>
      </w:r>
      <w:r>
        <w:rPr>
          <w:rFonts w:hint="eastAsia" w:ascii="宋体" w:hAnsi="宋体" w:cs="宋体"/>
          <w:sz w:val="28"/>
        </w:rPr>
        <w:t>土地实物状况</w:t>
      </w:r>
    </w:p>
    <w:p>
      <w:pPr>
        <w:spacing w:line="540" w:lineRule="exact"/>
        <w:ind w:firstLine="560" w:firstLineChars="200"/>
        <w:rPr>
          <w:rFonts w:hint="eastAsia"/>
          <w:sz w:val="28"/>
          <w:szCs w:val="28"/>
        </w:rPr>
      </w:pPr>
      <w:r>
        <w:rPr>
          <w:rFonts w:hint="eastAsia"/>
          <w:sz w:val="28"/>
          <w:szCs w:val="28"/>
        </w:rPr>
        <w:t>土地实物状况描述包含位置、面积、地形地势、地质、基础设施完备度、宗地内开发程度等因素，详见下表：</w:t>
      </w:r>
    </w:p>
    <w:p>
      <w:pPr>
        <w:spacing w:after="156" w:afterLines="50" w:line="520" w:lineRule="exact"/>
        <w:jc w:val="center"/>
        <w:rPr>
          <w:rFonts w:hint="eastAsia" w:ascii="黑体" w:hAnsi="黑体" w:eastAsia="黑体"/>
          <w:sz w:val="26"/>
          <w:szCs w:val="26"/>
        </w:rPr>
      </w:pPr>
      <w:r>
        <w:rPr>
          <w:rFonts w:hint="eastAsia" w:ascii="黑体" w:hAnsi="黑体" w:eastAsia="黑体"/>
          <w:sz w:val="26"/>
          <w:szCs w:val="26"/>
        </w:rPr>
        <w:t>土地实物状况表</w:t>
      </w:r>
    </w:p>
    <w:tbl>
      <w:tblPr>
        <w:tblStyle w:val="27"/>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7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701" w:type="dxa"/>
            <w:noWrap w:val="0"/>
            <w:vAlign w:val="center"/>
          </w:tcPr>
          <w:p>
            <w:pPr>
              <w:jc w:val="center"/>
              <w:rPr>
                <w:rFonts w:ascii="宋体"/>
                <w:b/>
                <w:sz w:val="20"/>
                <w:szCs w:val="20"/>
              </w:rPr>
            </w:pPr>
            <w:r>
              <w:rPr>
                <w:rFonts w:hint="eastAsia" w:ascii="宋体" w:hAnsi="宋体"/>
                <w:b/>
                <w:sz w:val="20"/>
                <w:szCs w:val="20"/>
              </w:rPr>
              <w:t>位置</w:t>
            </w:r>
          </w:p>
        </w:tc>
        <w:tc>
          <w:tcPr>
            <w:tcW w:w="7797" w:type="dxa"/>
            <w:noWrap w:val="0"/>
            <w:vAlign w:val="center"/>
          </w:tcPr>
          <w:p>
            <w:pPr>
              <w:jc w:val="center"/>
              <w:rPr>
                <w:rFonts w:hint="eastAsia" w:ascii="宋体"/>
                <w:sz w:val="20"/>
                <w:szCs w:val="20"/>
              </w:rPr>
            </w:pPr>
            <w:r>
              <w:rPr>
                <w:rFonts w:ascii="宋体" w:hAnsi="宋体"/>
                <w:sz w:val="20"/>
                <w:szCs w:val="20"/>
              </w:rPr>
              <w:t>S249西侧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701" w:type="dxa"/>
            <w:noWrap w:val="0"/>
            <w:vAlign w:val="center"/>
          </w:tcPr>
          <w:p>
            <w:pPr>
              <w:jc w:val="center"/>
              <w:rPr>
                <w:rFonts w:ascii="宋体"/>
                <w:b/>
                <w:sz w:val="20"/>
                <w:szCs w:val="20"/>
              </w:rPr>
            </w:pPr>
            <w:r>
              <w:rPr>
                <w:rFonts w:hint="eastAsia" w:ascii="宋体" w:hAnsi="宋体"/>
                <w:b/>
                <w:sz w:val="20"/>
                <w:szCs w:val="20"/>
              </w:rPr>
              <w:t>地形地势</w:t>
            </w:r>
          </w:p>
        </w:tc>
        <w:tc>
          <w:tcPr>
            <w:tcW w:w="7797" w:type="dxa"/>
            <w:noWrap w:val="0"/>
            <w:vAlign w:val="center"/>
          </w:tcPr>
          <w:p>
            <w:pPr>
              <w:jc w:val="center"/>
              <w:rPr>
                <w:rFonts w:ascii="宋体" w:hAnsi="宋体"/>
                <w:sz w:val="20"/>
                <w:szCs w:val="20"/>
              </w:rPr>
            </w:pPr>
            <w:r>
              <w:rPr>
                <w:rFonts w:hint="eastAsia" w:ascii="宋体" w:hAnsi="宋体"/>
                <w:sz w:val="20"/>
                <w:szCs w:val="20"/>
              </w:rPr>
              <w:t>地势平坦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701" w:type="dxa"/>
            <w:noWrap w:val="0"/>
            <w:vAlign w:val="center"/>
          </w:tcPr>
          <w:p>
            <w:pPr>
              <w:jc w:val="center"/>
              <w:rPr>
                <w:rFonts w:ascii="宋体"/>
                <w:b/>
                <w:sz w:val="20"/>
                <w:szCs w:val="20"/>
              </w:rPr>
            </w:pPr>
            <w:r>
              <w:rPr>
                <w:rFonts w:hint="eastAsia" w:ascii="宋体" w:hAnsi="宋体"/>
                <w:b/>
                <w:sz w:val="20"/>
                <w:szCs w:val="20"/>
              </w:rPr>
              <w:t>地质</w:t>
            </w:r>
          </w:p>
        </w:tc>
        <w:tc>
          <w:tcPr>
            <w:tcW w:w="7797" w:type="dxa"/>
            <w:noWrap w:val="0"/>
            <w:vAlign w:val="center"/>
          </w:tcPr>
          <w:p>
            <w:pPr>
              <w:jc w:val="center"/>
              <w:rPr>
                <w:rFonts w:ascii="宋体" w:hAnsi="宋体"/>
                <w:sz w:val="20"/>
                <w:szCs w:val="20"/>
              </w:rPr>
            </w:pPr>
            <w:r>
              <w:rPr>
                <w:rFonts w:hint="eastAsia" w:ascii="宋体" w:hAnsi="宋体"/>
                <w:sz w:val="20"/>
                <w:szCs w:val="20"/>
              </w:rPr>
              <w:t>地基承载力较高</w:t>
            </w:r>
            <w:r>
              <w:rPr>
                <w:rFonts w:ascii="宋体" w:hAnsi="宋体"/>
                <w:sz w:val="20"/>
                <w:szCs w:val="20"/>
              </w:rPr>
              <w:t>,</w:t>
            </w:r>
            <w:r>
              <w:rPr>
                <w:rFonts w:hint="eastAsia" w:ascii="宋体" w:hAnsi="宋体"/>
                <w:sz w:val="20"/>
                <w:szCs w:val="20"/>
              </w:rPr>
              <w:t>地质条件较好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701" w:type="dxa"/>
            <w:noWrap w:val="0"/>
            <w:vAlign w:val="center"/>
          </w:tcPr>
          <w:p>
            <w:pPr>
              <w:jc w:val="center"/>
              <w:rPr>
                <w:rFonts w:ascii="宋体"/>
                <w:b/>
                <w:sz w:val="20"/>
                <w:szCs w:val="20"/>
              </w:rPr>
            </w:pPr>
            <w:r>
              <w:rPr>
                <w:rFonts w:hint="eastAsia" w:ascii="宋体" w:hAnsi="宋体"/>
                <w:b/>
                <w:sz w:val="20"/>
                <w:szCs w:val="20"/>
              </w:rPr>
              <w:t>基础设施完备度</w:t>
            </w:r>
          </w:p>
        </w:tc>
        <w:tc>
          <w:tcPr>
            <w:tcW w:w="7797" w:type="dxa"/>
            <w:noWrap w:val="0"/>
            <w:vAlign w:val="center"/>
          </w:tcPr>
          <w:p>
            <w:pPr>
              <w:jc w:val="center"/>
              <w:rPr>
                <w:rFonts w:ascii="宋体" w:hAnsi="宋体"/>
                <w:sz w:val="20"/>
                <w:szCs w:val="20"/>
              </w:rPr>
            </w:pPr>
            <w:r>
              <w:rPr>
                <w:rFonts w:ascii="宋体" w:hAnsi="宋体"/>
                <w:sz w:val="20"/>
                <w:szCs w:val="20"/>
              </w:rPr>
              <w:fldChar w:fldCharType="begin"/>
            </w:r>
            <w:r>
              <w:rPr>
                <w:rFonts w:ascii="宋体" w:hAnsi="宋体"/>
                <w:sz w:val="20"/>
                <w:szCs w:val="20"/>
              </w:rPr>
              <w:instrText xml:space="preserve"> </w:instrText>
            </w:r>
            <w:r>
              <w:rPr>
                <w:rFonts w:hint="eastAsia" w:ascii="宋体" w:hAnsi="宋体"/>
                <w:sz w:val="20"/>
                <w:szCs w:val="20"/>
              </w:rPr>
              <w:instrText xml:space="preserve">LINK </w:instrText>
            </w:r>
            <w:r>
              <w:rPr>
                <w:rFonts w:ascii="宋体" w:hAnsi="宋体"/>
                <w:sz w:val="20"/>
                <w:szCs w:val="20"/>
              </w:rPr>
              <w:instrText xml:space="preserve">Excel.Sheet.8 "F:\\刘光辉\\文件模板\\00-齐-模板\\000-2016.5.11-  住宅-单套-新规范-2016版-营改增后\\01-比较法计算表.xls" word链接!R15C3 </w:instrText>
            </w:r>
            <w:r>
              <w:rPr>
                <w:rFonts w:hint="eastAsia" w:ascii="宋体" w:hAnsi="宋体"/>
                <w:sz w:val="20"/>
                <w:szCs w:val="20"/>
              </w:rPr>
              <w:instrText xml:space="preserve">\a \t</w:instrText>
            </w:r>
            <w:r>
              <w:rPr>
                <w:rFonts w:ascii="宋体" w:hAnsi="宋体"/>
                <w:sz w:val="20"/>
                <w:szCs w:val="20"/>
              </w:rPr>
              <w:instrText xml:space="preserve">  \* MERGEFORMAT </w:instrText>
            </w:r>
            <w:r>
              <w:rPr>
                <w:rFonts w:hint="eastAsia"/>
                <w:kern w:val="0"/>
                <w:sz w:val="20"/>
                <w:szCs w:val="20"/>
              </w:rPr>
              <w:fldChar w:fldCharType="separate"/>
            </w:r>
            <w:r>
              <w:rPr>
                <w:rFonts w:hint="eastAsia" w:ascii="宋体" w:hAnsi="宋体"/>
                <w:sz w:val="20"/>
                <w:szCs w:val="20"/>
              </w:rPr>
              <w:t>宗地外部</w:t>
            </w:r>
            <w:r>
              <w:rPr>
                <w:rFonts w:hint="eastAsia" w:ascii="宋体" w:hAnsi="宋体"/>
                <w:sz w:val="20"/>
                <w:szCs w:val="20"/>
                <w:lang w:eastAsia="zh-CN"/>
              </w:rPr>
              <w:t>五</w:t>
            </w:r>
            <w:r>
              <w:rPr>
                <w:rFonts w:hint="eastAsia" w:ascii="宋体" w:hAnsi="宋体"/>
                <w:sz w:val="20"/>
                <w:szCs w:val="20"/>
              </w:rPr>
              <w:t>通（通路、通电、通讯、通上水、通下水）</w:t>
            </w:r>
            <w:r>
              <w:rPr>
                <w:rFonts w:ascii="宋体" w:hAnsi="宋体"/>
                <w:sz w:val="20"/>
                <w:szCs w:val="20"/>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701" w:type="dxa"/>
            <w:noWrap w:val="0"/>
            <w:vAlign w:val="center"/>
          </w:tcPr>
          <w:p>
            <w:pPr>
              <w:jc w:val="center"/>
              <w:rPr>
                <w:rFonts w:ascii="宋体"/>
                <w:b/>
                <w:sz w:val="20"/>
                <w:szCs w:val="20"/>
              </w:rPr>
            </w:pPr>
            <w:r>
              <w:rPr>
                <w:rFonts w:hint="eastAsia" w:ascii="宋体" w:hAnsi="宋体"/>
                <w:b/>
                <w:sz w:val="20"/>
                <w:szCs w:val="20"/>
              </w:rPr>
              <w:t>宗地内开发程度</w:t>
            </w:r>
          </w:p>
        </w:tc>
        <w:tc>
          <w:tcPr>
            <w:tcW w:w="7797" w:type="dxa"/>
            <w:noWrap w:val="0"/>
            <w:vAlign w:val="center"/>
          </w:tcPr>
          <w:p>
            <w:pPr>
              <w:jc w:val="center"/>
              <w:rPr>
                <w:rFonts w:ascii="宋体" w:hAnsi="宋体"/>
                <w:sz w:val="20"/>
                <w:szCs w:val="20"/>
              </w:rPr>
            </w:pPr>
            <w:r>
              <w:rPr>
                <w:rFonts w:ascii="宋体" w:hAnsi="宋体"/>
                <w:sz w:val="20"/>
                <w:szCs w:val="20"/>
              </w:rPr>
              <w:fldChar w:fldCharType="begin"/>
            </w:r>
            <w:r>
              <w:rPr>
                <w:rFonts w:ascii="宋体" w:hAnsi="宋体"/>
                <w:sz w:val="20"/>
                <w:szCs w:val="20"/>
              </w:rPr>
              <w:instrText xml:space="preserve"> </w:instrText>
            </w:r>
            <w:r>
              <w:rPr>
                <w:rFonts w:hint="eastAsia" w:ascii="宋体" w:hAnsi="宋体"/>
                <w:sz w:val="20"/>
                <w:szCs w:val="20"/>
              </w:rPr>
              <w:instrText xml:space="preserve">LINK </w:instrText>
            </w:r>
            <w:r>
              <w:rPr>
                <w:rFonts w:ascii="宋体" w:hAnsi="宋体"/>
                <w:sz w:val="20"/>
                <w:szCs w:val="20"/>
              </w:rPr>
              <w:instrText xml:space="preserve">Excel.Sheet.8 "F:\\刘光辉\\文件模板\\00-齐-模板\\000-2016.5.11-  住宅-单套-新规范-2016版-营改增后\\01-比较法计算表.xls" word链接!R16C3 </w:instrText>
            </w:r>
            <w:r>
              <w:rPr>
                <w:rFonts w:hint="eastAsia" w:ascii="宋体" w:hAnsi="宋体"/>
                <w:sz w:val="20"/>
                <w:szCs w:val="20"/>
              </w:rPr>
              <w:instrText xml:space="preserve">\a \t</w:instrText>
            </w:r>
            <w:r>
              <w:rPr>
                <w:rFonts w:ascii="宋体" w:hAnsi="宋体"/>
                <w:sz w:val="20"/>
                <w:szCs w:val="20"/>
              </w:rPr>
              <w:instrText xml:space="preserve">  \* MERGEFORMAT </w:instrText>
            </w:r>
            <w:r>
              <w:rPr>
                <w:rFonts w:hint="eastAsia"/>
                <w:kern w:val="0"/>
                <w:sz w:val="20"/>
                <w:szCs w:val="20"/>
              </w:rPr>
              <w:fldChar w:fldCharType="separate"/>
            </w:r>
            <w:r>
              <w:rPr>
                <w:rFonts w:hint="eastAsia" w:ascii="宋体" w:hAnsi="宋体"/>
                <w:sz w:val="20"/>
                <w:szCs w:val="20"/>
              </w:rPr>
              <w:t>“</w:t>
            </w:r>
            <w:r>
              <w:rPr>
                <w:rFonts w:hint="eastAsia" w:ascii="宋体" w:hAnsi="宋体"/>
                <w:sz w:val="20"/>
                <w:szCs w:val="20"/>
                <w:lang w:eastAsia="zh-CN"/>
              </w:rPr>
              <w:t>五</w:t>
            </w:r>
            <w:r>
              <w:rPr>
                <w:rFonts w:hint="eastAsia" w:ascii="宋体" w:hAnsi="宋体"/>
                <w:sz w:val="20"/>
                <w:szCs w:val="20"/>
              </w:rPr>
              <w:t>通一平”（通路、通电、通讯、通上水、通下水及场地平整）</w:t>
            </w:r>
            <w:r>
              <w:rPr>
                <w:rFonts w:ascii="宋体" w:hAnsi="宋体"/>
                <w:sz w:val="20"/>
                <w:szCs w:val="20"/>
              </w:rPr>
              <w:fldChar w:fldCharType="end"/>
            </w:r>
          </w:p>
        </w:tc>
      </w:tr>
    </w:tbl>
    <w:p>
      <w:pPr>
        <w:spacing w:line="500" w:lineRule="exact"/>
        <w:ind w:firstLine="560" w:firstLineChars="200"/>
        <w:rPr>
          <w:rFonts w:hint="eastAsia" w:ascii="宋体" w:hAnsi="宋体"/>
          <w:sz w:val="28"/>
        </w:rPr>
      </w:pPr>
      <w:r>
        <w:rPr>
          <w:rFonts w:hint="eastAsia" w:ascii="宋体" w:hAnsi="宋体"/>
          <w:sz w:val="28"/>
          <w:szCs w:val="28"/>
        </w:rPr>
        <w:t>②</w:t>
      </w:r>
      <w:r>
        <w:rPr>
          <w:rFonts w:hint="eastAsia" w:ascii="宋体" w:hAnsi="宋体"/>
          <w:sz w:val="28"/>
        </w:rPr>
        <w:t>建筑物实物状况描述</w:t>
      </w:r>
    </w:p>
    <w:p>
      <w:pPr>
        <w:spacing w:line="500" w:lineRule="exact"/>
        <w:ind w:firstLine="560" w:firstLineChars="200"/>
        <w:rPr>
          <w:rFonts w:hint="eastAsia"/>
          <w:sz w:val="28"/>
          <w:szCs w:val="28"/>
        </w:rPr>
      </w:pPr>
      <w:r>
        <w:rPr>
          <w:rFonts w:hint="eastAsia"/>
          <w:sz w:val="28"/>
          <w:szCs w:val="28"/>
        </w:rPr>
        <w:t>建筑物实物状况描述包含名称、规模、建筑结构、设施设备、装饰装修、层高、空间布局、建成年份、建筑功能、工程质量、外观、新旧程度（工程进度）、物业管理等因素。详见下表：</w:t>
      </w:r>
    </w:p>
    <w:p>
      <w:pPr>
        <w:spacing w:after="156" w:afterLines="50" w:line="520" w:lineRule="exact"/>
        <w:jc w:val="center"/>
        <w:rPr>
          <w:rFonts w:hint="eastAsia" w:ascii="黑体" w:hAnsi="黑体" w:eastAsia="黑体"/>
          <w:sz w:val="26"/>
          <w:szCs w:val="26"/>
        </w:rPr>
      </w:pPr>
      <w:r>
        <w:rPr>
          <w:rFonts w:hint="eastAsia" w:ascii="黑体" w:hAnsi="黑体" w:eastAsia="黑体"/>
          <w:sz w:val="26"/>
          <w:szCs w:val="26"/>
        </w:rPr>
        <w:t>建筑物实物状况表</w:t>
      </w:r>
    </w:p>
    <w:tbl>
      <w:tblPr>
        <w:tblStyle w:val="27"/>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6"/>
        <w:gridCol w:w="3758"/>
        <w:gridCol w:w="1156"/>
        <w:gridCol w:w="3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atLeast"/>
        </w:trPr>
        <w:tc>
          <w:tcPr>
            <w:tcW w:w="1156" w:type="dxa"/>
            <w:noWrap w:val="0"/>
            <w:vAlign w:val="center"/>
          </w:tcPr>
          <w:p>
            <w:pPr>
              <w:jc w:val="center"/>
              <w:rPr>
                <w:rFonts w:ascii="宋体"/>
                <w:b/>
                <w:sz w:val="20"/>
                <w:szCs w:val="20"/>
              </w:rPr>
            </w:pPr>
            <w:r>
              <w:rPr>
                <w:rFonts w:hint="eastAsia" w:ascii="宋体"/>
                <w:b/>
                <w:sz w:val="20"/>
                <w:szCs w:val="20"/>
              </w:rPr>
              <w:t>小区名称</w:t>
            </w:r>
          </w:p>
        </w:tc>
        <w:tc>
          <w:tcPr>
            <w:tcW w:w="3758" w:type="dxa"/>
            <w:tcBorders>
              <w:right w:val="single" w:color="auto" w:sz="4" w:space="0"/>
            </w:tcBorders>
            <w:noWrap w:val="0"/>
            <w:vAlign w:val="center"/>
          </w:tcPr>
          <w:p>
            <w:pPr>
              <w:jc w:val="center"/>
              <w:rPr>
                <w:rFonts w:hint="eastAsia" w:ascii="宋体" w:eastAsia="宋体"/>
                <w:sz w:val="20"/>
                <w:szCs w:val="20"/>
                <w:lang w:eastAsia="zh-CN"/>
              </w:rPr>
            </w:pPr>
            <w:r>
              <w:rPr>
                <w:rFonts w:hint="eastAsia" w:ascii="宋体"/>
                <w:sz w:val="20"/>
                <w:szCs w:val="20"/>
                <w:lang w:eastAsia="zh-CN"/>
              </w:rPr>
              <w:t>赤眉村</w:t>
            </w:r>
          </w:p>
        </w:tc>
        <w:tc>
          <w:tcPr>
            <w:tcW w:w="1156" w:type="dxa"/>
            <w:tcBorders>
              <w:left w:val="single" w:color="auto" w:sz="4" w:space="0"/>
              <w:right w:val="single" w:color="auto" w:sz="4" w:space="0"/>
            </w:tcBorders>
            <w:noWrap w:val="0"/>
            <w:vAlign w:val="center"/>
          </w:tcPr>
          <w:p>
            <w:pPr>
              <w:jc w:val="center"/>
              <w:rPr>
                <w:rFonts w:ascii="宋体"/>
                <w:b/>
                <w:sz w:val="20"/>
                <w:szCs w:val="20"/>
              </w:rPr>
            </w:pPr>
            <w:r>
              <w:rPr>
                <w:rFonts w:hint="eastAsia" w:ascii="宋体"/>
                <w:b/>
                <w:sz w:val="20"/>
                <w:szCs w:val="20"/>
              </w:rPr>
              <w:t>建筑规模</w:t>
            </w:r>
          </w:p>
        </w:tc>
        <w:tc>
          <w:tcPr>
            <w:tcW w:w="3468" w:type="dxa"/>
            <w:tcBorders>
              <w:left w:val="single" w:color="auto" w:sz="4" w:space="0"/>
            </w:tcBorders>
            <w:noWrap w:val="0"/>
            <w:vAlign w:val="center"/>
          </w:tcPr>
          <w:p>
            <w:pPr>
              <w:jc w:val="center"/>
              <w:rPr>
                <w:rFonts w:ascii="宋体"/>
                <w:sz w:val="20"/>
                <w:szCs w:val="20"/>
              </w:rPr>
            </w:pPr>
            <w:r>
              <w:rPr>
                <w:rFonts w:hint="eastAsia" w:ascii="宋体"/>
                <w:sz w:val="20"/>
                <w:szCs w:val="20"/>
              </w:rPr>
              <w:t>房地产建筑面积为133.7m²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1156" w:type="dxa"/>
            <w:noWrap w:val="0"/>
            <w:vAlign w:val="center"/>
          </w:tcPr>
          <w:p>
            <w:pPr>
              <w:jc w:val="center"/>
              <w:rPr>
                <w:rFonts w:ascii="宋体"/>
                <w:b/>
                <w:sz w:val="20"/>
                <w:szCs w:val="20"/>
              </w:rPr>
            </w:pPr>
            <w:r>
              <w:rPr>
                <w:rFonts w:hint="eastAsia" w:ascii="宋体"/>
                <w:b/>
                <w:sz w:val="20"/>
                <w:szCs w:val="20"/>
              </w:rPr>
              <w:t>建筑结构</w:t>
            </w:r>
          </w:p>
        </w:tc>
        <w:tc>
          <w:tcPr>
            <w:tcW w:w="3758" w:type="dxa"/>
            <w:tcBorders>
              <w:right w:val="single" w:color="auto" w:sz="4" w:space="0"/>
            </w:tcBorders>
            <w:noWrap w:val="0"/>
            <w:vAlign w:val="center"/>
          </w:tcPr>
          <w:p>
            <w:pPr>
              <w:jc w:val="center"/>
              <w:rPr>
                <w:rFonts w:hint="eastAsia" w:ascii="宋体"/>
                <w:sz w:val="20"/>
                <w:szCs w:val="20"/>
              </w:rPr>
            </w:pPr>
            <w:r>
              <w:rPr>
                <w:rFonts w:ascii="宋体"/>
                <w:sz w:val="20"/>
                <w:szCs w:val="20"/>
              </w:rPr>
              <w:t>混合</w:t>
            </w:r>
          </w:p>
        </w:tc>
        <w:tc>
          <w:tcPr>
            <w:tcW w:w="1156" w:type="dxa"/>
            <w:tcBorders>
              <w:left w:val="single" w:color="auto" w:sz="4" w:space="0"/>
              <w:right w:val="single" w:color="auto" w:sz="4" w:space="0"/>
            </w:tcBorders>
            <w:noWrap w:val="0"/>
            <w:vAlign w:val="center"/>
          </w:tcPr>
          <w:p>
            <w:pPr>
              <w:jc w:val="center"/>
              <w:rPr>
                <w:rFonts w:hint="eastAsia" w:ascii="宋体"/>
                <w:b/>
                <w:sz w:val="20"/>
                <w:szCs w:val="20"/>
              </w:rPr>
            </w:pPr>
            <w:r>
              <w:rPr>
                <w:rFonts w:hint="eastAsia" w:ascii="宋体"/>
                <w:b/>
                <w:sz w:val="20"/>
                <w:szCs w:val="20"/>
              </w:rPr>
              <w:t>建成年份</w:t>
            </w:r>
          </w:p>
        </w:tc>
        <w:tc>
          <w:tcPr>
            <w:tcW w:w="3468" w:type="dxa"/>
            <w:tcBorders>
              <w:left w:val="single" w:color="auto" w:sz="4" w:space="0"/>
            </w:tcBorders>
            <w:noWrap w:val="0"/>
            <w:vAlign w:val="center"/>
          </w:tcPr>
          <w:p>
            <w:pPr>
              <w:jc w:val="center"/>
              <w:rPr>
                <w:rFonts w:hint="eastAsia" w:ascii="宋体"/>
                <w:sz w:val="20"/>
                <w:szCs w:val="20"/>
              </w:rPr>
            </w:pPr>
            <w:r>
              <w:rPr>
                <w:rFonts w:ascii="宋体"/>
                <w:sz w:val="20"/>
                <w:szCs w:val="20"/>
              </w:rPr>
              <w:t>1992年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1156" w:type="dxa"/>
            <w:noWrap w:val="0"/>
            <w:vAlign w:val="center"/>
          </w:tcPr>
          <w:p>
            <w:pPr>
              <w:jc w:val="center"/>
              <w:rPr>
                <w:rFonts w:ascii="宋体"/>
                <w:b/>
                <w:sz w:val="20"/>
                <w:szCs w:val="20"/>
              </w:rPr>
            </w:pPr>
            <w:r>
              <w:rPr>
                <w:rFonts w:hint="eastAsia" w:ascii="宋体"/>
                <w:b/>
                <w:sz w:val="20"/>
                <w:szCs w:val="20"/>
              </w:rPr>
              <w:t>空间布局</w:t>
            </w:r>
          </w:p>
        </w:tc>
        <w:tc>
          <w:tcPr>
            <w:tcW w:w="3758" w:type="dxa"/>
            <w:tcBorders>
              <w:right w:val="single" w:color="auto" w:sz="4" w:space="0"/>
            </w:tcBorders>
            <w:noWrap w:val="0"/>
            <w:vAlign w:val="center"/>
          </w:tcPr>
          <w:p>
            <w:pPr>
              <w:jc w:val="center"/>
              <w:rPr>
                <w:rFonts w:hint="eastAsia" w:ascii="宋体"/>
                <w:sz w:val="20"/>
                <w:szCs w:val="20"/>
                <w:highlight w:val="none"/>
              </w:rPr>
            </w:pPr>
            <w:r>
              <w:rPr>
                <w:rFonts w:hint="eastAsia" w:ascii="宋体"/>
                <w:sz w:val="20"/>
                <w:szCs w:val="20"/>
                <w:highlight w:val="none"/>
                <w:lang w:eastAsia="zh-CN"/>
              </w:rPr>
              <w:t>布局合理</w:t>
            </w:r>
            <w:r>
              <w:rPr>
                <w:rFonts w:hint="eastAsia" w:ascii="宋体"/>
                <w:sz w:val="20"/>
                <w:szCs w:val="20"/>
                <w:highlight w:val="none"/>
              </w:rPr>
              <w:t>，层高正常</w:t>
            </w:r>
          </w:p>
        </w:tc>
        <w:tc>
          <w:tcPr>
            <w:tcW w:w="1156" w:type="dxa"/>
            <w:tcBorders>
              <w:left w:val="single" w:color="auto" w:sz="4" w:space="0"/>
              <w:right w:val="single" w:color="auto" w:sz="4" w:space="0"/>
            </w:tcBorders>
            <w:noWrap w:val="0"/>
            <w:vAlign w:val="center"/>
          </w:tcPr>
          <w:p>
            <w:pPr>
              <w:jc w:val="center"/>
              <w:rPr>
                <w:rFonts w:ascii="宋体"/>
                <w:b/>
                <w:sz w:val="20"/>
                <w:szCs w:val="20"/>
                <w:highlight w:val="none"/>
              </w:rPr>
            </w:pPr>
            <w:r>
              <w:rPr>
                <w:rFonts w:hint="eastAsia" w:ascii="宋体"/>
                <w:b/>
                <w:sz w:val="20"/>
                <w:szCs w:val="20"/>
                <w:highlight w:val="none"/>
              </w:rPr>
              <w:t>建筑功能</w:t>
            </w:r>
          </w:p>
        </w:tc>
        <w:tc>
          <w:tcPr>
            <w:tcW w:w="3468" w:type="dxa"/>
            <w:tcBorders>
              <w:left w:val="single" w:color="auto" w:sz="4" w:space="0"/>
            </w:tcBorders>
            <w:noWrap w:val="0"/>
            <w:vAlign w:val="center"/>
          </w:tcPr>
          <w:p>
            <w:pPr>
              <w:jc w:val="center"/>
              <w:rPr>
                <w:rFonts w:hint="eastAsia" w:ascii="宋体"/>
                <w:sz w:val="20"/>
                <w:szCs w:val="20"/>
                <w:highlight w:val="none"/>
              </w:rPr>
            </w:pPr>
            <w:r>
              <w:rPr>
                <w:rFonts w:ascii="宋体"/>
                <w:sz w:val="20"/>
                <w:szCs w:val="20"/>
                <w:highlight w:val="none"/>
              </w:rPr>
              <w:t>住宅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1156" w:type="dxa"/>
            <w:noWrap w:val="0"/>
            <w:vAlign w:val="center"/>
          </w:tcPr>
          <w:p>
            <w:pPr>
              <w:jc w:val="center"/>
              <w:rPr>
                <w:rFonts w:ascii="宋体"/>
                <w:b/>
                <w:sz w:val="20"/>
                <w:szCs w:val="20"/>
              </w:rPr>
            </w:pPr>
            <w:r>
              <w:rPr>
                <w:rFonts w:hint="eastAsia" w:ascii="宋体"/>
                <w:b/>
                <w:sz w:val="20"/>
                <w:szCs w:val="20"/>
              </w:rPr>
              <w:t>工程质量</w:t>
            </w:r>
          </w:p>
        </w:tc>
        <w:tc>
          <w:tcPr>
            <w:tcW w:w="3758" w:type="dxa"/>
            <w:tcBorders>
              <w:right w:val="single" w:color="auto" w:sz="4" w:space="0"/>
            </w:tcBorders>
            <w:noWrap w:val="0"/>
            <w:vAlign w:val="center"/>
          </w:tcPr>
          <w:p>
            <w:pPr>
              <w:jc w:val="center"/>
              <w:rPr>
                <w:rFonts w:ascii="宋体"/>
                <w:sz w:val="20"/>
                <w:szCs w:val="20"/>
                <w:highlight w:val="none"/>
              </w:rPr>
            </w:pPr>
            <w:r>
              <w:rPr>
                <w:rFonts w:hint="eastAsia" w:ascii="宋体"/>
                <w:sz w:val="20"/>
                <w:szCs w:val="20"/>
                <w:highlight w:val="none"/>
              </w:rPr>
              <w:t>主体结构坚固</w:t>
            </w:r>
            <w:r>
              <w:rPr>
                <w:rFonts w:ascii="宋体"/>
                <w:sz w:val="20"/>
                <w:szCs w:val="20"/>
                <w:highlight w:val="none"/>
              </w:rPr>
              <w:t>,</w:t>
            </w:r>
            <w:r>
              <w:rPr>
                <w:rFonts w:hint="eastAsia" w:ascii="宋体"/>
                <w:sz w:val="20"/>
                <w:szCs w:val="20"/>
                <w:highlight w:val="none"/>
              </w:rPr>
              <w:t>整体质量良好</w:t>
            </w:r>
          </w:p>
        </w:tc>
        <w:tc>
          <w:tcPr>
            <w:tcW w:w="1156" w:type="dxa"/>
            <w:tcBorders>
              <w:left w:val="single" w:color="auto" w:sz="4" w:space="0"/>
              <w:right w:val="single" w:color="auto" w:sz="4" w:space="0"/>
            </w:tcBorders>
            <w:noWrap w:val="0"/>
            <w:vAlign w:val="center"/>
          </w:tcPr>
          <w:p>
            <w:pPr>
              <w:jc w:val="center"/>
              <w:rPr>
                <w:rFonts w:ascii="宋体"/>
                <w:b/>
                <w:sz w:val="20"/>
                <w:szCs w:val="20"/>
                <w:highlight w:val="none"/>
              </w:rPr>
            </w:pPr>
            <w:r>
              <w:rPr>
                <w:rFonts w:hint="eastAsia" w:ascii="宋体"/>
                <w:b/>
                <w:sz w:val="20"/>
                <w:szCs w:val="20"/>
                <w:highlight w:val="none"/>
              </w:rPr>
              <w:t>新旧程度</w:t>
            </w:r>
            <w:r>
              <w:rPr>
                <w:rFonts w:ascii="宋体"/>
                <w:b/>
                <w:sz w:val="20"/>
                <w:szCs w:val="20"/>
                <w:highlight w:val="none"/>
              </w:rPr>
              <w:t xml:space="preserve">      </w:t>
            </w:r>
          </w:p>
        </w:tc>
        <w:tc>
          <w:tcPr>
            <w:tcW w:w="3468" w:type="dxa"/>
            <w:tcBorders>
              <w:left w:val="single" w:color="auto" w:sz="4" w:space="0"/>
            </w:tcBorders>
            <w:noWrap w:val="0"/>
            <w:vAlign w:val="center"/>
          </w:tcPr>
          <w:p>
            <w:pPr>
              <w:jc w:val="center"/>
              <w:rPr>
                <w:rFonts w:hint="eastAsia" w:ascii="宋体"/>
                <w:sz w:val="20"/>
                <w:szCs w:val="20"/>
                <w:highlight w:val="none"/>
              </w:rPr>
            </w:pPr>
            <w:r>
              <w:rPr>
                <w:rFonts w:ascii="宋体"/>
                <w:sz w:val="20"/>
                <w:szCs w:val="20"/>
                <w:highlight w:val="none"/>
              </w:rPr>
              <w:fldChar w:fldCharType="begin"/>
            </w:r>
            <w:r>
              <w:rPr>
                <w:rFonts w:ascii="宋体"/>
                <w:sz w:val="20"/>
                <w:szCs w:val="20"/>
                <w:highlight w:val="none"/>
              </w:rPr>
              <w:instrText xml:space="preserve"> </w:instrText>
            </w:r>
            <w:r>
              <w:rPr>
                <w:rFonts w:hint="eastAsia" w:ascii="宋体"/>
                <w:sz w:val="20"/>
                <w:szCs w:val="20"/>
                <w:highlight w:val="none"/>
              </w:rPr>
              <w:instrText xml:space="preserve">LINK </w:instrText>
            </w:r>
            <w:r>
              <w:rPr>
                <w:rFonts w:ascii="宋体"/>
                <w:sz w:val="20"/>
                <w:szCs w:val="20"/>
                <w:highlight w:val="none"/>
              </w:rPr>
              <w:instrText xml:space="preserve">Excel.Sheet.8</w:instrText>
            </w:r>
            <w:r>
              <w:rPr>
                <w:rFonts w:hint="eastAsia" w:ascii="宋体"/>
                <w:sz w:val="20"/>
                <w:szCs w:val="20"/>
                <w:highlight w:val="none"/>
              </w:rPr>
              <w:instrText xml:space="preserve"> "F:\\刘光辉\\文件模板\\00-齐-模板\\000-2016.5.11-  住宅-单套-新规范-2016版-营改增后\\01-比较法计算表.xls" word链接!R3C3 \a \t</w:instrText>
            </w:r>
            <w:r>
              <w:rPr>
                <w:rFonts w:ascii="宋体"/>
                <w:sz w:val="20"/>
                <w:szCs w:val="20"/>
                <w:highlight w:val="none"/>
              </w:rPr>
              <w:instrText xml:space="preserve">  \* MERGEFORMAT </w:instrText>
            </w:r>
            <w:bookmarkStart w:id="41" w:name="_1491297909"/>
            <w:bookmarkEnd w:id="41"/>
            <w:bookmarkStart w:id="42" w:name="_1528123975"/>
            <w:bookmarkEnd w:id="42"/>
            <w:r>
              <w:rPr>
                <w:rFonts w:hint="eastAsia"/>
                <w:kern w:val="0"/>
                <w:sz w:val="20"/>
                <w:szCs w:val="20"/>
                <w:highlight w:val="none"/>
              </w:rPr>
              <w:fldChar w:fldCharType="separate"/>
            </w:r>
            <w:r>
              <w:rPr>
                <w:rFonts w:hint="eastAsia" w:ascii="宋体"/>
                <w:sz w:val="20"/>
                <w:szCs w:val="20"/>
                <w:highlight w:val="none"/>
              </w:rPr>
              <w:t>维护和保养状况较</w:t>
            </w:r>
            <w:r>
              <w:rPr>
                <w:rFonts w:hint="eastAsia" w:ascii="宋体"/>
                <w:sz w:val="20"/>
                <w:szCs w:val="20"/>
                <w:highlight w:val="none"/>
                <w:lang w:eastAsia="zh-CN"/>
              </w:rPr>
              <w:t>差</w:t>
            </w:r>
            <w:r>
              <w:rPr>
                <w:rFonts w:hint="eastAsia" w:ascii="宋体"/>
                <w:sz w:val="20"/>
                <w:szCs w:val="20"/>
                <w:highlight w:val="none"/>
              </w:rPr>
              <w:t>，新旧程度较</w:t>
            </w:r>
            <w:r>
              <w:rPr>
                <w:rFonts w:hint="eastAsia" w:ascii="宋体"/>
                <w:sz w:val="20"/>
                <w:szCs w:val="20"/>
                <w:highlight w:val="none"/>
                <w:lang w:eastAsia="zh-CN"/>
              </w:rPr>
              <w:t>旧</w:t>
            </w:r>
            <w:r>
              <w:rPr>
                <w:rFonts w:ascii="宋体"/>
                <w:sz w:val="20"/>
                <w:szCs w:val="20"/>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1156" w:type="dxa"/>
            <w:noWrap w:val="0"/>
            <w:vAlign w:val="center"/>
          </w:tcPr>
          <w:p>
            <w:pPr>
              <w:jc w:val="center"/>
              <w:rPr>
                <w:rFonts w:hint="eastAsia" w:ascii="宋体"/>
                <w:b/>
                <w:sz w:val="20"/>
                <w:szCs w:val="20"/>
              </w:rPr>
            </w:pPr>
            <w:r>
              <w:rPr>
                <w:rFonts w:hint="eastAsia" w:ascii="宋体"/>
                <w:b/>
                <w:sz w:val="20"/>
                <w:szCs w:val="20"/>
              </w:rPr>
              <w:t>物业管理</w:t>
            </w:r>
          </w:p>
        </w:tc>
        <w:tc>
          <w:tcPr>
            <w:tcW w:w="3758" w:type="dxa"/>
            <w:tcBorders>
              <w:right w:val="single" w:color="auto" w:sz="4" w:space="0"/>
            </w:tcBorders>
            <w:noWrap w:val="0"/>
            <w:vAlign w:val="center"/>
          </w:tcPr>
          <w:p>
            <w:pPr>
              <w:jc w:val="center"/>
              <w:rPr>
                <w:rFonts w:hint="eastAsia" w:ascii="宋体" w:eastAsia="宋体"/>
                <w:sz w:val="20"/>
                <w:szCs w:val="20"/>
                <w:lang w:eastAsia="zh-CN"/>
              </w:rPr>
            </w:pPr>
            <w:r>
              <w:rPr>
                <w:rFonts w:hint="eastAsia" w:ascii="宋体"/>
                <w:sz w:val="20"/>
                <w:szCs w:val="20"/>
                <w:lang w:eastAsia="zh-CN"/>
              </w:rPr>
              <w:t>无物业管理</w:t>
            </w:r>
          </w:p>
        </w:tc>
        <w:tc>
          <w:tcPr>
            <w:tcW w:w="1156" w:type="dxa"/>
            <w:tcBorders>
              <w:left w:val="single" w:color="auto" w:sz="4" w:space="0"/>
              <w:right w:val="single" w:color="auto" w:sz="4" w:space="0"/>
            </w:tcBorders>
            <w:noWrap w:val="0"/>
            <w:vAlign w:val="center"/>
          </w:tcPr>
          <w:p>
            <w:pPr>
              <w:jc w:val="center"/>
              <w:rPr>
                <w:rFonts w:hint="eastAsia" w:ascii="宋体"/>
                <w:b/>
                <w:sz w:val="20"/>
                <w:szCs w:val="20"/>
              </w:rPr>
            </w:pPr>
            <w:r>
              <w:rPr>
                <w:rFonts w:hint="eastAsia" w:ascii="宋体"/>
                <w:b/>
                <w:sz w:val="20"/>
                <w:szCs w:val="20"/>
              </w:rPr>
              <w:t>通风采光</w:t>
            </w:r>
          </w:p>
        </w:tc>
        <w:tc>
          <w:tcPr>
            <w:tcW w:w="3468" w:type="dxa"/>
            <w:tcBorders>
              <w:left w:val="single" w:color="auto" w:sz="4" w:space="0"/>
            </w:tcBorders>
            <w:noWrap w:val="0"/>
            <w:vAlign w:val="center"/>
          </w:tcPr>
          <w:p>
            <w:pPr>
              <w:jc w:val="center"/>
              <w:rPr>
                <w:rFonts w:ascii="宋体"/>
                <w:sz w:val="20"/>
                <w:szCs w:val="20"/>
              </w:rPr>
            </w:pPr>
            <w:r>
              <w:rPr>
                <w:rFonts w:ascii="宋体"/>
                <w:sz w:val="20"/>
                <w:szCs w:val="20"/>
              </w:rPr>
              <w:fldChar w:fldCharType="begin"/>
            </w:r>
            <w:r>
              <w:rPr>
                <w:rFonts w:ascii="宋体"/>
                <w:sz w:val="20"/>
                <w:szCs w:val="20"/>
              </w:rPr>
              <w:instrText xml:space="preserve"> </w:instrText>
            </w:r>
            <w:r>
              <w:rPr>
                <w:rFonts w:hint="eastAsia" w:ascii="宋体"/>
                <w:sz w:val="20"/>
                <w:szCs w:val="20"/>
              </w:rPr>
              <w:instrText xml:space="preserve">LINK </w:instrText>
            </w:r>
            <w:r>
              <w:rPr>
                <w:rFonts w:ascii="宋体"/>
                <w:sz w:val="20"/>
                <w:szCs w:val="20"/>
              </w:rPr>
              <w:instrText xml:space="preserve">Excel.Sheet.8</w:instrText>
            </w:r>
            <w:r>
              <w:rPr>
                <w:rFonts w:hint="eastAsia" w:ascii="宋体"/>
                <w:sz w:val="20"/>
                <w:szCs w:val="20"/>
              </w:rPr>
              <w:instrText xml:space="preserve"> "F:\\刘光辉\\文件模板\\00-齐-模板\\000-2016.5.11-  住宅-单套-新规范-2016版-营改增后\\01-比较法计算表.xls" word链接!R23C1 \a \t</w:instrText>
            </w:r>
            <w:r>
              <w:rPr>
                <w:rFonts w:ascii="宋体"/>
                <w:sz w:val="20"/>
                <w:szCs w:val="20"/>
              </w:rPr>
              <w:instrText xml:space="preserve">  \* MERGEFORMAT </w:instrText>
            </w:r>
            <w:r>
              <w:rPr>
                <w:rFonts w:ascii="宋体"/>
                <w:sz w:val="20"/>
                <w:szCs w:val="20"/>
              </w:rPr>
              <w:fldChar w:fldCharType="separate"/>
            </w:r>
            <w:r>
              <w:rPr>
                <w:rFonts w:hint="eastAsia" w:ascii="宋体"/>
                <w:sz w:val="20"/>
                <w:szCs w:val="20"/>
              </w:rPr>
              <w:t>较好</w:t>
            </w:r>
            <w:r>
              <w:rPr>
                <w:rFonts w:ascii="宋体"/>
                <w:sz w:val="20"/>
                <w:szCs w:val="20"/>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7" w:hRule="atLeast"/>
        </w:trPr>
        <w:tc>
          <w:tcPr>
            <w:tcW w:w="1156" w:type="dxa"/>
            <w:noWrap w:val="0"/>
            <w:vAlign w:val="center"/>
          </w:tcPr>
          <w:p>
            <w:pPr>
              <w:jc w:val="center"/>
              <w:rPr>
                <w:rFonts w:ascii="宋体"/>
                <w:b/>
                <w:sz w:val="20"/>
                <w:szCs w:val="20"/>
              </w:rPr>
            </w:pPr>
            <w:r>
              <w:rPr>
                <w:rFonts w:hint="eastAsia" w:ascii="宋体"/>
                <w:b/>
                <w:sz w:val="20"/>
                <w:szCs w:val="20"/>
              </w:rPr>
              <w:t>装饰装修</w:t>
            </w:r>
          </w:p>
        </w:tc>
        <w:tc>
          <w:tcPr>
            <w:tcW w:w="8382" w:type="dxa"/>
            <w:gridSpan w:val="3"/>
            <w:noWrap w:val="0"/>
            <w:vAlign w:val="center"/>
          </w:tcPr>
          <w:p>
            <w:pPr>
              <w:ind w:firstLine="400" w:firstLineChars="200"/>
              <w:jc w:val="left"/>
              <w:rPr>
                <w:rFonts w:hint="eastAsia" w:ascii="宋体"/>
                <w:sz w:val="20"/>
                <w:szCs w:val="20"/>
              </w:rPr>
            </w:pPr>
            <w:r>
              <w:rPr>
                <w:rFonts w:hint="eastAsia" w:ascii="宋体"/>
                <w:sz w:val="20"/>
                <w:szCs w:val="20"/>
              </w:rPr>
              <w:t>外墙贴瓷片，入户门木门、卷帘门，户内水泥地面，内墙</w:t>
            </w:r>
            <w:r>
              <w:rPr>
                <w:rFonts w:hint="eastAsia" w:ascii="宋体"/>
                <w:sz w:val="20"/>
                <w:szCs w:val="20"/>
                <w:lang w:eastAsia="zh-CN"/>
              </w:rPr>
              <w:t>、</w:t>
            </w:r>
            <w:r>
              <w:rPr>
                <w:rFonts w:hint="eastAsia" w:ascii="宋体"/>
                <w:sz w:val="20"/>
                <w:szCs w:val="20"/>
              </w:rPr>
              <w:t>顶面涂料粉刷，户内为老式木门、木窗。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1156" w:type="dxa"/>
            <w:noWrap w:val="0"/>
            <w:vAlign w:val="center"/>
          </w:tcPr>
          <w:p>
            <w:pPr>
              <w:jc w:val="center"/>
              <w:rPr>
                <w:rFonts w:ascii="宋体"/>
                <w:b/>
                <w:sz w:val="20"/>
                <w:szCs w:val="20"/>
              </w:rPr>
            </w:pPr>
            <w:r>
              <w:rPr>
                <w:rFonts w:hint="eastAsia" w:ascii="宋体"/>
                <w:b/>
                <w:sz w:val="20"/>
                <w:szCs w:val="20"/>
              </w:rPr>
              <w:t>设施设备</w:t>
            </w:r>
          </w:p>
        </w:tc>
        <w:tc>
          <w:tcPr>
            <w:tcW w:w="8382" w:type="dxa"/>
            <w:gridSpan w:val="3"/>
            <w:noWrap w:val="0"/>
            <w:vAlign w:val="center"/>
          </w:tcPr>
          <w:p>
            <w:pPr>
              <w:jc w:val="center"/>
              <w:rPr>
                <w:rFonts w:hint="eastAsia" w:ascii="宋体"/>
                <w:sz w:val="20"/>
                <w:szCs w:val="20"/>
              </w:rPr>
            </w:pPr>
            <w:r>
              <w:rPr>
                <w:rFonts w:ascii="宋体"/>
                <w:sz w:val="20"/>
                <w:szCs w:val="20"/>
              </w:rPr>
              <w:t xml:space="preserve">    配套</w:t>
            </w:r>
            <w:r>
              <w:rPr>
                <w:rFonts w:hint="eastAsia" w:ascii="宋体"/>
                <w:sz w:val="20"/>
                <w:szCs w:val="20"/>
                <w:lang w:eastAsia="zh-CN"/>
              </w:rPr>
              <w:t>有</w:t>
            </w:r>
            <w:r>
              <w:rPr>
                <w:rFonts w:ascii="宋体"/>
                <w:sz w:val="20"/>
                <w:szCs w:val="20"/>
                <w:highlight w:val="none"/>
              </w:rPr>
              <w:t>电等</w:t>
            </w:r>
            <w:r>
              <w:rPr>
                <w:rFonts w:hint="eastAsia" w:ascii="宋体"/>
                <w:sz w:val="20"/>
                <w:szCs w:val="20"/>
                <w:highlight w:val="none"/>
                <w:lang w:eastAsia="zh-CN"/>
              </w:rPr>
              <w:t>设施</w:t>
            </w:r>
            <w:r>
              <w:rPr>
                <w:rFonts w:ascii="宋体"/>
                <w:sz w:val="20"/>
                <w:szCs w:val="20"/>
              </w:rPr>
              <w:t>。</w:t>
            </w:r>
          </w:p>
        </w:tc>
      </w:tr>
    </w:tbl>
    <w:p>
      <w:pPr>
        <w:spacing w:line="500" w:lineRule="exact"/>
        <w:ind w:firstLine="560" w:firstLineChars="200"/>
        <w:rPr>
          <w:rFonts w:hint="eastAsia" w:ascii="宋体" w:hAnsi="宋体"/>
          <w:sz w:val="28"/>
        </w:rPr>
      </w:pPr>
      <w:r>
        <w:rPr>
          <w:rFonts w:hint="eastAsia" w:ascii="宋体" w:hAnsi="宋体"/>
          <w:sz w:val="28"/>
        </w:rPr>
        <w:t>（4）估价对象权益状况描述</w:t>
      </w:r>
    </w:p>
    <w:p>
      <w:pPr>
        <w:spacing w:line="500" w:lineRule="exact"/>
        <w:ind w:firstLine="560" w:firstLineChars="200"/>
        <w:rPr>
          <w:rFonts w:hint="eastAsia"/>
          <w:sz w:val="28"/>
          <w:szCs w:val="28"/>
        </w:rPr>
      </w:pPr>
      <w:r>
        <w:rPr>
          <w:rFonts w:hint="eastAsia"/>
          <w:sz w:val="28"/>
          <w:szCs w:val="28"/>
        </w:rPr>
        <w:t>估价对象权益状况包含用途、规划条件、所有权、土地使用权、共有情况、用益物权设立情况、担保物权设立情况、租赁或占用情况</w:t>
      </w:r>
      <w:r>
        <w:rPr>
          <w:rFonts w:hint="eastAsia"/>
          <w:sz w:val="28"/>
          <w:szCs w:val="28"/>
          <w:lang w:eastAsia="zh-CN"/>
        </w:rPr>
        <w:t>、</w:t>
      </w:r>
      <w:r>
        <w:rPr>
          <w:rFonts w:hint="eastAsia"/>
          <w:sz w:val="28"/>
          <w:szCs w:val="28"/>
        </w:rPr>
        <w:t>查封等形式限制权力情况、权属清晰情况等。详见下表：</w:t>
      </w:r>
    </w:p>
    <w:p>
      <w:pPr>
        <w:spacing w:after="156" w:afterLines="50" w:line="520" w:lineRule="exact"/>
        <w:jc w:val="center"/>
        <w:rPr>
          <w:rFonts w:hint="eastAsia" w:ascii="黑体" w:hAnsi="黑体" w:eastAsia="黑体"/>
          <w:sz w:val="26"/>
          <w:szCs w:val="26"/>
        </w:rPr>
      </w:pPr>
      <w:r>
        <w:rPr>
          <w:rFonts w:hint="eastAsia" w:ascii="黑体" w:hAnsi="黑体" w:eastAsia="黑体"/>
          <w:sz w:val="26"/>
          <w:szCs w:val="26"/>
        </w:rPr>
        <w:t>房地产权益状况表</w:t>
      </w:r>
    </w:p>
    <w:tbl>
      <w:tblPr>
        <w:tblStyle w:val="27"/>
        <w:tblW w:w="0" w:type="auto"/>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64"/>
        <w:gridCol w:w="2404"/>
        <w:gridCol w:w="1344"/>
        <w:gridCol w:w="3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2064"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房屋所有权人</w:t>
            </w:r>
          </w:p>
        </w:tc>
        <w:tc>
          <w:tcPr>
            <w:tcW w:w="7008" w:type="dxa"/>
            <w:gridSpan w:val="3"/>
            <w:noWrap w:val="0"/>
            <w:vAlign w:val="center"/>
          </w:tcPr>
          <w:p>
            <w:pPr>
              <w:widowControl/>
              <w:jc w:val="center"/>
              <w:rPr>
                <w:rFonts w:hint="eastAsia" w:ascii="宋体" w:hAnsi="宋体"/>
                <w:sz w:val="20"/>
                <w:szCs w:val="20"/>
              </w:rPr>
            </w:pPr>
            <w:r>
              <w:rPr>
                <w:rFonts w:hint="eastAsia" w:ascii="宋体" w:hAnsi="宋体" w:cs="宋体"/>
                <w:bCs/>
                <w:kern w:val="0"/>
                <w:sz w:val="20"/>
                <w:szCs w:val="20"/>
                <w:lang w:eastAsia="zh-CN"/>
              </w:rPr>
              <w:t>贾保成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2064"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房屋所有权证</w:t>
            </w:r>
            <w:r>
              <w:rPr>
                <w:rFonts w:hint="eastAsia" w:ascii="宋体" w:hAnsi="宋体" w:cs="宋体"/>
                <w:b/>
                <w:bCs/>
                <w:kern w:val="0"/>
                <w:sz w:val="20"/>
                <w:szCs w:val="20"/>
                <w:lang w:eastAsia="zh-CN"/>
              </w:rPr>
              <w:t>存根</w:t>
            </w:r>
            <w:r>
              <w:rPr>
                <w:rFonts w:hint="eastAsia" w:ascii="宋体" w:hAnsi="宋体" w:cs="宋体"/>
                <w:b/>
                <w:bCs/>
                <w:kern w:val="0"/>
                <w:sz w:val="20"/>
                <w:szCs w:val="20"/>
              </w:rPr>
              <w:t>号</w:t>
            </w:r>
          </w:p>
        </w:tc>
        <w:tc>
          <w:tcPr>
            <w:tcW w:w="7008" w:type="dxa"/>
            <w:gridSpan w:val="3"/>
            <w:noWrap w:val="0"/>
            <w:vAlign w:val="center"/>
          </w:tcPr>
          <w:p>
            <w:pPr>
              <w:widowControl/>
              <w:jc w:val="center"/>
              <w:rPr>
                <w:rFonts w:hint="eastAsia" w:ascii="宋体" w:hAnsi="宋体" w:eastAsia="宋体" w:cs="宋体"/>
                <w:bCs/>
                <w:kern w:val="0"/>
                <w:sz w:val="20"/>
                <w:szCs w:val="20"/>
                <w:lang w:eastAsia="zh-CN"/>
              </w:rPr>
            </w:pPr>
            <w:r>
              <w:rPr>
                <w:rFonts w:hint="eastAsia" w:ascii="宋体" w:hAnsi="宋体" w:cs="宋体"/>
                <w:bCs/>
                <w:kern w:val="0"/>
                <w:sz w:val="20"/>
                <w:szCs w:val="20"/>
                <w:lang w:eastAsia="zh-CN"/>
              </w:rPr>
              <w:t>房权证内房字第0701333号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2064"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规划用途</w:t>
            </w:r>
          </w:p>
        </w:tc>
        <w:tc>
          <w:tcPr>
            <w:tcW w:w="2404" w:type="dxa"/>
            <w:tcBorders>
              <w:right w:val="single" w:color="auto" w:sz="4" w:space="0"/>
            </w:tcBorders>
            <w:noWrap w:val="0"/>
            <w:vAlign w:val="center"/>
          </w:tcPr>
          <w:p>
            <w:pPr>
              <w:widowControl/>
              <w:jc w:val="center"/>
              <w:rPr>
                <w:rFonts w:hint="eastAsia" w:ascii="宋体" w:hAnsi="宋体" w:cs="宋体"/>
                <w:bCs/>
                <w:kern w:val="0"/>
                <w:sz w:val="20"/>
                <w:szCs w:val="20"/>
              </w:rPr>
            </w:pPr>
            <w:r>
              <w:rPr>
                <w:rFonts w:ascii="宋体" w:hAnsi="宋体" w:cs="宋体"/>
                <w:bCs/>
                <w:kern w:val="0"/>
                <w:sz w:val="20"/>
                <w:szCs w:val="20"/>
              </w:rPr>
              <w:t>住宅</w:t>
            </w:r>
          </w:p>
        </w:tc>
        <w:tc>
          <w:tcPr>
            <w:tcW w:w="1344" w:type="dxa"/>
            <w:tcBorders>
              <w:left w:val="single" w:color="auto" w:sz="4" w:space="0"/>
              <w:right w:val="single" w:color="auto" w:sz="4" w:space="0"/>
            </w:tcBorders>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规划条件</w:t>
            </w:r>
          </w:p>
        </w:tc>
        <w:tc>
          <w:tcPr>
            <w:tcW w:w="3260" w:type="dxa"/>
            <w:tcBorders>
              <w:lef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符合城市规划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2064" w:type="dxa"/>
            <w:noWrap w:val="0"/>
            <w:vAlign w:val="center"/>
          </w:tcPr>
          <w:p>
            <w:pPr>
              <w:widowControl/>
              <w:jc w:val="center"/>
              <w:rPr>
                <w:rFonts w:hint="eastAsia" w:ascii="宋体" w:hAnsi="宋体" w:eastAsia="宋体" w:cs="宋体"/>
                <w:b/>
                <w:bCs/>
                <w:kern w:val="0"/>
                <w:sz w:val="20"/>
                <w:szCs w:val="20"/>
                <w:lang w:eastAsia="zh-CN"/>
              </w:rPr>
            </w:pPr>
            <w:r>
              <w:rPr>
                <w:rFonts w:hint="eastAsia" w:ascii="宋体" w:hAnsi="宋体" w:cs="宋体"/>
                <w:b/>
                <w:bCs/>
                <w:kern w:val="0"/>
                <w:sz w:val="20"/>
                <w:szCs w:val="20"/>
              </w:rPr>
              <w:t>土地</w:t>
            </w:r>
            <w:r>
              <w:rPr>
                <w:rFonts w:hint="eastAsia" w:ascii="宋体" w:hAnsi="宋体" w:cs="宋体"/>
                <w:b/>
                <w:bCs/>
                <w:kern w:val="0"/>
                <w:sz w:val="20"/>
                <w:szCs w:val="20"/>
                <w:lang w:eastAsia="zh-CN"/>
              </w:rPr>
              <w:t>性质</w:t>
            </w:r>
          </w:p>
        </w:tc>
        <w:tc>
          <w:tcPr>
            <w:tcW w:w="2404" w:type="dxa"/>
            <w:tcBorders>
              <w:right w:val="single" w:color="auto" w:sz="4" w:space="0"/>
            </w:tcBorders>
            <w:noWrap w:val="0"/>
            <w:vAlign w:val="center"/>
          </w:tcPr>
          <w:p>
            <w:pPr>
              <w:widowControl/>
              <w:jc w:val="center"/>
              <w:rPr>
                <w:rFonts w:hint="eastAsia" w:ascii="宋体" w:hAnsi="宋体" w:eastAsia="宋体" w:cs="宋体"/>
                <w:bCs/>
                <w:kern w:val="0"/>
                <w:sz w:val="20"/>
                <w:szCs w:val="20"/>
                <w:lang w:eastAsia="zh-CN"/>
              </w:rPr>
            </w:pPr>
            <w:r>
              <w:rPr>
                <w:rFonts w:hint="eastAsia" w:ascii="宋体" w:hAnsi="宋体" w:cs="宋体"/>
                <w:bCs/>
                <w:kern w:val="0"/>
                <w:sz w:val="20"/>
                <w:szCs w:val="20"/>
                <w:lang w:eastAsia="zh-CN"/>
              </w:rPr>
              <w:t>集体土地</w:t>
            </w:r>
          </w:p>
        </w:tc>
        <w:tc>
          <w:tcPr>
            <w:tcW w:w="1344" w:type="dxa"/>
            <w:tcBorders>
              <w:left w:val="single" w:color="auto" w:sz="4" w:space="0"/>
              <w:right w:val="single" w:color="auto" w:sz="4" w:space="0"/>
            </w:tcBorders>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用益物权</w:t>
            </w:r>
          </w:p>
        </w:tc>
        <w:tc>
          <w:tcPr>
            <w:tcW w:w="3260" w:type="dxa"/>
            <w:tcBorders>
              <w:left w:val="single" w:color="auto" w:sz="4" w:space="0"/>
            </w:tcBorders>
            <w:noWrap w:val="0"/>
            <w:vAlign w:val="center"/>
          </w:tcPr>
          <w:p>
            <w:pPr>
              <w:widowControl/>
              <w:jc w:val="center"/>
              <w:rPr>
                <w:rFonts w:hint="eastAsia" w:ascii="宋体" w:hAnsi="宋体" w:cs="宋体"/>
                <w:bCs/>
                <w:kern w:val="0"/>
                <w:sz w:val="20"/>
                <w:szCs w:val="20"/>
              </w:rPr>
            </w:pPr>
            <w:r>
              <w:rPr>
                <w:rFonts w:hint="eastAsia" w:ascii="宋体" w:hAnsi="宋体" w:cs="宋体"/>
                <w:bCs/>
                <w:kern w:val="0"/>
                <w:sz w:val="20"/>
                <w:szCs w:val="20"/>
              </w:rPr>
              <w:t>未设立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2064"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担保物权</w:t>
            </w:r>
          </w:p>
        </w:tc>
        <w:tc>
          <w:tcPr>
            <w:tcW w:w="2404" w:type="dxa"/>
            <w:tcBorders>
              <w:right w:val="single" w:color="auto" w:sz="4" w:space="0"/>
            </w:tcBorders>
            <w:noWrap w:val="0"/>
            <w:vAlign w:val="center"/>
          </w:tcPr>
          <w:p>
            <w:pPr>
              <w:widowControl/>
              <w:jc w:val="center"/>
              <w:rPr>
                <w:rFonts w:hint="eastAsia" w:ascii="宋体" w:hAnsi="宋体" w:eastAsia="宋体" w:cs="宋体"/>
                <w:bCs/>
                <w:kern w:val="0"/>
                <w:sz w:val="20"/>
                <w:szCs w:val="20"/>
                <w:lang w:eastAsia="zh-CN"/>
              </w:rPr>
            </w:pPr>
            <w:r>
              <w:rPr>
                <w:rFonts w:hint="eastAsia" w:ascii="宋体" w:hAnsi="宋体" w:cs="宋体"/>
                <w:bCs/>
                <w:kern w:val="0"/>
                <w:sz w:val="20"/>
                <w:szCs w:val="20"/>
                <w:lang w:eastAsia="zh-CN"/>
              </w:rPr>
              <w:t>未设立</w:t>
            </w:r>
          </w:p>
        </w:tc>
        <w:tc>
          <w:tcPr>
            <w:tcW w:w="1344" w:type="dxa"/>
            <w:tcBorders>
              <w:left w:val="single" w:color="auto" w:sz="4" w:space="0"/>
              <w:right w:val="single" w:color="auto" w:sz="4" w:space="0"/>
            </w:tcBorders>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租赁情况</w:t>
            </w:r>
          </w:p>
        </w:tc>
        <w:tc>
          <w:tcPr>
            <w:tcW w:w="3260" w:type="dxa"/>
            <w:tcBorders>
              <w:left w:val="single" w:color="auto" w:sz="4" w:space="0"/>
            </w:tcBorders>
            <w:noWrap w:val="0"/>
            <w:vAlign w:val="center"/>
          </w:tcPr>
          <w:p>
            <w:pPr>
              <w:widowControl/>
              <w:jc w:val="center"/>
              <w:rPr>
                <w:rFonts w:hint="eastAsia" w:ascii="宋体" w:hAnsi="宋体" w:cs="宋体"/>
                <w:bCs/>
                <w:kern w:val="0"/>
                <w:sz w:val="20"/>
                <w:szCs w:val="20"/>
              </w:rPr>
            </w:pPr>
            <w:r>
              <w:rPr>
                <w:rFonts w:hint="eastAsia" w:ascii="宋体" w:hAnsi="宋体" w:cs="宋体"/>
                <w:bCs/>
                <w:kern w:val="0"/>
                <w:sz w:val="20"/>
                <w:szCs w:val="20"/>
              </w:rPr>
              <w:t>闲置</w:t>
            </w:r>
          </w:p>
        </w:tc>
      </w:tr>
    </w:tbl>
    <w:p>
      <w:pPr>
        <w:pStyle w:val="3"/>
        <w:spacing w:before="156" w:beforeLines="50" w:after="156" w:afterLines="50"/>
        <w:ind w:firstLine="551" w:firstLineChars="196"/>
        <w:rPr>
          <w:rFonts w:hint="eastAsia" w:eastAsia="宋体"/>
          <w:lang w:val="en-US" w:eastAsia="zh-CN"/>
        </w:rPr>
      </w:pPr>
      <w:bookmarkStart w:id="43" w:name="_Toc2545"/>
      <w:r>
        <w:rPr>
          <w:rFonts w:hint="eastAsia"/>
        </w:rPr>
        <w:t>（五）价值时点</w:t>
      </w:r>
      <w:bookmarkEnd w:id="33"/>
      <w:bookmarkEnd w:id="43"/>
    </w:p>
    <w:p>
      <w:pPr>
        <w:spacing w:line="600" w:lineRule="exact"/>
        <w:ind w:firstLine="560" w:firstLineChars="200"/>
        <w:rPr>
          <w:rFonts w:hint="eastAsia" w:ascii="宋体" w:hAnsi="宋体"/>
          <w:sz w:val="28"/>
          <w:szCs w:val="28"/>
        </w:rPr>
      </w:pPr>
      <w:r>
        <w:rPr>
          <w:rFonts w:hint="eastAsia" w:ascii="宋体" w:hAnsi="宋体" w:eastAsia="宋体" w:cs="Times New Roman"/>
          <w:sz w:val="28"/>
          <w:szCs w:val="28"/>
          <w:highlight w:val="none"/>
          <w:lang w:val="en-US" w:eastAsia="zh-CN"/>
        </w:rPr>
        <w:t>根据《涉执房地产处置司法评估指导意见》第十条，人民法院未明确价值时点的，一般以评估对象实地查勘完成之日作为价值时点，本次价值时点确定为实地查勘日</w:t>
      </w:r>
      <w:r>
        <w:rPr>
          <w:rFonts w:hint="eastAsia" w:ascii="宋体" w:hAnsi="宋体"/>
          <w:sz w:val="28"/>
          <w:szCs w:val="28"/>
        </w:rPr>
        <w:t>,即</w:t>
      </w:r>
      <w:r>
        <w:rPr>
          <w:rFonts w:ascii="宋体" w:hAnsi="宋体"/>
          <w:sz w:val="28"/>
          <w:szCs w:val="28"/>
        </w:rPr>
        <w:t>二〇二二年五月三十一日</w:t>
      </w:r>
      <w:r>
        <w:rPr>
          <w:rFonts w:hint="eastAsia" w:ascii="宋体" w:hAnsi="宋体"/>
          <w:sz w:val="28"/>
          <w:szCs w:val="28"/>
        </w:rPr>
        <w:t>。</w:t>
      </w:r>
    </w:p>
    <w:p>
      <w:pPr>
        <w:pStyle w:val="3"/>
        <w:spacing w:before="156" w:beforeLines="50" w:after="156" w:afterLines="50"/>
        <w:ind w:firstLine="551" w:firstLineChars="196"/>
        <w:rPr>
          <w:rFonts w:hint="eastAsia"/>
        </w:rPr>
      </w:pPr>
      <w:bookmarkStart w:id="44" w:name="_Toc275767919"/>
      <w:bookmarkStart w:id="45" w:name="_Toc7233"/>
      <w:r>
        <w:rPr>
          <w:rFonts w:hint="eastAsia"/>
        </w:rPr>
        <w:t>（六）价值类型</w:t>
      </w:r>
      <w:bookmarkEnd w:id="44"/>
      <w:bookmarkEnd w:id="45"/>
    </w:p>
    <w:p>
      <w:pPr>
        <w:spacing w:line="480" w:lineRule="exact"/>
        <w:ind w:firstLine="560" w:firstLineChars="200"/>
        <w:rPr>
          <w:rFonts w:hint="eastAsia" w:ascii="宋体" w:hAnsi="宋体"/>
          <w:sz w:val="28"/>
          <w:szCs w:val="28"/>
        </w:rPr>
      </w:pPr>
      <w:bookmarkStart w:id="46" w:name="_Toc275767921"/>
      <w:bookmarkStart w:id="47" w:name="_Toc275767920"/>
      <w:r>
        <w:rPr>
          <w:rFonts w:hint="eastAsia" w:ascii="宋体" w:hAnsi="宋体"/>
          <w:sz w:val="28"/>
          <w:szCs w:val="28"/>
        </w:rPr>
        <w:t>市场价值是指估价对象经适当营销后，由熟悉情况、谨慎行事且不受强迫的交易双方，以公平交易方式在价值时点自愿进行交易的金额。</w:t>
      </w:r>
    </w:p>
    <w:p>
      <w:pPr>
        <w:pStyle w:val="3"/>
        <w:spacing w:before="156" w:beforeLines="50" w:after="156" w:afterLines="50"/>
        <w:ind w:firstLine="551" w:firstLineChars="196"/>
        <w:rPr>
          <w:rFonts w:hint="eastAsia"/>
        </w:rPr>
      </w:pPr>
      <w:bookmarkStart w:id="48" w:name="_Toc2849"/>
      <w:r>
        <w:rPr>
          <w:rFonts w:hint="eastAsia"/>
        </w:rPr>
        <w:t>（七）估价原则</w:t>
      </w:r>
      <w:bookmarkEnd w:id="46"/>
      <w:bookmarkEnd w:id="48"/>
    </w:p>
    <w:p>
      <w:pPr>
        <w:spacing w:line="480" w:lineRule="exact"/>
        <w:ind w:firstLine="560" w:firstLineChars="200"/>
        <w:rPr>
          <w:rFonts w:hint="eastAsia" w:ascii="宋体" w:hAnsi="宋体"/>
          <w:sz w:val="28"/>
          <w:szCs w:val="28"/>
        </w:rPr>
      </w:pPr>
      <w:r>
        <w:rPr>
          <w:rFonts w:hint="eastAsia" w:ascii="宋体" w:hAnsi="宋体"/>
          <w:sz w:val="28"/>
          <w:szCs w:val="28"/>
        </w:rPr>
        <w:t>本估价报告遵循下列房地产估价原则：</w:t>
      </w:r>
    </w:p>
    <w:p>
      <w:pPr>
        <w:spacing w:line="48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独立、客观、公正原则，指评估</w:t>
      </w:r>
      <w:r>
        <w:rPr>
          <w:rFonts w:ascii="宋体" w:hAnsi="宋体"/>
          <w:sz w:val="28"/>
          <w:szCs w:val="28"/>
        </w:rPr>
        <w:t>价值应为对</w:t>
      </w:r>
      <w:r>
        <w:rPr>
          <w:rFonts w:hint="eastAsia" w:ascii="宋体" w:hAnsi="宋体"/>
          <w:sz w:val="28"/>
          <w:szCs w:val="28"/>
        </w:rPr>
        <w:t>各方估价利害关系人均是公平合理的价值或价格。</w:t>
      </w:r>
    </w:p>
    <w:p>
      <w:pPr>
        <w:spacing w:line="480" w:lineRule="exact"/>
        <w:ind w:firstLine="560" w:firstLineChars="200"/>
        <w:rPr>
          <w:rFonts w:hint="eastAsia" w:ascii="宋体" w:hAnsi="宋体"/>
          <w:sz w:val="28"/>
          <w:szCs w:val="28"/>
        </w:rPr>
      </w:pPr>
      <w:r>
        <w:rPr>
          <w:rFonts w:ascii="宋体" w:hAnsi="宋体"/>
          <w:sz w:val="28"/>
          <w:szCs w:val="28"/>
        </w:rPr>
        <w:t>所谓独立，</w:t>
      </w:r>
      <w:r>
        <w:rPr>
          <w:rFonts w:hint="eastAsia" w:ascii="宋体" w:hAnsi="宋体"/>
          <w:sz w:val="28"/>
          <w:szCs w:val="28"/>
        </w:rPr>
        <w:t>就是要求注册房地产估价师和房地产估价机构与估价委托人及估价利害关系人没有利害关系，在估价中不受包括估价委托人在内的任何单位和个人的影响，应凭自己的专业知识、实践经验和职业道德进行估价；所谓“客观</w:t>
      </w:r>
      <w:r>
        <w:rPr>
          <w:rFonts w:ascii="宋体" w:hAnsi="宋体"/>
          <w:sz w:val="28"/>
          <w:szCs w:val="28"/>
        </w:rPr>
        <w:t>”</w:t>
      </w:r>
      <w:r>
        <w:rPr>
          <w:rFonts w:hint="eastAsia" w:ascii="宋体" w:hAnsi="宋体"/>
          <w:sz w:val="28"/>
          <w:szCs w:val="28"/>
        </w:rPr>
        <w:t>，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spacing w:line="48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合法原则</w:t>
      </w:r>
      <w:r>
        <w:rPr>
          <w:rFonts w:hint="eastAsia" w:ascii="宋体" w:hAnsi="宋体"/>
          <w:sz w:val="28"/>
          <w:szCs w:val="28"/>
        </w:rPr>
        <w:t>，</w:t>
      </w:r>
      <w:r>
        <w:rPr>
          <w:rFonts w:ascii="宋体" w:hAnsi="宋体"/>
          <w:sz w:val="28"/>
          <w:szCs w:val="28"/>
        </w:rPr>
        <w:t>指</w:t>
      </w:r>
      <w:r>
        <w:rPr>
          <w:rFonts w:hint="eastAsia" w:ascii="宋体" w:hAnsi="宋体"/>
          <w:sz w:val="28"/>
          <w:szCs w:val="28"/>
        </w:rPr>
        <w:t>评估价值</w:t>
      </w:r>
      <w:r>
        <w:rPr>
          <w:rFonts w:ascii="宋体" w:hAnsi="宋体"/>
          <w:sz w:val="28"/>
          <w:szCs w:val="28"/>
        </w:rPr>
        <w:t>应为</w:t>
      </w:r>
      <w:r>
        <w:rPr>
          <w:rFonts w:hint="eastAsia" w:ascii="宋体" w:hAnsi="宋体"/>
          <w:sz w:val="28"/>
          <w:szCs w:val="28"/>
        </w:rPr>
        <w:t>在依法判定的估价对象状况下的价值或价格。</w:t>
      </w:r>
    </w:p>
    <w:p>
      <w:pPr>
        <w:spacing w:line="480" w:lineRule="exact"/>
        <w:ind w:firstLine="560" w:firstLineChars="200"/>
        <w:rPr>
          <w:rFonts w:ascii="宋体" w:hAnsi="宋体"/>
          <w:sz w:val="28"/>
          <w:szCs w:val="28"/>
        </w:rPr>
      </w:pPr>
      <w:r>
        <w:rPr>
          <w:rFonts w:hint="eastAsia" w:ascii="宋体" w:hAnsi="宋体"/>
          <w:sz w:val="28"/>
          <w:szCs w:val="28"/>
        </w:rPr>
        <w:t>合法原则中</w:t>
      </w:r>
      <w:r>
        <w:rPr>
          <w:rFonts w:ascii="宋体" w:hAnsi="宋体"/>
          <w:sz w:val="28"/>
          <w:szCs w:val="28"/>
        </w:rPr>
        <w:t>，</w:t>
      </w:r>
      <w:r>
        <w:rPr>
          <w:rFonts w:hint="eastAsia" w:ascii="宋体" w:hAnsi="宋体"/>
          <w:sz w:val="28"/>
          <w:szCs w:val="28"/>
        </w:rPr>
        <w:t>所称依法，是指不仅要依据有关法律、行政法规、最高人民法院和最高人民检察院发布的有关司法解释，还要依据估价对象所在地的有关地方性法规（民族</w:t>
      </w:r>
      <w:r>
        <w:rPr>
          <w:rFonts w:ascii="宋体" w:hAnsi="宋体"/>
          <w:sz w:val="28"/>
          <w:szCs w:val="28"/>
        </w:rPr>
        <w:t>自治</w:t>
      </w:r>
      <w:r>
        <w:rPr>
          <w:rFonts w:hint="eastAsia" w:ascii="宋体" w:hAnsi="宋体"/>
          <w:sz w:val="28"/>
          <w:szCs w:val="28"/>
        </w:rPr>
        <w:t>地方</w:t>
      </w:r>
      <w:r>
        <w:rPr>
          <w:rFonts w:ascii="宋体" w:hAnsi="宋体"/>
          <w:sz w:val="28"/>
          <w:szCs w:val="28"/>
        </w:rPr>
        <w:t>应同时依据有关自治条例各单行条例）</w:t>
      </w:r>
      <w:r>
        <w:rPr>
          <w:rFonts w:hint="eastAsia" w:ascii="宋体" w:hAnsi="宋体"/>
          <w:sz w:val="28"/>
          <w:szCs w:val="28"/>
        </w:rPr>
        <w:t>，国务院所属部分颁发的有关部门规章和政策，估价对象所在地人民政府颁发的有关地方政府规章和政策，以及估价对象的不动产登记薄（房屋</w:t>
      </w:r>
      <w:r>
        <w:rPr>
          <w:rFonts w:ascii="宋体" w:hAnsi="宋体"/>
          <w:sz w:val="28"/>
          <w:szCs w:val="28"/>
        </w:rPr>
        <w:t>登记薄、土地登记薄）</w:t>
      </w:r>
      <w:r>
        <w:rPr>
          <w:rFonts w:hint="eastAsia" w:ascii="宋体" w:hAnsi="宋体"/>
          <w:sz w:val="28"/>
          <w:szCs w:val="28"/>
        </w:rPr>
        <w:t>、权属证书、有关批文和合同等（如</w:t>
      </w:r>
      <w:r>
        <w:rPr>
          <w:rFonts w:ascii="宋体" w:hAnsi="宋体"/>
          <w:sz w:val="28"/>
          <w:szCs w:val="28"/>
        </w:rPr>
        <w:t>规划意见书、国</w:t>
      </w:r>
      <w:r>
        <w:rPr>
          <w:rFonts w:hint="eastAsia" w:ascii="宋体" w:hAnsi="宋体"/>
          <w:sz w:val="28"/>
          <w:szCs w:val="28"/>
        </w:rPr>
        <w:t>有</w:t>
      </w:r>
      <w:r>
        <w:rPr>
          <w:rFonts w:ascii="宋体" w:hAnsi="宋体"/>
          <w:sz w:val="28"/>
          <w:szCs w:val="28"/>
        </w:rPr>
        <w:t>建设用地</w:t>
      </w:r>
      <w:r>
        <w:rPr>
          <w:rFonts w:hint="eastAsia" w:ascii="宋体" w:hAnsi="宋体"/>
          <w:sz w:val="28"/>
          <w:szCs w:val="28"/>
        </w:rPr>
        <w:t>使用权</w:t>
      </w:r>
      <w:r>
        <w:rPr>
          <w:rFonts w:ascii="宋体" w:hAnsi="宋体"/>
          <w:sz w:val="28"/>
          <w:szCs w:val="28"/>
        </w:rPr>
        <w:t>出让招标文件、国</w:t>
      </w:r>
      <w:r>
        <w:rPr>
          <w:rFonts w:hint="eastAsia" w:ascii="宋体" w:hAnsi="宋体"/>
          <w:sz w:val="28"/>
          <w:szCs w:val="28"/>
        </w:rPr>
        <w:t>有</w:t>
      </w:r>
      <w:r>
        <w:rPr>
          <w:rFonts w:ascii="宋体" w:hAnsi="宋体"/>
          <w:sz w:val="28"/>
          <w:szCs w:val="28"/>
        </w:rPr>
        <w:t>建设用地</w:t>
      </w:r>
      <w:r>
        <w:rPr>
          <w:rFonts w:hint="eastAsia" w:ascii="宋体" w:hAnsi="宋体"/>
          <w:sz w:val="28"/>
          <w:szCs w:val="28"/>
        </w:rPr>
        <w:t>使用权出让合同</w:t>
      </w:r>
      <w:r>
        <w:rPr>
          <w:rFonts w:ascii="宋体" w:hAnsi="宋体"/>
          <w:sz w:val="28"/>
          <w:szCs w:val="28"/>
        </w:rPr>
        <w:t>、房地产转让合同、房屋租赁合同</w:t>
      </w:r>
      <w:r>
        <w:rPr>
          <w:rFonts w:hint="eastAsia" w:ascii="宋体" w:hAnsi="宋体"/>
          <w:sz w:val="28"/>
          <w:szCs w:val="28"/>
        </w:rPr>
        <w:t>等</w:t>
      </w:r>
      <w:r>
        <w:rPr>
          <w:rFonts w:ascii="宋体" w:hAnsi="宋体"/>
          <w:sz w:val="28"/>
          <w:szCs w:val="28"/>
        </w:rPr>
        <w:t>）</w:t>
      </w:r>
      <w:r>
        <w:rPr>
          <w:rFonts w:hint="eastAsia" w:ascii="宋体" w:hAnsi="宋体"/>
          <w:sz w:val="28"/>
          <w:szCs w:val="28"/>
        </w:rPr>
        <w:t>。因此，合法原则中所讲的“法”，是广义的“法”。但遵循合法原则并不意味着只有合法的房地产才能成为估价对象，而是指依法判定估价对象是哪种状况的房地产，就应将其作为那种状况的房地产来估价。</w:t>
      </w:r>
    </w:p>
    <w:p>
      <w:pPr>
        <w:spacing w:line="480" w:lineRule="exact"/>
        <w:ind w:firstLine="560" w:firstLineChars="200"/>
        <w:rPr>
          <w:rFonts w:hint="eastAsia" w:ascii="宋体" w:hAnsi="宋体"/>
          <w:sz w:val="28"/>
          <w:szCs w:val="28"/>
        </w:rPr>
      </w:pPr>
      <w:r>
        <w:rPr>
          <w:rFonts w:ascii="宋体" w:hAnsi="宋体"/>
          <w:sz w:val="28"/>
          <w:szCs w:val="28"/>
        </w:rPr>
        <w:t>3</w:t>
      </w:r>
      <w:r>
        <w:rPr>
          <w:rFonts w:hint="eastAsia" w:ascii="宋体" w:hAnsi="宋体"/>
          <w:sz w:val="28"/>
          <w:szCs w:val="28"/>
        </w:rPr>
        <w:t>.</w:t>
      </w:r>
      <w:r>
        <w:rPr>
          <w:rFonts w:ascii="宋体" w:hAnsi="宋体"/>
          <w:sz w:val="28"/>
          <w:szCs w:val="28"/>
        </w:rPr>
        <w:t>价值时点原则</w:t>
      </w:r>
      <w:r>
        <w:rPr>
          <w:rFonts w:hint="eastAsia" w:ascii="宋体" w:hAnsi="宋体"/>
          <w:sz w:val="28"/>
          <w:szCs w:val="28"/>
        </w:rPr>
        <w:t>，</w:t>
      </w:r>
      <w:r>
        <w:rPr>
          <w:rFonts w:ascii="宋体" w:hAnsi="宋体"/>
          <w:sz w:val="28"/>
          <w:szCs w:val="28"/>
        </w:rPr>
        <w:t>指</w:t>
      </w:r>
      <w:r>
        <w:rPr>
          <w:rFonts w:hint="eastAsia" w:ascii="宋体" w:hAnsi="宋体"/>
          <w:sz w:val="28"/>
          <w:szCs w:val="28"/>
        </w:rPr>
        <w:t>评估</w:t>
      </w:r>
      <w:r>
        <w:rPr>
          <w:rFonts w:ascii="宋体" w:hAnsi="宋体"/>
          <w:sz w:val="28"/>
          <w:szCs w:val="28"/>
        </w:rPr>
        <w:t>价值应为</w:t>
      </w:r>
      <w:r>
        <w:rPr>
          <w:rFonts w:hint="eastAsia" w:ascii="宋体" w:hAnsi="宋体"/>
          <w:sz w:val="28"/>
          <w:szCs w:val="28"/>
        </w:rPr>
        <w:t>在根据估价目的确定的某一特定时间的价值或价格。</w:t>
      </w:r>
    </w:p>
    <w:p>
      <w:pPr>
        <w:spacing w:line="480" w:lineRule="exact"/>
        <w:ind w:firstLine="560" w:firstLineChars="200"/>
        <w:rPr>
          <w:rFonts w:hint="eastAsia" w:ascii="宋体" w:hAnsi="宋体"/>
          <w:sz w:val="28"/>
          <w:szCs w:val="28"/>
        </w:rPr>
      </w:pPr>
      <w:bookmarkStart w:id="49" w:name="_Toc152037846"/>
      <w:r>
        <w:rPr>
          <w:rFonts w:ascii="宋体" w:hAnsi="宋体"/>
          <w:sz w:val="28"/>
          <w:szCs w:val="28"/>
        </w:rPr>
        <w:t>估价结论首先具有很强的时间相关性，这主要是考虑到资金的时间价值，在不同时间点上发生的现金流量对其价值影响不同。所以，在房地产估价时统一规定：如果一些款项的发生时点与价值时点不一致，应当折算为价值时点的现值。</w:t>
      </w:r>
      <w:bookmarkEnd w:id="49"/>
      <w:r>
        <w:rPr>
          <w:rFonts w:ascii="宋体" w:hAnsi="宋体"/>
          <w:sz w:val="28"/>
          <w:szCs w:val="28"/>
        </w:rPr>
        <w:t>估价结论同时具有很强的时效性，这主要是考虑到房地产</w:t>
      </w:r>
      <w:r>
        <w:rPr>
          <w:rFonts w:hint="eastAsia" w:ascii="宋体" w:hAnsi="宋体"/>
          <w:sz w:val="28"/>
          <w:szCs w:val="28"/>
        </w:rPr>
        <w:t>市场价值</w:t>
      </w:r>
      <w:r>
        <w:rPr>
          <w:rFonts w:ascii="宋体" w:hAnsi="宋体"/>
          <w:sz w:val="28"/>
          <w:szCs w:val="28"/>
        </w:rPr>
        <w:t>的波动性，同一估价对象在不同时点会具有不同的价值。所以强调：</w:t>
      </w:r>
      <w:r>
        <w:rPr>
          <w:rFonts w:hint="eastAsia" w:ascii="宋体" w:hAnsi="宋体"/>
          <w:sz w:val="28"/>
          <w:szCs w:val="28"/>
        </w:rPr>
        <w:t>价值时点原则是在根据估价目的确定的某一特定时间的价值或价格的原则。</w:t>
      </w:r>
    </w:p>
    <w:p>
      <w:pPr>
        <w:spacing w:line="480" w:lineRule="exact"/>
        <w:ind w:firstLine="560" w:firstLineChars="200"/>
        <w:rPr>
          <w:rFonts w:ascii="宋体" w:hAnsi="宋体"/>
          <w:sz w:val="28"/>
          <w:szCs w:val="28"/>
        </w:rPr>
      </w:pPr>
      <w:r>
        <w:rPr>
          <w:rFonts w:ascii="宋体" w:hAnsi="宋体"/>
          <w:sz w:val="28"/>
          <w:szCs w:val="28"/>
        </w:rPr>
        <w:t>4</w:t>
      </w:r>
      <w:r>
        <w:rPr>
          <w:rFonts w:hint="eastAsia" w:ascii="宋体" w:hAnsi="宋体"/>
          <w:sz w:val="28"/>
          <w:szCs w:val="28"/>
        </w:rPr>
        <w:t>.</w:t>
      </w:r>
      <w:r>
        <w:rPr>
          <w:rFonts w:ascii="宋体" w:hAnsi="宋体"/>
          <w:sz w:val="28"/>
          <w:szCs w:val="28"/>
        </w:rPr>
        <w:t>替代原则</w:t>
      </w:r>
      <w:r>
        <w:rPr>
          <w:rFonts w:hint="eastAsia" w:ascii="宋体" w:hAnsi="宋体"/>
          <w:sz w:val="28"/>
          <w:szCs w:val="28"/>
        </w:rPr>
        <w:t>，</w:t>
      </w:r>
      <w:r>
        <w:rPr>
          <w:rFonts w:ascii="宋体" w:hAnsi="宋体"/>
          <w:sz w:val="28"/>
          <w:szCs w:val="28"/>
        </w:rPr>
        <w:t>指</w:t>
      </w:r>
      <w:r>
        <w:rPr>
          <w:rFonts w:hint="eastAsia" w:ascii="宋体" w:hAnsi="宋体"/>
          <w:sz w:val="28"/>
          <w:szCs w:val="28"/>
        </w:rPr>
        <w:t>评估</w:t>
      </w:r>
      <w:r>
        <w:rPr>
          <w:rFonts w:ascii="宋体" w:hAnsi="宋体"/>
          <w:sz w:val="28"/>
          <w:szCs w:val="28"/>
        </w:rPr>
        <w:t>价值</w:t>
      </w:r>
      <w:r>
        <w:rPr>
          <w:rFonts w:hint="eastAsia" w:ascii="宋体" w:hAnsi="宋体"/>
          <w:sz w:val="28"/>
          <w:szCs w:val="28"/>
        </w:rPr>
        <w:t>与估价对象的类似房地产在同等条件下的价值或价格偏差应在合理范围内。</w:t>
      </w:r>
    </w:p>
    <w:p>
      <w:pPr>
        <w:spacing w:line="480" w:lineRule="exact"/>
        <w:ind w:firstLine="560" w:firstLineChars="200"/>
        <w:rPr>
          <w:rFonts w:hint="eastAsia" w:ascii="宋体" w:hAnsi="宋体"/>
          <w:sz w:val="28"/>
          <w:szCs w:val="28"/>
        </w:rPr>
      </w:pPr>
      <w:r>
        <w:rPr>
          <w:rFonts w:hint="eastAsia" w:ascii="宋体" w:hAnsi="宋体"/>
          <w:sz w:val="28"/>
          <w:szCs w:val="28"/>
        </w:rPr>
        <w:t>在通常</w:t>
      </w:r>
      <w:r>
        <w:rPr>
          <w:rFonts w:ascii="宋体" w:hAnsi="宋体"/>
          <w:sz w:val="28"/>
          <w:szCs w:val="28"/>
        </w:rPr>
        <w:t>情况</w:t>
      </w:r>
      <w:r>
        <w:rPr>
          <w:rFonts w:hint="eastAsia" w:ascii="宋体" w:hAnsi="宋体"/>
          <w:sz w:val="28"/>
          <w:szCs w:val="28"/>
        </w:rPr>
        <w:t>下</w:t>
      </w:r>
      <w:r>
        <w:rPr>
          <w:rFonts w:ascii="宋体" w:hAnsi="宋体"/>
          <w:sz w:val="28"/>
          <w:szCs w:val="28"/>
        </w:rPr>
        <w:t>，</w:t>
      </w:r>
      <w:r>
        <w:rPr>
          <w:rFonts w:hint="eastAsia" w:ascii="宋体" w:hAnsi="宋体"/>
          <w:sz w:val="28"/>
          <w:szCs w:val="28"/>
        </w:rPr>
        <w:t>由于房地产的独一无二特性，难</w:t>
      </w:r>
      <w:r>
        <w:rPr>
          <w:rFonts w:ascii="宋体" w:hAnsi="宋体"/>
          <w:sz w:val="28"/>
          <w:szCs w:val="28"/>
        </w:rPr>
        <w:t>以</w:t>
      </w:r>
      <w:r>
        <w:rPr>
          <w:rFonts w:hint="eastAsia" w:ascii="宋体" w:hAnsi="宋体"/>
          <w:sz w:val="28"/>
          <w:szCs w:val="28"/>
        </w:rPr>
        <w:t>找到</w:t>
      </w:r>
      <w:r>
        <w:rPr>
          <w:rFonts w:ascii="宋体" w:hAnsi="宋体"/>
          <w:sz w:val="28"/>
          <w:szCs w:val="28"/>
        </w:rPr>
        <w:t>各方面状况与估价对象相同的房地产，</w:t>
      </w:r>
      <w:r>
        <w:rPr>
          <w:rFonts w:hint="eastAsia" w:ascii="宋体" w:hAnsi="宋体"/>
          <w:sz w:val="28"/>
          <w:szCs w:val="28"/>
        </w:rPr>
        <w:t>所以</w:t>
      </w:r>
      <w:r>
        <w:rPr>
          <w:rFonts w:ascii="宋体" w:hAnsi="宋体"/>
          <w:sz w:val="28"/>
          <w:szCs w:val="28"/>
        </w:rPr>
        <w:t>实际上寻找与估价对象具有替代性的相似房地产，然后将它们与估价对象进行比较，</w:t>
      </w:r>
      <w:r>
        <w:rPr>
          <w:rFonts w:hint="eastAsia" w:ascii="宋体" w:hAnsi="宋体"/>
          <w:sz w:val="28"/>
          <w:szCs w:val="28"/>
        </w:rPr>
        <w:t>再</w:t>
      </w:r>
      <w:r>
        <w:rPr>
          <w:rFonts w:ascii="宋体" w:hAnsi="宋体"/>
          <w:sz w:val="28"/>
          <w:szCs w:val="28"/>
        </w:rPr>
        <w:t>根据他们与估价对象之间的差异对其价格进行适当修正和调整。</w:t>
      </w:r>
      <w:r>
        <w:rPr>
          <w:rFonts w:hint="eastAsia" w:ascii="宋体" w:hAnsi="宋体"/>
          <w:sz w:val="28"/>
          <w:szCs w:val="28"/>
        </w:rPr>
        <w:t>在</w:t>
      </w:r>
      <w:r>
        <w:rPr>
          <w:rFonts w:ascii="宋体" w:hAnsi="宋体"/>
          <w:sz w:val="28"/>
          <w:szCs w:val="28"/>
        </w:rPr>
        <w:t>估价时不能孤立地思考</w:t>
      </w:r>
      <w:r>
        <w:rPr>
          <w:rFonts w:hint="eastAsia" w:ascii="宋体" w:hAnsi="宋体"/>
          <w:sz w:val="28"/>
          <w:szCs w:val="28"/>
        </w:rPr>
        <w:t>估价</w:t>
      </w:r>
      <w:r>
        <w:rPr>
          <w:rFonts w:ascii="宋体" w:hAnsi="宋体"/>
          <w:sz w:val="28"/>
          <w:szCs w:val="28"/>
        </w:rPr>
        <w:t>对象的价值或价格，而要考虑相似房地产</w:t>
      </w:r>
      <w:r>
        <w:rPr>
          <w:rFonts w:hint="eastAsia" w:ascii="宋体" w:hAnsi="宋体"/>
          <w:sz w:val="28"/>
          <w:szCs w:val="28"/>
        </w:rPr>
        <w:t>之间</w:t>
      </w:r>
      <w:r>
        <w:rPr>
          <w:rFonts w:ascii="宋体" w:hAnsi="宋体"/>
          <w:sz w:val="28"/>
          <w:szCs w:val="28"/>
        </w:rPr>
        <w:t>的价格</w:t>
      </w:r>
      <w:r>
        <w:rPr>
          <w:rFonts w:hint="eastAsia" w:ascii="宋体" w:hAnsi="宋体"/>
          <w:sz w:val="28"/>
          <w:szCs w:val="28"/>
        </w:rPr>
        <w:t>比较，</w:t>
      </w:r>
      <w:r>
        <w:rPr>
          <w:rFonts w:ascii="宋体" w:hAnsi="宋体"/>
          <w:sz w:val="28"/>
          <w:szCs w:val="28"/>
        </w:rPr>
        <w:t>在同一个城市、同一个时期，为了同一种估价目的，对不同区位、不同档次的房地产的评估应有合理的“</w:t>
      </w:r>
      <w:r>
        <w:rPr>
          <w:rFonts w:hint="eastAsia" w:ascii="宋体" w:hAnsi="宋体"/>
          <w:sz w:val="28"/>
          <w:szCs w:val="28"/>
        </w:rPr>
        <w:t>价</w:t>
      </w:r>
      <w:r>
        <w:rPr>
          <w:rFonts w:ascii="宋体" w:hAnsi="宋体"/>
          <w:sz w:val="28"/>
          <w:szCs w:val="28"/>
        </w:rPr>
        <w:t>差”</w:t>
      </w:r>
      <w:r>
        <w:rPr>
          <w:rFonts w:hint="eastAsia" w:ascii="宋体" w:hAnsi="宋体"/>
          <w:sz w:val="28"/>
          <w:szCs w:val="28"/>
        </w:rPr>
        <w:t>，</w:t>
      </w:r>
      <w:r>
        <w:rPr>
          <w:rFonts w:ascii="宋体" w:hAnsi="宋体"/>
          <w:sz w:val="28"/>
          <w:szCs w:val="28"/>
        </w:rPr>
        <w:t>尤其是较好的房地产的</w:t>
      </w:r>
      <w:r>
        <w:rPr>
          <w:rFonts w:hint="eastAsia" w:ascii="宋体" w:hAnsi="宋体"/>
          <w:sz w:val="28"/>
          <w:szCs w:val="28"/>
        </w:rPr>
        <w:t>评估</w:t>
      </w:r>
      <w:r>
        <w:rPr>
          <w:rFonts w:ascii="宋体" w:hAnsi="宋体"/>
          <w:sz w:val="28"/>
          <w:szCs w:val="28"/>
        </w:rPr>
        <w:t>价格不应低于较差的房地产的评估价格。</w:t>
      </w:r>
    </w:p>
    <w:p>
      <w:pPr>
        <w:spacing w:line="480" w:lineRule="exact"/>
        <w:ind w:firstLine="560" w:firstLineChars="200"/>
        <w:rPr>
          <w:rFonts w:ascii="宋体" w:hAnsi="宋体"/>
          <w:sz w:val="28"/>
          <w:szCs w:val="28"/>
        </w:rPr>
      </w:pPr>
      <w:r>
        <w:rPr>
          <w:rFonts w:ascii="宋体" w:hAnsi="宋体"/>
          <w:sz w:val="28"/>
          <w:szCs w:val="28"/>
        </w:rPr>
        <w:t>5</w:t>
      </w:r>
      <w:r>
        <w:rPr>
          <w:rFonts w:hint="eastAsia" w:ascii="宋体" w:hAnsi="宋体"/>
          <w:sz w:val="28"/>
          <w:szCs w:val="28"/>
        </w:rPr>
        <w:t>.</w:t>
      </w:r>
      <w:r>
        <w:rPr>
          <w:rFonts w:ascii="宋体" w:hAnsi="宋体"/>
          <w:sz w:val="28"/>
          <w:szCs w:val="28"/>
        </w:rPr>
        <w:t>最高最佳利用原则</w:t>
      </w:r>
      <w:r>
        <w:rPr>
          <w:rFonts w:hint="eastAsia" w:ascii="宋体" w:hAnsi="宋体"/>
          <w:sz w:val="28"/>
          <w:szCs w:val="28"/>
        </w:rPr>
        <w:t>，</w:t>
      </w:r>
      <w:r>
        <w:rPr>
          <w:rFonts w:ascii="宋体" w:hAnsi="宋体"/>
          <w:sz w:val="28"/>
          <w:szCs w:val="28"/>
        </w:rPr>
        <w:t>指</w:t>
      </w:r>
      <w:r>
        <w:rPr>
          <w:rFonts w:hint="eastAsia" w:ascii="宋体" w:hAnsi="宋体"/>
          <w:sz w:val="28"/>
          <w:szCs w:val="28"/>
        </w:rPr>
        <w:t>评估价值</w:t>
      </w:r>
      <w:r>
        <w:rPr>
          <w:rFonts w:ascii="宋体" w:hAnsi="宋体"/>
          <w:sz w:val="28"/>
          <w:szCs w:val="28"/>
        </w:rPr>
        <w:t>应为</w:t>
      </w:r>
      <w:r>
        <w:rPr>
          <w:rFonts w:hint="eastAsia" w:ascii="宋体" w:hAnsi="宋体"/>
          <w:sz w:val="28"/>
          <w:szCs w:val="28"/>
        </w:rPr>
        <w:t>在估价对象最高最佳利用状况下的价值或价格。</w:t>
      </w:r>
    </w:p>
    <w:p>
      <w:pPr>
        <w:spacing w:line="480" w:lineRule="exact"/>
        <w:ind w:firstLine="560" w:firstLineChars="200"/>
        <w:rPr>
          <w:rFonts w:ascii="宋体" w:hAnsi="宋体"/>
          <w:sz w:val="28"/>
          <w:szCs w:val="28"/>
        </w:rPr>
      </w:pPr>
      <w:r>
        <w:rPr>
          <w:rFonts w:hint="eastAsia" w:ascii="宋体" w:hAnsi="宋体"/>
          <w:sz w:val="28"/>
          <w:szCs w:val="28"/>
        </w:rPr>
        <w:t>最高最佳利用需要同时满足四个条件：一是法律上允许；二是技术上可能；三是财务上可行；四是价值最大化。实际</w:t>
      </w:r>
      <w:r>
        <w:rPr>
          <w:rFonts w:ascii="宋体" w:hAnsi="宋体"/>
          <w:sz w:val="28"/>
          <w:szCs w:val="28"/>
        </w:rPr>
        <w:t>估价中在选择估价对象的最高最佳利用时，往往容易</w:t>
      </w:r>
      <w:r>
        <w:rPr>
          <w:rFonts w:hint="eastAsia" w:ascii="宋体" w:hAnsi="宋体"/>
          <w:sz w:val="28"/>
          <w:szCs w:val="28"/>
        </w:rPr>
        <w:t>忽视</w:t>
      </w:r>
      <w:r>
        <w:rPr>
          <w:rFonts w:ascii="宋体" w:hAnsi="宋体"/>
          <w:sz w:val="28"/>
          <w:szCs w:val="28"/>
        </w:rPr>
        <w:t>“</w:t>
      </w:r>
      <w:r>
        <w:rPr>
          <w:rFonts w:hint="eastAsia" w:ascii="宋体" w:hAnsi="宋体"/>
          <w:sz w:val="28"/>
          <w:szCs w:val="28"/>
        </w:rPr>
        <w:t>法律</w:t>
      </w:r>
      <w:r>
        <w:rPr>
          <w:rFonts w:ascii="宋体" w:hAnsi="宋体"/>
          <w:sz w:val="28"/>
          <w:szCs w:val="28"/>
        </w:rPr>
        <w:t>上允许”</w:t>
      </w:r>
      <w:r>
        <w:rPr>
          <w:rFonts w:hint="eastAsia" w:ascii="宋体" w:hAnsi="宋体"/>
          <w:sz w:val="28"/>
          <w:szCs w:val="28"/>
        </w:rPr>
        <w:t>这个</w:t>
      </w:r>
      <w:r>
        <w:rPr>
          <w:rFonts w:ascii="宋体" w:hAnsi="宋体"/>
          <w:sz w:val="28"/>
          <w:szCs w:val="28"/>
        </w:rPr>
        <w:t>前提，甚至误以为最高最佳利用与合</w:t>
      </w:r>
      <w:r>
        <w:rPr>
          <w:rFonts w:hint="eastAsia" w:ascii="宋体" w:hAnsi="宋体"/>
          <w:sz w:val="28"/>
          <w:szCs w:val="28"/>
        </w:rPr>
        <w:t>法</w:t>
      </w:r>
      <w:r>
        <w:rPr>
          <w:rFonts w:ascii="宋体" w:hAnsi="宋体"/>
          <w:sz w:val="28"/>
          <w:szCs w:val="28"/>
        </w:rPr>
        <w:t>原则有时</w:t>
      </w:r>
      <w:r>
        <w:rPr>
          <w:rFonts w:hint="eastAsia" w:ascii="宋体" w:hAnsi="宋体"/>
          <w:sz w:val="28"/>
          <w:szCs w:val="28"/>
        </w:rPr>
        <w:t>是</w:t>
      </w:r>
      <w:r>
        <w:rPr>
          <w:rFonts w:ascii="宋体" w:hAnsi="宋体"/>
          <w:sz w:val="28"/>
          <w:szCs w:val="28"/>
        </w:rPr>
        <w:t>冲突的。</w:t>
      </w:r>
      <w:r>
        <w:rPr>
          <w:rFonts w:hint="eastAsia" w:ascii="宋体" w:hAnsi="宋体"/>
          <w:sz w:val="28"/>
          <w:szCs w:val="28"/>
        </w:rPr>
        <w:t>实际上</w:t>
      </w:r>
      <w:r>
        <w:rPr>
          <w:rFonts w:ascii="宋体" w:hAnsi="宋体"/>
          <w:sz w:val="28"/>
          <w:szCs w:val="28"/>
        </w:rPr>
        <w:t>，</w:t>
      </w:r>
      <w:r>
        <w:rPr>
          <w:rFonts w:hint="eastAsia" w:ascii="宋体" w:hAnsi="宋体"/>
          <w:sz w:val="28"/>
          <w:szCs w:val="28"/>
        </w:rPr>
        <w:t>最高最佳利用不是无条件的最高最佳利用，而是在法律、法规、政策以及建设用地使用权出让合同等允许范围内的最高最佳利用。</w:t>
      </w:r>
    </w:p>
    <w:bookmarkEnd w:id="47"/>
    <w:p>
      <w:pPr>
        <w:pStyle w:val="3"/>
        <w:spacing w:before="156" w:beforeLines="50" w:after="156" w:afterLines="50"/>
        <w:ind w:firstLine="551" w:firstLineChars="196"/>
        <w:rPr>
          <w:rFonts w:hint="eastAsia" w:ascii="宋体" w:hAnsi="宋体"/>
          <w:szCs w:val="28"/>
        </w:rPr>
      </w:pPr>
      <w:bookmarkStart w:id="50" w:name="_Toc31427"/>
      <w:r>
        <w:rPr>
          <w:rFonts w:hint="eastAsia" w:ascii="宋体" w:hAnsi="宋体"/>
          <w:szCs w:val="28"/>
        </w:rPr>
        <w:t>（八）估价依据</w:t>
      </w:r>
      <w:bookmarkEnd w:id="50"/>
    </w:p>
    <w:p>
      <w:pPr>
        <w:spacing w:line="480" w:lineRule="exact"/>
        <w:ind w:firstLine="560" w:firstLineChars="200"/>
        <w:rPr>
          <w:rFonts w:hint="eastAsia" w:ascii="宋体" w:hAnsi="宋体"/>
          <w:sz w:val="28"/>
          <w:szCs w:val="28"/>
        </w:rPr>
      </w:pPr>
      <w:r>
        <w:rPr>
          <w:rFonts w:hint="eastAsia" w:ascii="宋体" w:hAnsi="宋体"/>
          <w:sz w:val="28"/>
          <w:szCs w:val="28"/>
        </w:rPr>
        <w:t>1.本次估价所依据的有关法律、法规和部门规章</w:t>
      </w:r>
    </w:p>
    <w:p>
      <w:pPr>
        <w:spacing w:line="480" w:lineRule="exact"/>
        <w:ind w:firstLine="560" w:firstLineChars="200"/>
        <w:rPr>
          <w:rFonts w:hint="eastAsia" w:ascii="宋体" w:hAnsi="宋体"/>
          <w:sz w:val="28"/>
          <w:szCs w:val="28"/>
        </w:rPr>
      </w:pPr>
      <w:r>
        <w:rPr>
          <w:rFonts w:hint="eastAsia" w:ascii="宋体" w:hAnsi="宋体"/>
          <w:sz w:val="28"/>
          <w:szCs w:val="28"/>
        </w:rPr>
        <w:t>（1）《中华人民共和国城市房地产管理法》（2019年8月26日第十三届全国人民代表大会常务委员会第十二次会议《关于修改〈中华人民共和国城市房地产管理法〉的决定》第三次修正）；</w:t>
      </w:r>
    </w:p>
    <w:p>
      <w:pPr>
        <w:spacing w:line="480" w:lineRule="exact"/>
        <w:ind w:firstLine="560" w:firstLineChars="200"/>
        <w:rPr>
          <w:rFonts w:hint="eastAsia" w:ascii="宋体" w:hAnsi="宋体"/>
          <w:sz w:val="28"/>
          <w:szCs w:val="28"/>
        </w:rPr>
      </w:pPr>
      <w:r>
        <w:rPr>
          <w:rFonts w:hint="eastAsia" w:ascii="宋体" w:hAnsi="宋体"/>
          <w:sz w:val="28"/>
          <w:szCs w:val="28"/>
        </w:rPr>
        <w:t>（2）《中华人民共和国土地管理法》（2019年8月26日第十三届全国人民代表大会常务委员会第十二次会议《关于修改〈中华人民共和国土地管理法〉的决定》第三次修正）；</w:t>
      </w:r>
    </w:p>
    <w:p>
      <w:pPr>
        <w:spacing w:line="480" w:lineRule="exact"/>
        <w:ind w:firstLine="560" w:firstLineChars="200"/>
        <w:rPr>
          <w:rFonts w:hint="eastAsia" w:ascii="宋体" w:hAnsi="宋体"/>
          <w:sz w:val="28"/>
          <w:szCs w:val="28"/>
        </w:rPr>
      </w:pPr>
      <w:r>
        <w:rPr>
          <w:rFonts w:hint="eastAsia" w:ascii="宋体" w:hAnsi="宋体"/>
          <w:sz w:val="28"/>
          <w:szCs w:val="28"/>
        </w:rPr>
        <w:t>（3）《中华人民共和国资产评估法》（2016年中华人民共和国主席令第46号）；</w:t>
      </w:r>
    </w:p>
    <w:p>
      <w:pPr>
        <w:spacing w:line="480" w:lineRule="exact"/>
        <w:ind w:firstLine="560" w:firstLineChars="200"/>
        <w:rPr>
          <w:rFonts w:hint="eastAsia" w:ascii="宋体" w:hAnsi="宋体"/>
          <w:sz w:val="28"/>
          <w:szCs w:val="28"/>
        </w:rPr>
      </w:pPr>
      <w:r>
        <w:rPr>
          <w:rFonts w:hint="eastAsia" w:ascii="宋体" w:hAnsi="宋体"/>
          <w:sz w:val="28"/>
          <w:szCs w:val="28"/>
        </w:rPr>
        <w:t>（4）《房屋登记办法》（中华人民共和国建设部令第168号）；</w:t>
      </w:r>
    </w:p>
    <w:p>
      <w:pPr>
        <w:spacing w:line="480" w:lineRule="exact"/>
        <w:ind w:firstLine="560" w:firstLineChars="200"/>
        <w:rPr>
          <w:rFonts w:hint="eastAsia" w:ascii="宋体" w:hAnsi="宋体"/>
          <w:sz w:val="28"/>
          <w:szCs w:val="28"/>
        </w:rPr>
      </w:pPr>
      <w:r>
        <w:rPr>
          <w:rFonts w:hint="eastAsia" w:ascii="宋体" w:hAnsi="宋体"/>
          <w:sz w:val="28"/>
          <w:szCs w:val="28"/>
        </w:rPr>
        <w:t>（5）《河南省房地产司法鉴定估价指导意见》（河南省房地产估价师与经纪人协会，2018年5月1日）；</w:t>
      </w:r>
    </w:p>
    <w:p>
      <w:pPr>
        <w:spacing w:line="480" w:lineRule="exact"/>
        <w:ind w:firstLine="560" w:firstLineChars="200"/>
        <w:rPr>
          <w:rFonts w:hint="eastAsia" w:ascii="宋体" w:hAnsi="宋体"/>
          <w:sz w:val="28"/>
          <w:szCs w:val="28"/>
        </w:rPr>
      </w:pPr>
      <w:r>
        <w:rPr>
          <w:rFonts w:hint="eastAsia" w:ascii="宋体" w:hAnsi="宋体"/>
          <w:sz w:val="28"/>
          <w:szCs w:val="28"/>
        </w:rPr>
        <w:t>（6）财政部、国家税务总局下发《关于全面推开营业税改征增值税试点的通知》（财税〔2016〕36号）；</w:t>
      </w:r>
    </w:p>
    <w:p>
      <w:pPr>
        <w:spacing w:line="480" w:lineRule="exact"/>
        <w:ind w:firstLine="560" w:firstLineChars="200"/>
        <w:rPr>
          <w:rFonts w:hint="eastAsia" w:ascii="宋体" w:hAnsi="宋体"/>
          <w:sz w:val="28"/>
          <w:szCs w:val="28"/>
        </w:rPr>
      </w:pPr>
      <w:r>
        <w:rPr>
          <w:rFonts w:hint="eastAsia" w:ascii="宋体" w:hAnsi="宋体"/>
          <w:sz w:val="28"/>
          <w:szCs w:val="28"/>
        </w:rPr>
        <w:t>（7）《中华人民共和国民法典》（中华人民共和国人民代表大会常务委员会，2021年1月1日）；</w:t>
      </w:r>
    </w:p>
    <w:p>
      <w:pPr>
        <w:spacing w:line="480" w:lineRule="exact"/>
        <w:ind w:firstLine="560" w:firstLineChars="200"/>
        <w:rPr>
          <w:rFonts w:hint="eastAsia" w:ascii="宋体" w:hAnsi="宋体"/>
          <w:sz w:val="28"/>
          <w:szCs w:val="28"/>
        </w:rPr>
      </w:pPr>
      <w:r>
        <w:rPr>
          <w:rFonts w:hint="eastAsia" w:ascii="宋体" w:hAnsi="宋体"/>
          <w:sz w:val="28"/>
          <w:szCs w:val="28"/>
        </w:rPr>
        <w:t>（8）《涉执房地产处置司法评估指导意见》（中国房地产估价师与房地产经纪人学会，2021年9月1日）。</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2.本次估价采用的技术规程与行业规范</w:t>
      </w:r>
    </w:p>
    <w:p>
      <w:pPr>
        <w:spacing w:line="480" w:lineRule="exact"/>
        <w:ind w:firstLine="560" w:firstLineChars="200"/>
        <w:rPr>
          <w:rFonts w:ascii="宋体" w:hAnsi="宋体"/>
          <w:sz w:val="28"/>
          <w:szCs w:val="28"/>
          <w:highlight w:val="none"/>
        </w:rPr>
      </w:pPr>
      <w:r>
        <w:rPr>
          <w:rFonts w:hint="eastAsia" w:ascii="宋体" w:hAnsi="宋体"/>
          <w:sz w:val="28"/>
          <w:szCs w:val="28"/>
          <w:highlight w:val="none"/>
        </w:rPr>
        <w:t>（1）中华人民共和国住房和城乡建设部、中华人民共和国国家质量监督检验检疫总局联合发布《房地产估价规范》（GB/T 50291-2015）；</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w:t>
      </w:r>
      <w:r>
        <w:rPr>
          <w:rFonts w:ascii="宋体" w:hAnsi="宋体"/>
          <w:sz w:val="28"/>
          <w:szCs w:val="28"/>
          <w:highlight w:val="none"/>
        </w:rPr>
        <w:t>2</w:t>
      </w:r>
      <w:r>
        <w:rPr>
          <w:rFonts w:hint="eastAsia" w:ascii="宋体" w:hAnsi="宋体"/>
          <w:sz w:val="28"/>
          <w:szCs w:val="28"/>
          <w:highlight w:val="none"/>
        </w:rPr>
        <w:t>）中华人民共和国住房和城乡建设部、中华人民共和国国家质量监督检验检疫总局联合发布《房地产估价基本术语标准》（GB/T 50899-2013）；</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3</w:t>
      </w:r>
      <w:r>
        <w:rPr>
          <w:rFonts w:hint="eastAsia" w:ascii="宋体" w:hAnsi="宋体"/>
          <w:sz w:val="28"/>
          <w:szCs w:val="28"/>
          <w:highlight w:val="none"/>
        </w:rPr>
        <w:t>）《</w:t>
      </w:r>
      <w:r>
        <w:rPr>
          <w:rFonts w:ascii="宋体" w:hAnsi="宋体"/>
          <w:sz w:val="28"/>
          <w:szCs w:val="28"/>
          <w:highlight w:val="none"/>
        </w:rPr>
        <w:fldChar w:fldCharType="begin"/>
      </w:r>
      <w:r>
        <w:rPr>
          <w:rFonts w:ascii="宋体" w:hAnsi="宋体"/>
          <w:sz w:val="28"/>
          <w:szCs w:val="28"/>
          <w:highlight w:val="none"/>
        </w:rPr>
        <w:instrText xml:space="preserve"> HYPERLINK "http://www.jianshe99.com/upload/html/2015/11/23/su5803b9a589144bb6a4e8269dc8ba657b.doc" \t "_blank" </w:instrText>
      </w:r>
      <w:r>
        <w:rPr>
          <w:rFonts w:ascii="宋体" w:hAnsi="宋体"/>
          <w:sz w:val="28"/>
          <w:szCs w:val="28"/>
          <w:highlight w:val="none"/>
        </w:rPr>
        <w:fldChar w:fldCharType="separate"/>
      </w:r>
      <w:r>
        <w:rPr>
          <w:rFonts w:hint="eastAsia" w:ascii="宋体" w:hAnsi="宋体"/>
          <w:sz w:val="28"/>
          <w:szCs w:val="28"/>
          <w:highlight w:val="none"/>
        </w:rPr>
        <w:t>河南省房地产估价技术指引</w:t>
      </w:r>
      <w:r>
        <w:rPr>
          <w:rFonts w:hint="eastAsia" w:ascii="宋体" w:hAnsi="宋体"/>
          <w:sz w:val="28"/>
          <w:szCs w:val="28"/>
          <w:highlight w:val="none"/>
          <w:lang w:eastAsia="zh-CN"/>
        </w:rPr>
        <w:t>》</w:t>
      </w:r>
      <w:r>
        <w:rPr>
          <w:rFonts w:ascii="宋体" w:hAnsi="宋体"/>
          <w:sz w:val="28"/>
          <w:szCs w:val="28"/>
          <w:highlight w:val="none"/>
        </w:rPr>
        <w:fldChar w:fldCharType="end"/>
      </w:r>
      <w:r>
        <w:rPr>
          <w:rFonts w:hint="eastAsia" w:ascii="宋体" w:hAnsi="宋体"/>
          <w:sz w:val="28"/>
          <w:szCs w:val="28"/>
          <w:highlight w:val="none"/>
        </w:rPr>
        <w:t>；</w:t>
      </w:r>
    </w:p>
    <w:p>
      <w:pPr>
        <w:spacing w:line="480" w:lineRule="exact"/>
        <w:ind w:firstLine="560" w:firstLineChars="200"/>
        <w:rPr>
          <w:rFonts w:ascii="宋体" w:hAns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4</w:t>
      </w:r>
      <w:r>
        <w:rPr>
          <w:rFonts w:hint="eastAsia" w:ascii="宋体" w:hAnsi="宋体"/>
          <w:sz w:val="28"/>
          <w:szCs w:val="28"/>
          <w:highlight w:val="none"/>
        </w:rPr>
        <w:t>）《房地产估价报告定量评审标准（试行）》。</w:t>
      </w:r>
    </w:p>
    <w:p>
      <w:pPr>
        <w:spacing w:line="480" w:lineRule="exact"/>
        <w:ind w:firstLine="560" w:firstLineChars="200"/>
        <w:rPr>
          <w:rFonts w:hint="eastAsia" w:ascii="宋体" w:hAnsi="宋体"/>
          <w:sz w:val="28"/>
          <w:szCs w:val="28"/>
        </w:rPr>
      </w:pPr>
      <w:r>
        <w:rPr>
          <w:rFonts w:hint="eastAsia" w:ascii="宋体" w:hAnsi="宋体"/>
          <w:sz w:val="28"/>
          <w:szCs w:val="28"/>
        </w:rPr>
        <w:t>3.估价委托人提供的有关资料</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（1）</w:t>
      </w:r>
      <w:r>
        <w:rPr>
          <w:rFonts w:hint="eastAsia" w:ascii="宋体" w:hAnsi="宋体"/>
          <w:sz w:val="28"/>
          <w:szCs w:val="28"/>
          <w:highlight w:val="none"/>
          <w:lang w:eastAsia="zh-CN"/>
        </w:rPr>
        <w:t>内乡县人民法院委托书</w:t>
      </w:r>
      <w:r>
        <w:rPr>
          <w:rFonts w:hint="eastAsia" w:ascii="宋体" w:hAnsi="宋体"/>
          <w:sz w:val="28"/>
          <w:szCs w:val="28"/>
          <w:highlight w:val="none"/>
        </w:rPr>
        <w:t>；</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（2）河南省</w:t>
      </w:r>
      <w:r>
        <w:rPr>
          <w:rFonts w:hint="eastAsia" w:ascii="宋体" w:hAnsi="宋体"/>
          <w:sz w:val="28"/>
          <w:szCs w:val="28"/>
          <w:highlight w:val="none"/>
          <w:lang w:eastAsia="zh-CN"/>
        </w:rPr>
        <w:t>内乡县人民法院执行</w:t>
      </w:r>
      <w:r>
        <w:rPr>
          <w:rFonts w:hint="eastAsia" w:ascii="宋体" w:hAnsi="宋体"/>
          <w:sz w:val="28"/>
          <w:szCs w:val="28"/>
          <w:highlight w:val="none"/>
        </w:rPr>
        <w:t>裁定书；</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（3）房屋所有权证</w:t>
      </w:r>
      <w:r>
        <w:rPr>
          <w:rFonts w:hint="eastAsia" w:ascii="宋体" w:hAnsi="宋体"/>
          <w:sz w:val="28"/>
          <w:szCs w:val="28"/>
          <w:highlight w:val="none"/>
          <w:lang w:eastAsia="zh-CN"/>
        </w:rPr>
        <w:t>存根</w:t>
      </w:r>
      <w:r>
        <w:rPr>
          <w:rFonts w:hint="eastAsia" w:ascii="宋体" w:hAnsi="宋体"/>
          <w:sz w:val="28"/>
          <w:szCs w:val="28"/>
          <w:highlight w:val="none"/>
        </w:rPr>
        <w:t>复印件；</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lang w:eastAsia="zh-CN"/>
        </w:rPr>
        <w:t>（</w:t>
      </w:r>
      <w:r>
        <w:rPr>
          <w:rFonts w:hint="eastAsia" w:ascii="宋体" w:hAnsi="宋体"/>
          <w:sz w:val="28"/>
          <w:szCs w:val="28"/>
          <w:highlight w:val="none"/>
          <w:lang w:val="en-US" w:eastAsia="zh-CN"/>
        </w:rPr>
        <w:t>4</w:t>
      </w:r>
      <w:r>
        <w:rPr>
          <w:rFonts w:hint="eastAsia" w:ascii="宋体" w:hAnsi="宋体"/>
          <w:sz w:val="28"/>
          <w:szCs w:val="28"/>
          <w:highlight w:val="none"/>
          <w:lang w:eastAsia="zh-CN"/>
        </w:rPr>
        <w:t>）内乡县赤眉镇赤眉村民委员会证明复印件；</w:t>
      </w:r>
    </w:p>
    <w:p>
      <w:pPr>
        <w:spacing w:line="480" w:lineRule="exact"/>
        <w:ind w:firstLine="560" w:firstLineChars="200"/>
        <w:rPr>
          <w:rFonts w:hint="eastAsia" w:ascii="宋体" w:hAnsi="宋体"/>
          <w:sz w:val="28"/>
          <w:szCs w:val="28"/>
        </w:rPr>
      </w:pPr>
      <w:r>
        <w:rPr>
          <w:rFonts w:hint="eastAsia" w:ascii="宋体" w:hAnsi="宋体"/>
          <w:sz w:val="28"/>
          <w:szCs w:val="28"/>
        </w:rPr>
        <w:t>4.房地产估价机构和注册房地产估价师所搜集掌握的有关资料</w:t>
      </w:r>
    </w:p>
    <w:p>
      <w:pPr>
        <w:spacing w:line="480" w:lineRule="exact"/>
        <w:ind w:firstLine="560" w:firstLineChars="200"/>
        <w:rPr>
          <w:rFonts w:hint="eastAsia" w:ascii="宋体" w:hAnsi="宋体"/>
          <w:sz w:val="28"/>
          <w:szCs w:val="28"/>
        </w:rPr>
      </w:pPr>
      <w:r>
        <w:rPr>
          <w:rFonts w:hint="eastAsia" w:ascii="宋体" w:hAnsi="宋体"/>
          <w:sz w:val="28"/>
          <w:szCs w:val="28"/>
        </w:rPr>
        <w:t>（1）注册房地产估价师实地查勘资料；</w:t>
      </w:r>
    </w:p>
    <w:p>
      <w:pPr>
        <w:spacing w:line="480" w:lineRule="exact"/>
        <w:ind w:firstLine="560" w:firstLineChars="200"/>
        <w:rPr>
          <w:rFonts w:hint="eastAsia" w:ascii="宋体" w:hAnsi="宋体"/>
          <w:sz w:val="28"/>
          <w:szCs w:val="28"/>
        </w:rPr>
      </w:pPr>
      <w:r>
        <w:rPr>
          <w:rFonts w:hint="eastAsia" w:ascii="宋体" w:hAnsi="宋体"/>
          <w:sz w:val="28"/>
          <w:szCs w:val="28"/>
        </w:rPr>
        <w:t>（2）估价对象所在区域的房地产市场状况、同类房地产市场交易等数据资料。</w:t>
      </w:r>
    </w:p>
    <w:p>
      <w:pPr>
        <w:spacing w:line="480" w:lineRule="exact"/>
        <w:ind w:firstLine="560" w:firstLineChars="200"/>
        <w:rPr>
          <w:rFonts w:hint="eastAsia" w:ascii="宋体" w:hAnsi="宋体"/>
          <w:sz w:val="28"/>
          <w:szCs w:val="28"/>
        </w:rPr>
      </w:pPr>
      <w:bookmarkStart w:id="51" w:name="_Toc372647073"/>
      <w:bookmarkStart w:id="52" w:name="_Toc372647374"/>
      <w:bookmarkStart w:id="53" w:name="_Toc372792867"/>
      <w:r>
        <w:rPr>
          <w:rFonts w:hint="eastAsia" w:ascii="宋体" w:hAnsi="宋体"/>
          <w:sz w:val="28"/>
          <w:szCs w:val="28"/>
        </w:rPr>
        <w:t>（3）注册房地产估价师及估价机构收集的与估价相关的其他资料。</w:t>
      </w:r>
      <w:bookmarkEnd w:id="51"/>
      <w:bookmarkEnd w:id="52"/>
      <w:bookmarkEnd w:id="53"/>
    </w:p>
    <w:p>
      <w:pPr>
        <w:pStyle w:val="3"/>
        <w:spacing w:before="156" w:beforeLines="50" w:after="156" w:afterLines="50"/>
        <w:ind w:firstLine="551" w:firstLineChars="196"/>
        <w:rPr>
          <w:rFonts w:hint="eastAsia" w:ascii="宋体" w:hAnsi="宋体"/>
          <w:szCs w:val="28"/>
        </w:rPr>
      </w:pPr>
      <w:bookmarkStart w:id="54" w:name="_Toc275767922"/>
      <w:bookmarkStart w:id="55" w:name="_Toc11787"/>
      <w:r>
        <w:rPr>
          <w:rFonts w:hint="eastAsia" w:ascii="宋体" w:hAnsi="宋体"/>
          <w:szCs w:val="28"/>
        </w:rPr>
        <w:t>（九）估价方法</w:t>
      </w:r>
      <w:bookmarkEnd w:id="54"/>
      <w:bookmarkEnd w:id="55"/>
    </w:p>
    <w:p>
      <w:pPr>
        <w:spacing w:line="480" w:lineRule="exact"/>
        <w:ind w:firstLine="560" w:firstLineChars="200"/>
        <w:rPr>
          <w:rFonts w:ascii="宋体" w:hAnsi="宋体"/>
          <w:sz w:val="28"/>
          <w:szCs w:val="28"/>
        </w:rPr>
      </w:pPr>
      <w:bookmarkStart w:id="56" w:name="_Toc275767923"/>
      <w:r>
        <w:rPr>
          <w:rFonts w:hint="eastAsia" w:ascii="宋体" w:hAnsi="宋体"/>
          <w:sz w:val="28"/>
          <w:szCs w:val="28"/>
        </w:rPr>
        <w:t>根据《房地产估价规范》（GB/T 50291-2015）的规定，房地产的估价方法主要有</w:t>
      </w:r>
      <w:r>
        <w:rPr>
          <w:rFonts w:hint="eastAsia" w:ascii="宋体" w:hAnsi="宋体"/>
          <w:sz w:val="28"/>
          <w:szCs w:val="28"/>
          <w:lang w:eastAsia="zh-CN"/>
        </w:rPr>
        <w:t>比较法</w:t>
      </w:r>
      <w:r>
        <w:rPr>
          <w:rFonts w:hint="eastAsia" w:ascii="宋体" w:hAnsi="宋体"/>
          <w:sz w:val="28"/>
          <w:szCs w:val="28"/>
        </w:rPr>
        <w:t>、收益法、成本法、假设开发法等，在进行测算估价对象价值或价格时，估价方法的选用应符合下列规定：</w:t>
      </w:r>
    </w:p>
    <w:p>
      <w:pPr>
        <w:spacing w:line="480" w:lineRule="exact"/>
        <w:ind w:firstLine="560" w:firstLineChars="200"/>
        <w:rPr>
          <w:rFonts w:hint="eastAsia" w:ascii="宋体" w:hAnsi="宋体"/>
          <w:sz w:val="28"/>
          <w:szCs w:val="28"/>
        </w:rPr>
      </w:pPr>
      <w:r>
        <w:rPr>
          <w:rFonts w:hint="eastAsia" w:ascii="宋体" w:hAnsi="宋体"/>
          <w:sz w:val="28"/>
          <w:szCs w:val="28"/>
        </w:rPr>
        <w:t>估价对象的同类房地产有交易较多的，应选用</w:t>
      </w:r>
      <w:r>
        <w:rPr>
          <w:rFonts w:hint="eastAsia" w:ascii="宋体" w:hAnsi="宋体"/>
          <w:sz w:val="28"/>
          <w:szCs w:val="28"/>
          <w:lang w:eastAsia="zh-CN"/>
        </w:rPr>
        <w:t>比较法</w:t>
      </w:r>
      <w:r>
        <w:rPr>
          <w:rFonts w:hint="eastAsia" w:ascii="宋体" w:hAnsi="宋体"/>
          <w:sz w:val="28"/>
          <w:szCs w:val="28"/>
        </w:rPr>
        <w:t>；估价对象或其同类房地产通常有租金等经济收入的，应选用收益法；估价对象可假定为独立的开发建设项目进行重新开发建设的</w:t>
      </w:r>
      <w:r>
        <w:rPr>
          <w:rFonts w:hint="eastAsia" w:ascii="宋体" w:hAnsi="宋体"/>
          <w:sz w:val="28"/>
          <w:szCs w:val="28"/>
          <w:highlight w:val="none"/>
        </w:rPr>
        <w:t>，宜选用成本法；当估价对象的同类房地产没有交易或交易很少，且估价对象或其同类房地产没有租金等经济收入时，应选用成本法；估价对象具有开发或再开发潜力且开发完成后的价值可采用成本法以外的方法测算的，应选用假</w:t>
      </w:r>
      <w:r>
        <w:rPr>
          <w:rFonts w:hint="eastAsia" w:ascii="宋体" w:hAnsi="宋体"/>
          <w:sz w:val="28"/>
          <w:szCs w:val="28"/>
        </w:rPr>
        <w:t>设开发法。</w:t>
      </w:r>
    </w:p>
    <w:p>
      <w:pPr>
        <w:spacing w:line="480" w:lineRule="exact"/>
        <w:ind w:firstLine="560" w:firstLineChars="200"/>
        <w:rPr>
          <w:rFonts w:hint="eastAsia" w:ascii="宋体" w:hAnsi="宋体"/>
          <w:sz w:val="28"/>
          <w:szCs w:val="28"/>
        </w:rPr>
      </w:pPr>
      <w:r>
        <w:rPr>
          <w:rFonts w:hint="eastAsia" w:ascii="宋体" w:hAnsi="宋体"/>
          <w:sz w:val="28"/>
          <w:szCs w:val="28"/>
        </w:rPr>
        <w:t>1.估价方法选择</w:t>
      </w:r>
    </w:p>
    <w:p>
      <w:pPr>
        <w:spacing w:line="480" w:lineRule="exact"/>
        <w:ind w:firstLine="560" w:firstLineChars="200"/>
        <w:rPr>
          <w:rFonts w:hint="eastAsia" w:ascii="宋体" w:hAnsi="宋体"/>
          <w:sz w:val="28"/>
          <w:szCs w:val="28"/>
        </w:rPr>
      </w:pPr>
      <w:r>
        <w:rPr>
          <w:rFonts w:hint="eastAsia" w:ascii="宋体" w:hAnsi="宋体"/>
          <w:sz w:val="28"/>
          <w:szCs w:val="28"/>
        </w:rPr>
        <w:t>本次评估中，注册房地产估价师在认真分析所掌握的资料并进行了实地查勘后采用了</w:t>
      </w:r>
      <w:r>
        <w:rPr>
          <w:rFonts w:hint="eastAsia" w:ascii="宋体" w:hAnsi="宋体"/>
          <w:sz w:val="28"/>
          <w:szCs w:val="28"/>
          <w:lang w:eastAsia="zh-CN"/>
        </w:rPr>
        <w:t>成本法</w:t>
      </w:r>
      <w:r>
        <w:rPr>
          <w:rFonts w:hint="eastAsia" w:ascii="宋体" w:hAnsi="宋体"/>
          <w:sz w:val="28"/>
          <w:szCs w:val="28"/>
        </w:rPr>
        <w:t>求估价对象的价值，主要基于以下考虑：</w:t>
      </w:r>
    </w:p>
    <w:p>
      <w:pPr>
        <w:spacing w:line="480" w:lineRule="exact"/>
        <w:ind w:firstLine="560" w:firstLineChars="200"/>
        <w:rPr>
          <w:rFonts w:hint="eastAsia" w:ascii="宋体" w:hAnsi="宋体" w:eastAsia="宋体"/>
          <w:sz w:val="28"/>
          <w:szCs w:val="28"/>
          <w:lang w:eastAsia="zh-CN"/>
        </w:rPr>
      </w:pPr>
      <w:r>
        <w:rPr>
          <w:rFonts w:hint="eastAsia" w:ascii="宋体" w:hAnsi="宋体"/>
          <w:sz w:val="28"/>
          <w:szCs w:val="28"/>
        </w:rPr>
        <w:t>（1）</w:t>
      </w:r>
      <w:r>
        <w:rPr>
          <w:rFonts w:hint="eastAsia" w:ascii="宋体" w:hAnsi="宋体"/>
          <w:sz w:val="28"/>
          <w:szCs w:val="28"/>
          <w:highlight w:val="none"/>
          <w:lang w:eastAsia="zh-CN"/>
        </w:rPr>
        <w:t>估价对象</w:t>
      </w:r>
      <w:r>
        <w:rPr>
          <w:rFonts w:hint="eastAsia" w:ascii="宋体" w:hAnsi="宋体"/>
          <w:sz w:val="28"/>
          <w:szCs w:val="28"/>
          <w:highlight w:val="none"/>
        </w:rPr>
        <w:t>类似房屋的建设成本、土地取得成本、开发利润等资料</w:t>
      </w:r>
      <w:r>
        <w:rPr>
          <w:rFonts w:hint="eastAsia" w:ascii="宋体" w:hAnsi="宋体"/>
          <w:color w:val="auto"/>
          <w:sz w:val="28"/>
          <w:szCs w:val="28"/>
          <w:highlight w:val="none"/>
          <w:u w:val="none" w:color="FFFFFF"/>
        </w:rPr>
        <w:t>易于收集</w:t>
      </w:r>
      <w:r>
        <w:rPr>
          <w:rFonts w:hint="eastAsia" w:ascii="宋体" w:hAnsi="宋体"/>
          <w:color w:val="auto"/>
          <w:sz w:val="28"/>
          <w:szCs w:val="28"/>
          <w:highlight w:val="none"/>
        </w:rPr>
        <w:t>，故此宜采用成本法进行估价。</w:t>
      </w:r>
    </w:p>
    <w:p>
      <w:pPr>
        <w:spacing w:line="480" w:lineRule="exact"/>
        <w:ind w:firstLine="560" w:firstLineChars="200"/>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2</w:t>
      </w:r>
      <w:r>
        <w:rPr>
          <w:rFonts w:hint="eastAsia" w:ascii="宋体" w:hAnsi="宋体"/>
          <w:sz w:val="28"/>
          <w:szCs w:val="28"/>
        </w:rPr>
        <w:t>）根据最高最佳分析，估价对象为已建成并可正常投入持续利用的物业，属于无需更新改造、拆除重建或改变用途的房地产，故本次也不宜采用假设开发法进行估价。</w:t>
      </w:r>
    </w:p>
    <w:p>
      <w:pPr>
        <w:spacing w:line="480" w:lineRule="exact"/>
        <w:ind w:firstLine="560" w:firstLineChars="200"/>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3</w:t>
      </w:r>
      <w:r>
        <w:rPr>
          <w:rFonts w:hint="eastAsia" w:ascii="宋体" w:hAnsi="宋体"/>
          <w:sz w:val="28"/>
          <w:szCs w:val="28"/>
        </w:rPr>
        <w:t>）</w:t>
      </w:r>
      <w:r>
        <w:rPr>
          <w:rFonts w:hint="eastAsia" w:ascii="宋体" w:hAnsi="宋体"/>
          <w:sz w:val="28"/>
          <w:szCs w:val="28"/>
          <w:lang w:eastAsia="zh-CN"/>
        </w:rPr>
        <w:t>估价对象位于内乡</w:t>
      </w:r>
      <w:r>
        <w:rPr>
          <w:rFonts w:hint="eastAsia" w:ascii="宋体" w:hAnsi="宋体"/>
          <w:sz w:val="28"/>
          <w:szCs w:val="28"/>
        </w:rPr>
        <w:t>县</w:t>
      </w:r>
      <w:r>
        <w:rPr>
          <w:rFonts w:hint="eastAsia" w:ascii="宋体" w:hAnsi="宋体"/>
          <w:sz w:val="28"/>
          <w:szCs w:val="28"/>
          <w:lang w:eastAsia="zh-CN"/>
        </w:rPr>
        <w:t>赤眉</w:t>
      </w:r>
      <w:r>
        <w:rPr>
          <w:rFonts w:hint="eastAsia" w:ascii="宋体" w:hAnsi="宋体"/>
          <w:sz w:val="28"/>
          <w:szCs w:val="28"/>
        </w:rPr>
        <w:t>镇</w:t>
      </w:r>
      <w:r>
        <w:rPr>
          <w:rFonts w:hint="eastAsia" w:ascii="宋体" w:hAnsi="宋体"/>
          <w:sz w:val="28"/>
          <w:szCs w:val="28"/>
          <w:lang w:eastAsia="zh-CN"/>
        </w:rPr>
        <w:t>赤眉村街南南组</w:t>
      </w:r>
      <w:r>
        <w:rPr>
          <w:rFonts w:hint="eastAsia" w:ascii="宋体" w:hAnsi="宋体"/>
          <w:sz w:val="28"/>
          <w:szCs w:val="28"/>
        </w:rPr>
        <w:t>，经调查，同一供求圈内房地产市场交易量较少，类似交易实例难以获取，故</w:t>
      </w:r>
      <w:r>
        <w:rPr>
          <w:rFonts w:hint="eastAsia" w:ascii="宋体" w:hAnsi="宋体"/>
          <w:sz w:val="28"/>
          <w:szCs w:val="28"/>
          <w:lang w:eastAsia="zh-CN"/>
        </w:rPr>
        <w:t>不宜</w:t>
      </w:r>
      <w:r>
        <w:rPr>
          <w:rFonts w:hint="eastAsia" w:ascii="宋体" w:hAnsi="宋体"/>
          <w:sz w:val="28"/>
          <w:szCs w:val="28"/>
        </w:rPr>
        <w:t>采用比较法估价。</w:t>
      </w:r>
    </w:p>
    <w:p>
      <w:pPr>
        <w:spacing w:line="480" w:lineRule="exact"/>
        <w:ind w:firstLine="560" w:firstLineChars="200"/>
        <w:rPr>
          <w:rFonts w:hint="eastAsia" w:ascii="宋体" w:hAnsi="宋体" w:eastAsia="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4</w:t>
      </w:r>
      <w:r>
        <w:rPr>
          <w:rFonts w:hint="eastAsia" w:ascii="宋体" w:hAnsi="宋体"/>
          <w:sz w:val="28"/>
          <w:szCs w:val="28"/>
          <w:lang w:eastAsia="zh-CN"/>
        </w:rPr>
        <w:t>）估价对象维护和保养状况较差，局部房屋损坏严重，经调查，同一供求圈内类似房地产出租案例可难以获取，故不宜采用收益法估价。</w:t>
      </w:r>
    </w:p>
    <w:p>
      <w:pPr>
        <w:spacing w:line="480" w:lineRule="exact"/>
        <w:ind w:firstLine="560" w:firstLineChars="200"/>
        <w:rPr>
          <w:rFonts w:hint="eastAsia" w:ascii="宋体" w:hAnsi="宋体"/>
          <w:sz w:val="28"/>
          <w:szCs w:val="28"/>
        </w:rPr>
      </w:pPr>
      <w:r>
        <w:rPr>
          <w:rFonts w:hint="eastAsia" w:ascii="宋体" w:hAnsi="宋体"/>
          <w:sz w:val="28"/>
          <w:szCs w:val="28"/>
        </w:rPr>
        <w:t>2.估价方法定义及公式</w:t>
      </w:r>
    </w:p>
    <w:p>
      <w:pPr>
        <w:spacing w:line="480" w:lineRule="exact"/>
        <w:ind w:firstLine="560" w:firstLineChars="200"/>
        <w:rPr>
          <w:rFonts w:hint="eastAsia"/>
          <w:color w:val="auto"/>
          <w:sz w:val="28"/>
          <w:szCs w:val="28"/>
          <w:highlight w:val="none"/>
          <w:u w:val="none" w:color="FFFFFF"/>
          <w:lang w:eastAsia="zh-CN"/>
        </w:rPr>
      </w:pPr>
      <w:r>
        <w:rPr>
          <w:rFonts w:hint="eastAsia"/>
          <w:color w:val="auto"/>
          <w:sz w:val="28"/>
          <w:szCs w:val="28"/>
          <w:highlight w:val="none"/>
          <w:u w:val="none" w:color="FFFFFF"/>
        </w:rPr>
        <w:t>成本法是测算估价对象在价值时点的重置成本或重建成本和折旧，将重置成本或重建成本减去折旧得到估价对象价值或价格的方法</w:t>
      </w:r>
      <w:r>
        <w:rPr>
          <w:rFonts w:hint="eastAsia"/>
          <w:color w:val="auto"/>
          <w:sz w:val="28"/>
          <w:szCs w:val="28"/>
          <w:highlight w:val="none"/>
          <w:u w:val="none" w:color="FFFFFF"/>
          <w:lang w:eastAsia="zh-CN"/>
        </w:rPr>
        <w:t>。</w:t>
      </w:r>
    </w:p>
    <w:p>
      <w:pPr>
        <w:spacing w:line="480" w:lineRule="exact"/>
        <w:ind w:firstLine="560" w:firstLineChars="200"/>
        <w:rPr>
          <w:rFonts w:hint="eastAsia"/>
          <w:color w:val="auto"/>
          <w:sz w:val="28"/>
          <w:szCs w:val="28"/>
          <w:highlight w:val="none"/>
          <w:u w:val="none" w:color="FFFFFF"/>
          <w:lang w:eastAsia="zh-CN"/>
        </w:rPr>
      </w:pPr>
      <w:r>
        <w:rPr>
          <w:rFonts w:hint="eastAsia"/>
          <w:color w:val="auto"/>
          <w:sz w:val="28"/>
          <w:szCs w:val="28"/>
          <w:highlight w:val="none"/>
          <w:u w:val="none" w:color="FFFFFF"/>
          <w:lang w:eastAsia="zh-CN"/>
        </w:rPr>
        <w:t>建筑物价格=（建筑物开发成本+管理费用+销售费用+投资利息+销售税费+投资利润）×成新率</w:t>
      </w:r>
    </w:p>
    <w:p>
      <w:pPr>
        <w:pStyle w:val="3"/>
        <w:spacing w:before="156" w:beforeLines="50" w:after="156" w:afterLines="50" w:line="500" w:lineRule="exact"/>
        <w:ind w:firstLine="551" w:firstLineChars="196"/>
        <w:rPr>
          <w:rFonts w:hint="eastAsia" w:ascii="宋体" w:hAnsi="宋体"/>
          <w:szCs w:val="28"/>
        </w:rPr>
      </w:pPr>
      <w:bookmarkStart w:id="57" w:name="_Toc10460"/>
      <w:r>
        <w:rPr>
          <w:rFonts w:hint="eastAsia" w:ascii="宋体" w:hAnsi="宋体"/>
          <w:szCs w:val="28"/>
        </w:rPr>
        <w:t>（十）估价结果</w:t>
      </w:r>
      <w:bookmarkEnd w:id="56"/>
      <w:bookmarkEnd w:id="57"/>
    </w:p>
    <w:p>
      <w:pPr>
        <w:spacing w:line="500" w:lineRule="exact"/>
        <w:ind w:firstLine="560" w:firstLineChars="200"/>
        <w:rPr>
          <w:rFonts w:hint="eastAsia" w:ascii="宋体" w:hAnsi="宋体"/>
          <w:sz w:val="28"/>
          <w:szCs w:val="28"/>
        </w:rPr>
      </w:pPr>
      <w:bookmarkStart w:id="58" w:name="_Toc275767924"/>
      <w:r>
        <w:rPr>
          <w:rFonts w:hint="eastAsia" w:ascii="宋体" w:hAnsi="宋体"/>
          <w:sz w:val="28"/>
          <w:szCs w:val="28"/>
        </w:rPr>
        <w:t>我公司估价人员经过实地查勘和市场调查，遵照《房地产估价规范》</w:t>
      </w:r>
      <w:r>
        <w:rPr>
          <w:rFonts w:hint="eastAsia" w:ascii="宋体" w:hAnsi="宋体"/>
          <w:sz w:val="28"/>
          <w:szCs w:val="28"/>
          <w:lang w:eastAsia="zh-CN"/>
        </w:rPr>
        <w:t>（GB/T 50291-2015）</w:t>
      </w:r>
      <w:r>
        <w:rPr>
          <w:rFonts w:hint="eastAsia" w:ascii="宋体" w:hAnsi="宋体"/>
          <w:sz w:val="28"/>
          <w:szCs w:val="28"/>
        </w:rPr>
        <w:t>、《房地产估价基本术语标准》（GB/T 50899-2013）和《河南省房地产司法鉴定估价指导意见》等有关估价法规和技术规范，遵循独立、客观、公正、合法原则，我们采用比较法、</w:t>
      </w:r>
      <w:r>
        <w:rPr>
          <w:rFonts w:ascii="宋体" w:hAnsi="宋体"/>
          <w:sz w:val="28"/>
          <w:szCs w:val="28"/>
        </w:rPr>
        <w:t>收益法</w:t>
      </w:r>
      <w:r>
        <w:rPr>
          <w:rFonts w:hint="eastAsia" w:ascii="宋体" w:hAnsi="宋体"/>
          <w:sz w:val="28"/>
          <w:szCs w:val="28"/>
        </w:rPr>
        <w:t>进行了分析、测算和判断，测算出估价对象在价值时点的市场价值为人民币191,700元，大写人民币壹拾玖万壹仟柒佰元整，单价为1434元/m²。</w:t>
      </w:r>
    </w:p>
    <w:p>
      <w:pPr>
        <w:pStyle w:val="3"/>
        <w:spacing w:before="156" w:beforeLines="50" w:after="156" w:afterLines="50"/>
        <w:ind w:firstLine="551" w:firstLineChars="196"/>
        <w:rPr>
          <w:rFonts w:hint="eastAsia" w:ascii="宋体" w:hAnsi="宋体"/>
          <w:szCs w:val="28"/>
        </w:rPr>
      </w:pPr>
      <w:bookmarkStart w:id="59" w:name="_Toc26847"/>
      <w:r>
        <w:rPr>
          <w:rFonts w:hint="eastAsia" w:ascii="宋体" w:hAnsi="宋体"/>
          <w:szCs w:val="28"/>
        </w:rPr>
        <w:t>（十一）注册房地产估价师</w:t>
      </w:r>
      <w:bookmarkEnd w:id="58"/>
      <w:bookmarkEnd w:id="59"/>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0"/>
        <w:gridCol w:w="1843"/>
        <w:gridCol w:w="2811"/>
        <w:gridCol w:w="26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1" w:hRule="atLeast"/>
          <w:jc w:val="center"/>
        </w:trPr>
        <w:tc>
          <w:tcPr>
            <w:tcW w:w="1780" w:type="dxa"/>
            <w:noWrap w:val="0"/>
            <w:vAlign w:val="center"/>
          </w:tcPr>
          <w:p>
            <w:pPr>
              <w:widowControl/>
              <w:jc w:val="center"/>
              <w:rPr>
                <w:rFonts w:ascii="宋体" w:cs="宋体"/>
                <w:kern w:val="0"/>
                <w:sz w:val="24"/>
              </w:rPr>
            </w:pPr>
            <w:bookmarkStart w:id="60" w:name="_Toc275767925"/>
            <w:r>
              <w:rPr>
                <w:rFonts w:hint="eastAsia" w:ascii="宋体" w:hAnsi="宋体" w:cs="宋体"/>
                <w:kern w:val="0"/>
                <w:sz w:val="24"/>
              </w:rPr>
              <w:t>姓</w:t>
            </w:r>
            <w:r>
              <w:rPr>
                <w:kern w:val="0"/>
                <w:sz w:val="24"/>
              </w:rPr>
              <w:t xml:space="preserve">  </w:t>
            </w:r>
            <w:r>
              <w:rPr>
                <w:rFonts w:hint="eastAsia" w:ascii="宋体" w:hAnsi="宋体" w:cs="宋体"/>
                <w:kern w:val="0"/>
                <w:sz w:val="24"/>
              </w:rPr>
              <w:t>名</w:t>
            </w:r>
          </w:p>
        </w:tc>
        <w:tc>
          <w:tcPr>
            <w:tcW w:w="1843" w:type="dxa"/>
            <w:noWrap w:val="0"/>
            <w:vAlign w:val="center"/>
          </w:tcPr>
          <w:p>
            <w:pPr>
              <w:widowControl/>
              <w:jc w:val="center"/>
              <w:rPr>
                <w:rFonts w:ascii="宋体" w:cs="宋体"/>
                <w:kern w:val="0"/>
                <w:sz w:val="24"/>
              </w:rPr>
            </w:pPr>
            <w:r>
              <w:rPr>
                <w:rFonts w:hint="eastAsia" w:ascii="宋体" w:hAnsi="宋体" w:cs="宋体"/>
                <w:kern w:val="0"/>
                <w:sz w:val="24"/>
              </w:rPr>
              <w:t>注</w:t>
            </w:r>
            <w:r>
              <w:rPr>
                <w:rFonts w:ascii="宋体" w:hAnsi="宋体" w:cs="宋体"/>
                <w:kern w:val="0"/>
                <w:sz w:val="24"/>
              </w:rPr>
              <w:t xml:space="preserve"> </w:t>
            </w:r>
            <w:r>
              <w:rPr>
                <w:rFonts w:hint="eastAsia" w:ascii="宋体" w:hAnsi="宋体" w:cs="宋体"/>
                <w:kern w:val="0"/>
                <w:sz w:val="24"/>
              </w:rPr>
              <w:t>册</w:t>
            </w:r>
            <w:r>
              <w:rPr>
                <w:rFonts w:ascii="宋体" w:hAnsi="宋体" w:cs="宋体"/>
                <w:kern w:val="0"/>
                <w:sz w:val="24"/>
              </w:rPr>
              <w:t xml:space="preserve"> </w:t>
            </w:r>
            <w:r>
              <w:rPr>
                <w:rFonts w:hint="eastAsia" w:ascii="宋体" w:hAnsi="宋体" w:cs="宋体"/>
                <w:kern w:val="0"/>
                <w:sz w:val="24"/>
              </w:rPr>
              <w:t>号</w:t>
            </w:r>
          </w:p>
        </w:tc>
        <w:tc>
          <w:tcPr>
            <w:tcW w:w="2811" w:type="dxa"/>
            <w:tcBorders>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签</w:t>
            </w:r>
            <w:r>
              <w:rPr>
                <w:kern w:val="0"/>
                <w:sz w:val="24"/>
              </w:rPr>
              <w:t xml:space="preserve"> </w:t>
            </w:r>
            <w:r>
              <w:rPr>
                <w:rFonts w:hint="eastAsia" w:ascii="宋体" w:hAnsi="宋体" w:cs="宋体"/>
                <w:kern w:val="0"/>
                <w:sz w:val="24"/>
              </w:rPr>
              <w:t>名</w:t>
            </w:r>
          </w:p>
        </w:tc>
        <w:tc>
          <w:tcPr>
            <w:tcW w:w="2681" w:type="dxa"/>
            <w:tcBorders>
              <w:left w:val="single" w:color="auto" w:sz="4" w:space="0"/>
            </w:tcBorders>
            <w:noWrap w:val="0"/>
            <w:vAlign w:val="center"/>
          </w:tcPr>
          <w:p>
            <w:pPr>
              <w:widowControl/>
              <w:jc w:val="center"/>
              <w:rPr>
                <w:rFonts w:ascii="宋体" w:cs="宋体"/>
                <w:kern w:val="0"/>
                <w:sz w:val="24"/>
              </w:rPr>
            </w:pPr>
            <w:r>
              <w:rPr>
                <w:rFonts w:hint="eastAsia" w:ascii="宋体" w:cs="宋体"/>
                <w:kern w:val="0"/>
                <w:sz w:val="24"/>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8" w:hRule="atLeast"/>
          <w:jc w:val="center"/>
        </w:trPr>
        <w:tc>
          <w:tcPr>
            <w:tcW w:w="1780" w:type="dxa"/>
            <w:noWrap w:val="0"/>
            <w:vAlign w:val="center"/>
          </w:tcPr>
          <w:p>
            <w:pPr>
              <w:widowControl/>
              <w:jc w:val="center"/>
              <w:rPr>
                <w:rFonts w:hint="eastAsia" w:ascii="宋体" w:hAnsi="宋体"/>
                <w:bCs/>
                <w:sz w:val="24"/>
              </w:rPr>
            </w:pPr>
            <w:r>
              <w:rPr>
                <w:rFonts w:hint="eastAsia" w:ascii="宋体" w:hAnsi="宋体"/>
                <w:bCs/>
                <w:sz w:val="24"/>
              </w:rPr>
              <w:t>轩幸福</w:t>
            </w:r>
          </w:p>
        </w:tc>
        <w:tc>
          <w:tcPr>
            <w:tcW w:w="1843" w:type="dxa"/>
            <w:noWrap w:val="0"/>
            <w:vAlign w:val="center"/>
          </w:tcPr>
          <w:p>
            <w:pPr>
              <w:widowControl/>
              <w:jc w:val="center"/>
              <w:rPr>
                <w:rFonts w:ascii="宋体" w:hAnsi="宋体"/>
                <w:bCs/>
                <w:sz w:val="24"/>
              </w:rPr>
            </w:pPr>
            <w:r>
              <w:rPr>
                <w:rFonts w:hint="eastAsia" w:ascii="宋体" w:hAnsi="宋体"/>
                <w:bCs/>
                <w:sz w:val="24"/>
              </w:rPr>
              <w:t>4120210153</w:t>
            </w:r>
          </w:p>
        </w:tc>
        <w:tc>
          <w:tcPr>
            <w:tcW w:w="2811" w:type="dxa"/>
            <w:tcBorders>
              <w:right w:val="single" w:color="auto" w:sz="4" w:space="0"/>
            </w:tcBorders>
            <w:noWrap w:val="0"/>
            <w:vAlign w:val="center"/>
          </w:tcPr>
          <w:p>
            <w:pPr>
              <w:widowControl/>
              <w:jc w:val="center"/>
              <w:rPr>
                <w:kern w:val="0"/>
                <w:sz w:val="24"/>
              </w:rPr>
            </w:pPr>
          </w:p>
        </w:tc>
        <w:tc>
          <w:tcPr>
            <w:tcW w:w="2681" w:type="dxa"/>
            <w:tcBorders>
              <w:left w:val="single" w:color="auto" w:sz="4" w:space="0"/>
            </w:tcBorders>
            <w:noWrap w:val="0"/>
            <w:vAlign w:val="center"/>
          </w:tcPr>
          <w:p>
            <w:pPr>
              <w:widowControl/>
              <w:jc w:val="center"/>
              <w:rPr>
                <w:rFonts w:hint="eastAsia" w:eastAsia="宋体"/>
                <w:kern w:val="0"/>
                <w:sz w:val="24"/>
                <w:lang w:eastAsia="zh-CN"/>
              </w:rPr>
            </w:pPr>
            <w:r>
              <w:rPr>
                <w:rFonts w:hint="eastAsia" w:ascii="宋体" w:hAnsi="宋体"/>
                <w:bCs/>
                <w:sz w:val="24"/>
                <w:lang w:eastAsia="zh-CN"/>
              </w:rPr>
              <w:t>二〇二二年六月十日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8" w:hRule="atLeast"/>
          <w:jc w:val="center"/>
        </w:trPr>
        <w:tc>
          <w:tcPr>
            <w:tcW w:w="1780" w:type="dxa"/>
            <w:noWrap w:val="0"/>
            <w:vAlign w:val="center"/>
          </w:tcPr>
          <w:p>
            <w:pPr>
              <w:widowControl/>
              <w:jc w:val="center"/>
              <w:rPr>
                <w:rFonts w:hint="eastAsia" w:ascii="宋体" w:hAnsi="宋体"/>
                <w:bCs/>
                <w:sz w:val="24"/>
              </w:rPr>
            </w:pPr>
            <w:r>
              <w:rPr>
                <w:rFonts w:hint="eastAsia" w:ascii="宋体" w:hAnsi="宋体"/>
                <w:bCs/>
                <w:sz w:val="24"/>
              </w:rPr>
              <w:t>刘妙然</w:t>
            </w:r>
          </w:p>
        </w:tc>
        <w:tc>
          <w:tcPr>
            <w:tcW w:w="1843" w:type="dxa"/>
            <w:noWrap w:val="0"/>
            <w:vAlign w:val="center"/>
          </w:tcPr>
          <w:p>
            <w:pPr>
              <w:widowControl/>
              <w:jc w:val="center"/>
              <w:rPr>
                <w:rFonts w:hint="eastAsia" w:ascii="宋体" w:hAnsi="宋体" w:eastAsia="宋体"/>
                <w:bCs/>
                <w:sz w:val="24"/>
                <w:lang w:eastAsia="zh-CN"/>
              </w:rPr>
            </w:pPr>
            <w:r>
              <w:rPr>
                <w:rFonts w:hint="eastAsia" w:ascii="宋体" w:hAnsi="宋体"/>
                <w:bCs/>
                <w:sz w:val="24"/>
                <w:highlight w:val="none"/>
                <w:lang w:eastAsia="zh-CN"/>
              </w:rPr>
              <w:t>4120030034</w:t>
            </w:r>
          </w:p>
        </w:tc>
        <w:tc>
          <w:tcPr>
            <w:tcW w:w="2811" w:type="dxa"/>
            <w:tcBorders>
              <w:right w:val="single" w:color="auto" w:sz="4" w:space="0"/>
            </w:tcBorders>
            <w:noWrap w:val="0"/>
            <w:vAlign w:val="center"/>
          </w:tcPr>
          <w:p>
            <w:pPr>
              <w:widowControl/>
              <w:jc w:val="center"/>
              <w:rPr>
                <w:kern w:val="0"/>
                <w:sz w:val="24"/>
              </w:rPr>
            </w:pPr>
          </w:p>
        </w:tc>
        <w:tc>
          <w:tcPr>
            <w:tcW w:w="2681" w:type="dxa"/>
            <w:tcBorders>
              <w:left w:val="single" w:color="auto" w:sz="4" w:space="0"/>
            </w:tcBorders>
            <w:noWrap w:val="0"/>
            <w:vAlign w:val="center"/>
          </w:tcPr>
          <w:p>
            <w:pPr>
              <w:widowControl/>
              <w:jc w:val="center"/>
              <w:rPr>
                <w:rFonts w:hint="eastAsia" w:eastAsia="宋体"/>
                <w:kern w:val="0"/>
                <w:sz w:val="24"/>
                <w:lang w:eastAsia="zh-CN"/>
              </w:rPr>
            </w:pPr>
            <w:r>
              <w:rPr>
                <w:rFonts w:hint="eastAsia" w:ascii="宋体" w:hAnsi="宋体"/>
                <w:bCs/>
                <w:sz w:val="24"/>
                <w:lang w:eastAsia="zh-CN"/>
              </w:rPr>
              <w:t>二〇二二年六月十日</w:t>
            </w:r>
          </w:p>
        </w:tc>
      </w:tr>
    </w:tbl>
    <w:p>
      <w:pPr>
        <w:pStyle w:val="3"/>
        <w:spacing w:before="156" w:beforeLines="50" w:after="156" w:afterLines="50"/>
        <w:ind w:firstLine="551" w:firstLineChars="196"/>
        <w:rPr>
          <w:rFonts w:hint="eastAsia" w:ascii="宋体" w:hAnsi="宋体"/>
          <w:szCs w:val="28"/>
        </w:rPr>
      </w:pPr>
      <w:bookmarkStart w:id="61" w:name="_Toc3110"/>
      <w:r>
        <w:rPr>
          <w:rFonts w:hint="eastAsia" w:ascii="宋体" w:hAnsi="宋体"/>
          <w:szCs w:val="28"/>
        </w:rPr>
        <w:t>（十二）实地查勘期</w:t>
      </w:r>
      <w:bookmarkEnd w:id="61"/>
    </w:p>
    <w:p>
      <w:pPr>
        <w:spacing w:line="480" w:lineRule="exact"/>
        <w:ind w:firstLine="700" w:firstLineChars="250"/>
        <w:rPr>
          <w:rFonts w:hint="eastAsia" w:ascii="宋体" w:hAnsi="宋体"/>
          <w:b/>
          <w:sz w:val="28"/>
          <w:szCs w:val="28"/>
        </w:rPr>
      </w:pPr>
      <w:r>
        <w:rPr>
          <w:rFonts w:ascii="宋体" w:hAnsi="宋体"/>
          <w:bCs/>
          <w:sz w:val="28"/>
          <w:szCs w:val="28"/>
        </w:rPr>
        <w:t>二〇二二年五月三十一日</w:t>
      </w:r>
    </w:p>
    <w:p>
      <w:pPr>
        <w:pStyle w:val="3"/>
        <w:spacing w:before="156" w:beforeLines="50" w:after="156" w:afterLines="50"/>
        <w:ind w:firstLine="551" w:firstLineChars="196"/>
        <w:rPr>
          <w:rFonts w:hint="eastAsia" w:ascii="宋体" w:hAnsi="宋体"/>
          <w:szCs w:val="28"/>
        </w:rPr>
      </w:pPr>
      <w:bookmarkStart w:id="62" w:name="_Toc23120"/>
      <w:r>
        <w:rPr>
          <w:rFonts w:hint="eastAsia" w:ascii="宋体" w:hAnsi="宋体"/>
          <w:szCs w:val="28"/>
        </w:rPr>
        <w:t>（十三）估价作业期</w:t>
      </w:r>
      <w:bookmarkEnd w:id="60"/>
      <w:bookmarkEnd w:id="62"/>
    </w:p>
    <w:p>
      <w:pPr>
        <w:spacing w:line="480" w:lineRule="exact"/>
        <w:ind w:firstLine="560" w:firstLineChars="200"/>
        <w:rPr>
          <w:rFonts w:hint="eastAsia" w:ascii="宋体" w:hAnsi="宋体" w:eastAsia="宋体"/>
          <w:bCs/>
          <w:sz w:val="28"/>
          <w:szCs w:val="28"/>
          <w:highlight w:val="yellow"/>
          <w:lang w:eastAsia="zh-CN"/>
        </w:rPr>
      </w:pPr>
      <w:r>
        <w:rPr>
          <w:rFonts w:ascii="宋体" w:hAnsi="宋体"/>
          <w:bCs/>
          <w:sz w:val="28"/>
          <w:szCs w:val="28"/>
        </w:rPr>
        <w:t>二〇二二年五月三十一日</w:t>
      </w:r>
      <w:r>
        <w:rPr>
          <w:rFonts w:hint="eastAsia" w:ascii="宋体" w:hAnsi="宋体"/>
          <w:bCs/>
          <w:sz w:val="28"/>
          <w:szCs w:val="28"/>
        </w:rPr>
        <w:t>至</w:t>
      </w:r>
      <w:r>
        <w:rPr>
          <w:rFonts w:hint="eastAsia" w:ascii="宋体" w:hAnsi="宋体"/>
          <w:bCs/>
          <w:sz w:val="28"/>
          <w:szCs w:val="28"/>
          <w:lang w:eastAsia="zh-CN"/>
        </w:rPr>
        <w:t>二〇二二年六月十日</w:t>
      </w:r>
    </w:p>
    <w:p>
      <w:pPr>
        <w:spacing w:line="520" w:lineRule="exact"/>
        <w:rPr>
          <w:rFonts w:hint="eastAsia" w:ascii="宋体" w:hAnsi="宋体"/>
          <w:sz w:val="28"/>
          <w:szCs w:val="28"/>
          <w:highlight w:val="yellow"/>
        </w:rPr>
        <w:sectPr>
          <w:pgSz w:w="11906" w:h="16838"/>
          <w:pgMar w:top="1418" w:right="1134" w:bottom="1247" w:left="1134" w:header="851" w:footer="765" w:gutter="397"/>
          <w:cols w:space="720" w:num="1"/>
          <w:docGrid w:type="lines" w:linePitch="312" w:charSpace="0"/>
        </w:sectPr>
      </w:pPr>
    </w:p>
    <w:p>
      <w:pPr>
        <w:pStyle w:val="2"/>
        <w:spacing w:before="312" w:beforeLines="100" w:after="312" w:afterLines="100" w:line="600" w:lineRule="exact"/>
        <w:jc w:val="center"/>
        <w:rPr>
          <w:rFonts w:hint="eastAsia" w:ascii="宋体" w:hAnsi="宋体"/>
          <w:sz w:val="32"/>
          <w:szCs w:val="32"/>
        </w:rPr>
      </w:pPr>
      <w:bookmarkStart w:id="63" w:name="_Toc490061471"/>
      <w:bookmarkStart w:id="64" w:name="_Toc275767937"/>
      <w:bookmarkStart w:id="65" w:name="_Toc19418"/>
      <w:r>
        <w:rPr>
          <w:rFonts w:hint="eastAsia" w:ascii="宋体" w:hAnsi="宋体"/>
          <w:sz w:val="32"/>
          <w:szCs w:val="32"/>
          <w:lang w:eastAsia="zh-CN"/>
        </w:rPr>
        <w:t>四</w:t>
      </w:r>
      <w:r>
        <w:rPr>
          <w:rFonts w:hint="eastAsia" w:ascii="宋体" w:hAnsi="宋体"/>
          <w:sz w:val="32"/>
          <w:szCs w:val="32"/>
        </w:rPr>
        <w:t>、相关附件</w:t>
      </w:r>
      <w:bookmarkEnd w:id="63"/>
      <w:bookmarkEnd w:id="64"/>
      <w:bookmarkEnd w:id="65"/>
      <w:r>
        <w:rPr>
          <w:rFonts w:hint="eastAsia" w:ascii="宋体" w:hAnsi="宋体"/>
          <w:sz w:val="32"/>
          <w:szCs w:val="32"/>
        </w:rPr>
        <w:t xml:space="preserve"> </w:t>
      </w:r>
    </w:p>
    <w:p>
      <w:pPr>
        <w:numPr>
          <w:ilvl w:val="0"/>
          <w:numId w:val="2"/>
        </w:numPr>
        <w:outlineLvl w:val="1"/>
        <w:rPr>
          <w:rFonts w:hint="eastAsia"/>
          <w:sz w:val="28"/>
          <w:szCs w:val="28"/>
        </w:rPr>
      </w:pPr>
      <w:bookmarkStart w:id="66" w:name="_Toc8962"/>
      <w:bookmarkStart w:id="67" w:name="_Toc384136553"/>
      <w:r>
        <w:rPr>
          <w:rFonts w:hint="eastAsia"/>
          <w:sz w:val="28"/>
          <w:szCs w:val="28"/>
        </w:rPr>
        <w:t>估价对象位置示意图</w:t>
      </w:r>
      <w:bookmarkEnd w:id="66"/>
    </w:p>
    <w:p>
      <w:pPr>
        <w:numPr>
          <w:ilvl w:val="0"/>
          <w:numId w:val="2"/>
        </w:numPr>
        <w:outlineLvl w:val="1"/>
        <w:rPr>
          <w:rFonts w:hint="eastAsia"/>
          <w:sz w:val="28"/>
          <w:szCs w:val="28"/>
        </w:rPr>
      </w:pPr>
      <w:bookmarkStart w:id="68" w:name="_Toc28431"/>
      <w:r>
        <w:rPr>
          <w:rFonts w:hint="eastAsia"/>
          <w:sz w:val="28"/>
          <w:szCs w:val="28"/>
        </w:rPr>
        <w:t>估价对象现场查勘照片</w:t>
      </w:r>
      <w:bookmarkEnd w:id="68"/>
    </w:p>
    <w:bookmarkEnd w:id="67"/>
    <w:p>
      <w:pPr>
        <w:numPr>
          <w:ilvl w:val="0"/>
          <w:numId w:val="2"/>
        </w:numPr>
        <w:outlineLvl w:val="1"/>
        <w:rPr>
          <w:rFonts w:hint="eastAsia"/>
          <w:sz w:val="28"/>
          <w:szCs w:val="28"/>
          <w:highlight w:val="none"/>
        </w:rPr>
      </w:pPr>
      <w:bookmarkStart w:id="69" w:name="_Toc19851"/>
      <w:r>
        <w:rPr>
          <w:rFonts w:hint="eastAsia"/>
          <w:sz w:val="28"/>
          <w:szCs w:val="28"/>
          <w:highlight w:val="none"/>
        </w:rPr>
        <w:t>《</w:t>
      </w:r>
      <w:r>
        <w:rPr>
          <w:rFonts w:hint="eastAsia"/>
          <w:sz w:val="28"/>
          <w:szCs w:val="28"/>
          <w:highlight w:val="none"/>
          <w:lang w:eastAsia="zh-CN"/>
        </w:rPr>
        <w:t>内乡县人民法院委托书</w:t>
      </w:r>
      <w:r>
        <w:rPr>
          <w:rFonts w:hint="eastAsia"/>
          <w:sz w:val="28"/>
          <w:szCs w:val="28"/>
          <w:highlight w:val="none"/>
        </w:rPr>
        <w:t>》复印件</w:t>
      </w:r>
      <w:bookmarkEnd w:id="69"/>
    </w:p>
    <w:p>
      <w:pPr>
        <w:numPr>
          <w:ilvl w:val="0"/>
          <w:numId w:val="2"/>
        </w:numPr>
        <w:outlineLvl w:val="1"/>
        <w:rPr>
          <w:rFonts w:hint="eastAsia"/>
          <w:sz w:val="28"/>
          <w:szCs w:val="28"/>
          <w:highlight w:val="none"/>
        </w:rPr>
      </w:pPr>
      <w:bookmarkStart w:id="70" w:name="_Toc1179"/>
      <w:r>
        <w:rPr>
          <w:rFonts w:hint="eastAsia"/>
          <w:sz w:val="28"/>
          <w:szCs w:val="28"/>
          <w:highlight w:val="none"/>
        </w:rPr>
        <w:t>《河南省</w:t>
      </w:r>
      <w:r>
        <w:rPr>
          <w:rFonts w:hint="eastAsia"/>
          <w:sz w:val="28"/>
          <w:szCs w:val="28"/>
          <w:highlight w:val="none"/>
          <w:lang w:eastAsia="zh-CN"/>
        </w:rPr>
        <w:t>内乡县人民法院执行</w:t>
      </w:r>
      <w:r>
        <w:rPr>
          <w:rFonts w:hint="eastAsia"/>
          <w:sz w:val="28"/>
          <w:szCs w:val="28"/>
          <w:highlight w:val="none"/>
        </w:rPr>
        <w:t>裁定书》复印件</w:t>
      </w:r>
      <w:bookmarkEnd w:id="70"/>
    </w:p>
    <w:p>
      <w:pPr>
        <w:numPr>
          <w:ilvl w:val="0"/>
          <w:numId w:val="2"/>
        </w:numPr>
        <w:outlineLvl w:val="1"/>
        <w:rPr>
          <w:rFonts w:hint="eastAsia"/>
          <w:sz w:val="28"/>
          <w:szCs w:val="28"/>
          <w:highlight w:val="none"/>
        </w:rPr>
      </w:pPr>
      <w:bookmarkStart w:id="71" w:name="_Toc22670"/>
      <w:r>
        <w:rPr>
          <w:rFonts w:hint="eastAsia"/>
          <w:sz w:val="28"/>
          <w:szCs w:val="28"/>
          <w:highlight w:val="none"/>
        </w:rPr>
        <w:t>《</w:t>
      </w:r>
      <w:r>
        <w:rPr>
          <w:rFonts w:hint="eastAsia"/>
          <w:sz w:val="28"/>
          <w:szCs w:val="28"/>
          <w:highlight w:val="none"/>
          <w:lang w:eastAsia="zh-CN"/>
        </w:rPr>
        <w:t>房屋所有权证存根</w:t>
      </w:r>
      <w:r>
        <w:rPr>
          <w:rFonts w:hint="eastAsia"/>
          <w:sz w:val="28"/>
          <w:szCs w:val="28"/>
          <w:highlight w:val="none"/>
        </w:rPr>
        <w:t>》复印件</w:t>
      </w:r>
      <w:bookmarkEnd w:id="71"/>
    </w:p>
    <w:p>
      <w:pPr>
        <w:numPr>
          <w:ilvl w:val="0"/>
          <w:numId w:val="2"/>
        </w:numPr>
        <w:outlineLvl w:val="1"/>
        <w:rPr>
          <w:rFonts w:hint="eastAsia"/>
          <w:sz w:val="28"/>
          <w:szCs w:val="28"/>
          <w:highlight w:val="none"/>
        </w:rPr>
      </w:pPr>
      <w:bookmarkStart w:id="72" w:name="_Toc24382"/>
      <w:r>
        <w:rPr>
          <w:rFonts w:hint="eastAsia" w:ascii="宋体" w:hAnsi="宋体"/>
          <w:sz w:val="28"/>
          <w:szCs w:val="28"/>
          <w:highlight w:val="none"/>
        </w:rPr>
        <w:t>《</w:t>
      </w:r>
      <w:r>
        <w:rPr>
          <w:rFonts w:hint="eastAsia" w:ascii="宋体" w:hAnsi="宋体"/>
          <w:sz w:val="28"/>
          <w:szCs w:val="28"/>
          <w:highlight w:val="none"/>
          <w:lang w:eastAsia="zh-CN"/>
        </w:rPr>
        <w:t>内乡县赤眉镇赤眉村民委员会证明</w:t>
      </w:r>
      <w:r>
        <w:rPr>
          <w:rFonts w:hint="eastAsia" w:ascii="宋体" w:hAnsi="宋体"/>
          <w:sz w:val="28"/>
          <w:szCs w:val="28"/>
          <w:highlight w:val="none"/>
        </w:rPr>
        <w:t>》</w:t>
      </w:r>
      <w:r>
        <w:rPr>
          <w:rFonts w:hint="eastAsia" w:ascii="宋体" w:hAnsi="宋体"/>
          <w:sz w:val="28"/>
          <w:szCs w:val="28"/>
          <w:highlight w:val="none"/>
          <w:lang w:eastAsia="zh-CN"/>
        </w:rPr>
        <w:t>复印件</w:t>
      </w:r>
      <w:bookmarkEnd w:id="72"/>
    </w:p>
    <w:p>
      <w:pPr>
        <w:numPr>
          <w:ilvl w:val="0"/>
          <w:numId w:val="2"/>
        </w:numPr>
        <w:outlineLvl w:val="1"/>
        <w:rPr>
          <w:rFonts w:hint="eastAsia"/>
          <w:sz w:val="28"/>
          <w:szCs w:val="28"/>
        </w:rPr>
      </w:pPr>
      <w:bookmarkStart w:id="73" w:name="_Toc14790"/>
      <w:r>
        <w:rPr>
          <w:rFonts w:hint="eastAsia"/>
          <w:sz w:val="28"/>
          <w:szCs w:val="28"/>
        </w:rPr>
        <w:t>房地产估价机构营业执照和估价备案证书复印件</w:t>
      </w:r>
      <w:bookmarkEnd w:id="73"/>
    </w:p>
    <w:p>
      <w:pPr>
        <w:numPr>
          <w:ilvl w:val="0"/>
          <w:numId w:val="2"/>
        </w:numPr>
        <w:outlineLvl w:val="1"/>
        <w:rPr>
          <w:rFonts w:hint="eastAsia"/>
          <w:sz w:val="28"/>
          <w:szCs w:val="28"/>
        </w:rPr>
      </w:pPr>
      <w:bookmarkStart w:id="74" w:name="_Toc15316"/>
      <w:r>
        <w:rPr>
          <w:rFonts w:hint="eastAsia"/>
          <w:sz w:val="28"/>
          <w:szCs w:val="28"/>
        </w:rPr>
        <w:t>注册房地产估价师注册证书复印件</w:t>
      </w:r>
      <w:bookmarkEnd w:id="74"/>
    </w:p>
    <w:p>
      <w:pPr>
        <w:rPr>
          <w:rFonts w:hint="eastAsia"/>
        </w:rPr>
      </w:pPr>
    </w:p>
    <w:p>
      <w:pPr>
        <w:rPr>
          <w:rFonts w:hint="eastAsia"/>
        </w:rPr>
      </w:pPr>
    </w:p>
    <w:p>
      <w:pPr>
        <w:rPr>
          <w:rFonts w:hint="eastAsia"/>
        </w:rPr>
      </w:pPr>
    </w:p>
    <w:p>
      <w:pPr>
        <w:rPr>
          <w:rFonts w:hint="eastAsia"/>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spacing w:line="360" w:lineRule="auto"/>
        <w:ind w:firstLine="560" w:firstLineChars="200"/>
        <w:jc w:val="center"/>
        <w:rPr>
          <w:rFonts w:hint="eastAsia" w:ascii="宋体" w:hAnsi="宋体"/>
          <w:sz w:val="28"/>
          <w:szCs w:val="28"/>
        </w:rPr>
      </w:pPr>
      <w:bookmarkStart w:id="75" w:name="_Toc455588614"/>
    </w:p>
    <w:bookmarkEnd w:id="75"/>
    <w:p>
      <w:pPr>
        <w:tabs>
          <w:tab w:val="left" w:pos="3538"/>
        </w:tabs>
        <w:ind w:left="1" w:leftChars="-95" w:hanging="200" w:hangingChars="95"/>
        <w:jc w:val="center"/>
        <w:rPr>
          <w:rFonts w:hint="eastAsia"/>
          <w:b/>
        </w:rPr>
        <w:sectPr>
          <w:pgSz w:w="11906" w:h="16838"/>
          <w:pgMar w:top="1134" w:right="1134" w:bottom="1021" w:left="1134" w:header="680" w:footer="567" w:gutter="397"/>
          <w:cols w:space="720" w:num="1"/>
          <w:docGrid w:type="lines" w:linePitch="312" w:charSpace="0"/>
        </w:sectPr>
      </w:pPr>
    </w:p>
    <w:p>
      <w:pPr>
        <w:tabs>
          <w:tab w:val="left" w:pos="3538"/>
        </w:tabs>
        <w:ind w:left="1" w:leftChars="-95" w:hanging="200" w:hangingChars="95"/>
        <w:jc w:val="center"/>
        <w:rPr>
          <w:rFonts w:hint="eastAsia"/>
          <w:b/>
        </w:rPr>
      </w:pPr>
    </w:p>
    <w:sectPr>
      <w:type w:val="continuous"/>
      <w:pgSz w:w="11906" w:h="16838"/>
      <w:pgMar w:top="1134" w:right="1134" w:bottom="1021" w:left="1134" w:header="680" w:footer="567" w:gutter="39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8C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3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文本框 39"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D4ipvKzgEAAJgDAAAOAAAAAAAAAAEAIAAAAB8BAABkcnMv&#10;ZTJvRG9jLnhtbFBLBQYAAAAABgAGAFkBAABf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rPr>
        <w:rFonts w:hint="eastAsia" w:eastAsia="仿宋_GB2312"/>
        <w:i/>
        <w:szCs w:val="21"/>
      </w:rPr>
    </w:pPr>
    <w:r>
      <w:rPr>
        <w:rFonts w:hint="eastAsia" w:ascii="宋体" w:hAnsi="宋体" w:cs="宋体"/>
        <w:i/>
      </w:rPr>
      <w:t>地址：</w:t>
    </w:r>
    <w:r>
      <w:rPr>
        <w:rFonts w:hint="eastAsia" w:ascii="宋体" w:hAnsi="宋体" w:cs="宋体"/>
        <w:bCs/>
        <w:i/>
      </w:rPr>
      <w:t>郑州市金水区纬五路12号供销大厦七层</w:t>
    </w:r>
    <w:r>
      <w:rPr>
        <w:rFonts w:hint="eastAsia" w:ascii="宋体" w:hAnsi="宋体" w:cs="宋体"/>
        <w:i/>
      </w:rPr>
      <w:t xml:space="preserve">       电话：</w:t>
    </w:r>
    <w:r>
      <w:rPr>
        <w:rFonts w:hint="eastAsia" w:ascii="宋体" w:hAnsi="宋体" w:cs="宋体"/>
        <w:bCs/>
        <w:i/>
      </w:rPr>
      <w:t xml:space="preserve">0371-63611299  13663718293 </w:t>
    </w:r>
    <w:r>
      <w:rPr>
        <w:rFonts w:hint="eastAsia" w:ascii="仿宋_GB2312" w:eastAsia="仿宋_GB2312"/>
        <w:bCs/>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rPr>
        <w:rFonts w:hint="eastAsia" w:ascii="仿宋_GB2312" w:hAnsi="仿宋_GB2312" w:eastAsia="仿宋_GB2312" w:cs="仿宋_GB2312"/>
        <w:bCs/>
        <w:i/>
      </w:rPr>
    </w:pPr>
    <w:r>
      <w:rPr>
        <w:rFonts w:hint="eastAsia" w:ascii="宋体" w:hAnsi="宋体" w:cs="宋体"/>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ascii="宋体" w:hAnsi="宋体" w:cs="宋体"/>
                            </w:rPr>
                          </w:pPr>
                          <w:r>
                            <w:rPr>
                              <w:rFonts w:hint="eastAsia" w:ascii="宋体" w:hAnsi="宋体" w:cs="宋体"/>
                            </w:rPr>
                            <w:t xml:space="preserve">第 </w:t>
                          </w:r>
                          <w:r>
                            <w:rPr>
                              <w:rFonts w:hint="eastAsia" w:ascii="宋体" w:hAnsi="宋体" w:cs="宋体"/>
                              <w:bCs/>
                              <w:i/>
                              <w:sz w:val="21"/>
                              <w:szCs w:val="24"/>
                            </w:rPr>
                            <w:fldChar w:fldCharType="begin"/>
                          </w:r>
                          <w:r>
                            <w:rPr>
                              <w:rFonts w:hint="eastAsia" w:ascii="宋体" w:hAnsi="宋体" w:cs="宋体"/>
                              <w:bCs/>
                              <w:i/>
                              <w:sz w:val="21"/>
                              <w:szCs w:val="24"/>
                            </w:rPr>
                            <w:instrText xml:space="preserve"> PAGE  \* MERGEFORMAT </w:instrText>
                          </w:r>
                          <w:r>
                            <w:rPr>
                              <w:rFonts w:hint="eastAsia" w:ascii="宋体" w:hAnsi="宋体" w:cs="宋体"/>
                              <w:bCs/>
                              <w:i/>
                              <w:sz w:val="21"/>
                              <w:szCs w:val="24"/>
                            </w:rPr>
                            <w:fldChar w:fldCharType="separate"/>
                          </w:r>
                          <w:r>
                            <w:rPr>
                              <w:rFonts w:ascii="宋体" w:hAnsi="宋体" w:cs="宋体"/>
                              <w:bCs/>
                              <w:i/>
                              <w:sz w:val="21"/>
                              <w:szCs w:val="24"/>
                            </w:rPr>
                            <w:t>16</w:t>
                          </w:r>
                          <w:r>
                            <w:rPr>
                              <w:rFonts w:hint="eastAsia" w:ascii="宋体" w:hAnsi="宋体" w:cs="宋体"/>
                              <w:bCs/>
                              <w:i/>
                              <w:sz w:val="21"/>
                              <w:szCs w:val="24"/>
                            </w:rPr>
                            <w:fldChar w:fldCharType="end"/>
                          </w:r>
                          <w:r>
                            <w:rPr>
                              <w:rFonts w:hint="eastAsia" w:ascii="宋体" w:hAnsi="宋体" w:cs="宋体"/>
                              <w:bCs/>
                              <w:i/>
                              <w:sz w:val="21"/>
                              <w:szCs w:val="24"/>
                            </w:rPr>
                            <w:t xml:space="preserve"> </w:t>
                          </w:r>
                          <w:r>
                            <w:rPr>
                              <w:rFonts w:hint="eastAsia" w:ascii="宋体" w:hAnsi="宋体" w:cs="宋体"/>
                            </w:rPr>
                            <w:t>页</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&#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z0hnhNIBAACjAwAADgAAAAAAAAABACAAAAAi&#10;AQAAZHJzL2Uyb0RvYy54bWxQSwUGAAAAAAYABgBZAQAAZgUAAAAA&#10;">
              <v:fill on="f" focussize="0,0"/>
              <v:stroke on="f" weight="1.25pt"/>
              <v:imagedata o:title=""/>
              <o:lock v:ext="edit" aspectratio="f"/>
              <v:textbox inset="0mm,0mm,0mm,0mm" style="mso-fit-shape-to-text:t;">
                <w:txbxContent>
                  <w:p>
                    <w:pPr>
                      <w:pStyle w:val="18"/>
                      <w:rPr>
                        <w:rFonts w:hint="eastAsia" w:ascii="宋体" w:hAnsi="宋体" w:cs="宋体"/>
                      </w:rPr>
                    </w:pPr>
                    <w:r>
                      <w:rPr>
                        <w:rFonts w:hint="eastAsia" w:ascii="宋体" w:hAnsi="宋体" w:cs="宋体"/>
                      </w:rPr>
                      <w:t xml:space="preserve">第 </w:t>
                    </w:r>
                    <w:r>
                      <w:rPr>
                        <w:rFonts w:hint="eastAsia" w:ascii="宋体" w:hAnsi="宋体" w:cs="宋体"/>
                        <w:bCs/>
                        <w:i/>
                        <w:sz w:val="21"/>
                        <w:szCs w:val="24"/>
                      </w:rPr>
                      <w:fldChar w:fldCharType="begin"/>
                    </w:r>
                    <w:r>
                      <w:rPr>
                        <w:rFonts w:hint="eastAsia" w:ascii="宋体" w:hAnsi="宋体" w:cs="宋体"/>
                        <w:bCs/>
                        <w:i/>
                        <w:sz w:val="21"/>
                        <w:szCs w:val="24"/>
                      </w:rPr>
                      <w:instrText xml:space="preserve"> PAGE  \* MERGEFORMAT </w:instrText>
                    </w:r>
                    <w:r>
                      <w:rPr>
                        <w:rFonts w:hint="eastAsia" w:ascii="宋体" w:hAnsi="宋体" w:cs="宋体"/>
                        <w:bCs/>
                        <w:i/>
                        <w:sz w:val="21"/>
                        <w:szCs w:val="24"/>
                      </w:rPr>
                      <w:fldChar w:fldCharType="separate"/>
                    </w:r>
                    <w:r>
                      <w:rPr>
                        <w:rFonts w:ascii="宋体" w:hAnsi="宋体" w:cs="宋体"/>
                        <w:bCs/>
                        <w:i/>
                        <w:sz w:val="21"/>
                        <w:szCs w:val="24"/>
                      </w:rPr>
                      <w:t>16</w:t>
                    </w:r>
                    <w:r>
                      <w:rPr>
                        <w:rFonts w:hint="eastAsia" w:ascii="宋体" w:hAnsi="宋体" w:cs="宋体"/>
                        <w:bCs/>
                        <w:i/>
                        <w:sz w:val="21"/>
                        <w:szCs w:val="24"/>
                      </w:rPr>
                      <w:fldChar w:fldCharType="end"/>
                    </w:r>
                    <w:r>
                      <w:rPr>
                        <w:rFonts w:hint="eastAsia" w:ascii="宋体" w:hAnsi="宋体" w:cs="宋体"/>
                        <w:bCs/>
                        <w:i/>
                        <w:sz w:val="21"/>
                        <w:szCs w:val="24"/>
                      </w:rPr>
                      <w:t xml:space="preserve"> </w:t>
                    </w:r>
                    <w:r>
                      <w:rPr>
                        <w:rFonts w:hint="eastAsia" w:ascii="宋体" w:hAnsi="宋体" w:cs="宋体"/>
                      </w:rPr>
                      <w:t>页</w:t>
                    </w:r>
                  </w:p>
                </w:txbxContent>
              </v:textbox>
            </v:shape>
          </w:pict>
        </mc:Fallback>
      </mc:AlternateContent>
    </w:r>
    <w:r>
      <w:rPr>
        <w:rFonts w:hint="eastAsia" w:ascii="宋体" w:hAnsi="宋体" w:cs="宋体"/>
        <w:i/>
      </w:rPr>
      <w:t>地址：</w:t>
    </w:r>
    <w:r>
      <w:rPr>
        <w:rFonts w:hint="eastAsia" w:ascii="宋体" w:hAnsi="宋体" w:cs="宋体"/>
        <w:bCs/>
        <w:i/>
      </w:rPr>
      <w:t>郑州市金水区纬五路12号供销大厦七层</w:t>
    </w:r>
    <w:r>
      <w:rPr>
        <w:rFonts w:hint="eastAsia" w:ascii="宋体" w:hAnsi="宋体" w:cs="宋体"/>
        <w:i/>
      </w:rPr>
      <w:t xml:space="preserve">     电话：</w:t>
    </w:r>
    <w:r>
      <w:rPr>
        <w:rFonts w:hint="eastAsia" w:ascii="宋体" w:hAnsi="宋体" w:cs="宋体"/>
        <w:bCs/>
        <w:i/>
      </w:rPr>
      <w:t xml:space="preserve">0371-63611299  13663718293 </w:t>
    </w:r>
    <w:r>
      <w:rPr>
        <w:rFonts w:hint="eastAsia" w:ascii="仿宋_GB2312" w:eastAsia="仿宋_GB2312"/>
        <w:bCs/>
        <w:i/>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i/>
        <w:sz w:val="21"/>
        <w:szCs w:val="21"/>
      </w:rPr>
    </w:pPr>
    <w:r>
      <w:rPr>
        <w:rFonts w:hint="eastAsia"/>
        <w:i/>
        <w:sz w:val="21"/>
        <w:szCs w:val="21"/>
      </w:rPr>
      <w:t xml:space="preserve">河南开来房地产评估咨询有限公司  </w:t>
    </w:r>
    <w:r>
      <w:rPr>
        <w:i/>
        <w:sz w:val="21"/>
        <w:szCs w:val="21"/>
      </w:rPr>
      <w:t xml:space="preserve">                  </w:t>
    </w:r>
    <w:r>
      <w:rPr>
        <w:rFonts w:hint="eastAsia"/>
        <w:i/>
        <w:sz w:val="21"/>
        <w:szCs w:val="21"/>
      </w:rPr>
      <w:t xml:space="preserve">            涉执房地产处置司法评估报告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C83D2E"/>
    <w:multiLevelType w:val="singleLevel"/>
    <w:tmpl w:val="27C83D2E"/>
    <w:lvl w:ilvl="0" w:tentative="0">
      <w:start w:val="1"/>
      <w:numFmt w:val="chineseCounting"/>
      <w:suff w:val="nothing"/>
      <w:lvlText w:val="（%1）"/>
      <w:lvlJc w:val="left"/>
      <w:pPr>
        <w:ind w:left="0" w:firstLine="420"/>
      </w:pPr>
      <w:rPr>
        <w:rFonts w:hint="eastAsia"/>
      </w:rPr>
    </w:lvl>
  </w:abstractNum>
  <w:abstractNum w:abstractNumId="1">
    <w:nsid w:val="77E91386"/>
    <w:multiLevelType w:val="singleLevel"/>
    <w:tmpl w:val="77E91386"/>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N2RjMzQ1NDYyNzhhZWNiNmI0Nzc4YmVkZGUzNzYifQ=="/>
  </w:docVars>
  <w:rsids>
    <w:rsidRoot w:val="22BB1E83"/>
    <w:rsid w:val="000001CE"/>
    <w:rsid w:val="00000A1D"/>
    <w:rsid w:val="00001615"/>
    <w:rsid w:val="00001E13"/>
    <w:rsid w:val="000032E0"/>
    <w:rsid w:val="0000364F"/>
    <w:rsid w:val="00003E12"/>
    <w:rsid w:val="00004335"/>
    <w:rsid w:val="00005231"/>
    <w:rsid w:val="00005C7D"/>
    <w:rsid w:val="000060F6"/>
    <w:rsid w:val="00007486"/>
    <w:rsid w:val="000103F1"/>
    <w:rsid w:val="00010579"/>
    <w:rsid w:val="00011625"/>
    <w:rsid w:val="00013A85"/>
    <w:rsid w:val="00013ADD"/>
    <w:rsid w:val="00015136"/>
    <w:rsid w:val="00015C08"/>
    <w:rsid w:val="000173A0"/>
    <w:rsid w:val="00017481"/>
    <w:rsid w:val="00017CF4"/>
    <w:rsid w:val="00021128"/>
    <w:rsid w:val="00021995"/>
    <w:rsid w:val="00021AA7"/>
    <w:rsid w:val="0002333C"/>
    <w:rsid w:val="00023F1F"/>
    <w:rsid w:val="00024CD2"/>
    <w:rsid w:val="000259C4"/>
    <w:rsid w:val="00025DDC"/>
    <w:rsid w:val="00025F98"/>
    <w:rsid w:val="00026F8C"/>
    <w:rsid w:val="0003065A"/>
    <w:rsid w:val="00031CAD"/>
    <w:rsid w:val="00032EDC"/>
    <w:rsid w:val="00033393"/>
    <w:rsid w:val="00033709"/>
    <w:rsid w:val="000352AE"/>
    <w:rsid w:val="000361D5"/>
    <w:rsid w:val="00036251"/>
    <w:rsid w:val="0003648B"/>
    <w:rsid w:val="000372AF"/>
    <w:rsid w:val="000409CB"/>
    <w:rsid w:val="000410D1"/>
    <w:rsid w:val="00042DAE"/>
    <w:rsid w:val="0004446A"/>
    <w:rsid w:val="00044BE6"/>
    <w:rsid w:val="00045799"/>
    <w:rsid w:val="00046507"/>
    <w:rsid w:val="00046A3F"/>
    <w:rsid w:val="00046D77"/>
    <w:rsid w:val="0004702E"/>
    <w:rsid w:val="00047060"/>
    <w:rsid w:val="00047604"/>
    <w:rsid w:val="000518CE"/>
    <w:rsid w:val="00051D52"/>
    <w:rsid w:val="00052104"/>
    <w:rsid w:val="00052394"/>
    <w:rsid w:val="000524D9"/>
    <w:rsid w:val="00052A5F"/>
    <w:rsid w:val="00053917"/>
    <w:rsid w:val="00053B21"/>
    <w:rsid w:val="00053FBB"/>
    <w:rsid w:val="00054447"/>
    <w:rsid w:val="000556B9"/>
    <w:rsid w:val="00055DF6"/>
    <w:rsid w:val="000568A2"/>
    <w:rsid w:val="00056905"/>
    <w:rsid w:val="00057D0A"/>
    <w:rsid w:val="0006061B"/>
    <w:rsid w:val="000614F4"/>
    <w:rsid w:val="00062B63"/>
    <w:rsid w:val="00063B8F"/>
    <w:rsid w:val="0006412A"/>
    <w:rsid w:val="00065903"/>
    <w:rsid w:val="000668FF"/>
    <w:rsid w:val="00070E59"/>
    <w:rsid w:val="000710C0"/>
    <w:rsid w:val="00072780"/>
    <w:rsid w:val="00072973"/>
    <w:rsid w:val="0007426C"/>
    <w:rsid w:val="000745D1"/>
    <w:rsid w:val="00074626"/>
    <w:rsid w:val="00074DCB"/>
    <w:rsid w:val="000757A1"/>
    <w:rsid w:val="000758C6"/>
    <w:rsid w:val="00077367"/>
    <w:rsid w:val="00077EC8"/>
    <w:rsid w:val="000804E4"/>
    <w:rsid w:val="0008057B"/>
    <w:rsid w:val="00082197"/>
    <w:rsid w:val="00083541"/>
    <w:rsid w:val="00084AEC"/>
    <w:rsid w:val="0008708D"/>
    <w:rsid w:val="00087637"/>
    <w:rsid w:val="0008764D"/>
    <w:rsid w:val="00087D0E"/>
    <w:rsid w:val="00090B2A"/>
    <w:rsid w:val="00090B59"/>
    <w:rsid w:val="00091248"/>
    <w:rsid w:val="0009221F"/>
    <w:rsid w:val="00092925"/>
    <w:rsid w:val="00092B3F"/>
    <w:rsid w:val="000934F9"/>
    <w:rsid w:val="0009533A"/>
    <w:rsid w:val="00095909"/>
    <w:rsid w:val="0009752B"/>
    <w:rsid w:val="0009773E"/>
    <w:rsid w:val="00097815"/>
    <w:rsid w:val="000A1FFD"/>
    <w:rsid w:val="000A3BB7"/>
    <w:rsid w:val="000A4953"/>
    <w:rsid w:val="000A5306"/>
    <w:rsid w:val="000A659B"/>
    <w:rsid w:val="000A65E6"/>
    <w:rsid w:val="000B0411"/>
    <w:rsid w:val="000B0458"/>
    <w:rsid w:val="000B09AF"/>
    <w:rsid w:val="000B1475"/>
    <w:rsid w:val="000B26D3"/>
    <w:rsid w:val="000B2CA7"/>
    <w:rsid w:val="000B3017"/>
    <w:rsid w:val="000B3E1B"/>
    <w:rsid w:val="000B4347"/>
    <w:rsid w:val="000B4AF9"/>
    <w:rsid w:val="000C047C"/>
    <w:rsid w:val="000C100F"/>
    <w:rsid w:val="000C1E9E"/>
    <w:rsid w:val="000C3DEC"/>
    <w:rsid w:val="000C3F0C"/>
    <w:rsid w:val="000C4558"/>
    <w:rsid w:val="000C4EDA"/>
    <w:rsid w:val="000D08B0"/>
    <w:rsid w:val="000D15CF"/>
    <w:rsid w:val="000D1ADF"/>
    <w:rsid w:val="000D221D"/>
    <w:rsid w:val="000D2392"/>
    <w:rsid w:val="000D62F6"/>
    <w:rsid w:val="000D6552"/>
    <w:rsid w:val="000D66D8"/>
    <w:rsid w:val="000E0985"/>
    <w:rsid w:val="000E1A08"/>
    <w:rsid w:val="000E2920"/>
    <w:rsid w:val="000E2CF2"/>
    <w:rsid w:val="000E3B96"/>
    <w:rsid w:val="000E5C4D"/>
    <w:rsid w:val="000E60B1"/>
    <w:rsid w:val="000E60E3"/>
    <w:rsid w:val="000E7DBC"/>
    <w:rsid w:val="000F0A0E"/>
    <w:rsid w:val="000F0C8E"/>
    <w:rsid w:val="000F2D3C"/>
    <w:rsid w:val="000F4C7D"/>
    <w:rsid w:val="000F5D1D"/>
    <w:rsid w:val="000F68AC"/>
    <w:rsid w:val="000F7B8E"/>
    <w:rsid w:val="00100571"/>
    <w:rsid w:val="0010081D"/>
    <w:rsid w:val="001029B3"/>
    <w:rsid w:val="00104C6C"/>
    <w:rsid w:val="001060DF"/>
    <w:rsid w:val="00106896"/>
    <w:rsid w:val="00107196"/>
    <w:rsid w:val="00107613"/>
    <w:rsid w:val="00107AD6"/>
    <w:rsid w:val="00107BAE"/>
    <w:rsid w:val="0011397B"/>
    <w:rsid w:val="00113AB0"/>
    <w:rsid w:val="00113B32"/>
    <w:rsid w:val="00115979"/>
    <w:rsid w:val="00116D3C"/>
    <w:rsid w:val="0011776F"/>
    <w:rsid w:val="001208F6"/>
    <w:rsid w:val="00122073"/>
    <w:rsid w:val="00122A73"/>
    <w:rsid w:val="0012344E"/>
    <w:rsid w:val="00123719"/>
    <w:rsid w:val="00124996"/>
    <w:rsid w:val="00125499"/>
    <w:rsid w:val="00125B4D"/>
    <w:rsid w:val="00126105"/>
    <w:rsid w:val="001265F4"/>
    <w:rsid w:val="00130136"/>
    <w:rsid w:val="0013053D"/>
    <w:rsid w:val="001311C6"/>
    <w:rsid w:val="00131E60"/>
    <w:rsid w:val="00134780"/>
    <w:rsid w:val="001379A5"/>
    <w:rsid w:val="00140968"/>
    <w:rsid w:val="001414BD"/>
    <w:rsid w:val="00141999"/>
    <w:rsid w:val="0014287C"/>
    <w:rsid w:val="0014482E"/>
    <w:rsid w:val="00145C1E"/>
    <w:rsid w:val="001461FB"/>
    <w:rsid w:val="00146790"/>
    <w:rsid w:val="00146AD3"/>
    <w:rsid w:val="00147038"/>
    <w:rsid w:val="0014777E"/>
    <w:rsid w:val="00147973"/>
    <w:rsid w:val="00147E2A"/>
    <w:rsid w:val="00150210"/>
    <w:rsid w:val="00151105"/>
    <w:rsid w:val="00151C00"/>
    <w:rsid w:val="00152B73"/>
    <w:rsid w:val="00152F74"/>
    <w:rsid w:val="001532F9"/>
    <w:rsid w:val="00153DFC"/>
    <w:rsid w:val="00153FC5"/>
    <w:rsid w:val="001568D5"/>
    <w:rsid w:val="00157003"/>
    <w:rsid w:val="00161FF4"/>
    <w:rsid w:val="001624FE"/>
    <w:rsid w:val="00163A1C"/>
    <w:rsid w:val="00163AA3"/>
    <w:rsid w:val="00163D44"/>
    <w:rsid w:val="00163DD8"/>
    <w:rsid w:val="00164B91"/>
    <w:rsid w:val="00164C29"/>
    <w:rsid w:val="001650E7"/>
    <w:rsid w:val="00165C4C"/>
    <w:rsid w:val="00166D15"/>
    <w:rsid w:val="00167154"/>
    <w:rsid w:val="001715AC"/>
    <w:rsid w:val="001723BC"/>
    <w:rsid w:val="001727C0"/>
    <w:rsid w:val="00172AB0"/>
    <w:rsid w:val="00173F36"/>
    <w:rsid w:val="00174A45"/>
    <w:rsid w:val="00174A6D"/>
    <w:rsid w:val="00176B1B"/>
    <w:rsid w:val="00176DDD"/>
    <w:rsid w:val="00176E4D"/>
    <w:rsid w:val="00177648"/>
    <w:rsid w:val="00177AB7"/>
    <w:rsid w:val="00177CE1"/>
    <w:rsid w:val="0018018B"/>
    <w:rsid w:val="00180766"/>
    <w:rsid w:val="00180F17"/>
    <w:rsid w:val="00181680"/>
    <w:rsid w:val="001821B6"/>
    <w:rsid w:val="00184966"/>
    <w:rsid w:val="00185B82"/>
    <w:rsid w:val="001862C0"/>
    <w:rsid w:val="0018689D"/>
    <w:rsid w:val="00187245"/>
    <w:rsid w:val="001903ED"/>
    <w:rsid w:val="00190B31"/>
    <w:rsid w:val="00190BAA"/>
    <w:rsid w:val="00191516"/>
    <w:rsid w:val="00191D31"/>
    <w:rsid w:val="0019380D"/>
    <w:rsid w:val="00193968"/>
    <w:rsid w:val="00195DBE"/>
    <w:rsid w:val="001965C4"/>
    <w:rsid w:val="0019745E"/>
    <w:rsid w:val="0019788D"/>
    <w:rsid w:val="00197B1B"/>
    <w:rsid w:val="001A0618"/>
    <w:rsid w:val="001A093E"/>
    <w:rsid w:val="001A1077"/>
    <w:rsid w:val="001A3374"/>
    <w:rsid w:val="001A3C20"/>
    <w:rsid w:val="001A3EFC"/>
    <w:rsid w:val="001A54DF"/>
    <w:rsid w:val="001A5EA1"/>
    <w:rsid w:val="001A5F49"/>
    <w:rsid w:val="001A6868"/>
    <w:rsid w:val="001A68A9"/>
    <w:rsid w:val="001A6F6E"/>
    <w:rsid w:val="001A7B17"/>
    <w:rsid w:val="001B0952"/>
    <w:rsid w:val="001B1236"/>
    <w:rsid w:val="001B2AD4"/>
    <w:rsid w:val="001B2EAA"/>
    <w:rsid w:val="001B5F29"/>
    <w:rsid w:val="001B72D3"/>
    <w:rsid w:val="001B73D3"/>
    <w:rsid w:val="001B7718"/>
    <w:rsid w:val="001C09F4"/>
    <w:rsid w:val="001C0FB2"/>
    <w:rsid w:val="001C16AB"/>
    <w:rsid w:val="001C354C"/>
    <w:rsid w:val="001C35EE"/>
    <w:rsid w:val="001C3BA1"/>
    <w:rsid w:val="001C3F2E"/>
    <w:rsid w:val="001C5A9F"/>
    <w:rsid w:val="001C6043"/>
    <w:rsid w:val="001C6157"/>
    <w:rsid w:val="001C6334"/>
    <w:rsid w:val="001C6434"/>
    <w:rsid w:val="001C71B7"/>
    <w:rsid w:val="001D01F5"/>
    <w:rsid w:val="001D079E"/>
    <w:rsid w:val="001D0BCA"/>
    <w:rsid w:val="001D18D6"/>
    <w:rsid w:val="001D1D6A"/>
    <w:rsid w:val="001D2447"/>
    <w:rsid w:val="001D2C71"/>
    <w:rsid w:val="001D2FB8"/>
    <w:rsid w:val="001D342F"/>
    <w:rsid w:val="001D50A3"/>
    <w:rsid w:val="001D59E6"/>
    <w:rsid w:val="001D5AB0"/>
    <w:rsid w:val="001D5CFF"/>
    <w:rsid w:val="001D5F6F"/>
    <w:rsid w:val="001D619A"/>
    <w:rsid w:val="001E0865"/>
    <w:rsid w:val="001E1306"/>
    <w:rsid w:val="001E2CC0"/>
    <w:rsid w:val="001E3FE4"/>
    <w:rsid w:val="001E5108"/>
    <w:rsid w:val="001E53D8"/>
    <w:rsid w:val="001E684B"/>
    <w:rsid w:val="001E6859"/>
    <w:rsid w:val="001E6F15"/>
    <w:rsid w:val="001F1489"/>
    <w:rsid w:val="001F2320"/>
    <w:rsid w:val="001F2C04"/>
    <w:rsid w:val="001F3010"/>
    <w:rsid w:val="001F33C1"/>
    <w:rsid w:val="001F39AA"/>
    <w:rsid w:val="001F39CA"/>
    <w:rsid w:val="001F67EF"/>
    <w:rsid w:val="001F6DE5"/>
    <w:rsid w:val="001F7999"/>
    <w:rsid w:val="0020005A"/>
    <w:rsid w:val="0020138E"/>
    <w:rsid w:val="00201525"/>
    <w:rsid w:val="00201D42"/>
    <w:rsid w:val="00201DCC"/>
    <w:rsid w:val="00202604"/>
    <w:rsid w:val="00203DAF"/>
    <w:rsid w:val="002045B9"/>
    <w:rsid w:val="002052CB"/>
    <w:rsid w:val="00205EC0"/>
    <w:rsid w:val="0020651C"/>
    <w:rsid w:val="00206DFF"/>
    <w:rsid w:val="00206E51"/>
    <w:rsid w:val="002100AD"/>
    <w:rsid w:val="00210FE4"/>
    <w:rsid w:val="002117D7"/>
    <w:rsid w:val="00211C85"/>
    <w:rsid w:val="00211E59"/>
    <w:rsid w:val="002122E7"/>
    <w:rsid w:val="00212525"/>
    <w:rsid w:val="002125CF"/>
    <w:rsid w:val="0021314F"/>
    <w:rsid w:val="00213A01"/>
    <w:rsid w:val="00213A3D"/>
    <w:rsid w:val="00213E8B"/>
    <w:rsid w:val="00216374"/>
    <w:rsid w:val="002177BC"/>
    <w:rsid w:val="002216F3"/>
    <w:rsid w:val="002228F9"/>
    <w:rsid w:val="00223135"/>
    <w:rsid w:val="0022322A"/>
    <w:rsid w:val="002240E9"/>
    <w:rsid w:val="0022496B"/>
    <w:rsid w:val="00225879"/>
    <w:rsid w:val="002264CA"/>
    <w:rsid w:val="002271A2"/>
    <w:rsid w:val="00227613"/>
    <w:rsid w:val="0023282C"/>
    <w:rsid w:val="002339B9"/>
    <w:rsid w:val="002345DE"/>
    <w:rsid w:val="00236C7F"/>
    <w:rsid w:val="00240179"/>
    <w:rsid w:val="002426BE"/>
    <w:rsid w:val="002439E6"/>
    <w:rsid w:val="0024467E"/>
    <w:rsid w:val="00245FB4"/>
    <w:rsid w:val="0024606A"/>
    <w:rsid w:val="0024606B"/>
    <w:rsid w:val="00246CB2"/>
    <w:rsid w:val="00247513"/>
    <w:rsid w:val="00247C43"/>
    <w:rsid w:val="00247E35"/>
    <w:rsid w:val="00250885"/>
    <w:rsid w:val="002515EA"/>
    <w:rsid w:val="00252BE3"/>
    <w:rsid w:val="00252E79"/>
    <w:rsid w:val="00253E8D"/>
    <w:rsid w:val="00254370"/>
    <w:rsid w:val="00254A47"/>
    <w:rsid w:val="002558B5"/>
    <w:rsid w:val="002558F1"/>
    <w:rsid w:val="0025656F"/>
    <w:rsid w:val="002566BF"/>
    <w:rsid w:val="00256850"/>
    <w:rsid w:val="00256F2A"/>
    <w:rsid w:val="00260443"/>
    <w:rsid w:val="00261AF6"/>
    <w:rsid w:val="002633D6"/>
    <w:rsid w:val="002639FC"/>
    <w:rsid w:val="00263C13"/>
    <w:rsid w:val="00264B16"/>
    <w:rsid w:val="00265448"/>
    <w:rsid w:val="00266056"/>
    <w:rsid w:val="00266529"/>
    <w:rsid w:val="00267201"/>
    <w:rsid w:val="00271888"/>
    <w:rsid w:val="00271FA9"/>
    <w:rsid w:val="0027382E"/>
    <w:rsid w:val="00273C69"/>
    <w:rsid w:val="002746EB"/>
    <w:rsid w:val="00274733"/>
    <w:rsid w:val="00274CEF"/>
    <w:rsid w:val="00276136"/>
    <w:rsid w:val="00276362"/>
    <w:rsid w:val="002769C1"/>
    <w:rsid w:val="00276C56"/>
    <w:rsid w:val="00276DEC"/>
    <w:rsid w:val="00277384"/>
    <w:rsid w:val="00277B8C"/>
    <w:rsid w:val="00277F0A"/>
    <w:rsid w:val="00280BDD"/>
    <w:rsid w:val="0028139D"/>
    <w:rsid w:val="00282369"/>
    <w:rsid w:val="00282803"/>
    <w:rsid w:val="0028326D"/>
    <w:rsid w:val="002857AB"/>
    <w:rsid w:val="002861C0"/>
    <w:rsid w:val="00287DA4"/>
    <w:rsid w:val="00291686"/>
    <w:rsid w:val="00294002"/>
    <w:rsid w:val="0029400D"/>
    <w:rsid w:val="002946F7"/>
    <w:rsid w:val="00294D85"/>
    <w:rsid w:val="00295471"/>
    <w:rsid w:val="00295E1A"/>
    <w:rsid w:val="00296036"/>
    <w:rsid w:val="002979F1"/>
    <w:rsid w:val="002A04DB"/>
    <w:rsid w:val="002A054F"/>
    <w:rsid w:val="002A0700"/>
    <w:rsid w:val="002A084A"/>
    <w:rsid w:val="002A0F41"/>
    <w:rsid w:val="002A1706"/>
    <w:rsid w:val="002A2043"/>
    <w:rsid w:val="002A2C69"/>
    <w:rsid w:val="002A3071"/>
    <w:rsid w:val="002A3603"/>
    <w:rsid w:val="002A4490"/>
    <w:rsid w:val="002A5081"/>
    <w:rsid w:val="002A663C"/>
    <w:rsid w:val="002A7798"/>
    <w:rsid w:val="002A7A15"/>
    <w:rsid w:val="002B0406"/>
    <w:rsid w:val="002B06F9"/>
    <w:rsid w:val="002B3A78"/>
    <w:rsid w:val="002B4313"/>
    <w:rsid w:val="002B6B18"/>
    <w:rsid w:val="002B794D"/>
    <w:rsid w:val="002B7AC9"/>
    <w:rsid w:val="002C066C"/>
    <w:rsid w:val="002C09C3"/>
    <w:rsid w:val="002C0BD9"/>
    <w:rsid w:val="002C0F55"/>
    <w:rsid w:val="002C11FF"/>
    <w:rsid w:val="002C12B7"/>
    <w:rsid w:val="002C1666"/>
    <w:rsid w:val="002C4556"/>
    <w:rsid w:val="002C465E"/>
    <w:rsid w:val="002C5AF7"/>
    <w:rsid w:val="002C65CE"/>
    <w:rsid w:val="002D07CB"/>
    <w:rsid w:val="002D08A1"/>
    <w:rsid w:val="002D18B4"/>
    <w:rsid w:val="002D1EFF"/>
    <w:rsid w:val="002D2253"/>
    <w:rsid w:val="002D2E05"/>
    <w:rsid w:val="002D3FDB"/>
    <w:rsid w:val="002D645E"/>
    <w:rsid w:val="002D7825"/>
    <w:rsid w:val="002E0A3B"/>
    <w:rsid w:val="002E320F"/>
    <w:rsid w:val="002E3496"/>
    <w:rsid w:val="002E4080"/>
    <w:rsid w:val="002E64ED"/>
    <w:rsid w:val="002E699A"/>
    <w:rsid w:val="002E7043"/>
    <w:rsid w:val="002E71B0"/>
    <w:rsid w:val="002E7E00"/>
    <w:rsid w:val="002F0370"/>
    <w:rsid w:val="002F1C31"/>
    <w:rsid w:val="002F32EB"/>
    <w:rsid w:val="002F33CE"/>
    <w:rsid w:val="002F4083"/>
    <w:rsid w:val="002F540E"/>
    <w:rsid w:val="002F6F1B"/>
    <w:rsid w:val="003014CA"/>
    <w:rsid w:val="00303404"/>
    <w:rsid w:val="003038BC"/>
    <w:rsid w:val="00303B80"/>
    <w:rsid w:val="00303BF1"/>
    <w:rsid w:val="00303F30"/>
    <w:rsid w:val="00304BFA"/>
    <w:rsid w:val="00304C0E"/>
    <w:rsid w:val="003069C8"/>
    <w:rsid w:val="00307ADD"/>
    <w:rsid w:val="00310FD8"/>
    <w:rsid w:val="003115AE"/>
    <w:rsid w:val="00311A41"/>
    <w:rsid w:val="003123DF"/>
    <w:rsid w:val="0031280F"/>
    <w:rsid w:val="003128F1"/>
    <w:rsid w:val="00313245"/>
    <w:rsid w:val="003133BC"/>
    <w:rsid w:val="003142B5"/>
    <w:rsid w:val="00314742"/>
    <w:rsid w:val="00314EFC"/>
    <w:rsid w:val="003158F2"/>
    <w:rsid w:val="0031659E"/>
    <w:rsid w:val="00320B60"/>
    <w:rsid w:val="003227C5"/>
    <w:rsid w:val="00322938"/>
    <w:rsid w:val="00322CBA"/>
    <w:rsid w:val="00322F98"/>
    <w:rsid w:val="00323950"/>
    <w:rsid w:val="00324EF1"/>
    <w:rsid w:val="00325EEA"/>
    <w:rsid w:val="003272BD"/>
    <w:rsid w:val="00327547"/>
    <w:rsid w:val="003275C3"/>
    <w:rsid w:val="0032797B"/>
    <w:rsid w:val="00327FF7"/>
    <w:rsid w:val="00330032"/>
    <w:rsid w:val="003302A8"/>
    <w:rsid w:val="0033096B"/>
    <w:rsid w:val="00330B30"/>
    <w:rsid w:val="0033140B"/>
    <w:rsid w:val="003321A6"/>
    <w:rsid w:val="00332877"/>
    <w:rsid w:val="00332945"/>
    <w:rsid w:val="00332D26"/>
    <w:rsid w:val="00332F5F"/>
    <w:rsid w:val="00333107"/>
    <w:rsid w:val="00333220"/>
    <w:rsid w:val="00333DAC"/>
    <w:rsid w:val="003352E1"/>
    <w:rsid w:val="003361CE"/>
    <w:rsid w:val="003368ED"/>
    <w:rsid w:val="0034037E"/>
    <w:rsid w:val="00343161"/>
    <w:rsid w:val="003435EB"/>
    <w:rsid w:val="003443DD"/>
    <w:rsid w:val="00344535"/>
    <w:rsid w:val="00344ADD"/>
    <w:rsid w:val="00345B20"/>
    <w:rsid w:val="003470BD"/>
    <w:rsid w:val="00350DE8"/>
    <w:rsid w:val="00351CE9"/>
    <w:rsid w:val="00352080"/>
    <w:rsid w:val="003536F3"/>
    <w:rsid w:val="00353E34"/>
    <w:rsid w:val="00354D95"/>
    <w:rsid w:val="00354E2F"/>
    <w:rsid w:val="0035507B"/>
    <w:rsid w:val="0035509B"/>
    <w:rsid w:val="00355917"/>
    <w:rsid w:val="003560F6"/>
    <w:rsid w:val="00356735"/>
    <w:rsid w:val="003569CB"/>
    <w:rsid w:val="003575B0"/>
    <w:rsid w:val="0036107F"/>
    <w:rsid w:val="00362EF1"/>
    <w:rsid w:val="003646FB"/>
    <w:rsid w:val="003648C8"/>
    <w:rsid w:val="00364FF2"/>
    <w:rsid w:val="003707B1"/>
    <w:rsid w:val="00371782"/>
    <w:rsid w:val="00372794"/>
    <w:rsid w:val="00372DCA"/>
    <w:rsid w:val="0037419C"/>
    <w:rsid w:val="00374BD6"/>
    <w:rsid w:val="00374C72"/>
    <w:rsid w:val="00374FE7"/>
    <w:rsid w:val="00375FB4"/>
    <w:rsid w:val="003771FA"/>
    <w:rsid w:val="00380D14"/>
    <w:rsid w:val="003819DA"/>
    <w:rsid w:val="00382253"/>
    <w:rsid w:val="003841F2"/>
    <w:rsid w:val="003857ED"/>
    <w:rsid w:val="00385899"/>
    <w:rsid w:val="00385976"/>
    <w:rsid w:val="003866BD"/>
    <w:rsid w:val="0038711A"/>
    <w:rsid w:val="003877AD"/>
    <w:rsid w:val="0039105D"/>
    <w:rsid w:val="00391DEB"/>
    <w:rsid w:val="00394978"/>
    <w:rsid w:val="0039733E"/>
    <w:rsid w:val="00397CFD"/>
    <w:rsid w:val="00397EAB"/>
    <w:rsid w:val="003A04B2"/>
    <w:rsid w:val="003A1F07"/>
    <w:rsid w:val="003A310A"/>
    <w:rsid w:val="003A3303"/>
    <w:rsid w:val="003A36E8"/>
    <w:rsid w:val="003A3EC7"/>
    <w:rsid w:val="003A429F"/>
    <w:rsid w:val="003A461A"/>
    <w:rsid w:val="003A4738"/>
    <w:rsid w:val="003A6A92"/>
    <w:rsid w:val="003A704F"/>
    <w:rsid w:val="003A70D4"/>
    <w:rsid w:val="003A7984"/>
    <w:rsid w:val="003A79B3"/>
    <w:rsid w:val="003B0180"/>
    <w:rsid w:val="003B05E5"/>
    <w:rsid w:val="003B13CD"/>
    <w:rsid w:val="003B14E5"/>
    <w:rsid w:val="003B1F7D"/>
    <w:rsid w:val="003B1FB5"/>
    <w:rsid w:val="003B2C5C"/>
    <w:rsid w:val="003B4402"/>
    <w:rsid w:val="003B465F"/>
    <w:rsid w:val="003B5B1B"/>
    <w:rsid w:val="003B62B0"/>
    <w:rsid w:val="003B64E1"/>
    <w:rsid w:val="003B672E"/>
    <w:rsid w:val="003B73F5"/>
    <w:rsid w:val="003B781B"/>
    <w:rsid w:val="003C05D3"/>
    <w:rsid w:val="003C2A3F"/>
    <w:rsid w:val="003C3525"/>
    <w:rsid w:val="003C35B8"/>
    <w:rsid w:val="003C3D13"/>
    <w:rsid w:val="003C424C"/>
    <w:rsid w:val="003C5F39"/>
    <w:rsid w:val="003C612C"/>
    <w:rsid w:val="003C64F8"/>
    <w:rsid w:val="003C7836"/>
    <w:rsid w:val="003C7D17"/>
    <w:rsid w:val="003D2105"/>
    <w:rsid w:val="003D28E9"/>
    <w:rsid w:val="003D31FB"/>
    <w:rsid w:val="003D3299"/>
    <w:rsid w:val="003D38EC"/>
    <w:rsid w:val="003D3D0E"/>
    <w:rsid w:val="003D3ED7"/>
    <w:rsid w:val="003D5489"/>
    <w:rsid w:val="003D5A7D"/>
    <w:rsid w:val="003D5B71"/>
    <w:rsid w:val="003D6163"/>
    <w:rsid w:val="003D662F"/>
    <w:rsid w:val="003D70AF"/>
    <w:rsid w:val="003E0359"/>
    <w:rsid w:val="003E127E"/>
    <w:rsid w:val="003E1880"/>
    <w:rsid w:val="003E18BB"/>
    <w:rsid w:val="003E22B2"/>
    <w:rsid w:val="003E5354"/>
    <w:rsid w:val="003E5442"/>
    <w:rsid w:val="003E5681"/>
    <w:rsid w:val="003E68C1"/>
    <w:rsid w:val="003E6C8C"/>
    <w:rsid w:val="003E6FCC"/>
    <w:rsid w:val="003E717C"/>
    <w:rsid w:val="003E76A3"/>
    <w:rsid w:val="003F04F1"/>
    <w:rsid w:val="003F0ECB"/>
    <w:rsid w:val="003F128C"/>
    <w:rsid w:val="003F26E7"/>
    <w:rsid w:val="003F4608"/>
    <w:rsid w:val="003F5B28"/>
    <w:rsid w:val="003F6A3A"/>
    <w:rsid w:val="003F7755"/>
    <w:rsid w:val="003F7AD8"/>
    <w:rsid w:val="003F7F11"/>
    <w:rsid w:val="00403988"/>
    <w:rsid w:val="00405A03"/>
    <w:rsid w:val="00405DC0"/>
    <w:rsid w:val="0040626C"/>
    <w:rsid w:val="00407D3C"/>
    <w:rsid w:val="00410FC4"/>
    <w:rsid w:val="004111E2"/>
    <w:rsid w:val="004111F5"/>
    <w:rsid w:val="00411434"/>
    <w:rsid w:val="0041185E"/>
    <w:rsid w:val="00411B87"/>
    <w:rsid w:val="00412EFD"/>
    <w:rsid w:val="00413FD2"/>
    <w:rsid w:val="004145E4"/>
    <w:rsid w:val="00414789"/>
    <w:rsid w:val="004213DF"/>
    <w:rsid w:val="004219EB"/>
    <w:rsid w:val="00421C6E"/>
    <w:rsid w:val="00421DC4"/>
    <w:rsid w:val="00421FF9"/>
    <w:rsid w:val="00422FBC"/>
    <w:rsid w:val="0042447B"/>
    <w:rsid w:val="00424C3C"/>
    <w:rsid w:val="00425142"/>
    <w:rsid w:val="004253AF"/>
    <w:rsid w:val="004257C1"/>
    <w:rsid w:val="00425DF7"/>
    <w:rsid w:val="0042634A"/>
    <w:rsid w:val="00427213"/>
    <w:rsid w:val="00430D80"/>
    <w:rsid w:val="004318E0"/>
    <w:rsid w:val="0043256C"/>
    <w:rsid w:val="00434B82"/>
    <w:rsid w:val="00435E7A"/>
    <w:rsid w:val="0043752D"/>
    <w:rsid w:val="00437C5A"/>
    <w:rsid w:val="004406C3"/>
    <w:rsid w:val="00441762"/>
    <w:rsid w:val="00442C27"/>
    <w:rsid w:val="00442E8D"/>
    <w:rsid w:val="00443A59"/>
    <w:rsid w:val="0044456C"/>
    <w:rsid w:val="00444963"/>
    <w:rsid w:val="00445F3B"/>
    <w:rsid w:val="004465B5"/>
    <w:rsid w:val="00446899"/>
    <w:rsid w:val="00446C62"/>
    <w:rsid w:val="00447A44"/>
    <w:rsid w:val="00447BAF"/>
    <w:rsid w:val="0045083D"/>
    <w:rsid w:val="0045127E"/>
    <w:rsid w:val="0045228F"/>
    <w:rsid w:val="004529DF"/>
    <w:rsid w:val="004539D3"/>
    <w:rsid w:val="00454851"/>
    <w:rsid w:val="00455FC5"/>
    <w:rsid w:val="0045686E"/>
    <w:rsid w:val="004568C0"/>
    <w:rsid w:val="00457FD6"/>
    <w:rsid w:val="004616AD"/>
    <w:rsid w:val="00461FBA"/>
    <w:rsid w:val="00462702"/>
    <w:rsid w:val="00466B3E"/>
    <w:rsid w:val="0046763D"/>
    <w:rsid w:val="00467B4A"/>
    <w:rsid w:val="00473B42"/>
    <w:rsid w:val="00474B61"/>
    <w:rsid w:val="0047598F"/>
    <w:rsid w:val="00476D1F"/>
    <w:rsid w:val="00477E7B"/>
    <w:rsid w:val="004803C3"/>
    <w:rsid w:val="004815F9"/>
    <w:rsid w:val="00481F5D"/>
    <w:rsid w:val="00482083"/>
    <w:rsid w:val="004821D9"/>
    <w:rsid w:val="00482300"/>
    <w:rsid w:val="00482E12"/>
    <w:rsid w:val="0048409B"/>
    <w:rsid w:val="00485F00"/>
    <w:rsid w:val="00486AB6"/>
    <w:rsid w:val="00486E20"/>
    <w:rsid w:val="0049154F"/>
    <w:rsid w:val="0049290F"/>
    <w:rsid w:val="004929B3"/>
    <w:rsid w:val="00493000"/>
    <w:rsid w:val="004939F9"/>
    <w:rsid w:val="00493D78"/>
    <w:rsid w:val="00494382"/>
    <w:rsid w:val="0049466D"/>
    <w:rsid w:val="00494ECE"/>
    <w:rsid w:val="0049535C"/>
    <w:rsid w:val="00495485"/>
    <w:rsid w:val="00496587"/>
    <w:rsid w:val="004972E2"/>
    <w:rsid w:val="0049738D"/>
    <w:rsid w:val="004A0198"/>
    <w:rsid w:val="004A03C7"/>
    <w:rsid w:val="004A3A45"/>
    <w:rsid w:val="004A3E53"/>
    <w:rsid w:val="004A4286"/>
    <w:rsid w:val="004A43A4"/>
    <w:rsid w:val="004A5A76"/>
    <w:rsid w:val="004A5B44"/>
    <w:rsid w:val="004A65BC"/>
    <w:rsid w:val="004A79BF"/>
    <w:rsid w:val="004B0FE6"/>
    <w:rsid w:val="004B11D9"/>
    <w:rsid w:val="004B3699"/>
    <w:rsid w:val="004B3AED"/>
    <w:rsid w:val="004B7652"/>
    <w:rsid w:val="004C15F4"/>
    <w:rsid w:val="004C1F20"/>
    <w:rsid w:val="004C2E8B"/>
    <w:rsid w:val="004C2FAA"/>
    <w:rsid w:val="004C34D9"/>
    <w:rsid w:val="004C4410"/>
    <w:rsid w:val="004C54CA"/>
    <w:rsid w:val="004C5693"/>
    <w:rsid w:val="004C62AF"/>
    <w:rsid w:val="004C6792"/>
    <w:rsid w:val="004C7546"/>
    <w:rsid w:val="004C7939"/>
    <w:rsid w:val="004D011D"/>
    <w:rsid w:val="004D12D8"/>
    <w:rsid w:val="004D1B63"/>
    <w:rsid w:val="004D304E"/>
    <w:rsid w:val="004D3080"/>
    <w:rsid w:val="004D4474"/>
    <w:rsid w:val="004D55C3"/>
    <w:rsid w:val="004D5806"/>
    <w:rsid w:val="004D6C75"/>
    <w:rsid w:val="004D6F46"/>
    <w:rsid w:val="004E1086"/>
    <w:rsid w:val="004E20D7"/>
    <w:rsid w:val="004E242A"/>
    <w:rsid w:val="004E25E0"/>
    <w:rsid w:val="004E3CD0"/>
    <w:rsid w:val="004E4323"/>
    <w:rsid w:val="004E5381"/>
    <w:rsid w:val="004E561D"/>
    <w:rsid w:val="004E58C9"/>
    <w:rsid w:val="004E5D60"/>
    <w:rsid w:val="004E6CC6"/>
    <w:rsid w:val="004E78B3"/>
    <w:rsid w:val="004F0453"/>
    <w:rsid w:val="004F1594"/>
    <w:rsid w:val="004F1FD7"/>
    <w:rsid w:val="004F206D"/>
    <w:rsid w:val="004F2D08"/>
    <w:rsid w:val="004F31E1"/>
    <w:rsid w:val="004F3B5A"/>
    <w:rsid w:val="004F3C7A"/>
    <w:rsid w:val="004F4298"/>
    <w:rsid w:val="004F510B"/>
    <w:rsid w:val="004F686E"/>
    <w:rsid w:val="00500B80"/>
    <w:rsid w:val="00500D32"/>
    <w:rsid w:val="00502400"/>
    <w:rsid w:val="0050327E"/>
    <w:rsid w:val="0050459D"/>
    <w:rsid w:val="00504EF8"/>
    <w:rsid w:val="005058F7"/>
    <w:rsid w:val="00505CE9"/>
    <w:rsid w:val="00506146"/>
    <w:rsid w:val="005073EF"/>
    <w:rsid w:val="00510AC8"/>
    <w:rsid w:val="0051152C"/>
    <w:rsid w:val="005115C1"/>
    <w:rsid w:val="005133B3"/>
    <w:rsid w:val="00513563"/>
    <w:rsid w:val="0051429B"/>
    <w:rsid w:val="005143B0"/>
    <w:rsid w:val="00514802"/>
    <w:rsid w:val="005151E9"/>
    <w:rsid w:val="00516B27"/>
    <w:rsid w:val="00520F46"/>
    <w:rsid w:val="00522ED7"/>
    <w:rsid w:val="0052541E"/>
    <w:rsid w:val="00525F99"/>
    <w:rsid w:val="00526AA2"/>
    <w:rsid w:val="00526DC2"/>
    <w:rsid w:val="00526E2A"/>
    <w:rsid w:val="005302DB"/>
    <w:rsid w:val="00530B06"/>
    <w:rsid w:val="00530B58"/>
    <w:rsid w:val="00531C0F"/>
    <w:rsid w:val="00532287"/>
    <w:rsid w:val="0053401A"/>
    <w:rsid w:val="00534BDB"/>
    <w:rsid w:val="00536CC0"/>
    <w:rsid w:val="00537EFE"/>
    <w:rsid w:val="00537F43"/>
    <w:rsid w:val="005421E7"/>
    <w:rsid w:val="0054242D"/>
    <w:rsid w:val="00542EDF"/>
    <w:rsid w:val="00545616"/>
    <w:rsid w:val="00545667"/>
    <w:rsid w:val="00545910"/>
    <w:rsid w:val="005474F6"/>
    <w:rsid w:val="00547C18"/>
    <w:rsid w:val="00547E0E"/>
    <w:rsid w:val="005522E5"/>
    <w:rsid w:val="005525C8"/>
    <w:rsid w:val="00552B80"/>
    <w:rsid w:val="00552EF5"/>
    <w:rsid w:val="0055378F"/>
    <w:rsid w:val="00553B83"/>
    <w:rsid w:val="0055429B"/>
    <w:rsid w:val="0055493A"/>
    <w:rsid w:val="00554C9F"/>
    <w:rsid w:val="00556048"/>
    <w:rsid w:val="00556B05"/>
    <w:rsid w:val="00557027"/>
    <w:rsid w:val="00557B23"/>
    <w:rsid w:val="0056119B"/>
    <w:rsid w:val="005615B4"/>
    <w:rsid w:val="0056181A"/>
    <w:rsid w:val="00562BF0"/>
    <w:rsid w:val="00562D02"/>
    <w:rsid w:val="00563015"/>
    <w:rsid w:val="00563422"/>
    <w:rsid w:val="00563CA7"/>
    <w:rsid w:val="00567753"/>
    <w:rsid w:val="00570AF1"/>
    <w:rsid w:val="00571CC0"/>
    <w:rsid w:val="0057222A"/>
    <w:rsid w:val="005733D6"/>
    <w:rsid w:val="0057377C"/>
    <w:rsid w:val="00573DFC"/>
    <w:rsid w:val="00574082"/>
    <w:rsid w:val="005740F6"/>
    <w:rsid w:val="0057440A"/>
    <w:rsid w:val="005759CE"/>
    <w:rsid w:val="00576416"/>
    <w:rsid w:val="0057697C"/>
    <w:rsid w:val="0057719F"/>
    <w:rsid w:val="00580DBA"/>
    <w:rsid w:val="005818F2"/>
    <w:rsid w:val="00581EB9"/>
    <w:rsid w:val="00582D17"/>
    <w:rsid w:val="0058508A"/>
    <w:rsid w:val="005850B9"/>
    <w:rsid w:val="00585142"/>
    <w:rsid w:val="005855F1"/>
    <w:rsid w:val="00585708"/>
    <w:rsid w:val="005857EA"/>
    <w:rsid w:val="00585E67"/>
    <w:rsid w:val="0058687F"/>
    <w:rsid w:val="00586F13"/>
    <w:rsid w:val="005872BC"/>
    <w:rsid w:val="0058750B"/>
    <w:rsid w:val="00590045"/>
    <w:rsid w:val="00590423"/>
    <w:rsid w:val="0059143A"/>
    <w:rsid w:val="00591D75"/>
    <w:rsid w:val="00592893"/>
    <w:rsid w:val="00594411"/>
    <w:rsid w:val="0059586D"/>
    <w:rsid w:val="0059588C"/>
    <w:rsid w:val="00595C6D"/>
    <w:rsid w:val="00595F5E"/>
    <w:rsid w:val="00596660"/>
    <w:rsid w:val="005969C5"/>
    <w:rsid w:val="00596BC9"/>
    <w:rsid w:val="00596CB7"/>
    <w:rsid w:val="00597633"/>
    <w:rsid w:val="00597880"/>
    <w:rsid w:val="005A1012"/>
    <w:rsid w:val="005A17DD"/>
    <w:rsid w:val="005A1F87"/>
    <w:rsid w:val="005A227D"/>
    <w:rsid w:val="005A22AE"/>
    <w:rsid w:val="005A2649"/>
    <w:rsid w:val="005A2A1C"/>
    <w:rsid w:val="005A2CCB"/>
    <w:rsid w:val="005A36B2"/>
    <w:rsid w:val="005A36DF"/>
    <w:rsid w:val="005A4295"/>
    <w:rsid w:val="005A4627"/>
    <w:rsid w:val="005A5833"/>
    <w:rsid w:val="005A6781"/>
    <w:rsid w:val="005A6A9F"/>
    <w:rsid w:val="005A7BB9"/>
    <w:rsid w:val="005B0148"/>
    <w:rsid w:val="005B06B8"/>
    <w:rsid w:val="005B2888"/>
    <w:rsid w:val="005B507E"/>
    <w:rsid w:val="005B53F0"/>
    <w:rsid w:val="005B6503"/>
    <w:rsid w:val="005B6603"/>
    <w:rsid w:val="005B78A7"/>
    <w:rsid w:val="005C1290"/>
    <w:rsid w:val="005C1806"/>
    <w:rsid w:val="005C19EA"/>
    <w:rsid w:val="005C255F"/>
    <w:rsid w:val="005C26FC"/>
    <w:rsid w:val="005C27F2"/>
    <w:rsid w:val="005C2B66"/>
    <w:rsid w:val="005C2F50"/>
    <w:rsid w:val="005C3B16"/>
    <w:rsid w:val="005C3D88"/>
    <w:rsid w:val="005C60DC"/>
    <w:rsid w:val="005C6DA4"/>
    <w:rsid w:val="005C6E50"/>
    <w:rsid w:val="005C7675"/>
    <w:rsid w:val="005C7694"/>
    <w:rsid w:val="005D0B03"/>
    <w:rsid w:val="005D0B94"/>
    <w:rsid w:val="005D10C0"/>
    <w:rsid w:val="005D2A82"/>
    <w:rsid w:val="005D36AD"/>
    <w:rsid w:val="005D3D74"/>
    <w:rsid w:val="005D4E5C"/>
    <w:rsid w:val="005D67D8"/>
    <w:rsid w:val="005D7966"/>
    <w:rsid w:val="005E1257"/>
    <w:rsid w:val="005E1506"/>
    <w:rsid w:val="005E208A"/>
    <w:rsid w:val="005E3157"/>
    <w:rsid w:val="005E60DD"/>
    <w:rsid w:val="005E62E2"/>
    <w:rsid w:val="005E6790"/>
    <w:rsid w:val="005E7A47"/>
    <w:rsid w:val="005F03A0"/>
    <w:rsid w:val="005F0606"/>
    <w:rsid w:val="005F0EEB"/>
    <w:rsid w:val="005F314E"/>
    <w:rsid w:val="005F4360"/>
    <w:rsid w:val="005F64F0"/>
    <w:rsid w:val="005F686F"/>
    <w:rsid w:val="005F7EF6"/>
    <w:rsid w:val="005F7F41"/>
    <w:rsid w:val="00600958"/>
    <w:rsid w:val="00600D64"/>
    <w:rsid w:val="006015C0"/>
    <w:rsid w:val="006030FF"/>
    <w:rsid w:val="006043BD"/>
    <w:rsid w:val="00604B4A"/>
    <w:rsid w:val="0060570D"/>
    <w:rsid w:val="00606CB9"/>
    <w:rsid w:val="00610992"/>
    <w:rsid w:val="00610A31"/>
    <w:rsid w:val="00611D00"/>
    <w:rsid w:val="00611F59"/>
    <w:rsid w:val="00613034"/>
    <w:rsid w:val="00613C38"/>
    <w:rsid w:val="006141D0"/>
    <w:rsid w:val="00617F53"/>
    <w:rsid w:val="006213DD"/>
    <w:rsid w:val="0062211B"/>
    <w:rsid w:val="0062335E"/>
    <w:rsid w:val="00624BA7"/>
    <w:rsid w:val="00625C1B"/>
    <w:rsid w:val="006265E8"/>
    <w:rsid w:val="00626F2C"/>
    <w:rsid w:val="006276F8"/>
    <w:rsid w:val="00627C39"/>
    <w:rsid w:val="00627E53"/>
    <w:rsid w:val="00630169"/>
    <w:rsid w:val="00631D76"/>
    <w:rsid w:val="00631E33"/>
    <w:rsid w:val="00632779"/>
    <w:rsid w:val="00632ABF"/>
    <w:rsid w:val="006331E4"/>
    <w:rsid w:val="00634271"/>
    <w:rsid w:val="00634D35"/>
    <w:rsid w:val="006360F2"/>
    <w:rsid w:val="00637788"/>
    <w:rsid w:val="00643A2B"/>
    <w:rsid w:val="00643B5C"/>
    <w:rsid w:val="00644544"/>
    <w:rsid w:val="006460FC"/>
    <w:rsid w:val="006461A8"/>
    <w:rsid w:val="006463EA"/>
    <w:rsid w:val="006464A6"/>
    <w:rsid w:val="00647B35"/>
    <w:rsid w:val="00650976"/>
    <w:rsid w:val="006519AB"/>
    <w:rsid w:val="00653438"/>
    <w:rsid w:val="0065518B"/>
    <w:rsid w:val="00655B2C"/>
    <w:rsid w:val="00656A65"/>
    <w:rsid w:val="00656B0B"/>
    <w:rsid w:val="006600D7"/>
    <w:rsid w:val="00660FE3"/>
    <w:rsid w:val="00661306"/>
    <w:rsid w:val="00661988"/>
    <w:rsid w:val="0066569C"/>
    <w:rsid w:val="00667053"/>
    <w:rsid w:val="00667731"/>
    <w:rsid w:val="00670703"/>
    <w:rsid w:val="006718DE"/>
    <w:rsid w:val="006727C8"/>
    <w:rsid w:val="006728E5"/>
    <w:rsid w:val="00672CA7"/>
    <w:rsid w:val="00672CF6"/>
    <w:rsid w:val="00672DDE"/>
    <w:rsid w:val="00673E9A"/>
    <w:rsid w:val="00674942"/>
    <w:rsid w:val="00674DAF"/>
    <w:rsid w:val="00675F7E"/>
    <w:rsid w:val="00676275"/>
    <w:rsid w:val="006771CB"/>
    <w:rsid w:val="00681813"/>
    <w:rsid w:val="00682F66"/>
    <w:rsid w:val="00683257"/>
    <w:rsid w:val="00683C16"/>
    <w:rsid w:val="00683E7A"/>
    <w:rsid w:val="00683F6F"/>
    <w:rsid w:val="006848B9"/>
    <w:rsid w:val="006850F0"/>
    <w:rsid w:val="00686256"/>
    <w:rsid w:val="00687088"/>
    <w:rsid w:val="0069086B"/>
    <w:rsid w:val="0069169A"/>
    <w:rsid w:val="00691E69"/>
    <w:rsid w:val="00691ECC"/>
    <w:rsid w:val="0069285A"/>
    <w:rsid w:val="00692EE7"/>
    <w:rsid w:val="00693049"/>
    <w:rsid w:val="006938B0"/>
    <w:rsid w:val="0069464E"/>
    <w:rsid w:val="006960A8"/>
    <w:rsid w:val="00696A63"/>
    <w:rsid w:val="006976C5"/>
    <w:rsid w:val="006A0ABA"/>
    <w:rsid w:val="006A10C9"/>
    <w:rsid w:val="006A123E"/>
    <w:rsid w:val="006A2099"/>
    <w:rsid w:val="006A31C9"/>
    <w:rsid w:val="006A4ACF"/>
    <w:rsid w:val="006A553B"/>
    <w:rsid w:val="006A55F8"/>
    <w:rsid w:val="006A58B6"/>
    <w:rsid w:val="006A5F5C"/>
    <w:rsid w:val="006A68F1"/>
    <w:rsid w:val="006A6D62"/>
    <w:rsid w:val="006A7521"/>
    <w:rsid w:val="006B16A7"/>
    <w:rsid w:val="006B1F7F"/>
    <w:rsid w:val="006B23A1"/>
    <w:rsid w:val="006B23E7"/>
    <w:rsid w:val="006B346D"/>
    <w:rsid w:val="006B50B5"/>
    <w:rsid w:val="006B5228"/>
    <w:rsid w:val="006B56BE"/>
    <w:rsid w:val="006B6085"/>
    <w:rsid w:val="006B675F"/>
    <w:rsid w:val="006B7117"/>
    <w:rsid w:val="006B7449"/>
    <w:rsid w:val="006B75FB"/>
    <w:rsid w:val="006B7E1C"/>
    <w:rsid w:val="006C03B1"/>
    <w:rsid w:val="006C10FC"/>
    <w:rsid w:val="006C1E65"/>
    <w:rsid w:val="006C3112"/>
    <w:rsid w:val="006C3C97"/>
    <w:rsid w:val="006C507D"/>
    <w:rsid w:val="006C52BE"/>
    <w:rsid w:val="006C6449"/>
    <w:rsid w:val="006D02E3"/>
    <w:rsid w:val="006D1393"/>
    <w:rsid w:val="006D2C56"/>
    <w:rsid w:val="006D3244"/>
    <w:rsid w:val="006D3DDA"/>
    <w:rsid w:val="006D4BA5"/>
    <w:rsid w:val="006D4EC3"/>
    <w:rsid w:val="006D53D5"/>
    <w:rsid w:val="006D7191"/>
    <w:rsid w:val="006E0B0F"/>
    <w:rsid w:val="006E1C65"/>
    <w:rsid w:val="006E4E03"/>
    <w:rsid w:val="006E609E"/>
    <w:rsid w:val="006E716E"/>
    <w:rsid w:val="006E775A"/>
    <w:rsid w:val="006E7FD3"/>
    <w:rsid w:val="006F00AF"/>
    <w:rsid w:val="006F0696"/>
    <w:rsid w:val="006F0745"/>
    <w:rsid w:val="006F1A9A"/>
    <w:rsid w:val="006F1C5E"/>
    <w:rsid w:val="006F2F30"/>
    <w:rsid w:val="006F2F83"/>
    <w:rsid w:val="006F3930"/>
    <w:rsid w:val="006F3EE5"/>
    <w:rsid w:val="006F72CF"/>
    <w:rsid w:val="006F7701"/>
    <w:rsid w:val="007006C4"/>
    <w:rsid w:val="00700D72"/>
    <w:rsid w:val="007016C0"/>
    <w:rsid w:val="0070199F"/>
    <w:rsid w:val="007034E7"/>
    <w:rsid w:val="00703A03"/>
    <w:rsid w:val="007061A8"/>
    <w:rsid w:val="00706A8D"/>
    <w:rsid w:val="00706E0F"/>
    <w:rsid w:val="007073DD"/>
    <w:rsid w:val="00707881"/>
    <w:rsid w:val="007078E3"/>
    <w:rsid w:val="00707B92"/>
    <w:rsid w:val="00707B9E"/>
    <w:rsid w:val="00710318"/>
    <w:rsid w:val="007105C9"/>
    <w:rsid w:val="007116CE"/>
    <w:rsid w:val="00711BD9"/>
    <w:rsid w:val="0071326F"/>
    <w:rsid w:val="00714019"/>
    <w:rsid w:val="007157BF"/>
    <w:rsid w:val="007160F6"/>
    <w:rsid w:val="00721235"/>
    <w:rsid w:val="0072280B"/>
    <w:rsid w:val="00722921"/>
    <w:rsid w:val="00723D0C"/>
    <w:rsid w:val="00724B17"/>
    <w:rsid w:val="00725110"/>
    <w:rsid w:val="007252A6"/>
    <w:rsid w:val="00725ED8"/>
    <w:rsid w:val="00726CE4"/>
    <w:rsid w:val="00727557"/>
    <w:rsid w:val="0073211D"/>
    <w:rsid w:val="0073232F"/>
    <w:rsid w:val="007337AD"/>
    <w:rsid w:val="007338EA"/>
    <w:rsid w:val="007355FE"/>
    <w:rsid w:val="00735C41"/>
    <w:rsid w:val="0073681D"/>
    <w:rsid w:val="00740B9A"/>
    <w:rsid w:val="00740BD8"/>
    <w:rsid w:val="00741306"/>
    <w:rsid w:val="00742407"/>
    <w:rsid w:val="00742727"/>
    <w:rsid w:val="00743545"/>
    <w:rsid w:val="00743E72"/>
    <w:rsid w:val="007448C6"/>
    <w:rsid w:val="0074537E"/>
    <w:rsid w:val="00745620"/>
    <w:rsid w:val="00745F62"/>
    <w:rsid w:val="00746A43"/>
    <w:rsid w:val="00747F8A"/>
    <w:rsid w:val="007508ED"/>
    <w:rsid w:val="00751557"/>
    <w:rsid w:val="007517F6"/>
    <w:rsid w:val="0075206C"/>
    <w:rsid w:val="00752DF8"/>
    <w:rsid w:val="00753959"/>
    <w:rsid w:val="00756926"/>
    <w:rsid w:val="007570C8"/>
    <w:rsid w:val="00757B58"/>
    <w:rsid w:val="007618C5"/>
    <w:rsid w:val="0076283C"/>
    <w:rsid w:val="00762A33"/>
    <w:rsid w:val="007652BF"/>
    <w:rsid w:val="00766162"/>
    <w:rsid w:val="0077051E"/>
    <w:rsid w:val="00770F2E"/>
    <w:rsid w:val="00772773"/>
    <w:rsid w:val="007728DC"/>
    <w:rsid w:val="0077320D"/>
    <w:rsid w:val="0077332F"/>
    <w:rsid w:val="00774BD3"/>
    <w:rsid w:val="00776FED"/>
    <w:rsid w:val="007810EC"/>
    <w:rsid w:val="00781A70"/>
    <w:rsid w:val="00782284"/>
    <w:rsid w:val="00782A3C"/>
    <w:rsid w:val="007832CC"/>
    <w:rsid w:val="00783C9E"/>
    <w:rsid w:val="00786147"/>
    <w:rsid w:val="00786B7A"/>
    <w:rsid w:val="00786F9B"/>
    <w:rsid w:val="00786FD3"/>
    <w:rsid w:val="00790A5F"/>
    <w:rsid w:val="007914C3"/>
    <w:rsid w:val="00791765"/>
    <w:rsid w:val="00791830"/>
    <w:rsid w:val="00792B40"/>
    <w:rsid w:val="00792F7A"/>
    <w:rsid w:val="00792FCC"/>
    <w:rsid w:val="007942A7"/>
    <w:rsid w:val="0079548E"/>
    <w:rsid w:val="00796088"/>
    <w:rsid w:val="007969BF"/>
    <w:rsid w:val="00796B37"/>
    <w:rsid w:val="00797923"/>
    <w:rsid w:val="00797A43"/>
    <w:rsid w:val="00797DC1"/>
    <w:rsid w:val="007A049D"/>
    <w:rsid w:val="007A0F6B"/>
    <w:rsid w:val="007A1032"/>
    <w:rsid w:val="007A37DC"/>
    <w:rsid w:val="007A3D0C"/>
    <w:rsid w:val="007A404E"/>
    <w:rsid w:val="007A4AA4"/>
    <w:rsid w:val="007A6D43"/>
    <w:rsid w:val="007A7A01"/>
    <w:rsid w:val="007B0DAF"/>
    <w:rsid w:val="007B13B1"/>
    <w:rsid w:val="007B1691"/>
    <w:rsid w:val="007B16F8"/>
    <w:rsid w:val="007B1E8C"/>
    <w:rsid w:val="007B2D49"/>
    <w:rsid w:val="007B4E03"/>
    <w:rsid w:val="007B54DD"/>
    <w:rsid w:val="007B6361"/>
    <w:rsid w:val="007B6455"/>
    <w:rsid w:val="007C0C07"/>
    <w:rsid w:val="007C1592"/>
    <w:rsid w:val="007C1FCA"/>
    <w:rsid w:val="007C2A66"/>
    <w:rsid w:val="007C3DA2"/>
    <w:rsid w:val="007C48DB"/>
    <w:rsid w:val="007C511B"/>
    <w:rsid w:val="007C56AD"/>
    <w:rsid w:val="007C574B"/>
    <w:rsid w:val="007C68AF"/>
    <w:rsid w:val="007C6EB9"/>
    <w:rsid w:val="007C7C99"/>
    <w:rsid w:val="007D01A4"/>
    <w:rsid w:val="007D1B97"/>
    <w:rsid w:val="007D1C1B"/>
    <w:rsid w:val="007D1DD9"/>
    <w:rsid w:val="007D2427"/>
    <w:rsid w:val="007D249D"/>
    <w:rsid w:val="007D3627"/>
    <w:rsid w:val="007D401B"/>
    <w:rsid w:val="007D424D"/>
    <w:rsid w:val="007D570D"/>
    <w:rsid w:val="007D5B9C"/>
    <w:rsid w:val="007D5E2A"/>
    <w:rsid w:val="007D60B6"/>
    <w:rsid w:val="007D6BB6"/>
    <w:rsid w:val="007E0879"/>
    <w:rsid w:val="007E0BC7"/>
    <w:rsid w:val="007E20B1"/>
    <w:rsid w:val="007E21A7"/>
    <w:rsid w:val="007E27E4"/>
    <w:rsid w:val="007E2B1C"/>
    <w:rsid w:val="007E4D99"/>
    <w:rsid w:val="007E52D2"/>
    <w:rsid w:val="007E64FB"/>
    <w:rsid w:val="007E691F"/>
    <w:rsid w:val="007E6B44"/>
    <w:rsid w:val="007E6E83"/>
    <w:rsid w:val="007E7412"/>
    <w:rsid w:val="007F003C"/>
    <w:rsid w:val="007F21FC"/>
    <w:rsid w:val="007F43B3"/>
    <w:rsid w:val="007F46D6"/>
    <w:rsid w:val="007F48FB"/>
    <w:rsid w:val="007F5AF6"/>
    <w:rsid w:val="007F71DD"/>
    <w:rsid w:val="007F76D8"/>
    <w:rsid w:val="0080215E"/>
    <w:rsid w:val="00802EA4"/>
    <w:rsid w:val="00803A39"/>
    <w:rsid w:val="00804713"/>
    <w:rsid w:val="00804C4C"/>
    <w:rsid w:val="00804F34"/>
    <w:rsid w:val="008077CC"/>
    <w:rsid w:val="008101BE"/>
    <w:rsid w:val="00810D16"/>
    <w:rsid w:val="00812D7F"/>
    <w:rsid w:val="008139FA"/>
    <w:rsid w:val="00816189"/>
    <w:rsid w:val="008161E2"/>
    <w:rsid w:val="00816551"/>
    <w:rsid w:val="0081735E"/>
    <w:rsid w:val="00817A29"/>
    <w:rsid w:val="00817B99"/>
    <w:rsid w:val="00824245"/>
    <w:rsid w:val="008249AE"/>
    <w:rsid w:val="0082619D"/>
    <w:rsid w:val="008276CC"/>
    <w:rsid w:val="00830A1E"/>
    <w:rsid w:val="00833ACD"/>
    <w:rsid w:val="0083406C"/>
    <w:rsid w:val="008341B5"/>
    <w:rsid w:val="0083491B"/>
    <w:rsid w:val="00834CC8"/>
    <w:rsid w:val="0083536D"/>
    <w:rsid w:val="008355FE"/>
    <w:rsid w:val="00836AA7"/>
    <w:rsid w:val="0084045E"/>
    <w:rsid w:val="00840A66"/>
    <w:rsid w:val="00841B07"/>
    <w:rsid w:val="00841CAC"/>
    <w:rsid w:val="00841DCB"/>
    <w:rsid w:val="00841EC4"/>
    <w:rsid w:val="00842451"/>
    <w:rsid w:val="00843E1A"/>
    <w:rsid w:val="00843F59"/>
    <w:rsid w:val="008469ED"/>
    <w:rsid w:val="00846F70"/>
    <w:rsid w:val="00854115"/>
    <w:rsid w:val="00854FE3"/>
    <w:rsid w:val="00857505"/>
    <w:rsid w:val="00857975"/>
    <w:rsid w:val="008602E9"/>
    <w:rsid w:val="008606C1"/>
    <w:rsid w:val="00860986"/>
    <w:rsid w:val="00860DC3"/>
    <w:rsid w:val="00860FC5"/>
    <w:rsid w:val="0086121D"/>
    <w:rsid w:val="00862CB8"/>
    <w:rsid w:val="0086320B"/>
    <w:rsid w:val="00864329"/>
    <w:rsid w:val="00864477"/>
    <w:rsid w:val="00865886"/>
    <w:rsid w:val="008659B8"/>
    <w:rsid w:val="008661D7"/>
    <w:rsid w:val="00867C55"/>
    <w:rsid w:val="0087061D"/>
    <w:rsid w:val="00871969"/>
    <w:rsid w:val="00871A3D"/>
    <w:rsid w:val="00871A5C"/>
    <w:rsid w:val="008726A2"/>
    <w:rsid w:val="00873AA3"/>
    <w:rsid w:val="008760B1"/>
    <w:rsid w:val="00876280"/>
    <w:rsid w:val="0087741B"/>
    <w:rsid w:val="008778B0"/>
    <w:rsid w:val="00877C5F"/>
    <w:rsid w:val="008805CD"/>
    <w:rsid w:val="00880F28"/>
    <w:rsid w:val="008813A6"/>
    <w:rsid w:val="00881A04"/>
    <w:rsid w:val="00881D2B"/>
    <w:rsid w:val="008829A5"/>
    <w:rsid w:val="0088346C"/>
    <w:rsid w:val="00884DC2"/>
    <w:rsid w:val="008857A8"/>
    <w:rsid w:val="00885D1D"/>
    <w:rsid w:val="00886A18"/>
    <w:rsid w:val="00886B0C"/>
    <w:rsid w:val="0089179E"/>
    <w:rsid w:val="00891C8D"/>
    <w:rsid w:val="00892470"/>
    <w:rsid w:val="00893808"/>
    <w:rsid w:val="00894E02"/>
    <w:rsid w:val="008953AD"/>
    <w:rsid w:val="00896C0C"/>
    <w:rsid w:val="008971A2"/>
    <w:rsid w:val="008A0734"/>
    <w:rsid w:val="008A1BFC"/>
    <w:rsid w:val="008A2F3B"/>
    <w:rsid w:val="008A3077"/>
    <w:rsid w:val="008A3ED9"/>
    <w:rsid w:val="008A40AE"/>
    <w:rsid w:val="008A4111"/>
    <w:rsid w:val="008B087E"/>
    <w:rsid w:val="008B31B0"/>
    <w:rsid w:val="008B42FB"/>
    <w:rsid w:val="008B4D0F"/>
    <w:rsid w:val="008B4F54"/>
    <w:rsid w:val="008B6F5D"/>
    <w:rsid w:val="008B7855"/>
    <w:rsid w:val="008C0765"/>
    <w:rsid w:val="008C16A3"/>
    <w:rsid w:val="008C2EC2"/>
    <w:rsid w:val="008C3221"/>
    <w:rsid w:val="008C3460"/>
    <w:rsid w:val="008C4281"/>
    <w:rsid w:val="008C49AE"/>
    <w:rsid w:val="008C4FAD"/>
    <w:rsid w:val="008C5962"/>
    <w:rsid w:val="008C742E"/>
    <w:rsid w:val="008C75A9"/>
    <w:rsid w:val="008D06E0"/>
    <w:rsid w:val="008D0805"/>
    <w:rsid w:val="008D0D55"/>
    <w:rsid w:val="008D1606"/>
    <w:rsid w:val="008D2364"/>
    <w:rsid w:val="008D278E"/>
    <w:rsid w:val="008D335A"/>
    <w:rsid w:val="008D4197"/>
    <w:rsid w:val="008D49E3"/>
    <w:rsid w:val="008D5743"/>
    <w:rsid w:val="008D5FAE"/>
    <w:rsid w:val="008D6D79"/>
    <w:rsid w:val="008E100D"/>
    <w:rsid w:val="008E1329"/>
    <w:rsid w:val="008E2288"/>
    <w:rsid w:val="008E3AED"/>
    <w:rsid w:val="008E4168"/>
    <w:rsid w:val="008E5B38"/>
    <w:rsid w:val="008E5CF0"/>
    <w:rsid w:val="008F0641"/>
    <w:rsid w:val="008F1783"/>
    <w:rsid w:val="008F193B"/>
    <w:rsid w:val="008F1C5D"/>
    <w:rsid w:val="008F1F68"/>
    <w:rsid w:val="008F2FFC"/>
    <w:rsid w:val="008F55A7"/>
    <w:rsid w:val="008F587F"/>
    <w:rsid w:val="008F5BB6"/>
    <w:rsid w:val="008F692C"/>
    <w:rsid w:val="008F7B5B"/>
    <w:rsid w:val="00900458"/>
    <w:rsid w:val="00900E96"/>
    <w:rsid w:val="009014A1"/>
    <w:rsid w:val="00902E5B"/>
    <w:rsid w:val="00904164"/>
    <w:rsid w:val="009044BF"/>
    <w:rsid w:val="00904E97"/>
    <w:rsid w:val="00906061"/>
    <w:rsid w:val="00906A79"/>
    <w:rsid w:val="00906E88"/>
    <w:rsid w:val="00907239"/>
    <w:rsid w:val="0091193E"/>
    <w:rsid w:val="00911E3B"/>
    <w:rsid w:val="00912B12"/>
    <w:rsid w:val="0091354C"/>
    <w:rsid w:val="00914275"/>
    <w:rsid w:val="00914A73"/>
    <w:rsid w:val="00914CCD"/>
    <w:rsid w:val="00915AF0"/>
    <w:rsid w:val="009203D8"/>
    <w:rsid w:val="00922A17"/>
    <w:rsid w:val="00922FB3"/>
    <w:rsid w:val="00923E6B"/>
    <w:rsid w:val="00924D02"/>
    <w:rsid w:val="009262D5"/>
    <w:rsid w:val="00927241"/>
    <w:rsid w:val="009275E9"/>
    <w:rsid w:val="00931AB1"/>
    <w:rsid w:val="00931CEA"/>
    <w:rsid w:val="009351AF"/>
    <w:rsid w:val="009356BF"/>
    <w:rsid w:val="00937BAF"/>
    <w:rsid w:val="00937E22"/>
    <w:rsid w:val="00940A65"/>
    <w:rsid w:val="00941999"/>
    <w:rsid w:val="00943414"/>
    <w:rsid w:val="00945C0E"/>
    <w:rsid w:val="00945F04"/>
    <w:rsid w:val="00946F24"/>
    <w:rsid w:val="00947D3E"/>
    <w:rsid w:val="00950536"/>
    <w:rsid w:val="00950EB1"/>
    <w:rsid w:val="009514D1"/>
    <w:rsid w:val="00951985"/>
    <w:rsid w:val="00951E3D"/>
    <w:rsid w:val="00952506"/>
    <w:rsid w:val="009525A5"/>
    <w:rsid w:val="0095378D"/>
    <w:rsid w:val="0095440F"/>
    <w:rsid w:val="00954E57"/>
    <w:rsid w:val="009553E2"/>
    <w:rsid w:val="009559AE"/>
    <w:rsid w:val="00960232"/>
    <w:rsid w:val="0096031D"/>
    <w:rsid w:val="00960C7A"/>
    <w:rsid w:val="00962B45"/>
    <w:rsid w:val="00962C9C"/>
    <w:rsid w:val="00963EAB"/>
    <w:rsid w:val="0096472F"/>
    <w:rsid w:val="00964797"/>
    <w:rsid w:val="00964CF6"/>
    <w:rsid w:val="00967BE9"/>
    <w:rsid w:val="009714BF"/>
    <w:rsid w:val="00971B72"/>
    <w:rsid w:val="00972B8D"/>
    <w:rsid w:val="00973D56"/>
    <w:rsid w:val="00974616"/>
    <w:rsid w:val="00975556"/>
    <w:rsid w:val="00975F78"/>
    <w:rsid w:val="00976769"/>
    <w:rsid w:val="00976F0C"/>
    <w:rsid w:val="009779CA"/>
    <w:rsid w:val="00977AF0"/>
    <w:rsid w:val="0098140C"/>
    <w:rsid w:val="00982CF9"/>
    <w:rsid w:val="009832DF"/>
    <w:rsid w:val="00983F12"/>
    <w:rsid w:val="009854B0"/>
    <w:rsid w:val="0098558D"/>
    <w:rsid w:val="00985EBD"/>
    <w:rsid w:val="00986790"/>
    <w:rsid w:val="0098724C"/>
    <w:rsid w:val="0099045D"/>
    <w:rsid w:val="00991D46"/>
    <w:rsid w:val="009929AD"/>
    <w:rsid w:val="00992C4D"/>
    <w:rsid w:val="00992F0A"/>
    <w:rsid w:val="00993858"/>
    <w:rsid w:val="00994014"/>
    <w:rsid w:val="00996FCC"/>
    <w:rsid w:val="009A074E"/>
    <w:rsid w:val="009A090D"/>
    <w:rsid w:val="009A144A"/>
    <w:rsid w:val="009A2332"/>
    <w:rsid w:val="009A23A7"/>
    <w:rsid w:val="009A284E"/>
    <w:rsid w:val="009A2D1D"/>
    <w:rsid w:val="009A43E7"/>
    <w:rsid w:val="009A44BC"/>
    <w:rsid w:val="009A4ABB"/>
    <w:rsid w:val="009A5A19"/>
    <w:rsid w:val="009A6209"/>
    <w:rsid w:val="009A6B8C"/>
    <w:rsid w:val="009A6F09"/>
    <w:rsid w:val="009A7CEC"/>
    <w:rsid w:val="009A7F92"/>
    <w:rsid w:val="009B2390"/>
    <w:rsid w:val="009B301A"/>
    <w:rsid w:val="009B4C87"/>
    <w:rsid w:val="009B61BD"/>
    <w:rsid w:val="009B7B3F"/>
    <w:rsid w:val="009C054B"/>
    <w:rsid w:val="009C16B3"/>
    <w:rsid w:val="009C20B0"/>
    <w:rsid w:val="009C2D7A"/>
    <w:rsid w:val="009C3D08"/>
    <w:rsid w:val="009C3F46"/>
    <w:rsid w:val="009C4324"/>
    <w:rsid w:val="009C4C3E"/>
    <w:rsid w:val="009C4C8B"/>
    <w:rsid w:val="009C683D"/>
    <w:rsid w:val="009C6B24"/>
    <w:rsid w:val="009C708C"/>
    <w:rsid w:val="009C7186"/>
    <w:rsid w:val="009D1AC3"/>
    <w:rsid w:val="009D291F"/>
    <w:rsid w:val="009D2C35"/>
    <w:rsid w:val="009D39B0"/>
    <w:rsid w:val="009D3B90"/>
    <w:rsid w:val="009D50B7"/>
    <w:rsid w:val="009D50E9"/>
    <w:rsid w:val="009D59C0"/>
    <w:rsid w:val="009D6D8B"/>
    <w:rsid w:val="009D7447"/>
    <w:rsid w:val="009E0C5C"/>
    <w:rsid w:val="009E144C"/>
    <w:rsid w:val="009E17A1"/>
    <w:rsid w:val="009E1AEC"/>
    <w:rsid w:val="009E1D1F"/>
    <w:rsid w:val="009E221F"/>
    <w:rsid w:val="009E312C"/>
    <w:rsid w:val="009E34FC"/>
    <w:rsid w:val="009E37E0"/>
    <w:rsid w:val="009E5C8A"/>
    <w:rsid w:val="009E6C98"/>
    <w:rsid w:val="009E7760"/>
    <w:rsid w:val="009F03C3"/>
    <w:rsid w:val="009F0877"/>
    <w:rsid w:val="009F1261"/>
    <w:rsid w:val="009F201D"/>
    <w:rsid w:val="009F235E"/>
    <w:rsid w:val="009F2593"/>
    <w:rsid w:val="009F2C0D"/>
    <w:rsid w:val="009F2C41"/>
    <w:rsid w:val="009F3D13"/>
    <w:rsid w:val="009F45CC"/>
    <w:rsid w:val="009F4602"/>
    <w:rsid w:val="009F5D5E"/>
    <w:rsid w:val="009F62BC"/>
    <w:rsid w:val="009F6E65"/>
    <w:rsid w:val="009F70AB"/>
    <w:rsid w:val="009F73C5"/>
    <w:rsid w:val="00A00D5E"/>
    <w:rsid w:val="00A00D9C"/>
    <w:rsid w:val="00A0129F"/>
    <w:rsid w:val="00A027BA"/>
    <w:rsid w:val="00A02AF8"/>
    <w:rsid w:val="00A0337C"/>
    <w:rsid w:val="00A04469"/>
    <w:rsid w:val="00A06506"/>
    <w:rsid w:val="00A06B83"/>
    <w:rsid w:val="00A07D4D"/>
    <w:rsid w:val="00A10D88"/>
    <w:rsid w:val="00A11397"/>
    <w:rsid w:val="00A11FC2"/>
    <w:rsid w:val="00A13524"/>
    <w:rsid w:val="00A157D3"/>
    <w:rsid w:val="00A157E6"/>
    <w:rsid w:val="00A1678F"/>
    <w:rsid w:val="00A17008"/>
    <w:rsid w:val="00A1710E"/>
    <w:rsid w:val="00A17650"/>
    <w:rsid w:val="00A178CD"/>
    <w:rsid w:val="00A2007D"/>
    <w:rsid w:val="00A20201"/>
    <w:rsid w:val="00A210DF"/>
    <w:rsid w:val="00A21469"/>
    <w:rsid w:val="00A21E31"/>
    <w:rsid w:val="00A21E34"/>
    <w:rsid w:val="00A2296B"/>
    <w:rsid w:val="00A23180"/>
    <w:rsid w:val="00A2454A"/>
    <w:rsid w:val="00A248E7"/>
    <w:rsid w:val="00A26288"/>
    <w:rsid w:val="00A2665E"/>
    <w:rsid w:val="00A26A0D"/>
    <w:rsid w:val="00A2790B"/>
    <w:rsid w:val="00A30747"/>
    <w:rsid w:val="00A309F5"/>
    <w:rsid w:val="00A3157C"/>
    <w:rsid w:val="00A320E9"/>
    <w:rsid w:val="00A32B54"/>
    <w:rsid w:val="00A33BB9"/>
    <w:rsid w:val="00A350CE"/>
    <w:rsid w:val="00A364A1"/>
    <w:rsid w:val="00A36F95"/>
    <w:rsid w:val="00A37442"/>
    <w:rsid w:val="00A37738"/>
    <w:rsid w:val="00A37F1E"/>
    <w:rsid w:val="00A40160"/>
    <w:rsid w:val="00A40BC6"/>
    <w:rsid w:val="00A41FC6"/>
    <w:rsid w:val="00A4211A"/>
    <w:rsid w:val="00A50276"/>
    <w:rsid w:val="00A51326"/>
    <w:rsid w:val="00A51486"/>
    <w:rsid w:val="00A516B1"/>
    <w:rsid w:val="00A51D46"/>
    <w:rsid w:val="00A51F84"/>
    <w:rsid w:val="00A52F71"/>
    <w:rsid w:val="00A53702"/>
    <w:rsid w:val="00A53CE3"/>
    <w:rsid w:val="00A53EAB"/>
    <w:rsid w:val="00A54BB3"/>
    <w:rsid w:val="00A55AFD"/>
    <w:rsid w:val="00A56659"/>
    <w:rsid w:val="00A569C8"/>
    <w:rsid w:val="00A57A3E"/>
    <w:rsid w:val="00A60880"/>
    <w:rsid w:val="00A60EDB"/>
    <w:rsid w:val="00A61767"/>
    <w:rsid w:val="00A623BD"/>
    <w:rsid w:val="00A629F2"/>
    <w:rsid w:val="00A63394"/>
    <w:rsid w:val="00A63F51"/>
    <w:rsid w:val="00A649A9"/>
    <w:rsid w:val="00A64BA0"/>
    <w:rsid w:val="00A6523A"/>
    <w:rsid w:val="00A65624"/>
    <w:rsid w:val="00A674A4"/>
    <w:rsid w:val="00A702BD"/>
    <w:rsid w:val="00A70C71"/>
    <w:rsid w:val="00A71A8A"/>
    <w:rsid w:val="00A71D95"/>
    <w:rsid w:val="00A71E7F"/>
    <w:rsid w:val="00A728D0"/>
    <w:rsid w:val="00A75664"/>
    <w:rsid w:val="00A75DAE"/>
    <w:rsid w:val="00A8074F"/>
    <w:rsid w:val="00A80DDE"/>
    <w:rsid w:val="00A8124B"/>
    <w:rsid w:val="00A83B54"/>
    <w:rsid w:val="00A84339"/>
    <w:rsid w:val="00A85104"/>
    <w:rsid w:val="00A8523D"/>
    <w:rsid w:val="00A85D11"/>
    <w:rsid w:val="00A85F03"/>
    <w:rsid w:val="00A86648"/>
    <w:rsid w:val="00A86DE5"/>
    <w:rsid w:val="00A870F2"/>
    <w:rsid w:val="00A912B7"/>
    <w:rsid w:val="00A95760"/>
    <w:rsid w:val="00A96556"/>
    <w:rsid w:val="00A97D23"/>
    <w:rsid w:val="00AA07F4"/>
    <w:rsid w:val="00AA15CF"/>
    <w:rsid w:val="00AA24DC"/>
    <w:rsid w:val="00AA2ED9"/>
    <w:rsid w:val="00AA3D37"/>
    <w:rsid w:val="00AA4299"/>
    <w:rsid w:val="00AA4480"/>
    <w:rsid w:val="00AA515C"/>
    <w:rsid w:val="00AA5169"/>
    <w:rsid w:val="00AA567E"/>
    <w:rsid w:val="00AB0037"/>
    <w:rsid w:val="00AB230E"/>
    <w:rsid w:val="00AB27A5"/>
    <w:rsid w:val="00AB2969"/>
    <w:rsid w:val="00AB3012"/>
    <w:rsid w:val="00AB36FC"/>
    <w:rsid w:val="00AB3C75"/>
    <w:rsid w:val="00AB3D70"/>
    <w:rsid w:val="00AB3ED1"/>
    <w:rsid w:val="00AB3F4E"/>
    <w:rsid w:val="00AB4E84"/>
    <w:rsid w:val="00AB508E"/>
    <w:rsid w:val="00AB583C"/>
    <w:rsid w:val="00AB5E2E"/>
    <w:rsid w:val="00AB7967"/>
    <w:rsid w:val="00AC412C"/>
    <w:rsid w:val="00AC43DF"/>
    <w:rsid w:val="00AC4D84"/>
    <w:rsid w:val="00AC5D70"/>
    <w:rsid w:val="00AC5F1C"/>
    <w:rsid w:val="00AC66DC"/>
    <w:rsid w:val="00AC7174"/>
    <w:rsid w:val="00AC7572"/>
    <w:rsid w:val="00AC7B12"/>
    <w:rsid w:val="00AD12D6"/>
    <w:rsid w:val="00AD15F1"/>
    <w:rsid w:val="00AD1D7D"/>
    <w:rsid w:val="00AD1E02"/>
    <w:rsid w:val="00AD227B"/>
    <w:rsid w:val="00AD26CE"/>
    <w:rsid w:val="00AD383B"/>
    <w:rsid w:val="00AD49FF"/>
    <w:rsid w:val="00AD4DEB"/>
    <w:rsid w:val="00AD7157"/>
    <w:rsid w:val="00AE05AC"/>
    <w:rsid w:val="00AE0684"/>
    <w:rsid w:val="00AE0CE7"/>
    <w:rsid w:val="00AE1388"/>
    <w:rsid w:val="00AE1560"/>
    <w:rsid w:val="00AE1B7F"/>
    <w:rsid w:val="00AE30C0"/>
    <w:rsid w:val="00AE358F"/>
    <w:rsid w:val="00AE639D"/>
    <w:rsid w:val="00AF11B0"/>
    <w:rsid w:val="00AF2A0A"/>
    <w:rsid w:val="00AF2B96"/>
    <w:rsid w:val="00AF3DED"/>
    <w:rsid w:val="00AF5253"/>
    <w:rsid w:val="00AF6DE6"/>
    <w:rsid w:val="00AF7E81"/>
    <w:rsid w:val="00B0005C"/>
    <w:rsid w:val="00B00EBF"/>
    <w:rsid w:val="00B0120F"/>
    <w:rsid w:val="00B02B05"/>
    <w:rsid w:val="00B03208"/>
    <w:rsid w:val="00B04173"/>
    <w:rsid w:val="00B053C9"/>
    <w:rsid w:val="00B0589A"/>
    <w:rsid w:val="00B066FE"/>
    <w:rsid w:val="00B06F63"/>
    <w:rsid w:val="00B071B1"/>
    <w:rsid w:val="00B073B4"/>
    <w:rsid w:val="00B07967"/>
    <w:rsid w:val="00B07BE5"/>
    <w:rsid w:val="00B10FF2"/>
    <w:rsid w:val="00B15B91"/>
    <w:rsid w:val="00B20EBD"/>
    <w:rsid w:val="00B2102D"/>
    <w:rsid w:val="00B23021"/>
    <w:rsid w:val="00B238F5"/>
    <w:rsid w:val="00B25074"/>
    <w:rsid w:val="00B2657C"/>
    <w:rsid w:val="00B267AD"/>
    <w:rsid w:val="00B27EE6"/>
    <w:rsid w:val="00B30757"/>
    <w:rsid w:val="00B30A18"/>
    <w:rsid w:val="00B314C9"/>
    <w:rsid w:val="00B31998"/>
    <w:rsid w:val="00B31F80"/>
    <w:rsid w:val="00B32781"/>
    <w:rsid w:val="00B3285F"/>
    <w:rsid w:val="00B33B10"/>
    <w:rsid w:val="00B34607"/>
    <w:rsid w:val="00B34F82"/>
    <w:rsid w:val="00B350B9"/>
    <w:rsid w:val="00B3651B"/>
    <w:rsid w:val="00B374C1"/>
    <w:rsid w:val="00B416EE"/>
    <w:rsid w:val="00B41A4F"/>
    <w:rsid w:val="00B43453"/>
    <w:rsid w:val="00B45315"/>
    <w:rsid w:val="00B471AC"/>
    <w:rsid w:val="00B50AD4"/>
    <w:rsid w:val="00B50B8C"/>
    <w:rsid w:val="00B50E89"/>
    <w:rsid w:val="00B50F37"/>
    <w:rsid w:val="00B515B2"/>
    <w:rsid w:val="00B51BE9"/>
    <w:rsid w:val="00B52298"/>
    <w:rsid w:val="00B52919"/>
    <w:rsid w:val="00B53D3D"/>
    <w:rsid w:val="00B54232"/>
    <w:rsid w:val="00B54A1A"/>
    <w:rsid w:val="00B56029"/>
    <w:rsid w:val="00B56749"/>
    <w:rsid w:val="00B601AD"/>
    <w:rsid w:val="00B606C3"/>
    <w:rsid w:val="00B6089A"/>
    <w:rsid w:val="00B6089B"/>
    <w:rsid w:val="00B635E9"/>
    <w:rsid w:val="00B640CA"/>
    <w:rsid w:val="00B64986"/>
    <w:rsid w:val="00B6578E"/>
    <w:rsid w:val="00B66294"/>
    <w:rsid w:val="00B6638E"/>
    <w:rsid w:val="00B66C9F"/>
    <w:rsid w:val="00B700FF"/>
    <w:rsid w:val="00B7056B"/>
    <w:rsid w:val="00B70840"/>
    <w:rsid w:val="00B7149A"/>
    <w:rsid w:val="00B71673"/>
    <w:rsid w:val="00B7298D"/>
    <w:rsid w:val="00B730B4"/>
    <w:rsid w:val="00B73108"/>
    <w:rsid w:val="00B73397"/>
    <w:rsid w:val="00B749CE"/>
    <w:rsid w:val="00B74A93"/>
    <w:rsid w:val="00B75728"/>
    <w:rsid w:val="00B76A22"/>
    <w:rsid w:val="00B77DD3"/>
    <w:rsid w:val="00B81280"/>
    <w:rsid w:val="00B81469"/>
    <w:rsid w:val="00B81624"/>
    <w:rsid w:val="00B83816"/>
    <w:rsid w:val="00B84461"/>
    <w:rsid w:val="00B849B4"/>
    <w:rsid w:val="00B8508A"/>
    <w:rsid w:val="00B85098"/>
    <w:rsid w:val="00B85123"/>
    <w:rsid w:val="00B851EB"/>
    <w:rsid w:val="00B85263"/>
    <w:rsid w:val="00B87007"/>
    <w:rsid w:val="00B8792D"/>
    <w:rsid w:val="00B92D0F"/>
    <w:rsid w:val="00B94679"/>
    <w:rsid w:val="00B94D1F"/>
    <w:rsid w:val="00B961C4"/>
    <w:rsid w:val="00B966D1"/>
    <w:rsid w:val="00B967E3"/>
    <w:rsid w:val="00B9742B"/>
    <w:rsid w:val="00B97706"/>
    <w:rsid w:val="00BA1300"/>
    <w:rsid w:val="00BA1934"/>
    <w:rsid w:val="00BA206D"/>
    <w:rsid w:val="00BA20EF"/>
    <w:rsid w:val="00BA21AA"/>
    <w:rsid w:val="00BA325E"/>
    <w:rsid w:val="00BA3483"/>
    <w:rsid w:val="00BA44AD"/>
    <w:rsid w:val="00BA45D1"/>
    <w:rsid w:val="00BA4663"/>
    <w:rsid w:val="00BA4828"/>
    <w:rsid w:val="00BA5BFA"/>
    <w:rsid w:val="00BA63E7"/>
    <w:rsid w:val="00BA799F"/>
    <w:rsid w:val="00BA7EB2"/>
    <w:rsid w:val="00BB0356"/>
    <w:rsid w:val="00BB05AD"/>
    <w:rsid w:val="00BB1017"/>
    <w:rsid w:val="00BB1640"/>
    <w:rsid w:val="00BB1BC5"/>
    <w:rsid w:val="00BB24F4"/>
    <w:rsid w:val="00BB28ED"/>
    <w:rsid w:val="00BB4FE2"/>
    <w:rsid w:val="00BB6B2B"/>
    <w:rsid w:val="00BC0492"/>
    <w:rsid w:val="00BC116C"/>
    <w:rsid w:val="00BC209F"/>
    <w:rsid w:val="00BC599F"/>
    <w:rsid w:val="00BC59D7"/>
    <w:rsid w:val="00BC60E9"/>
    <w:rsid w:val="00BD085C"/>
    <w:rsid w:val="00BD08D4"/>
    <w:rsid w:val="00BD14E0"/>
    <w:rsid w:val="00BD3B68"/>
    <w:rsid w:val="00BD43D6"/>
    <w:rsid w:val="00BD57A7"/>
    <w:rsid w:val="00BD5DBB"/>
    <w:rsid w:val="00BD75E1"/>
    <w:rsid w:val="00BD7B9F"/>
    <w:rsid w:val="00BD7E78"/>
    <w:rsid w:val="00BE1DBC"/>
    <w:rsid w:val="00BE27DE"/>
    <w:rsid w:val="00BE3BF0"/>
    <w:rsid w:val="00BE4453"/>
    <w:rsid w:val="00BE4589"/>
    <w:rsid w:val="00BE49B0"/>
    <w:rsid w:val="00BE520F"/>
    <w:rsid w:val="00BE54B2"/>
    <w:rsid w:val="00BE56C1"/>
    <w:rsid w:val="00BE5EEE"/>
    <w:rsid w:val="00BE5F6D"/>
    <w:rsid w:val="00BE60DB"/>
    <w:rsid w:val="00BE6AC0"/>
    <w:rsid w:val="00BE74BE"/>
    <w:rsid w:val="00BE7CEA"/>
    <w:rsid w:val="00BF0D35"/>
    <w:rsid w:val="00BF22A0"/>
    <w:rsid w:val="00BF22A7"/>
    <w:rsid w:val="00BF3BC9"/>
    <w:rsid w:val="00BF3FF2"/>
    <w:rsid w:val="00BF410D"/>
    <w:rsid w:val="00BF4FFE"/>
    <w:rsid w:val="00BF6ABE"/>
    <w:rsid w:val="00BF7DDE"/>
    <w:rsid w:val="00C0051B"/>
    <w:rsid w:val="00C00AF6"/>
    <w:rsid w:val="00C00C41"/>
    <w:rsid w:val="00C0202B"/>
    <w:rsid w:val="00C02DAB"/>
    <w:rsid w:val="00C03962"/>
    <w:rsid w:val="00C04747"/>
    <w:rsid w:val="00C04C39"/>
    <w:rsid w:val="00C05A16"/>
    <w:rsid w:val="00C05DEA"/>
    <w:rsid w:val="00C069A1"/>
    <w:rsid w:val="00C06ADC"/>
    <w:rsid w:val="00C07867"/>
    <w:rsid w:val="00C07D84"/>
    <w:rsid w:val="00C1148D"/>
    <w:rsid w:val="00C119F8"/>
    <w:rsid w:val="00C11C6F"/>
    <w:rsid w:val="00C14E04"/>
    <w:rsid w:val="00C15384"/>
    <w:rsid w:val="00C170C9"/>
    <w:rsid w:val="00C17517"/>
    <w:rsid w:val="00C17669"/>
    <w:rsid w:val="00C1770F"/>
    <w:rsid w:val="00C17A47"/>
    <w:rsid w:val="00C2015C"/>
    <w:rsid w:val="00C20882"/>
    <w:rsid w:val="00C2101E"/>
    <w:rsid w:val="00C21F53"/>
    <w:rsid w:val="00C22B09"/>
    <w:rsid w:val="00C23626"/>
    <w:rsid w:val="00C2595B"/>
    <w:rsid w:val="00C26103"/>
    <w:rsid w:val="00C2648C"/>
    <w:rsid w:val="00C26AC1"/>
    <w:rsid w:val="00C27119"/>
    <w:rsid w:val="00C300ED"/>
    <w:rsid w:val="00C327A0"/>
    <w:rsid w:val="00C35870"/>
    <w:rsid w:val="00C35DA6"/>
    <w:rsid w:val="00C36716"/>
    <w:rsid w:val="00C36E95"/>
    <w:rsid w:val="00C378C1"/>
    <w:rsid w:val="00C40000"/>
    <w:rsid w:val="00C40EF7"/>
    <w:rsid w:val="00C40F8D"/>
    <w:rsid w:val="00C415C8"/>
    <w:rsid w:val="00C41E71"/>
    <w:rsid w:val="00C421BB"/>
    <w:rsid w:val="00C42F80"/>
    <w:rsid w:val="00C430EC"/>
    <w:rsid w:val="00C43480"/>
    <w:rsid w:val="00C43BB5"/>
    <w:rsid w:val="00C44406"/>
    <w:rsid w:val="00C44832"/>
    <w:rsid w:val="00C45CDF"/>
    <w:rsid w:val="00C45FED"/>
    <w:rsid w:val="00C46429"/>
    <w:rsid w:val="00C47CDD"/>
    <w:rsid w:val="00C5007B"/>
    <w:rsid w:val="00C50198"/>
    <w:rsid w:val="00C501D7"/>
    <w:rsid w:val="00C5152E"/>
    <w:rsid w:val="00C5190B"/>
    <w:rsid w:val="00C51FF0"/>
    <w:rsid w:val="00C525F9"/>
    <w:rsid w:val="00C52DF0"/>
    <w:rsid w:val="00C52F77"/>
    <w:rsid w:val="00C53CE6"/>
    <w:rsid w:val="00C55A71"/>
    <w:rsid w:val="00C5748F"/>
    <w:rsid w:val="00C6005A"/>
    <w:rsid w:val="00C6123E"/>
    <w:rsid w:val="00C61868"/>
    <w:rsid w:val="00C62F97"/>
    <w:rsid w:val="00C63E17"/>
    <w:rsid w:val="00C644AA"/>
    <w:rsid w:val="00C64789"/>
    <w:rsid w:val="00C6581C"/>
    <w:rsid w:val="00C66BE4"/>
    <w:rsid w:val="00C67768"/>
    <w:rsid w:val="00C70ADB"/>
    <w:rsid w:val="00C7146C"/>
    <w:rsid w:val="00C739E4"/>
    <w:rsid w:val="00C74BBC"/>
    <w:rsid w:val="00C74CB7"/>
    <w:rsid w:val="00C74F9D"/>
    <w:rsid w:val="00C7592F"/>
    <w:rsid w:val="00C76D3B"/>
    <w:rsid w:val="00C77C44"/>
    <w:rsid w:val="00C80DC6"/>
    <w:rsid w:val="00C81072"/>
    <w:rsid w:val="00C813EC"/>
    <w:rsid w:val="00C836B5"/>
    <w:rsid w:val="00C83E0F"/>
    <w:rsid w:val="00C855E7"/>
    <w:rsid w:val="00C85ADC"/>
    <w:rsid w:val="00C87084"/>
    <w:rsid w:val="00C87941"/>
    <w:rsid w:val="00C87A09"/>
    <w:rsid w:val="00C90B66"/>
    <w:rsid w:val="00C92C9D"/>
    <w:rsid w:val="00C932F3"/>
    <w:rsid w:val="00C93670"/>
    <w:rsid w:val="00C940CC"/>
    <w:rsid w:val="00CA11AF"/>
    <w:rsid w:val="00CA1626"/>
    <w:rsid w:val="00CA197D"/>
    <w:rsid w:val="00CA322B"/>
    <w:rsid w:val="00CA377F"/>
    <w:rsid w:val="00CA38CB"/>
    <w:rsid w:val="00CA3E5C"/>
    <w:rsid w:val="00CA41D6"/>
    <w:rsid w:val="00CA4B6F"/>
    <w:rsid w:val="00CA4FF4"/>
    <w:rsid w:val="00CA519E"/>
    <w:rsid w:val="00CA58E3"/>
    <w:rsid w:val="00CA5940"/>
    <w:rsid w:val="00CA60BA"/>
    <w:rsid w:val="00CA6640"/>
    <w:rsid w:val="00CA6BCE"/>
    <w:rsid w:val="00CA6DB9"/>
    <w:rsid w:val="00CB0548"/>
    <w:rsid w:val="00CB0CA6"/>
    <w:rsid w:val="00CB11A3"/>
    <w:rsid w:val="00CB1BBB"/>
    <w:rsid w:val="00CB2048"/>
    <w:rsid w:val="00CB2E92"/>
    <w:rsid w:val="00CB2F5B"/>
    <w:rsid w:val="00CB3B1D"/>
    <w:rsid w:val="00CB3BCB"/>
    <w:rsid w:val="00CB422C"/>
    <w:rsid w:val="00CB4A9E"/>
    <w:rsid w:val="00CB4F64"/>
    <w:rsid w:val="00CB594B"/>
    <w:rsid w:val="00CB6B14"/>
    <w:rsid w:val="00CB6CD8"/>
    <w:rsid w:val="00CC04F7"/>
    <w:rsid w:val="00CC0715"/>
    <w:rsid w:val="00CC0B96"/>
    <w:rsid w:val="00CC288E"/>
    <w:rsid w:val="00CC300C"/>
    <w:rsid w:val="00CC3B77"/>
    <w:rsid w:val="00CC64D5"/>
    <w:rsid w:val="00CC6E0C"/>
    <w:rsid w:val="00CD014B"/>
    <w:rsid w:val="00CD11AB"/>
    <w:rsid w:val="00CD14FB"/>
    <w:rsid w:val="00CD18CB"/>
    <w:rsid w:val="00CD1E66"/>
    <w:rsid w:val="00CD33E6"/>
    <w:rsid w:val="00CD3A2D"/>
    <w:rsid w:val="00CD549E"/>
    <w:rsid w:val="00CD60A2"/>
    <w:rsid w:val="00CD7144"/>
    <w:rsid w:val="00CE119C"/>
    <w:rsid w:val="00CE1ECD"/>
    <w:rsid w:val="00CE25E8"/>
    <w:rsid w:val="00CE2FBF"/>
    <w:rsid w:val="00CE31C9"/>
    <w:rsid w:val="00CE33AA"/>
    <w:rsid w:val="00CE3DF4"/>
    <w:rsid w:val="00CE3FFE"/>
    <w:rsid w:val="00CE4B0A"/>
    <w:rsid w:val="00CE5094"/>
    <w:rsid w:val="00CE57CF"/>
    <w:rsid w:val="00CE5FF3"/>
    <w:rsid w:val="00CE64CA"/>
    <w:rsid w:val="00CE6749"/>
    <w:rsid w:val="00CE74C7"/>
    <w:rsid w:val="00CE7B2B"/>
    <w:rsid w:val="00CE7C8A"/>
    <w:rsid w:val="00CF0FAC"/>
    <w:rsid w:val="00CF71D0"/>
    <w:rsid w:val="00CF73C5"/>
    <w:rsid w:val="00CF75BC"/>
    <w:rsid w:val="00CF7606"/>
    <w:rsid w:val="00D011EC"/>
    <w:rsid w:val="00D01D88"/>
    <w:rsid w:val="00D01ECC"/>
    <w:rsid w:val="00D024D2"/>
    <w:rsid w:val="00D02652"/>
    <w:rsid w:val="00D04D6E"/>
    <w:rsid w:val="00D0764E"/>
    <w:rsid w:val="00D079AD"/>
    <w:rsid w:val="00D07FC9"/>
    <w:rsid w:val="00D10271"/>
    <w:rsid w:val="00D105E4"/>
    <w:rsid w:val="00D13FF8"/>
    <w:rsid w:val="00D14452"/>
    <w:rsid w:val="00D14CF4"/>
    <w:rsid w:val="00D15341"/>
    <w:rsid w:val="00D15A46"/>
    <w:rsid w:val="00D16208"/>
    <w:rsid w:val="00D163C7"/>
    <w:rsid w:val="00D17C48"/>
    <w:rsid w:val="00D21AAD"/>
    <w:rsid w:val="00D2269E"/>
    <w:rsid w:val="00D227AC"/>
    <w:rsid w:val="00D22C67"/>
    <w:rsid w:val="00D22DFB"/>
    <w:rsid w:val="00D248C6"/>
    <w:rsid w:val="00D260BC"/>
    <w:rsid w:val="00D27007"/>
    <w:rsid w:val="00D2795F"/>
    <w:rsid w:val="00D30CE1"/>
    <w:rsid w:val="00D317B6"/>
    <w:rsid w:val="00D31B51"/>
    <w:rsid w:val="00D31E6D"/>
    <w:rsid w:val="00D3233E"/>
    <w:rsid w:val="00D32B4D"/>
    <w:rsid w:val="00D32BF3"/>
    <w:rsid w:val="00D34218"/>
    <w:rsid w:val="00D34F3D"/>
    <w:rsid w:val="00D36411"/>
    <w:rsid w:val="00D36461"/>
    <w:rsid w:val="00D36F65"/>
    <w:rsid w:val="00D37990"/>
    <w:rsid w:val="00D37BDD"/>
    <w:rsid w:val="00D40343"/>
    <w:rsid w:val="00D40F21"/>
    <w:rsid w:val="00D42BD8"/>
    <w:rsid w:val="00D4311F"/>
    <w:rsid w:val="00D46C6D"/>
    <w:rsid w:val="00D4712D"/>
    <w:rsid w:val="00D50AEB"/>
    <w:rsid w:val="00D50D4D"/>
    <w:rsid w:val="00D51013"/>
    <w:rsid w:val="00D51E1B"/>
    <w:rsid w:val="00D52721"/>
    <w:rsid w:val="00D5391F"/>
    <w:rsid w:val="00D53C58"/>
    <w:rsid w:val="00D543A3"/>
    <w:rsid w:val="00D543D5"/>
    <w:rsid w:val="00D54576"/>
    <w:rsid w:val="00D54934"/>
    <w:rsid w:val="00D54C69"/>
    <w:rsid w:val="00D570B5"/>
    <w:rsid w:val="00D570F0"/>
    <w:rsid w:val="00D604E2"/>
    <w:rsid w:val="00D609D5"/>
    <w:rsid w:val="00D60D70"/>
    <w:rsid w:val="00D615F8"/>
    <w:rsid w:val="00D61970"/>
    <w:rsid w:val="00D634F8"/>
    <w:rsid w:val="00D6425F"/>
    <w:rsid w:val="00D64371"/>
    <w:rsid w:val="00D653D7"/>
    <w:rsid w:val="00D6623B"/>
    <w:rsid w:val="00D66D4E"/>
    <w:rsid w:val="00D70DFA"/>
    <w:rsid w:val="00D71005"/>
    <w:rsid w:val="00D71256"/>
    <w:rsid w:val="00D721F8"/>
    <w:rsid w:val="00D7236B"/>
    <w:rsid w:val="00D7718B"/>
    <w:rsid w:val="00D7734F"/>
    <w:rsid w:val="00D77EDE"/>
    <w:rsid w:val="00D81424"/>
    <w:rsid w:val="00D81D89"/>
    <w:rsid w:val="00D822CA"/>
    <w:rsid w:val="00D82591"/>
    <w:rsid w:val="00D82BBC"/>
    <w:rsid w:val="00D830B8"/>
    <w:rsid w:val="00D837EA"/>
    <w:rsid w:val="00D85CEE"/>
    <w:rsid w:val="00D85D81"/>
    <w:rsid w:val="00D86EE8"/>
    <w:rsid w:val="00D87F3C"/>
    <w:rsid w:val="00D920AD"/>
    <w:rsid w:val="00D92C3E"/>
    <w:rsid w:val="00D93A90"/>
    <w:rsid w:val="00D940CB"/>
    <w:rsid w:val="00D942DB"/>
    <w:rsid w:val="00D948C8"/>
    <w:rsid w:val="00D94EBA"/>
    <w:rsid w:val="00D952D1"/>
    <w:rsid w:val="00D954FD"/>
    <w:rsid w:val="00D955D9"/>
    <w:rsid w:val="00DA0252"/>
    <w:rsid w:val="00DA079A"/>
    <w:rsid w:val="00DA13EA"/>
    <w:rsid w:val="00DA17F0"/>
    <w:rsid w:val="00DA19E5"/>
    <w:rsid w:val="00DA2494"/>
    <w:rsid w:val="00DA24E8"/>
    <w:rsid w:val="00DA2E37"/>
    <w:rsid w:val="00DA2EA9"/>
    <w:rsid w:val="00DA35C9"/>
    <w:rsid w:val="00DA4F76"/>
    <w:rsid w:val="00DA5301"/>
    <w:rsid w:val="00DA5E69"/>
    <w:rsid w:val="00DA6EDA"/>
    <w:rsid w:val="00DA765B"/>
    <w:rsid w:val="00DB104F"/>
    <w:rsid w:val="00DB21A3"/>
    <w:rsid w:val="00DB2E55"/>
    <w:rsid w:val="00DB50F1"/>
    <w:rsid w:val="00DB5164"/>
    <w:rsid w:val="00DB77EE"/>
    <w:rsid w:val="00DC0262"/>
    <w:rsid w:val="00DC1261"/>
    <w:rsid w:val="00DC1699"/>
    <w:rsid w:val="00DC2DB1"/>
    <w:rsid w:val="00DC371A"/>
    <w:rsid w:val="00DC386E"/>
    <w:rsid w:val="00DC3F15"/>
    <w:rsid w:val="00DC6643"/>
    <w:rsid w:val="00DC6BA9"/>
    <w:rsid w:val="00DC7887"/>
    <w:rsid w:val="00DD0251"/>
    <w:rsid w:val="00DD0F31"/>
    <w:rsid w:val="00DD1502"/>
    <w:rsid w:val="00DD2449"/>
    <w:rsid w:val="00DD24A3"/>
    <w:rsid w:val="00DD278F"/>
    <w:rsid w:val="00DD2799"/>
    <w:rsid w:val="00DD35DB"/>
    <w:rsid w:val="00DD3BA7"/>
    <w:rsid w:val="00DD40D2"/>
    <w:rsid w:val="00DD5B6C"/>
    <w:rsid w:val="00DD5C2F"/>
    <w:rsid w:val="00DD65F9"/>
    <w:rsid w:val="00DD6B33"/>
    <w:rsid w:val="00DD6C55"/>
    <w:rsid w:val="00DD703C"/>
    <w:rsid w:val="00DD730E"/>
    <w:rsid w:val="00DE0FF4"/>
    <w:rsid w:val="00DE1E2D"/>
    <w:rsid w:val="00DE2BFC"/>
    <w:rsid w:val="00DE2D38"/>
    <w:rsid w:val="00DE39F4"/>
    <w:rsid w:val="00DE409C"/>
    <w:rsid w:val="00DE45AB"/>
    <w:rsid w:val="00DE4736"/>
    <w:rsid w:val="00DE4E3D"/>
    <w:rsid w:val="00DE5587"/>
    <w:rsid w:val="00DE65AB"/>
    <w:rsid w:val="00DE766C"/>
    <w:rsid w:val="00DE78CF"/>
    <w:rsid w:val="00DF1B7C"/>
    <w:rsid w:val="00DF2A63"/>
    <w:rsid w:val="00DF2E03"/>
    <w:rsid w:val="00DF5B01"/>
    <w:rsid w:val="00DF5E3E"/>
    <w:rsid w:val="00DF5E62"/>
    <w:rsid w:val="00DF623C"/>
    <w:rsid w:val="00DF698F"/>
    <w:rsid w:val="00DF7564"/>
    <w:rsid w:val="00DF7E96"/>
    <w:rsid w:val="00DF7F4D"/>
    <w:rsid w:val="00E00CA0"/>
    <w:rsid w:val="00E020D8"/>
    <w:rsid w:val="00E02849"/>
    <w:rsid w:val="00E02A9B"/>
    <w:rsid w:val="00E0373D"/>
    <w:rsid w:val="00E037C2"/>
    <w:rsid w:val="00E040B8"/>
    <w:rsid w:val="00E04161"/>
    <w:rsid w:val="00E05BFB"/>
    <w:rsid w:val="00E10EB7"/>
    <w:rsid w:val="00E1169A"/>
    <w:rsid w:val="00E12668"/>
    <w:rsid w:val="00E1537D"/>
    <w:rsid w:val="00E17066"/>
    <w:rsid w:val="00E17847"/>
    <w:rsid w:val="00E20731"/>
    <w:rsid w:val="00E21755"/>
    <w:rsid w:val="00E22C83"/>
    <w:rsid w:val="00E25D09"/>
    <w:rsid w:val="00E25E88"/>
    <w:rsid w:val="00E260B4"/>
    <w:rsid w:val="00E277AE"/>
    <w:rsid w:val="00E279D1"/>
    <w:rsid w:val="00E27BC9"/>
    <w:rsid w:val="00E27C49"/>
    <w:rsid w:val="00E302D3"/>
    <w:rsid w:val="00E319C2"/>
    <w:rsid w:val="00E32304"/>
    <w:rsid w:val="00E338AE"/>
    <w:rsid w:val="00E33ECE"/>
    <w:rsid w:val="00E3421B"/>
    <w:rsid w:val="00E3482E"/>
    <w:rsid w:val="00E352B9"/>
    <w:rsid w:val="00E35C67"/>
    <w:rsid w:val="00E36008"/>
    <w:rsid w:val="00E36707"/>
    <w:rsid w:val="00E37102"/>
    <w:rsid w:val="00E3722C"/>
    <w:rsid w:val="00E37A2A"/>
    <w:rsid w:val="00E37DE1"/>
    <w:rsid w:val="00E40492"/>
    <w:rsid w:val="00E406FF"/>
    <w:rsid w:val="00E40948"/>
    <w:rsid w:val="00E4121A"/>
    <w:rsid w:val="00E4152B"/>
    <w:rsid w:val="00E41BA3"/>
    <w:rsid w:val="00E41D58"/>
    <w:rsid w:val="00E42B5D"/>
    <w:rsid w:val="00E43DAD"/>
    <w:rsid w:val="00E46399"/>
    <w:rsid w:val="00E51779"/>
    <w:rsid w:val="00E527F2"/>
    <w:rsid w:val="00E52F08"/>
    <w:rsid w:val="00E53BFB"/>
    <w:rsid w:val="00E53D51"/>
    <w:rsid w:val="00E54CB9"/>
    <w:rsid w:val="00E55850"/>
    <w:rsid w:val="00E55D58"/>
    <w:rsid w:val="00E56E8E"/>
    <w:rsid w:val="00E56F5E"/>
    <w:rsid w:val="00E57798"/>
    <w:rsid w:val="00E57DDB"/>
    <w:rsid w:val="00E6024B"/>
    <w:rsid w:val="00E614D7"/>
    <w:rsid w:val="00E628B2"/>
    <w:rsid w:val="00E632B4"/>
    <w:rsid w:val="00E64C9D"/>
    <w:rsid w:val="00E65506"/>
    <w:rsid w:val="00E6612E"/>
    <w:rsid w:val="00E66723"/>
    <w:rsid w:val="00E66805"/>
    <w:rsid w:val="00E66CE8"/>
    <w:rsid w:val="00E66D98"/>
    <w:rsid w:val="00E70E5A"/>
    <w:rsid w:val="00E70EA7"/>
    <w:rsid w:val="00E70EC4"/>
    <w:rsid w:val="00E7103A"/>
    <w:rsid w:val="00E71C37"/>
    <w:rsid w:val="00E753F7"/>
    <w:rsid w:val="00E757C9"/>
    <w:rsid w:val="00E75993"/>
    <w:rsid w:val="00E766AF"/>
    <w:rsid w:val="00E805BD"/>
    <w:rsid w:val="00E807E9"/>
    <w:rsid w:val="00E80B07"/>
    <w:rsid w:val="00E81327"/>
    <w:rsid w:val="00E834A0"/>
    <w:rsid w:val="00E83C67"/>
    <w:rsid w:val="00E84E87"/>
    <w:rsid w:val="00E85380"/>
    <w:rsid w:val="00E85FB9"/>
    <w:rsid w:val="00E86489"/>
    <w:rsid w:val="00E86805"/>
    <w:rsid w:val="00E86A07"/>
    <w:rsid w:val="00E93A83"/>
    <w:rsid w:val="00E93C10"/>
    <w:rsid w:val="00E94509"/>
    <w:rsid w:val="00E95514"/>
    <w:rsid w:val="00E9587E"/>
    <w:rsid w:val="00E95D66"/>
    <w:rsid w:val="00E96567"/>
    <w:rsid w:val="00E97092"/>
    <w:rsid w:val="00E971FE"/>
    <w:rsid w:val="00E979D9"/>
    <w:rsid w:val="00E97E59"/>
    <w:rsid w:val="00EA08DB"/>
    <w:rsid w:val="00EA101B"/>
    <w:rsid w:val="00EA193A"/>
    <w:rsid w:val="00EA2422"/>
    <w:rsid w:val="00EA291F"/>
    <w:rsid w:val="00EA2D4E"/>
    <w:rsid w:val="00EA2DC7"/>
    <w:rsid w:val="00EA2ED1"/>
    <w:rsid w:val="00EA33F5"/>
    <w:rsid w:val="00EA363D"/>
    <w:rsid w:val="00EA37EE"/>
    <w:rsid w:val="00EA39F9"/>
    <w:rsid w:val="00EA3A36"/>
    <w:rsid w:val="00EA487B"/>
    <w:rsid w:val="00EA4894"/>
    <w:rsid w:val="00EA48AA"/>
    <w:rsid w:val="00EA5BC1"/>
    <w:rsid w:val="00EA5CD4"/>
    <w:rsid w:val="00EA73CF"/>
    <w:rsid w:val="00EB0098"/>
    <w:rsid w:val="00EB0DD6"/>
    <w:rsid w:val="00EB19A4"/>
    <w:rsid w:val="00EB1BAD"/>
    <w:rsid w:val="00EB1F0D"/>
    <w:rsid w:val="00EB2CA2"/>
    <w:rsid w:val="00EB3B9F"/>
    <w:rsid w:val="00EB4147"/>
    <w:rsid w:val="00EB6A20"/>
    <w:rsid w:val="00EB6E73"/>
    <w:rsid w:val="00EB72CD"/>
    <w:rsid w:val="00EC0CF9"/>
    <w:rsid w:val="00EC0DEA"/>
    <w:rsid w:val="00EC14E4"/>
    <w:rsid w:val="00EC22C9"/>
    <w:rsid w:val="00EC451A"/>
    <w:rsid w:val="00EC4718"/>
    <w:rsid w:val="00EC5C56"/>
    <w:rsid w:val="00EC6505"/>
    <w:rsid w:val="00ED0DBC"/>
    <w:rsid w:val="00ED188B"/>
    <w:rsid w:val="00ED1F9A"/>
    <w:rsid w:val="00ED20E7"/>
    <w:rsid w:val="00ED2F7E"/>
    <w:rsid w:val="00ED3641"/>
    <w:rsid w:val="00ED3DF4"/>
    <w:rsid w:val="00ED500D"/>
    <w:rsid w:val="00EE034A"/>
    <w:rsid w:val="00EE03DA"/>
    <w:rsid w:val="00EE0973"/>
    <w:rsid w:val="00EE0BF5"/>
    <w:rsid w:val="00EE1404"/>
    <w:rsid w:val="00EE1C32"/>
    <w:rsid w:val="00EE1EAA"/>
    <w:rsid w:val="00EE3F44"/>
    <w:rsid w:val="00EE4B2A"/>
    <w:rsid w:val="00EE6163"/>
    <w:rsid w:val="00EE6611"/>
    <w:rsid w:val="00EE6A30"/>
    <w:rsid w:val="00EE7304"/>
    <w:rsid w:val="00EE7E36"/>
    <w:rsid w:val="00EF0385"/>
    <w:rsid w:val="00EF2BE1"/>
    <w:rsid w:val="00EF3E82"/>
    <w:rsid w:val="00EF42DE"/>
    <w:rsid w:val="00EF575F"/>
    <w:rsid w:val="00F00B1F"/>
    <w:rsid w:val="00F00F5B"/>
    <w:rsid w:val="00F01C55"/>
    <w:rsid w:val="00F02A06"/>
    <w:rsid w:val="00F06822"/>
    <w:rsid w:val="00F06AE1"/>
    <w:rsid w:val="00F073EE"/>
    <w:rsid w:val="00F07D07"/>
    <w:rsid w:val="00F1062B"/>
    <w:rsid w:val="00F1079D"/>
    <w:rsid w:val="00F1085E"/>
    <w:rsid w:val="00F10B32"/>
    <w:rsid w:val="00F110B9"/>
    <w:rsid w:val="00F1251D"/>
    <w:rsid w:val="00F12FAA"/>
    <w:rsid w:val="00F147B3"/>
    <w:rsid w:val="00F15027"/>
    <w:rsid w:val="00F15537"/>
    <w:rsid w:val="00F174C8"/>
    <w:rsid w:val="00F17D07"/>
    <w:rsid w:val="00F21FCF"/>
    <w:rsid w:val="00F239EA"/>
    <w:rsid w:val="00F25294"/>
    <w:rsid w:val="00F2584A"/>
    <w:rsid w:val="00F25E66"/>
    <w:rsid w:val="00F2628C"/>
    <w:rsid w:val="00F27244"/>
    <w:rsid w:val="00F31D48"/>
    <w:rsid w:val="00F31E44"/>
    <w:rsid w:val="00F31FA6"/>
    <w:rsid w:val="00F335D9"/>
    <w:rsid w:val="00F33D54"/>
    <w:rsid w:val="00F343F4"/>
    <w:rsid w:val="00F34509"/>
    <w:rsid w:val="00F34CE3"/>
    <w:rsid w:val="00F34FC2"/>
    <w:rsid w:val="00F3586D"/>
    <w:rsid w:val="00F35A3D"/>
    <w:rsid w:val="00F36CF1"/>
    <w:rsid w:val="00F370BF"/>
    <w:rsid w:val="00F45CE1"/>
    <w:rsid w:val="00F51619"/>
    <w:rsid w:val="00F5281E"/>
    <w:rsid w:val="00F53725"/>
    <w:rsid w:val="00F537FF"/>
    <w:rsid w:val="00F5414B"/>
    <w:rsid w:val="00F54A19"/>
    <w:rsid w:val="00F555A3"/>
    <w:rsid w:val="00F557DD"/>
    <w:rsid w:val="00F5656F"/>
    <w:rsid w:val="00F56911"/>
    <w:rsid w:val="00F572DC"/>
    <w:rsid w:val="00F60226"/>
    <w:rsid w:val="00F605E6"/>
    <w:rsid w:val="00F60A79"/>
    <w:rsid w:val="00F60AF9"/>
    <w:rsid w:val="00F60C48"/>
    <w:rsid w:val="00F6226D"/>
    <w:rsid w:val="00F63217"/>
    <w:rsid w:val="00F643A9"/>
    <w:rsid w:val="00F6539A"/>
    <w:rsid w:val="00F708AA"/>
    <w:rsid w:val="00F70D67"/>
    <w:rsid w:val="00F7215B"/>
    <w:rsid w:val="00F73D33"/>
    <w:rsid w:val="00F7446F"/>
    <w:rsid w:val="00F7447F"/>
    <w:rsid w:val="00F7504D"/>
    <w:rsid w:val="00F75CF4"/>
    <w:rsid w:val="00F77EF7"/>
    <w:rsid w:val="00F80529"/>
    <w:rsid w:val="00F81ADE"/>
    <w:rsid w:val="00F8228C"/>
    <w:rsid w:val="00F82BC4"/>
    <w:rsid w:val="00F8471B"/>
    <w:rsid w:val="00F85E01"/>
    <w:rsid w:val="00F872BA"/>
    <w:rsid w:val="00F90772"/>
    <w:rsid w:val="00F90E02"/>
    <w:rsid w:val="00F912C3"/>
    <w:rsid w:val="00F91349"/>
    <w:rsid w:val="00F927D9"/>
    <w:rsid w:val="00F93124"/>
    <w:rsid w:val="00F94295"/>
    <w:rsid w:val="00F958A0"/>
    <w:rsid w:val="00F95E09"/>
    <w:rsid w:val="00F95E86"/>
    <w:rsid w:val="00F95F84"/>
    <w:rsid w:val="00F9602A"/>
    <w:rsid w:val="00F969CA"/>
    <w:rsid w:val="00F97171"/>
    <w:rsid w:val="00F975A1"/>
    <w:rsid w:val="00F97A2C"/>
    <w:rsid w:val="00FA019F"/>
    <w:rsid w:val="00FA159C"/>
    <w:rsid w:val="00FA1FA3"/>
    <w:rsid w:val="00FA3B2B"/>
    <w:rsid w:val="00FA4042"/>
    <w:rsid w:val="00FA4067"/>
    <w:rsid w:val="00FA49DB"/>
    <w:rsid w:val="00FA54EE"/>
    <w:rsid w:val="00FA5BE6"/>
    <w:rsid w:val="00FA632A"/>
    <w:rsid w:val="00FA7AC3"/>
    <w:rsid w:val="00FB0349"/>
    <w:rsid w:val="00FB0671"/>
    <w:rsid w:val="00FB0BCE"/>
    <w:rsid w:val="00FB1A17"/>
    <w:rsid w:val="00FB2660"/>
    <w:rsid w:val="00FB3339"/>
    <w:rsid w:val="00FB3962"/>
    <w:rsid w:val="00FB4B6C"/>
    <w:rsid w:val="00FB511A"/>
    <w:rsid w:val="00FB579B"/>
    <w:rsid w:val="00FB6C00"/>
    <w:rsid w:val="00FC0338"/>
    <w:rsid w:val="00FC0B80"/>
    <w:rsid w:val="00FC0F51"/>
    <w:rsid w:val="00FC0F7E"/>
    <w:rsid w:val="00FC1852"/>
    <w:rsid w:val="00FC2A7A"/>
    <w:rsid w:val="00FC34F1"/>
    <w:rsid w:val="00FC38D6"/>
    <w:rsid w:val="00FC3BF8"/>
    <w:rsid w:val="00FC41AC"/>
    <w:rsid w:val="00FC5323"/>
    <w:rsid w:val="00FC5FE9"/>
    <w:rsid w:val="00FC6BAC"/>
    <w:rsid w:val="00FC6D2A"/>
    <w:rsid w:val="00FD075E"/>
    <w:rsid w:val="00FD1ED7"/>
    <w:rsid w:val="00FD2C1E"/>
    <w:rsid w:val="00FD31F4"/>
    <w:rsid w:val="00FD3CDF"/>
    <w:rsid w:val="00FD4172"/>
    <w:rsid w:val="00FD4704"/>
    <w:rsid w:val="00FD51F0"/>
    <w:rsid w:val="00FD6BCF"/>
    <w:rsid w:val="00FD6C53"/>
    <w:rsid w:val="00FD7C79"/>
    <w:rsid w:val="00FE02F9"/>
    <w:rsid w:val="00FE13BA"/>
    <w:rsid w:val="00FE169C"/>
    <w:rsid w:val="00FE20DA"/>
    <w:rsid w:val="00FE230A"/>
    <w:rsid w:val="00FE34C0"/>
    <w:rsid w:val="00FE4BCA"/>
    <w:rsid w:val="00FE4C1E"/>
    <w:rsid w:val="00FE4E25"/>
    <w:rsid w:val="00FE4EF8"/>
    <w:rsid w:val="00FE551D"/>
    <w:rsid w:val="00FE6A91"/>
    <w:rsid w:val="00FE6E37"/>
    <w:rsid w:val="00FE7E5C"/>
    <w:rsid w:val="00FF12C7"/>
    <w:rsid w:val="00FF1AAF"/>
    <w:rsid w:val="00FF25AA"/>
    <w:rsid w:val="00FF2604"/>
    <w:rsid w:val="00FF2B80"/>
    <w:rsid w:val="00FF3E58"/>
    <w:rsid w:val="00FF5360"/>
    <w:rsid w:val="00FF61B8"/>
    <w:rsid w:val="00FF63B7"/>
    <w:rsid w:val="00FF75BA"/>
    <w:rsid w:val="00FF7C82"/>
    <w:rsid w:val="00FF7D13"/>
    <w:rsid w:val="015569D6"/>
    <w:rsid w:val="016D5A6F"/>
    <w:rsid w:val="01E16B74"/>
    <w:rsid w:val="01E72E0A"/>
    <w:rsid w:val="02054A61"/>
    <w:rsid w:val="021F57FA"/>
    <w:rsid w:val="02483ED0"/>
    <w:rsid w:val="02493C54"/>
    <w:rsid w:val="028B3240"/>
    <w:rsid w:val="02AD37FE"/>
    <w:rsid w:val="02AF7852"/>
    <w:rsid w:val="02D74766"/>
    <w:rsid w:val="02E46C25"/>
    <w:rsid w:val="030C7A89"/>
    <w:rsid w:val="035A4BD1"/>
    <w:rsid w:val="035E700E"/>
    <w:rsid w:val="0364710C"/>
    <w:rsid w:val="03860CB3"/>
    <w:rsid w:val="03975807"/>
    <w:rsid w:val="03CA269D"/>
    <w:rsid w:val="04260BD5"/>
    <w:rsid w:val="04376F19"/>
    <w:rsid w:val="045A77D7"/>
    <w:rsid w:val="047253A2"/>
    <w:rsid w:val="04785FCA"/>
    <w:rsid w:val="047C46A8"/>
    <w:rsid w:val="04A903FC"/>
    <w:rsid w:val="04C14D18"/>
    <w:rsid w:val="04F55B66"/>
    <w:rsid w:val="04FF42E7"/>
    <w:rsid w:val="051C29DC"/>
    <w:rsid w:val="055341BB"/>
    <w:rsid w:val="05AF3AC2"/>
    <w:rsid w:val="05F75E24"/>
    <w:rsid w:val="06015851"/>
    <w:rsid w:val="060712C0"/>
    <w:rsid w:val="06307D54"/>
    <w:rsid w:val="063823B8"/>
    <w:rsid w:val="066E3CBE"/>
    <w:rsid w:val="06797B11"/>
    <w:rsid w:val="068D26FF"/>
    <w:rsid w:val="06D51AE5"/>
    <w:rsid w:val="06E850DE"/>
    <w:rsid w:val="07181283"/>
    <w:rsid w:val="07522214"/>
    <w:rsid w:val="07835FB2"/>
    <w:rsid w:val="07B203E5"/>
    <w:rsid w:val="07B976C7"/>
    <w:rsid w:val="07CC0B72"/>
    <w:rsid w:val="07DE3D92"/>
    <w:rsid w:val="081F3005"/>
    <w:rsid w:val="082D067A"/>
    <w:rsid w:val="08327677"/>
    <w:rsid w:val="08482524"/>
    <w:rsid w:val="085C1C0D"/>
    <w:rsid w:val="08617158"/>
    <w:rsid w:val="089575DD"/>
    <w:rsid w:val="08C745C2"/>
    <w:rsid w:val="08E974B7"/>
    <w:rsid w:val="09057AB7"/>
    <w:rsid w:val="090F1B9E"/>
    <w:rsid w:val="092F7509"/>
    <w:rsid w:val="09504B5B"/>
    <w:rsid w:val="0953128A"/>
    <w:rsid w:val="095C2FC7"/>
    <w:rsid w:val="09824539"/>
    <w:rsid w:val="098735BC"/>
    <w:rsid w:val="099D211D"/>
    <w:rsid w:val="09B1407B"/>
    <w:rsid w:val="09C601A5"/>
    <w:rsid w:val="09D807E5"/>
    <w:rsid w:val="0A156671"/>
    <w:rsid w:val="0A1B70C7"/>
    <w:rsid w:val="0A382368"/>
    <w:rsid w:val="0A8E6F18"/>
    <w:rsid w:val="0A8F04B8"/>
    <w:rsid w:val="0AC1336D"/>
    <w:rsid w:val="0AC50EA2"/>
    <w:rsid w:val="0AE87756"/>
    <w:rsid w:val="0B241172"/>
    <w:rsid w:val="0B9117A8"/>
    <w:rsid w:val="0B924F49"/>
    <w:rsid w:val="0BB8070E"/>
    <w:rsid w:val="0BBD62FF"/>
    <w:rsid w:val="0BC16034"/>
    <w:rsid w:val="0BC95715"/>
    <w:rsid w:val="0BED59BA"/>
    <w:rsid w:val="0BEF7576"/>
    <w:rsid w:val="0BFC13FF"/>
    <w:rsid w:val="0BFD02C5"/>
    <w:rsid w:val="0C1C1B22"/>
    <w:rsid w:val="0C330A8D"/>
    <w:rsid w:val="0C395707"/>
    <w:rsid w:val="0C3C35B6"/>
    <w:rsid w:val="0C581B94"/>
    <w:rsid w:val="0C656CD9"/>
    <w:rsid w:val="0C762FCA"/>
    <w:rsid w:val="0C7B2F10"/>
    <w:rsid w:val="0C846324"/>
    <w:rsid w:val="0D0429D6"/>
    <w:rsid w:val="0D0F426F"/>
    <w:rsid w:val="0D2D374F"/>
    <w:rsid w:val="0D4A6D3E"/>
    <w:rsid w:val="0D6105D3"/>
    <w:rsid w:val="0DA17AE9"/>
    <w:rsid w:val="0DC643BA"/>
    <w:rsid w:val="0DE9499B"/>
    <w:rsid w:val="0DF92542"/>
    <w:rsid w:val="0DF94A63"/>
    <w:rsid w:val="0E3C1BAE"/>
    <w:rsid w:val="0E616897"/>
    <w:rsid w:val="0E895668"/>
    <w:rsid w:val="0EA11177"/>
    <w:rsid w:val="0EA13CD4"/>
    <w:rsid w:val="0EBF7356"/>
    <w:rsid w:val="0EEB4753"/>
    <w:rsid w:val="0EF13F2D"/>
    <w:rsid w:val="0F226330"/>
    <w:rsid w:val="0F3D07C7"/>
    <w:rsid w:val="0F9649CF"/>
    <w:rsid w:val="0F9E462B"/>
    <w:rsid w:val="0F9F5BB8"/>
    <w:rsid w:val="0FB902A3"/>
    <w:rsid w:val="0FC072F9"/>
    <w:rsid w:val="10262A92"/>
    <w:rsid w:val="108B4773"/>
    <w:rsid w:val="109E78EF"/>
    <w:rsid w:val="10A95ADA"/>
    <w:rsid w:val="10D767B1"/>
    <w:rsid w:val="10FC769E"/>
    <w:rsid w:val="110E06CE"/>
    <w:rsid w:val="11346E8B"/>
    <w:rsid w:val="11434746"/>
    <w:rsid w:val="11530C9E"/>
    <w:rsid w:val="115A4FA8"/>
    <w:rsid w:val="117818D8"/>
    <w:rsid w:val="11A30C63"/>
    <w:rsid w:val="11AC26E6"/>
    <w:rsid w:val="11B74894"/>
    <w:rsid w:val="11C70BBB"/>
    <w:rsid w:val="120A74BB"/>
    <w:rsid w:val="12137693"/>
    <w:rsid w:val="123F2FA9"/>
    <w:rsid w:val="12566CFE"/>
    <w:rsid w:val="12805E56"/>
    <w:rsid w:val="12880CD1"/>
    <w:rsid w:val="12982822"/>
    <w:rsid w:val="12E211BE"/>
    <w:rsid w:val="12FE7EC7"/>
    <w:rsid w:val="13131E3E"/>
    <w:rsid w:val="135F0654"/>
    <w:rsid w:val="136F4F96"/>
    <w:rsid w:val="137A750F"/>
    <w:rsid w:val="13BF0A13"/>
    <w:rsid w:val="13CA11AE"/>
    <w:rsid w:val="13D71FCA"/>
    <w:rsid w:val="13FD448C"/>
    <w:rsid w:val="14246081"/>
    <w:rsid w:val="144808AD"/>
    <w:rsid w:val="146A77BF"/>
    <w:rsid w:val="146B7C98"/>
    <w:rsid w:val="148874CE"/>
    <w:rsid w:val="14A23DD3"/>
    <w:rsid w:val="15220B08"/>
    <w:rsid w:val="15242C43"/>
    <w:rsid w:val="15502EF4"/>
    <w:rsid w:val="159C461A"/>
    <w:rsid w:val="15D85361"/>
    <w:rsid w:val="15E92371"/>
    <w:rsid w:val="16094A6B"/>
    <w:rsid w:val="163725BB"/>
    <w:rsid w:val="163B06CA"/>
    <w:rsid w:val="169E03AB"/>
    <w:rsid w:val="16AA4468"/>
    <w:rsid w:val="16B21E76"/>
    <w:rsid w:val="16BF171B"/>
    <w:rsid w:val="16CC2ADD"/>
    <w:rsid w:val="170935AA"/>
    <w:rsid w:val="171168B7"/>
    <w:rsid w:val="17143815"/>
    <w:rsid w:val="174A68AB"/>
    <w:rsid w:val="1758273F"/>
    <w:rsid w:val="177C0131"/>
    <w:rsid w:val="17AC6FF4"/>
    <w:rsid w:val="17E625C2"/>
    <w:rsid w:val="18131D1F"/>
    <w:rsid w:val="187C6B2C"/>
    <w:rsid w:val="18B05D63"/>
    <w:rsid w:val="18E6630D"/>
    <w:rsid w:val="193D5D4A"/>
    <w:rsid w:val="194109AC"/>
    <w:rsid w:val="194F3E92"/>
    <w:rsid w:val="196B74CB"/>
    <w:rsid w:val="19BD1888"/>
    <w:rsid w:val="19C53009"/>
    <w:rsid w:val="19CA0B03"/>
    <w:rsid w:val="19FA6548"/>
    <w:rsid w:val="1A0732D6"/>
    <w:rsid w:val="1A3A4616"/>
    <w:rsid w:val="1A704B64"/>
    <w:rsid w:val="1A79145E"/>
    <w:rsid w:val="1AD61C1D"/>
    <w:rsid w:val="1B1738D4"/>
    <w:rsid w:val="1B2B57F1"/>
    <w:rsid w:val="1B3557D0"/>
    <w:rsid w:val="1B4760F1"/>
    <w:rsid w:val="1BB1550B"/>
    <w:rsid w:val="1BC97354"/>
    <w:rsid w:val="1C262303"/>
    <w:rsid w:val="1C3D5A06"/>
    <w:rsid w:val="1C8D7883"/>
    <w:rsid w:val="1CDA57CD"/>
    <w:rsid w:val="1CFB277A"/>
    <w:rsid w:val="1D3A7D4E"/>
    <w:rsid w:val="1D457831"/>
    <w:rsid w:val="1D661456"/>
    <w:rsid w:val="1D772572"/>
    <w:rsid w:val="1D983E48"/>
    <w:rsid w:val="1DBF6384"/>
    <w:rsid w:val="1DEE02E5"/>
    <w:rsid w:val="1DF311A8"/>
    <w:rsid w:val="1E313880"/>
    <w:rsid w:val="1E347604"/>
    <w:rsid w:val="1E365F91"/>
    <w:rsid w:val="1E4D29E9"/>
    <w:rsid w:val="1E9F5873"/>
    <w:rsid w:val="1EA81774"/>
    <w:rsid w:val="1EC63899"/>
    <w:rsid w:val="1ED446EE"/>
    <w:rsid w:val="1F005C44"/>
    <w:rsid w:val="1F152820"/>
    <w:rsid w:val="1F223E1D"/>
    <w:rsid w:val="1F2A2F32"/>
    <w:rsid w:val="1FA765DB"/>
    <w:rsid w:val="1FBA2C38"/>
    <w:rsid w:val="1FD71D50"/>
    <w:rsid w:val="1FEF5903"/>
    <w:rsid w:val="200C43A5"/>
    <w:rsid w:val="20152E45"/>
    <w:rsid w:val="204C5A99"/>
    <w:rsid w:val="208764C7"/>
    <w:rsid w:val="20B768F7"/>
    <w:rsid w:val="20CC2DA6"/>
    <w:rsid w:val="20E13861"/>
    <w:rsid w:val="20EA5E06"/>
    <w:rsid w:val="214A337A"/>
    <w:rsid w:val="21D12FBB"/>
    <w:rsid w:val="21F54839"/>
    <w:rsid w:val="21FC50F4"/>
    <w:rsid w:val="220140F1"/>
    <w:rsid w:val="2205513F"/>
    <w:rsid w:val="22273C28"/>
    <w:rsid w:val="2291464E"/>
    <w:rsid w:val="22A97BD6"/>
    <w:rsid w:val="22AD2B6D"/>
    <w:rsid w:val="22BB1E83"/>
    <w:rsid w:val="22E20727"/>
    <w:rsid w:val="23206A93"/>
    <w:rsid w:val="23221FE3"/>
    <w:rsid w:val="232F1B30"/>
    <w:rsid w:val="233E58BB"/>
    <w:rsid w:val="2378077C"/>
    <w:rsid w:val="238D5CD0"/>
    <w:rsid w:val="23ED674C"/>
    <w:rsid w:val="24283745"/>
    <w:rsid w:val="247E1C2B"/>
    <w:rsid w:val="24A26FA3"/>
    <w:rsid w:val="24A81235"/>
    <w:rsid w:val="24CD747A"/>
    <w:rsid w:val="24D87EA8"/>
    <w:rsid w:val="24E85AF6"/>
    <w:rsid w:val="25044F35"/>
    <w:rsid w:val="25057046"/>
    <w:rsid w:val="251A48CE"/>
    <w:rsid w:val="25E74FC6"/>
    <w:rsid w:val="26343443"/>
    <w:rsid w:val="2655211C"/>
    <w:rsid w:val="266032C6"/>
    <w:rsid w:val="267B71D1"/>
    <w:rsid w:val="267C4E85"/>
    <w:rsid w:val="268B2D3F"/>
    <w:rsid w:val="26E93CF3"/>
    <w:rsid w:val="272B318B"/>
    <w:rsid w:val="274A19FD"/>
    <w:rsid w:val="276F7789"/>
    <w:rsid w:val="278869FA"/>
    <w:rsid w:val="27934C2A"/>
    <w:rsid w:val="27BE074C"/>
    <w:rsid w:val="27CA4358"/>
    <w:rsid w:val="27D129AE"/>
    <w:rsid w:val="27D45272"/>
    <w:rsid w:val="27EB5888"/>
    <w:rsid w:val="282F42DD"/>
    <w:rsid w:val="288A2D59"/>
    <w:rsid w:val="28D14169"/>
    <w:rsid w:val="28F15B94"/>
    <w:rsid w:val="28F61649"/>
    <w:rsid w:val="293F362E"/>
    <w:rsid w:val="29501EAA"/>
    <w:rsid w:val="295B3446"/>
    <w:rsid w:val="29793B3A"/>
    <w:rsid w:val="2987256D"/>
    <w:rsid w:val="29947356"/>
    <w:rsid w:val="29C70BBB"/>
    <w:rsid w:val="2A04466C"/>
    <w:rsid w:val="2A3E0821"/>
    <w:rsid w:val="2AE04B42"/>
    <w:rsid w:val="2B1E21F5"/>
    <w:rsid w:val="2B370EB9"/>
    <w:rsid w:val="2B4B7E42"/>
    <w:rsid w:val="2BA16290"/>
    <w:rsid w:val="2BC82FED"/>
    <w:rsid w:val="2BFB403D"/>
    <w:rsid w:val="2C022428"/>
    <w:rsid w:val="2C180482"/>
    <w:rsid w:val="2C375446"/>
    <w:rsid w:val="2C510E4D"/>
    <w:rsid w:val="2C78601D"/>
    <w:rsid w:val="2C7F0B87"/>
    <w:rsid w:val="2CB554B2"/>
    <w:rsid w:val="2CCD1980"/>
    <w:rsid w:val="2CD82110"/>
    <w:rsid w:val="2CE97DBA"/>
    <w:rsid w:val="2D0502E1"/>
    <w:rsid w:val="2D507AFC"/>
    <w:rsid w:val="2D5F6BD4"/>
    <w:rsid w:val="2D722E96"/>
    <w:rsid w:val="2D8D7A26"/>
    <w:rsid w:val="2DE5481B"/>
    <w:rsid w:val="2E1A6F70"/>
    <w:rsid w:val="2E370DAE"/>
    <w:rsid w:val="2E6B274C"/>
    <w:rsid w:val="2E815508"/>
    <w:rsid w:val="2EBA4F21"/>
    <w:rsid w:val="2EC36398"/>
    <w:rsid w:val="2ECC730F"/>
    <w:rsid w:val="2EE20276"/>
    <w:rsid w:val="2EF804DE"/>
    <w:rsid w:val="2F0336C2"/>
    <w:rsid w:val="2F5A68A1"/>
    <w:rsid w:val="2F77450E"/>
    <w:rsid w:val="2FA20BAA"/>
    <w:rsid w:val="2FBE65BC"/>
    <w:rsid w:val="2FF515C3"/>
    <w:rsid w:val="303D3985"/>
    <w:rsid w:val="30426B89"/>
    <w:rsid w:val="30974069"/>
    <w:rsid w:val="30DF6256"/>
    <w:rsid w:val="31141663"/>
    <w:rsid w:val="313619D3"/>
    <w:rsid w:val="315F6808"/>
    <w:rsid w:val="319F321A"/>
    <w:rsid w:val="31AF1F05"/>
    <w:rsid w:val="31D64678"/>
    <w:rsid w:val="31E94D54"/>
    <w:rsid w:val="320A72ED"/>
    <w:rsid w:val="323378E3"/>
    <w:rsid w:val="323914F2"/>
    <w:rsid w:val="325737A8"/>
    <w:rsid w:val="32586620"/>
    <w:rsid w:val="327D19C4"/>
    <w:rsid w:val="32996315"/>
    <w:rsid w:val="32AF6C9B"/>
    <w:rsid w:val="32DB2007"/>
    <w:rsid w:val="32F029CD"/>
    <w:rsid w:val="335666BE"/>
    <w:rsid w:val="33704071"/>
    <w:rsid w:val="33715F9B"/>
    <w:rsid w:val="3381627F"/>
    <w:rsid w:val="3398743E"/>
    <w:rsid w:val="33C81C01"/>
    <w:rsid w:val="33F168F1"/>
    <w:rsid w:val="343A52F6"/>
    <w:rsid w:val="34500795"/>
    <w:rsid w:val="34896628"/>
    <w:rsid w:val="34C00A4C"/>
    <w:rsid w:val="34DB27A8"/>
    <w:rsid w:val="34FF7A62"/>
    <w:rsid w:val="3549699A"/>
    <w:rsid w:val="354B7EA6"/>
    <w:rsid w:val="357918E5"/>
    <w:rsid w:val="35B16B91"/>
    <w:rsid w:val="35C80195"/>
    <w:rsid w:val="35DB5828"/>
    <w:rsid w:val="360866BA"/>
    <w:rsid w:val="362B4280"/>
    <w:rsid w:val="36493F48"/>
    <w:rsid w:val="3651798A"/>
    <w:rsid w:val="365B49D6"/>
    <w:rsid w:val="36812A38"/>
    <w:rsid w:val="36B16FF4"/>
    <w:rsid w:val="36D23844"/>
    <w:rsid w:val="36EC2738"/>
    <w:rsid w:val="37204599"/>
    <w:rsid w:val="372170EE"/>
    <w:rsid w:val="376E2676"/>
    <w:rsid w:val="378D0F5B"/>
    <w:rsid w:val="37A178EB"/>
    <w:rsid w:val="37B547DE"/>
    <w:rsid w:val="37D019EC"/>
    <w:rsid w:val="383A086E"/>
    <w:rsid w:val="38704CF4"/>
    <w:rsid w:val="38787290"/>
    <w:rsid w:val="38807027"/>
    <w:rsid w:val="3897455C"/>
    <w:rsid w:val="38B45AA1"/>
    <w:rsid w:val="38F20F92"/>
    <w:rsid w:val="39231618"/>
    <w:rsid w:val="395D711C"/>
    <w:rsid w:val="396A4FB2"/>
    <w:rsid w:val="39716015"/>
    <w:rsid w:val="3980260E"/>
    <w:rsid w:val="39941EAE"/>
    <w:rsid w:val="39EA131A"/>
    <w:rsid w:val="39ED2C4E"/>
    <w:rsid w:val="3A351F35"/>
    <w:rsid w:val="3A4C64C9"/>
    <w:rsid w:val="3A521455"/>
    <w:rsid w:val="3A5D2A60"/>
    <w:rsid w:val="3AAD3F78"/>
    <w:rsid w:val="3AE34D8F"/>
    <w:rsid w:val="3AE53402"/>
    <w:rsid w:val="3B451369"/>
    <w:rsid w:val="3B7452B6"/>
    <w:rsid w:val="3B8936F7"/>
    <w:rsid w:val="3BA00460"/>
    <w:rsid w:val="3BA36E48"/>
    <w:rsid w:val="3BCA0E23"/>
    <w:rsid w:val="3BF020F4"/>
    <w:rsid w:val="3BF22978"/>
    <w:rsid w:val="3BF422E7"/>
    <w:rsid w:val="3C181C49"/>
    <w:rsid w:val="3C2606D4"/>
    <w:rsid w:val="3CB61A85"/>
    <w:rsid w:val="3CD67356"/>
    <w:rsid w:val="3CDE090D"/>
    <w:rsid w:val="3CE96795"/>
    <w:rsid w:val="3D4A674F"/>
    <w:rsid w:val="3D595B76"/>
    <w:rsid w:val="3D9617B8"/>
    <w:rsid w:val="3DC465DB"/>
    <w:rsid w:val="3DC94AAA"/>
    <w:rsid w:val="3DCB1482"/>
    <w:rsid w:val="3DE11453"/>
    <w:rsid w:val="3DFA1674"/>
    <w:rsid w:val="3E06487E"/>
    <w:rsid w:val="3E187DDB"/>
    <w:rsid w:val="3E3A102D"/>
    <w:rsid w:val="3E5F0C0A"/>
    <w:rsid w:val="3E652C13"/>
    <w:rsid w:val="3E6D0E55"/>
    <w:rsid w:val="3E6D7010"/>
    <w:rsid w:val="3E764667"/>
    <w:rsid w:val="3E7843BB"/>
    <w:rsid w:val="3E837BD8"/>
    <w:rsid w:val="3E90381A"/>
    <w:rsid w:val="3E963002"/>
    <w:rsid w:val="3EC6719D"/>
    <w:rsid w:val="3F6F2FF4"/>
    <w:rsid w:val="3F9844E5"/>
    <w:rsid w:val="3FE35DA0"/>
    <w:rsid w:val="40295CD4"/>
    <w:rsid w:val="403151A8"/>
    <w:rsid w:val="40655B70"/>
    <w:rsid w:val="407343D8"/>
    <w:rsid w:val="40784A18"/>
    <w:rsid w:val="40D369AD"/>
    <w:rsid w:val="40D44A4D"/>
    <w:rsid w:val="413C7B13"/>
    <w:rsid w:val="414948E7"/>
    <w:rsid w:val="41554A1B"/>
    <w:rsid w:val="415A78ED"/>
    <w:rsid w:val="416B0443"/>
    <w:rsid w:val="4172506C"/>
    <w:rsid w:val="41E074FD"/>
    <w:rsid w:val="41FA7928"/>
    <w:rsid w:val="42113A2D"/>
    <w:rsid w:val="42372433"/>
    <w:rsid w:val="424F6A0C"/>
    <w:rsid w:val="42901F28"/>
    <w:rsid w:val="42A87843"/>
    <w:rsid w:val="42BE2F90"/>
    <w:rsid w:val="42DC5019"/>
    <w:rsid w:val="42DF267A"/>
    <w:rsid w:val="42F97109"/>
    <w:rsid w:val="42FF6C75"/>
    <w:rsid w:val="431D2524"/>
    <w:rsid w:val="438F3727"/>
    <w:rsid w:val="43AC289E"/>
    <w:rsid w:val="43AE2F9D"/>
    <w:rsid w:val="44067535"/>
    <w:rsid w:val="44140952"/>
    <w:rsid w:val="44195CC6"/>
    <w:rsid w:val="441D4762"/>
    <w:rsid w:val="447558AE"/>
    <w:rsid w:val="44C24B0D"/>
    <w:rsid w:val="44CC2771"/>
    <w:rsid w:val="44F478D5"/>
    <w:rsid w:val="44F55573"/>
    <w:rsid w:val="45201267"/>
    <w:rsid w:val="452B3DAC"/>
    <w:rsid w:val="45357A31"/>
    <w:rsid w:val="453F07A5"/>
    <w:rsid w:val="454C358E"/>
    <w:rsid w:val="457C15FD"/>
    <w:rsid w:val="459309E2"/>
    <w:rsid w:val="45977290"/>
    <w:rsid w:val="45980015"/>
    <w:rsid w:val="45C130E4"/>
    <w:rsid w:val="45D3193F"/>
    <w:rsid w:val="45E009AC"/>
    <w:rsid w:val="45EA3065"/>
    <w:rsid w:val="461614B4"/>
    <w:rsid w:val="465E46F3"/>
    <w:rsid w:val="467507FD"/>
    <w:rsid w:val="467E021A"/>
    <w:rsid w:val="46F72E03"/>
    <w:rsid w:val="470418B4"/>
    <w:rsid w:val="476B3C00"/>
    <w:rsid w:val="47AE1CF1"/>
    <w:rsid w:val="47BE37E5"/>
    <w:rsid w:val="47CA2A54"/>
    <w:rsid w:val="47F5336E"/>
    <w:rsid w:val="48091AE4"/>
    <w:rsid w:val="484329AA"/>
    <w:rsid w:val="4855120D"/>
    <w:rsid w:val="486378A9"/>
    <w:rsid w:val="48646208"/>
    <w:rsid w:val="4867044A"/>
    <w:rsid w:val="48753E00"/>
    <w:rsid w:val="489A5598"/>
    <w:rsid w:val="48D0668A"/>
    <w:rsid w:val="48E5761D"/>
    <w:rsid w:val="48F30C2D"/>
    <w:rsid w:val="48F96A4A"/>
    <w:rsid w:val="48FE39C1"/>
    <w:rsid w:val="492573B9"/>
    <w:rsid w:val="499060B4"/>
    <w:rsid w:val="49981F38"/>
    <w:rsid w:val="49EF67B1"/>
    <w:rsid w:val="49FA5FEB"/>
    <w:rsid w:val="4A2D43AB"/>
    <w:rsid w:val="4A434AC6"/>
    <w:rsid w:val="4A5600F0"/>
    <w:rsid w:val="4A5B045C"/>
    <w:rsid w:val="4A5C79D3"/>
    <w:rsid w:val="4A6D299B"/>
    <w:rsid w:val="4AC72C8D"/>
    <w:rsid w:val="4AC87331"/>
    <w:rsid w:val="4ACE32E0"/>
    <w:rsid w:val="4ADC29F6"/>
    <w:rsid w:val="4AFF4F12"/>
    <w:rsid w:val="4B0B559E"/>
    <w:rsid w:val="4B1C6346"/>
    <w:rsid w:val="4B3C140E"/>
    <w:rsid w:val="4B473DAE"/>
    <w:rsid w:val="4B5D2C19"/>
    <w:rsid w:val="4BA034B3"/>
    <w:rsid w:val="4BC17BFF"/>
    <w:rsid w:val="4BCF798F"/>
    <w:rsid w:val="4BED06DC"/>
    <w:rsid w:val="4C215AB1"/>
    <w:rsid w:val="4C391956"/>
    <w:rsid w:val="4C435CB3"/>
    <w:rsid w:val="4C472D5D"/>
    <w:rsid w:val="4C4822C5"/>
    <w:rsid w:val="4C51720D"/>
    <w:rsid w:val="4C527C04"/>
    <w:rsid w:val="4C6F72A6"/>
    <w:rsid w:val="4C9C435A"/>
    <w:rsid w:val="4CD411EA"/>
    <w:rsid w:val="4CE20710"/>
    <w:rsid w:val="4D087BDC"/>
    <w:rsid w:val="4D176E19"/>
    <w:rsid w:val="4D1B7057"/>
    <w:rsid w:val="4D59232C"/>
    <w:rsid w:val="4D5C0AA4"/>
    <w:rsid w:val="4DB16FA5"/>
    <w:rsid w:val="4DBE0134"/>
    <w:rsid w:val="4DC114AA"/>
    <w:rsid w:val="4DC3039B"/>
    <w:rsid w:val="4DF670D2"/>
    <w:rsid w:val="4DF90316"/>
    <w:rsid w:val="4DFF3229"/>
    <w:rsid w:val="4E3117C5"/>
    <w:rsid w:val="4E585C55"/>
    <w:rsid w:val="4E6A52CB"/>
    <w:rsid w:val="4E7D28BC"/>
    <w:rsid w:val="4E990C24"/>
    <w:rsid w:val="4ECC38F2"/>
    <w:rsid w:val="4EF93F7D"/>
    <w:rsid w:val="4F0870E4"/>
    <w:rsid w:val="4F6B6737"/>
    <w:rsid w:val="4F7919A3"/>
    <w:rsid w:val="4F9F5C9E"/>
    <w:rsid w:val="4FCB0249"/>
    <w:rsid w:val="501B783E"/>
    <w:rsid w:val="501E1F93"/>
    <w:rsid w:val="501E35E2"/>
    <w:rsid w:val="506821AF"/>
    <w:rsid w:val="509176A9"/>
    <w:rsid w:val="509372E2"/>
    <w:rsid w:val="50BF3E08"/>
    <w:rsid w:val="50C56E89"/>
    <w:rsid w:val="50EE5872"/>
    <w:rsid w:val="51136189"/>
    <w:rsid w:val="514A27F2"/>
    <w:rsid w:val="51725E0B"/>
    <w:rsid w:val="517572C0"/>
    <w:rsid w:val="517B41F3"/>
    <w:rsid w:val="5186743A"/>
    <w:rsid w:val="5194765C"/>
    <w:rsid w:val="51A42E12"/>
    <w:rsid w:val="51C6576F"/>
    <w:rsid w:val="51E43CC0"/>
    <w:rsid w:val="51F55649"/>
    <w:rsid w:val="5214054B"/>
    <w:rsid w:val="525B7A48"/>
    <w:rsid w:val="52653B25"/>
    <w:rsid w:val="528F494B"/>
    <w:rsid w:val="52D35952"/>
    <w:rsid w:val="52F75630"/>
    <w:rsid w:val="532C0F55"/>
    <w:rsid w:val="532C719E"/>
    <w:rsid w:val="53426A39"/>
    <w:rsid w:val="537E640E"/>
    <w:rsid w:val="53945832"/>
    <w:rsid w:val="53E74CC1"/>
    <w:rsid w:val="53F64153"/>
    <w:rsid w:val="53F9763C"/>
    <w:rsid w:val="54081733"/>
    <w:rsid w:val="540A1AB9"/>
    <w:rsid w:val="540D34EB"/>
    <w:rsid w:val="543F4D9E"/>
    <w:rsid w:val="544740A9"/>
    <w:rsid w:val="545215CE"/>
    <w:rsid w:val="54B45FD8"/>
    <w:rsid w:val="54C53176"/>
    <w:rsid w:val="55094B87"/>
    <w:rsid w:val="55453C13"/>
    <w:rsid w:val="55744374"/>
    <w:rsid w:val="55B94FAC"/>
    <w:rsid w:val="55EE6D36"/>
    <w:rsid w:val="562D31A2"/>
    <w:rsid w:val="56531715"/>
    <w:rsid w:val="568E0A8E"/>
    <w:rsid w:val="56D976B4"/>
    <w:rsid w:val="56E829DE"/>
    <w:rsid w:val="57172962"/>
    <w:rsid w:val="571A4707"/>
    <w:rsid w:val="57595D87"/>
    <w:rsid w:val="575C2FF9"/>
    <w:rsid w:val="576645D4"/>
    <w:rsid w:val="577876C1"/>
    <w:rsid w:val="57B8536B"/>
    <w:rsid w:val="57C5558B"/>
    <w:rsid w:val="57D65757"/>
    <w:rsid w:val="57D86E49"/>
    <w:rsid w:val="57FD46F9"/>
    <w:rsid w:val="58012542"/>
    <w:rsid w:val="580F5E34"/>
    <w:rsid w:val="583A12F9"/>
    <w:rsid w:val="586C15A3"/>
    <w:rsid w:val="58711D3C"/>
    <w:rsid w:val="58843C1F"/>
    <w:rsid w:val="588940B5"/>
    <w:rsid w:val="58A45D51"/>
    <w:rsid w:val="58A962D1"/>
    <w:rsid w:val="58D23837"/>
    <w:rsid w:val="58D353AC"/>
    <w:rsid w:val="5905394D"/>
    <w:rsid w:val="59190BFD"/>
    <w:rsid w:val="59287466"/>
    <w:rsid w:val="595F671C"/>
    <w:rsid w:val="596C6A15"/>
    <w:rsid w:val="59922CC3"/>
    <w:rsid w:val="59A74F74"/>
    <w:rsid w:val="59C41AF9"/>
    <w:rsid w:val="59DB4073"/>
    <w:rsid w:val="5A681E58"/>
    <w:rsid w:val="5A880C8C"/>
    <w:rsid w:val="5A8E5BC6"/>
    <w:rsid w:val="5A9263A6"/>
    <w:rsid w:val="5AC0249A"/>
    <w:rsid w:val="5AD800AE"/>
    <w:rsid w:val="5B2C31DB"/>
    <w:rsid w:val="5B3C4792"/>
    <w:rsid w:val="5B53721E"/>
    <w:rsid w:val="5B615018"/>
    <w:rsid w:val="5B893105"/>
    <w:rsid w:val="5B9934C7"/>
    <w:rsid w:val="5BE567DE"/>
    <w:rsid w:val="5BE84805"/>
    <w:rsid w:val="5C437413"/>
    <w:rsid w:val="5C651EB1"/>
    <w:rsid w:val="5C8C5A63"/>
    <w:rsid w:val="5CB401BB"/>
    <w:rsid w:val="5CC43561"/>
    <w:rsid w:val="5CC66D40"/>
    <w:rsid w:val="5CD73B49"/>
    <w:rsid w:val="5CDA5207"/>
    <w:rsid w:val="5CEE353A"/>
    <w:rsid w:val="5CFD568C"/>
    <w:rsid w:val="5D4270A4"/>
    <w:rsid w:val="5D6E161D"/>
    <w:rsid w:val="5D89549B"/>
    <w:rsid w:val="5DC66CE9"/>
    <w:rsid w:val="5DD763C9"/>
    <w:rsid w:val="5DEA42B1"/>
    <w:rsid w:val="5E18767D"/>
    <w:rsid w:val="5E3F0495"/>
    <w:rsid w:val="5E5D4FD8"/>
    <w:rsid w:val="5E643C77"/>
    <w:rsid w:val="5E7C50A1"/>
    <w:rsid w:val="5E886BA1"/>
    <w:rsid w:val="5E9D23CE"/>
    <w:rsid w:val="5EA73709"/>
    <w:rsid w:val="5EC35E49"/>
    <w:rsid w:val="5ED946B7"/>
    <w:rsid w:val="5F255FC4"/>
    <w:rsid w:val="5F304B63"/>
    <w:rsid w:val="5F872976"/>
    <w:rsid w:val="5FAB1168"/>
    <w:rsid w:val="5FC8476A"/>
    <w:rsid w:val="601D2CBA"/>
    <w:rsid w:val="604B6534"/>
    <w:rsid w:val="607B21B4"/>
    <w:rsid w:val="609D3D94"/>
    <w:rsid w:val="60F13D8A"/>
    <w:rsid w:val="612A1F43"/>
    <w:rsid w:val="61553A52"/>
    <w:rsid w:val="6167583E"/>
    <w:rsid w:val="61854D02"/>
    <w:rsid w:val="61B1482B"/>
    <w:rsid w:val="625337CC"/>
    <w:rsid w:val="625851DF"/>
    <w:rsid w:val="62705BB7"/>
    <w:rsid w:val="628F140E"/>
    <w:rsid w:val="62BA0144"/>
    <w:rsid w:val="62BB76FF"/>
    <w:rsid w:val="62FC10AF"/>
    <w:rsid w:val="63176048"/>
    <w:rsid w:val="63505EC7"/>
    <w:rsid w:val="63543E6F"/>
    <w:rsid w:val="63716056"/>
    <w:rsid w:val="637720D5"/>
    <w:rsid w:val="63CA60E6"/>
    <w:rsid w:val="63E031AB"/>
    <w:rsid w:val="63E44D7B"/>
    <w:rsid w:val="63F345C1"/>
    <w:rsid w:val="64222F2A"/>
    <w:rsid w:val="64402C7E"/>
    <w:rsid w:val="6440630A"/>
    <w:rsid w:val="649A7590"/>
    <w:rsid w:val="64AD66F1"/>
    <w:rsid w:val="64F30CE9"/>
    <w:rsid w:val="65017B20"/>
    <w:rsid w:val="654327D2"/>
    <w:rsid w:val="65B07DEB"/>
    <w:rsid w:val="65B201E8"/>
    <w:rsid w:val="65BF5BFF"/>
    <w:rsid w:val="66122A10"/>
    <w:rsid w:val="661E1F41"/>
    <w:rsid w:val="662732F5"/>
    <w:rsid w:val="662A2B19"/>
    <w:rsid w:val="6639277A"/>
    <w:rsid w:val="667512B9"/>
    <w:rsid w:val="66AC47BC"/>
    <w:rsid w:val="66EA1530"/>
    <w:rsid w:val="6707376B"/>
    <w:rsid w:val="670B3130"/>
    <w:rsid w:val="676B0A03"/>
    <w:rsid w:val="676B39B9"/>
    <w:rsid w:val="67955334"/>
    <w:rsid w:val="67A56FCC"/>
    <w:rsid w:val="67AD0FCA"/>
    <w:rsid w:val="67C91A75"/>
    <w:rsid w:val="67CF5412"/>
    <w:rsid w:val="683E5C7F"/>
    <w:rsid w:val="684E6959"/>
    <w:rsid w:val="68586366"/>
    <w:rsid w:val="686536F1"/>
    <w:rsid w:val="68867103"/>
    <w:rsid w:val="68AA1A30"/>
    <w:rsid w:val="68BA3234"/>
    <w:rsid w:val="68DB6B44"/>
    <w:rsid w:val="690C6F33"/>
    <w:rsid w:val="69B06838"/>
    <w:rsid w:val="69D05027"/>
    <w:rsid w:val="69FF6BDB"/>
    <w:rsid w:val="6A086183"/>
    <w:rsid w:val="6A1B409E"/>
    <w:rsid w:val="6A401599"/>
    <w:rsid w:val="6A9501F6"/>
    <w:rsid w:val="6AB9507F"/>
    <w:rsid w:val="6B234B02"/>
    <w:rsid w:val="6B2A38F5"/>
    <w:rsid w:val="6B5774BE"/>
    <w:rsid w:val="6B984FC6"/>
    <w:rsid w:val="6BBC6AD5"/>
    <w:rsid w:val="6BBE497C"/>
    <w:rsid w:val="6BCE19A4"/>
    <w:rsid w:val="6C1630DE"/>
    <w:rsid w:val="6C364C64"/>
    <w:rsid w:val="6C701588"/>
    <w:rsid w:val="6C764198"/>
    <w:rsid w:val="6CCB23CC"/>
    <w:rsid w:val="6CCB3FED"/>
    <w:rsid w:val="6CCE7457"/>
    <w:rsid w:val="6CDF1D4F"/>
    <w:rsid w:val="6D1553E0"/>
    <w:rsid w:val="6D2B679E"/>
    <w:rsid w:val="6D3B13F5"/>
    <w:rsid w:val="6D3B46CD"/>
    <w:rsid w:val="6DA15FC4"/>
    <w:rsid w:val="6DB07899"/>
    <w:rsid w:val="6DC8529E"/>
    <w:rsid w:val="6DFC7ABC"/>
    <w:rsid w:val="6E0746EB"/>
    <w:rsid w:val="6E191416"/>
    <w:rsid w:val="6E5E29D7"/>
    <w:rsid w:val="6E67015C"/>
    <w:rsid w:val="6E687574"/>
    <w:rsid w:val="6E6F6537"/>
    <w:rsid w:val="6E775ED8"/>
    <w:rsid w:val="6E857C40"/>
    <w:rsid w:val="6EA73986"/>
    <w:rsid w:val="6EDA2C71"/>
    <w:rsid w:val="6F120500"/>
    <w:rsid w:val="6F181996"/>
    <w:rsid w:val="6F5655D0"/>
    <w:rsid w:val="6F6A2EF1"/>
    <w:rsid w:val="6F80797E"/>
    <w:rsid w:val="6F854475"/>
    <w:rsid w:val="6FB7268D"/>
    <w:rsid w:val="6FBE5270"/>
    <w:rsid w:val="6FDF6988"/>
    <w:rsid w:val="6FF1023B"/>
    <w:rsid w:val="700D0F10"/>
    <w:rsid w:val="70A54A84"/>
    <w:rsid w:val="70A64343"/>
    <w:rsid w:val="70FD4804"/>
    <w:rsid w:val="712025E7"/>
    <w:rsid w:val="71250AB8"/>
    <w:rsid w:val="712C134E"/>
    <w:rsid w:val="71432615"/>
    <w:rsid w:val="71436B75"/>
    <w:rsid w:val="71601E5B"/>
    <w:rsid w:val="716B764B"/>
    <w:rsid w:val="71773C0D"/>
    <w:rsid w:val="71B85350"/>
    <w:rsid w:val="722C2D7D"/>
    <w:rsid w:val="724816A1"/>
    <w:rsid w:val="727345B5"/>
    <w:rsid w:val="728B40B5"/>
    <w:rsid w:val="728B49AF"/>
    <w:rsid w:val="72AD625A"/>
    <w:rsid w:val="72C84826"/>
    <w:rsid w:val="732077B6"/>
    <w:rsid w:val="73293190"/>
    <w:rsid w:val="73407DFA"/>
    <w:rsid w:val="734B470C"/>
    <w:rsid w:val="73AD26C5"/>
    <w:rsid w:val="73AF508F"/>
    <w:rsid w:val="73D77770"/>
    <w:rsid w:val="73E649A6"/>
    <w:rsid w:val="74003B84"/>
    <w:rsid w:val="74041BA8"/>
    <w:rsid w:val="74075369"/>
    <w:rsid w:val="7435084B"/>
    <w:rsid w:val="74383A2A"/>
    <w:rsid w:val="74482EF5"/>
    <w:rsid w:val="74695911"/>
    <w:rsid w:val="7491382D"/>
    <w:rsid w:val="7492680B"/>
    <w:rsid w:val="749553CA"/>
    <w:rsid w:val="74A949DD"/>
    <w:rsid w:val="74B06E15"/>
    <w:rsid w:val="74B53391"/>
    <w:rsid w:val="74D657E5"/>
    <w:rsid w:val="75454709"/>
    <w:rsid w:val="7549768F"/>
    <w:rsid w:val="75554DCC"/>
    <w:rsid w:val="757A0E9B"/>
    <w:rsid w:val="7604511C"/>
    <w:rsid w:val="760C257A"/>
    <w:rsid w:val="764E0BCC"/>
    <w:rsid w:val="76692A59"/>
    <w:rsid w:val="769817D6"/>
    <w:rsid w:val="76BF21FB"/>
    <w:rsid w:val="7717191E"/>
    <w:rsid w:val="773934AB"/>
    <w:rsid w:val="7747643C"/>
    <w:rsid w:val="780D1DEF"/>
    <w:rsid w:val="78A727BF"/>
    <w:rsid w:val="78B026DD"/>
    <w:rsid w:val="79101709"/>
    <w:rsid w:val="793D2896"/>
    <w:rsid w:val="79446284"/>
    <w:rsid w:val="795B13AA"/>
    <w:rsid w:val="79872DBA"/>
    <w:rsid w:val="798D1B59"/>
    <w:rsid w:val="79C43627"/>
    <w:rsid w:val="79D22CD0"/>
    <w:rsid w:val="7A067193"/>
    <w:rsid w:val="7A1B7E60"/>
    <w:rsid w:val="7AB400D6"/>
    <w:rsid w:val="7AD462F8"/>
    <w:rsid w:val="7AE45260"/>
    <w:rsid w:val="7B2F6C14"/>
    <w:rsid w:val="7B3059F8"/>
    <w:rsid w:val="7BA80CD7"/>
    <w:rsid w:val="7BAD7E28"/>
    <w:rsid w:val="7C1D1101"/>
    <w:rsid w:val="7C621CF7"/>
    <w:rsid w:val="7CAB5AC7"/>
    <w:rsid w:val="7D412596"/>
    <w:rsid w:val="7D4E1F4C"/>
    <w:rsid w:val="7D666D82"/>
    <w:rsid w:val="7D72619C"/>
    <w:rsid w:val="7DCB2E4D"/>
    <w:rsid w:val="7DDE5E3C"/>
    <w:rsid w:val="7DDF6CF1"/>
    <w:rsid w:val="7DF605FA"/>
    <w:rsid w:val="7E0F5DF1"/>
    <w:rsid w:val="7E3A67E7"/>
    <w:rsid w:val="7E463E14"/>
    <w:rsid w:val="7E986869"/>
    <w:rsid w:val="7EC0578B"/>
    <w:rsid w:val="7EC227BD"/>
    <w:rsid w:val="7EC42F00"/>
    <w:rsid w:val="7ECB4E87"/>
    <w:rsid w:val="7F3523F1"/>
    <w:rsid w:val="7F63623C"/>
    <w:rsid w:val="7F694BE1"/>
    <w:rsid w:val="7F7131D6"/>
    <w:rsid w:val="7F8E2A05"/>
    <w:rsid w:val="7F8E2E67"/>
    <w:rsid w:val="7F9F3CAA"/>
    <w:rsid w:val="7F9F3FE0"/>
    <w:rsid w:val="7FAD7B21"/>
    <w:rsid w:val="7FBE0CA5"/>
    <w:rsid w:val="7FC76657"/>
    <w:rsid w:val="7FD2083E"/>
    <w:rsid w:val="7FE542AD"/>
    <w:rsid w:val="7FE86B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00" w:after="200" w:line="520" w:lineRule="exact"/>
      <w:ind w:firstLine="200" w:firstLineChars="200"/>
      <w:outlineLvl w:val="1"/>
    </w:pPr>
    <w:rPr>
      <w:rFonts w:ascii="Arial" w:hAnsi="Arial"/>
      <w:b/>
      <w:bCs/>
      <w:sz w:val="28"/>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character" w:default="1" w:styleId="29">
    <w:name w:val="Default Paragraph Font"/>
    <w:semiHidden/>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link w:val="38"/>
    <w:qFormat/>
    <w:uiPriority w:val="0"/>
    <w:rPr>
      <w:rFonts w:ascii="宋体"/>
      <w:sz w:val="18"/>
      <w:szCs w:val="18"/>
    </w:rPr>
  </w:style>
  <w:style w:type="paragraph" w:styleId="7">
    <w:name w:val="annotation text"/>
    <w:basedOn w:val="1"/>
    <w:link w:val="39"/>
    <w:qFormat/>
    <w:uiPriority w:val="0"/>
    <w:pPr>
      <w:jc w:val="left"/>
    </w:pPr>
  </w:style>
  <w:style w:type="paragraph" w:styleId="8">
    <w:name w:val="Body Text 3"/>
    <w:basedOn w:val="1"/>
    <w:link w:val="40"/>
    <w:qFormat/>
    <w:uiPriority w:val="0"/>
    <w:rPr>
      <w:b/>
      <w:bCs/>
      <w:sz w:val="18"/>
      <w:szCs w:val="20"/>
    </w:rPr>
  </w:style>
  <w:style w:type="paragraph" w:styleId="9">
    <w:name w:val="Body Text"/>
    <w:basedOn w:val="1"/>
    <w:link w:val="41"/>
    <w:qFormat/>
    <w:uiPriority w:val="0"/>
    <w:pPr>
      <w:spacing w:after="120"/>
    </w:pPr>
  </w:style>
  <w:style w:type="paragraph" w:styleId="10">
    <w:name w:val="Body Text Indent"/>
    <w:basedOn w:val="1"/>
    <w:link w:val="42"/>
    <w:qFormat/>
    <w:uiPriority w:val="0"/>
    <w:pPr>
      <w:spacing w:line="620" w:lineRule="exact"/>
      <w:ind w:firstLine="560" w:firstLineChars="200"/>
    </w:pPr>
    <w:rPr>
      <w:sz w:val="28"/>
      <w:szCs w:val="28"/>
    </w:rPr>
  </w:style>
  <w:style w:type="paragraph" w:styleId="11">
    <w:name w:val="toc 5"/>
    <w:basedOn w:val="1"/>
    <w:next w:val="1"/>
    <w:semiHidden/>
    <w:qFormat/>
    <w:uiPriority w:val="0"/>
    <w:pPr>
      <w:ind w:left="840"/>
      <w:jc w:val="left"/>
    </w:pPr>
    <w:rPr>
      <w:sz w:val="18"/>
      <w:szCs w:val="18"/>
    </w:rPr>
  </w:style>
  <w:style w:type="paragraph" w:styleId="12">
    <w:name w:val="toc 3"/>
    <w:basedOn w:val="1"/>
    <w:next w:val="1"/>
    <w:semiHidden/>
    <w:qFormat/>
    <w:uiPriority w:val="0"/>
    <w:pPr>
      <w:ind w:left="420"/>
      <w:jc w:val="left"/>
    </w:pPr>
    <w:rPr>
      <w:i/>
      <w:iCs/>
      <w:sz w:val="20"/>
      <w:szCs w:val="20"/>
    </w:rPr>
  </w:style>
  <w:style w:type="paragraph" w:styleId="13">
    <w:name w:val="Plain Text"/>
    <w:basedOn w:val="1"/>
    <w:link w:val="43"/>
    <w:qFormat/>
    <w:uiPriority w:val="0"/>
    <w:rPr>
      <w:rFonts w:ascii="宋体" w:hAnsi="Courier New" w:cs="Courier New"/>
      <w:szCs w:val="21"/>
    </w:rPr>
  </w:style>
  <w:style w:type="paragraph" w:styleId="14">
    <w:name w:val="toc 8"/>
    <w:basedOn w:val="1"/>
    <w:next w:val="1"/>
    <w:semiHidden/>
    <w:qFormat/>
    <w:uiPriority w:val="0"/>
    <w:pPr>
      <w:ind w:left="1470"/>
      <w:jc w:val="left"/>
    </w:pPr>
    <w:rPr>
      <w:sz w:val="18"/>
      <w:szCs w:val="18"/>
    </w:rPr>
  </w:style>
  <w:style w:type="paragraph" w:styleId="15">
    <w:name w:val="Date"/>
    <w:basedOn w:val="1"/>
    <w:next w:val="1"/>
    <w:link w:val="44"/>
    <w:qFormat/>
    <w:uiPriority w:val="0"/>
    <w:pPr>
      <w:ind w:left="100" w:leftChars="2500"/>
    </w:pPr>
  </w:style>
  <w:style w:type="paragraph" w:styleId="16">
    <w:name w:val="Body Text Indent 2"/>
    <w:basedOn w:val="1"/>
    <w:link w:val="45"/>
    <w:qFormat/>
    <w:uiPriority w:val="0"/>
    <w:pPr>
      <w:ind w:firstLine="560" w:firstLineChars="200"/>
    </w:pPr>
    <w:rPr>
      <w:rFonts w:eastAsia="仿宋_GB2312"/>
      <w:sz w:val="28"/>
    </w:rPr>
  </w:style>
  <w:style w:type="paragraph" w:styleId="17">
    <w:name w:val="Balloon Text"/>
    <w:basedOn w:val="1"/>
    <w:link w:val="46"/>
    <w:qFormat/>
    <w:uiPriority w:val="0"/>
    <w:rPr>
      <w:sz w:val="18"/>
      <w:szCs w:val="18"/>
    </w:rPr>
  </w:style>
  <w:style w:type="paragraph" w:styleId="18">
    <w:name w:val="footer"/>
    <w:basedOn w:val="1"/>
    <w:link w:val="47"/>
    <w:qFormat/>
    <w:uiPriority w:val="99"/>
    <w:pPr>
      <w:tabs>
        <w:tab w:val="center" w:pos="4153"/>
        <w:tab w:val="right" w:pos="8306"/>
      </w:tabs>
      <w:snapToGrid w:val="0"/>
      <w:jc w:val="left"/>
    </w:pPr>
    <w:rPr>
      <w:sz w:val="18"/>
      <w:szCs w:val="18"/>
    </w:rPr>
  </w:style>
  <w:style w:type="paragraph" w:styleId="19">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50" w:beforeLines="50" w:after="50" w:afterLines="50" w:line="460" w:lineRule="exact"/>
      <w:jc w:val="left"/>
    </w:pPr>
    <w:rPr>
      <w:b/>
      <w:bCs/>
      <w:caps/>
      <w:sz w:val="22"/>
      <w:szCs w:val="20"/>
    </w:rPr>
  </w:style>
  <w:style w:type="paragraph" w:styleId="21">
    <w:name w:val="toc 4"/>
    <w:basedOn w:val="1"/>
    <w:next w:val="1"/>
    <w:semiHidden/>
    <w:qFormat/>
    <w:uiPriority w:val="0"/>
    <w:pPr>
      <w:ind w:left="630"/>
      <w:jc w:val="left"/>
    </w:pPr>
    <w:rPr>
      <w:sz w:val="18"/>
      <w:szCs w:val="18"/>
    </w:rPr>
  </w:style>
  <w:style w:type="paragraph" w:styleId="22">
    <w:name w:val="toc 6"/>
    <w:basedOn w:val="1"/>
    <w:next w:val="1"/>
    <w:semiHidden/>
    <w:qFormat/>
    <w:uiPriority w:val="0"/>
    <w:pPr>
      <w:ind w:left="1050"/>
      <w:jc w:val="left"/>
    </w:pPr>
    <w:rPr>
      <w:sz w:val="18"/>
      <w:szCs w:val="18"/>
    </w:rPr>
  </w:style>
  <w:style w:type="paragraph" w:styleId="23">
    <w:name w:val="toc 2"/>
    <w:basedOn w:val="1"/>
    <w:next w:val="1"/>
    <w:qFormat/>
    <w:uiPriority w:val="39"/>
    <w:pPr>
      <w:spacing w:line="440" w:lineRule="exact"/>
      <w:ind w:left="210"/>
      <w:jc w:val="left"/>
    </w:pPr>
    <w:rPr>
      <w:smallCaps/>
      <w:sz w:val="22"/>
      <w:szCs w:val="20"/>
    </w:rPr>
  </w:style>
  <w:style w:type="paragraph" w:styleId="24">
    <w:name w:val="toc 9"/>
    <w:basedOn w:val="1"/>
    <w:next w:val="1"/>
    <w:semiHidden/>
    <w:qFormat/>
    <w:uiPriority w:val="0"/>
    <w:pPr>
      <w:ind w:left="1680"/>
      <w:jc w:val="left"/>
    </w:pPr>
    <w:rPr>
      <w:sz w:val="18"/>
      <w:szCs w:val="18"/>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6">
    <w:name w:val="annotation subject"/>
    <w:basedOn w:val="7"/>
    <w:next w:val="7"/>
    <w:link w:val="49"/>
    <w:qFormat/>
    <w:uiPriority w:val="0"/>
    <w:rPr>
      <w:b/>
      <w:bCs/>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bCs/>
    </w:rPr>
  </w:style>
  <w:style w:type="character" w:styleId="31">
    <w:name w:val="page number"/>
    <w:qFormat/>
    <w:uiPriority w:val="0"/>
  </w:style>
  <w:style w:type="character" w:styleId="32">
    <w:name w:val="FollowedHyperlink"/>
    <w:qFormat/>
    <w:uiPriority w:val="0"/>
    <w:rPr>
      <w:color w:val="800080"/>
      <w:u w:val="single"/>
    </w:rPr>
  </w:style>
  <w:style w:type="character" w:styleId="33">
    <w:name w:val="Hyperlink"/>
    <w:qFormat/>
    <w:uiPriority w:val="99"/>
    <w:rPr>
      <w:color w:val="0000FF"/>
      <w:u w:val="single"/>
    </w:rPr>
  </w:style>
  <w:style w:type="character" w:styleId="34">
    <w:name w:val="annotation reference"/>
    <w:qFormat/>
    <w:uiPriority w:val="0"/>
    <w:rPr>
      <w:sz w:val="21"/>
      <w:szCs w:val="21"/>
    </w:rPr>
  </w:style>
  <w:style w:type="character" w:customStyle="1" w:styleId="35">
    <w:name w:val="标题 1 Char"/>
    <w:link w:val="2"/>
    <w:qFormat/>
    <w:uiPriority w:val="0"/>
    <w:rPr>
      <w:b/>
      <w:bCs/>
      <w:kern w:val="44"/>
      <w:sz w:val="44"/>
      <w:szCs w:val="44"/>
    </w:rPr>
  </w:style>
  <w:style w:type="character" w:customStyle="1" w:styleId="36">
    <w:name w:val="标题 2 Char"/>
    <w:link w:val="3"/>
    <w:qFormat/>
    <w:uiPriority w:val="0"/>
    <w:rPr>
      <w:rFonts w:ascii="Arial" w:hAnsi="Arial"/>
      <w:b/>
      <w:bCs/>
      <w:kern w:val="2"/>
      <w:sz w:val="28"/>
      <w:szCs w:val="32"/>
    </w:rPr>
  </w:style>
  <w:style w:type="character" w:customStyle="1" w:styleId="37">
    <w:name w:val="标题 3 Char"/>
    <w:link w:val="4"/>
    <w:qFormat/>
    <w:uiPriority w:val="0"/>
    <w:rPr>
      <w:b/>
      <w:bCs/>
      <w:kern w:val="2"/>
      <w:sz w:val="32"/>
      <w:szCs w:val="32"/>
    </w:rPr>
  </w:style>
  <w:style w:type="character" w:customStyle="1" w:styleId="38">
    <w:name w:val="文档结构图 Char"/>
    <w:link w:val="6"/>
    <w:qFormat/>
    <w:uiPriority w:val="0"/>
    <w:rPr>
      <w:rFonts w:ascii="宋体"/>
      <w:kern w:val="2"/>
      <w:sz w:val="18"/>
      <w:szCs w:val="18"/>
    </w:rPr>
  </w:style>
  <w:style w:type="character" w:customStyle="1" w:styleId="39">
    <w:name w:val="批注文字 Char"/>
    <w:link w:val="7"/>
    <w:qFormat/>
    <w:uiPriority w:val="0"/>
    <w:rPr>
      <w:rFonts w:eastAsia="宋体"/>
      <w:kern w:val="2"/>
      <w:sz w:val="21"/>
      <w:szCs w:val="24"/>
      <w:lang w:val="en-US" w:eastAsia="zh-CN" w:bidi="ar-SA"/>
    </w:rPr>
  </w:style>
  <w:style w:type="character" w:customStyle="1" w:styleId="40">
    <w:name w:val="正文文本 3 Char"/>
    <w:link w:val="8"/>
    <w:qFormat/>
    <w:uiPriority w:val="0"/>
    <w:rPr>
      <w:b/>
      <w:bCs/>
      <w:kern w:val="2"/>
      <w:sz w:val="18"/>
    </w:rPr>
  </w:style>
  <w:style w:type="character" w:customStyle="1" w:styleId="41">
    <w:name w:val="正文文本 Char"/>
    <w:link w:val="9"/>
    <w:qFormat/>
    <w:uiPriority w:val="0"/>
    <w:rPr>
      <w:kern w:val="2"/>
      <w:sz w:val="21"/>
      <w:szCs w:val="24"/>
    </w:rPr>
  </w:style>
  <w:style w:type="character" w:customStyle="1" w:styleId="42">
    <w:name w:val="正文文本缩进 Char"/>
    <w:link w:val="10"/>
    <w:qFormat/>
    <w:uiPriority w:val="0"/>
    <w:rPr>
      <w:kern w:val="2"/>
      <w:sz w:val="28"/>
      <w:szCs w:val="28"/>
    </w:rPr>
  </w:style>
  <w:style w:type="character" w:customStyle="1" w:styleId="43">
    <w:name w:val="纯文本 Char"/>
    <w:link w:val="13"/>
    <w:qFormat/>
    <w:uiPriority w:val="0"/>
    <w:rPr>
      <w:rFonts w:ascii="宋体" w:hAnsi="Courier New" w:eastAsia="宋体" w:cs="Courier New"/>
      <w:kern w:val="2"/>
      <w:sz w:val="21"/>
      <w:szCs w:val="21"/>
      <w:lang w:val="en-US" w:eastAsia="zh-CN" w:bidi="ar-SA"/>
    </w:rPr>
  </w:style>
  <w:style w:type="character" w:customStyle="1" w:styleId="44">
    <w:name w:val="日期 Char"/>
    <w:link w:val="15"/>
    <w:qFormat/>
    <w:uiPriority w:val="0"/>
    <w:rPr>
      <w:kern w:val="2"/>
      <w:sz w:val="21"/>
      <w:szCs w:val="24"/>
    </w:rPr>
  </w:style>
  <w:style w:type="character" w:customStyle="1" w:styleId="45">
    <w:name w:val="正文文本缩进 2 Char"/>
    <w:link w:val="16"/>
    <w:qFormat/>
    <w:uiPriority w:val="0"/>
    <w:rPr>
      <w:rFonts w:eastAsia="仿宋_GB2312"/>
      <w:kern w:val="2"/>
      <w:sz w:val="28"/>
      <w:szCs w:val="24"/>
    </w:rPr>
  </w:style>
  <w:style w:type="character" w:customStyle="1" w:styleId="46">
    <w:name w:val="批注框文本 Char"/>
    <w:link w:val="17"/>
    <w:qFormat/>
    <w:uiPriority w:val="0"/>
    <w:rPr>
      <w:kern w:val="2"/>
      <w:sz w:val="18"/>
      <w:szCs w:val="18"/>
    </w:rPr>
  </w:style>
  <w:style w:type="character" w:customStyle="1" w:styleId="47">
    <w:name w:val="页脚 Char"/>
    <w:link w:val="18"/>
    <w:qFormat/>
    <w:uiPriority w:val="99"/>
    <w:rPr>
      <w:kern w:val="2"/>
      <w:sz w:val="18"/>
      <w:szCs w:val="18"/>
    </w:rPr>
  </w:style>
  <w:style w:type="character" w:customStyle="1" w:styleId="48">
    <w:name w:val="页眉 Char"/>
    <w:link w:val="19"/>
    <w:qFormat/>
    <w:uiPriority w:val="0"/>
    <w:rPr>
      <w:kern w:val="2"/>
      <w:sz w:val="18"/>
      <w:szCs w:val="18"/>
    </w:rPr>
  </w:style>
  <w:style w:type="character" w:customStyle="1" w:styleId="49">
    <w:name w:val="批注主题 Char"/>
    <w:link w:val="26"/>
    <w:qFormat/>
    <w:uiPriority w:val="0"/>
    <w:rPr>
      <w:rFonts w:eastAsia="宋体"/>
      <w:b/>
      <w:bCs/>
      <w:kern w:val="2"/>
      <w:sz w:val="21"/>
      <w:szCs w:val="24"/>
      <w:lang w:val="en-US" w:eastAsia="zh-CN" w:bidi="ar-SA"/>
    </w:rPr>
  </w:style>
  <w:style w:type="character" w:customStyle="1" w:styleId="50">
    <w:name w:val="postbody1"/>
    <w:qFormat/>
    <w:uiPriority w:val="0"/>
    <w:rPr>
      <w:sz w:val="18"/>
      <w:szCs w:val="18"/>
    </w:rPr>
  </w:style>
  <w:style w:type="character" w:customStyle="1" w:styleId="51">
    <w:name w:val="批注框文本 字符"/>
    <w:semiHidden/>
    <w:qFormat/>
    <w:uiPriority w:val="99"/>
    <w:rPr>
      <w:kern w:val="2"/>
      <w:sz w:val="18"/>
      <w:szCs w:val="18"/>
    </w:rPr>
  </w:style>
  <w:style w:type="character" w:customStyle="1" w:styleId="52">
    <w:name w:val="apple-converted-space"/>
    <w:qFormat/>
    <w:uiPriority w:val="0"/>
  </w:style>
  <w:style w:type="character" w:customStyle="1" w:styleId="53">
    <w:name w:val="span_zw_2"/>
    <w:qFormat/>
    <w:uiPriority w:val="0"/>
  </w:style>
  <w:style w:type="character" w:customStyle="1" w:styleId="54">
    <w:name w:val="文档结构图 字符"/>
    <w:semiHidden/>
    <w:qFormat/>
    <w:uiPriority w:val="99"/>
    <w:rPr>
      <w:rFonts w:ascii="Microsoft YaHei UI" w:eastAsia="Microsoft YaHei UI"/>
      <w:kern w:val="2"/>
      <w:sz w:val="18"/>
      <w:szCs w:val="18"/>
    </w:rPr>
  </w:style>
  <w:style w:type="character" w:customStyle="1" w:styleId="55">
    <w:name w:val="批注主题 字符"/>
    <w:semiHidden/>
    <w:qFormat/>
    <w:uiPriority w:val="99"/>
    <w:rPr>
      <w:b/>
      <w:bCs/>
      <w:kern w:val="2"/>
      <w:sz w:val="21"/>
      <w:szCs w:val="24"/>
    </w:rPr>
  </w:style>
  <w:style w:type="character" w:customStyle="1" w:styleId="56">
    <w:name w:val="批注文字 字符"/>
    <w:semiHidden/>
    <w:qFormat/>
    <w:uiPriority w:val="99"/>
    <w:rPr>
      <w:kern w:val="2"/>
      <w:sz w:val="21"/>
      <w:szCs w:val="24"/>
    </w:rPr>
  </w:style>
  <w:style w:type="character" w:customStyle="1" w:styleId="57">
    <w:name w:val="纯文本 字符"/>
    <w:semiHidden/>
    <w:qFormat/>
    <w:uiPriority w:val="99"/>
    <w:rPr>
      <w:rFonts w:ascii="等线" w:hAnsi="Courier New" w:eastAsia="等线" w:cs="Courier New"/>
      <w:kern w:val="2"/>
      <w:sz w:val="21"/>
      <w:szCs w:val="24"/>
    </w:rPr>
  </w:style>
  <w:style w:type="character" w:customStyle="1" w:styleId="58">
    <w:name w:val="f142"/>
    <w:qFormat/>
    <w:uiPriority w:val="0"/>
    <w:rPr>
      <w:sz w:val="21"/>
      <w:szCs w:val="21"/>
    </w:rPr>
  </w:style>
  <w:style w:type="character" w:customStyle="1" w:styleId="59">
    <w:name w:val="页脚 字符"/>
    <w:semiHidden/>
    <w:qFormat/>
    <w:uiPriority w:val="99"/>
    <w:rPr>
      <w:kern w:val="2"/>
      <w:sz w:val="18"/>
      <w:szCs w:val="18"/>
    </w:rPr>
  </w:style>
  <w:style w:type="paragraph" w:customStyle="1" w:styleId="60">
    <w:name w:val="WPSOffice手动目录 2"/>
    <w:qFormat/>
    <w:uiPriority w:val="0"/>
    <w:pPr>
      <w:ind w:leftChars="200"/>
    </w:pPr>
    <w:rPr>
      <w:rFonts w:ascii="Times New Roman" w:hAnsi="Times New Roman" w:eastAsia="宋体" w:cs="Times New Roman"/>
      <w:lang w:val="en-US" w:eastAsia="zh-CN" w:bidi="ar-SA"/>
    </w:rPr>
  </w:style>
  <w:style w:type="paragraph" w:customStyle="1" w:styleId="61">
    <w:name w:val="p0"/>
    <w:basedOn w:val="1"/>
    <w:qFormat/>
    <w:uiPriority w:val="0"/>
    <w:pPr>
      <w:widowControl/>
    </w:pPr>
    <w:rPr>
      <w:rFonts w:hAnsi="宋体" w:cs="宋体"/>
      <w:bCs/>
      <w:kern w:val="0"/>
      <w:szCs w:val="30"/>
    </w:rPr>
  </w:style>
  <w:style w:type="paragraph" w:customStyle="1" w:styleId="62">
    <w:name w:val="WPSOffice手动目录 1"/>
    <w:qFormat/>
    <w:uiPriority w:val="0"/>
    <w:rPr>
      <w:rFonts w:ascii="Times New Roman" w:hAnsi="Times New Roman" w:eastAsia="宋体" w:cs="Times New Roman"/>
      <w:lang w:val="en-US" w:eastAsia="zh-CN" w:bidi="ar-SA"/>
    </w:rPr>
  </w:style>
  <w:style w:type="character" w:customStyle="1" w:styleId="63">
    <w:name w:val="font21"/>
    <w:basedOn w:val="29"/>
    <w:qFormat/>
    <w:uiPriority w:val="0"/>
    <w:rPr>
      <w:rFonts w:hint="default" w:ascii="Times New Roman" w:hAnsi="Times New Roman" w:cs="Times New Roman"/>
      <w:color w:val="000000"/>
      <w:sz w:val="16"/>
      <w:szCs w:val="16"/>
      <w:u w:val="none"/>
    </w:rPr>
  </w:style>
  <w:style w:type="character" w:customStyle="1" w:styleId="64">
    <w:name w:val="font11"/>
    <w:basedOn w:val="29"/>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8019</Words>
  <Characters>8407</Characters>
  <Lines>302</Lines>
  <Paragraphs>85</Paragraphs>
  <TotalTime>17</TotalTime>
  <ScaleCrop>false</ScaleCrop>
  <LinksUpToDate>false</LinksUpToDate>
  <CharactersWithSpaces>8768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2022-06-10T05:21:00Z</dcterms:created>
  <dc:creator>刘星</dc:creator>
  <cp:lastModifiedBy>Administrator</cp:lastModifiedBy>
  <dcterms:modified xsi:type="dcterms:W3CDTF">2022-06-10T10:59:49Z</dcterms:modified>
  <dc:title>房地产抵押估价报告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9521FF2D981A4268A3F46CD269DA1ED8</vt:lpwstr>
  </property>
</Properties>
</file>