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2"/>
        <w:adjustRightInd/>
        <w:spacing w:line="360" w:lineRule="auto"/>
        <w:ind w:left="3575" w:leftChars="276" w:right="-38" w:hanging="2996" w:hangingChars="681"/>
        <w:jc w:val="center"/>
        <w:rPr>
          <w:rFonts w:ascii="仿宋_GB2312" w:eastAsia="仿宋_GB2312"/>
          <w:b/>
          <w:caps/>
          <w:color w:val="000000"/>
          <w:sz w:val="44"/>
          <w:szCs w:val="44"/>
        </w:rPr>
      </w:pPr>
    </w:p>
    <w:p>
      <w:pPr>
        <w:pStyle w:val="182"/>
        <w:adjustRightInd/>
        <w:spacing w:line="360" w:lineRule="auto"/>
        <w:ind w:left="3575" w:leftChars="276" w:right="-38" w:hanging="2996" w:hangingChars="681"/>
        <w:jc w:val="center"/>
        <w:rPr>
          <w:rFonts w:hint="eastAsia" w:ascii="仿宋_GB2312" w:eastAsia="仿宋_GB2312"/>
          <w:b/>
          <w:caps/>
          <w:color w:val="000000"/>
          <w:sz w:val="44"/>
          <w:szCs w:val="44"/>
        </w:rPr>
      </w:pPr>
      <w:r>
        <w:rPr>
          <w:rFonts w:hint="eastAsia" w:ascii="仿宋_GB2312" w:eastAsia="仿宋_GB2312"/>
          <w:b/>
          <w:caps/>
          <w:color w:val="000000"/>
          <w:sz w:val="44"/>
          <w:szCs w:val="44"/>
          <w:lang w:eastAsia="zh-CN"/>
        </w:rPr>
        <w:t>涉执</w:t>
      </w:r>
      <w:r>
        <w:rPr>
          <w:rFonts w:hint="eastAsia" w:ascii="仿宋_GB2312" w:eastAsia="仿宋_GB2312"/>
          <w:b/>
          <w:caps/>
          <w:color w:val="000000"/>
          <w:sz w:val="44"/>
          <w:szCs w:val="44"/>
        </w:rPr>
        <w:t>房地产</w:t>
      </w:r>
      <w:r>
        <w:rPr>
          <w:rFonts w:hint="eastAsia" w:ascii="仿宋_GB2312" w:eastAsia="仿宋_GB2312"/>
          <w:b/>
          <w:caps/>
          <w:color w:val="000000"/>
          <w:sz w:val="44"/>
          <w:szCs w:val="44"/>
          <w:lang w:eastAsia="zh-CN"/>
        </w:rPr>
        <w:t>处置司法</w:t>
      </w:r>
      <w:r>
        <w:rPr>
          <w:rFonts w:hint="eastAsia" w:ascii="仿宋_GB2312" w:eastAsia="仿宋_GB2312"/>
          <w:b/>
          <w:caps/>
          <w:color w:val="000000"/>
          <w:sz w:val="44"/>
          <w:szCs w:val="44"/>
        </w:rPr>
        <w:t>估价报告</w:t>
      </w:r>
    </w:p>
    <w:p>
      <w:pPr>
        <w:pStyle w:val="182"/>
        <w:adjustRightInd/>
        <w:spacing w:line="480" w:lineRule="auto"/>
        <w:ind w:left="227" w:right="-454" w:firstLine="567"/>
        <w:rPr>
          <w:rFonts w:ascii="仿宋_GB2312" w:eastAsia="仿宋_GB2312"/>
          <w:caps/>
          <w:color w:val="000000"/>
        </w:rPr>
      </w:pPr>
    </w:p>
    <w:p>
      <w:pPr>
        <w:pStyle w:val="182"/>
        <w:adjustRightInd/>
        <w:spacing w:line="480" w:lineRule="auto"/>
        <w:ind w:left="227" w:right="-454" w:firstLine="567"/>
        <w:rPr>
          <w:rFonts w:ascii="仿宋_GB2312" w:eastAsia="仿宋_GB2312"/>
          <w:caps/>
          <w:color w:val="000000"/>
        </w:rPr>
      </w:pPr>
    </w:p>
    <w:p>
      <w:pPr>
        <w:pStyle w:val="182"/>
        <w:adjustRightInd/>
        <w:spacing w:line="360" w:lineRule="auto"/>
        <w:ind w:right="-454" w:firstLine="567"/>
        <w:rPr>
          <w:rFonts w:ascii="仿宋_GB2312" w:eastAsia="仿宋_GB2312"/>
          <w:caps/>
          <w:color w:val="000000"/>
          <w:szCs w:val="30"/>
        </w:rPr>
      </w:pPr>
      <w:r>
        <w:rPr>
          <w:rFonts w:hint="eastAsia" w:ascii="仿宋_GB2312" w:eastAsia="仿宋_GB2312"/>
          <w:caps/>
          <w:color w:val="000000"/>
        </w:rPr>
        <w:t>估价报告编</w:t>
      </w:r>
      <w:r>
        <w:rPr>
          <w:rFonts w:hint="eastAsia" w:ascii="仿宋_GB2312" w:eastAsia="仿宋_GB2312"/>
          <w:caps/>
          <w:color w:val="000000"/>
          <w:szCs w:val="30"/>
        </w:rPr>
        <w:t>号：粤世房评报字[2</w:t>
      </w:r>
      <w:r>
        <w:rPr>
          <w:rFonts w:hint="eastAsia" w:ascii="仿宋_GB2312" w:eastAsia="仿宋_GB2312"/>
          <w:caps/>
          <w:color w:val="000000"/>
          <w:szCs w:val="30"/>
          <w:highlight w:val="none"/>
        </w:rPr>
        <w:t>02</w:t>
      </w:r>
      <w:r>
        <w:rPr>
          <w:rFonts w:hint="eastAsia" w:ascii="仿宋_GB2312" w:eastAsia="仿宋_GB2312"/>
          <w:caps/>
          <w:color w:val="000000"/>
          <w:szCs w:val="30"/>
          <w:highlight w:val="none"/>
          <w:lang w:val="en-US" w:eastAsia="zh-CN"/>
        </w:rPr>
        <w:t>2</w:t>
      </w:r>
      <w:r>
        <w:rPr>
          <w:rFonts w:hint="eastAsia" w:ascii="仿宋_GB2312" w:eastAsia="仿宋_GB2312"/>
          <w:caps/>
          <w:color w:val="000000"/>
          <w:szCs w:val="30"/>
          <w:highlight w:val="none"/>
        </w:rPr>
        <w:t>]第</w:t>
      </w:r>
      <w:r>
        <w:rPr>
          <w:rFonts w:hint="eastAsia" w:ascii="仿宋_GB2312" w:eastAsia="仿宋_GB2312"/>
          <w:caps/>
          <w:color w:val="000000"/>
          <w:szCs w:val="30"/>
          <w:highlight w:val="none"/>
          <w:lang w:val="en-US" w:eastAsia="zh-CN"/>
        </w:rPr>
        <w:t>0021</w:t>
      </w:r>
      <w:r>
        <w:rPr>
          <w:rFonts w:hint="eastAsia" w:ascii="仿宋_GB2312" w:eastAsia="仿宋_GB2312"/>
          <w:caps/>
          <w:color w:val="000000"/>
          <w:szCs w:val="30"/>
        </w:rPr>
        <w:t>号</w:t>
      </w:r>
    </w:p>
    <w:p>
      <w:pPr>
        <w:pStyle w:val="182"/>
        <w:adjustRightInd/>
        <w:spacing w:line="360" w:lineRule="auto"/>
        <w:ind w:left="2729" w:leftChars="277" w:right="-38" w:hanging="2148" w:hangingChars="716"/>
        <w:jc w:val="both"/>
        <w:rPr>
          <w:rFonts w:ascii="仿宋_GB2312" w:eastAsia="仿宋_GB2312"/>
          <w:caps/>
          <w:color w:val="000000"/>
        </w:rPr>
      </w:pPr>
    </w:p>
    <w:p>
      <w:pPr>
        <w:pStyle w:val="182"/>
        <w:adjustRightInd/>
        <w:spacing w:line="360" w:lineRule="auto"/>
        <w:ind w:left="2625" w:leftChars="250" w:right="-454" w:hanging="2100" w:hangingChars="700"/>
        <w:rPr>
          <w:rFonts w:ascii="仿宋_GB2312" w:eastAsia="仿宋_GB2312"/>
          <w:caps/>
          <w:color w:val="000000"/>
        </w:rPr>
      </w:pPr>
      <w:r>
        <w:rPr>
          <w:rFonts w:hint="eastAsia" w:ascii="仿宋_GB2312" w:eastAsia="仿宋_GB2312"/>
          <w:caps/>
          <w:color w:val="000000"/>
        </w:rPr>
        <w:t>估价项目名称：</w:t>
      </w:r>
      <w:r>
        <w:rPr>
          <w:rFonts w:hint="eastAsia" w:ascii="仿宋_GB2312" w:eastAsia="仿宋_GB2312"/>
          <w:caps/>
          <w:color w:val="000000"/>
          <w:szCs w:val="30"/>
          <w:lang w:eastAsia="zh-CN"/>
        </w:rPr>
        <w:t>广州市增城区新塘镇新绣南路45号负二层2443房</w:t>
      </w:r>
      <w:r>
        <w:rPr>
          <w:rFonts w:hint="eastAsia" w:ascii="仿宋_GB2312" w:eastAsia="仿宋_GB2312"/>
          <w:caps/>
          <w:color w:val="000000"/>
          <w:szCs w:val="30"/>
        </w:rPr>
        <w:t>房地产市场价值评估</w:t>
      </w:r>
    </w:p>
    <w:p>
      <w:pPr>
        <w:pStyle w:val="182"/>
        <w:adjustRightInd/>
        <w:spacing w:line="360" w:lineRule="auto"/>
        <w:ind w:left="2625" w:leftChars="250" w:right="-454" w:hanging="2100" w:hangingChars="700"/>
        <w:rPr>
          <w:rFonts w:ascii="仿宋_GB2312" w:eastAsia="仿宋_GB2312"/>
          <w:caps/>
          <w:color w:val="000000"/>
        </w:rPr>
      </w:pPr>
    </w:p>
    <w:p>
      <w:pPr>
        <w:pStyle w:val="182"/>
        <w:adjustRightInd/>
        <w:spacing w:line="360" w:lineRule="auto"/>
        <w:ind w:right="-454" w:firstLine="600" w:firstLineChars="200"/>
        <w:rPr>
          <w:rFonts w:hint="eastAsia" w:ascii="仿宋_GB2312" w:eastAsia="仿宋_GB2312"/>
          <w:caps/>
          <w:color w:val="000000"/>
          <w:lang w:eastAsia="zh-CN"/>
        </w:rPr>
      </w:pPr>
      <w:r>
        <w:rPr>
          <w:rFonts w:hint="eastAsia" w:ascii="仿宋_GB2312" w:eastAsia="仿宋_GB2312"/>
          <w:caps/>
          <w:color w:val="000000"/>
        </w:rPr>
        <w:t>估价委托人：</w:t>
      </w:r>
      <w:r>
        <w:rPr>
          <w:rFonts w:hint="eastAsia" w:ascii="仿宋_GB2312" w:eastAsia="仿宋_GB2312"/>
          <w:caps/>
          <w:color w:val="000000"/>
          <w:lang w:eastAsia="zh-CN"/>
        </w:rPr>
        <w:t>广东省广州市中级人民法院</w:t>
      </w:r>
    </w:p>
    <w:p>
      <w:pPr>
        <w:pStyle w:val="182"/>
        <w:adjustRightInd/>
        <w:spacing w:line="360" w:lineRule="auto"/>
        <w:ind w:right="-454" w:firstLine="600" w:firstLineChars="200"/>
        <w:rPr>
          <w:rFonts w:ascii="仿宋_GB2312" w:eastAsia="仿宋_GB2312"/>
          <w:caps/>
          <w:color w:val="000000"/>
        </w:rPr>
      </w:pPr>
    </w:p>
    <w:p>
      <w:pPr>
        <w:pStyle w:val="182"/>
        <w:adjustRightInd/>
        <w:spacing w:line="360" w:lineRule="auto"/>
        <w:ind w:right="-454" w:firstLine="600" w:firstLineChars="200"/>
        <w:rPr>
          <w:rFonts w:hint="eastAsia" w:ascii="仿宋_GB2312" w:eastAsia="仿宋_GB2312"/>
          <w:caps/>
          <w:color w:val="000000"/>
          <w:lang w:eastAsia="zh-CN"/>
        </w:rPr>
      </w:pPr>
      <w:r>
        <w:rPr>
          <w:rFonts w:hint="eastAsia" w:ascii="仿宋_GB2312" w:eastAsia="仿宋_GB2312"/>
          <w:caps/>
          <w:color w:val="000000"/>
        </w:rPr>
        <w:t>司法委托号：</w:t>
      </w:r>
      <w:r>
        <w:rPr>
          <w:rFonts w:hint="eastAsia" w:ascii="仿宋_GB2312" w:eastAsia="仿宋_GB2312"/>
          <w:caps/>
          <w:color w:val="000000"/>
          <w:lang w:eastAsia="zh-CN"/>
        </w:rPr>
        <w:t>(2021)粤01执6647号</w:t>
      </w:r>
    </w:p>
    <w:p>
      <w:pPr>
        <w:pStyle w:val="182"/>
        <w:adjustRightInd/>
        <w:spacing w:line="360" w:lineRule="auto"/>
        <w:ind w:right="-454" w:firstLine="0"/>
        <w:rPr>
          <w:rFonts w:ascii="仿宋_GB2312" w:eastAsia="仿宋_GB2312"/>
          <w:caps/>
          <w:color w:val="000000"/>
        </w:rPr>
      </w:pPr>
    </w:p>
    <w:p>
      <w:pPr>
        <w:pStyle w:val="182"/>
        <w:adjustRightInd/>
        <w:spacing w:line="360" w:lineRule="auto"/>
        <w:ind w:right="-454" w:firstLine="567"/>
        <w:rPr>
          <w:rFonts w:ascii="仿宋_GB2312" w:eastAsia="仿宋_GB2312"/>
          <w:caps/>
          <w:color w:val="000000"/>
        </w:rPr>
      </w:pPr>
      <w:r>
        <w:rPr>
          <w:rFonts w:hint="eastAsia" w:ascii="仿宋_GB2312" w:eastAsia="仿宋_GB2312"/>
          <w:caps/>
          <w:color w:val="000000"/>
        </w:rPr>
        <w:t>房地产估价机构：广东世纪人房地产土地资产评估与规划测绘有限</w:t>
      </w:r>
    </w:p>
    <w:p>
      <w:pPr>
        <w:pStyle w:val="182"/>
        <w:adjustRightInd/>
        <w:spacing w:line="360" w:lineRule="auto"/>
        <w:ind w:right="-454" w:firstLine="3117" w:firstLineChars="1039"/>
        <w:rPr>
          <w:rFonts w:ascii="仿宋_GB2312" w:eastAsia="仿宋_GB2312"/>
          <w:caps/>
          <w:color w:val="000000"/>
        </w:rPr>
      </w:pPr>
      <w:r>
        <w:rPr>
          <w:rFonts w:hint="eastAsia" w:ascii="仿宋_GB2312" w:eastAsia="仿宋_GB2312"/>
          <w:caps/>
          <w:color w:val="000000"/>
        </w:rPr>
        <w:t>公司</w:t>
      </w:r>
    </w:p>
    <w:p>
      <w:pPr>
        <w:pStyle w:val="182"/>
        <w:adjustRightInd/>
        <w:spacing w:line="360" w:lineRule="auto"/>
        <w:ind w:right="-454" w:firstLine="567"/>
        <w:rPr>
          <w:rFonts w:ascii="仿宋_GB2312" w:eastAsia="仿宋_GB2312"/>
          <w:caps/>
          <w:color w:val="000000"/>
        </w:rPr>
      </w:pPr>
    </w:p>
    <w:p>
      <w:pPr>
        <w:pStyle w:val="182"/>
        <w:adjustRightInd/>
        <w:spacing w:line="360" w:lineRule="auto"/>
        <w:ind w:right="-454" w:firstLine="567"/>
        <w:rPr>
          <w:rFonts w:ascii="仿宋_GB2312" w:hAnsi="仿宋" w:eastAsia="仿宋_GB2312"/>
          <w:caps/>
          <w:color w:val="000000"/>
        </w:rPr>
      </w:pPr>
      <w:r>
        <w:rPr>
          <w:rFonts w:hint="eastAsia" w:ascii="仿宋_GB2312" w:eastAsia="仿宋_GB2312"/>
          <w:color w:val="000000"/>
        </w:rPr>
        <w:t>注册房地产估价师</w:t>
      </w:r>
      <w:r>
        <w:rPr>
          <w:rFonts w:hint="eastAsia" w:ascii="仿宋_GB2312" w:eastAsia="仿宋_GB2312"/>
          <w:caps/>
          <w:color w:val="000000"/>
        </w:rPr>
        <w:t>：</w:t>
      </w:r>
      <w:r>
        <w:rPr>
          <w:rFonts w:hint="eastAsia" w:ascii="仿宋_GB2312" w:eastAsia="仿宋_GB2312"/>
          <w:caps/>
          <w:color w:val="000000"/>
          <w:highlight w:val="none"/>
        </w:rPr>
        <w:t xml:space="preserve"> </w:t>
      </w:r>
      <w:r>
        <w:rPr>
          <w:rFonts w:hint="eastAsia" w:ascii="仿宋_GB2312" w:eastAsia="仿宋_GB2312"/>
          <w:caps/>
          <w:lang w:val="en-US" w:eastAsia="zh-CN"/>
        </w:rPr>
        <w:t>邓颖聪</w:t>
      </w:r>
      <w:r>
        <w:rPr>
          <w:rFonts w:hint="eastAsia" w:ascii="仿宋_GB2312" w:eastAsia="仿宋_GB2312"/>
          <w:caps/>
          <w:color w:val="000000"/>
          <w:highlight w:val="none"/>
          <w:lang w:val="en-US" w:eastAsia="zh-CN"/>
        </w:rPr>
        <w:t>（注册号</w:t>
      </w:r>
      <w:r>
        <w:rPr>
          <w:rFonts w:hint="eastAsia" w:ascii="仿宋_GB2312" w:eastAsia="仿宋_GB2312"/>
          <w:caps/>
          <w:color w:val="000000"/>
          <w:highlight w:val="none"/>
          <w:lang w:eastAsia="zh-CN"/>
        </w:rPr>
        <w:t>：</w:t>
      </w:r>
      <w:r>
        <w:rPr>
          <w:rFonts w:hint="eastAsia" w:ascii="仿宋_GB2312" w:eastAsia="仿宋_GB2312"/>
          <w:caps/>
          <w:color w:val="000000"/>
          <w:highlight w:val="none"/>
          <w:lang w:val="en-US" w:eastAsia="zh-CN"/>
        </w:rPr>
        <w:t>4420080006）</w:t>
      </w:r>
      <w:r>
        <w:rPr>
          <w:rFonts w:hint="eastAsia" w:ascii="仿宋_GB2312" w:hAnsi="仿宋" w:eastAsia="仿宋_GB2312"/>
          <w:caps/>
          <w:color w:val="000000"/>
          <w:szCs w:val="30"/>
          <w:highlight w:val="none"/>
        </w:rPr>
        <w:t xml:space="preserve"> </w:t>
      </w:r>
      <w:r>
        <w:rPr>
          <w:rFonts w:hint="eastAsia" w:ascii="仿宋_GB2312" w:hAnsi="仿宋" w:eastAsia="仿宋_GB2312"/>
          <w:caps/>
          <w:color w:val="000000"/>
          <w:szCs w:val="30"/>
        </w:rPr>
        <w:t xml:space="preserve">      </w:t>
      </w:r>
      <w:r>
        <w:rPr>
          <w:rFonts w:hint="eastAsia" w:ascii="仿宋_GB2312" w:hAnsi="仿宋" w:eastAsia="仿宋_GB2312"/>
          <w:caps/>
          <w:color w:val="000000"/>
        </w:rPr>
        <w:t xml:space="preserve">  </w:t>
      </w:r>
    </w:p>
    <w:p>
      <w:pPr>
        <w:pStyle w:val="182"/>
        <w:spacing w:line="360" w:lineRule="auto"/>
        <w:ind w:right="-454" w:firstLine="3417" w:firstLineChars="1139"/>
        <w:rPr>
          <w:rFonts w:ascii="仿宋_GB2312" w:eastAsia="仿宋_GB2312"/>
          <w:caps/>
        </w:rPr>
      </w:pPr>
      <w:r>
        <w:rPr>
          <w:rFonts w:hint="eastAsia" w:ascii="仿宋_GB2312" w:eastAsia="仿宋_GB2312"/>
          <w:caps/>
          <w:color w:val="000000"/>
          <w:highlight w:val="none"/>
          <w:lang w:eastAsia="zh-CN"/>
        </w:rPr>
        <w:t>姚小刚（注册号：</w:t>
      </w:r>
      <w:r>
        <w:rPr>
          <w:rFonts w:hint="eastAsia" w:ascii="仿宋_GB2312" w:eastAsia="仿宋_GB2312"/>
          <w:caps/>
          <w:color w:val="000000"/>
          <w:highlight w:val="none"/>
          <w:lang w:val="en-US" w:eastAsia="zh-CN"/>
        </w:rPr>
        <w:t>4420060009</w:t>
      </w:r>
      <w:r>
        <w:rPr>
          <w:rFonts w:hint="eastAsia" w:ascii="仿宋_GB2312" w:eastAsia="仿宋_GB2312"/>
          <w:caps/>
          <w:color w:val="000000"/>
          <w:highlight w:val="none"/>
          <w:lang w:eastAsia="zh-CN"/>
        </w:rPr>
        <w:t>）</w:t>
      </w:r>
    </w:p>
    <w:p>
      <w:pPr>
        <w:pStyle w:val="182"/>
        <w:adjustRightInd/>
        <w:spacing w:line="360" w:lineRule="auto"/>
        <w:ind w:right="-454" w:firstLine="567"/>
        <w:rPr>
          <w:rFonts w:ascii="仿宋_GB2312" w:eastAsia="仿宋_GB2312"/>
          <w:caps/>
          <w:color w:val="000000"/>
        </w:rPr>
      </w:pPr>
    </w:p>
    <w:p>
      <w:pPr>
        <w:pStyle w:val="182"/>
        <w:adjustRightInd/>
        <w:spacing w:line="360" w:lineRule="auto"/>
        <w:ind w:right="-454" w:firstLine="567"/>
        <w:rPr>
          <w:rFonts w:hint="eastAsia" w:ascii="仿宋_GB2312" w:eastAsia="仿宋_GB2312"/>
          <w:caps/>
          <w:color w:val="000000"/>
          <w:lang w:eastAsia="zh-CN"/>
        </w:rPr>
      </w:pPr>
      <w:r>
        <w:rPr>
          <w:rFonts w:hint="eastAsia" w:ascii="仿宋_GB2312" w:eastAsia="仿宋_GB2312"/>
          <w:caps/>
          <w:color w:val="000000"/>
        </w:rPr>
        <w:t>估价报告出具日</w:t>
      </w:r>
      <w:r>
        <w:rPr>
          <w:rFonts w:hint="eastAsia" w:ascii="仿宋_GB2312" w:eastAsia="仿宋_GB2312"/>
          <w:caps/>
          <w:color w:val="000000"/>
          <w:szCs w:val="22"/>
        </w:rPr>
        <w:t>期：</w:t>
      </w:r>
      <w:bookmarkStart w:id="0" w:name="OLE_LINK3"/>
      <w:r>
        <w:rPr>
          <w:rFonts w:hint="eastAsia" w:ascii="仿宋_GB2312" w:eastAsia="仿宋_GB2312"/>
          <w:caps/>
          <w:color w:val="000000"/>
          <w:szCs w:val="22"/>
          <w:lang w:eastAsia="zh-CN"/>
        </w:rPr>
        <w:t>二О二二年三月八日</w:t>
      </w:r>
    </w:p>
    <w:bookmarkEnd w:id="0"/>
    <w:p>
      <w:pPr>
        <w:pStyle w:val="182"/>
        <w:adjustRightInd/>
        <w:spacing w:line="480" w:lineRule="auto"/>
        <w:ind w:right="-454" w:firstLine="567"/>
        <w:rPr>
          <w:rFonts w:ascii="仿宋_GB2312" w:eastAsia="仿宋_GB2312"/>
          <w:caps/>
          <w:color w:val="000000"/>
        </w:rPr>
      </w:pPr>
    </w:p>
    <w:p>
      <w:pPr>
        <w:pStyle w:val="3"/>
        <w:spacing w:before="0" w:after="0" w:line="360" w:lineRule="auto"/>
        <w:rPr>
          <w:rFonts w:ascii="仿宋_GB2312" w:eastAsia="仿宋_GB2312"/>
          <w:b/>
          <w:caps/>
          <w:color w:val="000000"/>
          <w:sz w:val="30"/>
        </w:rPr>
        <w:sectPr>
          <w:headerReference r:id="rId3" w:type="default"/>
          <w:footerReference r:id="rId4" w:type="default"/>
          <w:footerReference r:id="rId5" w:type="even"/>
          <w:pgSz w:w="11907" w:h="16840"/>
          <w:pgMar w:top="1304" w:right="1304" w:bottom="1304" w:left="1304" w:header="851" w:footer="1134" w:gutter="0"/>
          <w:cols w:space="720" w:num="1"/>
          <w:docGrid w:type="linesAndChars" w:linePitch="312" w:charSpace="0"/>
        </w:sectPr>
      </w:pPr>
    </w:p>
    <w:p>
      <w:pPr>
        <w:pStyle w:val="3"/>
        <w:spacing w:before="0" w:after="0" w:line="360" w:lineRule="auto"/>
        <w:rPr>
          <w:rFonts w:ascii="仿宋_GB2312" w:eastAsia="仿宋_GB2312"/>
          <w:b/>
          <w:caps/>
          <w:color w:val="000000"/>
          <w:sz w:val="30"/>
        </w:rPr>
      </w:pPr>
      <w:bookmarkStart w:id="1" w:name="_Toc476642212"/>
      <w:bookmarkStart w:id="2" w:name="_Toc476642098"/>
      <w:bookmarkStart w:id="3" w:name="_Toc8933"/>
      <w:r>
        <w:rPr>
          <w:rFonts w:hint="eastAsia" w:ascii="仿宋_GB2312" w:eastAsia="仿宋_GB2312"/>
          <w:b/>
          <w:caps/>
          <w:color w:val="000000"/>
          <w:sz w:val="30"/>
        </w:rPr>
        <w:t>致估价委托人函</w:t>
      </w:r>
      <w:bookmarkEnd w:id="1"/>
      <w:bookmarkEnd w:id="2"/>
      <w:bookmarkEnd w:id="3"/>
    </w:p>
    <w:p>
      <w:pPr>
        <w:pStyle w:val="182"/>
        <w:adjustRightInd/>
        <w:spacing w:line="578" w:lineRule="exact"/>
        <w:ind w:right="0" w:firstLine="0"/>
        <w:jc w:val="both"/>
        <w:rPr>
          <w:rFonts w:ascii="仿宋_GB2312" w:eastAsia="仿宋_GB2312"/>
          <w:b/>
          <w:caps/>
          <w:color w:val="000000"/>
          <w:sz w:val="28"/>
          <w:szCs w:val="28"/>
        </w:rPr>
      </w:pPr>
      <w:r>
        <w:rPr>
          <w:rFonts w:hint="eastAsia" w:ascii="仿宋_GB2312" w:eastAsia="仿宋_GB2312"/>
          <w:b/>
          <w:caps/>
          <w:color w:val="000000"/>
          <w:sz w:val="28"/>
          <w:szCs w:val="28"/>
          <w:lang w:eastAsia="zh-CN"/>
        </w:rPr>
        <w:t>广东省广州市中级人民法院</w:t>
      </w:r>
      <w:r>
        <w:rPr>
          <w:rFonts w:hint="eastAsia" w:ascii="仿宋_GB2312" w:eastAsia="仿宋_GB2312"/>
          <w:b/>
          <w:caps/>
          <w:color w:val="000000"/>
          <w:sz w:val="28"/>
          <w:szCs w:val="28"/>
        </w:rPr>
        <w:t>：</w:t>
      </w:r>
    </w:p>
    <w:p>
      <w:pPr>
        <w:spacing w:line="578"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受贵院的委托，本公司对</w:t>
      </w:r>
      <w:r>
        <w:rPr>
          <w:rFonts w:hint="eastAsia" w:ascii="仿宋_GB2312" w:eastAsia="仿宋_GB2312"/>
          <w:caps/>
          <w:color w:val="000000"/>
          <w:sz w:val="28"/>
          <w:szCs w:val="22"/>
          <w:lang w:eastAsia="zh-CN"/>
        </w:rPr>
        <w:t>广州市增城区新塘镇新绣南路45号负二层2443房</w:t>
      </w:r>
      <w:r>
        <w:rPr>
          <w:rFonts w:hint="eastAsia" w:ascii="仿宋_GB2312" w:eastAsia="仿宋_GB2312"/>
          <w:caps/>
          <w:color w:val="000000"/>
          <w:sz w:val="28"/>
          <w:szCs w:val="22"/>
        </w:rPr>
        <w:t>房地产进行估价，估价目的是</w:t>
      </w:r>
      <w:r>
        <w:rPr>
          <w:rFonts w:hint="eastAsia" w:ascii="仿宋_GB2312" w:eastAsia="仿宋_GB2312"/>
          <w:caps/>
          <w:color w:val="000000"/>
          <w:sz w:val="28"/>
          <w:szCs w:val="22"/>
          <w:lang w:eastAsia="zh-CN"/>
        </w:rPr>
        <w:t>为人民法院确定财产处置参考价提供参考依据</w:t>
      </w:r>
      <w:r>
        <w:rPr>
          <w:rFonts w:hint="eastAsia" w:ascii="仿宋_GB2312" w:eastAsia="仿宋_GB2312"/>
          <w:caps/>
          <w:color w:val="000000"/>
          <w:sz w:val="28"/>
          <w:szCs w:val="22"/>
        </w:rPr>
        <w:t>。估价对象基本情况如下：</w:t>
      </w:r>
    </w:p>
    <w:p>
      <w:pPr>
        <w:spacing w:line="578"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名称：</w:t>
      </w:r>
      <w:bookmarkStart w:id="4" w:name="OLE_LINK15"/>
      <w:r>
        <w:rPr>
          <w:rFonts w:hint="eastAsia" w:ascii="仿宋_GB2312" w:eastAsia="仿宋_GB2312"/>
          <w:caps/>
          <w:color w:val="000000"/>
          <w:sz w:val="28"/>
          <w:szCs w:val="22"/>
        </w:rPr>
        <w:t>估价对象所在小区名称为</w:t>
      </w:r>
      <w:r>
        <w:rPr>
          <w:rFonts w:hint="eastAsia" w:ascii="仿宋_GB2312" w:eastAsia="仿宋_GB2312"/>
          <w:caps/>
          <w:color w:val="000000"/>
          <w:sz w:val="28"/>
          <w:szCs w:val="22"/>
          <w:lang w:eastAsia="zh-CN"/>
        </w:rPr>
        <w:t>“锦绣天伦花园”</w:t>
      </w:r>
      <w:r>
        <w:rPr>
          <w:rFonts w:hint="eastAsia" w:ascii="仿宋_GB2312" w:eastAsia="仿宋_GB2312"/>
          <w:caps/>
          <w:color w:val="000000"/>
          <w:sz w:val="28"/>
          <w:szCs w:val="22"/>
        </w:rPr>
        <w:t>。</w:t>
      </w:r>
    </w:p>
    <w:bookmarkEnd w:id="4"/>
    <w:p>
      <w:pPr>
        <w:spacing w:line="578"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坐落：</w:t>
      </w:r>
      <w:r>
        <w:rPr>
          <w:rFonts w:hint="eastAsia" w:ascii="仿宋_GB2312" w:eastAsia="仿宋_GB2312"/>
          <w:caps/>
          <w:color w:val="000000"/>
          <w:sz w:val="28"/>
          <w:szCs w:val="22"/>
          <w:lang w:eastAsia="zh-CN"/>
        </w:rPr>
        <w:t>广州市增城区新塘镇新绣南路45号负二层2443房</w:t>
      </w:r>
      <w:r>
        <w:rPr>
          <w:rFonts w:hint="eastAsia" w:ascii="仿宋_GB2312" w:eastAsia="仿宋_GB2312"/>
          <w:caps/>
          <w:color w:val="000000"/>
          <w:sz w:val="28"/>
          <w:szCs w:val="22"/>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_GB2312" w:eastAsia="仿宋_GB2312"/>
          <w:caps/>
          <w:color w:val="000000"/>
          <w:sz w:val="28"/>
          <w:szCs w:val="22"/>
        </w:rPr>
      </w:pPr>
      <w:r>
        <w:rPr>
          <w:rFonts w:hint="eastAsia" w:ascii="仿宋_GB2312" w:eastAsia="仿宋_GB2312"/>
          <w:caps/>
          <w:color w:val="000000"/>
          <w:sz w:val="28"/>
          <w:szCs w:val="22"/>
        </w:rPr>
        <w:t>范围：</w:t>
      </w:r>
      <w:r>
        <w:rPr>
          <w:rFonts w:hint="eastAsia" w:ascii="仿宋_GB2312" w:eastAsia="仿宋_GB2312"/>
          <w:caps/>
          <w:color w:val="000000"/>
          <w:sz w:val="28"/>
          <w:szCs w:val="22"/>
          <w:lang w:eastAsia="zh-CN"/>
        </w:rPr>
        <w:t>广州市增城区新塘镇新绣南路45号负二层2443房</w:t>
      </w:r>
      <w:r>
        <w:rPr>
          <w:rFonts w:hint="eastAsia" w:ascii="仿宋_GB2312" w:eastAsia="仿宋_GB2312"/>
          <w:caps/>
          <w:color w:val="000000"/>
          <w:sz w:val="28"/>
          <w:szCs w:val="22"/>
        </w:rPr>
        <w:t>房地产</w:t>
      </w:r>
      <w:r>
        <w:rPr>
          <w:rFonts w:hint="eastAsia" w:ascii="仿宋_GB2312" w:eastAsia="仿宋_GB2312"/>
          <w:caps/>
          <w:color w:val="000000"/>
          <w:sz w:val="28"/>
          <w:szCs w:val="22"/>
          <w:lang w:eastAsia="zh-CN"/>
        </w:rPr>
        <w:t>，</w:t>
      </w:r>
      <w:r>
        <w:rPr>
          <w:rFonts w:hint="eastAsia" w:ascii="仿宋_GB2312" w:eastAsia="仿宋_GB2312"/>
          <w:caps/>
          <w:color w:val="000000"/>
          <w:sz w:val="28"/>
        </w:rPr>
        <w:t>包括分摊的土地使用权价值、建筑物所有权价值、装饰装修工程、满足使用功能需要的水、电、消防等固定配套设施价值，不包含动产、债权债务、特许经营权等其他财产价值</w:t>
      </w:r>
      <w:r>
        <w:rPr>
          <w:rFonts w:hint="eastAsia" w:ascii="仿宋_GB2312" w:eastAsia="仿宋_GB2312"/>
          <w:sz w:val="28"/>
          <w:szCs w:val="28"/>
        </w:rPr>
        <w:t>。</w:t>
      </w:r>
    </w:p>
    <w:p>
      <w:pPr>
        <w:spacing w:line="578"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规模：</w:t>
      </w:r>
      <w:bookmarkStart w:id="5" w:name="OLE_LINK13"/>
      <w:bookmarkStart w:id="6" w:name="OLE_LINK25"/>
      <w:r>
        <w:rPr>
          <w:rFonts w:hint="eastAsia" w:ascii="仿宋_GB2312" w:eastAsia="仿宋_GB2312"/>
          <w:caps/>
          <w:color w:val="000000"/>
          <w:sz w:val="28"/>
          <w:szCs w:val="28"/>
        </w:rPr>
        <w:t>估价对象位于</w:t>
      </w:r>
      <w:r>
        <w:rPr>
          <w:rFonts w:hint="eastAsia" w:ascii="仿宋_GB2312" w:eastAsia="仿宋_GB2312"/>
          <w:caps/>
          <w:color w:val="000000"/>
          <w:sz w:val="28"/>
          <w:szCs w:val="28"/>
          <w:lang w:eastAsia="zh-CN"/>
        </w:rPr>
        <w:t>广州市增城区新塘镇新绣南路45号负二层2443房</w:t>
      </w:r>
      <w:r>
        <w:rPr>
          <w:rFonts w:hint="eastAsia" w:ascii="仿宋_GB2312" w:eastAsia="仿宋_GB2312"/>
          <w:caps/>
          <w:color w:val="000000"/>
          <w:sz w:val="28"/>
          <w:szCs w:val="28"/>
        </w:rPr>
        <w:t>，所在建筑是一栋钢筋混凝土结构</w:t>
      </w:r>
      <w:r>
        <w:rPr>
          <w:rFonts w:hint="eastAsia" w:ascii="仿宋_GB2312" w:eastAsia="仿宋_GB2312"/>
          <w:caps/>
          <w:color w:val="000000"/>
          <w:sz w:val="28"/>
          <w:szCs w:val="28"/>
          <w:lang w:eastAsia="zh-CN"/>
        </w:rPr>
        <w:t>33层的电梯楼</w:t>
      </w:r>
      <w:r>
        <w:rPr>
          <w:rFonts w:hint="eastAsia" w:ascii="仿宋_GB2312" w:eastAsia="仿宋_GB2312"/>
          <w:caps/>
          <w:color w:val="000000"/>
          <w:sz w:val="28"/>
          <w:szCs w:val="28"/>
        </w:rPr>
        <w:t>，估价对象位于</w:t>
      </w:r>
      <w:r>
        <w:rPr>
          <w:rFonts w:hint="eastAsia" w:ascii="仿宋_GB2312" w:eastAsia="仿宋_GB2312"/>
          <w:caps/>
          <w:color w:val="000000"/>
          <w:sz w:val="28"/>
          <w:szCs w:val="28"/>
          <w:lang w:eastAsia="zh-CN"/>
        </w:rPr>
        <w:t>地下2层</w:t>
      </w:r>
      <w:r>
        <w:rPr>
          <w:rFonts w:hint="eastAsia" w:ascii="仿宋_GB2312" w:eastAsia="仿宋_GB2312"/>
          <w:caps/>
          <w:color w:val="000000"/>
          <w:sz w:val="28"/>
          <w:szCs w:val="28"/>
        </w:rPr>
        <w:t>，建筑面积为</w:t>
      </w:r>
      <w:r>
        <w:rPr>
          <w:rFonts w:hint="eastAsia" w:ascii="仿宋_GB2312" w:eastAsia="仿宋_GB2312"/>
          <w:caps/>
          <w:color w:val="000000"/>
          <w:sz w:val="28"/>
          <w:szCs w:val="22"/>
          <w:lang w:eastAsia="zh-CN"/>
        </w:rPr>
        <w:t>11.99平方米</w:t>
      </w:r>
      <w:r>
        <w:rPr>
          <w:rFonts w:hint="eastAsia" w:ascii="仿宋_GB2312" w:eastAsia="仿宋_GB2312"/>
          <w:caps/>
          <w:color w:val="000000"/>
          <w:sz w:val="28"/>
          <w:szCs w:val="28"/>
        </w:rPr>
        <w:t>。</w:t>
      </w:r>
    </w:p>
    <w:bookmarkEnd w:id="5"/>
    <w:bookmarkEnd w:id="6"/>
    <w:p>
      <w:pPr>
        <w:spacing w:line="578"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用途：</w:t>
      </w:r>
      <w:r>
        <w:rPr>
          <w:rFonts w:hint="eastAsia" w:ascii="仿宋_GB2312" w:eastAsia="仿宋_GB2312"/>
          <w:caps/>
          <w:color w:val="000000"/>
          <w:sz w:val="28"/>
          <w:szCs w:val="22"/>
          <w:lang w:eastAsia="zh-CN"/>
        </w:rPr>
        <w:t>房屋用途为车位</w:t>
      </w:r>
      <w:r>
        <w:rPr>
          <w:rFonts w:hint="eastAsia" w:ascii="仿宋_GB2312" w:eastAsia="仿宋_GB2312"/>
          <w:caps/>
          <w:color w:val="000000"/>
          <w:sz w:val="28"/>
          <w:szCs w:val="22"/>
        </w:rPr>
        <w:t>。</w:t>
      </w:r>
    </w:p>
    <w:p>
      <w:pPr>
        <w:spacing w:line="578"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权属：权属人为</w:t>
      </w:r>
      <w:r>
        <w:rPr>
          <w:rFonts w:hint="eastAsia" w:ascii="仿宋_GB2312" w:eastAsia="仿宋_GB2312"/>
          <w:caps/>
          <w:color w:val="000000"/>
          <w:sz w:val="28"/>
          <w:szCs w:val="22"/>
          <w:lang w:eastAsia="zh-CN"/>
        </w:rPr>
        <w:t>王晓芳</w:t>
      </w:r>
      <w:r>
        <w:rPr>
          <w:rFonts w:hint="eastAsia" w:ascii="仿宋_GB2312" w:eastAsia="仿宋_GB2312"/>
          <w:caps/>
          <w:color w:val="000000"/>
          <w:sz w:val="28"/>
          <w:szCs w:val="22"/>
        </w:rPr>
        <w:t>。</w:t>
      </w:r>
    </w:p>
    <w:p>
      <w:pPr>
        <w:spacing w:line="578"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价值时点：</w:t>
      </w:r>
      <w:r>
        <w:rPr>
          <w:rFonts w:hint="eastAsia" w:ascii="仿宋_GB2312" w:eastAsia="仿宋_GB2312"/>
          <w:caps/>
          <w:color w:val="000000"/>
          <w:sz w:val="28"/>
          <w:szCs w:val="22"/>
          <w:lang w:eastAsia="zh-CN"/>
        </w:rPr>
        <w:t>2022年2月24日</w:t>
      </w:r>
      <w:r>
        <w:rPr>
          <w:rFonts w:hint="eastAsia" w:ascii="仿宋_GB2312" w:eastAsia="仿宋_GB2312"/>
          <w:caps/>
          <w:color w:val="000000"/>
          <w:sz w:val="28"/>
          <w:szCs w:val="22"/>
        </w:rPr>
        <w:t>（实地查勘日期）。</w:t>
      </w:r>
    </w:p>
    <w:p>
      <w:pPr>
        <w:spacing w:line="578"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价值类型：市场价值。</w:t>
      </w:r>
    </w:p>
    <w:p>
      <w:pPr>
        <w:pStyle w:val="14"/>
        <w:spacing w:line="578"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估价方法：</w:t>
      </w:r>
      <w:r>
        <w:rPr>
          <w:rFonts w:hint="eastAsia" w:ascii="仿宋_GB2312" w:hAnsi="仿宋_GB2312" w:eastAsia="仿宋_GB2312" w:cs="仿宋_GB2312"/>
          <w:sz w:val="28"/>
          <w:szCs w:val="28"/>
        </w:rPr>
        <w:t>比较法</w:t>
      </w:r>
      <w:r>
        <w:rPr>
          <w:rFonts w:hint="eastAsia" w:ascii="仿宋_GB2312" w:hAnsi="仿宋_GB2312" w:eastAsia="仿宋_GB2312" w:cs="仿宋_GB2312"/>
          <w:caps/>
          <w:color w:val="000000"/>
          <w:sz w:val="28"/>
          <w:szCs w:val="28"/>
        </w:rPr>
        <w:t>、</w:t>
      </w:r>
      <w:r>
        <w:rPr>
          <w:rFonts w:hint="eastAsia" w:ascii="仿宋_GB2312" w:hAnsi="仿宋_GB2312" w:eastAsia="仿宋_GB2312" w:cs="仿宋_GB2312"/>
          <w:caps/>
          <w:color w:val="000000"/>
          <w:sz w:val="28"/>
          <w:szCs w:val="28"/>
          <w:lang w:val="en-US" w:eastAsia="zh-CN"/>
        </w:rPr>
        <w:t>收益法</w:t>
      </w:r>
      <w:r>
        <w:rPr>
          <w:rFonts w:hint="eastAsia" w:ascii="仿宋_GB2312" w:hAnsi="仿宋_GB2312" w:eastAsia="仿宋_GB2312" w:cs="仿宋_GB2312"/>
          <w:caps/>
          <w:color w:val="000000"/>
          <w:sz w:val="28"/>
          <w:szCs w:val="28"/>
        </w:rPr>
        <w:t>。</w:t>
      </w:r>
    </w:p>
    <w:p>
      <w:pPr>
        <w:spacing w:line="578" w:lineRule="exact"/>
        <w:ind w:firstLine="560" w:firstLineChars="200"/>
        <w:rPr>
          <w:rFonts w:hint="eastAsia" w:ascii="仿宋_GB2312" w:eastAsia="仿宋_GB2312"/>
          <w:caps/>
          <w:color w:val="000000"/>
          <w:sz w:val="28"/>
          <w:szCs w:val="22"/>
          <w:highlight w:val="none"/>
          <w:lang w:eastAsia="zh-CN"/>
        </w:rPr>
      </w:pPr>
      <w:r>
        <w:rPr>
          <w:rFonts w:hint="eastAsia" w:ascii="仿宋_GB2312" w:eastAsia="仿宋_GB2312"/>
          <w:caps/>
          <w:color w:val="000000"/>
          <w:sz w:val="28"/>
          <w:szCs w:val="22"/>
          <w:highlight w:val="none"/>
        </w:rPr>
        <w:t>评估专业人员经过实地查勘和科学测算，根据估价目的，遵循估价原则，采用公开市场价值标准，在认真分析估价委托人提供的资料以及实地查勘和市场调查取得的资料的基础上，对影响房地产市场价值因素进行了分析，经采用适宜的方法，结合估价经验，确定估价对象在满足估价的假设前提和限制条件下于价值时点的市场总价为</w:t>
      </w:r>
      <w:r>
        <w:rPr>
          <w:rFonts w:hint="eastAsia" w:ascii="仿宋_GB2312" w:eastAsia="仿宋_GB2312"/>
          <w:b/>
          <w:bCs/>
          <w:caps/>
          <w:color w:val="000000"/>
          <w:sz w:val="28"/>
          <w:szCs w:val="22"/>
          <w:highlight w:val="none"/>
        </w:rPr>
        <w:t>¥</w:t>
      </w:r>
      <w:r>
        <w:rPr>
          <w:rFonts w:hint="eastAsia" w:ascii="仿宋_GB2312" w:eastAsia="仿宋_GB2312"/>
          <w:b/>
          <w:bCs/>
          <w:caps/>
          <w:color w:val="000000"/>
          <w:sz w:val="28"/>
          <w:szCs w:val="22"/>
          <w:highlight w:val="none"/>
          <w:lang w:val="en-US" w:eastAsia="zh-CN"/>
        </w:rPr>
        <w:t>99,400</w:t>
      </w:r>
      <w:r>
        <w:rPr>
          <w:rFonts w:hint="eastAsia" w:ascii="仿宋_GB2312" w:eastAsia="仿宋_GB2312"/>
          <w:caps/>
          <w:color w:val="000000"/>
          <w:sz w:val="28"/>
          <w:szCs w:val="22"/>
          <w:highlight w:val="none"/>
        </w:rPr>
        <w:t>元(人民币</w:t>
      </w:r>
      <w:r>
        <w:rPr>
          <w:rFonts w:hint="eastAsia" w:ascii="仿宋_GB2312" w:eastAsia="仿宋_GB2312"/>
          <w:b/>
          <w:bCs/>
          <w:caps/>
          <w:color w:val="000000"/>
          <w:sz w:val="28"/>
          <w:szCs w:val="22"/>
          <w:highlight w:val="none"/>
          <w:lang w:val="en-US" w:eastAsia="zh-CN"/>
        </w:rPr>
        <w:t>玖万玖仟肆佰</w:t>
      </w:r>
      <w:r>
        <w:rPr>
          <w:rFonts w:hint="eastAsia" w:ascii="仿宋_GB2312" w:eastAsia="仿宋_GB2312"/>
          <w:caps/>
          <w:color w:val="000000"/>
          <w:sz w:val="28"/>
          <w:szCs w:val="22"/>
          <w:highlight w:val="none"/>
        </w:rPr>
        <w:fldChar w:fldCharType="begin"/>
      </w:r>
      <w:r>
        <w:rPr>
          <w:rFonts w:hint="eastAsia" w:ascii="仿宋_GB2312" w:eastAsia="仿宋_GB2312"/>
          <w:caps/>
          <w:color w:val="000000"/>
          <w:sz w:val="28"/>
          <w:szCs w:val="22"/>
          <w:highlight w:val="none"/>
        </w:rPr>
        <w:instrText xml:space="preserve"> =1841500 \* CHINESENUM2 </w:instrText>
      </w:r>
      <w:r>
        <w:rPr>
          <w:rFonts w:hint="eastAsia" w:ascii="仿宋_GB2312" w:eastAsia="仿宋_GB2312"/>
          <w:caps/>
          <w:color w:val="000000"/>
          <w:sz w:val="28"/>
          <w:szCs w:val="22"/>
          <w:highlight w:val="none"/>
        </w:rPr>
        <w:fldChar w:fldCharType="separate"/>
      </w:r>
      <w:r>
        <w:rPr>
          <w:rFonts w:hint="eastAsia" w:ascii="仿宋_GB2312" w:eastAsia="仿宋_GB2312"/>
          <w:caps/>
          <w:color w:val="000000"/>
          <w:sz w:val="28"/>
          <w:szCs w:val="22"/>
          <w:highlight w:val="none"/>
        </w:rPr>
        <w:fldChar w:fldCharType="end"/>
      </w:r>
      <w:r>
        <w:rPr>
          <w:rFonts w:hint="eastAsia" w:ascii="仿宋_GB2312" w:eastAsia="仿宋_GB2312"/>
          <w:caps/>
          <w:color w:val="000000"/>
          <w:sz w:val="28"/>
          <w:szCs w:val="22"/>
          <w:highlight w:val="none"/>
        </w:rPr>
        <w:t>元整)</w:t>
      </w:r>
      <w:r>
        <w:rPr>
          <w:rFonts w:hint="eastAsia" w:ascii="仿宋_GB2312" w:eastAsia="仿宋_GB2312"/>
          <w:caps/>
          <w:color w:val="000000"/>
          <w:sz w:val="28"/>
          <w:szCs w:val="22"/>
          <w:highlight w:val="none"/>
          <w:lang w:eastAsia="zh-CN"/>
        </w:rPr>
        <w:t>（取整至百位），市场单价为</w:t>
      </w:r>
      <w:r>
        <w:rPr>
          <w:rFonts w:hint="eastAsia" w:ascii="仿宋_GB2312" w:eastAsia="仿宋_GB2312"/>
          <w:b/>
          <w:bCs/>
          <w:caps/>
          <w:color w:val="000000"/>
          <w:sz w:val="28"/>
          <w:szCs w:val="22"/>
          <w:highlight w:val="none"/>
          <w:lang w:eastAsia="zh-CN"/>
        </w:rPr>
        <w:t>¥99,400</w:t>
      </w:r>
      <w:r>
        <w:rPr>
          <w:rFonts w:hint="eastAsia" w:ascii="仿宋_GB2312" w:eastAsia="仿宋_GB2312"/>
          <w:caps/>
          <w:color w:val="000000"/>
          <w:sz w:val="28"/>
          <w:szCs w:val="22"/>
          <w:highlight w:val="none"/>
          <w:lang w:eastAsia="zh-CN"/>
        </w:rPr>
        <w:t>元/个</w:t>
      </w:r>
      <w:r>
        <w:rPr>
          <w:rFonts w:hint="eastAsia" w:ascii="仿宋_GB2312" w:eastAsia="仿宋_GB2312"/>
          <w:caps/>
          <w:color w:val="000000"/>
          <w:sz w:val="28"/>
          <w:szCs w:val="22"/>
          <w:highlight w:val="none"/>
        </w:rPr>
        <w:t>(</w:t>
      </w:r>
      <w:r>
        <w:rPr>
          <w:rFonts w:hint="eastAsia" w:ascii="仿宋_GB2312" w:eastAsia="仿宋_GB2312"/>
          <w:caps/>
          <w:color w:val="000000"/>
          <w:sz w:val="28"/>
          <w:szCs w:val="22"/>
          <w:highlight w:val="none"/>
          <w:lang w:eastAsia="zh-CN"/>
        </w:rPr>
        <w:t>每个</w:t>
      </w:r>
      <w:r>
        <w:rPr>
          <w:rFonts w:hint="eastAsia" w:ascii="仿宋_GB2312" w:eastAsia="仿宋_GB2312"/>
          <w:caps/>
          <w:color w:val="000000"/>
          <w:sz w:val="28"/>
          <w:szCs w:val="22"/>
          <w:highlight w:val="none"/>
        </w:rPr>
        <w:t>人民币</w:t>
      </w:r>
      <w:r>
        <w:rPr>
          <w:rFonts w:hint="eastAsia" w:ascii="仿宋_GB2312" w:eastAsia="仿宋_GB2312"/>
          <w:b/>
          <w:bCs/>
          <w:caps/>
          <w:color w:val="000000"/>
          <w:sz w:val="28"/>
          <w:szCs w:val="22"/>
          <w:highlight w:val="none"/>
          <w:lang w:val="en-US" w:eastAsia="zh-CN"/>
        </w:rPr>
        <w:t>玖万玖仟肆佰</w:t>
      </w:r>
      <w:r>
        <w:rPr>
          <w:rFonts w:hint="eastAsia" w:ascii="仿宋_GB2312" w:eastAsia="仿宋_GB2312"/>
          <w:caps/>
          <w:color w:val="000000"/>
          <w:sz w:val="28"/>
          <w:szCs w:val="22"/>
          <w:highlight w:val="none"/>
        </w:rPr>
        <w:t>元整)</w:t>
      </w:r>
      <w:r>
        <w:rPr>
          <w:rFonts w:hint="eastAsia" w:ascii="仿宋_GB2312" w:eastAsia="仿宋_GB2312"/>
          <w:caps/>
          <w:color w:val="000000"/>
          <w:sz w:val="28"/>
          <w:szCs w:val="22"/>
          <w:highlight w:val="none"/>
          <w:lang w:eastAsia="zh-CN"/>
        </w:rPr>
        <w:t>（取整至百位）。</w:t>
      </w:r>
    </w:p>
    <w:p>
      <w:pPr>
        <w:keepNext w:val="0"/>
        <w:keepLines w:val="0"/>
        <w:pageBreakBefore w:val="0"/>
        <w:widowControl w:val="0"/>
        <w:kinsoku/>
        <w:wordWrap/>
        <w:overflowPunct/>
        <w:topLinePunct w:val="0"/>
        <w:bidi w:val="0"/>
        <w:adjustRightInd/>
        <w:snapToGrid w:val="0"/>
        <w:spacing w:line="600" w:lineRule="exact"/>
        <w:ind w:firstLine="480" w:firstLineChars="200"/>
        <w:jc w:val="left"/>
        <w:outlineLvl w:val="9"/>
        <w:rPr>
          <w:rFonts w:hint="eastAsia" w:ascii="仿宋_GB2312" w:eastAsia="仿宋_GB2312"/>
          <w:bCs/>
          <w:caps/>
          <w:color w:val="000000"/>
          <w:sz w:val="24"/>
          <w:szCs w:val="24"/>
        </w:rPr>
      </w:pPr>
      <w:r>
        <w:rPr>
          <w:rFonts w:hint="eastAsia" w:ascii="仿宋_GB2312" w:eastAsia="仿宋_GB2312"/>
          <w:bCs/>
          <w:caps/>
          <w:color w:val="000000"/>
          <w:sz w:val="24"/>
          <w:szCs w:val="24"/>
        </w:rPr>
        <w:t>特别提示：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ascii="仿宋_GB2312" w:eastAsia="仿宋_GB2312"/>
          <w:caps/>
          <w:color w:val="000000"/>
          <w:sz w:val="24"/>
          <w:szCs w:val="24"/>
          <w:highlight w:val="none"/>
        </w:rPr>
      </w:pPr>
      <w:r>
        <w:rPr>
          <w:rFonts w:hint="eastAsia" w:ascii="仿宋_GB2312" w:hAnsi="仿宋" w:eastAsia="仿宋_GB2312"/>
          <w:caps/>
          <w:color w:val="000000"/>
          <w:sz w:val="24"/>
          <w:szCs w:val="24"/>
          <w:highlight w:val="none"/>
          <w:lang w:val="en-US" w:eastAsia="zh-CN"/>
        </w:rPr>
        <w:t>①根据估价委托人提供的《广州市不动产登记查册表》（不动产登记字号：19登记12528222）资料复印件，</w:t>
      </w:r>
      <w:r>
        <w:rPr>
          <w:rFonts w:hint="eastAsia" w:ascii="仿宋_GB2312" w:hAnsi="仿宋" w:eastAsia="仿宋_GB2312"/>
          <w:caps/>
          <w:color w:val="auto"/>
          <w:sz w:val="24"/>
          <w:szCs w:val="24"/>
          <w:highlight w:val="none"/>
          <w:lang w:val="en-US" w:eastAsia="zh-CN"/>
        </w:rPr>
        <w:t>估价对象权利类型为国有建设用地使用权，权利性质为出让，土地用途为城镇住宅用地，</w:t>
      </w:r>
      <w:r>
        <w:rPr>
          <w:rFonts w:hint="eastAsia" w:ascii="仿宋_GB2312" w:hAnsi="仿宋" w:eastAsia="仿宋_GB2312"/>
          <w:caps/>
          <w:color w:val="000000"/>
          <w:sz w:val="24"/>
          <w:szCs w:val="24"/>
          <w:lang w:val="en-US" w:eastAsia="zh-CN"/>
        </w:rPr>
        <w:t>使用年限50年</w:t>
      </w:r>
      <w:r>
        <w:rPr>
          <w:rFonts w:hint="eastAsia" w:ascii="仿宋_GB2312" w:hAnsi="仿宋" w:eastAsia="仿宋_GB2312"/>
          <w:caps/>
          <w:color w:val="000000"/>
          <w:sz w:val="24"/>
          <w:szCs w:val="24"/>
          <w:highlight w:val="none"/>
          <w:lang w:val="en-US" w:eastAsia="zh-CN"/>
        </w:rPr>
        <w:t>，</w:t>
      </w:r>
      <w:r>
        <w:rPr>
          <w:rFonts w:hint="eastAsia" w:ascii="仿宋_GB2312" w:hAnsi="仿宋" w:eastAsia="仿宋_GB2312"/>
          <w:caps/>
          <w:color w:val="auto"/>
          <w:sz w:val="24"/>
          <w:szCs w:val="24"/>
          <w:highlight w:val="none"/>
          <w:lang w:val="en-US" w:eastAsia="zh-CN"/>
        </w:rPr>
        <w:t>不动产使用期限起始为2012年11月28日，终止为2062年11月27日。本次评估结果已包含了估价对象相应用途国有土地使用权出让金。如至价值时点止，原产权人尚有其他任何有关估价对象的应缴未缴税、费，应按规定缴纳或从估价结果中相应扣减，并据实调整估价结果或重新估价</w:t>
      </w:r>
      <w:r>
        <w:rPr>
          <w:rFonts w:hint="eastAsia" w:ascii="仿宋_GB2312" w:hAnsi="仿宋" w:eastAsia="仿宋_GB2312"/>
          <w:caps/>
          <w:color w:val="auto"/>
          <w:sz w:val="24"/>
          <w:szCs w:val="24"/>
          <w:highlight w:val="none"/>
        </w:rPr>
        <w:t>。</w:t>
      </w:r>
      <w:r>
        <w:rPr>
          <w:rFonts w:hint="eastAsia" w:ascii="仿宋_GB2312" w:hAnsi="仿宋_GB2312" w:eastAsia="仿宋_GB2312" w:cs="仿宋_GB2312"/>
          <w:b/>
          <w:bCs/>
          <w:caps/>
          <w:color w:val="auto"/>
          <w:sz w:val="24"/>
          <w:szCs w:val="24"/>
        </w:rPr>
        <w:t>特提请报告使用人注意</w:t>
      </w:r>
      <w:r>
        <w:rPr>
          <w:rFonts w:hint="eastAsia" w:ascii="仿宋_GB2312" w:eastAsia="仿宋_GB2312"/>
          <w:b/>
          <w:bCs/>
          <w:cap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宋体" w:hAnsi="宋体" w:eastAsia="宋体"/>
          <w:caps/>
          <w:color w:val="000000"/>
          <w:sz w:val="24"/>
          <w:szCs w:val="24"/>
          <w:lang w:eastAsia="zh-CN"/>
        </w:rPr>
      </w:pPr>
      <w:r>
        <w:rPr>
          <w:rFonts w:hint="eastAsia" w:ascii="宋体" w:hAnsi="宋体"/>
          <w:caps/>
          <w:color w:val="000000"/>
          <w:sz w:val="24"/>
          <w:szCs w:val="24"/>
        </w:rPr>
        <w:t>②</w:t>
      </w:r>
      <w:r>
        <w:rPr>
          <w:rFonts w:hint="eastAsia" w:ascii="仿宋_GB2312" w:eastAsia="仿宋_GB2312"/>
          <w:caps/>
          <w:color w:val="000000"/>
          <w:sz w:val="24"/>
          <w:szCs w:val="24"/>
        </w:rPr>
        <w:t>评估专业人员对估价对象的实地查勘仅限于估价对象的建筑物外观情况，并未对估价对象做建筑物基础、房屋结构上的测量和实验及环境污染的技术鉴定，因此无法确认其内部有无缺损、是否存在结构性损坏、是否存在环境污染。对被遮盖、未暴露及难以接触到的房屋结构部分及其内部设施、设备及室内外污染状况，本报告假设其无建筑物基础、房屋结构、环境污染等方面的重大质量问题，符合国家有关技术、质量、验收规范，及国家有关安全使用标准。</w:t>
      </w:r>
      <w:r>
        <w:rPr>
          <w:rFonts w:hint="eastAsia" w:ascii="仿宋_GB2312" w:eastAsia="仿宋_GB2312"/>
          <w:b/>
          <w:bCs/>
          <w:caps/>
          <w:color w:val="000000"/>
          <w:sz w:val="24"/>
          <w:szCs w:val="24"/>
        </w:rPr>
        <w:t>特提请报告使用人注意！</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仿宋_GB2312" w:eastAsia="仿宋_GB2312"/>
          <w:caps/>
          <w:color w:val="000000"/>
          <w:sz w:val="24"/>
          <w:szCs w:val="24"/>
        </w:rPr>
      </w:pPr>
      <w:r>
        <w:rPr>
          <w:rFonts w:hint="eastAsia" w:ascii="宋体" w:hAnsi="宋体"/>
          <w:caps/>
          <w:color w:val="000000"/>
          <w:sz w:val="24"/>
          <w:szCs w:val="24"/>
        </w:rPr>
        <w:t>③</w:t>
      </w:r>
      <w:r>
        <w:rPr>
          <w:rFonts w:hint="eastAsia" w:ascii="仿宋_GB2312" w:eastAsia="仿宋_GB2312"/>
          <w:caps/>
          <w:color w:val="000000"/>
          <w:sz w:val="24"/>
          <w:szCs w:val="24"/>
        </w:rPr>
        <w:t>估价委托人提供的权属证明等材料为复印件，受托人已对委托人提供的资料进行审慎检查，估价委托人应保证对其所提供资料的真实性、合法性、完整性负责。本评估报告也仅是在假设估价委托人所提供的资料均为真实、合法且完整的情形下作出的，如因估价委托人提供的资料不真实、不合法、不完整的，则本评估报告自动作废。报告使用人应对估价委托人提供资料的真实性、合法性、完整性进行审核，并与估价委托人提供的原件核对一致后方可使用本报告</w:t>
      </w:r>
      <w:r>
        <w:rPr>
          <w:rFonts w:hint="eastAsia" w:ascii="仿宋_GB2312" w:eastAsia="仿宋_GB2312"/>
          <w:caps/>
          <w:color w:val="000000"/>
          <w:sz w:val="24"/>
          <w:szCs w:val="24"/>
          <w:lang w:eastAsia="zh-CN"/>
        </w:rPr>
        <w:t>。</w:t>
      </w:r>
      <w:r>
        <w:rPr>
          <w:rFonts w:hint="eastAsia" w:ascii="仿宋_GB2312" w:hAnsi="Arial" w:eastAsia="仿宋_GB2312"/>
          <w:b/>
          <w:spacing w:val="4"/>
          <w:sz w:val="24"/>
        </w:rPr>
        <w:t>特提请报告使用人注意风险！</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仿宋_GB2312" w:eastAsia="仿宋_GB2312"/>
          <w:caps/>
          <w:color w:val="000000"/>
          <w:sz w:val="24"/>
          <w:szCs w:val="24"/>
        </w:rPr>
      </w:pPr>
      <w:r>
        <w:rPr>
          <w:rFonts w:hint="eastAsia" w:ascii="宋体" w:hAnsi="宋体"/>
          <w:caps/>
          <w:color w:val="000000"/>
          <w:sz w:val="24"/>
          <w:szCs w:val="24"/>
        </w:rPr>
        <w:t>④</w:t>
      </w:r>
      <w:r>
        <w:rPr>
          <w:rFonts w:hint="eastAsia" w:ascii="仿宋_GB2312" w:eastAsia="仿宋_GB2312"/>
          <w:caps/>
          <w:color w:val="000000"/>
          <w:sz w:val="24"/>
          <w:szCs w:val="24"/>
        </w:rPr>
        <w:t>本次估价仅对估价对象市场价值进行评估，不对其权属状况发表意见，亦未考虑其权属状况、抵押、查封等权利限制对估价结果的影响，亦未考虑估价对象可能涉及的各种拖欠费用（如管理费</w:t>
      </w:r>
      <w:r>
        <w:rPr>
          <w:rFonts w:hint="eastAsia" w:ascii="仿宋_GB2312" w:eastAsia="仿宋_GB2312"/>
          <w:caps/>
          <w:color w:val="000000"/>
          <w:sz w:val="24"/>
          <w:szCs w:val="24"/>
          <w:lang w:eastAsia="zh-CN"/>
        </w:rPr>
        <w:t>等</w:t>
      </w:r>
      <w:r>
        <w:rPr>
          <w:rFonts w:hint="eastAsia" w:ascii="仿宋_GB2312" w:eastAsia="仿宋_GB2312"/>
          <w:caps/>
          <w:color w:val="000000"/>
          <w:sz w:val="24"/>
          <w:szCs w:val="24"/>
        </w:rPr>
        <w:t>）、估价对象及其所有权人已承担的债务、或有债务及经</w:t>
      </w:r>
      <w:r>
        <w:rPr>
          <w:rFonts w:hint="eastAsia" w:ascii="仿宋_GB2312" w:eastAsia="仿宋_GB2312"/>
          <w:caps/>
          <w:color w:val="000000"/>
          <w:sz w:val="24"/>
          <w:szCs w:val="24"/>
          <w:highlight w:val="none"/>
        </w:rPr>
        <w:t>营决策失误或市场运作失当对其价值的影响</w:t>
      </w:r>
      <w:r>
        <w:rPr>
          <w:rFonts w:hint="eastAsia" w:ascii="仿宋_GB2312" w:eastAsia="仿宋_GB2312"/>
          <w:caps/>
          <w:sz w:val="24"/>
          <w:szCs w:val="24"/>
        </w:rPr>
        <w:t>。</w:t>
      </w:r>
      <w:r>
        <w:rPr>
          <w:rFonts w:hint="eastAsia" w:ascii="仿宋_GB2312" w:eastAsia="仿宋_GB2312"/>
          <w:b/>
          <w:caps/>
          <w:sz w:val="24"/>
          <w:szCs w:val="24"/>
        </w:rPr>
        <w:t>特提请报告使用人注意！</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仿宋_GB2312" w:hAnsi="仿宋_GB2312" w:eastAsia="仿宋_GB2312" w:cs="仿宋_GB2312"/>
          <w:b/>
          <w:bCs/>
          <w:caps/>
          <w:color w:val="000000"/>
          <w:sz w:val="24"/>
          <w:szCs w:val="24"/>
        </w:rPr>
      </w:pPr>
      <w:r>
        <w:rPr>
          <w:rFonts w:hint="eastAsia" w:ascii="仿宋_GB2312" w:eastAsia="仿宋_GB2312"/>
          <w:caps/>
          <w:color w:val="000000"/>
          <w:sz w:val="24"/>
          <w:szCs w:val="24"/>
          <w:lang w:eastAsia="zh-CN"/>
        </w:rPr>
        <w:t>⑤</w:t>
      </w:r>
      <w:r>
        <w:rPr>
          <w:rFonts w:hint="eastAsia" w:ascii="仿宋_GB2312" w:hAnsi="仿宋_GB2312" w:eastAsia="仿宋_GB2312" w:cs="仿宋_GB2312"/>
          <w:caps/>
          <w:color w:val="000000"/>
          <w:sz w:val="24"/>
          <w:szCs w:val="24"/>
        </w:rPr>
        <w:t>估价委托人未提供估价对象的相关租赁合同，不明确估价对象是否存在租赁关系，故本次估价未考虑租约因素对估价结果的影响</w:t>
      </w:r>
      <w:r>
        <w:rPr>
          <w:rFonts w:hint="eastAsia" w:ascii="仿宋_GB2312" w:hAnsi="仿宋_GB2312" w:eastAsia="仿宋_GB2312" w:cs="仿宋_GB2312"/>
          <w:caps/>
          <w:color w:val="000000"/>
          <w:sz w:val="24"/>
          <w:szCs w:val="24"/>
          <w:lang w:eastAsia="zh-CN"/>
        </w:rPr>
        <w:t>。</w:t>
      </w:r>
      <w:r>
        <w:rPr>
          <w:rFonts w:hint="eastAsia" w:ascii="仿宋_GB2312" w:hAnsi="仿宋_GB2312" w:eastAsia="仿宋_GB2312" w:cs="仿宋_GB2312"/>
          <w:b/>
          <w:bCs/>
          <w:caps/>
          <w:color w:val="000000"/>
          <w:sz w:val="24"/>
          <w:szCs w:val="24"/>
        </w:rPr>
        <w:t>特提请报告使用人注意！</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仿宋_GB2312" w:eastAsia="仿宋_GB2312" w:cs="Times New Roman"/>
          <w:caps/>
          <w:color w:val="000000"/>
          <w:sz w:val="24"/>
          <w:szCs w:val="24"/>
          <w:lang w:eastAsia="zh-CN"/>
        </w:rPr>
      </w:pPr>
      <w:r>
        <w:rPr>
          <w:rFonts w:hint="eastAsia" w:ascii="仿宋_GB2312" w:eastAsia="仿宋_GB2312"/>
          <w:caps/>
          <w:color w:val="000000"/>
          <w:sz w:val="24"/>
          <w:szCs w:val="24"/>
          <w:lang w:eastAsia="zh-CN"/>
        </w:rPr>
        <w:t>⑥</w:t>
      </w:r>
      <w:r>
        <w:rPr>
          <w:rFonts w:hint="eastAsia" w:ascii="仿宋_GB2312" w:eastAsia="仿宋_GB2312" w:cs="Times New Roman"/>
          <w:caps/>
          <w:color w:val="000000"/>
          <w:sz w:val="24"/>
          <w:szCs w:val="24"/>
          <w:lang w:eastAsia="zh-CN"/>
        </w:rPr>
        <w:t>本次估价对象具体位置及范围由</w:t>
      </w:r>
      <w:r>
        <w:rPr>
          <w:rFonts w:hint="eastAsia" w:ascii="仿宋_GB2312" w:eastAsia="仿宋_GB2312" w:cs="Times New Roman"/>
          <w:caps/>
          <w:color w:val="000000"/>
          <w:sz w:val="24"/>
          <w:szCs w:val="24"/>
          <w:lang w:val="en-US" w:eastAsia="zh-CN"/>
        </w:rPr>
        <w:t>估价委托人</w:t>
      </w:r>
      <w:r>
        <w:rPr>
          <w:rFonts w:hint="eastAsia" w:ascii="仿宋_GB2312" w:eastAsia="仿宋_GB2312" w:cs="Times New Roman"/>
          <w:caps/>
          <w:color w:val="000000"/>
          <w:sz w:val="24"/>
          <w:szCs w:val="24"/>
          <w:lang w:eastAsia="zh-CN"/>
        </w:rPr>
        <w:t>相关工作人员指认，评估专业人员已根据估价委托人提供的资料勤勉尽责对比现场，若评估专业人员受限制条件导致估价对象或范围与实际不符，应重新估价。</w:t>
      </w:r>
      <w:r>
        <w:rPr>
          <w:rFonts w:hint="eastAsia" w:ascii="仿宋_GB2312" w:eastAsia="仿宋_GB2312" w:cs="Times New Roman"/>
          <w:b/>
          <w:bCs/>
          <w:caps/>
          <w:color w:val="000000"/>
          <w:sz w:val="24"/>
          <w:szCs w:val="24"/>
          <w:lang w:eastAsia="zh-CN"/>
        </w:rPr>
        <w:t>特提请报告使用人落实估价范围与实际状况一致后使用本估价报告！</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仿宋_GB2312" w:eastAsia="仿宋_GB2312"/>
          <w:caps/>
          <w:color w:val="000000"/>
          <w:sz w:val="24"/>
          <w:szCs w:val="24"/>
        </w:rPr>
      </w:pPr>
      <w:r>
        <w:rPr>
          <w:rFonts w:hint="eastAsia" w:ascii="仿宋_GB2312" w:eastAsia="仿宋_GB2312"/>
          <w:caps/>
          <w:color w:val="000000"/>
          <w:sz w:val="24"/>
          <w:szCs w:val="24"/>
          <w:lang w:eastAsia="zh-CN"/>
        </w:rPr>
        <w:t>⑦</w:t>
      </w:r>
      <w:r>
        <w:rPr>
          <w:rFonts w:hint="eastAsia" w:ascii="仿宋_GB2312" w:eastAsia="仿宋_GB2312"/>
          <w:caps/>
          <w:color w:val="000000"/>
          <w:sz w:val="24"/>
          <w:szCs w:val="24"/>
        </w:rPr>
        <w:t>本估价报告的使用有效期为自估价报告出具之日起计算为壹年，即</w:t>
      </w:r>
      <w:r>
        <w:rPr>
          <w:rFonts w:hint="eastAsia" w:ascii="仿宋_GB2312" w:hAnsi="仿宋_GB2312" w:eastAsia="仿宋_GB2312" w:cs="仿宋_GB2312"/>
          <w:caps/>
          <w:color w:val="000000"/>
          <w:sz w:val="24"/>
          <w:szCs w:val="24"/>
          <w:lang w:eastAsia="zh-CN"/>
        </w:rPr>
        <w:t>二О二二年三月八日至二О二三年三月七日</w:t>
      </w:r>
      <w:r>
        <w:rPr>
          <w:rFonts w:hint="eastAsia" w:ascii="仿宋_GB2312" w:eastAsia="仿宋_GB2312"/>
          <w:caps/>
          <w:color w:val="000000"/>
          <w:sz w:val="24"/>
          <w:szCs w:val="24"/>
        </w:rPr>
        <w:t>止。</w:t>
      </w:r>
    </w:p>
    <w:p>
      <w:pPr>
        <w:pStyle w:val="182"/>
        <w:keepNext w:val="0"/>
        <w:keepLines w:val="0"/>
        <w:pageBreakBefore w:val="0"/>
        <w:widowControl w:val="0"/>
        <w:kinsoku/>
        <w:wordWrap/>
        <w:overflowPunct/>
        <w:topLinePunct w:val="0"/>
        <w:bidi w:val="0"/>
        <w:adjustRightInd/>
        <w:snapToGrid/>
        <w:spacing w:line="600" w:lineRule="exact"/>
        <w:ind w:right="0" w:firstLine="560" w:firstLineChars="200"/>
        <w:jc w:val="both"/>
        <w:outlineLvl w:val="9"/>
        <w:rPr>
          <w:rFonts w:hint="eastAsia" w:ascii="仿宋_GB2312" w:eastAsia="仿宋_GB2312"/>
          <w:sz w:val="28"/>
          <w:szCs w:val="28"/>
        </w:rPr>
      </w:pPr>
      <w:r>
        <w:rPr>
          <w:rFonts w:hint="eastAsia" w:ascii="仿宋_GB2312" w:eastAsia="仿宋_GB2312"/>
          <w:b/>
          <w:sz w:val="28"/>
          <w:szCs w:val="28"/>
        </w:rPr>
        <w:t>请相关使用者在使用之前须对全文，特别是“估价的假设和限制条件”加以认真阅读，以免使用不当，造成损失！</w:t>
      </w:r>
      <w:r>
        <w:rPr>
          <w:rFonts w:hint="eastAsia" w:ascii="仿宋_GB2312" w:eastAsia="仿宋_GB2312"/>
          <w:sz w:val="28"/>
          <w:szCs w:val="28"/>
        </w:rPr>
        <w:t>估价的详细结果、过程及有关说明，请见附后的</w:t>
      </w:r>
      <w:r>
        <w:rPr>
          <w:rFonts w:hint="eastAsia" w:ascii="仿宋_GB2312" w:eastAsia="仿宋_GB2312"/>
          <w:caps/>
          <w:color w:val="000000"/>
          <w:sz w:val="28"/>
          <w:szCs w:val="28"/>
        </w:rPr>
        <w:t>《估价结果报告》</w:t>
      </w:r>
      <w:r>
        <w:rPr>
          <w:rFonts w:hint="eastAsia" w:ascii="仿宋_GB2312" w:eastAsia="仿宋_GB2312"/>
          <w:sz w:val="28"/>
          <w:szCs w:val="28"/>
        </w:rPr>
        <w:t>。</w:t>
      </w:r>
    </w:p>
    <w:p>
      <w:pPr>
        <w:pStyle w:val="15"/>
        <w:keepNext w:val="0"/>
        <w:keepLines w:val="0"/>
        <w:pageBreakBefore w:val="0"/>
        <w:widowControl w:val="0"/>
        <w:kinsoku/>
        <w:wordWrap/>
        <w:overflowPunct/>
        <w:topLinePunct w:val="0"/>
        <w:bidi w:val="0"/>
        <w:adjustRightInd/>
        <w:snapToGrid/>
        <w:spacing w:line="600" w:lineRule="exact"/>
        <w:ind w:firstLine="560" w:firstLineChars="200"/>
        <w:outlineLvl w:val="9"/>
        <w:rPr>
          <w:rFonts w:hint="eastAsia" w:ascii="仿宋_GB2312"/>
          <w:sz w:val="28"/>
        </w:rPr>
      </w:pPr>
      <w:r>
        <w:rPr>
          <w:rFonts w:hint="eastAsia" w:ascii="仿宋_GB2312"/>
          <w:sz w:val="28"/>
        </w:rPr>
        <w:t>此致</w:t>
      </w:r>
    </w:p>
    <w:p>
      <w:pPr>
        <w:pStyle w:val="15"/>
        <w:keepNext w:val="0"/>
        <w:keepLines w:val="0"/>
        <w:pageBreakBefore w:val="0"/>
        <w:widowControl w:val="0"/>
        <w:kinsoku/>
        <w:wordWrap/>
        <w:overflowPunct/>
        <w:topLinePunct w:val="0"/>
        <w:bidi w:val="0"/>
        <w:adjustRightInd/>
        <w:snapToGrid/>
        <w:spacing w:line="600" w:lineRule="exact"/>
        <w:ind w:firstLine="2800" w:firstLineChars="1000"/>
        <w:outlineLvl w:val="9"/>
        <w:rPr>
          <w:rFonts w:hint="eastAsia" w:ascii="仿宋_GB2312" w:eastAsia="仿宋_GB2312"/>
          <w:sz w:val="28"/>
          <w:lang w:eastAsia="zh-CN"/>
        </w:rPr>
      </w:pPr>
      <w:r>
        <w:rPr>
          <w:rFonts w:hint="eastAsia" w:ascii="仿宋_GB2312"/>
          <w:sz w:val="28"/>
          <w:lang w:eastAsia="zh-CN"/>
        </w:rPr>
        <w:t>广东世纪人房地产土地资产评估与规划测绘有限公司</w:t>
      </w:r>
    </w:p>
    <w:p>
      <w:pPr>
        <w:keepNext w:val="0"/>
        <w:keepLines w:val="0"/>
        <w:pageBreakBefore w:val="0"/>
        <w:widowControl w:val="0"/>
        <w:kinsoku/>
        <w:wordWrap/>
        <w:overflowPunct/>
        <w:topLinePunct w:val="0"/>
        <w:bidi w:val="0"/>
        <w:adjustRightInd/>
        <w:snapToGrid/>
        <w:spacing w:line="600" w:lineRule="exact"/>
        <w:ind w:firstLine="4536" w:firstLineChars="1620"/>
        <w:jc w:val="left"/>
        <w:outlineLvl w:val="9"/>
        <w:rPr>
          <w:rFonts w:hint="eastAsia" w:ascii="仿宋_GB2312" w:eastAsia="仿宋_GB2312"/>
          <w:sz w:val="28"/>
        </w:rPr>
      </w:pPr>
      <w:r>
        <w:rPr>
          <w:rFonts w:hint="eastAsia" w:ascii="仿宋_GB2312" w:eastAsia="仿宋_GB2312"/>
          <w:sz w:val="28"/>
        </w:rPr>
        <w:t>法定代表人：</w:t>
      </w:r>
    </w:p>
    <w:p>
      <w:pPr>
        <w:spacing w:line="578" w:lineRule="exact"/>
        <w:ind w:firstLine="560" w:firstLineChars="200"/>
        <w:rPr>
          <w:rFonts w:hint="eastAsia" w:ascii="仿宋_GB2312" w:eastAsia="仿宋_GB2312"/>
          <w:caps/>
          <w:color w:val="000000"/>
          <w:sz w:val="28"/>
          <w:szCs w:val="22"/>
          <w:highlight w:val="none"/>
        </w:rPr>
      </w:pPr>
      <w:r>
        <w:rPr>
          <w:rFonts w:hint="eastAsia" w:ascii="仿宋_GB2312" w:eastAsia="仿宋_GB2312"/>
          <w:caps/>
          <w:color w:val="000000"/>
          <w:kern w:val="2"/>
          <w:sz w:val="28"/>
        </w:rPr>
        <w:t xml:space="preserve">                    </w:t>
      </w:r>
      <w:r>
        <w:rPr>
          <w:rFonts w:hint="eastAsia" w:ascii="仿宋_GB2312" w:eastAsia="仿宋_GB2312"/>
          <w:caps/>
          <w:color w:val="000000"/>
          <w:kern w:val="2"/>
          <w:sz w:val="28"/>
          <w:lang w:val="en-US" w:eastAsia="zh-CN"/>
        </w:rPr>
        <w:t xml:space="preserve">        二О二二年三月八日</w:t>
      </w:r>
      <w:r>
        <w:rPr>
          <w:rFonts w:hint="eastAsia" w:ascii="仿宋_GB2312" w:eastAsia="仿宋_GB2312"/>
          <w:caps/>
          <w:color w:val="000000"/>
          <w:kern w:val="2"/>
          <w:sz w:val="28"/>
        </w:rPr>
        <w:t xml:space="preserve"> </w:t>
      </w:r>
    </w:p>
    <w:p>
      <w:pPr>
        <w:pStyle w:val="182"/>
        <w:keepNext w:val="0"/>
        <w:keepLines w:val="0"/>
        <w:pageBreakBefore w:val="0"/>
        <w:widowControl w:val="0"/>
        <w:kinsoku/>
        <w:wordWrap/>
        <w:overflowPunct/>
        <w:topLinePunct w:val="0"/>
        <w:autoSpaceDE w:val="0"/>
        <w:autoSpaceDN w:val="0"/>
        <w:bidi w:val="0"/>
        <w:adjustRightInd/>
        <w:snapToGrid/>
        <w:spacing w:line="360" w:lineRule="auto"/>
        <w:ind w:right="-454" w:firstLine="567"/>
        <w:jc w:val="center"/>
        <w:textAlignment w:val="baseline"/>
        <w:outlineLvl w:val="9"/>
        <w:rPr>
          <w:rFonts w:hint="eastAsia" w:ascii="仿宋_GB2312" w:hAnsi="Calibri" w:eastAsia="仿宋_GB2312" w:cs="Times New Roman"/>
          <w:b/>
          <w:caps/>
          <w:color w:val="000000"/>
          <w:kern w:val="44"/>
          <w:sz w:val="30"/>
          <w:lang w:val="en-US" w:eastAsia="zh-CN" w:bidi="ar-SA"/>
        </w:rPr>
      </w:pPr>
      <w:r>
        <w:rPr>
          <w:rFonts w:hint="eastAsia" w:ascii="仿宋_GB2312" w:eastAsia="仿宋_GB2312"/>
          <w:caps/>
          <w:color w:val="000000"/>
          <w:kern w:val="2"/>
          <w:sz w:val="28"/>
        </w:rPr>
        <w:t xml:space="preserve">  </w:t>
      </w:r>
      <w:r>
        <w:rPr>
          <w:rFonts w:hint="eastAsia" w:ascii="仿宋_GB2312" w:eastAsia="仿宋_GB2312"/>
          <w:caps/>
          <w:color w:val="000000"/>
        </w:rPr>
        <w:br w:type="page"/>
      </w:r>
      <w:bookmarkStart w:id="7" w:name="_Toc17996"/>
      <w:r>
        <w:rPr>
          <w:rFonts w:hint="eastAsia" w:ascii="仿宋_GB2312" w:hAnsi="Calibri" w:eastAsia="仿宋_GB2312" w:cs="Times New Roman"/>
          <w:b/>
          <w:caps/>
          <w:color w:val="000000"/>
          <w:kern w:val="44"/>
          <w:sz w:val="30"/>
          <w:lang w:val="en-US" w:eastAsia="zh-CN" w:bidi="ar-SA"/>
        </w:rPr>
        <w:t>目      录</w:t>
      </w:r>
      <w:bookmarkEnd w:id="7"/>
    </w:p>
    <w:p>
      <w:pPr>
        <w:pStyle w:val="29"/>
        <w:rPr>
          <w:rFonts w:ascii="Calibri" w:eastAsia="宋体"/>
          <w:color w:val="000000"/>
          <w:szCs w:val="22"/>
        </w:rPr>
      </w:pPr>
      <w:r>
        <w:rPr>
          <w:rFonts w:hint="eastAsia"/>
          <w:b/>
          <w:caps/>
          <w:color w:val="000000"/>
          <w:sz w:val="24"/>
          <w:szCs w:val="24"/>
        </w:rPr>
        <w:fldChar w:fldCharType="begin"/>
      </w:r>
      <w:r>
        <w:rPr>
          <w:rFonts w:hint="eastAsia"/>
          <w:b/>
          <w:caps/>
          <w:color w:val="000000"/>
          <w:sz w:val="24"/>
          <w:szCs w:val="24"/>
        </w:rPr>
        <w:instrText xml:space="preserve"> TOC \o "1-3" \h \z \u </w:instrText>
      </w:r>
      <w:r>
        <w:rPr>
          <w:rFonts w:hint="eastAsia"/>
          <w:b/>
          <w:caps/>
          <w:color w:val="000000"/>
          <w:sz w:val="24"/>
          <w:szCs w:val="24"/>
        </w:rPr>
        <w:fldChar w:fldCharType="separate"/>
      </w:r>
      <w:r>
        <w:fldChar w:fldCharType="begin"/>
      </w:r>
      <w:r>
        <w:instrText xml:space="preserve"> HYPERLINK \l "_Toc476642098" </w:instrText>
      </w:r>
      <w:r>
        <w:fldChar w:fldCharType="separate"/>
      </w:r>
      <w:r>
        <w:rPr>
          <w:rStyle w:val="52"/>
          <w:rFonts w:hint="eastAsia"/>
          <w:b/>
          <w:caps/>
          <w:color w:val="000000"/>
        </w:rPr>
        <w:t>致估价委托人函</w:t>
      </w:r>
      <w:r>
        <w:rPr>
          <w:color w:val="000000"/>
        </w:rPr>
        <w:tab/>
      </w:r>
      <w:r>
        <w:rPr>
          <w:color w:val="000000"/>
        </w:rPr>
        <w:fldChar w:fldCharType="begin"/>
      </w:r>
      <w:r>
        <w:rPr>
          <w:color w:val="000000"/>
        </w:rPr>
        <w:instrText xml:space="preserve"> PAGEREF _Toc476642098 \h </w:instrText>
      </w:r>
      <w:r>
        <w:rPr>
          <w:color w:val="000000"/>
        </w:rPr>
        <w:fldChar w:fldCharType="separate"/>
      </w:r>
      <w:r>
        <w:rPr>
          <w:color w:val="000000"/>
        </w:rPr>
        <w:t>2</w:t>
      </w:r>
      <w:r>
        <w:rPr>
          <w:color w:val="000000"/>
        </w:rPr>
        <w:fldChar w:fldCharType="end"/>
      </w:r>
      <w:r>
        <w:rPr>
          <w:color w:val="000000"/>
        </w:rPr>
        <w:fldChar w:fldCharType="end"/>
      </w:r>
    </w:p>
    <w:p>
      <w:pPr>
        <w:pStyle w:val="29"/>
        <w:rPr>
          <w:rFonts w:ascii="Calibri" w:eastAsia="宋体"/>
          <w:color w:val="000000"/>
          <w:szCs w:val="22"/>
        </w:rPr>
      </w:pPr>
      <w:r>
        <w:fldChar w:fldCharType="begin"/>
      </w:r>
      <w:r>
        <w:instrText xml:space="preserve"> HYPERLINK \l "_Toc476642099" </w:instrText>
      </w:r>
      <w:r>
        <w:fldChar w:fldCharType="separate"/>
      </w:r>
      <w:r>
        <w:rPr>
          <w:rStyle w:val="52"/>
          <w:rFonts w:hint="eastAsia"/>
          <w:b/>
          <w:caps/>
          <w:color w:val="000000"/>
        </w:rPr>
        <w:t>估价师声明</w:t>
      </w:r>
      <w:r>
        <w:rPr>
          <w:color w:val="000000"/>
        </w:rPr>
        <w:tab/>
      </w:r>
      <w:r>
        <w:rPr>
          <w:color w:val="000000"/>
        </w:rPr>
        <w:fldChar w:fldCharType="begin"/>
      </w:r>
      <w:r>
        <w:rPr>
          <w:color w:val="000000"/>
        </w:rPr>
        <w:instrText xml:space="preserve"> PAGEREF _Toc476642099 \h </w:instrText>
      </w:r>
      <w:r>
        <w:rPr>
          <w:color w:val="000000"/>
        </w:rPr>
        <w:fldChar w:fldCharType="separate"/>
      </w:r>
      <w:r>
        <w:rPr>
          <w:color w:val="000000"/>
        </w:rPr>
        <w:t>6</w:t>
      </w:r>
      <w:r>
        <w:rPr>
          <w:color w:val="000000"/>
        </w:rPr>
        <w:fldChar w:fldCharType="end"/>
      </w:r>
      <w:r>
        <w:rPr>
          <w:color w:val="000000"/>
        </w:rPr>
        <w:fldChar w:fldCharType="end"/>
      </w:r>
    </w:p>
    <w:p>
      <w:pPr>
        <w:pStyle w:val="29"/>
        <w:rPr>
          <w:rFonts w:ascii="Calibri" w:eastAsia="宋体"/>
          <w:color w:val="000000"/>
          <w:szCs w:val="22"/>
        </w:rPr>
      </w:pPr>
      <w:r>
        <w:fldChar w:fldCharType="begin"/>
      </w:r>
      <w:r>
        <w:instrText xml:space="preserve"> HYPERLINK \l "_Toc476642100" </w:instrText>
      </w:r>
      <w:r>
        <w:fldChar w:fldCharType="separate"/>
      </w:r>
      <w:r>
        <w:rPr>
          <w:rStyle w:val="52"/>
          <w:rFonts w:hint="eastAsia"/>
          <w:b/>
          <w:caps/>
          <w:color w:val="000000"/>
        </w:rPr>
        <w:t>估价的假设和限制条件</w:t>
      </w:r>
      <w:r>
        <w:rPr>
          <w:color w:val="000000"/>
        </w:rPr>
        <w:tab/>
      </w:r>
      <w:r>
        <w:rPr>
          <w:color w:val="000000"/>
        </w:rPr>
        <w:fldChar w:fldCharType="begin"/>
      </w:r>
      <w:r>
        <w:rPr>
          <w:color w:val="000000"/>
        </w:rPr>
        <w:instrText xml:space="preserve"> PAGEREF _Toc476642100 \h </w:instrText>
      </w:r>
      <w:r>
        <w:rPr>
          <w:color w:val="000000"/>
        </w:rPr>
        <w:fldChar w:fldCharType="separate"/>
      </w:r>
      <w:r>
        <w:rPr>
          <w:color w:val="000000"/>
        </w:rPr>
        <w:t>6</w:t>
      </w:r>
      <w:r>
        <w:rPr>
          <w:color w:val="000000"/>
        </w:rPr>
        <w:fldChar w:fldCharType="end"/>
      </w:r>
      <w:r>
        <w:rPr>
          <w:color w:val="000000"/>
        </w:rPr>
        <w:fldChar w:fldCharType="end"/>
      </w:r>
    </w:p>
    <w:p>
      <w:pPr>
        <w:pStyle w:val="29"/>
        <w:rPr>
          <w:rFonts w:ascii="Calibri" w:eastAsia="宋体"/>
          <w:b/>
          <w:bCs/>
          <w:color w:val="000000"/>
          <w:szCs w:val="22"/>
        </w:rPr>
      </w:pPr>
      <w:r>
        <w:fldChar w:fldCharType="begin"/>
      </w:r>
      <w:r>
        <w:instrText xml:space="preserve"> HYPERLINK \l "_Toc476642101" </w:instrText>
      </w:r>
      <w:r>
        <w:fldChar w:fldCharType="separate"/>
      </w:r>
      <w:r>
        <w:rPr>
          <w:rStyle w:val="52"/>
          <w:rFonts w:hint="eastAsia"/>
          <w:b/>
          <w:caps/>
          <w:color w:val="000000"/>
        </w:rPr>
        <w:t>估价结果报告</w:t>
      </w:r>
      <w:r>
        <w:rPr>
          <w:color w:val="000000"/>
        </w:rPr>
        <w:tab/>
      </w:r>
      <w:r>
        <w:rPr>
          <w:color w:val="000000"/>
        </w:rPr>
        <w:fldChar w:fldCharType="begin"/>
      </w:r>
      <w:r>
        <w:rPr>
          <w:color w:val="000000"/>
        </w:rPr>
        <w:instrText xml:space="preserve"> PAGEREF _Toc476642101 \h </w:instrText>
      </w:r>
      <w:r>
        <w:rPr>
          <w:color w:val="000000"/>
        </w:rPr>
        <w:fldChar w:fldCharType="separate"/>
      </w:r>
      <w:r>
        <w:rPr>
          <w:color w:val="000000"/>
        </w:rPr>
        <w:t>11</w:t>
      </w:r>
      <w:r>
        <w:rPr>
          <w:color w:val="000000"/>
        </w:rPr>
        <w:fldChar w:fldCharType="end"/>
      </w:r>
      <w:r>
        <w:rPr>
          <w:color w:val="000000"/>
        </w:rPr>
        <w:fldChar w:fldCharType="end"/>
      </w:r>
    </w:p>
    <w:p>
      <w:pPr>
        <w:pStyle w:val="35"/>
        <w:rPr>
          <w:rFonts w:ascii="Calibri" w:eastAsia="宋体"/>
          <w:color w:val="000000"/>
          <w:szCs w:val="22"/>
        </w:rPr>
      </w:pPr>
      <w:r>
        <w:fldChar w:fldCharType="begin"/>
      </w:r>
      <w:r>
        <w:instrText xml:space="preserve"> HYPERLINK \l "_Toc476642102" </w:instrText>
      </w:r>
      <w:r>
        <w:fldChar w:fldCharType="separate"/>
      </w:r>
      <w:r>
        <w:rPr>
          <w:rStyle w:val="52"/>
          <w:rFonts w:hint="eastAsia"/>
          <w:caps/>
          <w:color w:val="000000"/>
        </w:rPr>
        <w:t>一、估价委托人</w:t>
      </w:r>
      <w:r>
        <w:rPr>
          <w:color w:val="000000"/>
        </w:rPr>
        <w:tab/>
      </w:r>
      <w:r>
        <w:rPr>
          <w:color w:val="000000"/>
        </w:rPr>
        <w:fldChar w:fldCharType="begin"/>
      </w:r>
      <w:r>
        <w:rPr>
          <w:color w:val="000000"/>
        </w:rPr>
        <w:instrText xml:space="preserve"> PAGEREF _Toc476642102 \h </w:instrText>
      </w:r>
      <w:r>
        <w:rPr>
          <w:color w:val="000000"/>
        </w:rPr>
        <w:fldChar w:fldCharType="separate"/>
      </w:r>
      <w:r>
        <w:rPr>
          <w:color w:val="000000"/>
        </w:rPr>
        <w:t>11</w:t>
      </w:r>
      <w:r>
        <w:rPr>
          <w:color w:val="000000"/>
        </w:rPr>
        <w:fldChar w:fldCharType="end"/>
      </w:r>
      <w:r>
        <w:rPr>
          <w:color w:val="000000"/>
        </w:rPr>
        <w:fldChar w:fldCharType="end"/>
      </w:r>
    </w:p>
    <w:p>
      <w:pPr>
        <w:pStyle w:val="35"/>
        <w:rPr>
          <w:rFonts w:ascii="Calibri" w:eastAsia="宋体"/>
          <w:color w:val="000000"/>
          <w:szCs w:val="22"/>
        </w:rPr>
      </w:pPr>
      <w:r>
        <w:fldChar w:fldCharType="begin"/>
      </w:r>
      <w:r>
        <w:instrText xml:space="preserve"> HYPERLINK \l "_Toc476642103" </w:instrText>
      </w:r>
      <w:r>
        <w:fldChar w:fldCharType="separate"/>
      </w:r>
      <w:r>
        <w:rPr>
          <w:rStyle w:val="52"/>
          <w:rFonts w:hint="eastAsia"/>
          <w:caps/>
          <w:color w:val="000000"/>
        </w:rPr>
        <w:t>二、房地产估价机构</w:t>
      </w:r>
      <w:r>
        <w:rPr>
          <w:color w:val="000000"/>
        </w:rPr>
        <w:tab/>
      </w:r>
      <w:r>
        <w:rPr>
          <w:color w:val="000000"/>
        </w:rPr>
        <w:fldChar w:fldCharType="begin"/>
      </w:r>
      <w:r>
        <w:rPr>
          <w:color w:val="000000"/>
        </w:rPr>
        <w:instrText xml:space="preserve"> PAGEREF _Toc476642103 \h </w:instrText>
      </w:r>
      <w:r>
        <w:rPr>
          <w:color w:val="000000"/>
        </w:rPr>
        <w:fldChar w:fldCharType="separate"/>
      </w:r>
      <w:r>
        <w:rPr>
          <w:color w:val="000000"/>
        </w:rPr>
        <w:t>11</w:t>
      </w:r>
      <w:r>
        <w:rPr>
          <w:color w:val="000000"/>
        </w:rPr>
        <w:fldChar w:fldCharType="end"/>
      </w:r>
      <w:r>
        <w:rPr>
          <w:color w:val="000000"/>
        </w:rPr>
        <w:fldChar w:fldCharType="end"/>
      </w:r>
    </w:p>
    <w:p>
      <w:pPr>
        <w:pStyle w:val="35"/>
        <w:rPr>
          <w:rFonts w:ascii="Calibri" w:eastAsia="宋体"/>
          <w:color w:val="000000"/>
          <w:szCs w:val="22"/>
        </w:rPr>
      </w:pPr>
      <w:r>
        <w:fldChar w:fldCharType="begin"/>
      </w:r>
      <w:r>
        <w:instrText xml:space="preserve"> HYPERLINK \l "_Toc476642104" </w:instrText>
      </w:r>
      <w:r>
        <w:fldChar w:fldCharType="separate"/>
      </w:r>
      <w:r>
        <w:rPr>
          <w:rStyle w:val="52"/>
          <w:rFonts w:hint="eastAsia"/>
          <w:caps/>
          <w:color w:val="000000"/>
        </w:rPr>
        <w:t>三、估价目的</w:t>
      </w:r>
      <w:r>
        <w:rPr>
          <w:color w:val="000000"/>
        </w:rPr>
        <w:tab/>
      </w:r>
      <w:r>
        <w:rPr>
          <w:color w:val="000000"/>
        </w:rPr>
        <w:fldChar w:fldCharType="begin"/>
      </w:r>
      <w:r>
        <w:rPr>
          <w:color w:val="000000"/>
        </w:rPr>
        <w:instrText xml:space="preserve"> PAGEREF _Toc476642104 \h </w:instrText>
      </w:r>
      <w:r>
        <w:rPr>
          <w:color w:val="000000"/>
        </w:rPr>
        <w:fldChar w:fldCharType="separate"/>
      </w:r>
      <w:r>
        <w:rPr>
          <w:color w:val="000000"/>
        </w:rPr>
        <w:t>11</w:t>
      </w:r>
      <w:r>
        <w:rPr>
          <w:color w:val="000000"/>
        </w:rPr>
        <w:fldChar w:fldCharType="end"/>
      </w:r>
      <w:r>
        <w:rPr>
          <w:color w:val="000000"/>
        </w:rPr>
        <w:fldChar w:fldCharType="end"/>
      </w:r>
    </w:p>
    <w:p>
      <w:pPr>
        <w:pStyle w:val="35"/>
        <w:rPr>
          <w:rFonts w:ascii="Calibri" w:eastAsia="宋体"/>
          <w:color w:val="000000"/>
          <w:szCs w:val="22"/>
        </w:rPr>
      </w:pPr>
      <w:r>
        <w:fldChar w:fldCharType="begin"/>
      </w:r>
      <w:r>
        <w:instrText xml:space="preserve"> HYPERLINK \l "_Toc476642105" </w:instrText>
      </w:r>
      <w:r>
        <w:fldChar w:fldCharType="separate"/>
      </w:r>
      <w:r>
        <w:rPr>
          <w:rStyle w:val="52"/>
          <w:rFonts w:hint="eastAsia"/>
          <w:caps/>
          <w:color w:val="000000"/>
        </w:rPr>
        <w:t>四、估价对象</w:t>
      </w:r>
      <w:r>
        <w:rPr>
          <w:color w:val="000000"/>
        </w:rPr>
        <w:tab/>
      </w:r>
      <w:r>
        <w:rPr>
          <w:color w:val="000000"/>
        </w:rPr>
        <w:fldChar w:fldCharType="begin"/>
      </w:r>
      <w:r>
        <w:rPr>
          <w:color w:val="000000"/>
        </w:rPr>
        <w:instrText xml:space="preserve"> PAGEREF _Toc476642105 \h </w:instrText>
      </w:r>
      <w:r>
        <w:rPr>
          <w:color w:val="000000"/>
        </w:rPr>
        <w:fldChar w:fldCharType="separate"/>
      </w:r>
      <w:r>
        <w:rPr>
          <w:color w:val="000000"/>
        </w:rPr>
        <w:t>11</w:t>
      </w:r>
      <w:r>
        <w:rPr>
          <w:color w:val="000000"/>
        </w:rPr>
        <w:fldChar w:fldCharType="end"/>
      </w:r>
      <w:r>
        <w:rPr>
          <w:color w:val="000000"/>
        </w:rPr>
        <w:fldChar w:fldCharType="end"/>
      </w:r>
    </w:p>
    <w:p>
      <w:pPr>
        <w:pStyle w:val="35"/>
        <w:rPr>
          <w:rFonts w:ascii="Calibri" w:eastAsia="宋体"/>
          <w:color w:val="000000"/>
          <w:szCs w:val="22"/>
        </w:rPr>
      </w:pPr>
      <w:r>
        <w:fldChar w:fldCharType="begin"/>
      </w:r>
      <w:r>
        <w:instrText xml:space="preserve"> HYPERLINK \l "_Toc476642106" </w:instrText>
      </w:r>
      <w:r>
        <w:fldChar w:fldCharType="separate"/>
      </w:r>
      <w:r>
        <w:rPr>
          <w:rStyle w:val="52"/>
          <w:rFonts w:hint="eastAsia"/>
          <w:caps/>
          <w:color w:val="000000"/>
        </w:rPr>
        <w:t>五、价值时点</w:t>
      </w:r>
      <w:r>
        <w:rPr>
          <w:color w:val="000000"/>
        </w:rPr>
        <w:tab/>
      </w:r>
      <w:r>
        <w:rPr>
          <w:color w:val="000000"/>
        </w:rPr>
        <w:fldChar w:fldCharType="begin"/>
      </w:r>
      <w:r>
        <w:rPr>
          <w:color w:val="000000"/>
        </w:rPr>
        <w:instrText xml:space="preserve"> PAGEREF _Toc476642106 \h </w:instrText>
      </w:r>
      <w:r>
        <w:rPr>
          <w:color w:val="000000"/>
        </w:rPr>
        <w:fldChar w:fldCharType="separate"/>
      </w:r>
      <w:r>
        <w:rPr>
          <w:color w:val="000000"/>
        </w:rPr>
        <w:t>13</w:t>
      </w:r>
      <w:r>
        <w:rPr>
          <w:color w:val="000000"/>
        </w:rPr>
        <w:fldChar w:fldCharType="end"/>
      </w:r>
      <w:r>
        <w:rPr>
          <w:color w:val="000000"/>
        </w:rPr>
        <w:fldChar w:fldCharType="end"/>
      </w:r>
    </w:p>
    <w:p>
      <w:pPr>
        <w:pStyle w:val="35"/>
        <w:rPr>
          <w:rFonts w:ascii="Calibri" w:eastAsia="宋体"/>
          <w:color w:val="000000"/>
          <w:szCs w:val="22"/>
        </w:rPr>
      </w:pPr>
      <w:r>
        <w:fldChar w:fldCharType="begin"/>
      </w:r>
      <w:r>
        <w:instrText xml:space="preserve"> HYPERLINK \l "_Toc476642107" </w:instrText>
      </w:r>
      <w:r>
        <w:fldChar w:fldCharType="separate"/>
      </w:r>
      <w:r>
        <w:rPr>
          <w:rStyle w:val="52"/>
          <w:rFonts w:hint="eastAsia"/>
          <w:caps/>
          <w:color w:val="000000"/>
        </w:rPr>
        <w:t>六、价值类型</w:t>
      </w:r>
      <w:r>
        <w:rPr>
          <w:color w:val="000000"/>
        </w:rPr>
        <w:tab/>
      </w:r>
      <w:r>
        <w:rPr>
          <w:color w:val="000000"/>
        </w:rPr>
        <w:fldChar w:fldCharType="begin"/>
      </w:r>
      <w:r>
        <w:rPr>
          <w:color w:val="000000"/>
        </w:rPr>
        <w:instrText xml:space="preserve"> PAGEREF _Toc476642107 \h </w:instrText>
      </w:r>
      <w:r>
        <w:rPr>
          <w:color w:val="000000"/>
        </w:rPr>
        <w:fldChar w:fldCharType="separate"/>
      </w:r>
      <w:r>
        <w:rPr>
          <w:color w:val="000000"/>
        </w:rPr>
        <w:t>13</w:t>
      </w:r>
      <w:r>
        <w:rPr>
          <w:color w:val="000000"/>
        </w:rPr>
        <w:fldChar w:fldCharType="end"/>
      </w:r>
      <w:r>
        <w:rPr>
          <w:color w:val="000000"/>
        </w:rPr>
        <w:fldChar w:fldCharType="end"/>
      </w:r>
    </w:p>
    <w:p>
      <w:pPr>
        <w:pStyle w:val="35"/>
        <w:rPr>
          <w:rFonts w:ascii="Calibri" w:eastAsia="宋体"/>
          <w:color w:val="000000"/>
          <w:szCs w:val="22"/>
        </w:rPr>
      </w:pPr>
      <w:r>
        <w:fldChar w:fldCharType="begin"/>
      </w:r>
      <w:r>
        <w:instrText xml:space="preserve"> HYPERLINK \l "_Toc476642108" </w:instrText>
      </w:r>
      <w:r>
        <w:fldChar w:fldCharType="separate"/>
      </w:r>
      <w:r>
        <w:rPr>
          <w:rStyle w:val="52"/>
          <w:rFonts w:hint="eastAsia"/>
          <w:caps/>
          <w:color w:val="000000"/>
        </w:rPr>
        <w:t>七、估价原则</w:t>
      </w:r>
      <w:r>
        <w:rPr>
          <w:color w:val="000000"/>
        </w:rPr>
        <w:tab/>
      </w:r>
      <w:r>
        <w:rPr>
          <w:color w:val="000000"/>
        </w:rPr>
        <w:fldChar w:fldCharType="begin"/>
      </w:r>
      <w:r>
        <w:rPr>
          <w:color w:val="000000"/>
        </w:rPr>
        <w:instrText xml:space="preserve"> PAGEREF _Toc476642108 \h </w:instrText>
      </w:r>
      <w:r>
        <w:rPr>
          <w:color w:val="000000"/>
        </w:rPr>
        <w:fldChar w:fldCharType="separate"/>
      </w:r>
      <w:r>
        <w:rPr>
          <w:color w:val="000000"/>
        </w:rPr>
        <w:t>13</w:t>
      </w:r>
      <w:r>
        <w:rPr>
          <w:color w:val="000000"/>
        </w:rPr>
        <w:fldChar w:fldCharType="end"/>
      </w:r>
      <w:r>
        <w:rPr>
          <w:color w:val="000000"/>
        </w:rPr>
        <w:fldChar w:fldCharType="end"/>
      </w:r>
    </w:p>
    <w:p>
      <w:pPr>
        <w:pStyle w:val="35"/>
        <w:rPr>
          <w:rFonts w:ascii="Calibri"/>
          <w:color w:val="000000"/>
          <w:szCs w:val="22"/>
        </w:rPr>
      </w:pPr>
      <w:r>
        <w:fldChar w:fldCharType="begin"/>
      </w:r>
      <w:r>
        <w:instrText xml:space="preserve"> HYPERLINK \l "_Toc476642109" </w:instrText>
      </w:r>
      <w:r>
        <w:fldChar w:fldCharType="separate"/>
      </w:r>
      <w:r>
        <w:rPr>
          <w:rStyle w:val="52"/>
          <w:rFonts w:hint="eastAsia"/>
          <w:caps/>
          <w:color w:val="000000"/>
        </w:rPr>
        <w:t>八、估价依据</w:t>
      </w:r>
      <w:r>
        <w:rPr>
          <w:color w:val="000000"/>
        </w:rPr>
        <w:tab/>
      </w:r>
      <w:r>
        <w:rPr>
          <w:rFonts w:hint="eastAsia"/>
          <w:color w:val="000000"/>
        </w:rPr>
        <w:t>1</w:t>
      </w:r>
      <w:r>
        <w:rPr>
          <w:rFonts w:hint="eastAsia"/>
          <w:color w:val="000000"/>
        </w:rPr>
        <w:fldChar w:fldCharType="end"/>
      </w:r>
      <w:r>
        <w:rPr>
          <w:rFonts w:hint="eastAsia"/>
          <w:color w:val="000000"/>
        </w:rPr>
        <w:t>6</w:t>
      </w:r>
    </w:p>
    <w:p>
      <w:pPr>
        <w:pStyle w:val="35"/>
        <w:rPr>
          <w:rFonts w:ascii="Calibri" w:eastAsia="宋体"/>
          <w:color w:val="000000"/>
          <w:szCs w:val="22"/>
        </w:rPr>
      </w:pPr>
      <w:r>
        <w:fldChar w:fldCharType="begin"/>
      </w:r>
      <w:r>
        <w:instrText xml:space="preserve"> HYPERLINK \l "_Toc476642110" </w:instrText>
      </w:r>
      <w:r>
        <w:fldChar w:fldCharType="separate"/>
      </w:r>
      <w:r>
        <w:rPr>
          <w:rStyle w:val="52"/>
          <w:rFonts w:hint="eastAsia"/>
          <w:caps/>
          <w:color w:val="000000"/>
        </w:rPr>
        <w:t>九、估价方法</w:t>
      </w:r>
      <w:r>
        <w:rPr>
          <w:color w:val="000000"/>
        </w:rPr>
        <w:tab/>
      </w:r>
      <w:r>
        <w:rPr>
          <w:color w:val="000000"/>
        </w:rPr>
        <w:fldChar w:fldCharType="begin"/>
      </w:r>
      <w:r>
        <w:rPr>
          <w:color w:val="000000"/>
        </w:rPr>
        <w:instrText xml:space="preserve"> PAGEREF _Toc476642110 \h </w:instrText>
      </w:r>
      <w:r>
        <w:rPr>
          <w:color w:val="000000"/>
        </w:rPr>
        <w:fldChar w:fldCharType="separate"/>
      </w:r>
      <w:r>
        <w:rPr>
          <w:color w:val="000000"/>
        </w:rPr>
        <w:t>16</w:t>
      </w:r>
      <w:r>
        <w:rPr>
          <w:color w:val="000000"/>
        </w:rPr>
        <w:fldChar w:fldCharType="end"/>
      </w:r>
      <w:r>
        <w:rPr>
          <w:color w:val="000000"/>
        </w:rPr>
        <w:fldChar w:fldCharType="end"/>
      </w:r>
    </w:p>
    <w:p>
      <w:pPr>
        <w:pStyle w:val="35"/>
        <w:rPr>
          <w:rFonts w:ascii="Calibri" w:eastAsia="宋体"/>
          <w:color w:val="000000"/>
          <w:szCs w:val="22"/>
        </w:rPr>
      </w:pPr>
      <w:r>
        <w:fldChar w:fldCharType="begin"/>
      </w:r>
      <w:r>
        <w:instrText xml:space="preserve"> HYPERLINK \l "_Toc476642111" </w:instrText>
      </w:r>
      <w:r>
        <w:fldChar w:fldCharType="separate"/>
      </w:r>
      <w:r>
        <w:rPr>
          <w:rStyle w:val="52"/>
          <w:rFonts w:hint="eastAsia"/>
          <w:caps/>
          <w:color w:val="000000"/>
        </w:rPr>
        <w:t>十、估价结果</w:t>
      </w:r>
      <w:r>
        <w:rPr>
          <w:color w:val="000000"/>
        </w:rPr>
        <w:tab/>
      </w:r>
      <w:r>
        <w:rPr>
          <w:color w:val="000000"/>
        </w:rPr>
        <w:fldChar w:fldCharType="begin"/>
      </w:r>
      <w:r>
        <w:rPr>
          <w:color w:val="000000"/>
        </w:rPr>
        <w:instrText xml:space="preserve"> PAGEREF _Toc476642111 \h </w:instrText>
      </w:r>
      <w:r>
        <w:rPr>
          <w:color w:val="000000"/>
        </w:rPr>
        <w:fldChar w:fldCharType="separate"/>
      </w:r>
      <w:r>
        <w:rPr>
          <w:color w:val="000000"/>
        </w:rPr>
        <w:t>18</w:t>
      </w:r>
      <w:r>
        <w:rPr>
          <w:color w:val="000000"/>
        </w:rPr>
        <w:fldChar w:fldCharType="end"/>
      </w:r>
      <w:r>
        <w:rPr>
          <w:color w:val="000000"/>
        </w:rPr>
        <w:fldChar w:fldCharType="end"/>
      </w:r>
    </w:p>
    <w:p>
      <w:pPr>
        <w:pStyle w:val="35"/>
        <w:rPr>
          <w:rFonts w:ascii="Calibri" w:eastAsia="宋体"/>
          <w:color w:val="000000"/>
          <w:szCs w:val="22"/>
        </w:rPr>
      </w:pPr>
      <w:r>
        <w:fldChar w:fldCharType="begin"/>
      </w:r>
      <w:r>
        <w:instrText xml:space="preserve"> HYPERLINK \l "_Toc476642112" </w:instrText>
      </w:r>
      <w:r>
        <w:fldChar w:fldCharType="separate"/>
      </w:r>
      <w:r>
        <w:rPr>
          <w:rStyle w:val="52"/>
          <w:rFonts w:hint="eastAsia"/>
          <w:caps/>
          <w:color w:val="000000"/>
        </w:rPr>
        <w:t>十一、评估专业人员</w:t>
      </w:r>
      <w:r>
        <w:rPr>
          <w:color w:val="000000"/>
        </w:rPr>
        <w:tab/>
      </w:r>
      <w:r>
        <w:rPr>
          <w:color w:val="000000"/>
        </w:rPr>
        <w:fldChar w:fldCharType="begin"/>
      </w:r>
      <w:r>
        <w:rPr>
          <w:color w:val="000000"/>
        </w:rPr>
        <w:instrText xml:space="preserve"> PAGEREF _Toc476642112 \h </w:instrText>
      </w:r>
      <w:r>
        <w:rPr>
          <w:color w:val="000000"/>
        </w:rPr>
        <w:fldChar w:fldCharType="separate"/>
      </w:r>
      <w:r>
        <w:rPr>
          <w:color w:val="000000"/>
        </w:rPr>
        <w:t>20</w:t>
      </w:r>
      <w:r>
        <w:rPr>
          <w:color w:val="000000"/>
        </w:rPr>
        <w:fldChar w:fldCharType="end"/>
      </w:r>
      <w:r>
        <w:rPr>
          <w:color w:val="000000"/>
        </w:rPr>
        <w:fldChar w:fldCharType="end"/>
      </w:r>
    </w:p>
    <w:p>
      <w:pPr>
        <w:pStyle w:val="35"/>
        <w:rPr>
          <w:rFonts w:ascii="Calibri" w:eastAsia="宋体"/>
          <w:color w:val="000000"/>
          <w:szCs w:val="22"/>
        </w:rPr>
      </w:pPr>
      <w:r>
        <w:fldChar w:fldCharType="begin"/>
      </w:r>
      <w:r>
        <w:instrText xml:space="preserve"> HYPERLINK \l "_Toc476642113" </w:instrText>
      </w:r>
      <w:r>
        <w:fldChar w:fldCharType="separate"/>
      </w:r>
      <w:r>
        <w:rPr>
          <w:rStyle w:val="52"/>
          <w:rFonts w:hint="eastAsia"/>
          <w:caps/>
          <w:color w:val="000000"/>
        </w:rPr>
        <w:t>十二、实地查勘期</w:t>
      </w:r>
      <w:r>
        <w:rPr>
          <w:color w:val="000000"/>
        </w:rPr>
        <w:tab/>
      </w:r>
      <w:r>
        <w:rPr>
          <w:color w:val="000000"/>
        </w:rPr>
        <w:fldChar w:fldCharType="begin"/>
      </w:r>
      <w:r>
        <w:rPr>
          <w:color w:val="000000"/>
        </w:rPr>
        <w:instrText xml:space="preserve"> PAGEREF _Toc476642113 \h </w:instrText>
      </w:r>
      <w:r>
        <w:rPr>
          <w:color w:val="000000"/>
        </w:rPr>
        <w:fldChar w:fldCharType="separate"/>
      </w:r>
      <w:r>
        <w:rPr>
          <w:color w:val="000000"/>
        </w:rPr>
        <w:t>20</w:t>
      </w:r>
      <w:r>
        <w:rPr>
          <w:color w:val="000000"/>
        </w:rPr>
        <w:fldChar w:fldCharType="end"/>
      </w:r>
      <w:r>
        <w:rPr>
          <w:color w:val="000000"/>
        </w:rPr>
        <w:fldChar w:fldCharType="end"/>
      </w:r>
    </w:p>
    <w:p>
      <w:pPr>
        <w:pStyle w:val="35"/>
        <w:rPr>
          <w:rFonts w:ascii="Calibri" w:eastAsia="宋体"/>
          <w:color w:val="000000"/>
          <w:szCs w:val="22"/>
        </w:rPr>
      </w:pPr>
      <w:r>
        <w:fldChar w:fldCharType="begin"/>
      </w:r>
      <w:r>
        <w:instrText xml:space="preserve"> HYPERLINK \l "_Toc476642114" </w:instrText>
      </w:r>
      <w:r>
        <w:fldChar w:fldCharType="separate"/>
      </w:r>
      <w:r>
        <w:rPr>
          <w:rStyle w:val="52"/>
          <w:rFonts w:hint="eastAsia"/>
          <w:caps/>
          <w:color w:val="000000"/>
        </w:rPr>
        <w:t>十三、估价作业期</w:t>
      </w:r>
      <w:r>
        <w:rPr>
          <w:color w:val="000000"/>
        </w:rPr>
        <w:tab/>
      </w:r>
      <w:r>
        <w:rPr>
          <w:color w:val="000000"/>
        </w:rPr>
        <w:fldChar w:fldCharType="begin"/>
      </w:r>
      <w:r>
        <w:rPr>
          <w:color w:val="000000"/>
        </w:rPr>
        <w:instrText xml:space="preserve"> PAGEREF _Toc476642114 \h </w:instrText>
      </w:r>
      <w:r>
        <w:rPr>
          <w:color w:val="000000"/>
        </w:rPr>
        <w:fldChar w:fldCharType="separate"/>
      </w:r>
      <w:r>
        <w:rPr>
          <w:color w:val="000000"/>
        </w:rPr>
        <w:t>20</w:t>
      </w:r>
      <w:r>
        <w:rPr>
          <w:color w:val="000000"/>
        </w:rPr>
        <w:fldChar w:fldCharType="end"/>
      </w:r>
      <w:r>
        <w:rPr>
          <w:color w:val="000000"/>
        </w:rPr>
        <w:fldChar w:fldCharType="end"/>
      </w:r>
    </w:p>
    <w:p>
      <w:pPr>
        <w:pStyle w:val="29"/>
        <w:rPr>
          <w:rFonts w:ascii="Calibri" w:eastAsia="宋体"/>
          <w:color w:val="000000"/>
          <w:szCs w:val="22"/>
        </w:rPr>
      </w:pPr>
      <w:r>
        <w:fldChar w:fldCharType="begin"/>
      </w:r>
      <w:r>
        <w:instrText xml:space="preserve"> HYPERLINK \l "_Toc476642115" </w:instrText>
      </w:r>
      <w:r>
        <w:fldChar w:fldCharType="separate"/>
      </w:r>
      <w:r>
        <w:rPr>
          <w:rStyle w:val="52"/>
          <w:rFonts w:hint="eastAsia"/>
          <w:b/>
          <w:caps/>
          <w:color w:val="000000"/>
        </w:rPr>
        <w:t>附</w:t>
      </w:r>
      <w:r>
        <w:rPr>
          <w:rStyle w:val="52"/>
          <w:b/>
          <w:caps/>
          <w:color w:val="000000"/>
        </w:rPr>
        <w:t xml:space="preserve">     </w:t>
      </w:r>
      <w:r>
        <w:rPr>
          <w:rStyle w:val="52"/>
          <w:rFonts w:hint="eastAsia"/>
          <w:b/>
          <w:caps/>
          <w:color w:val="000000"/>
        </w:rPr>
        <w:t>件</w:t>
      </w:r>
      <w:r>
        <w:rPr>
          <w:color w:val="000000"/>
        </w:rPr>
        <w:tab/>
      </w:r>
      <w:r>
        <w:rPr>
          <w:color w:val="000000"/>
        </w:rPr>
        <w:fldChar w:fldCharType="begin"/>
      </w:r>
      <w:r>
        <w:rPr>
          <w:color w:val="000000"/>
        </w:rPr>
        <w:instrText xml:space="preserve"> PAGEREF _Toc476642115 \h </w:instrText>
      </w:r>
      <w:r>
        <w:rPr>
          <w:color w:val="000000"/>
        </w:rPr>
        <w:fldChar w:fldCharType="separate"/>
      </w:r>
      <w:r>
        <w:rPr>
          <w:color w:val="000000"/>
        </w:rPr>
        <w:t>21</w:t>
      </w:r>
      <w:r>
        <w:rPr>
          <w:color w:val="000000"/>
        </w:rPr>
        <w:fldChar w:fldCharType="end"/>
      </w:r>
      <w:r>
        <w:rPr>
          <w:color w:val="000000"/>
        </w:rPr>
        <w:fldChar w:fldCharType="end"/>
      </w:r>
    </w:p>
    <w:p>
      <w:pPr>
        <w:ind w:firstLine="283" w:firstLineChars="118"/>
        <w:rPr>
          <w:rStyle w:val="52"/>
          <w:rFonts w:hint="eastAsia" w:ascii="仿宋_GB2312" w:hAnsi="Times New Roman" w:eastAsia="仿宋_GB2312" w:cs="Times New Roman"/>
          <w:caps/>
          <w:color w:val="000000"/>
          <w:szCs w:val="21"/>
          <w:u w:val="none"/>
        </w:rPr>
      </w:pPr>
      <w:r>
        <w:rPr>
          <w:rFonts w:hint="eastAsia" w:ascii="仿宋_GB2312" w:eastAsia="仿宋_GB2312"/>
          <w:caps/>
          <w:color w:val="000000"/>
          <w:sz w:val="24"/>
          <w:szCs w:val="24"/>
        </w:rPr>
        <w:fldChar w:fldCharType="end"/>
      </w:r>
      <w:r>
        <w:rPr>
          <w:rStyle w:val="52"/>
          <w:rFonts w:hint="eastAsia" w:ascii="仿宋_GB2312" w:eastAsia="仿宋_GB2312"/>
          <w:caps/>
          <w:color w:val="000000"/>
          <w:szCs w:val="21"/>
          <w:u w:val="none"/>
        </w:rPr>
        <w:t>一、估</w:t>
      </w:r>
      <w:r>
        <w:rPr>
          <w:rStyle w:val="52"/>
          <w:rFonts w:hint="eastAsia" w:ascii="仿宋_GB2312" w:hAnsi="Times New Roman" w:eastAsia="仿宋_GB2312" w:cs="Times New Roman"/>
          <w:caps/>
          <w:color w:val="000000"/>
          <w:szCs w:val="21"/>
          <w:u w:val="none"/>
        </w:rPr>
        <w:t>价对象照片；</w:t>
      </w:r>
    </w:p>
    <w:p>
      <w:pPr>
        <w:ind w:firstLine="247" w:firstLineChars="118"/>
        <w:rPr>
          <w:rStyle w:val="52"/>
          <w:rFonts w:hint="eastAsia" w:ascii="仿宋_GB2312" w:hAnsi="Times New Roman" w:eastAsia="仿宋_GB2312" w:cs="Times New Roman"/>
          <w:caps/>
          <w:color w:val="000000"/>
          <w:szCs w:val="21"/>
          <w:u w:val="none"/>
          <w:lang w:eastAsia="zh-CN"/>
        </w:rPr>
      </w:pPr>
      <w:r>
        <w:rPr>
          <w:rStyle w:val="52"/>
          <w:rFonts w:hint="eastAsia" w:ascii="仿宋_GB2312" w:hAnsi="Times New Roman" w:eastAsia="仿宋_GB2312" w:cs="Times New Roman"/>
          <w:caps/>
          <w:color w:val="000000"/>
          <w:szCs w:val="21"/>
          <w:u w:val="none"/>
          <w:lang w:eastAsia="zh-CN"/>
        </w:rPr>
        <w:t>二、</w:t>
      </w:r>
      <w:r>
        <w:rPr>
          <w:rStyle w:val="52"/>
          <w:rFonts w:hint="eastAsia" w:ascii="仿宋_GB2312" w:hAnsi="Times New Roman" w:eastAsia="仿宋_GB2312" w:cs="Times New Roman"/>
          <w:caps/>
          <w:color w:val="000000"/>
          <w:szCs w:val="21"/>
          <w:u w:val="none"/>
        </w:rPr>
        <w:t>估价对象位置图；</w:t>
      </w:r>
    </w:p>
    <w:p>
      <w:pPr>
        <w:ind w:firstLine="247" w:firstLineChars="118"/>
        <w:rPr>
          <w:rStyle w:val="52"/>
          <w:rFonts w:hint="eastAsia" w:ascii="仿宋_GB2312" w:hAnsi="Times New Roman" w:eastAsia="仿宋_GB2312" w:cs="Times New Roman"/>
          <w:caps/>
          <w:color w:val="000000"/>
          <w:szCs w:val="21"/>
          <w:u w:val="none"/>
          <w:lang w:eastAsia="zh-CN"/>
        </w:rPr>
      </w:pPr>
      <w:r>
        <w:rPr>
          <w:rStyle w:val="52"/>
          <w:rFonts w:hint="eastAsia" w:ascii="仿宋_GB2312" w:hAnsi="Times New Roman" w:eastAsia="仿宋_GB2312" w:cs="Times New Roman"/>
          <w:caps/>
          <w:color w:val="000000"/>
          <w:szCs w:val="21"/>
          <w:u w:val="none"/>
          <w:lang w:eastAsia="zh-CN"/>
        </w:rPr>
        <w:t>三、可比案例位置图及照片；</w:t>
      </w:r>
    </w:p>
    <w:p>
      <w:pPr>
        <w:ind w:firstLine="247" w:firstLineChars="118"/>
        <w:rPr>
          <w:rStyle w:val="52"/>
          <w:rFonts w:hint="eastAsia" w:ascii="仿宋_GB2312" w:hAnsi="Times New Roman" w:eastAsia="仿宋_GB2312" w:cs="Times New Roman"/>
          <w:caps/>
          <w:color w:val="000000"/>
          <w:szCs w:val="21"/>
          <w:u w:val="none"/>
        </w:rPr>
      </w:pPr>
      <w:r>
        <w:rPr>
          <w:rStyle w:val="52"/>
          <w:rFonts w:hint="eastAsia" w:ascii="仿宋_GB2312" w:hAnsi="Times New Roman" w:eastAsia="仿宋_GB2312" w:cs="Times New Roman"/>
          <w:caps/>
          <w:color w:val="000000"/>
          <w:szCs w:val="21"/>
          <w:u w:val="none"/>
          <w:lang w:val="en-US" w:eastAsia="zh-CN"/>
        </w:rPr>
        <w:t>四</w:t>
      </w:r>
      <w:r>
        <w:rPr>
          <w:rStyle w:val="52"/>
          <w:rFonts w:hint="eastAsia" w:ascii="仿宋_GB2312" w:hAnsi="Times New Roman" w:eastAsia="仿宋_GB2312" w:cs="Times New Roman"/>
          <w:caps/>
          <w:color w:val="000000"/>
          <w:szCs w:val="21"/>
          <w:u w:val="none"/>
        </w:rPr>
        <w:t>、</w:t>
      </w:r>
      <w:r>
        <w:rPr>
          <w:rStyle w:val="52"/>
          <w:rFonts w:hint="eastAsia" w:ascii="仿宋_GB2312" w:hAnsi="Times New Roman" w:eastAsia="仿宋_GB2312" w:cs="Times New Roman"/>
          <w:caps/>
          <w:color w:val="000000"/>
          <w:szCs w:val="21"/>
          <w:u w:val="none"/>
          <w:lang w:eastAsia="zh-CN"/>
        </w:rPr>
        <w:t>《广东省广州市中级人民法院</w:t>
      </w:r>
      <w:r>
        <w:rPr>
          <w:rStyle w:val="52"/>
          <w:rFonts w:hint="eastAsia" w:ascii="仿宋_GB2312" w:hAnsi="Times New Roman" w:eastAsia="仿宋_GB2312" w:cs="Times New Roman"/>
          <w:caps/>
          <w:color w:val="000000"/>
          <w:szCs w:val="21"/>
          <w:u w:val="none"/>
          <w:lang w:val="en-US" w:eastAsia="zh-CN"/>
        </w:rPr>
        <w:t>委托书</w:t>
      </w:r>
      <w:r>
        <w:rPr>
          <w:rStyle w:val="52"/>
          <w:rFonts w:hint="eastAsia" w:ascii="仿宋_GB2312" w:hAnsi="Times New Roman" w:eastAsia="仿宋_GB2312" w:cs="Times New Roman"/>
          <w:caps/>
          <w:color w:val="000000"/>
          <w:szCs w:val="21"/>
          <w:u w:val="none"/>
          <w:lang w:eastAsia="zh-CN"/>
        </w:rPr>
        <w:t>》[((2021)粤01执6647号]</w:t>
      </w:r>
      <w:r>
        <w:rPr>
          <w:rStyle w:val="52"/>
          <w:rFonts w:hint="eastAsia" w:ascii="仿宋_GB2312" w:hAnsi="Times New Roman" w:eastAsia="仿宋_GB2312" w:cs="Times New Roman"/>
          <w:caps/>
          <w:color w:val="000000"/>
          <w:szCs w:val="21"/>
          <w:u w:val="none"/>
        </w:rPr>
        <w:t>复印件；</w:t>
      </w:r>
    </w:p>
    <w:p>
      <w:pPr>
        <w:ind w:left="210" w:leftChars="100" w:firstLine="35" w:firstLineChars="17"/>
        <w:rPr>
          <w:rStyle w:val="52"/>
          <w:rFonts w:hint="eastAsia" w:ascii="仿宋_GB2312" w:hAnsi="Times New Roman" w:eastAsia="仿宋_GB2312" w:cs="Times New Roman"/>
          <w:caps/>
          <w:color w:val="000000"/>
          <w:szCs w:val="21"/>
          <w:u w:val="none"/>
        </w:rPr>
      </w:pPr>
      <w:r>
        <w:rPr>
          <w:rStyle w:val="52"/>
          <w:rFonts w:hint="eastAsia" w:ascii="仿宋_GB2312" w:hAnsi="Times New Roman" w:eastAsia="仿宋_GB2312" w:cs="Times New Roman"/>
          <w:caps/>
          <w:color w:val="000000"/>
          <w:szCs w:val="21"/>
          <w:u w:val="none"/>
          <w:lang w:val="en-US" w:eastAsia="zh-CN"/>
        </w:rPr>
        <w:t>五</w:t>
      </w:r>
      <w:r>
        <w:rPr>
          <w:rStyle w:val="52"/>
          <w:rFonts w:hint="eastAsia" w:ascii="仿宋_GB2312" w:hAnsi="Times New Roman" w:eastAsia="仿宋_GB2312" w:cs="Times New Roman"/>
          <w:caps/>
          <w:color w:val="000000"/>
          <w:szCs w:val="21"/>
          <w:u w:val="none"/>
        </w:rPr>
        <w:t>、估价委托人提供的</w:t>
      </w:r>
      <w:r>
        <w:rPr>
          <w:rStyle w:val="52"/>
          <w:rFonts w:hint="eastAsia" w:ascii="仿宋_GB2312" w:hAnsi="Times New Roman" w:eastAsia="仿宋_GB2312" w:cs="Times New Roman"/>
          <w:caps/>
          <w:color w:val="000000"/>
          <w:szCs w:val="21"/>
          <w:u w:val="none"/>
          <w:lang w:eastAsia="zh-CN"/>
        </w:rPr>
        <w:t>《广州市不动产登记查册表》（不动产登记字号：19登记12528222）</w:t>
      </w:r>
      <w:r>
        <w:rPr>
          <w:rStyle w:val="52"/>
          <w:rFonts w:hint="eastAsia" w:ascii="仿宋_GB2312" w:hAnsi="Times New Roman" w:eastAsia="仿宋_GB2312" w:cs="Times New Roman"/>
          <w:caps/>
          <w:color w:val="000000"/>
          <w:szCs w:val="21"/>
          <w:u w:val="none"/>
        </w:rPr>
        <w:t>资料复印件；</w:t>
      </w:r>
    </w:p>
    <w:p>
      <w:pPr>
        <w:ind w:firstLine="247" w:firstLineChars="118"/>
        <w:rPr>
          <w:rStyle w:val="52"/>
          <w:rFonts w:hint="eastAsia" w:ascii="仿宋_GB2312" w:hAnsi="Times New Roman" w:eastAsia="仿宋_GB2312" w:cs="Times New Roman"/>
          <w:caps/>
          <w:color w:val="000000"/>
          <w:szCs w:val="21"/>
          <w:u w:val="none"/>
        </w:rPr>
      </w:pPr>
      <w:r>
        <w:rPr>
          <w:rStyle w:val="52"/>
          <w:rFonts w:hint="eastAsia" w:ascii="仿宋_GB2312" w:hAnsi="Times New Roman" w:eastAsia="仿宋_GB2312" w:cs="Times New Roman"/>
          <w:caps/>
          <w:color w:val="000000"/>
          <w:szCs w:val="21"/>
          <w:u w:val="none"/>
          <w:lang w:val="en-US" w:eastAsia="zh-CN"/>
        </w:rPr>
        <w:t>六</w:t>
      </w:r>
      <w:r>
        <w:rPr>
          <w:rStyle w:val="52"/>
          <w:rFonts w:hint="eastAsia" w:ascii="仿宋_GB2312" w:hAnsi="Times New Roman" w:eastAsia="仿宋_GB2312" w:cs="Times New Roman"/>
          <w:caps/>
          <w:color w:val="000000"/>
          <w:szCs w:val="21"/>
          <w:u w:val="none"/>
        </w:rPr>
        <w:t>、《</w:t>
      </w:r>
      <w:r>
        <w:rPr>
          <w:rStyle w:val="52"/>
          <w:rFonts w:hint="eastAsia" w:ascii="仿宋_GB2312" w:hAnsi="Times New Roman" w:eastAsia="仿宋_GB2312" w:cs="Times New Roman"/>
          <w:caps/>
          <w:color w:val="000000"/>
          <w:szCs w:val="21"/>
          <w:u w:val="none"/>
          <w:lang w:eastAsia="zh-CN"/>
        </w:rPr>
        <w:t>车位</w:t>
      </w:r>
      <w:r>
        <w:rPr>
          <w:rStyle w:val="52"/>
          <w:rFonts w:hint="eastAsia" w:ascii="仿宋_GB2312" w:hAnsi="Times New Roman" w:eastAsia="仿宋_GB2312" w:cs="Times New Roman"/>
          <w:caps/>
          <w:color w:val="000000"/>
          <w:szCs w:val="21"/>
          <w:u w:val="none"/>
        </w:rPr>
        <w:t>现场查勘表》复印件；</w:t>
      </w:r>
    </w:p>
    <w:p>
      <w:pPr>
        <w:ind w:firstLine="247" w:firstLineChars="118"/>
        <w:rPr>
          <w:rStyle w:val="52"/>
          <w:rFonts w:hint="eastAsia" w:ascii="仿宋_GB2312" w:hAnsi="Times New Roman" w:eastAsia="仿宋_GB2312" w:cs="Times New Roman"/>
          <w:caps/>
          <w:color w:val="000000"/>
          <w:szCs w:val="21"/>
          <w:u w:val="none"/>
        </w:rPr>
      </w:pPr>
      <w:r>
        <w:rPr>
          <w:rStyle w:val="52"/>
          <w:rFonts w:hint="eastAsia" w:ascii="仿宋_GB2312" w:hAnsi="Times New Roman" w:eastAsia="仿宋_GB2312" w:cs="Times New Roman"/>
          <w:caps/>
          <w:color w:val="000000"/>
          <w:szCs w:val="21"/>
          <w:u w:val="none"/>
          <w:lang w:val="en-US" w:eastAsia="zh-CN"/>
        </w:rPr>
        <w:t>七</w:t>
      </w:r>
      <w:r>
        <w:rPr>
          <w:rStyle w:val="52"/>
          <w:rFonts w:hint="eastAsia" w:ascii="仿宋_GB2312" w:hAnsi="Times New Roman" w:eastAsia="仿宋_GB2312" w:cs="Times New Roman"/>
          <w:caps/>
          <w:color w:val="000000"/>
          <w:szCs w:val="21"/>
          <w:u w:val="none"/>
        </w:rPr>
        <w:t>、房地产估价机构营业执照和估价资质证书复印件；</w:t>
      </w:r>
    </w:p>
    <w:p>
      <w:pPr>
        <w:ind w:firstLine="247" w:firstLineChars="118"/>
        <w:rPr>
          <w:rStyle w:val="52"/>
          <w:rFonts w:ascii="仿宋_GB2312" w:eastAsia="仿宋_GB2312"/>
          <w:caps/>
          <w:color w:val="000000"/>
          <w:szCs w:val="21"/>
          <w:u w:val="none"/>
        </w:rPr>
      </w:pPr>
      <w:r>
        <w:rPr>
          <w:rStyle w:val="52"/>
          <w:rFonts w:hint="eastAsia" w:ascii="仿宋_GB2312" w:hAnsi="Times New Roman" w:eastAsia="仿宋_GB2312" w:cs="Times New Roman"/>
          <w:caps/>
          <w:color w:val="000000"/>
          <w:szCs w:val="21"/>
          <w:u w:val="none"/>
          <w:lang w:eastAsia="zh-CN"/>
        </w:rPr>
        <w:t>八、</w:t>
      </w:r>
      <w:r>
        <w:rPr>
          <w:rStyle w:val="52"/>
          <w:rFonts w:hint="eastAsia" w:ascii="仿宋_GB2312" w:hAnsi="Times New Roman" w:eastAsia="仿宋_GB2312" w:cs="Times New Roman"/>
          <w:caps/>
          <w:color w:val="000000"/>
          <w:szCs w:val="21"/>
          <w:u w:val="none"/>
        </w:rPr>
        <w:t xml:space="preserve">注册房地产估价师估价资格证书复印件。 </w:t>
      </w:r>
      <w:r>
        <w:rPr>
          <w:rFonts w:hint="eastAsia" w:ascii="仿宋_GB2312" w:eastAsia="仿宋_GB2312"/>
          <w:color w:val="000000"/>
          <w:szCs w:val="21"/>
        </w:rPr>
        <w:t xml:space="preserve"> </w:t>
      </w:r>
    </w:p>
    <w:p>
      <w:pPr>
        <w:keepNext/>
        <w:keepLines/>
        <w:pageBreakBefore w:val="0"/>
        <w:widowControl w:val="0"/>
        <w:kinsoku/>
        <w:wordWrap/>
        <w:overflowPunct/>
        <w:topLinePunct w:val="0"/>
        <w:autoSpaceDE/>
        <w:autoSpaceDN/>
        <w:bidi w:val="0"/>
        <w:adjustRightInd w:val="0"/>
        <w:snapToGrid/>
        <w:spacing w:before="0" w:after="0" w:line="360" w:lineRule="auto"/>
        <w:textAlignment w:val="baseline"/>
        <w:outlineLvl w:val="9"/>
        <w:rPr>
          <w:rFonts w:hint="eastAsia" w:ascii="仿宋_GB2312" w:eastAsia="仿宋_GB2312"/>
          <w:b/>
          <w:caps/>
          <w:color w:val="000000"/>
          <w:szCs w:val="28"/>
        </w:rPr>
      </w:pPr>
      <w:r>
        <w:rPr>
          <w:rFonts w:hint="eastAsia" w:ascii="仿宋_GB2312" w:eastAsia="仿宋_GB2312"/>
          <w:color w:val="000000"/>
          <w:szCs w:val="21"/>
        </w:rPr>
        <w:t xml:space="preserve">                                                           </w:t>
      </w:r>
      <w:r>
        <w:rPr>
          <w:rFonts w:hint="eastAsia" w:ascii="仿宋_GB2312" w:eastAsia="仿宋_GB2312"/>
          <w:b/>
          <w:caps/>
          <w:color w:val="000000"/>
          <w:szCs w:val="28"/>
        </w:rPr>
        <w:br w:type="page"/>
      </w:r>
      <w:bookmarkStart w:id="8" w:name="_Toc438048735"/>
      <w:bookmarkStart w:id="9" w:name="_Toc476642213"/>
      <w:bookmarkStart w:id="10" w:name="_Toc476642099"/>
    </w:p>
    <w:p>
      <w:pPr>
        <w:keepNext/>
        <w:keepLines/>
        <w:pageBreakBefore w:val="0"/>
        <w:widowControl w:val="0"/>
        <w:kinsoku/>
        <w:wordWrap/>
        <w:overflowPunct/>
        <w:topLinePunct w:val="0"/>
        <w:autoSpaceDE/>
        <w:autoSpaceDN/>
        <w:bidi w:val="0"/>
        <w:adjustRightInd w:val="0"/>
        <w:snapToGrid/>
        <w:spacing w:before="0" w:after="0" w:line="360" w:lineRule="auto"/>
        <w:jc w:val="center"/>
        <w:textAlignment w:val="baseline"/>
        <w:outlineLvl w:val="0"/>
        <w:rPr>
          <w:rFonts w:hint="eastAsia" w:ascii="仿宋_GB2312" w:hAnsi="Calibri" w:eastAsia="仿宋_GB2312" w:cs="Times New Roman"/>
          <w:b/>
          <w:caps/>
          <w:color w:val="000000"/>
          <w:kern w:val="44"/>
          <w:sz w:val="30"/>
          <w:lang w:val="en-US" w:eastAsia="zh-CN" w:bidi="ar-SA"/>
        </w:rPr>
      </w:pPr>
      <w:bookmarkStart w:id="11" w:name="_Toc28004"/>
      <w:r>
        <w:rPr>
          <w:rFonts w:hint="eastAsia" w:ascii="仿宋_GB2312" w:hAnsi="Calibri" w:eastAsia="仿宋_GB2312" w:cs="Times New Roman"/>
          <w:b/>
          <w:caps/>
          <w:color w:val="000000"/>
          <w:kern w:val="44"/>
          <w:sz w:val="30"/>
          <w:lang w:val="en-US" w:eastAsia="zh-CN" w:bidi="ar-SA"/>
        </w:rPr>
        <w:t>估价师声明</w:t>
      </w:r>
      <w:bookmarkEnd w:id="8"/>
      <w:bookmarkEnd w:id="9"/>
      <w:bookmarkEnd w:id="10"/>
      <w:bookmarkEnd w:id="11"/>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1"/>
        <w:textAlignment w:val="auto"/>
        <w:rPr>
          <w:rFonts w:ascii="仿宋_GB2312" w:hAnsi="Times New Roman" w:eastAsia="仿宋_GB2312"/>
          <w:caps/>
          <w:color w:val="000000"/>
          <w:sz w:val="28"/>
        </w:rPr>
      </w:pPr>
      <w:r>
        <w:rPr>
          <w:rFonts w:hint="eastAsia" w:ascii="仿宋_GB2312" w:hAnsi="Times New Roman" w:eastAsia="仿宋_GB2312"/>
          <w:caps/>
          <w:color w:val="000000"/>
          <w:sz w:val="28"/>
        </w:rPr>
        <w:t>我们郑重声明：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1"/>
        <w:textAlignment w:val="auto"/>
        <w:rPr>
          <w:rFonts w:ascii="仿宋_GB2312" w:hAnsi="Times New Roman" w:eastAsia="仿宋_GB2312"/>
          <w:caps/>
          <w:color w:val="000000"/>
          <w:sz w:val="28"/>
        </w:rPr>
      </w:pPr>
      <w:r>
        <w:rPr>
          <w:rFonts w:hint="eastAsia" w:ascii="仿宋_GB2312" w:hAnsi="Times New Roman" w:eastAsia="仿宋_GB2312"/>
          <w:caps/>
          <w:color w:val="000000"/>
          <w:sz w:val="28"/>
        </w:rPr>
        <w:t>1</w:t>
      </w:r>
      <w:r>
        <w:rPr>
          <w:rFonts w:hint="eastAsia" w:ascii="仿宋_GB2312" w:hAnsi="Times New Roman" w:eastAsia="仿宋_GB2312"/>
          <w:caps/>
          <w:color w:val="000000"/>
          <w:sz w:val="28"/>
          <w:lang w:eastAsia="zh-CN"/>
        </w:rPr>
        <w:t>、</w:t>
      </w:r>
      <w:r>
        <w:rPr>
          <w:rFonts w:hint="eastAsia" w:ascii="仿宋_GB2312" w:hAnsi="Times New Roman" w:eastAsia="仿宋_GB2312"/>
          <w:caps/>
          <w:color w:val="000000"/>
          <w:sz w:val="28"/>
        </w:rPr>
        <w:t>注册房地产估价师在估价报告中对事实的说明是真实和准确的，没有虚假记载、误导性陈述和重大遗漏。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1"/>
        <w:textAlignment w:val="auto"/>
        <w:rPr>
          <w:rFonts w:ascii="仿宋_GB2312" w:hAnsi="Times New Roman" w:eastAsia="仿宋_GB2312"/>
          <w:caps/>
          <w:color w:val="000000"/>
          <w:sz w:val="28"/>
        </w:rPr>
      </w:pPr>
      <w:r>
        <w:rPr>
          <w:rFonts w:hint="eastAsia" w:ascii="仿宋_GB2312" w:hAnsi="Times New Roman" w:eastAsia="仿宋_GB2312"/>
          <w:caps/>
          <w:color w:val="000000"/>
          <w:sz w:val="28"/>
        </w:rPr>
        <w:t>2</w:t>
      </w:r>
      <w:r>
        <w:rPr>
          <w:rFonts w:hint="eastAsia" w:ascii="仿宋_GB2312" w:hAnsi="Times New Roman" w:eastAsia="仿宋_GB2312"/>
          <w:caps/>
          <w:color w:val="000000"/>
          <w:sz w:val="28"/>
          <w:lang w:eastAsia="zh-CN"/>
        </w:rPr>
        <w:t>、</w:t>
      </w:r>
      <w:r>
        <w:rPr>
          <w:rFonts w:hint="eastAsia" w:ascii="仿宋_GB2312" w:hAnsi="Times New Roman" w:eastAsia="仿宋_GB2312"/>
          <w:caps/>
          <w:color w:val="000000"/>
          <w:sz w:val="28"/>
        </w:rPr>
        <w:t>估价报告中的分析、意见和结论是注册房地产估价师独立、客观、公正的专业分析、意见和结论，但受到估价报告中已说明的估价假设和限制条件的限制。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1"/>
        <w:textAlignment w:val="auto"/>
        <w:rPr>
          <w:rFonts w:ascii="仿宋_GB2312" w:hAnsi="Times New Roman" w:eastAsia="仿宋_GB2312"/>
          <w:caps/>
          <w:color w:val="000000"/>
          <w:sz w:val="28"/>
        </w:rPr>
      </w:pPr>
      <w:r>
        <w:rPr>
          <w:rFonts w:hint="eastAsia" w:ascii="仿宋_GB2312" w:hAnsi="Times New Roman" w:eastAsia="仿宋_GB2312"/>
          <w:caps/>
          <w:color w:val="000000"/>
          <w:sz w:val="28"/>
        </w:rPr>
        <w:t>3</w:t>
      </w:r>
      <w:r>
        <w:rPr>
          <w:rFonts w:hint="eastAsia" w:ascii="仿宋_GB2312" w:hAnsi="Times New Roman" w:eastAsia="仿宋_GB2312"/>
          <w:caps/>
          <w:color w:val="000000"/>
          <w:sz w:val="28"/>
          <w:lang w:eastAsia="zh-CN"/>
        </w:rPr>
        <w:t>、</w:t>
      </w:r>
      <w:r>
        <w:rPr>
          <w:rFonts w:hint="eastAsia" w:ascii="仿宋_GB2312" w:hAnsi="Times New Roman" w:eastAsia="仿宋_GB2312"/>
          <w:caps/>
          <w:color w:val="000000"/>
          <w:sz w:val="28"/>
        </w:rPr>
        <w:t>注册房地产估价师与估价报告中的估价对象没有现实或潜在的利益，与估价委托人及估价利害关系人没有利害关系，也对估价对象、估价委托人及估价利害关系人没有偏见。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1"/>
        <w:textAlignment w:val="auto"/>
        <w:rPr>
          <w:rFonts w:ascii="仿宋_GB2312" w:hAnsi="Times New Roman" w:eastAsia="仿宋_GB2312"/>
          <w:caps/>
          <w:color w:val="000000"/>
          <w:sz w:val="28"/>
        </w:rPr>
      </w:pPr>
      <w:r>
        <w:rPr>
          <w:rFonts w:hint="eastAsia" w:ascii="仿宋_GB2312" w:hAnsi="Times New Roman" w:eastAsia="仿宋_GB2312"/>
          <w:caps/>
          <w:color w:val="000000"/>
          <w:sz w:val="28"/>
        </w:rPr>
        <w:t>4</w:t>
      </w:r>
      <w:r>
        <w:rPr>
          <w:rFonts w:hint="eastAsia" w:ascii="仿宋_GB2312" w:hAnsi="Times New Roman" w:eastAsia="仿宋_GB2312"/>
          <w:caps/>
          <w:color w:val="000000"/>
          <w:sz w:val="28"/>
          <w:lang w:eastAsia="zh-CN"/>
        </w:rPr>
        <w:t>、</w:t>
      </w:r>
      <w:r>
        <w:rPr>
          <w:rFonts w:hint="eastAsia" w:ascii="仿宋_GB2312" w:hAnsi="Times New Roman" w:eastAsia="仿宋_GB2312"/>
          <w:caps/>
          <w:color w:val="000000"/>
          <w:sz w:val="28"/>
        </w:rPr>
        <w:t>注册房地产估价师是按照中华人民共和国国家标准《房地产估价规范》（GB/T50291-2015）、《房地产估价基本术语标准》（GB/T50899-2013）</w:t>
      </w:r>
      <w:r>
        <w:rPr>
          <w:rFonts w:hint="eastAsia" w:ascii="仿宋_GB2312" w:hAnsi="Times New Roman" w:eastAsia="仿宋_GB2312"/>
          <w:caps/>
          <w:color w:val="000000"/>
          <w:sz w:val="28"/>
          <w:lang w:eastAsia="zh-CN"/>
        </w:rPr>
        <w:t>、</w:t>
      </w:r>
      <w:r>
        <w:rPr>
          <w:rFonts w:hint="eastAsia" w:ascii="仿宋_GB2312" w:hAnsi="Times New Roman" w:eastAsia="仿宋_GB2312"/>
          <w:caps/>
          <w:color w:val="000000"/>
          <w:sz w:val="28"/>
        </w:rPr>
        <w:t>《最高人民法院关于人民法院委托评估、拍卖工作的若干规定》（</w:t>
      </w:r>
      <w:r>
        <w:rPr>
          <w:rFonts w:hint="eastAsia" w:ascii="仿宋_GB2312" w:eastAsia="仿宋_GB2312"/>
          <w:sz w:val="28"/>
        </w:rPr>
        <w:t>法释[</w:t>
      </w:r>
      <w:r>
        <w:rPr>
          <w:rFonts w:hint="eastAsia" w:ascii="仿宋_GB2312" w:hAnsi="宋体" w:eastAsia="仿宋_GB2312"/>
          <w:sz w:val="28"/>
        </w:rPr>
        <w:t>2011]21号</w:t>
      </w:r>
      <w:r>
        <w:rPr>
          <w:rFonts w:hint="eastAsia" w:ascii="仿宋_GB2312" w:hAnsi="Times New Roman" w:eastAsia="仿宋_GB2312"/>
          <w:caps/>
          <w:color w:val="000000"/>
          <w:sz w:val="28"/>
        </w:rPr>
        <w:t>）</w:t>
      </w:r>
      <w:r>
        <w:rPr>
          <w:rFonts w:hint="eastAsia" w:ascii="仿宋_GB2312" w:hAnsi="Times New Roman" w:eastAsia="仿宋_GB2312"/>
          <w:caps/>
          <w:color w:val="000000"/>
          <w:sz w:val="28"/>
          <w:lang w:val="en-US" w:eastAsia="zh-CN"/>
        </w:rPr>
        <w:t>、</w:t>
      </w:r>
      <w:r>
        <w:rPr>
          <w:rFonts w:hint="eastAsia" w:ascii="仿宋_GB2312" w:hAnsi="宋体" w:eastAsia="仿宋_GB2312"/>
          <w:caps/>
          <w:sz w:val="28"/>
          <w:szCs w:val="22"/>
        </w:rPr>
        <w:t>《关于印发</w:t>
      </w:r>
      <w:r>
        <w:rPr>
          <w:rFonts w:hint="eastAsia" w:ascii="仿宋_GB2312" w:hAnsi="宋体" w:eastAsia="仿宋_GB2312"/>
          <w:caps/>
          <w:color w:val="000000"/>
          <w:sz w:val="28"/>
        </w:rPr>
        <w:t>&lt;</w:t>
      </w:r>
      <w:r>
        <w:rPr>
          <w:rFonts w:hint="eastAsia" w:ascii="仿宋_GB2312" w:hAnsi="宋体" w:eastAsia="仿宋_GB2312"/>
          <w:caps/>
          <w:sz w:val="28"/>
          <w:szCs w:val="22"/>
        </w:rPr>
        <w:t>人民法院委托评估工作规范</w:t>
      </w:r>
      <w:r>
        <w:rPr>
          <w:rFonts w:hint="eastAsia" w:ascii="仿宋_GB2312" w:hAnsi="宋体" w:eastAsia="仿宋_GB2312"/>
          <w:caps/>
          <w:color w:val="000000"/>
          <w:sz w:val="28"/>
        </w:rPr>
        <w:t>&gt;</w:t>
      </w:r>
      <w:r>
        <w:rPr>
          <w:rFonts w:hint="eastAsia" w:ascii="仿宋_GB2312" w:hAnsi="宋体" w:eastAsia="仿宋_GB2312"/>
          <w:caps/>
          <w:sz w:val="28"/>
          <w:szCs w:val="22"/>
        </w:rPr>
        <w:t>的通知》（法办[2018]273号）</w:t>
      </w:r>
      <w:r>
        <w:rPr>
          <w:rFonts w:hint="eastAsia" w:ascii="仿宋_GB2312" w:hAnsi="宋体" w:eastAsia="仿宋_GB2312"/>
          <w:caps/>
          <w:sz w:val="28"/>
          <w:szCs w:val="22"/>
          <w:lang w:val="en-US" w:eastAsia="zh-CN"/>
        </w:rPr>
        <w:t>和“</w:t>
      </w:r>
      <w:r>
        <w:rPr>
          <w:rFonts w:hint="eastAsia" w:ascii="仿宋_GB2312" w:hAnsi="宋体" w:eastAsia="仿宋_GB2312"/>
          <w:caps/>
          <w:sz w:val="28"/>
          <w:szCs w:val="22"/>
        </w:rPr>
        <w:t>关于印发《涉执房地产处置司法评估指导意见（试行）》的通知</w:t>
      </w:r>
      <w:r>
        <w:rPr>
          <w:rFonts w:hint="eastAsia" w:ascii="仿宋_GB2312" w:hAnsi="宋体" w:eastAsia="仿宋_GB2312"/>
          <w:caps/>
          <w:sz w:val="28"/>
          <w:szCs w:val="22"/>
          <w:lang w:eastAsia="zh-CN"/>
        </w:rPr>
        <w:t>（中房学〔2021〕37号）”</w:t>
      </w:r>
      <w:r>
        <w:rPr>
          <w:rFonts w:hint="eastAsia" w:ascii="仿宋_GB2312" w:hAnsi="Times New Roman" w:eastAsia="仿宋_GB2312"/>
          <w:caps/>
          <w:color w:val="000000"/>
          <w:sz w:val="28"/>
        </w:rPr>
        <w:t>的规定进行估价工作，撰写估价报告。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1"/>
        <w:textAlignment w:val="auto"/>
        <w:rPr>
          <w:rFonts w:ascii="仿宋_GB2312" w:hAnsi="Times New Roman" w:eastAsia="仿宋_GB2312"/>
          <w:sz w:val="28"/>
        </w:rPr>
      </w:pPr>
      <w:r>
        <w:rPr>
          <w:rFonts w:hint="eastAsia" w:ascii="仿宋_GB2312" w:hAnsi="Times New Roman" w:eastAsia="仿宋_GB2312"/>
          <w:sz w:val="28"/>
        </w:rPr>
        <w:t>5</w:t>
      </w:r>
      <w:r>
        <w:rPr>
          <w:rFonts w:hint="eastAsia" w:ascii="仿宋_GB2312" w:hAnsi="Times New Roman" w:eastAsia="仿宋_GB2312"/>
          <w:sz w:val="28"/>
          <w:lang w:eastAsia="zh-CN"/>
        </w:rPr>
        <w:t>、</w:t>
      </w:r>
      <w:r>
        <w:rPr>
          <w:rFonts w:hint="eastAsia" w:ascii="仿宋_GB2312" w:hAnsi="Times New Roman" w:eastAsia="仿宋_GB2312"/>
          <w:sz w:val="28"/>
        </w:rPr>
        <w:t>参与本次评估的注册房地产估价师</w:t>
      </w:r>
      <w:r>
        <w:rPr>
          <w:rFonts w:hint="eastAsia" w:ascii="仿宋_GB2312" w:hAnsi="Times New Roman" w:eastAsia="仿宋_GB2312"/>
          <w:sz w:val="28"/>
          <w:lang w:val="en-US" w:eastAsia="zh-CN"/>
        </w:rPr>
        <w:t>邓颖聪</w:t>
      </w:r>
      <w:r>
        <w:rPr>
          <w:rFonts w:hint="eastAsia" w:ascii="仿宋_GB2312" w:hAnsi="Times New Roman" w:eastAsia="仿宋_GB2312"/>
          <w:sz w:val="28"/>
        </w:rPr>
        <w:t>于</w:t>
      </w:r>
      <w:r>
        <w:rPr>
          <w:rFonts w:hint="eastAsia" w:ascii="仿宋_GB2312" w:eastAsia="仿宋_GB2312"/>
          <w:sz w:val="28"/>
          <w:lang w:eastAsia="zh-CN"/>
        </w:rPr>
        <w:t>2022年2月24日</w:t>
      </w:r>
      <w:r>
        <w:rPr>
          <w:rFonts w:hint="eastAsia" w:ascii="仿宋_GB2312" w:hAnsi="Times New Roman" w:eastAsia="仿宋_GB2312"/>
          <w:caps/>
          <w:color w:val="000000"/>
          <w:sz w:val="28"/>
          <w:szCs w:val="28"/>
        </w:rPr>
        <w:t>对本估价报告中的估价对象进行了实地查勘</w:t>
      </w:r>
      <w:r>
        <w:rPr>
          <w:rFonts w:hint="eastAsia" w:ascii="仿宋_GB2312" w:hAnsi="Times New Roman" w:eastAsia="仿宋_GB2312"/>
          <w:sz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1"/>
        <w:textAlignment w:val="auto"/>
        <w:rPr>
          <w:rFonts w:ascii="仿宋_GB2312" w:hAnsi="Times New Roman" w:eastAsia="仿宋_GB2312"/>
          <w:caps/>
          <w:color w:val="000000"/>
          <w:sz w:val="28"/>
        </w:rPr>
      </w:pPr>
      <w:r>
        <w:rPr>
          <w:rFonts w:hint="eastAsia" w:ascii="仿宋_GB2312" w:hAnsi="Times New Roman" w:eastAsia="仿宋_GB2312"/>
          <w:sz w:val="28"/>
        </w:rPr>
        <w:t>6</w:t>
      </w:r>
      <w:r>
        <w:rPr>
          <w:rFonts w:hint="eastAsia" w:ascii="仿宋_GB2312" w:hAnsi="Times New Roman" w:eastAsia="仿宋_GB2312"/>
          <w:sz w:val="28"/>
          <w:lang w:eastAsia="zh-CN"/>
        </w:rPr>
        <w:t>、</w:t>
      </w:r>
      <w:r>
        <w:rPr>
          <w:rFonts w:hint="eastAsia" w:ascii="仿宋_GB2312" w:hAnsi="Times New Roman" w:eastAsia="仿宋_GB2312"/>
          <w:sz w:val="28"/>
        </w:rPr>
        <w:t>没有人对本估价报告提供了重要专业帮助。</w:t>
      </w:r>
    </w:p>
    <w:p>
      <w:pPr>
        <w:keepNext w:val="0"/>
        <w:keepLines w:val="0"/>
        <w:pageBreakBefore w:val="0"/>
        <w:widowControl w:val="0"/>
        <w:numPr>
          <w:ilvl w:val="0"/>
          <w:numId w:val="1"/>
        </w:numPr>
        <w:kinsoku/>
        <w:wordWrap/>
        <w:overflowPunct/>
        <w:topLinePunct w:val="0"/>
        <w:autoSpaceDE/>
        <w:autoSpaceDN/>
        <w:bidi w:val="0"/>
        <w:adjustRightInd/>
        <w:snapToGrid/>
        <w:spacing w:after="240" w:line="560" w:lineRule="exact"/>
        <w:ind w:firstLine="561"/>
        <w:textAlignment w:val="auto"/>
        <w:rPr>
          <w:rFonts w:ascii="仿宋_GB2312" w:eastAsia="仿宋_GB2312"/>
          <w:caps/>
          <w:color w:val="000000"/>
          <w:sz w:val="28"/>
        </w:rPr>
      </w:pPr>
      <w:bookmarkStart w:id="12" w:name="_Toc476642214"/>
      <w:bookmarkStart w:id="13" w:name="_Toc438048736"/>
      <w:bookmarkStart w:id="14" w:name="_Toc476642100"/>
      <w:r>
        <w:rPr>
          <w:rFonts w:hint="eastAsia" w:ascii="仿宋_GB2312" w:eastAsia="仿宋_GB2312"/>
          <w:caps/>
          <w:color w:val="000000"/>
          <w:sz w:val="28"/>
        </w:rPr>
        <w:t>7</w:t>
      </w:r>
      <w:r>
        <w:rPr>
          <w:rFonts w:hint="eastAsia" w:ascii="仿宋_GB2312" w:eastAsia="仿宋_GB2312"/>
          <w:caps/>
          <w:color w:val="000000"/>
          <w:sz w:val="28"/>
          <w:lang w:eastAsia="zh-CN"/>
        </w:rPr>
        <w:t>、</w:t>
      </w:r>
      <w:r>
        <w:rPr>
          <w:rFonts w:hint="eastAsia" w:ascii="仿宋_GB2312" w:eastAsia="仿宋_GB2312"/>
          <w:caps/>
          <w:color w:val="000000"/>
          <w:sz w:val="28"/>
        </w:rPr>
        <w:t>参与本次估价的评估专业人员为：</w:t>
      </w:r>
    </w:p>
    <w:tbl>
      <w:tblPr>
        <w:tblStyle w:val="4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7"/>
        <w:gridCol w:w="2092"/>
        <w:gridCol w:w="2689"/>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1" w:type="pct"/>
            <w:shd w:val="clear" w:color="auto" w:fill="BFBFBF"/>
            <w:vAlign w:val="center"/>
          </w:tcPr>
          <w:p>
            <w:pPr>
              <w:pStyle w:val="247"/>
              <w:rPr>
                <w:rFonts w:hint="eastAsia"/>
                <w:color w:val="000000"/>
              </w:rPr>
            </w:pPr>
            <w:r>
              <w:rPr>
                <w:rFonts w:hint="eastAsia"/>
                <w:color w:val="000000"/>
              </w:rPr>
              <w:t>姓名</w:t>
            </w:r>
          </w:p>
        </w:tc>
        <w:tc>
          <w:tcPr>
            <w:tcW w:w="1100" w:type="pct"/>
            <w:shd w:val="clear" w:color="auto" w:fill="BFBFBF"/>
            <w:vAlign w:val="center"/>
          </w:tcPr>
          <w:p>
            <w:pPr>
              <w:pStyle w:val="247"/>
              <w:rPr>
                <w:rFonts w:hint="eastAsia"/>
                <w:color w:val="000000"/>
              </w:rPr>
            </w:pPr>
            <w:r>
              <w:rPr>
                <w:rFonts w:hint="eastAsia"/>
                <w:color w:val="000000"/>
              </w:rPr>
              <w:t>注册号</w:t>
            </w:r>
          </w:p>
        </w:tc>
        <w:tc>
          <w:tcPr>
            <w:tcW w:w="1414" w:type="pct"/>
            <w:shd w:val="clear" w:color="auto" w:fill="BFBFBF"/>
            <w:vAlign w:val="center"/>
          </w:tcPr>
          <w:p>
            <w:pPr>
              <w:pStyle w:val="247"/>
              <w:rPr>
                <w:rFonts w:hint="eastAsia" w:eastAsia="仿宋_GB2312"/>
                <w:color w:val="000000"/>
                <w:lang w:val="en-US" w:eastAsia="zh-CN"/>
              </w:rPr>
            </w:pPr>
            <w:r>
              <w:rPr>
                <w:rFonts w:hint="eastAsia"/>
                <w:color w:val="000000"/>
                <w:lang w:val="en-US" w:eastAsia="zh-CN"/>
              </w:rPr>
              <w:t>签名</w:t>
            </w:r>
          </w:p>
        </w:tc>
        <w:tc>
          <w:tcPr>
            <w:tcW w:w="1414" w:type="pct"/>
            <w:shd w:val="clear" w:color="auto" w:fill="BFBFBF"/>
            <w:vAlign w:val="center"/>
          </w:tcPr>
          <w:p>
            <w:pPr>
              <w:pStyle w:val="247"/>
              <w:rPr>
                <w:rFonts w:hint="eastAsia"/>
                <w:color w:val="000000"/>
              </w:rPr>
            </w:pPr>
            <w:r>
              <w:rPr>
                <w:rFonts w:hint="eastAsia"/>
                <w:color w:val="000000"/>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071" w:type="pct"/>
            <w:vAlign w:val="center"/>
          </w:tcPr>
          <w:p>
            <w:pPr>
              <w:pStyle w:val="247"/>
              <w:ind w:left="-107" w:leftChars="-51" w:right="-27" w:rightChars="-13"/>
              <w:rPr>
                <w:rFonts w:hint="eastAsia" w:eastAsia="仿宋_GB2312"/>
                <w:color w:val="000000"/>
                <w:lang w:eastAsia="zh-CN"/>
              </w:rPr>
            </w:pPr>
            <w:r>
              <w:rPr>
                <w:rFonts w:hint="eastAsia" w:hAnsi="宋体"/>
                <w:caps/>
                <w:color w:val="000000"/>
                <w:szCs w:val="30"/>
                <w:lang w:eastAsia="zh-CN"/>
              </w:rPr>
              <w:t>邓颖聪</w:t>
            </w:r>
          </w:p>
        </w:tc>
        <w:tc>
          <w:tcPr>
            <w:tcW w:w="1100" w:type="pct"/>
            <w:vAlign w:val="center"/>
          </w:tcPr>
          <w:p>
            <w:pPr>
              <w:pStyle w:val="247"/>
              <w:ind w:left="-107" w:leftChars="-51" w:right="-27" w:rightChars="-13"/>
              <w:rPr>
                <w:rFonts w:hint="eastAsia" w:eastAsia="仿宋_GB2312"/>
                <w:color w:val="000000"/>
                <w:lang w:eastAsia="zh-CN"/>
              </w:rPr>
            </w:pPr>
            <w:r>
              <w:rPr>
                <w:rFonts w:hint="eastAsia"/>
                <w:caps/>
                <w:color w:val="000000"/>
                <w:lang w:eastAsia="zh-CN"/>
              </w:rPr>
              <w:t>4420080006</w:t>
            </w:r>
            <w:r>
              <w:rPr>
                <w:rFonts w:hint="eastAsia"/>
                <w:caps/>
                <w:color w:val="000000"/>
              </w:rPr>
              <w:t xml:space="preserve"> </w:t>
            </w:r>
          </w:p>
        </w:tc>
        <w:tc>
          <w:tcPr>
            <w:tcW w:w="1414" w:type="pct"/>
            <w:vAlign w:val="center"/>
          </w:tcPr>
          <w:p>
            <w:pPr>
              <w:pStyle w:val="247"/>
              <w:ind w:left="0" w:leftChars="0"/>
              <w:rPr>
                <w:rFonts w:hint="eastAsia" w:hAnsi="宋体"/>
                <w:caps/>
                <w:color w:val="000000"/>
                <w:szCs w:val="30"/>
                <w:lang w:eastAsia="zh-CN"/>
              </w:rPr>
            </w:pPr>
          </w:p>
        </w:tc>
        <w:tc>
          <w:tcPr>
            <w:tcW w:w="1414" w:type="pct"/>
            <w:vAlign w:val="center"/>
          </w:tcPr>
          <w:p>
            <w:pPr>
              <w:pStyle w:val="247"/>
              <w:rPr>
                <w:rFonts w:hint="eastAsia" w:eastAsia="仿宋_GB2312"/>
                <w:color w:val="000000"/>
                <w:lang w:eastAsia="zh-CN"/>
              </w:rPr>
            </w:pPr>
            <w:r>
              <w:rPr>
                <w:rFonts w:hint="eastAsia"/>
                <w:color w:val="000000"/>
                <w:lang w:eastAsia="zh-CN"/>
              </w:rPr>
              <w:t>2022年3月8日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071" w:type="pct"/>
            <w:vAlign w:val="center"/>
          </w:tcPr>
          <w:p>
            <w:pPr>
              <w:widowControl/>
              <w:jc w:val="center"/>
              <w:rPr>
                <w:rFonts w:hint="eastAsia" w:ascii="Calibri" w:hAnsi="宋体" w:eastAsia="宋体" w:cs="Times New Roman"/>
                <w:caps/>
                <w:color w:val="000000"/>
                <w:kern w:val="2"/>
                <w:sz w:val="21"/>
                <w:szCs w:val="30"/>
                <w:highlight w:val="none"/>
                <w:lang w:val="en-US" w:eastAsia="zh-CN" w:bidi="ar-SA"/>
              </w:rPr>
            </w:pPr>
            <w:r>
              <w:rPr>
                <w:rFonts w:hint="eastAsia" w:ascii="仿宋_GB2312" w:hAnsi="宋体" w:eastAsia="仿宋_GB2312" w:cs="宋体"/>
                <w:color w:val="000000"/>
                <w:kern w:val="0"/>
                <w:sz w:val="28"/>
                <w:szCs w:val="24"/>
                <w:highlight w:val="none"/>
                <w:lang w:val="en-US" w:eastAsia="zh-CN"/>
              </w:rPr>
              <w:t>姚小刚</w:t>
            </w:r>
          </w:p>
        </w:tc>
        <w:tc>
          <w:tcPr>
            <w:tcW w:w="1100" w:type="pct"/>
            <w:vAlign w:val="center"/>
          </w:tcPr>
          <w:p>
            <w:pPr>
              <w:widowControl/>
              <w:jc w:val="center"/>
              <w:rPr>
                <w:rFonts w:hint="eastAsia" w:ascii="Calibri" w:hAnsi="宋体" w:eastAsia="宋体" w:cs="Times New Roman"/>
                <w:caps/>
                <w:color w:val="000000"/>
                <w:kern w:val="2"/>
                <w:sz w:val="21"/>
                <w:szCs w:val="30"/>
                <w:highlight w:val="none"/>
                <w:lang w:val="en-US" w:eastAsia="zh-CN" w:bidi="ar-SA"/>
              </w:rPr>
            </w:pPr>
            <w:r>
              <w:rPr>
                <w:rFonts w:hint="eastAsia" w:ascii="仿宋_GB2312" w:hAnsi="宋体" w:eastAsia="仿宋_GB2312" w:cs="宋体"/>
                <w:color w:val="000000"/>
                <w:kern w:val="0"/>
                <w:sz w:val="28"/>
                <w:szCs w:val="24"/>
                <w:highlight w:val="none"/>
                <w:lang w:eastAsia="zh-CN"/>
              </w:rPr>
              <w:t>4420060009</w:t>
            </w:r>
          </w:p>
        </w:tc>
        <w:tc>
          <w:tcPr>
            <w:tcW w:w="1414" w:type="pct"/>
            <w:vAlign w:val="center"/>
          </w:tcPr>
          <w:p>
            <w:pPr>
              <w:widowControl/>
              <w:jc w:val="center"/>
              <w:rPr>
                <w:rFonts w:hint="eastAsia" w:ascii="仿宋_GB2312" w:hAnsi="宋体" w:eastAsia="仿宋_GB2312" w:cs="宋体"/>
                <w:color w:val="000000"/>
                <w:kern w:val="0"/>
                <w:sz w:val="28"/>
                <w:szCs w:val="24"/>
                <w:lang w:val="en-US" w:eastAsia="zh-CN" w:bidi="ar-SA"/>
              </w:rPr>
            </w:pPr>
          </w:p>
        </w:tc>
        <w:tc>
          <w:tcPr>
            <w:tcW w:w="1414" w:type="pct"/>
            <w:vAlign w:val="center"/>
          </w:tcPr>
          <w:p>
            <w:pPr>
              <w:pStyle w:val="247"/>
              <w:ind w:left="-107" w:leftChars="-51" w:right="-27" w:rightChars="-13"/>
              <w:rPr>
                <w:rFonts w:hint="eastAsia" w:ascii="仿宋_GB2312" w:hAnsi="宋体" w:eastAsia="仿宋_GB2312" w:cs="Times New Roman"/>
                <w:caps/>
                <w:color w:val="000000"/>
                <w:kern w:val="2"/>
                <w:sz w:val="28"/>
                <w:szCs w:val="30"/>
                <w:lang w:val="en-US" w:eastAsia="zh-CN" w:bidi="ar-SA"/>
              </w:rPr>
            </w:pPr>
            <w:r>
              <w:rPr>
                <w:rFonts w:hint="eastAsia" w:hAnsi="宋体"/>
                <w:caps/>
                <w:color w:val="000000"/>
                <w:szCs w:val="30"/>
                <w:lang w:eastAsia="zh-CN"/>
              </w:rPr>
              <w:t>2022年3月8日</w:t>
            </w:r>
          </w:p>
        </w:tc>
      </w:tr>
    </w:tbl>
    <w:p>
      <w:pPr>
        <w:keepNext w:val="0"/>
        <w:keepLines w:val="0"/>
        <w:pageBreakBefore w:val="0"/>
        <w:widowControl w:val="0"/>
        <w:kinsoku/>
        <w:wordWrap/>
        <w:overflowPunct/>
        <w:topLinePunct w:val="0"/>
        <w:autoSpaceDE/>
        <w:autoSpaceDN/>
        <w:bidi w:val="0"/>
        <w:adjustRightInd/>
        <w:snapToGrid/>
        <w:spacing w:line="550" w:lineRule="exact"/>
        <w:jc w:val="center"/>
        <w:textAlignment w:val="auto"/>
        <w:outlineLvl w:val="0"/>
        <w:rPr>
          <w:rFonts w:ascii="仿宋_GB2312" w:eastAsia="仿宋_GB2312"/>
          <w:b/>
          <w:caps/>
          <w:color w:val="000000"/>
          <w:sz w:val="30"/>
        </w:rPr>
      </w:pPr>
      <w:bookmarkStart w:id="15" w:name="_Toc13732"/>
      <w:r>
        <w:rPr>
          <w:rFonts w:hint="eastAsia" w:ascii="仿宋_GB2312" w:eastAsia="仿宋_GB2312"/>
          <w:b/>
          <w:caps/>
          <w:color w:val="000000"/>
          <w:sz w:val="30"/>
        </w:rPr>
        <w:t>估价的假设和限制条件</w:t>
      </w:r>
      <w:bookmarkEnd w:id="12"/>
      <w:bookmarkEnd w:id="13"/>
      <w:bookmarkEnd w:id="14"/>
      <w:bookmarkEnd w:id="15"/>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22" w:firstLine="565" w:firstLineChars="202"/>
        <w:jc w:val="both"/>
        <w:textAlignment w:val="auto"/>
        <w:outlineLvl w:val="3"/>
        <w:rPr>
          <w:b/>
          <w:color w:val="000000"/>
        </w:rPr>
      </w:pPr>
      <w:bookmarkStart w:id="16" w:name="_Toc370825530"/>
      <w:bookmarkStart w:id="17" w:name="_Toc391280665"/>
      <w:bookmarkStart w:id="18" w:name="_Toc364842014"/>
      <w:bookmarkStart w:id="19" w:name="_Toc245894150"/>
      <w:bookmarkStart w:id="20" w:name="_Toc370828699"/>
      <w:r>
        <w:rPr>
          <w:rFonts w:hint="eastAsia"/>
          <w:b/>
          <w:color w:val="000000"/>
        </w:rPr>
        <w:t>1、</w:t>
      </w:r>
      <w:bookmarkEnd w:id="16"/>
      <w:bookmarkEnd w:id="17"/>
      <w:bookmarkEnd w:id="18"/>
      <w:bookmarkEnd w:id="19"/>
      <w:bookmarkEnd w:id="20"/>
      <w:r>
        <w:rPr>
          <w:rFonts w:hint="eastAsia"/>
          <w:b/>
          <w:color w:val="000000"/>
        </w:rPr>
        <w:t>一般假设</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caps/>
          <w:color w:val="000000"/>
        </w:rPr>
      </w:pPr>
      <w:r>
        <w:rPr>
          <w:rFonts w:hint="eastAsia"/>
          <w:caps/>
          <w:color w:val="000000"/>
        </w:rPr>
        <w:t>（1）估价对象产权明晰，手续齐全，可在公开市场上自由转让。</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caps/>
          <w:color w:val="000000"/>
        </w:rPr>
      </w:pPr>
      <w:r>
        <w:rPr>
          <w:rFonts w:hint="eastAsia"/>
          <w:caps/>
          <w:color w:val="000000"/>
        </w:rPr>
        <w:t>（</w:t>
      </w:r>
      <w:r>
        <w:rPr>
          <w:rFonts w:hint="eastAsia"/>
          <w:caps/>
          <w:color w:val="000000"/>
          <w:lang w:val="en-US" w:eastAsia="zh-CN"/>
        </w:rPr>
        <w:t>2</w:t>
      </w:r>
      <w:r>
        <w:rPr>
          <w:rFonts w:hint="eastAsia"/>
          <w:caps/>
          <w:color w:val="000000"/>
        </w:rPr>
        <w:t>）买卖双方的交易目的都是追逐自身最大经济利益，在适当的期间完成谈判和交易，洽谈交易期间物业价值将保持稳定。</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caps/>
          <w:color w:val="000000"/>
        </w:rPr>
      </w:pPr>
      <w:r>
        <w:rPr>
          <w:rFonts w:hint="eastAsia"/>
          <w:caps/>
          <w:color w:val="000000"/>
        </w:rPr>
        <w:t>（3）交易双方都具有完全市场信息，对交易对象具有必要的专业知识。</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caps/>
          <w:color w:val="000000"/>
        </w:rPr>
      </w:pPr>
      <w:r>
        <w:rPr>
          <w:rFonts w:hint="eastAsia"/>
          <w:caps/>
          <w:color w:val="000000"/>
        </w:rPr>
        <w:t>（4）市场供应关系、市场结构保持稳定、未发生重大变化或实质性改变。</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caps/>
          <w:color w:val="000000"/>
        </w:rPr>
      </w:pPr>
      <w:r>
        <w:rPr>
          <w:rFonts w:hint="eastAsia"/>
          <w:caps/>
          <w:color w:val="000000"/>
        </w:rPr>
        <w:t>（5）估价过程中遇到的不确定因素、或有事项非评估专业人员执业水平和能力所能评定估算，评估专业人员和估价机构对此类事项不承担任何责任。</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caps/>
          <w:color w:val="000000"/>
        </w:rPr>
      </w:pPr>
      <w:r>
        <w:rPr>
          <w:rFonts w:hint="eastAsia"/>
          <w:caps/>
          <w:color w:val="000000"/>
        </w:rPr>
        <w:t>（6）</w:t>
      </w:r>
      <w:r>
        <w:rPr>
          <w:rFonts w:hint="eastAsia"/>
          <w:color w:val="000000"/>
        </w:rPr>
        <w:t>估价结果是</w:t>
      </w:r>
      <w:r>
        <w:rPr>
          <w:rFonts w:hint="eastAsia"/>
          <w:color w:val="000000"/>
          <w:lang w:eastAsia="zh-CN"/>
        </w:rPr>
        <w:t>为人民法院确定财产处置参考价提供参考依据</w:t>
      </w:r>
      <w:r>
        <w:rPr>
          <w:rFonts w:hint="eastAsia"/>
          <w:color w:val="000000"/>
        </w:rPr>
        <w:t>，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Ansi="仿宋_GB2312" w:cs="仿宋_GB2312"/>
          <w:caps/>
          <w:color w:val="000000"/>
          <w:szCs w:val="28"/>
        </w:rPr>
      </w:pPr>
      <w:r>
        <w:rPr>
          <w:rFonts w:hint="eastAsia" w:hAnsi="仿宋_GB2312" w:cs="仿宋_GB2312"/>
          <w:caps/>
          <w:color w:val="000000"/>
          <w:szCs w:val="28"/>
        </w:rPr>
        <w:t>（7）注册房地产估价师对估价对象的实地查勘仅限于估价对象的外观和使用状况、内部布局、装修及设备情况，并未对估价对象做建筑物基础、房屋结构上的测量和实验及环境污染的技术鉴定，因此无法确认其内部有无缺损、是否存在结构性损坏、是否存在环境污染。对被遮盖、未暴露及难以接触到的房屋结构部分及其内部设施、设备及室内外污染状况，本报告假设其无建筑物基础、房屋结构、环境污染等方面的重大质量问题，符合国家有关技术、质量、验收规范，且符合国家有关安全使用标准。</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caps/>
          <w:color w:val="000000"/>
        </w:rPr>
      </w:pPr>
      <w:r>
        <w:rPr>
          <w:rFonts w:hint="eastAsia"/>
          <w:caps/>
          <w:color w:val="000000"/>
        </w:rPr>
        <w:t>（8）</w:t>
      </w:r>
      <w:r>
        <w:rPr>
          <w:rFonts w:hint="eastAsia"/>
          <w:caps/>
          <w:color w:val="000000"/>
          <w:szCs w:val="28"/>
        </w:rPr>
        <w:t>估价委托人提供的权属证明等材料为复印件，受托人已对委托人提供的资料进行审慎检查，估价委托人应对其所提供资料的真实性、合法性、完整性负责。本评估报告也仅是在假设估价委托人所提供的资料均为真实、合法且完整的情形下作出的，如因估价委托人提供的资料不真实、不合法、不完整的，则本评估报告自动作废。报告使用人应对估价委托人提供资料的真实性、合法性、完整性进行审核，并与估价委托人提供的原件核对一致后方可使用本报告，</w:t>
      </w:r>
      <w:r>
        <w:rPr>
          <w:rFonts w:hint="eastAsia" w:hAnsi="Arial"/>
          <w:b/>
          <w:color w:val="000000"/>
          <w:spacing w:val="4"/>
          <w:szCs w:val="28"/>
        </w:rPr>
        <w:t>特提请报告使用人注意风险！</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caps/>
          <w:color w:val="000000"/>
        </w:rPr>
      </w:pPr>
      <w:r>
        <w:rPr>
          <w:rFonts w:hint="eastAsia"/>
          <w:caps/>
          <w:color w:val="000000"/>
        </w:rPr>
        <w:t>（9）估价报告所称“市场价值”是指估价对象在保持规划用途并持续经营，以及在保持价值时点之状况和外部经济环境的前提下，为本报告书所确定的估价目的而提出的公允估价意见。该评估价格是指假定在充分发达的公开市场条件下，交易双方在交易地位平等、充分了解估价对象相关市场信息及交易双方独立和理智进行判断的前提下形成的公平市场价格。该价格并不代表具体资产在涉及产权变动或资产形态转变时的实际交易价格。</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caps/>
          <w:color w:val="000000"/>
        </w:rPr>
      </w:pPr>
      <w:r>
        <w:rPr>
          <w:rFonts w:hint="eastAsia"/>
          <w:caps/>
          <w:color w:val="000000"/>
        </w:rPr>
        <w:t>（10）</w:t>
      </w:r>
      <w:r>
        <w:rPr>
          <w:rFonts w:hint="eastAsia"/>
          <w:color w:val="000000"/>
        </w:rPr>
        <w:t>估价对象原产权人及关联方购买委估房地产时，可能因为财产控制权、财产占有的实际情况、使用财产的习惯和倾向以及博弈心理等因素而形成特殊的交易目的或交易方式。上述方式和目的下的特殊交易一般会引起交易价格的较大波动，而该种变化存在变动趋势和规律的不确定性，通常难以做出准确评估。</w:t>
      </w:r>
      <w:r>
        <w:rPr>
          <w:rFonts w:hint="eastAsia"/>
          <w:b/>
          <w:color w:val="000000"/>
        </w:rPr>
        <w:t>特提请报告使用人注意！</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int="eastAsia"/>
          <w:b/>
          <w:bCs/>
          <w:caps/>
          <w:color w:val="auto"/>
        </w:rPr>
      </w:pPr>
      <w:r>
        <w:rPr>
          <w:rFonts w:hint="eastAsia"/>
          <w:caps/>
          <w:color w:val="auto"/>
        </w:rPr>
        <w:t>（11）</w:t>
      </w:r>
      <w:r>
        <w:rPr>
          <w:rFonts w:hint="eastAsia" w:ascii="仿宋_GB2312" w:eastAsia="仿宋_GB2312"/>
          <w:caps/>
          <w:color w:val="auto"/>
          <w:szCs w:val="21"/>
          <w:lang w:eastAsia="zh-CN"/>
        </w:rPr>
        <w:t>估价对象位置及范围由</w:t>
      </w:r>
      <w:r>
        <w:rPr>
          <w:rFonts w:hint="eastAsia" w:ascii="仿宋_GB2312" w:eastAsia="仿宋_GB2312"/>
          <w:caps/>
          <w:color w:val="auto"/>
          <w:szCs w:val="21"/>
          <w:lang w:val="en-US" w:eastAsia="zh-CN"/>
        </w:rPr>
        <w:t>估价委托方领勘工作人员</w:t>
      </w:r>
      <w:r>
        <w:rPr>
          <w:rFonts w:hint="eastAsia" w:ascii="仿宋_GB2312" w:eastAsia="仿宋_GB2312"/>
          <w:caps/>
          <w:color w:val="auto"/>
          <w:szCs w:val="21"/>
          <w:lang w:eastAsia="zh-CN"/>
        </w:rPr>
        <w:t>指认</w:t>
      </w:r>
      <w:r>
        <w:rPr>
          <w:rFonts w:hint="eastAsia"/>
          <w:caps/>
          <w:color w:val="auto"/>
          <w:szCs w:val="22"/>
        </w:rPr>
        <w:t>，</w:t>
      </w:r>
      <w:r>
        <w:rPr>
          <w:rFonts w:hint="eastAsia"/>
          <w:caps/>
          <w:color w:val="auto"/>
        </w:rPr>
        <w:t>评估专业人员已根据估价委托人提供的资料勤勉尽责对比现场，若评估专业人员受限制条件导致估价对象或范围与实际不符，应重新估价。</w:t>
      </w:r>
      <w:r>
        <w:rPr>
          <w:rFonts w:hint="eastAsia"/>
          <w:b/>
          <w:bCs/>
          <w:caps/>
          <w:color w:val="auto"/>
        </w:rPr>
        <w:t>特提请报告使用人落实估价范围与实际状况一致后使用本估价报告！</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color w:val="auto"/>
        </w:rPr>
      </w:pPr>
      <w:r>
        <w:rPr>
          <w:rFonts w:hint="eastAsia" w:hAnsi="宋体"/>
          <w:color w:val="auto"/>
          <w:szCs w:val="21"/>
        </w:rPr>
        <w:t>（</w:t>
      </w:r>
      <w:r>
        <w:rPr>
          <w:rFonts w:hint="eastAsia" w:hAnsi="宋体"/>
          <w:color w:val="auto"/>
          <w:szCs w:val="21"/>
          <w:lang w:val="en-US" w:eastAsia="zh-CN"/>
        </w:rPr>
        <w:t>12</w:t>
      </w:r>
      <w:r>
        <w:rPr>
          <w:rFonts w:hint="eastAsia" w:hAnsi="宋体"/>
          <w:color w:val="auto"/>
          <w:szCs w:val="21"/>
        </w:rPr>
        <w:t>）本次估价仅对估价对象市场价值进行评估，不对其权属状况发表意见，亦未考虑其</w:t>
      </w:r>
      <w:r>
        <w:rPr>
          <w:rFonts w:hint="eastAsia" w:hAnsi="宋体"/>
          <w:color w:val="auto"/>
          <w:szCs w:val="21"/>
          <w:lang w:val="en-US" w:eastAsia="zh-CN"/>
        </w:rPr>
        <w:t>权属、</w:t>
      </w:r>
      <w:r>
        <w:rPr>
          <w:rFonts w:hint="eastAsia" w:hAnsi="宋体"/>
          <w:color w:val="auto"/>
          <w:szCs w:val="21"/>
        </w:rPr>
        <w:t>抵押、查封等权利限制对估价结果的影响</w:t>
      </w:r>
      <w:r>
        <w:rPr>
          <w:rFonts w:hint="eastAsia" w:hAnsi="宋体"/>
          <w:color w:val="auto"/>
          <w:szCs w:val="21"/>
          <w:lang w:eastAsia="zh-CN"/>
        </w:rPr>
        <w:t>；委托方未明确评估对象存在欠缴税金及相关费用，本次估价假设</w:t>
      </w:r>
      <w:r>
        <w:rPr>
          <w:rFonts w:hint="eastAsia" w:hAnsi="宋体"/>
          <w:color w:val="auto"/>
          <w:szCs w:val="21"/>
        </w:rPr>
        <w:t>估价对象</w:t>
      </w:r>
      <w:r>
        <w:rPr>
          <w:rFonts w:hint="eastAsia" w:hAnsi="宋体"/>
          <w:color w:val="auto"/>
          <w:szCs w:val="21"/>
          <w:lang w:eastAsia="zh-CN"/>
        </w:rPr>
        <w:t>不存在欠缴税金及相关费用</w:t>
      </w:r>
      <w:r>
        <w:rPr>
          <w:rFonts w:hint="eastAsia" w:hAnsi="宋体"/>
          <w:color w:val="auto"/>
          <w:szCs w:val="21"/>
        </w:rPr>
        <w:t>。</w:t>
      </w:r>
      <w:r>
        <w:rPr>
          <w:rFonts w:hint="eastAsia" w:hAnsi="宋体"/>
          <w:b/>
          <w:bCs/>
          <w:color w:val="auto"/>
          <w:szCs w:val="21"/>
        </w:rPr>
        <w:t>特提请报告使用人注意！</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int="eastAsia" w:hAnsi="宋体"/>
          <w:b/>
          <w:bCs/>
          <w:color w:val="auto"/>
          <w:szCs w:val="21"/>
        </w:rPr>
      </w:pPr>
      <w:r>
        <w:rPr>
          <w:rFonts w:hint="eastAsia"/>
          <w:color w:val="auto"/>
          <w:lang w:eastAsia="zh-CN"/>
        </w:rPr>
        <w:t>（</w:t>
      </w:r>
      <w:r>
        <w:rPr>
          <w:rFonts w:hint="eastAsia"/>
          <w:color w:val="auto"/>
          <w:lang w:val="en-US" w:eastAsia="zh-CN"/>
        </w:rPr>
        <w:t>13</w:t>
      </w:r>
      <w:r>
        <w:rPr>
          <w:rFonts w:hint="eastAsia"/>
          <w:color w:val="auto"/>
          <w:lang w:eastAsia="zh-CN"/>
        </w:rPr>
        <w:t>）根据</w:t>
      </w:r>
      <w:r>
        <w:rPr>
          <w:rFonts w:hint="eastAsia" w:ascii="仿宋_GB2312" w:hAnsi="Times New Roman" w:eastAsia="仿宋_GB2312"/>
          <w:caps/>
          <w:color w:val="auto"/>
          <w:sz w:val="28"/>
          <w:lang w:val="en-US" w:eastAsia="zh-CN"/>
        </w:rPr>
        <w:t>“</w:t>
      </w:r>
      <w:r>
        <w:rPr>
          <w:rStyle w:val="52"/>
          <w:rFonts w:hint="eastAsia" w:ascii="仿宋_GB2312" w:hAnsi="Times New Roman" w:eastAsia="仿宋_GB2312"/>
          <w:caps/>
          <w:color w:val="auto"/>
          <w:sz w:val="28"/>
          <w:szCs w:val="28"/>
          <w:u w:val="none"/>
        </w:rPr>
        <w:t>关于印发《涉执房地产处置司法评估 指导意见（试行）》的通知</w:t>
      </w:r>
      <w:r>
        <w:rPr>
          <w:rStyle w:val="52"/>
          <w:rFonts w:hint="eastAsia" w:ascii="仿宋_GB2312" w:hAnsi="Times New Roman" w:eastAsia="仿宋_GB2312"/>
          <w:caps/>
          <w:color w:val="auto"/>
          <w:sz w:val="28"/>
          <w:szCs w:val="28"/>
          <w:u w:val="none"/>
          <w:lang w:eastAsia="zh-CN"/>
        </w:rPr>
        <w:t>（中房学〔2021〕37号）”</w:t>
      </w:r>
      <w:r>
        <w:rPr>
          <w:rStyle w:val="52"/>
          <w:rFonts w:hint="eastAsia" w:hAnsi="Times New Roman"/>
          <w:caps/>
          <w:color w:val="auto"/>
          <w:sz w:val="28"/>
          <w:szCs w:val="28"/>
          <w:u w:val="none"/>
          <w:lang w:eastAsia="zh-CN"/>
        </w:rPr>
        <w:t>，本次估价已</w:t>
      </w:r>
      <w:r>
        <w:rPr>
          <w:rFonts w:hint="eastAsia"/>
          <w:color w:val="auto"/>
        </w:rPr>
        <w:t>关注评估费、拍卖费、诉讼费、律师费等财产处置费用</w:t>
      </w:r>
      <w:r>
        <w:rPr>
          <w:rFonts w:hint="eastAsia"/>
          <w:color w:val="auto"/>
          <w:lang w:eastAsia="zh-CN"/>
        </w:rPr>
        <w:t>，委托方未</w:t>
      </w:r>
      <w:r>
        <w:rPr>
          <w:rFonts w:hint="eastAsia"/>
          <w:color w:val="auto"/>
        </w:rPr>
        <w:t>书面明确前款财产处置费用</w:t>
      </w:r>
      <w:r>
        <w:rPr>
          <w:rFonts w:hint="eastAsia"/>
          <w:color w:val="auto"/>
          <w:lang w:eastAsia="zh-CN"/>
        </w:rPr>
        <w:t>是否</w:t>
      </w:r>
      <w:r>
        <w:rPr>
          <w:rFonts w:hint="eastAsia"/>
          <w:color w:val="auto"/>
        </w:rPr>
        <w:t>从财产处置价款中扣除</w:t>
      </w:r>
      <w:r>
        <w:rPr>
          <w:rFonts w:hint="eastAsia"/>
          <w:color w:val="auto"/>
          <w:lang w:eastAsia="zh-CN"/>
        </w:rPr>
        <w:t>，故本次估价未考虑上述</w:t>
      </w:r>
      <w:r>
        <w:rPr>
          <w:rFonts w:hint="eastAsia"/>
          <w:color w:val="auto"/>
        </w:rPr>
        <w:t>财产处置费用及其对评估结果的影响</w:t>
      </w:r>
      <w:r>
        <w:rPr>
          <w:rFonts w:hint="eastAsia"/>
          <w:color w:val="auto"/>
          <w:lang w:eastAsia="zh-CN"/>
        </w:rPr>
        <w:t>。</w:t>
      </w:r>
      <w:r>
        <w:rPr>
          <w:rFonts w:hint="eastAsia" w:hAnsi="宋体"/>
          <w:b/>
          <w:bCs/>
          <w:color w:val="auto"/>
          <w:szCs w:val="21"/>
        </w:rPr>
        <w:t>特提请报告使用人注意！</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int="eastAsia" w:hAnsi="宋体"/>
          <w:b/>
          <w:bCs/>
          <w:color w:val="auto"/>
          <w:szCs w:val="21"/>
        </w:rPr>
      </w:pPr>
      <w:r>
        <w:rPr>
          <w:rFonts w:hint="eastAsia"/>
          <w:color w:val="auto"/>
          <w:lang w:eastAsia="zh-CN"/>
        </w:rPr>
        <w:t>（</w:t>
      </w:r>
      <w:r>
        <w:rPr>
          <w:rFonts w:hint="eastAsia"/>
          <w:color w:val="auto"/>
          <w:lang w:val="en-US" w:eastAsia="zh-CN"/>
        </w:rPr>
        <w:t>14</w:t>
      </w:r>
      <w:r>
        <w:rPr>
          <w:rFonts w:hint="eastAsia"/>
          <w:color w:val="auto"/>
          <w:lang w:eastAsia="zh-CN"/>
        </w:rPr>
        <w:t>）根据</w:t>
      </w:r>
      <w:r>
        <w:rPr>
          <w:rFonts w:hint="eastAsia" w:ascii="仿宋_GB2312" w:hAnsi="Times New Roman" w:eastAsia="仿宋_GB2312"/>
          <w:caps/>
          <w:color w:val="auto"/>
          <w:sz w:val="28"/>
          <w:lang w:val="en-US" w:eastAsia="zh-CN"/>
        </w:rPr>
        <w:t>“</w:t>
      </w:r>
      <w:r>
        <w:rPr>
          <w:rStyle w:val="52"/>
          <w:rFonts w:hint="eastAsia" w:ascii="仿宋_GB2312" w:hAnsi="Times New Roman" w:eastAsia="仿宋_GB2312"/>
          <w:caps/>
          <w:color w:val="auto"/>
          <w:sz w:val="28"/>
          <w:szCs w:val="28"/>
          <w:u w:val="none"/>
        </w:rPr>
        <w:t>关于印发《涉执房地产处置司法评估 指导意见（试行）》的通知</w:t>
      </w:r>
      <w:r>
        <w:rPr>
          <w:rStyle w:val="52"/>
          <w:rFonts w:hint="eastAsia" w:ascii="仿宋_GB2312" w:hAnsi="Times New Roman" w:eastAsia="仿宋_GB2312"/>
          <w:caps/>
          <w:color w:val="auto"/>
          <w:sz w:val="28"/>
          <w:szCs w:val="28"/>
          <w:u w:val="none"/>
          <w:lang w:eastAsia="zh-CN"/>
        </w:rPr>
        <w:t>（中房学〔2021〕37号）”</w:t>
      </w:r>
      <w:r>
        <w:rPr>
          <w:rStyle w:val="52"/>
          <w:rFonts w:hint="eastAsia" w:hAnsi="Times New Roman"/>
          <w:caps/>
          <w:color w:val="auto"/>
          <w:sz w:val="28"/>
          <w:szCs w:val="28"/>
          <w:u w:val="none"/>
          <w:lang w:eastAsia="zh-CN"/>
        </w:rPr>
        <w:t>，本次估价已</w:t>
      </w:r>
      <w:r>
        <w:rPr>
          <w:rFonts w:hint="eastAsia" w:hAnsi="宋体"/>
          <w:b w:val="0"/>
          <w:bCs w:val="0"/>
          <w:color w:val="auto"/>
          <w:szCs w:val="21"/>
          <w:lang w:eastAsia="zh-CN"/>
        </w:rPr>
        <w:t>关注评估对象是否存在租赁权、用益物权及占有使用情况，委托方未明确存在租赁权、用益物权及占有使用情况，估价人员经过尽职调查后也未发现、掌握相关情况，本次估价假定评估对象不存在租赁权、用益物权及占有使用情况。</w:t>
      </w:r>
      <w:r>
        <w:rPr>
          <w:rFonts w:hint="eastAsia" w:hAnsi="宋体"/>
          <w:b/>
          <w:bCs/>
          <w:color w:val="auto"/>
          <w:szCs w:val="21"/>
        </w:rPr>
        <w:t>特提请报告使用人注意！</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22" w:firstLine="565" w:firstLineChars="202"/>
        <w:jc w:val="both"/>
        <w:textAlignment w:val="auto"/>
        <w:outlineLvl w:val="3"/>
        <w:rPr>
          <w:b/>
          <w:color w:val="000000"/>
          <w:highlight w:val="none"/>
        </w:rPr>
      </w:pPr>
      <w:bookmarkStart w:id="21" w:name="_Toc364842015"/>
      <w:bookmarkStart w:id="22" w:name="_Toc370828700"/>
      <w:bookmarkStart w:id="23" w:name="_Toc245894151"/>
      <w:bookmarkStart w:id="24" w:name="_Toc391280666"/>
      <w:bookmarkStart w:id="25" w:name="_Toc370825531"/>
      <w:r>
        <w:rPr>
          <w:rFonts w:hint="eastAsia"/>
          <w:b/>
          <w:color w:val="000000"/>
          <w:highlight w:val="none"/>
        </w:rPr>
        <w:t>2、</w:t>
      </w:r>
      <w:bookmarkEnd w:id="21"/>
      <w:bookmarkEnd w:id="22"/>
      <w:bookmarkEnd w:id="23"/>
      <w:bookmarkEnd w:id="24"/>
      <w:bookmarkEnd w:id="25"/>
      <w:r>
        <w:rPr>
          <w:rFonts w:hint="eastAsia"/>
          <w:b/>
          <w:color w:val="000000"/>
          <w:highlight w:val="none"/>
        </w:rPr>
        <w:t>未定事项假设</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23" w:firstLine="565" w:firstLineChars="202"/>
        <w:jc w:val="both"/>
        <w:textAlignment w:val="auto"/>
        <w:rPr>
          <w:caps/>
          <w:color w:val="000000"/>
          <w:szCs w:val="22"/>
        </w:rPr>
      </w:pPr>
      <w:bookmarkStart w:id="26" w:name="_Toc370828701"/>
      <w:bookmarkStart w:id="27" w:name="_Toc364842016"/>
      <w:bookmarkStart w:id="28" w:name="_Toc391280667"/>
      <w:bookmarkStart w:id="29" w:name="_Toc245894152"/>
      <w:bookmarkStart w:id="30" w:name="_Toc370825532"/>
      <w:r>
        <w:rPr>
          <w:rFonts w:hint="eastAsia"/>
          <w:caps/>
          <w:color w:val="000000"/>
          <w:szCs w:val="22"/>
        </w:rPr>
        <w:t>无未定事项假设。</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22" w:firstLine="565" w:firstLineChars="202"/>
        <w:jc w:val="both"/>
        <w:textAlignment w:val="auto"/>
        <w:outlineLvl w:val="3"/>
        <w:rPr>
          <w:b/>
          <w:color w:val="000000"/>
        </w:rPr>
      </w:pPr>
      <w:r>
        <w:rPr>
          <w:rFonts w:hint="eastAsia"/>
          <w:b/>
          <w:color w:val="000000"/>
        </w:rPr>
        <w:t>3、</w:t>
      </w:r>
      <w:bookmarkEnd w:id="26"/>
      <w:bookmarkEnd w:id="27"/>
      <w:bookmarkEnd w:id="28"/>
      <w:bookmarkEnd w:id="29"/>
      <w:bookmarkEnd w:id="30"/>
      <w:r>
        <w:rPr>
          <w:rFonts w:hint="eastAsia"/>
          <w:b/>
          <w:color w:val="000000"/>
        </w:rPr>
        <w:t>背离事实假设</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23" w:firstLine="565" w:firstLineChars="202"/>
        <w:jc w:val="both"/>
        <w:textAlignment w:val="auto"/>
        <w:rPr>
          <w:caps/>
          <w:color w:val="000000"/>
          <w:szCs w:val="22"/>
        </w:rPr>
      </w:pPr>
      <w:bookmarkStart w:id="31" w:name="_Hlk504989349"/>
      <w:r>
        <w:rPr>
          <w:rFonts w:hint="eastAsia"/>
          <w:caps/>
          <w:color w:val="000000"/>
          <w:szCs w:val="22"/>
        </w:rPr>
        <w:t>无背离事实假设。</w:t>
      </w:r>
    </w:p>
    <w:bookmarkEnd w:id="31"/>
    <w:p>
      <w:pPr>
        <w:pStyle w:val="24"/>
        <w:keepNext w:val="0"/>
        <w:keepLines w:val="0"/>
        <w:pageBreakBefore w:val="0"/>
        <w:widowControl w:val="0"/>
        <w:numPr>
          <w:ilvl w:val="0"/>
          <w:numId w:val="2"/>
        </w:numPr>
        <w:tabs>
          <w:tab w:val="left" w:pos="630"/>
        </w:tabs>
        <w:kinsoku/>
        <w:wordWrap/>
        <w:overflowPunct/>
        <w:topLinePunct w:val="0"/>
        <w:autoSpaceDE/>
        <w:autoSpaceDN/>
        <w:bidi w:val="0"/>
        <w:adjustRightInd/>
        <w:snapToGrid/>
        <w:spacing w:line="360" w:lineRule="auto"/>
        <w:ind w:right="22" w:firstLine="568"/>
        <w:jc w:val="both"/>
        <w:textAlignment w:val="auto"/>
        <w:outlineLvl w:val="3"/>
        <w:rPr>
          <w:b/>
          <w:color w:val="000000"/>
        </w:rPr>
      </w:pPr>
      <w:r>
        <w:rPr>
          <w:rFonts w:hint="eastAsia"/>
          <w:b/>
          <w:color w:val="000000"/>
        </w:rPr>
        <w:t>不相一致假设</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23" w:firstLine="565" w:firstLineChars="202"/>
        <w:jc w:val="both"/>
        <w:textAlignment w:val="auto"/>
        <w:rPr>
          <w:caps/>
          <w:color w:val="000000"/>
          <w:szCs w:val="22"/>
        </w:rPr>
      </w:pPr>
      <w:r>
        <w:rPr>
          <w:rFonts w:hint="eastAsia"/>
          <w:caps/>
          <w:color w:val="000000"/>
          <w:szCs w:val="22"/>
        </w:rPr>
        <w:t>无不相一致假设。</w:t>
      </w:r>
    </w:p>
    <w:p>
      <w:pPr>
        <w:pStyle w:val="24"/>
        <w:keepNext w:val="0"/>
        <w:keepLines w:val="0"/>
        <w:pageBreakBefore w:val="0"/>
        <w:widowControl w:val="0"/>
        <w:numPr>
          <w:ilvl w:val="0"/>
          <w:numId w:val="2"/>
        </w:numPr>
        <w:tabs>
          <w:tab w:val="left" w:pos="630"/>
        </w:tabs>
        <w:kinsoku/>
        <w:wordWrap/>
        <w:overflowPunct/>
        <w:topLinePunct w:val="0"/>
        <w:autoSpaceDE/>
        <w:autoSpaceDN/>
        <w:bidi w:val="0"/>
        <w:adjustRightInd/>
        <w:snapToGrid/>
        <w:spacing w:line="360" w:lineRule="auto"/>
        <w:ind w:right="22" w:firstLine="565" w:firstLineChars="202"/>
        <w:jc w:val="both"/>
        <w:textAlignment w:val="auto"/>
        <w:outlineLvl w:val="3"/>
        <w:rPr>
          <w:b/>
          <w:color w:val="000000"/>
        </w:rPr>
      </w:pPr>
      <w:r>
        <w:rPr>
          <w:rFonts w:hint="eastAsia"/>
          <w:b/>
          <w:color w:val="000000"/>
        </w:rPr>
        <w:t>依据不足假设</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jc w:val="both"/>
        <w:textAlignment w:val="auto"/>
        <w:rPr>
          <w:rFonts w:hint="eastAsia"/>
          <w:b/>
          <w:bCs/>
          <w:caps/>
          <w:color w:val="000000"/>
          <w:szCs w:val="22"/>
        </w:rPr>
      </w:pPr>
      <w:r>
        <w:rPr>
          <w:rFonts w:hint="eastAsia"/>
          <w:caps/>
          <w:color w:val="000000"/>
          <w:szCs w:val="22"/>
        </w:rPr>
        <w:t>估价对象建成时间及楼龄是根据网络公开资料及市场调查资料并结合估价经验综合判断得出，受客观条件限制，可能与实际楼龄有差异，实际楼龄应以房管部门核实为准。</w:t>
      </w:r>
      <w:r>
        <w:rPr>
          <w:rFonts w:hint="eastAsia"/>
          <w:b/>
          <w:bCs/>
          <w:caps/>
          <w:color w:val="000000"/>
          <w:szCs w:val="22"/>
        </w:rPr>
        <w:t>特提请报告使用人注意！</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outlineLvl w:val="3"/>
        <w:rPr>
          <w:b/>
          <w:color w:val="000000"/>
        </w:rPr>
      </w:pPr>
      <w:r>
        <w:rPr>
          <w:rFonts w:hint="eastAsia"/>
          <w:b/>
          <w:color w:val="000000"/>
        </w:rPr>
        <w:t>6、</w:t>
      </w:r>
      <w:r>
        <w:rPr>
          <w:rFonts w:hint="eastAsia"/>
          <w:b/>
          <w:color w:val="000000"/>
          <w:szCs w:val="22"/>
        </w:rPr>
        <w:t>估价报告使用限制</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Ansi="宋体"/>
          <w:color w:val="000000"/>
          <w:szCs w:val="21"/>
        </w:rPr>
      </w:pPr>
      <w:r>
        <w:rPr>
          <w:rFonts w:hint="eastAsia" w:hAnsi="宋体"/>
          <w:color w:val="000000"/>
          <w:szCs w:val="21"/>
        </w:rPr>
        <w:t>（1）本估价报告仅</w:t>
      </w:r>
      <w:r>
        <w:rPr>
          <w:rFonts w:hint="eastAsia" w:hAnsi="宋体"/>
          <w:color w:val="000000"/>
          <w:szCs w:val="21"/>
          <w:lang w:eastAsia="zh-CN"/>
        </w:rPr>
        <w:t>为人民法院确定财产处置参考价提供参考依据</w:t>
      </w:r>
      <w:r>
        <w:rPr>
          <w:rFonts w:hint="eastAsia" w:hAnsi="宋体"/>
          <w:color w:val="000000"/>
          <w:szCs w:val="21"/>
        </w:rPr>
        <w:t>，不作其他估价目的之用。如果估价条件或目的发生变化，估价报告需做相应调整。</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Ansi="宋体"/>
          <w:color w:val="000000"/>
          <w:szCs w:val="21"/>
        </w:rPr>
      </w:pPr>
      <w:r>
        <w:rPr>
          <w:rFonts w:hint="eastAsia" w:hAnsi="宋体"/>
          <w:color w:val="000000"/>
          <w:szCs w:val="21"/>
        </w:rPr>
        <w:t>（2）本次估价结果受价值时点的限制，且本估价报告使用期限自估价报告出具之日起为壹年。若估价报告使用期限内，房地产市场、建筑市场或估价对象自身状况发生重大变化，估价结果也需做相应调整或委托估价机构重新估价。</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Ansi="宋体"/>
          <w:color w:val="000000"/>
          <w:szCs w:val="21"/>
        </w:rPr>
      </w:pPr>
      <w:r>
        <w:rPr>
          <w:rFonts w:hint="eastAsia" w:hAnsi="宋体"/>
          <w:color w:val="000000"/>
          <w:szCs w:val="21"/>
        </w:rPr>
        <w:t>（3）本估价报告专为估价委托人所使用，未经本公司同意，不得向估价委托人和估价报告审查部门之外的单位和个人提供；估价报告的全部或部分内容不得发表于任何公开媒体上。</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Ansi="宋体"/>
          <w:color w:val="000000"/>
          <w:szCs w:val="21"/>
        </w:rPr>
      </w:pPr>
      <w:r>
        <w:rPr>
          <w:rFonts w:hint="eastAsia" w:hAnsi="宋体"/>
          <w:color w:val="000000"/>
          <w:szCs w:val="21"/>
        </w:rPr>
        <w:t>（</w:t>
      </w:r>
      <w:r>
        <w:rPr>
          <w:rFonts w:hint="eastAsia" w:hAnsi="宋体"/>
          <w:color w:val="000000"/>
          <w:szCs w:val="21"/>
          <w:lang w:val="en-US" w:eastAsia="zh-CN"/>
        </w:rPr>
        <w:t>4</w:t>
      </w:r>
      <w:r>
        <w:rPr>
          <w:rFonts w:hint="eastAsia" w:hAnsi="宋体"/>
          <w:color w:val="000000"/>
          <w:szCs w:val="21"/>
        </w:rPr>
        <w:t>）</w:t>
      </w:r>
      <w:r>
        <w:rPr>
          <w:rFonts w:hint="eastAsia" w:hAnsi="宋体"/>
          <w:color w:val="000000"/>
          <w:szCs w:val="21"/>
          <w:lang w:eastAsia="zh-CN"/>
        </w:rPr>
        <w:t>《委托书》中“</w:t>
      </w:r>
      <w:r>
        <w:rPr>
          <w:rFonts w:hint="eastAsia" w:ascii="仿宋_GB2312" w:eastAsia="仿宋_GB2312"/>
          <w:caps/>
          <w:sz w:val="28"/>
        </w:rPr>
        <w:t>广东世纪人土地</w:t>
      </w:r>
      <w:r>
        <w:rPr>
          <w:rFonts w:hint="eastAsia"/>
          <w:caps/>
          <w:sz w:val="28"/>
          <w:lang w:eastAsia="zh-CN"/>
        </w:rPr>
        <w:t>与</w:t>
      </w:r>
      <w:r>
        <w:rPr>
          <w:rFonts w:hint="eastAsia" w:ascii="仿宋_GB2312" w:eastAsia="仿宋_GB2312"/>
          <w:caps/>
          <w:sz w:val="28"/>
        </w:rPr>
        <w:t>房地产评估</w:t>
      </w:r>
      <w:r>
        <w:rPr>
          <w:rFonts w:hint="eastAsia"/>
          <w:caps/>
          <w:sz w:val="28"/>
          <w:lang w:eastAsia="zh-CN"/>
        </w:rPr>
        <w:t>咨询</w:t>
      </w:r>
      <w:r>
        <w:rPr>
          <w:rFonts w:hint="eastAsia" w:ascii="仿宋_GB2312" w:eastAsia="仿宋_GB2312"/>
          <w:caps/>
          <w:sz w:val="28"/>
        </w:rPr>
        <w:t>有限公司</w:t>
      </w:r>
      <w:r>
        <w:rPr>
          <w:rFonts w:hint="eastAsia" w:hAnsi="宋体"/>
          <w:color w:val="000000"/>
          <w:szCs w:val="21"/>
          <w:lang w:val="en-US" w:eastAsia="zh-CN"/>
        </w:rPr>
        <w:t>”</w:t>
      </w:r>
      <w:r>
        <w:rPr>
          <w:rFonts w:hint="eastAsia" w:hAnsi="宋体"/>
          <w:color w:val="000000"/>
          <w:szCs w:val="21"/>
          <w:lang w:eastAsia="zh-CN"/>
        </w:rPr>
        <w:t>为我公司变更前名称，我公司名称</w:t>
      </w:r>
      <w:r>
        <w:rPr>
          <w:rFonts w:hint="eastAsia" w:hAnsi="宋体"/>
          <w:color w:val="000000"/>
          <w:szCs w:val="21"/>
          <w:lang w:val="en-US" w:eastAsia="zh-CN"/>
        </w:rPr>
        <w:t>已</w:t>
      </w:r>
      <w:r>
        <w:rPr>
          <w:rFonts w:hint="eastAsia" w:hAnsi="宋体"/>
          <w:color w:val="000000"/>
          <w:szCs w:val="21"/>
          <w:lang w:eastAsia="zh-CN"/>
        </w:rPr>
        <w:t>于</w:t>
      </w:r>
      <w:r>
        <w:rPr>
          <w:rFonts w:hint="eastAsia" w:hAnsi="宋体"/>
          <w:color w:val="000000"/>
          <w:szCs w:val="21"/>
          <w:lang w:val="en-US" w:eastAsia="zh-CN"/>
        </w:rPr>
        <w:t>2019年11月22日经工商部门批准备案登记由原来“</w:t>
      </w:r>
      <w:r>
        <w:rPr>
          <w:rFonts w:hint="eastAsia" w:ascii="仿宋_GB2312" w:eastAsia="仿宋_GB2312"/>
          <w:caps/>
          <w:sz w:val="28"/>
        </w:rPr>
        <w:t>广东世纪人土地</w:t>
      </w:r>
      <w:r>
        <w:rPr>
          <w:rFonts w:hint="eastAsia"/>
          <w:caps/>
          <w:sz w:val="28"/>
          <w:lang w:eastAsia="zh-CN"/>
        </w:rPr>
        <w:t>与</w:t>
      </w:r>
      <w:r>
        <w:rPr>
          <w:rFonts w:hint="eastAsia" w:ascii="仿宋_GB2312" w:eastAsia="仿宋_GB2312"/>
          <w:caps/>
          <w:sz w:val="28"/>
        </w:rPr>
        <w:t>房地产评估</w:t>
      </w:r>
      <w:r>
        <w:rPr>
          <w:rFonts w:hint="eastAsia"/>
          <w:caps/>
          <w:sz w:val="28"/>
          <w:lang w:eastAsia="zh-CN"/>
        </w:rPr>
        <w:t>咨询</w:t>
      </w:r>
      <w:r>
        <w:rPr>
          <w:rFonts w:hint="eastAsia" w:ascii="仿宋_GB2312" w:eastAsia="仿宋_GB2312"/>
          <w:caps/>
          <w:sz w:val="28"/>
        </w:rPr>
        <w:t>有限公司</w:t>
      </w:r>
      <w:r>
        <w:rPr>
          <w:rFonts w:hint="eastAsia" w:hAnsi="宋体"/>
          <w:color w:val="000000"/>
          <w:szCs w:val="21"/>
          <w:lang w:val="en-US" w:eastAsia="zh-CN"/>
        </w:rPr>
        <w:t>”变更为“</w:t>
      </w:r>
      <w:r>
        <w:rPr>
          <w:rFonts w:hint="eastAsia" w:ascii="仿宋_GB2312" w:eastAsia="仿宋_GB2312"/>
          <w:caps/>
          <w:sz w:val="28"/>
        </w:rPr>
        <w:t>广东世纪人房地产土地资产评估与规划测绘有限公司</w:t>
      </w:r>
      <w:r>
        <w:rPr>
          <w:rFonts w:hint="eastAsia" w:hAnsi="宋体"/>
          <w:color w:val="000000"/>
          <w:szCs w:val="21"/>
          <w:lang w:val="en-US" w:eastAsia="zh-CN"/>
        </w:rPr>
        <w:t>”。</w:t>
      </w:r>
      <w:r>
        <w:rPr>
          <w:rFonts w:hint="eastAsia"/>
          <w:b/>
          <w:bCs/>
          <w:caps/>
          <w:color w:val="000000"/>
          <w:szCs w:val="28"/>
        </w:rPr>
        <w:t>特提请报告使用人注意</w:t>
      </w:r>
      <w:r>
        <w:rPr>
          <w:rFonts w:hint="eastAsia"/>
          <w:lang w:eastAsia="zh-CN"/>
        </w:rPr>
        <w:t>！</w:t>
      </w:r>
    </w:p>
    <w:p>
      <w:pPr>
        <w:rPr>
          <w:rFonts w:hint="eastAsia" w:ascii="仿宋_GB2312" w:eastAsia="仿宋_GB2312"/>
          <w:b/>
          <w:caps/>
          <w:color w:val="000000"/>
          <w:sz w:val="30"/>
        </w:rPr>
      </w:pPr>
      <w:bookmarkStart w:id="32" w:name="_Toc476642101"/>
      <w:bookmarkStart w:id="33" w:name="_Toc4093"/>
      <w:bookmarkStart w:id="34" w:name="_Toc476642215"/>
      <w:r>
        <w:rPr>
          <w:rFonts w:hint="eastAsia" w:ascii="仿宋_GB2312" w:eastAsia="仿宋_GB2312"/>
          <w:b/>
          <w:caps/>
          <w:color w:val="000000"/>
          <w:sz w:val="30"/>
        </w:rPr>
        <w:br w:type="page"/>
      </w:r>
    </w:p>
    <w:p>
      <w:pPr>
        <w:pStyle w:val="3"/>
        <w:rPr>
          <w:rFonts w:ascii="仿宋_GB2312" w:eastAsia="仿宋_GB2312"/>
          <w:b/>
          <w:caps/>
          <w:color w:val="000000"/>
          <w:sz w:val="30"/>
        </w:rPr>
      </w:pPr>
      <w:r>
        <w:rPr>
          <w:rFonts w:hint="eastAsia" w:ascii="仿宋_GB2312" w:eastAsia="仿宋_GB2312"/>
          <w:b/>
          <w:caps/>
          <w:color w:val="000000"/>
          <w:sz w:val="30"/>
        </w:rPr>
        <w:t>估价结果报告</w:t>
      </w:r>
      <w:bookmarkEnd w:id="32"/>
      <w:bookmarkEnd w:id="33"/>
      <w:bookmarkEnd w:id="34"/>
    </w:p>
    <w:p>
      <w:pPr>
        <w:pStyle w:val="4"/>
        <w:spacing w:before="0" w:after="0" w:line="360" w:lineRule="auto"/>
        <w:ind w:firstLine="560" w:firstLineChars="200"/>
        <w:jc w:val="both"/>
        <w:rPr>
          <w:rFonts w:ascii="仿宋_GB2312" w:eastAsia="仿宋_GB2312"/>
          <w:caps/>
          <w:color w:val="000000"/>
          <w:spacing w:val="0"/>
          <w:sz w:val="28"/>
          <w:szCs w:val="28"/>
        </w:rPr>
      </w:pPr>
      <w:bookmarkStart w:id="35" w:name="_Toc476642102"/>
      <w:bookmarkStart w:id="36" w:name="_Toc438048738"/>
      <w:bookmarkStart w:id="37" w:name="_Toc476642216"/>
      <w:bookmarkStart w:id="38" w:name="_Toc25748"/>
      <w:r>
        <w:rPr>
          <w:rFonts w:hint="eastAsia" w:ascii="仿宋_GB2312" w:eastAsia="仿宋_GB2312"/>
          <w:caps/>
          <w:color w:val="000000"/>
          <w:spacing w:val="0"/>
          <w:sz w:val="28"/>
          <w:szCs w:val="28"/>
        </w:rPr>
        <w:t>一、估价委托人</w:t>
      </w:r>
      <w:bookmarkEnd w:id="35"/>
      <w:bookmarkEnd w:id="36"/>
      <w:bookmarkEnd w:id="37"/>
      <w:bookmarkEnd w:id="38"/>
    </w:p>
    <w:p>
      <w:pPr>
        <w:spacing w:line="360" w:lineRule="auto"/>
        <w:ind w:right="-340" w:firstLine="567"/>
        <w:jc w:val="left"/>
        <w:rPr>
          <w:rFonts w:hint="eastAsia" w:ascii="仿宋_GB2312" w:eastAsia="仿宋_GB2312"/>
          <w:caps/>
          <w:color w:val="000000"/>
          <w:sz w:val="28"/>
          <w:highlight w:val="none"/>
          <w:lang w:eastAsia="zh-CN"/>
        </w:rPr>
      </w:pPr>
      <w:r>
        <w:rPr>
          <w:rFonts w:hint="eastAsia" w:ascii="仿宋_GB2312" w:eastAsia="仿宋_GB2312"/>
          <w:caps/>
          <w:color w:val="000000"/>
          <w:sz w:val="28"/>
          <w:highlight w:val="none"/>
          <w:lang w:val="en-US" w:eastAsia="zh-CN"/>
        </w:rPr>
        <w:t>估</w:t>
      </w:r>
      <w:r>
        <w:rPr>
          <w:rFonts w:hint="eastAsia" w:ascii="仿宋_GB2312" w:eastAsia="仿宋_GB2312"/>
          <w:caps/>
          <w:color w:val="000000"/>
          <w:sz w:val="28"/>
          <w:highlight w:val="none"/>
        </w:rPr>
        <w:t>价委托人：</w:t>
      </w:r>
      <w:r>
        <w:rPr>
          <w:rFonts w:hint="eastAsia" w:ascii="仿宋_GB2312" w:eastAsia="仿宋_GB2312"/>
          <w:caps/>
          <w:color w:val="000000"/>
          <w:sz w:val="28"/>
          <w:highlight w:val="none"/>
          <w:lang w:eastAsia="zh-CN"/>
        </w:rPr>
        <w:t>广东省广州市中级人民法院</w:t>
      </w:r>
    </w:p>
    <w:p>
      <w:pPr>
        <w:spacing w:line="360" w:lineRule="auto"/>
        <w:ind w:right="-340" w:firstLine="567"/>
        <w:jc w:val="left"/>
        <w:rPr>
          <w:rFonts w:hint="default" w:ascii="仿宋_GB2312" w:eastAsia="仿宋_GB2312"/>
          <w:caps/>
          <w:color w:val="000000"/>
          <w:sz w:val="28"/>
          <w:highlight w:val="yellow"/>
          <w:lang w:val="en-US" w:eastAsia="zh-CN"/>
        </w:rPr>
      </w:pPr>
      <w:r>
        <w:rPr>
          <w:rFonts w:hint="eastAsia" w:ascii="仿宋_GB2312" w:eastAsia="仿宋_GB2312"/>
          <w:caps/>
          <w:color w:val="000000"/>
          <w:sz w:val="28"/>
          <w:highlight w:val="none"/>
        </w:rPr>
        <w:t>地址：</w:t>
      </w:r>
      <w:r>
        <w:rPr>
          <w:rFonts w:hint="eastAsia" w:ascii="仿宋_GB2312" w:eastAsia="仿宋_GB2312"/>
          <w:caps/>
          <w:color w:val="000000"/>
          <w:sz w:val="28"/>
          <w:highlight w:val="none"/>
          <w:lang w:val="en-US" w:eastAsia="zh-CN"/>
        </w:rPr>
        <w:t>广东省广州市白云区启德路66号广州市中级人民法院</w:t>
      </w:r>
    </w:p>
    <w:p>
      <w:pPr>
        <w:spacing w:line="360" w:lineRule="auto"/>
        <w:ind w:right="-340" w:firstLine="567"/>
        <w:jc w:val="left"/>
        <w:rPr>
          <w:rFonts w:hint="eastAsia" w:ascii="仿宋_GB2312" w:eastAsia="仿宋_GB2312"/>
          <w:caps/>
          <w:color w:val="000000"/>
          <w:sz w:val="28"/>
          <w:highlight w:val="none"/>
          <w:lang w:val="en-US" w:eastAsia="zh-CN"/>
        </w:rPr>
      </w:pPr>
      <w:r>
        <w:rPr>
          <w:rFonts w:hint="eastAsia" w:ascii="仿宋_GB2312" w:eastAsia="仿宋_GB2312"/>
          <w:caps/>
          <w:color w:val="000000"/>
          <w:sz w:val="28"/>
          <w:highlight w:val="none"/>
          <w:lang w:val="en-US" w:eastAsia="zh-CN"/>
        </w:rPr>
        <w:t>联系人：</w:t>
      </w:r>
      <w:r>
        <w:rPr>
          <w:rFonts w:hint="eastAsia" w:ascii="仿宋_GB2312" w:eastAsia="仿宋_GB2312"/>
          <w:caps/>
          <w:color w:val="000000"/>
          <w:sz w:val="28"/>
          <w:highlight w:val="none"/>
          <w:lang w:eastAsia="zh-CN"/>
        </w:rPr>
        <w:t>广东省广州市中级人民法院</w:t>
      </w:r>
      <w:r>
        <w:rPr>
          <w:rFonts w:hint="eastAsia" w:ascii="仿宋_GB2312" w:eastAsia="仿宋_GB2312"/>
          <w:caps/>
          <w:color w:val="000000"/>
          <w:sz w:val="28"/>
          <w:highlight w:val="none"/>
          <w:lang w:val="en-US" w:eastAsia="zh-CN"/>
        </w:rPr>
        <w:t>执行局执行三庭 胡小兵</w:t>
      </w:r>
    </w:p>
    <w:p>
      <w:pPr>
        <w:spacing w:line="360" w:lineRule="auto"/>
        <w:ind w:right="-340" w:firstLine="567"/>
        <w:jc w:val="left"/>
        <w:rPr>
          <w:rFonts w:hint="default" w:ascii="仿宋_GB2312" w:eastAsia="仿宋_GB2312"/>
          <w:caps/>
          <w:color w:val="000000"/>
          <w:sz w:val="28"/>
          <w:highlight w:val="none"/>
          <w:lang w:val="en-US" w:eastAsia="zh-CN"/>
        </w:rPr>
      </w:pPr>
      <w:r>
        <w:rPr>
          <w:rFonts w:hint="eastAsia" w:ascii="仿宋_GB2312" w:eastAsia="仿宋_GB2312"/>
          <w:caps/>
          <w:color w:val="000000"/>
          <w:sz w:val="28"/>
          <w:highlight w:val="none"/>
          <w:lang w:val="en-US" w:eastAsia="zh-CN"/>
        </w:rPr>
        <w:t>联系电话：020-83211082</w:t>
      </w:r>
    </w:p>
    <w:p>
      <w:pPr>
        <w:pStyle w:val="4"/>
        <w:spacing w:before="0" w:after="0" w:line="360" w:lineRule="auto"/>
        <w:ind w:firstLine="560" w:firstLineChars="200"/>
        <w:jc w:val="both"/>
        <w:rPr>
          <w:rFonts w:ascii="仿宋_GB2312" w:eastAsia="仿宋_GB2312"/>
          <w:caps/>
          <w:color w:val="000000"/>
          <w:spacing w:val="0"/>
          <w:sz w:val="28"/>
          <w:szCs w:val="28"/>
        </w:rPr>
      </w:pPr>
      <w:bookmarkStart w:id="39" w:name="_Toc438048739"/>
      <w:bookmarkStart w:id="40" w:name="_Toc476642103"/>
      <w:bookmarkStart w:id="41" w:name="_Toc476642217"/>
      <w:bookmarkStart w:id="42" w:name="_Toc1309"/>
      <w:r>
        <w:rPr>
          <w:rFonts w:hint="eastAsia" w:ascii="仿宋_GB2312" w:eastAsia="仿宋_GB2312"/>
          <w:caps/>
          <w:color w:val="000000"/>
          <w:spacing w:val="0"/>
          <w:sz w:val="28"/>
          <w:szCs w:val="28"/>
        </w:rPr>
        <w:t>二、房地产估价机构</w:t>
      </w:r>
      <w:bookmarkEnd w:id="39"/>
      <w:bookmarkEnd w:id="40"/>
      <w:bookmarkEnd w:id="41"/>
      <w:bookmarkEnd w:id="42"/>
    </w:p>
    <w:p>
      <w:pPr>
        <w:spacing w:line="360" w:lineRule="auto"/>
        <w:ind w:right="-340" w:firstLine="567"/>
        <w:jc w:val="left"/>
        <w:rPr>
          <w:rFonts w:ascii="仿宋_GB2312" w:eastAsia="仿宋_GB2312"/>
          <w:caps/>
          <w:sz w:val="28"/>
        </w:rPr>
      </w:pPr>
      <w:bookmarkStart w:id="43" w:name="_Toc476642104"/>
      <w:bookmarkStart w:id="44" w:name="_Toc476642218"/>
      <w:bookmarkStart w:id="45" w:name="_Toc438048740"/>
      <w:r>
        <w:rPr>
          <w:rFonts w:hint="eastAsia" w:ascii="仿宋_GB2312" w:eastAsia="仿宋_GB2312"/>
          <w:caps/>
          <w:sz w:val="28"/>
        </w:rPr>
        <w:t>估价机构：广东世纪人房地产土地资产评估与规划测绘有限公司</w:t>
      </w:r>
    </w:p>
    <w:p>
      <w:pPr>
        <w:spacing w:line="360" w:lineRule="auto"/>
        <w:ind w:right="-340" w:firstLine="567"/>
        <w:jc w:val="left"/>
        <w:rPr>
          <w:rFonts w:ascii="仿宋_GB2312" w:eastAsia="仿宋_GB2312"/>
          <w:caps/>
          <w:sz w:val="28"/>
        </w:rPr>
      </w:pPr>
      <w:r>
        <w:rPr>
          <w:rFonts w:hint="eastAsia" w:ascii="仿宋_GB2312" w:eastAsia="仿宋_GB2312"/>
          <w:caps/>
          <w:sz w:val="28"/>
        </w:rPr>
        <w:t>住    所：广东省广州市天河区黄埔大道中311号自编2-12-1房</w:t>
      </w:r>
    </w:p>
    <w:p>
      <w:pPr>
        <w:spacing w:line="360" w:lineRule="auto"/>
        <w:ind w:right="-340" w:firstLine="567"/>
        <w:jc w:val="left"/>
        <w:rPr>
          <w:rFonts w:ascii="仿宋_GB2312" w:eastAsia="仿宋_GB2312"/>
          <w:caps/>
          <w:sz w:val="28"/>
        </w:rPr>
      </w:pPr>
      <w:r>
        <w:rPr>
          <w:rFonts w:hint="eastAsia" w:ascii="仿宋_GB2312" w:eastAsia="仿宋_GB2312"/>
          <w:caps/>
          <w:sz w:val="28"/>
        </w:rPr>
        <w:t>法定代表人:姚小刚</w:t>
      </w:r>
    </w:p>
    <w:p>
      <w:pPr>
        <w:spacing w:line="360" w:lineRule="auto"/>
        <w:ind w:right="-340" w:firstLine="567"/>
        <w:jc w:val="left"/>
        <w:rPr>
          <w:rFonts w:ascii="仿宋_GB2312" w:eastAsia="仿宋_GB2312"/>
          <w:caps/>
          <w:sz w:val="28"/>
        </w:rPr>
      </w:pPr>
      <w:r>
        <w:rPr>
          <w:rFonts w:hint="eastAsia" w:ascii="仿宋_GB2312" w:eastAsia="仿宋_GB2312"/>
          <w:caps/>
          <w:sz w:val="28"/>
        </w:rPr>
        <w:t>资质等级：壹级</w:t>
      </w:r>
    </w:p>
    <w:p>
      <w:pPr>
        <w:spacing w:line="360" w:lineRule="auto"/>
        <w:ind w:right="-340" w:firstLine="567"/>
        <w:jc w:val="left"/>
        <w:rPr>
          <w:rFonts w:ascii="仿宋_GB2312" w:eastAsia="仿宋_GB2312"/>
          <w:caps/>
          <w:sz w:val="28"/>
        </w:rPr>
      </w:pPr>
      <w:r>
        <w:rPr>
          <w:rFonts w:hint="eastAsia" w:ascii="仿宋_GB2312" w:eastAsia="仿宋_GB2312"/>
          <w:caps/>
          <w:sz w:val="28"/>
        </w:rPr>
        <w:t>统一社会信用代码：9144000072246347X5</w:t>
      </w:r>
    </w:p>
    <w:p>
      <w:pPr>
        <w:spacing w:line="360" w:lineRule="auto"/>
        <w:ind w:right="-340" w:firstLine="567"/>
        <w:jc w:val="left"/>
        <w:rPr>
          <w:rFonts w:ascii="仿宋_GB2312" w:eastAsia="仿宋_GB2312"/>
          <w:caps/>
          <w:sz w:val="28"/>
        </w:rPr>
      </w:pPr>
      <w:r>
        <w:rPr>
          <w:rFonts w:hint="eastAsia" w:ascii="仿宋_GB2312" w:eastAsia="仿宋_GB2312"/>
          <w:caps/>
          <w:sz w:val="28"/>
        </w:rPr>
        <w:t>证书编号：粤房估备字壹0100015</w:t>
      </w:r>
    </w:p>
    <w:p>
      <w:pPr>
        <w:spacing w:line="360" w:lineRule="auto"/>
        <w:ind w:right="-340" w:firstLine="567"/>
        <w:jc w:val="left"/>
        <w:rPr>
          <w:rFonts w:ascii="仿宋_GB2312" w:eastAsia="仿宋_GB2312"/>
          <w:caps/>
          <w:sz w:val="28"/>
        </w:rPr>
      </w:pPr>
      <w:r>
        <w:rPr>
          <w:rFonts w:hint="eastAsia" w:ascii="仿宋_GB2312" w:eastAsia="仿宋_GB2312"/>
          <w:caps/>
          <w:sz w:val="28"/>
        </w:rPr>
        <w:t>有效期限：202</w:t>
      </w:r>
      <w:r>
        <w:rPr>
          <w:rFonts w:hint="eastAsia" w:ascii="仿宋_GB2312" w:eastAsia="仿宋_GB2312"/>
          <w:caps/>
          <w:sz w:val="28"/>
          <w:lang w:val="en-US" w:eastAsia="zh-CN"/>
        </w:rPr>
        <w:t>4</w:t>
      </w:r>
      <w:r>
        <w:rPr>
          <w:rFonts w:hint="eastAsia" w:ascii="仿宋_GB2312" w:eastAsia="仿宋_GB2312"/>
          <w:caps/>
          <w:sz w:val="28"/>
        </w:rPr>
        <w:t>年1</w:t>
      </w:r>
      <w:r>
        <w:rPr>
          <w:rFonts w:hint="eastAsia" w:ascii="仿宋_GB2312" w:eastAsia="仿宋_GB2312"/>
          <w:caps/>
          <w:sz w:val="28"/>
          <w:lang w:val="en-US" w:eastAsia="zh-CN"/>
        </w:rPr>
        <w:t>0</w:t>
      </w:r>
      <w:r>
        <w:rPr>
          <w:rFonts w:hint="eastAsia" w:ascii="仿宋_GB2312" w:eastAsia="仿宋_GB2312"/>
          <w:caps/>
          <w:sz w:val="28"/>
        </w:rPr>
        <w:t>月</w:t>
      </w:r>
      <w:r>
        <w:rPr>
          <w:rFonts w:hint="eastAsia" w:ascii="仿宋_GB2312" w:eastAsia="仿宋_GB2312"/>
          <w:caps/>
          <w:sz w:val="28"/>
          <w:lang w:val="en-US" w:eastAsia="zh-CN"/>
        </w:rPr>
        <w:t>08</w:t>
      </w:r>
      <w:r>
        <w:rPr>
          <w:rFonts w:hint="eastAsia" w:ascii="仿宋_GB2312" w:eastAsia="仿宋_GB2312"/>
          <w:caps/>
          <w:sz w:val="28"/>
        </w:rPr>
        <w:t>日止</w:t>
      </w:r>
    </w:p>
    <w:p>
      <w:pPr>
        <w:pStyle w:val="4"/>
        <w:spacing w:before="0" w:after="0" w:line="360" w:lineRule="auto"/>
        <w:ind w:firstLine="560" w:firstLineChars="200"/>
        <w:jc w:val="both"/>
        <w:rPr>
          <w:rFonts w:ascii="仿宋_GB2312" w:eastAsia="仿宋_GB2312"/>
          <w:caps/>
          <w:color w:val="000000"/>
          <w:spacing w:val="0"/>
          <w:sz w:val="28"/>
          <w:szCs w:val="28"/>
        </w:rPr>
      </w:pPr>
      <w:bookmarkStart w:id="46" w:name="_Toc11527"/>
      <w:r>
        <w:rPr>
          <w:rFonts w:hint="eastAsia" w:ascii="仿宋_GB2312" w:eastAsia="仿宋_GB2312"/>
          <w:caps/>
          <w:color w:val="000000"/>
          <w:spacing w:val="0"/>
          <w:sz w:val="28"/>
          <w:szCs w:val="28"/>
        </w:rPr>
        <w:t>三、估价目的</w:t>
      </w:r>
      <w:bookmarkEnd w:id="43"/>
      <w:bookmarkEnd w:id="44"/>
      <w:bookmarkEnd w:id="45"/>
      <w:bookmarkEnd w:id="46"/>
    </w:p>
    <w:p>
      <w:pPr>
        <w:pStyle w:val="34"/>
        <w:ind w:right="0" w:firstLine="560" w:firstLineChars="200"/>
        <w:jc w:val="both"/>
        <w:rPr>
          <w:rFonts w:hint="eastAsia" w:eastAsia="仿宋_GB2312"/>
          <w:caps/>
          <w:color w:val="000000"/>
          <w:lang w:eastAsia="zh-CN"/>
        </w:rPr>
      </w:pPr>
      <w:bookmarkStart w:id="47" w:name="OLE_LINK144"/>
      <w:r>
        <w:rPr>
          <w:rFonts w:hint="eastAsia"/>
          <w:caps/>
          <w:color w:val="000000"/>
          <w:kern w:val="0"/>
          <w:lang w:eastAsia="zh-CN"/>
        </w:rPr>
        <w:t>为人民法院确定财产处置参考价提供参考依据</w:t>
      </w:r>
    </w:p>
    <w:bookmarkEnd w:id="47"/>
    <w:p>
      <w:pPr>
        <w:pStyle w:val="4"/>
        <w:spacing w:before="0" w:after="0" w:line="360" w:lineRule="auto"/>
        <w:ind w:firstLine="560" w:firstLineChars="200"/>
        <w:jc w:val="both"/>
        <w:rPr>
          <w:rFonts w:ascii="仿宋_GB2312" w:eastAsia="仿宋_GB2312"/>
          <w:caps/>
          <w:color w:val="000000"/>
          <w:spacing w:val="0"/>
          <w:sz w:val="28"/>
          <w:szCs w:val="28"/>
        </w:rPr>
      </w:pPr>
      <w:bookmarkStart w:id="48" w:name="_Toc11114"/>
      <w:bookmarkStart w:id="49" w:name="_Toc438048741"/>
      <w:bookmarkStart w:id="50" w:name="_Toc476642219"/>
      <w:bookmarkStart w:id="51" w:name="_Toc476642105"/>
      <w:r>
        <w:rPr>
          <w:rFonts w:hint="eastAsia" w:ascii="仿宋_GB2312" w:eastAsia="仿宋_GB2312"/>
          <w:caps/>
          <w:color w:val="000000"/>
          <w:spacing w:val="0"/>
          <w:sz w:val="28"/>
          <w:szCs w:val="28"/>
        </w:rPr>
        <w:t>四、估价对象</w:t>
      </w:r>
      <w:bookmarkEnd w:id="48"/>
      <w:bookmarkEnd w:id="49"/>
      <w:bookmarkEnd w:id="50"/>
      <w:bookmarkEnd w:id="51"/>
    </w:p>
    <w:p>
      <w:pPr>
        <w:spacing w:line="360" w:lineRule="auto"/>
        <w:ind w:firstLine="560" w:firstLineChars="200"/>
        <w:rPr>
          <w:rFonts w:ascii="仿宋_GB2312" w:eastAsia="仿宋_GB2312"/>
          <w:caps/>
          <w:color w:val="000000"/>
          <w:sz w:val="28"/>
          <w:szCs w:val="28"/>
        </w:rPr>
      </w:pPr>
      <w:r>
        <w:rPr>
          <w:rFonts w:hint="eastAsia" w:ascii="仿宋_GB2312" w:eastAsia="仿宋_GB2312"/>
          <w:caps/>
          <w:color w:val="000000"/>
          <w:sz w:val="28"/>
          <w:szCs w:val="28"/>
        </w:rPr>
        <w:t>1、估价对象范围</w:t>
      </w:r>
    </w:p>
    <w:p>
      <w:pPr>
        <w:spacing w:line="360" w:lineRule="auto"/>
        <w:ind w:firstLine="560" w:firstLineChars="200"/>
        <w:rPr>
          <w:rFonts w:ascii="仿宋_GB2312" w:eastAsia="仿宋_GB2312"/>
          <w:caps/>
          <w:color w:val="000000"/>
          <w:sz w:val="28"/>
          <w:szCs w:val="28"/>
        </w:rPr>
      </w:pPr>
      <w:r>
        <w:rPr>
          <w:rFonts w:hint="eastAsia" w:ascii="仿宋_GB2312" w:eastAsia="仿宋_GB2312"/>
          <w:caps/>
          <w:color w:val="000000"/>
          <w:sz w:val="28"/>
          <w:szCs w:val="28"/>
        </w:rPr>
        <w:t>估价对象为</w:t>
      </w:r>
      <w:r>
        <w:rPr>
          <w:rFonts w:hint="eastAsia" w:ascii="仿宋_GB2312" w:eastAsia="仿宋_GB2312"/>
          <w:caps/>
          <w:color w:val="000000"/>
          <w:sz w:val="28"/>
          <w:szCs w:val="22"/>
          <w:lang w:eastAsia="zh-CN"/>
        </w:rPr>
        <w:t>广州市增城区新塘镇新绣南路45号负二层2443房</w:t>
      </w:r>
      <w:r>
        <w:rPr>
          <w:rFonts w:hint="eastAsia" w:ascii="仿宋_GB2312" w:eastAsia="仿宋_GB2312"/>
          <w:caps/>
          <w:color w:val="000000"/>
          <w:sz w:val="28"/>
          <w:szCs w:val="22"/>
        </w:rPr>
        <w:t>房地产</w:t>
      </w:r>
      <w:r>
        <w:rPr>
          <w:rFonts w:hint="eastAsia" w:ascii="仿宋_GB2312" w:eastAsia="仿宋_GB2312"/>
          <w:caps/>
          <w:color w:val="000000"/>
          <w:sz w:val="28"/>
          <w:szCs w:val="22"/>
          <w:lang w:eastAsia="zh-CN"/>
        </w:rPr>
        <w:t>，</w:t>
      </w:r>
      <w:r>
        <w:rPr>
          <w:rFonts w:hint="eastAsia" w:ascii="仿宋_GB2312" w:eastAsia="仿宋_GB2312"/>
          <w:caps/>
          <w:color w:val="000000"/>
          <w:sz w:val="28"/>
        </w:rPr>
        <w:t>包括分摊的土地使用权价值、建筑物所有权价值、装饰装修工程、满足使用功能需要的水、电、消防等固定配套设施价值，不包含动产、债权债务、特许经营权等其他财产价值</w:t>
      </w:r>
      <w:r>
        <w:rPr>
          <w:rFonts w:hint="eastAsia" w:ascii="仿宋_GB2312" w:eastAsia="仿宋_GB2312"/>
          <w:caps/>
          <w:color w:val="000000"/>
          <w:sz w:val="28"/>
          <w:szCs w:val="28"/>
        </w:rPr>
        <w:t>。</w:t>
      </w:r>
    </w:p>
    <w:p>
      <w:pPr>
        <w:spacing w:line="360" w:lineRule="auto"/>
        <w:ind w:firstLine="560" w:firstLineChars="200"/>
        <w:rPr>
          <w:rFonts w:ascii="仿宋_GB2312" w:eastAsia="仿宋_GB2312"/>
          <w:caps/>
          <w:color w:val="000000"/>
          <w:sz w:val="28"/>
          <w:szCs w:val="28"/>
        </w:rPr>
      </w:pPr>
      <w:r>
        <w:rPr>
          <w:rFonts w:hint="eastAsia" w:ascii="仿宋_GB2312" w:eastAsia="仿宋_GB2312"/>
          <w:caps/>
          <w:color w:val="000000"/>
          <w:sz w:val="28"/>
          <w:szCs w:val="28"/>
        </w:rPr>
        <w:t>2、估价对象基本状况</w:t>
      </w:r>
    </w:p>
    <w:p>
      <w:pPr>
        <w:ind w:firstLine="420" w:firstLineChars="150"/>
        <w:rPr>
          <w:rFonts w:ascii="仿宋_GB2312" w:eastAsia="仿宋_GB2312"/>
          <w:caps/>
          <w:color w:val="000000"/>
          <w:sz w:val="28"/>
          <w:szCs w:val="28"/>
        </w:rPr>
      </w:pPr>
      <w:r>
        <w:rPr>
          <w:rFonts w:hint="eastAsia" w:ascii="仿宋_GB2312" w:eastAsia="仿宋_GB2312"/>
          <w:caps/>
          <w:color w:val="000000"/>
          <w:sz w:val="28"/>
        </w:rPr>
        <w:t>根据估价委</w:t>
      </w:r>
      <w:r>
        <w:rPr>
          <w:rFonts w:hint="eastAsia" w:ascii="仿宋_GB2312" w:eastAsia="仿宋_GB2312"/>
          <w:caps/>
          <w:color w:val="000000"/>
          <w:sz w:val="28"/>
          <w:szCs w:val="22"/>
        </w:rPr>
        <w:t>托人提供的</w:t>
      </w:r>
      <w:r>
        <w:rPr>
          <w:rFonts w:hint="eastAsia" w:ascii="仿宋_GB2312" w:eastAsia="仿宋_GB2312"/>
          <w:caps/>
          <w:color w:val="000000"/>
          <w:sz w:val="28"/>
          <w:szCs w:val="22"/>
          <w:lang w:eastAsia="zh-CN"/>
        </w:rPr>
        <w:t>《广州市不动产登记查册表》（不动产登记字号：19登记12528222）</w:t>
      </w:r>
      <w:r>
        <w:rPr>
          <w:rFonts w:hint="eastAsia" w:ascii="仿宋_GB2312" w:eastAsia="仿宋_GB2312"/>
          <w:caps/>
          <w:color w:val="000000"/>
          <w:sz w:val="28"/>
          <w:szCs w:val="22"/>
        </w:rPr>
        <w:t>资料复印件</w:t>
      </w:r>
      <w:r>
        <w:rPr>
          <w:rFonts w:hint="eastAsia" w:ascii="仿宋_GB2312" w:eastAsia="仿宋_GB2312"/>
          <w:color w:val="000000"/>
          <w:sz w:val="28"/>
          <w:szCs w:val="22"/>
        </w:rPr>
        <w:t>及评估专</w:t>
      </w:r>
      <w:r>
        <w:rPr>
          <w:rFonts w:hint="eastAsia" w:ascii="仿宋_GB2312" w:eastAsia="仿宋_GB2312"/>
          <w:caps/>
          <w:color w:val="000000"/>
          <w:sz w:val="28"/>
          <w:szCs w:val="28"/>
        </w:rPr>
        <w:t>业人员</w:t>
      </w:r>
      <w:r>
        <w:rPr>
          <w:rFonts w:hint="eastAsia" w:ascii="仿宋_GB2312" w:eastAsia="仿宋_GB2312"/>
          <w:color w:val="000000"/>
          <w:sz w:val="28"/>
        </w:rPr>
        <w:t>实地查勘</w:t>
      </w:r>
      <w:r>
        <w:rPr>
          <w:rFonts w:hint="eastAsia" w:ascii="仿宋_GB2312" w:eastAsia="仿宋_GB2312"/>
          <w:caps/>
          <w:color w:val="000000"/>
          <w:sz w:val="28"/>
          <w:szCs w:val="28"/>
        </w:rPr>
        <w:t>。估价对象基本状况如下：</w:t>
      </w:r>
    </w:p>
    <w:tbl>
      <w:tblPr>
        <w:tblStyle w:val="40"/>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20" w:type="dxa"/>
            <w:shd w:val="clear" w:color="000000" w:fill="D8D8D8"/>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名称：</w:t>
            </w:r>
          </w:p>
        </w:tc>
        <w:tc>
          <w:tcPr>
            <w:tcW w:w="6976" w:type="dxa"/>
            <w:vAlign w:val="center"/>
          </w:tcPr>
          <w:p>
            <w:pPr>
              <w:widowControl/>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估价对象所在小区名称为</w:t>
            </w:r>
            <w:r>
              <w:rPr>
                <w:rFonts w:hint="eastAsia" w:ascii="仿宋_GB2312" w:hAnsi="宋体" w:eastAsia="仿宋_GB2312" w:cs="宋体"/>
                <w:color w:val="000000"/>
                <w:kern w:val="0"/>
                <w:sz w:val="24"/>
                <w:szCs w:val="24"/>
                <w:lang w:eastAsia="zh-CN"/>
              </w:rPr>
              <w:t>“锦绣天伦花园”</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520" w:type="dxa"/>
            <w:shd w:val="clear" w:color="000000" w:fill="D8D8D8"/>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坐落：</w:t>
            </w:r>
          </w:p>
        </w:tc>
        <w:tc>
          <w:tcPr>
            <w:tcW w:w="6976" w:type="dxa"/>
            <w:vAlign w:val="center"/>
          </w:tcPr>
          <w:p>
            <w:pPr>
              <w:widowControl/>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广州市增城区新塘镇新绣南路45号负二层2443房</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0" w:type="dxa"/>
            <w:shd w:val="clear" w:color="000000" w:fill="D8D8D8"/>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规模：</w:t>
            </w:r>
          </w:p>
        </w:tc>
        <w:tc>
          <w:tcPr>
            <w:tcW w:w="6976" w:type="dxa"/>
            <w:vAlign w:val="center"/>
          </w:tcPr>
          <w:p>
            <w:pPr>
              <w:widowControl/>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估价对象位于</w:t>
            </w:r>
            <w:r>
              <w:rPr>
                <w:rFonts w:hint="eastAsia" w:ascii="仿宋_GB2312" w:hAnsi="宋体" w:eastAsia="仿宋_GB2312" w:cs="宋体"/>
                <w:color w:val="000000"/>
                <w:kern w:val="0"/>
                <w:sz w:val="24"/>
                <w:szCs w:val="24"/>
                <w:lang w:eastAsia="zh-CN"/>
              </w:rPr>
              <w:t>广州市增城区新塘镇新绣南路45号</w:t>
            </w:r>
            <w:r>
              <w:rPr>
                <w:rFonts w:hint="eastAsia" w:ascii="仿宋_GB2312" w:hAnsi="宋体" w:eastAsia="仿宋_GB2312" w:cs="宋体"/>
                <w:color w:val="000000"/>
                <w:kern w:val="0"/>
                <w:sz w:val="24"/>
                <w:szCs w:val="24"/>
              </w:rPr>
              <w:t>，所在建筑是一栋钢筋混凝土结构</w:t>
            </w:r>
            <w:r>
              <w:rPr>
                <w:rFonts w:hint="eastAsia" w:ascii="仿宋_GB2312" w:hAnsi="宋体" w:eastAsia="仿宋_GB2312" w:cs="宋体"/>
                <w:color w:val="000000"/>
                <w:kern w:val="0"/>
                <w:sz w:val="24"/>
                <w:szCs w:val="24"/>
                <w:lang w:eastAsia="zh-CN"/>
              </w:rPr>
              <w:t>33层的电梯楼</w:t>
            </w:r>
            <w:r>
              <w:rPr>
                <w:rFonts w:hint="eastAsia" w:ascii="仿宋_GB2312" w:hAnsi="宋体" w:eastAsia="仿宋_GB2312" w:cs="宋体"/>
                <w:color w:val="000000"/>
                <w:kern w:val="0"/>
                <w:sz w:val="24"/>
                <w:szCs w:val="24"/>
              </w:rPr>
              <w:t>，估价对象位于</w:t>
            </w:r>
            <w:r>
              <w:rPr>
                <w:rFonts w:hint="eastAsia" w:ascii="仿宋_GB2312" w:hAnsi="宋体" w:eastAsia="仿宋_GB2312" w:cs="宋体"/>
                <w:color w:val="000000"/>
                <w:kern w:val="0"/>
                <w:sz w:val="24"/>
                <w:szCs w:val="24"/>
                <w:lang w:eastAsia="zh-CN"/>
              </w:rPr>
              <w:t>地下2层</w:t>
            </w:r>
            <w:r>
              <w:rPr>
                <w:rFonts w:hint="eastAsia" w:ascii="仿宋_GB2312" w:hAnsi="宋体" w:eastAsia="仿宋_GB2312" w:cs="宋体"/>
                <w:color w:val="000000"/>
                <w:kern w:val="0"/>
                <w:sz w:val="24"/>
                <w:szCs w:val="24"/>
              </w:rPr>
              <w:t>，建筑面积为</w:t>
            </w:r>
            <w:r>
              <w:rPr>
                <w:rFonts w:hint="eastAsia" w:ascii="仿宋_GB2312" w:hAnsi="宋体" w:eastAsia="仿宋_GB2312" w:cs="宋体"/>
                <w:color w:val="000000"/>
                <w:kern w:val="0"/>
                <w:sz w:val="24"/>
                <w:szCs w:val="24"/>
                <w:lang w:eastAsia="zh-CN"/>
              </w:rPr>
              <w:t>11.99平方米</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20" w:type="dxa"/>
            <w:shd w:val="clear" w:color="000000" w:fill="D8D8D8"/>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用途：</w:t>
            </w:r>
          </w:p>
        </w:tc>
        <w:tc>
          <w:tcPr>
            <w:tcW w:w="6976" w:type="dxa"/>
            <w:vAlign w:val="center"/>
          </w:tcPr>
          <w:p>
            <w:pPr>
              <w:widowControl/>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房屋用途为车位</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520" w:type="dxa"/>
            <w:shd w:val="clear" w:color="000000" w:fill="D8D8D8"/>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权属：</w:t>
            </w:r>
          </w:p>
        </w:tc>
        <w:tc>
          <w:tcPr>
            <w:tcW w:w="6976" w:type="dxa"/>
            <w:vAlign w:val="center"/>
          </w:tcPr>
          <w:p>
            <w:pPr>
              <w:widowControl/>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权属人为</w:t>
            </w:r>
            <w:r>
              <w:rPr>
                <w:rFonts w:hint="eastAsia" w:ascii="仿宋_GB2312" w:hAnsi="宋体" w:eastAsia="仿宋_GB2312" w:cs="宋体"/>
                <w:color w:val="000000"/>
                <w:kern w:val="0"/>
                <w:sz w:val="24"/>
                <w:szCs w:val="24"/>
                <w:lang w:eastAsia="zh-CN"/>
              </w:rPr>
              <w:t>王晓芳</w:t>
            </w:r>
            <w:r>
              <w:rPr>
                <w:rFonts w:hint="eastAsia" w:ascii="仿宋_GB2312" w:hAnsi="宋体" w:eastAsia="仿宋_GB2312" w:cs="宋体"/>
                <w:color w:val="000000"/>
                <w:kern w:val="0"/>
                <w:sz w:val="24"/>
                <w:szCs w:val="24"/>
              </w:rPr>
              <w:t>。</w:t>
            </w:r>
          </w:p>
        </w:tc>
      </w:tr>
    </w:tbl>
    <w:p>
      <w:pPr>
        <w:spacing w:line="360" w:lineRule="auto"/>
        <w:ind w:firstLine="560" w:firstLineChars="200"/>
        <w:rPr>
          <w:rFonts w:ascii="仿宋_GB2312" w:eastAsia="仿宋_GB2312"/>
          <w:caps/>
          <w:color w:val="000000"/>
          <w:sz w:val="28"/>
          <w:szCs w:val="28"/>
        </w:rPr>
      </w:pPr>
      <w:r>
        <w:rPr>
          <w:rFonts w:hint="eastAsia" w:ascii="仿宋_GB2312" w:eastAsia="仿宋_GB2312"/>
          <w:caps/>
          <w:color w:val="000000"/>
          <w:sz w:val="28"/>
          <w:szCs w:val="28"/>
        </w:rPr>
        <w:t>3、土地基本状况</w:t>
      </w:r>
    </w:p>
    <w:p>
      <w:pPr>
        <w:spacing w:line="360" w:lineRule="auto"/>
        <w:ind w:firstLine="560" w:firstLineChars="200"/>
        <w:rPr>
          <w:rFonts w:ascii="仿宋_GB2312" w:eastAsia="仿宋_GB2312"/>
          <w:caps/>
          <w:color w:val="000000"/>
          <w:sz w:val="28"/>
          <w:szCs w:val="28"/>
        </w:rPr>
      </w:pPr>
      <w:r>
        <w:rPr>
          <w:rFonts w:hint="eastAsia" w:ascii="仿宋_GB2312" w:eastAsia="仿宋_GB2312"/>
          <w:caps/>
          <w:color w:val="000000"/>
          <w:sz w:val="28"/>
          <w:szCs w:val="28"/>
        </w:rPr>
        <w:t>根据估价委托人提供的</w:t>
      </w:r>
      <w:r>
        <w:rPr>
          <w:rFonts w:hint="eastAsia" w:ascii="仿宋_GB2312" w:eastAsia="仿宋_GB2312"/>
          <w:caps/>
          <w:color w:val="000000"/>
          <w:sz w:val="28"/>
          <w:szCs w:val="22"/>
          <w:lang w:eastAsia="zh-CN"/>
        </w:rPr>
        <w:t>《广州市不动产登记查册表》（不动产登记字号：19登记12528222）</w:t>
      </w:r>
      <w:r>
        <w:rPr>
          <w:rFonts w:hint="eastAsia" w:ascii="仿宋_GB2312" w:eastAsia="仿宋_GB2312"/>
          <w:caps/>
          <w:color w:val="000000"/>
          <w:sz w:val="28"/>
          <w:szCs w:val="28"/>
        </w:rPr>
        <w:t>资料复印件及评估专业人员实地查勘，估价对象土地坐落于</w:t>
      </w:r>
      <w:r>
        <w:rPr>
          <w:rFonts w:hint="eastAsia" w:ascii="仿宋_GB2312" w:eastAsia="仿宋_GB2312"/>
          <w:caps/>
          <w:color w:val="000000"/>
          <w:sz w:val="28"/>
          <w:szCs w:val="28"/>
          <w:lang w:eastAsia="zh-CN"/>
        </w:rPr>
        <w:t>增城区新塘镇新绣南路45号</w:t>
      </w:r>
      <w:r>
        <w:rPr>
          <w:rFonts w:hint="eastAsia" w:ascii="仿宋_GB2312" w:eastAsia="仿宋_GB2312"/>
          <w:caps/>
          <w:color w:val="000000"/>
          <w:sz w:val="28"/>
          <w:szCs w:val="28"/>
        </w:rPr>
        <w:t>，土地性质</w:t>
      </w:r>
      <w:r>
        <w:rPr>
          <w:rFonts w:hint="eastAsia" w:ascii="仿宋_GB2312" w:eastAsia="仿宋_GB2312"/>
          <w:caps/>
          <w:color w:val="000000"/>
          <w:sz w:val="28"/>
          <w:szCs w:val="28"/>
          <w:lang w:val="en-US" w:eastAsia="zh-CN"/>
        </w:rPr>
        <w:t>权利</w:t>
      </w:r>
      <w:r>
        <w:rPr>
          <w:rFonts w:hint="eastAsia" w:ascii="仿宋_GB2312" w:eastAsia="仿宋_GB2312"/>
          <w:caps/>
          <w:color w:val="000000"/>
          <w:sz w:val="28"/>
          <w:szCs w:val="28"/>
        </w:rPr>
        <w:t>为国有</w:t>
      </w:r>
      <w:r>
        <w:rPr>
          <w:rFonts w:hint="eastAsia" w:ascii="仿宋_GB2312" w:eastAsia="仿宋_GB2312"/>
          <w:caps/>
          <w:color w:val="000000"/>
          <w:sz w:val="28"/>
          <w:szCs w:val="28"/>
          <w:lang w:val="en-US" w:eastAsia="zh-CN"/>
        </w:rPr>
        <w:t>建设用地使用权</w:t>
      </w:r>
      <w:r>
        <w:rPr>
          <w:rFonts w:hint="eastAsia" w:ascii="仿宋_GB2312" w:eastAsia="仿宋_GB2312"/>
          <w:caps/>
          <w:color w:val="000000"/>
          <w:sz w:val="28"/>
          <w:szCs w:val="28"/>
        </w:rPr>
        <w:t>，</w:t>
      </w:r>
      <w:r>
        <w:rPr>
          <w:rFonts w:hint="eastAsia" w:ascii="仿宋_GB2312" w:eastAsia="仿宋_GB2312"/>
          <w:caps/>
          <w:color w:val="000000"/>
          <w:sz w:val="28"/>
          <w:szCs w:val="28"/>
          <w:lang w:val="en-US" w:eastAsia="zh-CN"/>
        </w:rPr>
        <w:t>权利性质为出让</w:t>
      </w:r>
      <w:r>
        <w:rPr>
          <w:rFonts w:hint="eastAsia" w:ascii="仿宋_GB2312" w:eastAsia="仿宋_GB2312"/>
          <w:caps/>
          <w:color w:val="000000"/>
          <w:sz w:val="28"/>
          <w:szCs w:val="28"/>
        </w:rPr>
        <w:t>，共用地面积为</w:t>
      </w:r>
      <w:r>
        <w:rPr>
          <w:rFonts w:hint="eastAsia" w:ascii="仿宋_GB2312" w:eastAsia="仿宋_GB2312"/>
          <w:caps/>
          <w:color w:val="000000"/>
          <w:sz w:val="28"/>
          <w:szCs w:val="28"/>
          <w:lang w:val="en-US" w:eastAsia="zh-CN"/>
        </w:rPr>
        <w:t>511.33</w:t>
      </w:r>
      <w:r>
        <w:rPr>
          <w:rFonts w:hint="eastAsia" w:ascii="仿宋_GB2312" w:eastAsia="仿宋_GB2312"/>
          <w:caps/>
          <w:color w:val="000000"/>
          <w:sz w:val="28"/>
          <w:szCs w:val="28"/>
        </w:rPr>
        <w:t>平方米</w:t>
      </w:r>
      <w:r>
        <w:rPr>
          <w:rFonts w:hint="eastAsia" w:ascii="仿宋_GB2312" w:eastAsia="仿宋_GB2312"/>
          <w:caps/>
          <w:color w:val="000000"/>
          <w:sz w:val="28"/>
          <w:szCs w:val="28"/>
          <w:lang w:eastAsia="zh-CN"/>
        </w:rPr>
        <w:t>，</w:t>
      </w:r>
      <w:r>
        <w:rPr>
          <w:rFonts w:hint="eastAsia" w:ascii="仿宋_GB2312" w:eastAsia="仿宋_GB2312"/>
          <w:caps/>
          <w:color w:val="000000"/>
          <w:sz w:val="28"/>
          <w:szCs w:val="28"/>
          <w:lang w:val="en-US" w:eastAsia="zh-CN"/>
        </w:rPr>
        <w:t>土地用途为城镇住宅用地</w:t>
      </w:r>
      <w:r>
        <w:rPr>
          <w:rFonts w:hint="eastAsia" w:ascii="仿宋_GB2312" w:eastAsia="仿宋_GB2312"/>
          <w:color w:val="000000"/>
          <w:sz w:val="28"/>
          <w:szCs w:val="28"/>
          <w:highlight w:val="none"/>
          <w:lang w:val="en-US" w:eastAsia="zh-CN"/>
        </w:rPr>
        <w:t>，已征收国有土地出让金，土地使用期限为50年，自2012年11月28日起计，终止日期为2062年11月27日。</w:t>
      </w:r>
    </w:p>
    <w:tbl>
      <w:tblPr>
        <w:tblStyle w:val="40"/>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6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29" w:type="dxa"/>
            <w:shd w:val="clear" w:color="000000" w:fill="D8D8D8"/>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四至：</w:t>
            </w:r>
          </w:p>
        </w:tc>
        <w:tc>
          <w:tcPr>
            <w:tcW w:w="6874" w:type="dxa"/>
            <w:vAlign w:val="center"/>
          </w:tcPr>
          <w:p>
            <w:pPr>
              <w:widowControl/>
              <w:ind w:firstLine="480" w:firstLineChars="200"/>
              <w:jc w:val="left"/>
              <w:rPr>
                <w:rFonts w:ascii="仿宋_GB2312" w:eastAsia="仿宋_GB2312"/>
                <w:caps/>
                <w:color w:val="000000"/>
                <w:sz w:val="24"/>
                <w:szCs w:val="24"/>
              </w:rPr>
            </w:pPr>
            <w:r>
              <w:rPr>
                <w:rFonts w:hint="eastAsia" w:ascii="仿宋_GB2312" w:eastAsia="仿宋_GB2312"/>
                <w:caps/>
                <w:color w:val="000000"/>
                <w:sz w:val="24"/>
                <w:szCs w:val="24"/>
              </w:rPr>
              <w:t>估价对象所在</w:t>
            </w:r>
            <w:r>
              <w:rPr>
                <w:rFonts w:hint="eastAsia" w:ascii="仿宋_GB2312" w:eastAsia="仿宋_GB2312"/>
                <w:caps/>
                <w:color w:val="000000"/>
                <w:sz w:val="24"/>
                <w:szCs w:val="24"/>
                <w:lang w:val="en-US" w:eastAsia="zh-CN"/>
              </w:rPr>
              <w:t>小区</w:t>
            </w:r>
            <w:r>
              <w:rPr>
                <w:rFonts w:hint="eastAsia" w:ascii="仿宋_GB2312" w:eastAsia="仿宋_GB2312"/>
                <w:caps/>
                <w:color w:val="000000"/>
                <w:sz w:val="24"/>
                <w:szCs w:val="24"/>
              </w:rPr>
              <w:t>四至为</w:t>
            </w:r>
            <w:r>
              <w:rPr>
                <w:rFonts w:hint="eastAsia" w:ascii="仿宋_GB2312" w:eastAsia="仿宋_GB2312"/>
                <w:caps/>
                <w:color w:val="000000"/>
                <w:sz w:val="24"/>
                <w:szCs w:val="24"/>
                <w:lang w:eastAsia="zh-CN"/>
              </w:rPr>
              <w:t>东邻新沙大道北、南至新绣南路、西至茅山大道、北至新绣北路</w:t>
            </w:r>
            <w:r>
              <w:rPr>
                <w:rFonts w:hint="eastAsia" w:ascii="仿宋_GB2312" w:eastAsia="仿宋_GB2312"/>
                <w:cap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829" w:type="dxa"/>
            <w:shd w:val="clear" w:color="000000" w:fill="D8D8D8"/>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土地使用期限：</w:t>
            </w:r>
          </w:p>
        </w:tc>
        <w:tc>
          <w:tcPr>
            <w:tcW w:w="6874" w:type="dxa"/>
            <w:vAlign w:val="center"/>
          </w:tcPr>
          <w:p>
            <w:pPr>
              <w:widowControl/>
              <w:ind w:firstLine="480" w:firstLineChars="200"/>
              <w:jc w:val="left"/>
              <w:rPr>
                <w:rFonts w:ascii="仿宋_GB2312" w:eastAsia="仿宋_GB2312"/>
                <w:caps/>
                <w:color w:val="000000"/>
                <w:sz w:val="24"/>
                <w:szCs w:val="24"/>
              </w:rPr>
            </w:pPr>
            <w:r>
              <w:rPr>
                <w:rFonts w:hint="eastAsia" w:ascii="仿宋_GB2312" w:eastAsia="仿宋_GB2312"/>
                <w:caps/>
                <w:color w:val="000000"/>
                <w:sz w:val="24"/>
                <w:szCs w:val="24"/>
                <w:highlight w:val="none"/>
                <w:lang w:eastAsia="zh-CN"/>
              </w:rPr>
              <w:t>土地使用年限50年，</w:t>
            </w:r>
            <w:r>
              <w:rPr>
                <w:rFonts w:hint="eastAsia" w:ascii="仿宋_GB2312" w:eastAsia="仿宋_GB2312"/>
                <w:caps/>
                <w:color w:val="000000"/>
                <w:sz w:val="24"/>
                <w:szCs w:val="24"/>
                <w:highlight w:val="none"/>
                <w:lang w:val="en-US" w:eastAsia="zh-CN"/>
              </w:rPr>
              <w:t>自2012年11月28日起计</w:t>
            </w:r>
            <w:r>
              <w:rPr>
                <w:rFonts w:hint="eastAsia" w:ascii="仿宋_GB2312" w:eastAsia="仿宋_GB2312"/>
                <w:caps/>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9" w:type="dxa"/>
            <w:shd w:val="clear" w:color="000000" w:fill="D8D8D8"/>
            <w:vAlign w:val="center"/>
          </w:tcPr>
          <w:p>
            <w:pPr>
              <w:widowControl/>
              <w:spacing w:line="240" w:lineRule="exact"/>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形状</w:t>
            </w:r>
          </w:p>
        </w:tc>
        <w:tc>
          <w:tcPr>
            <w:tcW w:w="6874" w:type="dxa"/>
            <w:vAlign w:val="center"/>
          </w:tcPr>
          <w:p>
            <w:pPr>
              <w:widowControl/>
              <w:ind w:firstLine="480" w:firstLineChars="200"/>
              <w:jc w:val="left"/>
              <w:rPr>
                <w:rFonts w:ascii="仿宋_GB2312" w:eastAsia="仿宋_GB2312"/>
                <w:caps/>
                <w:color w:val="000000"/>
                <w:sz w:val="24"/>
                <w:szCs w:val="24"/>
              </w:rPr>
            </w:pPr>
            <w:r>
              <w:rPr>
                <w:rFonts w:hint="eastAsia" w:ascii="仿宋_GB2312" w:eastAsia="仿宋_GB2312"/>
                <w:caps/>
                <w:color w:val="000000"/>
                <w:sz w:val="24"/>
                <w:szCs w:val="24"/>
              </w:rPr>
              <w:t>土地形状基本规则。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29" w:type="dxa"/>
            <w:shd w:val="clear" w:color="000000" w:fill="D8D8D8"/>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开发程度：</w:t>
            </w:r>
          </w:p>
        </w:tc>
        <w:tc>
          <w:tcPr>
            <w:tcW w:w="6874" w:type="dxa"/>
            <w:vAlign w:val="center"/>
          </w:tcPr>
          <w:p>
            <w:pPr>
              <w:widowControl/>
              <w:ind w:firstLine="480" w:firstLineChars="200"/>
              <w:jc w:val="left"/>
              <w:rPr>
                <w:rFonts w:ascii="仿宋_GB2312" w:hAnsi="宋体" w:eastAsia="仿宋_GB2312" w:cs="宋体"/>
                <w:color w:val="000000"/>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五</w:t>
            </w:r>
            <w:r>
              <w:rPr>
                <w:rFonts w:hint="eastAsia" w:ascii="仿宋_GB2312" w:hAnsi="仿宋_GB2312" w:eastAsia="仿宋_GB2312" w:cs="仿宋_GB2312"/>
                <w:kern w:val="0"/>
                <w:sz w:val="24"/>
                <w:szCs w:val="24"/>
              </w:rPr>
              <w:t>通一平”（宗地红线外通路、通电、给水、排水、通讯），宗地内建有估价对象所在建筑物等。</w:t>
            </w:r>
          </w:p>
        </w:tc>
      </w:tr>
    </w:tbl>
    <w:p>
      <w:pPr>
        <w:spacing w:line="360" w:lineRule="auto"/>
        <w:ind w:firstLine="560" w:firstLineChars="200"/>
        <w:rPr>
          <w:rFonts w:ascii="仿宋_GB2312" w:eastAsia="仿宋_GB2312"/>
          <w:caps/>
          <w:color w:val="000000"/>
          <w:sz w:val="28"/>
          <w:szCs w:val="28"/>
        </w:rPr>
      </w:pPr>
      <w:r>
        <w:rPr>
          <w:rFonts w:hint="eastAsia" w:ascii="仿宋_GB2312" w:eastAsia="仿宋_GB2312"/>
          <w:caps/>
          <w:color w:val="000000"/>
          <w:sz w:val="28"/>
          <w:szCs w:val="28"/>
        </w:rPr>
        <w:t>4、建筑物基本情况</w:t>
      </w:r>
    </w:p>
    <w:p>
      <w:pPr>
        <w:spacing w:line="360" w:lineRule="auto"/>
        <w:ind w:firstLine="560" w:firstLineChars="200"/>
        <w:rPr>
          <w:rFonts w:hint="eastAsia" w:ascii="仿宋_GB2312" w:eastAsia="仿宋_GB2312"/>
          <w:caps/>
          <w:color w:val="000000"/>
          <w:sz w:val="28"/>
          <w:szCs w:val="28"/>
          <w:lang w:val="en-US" w:eastAsia="zh-CN"/>
        </w:rPr>
      </w:pPr>
      <w:r>
        <w:rPr>
          <w:rFonts w:hint="eastAsia" w:ascii="仿宋_GB2312" w:eastAsia="仿宋_GB2312"/>
          <w:caps/>
          <w:color w:val="000000"/>
          <w:sz w:val="28"/>
          <w:szCs w:val="28"/>
        </w:rPr>
        <w:t>根据估价委托人提供的</w:t>
      </w:r>
      <w:r>
        <w:rPr>
          <w:rFonts w:hint="eastAsia" w:ascii="仿宋_GB2312" w:eastAsia="仿宋_GB2312"/>
          <w:caps/>
          <w:color w:val="000000"/>
          <w:sz w:val="28"/>
          <w:szCs w:val="22"/>
          <w:lang w:eastAsia="zh-CN"/>
        </w:rPr>
        <w:t>《广州市不动产登记查册表》（不动产登记字号：19登记12528222）</w:t>
      </w:r>
      <w:r>
        <w:rPr>
          <w:rFonts w:hint="eastAsia" w:ascii="仿宋_GB2312" w:eastAsia="仿宋_GB2312"/>
          <w:caps/>
          <w:color w:val="000000"/>
          <w:sz w:val="28"/>
          <w:szCs w:val="22"/>
        </w:rPr>
        <w:t>资料复印件</w:t>
      </w:r>
      <w:r>
        <w:rPr>
          <w:rFonts w:hint="eastAsia" w:ascii="仿宋_GB2312" w:eastAsia="仿宋_GB2312"/>
          <w:caps/>
          <w:color w:val="000000"/>
          <w:sz w:val="28"/>
          <w:szCs w:val="28"/>
        </w:rPr>
        <w:t>及评估专业人员实地查勘，建筑物基本情况如下：</w:t>
      </w:r>
    </w:p>
    <w:tbl>
      <w:tblPr>
        <w:tblStyle w:val="40"/>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7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69" w:type="dxa"/>
            <w:shd w:val="clear" w:color="000000" w:fill="D8D8D8"/>
            <w:vAlign w:val="center"/>
          </w:tcPr>
          <w:p>
            <w:pPr>
              <w:widowControl/>
              <w:spacing w:beforeLines="10" w:afterLines="1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建成时间：</w:t>
            </w:r>
          </w:p>
        </w:tc>
        <w:tc>
          <w:tcPr>
            <w:tcW w:w="7354" w:type="dxa"/>
            <w:vAlign w:val="center"/>
          </w:tcPr>
          <w:p>
            <w:pPr>
              <w:pStyle w:val="14"/>
              <w:ind w:firstLine="480" w:firstLineChars="2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建成时间</w:t>
            </w:r>
            <w:r>
              <w:rPr>
                <w:rFonts w:hint="eastAsia" w:ascii="仿宋_GB2312" w:hAnsi="宋体" w:eastAsia="仿宋_GB2312" w:cs="宋体"/>
                <w:color w:val="000000"/>
                <w:kern w:val="0"/>
                <w:sz w:val="24"/>
                <w:szCs w:val="24"/>
                <w:lang w:val="en-US" w:eastAsia="zh-CN"/>
              </w:rPr>
              <w:t>约为2015年</w:t>
            </w:r>
            <w:r>
              <w:rPr>
                <w:rFonts w:hint="eastAsia" w:ascii="仿宋_GB2312" w:hAnsi="宋体" w:eastAsia="仿宋_GB2312" w:cs="宋体"/>
                <w:color w:val="000000"/>
                <w:kern w:val="0"/>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69" w:type="dxa"/>
            <w:shd w:val="clear" w:color="000000" w:fill="D8D8D8"/>
            <w:vAlign w:val="center"/>
          </w:tcPr>
          <w:p>
            <w:pPr>
              <w:widowControl/>
              <w:spacing w:beforeLines="10" w:afterLines="1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建筑结构：</w:t>
            </w:r>
          </w:p>
        </w:tc>
        <w:tc>
          <w:tcPr>
            <w:tcW w:w="7354" w:type="dxa"/>
            <w:vAlign w:val="center"/>
          </w:tcPr>
          <w:p>
            <w:pPr>
              <w:widowControl/>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估价对象所在建筑为</w:t>
            </w:r>
            <w:r>
              <w:rPr>
                <w:rFonts w:hint="eastAsia" w:ascii="仿宋_GB2312" w:hAnsi="宋体" w:eastAsia="仿宋_GB2312" w:cs="宋体"/>
                <w:color w:val="000000"/>
                <w:kern w:val="0"/>
                <w:sz w:val="24"/>
                <w:szCs w:val="24"/>
              </w:rPr>
              <w:t>钢筋混凝土结构</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369" w:type="dxa"/>
            <w:shd w:val="clear" w:color="000000" w:fill="D8D8D8"/>
            <w:vAlign w:val="center"/>
          </w:tcPr>
          <w:p>
            <w:pPr>
              <w:widowControl/>
              <w:spacing w:beforeLines="10" w:afterLines="1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设施设备：</w:t>
            </w:r>
          </w:p>
        </w:tc>
        <w:tc>
          <w:tcPr>
            <w:tcW w:w="7354" w:type="dxa"/>
            <w:vAlign w:val="center"/>
          </w:tcPr>
          <w:p>
            <w:pPr>
              <w:widowControl/>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估价对象</w:t>
            </w:r>
            <w:r>
              <w:rPr>
                <w:rFonts w:hint="eastAsia" w:ascii="仿宋_GB2312" w:hAnsi="宋体" w:eastAsia="仿宋_GB2312" w:cs="宋体"/>
                <w:color w:val="000000"/>
                <w:kern w:val="0"/>
                <w:sz w:val="24"/>
                <w:szCs w:val="24"/>
                <w:lang w:val="en-US" w:eastAsia="zh-CN"/>
              </w:rPr>
              <w:t>所在建筑</w:t>
            </w:r>
            <w:r>
              <w:rPr>
                <w:rFonts w:hint="eastAsia" w:ascii="仿宋_GB2312" w:hAnsi="宋体" w:eastAsia="仿宋_GB2312" w:cs="宋体"/>
                <w:color w:val="000000"/>
                <w:kern w:val="0"/>
                <w:sz w:val="24"/>
                <w:szCs w:val="24"/>
                <w:lang w:eastAsia="zh-CN"/>
              </w:rPr>
              <w:t>电梯、水电、消防等设施设备齐全</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9" w:type="dxa"/>
            <w:shd w:val="clear" w:color="000000" w:fill="D8D8D8"/>
            <w:vAlign w:val="center"/>
          </w:tcPr>
          <w:p>
            <w:pPr>
              <w:widowControl/>
              <w:spacing w:beforeLines="10" w:afterLines="1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装饰装修：</w:t>
            </w:r>
          </w:p>
        </w:tc>
        <w:tc>
          <w:tcPr>
            <w:tcW w:w="7354" w:type="dxa"/>
            <w:vAlign w:val="center"/>
          </w:tcPr>
          <w:p>
            <w:pPr>
              <w:widowControl/>
              <w:spacing w:beforeLines="10" w:afterLines="10"/>
              <w:ind w:firstLine="480" w:firstLineChars="200"/>
              <w:rPr>
                <w:rFonts w:hint="default" w:ascii="仿宋_GB2312" w:hAnsi="宋体" w:eastAsia="仿宋_GB2312" w:cs="宋体"/>
                <w:color w:val="000000"/>
                <w:kern w:val="0"/>
                <w:sz w:val="24"/>
                <w:szCs w:val="24"/>
                <w:lang w:val="en-US"/>
              </w:rPr>
            </w:pPr>
            <w:r>
              <w:rPr>
                <w:rFonts w:hint="eastAsia" w:ascii="仿宋_GB2312" w:hAnsi="宋体" w:eastAsia="仿宋_GB2312" w:cs="宋体"/>
                <w:color w:val="000000"/>
                <w:kern w:val="0"/>
                <w:sz w:val="24"/>
                <w:szCs w:val="24"/>
                <w:lang w:eastAsia="zh-CN"/>
              </w:rPr>
              <w:t>估价对象所在地下车库地面</w:t>
            </w:r>
            <w:r>
              <w:rPr>
                <w:rFonts w:hint="eastAsia" w:ascii="仿宋_GB2312" w:hAnsi="宋体" w:eastAsia="仿宋_GB2312" w:cs="宋体"/>
                <w:color w:val="000000"/>
                <w:kern w:val="0"/>
                <w:sz w:val="24"/>
                <w:szCs w:val="24"/>
                <w:lang w:val="en-US" w:eastAsia="zh-CN"/>
              </w:rPr>
              <w:t>为水泥地</w:t>
            </w:r>
            <w:r>
              <w:rPr>
                <w:rFonts w:hint="eastAsia" w:ascii="仿宋_GB2312" w:hAnsi="宋体" w:eastAsia="仿宋_GB2312" w:cs="宋体"/>
                <w:color w:val="000000"/>
                <w:kern w:val="0"/>
                <w:sz w:val="24"/>
                <w:szCs w:val="24"/>
                <w:lang w:eastAsia="zh-CN"/>
              </w:rPr>
              <w:t>，立柱刷</w:t>
            </w:r>
            <w:r>
              <w:rPr>
                <w:rFonts w:hint="eastAsia" w:ascii="仿宋_GB2312" w:hAnsi="宋体" w:eastAsia="仿宋_GB2312" w:cs="宋体"/>
                <w:color w:val="000000"/>
                <w:kern w:val="0"/>
                <w:sz w:val="24"/>
                <w:szCs w:val="24"/>
                <w:lang w:val="en-US" w:eastAsia="zh-CN"/>
              </w:rPr>
              <w:t>乳胶漆</w:t>
            </w:r>
            <w:r>
              <w:rPr>
                <w:rFonts w:hint="eastAsia" w:ascii="仿宋_GB2312" w:hAnsi="宋体" w:eastAsia="仿宋_GB2312" w:cs="宋体"/>
                <w:color w:val="000000"/>
                <w:kern w:val="0"/>
                <w:sz w:val="24"/>
                <w:szCs w:val="24"/>
                <w:lang w:eastAsia="zh-CN"/>
              </w:rPr>
              <w:t>，天花刷乳胶漆，安装消防喷淋系统及通风系统</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69" w:type="dxa"/>
            <w:shd w:val="clear" w:color="000000" w:fill="D8D8D8"/>
            <w:vAlign w:val="center"/>
          </w:tcPr>
          <w:p>
            <w:pPr>
              <w:widowControl/>
              <w:spacing w:beforeLines="10" w:afterLines="1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维护状况：</w:t>
            </w:r>
          </w:p>
        </w:tc>
        <w:tc>
          <w:tcPr>
            <w:tcW w:w="7354" w:type="dxa"/>
            <w:vAlign w:val="center"/>
          </w:tcPr>
          <w:p>
            <w:pPr>
              <w:widowControl/>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维护状况较好。</w:t>
            </w:r>
          </w:p>
        </w:tc>
      </w:tr>
    </w:tbl>
    <w:p>
      <w:pPr>
        <w:pStyle w:val="4"/>
        <w:spacing w:before="0" w:after="0" w:line="360" w:lineRule="auto"/>
        <w:ind w:firstLine="560" w:firstLineChars="200"/>
        <w:jc w:val="both"/>
        <w:rPr>
          <w:rFonts w:ascii="仿宋_GB2312" w:eastAsia="仿宋_GB2312"/>
          <w:caps/>
          <w:color w:val="000000"/>
          <w:spacing w:val="0"/>
          <w:sz w:val="28"/>
          <w:szCs w:val="28"/>
        </w:rPr>
      </w:pPr>
      <w:bookmarkStart w:id="52" w:name="_Toc21966"/>
      <w:bookmarkStart w:id="53" w:name="_Toc476642220"/>
      <w:bookmarkStart w:id="54" w:name="_Toc476642106"/>
      <w:bookmarkStart w:id="55" w:name="_Toc438048742"/>
      <w:r>
        <w:rPr>
          <w:rFonts w:hint="eastAsia" w:ascii="仿宋_GB2312" w:eastAsia="仿宋_GB2312"/>
          <w:caps/>
          <w:color w:val="000000"/>
          <w:spacing w:val="0"/>
          <w:sz w:val="28"/>
          <w:szCs w:val="28"/>
        </w:rPr>
        <w:t>五、价值时点</w:t>
      </w:r>
      <w:bookmarkEnd w:id="52"/>
      <w:bookmarkEnd w:id="53"/>
      <w:bookmarkEnd w:id="54"/>
      <w:bookmarkEnd w:id="55"/>
    </w:p>
    <w:p>
      <w:pPr>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lang w:eastAsia="zh-CN"/>
        </w:rPr>
        <w:t>二О二二年二月二十四日</w:t>
      </w:r>
      <w:r>
        <w:rPr>
          <w:rFonts w:hint="eastAsia" w:ascii="仿宋_GB2312" w:eastAsia="仿宋_GB2312"/>
          <w:caps/>
          <w:color w:val="000000"/>
          <w:sz w:val="28"/>
        </w:rPr>
        <w:t>（</w:t>
      </w:r>
      <w:r>
        <w:rPr>
          <w:rFonts w:hint="eastAsia" w:ascii="仿宋_GB2312" w:eastAsia="仿宋_GB2312"/>
          <w:caps/>
          <w:color w:val="000000"/>
          <w:sz w:val="28"/>
          <w:lang w:eastAsia="zh-CN"/>
        </w:rPr>
        <w:t>根据本次评估目的</w:t>
      </w:r>
      <w:r>
        <w:rPr>
          <w:rFonts w:hint="eastAsia" w:ascii="仿宋_GB2312" w:eastAsia="仿宋_GB2312"/>
          <w:caps/>
          <w:color w:val="000000"/>
          <w:sz w:val="28"/>
        </w:rPr>
        <w:t>，</w:t>
      </w:r>
      <w:r>
        <w:rPr>
          <w:rFonts w:hint="eastAsia" w:ascii="仿宋_GB2312" w:eastAsia="仿宋_GB2312"/>
          <w:caps/>
          <w:color w:val="000000"/>
          <w:sz w:val="28"/>
          <w:lang w:eastAsia="zh-CN"/>
        </w:rPr>
        <w:t>以</w:t>
      </w:r>
      <w:r>
        <w:rPr>
          <w:rFonts w:hint="eastAsia" w:ascii="仿宋_GB2312" w:eastAsia="仿宋_GB2312"/>
          <w:caps/>
          <w:color w:val="000000"/>
          <w:sz w:val="28"/>
        </w:rPr>
        <w:t>实地查勘之日为价值时点）。</w:t>
      </w:r>
    </w:p>
    <w:p>
      <w:pPr>
        <w:pStyle w:val="4"/>
        <w:spacing w:before="0" w:after="0" w:line="360" w:lineRule="auto"/>
        <w:ind w:firstLine="560" w:firstLineChars="200"/>
        <w:jc w:val="both"/>
        <w:rPr>
          <w:rFonts w:ascii="仿宋_GB2312" w:eastAsia="仿宋_GB2312"/>
          <w:caps/>
          <w:color w:val="000000"/>
          <w:spacing w:val="0"/>
          <w:sz w:val="28"/>
          <w:szCs w:val="28"/>
        </w:rPr>
      </w:pPr>
      <w:bookmarkStart w:id="56" w:name="_Toc438048743"/>
      <w:bookmarkStart w:id="57" w:name="_Toc476642107"/>
      <w:bookmarkStart w:id="58" w:name="_Toc476642221"/>
      <w:bookmarkStart w:id="59" w:name="_Toc3627"/>
      <w:r>
        <w:rPr>
          <w:rFonts w:hint="eastAsia" w:ascii="仿宋_GB2312" w:eastAsia="仿宋_GB2312"/>
          <w:caps/>
          <w:color w:val="000000"/>
          <w:spacing w:val="0"/>
          <w:sz w:val="28"/>
          <w:szCs w:val="28"/>
        </w:rPr>
        <w:t>六、价值类型</w:t>
      </w:r>
      <w:bookmarkEnd w:id="56"/>
      <w:bookmarkEnd w:id="57"/>
      <w:bookmarkEnd w:id="58"/>
      <w:bookmarkEnd w:id="59"/>
    </w:p>
    <w:p>
      <w:pPr>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本估价报告的估价结果是指估价对象在规划用途并正常使用的条件下，于价值时点</w:t>
      </w:r>
      <w:r>
        <w:rPr>
          <w:rFonts w:hint="eastAsia" w:ascii="仿宋_GB2312" w:eastAsia="仿宋_GB2312"/>
          <w:caps/>
          <w:color w:val="000000"/>
          <w:sz w:val="28"/>
          <w:lang w:eastAsia="zh-CN"/>
        </w:rPr>
        <w:t>2022年2月24日</w:t>
      </w:r>
      <w:r>
        <w:rPr>
          <w:rFonts w:hint="eastAsia" w:ascii="仿宋_GB2312" w:eastAsia="仿宋_GB2312"/>
          <w:caps/>
          <w:color w:val="000000"/>
          <w:sz w:val="28"/>
        </w:rPr>
        <w:t>的房地产市场价值。</w:t>
      </w:r>
    </w:p>
    <w:p>
      <w:pPr>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1、市场价值是指估价对象经适当营销后，由熟悉情况，谨慎行事且不受强迫的交易双方，以公平交易方式在价值时点自愿进行交易的金额。</w:t>
      </w:r>
    </w:p>
    <w:p>
      <w:pPr>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2、本估价报告价格货币单位均为人民币。</w:t>
      </w:r>
    </w:p>
    <w:p>
      <w:pPr>
        <w:pStyle w:val="4"/>
        <w:spacing w:before="0" w:after="0" w:line="360" w:lineRule="auto"/>
        <w:ind w:firstLine="560" w:firstLineChars="200"/>
        <w:jc w:val="both"/>
        <w:rPr>
          <w:rFonts w:ascii="仿宋_GB2312" w:eastAsia="仿宋_GB2312"/>
          <w:caps/>
          <w:color w:val="000000"/>
          <w:spacing w:val="0"/>
          <w:sz w:val="28"/>
          <w:szCs w:val="28"/>
        </w:rPr>
      </w:pPr>
      <w:bookmarkStart w:id="60" w:name="_Toc476642222"/>
      <w:bookmarkStart w:id="61" w:name="_Toc1508"/>
      <w:bookmarkStart w:id="62" w:name="_Toc476642108"/>
      <w:bookmarkStart w:id="63" w:name="_Toc438048744"/>
      <w:r>
        <w:rPr>
          <w:rFonts w:hint="eastAsia" w:ascii="仿宋_GB2312" w:eastAsia="仿宋_GB2312"/>
          <w:caps/>
          <w:color w:val="000000"/>
          <w:spacing w:val="0"/>
          <w:sz w:val="28"/>
          <w:szCs w:val="28"/>
        </w:rPr>
        <w:t>七、估价原则</w:t>
      </w:r>
      <w:bookmarkEnd w:id="60"/>
      <w:bookmarkEnd w:id="61"/>
      <w:bookmarkEnd w:id="62"/>
      <w:bookmarkEnd w:id="63"/>
    </w:p>
    <w:p>
      <w:pPr>
        <w:pageBreakBefore w:val="0"/>
        <w:widowControl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本次估价遵循独立、客观、公正原则、合法原则、价值时点原则、替代原则、最高最佳利用原则等房地产估价原则。</w:t>
      </w:r>
    </w:p>
    <w:p>
      <w:pPr>
        <w:pageBreakBefore w:val="0"/>
        <w:widowControl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1、独立、客观、公正原则</w:t>
      </w:r>
    </w:p>
    <w:p>
      <w:pPr>
        <w:pageBreakBefore w:val="0"/>
        <w:widowControl w:val="0"/>
        <w:kinsoku/>
        <w:wordWrap/>
        <w:overflowPunct/>
        <w:topLinePunct w:val="0"/>
        <w:autoSpaceDE/>
        <w:autoSpaceDN/>
        <w:bidi w:val="0"/>
        <w:snapToGrid/>
        <w:spacing w:line="360" w:lineRule="auto"/>
        <w:ind w:firstLine="560" w:firstLineChars="200"/>
        <w:rPr>
          <w:rFonts w:hint="eastAsia" w:ascii="仿宋_GB2312" w:eastAsia="仿宋_GB2312"/>
          <w:caps/>
          <w:color w:val="000000"/>
          <w:sz w:val="28"/>
        </w:rPr>
      </w:pPr>
      <w:r>
        <w:rPr>
          <w:rFonts w:hint="eastAsia" w:ascii="仿宋_GB2312" w:eastAsia="仿宋_GB2312"/>
          <w:caps/>
          <w:color w:val="000000"/>
          <w:sz w:val="28"/>
        </w:rPr>
        <w:t>独立、客观、公正原则要求站在中立的立场上，实事求是、公平正直地评估出对各方估价</w:t>
      </w:r>
      <w:r>
        <w:rPr>
          <w:rFonts w:hint="eastAsia" w:ascii="仿宋_GB2312" w:eastAsia="仿宋_GB2312"/>
          <w:caps/>
          <w:color w:val="000000"/>
          <w:sz w:val="28"/>
          <w:lang w:eastAsia="zh-CN"/>
        </w:rPr>
        <w:t>利害</w:t>
      </w:r>
      <w:r>
        <w:rPr>
          <w:rFonts w:hint="eastAsia" w:ascii="仿宋_GB2312" w:eastAsia="仿宋_GB2312"/>
          <w:caps/>
          <w:color w:val="000000"/>
          <w:sz w:val="28"/>
        </w:rPr>
        <w:t>关系人均是公平合理的价值或价格，即要求评估价值对各方评估利害关系人均是公平合理。所谓“独立”，是要求评估师和评估机构与估价委托人及估价</w:t>
      </w:r>
      <w:r>
        <w:rPr>
          <w:rFonts w:hint="eastAsia" w:ascii="仿宋_GB2312" w:eastAsia="仿宋_GB2312"/>
          <w:caps/>
          <w:color w:val="000000"/>
          <w:sz w:val="28"/>
          <w:lang w:eastAsia="zh-CN"/>
        </w:rPr>
        <w:t>利害</w:t>
      </w:r>
      <w:r>
        <w:rPr>
          <w:rFonts w:hint="eastAsia" w:ascii="仿宋_GB2312" w:eastAsia="仿宋_GB2312"/>
          <w:caps/>
          <w:color w:val="000000"/>
          <w:sz w:val="28"/>
        </w:rPr>
        <w:t>人没有</w:t>
      </w:r>
      <w:r>
        <w:rPr>
          <w:rFonts w:hint="eastAsia" w:ascii="仿宋_GB2312" w:eastAsia="仿宋_GB2312"/>
          <w:caps/>
          <w:color w:val="000000"/>
          <w:sz w:val="28"/>
          <w:lang w:eastAsia="zh-CN"/>
        </w:rPr>
        <w:t>利害</w:t>
      </w:r>
      <w:r>
        <w:rPr>
          <w:rFonts w:hint="eastAsia" w:ascii="仿宋_GB2312" w:eastAsia="仿宋_GB2312"/>
          <w:caps/>
          <w:color w:val="000000"/>
          <w:sz w:val="28"/>
        </w:rPr>
        <w:t>关系，在估价中不受包括委托人在内的任何单位和个人的影响，应凭自己的专业知识、实践经验和职业道德进行评估。所谓“客观”，是要求估价师和估价机构在评估中不带自己的情感、好恶和偏见，应按照事物本来的面目、实事求是得进行估价。所谓“公正”，是要求估价师和估价机构在评估中不偏袒估价</w:t>
      </w:r>
      <w:r>
        <w:rPr>
          <w:rFonts w:hint="eastAsia" w:ascii="仿宋_GB2312" w:eastAsia="仿宋_GB2312"/>
          <w:caps/>
          <w:color w:val="000000"/>
          <w:sz w:val="28"/>
          <w:lang w:eastAsia="zh-CN"/>
        </w:rPr>
        <w:t>利害</w:t>
      </w:r>
      <w:r>
        <w:rPr>
          <w:rFonts w:hint="eastAsia" w:ascii="仿宋_GB2312" w:eastAsia="仿宋_GB2312"/>
          <w:caps/>
          <w:color w:val="000000"/>
          <w:sz w:val="28"/>
        </w:rPr>
        <w:t>关系人中的任何一方，应坚持原则、公平正直地进行估价。</w:t>
      </w:r>
    </w:p>
    <w:p>
      <w:pPr>
        <w:pageBreakBefore w:val="0"/>
        <w:widowControl w:val="0"/>
        <w:kinsoku/>
        <w:wordWrap/>
        <w:overflowPunct/>
        <w:topLinePunct w:val="0"/>
        <w:autoSpaceDE/>
        <w:autoSpaceDN/>
        <w:bidi w:val="0"/>
        <w:snapToGrid/>
        <w:spacing w:line="360" w:lineRule="auto"/>
        <w:ind w:firstLine="560" w:firstLineChars="200"/>
        <w:rPr>
          <w:rFonts w:hint="eastAsia" w:ascii="仿宋_GB2312" w:eastAsia="仿宋_GB2312"/>
          <w:caps/>
          <w:color w:val="000000"/>
          <w:sz w:val="28"/>
        </w:rPr>
      </w:pPr>
      <w:r>
        <w:rPr>
          <w:rFonts w:hint="eastAsia" w:ascii="仿宋_GB2312" w:eastAsia="仿宋_GB2312"/>
          <w:caps/>
          <w:color w:val="000000"/>
          <w:sz w:val="28"/>
        </w:rPr>
        <w:t>本次评估受</w:t>
      </w:r>
      <w:r>
        <w:rPr>
          <w:rFonts w:hint="eastAsia" w:ascii="仿宋_GB2312" w:eastAsia="仿宋_GB2312"/>
          <w:caps/>
          <w:color w:val="000000"/>
          <w:sz w:val="28"/>
          <w:lang w:val="en-US" w:eastAsia="zh-CN"/>
        </w:rPr>
        <w:t>广东省广州市中级</w:t>
      </w:r>
      <w:r>
        <w:rPr>
          <w:rFonts w:hint="eastAsia" w:ascii="仿宋_GB2312" w:eastAsia="仿宋_GB2312"/>
          <w:caps/>
          <w:color w:val="000000"/>
          <w:sz w:val="28"/>
          <w:lang w:eastAsia="zh-CN"/>
        </w:rPr>
        <w:t>人民法院</w:t>
      </w:r>
      <w:r>
        <w:rPr>
          <w:rFonts w:hint="eastAsia" w:ascii="仿宋_GB2312" w:eastAsia="仿宋_GB2312"/>
          <w:caps/>
          <w:color w:val="000000"/>
          <w:sz w:val="28"/>
        </w:rPr>
        <w:t>委托，对估价对象房地产市场价值进行估价，</w:t>
      </w:r>
      <w:r>
        <w:rPr>
          <w:rFonts w:hint="eastAsia" w:ascii="仿宋_GB2312" w:eastAsia="仿宋_GB2312"/>
          <w:caps/>
          <w:color w:val="000000"/>
          <w:sz w:val="28"/>
          <w:lang w:eastAsia="zh-CN"/>
        </w:rPr>
        <w:t>为人民法院确定财产处置参考价提供参考依据</w:t>
      </w:r>
      <w:r>
        <w:rPr>
          <w:rFonts w:hint="eastAsia" w:ascii="仿宋_GB2312" w:eastAsia="仿宋_GB2312"/>
          <w:caps/>
          <w:color w:val="000000"/>
          <w:sz w:val="28"/>
        </w:rPr>
        <w:t>。本次参与评估的注册房地产估价师与估价报告中的估价对象没有现实或潜在的利益，与估价委托人及估价利害关系人没有利害关系，在估价中不受包括委托人在内的任何单位和个人的影响，依据自己的专业知识、实践经验和职业道德进行评估，也对估价对象、估价委托人及估价利害关系人没有偏见，参与评估的注册房地产估价师和估价机构在评估中不偏袒估价</w:t>
      </w:r>
      <w:r>
        <w:rPr>
          <w:rFonts w:hint="eastAsia" w:ascii="仿宋_GB2312" w:eastAsia="仿宋_GB2312"/>
          <w:caps/>
          <w:color w:val="000000"/>
          <w:sz w:val="28"/>
          <w:lang w:eastAsia="zh-CN"/>
        </w:rPr>
        <w:t>利害</w:t>
      </w:r>
      <w:r>
        <w:rPr>
          <w:rFonts w:hint="eastAsia" w:ascii="仿宋_GB2312" w:eastAsia="仿宋_GB2312"/>
          <w:caps/>
          <w:color w:val="000000"/>
          <w:sz w:val="28"/>
        </w:rPr>
        <w:t>关系人中的任何一方，本次估价遵循了独立、客观、公正原则。</w:t>
      </w:r>
    </w:p>
    <w:p>
      <w:pPr>
        <w:pageBreakBefore w:val="0"/>
        <w:widowControl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2、合法原则</w:t>
      </w:r>
    </w:p>
    <w:p>
      <w:pPr>
        <w:pageBreakBefore w:val="0"/>
        <w:widowControl w:val="0"/>
        <w:kinsoku/>
        <w:wordWrap/>
        <w:overflowPunct/>
        <w:topLinePunct w:val="0"/>
        <w:autoSpaceDE/>
        <w:autoSpaceDN/>
        <w:bidi w:val="0"/>
        <w:snapToGrid/>
        <w:spacing w:line="360" w:lineRule="auto"/>
        <w:ind w:firstLine="560" w:firstLineChars="200"/>
        <w:rPr>
          <w:rFonts w:hint="eastAsia" w:ascii="仿宋_GB2312" w:eastAsia="仿宋_GB2312"/>
          <w:caps/>
          <w:color w:val="000000"/>
          <w:sz w:val="28"/>
        </w:rPr>
      </w:pPr>
      <w:r>
        <w:rPr>
          <w:rFonts w:hint="eastAsia" w:ascii="仿宋_GB2312" w:eastAsia="仿宋_GB2312"/>
          <w:caps/>
          <w:color w:val="000000"/>
          <w:sz w:val="28"/>
        </w:rPr>
        <w:t>合法原则要求评估价值是在依法判定的估价对象状况下的价值或价格。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规章和政策，以及估价对象的不动产登记簿（房屋登记簿、土地登记簿）、权属证书、有关批文和合同等（如规划意见书、建设用地使用权出让招标文件、建设用地使用权出让合同、房地产转让合同、房屋租赁合同等）。房地产之所以要遵循合法原则，是因为房地产状况不同，特别是实物状况、区位状况相同的房地产，如果权益状况不同，评估价值会有所不同。</w:t>
      </w:r>
    </w:p>
    <w:p>
      <w:pPr>
        <w:pageBreakBefore w:val="0"/>
        <w:widowControl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根据估价委托人提供的</w:t>
      </w:r>
      <w:r>
        <w:rPr>
          <w:rFonts w:hint="eastAsia" w:ascii="仿宋_GB2312" w:eastAsia="仿宋_GB2312"/>
          <w:caps/>
          <w:color w:val="000000"/>
          <w:sz w:val="28"/>
          <w:lang w:val="en-US" w:eastAsia="zh-CN"/>
        </w:rPr>
        <w:t>《广州市不动产登记查册表》（不动产登记字号：19登记12528222）资料复印件及</w:t>
      </w:r>
      <w:r>
        <w:rPr>
          <w:rFonts w:hint="eastAsia" w:ascii="仿宋_GB2312" w:eastAsia="仿宋_GB2312"/>
          <w:caps/>
          <w:color w:val="000000"/>
          <w:sz w:val="28"/>
        </w:rPr>
        <w:t>实际查勘情况确定，房屋用途及实际用途均为</w:t>
      </w:r>
      <w:r>
        <w:rPr>
          <w:rFonts w:hint="eastAsia" w:ascii="仿宋_GB2312" w:eastAsia="仿宋_GB2312"/>
          <w:caps/>
          <w:color w:val="000000"/>
          <w:sz w:val="28"/>
          <w:lang w:eastAsia="zh-CN"/>
        </w:rPr>
        <w:t>车位</w:t>
      </w:r>
      <w:r>
        <w:rPr>
          <w:rFonts w:hint="eastAsia" w:ascii="仿宋_GB2312" w:eastAsia="仿宋_GB2312"/>
          <w:caps/>
          <w:color w:val="000000"/>
          <w:sz w:val="28"/>
        </w:rPr>
        <w:t>，相关假设均为依法判定作出，故本次估价遵循了合法原则。</w:t>
      </w:r>
    </w:p>
    <w:p>
      <w:pPr>
        <w:pageBreakBefore w:val="0"/>
        <w:widowControl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3、价值时点原则</w:t>
      </w:r>
    </w:p>
    <w:p>
      <w:pPr>
        <w:pageBreakBefore w:val="0"/>
        <w:widowControl w:val="0"/>
        <w:kinsoku/>
        <w:wordWrap/>
        <w:overflowPunct/>
        <w:topLinePunct w:val="0"/>
        <w:autoSpaceDE/>
        <w:autoSpaceDN/>
        <w:bidi w:val="0"/>
        <w:snapToGrid/>
        <w:spacing w:line="360" w:lineRule="auto"/>
        <w:ind w:firstLine="560" w:firstLineChars="200"/>
      </w:pPr>
      <w:r>
        <w:rPr>
          <w:rFonts w:hint="eastAsia" w:ascii="仿宋_GB2312" w:eastAsia="仿宋_GB2312"/>
          <w:caps/>
          <w:color w:val="000000"/>
          <w:sz w:val="28"/>
        </w:rPr>
        <w:t>价值时点原则是指要求估价结果是在根据估价目的确定的某一特定时间的价值或价格的原则</w:t>
      </w:r>
      <w:r>
        <w:rPr>
          <w:rFonts w:hint="eastAsia" w:ascii="仿宋_GB2312" w:eastAsia="仿宋_GB2312"/>
          <w:color w:val="000000"/>
          <w:sz w:val="28"/>
          <w:szCs w:val="28"/>
        </w:rPr>
        <w:t>。</w:t>
      </w:r>
    </w:p>
    <w:p>
      <w:pPr>
        <w:pageBreakBefore w:val="0"/>
        <w:widowControl w:val="0"/>
        <w:kinsoku/>
        <w:wordWrap/>
        <w:overflowPunct/>
        <w:topLinePunct w:val="0"/>
        <w:autoSpaceDE/>
        <w:autoSpaceDN/>
        <w:bidi w:val="0"/>
        <w:snapToGrid/>
        <w:spacing w:line="360" w:lineRule="auto"/>
        <w:ind w:firstLine="560" w:firstLineChars="200"/>
      </w:pPr>
      <w:r>
        <w:rPr>
          <w:rFonts w:hint="eastAsia" w:ascii="仿宋_GB2312" w:eastAsia="仿宋_GB2312"/>
          <w:caps/>
          <w:color w:val="000000"/>
          <w:sz w:val="28"/>
        </w:rPr>
        <w:t>本次估价结果是估价对象在规划用途并正常使用的条件下，于价值时点</w:t>
      </w:r>
      <w:r>
        <w:rPr>
          <w:rFonts w:hint="eastAsia" w:ascii="仿宋_GB2312" w:eastAsia="仿宋_GB2312"/>
          <w:caps/>
          <w:color w:val="000000"/>
          <w:sz w:val="28"/>
          <w:lang w:eastAsia="zh-CN"/>
        </w:rPr>
        <w:t>2022年2月24日</w:t>
      </w:r>
      <w:r>
        <w:rPr>
          <w:rFonts w:hint="eastAsia" w:ascii="仿宋_GB2312" w:eastAsia="仿宋_GB2312"/>
          <w:caps/>
          <w:color w:val="000000"/>
          <w:sz w:val="28"/>
        </w:rPr>
        <w:t>的房地产市场价值</w:t>
      </w:r>
      <w:r>
        <w:rPr>
          <w:rFonts w:hint="eastAsia" w:ascii="仿宋_GB2312" w:hAnsi="Times New Roman" w:eastAsia="仿宋_GB2312"/>
          <w:caps/>
          <w:color w:val="000000"/>
          <w:sz w:val="28"/>
        </w:rPr>
        <w:t>，遵循了价值时点原则</w:t>
      </w:r>
      <w:r>
        <w:rPr>
          <w:rFonts w:hint="eastAsia" w:ascii="仿宋_GB2312" w:eastAsia="仿宋_GB2312"/>
          <w:caps/>
          <w:color w:val="000000"/>
          <w:sz w:val="28"/>
        </w:rPr>
        <w:t>。</w:t>
      </w:r>
    </w:p>
    <w:p>
      <w:pPr>
        <w:pageBreakBefore w:val="0"/>
        <w:widowControl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4、替代原则</w:t>
      </w:r>
    </w:p>
    <w:p>
      <w:pPr>
        <w:pageBreakBefore w:val="0"/>
        <w:widowControl w:val="0"/>
        <w:kinsoku/>
        <w:wordWrap/>
        <w:overflowPunct/>
        <w:topLinePunct w:val="0"/>
        <w:autoSpaceDE/>
        <w:autoSpaceDN/>
        <w:bidi w:val="0"/>
        <w:snapToGrid/>
        <w:spacing w:line="360" w:lineRule="auto"/>
        <w:ind w:firstLine="560" w:firstLineChars="200"/>
        <w:rPr>
          <w:rFonts w:ascii="仿宋_GB2312" w:eastAsia="仿宋_GB2312"/>
          <w:color w:val="000000"/>
          <w:sz w:val="28"/>
          <w:szCs w:val="28"/>
        </w:rPr>
      </w:pPr>
      <w:r>
        <w:rPr>
          <w:rFonts w:hint="eastAsia" w:ascii="仿宋_GB2312" w:eastAsia="仿宋_GB2312"/>
          <w:caps/>
          <w:color w:val="000000"/>
          <w:sz w:val="28"/>
        </w:rPr>
        <w:t>替代原则是指</w:t>
      </w:r>
      <w:r>
        <w:rPr>
          <w:rFonts w:hint="eastAsia" w:ascii="仿宋_GB2312" w:eastAsia="仿宋_GB2312"/>
          <w:color w:val="000000"/>
          <w:sz w:val="28"/>
          <w:szCs w:val="28"/>
        </w:rPr>
        <w:t>要求估价结果与估价对象的类似房地产在同等条件下的价值或价格偏差在合理范围内的原则。</w:t>
      </w:r>
    </w:p>
    <w:p>
      <w:pPr>
        <w:pageBreakBefore w:val="0"/>
        <w:widowControl w:val="0"/>
        <w:kinsoku/>
        <w:wordWrap/>
        <w:overflowPunct/>
        <w:topLinePunct w:val="0"/>
        <w:autoSpaceDE/>
        <w:autoSpaceDN/>
        <w:bidi w:val="0"/>
        <w:snapToGrid/>
        <w:spacing w:line="360" w:lineRule="auto"/>
        <w:ind w:firstLine="560" w:firstLineChars="200"/>
        <w:rPr>
          <w:rFonts w:ascii="仿宋_GB2312" w:eastAsia="仿宋_GB2312"/>
          <w:color w:val="000000"/>
          <w:sz w:val="28"/>
          <w:szCs w:val="28"/>
          <w:highlight w:val="none"/>
        </w:rPr>
      </w:pPr>
      <w:r>
        <w:rPr>
          <w:rFonts w:hint="eastAsia" w:ascii="仿宋_GB2312" w:hAnsi="Times New Roman" w:eastAsia="仿宋_GB2312" w:cs="Times New Roman"/>
          <w:caps/>
          <w:color w:val="000000"/>
          <w:sz w:val="28"/>
          <w:lang w:val="en-US" w:eastAsia="zh-CN"/>
        </w:rPr>
        <w:t>本次估价中，</w:t>
      </w:r>
      <w:r>
        <w:rPr>
          <w:rFonts w:hint="eastAsia" w:ascii="仿宋_GB2312" w:eastAsia="仿宋_GB2312"/>
          <w:sz w:val="28"/>
          <w:szCs w:val="28"/>
        </w:rPr>
        <w:t>比较法</w:t>
      </w:r>
      <w:r>
        <w:rPr>
          <w:rFonts w:hint="eastAsia" w:ascii="仿宋_GB2312" w:hAnsi="Times New Roman" w:eastAsia="仿宋_GB2312" w:cs="Times New Roman"/>
          <w:caps/>
          <w:color w:val="000000"/>
          <w:sz w:val="28"/>
        </w:rPr>
        <w:t>求取</w:t>
      </w:r>
      <w:r>
        <w:rPr>
          <w:rFonts w:hint="eastAsia" w:ascii="仿宋_GB2312" w:hAnsi="Times New Roman" w:eastAsia="仿宋_GB2312" w:cs="Times New Roman"/>
          <w:caps/>
          <w:color w:val="000000"/>
          <w:sz w:val="28"/>
          <w:lang w:eastAsia="zh-CN"/>
        </w:rPr>
        <w:t>估价对象市场价值</w:t>
      </w:r>
      <w:r>
        <w:rPr>
          <w:rFonts w:hint="eastAsia" w:ascii="仿宋_GB2312" w:eastAsia="仿宋_GB2312"/>
          <w:sz w:val="28"/>
          <w:szCs w:val="28"/>
          <w:lang w:eastAsia="zh-CN"/>
        </w:rPr>
        <w:t>、</w:t>
      </w:r>
      <w:r>
        <w:rPr>
          <w:rFonts w:hint="eastAsia" w:ascii="仿宋_GB2312" w:hAnsi="Times New Roman" w:eastAsia="仿宋_GB2312" w:cs="Times New Roman"/>
          <w:caps/>
          <w:color w:val="000000"/>
          <w:sz w:val="28"/>
          <w:lang w:val="en-US" w:eastAsia="zh-CN"/>
        </w:rPr>
        <w:t>收益法</w:t>
      </w:r>
      <w:r>
        <w:rPr>
          <w:rFonts w:hint="eastAsia" w:ascii="仿宋_GB2312" w:hAnsi="Times New Roman" w:eastAsia="仿宋_GB2312" w:cs="Times New Roman"/>
          <w:caps/>
          <w:color w:val="000000"/>
          <w:sz w:val="28"/>
        </w:rPr>
        <w:t>运用比较法求取不动产租</w:t>
      </w:r>
      <w:r>
        <w:rPr>
          <w:rFonts w:hint="eastAsia" w:ascii="仿宋_GB2312" w:hAnsi="Times New Roman" w:eastAsia="仿宋_GB2312" w:cs="Times New Roman"/>
          <w:caps/>
          <w:color w:val="000000"/>
          <w:sz w:val="28"/>
          <w:highlight w:val="none"/>
        </w:rPr>
        <w:t>金</w:t>
      </w:r>
      <w:r>
        <w:rPr>
          <w:rFonts w:hint="eastAsia" w:ascii="仿宋_GB2312" w:eastAsia="仿宋_GB2312"/>
          <w:sz w:val="28"/>
          <w:szCs w:val="28"/>
          <w:highlight w:val="none"/>
        </w:rPr>
        <w:t>，上述方法遵循了替代原则。</w:t>
      </w:r>
    </w:p>
    <w:p>
      <w:pPr>
        <w:pageBreakBefore w:val="0"/>
        <w:widowControl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5、最高最佳利用原则</w:t>
      </w:r>
    </w:p>
    <w:p>
      <w:pPr>
        <w:pageBreakBefore w:val="0"/>
        <w:widowControl w:val="0"/>
        <w:kinsoku/>
        <w:wordWrap/>
        <w:overflowPunct/>
        <w:topLinePunct w:val="0"/>
        <w:autoSpaceDE/>
        <w:autoSpaceDN/>
        <w:bidi w:val="0"/>
        <w:snapToGrid/>
        <w:spacing w:line="360" w:lineRule="auto"/>
        <w:ind w:firstLine="560" w:firstLineChars="200"/>
        <w:rPr>
          <w:rFonts w:ascii="仿宋_GB2312" w:eastAsia="仿宋_GB2312"/>
          <w:color w:val="000000"/>
          <w:sz w:val="28"/>
          <w:szCs w:val="28"/>
        </w:rPr>
      </w:pPr>
      <w:r>
        <w:rPr>
          <w:rFonts w:hint="eastAsia" w:ascii="仿宋_GB2312" w:eastAsia="仿宋_GB2312"/>
          <w:caps/>
          <w:color w:val="000000"/>
          <w:sz w:val="28"/>
        </w:rPr>
        <w:t>最高最佳利用原则是指</w:t>
      </w:r>
      <w:r>
        <w:rPr>
          <w:rFonts w:hint="eastAsia" w:ascii="仿宋_GB2312" w:eastAsia="仿宋_GB2312"/>
          <w:color w:val="000000"/>
          <w:sz w:val="28"/>
          <w:szCs w:val="28"/>
        </w:rPr>
        <w:t>要求估价结果是在估价对象最高最佳利用状况下的价值或价格的原则。所谓最高最佳利用是指房地产在法律上允许、技术上可能、财务上可行并使价值最大的合理、可能的利用，包括最佳的用途、规模、档次等。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_GB2312" w:eastAsia="仿宋_GB2312"/>
          <w:caps/>
          <w:color w:val="000000"/>
          <w:sz w:val="28"/>
        </w:rPr>
      </w:pPr>
      <w:r>
        <w:rPr>
          <w:rFonts w:hint="eastAsia" w:ascii="仿宋_GB2312" w:eastAsia="仿宋_GB2312"/>
          <w:sz w:val="28"/>
          <w:szCs w:val="28"/>
        </w:rPr>
        <w:t>估价对象位于</w:t>
      </w:r>
      <w:r>
        <w:rPr>
          <w:rFonts w:hint="eastAsia" w:ascii="仿宋_GB2312" w:eastAsia="仿宋_GB2312"/>
          <w:caps/>
          <w:color w:val="000000"/>
          <w:sz w:val="28"/>
          <w:szCs w:val="22"/>
          <w:lang w:eastAsia="zh-CN"/>
        </w:rPr>
        <w:t>广州市增城区新塘镇新绣南路45号</w:t>
      </w:r>
      <w:r>
        <w:rPr>
          <w:rFonts w:hint="eastAsia" w:ascii="仿宋_GB2312" w:eastAsia="仿宋_GB2312"/>
          <w:sz w:val="28"/>
          <w:szCs w:val="28"/>
        </w:rPr>
        <w:t>，区位繁华度</w:t>
      </w:r>
      <w:r>
        <w:rPr>
          <w:rFonts w:hint="eastAsia" w:ascii="仿宋_GB2312" w:eastAsia="仿宋_GB2312"/>
          <w:sz w:val="28"/>
          <w:szCs w:val="28"/>
          <w:lang w:val="en-US" w:eastAsia="zh-CN"/>
        </w:rPr>
        <w:t>较高</w:t>
      </w:r>
      <w:r>
        <w:rPr>
          <w:rFonts w:hint="eastAsia" w:ascii="仿宋_GB2312" w:eastAsia="仿宋_GB2312"/>
          <w:sz w:val="28"/>
          <w:szCs w:val="28"/>
        </w:rPr>
        <w:t>，</w:t>
      </w:r>
      <w:r>
        <w:rPr>
          <w:rFonts w:hint="eastAsia" w:ascii="仿宋_GB2312" w:eastAsia="仿宋_GB2312"/>
          <w:sz w:val="28"/>
          <w:szCs w:val="28"/>
          <w:lang w:eastAsia="zh-CN"/>
        </w:rPr>
        <w:t>公共配套设施完善度较</w:t>
      </w:r>
      <w:r>
        <w:rPr>
          <w:rFonts w:hint="eastAsia" w:ascii="仿宋_GB2312" w:eastAsia="仿宋_GB2312"/>
          <w:sz w:val="28"/>
          <w:szCs w:val="28"/>
          <w:lang w:val="en-US" w:eastAsia="zh-CN"/>
        </w:rPr>
        <w:t>高</w:t>
      </w:r>
      <w:r>
        <w:rPr>
          <w:rFonts w:hint="eastAsia" w:ascii="仿宋_GB2312" w:eastAsia="仿宋_GB2312"/>
          <w:sz w:val="28"/>
          <w:szCs w:val="28"/>
        </w:rPr>
        <w:t>，道路通达度</w:t>
      </w:r>
      <w:r>
        <w:rPr>
          <w:rFonts w:hint="eastAsia" w:ascii="仿宋_GB2312" w:eastAsia="仿宋_GB2312"/>
          <w:sz w:val="28"/>
          <w:szCs w:val="28"/>
          <w:lang w:val="en-US" w:eastAsia="zh-CN"/>
        </w:rPr>
        <w:t>较</w:t>
      </w:r>
      <w:r>
        <w:rPr>
          <w:rFonts w:hint="eastAsia" w:ascii="仿宋_GB2312" w:eastAsia="仿宋_GB2312"/>
          <w:sz w:val="28"/>
          <w:szCs w:val="28"/>
        </w:rPr>
        <w:t>高</w:t>
      </w:r>
      <w:r>
        <w:rPr>
          <w:rFonts w:hint="eastAsia" w:ascii="仿宋_GB2312" w:eastAsia="仿宋_GB2312"/>
          <w:sz w:val="28"/>
          <w:szCs w:val="28"/>
          <w:lang w:eastAsia="zh-CN"/>
        </w:rPr>
        <w:t>，</w:t>
      </w:r>
      <w:r>
        <w:rPr>
          <w:rFonts w:hint="eastAsia" w:ascii="仿宋_GB2312" w:eastAsia="仿宋_GB2312"/>
          <w:sz w:val="28"/>
          <w:szCs w:val="28"/>
        </w:rPr>
        <w:t>区位状况有利于其作为</w:t>
      </w:r>
      <w:r>
        <w:rPr>
          <w:rFonts w:hint="eastAsia" w:ascii="仿宋_GB2312" w:eastAsia="仿宋_GB2312"/>
          <w:sz w:val="28"/>
          <w:szCs w:val="28"/>
          <w:lang w:eastAsia="zh-CN"/>
        </w:rPr>
        <w:t>车位</w:t>
      </w:r>
      <w:r>
        <w:rPr>
          <w:rFonts w:hint="eastAsia" w:ascii="仿宋_GB2312" w:eastAsia="仿宋_GB2312"/>
          <w:sz w:val="28"/>
          <w:szCs w:val="28"/>
        </w:rPr>
        <w:t>使用。根据估价对象现状及估价委托人提供的资料，估价对象在满足合法原则的前提下，按</w:t>
      </w:r>
      <w:r>
        <w:rPr>
          <w:rFonts w:hint="eastAsia" w:ascii="仿宋_GB2312" w:eastAsia="仿宋_GB2312"/>
          <w:sz w:val="28"/>
          <w:szCs w:val="28"/>
          <w:lang w:eastAsia="zh-CN"/>
        </w:rPr>
        <w:t>规划</w:t>
      </w:r>
      <w:r>
        <w:rPr>
          <w:rFonts w:hint="eastAsia" w:ascii="仿宋_GB2312" w:eastAsia="仿宋_GB2312"/>
          <w:sz w:val="28"/>
          <w:szCs w:val="28"/>
        </w:rPr>
        <w:t>用途为最高最佳使用。估价专业人员在此前提下进行评估测算，遵循了最高最佳利用原则</w:t>
      </w:r>
      <w:r>
        <w:rPr>
          <w:rFonts w:hint="eastAsia" w:ascii="仿宋_GB2312" w:eastAsia="仿宋_GB2312"/>
          <w:color w:val="000000"/>
          <w:sz w:val="28"/>
          <w:szCs w:val="28"/>
        </w:rPr>
        <w:t>。</w:t>
      </w:r>
    </w:p>
    <w:p>
      <w:pPr>
        <w:pStyle w:val="4"/>
        <w:pageBreakBefore w:val="0"/>
        <w:widowControl w:val="0"/>
        <w:kinsoku/>
        <w:wordWrap/>
        <w:overflowPunct/>
        <w:topLinePunct w:val="0"/>
        <w:autoSpaceDE/>
        <w:autoSpaceDN/>
        <w:bidi w:val="0"/>
        <w:snapToGrid/>
        <w:spacing w:before="0" w:after="0" w:line="360" w:lineRule="auto"/>
        <w:ind w:firstLine="560" w:firstLineChars="200"/>
        <w:jc w:val="both"/>
        <w:rPr>
          <w:rFonts w:ascii="仿宋_GB2312" w:eastAsia="仿宋_GB2312"/>
          <w:caps/>
          <w:color w:val="000000"/>
          <w:spacing w:val="0"/>
          <w:sz w:val="28"/>
          <w:szCs w:val="28"/>
        </w:rPr>
      </w:pPr>
      <w:bookmarkStart w:id="64" w:name="_Toc9726"/>
      <w:bookmarkStart w:id="65" w:name="_Toc476642224"/>
      <w:bookmarkStart w:id="66" w:name="_Toc476642110"/>
      <w:bookmarkStart w:id="67" w:name="_Toc438048746"/>
      <w:r>
        <w:rPr>
          <w:rFonts w:hint="eastAsia" w:ascii="仿宋_GB2312" w:eastAsia="仿宋_GB2312"/>
          <w:caps/>
          <w:color w:val="000000"/>
          <w:spacing w:val="0"/>
          <w:sz w:val="28"/>
          <w:szCs w:val="28"/>
        </w:rPr>
        <w:t>八、估价依据</w:t>
      </w:r>
      <w:bookmarkEnd w:id="64"/>
    </w:p>
    <w:p>
      <w:pPr>
        <w:pageBreakBefore w:val="0"/>
        <w:widowControl w:val="0"/>
        <w:kinsoku/>
        <w:wordWrap/>
        <w:overflowPunct/>
        <w:topLinePunct w:val="0"/>
        <w:autoSpaceDE/>
        <w:autoSpaceDN/>
        <w:bidi w:val="0"/>
        <w:snapToGrid/>
        <w:spacing w:line="360" w:lineRule="auto"/>
        <w:ind w:firstLine="560" w:firstLineChars="200"/>
        <w:rPr>
          <w:rFonts w:ascii="仿宋_GB2312" w:eastAsia="仿宋_GB2312"/>
          <w:color w:val="000000"/>
          <w:sz w:val="28"/>
        </w:rPr>
      </w:pPr>
      <w:r>
        <w:rPr>
          <w:rFonts w:hint="eastAsia" w:ascii="仿宋_GB2312" w:eastAsia="仿宋_GB2312"/>
          <w:color w:val="000000"/>
          <w:sz w:val="28"/>
        </w:rPr>
        <w:t>1、法律、法规和政策性文件</w:t>
      </w:r>
    </w:p>
    <w:p>
      <w:pPr>
        <w:pageBreakBefore w:val="0"/>
        <w:widowControl w:val="0"/>
        <w:kinsoku/>
        <w:wordWrap/>
        <w:overflowPunct/>
        <w:topLinePunct w:val="0"/>
        <w:autoSpaceDE/>
        <w:autoSpaceDN/>
        <w:bidi w:val="0"/>
        <w:snapToGrid w:val="0"/>
        <w:spacing w:line="360" w:lineRule="auto"/>
        <w:ind w:firstLine="560" w:firstLineChars="200"/>
        <w:rPr>
          <w:rFonts w:hint="eastAsia" w:ascii="仿宋_GB2312" w:hAnsi="宋体" w:eastAsia="仿宋_GB2312"/>
          <w:caps/>
          <w:color w:val="000000"/>
          <w:sz w:val="28"/>
        </w:rPr>
      </w:pPr>
      <w:r>
        <w:rPr>
          <w:rFonts w:hint="eastAsia" w:ascii="仿宋_GB2312" w:hAnsi="宋体" w:eastAsia="仿宋_GB2312"/>
          <w:caps/>
          <w:color w:val="000000"/>
          <w:sz w:val="28"/>
        </w:rPr>
        <w:t>①</w:t>
      </w:r>
      <w:r>
        <w:rPr>
          <w:rFonts w:hint="eastAsia" w:ascii="仿宋_GB2312" w:eastAsia="仿宋_GB2312"/>
          <w:sz w:val="28"/>
        </w:rPr>
        <w:t>《中华人民共和国城市房地产管理法》（</w:t>
      </w:r>
      <w:r>
        <w:rPr>
          <w:rFonts w:hint="eastAsia" w:ascii="仿宋_GB2312" w:hAnsi="仿宋" w:eastAsia="仿宋_GB2312"/>
          <w:sz w:val="28"/>
        </w:rPr>
        <w:t>中华人民共和国主席令第32号，2019年</w:t>
      </w:r>
      <w:r>
        <w:rPr>
          <w:rFonts w:hint="eastAsia" w:ascii="仿宋_GB2312" w:hAnsi="仿宋" w:eastAsia="仿宋_GB2312"/>
          <w:sz w:val="28"/>
          <w:lang w:eastAsia="zh-CN"/>
        </w:rPr>
        <w:t>8月30日</w:t>
      </w:r>
      <w:r>
        <w:rPr>
          <w:rFonts w:hint="eastAsia" w:ascii="仿宋_GB2312" w:hAnsi="仿宋" w:eastAsia="仿宋_GB2312"/>
          <w:sz w:val="28"/>
        </w:rPr>
        <w:t>第三次修正，自2020年1月1日起施行</w:t>
      </w:r>
      <w:r>
        <w:rPr>
          <w:rFonts w:hint="eastAsia" w:ascii="仿宋_GB2312" w:eastAsia="仿宋_GB2312"/>
          <w:sz w:val="28"/>
        </w:rPr>
        <w:t>）</w:t>
      </w:r>
      <w:r>
        <w:rPr>
          <w:rFonts w:hint="eastAsia" w:ascii="仿宋_GB2312" w:hAnsi="昆仑仿宋" w:eastAsia="仿宋_GB2312"/>
          <w:caps/>
          <w:color w:val="000000"/>
          <w:sz w:val="28"/>
        </w:rPr>
        <w:t>；</w:t>
      </w:r>
    </w:p>
    <w:p>
      <w:pPr>
        <w:pageBreakBefore w:val="0"/>
        <w:widowControl w:val="0"/>
        <w:kinsoku/>
        <w:wordWrap/>
        <w:overflowPunct/>
        <w:topLinePunct w:val="0"/>
        <w:autoSpaceDE/>
        <w:autoSpaceDN/>
        <w:bidi w:val="0"/>
        <w:snapToGrid w:val="0"/>
        <w:spacing w:line="360" w:lineRule="auto"/>
        <w:ind w:firstLine="560" w:firstLineChars="200"/>
        <w:rPr>
          <w:rFonts w:hint="eastAsia" w:ascii="仿宋_GB2312" w:hAnsi="宋体" w:eastAsia="仿宋_GB2312"/>
          <w:caps/>
          <w:color w:val="000000"/>
          <w:sz w:val="28"/>
        </w:rPr>
      </w:pPr>
      <w:r>
        <w:rPr>
          <w:rFonts w:hint="eastAsia" w:ascii="仿宋_GB2312" w:hAnsi="宋体" w:eastAsia="仿宋_GB2312"/>
          <w:caps/>
          <w:color w:val="000000"/>
          <w:sz w:val="28"/>
        </w:rPr>
        <w:t>②</w:t>
      </w:r>
      <w:r>
        <w:rPr>
          <w:rFonts w:hint="eastAsia" w:ascii="仿宋_GB2312" w:eastAsia="仿宋_GB2312"/>
          <w:sz w:val="28"/>
        </w:rPr>
        <w:t>《中华人民共和国土地管理法》(</w:t>
      </w:r>
      <w:r>
        <w:rPr>
          <w:rFonts w:hint="eastAsia" w:ascii="仿宋_GB2312" w:hAnsi="仿宋" w:eastAsia="仿宋_GB2312"/>
          <w:sz w:val="28"/>
        </w:rPr>
        <w:t>中华人民共和国主席令第32号，2019年</w:t>
      </w:r>
      <w:r>
        <w:rPr>
          <w:rFonts w:hint="eastAsia" w:ascii="仿宋_GB2312" w:hAnsi="仿宋" w:eastAsia="仿宋_GB2312"/>
          <w:sz w:val="28"/>
          <w:lang w:eastAsia="zh-CN"/>
        </w:rPr>
        <w:t>8月30日</w:t>
      </w:r>
      <w:r>
        <w:rPr>
          <w:rFonts w:hint="eastAsia" w:ascii="仿宋_GB2312" w:hAnsi="仿宋" w:eastAsia="仿宋_GB2312"/>
          <w:sz w:val="28"/>
        </w:rPr>
        <w:t>第三次修正，自2020年1月1日起施行</w:t>
      </w:r>
      <w:r>
        <w:rPr>
          <w:rFonts w:hint="eastAsia" w:ascii="仿宋_GB2312" w:eastAsia="仿宋_GB2312"/>
          <w:sz w:val="28"/>
        </w:rPr>
        <w:t>)</w:t>
      </w:r>
      <w:r>
        <w:rPr>
          <w:rFonts w:hint="eastAsia" w:ascii="仿宋_GB2312" w:hAnsi="昆仑仿宋" w:eastAsia="仿宋_GB2312"/>
          <w:caps/>
          <w:color w:val="000000"/>
          <w:sz w:val="28"/>
        </w:rPr>
        <w:t>;</w:t>
      </w:r>
    </w:p>
    <w:p>
      <w:pPr>
        <w:pageBreakBefore w:val="0"/>
        <w:widowControl w:val="0"/>
        <w:kinsoku/>
        <w:wordWrap/>
        <w:overflowPunct/>
        <w:topLinePunct w:val="0"/>
        <w:autoSpaceDE/>
        <w:autoSpaceDN/>
        <w:bidi w:val="0"/>
        <w:snapToGrid w:val="0"/>
        <w:spacing w:line="360" w:lineRule="auto"/>
        <w:ind w:firstLine="560" w:firstLineChars="200"/>
        <w:rPr>
          <w:rFonts w:hint="eastAsia" w:ascii="仿宋_GB2312" w:hAnsi="宋体" w:eastAsia="仿宋_GB2312"/>
          <w:caps/>
          <w:color w:val="000000"/>
          <w:sz w:val="28"/>
        </w:rPr>
      </w:pPr>
      <w:r>
        <w:rPr>
          <w:rFonts w:hint="eastAsia" w:ascii="仿宋_GB2312" w:hAnsi="宋体" w:eastAsia="仿宋_GB2312"/>
          <w:caps/>
          <w:color w:val="000000"/>
          <w:sz w:val="28"/>
        </w:rPr>
        <w:t>③</w:t>
      </w:r>
      <w:r>
        <w:rPr>
          <w:rFonts w:hint="eastAsia" w:ascii="仿宋_GB2312" w:hAnsi="宋体" w:eastAsia="仿宋_GB2312"/>
          <w:sz w:val="28"/>
        </w:rPr>
        <w:t>《中华人民共和国拍卖法》（中华人民共和国主席令第2</w:t>
      </w:r>
      <w:r>
        <w:rPr>
          <w:rFonts w:hint="eastAsia" w:ascii="仿宋_GB2312" w:hAnsi="宋体" w:eastAsia="仿宋_GB2312"/>
          <w:sz w:val="28"/>
          <w:lang w:val="en-US" w:eastAsia="zh-CN"/>
        </w:rPr>
        <w:t>4</w:t>
      </w:r>
      <w:r>
        <w:rPr>
          <w:rFonts w:hint="eastAsia" w:ascii="仿宋_GB2312" w:hAnsi="宋体" w:eastAsia="仿宋_GB2312"/>
          <w:sz w:val="28"/>
        </w:rPr>
        <w:t>号，自</w:t>
      </w:r>
      <w:r>
        <w:rPr>
          <w:rFonts w:hint="eastAsia" w:ascii="仿宋_GB2312" w:eastAsia="仿宋_GB2312"/>
          <w:sz w:val="28"/>
        </w:rPr>
        <w:t>20</w:t>
      </w:r>
      <w:r>
        <w:rPr>
          <w:rFonts w:hint="eastAsia" w:ascii="仿宋_GB2312" w:eastAsia="仿宋_GB2312"/>
          <w:sz w:val="28"/>
          <w:lang w:val="en-US" w:eastAsia="zh-CN"/>
        </w:rPr>
        <w:t>15</w:t>
      </w:r>
      <w:r>
        <w:rPr>
          <w:rFonts w:hint="eastAsia" w:ascii="仿宋_GB2312" w:eastAsia="仿宋_GB2312"/>
          <w:sz w:val="28"/>
        </w:rPr>
        <w:t>年</w:t>
      </w:r>
      <w:r>
        <w:rPr>
          <w:rFonts w:hint="eastAsia" w:ascii="仿宋_GB2312" w:eastAsia="仿宋_GB2312"/>
          <w:sz w:val="28"/>
          <w:lang w:val="en-US" w:eastAsia="zh-CN"/>
        </w:rPr>
        <w:t>4</w:t>
      </w:r>
      <w:r>
        <w:rPr>
          <w:rFonts w:hint="eastAsia" w:ascii="仿宋_GB2312" w:eastAsia="仿宋_GB2312"/>
          <w:sz w:val="28"/>
        </w:rPr>
        <w:t>月</w:t>
      </w:r>
      <w:r>
        <w:rPr>
          <w:rFonts w:hint="eastAsia" w:ascii="仿宋_GB2312" w:eastAsia="仿宋_GB2312"/>
          <w:sz w:val="28"/>
          <w:lang w:val="en-US" w:eastAsia="zh-CN"/>
        </w:rPr>
        <w:t>24</w:t>
      </w:r>
      <w:r>
        <w:rPr>
          <w:rFonts w:hint="eastAsia" w:ascii="仿宋_GB2312" w:eastAsia="仿宋_GB2312"/>
          <w:sz w:val="28"/>
        </w:rPr>
        <w:t>日起施行</w:t>
      </w:r>
      <w:r>
        <w:rPr>
          <w:rFonts w:hint="eastAsia" w:ascii="仿宋_GB2312" w:hAnsi="宋体" w:eastAsia="仿宋_GB2312"/>
          <w:sz w:val="28"/>
        </w:rPr>
        <w:t>）</w:t>
      </w:r>
      <w:r>
        <w:rPr>
          <w:rFonts w:hint="eastAsia" w:ascii="仿宋_GB2312" w:hAnsi="宋体" w:eastAsia="仿宋_GB2312"/>
          <w:caps/>
          <w:color w:val="000000"/>
          <w:sz w:val="28"/>
        </w:rPr>
        <w:t>；</w:t>
      </w:r>
    </w:p>
    <w:p>
      <w:pPr>
        <w:pageBreakBefore w:val="0"/>
        <w:widowControl w:val="0"/>
        <w:kinsoku/>
        <w:wordWrap/>
        <w:overflowPunct/>
        <w:topLinePunct w:val="0"/>
        <w:autoSpaceDE/>
        <w:autoSpaceDN/>
        <w:bidi w:val="0"/>
        <w:snapToGrid w:val="0"/>
        <w:spacing w:line="360" w:lineRule="auto"/>
        <w:ind w:firstLine="560" w:firstLineChars="200"/>
        <w:rPr>
          <w:rFonts w:hint="eastAsia" w:ascii="仿宋_GB2312" w:hAnsi="宋体" w:eastAsia="仿宋_GB2312"/>
          <w:caps/>
          <w:color w:val="000000"/>
          <w:sz w:val="28"/>
        </w:rPr>
      </w:pPr>
      <w:r>
        <w:rPr>
          <w:rFonts w:hint="eastAsia" w:ascii="仿宋_GB2312" w:hAnsi="宋体" w:eastAsia="仿宋_GB2312"/>
          <w:caps/>
          <w:color w:val="000000"/>
          <w:sz w:val="28"/>
        </w:rPr>
        <w:t>④</w:t>
      </w:r>
      <w:r>
        <w:rPr>
          <w:rFonts w:hint="eastAsia" w:ascii="仿宋_GB2312" w:eastAsia="仿宋_GB2312"/>
          <w:sz w:val="28"/>
        </w:rPr>
        <w:t>《中华人民共和国资产评估法》（中华人民共和国主席令第46号，自2016年12月1日起施行）</w:t>
      </w:r>
      <w:r>
        <w:rPr>
          <w:rFonts w:hint="eastAsia" w:ascii="仿宋_GB2312" w:hAnsi="昆仑仿宋" w:eastAsia="仿宋_GB2312"/>
          <w:caps/>
          <w:color w:val="000000"/>
          <w:sz w:val="28"/>
        </w:rPr>
        <w:t>；</w:t>
      </w:r>
    </w:p>
    <w:p>
      <w:pPr>
        <w:pageBreakBefore w:val="0"/>
        <w:widowControl w:val="0"/>
        <w:kinsoku/>
        <w:wordWrap/>
        <w:overflowPunct/>
        <w:topLinePunct w:val="0"/>
        <w:autoSpaceDE/>
        <w:autoSpaceDN/>
        <w:bidi w:val="0"/>
        <w:snapToGrid w:val="0"/>
        <w:spacing w:line="360" w:lineRule="auto"/>
        <w:ind w:firstLine="560" w:firstLineChars="200"/>
        <w:rPr>
          <w:rFonts w:hint="eastAsia" w:ascii="仿宋_GB2312" w:hAnsi="宋体" w:eastAsia="仿宋_GB2312"/>
          <w:caps/>
          <w:color w:val="000000"/>
          <w:sz w:val="28"/>
        </w:rPr>
      </w:pPr>
      <w:r>
        <w:rPr>
          <w:rFonts w:hint="eastAsia" w:ascii="仿宋_GB2312" w:hAnsi="宋体" w:eastAsia="仿宋_GB2312"/>
          <w:caps/>
          <w:color w:val="000000"/>
          <w:sz w:val="28"/>
        </w:rPr>
        <w:t>⑤《中华人民共和国民法典》（2020年5月28日第十三届全国人民代表大会第三次会议通过，自2021年1月1日起施行）</w:t>
      </w:r>
      <w:r>
        <w:rPr>
          <w:rFonts w:hint="eastAsia" w:ascii="仿宋_GB2312" w:hAnsi="昆仑仿宋" w:eastAsia="仿宋_GB2312"/>
          <w:caps/>
          <w:color w:val="000000"/>
          <w:sz w:val="28"/>
        </w:rPr>
        <w:t>；</w:t>
      </w:r>
    </w:p>
    <w:p>
      <w:pPr>
        <w:pageBreakBefore w:val="0"/>
        <w:widowControl w:val="0"/>
        <w:kinsoku/>
        <w:wordWrap/>
        <w:overflowPunct/>
        <w:topLinePunct w:val="0"/>
        <w:autoSpaceDE/>
        <w:autoSpaceDN/>
        <w:bidi w:val="0"/>
        <w:snapToGrid w:val="0"/>
        <w:spacing w:line="360" w:lineRule="auto"/>
        <w:ind w:firstLine="560" w:firstLineChars="200"/>
        <w:rPr>
          <w:rFonts w:hint="eastAsia" w:ascii="仿宋_GB2312" w:hAnsi="宋体" w:eastAsia="仿宋_GB2312"/>
          <w:caps/>
          <w:color w:val="000000"/>
          <w:sz w:val="28"/>
        </w:rPr>
      </w:pPr>
      <w:r>
        <w:rPr>
          <w:rFonts w:hint="eastAsia" w:ascii="仿宋_GB2312" w:hAnsi="宋体" w:eastAsia="仿宋_GB2312"/>
          <w:caps/>
          <w:color w:val="000000"/>
          <w:sz w:val="28"/>
        </w:rPr>
        <w:fldChar w:fldCharType="begin"/>
      </w:r>
      <w:r>
        <w:rPr>
          <w:rFonts w:hint="eastAsia" w:ascii="仿宋_GB2312" w:hAnsi="宋体" w:eastAsia="仿宋_GB2312"/>
          <w:caps/>
          <w:color w:val="000000"/>
          <w:sz w:val="28"/>
        </w:rPr>
        <w:instrText xml:space="preserve"> = 6 \* GB3 </w:instrText>
      </w:r>
      <w:r>
        <w:rPr>
          <w:rFonts w:hint="eastAsia" w:ascii="仿宋_GB2312" w:hAnsi="宋体" w:eastAsia="仿宋_GB2312"/>
          <w:caps/>
          <w:color w:val="000000"/>
          <w:sz w:val="28"/>
        </w:rPr>
        <w:fldChar w:fldCharType="separate"/>
      </w:r>
      <w:r>
        <w:rPr>
          <w:rFonts w:hint="eastAsia" w:ascii="仿宋_GB2312" w:hAnsi="宋体" w:eastAsia="仿宋_GB2312"/>
          <w:caps/>
          <w:color w:val="000000"/>
          <w:sz w:val="28"/>
        </w:rPr>
        <w:t>⑥</w:t>
      </w:r>
      <w:r>
        <w:rPr>
          <w:rFonts w:hint="eastAsia" w:ascii="仿宋_GB2312" w:hAnsi="宋体" w:eastAsia="仿宋_GB2312"/>
          <w:caps/>
          <w:color w:val="000000"/>
          <w:sz w:val="28"/>
        </w:rPr>
        <w:fldChar w:fldCharType="end"/>
      </w:r>
      <w:r>
        <w:rPr>
          <w:rFonts w:hint="eastAsia" w:ascii="仿宋_GB2312" w:eastAsia="仿宋_GB2312"/>
          <w:sz w:val="28"/>
        </w:rPr>
        <w:t>《中华人民共和国城镇国有土地使用权出让和转让暂行条例》（中华人民共和国国务院令第55号，自1990年5月19日施行）</w:t>
      </w:r>
      <w:r>
        <w:rPr>
          <w:rFonts w:hint="eastAsia" w:ascii="仿宋_GB2312" w:hAnsi="宋体" w:eastAsia="仿宋_GB2312"/>
          <w:caps/>
          <w:color w:val="000000"/>
          <w:sz w:val="28"/>
        </w:rPr>
        <w:t>；</w:t>
      </w:r>
    </w:p>
    <w:p>
      <w:pPr>
        <w:pageBreakBefore w:val="0"/>
        <w:widowControl w:val="0"/>
        <w:kinsoku/>
        <w:wordWrap/>
        <w:overflowPunct/>
        <w:topLinePunct w:val="0"/>
        <w:autoSpaceDE/>
        <w:autoSpaceDN/>
        <w:bidi w:val="0"/>
        <w:snapToGrid w:val="0"/>
        <w:spacing w:line="360" w:lineRule="auto"/>
        <w:ind w:firstLine="560" w:firstLineChars="200"/>
        <w:rPr>
          <w:rFonts w:hint="eastAsia" w:ascii="仿宋_GB2312" w:hAnsi="宋体" w:eastAsia="仿宋_GB2312"/>
          <w:sz w:val="28"/>
        </w:rPr>
      </w:pPr>
      <w:r>
        <w:rPr>
          <w:rFonts w:hint="eastAsia" w:ascii="仿宋_GB2312" w:hAnsi="宋体" w:eastAsia="仿宋_GB2312"/>
          <w:sz w:val="28"/>
        </w:rPr>
        <w:fldChar w:fldCharType="begin"/>
      </w:r>
      <w:r>
        <w:rPr>
          <w:rFonts w:hint="eastAsia" w:ascii="仿宋_GB2312" w:hAnsi="宋体" w:eastAsia="仿宋_GB2312"/>
          <w:sz w:val="28"/>
        </w:rPr>
        <w:instrText xml:space="preserve"> = 7 \* GB3 </w:instrText>
      </w:r>
      <w:r>
        <w:rPr>
          <w:rFonts w:hint="eastAsia" w:ascii="仿宋_GB2312" w:hAnsi="宋体" w:eastAsia="仿宋_GB2312"/>
          <w:sz w:val="28"/>
        </w:rPr>
        <w:fldChar w:fldCharType="separate"/>
      </w:r>
      <w:r>
        <w:rPr>
          <w:rFonts w:hint="eastAsia" w:ascii="仿宋_GB2312" w:hAnsi="宋体" w:eastAsia="仿宋_GB2312"/>
          <w:sz w:val="28"/>
        </w:rPr>
        <w:t>⑦</w:t>
      </w:r>
      <w:r>
        <w:rPr>
          <w:rFonts w:hint="eastAsia" w:ascii="仿宋_GB2312" w:hAnsi="宋体" w:eastAsia="仿宋_GB2312"/>
          <w:sz w:val="28"/>
        </w:rPr>
        <w:fldChar w:fldCharType="end"/>
      </w:r>
      <w:r>
        <w:rPr>
          <w:rFonts w:hint="eastAsia" w:ascii="仿宋_GB2312" w:hAnsi="宋体" w:eastAsia="仿宋_GB2312"/>
          <w:color w:val="000000"/>
          <w:sz w:val="28"/>
        </w:rPr>
        <w:t>《最高人民法院关于人民法院委托评估、拍卖工作的若干规定》（法释[2011]21号，自2011年9月7日起施行）</w:t>
      </w:r>
      <w:r>
        <w:rPr>
          <w:rFonts w:hint="eastAsia" w:ascii="仿宋_GB2312" w:hAnsi="宋体" w:eastAsia="仿宋_GB2312"/>
          <w:sz w:val="28"/>
        </w:rPr>
        <w:t>；</w:t>
      </w:r>
    </w:p>
    <w:p>
      <w:pPr>
        <w:pageBreakBefore w:val="0"/>
        <w:widowControl w:val="0"/>
        <w:kinsoku/>
        <w:wordWrap/>
        <w:overflowPunct/>
        <w:topLinePunct w:val="0"/>
        <w:autoSpaceDE/>
        <w:autoSpaceDN/>
        <w:bidi w:val="0"/>
        <w:snapToGrid w:val="0"/>
        <w:spacing w:line="360" w:lineRule="auto"/>
        <w:ind w:firstLine="560" w:firstLineChars="200"/>
        <w:rPr>
          <w:rFonts w:hint="eastAsia" w:ascii="仿宋_GB2312" w:eastAsia="仿宋_GB2312"/>
          <w:sz w:val="28"/>
        </w:rPr>
      </w:pPr>
      <w:r>
        <w:rPr>
          <w:rFonts w:ascii="仿宋_GB2312" w:eastAsia="仿宋_GB2312"/>
          <w:sz w:val="28"/>
        </w:rPr>
        <w:fldChar w:fldCharType="begin"/>
      </w:r>
      <w:r>
        <w:rPr>
          <w:rFonts w:ascii="仿宋_GB2312" w:eastAsia="仿宋_GB2312"/>
          <w:sz w:val="28"/>
        </w:rPr>
        <w:instrText xml:space="preserve"> </w:instrText>
      </w:r>
      <w:r>
        <w:rPr>
          <w:rFonts w:hint="eastAsia" w:ascii="仿宋_GB2312" w:eastAsia="仿宋_GB2312"/>
          <w:sz w:val="28"/>
        </w:rPr>
        <w:instrText xml:space="preserve">= 8 \* GB3</w:instrText>
      </w:r>
      <w:r>
        <w:rPr>
          <w:rFonts w:ascii="仿宋_GB2312" w:eastAsia="仿宋_GB2312"/>
          <w:sz w:val="28"/>
        </w:rPr>
        <w:instrText xml:space="preserve"> </w:instrText>
      </w:r>
      <w:r>
        <w:rPr>
          <w:rFonts w:ascii="仿宋_GB2312" w:eastAsia="仿宋_GB2312"/>
          <w:sz w:val="28"/>
        </w:rPr>
        <w:fldChar w:fldCharType="separate"/>
      </w:r>
      <w:r>
        <w:rPr>
          <w:rFonts w:hint="eastAsia" w:ascii="仿宋_GB2312" w:eastAsia="仿宋_GB2312"/>
          <w:sz w:val="28"/>
        </w:rPr>
        <w:t>⑧</w:t>
      </w:r>
      <w:r>
        <w:rPr>
          <w:rFonts w:ascii="仿宋_GB2312" w:eastAsia="仿宋_GB2312"/>
          <w:sz w:val="28"/>
        </w:rPr>
        <w:fldChar w:fldCharType="end"/>
      </w:r>
      <w:r>
        <w:rPr>
          <w:rFonts w:hint="eastAsia" w:ascii="仿宋_GB2312" w:eastAsia="仿宋_GB2312"/>
          <w:sz w:val="28"/>
        </w:rPr>
        <w:t>《</w:t>
      </w:r>
      <w:r>
        <w:rPr>
          <w:rFonts w:hint="eastAsia" w:ascii="仿宋_GB2312" w:eastAsia="仿宋_GB2312"/>
          <w:color w:val="000000"/>
          <w:sz w:val="28"/>
        </w:rPr>
        <w:t>中华人民共和国土地管理法实施条例》（2021年4月21日，国务院第132次会议修订通过，自</w:t>
      </w:r>
      <w:r>
        <w:rPr>
          <w:rFonts w:hint="eastAsia" w:ascii="仿宋_GB2312" w:eastAsia="仿宋_GB2312"/>
          <w:color w:val="000000"/>
          <w:sz w:val="28"/>
          <w:lang w:val="en-US" w:eastAsia="zh-CN"/>
        </w:rPr>
        <w:t>2021</w:t>
      </w:r>
      <w:r>
        <w:rPr>
          <w:rFonts w:hint="eastAsia" w:ascii="仿宋_GB2312" w:eastAsia="仿宋_GB2312"/>
          <w:color w:val="000000"/>
          <w:sz w:val="28"/>
        </w:rPr>
        <w:t>年</w:t>
      </w:r>
      <w:r>
        <w:rPr>
          <w:rFonts w:hint="eastAsia" w:ascii="仿宋_GB2312" w:eastAsia="仿宋_GB2312"/>
          <w:color w:val="000000"/>
          <w:sz w:val="28"/>
          <w:lang w:val="en-US" w:eastAsia="zh-CN"/>
        </w:rPr>
        <w:t>9</w:t>
      </w:r>
      <w:r>
        <w:rPr>
          <w:rFonts w:hint="eastAsia" w:ascii="仿宋_GB2312" w:eastAsia="仿宋_GB2312"/>
          <w:color w:val="000000"/>
          <w:sz w:val="28"/>
        </w:rPr>
        <w:t>月1日起施行）</w:t>
      </w:r>
      <w:r>
        <w:rPr>
          <w:rFonts w:hint="eastAsia" w:ascii="仿宋_GB2312" w:eastAsia="仿宋_GB2312"/>
          <w:sz w:val="28"/>
        </w:rPr>
        <w:t>；</w:t>
      </w:r>
    </w:p>
    <w:p>
      <w:pPr>
        <w:pageBreakBefore w:val="0"/>
        <w:widowControl w:val="0"/>
        <w:kinsoku/>
        <w:wordWrap/>
        <w:overflowPunct/>
        <w:topLinePunct w:val="0"/>
        <w:autoSpaceDE/>
        <w:autoSpaceDN/>
        <w:bidi w:val="0"/>
        <w:snapToGrid w:val="0"/>
        <w:spacing w:line="360" w:lineRule="auto"/>
        <w:ind w:firstLine="560" w:firstLineChars="200"/>
        <w:rPr>
          <w:rFonts w:hint="eastAsia" w:ascii="仿宋_GB2312" w:hAnsi="宋体" w:eastAsia="仿宋_GB2312"/>
          <w:caps/>
          <w:color w:val="000000"/>
          <w:sz w:val="28"/>
        </w:rPr>
      </w:pPr>
      <w:r>
        <w:rPr>
          <w:rFonts w:hint="eastAsia" w:ascii="仿宋_GB2312" w:hAnsi="宋体" w:eastAsia="仿宋_GB2312"/>
          <w:caps/>
          <w:color w:val="000000"/>
          <w:sz w:val="28"/>
        </w:rPr>
        <w:t>⑨《最高人民法院关于人民法院确定财产处置参考价若干问题的规定》（法释[2018〕15号，2018年6月4日最高人民法院审判委员会第1741次会议通过，自2018年9月1日起施行）；</w:t>
      </w:r>
    </w:p>
    <w:p>
      <w:pPr>
        <w:pageBreakBefore w:val="0"/>
        <w:widowControl w:val="0"/>
        <w:kinsoku/>
        <w:wordWrap/>
        <w:overflowPunct/>
        <w:topLinePunct w:val="0"/>
        <w:autoSpaceDE/>
        <w:autoSpaceDN/>
        <w:bidi w:val="0"/>
        <w:snapToGrid/>
        <w:spacing w:line="360" w:lineRule="auto"/>
        <w:ind w:firstLine="560" w:firstLineChars="200"/>
        <w:jc w:val="left"/>
        <w:rPr>
          <w:rStyle w:val="52"/>
          <w:rFonts w:ascii="仿宋_GB2312" w:eastAsia="仿宋_GB2312"/>
          <w:caps/>
          <w:color w:val="000000"/>
          <w:sz w:val="28"/>
          <w:szCs w:val="28"/>
          <w:u w:val="none"/>
        </w:rPr>
      </w:pPr>
      <w:r>
        <w:rPr>
          <w:rFonts w:hint="eastAsia" w:ascii="仿宋_GB2312" w:hAnsi="宋体" w:eastAsia="仿宋_GB2312"/>
          <w:caps/>
          <w:color w:val="000000"/>
          <w:sz w:val="28"/>
        </w:rPr>
        <w:t>⑩《关于印发&lt;人民法院委托评估工作规范&gt;的通知》（法办〔2018〕273号,2018年12月10日印发）</w:t>
      </w:r>
      <w:r>
        <w:rPr>
          <w:rFonts w:hint="eastAsia" w:ascii="仿宋_GB2312" w:eastAsia="仿宋_GB2312"/>
          <w:sz w:val="28"/>
          <w:highlight w:val="none"/>
        </w:rPr>
        <w:t>。</w:t>
      </w:r>
    </w:p>
    <w:p>
      <w:pPr>
        <w:pageBreakBefore w:val="0"/>
        <w:widowControl w:val="0"/>
        <w:kinsoku/>
        <w:wordWrap/>
        <w:overflowPunct/>
        <w:topLinePunct w:val="0"/>
        <w:autoSpaceDE/>
        <w:autoSpaceDN/>
        <w:bidi w:val="0"/>
        <w:snapToGrid/>
        <w:spacing w:line="360" w:lineRule="auto"/>
        <w:ind w:firstLine="560" w:firstLineChars="200"/>
        <w:rPr>
          <w:rStyle w:val="52"/>
          <w:rFonts w:ascii="仿宋_GB2312" w:eastAsia="仿宋_GB2312"/>
          <w:caps/>
          <w:color w:val="000000"/>
          <w:sz w:val="28"/>
          <w:szCs w:val="28"/>
          <w:u w:val="none"/>
        </w:rPr>
      </w:pPr>
      <w:r>
        <w:rPr>
          <w:rStyle w:val="52"/>
          <w:rFonts w:hint="eastAsia" w:ascii="仿宋_GB2312" w:eastAsia="仿宋_GB2312"/>
          <w:caps/>
          <w:color w:val="000000"/>
          <w:sz w:val="28"/>
          <w:szCs w:val="28"/>
          <w:u w:val="none"/>
        </w:rPr>
        <w:t>2、技术标准、规程、规范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52"/>
          <w:rFonts w:ascii="仿宋_GB2312" w:eastAsia="仿宋_GB2312"/>
          <w:caps/>
          <w:color w:val="000000"/>
          <w:sz w:val="28"/>
          <w:szCs w:val="28"/>
          <w:u w:val="none"/>
        </w:rPr>
      </w:pPr>
      <w:r>
        <w:rPr>
          <w:rStyle w:val="52"/>
          <w:rFonts w:hint="eastAsia" w:ascii="仿宋_GB2312" w:eastAsia="仿宋_GB2312"/>
          <w:caps/>
          <w:color w:val="000000"/>
          <w:sz w:val="28"/>
          <w:szCs w:val="28"/>
          <w:u w:val="none"/>
        </w:rPr>
        <w:t>①《房地产估价规范》（GB/T 50291-2015，自2015年12月1日起施行）；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52"/>
          <w:rFonts w:hint="eastAsia" w:ascii="仿宋_GB2312" w:eastAsia="仿宋_GB2312"/>
          <w:caps/>
          <w:color w:val="000000"/>
          <w:sz w:val="28"/>
          <w:szCs w:val="28"/>
          <w:u w:val="none"/>
        </w:rPr>
      </w:pPr>
      <w:r>
        <w:rPr>
          <w:rStyle w:val="52"/>
          <w:rFonts w:hint="eastAsia" w:ascii="仿宋_GB2312" w:eastAsia="仿宋_GB2312"/>
          <w:caps/>
          <w:color w:val="000000"/>
          <w:sz w:val="28"/>
          <w:szCs w:val="28"/>
          <w:u w:val="none"/>
        </w:rPr>
        <w:t>②《房地产估价基本术语标准》（GB/T 50899-2013，自2014年2月1日起施行）</w:t>
      </w:r>
    </w:p>
    <w:p>
      <w:pPr>
        <w:pageBreakBefore w:val="0"/>
        <w:widowControl w:val="0"/>
        <w:kinsoku/>
        <w:wordWrap/>
        <w:overflowPunct/>
        <w:topLinePunct w:val="0"/>
        <w:autoSpaceDE/>
        <w:autoSpaceDN/>
        <w:bidi w:val="0"/>
        <w:snapToGrid/>
        <w:spacing w:line="360" w:lineRule="auto"/>
        <w:ind w:firstLine="560" w:firstLineChars="200"/>
        <w:rPr>
          <w:rStyle w:val="52"/>
          <w:rFonts w:hint="eastAsia" w:ascii="仿宋_GB2312" w:hAnsi="Times New Roman" w:eastAsia="仿宋_GB2312"/>
          <w:caps/>
          <w:color w:val="auto"/>
          <w:sz w:val="28"/>
          <w:szCs w:val="28"/>
          <w:u w:val="none"/>
          <w:lang w:eastAsia="zh-CN"/>
        </w:rPr>
      </w:pPr>
      <w:r>
        <w:rPr>
          <w:rStyle w:val="52"/>
          <w:rFonts w:hint="eastAsia" w:ascii="仿宋_GB2312" w:hAnsi="Times New Roman" w:eastAsia="仿宋_GB2312"/>
          <w:caps/>
          <w:color w:val="auto"/>
          <w:sz w:val="28"/>
          <w:szCs w:val="28"/>
          <w:u w:val="none"/>
        </w:rPr>
        <w:t>③关于印发《涉执房地产处置司法评估指导意见（试行）》的通知</w:t>
      </w:r>
      <w:r>
        <w:rPr>
          <w:rStyle w:val="52"/>
          <w:rFonts w:hint="eastAsia" w:ascii="仿宋_GB2312" w:hAnsi="Times New Roman" w:eastAsia="仿宋_GB2312"/>
          <w:caps/>
          <w:color w:val="auto"/>
          <w:sz w:val="28"/>
          <w:szCs w:val="28"/>
          <w:u w:val="none"/>
          <w:lang w:eastAsia="zh-CN"/>
        </w:rPr>
        <w:t>（中房学〔2021〕37号，自2021年9月1日起施行）。</w:t>
      </w:r>
    </w:p>
    <w:p>
      <w:pPr>
        <w:pageBreakBefore w:val="0"/>
        <w:widowControl w:val="0"/>
        <w:kinsoku/>
        <w:wordWrap/>
        <w:overflowPunct/>
        <w:topLinePunct w:val="0"/>
        <w:autoSpaceDE/>
        <w:autoSpaceDN/>
        <w:bidi w:val="0"/>
        <w:snapToGrid/>
        <w:spacing w:line="360" w:lineRule="auto"/>
        <w:ind w:firstLine="560" w:firstLineChars="200"/>
        <w:rPr>
          <w:rStyle w:val="52"/>
          <w:rFonts w:hint="eastAsia" w:ascii="仿宋_GB2312" w:eastAsia="仿宋_GB2312"/>
          <w:caps/>
          <w:color w:val="000000"/>
          <w:sz w:val="28"/>
          <w:szCs w:val="28"/>
          <w:u w:val="none"/>
        </w:rPr>
      </w:pPr>
      <w:r>
        <w:rPr>
          <w:rStyle w:val="52"/>
          <w:rFonts w:hint="eastAsia" w:ascii="仿宋_GB2312" w:eastAsia="仿宋_GB2312"/>
          <w:caps/>
          <w:color w:val="000000"/>
          <w:sz w:val="28"/>
          <w:szCs w:val="28"/>
          <w:u w:val="none"/>
        </w:rPr>
        <w:t>3、估价委托人提供的估价所需资料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52"/>
          <w:rFonts w:ascii="仿宋_GB2312" w:eastAsia="仿宋_GB2312"/>
          <w:caps/>
          <w:color w:val="000000"/>
          <w:sz w:val="28"/>
          <w:szCs w:val="28"/>
          <w:u w:val="none"/>
        </w:rPr>
      </w:pPr>
      <w:r>
        <w:rPr>
          <w:rStyle w:val="52"/>
          <w:rFonts w:hint="eastAsia" w:ascii="仿宋_GB2312" w:eastAsia="仿宋_GB2312"/>
          <w:caps/>
          <w:color w:val="000000"/>
          <w:sz w:val="28"/>
          <w:szCs w:val="28"/>
          <w:u w:val="none"/>
        </w:rPr>
        <w:t>①</w:t>
      </w:r>
      <w:r>
        <w:rPr>
          <w:rStyle w:val="52"/>
          <w:rFonts w:hint="eastAsia" w:ascii="仿宋_GB2312" w:eastAsia="仿宋_GB2312"/>
          <w:caps/>
          <w:color w:val="000000"/>
          <w:sz w:val="28"/>
          <w:szCs w:val="28"/>
          <w:u w:val="none"/>
          <w:lang w:eastAsia="zh-CN"/>
        </w:rPr>
        <w:t>《</w:t>
      </w:r>
      <w:r>
        <w:rPr>
          <w:rStyle w:val="52"/>
          <w:rFonts w:hint="eastAsia" w:ascii="仿宋_GB2312" w:eastAsia="仿宋_GB2312"/>
          <w:caps/>
          <w:color w:val="000000"/>
          <w:sz w:val="28"/>
          <w:szCs w:val="28"/>
          <w:u w:val="none"/>
          <w:lang w:val="en-US" w:eastAsia="zh-CN"/>
        </w:rPr>
        <w:t>广东省</w:t>
      </w:r>
      <w:r>
        <w:rPr>
          <w:rStyle w:val="52"/>
          <w:rFonts w:hint="eastAsia" w:ascii="仿宋_GB2312" w:eastAsia="仿宋_GB2312"/>
          <w:caps/>
          <w:color w:val="000000"/>
          <w:sz w:val="28"/>
          <w:szCs w:val="28"/>
          <w:u w:val="none"/>
          <w:lang w:eastAsia="zh-CN"/>
        </w:rPr>
        <w:t>广州市中级人民法院</w:t>
      </w:r>
      <w:r>
        <w:rPr>
          <w:rStyle w:val="52"/>
          <w:rFonts w:hint="eastAsia" w:ascii="仿宋_GB2312" w:eastAsia="仿宋_GB2312"/>
          <w:caps/>
          <w:color w:val="000000"/>
          <w:sz w:val="28"/>
          <w:szCs w:val="28"/>
          <w:u w:val="none"/>
          <w:lang w:val="en-US" w:eastAsia="zh-CN"/>
        </w:rPr>
        <w:t>委托书</w:t>
      </w:r>
      <w:r>
        <w:rPr>
          <w:rStyle w:val="52"/>
          <w:rFonts w:hint="eastAsia" w:ascii="仿宋_GB2312" w:eastAsia="仿宋_GB2312"/>
          <w:caps/>
          <w:color w:val="000000"/>
          <w:sz w:val="28"/>
          <w:szCs w:val="28"/>
          <w:u w:val="none"/>
          <w:lang w:eastAsia="zh-CN"/>
        </w:rPr>
        <w:t>》[((2021)粤01执6647号]</w:t>
      </w:r>
      <w:r>
        <w:rPr>
          <w:rStyle w:val="52"/>
          <w:rFonts w:hint="eastAsia" w:ascii="仿宋_GB2312" w:eastAsia="仿宋_GB2312"/>
          <w:caps/>
          <w:color w:val="000000"/>
          <w:sz w:val="28"/>
          <w:szCs w:val="28"/>
          <w:u w:val="none"/>
        </w:rPr>
        <w:t>复印件；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52"/>
          <w:rFonts w:hint="eastAsia" w:ascii="仿宋_GB2312" w:hAnsi="Calibri" w:eastAsia="仿宋_GB2312" w:cs="Times New Roman"/>
          <w:caps/>
          <w:color w:val="000000"/>
          <w:kern w:val="2"/>
          <w:sz w:val="28"/>
          <w:szCs w:val="28"/>
          <w:lang w:val="en-US" w:eastAsia="zh-CN" w:bidi="ar-SA"/>
        </w:rPr>
      </w:pPr>
      <w:r>
        <w:rPr>
          <w:rFonts w:hint="eastAsia" w:ascii="仿宋_GB2312" w:hAnsi="宋体" w:eastAsia="仿宋_GB2312"/>
          <w:caps/>
          <w:color w:val="000000"/>
          <w:sz w:val="28"/>
        </w:rPr>
        <w:fldChar w:fldCharType="begin"/>
      </w:r>
      <w:r>
        <w:rPr>
          <w:rFonts w:hint="eastAsia" w:ascii="仿宋_GB2312" w:hAnsi="宋体" w:eastAsia="仿宋_GB2312"/>
          <w:caps/>
          <w:color w:val="000000"/>
          <w:sz w:val="28"/>
        </w:rPr>
        <w:instrText xml:space="preserve"> = 2 \* GB3 </w:instrText>
      </w:r>
      <w:r>
        <w:rPr>
          <w:rFonts w:hint="eastAsia" w:ascii="仿宋_GB2312" w:hAnsi="宋体" w:eastAsia="仿宋_GB2312"/>
          <w:caps/>
          <w:color w:val="000000"/>
          <w:sz w:val="28"/>
        </w:rPr>
        <w:fldChar w:fldCharType="separate"/>
      </w:r>
      <w:r>
        <w:rPr>
          <w:rFonts w:hint="eastAsia" w:ascii="仿宋_GB2312" w:hAnsi="宋体" w:eastAsia="仿宋_GB2312"/>
          <w:caps/>
          <w:color w:val="000000"/>
          <w:sz w:val="28"/>
        </w:rPr>
        <w:t>②</w:t>
      </w:r>
      <w:r>
        <w:rPr>
          <w:rFonts w:hint="eastAsia" w:ascii="仿宋_GB2312" w:hAnsi="宋体" w:eastAsia="仿宋_GB2312"/>
          <w:caps/>
          <w:color w:val="000000"/>
          <w:sz w:val="28"/>
        </w:rPr>
        <w:fldChar w:fldCharType="end"/>
      </w:r>
      <w:r>
        <w:rPr>
          <w:rStyle w:val="52"/>
          <w:rFonts w:hint="eastAsia" w:ascii="仿宋_GB2312" w:eastAsia="仿宋_GB2312"/>
          <w:caps/>
          <w:color w:val="000000"/>
          <w:sz w:val="28"/>
          <w:szCs w:val="28"/>
          <w:u w:val="none"/>
          <w:lang w:val="en-US" w:eastAsia="zh-CN"/>
        </w:rPr>
        <w:t>估价委托人提供的《广州市不动产登记查册表》（不动产登记字号：19登记12528222）资料复印件。</w:t>
      </w:r>
    </w:p>
    <w:p>
      <w:pPr>
        <w:pageBreakBefore w:val="0"/>
        <w:widowControl w:val="0"/>
        <w:numPr>
          <w:ilvl w:val="0"/>
          <w:numId w:val="3"/>
        </w:numPr>
        <w:kinsoku/>
        <w:wordWrap/>
        <w:overflowPunct/>
        <w:topLinePunct w:val="0"/>
        <w:autoSpaceDE/>
        <w:autoSpaceDN/>
        <w:bidi w:val="0"/>
        <w:snapToGrid/>
        <w:spacing w:line="360" w:lineRule="auto"/>
        <w:ind w:left="70" w:leftChars="0" w:firstLine="560" w:firstLineChars="0"/>
        <w:rPr>
          <w:rStyle w:val="52"/>
          <w:rFonts w:hint="eastAsia" w:ascii="仿宋_GB2312" w:eastAsia="仿宋_GB2312"/>
          <w:caps/>
          <w:color w:val="000000"/>
          <w:sz w:val="28"/>
          <w:szCs w:val="28"/>
          <w:u w:val="none"/>
        </w:rPr>
      </w:pPr>
      <w:r>
        <w:rPr>
          <w:rStyle w:val="52"/>
          <w:rFonts w:hint="eastAsia" w:ascii="仿宋_GB2312" w:eastAsia="仿宋_GB2312"/>
          <w:caps/>
          <w:color w:val="000000"/>
          <w:sz w:val="28"/>
          <w:szCs w:val="28"/>
          <w:u w:val="none"/>
        </w:rPr>
        <w:t>房地产估价机构、评估专业人员掌握和搜集的估价所需资料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Style w:val="52"/>
          <w:rFonts w:hint="eastAsia" w:ascii="仿宋_GB2312" w:eastAsia="仿宋_GB2312"/>
          <w:caps/>
          <w:color w:val="000000"/>
          <w:sz w:val="28"/>
          <w:szCs w:val="28"/>
          <w:u w:val="none"/>
          <w:lang w:eastAsia="zh-CN"/>
        </w:rPr>
      </w:pPr>
      <w:r>
        <w:rPr>
          <w:rFonts w:hint="eastAsia" w:ascii="仿宋_GB2312" w:hAnsi="宋体" w:eastAsia="仿宋_GB2312"/>
          <w:caps/>
          <w:color w:val="000000"/>
          <w:sz w:val="28"/>
          <w:szCs w:val="22"/>
        </w:rPr>
        <w:t>①评估专业人员实地查勘和估价机构掌握的其他相关资料；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_GB2312" w:hAnsi="宋体" w:eastAsia="仿宋_GB2312"/>
          <w:caps/>
          <w:color w:val="000000"/>
          <w:sz w:val="28"/>
        </w:rPr>
      </w:pPr>
      <w:r>
        <w:rPr>
          <w:rFonts w:hint="eastAsia" w:ascii="仿宋_GB2312" w:hAnsi="宋体" w:eastAsia="仿宋_GB2312"/>
          <w:caps/>
          <w:color w:val="000000"/>
          <w:sz w:val="28"/>
        </w:rPr>
        <w:t>②估价对象所在区域的房地产市场状况、同类房地产市场交易</w:t>
      </w:r>
      <w:r>
        <w:rPr>
          <w:rFonts w:hint="eastAsia" w:ascii="仿宋_GB2312" w:hAnsi="宋体" w:eastAsia="仿宋_GB2312"/>
          <w:caps/>
          <w:color w:val="000000"/>
          <w:sz w:val="28"/>
          <w:lang w:eastAsia="zh-CN"/>
        </w:rPr>
        <w:t>及租赁</w:t>
      </w:r>
      <w:r>
        <w:rPr>
          <w:rFonts w:hint="eastAsia" w:ascii="仿宋_GB2312" w:hAnsi="宋体" w:eastAsia="仿宋_GB2312"/>
          <w:caps/>
          <w:color w:val="000000"/>
          <w:sz w:val="28"/>
        </w:rPr>
        <w:t>等数据资料</w:t>
      </w:r>
      <w:r>
        <w:rPr>
          <w:rFonts w:hint="eastAsia" w:ascii="仿宋_GB2312" w:hAnsi="宋体" w:eastAsia="仿宋_GB2312"/>
          <w:caps/>
          <w:color w:val="000000"/>
          <w:sz w:val="28"/>
          <w:lang w:eastAsia="zh-CN"/>
        </w:rPr>
        <w:t>。</w:t>
      </w:r>
    </w:p>
    <w:p>
      <w:pPr>
        <w:pStyle w:val="4"/>
        <w:pageBreakBefore w:val="0"/>
        <w:widowControl w:val="0"/>
        <w:kinsoku/>
        <w:wordWrap/>
        <w:overflowPunct/>
        <w:topLinePunct w:val="0"/>
        <w:autoSpaceDE/>
        <w:autoSpaceDN/>
        <w:bidi w:val="0"/>
        <w:snapToGrid/>
        <w:spacing w:before="0" w:after="0" w:line="520" w:lineRule="exact"/>
        <w:ind w:firstLine="840" w:firstLineChars="300"/>
        <w:jc w:val="both"/>
        <w:rPr>
          <w:rFonts w:ascii="仿宋_GB2312" w:eastAsia="仿宋_GB2312"/>
          <w:caps/>
          <w:color w:val="000000"/>
          <w:spacing w:val="0"/>
          <w:sz w:val="28"/>
          <w:szCs w:val="28"/>
        </w:rPr>
      </w:pPr>
      <w:bookmarkStart w:id="68" w:name="_Toc13012"/>
      <w:r>
        <w:rPr>
          <w:rFonts w:hint="eastAsia" w:ascii="仿宋_GB2312" w:eastAsia="仿宋_GB2312"/>
          <w:caps/>
          <w:color w:val="000000"/>
          <w:spacing w:val="0"/>
          <w:sz w:val="28"/>
          <w:szCs w:val="28"/>
        </w:rPr>
        <w:t>九、估价方法</w:t>
      </w:r>
      <w:bookmarkEnd w:id="65"/>
      <w:bookmarkEnd w:id="66"/>
      <w:bookmarkEnd w:id="67"/>
      <w:bookmarkEnd w:id="68"/>
    </w:p>
    <w:p>
      <w:pPr>
        <w:pageBreakBefore w:val="0"/>
        <w:widowControl w:val="0"/>
        <w:kinsoku/>
        <w:wordWrap/>
        <w:overflowPunct/>
        <w:topLinePunct w:val="0"/>
        <w:autoSpaceDE/>
        <w:autoSpaceDN/>
        <w:bidi w:val="0"/>
        <w:snapToGrid/>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rPr>
        <w:t>根据《房地产估价规范》（GB/T50291-2015）、</w:t>
      </w:r>
      <w:r>
        <w:rPr>
          <w:rFonts w:hint="eastAsia" w:ascii="仿宋_GB2312" w:hAnsi="宋体" w:eastAsia="仿宋_GB2312"/>
          <w:caps/>
          <w:color w:val="000000"/>
          <w:sz w:val="28"/>
        </w:rPr>
        <w:t>《房地产估价基本术语标准》（GB/T50899-2013）</w:t>
      </w:r>
      <w:r>
        <w:rPr>
          <w:rFonts w:hint="eastAsia" w:ascii="仿宋_GB2312" w:eastAsia="仿宋_GB2312"/>
          <w:color w:val="000000"/>
          <w:sz w:val="28"/>
        </w:rPr>
        <w:t>，通行的估价方法有比较法、收益法、成本法、假设开发法等。</w:t>
      </w:r>
      <w:r>
        <w:rPr>
          <w:rFonts w:hint="eastAsia" w:ascii="仿宋_GB2312" w:eastAsia="仿宋_GB2312"/>
          <w:color w:val="000000"/>
          <w:sz w:val="28"/>
          <w:szCs w:val="28"/>
        </w:rPr>
        <w:t>估价方法的选择应根据当地房地产市场发育情况并结合估价对象的具体特点及估价目的等，选择适当的估价方法。</w:t>
      </w:r>
    </w:p>
    <w:p>
      <w:pPr>
        <w:pageBreakBefore w:val="0"/>
        <w:widowControl w:val="0"/>
        <w:kinsoku/>
        <w:wordWrap/>
        <w:overflowPunct/>
        <w:topLinePunct w:val="0"/>
        <w:autoSpaceDE/>
        <w:autoSpaceDN/>
        <w:bidi w:val="0"/>
        <w:snapToGrid/>
        <w:spacing w:line="520" w:lineRule="exact"/>
        <w:ind w:firstLine="560" w:firstLineChars="200"/>
        <w:rPr>
          <w:rFonts w:ascii="仿宋_GB2312" w:eastAsia="仿宋_GB2312"/>
          <w:color w:val="000000"/>
          <w:sz w:val="28"/>
        </w:rPr>
      </w:pPr>
      <w:r>
        <w:rPr>
          <w:rFonts w:hint="eastAsia" w:ascii="仿宋_GB2312" w:eastAsia="仿宋_GB2312"/>
          <w:color w:val="000000"/>
          <w:sz w:val="28"/>
        </w:rPr>
        <w:t>评估专业人员在认真分析所掌握的资料，并对估价对象进行了实地查勘以及对周边房地产市场进行调查后，根据《房地产估价规范》（GB/T50291-2015）、</w:t>
      </w:r>
      <w:r>
        <w:rPr>
          <w:rFonts w:hint="eastAsia" w:ascii="仿宋_GB2312" w:hAnsi="宋体" w:eastAsia="仿宋_GB2312"/>
          <w:caps/>
          <w:color w:val="000000"/>
          <w:sz w:val="28"/>
        </w:rPr>
        <w:t>《房地产估价基本术语标准》（GB/T50899-2013）</w:t>
      </w:r>
      <w:r>
        <w:rPr>
          <w:rFonts w:hint="eastAsia" w:ascii="仿宋_GB2312" w:eastAsia="仿宋_GB2312"/>
          <w:color w:val="000000"/>
          <w:sz w:val="28"/>
        </w:rPr>
        <w:t>，遵照国家有关法律、法规、估价技术标准，经过反复研究，最终选取比较法、</w:t>
      </w:r>
      <w:r>
        <w:rPr>
          <w:rFonts w:hint="eastAsia" w:ascii="仿宋_GB2312" w:eastAsia="仿宋_GB2312"/>
          <w:color w:val="000000"/>
          <w:sz w:val="28"/>
          <w:lang w:eastAsia="zh-CN"/>
        </w:rPr>
        <w:t>收益</w:t>
      </w:r>
      <w:r>
        <w:rPr>
          <w:rFonts w:hint="eastAsia" w:ascii="仿宋_GB2312" w:eastAsia="仿宋_GB2312"/>
          <w:color w:val="000000"/>
          <w:sz w:val="28"/>
        </w:rPr>
        <w:t>法对</w:t>
      </w:r>
      <w:r>
        <w:rPr>
          <w:rFonts w:hint="eastAsia" w:ascii="仿宋_GB2312" w:eastAsia="仿宋_GB2312"/>
          <w:caps/>
          <w:color w:val="000000"/>
          <w:sz w:val="28"/>
          <w:szCs w:val="28"/>
          <w:lang w:eastAsia="zh-CN"/>
        </w:rPr>
        <w:t>广州市增城区新塘镇新绣南路45号负二层2443房</w:t>
      </w:r>
      <w:r>
        <w:rPr>
          <w:rFonts w:hint="eastAsia" w:ascii="仿宋_GB2312" w:eastAsia="仿宋_GB2312"/>
          <w:caps/>
          <w:color w:val="000000"/>
          <w:sz w:val="28"/>
          <w:szCs w:val="28"/>
        </w:rPr>
        <w:t>房地产进行估价</w:t>
      </w:r>
      <w:r>
        <w:rPr>
          <w:rFonts w:hint="eastAsia" w:ascii="仿宋_GB2312" w:eastAsia="仿宋_GB2312"/>
          <w:color w:val="000000"/>
          <w:sz w:val="28"/>
        </w:rPr>
        <w:t>。</w:t>
      </w:r>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3562"/>
        <w:gridCol w:w="3395"/>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5" w:type="pct"/>
            <w:shd w:val="clear" w:color="auto" w:fill="BFBFBF"/>
            <w:vAlign w:val="center"/>
          </w:tcPr>
          <w:p>
            <w:pPr>
              <w:pStyle w:val="24"/>
              <w:tabs>
                <w:tab w:val="left" w:pos="630"/>
              </w:tabs>
              <w:spacing w:beforeLines="50" w:after="100" w:afterAutospacing="1" w:line="240" w:lineRule="auto"/>
              <w:ind w:right="0" w:firstLine="0"/>
              <w:jc w:val="center"/>
              <w:rPr>
                <w:rFonts w:hAnsi="宋体" w:cs="宋体"/>
                <w:b/>
                <w:bCs/>
                <w:color w:val="000000"/>
                <w:kern w:val="0"/>
                <w:sz w:val="21"/>
                <w:szCs w:val="21"/>
              </w:rPr>
            </w:pPr>
            <w:r>
              <w:rPr>
                <w:color w:val="000000"/>
                <w:sz w:val="21"/>
                <w:szCs w:val="21"/>
              </w:rPr>
              <w:br w:type="page"/>
            </w:r>
            <w:r>
              <w:rPr>
                <w:rFonts w:hint="eastAsia" w:hAnsi="宋体" w:cs="宋体"/>
                <w:b/>
                <w:color w:val="000000"/>
                <w:kern w:val="0"/>
                <w:sz w:val="21"/>
                <w:szCs w:val="21"/>
              </w:rPr>
              <w:t>可选估价方法</w:t>
            </w:r>
          </w:p>
        </w:tc>
        <w:tc>
          <w:tcPr>
            <w:tcW w:w="1872" w:type="pct"/>
            <w:shd w:val="clear" w:color="auto" w:fill="BFBFBF"/>
            <w:vAlign w:val="center"/>
          </w:tcPr>
          <w:p>
            <w:pPr>
              <w:pStyle w:val="24"/>
              <w:tabs>
                <w:tab w:val="left" w:pos="630"/>
              </w:tabs>
              <w:spacing w:beforeLines="50" w:after="100" w:afterAutospacing="1" w:line="240" w:lineRule="auto"/>
              <w:ind w:right="0" w:firstLine="400"/>
              <w:jc w:val="center"/>
              <w:rPr>
                <w:rFonts w:hAnsi="宋体" w:cs="宋体"/>
                <w:b/>
                <w:bCs/>
                <w:color w:val="000000"/>
                <w:kern w:val="0"/>
                <w:sz w:val="21"/>
                <w:szCs w:val="21"/>
              </w:rPr>
            </w:pPr>
            <w:r>
              <w:rPr>
                <w:rFonts w:hint="eastAsia" w:hAnsi="宋体" w:cs="宋体"/>
                <w:b/>
                <w:color w:val="000000"/>
                <w:kern w:val="0"/>
                <w:sz w:val="21"/>
                <w:szCs w:val="21"/>
              </w:rPr>
              <w:t>估价方法定义</w:t>
            </w:r>
          </w:p>
        </w:tc>
        <w:tc>
          <w:tcPr>
            <w:tcW w:w="1784" w:type="pct"/>
            <w:shd w:val="clear" w:color="auto" w:fill="BFBFBF"/>
            <w:vAlign w:val="center"/>
          </w:tcPr>
          <w:p>
            <w:pPr>
              <w:pStyle w:val="24"/>
              <w:tabs>
                <w:tab w:val="left" w:pos="630"/>
              </w:tabs>
              <w:spacing w:beforeLines="50" w:after="100" w:afterAutospacing="1" w:line="240" w:lineRule="auto"/>
              <w:ind w:right="0" w:firstLine="400"/>
              <w:jc w:val="center"/>
              <w:rPr>
                <w:rFonts w:hAnsi="宋体" w:cs="宋体"/>
                <w:b/>
                <w:bCs/>
                <w:color w:val="000000"/>
                <w:kern w:val="0"/>
                <w:sz w:val="21"/>
                <w:szCs w:val="21"/>
              </w:rPr>
            </w:pPr>
            <w:r>
              <w:rPr>
                <w:rFonts w:hint="eastAsia" w:hAnsi="宋体" w:cs="宋体"/>
                <w:b/>
                <w:bCs/>
                <w:color w:val="000000"/>
                <w:kern w:val="0"/>
                <w:sz w:val="21"/>
                <w:szCs w:val="21"/>
              </w:rPr>
              <w:t>估价方法是否选择理由</w:t>
            </w:r>
          </w:p>
        </w:tc>
        <w:tc>
          <w:tcPr>
            <w:tcW w:w="557" w:type="pct"/>
            <w:shd w:val="clear" w:color="auto" w:fill="BFBFBF"/>
            <w:vAlign w:val="center"/>
          </w:tcPr>
          <w:p>
            <w:pPr>
              <w:pStyle w:val="24"/>
              <w:tabs>
                <w:tab w:val="left" w:pos="630"/>
              </w:tabs>
              <w:spacing w:beforeLines="50" w:after="100" w:afterAutospacing="1" w:line="240" w:lineRule="auto"/>
              <w:ind w:right="0" w:firstLine="0"/>
              <w:jc w:val="center"/>
              <w:rPr>
                <w:rFonts w:hAnsi="宋体" w:cs="宋体"/>
                <w:b/>
                <w:bCs/>
                <w:color w:val="000000"/>
                <w:kern w:val="0"/>
                <w:sz w:val="21"/>
                <w:szCs w:val="21"/>
              </w:rPr>
            </w:pPr>
            <w:r>
              <w:rPr>
                <w:rFonts w:hint="eastAsia" w:hAnsi="宋体" w:cs="宋体"/>
                <w:b/>
                <w:bCs/>
                <w:color w:val="000000"/>
                <w:kern w:val="0"/>
                <w:sz w:val="21"/>
                <w:szCs w:val="21"/>
              </w:rPr>
              <w:t>是否选取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pct"/>
            <w:vAlign w:val="center"/>
          </w:tcPr>
          <w:p>
            <w:pPr>
              <w:widowControl/>
              <w:spacing w:beforeLines="50" w:afterLines="50" w:line="240" w:lineRule="auto"/>
              <w:jc w:val="center"/>
              <w:rPr>
                <w:rFonts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比较法</w:t>
            </w:r>
          </w:p>
        </w:tc>
        <w:tc>
          <w:tcPr>
            <w:tcW w:w="1872" w:type="pct"/>
            <w:vAlign w:val="center"/>
          </w:tcPr>
          <w:p>
            <w:pPr>
              <w:widowControl/>
              <w:spacing w:beforeLines="50" w:afterLines="50" w:line="240" w:lineRule="auto"/>
              <w:ind w:firstLine="420" w:firstLineChars="200"/>
              <w:jc w:val="both"/>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选取一定数量的可比实例，将它们与估价对象进行比较，根据其间的差异对可比实例成交价格进行处理后得到估价对象价值或价格的方法。</w:t>
            </w:r>
          </w:p>
        </w:tc>
        <w:tc>
          <w:tcPr>
            <w:tcW w:w="1784" w:type="pct"/>
            <w:vAlign w:val="center"/>
          </w:tcPr>
          <w:p>
            <w:pPr>
              <w:widowControl/>
              <w:spacing w:beforeLines="50" w:afterLines="50" w:line="240" w:lineRule="auto"/>
              <w:ind w:firstLine="420" w:firstLineChars="200"/>
              <w:jc w:val="both"/>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估价对象</w:t>
            </w:r>
            <w:r>
              <w:rPr>
                <w:rFonts w:hint="eastAsia" w:ascii="仿宋_GB2312" w:hAnsi="宋体" w:eastAsia="仿宋_GB2312" w:cs="宋体"/>
                <w:color w:val="000000"/>
                <w:kern w:val="0"/>
                <w:sz w:val="21"/>
                <w:szCs w:val="21"/>
                <w:lang w:eastAsia="zh-CN"/>
              </w:rPr>
              <w:t>房屋用途为车位</w:t>
            </w:r>
            <w:r>
              <w:rPr>
                <w:rFonts w:hint="eastAsia" w:ascii="仿宋_GB2312" w:hAnsi="宋体" w:eastAsia="仿宋_GB2312" w:cs="宋体"/>
                <w:color w:val="000000"/>
                <w:kern w:val="0"/>
                <w:sz w:val="21"/>
                <w:szCs w:val="21"/>
              </w:rPr>
              <w:t>，所在区域与估价对象相似的出售可比案例（同一供需圈内、用途一致、邻近区域）较多，故本次选取比较法对估价对象进行估价。</w:t>
            </w:r>
          </w:p>
        </w:tc>
        <w:tc>
          <w:tcPr>
            <w:tcW w:w="557" w:type="pct"/>
            <w:vAlign w:val="center"/>
          </w:tcPr>
          <w:p>
            <w:pPr>
              <w:widowControl/>
              <w:spacing w:beforeLines="50" w:afterLines="50" w:line="240" w:lineRule="auto"/>
              <w:jc w:val="center"/>
              <w:rPr>
                <w:rFonts w:ascii="仿宋_GB2312" w:hAnsi="宋体" w:eastAsia="仿宋_GB2312" w:cs="宋体"/>
                <w:color w:val="000000"/>
                <w:kern w:val="0"/>
                <w:sz w:val="21"/>
                <w:szCs w:val="21"/>
              </w:rPr>
            </w:pPr>
            <w:r>
              <w:rPr>
                <w:rFonts w:hint="eastAsia" w:ascii="仿宋_GB2312" w:hAnsi="宋体" w:eastAsia="仿宋_GB2312" w:cs="宋体"/>
                <w:b/>
                <w:bCs/>
                <w:color w:val="000000"/>
                <w:kern w:val="0"/>
                <w:sz w:val="21"/>
                <w:szCs w:val="21"/>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785" w:type="pct"/>
            <w:vAlign w:val="center"/>
          </w:tcPr>
          <w:p>
            <w:pPr>
              <w:widowControl/>
              <w:spacing w:beforeLines="50" w:afterLines="50" w:line="240" w:lineRule="auto"/>
              <w:jc w:val="center"/>
              <w:rPr>
                <w:rFonts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收益法</w:t>
            </w:r>
          </w:p>
        </w:tc>
        <w:tc>
          <w:tcPr>
            <w:tcW w:w="1872" w:type="pct"/>
            <w:tcBorders>
              <w:top w:val="single" w:color="auto" w:sz="4" w:space="0"/>
              <w:left w:val="single" w:color="auto" w:sz="4" w:space="0"/>
              <w:bottom w:val="single" w:color="auto" w:sz="4" w:space="0"/>
              <w:right w:val="single" w:color="auto" w:sz="4" w:space="0"/>
            </w:tcBorders>
            <w:vAlign w:val="center"/>
          </w:tcPr>
          <w:p>
            <w:pPr>
              <w:widowControl/>
              <w:spacing w:beforeLines="50" w:afterLines="50" w:line="240" w:lineRule="auto"/>
              <w:ind w:firstLine="420" w:firstLineChars="200"/>
              <w:jc w:val="both"/>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预测估价对象未来收益，利用报酬率或资本化率、收益乘数将未来收益转换为价值得到估价对象价值或价格的方法。</w:t>
            </w:r>
          </w:p>
        </w:tc>
        <w:tc>
          <w:tcPr>
            <w:tcW w:w="1784" w:type="pct"/>
            <w:tcBorders>
              <w:top w:val="single" w:color="auto" w:sz="4" w:space="0"/>
              <w:left w:val="single" w:color="auto" w:sz="4" w:space="0"/>
              <w:bottom w:val="single" w:color="auto" w:sz="4" w:space="0"/>
              <w:right w:val="single" w:color="auto" w:sz="4" w:space="0"/>
            </w:tcBorders>
            <w:vAlign w:val="center"/>
          </w:tcPr>
          <w:p>
            <w:pPr>
              <w:widowControl/>
              <w:spacing w:beforeLines="50" w:afterLines="50" w:line="240" w:lineRule="auto"/>
              <w:ind w:firstLine="420" w:firstLineChars="200"/>
              <w:jc w:val="both"/>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收益法适宜用于收益性物业评估，即为有经济收益或有潜在经济收益的房地产，估价对象</w:t>
            </w:r>
            <w:r>
              <w:rPr>
                <w:rFonts w:hint="eastAsia" w:ascii="仿宋_GB2312" w:hAnsi="宋体" w:eastAsia="仿宋_GB2312" w:cs="宋体"/>
                <w:color w:val="000000"/>
                <w:kern w:val="0"/>
                <w:sz w:val="21"/>
                <w:szCs w:val="21"/>
                <w:lang w:eastAsia="zh-CN"/>
              </w:rPr>
              <w:t>用途为车位</w:t>
            </w:r>
            <w:r>
              <w:rPr>
                <w:rFonts w:hint="eastAsia" w:ascii="仿宋_GB2312" w:hAnsi="宋体" w:eastAsia="仿宋_GB2312" w:cs="宋体"/>
                <w:color w:val="000000"/>
                <w:kern w:val="0"/>
                <w:sz w:val="21"/>
                <w:szCs w:val="21"/>
              </w:rPr>
              <w:t>，周边同类型物业租赁市场活跃，故适宜采用收益法进行评估。</w:t>
            </w:r>
          </w:p>
        </w:tc>
        <w:tc>
          <w:tcPr>
            <w:tcW w:w="557" w:type="pct"/>
            <w:vAlign w:val="center"/>
          </w:tcPr>
          <w:p>
            <w:pPr>
              <w:widowControl/>
              <w:spacing w:beforeLines="50" w:afterLines="50" w:line="240" w:lineRule="auto"/>
              <w:jc w:val="center"/>
              <w:rPr>
                <w:rFonts w:ascii="仿宋_GB2312" w:hAnsi="宋体" w:eastAsia="仿宋_GB2312" w:cs="宋体"/>
                <w:color w:val="000000"/>
                <w:kern w:val="0"/>
                <w:sz w:val="21"/>
                <w:szCs w:val="21"/>
              </w:rPr>
            </w:pPr>
            <w:r>
              <w:rPr>
                <w:rFonts w:hint="eastAsia" w:ascii="仿宋_GB2312" w:hAnsi="宋体" w:eastAsia="仿宋_GB2312" w:cs="宋体"/>
                <w:b/>
                <w:bCs/>
                <w:color w:val="000000"/>
                <w:kern w:val="0"/>
                <w:sz w:val="21"/>
                <w:szCs w:val="21"/>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785" w:type="pct"/>
            <w:vAlign w:val="center"/>
          </w:tcPr>
          <w:p>
            <w:pPr>
              <w:widowControl/>
              <w:spacing w:beforeLines="50" w:afterLines="50" w:line="240" w:lineRule="auto"/>
              <w:jc w:val="center"/>
              <w:rPr>
                <w:rFonts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假设开发法</w:t>
            </w:r>
          </w:p>
        </w:tc>
        <w:tc>
          <w:tcPr>
            <w:tcW w:w="1872" w:type="pct"/>
            <w:vAlign w:val="center"/>
          </w:tcPr>
          <w:p>
            <w:pPr>
              <w:widowControl/>
              <w:spacing w:beforeLines="50" w:afterLines="50" w:line="240" w:lineRule="auto"/>
              <w:ind w:firstLine="420" w:firstLineChars="200"/>
              <w:jc w:val="both"/>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1784" w:type="pct"/>
            <w:vAlign w:val="center"/>
          </w:tcPr>
          <w:p>
            <w:pPr>
              <w:widowControl/>
              <w:spacing w:beforeLines="50" w:afterLines="50" w:line="240" w:lineRule="auto"/>
              <w:ind w:firstLine="420" w:firstLineChars="200"/>
              <w:jc w:val="both"/>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假设开发法适用于评估具有投资开发价值或再开发潜力的房地产，估价对象为已完成开发的物业，故本次评估不选取假设开发法作为估价方法。</w:t>
            </w:r>
          </w:p>
        </w:tc>
        <w:tc>
          <w:tcPr>
            <w:tcW w:w="557" w:type="pct"/>
            <w:vAlign w:val="center"/>
          </w:tcPr>
          <w:p>
            <w:pPr>
              <w:widowControl/>
              <w:spacing w:beforeLines="50" w:afterLines="50" w:line="240" w:lineRule="auto"/>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不选取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785" w:type="pct"/>
            <w:vAlign w:val="center"/>
          </w:tcPr>
          <w:p>
            <w:pPr>
              <w:pStyle w:val="24"/>
              <w:tabs>
                <w:tab w:val="left" w:pos="630"/>
              </w:tabs>
              <w:spacing w:after="100" w:afterAutospacing="1" w:line="240" w:lineRule="auto"/>
              <w:ind w:right="0" w:rightChars="0" w:firstLine="0" w:firstLineChars="0"/>
              <w:jc w:val="center"/>
              <w:rPr>
                <w:rFonts w:ascii="仿宋_GB2312" w:hAnsi="宋体" w:eastAsia="仿宋_GB2312" w:cs="宋体"/>
                <w:b/>
                <w:bCs/>
                <w:color w:val="000000"/>
                <w:kern w:val="0"/>
                <w:sz w:val="21"/>
                <w:szCs w:val="21"/>
              </w:rPr>
            </w:pPr>
            <w:r>
              <w:rPr>
                <w:rFonts w:hint="eastAsia" w:hAnsi="宋体" w:cs="宋体"/>
                <w:b/>
                <w:kern w:val="0"/>
                <w:sz w:val="21"/>
                <w:szCs w:val="21"/>
              </w:rPr>
              <w:t>成本法</w:t>
            </w:r>
          </w:p>
        </w:tc>
        <w:tc>
          <w:tcPr>
            <w:tcW w:w="1872" w:type="pct"/>
            <w:vAlign w:val="center"/>
          </w:tcPr>
          <w:p>
            <w:pPr>
              <w:pStyle w:val="24"/>
              <w:tabs>
                <w:tab w:val="left" w:pos="630"/>
              </w:tabs>
              <w:spacing w:after="100" w:afterAutospacing="1" w:line="240" w:lineRule="auto"/>
              <w:ind w:right="0" w:rightChars="0" w:firstLine="403" w:firstLineChars="0"/>
              <w:jc w:val="left"/>
              <w:rPr>
                <w:rFonts w:ascii="仿宋_GB2312" w:hAnsi="宋体" w:eastAsia="仿宋_GB2312" w:cs="宋体"/>
                <w:color w:val="000000"/>
                <w:kern w:val="0"/>
                <w:sz w:val="21"/>
                <w:szCs w:val="21"/>
              </w:rPr>
            </w:pPr>
            <w:r>
              <w:rPr>
                <w:rFonts w:hint="eastAsia" w:hAnsi="宋体" w:cs="宋体"/>
                <w:kern w:val="0"/>
                <w:sz w:val="21"/>
                <w:szCs w:val="21"/>
              </w:rPr>
              <w:t>测算估价对象在价值时点的重置成本或重建成本和折旧，将重置成本或重建成本减去折旧得到估价对象价值或价格的方法。</w:t>
            </w:r>
          </w:p>
        </w:tc>
        <w:tc>
          <w:tcPr>
            <w:tcW w:w="1784" w:type="pct"/>
            <w:vAlign w:val="center"/>
          </w:tcPr>
          <w:p>
            <w:pPr>
              <w:pStyle w:val="24"/>
              <w:tabs>
                <w:tab w:val="left" w:pos="630"/>
              </w:tabs>
              <w:spacing w:after="100" w:afterAutospacing="1" w:line="240" w:lineRule="auto"/>
              <w:ind w:right="0" w:rightChars="0" w:firstLine="403" w:firstLineChars="0"/>
              <w:jc w:val="left"/>
              <w:rPr>
                <w:rFonts w:ascii="仿宋_GB2312" w:hAnsi="宋体" w:eastAsia="仿宋_GB2312" w:cs="宋体"/>
                <w:color w:val="000000"/>
                <w:kern w:val="0"/>
                <w:sz w:val="21"/>
                <w:szCs w:val="21"/>
              </w:rPr>
            </w:pPr>
            <w:r>
              <w:rPr>
                <w:rFonts w:hint="eastAsia" w:hAnsi="宋体" w:cs="宋体"/>
                <w:kern w:val="0"/>
                <w:sz w:val="21"/>
                <w:szCs w:val="21"/>
              </w:rPr>
              <w:t>成本法适用于单纯建筑物的估价、无收益、交易少的公益设施的估价、独立或狭小市场无法用比较法的房地产估价、房地产保险或灾害赔偿的房地产估价</w:t>
            </w:r>
            <w:r>
              <w:rPr>
                <w:rFonts w:hint="eastAsia" w:hAnsi="宋体" w:cs="宋体"/>
                <w:kern w:val="0"/>
                <w:sz w:val="21"/>
                <w:szCs w:val="21"/>
                <w:lang w:eastAsia="zh-CN"/>
              </w:rPr>
              <w:t>，</w:t>
            </w:r>
            <w:r>
              <w:rPr>
                <w:rFonts w:hint="eastAsia" w:hAnsi="宋体" w:cs="宋体"/>
                <w:kern w:val="0"/>
                <w:sz w:val="21"/>
                <w:szCs w:val="21"/>
                <w:lang w:val="en-US" w:eastAsia="zh-CN"/>
              </w:rPr>
              <w:t>本次评估成本法不能较好地反映估价对象市场价值</w:t>
            </w:r>
            <w:r>
              <w:rPr>
                <w:rFonts w:hint="eastAsia" w:hAnsi="宋体" w:cs="宋体"/>
                <w:kern w:val="0"/>
                <w:sz w:val="21"/>
                <w:szCs w:val="21"/>
              </w:rPr>
              <w:t>，故</w:t>
            </w:r>
            <w:r>
              <w:rPr>
                <w:rFonts w:hint="eastAsia" w:hAnsi="宋体" w:cs="宋体"/>
                <w:kern w:val="0"/>
                <w:sz w:val="21"/>
                <w:szCs w:val="21"/>
                <w:lang w:eastAsia="zh-CN"/>
              </w:rPr>
              <w:t>本次不</w:t>
            </w:r>
            <w:r>
              <w:rPr>
                <w:rFonts w:hint="eastAsia" w:hAnsi="宋体" w:cs="宋体"/>
                <w:kern w:val="0"/>
                <w:sz w:val="21"/>
                <w:szCs w:val="21"/>
              </w:rPr>
              <w:t>选取成本法对估价对象进行评估。</w:t>
            </w:r>
          </w:p>
        </w:tc>
        <w:tc>
          <w:tcPr>
            <w:tcW w:w="557" w:type="pct"/>
            <w:vAlign w:val="center"/>
          </w:tcPr>
          <w:p>
            <w:pPr>
              <w:widowControl/>
              <w:spacing w:beforeLines="50" w:afterLines="50" w:line="240" w:lineRule="auto"/>
              <w:jc w:val="center"/>
              <w:rPr>
                <w:rFonts w:ascii="仿宋_GB2312" w:hAnsi="宋体" w:eastAsia="仿宋_GB2312" w:cs="宋体"/>
                <w:bCs/>
                <w:color w:val="000000"/>
                <w:kern w:val="0"/>
                <w:sz w:val="21"/>
                <w:szCs w:val="21"/>
              </w:rPr>
            </w:pPr>
            <w:r>
              <w:rPr>
                <w:rFonts w:hint="eastAsia" w:ascii="仿宋_GB2312" w:hAnsi="宋体" w:eastAsia="仿宋_GB2312" w:cs="宋体"/>
                <w:b w:val="0"/>
                <w:bCs w:val="0"/>
                <w:kern w:val="0"/>
                <w:sz w:val="21"/>
                <w:szCs w:val="21"/>
                <w:lang w:eastAsia="zh-CN"/>
              </w:rPr>
              <w:t>不</w:t>
            </w:r>
            <w:r>
              <w:rPr>
                <w:rFonts w:hint="eastAsia" w:ascii="仿宋_GB2312" w:hAnsi="宋体" w:eastAsia="仿宋_GB2312" w:cs="宋体"/>
                <w:b w:val="0"/>
                <w:bCs w:val="0"/>
                <w:kern w:val="0"/>
                <w:sz w:val="21"/>
                <w:szCs w:val="21"/>
              </w:rPr>
              <w:t>选取</w:t>
            </w:r>
          </w:p>
        </w:tc>
      </w:tr>
    </w:tbl>
    <w:p>
      <w:pPr>
        <w:pStyle w:val="182"/>
        <w:adjustRightInd/>
        <w:snapToGrid w:val="0"/>
        <w:spacing w:beforeLines="100" w:line="360" w:lineRule="auto"/>
        <w:ind w:right="0" w:firstLine="560" w:firstLineChars="200"/>
        <w:rPr>
          <w:rFonts w:ascii="仿宋_GB2312" w:eastAsia="仿宋_GB2312"/>
          <w:color w:val="000000"/>
          <w:kern w:val="2"/>
          <w:sz w:val="28"/>
          <w:szCs w:val="22"/>
        </w:rPr>
      </w:pPr>
      <w:r>
        <w:rPr>
          <w:rFonts w:hint="eastAsia" w:ascii="仿宋_GB2312" w:eastAsia="仿宋_GB2312"/>
          <w:color w:val="000000"/>
          <w:sz w:val="28"/>
        </w:rPr>
        <w:fldChar w:fldCharType="begin"/>
      </w:r>
      <w:r>
        <w:rPr>
          <w:rFonts w:hint="eastAsia" w:ascii="仿宋_GB2312" w:eastAsia="仿宋_GB2312"/>
          <w:color w:val="000000"/>
          <w:sz w:val="28"/>
        </w:rPr>
        <w:instrText xml:space="preserve"> = 1 \* GB3 \* MERGEFORMAT </w:instrText>
      </w:r>
      <w:r>
        <w:rPr>
          <w:rFonts w:hint="eastAsia" w:ascii="仿宋_GB2312" w:eastAsia="仿宋_GB2312"/>
          <w:color w:val="000000"/>
          <w:sz w:val="28"/>
        </w:rPr>
        <w:fldChar w:fldCharType="separate"/>
      </w:r>
      <w:r>
        <w:rPr>
          <w:rFonts w:hint="eastAsia" w:ascii="仿宋_GB2312" w:eastAsia="仿宋_GB2312"/>
          <w:color w:val="000000"/>
          <w:sz w:val="28"/>
        </w:rPr>
        <w:t>①</w:t>
      </w:r>
      <w:r>
        <w:rPr>
          <w:rFonts w:hint="eastAsia" w:ascii="仿宋_GB2312" w:eastAsia="仿宋_GB2312"/>
          <w:color w:val="000000"/>
          <w:sz w:val="28"/>
        </w:rPr>
        <w:fldChar w:fldCharType="end"/>
      </w:r>
      <w:r>
        <w:rPr>
          <w:rFonts w:hint="eastAsia" w:ascii="仿宋_GB2312" w:eastAsia="仿宋_GB2312"/>
          <w:color w:val="000000"/>
          <w:sz w:val="28"/>
        </w:rPr>
        <w:t>比较法即</w:t>
      </w:r>
      <w:r>
        <w:rPr>
          <w:rFonts w:hint="eastAsia" w:ascii="仿宋_GB2312" w:eastAsia="仿宋_GB2312"/>
          <w:color w:val="000000"/>
          <w:sz w:val="28"/>
          <w:szCs w:val="28"/>
        </w:rPr>
        <w:t>选取一定数量的可比实例，将它们与估价对象进行比较，根</w:t>
      </w:r>
      <w:r>
        <w:rPr>
          <w:rFonts w:hint="eastAsia" w:ascii="仿宋_GB2312" w:eastAsia="仿宋_GB2312"/>
          <w:color w:val="000000"/>
          <w:kern w:val="2"/>
          <w:sz w:val="28"/>
          <w:szCs w:val="22"/>
        </w:rPr>
        <w:t>据其间的差异对可比实例成交价格进行处理后得到估价对象价值或价格的方法。</w:t>
      </w:r>
    </w:p>
    <w:p>
      <w:pPr>
        <w:spacing w:line="360" w:lineRule="auto"/>
        <w:ind w:firstLine="567"/>
        <w:rPr>
          <w:rFonts w:hint="eastAsia" w:ascii="仿宋_GB2312" w:hAnsi="仿宋" w:eastAsia="仿宋_GB2312" w:cs="仿宋_GB2312"/>
          <w:sz w:val="28"/>
          <w:szCs w:val="28"/>
          <w:lang w:eastAsia="zh-CN"/>
        </w:rPr>
      </w:pPr>
      <w:r>
        <w:rPr>
          <w:rFonts w:hint="eastAsia" w:ascii="仿宋_GB2312" w:hAnsi="Arial" w:eastAsia="仿宋_GB2312"/>
          <w:color w:val="000000"/>
          <w:spacing w:val="4"/>
          <w:sz w:val="28"/>
          <w:szCs w:val="28"/>
        </w:rPr>
        <w:fldChar w:fldCharType="begin"/>
      </w:r>
      <w:r>
        <w:rPr>
          <w:rFonts w:hint="eastAsia" w:ascii="仿宋_GB2312" w:hAnsi="Arial" w:eastAsia="仿宋_GB2312"/>
          <w:color w:val="000000"/>
          <w:spacing w:val="4"/>
          <w:sz w:val="28"/>
          <w:szCs w:val="28"/>
        </w:rPr>
        <w:instrText xml:space="preserve"> = 2 \* GB3 \* MERGEFORMAT </w:instrText>
      </w:r>
      <w:r>
        <w:rPr>
          <w:rFonts w:hint="eastAsia" w:ascii="仿宋_GB2312" w:hAnsi="Arial" w:eastAsia="仿宋_GB2312"/>
          <w:color w:val="000000"/>
          <w:spacing w:val="4"/>
          <w:sz w:val="28"/>
          <w:szCs w:val="28"/>
        </w:rPr>
        <w:fldChar w:fldCharType="separate"/>
      </w:r>
      <w:r>
        <w:rPr>
          <w:rFonts w:hint="eastAsia" w:ascii="仿宋_GB2312" w:hAnsi="Arial" w:eastAsia="仿宋_GB2312"/>
          <w:color w:val="000000"/>
          <w:spacing w:val="4"/>
          <w:sz w:val="28"/>
          <w:szCs w:val="28"/>
        </w:rPr>
        <w:t>②</w:t>
      </w:r>
      <w:r>
        <w:rPr>
          <w:rFonts w:hint="eastAsia" w:ascii="仿宋_GB2312" w:hAnsi="Arial" w:eastAsia="仿宋_GB2312"/>
          <w:color w:val="000000"/>
          <w:spacing w:val="4"/>
          <w:sz w:val="28"/>
          <w:szCs w:val="28"/>
        </w:rPr>
        <w:fldChar w:fldCharType="end"/>
      </w:r>
      <w:bookmarkStart w:id="69" w:name="_Toc438048747"/>
      <w:bookmarkStart w:id="70" w:name="_Toc476642225"/>
      <w:bookmarkStart w:id="71" w:name="_Toc476642111"/>
      <w:r>
        <w:rPr>
          <w:rFonts w:hint="eastAsia" w:ascii="仿宋_GB2312" w:eastAsia="仿宋_GB2312"/>
          <w:sz w:val="28"/>
        </w:rPr>
        <w:t>收益法是指预</w:t>
      </w:r>
      <w:r>
        <w:rPr>
          <w:rFonts w:hint="eastAsia" w:ascii="仿宋_GB2312" w:eastAsia="仿宋_GB2312"/>
          <w:color w:val="000000"/>
          <w:sz w:val="28"/>
          <w:szCs w:val="28"/>
        </w:rPr>
        <w:t>测估价对象的未来收益，利用报酬率或资本化率、收益乘数将未来收益转换为价值得到估价对象价值或价格的方法。</w:t>
      </w:r>
    </w:p>
    <w:p>
      <w:pPr>
        <w:pStyle w:val="4"/>
        <w:spacing w:before="0" w:after="0" w:line="360" w:lineRule="auto"/>
        <w:ind w:firstLine="560" w:firstLineChars="200"/>
        <w:jc w:val="both"/>
        <w:rPr>
          <w:rFonts w:ascii="仿宋_GB2312" w:eastAsia="仿宋_GB2312"/>
          <w:caps/>
          <w:color w:val="000000"/>
          <w:spacing w:val="0"/>
          <w:sz w:val="28"/>
          <w:szCs w:val="28"/>
        </w:rPr>
      </w:pPr>
      <w:bookmarkStart w:id="72" w:name="_Toc31766"/>
      <w:r>
        <w:rPr>
          <w:rFonts w:hint="eastAsia" w:ascii="仿宋_GB2312" w:eastAsia="仿宋_GB2312"/>
          <w:caps/>
          <w:color w:val="000000"/>
          <w:spacing w:val="0"/>
          <w:sz w:val="28"/>
          <w:szCs w:val="28"/>
        </w:rPr>
        <w:t>十、估价结果</w:t>
      </w:r>
      <w:bookmarkEnd w:id="69"/>
      <w:bookmarkEnd w:id="70"/>
      <w:bookmarkEnd w:id="71"/>
      <w:bookmarkEnd w:id="72"/>
    </w:p>
    <w:p>
      <w:pPr>
        <w:spacing w:line="360" w:lineRule="auto"/>
        <w:ind w:firstLine="576" w:firstLineChars="200"/>
        <w:jc w:val="left"/>
        <w:rPr>
          <w:rFonts w:ascii="仿宋_GB2312" w:hAnsi="Arial" w:eastAsia="仿宋_GB2312"/>
          <w:color w:val="000000"/>
          <w:spacing w:val="4"/>
          <w:sz w:val="28"/>
          <w:szCs w:val="28"/>
        </w:rPr>
      </w:pPr>
      <w:r>
        <w:rPr>
          <w:rFonts w:hint="eastAsia" w:ascii="仿宋_GB2312" w:hAnsi="Arial" w:eastAsia="仿宋_GB2312"/>
          <w:color w:val="000000"/>
          <w:spacing w:val="4"/>
          <w:sz w:val="28"/>
          <w:szCs w:val="28"/>
        </w:rPr>
        <w:t>1、估价结果</w:t>
      </w:r>
    </w:p>
    <w:p>
      <w:pPr>
        <w:spacing w:line="360" w:lineRule="auto"/>
        <w:ind w:firstLine="560" w:firstLineChars="200"/>
        <w:jc w:val="left"/>
        <w:rPr>
          <w:rFonts w:hint="eastAsia" w:ascii="仿宋_GB2312" w:eastAsia="仿宋_GB2312"/>
          <w:caps/>
          <w:color w:val="000000"/>
          <w:sz w:val="28"/>
          <w:szCs w:val="22"/>
          <w:highlight w:val="none"/>
          <w:lang w:eastAsia="zh-CN"/>
        </w:rPr>
      </w:pPr>
      <w:r>
        <w:rPr>
          <w:rFonts w:hint="eastAsia" w:ascii="仿宋_GB2312" w:eastAsia="仿宋_GB2312"/>
          <w:caps/>
          <w:color w:val="000000"/>
          <w:sz w:val="28"/>
          <w:szCs w:val="22"/>
          <w:highlight w:val="none"/>
        </w:rPr>
        <w:t>评估专业人员经过实地查勘和科学测算，根据估价目的，遵循估价原则，采用公开市场价值标准，在认真分析估价委托人提供的资料以及实地查勘和市场调查取得的资料的基础上，对影响房地产市场价值因素进行了分析，经采用适宜的方法，结合估价经验，确定估价对象在满足估价的假设前提和限制条件下于价值时点的市场总价为</w:t>
      </w:r>
      <w:r>
        <w:rPr>
          <w:rFonts w:hint="eastAsia" w:ascii="仿宋_GB2312" w:eastAsia="仿宋_GB2312"/>
          <w:b/>
          <w:bCs/>
          <w:caps/>
          <w:color w:val="000000"/>
          <w:sz w:val="28"/>
          <w:szCs w:val="22"/>
          <w:highlight w:val="none"/>
        </w:rPr>
        <w:t>¥</w:t>
      </w:r>
      <w:r>
        <w:rPr>
          <w:rFonts w:hint="eastAsia" w:ascii="仿宋_GB2312" w:eastAsia="仿宋_GB2312"/>
          <w:b/>
          <w:bCs/>
          <w:caps/>
          <w:color w:val="000000"/>
          <w:sz w:val="28"/>
          <w:szCs w:val="22"/>
          <w:highlight w:val="none"/>
          <w:lang w:val="en-US" w:eastAsia="zh-CN"/>
        </w:rPr>
        <w:t>99,400</w:t>
      </w:r>
      <w:r>
        <w:rPr>
          <w:rFonts w:hint="eastAsia" w:ascii="仿宋_GB2312" w:eastAsia="仿宋_GB2312"/>
          <w:caps/>
          <w:color w:val="000000"/>
          <w:sz w:val="28"/>
          <w:szCs w:val="22"/>
          <w:highlight w:val="none"/>
        </w:rPr>
        <w:t>元(人民币</w:t>
      </w:r>
      <w:r>
        <w:rPr>
          <w:rFonts w:hint="eastAsia" w:ascii="仿宋_GB2312" w:eastAsia="仿宋_GB2312"/>
          <w:b/>
          <w:bCs/>
          <w:caps/>
          <w:color w:val="000000"/>
          <w:sz w:val="28"/>
          <w:szCs w:val="22"/>
          <w:highlight w:val="none"/>
          <w:lang w:val="en-US" w:eastAsia="zh-CN"/>
        </w:rPr>
        <w:t>玖万玖仟肆佰</w:t>
      </w:r>
      <w:r>
        <w:rPr>
          <w:rFonts w:hint="eastAsia" w:ascii="仿宋_GB2312" w:eastAsia="仿宋_GB2312"/>
          <w:caps/>
          <w:color w:val="000000"/>
          <w:sz w:val="28"/>
          <w:szCs w:val="22"/>
          <w:highlight w:val="none"/>
        </w:rPr>
        <w:fldChar w:fldCharType="begin"/>
      </w:r>
      <w:r>
        <w:rPr>
          <w:rFonts w:hint="eastAsia" w:ascii="仿宋_GB2312" w:eastAsia="仿宋_GB2312"/>
          <w:caps/>
          <w:color w:val="000000"/>
          <w:sz w:val="28"/>
          <w:szCs w:val="22"/>
          <w:highlight w:val="none"/>
        </w:rPr>
        <w:instrText xml:space="preserve"> =1841500 \* CHINESENUM2 </w:instrText>
      </w:r>
      <w:r>
        <w:rPr>
          <w:rFonts w:hint="eastAsia" w:ascii="仿宋_GB2312" w:eastAsia="仿宋_GB2312"/>
          <w:caps/>
          <w:color w:val="000000"/>
          <w:sz w:val="28"/>
          <w:szCs w:val="22"/>
          <w:highlight w:val="none"/>
        </w:rPr>
        <w:fldChar w:fldCharType="separate"/>
      </w:r>
      <w:r>
        <w:rPr>
          <w:rFonts w:hint="eastAsia" w:ascii="仿宋_GB2312" w:eastAsia="仿宋_GB2312"/>
          <w:caps/>
          <w:color w:val="000000"/>
          <w:sz w:val="28"/>
          <w:szCs w:val="22"/>
          <w:highlight w:val="none"/>
        </w:rPr>
        <w:fldChar w:fldCharType="end"/>
      </w:r>
      <w:r>
        <w:rPr>
          <w:rFonts w:hint="eastAsia" w:ascii="仿宋_GB2312" w:eastAsia="仿宋_GB2312"/>
          <w:caps/>
          <w:color w:val="000000"/>
          <w:sz w:val="28"/>
          <w:szCs w:val="22"/>
          <w:highlight w:val="none"/>
        </w:rPr>
        <w:t>元整)</w:t>
      </w:r>
      <w:r>
        <w:rPr>
          <w:rFonts w:hint="eastAsia" w:ascii="仿宋_GB2312" w:eastAsia="仿宋_GB2312"/>
          <w:caps/>
          <w:color w:val="000000"/>
          <w:sz w:val="28"/>
          <w:szCs w:val="22"/>
          <w:highlight w:val="none"/>
          <w:lang w:eastAsia="zh-CN"/>
        </w:rPr>
        <w:t>（取整至百位），市场单价为</w:t>
      </w:r>
      <w:r>
        <w:rPr>
          <w:rFonts w:hint="eastAsia" w:ascii="仿宋_GB2312" w:eastAsia="仿宋_GB2312"/>
          <w:b/>
          <w:bCs/>
          <w:caps/>
          <w:color w:val="000000"/>
          <w:sz w:val="28"/>
          <w:szCs w:val="22"/>
          <w:highlight w:val="none"/>
          <w:lang w:eastAsia="zh-CN"/>
        </w:rPr>
        <w:t>¥99,400</w:t>
      </w:r>
      <w:r>
        <w:rPr>
          <w:rFonts w:hint="eastAsia" w:ascii="仿宋_GB2312" w:eastAsia="仿宋_GB2312"/>
          <w:caps/>
          <w:color w:val="000000"/>
          <w:sz w:val="28"/>
          <w:szCs w:val="22"/>
          <w:highlight w:val="none"/>
          <w:lang w:eastAsia="zh-CN"/>
        </w:rPr>
        <w:t>元/个</w:t>
      </w:r>
      <w:r>
        <w:rPr>
          <w:rFonts w:hint="eastAsia" w:ascii="仿宋_GB2312" w:eastAsia="仿宋_GB2312"/>
          <w:caps/>
          <w:color w:val="000000"/>
          <w:sz w:val="28"/>
          <w:szCs w:val="22"/>
          <w:highlight w:val="none"/>
        </w:rPr>
        <w:t>(</w:t>
      </w:r>
      <w:r>
        <w:rPr>
          <w:rFonts w:hint="eastAsia" w:ascii="仿宋_GB2312" w:eastAsia="仿宋_GB2312"/>
          <w:caps/>
          <w:color w:val="000000"/>
          <w:sz w:val="28"/>
          <w:szCs w:val="22"/>
          <w:highlight w:val="none"/>
          <w:lang w:eastAsia="zh-CN"/>
        </w:rPr>
        <w:t>每个</w:t>
      </w:r>
      <w:r>
        <w:rPr>
          <w:rFonts w:hint="eastAsia" w:ascii="仿宋_GB2312" w:eastAsia="仿宋_GB2312"/>
          <w:caps/>
          <w:color w:val="000000"/>
          <w:sz w:val="28"/>
          <w:szCs w:val="22"/>
          <w:highlight w:val="none"/>
        </w:rPr>
        <w:t>人民币</w:t>
      </w:r>
      <w:r>
        <w:rPr>
          <w:rFonts w:hint="eastAsia" w:ascii="仿宋_GB2312" w:eastAsia="仿宋_GB2312"/>
          <w:b/>
          <w:bCs/>
          <w:caps/>
          <w:color w:val="000000"/>
          <w:sz w:val="28"/>
          <w:szCs w:val="22"/>
          <w:highlight w:val="none"/>
          <w:lang w:val="en-US" w:eastAsia="zh-CN"/>
        </w:rPr>
        <w:t>玖万玖仟肆佰</w:t>
      </w:r>
      <w:r>
        <w:rPr>
          <w:rFonts w:hint="eastAsia" w:ascii="仿宋_GB2312" w:eastAsia="仿宋_GB2312"/>
          <w:caps/>
          <w:color w:val="000000"/>
          <w:sz w:val="28"/>
          <w:szCs w:val="22"/>
          <w:highlight w:val="none"/>
        </w:rPr>
        <w:t>元整)</w:t>
      </w:r>
      <w:r>
        <w:rPr>
          <w:rFonts w:hint="eastAsia" w:ascii="仿宋_GB2312" w:eastAsia="仿宋_GB2312"/>
          <w:caps/>
          <w:color w:val="000000"/>
          <w:sz w:val="28"/>
          <w:szCs w:val="22"/>
          <w:highlight w:val="none"/>
          <w:lang w:eastAsia="zh-CN"/>
        </w:rPr>
        <w:t>（取整至百位）</w:t>
      </w:r>
      <w:r>
        <w:rPr>
          <w:rFonts w:hint="eastAsia" w:ascii="仿宋_GB2312" w:eastAsia="仿宋_GB2312"/>
          <w:caps/>
          <w:sz w:val="28"/>
          <w:lang w:eastAsia="zh-CN"/>
        </w:rPr>
        <w:t>。</w:t>
      </w:r>
    </w:p>
    <w:p>
      <w:pPr>
        <w:spacing w:line="360" w:lineRule="auto"/>
        <w:ind w:firstLine="560" w:firstLineChars="200"/>
        <w:jc w:val="left"/>
        <w:rPr>
          <w:rFonts w:ascii="仿宋_GB2312" w:hAnsi="Arial" w:eastAsia="仿宋_GB2312"/>
          <w:color w:val="000000"/>
          <w:spacing w:val="4"/>
          <w:sz w:val="28"/>
          <w:szCs w:val="28"/>
        </w:rPr>
      </w:pPr>
      <w:r>
        <w:rPr>
          <w:rFonts w:hint="eastAsia" w:ascii="仿宋_GB2312" w:eastAsia="仿宋_GB2312"/>
          <w:caps/>
          <w:color w:val="000000"/>
          <w:sz w:val="28"/>
        </w:rPr>
        <w:t xml:space="preserve"> </w:t>
      </w:r>
      <w:r>
        <w:rPr>
          <w:rFonts w:hint="eastAsia" w:ascii="仿宋_GB2312" w:hAnsi="Arial" w:eastAsia="仿宋_GB2312"/>
          <w:color w:val="000000"/>
          <w:spacing w:val="4"/>
          <w:sz w:val="28"/>
          <w:szCs w:val="28"/>
        </w:rPr>
        <w:t xml:space="preserve">2、估价结果内涵 </w:t>
      </w:r>
    </w:p>
    <w:p>
      <w:pPr>
        <w:pStyle w:val="24"/>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int="eastAsia" w:cs="Times New Roman"/>
          <w:b/>
          <w:bCs/>
          <w:caps/>
          <w:color w:val="000000"/>
          <w:lang w:val="en-US" w:eastAsia="zh-CN"/>
        </w:rPr>
      </w:pPr>
      <w:r>
        <w:rPr>
          <w:rFonts w:hint="eastAsia" w:ascii="仿宋_GB2312" w:hAnsi="Calibri" w:eastAsia="仿宋_GB2312" w:cs="Times New Roman"/>
          <w:caps/>
          <w:color w:val="000000"/>
          <w:kern w:val="2"/>
          <w:sz w:val="28"/>
          <w:szCs w:val="22"/>
          <w:highlight w:val="none"/>
          <w:lang w:val="en-US" w:eastAsia="zh-CN" w:bidi="ar-SA"/>
        </w:rPr>
        <w:t>①</w:t>
      </w:r>
      <w:r>
        <w:rPr>
          <w:rFonts w:hint="eastAsia" w:cs="Times New Roman"/>
          <w:caps/>
          <w:color w:val="000000"/>
          <w:lang w:val="en-US" w:eastAsia="zh-CN"/>
        </w:rPr>
        <w:t>根据估价委托人提供的《广州市不动产登记查册表》（不动产登记字号：19登记12528222）资料复印件，显示估价对象土地权利类型为国有建设用地使用权，权利性质为出让，已征收国有土地出让金，土地使用期限为50年，自2012年11月28日起计，终止日期为2062年11月27日。本次评估结果已包含了估价对象相应用途国有土地使用权出让金。如至价值时点止，原产权人尚有其他任何有关估价对象的应缴未缴税、费，应按规定缴纳或从估价结果中相应扣减，并据实调整估价结果或重新估价。</w:t>
      </w:r>
      <w:r>
        <w:rPr>
          <w:rFonts w:hint="eastAsia" w:cs="Times New Roman"/>
          <w:b/>
          <w:bCs/>
          <w:caps/>
          <w:color w:val="000000"/>
          <w:lang w:val="en-US" w:eastAsia="zh-CN"/>
        </w:rPr>
        <w:t>特提请报告使用人注意！</w:t>
      </w:r>
    </w:p>
    <w:p>
      <w:pPr>
        <w:spacing w:line="360" w:lineRule="auto"/>
        <w:ind w:firstLine="560" w:firstLineChars="200"/>
        <w:jc w:val="left"/>
        <w:rPr>
          <w:rFonts w:hint="eastAsia" w:ascii="仿宋_GB2312" w:hAnsi="Calibri" w:eastAsia="仿宋_GB2312" w:cs="Times New Roman"/>
          <w:caps/>
          <w:color w:val="000000"/>
          <w:kern w:val="2"/>
          <w:sz w:val="28"/>
          <w:szCs w:val="22"/>
          <w:highlight w:val="none"/>
          <w:lang w:val="en-US" w:eastAsia="zh-CN" w:bidi="ar-SA"/>
        </w:rPr>
      </w:pPr>
      <w:r>
        <w:rPr>
          <w:rFonts w:hint="eastAsia" w:ascii="仿宋_GB2312" w:eastAsia="仿宋_GB2312"/>
          <w:caps/>
          <w:color w:val="000000"/>
          <w:sz w:val="28"/>
        </w:rPr>
        <w:t>②本估价报告的估价结果是指估价对象在规划用途并正常使用的条件下，于价值时点</w:t>
      </w:r>
      <w:r>
        <w:rPr>
          <w:rFonts w:hint="eastAsia" w:ascii="仿宋_GB2312" w:eastAsia="仿宋_GB2312"/>
          <w:caps/>
          <w:color w:val="000000"/>
          <w:sz w:val="28"/>
          <w:lang w:eastAsia="zh-CN"/>
        </w:rPr>
        <w:t>2022年2月24日</w:t>
      </w:r>
      <w:r>
        <w:rPr>
          <w:rFonts w:hint="eastAsia" w:ascii="仿宋_GB2312" w:eastAsia="仿宋_GB2312"/>
          <w:caps/>
          <w:color w:val="000000"/>
          <w:sz w:val="28"/>
        </w:rPr>
        <w:t>的房地产市场价值</w:t>
      </w:r>
      <w:r>
        <w:rPr>
          <w:rFonts w:hint="eastAsia" w:ascii="仿宋_GB2312" w:eastAsia="仿宋_GB2312"/>
          <w:caps/>
          <w:color w:val="000000"/>
          <w:sz w:val="28"/>
          <w:lang w:eastAsia="zh-CN"/>
        </w:rPr>
        <w:t>，估价结果</w:t>
      </w:r>
      <w:r>
        <w:rPr>
          <w:rFonts w:hint="eastAsia" w:ascii="仿宋_GB2312" w:eastAsia="仿宋_GB2312"/>
          <w:caps/>
          <w:color w:val="000000"/>
          <w:sz w:val="28"/>
        </w:rPr>
        <w:t>包括分摊的土地使用权价值、建筑物所有权价值、装饰装修工程、满足使用功能需要的水、电、消防等固定配套设施价值，不包含动产、债权债务、特许经营权等其他财产价值</w:t>
      </w:r>
      <w:r>
        <w:rPr>
          <w:rFonts w:hint="eastAsia" w:ascii="仿宋_GB2312" w:eastAsia="仿宋_GB2312"/>
          <w:sz w:val="28"/>
          <w:szCs w:val="28"/>
        </w:rPr>
        <w:t>。</w:t>
      </w:r>
    </w:p>
    <w:p>
      <w:pPr>
        <w:pStyle w:val="4"/>
        <w:spacing w:before="0" w:after="0" w:line="486" w:lineRule="exact"/>
        <w:ind w:firstLine="560" w:firstLineChars="200"/>
        <w:jc w:val="both"/>
        <w:rPr>
          <w:rFonts w:ascii="仿宋_GB2312" w:eastAsia="仿宋_GB2312"/>
          <w:caps/>
          <w:color w:val="000000"/>
          <w:spacing w:val="0"/>
          <w:sz w:val="28"/>
          <w:szCs w:val="28"/>
        </w:rPr>
      </w:pPr>
      <w:bookmarkStart w:id="73" w:name="_Toc438048748"/>
      <w:bookmarkStart w:id="74" w:name="_Toc476642226"/>
      <w:bookmarkStart w:id="75" w:name="_Toc476642112"/>
      <w:bookmarkStart w:id="76" w:name="_Toc27509"/>
      <w:r>
        <w:rPr>
          <w:rFonts w:hint="eastAsia" w:ascii="仿宋_GB2312" w:eastAsia="仿宋_GB2312"/>
          <w:caps/>
          <w:color w:val="000000"/>
          <w:spacing w:val="0"/>
          <w:sz w:val="28"/>
          <w:szCs w:val="28"/>
        </w:rPr>
        <w:t>十一、评估专业人员</w:t>
      </w:r>
      <w:bookmarkEnd w:id="73"/>
      <w:bookmarkEnd w:id="74"/>
      <w:bookmarkEnd w:id="75"/>
      <w:bookmarkEnd w:id="76"/>
    </w:p>
    <w:p>
      <w:pPr>
        <w:keepNext/>
        <w:keepLines/>
        <w:adjustRightInd w:val="0"/>
        <w:spacing w:line="486" w:lineRule="exact"/>
        <w:ind w:firstLine="560" w:firstLineChars="200"/>
        <w:textAlignment w:val="baseline"/>
        <w:rPr>
          <w:rFonts w:ascii="仿宋_GB2312" w:eastAsia="仿宋_GB2312"/>
          <w:bCs/>
          <w:caps/>
          <w:color w:val="000000"/>
          <w:sz w:val="28"/>
          <w:szCs w:val="28"/>
        </w:rPr>
      </w:pPr>
      <w:r>
        <w:rPr>
          <w:rFonts w:hint="eastAsia" w:ascii="仿宋_GB2312" w:eastAsia="仿宋_GB2312"/>
          <w:bCs/>
          <w:caps/>
          <w:color w:val="000000"/>
          <w:sz w:val="28"/>
          <w:szCs w:val="28"/>
        </w:rPr>
        <w:t>参与本次估价的评估专业人员为：</w:t>
      </w:r>
    </w:p>
    <w:tbl>
      <w:tblPr>
        <w:tblStyle w:val="4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2137"/>
        <w:gridCol w:w="2537"/>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jc w:val="center"/>
        </w:trPr>
        <w:tc>
          <w:tcPr>
            <w:tcW w:w="1126" w:type="pct"/>
            <w:shd w:val="clear" w:color="auto" w:fill="BFBFBF"/>
            <w:vAlign w:val="center"/>
          </w:tcPr>
          <w:p>
            <w:pPr>
              <w:pStyle w:val="247"/>
              <w:rPr>
                <w:rFonts w:hint="eastAsia"/>
                <w:color w:val="000000"/>
              </w:rPr>
            </w:pPr>
            <w:r>
              <w:rPr>
                <w:rFonts w:hint="eastAsia"/>
                <w:color w:val="000000"/>
              </w:rPr>
              <w:t>姓名</w:t>
            </w:r>
          </w:p>
        </w:tc>
        <w:tc>
          <w:tcPr>
            <w:tcW w:w="1124" w:type="pct"/>
            <w:shd w:val="clear" w:color="auto" w:fill="BFBFBF"/>
            <w:vAlign w:val="center"/>
          </w:tcPr>
          <w:p>
            <w:pPr>
              <w:pStyle w:val="247"/>
              <w:rPr>
                <w:rFonts w:hint="eastAsia"/>
                <w:color w:val="000000"/>
              </w:rPr>
            </w:pPr>
            <w:r>
              <w:rPr>
                <w:rFonts w:hint="eastAsia"/>
                <w:color w:val="000000"/>
              </w:rPr>
              <w:t>注册号</w:t>
            </w:r>
          </w:p>
        </w:tc>
        <w:tc>
          <w:tcPr>
            <w:tcW w:w="1334" w:type="pct"/>
            <w:shd w:val="clear" w:color="auto" w:fill="BFBFBF"/>
            <w:vAlign w:val="center"/>
          </w:tcPr>
          <w:p>
            <w:pPr>
              <w:pStyle w:val="247"/>
              <w:rPr>
                <w:rFonts w:hint="eastAsia" w:eastAsia="仿宋_GB2312"/>
                <w:color w:val="000000"/>
                <w:lang w:val="en-US" w:eastAsia="zh-CN"/>
              </w:rPr>
            </w:pPr>
            <w:r>
              <w:rPr>
                <w:rFonts w:hint="eastAsia"/>
                <w:color w:val="000000"/>
                <w:lang w:val="en-US" w:eastAsia="zh-CN"/>
              </w:rPr>
              <w:t>签名</w:t>
            </w:r>
          </w:p>
        </w:tc>
        <w:tc>
          <w:tcPr>
            <w:tcW w:w="1414" w:type="pct"/>
            <w:shd w:val="clear" w:color="auto" w:fill="BFBFBF"/>
            <w:vAlign w:val="center"/>
          </w:tcPr>
          <w:p>
            <w:pPr>
              <w:pStyle w:val="247"/>
              <w:rPr>
                <w:rFonts w:hint="eastAsia"/>
                <w:color w:val="000000"/>
              </w:rPr>
            </w:pPr>
            <w:r>
              <w:rPr>
                <w:rFonts w:hint="eastAsia"/>
                <w:color w:val="000000"/>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126" w:type="pct"/>
            <w:vAlign w:val="center"/>
          </w:tcPr>
          <w:p>
            <w:pPr>
              <w:pStyle w:val="247"/>
              <w:ind w:left="-107" w:leftChars="-51" w:right="-27" w:rightChars="-13"/>
              <w:rPr>
                <w:rFonts w:hint="eastAsia" w:eastAsia="仿宋_GB2312"/>
                <w:color w:val="000000"/>
                <w:lang w:eastAsia="zh-CN"/>
              </w:rPr>
            </w:pPr>
            <w:r>
              <w:rPr>
                <w:rFonts w:hint="eastAsia" w:hAnsi="宋体"/>
                <w:caps/>
                <w:color w:val="000000"/>
                <w:szCs w:val="30"/>
                <w:lang w:eastAsia="zh-CN"/>
              </w:rPr>
              <w:t>邓颖聪</w:t>
            </w:r>
          </w:p>
        </w:tc>
        <w:tc>
          <w:tcPr>
            <w:tcW w:w="1124" w:type="pct"/>
            <w:vAlign w:val="center"/>
          </w:tcPr>
          <w:p>
            <w:pPr>
              <w:pStyle w:val="247"/>
              <w:ind w:left="-107" w:leftChars="-51" w:right="-27" w:rightChars="-13"/>
              <w:rPr>
                <w:rFonts w:hint="eastAsia" w:eastAsia="仿宋_GB2312"/>
                <w:color w:val="000000"/>
                <w:lang w:eastAsia="zh-CN"/>
              </w:rPr>
            </w:pPr>
            <w:r>
              <w:rPr>
                <w:rFonts w:hint="eastAsia"/>
                <w:caps/>
                <w:color w:val="000000"/>
                <w:lang w:eastAsia="zh-CN"/>
              </w:rPr>
              <w:t>4420080006</w:t>
            </w:r>
            <w:r>
              <w:rPr>
                <w:rFonts w:hint="eastAsia"/>
                <w:caps/>
                <w:color w:val="000000"/>
              </w:rPr>
              <w:t xml:space="preserve"> </w:t>
            </w:r>
          </w:p>
        </w:tc>
        <w:tc>
          <w:tcPr>
            <w:tcW w:w="1334" w:type="pct"/>
            <w:vAlign w:val="center"/>
          </w:tcPr>
          <w:p>
            <w:pPr>
              <w:pStyle w:val="247"/>
              <w:ind w:left="0" w:leftChars="0"/>
              <w:rPr>
                <w:rFonts w:hint="eastAsia" w:hAnsi="宋体"/>
                <w:caps/>
                <w:color w:val="000000"/>
                <w:szCs w:val="30"/>
                <w:lang w:eastAsia="zh-CN"/>
              </w:rPr>
            </w:pPr>
          </w:p>
        </w:tc>
        <w:tc>
          <w:tcPr>
            <w:tcW w:w="1414" w:type="pct"/>
            <w:vAlign w:val="center"/>
          </w:tcPr>
          <w:p>
            <w:pPr>
              <w:pStyle w:val="247"/>
              <w:rPr>
                <w:rFonts w:hint="eastAsia" w:eastAsia="仿宋_GB2312"/>
                <w:color w:val="000000"/>
                <w:lang w:eastAsia="zh-CN"/>
              </w:rPr>
            </w:pPr>
            <w:r>
              <w:rPr>
                <w:rFonts w:hint="eastAsia"/>
                <w:color w:val="000000"/>
                <w:lang w:eastAsia="zh-CN"/>
              </w:rPr>
              <w:t>2022年3月8日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126" w:type="pct"/>
            <w:vAlign w:val="center"/>
          </w:tcPr>
          <w:p>
            <w:pPr>
              <w:pStyle w:val="247"/>
              <w:ind w:left="-107" w:leftChars="-51" w:right="-27" w:rightChars="-13"/>
              <w:jc w:val="center"/>
              <w:rPr>
                <w:rFonts w:hint="eastAsia" w:ascii="仿宋_GB2312" w:hAnsi="宋体" w:eastAsia="仿宋_GB2312" w:cs="Times New Roman"/>
                <w:caps/>
                <w:color w:val="000000"/>
                <w:kern w:val="2"/>
                <w:sz w:val="28"/>
                <w:szCs w:val="30"/>
                <w:highlight w:val="none"/>
                <w:lang w:val="en-US" w:eastAsia="zh-CN" w:bidi="ar-SA"/>
              </w:rPr>
            </w:pPr>
            <w:bookmarkStart w:id="77" w:name="_Toc438048749"/>
            <w:bookmarkStart w:id="78" w:name="_Toc476642227"/>
            <w:bookmarkStart w:id="79" w:name="_Toc476642113"/>
            <w:r>
              <w:rPr>
                <w:rFonts w:hint="eastAsia" w:hAnsi="宋体"/>
                <w:caps/>
                <w:color w:val="000000"/>
                <w:szCs w:val="30"/>
                <w:highlight w:val="none"/>
                <w:lang w:val="en-US" w:eastAsia="zh-CN"/>
              </w:rPr>
              <w:t>姚小刚</w:t>
            </w:r>
          </w:p>
        </w:tc>
        <w:tc>
          <w:tcPr>
            <w:tcW w:w="1124" w:type="pct"/>
            <w:vAlign w:val="center"/>
          </w:tcPr>
          <w:p>
            <w:pPr>
              <w:pStyle w:val="247"/>
              <w:ind w:left="-107" w:leftChars="-51" w:right="-27" w:rightChars="-13"/>
              <w:rPr>
                <w:rFonts w:hint="eastAsia" w:ascii="仿宋_GB2312" w:hAnsi="宋体" w:eastAsia="仿宋_GB2312" w:cs="Times New Roman"/>
                <w:caps/>
                <w:color w:val="000000"/>
                <w:kern w:val="2"/>
                <w:sz w:val="28"/>
                <w:szCs w:val="30"/>
                <w:highlight w:val="none"/>
                <w:lang w:val="en-US" w:eastAsia="zh-CN" w:bidi="ar-SA"/>
              </w:rPr>
            </w:pPr>
            <w:r>
              <w:rPr>
                <w:rFonts w:hint="eastAsia"/>
                <w:caps/>
                <w:color w:val="000000"/>
                <w:highlight w:val="none"/>
                <w:lang w:eastAsia="zh-CN"/>
              </w:rPr>
              <w:t>4420060009</w:t>
            </w:r>
          </w:p>
        </w:tc>
        <w:tc>
          <w:tcPr>
            <w:tcW w:w="1334" w:type="pct"/>
            <w:vAlign w:val="center"/>
          </w:tcPr>
          <w:p>
            <w:pPr>
              <w:pStyle w:val="247"/>
              <w:ind w:left="-107" w:leftChars="-51" w:right="-27" w:rightChars="-13"/>
              <w:rPr>
                <w:rFonts w:hint="eastAsia" w:ascii="仿宋_GB2312" w:hAnsi="Monotype Sorts" w:eastAsia="仿宋_GB2312" w:cs="Times New Roman"/>
                <w:caps/>
                <w:color w:val="000000"/>
                <w:kern w:val="2"/>
                <w:sz w:val="28"/>
                <w:lang w:val="en-US" w:eastAsia="zh-CN" w:bidi="ar-SA"/>
              </w:rPr>
            </w:pPr>
          </w:p>
        </w:tc>
        <w:tc>
          <w:tcPr>
            <w:tcW w:w="1414" w:type="pct"/>
            <w:vAlign w:val="center"/>
          </w:tcPr>
          <w:p>
            <w:pPr>
              <w:pStyle w:val="247"/>
              <w:ind w:left="-107" w:leftChars="-51" w:right="-27" w:rightChars="-13"/>
              <w:rPr>
                <w:rFonts w:hint="eastAsia" w:ascii="仿宋_GB2312" w:hAnsi="宋体" w:eastAsia="仿宋_GB2312" w:cs="Times New Roman"/>
                <w:caps/>
                <w:color w:val="000000"/>
                <w:kern w:val="2"/>
                <w:sz w:val="28"/>
                <w:szCs w:val="30"/>
                <w:lang w:val="en-US" w:eastAsia="zh-CN" w:bidi="ar-SA"/>
              </w:rPr>
            </w:pPr>
            <w:r>
              <w:rPr>
                <w:rFonts w:hint="eastAsia" w:hAnsi="宋体"/>
                <w:caps/>
                <w:color w:val="000000"/>
                <w:szCs w:val="30"/>
                <w:lang w:eastAsia="zh-CN"/>
              </w:rPr>
              <w:t>2022年3月8日</w:t>
            </w:r>
          </w:p>
        </w:tc>
      </w:tr>
    </w:tbl>
    <w:p>
      <w:pPr>
        <w:pStyle w:val="4"/>
        <w:spacing w:before="0" w:after="0" w:line="486" w:lineRule="exact"/>
        <w:ind w:firstLine="560" w:firstLineChars="200"/>
        <w:jc w:val="both"/>
        <w:rPr>
          <w:rFonts w:ascii="仿宋_GB2312" w:eastAsia="仿宋_GB2312"/>
          <w:caps/>
          <w:color w:val="000000"/>
          <w:spacing w:val="0"/>
          <w:sz w:val="28"/>
          <w:szCs w:val="28"/>
        </w:rPr>
      </w:pPr>
      <w:bookmarkStart w:id="80" w:name="_Toc11418"/>
      <w:r>
        <w:rPr>
          <w:rFonts w:hint="eastAsia" w:ascii="仿宋_GB2312" w:eastAsia="仿宋_GB2312"/>
          <w:caps/>
          <w:color w:val="000000"/>
          <w:spacing w:val="0"/>
          <w:sz w:val="28"/>
          <w:szCs w:val="28"/>
        </w:rPr>
        <w:t>十二、实地查勘期</w:t>
      </w:r>
      <w:bookmarkEnd w:id="77"/>
      <w:bookmarkEnd w:id="78"/>
      <w:bookmarkEnd w:id="79"/>
      <w:bookmarkEnd w:id="80"/>
    </w:p>
    <w:p>
      <w:pPr>
        <w:keepNext/>
        <w:keepLines/>
        <w:adjustRightInd w:val="0"/>
        <w:spacing w:line="486" w:lineRule="exact"/>
        <w:ind w:firstLine="560" w:firstLineChars="200"/>
        <w:textAlignment w:val="baseline"/>
        <w:rPr>
          <w:rFonts w:hint="eastAsia" w:ascii="仿宋_GB2312" w:eastAsia="仿宋_GB2312"/>
          <w:bCs/>
          <w:caps/>
          <w:color w:val="000000"/>
          <w:sz w:val="28"/>
          <w:szCs w:val="28"/>
          <w:lang w:eastAsia="zh-CN"/>
        </w:rPr>
      </w:pPr>
      <w:bookmarkStart w:id="81" w:name="_Toc438048750"/>
      <w:bookmarkStart w:id="82" w:name="_Toc476642114"/>
      <w:bookmarkStart w:id="83" w:name="_Toc476642228"/>
      <w:r>
        <w:rPr>
          <w:rFonts w:hint="eastAsia" w:ascii="仿宋_GB2312" w:eastAsia="仿宋_GB2312"/>
          <w:bCs/>
          <w:caps/>
          <w:color w:val="000000"/>
          <w:sz w:val="28"/>
          <w:szCs w:val="28"/>
          <w:lang w:eastAsia="zh-CN"/>
        </w:rPr>
        <w:t>二О二二年二月二十四日</w:t>
      </w:r>
    </w:p>
    <w:p>
      <w:pPr>
        <w:pStyle w:val="4"/>
        <w:spacing w:before="0" w:after="0" w:line="486" w:lineRule="exact"/>
        <w:ind w:firstLine="560" w:firstLineChars="200"/>
        <w:jc w:val="both"/>
        <w:rPr>
          <w:rFonts w:ascii="仿宋_GB2312" w:eastAsia="仿宋_GB2312"/>
          <w:caps/>
          <w:color w:val="000000"/>
          <w:spacing w:val="0"/>
          <w:sz w:val="28"/>
          <w:szCs w:val="28"/>
        </w:rPr>
      </w:pPr>
      <w:bookmarkStart w:id="84" w:name="_Toc10578"/>
      <w:r>
        <w:rPr>
          <w:rFonts w:hint="eastAsia" w:ascii="仿宋_GB2312" w:eastAsia="仿宋_GB2312"/>
          <w:caps/>
          <w:color w:val="000000"/>
          <w:spacing w:val="0"/>
          <w:sz w:val="28"/>
          <w:szCs w:val="28"/>
        </w:rPr>
        <w:t>十三、估价作业期</w:t>
      </w:r>
      <w:bookmarkEnd w:id="81"/>
      <w:bookmarkEnd w:id="82"/>
      <w:bookmarkEnd w:id="83"/>
      <w:bookmarkEnd w:id="84"/>
    </w:p>
    <w:p>
      <w:pPr>
        <w:keepNext/>
        <w:keepLines/>
        <w:adjustRightInd w:val="0"/>
        <w:spacing w:line="486" w:lineRule="exact"/>
        <w:ind w:firstLine="560" w:firstLineChars="200"/>
        <w:textAlignment w:val="baseline"/>
        <w:rPr>
          <w:rFonts w:hint="eastAsia" w:ascii="仿宋_GB2312" w:eastAsia="仿宋_GB2312"/>
          <w:bCs/>
          <w:caps/>
          <w:color w:val="000000"/>
          <w:sz w:val="28"/>
          <w:szCs w:val="28"/>
          <w:lang w:eastAsia="zh-CN"/>
        </w:rPr>
      </w:pPr>
      <w:r>
        <w:rPr>
          <w:rFonts w:hint="eastAsia" w:ascii="仿宋_GB2312" w:eastAsia="仿宋_GB2312"/>
          <w:bCs/>
          <w:caps/>
          <w:color w:val="000000"/>
          <w:sz w:val="28"/>
          <w:szCs w:val="28"/>
          <w:lang w:eastAsia="zh-CN"/>
        </w:rPr>
        <w:t>二О二二年二月二十四日</w:t>
      </w:r>
      <w:r>
        <w:rPr>
          <w:rFonts w:hint="eastAsia" w:ascii="仿宋_GB2312" w:eastAsia="仿宋_GB2312"/>
          <w:bCs/>
          <w:caps/>
          <w:color w:val="000000"/>
          <w:sz w:val="28"/>
          <w:szCs w:val="28"/>
        </w:rPr>
        <w:t>～</w:t>
      </w:r>
      <w:r>
        <w:rPr>
          <w:rFonts w:hint="eastAsia" w:ascii="仿宋_GB2312" w:eastAsia="仿宋_GB2312"/>
          <w:bCs/>
          <w:caps/>
          <w:color w:val="000000"/>
          <w:sz w:val="28"/>
          <w:szCs w:val="28"/>
          <w:lang w:eastAsia="zh-CN"/>
        </w:rPr>
        <w:t>二О二二年三月八日</w:t>
      </w:r>
    </w:p>
    <w:p>
      <w:pPr>
        <w:spacing w:line="360" w:lineRule="auto"/>
        <w:rPr>
          <w:rFonts w:ascii="仿宋_GB2312" w:eastAsia="仿宋_GB2312"/>
          <w:caps/>
          <w:color w:val="000000"/>
          <w:sz w:val="28"/>
          <w:szCs w:val="28"/>
        </w:rPr>
      </w:pPr>
      <w:bookmarkStart w:id="85" w:name="_GoBack"/>
      <w:bookmarkEnd w:id="85"/>
    </w:p>
    <w:sectPr>
      <w:headerReference r:id="rId6" w:type="default"/>
      <w:footerReference r:id="rId7" w:type="default"/>
      <w:pgSz w:w="11907" w:h="16840"/>
      <w:pgMar w:top="1304" w:right="1304" w:bottom="1304" w:left="1304" w:header="851" w:footer="113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昆仑仿宋">
    <w:altName w:val="黑体"/>
    <w:panose1 w:val="00000000000000000000"/>
    <w:charset w:val="86"/>
    <w:family w:val="auto"/>
    <w:pitch w:val="default"/>
    <w:sig w:usb0="00000000" w:usb1="00000000" w:usb2="00000010" w:usb3="00000000" w:csb0="00040000" w:csb1="00000000"/>
  </w:font>
  <w:font w:name="Monotype Sorts">
    <w:altName w:val="MT Extra"/>
    <w:panose1 w:val="00000000000000000000"/>
    <w:charset w:val="02"/>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CG Times (W1)">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Garamond">
    <w:panose1 w:val="02020404030301010803"/>
    <w:charset w:val="00"/>
    <w:family w:val="roman"/>
    <w:pitch w:val="default"/>
    <w:sig w:usb0="00000287" w:usb1="00000000" w:usb2="00000000" w:usb3="00000000" w:csb0="0000009F" w:csb1="DFD70000"/>
  </w:font>
  <w:font w:name="昆仑黑体">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fldChar w:fldCharType="begin"/>
    </w:r>
    <w:r>
      <w:rPr>
        <w:rStyle w:val="46"/>
      </w:rPr>
      <w:instrText xml:space="preserve">PAGE  </w:instrText>
    </w:r>
    <w:r>
      <w:fldChar w:fldCharType="separate"/>
    </w:r>
    <w:r>
      <w:rPr>
        <w:rStyle w:val="46"/>
      </w:rPr>
      <w:t>9</w:t>
    </w:r>
    <w: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fldChar w:fldCharType="begin"/>
    </w:r>
    <w:r>
      <w:rPr>
        <w:rStyle w:val="46"/>
      </w:rPr>
      <w:instrText xml:space="preserve">PAGE  </w:instrText>
    </w:r>
    <w:r>
      <w:fldChar w:fldCharType="separate"/>
    </w:r>
    <w:r>
      <w:rPr>
        <w:rStyle w:val="46"/>
      </w:rPr>
      <w:t>1</w: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4755FC"/>
    <w:multiLevelType w:val="singleLevel"/>
    <w:tmpl w:val="DD4755FC"/>
    <w:lvl w:ilvl="0" w:tentative="0">
      <w:start w:val="4"/>
      <w:numFmt w:val="decimal"/>
      <w:suff w:val="nothing"/>
      <w:lvlText w:val="%1、"/>
      <w:lvlJc w:val="left"/>
      <w:pPr>
        <w:ind w:left="70"/>
      </w:pPr>
    </w:lvl>
  </w:abstractNum>
  <w:abstractNum w:abstractNumId="1">
    <w:nsid w:val="FFFFFFFB"/>
    <w:multiLevelType w:val="multilevel"/>
    <w:tmpl w:val="FFFFFFFB"/>
    <w:lvl w:ilvl="0" w:tentative="0">
      <w:start w:val="1"/>
      <w:numFmt w:val="none"/>
      <w:lvlText w:val=""/>
      <w:legacy w:legacy="1" w:legacySpace="0" w:legacyIndent="0"/>
      <w:lvlJc w:val="center"/>
    </w:lvl>
    <w:lvl w:ilvl="1" w:tentative="0">
      <w:start w:val="1"/>
      <w:numFmt w:val="chineseCountingThousand"/>
      <w:lvlText w:val="第%2部分"/>
      <w:legacy w:legacy="1" w:legacySpace="340" w:legacyIndent="0"/>
      <w:lvlJc w:val="center"/>
    </w:lvl>
    <w:lvl w:ilvl="2" w:tentative="0">
      <w:start w:val="1"/>
      <w:numFmt w:val="chineseCountingThousand"/>
      <w:lvlText w:val="%3、"/>
      <w:legacy w:legacy="1" w:legacySpace="0" w:legacyIndent="0"/>
      <w:lvlJc w:val="left"/>
    </w:lvl>
    <w:lvl w:ilvl="3" w:tentative="0">
      <w:start w:val="1"/>
      <w:numFmt w:val="decimal"/>
      <w:lvlText w:val="%4、"/>
      <w:legacy w:legacy="1" w:legacySpace="0" w:legacyIndent="0"/>
      <w:lvlJc w:val="left"/>
    </w:lvl>
    <w:lvl w:ilvl="4" w:tentative="0">
      <w:start w:val="1"/>
      <w:numFmt w:val="decimal"/>
      <w:lvlText w:val="(%5)"/>
      <w:legacy w:legacy="1" w:legacySpace="0" w:legacyIndent="0"/>
      <w:lvlJc w:val="left"/>
    </w:lvl>
    <w:lvl w:ilvl="5" w:tentative="0">
      <w:start w:val="1"/>
      <w:numFmt w:val="lowerLetter"/>
      <w:lvlText w:val="(%6)"/>
      <w:legacy w:legacy="1" w:legacySpace="0" w:legacyIndent="0"/>
      <w:lvlJc w:val="left"/>
    </w:lvl>
    <w:lvl w:ilvl="6" w:tentative="0">
      <w:start w:val="1"/>
      <w:numFmt w:val="lowerRoman"/>
      <w:lvlText w:val="(%7)"/>
      <w:legacy w:legacy="1" w:legacySpace="0" w:legacyIndent="425"/>
      <w:lvlJc w:val="left"/>
      <w:pPr>
        <w:ind w:left="425" w:hanging="425"/>
      </w:pPr>
    </w:lvl>
    <w:lvl w:ilvl="7" w:tentative="0">
      <w:start w:val="1"/>
      <w:numFmt w:val="lowerLetter"/>
      <w:lvlText w:val="(%8)"/>
      <w:legacy w:legacy="1" w:legacySpace="0" w:legacyIndent="425"/>
      <w:lvlJc w:val="left"/>
      <w:pPr>
        <w:ind w:left="850" w:hanging="425"/>
      </w:pPr>
    </w:lvl>
    <w:lvl w:ilvl="8" w:tentative="0">
      <w:start w:val="1"/>
      <w:numFmt w:val="lowerRoman"/>
      <w:lvlText w:val="(%9)"/>
      <w:legacy w:legacy="1" w:legacySpace="0" w:legacyIndent="425"/>
      <w:lvlJc w:val="left"/>
      <w:pPr>
        <w:ind w:left="1275" w:hanging="425"/>
      </w:pPr>
    </w:lvl>
  </w:abstractNum>
  <w:abstractNum w:abstractNumId="2">
    <w:nsid w:val="577652E5"/>
    <w:multiLevelType w:val="singleLevel"/>
    <w:tmpl w:val="577652E5"/>
    <w:lvl w:ilvl="0" w:tentative="0">
      <w:start w:val="4"/>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MjUwMTBjOGQ5OTc2ODFjNjVlZGFmOTdjNTU2NTMifQ=="/>
  </w:docVars>
  <w:rsids>
    <w:rsidRoot w:val="00172A27"/>
    <w:rsid w:val="000001A0"/>
    <w:rsid w:val="00000486"/>
    <w:rsid w:val="000006E5"/>
    <w:rsid w:val="00000BB6"/>
    <w:rsid w:val="00000D16"/>
    <w:rsid w:val="00001430"/>
    <w:rsid w:val="00001699"/>
    <w:rsid w:val="000016A2"/>
    <w:rsid w:val="000019AC"/>
    <w:rsid w:val="00001ACF"/>
    <w:rsid w:val="00001B2D"/>
    <w:rsid w:val="00001BC9"/>
    <w:rsid w:val="000025AE"/>
    <w:rsid w:val="00002992"/>
    <w:rsid w:val="00002A76"/>
    <w:rsid w:val="00002D05"/>
    <w:rsid w:val="000030ED"/>
    <w:rsid w:val="000035A6"/>
    <w:rsid w:val="000038CE"/>
    <w:rsid w:val="00003DBB"/>
    <w:rsid w:val="000059D6"/>
    <w:rsid w:val="00006085"/>
    <w:rsid w:val="000066BD"/>
    <w:rsid w:val="00006C42"/>
    <w:rsid w:val="00007487"/>
    <w:rsid w:val="00007DC9"/>
    <w:rsid w:val="00010334"/>
    <w:rsid w:val="0001045B"/>
    <w:rsid w:val="00010BD9"/>
    <w:rsid w:val="000112C7"/>
    <w:rsid w:val="0001194A"/>
    <w:rsid w:val="00011E82"/>
    <w:rsid w:val="00011F06"/>
    <w:rsid w:val="000120CC"/>
    <w:rsid w:val="000120D5"/>
    <w:rsid w:val="000123FF"/>
    <w:rsid w:val="00012549"/>
    <w:rsid w:val="000125EA"/>
    <w:rsid w:val="00012913"/>
    <w:rsid w:val="00012B9C"/>
    <w:rsid w:val="00012F2F"/>
    <w:rsid w:val="00013066"/>
    <w:rsid w:val="00013337"/>
    <w:rsid w:val="0001374C"/>
    <w:rsid w:val="00013861"/>
    <w:rsid w:val="00014631"/>
    <w:rsid w:val="00014857"/>
    <w:rsid w:val="00014AAC"/>
    <w:rsid w:val="00014CB6"/>
    <w:rsid w:val="00014D05"/>
    <w:rsid w:val="00014F06"/>
    <w:rsid w:val="0001649C"/>
    <w:rsid w:val="000167CF"/>
    <w:rsid w:val="0001739D"/>
    <w:rsid w:val="0001749A"/>
    <w:rsid w:val="00017B6B"/>
    <w:rsid w:val="00017E84"/>
    <w:rsid w:val="00017F14"/>
    <w:rsid w:val="000203B8"/>
    <w:rsid w:val="0002042A"/>
    <w:rsid w:val="000205E4"/>
    <w:rsid w:val="000206D5"/>
    <w:rsid w:val="000208B0"/>
    <w:rsid w:val="00020BA1"/>
    <w:rsid w:val="00021167"/>
    <w:rsid w:val="000213FF"/>
    <w:rsid w:val="00021578"/>
    <w:rsid w:val="000215F1"/>
    <w:rsid w:val="00021E23"/>
    <w:rsid w:val="00021FE8"/>
    <w:rsid w:val="00022454"/>
    <w:rsid w:val="00022AEF"/>
    <w:rsid w:val="00022CBE"/>
    <w:rsid w:val="00023442"/>
    <w:rsid w:val="000235BB"/>
    <w:rsid w:val="00023D8C"/>
    <w:rsid w:val="00023F82"/>
    <w:rsid w:val="00024043"/>
    <w:rsid w:val="00024283"/>
    <w:rsid w:val="00024D9D"/>
    <w:rsid w:val="00024EEA"/>
    <w:rsid w:val="000264EE"/>
    <w:rsid w:val="00026A51"/>
    <w:rsid w:val="00027450"/>
    <w:rsid w:val="000276A3"/>
    <w:rsid w:val="0002793E"/>
    <w:rsid w:val="00027A7A"/>
    <w:rsid w:val="00027CA7"/>
    <w:rsid w:val="00027D23"/>
    <w:rsid w:val="00027FF2"/>
    <w:rsid w:val="00030059"/>
    <w:rsid w:val="00030AD1"/>
    <w:rsid w:val="000310BE"/>
    <w:rsid w:val="000311AD"/>
    <w:rsid w:val="000313F1"/>
    <w:rsid w:val="000314F8"/>
    <w:rsid w:val="000318D9"/>
    <w:rsid w:val="00031AB6"/>
    <w:rsid w:val="00031FF7"/>
    <w:rsid w:val="000326C1"/>
    <w:rsid w:val="00032B83"/>
    <w:rsid w:val="00032D24"/>
    <w:rsid w:val="000339AC"/>
    <w:rsid w:val="00033D06"/>
    <w:rsid w:val="00034271"/>
    <w:rsid w:val="0003496C"/>
    <w:rsid w:val="00034A8B"/>
    <w:rsid w:val="00034C21"/>
    <w:rsid w:val="000351CA"/>
    <w:rsid w:val="00035278"/>
    <w:rsid w:val="000354BE"/>
    <w:rsid w:val="000356BF"/>
    <w:rsid w:val="000356F1"/>
    <w:rsid w:val="000356F3"/>
    <w:rsid w:val="00035BFB"/>
    <w:rsid w:val="00035CB5"/>
    <w:rsid w:val="00035E0B"/>
    <w:rsid w:val="00035E94"/>
    <w:rsid w:val="00036414"/>
    <w:rsid w:val="0003643C"/>
    <w:rsid w:val="00036A8E"/>
    <w:rsid w:val="00036DAA"/>
    <w:rsid w:val="00036E48"/>
    <w:rsid w:val="00036F99"/>
    <w:rsid w:val="00037C98"/>
    <w:rsid w:val="00037D04"/>
    <w:rsid w:val="00037EEE"/>
    <w:rsid w:val="0004050B"/>
    <w:rsid w:val="00040742"/>
    <w:rsid w:val="0004095C"/>
    <w:rsid w:val="00040CC9"/>
    <w:rsid w:val="00040D6E"/>
    <w:rsid w:val="00040D83"/>
    <w:rsid w:val="00040F7A"/>
    <w:rsid w:val="0004124B"/>
    <w:rsid w:val="00041556"/>
    <w:rsid w:val="00041644"/>
    <w:rsid w:val="0004167A"/>
    <w:rsid w:val="00041837"/>
    <w:rsid w:val="00041A1C"/>
    <w:rsid w:val="00042509"/>
    <w:rsid w:val="00042D12"/>
    <w:rsid w:val="00042FC7"/>
    <w:rsid w:val="00043173"/>
    <w:rsid w:val="000435F4"/>
    <w:rsid w:val="0004374B"/>
    <w:rsid w:val="00043A4B"/>
    <w:rsid w:val="000440A3"/>
    <w:rsid w:val="0004462C"/>
    <w:rsid w:val="00044C34"/>
    <w:rsid w:val="00044E79"/>
    <w:rsid w:val="00044FE3"/>
    <w:rsid w:val="0004505C"/>
    <w:rsid w:val="00045078"/>
    <w:rsid w:val="000454E1"/>
    <w:rsid w:val="00045538"/>
    <w:rsid w:val="000455C7"/>
    <w:rsid w:val="00045CF3"/>
    <w:rsid w:val="00046B84"/>
    <w:rsid w:val="00046E7C"/>
    <w:rsid w:val="00047464"/>
    <w:rsid w:val="000476B3"/>
    <w:rsid w:val="000476B8"/>
    <w:rsid w:val="000500EC"/>
    <w:rsid w:val="00050457"/>
    <w:rsid w:val="00050B21"/>
    <w:rsid w:val="00050D8E"/>
    <w:rsid w:val="00051095"/>
    <w:rsid w:val="00051103"/>
    <w:rsid w:val="000513CC"/>
    <w:rsid w:val="00051440"/>
    <w:rsid w:val="000519E4"/>
    <w:rsid w:val="00051A2F"/>
    <w:rsid w:val="00051E7B"/>
    <w:rsid w:val="00052505"/>
    <w:rsid w:val="0005271E"/>
    <w:rsid w:val="0005274B"/>
    <w:rsid w:val="00052A5E"/>
    <w:rsid w:val="00052A84"/>
    <w:rsid w:val="00052EA9"/>
    <w:rsid w:val="00053075"/>
    <w:rsid w:val="000531BB"/>
    <w:rsid w:val="000541B0"/>
    <w:rsid w:val="000542BD"/>
    <w:rsid w:val="000543BF"/>
    <w:rsid w:val="00054A82"/>
    <w:rsid w:val="00055196"/>
    <w:rsid w:val="00055473"/>
    <w:rsid w:val="000554B1"/>
    <w:rsid w:val="00055583"/>
    <w:rsid w:val="00055A10"/>
    <w:rsid w:val="00055C4A"/>
    <w:rsid w:val="00055CB3"/>
    <w:rsid w:val="00055D59"/>
    <w:rsid w:val="00055F17"/>
    <w:rsid w:val="000567BD"/>
    <w:rsid w:val="00056887"/>
    <w:rsid w:val="0005784F"/>
    <w:rsid w:val="00060362"/>
    <w:rsid w:val="00060629"/>
    <w:rsid w:val="0006076F"/>
    <w:rsid w:val="00060800"/>
    <w:rsid w:val="00060964"/>
    <w:rsid w:val="000609FA"/>
    <w:rsid w:val="00060C39"/>
    <w:rsid w:val="00060E81"/>
    <w:rsid w:val="00060F4E"/>
    <w:rsid w:val="0006126B"/>
    <w:rsid w:val="00061486"/>
    <w:rsid w:val="000616A9"/>
    <w:rsid w:val="00061D54"/>
    <w:rsid w:val="00061E6D"/>
    <w:rsid w:val="0006204A"/>
    <w:rsid w:val="000626FF"/>
    <w:rsid w:val="00062BC6"/>
    <w:rsid w:val="00062BE7"/>
    <w:rsid w:val="00063022"/>
    <w:rsid w:val="00063C56"/>
    <w:rsid w:val="00063D6B"/>
    <w:rsid w:val="0006408F"/>
    <w:rsid w:val="0006411B"/>
    <w:rsid w:val="000641BA"/>
    <w:rsid w:val="00064612"/>
    <w:rsid w:val="00064B69"/>
    <w:rsid w:val="00064C15"/>
    <w:rsid w:val="00065250"/>
    <w:rsid w:val="000658C7"/>
    <w:rsid w:val="000666AA"/>
    <w:rsid w:val="000667C5"/>
    <w:rsid w:val="00066990"/>
    <w:rsid w:val="00067009"/>
    <w:rsid w:val="000670B6"/>
    <w:rsid w:val="000672C2"/>
    <w:rsid w:val="0006742C"/>
    <w:rsid w:val="000675EE"/>
    <w:rsid w:val="00067CC0"/>
    <w:rsid w:val="00067CD3"/>
    <w:rsid w:val="00067D23"/>
    <w:rsid w:val="00067EE4"/>
    <w:rsid w:val="00067F05"/>
    <w:rsid w:val="000700C4"/>
    <w:rsid w:val="00070130"/>
    <w:rsid w:val="000703B5"/>
    <w:rsid w:val="00070629"/>
    <w:rsid w:val="00070B0A"/>
    <w:rsid w:val="00070D0A"/>
    <w:rsid w:val="00070EE1"/>
    <w:rsid w:val="000712F1"/>
    <w:rsid w:val="0007153D"/>
    <w:rsid w:val="00071601"/>
    <w:rsid w:val="00071AD1"/>
    <w:rsid w:val="00071B59"/>
    <w:rsid w:val="00072631"/>
    <w:rsid w:val="00072AA6"/>
    <w:rsid w:val="00072D84"/>
    <w:rsid w:val="00073941"/>
    <w:rsid w:val="00073B1F"/>
    <w:rsid w:val="00074802"/>
    <w:rsid w:val="00074A7B"/>
    <w:rsid w:val="00074D40"/>
    <w:rsid w:val="00075911"/>
    <w:rsid w:val="00075F95"/>
    <w:rsid w:val="0007670B"/>
    <w:rsid w:val="00076C06"/>
    <w:rsid w:val="0007743D"/>
    <w:rsid w:val="00077768"/>
    <w:rsid w:val="0008020C"/>
    <w:rsid w:val="0008057C"/>
    <w:rsid w:val="00080D2E"/>
    <w:rsid w:val="00080DB8"/>
    <w:rsid w:val="00081147"/>
    <w:rsid w:val="000815F9"/>
    <w:rsid w:val="000822A0"/>
    <w:rsid w:val="00082AAC"/>
    <w:rsid w:val="00083957"/>
    <w:rsid w:val="00084A3B"/>
    <w:rsid w:val="00084A48"/>
    <w:rsid w:val="000850F9"/>
    <w:rsid w:val="000852AD"/>
    <w:rsid w:val="00085361"/>
    <w:rsid w:val="000853B5"/>
    <w:rsid w:val="000855B8"/>
    <w:rsid w:val="00085CD1"/>
    <w:rsid w:val="0008655F"/>
    <w:rsid w:val="00086986"/>
    <w:rsid w:val="00086B05"/>
    <w:rsid w:val="0008714D"/>
    <w:rsid w:val="000877AF"/>
    <w:rsid w:val="00087A65"/>
    <w:rsid w:val="00087B58"/>
    <w:rsid w:val="00087B7A"/>
    <w:rsid w:val="00087E73"/>
    <w:rsid w:val="00087FBC"/>
    <w:rsid w:val="00090288"/>
    <w:rsid w:val="0009047F"/>
    <w:rsid w:val="00090F04"/>
    <w:rsid w:val="00090F0B"/>
    <w:rsid w:val="000910D2"/>
    <w:rsid w:val="000916BC"/>
    <w:rsid w:val="000916D9"/>
    <w:rsid w:val="00091BE8"/>
    <w:rsid w:val="000921F6"/>
    <w:rsid w:val="0009262C"/>
    <w:rsid w:val="00093053"/>
    <w:rsid w:val="00093407"/>
    <w:rsid w:val="00093418"/>
    <w:rsid w:val="000935ED"/>
    <w:rsid w:val="00093858"/>
    <w:rsid w:val="00093C7E"/>
    <w:rsid w:val="00094151"/>
    <w:rsid w:val="0009491D"/>
    <w:rsid w:val="00094997"/>
    <w:rsid w:val="00094B00"/>
    <w:rsid w:val="000950B6"/>
    <w:rsid w:val="000952C3"/>
    <w:rsid w:val="000956AF"/>
    <w:rsid w:val="00095730"/>
    <w:rsid w:val="00095A6F"/>
    <w:rsid w:val="00095E36"/>
    <w:rsid w:val="00096466"/>
    <w:rsid w:val="0009694B"/>
    <w:rsid w:val="000969DE"/>
    <w:rsid w:val="00096A5F"/>
    <w:rsid w:val="00096F3F"/>
    <w:rsid w:val="00097299"/>
    <w:rsid w:val="000A00F0"/>
    <w:rsid w:val="000A01AA"/>
    <w:rsid w:val="000A023A"/>
    <w:rsid w:val="000A0A71"/>
    <w:rsid w:val="000A0F35"/>
    <w:rsid w:val="000A11CC"/>
    <w:rsid w:val="000A1B64"/>
    <w:rsid w:val="000A1BFF"/>
    <w:rsid w:val="000A29BB"/>
    <w:rsid w:val="000A2B2D"/>
    <w:rsid w:val="000A2F2B"/>
    <w:rsid w:val="000A3092"/>
    <w:rsid w:val="000A3125"/>
    <w:rsid w:val="000A3FBE"/>
    <w:rsid w:val="000A419E"/>
    <w:rsid w:val="000A424A"/>
    <w:rsid w:val="000A4260"/>
    <w:rsid w:val="000A49C9"/>
    <w:rsid w:val="000A532B"/>
    <w:rsid w:val="000A57DF"/>
    <w:rsid w:val="000A5A2F"/>
    <w:rsid w:val="000A60C8"/>
    <w:rsid w:val="000A6F1E"/>
    <w:rsid w:val="000A727E"/>
    <w:rsid w:val="000A7A2C"/>
    <w:rsid w:val="000B02CC"/>
    <w:rsid w:val="000B0362"/>
    <w:rsid w:val="000B03B0"/>
    <w:rsid w:val="000B048A"/>
    <w:rsid w:val="000B0FD9"/>
    <w:rsid w:val="000B1183"/>
    <w:rsid w:val="000B1400"/>
    <w:rsid w:val="000B1CD2"/>
    <w:rsid w:val="000B1F24"/>
    <w:rsid w:val="000B2574"/>
    <w:rsid w:val="000B28C9"/>
    <w:rsid w:val="000B2A29"/>
    <w:rsid w:val="000B2AFB"/>
    <w:rsid w:val="000B2BD9"/>
    <w:rsid w:val="000B3394"/>
    <w:rsid w:val="000B365E"/>
    <w:rsid w:val="000B3BD6"/>
    <w:rsid w:val="000B3E5D"/>
    <w:rsid w:val="000B3E7C"/>
    <w:rsid w:val="000B5E56"/>
    <w:rsid w:val="000B60B6"/>
    <w:rsid w:val="000B6139"/>
    <w:rsid w:val="000B6284"/>
    <w:rsid w:val="000B7775"/>
    <w:rsid w:val="000B7A44"/>
    <w:rsid w:val="000C0404"/>
    <w:rsid w:val="000C0654"/>
    <w:rsid w:val="000C09A5"/>
    <w:rsid w:val="000C0CC7"/>
    <w:rsid w:val="000C0D87"/>
    <w:rsid w:val="000C0FE2"/>
    <w:rsid w:val="000C193F"/>
    <w:rsid w:val="000C1CAE"/>
    <w:rsid w:val="000C1CCA"/>
    <w:rsid w:val="000C20C0"/>
    <w:rsid w:val="000C2219"/>
    <w:rsid w:val="000C2A0A"/>
    <w:rsid w:val="000C36CF"/>
    <w:rsid w:val="000C3B3F"/>
    <w:rsid w:val="000C4539"/>
    <w:rsid w:val="000C4593"/>
    <w:rsid w:val="000C45DB"/>
    <w:rsid w:val="000C4725"/>
    <w:rsid w:val="000C49EA"/>
    <w:rsid w:val="000C4C35"/>
    <w:rsid w:val="000C4E94"/>
    <w:rsid w:val="000C4EA1"/>
    <w:rsid w:val="000C50F9"/>
    <w:rsid w:val="000C51F8"/>
    <w:rsid w:val="000C530B"/>
    <w:rsid w:val="000C5323"/>
    <w:rsid w:val="000C6128"/>
    <w:rsid w:val="000C6EE2"/>
    <w:rsid w:val="000C7422"/>
    <w:rsid w:val="000C7867"/>
    <w:rsid w:val="000D0198"/>
    <w:rsid w:val="000D0498"/>
    <w:rsid w:val="000D0730"/>
    <w:rsid w:val="000D0CF2"/>
    <w:rsid w:val="000D0D2A"/>
    <w:rsid w:val="000D1259"/>
    <w:rsid w:val="000D2081"/>
    <w:rsid w:val="000D2099"/>
    <w:rsid w:val="000D2818"/>
    <w:rsid w:val="000D2C46"/>
    <w:rsid w:val="000D2D3F"/>
    <w:rsid w:val="000D327F"/>
    <w:rsid w:val="000D33B9"/>
    <w:rsid w:val="000D346A"/>
    <w:rsid w:val="000D3694"/>
    <w:rsid w:val="000D44DC"/>
    <w:rsid w:val="000D4574"/>
    <w:rsid w:val="000D4BD6"/>
    <w:rsid w:val="000D567D"/>
    <w:rsid w:val="000D56BF"/>
    <w:rsid w:val="000D660B"/>
    <w:rsid w:val="000D6661"/>
    <w:rsid w:val="000D71E1"/>
    <w:rsid w:val="000D7D06"/>
    <w:rsid w:val="000E0270"/>
    <w:rsid w:val="000E05D3"/>
    <w:rsid w:val="000E09A6"/>
    <w:rsid w:val="000E0B14"/>
    <w:rsid w:val="000E0BF5"/>
    <w:rsid w:val="000E1192"/>
    <w:rsid w:val="000E12CA"/>
    <w:rsid w:val="000E1388"/>
    <w:rsid w:val="000E1424"/>
    <w:rsid w:val="000E17DA"/>
    <w:rsid w:val="000E184F"/>
    <w:rsid w:val="000E1990"/>
    <w:rsid w:val="000E2220"/>
    <w:rsid w:val="000E255A"/>
    <w:rsid w:val="000E29F9"/>
    <w:rsid w:val="000E2C62"/>
    <w:rsid w:val="000E3227"/>
    <w:rsid w:val="000E3C59"/>
    <w:rsid w:val="000E3C7C"/>
    <w:rsid w:val="000E3D70"/>
    <w:rsid w:val="000E3EBD"/>
    <w:rsid w:val="000E4899"/>
    <w:rsid w:val="000E4EF4"/>
    <w:rsid w:val="000E5434"/>
    <w:rsid w:val="000E5895"/>
    <w:rsid w:val="000E67A3"/>
    <w:rsid w:val="000E7A09"/>
    <w:rsid w:val="000E7E70"/>
    <w:rsid w:val="000E7FA6"/>
    <w:rsid w:val="000F0241"/>
    <w:rsid w:val="000F0B3C"/>
    <w:rsid w:val="000F0CE7"/>
    <w:rsid w:val="000F0F91"/>
    <w:rsid w:val="000F0FA2"/>
    <w:rsid w:val="000F175A"/>
    <w:rsid w:val="000F1A04"/>
    <w:rsid w:val="000F1BEC"/>
    <w:rsid w:val="000F1D93"/>
    <w:rsid w:val="000F26B3"/>
    <w:rsid w:val="000F2BFD"/>
    <w:rsid w:val="000F391C"/>
    <w:rsid w:val="000F3C47"/>
    <w:rsid w:val="000F3E4A"/>
    <w:rsid w:val="000F4163"/>
    <w:rsid w:val="000F4ADD"/>
    <w:rsid w:val="000F511E"/>
    <w:rsid w:val="000F5A89"/>
    <w:rsid w:val="000F5C9A"/>
    <w:rsid w:val="000F61B3"/>
    <w:rsid w:val="000F6481"/>
    <w:rsid w:val="000F67BB"/>
    <w:rsid w:val="000F6911"/>
    <w:rsid w:val="000F6A90"/>
    <w:rsid w:val="000F6C10"/>
    <w:rsid w:val="000F7032"/>
    <w:rsid w:val="000F7A66"/>
    <w:rsid w:val="000F7B1F"/>
    <w:rsid w:val="001002A0"/>
    <w:rsid w:val="0010043A"/>
    <w:rsid w:val="0010058F"/>
    <w:rsid w:val="0010085C"/>
    <w:rsid w:val="00100A9A"/>
    <w:rsid w:val="00100E70"/>
    <w:rsid w:val="00101019"/>
    <w:rsid w:val="00101104"/>
    <w:rsid w:val="001013EC"/>
    <w:rsid w:val="00101BA4"/>
    <w:rsid w:val="00102000"/>
    <w:rsid w:val="00103029"/>
    <w:rsid w:val="001030A5"/>
    <w:rsid w:val="00103236"/>
    <w:rsid w:val="00103D6E"/>
    <w:rsid w:val="00103F64"/>
    <w:rsid w:val="001040F2"/>
    <w:rsid w:val="001046C8"/>
    <w:rsid w:val="00104C31"/>
    <w:rsid w:val="00105757"/>
    <w:rsid w:val="0010597A"/>
    <w:rsid w:val="00105EE8"/>
    <w:rsid w:val="0010620B"/>
    <w:rsid w:val="00106832"/>
    <w:rsid w:val="00106909"/>
    <w:rsid w:val="00106B43"/>
    <w:rsid w:val="00107B0C"/>
    <w:rsid w:val="00107ECF"/>
    <w:rsid w:val="00110E43"/>
    <w:rsid w:val="00111391"/>
    <w:rsid w:val="001119FF"/>
    <w:rsid w:val="00111C8A"/>
    <w:rsid w:val="001122C1"/>
    <w:rsid w:val="00112389"/>
    <w:rsid w:val="001137A0"/>
    <w:rsid w:val="00113CA2"/>
    <w:rsid w:val="00113D9A"/>
    <w:rsid w:val="00113E6A"/>
    <w:rsid w:val="0011477B"/>
    <w:rsid w:val="00114F26"/>
    <w:rsid w:val="001151D2"/>
    <w:rsid w:val="001155EB"/>
    <w:rsid w:val="00115EDF"/>
    <w:rsid w:val="00116201"/>
    <w:rsid w:val="0011641F"/>
    <w:rsid w:val="001164B7"/>
    <w:rsid w:val="0011685B"/>
    <w:rsid w:val="00116C14"/>
    <w:rsid w:val="001173CD"/>
    <w:rsid w:val="001176FA"/>
    <w:rsid w:val="001178AA"/>
    <w:rsid w:val="00117DC4"/>
    <w:rsid w:val="00117EA1"/>
    <w:rsid w:val="00120509"/>
    <w:rsid w:val="001206A6"/>
    <w:rsid w:val="00120848"/>
    <w:rsid w:val="00121136"/>
    <w:rsid w:val="001216C8"/>
    <w:rsid w:val="001218AE"/>
    <w:rsid w:val="00121BAE"/>
    <w:rsid w:val="0012225F"/>
    <w:rsid w:val="0012227C"/>
    <w:rsid w:val="001225A7"/>
    <w:rsid w:val="00122795"/>
    <w:rsid w:val="001227F5"/>
    <w:rsid w:val="00122930"/>
    <w:rsid w:val="00122C6F"/>
    <w:rsid w:val="00122DD3"/>
    <w:rsid w:val="00122E49"/>
    <w:rsid w:val="001233F4"/>
    <w:rsid w:val="00123546"/>
    <w:rsid w:val="00123ABA"/>
    <w:rsid w:val="00124DDB"/>
    <w:rsid w:val="00125188"/>
    <w:rsid w:val="00125953"/>
    <w:rsid w:val="00125A98"/>
    <w:rsid w:val="00125CF8"/>
    <w:rsid w:val="00126B56"/>
    <w:rsid w:val="00126E9B"/>
    <w:rsid w:val="001270D8"/>
    <w:rsid w:val="00127386"/>
    <w:rsid w:val="001276C7"/>
    <w:rsid w:val="00127A42"/>
    <w:rsid w:val="00127AD3"/>
    <w:rsid w:val="00127B34"/>
    <w:rsid w:val="00127BF1"/>
    <w:rsid w:val="00127CFD"/>
    <w:rsid w:val="00127D10"/>
    <w:rsid w:val="0013012D"/>
    <w:rsid w:val="0013018B"/>
    <w:rsid w:val="001303B4"/>
    <w:rsid w:val="0013064B"/>
    <w:rsid w:val="00130CC8"/>
    <w:rsid w:val="00130F7E"/>
    <w:rsid w:val="0013100E"/>
    <w:rsid w:val="0013151D"/>
    <w:rsid w:val="00131DD0"/>
    <w:rsid w:val="001323F9"/>
    <w:rsid w:val="0013278C"/>
    <w:rsid w:val="001328E3"/>
    <w:rsid w:val="001329B5"/>
    <w:rsid w:val="00132FCD"/>
    <w:rsid w:val="001330F2"/>
    <w:rsid w:val="00133122"/>
    <w:rsid w:val="001333F2"/>
    <w:rsid w:val="00133608"/>
    <w:rsid w:val="00133B16"/>
    <w:rsid w:val="00133E62"/>
    <w:rsid w:val="00133FBB"/>
    <w:rsid w:val="00134631"/>
    <w:rsid w:val="001347D9"/>
    <w:rsid w:val="00134C1C"/>
    <w:rsid w:val="001356B1"/>
    <w:rsid w:val="00135851"/>
    <w:rsid w:val="00135993"/>
    <w:rsid w:val="00135CE6"/>
    <w:rsid w:val="001360EC"/>
    <w:rsid w:val="00136548"/>
    <w:rsid w:val="001367B7"/>
    <w:rsid w:val="00136CE3"/>
    <w:rsid w:val="00136DFF"/>
    <w:rsid w:val="001376A3"/>
    <w:rsid w:val="001377E8"/>
    <w:rsid w:val="00137E5D"/>
    <w:rsid w:val="00140083"/>
    <w:rsid w:val="0014030F"/>
    <w:rsid w:val="001404A1"/>
    <w:rsid w:val="00140A5C"/>
    <w:rsid w:val="00140C4B"/>
    <w:rsid w:val="00140EF4"/>
    <w:rsid w:val="00140F18"/>
    <w:rsid w:val="00141458"/>
    <w:rsid w:val="001416B0"/>
    <w:rsid w:val="00141FB4"/>
    <w:rsid w:val="00141FBF"/>
    <w:rsid w:val="00142A83"/>
    <w:rsid w:val="00142E45"/>
    <w:rsid w:val="00143515"/>
    <w:rsid w:val="00144D6B"/>
    <w:rsid w:val="0014502C"/>
    <w:rsid w:val="00145034"/>
    <w:rsid w:val="001452E6"/>
    <w:rsid w:val="00145612"/>
    <w:rsid w:val="00145803"/>
    <w:rsid w:val="001463DF"/>
    <w:rsid w:val="00146854"/>
    <w:rsid w:val="00146D70"/>
    <w:rsid w:val="001470DC"/>
    <w:rsid w:val="00147945"/>
    <w:rsid w:val="00147A1F"/>
    <w:rsid w:val="00147D77"/>
    <w:rsid w:val="0015016C"/>
    <w:rsid w:val="00150233"/>
    <w:rsid w:val="001502E1"/>
    <w:rsid w:val="00150E99"/>
    <w:rsid w:val="001516EE"/>
    <w:rsid w:val="00151DFC"/>
    <w:rsid w:val="00152056"/>
    <w:rsid w:val="0015306A"/>
    <w:rsid w:val="001531C9"/>
    <w:rsid w:val="0015345C"/>
    <w:rsid w:val="0015375A"/>
    <w:rsid w:val="0015395D"/>
    <w:rsid w:val="00153971"/>
    <w:rsid w:val="00153D06"/>
    <w:rsid w:val="0015428B"/>
    <w:rsid w:val="00154C31"/>
    <w:rsid w:val="00154E16"/>
    <w:rsid w:val="00154EE0"/>
    <w:rsid w:val="001556B4"/>
    <w:rsid w:val="00155804"/>
    <w:rsid w:val="00156171"/>
    <w:rsid w:val="001562C9"/>
    <w:rsid w:val="00156417"/>
    <w:rsid w:val="001565A8"/>
    <w:rsid w:val="0015693E"/>
    <w:rsid w:val="00156DF6"/>
    <w:rsid w:val="00156E23"/>
    <w:rsid w:val="001570E5"/>
    <w:rsid w:val="00157793"/>
    <w:rsid w:val="00157A04"/>
    <w:rsid w:val="00160238"/>
    <w:rsid w:val="001606E6"/>
    <w:rsid w:val="0016083D"/>
    <w:rsid w:val="00160878"/>
    <w:rsid w:val="00160CA0"/>
    <w:rsid w:val="0016106B"/>
    <w:rsid w:val="00161478"/>
    <w:rsid w:val="0016163C"/>
    <w:rsid w:val="00162349"/>
    <w:rsid w:val="00162637"/>
    <w:rsid w:val="00162E0D"/>
    <w:rsid w:val="001630D0"/>
    <w:rsid w:val="00163306"/>
    <w:rsid w:val="001636BF"/>
    <w:rsid w:val="001636CA"/>
    <w:rsid w:val="001637A3"/>
    <w:rsid w:val="0016395B"/>
    <w:rsid w:val="00163AF7"/>
    <w:rsid w:val="00164616"/>
    <w:rsid w:val="00164D77"/>
    <w:rsid w:val="00164D9A"/>
    <w:rsid w:val="00165059"/>
    <w:rsid w:val="00165855"/>
    <w:rsid w:val="001658D1"/>
    <w:rsid w:val="00165C3A"/>
    <w:rsid w:val="00165CB7"/>
    <w:rsid w:val="00166879"/>
    <w:rsid w:val="00166A81"/>
    <w:rsid w:val="00167328"/>
    <w:rsid w:val="0016734E"/>
    <w:rsid w:val="00170233"/>
    <w:rsid w:val="0017030C"/>
    <w:rsid w:val="00170D9F"/>
    <w:rsid w:val="0017117B"/>
    <w:rsid w:val="0017148C"/>
    <w:rsid w:val="001718F3"/>
    <w:rsid w:val="00171BB5"/>
    <w:rsid w:val="00171CDE"/>
    <w:rsid w:val="0017212E"/>
    <w:rsid w:val="0017264D"/>
    <w:rsid w:val="00172A27"/>
    <w:rsid w:val="001731F6"/>
    <w:rsid w:val="00173807"/>
    <w:rsid w:val="00174B90"/>
    <w:rsid w:val="0017527B"/>
    <w:rsid w:val="00175610"/>
    <w:rsid w:val="00175657"/>
    <w:rsid w:val="00175A01"/>
    <w:rsid w:val="00176215"/>
    <w:rsid w:val="001768B6"/>
    <w:rsid w:val="00176FBB"/>
    <w:rsid w:val="001771E7"/>
    <w:rsid w:val="00177328"/>
    <w:rsid w:val="00177414"/>
    <w:rsid w:val="001775D1"/>
    <w:rsid w:val="00177786"/>
    <w:rsid w:val="001778F3"/>
    <w:rsid w:val="00177E95"/>
    <w:rsid w:val="00180175"/>
    <w:rsid w:val="001801EE"/>
    <w:rsid w:val="00180407"/>
    <w:rsid w:val="00180D38"/>
    <w:rsid w:val="00180EB8"/>
    <w:rsid w:val="0018133F"/>
    <w:rsid w:val="001813CF"/>
    <w:rsid w:val="00181AC4"/>
    <w:rsid w:val="00181EA2"/>
    <w:rsid w:val="00182377"/>
    <w:rsid w:val="0018296B"/>
    <w:rsid w:val="00182EF9"/>
    <w:rsid w:val="00183038"/>
    <w:rsid w:val="0018324E"/>
    <w:rsid w:val="00183681"/>
    <w:rsid w:val="00183772"/>
    <w:rsid w:val="001839A4"/>
    <w:rsid w:val="00183B58"/>
    <w:rsid w:val="001846A3"/>
    <w:rsid w:val="001848E1"/>
    <w:rsid w:val="00184C06"/>
    <w:rsid w:val="0018545F"/>
    <w:rsid w:val="00185553"/>
    <w:rsid w:val="001856C9"/>
    <w:rsid w:val="001863BB"/>
    <w:rsid w:val="0018692C"/>
    <w:rsid w:val="00186B03"/>
    <w:rsid w:val="00186DAB"/>
    <w:rsid w:val="00186E8A"/>
    <w:rsid w:val="001875BF"/>
    <w:rsid w:val="0018773E"/>
    <w:rsid w:val="00187D4A"/>
    <w:rsid w:val="001901AC"/>
    <w:rsid w:val="00190865"/>
    <w:rsid w:val="00190DC2"/>
    <w:rsid w:val="0019128B"/>
    <w:rsid w:val="0019129F"/>
    <w:rsid w:val="001915DC"/>
    <w:rsid w:val="00191AB1"/>
    <w:rsid w:val="00191B4A"/>
    <w:rsid w:val="001920FC"/>
    <w:rsid w:val="00192BD5"/>
    <w:rsid w:val="00192E5C"/>
    <w:rsid w:val="00192E65"/>
    <w:rsid w:val="0019325B"/>
    <w:rsid w:val="0019347B"/>
    <w:rsid w:val="001935CD"/>
    <w:rsid w:val="0019388E"/>
    <w:rsid w:val="00193BDC"/>
    <w:rsid w:val="00193D1D"/>
    <w:rsid w:val="00193DF8"/>
    <w:rsid w:val="00194054"/>
    <w:rsid w:val="00194249"/>
    <w:rsid w:val="001942A4"/>
    <w:rsid w:val="0019490D"/>
    <w:rsid w:val="00194CF6"/>
    <w:rsid w:val="00195034"/>
    <w:rsid w:val="0019523C"/>
    <w:rsid w:val="001952B6"/>
    <w:rsid w:val="001953A4"/>
    <w:rsid w:val="00195D85"/>
    <w:rsid w:val="00196467"/>
    <w:rsid w:val="001964CD"/>
    <w:rsid w:val="0019708F"/>
    <w:rsid w:val="00197604"/>
    <w:rsid w:val="00197E82"/>
    <w:rsid w:val="00197EDA"/>
    <w:rsid w:val="001A0416"/>
    <w:rsid w:val="001A0632"/>
    <w:rsid w:val="001A06E4"/>
    <w:rsid w:val="001A08FA"/>
    <w:rsid w:val="001A0C5F"/>
    <w:rsid w:val="001A0C9D"/>
    <w:rsid w:val="001A117D"/>
    <w:rsid w:val="001A12BB"/>
    <w:rsid w:val="001A1431"/>
    <w:rsid w:val="001A1475"/>
    <w:rsid w:val="001A19C5"/>
    <w:rsid w:val="001A1E6D"/>
    <w:rsid w:val="001A2830"/>
    <w:rsid w:val="001A2899"/>
    <w:rsid w:val="001A2C86"/>
    <w:rsid w:val="001A2E02"/>
    <w:rsid w:val="001A2FEB"/>
    <w:rsid w:val="001A3142"/>
    <w:rsid w:val="001A3771"/>
    <w:rsid w:val="001A460D"/>
    <w:rsid w:val="001A472F"/>
    <w:rsid w:val="001A56F9"/>
    <w:rsid w:val="001A5DEE"/>
    <w:rsid w:val="001A6235"/>
    <w:rsid w:val="001A6591"/>
    <w:rsid w:val="001A671B"/>
    <w:rsid w:val="001A765E"/>
    <w:rsid w:val="001A7765"/>
    <w:rsid w:val="001A77BC"/>
    <w:rsid w:val="001A7848"/>
    <w:rsid w:val="001A7ACA"/>
    <w:rsid w:val="001B0C43"/>
    <w:rsid w:val="001B0D80"/>
    <w:rsid w:val="001B0FFF"/>
    <w:rsid w:val="001B1109"/>
    <w:rsid w:val="001B161F"/>
    <w:rsid w:val="001B1927"/>
    <w:rsid w:val="001B23E5"/>
    <w:rsid w:val="001B27D2"/>
    <w:rsid w:val="001B29A4"/>
    <w:rsid w:val="001B2B5F"/>
    <w:rsid w:val="001B2B84"/>
    <w:rsid w:val="001B2D14"/>
    <w:rsid w:val="001B2D6D"/>
    <w:rsid w:val="001B3325"/>
    <w:rsid w:val="001B3483"/>
    <w:rsid w:val="001B34AF"/>
    <w:rsid w:val="001B3F14"/>
    <w:rsid w:val="001B3FCC"/>
    <w:rsid w:val="001B48C7"/>
    <w:rsid w:val="001B49C1"/>
    <w:rsid w:val="001B4B0F"/>
    <w:rsid w:val="001B4C56"/>
    <w:rsid w:val="001B5C72"/>
    <w:rsid w:val="001B5D06"/>
    <w:rsid w:val="001B5E55"/>
    <w:rsid w:val="001B600D"/>
    <w:rsid w:val="001B674B"/>
    <w:rsid w:val="001B69D4"/>
    <w:rsid w:val="001B731E"/>
    <w:rsid w:val="001B73FF"/>
    <w:rsid w:val="001B79DB"/>
    <w:rsid w:val="001B7A21"/>
    <w:rsid w:val="001B7DE7"/>
    <w:rsid w:val="001C0029"/>
    <w:rsid w:val="001C00B1"/>
    <w:rsid w:val="001C0633"/>
    <w:rsid w:val="001C0862"/>
    <w:rsid w:val="001C0CCA"/>
    <w:rsid w:val="001C1078"/>
    <w:rsid w:val="001C1856"/>
    <w:rsid w:val="001C18DD"/>
    <w:rsid w:val="001C1A7F"/>
    <w:rsid w:val="001C2B62"/>
    <w:rsid w:val="001C3374"/>
    <w:rsid w:val="001C339D"/>
    <w:rsid w:val="001C3750"/>
    <w:rsid w:val="001C394B"/>
    <w:rsid w:val="001C3B61"/>
    <w:rsid w:val="001C3E9D"/>
    <w:rsid w:val="001C4371"/>
    <w:rsid w:val="001C4650"/>
    <w:rsid w:val="001C4A8E"/>
    <w:rsid w:val="001C4DBA"/>
    <w:rsid w:val="001C560C"/>
    <w:rsid w:val="001C565C"/>
    <w:rsid w:val="001C5C13"/>
    <w:rsid w:val="001C6201"/>
    <w:rsid w:val="001C645A"/>
    <w:rsid w:val="001C682B"/>
    <w:rsid w:val="001C69D9"/>
    <w:rsid w:val="001C6E7A"/>
    <w:rsid w:val="001C764C"/>
    <w:rsid w:val="001C7924"/>
    <w:rsid w:val="001D04A0"/>
    <w:rsid w:val="001D0BDD"/>
    <w:rsid w:val="001D0D3E"/>
    <w:rsid w:val="001D119D"/>
    <w:rsid w:val="001D1B23"/>
    <w:rsid w:val="001D205C"/>
    <w:rsid w:val="001D2215"/>
    <w:rsid w:val="001D2CB9"/>
    <w:rsid w:val="001D2E4E"/>
    <w:rsid w:val="001D2E6E"/>
    <w:rsid w:val="001D2EF5"/>
    <w:rsid w:val="001D349F"/>
    <w:rsid w:val="001D35BB"/>
    <w:rsid w:val="001D3860"/>
    <w:rsid w:val="001D38F9"/>
    <w:rsid w:val="001D390B"/>
    <w:rsid w:val="001D3DA7"/>
    <w:rsid w:val="001D4C73"/>
    <w:rsid w:val="001D5618"/>
    <w:rsid w:val="001D57FF"/>
    <w:rsid w:val="001D59D3"/>
    <w:rsid w:val="001D5C44"/>
    <w:rsid w:val="001D5ED7"/>
    <w:rsid w:val="001D64D5"/>
    <w:rsid w:val="001D6647"/>
    <w:rsid w:val="001D6882"/>
    <w:rsid w:val="001D6B70"/>
    <w:rsid w:val="001D707C"/>
    <w:rsid w:val="001D70D7"/>
    <w:rsid w:val="001D7494"/>
    <w:rsid w:val="001D754E"/>
    <w:rsid w:val="001D7A15"/>
    <w:rsid w:val="001E0086"/>
    <w:rsid w:val="001E0224"/>
    <w:rsid w:val="001E0D62"/>
    <w:rsid w:val="001E0D6F"/>
    <w:rsid w:val="001E268A"/>
    <w:rsid w:val="001E2CFD"/>
    <w:rsid w:val="001E3340"/>
    <w:rsid w:val="001E3648"/>
    <w:rsid w:val="001E387F"/>
    <w:rsid w:val="001E3B29"/>
    <w:rsid w:val="001E3F93"/>
    <w:rsid w:val="001E410C"/>
    <w:rsid w:val="001E4558"/>
    <w:rsid w:val="001E475F"/>
    <w:rsid w:val="001E4C78"/>
    <w:rsid w:val="001E5635"/>
    <w:rsid w:val="001E58A4"/>
    <w:rsid w:val="001E5B54"/>
    <w:rsid w:val="001E5D32"/>
    <w:rsid w:val="001E6112"/>
    <w:rsid w:val="001E675C"/>
    <w:rsid w:val="001E6ABA"/>
    <w:rsid w:val="001E7304"/>
    <w:rsid w:val="001E759A"/>
    <w:rsid w:val="001E78CC"/>
    <w:rsid w:val="001E7C9E"/>
    <w:rsid w:val="001E7D3A"/>
    <w:rsid w:val="001F02A4"/>
    <w:rsid w:val="001F0B54"/>
    <w:rsid w:val="001F13F4"/>
    <w:rsid w:val="001F179F"/>
    <w:rsid w:val="001F1825"/>
    <w:rsid w:val="001F1A4C"/>
    <w:rsid w:val="001F1ECB"/>
    <w:rsid w:val="001F24AA"/>
    <w:rsid w:val="001F274D"/>
    <w:rsid w:val="001F27CF"/>
    <w:rsid w:val="001F28E5"/>
    <w:rsid w:val="001F297F"/>
    <w:rsid w:val="001F2CA1"/>
    <w:rsid w:val="001F2EEA"/>
    <w:rsid w:val="001F3220"/>
    <w:rsid w:val="001F3C19"/>
    <w:rsid w:val="001F44A9"/>
    <w:rsid w:val="001F49FD"/>
    <w:rsid w:val="001F4F86"/>
    <w:rsid w:val="001F5274"/>
    <w:rsid w:val="001F53A8"/>
    <w:rsid w:val="001F561D"/>
    <w:rsid w:val="001F58CC"/>
    <w:rsid w:val="001F5C6B"/>
    <w:rsid w:val="001F5E19"/>
    <w:rsid w:val="001F64B2"/>
    <w:rsid w:val="001F6FA1"/>
    <w:rsid w:val="001F7067"/>
    <w:rsid w:val="001F779A"/>
    <w:rsid w:val="001F7D91"/>
    <w:rsid w:val="002002F8"/>
    <w:rsid w:val="002003FA"/>
    <w:rsid w:val="002004DB"/>
    <w:rsid w:val="00200591"/>
    <w:rsid w:val="0020062F"/>
    <w:rsid w:val="00200684"/>
    <w:rsid w:val="00200790"/>
    <w:rsid w:val="00200821"/>
    <w:rsid w:val="00200D72"/>
    <w:rsid w:val="00200FFE"/>
    <w:rsid w:val="002018BD"/>
    <w:rsid w:val="00201DCD"/>
    <w:rsid w:val="00202BE6"/>
    <w:rsid w:val="00202CC0"/>
    <w:rsid w:val="00202D9B"/>
    <w:rsid w:val="00202E09"/>
    <w:rsid w:val="00202F12"/>
    <w:rsid w:val="00202F34"/>
    <w:rsid w:val="002030A8"/>
    <w:rsid w:val="002031C7"/>
    <w:rsid w:val="002032F1"/>
    <w:rsid w:val="00203BB2"/>
    <w:rsid w:val="0020401A"/>
    <w:rsid w:val="002040E0"/>
    <w:rsid w:val="0020488D"/>
    <w:rsid w:val="00204915"/>
    <w:rsid w:val="00204B3F"/>
    <w:rsid w:val="00204C8B"/>
    <w:rsid w:val="00204F58"/>
    <w:rsid w:val="00205067"/>
    <w:rsid w:val="0020514E"/>
    <w:rsid w:val="00205261"/>
    <w:rsid w:val="002052DA"/>
    <w:rsid w:val="00205419"/>
    <w:rsid w:val="00205737"/>
    <w:rsid w:val="00205ED5"/>
    <w:rsid w:val="00206361"/>
    <w:rsid w:val="00206897"/>
    <w:rsid w:val="00206BBB"/>
    <w:rsid w:val="002070B1"/>
    <w:rsid w:val="002074D8"/>
    <w:rsid w:val="00207AC9"/>
    <w:rsid w:val="00207EEA"/>
    <w:rsid w:val="0021015A"/>
    <w:rsid w:val="0021065D"/>
    <w:rsid w:val="00210979"/>
    <w:rsid w:val="00210B51"/>
    <w:rsid w:val="00210DE5"/>
    <w:rsid w:val="00210FE4"/>
    <w:rsid w:val="00211389"/>
    <w:rsid w:val="002113D6"/>
    <w:rsid w:val="0021180A"/>
    <w:rsid w:val="00211C86"/>
    <w:rsid w:val="0021217F"/>
    <w:rsid w:val="002125F1"/>
    <w:rsid w:val="00213075"/>
    <w:rsid w:val="00213125"/>
    <w:rsid w:val="00213D54"/>
    <w:rsid w:val="00214697"/>
    <w:rsid w:val="00214FA6"/>
    <w:rsid w:val="0021514C"/>
    <w:rsid w:val="0021530F"/>
    <w:rsid w:val="0021562E"/>
    <w:rsid w:val="00215736"/>
    <w:rsid w:val="00215D92"/>
    <w:rsid w:val="00215F99"/>
    <w:rsid w:val="002160E3"/>
    <w:rsid w:val="0021685F"/>
    <w:rsid w:val="0021743F"/>
    <w:rsid w:val="00217678"/>
    <w:rsid w:val="00217869"/>
    <w:rsid w:val="00217AE5"/>
    <w:rsid w:val="00217D0A"/>
    <w:rsid w:val="00220444"/>
    <w:rsid w:val="002208A8"/>
    <w:rsid w:val="002208E1"/>
    <w:rsid w:val="00220BD9"/>
    <w:rsid w:val="00220E55"/>
    <w:rsid w:val="00221031"/>
    <w:rsid w:val="002217E6"/>
    <w:rsid w:val="0022187B"/>
    <w:rsid w:val="002221B9"/>
    <w:rsid w:val="002222B9"/>
    <w:rsid w:val="00222A6E"/>
    <w:rsid w:val="00222C47"/>
    <w:rsid w:val="002231F5"/>
    <w:rsid w:val="0022335C"/>
    <w:rsid w:val="002233FE"/>
    <w:rsid w:val="00223445"/>
    <w:rsid w:val="0022353D"/>
    <w:rsid w:val="002243DB"/>
    <w:rsid w:val="002249C6"/>
    <w:rsid w:val="00224B0D"/>
    <w:rsid w:val="00224CC1"/>
    <w:rsid w:val="002253A3"/>
    <w:rsid w:val="00225613"/>
    <w:rsid w:val="0022581D"/>
    <w:rsid w:val="002258A3"/>
    <w:rsid w:val="00225AD9"/>
    <w:rsid w:val="00226792"/>
    <w:rsid w:val="0022695F"/>
    <w:rsid w:val="00226ACF"/>
    <w:rsid w:val="00227026"/>
    <w:rsid w:val="002270D6"/>
    <w:rsid w:val="00227D05"/>
    <w:rsid w:val="00230843"/>
    <w:rsid w:val="002313AC"/>
    <w:rsid w:val="002321A3"/>
    <w:rsid w:val="00232481"/>
    <w:rsid w:val="00232618"/>
    <w:rsid w:val="002326D8"/>
    <w:rsid w:val="0023287B"/>
    <w:rsid w:val="00232A42"/>
    <w:rsid w:val="00232AA6"/>
    <w:rsid w:val="00232AEE"/>
    <w:rsid w:val="00232BF0"/>
    <w:rsid w:val="002331C8"/>
    <w:rsid w:val="00233359"/>
    <w:rsid w:val="00233492"/>
    <w:rsid w:val="00233DAB"/>
    <w:rsid w:val="00233E0A"/>
    <w:rsid w:val="00234021"/>
    <w:rsid w:val="00234291"/>
    <w:rsid w:val="00234314"/>
    <w:rsid w:val="0023438C"/>
    <w:rsid w:val="002343B7"/>
    <w:rsid w:val="00234686"/>
    <w:rsid w:val="00234DB0"/>
    <w:rsid w:val="00234DC3"/>
    <w:rsid w:val="00234F39"/>
    <w:rsid w:val="0023501C"/>
    <w:rsid w:val="00235318"/>
    <w:rsid w:val="00235F36"/>
    <w:rsid w:val="00235FED"/>
    <w:rsid w:val="00236191"/>
    <w:rsid w:val="00236225"/>
    <w:rsid w:val="0023652E"/>
    <w:rsid w:val="002365E3"/>
    <w:rsid w:val="002367FE"/>
    <w:rsid w:val="002369C6"/>
    <w:rsid w:val="002369F4"/>
    <w:rsid w:val="00236E20"/>
    <w:rsid w:val="00236EB5"/>
    <w:rsid w:val="00237977"/>
    <w:rsid w:val="00237BEE"/>
    <w:rsid w:val="002403BF"/>
    <w:rsid w:val="0024072C"/>
    <w:rsid w:val="00240C07"/>
    <w:rsid w:val="00240FAC"/>
    <w:rsid w:val="00241056"/>
    <w:rsid w:val="0024124C"/>
    <w:rsid w:val="00241506"/>
    <w:rsid w:val="00241A85"/>
    <w:rsid w:val="00241E6F"/>
    <w:rsid w:val="002422B0"/>
    <w:rsid w:val="0024238E"/>
    <w:rsid w:val="00242C6E"/>
    <w:rsid w:val="00242D63"/>
    <w:rsid w:val="002435F8"/>
    <w:rsid w:val="002437C4"/>
    <w:rsid w:val="002437F8"/>
    <w:rsid w:val="00243894"/>
    <w:rsid w:val="002442F7"/>
    <w:rsid w:val="00244477"/>
    <w:rsid w:val="00244A1B"/>
    <w:rsid w:val="00244B8A"/>
    <w:rsid w:val="00245903"/>
    <w:rsid w:val="00245E59"/>
    <w:rsid w:val="0024626B"/>
    <w:rsid w:val="0024650A"/>
    <w:rsid w:val="00246B7C"/>
    <w:rsid w:val="00246CC3"/>
    <w:rsid w:val="00247781"/>
    <w:rsid w:val="0024786C"/>
    <w:rsid w:val="00247BF0"/>
    <w:rsid w:val="00247C6C"/>
    <w:rsid w:val="00247FFE"/>
    <w:rsid w:val="0025071D"/>
    <w:rsid w:val="00250D4E"/>
    <w:rsid w:val="0025100B"/>
    <w:rsid w:val="00251308"/>
    <w:rsid w:val="00251941"/>
    <w:rsid w:val="00251ADB"/>
    <w:rsid w:val="00251BC1"/>
    <w:rsid w:val="00251C18"/>
    <w:rsid w:val="00251C9A"/>
    <w:rsid w:val="00251D46"/>
    <w:rsid w:val="00251E19"/>
    <w:rsid w:val="00252446"/>
    <w:rsid w:val="00252670"/>
    <w:rsid w:val="00252839"/>
    <w:rsid w:val="00252C94"/>
    <w:rsid w:val="00252E0E"/>
    <w:rsid w:val="00252F7F"/>
    <w:rsid w:val="002537E7"/>
    <w:rsid w:val="00253945"/>
    <w:rsid w:val="002545EA"/>
    <w:rsid w:val="0025545E"/>
    <w:rsid w:val="00255498"/>
    <w:rsid w:val="00255FAF"/>
    <w:rsid w:val="00256328"/>
    <w:rsid w:val="00256775"/>
    <w:rsid w:val="002568AB"/>
    <w:rsid w:val="00256A7F"/>
    <w:rsid w:val="00256CFB"/>
    <w:rsid w:val="00257482"/>
    <w:rsid w:val="00257C41"/>
    <w:rsid w:val="00257CC7"/>
    <w:rsid w:val="00260383"/>
    <w:rsid w:val="00260482"/>
    <w:rsid w:val="002605AD"/>
    <w:rsid w:val="002608C9"/>
    <w:rsid w:val="0026180B"/>
    <w:rsid w:val="00261D61"/>
    <w:rsid w:val="00261EB9"/>
    <w:rsid w:val="002620E1"/>
    <w:rsid w:val="002621FA"/>
    <w:rsid w:val="00262440"/>
    <w:rsid w:val="00262499"/>
    <w:rsid w:val="00262612"/>
    <w:rsid w:val="00262715"/>
    <w:rsid w:val="00262C94"/>
    <w:rsid w:val="00263130"/>
    <w:rsid w:val="00263702"/>
    <w:rsid w:val="0026374A"/>
    <w:rsid w:val="002637CA"/>
    <w:rsid w:val="0026387C"/>
    <w:rsid w:val="0026404C"/>
    <w:rsid w:val="002642F3"/>
    <w:rsid w:val="0026440F"/>
    <w:rsid w:val="002644D2"/>
    <w:rsid w:val="00264D3B"/>
    <w:rsid w:val="00264F39"/>
    <w:rsid w:val="002655C2"/>
    <w:rsid w:val="0026561A"/>
    <w:rsid w:val="00265D55"/>
    <w:rsid w:val="00266087"/>
    <w:rsid w:val="00266636"/>
    <w:rsid w:val="00266D89"/>
    <w:rsid w:val="00267092"/>
    <w:rsid w:val="0026719F"/>
    <w:rsid w:val="00267510"/>
    <w:rsid w:val="00270168"/>
    <w:rsid w:val="00271146"/>
    <w:rsid w:val="002715DB"/>
    <w:rsid w:val="00271FED"/>
    <w:rsid w:val="0027209F"/>
    <w:rsid w:val="00272A6B"/>
    <w:rsid w:val="00272B78"/>
    <w:rsid w:val="00272BED"/>
    <w:rsid w:val="002730D4"/>
    <w:rsid w:val="002736D6"/>
    <w:rsid w:val="00273784"/>
    <w:rsid w:val="002747E8"/>
    <w:rsid w:val="00274A10"/>
    <w:rsid w:val="00274A59"/>
    <w:rsid w:val="00274E00"/>
    <w:rsid w:val="002754BA"/>
    <w:rsid w:val="00275738"/>
    <w:rsid w:val="00275A01"/>
    <w:rsid w:val="0027669A"/>
    <w:rsid w:val="00276B2C"/>
    <w:rsid w:val="00276CE4"/>
    <w:rsid w:val="00277C2F"/>
    <w:rsid w:val="00280018"/>
    <w:rsid w:val="0028025A"/>
    <w:rsid w:val="00280350"/>
    <w:rsid w:val="0028077F"/>
    <w:rsid w:val="0028088F"/>
    <w:rsid w:val="00280B47"/>
    <w:rsid w:val="00280C03"/>
    <w:rsid w:val="00280C65"/>
    <w:rsid w:val="00280D94"/>
    <w:rsid w:val="002811D6"/>
    <w:rsid w:val="00281513"/>
    <w:rsid w:val="0028179C"/>
    <w:rsid w:val="00281F65"/>
    <w:rsid w:val="00282145"/>
    <w:rsid w:val="00282497"/>
    <w:rsid w:val="00282507"/>
    <w:rsid w:val="00282720"/>
    <w:rsid w:val="00282A87"/>
    <w:rsid w:val="00282AE1"/>
    <w:rsid w:val="00282B40"/>
    <w:rsid w:val="00282B97"/>
    <w:rsid w:val="0028347B"/>
    <w:rsid w:val="0028355A"/>
    <w:rsid w:val="002838A5"/>
    <w:rsid w:val="00283A26"/>
    <w:rsid w:val="00283F8D"/>
    <w:rsid w:val="002841AB"/>
    <w:rsid w:val="0028457C"/>
    <w:rsid w:val="00284FE4"/>
    <w:rsid w:val="0028500C"/>
    <w:rsid w:val="00285213"/>
    <w:rsid w:val="00285405"/>
    <w:rsid w:val="002855BA"/>
    <w:rsid w:val="002856E8"/>
    <w:rsid w:val="00285818"/>
    <w:rsid w:val="00285A84"/>
    <w:rsid w:val="00286B1F"/>
    <w:rsid w:val="002871B4"/>
    <w:rsid w:val="00287367"/>
    <w:rsid w:val="002874AA"/>
    <w:rsid w:val="00287622"/>
    <w:rsid w:val="002876B5"/>
    <w:rsid w:val="00287AD3"/>
    <w:rsid w:val="00287C26"/>
    <w:rsid w:val="00290664"/>
    <w:rsid w:val="00290698"/>
    <w:rsid w:val="00290B6D"/>
    <w:rsid w:val="00290DD9"/>
    <w:rsid w:val="002915FD"/>
    <w:rsid w:val="00291A01"/>
    <w:rsid w:val="00291ADC"/>
    <w:rsid w:val="00292165"/>
    <w:rsid w:val="0029269B"/>
    <w:rsid w:val="00292746"/>
    <w:rsid w:val="0029299D"/>
    <w:rsid w:val="00292A56"/>
    <w:rsid w:val="00293D6B"/>
    <w:rsid w:val="00293F1B"/>
    <w:rsid w:val="00294026"/>
    <w:rsid w:val="00294123"/>
    <w:rsid w:val="002947B3"/>
    <w:rsid w:val="00294D6D"/>
    <w:rsid w:val="00294D88"/>
    <w:rsid w:val="002959BE"/>
    <w:rsid w:val="00295C31"/>
    <w:rsid w:val="00296939"/>
    <w:rsid w:val="00296A3F"/>
    <w:rsid w:val="00296BD1"/>
    <w:rsid w:val="00296D1D"/>
    <w:rsid w:val="00296D64"/>
    <w:rsid w:val="00296DEB"/>
    <w:rsid w:val="00296FCD"/>
    <w:rsid w:val="0029730D"/>
    <w:rsid w:val="0029778B"/>
    <w:rsid w:val="002978E8"/>
    <w:rsid w:val="002979C7"/>
    <w:rsid w:val="002A0C09"/>
    <w:rsid w:val="002A10D5"/>
    <w:rsid w:val="002A193D"/>
    <w:rsid w:val="002A1A58"/>
    <w:rsid w:val="002A2019"/>
    <w:rsid w:val="002A20A9"/>
    <w:rsid w:val="002A213F"/>
    <w:rsid w:val="002A2218"/>
    <w:rsid w:val="002A25CB"/>
    <w:rsid w:val="002A2754"/>
    <w:rsid w:val="002A2770"/>
    <w:rsid w:val="002A277A"/>
    <w:rsid w:val="002A2A73"/>
    <w:rsid w:val="002A2CDA"/>
    <w:rsid w:val="002A2D8D"/>
    <w:rsid w:val="002A2FC0"/>
    <w:rsid w:val="002A310E"/>
    <w:rsid w:val="002A32AC"/>
    <w:rsid w:val="002A333B"/>
    <w:rsid w:val="002A38A7"/>
    <w:rsid w:val="002A3949"/>
    <w:rsid w:val="002A4507"/>
    <w:rsid w:val="002A477B"/>
    <w:rsid w:val="002A498A"/>
    <w:rsid w:val="002A4FA5"/>
    <w:rsid w:val="002A5170"/>
    <w:rsid w:val="002A5370"/>
    <w:rsid w:val="002A5630"/>
    <w:rsid w:val="002A5974"/>
    <w:rsid w:val="002A5D4C"/>
    <w:rsid w:val="002A625C"/>
    <w:rsid w:val="002A680C"/>
    <w:rsid w:val="002B0141"/>
    <w:rsid w:val="002B0AD8"/>
    <w:rsid w:val="002B0D36"/>
    <w:rsid w:val="002B1155"/>
    <w:rsid w:val="002B18DC"/>
    <w:rsid w:val="002B1B80"/>
    <w:rsid w:val="002B2397"/>
    <w:rsid w:val="002B24B9"/>
    <w:rsid w:val="002B2636"/>
    <w:rsid w:val="002B2F85"/>
    <w:rsid w:val="002B32F3"/>
    <w:rsid w:val="002B392A"/>
    <w:rsid w:val="002B3973"/>
    <w:rsid w:val="002B432D"/>
    <w:rsid w:val="002B4443"/>
    <w:rsid w:val="002B46E2"/>
    <w:rsid w:val="002B4B4D"/>
    <w:rsid w:val="002B58FB"/>
    <w:rsid w:val="002B59DE"/>
    <w:rsid w:val="002B5BAC"/>
    <w:rsid w:val="002B5EB8"/>
    <w:rsid w:val="002B6381"/>
    <w:rsid w:val="002B6635"/>
    <w:rsid w:val="002B6693"/>
    <w:rsid w:val="002B6A5E"/>
    <w:rsid w:val="002B74A9"/>
    <w:rsid w:val="002B7777"/>
    <w:rsid w:val="002B7980"/>
    <w:rsid w:val="002C000F"/>
    <w:rsid w:val="002C0C72"/>
    <w:rsid w:val="002C0EF2"/>
    <w:rsid w:val="002C0F24"/>
    <w:rsid w:val="002C1183"/>
    <w:rsid w:val="002C13EA"/>
    <w:rsid w:val="002C14CE"/>
    <w:rsid w:val="002C1642"/>
    <w:rsid w:val="002C16FA"/>
    <w:rsid w:val="002C171C"/>
    <w:rsid w:val="002C1838"/>
    <w:rsid w:val="002C1D84"/>
    <w:rsid w:val="002C22BD"/>
    <w:rsid w:val="002C2DAA"/>
    <w:rsid w:val="002C2EB7"/>
    <w:rsid w:val="002C398E"/>
    <w:rsid w:val="002C3E1D"/>
    <w:rsid w:val="002C3EA5"/>
    <w:rsid w:val="002C444E"/>
    <w:rsid w:val="002C450E"/>
    <w:rsid w:val="002C4CDC"/>
    <w:rsid w:val="002C5A41"/>
    <w:rsid w:val="002C5B9A"/>
    <w:rsid w:val="002C5D64"/>
    <w:rsid w:val="002C5FF9"/>
    <w:rsid w:val="002C6220"/>
    <w:rsid w:val="002C6B7A"/>
    <w:rsid w:val="002C6E57"/>
    <w:rsid w:val="002C74D2"/>
    <w:rsid w:val="002C7565"/>
    <w:rsid w:val="002C78F6"/>
    <w:rsid w:val="002C7EBC"/>
    <w:rsid w:val="002D049D"/>
    <w:rsid w:val="002D0BF6"/>
    <w:rsid w:val="002D141D"/>
    <w:rsid w:val="002D2C57"/>
    <w:rsid w:val="002D385E"/>
    <w:rsid w:val="002D3BB3"/>
    <w:rsid w:val="002D3F66"/>
    <w:rsid w:val="002D40C9"/>
    <w:rsid w:val="002D447C"/>
    <w:rsid w:val="002D4A6C"/>
    <w:rsid w:val="002D4EB8"/>
    <w:rsid w:val="002D5023"/>
    <w:rsid w:val="002D50D7"/>
    <w:rsid w:val="002D5184"/>
    <w:rsid w:val="002D54DC"/>
    <w:rsid w:val="002D5D7D"/>
    <w:rsid w:val="002D677B"/>
    <w:rsid w:val="002D6D34"/>
    <w:rsid w:val="002D6DCB"/>
    <w:rsid w:val="002D6F82"/>
    <w:rsid w:val="002D6F9E"/>
    <w:rsid w:val="002D7170"/>
    <w:rsid w:val="002D73B3"/>
    <w:rsid w:val="002D7445"/>
    <w:rsid w:val="002D74CB"/>
    <w:rsid w:val="002D7543"/>
    <w:rsid w:val="002D769B"/>
    <w:rsid w:val="002D7979"/>
    <w:rsid w:val="002D7B78"/>
    <w:rsid w:val="002D7BEC"/>
    <w:rsid w:val="002E05C2"/>
    <w:rsid w:val="002E0CC9"/>
    <w:rsid w:val="002E11A2"/>
    <w:rsid w:val="002E1DD7"/>
    <w:rsid w:val="002E1E74"/>
    <w:rsid w:val="002E3058"/>
    <w:rsid w:val="002E3119"/>
    <w:rsid w:val="002E32B4"/>
    <w:rsid w:val="002E33CA"/>
    <w:rsid w:val="002E39AB"/>
    <w:rsid w:val="002E47B1"/>
    <w:rsid w:val="002E4905"/>
    <w:rsid w:val="002E4D57"/>
    <w:rsid w:val="002E5059"/>
    <w:rsid w:val="002E508B"/>
    <w:rsid w:val="002E52E6"/>
    <w:rsid w:val="002E587C"/>
    <w:rsid w:val="002E5BB8"/>
    <w:rsid w:val="002E5D53"/>
    <w:rsid w:val="002E5ECA"/>
    <w:rsid w:val="002E6034"/>
    <w:rsid w:val="002E62CD"/>
    <w:rsid w:val="002E65DF"/>
    <w:rsid w:val="002E688E"/>
    <w:rsid w:val="002E6A4B"/>
    <w:rsid w:val="002E6B79"/>
    <w:rsid w:val="002E7231"/>
    <w:rsid w:val="002E723E"/>
    <w:rsid w:val="002E72EB"/>
    <w:rsid w:val="002E7524"/>
    <w:rsid w:val="002E77F8"/>
    <w:rsid w:val="002E7CFD"/>
    <w:rsid w:val="002F01D6"/>
    <w:rsid w:val="002F0909"/>
    <w:rsid w:val="002F0A00"/>
    <w:rsid w:val="002F1508"/>
    <w:rsid w:val="002F163A"/>
    <w:rsid w:val="002F171B"/>
    <w:rsid w:val="002F2060"/>
    <w:rsid w:val="002F220D"/>
    <w:rsid w:val="002F2330"/>
    <w:rsid w:val="002F259F"/>
    <w:rsid w:val="002F2E2C"/>
    <w:rsid w:val="002F45EE"/>
    <w:rsid w:val="002F48EA"/>
    <w:rsid w:val="002F4F13"/>
    <w:rsid w:val="002F54A7"/>
    <w:rsid w:val="002F5545"/>
    <w:rsid w:val="002F59A0"/>
    <w:rsid w:val="002F59DE"/>
    <w:rsid w:val="002F5E7D"/>
    <w:rsid w:val="002F5FA0"/>
    <w:rsid w:val="002F644A"/>
    <w:rsid w:val="002F69C4"/>
    <w:rsid w:val="002F6C7B"/>
    <w:rsid w:val="002F7307"/>
    <w:rsid w:val="002F73B3"/>
    <w:rsid w:val="002F7649"/>
    <w:rsid w:val="00300244"/>
    <w:rsid w:val="0030024D"/>
    <w:rsid w:val="00300304"/>
    <w:rsid w:val="0030068A"/>
    <w:rsid w:val="003006E3"/>
    <w:rsid w:val="003007C0"/>
    <w:rsid w:val="00300D55"/>
    <w:rsid w:val="00301030"/>
    <w:rsid w:val="00301934"/>
    <w:rsid w:val="00302418"/>
    <w:rsid w:val="00302792"/>
    <w:rsid w:val="0030328B"/>
    <w:rsid w:val="0030331A"/>
    <w:rsid w:val="003034CD"/>
    <w:rsid w:val="00303580"/>
    <w:rsid w:val="00303A74"/>
    <w:rsid w:val="00303E06"/>
    <w:rsid w:val="0030481F"/>
    <w:rsid w:val="00304B59"/>
    <w:rsid w:val="00304FD8"/>
    <w:rsid w:val="003052CB"/>
    <w:rsid w:val="00305D95"/>
    <w:rsid w:val="00305DA8"/>
    <w:rsid w:val="00306986"/>
    <w:rsid w:val="00306995"/>
    <w:rsid w:val="00306ACD"/>
    <w:rsid w:val="00306C32"/>
    <w:rsid w:val="00306D03"/>
    <w:rsid w:val="00306E4C"/>
    <w:rsid w:val="00306E66"/>
    <w:rsid w:val="00306F3B"/>
    <w:rsid w:val="003070FD"/>
    <w:rsid w:val="003071CF"/>
    <w:rsid w:val="0031012D"/>
    <w:rsid w:val="0031033A"/>
    <w:rsid w:val="00310CF7"/>
    <w:rsid w:val="003112AF"/>
    <w:rsid w:val="00311348"/>
    <w:rsid w:val="003113D4"/>
    <w:rsid w:val="003113FC"/>
    <w:rsid w:val="003118B3"/>
    <w:rsid w:val="00312322"/>
    <w:rsid w:val="00313491"/>
    <w:rsid w:val="0031415C"/>
    <w:rsid w:val="00314266"/>
    <w:rsid w:val="00314AB5"/>
    <w:rsid w:val="003150A5"/>
    <w:rsid w:val="00315171"/>
    <w:rsid w:val="00315CC8"/>
    <w:rsid w:val="00315CCB"/>
    <w:rsid w:val="00315CFB"/>
    <w:rsid w:val="00315F93"/>
    <w:rsid w:val="0031638F"/>
    <w:rsid w:val="00316542"/>
    <w:rsid w:val="00316AA3"/>
    <w:rsid w:val="00316C4E"/>
    <w:rsid w:val="00316CB3"/>
    <w:rsid w:val="00316E96"/>
    <w:rsid w:val="0031765B"/>
    <w:rsid w:val="003178C7"/>
    <w:rsid w:val="00317E01"/>
    <w:rsid w:val="003201A6"/>
    <w:rsid w:val="00320599"/>
    <w:rsid w:val="00320973"/>
    <w:rsid w:val="00320E72"/>
    <w:rsid w:val="00321285"/>
    <w:rsid w:val="00321415"/>
    <w:rsid w:val="003216B8"/>
    <w:rsid w:val="00321CFE"/>
    <w:rsid w:val="00321E18"/>
    <w:rsid w:val="003220DE"/>
    <w:rsid w:val="00322447"/>
    <w:rsid w:val="003224B2"/>
    <w:rsid w:val="00322A54"/>
    <w:rsid w:val="00322F13"/>
    <w:rsid w:val="00322FDD"/>
    <w:rsid w:val="00323399"/>
    <w:rsid w:val="003236F3"/>
    <w:rsid w:val="003240A2"/>
    <w:rsid w:val="00325039"/>
    <w:rsid w:val="00325360"/>
    <w:rsid w:val="00325539"/>
    <w:rsid w:val="0032563D"/>
    <w:rsid w:val="003259DD"/>
    <w:rsid w:val="00325A37"/>
    <w:rsid w:val="00326AD2"/>
    <w:rsid w:val="003270A5"/>
    <w:rsid w:val="00327292"/>
    <w:rsid w:val="003278F0"/>
    <w:rsid w:val="00327C74"/>
    <w:rsid w:val="00327DBF"/>
    <w:rsid w:val="00330137"/>
    <w:rsid w:val="003304F5"/>
    <w:rsid w:val="003305EE"/>
    <w:rsid w:val="00330630"/>
    <w:rsid w:val="00330D47"/>
    <w:rsid w:val="00331A60"/>
    <w:rsid w:val="00331A83"/>
    <w:rsid w:val="003320E6"/>
    <w:rsid w:val="003326B6"/>
    <w:rsid w:val="00332EEA"/>
    <w:rsid w:val="003331B0"/>
    <w:rsid w:val="00333E67"/>
    <w:rsid w:val="00333F2A"/>
    <w:rsid w:val="00334008"/>
    <w:rsid w:val="00334768"/>
    <w:rsid w:val="003347A7"/>
    <w:rsid w:val="00334ABB"/>
    <w:rsid w:val="00334FD9"/>
    <w:rsid w:val="00335120"/>
    <w:rsid w:val="0033536E"/>
    <w:rsid w:val="00335799"/>
    <w:rsid w:val="0033591B"/>
    <w:rsid w:val="00335A3D"/>
    <w:rsid w:val="00335A66"/>
    <w:rsid w:val="00335C99"/>
    <w:rsid w:val="00336954"/>
    <w:rsid w:val="0033746B"/>
    <w:rsid w:val="00337D3C"/>
    <w:rsid w:val="0034048C"/>
    <w:rsid w:val="00340B24"/>
    <w:rsid w:val="00340E47"/>
    <w:rsid w:val="00340E68"/>
    <w:rsid w:val="00340EDD"/>
    <w:rsid w:val="00341037"/>
    <w:rsid w:val="003411FE"/>
    <w:rsid w:val="00341670"/>
    <w:rsid w:val="00342591"/>
    <w:rsid w:val="00342A4C"/>
    <w:rsid w:val="00342E1A"/>
    <w:rsid w:val="003435E8"/>
    <w:rsid w:val="003437F6"/>
    <w:rsid w:val="00343F46"/>
    <w:rsid w:val="00344704"/>
    <w:rsid w:val="00344BEA"/>
    <w:rsid w:val="00344F3C"/>
    <w:rsid w:val="003456F1"/>
    <w:rsid w:val="00345DD3"/>
    <w:rsid w:val="00346027"/>
    <w:rsid w:val="0034685A"/>
    <w:rsid w:val="00346ED4"/>
    <w:rsid w:val="003471DF"/>
    <w:rsid w:val="00350250"/>
    <w:rsid w:val="00350399"/>
    <w:rsid w:val="003504D3"/>
    <w:rsid w:val="0035065A"/>
    <w:rsid w:val="003506FF"/>
    <w:rsid w:val="00350811"/>
    <w:rsid w:val="00350A5F"/>
    <w:rsid w:val="00350B6D"/>
    <w:rsid w:val="00350BCB"/>
    <w:rsid w:val="00350C13"/>
    <w:rsid w:val="00351B1E"/>
    <w:rsid w:val="00351F63"/>
    <w:rsid w:val="00351FD1"/>
    <w:rsid w:val="00352016"/>
    <w:rsid w:val="00352348"/>
    <w:rsid w:val="00352510"/>
    <w:rsid w:val="003528EC"/>
    <w:rsid w:val="00352A69"/>
    <w:rsid w:val="00352BA2"/>
    <w:rsid w:val="00352F73"/>
    <w:rsid w:val="003532FA"/>
    <w:rsid w:val="003535B9"/>
    <w:rsid w:val="00353FEC"/>
    <w:rsid w:val="003546E0"/>
    <w:rsid w:val="00354A8E"/>
    <w:rsid w:val="00354D14"/>
    <w:rsid w:val="00354D15"/>
    <w:rsid w:val="003551C1"/>
    <w:rsid w:val="00355384"/>
    <w:rsid w:val="003553AD"/>
    <w:rsid w:val="003553CD"/>
    <w:rsid w:val="00355420"/>
    <w:rsid w:val="0035612C"/>
    <w:rsid w:val="003562F3"/>
    <w:rsid w:val="003563B9"/>
    <w:rsid w:val="00356AAE"/>
    <w:rsid w:val="00356B8F"/>
    <w:rsid w:val="00357256"/>
    <w:rsid w:val="0035776B"/>
    <w:rsid w:val="00357822"/>
    <w:rsid w:val="00357A37"/>
    <w:rsid w:val="00357D16"/>
    <w:rsid w:val="00357D9C"/>
    <w:rsid w:val="003606A7"/>
    <w:rsid w:val="00360866"/>
    <w:rsid w:val="00360991"/>
    <w:rsid w:val="00361408"/>
    <w:rsid w:val="0036205E"/>
    <w:rsid w:val="00362701"/>
    <w:rsid w:val="0036271D"/>
    <w:rsid w:val="00362B62"/>
    <w:rsid w:val="00362CCC"/>
    <w:rsid w:val="00362E60"/>
    <w:rsid w:val="003635BB"/>
    <w:rsid w:val="00363F08"/>
    <w:rsid w:val="00363F5C"/>
    <w:rsid w:val="00364079"/>
    <w:rsid w:val="003643F5"/>
    <w:rsid w:val="0036485E"/>
    <w:rsid w:val="0036497C"/>
    <w:rsid w:val="00364AAE"/>
    <w:rsid w:val="00364F14"/>
    <w:rsid w:val="00364F68"/>
    <w:rsid w:val="003656EF"/>
    <w:rsid w:val="00365851"/>
    <w:rsid w:val="00365855"/>
    <w:rsid w:val="00365CA0"/>
    <w:rsid w:val="00366201"/>
    <w:rsid w:val="003662B2"/>
    <w:rsid w:val="0036673F"/>
    <w:rsid w:val="00366DC4"/>
    <w:rsid w:val="00367352"/>
    <w:rsid w:val="003673A3"/>
    <w:rsid w:val="0036755E"/>
    <w:rsid w:val="003675D6"/>
    <w:rsid w:val="00367AC9"/>
    <w:rsid w:val="00367B8C"/>
    <w:rsid w:val="00367CF2"/>
    <w:rsid w:val="00367D18"/>
    <w:rsid w:val="00370863"/>
    <w:rsid w:val="00370866"/>
    <w:rsid w:val="0037153B"/>
    <w:rsid w:val="003717A4"/>
    <w:rsid w:val="00372665"/>
    <w:rsid w:val="00372762"/>
    <w:rsid w:val="00372C33"/>
    <w:rsid w:val="00373969"/>
    <w:rsid w:val="00373A77"/>
    <w:rsid w:val="00373F29"/>
    <w:rsid w:val="00374177"/>
    <w:rsid w:val="00374263"/>
    <w:rsid w:val="00374609"/>
    <w:rsid w:val="003746D9"/>
    <w:rsid w:val="00374913"/>
    <w:rsid w:val="00374C32"/>
    <w:rsid w:val="00374D01"/>
    <w:rsid w:val="00375BF7"/>
    <w:rsid w:val="00376780"/>
    <w:rsid w:val="00376A8E"/>
    <w:rsid w:val="00376AA8"/>
    <w:rsid w:val="00376EF4"/>
    <w:rsid w:val="003771C0"/>
    <w:rsid w:val="0037724A"/>
    <w:rsid w:val="00377387"/>
    <w:rsid w:val="00377B94"/>
    <w:rsid w:val="00377C20"/>
    <w:rsid w:val="00380375"/>
    <w:rsid w:val="0038096E"/>
    <w:rsid w:val="00380A9E"/>
    <w:rsid w:val="00380D69"/>
    <w:rsid w:val="003815D2"/>
    <w:rsid w:val="00381993"/>
    <w:rsid w:val="00381A54"/>
    <w:rsid w:val="00381DDD"/>
    <w:rsid w:val="00382AFE"/>
    <w:rsid w:val="00382F30"/>
    <w:rsid w:val="0038313D"/>
    <w:rsid w:val="00383F77"/>
    <w:rsid w:val="00383F99"/>
    <w:rsid w:val="00384025"/>
    <w:rsid w:val="00384869"/>
    <w:rsid w:val="00384F53"/>
    <w:rsid w:val="00384F7C"/>
    <w:rsid w:val="00385101"/>
    <w:rsid w:val="0038597F"/>
    <w:rsid w:val="003860C5"/>
    <w:rsid w:val="003860E8"/>
    <w:rsid w:val="003865C1"/>
    <w:rsid w:val="00386A49"/>
    <w:rsid w:val="00386E29"/>
    <w:rsid w:val="0038708B"/>
    <w:rsid w:val="0038734D"/>
    <w:rsid w:val="003873FE"/>
    <w:rsid w:val="00387471"/>
    <w:rsid w:val="0038764C"/>
    <w:rsid w:val="0038776F"/>
    <w:rsid w:val="00390B47"/>
    <w:rsid w:val="00390D6B"/>
    <w:rsid w:val="00390E30"/>
    <w:rsid w:val="00390E82"/>
    <w:rsid w:val="00391120"/>
    <w:rsid w:val="0039220B"/>
    <w:rsid w:val="003923B8"/>
    <w:rsid w:val="003926DF"/>
    <w:rsid w:val="00392701"/>
    <w:rsid w:val="00392B45"/>
    <w:rsid w:val="00392F66"/>
    <w:rsid w:val="003933F4"/>
    <w:rsid w:val="003934B0"/>
    <w:rsid w:val="00393D30"/>
    <w:rsid w:val="00393E1E"/>
    <w:rsid w:val="00393E1F"/>
    <w:rsid w:val="00393FDB"/>
    <w:rsid w:val="0039417F"/>
    <w:rsid w:val="0039496A"/>
    <w:rsid w:val="00394C60"/>
    <w:rsid w:val="00394C8A"/>
    <w:rsid w:val="00394FCB"/>
    <w:rsid w:val="0039594F"/>
    <w:rsid w:val="00395D9C"/>
    <w:rsid w:val="00395E54"/>
    <w:rsid w:val="00395F52"/>
    <w:rsid w:val="00396596"/>
    <w:rsid w:val="0039673B"/>
    <w:rsid w:val="003969D9"/>
    <w:rsid w:val="00396A58"/>
    <w:rsid w:val="00396B08"/>
    <w:rsid w:val="00396D6E"/>
    <w:rsid w:val="00397511"/>
    <w:rsid w:val="00397549"/>
    <w:rsid w:val="003979C3"/>
    <w:rsid w:val="00397DB7"/>
    <w:rsid w:val="003A10ED"/>
    <w:rsid w:val="003A1477"/>
    <w:rsid w:val="003A17BD"/>
    <w:rsid w:val="003A251B"/>
    <w:rsid w:val="003A2533"/>
    <w:rsid w:val="003A2BBF"/>
    <w:rsid w:val="003A3207"/>
    <w:rsid w:val="003A400D"/>
    <w:rsid w:val="003A41A7"/>
    <w:rsid w:val="003A41CD"/>
    <w:rsid w:val="003A4410"/>
    <w:rsid w:val="003A4EEB"/>
    <w:rsid w:val="003A5B32"/>
    <w:rsid w:val="003A5F6B"/>
    <w:rsid w:val="003A609D"/>
    <w:rsid w:val="003A6C6E"/>
    <w:rsid w:val="003A704F"/>
    <w:rsid w:val="003A75B8"/>
    <w:rsid w:val="003A7CAC"/>
    <w:rsid w:val="003B0164"/>
    <w:rsid w:val="003B019B"/>
    <w:rsid w:val="003B02C2"/>
    <w:rsid w:val="003B0688"/>
    <w:rsid w:val="003B08D6"/>
    <w:rsid w:val="003B0F62"/>
    <w:rsid w:val="003B16F1"/>
    <w:rsid w:val="003B213C"/>
    <w:rsid w:val="003B2790"/>
    <w:rsid w:val="003B29A0"/>
    <w:rsid w:val="003B2EBA"/>
    <w:rsid w:val="003B2F5B"/>
    <w:rsid w:val="003B2FFB"/>
    <w:rsid w:val="003B36B5"/>
    <w:rsid w:val="003B390B"/>
    <w:rsid w:val="003B3995"/>
    <w:rsid w:val="003B39CA"/>
    <w:rsid w:val="003B3A0B"/>
    <w:rsid w:val="003B41C6"/>
    <w:rsid w:val="003B431E"/>
    <w:rsid w:val="003B56F8"/>
    <w:rsid w:val="003B5787"/>
    <w:rsid w:val="003B582B"/>
    <w:rsid w:val="003B639E"/>
    <w:rsid w:val="003B65CB"/>
    <w:rsid w:val="003B6723"/>
    <w:rsid w:val="003B6A42"/>
    <w:rsid w:val="003B6B19"/>
    <w:rsid w:val="003B6EBE"/>
    <w:rsid w:val="003C046E"/>
    <w:rsid w:val="003C0917"/>
    <w:rsid w:val="003C0D82"/>
    <w:rsid w:val="003C0DF6"/>
    <w:rsid w:val="003C188A"/>
    <w:rsid w:val="003C1A14"/>
    <w:rsid w:val="003C222D"/>
    <w:rsid w:val="003C2558"/>
    <w:rsid w:val="003C2738"/>
    <w:rsid w:val="003C3739"/>
    <w:rsid w:val="003C3DEA"/>
    <w:rsid w:val="003C47E4"/>
    <w:rsid w:val="003C487A"/>
    <w:rsid w:val="003C4B2D"/>
    <w:rsid w:val="003C5079"/>
    <w:rsid w:val="003C5270"/>
    <w:rsid w:val="003C55E4"/>
    <w:rsid w:val="003C6702"/>
    <w:rsid w:val="003C6A2C"/>
    <w:rsid w:val="003C6B70"/>
    <w:rsid w:val="003C72DF"/>
    <w:rsid w:val="003D03D1"/>
    <w:rsid w:val="003D0499"/>
    <w:rsid w:val="003D05BC"/>
    <w:rsid w:val="003D06C9"/>
    <w:rsid w:val="003D08A0"/>
    <w:rsid w:val="003D09F0"/>
    <w:rsid w:val="003D0DB3"/>
    <w:rsid w:val="003D10A3"/>
    <w:rsid w:val="003D132E"/>
    <w:rsid w:val="003D1494"/>
    <w:rsid w:val="003D16A0"/>
    <w:rsid w:val="003D197C"/>
    <w:rsid w:val="003D2036"/>
    <w:rsid w:val="003D2079"/>
    <w:rsid w:val="003D26CD"/>
    <w:rsid w:val="003D279C"/>
    <w:rsid w:val="003D2944"/>
    <w:rsid w:val="003D2EED"/>
    <w:rsid w:val="003D2F63"/>
    <w:rsid w:val="003D30F5"/>
    <w:rsid w:val="003D313C"/>
    <w:rsid w:val="003D3200"/>
    <w:rsid w:val="003D3ADD"/>
    <w:rsid w:val="003D3B8B"/>
    <w:rsid w:val="003D3D6D"/>
    <w:rsid w:val="003D3F57"/>
    <w:rsid w:val="003D47B7"/>
    <w:rsid w:val="003D4928"/>
    <w:rsid w:val="003D54A8"/>
    <w:rsid w:val="003D56A2"/>
    <w:rsid w:val="003D5740"/>
    <w:rsid w:val="003D5B58"/>
    <w:rsid w:val="003D5C5B"/>
    <w:rsid w:val="003D62B2"/>
    <w:rsid w:val="003D662E"/>
    <w:rsid w:val="003D6EAB"/>
    <w:rsid w:val="003D7217"/>
    <w:rsid w:val="003D7321"/>
    <w:rsid w:val="003D7375"/>
    <w:rsid w:val="003D7415"/>
    <w:rsid w:val="003E0850"/>
    <w:rsid w:val="003E0886"/>
    <w:rsid w:val="003E1728"/>
    <w:rsid w:val="003E18CD"/>
    <w:rsid w:val="003E1D2E"/>
    <w:rsid w:val="003E1FC6"/>
    <w:rsid w:val="003E24D7"/>
    <w:rsid w:val="003E2767"/>
    <w:rsid w:val="003E2F0A"/>
    <w:rsid w:val="003E2FDE"/>
    <w:rsid w:val="003E34E6"/>
    <w:rsid w:val="003E3A0F"/>
    <w:rsid w:val="003E3F76"/>
    <w:rsid w:val="003E3FF4"/>
    <w:rsid w:val="003E4A44"/>
    <w:rsid w:val="003E4E74"/>
    <w:rsid w:val="003E5E6F"/>
    <w:rsid w:val="003E600D"/>
    <w:rsid w:val="003E65AC"/>
    <w:rsid w:val="003E6743"/>
    <w:rsid w:val="003E6824"/>
    <w:rsid w:val="003E6CDB"/>
    <w:rsid w:val="003E6FF8"/>
    <w:rsid w:val="003E7743"/>
    <w:rsid w:val="003E7C72"/>
    <w:rsid w:val="003F070C"/>
    <w:rsid w:val="003F071F"/>
    <w:rsid w:val="003F0AE9"/>
    <w:rsid w:val="003F0C3D"/>
    <w:rsid w:val="003F0E6D"/>
    <w:rsid w:val="003F12B2"/>
    <w:rsid w:val="003F19D0"/>
    <w:rsid w:val="003F1F3E"/>
    <w:rsid w:val="003F24B5"/>
    <w:rsid w:val="003F2541"/>
    <w:rsid w:val="003F26E8"/>
    <w:rsid w:val="003F27B0"/>
    <w:rsid w:val="003F343C"/>
    <w:rsid w:val="003F3686"/>
    <w:rsid w:val="003F38EF"/>
    <w:rsid w:val="003F3E55"/>
    <w:rsid w:val="003F3E85"/>
    <w:rsid w:val="003F41A4"/>
    <w:rsid w:val="003F438A"/>
    <w:rsid w:val="003F4614"/>
    <w:rsid w:val="003F47AC"/>
    <w:rsid w:val="003F4D22"/>
    <w:rsid w:val="003F5126"/>
    <w:rsid w:val="003F55C6"/>
    <w:rsid w:val="003F5A7F"/>
    <w:rsid w:val="003F5B96"/>
    <w:rsid w:val="003F5C31"/>
    <w:rsid w:val="003F5DBE"/>
    <w:rsid w:val="003F63A9"/>
    <w:rsid w:val="003F6B35"/>
    <w:rsid w:val="003F6C07"/>
    <w:rsid w:val="003F6CF4"/>
    <w:rsid w:val="003F6D3B"/>
    <w:rsid w:val="003F729C"/>
    <w:rsid w:val="003F7538"/>
    <w:rsid w:val="003F7F27"/>
    <w:rsid w:val="00400245"/>
    <w:rsid w:val="00400475"/>
    <w:rsid w:val="00400813"/>
    <w:rsid w:val="00400859"/>
    <w:rsid w:val="004009AD"/>
    <w:rsid w:val="00400A2C"/>
    <w:rsid w:val="00401007"/>
    <w:rsid w:val="00401319"/>
    <w:rsid w:val="004014DC"/>
    <w:rsid w:val="00401713"/>
    <w:rsid w:val="00401781"/>
    <w:rsid w:val="0040189E"/>
    <w:rsid w:val="00401BF4"/>
    <w:rsid w:val="00401E20"/>
    <w:rsid w:val="00402377"/>
    <w:rsid w:val="00402630"/>
    <w:rsid w:val="00402691"/>
    <w:rsid w:val="00402C34"/>
    <w:rsid w:val="00403448"/>
    <w:rsid w:val="00403691"/>
    <w:rsid w:val="0040372E"/>
    <w:rsid w:val="0040395C"/>
    <w:rsid w:val="00403BCB"/>
    <w:rsid w:val="00403FD6"/>
    <w:rsid w:val="00404515"/>
    <w:rsid w:val="00404522"/>
    <w:rsid w:val="00404D11"/>
    <w:rsid w:val="00404D4A"/>
    <w:rsid w:val="00404D64"/>
    <w:rsid w:val="0040531C"/>
    <w:rsid w:val="00405487"/>
    <w:rsid w:val="00405517"/>
    <w:rsid w:val="00405702"/>
    <w:rsid w:val="00405B7C"/>
    <w:rsid w:val="00405E27"/>
    <w:rsid w:val="00406E7D"/>
    <w:rsid w:val="00406EB2"/>
    <w:rsid w:val="004074F0"/>
    <w:rsid w:val="004078B1"/>
    <w:rsid w:val="00407911"/>
    <w:rsid w:val="00407B99"/>
    <w:rsid w:val="00407BBB"/>
    <w:rsid w:val="00407CB1"/>
    <w:rsid w:val="00407E09"/>
    <w:rsid w:val="00410170"/>
    <w:rsid w:val="004104FE"/>
    <w:rsid w:val="00410AB5"/>
    <w:rsid w:val="00410F39"/>
    <w:rsid w:val="00411291"/>
    <w:rsid w:val="0041160B"/>
    <w:rsid w:val="0041171B"/>
    <w:rsid w:val="00411E26"/>
    <w:rsid w:val="0041237F"/>
    <w:rsid w:val="00412541"/>
    <w:rsid w:val="004125FF"/>
    <w:rsid w:val="00412C3A"/>
    <w:rsid w:val="00412D2F"/>
    <w:rsid w:val="004130FE"/>
    <w:rsid w:val="004132DB"/>
    <w:rsid w:val="0041343B"/>
    <w:rsid w:val="00413495"/>
    <w:rsid w:val="004135A0"/>
    <w:rsid w:val="00413B7A"/>
    <w:rsid w:val="00413DE3"/>
    <w:rsid w:val="004144DE"/>
    <w:rsid w:val="004146B1"/>
    <w:rsid w:val="00415664"/>
    <w:rsid w:val="00415963"/>
    <w:rsid w:val="00415D65"/>
    <w:rsid w:val="0041620B"/>
    <w:rsid w:val="004167CD"/>
    <w:rsid w:val="00416DC6"/>
    <w:rsid w:val="00416DDA"/>
    <w:rsid w:val="00417280"/>
    <w:rsid w:val="00417495"/>
    <w:rsid w:val="004174CD"/>
    <w:rsid w:val="004174F1"/>
    <w:rsid w:val="00420D85"/>
    <w:rsid w:val="00420F8B"/>
    <w:rsid w:val="004213E8"/>
    <w:rsid w:val="004223DF"/>
    <w:rsid w:val="00424243"/>
    <w:rsid w:val="004245C5"/>
    <w:rsid w:val="00424803"/>
    <w:rsid w:val="00424ACD"/>
    <w:rsid w:val="00425B48"/>
    <w:rsid w:val="00425D09"/>
    <w:rsid w:val="00425D52"/>
    <w:rsid w:val="004265FA"/>
    <w:rsid w:val="004266E7"/>
    <w:rsid w:val="00426954"/>
    <w:rsid w:val="00427390"/>
    <w:rsid w:val="004276F3"/>
    <w:rsid w:val="00427F6A"/>
    <w:rsid w:val="00430593"/>
    <w:rsid w:val="004315EA"/>
    <w:rsid w:val="00431669"/>
    <w:rsid w:val="004318F4"/>
    <w:rsid w:val="00431A9E"/>
    <w:rsid w:val="00431C52"/>
    <w:rsid w:val="00431FA2"/>
    <w:rsid w:val="0043237B"/>
    <w:rsid w:val="004323E8"/>
    <w:rsid w:val="00432B20"/>
    <w:rsid w:val="00432F53"/>
    <w:rsid w:val="0043323B"/>
    <w:rsid w:val="00433298"/>
    <w:rsid w:val="00434020"/>
    <w:rsid w:val="004345CA"/>
    <w:rsid w:val="004346E9"/>
    <w:rsid w:val="00434988"/>
    <w:rsid w:val="00434AA0"/>
    <w:rsid w:val="00434AAD"/>
    <w:rsid w:val="00434D2B"/>
    <w:rsid w:val="00435196"/>
    <w:rsid w:val="00435CE4"/>
    <w:rsid w:val="0043602E"/>
    <w:rsid w:val="00436253"/>
    <w:rsid w:val="00436268"/>
    <w:rsid w:val="00436E9A"/>
    <w:rsid w:val="0043714C"/>
    <w:rsid w:val="004371B6"/>
    <w:rsid w:val="0044055C"/>
    <w:rsid w:val="004406CE"/>
    <w:rsid w:val="00440A6F"/>
    <w:rsid w:val="00440BB1"/>
    <w:rsid w:val="004418C9"/>
    <w:rsid w:val="00441D78"/>
    <w:rsid w:val="00441F4E"/>
    <w:rsid w:val="00442381"/>
    <w:rsid w:val="00442652"/>
    <w:rsid w:val="0044270B"/>
    <w:rsid w:val="00442890"/>
    <w:rsid w:val="00442EF5"/>
    <w:rsid w:val="004432F9"/>
    <w:rsid w:val="0044350E"/>
    <w:rsid w:val="004436DA"/>
    <w:rsid w:val="00443848"/>
    <w:rsid w:val="00443CF5"/>
    <w:rsid w:val="004445A9"/>
    <w:rsid w:val="00444964"/>
    <w:rsid w:val="00444B70"/>
    <w:rsid w:val="00444E3A"/>
    <w:rsid w:val="004454F0"/>
    <w:rsid w:val="00445594"/>
    <w:rsid w:val="004459B3"/>
    <w:rsid w:val="004459E4"/>
    <w:rsid w:val="004460A1"/>
    <w:rsid w:val="00446183"/>
    <w:rsid w:val="00446CF4"/>
    <w:rsid w:val="00446D9A"/>
    <w:rsid w:val="0044724E"/>
    <w:rsid w:val="00447254"/>
    <w:rsid w:val="004477BB"/>
    <w:rsid w:val="00447963"/>
    <w:rsid w:val="00447D59"/>
    <w:rsid w:val="004503BE"/>
    <w:rsid w:val="00450656"/>
    <w:rsid w:val="00450B55"/>
    <w:rsid w:val="00450CD3"/>
    <w:rsid w:val="00450F4F"/>
    <w:rsid w:val="00450FDD"/>
    <w:rsid w:val="0045128F"/>
    <w:rsid w:val="00451B72"/>
    <w:rsid w:val="00451F0F"/>
    <w:rsid w:val="00451F4C"/>
    <w:rsid w:val="00452052"/>
    <w:rsid w:val="004520E8"/>
    <w:rsid w:val="0045210D"/>
    <w:rsid w:val="00452367"/>
    <w:rsid w:val="00452A44"/>
    <w:rsid w:val="00452B62"/>
    <w:rsid w:val="00452DA1"/>
    <w:rsid w:val="00453A79"/>
    <w:rsid w:val="00453DD1"/>
    <w:rsid w:val="00453E20"/>
    <w:rsid w:val="00453FC0"/>
    <w:rsid w:val="00454286"/>
    <w:rsid w:val="0045437E"/>
    <w:rsid w:val="00454824"/>
    <w:rsid w:val="0045485B"/>
    <w:rsid w:val="00454A04"/>
    <w:rsid w:val="00454CE1"/>
    <w:rsid w:val="00454DDC"/>
    <w:rsid w:val="004553F0"/>
    <w:rsid w:val="00455566"/>
    <w:rsid w:val="004555A2"/>
    <w:rsid w:val="00455B50"/>
    <w:rsid w:val="00456199"/>
    <w:rsid w:val="00456381"/>
    <w:rsid w:val="00456A08"/>
    <w:rsid w:val="00456A12"/>
    <w:rsid w:val="00456A88"/>
    <w:rsid w:val="00456AB5"/>
    <w:rsid w:val="00456B7B"/>
    <w:rsid w:val="00456BF1"/>
    <w:rsid w:val="00456C6F"/>
    <w:rsid w:val="00456FEB"/>
    <w:rsid w:val="004570C5"/>
    <w:rsid w:val="0045761F"/>
    <w:rsid w:val="00457929"/>
    <w:rsid w:val="00457B59"/>
    <w:rsid w:val="00460016"/>
    <w:rsid w:val="00460233"/>
    <w:rsid w:val="00460C9A"/>
    <w:rsid w:val="00461D5C"/>
    <w:rsid w:val="00461FA4"/>
    <w:rsid w:val="004628A9"/>
    <w:rsid w:val="004630F4"/>
    <w:rsid w:val="00463278"/>
    <w:rsid w:val="00463B2B"/>
    <w:rsid w:val="00464037"/>
    <w:rsid w:val="004648B1"/>
    <w:rsid w:val="00464C60"/>
    <w:rsid w:val="00464E67"/>
    <w:rsid w:val="004651A3"/>
    <w:rsid w:val="004655A3"/>
    <w:rsid w:val="00465616"/>
    <w:rsid w:val="0046564B"/>
    <w:rsid w:val="00465870"/>
    <w:rsid w:val="00465BE4"/>
    <w:rsid w:val="00465FA7"/>
    <w:rsid w:val="00465FBD"/>
    <w:rsid w:val="004660B4"/>
    <w:rsid w:val="00466120"/>
    <w:rsid w:val="0046621E"/>
    <w:rsid w:val="004664F3"/>
    <w:rsid w:val="00466752"/>
    <w:rsid w:val="004668DE"/>
    <w:rsid w:val="0046739B"/>
    <w:rsid w:val="004674E4"/>
    <w:rsid w:val="004676B1"/>
    <w:rsid w:val="004676C7"/>
    <w:rsid w:val="00467BBC"/>
    <w:rsid w:val="00467EE4"/>
    <w:rsid w:val="004700E3"/>
    <w:rsid w:val="00470161"/>
    <w:rsid w:val="00470648"/>
    <w:rsid w:val="00470A32"/>
    <w:rsid w:val="00470B8D"/>
    <w:rsid w:val="00470C0C"/>
    <w:rsid w:val="0047193F"/>
    <w:rsid w:val="004719CE"/>
    <w:rsid w:val="00471E57"/>
    <w:rsid w:val="00472583"/>
    <w:rsid w:val="004727E4"/>
    <w:rsid w:val="00472830"/>
    <w:rsid w:val="0047290A"/>
    <w:rsid w:val="00472C8C"/>
    <w:rsid w:val="00472D0E"/>
    <w:rsid w:val="004734C2"/>
    <w:rsid w:val="004737B7"/>
    <w:rsid w:val="00473A74"/>
    <w:rsid w:val="00473BC0"/>
    <w:rsid w:val="00473C0E"/>
    <w:rsid w:val="0047479D"/>
    <w:rsid w:val="004747DA"/>
    <w:rsid w:val="004749B3"/>
    <w:rsid w:val="00474BCB"/>
    <w:rsid w:val="00475679"/>
    <w:rsid w:val="004756CA"/>
    <w:rsid w:val="0047593D"/>
    <w:rsid w:val="00475C48"/>
    <w:rsid w:val="00476216"/>
    <w:rsid w:val="004763A5"/>
    <w:rsid w:val="00476B79"/>
    <w:rsid w:val="00476CFA"/>
    <w:rsid w:val="00476ECD"/>
    <w:rsid w:val="004772AC"/>
    <w:rsid w:val="00477929"/>
    <w:rsid w:val="00477952"/>
    <w:rsid w:val="00477A5E"/>
    <w:rsid w:val="00477CBE"/>
    <w:rsid w:val="00477FC6"/>
    <w:rsid w:val="004802C2"/>
    <w:rsid w:val="00480745"/>
    <w:rsid w:val="0048091A"/>
    <w:rsid w:val="00480BCC"/>
    <w:rsid w:val="00480C4D"/>
    <w:rsid w:val="004813E0"/>
    <w:rsid w:val="00481530"/>
    <w:rsid w:val="0048186F"/>
    <w:rsid w:val="004819A3"/>
    <w:rsid w:val="00481EED"/>
    <w:rsid w:val="00482543"/>
    <w:rsid w:val="00482A8C"/>
    <w:rsid w:val="00483170"/>
    <w:rsid w:val="0048349E"/>
    <w:rsid w:val="0048370B"/>
    <w:rsid w:val="00483843"/>
    <w:rsid w:val="004838D0"/>
    <w:rsid w:val="00483A59"/>
    <w:rsid w:val="00484501"/>
    <w:rsid w:val="00484505"/>
    <w:rsid w:val="004845BE"/>
    <w:rsid w:val="00484A79"/>
    <w:rsid w:val="0048511A"/>
    <w:rsid w:val="0048519C"/>
    <w:rsid w:val="004854E2"/>
    <w:rsid w:val="004859C7"/>
    <w:rsid w:val="00485DB4"/>
    <w:rsid w:val="00485E5F"/>
    <w:rsid w:val="00485F0F"/>
    <w:rsid w:val="00486059"/>
    <w:rsid w:val="004864D6"/>
    <w:rsid w:val="004866F7"/>
    <w:rsid w:val="00486AFE"/>
    <w:rsid w:val="004872A0"/>
    <w:rsid w:val="00487394"/>
    <w:rsid w:val="00487C29"/>
    <w:rsid w:val="00487EE9"/>
    <w:rsid w:val="0049039F"/>
    <w:rsid w:val="004912CA"/>
    <w:rsid w:val="004919BF"/>
    <w:rsid w:val="00491C75"/>
    <w:rsid w:val="00492107"/>
    <w:rsid w:val="0049282F"/>
    <w:rsid w:val="00492AB9"/>
    <w:rsid w:val="00492B58"/>
    <w:rsid w:val="00493293"/>
    <w:rsid w:val="00493452"/>
    <w:rsid w:val="004934FF"/>
    <w:rsid w:val="004935D3"/>
    <w:rsid w:val="00493603"/>
    <w:rsid w:val="004936D9"/>
    <w:rsid w:val="004939D4"/>
    <w:rsid w:val="0049414C"/>
    <w:rsid w:val="00494757"/>
    <w:rsid w:val="00494892"/>
    <w:rsid w:val="00494BBF"/>
    <w:rsid w:val="00495031"/>
    <w:rsid w:val="004950E5"/>
    <w:rsid w:val="00495282"/>
    <w:rsid w:val="0049540C"/>
    <w:rsid w:val="00495674"/>
    <w:rsid w:val="00495C49"/>
    <w:rsid w:val="00495DD1"/>
    <w:rsid w:val="00495E3B"/>
    <w:rsid w:val="00496270"/>
    <w:rsid w:val="0049685F"/>
    <w:rsid w:val="0049771E"/>
    <w:rsid w:val="00497D23"/>
    <w:rsid w:val="00497D5C"/>
    <w:rsid w:val="00497F9D"/>
    <w:rsid w:val="004A02DB"/>
    <w:rsid w:val="004A03E3"/>
    <w:rsid w:val="004A05E3"/>
    <w:rsid w:val="004A0842"/>
    <w:rsid w:val="004A0C2F"/>
    <w:rsid w:val="004A1352"/>
    <w:rsid w:val="004A168E"/>
    <w:rsid w:val="004A16A5"/>
    <w:rsid w:val="004A24F0"/>
    <w:rsid w:val="004A2BD6"/>
    <w:rsid w:val="004A36E2"/>
    <w:rsid w:val="004A3F01"/>
    <w:rsid w:val="004A41B0"/>
    <w:rsid w:val="004A4536"/>
    <w:rsid w:val="004A4787"/>
    <w:rsid w:val="004A4EFF"/>
    <w:rsid w:val="004A5043"/>
    <w:rsid w:val="004A57C2"/>
    <w:rsid w:val="004A5BB7"/>
    <w:rsid w:val="004A681B"/>
    <w:rsid w:val="004A691F"/>
    <w:rsid w:val="004A6ADA"/>
    <w:rsid w:val="004A6E8E"/>
    <w:rsid w:val="004A70CF"/>
    <w:rsid w:val="004A7329"/>
    <w:rsid w:val="004A78A4"/>
    <w:rsid w:val="004B007C"/>
    <w:rsid w:val="004B04AF"/>
    <w:rsid w:val="004B04F4"/>
    <w:rsid w:val="004B07DF"/>
    <w:rsid w:val="004B0ADC"/>
    <w:rsid w:val="004B1860"/>
    <w:rsid w:val="004B1A0B"/>
    <w:rsid w:val="004B1E46"/>
    <w:rsid w:val="004B1EEF"/>
    <w:rsid w:val="004B2366"/>
    <w:rsid w:val="004B2D04"/>
    <w:rsid w:val="004B2D8E"/>
    <w:rsid w:val="004B300D"/>
    <w:rsid w:val="004B312A"/>
    <w:rsid w:val="004B36B9"/>
    <w:rsid w:val="004B3E0C"/>
    <w:rsid w:val="004B3F9A"/>
    <w:rsid w:val="004B4599"/>
    <w:rsid w:val="004B461A"/>
    <w:rsid w:val="004B4712"/>
    <w:rsid w:val="004B51D1"/>
    <w:rsid w:val="004B5543"/>
    <w:rsid w:val="004B5C62"/>
    <w:rsid w:val="004B5F9E"/>
    <w:rsid w:val="004B6219"/>
    <w:rsid w:val="004B6472"/>
    <w:rsid w:val="004B6797"/>
    <w:rsid w:val="004B69AF"/>
    <w:rsid w:val="004B6E90"/>
    <w:rsid w:val="004B7202"/>
    <w:rsid w:val="004B72D4"/>
    <w:rsid w:val="004B73BA"/>
    <w:rsid w:val="004B73C0"/>
    <w:rsid w:val="004B74B4"/>
    <w:rsid w:val="004B7592"/>
    <w:rsid w:val="004B782D"/>
    <w:rsid w:val="004B7915"/>
    <w:rsid w:val="004B7BAD"/>
    <w:rsid w:val="004B7BC1"/>
    <w:rsid w:val="004B7BD2"/>
    <w:rsid w:val="004C0449"/>
    <w:rsid w:val="004C0877"/>
    <w:rsid w:val="004C0958"/>
    <w:rsid w:val="004C0C80"/>
    <w:rsid w:val="004C0F0E"/>
    <w:rsid w:val="004C119F"/>
    <w:rsid w:val="004C164C"/>
    <w:rsid w:val="004C18D9"/>
    <w:rsid w:val="004C19C9"/>
    <w:rsid w:val="004C1ABC"/>
    <w:rsid w:val="004C1F17"/>
    <w:rsid w:val="004C2188"/>
    <w:rsid w:val="004C240F"/>
    <w:rsid w:val="004C2441"/>
    <w:rsid w:val="004C2640"/>
    <w:rsid w:val="004C2C9F"/>
    <w:rsid w:val="004C31CF"/>
    <w:rsid w:val="004C31EA"/>
    <w:rsid w:val="004C345C"/>
    <w:rsid w:val="004C3AE1"/>
    <w:rsid w:val="004C410B"/>
    <w:rsid w:val="004C476C"/>
    <w:rsid w:val="004C47E8"/>
    <w:rsid w:val="004C5485"/>
    <w:rsid w:val="004C5677"/>
    <w:rsid w:val="004C5E48"/>
    <w:rsid w:val="004C5E7A"/>
    <w:rsid w:val="004C5F9F"/>
    <w:rsid w:val="004C6371"/>
    <w:rsid w:val="004C6AEC"/>
    <w:rsid w:val="004C76FF"/>
    <w:rsid w:val="004C7BA0"/>
    <w:rsid w:val="004D0BC3"/>
    <w:rsid w:val="004D0CB9"/>
    <w:rsid w:val="004D0E31"/>
    <w:rsid w:val="004D1ECB"/>
    <w:rsid w:val="004D2743"/>
    <w:rsid w:val="004D28E2"/>
    <w:rsid w:val="004D31B8"/>
    <w:rsid w:val="004D3388"/>
    <w:rsid w:val="004D3A47"/>
    <w:rsid w:val="004D3BC0"/>
    <w:rsid w:val="004D3E4F"/>
    <w:rsid w:val="004D4385"/>
    <w:rsid w:val="004D4925"/>
    <w:rsid w:val="004D4A18"/>
    <w:rsid w:val="004D4D31"/>
    <w:rsid w:val="004D51CB"/>
    <w:rsid w:val="004D5526"/>
    <w:rsid w:val="004D578B"/>
    <w:rsid w:val="004D5CAE"/>
    <w:rsid w:val="004D648E"/>
    <w:rsid w:val="004D6D00"/>
    <w:rsid w:val="004D6D58"/>
    <w:rsid w:val="004D7122"/>
    <w:rsid w:val="004D7475"/>
    <w:rsid w:val="004D7BE8"/>
    <w:rsid w:val="004E0107"/>
    <w:rsid w:val="004E0362"/>
    <w:rsid w:val="004E054B"/>
    <w:rsid w:val="004E0ABC"/>
    <w:rsid w:val="004E131E"/>
    <w:rsid w:val="004E13AE"/>
    <w:rsid w:val="004E18F7"/>
    <w:rsid w:val="004E1AC1"/>
    <w:rsid w:val="004E1D38"/>
    <w:rsid w:val="004E1EA1"/>
    <w:rsid w:val="004E2B24"/>
    <w:rsid w:val="004E2BD5"/>
    <w:rsid w:val="004E2C99"/>
    <w:rsid w:val="004E2FDE"/>
    <w:rsid w:val="004E31E8"/>
    <w:rsid w:val="004E352C"/>
    <w:rsid w:val="004E37BD"/>
    <w:rsid w:val="004E3AD4"/>
    <w:rsid w:val="004E4033"/>
    <w:rsid w:val="004E4685"/>
    <w:rsid w:val="004E46B2"/>
    <w:rsid w:val="004E46F2"/>
    <w:rsid w:val="004E4887"/>
    <w:rsid w:val="004E498B"/>
    <w:rsid w:val="004E4CD4"/>
    <w:rsid w:val="004E512F"/>
    <w:rsid w:val="004E535A"/>
    <w:rsid w:val="004E537B"/>
    <w:rsid w:val="004E56B4"/>
    <w:rsid w:val="004E5AFE"/>
    <w:rsid w:val="004E5F26"/>
    <w:rsid w:val="004E6146"/>
    <w:rsid w:val="004E619D"/>
    <w:rsid w:val="004E65C7"/>
    <w:rsid w:val="004E6957"/>
    <w:rsid w:val="004E6B1C"/>
    <w:rsid w:val="004E6CB7"/>
    <w:rsid w:val="004E7063"/>
    <w:rsid w:val="004E7073"/>
    <w:rsid w:val="004E765F"/>
    <w:rsid w:val="004E7E7D"/>
    <w:rsid w:val="004E7F79"/>
    <w:rsid w:val="004F071D"/>
    <w:rsid w:val="004F0BA9"/>
    <w:rsid w:val="004F0D74"/>
    <w:rsid w:val="004F10C4"/>
    <w:rsid w:val="004F1247"/>
    <w:rsid w:val="004F1483"/>
    <w:rsid w:val="004F150A"/>
    <w:rsid w:val="004F159C"/>
    <w:rsid w:val="004F1709"/>
    <w:rsid w:val="004F1A51"/>
    <w:rsid w:val="004F1A7D"/>
    <w:rsid w:val="004F205A"/>
    <w:rsid w:val="004F20D9"/>
    <w:rsid w:val="004F2A07"/>
    <w:rsid w:val="004F2B06"/>
    <w:rsid w:val="004F2E3A"/>
    <w:rsid w:val="004F300A"/>
    <w:rsid w:val="004F3099"/>
    <w:rsid w:val="004F3258"/>
    <w:rsid w:val="004F33B9"/>
    <w:rsid w:val="004F416A"/>
    <w:rsid w:val="004F49DD"/>
    <w:rsid w:val="004F4B66"/>
    <w:rsid w:val="004F4D93"/>
    <w:rsid w:val="004F4DA3"/>
    <w:rsid w:val="004F4F1B"/>
    <w:rsid w:val="004F51B5"/>
    <w:rsid w:val="004F571D"/>
    <w:rsid w:val="004F5996"/>
    <w:rsid w:val="004F648D"/>
    <w:rsid w:val="004F677F"/>
    <w:rsid w:val="004F6C86"/>
    <w:rsid w:val="004F70BB"/>
    <w:rsid w:val="004F7530"/>
    <w:rsid w:val="004F7998"/>
    <w:rsid w:val="004F7A9B"/>
    <w:rsid w:val="004F7D6F"/>
    <w:rsid w:val="00500646"/>
    <w:rsid w:val="005008DB"/>
    <w:rsid w:val="00500967"/>
    <w:rsid w:val="00500A6F"/>
    <w:rsid w:val="00500DB8"/>
    <w:rsid w:val="0050120E"/>
    <w:rsid w:val="005012EB"/>
    <w:rsid w:val="005014E3"/>
    <w:rsid w:val="00501B03"/>
    <w:rsid w:val="005021D7"/>
    <w:rsid w:val="00502554"/>
    <w:rsid w:val="005028CD"/>
    <w:rsid w:val="00502A43"/>
    <w:rsid w:val="00502DC6"/>
    <w:rsid w:val="00503182"/>
    <w:rsid w:val="00503F15"/>
    <w:rsid w:val="0050438B"/>
    <w:rsid w:val="00504ABA"/>
    <w:rsid w:val="0050512C"/>
    <w:rsid w:val="00505750"/>
    <w:rsid w:val="00505C3F"/>
    <w:rsid w:val="00505CBD"/>
    <w:rsid w:val="00505DBB"/>
    <w:rsid w:val="00506755"/>
    <w:rsid w:val="00506CF1"/>
    <w:rsid w:val="00506F96"/>
    <w:rsid w:val="00506FC1"/>
    <w:rsid w:val="00507423"/>
    <w:rsid w:val="0050754F"/>
    <w:rsid w:val="005078C5"/>
    <w:rsid w:val="005078D8"/>
    <w:rsid w:val="00507B2B"/>
    <w:rsid w:val="00507C57"/>
    <w:rsid w:val="00510059"/>
    <w:rsid w:val="00510298"/>
    <w:rsid w:val="005107AB"/>
    <w:rsid w:val="00510D8E"/>
    <w:rsid w:val="0051105E"/>
    <w:rsid w:val="0051127F"/>
    <w:rsid w:val="005112C1"/>
    <w:rsid w:val="00512F5E"/>
    <w:rsid w:val="00513178"/>
    <w:rsid w:val="00513191"/>
    <w:rsid w:val="0051346B"/>
    <w:rsid w:val="005134E0"/>
    <w:rsid w:val="0051394A"/>
    <w:rsid w:val="00514170"/>
    <w:rsid w:val="00514333"/>
    <w:rsid w:val="00514ABE"/>
    <w:rsid w:val="00514F25"/>
    <w:rsid w:val="0051597E"/>
    <w:rsid w:val="00515C9D"/>
    <w:rsid w:val="00515CA9"/>
    <w:rsid w:val="005160FC"/>
    <w:rsid w:val="00516B5B"/>
    <w:rsid w:val="00516C26"/>
    <w:rsid w:val="00516C46"/>
    <w:rsid w:val="005171A4"/>
    <w:rsid w:val="00517B57"/>
    <w:rsid w:val="00520431"/>
    <w:rsid w:val="0052052D"/>
    <w:rsid w:val="00520635"/>
    <w:rsid w:val="005207DE"/>
    <w:rsid w:val="00520AAE"/>
    <w:rsid w:val="00520D89"/>
    <w:rsid w:val="00520E93"/>
    <w:rsid w:val="00520EC9"/>
    <w:rsid w:val="00520FFF"/>
    <w:rsid w:val="00521C37"/>
    <w:rsid w:val="00521F63"/>
    <w:rsid w:val="005222C8"/>
    <w:rsid w:val="005225EB"/>
    <w:rsid w:val="00523058"/>
    <w:rsid w:val="0052405B"/>
    <w:rsid w:val="0052423C"/>
    <w:rsid w:val="005242BD"/>
    <w:rsid w:val="00524499"/>
    <w:rsid w:val="0052483D"/>
    <w:rsid w:val="0052486A"/>
    <w:rsid w:val="00524B53"/>
    <w:rsid w:val="00524CBB"/>
    <w:rsid w:val="0052560B"/>
    <w:rsid w:val="005258A1"/>
    <w:rsid w:val="00525AE5"/>
    <w:rsid w:val="00525EC8"/>
    <w:rsid w:val="00526492"/>
    <w:rsid w:val="00526BCF"/>
    <w:rsid w:val="00526CB0"/>
    <w:rsid w:val="00526E4B"/>
    <w:rsid w:val="00527055"/>
    <w:rsid w:val="00527ABC"/>
    <w:rsid w:val="00527C62"/>
    <w:rsid w:val="0053030D"/>
    <w:rsid w:val="00530B7E"/>
    <w:rsid w:val="00530F40"/>
    <w:rsid w:val="0053101E"/>
    <w:rsid w:val="00531695"/>
    <w:rsid w:val="0053169B"/>
    <w:rsid w:val="00531871"/>
    <w:rsid w:val="00531931"/>
    <w:rsid w:val="00531C05"/>
    <w:rsid w:val="00531E26"/>
    <w:rsid w:val="005322E5"/>
    <w:rsid w:val="0053240C"/>
    <w:rsid w:val="005326B2"/>
    <w:rsid w:val="00532877"/>
    <w:rsid w:val="005328B1"/>
    <w:rsid w:val="0053343C"/>
    <w:rsid w:val="005335AF"/>
    <w:rsid w:val="005338B8"/>
    <w:rsid w:val="00533A31"/>
    <w:rsid w:val="00533A48"/>
    <w:rsid w:val="00533CBE"/>
    <w:rsid w:val="00533EB1"/>
    <w:rsid w:val="005340DD"/>
    <w:rsid w:val="005346B7"/>
    <w:rsid w:val="00534D09"/>
    <w:rsid w:val="00534F59"/>
    <w:rsid w:val="005353F6"/>
    <w:rsid w:val="00535D02"/>
    <w:rsid w:val="00535F64"/>
    <w:rsid w:val="00536A89"/>
    <w:rsid w:val="00536ACE"/>
    <w:rsid w:val="00536F03"/>
    <w:rsid w:val="00536F5D"/>
    <w:rsid w:val="00537181"/>
    <w:rsid w:val="00537A21"/>
    <w:rsid w:val="00537E01"/>
    <w:rsid w:val="00537F48"/>
    <w:rsid w:val="0054025B"/>
    <w:rsid w:val="00540B76"/>
    <w:rsid w:val="00540BB6"/>
    <w:rsid w:val="00540DE1"/>
    <w:rsid w:val="0054120A"/>
    <w:rsid w:val="005413F5"/>
    <w:rsid w:val="0054144B"/>
    <w:rsid w:val="00541610"/>
    <w:rsid w:val="00541619"/>
    <w:rsid w:val="0054184C"/>
    <w:rsid w:val="00541B95"/>
    <w:rsid w:val="00541EC5"/>
    <w:rsid w:val="00542400"/>
    <w:rsid w:val="005424CE"/>
    <w:rsid w:val="00542FE8"/>
    <w:rsid w:val="0054312B"/>
    <w:rsid w:val="00543918"/>
    <w:rsid w:val="00543E1D"/>
    <w:rsid w:val="00543E6E"/>
    <w:rsid w:val="00543EA3"/>
    <w:rsid w:val="00543EA8"/>
    <w:rsid w:val="0054469C"/>
    <w:rsid w:val="00544706"/>
    <w:rsid w:val="00544C2B"/>
    <w:rsid w:val="0054560A"/>
    <w:rsid w:val="005458D1"/>
    <w:rsid w:val="00545945"/>
    <w:rsid w:val="00546457"/>
    <w:rsid w:val="00546483"/>
    <w:rsid w:val="0054651A"/>
    <w:rsid w:val="0054680F"/>
    <w:rsid w:val="00546D86"/>
    <w:rsid w:val="0054733C"/>
    <w:rsid w:val="00547ED2"/>
    <w:rsid w:val="0055019C"/>
    <w:rsid w:val="00550397"/>
    <w:rsid w:val="0055050A"/>
    <w:rsid w:val="00550663"/>
    <w:rsid w:val="00550A4B"/>
    <w:rsid w:val="00550DD2"/>
    <w:rsid w:val="00551527"/>
    <w:rsid w:val="00551F96"/>
    <w:rsid w:val="0055291E"/>
    <w:rsid w:val="005531CF"/>
    <w:rsid w:val="005533C2"/>
    <w:rsid w:val="00553550"/>
    <w:rsid w:val="00553637"/>
    <w:rsid w:val="005539FE"/>
    <w:rsid w:val="00553BD7"/>
    <w:rsid w:val="00553BFD"/>
    <w:rsid w:val="00553CE9"/>
    <w:rsid w:val="00553E26"/>
    <w:rsid w:val="0055406A"/>
    <w:rsid w:val="00554265"/>
    <w:rsid w:val="005545E0"/>
    <w:rsid w:val="00555A0F"/>
    <w:rsid w:val="00555D50"/>
    <w:rsid w:val="005561BE"/>
    <w:rsid w:val="005561C8"/>
    <w:rsid w:val="005563E5"/>
    <w:rsid w:val="005566BE"/>
    <w:rsid w:val="0055707A"/>
    <w:rsid w:val="0055748E"/>
    <w:rsid w:val="005575A3"/>
    <w:rsid w:val="005602FA"/>
    <w:rsid w:val="00560521"/>
    <w:rsid w:val="0056066E"/>
    <w:rsid w:val="00560801"/>
    <w:rsid w:val="00560BD1"/>
    <w:rsid w:val="005612A2"/>
    <w:rsid w:val="00561A34"/>
    <w:rsid w:val="00561EFD"/>
    <w:rsid w:val="00561FB3"/>
    <w:rsid w:val="0056205C"/>
    <w:rsid w:val="0056212E"/>
    <w:rsid w:val="00562E2B"/>
    <w:rsid w:val="005633EA"/>
    <w:rsid w:val="005638BC"/>
    <w:rsid w:val="00563F5A"/>
    <w:rsid w:val="00564467"/>
    <w:rsid w:val="0056449F"/>
    <w:rsid w:val="0056473C"/>
    <w:rsid w:val="00564748"/>
    <w:rsid w:val="00564894"/>
    <w:rsid w:val="00564A8A"/>
    <w:rsid w:val="00564B91"/>
    <w:rsid w:val="00564D69"/>
    <w:rsid w:val="0056519C"/>
    <w:rsid w:val="005652CE"/>
    <w:rsid w:val="005657EB"/>
    <w:rsid w:val="00565833"/>
    <w:rsid w:val="005658DB"/>
    <w:rsid w:val="005659EA"/>
    <w:rsid w:val="00565A07"/>
    <w:rsid w:val="00566415"/>
    <w:rsid w:val="00566920"/>
    <w:rsid w:val="00566BCE"/>
    <w:rsid w:val="00567425"/>
    <w:rsid w:val="0056748B"/>
    <w:rsid w:val="00567D4D"/>
    <w:rsid w:val="00567E6B"/>
    <w:rsid w:val="00567F20"/>
    <w:rsid w:val="0057005E"/>
    <w:rsid w:val="005705DB"/>
    <w:rsid w:val="00570A96"/>
    <w:rsid w:val="0057153D"/>
    <w:rsid w:val="00571867"/>
    <w:rsid w:val="0057196D"/>
    <w:rsid w:val="00571EE8"/>
    <w:rsid w:val="005726B2"/>
    <w:rsid w:val="00572EE9"/>
    <w:rsid w:val="005734A3"/>
    <w:rsid w:val="00574081"/>
    <w:rsid w:val="00574952"/>
    <w:rsid w:val="00574E9B"/>
    <w:rsid w:val="005757A8"/>
    <w:rsid w:val="005757BD"/>
    <w:rsid w:val="00576069"/>
    <w:rsid w:val="00576281"/>
    <w:rsid w:val="00576C15"/>
    <w:rsid w:val="00576D6A"/>
    <w:rsid w:val="005775C1"/>
    <w:rsid w:val="00577D00"/>
    <w:rsid w:val="00577EB4"/>
    <w:rsid w:val="00580099"/>
    <w:rsid w:val="0058054C"/>
    <w:rsid w:val="00580674"/>
    <w:rsid w:val="00580A99"/>
    <w:rsid w:val="00580C40"/>
    <w:rsid w:val="00581386"/>
    <w:rsid w:val="005816C5"/>
    <w:rsid w:val="00581A6E"/>
    <w:rsid w:val="00581D0F"/>
    <w:rsid w:val="00582700"/>
    <w:rsid w:val="00582BE6"/>
    <w:rsid w:val="00582CF3"/>
    <w:rsid w:val="00582CFE"/>
    <w:rsid w:val="00582DA1"/>
    <w:rsid w:val="0058352A"/>
    <w:rsid w:val="005837A8"/>
    <w:rsid w:val="0058387D"/>
    <w:rsid w:val="00583BF6"/>
    <w:rsid w:val="0058525D"/>
    <w:rsid w:val="005853C9"/>
    <w:rsid w:val="00585445"/>
    <w:rsid w:val="00585B29"/>
    <w:rsid w:val="00585B90"/>
    <w:rsid w:val="00586397"/>
    <w:rsid w:val="0058668B"/>
    <w:rsid w:val="005867F7"/>
    <w:rsid w:val="00586973"/>
    <w:rsid w:val="00586BE3"/>
    <w:rsid w:val="00586CB1"/>
    <w:rsid w:val="00586CCB"/>
    <w:rsid w:val="00587A10"/>
    <w:rsid w:val="005903EB"/>
    <w:rsid w:val="005909CB"/>
    <w:rsid w:val="00590BBE"/>
    <w:rsid w:val="00591889"/>
    <w:rsid w:val="00591B2F"/>
    <w:rsid w:val="00591DAD"/>
    <w:rsid w:val="00591DC1"/>
    <w:rsid w:val="00591E05"/>
    <w:rsid w:val="005922FE"/>
    <w:rsid w:val="005924B9"/>
    <w:rsid w:val="00592F63"/>
    <w:rsid w:val="005930E0"/>
    <w:rsid w:val="005934BB"/>
    <w:rsid w:val="005936B1"/>
    <w:rsid w:val="00593AA7"/>
    <w:rsid w:val="00593D0C"/>
    <w:rsid w:val="00593D7A"/>
    <w:rsid w:val="00593DC4"/>
    <w:rsid w:val="0059430B"/>
    <w:rsid w:val="0059442E"/>
    <w:rsid w:val="005949EC"/>
    <w:rsid w:val="00594CA0"/>
    <w:rsid w:val="00594D97"/>
    <w:rsid w:val="005952AD"/>
    <w:rsid w:val="00595B9A"/>
    <w:rsid w:val="00596648"/>
    <w:rsid w:val="00596A43"/>
    <w:rsid w:val="00596ADA"/>
    <w:rsid w:val="00596D36"/>
    <w:rsid w:val="00597147"/>
    <w:rsid w:val="005974B4"/>
    <w:rsid w:val="00597670"/>
    <w:rsid w:val="00597EF7"/>
    <w:rsid w:val="005A0236"/>
    <w:rsid w:val="005A026A"/>
    <w:rsid w:val="005A0537"/>
    <w:rsid w:val="005A05FC"/>
    <w:rsid w:val="005A0703"/>
    <w:rsid w:val="005A090A"/>
    <w:rsid w:val="005A0B3E"/>
    <w:rsid w:val="005A10FC"/>
    <w:rsid w:val="005A1224"/>
    <w:rsid w:val="005A180B"/>
    <w:rsid w:val="005A1AD4"/>
    <w:rsid w:val="005A1DC5"/>
    <w:rsid w:val="005A20A8"/>
    <w:rsid w:val="005A2401"/>
    <w:rsid w:val="005A25C6"/>
    <w:rsid w:val="005A288A"/>
    <w:rsid w:val="005A2C13"/>
    <w:rsid w:val="005A2EA0"/>
    <w:rsid w:val="005A43B4"/>
    <w:rsid w:val="005A4563"/>
    <w:rsid w:val="005A4656"/>
    <w:rsid w:val="005A47CF"/>
    <w:rsid w:val="005A5072"/>
    <w:rsid w:val="005A55F2"/>
    <w:rsid w:val="005A56F7"/>
    <w:rsid w:val="005A5CA6"/>
    <w:rsid w:val="005A6022"/>
    <w:rsid w:val="005A6863"/>
    <w:rsid w:val="005A6D79"/>
    <w:rsid w:val="005A7A04"/>
    <w:rsid w:val="005A7D23"/>
    <w:rsid w:val="005B091C"/>
    <w:rsid w:val="005B0A9E"/>
    <w:rsid w:val="005B0EBB"/>
    <w:rsid w:val="005B18F1"/>
    <w:rsid w:val="005B2861"/>
    <w:rsid w:val="005B2D4C"/>
    <w:rsid w:val="005B3317"/>
    <w:rsid w:val="005B35C9"/>
    <w:rsid w:val="005B360F"/>
    <w:rsid w:val="005B3646"/>
    <w:rsid w:val="005B36DB"/>
    <w:rsid w:val="005B3B68"/>
    <w:rsid w:val="005B3D1D"/>
    <w:rsid w:val="005B3D77"/>
    <w:rsid w:val="005B3ECC"/>
    <w:rsid w:val="005B3FDA"/>
    <w:rsid w:val="005B425B"/>
    <w:rsid w:val="005B437C"/>
    <w:rsid w:val="005B4564"/>
    <w:rsid w:val="005B4A6C"/>
    <w:rsid w:val="005B4DED"/>
    <w:rsid w:val="005B52EC"/>
    <w:rsid w:val="005B5F6F"/>
    <w:rsid w:val="005B61D9"/>
    <w:rsid w:val="005B6415"/>
    <w:rsid w:val="005B6A60"/>
    <w:rsid w:val="005B7210"/>
    <w:rsid w:val="005B74F8"/>
    <w:rsid w:val="005B7BAD"/>
    <w:rsid w:val="005B7BEF"/>
    <w:rsid w:val="005B7C1D"/>
    <w:rsid w:val="005B7C3E"/>
    <w:rsid w:val="005C046E"/>
    <w:rsid w:val="005C0511"/>
    <w:rsid w:val="005C05CE"/>
    <w:rsid w:val="005C1741"/>
    <w:rsid w:val="005C2270"/>
    <w:rsid w:val="005C2888"/>
    <w:rsid w:val="005C28D9"/>
    <w:rsid w:val="005C29EF"/>
    <w:rsid w:val="005C2B54"/>
    <w:rsid w:val="005C3D2C"/>
    <w:rsid w:val="005C4109"/>
    <w:rsid w:val="005C479C"/>
    <w:rsid w:val="005C4EE2"/>
    <w:rsid w:val="005C4F8F"/>
    <w:rsid w:val="005C587C"/>
    <w:rsid w:val="005C597B"/>
    <w:rsid w:val="005C5C63"/>
    <w:rsid w:val="005C5CE5"/>
    <w:rsid w:val="005C621D"/>
    <w:rsid w:val="005C65D2"/>
    <w:rsid w:val="005C6D58"/>
    <w:rsid w:val="005C6F3E"/>
    <w:rsid w:val="005C72D7"/>
    <w:rsid w:val="005C75E7"/>
    <w:rsid w:val="005D00CA"/>
    <w:rsid w:val="005D1705"/>
    <w:rsid w:val="005D1A89"/>
    <w:rsid w:val="005D1BA5"/>
    <w:rsid w:val="005D1EBC"/>
    <w:rsid w:val="005D1F0E"/>
    <w:rsid w:val="005D234C"/>
    <w:rsid w:val="005D2398"/>
    <w:rsid w:val="005D2435"/>
    <w:rsid w:val="005D2A68"/>
    <w:rsid w:val="005D2BC3"/>
    <w:rsid w:val="005D306F"/>
    <w:rsid w:val="005D313B"/>
    <w:rsid w:val="005D3A5B"/>
    <w:rsid w:val="005D444E"/>
    <w:rsid w:val="005D4576"/>
    <w:rsid w:val="005D4750"/>
    <w:rsid w:val="005D4B28"/>
    <w:rsid w:val="005D550B"/>
    <w:rsid w:val="005D5606"/>
    <w:rsid w:val="005D588A"/>
    <w:rsid w:val="005D671E"/>
    <w:rsid w:val="005D6B66"/>
    <w:rsid w:val="005D7BF2"/>
    <w:rsid w:val="005D7E63"/>
    <w:rsid w:val="005E0016"/>
    <w:rsid w:val="005E0311"/>
    <w:rsid w:val="005E08C5"/>
    <w:rsid w:val="005E0B48"/>
    <w:rsid w:val="005E1D88"/>
    <w:rsid w:val="005E20BA"/>
    <w:rsid w:val="005E21BA"/>
    <w:rsid w:val="005E2529"/>
    <w:rsid w:val="005E2A21"/>
    <w:rsid w:val="005E2DDB"/>
    <w:rsid w:val="005E3151"/>
    <w:rsid w:val="005E34E1"/>
    <w:rsid w:val="005E364E"/>
    <w:rsid w:val="005E38F6"/>
    <w:rsid w:val="005E3D79"/>
    <w:rsid w:val="005E4664"/>
    <w:rsid w:val="005E4677"/>
    <w:rsid w:val="005E4812"/>
    <w:rsid w:val="005E48C8"/>
    <w:rsid w:val="005E4C00"/>
    <w:rsid w:val="005E4FE7"/>
    <w:rsid w:val="005E500F"/>
    <w:rsid w:val="005E54C9"/>
    <w:rsid w:val="005E575A"/>
    <w:rsid w:val="005E5A0F"/>
    <w:rsid w:val="005E5B75"/>
    <w:rsid w:val="005E6119"/>
    <w:rsid w:val="005E64CE"/>
    <w:rsid w:val="005E67A9"/>
    <w:rsid w:val="005E6805"/>
    <w:rsid w:val="005E6A12"/>
    <w:rsid w:val="005E6C1B"/>
    <w:rsid w:val="005E6CA8"/>
    <w:rsid w:val="005E754B"/>
    <w:rsid w:val="005E7E32"/>
    <w:rsid w:val="005F0202"/>
    <w:rsid w:val="005F0611"/>
    <w:rsid w:val="005F17D2"/>
    <w:rsid w:val="005F187B"/>
    <w:rsid w:val="005F2D47"/>
    <w:rsid w:val="005F3003"/>
    <w:rsid w:val="005F3015"/>
    <w:rsid w:val="005F3019"/>
    <w:rsid w:val="005F3169"/>
    <w:rsid w:val="005F36BF"/>
    <w:rsid w:val="005F37B4"/>
    <w:rsid w:val="005F3FE9"/>
    <w:rsid w:val="005F4200"/>
    <w:rsid w:val="005F464C"/>
    <w:rsid w:val="005F4B4D"/>
    <w:rsid w:val="005F4CDE"/>
    <w:rsid w:val="005F562D"/>
    <w:rsid w:val="005F5AA6"/>
    <w:rsid w:val="005F5CEB"/>
    <w:rsid w:val="005F5FB1"/>
    <w:rsid w:val="005F5FE7"/>
    <w:rsid w:val="005F6152"/>
    <w:rsid w:val="005F66C3"/>
    <w:rsid w:val="005F6F9E"/>
    <w:rsid w:val="005F720E"/>
    <w:rsid w:val="00600084"/>
    <w:rsid w:val="006007A0"/>
    <w:rsid w:val="00600D83"/>
    <w:rsid w:val="00601177"/>
    <w:rsid w:val="0060238B"/>
    <w:rsid w:val="00603443"/>
    <w:rsid w:val="006034A3"/>
    <w:rsid w:val="00603982"/>
    <w:rsid w:val="0060404E"/>
    <w:rsid w:val="00604F35"/>
    <w:rsid w:val="00605BD8"/>
    <w:rsid w:val="00605EB9"/>
    <w:rsid w:val="0060651C"/>
    <w:rsid w:val="006068B8"/>
    <w:rsid w:val="00607B50"/>
    <w:rsid w:val="0061009A"/>
    <w:rsid w:val="00610104"/>
    <w:rsid w:val="00610256"/>
    <w:rsid w:val="006107FF"/>
    <w:rsid w:val="00610F9B"/>
    <w:rsid w:val="006110F9"/>
    <w:rsid w:val="0061192C"/>
    <w:rsid w:val="00611B62"/>
    <w:rsid w:val="00612627"/>
    <w:rsid w:val="00612848"/>
    <w:rsid w:val="0061309C"/>
    <w:rsid w:val="006132F4"/>
    <w:rsid w:val="00613903"/>
    <w:rsid w:val="00613B74"/>
    <w:rsid w:val="00614145"/>
    <w:rsid w:val="00614948"/>
    <w:rsid w:val="00615695"/>
    <w:rsid w:val="006165A3"/>
    <w:rsid w:val="006166C4"/>
    <w:rsid w:val="00616958"/>
    <w:rsid w:val="00616BEC"/>
    <w:rsid w:val="00616CA8"/>
    <w:rsid w:val="00617014"/>
    <w:rsid w:val="00617257"/>
    <w:rsid w:val="00620317"/>
    <w:rsid w:val="00620A5A"/>
    <w:rsid w:val="00620CD7"/>
    <w:rsid w:val="00620F30"/>
    <w:rsid w:val="00621069"/>
    <w:rsid w:val="006210C4"/>
    <w:rsid w:val="00621396"/>
    <w:rsid w:val="006216FB"/>
    <w:rsid w:val="00621810"/>
    <w:rsid w:val="00621822"/>
    <w:rsid w:val="006221A8"/>
    <w:rsid w:val="006221DD"/>
    <w:rsid w:val="0062260A"/>
    <w:rsid w:val="00622688"/>
    <w:rsid w:val="00622922"/>
    <w:rsid w:val="00622AF0"/>
    <w:rsid w:val="00622D35"/>
    <w:rsid w:val="00623002"/>
    <w:rsid w:val="00623198"/>
    <w:rsid w:val="0062362C"/>
    <w:rsid w:val="00623686"/>
    <w:rsid w:val="00623796"/>
    <w:rsid w:val="00623DC6"/>
    <w:rsid w:val="00624960"/>
    <w:rsid w:val="00624DBB"/>
    <w:rsid w:val="006256B8"/>
    <w:rsid w:val="006257E5"/>
    <w:rsid w:val="00625F91"/>
    <w:rsid w:val="00626031"/>
    <w:rsid w:val="00626C32"/>
    <w:rsid w:val="00626CFE"/>
    <w:rsid w:val="00627006"/>
    <w:rsid w:val="00627425"/>
    <w:rsid w:val="006274D5"/>
    <w:rsid w:val="006274E8"/>
    <w:rsid w:val="00630495"/>
    <w:rsid w:val="00630BB2"/>
    <w:rsid w:val="006310B8"/>
    <w:rsid w:val="00631223"/>
    <w:rsid w:val="0063170C"/>
    <w:rsid w:val="00631A1A"/>
    <w:rsid w:val="00631CD7"/>
    <w:rsid w:val="0063278F"/>
    <w:rsid w:val="006327B3"/>
    <w:rsid w:val="006327DE"/>
    <w:rsid w:val="006328A4"/>
    <w:rsid w:val="006329D4"/>
    <w:rsid w:val="00633296"/>
    <w:rsid w:val="006339D2"/>
    <w:rsid w:val="006341DC"/>
    <w:rsid w:val="0063474E"/>
    <w:rsid w:val="006349E2"/>
    <w:rsid w:val="00634A6B"/>
    <w:rsid w:val="00634C5D"/>
    <w:rsid w:val="00634F7A"/>
    <w:rsid w:val="006350B9"/>
    <w:rsid w:val="00635157"/>
    <w:rsid w:val="006356C2"/>
    <w:rsid w:val="006360D4"/>
    <w:rsid w:val="00636173"/>
    <w:rsid w:val="0063617C"/>
    <w:rsid w:val="006361E8"/>
    <w:rsid w:val="0063626D"/>
    <w:rsid w:val="00636285"/>
    <w:rsid w:val="00636660"/>
    <w:rsid w:val="00636784"/>
    <w:rsid w:val="00636927"/>
    <w:rsid w:val="006371E8"/>
    <w:rsid w:val="0063747E"/>
    <w:rsid w:val="00637793"/>
    <w:rsid w:val="00637B66"/>
    <w:rsid w:val="00640E75"/>
    <w:rsid w:val="00641808"/>
    <w:rsid w:val="00641F98"/>
    <w:rsid w:val="0064253D"/>
    <w:rsid w:val="006427A9"/>
    <w:rsid w:val="00642CC4"/>
    <w:rsid w:val="00642E88"/>
    <w:rsid w:val="006441F6"/>
    <w:rsid w:val="00644206"/>
    <w:rsid w:val="00644378"/>
    <w:rsid w:val="0064487B"/>
    <w:rsid w:val="00644A83"/>
    <w:rsid w:val="00644BDF"/>
    <w:rsid w:val="006451CF"/>
    <w:rsid w:val="00645293"/>
    <w:rsid w:val="0064538B"/>
    <w:rsid w:val="006453C2"/>
    <w:rsid w:val="0064549F"/>
    <w:rsid w:val="0064574D"/>
    <w:rsid w:val="00645DE5"/>
    <w:rsid w:val="0064613E"/>
    <w:rsid w:val="0064674C"/>
    <w:rsid w:val="00646C4B"/>
    <w:rsid w:val="0064721A"/>
    <w:rsid w:val="00647526"/>
    <w:rsid w:val="006478EB"/>
    <w:rsid w:val="00647CCA"/>
    <w:rsid w:val="00647FD6"/>
    <w:rsid w:val="00650067"/>
    <w:rsid w:val="00650392"/>
    <w:rsid w:val="00650B97"/>
    <w:rsid w:val="00650D07"/>
    <w:rsid w:val="00650F59"/>
    <w:rsid w:val="00651052"/>
    <w:rsid w:val="00651357"/>
    <w:rsid w:val="006520D1"/>
    <w:rsid w:val="006524FC"/>
    <w:rsid w:val="006525BF"/>
    <w:rsid w:val="00652680"/>
    <w:rsid w:val="00652D09"/>
    <w:rsid w:val="006534E3"/>
    <w:rsid w:val="00653E8B"/>
    <w:rsid w:val="0065443E"/>
    <w:rsid w:val="00654753"/>
    <w:rsid w:val="0065496A"/>
    <w:rsid w:val="0065497C"/>
    <w:rsid w:val="00654B06"/>
    <w:rsid w:val="00654F7A"/>
    <w:rsid w:val="00655129"/>
    <w:rsid w:val="006556CD"/>
    <w:rsid w:val="006562F2"/>
    <w:rsid w:val="00656684"/>
    <w:rsid w:val="006566EC"/>
    <w:rsid w:val="00657203"/>
    <w:rsid w:val="00657325"/>
    <w:rsid w:val="00657A3E"/>
    <w:rsid w:val="00660C9F"/>
    <w:rsid w:val="00661049"/>
    <w:rsid w:val="006612A2"/>
    <w:rsid w:val="00661549"/>
    <w:rsid w:val="00661A79"/>
    <w:rsid w:val="00661F82"/>
    <w:rsid w:val="00662A08"/>
    <w:rsid w:val="00662AE7"/>
    <w:rsid w:val="00662CF9"/>
    <w:rsid w:val="00664663"/>
    <w:rsid w:val="00664669"/>
    <w:rsid w:val="00664ED8"/>
    <w:rsid w:val="006655F6"/>
    <w:rsid w:val="0066598C"/>
    <w:rsid w:val="00665AB6"/>
    <w:rsid w:val="00665BD7"/>
    <w:rsid w:val="0066632C"/>
    <w:rsid w:val="006668E6"/>
    <w:rsid w:val="00666B0F"/>
    <w:rsid w:val="00666C52"/>
    <w:rsid w:val="00667D7A"/>
    <w:rsid w:val="0067014A"/>
    <w:rsid w:val="00670182"/>
    <w:rsid w:val="00670575"/>
    <w:rsid w:val="006705BF"/>
    <w:rsid w:val="00670BBF"/>
    <w:rsid w:val="00670C4B"/>
    <w:rsid w:val="00670DA3"/>
    <w:rsid w:val="006715FF"/>
    <w:rsid w:val="006719AE"/>
    <w:rsid w:val="006719CA"/>
    <w:rsid w:val="006719E6"/>
    <w:rsid w:val="00671A23"/>
    <w:rsid w:val="006724DE"/>
    <w:rsid w:val="0067281A"/>
    <w:rsid w:val="00672BD6"/>
    <w:rsid w:val="006739CB"/>
    <w:rsid w:val="00673A98"/>
    <w:rsid w:val="006743DA"/>
    <w:rsid w:val="00674ABF"/>
    <w:rsid w:val="00674C0B"/>
    <w:rsid w:val="00675126"/>
    <w:rsid w:val="0067546B"/>
    <w:rsid w:val="006758FC"/>
    <w:rsid w:val="00675BF6"/>
    <w:rsid w:val="00675CD2"/>
    <w:rsid w:val="006761F1"/>
    <w:rsid w:val="006770AA"/>
    <w:rsid w:val="0067740D"/>
    <w:rsid w:val="00677807"/>
    <w:rsid w:val="006779A8"/>
    <w:rsid w:val="00677D98"/>
    <w:rsid w:val="00677E21"/>
    <w:rsid w:val="00677F86"/>
    <w:rsid w:val="00680563"/>
    <w:rsid w:val="00680A9A"/>
    <w:rsid w:val="00680EED"/>
    <w:rsid w:val="00681090"/>
    <w:rsid w:val="00681A73"/>
    <w:rsid w:val="00681CA7"/>
    <w:rsid w:val="006822EC"/>
    <w:rsid w:val="006822F7"/>
    <w:rsid w:val="006827CA"/>
    <w:rsid w:val="00682917"/>
    <w:rsid w:val="00682CAE"/>
    <w:rsid w:val="00682CF4"/>
    <w:rsid w:val="00682ED4"/>
    <w:rsid w:val="00683217"/>
    <w:rsid w:val="00683663"/>
    <w:rsid w:val="006839D5"/>
    <w:rsid w:val="00683E3F"/>
    <w:rsid w:val="00684038"/>
    <w:rsid w:val="006841DC"/>
    <w:rsid w:val="006842A6"/>
    <w:rsid w:val="0068454D"/>
    <w:rsid w:val="0068523F"/>
    <w:rsid w:val="0068541B"/>
    <w:rsid w:val="006855ED"/>
    <w:rsid w:val="0068594A"/>
    <w:rsid w:val="00685AA8"/>
    <w:rsid w:val="00685E10"/>
    <w:rsid w:val="00685F36"/>
    <w:rsid w:val="0068623E"/>
    <w:rsid w:val="006866B0"/>
    <w:rsid w:val="006867E2"/>
    <w:rsid w:val="00686C77"/>
    <w:rsid w:val="00686ECE"/>
    <w:rsid w:val="00686FDA"/>
    <w:rsid w:val="0068735A"/>
    <w:rsid w:val="006873B5"/>
    <w:rsid w:val="00687635"/>
    <w:rsid w:val="0068775D"/>
    <w:rsid w:val="006904A1"/>
    <w:rsid w:val="0069053F"/>
    <w:rsid w:val="00690A25"/>
    <w:rsid w:val="00691138"/>
    <w:rsid w:val="0069124A"/>
    <w:rsid w:val="0069154F"/>
    <w:rsid w:val="00693415"/>
    <w:rsid w:val="006934DB"/>
    <w:rsid w:val="0069366D"/>
    <w:rsid w:val="00693756"/>
    <w:rsid w:val="00693786"/>
    <w:rsid w:val="00693B01"/>
    <w:rsid w:val="006943E0"/>
    <w:rsid w:val="006945C4"/>
    <w:rsid w:val="00694616"/>
    <w:rsid w:val="0069470F"/>
    <w:rsid w:val="00694D32"/>
    <w:rsid w:val="00694F30"/>
    <w:rsid w:val="0069515C"/>
    <w:rsid w:val="00695298"/>
    <w:rsid w:val="00696505"/>
    <w:rsid w:val="006965F4"/>
    <w:rsid w:val="0069719A"/>
    <w:rsid w:val="006971ED"/>
    <w:rsid w:val="00697C04"/>
    <w:rsid w:val="00697CCA"/>
    <w:rsid w:val="006A0412"/>
    <w:rsid w:val="006A066B"/>
    <w:rsid w:val="006A084B"/>
    <w:rsid w:val="006A085A"/>
    <w:rsid w:val="006A0B48"/>
    <w:rsid w:val="006A0EDF"/>
    <w:rsid w:val="006A1213"/>
    <w:rsid w:val="006A1760"/>
    <w:rsid w:val="006A1A8E"/>
    <w:rsid w:val="006A1ECD"/>
    <w:rsid w:val="006A2082"/>
    <w:rsid w:val="006A2353"/>
    <w:rsid w:val="006A240B"/>
    <w:rsid w:val="006A2ABF"/>
    <w:rsid w:val="006A2C61"/>
    <w:rsid w:val="006A2D52"/>
    <w:rsid w:val="006A3C61"/>
    <w:rsid w:val="006A3CFC"/>
    <w:rsid w:val="006A44CC"/>
    <w:rsid w:val="006A4B7F"/>
    <w:rsid w:val="006A4BF2"/>
    <w:rsid w:val="006A4D1E"/>
    <w:rsid w:val="006A5096"/>
    <w:rsid w:val="006A5C4D"/>
    <w:rsid w:val="006A5CE6"/>
    <w:rsid w:val="006A5CE8"/>
    <w:rsid w:val="006A664C"/>
    <w:rsid w:val="006A6765"/>
    <w:rsid w:val="006A6A8A"/>
    <w:rsid w:val="006A6B40"/>
    <w:rsid w:val="006A6DA8"/>
    <w:rsid w:val="006A6DC0"/>
    <w:rsid w:val="006A7154"/>
    <w:rsid w:val="006A7755"/>
    <w:rsid w:val="006A7810"/>
    <w:rsid w:val="006A78B7"/>
    <w:rsid w:val="006A79CB"/>
    <w:rsid w:val="006A7E83"/>
    <w:rsid w:val="006A7EF9"/>
    <w:rsid w:val="006B0227"/>
    <w:rsid w:val="006B08D5"/>
    <w:rsid w:val="006B0907"/>
    <w:rsid w:val="006B0B6E"/>
    <w:rsid w:val="006B1396"/>
    <w:rsid w:val="006B1D7B"/>
    <w:rsid w:val="006B26DB"/>
    <w:rsid w:val="006B2840"/>
    <w:rsid w:val="006B2D97"/>
    <w:rsid w:val="006B322D"/>
    <w:rsid w:val="006B3669"/>
    <w:rsid w:val="006B36E6"/>
    <w:rsid w:val="006B3714"/>
    <w:rsid w:val="006B3CEF"/>
    <w:rsid w:val="006B3F78"/>
    <w:rsid w:val="006B4242"/>
    <w:rsid w:val="006B4437"/>
    <w:rsid w:val="006B4A3F"/>
    <w:rsid w:val="006B4D03"/>
    <w:rsid w:val="006B501A"/>
    <w:rsid w:val="006B5069"/>
    <w:rsid w:val="006B5238"/>
    <w:rsid w:val="006B53AC"/>
    <w:rsid w:val="006B633A"/>
    <w:rsid w:val="006B68AD"/>
    <w:rsid w:val="006B693C"/>
    <w:rsid w:val="006B6C62"/>
    <w:rsid w:val="006B6DB0"/>
    <w:rsid w:val="006B6DF3"/>
    <w:rsid w:val="006B75EB"/>
    <w:rsid w:val="006B77AE"/>
    <w:rsid w:val="006C0476"/>
    <w:rsid w:val="006C089E"/>
    <w:rsid w:val="006C0BA8"/>
    <w:rsid w:val="006C0DFB"/>
    <w:rsid w:val="006C1087"/>
    <w:rsid w:val="006C10C3"/>
    <w:rsid w:val="006C1714"/>
    <w:rsid w:val="006C17BD"/>
    <w:rsid w:val="006C19D2"/>
    <w:rsid w:val="006C2218"/>
    <w:rsid w:val="006C23A5"/>
    <w:rsid w:val="006C25B4"/>
    <w:rsid w:val="006C263F"/>
    <w:rsid w:val="006C2C82"/>
    <w:rsid w:val="006C2CAF"/>
    <w:rsid w:val="006C315E"/>
    <w:rsid w:val="006C3168"/>
    <w:rsid w:val="006C370D"/>
    <w:rsid w:val="006C3731"/>
    <w:rsid w:val="006C37F0"/>
    <w:rsid w:val="006C3AE1"/>
    <w:rsid w:val="006C3D1C"/>
    <w:rsid w:val="006C3E5E"/>
    <w:rsid w:val="006C4370"/>
    <w:rsid w:val="006C441D"/>
    <w:rsid w:val="006C4CE8"/>
    <w:rsid w:val="006C4CE9"/>
    <w:rsid w:val="006C4E17"/>
    <w:rsid w:val="006C4FAB"/>
    <w:rsid w:val="006C5289"/>
    <w:rsid w:val="006C57F7"/>
    <w:rsid w:val="006C652E"/>
    <w:rsid w:val="006C6751"/>
    <w:rsid w:val="006C6D89"/>
    <w:rsid w:val="006C703D"/>
    <w:rsid w:val="006C7343"/>
    <w:rsid w:val="006C7566"/>
    <w:rsid w:val="006C7699"/>
    <w:rsid w:val="006C7994"/>
    <w:rsid w:val="006D003C"/>
    <w:rsid w:val="006D016D"/>
    <w:rsid w:val="006D031A"/>
    <w:rsid w:val="006D061F"/>
    <w:rsid w:val="006D06DF"/>
    <w:rsid w:val="006D072F"/>
    <w:rsid w:val="006D0849"/>
    <w:rsid w:val="006D0FBA"/>
    <w:rsid w:val="006D1456"/>
    <w:rsid w:val="006D1981"/>
    <w:rsid w:val="006D1BA6"/>
    <w:rsid w:val="006D2106"/>
    <w:rsid w:val="006D29A5"/>
    <w:rsid w:val="006D2B7C"/>
    <w:rsid w:val="006D2E0E"/>
    <w:rsid w:val="006D2ECA"/>
    <w:rsid w:val="006D3274"/>
    <w:rsid w:val="006D373C"/>
    <w:rsid w:val="006D37B9"/>
    <w:rsid w:val="006D39EF"/>
    <w:rsid w:val="006D408F"/>
    <w:rsid w:val="006D432B"/>
    <w:rsid w:val="006D4763"/>
    <w:rsid w:val="006D47F7"/>
    <w:rsid w:val="006D483A"/>
    <w:rsid w:val="006D4A06"/>
    <w:rsid w:val="006D4AD7"/>
    <w:rsid w:val="006D4D7B"/>
    <w:rsid w:val="006D54D7"/>
    <w:rsid w:val="006D5569"/>
    <w:rsid w:val="006D5ADE"/>
    <w:rsid w:val="006D5D63"/>
    <w:rsid w:val="006D69FD"/>
    <w:rsid w:val="006D6B96"/>
    <w:rsid w:val="006D6EFC"/>
    <w:rsid w:val="006D716E"/>
    <w:rsid w:val="006D71D6"/>
    <w:rsid w:val="006D72A7"/>
    <w:rsid w:val="006D7961"/>
    <w:rsid w:val="006D7993"/>
    <w:rsid w:val="006E0E12"/>
    <w:rsid w:val="006E111A"/>
    <w:rsid w:val="006E1908"/>
    <w:rsid w:val="006E19DC"/>
    <w:rsid w:val="006E1D5B"/>
    <w:rsid w:val="006E1EAA"/>
    <w:rsid w:val="006E21A4"/>
    <w:rsid w:val="006E2347"/>
    <w:rsid w:val="006E267A"/>
    <w:rsid w:val="006E2D65"/>
    <w:rsid w:val="006E2DF1"/>
    <w:rsid w:val="006E2E98"/>
    <w:rsid w:val="006E3318"/>
    <w:rsid w:val="006E33F1"/>
    <w:rsid w:val="006E354D"/>
    <w:rsid w:val="006E3B77"/>
    <w:rsid w:val="006E3DD8"/>
    <w:rsid w:val="006E4548"/>
    <w:rsid w:val="006E4576"/>
    <w:rsid w:val="006E4C89"/>
    <w:rsid w:val="006E4F53"/>
    <w:rsid w:val="006E5259"/>
    <w:rsid w:val="006E5285"/>
    <w:rsid w:val="006E5516"/>
    <w:rsid w:val="006E5A62"/>
    <w:rsid w:val="006E5A63"/>
    <w:rsid w:val="006E5D93"/>
    <w:rsid w:val="006E6547"/>
    <w:rsid w:val="006E657B"/>
    <w:rsid w:val="006E665E"/>
    <w:rsid w:val="006E6678"/>
    <w:rsid w:val="006E67BB"/>
    <w:rsid w:val="006E6BB3"/>
    <w:rsid w:val="006E72B9"/>
    <w:rsid w:val="006E7658"/>
    <w:rsid w:val="006E7B46"/>
    <w:rsid w:val="006E7D9E"/>
    <w:rsid w:val="006F0658"/>
    <w:rsid w:val="006F07AC"/>
    <w:rsid w:val="006F0836"/>
    <w:rsid w:val="006F0859"/>
    <w:rsid w:val="006F09C6"/>
    <w:rsid w:val="006F0F51"/>
    <w:rsid w:val="006F1004"/>
    <w:rsid w:val="006F11DC"/>
    <w:rsid w:val="006F17F2"/>
    <w:rsid w:val="006F22AB"/>
    <w:rsid w:val="006F2A69"/>
    <w:rsid w:val="006F2DE9"/>
    <w:rsid w:val="006F38C6"/>
    <w:rsid w:val="006F43F5"/>
    <w:rsid w:val="006F449A"/>
    <w:rsid w:val="006F49A8"/>
    <w:rsid w:val="006F5048"/>
    <w:rsid w:val="006F5215"/>
    <w:rsid w:val="006F5CD5"/>
    <w:rsid w:val="006F6150"/>
    <w:rsid w:val="006F69C3"/>
    <w:rsid w:val="006F6C6B"/>
    <w:rsid w:val="006F6C85"/>
    <w:rsid w:val="006F6F48"/>
    <w:rsid w:val="006F7126"/>
    <w:rsid w:val="006F76A1"/>
    <w:rsid w:val="006F7768"/>
    <w:rsid w:val="006F78EF"/>
    <w:rsid w:val="006F7EA8"/>
    <w:rsid w:val="006F7FD6"/>
    <w:rsid w:val="00700245"/>
    <w:rsid w:val="007003B2"/>
    <w:rsid w:val="0070049C"/>
    <w:rsid w:val="0070085E"/>
    <w:rsid w:val="007011A0"/>
    <w:rsid w:val="007013CD"/>
    <w:rsid w:val="00701761"/>
    <w:rsid w:val="007017BE"/>
    <w:rsid w:val="0070196A"/>
    <w:rsid w:val="00701B24"/>
    <w:rsid w:val="00702284"/>
    <w:rsid w:val="007022E1"/>
    <w:rsid w:val="007026EC"/>
    <w:rsid w:val="007027CA"/>
    <w:rsid w:val="00702D5E"/>
    <w:rsid w:val="00702F1A"/>
    <w:rsid w:val="00702F66"/>
    <w:rsid w:val="00702F68"/>
    <w:rsid w:val="00702F87"/>
    <w:rsid w:val="0070335C"/>
    <w:rsid w:val="00703593"/>
    <w:rsid w:val="00703993"/>
    <w:rsid w:val="00704806"/>
    <w:rsid w:val="00704BA7"/>
    <w:rsid w:val="00704E3A"/>
    <w:rsid w:val="0070550B"/>
    <w:rsid w:val="0070557E"/>
    <w:rsid w:val="00705A47"/>
    <w:rsid w:val="00705C04"/>
    <w:rsid w:val="00705CD6"/>
    <w:rsid w:val="007067B3"/>
    <w:rsid w:val="00706AA7"/>
    <w:rsid w:val="00707099"/>
    <w:rsid w:val="0070727E"/>
    <w:rsid w:val="0070747B"/>
    <w:rsid w:val="007075E2"/>
    <w:rsid w:val="00707ACF"/>
    <w:rsid w:val="00707BC2"/>
    <w:rsid w:val="00707F62"/>
    <w:rsid w:val="0071008A"/>
    <w:rsid w:val="00710DD9"/>
    <w:rsid w:val="00710E5A"/>
    <w:rsid w:val="007112FB"/>
    <w:rsid w:val="00711438"/>
    <w:rsid w:val="00711ABE"/>
    <w:rsid w:val="00712145"/>
    <w:rsid w:val="007122C0"/>
    <w:rsid w:val="00712F98"/>
    <w:rsid w:val="00713107"/>
    <w:rsid w:val="00713513"/>
    <w:rsid w:val="00713601"/>
    <w:rsid w:val="0071381F"/>
    <w:rsid w:val="00713C87"/>
    <w:rsid w:val="00713FA8"/>
    <w:rsid w:val="00714405"/>
    <w:rsid w:val="0071484E"/>
    <w:rsid w:val="00715335"/>
    <w:rsid w:val="00715531"/>
    <w:rsid w:val="00715535"/>
    <w:rsid w:val="007155CA"/>
    <w:rsid w:val="00715863"/>
    <w:rsid w:val="00715BC2"/>
    <w:rsid w:val="00715C37"/>
    <w:rsid w:val="00715F4F"/>
    <w:rsid w:val="00716237"/>
    <w:rsid w:val="0071631E"/>
    <w:rsid w:val="007163F8"/>
    <w:rsid w:val="00716FCA"/>
    <w:rsid w:val="0071729B"/>
    <w:rsid w:val="00717410"/>
    <w:rsid w:val="0071753B"/>
    <w:rsid w:val="00717A15"/>
    <w:rsid w:val="00717AFB"/>
    <w:rsid w:val="00717B58"/>
    <w:rsid w:val="00717EFD"/>
    <w:rsid w:val="00717FE1"/>
    <w:rsid w:val="0072022A"/>
    <w:rsid w:val="00720CB6"/>
    <w:rsid w:val="00720D92"/>
    <w:rsid w:val="00721119"/>
    <w:rsid w:val="00721770"/>
    <w:rsid w:val="007220C3"/>
    <w:rsid w:val="007221A5"/>
    <w:rsid w:val="0072252B"/>
    <w:rsid w:val="007225CD"/>
    <w:rsid w:val="007227D8"/>
    <w:rsid w:val="00722D6C"/>
    <w:rsid w:val="007238D0"/>
    <w:rsid w:val="00723B26"/>
    <w:rsid w:val="00723CB5"/>
    <w:rsid w:val="00723DE8"/>
    <w:rsid w:val="0072407A"/>
    <w:rsid w:val="00724BE6"/>
    <w:rsid w:val="00724F98"/>
    <w:rsid w:val="00725CC9"/>
    <w:rsid w:val="00726259"/>
    <w:rsid w:val="00726C8A"/>
    <w:rsid w:val="0072708E"/>
    <w:rsid w:val="00727406"/>
    <w:rsid w:val="007278EB"/>
    <w:rsid w:val="00727A6E"/>
    <w:rsid w:val="007301D8"/>
    <w:rsid w:val="007308EA"/>
    <w:rsid w:val="00730973"/>
    <w:rsid w:val="00730A2D"/>
    <w:rsid w:val="00730B21"/>
    <w:rsid w:val="00730CC5"/>
    <w:rsid w:val="0073123A"/>
    <w:rsid w:val="0073125D"/>
    <w:rsid w:val="007318A8"/>
    <w:rsid w:val="00731C55"/>
    <w:rsid w:val="00731DB2"/>
    <w:rsid w:val="00731DD2"/>
    <w:rsid w:val="00731E2F"/>
    <w:rsid w:val="00732645"/>
    <w:rsid w:val="007329D3"/>
    <w:rsid w:val="00732B89"/>
    <w:rsid w:val="00732D7A"/>
    <w:rsid w:val="00733616"/>
    <w:rsid w:val="00734152"/>
    <w:rsid w:val="00735144"/>
    <w:rsid w:val="00735F45"/>
    <w:rsid w:val="00736364"/>
    <w:rsid w:val="00736695"/>
    <w:rsid w:val="00736F14"/>
    <w:rsid w:val="00737236"/>
    <w:rsid w:val="00737858"/>
    <w:rsid w:val="00740163"/>
    <w:rsid w:val="007402E2"/>
    <w:rsid w:val="00742755"/>
    <w:rsid w:val="00742B4F"/>
    <w:rsid w:val="00742DDE"/>
    <w:rsid w:val="00743760"/>
    <w:rsid w:val="00743C3C"/>
    <w:rsid w:val="00744821"/>
    <w:rsid w:val="00744A86"/>
    <w:rsid w:val="00744AD8"/>
    <w:rsid w:val="00744B30"/>
    <w:rsid w:val="00744D6E"/>
    <w:rsid w:val="0074518B"/>
    <w:rsid w:val="007453AB"/>
    <w:rsid w:val="0074568D"/>
    <w:rsid w:val="00745A08"/>
    <w:rsid w:val="00745B2C"/>
    <w:rsid w:val="00746311"/>
    <w:rsid w:val="007468F3"/>
    <w:rsid w:val="00747672"/>
    <w:rsid w:val="00747A48"/>
    <w:rsid w:val="00750189"/>
    <w:rsid w:val="007509D8"/>
    <w:rsid w:val="00750AFA"/>
    <w:rsid w:val="00750F0A"/>
    <w:rsid w:val="00751125"/>
    <w:rsid w:val="0075122E"/>
    <w:rsid w:val="00751871"/>
    <w:rsid w:val="00751D86"/>
    <w:rsid w:val="00751EB3"/>
    <w:rsid w:val="00751F7F"/>
    <w:rsid w:val="00751FFE"/>
    <w:rsid w:val="00752073"/>
    <w:rsid w:val="00752A75"/>
    <w:rsid w:val="007530B3"/>
    <w:rsid w:val="007531EF"/>
    <w:rsid w:val="0075328F"/>
    <w:rsid w:val="00753292"/>
    <w:rsid w:val="0075340A"/>
    <w:rsid w:val="007534F8"/>
    <w:rsid w:val="00753517"/>
    <w:rsid w:val="00753AFB"/>
    <w:rsid w:val="007540A8"/>
    <w:rsid w:val="007547DE"/>
    <w:rsid w:val="007550E1"/>
    <w:rsid w:val="007554B9"/>
    <w:rsid w:val="00755895"/>
    <w:rsid w:val="007558BC"/>
    <w:rsid w:val="007559AB"/>
    <w:rsid w:val="00755AAF"/>
    <w:rsid w:val="00755BD6"/>
    <w:rsid w:val="00755E61"/>
    <w:rsid w:val="00756349"/>
    <w:rsid w:val="00757110"/>
    <w:rsid w:val="0075758B"/>
    <w:rsid w:val="00757E75"/>
    <w:rsid w:val="00760289"/>
    <w:rsid w:val="007606F8"/>
    <w:rsid w:val="007607E7"/>
    <w:rsid w:val="007613B5"/>
    <w:rsid w:val="00761767"/>
    <w:rsid w:val="00761DF0"/>
    <w:rsid w:val="00761F96"/>
    <w:rsid w:val="00762414"/>
    <w:rsid w:val="007626F6"/>
    <w:rsid w:val="007627E5"/>
    <w:rsid w:val="007633DF"/>
    <w:rsid w:val="0076357F"/>
    <w:rsid w:val="007636D5"/>
    <w:rsid w:val="007636EE"/>
    <w:rsid w:val="00763EB7"/>
    <w:rsid w:val="007644D8"/>
    <w:rsid w:val="007645BA"/>
    <w:rsid w:val="00764791"/>
    <w:rsid w:val="0076493E"/>
    <w:rsid w:val="00764B79"/>
    <w:rsid w:val="00764C03"/>
    <w:rsid w:val="007651AC"/>
    <w:rsid w:val="007651C3"/>
    <w:rsid w:val="007654E6"/>
    <w:rsid w:val="00765540"/>
    <w:rsid w:val="00765B01"/>
    <w:rsid w:val="0076626A"/>
    <w:rsid w:val="00766B44"/>
    <w:rsid w:val="00766BAB"/>
    <w:rsid w:val="00766C0B"/>
    <w:rsid w:val="00767852"/>
    <w:rsid w:val="00767E31"/>
    <w:rsid w:val="00770044"/>
    <w:rsid w:val="00770111"/>
    <w:rsid w:val="00770243"/>
    <w:rsid w:val="00770872"/>
    <w:rsid w:val="007715A2"/>
    <w:rsid w:val="00771743"/>
    <w:rsid w:val="00771BC1"/>
    <w:rsid w:val="0077201E"/>
    <w:rsid w:val="00772497"/>
    <w:rsid w:val="00772755"/>
    <w:rsid w:val="00773061"/>
    <w:rsid w:val="00773A44"/>
    <w:rsid w:val="00773D94"/>
    <w:rsid w:val="00773DF0"/>
    <w:rsid w:val="00774630"/>
    <w:rsid w:val="00774D38"/>
    <w:rsid w:val="00775628"/>
    <w:rsid w:val="007756AD"/>
    <w:rsid w:val="00775F35"/>
    <w:rsid w:val="00776190"/>
    <w:rsid w:val="00776300"/>
    <w:rsid w:val="00776320"/>
    <w:rsid w:val="00776978"/>
    <w:rsid w:val="00776D34"/>
    <w:rsid w:val="00777F1C"/>
    <w:rsid w:val="00781862"/>
    <w:rsid w:val="0078196F"/>
    <w:rsid w:val="0078197E"/>
    <w:rsid w:val="007819EC"/>
    <w:rsid w:val="00781EB9"/>
    <w:rsid w:val="007836CF"/>
    <w:rsid w:val="00783C50"/>
    <w:rsid w:val="00783D8C"/>
    <w:rsid w:val="00784011"/>
    <w:rsid w:val="007841E1"/>
    <w:rsid w:val="007841FE"/>
    <w:rsid w:val="00784874"/>
    <w:rsid w:val="0078530C"/>
    <w:rsid w:val="00785897"/>
    <w:rsid w:val="00785D6C"/>
    <w:rsid w:val="00785EEE"/>
    <w:rsid w:val="00785FEE"/>
    <w:rsid w:val="007860AD"/>
    <w:rsid w:val="007871F8"/>
    <w:rsid w:val="0078774B"/>
    <w:rsid w:val="00787DA5"/>
    <w:rsid w:val="00787E93"/>
    <w:rsid w:val="0079010E"/>
    <w:rsid w:val="007904C7"/>
    <w:rsid w:val="00790779"/>
    <w:rsid w:val="00790EB6"/>
    <w:rsid w:val="00790F33"/>
    <w:rsid w:val="00790FC5"/>
    <w:rsid w:val="00790FCC"/>
    <w:rsid w:val="007919A1"/>
    <w:rsid w:val="00791A0D"/>
    <w:rsid w:val="0079234F"/>
    <w:rsid w:val="007925E8"/>
    <w:rsid w:val="0079430B"/>
    <w:rsid w:val="007945AD"/>
    <w:rsid w:val="007947BE"/>
    <w:rsid w:val="00794A45"/>
    <w:rsid w:val="00795254"/>
    <w:rsid w:val="00795581"/>
    <w:rsid w:val="007956DA"/>
    <w:rsid w:val="007956EE"/>
    <w:rsid w:val="00795862"/>
    <w:rsid w:val="00795A16"/>
    <w:rsid w:val="00795DD8"/>
    <w:rsid w:val="00796E76"/>
    <w:rsid w:val="00796FAF"/>
    <w:rsid w:val="007970ED"/>
    <w:rsid w:val="007977CC"/>
    <w:rsid w:val="00797F43"/>
    <w:rsid w:val="007A0077"/>
    <w:rsid w:val="007A08CD"/>
    <w:rsid w:val="007A0A12"/>
    <w:rsid w:val="007A0B42"/>
    <w:rsid w:val="007A0C3A"/>
    <w:rsid w:val="007A0E5D"/>
    <w:rsid w:val="007A1450"/>
    <w:rsid w:val="007A187B"/>
    <w:rsid w:val="007A18D5"/>
    <w:rsid w:val="007A1923"/>
    <w:rsid w:val="007A1BF8"/>
    <w:rsid w:val="007A1D08"/>
    <w:rsid w:val="007A250D"/>
    <w:rsid w:val="007A2CBB"/>
    <w:rsid w:val="007A2E16"/>
    <w:rsid w:val="007A32CE"/>
    <w:rsid w:val="007A35AB"/>
    <w:rsid w:val="007A36F7"/>
    <w:rsid w:val="007A3C72"/>
    <w:rsid w:val="007A3E9E"/>
    <w:rsid w:val="007A42AA"/>
    <w:rsid w:val="007A45B3"/>
    <w:rsid w:val="007A4990"/>
    <w:rsid w:val="007A4DF0"/>
    <w:rsid w:val="007A51CA"/>
    <w:rsid w:val="007A5373"/>
    <w:rsid w:val="007A5D28"/>
    <w:rsid w:val="007A64C8"/>
    <w:rsid w:val="007A64ED"/>
    <w:rsid w:val="007A6584"/>
    <w:rsid w:val="007A6681"/>
    <w:rsid w:val="007A66CB"/>
    <w:rsid w:val="007A6AD8"/>
    <w:rsid w:val="007A6F60"/>
    <w:rsid w:val="007A7294"/>
    <w:rsid w:val="007A756E"/>
    <w:rsid w:val="007A7A8E"/>
    <w:rsid w:val="007A7DFF"/>
    <w:rsid w:val="007B05E3"/>
    <w:rsid w:val="007B0776"/>
    <w:rsid w:val="007B0A3A"/>
    <w:rsid w:val="007B0C51"/>
    <w:rsid w:val="007B0F81"/>
    <w:rsid w:val="007B0FD0"/>
    <w:rsid w:val="007B1142"/>
    <w:rsid w:val="007B139D"/>
    <w:rsid w:val="007B27D3"/>
    <w:rsid w:val="007B2B62"/>
    <w:rsid w:val="007B2B7C"/>
    <w:rsid w:val="007B2C23"/>
    <w:rsid w:val="007B3305"/>
    <w:rsid w:val="007B33C8"/>
    <w:rsid w:val="007B40EB"/>
    <w:rsid w:val="007B4749"/>
    <w:rsid w:val="007B58CC"/>
    <w:rsid w:val="007B5A64"/>
    <w:rsid w:val="007B5FA0"/>
    <w:rsid w:val="007B648F"/>
    <w:rsid w:val="007B6BBC"/>
    <w:rsid w:val="007B6C47"/>
    <w:rsid w:val="007B6F87"/>
    <w:rsid w:val="007B7E86"/>
    <w:rsid w:val="007C00E3"/>
    <w:rsid w:val="007C0E58"/>
    <w:rsid w:val="007C1474"/>
    <w:rsid w:val="007C17D8"/>
    <w:rsid w:val="007C1A6F"/>
    <w:rsid w:val="007C220A"/>
    <w:rsid w:val="007C2461"/>
    <w:rsid w:val="007C2720"/>
    <w:rsid w:val="007C2775"/>
    <w:rsid w:val="007C29A3"/>
    <w:rsid w:val="007C29F2"/>
    <w:rsid w:val="007C2A1C"/>
    <w:rsid w:val="007C32FA"/>
    <w:rsid w:val="007C3726"/>
    <w:rsid w:val="007C38B1"/>
    <w:rsid w:val="007C4165"/>
    <w:rsid w:val="007C4394"/>
    <w:rsid w:val="007C4A49"/>
    <w:rsid w:val="007C4A92"/>
    <w:rsid w:val="007C525B"/>
    <w:rsid w:val="007C5279"/>
    <w:rsid w:val="007C5545"/>
    <w:rsid w:val="007C55C7"/>
    <w:rsid w:val="007C5AB3"/>
    <w:rsid w:val="007C5FE0"/>
    <w:rsid w:val="007C64EE"/>
    <w:rsid w:val="007C663D"/>
    <w:rsid w:val="007C6C16"/>
    <w:rsid w:val="007C758F"/>
    <w:rsid w:val="007C768A"/>
    <w:rsid w:val="007C791C"/>
    <w:rsid w:val="007C7B80"/>
    <w:rsid w:val="007C7D4A"/>
    <w:rsid w:val="007C7E50"/>
    <w:rsid w:val="007D01CF"/>
    <w:rsid w:val="007D02B2"/>
    <w:rsid w:val="007D0410"/>
    <w:rsid w:val="007D0435"/>
    <w:rsid w:val="007D054E"/>
    <w:rsid w:val="007D091A"/>
    <w:rsid w:val="007D0A31"/>
    <w:rsid w:val="007D0BBF"/>
    <w:rsid w:val="007D0EC6"/>
    <w:rsid w:val="007D1991"/>
    <w:rsid w:val="007D1A68"/>
    <w:rsid w:val="007D1C47"/>
    <w:rsid w:val="007D1EB0"/>
    <w:rsid w:val="007D23A2"/>
    <w:rsid w:val="007D258C"/>
    <w:rsid w:val="007D26D2"/>
    <w:rsid w:val="007D3377"/>
    <w:rsid w:val="007D3F4F"/>
    <w:rsid w:val="007D401B"/>
    <w:rsid w:val="007D44FD"/>
    <w:rsid w:val="007D4DE5"/>
    <w:rsid w:val="007D4EBE"/>
    <w:rsid w:val="007D4FC8"/>
    <w:rsid w:val="007D51F9"/>
    <w:rsid w:val="007D5D7A"/>
    <w:rsid w:val="007D5FFC"/>
    <w:rsid w:val="007D64D8"/>
    <w:rsid w:val="007D6C8C"/>
    <w:rsid w:val="007D6D20"/>
    <w:rsid w:val="007D72A2"/>
    <w:rsid w:val="007D74F1"/>
    <w:rsid w:val="007D7DB0"/>
    <w:rsid w:val="007D7F59"/>
    <w:rsid w:val="007E002A"/>
    <w:rsid w:val="007E009F"/>
    <w:rsid w:val="007E014D"/>
    <w:rsid w:val="007E01E0"/>
    <w:rsid w:val="007E069F"/>
    <w:rsid w:val="007E0E01"/>
    <w:rsid w:val="007E125D"/>
    <w:rsid w:val="007E1312"/>
    <w:rsid w:val="007E1628"/>
    <w:rsid w:val="007E1B93"/>
    <w:rsid w:val="007E1F7A"/>
    <w:rsid w:val="007E227C"/>
    <w:rsid w:val="007E234D"/>
    <w:rsid w:val="007E261D"/>
    <w:rsid w:val="007E2B91"/>
    <w:rsid w:val="007E2F51"/>
    <w:rsid w:val="007E2FC0"/>
    <w:rsid w:val="007E31E0"/>
    <w:rsid w:val="007E3726"/>
    <w:rsid w:val="007E38DC"/>
    <w:rsid w:val="007E44C2"/>
    <w:rsid w:val="007E4C86"/>
    <w:rsid w:val="007E4ED2"/>
    <w:rsid w:val="007E5089"/>
    <w:rsid w:val="007E50EC"/>
    <w:rsid w:val="007E53D8"/>
    <w:rsid w:val="007E5D17"/>
    <w:rsid w:val="007E60A4"/>
    <w:rsid w:val="007E6BE0"/>
    <w:rsid w:val="007E6F5A"/>
    <w:rsid w:val="007E7397"/>
    <w:rsid w:val="007E787F"/>
    <w:rsid w:val="007E7CC2"/>
    <w:rsid w:val="007F0000"/>
    <w:rsid w:val="007F0141"/>
    <w:rsid w:val="007F030A"/>
    <w:rsid w:val="007F06EC"/>
    <w:rsid w:val="007F0E95"/>
    <w:rsid w:val="007F120E"/>
    <w:rsid w:val="007F1967"/>
    <w:rsid w:val="007F1B54"/>
    <w:rsid w:val="007F1E38"/>
    <w:rsid w:val="007F2BA7"/>
    <w:rsid w:val="007F2EB7"/>
    <w:rsid w:val="007F3031"/>
    <w:rsid w:val="007F3F84"/>
    <w:rsid w:val="007F4147"/>
    <w:rsid w:val="007F48CF"/>
    <w:rsid w:val="007F4B8D"/>
    <w:rsid w:val="007F5068"/>
    <w:rsid w:val="007F5294"/>
    <w:rsid w:val="007F5497"/>
    <w:rsid w:val="007F56F2"/>
    <w:rsid w:val="007F589C"/>
    <w:rsid w:val="007F5B41"/>
    <w:rsid w:val="007F5D20"/>
    <w:rsid w:val="007F5EC9"/>
    <w:rsid w:val="007F64AC"/>
    <w:rsid w:val="007F64B3"/>
    <w:rsid w:val="007F64C6"/>
    <w:rsid w:val="007F64CB"/>
    <w:rsid w:val="007F6AC1"/>
    <w:rsid w:val="007F6F1F"/>
    <w:rsid w:val="007F788E"/>
    <w:rsid w:val="007F7F62"/>
    <w:rsid w:val="008004EB"/>
    <w:rsid w:val="008014F1"/>
    <w:rsid w:val="00801927"/>
    <w:rsid w:val="00801C5A"/>
    <w:rsid w:val="00801CF7"/>
    <w:rsid w:val="00802353"/>
    <w:rsid w:val="0080256C"/>
    <w:rsid w:val="0080288C"/>
    <w:rsid w:val="00802AF8"/>
    <w:rsid w:val="00802E5A"/>
    <w:rsid w:val="00802F34"/>
    <w:rsid w:val="00803F36"/>
    <w:rsid w:val="0080457B"/>
    <w:rsid w:val="0080466A"/>
    <w:rsid w:val="00804D7C"/>
    <w:rsid w:val="00804F3B"/>
    <w:rsid w:val="00806747"/>
    <w:rsid w:val="0080674C"/>
    <w:rsid w:val="00806784"/>
    <w:rsid w:val="00806B1E"/>
    <w:rsid w:val="00806CF4"/>
    <w:rsid w:val="00806DCB"/>
    <w:rsid w:val="00806ED1"/>
    <w:rsid w:val="008072A5"/>
    <w:rsid w:val="0080731A"/>
    <w:rsid w:val="008074A5"/>
    <w:rsid w:val="0080766B"/>
    <w:rsid w:val="008076A1"/>
    <w:rsid w:val="00810BC2"/>
    <w:rsid w:val="0081104B"/>
    <w:rsid w:val="008114F3"/>
    <w:rsid w:val="00811694"/>
    <w:rsid w:val="00811B83"/>
    <w:rsid w:val="00811FE7"/>
    <w:rsid w:val="00812449"/>
    <w:rsid w:val="0081287F"/>
    <w:rsid w:val="00812A54"/>
    <w:rsid w:val="00812C91"/>
    <w:rsid w:val="008130A0"/>
    <w:rsid w:val="00813288"/>
    <w:rsid w:val="00813295"/>
    <w:rsid w:val="0081357A"/>
    <w:rsid w:val="008135EA"/>
    <w:rsid w:val="00814423"/>
    <w:rsid w:val="008144EF"/>
    <w:rsid w:val="00814857"/>
    <w:rsid w:val="00814877"/>
    <w:rsid w:val="00814E4F"/>
    <w:rsid w:val="00814F7A"/>
    <w:rsid w:val="00815100"/>
    <w:rsid w:val="008152C3"/>
    <w:rsid w:val="0081546F"/>
    <w:rsid w:val="00815AF5"/>
    <w:rsid w:val="00815E9A"/>
    <w:rsid w:val="00816267"/>
    <w:rsid w:val="008162D0"/>
    <w:rsid w:val="008164EA"/>
    <w:rsid w:val="008167BA"/>
    <w:rsid w:val="00816964"/>
    <w:rsid w:val="00816DC8"/>
    <w:rsid w:val="00816EEE"/>
    <w:rsid w:val="0081763C"/>
    <w:rsid w:val="00817DF1"/>
    <w:rsid w:val="008203D7"/>
    <w:rsid w:val="008205DF"/>
    <w:rsid w:val="008214E3"/>
    <w:rsid w:val="008218A9"/>
    <w:rsid w:val="00821F66"/>
    <w:rsid w:val="008221D8"/>
    <w:rsid w:val="0082267D"/>
    <w:rsid w:val="00822AA0"/>
    <w:rsid w:val="00822AC1"/>
    <w:rsid w:val="008231D1"/>
    <w:rsid w:val="0082356A"/>
    <w:rsid w:val="008237B5"/>
    <w:rsid w:val="00823B51"/>
    <w:rsid w:val="00823D98"/>
    <w:rsid w:val="00823F26"/>
    <w:rsid w:val="00824108"/>
    <w:rsid w:val="00824482"/>
    <w:rsid w:val="00824DB7"/>
    <w:rsid w:val="00824E41"/>
    <w:rsid w:val="00825A00"/>
    <w:rsid w:val="00825DC0"/>
    <w:rsid w:val="00825E0C"/>
    <w:rsid w:val="00825F54"/>
    <w:rsid w:val="00826196"/>
    <w:rsid w:val="00826433"/>
    <w:rsid w:val="00826FAC"/>
    <w:rsid w:val="008270F0"/>
    <w:rsid w:val="0082716F"/>
    <w:rsid w:val="008276F6"/>
    <w:rsid w:val="008302F2"/>
    <w:rsid w:val="00830344"/>
    <w:rsid w:val="00830614"/>
    <w:rsid w:val="00830FBE"/>
    <w:rsid w:val="008310DB"/>
    <w:rsid w:val="00831162"/>
    <w:rsid w:val="00831753"/>
    <w:rsid w:val="00831C0B"/>
    <w:rsid w:val="00831DC6"/>
    <w:rsid w:val="00831F8E"/>
    <w:rsid w:val="008321D5"/>
    <w:rsid w:val="00833CAD"/>
    <w:rsid w:val="00833F70"/>
    <w:rsid w:val="0083436C"/>
    <w:rsid w:val="00834862"/>
    <w:rsid w:val="0083494A"/>
    <w:rsid w:val="008357EF"/>
    <w:rsid w:val="00835877"/>
    <w:rsid w:val="008358F0"/>
    <w:rsid w:val="00835AF9"/>
    <w:rsid w:val="00835EF2"/>
    <w:rsid w:val="00836072"/>
    <w:rsid w:val="00836672"/>
    <w:rsid w:val="00836707"/>
    <w:rsid w:val="00836E74"/>
    <w:rsid w:val="0083740E"/>
    <w:rsid w:val="0083751E"/>
    <w:rsid w:val="0083765E"/>
    <w:rsid w:val="00837CE7"/>
    <w:rsid w:val="00837FF9"/>
    <w:rsid w:val="00840297"/>
    <w:rsid w:val="00840553"/>
    <w:rsid w:val="008405EE"/>
    <w:rsid w:val="008406B2"/>
    <w:rsid w:val="00840B2A"/>
    <w:rsid w:val="00840E6D"/>
    <w:rsid w:val="008411E4"/>
    <w:rsid w:val="008416B0"/>
    <w:rsid w:val="00841B65"/>
    <w:rsid w:val="00841D02"/>
    <w:rsid w:val="00842047"/>
    <w:rsid w:val="008422EE"/>
    <w:rsid w:val="00842312"/>
    <w:rsid w:val="0084251C"/>
    <w:rsid w:val="0084258F"/>
    <w:rsid w:val="00842B16"/>
    <w:rsid w:val="00842EC5"/>
    <w:rsid w:val="0084313D"/>
    <w:rsid w:val="0084320C"/>
    <w:rsid w:val="00843665"/>
    <w:rsid w:val="00843A8F"/>
    <w:rsid w:val="00843D32"/>
    <w:rsid w:val="00843D66"/>
    <w:rsid w:val="00843EAA"/>
    <w:rsid w:val="0084416A"/>
    <w:rsid w:val="008441B0"/>
    <w:rsid w:val="008442F9"/>
    <w:rsid w:val="008447A0"/>
    <w:rsid w:val="00844A00"/>
    <w:rsid w:val="00844C13"/>
    <w:rsid w:val="00845343"/>
    <w:rsid w:val="008454AF"/>
    <w:rsid w:val="0084587C"/>
    <w:rsid w:val="00845919"/>
    <w:rsid w:val="00845EE6"/>
    <w:rsid w:val="00845F29"/>
    <w:rsid w:val="008468B3"/>
    <w:rsid w:val="00847A54"/>
    <w:rsid w:val="008507FA"/>
    <w:rsid w:val="008508D7"/>
    <w:rsid w:val="00850D23"/>
    <w:rsid w:val="00850D6F"/>
    <w:rsid w:val="008510D1"/>
    <w:rsid w:val="0085113B"/>
    <w:rsid w:val="0085171E"/>
    <w:rsid w:val="008518A6"/>
    <w:rsid w:val="00851991"/>
    <w:rsid w:val="00851B60"/>
    <w:rsid w:val="00851CAD"/>
    <w:rsid w:val="0085205A"/>
    <w:rsid w:val="0085210D"/>
    <w:rsid w:val="00852217"/>
    <w:rsid w:val="0085268A"/>
    <w:rsid w:val="008527CD"/>
    <w:rsid w:val="008527EC"/>
    <w:rsid w:val="0085297A"/>
    <w:rsid w:val="00852AC8"/>
    <w:rsid w:val="00852BD8"/>
    <w:rsid w:val="00852F33"/>
    <w:rsid w:val="0085372A"/>
    <w:rsid w:val="008538D3"/>
    <w:rsid w:val="00853B12"/>
    <w:rsid w:val="00853E88"/>
    <w:rsid w:val="0085484A"/>
    <w:rsid w:val="00854AC7"/>
    <w:rsid w:val="00854C8C"/>
    <w:rsid w:val="00854C91"/>
    <w:rsid w:val="00855049"/>
    <w:rsid w:val="00855304"/>
    <w:rsid w:val="00855431"/>
    <w:rsid w:val="00855612"/>
    <w:rsid w:val="0085568C"/>
    <w:rsid w:val="008556F9"/>
    <w:rsid w:val="0085579F"/>
    <w:rsid w:val="00855DAA"/>
    <w:rsid w:val="00855F67"/>
    <w:rsid w:val="00856173"/>
    <w:rsid w:val="008562CB"/>
    <w:rsid w:val="008565B3"/>
    <w:rsid w:val="00857710"/>
    <w:rsid w:val="008577D9"/>
    <w:rsid w:val="00857B69"/>
    <w:rsid w:val="00857D49"/>
    <w:rsid w:val="00860047"/>
    <w:rsid w:val="00860253"/>
    <w:rsid w:val="008604F7"/>
    <w:rsid w:val="00860689"/>
    <w:rsid w:val="00860E7C"/>
    <w:rsid w:val="008616B9"/>
    <w:rsid w:val="00861D41"/>
    <w:rsid w:val="00861EB7"/>
    <w:rsid w:val="0086231E"/>
    <w:rsid w:val="008625AB"/>
    <w:rsid w:val="00862929"/>
    <w:rsid w:val="00862C15"/>
    <w:rsid w:val="00863AAE"/>
    <w:rsid w:val="00863EDD"/>
    <w:rsid w:val="0086430F"/>
    <w:rsid w:val="00864469"/>
    <w:rsid w:val="00864AF5"/>
    <w:rsid w:val="0086567A"/>
    <w:rsid w:val="0086609C"/>
    <w:rsid w:val="008661E2"/>
    <w:rsid w:val="008662CF"/>
    <w:rsid w:val="0086681B"/>
    <w:rsid w:val="00866F8B"/>
    <w:rsid w:val="00867002"/>
    <w:rsid w:val="00867190"/>
    <w:rsid w:val="00867688"/>
    <w:rsid w:val="008679BE"/>
    <w:rsid w:val="00867FB0"/>
    <w:rsid w:val="00870AAF"/>
    <w:rsid w:val="00870B5D"/>
    <w:rsid w:val="008719DC"/>
    <w:rsid w:val="00871AEA"/>
    <w:rsid w:val="00871F0F"/>
    <w:rsid w:val="0087231D"/>
    <w:rsid w:val="008726E4"/>
    <w:rsid w:val="00872CF2"/>
    <w:rsid w:val="00873042"/>
    <w:rsid w:val="008730F0"/>
    <w:rsid w:val="00873709"/>
    <w:rsid w:val="0087380C"/>
    <w:rsid w:val="00873E26"/>
    <w:rsid w:val="00873EA7"/>
    <w:rsid w:val="00874071"/>
    <w:rsid w:val="0087471F"/>
    <w:rsid w:val="0087478C"/>
    <w:rsid w:val="00874BB6"/>
    <w:rsid w:val="00874DF8"/>
    <w:rsid w:val="00875114"/>
    <w:rsid w:val="00875643"/>
    <w:rsid w:val="008759E8"/>
    <w:rsid w:val="00875B35"/>
    <w:rsid w:val="00875B90"/>
    <w:rsid w:val="00875BE8"/>
    <w:rsid w:val="0087679D"/>
    <w:rsid w:val="00876882"/>
    <w:rsid w:val="00876CC7"/>
    <w:rsid w:val="00877424"/>
    <w:rsid w:val="00877762"/>
    <w:rsid w:val="008777AA"/>
    <w:rsid w:val="00877D21"/>
    <w:rsid w:val="00877D80"/>
    <w:rsid w:val="0088018D"/>
    <w:rsid w:val="00880299"/>
    <w:rsid w:val="00880301"/>
    <w:rsid w:val="00880512"/>
    <w:rsid w:val="00880739"/>
    <w:rsid w:val="0088137E"/>
    <w:rsid w:val="00881C35"/>
    <w:rsid w:val="00882777"/>
    <w:rsid w:val="00882CA9"/>
    <w:rsid w:val="00883608"/>
    <w:rsid w:val="008845F3"/>
    <w:rsid w:val="008847CF"/>
    <w:rsid w:val="008849CD"/>
    <w:rsid w:val="00884A4B"/>
    <w:rsid w:val="008850D0"/>
    <w:rsid w:val="008851C7"/>
    <w:rsid w:val="008855F6"/>
    <w:rsid w:val="008857AF"/>
    <w:rsid w:val="00885ADA"/>
    <w:rsid w:val="00885B33"/>
    <w:rsid w:val="00885F62"/>
    <w:rsid w:val="00886982"/>
    <w:rsid w:val="00886EBD"/>
    <w:rsid w:val="008901AB"/>
    <w:rsid w:val="0089073E"/>
    <w:rsid w:val="00890FFB"/>
    <w:rsid w:val="00891519"/>
    <w:rsid w:val="00891EB2"/>
    <w:rsid w:val="008921CD"/>
    <w:rsid w:val="008930CE"/>
    <w:rsid w:val="00893330"/>
    <w:rsid w:val="0089344E"/>
    <w:rsid w:val="00893648"/>
    <w:rsid w:val="0089414F"/>
    <w:rsid w:val="00895BCE"/>
    <w:rsid w:val="00895C65"/>
    <w:rsid w:val="008962A1"/>
    <w:rsid w:val="008963D7"/>
    <w:rsid w:val="00896907"/>
    <w:rsid w:val="00896FDB"/>
    <w:rsid w:val="00897310"/>
    <w:rsid w:val="00897B94"/>
    <w:rsid w:val="00897C8E"/>
    <w:rsid w:val="008A0050"/>
    <w:rsid w:val="008A0317"/>
    <w:rsid w:val="008A06CA"/>
    <w:rsid w:val="008A0AA5"/>
    <w:rsid w:val="008A0B71"/>
    <w:rsid w:val="008A1214"/>
    <w:rsid w:val="008A136D"/>
    <w:rsid w:val="008A15B0"/>
    <w:rsid w:val="008A1DA4"/>
    <w:rsid w:val="008A1E69"/>
    <w:rsid w:val="008A1ED5"/>
    <w:rsid w:val="008A20E0"/>
    <w:rsid w:val="008A24A1"/>
    <w:rsid w:val="008A24CC"/>
    <w:rsid w:val="008A258C"/>
    <w:rsid w:val="008A2B71"/>
    <w:rsid w:val="008A2B86"/>
    <w:rsid w:val="008A2CED"/>
    <w:rsid w:val="008A2E99"/>
    <w:rsid w:val="008A3031"/>
    <w:rsid w:val="008A30D8"/>
    <w:rsid w:val="008A32C8"/>
    <w:rsid w:val="008A33D6"/>
    <w:rsid w:val="008A36F6"/>
    <w:rsid w:val="008A3915"/>
    <w:rsid w:val="008A3F1B"/>
    <w:rsid w:val="008A4678"/>
    <w:rsid w:val="008A473B"/>
    <w:rsid w:val="008A4CD9"/>
    <w:rsid w:val="008A5093"/>
    <w:rsid w:val="008A5FCA"/>
    <w:rsid w:val="008A61D7"/>
    <w:rsid w:val="008A6BEF"/>
    <w:rsid w:val="008A6C2A"/>
    <w:rsid w:val="008A6E55"/>
    <w:rsid w:val="008A6E5C"/>
    <w:rsid w:val="008A6EC6"/>
    <w:rsid w:val="008A71B8"/>
    <w:rsid w:val="008A71ED"/>
    <w:rsid w:val="008A7FB4"/>
    <w:rsid w:val="008B0137"/>
    <w:rsid w:val="008B0341"/>
    <w:rsid w:val="008B0660"/>
    <w:rsid w:val="008B0700"/>
    <w:rsid w:val="008B0962"/>
    <w:rsid w:val="008B09BD"/>
    <w:rsid w:val="008B0EA2"/>
    <w:rsid w:val="008B0F19"/>
    <w:rsid w:val="008B0F2F"/>
    <w:rsid w:val="008B15BA"/>
    <w:rsid w:val="008B1794"/>
    <w:rsid w:val="008B1A50"/>
    <w:rsid w:val="008B1D0C"/>
    <w:rsid w:val="008B293A"/>
    <w:rsid w:val="008B3138"/>
    <w:rsid w:val="008B3976"/>
    <w:rsid w:val="008B3A89"/>
    <w:rsid w:val="008B4364"/>
    <w:rsid w:val="008B453C"/>
    <w:rsid w:val="008B4C1C"/>
    <w:rsid w:val="008B4E80"/>
    <w:rsid w:val="008B5AC2"/>
    <w:rsid w:val="008B5BE1"/>
    <w:rsid w:val="008B5CD0"/>
    <w:rsid w:val="008B5DC8"/>
    <w:rsid w:val="008B5F7E"/>
    <w:rsid w:val="008B61EA"/>
    <w:rsid w:val="008B64AD"/>
    <w:rsid w:val="008B650C"/>
    <w:rsid w:val="008B66A0"/>
    <w:rsid w:val="008B67DF"/>
    <w:rsid w:val="008B686D"/>
    <w:rsid w:val="008B6CB5"/>
    <w:rsid w:val="008B6DAC"/>
    <w:rsid w:val="008B7703"/>
    <w:rsid w:val="008B7AB1"/>
    <w:rsid w:val="008B7ED6"/>
    <w:rsid w:val="008C02BC"/>
    <w:rsid w:val="008C06EB"/>
    <w:rsid w:val="008C0724"/>
    <w:rsid w:val="008C0952"/>
    <w:rsid w:val="008C096B"/>
    <w:rsid w:val="008C1A09"/>
    <w:rsid w:val="008C1A71"/>
    <w:rsid w:val="008C1D19"/>
    <w:rsid w:val="008C1F5B"/>
    <w:rsid w:val="008C1FDE"/>
    <w:rsid w:val="008C2639"/>
    <w:rsid w:val="008C26D7"/>
    <w:rsid w:val="008C2719"/>
    <w:rsid w:val="008C27C5"/>
    <w:rsid w:val="008C2852"/>
    <w:rsid w:val="008C2A79"/>
    <w:rsid w:val="008C2BCA"/>
    <w:rsid w:val="008C2C05"/>
    <w:rsid w:val="008C3E75"/>
    <w:rsid w:val="008C3F48"/>
    <w:rsid w:val="008C4019"/>
    <w:rsid w:val="008C4498"/>
    <w:rsid w:val="008C4585"/>
    <w:rsid w:val="008C47AF"/>
    <w:rsid w:val="008C51E0"/>
    <w:rsid w:val="008C5307"/>
    <w:rsid w:val="008C59FF"/>
    <w:rsid w:val="008C5A10"/>
    <w:rsid w:val="008C5B20"/>
    <w:rsid w:val="008C5C9F"/>
    <w:rsid w:val="008C5F27"/>
    <w:rsid w:val="008C5FA6"/>
    <w:rsid w:val="008C60EE"/>
    <w:rsid w:val="008C65A4"/>
    <w:rsid w:val="008C67C1"/>
    <w:rsid w:val="008C718A"/>
    <w:rsid w:val="008C740D"/>
    <w:rsid w:val="008D080E"/>
    <w:rsid w:val="008D0B78"/>
    <w:rsid w:val="008D0DC6"/>
    <w:rsid w:val="008D0DEC"/>
    <w:rsid w:val="008D1321"/>
    <w:rsid w:val="008D1380"/>
    <w:rsid w:val="008D174C"/>
    <w:rsid w:val="008D1DC4"/>
    <w:rsid w:val="008D1FC7"/>
    <w:rsid w:val="008D25FA"/>
    <w:rsid w:val="008D29FC"/>
    <w:rsid w:val="008D2B8F"/>
    <w:rsid w:val="008D2B99"/>
    <w:rsid w:val="008D2C89"/>
    <w:rsid w:val="008D33E6"/>
    <w:rsid w:val="008D35C9"/>
    <w:rsid w:val="008D3C7A"/>
    <w:rsid w:val="008D3E77"/>
    <w:rsid w:val="008D4332"/>
    <w:rsid w:val="008D4B75"/>
    <w:rsid w:val="008D4CBE"/>
    <w:rsid w:val="008D5080"/>
    <w:rsid w:val="008D5453"/>
    <w:rsid w:val="008D5A10"/>
    <w:rsid w:val="008D5DAD"/>
    <w:rsid w:val="008D5F1C"/>
    <w:rsid w:val="008D5F93"/>
    <w:rsid w:val="008D6082"/>
    <w:rsid w:val="008D6814"/>
    <w:rsid w:val="008D6893"/>
    <w:rsid w:val="008D6C86"/>
    <w:rsid w:val="008D78BC"/>
    <w:rsid w:val="008D7AD4"/>
    <w:rsid w:val="008D7DB5"/>
    <w:rsid w:val="008E0215"/>
    <w:rsid w:val="008E0336"/>
    <w:rsid w:val="008E086C"/>
    <w:rsid w:val="008E08B5"/>
    <w:rsid w:val="008E0AF0"/>
    <w:rsid w:val="008E1DCD"/>
    <w:rsid w:val="008E23D3"/>
    <w:rsid w:val="008E2E3C"/>
    <w:rsid w:val="008E3B90"/>
    <w:rsid w:val="008E4041"/>
    <w:rsid w:val="008E5093"/>
    <w:rsid w:val="008E5691"/>
    <w:rsid w:val="008E57B6"/>
    <w:rsid w:val="008E5C1D"/>
    <w:rsid w:val="008E6D37"/>
    <w:rsid w:val="008E7349"/>
    <w:rsid w:val="008E74A1"/>
    <w:rsid w:val="008E74D0"/>
    <w:rsid w:val="008E7550"/>
    <w:rsid w:val="008E76FB"/>
    <w:rsid w:val="008E7CBF"/>
    <w:rsid w:val="008E7F77"/>
    <w:rsid w:val="008F00FF"/>
    <w:rsid w:val="008F01F9"/>
    <w:rsid w:val="008F040E"/>
    <w:rsid w:val="008F09F9"/>
    <w:rsid w:val="008F1B27"/>
    <w:rsid w:val="008F251F"/>
    <w:rsid w:val="008F2555"/>
    <w:rsid w:val="008F274E"/>
    <w:rsid w:val="008F2953"/>
    <w:rsid w:val="008F2C55"/>
    <w:rsid w:val="008F342F"/>
    <w:rsid w:val="008F3771"/>
    <w:rsid w:val="008F3896"/>
    <w:rsid w:val="008F3940"/>
    <w:rsid w:val="008F45E3"/>
    <w:rsid w:val="008F4983"/>
    <w:rsid w:val="008F4F4D"/>
    <w:rsid w:val="008F571D"/>
    <w:rsid w:val="008F579B"/>
    <w:rsid w:val="008F5B39"/>
    <w:rsid w:val="008F5D95"/>
    <w:rsid w:val="008F6100"/>
    <w:rsid w:val="008F620F"/>
    <w:rsid w:val="008F62EA"/>
    <w:rsid w:val="008F631D"/>
    <w:rsid w:val="008F6F66"/>
    <w:rsid w:val="008F6FDC"/>
    <w:rsid w:val="008F778E"/>
    <w:rsid w:val="008F7AC3"/>
    <w:rsid w:val="008F7C12"/>
    <w:rsid w:val="008F7D03"/>
    <w:rsid w:val="008F7D91"/>
    <w:rsid w:val="008F7EC4"/>
    <w:rsid w:val="0090004F"/>
    <w:rsid w:val="009001FE"/>
    <w:rsid w:val="00900753"/>
    <w:rsid w:val="009009DE"/>
    <w:rsid w:val="00900A57"/>
    <w:rsid w:val="00900D43"/>
    <w:rsid w:val="00900EAD"/>
    <w:rsid w:val="0090101F"/>
    <w:rsid w:val="00901110"/>
    <w:rsid w:val="00901511"/>
    <w:rsid w:val="00901963"/>
    <w:rsid w:val="00901AA8"/>
    <w:rsid w:val="00901F38"/>
    <w:rsid w:val="0090248A"/>
    <w:rsid w:val="00902D76"/>
    <w:rsid w:val="00902F57"/>
    <w:rsid w:val="00903478"/>
    <w:rsid w:val="00903C54"/>
    <w:rsid w:val="00903E29"/>
    <w:rsid w:val="0090448D"/>
    <w:rsid w:val="009044B1"/>
    <w:rsid w:val="00904B80"/>
    <w:rsid w:val="00905094"/>
    <w:rsid w:val="0090535A"/>
    <w:rsid w:val="00905424"/>
    <w:rsid w:val="00905A3A"/>
    <w:rsid w:val="00906E92"/>
    <w:rsid w:val="00906EAD"/>
    <w:rsid w:val="0090727D"/>
    <w:rsid w:val="00907409"/>
    <w:rsid w:val="009075A5"/>
    <w:rsid w:val="0090763C"/>
    <w:rsid w:val="00907EE9"/>
    <w:rsid w:val="00907F44"/>
    <w:rsid w:val="00911355"/>
    <w:rsid w:val="009114CC"/>
    <w:rsid w:val="00911A06"/>
    <w:rsid w:val="00911E77"/>
    <w:rsid w:val="00911FFA"/>
    <w:rsid w:val="00912391"/>
    <w:rsid w:val="00912954"/>
    <w:rsid w:val="009133B1"/>
    <w:rsid w:val="0091365B"/>
    <w:rsid w:val="0091399C"/>
    <w:rsid w:val="00913B1C"/>
    <w:rsid w:val="00913BDD"/>
    <w:rsid w:val="00913F77"/>
    <w:rsid w:val="00913F86"/>
    <w:rsid w:val="009145F5"/>
    <w:rsid w:val="009147E2"/>
    <w:rsid w:val="00914D34"/>
    <w:rsid w:val="00914F4A"/>
    <w:rsid w:val="00915388"/>
    <w:rsid w:val="00915539"/>
    <w:rsid w:val="00915547"/>
    <w:rsid w:val="00915642"/>
    <w:rsid w:val="0091565A"/>
    <w:rsid w:val="00915768"/>
    <w:rsid w:val="00915A8E"/>
    <w:rsid w:val="00915EDA"/>
    <w:rsid w:val="009161FE"/>
    <w:rsid w:val="00916478"/>
    <w:rsid w:val="009164A0"/>
    <w:rsid w:val="0091692F"/>
    <w:rsid w:val="00916BCF"/>
    <w:rsid w:val="00916F22"/>
    <w:rsid w:val="0091742F"/>
    <w:rsid w:val="009175A7"/>
    <w:rsid w:val="00917605"/>
    <w:rsid w:val="00917AFC"/>
    <w:rsid w:val="009206E1"/>
    <w:rsid w:val="00921099"/>
    <w:rsid w:val="00921611"/>
    <w:rsid w:val="00921C04"/>
    <w:rsid w:val="009230CE"/>
    <w:rsid w:val="009232CF"/>
    <w:rsid w:val="009233E1"/>
    <w:rsid w:val="00923575"/>
    <w:rsid w:val="00923AC6"/>
    <w:rsid w:val="00924263"/>
    <w:rsid w:val="0092469B"/>
    <w:rsid w:val="0092521B"/>
    <w:rsid w:val="009252CD"/>
    <w:rsid w:val="00925376"/>
    <w:rsid w:val="0092603E"/>
    <w:rsid w:val="009261F0"/>
    <w:rsid w:val="00926463"/>
    <w:rsid w:val="009265FB"/>
    <w:rsid w:val="0092775D"/>
    <w:rsid w:val="009277BA"/>
    <w:rsid w:val="009278A8"/>
    <w:rsid w:val="009300F4"/>
    <w:rsid w:val="00930320"/>
    <w:rsid w:val="00930648"/>
    <w:rsid w:val="009307F2"/>
    <w:rsid w:val="00930916"/>
    <w:rsid w:val="00930AC8"/>
    <w:rsid w:val="00930CBC"/>
    <w:rsid w:val="00930E07"/>
    <w:rsid w:val="0093132F"/>
    <w:rsid w:val="009313EA"/>
    <w:rsid w:val="0093156A"/>
    <w:rsid w:val="00931678"/>
    <w:rsid w:val="00931687"/>
    <w:rsid w:val="00931B1B"/>
    <w:rsid w:val="00931B8A"/>
    <w:rsid w:val="00932368"/>
    <w:rsid w:val="00932537"/>
    <w:rsid w:val="009325AD"/>
    <w:rsid w:val="00932669"/>
    <w:rsid w:val="00932DEC"/>
    <w:rsid w:val="00932FC5"/>
    <w:rsid w:val="00933108"/>
    <w:rsid w:val="00933AF7"/>
    <w:rsid w:val="0093417E"/>
    <w:rsid w:val="00934662"/>
    <w:rsid w:val="00934947"/>
    <w:rsid w:val="00934BC2"/>
    <w:rsid w:val="00934C93"/>
    <w:rsid w:val="00934F7A"/>
    <w:rsid w:val="00935256"/>
    <w:rsid w:val="0093550E"/>
    <w:rsid w:val="00935630"/>
    <w:rsid w:val="00935C5D"/>
    <w:rsid w:val="00935DCB"/>
    <w:rsid w:val="00935DF3"/>
    <w:rsid w:val="00935E39"/>
    <w:rsid w:val="00935E99"/>
    <w:rsid w:val="00935EFA"/>
    <w:rsid w:val="0093648B"/>
    <w:rsid w:val="009372D9"/>
    <w:rsid w:val="009374BD"/>
    <w:rsid w:val="009377A1"/>
    <w:rsid w:val="009377C5"/>
    <w:rsid w:val="00937A97"/>
    <w:rsid w:val="00937AF5"/>
    <w:rsid w:val="00937B26"/>
    <w:rsid w:val="009403A6"/>
    <w:rsid w:val="00941231"/>
    <w:rsid w:val="0094138E"/>
    <w:rsid w:val="009414D4"/>
    <w:rsid w:val="009418DB"/>
    <w:rsid w:val="00941D58"/>
    <w:rsid w:val="00941DE5"/>
    <w:rsid w:val="00941E56"/>
    <w:rsid w:val="00941FA7"/>
    <w:rsid w:val="009422CB"/>
    <w:rsid w:val="00942777"/>
    <w:rsid w:val="00943008"/>
    <w:rsid w:val="0094323D"/>
    <w:rsid w:val="0094325B"/>
    <w:rsid w:val="009434DA"/>
    <w:rsid w:val="0094392F"/>
    <w:rsid w:val="00943E40"/>
    <w:rsid w:val="009440BD"/>
    <w:rsid w:val="00944292"/>
    <w:rsid w:val="00944A07"/>
    <w:rsid w:val="00944C95"/>
    <w:rsid w:val="00944F33"/>
    <w:rsid w:val="00944FA0"/>
    <w:rsid w:val="009452A6"/>
    <w:rsid w:val="0094547F"/>
    <w:rsid w:val="00945660"/>
    <w:rsid w:val="009457AA"/>
    <w:rsid w:val="00945AB9"/>
    <w:rsid w:val="00945ECE"/>
    <w:rsid w:val="0094622E"/>
    <w:rsid w:val="00946802"/>
    <w:rsid w:val="00946843"/>
    <w:rsid w:val="00946946"/>
    <w:rsid w:val="00946D8E"/>
    <w:rsid w:val="00947011"/>
    <w:rsid w:val="00947C0F"/>
    <w:rsid w:val="00950095"/>
    <w:rsid w:val="009503F1"/>
    <w:rsid w:val="00950440"/>
    <w:rsid w:val="00950A67"/>
    <w:rsid w:val="00950BB2"/>
    <w:rsid w:val="009511FB"/>
    <w:rsid w:val="00951CBC"/>
    <w:rsid w:val="00951D8B"/>
    <w:rsid w:val="00951E92"/>
    <w:rsid w:val="009521B0"/>
    <w:rsid w:val="0095293A"/>
    <w:rsid w:val="009529FE"/>
    <w:rsid w:val="00952B4C"/>
    <w:rsid w:val="00952EDC"/>
    <w:rsid w:val="00953014"/>
    <w:rsid w:val="0095301F"/>
    <w:rsid w:val="009531F3"/>
    <w:rsid w:val="0095344B"/>
    <w:rsid w:val="009543B8"/>
    <w:rsid w:val="009549AB"/>
    <w:rsid w:val="00955854"/>
    <w:rsid w:val="00955950"/>
    <w:rsid w:val="00955C5D"/>
    <w:rsid w:val="00956045"/>
    <w:rsid w:val="0095634D"/>
    <w:rsid w:val="0095662B"/>
    <w:rsid w:val="009567A7"/>
    <w:rsid w:val="0095681E"/>
    <w:rsid w:val="00956F50"/>
    <w:rsid w:val="0095779F"/>
    <w:rsid w:val="00960068"/>
    <w:rsid w:val="00960139"/>
    <w:rsid w:val="00960971"/>
    <w:rsid w:val="00960E7F"/>
    <w:rsid w:val="00961739"/>
    <w:rsid w:val="00961DE7"/>
    <w:rsid w:val="00961F73"/>
    <w:rsid w:val="009621F6"/>
    <w:rsid w:val="00962593"/>
    <w:rsid w:val="00962947"/>
    <w:rsid w:val="00962C86"/>
    <w:rsid w:val="009631EE"/>
    <w:rsid w:val="009634FF"/>
    <w:rsid w:val="00963678"/>
    <w:rsid w:val="009637A5"/>
    <w:rsid w:val="00963F32"/>
    <w:rsid w:val="00964315"/>
    <w:rsid w:val="0096441A"/>
    <w:rsid w:val="0096458C"/>
    <w:rsid w:val="00964B61"/>
    <w:rsid w:val="00964C30"/>
    <w:rsid w:val="00964C74"/>
    <w:rsid w:val="00964E43"/>
    <w:rsid w:val="00964FAA"/>
    <w:rsid w:val="00964FE3"/>
    <w:rsid w:val="0096574C"/>
    <w:rsid w:val="009659DC"/>
    <w:rsid w:val="00965ABF"/>
    <w:rsid w:val="009662CA"/>
    <w:rsid w:val="009669AE"/>
    <w:rsid w:val="00966AE5"/>
    <w:rsid w:val="00966BAF"/>
    <w:rsid w:val="009670DA"/>
    <w:rsid w:val="0096718E"/>
    <w:rsid w:val="0096719C"/>
    <w:rsid w:val="009673A7"/>
    <w:rsid w:val="00967D5E"/>
    <w:rsid w:val="00967F01"/>
    <w:rsid w:val="009701D9"/>
    <w:rsid w:val="009703A4"/>
    <w:rsid w:val="009704CA"/>
    <w:rsid w:val="009706D4"/>
    <w:rsid w:val="00970794"/>
    <w:rsid w:val="00970931"/>
    <w:rsid w:val="00970B4D"/>
    <w:rsid w:val="00970B5A"/>
    <w:rsid w:val="00971208"/>
    <w:rsid w:val="0097154C"/>
    <w:rsid w:val="00971CB0"/>
    <w:rsid w:val="00971D50"/>
    <w:rsid w:val="009722E1"/>
    <w:rsid w:val="00972633"/>
    <w:rsid w:val="009728ED"/>
    <w:rsid w:val="00972C90"/>
    <w:rsid w:val="00972E0A"/>
    <w:rsid w:val="00972EC0"/>
    <w:rsid w:val="00973568"/>
    <w:rsid w:val="00973CEA"/>
    <w:rsid w:val="0097412F"/>
    <w:rsid w:val="00974C07"/>
    <w:rsid w:val="00974DF8"/>
    <w:rsid w:val="0097566A"/>
    <w:rsid w:val="0097580F"/>
    <w:rsid w:val="00975E3F"/>
    <w:rsid w:val="00976553"/>
    <w:rsid w:val="00976604"/>
    <w:rsid w:val="00976790"/>
    <w:rsid w:val="00976E90"/>
    <w:rsid w:val="00976F21"/>
    <w:rsid w:val="009774FE"/>
    <w:rsid w:val="00977CA0"/>
    <w:rsid w:val="00977CF0"/>
    <w:rsid w:val="00980213"/>
    <w:rsid w:val="0098038C"/>
    <w:rsid w:val="00980457"/>
    <w:rsid w:val="00980722"/>
    <w:rsid w:val="00980AC1"/>
    <w:rsid w:val="00980C18"/>
    <w:rsid w:val="00980F96"/>
    <w:rsid w:val="00981A2B"/>
    <w:rsid w:val="00981E2F"/>
    <w:rsid w:val="00981EFF"/>
    <w:rsid w:val="00982A85"/>
    <w:rsid w:val="00983AE6"/>
    <w:rsid w:val="0098403C"/>
    <w:rsid w:val="00984154"/>
    <w:rsid w:val="0098429F"/>
    <w:rsid w:val="00984432"/>
    <w:rsid w:val="00984FDC"/>
    <w:rsid w:val="009858EE"/>
    <w:rsid w:val="009859F0"/>
    <w:rsid w:val="00986832"/>
    <w:rsid w:val="0098753E"/>
    <w:rsid w:val="0098758C"/>
    <w:rsid w:val="0098771D"/>
    <w:rsid w:val="0098772E"/>
    <w:rsid w:val="009877D2"/>
    <w:rsid w:val="0099042E"/>
    <w:rsid w:val="009904C7"/>
    <w:rsid w:val="0099088E"/>
    <w:rsid w:val="009908E4"/>
    <w:rsid w:val="00990C42"/>
    <w:rsid w:val="00990DC7"/>
    <w:rsid w:val="00990E8C"/>
    <w:rsid w:val="00990EE3"/>
    <w:rsid w:val="0099102E"/>
    <w:rsid w:val="009911DB"/>
    <w:rsid w:val="009912F7"/>
    <w:rsid w:val="00991D15"/>
    <w:rsid w:val="00991D29"/>
    <w:rsid w:val="00991E30"/>
    <w:rsid w:val="00991E5A"/>
    <w:rsid w:val="00992788"/>
    <w:rsid w:val="00993732"/>
    <w:rsid w:val="0099389A"/>
    <w:rsid w:val="00994013"/>
    <w:rsid w:val="009940DD"/>
    <w:rsid w:val="00994B84"/>
    <w:rsid w:val="00994F26"/>
    <w:rsid w:val="0099527A"/>
    <w:rsid w:val="00995879"/>
    <w:rsid w:val="00996F14"/>
    <w:rsid w:val="009975DA"/>
    <w:rsid w:val="0099773E"/>
    <w:rsid w:val="00997814"/>
    <w:rsid w:val="00997DC5"/>
    <w:rsid w:val="009A0159"/>
    <w:rsid w:val="009A024A"/>
    <w:rsid w:val="009A031C"/>
    <w:rsid w:val="009A03FD"/>
    <w:rsid w:val="009A11CE"/>
    <w:rsid w:val="009A136E"/>
    <w:rsid w:val="009A1698"/>
    <w:rsid w:val="009A1740"/>
    <w:rsid w:val="009A1799"/>
    <w:rsid w:val="009A23D2"/>
    <w:rsid w:val="009A2547"/>
    <w:rsid w:val="009A2EEF"/>
    <w:rsid w:val="009A3DEE"/>
    <w:rsid w:val="009A40C7"/>
    <w:rsid w:val="009A41F1"/>
    <w:rsid w:val="009A44AF"/>
    <w:rsid w:val="009A4648"/>
    <w:rsid w:val="009A5BB1"/>
    <w:rsid w:val="009A5C3C"/>
    <w:rsid w:val="009A5DC9"/>
    <w:rsid w:val="009A68B8"/>
    <w:rsid w:val="009A6AC2"/>
    <w:rsid w:val="009A7792"/>
    <w:rsid w:val="009A79B6"/>
    <w:rsid w:val="009A7BD4"/>
    <w:rsid w:val="009A7D35"/>
    <w:rsid w:val="009B0002"/>
    <w:rsid w:val="009B01E9"/>
    <w:rsid w:val="009B0580"/>
    <w:rsid w:val="009B0591"/>
    <w:rsid w:val="009B0623"/>
    <w:rsid w:val="009B0A66"/>
    <w:rsid w:val="009B1056"/>
    <w:rsid w:val="009B1145"/>
    <w:rsid w:val="009B117B"/>
    <w:rsid w:val="009B176C"/>
    <w:rsid w:val="009B18AF"/>
    <w:rsid w:val="009B2150"/>
    <w:rsid w:val="009B231B"/>
    <w:rsid w:val="009B2419"/>
    <w:rsid w:val="009B24B6"/>
    <w:rsid w:val="009B267F"/>
    <w:rsid w:val="009B2850"/>
    <w:rsid w:val="009B2BA4"/>
    <w:rsid w:val="009B2ECD"/>
    <w:rsid w:val="009B312B"/>
    <w:rsid w:val="009B3328"/>
    <w:rsid w:val="009B370C"/>
    <w:rsid w:val="009B3A7B"/>
    <w:rsid w:val="009B3B50"/>
    <w:rsid w:val="009B3DDE"/>
    <w:rsid w:val="009B4EF0"/>
    <w:rsid w:val="009B5278"/>
    <w:rsid w:val="009B545B"/>
    <w:rsid w:val="009B6498"/>
    <w:rsid w:val="009B6A08"/>
    <w:rsid w:val="009B6FF8"/>
    <w:rsid w:val="009B7194"/>
    <w:rsid w:val="009B7A50"/>
    <w:rsid w:val="009B7B54"/>
    <w:rsid w:val="009C0371"/>
    <w:rsid w:val="009C048E"/>
    <w:rsid w:val="009C06E8"/>
    <w:rsid w:val="009C0A58"/>
    <w:rsid w:val="009C0AAF"/>
    <w:rsid w:val="009C0C27"/>
    <w:rsid w:val="009C1792"/>
    <w:rsid w:val="009C1B39"/>
    <w:rsid w:val="009C1C42"/>
    <w:rsid w:val="009C1DF1"/>
    <w:rsid w:val="009C234D"/>
    <w:rsid w:val="009C23F8"/>
    <w:rsid w:val="009C26C4"/>
    <w:rsid w:val="009C282B"/>
    <w:rsid w:val="009C28C3"/>
    <w:rsid w:val="009C3FDB"/>
    <w:rsid w:val="009C4162"/>
    <w:rsid w:val="009C4C7E"/>
    <w:rsid w:val="009C4CC0"/>
    <w:rsid w:val="009C59EA"/>
    <w:rsid w:val="009C5C2C"/>
    <w:rsid w:val="009C62F8"/>
    <w:rsid w:val="009C65D1"/>
    <w:rsid w:val="009C742E"/>
    <w:rsid w:val="009C7B62"/>
    <w:rsid w:val="009C7BCB"/>
    <w:rsid w:val="009D086E"/>
    <w:rsid w:val="009D08FB"/>
    <w:rsid w:val="009D0B61"/>
    <w:rsid w:val="009D0EA5"/>
    <w:rsid w:val="009D10CB"/>
    <w:rsid w:val="009D1AA6"/>
    <w:rsid w:val="009D243B"/>
    <w:rsid w:val="009D2590"/>
    <w:rsid w:val="009D297F"/>
    <w:rsid w:val="009D2B0D"/>
    <w:rsid w:val="009D2D95"/>
    <w:rsid w:val="009D2EAF"/>
    <w:rsid w:val="009D38A2"/>
    <w:rsid w:val="009D38D0"/>
    <w:rsid w:val="009D3E21"/>
    <w:rsid w:val="009D3EF8"/>
    <w:rsid w:val="009D3FDE"/>
    <w:rsid w:val="009D46DC"/>
    <w:rsid w:val="009D49DB"/>
    <w:rsid w:val="009D4CF6"/>
    <w:rsid w:val="009D4FF8"/>
    <w:rsid w:val="009D5235"/>
    <w:rsid w:val="009D5A7C"/>
    <w:rsid w:val="009D5FFA"/>
    <w:rsid w:val="009D60B3"/>
    <w:rsid w:val="009D6185"/>
    <w:rsid w:val="009D6980"/>
    <w:rsid w:val="009D6A3B"/>
    <w:rsid w:val="009D71D5"/>
    <w:rsid w:val="009D72D6"/>
    <w:rsid w:val="009D7325"/>
    <w:rsid w:val="009D7348"/>
    <w:rsid w:val="009D73BF"/>
    <w:rsid w:val="009D74D8"/>
    <w:rsid w:val="009E00EE"/>
    <w:rsid w:val="009E0396"/>
    <w:rsid w:val="009E0438"/>
    <w:rsid w:val="009E04F7"/>
    <w:rsid w:val="009E0795"/>
    <w:rsid w:val="009E08C2"/>
    <w:rsid w:val="009E0BE0"/>
    <w:rsid w:val="009E0C83"/>
    <w:rsid w:val="009E0C9A"/>
    <w:rsid w:val="009E0CBE"/>
    <w:rsid w:val="009E1C61"/>
    <w:rsid w:val="009E1E5D"/>
    <w:rsid w:val="009E233C"/>
    <w:rsid w:val="009E2632"/>
    <w:rsid w:val="009E26FE"/>
    <w:rsid w:val="009E2985"/>
    <w:rsid w:val="009E2E19"/>
    <w:rsid w:val="009E30AC"/>
    <w:rsid w:val="009E316E"/>
    <w:rsid w:val="009E3565"/>
    <w:rsid w:val="009E3797"/>
    <w:rsid w:val="009E3EE1"/>
    <w:rsid w:val="009E41E1"/>
    <w:rsid w:val="009E4A96"/>
    <w:rsid w:val="009E5082"/>
    <w:rsid w:val="009E51D9"/>
    <w:rsid w:val="009E5573"/>
    <w:rsid w:val="009E5B96"/>
    <w:rsid w:val="009E650F"/>
    <w:rsid w:val="009E6730"/>
    <w:rsid w:val="009E6BC9"/>
    <w:rsid w:val="009E7132"/>
    <w:rsid w:val="009E7911"/>
    <w:rsid w:val="009E7AAA"/>
    <w:rsid w:val="009F0251"/>
    <w:rsid w:val="009F036B"/>
    <w:rsid w:val="009F053A"/>
    <w:rsid w:val="009F0F10"/>
    <w:rsid w:val="009F101F"/>
    <w:rsid w:val="009F14BC"/>
    <w:rsid w:val="009F18CB"/>
    <w:rsid w:val="009F1CD1"/>
    <w:rsid w:val="009F1CDB"/>
    <w:rsid w:val="009F1CE4"/>
    <w:rsid w:val="009F21AA"/>
    <w:rsid w:val="009F255D"/>
    <w:rsid w:val="009F26A6"/>
    <w:rsid w:val="009F281A"/>
    <w:rsid w:val="009F2C1D"/>
    <w:rsid w:val="009F31FF"/>
    <w:rsid w:val="009F3232"/>
    <w:rsid w:val="009F357C"/>
    <w:rsid w:val="009F37E1"/>
    <w:rsid w:val="009F3983"/>
    <w:rsid w:val="009F3A78"/>
    <w:rsid w:val="009F3FB8"/>
    <w:rsid w:val="009F47D0"/>
    <w:rsid w:val="009F4B87"/>
    <w:rsid w:val="009F5774"/>
    <w:rsid w:val="009F57C6"/>
    <w:rsid w:val="009F5AB6"/>
    <w:rsid w:val="009F60E4"/>
    <w:rsid w:val="009F6194"/>
    <w:rsid w:val="009F6E81"/>
    <w:rsid w:val="009F6F6C"/>
    <w:rsid w:val="009F71B8"/>
    <w:rsid w:val="009F71C2"/>
    <w:rsid w:val="009F72F0"/>
    <w:rsid w:val="009F778F"/>
    <w:rsid w:val="00A000E4"/>
    <w:rsid w:val="00A0039F"/>
    <w:rsid w:val="00A00A45"/>
    <w:rsid w:val="00A00EDC"/>
    <w:rsid w:val="00A01282"/>
    <w:rsid w:val="00A012EC"/>
    <w:rsid w:val="00A01410"/>
    <w:rsid w:val="00A016FC"/>
    <w:rsid w:val="00A01880"/>
    <w:rsid w:val="00A0209D"/>
    <w:rsid w:val="00A02EFD"/>
    <w:rsid w:val="00A0371E"/>
    <w:rsid w:val="00A0392E"/>
    <w:rsid w:val="00A042FB"/>
    <w:rsid w:val="00A0482A"/>
    <w:rsid w:val="00A04834"/>
    <w:rsid w:val="00A05373"/>
    <w:rsid w:val="00A0581C"/>
    <w:rsid w:val="00A0586B"/>
    <w:rsid w:val="00A05BD8"/>
    <w:rsid w:val="00A05CB7"/>
    <w:rsid w:val="00A0650A"/>
    <w:rsid w:val="00A06762"/>
    <w:rsid w:val="00A068A1"/>
    <w:rsid w:val="00A06DA9"/>
    <w:rsid w:val="00A06E77"/>
    <w:rsid w:val="00A0736C"/>
    <w:rsid w:val="00A07511"/>
    <w:rsid w:val="00A07B27"/>
    <w:rsid w:val="00A07D3D"/>
    <w:rsid w:val="00A1001C"/>
    <w:rsid w:val="00A102B7"/>
    <w:rsid w:val="00A1034C"/>
    <w:rsid w:val="00A10A36"/>
    <w:rsid w:val="00A10AB3"/>
    <w:rsid w:val="00A10D93"/>
    <w:rsid w:val="00A1193A"/>
    <w:rsid w:val="00A11C74"/>
    <w:rsid w:val="00A11FA4"/>
    <w:rsid w:val="00A1236A"/>
    <w:rsid w:val="00A12976"/>
    <w:rsid w:val="00A129D6"/>
    <w:rsid w:val="00A12B80"/>
    <w:rsid w:val="00A12E6D"/>
    <w:rsid w:val="00A12F90"/>
    <w:rsid w:val="00A132E5"/>
    <w:rsid w:val="00A13442"/>
    <w:rsid w:val="00A1350C"/>
    <w:rsid w:val="00A135DB"/>
    <w:rsid w:val="00A139CB"/>
    <w:rsid w:val="00A1431C"/>
    <w:rsid w:val="00A14366"/>
    <w:rsid w:val="00A1498D"/>
    <w:rsid w:val="00A14A70"/>
    <w:rsid w:val="00A14DA8"/>
    <w:rsid w:val="00A15A07"/>
    <w:rsid w:val="00A16211"/>
    <w:rsid w:val="00A16224"/>
    <w:rsid w:val="00A16435"/>
    <w:rsid w:val="00A2104B"/>
    <w:rsid w:val="00A21103"/>
    <w:rsid w:val="00A211BE"/>
    <w:rsid w:val="00A21659"/>
    <w:rsid w:val="00A217F5"/>
    <w:rsid w:val="00A21BF1"/>
    <w:rsid w:val="00A221F9"/>
    <w:rsid w:val="00A22F63"/>
    <w:rsid w:val="00A2374F"/>
    <w:rsid w:val="00A24133"/>
    <w:rsid w:val="00A249A2"/>
    <w:rsid w:val="00A24AFD"/>
    <w:rsid w:val="00A25807"/>
    <w:rsid w:val="00A259CE"/>
    <w:rsid w:val="00A25C8B"/>
    <w:rsid w:val="00A25E9C"/>
    <w:rsid w:val="00A262FA"/>
    <w:rsid w:val="00A2637B"/>
    <w:rsid w:val="00A26909"/>
    <w:rsid w:val="00A26952"/>
    <w:rsid w:val="00A26C73"/>
    <w:rsid w:val="00A26F80"/>
    <w:rsid w:val="00A27389"/>
    <w:rsid w:val="00A273F8"/>
    <w:rsid w:val="00A2780A"/>
    <w:rsid w:val="00A27B30"/>
    <w:rsid w:val="00A27D7B"/>
    <w:rsid w:val="00A3018E"/>
    <w:rsid w:val="00A301E8"/>
    <w:rsid w:val="00A303D2"/>
    <w:rsid w:val="00A3066D"/>
    <w:rsid w:val="00A30D08"/>
    <w:rsid w:val="00A30E86"/>
    <w:rsid w:val="00A3115F"/>
    <w:rsid w:val="00A31A3C"/>
    <w:rsid w:val="00A31F52"/>
    <w:rsid w:val="00A32090"/>
    <w:rsid w:val="00A3214C"/>
    <w:rsid w:val="00A328B2"/>
    <w:rsid w:val="00A32B85"/>
    <w:rsid w:val="00A32F00"/>
    <w:rsid w:val="00A33B23"/>
    <w:rsid w:val="00A33C2D"/>
    <w:rsid w:val="00A33CA9"/>
    <w:rsid w:val="00A33E5B"/>
    <w:rsid w:val="00A342C1"/>
    <w:rsid w:val="00A3439A"/>
    <w:rsid w:val="00A347CF"/>
    <w:rsid w:val="00A34869"/>
    <w:rsid w:val="00A35717"/>
    <w:rsid w:val="00A35925"/>
    <w:rsid w:val="00A35DDE"/>
    <w:rsid w:val="00A363CE"/>
    <w:rsid w:val="00A364A2"/>
    <w:rsid w:val="00A36B90"/>
    <w:rsid w:val="00A36CD0"/>
    <w:rsid w:val="00A36F61"/>
    <w:rsid w:val="00A3707C"/>
    <w:rsid w:val="00A373CD"/>
    <w:rsid w:val="00A37401"/>
    <w:rsid w:val="00A376A8"/>
    <w:rsid w:val="00A37838"/>
    <w:rsid w:val="00A3796C"/>
    <w:rsid w:val="00A40A38"/>
    <w:rsid w:val="00A40F31"/>
    <w:rsid w:val="00A4140A"/>
    <w:rsid w:val="00A41600"/>
    <w:rsid w:val="00A41800"/>
    <w:rsid w:val="00A4220C"/>
    <w:rsid w:val="00A422CD"/>
    <w:rsid w:val="00A4374E"/>
    <w:rsid w:val="00A43DC6"/>
    <w:rsid w:val="00A43DFE"/>
    <w:rsid w:val="00A43E8B"/>
    <w:rsid w:val="00A440A5"/>
    <w:rsid w:val="00A442E8"/>
    <w:rsid w:val="00A443AD"/>
    <w:rsid w:val="00A44695"/>
    <w:rsid w:val="00A44892"/>
    <w:rsid w:val="00A45D67"/>
    <w:rsid w:val="00A46644"/>
    <w:rsid w:val="00A466C7"/>
    <w:rsid w:val="00A46B0C"/>
    <w:rsid w:val="00A46B66"/>
    <w:rsid w:val="00A4757B"/>
    <w:rsid w:val="00A475CF"/>
    <w:rsid w:val="00A477E5"/>
    <w:rsid w:val="00A478A4"/>
    <w:rsid w:val="00A479CE"/>
    <w:rsid w:val="00A50422"/>
    <w:rsid w:val="00A5064E"/>
    <w:rsid w:val="00A50F6D"/>
    <w:rsid w:val="00A5119E"/>
    <w:rsid w:val="00A51244"/>
    <w:rsid w:val="00A512AE"/>
    <w:rsid w:val="00A515FB"/>
    <w:rsid w:val="00A518BE"/>
    <w:rsid w:val="00A51917"/>
    <w:rsid w:val="00A519CD"/>
    <w:rsid w:val="00A51A32"/>
    <w:rsid w:val="00A51A6B"/>
    <w:rsid w:val="00A51CB5"/>
    <w:rsid w:val="00A51F01"/>
    <w:rsid w:val="00A51FA7"/>
    <w:rsid w:val="00A5235D"/>
    <w:rsid w:val="00A52502"/>
    <w:rsid w:val="00A52702"/>
    <w:rsid w:val="00A53433"/>
    <w:rsid w:val="00A535EF"/>
    <w:rsid w:val="00A53A18"/>
    <w:rsid w:val="00A53A9E"/>
    <w:rsid w:val="00A53CC7"/>
    <w:rsid w:val="00A53D99"/>
    <w:rsid w:val="00A54452"/>
    <w:rsid w:val="00A544B2"/>
    <w:rsid w:val="00A544B3"/>
    <w:rsid w:val="00A5513A"/>
    <w:rsid w:val="00A551C6"/>
    <w:rsid w:val="00A55810"/>
    <w:rsid w:val="00A55839"/>
    <w:rsid w:val="00A558A8"/>
    <w:rsid w:val="00A56234"/>
    <w:rsid w:val="00A5672B"/>
    <w:rsid w:val="00A56B0B"/>
    <w:rsid w:val="00A56B76"/>
    <w:rsid w:val="00A56E85"/>
    <w:rsid w:val="00A56FF6"/>
    <w:rsid w:val="00A57175"/>
    <w:rsid w:val="00A57C91"/>
    <w:rsid w:val="00A6022E"/>
    <w:rsid w:val="00A6078B"/>
    <w:rsid w:val="00A60905"/>
    <w:rsid w:val="00A60C38"/>
    <w:rsid w:val="00A60C93"/>
    <w:rsid w:val="00A61062"/>
    <w:rsid w:val="00A6178B"/>
    <w:rsid w:val="00A61BFA"/>
    <w:rsid w:val="00A6200E"/>
    <w:rsid w:val="00A621C9"/>
    <w:rsid w:val="00A62680"/>
    <w:rsid w:val="00A628D1"/>
    <w:rsid w:val="00A63091"/>
    <w:rsid w:val="00A635BD"/>
    <w:rsid w:val="00A63ECE"/>
    <w:rsid w:val="00A64358"/>
    <w:rsid w:val="00A64378"/>
    <w:rsid w:val="00A64418"/>
    <w:rsid w:val="00A64460"/>
    <w:rsid w:val="00A64E05"/>
    <w:rsid w:val="00A651B1"/>
    <w:rsid w:val="00A6544C"/>
    <w:rsid w:val="00A65636"/>
    <w:rsid w:val="00A65640"/>
    <w:rsid w:val="00A65770"/>
    <w:rsid w:val="00A6585A"/>
    <w:rsid w:val="00A65946"/>
    <w:rsid w:val="00A65B92"/>
    <w:rsid w:val="00A65E83"/>
    <w:rsid w:val="00A66966"/>
    <w:rsid w:val="00A66A59"/>
    <w:rsid w:val="00A66C39"/>
    <w:rsid w:val="00A67086"/>
    <w:rsid w:val="00A67470"/>
    <w:rsid w:val="00A67585"/>
    <w:rsid w:val="00A67D89"/>
    <w:rsid w:val="00A70540"/>
    <w:rsid w:val="00A708B9"/>
    <w:rsid w:val="00A71922"/>
    <w:rsid w:val="00A71EE8"/>
    <w:rsid w:val="00A72794"/>
    <w:rsid w:val="00A73481"/>
    <w:rsid w:val="00A734E3"/>
    <w:rsid w:val="00A73665"/>
    <w:rsid w:val="00A73673"/>
    <w:rsid w:val="00A742A1"/>
    <w:rsid w:val="00A74EF2"/>
    <w:rsid w:val="00A74F7E"/>
    <w:rsid w:val="00A75239"/>
    <w:rsid w:val="00A75A97"/>
    <w:rsid w:val="00A75F16"/>
    <w:rsid w:val="00A76107"/>
    <w:rsid w:val="00A76126"/>
    <w:rsid w:val="00A76167"/>
    <w:rsid w:val="00A7667F"/>
    <w:rsid w:val="00A76733"/>
    <w:rsid w:val="00A76E9C"/>
    <w:rsid w:val="00A772EB"/>
    <w:rsid w:val="00A7788B"/>
    <w:rsid w:val="00A77EBA"/>
    <w:rsid w:val="00A805DC"/>
    <w:rsid w:val="00A80691"/>
    <w:rsid w:val="00A80726"/>
    <w:rsid w:val="00A80859"/>
    <w:rsid w:val="00A80A24"/>
    <w:rsid w:val="00A813CF"/>
    <w:rsid w:val="00A8145C"/>
    <w:rsid w:val="00A8155F"/>
    <w:rsid w:val="00A8172B"/>
    <w:rsid w:val="00A824C0"/>
    <w:rsid w:val="00A82727"/>
    <w:rsid w:val="00A827D6"/>
    <w:rsid w:val="00A8287D"/>
    <w:rsid w:val="00A82979"/>
    <w:rsid w:val="00A82DCB"/>
    <w:rsid w:val="00A83013"/>
    <w:rsid w:val="00A83330"/>
    <w:rsid w:val="00A834C1"/>
    <w:rsid w:val="00A83DC7"/>
    <w:rsid w:val="00A845A8"/>
    <w:rsid w:val="00A846E4"/>
    <w:rsid w:val="00A847D2"/>
    <w:rsid w:val="00A84EBA"/>
    <w:rsid w:val="00A84F20"/>
    <w:rsid w:val="00A84F7B"/>
    <w:rsid w:val="00A8566D"/>
    <w:rsid w:val="00A85904"/>
    <w:rsid w:val="00A8590B"/>
    <w:rsid w:val="00A85FF7"/>
    <w:rsid w:val="00A86503"/>
    <w:rsid w:val="00A8683B"/>
    <w:rsid w:val="00A868B4"/>
    <w:rsid w:val="00A86A4B"/>
    <w:rsid w:val="00A86FE9"/>
    <w:rsid w:val="00A87009"/>
    <w:rsid w:val="00A87486"/>
    <w:rsid w:val="00A875E1"/>
    <w:rsid w:val="00A87D98"/>
    <w:rsid w:val="00A87FFB"/>
    <w:rsid w:val="00A90555"/>
    <w:rsid w:val="00A90BAB"/>
    <w:rsid w:val="00A90ED6"/>
    <w:rsid w:val="00A9137E"/>
    <w:rsid w:val="00A916A6"/>
    <w:rsid w:val="00A918CB"/>
    <w:rsid w:val="00A91FCC"/>
    <w:rsid w:val="00A924E5"/>
    <w:rsid w:val="00A92676"/>
    <w:rsid w:val="00A9282B"/>
    <w:rsid w:val="00A93095"/>
    <w:rsid w:val="00A932AD"/>
    <w:rsid w:val="00A93BF2"/>
    <w:rsid w:val="00A94117"/>
    <w:rsid w:val="00A944C7"/>
    <w:rsid w:val="00A946F5"/>
    <w:rsid w:val="00A949A9"/>
    <w:rsid w:val="00A94FB2"/>
    <w:rsid w:val="00A95020"/>
    <w:rsid w:val="00A950D4"/>
    <w:rsid w:val="00A95273"/>
    <w:rsid w:val="00A953CA"/>
    <w:rsid w:val="00A955EA"/>
    <w:rsid w:val="00A95776"/>
    <w:rsid w:val="00A96173"/>
    <w:rsid w:val="00A96704"/>
    <w:rsid w:val="00A96754"/>
    <w:rsid w:val="00A96780"/>
    <w:rsid w:val="00A9681A"/>
    <w:rsid w:val="00A975DA"/>
    <w:rsid w:val="00A97AB7"/>
    <w:rsid w:val="00A97F3B"/>
    <w:rsid w:val="00AA054B"/>
    <w:rsid w:val="00AA0900"/>
    <w:rsid w:val="00AA1148"/>
    <w:rsid w:val="00AA127E"/>
    <w:rsid w:val="00AA1D06"/>
    <w:rsid w:val="00AA1D92"/>
    <w:rsid w:val="00AA2171"/>
    <w:rsid w:val="00AA2302"/>
    <w:rsid w:val="00AA2675"/>
    <w:rsid w:val="00AA2AAA"/>
    <w:rsid w:val="00AA2F63"/>
    <w:rsid w:val="00AA2F9A"/>
    <w:rsid w:val="00AA3499"/>
    <w:rsid w:val="00AA35F4"/>
    <w:rsid w:val="00AA3F89"/>
    <w:rsid w:val="00AA423D"/>
    <w:rsid w:val="00AA4721"/>
    <w:rsid w:val="00AA48EC"/>
    <w:rsid w:val="00AA49D8"/>
    <w:rsid w:val="00AA50F2"/>
    <w:rsid w:val="00AA53A8"/>
    <w:rsid w:val="00AA5C81"/>
    <w:rsid w:val="00AA6415"/>
    <w:rsid w:val="00AA64ED"/>
    <w:rsid w:val="00AA65F8"/>
    <w:rsid w:val="00AA6AC5"/>
    <w:rsid w:val="00AA6C3D"/>
    <w:rsid w:val="00AA6EB3"/>
    <w:rsid w:val="00AA74AF"/>
    <w:rsid w:val="00AA75CB"/>
    <w:rsid w:val="00AA783D"/>
    <w:rsid w:val="00AB04EC"/>
    <w:rsid w:val="00AB0503"/>
    <w:rsid w:val="00AB0865"/>
    <w:rsid w:val="00AB09B8"/>
    <w:rsid w:val="00AB0B55"/>
    <w:rsid w:val="00AB0B69"/>
    <w:rsid w:val="00AB19FC"/>
    <w:rsid w:val="00AB1A53"/>
    <w:rsid w:val="00AB25B1"/>
    <w:rsid w:val="00AB29F9"/>
    <w:rsid w:val="00AB2A0F"/>
    <w:rsid w:val="00AB341A"/>
    <w:rsid w:val="00AB363E"/>
    <w:rsid w:val="00AB3D44"/>
    <w:rsid w:val="00AB4131"/>
    <w:rsid w:val="00AB4289"/>
    <w:rsid w:val="00AB5295"/>
    <w:rsid w:val="00AB5459"/>
    <w:rsid w:val="00AB579A"/>
    <w:rsid w:val="00AB6789"/>
    <w:rsid w:val="00AB681F"/>
    <w:rsid w:val="00AB6C59"/>
    <w:rsid w:val="00AB7052"/>
    <w:rsid w:val="00AC03BE"/>
    <w:rsid w:val="00AC061B"/>
    <w:rsid w:val="00AC08A6"/>
    <w:rsid w:val="00AC096B"/>
    <w:rsid w:val="00AC1094"/>
    <w:rsid w:val="00AC14C9"/>
    <w:rsid w:val="00AC16A9"/>
    <w:rsid w:val="00AC1808"/>
    <w:rsid w:val="00AC1944"/>
    <w:rsid w:val="00AC19C7"/>
    <w:rsid w:val="00AC2234"/>
    <w:rsid w:val="00AC2B3A"/>
    <w:rsid w:val="00AC2FF4"/>
    <w:rsid w:val="00AC3C04"/>
    <w:rsid w:val="00AC3E5C"/>
    <w:rsid w:val="00AC4513"/>
    <w:rsid w:val="00AC51E3"/>
    <w:rsid w:val="00AC58BF"/>
    <w:rsid w:val="00AC64C8"/>
    <w:rsid w:val="00AC6F3B"/>
    <w:rsid w:val="00AC70CE"/>
    <w:rsid w:val="00AC745E"/>
    <w:rsid w:val="00AC76BC"/>
    <w:rsid w:val="00AC7832"/>
    <w:rsid w:val="00AC7C68"/>
    <w:rsid w:val="00AC7D14"/>
    <w:rsid w:val="00AC7FF1"/>
    <w:rsid w:val="00AD056B"/>
    <w:rsid w:val="00AD07CB"/>
    <w:rsid w:val="00AD07D0"/>
    <w:rsid w:val="00AD0954"/>
    <w:rsid w:val="00AD0B59"/>
    <w:rsid w:val="00AD0FCD"/>
    <w:rsid w:val="00AD1889"/>
    <w:rsid w:val="00AD1AC8"/>
    <w:rsid w:val="00AD1BBE"/>
    <w:rsid w:val="00AD25E0"/>
    <w:rsid w:val="00AD27A6"/>
    <w:rsid w:val="00AD2B59"/>
    <w:rsid w:val="00AD35A2"/>
    <w:rsid w:val="00AD35E6"/>
    <w:rsid w:val="00AD3B0E"/>
    <w:rsid w:val="00AD3DA0"/>
    <w:rsid w:val="00AD3E7D"/>
    <w:rsid w:val="00AD4067"/>
    <w:rsid w:val="00AD4655"/>
    <w:rsid w:val="00AD4857"/>
    <w:rsid w:val="00AD4B1F"/>
    <w:rsid w:val="00AD4C30"/>
    <w:rsid w:val="00AD504B"/>
    <w:rsid w:val="00AD5589"/>
    <w:rsid w:val="00AD665B"/>
    <w:rsid w:val="00AD67FF"/>
    <w:rsid w:val="00AD6966"/>
    <w:rsid w:val="00AD6B83"/>
    <w:rsid w:val="00AD7C27"/>
    <w:rsid w:val="00AD7EB0"/>
    <w:rsid w:val="00AE045B"/>
    <w:rsid w:val="00AE12D5"/>
    <w:rsid w:val="00AE145F"/>
    <w:rsid w:val="00AE1685"/>
    <w:rsid w:val="00AE19BB"/>
    <w:rsid w:val="00AE1D75"/>
    <w:rsid w:val="00AE24AB"/>
    <w:rsid w:val="00AE2784"/>
    <w:rsid w:val="00AE2BE9"/>
    <w:rsid w:val="00AE2D00"/>
    <w:rsid w:val="00AE2DEB"/>
    <w:rsid w:val="00AE32F7"/>
    <w:rsid w:val="00AE348C"/>
    <w:rsid w:val="00AE372B"/>
    <w:rsid w:val="00AE3E95"/>
    <w:rsid w:val="00AE58AA"/>
    <w:rsid w:val="00AE596E"/>
    <w:rsid w:val="00AE70E9"/>
    <w:rsid w:val="00AE74C2"/>
    <w:rsid w:val="00AE74E4"/>
    <w:rsid w:val="00AE76B6"/>
    <w:rsid w:val="00AE784A"/>
    <w:rsid w:val="00AF0280"/>
    <w:rsid w:val="00AF0553"/>
    <w:rsid w:val="00AF06E2"/>
    <w:rsid w:val="00AF0EED"/>
    <w:rsid w:val="00AF0F0D"/>
    <w:rsid w:val="00AF0F2B"/>
    <w:rsid w:val="00AF101C"/>
    <w:rsid w:val="00AF125A"/>
    <w:rsid w:val="00AF16EC"/>
    <w:rsid w:val="00AF1709"/>
    <w:rsid w:val="00AF1C8E"/>
    <w:rsid w:val="00AF2CB6"/>
    <w:rsid w:val="00AF3207"/>
    <w:rsid w:val="00AF3217"/>
    <w:rsid w:val="00AF4783"/>
    <w:rsid w:val="00AF4798"/>
    <w:rsid w:val="00AF4B7D"/>
    <w:rsid w:val="00AF5FFC"/>
    <w:rsid w:val="00AF6234"/>
    <w:rsid w:val="00AF6C41"/>
    <w:rsid w:val="00AF722A"/>
    <w:rsid w:val="00AF73AC"/>
    <w:rsid w:val="00B00229"/>
    <w:rsid w:val="00B0054D"/>
    <w:rsid w:val="00B00EC2"/>
    <w:rsid w:val="00B014B2"/>
    <w:rsid w:val="00B01970"/>
    <w:rsid w:val="00B02009"/>
    <w:rsid w:val="00B025CB"/>
    <w:rsid w:val="00B0285C"/>
    <w:rsid w:val="00B02AE6"/>
    <w:rsid w:val="00B02B35"/>
    <w:rsid w:val="00B03458"/>
    <w:rsid w:val="00B036E7"/>
    <w:rsid w:val="00B038BF"/>
    <w:rsid w:val="00B039F9"/>
    <w:rsid w:val="00B03B68"/>
    <w:rsid w:val="00B04107"/>
    <w:rsid w:val="00B043B3"/>
    <w:rsid w:val="00B04440"/>
    <w:rsid w:val="00B04D5A"/>
    <w:rsid w:val="00B052DA"/>
    <w:rsid w:val="00B05330"/>
    <w:rsid w:val="00B062B7"/>
    <w:rsid w:val="00B062BF"/>
    <w:rsid w:val="00B06A1A"/>
    <w:rsid w:val="00B06AEA"/>
    <w:rsid w:val="00B06B81"/>
    <w:rsid w:val="00B06F76"/>
    <w:rsid w:val="00B07107"/>
    <w:rsid w:val="00B0722C"/>
    <w:rsid w:val="00B07265"/>
    <w:rsid w:val="00B10A5E"/>
    <w:rsid w:val="00B1116A"/>
    <w:rsid w:val="00B116B9"/>
    <w:rsid w:val="00B11B59"/>
    <w:rsid w:val="00B11FE4"/>
    <w:rsid w:val="00B1220F"/>
    <w:rsid w:val="00B12246"/>
    <w:rsid w:val="00B12929"/>
    <w:rsid w:val="00B12E82"/>
    <w:rsid w:val="00B1307D"/>
    <w:rsid w:val="00B13268"/>
    <w:rsid w:val="00B1335D"/>
    <w:rsid w:val="00B13FE7"/>
    <w:rsid w:val="00B1486B"/>
    <w:rsid w:val="00B14A93"/>
    <w:rsid w:val="00B1513E"/>
    <w:rsid w:val="00B1539C"/>
    <w:rsid w:val="00B153B4"/>
    <w:rsid w:val="00B154DA"/>
    <w:rsid w:val="00B160FB"/>
    <w:rsid w:val="00B163FF"/>
    <w:rsid w:val="00B1663D"/>
    <w:rsid w:val="00B17317"/>
    <w:rsid w:val="00B178B0"/>
    <w:rsid w:val="00B178F8"/>
    <w:rsid w:val="00B17947"/>
    <w:rsid w:val="00B17BDA"/>
    <w:rsid w:val="00B200A3"/>
    <w:rsid w:val="00B21013"/>
    <w:rsid w:val="00B2113D"/>
    <w:rsid w:val="00B21401"/>
    <w:rsid w:val="00B21BBE"/>
    <w:rsid w:val="00B21F03"/>
    <w:rsid w:val="00B2261B"/>
    <w:rsid w:val="00B2280A"/>
    <w:rsid w:val="00B22C8C"/>
    <w:rsid w:val="00B23042"/>
    <w:rsid w:val="00B230E9"/>
    <w:rsid w:val="00B2428E"/>
    <w:rsid w:val="00B24386"/>
    <w:rsid w:val="00B249EF"/>
    <w:rsid w:val="00B24C21"/>
    <w:rsid w:val="00B258D3"/>
    <w:rsid w:val="00B25A74"/>
    <w:rsid w:val="00B2639D"/>
    <w:rsid w:val="00B2651E"/>
    <w:rsid w:val="00B26C04"/>
    <w:rsid w:val="00B26D4D"/>
    <w:rsid w:val="00B26F09"/>
    <w:rsid w:val="00B270E8"/>
    <w:rsid w:val="00B274D8"/>
    <w:rsid w:val="00B275DA"/>
    <w:rsid w:val="00B277C8"/>
    <w:rsid w:val="00B27A13"/>
    <w:rsid w:val="00B30106"/>
    <w:rsid w:val="00B30159"/>
    <w:rsid w:val="00B301CE"/>
    <w:rsid w:val="00B30363"/>
    <w:rsid w:val="00B305E3"/>
    <w:rsid w:val="00B30C66"/>
    <w:rsid w:val="00B3100D"/>
    <w:rsid w:val="00B310CA"/>
    <w:rsid w:val="00B31DB2"/>
    <w:rsid w:val="00B32033"/>
    <w:rsid w:val="00B32754"/>
    <w:rsid w:val="00B32A71"/>
    <w:rsid w:val="00B33003"/>
    <w:rsid w:val="00B33543"/>
    <w:rsid w:val="00B336FC"/>
    <w:rsid w:val="00B33821"/>
    <w:rsid w:val="00B338E7"/>
    <w:rsid w:val="00B338F4"/>
    <w:rsid w:val="00B340FC"/>
    <w:rsid w:val="00B342E2"/>
    <w:rsid w:val="00B34493"/>
    <w:rsid w:val="00B345E7"/>
    <w:rsid w:val="00B34742"/>
    <w:rsid w:val="00B34D3D"/>
    <w:rsid w:val="00B3535A"/>
    <w:rsid w:val="00B357C9"/>
    <w:rsid w:val="00B358E5"/>
    <w:rsid w:val="00B35976"/>
    <w:rsid w:val="00B35E9E"/>
    <w:rsid w:val="00B360A9"/>
    <w:rsid w:val="00B36C70"/>
    <w:rsid w:val="00B36D74"/>
    <w:rsid w:val="00B36D8D"/>
    <w:rsid w:val="00B36E83"/>
    <w:rsid w:val="00B37059"/>
    <w:rsid w:val="00B370C6"/>
    <w:rsid w:val="00B37440"/>
    <w:rsid w:val="00B37E8A"/>
    <w:rsid w:val="00B40033"/>
    <w:rsid w:val="00B402A5"/>
    <w:rsid w:val="00B4086A"/>
    <w:rsid w:val="00B40957"/>
    <w:rsid w:val="00B41127"/>
    <w:rsid w:val="00B41198"/>
    <w:rsid w:val="00B4136A"/>
    <w:rsid w:val="00B41420"/>
    <w:rsid w:val="00B41A81"/>
    <w:rsid w:val="00B41CA9"/>
    <w:rsid w:val="00B41FD3"/>
    <w:rsid w:val="00B42760"/>
    <w:rsid w:val="00B42979"/>
    <w:rsid w:val="00B42B9A"/>
    <w:rsid w:val="00B42EB2"/>
    <w:rsid w:val="00B43BB4"/>
    <w:rsid w:val="00B43F40"/>
    <w:rsid w:val="00B43FE0"/>
    <w:rsid w:val="00B443D2"/>
    <w:rsid w:val="00B44409"/>
    <w:rsid w:val="00B44BEF"/>
    <w:rsid w:val="00B44DF8"/>
    <w:rsid w:val="00B44E0F"/>
    <w:rsid w:val="00B451AA"/>
    <w:rsid w:val="00B46108"/>
    <w:rsid w:val="00B46D46"/>
    <w:rsid w:val="00B47B4C"/>
    <w:rsid w:val="00B47BB7"/>
    <w:rsid w:val="00B50808"/>
    <w:rsid w:val="00B50AC4"/>
    <w:rsid w:val="00B510CC"/>
    <w:rsid w:val="00B51423"/>
    <w:rsid w:val="00B51612"/>
    <w:rsid w:val="00B51F0E"/>
    <w:rsid w:val="00B52086"/>
    <w:rsid w:val="00B52452"/>
    <w:rsid w:val="00B52D38"/>
    <w:rsid w:val="00B530EA"/>
    <w:rsid w:val="00B536D4"/>
    <w:rsid w:val="00B53768"/>
    <w:rsid w:val="00B53875"/>
    <w:rsid w:val="00B53F58"/>
    <w:rsid w:val="00B53FE9"/>
    <w:rsid w:val="00B5427D"/>
    <w:rsid w:val="00B542C2"/>
    <w:rsid w:val="00B54A4D"/>
    <w:rsid w:val="00B54A4F"/>
    <w:rsid w:val="00B54C14"/>
    <w:rsid w:val="00B54EBF"/>
    <w:rsid w:val="00B555EC"/>
    <w:rsid w:val="00B557A6"/>
    <w:rsid w:val="00B560D6"/>
    <w:rsid w:val="00B56170"/>
    <w:rsid w:val="00B561C2"/>
    <w:rsid w:val="00B564B9"/>
    <w:rsid w:val="00B5664B"/>
    <w:rsid w:val="00B5687B"/>
    <w:rsid w:val="00B56B48"/>
    <w:rsid w:val="00B56C39"/>
    <w:rsid w:val="00B5755E"/>
    <w:rsid w:val="00B5757F"/>
    <w:rsid w:val="00B577FC"/>
    <w:rsid w:val="00B6003D"/>
    <w:rsid w:val="00B60210"/>
    <w:rsid w:val="00B60505"/>
    <w:rsid w:val="00B60950"/>
    <w:rsid w:val="00B60D2A"/>
    <w:rsid w:val="00B61072"/>
    <w:rsid w:val="00B61640"/>
    <w:rsid w:val="00B61641"/>
    <w:rsid w:val="00B6169F"/>
    <w:rsid w:val="00B61B84"/>
    <w:rsid w:val="00B61D65"/>
    <w:rsid w:val="00B62783"/>
    <w:rsid w:val="00B62DA9"/>
    <w:rsid w:val="00B62F89"/>
    <w:rsid w:val="00B63008"/>
    <w:rsid w:val="00B6376F"/>
    <w:rsid w:val="00B64298"/>
    <w:rsid w:val="00B6443B"/>
    <w:rsid w:val="00B644BF"/>
    <w:rsid w:val="00B645CE"/>
    <w:rsid w:val="00B64810"/>
    <w:rsid w:val="00B6553F"/>
    <w:rsid w:val="00B6591F"/>
    <w:rsid w:val="00B65921"/>
    <w:rsid w:val="00B65930"/>
    <w:rsid w:val="00B6608E"/>
    <w:rsid w:val="00B664C7"/>
    <w:rsid w:val="00B66807"/>
    <w:rsid w:val="00B66A65"/>
    <w:rsid w:val="00B66CED"/>
    <w:rsid w:val="00B670E7"/>
    <w:rsid w:val="00B67C80"/>
    <w:rsid w:val="00B70352"/>
    <w:rsid w:val="00B7092B"/>
    <w:rsid w:val="00B70D3B"/>
    <w:rsid w:val="00B712EE"/>
    <w:rsid w:val="00B716A4"/>
    <w:rsid w:val="00B716FB"/>
    <w:rsid w:val="00B7177A"/>
    <w:rsid w:val="00B71792"/>
    <w:rsid w:val="00B71AE0"/>
    <w:rsid w:val="00B71F3E"/>
    <w:rsid w:val="00B72612"/>
    <w:rsid w:val="00B73895"/>
    <w:rsid w:val="00B7395A"/>
    <w:rsid w:val="00B73D5F"/>
    <w:rsid w:val="00B7426A"/>
    <w:rsid w:val="00B74332"/>
    <w:rsid w:val="00B74746"/>
    <w:rsid w:val="00B75176"/>
    <w:rsid w:val="00B75383"/>
    <w:rsid w:val="00B75B96"/>
    <w:rsid w:val="00B75E5A"/>
    <w:rsid w:val="00B762A9"/>
    <w:rsid w:val="00B7645C"/>
    <w:rsid w:val="00B7664A"/>
    <w:rsid w:val="00B767C5"/>
    <w:rsid w:val="00B76B32"/>
    <w:rsid w:val="00B76C71"/>
    <w:rsid w:val="00B77035"/>
    <w:rsid w:val="00B77164"/>
    <w:rsid w:val="00B77591"/>
    <w:rsid w:val="00B77695"/>
    <w:rsid w:val="00B7779F"/>
    <w:rsid w:val="00B77ADC"/>
    <w:rsid w:val="00B77BAF"/>
    <w:rsid w:val="00B77F10"/>
    <w:rsid w:val="00B804DC"/>
    <w:rsid w:val="00B80A04"/>
    <w:rsid w:val="00B80C99"/>
    <w:rsid w:val="00B81660"/>
    <w:rsid w:val="00B818CA"/>
    <w:rsid w:val="00B81B08"/>
    <w:rsid w:val="00B81EFE"/>
    <w:rsid w:val="00B8255F"/>
    <w:rsid w:val="00B826F8"/>
    <w:rsid w:val="00B8337C"/>
    <w:rsid w:val="00B83C86"/>
    <w:rsid w:val="00B83E09"/>
    <w:rsid w:val="00B83F70"/>
    <w:rsid w:val="00B840E7"/>
    <w:rsid w:val="00B842FF"/>
    <w:rsid w:val="00B845C1"/>
    <w:rsid w:val="00B84836"/>
    <w:rsid w:val="00B849B3"/>
    <w:rsid w:val="00B849EC"/>
    <w:rsid w:val="00B84FE9"/>
    <w:rsid w:val="00B85028"/>
    <w:rsid w:val="00B852E7"/>
    <w:rsid w:val="00B85309"/>
    <w:rsid w:val="00B8541A"/>
    <w:rsid w:val="00B867FF"/>
    <w:rsid w:val="00B86B42"/>
    <w:rsid w:val="00B87174"/>
    <w:rsid w:val="00B8796D"/>
    <w:rsid w:val="00B87F4A"/>
    <w:rsid w:val="00B9001B"/>
    <w:rsid w:val="00B9024C"/>
    <w:rsid w:val="00B914B4"/>
    <w:rsid w:val="00B91D7A"/>
    <w:rsid w:val="00B92386"/>
    <w:rsid w:val="00B92394"/>
    <w:rsid w:val="00B930EB"/>
    <w:rsid w:val="00B93150"/>
    <w:rsid w:val="00B933C8"/>
    <w:rsid w:val="00B93461"/>
    <w:rsid w:val="00B9390E"/>
    <w:rsid w:val="00B939CA"/>
    <w:rsid w:val="00B93A7D"/>
    <w:rsid w:val="00B93CE6"/>
    <w:rsid w:val="00B93D61"/>
    <w:rsid w:val="00B94880"/>
    <w:rsid w:val="00B94B28"/>
    <w:rsid w:val="00B94DB3"/>
    <w:rsid w:val="00B94F3E"/>
    <w:rsid w:val="00B95169"/>
    <w:rsid w:val="00B955FE"/>
    <w:rsid w:val="00B9586E"/>
    <w:rsid w:val="00B95890"/>
    <w:rsid w:val="00B95A19"/>
    <w:rsid w:val="00B95D55"/>
    <w:rsid w:val="00B95DB8"/>
    <w:rsid w:val="00B9636B"/>
    <w:rsid w:val="00B96592"/>
    <w:rsid w:val="00B969C5"/>
    <w:rsid w:val="00B96F7B"/>
    <w:rsid w:val="00B970B7"/>
    <w:rsid w:val="00B970FA"/>
    <w:rsid w:val="00B97255"/>
    <w:rsid w:val="00B973AD"/>
    <w:rsid w:val="00B973B3"/>
    <w:rsid w:val="00B976F5"/>
    <w:rsid w:val="00B97986"/>
    <w:rsid w:val="00B97A46"/>
    <w:rsid w:val="00BA0215"/>
    <w:rsid w:val="00BA031E"/>
    <w:rsid w:val="00BA07F1"/>
    <w:rsid w:val="00BA0D3A"/>
    <w:rsid w:val="00BA0EFB"/>
    <w:rsid w:val="00BA0F81"/>
    <w:rsid w:val="00BA0FC5"/>
    <w:rsid w:val="00BA10C0"/>
    <w:rsid w:val="00BA1207"/>
    <w:rsid w:val="00BA1461"/>
    <w:rsid w:val="00BA15C3"/>
    <w:rsid w:val="00BA1DA6"/>
    <w:rsid w:val="00BA1FD9"/>
    <w:rsid w:val="00BA21DC"/>
    <w:rsid w:val="00BA31C3"/>
    <w:rsid w:val="00BA38F5"/>
    <w:rsid w:val="00BA39BC"/>
    <w:rsid w:val="00BA3B31"/>
    <w:rsid w:val="00BA405A"/>
    <w:rsid w:val="00BA4831"/>
    <w:rsid w:val="00BA4EFB"/>
    <w:rsid w:val="00BA51A6"/>
    <w:rsid w:val="00BA521E"/>
    <w:rsid w:val="00BA5351"/>
    <w:rsid w:val="00BA59C5"/>
    <w:rsid w:val="00BA6068"/>
    <w:rsid w:val="00BA687F"/>
    <w:rsid w:val="00BA6E45"/>
    <w:rsid w:val="00BA7108"/>
    <w:rsid w:val="00BA7181"/>
    <w:rsid w:val="00BA7A05"/>
    <w:rsid w:val="00BA7C6E"/>
    <w:rsid w:val="00BA7EA1"/>
    <w:rsid w:val="00BA7EA5"/>
    <w:rsid w:val="00BA7EF7"/>
    <w:rsid w:val="00BB0290"/>
    <w:rsid w:val="00BB031A"/>
    <w:rsid w:val="00BB062D"/>
    <w:rsid w:val="00BB15B3"/>
    <w:rsid w:val="00BB169E"/>
    <w:rsid w:val="00BB1759"/>
    <w:rsid w:val="00BB1D81"/>
    <w:rsid w:val="00BB2526"/>
    <w:rsid w:val="00BB3242"/>
    <w:rsid w:val="00BB3729"/>
    <w:rsid w:val="00BB38E2"/>
    <w:rsid w:val="00BB4300"/>
    <w:rsid w:val="00BB45A8"/>
    <w:rsid w:val="00BB4601"/>
    <w:rsid w:val="00BB50E3"/>
    <w:rsid w:val="00BB5164"/>
    <w:rsid w:val="00BB53C7"/>
    <w:rsid w:val="00BB54D1"/>
    <w:rsid w:val="00BB55CF"/>
    <w:rsid w:val="00BB58C3"/>
    <w:rsid w:val="00BB590B"/>
    <w:rsid w:val="00BB60DA"/>
    <w:rsid w:val="00BB6248"/>
    <w:rsid w:val="00BB685C"/>
    <w:rsid w:val="00BB6E06"/>
    <w:rsid w:val="00BB72F6"/>
    <w:rsid w:val="00BB746C"/>
    <w:rsid w:val="00BB7526"/>
    <w:rsid w:val="00BB75BC"/>
    <w:rsid w:val="00BB78AA"/>
    <w:rsid w:val="00BB7F44"/>
    <w:rsid w:val="00BB7F49"/>
    <w:rsid w:val="00BC0416"/>
    <w:rsid w:val="00BC04FF"/>
    <w:rsid w:val="00BC05E8"/>
    <w:rsid w:val="00BC0975"/>
    <w:rsid w:val="00BC099E"/>
    <w:rsid w:val="00BC0CAB"/>
    <w:rsid w:val="00BC10B3"/>
    <w:rsid w:val="00BC1148"/>
    <w:rsid w:val="00BC1779"/>
    <w:rsid w:val="00BC17EB"/>
    <w:rsid w:val="00BC1909"/>
    <w:rsid w:val="00BC1BA1"/>
    <w:rsid w:val="00BC20D6"/>
    <w:rsid w:val="00BC27F6"/>
    <w:rsid w:val="00BC2A5D"/>
    <w:rsid w:val="00BC2B40"/>
    <w:rsid w:val="00BC2E4A"/>
    <w:rsid w:val="00BC2FEB"/>
    <w:rsid w:val="00BC35F5"/>
    <w:rsid w:val="00BC3A09"/>
    <w:rsid w:val="00BC3F1B"/>
    <w:rsid w:val="00BC401C"/>
    <w:rsid w:val="00BC4609"/>
    <w:rsid w:val="00BC4610"/>
    <w:rsid w:val="00BC48CE"/>
    <w:rsid w:val="00BC4E4E"/>
    <w:rsid w:val="00BC4FF1"/>
    <w:rsid w:val="00BC55DA"/>
    <w:rsid w:val="00BC5763"/>
    <w:rsid w:val="00BC5785"/>
    <w:rsid w:val="00BC5861"/>
    <w:rsid w:val="00BC586D"/>
    <w:rsid w:val="00BC5EE0"/>
    <w:rsid w:val="00BC6582"/>
    <w:rsid w:val="00BC6590"/>
    <w:rsid w:val="00BC6B30"/>
    <w:rsid w:val="00BC6CD5"/>
    <w:rsid w:val="00BC746A"/>
    <w:rsid w:val="00BC782A"/>
    <w:rsid w:val="00BC7BAF"/>
    <w:rsid w:val="00BD0079"/>
    <w:rsid w:val="00BD03A9"/>
    <w:rsid w:val="00BD051B"/>
    <w:rsid w:val="00BD06ED"/>
    <w:rsid w:val="00BD06EE"/>
    <w:rsid w:val="00BD1302"/>
    <w:rsid w:val="00BD18C6"/>
    <w:rsid w:val="00BD1CFB"/>
    <w:rsid w:val="00BD21B1"/>
    <w:rsid w:val="00BD22FC"/>
    <w:rsid w:val="00BD2388"/>
    <w:rsid w:val="00BD2E13"/>
    <w:rsid w:val="00BD31B5"/>
    <w:rsid w:val="00BD34DC"/>
    <w:rsid w:val="00BD3880"/>
    <w:rsid w:val="00BD3B5F"/>
    <w:rsid w:val="00BD3D4C"/>
    <w:rsid w:val="00BD3D92"/>
    <w:rsid w:val="00BD3DF0"/>
    <w:rsid w:val="00BD3EE2"/>
    <w:rsid w:val="00BD4398"/>
    <w:rsid w:val="00BD43AD"/>
    <w:rsid w:val="00BD43BC"/>
    <w:rsid w:val="00BD454D"/>
    <w:rsid w:val="00BD4770"/>
    <w:rsid w:val="00BD4E4C"/>
    <w:rsid w:val="00BD5C5C"/>
    <w:rsid w:val="00BD636A"/>
    <w:rsid w:val="00BD6D91"/>
    <w:rsid w:val="00BD6E54"/>
    <w:rsid w:val="00BD6F3C"/>
    <w:rsid w:val="00BD6F44"/>
    <w:rsid w:val="00BD7668"/>
    <w:rsid w:val="00BD7B06"/>
    <w:rsid w:val="00BE017A"/>
    <w:rsid w:val="00BE0288"/>
    <w:rsid w:val="00BE0E16"/>
    <w:rsid w:val="00BE14FD"/>
    <w:rsid w:val="00BE153A"/>
    <w:rsid w:val="00BE18E5"/>
    <w:rsid w:val="00BE3192"/>
    <w:rsid w:val="00BE3499"/>
    <w:rsid w:val="00BE38F2"/>
    <w:rsid w:val="00BE46CA"/>
    <w:rsid w:val="00BE486B"/>
    <w:rsid w:val="00BE48F5"/>
    <w:rsid w:val="00BE4B0F"/>
    <w:rsid w:val="00BE4C86"/>
    <w:rsid w:val="00BE4ECE"/>
    <w:rsid w:val="00BE5466"/>
    <w:rsid w:val="00BE5FCC"/>
    <w:rsid w:val="00BE62A8"/>
    <w:rsid w:val="00BE6401"/>
    <w:rsid w:val="00BE644A"/>
    <w:rsid w:val="00BE69BC"/>
    <w:rsid w:val="00BE6BAF"/>
    <w:rsid w:val="00BE70FB"/>
    <w:rsid w:val="00BE72A8"/>
    <w:rsid w:val="00BE72AC"/>
    <w:rsid w:val="00BE767D"/>
    <w:rsid w:val="00BE776A"/>
    <w:rsid w:val="00BE77CA"/>
    <w:rsid w:val="00BE7A84"/>
    <w:rsid w:val="00BE7CFA"/>
    <w:rsid w:val="00BF006B"/>
    <w:rsid w:val="00BF09A0"/>
    <w:rsid w:val="00BF0A3D"/>
    <w:rsid w:val="00BF13BA"/>
    <w:rsid w:val="00BF1E5A"/>
    <w:rsid w:val="00BF202A"/>
    <w:rsid w:val="00BF25B2"/>
    <w:rsid w:val="00BF289C"/>
    <w:rsid w:val="00BF33E7"/>
    <w:rsid w:val="00BF391A"/>
    <w:rsid w:val="00BF3EC7"/>
    <w:rsid w:val="00BF3FC3"/>
    <w:rsid w:val="00BF40FA"/>
    <w:rsid w:val="00BF4145"/>
    <w:rsid w:val="00BF4B9B"/>
    <w:rsid w:val="00BF4F97"/>
    <w:rsid w:val="00BF50A3"/>
    <w:rsid w:val="00BF5352"/>
    <w:rsid w:val="00BF56DA"/>
    <w:rsid w:val="00BF5B6A"/>
    <w:rsid w:val="00BF6811"/>
    <w:rsid w:val="00BF69A8"/>
    <w:rsid w:val="00BF6F09"/>
    <w:rsid w:val="00BF6FCB"/>
    <w:rsid w:val="00BF74B5"/>
    <w:rsid w:val="00BF7531"/>
    <w:rsid w:val="00BF782B"/>
    <w:rsid w:val="00BF7A03"/>
    <w:rsid w:val="00BF7E7E"/>
    <w:rsid w:val="00C00088"/>
    <w:rsid w:val="00C005E3"/>
    <w:rsid w:val="00C00CD1"/>
    <w:rsid w:val="00C01339"/>
    <w:rsid w:val="00C01376"/>
    <w:rsid w:val="00C0143F"/>
    <w:rsid w:val="00C01641"/>
    <w:rsid w:val="00C01F98"/>
    <w:rsid w:val="00C02713"/>
    <w:rsid w:val="00C033DB"/>
    <w:rsid w:val="00C03A34"/>
    <w:rsid w:val="00C03B9F"/>
    <w:rsid w:val="00C03EE0"/>
    <w:rsid w:val="00C03F81"/>
    <w:rsid w:val="00C04256"/>
    <w:rsid w:val="00C042D4"/>
    <w:rsid w:val="00C04946"/>
    <w:rsid w:val="00C04E47"/>
    <w:rsid w:val="00C05B64"/>
    <w:rsid w:val="00C05C81"/>
    <w:rsid w:val="00C06162"/>
    <w:rsid w:val="00C061A7"/>
    <w:rsid w:val="00C06609"/>
    <w:rsid w:val="00C07828"/>
    <w:rsid w:val="00C07F19"/>
    <w:rsid w:val="00C10508"/>
    <w:rsid w:val="00C10860"/>
    <w:rsid w:val="00C10F2D"/>
    <w:rsid w:val="00C113F9"/>
    <w:rsid w:val="00C114B9"/>
    <w:rsid w:val="00C1150F"/>
    <w:rsid w:val="00C11BA5"/>
    <w:rsid w:val="00C123EE"/>
    <w:rsid w:val="00C12AE8"/>
    <w:rsid w:val="00C12D48"/>
    <w:rsid w:val="00C1351C"/>
    <w:rsid w:val="00C13816"/>
    <w:rsid w:val="00C13E29"/>
    <w:rsid w:val="00C141E6"/>
    <w:rsid w:val="00C14471"/>
    <w:rsid w:val="00C145AA"/>
    <w:rsid w:val="00C14727"/>
    <w:rsid w:val="00C14983"/>
    <w:rsid w:val="00C14A60"/>
    <w:rsid w:val="00C153C5"/>
    <w:rsid w:val="00C16087"/>
    <w:rsid w:val="00C165C8"/>
    <w:rsid w:val="00C16609"/>
    <w:rsid w:val="00C16F66"/>
    <w:rsid w:val="00C17510"/>
    <w:rsid w:val="00C202E3"/>
    <w:rsid w:val="00C2067B"/>
    <w:rsid w:val="00C20C2B"/>
    <w:rsid w:val="00C20C66"/>
    <w:rsid w:val="00C20FEA"/>
    <w:rsid w:val="00C2136F"/>
    <w:rsid w:val="00C21415"/>
    <w:rsid w:val="00C21505"/>
    <w:rsid w:val="00C21A66"/>
    <w:rsid w:val="00C226BA"/>
    <w:rsid w:val="00C22AED"/>
    <w:rsid w:val="00C230A7"/>
    <w:rsid w:val="00C230DD"/>
    <w:rsid w:val="00C2312F"/>
    <w:rsid w:val="00C23427"/>
    <w:rsid w:val="00C23682"/>
    <w:rsid w:val="00C23A20"/>
    <w:rsid w:val="00C24191"/>
    <w:rsid w:val="00C241A6"/>
    <w:rsid w:val="00C246CF"/>
    <w:rsid w:val="00C2477B"/>
    <w:rsid w:val="00C247F6"/>
    <w:rsid w:val="00C24B74"/>
    <w:rsid w:val="00C24F54"/>
    <w:rsid w:val="00C256C6"/>
    <w:rsid w:val="00C25A2F"/>
    <w:rsid w:val="00C2677E"/>
    <w:rsid w:val="00C26E46"/>
    <w:rsid w:val="00C2741C"/>
    <w:rsid w:val="00C27735"/>
    <w:rsid w:val="00C27E04"/>
    <w:rsid w:val="00C3015E"/>
    <w:rsid w:val="00C3034D"/>
    <w:rsid w:val="00C308E8"/>
    <w:rsid w:val="00C3091D"/>
    <w:rsid w:val="00C30C56"/>
    <w:rsid w:val="00C313F7"/>
    <w:rsid w:val="00C316D0"/>
    <w:rsid w:val="00C320BA"/>
    <w:rsid w:val="00C3238D"/>
    <w:rsid w:val="00C324AB"/>
    <w:rsid w:val="00C324F3"/>
    <w:rsid w:val="00C325BF"/>
    <w:rsid w:val="00C3264A"/>
    <w:rsid w:val="00C32B1B"/>
    <w:rsid w:val="00C32C6E"/>
    <w:rsid w:val="00C33323"/>
    <w:rsid w:val="00C339F1"/>
    <w:rsid w:val="00C341B0"/>
    <w:rsid w:val="00C3422C"/>
    <w:rsid w:val="00C35048"/>
    <w:rsid w:val="00C35271"/>
    <w:rsid w:val="00C3559C"/>
    <w:rsid w:val="00C35C65"/>
    <w:rsid w:val="00C35D4D"/>
    <w:rsid w:val="00C35F2D"/>
    <w:rsid w:val="00C361CA"/>
    <w:rsid w:val="00C36E55"/>
    <w:rsid w:val="00C3760C"/>
    <w:rsid w:val="00C37913"/>
    <w:rsid w:val="00C37CE3"/>
    <w:rsid w:val="00C40101"/>
    <w:rsid w:val="00C40247"/>
    <w:rsid w:val="00C40E2F"/>
    <w:rsid w:val="00C413A0"/>
    <w:rsid w:val="00C41CCB"/>
    <w:rsid w:val="00C423A5"/>
    <w:rsid w:val="00C4252A"/>
    <w:rsid w:val="00C425F6"/>
    <w:rsid w:val="00C426EE"/>
    <w:rsid w:val="00C4277C"/>
    <w:rsid w:val="00C434B9"/>
    <w:rsid w:val="00C43A4E"/>
    <w:rsid w:val="00C441B9"/>
    <w:rsid w:val="00C4444A"/>
    <w:rsid w:val="00C44CD9"/>
    <w:rsid w:val="00C4504C"/>
    <w:rsid w:val="00C457CB"/>
    <w:rsid w:val="00C45A65"/>
    <w:rsid w:val="00C461C5"/>
    <w:rsid w:val="00C473DA"/>
    <w:rsid w:val="00C47644"/>
    <w:rsid w:val="00C4775A"/>
    <w:rsid w:val="00C478EE"/>
    <w:rsid w:val="00C47A3E"/>
    <w:rsid w:val="00C47A5F"/>
    <w:rsid w:val="00C47ED3"/>
    <w:rsid w:val="00C47F11"/>
    <w:rsid w:val="00C50167"/>
    <w:rsid w:val="00C50412"/>
    <w:rsid w:val="00C505FD"/>
    <w:rsid w:val="00C50CAE"/>
    <w:rsid w:val="00C50F73"/>
    <w:rsid w:val="00C510C9"/>
    <w:rsid w:val="00C51474"/>
    <w:rsid w:val="00C51D07"/>
    <w:rsid w:val="00C52281"/>
    <w:rsid w:val="00C52412"/>
    <w:rsid w:val="00C52C11"/>
    <w:rsid w:val="00C531FF"/>
    <w:rsid w:val="00C53AA6"/>
    <w:rsid w:val="00C540D7"/>
    <w:rsid w:val="00C5489B"/>
    <w:rsid w:val="00C54965"/>
    <w:rsid w:val="00C54C04"/>
    <w:rsid w:val="00C54C9A"/>
    <w:rsid w:val="00C54DE5"/>
    <w:rsid w:val="00C54EBF"/>
    <w:rsid w:val="00C550C4"/>
    <w:rsid w:val="00C55126"/>
    <w:rsid w:val="00C551E6"/>
    <w:rsid w:val="00C554CD"/>
    <w:rsid w:val="00C5563E"/>
    <w:rsid w:val="00C556C1"/>
    <w:rsid w:val="00C5579F"/>
    <w:rsid w:val="00C55BED"/>
    <w:rsid w:val="00C56935"/>
    <w:rsid w:val="00C56A98"/>
    <w:rsid w:val="00C5739D"/>
    <w:rsid w:val="00C5774B"/>
    <w:rsid w:val="00C5789D"/>
    <w:rsid w:val="00C5793D"/>
    <w:rsid w:val="00C60153"/>
    <w:rsid w:val="00C60422"/>
    <w:rsid w:val="00C60B21"/>
    <w:rsid w:val="00C61254"/>
    <w:rsid w:val="00C6133C"/>
    <w:rsid w:val="00C61467"/>
    <w:rsid w:val="00C61B0A"/>
    <w:rsid w:val="00C61E78"/>
    <w:rsid w:val="00C62BCB"/>
    <w:rsid w:val="00C62C70"/>
    <w:rsid w:val="00C63690"/>
    <w:rsid w:val="00C6375C"/>
    <w:rsid w:val="00C63953"/>
    <w:rsid w:val="00C642CA"/>
    <w:rsid w:val="00C643B6"/>
    <w:rsid w:val="00C64482"/>
    <w:rsid w:val="00C64515"/>
    <w:rsid w:val="00C64610"/>
    <w:rsid w:val="00C6497F"/>
    <w:rsid w:val="00C64CDE"/>
    <w:rsid w:val="00C65A7D"/>
    <w:rsid w:val="00C65BAD"/>
    <w:rsid w:val="00C66130"/>
    <w:rsid w:val="00C66454"/>
    <w:rsid w:val="00C66605"/>
    <w:rsid w:val="00C66811"/>
    <w:rsid w:val="00C669FE"/>
    <w:rsid w:val="00C67368"/>
    <w:rsid w:val="00C6747D"/>
    <w:rsid w:val="00C67551"/>
    <w:rsid w:val="00C679F9"/>
    <w:rsid w:val="00C7068B"/>
    <w:rsid w:val="00C707CA"/>
    <w:rsid w:val="00C7118A"/>
    <w:rsid w:val="00C71D86"/>
    <w:rsid w:val="00C72323"/>
    <w:rsid w:val="00C723CD"/>
    <w:rsid w:val="00C7247E"/>
    <w:rsid w:val="00C726B3"/>
    <w:rsid w:val="00C726B8"/>
    <w:rsid w:val="00C72B83"/>
    <w:rsid w:val="00C7303E"/>
    <w:rsid w:val="00C731D3"/>
    <w:rsid w:val="00C739B6"/>
    <w:rsid w:val="00C73D00"/>
    <w:rsid w:val="00C740BC"/>
    <w:rsid w:val="00C74114"/>
    <w:rsid w:val="00C743B5"/>
    <w:rsid w:val="00C74933"/>
    <w:rsid w:val="00C74A16"/>
    <w:rsid w:val="00C74FDE"/>
    <w:rsid w:val="00C7511F"/>
    <w:rsid w:val="00C7582D"/>
    <w:rsid w:val="00C759BF"/>
    <w:rsid w:val="00C761D6"/>
    <w:rsid w:val="00C76545"/>
    <w:rsid w:val="00C769A5"/>
    <w:rsid w:val="00C76D31"/>
    <w:rsid w:val="00C77010"/>
    <w:rsid w:val="00C771F6"/>
    <w:rsid w:val="00C773C8"/>
    <w:rsid w:val="00C77584"/>
    <w:rsid w:val="00C77C22"/>
    <w:rsid w:val="00C77F44"/>
    <w:rsid w:val="00C77F72"/>
    <w:rsid w:val="00C8041C"/>
    <w:rsid w:val="00C805B5"/>
    <w:rsid w:val="00C80BED"/>
    <w:rsid w:val="00C80DCF"/>
    <w:rsid w:val="00C80EDF"/>
    <w:rsid w:val="00C81065"/>
    <w:rsid w:val="00C81191"/>
    <w:rsid w:val="00C812DE"/>
    <w:rsid w:val="00C81BBB"/>
    <w:rsid w:val="00C82054"/>
    <w:rsid w:val="00C821D6"/>
    <w:rsid w:val="00C821EF"/>
    <w:rsid w:val="00C82AB1"/>
    <w:rsid w:val="00C835B6"/>
    <w:rsid w:val="00C8365A"/>
    <w:rsid w:val="00C839B1"/>
    <w:rsid w:val="00C84455"/>
    <w:rsid w:val="00C84883"/>
    <w:rsid w:val="00C848A3"/>
    <w:rsid w:val="00C84A43"/>
    <w:rsid w:val="00C8501F"/>
    <w:rsid w:val="00C85296"/>
    <w:rsid w:val="00C85B9C"/>
    <w:rsid w:val="00C85E0F"/>
    <w:rsid w:val="00C85E25"/>
    <w:rsid w:val="00C866B8"/>
    <w:rsid w:val="00C866DD"/>
    <w:rsid w:val="00C86854"/>
    <w:rsid w:val="00C86A2A"/>
    <w:rsid w:val="00C873FC"/>
    <w:rsid w:val="00C87852"/>
    <w:rsid w:val="00C9011A"/>
    <w:rsid w:val="00C90626"/>
    <w:rsid w:val="00C90C60"/>
    <w:rsid w:val="00C9202B"/>
    <w:rsid w:val="00C92764"/>
    <w:rsid w:val="00C927EF"/>
    <w:rsid w:val="00C92F87"/>
    <w:rsid w:val="00C93331"/>
    <w:rsid w:val="00C93714"/>
    <w:rsid w:val="00C94941"/>
    <w:rsid w:val="00C94BEA"/>
    <w:rsid w:val="00C95156"/>
    <w:rsid w:val="00C95816"/>
    <w:rsid w:val="00C95CD9"/>
    <w:rsid w:val="00C96694"/>
    <w:rsid w:val="00C96BCE"/>
    <w:rsid w:val="00C96FA1"/>
    <w:rsid w:val="00C97263"/>
    <w:rsid w:val="00C97575"/>
    <w:rsid w:val="00C977DC"/>
    <w:rsid w:val="00C97B77"/>
    <w:rsid w:val="00C97C20"/>
    <w:rsid w:val="00CA065E"/>
    <w:rsid w:val="00CA0B44"/>
    <w:rsid w:val="00CA0B61"/>
    <w:rsid w:val="00CA0D3E"/>
    <w:rsid w:val="00CA11DE"/>
    <w:rsid w:val="00CA17B3"/>
    <w:rsid w:val="00CA18B0"/>
    <w:rsid w:val="00CA2046"/>
    <w:rsid w:val="00CA2415"/>
    <w:rsid w:val="00CA2483"/>
    <w:rsid w:val="00CA248D"/>
    <w:rsid w:val="00CA249E"/>
    <w:rsid w:val="00CA26CC"/>
    <w:rsid w:val="00CA2DC1"/>
    <w:rsid w:val="00CA301F"/>
    <w:rsid w:val="00CA31B6"/>
    <w:rsid w:val="00CA3837"/>
    <w:rsid w:val="00CA3B33"/>
    <w:rsid w:val="00CA3B55"/>
    <w:rsid w:val="00CA3BC9"/>
    <w:rsid w:val="00CA3D78"/>
    <w:rsid w:val="00CA3F89"/>
    <w:rsid w:val="00CA40C4"/>
    <w:rsid w:val="00CA478E"/>
    <w:rsid w:val="00CA49C3"/>
    <w:rsid w:val="00CA5167"/>
    <w:rsid w:val="00CA5181"/>
    <w:rsid w:val="00CA5C4D"/>
    <w:rsid w:val="00CA6C10"/>
    <w:rsid w:val="00CA6C34"/>
    <w:rsid w:val="00CA6C64"/>
    <w:rsid w:val="00CA6F14"/>
    <w:rsid w:val="00CA76A6"/>
    <w:rsid w:val="00CA7EC3"/>
    <w:rsid w:val="00CB0000"/>
    <w:rsid w:val="00CB0D88"/>
    <w:rsid w:val="00CB105A"/>
    <w:rsid w:val="00CB1152"/>
    <w:rsid w:val="00CB1385"/>
    <w:rsid w:val="00CB158D"/>
    <w:rsid w:val="00CB1630"/>
    <w:rsid w:val="00CB1857"/>
    <w:rsid w:val="00CB1C55"/>
    <w:rsid w:val="00CB1CC7"/>
    <w:rsid w:val="00CB208F"/>
    <w:rsid w:val="00CB2714"/>
    <w:rsid w:val="00CB2D83"/>
    <w:rsid w:val="00CB31BB"/>
    <w:rsid w:val="00CB31D2"/>
    <w:rsid w:val="00CB3969"/>
    <w:rsid w:val="00CB4D04"/>
    <w:rsid w:val="00CB519A"/>
    <w:rsid w:val="00CB58A0"/>
    <w:rsid w:val="00CB5B3C"/>
    <w:rsid w:val="00CB5C67"/>
    <w:rsid w:val="00CB5FB4"/>
    <w:rsid w:val="00CB614F"/>
    <w:rsid w:val="00CB64AC"/>
    <w:rsid w:val="00CB6D66"/>
    <w:rsid w:val="00CB70BA"/>
    <w:rsid w:val="00CB72FA"/>
    <w:rsid w:val="00CB74CE"/>
    <w:rsid w:val="00CB7544"/>
    <w:rsid w:val="00CB7BAC"/>
    <w:rsid w:val="00CC0430"/>
    <w:rsid w:val="00CC061D"/>
    <w:rsid w:val="00CC0D42"/>
    <w:rsid w:val="00CC0EE7"/>
    <w:rsid w:val="00CC101E"/>
    <w:rsid w:val="00CC11F6"/>
    <w:rsid w:val="00CC1566"/>
    <w:rsid w:val="00CC1698"/>
    <w:rsid w:val="00CC19A3"/>
    <w:rsid w:val="00CC1C2D"/>
    <w:rsid w:val="00CC202C"/>
    <w:rsid w:val="00CC26E7"/>
    <w:rsid w:val="00CC276A"/>
    <w:rsid w:val="00CC293F"/>
    <w:rsid w:val="00CC29D2"/>
    <w:rsid w:val="00CC2B0E"/>
    <w:rsid w:val="00CC2B38"/>
    <w:rsid w:val="00CC2D42"/>
    <w:rsid w:val="00CC2FDF"/>
    <w:rsid w:val="00CC31BE"/>
    <w:rsid w:val="00CC3311"/>
    <w:rsid w:val="00CC372E"/>
    <w:rsid w:val="00CC3E9C"/>
    <w:rsid w:val="00CC3ED9"/>
    <w:rsid w:val="00CC447F"/>
    <w:rsid w:val="00CC4597"/>
    <w:rsid w:val="00CC4C36"/>
    <w:rsid w:val="00CC50D1"/>
    <w:rsid w:val="00CC59B5"/>
    <w:rsid w:val="00CC5DD0"/>
    <w:rsid w:val="00CC5F74"/>
    <w:rsid w:val="00CC61BE"/>
    <w:rsid w:val="00CC699A"/>
    <w:rsid w:val="00CC6BE3"/>
    <w:rsid w:val="00CC6DAA"/>
    <w:rsid w:val="00CC7332"/>
    <w:rsid w:val="00CC7673"/>
    <w:rsid w:val="00CC7688"/>
    <w:rsid w:val="00CC7B4B"/>
    <w:rsid w:val="00CC7DB1"/>
    <w:rsid w:val="00CD00FB"/>
    <w:rsid w:val="00CD056A"/>
    <w:rsid w:val="00CD076C"/>
    <w:rsid w:val="00CD1197"/>
    <w:rsid w:val="00CD13A6"/>
    <w:rsid w:val="00CD1783"/>
    <w:rsid w:val="00CD18D9"/>
    <w:rsid w:val="00CD1B31"/>
    <w:rsid w:val="00CD234D"/>
    <w:rsid w:val="00CD2CBF"/>
    <w:rsid w:val="00CD2CC6"/>
    <w:rsid w:val="00CD2EDD"/>
    <w:rsid w:val="00CD3CB5"/>
    <w:rsid w:val="00CD3E8E"/>
    <w:rsid w:val="00CD432E"/>
    <w:rsid w:val="00CD4407"/>
    <w:rsid w:val="00CD447B"/>
    <w:rsid w:val="00CD53BB"/>
    <w:rsid w:val="00CD546E"/>
    <w:rsid w:val="00CD56BA"/>
    <w:rsid w:val="00CD593B"/>
    <w:rsid w:val="00CD5B32"/>
    <w:rsid w:val="00CD5BB1"/>
    <w:rsid w:val="00CD5D51"/>
    <w:rsid w:val="00CD6177"/>
    <w:rsid w:val="00CD6647"/>
    <w:rsid w:val="00CD66C4"/>
    <w:rsid w:val="00CD67BE"/>
    <w:rsid w:val="00CD6E64"/>
    <w:rsid w:val="00CD71A0"/>
    <w:rsid w:val="00CD77EA"/>
    <w:rsid w:val="00CD7B86"/>
    <w:rsid w:val="00CD7BB6"/>
    <w:rsid w:val="00CE0156"/>
    <w:rsid w:val="00CE0950"/>
    <w:rsid w:val="00CE0FA1"/>
    <w:rsid w:val="00CE1220"/>
    <w:rsid w:val="00CE1396"/>
    <w:rsid w:val="00CE1554"/>
    <w:rsid w:val="00CE1BD3"/>
    <w:rsid w:val="00CE1D67"/>
    <w:rsid w:val="00CE26EA"/>
    <w:rsid w:val="00CE2B53"/>
    <w:rsid w:val="00CE38BE"/>
    <w:rsid w:val="00CE40E8"/>
    <w:rsid w:val="00CE42C3"/>
    <w:rsid w:val="00CE43F4"/>
    <w:rsid w:val="00CE47B4"/>
    <w:rsid w:val="00CE4B8A"/>
    <w:rsid w:val="00CE4F40"/>
    <w:rsid w:val="00CE5B47"/>
    <w:rsid w:val="00CE63BC"/>
    <w:rsid w:val="00CE74AC"/>
    <w:rsid w:val="00CF0058"/>
    <w:rsid w:val="00CF0083"/>
    <w:rsid w:val="00CF028E"/>
    <w:rsid w:val="00CF047D"/>
    <w:rsid w:val="00CF0938"/>
    <w:rsid w:val="00CF1018"/>
    <w:rsid w:val="00CF163B"/>
    <w:rsid w:val="00CF1C51"/>
    <w:rsid w:val="00CF1E7C"/>
    <w:rsid w:val="00CF1EC2"/>
    <w:rsid w:val="00CF261F"/>
    <w:rsid w:val="00CF2EE6"/>
    <w:rsid w:val="00CF2FF1"/>
    <w:rsid w:val="00CF3014"/>
    <w:rsid w:val="00CF302D"/>
    <w:rsid w:val="00CF326F"/>
    <w:rsid w:val="00CF3650"/>
    <w:rsid w:val="00CF3763"/>
    <w:rsid w:val="00CF38B2"/>
    <w:rsid w:val="00CF3908"/>
    <w:rsid w:val="00CF3D6A"/>
    <w:rsid w:val="00CF3FE3"/>
    <w:rsid w:val="00CF4050"/>
    <w:rsid w:val="00CF417C"/>
    <w:rsid w:val="00CF464F"/>
    <w:rsid w:val="00CF47C6"/>
    <w:rsid w:val="00CF4A3B"/>
    <w:rsid w:val="00CF5669"/>
    <w:rsid w:val="00CF5687"/>
    <w:rsid w:val="00CF5A5D"/>
    <w:rsid w:val="00CF5CC5"/>
    <w:rsid w:val="00CF5D53"/>
    <w:rsid w:val="00CF5ECF"/>
    <w:rsid w:val="00CF5EE9"/>
    <w:rsid w:val="00CF612F"/>
    <w:rsid w:val="00CF6292"/>
    <w:rsid w:val="00CF68D8"/>
    <w:rsid w:val="00CF6A65"/>
    <w:rsid w:val="00CF700E"/>
    <w:rsid w:val="00CF7D23"/>
    <w:rsid w:val="00CF7EFE"/>
    <w:rsid w:val="00D00202"/>
    <w:rsid w:val="00D002BC"/>
    <w:rsid w:val="00D00475"/>
    <w:rsid w:val="00D0047F"/>
    <w:rsid w:val="00D004A0"/>
    <w:rsid w:val="00D004F5"/>
    <w:rsid w:val="00D00D4E"/>
    <w:rsid w:val="00D011B2"/>
    <w:rsid w:val="00D01360"/>
    <w:rsid w:val="00D0148E"/>
    <w:rsid w:val="00D0175B"/>
    <w:rsid w:val="00D01A50"/>
    <w:rsid w:val="00D01A6C"/>
    <w:rsid w:val="00D02074"/>
    <w:rsid w:val="00D022CF"/>
    <w:rsid w:val="00D02A69"/>
    <w:rsid w:val="00D02D50"/>
    <w:rsid w:val="00D0322F"/>
    <w:rsid w:val="00D03890"/>
    <w:rsid w:val="00D03BAD"/>
    <w:rsid w:val="00D04192"/>
    <w:rsid w:val="00D04309"/>
    <w:rsid w:val="00D047CD"/>
    <w:rsid w:val="00D04899"/>
    <w:rsid w:val="00D04CE1"/>
    <w:rsid w:val="00D053B5"/>
    <w:rsid w:val="00D05ABA"/>
    <w:rsid w:val="00D05EE1"/>
    <w:rsid w:val="00D0646D"/>
    <w:rsid w:val="00D0659F"/>
    <w:rsid w:val="00D06962"/>
    <w:rsid w:val="00D06CAB"/>
    <w:rsid w:val="00D07A71"/>
    <w:rsid w:val="00D10159"/>
    <w:rsid w:val="00D10734"/>
    <w:rsid w:val="00D10B0E"/>
    <w:rsid w:val="00D11462"/>
    <w:rsid w:val="00D11C5B"/>
    <w:rsid w:val="00D12057"/>
    <w:rsid w:val="00D1235E"/>
    <w:rsid w:val="00D12772"/>
    <w:rsid w:val="00D12AA8"/>
    <w:rsid w:val="00D12D23"/>
    <w:rsid w:val="00D12D93"/>
    <w:rsid w:val="00D135A1"/>
    <w:rsid w:val="00D139FE"/>
    <w:rsid w:val="00D13B51"/>
    <w:rsid w:val="00D13B86"/>
    <w:rsid w:val="00D13C65"/>
    <w:rsid w:val="00D14335"/>
    <w:rsid w:val="00D146BD"/>
    <w:rsid w:val="00D14A6B"/>
    <w:rsid w:val="00D15028"/>
    <w:rsid w:val="00D1536C"/>
    <w:rsid w:val="00D15606"/>
    <w:rsid w:val="00D15AE3"/>
    <w:rsid w:val="00D15D20"/>
    <w:rsid w:val="00D15ED1"/>
    <w:rsid w:val="00D164D8"/>
    <w:rsid w:val="00D16E8E"/>
    <w:rsid w:val="00D16FD9"/>
    <w:rsid w:val="00D172B2"/>
    <w:rsid w:val="00D17990"/>
    <w:rsid w:val="00D17A3F"/>
    <w:rsid w:val="00D17AB9"/>
    <w:rsid w:val="00D17C24"/>
    <w:rsid w:val="00D17F67"/>
    <w:rsid w:val="00D2019A"/>
    <w:rsid w:val="00D2029F"/>
    <w:rsid w:val="00D20469"/>
    <w:rsid w:val="00D20779"/>
    <w:rsid w:val="00D20FD4"/>
    <w:rsid w:val="00D21B7E"/>
    <w:rsid w:val="00D21C2E"/>
    <w:rsid w:val="00D22AE8"/>
    <w:rsid w:val="00D22BF7"/>
    <w:rsid w:val="00D23707"/>
    <w:rsid w:val="00D2379E"/>
    <w:rsid w:val="00D24C6E"/>
    <w:rsid w:val="00D25A0D"/>
    <w:rsid w:val="00D2605F"/>
    <w:rsid w:val="00D261EA"/>
    <w:rsid w:val="00D2623A"/>
    <w:rsid w:val="00D26302"/>
    <w:rsid w:val="00D26BCC"/>
    <w:rsid w:val="00D26E7D"/>
    <w:rsid w:val="00D26EBA"/>
    <w:rsid w:val="00D26EC0"/>
    <w:rsid w:val="00D27026"/>
    <w:rsid w:val="00D272B4"/>
    <w:rsid w:val="00D279FF"/>
    <w:rsid w:val="00D27F17"/>
    <w:rsid w:val="00D301FC"/>
    <w:rsid w:val="00D30335"/>
    <w:rsid w:val="00D30710"/>
    <w:rsid w:val="00D30A0C"/>
    <w:rsid w:val="00D30AFA"/>
    <w:rsid w:val="00D312FA"/>
    <w:rsid w:val="00D3148C"/>
    <w:rsid w:val="00D31599"/>
    <w:rsid w:val="00D31CFC"/>
    <w:rsid w:val="00D31E4B"/>
    <w:rsid w:val="00D31E4E"/>
    <w:rsid w:val="00D32935"/>
    <w:rsid w:val="00D32AFC"/>
    <w:rsid w:val="00D32C68"/>
    <w:rsid w:val="00D3327B"/>
    <w:rsid w:val="00D337AC"/>
    <w:rsid w:val="00D337FF"/>
    <w:rsid w:val="00D33C18"/>
    <w:rsid w:val="00D33E99"/>
    <w:rsid w:val="00D3448E"/>
    <w:rsid w:val="00D34694"/>
    <w:rsid w:val="00D34C1C"/>
    <w:rsid w:val="00D34D0D"/>
    <w:rsid w:val="00D34D3E"/>
    <w:rsid w:val="00D34DB4"/>
    <w:rsid w:val="00D35165"/>
    <w:rsid w:val="00D36142"/>
    <w:rsid w:val="00D3640C"/>
    <w:rsid w:val="00D365D6"/>
    <w:rsid w:val="00D36901"/>
    <w:rsid w:val="00D36A2B"/>
    <w:rsid w:val="00D36D14"/>
    <w:rsid w:val="00D36E15"/>
    <w:rsid w:val="00D37101"/>
    <w:rsid w:val="00D37BD7"/>
    <w:rsid w:val="00D40167"/>
    <w:rsid w:val="00D4024E"/>
    <w:rsid w:val="00D4037A"/>
    <w:rsid w:val="00D404E1"/>
    <w:rsid w:val="00D40B26"/>
    <w:rsid w:val="00D40B80"/>
    <w:rsid w:val="00D40E6A"/>
    <w:rsid w:val="00D413CF"/>
    <w:rsid w:val="00D417F4"/>
    <w:rsid w:val="00D41B4A"/>
    <w:rsid w:val="00D41E54"/>
    <w:rsid w:val="00D41EFE"/>
    <w:rsid w:val="00D41F7D"/>
    <w:rsid w:val="00D42686"/>
    <w:rsid w:val="00D4291A"/>
    <w:rsid w:val="00D43057"/>
    <w:rsid w:val="00D43380"/>
    <w:rsid w:val="00D433EC"/>
    <w:rsid w:val="00D43A22"/>
    <w:rsid w:val="00D4406C"/>
    <w:rsid w:val="00D44382"/>
    <w:rsid w:val="00D44756"/>
    <w:rsid w:val="00D448DF"/>
    <w:rsid w:val="00D4511A"/>
    <w:rsid w:val="00D45293"/>
    <w:rsid w:val="00D45A82"/>
    <w:rsid w:val="00D45BF7"/>
    <w:rsid w:val="00D45C0A"/>
    <w:rsid w:val="00D45CAC"/>
    <w:rsid w:val="00D461A4"/>
    <w:rsid w:val="00D46525"/>
    <w:rsid w:val="00D468F5"/>
    <w:rsid w:val="00D4759D"/>
    <w:rsid w:val="00D4785A"/>
    <w:rsid w:val="00D47CC3"/>
    <w:rsid w:val="00D47D56"/>
    <w:rsid w:val="00D501DD"/>
    <w:rsid w:val="00D503AF"/>
    <w:rsid w:val="00D50405"/>
    <w:rsid w:val="00D5046F"/>
    <w:rsid w:val="00D50A37"/>
    <w:rsid w:val="00D50D8A"/>
    <w:rsid w:val="00D50D9A"/>
    <w:rsid w:val="00D50DF0"/>
    <w:rsid w:val="00D51153"/>
    <w:rsid w:val="00D51513"/>
    <w:rsid w:val="00D5158C"/>
    <w:rsid w:val="00D516CB"/>
    <w:rsid w:val="00D51B0B"/>
    <w:rsid w:val="00D51EA6"/>
    <w:rsid w:val="00D522F6"/>
    <w:rsid w:val="00D52335"/>
    <w:rsid w:val="00D52415"/>
    <w:rsid w:val="00D52572"/>
    <w:rsid w:val="00D52771"/>
    <w:rsid w:val="00D52918"/>
    <w:rsid w:val="00D52A49"/>
    <w:rsid w:val="00D52CE1"/>
    <w:rsid w:val="00D53334"/>
    <w:rsid w:val="00D53407"/>
    <w:rsid w:val="00D53960"/>
    <w:rsid w:val="00D539A6"/>
    <w:rsid w:val="00D53A2D"/>
    <w:rsid w:val="00D53C6A"/>
    <w:rsid w:val="00D53C81"/>
    <w:rsid w:val="00D54240"/>
    <w:rsid w:val="00D55596"/>
    <w:rsid w:val="00D55F1A"/>
    <w:rsid w:val="00D55FAA"/>
    <w:rsid w:val="00D56297"/>
    <w:rsid w:val="00D5648F"/>
    <w:rsid w:val="00D56716"/>
    <w:rsid w:val="00D57251"/>
    <w:rsid w:val="00D57404"/>
    <w:rsid w:val="00D575C6"/>
    <w:rsid w:val="00D57778"/>
    <w:rsid w:val="00D577BC"/>
    <w:rsid w:val="00D5788E"/>
    <w:rsid w:val="00D5790C"/>
    <w:rsid w:val="00D601D9"/>
    <w:rsid w:val="00D6029A"/>
    <w:rsid w:val="00D602C1"/>
    <w:rsid w:val="00D60783"/>
    <w:rsid w:val="00D60DF8"/>
    <w:rsid w:val="00D611B1"/>
    <w:rsid w:val="00D612D5"/>
    <w:rsid w:val="00D619E6"/>
    <w:rsid w:val="00D625B2"/>
    <w:rsid w:val="00D62741"/>
    <w:rsid w:val="00D627B9"/>
    <w:rsid w:val="00D62B03"/>
    <w:rsid w:val="00D62EB3"/>
    <w:rsid w:val="00D633F5"/>
    <w:rsid w:val="00D6360B"/>
    <w:rsid w:val="00D6388C"/>
    <w:rsid w:val="00D63AF2"/>
    <w:rsid w:val="00D63CC0"/>
    <w:rsid w:val="00D63F1E"/>
    <w:rsid w:val="00D64A03"/>
    <w:rsid w:val="00D64A27"/>
    <w:rsid w:val="00D64EB0"/>
    <w:rsid w:val="00D6558A"/>
    <w:rsid w:val="00D65FCF"/>
    <w:rsid w:val="00D6608F"/>
    <w:rsid w:val="00D66399"/>
    <w:rsid w:val="00D66564"/>
    <w:rsid w:val="00D667B5"/>
    <w:rsid w:val="00D67029"/>
    <w:rsid w:val="00D673EB"/>
    <w:rsid w:val="00D67716"/>
    <w:rsid w:val="00D67B66"/>
    <w:rsid w:val="00D7060B"/>
    <w:rsid w:val="00D706E7"/>
    <w:rsid w:val="00D70760"/>
    <w:rsid w:val="00D70972"/>
    <w:rsid w:val="00D70EDC"/>
    <w:rsid w:val="00D70F38"/>
    <w:rsid w:val="00D71164"/>
    <w:rsid w:val="00D71288"/>
    <w:rsid w:val="00D71580"/>
    <w:rsid w:val="00D7263C"/>
    <w:rsid w:val="00D72927"/>
    <w:rsid w:val="00D72AB5"/>
    <w:rsid w:val="00D73148"/>
    <w:rsid w:val="00D73239"/>
    <w:rsid w:val="00D73726"/>
    <w:rsid w:val="00D74856"/>
    <w:rsid w:val="00D749F3"/>
    <w:rsid w:val="00D74E91"/>
    <w:rsid w:val="00D74F56"/>
    <w:rsid w:val="00D75756"/>
    <w:rsid w:val="00D75C86"/>
    <w:rsid w:val="00D767E8"/>
    <w:rsid w:val="00D768B6"/>
    <w:rsid w:val="00D76C44"/>
    <w:rsid w:val="00D76E02"/>
    <w:rsid w:val="00D76EC1"/>
    <w:rsid w:val="00D76F76"/>
    <w:rsid w:val="00D77271"/>
    <w:rsid w:val="00D77409"/>
    <w:rsid w:val="00D77456"/>
    <w:rsid w:val="00D77907"/>
    <w:rsid w:val="00D77A73"/>
    <w:rsid w:val="00D77BE0"/>
    <w:rsid w:val="00D77C33"/>
    <w:rsid w:val="00D8013E"/>
    <w:rsid w:val="00D8021A"/>
    <w:rsid w:val="00D80AC6"/>
    <w:rsid w:val="00D80C5F"/>
    <w:rsid w:val="00D80E92"/>
    <w:rsid w:val="00D82381"/>
    <w:rsid w:val="00D824BF"/>
    <w:rsid w:val="00D82813"/>
    <w:rsid w:val="00D82A7E"/>
    <w:rsid w:val="00D835B1"/>
    <w:rsid w:val="00D836CC"/>
    <w:rsid w:val="00D83822"/>
    <w:rsid w:val="00D839A7"/>
    <w:rsid w:val="00D841AF"/>
    <w:rsid w:val="00D844A9"/>
    <w:rsid w:val="00D84697"/>
    <w:rsid w:val="00D84728"/>
    <w:rsid w:val="00D84989"/>
    <w:rsid w:val="00D852C8"/>
    <w:rsid w:val="00D852E2"/>
    <w:rsid w:val="00D852FB"/>
    <w:rsid w:val="00D85387"/>
    <w:rsid w:val="00D8598A"/>
    <w:rsid w:val="00D8608F"/>
    <w:rsid w:val="00D863C7"/>
    <w:rsid w:val="00D8677B"/>
    <w:rsid w:val="00D86818"/>
    <w:rsid w:val="00D8681A"/>
    <w:rsid w:val="00D86E09"/>
    <w:rsid w:val="00D87248"/>
    <w:rsid w:val="00D87C17"/>
    <w:rsid w:val="00D90306"/>
    <w:rsid w:val="00D906B0"/>
    <w:rsid w:val="00D90E78"/>
    <w:rsid w:val="00D9148A"/>
    <w:rsid w:val="00D91DD1"/>
    <w:rsid w:val="00D920E0"/>
    <w:rsid w:val="00D92333"/>
    <w:rsid w:val="00D923F1"/>
    <w:rsid w:val="00D929E4"/>
    <w:rsid w:val="00D92DE5"/>
    <w:rsid w:val="00D92F84"/>
    <w:rsid w:val="00D93598"/>
    <w:rsid w:val="00D935BF"/>
    <w:rsid w:val="00D93732"/>
    <w:rsid w:val="00D9373B"/>
    <w:rsid w:val="00D938EE"/>
    <w:rsid w:val="00D93C1A"/>
    <w:rsid w:val="00D94418"/>
    <w:rsid w:val="00D94E7D"/>
    <w:rsid w:val="00D95374"/>
    <w:rsid w:val="00D959A1"/>
    <w:rsid w:val="00D95A6E"/>
    <w:rsid w:val="00D95B9D"/>
    <w:rsid w:val="00D96649"/>
    <w:rsid w:val="00D96F3D"/>
    <w:rsid w:val="00D977B1"/>
    <w:rsid w:val="00D97F21"/>
    <w:rsid w:val="00DA0008"/>
    <w:rsid w:val="00DA0020"/>
    <w:rsid w:val="00DA0606"/>
    <w:rsid w:val="00DA068E"/>
    <w:rsid w:val="00DA0812"/>
    <w:rsid w:val="00DA09E6"/>
    <w:rsid w:val="00DA0FF3"/>
    <w:rsid w:val="00DA1E41"/>
    <w:rsid w:val="00DA239F"/>
    <w:rsid w:val="00DA279F"/>
    <w:rsid w:val="00DA2DDA"/>
    <w:rsid w:val="00DA300E"/>
    <w:rsid w:val="00DA308C"/>
    <w:rsid w:val="00DA33FB"/>
    <w:rsid w:val="00DA344E"/>
    <w:rsid w:val="00DA35B6"/>
    <w:rsid w:val="00DA3F89"/>
    <w:rsid w:val="00DA4017"/>
    <w:rsid w:val="00DA4124"/>
    <w:rsid w:val="00DA4961"/>
    <w:rsid w:val="00DA499A"/>
    <w:rsid w:val="00DA500D"/>
    <w:rsid w:val="00DA52E2"/>
    <w:rsid w:val="00DA5885"/>
    <w:rsid w:val="00DA5F70"/>
    <w:rsid w:val="00DA6352"/>
    <w:rsid w:val="00DA6380"/>
    <w:rsid w:val="00DA6A11"/>
    <w:rsid w:val="00DA6CB6"/>
    <w:rsid w:val="00DA7568"/>
    <w:rsid w:val="00DA780E"/>
    <w:rsid w:val="00DA798F"/>
    <w:rsid w:val="00DA7E89"/>
    <w:rsid w:val="00DB0069"/>
    <w:rsid w:val="00DB0188"/>
    <w:rsid w:val="00DB044A"/>
    <w:rsid w:val="00DB118B"/>
    <w:rsid w:val="00DB11D7"/>
    <w:rsid w:val="00DB209F"/>
    <w:rsid w:val="00DB2295"/>
    <w:rsid w:val="00DB23D7"/>
    <w:rsid w:val="00DB2DC9"/>
    <w:rsid w:val="00DB390F"/>
    <w:rsid w:val="00DB3A4E"/>
    <w:rsid w:val="00DB4286"/>
    <w:rsid w:val="00DB4374"/>
    <w:rsid w:val="00DB4545"/>
    <w:rsid w:val="00DB46A3"/>
    <w:rsid w:val="00DB48A5"/>
    <w:rsid w:val="00DB493B"/>
    <w:rsid w:val="00DB4F3A"/>
    <w:rsid w:val="00DB507B"/>
    <w:rsid w:val="00DB5AA3"/>
    <w:rsid w:val="00DB5BCD"/>
    <w:rsid w:val="00DB63A0"/>
    <w:rsid w:val="00DB65F1"/>
    <w:rsid w:val="00DB6702"/>
    <w:rsid w:val="00DB6ADF"/>
    <w:rsid w:val="00DB6C25"/>
    <w:rsid w:val="00DB6CF5"/>
    <w:rsid w:val="00DB6EFA"/>
    <w:rsid w:val="00DB7077"/>
    <w:rsid w:val="00DB7794"/>
    <w:rsid w:val="00DB78BB"/>
    <w:rsid w:val="00DB7951"/>
    <w:rsid w:val="00DB7BC2"/>
    <w:rsid w:val="00DB7CAA"/>
    <w:rsid w:val="00DC01E4"/>
    <w:rsid w:val="00DC037E"/>
    <w:rsid w:val="00DC0533"/>
    <w:rsid w:val="00DC0EC3"/>
    <w:rsid w:val="00DC103C"/>
    <w:rsid w:val="00DC1151"/>
    <w:rsid w:val="00DC13E3"/>
    <w:rsid w:val="00DC164C"/>
    <w:rsid w:val="00DC1A97"/>
    <w:rsid w:val="00DC1E40"/>
    <w:rsid w:val="00DC21A5"/>
    <w:rsid w:val="00DC2965"/>
    <w:rsid w:val="00DC3BCE"/>
    <w:rsid w:val="00DC3CA0"/>
    <w:rsid w:val="00DC3F86"/>
    <w:rsid w:val="00DC4435"/>
    <w:rsid w:val="00DC4C27"/>
    <w:rsid w:val="00DC51AC"/>
    <w:rsid w:val="00DC52E4"/>
    <w:rsid w:val="00DC5FDE"/>
    <w:rsid w:val="00DC62BD"/>
    <w:rsid w:val="00DC6AD8"/>
    <w:rsid w:val="00DC7587"/>
    <w:rsid w:val="00DC7720"/>
    <w:rsid w:val="00DD01E3"/>
    <w:rsid w:val="00DD042A"/>
    <w:rsid w:val="00DD05FC"/>
    <w:rsid w:val="00DD092E"/>
    <w:rsid w:val="00DD0971"/>
    <w:rsid w:val="00DD0B30"/>
    <w:rsid w:val="00DD0C73"/>
    <w:rsid w:val="00DD13ED"/>
    <w:rsid w:val="00DD15D8"/>
    <w:rsid w:val="00DD165D"/>
    <w:rsid w:val="00DD16A0"/>
    <w:rsid w:val="00DD16EE"/>
    <w:rsid w:val="00DD1ED1"/>
    <w:rsid w:val="00DD20C4"/>
    <w:rsid w:val="00DD24F1"/>
    <w:rsid w:val="00DD2752"/>
    <w:rsid w:val="00DD2DDC"/>
    <w:rsid w:val="00DD36E7"/>
    <w:rsid w:val="00DD383E"/>
    <w:rsid w:val="00DD3C6D"/>
    <w:rsid w:val="00DD418F"/>
    <w:rsid w:val="00DD4265"/>
    <w:rsid w:val="00DD433D"/>
    <w:rsid w:val="00DD4708"/>
    <w:rsid w:val="00DD50AE"/>
    <w:rsid w:val="00DD5163"/>
    <w:rsid w:val="00DD5224"/>
    <w:rsid w:val="00DD530C"/>
    <w:rsid w:val="00DD531C"/>
    <w:rsid w:val="00DD5568"/>
    <w:rsid w:val="00DD57D4"/>
    <w:rsid w:val="00DD58C9"/>
    <w:rsid w:val="00DD58E2"/>
    <w:rsid w:val="00DD59BF"/>
    <w:rsid w:val="00DD59D2"/>
    <w:rsid w:val="00DD5A7D"/>
    <w:rsid w:val="00DD60CF"/>
    <w:rsid w:val="00DD6616"/>
    <w:rsid w:val="00DD6921"/>
    <w:rsid w:val="00DD6B49"/>
    <w:rsid w:val="00DD7BB5"/>
    <w:rsid w:val="00DE0194"/>
    <w:rsid w:val="00DE0AF3"/>
    <w:rsid w:val="00DE0B18"/>
    <w:rsid w:val="00DE132B"/>
    <w:rsid w:val="00DE1B20"/>
    <w:rsid w:val="00DE2154"/>
    <w:rsid w:val="00DE225C"/>
    <w:rsid w:val="00DE2CEB"/>
    <w:rsid w:val="00DE3314"/>
    <w:rsid w:val="00DE396E"/>
    <w:rsid w:val="00DE4007"/>
    <w:rsid w:val="00DE40DB"/>
    <w:rsid w:val="00DE47DF"/>
    <w:rsid w:val="00DE49AA"/>
    <w:rsid w:val="00DE4ADB"/>
    <w:rsid w:val="00DE4F70"/>
    <w:rsid w:val="00DE544D"/>
    <w:rsid w:val="00DE564D"/>
    <w:rsid w:val="00DE588B"/>
    <w:rsid w:val="00DE5D57"/>
    <w:rsid w:val="00DE6213"/>
    <w:rsid w:val="00DE6896"/>
    <w:rsid w:val="00DE68A8"/>
    <w:rsid w:val="00DE6C3C"/>
    <w:rsid w:val="00DE6D7B"/>
    <w:rsid w:val="00DE7173"/>
    <w:rsid w:val="00DE749B"/>
    <w:rsid w:val="00DE768D"/>
    <w:rsid w:val="00DE79CB"/>
    <w:rsid w:val="00DE7A0E"/>
    <w:rsid w:val="00DE7AAF"/>
    <w:rsid w:val="00DE7AB2"/>
    <w:rsid w:val="00DE7E0B"/>
    <w:rsid w:val="00DF097F"/>
    <w:rsid w:val="00DF0CAF"/>
    <w:rsid w:val="00DF111C"/>
    <w:rsid w:val="00DF11B3"/>
    <w:rsid w:val="00DF1583"/>
    <w:rsid w:val="00DF1646"/>
    <w:rsid w:val="00DF1DE6"/>
    <w:rsid w:val="00DF2435"/>
    <w:rsid w:val="00DF274D"/>
    <w:rsid w:val="00DF27AF"/>
    <w:rsid w:val="00DF2AF7"/>
    <w:rsid w:val="00DF3013"/>
    <w:rsid w:val="00DF40B7"/>
    <w:rsid w:val="00DF4A81"/>
    <w:rsid w:val="00DF4CEB"/>
    <w:rsid w:val="00DF54AB"/>
    <w:rsid w:val="00DF5AD0"/>
    <w:rsid w:val="00DF5BA4"/>
    <w:rsid w:val="00DF5F99"/>
    <w:rsid w:val="00DF6177"/>
    <w:rsid w:val="00DF64DA"/>
    <w:rsid w:val="00DF64EE"/>
    <w:rsid w:val="00DF650F"/>
    <w:rsid w:val="00DF6730"/>
    <w:rsid w:val="00DF6FC5"/>
    <w:rsid w:val="00DF7705"/>
    <w:rsid w:val="00DF77D3"/>
    <w:rsid w:val="00DF7AAD"/>
    <w:rsid w:val="00DF7D66"/>
    <w:rsid w:val="00DF7EF5"/>
    <w:rsid w:val="00E00204"/>
    <w:rsid w:val="00E0063F"/>
    <w:rsid w:val="00E00D7D"/>
    <w:rsid w:val="00E00E62"/>
    <w:rsid w:val="00E00E75"/>
    <w:rsid w:val="00E00F48"/>
    <w:rsid w:val="00E01198"/>
    <w:rsid w:val="00E0162F"/>
    <w:rsid w:val="00E01A7F"/>
    <w:rsid w:val="00E02673"/>
    <w:rsid w:val="00E02D93"/>
    <w:rsid w:val="00E03273"/>
    <w:rsid w:val="00E039FB"/>
    <w:rsid w:val="00E03B74"/>
    <w:rsid w:val="00E03CB2"/>
    <w:rsid w:val="00E04194"/>
    <w:rsid w:val="00E04FDE"/>
    <w:rsid w:val="00E0557C"/>
    <w:rsid w:val="00E055E3"/>
    <w:rsid w:val="00E0563F"/>
    <w:rsid w:val="00E05968"/>
    <w:rsid w:val="00E05A0E"/>
    <w:rsid w:val="00E06881"/>
    <w:rsid w:val="00E06BBF"/>
    <w:rsid w:val="00E06CD4"/>
    <w:rsid w:val="00E06F5F"/>
    <w:rsid w:val="00E06F66"/>
    <w:rsid w:val="00E06F75"/>
    <w:rsid w:val="00E071AB"/>
    <w:rsid w:val="00E071D8"/>
    <w:rsid w:val="00E072BA"/>
    <w:rsid w:val="00E07BF2"/>
    <w:rsid w:val="00E07F64"/>
    <w:rsid w:val="00E1060A"/>
    <w:rsid w:val="00E10C67"/>
    <w:rsid w:val="00E10DDD"/>
    <w:rsid w:val="00E10E0D"/>
    <w:rsid w:val="00E1119C"/>
    <w:rsid w:val="00E112F2"/>
    <w:rsid w:val="00E11843"/>
    <w:rsid w:val="00E118B2"/>
    <w:rsid w:val="00E11CBA"/>
    <w:rsid w:val="00E11FD2"/>
    <w:rsid w:val="00E1208A"/>
    <w:rsid w:val="00E12642"/>
    <w:rsid w:val="00E126C3"/>
    <w:rsid w:val="00E12CBB"/>
    <w:rsid w:val="00E12E4E"/>
    <w:rsid w:val="00E13033"/>
    <w:rsid w:val="00E132C8"/>
    <w:rsid w:val="00E132FE"/>
    <w:rsid w:val="00E1333E"/>
    <w:rsid w:val="00E133E9"/>
    <w:rsid w:val="00E13837"/>
    <w:rsid w:val="00E13DC7"/>
    <w:rsid w:val="00E1412B"/>
    <w:rsid w:val="00E141E9"/>
    <w:rsid w:val="00E14AE5"/>
    <w:rsid w:val="00E14E5B"/>
    <w:rsid w:val="00E15671"/>
    <w:rsid w:val="00E15750"/>
    <w:rsid w:val="00E158A4"/>
    <w:rsid w:val="00E15ADB"/>
    <w:rsid w:val="00E15C50"/>
    <w:rsid w:val="00E160B2"/>
    <w:rsid w:val="00E1635A"/>
    <w:rsid w:val="00E16A96"/>
    <w:rsid w:val="00E16BAA"/>
    <w:rsid w:val="00E16BF1"/>
    <w:rsid w:val="00E16C1C"/>
    <w:rsid w:val="00E16F54"/>
    <w:rsid w:val="00E17F29"/>
    <w:rsid w:val="00E2056D"/>
    <w:rsid w:val="00E205D9"/>
    <w:rsid w:val="00E207C7"/>
    <w:rsid w:val="00E20C4A"/>
    <w:rsid w:val="00E20E05"/>
    <w:rsid w:val="00E22080"/>
    <w:rsid w:val="00E22CF6"/>
    <w:rsid w:val="00E22F58"/>
    <w:rsid w:val="00E23530"/>
    <w:rsid w:val="00E23557"/>
    <w:rsid w:val="00E23D5C"/>
    <w:rsid w:val="00E240D9"/>
    <w:rsid w:val="00E24597"/>
    <w:rsid w:val="00E246B9"/>
    <w:rsid w:val="00E24B6C"/>
    <w:rsid w:val="00E24DFC"/>
    <w:rsid w:val="00E25668"/>
    <w:rsid w:val="00E259AA"/>
    <w:rsid w:val="00E25EC2"/>
    <w:rsid w:val="00E26153"/>
    <w:rsid w:val="00E26582"/>
    <w:rsid w:val="00E273C7"/>
    <w:rsid w:val="00E2783E"/>
    <w:rsid w:val="00E27BA8"/>
    <w:rsid w:val="00E27CF0"/>
    <w:rsid w:val="00E27E92"/>
    <w:rsid w:val="00E303B6"/>
    <w:rsid w:val="00E30A48"/>
    <w:rsid w:val="00E30FFE"/>
    <w:rsid w:val="00E3144E"/>
    <w:rsid w:val="00E31FDF"/>
    <w:rsid w:val="00E3203D"/>
    <w:rsid w:val="00E32220"/>
    <w:rsid w:val="00E32391"/>
    <w:rsid w:val="00E327B1"/>
    <w:rsid w:val="00E32D6D"/>
    <w:rsid w:val="00E32ECA"/>
    <w:rsid w:val="00E330EE"/>
    <w:rsid w:val="00E33240"/>
    <w:rsid w:val="00E33D73"/>
    <w:rsid w:val="00E33D9E"/>
    <w:rsid w:val="00E342AD"/>
    <w:rsid w:val="00E34327"/>
    <w:rsid w:val="00E344A8"/>
    <w:rsid w:val="00E34524"/>
    <w:rsid w:val="00E347B5"/>
    <w:rsid w:val="00E349A6"/>
    <w:rsid w:val="00E35663"/>
    <w:rsid w:val="00E35EA4"/>
    <w:rsid w:val="00E36213"/>
    <w:rsid w:val="00E36AB2"/>
    <w:rsid w:val="00E36C40"/>
    <w:rsid w:val="00E375D8"/>
    <w:rsid w:val="00E3762C"/>
    <w:rsid w:val="00E37C4F"/>
    <w:rsid w:val="00E37DA8"/>
    <w:rsid w:val="00E37EF1"/>
    <w:rsid w:val="00E418E5"/>
    <w:rsid w:val="00E41DD4"/>
    <w:rsid w:val="00E41F41"/>
    <w:rsid w:val="00E42015"/>
    <w:rsid w:val="00E42044"/>
    <w:rsid w:val="00E42693"/>
    <w:rsid w:val="00E42CC0"/>
    <w:rsid w:val="00E431C3"/>
    <w:rsid w:val="00E4367E"/>
    <w:rsid w:val="00E436FF"/>
    <w:rsid w:val="00E4382C"/>
    <w:rsid w:val="00E4432C"/>
    <w:rsid w:val="00E44D17"/>
    <w:rsid w:val="00E44DA3"/>
    <w:rsid w:val="00E44DBE"/>
    <w:rsid w:val="00E44E18"/>
    <w:rsid w:val="00E44FDE"/>
    <w:rsid w:val="00E45395"/>
    <w:rsid w:val="00E457F7"/>
    <w:rsid w:val="00E45894"/>
    <w:rsid w:val="00E45A37"/>
    <w:rsid w:val="00E45AF9"/>
    <w:rsid w:val="00E45DC9"/>
    <w:rsid w:val="00E45DDD"/>
    <w:rsid w:val="00E464F5"/>
    <w:rsid w:val="00E46E5E"/>
    <w:rsid w:val="00E46EF3"/>
    <w:rsid w:val="00E46F61"/>
    <w:rsid w:val="00E471C9"/>
    <w:rsid w:val="00E475EC"/>
    <w:rsid w:val="00E476C8"/>
    <w:rsid w:val="00E47A32"/>
    <w:rsid w:val="00E50125"/>
    <w:rsid w:val="00E50B60"/>
    <w:rsid w:val="00E50CA3"/>
    <w:rsid w:val="00E50E17"/>
    <w:rsid w:val="00E516A6"/>
    <w:rsid w:val="00E51A80"/>
    <w:rsid w:val="00E51B2E"/>
    <w:rsid w:val="00E51D8A"/>
    <w:rsid w:val="00E54409"/>
    <w:rsid w:val="00E55089"/>
    <w:rsid w:val="00E55231"/>
    <w:rsid w:val="00E554D5"/>
    <w:rsid w:val="00E55684"/>
    <w:rsid w:val="00E55C31"/>
    <w:rsid w:val="00E56199"/>
    <w:rsid w:val="00E56471"/>
    <w:rsid w:val="00E56723"/>
    <w:rsid w:val="00E56B4A"/>
    <w:rsid w:val="00E570B2"/>
    <w:rsid w:val="00E570E7"/>
    <w:rsid w:val="00E572CC"/>
    <w:rsid w:val="00E57A0E"/>
    <w:rsid w:val="00E57C62"/>
    <w:rsid w:val="00E57D02"/>
    <w:rsid w:val="00E57E5D"/>
    <w:rsid w:val="00E57E8D"/>
    <w:rsid w:val="00E57F4B"/>
    <w:rsid w:val="00E6016E"/>
    <w:rsid w:val="00E60EB4"/>
    <w:rsid w:val="00E61507"/>
    <w:rsid w:val="00E6174E"/>
    <w:rsid w:val="00E61A70"/>
    <w:rsid w:val="00E61C3C"/>
    <w:rsid w:val="00E61C71"/>
    <w:rsid w:val="00E61D9C"/>
    <w:rsid w:val="00E628CD"/>
    <w:rsid w:val="00E62C76"/>
    <w:rsid w:val="00E63063"/>
    <w:rsid w:val="00E633DD"/>
    <w:rsid w:val="00E6390D"/>
    <w:rsid w:val="00E63941"/>
    <w:rsid w:val="00E63C0A"/>
    <w:rsid w:val="00E63FF4"/>
    <w:rsid w:val="00E640E1"/>
    <w:rsid w:val="00E641F8"/>
    <w:rsid w:val="00E643BC"/>
    <w:rsid w:val="00E64594"/>
    <w:rsid w:val="00E64652"/>
    <w:rsid w:val="00E649AC"/>
    <w:rsid w:val="00E64A11"/>
    <w:rsid w:val="00E64A79"/>
    <w:rsid w:val="00E64BA1"/>
    <w:rsid w:val="00E64BC4"/>
    <w:rsid w:val="00E654C8"/>
    <w:rsid w:val="00E65C1A"/>
    <w:rsid w:val="00E65EBB"/>
    <w:rsid w:val="00E663D0"/>
    <w:rsid w:val="00E6712C"/>
    <w:rsid w:val="00E678B7"/>
    <w:rsid w:val="00E679F6"/>
    <w:rsid w:val="00E67EB5"/>
    <w:rsid w:val="00E67F30"/>
    <w:rsid w:val="00E70262"/>
    <w:rsid w:val="00E705B0"/>
    <w:rsid w:val="00E71518"/>
    <w:rsid w:val="00E71B93"/>
    <w:rsid w:val="00E71BC4"/>
    <w:rsid w:val="00E71CD2"/>
    <w:rsid w:val="00E72545"/>
    <w:rsid w:val="00E730D7"/>
    <w:rsid w:val="00E73400"/>
    <w:rsid w:val="00E73F90"/>
    <w:rsid w:val="00E742C8"/>
    <w:rsid w:val="00E7487E"/>
    <w:rsid w:val="00E74C5D"/>
    <w:rsid w:val="00E74C89"/>
    <w:rsid w:val="00E74CB5"/>
    <w:rsid w:val="00E74DB3"/>
    <w:rsid w:val="00E74F75"/>
    <w:rsid w:val="00E751AE"/>
    <w:rsid w:val="00E7531B"/>
    <w:rsid w:val="00E757CB"/>
    <w:rsid w:val="00E76062"/>
    <w:rsid w:val="00E76468"/>
    <w:rsid w:val="00E7690F"/>
    <w:rsid w:val="00E76EEE"/>
    <w:rsid w:val="00E77613"/>
    <w:rsid w:val="00E778F0"/>
    <w:rsid w:val="00E77A1C"/>
    <w:rsid w:val="00E8036F"/>
    <w:rsid w:val="00E8041F"/>
    <w:rsid w:val="00E80594"/>
    <w:rsid w:val="00E80673"/>
    <w:rsid w:val="00E80C74"/>
    <w:rsid w:val="00E816F5"/>
    <w:rsid w:val="00E81A7E"/>
    <w:rsid w:val="00E81A97"/>
    <w:rsid w:val="00E81B71"/>
    <w:rsid w:val="00E82829"/>
    <w:rsid w:val="00E82A10"/>
    <w:rsid w:val="00E82A6B"/>
    <w:rsid w:val="00E82F3E"/>
    <w:rsid w:val="00E83152"/>
    <w:rsid w:val="00E831ED"/>
    <w:rsid w:val="00E832FC"/>
    <w:rsid w:val="00E833E5"/>
    <w:rsid w:val="00E8365E"/>
    <w:rsid w:val="00E83771"/>
    <w:rsid w:val="00E83970"/>
    <w:rsid w:val="00E83CC6"/>
    <w:rsid w:val="00E8421F"/>
    <w:rsid w:val="00E84266"/>
    <w:rsid w:val="00E84B74"/>
    <w:rsid w:val="00E85265"/>
    <w:rsid w:val="00E85A9B"/>
    <w:rsid w:val="00E86001"/>
    <w:rsid w:val="00E86340"/>
    <w:rsid w:val="00E8635A"/>
    <w:rsid w:val="00E8653B"/>
    <w:rsid w:val="00E86EEC"/>
    <w:rsid w:val="00E8705D"/>
    <w:rsid w:val="00E874C7"/>
    <w:rsid w:val="00E875B3"/>
    <w:rsid w:val="00E87B9B"/>
    <w:rsid w:val="00E87E5B"/>
    <w:rsid w:val="00E87F21"/>
    <w:rsid w:val="00E90571"/>
    <w:rsid w:val="00E906D8"/>
    <w:rsid w:val="00E90889"/>
    <w:rsid w:val="00E90D14"/>
    <w:rsid w:val="00E90D28"/>
    <w:rsid w:val="00E91133"/>
    <w:rsid w:val="00E914BB"/>
    <w:rsid w:val="00E9157A"/>
    <w:rsid w:val="00E918F3"/>
    <w:rsid w:val="00E91A9D"/>
    <w:rsid w:val="00E91EF2"/>
    <w:rsid w:val="00E92403"/>
    <w:rsid w:val="00E925CA"/>
    <w:rsid w:val="00E927BA"/>
    <w:rsid w:val="00E92983"/>
    <w:rsid w:val="00E92F72"/>
    <w:rsid w:val="00E931D8"/>
    <w:rsid w:val="00E936BA"/>
    <w:rsid w:val="00E93762"/>
    <w:rsid w:val="00E93778"/>
    <w:rsid w:val="00E9389F"/>
    <w:rsid w:val="00E93BFC"/>
    <w:rsid w:val="00E93FCC"/>
    <w:rsid w:val="00E941A9"/>
    <w:rsid w:val="00E94F12"/>
    <w:rsid w:val="00E950CF"/>
    <w:rsid w:val="00E952AF"/>
    <w:rsid w:val="00E9578A"/>
    <w:rsid w:val="00E95829"/>
    <w:rsid w:val="00E9585E"/>
    <w:rsid w:val="00E95993"/>
    <w:rsid w:val="00E962FB"/>
    <w:rsid w:val="00E963F4"/>
    <w:rsid w:val="00E963FC"/>
    <w:rsid w:val="00E96439"/>
    <w:rsid w:val="00E96807"/>
    <w:rsid w:val="00E9680D"/>
    <w:rsid w:val="00E96914"/>
    <w:rsid w:val="00E96C25"/>
    <w:rsid w:val="00E96F22"/>
    <w:rsid w:val="00E9772F"/>
    <w:rsid w:val="00E9783B"/>
    <w:rsid w:val="00E97911"/>
    <w:rsid w:val="00E97B23"/>
    <w:rsid w:val="00E97CE4"/>
    <w:rsid w:val="00EA07E2"/>
    <w:rsid w:val="00EA094C"/>
    <w:rsid w:val="00EA09AC"/>
    <w:rsid w:val="00EA0B58"/>
    <w:rsid w:val="00EA1099"/>
    <w:rsid w:val="00EA12A0"/>
    <w:rsid w:val="00EA1877"/>
    <w:rsid w:val="00EA18F2"/>
    <w:rsid w:val="00EA1AEE"/>
    <w:rsid w:val="00EA2050"/>
    <w:rsid w:val="00EA26C5"/>
    <w:rsid w:val="00EA288E"/>
    <w:rsid w:val="00EA2A4D"/>
    <w:rsid w:val="00EA2BCF"/>
    <w:rsid w:val="00EA3155"/>
    <w:rsid w:val="00EA33E5"/>
    <w:rsid w:val="00EA34A1"/>
    <w:rsid w:val="00EA3A31"/>
    <w:rsid w:val="00EA3BB9"/>
    <w:rsid w:val="00EA3D82"/>
    <w:rsid w:val="00EA3F2E"/>
    <w:rsid w:val="00EA446E"/>
    <w:rsid w:val="00EA4606"/>
    <w:rsid w:val="00EA4636"/>
    <w:rsid w:val="00EA49A1"/>
    <w:rsid w:val="00EA4C1E"/>
    <w:rsid w:val="00EA4D4C"/>
    <w:rsid w:val="00EA4D6E"/>
    <w:rsid w:val="00EA4E4C"/>
    <w:rsid w:val="00EA4EB6"/>
    <w:rsid w:val="00EA5100"/>
    <w:rsid w:val="00EA583C"/>
    <w:rsid w:val="00EA6587"/>
    <w:rsid w:val="00EA709F"/>
    <w:rsid w:val="00EA70DD"/>
    <w:rsid w:val="00EA7161"/>
    <w:rsid w:val="00EA75E5"/>
    <w:rsid w:val="00EB03F3"/>
    <w:rsid w:val="00EB0692"/>
    <w:rsid w:val="00EB13E6"/>
    <w:rsid w:val="00EB16EE"/>
    <w:rsid w:val="00EB2722"/>
    <w:rsid w:val="00EB27E0"/>
    <w:rsid w:val="00EB2B00"/>
    <w:rsid w:val="00EB31DD"/>
    <w:rsid w:val="00EB3467"/>
    <w:rsid w:val="00EB3525"/>
    <w:rsid w:val="00EB3808"/>
    <w:rsid w:val="00EB3D5A"/>
    <w:rsid w:val="00EB4AF6"/>
    <w:rsid w:val="00EB5064"/>
    <w:rsid w:val="00EB564B"/>
    <w:rsid w:val="00EB5D99"/>
    <w:rsid w:val="00EB6157"/>
    <w:rsid w:val="00EB61CB"/>
    <w:rsid w:val="00EB63C0"/>
    <w:rsid w:val="00EB669A"/>
    <w:rsid w:val="00EB6A6E"/>
    <w:rsid w:val="00EB6DA1"/>
    <w:rsid w:val="00EB6E91"/>
    <w:rsid w:val="00EB6F01"/>
    <w:rsid w:val="00EB6FA4"/>
    <w:rsid w:val="00EB70CE"/>
    <w:rsid w:val="00EC01E6"/>
    <w:rsid w:val="00EC029B"/>
    <w:rsid w:val="00EC030A"/>
    <w:rsid w:val="00EC0318"/>
    <w:rsid w:val="00EC112E"/>
    <w:rsid w:val="00EC1B06"/>
    <w:rsid w:val="00EC1D3D"/>
    <w:rsid w:val="00EC1E49"/>
    <w:rsid w:val="00EC241D"/>
    <w:rsid w:val="00EC289F"/>
    <w:rsid w:val="00EC2B9C"/>
    <w:rsid w:val="00EC2BDD"/>
    <w:rsid w:val="00EC349B"/>
    <w:rsid w:val="00EC370C"/>
    <w:rsid w:val="00EC38E8"/>
    <w:rsid w:val="00EC4079"/>
    <w:rsid w:val="00EC4243"/>
    <w:rsid w:val="00EC4264"/>
    <w:rsid w:val="00EC45A6"/>
    <w:rsid w:val="00EC4AB9"/>
    <w:rsid w:val="00EC4B1B"/>
    <w:rsid w:val="00EC4B56"/>
    <w:rsid w:val="00EC4E47"/>
    <w:rsid w:val="00EC5044"/>
    <w:rsid w:val="00EC52EE"/>
    <w:rsid w:val="00EC54D1"/>
    <w:rsid w:val="00EC5597"/>
    <w:rsid w:val="00EC5677"/>
    <w:rsid w:val="00EC5B8E"/>
    <w:rsid w:val="00EC5C32"/>
    <w:rsid w:val="00EC6188"/>
    <w:rsid w:val="00EC61F0"/>
    <w:rsid w:val="00EC6604"/>
    <w:rsid w:val="00EC6755"/>
    <w:rsid w:val="00EC6B6D"/>
    <w:rsid w:val="00EC6B79"/>
    <w:rsid w:val="00EC6F8B"/>
    <w:rsid w:val="00EC7504"/>
    <w:rsid w:val="00ED015A"/>
    <w:rsid w:val="00ED0230"/>
    <w:rsid w:val="00ED02AE"/>
    <w:rsid w:val="00ED0A81"/>
    <w:rsid w:val="00ED0D72"/>
    <w:rsid w:val="00ED0F39"/>
    <w:rsid w:val="00ED1132"/>
    <w:rsid w:val="00ED1EFB"/>
    <w:rsid w:val="00ED1F0D"/>
    <w:rsid w:val="00ED23F8"/>
    <w:rsid w:val="00ED277B"/>
    <w:rsid w:val="00ED2C47"/>
    <w:rsid w:val="00ED2E4E"/>
    <w:rsid w:val="00ED305D"/>
    <w:rsid w:val="00ED32B6"/>
    <w:rsid w:val="00ED3E7F"/>
    <w:rsid w:val="00ED54B8"/>
    <w:rsid w:val="00ED5FE6"/>
    <w:rsid w:val="00ED6059"/>
    <w:rsid w:val="00ED6325"/>
    <w:rsid w:val="00ED64AF"/>
    <w:rsid w:val="00ED6FC2"/>
    <w:rsid w:val="00ED7E17"/>
    <w:rsid w:val="00EE017D"/>
    <w:rsid w:val="00EE05E3"/>
    <w:rsid w:val="00EE069D"/>
    <w:rsid w:val="00EE0C12"/>
    <w:rsid w:val="00EE10E0"/>
    <w:rsid w:val="00EE119A"/>
    <w:rsid w:val="00EE11FE"/>
    <w:rsid w:val="00EE1A3E"/>
    <w:rsid w:val="00EE1D89"/>
    <w:rsid w:val="00EE2120"/>
    <w:rsid w:val="00EE2387"/>
    <w:rsid w:val="00EE24B8"/>
    <w:rsid w:val="00EE24D8"/>
    <w:rsid w:val="00EE2A70"/>
    <w:rsid w:val="00EE2A9E"/>
    <w:rsid w:val="00EE39CE"/>
    <w:rsid w:val="00EE4236"/>
    <w:rsid w:val="00EE49AD"/>
    <w:rsid w:val="00EE4A0B"/>
    <w:rsid w:val="00EE4A56"/>
    <w:rsid w:val="00EE4B17"/>
    <w:rsid w:val="00EE5AF8"/>
    <w:rsid w:val="00EE5CAD"/>
    <w:rsid w:val="00EE5CEB"/>
    <w:rsid w:val="00EE5E63"/>
    <w:rsid w:val="00EE6785"/>
    <w:rsid w:val="00EE73AC"/>
    <w:rsid w:val="00EE78CC"/>
    <w:rsid w:val="00EF0636"/>
    <w:rsid w:val="00EF0A92"/>
    <w:rsid w:val="00EF0AA0"/>
    <w:rsid w:val="00EF12C5"/>
    <w:rsid w:val="00EF1483"/>
    <w:rsid w:val="00EF1C2B"/>
    <w:rsid w:val="00EF1E60"/>
    <w:rsid w:val="00EF1F7B"/>
    <w:rsid w:val="00EF23DD"/>
    <w:rsid w:val="00EF24D3"/>
    <w:rsid w:val="00EF25A1"/>
    <w:rsid w:val="00EF2B63"/>
    <w:rsid w:val="00EF2C9A"/>
    <w:rsid w:val="00EF2F6C"/>
    <w:rsid w:val="00EF2FD6"/>
    <w:rsid w:val="00EF32AC"/>
    <w:rsid w:val="00EF32B5"/>
    <w:rsid w:val="00EF3A10"/>
    <w:rsid w:val="00EF4057"/>
    <w:rsid w:val="00EF428C"/>
    <w:rsid w:val="00EF42E0"/>
    <w:rsid w:val="00EF476E"/>
    <w:rsid w:val="00EF4A07"/>
    <w:rsid w:val="00EF4FA0"/>
    <w:rsid w:val="00EF54A8"/>
    <w:rsid w:val="00EF55E3"/>
    <w:rsid w:val="00EF5C86"/>
    <w:rsid w:val="00EF62D9"/>
    <w:rsid w:val="00EF6585"/>
    <w:rsid w:val="00EF6671"/>
    <w:rsid w:val="00EF6D11"/>
    <w:rsid w:val="00EF6EC6"/>
    <w:rsid w:val="00EF700E"/>
    <w:rsid w:val="00EF7125"/>
    <w:rsid w:val="00EF71E6"/>
    <w:rsid w:val="00EF772C"/>
    <w:rsid w:val="00EF7836"/>
    <w:rsid w:val="00EF7A01"/>
    <w:rsid w:val="00EF7A9A"/>
    <w:rsid w:val="00EF7B38"/>
    <w:rsid w:val="00EF7EEC"/>
    <w:rsid w:val="00EF7F4A"/>
    <w:rsid w:val="00F00554"/>
    <w:rsid w:val="00F00584"/>
    <w:rsid w:val="00F008D9"/>
    <w:rsid w:val="00F00CF5"/>
    <w:rsid w:val="00F01428"/>
    <w:rsid w:val="00F01989"/>
    <w:rsid w:val="00F01A92"/>
    <w:rsid w:val="00F02588"/>
    <w:rsid w:val="00F026FC"/>
    <w:rsid w:val="00F02FB0"/>
    <w:rsid w:val="00F03052"/>
    <w:rsid w:val="00F03362"/>
    <w:rsid w:val="00F033C8"/>
    <w:rsid w:val="00F036E4"/>
    <w:rsid w:val="00F03FA6"/>
    <w:rsid w:val="00F042F6"/>
    <w:rsid w:val="00F04DC8"/>
    <w:rsid w:val="00F05450"/>
    <w:rsid w:val="00F05572"/>
    <w:rsid w:val="00F05594"/>
    <w:rsid w:val="00F0572A"/>
    <w:rsid w:val="00F05758"/>
    <w:rsid w:val="00F05CDD"/>
    <w:rsid w:val="00F06025"/>
    <w:rsid w:val="00F067E7"/>
    <w:rsid w:val="00F06807"/>
    <w:rsid w:val="00F06BA2"/>
    <w:rsid w:val="00F06C8D"/>
    <w:rsid w:val="00F06DEC"/>
    <w:rsid w:val="00F06EF6"/>
    <w:rsid w:val="00F06F20"/>
    <w:rsid w:val="00F076D1"/>
    <w:rsid w:val="00F07C0C"/>
    <w:rsid w:val="00F07D14"/>
    <w:rsid w:val="00F07DB3"/>
    <w:rsid w:val="00F1003C"/>
    <w:rsid w:val="00F10158"/>
    <w:rsid w:val="00F103E1"/>
    <w:rsid w:val="00F10961"/>
    <w:rsid w:val="00F10BFF"/>
    <w:rsid w:val="00F10F8F"/>
    <w:rsid w:val="00F116FB"/>
    <w:rsid w:val="00F11AD6"/>
    <w:rsid w:val="00F11F8C"/>
    <w:rsid w:val="00F12253"/>
    <w:rsid w:val="00F12358"/>
    <w:rsid w:val="00F125A6"/>
    <w:rsid w:val="00F13153"/>
    <w:rsid w:val="00F139B5"/>
    <w:rsid w:val="00F13B17"/>
    <w:rsid w:val="00F140A4"/>
    <w:rsid w:val="00F1429E"/>
    <w:rsid w:val="00F14459"/>
    <w:rsid w:val="00F14B69"/>
    <w:rsid w:val="00F14D68"/>
    <w:rsid w:val="00F14E01"/>
    <w:rsid w:val="00F163E7"/>
    <w:rsid w:val="00F163F1"/>
    <w:rsid w:val="00F164FA"/>
    <w:rsid w:val="00F169D7"/>
    <w:rsid w:val="00F16C09"/>
    <w:rsid w:val="00F16D0B"/>
    <w:rsid w:val="00F16D29"/>
    <w:rsid w:val="00F1712F"/>
    <w:rsid w:val="00F176C5"/>
    <w:rsid w:val="00F204B9"/>
    <w:rsid w:val="00F207A2"/>
    <w:rsid w:val="00F20C92"/>
    <w:rsid w:val="00F21126"/>
    <w:rsid w:val="00F21160"/>
    <w:rsid w:val="00F217F6"/>
    <w:rsid w:val="00F21917"/>
    <w:rsid w:val="00F226E0"/>
    <w:rsid w:val="00F22AC3"/>
    <w:rsid w:val="00F23082"/>
    <w:rsid w:val="00F234F2"/>
    <w:rsid w:val="00F237DC"/>
    <w:rsid w:val="00F23D0D"/>
    <w:rsid w:val="00F23DDD"/>
    <w:rsid w:val="00F23E9D"/>
    <w:rsid w:val="00F23EFF"/>
    <w:rsid w:val="00F2458E"/>
    <w:rsid w:val="00F24851"/>
    <w:rsid w:val="00F24A77"/>
    <w:rsid w:val="00F25238"/>
    <w:rsid w:val="00F254D1"/>
    <w:rsid w:val="00F25767"/>
    <w:rsid w:val="00F25A44"/>
    <w:rsid w:val="00F25D74"/>
    <w:rsid w:val="00F25FEA"/>
    <w:rsid w:val="00F2636A"/>
    <w:rsid w:val="00F26753"/>
    <w:rsid w:val="00F26B0E"/>
    <w:rsid w:val="00F26DD4"/>
    <w:rsid w:val="00F2736C"/>
    <w:rsid w:val="00F2746C"/>
    <w:rsid w:val="00F278D4"/>
    <w:rsid w:val="00F279C9"/>
    <w:rsid w:val="00F27B9C"/>
    <w:rsid w:val="00F27F1A"/>
    <w:rsid w:val="00F300A1"/>
    <w:rsid w:val="00F30604"/>
    <w:rsid w:val="00F308BF"/>
    <w:rsid w:val="00F30A25"/>
    <w:rsid w:val="00F30C0F"/>
    <w:rsid w:val="00F315B9"/>
    <w:rsid w:val="00F31705"/>
    <w:rsid w:val="00F31E82"/>
    <w:rsid w:val="00F322E1"/>
    <w:rsid w:val="00F32513"/>
    <w:rsid w:val="00F32FC6"/>
    <w:rsid w:val="00F331ED"/>
    <w:rsid w:val="00F3345E"/>
    <w:rsid w:val="00F3348C"/>
    <w:rsid w:val="00F337CA"/>
    <w:rsid w:val="00F342A5"/>
    <w:rsid w:val="00F342C9"/>
    <w:rsid w:val="00F3458E"/>
    <w:rsid w:val="00F34868"/>
    <w:rsid w:val="00F34963"/>
    <w:rsid w:val="00F34C26"/>
    <w:rsid w:val="00F34CFF"/>
    <w:rsid w:val="00F34F12"/>
    <w:rsid w:val="00F35034"/>
    <w:rsid w:val="00F3580F"/>
    <w:rsid w:val="00F35994"/>
    <w:rsid w:val="00F35C48"/>
    <w:rsid w:val="00F35C70"/>
    <w:rsid w:val="00F361D3"/>
    <w:rsid w:val="00F361F4"/>
    <w:rsid w:val="00F363A7"/>
    <w:rsid w:val="00F36405"/>
    <w:rsid w:val="00F36B4C"/>
    <w:rsid w:val="00F36B74"/>
    <w:rsid w:val="00F36BE8"/>
    <w:rsid w:val="00F37226"/>
    <w:rsid w:val="00F379F8"/>
    <w:rsid w:val="00F37E84"/>
    <w:rsid w:val="00F37EA1"/>
    <w:rsid w:val="00F40505"/>
    <w:rsid w:val="00F40539"/>
    <w:rsid w:val="00F40DB1"/>
    <w:rsid w:val="00F4133B"/>
    <w:rsid w:val="00F41821"/>
    <w:rsid w:val="00F41A6F"/>
    <w:rsid w:val="00F41B0C"/>
    <w:rsid w:val="00F41F51"/>
    <w:rsid w:val="00F423C5"/>
    <w:rsid w:val="00F42436"/>
    <w:rsid w:val="00F427C2"/>
    <w:rsid w:val="00F42E69"/>
    <w:rsid w:val="00F43165"/>
    <w:rsid w:val="00F4372A"/>
    <w:rsid w:val="00F44043"/>
    <w:rsid w:val="00F44B4A"/>
    <w:rsid w:val="00F44FB2"/>
    <w:rsid w:val="00F45317"/>
    <w:rsid w:val="00F45B08"/>
    <w:rsid w:val="00F45C68"/>
    <w:rsid w:val="00F4602B"/>
    <w:rsid w:val="00F4674C"/>
    <w:rsid w:val="00F47A15"/>
    <w:rsid w:val="00F50BF1"/>
    <w:rsid w:val="00F50CA8"/>
    <w:rsid w:val="00F5139E"/>
    <w:rsid w:val="00F5197F"/>
    <w:rsid w:val="00F51B11"/>
    <w:rsid w:val="00F51BF0"/>
    <w:rsid w:val="00F51CF6"/>
    <w:rsid w:val="00F51F7D"/>
    <w:rsid w:val="00F520C0"/>
    <w:rsid w:val="00F52126"/>
    <w:rsid w:val="00F52165"/>
    <w:rsid w:val="00F52287"/>
    <w:rsid w:val="00F528E9"/>
    <w:rsid w:val="00F52D90"/>
    <w:rsid w:val="00F532D9"/>
    <w:rsid w:val="00F53302"/>
    <w:rsid w:val="00F53303"/>
    <w:rsid w:val="00F53455"/>
    <w:rsid w:val="00F536B3"/>
    <w:rsid w:val="00F53A2C"/>
    <w:rsid w:val="00F53B61"/>
    <w:rsid w:val="00F541BB"/>
    <w:rsid w:val="00F54B51"/>
    <w:rsid w:val="00F55724"/>
    <w:rsid w:val="00F5581A"/>
    <w:rsid w:val="00F55D08"/>
    <w:rsid w:val="00F55EC9"/>
    <w:rsid w:val="00F56C20"/>
    <w:rsid w:val="00F56CEC"/>
    <w:rsid w:val="00F56D31"/>
    <w:rsid w:val="00F56F35"/>
    <w:rsid w:val="00F570AB"/>
    <w:rsid w:val="00F5734B"/>
    <w:rsid w:val="00F574EE"/>
    <w:rsid w:val="00F5752B"/>
    <w:rsid w:val="00F57766"/>
    <w:rsid w:val="00F57921"/>
    <w:rsid w:val="00F609A5"/>
    <w:rsid w:val="00F609C6"/>
    <w:rsid w:val="00F60B3E"/>
    <w:rsid w:val="00F60B6C"/>
    <w:rsid w:val="00F61249"/>
    <w:rsid w:val="00F61C18"/>
    <w:rsid w:val="00F62168"/>
    <w:rsid w:val="00F62257"/>
    <w:rsid w:val="00F62701"/>
    <w:rsid w:val="00F62A28"/>
    <w:rsid w:val="00F62CFF"/>
    <w:rsid w:val="00F62EC2"/>
    <w:rsid w:val="00F62F3D"/>
    <w:rsid w:val="00F63355"/>
    <w:rsid w:val="00F633D2"/>
    <w:rsid w:val="00F635D7"/>
    <w:rsid w:val="00F6371F"/>
    <w:rsid w:val="00F63E6C"/>
    <w:rsid w:val="00F641F2"/>
    <w:rsid w:val="00F645C3"/>
    <w:rsid w:val="00F646CD"/>
    <w:rsid w:val="00F65423"/>
    <w:rsid w:val="00F65B51"/>
    <w:rsid w:val="00F66AA0"/>
    <w:rsid w:val="00F66C8A"/>
    <w:rsid w:val="00F66ECD"/>
    <w:rsid w:val="00F6700D"/>
    <w:rsid w:val="00F67576"/>
    <w:rsid w:val="00F67ED1"/>
    <w:rsid w:val="00F70B40"/>
    <w:rsid w:val="00F70BB0"/>
    <w:rsid w:val="00F70E2A"/>
    <w:rsid w:val="00F70EA5"/>
    <w:rsid w:val="00F71757"/>
    <w:rsid w:val="00F71F48"/>
    <w:rsid w:val="00F720E3"/>
    <w:rsid w:val="00F7213A"/>
    <w:rsid w:val="00F72401"/>
    <w:rsid w:val="00F7260C"/>
    <w:rsid w:val="00F7274C"/>
    <w:rsid w:val="00F72E9D"/>
    <w:rsid w:val="00F73454"/>
    <w:rsid w:val="00F737F9"/>
    <w:rsid w:val="00F738E2"/>
    <w:rsid w:val="00F743C4"/>
    <w:rsid w:val="00F7443E"/>
    <w:rsid w:val="00F74AF5"/>
    <w:rsid w:val="00F74B85"/>
    <w:rsid w:val="00F74F12"/>
    <w:rsid w:val="00F75463"/>
    <w:rsid w:val="00F75B34"/>
    <w:rsid w:val="00F75FE5"/>
    <w:rsid w:val="00F7682E"/>
    <w:rsid w:val="00F76C1F"/>
    <w:rsid w:val="00F76E88"/>
    <w:rsid w:val="00F77C0F"/>
    <w:rsid w:val="00F802E3"/>
    <w:rsid w:val="00F809CC"/>
    <w:rsid w:val="00F80A31"/>
    <w:rsid w:val="00F80BAC"/>
    <w:rsid w:val="00F815B1"/>
    <w:rsid w:val="00F8169B"/>
    <w:rsid w:val="00F81B21"/>
    <w:rsid w:val="00F82240"/>
    <w:rsid w:val="00F82FDA"/>
    <w:rsid w:val="00F83178"/>
    <w:rsid w:val="00F835FF"/>
    <w:rsid w:val="00F836FC"/>
    <w:rsid w:val="00F84AFB"/>
    <w:rsid w:val="00F84B33"/>
    <w:rsid w:val="00F850F3"/>
    <w:rsid w:val="00F8663C"/>
    <w:rsid w:val="00F8672B"/>
    <w:rsid w:val="00F86FFD"/>
    <w:rsid w:val="00F876E0"/>
    <w:rsid w:val="00F87FCE"/>
    <w:rsid w:val="00F90370"/>
    <w:rsid w:val="00F90582"/>
    <w:rsid w:val="00F9063F"/>
    <w:rsid w:val="00F9204D"/>
    <w:rsid w:val="00F929B8"/>
    <w:rsid w:val="00F929C4"/>
    <w:rsid w:val="00F93044"/>
    <w:rsid w:val="00F93B5E"/>
    <w:rsid w:val="00F93E8A"/>
    <w:rsid w:val="00F940F2"/>
    <w:rsid w:val="00F946EB"/>
    <w:rsid w:val="00F94812"/>
    <w:rsid w:val="00F949FE"/>
    <w:rsid w:val="00F94AD3"/>
    <w:rsid w:val="00F94BCA"/>
    <w:rsid w:val="00F94FA5"/>
    <w:rsid w:val="00F951E5"/>
    <w:rsid w:val="00F953DC"/>
    <w:rsid w:val="00F95E0B"/>
    <w:rsid w:val="00F96045"/>
    <w:rsid w:val="00F96648"/>
    <w:rsid w:val="00F96722"/>
    <w:rsid w:val="00F96D2F"/>
    <w:rsid w:val="00F96D5A"/>
    <w:rsid w:val="00F96E2E"/>
    <w:rsid w:val="00F9713C"/>
    <w:rsid w:val="00F97442"/>
    <w:rsid w:val="00F9775F"/>
    <w:rsid w:val="00F97931"/>
    <w:rsid w:val="00F97944"/>
    <w:rsid w:val="00F979E2"/>
    <w:rsid w:val="00F97C56"/>
    <w:rsid w:val="00FA0041"/>
    <w:rsid w:val="00FA0387"/>
    <w:rsid w:val="00FA06EB"/>
    <w:rsid w:val="00FA074D"/>
    <w:rsid w:val="00FA164F"/>
    <w:rsid w:val="00FA1C1E"/>
    <w:rsid w:val="00FA1E0E"/>
    <w:rsid w:val="00FA22C8"/>
    <w:rsid w:val="00FA253C"/>
    <w:rsid w:val="00FA2AEE"/>
    <w:rsid w:val="00FA313D"/>
    <w:rsid w:val="00FA31AA"/>
    <w:rsid w:val="00FA3A88"/>
    <w:rsid w:val="00FA3AF1"/>
    <w:rsid w:val="00FA3E6B"/>
    <w:rsid w:val="00FA40B4"/>
    <w:rsid w:val="00FA41FA"/>
    <w:rsid w:val="00FA4567"/>
    <w:rsid w:val="00FA585A"/>
    <w:rsid w:val="00FA628F"/>
    <w:rsid w:val="00FA652E"/>
    <w:rsid w:val="00FA6648"/>
    <w:rsid w:val="00FA6F03"/>
    <w:rsid w:val="00FA7273"/>
    <w:rsid w:val="00FA7368"/>
    <w:rsid w:val="00FA7A25"/>
    <w:rsid w:val="00FA7A8A"/>
    <w:rsid w:val="00FA7AF4"/>
    <w:rsid w:val="00FA7B25"/>
    <w:rsid w:val="00FA7B89"/>
    <w:rsid w:val="00FA7BFB"/>
    <w:rsid w:val="00FA7C63"/>
    <w:rsid w:val="00FB08EB"/>
    <w:rsid w:val="00FB0C6A"/>
    <w:rsid w:val="00FB0ED4"/>
    <w:rsid w:val="00FB1172"/>
    <w:rsid w:val="00FB1488"/>
    <w:rsid w:val="00FB193F"/>
    <w:rsid w:val="00FB1C54"/>
    <w:rsid w:val="00FB27C2"/>
    <w:rsid w:val="00FB2829"/>
    <w:rsid w:val="00FB2FE3"/>
    <w:rsid w:val="00FB3219"/>
    <w:rsid w:val="00FB3C9D"/>
    <w:rsid w:val="00FB3DAF"/>
    <w:rsid w:val="00FB3FDD"/>
    <w:rsid w:val="00FB41B4"/>
    <w:rsid w:val="00FB44F1"/>
    <w:rsid w:val="00FB466A"/>
    <w:rsid w:val="00FB4781"/>
    <w:rsid w:val="00FB4A5B"/>
    <w:rsid w:val="00FB4AAC"/>
    <w:rsid w:val="00FB51B3"/>
    <w:rsid w:val="00FB5491"/>
    <w:rsid w:val="00FB5531"/>
    <w:rsid w:val="00FB56E1"/>
    <w:rsid w:val="00FB593E"/>
    <w:rsid w:val="00FB5B23"/>
    <w:rsid w:val="00FB5C93"/>
    <w:rsid w:val="00FB5EED"/>
    <w:rsid w:val="00FB6078"/>
    <w:rsid w:val="00FB6170"/>
    <w:rsid w:val="00FB6706"/>
    <w:rsid w:val="00FB6CE1"/>
    <w:rsid w:val="00FB6E33"/>
    <w:rsid w:val="00FB73C7"/>
    <w:rsid w:val="00FB7A72"/>
    <w:rsid w:val="00FC0875"/>
    <w:rsid w:val="00FC087C"/>
    <w:rsid w:val="00FC0E8C"/>
    <w:rsid w:val="00FC1938"/>
    <w:rsid w:val="00FC1E97"/>
    <w:rsid w:val="00FC1ECA"/>
    <w:rsid w:val="00FC2110"/>
    <w:rsid w:val="00FC255D"/>
    <w:rsid w:val="00FC28E7"/>
    <w:rsid w:val="00FC2CAD"/>
    <w:rsid w:val="00FC2DC8"/>
    <w:rsid w:val="00FC320A"/>
    <w:rsid w:val="00FC3303"/>
    <w:rsid w:val="00FC35DB"/>
    <w:rsid w:val="00FC380E"/>
    <w:rsid w:val="00FC3BE5"/>
    <w:rsid w:val="00FC3CB6"/>
    <w:rsid w:val="00FC45C4"/>
    <w:rsid w:val="00FC4AF2"/>
    <w:rsid w:val="00FC4E56"/>
    <w:rsid w:val="00FC5200"/>
    <w:rsid w:val="00FC5323"/>
    <w:rsid w:val="00FC5E4C"/>
    <w:rsid w:val="00FC6188"/>
    <w:rsid w:val="00FC6475"/>
    <w:rsid w:val="00FC6AA0"/>
    <w:rsid w:val="00FC6DA5"/>
    <w:rsid w:val="00FC7091"/>
    <w:rsid w:val="00FC70F5"/>
    <w:rsid w:val="00FC7BC4"/>
    <w:rsid w:val="00FC7C6E"/>
    <w:rsid w:val="00FD068F"/>
    <w:rsid w:val="00FD07F6"/>
    <w:rsid w:val="00FD0844"/>
    <w:rsid w:val="00FD0A37"/>
    <w:rsid w:val="00FD0EF7"/>
    <w:rsid w:val="00FD15AA"/>
    <w:rsid w:val="00FD1928"/>
    <w:rsid w:val="00FD1BFA"/>
    <w:rsid w:val="00FD1D22"/>
    <w:rsid w:val="00FD2164"/>
    <w:rsid w:val="00FD23F3"/>
    <w:rsid w:val="00FD259A"/>
    <w:rsid w:val="00FD2720"/>
    <w:rsid w:val="00FD2A24"/>
    <w:rsid w:val="00FD2AE9"/>
    <w:rsid w:val="00FD35DF"/>
    <w:rsid w:val="00FD3895"/>
    <w:rsid w:val="00FD391F"/>
    <w:rsid w:val="00FD3DEF"/>
    <w:rsid w:val="00FD400F"/>
    <w:rsid w:val="00FD4659"/>
    <w:rsid w:val="00FD4C99"/>
    <w:rsid w:val="00FD52C8"/>
    <w:rsid w:val="00FD5EB6"/>
    <w:rsid w:val="00FD5EFA"/>
    <w:rsid w:val="00FD672E"/>
    <w:rsid w:val="00FD68D3"/>
    <w:rsid w:val="00FD6C80"/>
    <w:rsid w:val="00FD7825"/>
    <w:rsid w:val="00FD7D7E"/>
    <w:rsid w:val="00FE024E"/>
    <w:rsid w:val="00FE06DD"/>
    <w:rsid w:val="00FE0732"/>
    <w:rsid w:val="00FE1799"/>
    <w:rsid w:val="00FE1A97"/>
    <w:rsid w:val="00FE1D84"/>
    <w:rsid w:val="00FE244D"/>
    <w:rsid w:val="00FE2616"/>
    <w:rsid w:val="00FE36A2"/>
    <w:rsid w:val="00FE3C81"/>
    <w:rsid w:val="00FE3E28"/>
    <w:rsid w:val="00FE40DD"/>
    <w:rsid w:val="00FE41CA"/>
    <w:rsid w:val="00FE4285"/>
    <w:rsid w:val="00FE448C"/>
    <w:rsid w:val="00FE4B1C"/>
    <w:rsid w:val="00FE4BFC"/>
    <w:rsid w:val="00FE4CCF"/>
    <w:rsid w:val="00FE4D34"/>
    <w:rsid w:val="00FE5D92"/>
    <w:rsid w:val="00FE5E21"/>
    <w:rsid w:val="00FE6002"/>
    <w:rsid w:val="00FE6A13"/>
    <w:rsid w:val="00FE6B8A"/>
    <w:rsid w:val="00FE6D14"/>
    <w:rsid w:val="00FE6E1D"/>
    <w:rsid w:val="00FE6F29"/>
    <w:rsid w:val="00FE6F30"/>
    <w:rsid w:val="00FE7083"/>
    <w:rsid w:val="00FE7461"/>
    <w:rsid w:val="00FF0162"/>
    <w:rsid w:val="00FF1910"/>
    <w:rsid w:val="00FF1A44"/>
    <w:rsid w:val="00FF1CCC"/>
    <w:rsid w:val="00FF1DB3"/>
    <w:rsid w:val="00FF2053"/>
    <w:rsid w:val="00FF2A49"/>
    <w:rsid w:val="00FF316A"/>
    <w:rsid w:val="00FF35F8"/>
    <w:rsid w:val="00FF3647"/>
    <w:rsid w:val="00FF36DB"/>
    <w:rsid w:val="00FF4619"/>
    <w:rsid w:val="00FF487F"/>
    <w:rsid w:val="00FF4929"/>
    <w:rsid w:val="00FF4BC1"/>
    <w:rsid w:val="00FF5B55"/>
    <w:rsid w:val="00FF5BFD"/>
    <w:rsid w:val="00FF5D73"/>
    <w:rsid w:val="00FF6DBC"/>
    <w:rsid w:val="00FF7304"/>
    <w:rsid w:val="00FF747F"/>
    <w:rsid w:val="00FF75DC"/>
    <w:rsid w:val="00FF760F"/>
    <w:rsid w:val="00FF7823"/>
    <w:rsid w:val="00FF7B66"/>
    <w:rsid w:val="011F305F"/>
    <w:rsid w:val="014829F0"/>
    <w:rsid w:val="01510F84"/>
    <w:rsid w:val="016F156B"/>
    <w:rsid w:val="017F1D8D"/>
    <w:rsid w:val="018007FC"/>
    <w:rsid w:val="01AB66E1"/>
    <w:rsid w:val="01AE71B5"/>
    <w:rsid w:val="01AF6B6E"/>
    <w:rsid w:val="01B45109"/>
    <w:rsid w:val="01D5066D"/>
    <w:rsid w:val="01F10420"/>
    <w:rsid w:val="01FA581E"/>
    <w:rsid w:val="0206532C"/>
    <w:rsid w:val="024D5F8E"/>
    <w:rsid w:val="02520CBA"/>
    <w:rsid w:val="0253274D"/>
    <w:rsid w:val="027147FF"/>
    <w:rsid w:val="027F3ED6"/>
    <w:rsid w:val="02C0449D"/>
    <w:rsid w:val="02CA6313"/>
    <w:rsid w:val="02CD3B89"/>
    <w:rsid w:val="02DB205A"/>
    <w:rsid w:val="02E66B92"/>
    <w:rsid w:val="02ED6274"/>
    <w:rsid w:val="02F45E67"/>
    <w:rsid w:val="02F86B91"/>
    <w:rsid w:val="035160EC"/>
    <w:rsid w:val="03631F34"/>
    <w:rsid w:val="03645DD8"/>
    <w:rsid w:val="03A45D16"/>
    <w:rsid w:val="03B50202"/>
    <w:rsid w:val="03DF3F89"/>
    <w:rsid w:val="03F27CEE"/>
    <w:rsid w:val="040C21AC"/>
    <w:rsid w:val="042F6DE7"/>
    <w:rsid w:val="04360257"/>
    <w:rsid w:val="04500527"/>
    <w:rsid w:val="045C5D2C"/>
    <w:rsid w:val="04637DFD"/>
    <w:rsid w:val="048E7418"/>
    <w:rsid w:val="04F6444F"/>
    <w:rsid w:val="05042477"/>
    <w:rsid w:val="051830CB"/>
    <w:rsid w:val="052120DC"/>
    <w:rsid w:val="05311F08"/>
    <w:rsid w:val="055E085F"/>
    <w:rsid w:val="058351FD"/>
    <w:rsid w:val="05887675"/>
    <w:rsid w:val="059906B0"/>
    <w:rsid w:val="059A4FA0"/>
    <w:rsid w:val="05C2445D"/>
    <w:rsid w:val="05ED35C6"/>
    <w:rsid w:val="05EF0CDF"/>
    <w:rsid w:val="05F268CB"/>
    <w:rsid w:val="06124A94"/>
    <w:rsid w:val="062D7C32"/>
    <w:rsid w:val="063207B8"/>
    <w:rsid w:val="063367A6"/>
    <w:rsid w:val="06352C13"/>
    <w:rsid w:val="0637116C"/>
    <w:rsid w:val="06382C43"/>
    <w:rsid w:val="065C19B3"/>
    <w:rsid w:val="0674142D"/>
    <w:rsid w:val="0698462E"/>
    <w:rsid w:val="06B333C0"/>
    <w:rsid w:val="06B807E5"/>
    <w:rsid w:val="06C42506"/>
    <w:rsid w:val="06DF40CA"/>
    <w:rsid w:val="07427FE0"/>
    <w:rsid w:val="07645B50"/>
    <w:rsid w:val="076810EC"/>
    <w:rsid w:val="076D2C33"/>
    <w:rsid w:val="07767651"/>
    <w:rsid w:val="07A11A7E"/>
    <w:rsid w:val="07A55A29"/>
    <w:rsid w:val="07BF66DE"/>
    <w:rsid w:val="07CD7759"/>
    <w:rsid w:val="07D40792"/>
    <w:rsid w:val="08395A72"/>
    <w:rsid w:val="083A104D"/>
    <w:rsid w:val="08516353"/>
    <w:rsid w:val="089E2545"/>
    <w:rsid w:val="08B92CC1"/>
    <w:rsid w:val="08FF6BF7"/>
    <w:rsid w:val="090A5A61"/>
    <w:rsid w:val="092304C0"/>
    <w:rsid w:val="095C5DEB"/>
    <w:rsid w:val="09647DE7"/>
    <w:rsid w:val="09745052"/>
    <w:rsid w:val="097A7482"/>
    <w:rsid w:val="098113CC"/>
    <w:rsid w:val="09AA5FD9"/>
    <w:rsid w:val="09CA3E50"/>
    <w:rsid w:val="09E00FC1"/>
    <w:rsid w:val="09EE27DB"/>
    <w:rsid w:val="09FB2701"/>
    <w:rsid w:val="0A10452C"/>
    <w:rsid w:val="0A153C87"/>
    <w:rsid w:val="0A233282"/>
    <w:rsid w:val="0A2D415E"/>
    <w:rsid w:val="0A457C3E"/>
    <w:rsid w:val="0A76458C"/>
    <w:rsid w:val="0A79169D"/>
    <w:rsid w:val="0A836A18"/>
    <w:rsid w:val="0AA22720"/>
    <w:rsid w:val="0AB95A82"/>
    <w:rsid w:val="0AEB6F34"/>
    <w:rsid w:val="0AEE0353"/>
    <w:rsid w:val="0B452B8B"/>
    <w:rsid w:val="0B460D25"/>
    <w:rsid w:val="0B580C55"/>
    <w:rsid w:val="0B584232"/>
    <w:rsid w:val="0B5C0CCD"/>
    <w:rsid w:val="0B743A06"/>
    <w:rsid w:val="0B9F7459"/>
    <w:rsid w:val="0BA10AAF"/>
    <w:rsid w:val="0BDB32CC"/>
    <w:rsid w:val="0BE6231B"/>
    <w:rsid w:val="0BF42386"/>
    <w:rsid w:val="0C0113B5"/>
    <w:rsid w:val="0C3F3765"/>
    <w:rsid w:val="0C6F1085"/>
    <w:rsid w:val="0CA32ABB"/>
    <w:rsid w:val="0CAE158E"/>
    <w:rsid w:val="0CAF2151"/>
    <w:rsid w:val="0CB828A5"/>
    <w:rsid w:val="0CC70CEE"/>
    <w:rsid w:val="0CCA5238"/>
    <w:rsid w:val="0CCC4574"/>
    <w:rsid w:val="0CCC5C35"/>
    <w:rsid w:val="0CD205FB"/>
    <w:rsid w:val="0CDE4924"/>
    <w:rsid w:val="0D0627CA"/>
    <w:rsid w:val="0D0C024A"/>
    <w:rsid w:val="0D322B94"/>
    <w:rsid w:val="0D756AA5"/>
    <w:rsid w:val="0D7D35BA"/>
    <w:rsid w:val="0D8550A6"/>
    <w:rsid w:val="0D8E0D49"/>
    <w:rsid w:val="0D922ED9"/>
    <w:rsid w:val="0DA23CAD"/>
    <w:rsid w:val="0DA97691"/>
    <w:rsid w:val="0DBA35BE"/>
    <w:rsid w:val="0DE2103F"/>
    <w:rsid w:val="0DE45C2F"/>
    <w:rsid w:val="0E2921D0"/>
    <w:rsid w:val="0E2D7F63"/>
    <w:rsid w:val="0E3E25D9"/>
    <w:rsid w:val="0E3F68B7"/>
    <w:rsid w:val="0E5D20FE"/>
    <w:rsid w:val="0E647979"/>
    <w:rsid w:val="0E706490"/>
    <w:rsid w:val="0EA12AD8"/>
    <w:rsid w:val="0EBB61EC"/>
    <w:rsid w:val="0ED43E64"/>
    <w:rsid w:val="0EED1E47"/>
    <w:rsid w:val="0F0E30A2"/>
    <w:rsid w:val="0F13698A"/>
    <w:rsid w:val="0F143A3F"/>
    <w:rsid w:val="0F3C259D"/>
    <w:rsid w:val="0F406CDF"/>
    <w:rsid w:val="0F411414"/>
    <w:rsid w:val="0F4D1A7B"/>
    <w:rsid w:val="0F502E0C"/>
    <w:rsid w:val="0F817BCC"/>
    <w:rsid w:val="0FAC741D"/>
    <w:rsid w:val="0FBB2214"/>
    <w:rsid w:val="0FBD1A6E"/>
    <w:rsid w:val="0FCB4E89"/>
    <w:rsid w:val="0FE50EEA"/>
    <w:rsid w:val="0FF14616"/>
    <w:rsid w:val="100E04B0"/>
    <w:rsid w:val="106B3F51"/>
    <w:rsid w:val="10933121"/>
    <w:rsid w:val="10934AA0"/>
    <w:rsid w:val="10971B41"/>
    <w:rsid w:val="10D83923"/>
    <w:rsid w:val="10E2491B"/>
    <w:rsid w:val="11091FC7"/>
    <w:rsid w:val="111B37D7"/>
    <w:rsid w:val="113338FA"/>
    <w:rsid w:val="113C1636"/>
    <w:rsid w:val="115F3F7C"/>
    <w:rsid w:val="116D54E3"/>
    <w:rsid w:val="11734E0B"/>
    <w:rsid w:val="117E68EB"/>
    <w:rsid w:val="119012F0"/>
    <w:rsid w:val="11A56B01"/>
    <w:rsid w:val="11B74AF2"/>
    <w:rsid w:val="11D70154"/>
    <w:rsid w:val="11DB45D3"/>
    <w:rsid w:val="12053521"/>
    <w:rsid w:val="1226284F"/>
    <w:rsid w:val="12386EF3"/>
    <w:rsid w:val="129460D1"/>
    <w:rsid w:val="12C90213"/>
    <w:rsid w:val="12D92C50"/>
    <w:rsid w:val="12F02E13"/>
    <w:rsid w:val="131E7B86"/>
    <w:rsid w:val="132126EC"/>
    <w:rsid w:val="1328798E"/>
    <w:rsid w:val="136B323D"/>
    <w:rsid w:val="137D55C1"/>
    <w:rsid w:val="137E1A7B"/>
    <w:rsid w:val="13804151"/>
    <w:rsid w:val="13823A76"/>
    <w:rsid w:val="13865B33"/>
    <w:rsid w:val="138E0973"/>
    <w:rsid w:val="13A3775C"/>
    <w:rsid w:val="13CD0BA2"/>
    <w:rsid w:val="13CD4A69"/>
    <w:rsid w:val="13D95AA1"/>
    <w:rsid w:val="13E91136"/>
    <w:rsid w:val="145872E7"/>
    <w:rsid w:val="145F0F99"/>
    <w:rsid w:val="14A2160E"/>
    <w:rsid w:val="14AF03DF"/>
    <w:rsid w:val="14E05B23"/>
    <w:rsid w:val="14EC17E2"/>
    <w:rsid w:val="153A7A9F"/>
    <w:rsid w:val="154E37A0"/>
    <w:rsid w:val="15521763"/>
    <w:rsid w:val="15671347"/>
    <w:rsid w:val="15671DBF"/>
    <w:rsid w:val="156C5062"/>
    <w:rsid w:val="1574360E"/>
    <w:rsid w:val="15AB545B"/>
    <w:rsid w:val="15C66A2F"/>
    <w:rsid w:val="15D14C8D"/>
    <w:rsid w:val="15D5534E"/>
    <w:rsid w:val="15FD52C8"/>
    <w:rsid w:val="160A2C91"/>
    <w:rsid w:val="160C7003"/>
    <w:rsid w:val="1624290B"/>
    <w:rsid w:val="166C0BF8"/>
    <w:rsid w:val="16883915"/>
    <w:rsid w:val="16DB0F74"/>
    <w:rsid w:val="16E773C6"/>
    <w:rsid w:val="16FD1D27"/>
    <w:rsid w:val="170C145E"/>
    <w:rsid w:val="171A0AEE"/>
    <w:rsid w:val="171A1A37"/>
    <w:rsid w:val="171F02E9"/>
    <w:rsid w:val="174A7692"/>
    <w:rsid w:val="175B5DDB"/>
    <w:rsid w:val="17863DBA"/>
    <w:rsid w:val="17A20E7E"/>
    <w:rsid w:val="17AC04D5"/>
    <w:rsid w:val="17B7693C"/>
    <w:rsid w:val="17C37027"/>
    <w:rsid w:val="17C74596"/>
    <w:rsid w:val="17DE20EF"/>
    <w:rsid w:val="18552D75"/>
    <w:rsid w:val="18637C32"/>
    <w:rsid w:val="18787128"/>
    <w:rsid w:val="188D4A86"/>
    <w:rsid w:val="18963C8A"/>
    <w:rsid w:val="18BE7442"/>
    <w:rsid w:val="18E45894"/>
    <w:rsid w:val="18E65CD9"/>
    <w:rsid w:val="1930681E"/>
    <w:rsid w:val="1934264F"/>
    <w:rsid w:val="193F342E"/>
    <w:rsid w:val="19C03F0E"/>
    <w:rsid w:val="19EF621A"/>
    <w:rsid w:val="19F90EE2"/>
    <w:rsid w:val="1A016DDF"/>
    <w:rsid w:val="1A46133C"/>
    <w:rsid w:val="1A497F93"/>
    <w:rsid w:val="1A627F69"/>
    <w:rsid w:val="1A644923"/>
    <w:rsid w:val="1A6D2B43"/>
    <w:rsid w:val="1A735682"/>
    <w:rsid w:val="1A8163B0"/>
    <w:rsid w:val="1A925997"/>
    <w:rsid w:val="1A9B5D28"/>
    <w:rsid w:val="1AA0484C"/>
    <w:rsid w:val="1AAC20EF"/>
    <w:rsid w:val="1ACC331A"/>
    <w:rsid w:val="1ADE57C0"/>
    <w:rsid w:val="1AFA78ED"/>
    <w:rsid w:val="1B1A44D0"/>
    <w:rsid w:val="1B61067A"/>
    <w:rsid w:val="1B73784E"/>
    <w:rsid w:val="1B7C3039"/>
    <w:rsid w:val="1B9B3F7A"/>
    <w:rsid w:val="1BA87134"/>
    <w:rsid w:val="1BB65417"/>
    <w:rsid w:val="1BE20504"/>
    <w:rsid w:val="1BEE330D"/>
    <w:rsid w:val="1BF537D1"/>
    <w:rsid w:val="1C0401E4"/>
    <w:rsid w:val="1C27115B"/>
    <w:rsid w:val="1C295CE5"/>
    <w:rsid w:val="1C2D521B"/>
    <w:rsid w:val="1C7D3DEB"/>
    <w:rsid w:val="1CA6242E"/>
    <w:rsid w:val="1CB0725A"/>
    <w:rsid w:val="1CC0677F"/>
    <w:rsid w:val="1CC63DBE"/>
    <w:rsid w:val="1CDE7476"/>
    <w:rsid w:val="1CEC3F53"/>
    <w:rsid w:val="1D15127B"/>
    <w:rsid w:val="1D2B6573"/>
    <w:rsid w:val="1D4B6539"/>
    <w:rsid w:val="1D675D25"/>
    <w:rsid w:val="1D921A45"/>
    <w:rsid w:val="1DAD4514"/>
    <w:rsid w:val="1DBA4654"/>
    <w:rsid w:val="1DD63830"/>
    <w:rsid w:val="1DDF1AA5"/>
    <w:rsid w:val="1DEC418A"/>
    <w:rsid w:val="1DEE23B4"/>
    <w:rsid w:val="1E395470"/>
    <w:rsid w:val="1E711E79"/>
    <w:rsid w:val="1E7A4BF5"/>
    <w:rsid w:val="1E996BC3"/>
    <w:rsid w:val="1EA0160A"/>
    <w:rsid w:val="1EAF5B83"/>
    <w:rsid w:val="1EC67E18"/>
    <w:rsid w:val="1EC97FD5"/>
    <w:rsid w:val="1ECC343F"/>
    <w:rsid w:val="1ECE2E43"/>
    <w:rsid w:val="1ED21511"/>
    <w:rsid w:val="1F043F79"/>
    <w:rsid w:val="1F2F5AE9"/>
    <w:rsid w:val="1F4D29A6"/>
    <w:rsid w:val="1F662736"/>
    <w:rsid w:val="1F711B70"/>
    <w:rsid w:val="1F7312F2"/>
    <w:rsid w:val="1F765546"/>
    <w:rsid w:val="1F7D6255"/>
    <w:rsid w:val="1F9F38B7"/>
    <w:rsid w:val="1FB260B1"/>
    <w:rsid w:val="1FBB6AF9"/>
    <w:rsid w:val="1FD74ECE"/>
    <w:rsid w:val="1FDC443C"/>
    <w:rsid w:val="1FE555DA"/>
    <w:rsid w:val="1FF20F3A"/>
    <w:rsid w:val="1FF926AA"/>
    <w:rsid w:val="1FFA5B9D"/>
    <w:rsid w:val="20313171"/>
    <w:rsid w:val="20326020"/>
    <w:rsid w:val="204507F8"/>
    <w:rsid w:val="204E1642"/>
    <w:rsid w:val="205539F9"/>
    <w:rsid w:val="205F3098"/>
    <w:rsid w:val="206129ED"/>
    <w:rsid w:val="20651C07"/>
    <w:rsid w:val="20694BAE"/>
    <w:rsid w:val="207571E2"/>
    <w:rsid w:val="20AD1C6A"/>
    <w:rsid w:val="20B06F55"/>
    <w:rsid w:val="20CF7065"/>
    <w:rsid w:val="20F36FD7"/>
    <w:rsid w:val="21185C1C"/>
    <w:rsid w:val="212566A8"/>
    <w:rsid w:val="21505C47"/>
    <w:rsid w:val="215952AB"/>
    <w:rsid w:val="216124A5"/>
    <w:rsid w:val="216769BE"/>
    <w:rsid w:val="217B46FD"/>
    <w:rsid w:val="218D1AFF"/>
    <w:rsid w:val="2195391F"/>
    <w:rsid w:val="2195573F"/>
    <w:rsid w:val="21B9309E"/>
    <w:rsid w:val="21EA5491"/>
    <w:rsid w:val="21F60351"/>
    <w:rsid w:val="22126E7F"/>
    <w:rsid w:val="22127994"/>
    <w:rsid w:val="222561FE"/>
    <w:rsid w:val="224D364C"/>
    <w:rsid w:val="225547E5"/>
    <w:rsid w:val="22824FF5"/>
    <w:rsid w:val="22CA402F"/>
    <w:rsid w:val="22CD68BD"/>
    <w:rsid w:val="22DF7989"/>
    <w:rsid w:val="22F848D5"/>
    <w:rsid w:val="22FE6101"/>
    <w:rsid w:val="232D7709"/>
    <w:rsid w:val="23311FDA"/>
    <w:rsid w:val="2341048F"/>
    <w:rsid w:val="235E5C46"/>
    <w:rsid w:val="2369220F"/>
    <w:rsid w:val="23717AA5"/>
    <w:rsid w:val="237836A3"/>
    <w:rsid w:val="23A76F83"/>
    <w:rsid w:val="23B16158"/>
    <w:rsid w:val="23B62131"/>
    <w:rsid w:val="243D73AB"/>
    <w:rsid w:val="24483500"/>
    <w:rsid w:val="2453481A"/>
    <w:rsid w:val="24556988"/>
    <w:rsid w:val="24570199"/>
    <w:rsid w:val="246D2C90"/>
    <w:rsid w:val="249D21B7"/>
    <w:rsid w:val="24B7412B"/>
    <w:rsid w:val="24BB24DB"/>
    <w:rsid w:val="24E06F8D"/>
    <w:rsid w:val="24E84CAC"/>
    <w:rsid w:val="250E07BE"/>
    <w:rsid w:val="25171665"/>
    <w:rsid w:val="251D66DA"/>
    <w:rsid w:val="252B3CAC"/>
    <w:rsid w:val="2537799C"/>
    <w:rsid w:val="254315C0"/>
    <w:rsid w:val="25545851"/>
    <w:rsid w:val="256C6C0D"/>
    <w:rsid w:val="256E03A5"/>
    <w:rsid w:val="258858DB"/>
    <w:rsid w:val="258F5B88"/>
    <w:rsid w:val="25BB0159"/>
    <w:rsid w:val="25EC36D5"/>
    <w:rsid w:val="2626301D"/>
    <w:rsid w:val="26277624"/>
    <w:rsid w:val="2628145C"/>
    <w:rsid w:val="262A613B"/>
    <w:rsid w:val="26344916"/>
    <w:rsid w:val="263A14AD"/>
    <w:rsid w:val="264D1366"/>
    <w:rsid w:val="267022E4"/>
    <w:rsid w:val="26704AC8"/>
    <w:rsid w:val="26925783"/>
    <w:rsid w:val="26CB1E4D"/>
    <w:rsid w:val="26EA7013"/>
    <w:rsid w:val="270F6DAA"/>
    <w:rsid w:val="27470AFE"/>
    <w:rsid w:val="27477EA2"/>
    <w:rsid w:val="274D504D"/>
    <w:rsid w:val="27621DC0"/>
    <w:rsid w:val="276D77CD"/>
    <w:rsid w:val="278227CB"/>
    <w:rsid w:val="27936BDD"/>
    <w:rsid w:val="279A4464"/>
    <w:rsid w:val="27AE7ADA"/>
    <w:rsid w:val="27B85B72"/>
    <w:rsid w:val="27BF2E04"/>
    <w:rsid w:val="27D56E7F"/>
    <w:rsid w:val="27D74F1F"/>
    <w:rsid w:val="27DD0340"/>
    <w:rsid w:val="27E1449F"/>
    <w:rsid w:val="27F0530F"/>
    <w:rsid w:val="284F53ED"/>
    <w:rsid w:val="28F11DB1"/>
    <w:rsid w:val="28FA1505"/>
    <w:rsid w:val="28FC28D6"/>
    <w:rsid w:val="28FF7938"/>
    <w:rsid w:val="291D0DDE"/>
    <w:rsid w:val="293D5638"/>
    <w:rsid w:val="2942391B"/>
    <w:rsid w:val="29477E0E"/>
    <w:rsid w:val="295246A7"/>
    <w:rsid w:val="298F6330"/>
    <w:rsid w:val="29A21951"/>
    <w:rsid w:val="29C26415"/>
    <w:rsid w:val="2A011F21"/>
    <w:rsid w:val="2A012DF7"/>
    <w:rsid w:val="2A0332E8"/>
    <w:rsid w:val="2A3F11EC"/>
    <w:rsid w:val="2A407D23"/>
    <w:rsid w:val="2A7C7BF7"/>
    <w:rsid w:val="2A870B9C"/>
    <w:rsid w:val="2ABD51FF"/>
    <w:rsid w:val="2ABE30E2"/>
    <w:rsid w:val="2AE568ED"/>
    <w:rsid w:val="2AFD523E"/>
    <w:rsid w:val="2B0D05C9"/>
    <w:rsid w:val="2B145EFF"/>
    <w:rsid w:val="2B1D36E8"/>
    <w:rsid w:val="2B242CE6"/>
    <w:rsid w:val="2B2E7AB1"/>
    <w:rsid w:val="2B5A2EA0"/>
    <w:rsid w:val="2B740018"/>
    <w:rsid w:val="2BB440A0"/>
    <w:rsid w:val="2BD65EF8"/>
    <w:rsid w:val="2BD726BD"/>
    <w:rsid w:val="2BDC0427"/>
    <w:rsid w:val="2BDF2388"/>
    <w:rsid w:val="2BF220E3"/>
    <w:rsid w:val="2BF71B0A"/>
    <w:rsid w:val="2C1E4302"/>
    <w:rsid w:val="2C23330C"/>
    <w:rsid w:val="2C3825E4"/>
    <w:rsid w:val="2C3A01E1"/>
    <w:rsid w:val="2C420928"/>
    <w:rsid w:val="2C700E10"/>
    <w:rsid w:val="2C8653C0"/>
    <w:rsid w:val="2C8969FA"/>
    <w:rsid w:val="2CA14A12"/>
    <w:rsid w:val="2CA51F1C"/>
    <w:rsid w:val="2CB815FD"/>
    <w:rsid w:val="2CBB727A"/>
    <w:rsid w:val="2CE14A20"/>
    <w:rsid w:val="2CF5215B"/>
    <w:rsid w:val="2D2A3B92"/>
    <w:rsid w:val="2D3820A6"/>
    <w:rsid w:val="2D400A5F"/>
    <w:rsid w:val="2D453066"/>
    <w:rsid w:val="2D492BCC"/>
    <w:rsid w:val="2DAE3B61"/>
    <w:rsid w:val="2DBB0DB0"/>
    <w:rsid w:val="2DD63F88"/>
    <w:rsid w:val="2DDF5904"/>
    <w:rsid w:val="2DFA4217"/>
    <w:rsid w:val="2DFE6E5A"/>
    <w:rsid w:val="2E3454D3"/>
    <w:rsid w:val="2E391487"/>
    <w:rsid w:val="2E486FBD"/>
    <w:rsid w:val="2E4B74A8"/>
    <w:rsid w:val="2E683A98"/>
    <w:rsid w:val="2E687D7D"/>
    <w:rsid w:val="2E7C3B79"/>
    <w:rsid w:val="2E932AAD"/>
    <w:rsid w:val="2EBC314D"/>
    <w:rsid w:val="2EE37C5A"/>
    <w:rsid w:val="2EFD561C"/>
    <w:rsid w:val="2EFE2E7E"/>
    <w:rsid w:val="2F304120"/>
    <w:rsid w:val="2F3845CF"/>
    <w:rsid w:val="2F406F11"/>
    <w:rsid w:val="2F6A3F1C"/>
    <w:rsid w:val="2F6B17A3"/>
    <w:rsid w:val="2F6E12E0"/>
    <w:rsid w:val="2F712D58"/>
    <w:rsid w:val="2FB6328D"/>
    <w:rsid w:val="2FCF11BB"/>
    <w:rsid w:val="2FD162EB"/>
    <w:rsid w:val="2FD417D0"/>
    <w:rsid w:val="30086E03"/>
    <w:rsid w:val="301B4298"/>
    <w:rsid w:val="302501D5"/>
    <w:rsid w:val="306A1213"/>
    <w:rsid w:val="3073310C"/>
    <w:rsid w:val="30733E49"/>
    <w:rsid w:val="3078283B"/>
    <w:rsid w:val="30C33BD9"/>
    <w:rsid w:val="310677D7"/>
    <w:rsid w:val="313F48F3"/>
    <w:rsid w:val="31450FBC"/>
    <w:rsid w:val="314A4E60"/>
    <w:rsid w:val="316A3B0D"/>
    <w:rsid w:val="31A3127F"/>
    <w:rsid w:val="31B36F6B"/>
    <w:rsid w:val="31B95E70"/>
    <w:rsid w:val="31C01C32"/>
    <w:rsid w:val="31E7345E"/>
    <w:rsid w:val="32033586"/>
    <w:rsid w:val="321521CF"/>
    <w:rsid w:val="32152F52"/>
    <w:rsid w:val="321B43C1"/>
    <w:rsid w:val="321F0B01"/>
    <w:rsid w:val="32292C58"/>
    <w:rsid w:val="323946F6"/>
    <w:rsid w:val="323B6E74"/>
    <w:rsid w:val="324862AD"/>
    <w:rsid w:val="32781E2D"/>
    <w:rsid w:val="3281317F"/>
    <w:rsid w:val="32864DB6"/>
    <w:rsid w:val="32B6100F"/>
    <w:rsid w:val="32C36EA9"/>
    <w:rsid w:val="32C64E9D"/>
    <w:rsid w:val="32E901E9"/>
    <w:rsid w:val="32F86A34"/>
    <w:rsid w:val="32FC405F"/>
    <w:rsid w:val="330058C8"/>
    <w:rsid w:val="332C015D"/>
    <w:rsid w:val="336867E7"/>
    <w:rsid w:val="339A6822"/>
    <w:rsid w:val="339C68C2"/>
    <w:rsid w:val="339D07AE"/>
    <w:rsid w:val="33AE1FA8"/>
    <w:rsid w:val="33B77665"/>
    <w:rsid w:val="33CA261B"/>
    <w:rsid w:val="33D73A79"/>
    <w:rsid w:val="340D12B6"/>
    <w:rsid w:val="341501C8"/>
    <w:rsid w:val="3435399D"/>
    <w:rsid w:val="34373C5A"/>
    <w:rsid w:val="343B686B"/>
    <w:rsid w:val="344B5024"/>
    <w:rsid w:val="344F59E5"/>
    <w:rsid w:val="34844BA9"/>
    <w:rsid w:val="34BE38F9"/>
    <w:rsid w:val="34F011D1"/>
    <w:rsid w:val="34F5461D"/>
    <w:rsid w:val="350558E9"/>
    <w:rsid w:val="350D1135"/>
    <w:rsid w:val="356B788B"/>
    <w:rsid w:val="356E517F"/>
    <w:rsid w:val="35A67558"/>
    <w:rsid w:val="35AA2A28"/>
    <w:rsid w:val="35C334A9"/>
    <w:rsid w:val="35CA522F"/>
    <w:rsid w:val="35EC518B"/>
    <w:rsid w:val="364A59D5"/>
    <w:rsid w:val="365E0BA4"/>
    <w:rsid w:val="3667186A"/>
    <w:rsid w:val="366D53E9"/>
    <w:rsid w:val="36756168"/>
    <w:rsid w:val="36B04B20"/>
    <w:rsid w:val="36CA4FC6"/>
    <w:rsid w:val="36DB687A"/>
    <w:rsid w:val="371A4019"/>
    <w:rsid w:val="37201C2D"/>
    <w:rsid w:val="3725532E"/>
    <w:rsid w:val="3735753C"/>
    <w:rsid w:val="37517181"/>
    <w:rsid w:val="376E19D7"/>
    <w:rsid w:val="37AD7454"/>
    <w:rsid w:val="37B7226F"/>
    <w:rsid w:val="37D15B5B"/>
    <w:rsid w:val="37F60954"/>
    <w:rsid w:val="37FF15EF"/>
    <w:rsid w:val="380013D0"/>
    <w:rsid w:val="382459C0"/>
    <w:rsid w:val="38366AFA"/>
    <w:rsid w:val="386F042A"/>
    <w:rsid w:val="38772481"/>
    <w:rsid w:val="38816212"/>
    <w:rsid w:val="38986B7B"/>
    <w:rsid w:val="38A33701"/>
    <w:rsid w:val="38A814BE"/>
    <w:rsid w:val="38AB335B"/>
    <w:rsid w:val="38DD786A"/>
    <w:rsid w:val="38E63029"/>
    <w:rsid w:val="38ED5C7D"/>
    <w:rsid w:val="39021ED9"/>
    <w:rsid w:val="39076B7B"/>
    <w:rsid w:val="391D66F1"/>
    <w:rsid w:val="39684943"/>
    <w:rsid w:val="396F3B12"/>
    <w:rsid w:val="39914251"/>
    <w:rsid w:val="399A56C4"/>
    <w:rsid w:val="39C740A7"/>
    <w:rsid w:val="39D236E8"/>
    <w:rsid w:val="39DD53BD"/>
    <w:rsid w:val="39FF0373"/>
    <w:rsid w:val="3A022105"/>
    <w:rsid w:val="3A105C75"/>
    <w:rsid w:val="3A156603"/>
    <w:rsid w:val="3A8624AA"/>
    <w:rsid w:val="3A922A0C"/>
    <w:rsid w:val="3AB81F91"/>
    <w:rsid w:val="3AD33FF5"/>
    <w:rsid w:val="3AF85E0A"/>
    <w:rsid w:val="3B0309D8"/>
    <w:rsid w:val="3B040AF2"/>
    <w:rsid w:val="3B0E0463"/>
    <w:rsid w:val="3B6E0D4D"/>
    <w:rsid w:val="3B725705"/>
    <w:rsid w:val="3B78036E"/>
    <w:rsid w:val="3B7A088D"/>
    <w:rsid w:val="3B880651"/>
    <w:rsid w:val="3B91595A"/>
    <w:rsid w:val="3B996BFD"/>
    <w:rsid w:val="3BA436D0"/>
    <w:rsid w:val="3C0D1E9C"/>
    <w:rsid w:val="3C1303DE"/>
    <w:rsid w:val="3C557BEB"/>
    <w:rsid w:val="3C740EA2"/>
    <w:rsid w:val="3C8376AE"/>
    <w:rsid w:val="3C944A1B"/>
    <w:rsid w:val="3C982476"/>
    <w:rsid w:val="3C9959CC"/>
    <w:rsid w:val="3CA04F3B"/>
    <w:rsid w:val="3CB94B72"/>
    <w:rsid w:val="3CDA3C07"/>
    <w:rsid w:val="3CDB586A"/>
    <w:rsid w:val="3CEF535A"/>
    <w:rsid w:val="3CF27CBB"/>
    <w:rsid w:val="3D205459"/>
    <w:rsid w:val="3D2D03D7"/>
    <w:rsid w:val="3D45334E"/>
    <w:rsid w:val="3D667E2A"/>
    <w:rsid w:val="3D730BEA"/>
    <w:rsid w:val="3D7A17EA"/>
    <w:rsid w:val="3D855A4D"/>
    <w:rsid w:val="3D97091B"/>
    <w:rsid w:val="3D9B72EA"/>
    <w:rsid w:val="3DB72A8F"/>
    <w:rsid w:val="3DC52788"/>
    <w:rsid w:val="3DC64FE4"/>
    <w:rsid w:val="3DCC325E"/>
    <w:rsid w:val="3E0453D7"/>
    <w:rsid w:val="3E15668B"/>
    <w:rsid w:val="3E170344"/>
    <w:rsid w:val="3E25288F"/>
    <w:rsid w:val="3E296449"/>
    <w:rsid w:val="3E41232F"/>
    <w:rsid w:val="3E874CED"/>
    <w:rsid w:val="3E96029E"/>
    <w:rsid w:val="3E977D33"/>
    <w:rsid w:val="3E9D7116"/>
    <w:rsid w:val="3EAA4F35"/>
    <w:rsid w:val="3EB457B4"/>
    <w:rsid w:val="3F1F6AD4"/>
    <w:rsid w:val="3F57188B"/>
    <w:rsid w:val="3F710F1B"/>
    <w:rsid w:val="3F783955"/>
    <w:rsid w:val="3F7E465B"/>
    <w:rsid w:val="3FA00970"/>
    <w:rsid w:val="3FA141F3"/>
    <w:rsid w:val="3FAD53D2"/>
    <w:rsid w:val="3FC358EC"/>
    <w:rsid w:val="3FC811AB"/>
    <w:rsid w:val="3FCE7984"/>
    <w:rsid w:val="3FD10CBF"/>
    <w:rsid w:val="3FF7428F"/>
    <w:rsid w:val="40226C21"/>
    <w:rsid w:val="40554D9C"/>
    <w:rsid w:val="40727D9E"/>
    <w:rsid w:val="408B3DBB"/>
    <w:rsid w:val="40BD0F02"/>
    <w:rsid w:val="40DA5065"/>
    <w:rsid w:val="40E643CF"/>
    <w:rsid w:val="40EE1760"/>
    <w:rsid w:val="40F91E0E"/>
    <w:rsid w:val="410478AD"/>
    <w:rsid w:val="41502715"/>
    <w:rsid w:val="415E0FE9"/>
    <w:rsid w:val="416C5C95"/>
    <w:rsid w:val="41790413"/>
    <w:rsid w:val="419C1C39"/>
    <w:rsid w:val="420A44DB"/>
    <w:rsid w:val="42567E5F"/>
    <w:rsid w:val="42813C6F"/>
    <w:rsid w:val="428F65D5"/>
    <w:rsid w:val="429D323E"/>
    <w:rsid w:val="42AE2879"/>
    <w:rsid w:val="42C42526"/>
    <w:rsid w:val="42C8644B"/>
    <w:rsid w:val="43183600"/>
    <w:rsid w:val="432B47DF"/>
    <w:rsid w:val="43477703"/>
    <w:rsid w:val="438E2CDB"/>
    <w:rsid w:val="438F53E1"/>
    <w:rsid w:val="439140C8"/>
    <w:rsid w:val="43B02804"/>
    <w:rsid w:val="43CA5323"/>
    <w:rsid w:val="43CD504E"/>
    <w:rsid w:val="43DB7EA7"/>
    <w:rsid w:val="43E62F43"/>
    <w:rsid w:val="43F821D9"/>
    <w:rsid w:val="442371EB"/>
    <w:rsid w:val="44256A4E"/>
    <w:rsid w:val="442D78F9"/>
    <w:rsid w:val="44362545"/>
    <w:rsid w:val="444260DD"/>
    <w:rsid w:val="447162A9"/>
    <w:rsid w:val="44877BEA"/>
    <w:rsid w:val="44997F92"/>
    <w:rsid w:val="44B10A91"/>
    <w:rsid w:val="44B31DFB"/>
    <w:rsid w:val="44CF265C"/>
    <w:rsid w:val="44F077E5"/>
    <w:rsid w:val="452B020E"/>
    <w:rsid w:val="453157CE"/>
    <w:rsid w:val="454751BB"/>
    <w:rsid w:val="45596F47"/>
    <w:rsid w:val="455C1AB3"/>
    <w:rsid w:val="456853AC"/>
    <w:rsid w:val="456E6107"/>
    <w:rsid w:val="45730EB9"/>
    <w:rsid w:val="4586581D"/>
    <w:rsid w:val="458E2F8D"/>
    <w:rsid w:val="45BA22C8"/>
    <w:rsid w:val="45CF7F66"/>
    <w:rsid w:val="45D8217C"/>
    <w:rsid w:val="46177BE7"/>
    <w:rsid w:val="46430563"/>
    <w:rsid w:val="465E1483"/>
    <w:rsid w:val="466733BE"/>
    <w:rsid w:val="467F5A35"/>
    <w:rsid w:val="468457CB"/>
    <w:rsid w:val="46905D8A"/>
    <w:rsid w:val="469E21A4"/>
    <w:rsid w:val="46AB7FD7"/>
    <w:rsid w:val="46AF473D"/>
    <w:rsid w:val="46B23AF0"/>
    <w:rsid w:val="46B53D11"/>
    <w:rsid w:val="46D03E2E"/>
    <w:rsid w:val="46E147D5"/>
    <w:rsid w:val="47023F08"/>
    <w:rsid w:val="4707128B"/>
    <w:rsid w:val="470B7BD5"/>
    <w:rsid w:val="473D6A44"/>
    <w:rsid w:val="476901CA"/>
    <w:rsid w:val="476E2CB5"/>
    <w:rsid w:val="47AF7AB7"/>
    <w:rsid w:val="47B21B94"/>
    <w:rsid w:val="47B3385C"/>
    <w:rsid w:val="47D06FB9"/>
    <w:rsid w:val="47DB1FCE"/>
    <w:rsid w:val="47DC2640"/>
    <w:rsid w:val="47DC3005"/>
    <w:rsid w:val="47FE1E29"/>
    <w:rsid w:val="480B19D6"/>
    <w:rsid w:val="4813451B"/>
    <w:rsid w:val="483D5CA8"/>
    <w:rsid w:val="48695013"/>
    <w:rsid w:val="48840E45"/>
    <w:rsid w:val="488554DC"/>
    <w:rsid w:val="488E283F"/>
    <w:rsid w:val="48A07BFD"/>
    <w:rsid w:val="48A92C25"/>
    <w:rsid w:val="48C44750"/>
    <w:rsid w:val="490A42AC"/>
    <w:rsid w:val="493675E0"/>
    <w:rsid w:val="495455DB"/>
    <w:rsid w:val="49587AF2"/>
    <w:rsid w:val="496A6CCC"/>
    <w:rsid w:val="49900BEA"/>
    <w:rsid w:val="49973F1C"/>
    <w:rsid w:val="499F4CEE"/>
    <w:rsid w:val="49BE5486"/>
    <w:rsid w:val="49C72F3D"/>
    <w:rsid w:val="4A0C4B93"/>
    <w:rsid w:val="4A5535BC"/>
    <w:rsid w:val="4A670782"/>
    <w:rsid w:val="4A7F2ECA"/>
    <w:rsid w:val="4A857FAB"/>
    <w:rsid w:val="4A915E57"/>
    <w:rsid w:val="4A98373C"/>
    <w:rsid w:val="4AB80871"/>
    <w:rsid w:val="4ACC292E"/>
    <w:rsid w:val="4ADB3FFE"/>
    <w:rsid w:val="4ADF2CC5"/>
    <w:rsid w:val="4AE37F79"/>
    <w:rsid w:val="4AF27593"/>
    <w:rsid w:val="4B1A44DE"/>
    <w:rsid w:val="4B4E243D"/>
    <w:rsid w:val="4B4E62B8"/>
    <w:rsid w:val="4B5064E5"/>
    <w:rsid w:val="4B6F4273"/>
    <w:rsid w:val="4B7C5AE2"/>
    <w:rsid w:val="4BA75CBA"/>
    <w:rsid w:val="4BBE765A"/>
    <w:rsid w:val="4BC5400E"/>
    <w:rsid w:val="4BF75D3F"/>
    <w:rsid w:val="4BFC4CE2"/>
    <w:rsid w:val="4C0731A8"/>
    <w:rsid w:val="4C1331C7"/>
    <w:rsid w:val="4C2919FB"/>
    <w:rsid w:val="4C330211"/>
    <w:rsid w:val="4C466A09"/>
    <w:rsid w:val="4C7A54B2"/>
    <w:rsid w:val="4C9030F0"/>
    <w:rsid w:val="4C9F6458"/>
    <w:rsid w:val="4CAE6C55"/>
    <w:rsid w:val="4CBF73BE"/>
    <w:rsid w:val="4CF4261D"/>
    <w:rsid w:val="4D2226CC"/>
    <w:rsid w:val="4D4607FD"/>
    <w:rsid w:val="4D4B61FA"/>
    <w:rsid w:val="4D4F4540"/>
    <w:rsid w:val="4D5031DD"/>
    <w:rsid w:val="4D505616"/>
    <w:rsid w:val="4D5E084B"/>
    <w:rsid w:val="4D937956"/>
    <w:rsid w:val="4D981C3E"/>
    <w:rsid w:val="4DAD7C53"/>
    <w:rsid w:val="4DB135C1"/>
    <w:rsid w:val="4DB306EE"/>
    <w:rsid w:val="4DC8794B"/>
    <w:rsid w:val="4DE7105C"/>
    <w:rsid w:val="4DEC628F"/>
    <w:rsid w:val="4DFC2DDD"/>
    <w:rsid w:val="4E0042FA"/>
    <w:rsid w:val="4E424F46"/>
    <w:rsid w:val="4E680FB5"/>
    <w:rsid w:val="4E740E66"/>
    <w:rsid w:val="4E9F33C9"/>
    <w:rsid w:val="4EAA5679"/>
    <w:rsid w:val="4EAA7247"/>
    <w:rsid w:val="4EAD7325"/>
    <w:rsid w:val="4EBA230C"/>
    <w:rsid w:val="4ED51003"/>
    <w:rsid w:val="4EED65F3"/>
    <w:rsid w:val="4EEE26C2"/>
    <w:rsid w:val="4EFF0B19"/>
    <w:rsid w:val="4F042C17"/>
    <w:rsid w:val="4F2E3235"/>
    <w:rsid w:val="4F3604D4"/>
    <w:rsid w:val="4F6466EB"/>
    <w:rsid w:val="4F646CF7"/>
    <w:rsid w:val="4F8200A4"/>
    <w:rsid w:val="4F885E68"/>
    <w:rsid w:val="4FA7753C"/>
    <w:rsid w:val="4FAD4E93"/>
    <w:rsid w:val="4FB80676"/>
    <w:rsid w:val="4FBC1736"/>
    <w:rsid w:val="4FBE1C12"/>
    <w:rsid w:val="500B0C1E"/>
    <w:rsid w:val="50125667"/>
    <w:rsid w:val="50327D8A"/>
    <w:rsid w:val="504E1854"/>
    <w:rsid w:val="506E377D"/>
    <w:rsid w:val="508E4275"/>
    <w:rsid w:val="509A7DFF"/>
    <w:rsid w:val="509B71C8"/>
    <w:rsid w:val="509C3CBF"/>
    <w:rsid w:val="509D105F"/>
    <w:rsid w:val="50B537DA"/>
    <w:rsid w:val="50BE7DB3"/>
    <w:rsid w:val="50D42425"/>
    <w:rsid w:val="50D6304E"/>
    <w:rsid w:val="50EE7682"/>
    <w:rsid w:val="512E60BF"/>
    <w:rsid w:val="51306D29"/>
    <w:rsid w:val="516A3E9F"/>
    <w:rsid w:val="516B467C"/>
    <w:rsid w:val="5180497B"/>
    <w:rsid w:val="51A41B4F"/>
    <w:rsid w:val="51C74A84"/>
    <w:rsid w:val="51F60A09"/>
    <w:rsid w:val="52504155"/>
    <w:rsid w:val="525C4BCD"/>
    <w:rsid w:val="52670185"/>
    <w:rsid w:val="52723C7D"/>
    <w:rsid w:val="52896FE0"/>
    <w:rsid w:val="528D2739"/>
    <w:rsid w:val="52A6606E"/>
    <w:rsid w:val="52A825A7"/>
    <w:rsid w:val="52A919E5"/>
    <w:rsid w:val="52AD2D39"/>
    <w:rsid w:val="53116970"/>
    <w:rsid w:val="531E63EF"/>
    <w:rsid w:val="532D2556"/>
    <w:rsid w:val="535E3E34"/>
    <w:rsid w:val="537032B3"/>
    <w:rsid w:val="5373652E"/>
    <w:rsid w:val="538853BC"/>
    <w:rsid w:val="53B3659C"/>
    <w:rsid w:val="53D34E70"/>
    <w:rsid w:val="53F206EF"/>
    <w:rsid w:val="53FE13F2"/>
    <w:rsid w:val="54024199"/>
    <w:rsid w:val="54292148"/>
    <w:rsid w:val="543A705F"/>
    <w:rsid w:val="54552A23"/>
    <w:rsid w:val="54614D46"/>
    <w:rsid w:val="5465584A"/>
    <w:rsid w:val="54851081"/>
    <w:rsid w:val="549D6CE0"/>
    <w:rsid w:val="54B45311"/>
    <w:rsid w:val="54C76717"/>
    <w:rsid w:val="54CB7624"/>
    <w:rsid w:val="54E46C77"/>
    <w:rsid w:val="54E56350"/>
    <w:rsid w:val="54FA26B4"/>
    <w:rsid w:val="55044205"/>
    <w:rsid w:val="551824A1"/>
    <w:rsid w:val="552B1DC7"/>
    <w:rsid w:val="557B62E3"/>
    <w:rsid w:val="55854C69"/>
    <w:rsid w:val="558D27E9"/>
    <w:rsid w:val="55D32280"/>
    <w:rsid w:val="56245F0A"/>
    <w:rsid w:val="56380C9C"/>
    <w:rsid w:val="563C7BF0"/>
    <w:rsid w:val="565B006F"/>
    <w:rsid w:val="567704FA"/>
    <w:rsid w:val="568661BB"/>
    <w:rsid w:val="569C0B56"/>
    <w:rsid w:val="56A2470A"/>
    <w:rsid w:val="56B905B6"/>
    <w:rsid w:val="56C70668"/>
    <w:rsid w:val="56EF02B4"/>
    <w:rsid w:val="572F369E"/>
    <w:rsid w:val="57427CEB"/>
    <w:rsid w:val="574B1D83"/>
    <w:rsid w:val="574E5F54"/>
    <w:rsid w:val="577E025B"/>
    <w:rsid w:val="578216CB"/>
    <w:rsid w:val="57846DFD"/>
    <w:rsid w:val="578D717B"/>
    <w:rsid w:val="579C0076"/>
    <w:rsid w:val="57A10D00"/>
    <w:rsid w:val="57A80075"/>
    <w:rsid w:val="57DF53D8"/>
    <w:rsid w:val="580A14ED"/>
    <w:rsid w:val="580F1301"/>
    <w:rsid w:val="58141F19"/>
    <w:rsid w:val="581D469A"/>
    <w:rsid w:val="582042CE"/>
    <w:rsid w:val="582D2D92"/>
    <w:rsid w:val="583E77FF"/>
    <w:rsid w:val="5854752E"/>
    <w:rsid w:val="58826049"/>
    <w:rsid w:val="58B523FD"/>
    <w:rsid w:val="58B72C1E"/>
    <w:rsid w:val="58BD5C70"/>
    <w:rsid w:val="58D4288E"/>
    <w:rsid w:val="58D633AF"/>
    <w:rsid w:val="59131CA6"/>
    <w:rsid w:val="59266C35"/>
    <w:rsid w:val="59415D0D"/>
    <w:rsid w:val="59486ED8"/>
    <w:rsid w:val="5961109B"/>
    <w:rsid w:val="596769D5"/>
    <w:rsid w:val="59813336"/>
    <w:rsid w:val="59891FBA"/>
    <w:rsid w:val="598D7DEB"/>
    <w:rsid w:val="59F57AA6"/>
    <w:rsid w:val="5A11136B"/>
    <w:rsid w:val="5A1F7553"/>
    <w:rsid w:val="5A1F790C"/>
    <w:rsid w:val="5A2E77A8"/>
    <w:rsid w:val="5A3461D4"/>
    <w:rsid w:val="5A6737BB"/>
    <w:rsid w:val="5A6D3753"/>
    <w:rsid w:val="5A7079B7"/>
    <w:rsid w:val="5A820A7A"/>
    <w:rsid w:val="5ABC413A"/>
    <w:rsid w:val="5ABC4C66"/>
    <w:rsid w:val="5AD231E9"/>
    <w:rsid w:val="5AEC7B52"/>
    <w:rsid w:val="5B0C3E62"/>
    <w:rsid w:val="5B3F4ECB"/>
    <w:rsid w:val="5B414AFF"/>
    <w:rsid w:val="5B453862"/>
    <w:rsid w:val="5B4C0836"/>
    <w:rsid w:val="5B4C7C89"/>
    <w:rsid w:val="5B516D47"/>
    <w:rsid w:val="5B6257EE"/>
    <w:rsid w:val="5B68424D"/>
    <w:rsid w:val="5B961991"/>
    <w:rsid w:val="5BC3464F"/>
    <w:rsid w:val="5BC66C69"/>
    <w:rsid w:val="5BE443F0"/>
    <w:rsid w:val="5C374FC3"/>
    <w:rsid w:val="5C573B4F"/>
    <w:rsid w:val="5C5F7C1B"/>
    <w:rsid w:val="5C664980"/>
    <w:rsid w:val="5C81265C"/>
    <w:rsid w:val="5C864260"/>
    <w:rsid w:val="5C965AE7"/>
    <w:rsid w:val="5CE7277F"/>
    <w:rsid w:val="5CF00185"/>
    <w:rsid w:val="5D4664E4"/>
    <w:rsid w:val="5D502119"/>
    <w:rsid w:val="5D64572D"/>
    <w:rsid w:val="5D654373"/>
    <w:rsid w:val="5D6B3A29"/>
    <w:rsid w:val="5D900209"/>
    <w:rsid w:val="5D9A202B"/>
    <w:rsid w:val="5DFF3B46"/>
    <w:rsid w:val="5E1249F4"/>
    <w:rsid w:val="5E334617"/>
    <w:rsid w:val="5E423D65"/>
    <w:rsid w:val="5E7B36A0"/>
    <w:rsid w:val="5E7D6219"/>
    <w:rsid w:val="5E9F5BCB"/>
    <w:rsid w:val="5EC67A03"/>
    <w:rsid w:val="5EC910F5"/>
    <w:rsid w:val="5EFB2468"/>
    <w:rsid w:val="5F181EC0"/>
    <w:rsid w:val="5F31129F"/>
    <w:rsid w:val="5F3F1E94"/>
    <w:rsid w:val="5FD163C5"/>
    <w:rsid w:val="600D37AF"/>
    <w:rsid w:val="602A4E21"/>
    <w:rsid w:val="60371221"/>
    <w:rsid w:val="606303D3"/>
    <w:rsid w:val="606C7261"/>
    <w:rsid w:val="60756D19"/>
    <w:rsid w:val="60855F1D"/>
    <w:rsid w:val="6093187E"/>
    <w:rsid w:val="60A256B3"/>
    <w:rsid w:val="60BF5767"/>
    <w:rsid w:val="60CF54EA"/>
    <w:rsid w:val="610E19C5"/>
    <w:rsid w:val="61100797"/>
    <w:rsid w:val="61156C61"/>
    <w:rsid w:val="6124664F"/>
    <w:rsid w:val="6125088C"/>
    <w:rsid w:val="61350E2F"/>
    <w:rsid w:val="61732AAC"/>
    <w:rsid w:val="61A22E5B"/>
    <w:rsid w:val="61C82FA9"/>
    <w:rsid w:val="61CC2289"/>
    <w:rsid w:val="61D3592A"/>
    <w:rsid w:val="61DD51BE"/>
    <w:rsid w:val="61E24F08"/>
    <w:rsid w:val="61E764EE"/>
    <w:rsid w:val="61EC0FAB"/>
    <w:rsid w:val="622D10D2"/>
    <w:rsid w:val="62464D2E"/>
    <w:rsid w:val="62834F63"/>
    <w:rsid w:val="629631BC"/>
    <w:rsid w:val="62AF6444"/>
    <w:rsid w:val="62CF5F29"/>
    <w:rsid w:val="62D73973"/>
    <w:rsid w:val="62E80F92"/>
    <w:rsid w:val="630D6222"/>
    <w:rsid w:val="632905BE"/>
    <w:rsid w:val="63464230"/>
    <w:rsid w:val="63B202B3"/>
    <w:rsid w:val="63B675A9"/>
    <w:rsid w:val="63C33C24"/>
    <w:rsid w:val="63D436CD"/>
    <w:rsid w:val="63D81D8B"/>
    <w:rsid w:val="63EB08BC"/>
    <w:rsid w:val="63EB41BD"/>
    <w:rsid w:val="63EE0425"/>
    <w:rsid w:val="63F1660D"/>
    <w:rsid w:val="63F60A72"/>
    <w:rsid w:val="64011609"/>
    <w:rsid w:val="64122228"/>
    <w:rsid w:val="643609FA"/>
    <w:rsid w:val="644F7FED"/>
    <w:rsid w:val="64592EAE"/>
    <w:rsid w:val="64672752"/>
    <w:rsid w:val="646D6183"/>
    <w:rsid w:val="64727571"/>
    <w:rsid w:val="64976DED"/>
    <w:rsid w:val="649A4EC5"/>
    <w:rsid w:val="64BB518E"/>
    <w:rsid w:val="64EF0A2B"/>
    <w:rsid w:val="64F20BFB"/>
    <w:rsid w:val="65081A25"/>
    <w:rsid w:val="651D4287"/>
    <w:rsid w:val="652028DC"/>
    <w:rsid w:val="65426E17"/>
    <w:rsid w:val="654F1979"/>
    <w:rsid w:val="656E26F7"/>
    <w:rsid w:val="6578715E"/>
    <w:rsid w:val="659F0741"/>
    <w:rsid w:val="65B1767D"/>
    <w:rsid w:val="65C02E23"/>
    <w:rsid w:val="65D03F9F"/>
    <w:rsid w:val="65DC7CB7"/>
    <w:rsid w:val="66013938"/>
    <w:rsid w:val="663725C8"/>
    <w:rsid w:val="66487522"/>
    <w:rsid w:val="664E427B"/>
    <w:rsid w:val="66616B07"/>
    <w:rsid w:val="66B403A0"/>
    <w:rsid w:val="66CA38AA"/>
    <w:rsid w:val="66E905D1"/>
    <w:rsid w:val="6706279D"/>
    <w:rsid w:val="672B0B6C"/>
    <w:rsid w:val="674937D1"/>
    <w:rsid w:val="674E5515"/>
    <w:rsid w:val="67571875"/>
    <w:rsid w:val="67707AC2"/>
    <w:rsid w:val="67714488"/>
    <w:rsid w:val="67744436"/>
    <w:rsid w:val="67763AB3"/>
    <w:rsid w:val="6792564B"/>
    <w:rsid w:val="67D62F94"/>
    <w:rsid w:val="67DA5A0A"/>
    <w:rsid w:val="67E13DC0"/>
    <w:rsid w:val="67FE7350"/>
    <w:rsid w:val="680A1AB2"/>
    <w:rsid w:val="6820659B"/>
    <w:rsid w:val="68290800"/>
    <w:rsid w:val="685A74A7"/>
    <w:rsid w:val="687370FE"/>
    <w:rsid w:val="689C236C"/>
    <w:rsid w:val="689F32DD"/>
    <w:rsid w:val="68B36DA7"/>
    <w:rsid w:val="68BE3319"/>
    <w:rsid w:val="68BF0D18"/>
    <w:rsid w:val="68D810B5"/>
    <w:rsid w:val="68F035D9"/>
    <w:rsid w:val="69194B40"/>
    <w:rsid w:val="69370685"/>
    <w:rsid w:val="693B68B5"/>
    <w:rsid w:val="693E40FC"/>
    <w:rsid w:val="696835B7"/>
    <w:rsid w:val="697D3FEB"/>
    <w:rsid w:val="69A322AF"/>
    <w:rsid w:val="6A021804"/>
    <w:rsid w:val="6A4E7D55"/>
    <w:rsid w:val="6A67119B"/>
    <w:rsid w:val="6A6C44E7"/>
    <w:rsid w:val="6A786D47"/>
    <w:rsid w:val="6A8162D5"/>
    <w:rsid w:val="6AA97115"/>
    <w:rsid w:val="6AB417B5"/>
    <w:rsid w:val="6AD136E5"/>
    <w:rsid w:val="6AEA144A"/>
    <w:rsid w:val="6AEA626D"/>
    <w:rsid w:val="6B0A3959"/>
    <w:rsid w:val="6B1958A5"/>
    <w:rsid w:val="6B1C397C"/>
    <w:rsid w:val="6B1E446E"/>
    <w:rsid w:val="6B2D264E"/>
    <w:rsid w:val="6B322F90"/>
    <w:rsid w:val="6B433ED8"/>
    <w:rsid w:val="6B757621"/>
    <w:rsid w:val="6B8E03DB"/>
    <w:rsid w:val="6BB238ED"/>
    <w:rsid w:val="6BC3034F"/>
    <w:rsid w:val="6BF111BC"/>
    <w:rsid w:val="6BF47E4D"/>
    <w:rsid w:val="6C0E26EA"/>
    <w:rsid w:val="6C121E89"/>
    <w:rsid w:val="6C33564D"/>
    <w:rsid w:val="6C374245"/>
    <w:rsid w:val="6C513EBA"/>
    <w:rsid w:val="6C572291"/>
    <w:rsid w:val="6C9234CC"/>
    <w:rsid w:val="6CCD2F25"/>
    <w:rsid w:val="6CCE3C93"/>
    <w:rsid w:val="6CF84C44"/>
    <w:rsid w:val="6D1A764F"/>
    <w:rsid w:val="6D4B6C35"/>
    <w:rsid w:val="6D7774CE"/>
    <w:rsid w:val="6D796F5A"/>
    <w:rsid w:val="6D9C024A"/>
    <w:rsid w:val="6DA349FF"/>
    <w:rsid w:val="6DAF70D6"/>
    <w:rsid w:val="6DC95689"/>
    <w:rsid w:val="6DCA519C"/>
    <w:rsid w:val="6DCC7033"/>
    <w:rsid w:val="6DD0546B"/>
    <w:rsid w:val="6DD6357A"/>
    <w:rsid w:val="6DE27412"/>
    <w:rsid w:val="6E5B405F"/>
    <w:rsid w:val="6E6B31C4"/>
    <w:rsid w:val="6E6D3B56"/>
    <w:rsid w:val="6E7C0569"/>
    <w:rsid w:val="6E7D3404"/>
    <w:rsid w:val="6E831E10"/>
    <w:rsid w:val="6E83536E"/>
    <w:rsid w:val="6E8B70AB"/>
    <w:rsid w:val="6EA80569"/>
    <w:rsid w:val="6EAD6328"/>
    <w:rsid w:val="6F064F49"/>
    <w:rsid w:val="6F252806"/>
    <w:rsid w:val="6F534CDD"/>
    <w:rsid w:val="6F680B4D"/>
    <w:rsid w:val="6F8615E4"/>
    <w:rsid w:val="6F91303F"/>
    <w:rsid w:val="6F991338"/>
    <w:rsid w:val="6FB638C3"/>
    <w:rsid w:val="70117702"/>
    <w:rsid w:val="701A0019"/>
    <w:rsid w:val="70262587"/>
    <w:rsid w:val="705B10BA"/>
    <w:rsid w:val="706E0500"/>
    <w:rsid w:val="70787D75"/>
    <w:rsid w:val="70804F9D"/>
    <w:rsid w:val="708514D2"/>
    <w:rsid w:val="7086608B"/>
    <w:rsid w:val="708737B5"/>
    <w:rsid w:val="70A40F73"/>
    <w:rsid w:val="70AB2ED5"/>
    <w:rsid w:val="70B37641"/>
    <w:rsid w:val="70B4280D"/>
    <w:rsid w:val="70BF27BD"/>
    <w:rsid w:val="70BF2D7E"/>
    <w:rsid w:val="710C583F"/>
    <w:rsid w:val="7113644B"/>
    <w:rsid w:val="71267CAF"/>
    <w:rsid w:val="712D3289"/>
    <w:rsid w:val="712E6EC1"/>
    <w:rsid w:val="71430752"/>
    <w:rsid w:val="714A7E26"/>
    <w:rsid w:val="714D3762"/>
    <w:rsid w:val="715C0E48"/>
    <w:rsid w:val="716930C1"/>
    <w:rsid w:val="71746A3E"/>
    <w:rsid w:val="717A4893"/>
    <w:rsid w:val="717C0243"/>
    <w:rsid w:val="71880F0A"/>
    <w:rsid w:val="71885E1E"/>
    <w:rsid w:val="718C54F4"/>
    <w:rsid w:val="71A64C79"/>
    <w:rsid w:val="71BE6FDE"/>
    <w:rsid w:val="71CD6012"/>
    <w:rsid w:val="71CD6177"/>
    <w:rsid w:val="71CE5778"/>
    <w:rsid w:val="71DC0F8C"/>
    <w:rsid w:val="71F26714"/>
    <w:rsid w:val="71FA6FCF"/>
    <w:rsid w:val="72154D09"/>
    <w:rsid w:val="72565E22"/>
    <w:rsid w:val="72644C69"/>
    <w:rsid w:val="7290598C"/>
    <w:rsid w:val="7296248F"/>
    <w:rsid w:val="72B17AEF"/>
    <w:rsid w:val="72FB3F96"/>
    <w:rsid w:val="73073A40"/>
    <w:rsid w:val="731D63B3"/>
    <w:rsid w:val="732959AE"/>
    <w:rsid w:val="7335269C"/>
    <w:rsid w:val="73567F6D"/>
    <w:rsid w:val="73647FD9"/>
    <w:rsid w:val="73667F9F"/>
    <w:rsid w:val="7384625D"/>
    <w:rsid w:val="73854316"/>
    <w:rsid w:val="738F7E72"/>
    <w:rsid w:val="73B30C08"/>
    <w:rsid w:val="73C63794"/>
    <w:rsid w:val="73E20BE8"/>
    <w:rsid w:val="73E34B0E"/>
    <w:rsid w:val="7401446E"/>
    <w:rsid w:val="74230FB1"/>
    <w:rsid w:val="743265BD"/>
    <w:rsid w:val="74391A87"/>
    <w:rsid w:val="744A7991"/>
    <w:rsid w:val="744D7F9A"/>
    <w:rsid w:val="74562DF8"/>
    <w:rsid w:val="74697E0C"/>
    <w:rsid w:val="746E342A"/>
    <w:rsid w:val="74751F41"/>
    <w:rsid w:val="74943CE0"/>
    <w:rsid w:val="74AA0204"/>
    <w:rsid w:val="74CA2950"/>
    <w:rsid w:val="74E80B32"/>
    <w:rsid w:val="750F7003"/>
    <w:rsid w:val="756309EA"/>
    <w:rsid w:val="75716BC5"/>
    <w:rsid w:val="7574699E"/>
    <w:rsid w:val="757A07FA"/>
    <w:rsid w:val="758924ED"/>
    <w:rsid w:val="759F78C3"/>
    <w:rsid w:val="75A2458E"/>
    <w:rsid w:val="75B41A20"/>
    <w:rsid w:val="75E03B78"/>
    <w:rsid w:val="75F05AFC"/>
    <w:rsid w:val="75F567BB"/>
    <w:rsid w:val="76257703"/>
    <w:rsid w:val="76277C82"/>
    <w:rsid w:val="76506812"/>
    <w:rsid w:val="76662B81"/>
    <w:rsid w:val="76A84DE4"/>
    <w:rsid w:val="76BF7041"/>
    <w:rsid w:val="76C30F96"/>
    <w:rsid w:val="76DB2E98"/>
    <w:rsid w:val="76E1267A"/>
    <w:rsid w:val="76EB4F96"/>
    <w:rsid w:val="76EB719C"/>
    <w:rsid w:val="76FB5E32"/>
    <w:rsid w:val="77226E53"/>
    <w:rsid w:val="77256D95"/>
    <w:rsid w:val="77261F2C"/>
    <w:rsid w:val="772D2466"/>
    <w:rsid w:val="773A7976"/>
    <w:rsid w:val="773C0804"/>
    <w:rsid w:val="775679E7"/>
    <w:rsid w:val="77630AFA"/>
    <w:rsid w:val="77724792"/>
    <w:rsid w:val="777A793A"/>
    <w:rsid w:val="77872166"/>
    <w:rsid w:val="778C0714"/>
    <w:rsid w:val="778D4114"/>
    <w:rsid w:val="779F389A"/>
    <w:rsid w:val="77AD3E4F"/>
    <w:rsid w:val="77AD6336"/>
    <w:rsid w:val="77FB2B57"/>
    <w:rsid w:val="77FD6BC2"/>
    <w:rsid w:val="780B2412"/>
    <w:rsid w:val="78362914"/>
    <w:rsid w:val="7842108E"/>
    <w:rsid w:val="7848057E"/>
    <w:rsid w:val="785835EB"/>
    <w:rsid w:val="788C44DA"/>
    <w:rsid w:val="789C0D38"/>
    <w:rsid w:val="78A46442"/>
    <w:rsid w:val="78BD4784"/>
    <w:rsid w:val="78CE1F64"/>
    <w:rsid w:val="78D9196D"/>
    <w:rsid w:val="78DF4718"/>
    <w:rsid w:val="78EF73CE"/>
    <w:rsid w:val="7922232A"/>
    <w:rsid w:val="792C0C9D"/>
    <w:rsid w:val="794069B1"/>
    <w:rsid w:val="794852C8"/>
    <w:rsid w:val="79665753"/>
    <w:rsid w:val="797B4CB2"/>
    <w:rsid w:val="79980A1C"/>
    <w:rsid w:val="79BC1800"/>
    <w:rsid w:val="79D44099"/>
    <w:rsid w:val="79FC6392"/>
    <w:rsid w:val="7A026DB8"/>
    <w:rsid w:val="7A0E7261"/>
    <w:rsid w:val="7A245E51"/>
    <w:rsid w:val="7A381E73"/>
    <w:rsid w:val="7A763833"/>
    <w:rsid w:val="7A7851DA"/>
    <w:rsid w:val="7AA57BD9"/>
    <w:rsid w:val="7ABD7CAB"/>
    <w:rsid w:val="7AF71683"/>
    <w:rsid w:val="7B036FA8"/>
    <w:rsid w:val="7B110D98"/>
    <w:rsid w:val="7B1B3566"/>
    <w:rsid w:val="7B48525D"/>
    <w:rsid w:val="7B4B781E"/>
    <w:rsid w:val="7BCC22C3"/>
    <w:rsid w:val="7BD03A90"/>
    <w:rsid w:val="7C0B5DC3"/>
    <w:rsid w:val="7C0D5EA8"/>
    <w:rsid w:val="7C454680"/>
    <w:rsid w:val="7C591784"/>
    <w:rsid w:val="7C5B7EBE"/>
    <w:rsid w:val="7C622234"/>
    <w:rsid w:val="7C7548AB"/>
    <w:rsid w:val="7C7D14D7"/>
    <w:rsid w:val="7C7F6453"/>
    <w:rsid w:val="7C827A8C"/>
    <w:rsid w:val="7C840199"/>
    <w:rsid w:val="7CA00699"/>
    <w:rsid w:val="7CA22F3D"/>
    <w:rsid w:val="7CBC1293"/>
    <w:rsid w:val="7CC30367"/>
    <w:rsid w:val="7CD44966"/>
    <w:rsid w:val="7CD53A06"/>
    <w:rsid w:val="7CEE3506"/>
    <w:rsid w:val="7D071436"/>
    <w:rsid w:val="7D2B0BA2"/>
    <w:rsid w:val="7D2B623C"/>
    <w:rsid w:val="7D5A1F4A"/>
    <w:rsid w:val="7D5B6BAC"/>
    <w:rsid w:val="7D7E41CE"/>
    <w:rsid w:val="7DAF552E"/>
    <w:rsid w:val="7DDB30FF"/>
    <w:rsid w:val="7DE9399B"/>
    <w:rsid w:val="7DF829C0"/>
    <w:rsid w:val="7E204AB0"/>
    <w:rsid w:val="7E337924"/>
    <w:rsid w:val="7E560447"/>
    <w:rsid w:val="7E6469AD"/>
    <w:rsid w:val="7E6D2B71"/>
    <w:rsid w:val="7E6F04B6"/>
    <w:rsid w:val="7EA13AB1"/>
    <w:rsid w:val="7EB53F19"/>
    <w:rsid w:val="7EDC305E"/>
    <w:rsid w:val="7EE158FD"/>
    <w:rsid w:val="7EE20C86"/>
    <w:rsid w:val="7EFD1537"/>
    <w:rsid w:val="7F32747C"/>
    <w:rsid w:val="7F3A68C3"/>
    <w:rsid w:val="7F4D7458"/>
    <w:rsid w:val="7F7A3631"/>
    <w:rsid w:val="7F800D2A"/>
    <w:rsid w:val="7F8D2E6A"/>
    <w:rsid w:val="7F9B044D"/>
    <w:rsid w:val="7FBB1670"/>
    <w:rsid w:val="7FBB419A"/>
    <w:rsid w:val="7FBE6FC3"/>
    <w:rsid w:val="7FCB7E08"/>
    <w:rsid w:val="7FF77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60"/>
    <w:qFormat/>
    <w:uiPriority w:val="0"/>
    <w:pPr>
      <w:keepNext/>
      <w:keepLines/>
      <w:adjustRightInd w:val="0"/>
      <w:spacing w:before="340" w:after="330" w:line="578" w:lineRule="atLeast"/>
      <w:jc w:val="center"/>
      <w:textAlignment w:val="baseline"/>
      <w:outlineLvl w:val="0"/>
    </w:pPr>
    <w:rPr>
      <w:rFonts w:ascii="宋体"/>
      <w:kern w:val="44"/>
      <w:sz w:val="28"/>
    </w:rPr>
  </w:style>
  <w:style w:type="paragraph" w:styleId="4">
    <w:name w:val="heading 2"/>
    <w:basedOn w:val="1"/>
    <w:next w:val="1"/>
    <w:link w:val="155"/>
    <w:qFormat/>
    <w:uiPriority w:val="0"/>
    <w:pPr>
      <w:keepNext/>
      <w:keepLines/>
      <w:adjustRightInd w:val="0"/>
      <w:spacing w:before="260" w:after="260" w:line="416" w:lineRule="atLeast"/>
      <w:jc w:val="center"/>
      <w:textAlignment w:val="baseline"/>
      <w:outlineLvl w:val="1"/>
    </w:pPr>
    <w:rPr>
      <w:rFonts w:ascii="黑体" w:hAnsi="Arial" w:eastAsia="黑体"/>
      <w:b/>
      <w:spacing w:val="90"/>
      <w:kern w:val="0"/>
      <w:sz w:val="32"/>
    </w:rPr>
  </w:style>
  <w:style w:type="paragraph" w:styleId="5">
    <w:name w:val="heading 3"/>
    <w:basedOn w:val="1"/>
    <w:next w:val="1"/>
    <w:link w:val="99"/>
    <w:qFormat/>
    <w:uiPriority w:val="0"/>
    <w:pPr>
      <w:keepNext/>
      <w:keepLines/>
      <w:adjustRightInd w:val="0"/>
      <w:spacing w:line="360" w:lineRule="auto"/>
      <w:jc w:val="left"/>
      <w:textAlignment w:val="baseline"/>
      <w:outlineLvl w:val="2"/>
    </w:pPr>
    <w:rPr>
      <w:rFonts w:ascii="宋体" w:eastAsia="仿宋_GB2312"/>
      <w:b/>
      <w:kern w:val="0"/>
      <w:sz w:val="28"/>
    </w:rPr>
  </w:style>
  <w:style w:type="paragraph" w:styleId="6">
    <w:name w:val="heading 4"/>
    <w:basedOn w:val="1"/>
    <w:next w:val="1"/>
    <w:link w:val="78"/>
    <w:qFormat/>
    <w:uiPriority w:val="0"/>
    <w:pPr>
      <w:keepNext/>
      <w:keepLines/>
      <w:adjustRightInd w:val="0"/>
      <w:spacing w:before="120"/>
      <w:jc w:val="left"/>
      <w:textAlignment w:val="baseline"/>
      <w:outlineLvl w:val="3"/>
    </w:pPr>
    <w:rPr>
      <w:rFonts w:ascii="宋体" w:hAnsi="Arial"/>
      <w:kern w:val="0"/>
      <w:sz w:val="28"/>
    </w:rPr>
  </w:style>
  <w:style w:type="paragraph" w:styleId="7">
    <w:name w:val="heading 5"/>
    <w:basedOn w:val="1"/>
    <w:next w:val="1"/>
    <w:link w:val="161"/>
    <w:qFormat/>
    <w:uiPriority w:val="0"/>
    <w:pPr>
      <w:keepNext/>
      <w:keepLines/>
      <w:adjustRightInd w:val="0"/>
      <w:ind w:firstLine="567"/>
      <w:jc w:val="left"/>
      <w:textAlignment w:val="baseline"/>
      <w:outlineLvl w:val="4"/>
    </w:pPr>
    <w:rPr>
      <w:rFonts w:ascii="宋体"/>
      <w:kern w:val="0"/>
      <w:sz w:val="28"/>
    </w:rPr>
  </w:style>
  <w:style w:type="paragraph" w:styleId="8">
    <w:name w:val="heading 6"/>
    <w:basedOn w:val="1"/>
    <w:next w:val="1"/>
    <w:link w:val="120"/>
    <w:qFormat/>
    <w:uiPriority w:val="0"/>
    <w:pPr>
      <w:keepNext/>
      <w:keepLines/>
      <w:adjustRightInd w:val="0"/>
      <w:spacing w:before="240" w:after="64" w:line="320" w:lineRule="atLeast"/>
      <w:jc w:val="left"/>
      <w:textAlignment w:val="baseline"/>
      <w:outlineLvl w:val="5"/>
    </w:pPr>
    <w:rPr>
      <w:rFonts w:ascii="Arial" w:hAnsi="Arial" w:eastAsia="黑体"/>
      <w:b/>
      <w:kern w:val="0"/>
      <w:sz w:val="24"/>
    </w:rPr>
  </w:style>
  <w:style w:type="paragraph" w:styleId="9">
    <w:name w:val="heading 7"/>
    <w:basedOn w:val="1"/>
    <w:next w:val="1"/>
    <w:link w:val="85"/>
    <w:qFormat/>
    <w:uiPriority w:val="0"/>
    <w:pPr>
      <w:keepNext/>
      <w:keepLines/>
      <w:adjustRightInd w:val="0"/>
      <w:spacing w:before="240" w:after="64" w:line="320" w:lineRule="atLeast"/>
      <w:ind w:left="425" w:hanging="425"/>
      <w:jc w:val="left"/>
      <w:textAlignment w:val="baseline"/>
      <w:outlineLvl w:val="6"/>
    </w:pPr>
    <w:rPr>
      <w:rFonts w:ascii="宋体"/>
      <w:b/>
      <w:kern w:val="0"/>
      <w:sz w:val="24"/>
    </w:rPr>
  </w:style>
  <w:style w:type="paragraph" w:styleId="10">
    <w:name w:val="heading 8"/>
    <w:basedOn w:val="1"/>
    <w:next w:val="1"/>
    <w:link w:val="165"/>
    <w:qFormat/>
    <w:uiPriority w:val="0"/>
    <w:pPr>
      <w:keepNext/>
      <w:keepLines/>
      <w:adjustRightInd w:val="0"/>
      <w:spacing w:before="240" w:after="64" w:line="320" w:lineRule="atLeast"/>
      <w:ind w:left="850" w:hanging="425"/>
      <w:jc w:val="left"/>
      <w:textAlignment w:val="baseline"/>
      <w:outlineLvl w:val="7"/>
    </w:pPr>
    <w:rPr>
      <w:rFonts w:ascii="Arial" w:hAnsi="Arial" w:eastAsia="黑体"/>
      <w:kern w:val="0"/>
      <w:sz w:val="24"/>
    </w:rPr>
  </w:style>
  <w:style w:type="paragraph" w:styleId="11">
    <w:name w:val="heading 9"/>
    <w:basedOn w:val="1"/>
    <w:next w:val="1"/>
    <w:link w:val="138"/>
    <w:qFormat/>
    <w:uiPriority w:val="0"/>
    <w:pPr>
      <w:keepNext/>
      <w:keepLines/>
      <w:adjustRightInd w:val="0"/>
      <w:spacing w:before="240" w:after="64" w:line="320" w:lineRule="atLeast"/>
      <w:ind w:left="1275" w:hanging="425"/>
      <w:jc w:val="left"/>
      <w:textAlignment w:val="baseline"/>
      <w:outlineLvl w:val="8"/>
    </w:pPr>
    <w:rPr>
      <w:rFonts w:ascii="Arial" w:hAnsi="Arial" w:eastAsia="黑体"/>
      <w:kern w:val="0"/>
      <w:sz w:val="28"/>
    </w:rPr>
  </w:style>
  <w:style w:type="character" w:default="1" w:styleId="43">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12">
    <w:name w:val="caption"/>
    <w:basedOn w:val="1"/>
    <w:next w:val="1"/>
    <w:qFormat/>
    <w:uiPriority w:val="0"/>
    <w:pPr>
      <w:spacing w:before="152" w:after="160"/>
    </w:pPr>
    <w:rPr>
      <w:rFonts w:ascii="Arial" w:hAnsi="Arial" w:eastAsia="黑体"/>
    </w:rPr>
  </w:style>
  <w:style w:type="paragraph" w:styleId="13">
    <w:name w:val="Document Map"/>
    <w:basedOn w:val="1"/>
    <w:link w:val="71"/>
    <w:semiHidden/>
    <w:qFormat/>
    <w:uiPriority w:val="0"/>
    <w:pPr>
      <w:shd w:val="clear" w:color="auto" w:fill="000080"/>
    </w:pPr>
  </w:style>
  <w:style w:type="paragraph" w:styleId="14">
    <w:name w:val="annotation text"/>
    <w:basedOn w:val="1"/>
    <w:link w:val="86"/>
    <w:qFormat/>
    <w:uiPriority w:val="0"/>
    <w:pPr>
      <w:jc w:val="left"/>
    </w:pPr>
  </w:style>
  <w:style w:type="paragraph" w:styleId="15">
    <w:name w:val="Salutation"/>
    <w:basedOn w:val="1"/>
    <w:next w:val="1"/>
    <w:link w:val="133"/>
    <w:qFormat/>
    <w:uiPriority w:val="0"/>
    <w:rPr>
      <w:rFonts w:ascii="昆仑仿宋" w:eastAsia="仿宋_GB2312"/>
      <w:kern w:val="0"/>
      <w:sz w:val="30"/>
    </w:rPr>
  </w:style>
  <w:style w:type="paragraph" w:styleId="16">
    <w:name w:val="Closing"/>
    <w:basedOn w:val="1"/>
    <w:next w:val="1"/>
    <w:link w:val="93"/>
    <w:qFormat/>
    <w:uiPriority w:val="0"/>
    <w:pPr>
      <w:ind w:left="4320"/>
    </w:pPr>
    <w:rPr>
      <w:rFonts w:ascii="昆仑仿宋" w:eastAsia="仿宋_GB2312"/>
      <w:kern w:val="0"/>
      <w:sz w:val="30"/>
    </w:rPr>
  </w:style>
  <w:style w:type="paragraph" w:styleId="17">
    <w:name w:val="Body Text"/>
    <w:basedOn w:val="1"/>
    <w:link w:val="136"/>
    <w:qFormat/>
    <w:uiPriority w:val="0"/>
    <w:rPr>
      <w:rFonts w:ascii="仿宋_GB2312" w:eastAsia="仿宋_GB2312"/>
      <w:sz w:val="28"/>
    </w:rPr>
  </w:style>
  <w:style w:type="paragraph" w:styleId="18">
    <w:name w:val="Body Text Indent"/>
    <w:basedOn w:val="1"/>
    <w:link w:val="131"/>
    <w:qFormat/>
    <w:uiPriority w:val="99"/>
    <w:pPr>
      <w:adjustRightInd w:val="0"/>
      <w:spacing w:line="360" w:lineRule="auto"/>
      <w:ind w:firstLine="567"/>
      <w:jc w:val="left"/>
      <w:textAlignment w:val="baseline"/>
    </w:pPr>
    <w:rPr>
      <w:rFonts w:ascii="宋体"/>
      <w:kern w:val="0"/>
      <w:sz w:val="28"/>
    </w:rPr>
  </w:style>
  <w:style w:type="paragraph" w:styleId="19">
    <w:name w:val="Block Text"/>
    <w:basedOn w:val="1"/>
    <w:qFormat/>
    <w:uiPriority w:val="0"/>
    <w:pPr>
      <w:spacing w:line="580" w:lineRule="exact"/>
      <w:ind w:left="-113" w:right="-454" w:firstLine="567"/>
    </w:pPr>
    <w:rPr>
      <w:rFonts w:ascii="仿宋_GB2312" w:eastAsia="仿宋_GB2312"/>
      <w:sz w:val="28"/>
    </w:rPr>
  </w:style>
  <w:style w:type="paragraph" w:styleId="20">
    <w:name w:val="toc 5"/>
    <w:basedOn w:val="1"/>
    <w:next w:val="1"/>
    <w:qFormat/>
    <w:uiPriority w:val="0"/>
    <w:pPr>
      <w:ind w:left="1680" w:leftChars="800"/>
    </w:pPr>
  </w:style>
  <w:style w:type="paragraph" w:styleId="21">
    <w:name w:val="toc 3"/>
    <w:basedOn w:val="1"/>
    <w:next w:val="1"/>
    <w:qFormat/>
    <w:uiPriority w:val="39"/>
    <w:pPr>
      <w:ind w:left="840" w:leftChars="400"/>
    </w:pPr>
  </w:style>
  <w:style w:type="paragraph" w:styleId="22">
    <w:name w:val="Plain Text"/>
    <w:basedOn w:val="1"/>
    <w:link w:val="119"/>
    <w:qFormat/>
    <w:uiPriority w:val="0"/>
    <w:rPr>
      <w:rFonts w:ascii="宋体" w:hAnsi="Courier New"/>
    </w:rPr>
  </w:style>
  <w:style w:type="paragraph" w:styleId="23">
    <w:name w:val="Date"/>
    <w:basedOn w:val="1"/>
    <w:next w:val="1"/>
    <w:link w:val="159"/>
    <w:qFormat/>
    <w:uiPriority w:val="0"/>
    <w:pPr>
      <w:widowControl/>
      <w:spacing w:line="360" w:lineRule="auto"/>
      <w:ind w:firstLine="567"/>
      <w:jc w:val="right"/>
    </w:pPr>
    <w:rPr>
      <w:rFonts w:ascii="昆仑仿宋" w:hAnsi="Monotype Sorts" w:eastAsia="昆仑仿宋"/>
      <w:spacing w:val="5"/>
      <w:kern w:val="0"/>
      <w:sz w:val="30"/>
    </w:rPr>
  </w:style>
  <w:style w:type="paragraph" w:styleId="24">
    <w:name w:val="Body Text Indent 2"/>
    <w:basedOn w:val="1"/>
    <w:link w:val="96"/>
    <w:qFormat/>
    <w:uiPriority w:val="0"/>
    <w:pPr>
      <w:spacing w:line="360" w:lineRule="auto"/>
      <w:ind w:right="-567" w:firstLine="567"/>
      <w:jc w:val="left"/>
    </w:pPr>
    <w:rPr>
      <w:rFonts w:ascii="仿宋_GB2312" w:eastAsia="仿宋_GB2312"/>
      <w:sz w:val="28"/>
    </w:rPr>
  </w:style>
  <w:style w:type="paragraph" w:styleId="25">
    <w:name w:val="endnote text"/>
    <w:basedOn w:val="1"/>
    <w:link w:val="110"/>
    <w:qFormat/>
    <w:uiPriority w:val="0"/>
    <w:pPr>
      <w:snapToGrid w:val="0"/>
      <w:jc w:val="left"/>
    </w:pPr>
  </w:style>
  <w:style w:type="paragraph" w:styleId="26">
    <w:name w:val="Balloon Text"/>
    <w:basedOn w:val="1"/>
    <w:link w:val="135"/>
    <w:qFormat/>
    <w:uiPriority w:val="0"/>
    <w:rPr>
      <w:sz w:val="18"/>
      <w:szCs w:val="18"/>
    </w:rPr>
  </w:style>
  <w:style w:type="paragraph" w:styleId="27">
    <w:name w:val="footer"/>
    <w:basedOn w:val="1"/>
    <w:link w:val="152"/>
    <w:qFormat/>
    <w:uiPriority w:val="99"/>
    <w:pPr>
      <w:tabs>
        <w:tab w:val="center" w:pos="4153"/>
        <w:tab w:val="right" w:pos="8306"/>
      </w:tabs>
      <w:snapToGrid w:val="0"/>
      <w:jc w:val="left"/>
    </w:pPr>
    <w:rPr>
      <w:sz w:val="18"/>
    </w:rPr>
  </w:style>
  <w:style w:type="paragraph" w:styleId="28">
    <w:name w:val="header"/>
    <w:basedOn w:val="1"/>
    <w:link w:val="66"/>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9192"/>
      </w:tabs>
    </w:pPr>
    <w:rPr>
      <w:rFonts w:ascii="仿宋_GB2312" w:eastAsia="仿宋_GB2312"/>
      <w:szCs w:val="21"/>
    </w:rPr>
  </w:style>
  <w:style w:type="paragraph" w:styleId="30">
    <w:name w:val="Subtitle"/>
    <w:basedOn w:val="31"/>
    <w:next w:val="17"/>
    <w:link w:val="73"/>
    <w:qFormat/>
    <w:uiPriority w:val="0"/>
    <w:pPr>
      <w:tabs>
        <w:tab w:val="left" w:pos="0"/>
        <w:tab w:val="left" w:pos="1575"/>
        <w:tab w:val="left" w:pos="3825"/>
      </w:tabs>
      <w:spacing w:after="420"/>
    </w:pPr>
    <w:rPr>
      <w:rFonts w:eastAsia="楷体_GB2312"/>
      <w:b/>
      <w:caps w:val="0"/>
      <w:smallCaps/>
      <w:spacing w:val="20"/>
      <w:sz w:val="27"/>
    </w:rPr>
  </w:style>
  <w:style w:type="paragraph" w:styleId="31">
    <w:name w:val="Title"/>
    <w:basedOn w:val="32"/>
    <w:next w:val="30"/>
    <w:link w:val="154"/>
    <w:qFormat/>
    <w:uiPriority w:val="0"/>
    <w:pPr>
      <w:tabs>
        <w:tab w:val="left" w:pos="0"/>
        <w:tab w:val="left" w:pos="1575"/>
        <w:tab w:val="left" w:pos="3825"/>
      </w:tabs>
      <w:spacing w:before="140" w:line="240" w:lineRule="auto"/>
      <w:jc w:val="center"/>
    </w:pPr>
    <w:rPr>
      <w:caps/>
      <w:spacing w:val="60"/>
      <w:sz w:val="44"/>
    </w:rPr>
  </w:style>
  <w:style w:type="paragraph" w:customStyle="1" w:styleId="32">
    <w:name w:val="基准标题"/>
    <w:basedOn w:val="17"/>
    <w:next w:val="17"/>
    <w:qFormat/>
    <w:uiPriority w:val="0"/>
    <w:pPr>
      <w:keepNext/>
      <w:keepLines/>
      <w:widowControl/>
      <w:tabs>
        <w:tab w:val="left" w:pos="0"/>
        <w:tab w:val="left" w:pos="1575"/>
        <w:tab w:val="left" w:pos="3825"/>
      </w:tabs>
      <w:autoSpaceDE w:val="0"/>
      <w:autoSpaceDN w:val="0"/>
      <w:spacing w:line="240" w:lineRule="atLeast"/>
      <w:ind w:right="-18" w:firstLine="208" w:firstLineChars="208"/>
      <w:jc w:val="left"/>
      <w:textAlignment w:val="baseline"/>
    </w:pPr>
    <w:rPr>
      <w:rFonts w:hAnsi="Monotype Sorts"/>
      <w:spacing w:val="-6"/>
      <w:kern w:val="20"/>
      <w:sz w:val="21"/>
    </w:rPr>
  </w:style>
  <w:style w:type="paragraph" w:styleId="33">
    <w:name w:val="footnote text"/>
    <w:basedOn w:val="1"/>
    <w:link w:val="95"/>
    <w:qFormat/>
    <w:uiPriority w:val="0"/>
    <w:pPr>
      <w:snapToGrid w:val="0"/>
      <w:jc w:val="left"/>
    </w:pPr>
    <w:rPr>
      <w:sz w:val="18"/>
      <w:szCs w:val="18"/>
    </w:rPr>
  </w:style>
  <w:style w:type="paragraph" w:styleId="34">
    <w:name w:val="Body Text Indent 3"/>
    <w:basedOn w:val="1"/>
    <w:link w:val="90"/>
    <w:qFormat/>
    <w:uiPriority w:val="0"/>
    <w:pPr>
      <w:spacing w:line="360" w:lineRule="auto"/>
      <w:ind w:right="-454" w:firstLine="567"/>
      <w:jc w:val="left"/>
    </w:pPr>
    <w:rPr>
      <w:rFonts w:ascii="仿宋_GB2312" w:eastAsia="仿宋_GB2312"/>
      <w:sz w:val="28"/>
    </w:rPr>
  </w:style>
  <w:style w:type="paragraph" w:styleId="35">
    <w:name w:val="toc 2"/>
    <w:basedOn w:val="1"/>
    <w:next w:val="1"/>
    <w:qFormat/>
    <w:uiPriority w:val="39"/>
    <w:pPr>
      <w:tabs>
        <w:tab w:val="right" w:leader="dot" w:pos="9192"/>
      </w:tabs>
      <w:ind w:left="420" w:leftChars="200"/>
    </w:pPr>
    <w:rPr>
      <w:rFonts w:ascii="仿宋_GB2312" w:eastAsia="仿宋_GB2312"/>
    </w:rPr>
  </w:style>
  <w:style w:type="paragraph" w:styleId="36">
    <w:name w:val="Body Text 2"/>
    <w:basedOn w:val="1"/>
    <w:qFormat/>
    <w:uiPriority w:val="0"/>
    <w:pPr>
      <w:jc w:val="center"/>
    </w:pPr>
    <w:rPr>
      <w:rFonts w:ascii="仿宋_GB2312" w:eastAsia="仿宋_GB2312"/>
      <w:sz w:val="44"/>
      <w:szCs w:val="24"/>
    </w:rPr>
  </w:style>
  <w:style w:type="paragraph" w:styleId="37">
    <w:name w:val="HTML Preformatted"/>
    <w:basedOn w:val="1"/>
    <w:link w:val="5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8">
    <w:name w:val="Normal (Web)"/>
    <w:basedOn w:val="1"/>
    <w:link w:val="88"/>
    <w:qFormat/>
    <w:uiPriority w:val="99"/>
    <w:pPr>
      <w:widowControl/>
      <w:spacing w:before="100" w:beforeAutospacing="1" w:after="100" w:afterAutospacing="1"/>
      <w:jc w:val="left"/>
    </w:pPr>
    <w:rPr>
      <w:rFonts w:ascii="Arial Unicode MS" w:hAnsi="Arial Unicode MS" w:eastAsia="Arial Unicode MS"/>
      <w:kern w:val="0"/>
      <w:sz w:val="24"/>
      <w:szCs w:val="24"/>
    </w:rPr>
  </w:style>
  <w:style w:type="paragraph" w:styleId="39">
    <w:name w:val="annotation subject"/>
    <w:basedOn w:val="14"/>
    <w:next w:val="14"/>
    <w:link w:val="125"/>
    <w:qFormat/>
    <w:uiPriority w:val="0"/>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2">
    <w:name w:val="Light Shading Accent 5"/>
    <w:basedOn w:val="40"/>
    <w:qFormat/>
    <w:uiPriority w:val="60"/>
    <w:rPr>
      <w:color w:val="31849B"/>
    </w:rPr>
    <w:tblPr>
      <w:tblBorders>
        <w:top w:val="single" w:color="4BACC6" w:sz="8" w:space="0"/>
        <w:bottom w:val="single" w:color="4BACC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0"/>
      </w:tcPr>
    </w:tblStylePr>
    <w:tblStylePr w:type="band1Horz">
      <w:tblPr/>
      <w:tcPr>
        <w:tcBorders>
          <w:top w:val="nil"/>
          <w:left w:val="nil"/>
          <w:bottom w:val="nil"/>
          <w:right w:val="nil"/>
          <w:insideH w:val="nil"/>
          <w:insideV w:val="nil"/>
          <w:tl2br w:val="nil"/>
          <w:tr2bl w:val="nil"/>
        </w:tcBorders>
        <w:shd w:val="clear" w:color="auto" w:fill="D2EAF0"/>
      </w:tcPr>
    </w:tblStylePr>
  </w:style>
  <w:style w:type="character" w:styleId="44">
    <w:name w:val="Strong"/>
    <w:basedOn w:val="43"/>
    <w:qFormat/>
    <w:uiPriority w:val="0"/>
    <w:rPr>
      <w:b/>
      <w:bCs/>
    </w:rPr>
  </w:style>
  <w:style w:type="character" w:styleId="45">
    <w:name w:val="endnote reference"/>
    <w:qFormat/>
    <w:uiPriority w:val="0"/>
    <w:rPr>
      <w:vertAlign w:val="superscript"/>
    </w:rPr>
  </w:style>
  <w:style w:type="character" w:styleId="46">
    <w:name w:val="page number"/>
    <w:basedOn w:val="43"/>
    <w:qFormat/>
    <w:uiPriority w:val="0"/>
  </w:style>
  <w:style w:type="character" w:styleId="47">
    <w:name w:val="FollowedHyperlink"/>
    <w:qFormat/>
    <w:uiPriority w:val="0"/>
    <w:rPr>
      <w:color w:val="666666"/>
      <w:u w:val="none"/>
    </w:rPr>
  </w:style>
  <w:style w:type="character" w:styleId="48">
    <w:name w:val="Emphasis"/>
    <w:qFormat/>
    <w:uiPriority w:val="0"/>
    <w:rPr>
      <w:i/>
      <w:iCs/>
    </w:rPr>
  </w:style>
  <w:style w:type="character" w:styleId="49">
    <w:name w:val="HTML Definition"/>
    <w:basedOn w:val="43"/>
    <w:qFormat/>
    <w:uiPriority w:val="0"/>
  </w:style>
  <w:style w:type="character" w:styleId="50">
    <w:name w:val="HTML Acronym"/>
    <w:basedOn w:val="43"/>
    <w:qFormat/>
    <w:uiPriority w:val="0"/>
  </w:style>
  <w:style w:type="character" w:styleId="51">
    <w:name w:val="HTML Variable"/>
    <w:basedOn w:val="43"/>
    <w:qFormat/>
    <w:uiPriority w:val="0"/>
  </w:style>
  <w:style w:type="character" w:styleId="52">
    <w:name w:val="Hyperlink"/>
    <w:basedOn w:val="43"/>
    <w:qFormat/>
    <w:uiPriority w:val="99"/>
    <w:rPr>
      <w:color w:val="0000FF"/>
      <w:u w:val="single"/>
    </w:rPr>
  </w:style>
  <w:style w:type="character" w:styleId="53">
    <w:name w:val="HTML Code"/>
    <w:qFormat/>
    <w:uiPriority w:val="0"/>
    <w:rPr>
      <w:rFonts w:ascii="Courier New" w:hAnsi="Courier New"/>
      <w:vanish/>
      <w:sz w:val="20"/>
    </w:rPr>
  </w:style>
  <w:style w:type="character" w:styleId="54">
    <w:name w:val="annotation reference"/>
    <w:semiHidden/>
    <w:qFormat/>
    <w:uiPriority w:val="0"/>
    <w:rPr>
      <w:sz w:val="21"/>
    </w:rPr>
  </w:style>
  <w:style w:type="character" w:styleId="55">
    <w:name w:val="HTML Cite"/>
    <w:basedOn w:val="43"/>
    <w:qFormat/>
    <w:uiPriority w:val="0"/>
  </w:style>
  <w:style w:type="character" w:styleId="56">
    <w:name w:val="footnote reference"/>
    <w:qFormat/>
    <w:uiPriority w:val="0"/>
    <w:rPr>
      <w:vertAlign w:val="superscript"/>
    </w:rPr>
  </w:style>
  <w:style w:type="character" w:styleId="57">
    <w:name w:val="HTML Keyboard"/>
    <w:qFormat/>
    <w:uiPriority w:val="0"/>
    <w:rPr>
      <w:rFonts w:hint="eastAsia" w:ascii="Arial" w:hAnsi="Arial" w:cs="Arial"/>
      <w:sz w:val="20"/>
    </w:rPr>
  </w:style>
  <w:style w:type="character" w:styleId="58">
    <w:name w:val="HTML Sample"/>
    <w:qFormat/>
    <w:uiPriority w:val="0"/>
    <w:rPr>
      <w:rFonts w:hint="default" w:ascii="Arial" w:hAnsi="Arial" w:cs="Arial"/>
    </w:rPr>
  </w:style>
  <w:style w:type="character" w:customStyle="1" w:styleId="59">
    <w:name w:val="HTML 预设格式 Char"/>
    <w:link w:val="37"/>
    <w:qFormat/>
    <w:uiPriority w:val="0"/>
    <w:rPr>
      <w:rFonts w:ascii="宋体" w:hAnsi="宋体" w:cs="宋体"/>
      <w:sz w:val="24"/>
      <w:szCs w:val="24"/>
    </w:rPr>
  </w:style>
  <w:style w:type="character" w:customStyle="1" w:styleId="60">
    <w:name w:val="标题 1 Char"/>
    <w:link w:val="3"/>
    <w:qFormat/>
    <w:uiPriority w:val="0"/>
    <w:rPr>
      <w:rFonts w:ascii="宋体"/>
      <w:kern w:val="44"/>
      <w:sz w:val="28"/>
    </w:rPr>
  </w:style>
  <w:style w:type="character" w:customStyle="1" w:styleId="61">
    <w:name w:val="重点强调"/>
    <w:qFormat/>
    <w:uiPriority w:val="0"/>
    <w:rPr>
      <w:b/>
      <w:caps/>
      <w:sz w:val="18"/>
    </w:rPr>
  </w:style>
  <w:style w:type="character" w:customStyle="1" w:styleId="62">
    <w:name w:val="black_1231"/>
    <w:qFormat/>
    <w:uiPriority w:val="0"/>
    <w:rPr>
      <w:color w:val="000000"/>
      <w:sz w:val="18"/>
      <w:szCs w:val="18"/>
    </w:rPr>
  </w:style>
  <w:style w:type="character" w:customStyle="1" w:styleId="63">
    <w:name w:val="Char Char8"/>
    <w:qFormat/>
    <w:locked/>
    <w:uiPriority w:val="0"/>
    <w:rPr>
      <w:rFonts w:ascii="仿宋_GB2312" w:eastAsia="仿宋_GB2312"/>
      <w:kern w:val="2"/>
      <w:sz w:val="28"/>
      <w:lang w:val="en-US" w:eastAsia="zh-CN" w:bidi="ar-SA"/>
    </w:rPr>
  </w:style>
  <w:style w:type="character" w:customStyle="1" w:styleId="64">
    <w:name w:val="linebg_on1"/>
    <w:basedOn w:val="43"/>
    <w:qFormat/>
    <w:uiPriority w:val="0"/>
  </w:style>
  <w:style w:type="character" w:customStyle="1" w:styleId="65">
    <w:name w:val="pt111"/>
    <w:qFormat/>
    <w:uiPriority w:val="0"/>
    <w:rPr>
      <w:sz w:val="22"/>
      <w:szCs w:val="22"/>
    </w:rPr>
  </w:style>
  <w:style w:type="character" w:customStyle="1" w:styleId="66">
    <w:name w:val="页眉 Char"/>
    <w:link w:val="28"/>
    <w:qFormat/>
    <w:locked/>
    <w:uiPriority w:val="0"/>
    <w:rPr>
      <w:rFonts w:eastAsia="宋体"/>
      <w:kern w:val="2"/>
      <w:sz w:val="18"/>
      <w:szCs w:val="18"/>
      <w:lang w:val="en-US" w:eastAsia="zh-CN" w:bidi="ar-SA"/>
    </w:rPr>
  </w:style>
  <w:style w:type="character" w:customStyle="1" w:styleId="67">
    <w:name w:val="HTML 预设格式 Char2"/>
    <w:qFormat/>
    <w:uiPriority w:val="0"/>
    <w:rPr>
      <w:rFonts w:ascii="Courier New" w:hAnsi="Courier New" w:cs="Courier New"/>
      <w:kern w:val="2"/>
    </w:rPr>
  </w:style>
  <w:style w:type="character" w:customStyle="1" w:styleId="68">
    <w:name w:val="linebg_on"/>
    <w:basedOn w:val="43"/>
    <w:qFormat/>
    <w:uiPriority w:val="0"/>
  </w:style>
  <w:style w:type="character" w:customStyle="1" w:styleId="69">
    <w:name w:val="txtcontent11"/>
    <w:qFormat/>
    <w:uiPriority w:val="0"/>
    <w:rPr>
      <w:rFonts w:hint="default" w:ascii="ˎ̥" w:hAnsi="ˎ̥"/>
      <w:color w:val="000000"/>
      <w:sz w:val="21"/>
      <w:szCs w:val="21"/>
    </w:rPr>
  </w:style>
  <w:style w:type="character" w:customStyle="1" w:styleId="70">
    <w:name w:val="正文1"/>
    <w:qFormat/>
    <w:uiPriority w:val="0"/>
    <w:rPr>
      <w:rFonts w:ascii="仿宋_GB2312" w:hAnsi="仿宋_GB2312" w:eastAsia="仿宋_GB2312" w:cs="Times New Roman"/>
      <w:sz w:val="28"/>
    </w:rPr>
  </w:style>
  <w:style w:type="character" w:customStyle="1" w:styleId="71">
    <w:name w:val="文档结构图 Char"/>
    <w:link w:val="13"/>
    <w:semiHidden/>
    <w:qFormat/>
    <w:locked/>
    <w:uiPriority w:val="0"/>
    <w:rPr>
      <w:rFonts w:eastAsia="宋体"/>
      <w:kern w:val="2"/>
      <w:sz w:val="21"/>
      <w:lang w:val="en-US" w:eastAsia="zh-CN" w:bidi="ar-SA"/>
    </w:rPr>
  </w:style>
  <w:style w:type="character" w:customStyle="1" w:styleId="72">
    <w:name w:val="c1"/>
    <w:qFormat/>
    <w:uiPriority w:val="0"/>
    <w:rPr>
      <w:color w:val="001F79"/>
      <w:sz w:val="18"/>
      <w:szCs w:val="18"/>
      <w:u w:val="none"/>
    </w:rPr>
  </w:style>
  <w:style w:type="character" w:customStyle="1" w:styleId="73">
    <w:name w:val="副标题 Char"/>
    <w:link w:val="30"/>
    <w:qFormat/>
    <w:uiPriority w:val="0"/>
    <w:rPr>
      <w:rFonts w:ascii="仿宋_GB2312" w:hAnsi="Monotype Sorts" w:eastAsia="楷体_GB2312"/>
      <w:b/>
      <w:smallCaps/>
      <w:spacing w:val="20"/>
      <w:kern w:val="20"/>
      <w:sz w:val="27"/>
      <w:lang w:val="en-US" w:eastAsia="zh-CN" w:bidi="ar-SA"/>
    </w:rPr>
  </w:style>
  <w:style w:type="character" w:customStyle="1" w:styleId="74">
    <w:name w:val="no_8"/>
    <w:basedOn w:val="43"/>
    <w:qFormat/>
    <w:uiPriority w:val="0"/>
  </w:style>
  <w:style w:type="character" w:customStyle="1" w:styleId="75">
    <w:name w:val="批注文字 Char1"/>
    <w:semiHidden/>
    <w:qFormat/>
    <w:uiPriority w:val="0"/>
    <w:rPr>
      <w:kern w:val="2"/>
      <w:sz w:val="21"/>
    </w:rPr>
  </w:style>
  <w:style w:type="character" w:customStyle="1" w:styleId="76">
    <w:name w:val="slink"/>
    <w:basedOn w:val="43"/>
    <w:qFormat/>
    <w:uiPriority w:val="0"/>
  </w:style>
  <w:style w:type="character" w:customStyle="1" w:styleId="77">
    <w:name w:val="input_span1"/>
    <w:basedOn w:val="43"/>
    <w:qFormat/>
    <w:uiPriority w:val="0"/>
  </w:style>
  <w:style w:type="character" w:customStyle="1" w:styleId="78">
    <w:name w:val="标题 4 Char"/>
    <w:link w:val="6"/>
    <w:qFormat/>
    <w:uiPriority w:val="0"/>
    <w:rPr>
      <w:rFonts w:ascii="宋体" w:hAnsi="Arial"/>
      <w:sz w:val="28"/>
    </w:rPr>
  </w:style>
  <w:style w:type="character" w:customStyle="1" w:styleId="79">
    <w:name w:val="unnamed7"/>
    <w:basedOn w:val="43"/>
    <w:qFormat/>
    <w:uiPriority w:val="0"/>
  </w:style>
  <w:style w:type="character" w:customStyle="1" w:styleId="80">
    <w:name w:val="content1"/>
    <w:qFormat/>
    <w:uiPriority w:val="0"/>
    <w:rPr>
      <w:rFonts w:hint="default" w:ascii="ˎ̥" w:hAnsi="ˎ̥"/>
      <w:color w:val="000000"/>
      <w:sz w:val="18"/>
      <w:szCs w:val="18"/>
      <w:u w:val="none"/>
    </w:rPr>
  </w:style>
  <w:style w:type="character" w:customStyle="1" w:styleId="81">
    <w:name w:val="标语"/>
    <w:qFormat/>
    <w:uiPriority w:val="0"/>
    <w:rPr>
      <w:i/>
      <w:spacing w:val="70"/>
    </w:rPr>
  </w:style>
  <w:style w:type="character" w:customStyle="1" w:styleId="82">
    <w:name w:val="inputhighlight"/>
    <w:basedOn w:val="43"/>
    <w:qFormat/>
    <w:uiPriority w:val="0"/>
  </w:style>
  <w:style w:type="character" w:customStyle="1" w:styleId="83">
    <w:name w:val="red"/>
    <w:basedOn w:val="43"/>
    <w:qFormat/>
    <w:uiPriority w:val="0"/>
  </w:style>
  <w:style w:type="character" w:customStyle="1" w:styleId="84">
    <w:name w:val="Char Char9"/>
    <w:qFormat/>
    <w:uiPriority w:val="0"/>
    <w:rPr>
      <w:rFonts w:ascii="仿宋_GB2312" w:eastAsia="仿宋_GB2312"/>
      <w:kern w:val="2"/>
      <w:sz w:val="28"/>
    </w:rPr>
  </w:style>
  <w:style w:type="character" w:customStyle="1" w:styleId="85">
    <w:name w:val="标题 7 Char"/>
    <w:link w:val="9"/>
    <w:qFormat/>
    <w:uiPriority w:val="0"/>
    <w:rPr>
      <w:rFonts w:ascii="宋体"/>
      <w:b/>
      <w:sz w:val="24"/>
    </w:rPr>
  </w:style>
  <w:style w:type="character" w:customStyle="1" w:styleId="86">
    <w:name w:val="批注文字 Char"/>
    <w:link w:val="14"/>
    <w:semiHidden/>
    <w:qFormat/>
    <w:uiPriority w:val="0"/>
    <w:rPr>
      <w:rFonts w:eastAsia="宋体"/>
      <w:kern w:val="2"/>
      <w:sz w:val="21"/>
      <w:lang w:val="en-US" w:eastAsia="zh-CN" w:bidi="ar-SA"/>
    </w:rPr>
  </w:style>
  <w:style w:type="character" w:customStyle="1" w:styleId="87">
    <w:name w:val="no_71"/>
    <w:basedOn w:val="43"/>
    <w:qFormat/>
    <w:uiPriority w:val="0"/>
  </w:style>
  <w:style w:type="character" w:customStyle="1" w:styleId="88">
    <w:name w:val="普通(网站) Char"/>
    <w:link w:val="38"/>
    <w:qFormat/>
    <w:locked/>
    <w:uiPriority w:val="99"/>
    <w:rPr>
      <w:rFonts w:ascii="Arial Unicode MS" w:hAnsi="Arial Unicode MS" w:eastAsia="Arial Unicode MS" w:cs="Arial Unicode MS"/>
      <w:sz w:val="24"/>
      <w:szCs w:val="24"/>
    </w:rPr>
  </w:style>
  <w:style w:type="character" w:customStyle="1" w:styleId="89">
    <w:name w:val="Char Char811"/>
    <w:qFormat/>
    <w:uiPriority w:val="0"/>
    <w:rPr>
      <w:rFonts w:ascii="仿宋_GB2312" w:eastAsia="仿宋_GB2312"/>
      <w:kern w:val="2"/>
      <w:sz w:val="28"/>
      <w:lang w:val="en-US" w:eastAsia="zh-CN" w:bidi="ar-SA"/>
    </w:rPr>
  </w:style>
  <w:style w:type="character" w:customStyle="1" w:styleId="90">
    <w:name w:val="正文文本缩进 3 Char"/>
    <w:link w:val="34"/>
    <w:qFormat/>
    <w:uiPriority w:val="0"/>
    <w:rPr>
      <w:rFonts w:ascii="仿宋_GB2312" w:eastAsia="仿宋_GB2312"/>
      <w:kern w:val="2"/>
      <w:sz w:val="28"/>
    </w:rPr>
  </w:style>
  <w:style w:type="character" w:customStyle="1" w:styleId="91">
    <w:name w:val="no_11"/>
    <w:basedOn w:val="43"/>
    <w:qFormat/>
    <w:uiPriority w:val="0"/>
  </w:style>
  <w:style w:type="character" w:customStyle="1" w:styleId="92">
    <w:name w:val="green"/>
    <w:basedOn w:val="43"/>
    <w:qFormat/>
    <w:uiPriority w:val="0"/>
  </w:style>
  <w:style w:type="character" w:customStyle="1" w:styleId="93">
    <w:name w:val="结束语 Char"/>
    <w:link w:val="16"/>
    <w:qFormat/>
    <w:uiPriority w:val="0"/>
    <w:rPr>
      <w:rFonts w:ascii="昆仑仿宋" w:eastAsia="仿宋_GB2312"/>
      <w:sz w:val="30"/>
      <w:lang w:val="en-US" w:eastAsia="zh-CN" w:bidi="ar-SA"/>
    </w:rPr>
  </w:style>
  <w:style w:type="character" w:customStyle="1" w:styleId="94">
    <w:name w:val="font01"/>
    <w:qFormat/>
    <w:uiPriority w:val="0"/>
    <w:rPr>
      <w:rFonts w:ascii="Arial" w:hAnsi="Arial" w:cs="Arial"/>
      <w:color w:val="000000"/>
      <w:sz w:val="20"/>
      <w:szCs w:val="20"/>
      <w:u w:val="none"/>
    </w:rPr>
  </w:style>
  <w:style w:type="character" w:customStyle="1" w:styleId="95">
    <w:name w:val="脚注文本 Char"/>
    <w:link w:val="33"/>
    <w:qFormat/>
    <w:uiPriority w:val="0"/>
    <w:rPr>
      <w:kern w:val="2"/>
      <w:sz w:val="18"/>
      <w:szCs w:val="18"/>
    </w:rPr>
  </w:style>
  <w:style w:type="character" w:customStyle="1" w:styleId="96">
    <w:name w:val="正文文本缩进 2 Char"/>
    <w:link w:val="24"/>
    <w:qFormat/>
    <w:uiPriority w:val="0"/>
    <w:rPr>
      <w:rFonts w:ascii="仿宋_GB2312" w:eastAsia="仿宋_GB2312"/>
      <w:kern w:val="2"/>
      <w:sz w:val="28"/>
      <w:lang w:val="en-US" w:eastAsia="zh-CN" w:bidi="ar-SA"/>
    </w:rPr>
  </w:style>
  <w:style w:type="character" w:customStyle="1" w:styleId="97">
    <w:name w:val="no_10"/>
    <w:basedOn w:val="43"/>
    <w:qFormat/>
    <w:uiPriority w:val="0"/>
  </w:style>
  <w:style w:type="character" w:customStyle="1" w:styleId="98">
    <w:name w:val="apple-converted-space"/>
    <w:basedOn w:val="43"/>
    <w:qFormat/>
    <w:uiPriority w:val="0"/>
  </w:style>
  <w:style w:type="character" w:customStyle="1" w:styleId="99">
    <w:name w:val="标题 3 Char"/>
    <w:link w:val="5"/>
    <w:qFormat/>
    <w:uiPriority w:val="0"/>
    <w:rPr>
      <w:rFonts w:ascii="宋体" w:eastAsia="仿宋_GB2312"/>
      <w:b/>
      <w:sz w:val="28"/>
    </w:rPr>
  </w:style>
  <w:style w:type="character" w:customStyle="1" w:styleId="100">
    <w:name w:val="font41"/>
    <w:qFormat/>
    <w:uiPriority w:val="0"/>
    <w:rPr>
      <w:rFonts w:hint="eastAsia" w:ascii="宋体" w:hAnsi="宋体" w:eastAsia="宋体" w:cs="宋体"/>
      <w:color w:val="000000"/>
      <w:sz w:val="20"/>
      <w:szCs w:val="20"/>
      <w:u w:val="none"/>
    </w:rPr>
  </w:style>
  <w:style w:type="character" w:customStyle="1" w:styleId="101">
    <w:name w:val="105pt12h1"/>
    <w:qFormat/>
    <w:uiPriority w:val="0"/>
    <w:rPr>
      <w:sz w:val="21"/>
      <w:szCs w:val="21"/>
    </w:rPr>
  </w:style>
  <w:style w:type="character" w:customStyle="1" w:styleId="102">
    <w:name w:val="pt91"/>
    <w:qFormat/>
    <w:uiPriority w:val="0"/>
    <w:rPr>
      <w:sz w:val="18"/>
      <w:szCs w:val="18"/>
    </w:rPr>
  </w:style>
  <w:style w:type="character" w:customStyle="1" w:styleId="103">
    <w:name w:val="no_5"/>
    <w:basedOn w:val="43"/>
    <w:qFormat/>
    <w:uiPriority w:val="0"/>
  </w:style>
  <w:style w:type="character" w:customStyle="1" w:styleId="104">
    <w:name w:val="no_101"/>
    <w:basedOn w:val="43"/>
    <w:qFormat/>
    <w:uiPriority w:val="0"/>
  </w:style>
  <w:style w:type="character" w:customStyle="1" w:styleId="105">
    <w:name w:val="legend"/>
    <w:qFormat/>
    <w:uiPriority w:val="0"/>
    <w:rPr>
      <w:rFonts w:hint="default" w:ascii="Arial" w:hAnsi="Arial" w:cs="Arial"/>
      <w:b/>
      <w:color w:val="73B304"/>
      <w:sz w:val="21"/>
      <w:szCs w:val="21"/>
      <w:shd w:val="clear" w:color="auto" w:fill="FFFFFF"/>
    </w:rPr>
  </w:style>
  <w:style w:type="character" w:customStyle="1" w:styleId="106">
    <w:name w:val="Char Char14"/>
    <w:qFormat/>
    <w:uiPriority w:val="0"/>
    <w:rPr>
      <w:rFonts w:ascii="宋体"/>
      <w:sz w:val="28"/>
    </w:rPr>
  </w:style>
  <w:style w:type="character" w:customStyle="1" w:styleId="107">
    <w:name w:val="no_6"/>
    <w:basedOn w:val="43"/>
    <w:qFormat/>
    <w:uiPriority w:val="0"/>
  </w:style>
  <w:style w:type="character" w:customStyle="1" w:styleId="108">
    <w:name w:val="pano_beta"/>
    <w:basedOn w:val="43"/>
    <w:qFormat/>
    <w:uiPriority w:val="0"/>
  </w:style>
  <w:style w:type="character" w:customStyle="1" w:styleId="109">
    <w:name w:val="map_taglist"/>
    <w:qFormat/>
    <w:uiPriority w:val="0"/>
    <w:rPr>
      <w:color w:val="666666"/>
    </w:rPr>
  </w:style>
  <w:style w:type="character" w:customStyle="1" w:styleId="110">
    <w:name w:val="尾注文本 Char"/>
    <w:link w:val="25"/>
    <w:qFormat/>
    <w:uiPriority w:val="0"/>
    <w:rPr>
      <w:kern w:val="2"/>
      <w:sz w:val="21"/>
    </w:rPr>
  </w:style>
  <w:style w:type="character" w:customStyle="1" w:styleId="111">
    <w:name w:val="font21"/>
    <w:qFormat/>
    <w:uiPriority w:val="0"/>
    <w:rPr>
      <w:rFonts w:hint="eastAsia" w:ascii="仿宋_GB2312" w:eastAsia="仿宋_GB2312" w:cs="仿宋_GB2312"/>
      <w:color w:val="000000"/>
      <w:sz w:val="20"/>
      <w:szCs w:val="20"/>
      <w:u w:val="none"/>
    </w:rPr>
  </w:style>
  <w:style w:type="character" w:customStyle="1" w:styleId="112">
    <w:name w:val="num4"/>
    <w:qFormat/>
    <w:uiPriority w:val="0"/>
    <w:rPr>
      <w:b/>
      <w:color w:val="FF7800"/>
    </w:rPr>
  </w:style>
  <w:style w:type="character" w:customStyle="1" w:styleId="113">
    <w:name w:val="Char Char15"/>
    <w:qFormat/>
    <w:uiPriority w:val="0"/>
    <w:rPr>
      <w:rFonts w:ascii="宋体"/>
      <w:sz w:val="28"/>
    </w:rPr>
  </w:style>
  <w:style w:type="character" w:customStyle="1" w:styleId="114">
    <w:name w:val="no_41"/>
    <w:basedOn w:val="43"/>
    <w:qFormat/>
    <w:uiPriority w:val="0"/>
  </w:style>
  <w:style w:type="character" w:customStyle="1" w:styleId="115">
    <w:name w:val="font51"/>
    <w:qFormat/>
    <w:uiPriority w:val="0"/>
    <w:rPr>
      <w:rFonts w:hint="eastAsia" w:ascii="仿宋_GB2312" w:eastAsia="仿宋_GB2312" w:cs="仿宋_GB2312"/>
      <w:color w:val="000000"/>
      <w:sz w:val="20"/>
      <w:szCs w:val="20"/>
      <w:u w:val="none"/>
    </w:rPr>
  </w:style>
  <w:style w:type="character" w:customStyle="1" w:styleId="116">
    <w:name w:val="input_span11"/>
    <w:basedOn w:val="43"/>
    <w:qFormat/>
    <w:uiPriority w:val="0"/>
  </w:style>
  <w:style w:type="character" w:customStyle="1" w:styleId="117">
    <w:name w:val="10"/>
    <w:qFormat/>
    <w:uiPriority w:val="0"/>
    <w:rPr>
      <w:rFonts w:hint="default" w:ascii="Times New Roman" w:hAnsi="Times New Roman" w:cs="Times New Roman"/>
    </w:rPr>
  </w:style>
  <w:style w:type="character" w:customStyle="1" w:styleId="118">
    <w:name w:val="curpage"/>
    <w:qFormat/>
    <w:uiPriority w:val="0"/>
    <w:rPr>
      <w:b/>
    </w:rPr>
  </w:style>
  <w:style w:type="character" w:customStyle="1" w:styleId="119">
    <w:name w:val="纯文本 Char"/>
    <w:link w:val="22"/>
    <w:qFormat/>
    <w:uiPriority w:val="0"/>
    <w:rPr>
      <w:rFonts w:ascii="宋体" w:hAnsi="Courier New" w:eastAsia="宋体"/>
      <w:kern w:val="2"/>
      <w:sz w:val="21"/>
      <w:lang w:val="en-US" w:eastAsia="zh-CN" w:bidi="ar-SA"/>
    </w:rPr>
  </w:style>
  <w:style w:type="character" w:customStyle="1" w:styleId="120">
    <w:name w:val="标题 6 Char"/>
    <w:link w:val="8"/>
    <w:qFormat/>
    <w:uiPriority w:val="0"/>
    <w:rPr>
      <w:rFonts w:ascii="Arial" w:hAnsi="Arial" w:eastAsia="黑体"/>
      <w:b/>
      <w:sz w:val="24"/>
    </w:rPr>
  </w:style>
  <w:style w:type="character" w:customStyle="1" w:styleId="121">
    <w:name w:val="font"/>
    <w:basedOn w:val="43"/>
    <w:qFormat/>
    <w:uiPriority w:val="0"/>
  </w:style>
  <w:style w:type="character" w:customStyle="1" w:styleId="122">
    <w:name w:val="no_3"/>
    <w:basedOn w:val="43"/>
    <w:qFormat/>
    <w:uiPriority w:val="0"/>
  </w:style>
  <w:style w:type="character" w:customStyle="1" w:styleId="123">
    <w:name w:val="引入重点"/>
    <w:qFormat/>
    <w:uiPriority w:val="0"/>
    <w:rPr>
      <w:caps/>
      <w:sz w:val="18"/>
    </w:rPr>
  </w:style>
  <w:style w:type="character" w:customStyle="1" w:styleId="124">
    <w:name w:val="no_91"/>
    <w:basedOn w:val="43"/>
    <w:qFormat/>
    <w:uiPriority w:val="0"/>
  </w:style>
  <w:style w:type="character" w:customStyle="1" w:styleId="125">
    <w:name w:val="批注主题 Char"/>
    <w:link w:val="39"/>
    <w:qFormat/>
    <w:uiPriority w:val="0"/>
    <w:rPr>
      <w:b/>
      <w:bCs/>
      <w:kern w:val="2"/>
      <w:sz w:val="21"/>
    </w:rPr>
  </w:style>
  <w:style w:type="character" w:customStyle="1" w:styleId="126">
    <w:name w:val="font31"/>
    <w:qFormat/>
    <w:uiPriority w:val="0"/>
    <w:rPr>
      <w:rFonts w:hint="eastAsia" w:ascii="宋体" w:hAnsi="宋体" w:eastAsia="宋体" w:cs="宋体"/>
      <w:color w:val="000000"/>
      <w:sz w:val="20"/>
      <w:szCs w:val="20"/>
      <w:u w:val="none"/>
    </w:rPr>
  </w:style>
  <w:style w:type="character" w:customStyle="1" w:styleId="127">
    <w:name w:val="尾注文本 Char1"/>
    <w:qFormat/>
    <w:uiPriority w:val="0"/>
    <w:rPr>
      <w:kern w:val="2"/>
      <w:sz w:val="21"/>
    </w:rPr>
  </w:style>
  <w:style w:type="character" w:customStyle="1" w:styleId="128">
    <w:name w:val="Char Char6"/>
    <w:qFormat/>
    <w:uiPriority w:val="0"/>
    <w:rPr>
      <w:rFonts w:ascii="仿宋_GB2312" w:eastAsia="仿宋_GB2312"/>
      <w:kern w:val="2"/>
      <w:sz w:val="28"/>
      <w:lang w:val="en-US" w:eastAsia="zh-CN" w:bidi="ar-SA"/>
    </w:rPr>
  </w:style>
  <w:style w:type="character" w:customStyle="1" w:styleId="129">
    <w:name w:val="no_9"/>
    <w:basedOn w:val="43"/>
    <w:qFormat/>
    <w:uiPriority w:val="0"/>
  </w:style>
  <w:style w:type="character" w:customStyle="1" w:styleId="130">
    <w:name w:val="公司简介"/>
    <w:basedOn w:val="43"/>
    <w:qFormat/>
    <w:uiPriority w:val="0"/>
  </w:style>
  <w:style w:type="character" w:customStyle="1" w:styleId="131">
    <w:name w:val="正文文本缩进 Char"/>
    <w:link w:val="18"/>
    <w:qFormat/>
    <w:uiPriority w:val="99"/>
    <w:rPr>
      <w:rFonts w:ascii="宋体"/>
      <w:sz w:val="28"/>
    </w:rPr>
  </w:style>
  <w:style w:type="character" w:customStyle="1" w:styleId="132">
    <w:name w:val="apple-style-span"/>
    <w:basedOn w:val="43"/>
    <w:qFormat/>
    <w:uiPriority w:val="0"/>
  </w:style>
  <w:style w:type="character" w:customStyle="1" w:styleId="133">
    <w:name w:val="称呼 Char"/>
    <w:link w:val="15"/>
    <w:qFormat/>
    <w:uiPriority w:val="0"/>
    <w:rPr>
      <w:rFonts w:ascii="昆仑仿宋" w:eastAsia="仿宋_GB2312"/>
      <w:sz w:val="30"/>
      <w:lang w:val="en-US" w:eastAsia="zh-CN" w:bidi="ar-SA"/>
    </w:rPr>
  </w:style>
  <w:style w:type="character" w:customStyle="1" w:styleId="134">
    <w:name w:val="input_span_new_bus"/>
    <w:basedOn w:val="43"/>
    <w:qFormat/>
    <w:uiPriority w:val="0"/>
  </w:style>
  <w:style w:type="character" w:customStyle="1" w:styleId="135">
    <w:name w:val="批注框文本 Char"/>
    <w:link w:val="26"/>
    <w:qFormat/>
    <w:uiPriority w:val="0"/>
    <w:rPr>
      <w:kern w:val="2"/>
      <w:sz w:val="18"/>
      <w:szCs w:val="18"/>
    </w:rPr>
  </w:style>
  <w:style w:type="character" w:customStyle="1" w:styleId="136">
    <w:name w:val="正文文本 Char"/>
    <w:link w:val="17"/>
    <w:qFormat/>
    <w:uiPriority w:val="0"/>
    <w:rPr>
      <w:rFonts w:ascii="仿宋_GB2312" w:eastAsia="仿宋_GB2312"/>
      <w:kern w:val="2"/>
      <w:sz w:val="28"/>
      <w:lang w:val="en-US" w:eastAsia="zh-CN" w:bidi="ar-SA"/>
    </w:rPr>
  </w:style>
  <w:style w:type="character" w:customStyle="1" w:styleId="137">
    <w:name w:val="no_51"/>
    <w:basedOn w:val="43"/>
    <w:qFormat/>
    <w:uiPriority w:val="0"/>
  </w:style>
  <w:style w:type="character" w:customStyle="1" w:styleId="138">
    <w:name w:val="标题 9 Char"/>
    <w:link w:val="11"/>
    <w:qFormat/>
    <w:uiPriority w:val="0"/>
    <w:rPr>
      <w:rFonts w:ascii="Arial" w:hAnsi="Arial" w:eastAsia="黑体"/>
      <w:sz w:val="28"/>
    </w:rPr>
  </w:style>
  <w:style w:type="character" w:customStyle="1" w:styleId="139">
    <w:name w:val="no_1"/>
    <w:basedOn w:val="43"/>
    <w:qFormat/>
    <w:uiPriority w:val="0"/>
  </w:style>
  <w:style w:type="character" w:customStyle="1" w:styleId="140">
    <w:name w:val="no_81"/>
    <w:basedOn w:val="43"/>
    <w:qFormat/>
    <w:uiPriority w:val="0"/>
  </w:style>
  <w:style w:type="character" w:customStyle="1" w:styleId="141">
    <w:name w:val="Char Char29"/>
    <w:qFormat/>
    <w:uiPriority w:val="0"/>
    <w:rPr>
      <w:rFonts w:ascii="宋体"/>
      <w:kern w:val="44"/>
      <w:sz w:val="28"/>
    </w:rPr>
  </w:style>
  <w:style w:type="character" w:customStyle="1" w:styleId="142">
    <w:name w:val="style21"/>
    <w:qFormat/>
    <w:uiPriority w:val="0"/>
    <w:rPr>
      <w:sz w:val="18"/>
      <w:szCs w:val="18"/>
    </w:rPr>
  </w:style>
  <w:style w:type="character" w:customStyle="1" w:styleId="143">
    <w:name w:val="Char Char91"/>
    <w:qFormat/>
    <w:uiPriority w:val="0"/>
    <w:rPr>
      <w:rFonts w:ascii="仿宋_GB2312" w:eastAsia="仿宋_GB2312"/>
      <w:kern w:val="2"/>
      <w:sz w:val="28"/>
    </w:rPr>
  </w:style>
  <w:style w:type="character" w:customStyle="1" w:styleId="144">
    <w:name w:val="HTML 预设格式 Char1"/>
    <w:qFormat/>
    <w:uiPriority w:val="0"/>
    <w:rPr>
      <w:rFonts w:ascii="Courier New" w:hAnsi="Courier New" w:cs="Courier New"/>
      <w:kern w:val="2"/>
    </w:rPr>
  </w:style>
  <w:style w:type="character" w:customStyle="1" w:styleId="145">
    <w:name w:val="release-day"/>
    <w:qFormat/>
    <w:uiPriority w:val="0"/>
    <w:rPr>
      <w:bdr w:val="single" w:color="BDEBB0" w:sz="6" w:space="0"/>
      <w:shd w:val="clear" w:color="auto" w:fill="F5FFF1"/>
    </w:rPr>
  </w:style>
  <w:style w:type="character" w:customStyle="1" w:styleId="146">
    <w:name w:val="HTML 预设格式 Char3"/>
    <w:qFormat/>
    <w:uiPriority w:val="0"/>
    <w:rPr>
      <w:rFonts w:ascii="Courier New" w:hAnsi="Courier New" w:cs="Courier New"/>
      <w:kern w:val="2"/>
    </w:rPr>
  </w:style>
  <w:style w:type="character" w:customStyle="1" w:styleId="147">
    <w:name w:val="Char Char28"/>
    <w:qFormat/>
    <w:uiPriority w:val="0"/>
    <w:rPr>
      <w:rFonts w:ascii="黑体" w:hAnsi="Arial" w:eastAsia="黑体"/>
      <w:b/>
      <w:spacing w:val="90"/>
      <w:sz w:val="32"/>
    </w:rPr>
  </w:style>
  <w:style w:type="character" w:customStyle="1" w:styleId="148">
    <w:name w:val="Char Char151"/>
    <w:qFormat/>
    <w:uiPriority w:val="0"/>
    <w:rPr>
      <w:rFonts w:ascii="宋体"/>
      <w:sz w:val="28"/>
    </w:rPr>
  </w:style>
  <w:style w:type="character" w:customStyle="1" w:styleId="149">
    <w:name w:val="Char Char26"/>
    <w:qFormat/>
    <w:uiPriority w:val="0"/>
    <w:rPr>
      <w:rFonts w:ascii="宋体" w:hAnsi="Arial"/>
      <w:sz w:val="28"/>
    </w:rPr>
  </w:style>
  <w:style w:type="character" w:customStyle="1" w:styleId="150">
    <w:name w:val="Char Char81"/>
    <w:qFormat/>
    <w:locked/>
    <w:uiPriority w:val="0"/>
    <w:rPr>
      <w:rFonts w:ascii="仿宋_GB2312" w:eastAsia="仿宋_GB2312"/>
      <w:kern w:val="2"/>
      <w:sz w:val="28"/>
      <w:lang w:val="en-US" w:eastAsia="zh-CN" w:bidi="ar-SA"/>
    </w:rPr>
  </w:style>
  <w:style w:type="character" w:customStyle="1" w:styleId="151">
    <w:name w:val="linebg"/>
    <w:basedOn w:val="43"/>
    <w:qFormat/>
    <w:uiPriority w:val="0"/>
  </w:style>
  <w:style w:type="character" w:customStyle="1" w:styleId="152">
    <w:name w:val="页脚 Char"/>
    <w:link w:val="27"/>
    <w:qFormat/>
    <w:locked/>
    <w:uiPriority w:val="99"/>
    <w:rPr>
      <w:rFonts w:eastAsia="宋体"/>
      <w:kern w:val="2"/>
      <w:sz w:val="18"/>
      <w:lang w:val="en-US" w:eastAsia="zh-CN" w:bidi="ar-SA"/>
    </w:rPr>
  </w:style>
  <w:style w:type="character" w:customStyle="1" w:styleId="153">
    <w:name w:val="no_2"/>
    <w:basedOn w:val="43"/>
    <w:qFormat/>
    <w:uiPriority w:val="0"/>
  </w:style>
  <w:style w:type="character" w:customStyle="1" w:styleId="154">
    <w:name w:val="标题 Char"/>
    <w:link w:val="31"/>
    <w:qFormat/>
    <w:uiPriority w:val="0"/>
    <w:rPr>
      <w:rFonts w:ascii="仿宋_GB2312" w:hAnsi="Monotype Sorts" w:eastAsia="仿宋_GB2312"/>
      <w:caps/>
      <w:spacing w:val="60"/>
      <w:kern w:val="20"/>
      <w:sz w:val="44"/>
      <w:lang w:val="en-US" w:eastAsia="zh-CN" w:bidi="ar-SA"/>
    </w:rPr>
  </w:style>
  <w:style w:type="character" w:customStyle="1" w:styleId="155">
    <w:name w:val="标题 2 Char"/>
    <w:link w:val="4"/>
    <w:qFormat/>
    <w:uiPriority w:val="0"/>
    <w:rPr>
      <w:rFonts w:ascii="黑体" w:hAnsi="Arial" w:eastAsia="黑体"/>
      <w:b/>
      <w:spacing w:val="90"/>
      <w:sz w:val="32"/>
      <w:lang w:val="en-US" w:eastAsia="zh-CN" w:bidi="ar-SA"/>
    </w:rPr>
  </w:style>
  <w:style w:type="character" w:customStyle="1" w:styleId="156">
    <w:name w:val="no_4"/>
    <w:basedOn w:val="43"/>
    <w:qFormat/>
    <w:uiPriority w:val="0"/>
  </w:style>
  <w:style w:type="character" w:customStyle="1" w:styleId="157">
    <w:name w:val="Char Char27"/>
    <w:qFormat/>
    <w:uiPriority w:val="0"/>
    <w:rPr>
      <w:rFonts w:ascii="宋体"/>
      <w:b/>
      <w:sz w:val="28"/>
    </w:rPr>
  </w:style>
  <w:style w:type="character" w:customStyle="1" w:styleId="158">
    <w:name w:val="14pt15h1"/>
    <w:qFormat/>
    <w:uiPriority w:val="0"/>
    <w:rPr>
      <w:sz w:val="28"/>
      <w:szCs w:val="28"/>
    </w:rPr>
  </w:style>
  <w:style w:type="character" w:customStyle="1" w:styleId="159">
    <w:name w:val="日期 Char"/>
    <w:link w:val="23"/>
    <w:qFormat/>
    <w:uiPriority w:val="0"/>
    <w:rPr>
      <w:rFonts w:ascii="昆仑仿宋" w:hAnsi="Monotype Sorts" w:eastAsia="昆仑仿宋"/>
      <w:spacing w:val="5"/>
      <w:sz w:val="30"/>
      <w:lang w:val="en-US" w:eastAsia="zh-CN" w:bidi="ar-SA"/>
    </w:rPr>
  </w:style>
  <w:style w:type="character" w:customStyle="1" w:styleId="160">
    <w:name w:val="no_7"/>
    <w:basedOn w:val="43"/>
    <w:qFormat/>
    <w:uiPriority w:val="0"/>
  </w:style>
  <w:style w:type="character" w:customStyle="1" w:styleId="161">
    <w:name w:val="标题 5 Char"/>
    <w:link w:val="7"/>
    <w:qFormat/>
    <w:uiPriority w:val="0"/>
    <w:rPr>
      <w:rFonts w:ascii="宋体"/>
      <w:sz w:val="28"/>
    </w:rPr>
  </w:style>
  <w:style w:type="character" w:customStyle="1" w:styleId="162">
    <w:name w:val="linebg1"/>
    <w:qFormat/>
    <w:uiPriority w:val="0"/>
    <w:rPr>
      <w:b/>
    </w:rPr>
  </w:style>
  <w:style w:type="character" w:customStyle="1" w:styleId="163">
    <w:name w:val="no_61"/>
    <w:basedOn w:val="43"/>
    <w:qFormat/>
    <w:uiPriority w:val="0"/>
  </w:style>
  <w:style w:type="character" w:customStyle="1" w:styleId="164">
    <w:name w:val="no_21"/>
    <w:basedOn w:val="43"/>
    <w:qFormat/>
    <w:uiPriority w:val="0"/>
  </w:style>
  <w:style w:type="character" w:customStyle="1" w:styleId="165">
    <w:name w:val="标题 8 Char"/>
    <w:link w:val="10"/>
    <w:qFormat/>
    <w:uiPriority w:val="0"/>
    <w:rPr>
      <w:rFonts w:ascii="Arial" w:hAnsi="Arial" w:eastAsia="黑体"/>
      <w:sz w:val="24"/>
    </w:rPr>
  </w:style>
  <w:style w:type="character" w:customStyle="1" w:styleId="166">
    <w:name w:val="15"/>
    <w:qFormat/>
    <w:uiPriority w:val="0"/>
    <w:rPr>
      <w:rFonts w:hint="default" w:ascii="Times New Roman" w:hAnsi="Times New Roman" w:cs="Times New Roman"/>
    </w:rPr>
  </w:style>
  <w:style w:type="paragraph" w:customStyle="1" w:styleId="167">
    <w:name w:val="正文文本缩进2"/>
    <w:basedOn w:val="1"/>
    <w:qFormat/>
    <w:uiPriority w:val="0"/>
    <w:pPr>
      <w:spacing w:line="360" w:lineRule="auto"/>
      <w:ind w:firstLine="560"/>
    </w:pPr>
    <w:rPr>
      <w:rFonts w:ascii="仿宋_GB2312" w:eastAsia="仿宋_GB2312"/>
      <w:spacing w:val="-2"/>
      <w:sz w:val="28"/>
      <w:szCs w:val="24"/>
    </w:rPr>
  </w:style>
  <w:style w:type="paragraph" w:customStyle="1" w:styleId="168">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169">
    <w:name w:val="font0"/>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17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71">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72">
    <w:name w:val="表格正文"/>
    <w:basedOn w:val="1"/>
    <w:qFormat/>
    <w:uiPriority w:val="0"/>
    <w:pPr>
      <w:widowControl/>
      <w:tabs>
        <w:tab w:val="left" w:pos="0"/>
        <w:tab w:val="left" w:pos="1575"/>
        <w:tab w:val="left" w:pos="3825"/>
      </w:tabs>
      <w:autoSpaceDE w:val="0"/>
      <w:autoSpaceDN w:val="0"/>
      <w:ind w:right="-18" w:firstLine="208" w:firstLineChars="208"/>
      <w:jc w:val="center"/>
      <w:textAlignment w:val="baseline"/>
    </w:pPr>
    <w:rPr>
      <w:rFonts w:ascii="仿宋_GB2312" w:hAnsi="CG Times (W1)" w:eastAsia="仿宋_GB2312"/>
      <w:spacing w:val="-6"/>
      <w:kern w:val="0"/>
      <w:sz w:val="28"/>
    </w:rPr>
  </w:style>
  <w:style w:type="paragraph" w:customStyle="1" w:styleId="1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74">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175">
    <w:name w:val="font7"/>
    <w:basedOn w:val="1"/>
    <w:qFormat/>
    <w:uiPriority w:val="0"/>
    <w:pPr>
      <w:widowControl/>
      <w:spacing w:before="100" w:beforeAutospacing="1" w:after="100" w:afterAutospacing="1"/>
      <w:jc w:val="left"/>
    </w:pPr>
    <w:rPr>
      <w:kern w:val="0"/>
      <w:sz w:val="16"/>
      <w:szCs w:val="16"/>
    </w:rPr>
  </w:style>
  <w:style w:type="paragraph" w:customStyle="1" w:styleId="176">
    <w:name w:val="xl33"/>
    <w:basedOn w:val="1"/>
    <w:qFormat/>
    <w:uiPriority w:val="0"/>
    <w:pPr>
      <w:widowControl/>
      <w:spacing w:before="100" w:beforeAutospacing="1" w:after="100" w:afterAutospacing="1"/>
      <w:jc w:val="left"/>
    </w:pPr>
    <w:rPr>
      <w:rFonts w:ascii="宋体" w:hAnsi="宋体"/>
      <w:kern w:val="0"/>
      <w:sz w:val="16"/>
      <w:szCs w:val="16"/>
    </w:rPr>
  </w:style>
  <w:style w:type="paragraph" w:customStyle="1" w:styleId="177">
    <w:name w:val="基准目录样式"/>
    <w:basedOn w:val="1"/>
    <w:qFormat/>
    <w:uiPriority w:val="0"/>
    <w:pPr>
      <w:widowControl/>
      <w:tabs>
        <w:tab w:val="left" w:pos="0"/>
        <w:tab w:val="left" w:pos="1575"/>
        <w:tab w:val="left" w:pos="3825"/>
      </w:tabs>
      <w:autoSpaceDE w:val="0"/>
      <w:autoSpaceDN w:val="0"/>
      <w:spacing w:line="360" w:lineRule="auto"/>
      <w:ind w:right="-18" w:firstLine="557" w:firstLineChars="208"/>
      <w:textAlignment w:val="baseline"/>
    </w:pPr>
    <w:rPr>
      <w:rFonts w:ascii="仿宋_GB2312" w:hAnsi="Monotype Sorts" w:eastAsia="仿宋_GB2312"/>
      <w:b/>
      <w:spacing w:val="-6"/>
      <w:kern w:val="0"/>
      <w:sz w:val="24"/>
    </w:rPr>
  </w:style>
  <w:style w:type="paragraph" w:customStyle="1" w:styleId="178">
    <w:name w:val="Default"/>
    <w:qFormat/>
    <w:uiPriority w:val="0"/>
    <w:pPr>
      <w:widowControl w:val="0"/>
      <w:autoSpaceDE w:val="0"/>
      <w:autoSpaceDN w:val="0"/>
      <w:adjustRightInd w:val="0"/>
    </w:pPr>
    <w:rPr>
      <w:rFonts w:ascii="华文细黑" w:hAnsi="Calibri" w:eastAsia="华文细黑" w:cs="华文细黑"/>
      <w:color w:val="000000"/>
      <w:sz w:val="24"/>
      <w:szCs w:val="24"/>
      <w:lang w:val="en-US" w:eastAsia="zh-CN" w:bidi="ar-SA"/>
    </w:rPr>
  </w:style>
  <w:style w:type="paragraph" w:customStyle="1" w:styleId="179">
    <w:name w:val="基准页脚样式"/>
    <w:basedOn w:val="17"/>
    <w:qFormat/>
    <w:uiPriority w:val="0"/>
    <w:pPr>
      <w:keepLines/>
      <w:widowControl/>
      <w:tabs>
        <w:tab w:val="left" w:pos="0"/>
        <w:tab w:val="left" w:pos="1575"/>
        <w:tab w:val="left" w:pos="3825"/>
      </w:tabs>
      <w:autoSpaceDE w:val="0"/>
      <w:autoSpaceDN w:val="0"/>
      <w:spacing w:after="240" w:line="200" w:lineRule="atLeast"/>
      <w:ind w:right="-18" w:firstLine="208" w:firstLineChars="208"/>
      <w:textAlignment w:val="baseline"/>
    </w:pPr>
    <w:rPr>
      <w:rFonts w:hAnsi="Monotype Sorts"/>
      <w:spacing w:val="-6"/>
      <w:kern w:val="0"/>
      <w:sz w:val="18"/>
    </w:rPr>
  </w:style>
  <w:style w:type="paragraph" w:customStyle="1" w:styleId="180">
    <w:name w:val="偶页页眉样式"/>
    <w:basedOn w:val="28"/>
    <w:qFormat/>
    <w:uiPriority w:val="0"/>
    <w:pPr>
      <w:keepLines/>
      <w:widowControl/>
      <w:pBdr>
        <w:bottom w:val="none" w:color="auto" w:sz="0" w:space="0"/>
      </w:pBdr>
      <w:tabs>
        <w:tab w:val="center" w:pos="-18551"/>
        <w:tab w:val="left" w:pos="0"/>
        <w:tab w:val="left" w:pos="1575"/>
        <w:tab w:val="left" w:pos="3825"/>
        <w:tab w:val="right" w:pos="4320"/>
        <w:tab w:val="clear" w:pos="4153"/>
        <w:tab w:val="clear" w:pos="8306"/>
      </w:tabs>
      <w:autoSpaceDE w:val="0"/>
      <w:autoSpaceDN w:val="0"/>
      <w:snapToGrid/>
      <w:spacing w:after="480" w:line="240" w:lineRule="atLeast"/>
      <w:ind w:right="-18" w:firstLine="208" w:firstLineChars="208"/>
      <w:jc w:val="both"/>
      <w:textAlignment w:val="baseline"/>
    </w:pPr>
    <w:rPr>
      <w:rFonts w:ascii="仿宋_GB2312" w:hAnsi="Monotype Sorts" w:eastAsia="仿宋_GB2312"/>
      <w:i/>
      <w:spacing w:val="10"/>
      <w:kern w:val="0"/>
      <w:sz w:val="21"/>
      <w:szCs w:val="20"/>
    </w:rPr>
  </w:style>
  <w:style w:type="paragraph" w:customStyle="1" w:styleId="181">
    <w:name w:val="纯文本1"/>
    <w:basedOn w:val="1"/>
    <w:qFormat/>
    <w:uiPriority w:val="0"/>
    <w:rPr>
      <w:rFonts w:ascii="宋体" w:hAnsi="Courier New" w:cs="Courier New"/>
      <w:szCs w:val="21"/>
    </w:rPr>
  </w:style>
  <w:style w:type="paragraph" w:customStyle="1" w:styleId="182">
    <w:name w:val="报告正文"/>
    <w:basedOn w:val="1"/>
    <w:qFormat/>
    <w:uiPriority w:val="0"/>
    <w:pPr>
      <w:autoSpaceDE w:val="0"/>
      <w:autoSpaceDN w:val="0"/>
      <w:adjustRightInd w:val="0"/>
      <w:spacing w:line="320" w:lineRule="atLeast"/>
      <w:ind w:right="-567" w:firstLine="1134"/>
      <w:jc w:val="left"/>
      <w:textAlignment w:val="baseline"/>
    </w:pPr>
    <w:rPr>
      <w:rFonts w:ascii="昆仑仿宋"/>
      <w:kern w:val="0"/>
      <w:sz w:val="30"/>
    </w:rPr>
  </w:style>
  <w:style w:type="paragraph" w:customStyle="1" w:styleId="183">
    <w:name w:val="正文文本缩进1"/>
    <w:basedOn w:val="1"/>
    <w:qFormat/>
    <w:uiPriority w:val="0"/>
    <w:pPr>
      <w:spacing w:line="360" w:lineRule="auto"/>
      <w:ind w:firstLine="560"/>
    </w:pPr>
    <w:rPr>
      <w:rFonts w:ascii="仿宋_GB2312" w:eastAsia="仿宋_GB2312"/>
      <w:spacing w:val="-2"/>
      <w:sz w:val="28"/>
      <w:szCs w:val="24"/>
    </w:rPr>
  </w:style>
  <w:style w:type="paragraph" w:customStyle="1" w:styleId="184">
    <w:name w:val="xl55"/>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85">
    <w:name w:val="news"/>
    <w:basedOn w:val="1"/>
    <w:qFormat/>
    <w:uiPriority w:val="0"/>
    <w:pPr>
      <w:widowControl/>
      <w:tabs>
        <w:tab w:val="left" w:pos="0"/>
      </w:tabs>
      <w:spacing w:before="100" w:beforeAutospacing="1" w:after="100" w:afterAutospacing="1" w:line="270" w:lineRule="atLeast"/>
      <w:ind w:firstLine="208" w:firstLineChars="208"/>
      <w:jc w:val="left"/>
    </w:pPr>
    <w:rPr>
      <w:rFonts w:eastAsia="Arial Unicode MS" w:cs="Arial Unicode MS"/>
      <w:color w:val="000000"/>
      <w:kern w:val="0"/>
      <w:sz w:val="18"/>
      <w:szCs w:val="18"/>
    </w:rPr>
  </w:style>
  <w:style w:type="paragraph" w:customStyle="1" w:styleId="186">
    <w:name w:val="Char Char Char Char"/>
    <w:basedOn w:val="1"/>
    <w:qFormat/>
    <w:uiPriority w:val="0"/>
    <w:rPr>
      <w:rFonts w:ascii="Tahoma" w:hAnsi="Tahoma"/>
      <w:sz w:val="24"/>
    </w:rPr>
  </w:style>
  <w:style w:type="paragraph" w:customStyle="1" w:styleId="187">
    <w:name w:val="xl25"/>
    <w:basedOn w:val="1"/>
    <w:qFormat/>
    <w:uiPriority w:val="0"/>
    <w:pPr>
      <w:widowControl/>
      <w:spacing w:before="100" w:beforeAutospacing="1" w:after="100" w:afterAutospacing="1"/>
      <w:jc w:val="center"/>
    </w:pPr>
    <w:rPr>
      <w:rFonts w:ascii="宋体" w:hAnsi="宋体"/>
      <w:kern w:val="0"/>
      <w:sz w:val="16"/>
      <w:szCs w:val="16"/>
    </w:rPr>
  </w:style>
  <w:style w:type="paragraph" w:customStyle="1" w:styleId="188">
    <w:name w:val="封页标题"/>
    <w:basedOn w:val="32"/>
    <w:next w:val="189"/>
    <w:qFormat/>
    <w:uiPriority w:val="0"/>
    <w:pPr>
      <w:spacing w:after="240" w:line="720" w:lineRule="atLeast"/>
      <w:jc w:val="center"/>
    </w:pPr>
    <w:rPr>
      <w:caps/>
      <w:spacing w:val="65"/>
      <w:sz w:val="64"/>
    </w:rPr>
  </w:style>
  <w:style w:type="paragraph" w:customStyle="1" w:styleId="189">
    <w:name w:val="副题目 – 封页"/>
    <w:basedOn w:val="188"/>
    <w:next w:val="17"/>
    <w:qFormat/>
    <w:uiPriority w:val="0"/>
    <w:pPr>
      <w:pBdr>
        <w:top w:val="single" w:color="808080" w:sz="6" w:space="12"/>
      </w:pBdr>
      <w:tabs>
        <w:tab w:val="clear" w:pos="0"/>
        <w:tab w:val="clear" w:pos="1575"/>
        <w:tab w:val="clear" w:pos="3825"/>
      </w:tabs>
      <w:spacing w:after="0" w:line="440" w:lineRule="atLeast"/>
    </w:pPr>
    <w:rPr>
      <w:caps w:val="0"/>
      <w:smallCaps/>
      <w:spacing w:val="30"/>
      <w:sz w:val="44"/>
    </w:rPr>
  </w:style>
  <w:style w:type="paragraph" w:customStyle="1" w:styleId="19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91">
    <w:name w:val="xl5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192">
    <w:name w:val="font8"/>
    <w:basedOn w:val="1"/>
    <w:qFormat/>
    <w:uiPriority w:val="0"/>
    <w:pPr>
      <w:widowControl/>
      <w:spacing w:before="100" w:beforeAutospacing="1" w:after="100" w:afterAutospacing="1"/>
      <w:jc w:val="left"/>
    </w:pPr>
    <w:rPr>
      <w:rFonts w:eastAsia="Arial Unicode MS"/>
      <w:b/>
      <w:bCs/>
      <w:kern w:val="0"/>
      <w:sz w:val="20"/>
    </w:rPr>
  </w:style>
  <w:style w:type="paragraph" w:customStyle="1" w:styleId="193">
    <w:name w:val="Char Char Char Char Char Char1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94">
    <w:name w:val="Char Char Char Char Char Char1 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95">
    <w:name w:val="font6"/>
    <w:basedOn w:val="1"/>
    <w:qFormat/>
    <w:uiPriority w:val="0"/>
    <w:pPr>
      <w:widowControl/>
      <w:spacing w:before="100" w:beforeAutospacing="1" w:after="100" w:afterAutospacing="1"/>
      <w:jc w:val="left"/>
    </w:pPr>
    <w:rPr>
      <w:rFonts w:hint="eastAsia" w:ascii="宋体" w:hAnsi="宋体"/>
      <w:kern w:val="0"/>
      <w:sz w:val="16"/>
      <w:szCs w:val="16"/>
    </w:rPr>
  </w:style>
  <w:style w:type="paragraph" w:customStyle="1" w:styleId="196">
    <w:name w:val="xl4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1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szCs w:val="24"/>
    </w:rPr>
  </w:style>
  <w:style w:type="paragraph" w:customStyle="1" w:styleId="198">
    <w:name w:val="表格"/>
    <w:basedOn w:val="1"/>
    <w:qFormat/>
    <w:uiPriority w:val="0"/>
    <w:pPr>
      <w:widowControl/>
      <w:jc w:val="left"/>
    </w:pPr>
    <w:rPr>
      <w:rFonts w:ascii="宋体" w:hAnsi="CG Times (W1)"/>
      <w:kern w:val="0"/>
    </w:rPr>
  </w:style>
  <w:style w:type="paragraph" w:customStyle="1" w:styleId="199">
    <w:name w:val="连续正文文字"/>
    <w:basedOn w:val="17"/>
    <w:qFormat/>
    <w:uiPriority w:val="0"/>
    <w:pPr>
      <w:keepNext/>
      <w:widowControl/>
      <w:tabs>
        <w:tab w:val="left" w:pos="0"/>
        <w:tab w:val="left" w:pos="1575"/>
        <w:tab w:val="left" w:pos="3825"/>
      </w:tabs>
      <w:autoSpaceDE w:val="0"/>
      <w:autoSpaceDN w:val="0"/>
      <w:spacing w:after="240" w:line="240" w:lineRule="atLeast"/>
      <w:ind w:right="-18" w:firstLine="360" w:firstLineChars="208"/>
      <w:textAlignment w:val="baseline"/>
    </w:pPr>
    <w:rPr>
      <w:rFonts w:hAnsi="Monotype Sorts"/>
      <w:spacing w:val="-6"/>
      <w:kern w:val="0"/>
      <w:sz w:val="21"/>
    </w:rPr>
  </w:style>
  <w:style w:type="paragraph" w:customStyle="1" w:styleId="200">
    <w:name w:val="正文文本缩进11"/>
    <w:basedOn w:val="1"/>
    <w:qFormat/>
    <w:uiPriority w:val="0"/>
    <w:pPr>
      <w:spacing w:line="360" w:lineRule="auto"/>
      <w:ind w:firstLine="560"/>
    </w:pPr>
    <w:rPr>
      <w:rFonts w:ascii="仿宋_GB2312" w:eastAsia="仿宋_GB2312"/>
      <w:spacing w:val="-2"/>
      <w:sz w:val="28"/>
      <w:szCs w:val="24"/>
    </w:rPr>
  </w:style>
  <w:style w:type="paragraph" w:customStyle="1" w:styleId="201">
    <w:name w:val="首页脚样式"/>
    <w:basedOn w:val="27"/>
    <w:qFormat/>
    <w:uiPriority w:val="0"/>
    <w:pPr>
      <w:keepLines/>
      <w:widowControl/>
      <w:tabs>
        <w:tab w:val="right" w:pos="-18551"/>
        <w:tab w:val="left" w:pos="0"/>
        <w:tab w:val="left" w:pos="1575"/>
        <w:tab w:val="left" w:pos="3825"/>
        <w:tab w:val="right" w:pos="4320"/>
        <w:tab w:val="clear" w:pos="4153"/>
        <w:tab w:val="clear" w:pos="8306"/>
      </w:tabs>
      <w:autoSpaceDE w:val="0"/>
      <w:autoSpaceDN w:val="0"/>
      <w:snapToGrid/>
      <w:spacing w:before="600" w:line="240" w:lineRule="atLeast"/>
      <w:ind w:left="-840" w:right="-840" w:firstLine="208" w:firstLineChars="208"/>
      <w:jc w:val="center"/>
      <w:textAlignment w:val="baseline"/>
    </w:pPr>
    <w:rPr>
      <w:rFonts w:ascii="仿宋_GB2312" w:hAnsi="Monotype Sorts" w:eastAsia="仿宋_GB2312"/>
      <w:smallCaps/>
      <w:spacing w:val="15"/>
      <w:kern w:val="0"/>
      <w:sz w:val="24"/>
    </w:rPr>
  </w:style>
  <w:style w:type="paragraph" w:customStyle="1" w:styleId="202">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203">
    <w:name w:val="Char Char Char Char1"/>
    <w:basedOn w:val="1"/>
    <w:qFormat/>
    <w:uiPriority w:val="0"/>
    <w:rPr>
      <w:rFonts w:ascii="Tahoma" w:hAnsi="Tahoma"/>
      <w:sz w:val="24"/>
    </w:rPr>
  </w:style>
  <w:style w:type="paragraph" w:customStyle="1" w:styleId="204">
    <w:name w:val="xl26"/>
    <w:basedOn w:val="1"/>
    <w:qFormat/>
    <w:uiPriority w:val="0"/>
    <w:pPr>
      <w:widowControl/>
      <w:spacing w:before="100" w:beforeAutospacing="1" w:after="100" w:afterAutospacing="1"/>
      <w:jc w:val="left"/>
    </w:pPr>
    <w:rPr>
      <w:rFonts w:ascii="宋体" w:hAnsi="宋体"/>
      <w:kern w:val="0"/>
      <w:sz w:val="16"/>
      <w:szCs w:val="16"/>
    </w:rPr>
  </w:style>
  <w:style w:type="paragraph" w:customStyle="1" w:styleId="20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06">
    <w:name w:val="基准页眉样式"/>
    <w:basedOn w:val="17"/>
    <w:qFormat/>
    <w:uiPriority w:val="0"/>
    <w:pPr>
      <w:keepLines/>
      <w:widowControl/>
      <w:tabs>
        <w:tab w:val="center" w:pos="-18551"/>
        <w:tab w:val="left" w:pos="0"/>
        <w:tab w:val="left" w:pos="1575"/>
        <w:tab w:val="left" w:pos="3825"/>
        <w:tab w:val="right" w:pos="4320"/>
      </w:tabs>
      <w:autoSpaceDE w:val="0"/>
      <w:autoSpaceDN w:val="0"/>
      <w:spacing w:line="240" w:lineRule="atLeast"/>
      <w:ind w:right="-18" w:firstLine="208" w:firstLineChars="208"/>
      <w:jc w:val="center"/>
      <w:textAlignment w:val="baseline"/>
    </w:pPr>
    <w:rPr>
      <w:rFonts w:hAnsi="Monotype Sorts"/>
      <w:smallCaps/>
      <w:spacing w:val="15"/>
      <w:kern w:val="0"/>
      <w:sz w:val="21"/>
    </w:rPr>
  </w:style>
  <w:style w:type="paragraph" w:customStyle="1" w:styleId="207">
    <w:name w:val="xl45"/>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2"/>
      <w:szCs w:val="22"/>
    </w:rPr>
  </w:style>
  <w:style w:type="paragraph" w:customStyle="1" w:styleId="208">
    <w:name w:val="font13"/>
    <w:basedOn w:val="1"/>
    <w:qFormat/>
    <w:uiPriority w:val="0"/>
    <w:pPr>
      <w:widowControl/>
      <w:spacing w:before="100" w:beforeAutospacing="1" w:after="100" w:afterAutospacing="1"/>
      <w:jc w:val="left"/>
    </w:pPr>
    <w:rPr>
      <w:rFonts w:eastAsia="Arial Unicode MS"/>
      <w:b/>
      <w:bCs/>
      <w:kern w:val="0"/>
      <w:sz w:val="40"/>
      <w:szCs w:val="40"/>
    </w:rPr>
  </w:style>
  <w:style w:type="paragraph" w:customStyle="1" w:styleId="209">
    <w:name w:val="奇页页眉样式"/>
    <w:basedOn w:val="28"/>
    <w:qFormat/>
    <w:uiPriority w:val="0"/>
    <w:pPr>
      <w:keepLines/>
      <w:widowControl/>
      <w:pBdr>
        <w:bottom w:val="none" w:color="auto" w:sz="0" w:space="0"/>
      </w:pBdr>
      <w:tabs>
        <w:tab w:val="center" w:pos="-18551"/>
        <w:tab w:val="left" w:pos="0"/>
        <w:tab w:val="left" w:pos="1575"/>
        <w:tab w:val="left" w:pos="3825"/>
        <w:tab w:val="right" w:pos="4320"/>
        <w:tab w:val="clear" w:pos="4153"/>
        <w:tab w:val="clear" w:pos="8306"/>
      </w:tabs>
      <w:autoSpaceDE w:val="0"/>
      <w:autoSpaceDN w:val="0"/>
      <w:snapToGrid/>
      <w:spacing w:after="480" w:line="240" w:lineRule="atLeast"/>
      <w:ind w:right="-18" w:firstLine="208" w:firstLineChars="208"/>
      <w:jc w:val="both"/>
      <w:textAlignment w:val="baseline"/>
    </w:pPr>
    <w:rPr>
      <w:rFonts w:ascii="仿宋_GB2312" w:hAnsi="Monotype Sorts" w:eastAsia="仿宋_GB2312"/>
      <w:smallCaps/>
      <w:spacing w:val="15"/>
      <w:kern w:val="0"/>
      <w:sz w:val="21"/>
      <w:szCs w:val="20"/>
    </w:rPr>
  </w:style>
  <w:style w:type="paragraph" w:customStyle="1" w:styleId="21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11">
    <w:name w:val="xl5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12">
    <w:name w:val="首页页眉样式"/>
    <w:basedOn w:val="28"/>
    <w:qFormat/>
    <w:uiPriority w:val="0"/>
    <w:pPr>
      <w:keepLines/>
      <w:widowControl/>
      <w:pBdr>
        <w:bottom w:val="none" w:color="auto" w:sz="0" w:space="0"/>
      </w:pBdr>
      <w:tabs>
        <w:tab w:val="center" w:pos="-18551"/>
        <w:tab w:val="left" w:pos="0"/>
        <w:tab w:val="left" w:pos="1575"/>
        <w:tab w:val="left" w:pos="3825"/>
        <w:tab w:val="right" w:pos="4320"/>
        <w:tab w:val="clear" w:pos="4153"/>
        <w:tab w:val="clear" w:pos="8306"/>
      </w:tabs>
      <w:autoSpaceDE w:val="0"/>
      <w:autoSpaceDN w:val="0"/>
      <w:snapToGrid/>
      <w:spacing w:after="480" w:line="240" w:lineRule="atLeast"/>
      <w:ind w:right="-18" w:firstLine="208" w:firstLineChars="208"/>
      <w:jc w:val="both"/>
      <w:textAlignment w:val="baseline"/>
    </w:pPr>
    <w:rPr>
      <w:rFonts w:ascii="仿宋_GB2312" w:hAnsi="Monotype Sorts" w:eastAsia="仿宋_GB2312"/>
      <w:smallCaps/>
      <w:spacing w:val="15"/>
      <w:kern w:val="0"/>
      <w:sz w:val="21"/>
      <w:szCs w:val="20"/>
    </w:rPr>
  </w:style>
  <w:style w:type="paragraph" w:customStyle="1" w:styleId="213">
    <w:name w:val="xl37"/>
    <w:basedOn w:val="1"/>
    <w:qFormat/>
    <w:uiPriority w:val="0"/>
    <w:pPr>
      <w:widowControl/>
      <w:spacing w:before="100" w:beforeAutospacing="1" w:after="100" w:afterAutospacing="1"/>
      <w:jc w:val="center"/>
      <w:textAlignment w:val="top"/>
    </w:pPr>
    <w:rPr>
      <w:rFonts w:ascii="宋体" w:hAnsi="宋体"/>
      <w:kern w:val="0"/>
      <w:sz w:val="28"/>
      <w:szCs w:val="28"/>
    </w:rPr>
  </w:style>
  <w:style w:type="paragraph" w:customStyle="1" w:styleId="21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szCs w:val="24"/>
    </w:rPr>
  </w:style>
  <w:style w:type="paragraph" w:customStyle="1" w:styleId="215">
    <w:name w:val="报告正文 Char Char Char"/>
    <w:basedOn w:val="1"/>
    <w:qFormat/>
    <w:uiPriority w:val="0"/>
    <w:pPr>
      <w:adjustRightInd w:val="0"/>
      <w:snapToGrid w:val="0"/>
      <w:spacing w:line="336" w:lineRule="auto"/>
      <w:ind w:left="2603"/>
    </w:pPr>
    <w:rPr>
      <w:rFonts w:ascii="华文细黑" w:eastAsia="华文细黑" w:cs="宋体"/>
      <w:sz w:val="22"/>
    </w:rPr>
  </w:style>
  <w:style w:type="paragraph" w:customStyle="1" w:styleId="216">
    <w:name w:val="回信地址"/>
    <w:qFormat/>
    <w:uiPriority w:val="0"/>
    <w:pPr>
      <w:framePr w:w="8640" w:wrap="notBeside" w:vAnchor="page" w:hAnchor="page" w:x="1729" w:y="14401" w:anchorLock="1"/>
      <w:tabs>
        <w:tab w:val="left" w:pos="-18551"/>
      </w:tabs>
      <w:spacing w:line="240" w:lineRule="atLeast"/>
      <w:ind w:right="-240"/>
      <w:jc w:val="center"/>
    </w:pPr>
    <w:rPr>
      <w:rFonts w:ascii="Garamond" w:hAnsi="Garamond" w:eastAsia="宋体" w:cs="Times New Roman"/>
      <w:caps/>
      <w:spacing w:val="30"/>
      <w:sz w:val="14"/>
      <w:lang w:val="en-US" w:eastAsia="zh-CN" w:bidi="ar-SA"/>
    </w:rPr>
  </w:style>
  <w:style w:type="paragraph" w:customStyle="1" w:styleId="217">
    <w:name w:val="纯文本2"/>
    <w:basedOn w:val="1"/>
    <w:qFormat/>
    <w:uiPriority w:val="0"/>
    <w:rPr>
      <w:rFonts w:ascii="宋体" w:hAnsi="Courier New" w:cs="Courier New"/>
      <w:szCs w:val="21"/>
    </w:rPr>
  </w:style>
  <w:style w:type="paragraph" w:customStyle="1" w:styleId="21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6"/>
      <w:szCs w:val="16"/>
    </w:rPr>
  </w:style>
  <w:style w:type="paragraph" w:customStyle="1" w:styleId="219">
    <w:name w:val="公司名"/>
    <w:basedOn w:val="17"/>
    <w:qFormat/>
    <w:uiPriority w:val="0"/>
    <w:pPr>
      <w:keepLines/>
      <w:framePr w:w="8640" w:h="1440" w:wrap="notBeside" w:vAnchor="page" w:hAnchor="margin" w:xAlign="center" w:y="889"/>
      <w:widowControl/>
      <w:tabs>
        <w:tab w:val="left" w:pos="0"/>
        <w:tab w:val="left" w:pos="1575"/>
        <w:tab w:val="left" w:pos="3825"/>
      </w:tabs>
      <w:autoSpaceDE w:val="0"/>
      <w:autoSpaceDN w:val="0"/>
      <w:spacing w:after="40" w:line="240" w:lineRule="atLeast"/>
      <w:ind w:right="-18" w:firstLine="208" w:firstLineChars="208"/>
      <w:jc w:val="center"/>
      <w:textAlignment w:val="baseline"/>
    </w:pPr>
    <w:rPr>
      <w:rFonts w:hAnsi="Monotype Sorts"/>
      <w:caps/>
      <w:spacing w:val="75"/>
      <w:kern w:val="18"/>
      <w:sz w:val="21"/>
    </w:rPr>
  </w:style>
  <w:style w:type="paragraph" w:customStyle="1" w:styleId="220">
    <w:name w:val="部分题目"/>
    <w:basedOn w:val="31"/>
    <w:qFormat/>
    <w:uiPriority w:val="0"/>
    <w:pPr>
      <w:tabs>
        <w:tab w:val="clear" w:pos="0"/>
        <w:tab w:val="clear" w:pos="1575"/>
        <w:tab w:val="clear" w:pos="3825"/>
      </w:tabs>
    </w:pPr>
  </w:style>
  <w:style w:type="paragraph" w:customStyle="1" w:styleId="221">
    <w:name w:val="font12"/>
    <w:basedOn w:val="1"/>
    <w:qFormat/>
    <w:uiPriority w:val="0"/>
    <w:pPr>
      <w:widowControl/>
      <w:spacing w:before="100" w:beforeAutospacing="1" w:after="100" w:afterAutospacing="1"/>
      <w:jc w:val="left"/>
    </w:pPr>
    <w:rPr>
      <w:rFonts w:hint="eastAsia" w:ascii="宋体" w:hAnsi="宋体" w:cs="Arial Unicode MS"/>
      <w:b/>
      <w:bCs/>
      <w:kern w:val="0"/>
      <w:sz w:val="40"/>
      <w:szCs w:val="40"/>
    </w:rPr>
  </w:style>
  <w:style w:type="paragraph" w:customStyle="1" w:styleId="222">
    <w:name w:val="xl54"/>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23">
    <w:name w:val="xl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24">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25">
    <w:name w:val="xl4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szCs w:val="16"/>
    </w:rPr>
  </w:style>
  <w:style w:type="paragraph" w:customStyle="1" w:styleId="227">
    <w:name w:val="标准"/>
    <w:basedOn w:val="1"/>
    <w:qFormat/>
    <w:uiPriority w:val="0"/>
    <w:pPr>
      <w:widowControl/>
      <w:tabs>
        <w:tab w:val="left" w:pos="0"/>
        <w:tab w:val="left" w:pos="1575"/>
        <w:tab w:val="left" w:pos="3825"/>
      </w:tabs>
      <w:autoSpaceDE w:val="0"/>
      <w:autoSpaceDN w:val="0"/>
      <w:spacing w:line="360" w:lineRule="auto"/>
      <w:ind w:right="-680" w:firstLine="680" w:firstLineChars="208"/>
      <w:textAlignment w:val="baseline"/>
    </w:pPr>
    <w:rPr>
      <w:rFonts w:ascii="仿宋_GB2312" w:hAnsi="Monotype Sorts" w:eastAsia="昆仑仿宋"/>
      <w:spacing w:val="-6"/>
      <w:kern w:val="0"/>
      <w:sz w:val="30"/>
    </w:rPr>
  </w:style>
  <w:style w:type="paragraph" w:customStyle="1" w:styleId="228">
    <w:name w:val="CM8"/>
    <w:basedOn w:val="1"/>
    <w:next w:val="1"/>
    <w:qFormat/>
    <w:uiPriority w:val="99"/>
    <w:pPr>
      <w:autoSpaceDE w:val="0"/>
      <w:autoSpaceDN w:val="0"/>
      <w:adjustRightInd w:val="0"/>
      <w:spacing w:after="263"/>
      <w:jc w:val="left"/>
    </w:pPr>
    <w:rPr>
      <w:rFonts w:ascii="黑体" w:eastAsia="黑体"/>
      <w:kern w:val="0"/>
      <w:sz w:val="24"/>
      <w:szCs w:val="24"/>
    </w:rPr>
  </w:style>
  <w:style w:type="paragraph" w:customStyle="1" w:styleId="229">
    <w:name w:val="偶页脚样式"/>
    <w:basedOn w:val="27"/>
    <w:qFormat/>
    <w:uiPriority w:val="0"/>
    <w:pPr>
      <w:keepLines/>
      <w:widowControl/>
      <w:tabs>
        <w:tab w:val="right" w:pos="-18551"/>
        <w:tab w:val="left" w:pos="0"/>
        <w:tab w:val="left" w:pos="1575"/>
        <w:tab w:val="left" w:pos="3825"/>
        <w:tab w:val="right" w:pos="4320"/>
        <w:tab w:val="clear" w:pos="4153"/>
        <w:tab w:val="clear" w:pos="8306"/>
      </w:tabs>
      <w:autoSpaceDE w:val="0"/>
      <w:autoSpaceDN w:val="0"/>
      <w:snapToGrid/>
      <w:spacing w:before="600" w:line="240" w:lineRule="atLeast"/>
      <w:ind w:left="-840" w:right="-840" w:firstLine="208" w:firstLineChars="208"/>
      <w:jc w:val="center"/>
      <w:textAlignment w:val="baseline"/>
    </w:pPr>
    <w:rPr>
      <w:rFonts w:ascii="仿宋_GB2312" w:hAnsi="Monotype Sorts" w:eastAsia="仿宋_GB2312"/>
      <w:smallCaps/>
      <w:spacing w:val="15"/>
      <w:kern w:val="0"/>
      <w:sz w:val="24"/>
    </w:rPr>
  </w:style>
  <w:style w:type="paragraph" w:customStyle="1" w:styleId="230">
    <w:name w:val="zi"/>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1">
    <w:name w:val="纯文本21"/>
    <w:basedOn w:val="1"/>
    <w:qFormat/>
    <w:uiPriority w:val="0"/>
    <w:rPr>
      <w:rFonts w:ascii="宋体" w:hAnsi="Courier New" w:cs="Courier New"/>
      <w:szCs w:val="21"/>
    </w:rPr>
  </w:style>
  <w:style w:type="paragraph" w:customStyle="1" w:styleId="232">
    <w:name w:val="节标题"/>
    <w:basedOn w:val="3"/>
    <w:qFormat/>
    <w:uiPriority w:val="0"/>
    <w:pPr>
      <w:widowControl/>
      <w:pBdr>
        <w:top w:val="single" w:color="808080" w:sz="6" w:space="6"/>
        <w:bottom w:val="single" w:color="808080" w:sz="6" w:space="6"/>
      </w:pBdr>
      <w:tabs>
        <w:tab w:val="left" w:pos="0"/>
        <w:tab w:val="left" w:pos="1575"/>
        <w:tab w:val="left" w:pos="3825"/>
      </w:tabs>
      <w:autoSpaceDE w:val="0"/>
      <w:autoSpaceDN w:val="0"/>
      <w:adjustRightInd/>
      <w:spacing w:before="0" w:after="240" w:line="240" w:lineRule="atLeast"/>
      <w:ind w:right="-18" w:firstLine="208" w:firstLineChars="208"/>
    </w:pPr>
    <w:rPr>
      <w:rFonts w:ascii="仿宋_GB2312" w:hAnsi="Monotype Sorts" w:eastAsia="仿宋_GB2312"/>
      <w:b/>
      <w:caps/>
      <w:spacing w:val="20"/>
      <w:kern w:val="16"/>
      <w:sz w:val="18"/>
    </w:rPr>
  </w:style>
  <w:style w:type="paragraph" w:customStyle="1" w:styleId="233">
    <w:name w:val="节标签"/>
    <w:basedOn w:val="32"/>
    <w:next w:val="17"/>
    <w:qFormat/>
    <w:uiPriority w:val="0"/>
    <w:pPr>
      <w:pBdr>
        <w:bottom w:val="single" w:color="808080" w:sz="6" w:space="24"/>
      </w:pBdr>
      <w:spacing w:after="720"/>
      <w:jc w:val="center"/>
    </w:pPr>
    <w:rPr>
      <w:caps/>
      <w:spacing w:val="80"/>
      <w:sz w:val="48"/>
    </w:rPr>
  </w:style>
  <w:style w:type="paragraph" w:customStyle="1" w:styleId="234">
    <w:name w:val="章节号"/>
    <w:basedOn w:val="233"/>
    <w:qFormat/>
    <w:uiPriority w:val="0"/>
    <w:pPr>
      <w:tabs>
        <w:tab w:val="clear" w:pos="0"/>
        <w:tab w:val="clear" w:pos="1575"/>
        <w:tab w:val="clear" w:pos="3825"/>
      </w:tabs>
    </w:pPr>
  </w:style>
  <w:style w:type="paragraph" w:customStyle="1" w:styleId="235">
    <w:name w:val="列出段落2"/>
    <w:basedOn w:val="1"/>
    <w:qFormat/>
    <w:uiPriority w:val="0"/>
    <w:pPr>
      <w:ind w:firstLine="420" w:firstLineChars="200"/>
    </w:pPr>
  </w:style>
  <w:style w:type="paragraph" w:customStyle="1" w:styleId="236">
    <w:name w:val="章节题目"/>
    <w:basedOn w:val="31"/>
    <w:qFormat/>
    <w:uiPriority w:val="0"/>
    <w:pPr>
      <w:tabs>
        <w:tab w:val="clear" w:pos="0"/>
        <w:tab w:val="clear" w:pos="1575"/>
        <w:tab w:val="clear" w:pos="3825"/>
      </w:tabs>
    </w:pPr>
  </w:style>
  <w:style w:type="paragraph" w:customStyle="1" w:styleId="237">
    <w:name w:val="Char Char Char Char Char Char Char Char Char Char Char Char Char Char Char Char Char Char Char Char Char Char Char Char Char Char Char Char Char Char"/>
    <w:basedOn w:val="1"/>
    <w:qFormat/>
    <w:uiPriority w:val="0"/>
  </w:style>
  <w:style w:type="paragraph" w:customStyle="1" w:styleId="238">
    <w:name w:val="font9"/>
    <w:basedOn w:val="1"/>
    <w:qFormat/>
    <w:uiPriority w:val="0"/>
    <w:pPr>
      <w:widowControl/>
      <w:spacing w:before="100" w:beforeAutospacing="1" w:after="100" w:afterAutospacing="1"/>
      <w:jc w:val="left"/>
    </w:pPr>
    <w:rPr>
      <w:rFonts w:hint="eastAsia" w:ascii="宋体" w:hAnsi="宋体" w:cs="Arial Unicode MS"/>
      <w:b/>
      <w:bCs/>
      <w:kern w:val="0"/>
      <w:sz w:val="20"/>
    </w:rPr>
  </w:style>
  <w:style w:type="paragraph" w:customStyle="1" w:styleId="23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40">
    <w:name w:val="p0"/>
    <w:basedOn w:val="1"/>
    <w:qFormat/>
    <w:uiPriority w:val="0"/>
    <w:pPr>
      <w:widowControl/>
    </w:pPr>
    <w:rPr>
      <w:kern w:val="0"/>
      <w:szCs w:val="21"/>
    </w:rPr>
  </w:style>
  <w:style w:type="paragraph" w:customStyle="1" w:styleId="241">
    <w:name w:val="列出段落1"/>
    <w:basedOn w:val="1"/>
    <w:qFormat/>
    <w:uiPriority w:val="0"/>
    <w:pPr>
      <w:ind w:firstLine="420" w:firstLineChars="200"/>
    </w:pPr>
  </w:style>
  <w:style w:type="paragraph" w:customStyle="1" w:styleId="242">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43">
    <w:name w:val="Char Char Char Char Char Char1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4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45">
    <w:name w:val="zi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46">
    <w:name w:val="基准索引样式"/>
    <w:basedOn w:val="1"/>
    <w:qFormat/>
    <w:uiPriority w:val="0"/>
    <w:pPr>
      <w:widowControl/>
      <w:tabs>
        <w:tab w:val="left" w:pos="0"/>
        <w:tab w:val="left" w:pos="1575"/>
        <w:tab w:val="left" w:pos="3825"/>
      </w:tabs>
      <w:autoSpaceDE w:val="0"/>
      <w:autoSpaceDN w:val="0"/>
      <w:spacing w:line="240" w:lineRule="atLeast"/>
      <w:ind w:left="360" w:right="-18" w:hanging="360" w:firstLineChars="208"/>
      <w:textAlignment w:val="baseline"/>
    </w:pPr>
    <w:rPr>
      <w:rFonts w:ascii="仿宋_GB2312" w:hAnsi="Monotype Sorts" w:eastAsia="仿宋_GB2312"/>
      <w:spacing w:val="-6"/>
      <w:kern w:val="0"/>
      <w:sz w:val="28"/>
    </w:rPr>
  </w:style>
  <w:style w:type="paragraph" w:customStyle="1" w:styleId="247">
    <w:name w:val="图片"/>
    <w:basedOn w:val="1"/>
    <w:next w:val="12"/>
    <w:qFormat/>
    <w:uiPriority w:val="0"/>
    <w:pPr>
      <w:ind w:left="-107" w:leftChars="-51" w:right="-27" w:rightChars="-13"/>
      <w:jc w:val="center"/>
    </w:pPr>
    <w:rPr>
      <w:rFonts w:ascii="仿宋_GB2312" w:hAnsi="Monotype Sorts" w:eastAsia="仿宋_GB2312"/>
      <w:sz w:val="28"/>
    </w:rPr>
  </w:style>
  <w:style w:type="paragraph" w:customStyle="1" w:styleId="24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249">
    <w:name w:val="列出段落11"/>
    <w:basedOn w:val="1"/>
    <w:qFormat/>
    <w:uiPriority w:val="0"/>
    <w:pPr>
      <w:ind w:firstLine="420" w:firstLineChars="200"/>
    </w:pPr>
  </w:style>
  <w:style w:type="paragraph" w:customStyle="1" w:styleId="250">
    <w:name w:val="表文"/>
    <w:basedOn w:val="1"/>
    <w:qFormat/>
    <w:uiPriority w:val="0"/>
    <w:pPr>
      <w:adjustRightInd w:val="0"/>
      <w:snapToGrid w:val="0"/>
      <w:spacing w:before="60" w:line="300" w:lineRule="auto"/>
      <w:jc w:val="center"/>
    </w:pPr>
    <w:rPr>
      <w:rFonts w:ascii="仿宋_GB2312" w:eastAsia="仿宋_GB2312"/>
    </w:rPr>
  </w:style>
  <w:style w:type="paragraph" w:customStyle="1" w:styleId="251">
    <w:name w:val="font10"/>
    <w:basedOn w:val="1"/>
    <w:qFormat/>
    <w:uiPriority w:val="0"/>
    <w:pPr>
      <w:widowControl/>
      <w:spacing w:before="100" w:beforeAutospacing="1" w:after="100" w:afterAutospacing="1"/>
      <w:jc w:val="left"/>
    </w:pPr>
    <w:rPr>
      <w:rFonts w:hint="eastAsia" w:ascii="宋体" w:hAnsi="宋体" w:cs="Arial Unicode MS"/>
      <w:kern w:val="0"/>
      <w:sz w:val="22"/>
      <w:szCs w:val="22"/>
    </w:rPr>
  </w:style>
  <w:style w:type="paragraph" w:customStyle="1" w:styleId="252">
    <w:name w:val="部分标签"/>
    <w:basedOn w:val="233"/>
    <w:qFormat/>
    <w:uiPriority w:val="0"/>
    <w:pPr>
      <w:tabs>
        <w:tab w:val="clear" w:pos="0"/>
        <w:tab w:val="clear" w:pos="1575"/>
        <w:tab w:val="clear" w:pos="3825"/>
      </w:tabs>
    </w:pPr>
  </w:style>
  <w:style w:type="paragraph" w:customStyle="1" w:styleId="253">
    <w:name w:val="文档标签"/>
    <w:next w:val="1"/>
    <w:qFormat/>
    <w:uiPriority w:val="0"/>
    <w:pPr>
      <w:pBdr>
        <w:top w:val="single" w:color="808080" w:sz="6" w:space="6"/>
        <w:bottom w:val="single" w:color="808080" w:sz="6" w:space="6"/>
      </w:pBdr>
      <w:spacing w:line="240" w:lineRule="atLeast"/>
      <w:jc w:val="center"/>
    </w:pPr>
    <w:rPr>
      <w:rFonts w:ascii="Garamond" w:hAnsi="Garamond" w:eastAsia="宋体" w:cs="Times New Roman"/>
      <w:b/>
      <w:caps/>
      <w:spacing w:val="40"/>
      <w:sz w:val="18"/>
      <w:lang w:val="en-US" w:eastAsia="zh-CN" w:bidi="ar-SA"/>
    </w:rPr>
  </w:style>
  <w:style w:type="paragraph" w:customStyle="1" w:styleId="254">
    <w:name w:val="表标题"/>
    <w:basedOn w:val="1"/>
    <w:qFormat/>
    <w:uiPriority w:val="0"/>
    <w:pPr>
      <w:adjustRightInd w:val="0"/>
      <w:snapToGrid w:val="0"/>
      <w:spacing w:before="240" w:line="360" w:lineRule="auto"/>
      <w:jc w:val="center"/>
    </w:pPr>
    <w:rPr>
      <w:rFonts w:ascii="仿宋_GB2312" w:eastAsia="仿宋_GB2312"/>
      <w:b/>
      <w:spacing w:val="10"/>
      <w:sz w:val="28"/>
    </w:rPr>
  </w:style>
  <w:style w:type="paragraph" w:styleId="255">
    <w:name w:val="List Paragraph"/>
    <w:basedOn w:val="1"/>
    <w:qFormat/>
    <w:uiPriority w:val="34"/>
    <w:pPr>
      <w:ind w:firstLine="420" w:firstLineChars="200"/>
    </w:pPr>
  </w:style>
  <w:style w:type="paragraph" w:customStyle="1" w:styleId="25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4"/>
      <w:szCs w:val="24"/>
    </w:rPr>
  </w:style>
  <w:style w:type="paragraph" w:customStyle="1" w:styleId="257">
    <w:name w:val="章节副题目"/>
    <w:basedOn w:val="30"/>
    <w:qFormat/>
    <w:uiPriority w:val="0"/>
  </w:style>
  <w:style w:type="paragraph" w:customStyle="1" w:styleId="258">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9">
    <w:name w:val="font11"/>
    <w:basedOn w:val="1"/>
    <w:qFormat/>
    <w:uiPriority w:val="0"/>
    <w:pPr>
      <w:widowControl/>
      <w:spacing w:before="100" w:beforeAutospacing="1" w:after="100" w:afterAutospacing="1"/>
      <w:jc w:val="left"/>
    </w:pPr>
    <w:rPr>
      <w:rFonts w:eastAsia="Arial Unicode MS"/>
      <w:kern w:val="0"/>
      <w:sz w:val="22"/>
      <w:szCs w:val="22"/>
    </w:rPr>
  </w:style>
  <w:style w:type="paragraph" w:customStyle="1" w:styleId="260">
    <w:name w:val="上标"/>
    <w:basedOn w:val="1"/>
    <w:qFormat/>
    <w:uiPriority w:val="0"/>
    <w:pPr>
      <w:autoSpaceDE w:val="0"/>
      <w:autoSpaceDN w:val="0"/>
      <w:adjustRightInd w:val="0"/>
      <w:spacing w:line="360" w:lineRule="auto"/>
      <w:ind w:right="-454"/>
      <w:textAlignment w:val="baseline"/>
    </w:pPr>
    <w:rPr>
      <w:rFonts w:ascii="宋体"/>
      <w:kern w:val="0"/>
      <w:sz w:val="28"/>
      <w:vertAlign w:val="superscript"/>
    </w:rPr>
  </w:style>
  <w:style w:type="paragraph" w:customStyle="1" w:styleId="261">
    <w:name w:val="奇页脚样式"/>
    <w:basedOn w:val="27"/>
    <w:qFormat/>
    <w:uiPriority w:val="0"/>
    <w:pPr>
      <w:keepLines/>
      <w:widowControl/>
      <w:tabs>
        <w:tab w:val="right" w:pos="-18551"/>
        <w:tab w:val="left" w:pos="0"/>
        <w:tab w:val="left" w:pos="1575"/>
        <w:tab w:val="left" w:pos="3825"/>
        <w:tab w:val="right" w:pos="4320"/>
        <w:tab w:val="clear" w:pos="4153"/>
        <w:tab w:val="clear" w:pos="8306"/>
      </w:tabs>
      <w:autoSpaceDE w:val="0"/>
      <w:autoSpaceDN w:val="0"/>
      <w:snapToGrid/>
      <w:spacing w:before="600" w:line="240" w:lineRule="atLeast"/>
      <w:ind w:left="-840" w:right="-840" w:firstLine="208" w:firstLineChars="208"/>
      <w:jc w:val="center"/>
      <w:textAlignment w:val="baseline"/>
    </w:pPr>
    <w:rPr>
      <w:rFonts w:ascii="仿宋_GB2312" w:hAnsi="Monotype Sorts" w:eastAsia="仿宋_GB2312"/>
      <w:smallCaps/>
      <w:spacing w:val="15"/>
      <w:kern w:val="0"/>
      <w:sz w:val="24"/>
    </w:rPr>
  </w:style>
  <w:style w:type="paragraph" w:customStyle="1" w:styleId="262">
    <w:name w:val="xl57"/>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40"/>
      <w:szCs w:val="40"/>
    </w:rPr>
  </w:style>
  <w:style w:type="paragraph" w:customStyle="1" w:styleId="263">
    <w:name w:val="Char"/>
    <w:basedOn w:val="1"/>
    <w:qFormat/>
    <w:uiPriority w:val="0"/>
    <w:rPr>
      <w:rFonts w:ascii="Tahoma" w:hAnsi="Tahoma"/>
      <w:sz w:val="24"/>
    </w:rPr>
  </w:style>
  <w:style w:type="paragraph" w:customStyle="1" w:styleId="264">
    <w:name w:val="xl42"/>
    <w:basedOn w:val="1"/>
    <w:qFormat/>
    <w:uiPriority w:val="0"/>
    <w:pPr>
      <w:widowControl/>
      <w:spacing w:before="100" w:beforeAutospacing="1" w:after="100" w:afterAutospacing="1"/>
      <w:jc w:val="left"/>
      <w:textAlignment w:val="center"/>
    </w:pPr>
    <w:rPr>
      <w:rFonts w:eastAsia="Arial Unicode MS"/>
      <w:kern w:val="0"/>
      <w:sz w:val="20"/>
    </w:rPr>
  </w:style>
  <w:style w:type="paragraph" w:customStyle="1" w:styleId="265">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6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67">
    <w:name w:val="块引用"/>
    <w:basedOn w:val="17"/>
    <w:qFormat/>
    <w:uiPriority w:val="0"/>
    <w:pPr>
      <w:keepLines/>
      <w:widowControl/>
      <w:pBdr>
        <w:top w:val="single" w:color="808080" w:sz="6" w:space="14"/>
        <w:left w:val="single" w:color="808080" w:sz="6" w:space="14"/>
        <w:bottom w:val="single" w:color="808080" w:sz="6" w:space="14"/>
        <w:right w:val="single" w:color="808080" w:sz="6" w:space="14"/>
      </w:pBdr>
      <w:tabs>
        <w:tab w:val="left" w:pos="0"/>
        <w:tab w:val="left" w:pos="1575"/>
        <w:tab w:val="left" w:pos="3825"/>
      </w:tabs>
      <w:autoSpaceDE w:val="0"/>
      <w:autoSpaceDN w:val="0"/>
      <w:spacing w:after="240" w:line="240" w:lineRule="atLeast"/>
      <w:ind w:left="720" w:right="720" w:firstLine="208" w:firstLineChars="208"/>
      <w:textAlignment w:val="baseline"/>
    </w:pPr>
    <w:rPr>
      <w:rFonts w:hAnsi="Monotype Sorts" w:eastAsia="楷体_GB2312"/>
      <w:i/>
      <w:spacing w:val="-6"/>
      <w:kern w:val="0"/>
      <w:sz w:val="21"/>
    </w:rPr>
  </w:style>
  <w:style w:type="paragraph" w:customStyle="1" w:styleId="26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6"/>
      <w:szCs w:val="16"/>
    </w:rPr>
  </w:style>
  <w:style w:type="paragraph" w:customStyle="1" w:styleId="269">
    <w:name w:val="p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0">
    <w:name w:val="xsfsxqz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1">
    <w:name w:val="报告标题1"/>
    <w:basedOn w:val="3"/>
    <w:qFormat/>
    <w:uiPriority w:val="0"/>
    <w:pPr>
      <w:widowControl/>
      <w:pBdr>
        <w:top w:val="single" w:color="808080" w:sz="6" w:space="6"/>
        <w:bottom w:val="single" w:color="808080" w:sz="6" w:space="6"/>
      </w:pBdr>
      <w:tabs>
        <w:tab w:val="left" w:pos="7353"/>
      </w:tabs>
      <w:adjustRightInd/>
      <w:spacing w:before="360" w:after="240" w:line="320" w:lineRule="atLeast"/>
      <w:ind w:left="-129" w:right="-454" w:firstLine="1134"/>
      <w:textAlignment w:val="auto"/>
      <w:outlineLvl w:val="9"/>
    </w:pPr>
    <w:rPr>
      <w:rFonts w:ascii="仿宋_GB2312" w:hAnsi="Monotype Sorts" w:eastAsia="昆仑黑体"/>
      <w:b/>
      <w:caps/>
      <w:spacing w:val="20"/>
      <w:kern w:val="16"/>
      <w:sz w:val="18"/>
    </w:rPr>
  </w:style>
  <w:style w:type="paragraph" w:customStyle="1" w:styleId="272">
    <w:name w:val="xl43"/>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 w:val="20"/>
    </w:rPr>
  </w:style>
  <w:style w:type="paragraph" w:customStyle="1" w:styleId="273">
    <w:name w:val="Table Paragraph"/>
    <w:basedOn w:val="1"/>
    <w:qFormat/>
    <w:uiPriority w:val="0"/>
    <w:pPr>
      <w:autoSpaceDE w:val="0"/>
      <w:autoSpaceDN w:val="0"/>
      <w:spacing w:before="34"/>
      <w:jc w:val="center"/>
    </w:pPr>
    <w:rPr>
      <w:rFonts w:hint="eastAsia" w:ascii="宋体" w:hAnsi="宋体"/>
      <w:kern w:val="0"/>
      <w:sz w:val="22"/>
      <w:szCs w:val="22"/>
    </w:rPr>
  </w:style>
  <w:style w:type="character" w:customStyle="1" w:styleId="274">
    <w:name w:val="fontstyle11"/>
    <w:qFormat/>
    <w:uiPriority w:val="0"/>
    <w:rPr>
      <w:rFonts w:hint="eastAsia" w:ascii="仿宋_GB2312" w:eastAsia="仿宋_GB2312"/>
      <w:color w:val="000000"/>
      <w:sz w:val="32"/>
      <w:szCs w:val="32"/>
    </w:rPr>
  </w:style>
  <w:style w:type="paragraph" w:customStyle="1" w:styleId="275">
    <w:name w:val="列出段落3"/>
    <w:qFormat/>
    <w:uiPriority w:val="99"/>
    <w:pPr>
      <w:widowControl w:val="0"/>
      <w:spacing w:line="312" w:lineRule="auto"/>
      <w:ind w:firstLine="420" w:firstLineChars="200"/>
      <w:jc w:val="both"/>
    </w:pPr>
    <w:rPr>
      <w:rFonts w:ascii="Times New Roman" w:hAnsi="Times New Roman" w:eastAsia="仿宋_GB2312" w:cs="Times New Roman"/>
      <w:kern w:val="2"/>
      <w:sz w:val="24"/>
      <w:szCs w:val="24"/>
      <w:lang w:val="en-US" w:eastAsia="zh-CN" w:bidi="ar-SA"/>
    </w:rPr>
  </w:style>
  <w:style w:type="character" w:customStyle="1" w:styleId="276">
    <w:name w:val="font61"/>
    <w:basedOn w:val="43"/>
    <w:qFormat/>
    <w:uiPriority w:val="0"/>
    <w:rPr>
      <w:rFonts w:hint="eastAsia" w:ascii="宋体" w:hAnsi="宋体" w:eastAsia="宋体" w:cs="宋体"/>
      <w:color w:val="000000"/>
      <w:sz w:val="20"/>
      <w:szCs w:val="20"/>
      <w:u w:val="none"/>
    </w:rPr>
  </w:style>
  <w:style w:type="character" w:customStyle="1" w:styleId="277">
    <w:name w:val="font71"/>
    <w:basedOn w:val="43"/>
    <w:qFormat/>
    <w:uiPriority w:val="0"/>
    <w:rPr>
      <w:rFonts w:hint="eastAsia" w:ascii="宋体" w:hAnsi="宋体" w:eastAsia="宋体" w:cs="宋体"/>
      <w:color w:val="000000"/>
      <w:sz w:val="20"/>
      <w:szCs w:val="20"/>
      <w:u w:val="none"/>
    </w:rPr>
  </w:style>
  <w:style w:type="character" w:customStyle="1" w:styleId="278">
    <w:name w:val="font81"/>
    <w:basedOn w:val="4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5F6C-3666-4E35-953C-3B318DB40977}">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22</Pages>
  <Words>10385</Words>
  <Characters>11007</Characters>
  <Lines>413</Lines>
  <Paragraphs>116</Paragraphs>
  <TotalTime>3</TotalTime>
  <ScaleCrop>false</ScaleCrop>
  <LinksUpToDate>false</LinksUpToDate>
  <CharactersWithSpaces>11156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2019-04-18T02:20:00Z</dcterms:created>
  <dc:creator>pmh</dc:creator>
  <cp:lastModifiedBy>Administrator</cp:lastModifiedBy>
  <cp:lastPrinted>2022-03-09T07:36:00Z</cp:lastPrinted>
  <dcterms:modified xsi:type="dcterms:W3CDTF">2022-04-27T09:18:43Z</dcterms:modified>
  <dc:title>土地估价报告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4EC8733C24CE4198859FD08C4E115F0E</vt:lpwstr>
  </property>
</Properties>
</file>