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z w:val="52"/>
        </w:rPr>
      </w:pPr>
      <w:r>
        <w:rPr>
          <w:rFonts w:hint="eastAsia" w:ascii="宋体" w:hAnsi="宋体"/>
          <w:sz w:val="52"/>
        </w:rPr>
        <w:t xml:space="preserve">      </w:t>
      </w:r>
    </w:p>
    <w:p>
      <w:pPr>
        <w:spacing w:line="360" w:lineRule="auto"/>
        <w:jc w:val="center"/>
        <w:rPr>
          <w:rFonts w:ascii="宋体" w:hAnsi="宋体"/>
          <w:b/>
          <w:sz w:val="72"/>
          <w:szCs w:val="72"/>
        </w:rPr>
      </w:pPr>
      <w:r>
        <w:rPr>
          <w:rFonts w:hint="eastAsia" w:ascii="宋体" w:hAnsi="宋体"/>
          <w:b/>
          <w:sz w:val="72"/>
          <w:szCs w:val="72"/>
        </w:rPr>
        <w:t>房地产估价结果报告</w:t>
      </w:r>
    </w:p>
    <w:p>
      <w:pPr>
        <w:spacing w:line="360" w:lineRule="auto"/>
        <w:jc w:val="center"/>
        <w:rPr>
          <w:rFonts w:ascii="宋体" w:hAnsi="宋体"/>
          <w:sz w:val="28"/>
          <w:szCs w:val="28"/>
        </w:rPr>
      </w:pPr>
    </w:p>
    <w:p>
      <w:pPr>
        <w:spacing w:line="360" w:lineRule="auto"/>
        <w:jc w:val="center"/>
        <w:rPr>
          <w:rFonts w:ascii="宋体" w:hAnsi="宋体"/>
          <w:sz w:val="28"/>
          <w:szCs w:val="28"/>
        </w:rPr>
      </w:pPr>
      <w:r>
        <w:rPr>
          <w:rFonts w:hint="eastAsia" w:ascii="宋体" w:hAnsi="宋体"/>
          <w:sz w:val="28"/>
          <w:szCs w:val="28"/>
        </w:rPr>
        <w:t>山东鲁业公开价（2022）字第0025号</w:t>
      </w:r>
    </w:p>
    <w:p>
      <w:pPr>
        <w:spacing w:line="360" w:lineRule="auto"/>
        <w:jc w:val="center"/>
        <w:rPr>
          <w:rFonts w:ascii="宋体" w:hAnsi="宋体"/>
          <w:sz w:val="36"/>
          <w:szCs w:val="36"/>
        </w:rPr>
      </w:pPr>
    </w:p>
    <w:p>
      <w:pPr>
        <w:spacing w:line="360" w:lineRule="auto"/>
        <w:ind w:firstLine="420" w:firstLineChars="200"/>
        <w:jc w:val="center"/>
        <w:rPr>
          <w:rFonts w:ascii="宋体" w:hAnsi="宋体"/>
          <w:sz w:val="36"/>
          <w:szCs w:val="36"/>
        </w:rPr>
      </w:pPr>
      <w:r>
        <w:pict>
          <v:shape id="文本框 2" o:spid="_x0000_s1025" o:spt="202" type="#_x0000_t202" style="position:absolute;left:0pt;margin-top:0pt;height:139.55pt;width:102.7pt;mso-position-horizontal:center;z-index:251661312;mso-width-relative:margin;mso-height-relative:margin;mso-height-percent:200;" fillcolor="#FFFFFF" filled="t" stroked="t" coordsize="21600,21600">
            <v:path/>
            <v:fill on="t" color2="#FFFFFF" focussize="0,0"/>
            <v:stroke color="#000000" joinstyle="miter"/>
            <v:imagedata o:title=""/>
            <o:lock v:ext="edit" aspectratio="f"/>
            <v:textbox style="mso-fit-shape-to-text:t;">
              <w:txbxContent>
                <w:p>
                  <w:pPr>
                    <w:rPr>
                      <w:rFonts w:hint="eastAsia" w:eastAsia="宋体"/>
                      <w:lang w:eastAsia="zh-CN"/>
                    </w:rPr>
                  </w:pPr>
                  <w:bookmarkStart w:id="34" w:name="po_二维码"/>
                  <w:bookmarkEnd w:id="34"/>
                  <w:r>
                    <w:rPr>
                      <w:rFonts w:hint="eastAsia" w:eastAsia="宋体"/>
                      <w:lang w:eastAsia="zh-CN"/>
                    </w:rPr>
                    <w:drawing>
                      <wp:inline distT="0" distB="0" distL="114300" distR="114300">
                        <wp:extent cx="1099185" cy="1118235"/>
                        <wp:effectExtent l="0" t="0" r="5715" b="12065"/>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stretch>
                                  <a:fillRect/>
                                </a:stretch>
                              </pic:blipFill>
                              <pic:spPr>
                                <a:xfrm>
                                  <a:off x="0" y="0"/>
                                  <a:ext cx="1099185" cy="1118235"/>
                                </a:xfrm>
                                <a:prstGeom prst="rect">
                                  <a:avLst/>
                                </a:prstGeom>
                              </pic:spPr>
                            </pic:pic>
                          </a:graphicData>
                        </a:graphic>
                      </wp:inline>
                    </w:drawing>
                  </w:r>
                </w:p>
              </w:txbxContent>
            </v:textbox>
          </v:shape>
        </w:pict>
      </w:r>
    </w:p>
    <w:p>
      <w:pPr>
        <w:spacing w:line="360" w:lineRule="auto"/>
        <w:ind w:firstLine="720" w:firstLineChars="200"/>
        <w:rPr>
          <w:rFonts w:ascii="宋体" w:hAnsi="宋体"/>
          <w:sz w:val="36"/>
          <w:szCs w:val="36"/>
        </w:rPr>
      </w:pPr>
      <w:r>
        <w:rPr>
          <w:rFonts w:hint="eastAsia" w:ascii="宋体" w:hAnsi="宋体"/>
          <w:sz w:val="36"/>
          <w:szCs w:val="36"/>
        </w:rPr>
        <w:t xml:space="preserve"> </w:t>
      </w:r>
      <w:r>
        <w:rPr>
          <w:rFonts w:ascii="宋体" w:hAnsi="宋体"/>
          <w:sz w:val="36"/>
          <w:szCs w:val="36"/>
        </w:rPr>
        <w:t xml:space="preserve"> </w:t>
      </w:r>
    </w:p>
    <w:p>
      <w:pPr>
        <w:spacing w:line="360" w:lineRule="auto"/>
        <w:ind w:right="283" w:rightChars="135" w:firstLine="720" w:firstLineChars="200"/>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ind w:firstLine="720" w:firstLineChars="200"/>
        <w:rPr>
          <w:rFonts w:ascii="宋体" w:hAnsi="宋体"/>
          <w:sz w:val="36"/>
          <w:szCs w:val="36"/>
        </w:rPr>
      </w:pPr>
    </w:p>
    <w:p>
      <w:pPr>
        <w:spacing w:line="360" w:lineRule="auto"/>
        <w:rPr>
          <w:rFonts w:hint="eastAsia" w:ascii="宋体" w:hAnsi="宋体" w:cs="Times New Roman"/>
          <w:sz w:val="28"/>
          <w:szCs w:val="28"/>
          <w:lang w:val="en-US" w:eastAsia="zh-CN"/>
        </w:rPr>
      </w:pPr>
      <w:r>
        <w:rPr>
          <w:rFonts w:hint="eastAsia" w:ascii="宋体" w:hAnsi="宋体"/>
          <w:b/>
          <w:spacing w:val="60"/>
          <w:kern w:val="0"/>
          <w:sz w:val="30"/>
          <w:szCs w:val="30"/>
        </w:rPr>
        <w:t>估价项目名</w:t>
      </w:r>
      <w:r>
        <w:rPr>
          <w:rFonts w:hint="eastAsia" w:ascii="宋体" w:hAnsi="宋体"/>
          <w:b/>
          <w:kern w:val="0"/>
          <w:sz w:val="30"/>
          <w:szCs w:val="30"/>
        </w:rPr>
        <w:t>称</w:t>
      </w:r>
      <w:r>
        <w:rPr>
          <w:rFonts w:hint="eastAsia" w:ascii="宋体" w:hAnsi="宋体"/>
          <w:b/>
          <w:sz w:val="30"/>
          <w:szCs w:val="30"/>
        </w:rPr>
        <w:t>：</w:t>
      </w:r>
      <w:r>
        <w:rPr>
          <w:rFonts w:hint="eastAsia" w:ascii="宋体" w:hAnsi="宋体"/>
          <w:b w:val="0"/>
          <w:bCs/>
          <w:sz w:val="28"/>
          <w:szCs w:val="28"/>
          <w:lang w:val="en-US" w:eastAsia="zh-CN"/>
        </w:rPr>
        <w:t>徐志扬名下的位于</w:t>
      </w:r>
      <w:r>
        <w:rPr>
          <w:rFonts w:hint="eastAsia" w:ascii="宋体" w:hAnsi="宋体" w:cs="Times New Roman"/>
          <w:sz w:val="28"/>
          <w:szCs w:val="28"/>
          <w:lang w:val="en-US" w:eastAsia="zh-CN"/>
        </w:rPr>
        <w:t>诸城市纺织街288号</w:t>
      </w:r>
    </w:p>
    <w:p>
      <w:pPr>
        <w:spacing w:line="360" w:lineRule="auto"/>
        <w:ind w:firstLine="2800" w:firstLineChars="1000"/>
        <w:rPr>
          <w:rFonts w:hint="eastAsia" w:ascii="宋体" w:hAnsi="宋体" w:cs="Times New Roman"/>
          <w:sz w:val="28"/>
          <w:szCs w:val="28"/>
        </w:rPr>
      </w:pPr>
      <w:r>
        <w:rPr>
          <w:rFonts w:hint="eastAsia" w:ascii="宋体" w:hAnsi="宋体" w:cs="Times New Roman"/>
          <w:sz w:val="28"/>
          <w:szCs w:val="28"/>
          <w:lang w:val="en-US" w:eastAsia="zh-CN"/>
        </w:rPr>
        <w:t>9号楼1单元302户房产及附房市场</w:t>
      </w:r>
      <w:r>
        <w:rPr>
          <w:rFonts w:hint="eastAsia" w:ascii="宋体" w:hAnsi="宋体" w:cs="Times New Roman"/>
          <w:sz w:val="28"/>
          <w:szCs w:val="28"/>
        </w:rPr>
        <w:t>价值评估</w:t>
      </w:r>
    </w:p>
    <w:p>
      <w:pPr>
        <w:spacing w:line="360" w:lineRule="auto"/>
        <w:rPr>
          <w:rFonts w:ascii="宋体" w:hAnsi="宋体"/>
          <w:sz w:val="28"/>
          <w:szCs w:val="28"/>
        </w:rPr>
      </w:pPr>
      <w:r>
        <w:rPr>
          <w:rFonts w:hint="eastAsia" w:ascii="宋体" w:hAnsi="宋体"/>
          <w:b/>
          <w:spacing w:val="112"/>
          <w:kern w:val="0"/>
          <w:sz w:val="30"/>
          <w:szCs w:val="30"/>
        </w:rPr>
        <w:t>估价委托</w:t>
      </w:r>
      <w:r>
        <w:rPr>
          <w:rFonts w:hint="eastAsia" w:ascii="宋体" w:hAnsi="宋体"/>
          <w:b/>
          <w:spacing w:val="2"/>
          <w:kern w:val="0"/>
          <w:sz w:val="30"/>
          <w:szCs w:val="30"/>
        </w:rPr>
        <w:t>人</w:t>
      </w:r>
      <w:r>
        <w:rPr>
          <w:rFonts w:hint="eastAsia" w:ascii="宋体" w:hAnsi="宋体"/>
          <w:b/>
          <w:sz w:val="30"/>
          <w:szCs w:val="30"/>
        </w:rPr>
        <w:t>：</w:t>
      </w:r>
      <w:r>
        <w:rPr>
          <w:rFonts w:hint="eastAsia" w:ascii="宋体" w:hAnsi="宋体"/>
          <w:sz w:val="28"/>
          <w:szCs w:val="28"/>
        </w:rPr>
        <w:t>诸城市人民法院</w:t>
      </w:r>
    </w:p>
    <w:p>
      <w:pPr>
        <w:spacing w:line="360" w:lineRule="auto"/>
        <w:rPr>
          <w:rFonts w:ascii="宋体" w:hAnsi="宋体"/>
          <w:sz w:val="32"/>
          <w:szCs w:val="32"/>
        </w:rPr>
      </w:pPr>
      <w:r>
        <w:rPr>
          <w:rFonts w:hint="eastAsia" w:ascii="宋体" w:hAnsi="宋体"/>
          <w:b/>
          <w:spacing w:val="25"/>
          <w:kern w:val="0"/>
          <w:sz w:val="30"/>
          <w:szCs w:val="30"/>
        </w:rPr>
        <w:t>房地产估价机</w:t>
      </w:r>
      <w:r>
        <w:rPr>
          <w:rFonts w:hint="eastAsia" w:ascii="宋体" w:hAnsi="宋体"/>
          <w:b/>
          <w:kern w:val="0"/>
          <w:sz w:val="30"/>
          <w:szCs w:val="30"/>
        </w:rPr>
        <w:t>构</w:t>
      </w:r>
      <w:r>
        <w:rPr>
          <w:rFonts w:hint="eastAsia" w:ascii="宋体" w:hAnsi="宋体"/>
          <w:b/>
          <w:sz w:val="30"/>
          <w:szCs w:val="30"/>
        </w:rPr>
        <w:t>：</w:t>
      </w:r>
      <w:r>
        <w:rPr>
          <w:rFonts w:hint="eastAsia" w:ascii="宋体" w:hAnsi="宋体"/>
          <w:sz w:val="28"/>
          <w:szCs w:val="28"/>
        </w:rPr>
        <w:t>山东鲁业房地产土地评估有限公司</w:t>
      </w:r>
    </w:p>
    <w:p>
      <w:pPr>
        <w:spacing w:line="360" w:lineRule="auto"/>
        <w:rPr>
          <w:rFonts w:ascii="宋体" w:hAnsi="宋体"/>
          <w:sz w:val="30"/>
          <w:szCs w:val="30"/>
        </w:rPr>
      </w:pPr>
      <w:r>
        <w:rPr>
          <w:rFonts w:hint="eastAsia" w:ascii="宋体" w:hAnsi="宋体"/>
          <w:b/>
          <w:sz w:val="30"/>
          <w:szCs w:val="30"/>
        </w:rPr>
        <w:t>注册房地产估价师：</w:t>
      </w:r>
      <w:r>
        <w:rPr>
          <w:rFonts w:hint="eastAsia" w:ascii="宋体" w:hAnsi="宋体"/>
          <w:sz w:val="28"/>
          <w:szCs w:val="28"/>
        </w:rPr>
        <w:t>宋佳英    注册号：3720030089</w:t>
      </w:r>
      <w:r>
        <w:rPr>
          <w:rFonts w:hint="eastAsia" w:ascii="宋体" w:hAnsi="宋体"/>
          <w:sz w:val="30"/>
          <w:szCs w:val="30"/>
        </w:rPr>
        <w:t xml:space="preserve">      </w:t>
      </w:r>
    </w:p>
    <w:p>
      <w:pPr>
        <w:spacing w:line="360" w:lineRule="auto"/>
        <w:ind w:firstLine="2800" w:firstLineChars="1000"/>
        <w:rPr>
          <w:rFonts w:ascii="宋体" w:hAnsi="宋体"/>
          <w:sz w:val="28"/>
          <w:szCs w:val="28"/>
        </w:rPr>
      </w:pPr>
      <w:r>
        <w:rPr>
          <w:rFonts w:hint="eastAsia" w:ascii="宋体" w:hAnsi="宋体"/>
          <w:sz w:val="28"/>
          <w:szCs w:val="28"/>
        </w:rPr>
        <w:t>曹春玲    注册号：3720130159</w:t>
      </w:r>
    </w:p>
    <w:p>
      <w:pPr>
        <w:spacing w:line="360" w:lineRule="auto"/>
        <w:rPr>
          <w:b/>
        </w:rPr>
      </w:pPr>
      <w:r>
        <w:rPr>
          <w:rFonts w:hint="eastAsia" w:ascii="宋体" w:hAnsi="宋体"/>
          <w:b/>
          <w:sz w:val="30"/>
          <w:szCs w:val="30"/>
        </w:rPr>
        <w:t>估价报告出具日期：</w:t>
      </w:r>
      <w:r>
        <w:rPr>
          <w:rFonts w:hint="eastAsia" w:ascii="宋体" w:hAnsi="宋体"/>
          <w:sz w:val="28"/>
          <w:szCs w:val="28"/>
        </w:rPr>
        <w:t>二〇二二年四月二十八日</w:t>
      </w:r>
      <w:r>
        <w:rPr>
          <w:szCs w:val="28"/>
        </w:rPr>
        <w:br w:type="page"/>
      </w:r>
      <w:r>
        <w:rPr>
          <w:rFonts w:hint="eastAsia"/>
          <w:szCs w:val="28"/>
        </w:rPr>
        <w:t xml:space="preserve">                        </w:t>
      </w:r>
      <w:r>
        <w:rPr>
          <w:rFonts w:hint="eastAsia" w:ascii="宋体" w:hAnsi="宋体"/>
          <w:b/>
          <w:bCs/>
          <w:sz w:val="52"/>
        </w:rPr>
        <w:t>致估价委托人函</w:t>
      </w:r>
    </w:p>
    <w:p>
      <w:pPr>
        <w:spacing w:line="360" w:lineRule="auto"/>
        <w:rPr>
          <w:rFonts w:ascii="宋体" w:hAnsi="宋体"/>
          <w:b/>
          <w:sz w:val="24"/>
          <w:szCs w:val="24"/>
        </w:rPr>
      </w:pPr>
      <w:r>
        <w:rPr>
          <w:rFonts w:hint="eastAsia" w:ascii="宋体" w:hAnsi="宋体"/>
          <w:b/>
          <w:sz w:val="24"/>
          <w:szCs w:val="24"/>
          <w:lang w:eastAsia="zh-CN"/>
        </w:rPr>
        <w:t>诸城市人民法院</w:t>
      </w:r>
      <w:r>
        <w:rPr>
          <w:rFonts w:hint="eastAsia" w:ascii="宋体" w:hAnsi="宋体"/>
          <w:b/>
          <w:sz w:val="24"/>
          <w:szCs w:val="24"/>
        </w:rPr>
        <w:t>：</w:t>
      </w:r>
    </w:p>
    <w:p>
      <w:pPr>
        <w:pStyle w:val="7"/>
        <w:spacing w:line="360" w:lineRule="auto"/>
        <w:ind w:firstLine="480" w:firstLineChars="200"/>
        <w:rPr>
          <w:rFonts w:hint="eastAsia" w:ascii="宋体" w:hAnsi="宋体"/>
          <w:bCs/>
          <w:sz w:val="24"/>
          <w:szCs w:val="24"/>
        </w:rPr>
      </w:pPr>
      <w:r>
        <w:rPr>
          <w:rFonts w:hint="eastAsia" w:ascii="宋体" w:hAnsi="宋体"/>
          <w:sz w:val="24"/>
          <w:szCs w:val="24"/>
        </w:rPr>
        <w:t>受贵方委托，我公司</w:t>
      </w:r>
      <w:r>
        <w:rPr>
          <w:rFonts w:hint="eastAsia" w:ascii="宋体" w:hAnsi="宋体"/>
          <w:bCs/>
          <w:sz w:val="24"/>
          <w:szCs w:val="24"/>
        </w:rPr>
        <w:t>按照《房地产估价规范》（GB/T 50291-2015）等有关估价标准的规定，</w:t>
      </w:r>
      <w:r>
        <w:rPr>
          <w:rFonts w:hint="eastAsia"/>
          <w:sz w:val="24"/>
        </w:rPr>
        <w:t>对</w:t>
      </w:r>
      <w:r>
        <w:rPr>
          <w:rFonts w:hint="eastAsia" w:ascii="宋体" w:hAnsi="宋体"/>
          <w:sz w:val="24"/>
          <w:lang w:val="en-US" w:eastAsia="zh-CN"/>
        </w:rPr>
        <w:t>徐志扬（身份证号：370728195905230216）名下</w:t>
      </w:r>
      <w:r>
        <w:rPr>
          <w:rFonts w:hint="eastAsia" w:ascii="宋体" w:hAnsi="宋体"/>
          <w:sz w:val="24"/>
        </w:rPr>
        <w:t>所有的位</w:t>
      </w:r>
      <w:r>
        <w:rPr>
          <w:rFonts w:hint="eastAsia" w:ascii="宋体" w:hAnsi="宋体" w:eastAsia="宋体" w:cs="Times New Roman"/>
          <w:sz w:val="24"/>
          <w:lang w:val="en-US" w:eastAsia="zh-CN"/>
        </w:rPr>
        <w:t>于</w:t>
      </w:r>
      <w:r>
        <w:rPr>
          <w:rFonts w:hint="eastAsia" w:ascii="宋体" w:hAnsi="宋体" w:cs="Times New Roman"/>
          <w:sz w:val="24"/>
          <w:lang w:val="en-US" w:eastAsia="zh-CN"/>
        </w:rPr>
        <w:t>诸城市纺织街288号9号楼1单元302户房产及附房</w:t>
      </w:r>
      <w:r>
        <w:rPr>
          <w:rFonts w:hint="eastAsia"/>
          <w:sz w:val="24"/>
        </w:rPr>
        <w:t>在评估基准日的市场价值进行了评估。现将</w:t>
      </w:r>
      <w:r>
        <w:rPr>
          <w:rFonts w:hint="eastAsia" w:hAnsi="宋体"/>
          <w:sz w:val="24"/>
          <w:szCs w:val="24"/>
        </w:rPr>
        <w:t>估价报告摘要如下：</w:t>
      </w:r>
    </w:p>
    <w:p>
      <w:pPr>
        <w:adjustRightInd w:val="0"/>
        <w:snapToGrid w:val="0"/>
        <w:spacing w:line="360" w:lineRule="auto"/>
        <w:ind w:firstLine="482" w:firstLineChars="200"/>
        <w:rPr>
          <w:rFonts w:hint="eastAsia" w:ascii="宋体" w:hAnsi="宋体"/>
          <w:sz w:val="24"/>
          <w:szCs w:val="24"/>
        </w:rPr>
      </w:pPr>
      <w:r>
        <w:rPr>
          <w:rFonts w:hint="eastAsia" w:ascii="宋体" w:hAnsi="宋体"/>
          <w:b/>
          <w:bCs/>
          <w:sz w:val="24"/>
          <w:szCs w:val="24"/>
        </w:rPr>
        <w:t>估价目的：</w:t>
      </w:r>
      <w:r>
        <w:rPr>
          <w:rFonts w:hint="eastAsia" w:ascii="宋体" w:hAnsi="宋体"/>
          <w:sz w:val="24"/>
          <w:szCs w:val="24"/>
        </w:rPr>
        <w:t>评估估价对象的市场价格，为委托方确定财产处置参考价提供参考依据。</w:t>
      </w:r>
    </w:p>
    <w:p>
      <w:pPr>
        <w:adjustRightInd w:val="0"/>
        <w:snapToGrid w:val="0"/>
        <w:spacing w:line="360" w:lineRule="auto"/>
        <w:ind w:firstLine="482" w:firstLineChars="200"/>
        <w:rPr>
          <w:rFonts w:hint="eastAsia" w:ascii="宋体" w:hAnsi="宋体"/>
          <w:b/>
          <w:szCs w:val="21"/>
        </w:rPr>
      </w:pPr>
      <w:r>
        <w:rPr>
          <w:rFonts w:hint="eastAsia" w:ascii="宋体" w:hAnsi="宋体"/>
          <w:b/>
          <w:bCs/>
          <w:sz w:val="24"/>
          <w:szCs w:val="24"/>
        </w:rPr>
        <w:t>估价对象：</w:t>
      </w:r>
      <w:r>
        <w:rPr>
          <w:rFonts w:hint="eastAsia" w:ascii="宋体" w:hAnsi="宋体"/>
          <w:sz w:val="24"/>
          <w:szCs w:val="24"/>
          <w:highlight w:val="none"/>
        </w:rPr>
        <w:t>本次估价对象为</w:t>
      </w:r>
      <w:r>
        <w:rPr>
          <w:rFonts w:hint="eastAsia" w:ascii="宋体" w:hAnsi="宋体"/>
          <w:sz w:val="24"/>
          <w:lang w:val="en-US" w:eastAsia="zh-CN"/>
        </w:rPr>
        <w:t>徐志扬（身份证号：370728195905230216）名下</w:t>
      </w:r>
      <w:r>
        <w:rPr>
          <w:rFonts w:hint="eastAsia" w:ascii="宋体" w:hAnsi="宋体"/>
          <w:sz w:val="24"/>
        </w:rPr>
        <w:t>所有的位</w:t>
      </w:r>
      <w:r>
        <w:rPr>
          <w:rFonts w:hint="eastAsia" w:ascii="宋体" w:hAnsi="宋体" w:eastAsia="宋体" w:cs="Times New Roman"/>
          <w:sz w:val="24"/>
          <w:lang w:val="en-US" w:eastAsia="zh-CN"/>
        </w:rPr>
        <w:t>于</w:t>
      </w:r>
      <w:r>
        <w:rPr>
          <w:rFonts w:hint="eastAsia" w:ascii="宋体" w:hAnsi="宋体" w:cs="Times New Roman"/>
          <w:sz w:val="24"/>
          <w:lang w:val="en-US" w:eastAsia="zh-CN"/>
        </w:rPr>
        <w:t>诸城市纺织街288号9号楼1单元302户房产及附房，主房</w:t>
      </w:r>
      <w:r>
        <w:rPr>
          <w:rFonts w:hint="eastAsia" w:ascii="宋体" w:hAnsi="宋体"/>
          <w:sz w:val="24"/>
          <w:highlight w:val="none"/>
          <w:lang w:val="en-US" w:eastAsia="zh-CN"/>
        </w:rPr>
        <w:t>建筑面积为77.79㎡，附房建筑面积为13.5㎡。</w:t>
      </w:r>
      <w:r>
        <w:rPr>
          <w:rFonts w:hint="eastAsia"/>
          <w:sz w:val="24"/>
          <w:lang w:val="en-US" w:eastAsia="zh-CN"/>
        </w:rPr>
        <w:t>本栋楼总层数5层，其中地上1层为储藏室，2-5层为住宅。估价对象所在层数为4层（房号为302号），2001年左右建成。</w:t>
      </w:r>
      <w:r>
        <w:rPr>
          <w:rFonts w:hint="eastAsia" w:ascii="宋体" w:hAnsi="宋体"/>
          <w:sz w:val="24"/>
          <w:szCs w:val="24"/>
        </w:rPr>
        <w:t>本次估价仅针对估价对象分摊的土地使用权、房产权利权益价格、装饰装修，不包括室内可移动设施等动产及债权债务、特许经营权等其他财产或者权益。</w:t>
      </w:r>
    </w:p>
    <w:tbl>
      <w:tblPr>
        <w:tblStyle w:val="42"/>
        <w:tblW w:w="863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92"/>
        <w:gridCol w:w="1122"/>
        <w:gridCol w:w="1300"/>
        <w:gridCol w:w="920"/>
        <w:gridCol w:w="1510"/>
        <w:gridCol w:w="840"/>
        <w:gridCol w:w="13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1592" w:type="dxa"/>
            <w:tcBorders>
              <w:top w:val="single" w:color="auto" w:sz="12" w:space="0"/>
              <w:left w:val="single" w:color="auto" w:sz="12" w:space="0"/>
              <w:bottom w:val="single" w:color="auto" w:sz="6" w:space="0"/>
              <w:right w:val="single" w:color="auto" w:sz="6" w:space="0"/>
            </w:tcBorders>
            <w:vAlign w:val="center"/>
          </w:tcPr>
          <w:p>
            <w:pPr>
              <w:spacing w:line="360" w:lineRule="auto"/>
              <w:jc w:val="center"/>
              <w:rPr>
                <w:rFonts w:ascii="宋体" w:hAnsi="宋体"/>
                <w:szCs w:val="21"/>
              </w:rPr>
            </w:pPr>
            <w:r>
              <w:rPr>
                <w:rFonts w:hint="eastAsia" w:ascii="宋体" w:hAnsi="宋体"/>
                <w:szCs w:val="21"/>
              </w:rPr>
              <w:t>不动产权证号</w:t>
            </w:r>
          </w:p>
        </w:tc>
        <w:tc>
          <w:tcPr>
            <w:tcW w:w="7038" w:type="dxa"/>
            <w:gridSpan w:val="6"/>
            <w:tcBorders>
              <w:top w:val="single" w:color="auto" w:sz="12" w:space="0"/>
              <w:left w:val="single" w:color="auto" w:sz="6" w:space="0"/>
              <w:bottom w:val="single" w:color="auto" w:sz="6" w:space="0"/>
              <w:right w:val="single" w:color="auto" w:sz="12" w:space="0"/>
            </w:tcBorders>
            <w:vAlign w:val="center"/>
          </w:tcPr>
          <w:p>
            <w:pPr>
              <w:spacing w:line="360" w:lineRule="auto"/>
              <w:jc w:val="center"/>
              <w:rPr>
                <w:rFonts w:ascii="宋体" w:hAnsi="宋体"/>
                <w:szCs w:val="21"/>
              </w:rPr>
            </w:pPr>
            <w:r>
              <w:rPr>
                <w:rFonts w:hint="eastAsia" w:ascii="宋体" w:hAnsi="宋体"/>
                <w:sz w:val="24"/>
                <w:highlight w:val="none"/>
                <w:lang w:val="en-US" w:eastAsia="zh-CN"/>
              </w:rPr>
              <w:t>诸城市房权证城区商品字第02710号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592" w:type="dxa"/>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szCs w:val="21"/>
              </w:rPr>
            </w:pPr>
            <w:r>
              <w:rPr>
                <w:rFonts w:hint="eastAsia" w:ascii="宋体" w:hAnsi="宋体"/>
                <w:szCs w:val="21"/>
              </w:rPr>
              <w:t>权利人</w:t>
            </w:r>
          </w:p>
        </w:tc>
        <w:tc>
          <w:tcPr>
            <w:tcW w:w="7038" w:type="dxa"/>
            <w:gridSpan w:val="6"/>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徐志扬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0" w:hRule="atLeast"/>
          <w:jc w:val="center"/>
        </w:trPr>
        <w:tc>
          <w:tcPr>
            <w:tcW w:w="1592" w:type="dxa"/>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szCs w:val="21"/>
              </w:rPr>
            </w:pPr>
            <w:r>
              <w:rPr>
                <w:rFonts w:hint="eastAsia" w:ascii="宋体" w:hAnsi="宋体"/>
                <w:szCs w:val="21"/>
              </w:rPr>
              <w:t>房屋坐落</w:t>
            </w:r>
          </w:p>
        </w:tc>
        <w:tc>
          <w:tcPr>
            <w:tcW w:w="7038" w:type="dxa"/>
            <w:gridSpan w:val="6"/>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szCs w:val="21"/>
              </w:rPr>
            </w:pPr>
            <w:r>
              <w:rPr>
                <w:rFonts w:hint="eastAsia" w:ascii="宋体" w:hAnsi="宋体" w:cs="Times New Roman"/>
                <w:sz w:val="24"/>
                <w:lang w:val="en-US" w:eastAsia="zh-CN"/>
              </w:rPr>
              <w:t>诸城市纺织街288号9号楼1单元302户房产及附房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1592" w:type="dxa"/>
            <w:vMerge w:val="restart"/>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宋体" w:hAnsi="宋体"/>
                <w:szCs w:val="21"/>
              </w:rPr>
            </w:pPr>
            <w:r>
              <w:rPr>
                <w:rFonts w:hint="eastAsia" w:ascii="宋体" w:hAnsi="宋体"/>
                <w:szCs w:val="21"/>
              </w:rPr>
              <w:t>房屋状况</w:t>
            </w:r>
          </w:p>
        </w:tc>
        <w:tc>
          <w:tcPr>
            <w:tcW w:w="1122"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总层数</w:t>
            </w:r>
          </w:p>
        </w:tc>
        <w:tc>
          <w:tcPr>
            <w:tcW w:w="130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szCs w:val="21"/>
              </w:rPr>
            </w:pPr>
            <w:r>
              <w:rPr>
                <w:rFonts w:hint="eastAsia" w:ascii="宋体" w:hAnsi="宋体"/>
                <w:szCs w:val="21"/>
              </w:rPr>
              <w:t>所在层数</w:t>
            </w:r>
          </w:p>
        </w:tc>
        <w:tc>
          <w:tcPr>
            <w:tcW w:w="9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Cs w:val="21"/>
              </w:rPr>
            </w:pPr>
            <w:r>
              <w:rPr>
                <w:rFonts w:hint="eastAsia" w:ascii="宋体" w:hAnsi="宋体"/>
                <w:szCs w:val="21"/>
              </w:rPr>
              <w:t>结构</w:t>
            </w:r>
          </w:p>
        </w:tc>
        <w:tc>
          <w:tcPr>
            <w:tcW w:w="151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Cs w:val="21"/>
              </w:rPr>
            </w:pPr>
            <w:r>
              <w:rPr>
                <w:rFonts w:hint="eastAsia" w:ascii="宋体" w:hAnsi="宋体"/>
                <w:szCs w:val="21"/>
              </w:rPr>
              <w:t>建筑面积(㎡)</w:t>
            </w:r>
          </w:p>
        </w:tc>
        <w:tc>
          <w:tcPr>
            <w:tcW w:w="8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Cs w:val="21"/>
              </w:rPr>
            </w:pPr>
            <w:r>
              <w:rPr>
                <w:rFonts w:hint="eastAsia" w:ascii="宋体" w:hAnsi="宋体"/>
                <w:szCs w:val="21"/>
              </w:rPr>
              <w:t>用途</w:t>
            </w:r>
          </w:p>
        </w:tc>
        <w:tc>
          <w:tcPr>
            <w:tcW w:w="1346"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szCs w:val="21"/>
              </w:rPr>
            </w:pPr>
            <w:r>
              <w:rPr>
                <w:rFonts w:hint="eastAsia" w:ascii="宋体" w:hAnsi="宋体"/>
                <w:szCs w:val="21"/>
              </w:rPr>
              <w:t>建成年份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jc w:val="center"/>
        </w:trPr>
        <w:tc>
          <w:tcPr>
            <w:tcW w:w="1592"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宋体" w:hAnsi="宋体"/>
                <w:szCs w:val="21"/>
              </w:rPr>
            </w:pPr>
          </w:p>
        </w:tc>
        <w:tc>
          <w:tcPr>
            <w:tcW w:w="1122" w:type="dxa"/>
            <w:tcBorders>
              <w:top w:val="single" w:color="auto" w:sz="6" w:space="0"/>
              <w:left w:val="single" w:color="auto" w:sz="6" w:space="0"/>
              <w:bottom w:val="single" w:color="auto" w:sz="12" w:space="0"/>
              <w:right w:val="single" w:color="auto" w:sz="4" w:space="0"/>
            </w:tcBorders>
            <w:vAlign w:val="center"/>
          </w:tcPr>
          <w:p>
            <w:pPr>
              <w:spacing w:line="360" w:lineRule="auto"/>
              <w:jc w:val="center"/>
              <w:rPr>
                <w:rFonts w:hint="eastAsia" w:ascii="宋体" w:hAnsi="宋体" w:eastAsia="宋体"/>
                <w:szCs w:val="21"/>
                <w:highlight w:val="green"/>
                <w:lang w:eastAsia="zh-CN"/>
              </w:rPr>
            </w:pPr>
            <w:r>
              <w:rPr>
                <w:rFonts w:hint="eastAsia" w:ascii="宋体" w:hAnsi="宋体"/>
                <w:szCs w:val="21"/>
                <w:lang w:val="en-US" w:eastAsia="zh-CN"/>
              </w:rPr>
              <w:t>5</w:t>
            </w:r>
          </w:p>
        </w:tc>
        <w:tc>
          <w:tcPr>
            <w:tcW w:w="1300" w:type="dxa"/>
            <w:tcBorders>
              <w:top w:val="single" w:color="auto" w:sz="6" w:space="0"/>
              <w:left w:val="single" w:color="auto" w:sz="4" w:space="0"/>
              <w:bottom w:val="single" w:color="auto" w:sz="12" w:space="0"/>
              <w:right w:val="single" w:color="auto" w:sz="6"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4</w:t>
            </w:r>
          </w:p>
        </w:tc>
        <w:tc>
          <w:tcPr>
            <w:tcW w:w="920" w:type="dxa"/>
            <w:tcBorders>
              <w:top w:val="single" w:color="auto" w:sz="6" w:space="0"/>
              <w:left w:val="single" w:color="auto" w:sz="6" w:space="0"/>
              <w:bottom w:val="single" w:color="auto" w:sz="12" w:space="0"/>
              <w:right w:val="single" w:color="auto" w:sz="6" w:space="0"/>
            </w:tcBorders>
            <w:vAlign w:val="center"/>
          </w:tcPr>
          <w:p>
            <w:pPr>
              <w:spacing w:line="360" w:lineRule="auto"/>
              <w:jc w:val="center"/>
              <w:rPr>
                <w:rFonts w:ascii="宋体" w:hAnsi="宋体"/>
                <w:szCs w:val="21"/>
              </w:rPr>
            </w:pPr>
            <w:r>
              <w:rPr>
                <w:rFonts w:hint="eastAsia" w:ascii="宋体" w:hAnsi="宋体"/>
                <w:szCs w:val="21"/>
              </w:rPr>
              <w:t>混</w:t>
            </w:r>
            <w:r>
              <w:rPr>
                <w:rFonts w:hint="eastAsia" w:ascii="宋体" w:hAnsi="宋体"/>
                <w:szCs w:val="21"/>
                <w:lang w:val="en-US" w:eastAsia="zh-CN"/>
              </w:rPr>
              <w:t>合</w:t>
            </w:r>
          </w:p>
        </w:tc>
        <w:tc>
          <w:tcPr>
            <w:tcW w:w="1510" w:type="dxa"/>
            <w:tcBorders>
              <w:top w:val="single" w:color="auto" w:sz="6" w:space="0"/>
              <w:left w:val="single" w:color="auto" w:sz="6" w:space="0"/>
              <w:bottom w:val="single" w:color="auto" w:sz="12" w:space="0"/>
              <w:right w:val="single" w:color="auto" w:sz="6" w:space="0"/>
            </w:tcBorders>
            <w:vAlign w:val="center"/>
          </w:tcPr>
          <w:p>
            <w:pPr>
              <w:spacing w:line="360" w:lineRule="auto"/>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主房：77.79</w:t>
            </w:r>
          </w:p>
          <w:p>
            <w:pPr>
              <w:spacing w:line="360" w:lineRule="auto"/>
              <w:jc w:val="left"/>
              <w:rPr>
                <w:rFonts w:hint="default" w:ascii="宋体" w:hAnsi="宋体"/>
                <w:sz w:val="24"/>
                <w:highlight w:val="none"/>
                <w:lang w:val="en-US" w:eastAsia="zh-CN"/>
              </w:rPr>
            </w:pPr>
            <w:r>
              <w:rPr>
                <w:rFonts w:hint="eastAsia" w:ascii="宋体" w:hAnsi="宋体"/>
                <w:sz w:val="21"/>
                <w:szCs w:val="21"/>
                <w:highlight w:val="none"/>
                <w:lang w:val="en-US" w:eastAsia="zh-CN"/>
              </w:rPr>
              <w:t>附房：13.5</w:t>
            </w:r>
          </w:p>
        </w:tc>
        <w:tc>
          <w:tcPr>
            <w:tcW w:w="840" w:type="dxa"/>
            <w:tcBorders>
              <w:top w:val="single" w:color="auto" w:sz="6" w:space="0"/>
              <w:left w:val="single" w:color="auto" w:sz="6" w:space="0"/>
              <w:bottom w:val="single" w:color="auto" w:sz="12" w:space="0"/>
              <w:right w:val="single" w:color="auto" w:sz="6" w:space="0"/>
            </w:tcBorders>
            <w:vAlign w:val="center"/>
          </w:tcPr>
          <w:p>
            <w:pPr>
              <w:spacing w:line="360" w:lineRule="auto"/>
              <w:jc w:val="center"/>
              <w:rPr>
                <w:rFonts w:ascii="宋体" w:hAnsi="宋体"/>
                <w:szCs w:val="21"/>
              </w:rPr>
            </w:pPr>
            <w:r>
              <w:rPr>
                <w:rFonts w:hint="eastAsia" w:ascii="宋体" w:hAnsi="宋体"/>
                <w:szCs w:val="21"/>
              </w:rPr>
              <w:t>住宅</w:t>
            </w:r>
          </w:p>
        </w:tc>
        <w:tc>
          <w:tcPr>
            <w:tcW w:w="1346" w:type="dxa"/>
            <w:tcBorders>
              <w:top w:val="single" w:color="auto" w:sz="6" w:space="0"/>
              <w:left w:val="single" w:color="auto" w:sz="6" w:space="0"/>
              <w:bottom w:val="single" w:color="auto" w:sz="12" w:space="0"/>
              <w:right w:val="single" w:color="auto" w:sz="12" w:space="0"/>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rPr>
              <w:t>200</w:t>
            </w:r>
            <w:r>
              <w:rPr>
                <w:rFonts w:hint="eastAsia" w:ascii="宋体" w:hAnsi="宋体"/>
                <w:szCs w:val="21"/>
                <w:lang w:val="en-US" w:eastAsia="zh-CN"/>
              </w:rPr>
              <w:t>1年左右</w:t>
            </w:r>
          </w:p>
        </w:tc>
      </w:tr>
    </w:tbl>
    <w:p>
      <w:pPr>
        <w:spacing w:line="360" w:lineRule="auto"/>
        <w:ind w:firstLine="482" w:firstLineChars="200"/>
        <w:rPr>
          <w:rFonts w:hint="eastAsia" w:ascii="宋体" w:hAnsi="宋体"/>
          <w:b/>
          <w:bCs/>
          <w:sz w:val="24"/>
          <w:szCs w:val="24"/>
        </w:rPr>
      </w:pPr>
    </w:p>
    <w:p>
      <w:pPr>
        <w:spacing w:line="360" w:lineRule="auto"/>
        <w:ind w:firstLine="482" w:firstLineChars="200"/>
        <w:rPr>
          <w:rFonts w:hint="eastAsia" w:ascii="宋体" w:hAnsi="宋体"/>
          <w:sz w:val="24"/>
          <w:szCs w:val="24"/>
        </w:rPr>
      </w:pPr>
      <w:r>
        <w:rPr>
          <w:rFonts w:hint="eastAsia" w:ascii="宋体" w:hAnsi="宋体"/>
          <w:b/>
          <w:bCs/>
          <w:sz w:val="24"/>
          <w:szCs w:val="24"/>
        </w:rPr>
        <w:t>价值时点：</w:t>
      </w:r>
      <w:r>
        <w:rPr>
          <w:rFonts w:hint="eastAsia" w:ascii="宋体" w:hAnsi="宋体"/>
          <w:sz w:val="24"/>
          <w:szCs w:val="24"/>
        </w:rPr>
        <w:t>2022年</w:t>
      </w:r>
      <w:r>
        <w:rPr>
          <w:rFonts w:hint="eastAsia" w:ascii="宋体" w:hAnsi="宋体"/>
          <w:sz w:val="24"/>
          <w:szCs w:val="24"/>
          <w:lang w:val="en-US" w:eastAsia="zh-CN"/>
        </w:rPr>
        <w:t>4</w:t>
      </w:r>
      <w:r>
        <w:rPr>
          <w:rFonts w:hint="eastAsia" w:ascii="宋体" w:hAnsi="宋体"/>
          <w:sz w:val="24"/>
          <w:szCs w:val="24"/>
        </w:rPr>
        <w:t>月1</w:t>
      </w:r>
      <w:r>
        <w:rPr>
          <w:rFonts w:hint="eastAsia" w:ascii="宋体" w:hAnsi="宋体"/>
          <w:sz w:val="24"/>
          <w:szCs w:val="24"/>
          <w:lang w:val="en-US" w:eastAsia="zh-CN"/>
        </w:rPr>
        <w:t>8</w:t>
      </w:r>
      <w:r>
        <w:rPr>
          <w:rFonts w:hint="eastAsia" w:ascii="宋体" w:hAnsi="宋体"/>
          <w:sz w:val="24"/>
          <w:szCs w:val="24"/>
        </w:rPr>
        <w:t>日</w:t>
      </w:r>
      <w:r>
        <w:rPr>
          <w:rFonts w:hint="eastAsia" w:ascii="宋体" w:hAnsi="宋体"/>
          <w:sz w:val="24"/>
          <w:szCs w:val="24"/>
          <w:lang w:eastAsia="zh-CN"/>
        </w:rPr>
        <w:t>（</w:t>
      </w:r>
      <w:r>
        <w:rPr>
          <w:rFonts w:hint="eastAsia" w:ascii="宋体" w:hAnsi="宋体"/>
          <w:sz w:val="24"/>
          <w:highlight w:val="none"/>
        </w:rPr>
        <w:t>现场查勘之日</w:t>
      </w:r>
      <w:r>
        <w:rPr>
          <w:rFonts w:hint="eastAsia" w:ascii="宋体" w:hAnsi="宋体"/>
          <w:sz w:val="24"/>
          <w:highlight w:val="none"/>
          <w:lang w:eastAsia="zh-CN"/>
        </w:rPr>
        <w:t>）</w:t>
      </w:r>
      <w:r>
        <w:rPr>
          <w:rFonts w:hint="eastAsia" w:ascii="宋体" w:hAnsi="宋体"/>
          <w:sz w:val="24"/>
          <w:szCs w:val="24"/>
          <w:highlight w:val="none"/>
        </w:rPr>
        <w:t>。</w:t>
      </w:r>
    </w:p>
    <w:p>
      <w:pPr>
        <w:spacing w:line="360" w:lineRule="auto"/>
        <w:ind w:firstLine="482" w:firstLineChars="200"/>
        <w:rPr>
          <w:rFonts w:hint="eastAsia" w:ascii="微软雅黑" w:hAnsi="微软雅黑" w:eastAsia="微软雅黑"/>
          <w:color w:val="333333"/>
          <w:spacing w:val="8"/>
          <w:sz w:val="26"/>
          <w:szCs w:val="26"/>
          <w:shd w:val="clear" w:color="auto" w:fill="FFFFFF"/>
        </w:rPr>
      </w:pPr>
      <w:r>
        <w:rPr>
          <w:rFonts w:hint="eastAsia" w:ascii="宋体" w:hAnsi="宋体"/>
          <w:b/>
          <w:bCs/>
          <w:sz w:val="24"/>
          <w:szCs w:val="24"/>
        </w:rPr>
        <w:t>价值类型：</w:t>
      </w:r>
      <w:r>
        <w:rPr>
          <w:rFonts w:hint="eastAsia" w:ascii="宋体" w:hAnsi="宋体"/>
          <w:bCs/>
          <w:sz w:val="24"/>
          <w:szCs w:val="24"/>
        </w:rPr>
        <w:t>本次估价确定的价格为市场价格，是指估价对象经适当营销后，由熟悉情况、谨慎行事且不受强迫的交易双方，以公平交易方式在价值时点自愿进行交易的金额</w:t>
      </w:r>
      <w:r>
        <w:rPr>
          <w:rFonts w:hint="eastAsia" w:ascii="宋体" w:hAnsi="宋体"/>
          <w:sz w:val="24"/>
          <w:szCs w:val="24"/>
        </w:rPr>
        <w:t>。</w:t>
      </w:r>
    </w:p>
    <w:p>
      <w:pPr>
        <w:spacing w:line="360" w:lineRule="auto"/>
        <w:ind w:firstLine="482" w:firstLineChars="200"/>
        <w:rPr>
          <w:rFonts w:hint="eastAsia" w:ascii="宋体" w:hAnsi="宋体"/>
          <w:b/>
          <w:bCs/>
          <w:sz w:val="24"/>
          <w:szCs w:val="24"/>
        </w:rPr>
      </w:pPr>
      <w:r>
        <w:rPr>
          <w:rFonts w:hint="eastAsia" w:ascii="宋体" w:hAnsi="宋体"/>
          <w:b/>
          <w:bCs/>
          <w:sz w:val="24"/>
          <w:szCs w:val="24"/>
        </w:rPr>
        <w:t>估价方法：</w:t>
      </w:r>
      <w:r>
        <w:rPr>
          <w:rFonts w:hint="eastAsia" w:ascii="宋体" w:hAnsi="宋体"/>
          <w:b w:val="0"/>
          <w:bCs w:val="0"/>
          <w:sz w:val="24"/>
          <w:szCs w:val="24"/>
          <w:lang w:val="en-US" w:eastAsia="zh-CN"/>
        </w:rPr>
        <w:t>市场</w:t>
      </w:r>
      <w:r>
        <w:rPr>
          <w:rFonts w:hint="eastAsia" w:ascii="宋体" w:hAnsi="宋体"/>
          <w:sz w:val="24"/>
          <w:szCs w:val="24"/>
        </w:rPr>
        <w:t>法。</w:t>
      </w:r>
    </w:p>
    <w:p>
      <w:pPr>
        <w:tabs>
          <w:tab w:val="left" w:pos="8104"/>
        </w:tabs>
        <w:spacing w:line="360" w:lineRule="auto"/>
        <w:ind w:firstLine="482" w:firstLineChars="200"/>
        <w:rPr>
          <w:rFonts w:hint="eastAsia" w:ascii="宋体" w:hAnsi="宋体"/>
          <w:b/>
          <w:bCs/>
          <w:sz w:val="24"/>
          <w:szCs w:val="24"/>
        </w:rPr>
      </w:pPr>
    </w:p>
    <w:p>
      <w:pPr>
        <w:pageBreakBefore/>
        <w:tabs>
          <w:tab w:val="left" w:pos="8104"/>
        </w:tabs>
        <w:spacing w:line="360" w:lineRule="auto"/>
        <w:ind w:firstLine="482" w:firstLineChars="200"/>
        <w:rPr>
          <w:rFonts w:hint="eastAsia" w:ascii="宋体" w:hAnsi="宋体"/>
          <w:b/>
          <w:sz w:val="24"/>
          <w:szCs w:val="24"/>
        </w:rPr>
      </w:pPr>
      <w:r>
        <w:rPr>
          <w:rFonts w:hint="eastAsia" w:ascii="宋体" w:hAnsi="宋体"/>
          <w:b/>
          <w:bCs/>
          <w:sz w:val="24"/>
          <w:szCs w:val="24"/>
        </w:rPr>
        <w:t>估价结果：</w:t>
      </w:r>
      <w:r>
        <w:rPr>
          <w:rFonts w:hint="eastAsia" w:ascii="宋体" w:hAnsi="宋体"/>
          <w:sz w:val="24"/>
          <w:szCs w:val="24"/>
        </w:rPr>
        <w:t>注册房地产估价师根据估价目的，遵循估价原则，按照估价程序，选用</w:t>
      </w:r>
      <w:r>
        <w:rPr>
          <w:rFonts w:hint="eastAsia" w:ascii="宋体" w:hAnsi="宋体"/>
          <w:sz w:val="24"/>
          <w:szCs w:val="24"/>
          <w:lang w:eastAsia="zh-CN"/>
        </w:rPr>
        <w:t>市场法</w:t>
      </w:r>
      <w:r>
        <w:rPr>
          <w:rFonts w:hint="eastAsia" w:ascii="宋体" w:hAnsi="宋体"/>
          <w:sz w:val="24"/>
          <w:szCs w:val="24"/>
        </w:rPr>
        <w:t>进行了分析、测算和判断，在认真分析所掌握资料与影响估价对象价格诸因</w:t>
      </w:r>
      <w:r>
        <w:rPr>
          <w:rFonts w:hint="eastAsia" w:ascii="宋体" w:hAnsi="宋体"/>
          <w:b w:val="0"/>
          <w:bCs w:val="0"/>
          <w:sz w:val="24"/>
          <w:szCs w:val="24"/>
          <w:highlight w:val="none"/>
        </w:rPr>
        <w:t>素的基础上，最终确定在满足本估价报告中“估价假设与限制条件”的前提下，估价对象</w:t>
      </w:r>
      <w:r>
        <w:rPr>
          <w:rFonts w:hint="eastAsia" w:ascii="宋体" w:hAnsi="宋体"/>
          <w:b w:val="0"/>
          <w:bCs w:val="0"/>
          <w:sz w:val="24"/>
          <w:highlight w:val="none"/>
          <w:lang w:val="en-US" w:eastAsia="zh-CN"/>
        </w:rPr>
        <w:t>徐志扬（身份证号：370728195905230216）名下</w:t>
      </w:r>
      <w:r>
        <w:rPr>
          <w:rFonts w:hint="eastAsia" w:ascii="宋体" w:hAnsi="宋体"/>
          <w:b w:val="0"/>
          <w:bCs w:val="0"/>
          <w:sz w:val="24"/>
          <w:highlight w:val="none"/>
        </w:rPr>
        <w:t>所有的位</w:t>
      </w:r>
      <w:r>
        <w:rPr>
          <w:rFonts w:hint="eastAsia" w:ascii="宋体" w:hAnsi="宋体" w:eastAsia="宋体" w:cs="Times New Roman"/>
          <w:b w:val="0"/>
          <w:bCs w:val="0"/>
          <w:sz w:val="24"/>
          <w:highlight w:val="none"/>
          <w:lang w:val="en-US" w:eastAsia="zh-CN"/>
        </w:rPr>
        <w:t>于</w:t>
      </w:r>
      <w:r>
        <w:rPr>
          <w:rFonts w:hint="eastAsia" w:ascii="宋体" w:hAnsi="宋体" w:cs="Times New Roman"/>
          <w:b w:val="0"/>
          <w:bCs w:val="0"/>
          <w:sz w:val="24"/>
          <w:highlight w:val="none"/>
          <w:lang w:val="en-US" w:eastAsia="zh-CN"/>
        </w:rPr>
        <w:t>诸城市纺织街288号9号楼1单元302户房产及附房</w:t>
      </w:r>
      <w:r>
        <w:rPr>
          <w:rFonts w:hint="eastAsia" w:ascii="宋体" w:hAnsi="宋体"/>
          <w:b w:val="0"/>
          <w:bCs w:val="0"/>
          <w:sz w:val="24"/>
          <w:szCs w:val="24"/>
          <w:highlight w:val="none"/>
        </w:rPr>
        <w:t>在2022年</w:t>
      </w:r>
      <w:r>
        <w:rPr>
          <w:rFonts w:hint="eastAsia" w:ascii="宋体" w:hAnsi="宋体"/>
          <w:b w:val="0"/>
          <w:bCs w:val="0"/>
          <w:sz w:val="24"/>
          <w:szCs w:val="24"/>
          <w:highlight w:val="none"/>
          <w:lang w:val="en-US" w:eastAsia="zh-CN"/>
        </w:rPr>
        <w:t>4</w:t>
      </w:r>
      <w:r>
        <w:rPr>
          <w:rFonts w:hint="eastAsia" w:ascii="宋体" w:hAnsi="宋体"/>
          <w:b w:val="0"/>
          <w:bCs w:val="0"/>
          <w:sz w:val="24"/>
          <w:szCs w:val="24"/>
          <w:highlight w:val="none"/>
        </w:rPr>
        <w:t>月1</w:t>
      </w:r>
      <w:r>
        <w:rPr>
          <w:rFonts w:hint="eastAsia" w:ascii="宋体" w:hAnsi="宋体"/>
          <w:b w:val="0"/>
          <w:bCs w:val="0"/>
          <w:sz w:val="24"/>
          <w:szCs w:val="24"/>
          <w:highlight w:val="none"/>
          <w:lang w:val="en-US" w:eastAsia="zh-CN"/>
        </w:rPr>
        <w:t>8</w:t>
      </w:r>
      <w:r>
        <w:rPr>
          <w:rFonts w:hint="eastAsia" w:ascii="宋体" w:hAnsi="宋体"/>
          <w:b w:val="0"/>
          <w:bCs w:val="0"/>
          <w:sz w:val="24"/>
          <w:szCs w:val="24"/>
          <w:highlight w:val="none"/>
        </w:rPr>
        <w:t>日市场价格为：</w:t>
      </w:r>
    </w:p>
    <w:p>
      <w:pPr>
        <w:tabs>
          <w:tab w:val="left" w:pos="8104"/>
        </w:tabs>
        <w:spacing w:line="360" w:lineRule="auto"/>
        <w:ind w:firstLine="482" w:firstLineChars="200"/>
        <w:rPr>
          <w:rFonts w:hint="eastAsia" w:ascii="宋体" w:hAnsi="宋体"/>
          <w:b/>
          <w:sz w:val="24"/>
          <w:szCs w:val="24"/>
        </w:rPr>
      </w:pPr>
      <w:r>
        <w:rPr>
          <w:rFonts w:hint="eastAsia" w:ascii="宋体" w:hAnsi="宋体"/>
          <w:b/>
          <w:sz w:val="24"/>
          <w:szCs w:val="24"/>
        </w:rPr>
        <w:t>人民币</w:t>
      </w:r>
      <w:r>
        <w:rPr>
          <w:rFonts w:hint="eastAsia" w:ascii="宋体" w:hAnsi="宋体"/>
          <w:b/>
          <w:sz w:val="24"/>
          <w:szCs w:val="24"/>
          <w:lang w:eastAsia="zh-CN"/>
        </w:rPr>
        <w:t>：</w:t>
      </w:r>
      <w:r>
        <w:rPr>
          <w:rFonts w:hint="eastAsia" w:ascii="宋体" w:hAnsi="宋体" w:cs="宋体"/>
          <w:b/>
          <w:bCs/>
          <w:kern w:val="0"/>
          <w:sz w:val="24"/>
          <w:szCs w:val="24"/>
          <w:lang w:val="en-US" w:eastAsia="zh-CN"/>
        </w:rPr>
        <w:t>402952</w:t>
      </w:r>
      <w:r>
        <w:rPr>
          <w:rFonts w:hint="eastAsia" w:ascii="宋体" w:hAnsi="宋体"/>
          <w:b/>
          <w:sz w:val="24"/>
          <w:szCs w:val="24"/>
        </w:rPr>
        <w:t>元</w:t>
      </w:r>
    </w:p>
    <w:p>
      <w:pPr>
        <w:tabs>
          <w:tab w:val="left" w:pos="8104"/>
        </w:tabs>
        <w:spacing w:line="360" w:lineRule="auto"/>
        <w:ind w:firstLine="482" w:firstLineChars="200"/>
        <w:rPr>
          <w:rFonts w:hint="eastAsia" w:ascii="宋体" w:hAnsi="宋体"/>
          <w:b/>
          <w:sz w:val="24"/>
          <w:szCs w:val="24"/>
        </w:rPr>
      </w:pPr>
      <w:r>
        <w:rPr>
          <w:rFonts w:hint="eastAsia" w:ascii="宋体" w:hAnsi="宋体"/>
          <w:b/>
          <w:sz w:val="24"/>
          <w:szCs w:val="24"/>
        </w:rPr>
        <w:t>大写：</w:t>
      </w:r>
      <w:r>
        <w:rPr>
          <w:rFonts w:hint="eastAsia"/>
          <w:b/>
          <w:bCs w:val="0"/>
          <w:sz w:val="24"/>
          <w:highlight w:val="none"/>
        </w:rPr>
        <w:t>人民币</w:t>
      </w:r>
      <w:r>
        <w:rPr>
          <w:rFonts w:hint="eastAsia"/>
          <w:b/>
          <w:bCs w:val="0"/>
          <w:sz w:val="24"/>
          <w:highlight w:val="none"/>
          <w:lang w:val="en-US" w:eastAsia="zh-CN"/>
        </w:rPr>
        <w:t>肆拾万贰仟玖佰伍拾贰</w:t>
      </w:r>
      <w:r>
        <w:rPr>
          <w:rFonts w:hint="eastAsia"/>
          <w:b/>
          <w:bCs w:val="0"/>
          <w:sz w:val="24"/>
          <w:highlight w:val="none"/>
        </w:rPr>
        <w:t>元整</w:t>
      </w:r>
      <w:r>
        <w:rPr>
          <w:rFonts w:hint="eastAsia"/>
          <w:b/>
          <w:bCs w:val="0"/>
          <w:sz w:val="24"/>
          <w:lang w:eastAsia="zh-CN"/>
        </w:rPr>
        <w:t>（</w:t>
      </w:r>
      <w:r>
        <w:rPr>
          <w:rFonts w:hint="eastAsia"/>
          <w:b/>
          <w:bCs w:val="0"/>
          <w:sz w:val="24"/>
          <w:lang w:val="en-US" w:eastAsia="zh-CN"/>
        </w:rPr>
        <w:t>该评估价值已包含附房价值</w:t>
      </w:r>
      <w:r>
        <w:rPr>
          <w:rFonts w:hint="eastAsia"/>
          <w:b/>
          <w:bCs w:val="0"/>
          <w:sz w:val="24"/>
          <w:lang w:eastAsia="zh-CN"/>
        </w:rPr>
        <w:t>）</w:t>
      </w:r>
    </w:p>
    <w:p>
      <w:pPr>
        <w:tabs>
          <w:tab w:val="left" w:pos="8104"/>
        </w:tabs>
        <w:spacing w:line="360" w:lineRule="auto"/>
        <w:ind w:firstLine="482" w:firstLineChars="200"/>
        <w:rPr>
          <w:rFonts w:hint="eastAsia" w:ascii="宋体" w:hAnsi="宋体"/>
          <w:sz w:val="24"/>
          <w:szCs w:val="24"/>
        </w:rPr>
      </w:pPr>
      <w:r>
        <w:rPr>
          <w:rFonts w:hint="eastAsia" w:ascii="宋体" w:hAnsi="宋体"/>
          <w:b/>
          <w:sz w:val="24"/>
          <w:szCs w:val="24"/>
        </w:rPr>
        <w:t>建筑面积单价为</w:t>
      </w:r>
      <w:r>
        <w:rPr>
          <w:rFonts w:hint="eastAsia" w:ascii="宋体" w:hAnsi="宋体"/>
          <w:b/>
          <w:sz w:val="24"/>
          <w:szCs w:val="24"/>
          <w:lang w:val="en-US" w:eastAsia="zh-CN"/>
        </w:rPr>
        <w:t>5180</w:t>
      </w:r>
      <w:r>
        <w:rPr>
          <w:rFonts w:hint="eastAsia" w:ascii="宋体" w:hAnsi="宋体"/>
          <w:b/>
          <w:sz w:val="24"/>
          <w:szCs w:val="24"/>
        </w:rPr>
        <w:t>元/平方米。</w:t>
      </w:r>
    </w:p>
    <w:p>
      <w:pPr>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b/>
          <w:sz w:val="28"/>
          <w:szCs w:val="28"/>
        </w:rPr>
      </w:pPr>
      <w:r>
        <w:rPr>
          <w:rFonts w:hint="eastAsia" w:ascii="宋体" w:hAnsi="宋体"/>
          <w:b/>
          <w:sz w:val="28"/>
          <w:szCs w:val="28"/>
        </w:rPr>
        <w:t>特别提示：</w:t>
      </w:r>
    </w:p>
    <w:p>
      <w:pPr>
        <w:spacing w:line="360" w:lineRule="auto"/>
        <w:ind w:firstLine="480" w:firstLineChars="200"/>
        <w:rPr>
          <w:rFonts w:hint="eastAsia" w:ascii="宋体" w:hAnsi="宋体"/>
          <w:sz w:val="28"/>
          <w:szCs w:val="28"/>
        </w:rPr>
      </w:pPr>
      <w:r>
        <w:rPr>
          <w:rFonts w:hint="eastAsia"/>
          <w:sz w:val="24"/>
          <w:szCs w:val="24"/>
        </w:rPr>
        <w:t>报告使用人在使用本报告之前须对报告全文，特别是“估价假设和限制条件”认真阅读，以免使用不当而造成不必要的损失。</w:t>
      </w:r>
    </w:p>
    <w:p>
      <w:pPr>
        <w:spacing w:line="360" w:lineRule="auto"/>
        <w:ind w:firstLine="560" w:firstLineChars="200"/>
        <w:rPr>
          <w:rFonts w:ascii="宋体" w:hAnsi="宋体"/>
          <w:sz w:val="28"/>
          <w:szCs w:val="28"/>
        </w:rPr>
      </w:pPr>
    </w:p>
    <w:p>
      <w:pPr>
        <w:spacing w:line="360" w:lineRule="auto"/>
        <w:jc w:val="right"/>
        <w:rPr>
          <w:rFonts w:ascii="宋体" w:hAnsi="宋体"/>
          <w:sz w:val="30"/>
          <w:szCs w:val="28"/>
          <w:highlight w:val="red"/>
        </w:rPr>
      </w:pPr>
    </w:p>
    <w:p>
      <w:pPr>
        <w:spacing w:line="360" w:lineRule="auto"/>
        <w:jc w:val="center"/>
        <w:rPr>
          <w:rFonts w:ascii="宋体" w:hAnsi="宋体"/>
          <w:sz w:val="28"/>
          <w:szCs w:val="24"/>
        </w:rPr>
      </w:pPr>
      <w:r>
        <w:rPr>
          <w:rFonts w:hint="eastAsia" w:ascii="宋体" w:hAnsi="宋体"/>
          <w:sz w:val="24"/>
          <w:szCs w:val="22"/>
          <w:lang w:val="en-US" w:eastAsia="zh-CN"/>
        </w:rPr>
        <w:t xml:space="preserve">                               </w:t>
      </w:r>
      <w:r>
        <w:rPr>
          <w:rFonts w:hint="eastAsia" w:ascii="宋体" w:hAnsi="宋体"/>
          <w:sz w:val="28"/>
          <w:szCs w:val="24"/>
          <w:lang w:val="en-US" w:eastAsia="zh-CN"/>
        </w:rPr>
        <w:t xml:space="preserve"> </w:t>
      </w:r>
      <w:r>
        <w:rPr>
          <w:rFonts w:hint="eastAsia" w:ascii="宋体" w:hAnsi="宋体"/>
          <w:sz w:val="28"/>
          <w:szCs w:val="24"/>
        </w:rPr>
        <w:t>山东鲁业房地产土地评估有限公司</w:t>
      </w:r>
    </w:p>
    <w:p>
      <w:pPr>
        <w:spacing w:line="360" w:lineRule="auto"/>
        <w:ind w:left="-9" w:firstLine="435"/>
        <w:jc w:val="center"/>
        <w:rPr>
          <w:rFonts w:asciiTheme="minorEastAsia" w:hAnsiTheme="minorEastAsia" w:eastAsiaTheme="minorEastAsia"/>
          <w:bCs/>
          <w:sz w:val="24"/>
        </w:rPr>
      </w:pPr>
      <w:r>
        <w:rPr>
          <w:rFonts w:hint="eastAsia" w:ascii="宋体" w:hAnsi="宋体"/>
          <w:sz w:val="28"/>
          <w:szCs w:val="24"/>
        </w:rPr>
        <w:t xml:space="preserve">          </w:t>
      </w:r>
      <w:r>
        <w:rPr>
          <w:rFonts w:hint="eastAsia" w:ascii="宋体" w:hAnsi="宋体"/>
          <w:sz w:val="28"/>
          <w:szCs w:val="24"/>
          <w:lang w:val="en-US" w:eastAsia="zh-CN"/>
        </w:rPr>
        <w:t xml:space="preserve">                 </w:t>
      </w:r>
      <w:r>
        <w:rPr>
          <w:rFonts w:hint="eastAsia" w:ascii="宋体" w:hAnsi="宋体"/>
          <w:sz w:val="28"/>
          <w:szCs w:val="24"/>
        </w:rPr>
        <w:t>二〇二二年四月二十八日</w:t>
      </w:r>
      <w:r>
        <w:rPr>
          <w:rFonts w:ascii="宋体" w:hAnsi="宋体"/>
          <w:sz w:val="24"/>
          <w:szCs w:val="24"/>
        </w:rPr>
        <w:br w:type="page"/>
      </w:r>
      <w:r>
        <w:rPr>
          <w:rFonts w:hint="eastAsia" w:ascii="宋体" w:hAnsi="宋体"/>
          <w:b/>
          <w:bCs/>
          <w:sz w:val="48"/>
          <w:szCs w:val="22"/>
        </w:rPr>
        <w:t>目  录</w:t>
      </w:r>
    </w:p>
    <w:p>
      <w:pPr>
        <w:pStyle w:val="26"/>
        <w:tabs>
          <w:tab w:val="right" w:leader="dot" w:pos="8965"/>
        </w:tabs>
        <w:spacing w:line="360" w:lineRule="auto"/>
        <w:rPr>
          <w:rFonts w:asciiTheme="minorHAnsi" w:hAnsiTheme="minorHAnsi" w:eastAsiaTheme="minorEastAsia" w:cstheme="minorBidi"/>
          <w:b w:val="0"/>
          <w:bCs w:val="0"/>
          <w:caps w:val="0"/>
          <w:sz w:val="24"/>
          <w:szCs w:val="24"/>
        </w:rPr>
      </w:pPr>
      <w:r>
        <w:rPr>
          <w:rFonts w:hint="eastAsia" w:asciiTheme="minorEastAsia" w:hAnsiTheme="minorEastAsia" w:eastAsiaTheme="minorEastAsia"/>
          <w:b w:val="0"/>
          <w:bCs w:val="0"/>
          <w:sz w:val="24"/>
          <w:szCs w:val="24"/>
        </w:rPr>
        <w:fldChar w:fldCharType="begin"/>
      </w:r>
      <w:r>
        <w:rPr>
          <w:rFonts w:hint="eastAsia" w:asciiTheme="minorEastAsia" w:hAnsiTheme="minorEastAsia" w:eastAsiaTheme="minorEastAsia"/>
          <w:b w:val="0"/>
          <w:bCs w:val="0"/>
          <w:sz w:val="24"/>
          <w:szCs w:val="24"/>
        </w:rPr>
        <w:instrText xml:space="preserve">TOC \o "1-1" \h \u </w:instrText>
      </w:r>
      <w:r>
        <w:rPr>
          <w:rFonts w:hint="eastAsia" w:asciiTheme="minorEastAsia" w:hAnsiTheme="minorEastAsia" w:eastAsiaTheme="minorEastAsia"/>
          <w:b w:val="0"/>
          <w:bCs w:val="0"/>
          <w:sz w:val="24"/>
          <w:szCs w:val="24"/>
        </w:rPr>
        <w:fldChar w:fldCharType="separate"/>
      </w:r>
      <w:r>
        <w:fldChar w:fldCharType="begin"/>
      </w:r>
      <w:r>
        <w:instrText xml:space="preserve"> HYPERLINK \l "_Toc52372800" </w:instrText>
      </w:r>
      <w:r>
        <w:fldChar w:fldCharType="separate"/>
      </w:r>
      <w:r>
        <w:rPr>
          <w:rStyle w:val="49"/>
          <w:rFonts w:hint="eastAsia" w:ascii="宋体" w:hAnsi="宋体"/>
          <w:b w:val="0"/>
          <w:sz w:val="24"/>
          <w:szCs w:val="24"/>
        </w:rPr>
        <w:t>估价师声明</w:t>
      </w:r>
      <w:r>
        <w:rPr>
          <w:b w:val="0"/>
          <w:sz w:val="24"/>
          <w:szCs w:val="24"/>
        </w:rPr>
        <w:tab/>
      </w:r>
      <w:r>
        <w:rPr>
          <w:b w:val="0"/>
          <w:sz w:val="24"/>
          <w:szCs w:val="24"/>
        </w:rPr>
        <w:fldChar w:fldCharType="begin"/>
      </w:r>
      <w:r>
        <w:rPr>
          <w:b w:val="0"/>
          <w:sz w:val="24"/>
          <w:szCs w:val="24"/>
        </w:rPr>
        <w:instrText xml:space="preserve"> PAGEREF _Toc52372800 \h </w:instrText>
      </w:r>
      <w:r>
        <w:rPr>
          <w:b w:val="0"/>
          <w:sz w:val="24"/>
          <w:szCs w:val="24"/>
        </w:rPr>
        <w:fldChar w:fldCharType="separate"/>
      </w:r>
      <w:r>
        <w:rPr>
          <w:b w:val="0"/>
          <w:sz w:val="24"/>
          <w:szCs w:val="24"/>
        </w:rPr>
        <w:t>1</w:t>
      </w:r>
      <w:r>
        <w:rPr>
          <w:b w:val="0"/>
          <w:sz w:val="24"/>
          <w:szCs w:val="24"/>
        </w:rPr>
        <w:fldChar w:fldCharType="end"/>
      </w:r>
      <w:r>
        <w:fldChar w:fldCharType="end"/>
      </w:r>
    </w:p>
    <w:p>
      <w:pPr>
        <w:pStyle w:val="26"/>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"_Toc52372801" </w:instrText>
      </w:r>
      <w:r>
        <w:fldChar w:fldCharType="separate"/>
      </w:r>
      <w:r>
        <w:rPr>
          <w:rStyle w:val="49"/>
          <w:rFonts w:hint="eastAsia" w:ascii="宋体" w:hAnsi="宋体"/>
          <w:b w:val="0"/>
          <w:sz w:val="24"/>
          <w:szCs w:val="24"/>
        </w:rPr>
        <w:t>估价假设和限制条件</w:t>
      </w:r>
      <w:r>
        <w:rPr>
          <w:b w:val="0"/>
          <w:sz w:val="24"/>
          <w:szCs w:val="24"/>
        </w:rPr>
        <w:tab/>
      </w:r>
      <w:r>
        <w:rPr>
          <w:b w:val="0"/>
          <w:sz w:val="24"/>
          <w:szCs w:val="24"/>
        </w:rPr>
        <w:fldChar w:fldCharType="begin"/>
      </w:r>
      <w:r>
        <w:rPr>
          <w:b w:val="0"/>
          <w:sz w:val="24"/>
          <w:szCs w:val="24"/>
        </w:rPr>
        <w:instrText xml:space="preserve"> PAGEREF _Toc52372801 \h </w:instrText>
      </w:r>
      <w:r>
        <w:rPr>
          <w:b w:val="0"/>
          <w:sz w:val="24"/>
          <w:szCs w:val="24"/>
        </w:rPr>
        <w:fldChar w:fldCharType="separate"/>
      </w:r>
      <w:r>
        <w:rPr>
          <w:b w:val="0"/>
          <w:sz w:val="24"/>
          <w:szCs w:val="24"/>
        </w:rPr>
        <w:t>2</w:t>
      </w:r>
      <w:r>
        <w:rPr>
          <w:b w:val="0"/>
          <w:sz w:val="24"/>
          <w:szCs w:val="24"/>
        </w:rPr>
        <w:fldChar w:fldCharType="end"/>
      </w:r>
      <w:r>
        <w:fldChar w:fldCharType="end"/>
      </w:r>
    </w:p>
    <w:p>
      <w:pPr>
        <w:pStyle w:val="26"/>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"_Toc52372802" </w:instrText>
      </w:r>
      <w:r>
        <w:fldChar w:fldCharType="separate"/>
      </w:r>
      <w:r>
        <w:rPr>
          <w:rStyle w:val="49"/>
          <w:rFonts w:hint="eastAsia" w:ascii="宋体" w:hAnsi="宋体"/>
          <w:b w:val="0"/>
          <w:sz w:val="24"/>
          <w:szCs w:val="24"/>
        </w:rPr>
        <w:t>估价结果报告</w:t>
      </w:r>
      <w:r>
        <w:rPr>
          <w:b w:val="0"/>
          <w:sz w:val="24"/>
          <w:szCs w:val="24"/>
        </w:rPr>
        <w:tab/>
      </w:r>
      <w:r>
        <w:rPr>
          <w:b w:val="0"/>
          <w:sz w:val="24"/>
          <w:szCs w:val="24"/>
        </w:rPr>
        <w:fldChar w:fldCharType="begin"/>
      </w:r>
      <w:r>
        <w:rPr>
          <w:b w:val="0"/>
          <w:sz w:val="24"/>
          <w:szCs w:val="24"/>
        </w:rPr>
        <w:instrText xml:space="preserve"> PAGEREF _Toc52372802 \h </w:instrText>
      </w:r>
      <w:r>
        <w:rPr>
          <w:b w:val="0"/>
          <w:sz w:val="24"/>
          <w:szCs w:val="24"/>
        </w:rPr>
        <w:fldChar w:fldCharType="separate"/>
      </w:r>
      <w:r>
        <w:rPr>
          <w:b w:val="0"/>
          <w:sz w:val="24"/>
          <w:szCs w:val="24"/>
        </w:rPr>
        <w:t>4</w:t>
      </w:r>
      <w:r>
        <w:rPr>
          <w:b w:val="0"/>
          <w:sz w:val="24"/>
          <w:szCs w:val="24"/>
        </w:rPr>
        <w:fldChar w:fldCharType="end"/>
      </w:r>
      <w:r>
        <w:fldChar w:fldCharType="end"/>
      </w:r>
    </w:p>
    <w:p>
      <w:pPr>
        <w:pStyle w:val="26"/>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"_Toc52372803" </w:instrText>
      </w:r>
      <w:r>
        <w:fldChar w:fldCharType="separate"/>
      </w:r>
      <w:r>
        <w:rPr>
          <w:rStyle w:val="49"/>
          <w:rFonts w:hint="eastAsia" w:asciiTheme="minorEastAsia" w:hAnsiTheme="minorEastAsia"/>
          <w:b w:val="0"/>
          <w:sz w:val="24"/>
          <w:szCs w:val="24"/>
        </w:rPr>
        <w:t>一、估价委托人</w:t>
      </w:r>
      <w:r>
        <w:rPr>
          <w:b w:val="0"/>
          <w:sz w:val="24"/>
          <w:szCs w:val="24"/>
        </w:rPr>
        <w:tab/>
      </w:r>
      <w:r>
        <w:rPr>
          <w:b w:val="0"/>
          <w:sz w:val="24"/>
          <w:szCs w:val="24"/>
        </w:rPr>
        <w:fldChar w:fldCharType="begin"/>
      </w:r>
      <w:r>
        <w:rPr>
          <w:b w:val="0"/>
          <w:sz w:val="24"/>
          <w:szCs w:val="24"/>
        </w:rPr>
        <w:instrText xml:space="preserve"> PAGEREF _Toc52372803 \h </w:instrText>
      </w:r>
      <w:r>
        <w:rPr>
          <w:b w:val="0"/>
          <w:sz w:val="24"/>
          <w:szCs w:val="24"/>
        </w:rPr>
        <w:fldChar w:fldCharType="separate"/>
      </w:r>
      <w:r>
        <w:rPr>
          <w:b w:val="0"/>
          <w:sz w:val="24"/>
          <w:szCs w:val="24"/>
        </w:rPr>
        <w:t>4</w:t>
      </w:r>
      <w:r>
        <w:rPr>
          <w:b w:val="0"/>
          <w:sz w:val="24"/>
          <w:szCs w:val="24"/>
        </w:rPr>
        <w:fldChar w:fldCharType="end"/>
      </w:r>
      <w:r>
        <w:fldChar w:fldCharType="end"/>
      </w:r>
    </w:p>
    <w:p>
      <w:pPr>
        <w:pStyle w:val="26"/>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"_Toc52372804" </w:instrText>
      </w:r>
      <w:r>
        <w:fldChar w:fldCharType="separate"/>
      </w:r>
      <w:r>
        <w:rPr>
          <w:rStyle w:val="49"/>
          <w:rFonts w:hint="eastAsia" w:asciiTheme="minorEastAsia" w:hAnsiTheme="minorEastAsia"/>
          <w:b w:val="0"/>
          <w:sz w:val="24"/>
          <w:szCs w:val="24"/>
        </w:rPr>
        <w:t>二、房地产估价机构</w:t>
      </w:r>
      <w:r>
        <w:rPr>
          <w:b w:val="0"/>
          <w:sz w:val="24"/>
          <w:szCs w:val="24"/>
        </w:rPr>
        <w:tab/>
      </w:r>
      <w:r>
        <w:rPr>
          <w:b w:val="0"/>
          <w:sz w:val="24"/>
          <w:szCs w:val="24"/>
        </w:rPr>
        <w:fldChar w:fldCharType="begin"/>
      </w:r>
      <w:r>
        <w:rPr>
          <w:b w:val="0"/>
          <w:sz w:val="24"/>
          <w:szCs w:val="24"/>
        </w:rPr>
        <w:instrText xml:space="preserve"> PAGEREF _Toc52372804 \h </w:instrText>
      </w:r>
      <w:r>
        <w:rPr>
          <w:b w:val="0"/>
          <w:sz w:val="24"/>
          <w:szCs w:val="24"/>
        </w:rPr>
        <w:fldChar w:fldCharType="separate"/>
      </w:r>
      <w:r>
        <w:rPr>
          <w:b w:val="0"/>
          <w:sz w:val="24"/>
          <w:szCs w:val="24"/>
        </w:rPr>
        <w:t>4</w:t>
      </w:r>
      <w:r>
        <w:rPr>
          <w:b w:val="0"/>
          <w:sz w:val="24"/>
          <w:szCs w:val="24"/>
        </w:rPr>
        <w:fldChar w:fldCharType="end"/>
      </w:r>
      <w:r>
        <w:fldChar w:fldCharType="end"/>
      </w:r>
    </w:p>
    <w:p>
      <w:pPr>
        <w:pStyle w:val="26"/>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"_Toc52372805" </w:instrText>
      </w:r>
      <w:r>
        <w:fldChar w:fldCharType="separate"/>
      </w:r>
      <w:r>
        <w:rPr>
          <w:rStyle w:val="49"/>
          <w:rFonts w:hint="eastAsia" w:asciiTheme="minorEastAsia" w:hAnsiTheme="minorEastAsia"/>
          <w:b w:val="0"/>
          <w:sz w:val="24"/>
          <w:szCs w:val="24"/>
        </w:rPr>
        <w:t>三、 估价对象</w:t>
      </w:r>
      <w:r>
        <w:rPr>
          <w:b w:val="0"/>
          <w:sz w:val="24"/>
          <w:szCs w:val="24"/>
        </w:rPr>
        <w:tab/>
      </w:r>
      <w:r>
        <w:rPr>
          <w:b w:val="0"/>
          <w:sz w:val="24"/>
          <w:szCs w:val="24"/>
        </w:rPr>
        <w:fldChar w:fldCharType="begin"/>
      </w:r>
      <w:r>
        <w:rPr>
          <w:b w:val="0"/>
          <w:sz w:val="24"/>
          <w:szCs w:val="24"/>
        </w:rPr>
        <w:instrText xml:space="preserve"> PAGEREF _Toc52372805 \h </w:instrText>
      </w:r>
      <w:r>
        <w:rPr>
          <w:b w:val="0"/>
          <w:sz w:val="24"/>
          <w:szCs w:val="24"/>
        </w:rPr>
        <w:fldChar w:fldCharType="separate"/>
      </w:r>
      <w:r>
        <w:rPr>
          <w:b w:val="0"/>
          <w:sz w:val="24"/>
          <w:szCs w:val="24"/>
        </w:rPr>
        <w:t>4</w:t>
      </w:r>
      <w:r>
        <w:rPr>
          <w:b w:val="0"/>
          <w:sz w:val="24"/>
          <w:szCs w:val="24"/>
        </w:rPr>
        <w:fldChar w:fldCharType="end"/>
      </w:r>
      <w:r>
        <w:fldChar w:fldCharType="end"/>
      </w:r>
    </w:p>
    <w:p>
      <w:pPr>
        <w:pStyle w:val="26"/>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"_Toc52372806" </w:instrText>
      </w:r>
      <w:r>
        <w:fldChar w:fldCharType="separate"/>
      </w:r>
      <w:r>
        <w:rPr>
          <w:rStyle w:val="49"/>
          <w:rFonts w:hint="eastAsia" w:asciiTheme="minorEastAsia" w:hAnsiTheme="minorEastAsia"/>
          <w:b w:val="0"/>
          <w:sz w:val="24"/>
          <w:szCs w:val="24"/>
        </w:rPr>
        <w:t>四、估价目的</w:t>
      </w:r>
      <w:r>
        <w:rPr>
          <w:b w:val="0"/>
          <w:sz w:val="24"/>
          <w:szCs w:val="24"/>
        </w:rPr>
        <w:tab/>
      </w:r>
      <w:r>
        <w:rPr>
          <w:b w:val="0"/>
          <w:sz w:val="24"/>
          <w:szCs w:val="24"/>
        </w:rPr>
        <w:fldChar w:fldCharType="begin"/>
      </w:r>
      <w:r>
        <w:rPr>
          <w:b w:val="0"/>
          <w:sz w:val="24"/>
          <w:szCs w:val="24"/>
        </w:rPr>
        <w:instrText xml:space="preserve"> PAGEREF _Toc52372806 \h </w:instrText>
      </w:r>
      <w:r>
        <w:rPr>
          <w:b w:val="0"/>
          <w:sz w:val="24"/>
          <w:szCs w:val="24"/>
        </w:rPr>
        <w:fldChar w:fldCharType="separate"/>
      </w:r>
      <w:r>
        <w:rPr>
          <w:b w:val="0"/>
          <w:sz w:val="24"/>
          <w:szCs w:val="24"/>
        </w:rPr>
        <w:t>5</w:t>
      </w:r>
      <w:r>
        <w:rPr>
          <w:b w:val="0"/>
          <w:sz w:val="24"/>
          <w:szCs w:val="24"/>
        </w:rPr>
        <w:fldChar w:fldCharType="end"/>
      </w:r>
      <w:r>
        <w:fldChar w:fldCharType="end"/>
      </w:r>
    </w:p>
    <w:p>
      <w:pPr>
        <w:pStyle w:val="26"/>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"_Toc52372807" </w:instrText>
      </w:r>
      <w:r>
        <w:fldChar w:fldCharType="separate"/>
      </w:r>
      <w:r>
        <w:rPr>
          <w:rStyle w:val="49"/>
          <w:rFonts w:hint="eastAsia" w:asciiTheme="minorEastAsia" w:hAnsiTheme="minorEastAsia"/>
          <w:b w:val="0"/>
          <w:sz w:val="24"/>
          <w:szCs w:val="24"/>
        </w:rPr>
        <w:t>五、价值时点</w:t>
      </w:r>
      <w:r>
        <w:rPr>
          <w:b w:val="0"/>
          <w:sz w:val="24"/>
          <w:szCs w:val="24"/>
        </w:rPr>
        <w:tab/>
      </w:r>
      <w:r>
        <w:rPr>
          <w:b w:val="0"/>
          <w:sz w:val="24"/>
          <w:szCs w:val="24"/>
        </w:rPr>
        <w:fldChar w:fldCharType="begin"/>
      </w:r>
      <w:r>
        <w:rPr>
          <w:b w:val="0"/>
          <w:sz w:val="24"/>
          <w:szCs w:val="24"/>
        </w:rPr>
        <w:instrText xml:space="preserve"> PAGEREF _Toc52372807 \h </w:instrText>
      </w:r>
      <w:r>
        <w:rPr>
          <w:b w:val="0"/>
          <w:sz w:val="24"/>
          <w:szCs w:val="24"/>
        </w:rPr>
        <w:fldChar w:fldCharType="separate"/>
      </w:r>
      <w:r>
        <w:rPr>
          <w:b w:val="0"/>
          <w:sz w:val="24"/>
          <w:szCs w:val="24"/>
        </w:rPr>
        <w:t>5</w:t>
      </w:r>
      <w:r>
        <w:rPr>
          <w:b w:val="0"/>
          <w:sz w:val="24"/>
          <w:szCs w:val="24"/>
        </w:rPr>
        <w:fldChar w:fldCharType="end"/>
      </w:r>
      <w:r>
        <w:fldChar w:fldCharType="end"/>
      </w:r>
    </w:p>
    <w:p>
      <w:pPr>
        <w:pStyle w:val="26"/>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"_Toc52372808" </w:instrText>
      </w:r>
      <w:r>
        <w:fldChar w:fldCharType="separate"/>
      </w:r>
      <w:r>
        <w:rPr>
          <w:rStyle w:val="49"/>
          <w:rFonts w:hint="eastAsia" w:asciiTheme="minorEastAsia" w:hAnsiTheme="minorEastAsia"/>
          <w:b w:val="0"/>
          <w:sz w:val="24"/>
          <w:szCs w:val="24"/>
        </w:rPr>
        <w:t>六、价值类型</w:t>
      </w:r>
      <w:r>
        <w:rPr>
          <w:b w:val="0"/>
          <w:sz w:val="24"/>
          <w:szCs w:val="24"/>
        </w:rPr>
        <w:tab/>
      </w:r>
      <w:r>
        <w:rPr>
          <w:b w:val="0"/>
          <w:sz w:val="24"/>
          <w:szCs w:val="24"/>
        </w:rPr>
        <w:fldChar w:fldCharType="begin"/>
      </w:r>
      <w:r>
        <w:rPr>
          <w:b w:val="0"/>
          <w:sz w:val="24"/>
          <w:szCs w:val="24"/>
        </w:rPr>
        <w:instrText xml:space="preserve"> PAGEREF _Toc52372808 \h </w:instrText>
      </w:r>
      <w:r>
        <w:rPr>
          <w:b w:val="0"/>
          <w:sz w:val="24"/>
          <w:szCs w:val="24"/>
        </w:rPr>
        <w:fldChar w:fldCharType="separate"/>
      </w:r>
      <w:r>
        <w:rPr>
          <w:b w:val="0"/>
          <w:sz w:val="24"/>
          <w:szCs w:val="24"/>
        </w:rPr>
        <w:t>5</w:t>
      </w:r>
      <w:r>
        <w:rPr>
          <w:b w:val="0"/>
          <w:sz w:val="24"/>
          <w:szCs w:val="24"/>
        </w:rPr>
        <w:fldChar w:fldCharType="end"/>
      </w:r>
      <w:r>
        <w:fldChar w:fldCharType="end"/>
      </w:r>
    </w:p>
    <w:p>
      <w:pPr>
        <w:pStyle w:val="26"/>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"_Toc52372809" </w:instrText>
      </w:r>
      <w:r>
        <w:fldChar w:fldCharType="separate"/>
      </w:r>
      <w:r>
        <w:rPr>
          <w:rStyle w:val="49"/>
          <w:rFonts w:hint="eastAsia" w:asciiTheme="minorEastAsia" w:hAnsiTheme="minorEastAsia"/>
          <w:b w:val="0"/>
          <w:sz w:val="24"/>
          <w:szCs w:val="24"/>
        </w:rPr>
        <w:t>七、估价原则</w:t>
      </w:r>
      <w:r>
        <w:rPr>
          <w:b w:val="0"/>
          <w:sz w:val="24"/>
          <w:szCs w:val="24"/>
        </w:rPr>
        <w:tab/>
      </w:r>
      <w:r>
        <w:rPr>
          <w:b w:val="0"/>
          <w:sz w:val="24"/>
          <w:szCs w:val="24"/>
        </w:rPr>
        <w:fldChar w:fldCharType="begin"/>
      </w:r>
      <w:r>
        <w:rPr>
          <w:b w:val="0"/>
          <w:sz w:val="24"/>
          <w:szCs w:val="24"/>
        </w:rPr>
        <w:instrText xml:space="preserve"> PAGEREF _Toc52372809 \h </w:instrText>
      </w:r>
      <w:r>
        <w:rPr>
          <w:b w:val="0"/>
          <w:sz w:val="24"/>
          <w:szCs w:val="24"/>
        </w:rPr>
        <w:fldChar w:fldCharType="separate"/>
      </w:r>
      <w:r>
        <w:rPr>
          <w:b w:val="0"/>
          <w:sz w:val="24"/>
          <w:szCs w:val="24"/>
        </w:rPr>
        <w:t>6</w:t>
      </w:r>
      <w:r>
        <w:rPr>
          <w:b w:val="0"/>
          <w:sz w:val="24"/>
          <w:szCs w:val="24"/>
        </w:rPr>
        <w:fldChar w:fldCharType="end"/>
      </w:r>
      <w:r>
        <w:fldChar w:fldCharType="end"/>
      </w:r>
    </w:p>
    <w:p>
      <w:pPr>
        <w:pStyle w:val="26"/>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"_Toc52372810" </w:instrText>
      </w:r>
      <w:r>
        <w:fldChar w:fldCharType="separate"/>
      </w:r>
      <w:r>
        <w:rPr>
          <w:rStyle w:val="49"/>
          <w:rFonts w:hint="eastAsia" w:asciiTheme="minorEastAsia" w:hAnsiTheme="minorEastAsia"/>
          <w:b w:val="0"/>
          <w:sz w:val="24"/>
          <w:szCs w:val="24"/>
        </w:rPr>
        <w:t>八、估价依据</w:t>
      </w:r>
      <w:r>
        <w:rPr>
          <w:b w:val="0"/>
          <w:sz w:val="24"/>
          <w:szCs w:val="24"/>
        </w:rPr>
        <w:tab/>
      </w:r>
      <w:r>
        <w:rPr>
          <w:b w:val="0"/>
          <w:sz w:val="24"/>
          <w:szCs w:val="24"/>
        </w:rPr>
        <w:fldChar w:fldCharType="begin"/>
      </w:r>
      <w:r>
        <w:rPr>
          <w:b w:val="0"/>
          <w:sz w:val="24"/>
          <w:szCs w:val="24"/>
        </w:rPr>
        <w:instrText xml:space="preserve"> PAGEREF _Toc52372810 \h </w:instrText>
      </w:r>
      <w:r>
        <w:rPr>
          <w:b w:val="0"/>
          <w:sz w:val="24"/>
          <w:szCs w:val="24"/>
        </w:rPr>
        <w:fldChar w:fldCharType="separate"/>
      </w:r>
      <w:r>
        <w:rPr>
          <w:b w:val="0"/>
          <w:sz w:val="24"/>
          <w:szCs w:val="24"/>
        </w:rPr>
        <w:t>7</w:t>
      </w:r>
      <w:r>
        <w:rPr>
          <w:b w:val="0"/>
          <w:sz w:val="24"/>
          <w:szCs w:val="24"/>
        </w:rPr>
        <w:fldChar w:fldCharType="end"/>
      </w:r>
      <w:r>
        <w:fldChar w:fldCharType="end"/>
      </w:r>
    </w:p>
    <w:p>
      <w:pPr>
        <w:pStyle w:val="26"/>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"_Toc52372811" </w:instrText>
      </w:r>
      <w:r>
        <w:fldChar w:fldCharType="separate"/>
      </w:r>
      <w:r>
        <w:rPr>
          <w:rStyle w:val="49"/>
          <w:rFonts w:hint="eastAsia" w:asciiTheme="minorEastAsia" w:hAnsiTheme="minorEastAsia"/>
          <w:b w:val="0"/>
          <w:sz w:val="24"/>
          <w:szCs w:val="24"/>
        </w:rPr>
        <w:t>九、估价方法</w:t>
      </w:r>
      <w:r>
        <w:rPr>
          <w:b w:val="0"/>
          <w:sz w:val="24"/>
          <w:szCs w:val="24"/>
        </w:rPr>
        <w:tab/>
      </w:r>
      <w:r>
        <w:rPr>
          <w:b w:val="0"/>
          <w:sz w:val="24"/>
          <w:szCs w:val="24"/>
        </w:rPr>
        <w:fldChar w:fldCharType="begin"/>
      </w:r>
      <w:r>
        <w:rPr>
          <w:b w:val="0"/>
          <w:sz w:val="24"/>
          <w:szCs w:val="24"/>
        </w:rPr>
        <w:instrText xml:space="preserve"> PAGEREF _Toc52372811 \h </w:instrText>
      </w:r>
      <w:r>
        <w:rPr>
          <w:b w:val="0"/>
          <w:sz w:val="24"/>
          <w:szCs w:val="24"/>
        </w:rPr>
        <w:fldChar w:fldCharType="separate"/>
      </w:r>
      <w:r>
        <w:rPr>
          <w:b w:val="0"/>
          <w:sz w:val="24"/>
          <w:szCs w:val="24"/>
        </w:rPr>
        <w:t>8</w:t>
      </w:r>
      <w:r>
        <w:rPr>
          <w:b w:val="0"/>
          <w:sz w:val="24"/>
          <w:szCs w:val="24"/>
        </w:rPr>
        <w:fldChar w:fldCharType="end"/>
      </w:r>
      <w:r>
        <w:fldChar w:fldCharType="end"/>
      </w:r>
    </w:p>
    <w:p>
      <w:pPr>
        <w:pStyle w:val="26"/>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"_Toc52372812" </w:instrText>
      </w:r>
      <w:r>
        <w:fldChar w:fldCharType="separate"/>
      </w:r>
      <w:r>
        <w:rPr>
          <w:rStyle w:val="49"/>
          <w:rFonts w:hint="eastAsia" w:asciiTheme="minorEastAsia" w:hAnsiTheme="minorEastAsia"/>
          <w:b w:val="0"/>
          <w:sz w:val="24"/>
          <w:szCs w:val="24"/>
        </w:rPr>
        <w:t>十、估价结果</w:t>
      </w:r>
      <w:r>
        <w:rPr>
          <w:b w:val="0"/>
          <w:sz w:val="24"/>
          <w:szCs w:val="24"/>
        </w:rPr>
        <w:tab/>
      </w:r>
      <w:r>
        <w:rPr>
          <w:b w:val="0"/>
          <w:sz w:val="24"/>
          <w:szCs w:val="24"/>
        </w:rPr>
        <w:fldChar w:fldCharType="begin"/>
      </w:r>
      <w:r>
        <w:rPr>
          <w:b w:val="0"/>
          <w:sz w:val="24"/>
          <w:szCs w:val="24"/>
        </w:rPr>
        <w:instrText xml:space="preserve"> PAGEREF _Toc52372812 \h </w:instrText>
      </w:r>
      <w:r>
        <w:rPr>
          <w:b w:val="0"/>
          <w:sz w:val="24"/>
          <w:szCs w:val="24"/>
        </w:rPr>
        <w:fldChar w:fldCharType="separate"/>
      </w:r>
      <w:r>
        <w:rPr>
          <w:b w:val="0"/>
          <w:sz w:val="24"/>
          <w:szCs w:val="24"/>
        </w:rPr>
        <w:t>8</w:t>
      </w:r>
      <w:r>
        <w:rPr>
          <w:b w:val="0"/>
          <w:sz w:val="24"/>
          <w:szCs w:val="24"/>
        </w:rPr>
        <w:fldChar w:fldCharType="end"/>
      </w:r>
      <w:r>
        <w:fldChar w:fldCharType="end"/>
      </w:r>
    </w:p>
    <w:p>
      <w:pPr>
        <w:pStyle w:val="26"/>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"_Toc52372813" </w:instrText>
      </w:r>
      <w:r>
        <w:fldChar w:fldCharType="separate"/>
      </w:r>
      <w:r>
        <w:rPr>
          <w:rStyle w:val="49"/>
          <w:rFonts w:hint="eastAsia" w:asciiTheme="minorEastAsia" w:hAnsiTheme="minorEastAsia"/>
          <w:b w:val="0"/>
          <w:sz w:val="24"/>
          <w:szCs w:val="24"/>
        </w:rPr>
        <w:t>十一、注册房地产估价师</w:t>
      </w:r>
      <w:r>
        <w:rPr>
          <w:b w:val="0"/>
          <w:sz w:val="24"/>
          <w:szCs w:val="24"/>
        </w:rPr>
        <w:tab/>
      </w:r>
      <w:r>
        <w:rPr>
          <w:b w:val="0"/>
          <w:sz w:val="24"/>
          <w:szCs w:val="24"/>
        </w:rPr>
        <w:fldChar w:fldCharType="begin"/>
      </w:r>
      <w:r>
        <w:rPr>
          <w:b w:val="0"/>
          <w:sz w:val="24"/>
          <w:szCs w:val="24"/>
        </w:rPr>
        <w:instrText xml:space="preserve"> PAGEREF _Toc52372813 \h </w:instrText>
      </w:r>
      <w:r>
        <w:rPr>
          <w:b w:val="0"/>
          <w:sz w:val="24"/>
          <w:szCs w:val="24"/>
        </w:rPr>
        <w:fldChar w:fldCharType="separate"/>
      </w:r>
      <w:r>
        <w:rPr>
          <w:b w:val="0"/>
          <w:sz w:val="24"/>
          <w:szCs w:val="24"/>
        </w:rPr>
        <w:t>9</w:t>
      </w:r>
      <w:r>
        <w:rPr>
          <w:b w:val="0"/>
          <w:sz w:val="24"/>
          <w:szCs w:val="24"/>
        </w:rPr>
        <w:fldChar w:fldCharType="end"/>
      </w:r>
      <w:r>
        <w:fldChar w:fldCharType="end"/>
      </w:r>
    </w:p>
    <w:p>
      <w:pPr>
        <w:pStyle w:val="26"/>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"_Toc52372814" </w:instrText>
      </w:r>
      <w:r>
        <w:fldChar w:fldCharType="separate"/>
      </w:r>
      <w:r>
        <w:rPr>
          <w:rStyle w:val="49"/>
          <w:rFonts w:hint="eastAsia" w:asciiTheme="minorEastAsia" w:hAnsiTheme="minorEastAsia"/>
          <w:b w:val="0"/>
          <w:sz w:val="24"/>
          <w:szCs w:val="24"/>
        </w:rPr>
        <w:t>十二、实地查勘期</w:t>
      </w:r>
      <w:r>
        <w:rPr>
          <w:b w:val="0"/>
          <w:sz w:val="24"/>
          <w:szCs w:val="24"/>
        </w:rPr>
        <w:tab/>
      </w:r>
      <w:r>
        <w:rPr>
          <w:b w:val="0"/>
          <w:sz w:val="24"/>
          <w:szCs w:val="24"/>
        </w:rPr>
        <w:fldChar w:fldCharType="begin"/>
      </w:r>
      <w:r>
        <w:rPr>
          <w:b w:val="0"/>
          <w:sz w:val="24"/>
          <w:szCs w:val="24"/>
        </w:rPr>
        <w:instrText xml:space="preserve"> PAGEREF _Toc52372814 \h </w:instrText>
      </w:r>
      <w:r>
        <w:rPr>
          <w:b w:val="0"/>
          <w:sz w:val="24"/>
          <w:szCs w:val="24"/>
        </w:rPr>
        <w:fldChar w:fldCharType="separate"/>
      </w:r>
      <w:r>
        <w:rPr>
          <w:b w:val="0"/>
          <w:sz w:val="24"/>
          <w:szCs w:val="24"/>
        </w:rPr>
        <w:t>9</w:t>
      </w:r>
      <w:r>
        <w:rPr>
          <w:b w:val="0"/>
          <w:sz w:val="24"/>
          <w:szCs w:val="24"/>
        </w:rPr>
        <w:fldChar w:fldCharType="end"/>
      </w:r>
      <w:r>
        <w:fldChar w:fldCharType="end"/>
      </w:r>
    </w:p>
    <w:p>
      <w:pPr>
        <w:pStyle w:val="26"/>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"_Toc52372815" </w:instrText>
      </w:r>
      <w:r>
        <w:fldChar w:fldCharType="separate"/>
      </w:r>
      <w:r>
        <w:rPr>
          <w:rStyle w:val="49"/>
          <w:rFonts w:hint="eastAsia" w:asciiTheme="minorEastAsia" w:hAnsiTheme="minorEastAsia"/>
          <w:b w:val="0"/>
          <w:sz w:val="24"/>
          <w:szCs w:val="24"/>
        </w:rPr>
        <w:t>十三、估价作业期</w:t>
      </w:r>
      <w:r>
        <w:rPr>
          <w:b w:val="0"/>
          <w:sz w:val="24"/>
          <w:szCs w:val="24"/>
        </w:rPr>
        <w:tab/>
      </w:r>
      <w:r>
        <w:rPr>
          <w:b w:val="0"/>
          <w:sz w:val="24"/>
          <w:szCs w:val="24"/>
        </w:rPr>
        <w:fldChar w:fldCharType="begin"/>
      </w:r>
      <w:r>
        <w:rPr>
          <w:b w:val="0"/>
          <w:sz w:val="24"/>
          <w:szCs w:val="24"/>
        </w:rPr>
        <w:instrText xml:space="preserve"> PAGEREF _Toc52372815 \h </w:instrText>
      </w:r>
      <w:r>
        <w:rPr>
          <w:b w:val="0"/>
          <w:sz w:val="24"/>
          <w:szCs w:val="24"/>
        </w:rPr>
        <w:fldChar w:fldCharType="separate"/>
      </w:r>
      <w:r>
        <w:rPr>
          <w:b w:val="0"/>
          <w:sz w:val="24"/>
          <w:szCs w:val="24"/>
        </w:rPr>
        <w:t>9</w:t>
      </w:r>
      <w:r>
        <w:rPr>
          <w:b w:val="0"/>
          <w:sz w:val="24"/>
          <w:szCs w:val="24"/>
        </w:rPr>
        <w:fldChar w:fldCharType="end"/>
      </w:r>
      <w:r>
        <w:fldChar w:fldCharType="end"/>
      </w:r>
    </w:p>
    <w:p>
      <w:pPr>
        <w:pStyle w:val="26"/>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"_Toc52372816" </w:instrText>
      </w:r>
      <w:r>
        <w:fldChar w:fldCharType="separate"/>
      </w:r>
      <w:r>
        <w:rPr>
          <w:rStyle w:val="49"/>
          <w:rFonts w:hint="eastAsia" w:asciiTheme="minorEastAsia" w:hAnsiTheme="minorEastAsia"/>
          <w:b w:val="0"/>
          <w:sz w:val="24"/>
          <w:szCs w:val="24"/>
        </w:rPr>
        <w:t>十四、估价报告有效期</w:t>
      </w:r>
      <w:r>
        <w:rPr>
          <w:b w:val="0"/>
          <w:sz w:val="24"/>
          <w:szCs w:val="24"/>
        </w:rPr>
        <w:tab/>
      </w:r>
      <w:r>
        <w:rPr>
          <w:b w:val="0"/>
          <w:sz w:val="24"/>
          <w:szCs w:val="24"/>
        </w:rPr>
        <w:fldChar w:fldCharType="begin"/>
      </w:r>
      <w:r>
        <w:rPr>
          <w:b w:val="0"/>
          <w:sz w:val="24"/>
          <w:szCs w:val="24"/>
        </w:rPr>
        <w:instrText xml:space="preserve"> PAGEREF _Toc52372816 \h </w:instrText>
      </w:r>
      <w:r>
        <w:rPr>
          <w:b w:val="0"/>
          <w:sz w:val="24"/>
          <w:szCs w:val="24"/>
        </w:rPr>
        <w:fldChar w:fldCharType="separate"/>
      </w:r>
      <w:r>
        <w:rPr>
          <w:b w:val="0"/>
          <w:sz w:val="24"/>
          <w:szCs w:val="24"/>
        </w:rPr>
        <w:t>9</w:t>
      </w:r>
      <w:r>
        <w:rPr>
          <w:b w:val="0"/>
          <w:sz w:val="24"/>
          <w:szCs w:val="24"/>
        </w:rPr>
        <w:fldChar w:fldCharType="end"/>
      </w:r>
      <w:r>
        <w:fldChar w:fldCharType="end"/>
      </w:r>
    </w:p>
    <w:p>
      <w:pPr>
        <w:pStyle w:val="26"/>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"_Toc52372817" </w:instrText>
      </w:r>
      <w:r>
        <w:fldChar w:fldCharType="separate"/>
      </w:r>
      <w:r>
        <w:rPr>
          <w:rStyle w:val="49"/>
          <w:rFonts w:hint="eastAsia" w:ascii="宋体" w:hAnsi="宋体"/>
          <w:b w:val="0"/>
          <w:sz w:val="24"/>
          <w:szCs w:val="24"/>
        </w:rPr>
        <w:t>附</w:t>
      </w:r>
      <w:r>
        <w:rPr>
          <w:rStyle w:val="49"/>
          <w:rFonts w:ascii="宋体" w:hAnsi="宋体"/>
          <w:b w:val="0"/>
          <w:sz w:val="24"/>
          <w:szCs w:val="24"/>
        </w:rPr>
        <w:t xml:space="preserve">  </w:t>
      </w:r>
      <w:r>
        <w:rPr>
          <w:rStyle w:val="49"/>
          <w:rFonts w:hint="eastAsia" w:ascii="宋体" w:hAnsi="宋体"/>
          <w:b w:val="0"/>
          <w:sz w:val="24"/>
          <w:szCs w:val="24"/>
        </w:rPr>
        <w:t>件</w:t>
      </w:r>
      <w:r>
        <w:rPr>
          <w:b w:val="0"/>
          <w:sz w:val="24"/>
          <w:szCs w:val="24"/>
        </w:rPr>
        <w:tab/>
      </w:r>
      <w:r>
        <w:rPr>
          <w:b w:val="0"/>
          <w:sz w:val="24"/>
          <w:szCs w:val="24"/>
        </w:rPr>
        <w:fldChar w:fldCharType="begin"/>
      </w:r>
      <w:r>
        <w:rPr>
          <w:b w:val="0"/>
          <w:sz w:val="24"/>
          <w:szCs w:val="24"/>
        </w:rPr>
        <w:instrText xml:space="preserve"> PAGEREF _Toc52372817 \h </w:instrText>
      </w:r>
      <w:r>
        <w:rPr>
          <w:b w:val="0"/>
          <w:sz w:val="24"/>
          <w:szCs w:val="24"/>
        </w:rPr>
        <w:fldChar w:fldCharType="separate"/>
      </w:r>
      <w:r>
        <w:rPr>
          <w:b w:val="0"/>
          <w:sz w:val="24"/>
          <w:szCs w:val="24"/>
        </w:rPr>
        <w:t>10</w:t>
      </w:r>
      <w:r>
        <w:rPr>
          <w:b w:val="0"/>
          <w:sz w:val="24"/>
          <w:szCs w:val="24"/>
        </w:rPr>
        <w:fldChar w:fldCharType="end"/>
      </w:r>
      <w:r>
        <w:fldChar w:fldCharType="end"/>
      </w:r>
    </w:p>
    <w:p>
      <w:pPr>
        <w:pStyle w:val="2"/>
        <w:spacing w:line="360" w:lineRule="auto"/>
        <w:ind w:left="880" w:hanging="480" w:hangingChars="200"/>
        <w:jc w:val="center"/>
        <w:rPr>
          <w:rFonts w:ascii="宋体" w:hAnsi="宋体"/>
        </w:rPr>
        <w:sectPr>
          <w:headerReference r:id="rId4" w:type="first"/>
          <w:footerReference r:id="rId6" w:type="first"/>
          <w:headerReference r:id="rId3" w:type="default"/>
          <w:footerReference r:id="rId5" w:type="default"/>
          <w:pgSz w:w="11906" w:h="16838"/>
          <w:pgMar w:top="1440" w:right="1134" w:bottom="1440" w:left="1797" w:header="851" w:footer="992" w:gutter="0"/>
          <w:pgNumType w:start="1"/>
          <w:cols w:space="720" w:num="1"/>
          <w:titlePg/>
          <w:docGrid w:type="lines" w:linePitch="312" w:charSpace="0"/>
        </w:sectPr>
      </w:pPr>
      <w:r>
        <w:rPr>
          <w:rFonts w:hint="eastAsia" w:asciiTheme="minorEastAsia" w:hAnsiTheme="minorEastAsia" w:eastAsiaTheme="minorEastAsia"/>
          <w:b w:val="0"/>
          <w:bCs w:val="0"/>
          <w:sz w:val="24"/>
          <w:szCs w:val="24"/>
        </w:rPr>
        <w:fldChar w:fldCharType="end"/>
      </w:r>
    </w:p>
    <w:p>
      <w:pPr>
        <w:pStyle w:val="2"/>
        <w:spacing w:line="360" w:lineRule="auto"/>
        <w:jc w:val="center"/>
        <w:rPr>
          <w:rFonts w:ascii="宋体" w:hAnsi="宋体"/>
        </w:rPr>
      </w:pPr>
      <w:bookmarkStart w:id="0" w:name="_Toc52372800"/>
      <w:r>
        <w:rPr>
          <w:rFonts w:hint="eastAsia" w:ascii="宋体" w:hAnsi="宋体"/>
        </w:rPr>
        <w:t>估价师声明</w:t>
      </w:r>
      <w:bookmarkEnd w:id="0"/>
    </w:p>
    <w:p>
      <w:pPr>
        <w:spacing w:line="360" w:lineRule="auto"/>
        <w:rPr>
          <w:rFonts w:ascii="宋体" w:hAnsi="宋体"/>
          <w:bCs/>
          <w:sz w:val="24"/>
        </w:rPr>
      </w:pPr>
      <w:r>
        <w:rPr>
          <w:rFonts w:ascii="宋体" w:hAnsi="宋体"/>
          <w:bCs/>
          <w:sz w:val="24"/>
        </w:rPr>
        <w:t>我们郑重声明：</w:t>
      </w:r>
    </w:p>
    <w:p>
      <w:pPr>
        <w:spacing w:line="360" w:lineRule="auto"/>
        <w:ind w:firstLine="480" w:firstLineChars="200"/>
        <w:rPr>
          <w:rFonts w:ascii="宋体" w:hAnsi="宋体"/>
          <w:sz w:val="24"/>
        </w:rPr>
      </w:pPr>
      <w:r>
        <w:rPr>
          <w:rFonts w:hint="eastAsia" w:ascii="宋体" w:hAnsi="宋体"/>
          <w:bCs/>
          <w:sz w:val="24"/>
        </w:rPr>
        <w:t>1.</w:t>
      </w:r>
      <w:r>
        <w:rPr>
          <w:rFonts w:hint="eastAsia" w:ascii="宋体" w:hAnsi="宋体"/>
          <w:sz w:val="24"/>
        </w:rPr>
        <w:t>注册房地产估价师在估价报告中对事实的说明是真实和准确的，没有虚假记载、误导性陈述和重大遗漏。</w:t>
      </w:r>
    </w:p>
    <w:p>
      <w:pPr>
        <w:spacing w:line="360" w:lineRule="auto"/>
        <w:ind w:firstLine="480" w:firstLineChars="200"/>
        <w:rPr>
          <w:rFonts w:ascii="宋体" w:hAnsi="宋体"/>
          <w:sz w:val="24"/>
        </w:rPr>
      </w:pPr>
      <w:r>
        <w:rPr>
          <w:rFonts w:hint="eastAsia" w:ascii="宋体" w:hAnsi="宋体"/>
          <w:bCs/>
          <w:sz w:val="24"/>
        </w:rPr>
        <w:t>2.</w:t>
      </w:r>
      <w:r>
        <w:rPr>
          <w:rFonts w:hint="eastAsia" w:ascii="宋体" w:hAnsi="宋体"/>
          <w:sz w:val="24"/>
        </w:rPr>
        <w:t>估价报告中的分析、意见和结论是注册房地产估价师独立、客观、公正的专业分析、意见和结论，但受到估价报告中已说明的估价假设和限制条件的限制。</w:t>
      </w:r>
    </w:p>
    <w:p>
      <w:pPr>
        <w:spacing w:line="360" w:lineRule="auto"/>
        <w:ind w:firstLine="480" w:firstLineChars="200"/>
        <w:rPr>
          <w:rFonts w:ascii="宋体" w:hAnsi="宋体"/>
          <w:sz w:val="24"/>
        </w:rPr>
      </w:pPr>
      <w:r>
        <w:rPr>
          <w:rFonts w:hint="eastAsia" w:ascii="宋体" w:hAnsi="宋体"/>
          <w:bCs/>
          <w:sz w:val="24"/>
        </w:rPr>
        <w:t>3.</w:t>
      </w:r>
      <w:r>
        <w:rPr>
          <w:rFonts w:hint="eastAsia" w:ascii="宋体" w:hAnsi="宋体"/>
          <w:sz w:val="24"/>
        </w:rPr>
        <w:t>注册房地产估价师与估价报告中的估价对象没有现实或潜在的利益，与估价委托人及估价利害关系人没有利害关系，也对估价对象、估价委托人及估价利害关系人没有偏见。</w:t>
      </w:r>
    </w:p>
    <w:p>
      <w:pPr>
        <w:spacing w:line="360" w:lineRule="auto"/>
        <w:ind w:firstLine="480" w:firstLineChars="200"/>
        <w:rPr>
          <w:rFonts w:ascii="宋体" w:hAnsi="宋体"/>
          <w:bCs/>
          <w:sz w:val="24"/>
        </w:rPr>
      </w:pPr>
      <w:r>
        <w:rPr>
          <w:rFonts w:hint="eastAsia" w:ascii="宋体" w:hAnsi="宋体"/>
          <w:bCs/>
          <w:sz w:val="24"/>
        </w:rPr>
        <w:t>4.我们依照中华人民共和国国家标准《房地产估价规范》（GB/T50291-2015）、《房地产抵押估价指导意见》（建住房〔</w:t>
      </w:r>
      <w:r>
        <w:rPr>
          <w:rFonts w:ascii="宋体" w:hAnsi="宋体"/>
          <w:bCs/>
          <w:sz w:val="24"/>
        </w:rPr>
        <w:t>2006</w:t>
      </w:r>
      <w:r>
        <w:rPr>
          <w:rFonts w:hint="eastAsia" w:ascii="宋体" w:hAnsi="宋体"/>
          <w:bCs/>
          <w:sz w:val="24"/>
        </w:rPr>
        <w:t>〕</w:t>
      </w:r>
      <w:r>
        <w:rPr>
          <w:rFonts w:ascii="宋体" w:hAnsi="宋体"/>
          <w:bCs/>
          <w:sz w:val="24"/>
        </w:rPr>
        <w:t>8</w:t>
      </w:r>
      <w:r>
        <w:rPr>
          <w:rFonts w:hint="eastAsia" w:ascii="宋体" w:hAnsi="宋体"/>
          <w:bCs/>
          <w:sz w:val="24"/>
        </w:rPr>
        <w:t>号）和《房地产估价基本术语标准》（GB/T50899-2013）进行分析、测算、判断，形成专业意见和结论，撰写本估价报告。</w:t>
      </w:r>
    </w:p>
    <w:p>
      <w:pPr>
        <w:spacing w:line="360" w:lineRule="auto"/>
        <w:ind w:firstLine="480" w:firstLineChars="200"/>
        <w:rPr>
          <w:rFonts w:ascii="宋体" w:hAnsi="宋体"/>
          <w:sz w:val="24"/>
        </w:rPr>
      </w:pPr>
      <w:r>
        <w:rPr>
          <w:rFonts w:hint="eastAsia" w:ascii="宋体" w:hAnsi="宋体"/>
          <w:bCs/>
          <w:sz w:val="24"/>
        </w:rPr>
        <w:t>5.</w:t>
      </w:r>
      <w:r>
        <w:rPr>
          <w:rFonts w:hint="eastAsia" w:ascii="仿宋" w:hAnsi="仿宋" w:eastAsia="仿宋"/>
          <w:sz w:val="24"/>
        </w:rPr>
        <w:t xml:space="preserve"> </w:t>
      </w:r>
      <w:r>
        <w:rPr>
          <w:rFonts w:hint="eastAsia" w:ascii="宋体" w:hAnsi="宋体"/>
          <w:sz w:val="24"/>
        </w:rPr>
        <w:t>参与本次估价的注册房地产估价师已对本估价报告中的估价对象进行了实地查勘，但仅限于对估价对象</w:t>
      </w:r>
      <w:r>
        <w:rPr>
          <w:rFonts w:hint="eastAsia" w:ascii="宋体" w:hAnsi="宋体"/>
          <w:bCs/>
          <w:sz w:val="24"/>
        </w:rPr>
        <w:t>室内外状况</w:t>
      </w:r>
      <w:r>
        <w:rPr>
          <w:rFonts w:ascii="宋体" w:hAnsi="宋体"/>
          <w:bCs/>
          <w:sz w:val="24"/>
        </w:rPr>
        <w:t>和使用状况</w:t>
      </w:r>
      <w:r>
        <w:rPr>
          <w:rFonts w:hint="eastAsia" w:ascii="宋体" w:hAnsi="宋体"/>
          <w:sz w:val="24"/>
        </w:rPr>
        <w:t>。注册房地产估价师不承担对估价对象建筑结构质量、</w:t>
      </w:r>
      <w:r>
        <w:rPr>
          <w:rFonts w:hint="eastAsia" w:ascii="宋体" w:hAnsi="宋体"/>
          <w:bCs/>
          <w:sz w:val="24"/>
        </w:rPr>
        <w:t>建筑面积数量准确性和相应权益进行调查的责任</w:t>
      </w:r>
      <w:r>
        <w:rPr>
          <w:rFonts w:hint="eastAsia" w:ascii="宋体" w:hAnsi="宋体"/>
          <w:sz w:val="24"/>
        </w:rPr>
        <w:t>和其他被遮盖、未暴露及难于接触到部分进行检视的责任。</w:t>
      </w:r>
    </w:p>
    <w:p>
      <w:pPr>
        <w:spacing w:line="360" w:lineRule="auto"/>
        <w:ind w:firstLine="480" w:firstLineChars="200"/>
        <w:rPr>
          <w:rFonts w:ascii="宋体" w:hAnsi="宋体"/>
          <w:sz w:val="24"/>
        </w:rPr>
      </w:pPr>
      <w:r>
        <w:rPr>
          <w:rFonts w:hint="eastAsia" w:ascii="宋体" w:hAnsi="宋体"/>
          <w:bCs/>
          <w:sz w:val="24"/>
        </w:rPr>
        <w:t>6.</w:t>
      </w:r>
      <w:r>
        <w:rPr>
          <w:rFonts w:hint="eastAsia" w:ascii="宋体" w:hAnsi="宋体"/>
          <w:sz w:val="24"/>
        </w:rPr>
        <w:t>没有人对本估价报告提供重要专业帮助。</w:t>
      </w:r>
    </w:p>
    <w:p>
      <w:pPr>
        <w:spacing w:line="360" w:lineRule="auto"/>
        <w:ind w:firstLine="480" w:firstLineChars="200"/>
        <w:rPr>
          <w:rFonts w:ascii="宋体" w:hAnsi="宋体"/>
          <w:bCs/>
          <w:sz w:val="24"/>
        </w:rPr>
      </w:pPr>
      <w:r>
        <w:rPr>
          <w:rFonts w:hint="eastAsia" w:ascii="宋体" w:hAnsi="宋体"/>
          <w:bCs/>
          <w:sz w:val="24"/>
        </w:rPr>
        <w:t>7.本估价报告需经注册房地产估价师签字（盖章），房地产估价机构盖章并作为一个整体时有效，复印件无效；</w:t>
      </w:r>
    </w:p>
    <w:p>
      <w:pPr>
        <w:spacing w:line="360" w:lineRule="auto"/>
        <w:ind w:firstLine="480" w:firstLineChars="200"/>
        <w:rPr>
          <w:rFonts w:ascii="宋体" w:hAnsi="宋体"/>
          <w:bCs/>
          <w:sz w:val="24"/>
        </w:rPr>
      </w:pPr>
      <w:r>
        <w:rPr>
          <w:rFonts w:hint="eastAsia" w:ascii="宋体" w:hAnsi="宋体"/>
          <w:bCs/>
          <w:sz w:val="24"/>
        </w:rPr>
        <w:t xml:space="preserve">8.如发现本估价报告内的文字或数字因校对或其他类似原因出现差错时，请通知本公司进行更正。 </w:t>
      </w:r>
    </w:p>
    <w:p>
      <w:pPr>
        <w:spacing w:line="360" w:lineRule="auto"/>
        <w:ind w:firstLine="480" w:firstLineChars="200"/>
        <w:rPr>
          <w:rFonts w:ascii="宋体" w:hAnsi="宋体"/>
          <w:sz w:val="24"/>
        </w:rPr>
      </w:pPr>
      <w:r>
        <w:rPr>
          <w:rFonts w:hint="eastAsia" w:ascii="宋体" w:hAnsi="宋体"/>
          <w:sz w:val="24"/>
        </w:rPr>
        <w:t>注册房地产估价师签章：</w:t>
      </w:r>
    </w:p>
    <w:tbl>
      <w:tblPr>
        <w:tblStyle w:val="42"/>
        <w:tblW w:w="8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1824"/>
        <w:gridCol w:w="5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 xml:space="preserve">宋佳英 </w:t>
            </w:r>
          </w:p>
        </w:tc>
        <w:tc>
          <w:tcPr>
            <w:tcW w:w="18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3720030089</w:t>
            </w:r>
          </w:p>
        </w:tc>
        <w:tc>
          <w:tcPr>
            <w:tcW w:w="53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曹春玲</w:t>
            </w:r>
          </w:p>
        </w:tc>
        <w:tc>
          <w:tcPr>
            <w:tcW w:w="18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3720130159</w:t>
            </w:r>
          </w:p>
        </w:tc>
        <w:tc>
          <w:tcPr>
            <w:tcW w:w="53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r>
    </w:tbl>
    <w:p>
      <w:pPr>
        <w:pStyle w:val="2"/>
        <w:keepNext w:val="0"/>
        <w:keepLines w:val="0"/>
        <w:spacing w:line="360" w:lineRule="auto"/>
        <w:jc w:val="center"/>
        <w:rPr>
          <w:rFonts w:ascii="宋体" w:hAnsi="宋体"/>
          <w:b w:val="0"/>
          <w:sz w:val="36"/>
          <w:szCs w:val="32"/>
        </w:rPr>
      </w:pPr>
      <w:r>
        <w:rPr>
          <w:rFonts w:ascii="宋体" w:hAnsi="宋体"/>
          <w:b w:val="0"/>
          <w:bCs w:val="0"/>
          <w:kern w:val="2"/>
          <w:sz w:val="24"/>
          <w:szCs w:val="24"/>
        </w:rPr>
        <w:pict>
          <v:shape id="_x0000_s1027" o:spid="_x0000_s1027" o:spt="202" type="#_x0000_t202" style="position:absolute;left:0pt;margin-top:35pt;height:13.6pt;width:439.25pt;mso-position-horizontal:right;mso-position-horizontal-relative:margin;mso-wrap-style:none;z-index:251662336;mso-width-relative:page;mso-height-relative:page;" filled="f" stroked="f" coordsize="21600,21600">
            <v:path/>
            <v:fill on="f" focussize="0,0"/>
            <v:stroke on="f" weight="1.25pt" joinstyle="miter"/>
            <v:imagedata o:title=""/>
            <o:lock v:ext="edit"/>
            <v:textbox inset="0mm,0mm,0mm,0mm" style="mso-fit-shape-to-text:t;">
              <w:txbxContent>
                <w:p>
                  <w:r>
                    <w:rPr>
                      <w:rFonts w:hint="eastAsia"/>
                      <w:i/>
                    </w:rPr>
                    <w:t>山东鲁业房地产土地评估有限公司</w:t>
                  </w:r>
                  <w:r>
                    <w:rPr>
                      <w:i/>
                    </w:rPr>
                    <w:t xml:space="preserve">      </w:t>
                  </w:r>
                  <w:r>
                    <w:rPr>
                      <w:rFonts w:hint="eastAsia"/>
                      <w:i/>
                    </w:rPr>
                    <w:t xml:space="preserve">            </w:t>
                  </w:r>
                </w:p>
              </w:txbxContent>
            </v:textbox>
          </v:shape>
        </w:pict>
      </w:r>
      <w:r>
        <w:rPr>
          <w:rFonts w:ascii="宋体" w:hAnsi="宋体"/>
          <w:b w:val="0"/>
          <w:bCs w:val="0"/>
          <w:kern w:val="2"/>
          <w:sz w:val="24"/>
          <w:szCs w:val="24"/>
        </w:rPr>
        <w:br w:type="page"/>
      </w:r>
      <w:bookmarkStart w:id="1" w:name="_Toc52372801"/>
      <w:r>
        <w:rPr>
          <w:rFonts w:hint="eastAsia" w:ascii="宋体" w:hAnsi="宋体"/>
        </w:rPr>
        <w:t>估价假设和限制条件</w:t>
      </w:r>
      <w:bookmarkEnd w:id="1"/>
    </w:p>
    <w:p>
      <w:pPr>
        <w:spacing w:line="360" w:lineRule="auto"/>
        <w:ind w:firstLine="482" w:firstLineChars="200"/>
        <w:rPr>
          <w:rFonts w:hint="eastAsia"/>
          <w:b/>
          <w:sz w:val="24"/>
          <w:szCs w:val="24"/>
        </w:rPr>
      </w:pPr>
      <w:r>
        <w:rPr>
          <w:rFonts w:hint="eastAsia"/>
          <w:b/>
          <w:sz w:val="24"/>
          <w:szCs w:val="24"/>
        </w:rPr>
        <w:t>一、本次估价的各项估价假设</w:t>
      </w:r>
    </w:p>
    <w:p>
      <w:pPr>
        <w:spacing w:line="360" w:lineRule="auto"/>
        <w:ind w:firstLine="480" w:firstLineChars="200"/>
        <w:rPr>
          <w:rFonts w:ascii="宋体" w:hAnsi="宋体"/>
          <w:bCs/>
          <w:sz w:val="24"/>
          <w:szCs w:val="24"/>
        </w:rPr>
      </w:pPr>
      <w:r>
        <w:rPr>
          <w:rFonts w:hint="eastAsia" w:ascii="宋体" w:hAnsi="宋体"/>
          <w:bCs/>
          <w:sz w:val="24"/>
          <w:szCs w:val="24"/>
        </w:rPr>
        <w:t>（一）一般假设</w:t>
      </w:r>
    </w:p>
    <w:p>
      <w:pPr>
        <w:spacing w:line="360" w:lineRule="auto"/>
        <w:ind w:firstLine="480" w:firstLineChars="200"/>
        <w:rPr>
          <w:rFonts w:hint="eastAsia" w:ascii="宋体" w:hAnsi="宋体"/>
          <w:bCs/>
          <w:sz w:val="24"/>
          <w:szCs w:val="24"/>
        </w:rPr>
      </w:pPr>
      <w:r>
        <w:rPr>
          <w:rFonts w:hint="eastAsia" w:ascii="宋体" w:hAnsi="宋体"/>
          <w:sz w:val="24"/>
          <w:szCs w:val="24"/>
        </w:rPr>
        <w:t>主要包含房地产市场及交易条件通用假设和估价项目常用假设</w:t>
      </w:r>
    </w:p>
    <w:p>
      <w:pPr>
        <w:spacing w:line="360" w:lineRule="auto"/>
        <w:ind w:firstLine="480" w:firstLineChars="200"/>
        <w:rPr>
          <w:rFonts w:hint="eastAsia" w:ascii="宋体" w:hAnsi="宋体"/>
          <w:sz w:val="24"/>
          <w:szCs w:val="24"/>
        </w:rPr>
      </w:pPr>
      <w:r>
        <w:rPr>
          <w:rFonts w:hint="eastAsia" w:ascii="宋体" w:hAnsi="宋体"/>
          <w:sz w:val="24"/>
          <w:szCs w:val="24"/>
        </w:rPr>
        <w:t>1.估价委托人提供了估价对象的</w:t>
      </w:r>
      <w:r>
        <w:rPr>
          <w:rFonts w:hint="eastAsia" w:ascii="宋体" w:hAnsi="宋体"/>
          <w:sz w:val="24"/>
          <w:szCs w:val="24"/>
          <w:highlight w:val="none"/>
        </w:rPr>
        <w:t>相关资料</w:t>
      </w:r>
      <w:r>
        <w:rPr>
          <w:rFonts w:hint="eastAsia" w:ascii="宋体" w:hAnsi="宋体"/>
          <w:sz w:val="24"/>
          <w:szCs w:val="24"/>
        </w:rPr>
        <w:t>，我们未向政府有关部门进行核实，在无理由怀疑其合法性、真实性、准确性和完整性的情况下，假定估价委托人提供的资料合法、真实、准确、完整。</w:t>
      </w:r>
    </w:p>
    <w:p>
      <w:pPr>
        <w:spacing w:line="360" w:lineRule="auto"/>
        <w:ind w:firstLine="480" w:firstLineChars="200"/>
        <w:rPr>
          <w:rFonts w:hint="eastAsia" w:ascii="宋体" w:hAnsi="宋体"/>
          <w:sz w:val="24"/>
          <w:szCs w:val="24"/>
        </w:rPr>
      </w:pPr>
      <w:r>
        <w:rPr>
          <w:rFonts w:hint="eastAsia" w:ascii="宋体" w:hAnsi="宋体"/>
          <w:sz w:val="24"/>
          <w:szCs w:val="24"/>
        </w:rPr>
        <w:t>2.注册房地产估价师已对房屋安全、环境污染等影响估价对象价格的重大因素给予了关注，在无理由怀疑估价对象存在安全隐患且无相应的专业机构进行鉴定、检测的情况下，假定估价对象能正常安全使用。</w:t>
      </w:r>
    </w:p>
    <w:p>
      <w:pPr>
        <w:spacing w:line="360" w:lineRule="auto"/>
        <w:ind w:firstLine="480" w:firstLineChars="200"/>
        <w:rPr>
          <w:rFonts w:hint="eastAsia" w:ascii="宋体" w:hAnsi="宋体"/>
          <w:sz w:val="24"/>
          <w:szCs w:val="24"/>
        </w:rPr>
      </w:pPr>
      <w:r>
        <w:rPr>
          <w:rFonts w:hint="eastAsia" w:ascii="宋体" w:hAnsi="宋体"/>
          <w:sz w:val="24"/>
          <w:szCs w:val="24"/>
        </w:rPr>
        <w:t>3.估价对象在价值时点的房地产市场为公开、平等、自愿的交易市场，即能满足以下条件：</w:t>
      </w:r>
    </w:p>
    <w:p>
      <w:pPr>
        <w:spacing w:line="360" w:lineRule="auto"/>
        <w:ind w:firstLine="480" w:firstLineChars="200"/>
        <w:rPr>
          <w:rFonts w:hint="eastAsia" w:ascii="宋体" w:hAnsi="宋体"/>
          <w:sz w:val="24"/>
          <w:szCs w:val="24"/>
        </w:rPr>
      </w:pPr>
      <w:r>
        <w:rPr>
          <w:rFonts w:hint="eastAsia" w:ascii="宋体" w:hAnsi="宋体"/>
          <w:sz w:val="24"/>
          <w:szCs w:val="24"/>
        </w:rPr>
        <w:t>(1)交易双方自愿地进行交易；</w:t>
      </w:r>
    </w:p>
    <w:p>
      <w:pPr>
        <w:spacing w:line="360" w:lineRule="auto"/>
        <w:ind w:firstLine="480" w:firstLineChars="200"/>
        <w:rPr>
          <w:rFonts w:hint="eastAsia" w:ascii="宋体" w:hAnsi="宋体"/>
          <w:sz w:val="24"/>
          <w:szCs w:val="24"/>
        </w:rPr>
      </w:pPr>
      <w:r>
        <w:rPr>
          <w:rFonts w:hint="eastAsia" w:ascii="宋体" w:hAnsi="宋体"/>
          <w:sz w:val="24"/>
          <w:szCs w:val="24"/>
        </w:rPr>
        <w:t>(2)交易双方处于利己动机进行交易；</w:t>
      </w:r>
    </w:p>
    <w:p>
      <w:pPr>
        <w:spacing w:line="360" w:lineRule="auto"/>
        <w:ind w:firstLine="480" w:firstLineChars="200"/>
        <w:rPr>
          <w:rFonts w:hint="eastAsia" w:ascii="宋体" w:hAnsi="宋体"/>
          <w:sz w:val="24"/>
          <w:szCs w:val="24"/>
        </w:rPr>
      </w:pPr>
      <w:r>
        <w:rPr>
          <w:rFonts w:hint="eastAsia" w:ascii="宋体" w:hAnsi="宋体"/>
          <w:sz w:val="24"/>
          <w:szCs w:val="24"/>
        </w:rPr>
        <w:t>(3)交易双方精明、谨慎行事，并了解交易对象、知晓市场行情；</w:t>
      </w:r>
    </w:p>
    <w:p>
      <w:pPr>
        <w:spacing w:line="360" w:lineRule="auto"/>
        <w:ind w:firstLine="480" w:firstLineChars="200"/>
        <w:rPr>
          <w:rFonts w:hint="eastAsia" w:ascii="宋体" w:hAnsi="宋体"/>
          <w:sz w:val="24"/>
          <w:szCs w:val="24"/>
        </w:rPr>
      </w:pPr>
      <w:r>
        <w:rPr>
          <w:rFonts w:hint="eastAsia" w:ascii="宋体" w:hAnsi="宋体"/>
          <w:sz w:val="24"/>
          <w:szCs w:val="24"/>
        </w:rPr>
        <w:t>(4)交易双方有较充裕的时间进行交易；</w:t>
      </w:r>
    </w:p>
    <w:p>
      <w:pPr>
        <w:spacing w:line="360" w:lineRule="auto"/>
        <w:ind w:firstLine="480" w:firstLineChars="200"/>
        <w:rPr>
          <w:rFonts w:hint="eastAsia" w:ascii="宋体" w:hAnsi="宋体"/>
          <w:sz w:val="24"/>
          <w:szCs w:val="24"/>
        </w:rPr>
      </w:pPr>
      <w:r>
        <w:rPr>
          <w:rFonts w:hint="eastAsia" w:ascii="宋体" w:hAnsi="宋体"/>
          <w:sz w:val="24"/>
          <w:szCs w:val="24"/>
        </w:rPr>
        <w:t>(5)不存在买者因特殊兴趣而给予附加出价。</w:t>
      </w:r>
    </w:p>
    <w:p>
      <w:pPr>
        <w:spacing w:line="360" w:lineRule="auto"/>
        <w:ind w:firstLine="480" w:firstLineChars="200"/>
        <w:rPr>
          <w:rFonts w:hint="eastAsia" w:ascii="宋体" w:hAnsi="宋体"/>
          <w:sz w:val="24"/>
          <w:szCs w:val="24"/>
        </w:rPr>
      </w:pPr>
      <w:r>
        <w:rPr>
          <w:rFonts w:hint="eastAsia" w:ascii="宋体" w:hAnsi="宋体"/>
          <w:sz w:val="24"/>
          <w:szCs w:val="24"/>
        </w:rPr>
        <w:t>4.估价对象应享有公共部位的通行权及水、电等共用设施的使用权。</w:t>
      </w:r>
    </w:p>
    <w:p>
      <w:pPr>
        <w:spacing w:line="360" w:lineRule="auto"/>
        <w:ind w:firstLine="480" w:firstLineChars="200"/>
        <w:rPr>
          <w:rFonts w:hint="eastAsia" w:ascii="宋体" w:hAnsi="宋体"/>
          <w:sz w:val="24"/>
          <w:szCs w:val="24"/>
        </w:rPr>
      </w:pPr>
      <w:r>
        <w:rPr>
          <w:rFonts w:hint="eastAsia" w:ascii="宋体" w:hAnsi="宋体"/>
          <w:sz w:val="24"/>
          <w:szCs w:val="24"/>
        </w:rPr>
        <w:t>5.本估价报告所依据的有关资料，由估价委托人移送，估价委托人对资料的真实性负责。因资料失实造成评估结果有误差的，房地产估价机构和注册房地产估价师不承担相应的责任。</w:t>
      </w:r>
    </w:p>
    <w:p>
      <w:pPr>
        <w:spacing w:line="360" w:lineRule="auto"/>
        <w:ind w:firstLine="480" w:firstLineChars="200"/>
        <w:rPr>
          <w:rFonts w:hint="eastAsia" w:ascii="宋体" w:hAnsi="宋体"/>
          <w:sz w:val="24"/>
          <w:szCs w:val="24"/>
        </w:rPr>
      </w:pPr>
      <w:r>
        <w:rPr>
          <w:rFonts w:hint="eastAsia" w:ascii="宋体" w:hAnsi="宋体"/>
          <w:sz w:val="24"/>
          <w:szCs w:val="24"/>
        </w:rPr>
        <w:t>6.</w:t>
      </w:r>
      <w:r>
        <w:rPr>
          <w:rFonts w:hint="eastAsia" w:ascii="楷体_GB2312" w:hAnsi="楷体_GB2312" w:eastAsia="楷体_GB2312"/>
          <w:bCs/>
          <w:sz w:val="24"/>
          <w:szCs w:val="24"/>
        </w:rPr>
        <w:t xml:space="preserve"> </w:t>
      </w:r>
      <w:r>
        <w:rPr>
          <w:rFonts w:hint="eastAsia" w:ascii="宋体" w:hAnsi="宋体"/>
          <w:sz w:val="24"/>
          <w:szCs w:val="24"/>
        </w:rPr>
        <w:t>假定估价对象概无附带可能影响其价格的负担、限制等，也未考虑快速变现等处分方式带来的影响。</w:t>
      </w:r>
    </w:p>
    <w:p>
      <w:pPr>
        <w:spacing w:line="360" w:lineRule="auto"/>
        <w:ind w:firstLine="480" w:firstLineChars="200"/>
        <w:rPr>
          <w:rFonts w:hint="eastAsia" w:ascii="宋体" w:hAnsi="宋体"/>
          <w:bCs/>
          <w:sz w:val="24"/>
          <w:szCs w:val="24"/>
        </w:rPr>
      </w:pPr>
      <w:r>
        <w:rPr>
          <w:rFonts w:hint="eastAsia" w:ascii="宋体" w:hAnsi="宋体"/>
          <w:bCs/>
          <w:sz w:val="24"/>
          <w:szCs w:val="24"/>
        </w:rPr>
        <w:t>（二）未定事项假设</w:t>
      </w:r>
    </w:p>
    <w:p>
      <w:pPr>
        <w:spacing w:line="360" w:lineRule="auto"/>
        <w:ind w:firstLine="480" w:firstLineChars="200"/>
        <w:rPr>
          <w:rFonts w:hint="eastAsia" w:ascii="宋体" w:hAnsi="宋体"/>
          <w:bCs/>
          <w:sz w:val="24"/>
          <w:szCs w:val="24"/>
        </w:rPr>
      </w:pPr>
      <w:r>
        <w:rPr>
          <w:rFonts w:hint="eastAsia" w:ascii="宋体" w:hAnsi="宋体"/>
          <w:bCs/>
          <w:sz w:val="24"/>
          <w:szCs w:val="24"/>
        </w:rPr>
        <w:t>本估价项目无未定事项假设。</w:t>
      </w:r>
    </w:p>
    <w:p>
      <w:pPr>
        <w:spacing w:line="360" w:lineRule="auto"/>
        <w:ind w:firstLine="480" w:firstLineChars="200"/>
        <w:rPr>
          <w:rFonts w:hint="eastAsia" w:ascii="宋体" w:hAnsi="宋体"/>
          <w:bCs/>
          <w:sz w:val="24"/>
          <w:szCs w:val="24"/>
        </w:rPr>
      </w:pPr>
      <w:r>
        <w:rPr>
          <w:rFonts w:hint="eastAsia" w:ascii="宋体" w:hAnsi="宋体"/>
          <w:bCs/>
          <w:sz w:val="24"/>
          <w:szCs w:val="24"/>
        </w:rPr>
        <w:t>（三）背离事实假设</w:t>
      </w:r>
    </w:p>
    <w:p>
      <w:pPr>
        <w:spacing w:line="360" w:lineRule="auto"/>
        <w:ind w:firstLine="480" w:firstLineChars="200"/>
        <w:rPr>
          <w:rFonts w:hint="eastAsia" w:ascii="宋体" w:hAnsi="宋体"/>
          <w:sz w:val="24"/>
          <w:szCs w:val="24"/>
        </w:rPr>
      </w:pPr>
      <w:r>
        <w:rPr>
          <w:rFonts w:hint="eastAsia" w:ascii="宋体" w:hAnsi="宋体"/>
          <w:sz w:val="24"/>
          <w:szCs w:val="24"/>
        </w:rPr>
        <w:t>本次估价目的是为委托方确定财产处置参考价提供参考依据而评估房地产市场价格，鉴于本报告之特定估价目的，做如下假设： </w:t>
      </w:r>
    </w:p>
    <w:p>
      <w:pPr>
        <w:spacing w:line="360" w:lineRule="auto"/>
        <w:ind w:firstLine="480" w:firstLineChars="200"/>
        <w:rPr>
          <w:rFonts w:hint="eastAsia" w:ascii="宋体" w:hAnsi="宋体"/>
          <w:sz w:val="24"/>
          <w:szCs w:val="24"/>
        </w:rPr>
      </w:pPr>
      <w:r>
        <w:rPr>
          <w:rFonts w:hint="eastAsia" w:ascii="宋体" w:hAnsi="宋体"/>
          <w:sz w:val="24"/>
          <w:szCs w:val="24"/>
        </w:rPr>
        <w:t>1、未考虑原产权人任何与估价对象有关的应缴未缴税费。 </w:t>
      </w:r>
    </w:p>
    <w:p>
      <w:pPr>
        <w:spacing w:line="360" w:lineRule="auto"/>
        <w:ind w:firstLine="480" w:firstLineChars="200"/>
        <w:rPr>
          <w:rFonts w:hint="eastAsia" w:ascii="宋体" w:hAnsi="宋体"/>
          <w:sz w:val="24"/>
          <w:szCs w:val="24"/>
        </w:rPr>
      </w:pPr>
      <w:r>
        <w:rPr>
          <w:rFonts w:hint="eastAsia" w:ascii="宋体" w:hAnsi="宋体"/>
          <w:sz w:val="24"/>
          <w:szCs w:val="24"/>
        </w:rPr>
        <w:t>2、未考虑估价对象及其所有权人已承担的债务、或有债务及经营决策失误或市场运作失当对其价格的影响。</w:t>
      </w:r>
    </w:p>
    <w:p>
      <w:pPr>
        <w:spacing w:line="360" w:lineRule="auto"/>
        <w:ind w:firstLine="480" w:firstLineChars="200"/>
        <w:rPr>
          <w:rFonts w:hint="eastAsia" w:ascii="宋体" w:hAnsi="宋体"/>
          <w:sz w:val="24"/>
          <w:szCs w:val="24"/>
        </w:rPr>
      </w:pPr>
      <w:r>
        <w:rPr>
          <w:rFonts w:hint="eastAsia" w:ascii="宋体" w:hAnsi="宋体"/>
          <w:sz w:val="24"/>
          <w:szCs w:val="24"/>
        </w:rPr>
        <w:t>3、未考虑房地产交易税费非正常负担对房地产价格的影响。</w:t>
      </w:r>
    </w:p>
    <w:p>
      <w:pPr>
        <w:spacing w:line="360" w:lineRule="auto"/>
        <w:ind w:firstLine="480" w:firstLineChars="200"/>
        <w:rPr>
          <w:rFonts w:hint="default" w:ascii="宋体" w:hAnsi="宋体" w:eastAsia="宋体"/>
          <w:sz w:val="24"/>
          <w:szCs w:val="24"/>
          <w:lang w:val="en-US" w:eastAsia="zh-CN"/>
        </w:rPr>
      </w:pPr>
      <w:r>
        <w:rPr>
          <w:rFonts w:hint="eastAsia" w:ascii="宋体" w:hAnsi="宋体"/>
          <w:sz w:val="24"/>
          <w:szCs w:val="24"/>
          <w:lang w:val="en-US" w:eastAsia="zh-CN"/>
        </w:rPr>
        <w:t>4、</w:t>
      </w:r>
      <w:r>
        <w:rPr>
          <w:rFonts w:hint="eastAsia" w:ascii="宋体" w:hAnsi="宋体"/>
          <w:bCs/>
          <w:sz w:val="24"/>
          <w:szCs w:val="24"/>
        </w:rPr>
        <w:t>于价值时点估价对象</w:t>
      </w:r>
      <w:r>
        <w:rPr>
          <w:rFonts w:hint="eastAsia" w:ascii="宋体" w:hAnsi="宋体"/>
          <w:bCs/>
          <w:sz w:val="24"/>
          <w:szCs w:val="24"/>
          <w:lang w:val="en-US" w:eastAsia="zh-CN"/>
        </w:rPr>
        <w:t>已查封、</w:t>
      </w:r>
      <w:r>
        <w:rPr>
          <w:rFonts w:hint="eastAsia" w:ascii="宋体" w:hAnsi="宋体"/>
          <w:sz w:val="24"/>
          <w:lang w:val="en-US" w:eastAsia="zh-CN"/>
        </w:rPr>
        <w:t>已抵押，本次评估不考虑</w:t>
      </w:r>
      <w:r>
        <w:rPr>
          <w:rFonts w:hint="eastAsia" w:ascii="宋体" w:hAnsi="宋体"/>
          <w:bCs/>
          <w:sz w:val="24"/>
          <w:szCs w:val="24"/>
          <w:lang w:val="en-US" w:eastAsia="zh-CN"/>
        </w:rPr>
        <w:t>已查封、</w:t>
      </w:r>
      <w:r>
        <w:rPr>
          <w:rFonts w:hint="eastAsia" w:ascii="宋体" w:hAnsi="宋体"/>
          <w:sz w:val="24"/>
          <w:lang w:val="en-US" w:eastAsia="zh-CN"/>
        </w:rPr>
        <w:t>已抵押对评估价值的影响。</w:t>
      </w:r>
    </w:p>
    <w:p>
      <w:pPr>
        <w:spacing w:line="360" w:lineRule="auto"/>
        <w:ind w:firstLine="480" w:firstLineChars="200"/>
        <w:rPr>
          <w:rFonts w:hint="eastAsia" w:ascii="宋体" w:hAnsi="宋体"/>
          <w:sz w:val="24"/>
          <w:szCs w:val="24"/>
        </w:rPr>
      </w:pPr>
      <w:r>
        <w:rPr>
          <w:rFonts w:hint="eastAsia" w:ascii="宋体" w:hAnsi="宋体"/>
          <w:sz w:val="24"/>
          <w:szCs w:val="24"/>
        </w:rPr>
        <w:t>（四）不相一致假设</w:t>
      </w:r>
    </w:p>
    <w:p>
      <w:pPr>
        <w:spacing w:line="360" w:lineRule="auto"/>
        <w:ind w:firstLine="480" w:firstLineChars="200"/>
        <w:rPr>
          <w:rFonts w:hint="eastAsia" w:ascii="宋体" w:hAnsi="宋体" w:cs="Times New Roman"/>
          <w:sz w:val="24"/>
          <w:lang w:val="en-US" w:eastAsia="zh-CN"/>
        </w:rPr>
      </w:pPr>
      <w:r>
        <w:rPr>
          <w:rFonts w:hint="eastAsia" w:ascii="宋体" w:hAnsi="宋体"/>
          <w:sz w:val="24"/>
          <w:szCs w:val="24"/>
          <w:lang w:val="en-US" w:eastAsia="zh-CN"/>
        </w:rPr>
        <w:t>诸城市不动产登记信息查询结果证明：坐落于</w:t>
      </w:r>
      <w:r>
        <w:rPr>
          <w:rFonts w:hint="eastAsia" w:ascii="宋体" w:hAnsi="宋体" w:cs="Times New Roman"/>
          <w:sz w:val="24"/>
          <w:lang w:val="en-US" w:eastAsia="zh-CN"/>
        </w:rPr>
        <w:t>纺织街288号9号楼1单元302户；</w:t>
      </w:r>
    </w:p>
    <w:p>
      <w:pPr>
        <w:spacing w:line="360" w:lineRule="auto"/>
        <w:ind w:firstLine="480" w:firstLineChars="200"/>
        <w:rPr>
          <w:rFonts w:hint="eastAsia" w:ascii="宋体" w:hAnsi="宋体"/>
          <w:sz w:val="24"/>
          <w:szCs w:val="24"/>
        </w:rPr>
      </w:pPr>
      <w:r>
        <w:rPr>
          <w:rFonts w:hint="eastAsia" w:ascii="宋体" w:hAnsi="宋体" w:cs="Times New Roman"/>
          <w:sz w:val="24"/>
          <w:lang w:val="en-US" w:eastAsia="zh-CN"/>
        </w:rPr>
        <w:t>不动产权证：坐落于明诚园小区5号楼1单元302；楼号不相一致，本次评估以</w:t>
      </w:r>
      <w:r>
        <w:rPr>
          <w:rFonts w:hint="eastAsia" w:ascii="宋体" w:hAnsi="宋体"/>
          <w:sz w:val="24"/>
          <w:szCs w:val="24"/>
          <w:lang w:val="en-US" w:eastAsia="zh-CN"/>
        </w:rPr>
        <w:t>诸城市不动产登记信息查询结果证明为准。</w:t>
      </w:r>
    </w:p>
    <w:p>
      <w:pPr>
        <w:spacing w:line="360" w:lineRule="auto"/>
        <w:ind w:firstLine="480" w:firstLineChars="200"/>
        <w:rPr>
          <w:rFonts w:hint="eastAsia" w:ascii="宋体" w:hAnsi="宋体"/>
          <w:bCs/>
          <w:sz w:val="24"/>
          <w:szCs w:val="24"/>
        </w:rPr>
      </w:pPr>
      <w:r>
        <w:rPr>
          <w:rFonts w:hint="eastAsia" w:ascii="宋体" w:hAnsi="宋体"/>
          <w:bCs/>
          <w:sz w:val="24"/>
          <w:szCs w:val="24"/>
        </w:rPr>
        <w:t>（五）依据不足假设</w:t>
      </w:r>
    </w:p>
    <w:p>
      <w:pPr>
        <w:spacing w:line="360" w:lineRule="auto"/>
        <w:ind w:firstLine="480" w:firstLineChars="200"/>
        <w:rPr>
          <w:ins w:id="0" w:author="潍坊分公司" w:date="2022-04-29T17:28:17Z"/>
          <w:rFonts w:hint="eastAsia"/>
          <w:b/>
          <w:sz w:val="24"/>
          <w:szCs w:val="24"/>
          <w:u w:val="none"/>
        </w:rPr>
      </w:pPr>
      <w:ins w:id="1" w:author="潍坊分公司" w:date="2022-04-29T17:28:14Z">
        <w:r>
          <w:rPr>
            <w:rFonts w:hint="eastAsia" w:ascii="宋体" w:hAnsi="宋体"/>
            <w:bCs/>
            <w:color w:val="auto"/>
            <w:sz w:val="24"/>
            <w:szCs w:val="24"/>
            <w:highlight w:val="none"/>
            <w:u w:val="none"/>
            <w:lang w:val="en-US" w:eastAsia="zh-CN"/>
          </w:rPr>
          <w:t>由于所有权人未到现场未能入室勘察，</w:t>
        </w:r>
      </w:ins>
      <w:ins w:id="2" w:author="潍坊分公司" w:date="2022-04-29T17:28:14Z">
        <w:r>
          <w:rPr>
            <w:rFonts w:hint="eastAsia" w:ascii="宋体" w:hAnsi="宋体"/>
            <w:color w:val="auto"/>
            <w:sz w:val="24"/>
            <w:szCs w:val="24"/>
            <w:u w:val="none"/>
          </w:rPr>
          <w:t>室内参照一般装修</w:t>
        </w:r>
      </w:ins>
      <w:ins w:id="3" w:author="潍坊分公司" w:date="2022-04-29T17:28:14Z">
        <w:r>
          <w:rPr>
            <w:rFonts w:hint="eastAsia" w:ascii="宋体" w:hAnsi="宋体"/>
            <w:color w:val="auto"/>
            <w:sz w:val="24"/>
            <w:szCs w:val="24"/>
            <w:u w:val="none"/>
            <w:lang w:eastAsia="zh-CN"/>
          </w:rPr>
          <w:t>，</w:t>
        </w:r>
      </w:ins>
      <w:ins w:id="4" w:author="潍坊分公司" w:date="2022-04-29T17:28:14Z">
        <w:r>
          <w:rPr>
            <w:rFonts w:hint="eastAsia" w:ascii="宋体" w:hAnsi="宋体"/>
            <w:color w:val="auto"/>
            <w:sz w:val="24"/>
            <w:szCs w:val="24"/>
            <w:u w:val="none"/>
            <w:lang w:val="en-US" w:eastAsia="zh-CN"/>
          </w:rPr>
          <w:t>安装木门、铝合金窗、瓷砖地面、水、电、暖、天燃气配套齐全</w:t>
        </w:r>
      </w:ins>
      <w:ins w:id="5" w:author="潍坊分公司" w:date="2022-04-29T17:28:14Z">
        <w:r>
          <w:rPr>
            <w:rFonts w:hint="eastAsia" w:ascii="宋体" w:hAnsi="宋体"/>
            <w:color w:val="auto"/>
            <w:sz w:val="24"/>
            <w:szCs w:val="24"/>
            <w:u w:val="none"/>
          </w:rPr>
          <w:t>。</w:t>
        </w:r>
      </w:ins>
      <w:bookmarkStart w:id="35" w:name="_GoBack"/>
      <w:bookmarkEnd w:id="35"/>
    </w:p>
    <w:p>
      <w:pPr>
        <w:spacing w:line="360" w:lineRule="auto"/>
        <w:ind w:firstLine="482" w:firstLineChars="200"/>
        <w:rPr>
          <w:rFonts w:hint="eastAsia"/>
          <w:b/>
          <w:sz w:val="24"/>
          <w:szCs w:val="24"/>
        </w:rPr>
      </w:pPr>
      <w:r>
        <w:rPr>
          <w:rFonts w:hint="eastAsia"/>
          <w:b/>
          <w:sz w:val="24"/>
          <w:szCs w:val="24"/>
        </w:rPr>
        <w:t>二、估价报告使用限制</w:t>
      </w:r>
    </w:p>
    <w:p>
      <w:pPr>
        <w:spacing w:line="360" w:lineRule="auto"/>
        <w:ind w:firstLine="480" w:firstLineChars="200"/>
        <w:rPr>
          <w:rFonts w:hint="eastAsia" w:ascii="宋体" w:hAnsi="宋体"/>
          <w:bCs/>
          <w:sz w:val="24"/>
          <w:szCs w:val="24"/>
        </w:rPr>
      </w:pPr>
      <w:r>
        <w:rPr>
          <w:rFonts w:hint="eastAsia" w:ascii="宋体" w:hAnsi="宋体"/>
          <w:bCs/>
          <w:sz w:val="24"/>
          <w:szCs w:val="24"/>
        </w:rPr>
        <w:t>（一）本估价报告仅</w:t>
      </w:r>
      <w:r>
        <w:rPr>
          <w:rFonts w:hint="eastAsia" w:ascii="宋体" w:hAnsi="宋体"/>
          <w:sz w:val="24"/>
          <w:szCs w:val="24"/>
        </w:rPr>
        <w:t>为委托方确定财产处置参考价提供参考依据</w:t>
      </w:r>
      <w:r>
        <w:rPr>
          <w:rFonts w:hint="eastAsia" w:ascii="宋体" w:hAnsi="宋体"/>
          <w:bCs/>
          <w:sz w:val="24"/>
          <w:szCs w:val="24"/>
        </w:rPr>
        <w:t>，不做他用。本估价报告书必须完整使用，对仅使用其中部分内容所导致的损失，我们不承担责任。</w:t>
      </w:r>
    </w:p>
    <w:p>
      <w:pPr>
        <w:spacing w:line="360" w:lineRule="auto"/>
        <w:ind w:firstLine="480" w:firstLineChars="200"/>
        <w:rPr>
          <w:rFonts w:hint="eastAsia" w:ascii="宋体" w:hAnsi="宋体"/>
          <w:bCs/>
          <w:sz w:val="24"/>
          <w:szCs w:val="24"/>
        </w:rPr>
      </w:pPr>
      <w:r>
        <w:rPr>
          <w:rFonts w:hint="eastAsia" w:ascii="宋体" w:hAnsi="宋体"/>
          <w:bCs/>
          <w:sz w:val="24"/>
          <w:szCs w:val="24"/>
        </w:rPr>
        <w:t>（二）</w:t>
      </w:r>
      <w:r>
        <w:rPr>
          <w:rFonts w:hint="eastAsia" w:ascii="宋体" w:hAnsi="宋体"/>
          <w:sz w:val="24"/>
          <w:szCs w:val="24"/>
        </w:rPr>
        <w:t>本估价报告使用期限自估价报告出具之日起为一年。</w:t>
      </w:r>
      <w:r>
        <w:rPr>
          <w:rFonts w:hint="eastAsia" w:ascii="宋体" w:hAnsi="宋体"/>
          <w:bCs/>
          <w:sz w:val="24"/>
          <w:szCs w:val="24"/>
        </w:rPr>
        <w:t>如超过使用期限，或价值时点之后、使用期限之内估价对象或国家经济形势、城市规划、房地产税费政策等发生变化，对估价结果产生明显影响时，估价委托人应及时聘请房地产估价机构对估价结果作相应调整或重新估价。</w:t>
      </w:r>
    </w:p>
    <w:p>
      <w:pPr>
        <w:spacing w:line="360" w:lineRule="auto"/>
        <w:ind w:firstLine="480" w:firstLineChars="200"/>
        <w:rPr>
          <w:rFonts w:hint="eastAsia" w:ascii="宋体" w:hAnsi="宋体"/>
          <w:bCs/>
          <w:sz w:val="24"/>
          <w:szCs w:val="24"/>
        </w:rPr>
      </w:pPr>
      <w:r>
        <w:rPr>
          <w:rFonts w:hint="eastAsia" w:ascii="宋体" w:hAnsi="宋体"/>
          <w:bCs/>
          <w:sz w:val="24"/>
          <w:szCs w:val="24"/>
        </w:rPr>
        <w:t>（三）</w:t>
      </w:r>
      <w:r>
        <w:rPr>
          <w:rFonts w:hint="eastAsia" w:ascii="宋体" w:hAnsi="宋体"/>
          <w:sz w:val="24"/>
          <w:szCs w:val="24"/>
        </w:rPr>
        <w:t>本次估价结果为估价对象于价值时点的价格，提醒报告使用者谨慎使用估价报告。</w:t>
      </w:r>
    </w:p>
    <w:p>
      <w:pPr>
        <w:spacing w:line="360" w:lineRule="auto"/>
        <w:ind w:firstLine="480" w:firstLineChars="200"/>
        <w:rPr>
          <w:rFonts w:hint="eastAsia" w:ascii="宋体" w:hAnsi="宋体"/>
          <w:sz w:val="24"/>
          <w:szCs w:val="24"/>
        </w:rPr>
      </w:pPr>
      <w:r>
        <w:rPr>
          <w:rFonts w:hint="eastAsia" w:ascii="宋体" w:hAnsi="宋体"/>
          <w:bCs/>
          <w:sz w:val="24"/>
          <w:szCs w:val="24"/>
        </w:rPr>
        <w:t>（四）本估价报告需经注册房地产估价师签名或盖章并加盖房地产估价机构公章作为一个整体时有效，复印件无效。并且本评估报告的全文作为一个不可分割的整体，若仅有部分内容，则不能成为有效的估价报告。</w:t>
      </w:r>
    </w:p>
    <w:p>
      <w:pPr>
        <w:spacing w:line="360" w:lineRule="auto"/>
        <w:ind w:firstLine="480" w:firstLineChars="200"/>
        <w:rPr>
          <w:rFonts w:hint="eastAsia" w:ascii="宋体" w:hAnsi="宋体"/>
          <w:sz w:val="24"/>
          <w:szCs w:val="24"/>
        </w:rPr>
      </w:pPr>
      <w:r>
        <w:rPr>
          <w:rFonts w:hint="eastAsia" w:ascii="宋体" w:hAnsi="宋体"/>
          <w:bCs/>
          <w:sz w:val="24"/>
          <w:szCs w:val="24"/>
        </w:rPr>
        <w:t>（五）未经房地产估价机构书面同意，本估价报告的全部或部分及任何参考资料均不允许在任何公开发表的文件、通告或声明中引用，亦不得以其他任何方式公开发表</w:t>
      </w:r>
      <w:r>
        <w:rPr>
          <w:rFonts w:hint="eastAsia" w:ascii="宋体" w:hAnsi="宋体"/>
          <w:sz w:val="24"/>
          <w:szCs w:val="24"/>
        </w:rPr>
        <w:t>。</w:t>
      </w:r>
    </w:p>
    <w:p>
      <w:pPr>
        <w:pStyle w:val="2"/>
        <w:keepNext w:val="0"/>
        <w:keepLines w:val="0"/>
        <w:spacing w:line="360" w:lineRule="auto"/>
        <w:ind w:firstLine="480" w:firstLineChars="200"/>
        <w:jc w:val="both"/>
        <w:rPr>
          <w:del w:id="6" w:author="潍坊分公司" w:date="2022-04-29T17:28:48Z"/>
          <w:rFonts w:ascii="宋体" w:hAnsi="宋体"/>
          <w:b w:val="0"/>
          <w:bCs w:val="0"/>
        </w:rPr>
      </w:pPr>
      <w:del w:id="7" w:author="潍坊分公司" w:date="2022-04-29T17:28:48Z">
        <w:r>
          <w:rPr>
            <w:rFonts w:hint="eastAsia" w:ascii="宋体" w:hAnsi="宋体"/>
            <w:b w:val="0"/>
            <w:bCs w:val="0"/>
            <w:sz w:val="24"/>
            <w:szCs w:val="24"/>
            <w:highlight w:val="none"/>
            <w:lang w:val="en-US" w:eastAsia="zh-CN"/>
          </w:rPr>
          <w:delText>（六）由于所有权人未到现场未能入室勘查，室内参照一般装修。</w:delText>
        </w:r>
      </w:del>
    </w:p>
    <w:p/>
    <w:p/>
    <w:p/>
    <w:p/>
    <w:p>
      <w:pPr>
        <w:pStyle w:val="2"/>
        <w:spacing w:line="360" w:lineRule="auto"/>
        <w:jc w:val="center"/>
        <w:rPr>
          <w:rFonts w:ascii="宋体" w:hAnsi="宋体"/>
          <w:b w:val="0"/>
          <w:bCs w:val="0"/>
        </w:rPr>
      </w:pPr>
      <w:bookmarkStart w:id="2" w:name="_Toc52372802"/>
      <w:r>
        <w:rPr>
          <w:rFonts w:hint="eastAsia" w:ascii="宋体" w:hAnsi="宋体"/>
        </w:rPr>
        <w:t>估价结果报告</w:t>
      </w:r>
      <w:bookmarkEnd w:id="2"/>
    </w:p>
    <w:p>
      <w:pPr>
        <w:spacing w:line="360" w:lineRule="auto"/>
        <w:ind w:firstLine="482" w:firstLineChars="200"/>
        <w:outlineLvl w:val="0"/>
        <w:rPr>
          <w:rFonts w:asciiTheme="minorEastAsia" w:hAnsiTheme="minorEastAsia" w:eastAsiaTheme="minorEastAsia"/>
          <w:b/>
          <w:sz w:val="24"/>
        </w:rPr>
      </w:pPr>
      <w:bookmarkStart w:id="3" w:name="_Toc52372803"/>
      <w:r>
        <w:rPr>
          <w:rFonts w:hint="eastAsia" w:asciiTheme="minorEastAsia" w:hAnsiTheme="minorEastAsia" w:eastAsiaTheme="minorEastAsia"/>
          <w:b/>
          <w:sz w:val="24"/>
        </w:rPr>
        <w:t>一、估价委托人</w:t>
      </w:r>
      <w:bookmarkEnd w:id="3"/>
    </w:p>
    <w:p>
      <w:pPr>
        <w:pStyle w:val="31"/>
        <w:spacing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名称：诸城市人民法院</w:t>
      </w:r>
    </w:p>
    <w:p>
      <w:pPr>
        <w:pStyle w:val="31"/>
        <w:spacing w:line="360" w:lineRule="auto"/>
        <w:ind w:firstLine="480"/>
        <w:rPr>
          <w:rFonts w:asciiTheme="minorEastAsia" w:hAnsiTheme="minorEastAsia" w:eastAsiaTheme="minorEastAsia"/>
          <w:bCs/>
          <w:sz w:val="24"/>
          <w:szCs w:val="24"/>
        </w:rPr>
      </w:pPr>
      <w:r>
        <w:rPr>
          <w:rFonts w:hint="eastAsia" w:asciiTheme="minorEastAsia" w:hAnsiTheme="minorEastAsia" w:eastAsiaTheme="minorEastAsia"/>
          <w:bCs/>
          <w:sz w:val="24"/>
          <w:szCs w:val="24"/>
        </w:rPr>
        <w:t>地址</w:t>
      </w:r>
      <w:r>
        <w:rPr>
          <w:rFonts w:hint="eastAsia" w:asciiTheme="minorEastAsia" w:hAnsiTheme="minorEastAsia" w:eastAsiaTheme="minorEastAsia"/>
          <w:bCs/>
          <w:sz w:val="24"/>
          <w:szCs w:val="24"/>
          <w:lang w:eastAsia="zh-CN"/>
        </w:rPr>
        <w:t>：</w:t>
      </w:r>
      <w:r>
        <w:rPr>
          <w:rFonts w:hint="eastAsia" w:ascii="宋体" w:hAnsi="宋体"/>
          <w:bCs/>
          <w:sz w:val="24"/>
          <w:szCs w:val="24"/>
          <w:lang w:val="en-US" w:eastAsia="zh-CN"/>
        </w:rPr>
        <w:t>诸城市舜都路71号</w:t>
      </w:r>
    </w:p>
    <w:p>
      <w:pPr>
        <w:spacing w:line="360" w:lineRule="auto"/>
        <w:ind w:firstLine="482" w:firstLineChars="200"/>
        <w:outlineLvl w:val="0"/>
        <w:rPr>
          <w:rFonts w:asciiTheme="minorEastAsia" w:hAnsiTheme="minorEastAsia" w:eastAsiaTheme="minorEastAsia"/>
          <w:b/>
          <w:sz w:val="24"/>
        </w:rPr>
      </w:pPr>
      <w:bookmarkStart w:id="4" w:name="_Toc52372804"/>
      <w:r>
        <w:rPr>
          <w:rFonts w:hint="eastAsia" w:asciiTheme="minorEastAsia" w:hAnsiTheme="minorEastAsia" w:eastAsiaTheme="minorEastAsia"/>
          <w:b/>
          <w:sz w:val="24"/>
        </w:rPr>
        <w:t>二、房地产估价机构</w:t>
      </w:r>
      <w:bookmarkEnd w:id="4"/>
    </w:p>
    <w:p>
      <w:pPr>
        <w:pStyle w:val="31"/>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机构名称：山东鲁业房地产土地评估有限公司</w:t>
      </w:r>
    </w:p>
    <w:p>
      <w:pPr>
        <w:pStyle w:val="31"/>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法人代表：田茂强</w:t>
      </w:r>
    </w:p>
    <w:p>
      <w:pPr>
        <w:pStyle w:val="31"/>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地    址：青岛市市北区敦化路328号2号楼2016户</w:t>
      </w:r>
    </w:p>
    <w:p>
      <w:pPr>
        <w:pStyle w:val="31"/>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备案等级：一级</w:t>
      </w:r>
    </w:p>
    <w:p>
      <w:pPr>
        <w:pStyle w:val="31"/>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证书编号：鲁评021010</w:t>
      </w:r>
    </w:p>
    <w:p>
      <w:pPr>
        <w:numPr>
          <w:ilvl w:val="0"/>
          <w:numId w:val="1"/>
        </w:numPr>
        <w:spacing w:line="360" w:lineRule="auto"/>
        <w:ind w:firstLine="482" w:firstLineChars="200"/>
        <w:outlineLvl w:val="0"/>
        <w:rPr>
          <w:rFonts w:asciiTheme="minorEastAsia" w:hAnsiTheme="minorEastAsia" w:eastAsiaTheme="minorEastAsia"/>
          <w:b/>
          <w:sz w:val="24"/>
        </w:rPr>
      </w:pPr>
      <w:bookmarkStart w:id="5" w:name="_Toc52372805"/>
      <w:r>
        <w:rPr>
          <w:rFonts w:hint="eastAsia" w:asciiTheme="minorEastAsia" w:hAnsiTheme="minorEastAsia" w:eastAsiaTheme="minorEastAsia"/>
          <w:b/>
          <w:sz w:val="24"/>
        </w:rPr>
        <w:t>估价对象</w:t>
      </w:r>
      <w:bookmarkEnd w:id="5"/>
    </w:p>
    <w:p>
      <w:pPr>
        <w:spacing w:line="360" w:lineRule="auto"/>
        <w:ind w:firstLine="480" w:firstLineChars="200"/>
        <w:rPr>
          <w:rFonts w:hint="eastAsia" w:ascii="宋体" w:hAnsi="宋体"/>
          <w:bCs/>
          <w:sz w:val="24"/>
          <w:szCs w:val="24"/>
        </w:rPr>
      </w:pPr>
      <w:r>
        <w:rPr>
          <w:rFonts w:hint="eastAsia" w:ascii="宋体" w:hAnsi="宋体"/>
          <w:bCs/>
          <w:sz w:val="24"/>
          <w:szCs w:val="24"/>
        </w:rPr>
        <w:t>(一)估价对象范围</w:t>
      </w:r>
    </w:p>
    <w:p>
      <w:pPr>
        <w:adjustRightInd w:val="0"/>
        <w:snapToGrid w:val="0"/>
        <w:spacing w:line="360" w:lineRule="auto"/>
        <w:ind w:firstLine="480" w:firstLineChars="200"/>
        <w:rPr>
          <w:rFonts w:hint="eastAsia" w:ascii="宋体" w:hAnsi="宋体"/>
          <w:b/>
          <w:szCs w:val="21"/>
        </w:rPr>
      </w:pPr>
      <w:r>
        <w:rPr>
          <w:rFonts w:hint="eastAsia" w:ascii="宋体" w:hAnsi="宋体"/>
          <w:sz w:val="24"/>
          <w:szCs w:val="24"/>
          <w:highlight w:val="none"/>
        </w:rPr>
        <w:t>本次估价对象为</w:t>
      </w:r>
      <w:r>
        <w:rPr>
          <w:rFonts w:hint="eastAsia" w:ascii="宋体" w:hAnsi="宋体"/>
          <w:sz w:val="24"/>
          <w:lang w:val="en-US" w:eastAsia="zh-CN"/>
        </w:rPr>
        <w:t>徐志扬（身份证号：370728195905230216）名下</w:t>
      </w:r>
      <w:r>
        <w:rPr>
          <w:rFonts w:hint="eastAsia" w:ascii="宋体" w:hAnsi="宋体"/>
          <w:sz w:val="24"/>
        </w:rPr>
        <w:t>所有的位</w:t>
      </w:r>
      <w:r>
        <w:rPr>
          <w:rFonts w:hint="eastAsia" w:ascii="宋体" w:hAnsi="宋体" w:eastAsia="宋体" w:cs="Times New Roman"/>
          <w:sz w:val="24"/>
          <w:lang w:val="en-US" w:eastAsia="zh-CN"/>
        </w:rPr>
        <w:t>于</w:t>
      </w:r>
      <w:r>
        <w:rPr>
          <w:rFonts w:hint="eastAsia" w:ascii="宋体" w:hAnsi="宋体" w:cs="Times New Roman"/>
          <w:sz w:val="24"/>
          <w:lang w:val="en-US" w:eastAsia="zh-CN"/>
        </w:rPr>
        <w:t>诸城市纺织街288号9号楼1单元302户房产及附房，</w:t>
      </w:r>
      <w:r>
        <w:rPr>
          <w:rFonts w:hint="eastAsia" w:ascii="宋体" w:hAnsi="宋体"/>
          <w:sz w:val="24"/>
          <w:szCs w:val="24"/>
        </w:rPr>
        <w:t>本次估价仅针对估价对象分摊的土地使用权、房产权利权益价格、装饰装修，不包括室内可移动设施等动产及债权债务、特许经营权等其他财产或者权益。</w:t>
      </w:r>
    </w:p>
    <w:p>
      <w:pPr>
        <w:numPr>
          <w:ilvl w:val="0"/>
          <w:numId w:val="2"/>
        </w:numPr>
        <w:spacing w:line="360" w:lineRule="auto"/>
        <w:ind w:firstLine="480" w:firstLineChars="200"/>
        <w:rPr>
          <w:rFonts w:hint="eastAsia" w:ascii="宋体" w:hAnsi="宋体"/>
          <w:bCs/>
          <w:sz w:val="24"/>
          <w:szCs w:val="24"/>
        </w:rPr>
      </w:pPr>
      <w:r>
        <w:rPr>
          <w:rFonts w:hint="eastAsia" w:ascii="宋体" w:hAnsi="宋体"/>
          <w:bCs/>
          <w:sz w:val="24"/>
          <w:szCs w:val="24"/>
        </w:rPr>
        <w:t>估价对象实物状况</w:t>
      </w:r>
    </w:p>
    <w:p>
      <w:pPr>
        <w:spacing w:line="360" w:lineRule="auto"/>
        <w:ind w:firstLine="480" w:firstLineChars="200"/>
        <w:rPr>
          <w:rFonts w:hint="eastAsia" w:ascii="宋体" w:hAnsi="宋体"/>
          <w:bCs/>
          <w:sz w:val="24"/>
          <w:szCs w:val="24"/>
        </w:rPr>
      </w:pPr>
      <w:r>
        <w:rPr>
          <w:rFonts w:hint="eastAsia" w:ascii="宋体" w:hAnsi="宋体"/>
          <w:bCs/>
          <w:sz w:val="24"/>
          <w:szCs w:val="24"/>
        </w:rPr>
        <w:t>1、建筑物基本情况</w:t>
      </w:r>
    </w:p>
    <w:p>
      <w:pPr>
        <w:spacing w:line="360" w:lineRule="auto"/>
        <w:ind w:firstLine="480" w:firstLineChars="200"/>
        <w:rPr>
          <w:rFonts w:hint="default" w:ascii="宋体" w:hAnsi="宋体" w:eastAsia="宋体"/>
          <w:bCs/>
          <w:sz w:val="24"/>
          <w:szCs w:val="24"/>
          <w:highlight w:val="yellow"/>
          <w:lang w:val="en-US" w:eastAsia="zh-CN"/>
        </w:rPr>
      </w:pPr>
      <w:r>
        <w:rPr>
          <w:rFonts w:hint="eastAsia" w:ascii="宋体" w:hAnsi="宋体"/>
          <w:bCs/>
          <w:sz w:val="24"/>
          <w:szCs w:val="24"/>
          <w:highlight w:val="none"/>
        </w:rPr>
        <w:t>估价对象位</w:t>
      </w:r>
      <w:r>
        <w:rPr>
          <w:rFonts w:hint="eastAsia" w:ascii="宋体" w:hAnsi="宋体"/>
          <w:sz w:val="24"/>
          <w:szCs w:val="24"/>
          <w:highlight w:val="none"/>
        </w:rPr>
        <w:t>于</w:t>
      </w:r>
      <w:r>
        <w:rPr>
          <w:rFonts w:hint="eastAsia" w:ascii="宋体" w:hAnsi="宋体" w:cs="Times New Roman"/>
          <w:sz w:val="24"/>
          <w:highlight w:val="none"/>
          <w:lang w:val="en-US" w:eastAsia="zh-CN"/>
        </w:rPr>
        <w:t>诸城市纺织街288号9号楼1单元302户房产及附房</w:t>
      </w:r>
      <w:r>
        <w:rPr>
          <w:rFonts w:hint="eastAsia" w:ascii="宋体" w:hAnsi="宋体"/>
          <w:sz w:val="24"/>
          <w:szCs w:val="24"/>
          <w:highlight w:val="none"/>
        </w:rPr>
        <w:t>，</w:t>
      </w:r>
      <w:r>
        <w:rPr>
          <w:rFonts w:hint="eastAsia" w:ascii="宋体" w:hAnsi="宋体"/>
          <w:sz w:val="24"/>
          <w:szCs w:val="24"/>
          <w:highlight w:val="none"/>
          <w:lang w:val="en-US" w:eastAsia="zh-CN"/>
        </w:rPr>
        <w:t>位于明诚园小区内，</w:t>
      </w:r>
      <w:r>
        <w:rPr>
          <w:rFonts w:hint="eastAsia" w:ascii="宋体" w:hAnsi="宋体"/>
          <w:sz w:val="24"/>
          <w:szCs w:val="24"/>
          <w:highlight w:val="none"/>
        </w:rPr>
        <w:t>用途为住宅，</w:t>
      </w:r>
      <w:r>
        <w:rPr>
          <w:rFonts w:hint="eastAsia" w:ascii="宋体" w:hAnsi="宋体" w:cs="Times New Roman"/>
          <w:sz w:val="24"/>
          <w:lang w:val="en-US" w:eastAsia="zh-CN"/>
        </w:rPr>
        <w:t>主房</w:t>
      </w:r>
      <w:r>
        <w:rPr>
          <w:rFonts w:hint="eastAsia" w:ascii="宋体" w:hAnsi="宋体"/>
          <w:sz w:val="24"/>
          <w:highlight w:val="none"/>
          <w:lang w:val="en-US" w:eastAsia="zh-CN"/>
        </w:rPr>
        <w:t>建筑面积为77.79㎡，附房建筑面积为13.5㎡。</w:t>
      </w:r>
      <w:r>
        <w:rPr>
          <w:rFonts w:hint="eastAsia"/>
          <w:sz w:val="24"/>
          <w:lang w:val="en-US" w:eastAsia="zh-CN"/>
        </w:rPr>
        <w:t>本栋楼总层数5层，其中地上1层为储藏室，2-5层为住宅。估价对象所在层数为4层（房号为302号），2001年左右建成</w:t>
      </w:r>
      <w:r>
        <w:rPr>
          <w:rFonts w:hint="eastAsia" w:ascii="宋体" w:hAnsi="宋体"/>
          <w:bCs/>
          <w:sz w:val="24"/>
          <w:szCs w:val="24"/>
          <w:highlight w:val="none"/>
        </w:rPr>
        <w:t>。外墙装饰为：</w:t>
      </w:r>
      <w:r>
        <w:rPr>
          <w:rFonts w:hint="eastAsia" w:ascii="宋体" w:hAnsi="宋体"/>
          <w:bCs/>
          <w:sz w:val="24"/>
          <w:szCs w:val="24"/>
          <w:highlight w:val="none"/>
          <w:lang w:val="en-US" w:eastAsia="zh-CN"/>
        </w:rPr>
        <w:t>涂料外墙，单元防盗门，入户铁防盗门，铝合金窗。</w:t>
      </w:r>
      <w:ins w:id="8" w:author="潍坊分公司" w:date="2022-04-29T17:29:04Z">
        <w:r>
          <w:rPr>
            <w:rFonts w:hint="eastAsia" w:ascii="宋体" w:hAnsi="宋体"/>
            <w:bCs/>
            <w:sz w:val="24"/>
            <w:szCs w:val="24"/>
            <w:highlight w:val="none"/>
            <w:lang w:val="en-US" w:eastAsia="zh-CN"/>
          </w:rPr>
          <w:t>由于所有权人未到现场未能入室勘察，</w:t>
        </w:r>
      </w:ins>
      <w:ins w:id="9" w:author="潍坊分公司" w:date="2022-04-29T17:29:04Z">
        <w:r>
          <w:rPr>
            <w:rFonts w:hint="eastAsia" w:ascii="宋体" w:hAnsi="宋体"/>
            <w:color w:val="auto"/>
            <w:sz w:val="24"/>
            <w:szCs w:val="24"/>
            <w:rPrChange w:id="10" w:author="潍坊分公司" w:date="2022-04-29T17:29:12Z">
              <w:rPr>
                <w:rFonts w:hint="eastAsia" w:ascii="宋体" w:hAnsi="宋体"/>
                <w:color w:val="FF0000"/>
                <w:sz w:val="24"/>
                <w:szCs w:val="24"/>
              </w:rPr>
            </w:rPrChange>
          </w:rPr>
          <w:t>室内参照一般装修</w:t>
        </w:r>
      </w:ins>
      <w:ins w:id="11" w:author="潍坊分公司" w:date="2022-04-29T17:29:04Z">
        <w:r>
          <w:rPr>
            <w:rFonts w:hint="eastAsia" w:ascii="宋体" w:hAnsi="宋体"/>
            <w:color w:val="auto"/>
            <w:sz w:val="24"/>
            <w:szCs w:val="24"/>
            <w:lang w:eastAsia="zh-CN"/>
            <w:rPrChange w:id="12" w:author="潍坊分公司" w:date="2022-04-29T17:29:12Z">
              <w:rPr>
                <w:rFonts w:hint="eastAsia" w:ascii="宋体" w:hAnsi="宋体"/>
                <w:color w:val="FF0000"/>
                <w:sz w:val="24"/>
                <w:szCs w:val="24"/>
                <w:lang w:eastAsia="zh-CN"/>
              </w:rPr>
            </w:rPrChange>
          </w:rPr>
          <w:t>，</w:t>
        </w:r>
      </w:ins>
      <w:ins w:id="13" w:author="潍坊分公司" w:date="2022-04-29T17:29:04Z">
        <w:r>
          <w:rPr>
            <w:rFonts w:hint="eastAsia" w:ascii="宋体" w:hAnsi="宋体"/>
            <w:color w:val="auto"/>
            <w:sz w:val="24"/>
            <w:szCs w:val="24"/>
            <w:lang w:val="en-US" w:eastAsia="zh-CN"/>
            <w:rPrChange w:id="14" w:author="潍坊分公司" w:date="2022-04-29T17:29:12Z">
              <w:rPr>
                <w:rFonts w:hint="eastAsia" w:ascii="宋体" w:hAnsi="宋体"/>
                <w:color w:val="FF0000"/>
                <w:sz w:val="24"/>
                <w:szCs w:val="24"/>
                <w:lang w:val="en-US" w:eastAsia="zh-CN"/>
              </w:rPr>
            </w:rPrChange>
          </w:rPr>
          <w:t>安装木门、铝合金窗、瓷砖地面、水、电、暖、天燃气配套齐全</w:t>
        </w:r>
      </w:ins>
      <w:ins w:id="15" w:author="潍坊分公司" w:date="2022-04-29T17:29:04Z">
        <w:r>
          <w:rPr>
            <w:rFonts w:hint="eastAsia" w:ascii="宋体" w:hAnsi="宋体"/>
            <w:color w:val="auto"/>
            <w:sz w:val="24"/>
            <w:szCs w:val="24"/>
            <w:rPrChange w:id="16" w:author="潍坊分公司" w:date="2022-04-29T17:29:12Z">
              <w:rPr>
                <w:rFonts w:hint="eastAsia" w:ascii="宋体" w:hAnsi="宋体"/>
                <w:color w:val="FF0000"/>
                <w:sz w:val="24"/>
                <w:szCs w:val="24"/>
              </w:rPr>
            </w:rPrChange>
          </w:rPr>
          <w:t>。</w:t>
        </w:r>
      </w:ins>
      <w:del w:id="17" w:author="潍坊分公司" w:date="2022-04-29T17:29:04Z">
        <w:r>
          <w:rPr>
            <w:rFonts w:hint="eastAsia" w:ascii="宋体" w:hAnsi="宋体"/>
            <w:bCs/>
            <w:color w:val="auto"/>
            <w:sz w:val="24"/>
            <w:szCs w:val="24"/>
            <w:highlight w:val="none"/>
            <w:lang w:val="en-US" w:eastAsia="zh-CN"/>
            <w:rPrChange w:id="18" w:author="潍坊分公司" w:date="2022-04-29T17:29:12Z">
              <w:rPr>
                <w:rFonts w:hint="eastAsia" w:ascii="宋体" w:hAnsi="宋体"/>
                <w:bCs/>
                <w:sz w:val="24"/>
                <w:szCs w:val="24"/>
                <w:highlight w:val="none"/>
                <w:lang w:val="en-US" w:eastAsia="zh-CN"/>
              </w:rPr>
            </w:rPrChange>
          </w:rPr>
          <w:delText>由于所有权人未到现场未能入室勘察</w:delText>
        </w:r>
      </w:del>
      <w:del w:id="19" w:author="潍坊分公司" w:date="2022-04-29T17:29:15Z">
        <w:r>
          <w:rPr>
            <w:rFonts w:hint="eastAsia" w:ascii="宋体" w:hAnsi="宋体"/>
            <w:bCs/>
            <w:color w:val="auto"/>
            <w:sz w:val="24"/>
            <w:szCs w:val="24"/>
            <w:highlight w:val="none"/>
            <w:lang w:val="en-US" w:eastAsia="zh-CN"/>
            <w:rPrChange w:id="20" w:author="潍坊分公司" w:date="2022-04-29T17:29:12Z">
              <w:rPr>
                <w:rFonts w:hint="eastAsia" w:ascii="宋体" w:hAnsi="宋体"/>
                <w:bCs/>
                <w:sz w:val="24"/>
                <w:szCs w:val="24"/>
                <w:highlight w:val="none"/>
                <w:lang w:val="en-US" w:eastAsia="zh-CN"/>
              </w:rPr>
            </w:rPrChange>
          </w:rPr>
          <w:delText>。</w:delText>
        </w:r>
      </w:del>
    </w:p>
    <w:p>
      <w:pPr>
        <w:numPr>
          <w:ilvl w:val="0"/>
          <w:numId w:val="3"/>
        </w:numPr>
        <w:spacing w:line="360" w:lineRule="auto"/>
        <w:ind w:firstLine="480" w:firstLineChars="200"/>
        <w:rPr>
          <w:rFonts w:hint="eastAsia" w:ascii="宋体" w:hAnsi="宋体"/>
          <w:bCs/>
          <w:sz w:val="24"/>
          <w:szCs w:val="24"/>
        </w:rPr>
      </w:pPr>
      <w:r>
        <w:rPr>
          <w:rFonts w:hint="eastAsia" w:ascii="宋体" w:hAnsi="宋体"/>
          <w:bCs/>
          <w:sz w:val="24"/>
          <w:szCs w:val="24"/>
        </w:rPr>
        <w:t>土地基本情况</w:t>
      </w:r>
    </w:p>
    <w:p>
      <w:pPr>
        <w:spacing w:line="360" w:lineRule="auto"/>
        <w:ind w:firstLine="480" w:firstLineChars="200"/>
        <w:rPr>
          <w:rFonts w:hint="eastAsia" w:ascii="宋体" w:hAnsi="宋体"/>
          <w:sz w:val="24"/>
          <w:lang w:val="en-US" w:eastAsia="zh-CN"/>
        </w:rPr>
      </w:pPr>
      <w:r>
        <w:rPr>
          <w:rFonts w:hint="eastAsia" w:ascii="宋体" w:hAnsi="宋体"/>
          <w:sz w:val="24"/>
          <w:szCs w:val="24"/>
        </w:rPr>
        <w:t>①四至：估价对象</w:t>
      </w:r>
      <w:r>
        <w:rPr>
          <w:rFonts w:hint="eastAsia" w:ascii="宋体" w:hAnsi="宋体"/>
          <w:sz w:val="24"/>
          <w:lang w:val="en-US" w:eastAsia="zh-CN"/>
        </w:rPr>
        <w:t>北临兴华西路，西临纺织街，交通便利。附近有诸城一中名诚家园、西苑小区、龙都东苑住宅小区等，生活设施完善、小区生活便利。生活设施完善，生活便利。</w:t>
      </w:r>
    </w:p>
    <w:p>
      <w:pPr>
        <w:spacing w:line="360" w:lineRule="auto"/>
        <w:ind w:firstLine="480" w:firstLineChars="200"/>
        <w:rPr>
          <w:rFonts w:hint="eastAsia" w:ascii="宋体" w:hAnsi="宋体"/>
          <w:bCs/>
          <w:sz w:val="24"/>
          <w:szCs w:val="24"/>
        </w:rPr>
      </w:pPr>
      <w:r>
        <w:rPr>
          <w:rFonts w:hint="eastAsia" w:ascii="宋体" w:hAnsi="宋体"/>
          <w:sz w:val="24"/>
          <w:szCs w:val="24"/>
          <w:lang w:val="en-US" w:eastAsia="zh-CN"/>
        </w:rPr>
        <w:t>②</w:t>
      </w:r>
      <w:r>
        <w:rPr>
          <w:rFonts w:hint="eastAsia" w:ascii="宋体" w:hAnsi="宋体"/>
          <w:bCs/>
          <w:sz w:val="24"/>
          <w:szCs w:val="24"/>
        </w:rPr>
        <w:t>开发程度：估价对象所在建筑周边,地势较平坦，地质条件较好，土地承载力高，开发程度较高，达到七通一平。</w:t>
      </w:r>
    </w:p>
    <w:p>
      <w:pPr>
        <w:spacing w:line="360" w:lineRule="auto"/>
        <w:ind w:firstLine="480" w:firstLineChars="200"/>
        <w:rPr>
          <w:rFonts w:hint="eastAsia" w:ascii="宋体" w:hAnsi="宋体"/>
          <w:bCs/>
          <w:sz w:val="24"/>
          <w:szCs w:val="24"/>
        </w:rPr>
      </w:pPr>
      <w:r>
        <w:rPr>
          <w:rFonts w:hint="eastAsia" w:ascii="宋体" w:hAnsi="宋体"/>
          <w:bCs/>
          <w:sz w:val="24"/>
          <w:szCs w:val="24"/>
        </w:rPr>
        <w:t>（三）估价对象区位状况</w:t>
      </w:r>
    </w:p>
    <w:p>
      <w:pPr>
        <w:spacing w:line="360" w:lineRule="auto"/>
        <w:ind w:firstLine="480" w:firstLineChars="200"/>
        <w:rPr>
          <w:rFonts w:hint="eastAsia" w:ascii="宋体" w:hAnsi="宋体"/>
          <w:sz w:val="24"/>
          <w:szCs w:val="24"/>
        </w:rPr>
      </w:pPr>
      <w:r>
        <w:rPr>
          <w:rFonts w:hint="eastAsia" w:ascii="宋体" w:hAnsi="宋体"/>
          <w:bCs/>
          <w:sz w:val="24"/>
          <w:szCs w:val="24"/>
        </w:rPr>
        <w:t>位    置：</w:t>
      </w:r>
      <w:r>
        <w:rPr>
          <w:rFonts w:hint="eastAsia" w:ascii="宋体" w:hAnsi="宋体"/>
          <w:bCs/>
          <w:sz w:val="24"/>
          <w:szCs w:val="24"/>
          <w:highlight w:val="none"/>
          <w:lang w:val="en-US" w:eastAsia="zh-CN"/>
        </w:rPr>
        <w:t>诸城市纺织街288号明诚园小区9号楼1单元302户</w:t>
      </w:r>
      <w:r>
        <w:rPr>
          <w:rFonts w:hint="eastAsia" w:ascii="宋体" w:hAnsi="宋体"/>
          <w:sz w:val="24"/>
          <w:szCs w:val="24"/>
        </w:rPr>
        <w:t>。</w:t>
      </w:r>
    </w:p>
    <w:p>
      <w:pPr>
        <w:spacing w:line="360" w:lineRule="auto"/>
        <w:ind w:firstLine="480" w:firstLineChars="200"/>
        <w:rPr>
          <w:rFonts w:hint="eastAsia" w:ascii="宋体" w:hAnsi="宋体"/>
          <w:sz w:val="24"/>
          <w:szCs w:val="24"/>
        </w:rPr>
      </w:pPr>
      <w:r>
        <w:rPr>
          <w:rFonts w:hint="eastAsia" w:ascii="宋体" w:hAnsi="宋体"/>
          <w:sz w:val="24"/>
          <w:szCs w:val="24"/>
        </w:rPr>
        <w:t>交通条件：</w:t>
      </w:r>
      <w:r>
        <w:rPr>
          <w:rFonts w:hint="eastAsia" w:ascii="宋体" w:hAnsi="宋体"/>
          <w:sz w:val="24"/>
          <w:szCs w:val="24"/>
          <w:lang w:val="en-US" w:eastAsia="zh-CN"/>
        </w:rPr>
        <w:t>7</w:t>
      </w:r>
      <w:r>
        <w:rPr>
          <w:rFonts w:hint="eastAsia" w:ascii="宋体" w:hAnsi="宋体"/>
          <w:sz w:val="24"/>
          <w:szCs w:val="24"/>
        </w:rPr>
        <w:t>路、</w:t>
      </w:r>
      <w:r>
        <w:rPr>
          <w:rFonts w:hint="eastAsia" w:ascii="宋体" w:hAnsi="宋体"/>
          <w:sz w:val="24"/>
          <w:szCs w:val="24"/>
          <w:lang w:val="en-US" w:eastAsia="zh-CN"/>
        </w:rPr>
        <w:t>K</w:t>
      </w:r>
      <w:r>
        <w:rPr>
          <w:rFonts w:hint="eastAsia" w:ascii="宋体" w:hAnsi="宋体"/>
          <w:sz w:val="24"/>
          <w:szCs w:val="24"/>
        </w:rPr>
        <w:t>6路</w:t>
      </w:r>
      <w:r>
        <w:rPr>
          <w:rFonts w:hint="eastAsia" w:ascii="宋体" w:hAnsi="宋体"/>
          <w:sz w:val="24"/>
          <w:szCs w:val="24"/>
          <w:lang w:eastAsia="zh-CN"/>
        </w:rPr>
        <w:t>、</w:t>
      </w:r>
      <w:r>
        <w:rPr>
          <w:rFonts w:hint="eastAsia" w:ascii="宋体" w:hAnsi="宋体"/>
          <w:sz w:val="24"/>
          <w:szCs w:val="24"/>
          <w:lang w:val="en-US" w:eastAsia="zh-CN"/>
        </w:rPr>
        <w:t>环16路</w:t>
      </w:r>
      <w:r>
        <w:rPr>
          <w:rFonts w:hint="eastAsia" w:ascii="宋体" w:hAnsi="宋体"/>
          <w:sz w:val="24"/>
          <w:szCs w:val="24"/>
        </w:rPr>
        <w:t>等公交车在附近设站点通过，轨道交通：无。交通便利周边路网密度较大，交通出行便捷。</w:t>
      </w:r>
    </w:p>
    <w:p>
      <w:pPr>
        <w:spacing w:line="360" w:lineRule="auto"/>
        <w:ind w:firstLine="480" w:firstLineChars="200"/>
        <w:rPr>
          <w:rFonts w:hint="default" w:ascii="宋体" w:hAnsi="宋体"/>
          <w:bCs/>
          <w:sz w:val="24"/>
          <w:szCs w:val="24"/>
          <w:lang w:val="en-US"/>
        </w:rPr>
      </w:pPr>
      <w:r>
        <w:rPr>
          <w:rFonts w:hint="eastAsia" w:ascii="宋体" w:hAnsi="宋体"/>
          <w:bCs/>
          <w:sz w:val="24"/>
          <w:szCs w:val="24"/>
        </w:rPr>
        <w:t>配套设施：</w:t>
      </w:r>
      <w:r>
        <w:rPr>
          <w:rFonts w:hint="eastAsia" w:ascii="宋体" w:hAnsi="宋体"/>
          <w:sz w:val="24"/>
          <w:szCs w:val="24"/>
        </w:rPr>
        <w:t>估价对象周边有</w:t>
      </w:r>
      <w:r>
        <w:rPr>
          <w:rFonts w:hint="eastAsia" w:ascii="宋体" w:hAnsi="宋体"/>
          <w:sz w:val="24"/>
          <w:lang w:val="en-US" w:eastAsia="zh-CN"/>
        </w:rPr>
        <w:t>附近有诸城一中明诚家园、西苑小区、龙都东苑住宅小区等，生活设施完善、小区生活便利。</w:t>
      </w:r>
    </w:p>
    <w:p>
      <w:pPr>
        <w:spacing w:line="360" w:lineRule="auto"/>
        <w:ind w:firstLine="480" w:firstLineChars="200"/>
        <w:rPr>
          <w:rFonts w:hint="eastAsia" w:ascii="宋体" w:hAnsi="宋体"/>
          <w:bCs/>
          <w:sz w:val="24"/>
          <w:szCs w:val="24"/>
        </w:rPr>
      </w:pPr>
      <w:r>
        <w:rPr>
          <w:rFonts w:hint="eastAsia" w:ascii="宋体" w:hAnsi="宋体"/>
          <w:bCs/>
          <w:sz w:val="24"/>
          <w:szCs w:val="24"/>
        </w:rPr>
        <w:t xml:space="preserve">周边物业及环境质量：自然环境较好。 </w:t>
      </w:r>
    </w:p>
    <w:p>
      <w:pPr>
        <w:spacing w:line="360" w:lineRule="auto"/>
        <w:ind w:firstLine="480" w:firstLineChars="200"/>
        <w:rPr>
          <w:rFonts w:hint="eastAsia" w:ascii="宋体" w:hAnsi="宋体"/>
          <w:sz w:val="24"/>
          <w:szCs w:val="24"/>
        </w:rPr>
      </w:pPr>
      <w:r>
        <w:rPr>
          <w:rFonts w:hint="eastAsia" w:ascii="宋体" w:hAnsi="宋体"/>
          <w:sz w:val="24"/>
          <w:szCs w:val="24"/>
        </w:rPr>
        <w:t>位置示意图：</w:t>
      </w:r>
    </w:p>
    <w:p>
      <w:pPr>
        <w:spacing w:line="360" w:lineRule="auto"/>
        <w:jc w:val="left"/>
        <w:rPr>
          <w:rFonts w:asciiTheme="minorEastAsia" w:hAnsiTheme="minorEastAsia" w:eastAsiaTheme="minorEastAsia"/>
          <w:sz w:val="24"/>
        </w:rPr>
      </w:pPr>
      <w:r>
        <w:drawing>
          <wp:inline distT="0" distB="0" distL="114300" distR="114300">
            <wp:extent cx="5695950" cy="2895600"/>
            <wp:effectExtent l="0" t="0" r="635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2"/>
                    <a:stretch>
                      <a:fillRect/>
                    </a:stretch>
                  </pic:blipFill>
                  <pic:spPr>
                    <a:xfrm>
                      <a:off x="0" y="0"/>
                      <a:ext cx="5695950" cy="2895600"/>
                    </a:xfrm>
                    <a:prstGeom prst="rect">
                      <a:avLst/>
                    </a:prstGeom>
                    <a:noFill/>
                    <a:ln>
                      <a:noFill/>
                    </a:ln>
                  </pic:spPr>
                </pic:pic>
              </a:graphicData>
            </a:graphic>
          </wp:inline>
        </w:drawing>
      </w:r>
    </w:p>
    <w:p>
      <w:pPr>
        <w:pStyle w:val="31"/>
        <w:spacing w:line="360" w:lineRule="auto"/>
        <w:ind w:firstLine="480"/>
        <w:rPr>
          <w:rFonts w:asciiTheme="minorEastAsia" w:hAnsiTheme="minorEastAsia" w:eastAsiaTheme="minorEastAsia"/>
          <w:bCs/>
          <w:sz w:val="24"/>
          <w:szCs w:val="24"/>
        </w:rPr>
      </w:pP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四</w:t>
      </w:r>
      <w:r>
        <w:rPr>
          <w:rFonts w:asciiTheme="minorEastAsia" w:hAnsiTheme="minorEastAsia" w:eastAsiaTheme="minorEastAsia"/>
          <w:bCs/>
          <w:sz w:val="24"/>
          <w:szCs w:val="24"/>
        </w:rPr>
        <w:t>）估价对象</w:t>
      </w:r>
      <w:r>
        <w:rPr>
          <w:rFonts w:hint="eastAsia" w:asciiTheme="minorEastAsia" w:hAnsiTheme="minorEastAsia" w:eastAsiaTheme="minorEastAsia"/>
          <w:bCs/>
          <w:sz w:val="24"/>
          <w:szCs w:val="24"/>
        </w:rPr>
        <w:t>权益状况</w:t>
      </w:r>
    </w:p>
    <w:p>
      <w:pPr>
        <w:spacing w:line="360" w:lineRule="auto"/>
        <w:ind w:firstLine="480" w:firstLineChars="200"/>
        <w:rPr>
          <w:rFonts w:hint="eastAsia" w:ascii="宋体" w:hAnsi="宋体" w:cs="Times New Roman"/>
          <w:bCs/>
          <w:sz w:val="24"/>
          <w:szCs w:val="24"/>
        </w:rPr>
      </w:pPr>
      <w:bookmarkStart w:id="6" w:name="_Toc52372806"/>
      <w:r>
        <w:rPr>
          <w:rFonts w:hint="eastAsia" w:ascii="宋体" w:hAnsi="宋体" w:cs="Times New Roman"/>
          <w:bCs/>
          <w:sz w:val="24"/>
          <w:szCs w:val="24"/>
        </w:rPr>
        <w:t>估价对象权利人为</w:t>
      </w:r>
      <w:r>
        <w:rPr>
          <w:rFonts w:hint="eastAsia" w:ascii="宋体" w:hAnsi="宋体" w:cs="Times New Roman"/>
          <w:bCs/>
          <w:sz w:val="24"/>
          <w:szCs w:val="24"/>
          <w:lang w:val="en-US" w:eastAsia="zh-CN"/>
        </w:rPr>
        <w:t>徐志扬</w:t>
      </w:r>
      <w:r>
        <w:rPr>
          <w:rFonts w:hint="eastAsia" w:ascii="宋体" w:hAnsi="宋体" w:cs="Times New Roman"/>
          <w:bCs/>
          <w:sz w:val="24"/>
          <w:szCs w:val="24"/>
        </w:rPr>
        <w:t>，《不动产权证书》编号为</w:t>
      </w:r>
      <w:r>
        <w:rPr>
          <w:rFonts w:hint="eastAsia" w:ascii="宋体" w:hAnsi="宋体" w:cs="Times New Roman"/>
          <w:sz w:val="24"/>
          <w:szCs w:val="20"/>
          <w:highlight w:val="none"/>
          <w:lang w:val="en-US" w:eastAsia="zh-CN"/>
        </w:rPr>
        <w:t>诸城市房权证城区商品字第02710号</w:t>
      </w:r>
      <w:r>
        <w:rPr>
          <w:rFonts w:hint="eastAsia" w:ascii="宋体" w:hAnsi="宋体" w:cs="Times New Roman"/>
          <w:bCs/>
          <w:sz w:val="24"/>
          <w:szCs w:val="24"/>
        </w:rPr>
        <w:t>，共有状况为：单独所有；用途为住宅，权利性质为出让，于价值时点估价对象</w:t>
      </w:r>
      <w:r>
        <w:rPr>
          <w:rFonts w:hint="eastAsia" w:ascii="宋体" w:hAnsi="宋体" w:cs="Times New Roman"/>
          <w:bCs/>
          <w:sz w:val="24"/>
          <w:szCs w:val="24"/>
          <w:lang w:val="en-US" w:eastAsia="zh-CN"/>
        </w:rPr>
        <w:t>已查封、</w:t>
      </w:r>
      <w:r>
        <w:rPr>
          <w:rFonts w:hint="eastAsia" w:ascii="宋体" w:hAnsi="宋体" w:cs="Times New Roman"/>
          <w:sz w:val="24"/>
          <w:szCs w:val="20"/>
          <w:lang w:val="en-US" w:eastAsia="zh-CN"/>
        </w:rPr>
        <w:t>已抵押</w:t>
      </w:r>
      <w:r>
        <w:rPr>
          <w:rFonts w:hint="eastAsia" w:ascii="宋体" w:hAnsi="宋体" w:cs="Times New Roman"/>
          <w:bCs/>
          <w:sz w:val="24"/>
          <w:szCs w:val="24"/>
        </w:rPr>
        <w:t>。</w:t>
      </w:r>
    </w:p>
    <w:p>
      <w:pPr>
        <w:spacing w:line="360" w:lineRule="auto"/>
        <w:ind w:firstLine="482" w:firstLineChars="200"/>
        <w:outlineLvl w:val="0"/>
        <w:rPr>
          <w:rFonts w:asciiTheme="minorEastAsia" w:hAnsiTheme="minorEastAsia" w:eastAsiaTheme="minorEastAsia"/>
          <w:b/>
          <w:sz w:val="24"/>
        </w:rPr>
      </w:pPr>
      <w:r>
        <w:rPr>
          <w:rFonts w:hint="eastAsia" w:asciiTheme="minorEastAsia" w:hAnsiTheme="minorEastAsia" w:eastAsiaTheme="minorEastAsia"/>
          <w:b/>
          <w:sz w:val="24"/>
        </w:rPr>
        <w:t>四、估价目的</w:t>
      </w:r>
      <w:bookmarkEnd w:id="6"/>
    </w:p>
    <w:p>
      <w:pPr>
        <w:tabs>
          <w:tab w:val="left" w:pos="840"/>
        </w:tabs>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评估估价对象的市场价格，</w:t>
      </w:r>
      <w:r>
        <w:rPr>
          <w:rFonts w:hint="eastAsia" w:ascii="宋体" w:hAnsi="宋体"/>
          <w:sz w:val="24"/>
        </w:rPr>
        <w:t>为委托方确定财产处置参考价提供参考依据</w:t>
      </w:r>
      <w:r>
        <w:rPr>
          <w:rFonts w:hint="eastAsia" w:asciiTheme="minorEastAsia" w:hAnsiTheme="minorEastAsia" w:eastAsiaTheme="minorEastAsia"/>
          <w:bCs/>
          <w:sz w:val="24"/>
        </w:rPr>
        <w:t>。</w:t>
      </w:r>
    </w:p>
    <w:p>
      <w:pPr>
        <w:spacing w:line="360" w:lineRule="auto"/>
        <w:ind w:firstLine="482" w:firstLineChars="200"/>
        <w:outlineLvl w:val="0"/>
        <w:rPr>
          <w:rFonts w:asciiTheme="minorEastAsia" w:hAnsiTheme="minorEastAsia" w:eastAsiaTheme="minorEastAsia"/>
          <w:b/>
          <w:sz w:val="24"/>
        </w:rPr>
      </w:pPr>
      <w:bookmarkStart w:id="7" w:name="_Toc52372807"/>
      <w:r>
        <w:rPr>
          <w:rFonts w:hint="eastAsia" w:asciiTheme="minorEastAsia" w:hAnsiTheme="minorEastAsia" w:eastAsiaTheme="minorEastAsia"/>
          <w:b/>
          <w:sz w:val="24"/>
        </w:rPr>
        <w:t>五、价值时点</w:t>
      </w:r>
      <w:bookmarkEnd w:id="7"/>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2022年4月18日</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现场查勘之日</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w:t>
      </w:r>
    </w:p>
    <w:p>
      <w:pPr>
        <w:spacing w:line="360" w:lineRule="auto"/>
        <w:ind w:firstLine="482" w:firstLineChars="200"/>
        <w:outlineLvl w:val="0"/>
        <w:rPr>
          <w:rFonts w:asciiTheme="minorEastAsia" w:hAnsiTheme="minorEastAsia" w:eastAsiaTheme="minorEastAsia"/>
          <w:b/>
          <w:sz w:val="24"/>
        </w:rPr>
      </w:pPr>
      <w:bookmarkStart w:id="8" w:name="_Toc52372808"/>
      <w:r>
        <w:rPr>
          <w:rFonts w:hint="eastAsia" w:asciiTheme="minorEastAsia" w:hAnsiTheme="minorEastAsia" w:eastAsiaTheme="minorEastAsia"/>
          <w:b/>
          <w:sz w:val="24"/>
        </w:rPr>
        <w:t>六、价值类型</w:t>
      </w:r>
      <w:bookmarkEnd w:id="8"/>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bCs/>
          <w:sz w:val="24"/>
        </w:rPr>
        <w:t>本次估价确定的价格为市场价格，是指估价对象经适当营销后，由熟悉情况、谨慎行事且不受强迫的交易双方，以公平交易方式在价值时点自愿进行交易的金额</w:t>
      </w:r>
      <w:r>
        <w:rPr>
          <w:rFonts w:hint="eastAsia" w:asciiTheme="minorEastAsia" w:hAnsiTheme="minorEastAsia" w:eastAsiaTheme="minorEastAsia"/>
          <w:sz w:val="24"/>
        </w:rPr>
        <w:t>。</w:t>
      </w:r>
    </w:p>
    <w:p>
      <w:pPr>
        <w:spacing w:line="360" w:lineRule="auto"/>
        <w:ind w:firstLine="482" w:firstLineChars="200"/>
        <w:outlineLvl w:val="0"/>
        <w:rPr>
          <w:rFonts w:asciiTheme="minorEastAsia" w:hAnsiTheme="minorEastAsia" w:eastAsiaTheme="minorEastAsia"/>
          <w:b/>
          <w:sz w:val="24"/>
        </w:rPr>
      </w:pPr>
      <w:bookmarkStart w:id="9" w:name="_Toc52372809"/>
      <w:r>
        <w:rPr>
          <w:rFonts w:hint="eastAsia" w:asciiTheme="minorEastAsia" w:hAnsiTheme="minorEastAsia" w:eastAsiaTheme="minorEastAsia"/>
          <w:b/>
          <w:sz w:val="24"/>
        </w:rPr>
        <w:t>七、估价原则</w:t>
      </w:r>
      <w:bookmarkEnd w:id="9"/>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本次估价遵守独立、客观、公正</w:t>
      </w:r>
      <w:r>
        <w:rPr>
          <w:rFonts w:hint="eastAsia" w:asciiTheme="minorEastAsia" w:hAnsiTheme="minorEastAsia" w:eastAsiaTheme="minorEastAsia"/>
          <w:sz w:val="24"/>
        </w:rPr>
        <w:t>原则，</w:t>
      </w:r>
      <w:r>
        <w:rPr>
          <w:rFonts w:asciiTheme="minorEastAsia" w:hAnsiTheme="minorEastAsia" w:eastAsiaTheme="minorEastAsia"/>
          <w:sz w:val="24"/>
        </w:rPr>
        <w:t>合法</w:t>
      </w:r>
      <w:r>
        <w:rPr>
          <w:rFonts w:hint="eastAsia" w:asciiTheme="minorEastAsia" w:hAnsiTheme="minorEastAsia" w:eastAsiaTheme="minorEastAsia"/>
          <w:sz w:val="24"/>
        </w:rPr>
        <w:t>原则，价值时点原则，替代原则，最高最佳利用原则</w:t>
      </w:r>
      <w:r>
        <w:rPr>
          <w:rFonts w:asciiTheme="minorEastAsia" w:hAnsiTheme="minorEastAsia" w:eastAsiaTheme="minorEastAsia"/>
          <w:sz w:val="24"/>
        </w:rPr>
        <w:t>等技术性原则。</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（一）独立、客观、公正原则</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所谓独立，</w:t>
      </w:r>
      <w:r>
        <w:rPr>
          <w:rFonts w:hint="eastAsia" w:asciiTheme="minorEastAsia" w:hAnsiTheme="minorEastAsia" w:eastAsiaTheme="minorEastAsia"/>
          <w:sz w:val="24"/>
        </w:rPr>
        <w:t>就是要求注册房地产估价师和房地产估价机构与估价委托人及估价利害关系人没有利害关系，在估价中不受包括估价委托人在内的任何单位和个人的影响，应凭自己的专业知识、实践经验和职业道德进行估价；所谓“客观</w:t>
      </w:r>
      <w:r>
        <w:rPr>
          <w:rFonts w:asciiTheme="minorEastAsia" w:hAnsiTheme="minorEastAsia" w:eastAsiaTheme="minorEastAsia"/>
          <w:sz w:val="24"/>
        </w:rPr>
        <w:t>”</w:t>
      </w:r>
      <w:r>
        <w:rPr>
          <w:rFonts w:hint="eastAsia" w:asciiTheme="minorEastAsia" w:hAnsiTheme="minorEastAsia" w:eastAsiaTheme="minorEastAsia"/>
          <w:sz w:val="24"/>
        </w:rPr>
        <w:t>，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（二）合法原则</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合法原则中</w:t>
      </w:r>
      <w:r>
        <w:rPr>
          <w:rFonts w:asciiTheme="minorEastAsia" w:hAnsiTheme="minorEastAsia" w:eastAsiaTheme="minorEastAsia"/>
          <w:sz w:val="24"/>
        </w:rPr>
        <w:t>，</w:t>
      </w:r>
      <w:r>
        <w:rPr>
          <w:rFonts w:hint="eastAsia" w:asciiTheme="minorEastAsia" w:hAnsiTheme="minorEastAsia" w:eastAsiaTheme="minorEastAsia"/>
          <w:sz w:val="24"/>
        </w:rPr>
        <w:t>所称依法，是指不仅要依据有关法律、行政法规、最高人民法院和最高人民检察院发布的有关司法解释，还要依据估价对象所在地的有关地方性法规（民族</w:t>
      </w:r>
      <w:r>
        <w:rPr>
          <w:rFonts w:asciiTheme="minorEastAsia" w:hAnsiTheme="minorEastAsia" w:eastAsiaTheme="minorEastAsia"/>
          <w:sz w:val="24"/>
        </w:rPr>
        <w:t>自治</w:t>
      </w:r>
      <w:r>
        <w:rPr>
          <w:rFonts w:hint="eastAsia" w:asciiTheme="minorEastAsia" w:hAnsiTheme="minorEastAsia" w:eastAsiaTheme="minorEastAsia"/>
          <w:sz w:val="24"/>
        </w:rPr>
        <w:t>地方</w:t>
      </w:r>
      <w:r>
        <w:rPr>
          <w:rFonts w:asciiTheme="minorEastAsia" w:hAnsiTheme="minorEastAsia" w:eastAsiaTheme="minorEastAsia"/>
          <w:sz w:val="24"/>
        </w:rPr>
        <w:t>应同时依据有关自治条例各单行条例）</w:t>
      </w:r>
      <w:r>
        <w:rPr>
          <w:rFonts w:hint="eastAsia" w:asciiTheme="minorEastAsia" w:hAnsiTheme="minorEastAsia" w:eastAsiaTheme="minorEastAsia"/>
          <w:sz w:val="24"/>
        </w:rPr>
        <w:t>，国务院所属部分颁发的有关部门规章和政策，估价对象所在地人民政府颁发的有关地方政府规章和政策，以及估价对象的不动产登记薄（房屋</w:t>
      </w:r>
      <w:r>
        <w:rPr>
          <w:rFonts w:asciiTheme="minorEastAsia" w:hAnsiTheme="minorEastAsia" w:eastAsiaTheme="minorEastAsia"/>
          <w:sz w:val="24"/>
        </w:rPr>
        <w:t>登记薄、土地登记薄）</w:t>
      </w:r>
      <w:r>
        <w:rPr>
          <w:rFonts w:hint="eastAsia" w:asciiTheme="minorEastAsia" w:hAnsiTheme="minorEastAsia" w:eastAsiaTheme="minorEastAsia"/>
          <w:sz w:val="24"/>
        </w:rPr>
        <w:t>、权属证书、有关批文和合同等（如</w:t>
      </w:r>
      <w:r>
        <w:rPr>
          <w:rFonts w:asciiTheme="minorEastAsia" w:hAnsiTheme="minorEastAsia" w:eastAsiaTheme="minorEastAsia"/>
          <w:sz w:val="24"/>
        </w:rPr>
        <w:t>规划意见书、国</w:t>
      </w:r>
      <w:r>
        <w:rPr>
          <w:rFonts w:hint="eastAsia" w:asciiTheme="minorEastAsia" w:hAnsiTheme="minorEastAsia" w:eastAsiaTheme="minorEastAsia"/>
          <w:sz w:val="24"/>
        </w:rPr>
        <w:t>有</w:t>
      </w:r>
      <w:r>
        <w:rPr>
          <w:rFonts w:asciiTheme="minorEastAsia" w:hAnsiTheme="minorEastAsia" w:eastAsiaTheme="minorEastAsia"/>
          <w:sz w:val="24"/>
        </w:rPr>
        <w:t>建设用地</w:t>
      </w:r>
      <w:r>
        <w:rPr>
          <w:rFonts w:hint="eastAsia" w:asciiTheme="minorEastAsia" w:hAnsiTheme="minorEastAsia" w:eastAsiaTheme="minorEastAsia"/>
          <w:sz w:val="24"/>
        </w:rPr>
        <w:t>使用权</w:t>
      </w:r>
      <w:r>
        <w:rPr>
          <w:rFonts w:asciiTheme="minorEastAsia" w:hAnsiTheme="minorEastAsia" w:eastAsiaTheme="minorEastAsia"/>
          <w:sz w:val="24"/>
        </w:rPr>
        <w:t>出让招标文件、国</w:t>
      </w:r>
      <w:r>
        <w:rPr>
          <w:rFonts w:hint="eastAsia" w:asciiTheme="minorEastAsia" w:hAnsiTheme="minorEastAsia" w:eastAsiaTheme="minorEastAsia"/>
          <w:sz w:val="24"/>
        </w:rPr>
        <w:t>有</w:t>
      </w:r>
      <w:r>
        <w:rPr>
          <w:rFonts w:asciiTheme="minorEastAsia" w:hAnsiTheme="minorEastAsia" w:eastAsiaTheme="minorEastAsia"/>
          <w:sz w:val="24"/>
        </w:rPr>
        <w:t>建设用地</w:t>
      </w:r>
      <w:r>
        <w:rPr>
          <w:rFonts w:hint="eastAsia" w:asciiTheme="minorEastAsia" w:hAnsiTheme="minorEastAsia" w:eastAsiaTheme="minorEastAsia"/>
          <w:sz w:val="24"/>
        </w:rPr>
        <w:t>使用权出让合同</w:t>
      </w:r>
      <w:r>
        <w:rPr>
          <w:rFonts w:asciiTheme="minorEastAsia" w:hAnsiTheme="minorEastAsia" w:eastAsiaTheme="minorEastAsia"/>
          <w:sz w:val="24"/>
        </w:rPr>
        <w:t>、房地产转让合同、房屋租赁合同</w:t>
      </w:r>
      <w:r>
        <w:rPr>
          <w:rFonts w:hint="eastAsia" w:asciiTheme="minorEastAsia" w:hAnsiTheme="minorEastAsia" w:eastAsiaTheme="minorEastAsia"/>
          <w:sz w:val="24"/>
        </w:rPr>
        <w:t>等</w:t>
      </w:r>
      <w:r>
        <w:rPr>
          <w:rFonts w:asciiTheme="minorEastAsia" w:hAnsiTheme="minorEastAsia" w:eastAsiaTheme="minorEastAsia"/>
          <w:sz w:val="24"/>
        </w:rPr>
        <w:t>）</w:t>
      </w:r>
      <w:r>
        <w:rPr>
          <w:rFonts w:hint="eastAsia" w:asciiTheme="minorEastAsia" w:hAnsiTheme="minorEastAsia" w:eastAsiaTheme="minorEastAsia"/>
          <w:sz w:val="24"/>
        </w:rPr>
        <w:t>。因此，合法原则中所讲的“法”，是广义的“法”。但遵循合法原则并不意味着只有合法的房地产才能成为估价对象，而是指依法判定估价对象是哪种状况的房地产，就应将其作为那种状况的房地产来估价。</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三）</w:t>
      </w:r>
      <w:r>
        <w:rPr>
          <w:rFonts w:hint="eastAsia" w:asciiTheme="minorEastAsia" w:hAnsiTheme="minorEastAsia" w:eastAsiaTheme="minorEastAsia"/>
          <w:sz w:val="24"/>
        </w:rPr>
        <w:t>价值时点</w:t>
      </w:r>
      <w:r>
        <w:rPr>
          <w:rFonts w:asciiTheme="minorEastAsia" w:hAnsiTheme="minorEastAsia" w:eastAsiaTheme="minorEastAsia"/>
          <w:sz w:val="24"/>
        </w:rPr>
        <w:t>原则</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估价结论首先具有很强的时间相关性，这主要是考虑到资金的时间价值，在不同时间点上发生的现金流量对其价值影响不同。所以，在房地产估价时统一规定：如果一些款项的发生时点与价值时点不一致，应当折算为价值时点的现值。估价结论同时具有很强的时效性，这主要是考虑到房地产市场价值的波动性，同一估价对象在不同时点会具有不同的价值。所以强调：</w:t>
      </w:r>
      <w:r>
        <w:rPr>
          <w:rFonts w:hint="eastAsia" w:asciiTheme="minorEastAsia" w:hAnsiTheme="minorEastAsia" w:eastAsiaTheme="minorEastAsia"/>
          <w:sz w:val="24"/>
        </w:rPr>
        <w:t>价值时点原则是在根据估价目的确定的某一特定时间的价值或价格的原则。</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四</w:t>
      </w:r>
      <w:r>
        <w:rPr>
          <w:rFonts w:asciiTheme="minorEastAsia" w:hAnsiTheme="minorEastAsia" w:eastAsiaTheme="minorEastAsia"/>
          <w:sz w:val="24"/>
        </w:rPr>
        <w:t>）</w:t>
      </w:r>
      <w:r>
        <w:rPr>
          <w:rFonts w:hint="eastAsia" w:asciiTheme="minorEastAsia" w:hAnsiTheme="minorEastAsia" w:eastAsiaTheme="minorEastAsia"/>
          <w:sz w:val="24"/>
        </w:rPr>
        <w:t>替代</w:t>
      </w:r>
      <w:r>
        <w:rPr>
          <w:rFonts w:asciiTheme="minorEastAsia" w:hAnsiTheme="minorEastAsia" w:eastAsiaTheme="minorEastAsia"/>
          <w:sz w:val="24"/>
        </w:rPr>
        <w:t>原则</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替代原则</w:t>
      </w:r>
      <w:r>
        <w:rPr>
          <w:rFonts w:hint="eastAsia" w:asciiTheme="minorEastAsia" w:hAnsiTheme="minorEastAsia" w:eastAsiaTheme="minorEastAsia"/>
          <w:sz w:val="24"/>
        </w:rPr>
        <w:t>，</w:t>
      </w:r>
      <w:r>
        <w:rPr>
          <w:rFonts w:asciiTheme="minorEastAsia" w:hAnsiTheme="minorEastAsia" w:eastAsiaTheme="minorEastAsia"/>
          <w:sz w:val="24"/>
        </w:rPr>
        <w:t>指</w:t>
      </w:r>
      <w:r>
        <w:rPr>
          <w:rFonts w:hint="eastAsia" w:asciiTheme="minorEastAsia" w:hAnsiTheme="minorEastAsia" w:eastAsiaTheme="minorEastAsia"/>
          <w:sz w:val="24"/>
        </w:rPr>
        <w:t>评估</w:t>
      </w:r>
      <w:r>
        <w:rPr>
          <w:rFonts w:asciiTheme="minorEastAsia" w:hAnsiTheme="minorEastAsia" w:eastAsiaTheme="minorEastAsia"/>
          <w:sz w:val="24"/>
        </w:rPr>
        <w:t>价值</w:t>
      </w:r>
      <w:r>
        <w:rPr>
          <w:rFonts w:hint="eastAsia" w:asciiTheme="minorEastAsia" w:hAnsiTheme="minorEastAsia" w:eastAsiaTheme="minorEastAsia"/>
          <w:sz w:val="24"/>
        </w:rPr>
        <w:t>与估价对象的类似房地产在同等条件下的价值或价格偏差应在合理范围内。</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在通常</w:t>
      </w:r>
      <w:r>
        <w:rPr>
          <w:rFonts w:asciiTheme="minorEastAsia" w:hAnsiTheme="minorEastAsia" w:eastAsiaTheme="minorEastAsia"/>
          <w:sz w:val="24"/>
        </w:rPr>
        <w:t>情况</w:t>
      </w:r>
      <w:r>
        <w:rPr>
          <w:rFonts w:hint="eastAsia" w:asciiTheme="minorEastAsia" w:hAnsiTheme="minorEastAsia" w:eastAsiaTheme="minorEastAsia"/>
          <w:sz w:val="24"/>
        </w:rPr>
        <w:t>下</w:t>
      </w:r>
      <w:r>
        <w:rPr>
          <w:rFonts w:asciiTheme="minorEastAsia" w:hAnsiTheme="minorEastAsia" w:eastAsiaTheme="minorEastAsia"/>
          <w:sz w:val="24"/>
        </w:rPr>
        <w:t>，</w:t>
      </w:r>
      <w:r>
        <w:rPr>
          <w:rFonts w:hint="eastAsia" w:asciiTheme="minorEastAsia" w:hAnsiTheme="minorEastAsia" w:eastAsiaTheme="minorEastAsia"/>
          <w:sz w:val="24"/>
        </w:rPr>
        <w:t>由于房地产的独一无二特性，难</w:t>
      </w:r>
      <w:r>
        <w:rPr>
          <w:rFonts w:asciiTheme="minorEastAsia" w:hAnsiTheme="minorEastAsia" w:eastAsiaTheme="minorEastAsia"/>
          <w:sz w:val="24"/>
        </w:rPr>
        <w:t>以</w:t>
      </w:r>
      <w:r>
        <w:rPr>
          <w:rFonts w:hint="eastAsia" w:asciiTheme="minorEastAsia" w:hAnsiTheme="minorEastAsia" w:eastAsiaTheme="minorEastAsia"/>
          <w:sz w:val="24"/>
        </w:rPr>
        <w:t>找到</w:t>
      </w:r>
      <w:r>
        <w:rPr>
          <w:rFonts w:asciiTheme="minorEastAsia" w:hAnsiTheme="minorEastAsia" w:eastAsiaTheme="minorEastAsia"/>
          <w:sz w:val="24"/>
        </w:rPr>
        <w:t>各方面状况与估价对象相同的房地产，</w:t>
      </w:r>
      <w:r>
        <w:rPr>
          <w:rFonts w:hint="eastAsia" w:asciiTheme="minorEastAsia" w:hAnsiTheme="minorEastAsia" w:eastAsiaTheme="minorEastAsia"/>
          <w:sz w:val="24"/>
        </w:rPr>
        <w:t>所以</w:t>
      </w:r>
      <w:r>
        <w:rPr>
          <w:rFonts w:asciiTheme="minorEastAsia" w:hAnsiTheme="minorEastAsia" w:eastAsiaTheme="minorEastAsia"/>
          <w:sz w:val="24"/>
        </w:rPr>
        <w:t>实际上寻找与估价对象具有替代性的相似房地产，然后将它们与估价对象进行比较，</w:t>
      </w:r>
      <w:r>
        <w:rPr>
          <w:rFonts w:hint="eastAsia" w:asciiTheme="minorEastAsia" w:hAnsiTheme="minorEastAsia" w:eastAsiaTheme="minorEastAsia"/>
          <w:sz w:val="24"/>
        </w:rPr>
        <w:t>再</w:t>
      </w:r>
      <w:r>
        <w:rPr>
          <w:rFonts w:asciiTheme="minorEastAsia" w:hAnsiTheme="minorEastAsia" w:eastAsiaTheme="minorEastAsia"/>
          <w:sz w:val="24"/>
        </w:rPr>
        <w:t>根据他们与估价对象之间的差异对其价格进行适当修正和调整。</w:t>
      </w:r>
      <w:r>
        <w:rPr>
          <w:rFonts w:hint="eastAsia" w:asciiTheme="minorEastAsia" w:hAnsiTheme="minorEastAsia" w:eastAsiaTheme="minorEastAsia"/>
          <w:sz w:val="24"/>
        </w:rPr>
        <w:t>在</w:t>
      </w:r>
      <w:r>
        <w:rPr>
          <w:rFonts w:asciiTheme="minorEastAsia" w:hAnsiTheme="minorEastAsia" w:eastAsiaTheme="minorEastAsia"/>
          <w:sz w:val="24"/>
        </w:rPr>
        <w:t>估价时不能孤立地思考</w:t>
      </w:r>
      <w:r>
        <w:rPr>
          <w:rFonts w:hint="eastAsia" w:asciiTheme="minorEastAsia" w:hAnsiTheme="minorEastAsia" w:eastAsiaTheme="minorEastAsia"/>
          <w:sz w:val="24"/>
        </w:rPr>
        <w:t>估价</w:t>
      </w:r>
      <w:r>
        <w:rPr>
          <w:rFonts w:asciiTheme="minorEastAsia" w:hAnsiTheme="minorEastAsia" w:eastAsiaTheme="minorEastAsia"/>
          <w:sz w:val="24"/>
        </w:rPr>
        <w:t>对象的价值或价格，而要考虑相似房地产</w:t>
      </w:r>
      <w:r>
        <w:rPr>
          <w:rFonts w:hint="eastAsia" w:asciiTheme="minorEastAsia" w:hAnsiTheme="minorEastAsia" w:eastAsiaTheme="minorEastAsia"/>
          <w:sz w:val="24"/>
        </w:rPr>
        <w:t>之间</w:t>
      </w:r>
      <w:r>
        <w:rPr>
          <w:rFonts w:asciiTheme="minorEastAsia" w:hAnsiTheme="minorEastAsia" w:eastAsiaTheme="minorEastAsia"/>
          <w:sz w:val="24"/>
        </w:rPr>
        <w:t>的价格</w:t>
      </w:r>
      <w:r>
        <w:rPr>
          <w:rFonts w:hint="eastAsia" w:asciiTheme="minorEastAsia" w:hAnsiTheme="minorEastAsia" w:eastAsiaTheme="minorEastAsia"/>
          <w:sz w:val="24"/>
        </w:rPr>
        <w:t>比较，</w:t>
      </w:r>
      <w:r>
        <w:rPr>
          <w:rFonts w:asciiTheme="minorEastAsia" w:hAnsiTheme="minorEastAsia" w:eastAsiaTheme="minorEastAsia"/>
          <w:sz w:val="24"/>
        </w:rPr>
        <w:t>在同一个城市、同一个时期，为了同一种估价目的，对不同区位、不同档次的房地产的评估应有合理的“</w:t>
      </w:r>
      <w:r>
        <w:rPr>
          <w:rFonts w:hint="eastAsia" w:asciiTheme="minorEastAsia" w:hAnsiTheme="minorEastAsia" w:eastAsiaTheme="minorEastAsia"/>
          <w:sz w:val="24"/>
        </w:rPr>
        <w:t>价</w:t>
      </w:r>
      <w:r>
        <w:rPr>
          <w:rFonts w:asciiTheme="minorEastAsia" w:hAnsiTheme="minorEastAsia" w:eastAsiaTheme="minorEastAsia"/>
          <w:sz w:val="24"/>
        </w:rPr>
        <w:t>差”</w:t>
      </w:r>
      <w:r>
        <w:rPr>
          <w:rFonts w:hint="eastAsia" w:asciiTheme="minorEastAsia" w:hAnsiTheme="minorEastAsia" w:eastAsiaTheme="minorEastAsia"/>
          <w:sz w:val="24"/>
        </w:rPr>
        <w:t>，</w:t>
      </w:r>
      <w:r>
        <w:rPr>
          <w:rFonts w:asciiTheme="minorEastAsia" w:hAnsiTheme="minorEastAsia" w:eastAsiaTheme="minorEastAsia"/>
          <w:sz w:val="24"/>
        </w:rPr>
        <w:t>尤其是较好的房地产的</w:t>
      </w:r>
      <w:r>
        <w:rPr>
          <w:rFonts w:hint="eastAsia" w:asciiTheme="minorEastAsia" w:hAnsiTheme="minorEastAsia" w:eastAsiaTheme="minorEastAsia"/>
          <w:sz w:val="24"/>
        </w:rPr>
        <w:t>评估</w:t>
      </w:r>
      <w:r>
        <w:rPr>
          <w:rFonts w:asciiTheme="minorEastAsia" w:hAnsiTheme="minorEastAsia" w:eastAsiaTheme="minorEastAsia"/>
          <w:sz w:val="24"/>
        </w:rPr>
        <w:t>价格不应低于较差的房地产的评估价格。</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五</w:t>
      </w:r>
      <w:r>
        <w:rPr>
          <w:rFonts w:asciiTheme="minorEastAsia" w:hAnsiTheme="minorEastAsia" w:eastAsiaTheme="minorEastAsia"/>
          <w:sz w:val="24"/>
        </w:rPr>
        <w:t>）最高最佳</w:t>
      </w:r>
      <w:r>
        <w:rPr>
          <w:rFonts w:hint="eastAsia" w:asciiTheme="minorEastAsia" w:hAnsiTheme="minorEastAsia" w:eastAsiaTheme="minorEastAsia"/>
          <w:sz w:val="24"/>
        </w:rPr>
        <w:t>利用</w:t>
      </w:r>
      <w:r>
        <w:rPr>
          <w:rFonts w:asciiTheme="minorEastAsia" w:hAnsiTheme="minorEastAsia" w:eastAsiaTheme="minorEastAsia"/>
          <w:sz w:val="24"/>
        </w:rPr>
        <w:t>原则</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最高最佳利用原则</w:t>
      </w:r>
      <w:r>
        <w:rPr>
          <w:rFonts w:hint="eastAsia" w:asciiTheme="minorEastAsia" w:hAnsiTheme="minorEastAsia" w:eastAsiaTheme="minorEastAsia"/>
          <w:sz w:val="24"/>
        </w:rPr>
        <w:t>，</w:t>
      </w:r>
      <w:r>
        <w:rPr>
          <w:rFonts w:asciiTheme="minorEastAsia" w:hAnsiTheme="minorEastAsia" w:eastAsiaTheme="minorEastAsia"/>
          <w:sz w:val="24"/>
        </w:rPr>
        <w:t>指</w:t>
      </w:r>
      <w:r>
        <w:rPr>
          <w:rFonts w:hint="eastAsia" w:asciiTheme="minorEastAsia" w:hAnsiTheme="minorEastAsia" w:eastAsiaTheme="minorEastAsia"/>
          <w:sz w:val="24"/>
        </w:rPr>
        <w:t>评估价值</w:t>
      </w:r>
      <w:r>
        <w:rPr>
          <w:rFonts w:asciiTheme="minorEastAsia" w:hAnsiTheme="minorEastAsia" w:eastAsiaTheme="minorEastAsia"/>
          <w:sz w:val="24"/>
        </w:rPr>
        <w:t>应为</w:t>
      </w:r>
      <w:r>
        <w:rPr>
          <w:rFonts w:hint="eastAsia" w:asciiTheme="minorEastAsia" w:hAnsiTheme="minorEastAsia" w:eastAsiaTheme="minorEastAsia"/>
          <w:sz w:val="24"/>
        </w:rPr>
        <w:t>在估价对象最高最佳利用状况下的价值或价格。</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最高最佳利用需要同时满足四个条件：一是法律上允许；二是技术上可能；三是财务上可行；四是价值最大化。实际</w:t>
      </w:r>
      <w:r>
        <w:rPr>
          <w:rFonts w:asciiTheme="minorEastAsia" w:hAnsiTheme="minorEastAsia" w:eastAsiaTheme="minorEastAsia"/>
          <w:sz w:val="24"/>
        </w:rPr>
        <w:t>估价中在选择估价对象的最高最佳利用时，往往容易</w:t>
      </w:r>
      <w:r>
        <w:rPr>
          <w:rFonts w:hint="eastAsia" w:asciiTheme="minorEastAsia" w:hAnsiTheme="minorEastAsia" w:eastAsiaTheme="minorEastAsia"/>
          <w:sz w:val="24"/>
        </w:rPr>
        <w:t>忽视</w:t>
      </w:r>
      <w:r>
        <w:rPr>
          <w:rFonts w:asciiTheme="minorEastAsia" w:hAnsiTheme="minorEastAsia" w:eastAsiaTheme="minorEastAsia"/>
          <w:sz w:val="24"/>
        </w:rPr>
        <w:t>“</w:t>
      </w:r>
      <w:r>
        <w:rPr>
          <w:rFonts w:hint="eastAsia" w:asciiTheme="minorEastAsia" w:hAnsiTheme="minorEastAsia" w:eastAsiaTheme="minorEastAsia"/>
          <w:sz w:val="24"/>
        </w:rPr>
        <w:t>法律</w:t>
      </w:r>
      <w:r>
        <w:rPr>
          <w:rFonts w:asciiTheme="minorEastAsia" w:hAnsiTheme="minorEastAsia" w:eastAsiaTheme="minorEastAsia"/>
          <w:sz w:val="24"/>
        </w:rPr>
        <w:t>上允许”</w:t>
      </w:r>
      <w:r>
        <w:rPr>
          <w:rFonts w:hint="eastAsia" w:asciiTheme="minorEastAsia" w:hAnsiTheme="minorEastAsia" w:eastAsiaTheme="minorEastAsia"/>
          <w:sz w:val="24"/>
        </w:rPr>
        <w:t>这个</w:t>
      </w:r>
      <w:r>
        <w:rPr>
          <w:rFonts w:asciiTheme="minorEastAsia" w:hAnsiTheme="minorEastAsia" w:eastAsiaTheme="minorEastAsia"/>
          <w:sz w:val="24"/>
        </w:rPr>
        <w:t>前提，甚至误以为最高最佳利用与合</w:t>
      </w:r>
      <w:r>
        <w:rPr>
          <w:rFonts w:hint="eastAsia" w:asciiTheme="minorEastAsia" w:hAnsiTheme="minorEastAsia" w:eastAsiaTheme="minorEastAsia"/>
          <w:sz w:val="24"/>
        </w:rPr>
        <w:t>法</w:t>
      </w:r>
      <w:r>
        <w:rPr>
          <w:rFonts w:asciiTheme="minorEastAsia" w:hAnsiTheme="minorEastAsia" w:eastAsiaTheme="minorEastAsia"/>
          <w:sz w:val="24"/>
        </w:rPr>
        <w:t>原则有时</w:t>
      </w:r>
      <w:r>
        <w:rPr>
          <w:rFonts w:hint="eastAsia" w:asciiTheme="minorEastAsia" w:hAnsiTheme="minorEastAsia" w:eastAsiaTheme="minorEastAsia"/>
          <w:sz w:val="24"/>
        </w:rPr>
        <w:t>是</w:t>
      </w:r>
      <w:r>
        <w:rPr>
          <w:rFonts w:asciiTheme="minorEastAsia" w:hAnsiTheme="minorEastAsia" w:eastAsiaTheme="minorEastAsia"/>
          <w:sz w:val="24"/>
        </w:rPr>
        <w:t>冲突的。</w:t>
      </w:r>
      <w:r>
        <w:rPr>
          <w:rFonts w:hint="eastAsia" w:asciiTheme="minorEastAsia" w:hAnsiTheme="minorEastAsia" w:eastAsiaTheme="minorEastAsia"/>
          <w:sz w:val="24"/>
        </w:rPr>
        <w:t>实际上</w:t>
      </w:r>
      <w:r>
        <w:rPr>
          <w:rFonts w:asciiTheme="minorEastAsia" w:hAnsiTheme="minorEastAsia" w:eastAsiaTheme="minorEastAsia"/>
          <w:sz w:val="24"/>
        </w:rPr>
        <w:t>，</w:t>
      </w:r>
      <w:r>
        <w:rPr>
          <w:rFonts w:hint="eastAsia" w:asciiTheme="minorEastAsia" w:hAnsiTheme="minorEastAsia" w:eastAsiaTheme="minorEastAsia"/>
          <w:sz w:val="24"/>
        </w:rPr>
        <w:t>最高最佳利用不是无条件的最高最佳利用，而是在法律、法规、政策以及建设用地使用权出让合同等允许范围内的最高最佳利用。</w:t>
      </w:r>
    </w:p>
    <w:p>
      <w:pPr>
        <w:spacing w:line="360" w:lineRule="auto"/>
        <w:ind w:firstLine="482" w:firstLineChars="200"/>
        <w:outlineLvl w:val="0"/>
        <w:rPr>
          <w:rFonts w:asciiTheme="minorEastAsia" w:hAnsiTheme="minorEastAsia" w:eastAsiaTheme="minorEastAsia"/>
          <w:b/>
          <w:sz w:val="24"/>
        </w:rPr>
      </w:pPr>
      <w:bookmarkStart w:id="10" w:name="_Toc52372810"/>
      <w:r>
        <w:rPr>
          <w:rFonts w:hint="eastAsia" w:asciiTheme="minorEastAsia" w:hAnsiTheme="minorEastAsia" w:eastAsiaTheme="minorEastAsia"/>
          <w:b/>
          <w:sz w:val="24"/>
        </w:rPr>
        <w:t>八、估价依据</w:t>
      </w:r>
      <w:bookmarkEnd w:id="10"/>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（一）本次估价所依据的有关法律、法规</w:t>
      </w:r>
      <w:r>
        <w:rPr>
          <w:rFonts w:hint="eastAsia" w:asciiTheme="minorEastAsia" w:hAnsiTheme="minorEastAsia" w:eastAsiaTheme="minorEastAsia"/>
          <w:sz w:val="24"/>
        </w:rPr>
        <w:t>、司法解释</w:t>
      </w:r>
      <w:r>
        <w:rPr>
          <w:rFonts w:asciiTheme="minorEastAsia" w:hAnsiTheme="minorEastAsia" w:eastAsiaTheme="minorEastAsia"/>
          <w:sz w:val="24"/>
        </w:rPr>
        <w:t>和部门规章</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（1）《中华人民共和国物权法》（2007年3月16日中华人民共和国</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主席令第62号公布）；</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（2）《中华人民共和国城市房地产管理法》（根据2019年8月26日第十三届全国人民代表大会常务委员会第十二次会议第三次修正）；</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（3）《中华人民共和国土地管理法》（根据2019年8月26日第十三届全国人民代表大会常务委员会第十二次会议第三次修正）；</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（4）《中华人民共和国资产评估法》（</w:t>
      </w:r>
      <w:r>
        <w:rPr>
          <w:rFonts w:asciiTheme="minorEastAsia" w:hAnsiTheme="minorEastAsia" w:eastAsiaTheme="minorEastAsia"/>
          <w:sz w:val="24"/>
        </w:rPr>
        <w:t>2016年7月2日中华人民共和国主席令</w:t>
      </w:r>
      <w:r>
        <w:rPr>
          <w:rFonts w:hint="eastAsia" w:asciiTheme="minorEastAsia" w:hAnsiTheme="minorEastAsia" w:eastAsiaTheme="minorEastAsia"/>
          <w:sz w:val="24"/>
        </w:rPr>
        <w:t>46</w:t>
      </w:r>
      <w:r>
        <w:rPr>
          <w:rFonts w:asciiTheme="minorEastAsia" w:hAnsiTheme="minorEastAsia" w:eastAsiaTheme="minorEastAsia"/>
          <w:sz w:val="24"/>
        </w:rPr>
        <w:t>号</w:t>
      </w:r>
      <w:r>
        <w:rPr>
          <w:rFonts w:hint="eastAsia" w:asciiTheme="minorEastAsia" w:hAnsiTheme="minorEastAsia" w:eastAsiaTheme="minorEastAsia"/>
          <w:sz w:val="24"/>
        </w:rPr>
        <w:t>）；</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（5）《最高人民法院关于人民法院委托评估、拍卖工作的若干规定》。</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（二）本次估价采用的技术规程</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（1）中华人民共和国国家标准《房地产估价规范》（GB/T50291—2015）。</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（2）中华人民共和国国家标准《房地产估价基本术语标准》（GB/T 50899-2013）。</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（3）房地产估价报告定量评审标准(试行)。</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（4）中国人民银行公布的存贷款利率。</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（三）估价委托人</w:t>
      </w:r>
      <w:r>
        <w:rPr>
          <w:rFonts w:hint="eastAsia" w:asciiTheme="minorEastAsia" w:hAnsiTheme="minorEastAsia" w:eastAsiaTheme="minorEastAsia"/>
          <w:sz w:val="24"/>
        </w:rPr>
        <w:t>移送</w:t>
      </w:r>
      <w:r>
        <w:rPr>
          <w:rFonts w:asciiTheme="minorEastAsia" w:hAnsiTheme="minorEastAsia" w:eastAsiaTheme="minorEastAsia"/>
          <w:sz w:val="24"/>
        </w:rPr>
        <w:t>的有关资料</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山东省诸城市人民法院委托书：（202</w:t>
      </w:r>
      <w:r>
        <w:rPr>
          <w:rFonts w:hint="eastAsia" w:ascii="宋体" w:hAnsi="宋体"/>
          <w:sz w:val="24"/>
          <w:highlight w:val="none"/>
          <w:lang w:val="en-US" w:eastAsia="zh-CN"/>
        </w:rPr>
        <w:t>2</w:t>
      </w:r>
      <w:r>
        <w:rPr>
          <w:rFonts w:hint="eastAsia" w:ascii="宋体" w:hAnsi="宋体"/>
          <w:sz w:val="24"/>
          <w:highlight w:val="none"/>
        </w:rPr>
        <w:t>）鲁0782技委字第</w:t>
      </w:r>
      <w:r>
        <w:rPr>
          <w:rFonts w:hint="eastAsia" w:ascii="宋体" w:hAnsi="宋体"/>
          <w:sz w:val="24"/>
          <w:highlight w:val="none"/>
          <w:lang w:val="en-US" w:eastAsia="zh-CN"/>
        </w:rPr>
        <w:t>0214</w:t>
      </w:r>
      <w:r>
        <w:rPr>
          <w:rFonts w:hint="eastAsia" w:ascii="宋体" w:hAnsi="宋体"/>
          <w:sz w:val="24"/>
          <w:highlight w:val="none"/>
        </w:rPr>
        <w:t>号。</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山东省诸城市人民法院</w:t>
      </w:r>
      <w:r>
        <w:rPr>
          <w:rFonts w:hint="eastAsia" w:ascii="宋体" w:hAnsi="宋体"/>
          <w:sz w:val="24"/>
          <w:highlight w:val="none"/>
          <w:lang w:val="en-US" w:eastAsia="zh-CN"/>
        </w:rPr>
        <w:t>执行裁定书</w:t>
      </w:r>
      <w:r>
        <w:rPr>
          <w:rFonts w:hint="eastAsia" w:ascii="宋体" w:hAnsi="宋体"/>
          <w:sz w:val="24"/>
          <w:highlight w:val="none"/>
        </w:rPr>
        <w:t>：（2021）鲁0782</w:t>
      </w:r>
      <w:r>
        <w:rPr>
          <w:rFonts w:hint="eastAsia" w:ascii="宋体" w:hAnsi="宋体"/>
          <w:sz w:val="24"/>
          <w:highlight w:val="none"/>
          <w:lang w:val="en-US" w:eastAsia="zh-CN"/>
        </w:rPr>
        <w:t>执恢649</w:t>
      </w:r>
      <w:r>
        <w:rPr>
          <w:rFonts w:hint="eastAsia" w:ascii="宋体" w:hAnsi="宋体"/>
          <w:sz w:val="24"/>
          <w:highlight w:val="none"/>
        </w:rPr>
        <w:t>号。</w:t>
      </w:r>
    </w:p>
    <w:p>
      <w:pPr>
        <w:spacing w:line="360" w:lineRule="auto"/>
        <w:ind w:firstLine="480" w:firstLineChars="200"/>
        <w:rPr>
          <w:rFonts w:hint="eastAsia" w:ascii="宋体" w:hAnsi="宋体"/>
          <w:sz w:val="24"/>
          <w:highlight w:val="none"/>
          <w:lang w:val="en-US" w:eastAsia="zh-CN"/>
        </w:rPr>
      </w:pPr>
      <w:r>
        <w:rPr>
          <w:rFonts w:hint="eastAsia" w:ascii="宋体" w:hAnsi="宋体"/>
          <w:sz w:val="24"/>
          <w:lang w:val="en-US" w:eastAsia="zh-CN"/>
        </w:rPr>
        <w:t>3、不动产权证：</w:t>
      </w:r>
      <w:r>
        <w:rPr>
          <w:rFonts w:hint="eastAsia" w:ascii="宋体" w:hAnsi="宋体"/>
          <w:sz w:val="24"/>
          <w:highlight w:val="none"/>
          <w:lang w:val="en-US" w:eastAsia="zh-CN"/>
        </w:rPr>
        <w:t>诸城市房权证城区商品字第02710号。</w:t>
      </w:r>
    </w:p>
    <w:p>
      <w:pPr>
        <w:spacing w:line="360" w:lineRule="auto"/>
        <w:ind w:firstLine="480" w:firstLineChars="200"/>
        <w:rPr>
          <w:rFonts w:hint="default" w:ascii="宋体" w:hAnsi="宋体"/>
          <w:sz w:val="24"/>
          <w:highlight w:val="none"/>
          <w:lang w:val="en-US" w:eastAsia="zh-CN"/>
        </w:rPr>
      </w:pPr>
      <w:r>
        <w:rPr>
          <w:rFonts w:hint="eastAsia" w:ascii="宋体" w:hAnsi="宋体"/>
          <w:sz w:val="24"/>
          <w:highlight w:val="none"/>
          <w:lang w:val="en-US" w:eastAsia="zh-CN"/>
        </w:rPr>
        <w:t>4、诸城市不动产登记信息查询结果证明：编号为20210823-0045283。</w:t>
      </w:r>
    </w:p>
    <w:p>
      <w:pPr>
        <w:spacing w:line="5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（四）房地产估价机构和注册房地产估价师所搜集掌握的有关资料</w:t>
      </w:r>
    </w:p>
    <w:p>
      <w:pPr>
        <w:spacing w:line="5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、待估对象当地</w:t>
      </w:r>
      <w:r>
        <w:rPr>
          <w:rFonts w:asciiTheme="minorEastAsia" w:hAnsiTheme="minorEastAsia" w:eastAsiaTheme="minorEastAsia"/>
          <w:sz w:val="24"/>
        </w:rPr>
        <w:t>房地产市场价格资料</w:t>
      </w:r>
      <w:r>
        <w:rPr>
          <w:rFonts w:hint="eastAsia" w:asciiTheme="minorEastAsia" w:hAnsiTheme="minorEastAsia" w:eastAsiaTheme="minorEastAsia"/>
          <w:sz w:val="24"/>
        </w:rPr>
        <w:t>；</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2、待估对象当地</w:t>
      </w:r>
      <w:r>
        <w:rPr>
          <w:rFonts w:asciiTheme="minorEastAsia" w:hAnsiTheme="minorEastAsia" w:eastAsiaTheme="minorEastAsia"/>
          <w:sz w:val="24"/>
        </w:rPr>
        <w:t>概况、规划、经济发展及自然、人文环境资料</w:t>
      </w:r>
      <w:r>
        <w:rPr>
          <w:rFonts w:hint="eastAsia" w:asciiTheme="minorEastAsia" w:hAnsiTheme="minorEastAsia" w:eastAsiaTheme="minorEastAsia"/>
          <w:sz w:val="24"/>
        </w:rPr>
        <w:t>；</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3、注册房地产估价师现场获取的资料；</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其他有关资料。</w:t>
      </w:r>
    </w:p>
    <w:p>
      <w:pPr>
        <w:spacing w:line="360" w:lineRule="auto"/>
        <w:ind w:firstLine="482" w:firstLineChars="200"/>
        <w:outlineLvl w:val="0"/>
        <w:rPr>
          <w:rFonts w:asciiTheme="minorEastAsia" w:hAnsiTheme="minorEastAsia" w:eastAsiaTheme="minorEastAsia"/>
          <w:b/>
          <w:sz w:val="24"/>
        </w:rPr>
      </w:pPr>
      <w:bookmarkStart w:id="11" w:name="_Toc52372811"/>
      <w:r>
        <w:rPr>
          <w:rFonts w:hint="eastAsia" w:asciiTheme="minorEastAsia" w:hAnsiTheme="minorEastAsia" w:eastAsiaTheme="minorEastAsia"/>
          <w:b/>
          <w:sz w:val="24"/>
        </w:rPr>
        <w:t>九、估价方法</w:t>
      </w:r>
      <w:bookmarkEnd w:id="11"/>
    </w:p>
    <w:p>
      <w:pPr>
        <w:spacing w:line="360" w:lineRule="auto"/>
        <w:ind w:firstLine="480" w:firstLineChars="200"/>
        <w:rPr>
          <w:rFonts w:hint="eastAsia" w:ascii="宋体" w:hAnsi="宋体"/>
          <w:bCs/>
          <w:sz w:val="24"/>
          <w:szCs w:val="24"/>
        </w:rPr>
      </w:pPr>
      <w:bookmarkStart w:id="12" w:name="_Toc52372812"/>
      <w:r>
        <w:rPr>
          <w:rFonts w:hint="eastAsia" w:ascii="宋体" w:hAnsi="宋体"/>
          <w:bCs/>
          <w:sz w:val="24"/>
          <w:szCs w:val="24"/>
        </w:rPr>
        <w:t>估价方法选用一般取决于估价对象的规划用途、估价技术标准、当地房地产市场条件和估价目的。估价方法通常有</w:t>
      </w:r>
      <w:r>
        <w:rPr>
          <w:rFonts w:hint="eastAsia" w:ascii="宋体" w:hAnsi="宋体"/>
          <w:bCs/>
          <w:sz w:val="24"/>
          <w:szCs w:val="24"/>
          <w:lang w:eastAsia="zh-CN"/>
        </w:rPr>
        <w:t>市场法</w:t>
      </w:r>
      <w:r>
        <w:rPr>
          <w:rFonts w:hint="eastAsia" w:ascii="宋体" w:hAnsi="宋体"/>
          <w:bCs/>
          <w:sz w:val="24"/>
          <w:szCs w:val="24"/>
        </w:rPr>
        <w:t>、成本法、收益法、假设开发法四种。</w:t>
      </w:r>
    </w:p>
    <w:p>
      <w:pPr>
        <w:spacing w:line="360" w:lineRule="auto"/>
        <w:ind w:firstLine="480" w:firstLineChars="200"/>
        <w:rPr>
          <w:rFonts w:hint="eastAsia" w:ascii="宋体" w:hAnsi="宋体"/>
          <w:bCs/>
          <w:sz w:val="24"/>
          <w:szCs w:val="24"/>
        </w:rPr>
      </w:pPr>
      <w:r>
        <w:rPr>
          <w:rFonts w:hint="eastAsia" w:ascii="宋体" w:hAnsi="宋体"/>
          <w:bCs/>
          <w:sz w:val="24"/>
          <w:szCs w:val="24"/>
        </w:rPr>
        <w:t>本次对估价对象房地产价格进行评估。从理论上讲，假设开发法适用于有开发潜力的房地产估价，不适用继续使用的</w:t>
      </w:r>
      <w:r>
        <w:rPr>
          <w:rFonts w:hint="eastAsia" w:ascii="宋体" w:hAnsi="宋体"/>
          <w:bCs/>
          <w:sz w:val="24"/>
          <w:szCs w:val="28"/>
        </w:rPr>
        <w:t>住宅</w:t>
      </w:r>
      <w:r>
        <w:rPr>
          <w:rFonts w:hint="eastAsia" w:ascii="宋体" w:hAnsi="宋体"/>
          <w:bCs/>
          <w:sz w:val="24"/>
          <w:szCs w:val="24"/>
        </w:rPr>
        <w:t>房地产估价，因此，不能选用假设开发法；</w:t>
      </w:r>
      <w:r>
        <w:rPr>
          <w:rFonts w:hint="eastAsia" w:ascii="宋体" w:hAnsi="宋体"/>
          <w:bCs/>
          <w:sz w:val="24"/>
          <w:szCs w:val="28"/>
        </w:rPr>
        <w:t>住宅</w:t>
      </w:r>
      <w:r>
        <w:rPr>
          <w:rFonts w:hint="eastAsia" w:ascii="宋体" w:hAnsi="宋体"/>
          <w:bCs/>
          <w:sz w:val="24"/>
          <w:szCs w:val="24"/>
        </w:rPr>
        <w:t>类房地产市场价格评估适用</w:t>
      </w:r>
      <w:r>
        <w:rPr>
          <w:rFonts w:hint="eastAsia" w:ascii="宋体" w:hAnsi="宋体"/>
          <w:bCs/>
          <w:sz w:val="24"/>
          <w:szCs w:val="24"/>
          <w:lang w:eastAsia="zh-CN"/>
        </w:rPr>
        <w:t>市场法</w:t>
      </w:r>
      <w:r>
        <w:rPr>
          <w:rFonts w:hint="eastAsia" w:ascii="宋体" w:hAnsi="宋体"/>
          <w:bCs/>
          <w:sz w:val="24"/>
          <w:szCs w:val="24"/>
        </w:rPr>
        <w:t>、成本法、收益法。</w:t>
      </w:r>
    </w:p>
    <w:p>
      <w:pPr>
        <w:spacing w:line="360" w:lineRule="auto"/>
        <w:ind w:firstLine="480" w:firstLineChars="200"/>
        <w:rPr>
          <w:rFonts w:hint="eastAsia" w:ascii="宋体" w:hAnsi="宋体"/>
          <w:bCs/>
          <w:sz w:val="24"/>
          <w:szCs w:val="24"/>
        </w:rPr>
      </w:pPr>
      <w:r>
        <w:rPr>
          <w:rFonts w:hint="eastAsia" w:ascii="宋体" w:hAnsi="宋体"/>
          <w:bCs/>
          <w:sz w:val="24"/>
          <w:szCs w:val="24"/>
        </w:rPr>
        <w:t>虽然理论上对</w:t>
      </w:r>
      <w:r>
        <w:rPr>
          <w:rFonts w:hint="eastAsia" w:ascii="宋体" w:hAnsi="宋体"/>
          <w:bCs/>
          <w:sz w:val="24"/>
          <w:szCs w:val="28"/>
        </w:rPr>
        <w:t>住宅</w:t>
      </w:r>
      <w:r>
        <w:rPr>
          <w:rFonts w:hint="eastAsia" w:ascii="宋体" w:hAnsi="宋体"/>
          <w:bCs/>
          <w:sz w:val="24"/>
          <w:szCs w:val="24"/>
        </w:rPr>
        <w:t>房地产估价也可采用成本法，</w:t>
      </w:r>
      <w:r>
        <w:rPr>
          <w:rFonts w:hint="eastAsia" w:ascii="宋体" w:hAnsi="宋体"/>
          <w:bCs/>
          <w:sz w:val="24"/>
          <w:szCs w:val="24"/>
          <w:highlight w:val="none"/>
        </w:rPr>
        <w:t>但考虑成熟</w:t>
      </w:r>
      <w:r>
        <w:rPr>
          <w:rFonts w:hint="eastAsia" w:ascii="宋体" w:hAnsi="宋体"/>
          <w:bCs/>
          <w:sz w:val="24"/>
          <w:szCs w:val="28"/>
          <w:highlight w:val="none"/>
        </w:rPr>
        <w:t>住宅</w:t>
      </w:r>
      <w:r>
        <w:rPr>
          <w:rFonts w:hint="eastAsia" w:ascii="宋体" w:hAnsi="宋体"/>
          <w:bCs/>
          <w:sz w:val="24"/>
          <w:szCs w:val="24"/>
          <w:highlight w:val="none"/>
        </w:rPr>
        <w:t>区土地</w:t>
      </w:r>
      <w:r>
        <w:rPr>
          <w:rFonts w:hint="eastAsia" w:ascii="宋体" w:hAnsi="宋体"/>
          <w:bCs/>
          <w:sz w:val="24"/>
          <w:szCs w:val="24"/>
        </w:rPr>
        <w:t>重置成本、房地产开发利润率等重要数据不易搜集掌握，故无法采用成本法估价。</w:t>
      </w:r>
    </w:p>
    <w:p>
      <w:pPr>
        <w:spacing w:line="360" w:lineRule="auto"/>
        <w:ind w:firstLine="480" w:firstLineChars="200"/>
        <w:rPr>
          <w:rFonts w:hint="eastAsia" w:ascii="宋体" w:hAnsi="宋体"/>
          <w:bCs/>
          <w:sz w:val="24"/>
          <w:szCs w:val="24"/>
        </w:rPr>
      </w:pPr>
      <w:r>
        <w:rPr>
          <w:rFonts w:hint="eastAsia" w:ascii="宋体" w:hAnsi="宋体"/>
          <w:bCs/>
          <w:sz w:val="24"/>
          <w:szCs w:val="24"/>
        </w:rPr>
        <w:t>同时虽估价对象为</w:t>
      </w:r>
      <w:r>
        <w:rPr>
          <w:rFonts w:hint="eastAsia" w:ascii="宋体" w:hAnsi="宋体"/>
          <w:bCs/>
          <w:sz w:val="24"/>
          <w:szCs w:val="28"/>
        </w:rPr>
        <w:t>住宅</w:t>
      </w:r>
      <w:r>
        <w:rPr>
          <w:rFonts w:hint="eastAsia" w:ascii="宋体" w:hAnsi="宋体"/>
          <w:bCs/>
          <w:sz w:val="24"/>
          <w:szCs w:val="24"/>
        </w:rPr>
        <w:t>房地产，具有一定的租金收益，但在目前市场状况下、租售比极不均衡，收益法所得数据不能真实体现市场价格。故不采用收益法估价。</w:t>
      </w:r>
    </w:p>
    <w:p>
      <w:pPr>
        <w:spacing w:line="360" w:lineRule="auto"/>
        <w:ind w:firstLine="480" w:firstLineChars="200"/>
        <w:rPr>
          <w:rFonts w:hint="eastAsia" w:ascii="宋体" w:hAnsi="宋体"/>
          <w:bCs/>
          <w:sz w:val="24"/>
          <w:szCs w:val="24"/>
        </w:rPr>
      </w:pPr>
      <w:r>
        <w:rPr>
          <w:rFonts w:hint="eastAsia" w:ascii="宋体" w:hAnsi="宋体"/>
          <w:bCs/>
          <w:sz w:val="24"/>
          <w:szCs w:val="24"/>
        </w:rPr>
        <w:t>由于在估价对象同一供求圈内房地产市场存在一定的交易量，房地产市场上类似交易实例较多，可比实例较易收集，且修正、调整体系完善，故选用</w:t>
      </w:r>
      <w:r>
        <w:rPr>
          <w:rFonts w:hint="eastAsia" w:ascii="宋体" w:hAnsi="宋体"/>
          <w:bCs/>
          <w:sz w:val="24"/>
          <w:szCs w:val="24"/>
          <w:lang w:val="en-US" w:eastAsia="zh-CN"/>
        </w:rPr>
        <w:t>市场</w:t>
      </w:r>
      <w:r>
        <w:rPr>
          <w:rFonts w:hint="eastAsia" w:ascii="宋体" w:hAnsi="宋体"/>
          <w:bCs/>
          <w:sz w:val="24"/>
          <w:szCs w:val="24"/>
        </w:rPr>
        <w:t>法进行估价。</w:t>
      </w:r>
    </w:p>
    <w:p>
      <w:pPr>
        <w:adjustRightInd w:val="0"/>
        <w:snapToGrid w:val="0"/>
        <w:spacing w:line="360" w:lineRule="auto"/>
        <w:ind w:firstLine="480" w:firstLineChars="200"/>
        <w:rPr>
          <w:rFonts w:hint="eastAsia" w:ascii="宋体" w:hAnsi="宋体"/>
          <w:bCs/>
          <w:sz w:val="24"/>
          <w:szCs w:val="24"/>
        </w:rPr>
      </w:pPr>
      <w:r>
        <w:rPr>
          <w:rFonts w:hint="eastAsia" w:ascii="宋体" w:hAnsi="宋体"/>
          <w:bCs/>
          <w:sz w:val="24"/>
          <w:szCs w:val="24"/>
          <w:lang w:eastAsia="zh-CN"/>
        </w:rPr>
        <w:t>市场法</w:t>
      </w:r>
      <w:r>
        <w:rPr>
          <w:rFonts w:hint="eastAsia" w:ascii="宋体" w:hAnsi="宋体"/>
          <w:bCs/>
          <w:sz w:val="24"/>
          <w:szCs w:val="24"/>
        </w:rPr>
        <w:t>是选取一定数量的可比实例，将它们与估价对象进行比较，根据其间的差异对可比实例成交价格进行处理后得到估价对象价值或价格的方法。</w:t>
      </w:r>
    </w:p>
    <w:p>
      <w:pPr>
        <w:pageBreakBefore/>
        <w:spacing w:line="360" w:lineRule="auto"/>
        <w:ind w:firstLine="482" w:firstLineChars="200"/>
        <w:outlineLvl w:val="0"/>
        <w:rPr>
          <w:rFonts w:asciiTheme="minorEastAsia" w:hAnsiTheme="minorEastAsia" w:eastAsiaTheme="minorEastAsia"/>
          <w:bCs/>
          <w:sz w:val="24"/>
        </w:rPr>
      </w:pPr>
      <w:r>
        <w:rPr>
          <w:rFonts w:hint="eastAsia" w:asciiTheme="minorEastAsia" w:hAnsiTheme="minorEastAsia" w:eastAsiaTheme="minorEastAsia"/>
          <w:b/>
          <w:sz w:val="24"/>
        </w:rPr>
        <w:t>十、估价结果</w:t>
      </w:r>
      <w:bookmarkEnd w:id="12"/>
    </w:p>
    <w:p>
      <w:pPr>
        <w:tabs>
          <w:tab w:val="left" w:pos="8104"/>
        </w:tabs>
        <w:spacing w:line="360" w:lineRule="auto"/>
        <w:ind w:firstLine="480" w:firstLineChars="200"/>
        <w:rPr>
          <w:rFonts w:hint="eastAsia" w:ascii="宋体" w:hAnsi="宋体"/>
          <w:b/>
          <w:sz w:val="24"/>
          <w:szCs w:val="24"/>
        </w:rPr>
      </w:pPr>
      <w:r>
        <w:rPr>
          <w:rFonts w:hint="eastAsia" w:asciiTheme="minorEastAsia" w:hAnsiTheme="minorEastAsia" w:eastAsiaTheme="minorEastAsia"/>
          <w:bCs/>
          <w:sz w:val="24"/>
        </w:rPr>
        <w:t>估价人员根据估价目的，遵循估价原则，按照估价工作程序，运用科学的估价方法，仔细考察估价对象的建筑物特征及使用和维护情况，经过全面细致的测算，并结合估价经验和对影响价格因素的分析，最终确定在满足本估价报告中“</w:t>
      </w:r>
      <w:r>
        <w:rPr>
          <w:rFonts w:asciiTheme="minorEastAsia" w:hAnsiTheme="minorEastAsia" w:eastAsiaTheme="minorEastAsia"/>
          <w:bCs/>
          <w:sz w:val="24"/>
        </w:rPr>
        <w:t>估价</w:t>
      </w:r>
      <w:r>
        <w:rPr>
          <w:rFonts w:hint="eastAsia" w:asciiTheme="minorEastAsia" w:hAnsiTheme="minorEastAsia" w:eastAsiaTheme="minorEastAsia"/>
          <w:bCs/>
          <w:sz w:val="24"/>
        </w:rPr>
        <w:t>假设与限制条件”的前提下</w:t>
      </w:r>
      <w:r>
        <w:rPr>
          <w:rFonts w:hint="eastAsia" w:ascii="宋体" w:hAnsi="宋体"/>
          <w:bCs/>
          <w:sz w:val="24"/>
          <w:szCs w:val="24"/>
        </w:rPr>
        <w:t>，确定</w:t>
      </w:r>
      <w:r>
        <w:rPr>
          <w:rFonts w:hint="eastAsia" w:ascii="宋体" w:hAnsi="宋体"/>
          <w:sz w:val="24"/>
          <w:lang w:val="en-US" w:eastAsia="zh-CN"/>
        </w:rPr>
        <w:t>徐志扬（身份证号：370728195905230216）名下</w:t>
      </w:r>
      <w:r>
        <w:rPr>
          <w:rFonts w:hint="eastAsia" w:ascii="宋体" w:hAnsi="宋体"/>
          <w:sz w:val="24"/>
        </w:rPr>
        <w:t>的位</w:t>
      </w:r>
      <w:r>
        <w:rPr>
          <w:rFonts w:hint="eastAsia" w:ascii="宋体" w:hAnsi="宋体" w:eastAsia="宋体" w:cs="Times New Roman"/>
          <w:sz w:val="24"/>
          <w:lang w:val="en-US" w:eastAsia="zh-CN"/>
        </w:rPr>
        <w:t>于</w:t>
      </w:r>
      <w:r>
        <w:rPr>
          <w:rFonts w:hint="eastAsia" w:ascii="宋体" w:hAnsi="宋体" w:cs="Times New Roman"/>
          <w:sz w:val="24"/>
          <w:lang w:val="en-US" w:eastAsia="zh-CN"/>
        </w:rPr>
        <w:t>诸城市纺织街288号9号楼1单元302户房产及附房</w:t>
      </w:r>
      <w:r>
        <w:rPr>
          <w:rFonts w:hint="eastAsia"/>
          <w:bCs/>
          <w:sz w:val="24"/>
        </w:rPr>
        <w:t>的评估价值为</w:t>
      </w:r>
      <w:r>
        <w:rPr>
          <w:rFonts w:hint="eastAsia" w:ascii="宋体" w:hAnsi="宋体" w:cs="宋体"/>
          <w:kern w:val="0"/>
          <w:sz w:val="24"/>
          <w:szCs w:val="24"/>
          <w:lang w:val="en-US" w:eastAsia="zh-CN"/>
        </w:rPr>
        <w:t>402952</w:t>
      </w:r>
      <w:r>
        <w:rPr>
          <w:rFonts w:hint="eastAsia"/>
          <w:bCs/>
          <w:sz w:val="24"/>
        </w:rPr>
        <w:t>元（大写：人民币</w:t>
      </w:r>
      <w:r>
        <w:rPr>
          <w:rFonts w:hint="eastAsia"/>
          <w:bCs/>
          <w:sz w:val="24"/>
          <w:lang w:val="en-US" w:eastAsia="zh-CN"/>
        </w:rPr>
        <w:t>肆拾万贰仟玖佰伍拾贰</w:t>
      </w:r>
      <w:r>
        <w:rPr>
          <w:rFonts w:hint="eastAsia"/>
          <w:bCs/>
          <w:sz w:val="24"/>
        </w:rPr>
        <w:t>元整）</w:t>
      </w:r>
      <w:r>
        <w:rPr>
          <w:rFonts w:hint="eastAsia"/>
          <w:sz w:val="24"/>
          <w:lang w:eastAsia="zh-CN"/>
        </w:rPr>
        <w:t>（</w:t>
      </w:r>
      <w:r>
        <w:rPr>
          <w:rFonts w:hint="eastAsia"/>
          <w:sz w:val="24"/>
          <w:lang w:val="en-US" w:eastAsia="zh-CN"/>
        </w:rPr>
        <w:t>该评估价值已包含附房价值</w:t>
      </w:r>
      <w:r>
        <w:rPr>
          <w:rFonts w:hint="eastAsia"/>
          <w:sz w:val="24"/>
          <w:lang w:eastAsia="zh-CN"/>
        </w:rPr>
        <w:t>）</w:t>
      </w:r>
      <w:r>
        <w:rPr>
          <w:rFonts w:hint="eastAsia"/>
          <w:bCs/>
          <w:sz w:val="24"/>
        </w:rPr>
        <w:t>。</w:t>
      </w:r>
      <w:r>
        <w:rPr>
          <w:rFonts w:hint="eastAsia" w:ascii="宋体" w:hAnsi="宋体"/>
          <w:bCs/>
          <w:sz w:val="24"/>
          <w:szCs w:val="24"/>
        </w:rPr>
        <w:t>建筑面积单价：</w:t>
      </w:r>
      <w:r>
        <w:rPr>
          <w:rFonts w:hint="eastAsia" w:ascii="宋体" w:hAnsi="宋体"/>
          <w:bCs/>
          <w:sz w:val="24"/>
          <w:szCs w:val="24"/>
          <w:lang w:val="en-US" w:eastAsia="zh-CN"/>
        </w:rPr>
        <w:t>5180</w:t>
      </w:r>
      <w:r>
        <w:rPr>
          <w:rFonts w:hint="eastAsia" w:ascii="宋体" w:hAnsi="宋体"/>
          <w:bCs/>
          <w:sz w:val="24"/>
          <w:szCs w:val="24"/>
        </w:rPr>
        <w:t>元</w:t>
      </w:r>
      <w:r>
        <w:rPr>
          <w:rFonts w:hint="eastAsia" w:ascii="宋体" w:hAnsi="宋体"/>
          <w:bCs/>
          <w:sz w:val="24"/>
          <w:szCs w:val="24"/>
          <w:lang w:val="en-US" w:eastAsia="zh-CN"/>
        </w:rPr>
        <w:t>/</w:t>
      </w:r>
      <w:r>
        <w:rPr>
          <w:rFonts w:hint="eastAsia" w:ascii="宋体" w:hAnsi="宋体"/>
          <w:bCs/>
          <w:sz w:val="24"/>
          <w:szCs w:val="24"/>
        </w:rPr>
        <w:t>平方米。</w:t>
      </w:r>
    </w:p>
    <w:p>
      <w:pPr>
        <w:spacing w:line="360" w:lineRule="auto"/>
        <w:ind w:firstLine="482" w:firstLineChars="200"/>
        <w:outlineLvl w:val="0"/>
        <w:rPr>
          <w:rFonts w:asciiTheme="minorEastAsia" w:hAnsiTheme="minorEastAsia" w:eastAsiaTheme="minorEastAsia"/>
          <w:b/>
          <w:sz w:val="24"/>
        </w:rPr>
      </w:pPr>
      <w:bookmarkStart w:id="13" w:name="_Toc52372813"/>
      <w:r>
        <w:rPr>
          <w:rFonts w:hint="eastAsia" w:asciiTheme="minorEastAsia" w:hAnsiTheme="minorEastAsia" w:eastAsiaTheme="minorEastAsia"/>
          <w:b/>
          <w:sz w:val="24"/>
        </w:rPr>
        <w:t>十一、注册房地产估价师</w:t>
      </w:r>
      <w:bookmarkEnd w:id="13"/>
    </w:p>
    <w:p>
      <w:pPr>
        <w:spacing w:line="360" w:lineRule="auto"/>
        <w:ind w:firstLine="480" w:firstLineChars="200"/>
        <w:jc w:val="center"/>
        <w:rPr>
          <w:rFonts w:asciiTheme="minorEastAsia" w:hAnsiTheme="minorEastAsia" w:eastAsiaTheme="minorEastAsia"/>
          <w:sz w:val="24"/>
        </w:rPr>
      </w:pPr>
      <w:r>
        <w:rPr>
          <w:rFonts w:hint="eastAsia" w:asciiTheme="minorEastAsia" w:hAnsiTheme="minorEastAsia" w:eastAsiaTheme="minorEastAsia"/>
          <w:sz w:val="24"/>
        </w:rPr>
        <w:t>注册房地产估价师签章：</w:t>
      </w:r>
    </w:p>
    <w:tbl>
      <w:tblPr>
        <w:tblStyle w:val="42"/>
        <w:tblW w:w="7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1783"/>
        <w:gridCol w:w="3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姓  名</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注册号</w:t>
            </w:r>
          </w:p>
        </w:tc>
        <w:tc>
          <w:tcPr>
            <w:tcW w:w="39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1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 xml:space="preserve">宋佳英 </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3720030089</w:t>
            </w:r>
          </w:p>
        </w:tc>
        <w:tc>
          <w:tcPr>
            <w:tcW w:w="397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1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曹春玲</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3720130159</w:t>
            </w:r>
          </w:p>
        </w:tc>
        <w:tc>
          <w:tcPr>
            <w:tcW w:w="397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Theme="minorEastAsia" w:hAnsiTheme="minorEastAsia" w:eastAsiaTheme="minorEastAsia"/>
                <w:sz w:val="24"/>
              </w:rPr>
            </w:pPr>
          </w:p>
        </w:tc>
      </w:tr>
    </w:tbl>
    <w:p>
      <w:pPr>
        <w:spacing w:line="360" w:lineRule="auto"/>
        <w:ind w:firstLine="482" w:firstLineChars="200"/>
        <w:outlineLvl w:val="0"/>
        <w:rPr>
          <w:rFonts w:asciiTheme="minorEastAsia" w:hAnsiTheme="minorEastAsia" w:eastAsiaTheme="minorEastAsia"/>
          <w:b/>
          <w:sz w:val="24"/>
        </w:rPr>
      </w:pPr>
      <w:bookmarkStart w:id="14" w:name="_Toc52372814"/>
      <w:r>
        <w:rPr>
          <w:rFonts w:hint="eastAsia" w:asciiTheme="minorEastAsia" w:hAnsiTheme="minorEastAsia" w:eastAsiaTheme="minorEastAsia"/>
          <w:b/>
          <w:sz w:val="24"/>
        </w:rPr>
        <w:t>十二、实地查勘期</w:t>
      </w:r>
      <w:bookmarkEnd w:id="14"/>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2022年4月18日。</w:t>
      </w:r>
    </w:p>
    <w:p>
      <w:pPr>
        <w:spacing w:line="360" w:lineRule="auto"/>
        <w:ind w:firstLine="482" w:firstLineChars="200"/>
        <w:outlineLvl w:val="0"/>
        <w:rPr>
          <w:rFonts w:asciiTheme="minorEastAsia" w:hAnsiTheme="minorEastAsia" w:eastAsiaTheme="minorEastAsia"/>
          <w:b/>
          <w:sz w:val="24"/>
        </w:rPr>
      </w:pPr>
      <w:bookmarkStart w:id="15" w:name="_Toc52372815"/>
      <w:r>
        <w:rPr>
          <w:rFonts w:hint="eastAsia" w:asciiTheme="minorEastAsia" w:hAnsiTheme="minorEastAsia" w:eastAsiaTheme="minorEastAsia"/>
          <w:b/>
          <w:sz w:val="24"/>
        </w:rPr>
        <w:t>十三、估价作业期</w:t>
      </w:r>
      <w:bookmarkEnd w:id="15"/>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2022年4月</w:t>
      </w:r>
      <w:r>
        <w:rPr>
          <w:rFonts w:hint="eastAsia" w:asciiTheme="minorEastAsia" w:hAnsiTheme="minorEastAsia" w:eastAsiaTheme="minorEastAsia"/>
          <w:sz w:val="24"/>
          <w:lang w:val="en-US" w:eastAsia="zh-CN"/>
        </w:rPr>
        <w:t>18</w:t>
      </w:r>
      <w:r>
        <w:rPr>
          <w:rFonts w:hint="eastAsia" w:asciiTheme="minorEastAsia" w:hAnsiTheme="minorEastAsia" w:eastAsiaTheme="minorEastAsia"/>
          <w:sz w:val="24"/>
        </w:rPr>
        <w:t>日至2022年4月28日。</w:t>
      </w:r>
    </w:p>
    <w:p>
      <w:pPr>
        <w:spacing w:line="360" w:lineRule="auto"/>
        <w:ind w:firstLine="482" w:firstLineChars="200"/>
        <w:outlineLvl w:val="0"/>
        <w:rPr>
          <w:rFonts w:asciiTheme="minorEastAsia" w:hAnsiTheme="minorEastAsia" w:eastAsiaTheme="minorEastAsia"/>
          <w:b/>
          <w:sz w:val="24"/>
        </w:rPr>
      </w:pPr>
      <w:bookmarkStart w:id="16" w:name="_Toc52372816"/>
      <w:r>
        <w:rPr>
          <w:rFonts w:hint="eastAsia" w:asciiTheme="minorEastAsia" w:hAnsiTheme="minorEastAsia" w:eastAsiaTheme="minorEastAsia"/>
          <w:b/>
          <w:sz w:val="24"/>
        </w:rPr>
        <w:t>十四、估价报告有效期</w:t>
      </w:r>
      <w:bookmarkEnd w:id="16"/>
    </w:p>
    <w:p>
      <w:pPr>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sz w:val="24"/>
        </w:rPr>
        <w:t>2022年4月28日至2023年4月27日</w:t>
      </w:r>
    </w:p>
    <w:p>
      <w:pPr>
        <w:spacing w:line="360" w:lineRule="auto"/>
        <w:ind w:firstLine="355" w:firstLineChars="148"/>
        <w:rPr>
          <w:rFonts w:asciiTheme="minorEastAsia" w:hAnsiTheme="minorEastAsia" w:eastAsiaTheme="minorEastAsia"/>
          <w:bCs/>
          <w:sz w:val="24"/>
        </w:rPr>
      </w:pPr>
    </w:p>
    <w:p>
      <w:pPr>
        <w:pStyle w:val="2"/>
        <w:keepNext w:val="0"/>
        <w:keepLines w:val="0"/>
        <w:spacing w:line="360" w:lineRule="auto"/>
        <w:jc w:val="center"/>
        <w:rPr>
          <w:sz w:val="24"/>
        </w:rPr>
      </w:pPr>
      <w:r>
        <w:rPr>
          <w:rFonts w:hint="eastAsia" w:asciiTheme="minorEastAsia" w:hAnsiTheme="minorEastAsia" w:eastAsiaTheme="minorEastAsia"/>
          <w:sz w:val="24"/>
          <w:szCs w:val="24"/>
        </w:rPr>
        <w:br w:type="page"/>
      </w:r>
      <w:bookmarkStart w:id="17" w:name="_Toc360713675"/>
      <w:bookmarkStart w:id="18" w:name="_Toc22159"/>
    </w:p>
    <w:p>
      <w:pPr>
        <w:spacing w:line="360" w:lineRule="auto"/>
        <w:rPr>
          <w:sz w:val="24"/>
        </w:rPr>
      </w:pPr>
    </w:p>
    <w:p/>
    <w:p>
      <w:pPr>
        <w:pStyle w:val="2"/>
        <w:spacing w:line="360" w:lineRule="auto"/>
        <w:jc w:val="center"/>
        <w:rPr>
          <w:rFonts w:ascii="宋体" w:hAnsi="宋体"/>
          <w:b w:val="0"/>
          <w:sz w:val="36"/>
          <w:szCs w:val="36"/>
        </w:rPr>
      </w:pPr>
      <w:bookmarkStart w:id="19" w:name="_Toc52372817"/>
      <w:r>
        <w:rPr>
          <w:rFonts w:hint="eastAsia" w:ascii="宋体" w:hAnsi="宋体"/>
          <w:sz w:val="36"/>
          <w:szCs w:val="36"/>
        </w:rPr>
        <w:t>附  件</w:t>
      </w:r>
      <w:bookmarkEnd w:id="17"/>
      <w:bookmarkEnd w:id="18"/>
      <w:bookmarkEnd w:id="19"/>
    </w:p>
    <w:p>
      <w:pPr>
        <w:spacing w:line="360" w:lineRule="auto"/>
        <w:ind w:firstLine="600" w:firstLineChars="250"/>
        <w:rPr>
          <w:rFonts w:asciiTheme="minorEastAsia" w:hAnsiTheme="minorEastAsia" w:eastAsiaTheme="minorEastAsia"/>
          <w:sz w:val="24"/>
        </w:rPr>
      </w:pPr>
      <w:bookmarkStart w:id="20" w:name="_Toc360713679"/>
      <w:bookmarkStart w:id="21" w:name="_Toc352741104"/>
      <w:bookmarkStart w:id="22" w:name="_Toc269394638"/>
      <w:r>
        <w:rPr>
          <w:rFonts w:hint="eastAsia" w:asciiTheme="minorEastAsia" w:hAnsiTheme="minorEastAsia" w:eastAsiaTheme="minorEastAsia"/>
          <w:sz w:val="24"/>
        </w:rPr>
        <w:t>（一）估价委托书复印件</w:t>
      </w:r>
    </w:p>
    <w:p>
      <w:pPr>
        <w:spacing w:line="360" w:lineRule="auto"/>
        <w:ind w:firstLine="600" w:firstLineChars="250"/>
        <w:rPr>
          <w:rFonts w:asciiTheme="minorEastAsia" w:hAnsiTheme="minorEastAsia" w:eastAsiaTheme="minorEastAsia"/>
          <w:sz w:val="24"/>
        </w:rPr>
      </w:pPr>
      <w:r>
        <w:rPr>
          <w:rFonts w:hint="eastAsia" w:asciiTheme="minorEastAsia" w:hAnsiTheme="minorEastAsia" w:eastAsiaTheme="minorEastAsia"/>
          <w:sz w:val="24"/>
        </w:rPr>
        <w:t>（二）估价对象内外部状况以及环境景观照片</w:t>
      </w:r>
      <w:bookmarkEnd w:id="20"/>
      <w:bookmarkEnd w:id="21"/>
    </w:p>
    <w:p>
      <w:pPr>
        <w:spacing w:line="360" w:lineRule="auto"/>
        <w:ind w:firstLine="600" w:firstLineChars="250"/>
        <w:rPr>
          <w:rFonts w:asciiTheme="minorEastAsia" w:hAnsiTheme="minorEastAsia" w:eastAsiaTheme="minorEastAsia"/>
          <w:sz w:val="24"/>
        </w:rPr>
      </w:pPr>
      <w:bookmarkStart w:id="23" w:name="_Toc352741105"/>
      <w:bookmarkStart w:id="24" w:name="_Toc360713680"/>
      <w:r>
        <w:rPr>
          <w:rFonts w:hint="eastAsia" w:asciiTheme="minorEastAsia" w:hAnsiTheme="minorEastAsia" w:eastAsiaTheme="minorEastAsia"/>
          <w:sz w:val="24"/>
        </w:rPr>
        <w:t>（三）</w:t>
      </w:r>
      <w:bookmarkEnd w:id="22"/>
      <w:bookmarkEnd w:id="23"/>
      <w:bookmarkEnd w:id="24"/>
      <w:r>
        <w:rPr>
          <w:rFonts w:hint="eastAsia" w:asciiTheme="minorEastAsia" w:hAnsiTheme="minorEastAsia" w:eastAsiaTheme="minorEastAsia"/>
          <w:sz w:val="24"/>
        </w:rPr>
        <w:t>估价对象相关权属资料</w:t>
      </w:r>
    </w:p>
    <w:p>
      <w:pPr>
        <w:spacing w:line="360" w:lineRule="auto"/>
        <w:ind w:firstLine="600" w:firstLineChars="250"/>
        <w:rPr>
          <w:rFonts w:asciiTheme="minorEastAsia" w:hAnsiTheme="minorEastAsia" w:eastAsiaTheme="minorEastAsia"/>
          <w:sz w:val="24"/>
        </w:rPr>
      </w:pPr>
      <w:bookmarkStart w:id="25" w:name="_Toc269394639"/>
      <w:bookmarkStart w:id="26" w:name="_Toc360713681"/>
      <w:bookmarkStart w:id="27" w:name="_Toc352741106"/>
      <w:r>
        <w:rPr>
          <w:rFonts w:hint="eastAsia" w:asciiTheme="minorEastAsia" w:hAnsiTheme="minorEastAsia" w:eastAsiaTheme="minorEastAsia"/>
          <w:sz w:val="24"/>
        </w:rPr>
        <w:t>（四）房地产估价机构营业执照复印件</w:t>
      </w:r>
      <w:bookmarkEnd w:id="25"/>
      <w:bookmarkEnd w:id="26"/>
      <w:bookmarkEnd w:id="27"/>
    </w:p>
    <w:p>
      <w:pPr>
        <w:spacing w:line="360" w:lineRule="auto"/>
        <w:ind w:firstLine="600" w:firstLineChars="250"/>
        <w:rPr>
          <w:rFonts w:asciiTheme="minorEastAsia" w:hAnsiTheme="minorEastAsia" w:eastAsiaTheme="minorEastAsia"/>
          <w:sz w:val="24"/>
        </w:rPr>
      </w:pPr>
      <w:bookmarkStart w:id="28" w:name="_Toc360713682"/>
      <w:bookmarkStart w:id="29" w:name="_Toc352741107"/>
      <w:bookmarkStart w:id="30" w:name="_Toc269394640"/>
      <w:r>
        <w:rPr>
          <w:rFonts w:hint="eastAsia" w:asciiTheme="minorEastAsia" w:hAnsiTheme="minorEastAsia" w:eastAsiaTheme="minorEastAsia"/>
          <w:sz w:val="24"/>
        </w:rPr>
        <w:t>（五）房地产估价机构备案证书复印件</w:t>
      </w:r>
      <w:bookmarkEnd w:id="28"/>
      <w:bookmarkEnd w:id="29"/>
      <w:bookmarkEnd w:id="30"/>
    </w:p>
    <w:p>
      <w:pPr>
        <w:spacing w:line="360" w:lineRule="auto"/>
        <w:ind w:firstLine="600" w:firstLineChars="250"/>
        <w:rPr>
          <w:sz w:val="24"/>
        </w:rPr>
        <w:sectPr>
          <w:headerReference r:id="rId8" w:type="first"/>
          <w:headerReference r:id="rId7" w:type="default"/>
          <w:footerReference r:id="rId9" w:type="default"/>
          <w:pgSz w:w="11906" w:h="16838"/>
          <w:pgMar w:top="1440" w:right="1134" w:bottom="1440" w:left="1797" w:header="851" w:footer="992" w:gutter="0"/>
          <w:pgNumType w:start="1"/>
          <w:cols w:space="720" w:num="1"/>
          <w:docGrid w:type="lines" w:linePitch="312" w:charSpace="0"/>
        </w:sectPr>
      </w:pPr>
      <w:bookmarkStart w:id="31" w:name="_Toc360713683"/>
      <w:bookmarkStart w:id="32" w:name="_Toc269394641"/>
      <w:bookmarkStart w:id="33" w:name="_Toc352741108"/>
      <w:r>
        <w:rPr>
          <w:rFonts w:hint="eastAsia" w:asciiTheme="minorEastAsia" w:hAnsiTheme="minorEastAsia" w:eastAsiaTheme="minorEastAsia"/>
          <w:sz w:val="24"/>
        </w:rPr>
        <w:t>（六）注册房地产估价师注册证</w:t>
      </w:r>
      <w:bookmarkEnd w:id="31"/>
      <w:bookmarkEnd w:id="32"/>
      <w:bookmarkEnd w:id="33"/>
      <w:r>
        <w:rPr>
          <w:rFonts w:hint="eastAsia" w:asciiTheme="minorEastAsia" w:hAnsiTheme="minorEastAsia" w:eastAsiaTheme="minorEastAsia"/>
          <w:sz w:val="24"/>
        </w:rPr>
        <w:t>书复印件</w:t>
      </w:r>
    </w:p>
    <w:p>
      <w:pPr>
        <w:spacing w:line="360" w:lineRule="auto"/>
        <w:ind w:firstLine="600" w:firstLineChars="250"/>
        <w:rPr>
          <w:sz w:val="24"/>
        </w:rPr>
      </w:pPr>
    </w:p>
    <w:sectPr>
      <w:type w:val="continuous"/>
      <w:pgSz w:w="11906" w:h="16838"/>
      <w:pgMar w:top="1440" w:right="1134"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i/>
        <w:sz w:val="21"/>
      </w:rPr>
    </w:pPr>
  </w:p>
  <w:p>
    <w:pPr>
      <w:pStyle w:val="24"/>
      <w:rPr>
        <w:i/>
        <w:sz w:val="21"/>
      </w:rPr>
    </w:pPr>
    <w:r>
      <w:rPr>
        <w:sz w:val="20"/>
      </w:rPr>
      <w:pict>
        <v:shape id="_x0000_s2049" o:spid="_x0000_s2049" o:spt="202" type="#_x0000_t202" style="position:absolute;left:0pt;margin-top:0pt;height:13.6pt;width:439.25pt;mso-position-horizontal:right;mso-position-horizontal-relative:margin;mso-wrap-style:none;z-index:251662336;mso-width-relative:page;mso-height-relative:page;" filled="f" stroked="f" coordsize="21600,21600">
          <v:path/>
          <v:fill on="f" focussize="0,0"/>
          <v:stroke on="f" weight="1.25pt" joinstyle="miter"/>
          <v:imagedata o:title=""/>
          <o:lock v:ext="edit"/>
          <v:textbox inset="0mm,0mm,0mm,0mm" style="mso-fit-shape-to-text:t;">
            <w:txbxContent>
              <w:p>
                <w:r>
                  <w:rPr>
                    <w:rFonts w:hint="eastAsia"/>
                    <w:i/>
                  </w:rPr>
                  <w:t>山东鲁业房地产土地评估有限公司</w:t>
                </w:r>
                <w:r>
                  <w:rPr>
                    <w:i/>
                  </w:rPr>
                  <w:t xml:space="preserve">      </w:t>
                </w:r>
                <w:r>
                  <w:rPr>
                    <w:rFonts w:hint="eastAsia"/>
                    <w:i/>
                  </w:rPr>
                  <w:t xml:space="preserve">               </w:t>
                </w:r>
              </w:p>
            </w:txbxContent>
          </v:textbox>
        </v:shape>
      </w:pict>
    </w:r>
    <w:r>
      <w:rPr>
        <w:rFonts w:eastAsia="PMingLiU"/>
        <w:i/>
        <w:sz w:val="20"/>
      </w:rPr>
      <w:pict>
        <v:line id="_x0000_s2050" o:spid="_x0000_s2050" o:spt="20" style="position:absolute;left:0pt;flip:y;margin-left:0.2pt;margin-top:-3.8pt;height:1.05pt;width:450pt;z-index:251661312;mso-width-relative:page;mso-height-relative:page;" coordsize="21600,21600">
          <v:path arrowok="t"/>
          <v:fill focussize="0,0"/>
          <v:stroke weight="4.5pt" linestyle="thickThin"/>
          <v:imagedata o:title=""/>
          <o:lock v:ext="edit"/>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i/>
        <w:sz w:val="21"/>
        <w:lang w:val="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i/>
        <w:sz w:val="21"/>
      </w:rPr>
    </w:pPr>
    <w:r>
      <w:rPr>
        <w:rFonts w:eastAsia="PMingLiU"/>
        <w:i/>
        <w:sz w:val="20"/>
      </w:rPr>
      <w:pict>
        <v:line id="直线 1" o:spid="_x0000_s2052" o:spt="20" style="position:absolute;left:0pt;flip:y;margin-left:-2.3pt;margin-top:10.75pt;height:1.05pt;width:450pt;z-index:251659264;mso-width-relative:page;mso-height-relative:page;" coordsize="21600,21600">
          <v:path arrowok="t"/>
          <v:fill focussize="0,0"/>
          <v:stroke weight="4.5pt" linestyle="thickThin"/>
          <v:imagedata o:title=""/>
          <o:lock v:ext="edit"/>
        </v:line>
      </w:pict>
    </w:r>
    <w:r>
      <w:rPr>
        <w:i/>
        <w:sz w:val="21"/>
      </w:rPr>
      <w:fldChar w:fldCharType="begin"/>
    </w:r>
    <w:r>
      <w:rPr>
        <w:i/>
        <w:sz w:val="21"/>
      </w:rPr>
      <w:instrText xml:space="preserve">PAGE   \* MERGEFORMAT</w:instrText>
    </w:r>
    <w:r>
      <w:rPr>
        <w:i/>
        <w:sz w:val="21"/>
      </w:rPr>
      <w:fldChar w:fldCharType="separate"/>
    </w:r>
    <w:r>
      <w:rPr>
        <w:i/>
        <w:sz w:val="21"/>
        <w:lang w:val="zh-CN"/>
      </w:rPr>
      <w:t>11</w:t>
    </w:r>
    <w:r>
      <w:rPr>
        <w:i/>
        <w:sz w:val="21"/>
      </w:rPr>
      <w:fldChar w:fldCharType="end"/>
    </w:r>
  </w:p>
  <w:p>
    <w:pPr>
      <w:pStyle w:val="24"/>
      <w:rPr>
        <w:i/>
        <w:sz w:val="21"/>
      </w:rPr>
    </w:pPr>
    <w:r>
      <w:rPr>
        <w:sz w:val="20"/>
      </w:rPr>
      <w:pict>
        <v:shape id="_x0000_s2051" o:spid="_x0000_s2051" o:spt="202" type="#_x0000_t202" style="position:absolute;left:0pt;margin-top:0pt;height:13.6pt;width:439.25pt;mso-position-horizontal:right;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r>
                  <w:rPr>
                    <w:rFonts w:hint="eastAsia"/>
                    <w:i/>
                  </w:rPr>
                  <w:t>山东鲁业房地产土地评估有限公司</w:t>
                </w:r>
                <w:r>
                  <w:rPr>
                    <w:i/>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i/>
        <w:sz w:val="21"/>
      </w:rPr>
    </w:pPr>
    <w:r>
      <w:rPr>
        <w:rFonts w:hint="eastAsia"/>
        <w:i/>
        <w:sz w:val="21"/>
      </w:rPr>
      <w:t xml:space="preserve">                                                           </w:t>
    </w:r>
    <w:r>
      <w:rPr>
        <w:i/>
        <w:sz w:val="21"/>
      </w:rPr>
      <w:t xml:space="preserve">  </w:t>
    </w:r>
    <w:r>
      <w:rPr>
        <w:rFonts w:hint="eastAsia"/>
        <w:i/>
        <w:sz w:val="21"/>
      </w:rPr>
      <w:t xml:space="preserve">     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i/>
        <w:sz w:val="21"/>
      </w:rPr>
    </w:pPr>
    <w:r>
      <w:rPr>
        <w:rFonts w:hint="eastAsia"/>
        <w:i/>
        <w:sz w:val="21"/>
      </w:rPr>
      <w:t xml:space="preserve">                                                           </w:t>
    </w:r>
    <w:r>
      <w:rPr>
        <w:i/>
        <w:sz w:val="21"/>
      </w:rPr>
      <w:t xml:space="preserve">  </w:t>
    </w:r>
    <w:r>
      <w:rPr>
        <w:rFonts w:hint="eastAsia"/>
        <w:i/>
        <w:sz w:val="21"/>
      </w:rPr>
      <w:t xml:space="preserve">     房地产估价报告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CC66C"/>
    <w:multiLevelType w:val="singleLevel"/>
    <w:tmpl w:val="860CC66C"/>
    <w:lvl w:ilvl="0" w:tentative="0">
      <w:start w:val="3"/>
      <w:numFmt w:val="chineseCounting"/>
      <w:suff w:val="nothing"/>
      <w:lvlText w:val="%1、"/>
      <w:lvlJc w:val="left"/>
      <w:rPr>
        <w:rFonts w:hint="eastAsia"/>
      </w:rPr>
    </w:lvl>
  </w:abstractNum>
  <w:abstractNum w:abstractNumId="1">
    <w:nsid w:val="8DA52EEF"/>
    <w:multiLevelType w:val="singleLevel"/>
    <w:tmpl w:val="8DA52EEF"/>
    <w:lvl w:ilvl="0" w:tentative="0">
      <w:start w:val="2"/>
      <w:numFmt w:val="decimal"/>
      <w:suff w:val="nothing"/>
      <w:lvlText w:val="%1、"/>
      <w:lvlJc w:val="left"/>
    </w:lvl>
  </w:abstractNum>
  <w:abstractNum w:abstractNumId="2">
    <w:nsid w:val="AB91D8C0"/>
    <w:multiLevelType w:val="singleLevel"/>
    <w:tmpl w:val="AB91D8C0"/>
    <w:lvl w:ilvl="0" w:tentative="0">
      <w:start w:val="2"/>
      <w:numFmt w:val="chineseCounting"/>
      <w:suff w:val="nothing"/>
      <w:lvlText w:val="（%1）"/>
      <w:lvlJc w:val="left"/>
      <w:rPr>
        <w:rFonts w:hint="eastAsia"/>
      </w:rPr>
    </w:lvl>
  </w:abstractNum>
  <w:num w:numId="1">
    <w:abstractNumId w:val="0"/>
  </w:num>
  <w:num w:numId="2">
    <w:abstractNumId w:val="2"/>
    <w:lvlOverride w:ilvl="0">
      <w:startOverride w:val="2"/>
    </w:lvlOverride>
  </w:num>
  <w:num w:numId="3">
    <w:abstractNumId w:val="1"/>
    <w:lvlOverride w:ilvl="0">
      <w:startOverride w:val="2"/>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潍坊分公司">
    <w15:presenceInfo w15:providerId="None" w15:userId="潍坊分公司"/>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dit="trackedChanges" w:enforcement="0"/>
  <w:defaultTabStop w:val="420"/>
  <w:drawingGridHorizontalSpacing w:val="2"/>
  <w:drawingGridVerticalSpacing w:val="3"/>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4Zjc3ZjkxNzIzYTIxYjE5NzM2ZWMxNjE1NWExZTUifQ=="/>
  </w:docVars>
  <w:rsids>
    <w:rsidRoot w:val="00000000"/>
    <w:rsid w:val="3EE2750C"/>
    <w:rsid w:val="46760C9A"/>
    <w:rsid w:val="6C1E3941"/>
    <w:rsid w:val="78A11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8" w:lineRule="auto"/>
      <w:outlineLvl w:val="0"/>
    </w:pPr>
    <w:rPr>
      <w:b/>
      <w:bCs/>
      <w:kern w:val="44"/>
      <w:sz w:val="44"/>
      <w:szCs w:val="44"/>
    </w:rPr>
  </w:style>
  <w:style w:type="paragraph" w:styleId="3">
    <w:name w:val="heading 2"/>
    <w:basedOn w:val="1"/>
    <w:next w:val="1"/>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line="416" w:lineRule="auto"/>
      <w:outlineLvl w:val="2"/>
    </w:pPr>
    <w:rPr>
      <w:b/>
      <w:bCs/>
      <w:sz w:val="32"/>
      <w:szCs w:val="32"/>
    </w:rPr>
  </w:style>
  <w:style w:type="character" w:default="1" w:styleId="44">
    <w:name w:val="Default Paragraph Font"/>
    <w:semiHidden/>
    <w:unhideWhenUsed/>
    <w:qFormat/>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styleId="5">
    <w:name w:val="toc 7"/>
    <w:basedOn w:val="1"/>
    <w:next w:val="1"/>
    <w:qFormat/>
    <w:uiPriority w:val="0"/>
    <w:pPr>
      <w:ind w:left="1260"/>
      <w:jc w:val="left"/>
    </w:pPr>
    <w:rPr>
      <w:sz w:val="18"/>
      <w:szCs w:val="18"/>
    </w:rPr>
  </w:style>
  <w:style w:type="paragraph" w:styleId="6">
    <w:name w:val="index 8"/>
    <w:basedOn w:val="1"/>
    <w:next w:val="1"/>
    <w:qFormat/>
    <w:uiPriority w:val="0"/>
    <w:pPr>
      <w:ind w:left="1680" w:hanging="210"/>
      <w:jc w:val="left"/>
    </w:pPr>
    <w:rPr>
      <w:sz w:val="20"/>
      <w:szCs w:val="20"/>
    </w:rPr>
  </w:style>
  <w:style w:type="paragraph" w:styleId="7">
    <w:name w:val="Normal Indent"/>
    <w:basedOn w:val="1"/>
    <w:qFormat/>
    <w:uiPriority w:val="0"/>
    <w:pPr>
      <w:spacing w:before="120" w:after="120" w:line="340" w:lineRule="exact"/>
      <w:ind w:firstLine="420"/>
    </w:pPr>
  </w:style>
  <w:style w:type="paragraph" w:styleId="8">
    <w:name w:val="index 5"/>
    <w:basedOn w:val="1"/>
    <w:next w:val="1"/>
    <w:qFormat/>
    <w:uiPriority w:val="0"/>
    <w:pPr>
      <w:ind w:left="1050" w:hanging="210"/>
      <w:jc w:val="left"/>
    </w:pPr>
    <w:rPr>
      <w:sz w:val="20"/>
      <w:szCs w:val="20"/>
    </w:rPr>
  </w:style>
  <w:style w:type="paragraph" w:styleId="9">
    <w:name w:val="Document Map"/>
    <w:basedOn w:val="1"/>
    <w:qFormat/>
    <w:uiPriority w:val="0"/>
    <w:pPr>
      <w:shd w:val="clear" w:color="auto" w:fill="000080"/>
    </w:pPr>
  </w:style>
  <w:style w:type="paragraph" w:styleId="10">
    <w:name w:val="annotation text"/>
    <w:basedOn w:val="1"/>
    <w:link w:val="131"/>
    <w:qFormat/>
    <w:uiPriority w:val="0"/>
    <w:pPr>
      <w:jc w:val="left"/>
    </w:pPr>
  </w:style>
  <w:style w:type="paragraph" w:styleId="11">
    <w:name w:val="index 6"/>
    <w:basedOn w:val="1"/>
    <w:next w:val="1"/>
    <w:qFormat/>
    <w:uiPriority w:val="0"/>
    <w:pPr>
      <w:ind w:left="1260" w:hanging="210"/>
      <w:jc w:val="left"/>
    </w:pPr>
    <w:rPr>
      <w:sz w:val="20"/>
      <w:szCs w:val="20"/>
    </w:rPr>
  </w:style>
  <w:style w:type="paragraph" w:styleId="12">
    <w:name w:val="Salutation"/>
    <w:basedOn w:val="1"/>
    <w:next w:val="1"/>
    <w:link w:val="133"/>
    <w:qFormat/>
    <w:uiPriority w:val="0"/>
    <w:pPr>
      <w:adjustRightInd w:val="0"/>
      <w:spacing w:line="312" w:lineRule="atLeast"/>
      <w:textAlignment w:val="baseline"/>
    </w:pPr>
    <w:rPr>
      <w:spacing w:val="-12"/>
      <w:kern w:val="0"/>
      <w:sz w:val="28"/>
      <w:szCs w:val="20"/>
    </w:rPr>
  </w:style>
  <w:style w:type="paragraph" w:styleId="13">
    <w:name w:val="Body Text"/>
    <w:basedOn w:val="1"/>
    <w:qFormat/>
    <w:uiPriority w:val="0"/>
  </w:style>
  <w:style w:type="paragraph" w:styleId="14">
    <w:name w:val="Body Text Indent"/>
    <w:basedOn w:val="1"/>
    <w:qFormat/>
    <w:uiPriority w:val="0"/>
    <w:pPr>
      <w:ind w:firstLine="360" w:firstLineChars="150"/>
    </w:pPr>
    <w:rPr>
      <w:rFonts w:ascii="仿宋_GB2312" w:eastAsia="仿宋_GB2312"/>
      <w:sz w:val="24"/>
    </w:rPr>
  </w:style>
  <w:style w:type="paragraph" w:styleId="15">
    <w:name w:val="index 4"/>
    <w:basedOn w:val="1"/>
    <w:next w:val="1"/>
    <w:qFormat/>
    <w:uiPriority w:val="0"/>
    <w:pPr>
      <w:ind w:left="840" w:hanging="210"/>
      <w:jc w:val="left"/>
    </w:pPr>
    <w:rPr>
      <w:sz w:val="20"/>
      <w:szCs w:val="20"/>
    </w:rPr>
  </w:style>
  <w:style w:type="paragraph" w:styleId="16">
    <w:name w:val="toc 5"/>
    <w:basedOn w:val="1"/>
    <w:next w:val="1"/>
    <w:qFormat/>
    <w:uiPriority w:val="0"/>
    <w:pPr>
      <w:ind w:left="840"/>
      <w:jc w:val="left"/>
    </w:pPr>
    <w:rPr>
      <w:sz w:val="18"/>
      <w:szCs w:val="18"/>
    </w:rPr>
  </w:style>
  <w:style w:type="paragraph" w:styleId="17">
    <w:name w:val="toc 3"/>
    <w:basedOn w:val="1"/>
    <w:next w:val="1"/>
    <w:qFormat/>
    <w:uiPriority w:val="0"/>
    <w:pPr>
      <w:ind w:left="420"/>
      <w:jc w:val="left"/>
    </w:pPr>
    <w:rPr>
      <w:i/>
      <w:iCs/>
      <w:sz w:val="20"/>
      <w:szCs w:val="20"/>
    </w:rPr>
  </w:style>
  <w:style w:type="paragraph" w:styleId="18">
    <w:name w:val="Plain Text"/>
    <w:basedOn w:val="1"/>
    <w:link w:val="129"/>
    <w:qFormat/>
    <w:uiPriority w:val="0"/>
    <w:rPr>
      <w:rFonts w:ascii="宋体" w:hAnsi="Courier New"/>
    </w:rPr>
  </w:style>
  <w:style w:type="paragraph" w:styleId="19">
    <w:name w:val="toc 8"/>
    <w:basedOn w:val="1"/>
    <w:next w:val="1"/>
    <w:qFormat/>
    <w:uiPriority w:val="0"/>
    <w:pPr>
      <w:ind w:left="1470"/>
      <w:jc w:val="left"/>
    </w:pPr>
    <w:rPr>
      <w:sz w:val="18"/>
      <w:szCs w:val="18"/>
    </w:rPr>
  </w:style>
  <w:style w:type="paragraph" w:styleId="20">
    <w:name w:val="index 3"/>
    <w:basedOn w:val="1"/>
    <w:next w:val="1"/>
    <w:qFormat/>
    <w:uiPriority w:val="0"/>
    <w:pPr>
      <w:ind w:left="630" w:hanging="210"/>
      <w:jc w:val="left"/>
    </w:pPr>
    <w:rPr>
      <w:sz w:val="20"/>
      <w:szCs w:val="20"/>
    </w:rPr>
  </w:style>
  <w:style w:type="paragraph" w:styleId="21">
    <w:name w:val="Date"/>
    <w:basedOn w:val="1"/>
    <w:next w:val="1"/>
    <w:qFormat/>
    <w:uiPriority w:val="0"/>
    <w:pPr>
      <w:ind w:left="100" w:leftChars="2500"/>
    </w:pPr>
  </w:style>
  <w:style w:type="paragraph" w:styleId="22">
    <w:name w:val="Body Text Indent 2"/>
    <w:basedOn w:val="1"/>
    <w:qFormat/>
    <w:uiPriority w:val="0"/>
    <w:pPr>
      <w:spacing w:line="620" w:lineRule="exact"/>
      <w:ind w:firstLine="543" w:firstLineChars="194"/>
    </w:pPr>
    <w:rPr>
      <w:sz w:val="28"/>
    </w:rPr>
  </w:style>
  <w:style w:type="paragraph" w:styleId="23">
    <w:name w:val="Balloon Text"/>
    <w:basedOn w:val="1"/>
    <w:link w:val="134"/>
    <w:qFormat/>
    <w:uiPriority w:val="0"/>
    <w:rPr>
      <w:sz w:val="18"/>
      <w:szCs w:val="18"/>
    </w:rPr>
  </w:style>
  <w:style w:type="paragraph" w:styleId="24">
    <w:name w:val="footer"/>
    <w:basedOn w:val="1"/>
    <w:qFormat/>
    <w:uiPriority w:val="0"/>
    <w:pPr>
      <w:tabs>
        <w:tab w:val="center" w:pos="4153"/>
        <w:tab w:val="right" w:pos="8306"/>
      </w:tabs>
      <w:snapToGrid w:val="0"/>
      <w:jc w:val="left"/>
    </w:pPr>
    <w:rPr>
      <w:sz w:val="18"/>
      <w:szCs w:val="18"/>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jc w:val="left"/>
    </w:pPr>
    <w:rPr>
      <w:b/>
      <w:bCs/>
      <w:caps/>
      <w:sz w:val="20"/>
      <w:szCs w:val="20"/>
    </w:rPr>
  </w:style>
  <w:style w:type="paragraph" w:styleId="27">
    <w:name w:val="toc 4"/>
    <w:basedOn w:val="1"/>
    <w:next w:val="1"/>
    <w:qFormat/>
    <w:uiPriority w:val="0"/>
    <w:pPr>
      <w:ind w:left="630"/>
      <w:jc w:val="left"/>
    </w:pPr>
    <w:rPr>
      <w:sz w:val="18"/>
      <w:szCs w:val="18"/>
    </w:rPr>
  </w:style>
  <w:style w:type="paragraph" w:styleId="28">
    <w:name w:val="index heading"/>
    <w:basedOn w:val="1"/>
    <w:next w:val="29"/>
    <w:qFormat/>
    <w:uiPriority w:val="0"/>
    <w:pPr>
      <w:jc w:val="left"/>
    </w:pPr>
    <w:rPr>
      <w:b/>
      <w:bCs/>
      <w:i/>
      <w:iCs/>
      <w:sz w:val="20"/>
      <w:szCs w:val="20"/>
    </w:rPr>
  </w:style>
  <w:style w:type="paragraph" w:styleId="29">
    <w:name w:val="index 1"/>
    <w:basedOn w:val="1"/>
    <w:next w:val="1"/>
    <w:qFormat/>
    <w:uiPriority w:val="0"/>
    <w:pPr>
      <w:ind w:left="210" w:hanging="210"/>
      <w:jc w:val="left"/>
    </w:pPr>
    <w:rPr>
      <w:sz w:val="20"/>
      <w:szCs w:val="20"/>
    </w:rPr>
  </w:style>
  <w:style w:type="paragraph" w:styleId="30">
    <w:name w:val="toc 6"/>
    <w:basedOn w:val="1"/>
    <w:next w:val="1"/>
    <w:qFormat/>
    <w:uiPriority w:val="0"/>
    <w:pPr>
      <w:ind w:left="1050"/>
      <w:jc w:val="left"/>
    </w:pPr>
    <w:rPr>
      <w:sz w:val="18"/>
      <w:szCs w:val="18"/>
    </w:rPr>
  </w:style>
  <w:style w:type="paragraph" w:styleId="31">
    <w:name w:val="Body Text Indent 3"/>
    <w:basedOn w:val="1"/>
    <w:qFormat/>
    <w:uiPriority w:val="0"/>
    <w:pPr>
      <w:spacing w:line="620" w:lineRule="exact"/>
      <w:ind w:firstLine="560" w:firstLineChars="200"/>
    </w:pPr>
    <w:rPr>
      <w:rFonts w:ascii="宋体" w:hAnsi="宋体"/>
      <w:sz w:val="28"/>
      <w:szCs w:val="28"/>
    </w:rPr>
  </w:style>
  <w:style w:type="paragraph" w:styleId="32">
    <w:name w:val="index 7"/>
    <w:basedOn w:val="1"/>
    <w:next w:val="1"/>
    <w:qFormat/>
    <w:uiPriority w:val="0"/>
    <w:pPr>
      <w:ind w:left="1470" w:hanging="210"/>
      <w:jc w:val="left"/>
    </w:pPr>
    <w:rPr>
      <w:sz w:val="20"/>
      <w:szCs w:val="20"/>
    </w:rPr>
  </w:style>
  <w:style w:type="paragraph" w:styleId="33">
    <w:name w:val="index 9"/>
    <w:basedOn w:val="1"/>
    <w:next w:val="1"/>
    <w:qFormat/>
    <w:uiPriority w:val="0"/>
    <w:pPr>
      <w:ind w:left="1890" w:hanging="210"/>
      <w:jc w:val="left"/>
    </w:pPr>
    <w:rPr>
      <w:sz w:val="20"/>
      <w:szCs w:val="20"/>
    </w:rPr>
  </w:style>
  <w:style w:type="paragraph" w:styleId="34">
    <w:name w:val="toc 2"/>
    <w:basedOn w:val="1"/>
    <w:next w:val="1"/>
    <w:qFormat/>
    <w:uiPriority w:val="0"/>
    <w:pPr>
      <w:ind w:left="210"/>
      <w:jc w:val="left"/>
    </w:pPr>
    <w:rPr>
      <w:smallCaps/>
      <w:sz w:val="20"/>
      <w:szCs w:val="20"/>
    </w:rPr>
  </w:style>
  <w:style w:type="paragraph" w:styleId="35">
    <w:name w:val="toc 9"/>
    <w:basedOn w:val="1"/>
    <w:next w:val="1"/>
    <w:qFormat/>
    <w:uiPriority w:val="0"/>
    <w:pPr>
      <w:ind w:left="1680"/>
      <w:jc w:val="left"/>
    </w:pPr>
    <w:rPr>
      <w:sz w:val="18"/>
      <w:szCs w:val="18"/>
    </w:rPr>
  </w:style>
  <w:style w:type="paragraph" w:styleId="36">
    <w:name w:val="Body Text 2"/>
    <w:basedOn w:val="1"/>
    <w:qFormat/>
    <w:uiPriority w:val="0"/>
    <w:pPr>
      <w:spacing w:line="480" w:lineRule="auto"/>
    </w:pPr>
  </w:style>
  <w:style w:type="paragraph" w:styleId="37">
    <w:name w:val="HTML Preformatted"/>
    <w:basedOn w:val="1"/>
    <w:link w:val="13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8">
    <w:name w:val="Normal (Web)"/>
    <w:basedOn w:val="1"/>
    <w:qFormat/>
    <w:uiPriority w:val="0"/>
    <w:pPr>
      <w:widowControl/>
      <w:spacing w:beforeAutospacing="1" w:afterAutospacing="1"/>
      <w:jc w:val="left"/>
    </w:pPr>
    <w:rPr>
      <w:rFonts w:ascii="宋体" w:hAnsi="宋体"/>
      <w:kern w:val="0"/>
      <w:sz w:val="24"/>
    </w:rPr>
  </w:style>
  <w:style w:type="paragraph" w:styleId="39">
    <w:name w:val="index 2"/>
    <w:basedOn w:val="1"/>
    <w:next w:val="1"/>
    <w:qFormat/>
    <w:uiPriority w:val="0"/>
    <w:pPr>
      <w:ind w:left="420" w:hanging="210"/>
      <w:jc w:val="left"/>
    </w:pPr>
    <w:rPr>
      <w:sz w:val="20"/>
      <w:szCs w:val="20"/>
    </w:rPr>
  </w:style>
  <w:style w:type="paragraph" w:styleId="40">
    <w:name w:val="annotation subject"/>
    <w:basedOn w:val="10"/>
    <w:next w:val="10"/>
    <w:link w:val="132"/>
    <w:qFormat/>
    <w:uiPriority w:val="0"/>
    <w:rPr>
      <w:b/>
      <w:bCs/>
      <w:szCs w:val="20"/>
    </w:rPr>
  </w:style>
  <w:style w:type="paragraph" w:styleId="41">
    <w:name w:val="Body Text First Indent"/>
    <w:basedOn w:val="13"/>
    <w:qFormat/>
    <w:uiPriority w:val="0"/>
    <w:pPr>
      <w:ind w:firstLine="420" w:firstLineChars="100"/>
    </w:pPr>
  </w:style>
  <w:style w:type="table" w:styleId="43">
    <w:name w:val="Table Grid"/>
    <w:basedOn w:val="4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basedOn w:val="44"/>
    <w:qFormat/>
    <w:uiPriority w:val="0"/>
    <w:rPr>
      <w:b/>
      <w:bCs/>
    </w:rPr>
  </w:style>
  <w:style w:type="character" w:styleId="46">
    <w:name w:val="page number"/>
    <w:basedOn w:val="44"/>
    <w:qFormat/>
    <w:uiPriority w:val="0"/>
  </w:style>
  <w:style w:type="character" w:styleId="47">
    <w:name w:val="FollowedHyperlink"/>
    <w:basedOn w:val="44"/>
    <w:qFormat/>
    <w:uiPriority w:val="0"/>
    <w:rPr>
      <w:color w:val="344D8B"/>
      <w:u w:val="single"/>
    </w:rPr>
  </w:style>
  <w:style w:type="character" w:styleId="48">
    <w:name w:val="Emphasis"/>
    <w:basedOn w:val="44"/>
    <w:qFormat/>
    <w:uiPriority w:val="0"/>
  </w:style>
  <w:style w:type="character" w:styleId="49">
    <w:name w:val="Hyperlink"/>
    <w:basedOn w:val="44"/>
    <w:qFormat/>
    <w:uiPriority w:val="99"/>
    <w:rPr>
      <w:color w:val="344D8B"/>
      <w:u w:val="single"/>
    </w:rPr>
  </w:style>
  <w:style w:type="paragraph" w:customStyle="1" w:styleId="50">
    <w:name w:val="album-div1"/>
    <w:basedOn w:val="1"/>
    <w:qFormat/>
    <w:uiPriority w:val="0"/>
    <w:pPr>
      <w:widowControl/>
      <w:shd w:val="clear" w:color="auto" w:fill="FFFFFF"/>
      <w:spacing w:beforeAutospacing="1" w:afterAutospacing="1"/>
      <w:jc w:val="left"/>
    </w:pPr>
    <w:rPr>
      <w:rFonts w:ascii="宋体" w:hAnsi="宋体" w:cs="宋体"/>
      <w:kern w:val="0"/>
      <w:sz w:val="24"/>
    </w:rPr>
  </w:style>
  <w:style w:type="paragraph" w:customStyle="1" w:styleId="51">
    <w:name w:val="p0"/>
    <w:basedOn w:val="1"/>
    <w:qFormat/>
    <w:uiPriority w:val="0"/>
    <w:pPr>
      <w:widowControl/>
    </w:pPr>
    <w:rPr>
      <w:kern w:val="0"/>
      <w:szCs w:val="21"/>
    </w:rPr>
  </w:style>
  <w:style w:type="paragraph" w:customStyle="1" w:styleId="52">
    <w:name w:val="WPSOffice手动目录 1"/>
    <w:qFormat/>
    <w:uiPriority w:val="0"/>
    <w:rPr>
      <w:rFonts w:ascii="Times New Roman" w:hAnsi="Times New Roman" w:eastAsia="宋体" w:cs="Times New Roman"/>
      <w:lang w:val="en-US" w:eastAsia="zh-CN" w:bidi="ar-SA"/>
    </w:rPr>
  </w:style>
  <w:style w:type="character" w:customStyle="1" w:styleId="53">
    <w:name w:val="count4"/>
    <w:basedOn w:val="44"/>
    <w:qFormat/>
    <w:uiPriority w:val="0"/>
  </w:style>
  <w:style w:type="character" w:customStyle="1" w:styleId="54">
    <w:name w:val="font01"/>
    <w:basedOn w:val="44"/>
    <w:qFormat/>
    <w:uiPriority w:val="0"/>
    <w:rPr>
      <w:rFonts w:hint="default" w:ascii="Times New Roman" w:hAnsi="Times New Roman" w:cs="Times New Roman"/>
      <w:color w:val="000000"/>
      <w:sz w:val="18"/>
      <w:szCs w:val="18"/>
      <w:u w:val="none"/>
    </w:rPr>
  </w:style>
  <w:style w:type="character" w:customStyle="1" w:styleId="55">
    <w:name w:val="doc-desc-all2"/>
    <w:basedOn w:val="44"/>
    <w:qFormat/>
    <w:uiPriority w:val="0"/>
  </w:style>
  <w:style w:type="character" w:customStyle="1" w:styleId="56">
    <w:name w:val="title11"/>
    <w:basedOn w:val="44"/>
    <w:qFormat/>
    <w:uiPriority w:val="0"/>
  </w:style>
  <w:style w:type="character" w:customStyle="1" w:styleId="57">
    <w:name w:val="font51"/>
    <w:basedOn w:val="44"/>
    <w:qFormat/>
    <w:uiPriority w:val="0"/>
    <w:rPr>
      <w:rFonts w:ascii="宋体" w:hAnsi="宋体" w:eastAsia="宋体" w:cs="宋体"/>
      <w:color w:val="000000"/>
      <w:sz w:val="16"/>
      <w:szCs w:val="16"/>
      <w:u w:val="none"/>
    </w:rPr>
  </w:style>
  <w:style w:type="character" w:customStyle="1" w:styleId="58">
    <w:name w:val="font11"/>
    <w:basedOn w:val="44"/>
    <w:qFormat/>
    <w:uiPriority w:val="0"/>
    <w:rPr>
      <w:rFonts w:hint="eastAsia" w:ascii="宋体" w:hAnsi="宋体" w:eastAsia="宋体" w:cs="宋体"/>
      <w:color w:val="000000"/>
      <w:sz w:val="18"/>
      <w:szCs w:val="18"/>
      <w:u w:val="none"/>
    </w:rPr>
  </w:style>
  <w:style w:type="character" w:customStyle="1" w:styleId="59">
    <w:name w:val="font31"/>
    <w:basedOn w:val="44"/>
    <w:qFormat/>
    <w:uiPriority w:val="0"/>
    <w:rPr>
      <w:rFonts w:hint="eastAsia" w:ascii="宋体" w:hAnsi="宋体" w:eastAsia="宋体" w:cs="宋体"/>
      <w:color w:val="000000"/>
      <w:sz w:val="16"/>
      <w:szCs w:val="16"/>
      <w:u w:val="none"/>
    </w:rPr>
  </w:style>
  <w:style w:type="character" w:customStyle="1" w:styleId="60">
    <w:name w:val="span_zw_2"/>
    <w:basedOn w:val="44"/>
    <w:qFormat/>
    <w:uiPriority w:val="0"/>
  </w:style>
  <w:style w:type="character" w:customStyle="1" w:styleId="61">
    <w:name w:val="apple-converted-space"/>
    <w:basedOn w:val="44"/>
    <w:qFormat/>
    <w:uiPriority w:val="0"/>
  </w:style>
  <w:style w:type="character" w:customStyle="1" w:styleId="62">
    <w:name w:val="font21"/>
    <w:basedOn w:val="44"/>
    <w:qFormat/>
    <w:uiPriority w:val="0"/>
    <w:rPr>
      <w:rFonts w:hint="default" w:ascii="Times New Roman" w:hAnsi="Times New Roman" w:cs="Times New Roman"/>
      <w:color w:val="000000"/>
      <w:sz w:val="16"/>
      <w:szCs w:val="16"/>
      <w:u w:val="none"/>
    </w:rPr>
  </w:style>
  <w:style w:type="character" w:customStyle="1" w:styleId="63">
    <w:name w:val="headline-content2"/>
    <w:basedOn w:val="44"/>
    <w:qFormat/>
    <w:uiPriority w:val="0"/>
  </w:style>
  <w:style w:type="character" w:customStyle="1" w:styleId="64">
    <w:name w:val="font41"/>
    <w:basedOn w:val="44"/>
    <w:qFormat/>
    <w:uiPriority w:val="0"/>
    <w:rPr>
      <w:rFonts w:hint="eastAsia" w:ascii="宋体" w:hAnsi="宋体" w:eastAsia="宋体" w:cs="宋体"/>
      <w:b/>
      <w:color w:val="000000"/>
      <w:sz w:val="18"/>
      <w:szCs w:val="18"/>
      <w:u w:val="none"/>
      <w:vertAlign w:val="superscript"/>
    </w:rPr>
  </w:style>
  <w:style w:type="character" w:customStyle="1" w:styleId="65">
    <w:name w:val="xhebtnbackcolor"/>
    <w:basedOn w:val="44"/>
    <w:qFormat/>
    <w:uiPriority w:val="0"/>
  </w:style>
  <w:style w:type="character" w:customStyle="1" w:styleId="66">
    <w:name w:val="xhebtnunlink"/>
    <w:basedOn w:val="44"/>
    <w:qFormat/>
    <w:uiPriority w:val="0"/>
  </w:style>
  <w:style w:type="character" w:customStyle="1" w:styleId="67">
    <w:name w:val="c_max1_hover"/>
    <w:basedOn w:val="44"/>
    <w:qFormat/>
    <w:uiPriority w:val="0"/>
  </w:style>
  <w:style w:type="character" w:customStyle="1" w:styleId="68">
    <w:name w:val="xhebtnanchor"/>
    <w:basedOn w:val="44"/>
    <w:qFormat/>
    <w:uiPriority w:val="0"/>
  </w:style>
  <w:style w:type="character" w:customStyle="1" w:styleId="69">
    <w:name w:val="xhegend"/>
    <w:basedOn w:val="44"/>
    <w:qFormat/>
    <w:uiPriority w:val="0"/>
  </w:style>
  <w:style w:type="character" w:customStyle="1" w:styleId="70">
    <w:name w:val="hover12"/>
    <w:basedOn w:val="44"/>
    <w:qFormat/>
    <w:uiPriority w:val="0"/>
    <w:rPr>
      <w:color w:val="317ECB"/>
    </w:rPr>
  </w:style>
  <w:style w:type="character" w:customStyle="1" w:styleId="71">
    <w:name w:val="xhebtnunderline"/>
    <w:basedOn w:val="44"/>
    <w:qFormat/>
    <w:uiPriority w:val="0"/>
  </w:style>
  <w:style w:type="character" w:customStyle="1" w:styleId="72">
    <w:name w:val="icon"/>
    <w:basedOn w:val="44"/>
    <w:qFormat/>
    <w:uiPriority w:val="0"/>
  </w:style>
  <w:style w:type="character" w:customStyle="1" w:styleId="73">
    <w:name w:val="icon1"/>
    <w:basedOn w:val="44"/>
    <w:qFormat/>
    <w:uiPriority w:val="0"/>
  </w:style>
  <w:style w:type="character" w:customStyle="1" w:styleId="74">
    <w:name w:val="icon2"/>
    <w:basedOn w:val="44"/>
    <w:qFormat/>
    <w:uiPriority w:val="0"/>
  </w:style>
  <w:style w:type="character" w:customStyle="1" w:styleId="75">
    <w:name w:val="icon3"/>
    <w:basedOn w:val="44"/>
    <w:qFormat/>
    <w:uiPriority w:val="0"/>
  </w:style>
  <w:style w:type="character" w:customStyle="1" w:styleId="76">
    <w:name w:val="icon4"/>
    <w:basedOn w:val="44"/>
    <w:qFormat/>
    <w:uiPriority w:val="0"/>
  </w:style>
  <w:style w:type="character" w:customStyle="1" w:styleId="77">
    <w:name w:val="icon5"/>
    <w:basedOn w:val="44"/>
    <w:qFormat/>
    <w:uiPriority w:val="0"/>
  </w:style>
  <w:style w:type="character" w:customStyle="1" w:styleId="78">
    <w:name w:val="icon6"/>
    <w:basedOn w:val="44"/>
    <w:qFormat/>
    <w:uiPriority w:val="0"/>
  </w:style>
  <w:style w:type="character" w:customStyle="1" w:styleId="79">
    <w:name w:val="icon7"/>
    <w:basedOn w:val="44"/>
    <w:qFormat/>
    <w:uiPriority w:val="0"/>
  </w:style>
  <w:style w:type="character" w:customStyle="1" w:styleId="80">
    <w:name w:val="icon8"/>
    <w:basedOn w:val="44"/>
    <w:qFormat/>
    <w:uiPriority w:val="0"/>
  </w:style>
  <w:style w:type="character" w:customStyle="1" w:styleId="81">
    <w:name w:val="icon9"/>
    <w:basedOn w:val="44"/>
    <w:qFormat/>
    <w:uiPriority w:val="0"/>
  </w:style>
  <w:style w:type="character" w:customStyle="1" w:styleId="82">
    <w:name w:val="icon10"/>
    <w:basedOn w:val="44"/>
    <w:qFormat/>
    <w:uiPriority w:val="0"/>
  </w:style>
  <w:style w:type="character" w:customStyle="1" w:styleId="83">
    <w:name w:val="icon11"/>
    <w:basedOn w:val="44"/>
    <w:qFormat/>
    <w:uiPriority w:val="0"/>
  </w:style>
  <w:style w:type="character" w:customStyle="1" w:styleId="84">
    <w:name w:val="icon12"/>
    <w:basedOn w:val="44"/>
    <w:qFormat/>
    <w:uiPriority w:val="0"/>
  </w:style>
  <w:style w:type="character" w:customStyle="1" w:styleId="85">
    <w:name w:val="c_max1"/>
    <w:basedOn w:val="44"/>
    <w:qFormat/>
    <w:uiPriority w:val="0"/>
  </w:style>
  <w:style w:type="character" w:customStyle="1" w:styleId="86">
    <w:name w:val="c_max"/>
    <w:basedOn w:val="44"/>
    <w:qFormat/>
    <w:uiPriority w:val="0"/>
  </w:style>
  <w:style w:type="character" w:customStyle="1" w:styleId="87">
    <w:name w:val="xhebtnpreview"/>
    <w:basedOn w:val="44"/>
    <w:qFormat/>
    <w:uiPriority w:val="0"/>
  </w:style>
  <w:style w:type="character" w:customStyle="1" w:styleId="88">
    <w:name w:val="c_max_hover"/>
    <w:basedOn w:val="44"/>
    <w:qFormat/>
    <w:uiPriority w:val="0"/>
  </w:style>
  <w:style w:type="character" w:customStyle="1" w:styleId="89">
    <w:name w:val="c_close"/>
    <w:basedOn w:val="44"/>
    <w:qFormat/>
    <w:uiPriority w:val="0"/>
  </w:style>
  <w:style w:type="character" w:customStyle="1" w:styleId="90">
    <w:name w:val="xhebtnprint"/>
    <w:basedOn w:val="44"/>
    <w:qFormat/>
    <w:uiPriority w:val="0"/>
  </w:style>
  <w:style w:type="character" w:customStyle="1" w:styleId="91">
    <w:name w:val="xhebtncut"/>
    <w:basedOn w:val="44"/>
    <w:qFormat/>
    <w:uiPriority w:val="0"/>
  </w:style>
  <w:style w:type="character" w:customStyle="1" w:styleId="92">
    <w:name w:val="xhebtnpastetext"/>
    <w:basedOn w:val="44"/>
    <w:qFormat/>
    <w:uiPriority w:val="0"/>
  </w:style>
  <w:style w:type="character" w:customStyle="1" w:styleId="93">
    <w:name w:val="xhebtnflash"/>
    <w:basedOn w:val="44"/>
    <w:qFormat/>
    <w:uiPriority w:val="0"/>
  </w:style>
  <w:style w:type="character" w:customStyle="1" w:styleId="94">
    <w:name w:val="xhebtnfile"/>
    <w:basedOn w:val="44"/>
    <w:qFormat/>
    <w:uiPriority w:val="0"/>
  </w:style>
  <w:style w:type="character" w:customStyle="1" w:styleId="95">
    <w:name w:val="xhebtncopy"/>
    <w:basedOn w:val="44"/>
    <w:qFormat/>
    <w:uiPriority w:val="0"/>
  </w:style>
  <w:style w:type="character" w:customStyle="1" w:styleId="96">
    <w:name w:val="xhebtnindent"/>
    <w:basedOn w:val="44"/>
    <w:qFormat/>
    <w:uiPriority w:val="0"/>
  </w:style>
  <w:style w:type="character" w:customStyle="1" w:styleId="97">
    <w:name w:val="xhebtnemot"/>
    <w:basedOn w:val="44"/>
    <w:qFormat/>
    <w:uiPriority w:val="0"/>
  </w:style>
  <w:style w:type="character" w:customStyle="1" w:styleId="98">
    <w:name w:val="xhebtnlink"/>
    <w:basedOn w:val="44"/>
    <w:qFormat/>
    <w:uiPriority w:val="0"/>
  </w:style>
  <w:style w:type="character" w:customStyle="1" w:styleId="99">
    <w:name w:val="c_close_hover"/>
    <w:basedOn w:val="44"/>
    <w:qFormat/>
    <w:uiPriority w:val="0"/>
  </w:style>
  <w:style w:type="character" w:customStyle="1" w:styleId="100">
    <w:name w:val="c_min"/>
    <w:basedOn w:val="44"/>
    <w:qFormat/>
    <w:uiPriority w:val="0"/>
  </w:style>
  <w:style w:type="character" w:customStyle="1" w:styleId="101">
    <w:name w:val="c_min_hover"/>
    <w:basedOn w:val="44"/>
    <w:qFormat/>
    <w:uiPriority w:val="0"/>
  </w:style>
  <w:style w:type="character" w:customStyle="1" w:styleId="102">
    <w:name w:val="xhebtnmedia"/>
    <w:basedOn w:val="44"/>
    <w:qFormat/>
    <w:uiPriority w:val="0"/>
  </w:style>
  <w:style w:type="character" w:customStyle="1" w:styleId="103">
    <w:name w:val="xhebtnabout"/>
    <w:basedOn w:val="44"/>
    <w:qFormat/>
    <w:uiPriority w:val="0"/>
  </w:style>
  <w:style w:type="character" w:customStyle="1" w:styleId="104">
    <w:name w:val="needsurvey"/>
    <w:basedOn w:val="44"/>
    <w:qFormat/>
    <w:uiPriority w:val="0"/>
    <w:rPr>
      <w:color w:val="FF0000"/>
    </w:rPr>
  </w:style>
  <w:style w:type="character" w:customStyle="1" w:styleId="105">
    <w:name w:val="needsurvey2"/>
    <w:basedOn w:val="44"/>
    <w:qFormat/>
    <w:uiPriority w:val="0"/>
    <w:rPr>
      <w:color w:val="FF0000"/>
    </w:rPr>
  </w:style>
  <w:style w:type="character" w:customStyle="1" w:styleId="106">
    <w:name w:val="xhebtnfontcolor"/>
    <w:basedOn w:val="44"/>
    <w:qFormat/>
    <w:uiPriority w:val="0"/>
  </w:style>
  <w:style w:type="character" w:customStyle="1" w:styleId="107">
    <w:name w:val="xhebtnfullscreen"/>
    <w:basedOn w:val="44"/>
    <w:qFormat/>
    <w:uiPriority w:val="0"/>
  </w:style>
  <w:style w:type="character" w:customStyle="1" w:styleId="108">
    <w:name w:val="xhebtnlist"/>
    <w:basedOn w:val="44"/>
    <w:qFormat/>
    <w:uiPriority w:val="0"/>
  </w:style>
  <w:style w:type="character" w:customStyle="1" w:styleId="109">
    <w:name w:val="xhegstart"/>
    <w:basedOn w:val="44"/>
    <w:qFormat/>
    <w:uiPriority w:val="0"/>
  </w:style>
  <w:style w:type="character" w:customStyle="1" w:styleId="110">
    <w:name w:val="xheseparator"/>
    <w:basedOn w:val="44"/>
    <w:qFormat/>
    <w:uiPriority w:val="0"/>
  </w:style>
  <w:style w:type="character" w:customStyle="1" w:styleId="111">
    <w:name w:val="xhebtnclipimg"/>
    <w:basedOn w:val="44"/>
    <w:qFormat/>
    <w:uiPriority w:val="0"/>
  </w:style>
  <w:style w:type="character" w:customStyle="1" w:styleId="112">
    <w:name w:val="xheicon"/>
    <w:basedOn w:val="44"/>
    <w:qFormat/>
    <w:uiPriority w:val="0"/>
  </w:style>
  <w:style w:type="character" w:customStyle="1" w:styleId="113">
    <w:name w:val="xhebtnselectall"/>
    <w:basedOn w:val="44"/>
    <w:qFormat/>
    <w:uiPriority w:val="0"/>
  </w:style>
  <w:style w:type="character" w:customStyle="1" w:styleId="114">
    <w:name w:val="xhebtnalign"/>
    <w:basedOn w:val="44"/>
    <w:qFormat/>
    <w:uiPriority w:val="0"/>
  </w:style>
  <w:style w:type="character" w:customStyle="1" w:styleId="115">
    <w:name w:val="xhebtnpaste"/>
    <w:basedOn w:val="44"/>
    <w:qFormat/>
    <w:uiPriority w:val="0"/>
  </w:style>
  <w:style w:type="character" w:customStyle="1" w:styleId="116">
    <w:name w:val="xhebtnblocktag"/>
    <w:basedOn w:val="44"/>
    <w:qFormat/>
    <w:uiPriority w:val="0"/>
  </w:style>
  <w:style w:type="character" w:customStyle="1" w:styleId="117">
    <w:name w:val="xhebtnfontface"/>
    <w:basedOn w:val="44"/>
    <w:qFormat/>
    <w:uiPriority w:val="0"/>
  </w:style>
  <w:style w:type="character" w:customStyle="1" w:styleId="118">
    <w:name w:val="xhebtnfontsize"/>
    <w:basedOn w:val="44"/>
    <w:qFormat/>
    <w:uiPriority w:val="0"/>
  </w:style>
  <w:style w:type="character" w:customStyle="1" w:styleId="119">
    <w:name w:val="xhebtnbold"/>
    <w:basedOn w:val="44"/>
    <w:qFormat/>
    <w:uiPriority w:val="0"/>
  </w:style>
  <w:style w:type="character" w:customStyle="1" w:styleId="120">
    <w:name w:val="xhebtnitalic"/>
    <w:basedOn w:val="44"/>
    <w:qFormat/>
    <w:uiPriority w:val="0"/>
  </w:style>
  <w:style w:type="character" w:customStyle="1" w:styleId="121">
    <w:name w:val="xhebtnstrikethrough"/>
    <w:basedOn w:val="44"/>
    <w:qFormat/>
    <w:uiPriority w:val="0"/>
  </w:style>
  <w:style w:type="character" w:customStyle="1" w:styleId="122">
    <w:name w:val="xhebtnhr"/>
    <w:basedOn w:val="44"/>
    <w:qFormat/>
    <w:uiPriority w:val="0"/>
  </w:style>
  <w:style w:type="character" w:customStyle="1" w:styleId="123">
    <w:name w:val="xhebtnremoveformat"/>
    <w:basedOn w:val="44"/>
    <w:qFormat/>
    <w:uiPriority w:val="0"/>
  </w:style>
  <w:style w:type="character" w:customStyle="1" w:styleId="124">
    <w:name w:val="xhebtnoutdent"/>
    <w:basedOn w:val="44"/>
    <w:qFormat/>
    <w:uiPriority w:val="0"/>
  </w:style>
  <w:style w:type="character" w:customStyle="1" w:styleId="125">
    <w:name w:val="xhebtnimg"/>
    <w:basedOn w:val="44"/>
    <w:qFormat/>
    <w:uiPriority w:val="0"/>
  </w:style>
  <w:style w:type="character" w:customStyle="1" w:styleId="126">
    <w:name w:val="xhebtntable"/>
    <w:basedOn w:val="44"/>
    <w:qFormat/>
    <w:uiPriority w:val="0"/>
  </w:style>
  <w:style w:type="character" w:customStyle="1" w:styleId="127">
    <w:name w:val="xhebtnsource"/>
    <w:basedOn w:val="44"/>
    <w:qFormat/>
    <w:uiPriority w:val="0"/>
  </w:style>
  <w:style w:type="paragraph" w:styleId="128">
    <w:name w:val="List Paragraph"/>
    <w:basedOn w:val="1"/>
    <w:unhideWhenUsed/>
    <w:qFormat/>
    <w:uiPriority w:val="99"/>
    <w:pPr>
      <w:ind w:firstLine="420" w:firstLineChars="200"/>
    </w:pPr>
  </w:style>
  <w:style w:type="character" w:customStyle="1" w:styleId="129">
    <w:name w:val="纯文本 Char"/>
    <w:link w:val="18"/>
    <w:qFormat/>
    <w:uiPriority w:val="0"/>
    <w:rPr>
      <w:rFonts w:ascii="宋体" w:hAnsi="Courier New"/>
      <w:kern w:val="2"/>
      <w:sz w:val="21"/>
      <w:szCs w:val="24"/>
    </w:rPr>
  </w:style>
  <w:style w:type="character" w:customStyle="1" w:styleId="130">
    <w:name w:val="纯文本 Char1"/>
    <w:basedOn w:val="44"/>
    <w:qFormat/>
    <w:uiPriority w:val="0"/>
    <w:rPr>
      <w:rFonts w:ascii="宋体" w:hAnsi="Courier New" w:cs="Courier New"/>
      <w:kern w:val="2"/>
      <w:sz w:val="21"/>
      <w:szCs w:val="21"/>
    </w:rPr>
  </w:style>
  <w:style w:type="character" w:customStyle="1" w:styleId="131">
    <w:name w:val="批注文字 Char"/>
    <w:basedOn w:val="44"/>
    <w:link w:val="10"/>
    <w:qFormat/>
    <w:uiPriority w:val="0"/>
    <w:rPr>
      <w:kern w:val="2"/>
      <w:sz w:val="21"/>
      <w:szCs w:val="24"/>
    </w:rPr>
  </w:style>
  <w:style w:type="character" w:customStyle="1" w:styleId="132">
    <w:name w:val="批注主题 Char"/>
    <w:basedOn w:val="131"/>
    <w:link w:val="40"/>
    <w:qFormat/>
    <w:uiPriority w:val="0"/>
    <w:rPr>
      <w:b/>
      <w:bCs/>
      <w:kern w:val="2"/>
      <w:sz w:val="21"/>
      <w:szCs w:val="24"/>
    </w:rPr>
  </w:style>
  <w:style w:type="character" w:customStyle="1" w:styleId="133">
    <w:name w:val="称呼 Char"/>
    <w:basedOn w:val="44"/>
    <w:link w:val="12"/>
    <w:qFormat/>
    <w:uiPriority w:val="0"/>
    <w:rPr>
      <w:spacing w:val="-12"/>
      <w:sz w:val="28"/>
    </w:rPr>
  </w:style>
  <w:style w:type="character" w:customStyle="1" w:styleId="134">
    <w:name w:val="批注框文本 Char"/>
    <w:basedOn w:val="44"/>
    <w:link w:val="23"/>
    <w:qFormat/>
    <w:uiPriority w:val="0"/>
    <w:rPr>
      <w:kern w:val="2"/>
      <w:sz w:val="18"/>
      <w:szCs w:val="18"/>
    </w:rPr>
  </w:style>
  <w:style w:type="character" w:customStyle="1" w:styleId="135">
    <w:name w:val="HTML 预设格式 Char"/>
    <w:basedOn w:val="44"/>
    <w:link w:val="37"/>
    <w:qFormat/>
    <w:uiPriority w:val="0"/>
    <w:rPr>
      <w:rFonts w:ascii="黑体" w:hAnsi="Courier New" w:eastAsia="黑体" w:cs="Courier New"/>
    </w:rPr>
  </w:style>
  <w:style w:type="character" w:customStyle="1" w:styleId="136">
    <w:name w:val="despnum"/>
    <w:basedOn w:val="4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2052"/>
    <customShpInfo spid="_x0000_s2051"/>
    <customShpInfo spid="_x0000_s1025"/>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6E46F6-8D48-4E02-B366-67F2D32E572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14</Pages>
  <Words>6847</Words>
  <Characters>7283</Characters>
  <Lines>253</Lines>
  <Paragraphs>258</Paragraphs>
  <TotalTime>1</TotalTime>
  <ScaleCrop>false</ScaleCrop>
  <LinksUpToDate>false</LinksUpToDate>
  <CharactersWithSpaces>7433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2019-04-26T08:42:00Z</dcterms:created>
  <dc:creator>Administrator</dc:creator>
  <cp:lastModifiedBy>潍坊分公司</cp:lastModifiedBy>
  <dcterms:modified xsi:type="dcterms:W3CDTF">2022-05-05T09:06:11Z</dcterms:modified>
  <dc:title>房 地 产 估 价 报 告</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94CEEEF33CAB44A3AB287291A09544FA</vt:lpwstr>
  </property>
</Properties>
</file>