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napToGrid w:val="0"/>
        <w:ind w:right="-1"/>
        <w:jc w:val="center"/>
        <w:textAlignment w:val="bottom"/>
        <w:rPr>
          <w:rFonts w:ascii="Arial Narrow" w:hAnsi="Arial Narrow" w:cs="Arial"/>
          <w:sz w:val="24"/>
        </w:rPr>
      </w:pPr>
      <w:r>
        <w:rPr>
          <w:rFonts w:hint="eastAsia" w:ascii="Arial Narrow" w:hAnsi="Arial Narrow" w:cs="Arial"/>
          <w:sz w:val="24"/>
        </w:rPr>
        <w:t xml:space="preserve"> </w:t>
      </w:r>
    </w:p>
    <w:p>
      <w:pPr>
        <w:autoSpaceDE w:val="0"/>
        <w:autoSpaceDN w:val="0"/>
        <w:snapToGrid w:val="0"/>
        <w:ind w:right="-1"/>
        <w:jc w:val="center"/>
        <w:textAlignment w:val="bottom"/>
        <w:rPr>
          <w:rFonts w:ascii="Arial Narrow" w:hAnsi="Arial Narrow" w:cs="Arial"/>
          <w:sz w:val="24"/>
        </w:rPr>
      </w:pPr>
    </w:p>
    <w:p>
      <w:pPr>
        <w:autoSpaceDE w:val="0"/>
        <w:autoSpaceDN w:val="0"/>
        <w:snapToGrid w:val="0"/>
        <w:ind w:right="-1"/>
        <w:jc w:val="center"/>
        <w:textAlignment w:val="bottom"/>
        <w:rPr>
          <w:rFonts w:ascii="Arial Narrow" w:hAnsi="Arial Narrow" w:cs="Arial"/>
          <w:sz w:val="24"/>
        </w:rPr>
      </w:pPr>
    </w:p>
    <w:p>
      <w:pPr>
        <w:spacing w:line="360" w:lineRule="auto"/>
        <w:jc w:val="center"/>
        <w:rPr>
          <w:rFonts w:ascii="Arial Narrow" w:hAnsi="Arial Narrow" w:cs="Arial"/>
          <w:b/>
          <w:sz w:val="44"/>
          <w:szCs w:val="36"/>
        </w:rPr>
      </w:pPr>
    </w:p>
    <w:p>
      <w:pPr>
        <w:spacing w:line="360" w:lineRule="auto"/>
        <w:jc w:val="center"/>
        <w:rPr>
          <w:rFonts w:ascii="Arial Narrow" w:hAnsi="Arial Narrow" w:cs="Arial"/>
          <w:b/>
          <w:sz w:val="44"/>
          <w:szCs w:val="36"/>
        </w:rPr>
      </w:pPr>
    </w:p>
    <w:p>
      <w:pPr>
        <w:spacing w:line="360" w:lineRule="auto"/>
        <w:jc w:val="center"/>
        <w:rPr>
          <w:rFonts w:ascii="Arial Narrow" w:hAnsi="Arial Narrow" w:cs="Arial"/>
          <w:b/>
          <w:sz w:val="44"/>
          <w:szCs w:val="36"/>
        </w:rPr>
      </w:pPr>
    </w:p>
    <w:p>
      <w:pPr>
        <w:jc w:val="center"/>
        <w:rPr>
          <w:rFonts w:ascii="Arial Narrow" w:hAnsi="Arial Narrow" w:cs="Arial"/>
          <w:b/>
          <w:sz w:val="44"/>
          <w:szCs w:val="36"/>
        </w:rPr>
      </w:pPr>
    </w:p>
    <w:p>
      <w:pPr>
        <w:spacing w:line="480" w:lineRule="auto"/>
        <w:ind w:left="-8" w:leftChars="-136" w:hanging="278" w:hangingChars="63"/>
        <w:jc w:val="center"/>
        <w:rPr>
          <w:rFonts w:ascii="黑体" w:hAnsi="黑体" w:eastAsia="黑体"/>
          <w:b/>
          <w:sz w:val="44"/>
          <w:szCs w:val="44"/>
        </w:rPr>
      </w:pPr>
      <w:r>
        <w:rPr>
          <w:rStyle w:val="33"/>
          <w:rFonts w:hint="eastAsia" w:ascii="黑体" w:hAnsi="黑体" w:eastAsia="黑体"/>
          <w:b/>
          <w:sz w:val="44"/>
          <w:szCs w:val="44"/>
        </w:rPr>
        <w:t xml:space="preserve">     涉执房地产处置司法评估报告</w:t>
      </w:r>
    </w:p>
    <w:p>
      <w:pPr>
        <w:spacing w:line="480" w:lineRule="auto"/>
        <w:ind w:left="-6" w:leftChars="-70" w:hanging="141" w:hangingChars="59"/>
        <w:jc w:val="center"/>
        <w:rPr>
          <w:rFonts w:ascii="Arial Narrow" w:hAnsi="Arial Narrow" w:cs="Arial"/>
          <w:b/>
          <w:sz w:val="36"/>
          <w:szCs w:val="36"/>
        </w:rPr>
      </w:pPr>
      <w:r>
        <w:rPr>
          <w:rFonts w:hint="eastAsia" w:ascii="Arial Narrow" w:hAnsi="Arial Narrow"/>
          <w:sz w:val="24"/>
        </w:rPr>
        <w:t xml:space="preserve">     </w:t>
      </w:r>
      <w:r>
        <w:rPr>
          <w:rFonts w:ascii="Arial Narrow" w:hAnsi="Arial Narrow"/>
          <w:sz w:val="24"/>
        </w:rPr>
        <w:t>正业通房司</w:t>
      </w:r>
      <w:r>
        <w:rPr>
          <w:rFonts w:hint="eastAsia" w:ascii="Arial Narrow" w:hAnsi="Arial Narrow"/>
          <w:sz w:val="24"/>
        </w:rPr>
        <w:t>评</w:t>
      </w:r>
      <w:r>
        <w:rPr>
          <w:rFonts w:ascii="Arial Narrow" w:hAnsi="Arial Narrow"/>
          <w:sz w:val="24"/>
        </w:rPr>
        <w:t>报（</w:t>
      </w:r>
      <w:r>
        <w:rPr>
          <w:rFonts w:hint="eastAsia" w:ascii="Arial Narrow" w:hAnsi="Arial Narrow"/>
          <w:sz w:val="24"/>
        </w:rPr>
        <w:t>2022</w:t>
      </w:r>
      <w:r>
        <w:rPr>
          <w:rFonts w:ascii="Arial Narrow" w:hAnsi="Arial Narrow"/>
          <w:sz w:val="24"/>
        </w:rPr>
        <w:t>）第</w:t>
      </w:r>
      <w:r>
        <w:rPr>
          <w:rFonts w:hint="eastAsia" w:ascii="Arial Narrow" w:hAnsi="Arial Narrow"/>
          <w:sz w:val="24"/>
        </w:rPr>
        <w:t>63</w:t>
      </w:r>
      <w:r>
        <w:rPr>
          <w:rFonts w:ascii="Arial Narrow" w:hAnsi="Arial Narrow"/>
          <w:sz w:val="24"/>
        </w:rPr>
        <w:t>号</w:t>
      </w: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r>
        <w:rPr>
          <w:rFonts w:ascii="Arial Narrow" w:hAnsi="Arial Narrow" w:cs="Arial"/>
          <w:sz w:val="28"/>
          <w:szCs w:val="28"/>
        </w:rPr>
        <w:pict>
          <v:shape id="Picture 2" o:spid="_x0000_s1038" o:spt="75" type="#_x0000_t75" style="position:absolute;left:0pt;margin-left:18.65pt;margin-top:14.05pt;height:47.75pt;width:51.15pt;z-index:-251652096;mso-width-relative:page;mso-height-relative:page;" o:ole="t" filled="f" o:preferrelative="t" stroked="f" coordsize="21600,21600">
            <v:path/>
            <v:fill on="f" focussize="0,0"/>
            <v:stroke on="f" joinstyle="miter"/>
            <v:imagedata r:id="rId16" o:title=""/>
            <o:lock v:ext="edit" aspectratio="t"/>
          </v:shape>
          <o:OLEObject Type="Embed" ProgID="PBrush" ShapeID="Picture 2" DrawAspect="Content" ObjectID="_1468075725" r:id="rId15">
            <o:LockedField>false</o:LockedField>
          </o:OLEObject>
        </w:pict>
      </w:r>
    </w:p>
    <w:p>
      <w:pPr>
        <w:tabs>
          <w:tab w:val="left" w:pos="6195"/>
        </w:tabs>
        <w:spacing w:line="360" w:lineRule="auto"/>
        <w:jc w:val="center"/>
        <w:rPr>
          <w:rFonts w:ascii="Arial Narrow" w:hAnsi="Arial Narrow" w:cs="Arial"/>
          <w:b/>
          <w:sz w:val="32"/>
          <w:szCs w:val="32"/>
        </w:rPr>
        <w:sectPr>
          <w:footerReference r:id="rId5" w:type="first"/>
          <w:headerReference r:id="rId3" w:type="default"/>
          <w:footerReference r:id="rId4" w:type="default"/>
          <w:pgSz w:w="11906" w:h="16838"/>
          <w:pgMar w:top="1701" w:right="1418" w:bottom="1701" w:left="1418" w:header="1247" w:footer="1247" w:gutter="0"/>
          <w:pgNumType w:start="0"/>
          <w:cols w:space="0" w:num="1"/>
          <w:titlePg/>
          <w:docGrid w:linePitch="312" w:charSpace="0"/>
        </w:sectPr>
      </w:pPr>
      <w:r>
        <w:rPr>
          <w:rFonts w:hint="eastAsia" w:ascii="Arial Narrow" w:hAnsi="Arial Narrow" w:cs="Arial"/>
          <w:b/>
          <w:sz w:val="32"/>
          <w:szCs w:val="32"/>
        </w:rPr>
        <w:t xml:space="preserve">    </w:t>
      </w:r>
      <w:r>
        <w:rPr>
          <w:rFonts w:ascii="Arial Narrow" w:hAnsi="Arial Narrow" w:cs="Arial"/>
          <w:b/>
          <w:sz w:val="32"/>
          <w:szCs w:val="32"/>
        </w:rPr>
        <w:t xml:space="preserve">宁夏正业通房地产土地资产评估有限公司 </w:t>
      </w:r>
    </w:p>
    <w:p>
      <w:pPr>
        <w:tabs>
          <w:tab w:val="left" w:pos="6195"/>
        </w:tabs>
        <w:spacing w:line="360" w:lineRule="auto"/>
        <w:rPr>
          <w:rStyle w:val="33"/>
          <w:rFonts w:ascii="Arial Narrow" w:hAnsi="Arial Narrow"/>
          <w:b/>
          <w:sz w:val="32"/>
          <w:szCs w:val="32"/>
        </w:rPr>
      </w:pPr>
      <w:r>
        <w:rPr>
          <w:rFonts w:ascii="Arial Narrow" w:hAnsi="Arial Narrow"/>
        </w:rPr>
        <w:pict>
          <v:shape id="Quad Arrow 2" o:spid="_x0000_s1034" o:spt="202" type="#_x0000_t202" style="position:absolute;left:0pt;margin-left:26.7pt;margin-top:1.7pt;height:99pt;width:394.5pt;z-index:251662336;mso-width-relative:page;mso-height-relative:page;" filled="t" stroked="f" coordsize="21600,21600">
            <v:path/>
            <v:fill type="gradient" on="t" color2="fill lighten(0)" focus="100%" focussize="0,0" method="linear sigma"/>
            <v:stroke on="f" joinstyle="miter"/>
            <v:imagedata o:title=""/>
            <o:lock v:ext="edit"/>
            <v:textbox>
              <w:txbxContent>
                <w:p>
                  <w:pPr>
                    <w:tabs>
                      <w:tab w:val="left" w:pos="6195"/>
                    </w:tabs>
                    <w:spacing w:after="240" w:afterLines="100" w:line="360" w:lineRule="auto"/>
                    <w:jc w:val="center"/>
                    <w:rPr>
                      <w:rFonts w:ascii="Arial Narrow" w:hAnsi="Arial Narrow" w:cs="Arial Narrow"/>
                      <w:b/>
                      <w:bCs/>
                      <w:sz w:val="32"/>
                      <w:szCs w:val="32"/>
                    </w:rPr>
                  </w:pPr>
                </w:p>
                <w:p>
                  <w:pPr>
                    <w:tabs>
                      <w:tab w:val="left" w:pos="6195"/>
                    </w:tabs>
                    <w:spacing w:after="240" w:afterLines="100" w:line="360" w:lineRule="auto"/>
                    <w:jc w:val="center"/>
                    <w:rPr>
                      <w:rFonts w:ascii="Arial Narrow" w:hAnsi="Arial Narrow"/>
                      <w:b/>
                      <w:color w:val="000000"/>
                      <w:sz w:val="32"/>
                      <w:szCs w:val="32"/>
                    </w:rPr>
                  </w:pPr>
                  <w:r>
                    <w:rPr>
                      <w:rFonts w:hint="eastAsia" w:ascii="Arial Narrow" w:hAnsi="Arial Narrow" w:cs="Arial Narrow"/>
                      <w:b/>
                      <w:bCs/>
                      <w:sz w:val="32"/>
                      <w:szCs w:val="32"/>
                    </w:rPr>
                    <w:t>涉执房地产处置司法评估报告</w:t>
                  </w:r>
                </w:p>
              </w:txbxContent>
            </v:textbox>
          </v:shape>
        </w:pict>
      </w:r>
    </w:p>
    <w:p>
      <w:pPr>
        <w:tabs>
          <w:tab w:val="left" w:pos="6195"/>
        </w:tabs>
        <w:spacing w:line="360" w:lineRule="auto"/>
        <w:jc w:val="center"/>
        <w:rPr>
          <w:rStyle w:val="33"/>
          <w:rFonts w:ascii="Arial Narrow" w:hAnsi="Arial Narrow"/>
          <w:b/>
          <w:sz w:val="32"/>
          <w:szCs w:val="32"/>
        </w:rPr>
      </w:pPr>
    </w:p>
    <w:p>
      <w:pPr>
        <w:tabs>
          <w:tab w:val="left" w:pos="6195"/>
        </w:tabs>
        <w:spacing w:line="360" w:lineRule="auto"/>
        <w:jc w:val="center"/>
        <w:rPr>
          <w:rFonts w:ascii="Arial Narrow" w:hAnsi="Arial Narrow" w:cs="Arial Narrow"/>
          <w:b/>
          <w:bCs/>
          <w:sz w:val="44"/>
          <w:szCs w:val="44"/>
        </w:rPr>
      </w:pPr>
      <w:r>
        <w:rPr>
          <w:rStyle w:val="33"/>
          <w:rFonts w:ascii="Arial Narrow" w:hAnsi="Arial Narrow"/>
          <w:b/>
          <w:sz w:val="32"/>
          <w:szCs w:val="32"/>
        </w:rPr>
        <w:t xml:space="preserve">   </w:t>
      </w:r>
    </w:p>
    <w:p>
      <w:pPr>
        <w:rPr>
          <w:rFonts w:ascii="Arial Narrow" w:hAnsi="Arial Narrow" w:cs="Arial Narrow"/>
          <w:i/>
          <w:szCs w:val="21"/>
        </w:rPr>
      </w:pPr>
    </w:p>
    <w:p>
      <w:pPr>
        <w:rPr>
          <w:rFonts w:ascii="Arial Narrow" w:hAnsi="Arial Narrow" w:cs="Arial Narrow"/>
          <w:i/>
          <w:szCs w:val="21"/>
        </w:rPr>
      </w:pPr>
    </w:p>
    <w:p>
      <w:pPr>
        <w:jc w:val="center"/>
        <w:rPr>
          <w:rFonts w:ascii="Arial Narrow" w:hAnsi="Arial Narrow" w:cs="Arial Narrow"/>
          <w:i/>
          <w:szCs w:val="21"/>
        </w:rPr>
      </w:pPr>
    </w:p>
    <w:p>
      <w:pPr>
        <w:spacing w:line="360" w:lineRule="auto"/>
        <w:ind w:left="2120" w:leftChars="202" w:hanging="1696" w:hangingChars="704"/>
        <w:rPr>
          <w:rFonts w:ascii="Arial Narrow" w:hAnsi="Arial Narrow" w:cs="Arial Narrow"/>
          <w:b/>
          <w:bCs/>
          <w:sz w:val="24"/>
        </w:rPr>
      </w:pPr>
      <w:r>
        <w:rPr>
          <w:rFonts w:ascii="Arial Narrow" w:hAnsi="Arial Narrow" w:cs="Arial Narrow"/>
          <w:b/>
          <w:bCs/>
          <w:sz w:val="24"/>
        </w:rPr>
        <w:t>报告编号 ：</w:t>
      </w:r>
      <w:r>
        <w:rPr>
          <w:rFonts w:ascii="Arial Narrow" w:hAnsi="Arial Narrow" w:cs="宋体"/>
          <w:sz w:val="24"/>
        </w:rPr>
        <w:t>正业通房司评报（</w:t>
      </w:r>
      <w:r>
        <w:rPr>
          <w:rFonts w:hint="eastAsia" w:ascii="Arial Narrow" w:hAnsi="Arial Narrow" w:cs="宋体"/>
          <w:sz w:val="24"/>
        </w:rPr>
        <w:t>2022</w:t>
      </w:r>
      <w:r>
        <w:rPr>
          <w:rFonts w:ascii="Arial Narrow" w:hAnsi="Arial Narrow" w:cs="宋体"/>
          <w:sz w:val="24"/>
        </w:rPr>
        <w:t>）第</w:t>
      </w:r>
      <w:r>
        <w:rPr>
          <w:rFonts w:hint="eastAsia" w:ascii="Arial Narrow" w:hAnsi="Arial Narrow" w:cs="宋体"/>
          <w:sz w:val="24"/>
        </w:rPr>
        <w:t>63</w:t>
      </w:r>
      <w:r>
        <w:rPr>
          <w:rFonts w:ascii="Arial Narrow" w:hAnsi="Arial Narrow" w:cs="宋体"/>
          <w:sz w:val="24"/>
        </w:rPr>
        <w:t>号</w:t>
      </w:r>
    </w:p>
    <w:p>
      <w:pPr>
        <w:rPr>
          <w:rFonts w:ascii="Arial Narrow" w:hAnsi="Arial Narrow" w:cs="Arial Narrow"/>
          <w:i/>
          <w:sz w:val="24"/>
        </w:rPr>
      </w:pPr>
    </w:p>
    <w:p>
      <w:pPr>
        <w:rPr>
          <w:rFonts w:ascii="Arial Narrow" w:hAnsi="Arial Narrow" w:cs="Arial Narrow"/>
          <w:i/>
          <w:sz w:val="19"/>
          <w:szCs w:val="21"/>
        </w:rPr>
      </w:pPr>
    </w:p>
    <w:p>
      <w:pPr>
        <w:adjustRightInd w:val="0"/>
        <w:snapToGrid w:val="0"/>
        <w:spacing w:before="60" w:after="60" w:line="360" w:lineRule="auto"/>
        <w:ind w:left="1982" w:leftChars="199" w:hanging="1564" w:hangingChars="649"/>
        <w:rPr>
          <w:rFonts w:ascii="Arial Narrow" w:hAnsi="Arial Narrow"/>
          <w:sz w:val="24"/>
        </w:rPr>
      </w:pPr>
      <w:r>
        <w:rPr>
          <w:rFonts w:ascii="Arial Narrow" w:hAnsi="Arial Narrow" w:cs="Arial Narrow"/>
          <w:b/>
          <w:bCs/>
          <w:sz w:val="24"/>
        </w:rPr>
        <w:t>估价项目名称</w:t>
      </w:r>
      <w:r>
        <w:rPr>
          <w:rFonts w:ascii="Arial Narrow" w:hAnsi="Arial Narrow" w:cs="Arial Narrow"/>
          <w:sz w:val="24"/>
        </w:rPr>
        <w:t>：</w:t>
      </w:r>
      <w:r>
        <w:rPr>
          <w:rFonts w:hint="eastAsia" w:ascii="Arial Narrow" w:hAnsi="Arial Narrow"/>
          <w:sz w:val="24"/>
        </w:rPr>
        <w:t>宁夏回族自治区银川市金凤区人民法院拟财产处置涉及的银川市金凤区新海家园22号公寓楼519、613、617、701、711、722、902、914室（共八套）公寓房地产价值估价</w:t>
      </w:r>
    </w:p>
    <w:p>
      <w:pPr>
        <w:spacing w:line="360" w:lineRule="auto"/>
        <w:ind w:left="2075" w:leftChars="201" w:hanging="1653" w:hangingChars="784"/>
        <w:rPr>
          <w:rFonts w:ascii="Arial Narrow" w:hAnsi="Arial Narrow" w:cs="Arial Narrow"/>
          <w:b/>
          <w:bCs/>
          <w:i/>
          <w:szCs w:val="21"/>
          <w:u w:val="single"/>
        </w:rPr>
      </w:pPr>
    </w:p>
    <w:p>
      <w:pPr>
        <w:spacing w:line="360" w:lineRule="auto"/>
        <w:ind w:firstLine="426" w:firstLineChars="177"/>
        <w:rPr>
          <w:rFonts w:ascii="Arial Narrow" w:hAnsi="Arial Narrow" w:cs="Arial Narrow"/>
          <w:sz w:val="24"/>
        </w:rPr>
      </w:pPr>
      <w:r>
        <w:rPr>
          <w:rFonts w:ascii="Arial Narrow" w:hAnsi="Arial Narrow" w:cs="Arial Narrow"/>
          <w:b/>
          <w:bCs/>
          <w:sz w:val="24"/>
        </w:rPr>
        <w:t>估价委托人</w:t>
      </w:r>
      <w:r>
        <w:rPr>
          <w:rFonts w:ascii="Arial Narrow" w:hAnsi="Arial Narrow" w:cs="Arial Narrow"/>
          <w:sz w:val="24"/>
        </w:rPr>
        <w:t>：</w:t>
      </w:r>
      <w:r>
        <w:rPr>
          <w:rFonts w:hint="eastAsia" w:ascii="Arial Narrow" w:hAnsi="Arial Narrow"/>
          <w:sz w:val="24"/>
        </w:rPr>
        <w:t>宁夏回族自治区银川市金凤区人民法院</w:t>
      </w:r>
    </w:p>
    <w:p>
      <w:pPr>
        <w:spacing w:line="360" w:lineRule="auto"/>
        <w:ind w:firstLine="426" w:firstLineChars="177"/>
        <w:rPr>
          <w:rFonts w:ascii="Arial Narrow" w:hAnsi="Arial Narrow" w:cs="Arial Narrow"/>
          <w:b/>
          <w:bCs/>
          <w:sz w:val="24"/>
          <w:u w:val="single"/>
        </w:rPr>
      </w:pPr>
    </w:p>
    <w:p>
      <w:pPr>
        <w:spacing w:line="360" w:lineRule="auto"/>
        <w:ind w:firstLine="426" w:firstLineChars="177"/>
        <w:rPr>
          <w:rFonts w:ascii="Arial Narrow" w:hAnsi="Arial Narrow" w:cs="Arial Narrow"/>
          <w:sz w:val="24"/>
        </w:rPr>
      </w:pPr>
      <w:r>
        <w:rPr>
          <w:rFonts w:ascii="Arial Narrow" w:hAnsi="Arial Narrow" w:cs="Arial Narrow"/>
          <w:b/>
          <w:bCs/>
          <w:sz w:val="24"/>
        </w:rPr>
        <w:t>房地产估价机构</w:t>
      </w:r>
      <w:r>
        <w:rPr>
          <w:rFonts w:ascii="Arial Narrow" w:hAnsi="Arial Narrow" w:cs="Arial Narrow"/>
          <w:sz w:val="24"/>
        </w:rPr>
        <w:t xml:space="preserve">：宁夏正业通房地产土地资产评估有限公司 </w:t>
      </w:r>
    </w:p>
    <w:p>
      <w:pPr>
        <w:spacing w:line="360" w:lineRule="auto"/>
        <w:ind w:firstLine="424" w:firstLineChars="177"/>
        <w:rPr>
          <w:rFonts w:ascii="Arial Narrow" w:hAnsi="Arial Narrow" w:cs="Arial Narrow"/>
          <w:sz w:val="24"/>
        </w:rPr>
      </w:pPr>
    </w:p>
    <w:p>
      <w:pPr>
        <w:spacing w:line="360" w:lineRule="auto"/>
        <w:ind w:firstLine="426" w:firstLineChars="177"/>
        <w:rPr>
          <w:rFonts w:ascii="Arial Narrow" w:hAnsi="Arial Narrow" w:cs="Arial Narrow"/>
          <w:sz w:val="24"/>
        </w:rPr>
      </w:pPr>
      <w:r>
        <w:rPr>
          <w:rFonts w:ascii="Arial Narrow" w:hAnsi="Arial Narrow" w:cs="Arial Narrow"/>
          <w:b/>
          <w:bCs/>
          <w:sz w:val="24"/>
        </w:rPr>
        <w:t>地  址：</w:t>
      </w:r>
      <w:r>
        <w:rPr>
          <w:rFonts w:ascii="Arial Narrow" w:hAnsi="Arial Narrow" w:cs="Arial Narrow"/>
          <w:sz w:val="24"/>
        </w:rPr>
        <w:t>银川市金凤区宁安大街490号银川IBI育成中心九号楼</w:t>
      </w:r>
    </w:p>
    <w:p>
      <w:pPr>
        <w:spacing w:line="360" w:lineRule="auto"/>
        <w:ind w:firstLine="424" w:firstLineChars="177"/>
        <w:rPr>
          <w:rFonts w:ascii="Arial Narrow" w:hAnsi="Arial Narrow" w:cs="Arial"/>
          <w:sz w:val="24"/>
        </w:rPr>
      </w:pPr>
    </w:p>
    <w:p>
      <w:pPr>
        <w:spacing w:line="360" w:lineRule="auto"/>
        <w:ind w:firstLine="426" w:firstLineChars="177"/>
        <w:rPr>
          <w:rFonts w:ascii="Arial Narrow" w:hAnsi="Arial Narrow" w:cs="Arial"/>
          <w:b/>
          <w:sz w:val="24"/>
        </w:rPr>
      </w:pPr>
      <w:r>
        <w:rPr>
          <w:rFonts w:ascii="Arial Narrow" w:hAnsi="Arial Narrow" w:cs="Arial"/>
          <w:b/>
          <w:sz w:val="24"/>
        </w:rPr>
        <w:t>电  话</w:t>
      </w:r>
      <w:r>
        <w:rPr>
          <w:rFonts w:ascii="Arial Narrow" w:hAnsi="Arial Narrow" w:cs="Arial Narrow"/>
          <w:sz w:val="24"/>
        </w:rPr>
        <w:t>：</w:t>
      </w:r>
      <w:r>
        <w:rPr>
          <w:rFonts w:ascii="Arial Narrow" w:hAnsi="Arial Narrow" w:cs="Arial"/>
          <w:sz w:val="24"/>
        </w:rPr>
        <w:t xml:space="preserve">(0951)4120892 </w:t>
      </w:r>
      <w:r>
        <w:rPr>
          <w:rFonts w:ascii="Arial Narrow" w:hAnsi="Arial Narrow" w:cs="Arial"/>
          <w:b/>
          <w:sz w:val="24"/>
        </w:rPr>
        <w:t xml:space="preserve">    </w:t>
      </w:r>
    </w:p>
    <w:p>
      <w:pPr>
        <w:spacing w:line="360" w:lineRule="auto"/>
        <w:ind w:firstLine="426" w:firstLineChars="177"/>
        <w:rPr>
          <w:rFonts w:ascii="Arial Narrow" w:hAnsi="Arial Narrow" w:cs="Arial"/>
          <w:b/>
          <w:sz w:val="24"/>
        </w:rPr>
      </w:pPr>
    </w:p>
    <w:p>
      <w:pPr>
        <w:spacing w:line="360" w:lineRule="auto"/>
        <w:ind w:firstLine="426" w:firstLineChars="177"/>
        <w:rPr>
          <w:rFonts w:ascii="Arial Narrow" w:hAnsi="Arial Narrow" w:cs="Arial"/>
          <w:b/>
          <w:sz w:val="24"/>
        </w:rPr>
      </w:pPr>
      <w:r>
        <w:rPr>
          <w:rFonts w:ascii="Arial Narrow" w:hAnsi="Arial Narrow" w:cs="Arial"/>
          <w:b/>
          <w:sz w:val="24"/>
        </w:rPr>
        <w:t>传  真</w:t>
      </w:r>
      <w:r>
        <w:rPr>
          <w:rFonts w:ascii="Arial Narrow" w:hAnsi="Arial Narrow" w:cs="Arial Narrow"/>
          <w:sz w:val="24"/>
        </w:rPr>
        <w:t>：</w:t>
      </w:r>
      <w:r>
        <w:rPr>
          <w:rFonts w:ascii="Arial Narrow" w:hAnsi="Arial Narrow" w:cs="Arial"/>
          <w:sz w:val="24"/>
        </w:rPr>
        <w:t>(0951)4120538</w:t>
      </w:r>
    </w:p>
    <w:p>
      <w:pPr>
        <w:spacing w:line="360" w:lineRule="auto"/>
        <w:ind w:firstLine="426" w:firstLineChars="177"/>
        <w:rPr>
          <w:rFonts w:ascii="Arial Narrow" w:hAnsi="Arial Narrow" w:cs="Arial Narrow"/>
          <w:b/>
          <w:bCs/>
          <w:sz w:val="24"/>
          <w:u w:val="single"/>
        </w:rPr>
      </w:pPr>
    </w:p>
    <w:p>
      <w:pPr>
        <w:spacing w:line="360" w:lineRule="auto"/>
        <w:ind w:firstLine="426" w:firstLineChars="177"/>
        <w:rPr>
          <w:rFonts w:ascii="Arial Narrow" w:hAnsi="Arial Narrow" w:cs="Arial Narrow"/>
          <w:sz w:val="24"/>
        </w:rPr>
      </w:pPr>
      <w:r>
        <w:rPr>
          <w:rFonts w:ascii="Arial Narrow" w:hAnsi="Arial Narrow" w:cs="Arial Narrow"/>
          <w:b/>
          <w:bCs/>
          <w:sz w:val="24"/>
        </w:rPr>
        <w:t>注册房地产估价师及注册号</w:t>
      </w:r>
      <w:r>
        <w:rPr>
          <w:rFonts w:hint="eastAsia" w:ascii="Arial Narrow" w:hAnsi="Arial Narrow" w:cs="Arial Narrow"/>
          <w:sz w:val="24"/>
        </w:rPr>
        <w:t>：罗尚吉    6420150003</w:t>
      </w:r>
    </w:p>
    <w:p>
      <w:pPr>
        <w:spacing w:line="360" w:lineRule="auto"/>
        <w:ind w:firstLine="424" w:firstLineChars="177"/>
        <w:rPr>
          <w:rFonts w:ascii="Arial Narrow" w:hAnsi="Arial Narrow" w:cs="Arial Narrow"/>
          <w:sz w:val="24"/>
        </w:rPr>
      </w:pPr>
    </w:p>
    <w:p>
      <w:pPr>
        <w:spacing w:line="360" w:lineRule="auto"/>
        <w:ind w:firstLine="426" w:firstLineChars="177"/>
        <w:rPr>
          <w:rFonts w:ascii="Arial Narrow" w:hAnsi="Arial Narrow"/>
          <w:sz w:val="24"/>
        </w:rPr>
      </w:pPr>
      <w:r>
        <w:rPr>
          <w:rFonts w:ascii="Arial Narrow" w:hAnsi="Arial Narrow" w:cs="Arial Narrow"/>
          <w:b/>
          <w:bCs/>
          <w:sz w:val="24"/>
        </w:rPr>
        <w:t>注册房地产估价师及注册号</w:t>
      </w:r>
      <w:r>
        <w:rPr>
          <w:rFonts w:ascii="Arial Narrow" w:hAnsi="Arial Narrow" w:cs="Arial Narrow"/>
          <w:sz w:val="24"/>
        </w:rPr>
        <w:t>：</w:t>
      </w:r>
      <w:r>
        <w:rPr>
          <w:rFonts w:hint="eastAsia" w:ascii="Arial Narrow" w:hAnsi="Arial Narrow" w:cs="Arial Narrow"/>
          <w:sz w:val="24"/>
        </w:rPr>
        <w:t xml:space="preserve">葛  畅    </w:t>
      </w:r>
      <w:r>
        <w:rPr>
          <w:rFonts w:ascii="Arial Narrow" w:hAnsi="Arial Narrow" w:cs="Arial Narrow"/>
          <w:sz w:val="24"/>
        </w:rPr>
        <w:t>6420040025</w:t>
      </w:r>
    </w:p>
    <w:p>
      <w:pPr>
        <w:spacing w:line="360" w:lineRule="auto"/>
        <w:rPr>
          <w:rFonts w:ascii="Arial Narrow" w:hAnsi="Arial Narrow" w:cs="Arial Narrow"/>
          <w:sz w:val="24"/>
        </w:rPr>
      </w:pPr>
    </w:p>
    <w:p>
      <w:pPr>
        <w:spacing w:line="360" w:lineRule="auto"/>
        <w:ind w:firstLine="426" w:firstLineChars="177"/>
        <w:rPr>
          <w:rFonts w:ascii="Arial Narrow" w:hAnsi="Arial Narrow" w:cs="Arial Narrow"/>
          <w:b/>
          <w:bCs/>
          <w:sz w:val="24"/>
          <w:u w:val="single"/>
        </w:rPr>
      </w:pPr>
      <w:r>
        <w:rPr>
          <w:rFonts w:ascii="Arial Narrow" w:hAnsi="Arial Narrow" w:cs="Arial Narrow"/>
          <w:b/>
          <w:bCs/>
          <w:sz w:val="24"/>
        </w:rPr>
        <w:t>报告出具日期：</w:t>
      </w:r>
      <w:r>
        <w:rPr>
          <w:rFonts w:hint="eastAsia" w:ascii="Arial Narrow" w:hAnsi="Arial Narrow" w:cs="Arial Narrow"/>
          <w:sz w:val="24"/>
        </w:rPr>
        <w:t>2022年6月13日</w:t>
      </w: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before="240" w:beforeLines="100" w:after="240" w:afterLines="100" w:line="440" w:lineRule="exact"/>
        <w:jc w:val="center"/>
        <w:rPr>
          <w:rFonts w:ascii="Arial Narrow" w:hAnsi="Arial Narrow"/>
          <w:b/>
          <w:sz w:val="32"/>
          <w:szCs w:val="32"/>
        </w:rPr>
      </w:pPr>
      <w:r>
        <w:rPr>
          <w:rFonts w:ascii="Arial Narrow" w:hAnsi="Arial Narrow"/>
          <w:b/>
          <w:sz w:val="32"/>
          <w:szCs w:val="32"/>
        </w:rPr>
        <w:t>致估价委托人函</w:t>
      </w:r>
    </w:p>
    <w:p>
      <w:pPr>
        <w:spacing w:line="360" w:lineRule="auto"/>
        <w:rPr>
          <w:rFonts w:ascii="Arial Narrow" w:hAnsi="Arial Narrow" w:cs="Arial Narrow"/>
          <w:sz w:val="24"/>
        </w:rPr>
      </w:pPr>
      <w:r>
        <w:rPr>
          <w:rFonts w:hint="eastAsia" w:ascii="Arial Narrow" w:hAnsi="Arial Narrow" w:cs="Arial Narrow"/>
          <w:sz w:val="24"/>
        </w:rPr>
        <w:t>宁夏回族自治区银川市金凤区人民法院</w:t>
      </w:r>
      <w:r>
        <w:rPr>
          <w:rFonts w:ascii="Arial Narrow" w:hAnsi="Arial Narrow" w:cs="Arial Narrow"/>
          <w:sz w:val="24"/>
        </w:rPr>
        <w:t>：</w:t>
      </w:r>
    </w:p>
    <w:p>
      <w:pPr>
        <w:spacing w:line="360" w:lineRule="auto"/>
        <w:ind w:firstLine="480" w:firstLineChars="200"/>
        <w:rPr>
          <w:rFonts w:ascii="Arial Narrow" w:hAnsi="Arial Narrow" w:cs="Arial Narrow"/>
          <w:sz w:val="24"/>
        </w:rPr>
      </w:pPr>
      <w:r>
        <w:rPr>
          <w:rFonts w:ascii="Arial Narrow" w:hAnsi="Arial Narrow" w:cs="Arial Narrow"/>
          <w:sz w:val="24"/>
        </w:rPr>
        <w:t>我们接受</w:t>
      </w:r>
      <w:r>
        <w:rPr>
          <w:rFonts w:hint="eastAsia" w:ascii="Arial Narrow" w:hAnsi="Arial Narrow" w:cs="Arial Narrow"/>
          <w:sz w:val="24"/>
        </w:rPr>
        <w:t>贵院</w:t>
      </w:r>
      <w:r>
        <w:rPr>
          <w:rFonts w:ascii="Arial Narrow" w:hAnsi="Arial Narrow" w:cs="Arial Narrow"/>
          <w:sz w:val="24"/>
        </w:rPr>
        <w:t>的委托，对</w:t>
      </w:r>
      <w:r>
        <w:rPr>
          <w:rFonts w:hint="eastAsia" w:ascii="Arial Narrow" w:hAnsi="Arial Narrow" w:cs="Arial Narrow"/>
          <w:sz w:val="24"/>
        </w:rPr>
        <w:t>产权人宁夏浩海房地产开发集团有限公司所有的位于银川市金凤区新海家园22号公寓楼519、613、617、701、711、722、902、914室（共八套）公寓</w:t>
      </w:r>
      <w:r>
        <w:rPr>
          <w:rFonts w:ascii="Arial Narrow" w:hAnsi="Arial Narrow" w:cs="Arial Narrow"/>
          <w:sz w:val="24"/>
        </w:rPr>
        <w:t>的现行市场价值进行了估价。估价对象</w:t>
      </w:r>
      <w:r>
        <w:rPr>
          <w:rFonts w:hint="eastAsia" w:ascii="Arial Narrow" w:hAnsi="Arial Narrow" w:cs="Arial Narrow"/>
          <w:sz w:val="24"/>
        </w:rPr>
        <w:t>总建筑面积为487.67平方米，钢混结构，</w:t>
      </w:r>
      <w:r>
        <w:rPr>
          <w:rFonts w:ascii="Arial Narrow" w:hAnsi="Arial Narrow" w:cs="Arial Narrow"/>
          <w:sz w:val="24"/>
        </w:rPr>
        <w:t>价值时点为</w:t>
      </w:r>
      <w:r>
        <w:rPr>
          <w:rFonts w:hint="eastAsia" w:ascii="Arial Narrow" w:hAnsi="Arial Narrow" w:cs="Arial Narrow"/>
          <w:sz w:val="24"/>
        </w:rPr>
        <w:t>2022年5月30日</w:t>
      </w:r>
      <w:r>
        <w:rPr>
          <w:rFonts w:ascii="Arial Narrow" w:hAnsi="Arial Narrow" w:cs="Arial Narrow"/>
          <w:sz w:val="24"/>
        </w:rPr>
        <w:t>，估价方法为比较法、收益法，估价目的是</w:t>
      </w:r>
      <w:r>
        <w:rPr>
          <w:rFonts w:hint="eastAsia" w:ascii="Arial Narrow" w:hAnsi="Arial Narrow" w:cs="宋体"/>
          <w:sz w:val="24"/>
        </w:rPr>
        <w:t>为人民法院确定财产处置参考价提供参考依据。</w:t>
      </w:r>
    </w:p>
    <w:p>
      <w:pPr>
        <w:spacing w:line="360" w:lineRule="auto"/>
        <w:ind w:firstLine="480" w:firstLineChars="200"/>
        <w:rPr>
          <w:rFonts w:ascii="Arial Narrow" w:hAnsi="Arial Narrow" w:cs="Arial Narrow"/>
          <w:sz w:val="24"/>
        </w:rPr>
      </w:pPr>
      <w:r>
        <w:rPr>
          <w:rFonts w:ascii="Arial Narrow" w:hAnsi="Arial Narrow" w:cs="Arial Narrow"/>
          <w:sz w:val="24"/>
        </w:rPr>
        <w:t>依据估价委托人提供的有关资料，经本机构估价人员实地查勘，根据估价目的，遵循估价原则，按照估价程序，选用适宜的估价方法，经过周密审慎的测算，并结合估价经验及对影响房地产价值的因素综合分析后，确定于价值时点、在本报告设定的假设和限制条件下，</w:t>
      </w:r>
      <w:r>
        <w:rPr>
          <w:rFonts w:hint="eastAsia" w:ascii="Arial Narrow" w:hAnsi="Arial Narrow" w:cs="Arial Narrow"/>
          <w:sz w:val="24"/>
        </w:rPr>
        <w:t>估价对象房地合一市场价值为：</w:t>
      </w:r>
      <w:r>
        <w:rPr>
          <w:rFonts w:hint="eastAsia" w:ascii="Arial Narrow" w:hAnsi="Arial Narrow" w:cs="宋体"/>
          <w:sz w:val="24"/>
        </w:rPr>
        <w:t>人民币贰佰伍拾柒万陆仟玖佰元整（¥2,576,900.00</w:t>
      </w:r>
      <w:r>
        <w:rPr>
          <w:rFonts w:hint="eastAsia" w:ascii="Arial Narrow" w:hAnsi="Arial Narrow" w:cs="Arial Narrow"/>
          <w:sz w:val="24"/>
        </w:rPr>
        <w:t>），</w:t>
      </w:r>
      <w:r>
        <w:rPr>
          <w:rFonts w:ascii="Arial Narrow" w:hAnsi="Arial Narrow" w:cs="Arial Narrow"/>
          <w:sz w:val="24"/>
        </w:rPr>
        <w:t>详</w:t>
      </w:r>
      <w:r>
        <w:rPr>
          <w:rFonts w:hint="eastAsia" w:ascii="Arial Narrow" w:hAnsi="Arial Narrow" w:cs="Arial Narrow"/>
          <w:sz w:val="24"/>
        </w:rPr>
        <w:t>见后附房地产</w:t>
      </w:r>
      <w:r>
        <w:rPr>
          <w:rFonts w:ascii="Arial Narrow" w:hAnsi="Arial Narrow" w:cs="Arial Narrow"/>
          <w:sz w:val="24"/>
        </w:rPr>
        <w:t>估价结果明细表。</w:t>
      </w:r>
    </w:p>
    <w:p>
      <w:pPr>
        <w:spacing w:line="360" w:lineRule="auto"/>
        <w:ind w:firstLine="480" w:firstLineChars="200"/>
        <w:jc w:val="left"/>
        <w:rPr>
          <w:rFonts w:ascii="Arial Narrow" w:hAnsi="Arial Narrow" w:cs="Arial Narrow"/>
          <w:sz w:val="24"/>
        </w:rPr>
      </w:pPr>
      <w:r>
        <w:rPr>
          <w:rFonts w:ascii="Arial Narrow" w:hAnsi="Arial Narrow" w:cs="Arial Narrow"/>
          <w:sz w:val="24"/>
        </w:rPr>
        <w:t>特别提示：</w:t>
      </w:r>
    </w:p>
    <w:p>
      <w:pPr>
        <w:spacing w:line="360" w:lineRule="auto"/>
        <w:ind w:firstLine="480" w:firstLineChars="200"/>
        <w:rPr>
          <w:rFonts w:ascii="Arial Narrow" w:hAnsi="Arial Narrow" w:cs="Arial Narrow"/>
          <w:sz w:val="24"/>
        </w:rPr>
      </w:pPr>
      <w:r>
        <w:rPr>
          <w:rFonts w:hint="eastAsia" w:ascii="Arial Narrow" w:hAnsi="Arial Narrow" w:cs="Arial Narrow"/>
          <w:sz w:val="24"/>
        </w:rPr>
        <w:t>1、应当按照法律规定和评估报告载明的用途、使用人、使用期限等使用范围使用评估报告。否则，房地产估价机构和注册房地产估价师依法不承担责任；</w:t>
      </w:r>
    </w:p>
    <w:p>
      <w:pPr>
        <w:spacing w:line="360" w:lineRule="auto"/>
        <w:ind w:firstLine="480" w:firstLineChars="200"/>
        <w:rPr>
          <w:rFonts w:ascii="Arial Narrow" w:hAnsi="Arial Narrow" w:cs="Arial Narrow"/>
          <w:sz w:val="24"/>
        </w:rPr>
      </w:pPr>
      <w:r>
        <w:rPr>
          <w:rFonts w:hint="eastAsia" w:ascii="Arial Narrow" w:hAnsi="Arial Narrow" w:cs="Arial Narrow"/>
          <w:sz w:val="24"/>
        </w:rPr>
        <w:t>2、评估结果仅为人民法院确定财产处置参考价服务，不是评估对象处置可实现的成交价格，也不应当被视为对评估对象处置成交价格的保证；</w:t>
      </w:r>
    </w:p>
    <w:p>
      <w:pPr>
        <w:spacing w:line="360" w:lineRule="auto"/>
        <w:ind w:firstLine="480" w:firstLineChars="200"/>
        <w:rPr>
          <w:rFonts w:ascii="Arial Narrow" w:hAnsi="Arial Narrow" w:cs="Arial Narrow"/>
          <w:sz w:val="24"/>
        </w:rPr>
      </w:pPr>
      <w:r>
        <w:rPr>
          <w:rFonts w:hint="eastAsia" w:ascii="Arial Narrow" w:hAnsi="Arial Narrow" w:cs="Arial Narrow"/>
          <w:sz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360" w:lineRule="auto"/>
        <w:ind w:firstLine="480" w:firstLineChars="200"/>
        <w:rPr>
          <w:rFonts w:ascii="Arial Narrow" w:hAnsi="Arial Narrow" w:cs="Arial Narrow"/>
          <w:sz w:val="24"/>
        </w:rPr>
      </w:pPr>
      <w:r>
        <w:rPr>
          <w:rFonts w:hint="eastAsia" w:ascii="Arial Narrow" w:hAnsi="Arial Narrow" w:cs="Arial Narrow"/>
          <w:sz w:val="24"/>
        </w:rPr>
        <w:t>4、在评估报告使用期限或者评估结果有效期内，评估报告或者评估结果未使用之前，如果评估对象状况或者房地产市场状况发生明显变化的，评估结果应当进行相应调整后才可使用；</w:t>
      </w:r>
    </w:p>
    <w:p>
      <w:pPr>
        <w:spacing w:line="360" w:lineRule="auto"/>
        <w:ind w:firstLine="480" w:firstLineChars="200"/>
        <w:rPr>
          <w:rFonts w:ascii="Arial Narrow" w:hAnsi="Arial Narrow" w:cs="Arial Narrow"/>
          <w:sz w:val="24"/>
        </w:rPr>
      </w:pPr>
      <w:r>
        <w:rPr>
          <w:rFonts w:hint="eastAsia" w:ascii="Arial Narrow" w:hAnsi="Arial Narrow" w:cs="Arial Narrow"/>
          <w:sz w:val="24"/>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360" w:lineRule="auto"/>
        <w:ind w:firstLine="480" w:firstLineChars="200"/>
        <w:rPr>
          <w:rFonts w:ascii="Arial Narrow" w:hAnsi="Arial Narrow" w:cs="Arial Narrow"/>
          <w:sz w:val="24"/>
        </w:rPr>
      </w:pPr>
      <w:r>
        <w:rPr>
          <w:rFonts w:hint="eastAsia" w:ascii="Arial Narrow" w:hAnsi="Arial Narrow" w:cs="Arial Narrow"/>
          <w:sz w:val="24"/>
        </w:rPr>
        <w:t>6、本报告估价对象市场价值为含增值税价值。</w:t>
      </w:r>
    </w:p>
    <w:p>
      <w:pPr>
        <w:spacing w:line="360" w:lineRule="auto"/>
        <w:ind w:firstLine="480" w:firstLineChars="200"/>
        <w:rPr>
          <w:rFonts w:ascii="Arial Narrow" w:hAnsi="Arial Narrow" w:cs="宋体"/>
          <w:sz w:val="24"/>
        </w:rPr>
      </w:pPr>
      <w:r>
        <w:rPr>
          <w:rFonts w:hint="eastAsia" w:ascii="Arial Narrow" w:hAnsi="Arial Narrow" w:cs="宋体"/>
          <w:sz w:val="24"/>
        </w:rPr>
        <w:t>7、截止价值时点，估价委托人未提供估价对象《房屋所有权证》《国有土地使用证》，本次估价中估价对象产权人、坐落、总层数、所在层、建筑面积、规划用途、竣工年代等以估价委托人提供的《银川市不动产登记信息查询单》复印件记载的数据为准。</w:t>
      </w:r>
    </w:p>
    <w:p>
      <w:pPr>
        <w:spacing w:line="360" w:lineRule="auto"/>
        <w:ind w:firstLine="480" w:firstLineChars="200"/>
        <w:rPr>
          <w:rFonts w:ascii="Arial Narrow" w:hAnsi="Arial Narrow" w:cs="宋体"/>
          <w:sz w:val="24"/>
        </w:rPr>
      </w:pPr>
      <w:r>
        <w:rPr>
          <w:rFonts w:hint="eastAsia" w:ascii="Arial Narrow" w:hAnsi="Arial Narrow" w:cs="宋体"/>
          <w:sz w:val="24"/>
        </w:rPr>
        <w:t>8、现场勘查时，因613室、701室和914室无钥匙不能进入估价对象室内进行现场查勘，经主办法官、相关当事人共同确认并签字，613室、701室和914室参照其他五套房屋室内状况（即简单装修）进行估价。</w:t>
      </w:r>
    </w:p>
    <w:p>
      <w:pPr>
        <w:spacing w:line="360" w:lineRule="auto"/>
        <w:ind w:firstLine="480" w:firstLineChars="200"/>
        <w:rPr>
          <w:rFonts w:ascii="Arial Narrow" w:hAnsi="Arial Narrow" w:cs="Arial Narrow"/>
          <w:sz w:val="24"/>
        </w:rPr>
      </w:pPr>
      <w:r>
        <w:rPr>
          <w:rFonts w:hint="eastAsia" w:ascii="Arial Narrow" w:hAnsi="Arial Narrow" w:cs="Arial Narrow"/>
          <w:sz w:val="24"/>
        </w:rPr>
        <w:t>9、</w:t>
      </w:r>
      <w:r>
        <w:rPr>
          <w:rFonts w:ascii="Arial Narrow" w:hAnsi="Arial Narrow" w:cs="Arial Narrow"/>
          <w:sz w:val="24"/>
        </w:rPr>
        <w:t>估价未考虑的因素</w:t>
      </w:r>
    </w:p>
    <w:p>
      <w:pPr>
        <w:spacing w:line="360" w:lineRule="auto"/>
        <w:ind w:firstLine="523" w:firstLineChars="218"/>
        <w:rPr>
          <w:rFonts w:ascii="Arial Narrow" w:hAnsi="Arial Narrow" w:cs="宋体"/>
          <w:sz w:val="24"/>
        </w:rPr>
      </w:pPr>
      <w:r>
        <w:rPr>
          <w:rFonts w:ascii="Arial Narrow" w:hAnsi="Arial Narrow" w:cs="宋体"/>
          <w:sz w:val="24"/>
        </w:rPr>
        <w:fldChar w:fldCharType="begin"/>
      </w:r>
      <w:r>
        <w:rPr>
          <w:rFonts w:ascii="Arial Narrow" w:hAnsi="Arial Narrow" w:cs="宋体"/>
          <w:sz w:val="24"/>
        </w:rPr>
        <w:instrText xml:space="preserve"> = 1 \* GB3 \* MERGEFORMAT </w:instrText>
      </w:r>
      <w:r>
        <w:rPr>
          <w:rFonts w:ascii="Arial Narrow" w:hAnsi="Arial Narrow" w:cs="宋体"/>
          <w:sz w:val="24"/>
        </w:rPr>
        <w:fldChar w:fldCharType="separate"/>
      </w:r>
      <w:r>
        <w:rPr>
          <w:rFonts w:hint="eastAsia" w:ascii="宋体" w:hAnsi="宋体" w:cs="宋体"/>
          <w:sz w:val="24"/>
        </w:rPr>
        <w:t>①</w:t>
      </w:r>
      <w:r>
        <w:rPr>
          <w:rFonts w:ascii="Arial Narrow" w:hAnsi="Arial Narrow" w:cs="宋体"/>
          <w:sz w:val="24"/>
        </w:rPr>
        <w:fldChar w:fldCharType="end"/>
      </w:r>
      <w:r>
        <w:rPr>
          <w:rFonts w:ascii="Arial Narrow" w:hAnsi="Arial Narrow" w:cs="宋体"/>
          <w:sz w:val="24"/>
        </w:rPr>
        <w:t>本报告未考虑国家宏观经济政策发生重大变化以及遇有自然力和其他不可抗力对估价结论的影响。</w:t>
      </w:r>
    </w:p>
    <w:p>
      <w:pPr>
        <w:spacing w:line="360" w:lineRule="auto"/>
        <w:ind w:firstLine="480" w:firstLineChars="200"/>
        <w:rPr>
          <w:rFonts w:ascii="Arial Narrow" w:hAnsi="Arial Narrow" w:cs="Arial Narrow"/>
          <w:sz w:val="24"/>
        </w:rPr>
      </w:pPr>
      <w:r>
        <w:rPr>
          <w:rFonts w:hint="eastAsia" w:ascii="Arial Narrow" w:hAnsi="Arial Narrow" w:cs="Arial Narrow"/>
          <w:sz w:val="24"/>
        </w:rPr>
        <w:fldChar w:fldCharType="begin"/>
      </w:r>
      <w:r>
        <w:rPr>
          <w:rFonts w:hint="eastAsia" w:ascii="Arial Narrow" w:hAnsi="Arial Narrow" w:cs="Arial Narrow"/>
          <w:sz w:val="24"/>
        </w:rPr>
        <w:instrText xml:space="preserve"> = 2 \* GB3 \* MERGEFORMAT </w:instrText>
      </w:r>
      <w:r>
        <w:rPr>
          <w:rFonts w:hint="eastAsia" w:ascii="Arial Narrow" w:hAnsi="Arial Narrow" w:cs="Arial Narrow"/>
          <w:sz w:val="24"/>
        </w:rPr>
        <w:fldChar w:fldCharType="separate"/>
      </w:r>
      <w:r>
        <w:rPr>
          <w:rFonts w:hint="eastAsia" w:ascii="Arial Narrow" w:hAnsi="Arial Narrow" w:cs="Arial Narrow"/>
          <w:sz w:val="24"/>
        </w:rPr>
        <w:t>②</w:t>
      </w:r>
      <w:r>
        <w:rPr>
          <w:rFonts w:hint="eastAsia" w:ascii="Arial Narrow" w:hAnsi="Arial Narrow" w:cs="Arial Narrow"/>
          <w:sz w:val="24"/>
        </w:rPr>
        <w:fldChar w:fldCharType="end"/>
      </w:r>
      <w:r>
        <w:rPr>
          <w:rFonts w:hint="eastAsia" w:ascii="Arial Narrow" w:hAnsi="Arial Narrow" w:cs="Arial Narrow"/>
          <w:sz w:val="24"/>
        </w:rPr>
        <w:t>本次估价时未考虑估价对象使用人对估价对象平面布局改造对估价对象价值的影响，也没有考虑价值时点后估价对象另外被改造、装修、改变用途等因素对估价对象价值的影响。</w:t>
      </w:r>
    </w:p>
    <w:p>
      <w:pPr>
        <w:spacing w:line="360" w:lineRule="auto"/>
        <w:ind w:firstLine="523" w:firstLineChars="218"/>
        <w:rPr>
          <w:rFonts w:ascii="Arial Narrow" w:hAnsi="Arial Narrow"/>
          <w:sz w:val="24"/>
        </w:rPr>
      </w:pPr>
      <w:r>
        <w:rPr>
          <w:rFonts w:ascii="Arial Narrow" w:hAnsi="Arial Narrow" w:cs="宋体"/>
          <w:sz w:val="24"/>
        </w:rPr>
        <w:fldChar w:fldCharType="begin"/>
      </w:r>
      <w:r>
        <w:rPr>
          <w:rFonts w:ascii="Arial Narrow" w:hAnsi="Arial Narrow" w:cs="宋体"/>
          <w:sz w:val="24"/>
        </w:rPr>
        <w:instrText xml:space="preserve"> = 3 \* GB3 \* MERGEFORMAT </w:instrText>
      </w:r>
      <w:r>
        <w:rPr>
          <w:rFonts w:ascii="Arial Narrow" w:hAnsi="Arial Narrow" w:cs="宋体"/>
          <w:sz w:val="24"/>
        </w:rPr>
        <w:fldChar w:fldCharType="separate"/>
      </w:r>
      <w:r>
        <w:rPr>
          <w:rFonts w:hint="eastAsia" w:ascii="宋体" w:hAnsi="宋体" w:cs="宋体"/>
          <w:sz w:val="24"/>
        </w:rPr>
        <w:t>③</w:t>
      </w:r>
      <w:r>
        <w:rPr>
          <w:rFonts w:ascii="Arial Narrow" w:hAnsi="Arial Narrow" w:cs="宋体"/>
          <w:sz w:val="24"/>
        </w:rPr>
        <w:fldChar w:fldCharType="end"/>
      </w:r>
      <w:r>
        <w:rPr>
          <w:rFonts w:hint="eastAsia" w:ascii="Arial Narrow" w:hAnsi="Arial Narrow"/>
          <w:sz w:val="24"/>
        </w:rPr>
        <w:t>本报告评估结果不考虑涉执房地产处置时所发生的评估费、拍卖费、诉讼费、律师费等财产处置费用。</w:t>
      </w:r>
    </w:p>
    <w:p>
      <w:pPr>
        <w:spacing w:line="360" w:lineRule="auto"/>
        <w:ind w:firstLine="523" w:firstLineChars="218"/>
        <w:rPr>
          <w:rFonts w:ascii="Arial Narrow" w:hAnsi="Arial Narrow" w:cs="宋体"/>
          <w:sz w:val="24"/>
        </w:rPr>
      </w:pPr>
      <w:r>
        <w:rPr>
          <w:rFonts w:hint="eastAsia" w:ascii="Arial Narrow" w:hAnsi="Arial Narrow" w:cs="宋体"/>
          <w:sz w:val="24"/>
        </w:rPr>
        <w:t>④根据委托估价目的，本次估价没有考虑房屋租赁、查封、设定抵押及其他未决法律事项等因素对估价结论可能产生的影响。</w:t>
      </w:r>
    </w:p>
    <w:p>
      <w:pPr>
        <w:spacing w:line="360" w:lineRule="auto"/>
        <w:ind w:firstLine="523" w:firstLineChars="218"/>
        <w:rPr>
          <w:rFonts w:ascii="Arial Narrow" w:hAnsi="Arial Narrow" w:cs="宋体"/>
          <w:sz w:val="24"/>
        </w:rPr>
      </w:pPr>
      <w:r>
        <w:rPr>
          <w:rFonts w:hint="eastAsia" w:ascii="宋体" w:hAnsi="宋体" w:cs="宋体"/>
          <w:sz w:val="24"/>
        </w:rPr>
        <w:t>⑤</w:t>
      </w:r>
      <w:r>
        <w:rPr>
          <w:rFonts w:hint="eastAsia" w:ascii="Arial Narrow" w:hAnsi="Arial Narrow" w:cs="宋体"/>
          <w:sz w:val="24"/>
        </w:rPr>
        <w:t>根据委托估价目的，本次估价应当关注并恰当考虑评估对象被迫转让及处置后被执行人不自愿配合交付因素对评估结果的不利影响。</w:t>
      </w:r>
    </w:p>
    <w:p>
      <w:pPr>
        <w:spacing w:line="360" w:lineRule="auto"/>
        <w:ind w:firstLine="480" w:firstLineChars="200"/>
        <w:rPr>
          <w:rFonts w:ascii="Arial Narrow" w:hAnsi="Arial Narrow" w:cs="宋体"/>
          <w:sz w:val="24"/>
        </w:rPr>
      </w:pPr>
      <w:r>
        <w:rPr>
          <w:rFonts w:hint="eastAsia" w:ascii="Arial Narrow" w:hAnsi="Arial Narrow" w:cs="宋体"/>
          <w:sz w:val="24"/>
        </w:rPr>
        <w:t>10</w:t>
      </w:r>
      <w:r>
        <w:rPr>
          <w:rFonts w:ascii="Arial Narrow" w:hAnsi="Arial Narrow" w:cs="宋体"/>
          <w:sz w:val="24"/>
        </w:rPr>
        <w:t>、其他说明事项</w:t>
      </w:r>
    </w:p>
    <w:p>
      <w:pPr>
        <w:spacing w:line="360" w:lineRule="auto"/>
        <w:ind w:firstLine="568"/>
        <w:rPr>
          <w:rFonts w:ascii="Arial Narrow" w:hAnsi="Arial Narrow" w:cs="宋体"/>
          <w:sz w:val="24"/>
        </w:rPr>
      </w:pPr>
      <w:r>
        <w:rPr>
          <w:rFonts w:ascii="Arial Narrow" w:hAnsi="Arial Narrow" w:cs="宋体"/>
          <w:sz w:val="24"/>
        </w:rPr>
        <w:fldChar w:fldCharType="begin"/>
      </w:r>
      <w:r>
        <w:rPr>
          <w:rFonts w:ascii="Arial Narrow" w:hAnsi="Arial Narrow" w:cs="宋体"/>
          <w:sz w:val="24"/>
        </w:rPr>
        <w:instrText xml:space="preserve"> = 1 \* GB3 \* MERGEFORMAT </w:instrText>
      </w:r>
      <w:r>
        <w:rPr>
          <w:rFonts w:ascii="Arial Narrow" w:hAnsi="Arial Narrow" w:cs="宋体"/>
          <w:sz w:val="24"/>
        </w:rPr>
        <w:fldChar w:fldCharType="separate"/>
      </w:r>
      <w:r>
        <w:rPr>
          <w:rFonts w:hint="eastAsia" w:ascii="宋体" w:hAnsi="宋体" w:cs="宋体"/>
          <w:sz w:val="24"/>
        </w:rPr>
        <w:t>①</w:t>
      </w:r>
      <w:r>
        <w:rPr>
          <w:rFonts w:ascii="Arial Narrow" w:hAnsi="Arial Narrow" w:cs="宋体"/>
          <w:sz w:val="24"/>
        </w:rPr>
        <w:fldChar w:fldCharType="end"/>
      </w:r>
      <w:r>
        <w:rPr>
          <w:rFonts w:hint="eastAsia" w:ascii="Arial Narrow" w:hAnsi="Arial Narrow"/>
          <w:sz w:val="24"/>
        </w:rPr>
        <w:t xml:space="preserve">本次估价，估价对象（拟拍卖或者变卖财产）以价值时点的现状为准。日后进入司法拍卖程序若产权人决定竞买，则视为对拍卖财产（包括建筑年代、权属状况、建筑结构、建筑面积、坐落位置、房间布局、所在层数、装修状况等）完全了解，并接受该拍卖财产的一切已知或未知瑕疵。未实地勘察的竞买人视为对本标的物的实物现状、瑕疵状况的确认，并自行承担相应的法律后果。 </w:t>
      </w:r>
    </w:p>
    <w:p>
      <w:pPr>
        <w:spacing w:line="360" w:lineRule="auto"/>
        <w:ind w:firstLine="568"/>
        <w:rPr>
          <w:rFonts w:ascii="宋体" w:hAnsi="宋体" w:cs="宋体"/>
          <w:sz w:val="24"/>
        </w:rPr>
      </w:pPr>
      <w:r>
        <w:rPr>
          <w:rFonts w:hint="eastAsia" w:ascii="宋体" w:hAnsi="宋体" w:cs="宋体"/>
          <w:sz w:val="24"/>
        </w:rPr>
        <w:t>②根据人民法院意见结合涉执房地产处置工作实际，对本次评估结果对应的估价对象交易税费由转让人和产权人按照法律法规规定各自负担。</w:t>
      </w:r>
    </w:p>
    <w:p>
      <w:pPr>
        <w:spacing w:line="360" w:lineRule="auto"/>
        <w:ind w:firstLine="568"/>
        <w:rPr>
          <w:rFonts w:ascii="Arial Narrow" w:hAnsi="Arial Narrow" w:cs="宋体"/>
          <w:sz w:val="24"/>
        </w:rPr>
      </w:pPr>
      <w:r>
        <w:rPr>
          <w:rFonts w:hint="eastAsia" w:ascii="宋体" w:hAnsi="宋体" w:cs="宋体"/>
          <w:sz w:val="24"/>
        </w:rPr>
        <w:t>③</w:t>
      </w:r>
      <w:r>
        <w:rPr>
          <w:rFonts w:ascii="Arial Narrow" w:hAnsi="Arial Narrow" w:cs="宋体"/>
          <w:sz w:val="24"/>
        </w:rPr>
        <w:t>本评估报告一式</w:t>
      </w:r>
      <w:r>
        <w:rPr>
          <w:rFonts w:hint="eastAsia" w:ascii="Arial Narrow" w:hAnsi="Arial Narrow" w:cs="宋体"/>
          <w:sz w:val="24"/>
        </w:rPr>
        <w:t>六</w:t>
      </w:r>
      <w:r>
        <w:rPr>
          <w:rFonts w:ascii="Arial Narrow" w:hAnsi="Arial Narrow" w:cs="宋体"/>
          <w:sz w:val="24"/>
        </w:rPr>
        <w:t>份，估价委托人</w:t>
      </w:r>
      <w:r>
        <w:rPr>
          <w:rFonts w:hint="eastAsia" w:ascii="Arial Narrow" w:hAnsi="Arial Narrow" w:cs="宋体"/>
          <w:sz w:val="24"/>
        </w:rPr>
        <w:t>五</w:t>
      </w:r>
      <w:r>
        <w:rPr>
          <w:rFonts w:ascii="Arial Narrow" w:hAnsi="Arial Narrow" w:cs="宋体"/>
          <w:sz w:val="24"/>
        </w:rPr>
        <w:t>份，房地产估价机构一份作为存档。</w:t>
      </w:r>
    </w:p>
    <w:p>
      <w:pPr>
        <w:spacing w:line="360" w:lineRule="auto"/>
        <w:ind w:firstLine="568"/>
        <w:rPr>
          <w:rFonts w:ascii="Arial Narrow" w:hAnsi="Arial Narrow" w:cs="宋体"/>
          <w:sz w:val="24"/>
        </w:rPr>
      </w:pPr>
      <w:r>
        <w:rPr>
          <w:rFonts w:hint="eastAsia" w:ascii="宋体" w:hAnsi="宋体" w:cs="宋体"/>
          <w:sz w:val="24"/>
        </w:rPr>
        <w:t>④</w:t>
      </w:r>
      <w:r>
        <w:rPr>
          <w:rFonts w:ascii="Arial Narrow" w:hAnsi="Arial Narrow" w:cs="宋体"/>
          <w:sz w:val="24"/>
        </w:rPr>
        <w:t>本评估报告由正文和附件两部分共同构成，应作为一个整体使用。</w:t>
      </w:r>
      <w:r>
        <w:rPr>
          <w:rFonts w:hint="eastAsia" w:ascii="Arial Narrow" w:hAnsi="Arial Narrow" w:cs="宋体"/>
          <w:sz w:val="24"/>
        </w:rPr>
        <w:t>评估</w:t>
      </w:r>
      <w:r>
        <w:rPr>
          <w:rFonts w:ascii="Arial Narrow" w:hAnsi="Arial Narrow" w:cs="宋体"/>
          <w:sz w:val="24"/>
        </w:rPr>
        <w:t>报告经注册房地产估价师签字、盖章并加盖本评估机构公章后方为有效。</w:t>
      </w:r>
    </w:p>
    <w:p>
      <w:pPr>
        <w:spacing w:line="360" w:lineRule="auto"/>
        <w:ind w:firstLine="568"/>
        <w:rPr>
          <w:rFonts w:ascii="Arial Narrow" w:hAnsi="Arial Narrow" w:cs="宋体"/>
          <w:sz w:val="24"/>
        </w:rPr>
      </w:pPr>
      <w:r>
        <w:rPr>
          <w:rFonts w:hint="eastAsia" w:ascii="宋体" w:hAnsi="宋体" w:cs="宋体"/>
          <w:sz w:val="24"/>
        </w:rPr>
        <w:t>⑤</w:t>
      </w:r>
      <w:r>
        <w:rPr>
          <w:rFonts w:ascii="Arial Narrow" w:hAnsi="Arial Narrow" w:cs="宋体"/>
          <w:sz w:val="24"/>
        </w:rPr>
        <w:t>本评估报告由宁夏正业通房地产土地资产评估有限公司负责解释。</w:t>
      </w:r>
    </w:p>
    <w:p>
      <w:pPr>
        <w:spacing w:line="360" w:lineRule="auto"/>
        <w:rPr>
          <w:rFonts w:ascii="Arial Narrow" w:hAnsi="Arial Narrow" w:cs="宋体"/>
          <w:sz w:val="24"/>
        </w:rPr>
      </w:pPr>
    </w:p>
    <w:p>
      <w:pPr>
        <w:ind w:firstLine="3600" w:firstLineChars="1500"/>
        <w:rPr>
          <w:rFonts w:ascii="Arial Narrow" w:hAnsi="Arial Narrow" w:cs="Arial Narrow"/>
          <w:sz w:val="24"/>
        </w:rPr>
      </w:pPr>
      <w:r>
        <w:rPr>
          <w:rFonts w:ascii="Arial Narrow" w:hAnsi="Arial Narrow" w:cs="Arial Narrow"/>
          <w:sz w:val="24"/>
        </w:rPr>
        <w:t xml:space="preserve">宁夏正业通房地产土地资产评估有限公司 </w:t>
      </w:r>
    </w:p>
    <w:p>
      <w:pPr>
        <w:ind w:firstLine="3600" w:firstLineChars="1500"/>
        <w:rPr>
          <w:rFonts w:ascii="Arial Narrow" w:hAnsi="Arial Narrow" w:cs="Arial Narrow"/>
          <w:sz w:val="24"/>
        </w:rPr>
      </w:pPr>
    </w:p>
    <w:p>
      <w:pPr>
        <w:rPr>
          <w:rFonts w:ascii="Arial Narrow" w:hAnsi="Arial Narrow" w:cs="Arial Narrow"/>
          <w:sz w:val="24"/>
        </w:rPr>
      </w:pPr>
      <w:r>
        <w:rPr>
          <w:rFonts w:ascii="Arial Narrow" w:hAnsi="Arial Narrow" w:cs="Arial Narrow"/>
          <w:sz w:val="24"/>
        </w:rPr>
        <w:t xml:space="preserve"> </w:t>
      </w:r>
      <w:r>
        <w:rPr>
          <w:rFonts w:hint="eastAsia" w:ascii="Arial Narrow" w:hAnsi="Arial Narrow" w:cs="Arial Narrow"/>
          <w:sz w:val="24"/>
        </w:rPr>
        <w:t xml:space="preserve">                                      </w:t>
      </w:r>
      <w:r>
        <w:rPr>
          <w:rFonts w:ascii="Arial Narrow" w:hAnsi="Arial Narrow" w:cs="Arial Narrow"/>
          <w:sz w:val="24"/>
        </w:rPr>
        <w:t xml:space="preserve"> 法定代表人：</w:t>
      </w:r>
      <w:r>
        <w:rPr>
          <w:rFonts w:hint="eastAsia" w:ascii="Arial Narrow" w:hAnsi="Arial Narrow" w:cs="Arial Narrow"/>
          <w:sz w:val="24"/>
        </w:rPr>
        <w:t>刘旖旎</w:t>
      </w:r>
    </w:p>
    <w:p>
      <w:pPr>
        <w:rPr>
          <w:rFonts w:ascii="Arial Narrow" w:hAnsi="Arial Narrow" w:cs="Arial Narrow"/>
          <w:sz w:val="24"/>
        </w:rPr>
      </w:pPr>
    </w:p>
    <w:p>
      <w:pPr>
        <w:spacing w:line="360" w:lineRule="auto"/>
        <w:ind w:firstLine="480" w:firstLineChars="200"/>
        <w:jc w:val="center"/>
        <w:rPr>
          <w:rFonts w:ascii="Arial Narrow" w:hAnsi="Arial Narrow" w:cs="Arial Narrow"/>
          <w:sz w:val="24"/>
        </w:rPr>
      </w:pPr>
      <w:r>
        <w:rPr>
          <w:rFonts w:ascii="Arial Narrow" w:hAnsi="Arial Narrow" w:cs="Arial Narrow"/>
          <w:sz w:val="24"/>
        </w:rPr>
        <w:t xml:space="preserve">                 </w:t>
      </w:r>
      <w:r>
        <w:rPr>
          <w:rFonts w:hint="eastAsia" w:ascii="Arial Narrow" w:hAnsi="Arial Narrow" w:cs="Arial Narrow"/>
          <w:sz w:val="24"/>
        </w:rPr>
        <w:t xml:space="preserve">   </w:t>
      </w:r>
      <w:r>
        <w:rPr>
          <w:rFonts w:ascii="Arial Narrow" w:hAnsi="Arial Narrow" w:cs="Arial Narrow"/>
          <w:sz w:val="24"/>
        </w:rPr>
        <w:t>二〇二二年六月十三日</w:t>
      </w:r>
    </w:p>
    <w:p>
      <w:pPr>
        <w:ind w:firstLine="568"/>
        <w:rPr>
          <w:rFonts w:ascii="Arial Narrow" w:hAnsi="Arial Narrow"/>
          <w:sz w:val="24"/>
        </w:rPr>
        <w:sectPr>
          <w:headerReference r:id="rId7" w:type="first"/>
          <w:footerReference r:id="rId9" w:type="first"/>
          <w:headerReference r:id="rId6" w:type="default"/>
          <w:footerReference r:id="rId8" w:type="default"/>
          <w:pgSz w:w="11906" w:h="16838"/>
          <w:pgMar w:top="1588" w:right="1474" w:bottom="1588" w:left="1474" w:header="1134" w:footer="1134" w:gutter="0"/>
          <w:pgNumType w:start="0"/>
          <w:cols w:space="0" w:num="1"/>
          <w:titlePg/>
          <w:docGrid w:linePitch="312" w:charSpace="0"/>
        </w:sectPr>
      </w:pPr>
    </w:p>
    <w:p>
      <w:pPr>
        <w:tabs>
          <w:tab w:val="left" w:pos="6195"/>
        </w:tabs>
        <w:spacing w:after="240" w:afterLines="100" w:line="276" w:lineRule="auto"/>
        <w:jc w:val="center"/>
        <w:rPr>
          <w:rFonts w:ascii="Arial Narrow" w:hAnsi="Arial Narrow"/>
          <w:b/>
          <w:sz w:val="32"/>
          <w:szCs w:val="32"/>
        </w:rPr>
      </w:pPr>
      <w:r>
        <w:rPr>
          <w:rFonts w:hint="eastAsia" w:ascii="Arial Narrow" w:hAnsi="Arial Narrow" w:cs="Arial Narrow"/>
          <w:bCs/>
          <w:sz w:val="32"/>
          <w:szCs w:val="32"/>
        </w:rPr>
        <w:t xml:space="preserve">   </w:t>
      </w:r>
      <w:r>
        <w:rPr>
          <w:rFonts w:hint="eastAsia" w:ascii="Arial Narrow" w:hAnsi="Arial Narrow" w:cs="Arial Narrow"/>
          <w:b/>
          <w:bCs/>
          <w:sz w:val="32"/>
          <w:szCs w:val="32"/>
        </w:rPr>
        <w:t>涉执房地产处置司法评估报告</w:t>
      </w:r>
    </w:p>
    <w:p>
      <w:pPr>
        <w:shd w:val="clear" w:color="auto" w:fill="FFFFFF"/>
        <w:spacing w:line="276" w:lineRule="auto"/>
        <w:ind w:firstLine="3534" w:firstLineChars="1100"/>
        <w:jc w:val="left"/>
        <w:rPr>
          <w:rFonts w:ascii="Arial Narrow" w:hAnsi="Arial Narrow" w:cs="Arial"/>
          <w:b/>
          <w:i/>
          <w:kern w:val="0"/>
          <w:szCs w:val="21"/>
        </w:rPr>
      </w:pPr>
      <w:r>
        <w:rPr>
          <w:rFonts w:ascii="Arial Narrow" w:hAnsi="Arial Narrow"/>
          <w:b/>
          <w:sz w:val="32"/>
          <w:szCs w:val="32"/>
        </w:rPr>
        <w:t>目</w:t>
      </w:r>
      <w:r>
        <w:rPr>
          <w:rFonts w:hint="eastAsia" w:ascii="Arial Narrow" w:hAnsi="Arial Narrow"/>
          <w:b/>
          <w:sz w:val="32"/>
          <w:szCs w:val="32"/>
        </w:rPr>
        <w:t xml:space="preserve">       </w:t>
      </w:r>
      <w:r>
        <w:rPr>
          <w:rFonts w:ascii="Arial Narrow" w:hAnsi="Arial Narrow"/>
          <w:b/>
          <w:sz w:val="32"/>
          <w:szCs w:val="32"/>
        </w:rPr>
        <w:t>录</w:t>
      </w:r>
    </w:p>
    <w:p>
      <w:pPr>
        <w:pStyle w:val="12"/>
        <w:spacing w:line="480" w:lineRule="exact"/>
        <w:ind w:firstLine="0" w:firstLineChars="0"/>
        <w:rPr>
          <w:rFonts w:ascii="Arial Narrow" w:hAnsi="Arial Narrow" w:eastAsia="宋体"/>
          <w:b/>
          <w:szCs w:val="24"/>
        </w:rPr>
      </w:pPr>
      <w:r>
        <w:rPr>
          <w:rFonts w:ascii="Arial Narrow" w:hAnsi="Arial Narrow"/>
          <w:b/>
        </w:rPr>
        <w:fldChar w:fldCharType="begin"/>
      </w:r>
      <w:r>
        <w:rPr>
          <w:rFonts w:ascii="Arial Narrow" w:hAnsi="Arial Narrow"/>
          <w:b/>
        </w:rPr>
        <w:instrText xml:space="preserve"> TOC \o </w:instrText>
      </w:r>
      <w:r>
        <w:rPr>
          <w:rFonts w:ascii="Arial Narrow" w:hAnsi="Arial Narrow"/>
          <w:b/>
        </w:rPr>
        <w:fldChar w:fldCharType="separate"/>
      </w:r>
      <w:r>
        <w:rPr>
          <w:rFonts w:hint="eastAsia" w:ascii="Arial Narrow" w:hAnsi="Arial Narrow" w:eastAsia="宋体"/>
          <w:b/>
          <w:szCs w:val="24"/>
        </w:rPr>
        <w:t>注册房地产估价师声明</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_Toc535140644 \h </w:instrText>
      </w:r>
      <w:r>
        <w:rPr>
          <w:rFonts w:ascii="Arial Narrow" w:hAnsi="Arial Narrow" w:eastAsia="宋体"/>
          <w:szCs w:val="24"/>
        </w:rPr>
        <w:fldChar w:fldCharType="separate"/>
      </w:r>
      <w:r>
        <w:rPr>
          <w:rFonts w:ascii="Arial Narrow" w:hAnsi="Arial Narrow" w:eastAsia="宋体"/>
          <w:szCs w:val="24"/>
        </w:rPr>
        <w:t>1</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b/>
          <w:szCs w:val="24"/>
        </w:rPr>
        <w:t>估价假设和限制条件</w:t>
      </w:r>
      <w:r>
        <w:rPr>
          <w:rFonts w:ascii="Arial Narrow" w:hAnsi="Arial Narrow" w:eastAsia="宋体"/>
          <w:szCs w:val="24"/>
        </w:rPr>
        <w:tab/>
      </w:r>
      <w:r>
        <w:rPr>
          <w:rFonts w:hint="eastAsia" w:ascii="Arial Narrow" w:hAnsi="Arial Narrow" w:eastAsia="宋体"/>
          <w:szCs w:val="24"/>
        </w:rPr>
        <w:t>2</w:t>
      </w:r>
    </w:p>
    <w:p>
      <w:pPr>
        <w:pStyle w:val="12"/>
        <w:spacing w:line="480" w:lineRule="exact"/>
        <w:ind w:firstLine="0" w:firstLineChars="0"/>
        <w:rPr>
          <w:rFonts w:ascii="Arial Narrow" w:hAnsi="Arial Narrow" w:eastAsia="宋体"/>
          <w:b/>
          <w:szCs w:val="24"/>
        </w:rPr>
      </w:pPr>
      <w:r>
        <w:rPr>
          <w:rFonts w:hint="eastAsia" w:ascii="Arial Narrow" w:hAnsi="Arial Narrow" w:eastAsia="宋体"/>
          <w:b/>
          <w:szCs w:val="24"/>
        </w:rPr>
        <w:t>涉执房地产处置司法评估报告正文</w:t>
      </w:r>
      <w:r>
        <w:rPr>
          <w:rFonts w:ascii="Arial Narrow" w:hAnsi="Arial Narrow" w:eastAsia="宋体"/>
          <w:szCs w:val="24"/>
        </w:rPr>
        <w:tab/>
      </w:r>
      <w:r>
        <w:rPr>
          <w:rFonts w:hint="eastAsia" w:ascii="Arial Narrow" w:hAnsi="Arial Narrow" w:eastAsia="宋体"/>
          <w:szCs w:val="24"/>
        </w:rPr>
        <w:t>5</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一、估价委托人和项目基本情况</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_Toc535140646 \h </w:instrText>
      </w:r>
      <w:r>
        <w:rPr>
          <w:rFonts w:ascii="Arial Narrow" w:hAnsi="Arial Narrow" w:eastAsia="宋体"/>
          <w:szCs w:val="24"/>
        </w:rPr>
        <w:fldChar w:fldCharType="separate"/>
      </w:r>
      <w:r>
        <w:rPr>
          <w:rFonts w:ascii="Arial Narrow" w:hAnsi="Arial Narrow" w:eastAsia="宋体"/>
          <w:szCs w:val="24"/>
        </w:rPr>
        <w:t>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二、房地产估价机构</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_Toc535140647 \h </w:instrText>
      </w:r>
      <w:r>
        <w:rPr>
          <w:rFonts w:ascii="Arial Narrow" w:hAnsi="Arial Narrow" w:eastAsia="宋体"/>
          <w:szCs w:val="24"/>
        </w:rPr>
        <w:fldChar w:fldCharType="separate"/>
      </w:r>
      <w:r>
        <w:rPr>
          <w:rFonts w:ascii="Arial Narrow" w:hAnsi="Arial Narrow" w:eastAsia="宋体"/>
          <w:szCs w:val="24"/>
        </w:rPr>
        <w:t>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三、估价目的</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_Toc535140648 \h </w:instrText>
      </w:r>
      <w:r>
        <w:rPr>
          <w:rFonts w:ascii="Arial Narrow" w:hAnsi="Arial Narrow" w:eastAsia="宋体"/>
          <w:szCs w:val="24"/>
        </w:rPr>
        <w:fldChar w:fldCharType="separate"/>
      </w:r>
      <w:r>
        <w:rPr>
          <w:rFonts w:ascii="Arial Narrow" w:hAnsi="Arial Narrow" w:eastAsia="宋体"/>
          <w:szCs w:val="24"/>
        </w:rPr>
        <w:t>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四、估价对象</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_Toc535140649 \h </w:instrText>
      </w:r>
      <w:r>
        <w:rPr>
          <w:rFonts w:ascii="Arial Narrow" w:hAnsi="Arial Narrow" w:eastAsia="宋体"/>
          <w:szCs w:val="24"/>
        </w:rPr>
        <w:fldChar w:fldCharType="separate"/>
      </w:r>
      <w:r>
        <w:rPr>
          <w:rFonts w:ascii="Arial Narrow" w:hAnsi="Arial Narrow" w:eastAsia="宋体"/>
          <w:szCs w:val="24"/>
        </w:rPr>
        <w:t>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五、价值时点</w:t>
      </w:r>
      <w:r>
        <w:rPr>
          <w:rFonts w:ascii="Arial Narrow" w:hAnsi="Arial Narrow" w:eastAsia="宋体"/>
          <w:szCs w:val="24"/>
        </w:rPr>
        <w:tab/>
      </w:r>
      <w:r>
        <w:rPr>
          <w:rFonts w:hint="eastAsia" w:ascii="Arial Narrow" w:hAnsi="Arial Narrow" w:eastAsia="宋体"/>
          <w:szCs w:val="24"/>
        </w:rPr>
        <w:t>11</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六、价值类型</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_Toc535140651 \h </w:instrText>
      </w:r>
      <w:r>
        <w:rPr>
          <w:rFonts w:ascii="Arial Narrow" w:hAnsi="Arial Narrow" w:eastAsia="宋体"/>
          <w:szCs w:val="24"/>
        </w:rPr>
        <w:fldChar w:fldCharType="separate"/>
      </w:r>
      <w:r>
        <w:rPr>
          <w:rFonts w:ascii="Arial Narrow" w:hAnsi="Arial Narrow" w:eastAsia="宋体"/>
          <w:szCs w:val="24"/>
        </w:rPr>
        <w:t>11</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七、估价原则</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_Toc535140652 \h </w:instrText>
      </w:r>
      <w:r>
        <w:rPr>
          <w:rFonts w:ascii="Arial Narrow" w:hAnsi="Arial Narrow" w:eastAsia="宋体"/>
          <w:szCs w:val="24"/>
        </w:rPr>
        <w:fldChar w:fldCharType="separate"/>
      </w:r>
      <w:r>
        <w:rPr>
          <w:rFonts w:ascii="Arial Narrow" w:hAnsi="Arial Narrow" w:eastAsia="宋体"/>
          <w:szCs w:val="24"/>
        </w:rPr>
        <w:t>11</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八、估价依据</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_Toc535140653 \h </w:instrText>
      </w:r>
      <w:r>
        <w:rPr>
          <w:rFonts w:ascii="Arial Narrow" w:hAnsi="Arial Narrow" w:eastAsia="宋体"/>
          <w:szCs w:val="24"/>
        </w:rPr>
        <w:fldChar w:fldCharType="separate"/>
      </w:r>
      <w:r>
        <w:rPr>
          <w:rFonts w:ascii="Arial Narrow" w:hAnsi="Arial Narrow" w:eastAsia="宋体"/>
          <w:szCs w:val="24"/>
        </w:rPr>
        <w:t>13</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九、估价方法</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_Toc535140654 \h </w:instrText>
      </w:r>
      <w:r>
        <w:rPr>
          <w:rFonts w:ascii="Arial Narrow" w:hAnsi="Arial Narrow" w:eastAsia="宋体"/>
          <w:szCs w:val="24"/>
        </w:rPr>
        <w:fldChar w:fldCharType="separate"/>
      </w:r>
      <w:r>
        <w:rPr>
          <w:rFonts w:ascii="Arial Narrow" w:hAnsi="Arial Narrow" w:eastAsia="宋体"/>
          <w:szCs w:val="24"/>
        </w:rPr>
        <w:t>13</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十、估价结果</w:t>
      </w:r>
      <w:r>
        <w:rPr>
          <w:rFonts w:ascii="Arial Narrow" w:hAnsi="Arial Narrow" w:eastAsia="宋体"/>
          <w:szCs w:val="24"/>
        </w:rPr>
        <w:tab/>
      </w:r>
      <w:r>
        <w:rPr>
          <w:rFonts w:hint="eastAsia" w:ascii="Arial Narrow" w:hAnsi="Arial Narrow" w:eastAsia="宋体"/>
          <w:szCs w:val="24"/>
        </w:rPr>
        <w:t>16</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十一、估价人员</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_Toc535140656 \h </w:instrText>
      </w:r>
      <w:r>
        <w:rPr>
          <w:rFonts w:ascii="Arial Narrow" w:hAnsi="Arial Narrow" w:eastAsia="宋体"/>
          <w:szCs w:val="24"/>
        </w:rPr>
        <w:fldChar w:fldCharType="separate"/>
      </w:r>
      <w:r>
        <w:rPr>
          <w:rFonts w:ascii="Arial Narrow" w:hAnsi="Arial Narrow" w:eastAsia="宋体"/>
          <w:szCs w:val="24"/>
        </w:rPr>
        <w:t>15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十二、实地查勘期</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_Toc535140657 \h </w:instrText>
      </w:r>
      <w:r>
        <w:rPr>
          <w:rFonts w:ascii="Arial Narrow" w:hAnsi="Arial Narrow" w:eastAsia="宋体"/>
          <w:szCs w:val="24"/>
        </w:rPr>
        <w:fldChar w:fldCharType="separate"/>
      </w:r>
      <w:r>
        <w:rPr>
          <w:rFonts w:ascii="Arial Narrow" w:hAnsi="Arial Narrow" w:eastAsia="宋体"/>
          <w:szCs w:val="24"/>
        </w:rPr>
        <w:t>16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十三、估价作业期</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_Toc535140658 \h </w:instrText>
      </w:r>
      <w:r>
        <w:rPr>
          <w:rFonts w:ascii="Arial Narrow" w:hAnsi="Arial Narrow" w:eastAsia="宋体"/>
          <w:szCs w:val="24"/>
        </w:rPr>
        <w:fldChar w:fldCharType="separate"/>
      </w:r>
      <w:r>
        <w:rPr>
          <w:rFonts w:ascii="Arial Narrow" w:hAnsi="Arial Narrow" w:eastAsia="宋体"/>
          <w:szCs w:val="24"/>
        </w:rPr>
        <w:t>17</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b/>
          <w:szCs w:val="24"/>
        </w:rPr>
        <w:t>涉执房地产处置司法评估报告附件</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_Toc535140659 \h </w:instrText>
      </w:r>
      <w:r>
        <w:rPr>
          <w:rFonts w:ascii="Arial Narrow" w:hAnsi="Arial Narrow" w:eastAsia="宋体"/>
          <w:szCs w:val="24"/>
        </w:rPr>
        <w:fldChar w:fldCharType="separate"/>
      </w:r>
      <w:r>
        <w:rPr>
          <w:rFonts w:ascii="Arial Narrow" w:hAnsi="Arial Narrow" w:eastAsia="宋体"/>
          <w:szCs w:val="24"/>
        </w:rPr>
        <w:t>18</w:t>
      </w:r>
      <w:r>
        <w:rPr>
          <w:rFonts w:ascii="Arial Narrow" w:hAnsi="Arial Narrow" w:eastAsia="宋体"/>
          <w:szCs w:val="24"/>
        </w:rPr>
        <w:fldChar w:fldCharType="end"/>
      </w:r>
    </w:p>
    <w:p>
      <w:pPr>
        <w:pStyle w:val="12"/>
        <w:tabs>
          <w:tab w:val="right" w:leader="dot" w:pos="8504"/>
          <w:tab w:val="clear" w:pos="8302"/>
        </w:tabs>
        <w:spacing w:line="480" w:lineRule="exact"/>
        <w:ind w:firstLine="0" w:firstLineChars="0"/>
        <w:rPr>
          <w:rFonts w:ascii="Arial Narrow" w:hAnsi="Arial Narrow" w:eastAsia="宋体"/>
          <w:szCs w:val="24"/>
        </w:rPr>
      </w:pPr>
      <w:r>
        <w:rPr>
          <w:rFonts w:ascii="Arial Narrow" w:hAnsi="Arial Narrow"/>
        </w:rPr>
        <w:fldChar w:fldCharType="end"/>
      </w:r>
      <w:r>
        <w:rPr>
          <w:rFonts w:ascii="Arial Narrow" w:hAnsi="Arial Narrow" w:eastAsia="宋体"/>
          <w:szCs w:val="24"/>
        </w:rPr>
        <w:t>1、</w:t>
      </w:r>
      <w:r>
        <w:rPr>
          <w:rFonts w:hint="eastAsia" w:ascii="Arial Narrow" w:hAnsi="Arial Narrow" w:eastAsia="宋体"/>
          <w:szCs w:val="24"/>
        </w:rPr>
        <w:t>宁夏回族自治区银川市金凤区人民法院评估委托书</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2</w:t>
      </w:r>
      <w:r>
        <w:rPr>
          <w:rFonts w:ascii="Arial Narrow" w:hAnsi="Arial Narrow" w:eastAsia="宋体"/>
          <w:szCs w:val="24"/>
        </w:rPr>
        <w:t>、估价对象</w:t>
      </w:r>
      <w:r>
        <w:rPr>
          <w:rFonts w:hint="eastAsia" w:ascii="Arial Narrow" w:hAnsi="Arial Narrow"/>
        </w:rPr>
        <w:t>《</w:t>
      </w:r>
      <w:r>
        <w:rPr>
          <w:rFonts w:hint="eastAsia" w:ascii="Arial Narrow" w:hAnsi="Arial Narrow" w:eastAsia="宋体"/>
          <w:szCs w:val="24"/>
        </w:rPr>
        <w:t>银川市不动产登记信息查询单》</w:t>
      </w:r>
      <w:r>
        <w:rPr>
          <w:rFonts w:ascii="Arial Narrow" w:hAnsi="Arial Narrow" w:eastAsia="宋体"/>
          <w:szCs w:val="24"/>
        </w:rPr>
        <w:t>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3</w:t>
      </w:r>
      <w:r>
        <w:rPr>
          <w:rFonts w:ascii="Arial Narrow" w:hAnsi="Arial Narrow" w:eastAsia="宋体"/>
          <w:szCs w:val="24"/>
        </w:rPr>
        <w:t>、估价对象位置图</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4</w:t>
      </w:r>
      <w:r>
        <w:rPr>
          <w:rFonts w:ascii="Arial Narrow" w:hAnsi="Arial Narrow" w:eastAsia="宋体"/>
          <w:szCs w:val="24"/>
        </w:rPr>
        <w:t>、估价对象实地查勘现场照片</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5、</w:t>
      </w:r>
      <w:r>
        <w:rPr>
          <w:rFonts w:ascii="Arial Narrow" w:hAnsi="Arial Narrow" w:eastAsia="宋体"/>
          <w:szCs w:val="24"/>
        </w:rPr>
        <w:t>宁夏正业通房地产土地资产评估有限公司企业法人营业执照复印件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6</w:t>
      </w:r>
      <w:r>
        <w:rPr>
          <w:rFonts w:ascii="Arial Narrow" w:hAnsi="Arial Narrow" w:eastAsia="宋体"/>
          <w:szCs w:val="24"/>
        </w:rPr>
        <w:t>、宁夏正业通房地产土地资产评估有限公司资质证书复印件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rPr>
        <w:t>7、</w:t>
      </w:r>
      <w:r>
        <w:rPr>
          <w:rFonts w:ascii="Arial Narrow" w:hAnsi="Arial Narrow" w:eastAsia="宋体"/>
          <w:szCs w:val="24"/>
        </w:rPr>
        <w:t>注册房地产估价师资格证书</w:t>
      </w:r>
      <w:r>
        <w:rPr>
          <w:rFonts w:hint="eastAsia" w:ascii="Arial Narrow" w:hAnsi="Arial Narrow" w:eastAsia="宋体"/>
          <w:szCs w:val="24"/>
        </w:rPr>
        <w:t>复印件</w:t>
      </w:r>
    </w:p>
    <w:p>
      <w:pPr>
        <w:sectPr>
          <w:headerReference r:id="rId10" w:type="first"/>
          <w:footerReference r:id="rId12" w:type="first"/>
          <w:footerReference r:id="rId11" w:type="default"/>
          <w:pgSz w:w="11906" w:h="16838"/>
          <w:pgMar w:top="1758" w:right="1644" w:bottom="1531" w:left="1644" w:header="1106" w:footer="1106" w:gutter="0"/>
          <w:cols w:space="720" w:num="1"/>
          <w:titlePg/>
          <w:docGrid w:linePitch="312" w:charSpace="0"/>
        </w:sectPr>
      </w:pPr>
    </w:p>
    <w:p>
      <w:pPr>
        <w:pStyle w:val="2"/>
        <w:keepNext w:val="0"/>
        <w:keepLines w:val="0"/>
        <w:rPr>
          <w:rFonts w:ascii="Arial Narrow" w:hAnsi="Arial Narrow"/>
        </w:rPr>
      </w:pPr>
      <w:bookmarkStart w:id="0" w:name="_Toc29832"/>
      <w:bookmarkStart w:id="1" w:name="_Toc535140644"/>
      <w:r>
        <w:rPr>
          <w:rFonts w:ascii="Arial Narrow" w:hAnsi="Arial Narrow"/>
        </w:rPr>
        <w:t>注册房地产估价师声明</w:t>
      </w:r>
      <w:bookmarkEnd w:id="0"/>
      <w:bookmarkEnd w:id="1"/>
    </w:p>
    <w:p>
      <w:pPr>
        <w:rPr>
          <w:rFonts w:ascii="Arial Narrow" w:hAnsi="Arial Narrow"/>
        </w:rPr>
      </w:pPr>
    </w:p>
    <w:p>
      <w:pPr>
        <w:spacing w:line="360" w:lineRule="auto"/>
        <w:ind w:firstLine="480" w:firstLineChars="200"/>
        <w:rPr>
          <w:rFonts w:ascii="Arial Narrow" w:hAnsi="Arial Narrow"/>
          <w:sz w:val="24"/>
        </w:rPr>
      </w:pPr>
      <w:r>
        <w:rPr>
          <w:rFonts w:ascii="Arial Narrow" w:hAnsi="Arial Narrow"/>
          <w:sz w:val="24"/>
        </w:rPr>
        <w:t>一、注册房地产估价师在</w:t>
      </w:r>
      <w:r>
        <w:rPr>
          <w:rFonts w:hint="eastAsia" w:ascii="Arial Narrow" w:hAnsi="Arial Narrow"/>
          <w:sz w:val="24"/>
        </w:rPr>
        <w:t>评估</w:t>
      </w:r>
      <w:r>
        <w:rPr>
          <w:rFonts w:ascii="Arial Narrow" w:hAnsi="Arial Narrow"/>
          <w:sz w:val="24"/>
        </w:rPr>
        <w:t>报告中对事实的说明是真实和准确的，没有虚假记载、误导性陈述和重大遗漏</w:t>
      </w:r>
      <w:r>
        <w:rPr>
          <w:rFonts w:hint="eastAsia"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二、</w:t>
      </w:r>
      <w:r>
        <w:rPr>
          <w:rFonts w:hint="eastAsia" w:ascii="Arial Narrow" w:hAnsi="Arial Narrow"/>
          <w:sz w:val="24"/>
        </w:rPr>
        <w:t>评估</w:t>
      </w:r>
      <w:r>
        <w:rPr>
          <w:rFonts w:ascii="Arial Narrow" w:hAnsi="Arial Narrow"/>
          <w:sz w:val="24"/>
        </w:rPr>
        <w:t>报告中的分析、意见和结论是注册房地产估价师独立、客观、公正的专业分析、意见和结论，但受到</w:t>
      </w:r>
      <w:r>
        <w:rPr>
          <w:rFonts w:hint="eastAsia" w:ascii="Arial Narrow" w:hAnsi="Arial Narrow"/>
          <w:sz w:val="24"/>
        </w:rPr>
        <w:t>评估</w:t>
      </w:r>
      <w:r>
        <w:rPr>
          <w:rFonts w:ascii="Arial Narrow" w:hAnsi="Arial Narrow"/>
          <w:sz w:val="24"/>
        </w:rPr>
        <w:t>报告中已说明的估价假设和限制条件的限制</w:t>
      </w:r>
      <w:r>
        <w:rPr>
          <w:rFonts w:hint="eastAsia"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三、注册房地产估价师与</w:t>
      </w:r>
      <w:r>
        <w:rPr>
          <w:rFonts w:hint="eastAsia" w:ascii="Arial Narrow" w:hAnsi="Arial Narrow"/>
          <w:sz w:val="24"/>
        </w:rPr>
        <w:t>评估</w:t>
      </w:r>
      <w:r>
        <w:rPr>
          <w:rFonts w:ascii="Arial Narrow" w:hAnsi="Arial Narrow"/>
          <w:sz w:val="24"/>
        </w:rPr>
        <w:t>报告中的估价对象没有现实或潜在的利益，与估价委托人及估价利害关系人没有利害关系，也对估价对象、估价委托人及估价利害关系人没有偏见</w:t>
      </w:r>
      <w:r>
        <w:rPr>
          <w:rFonts w:hint="eastAsia" w:ascii="Arial Narrow" w:hAnsi="Arial Narrow"/>
          <w:sz w:val="24"/>
        </w:rPr>
        <w:t>。</w:t>
      </w:r>
    </w:p>
    <w:p>
      <w:pPr>
        <w:spacing w:line="360" w:lineRule="auto"/>
        <w:ind w:firstLine="480"/>
        <w:rPr>
          <w:rFonts w:ascii="Arial Narrow" w:hAnsi="Arial Narrow"/>
          <w:sz w:val="24"/>
        </w:rPr>
      </w:pPr>
      <w:r>
        <w:rPr>
          <w:rFonts w:ascii="Arial Narrow" w:hAnsi="Arial Narrow"/>
          <w:sz w:val="24"/>
        </w:rPr>
        <w:t>四、注册房地产估价师是按照有关房地产估价标准的规定进行估价工作，撰写评估报告</w:t>
      </w:r>
      <w:bookmarkStart w:id="2" w:name="_Toc535140645"/>
      <w:r>
        <w:rPr>
          <w:rFonts w:hint="eastAsia" w:ascii="Arial Narrow" w:hAnsi="Arial Narrow"/>
          <w:sz w:val="24"/>
        </w:rPr>
        <w:t>。</w:t>
      </w:r>
    </w:p>
    <w:p>
      <w:pPr>
        <w:spacing w:line="360" w:lineRule="auto"/>
        <w:ind w:firstLine="480" w:firstLineChars="200"/>
        <w:rPr>
          <w:rFonts w:ascii="Arial Narrow" w:hAnsi="Arial Narrow"/>
          <w:sz w:val="24"/>
        </w:rPr>
      </w:pPr>
      <w:r>
        <w:rPr>
          <w:rFonts w:hint="eastAsia" w:ascii="Arial Narrow" w:hAnsi="Arial Narrow"/>
          <w:sz w:val="24"/>
        </w:rPr>
        <w:t>五、本评估报告是根据现有、限定资料出具，任何依据同一标的房地产的其他资料或者信息可能得出与本报告不一致的评估结果。</w:t>
      </w:r>
    </w:p>
    <w:p>
      <w:pPr>
        <w:spacing w:line="360" w:lineRule="auto"/>
        <w:ind w:firstLine="480" w:firstLineChars="200"/>
        <w:rPr>
          <w:rFonts w:ascii="Arial Narrow" w:hAnsi="Arial Narrow"/>
          <w:sz w:val="24"/>
        </w:rPr>
      </w:pPr>
      <w:r>
        <w:rPr>
          <w:rFonts w:hint="eastAsia" w:ascii="Arial Narrow" w:hAnsi="Arial Narrow"/>
          <w:sz w:val="24"/>
        </w:rPr>
        <w:t>六、估价</w:t>
      </w:r>
      <w:r>
        <w:rPr>
          <w:rFonts w:ascii="Arial Narrow" w:hAnsi="Arial Narrow"/>
          <w:sz w:val="24"/>
        </w:rPr>
        <w:t>对象涉及的评估材料由估价委托</w:t>
      </w:r>
      <w:r>
        <w:rPr>
          <w:rFonts w:hint="eastAsia" w:ascii="Arial Narrow" w:hAnsi="Arial Narrow"/>
          <w:sz w:val="24"/>
        </w:rPr>
        <w:t>人提供，</w:t>
      </w:r>
      <w:r>
        <w:rPr>
          <w:rFonts w:ascii="Arial Narrow" w:hAnsi="Arial Narrow"/>
          <w:sz w:val="24"/>
        </w:rPr>
        <w:t>所提供资料的真实性、合法性、完整性由委托人负责，恰当使用</w:t>
      </w:r>
      <w:r>
        <w:rPr>
          <w:rFonts w:hint="eastAsia" w:ascii="Arial Narrow" w:hAnsi="Arial Narrow"/>
          <w:sz w:val="24"/>
        </w:rPr>
        <w:t>本</w:t>
      </w:r>
      <w:r>
        <w:rPr>
          <w:rFonts w:ascii="Arial Narrow" w:hAnsi="Arial Narrow"/>
          <w:sz w:val="24"/>
        </w:rPr>
        <w:t>报告是估价委托</w:t>
      </w:r>
      <w:r>
        <w:rPr>
          <w:rFonts w:hint="eastAsia" w:ascii="Arial Narrow" w:hAnsi="Arial Narrow"/>
          <w:sz w:val="24"/>
        </w:rPr>
        <w:t>人</w:t>
      </w:r>
      <w:r>
        <w:rPr>
          <w:rFonts w:ascii="Arial Narrow" w:hAnsi="Arial Narrow"/>
          <w:sz w:val="24"/>
        </w:rPr>
        <w:t>的责任</w:t>
      </w:r>
      <w:r>
        <w:rPr>
          <w:rFonts w:hint="eastAsia" w:ascii="Arial Narrow" w:hAnsi="Arial Narrow"/>
          <w:sz w:val="24"/>
        </w:rPr>
        <w:t>。</w:t>
      </w:r>
    </w:p>
    <w:p>
      <w:pPr>
        <w:spacing w:line="360" w:lineRule="auto"/>
        <w:ind w:firstLine="480" w:firstLineChars="200"/>
        <w:rPr>
          <w:rFonts w:ascii="Arial Narrow" w:hAnsi="Arial Narrow"/>
          <w:sz w:val="24"/>
        </w:rPr>
      </w:pPr>
      <w:r>
        <w:rPr>
          <w:rFonts w:hint="eastAsia" w:ascii="Arial Narrow" w:hAnsi="Arial Narrow"/>
          <w:sz w:val="24"/>
        </w:rPr>
        <w:t>七、</w:t>
      </w:r>
      <w:r>
        <w:rPr>
          <w:rFonts w:ascii="Arial Narrow" w:hAnsi="Arial Narrow"/>
          <w:sz w:val="24"/>
        </w:rPr>
        <w:t>注册房地产估价师</w:t>
      </w:r>
      <w:r>
        <w:rPr>
          <w:rFonts w:hint="eastAsia" w:ascii="Arial Narrow" w:hAnsi="Arial Narrow"/>
          <w:sz w:val="24"/>
        </w:rPr>
        <w:t>已经对报告中的估价对象及其所涉及房地产进行现场调查；对估价对象及其所涉及房地产的法律权属资料进行了查验，对已经发现的问题进行了如实披露，并且已提请估价委托人及其他相关当事人完善产权以满足出具报告的要求。</w:t>
      </w:r>
    </w:p>
    <w:p>
      <w:pPr>
        <w:spacing w:line="360" w:lineRule="auto"/>
        <w:ind w:firstLine="480" w:firstLineChars="200"/>
        <w:rPr>
          <w:rFonts w:ascii="Arial Narrow" w:hAnsi="Arial Narrow"/>
          <w:sz w:val="24"/>
        </w:rPr>
      </w:pPr>
      <w:r>
        <w:rPr>
          <w:rFonts w:hint="eastAsia" w:ascii="Arial Narrow" w:hAnsi="Arial Narrow"/>
          <w:sz w:val="24"/>
        </w:rPr>
        <w:t>八、报告使用人应当关注评估报告中载明的估价假设和限制条件及其对估价结论的影响。</w:t>
      </w:r>
    </w:p>
    <w:p>
      <w:pPr>
        <w:spacing w:line="360" w:lineRule="auto"/>
        <w:ind w:firstLine="480" w:firstLineChars="200"/>
        <w:rPr>
          <w:rFonts w:ascii="Arial Narrow" w:hAnsi="Arial Narrow"/>
          <w:sz w:val="24"/>
        </w:rPr>
      </w:pPr>
      <w:r>
        <w:rPr>
          <w:rFonts w:hint="eastAsia" w:ascii="Arial Narrow" w:hAnsi="Arial Narrow"/>
          <w:sz w:val="24"/>
        </w:rPr>
        <w:t>九、本评估报告是否作为定案或者认定事实的根据，取决于办案机关的审查判断，房地产估价机构和</w:t>
      </w:r>
      <w:r>
        <w:rPr>
          <w:rFonts w:ascii="Arial Narrow" w:hAnsi="Arial Narrow"/>
          <w:sz w:val="24"/>
        </w:rPr>
        <w:t>注册房地产估价师</w:t>
      </w:r>
      <w:r>
        <w:rPr>
          <w:rFonts w:hint="eastAsia" w:ascii="Arial Narrow" w:hAnsi="Arial Narrow"/>
          <w:sz w:val="24"/>
        </w:rPr>
        <w:t>无权干涉。</w:t>
      </w:r>
    </w:p>
    <w:p>
      <w:pPr>
        <w:spacing w:line="360" w:lineRule="auto"/>
        <w:ind w:firstLine="480"/>
        <w:rPr>
          <w:rFonts w:ascii="Arial Narrow" w:hAnsi="Arial Narrow"/>
          <w:sz w:val="24"/>
        </w:rPr>
      </w:pPr>
    </w:p>
    <w:p>
      <w:pPr>
        <w:pStyle w:val="2"/>
        <w:keepNext w:val="0"/>
        <w:keepLines w:val="0"/>
        <w:spacing w:line="360" w:lineRule="auto"/>
        <w:rPr>
          <w:rFonts w:ascii="Arial Narrow" w:hAnsi="Arial Narrow"/>
        </w:rPr>
      </w:pPr>
      <w:r>
        <w:rPr>
          <w:rFonts w:ascii="Arial Narrow" w:hAnsi="Arial Narrow"/>
          <w:sz w:val="24"/>
        </w:rPr>
        <w:br w:type="page"/>
      </w:r>
      <w:r>
        <w:rPr>
          <w:rFonts w:ascii="Arial Narrow" w:hAnsi="Arial Narrow"/>
        </w:rPr>
        <w:t>估价假设和限制条件</w:t>
      </w:r>
      <w:bookmarkEnd w:id="2"/>
    </w:p>
    <w:p>
      <w:pPr>
        <w:pStyle w:val="13"/>
        <w:widowControl w:val="0"/>
        <w:shd w:val="clear" w:color="auto" w:fill="FFFFFF"/>
        <w:spacing w:before="0" w:beforeAutospacing="0" w:after="0" w:afterAutospacing="0" w:line="360" w:lineRule="auto"/>
        <w:ind w:right="150" w:firstLine="480"/>
        <w:rPr>
          <w:rFonts w:ascii="Arial Narrow" w:hAnsi="Arial Narrow" w:cs="Times New Roman"/>
          <w:b/>
          <w:kern w:val="2"/>
        </w:rPr>
      </w:pPr>
      <w:r>
        <w:rPr>
          <w:rFonts w:ascii="Arial Narrow" w:hAnsi="Arial Narrow" w:cs="Times New Roman"/>
          <w:b/>
          <w:kern w:val="2"/>
        </w:rPr>
        <w:t>一、估价</w:t>
      </w:r>
      <w:r>
        <w:rPr>
          <w:rFonts w:hint="eastAsia" w:ascii="Arial Narrow" w:hAnsi="Arial Narrow" w:cs="Times New Roman"/>
          <w:b/>
          <w:kern w:val="2"/>
        </w:rPr>
        <w:t>假设</w:t>
      </w:r>
      <w:r>
        <w:rPr>
          <w:rFonts w:ascii="Arial Narrow" w:hAnsi="Arial Narrow" w:cs="Times New Roman"/>
          <w:b/>
          <w:kern w:val="2"/>
        </w:rPr>
        <w:t>条件</w:t>
      </w:r>
    </w:p>
    <w:p>
      <w:pPr>
        <w:pStyle w:val="11"/>
        <w:spacing w:line="360" w:lineRule="auto"/>
        <w:ind w:left="0" w:firstLine="523" w:firstLineChars="218"/>
        <w:rPr>
          <w:rFonts w:ascii="Arial Narrow" w:hAnsi="Arial Narrow"/>
          <w:kern w:val="2"/>
          <w:sz w:val="24"/>
        </w:rPr>
      </w:pPr>
      <w:r>
        <w:rPr>
          <w:rFonts w:hint="eastAsia" w:ascii="Arial Narrow" w:hAnsi="Arial Narrow"/>
          <w:kern w:val="2"/>
          <w:sz w:val="24"/>
        </w:rPr>
        <w:t>本次司法评估采用以下假设前提：</w:t>
      </w:r>
    </w:p>
    <w:p>
      <w:pPr>
        <w:shd w:val="clear" w:color="auto" w:fill="FFFFFF"/>
        <w:spacing w:line="360" w:lineRule="auto"/>
        <w:ind w:left="525" w:leftChars="250"/>
        <w:jc w:val="left"/>
        <w:rPr>
          <w:rFonts w:ascii="Arial Narrow" w:hAnsi="Arial Narrow"/>
          <w:sz w:val="24"/>
        </w:rPr>
      </w:pPr>
      <w:r>
        <w:rPr>
          <w:rFonts w:hint="eastAsia" w:ascii="Arial Narrow" w:hAnsi="Arial Narrow"/>
          <w:sz w:val="24"/>
        </w:rPr>
        <w:t xml:space="preserve"> （一）一般假设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（1）交易假设。假定估价对象已经处在交易过程中，司法估价人根据估价对象的交易条件等模拟市场进行价值估价。交易假设是房地产估价得以进行的一个最基本的前提假设。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（2）继续使用假设。假设估价对象按规划用途继续使用。</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（3）公开市场假设。假设在市场上进行房地产交易的双方彼此地位平等，都有获得足够市场信息的机会和时间，以便对房地产的功能、用途及其交易价格等做出理智的判断。</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（4）宏观经济环境稳定的假设。在可预见的将来，假设国家宏观经济政策和所在地区社会经济环境平稳，经营业务所涉及的税收、信贷利率、物价等基本稳定，行业政策、管理制度及相关规定无重大变化。</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（5）估价对象的假设。假设估价对象合法取得《房屋所有权证》《国有土地使用证》，可在公开市场上自由转让。同时假设估价对象建筑结构无重大缺陷和安全隐患。</w:t>
      </w:r>
    </w:p>
    <w:p>
      <w:pPr>
        <w:pStyle w:val="13"/>
        <w:widowControl w:val="0"/>
        <w:shd w:val="clear" w:color="auto" w:fill="FFFFFF"/>
        <w:spacing w:before="0" w:beforeAutospacing="0" w:after="0" w:afterAutospacing="0" w:line="360" w:lineRule="auto"/>
        <w:ind w:right="150" w:firstLine="480"/>
        <w:rPr>
          <w:rFonts w:ascii="Arial Narrow" w:hAnsi="Arial Narrow" w:cs="Times New Roman"/>
          <w:kern w:val="2"/>
        </w:rPr>
      </w:pPr>
      <w:r>
        <w:rPr>
          <w:rFonts w:hint="eastAsia" w:ascii="Arial Narrow" w:hAnsi="Arial Narrow" w:cs="Times New Roman"/>
        </w:rPr>
        <w:t>（6）</w:t>
      </w:r>
      <w:r>
        <w:rPr>
          <w:rFonts w:ascii="Arial Narrow" w:hAnsi="Arial Narrow" w:cs="Times New Roman"/>
          <w:kern w:val="2"/>
        </w:rPr>
        <w:t>估价资料的假设。估价委托人提供了估价对象的</w:t>
      </w:r>
      <w:r>
        <w:rPr>
          <w:rFonts w:hint="eastAsia" w:ascii="Arial Narrow" w:hAnsi="Arial Narrow"/>
        </w:rPr>
        <w:t>《银川市不动产登记信息查询单》复印件</w:t>
      </w:r>
      <w:r>
        <w:rPr>
          <w:rFonts w:ascii="Arial Narrow" w:hAnsi="Arial Narrow" w:cs="Times New Roman"/>
          <w:kern w:val="2"/>
        </w:rPr>
        <w:t>，我们未向政府有关部门进行核实，在无理由怀疑其合法性、真实性、准确性和完整性的情况下，假定估价委托人提供的资料合法、真实、准确、完整。</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（7）假设估价对象在形成过程中不存在相关的债权、债务问题。</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（8）假设人民法院拍卖（或者变卖）财产之日的估价对象状况和房地产市场状况与实地查勘完成之日的状况相同。</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9）注册房地产估价师已对房屋安全、环境污染等影响估价对象价值的重大因素给予了关注，在无理由怀疑估价对象存在安全隐患且无相应的专业机构进行鉴定、检测的情况下，假定估价对象符合国家相关技术规范。</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（10）注册房地产估价师未对房屋建筑面积进行专业测量，经现场查勘观察，估价对象房屋建筑面积与估价委托人提供的《银川市不动产登记信息查询单》复印件记载建筑面积大体相当。</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（11）因人民法院未提供估价对象欠缴税费（物业费、供暖费等）情况，评估人员也未掌握相关情况，本次估价设定涉执房地产处置司法评估不考虑估价对象欠缴税费对评估结果的影响。</w:t>
      </w:r>
    </w:p>
    <w:p>
      <w:pPr>
        <w:pStyle w:val="11"/>
        <w:spacing w:line="360" w:lineRule="auto"/>
        <w:ind w:left="0" w:firstLine="523" w:firstLineChars="218"/>
        <w:rPr>
          <w:rFonts w:ascii="Arial Narrow" w:hAnsi="Arial Narrow"/>
          <w:kern w:val="2"/>
          <w:sz w:val="24"/>
        </w:rPr>
      </w:pPr>
      <w:r>
        <w:rPr>
          <w:rFonts w:hint="eastAsia" w:ascii="Arial Narrow" w:hAnsi="Arial Narrow"/>
          <w:kern w:val="2"/>
          <w:sz w:val="24"/>
        </w:rPr>
        <w:t>（二）特殊类假设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1、背离事实假设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根据估价委托人提供的估价对象《银川市不动产登记信息查询单》复印件记载，估价对象已抵押、已查封，基于涉执房地产处置司法评估目的，不考虑估价对象存在被查封以及原有的担保物权和其他优先受偿权情况，视为没有查封、未设立担保物权及其他优先受偿权的财产进行评估。</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2、未定事项假设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cs="宋体"/>
          <w:sz w:val="24"/>
        </w:rPr>
        <w:t>现场勘查时，因613室、701室和914室无钥匙不能进入估价对象室内进行现场查勘，经主办法官、相关当事人共同确认并签字，613室、701室和914室参照其他五套房屋室内状况（即简单装修）进行估价</w:t>
      </w:r>
      <w:r>
        <w:rPr>
          <w:rFonts w:hint="eastAsia" w:ascii="Arial Narrow" w:hAnsi="Arial Narrow"/>
          <w:sz w:val="24"/>
        </w:rPr>
        <w:t>。</w:t>
      </w:r>
    </w:p>
    <w:p>
      <w:pPr>
        <w:shd w:val="clear" w:color="auto" w:fill="FFFFFF"/>
        <w:spacing w:line="360" w:lineRule="auto"/>
        <w:ind w:left="420"/>
        <w:jc w:val="left"/>
        <w:rPr>
          <w:rFonts w:ascii="Arial Narrow" w:hAnsi="Arial Narrow"/>
          <w:sz w:val="24"/>
        </w:rPr>
      </w:pPr>
      <w:r>
        <w:rPr>
          <w:rFonts w:hint="eastAsia" w:ascii="Arial Narrow" w:hAnsi="Arial Narrow"/>
          <w:sz w:val="24"/>
        </w:rPr>
        <w:t xml:space="preserve"> 3、依据不足假设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本次估价中，估价委托人未提供估价对象《银川市不动产登记信息查询单》原件等资料供估价人员核查，在无理由怀疑其合法性、真实性、准确性和完整性的情况下，本次估价假设估价委托人提供的估价对象《银川市不动产登记信息查询单》复印件与原件一致。</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4、不相一致假设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本次估价对象无不相一致假设。</w:t>
      </w:r>
    </w:p>
    <w:p>
      <w:pPr>
        <w:spacing w:line="360" w:lineRule="auto"/>
        <w:ind w:firstLine="480" w:firstLineChars="200"/>
        <w:rPr>
          <w:rFonts w:ascii="Arial Narrow" w:hAnsi="Arial Narrow"/>
          <w:sz w:val="24"/>
        </w:rPr>
      </w:pPr>
      <w:r>
        <w:rPr>
          <w:rFonts w:hint="eastAsia" w:ascii="Arial Narrow" w:hAnsi="Arial Narrow"/>
          <w:sz w:val="24"/>
        </w:rPr>
        <w:t>估价人员认为这些前提条件在价值时点时成立，如上述假设条件在未来发生较大变化时，将会对估价结论产生直接影响。</w:t>
      </w:r>
    </w:p>
    <w:p>
      <w:pPr>
        <w:pStyle w:val="11"/>
        <w:spacing w:line="360" w:lineRule="auto"/>
        <w:ind w:left="0" w:firstLine="525" w:firstLineChars="218"/>
        <w:rPr>
          <w:rFonts w:ascii="Arial Narrow" w:hAnsi="Arial Narrow"/>
          <w:b/>
          <w:kern w:val="2"/>
          <w:sz w:val="24"/>
        </w:rPr>
      </w:pPr>
      <w:r>
        <w:rPr>
          <w:rFonts w:ascii="Arial Narrow" w:hAnsi="Arial Narrow"/>
          <w:b/>
          <w:kern w:val="2"/>
          <w:sz w:val="24"/>
        </w:rPr>
        <w:t>二、估价限制条件</w:t>
      </w:r>
    </w:p>
    <w:p>
      <w:pPr>
        <w:spacing w:line="360" w:lineRule="auto"/>
        <w:ind w:firstLine="568"/>
        <w:rPr>
          <w:rFonts w:ascii="Arial Narrow" w:hAnsi="Arial Narrow"/>
          <w:sz w:val="24"/>
        </w:rPr>
      </w:pPr>
      <w:r>
        <w:rPr>
          <w:rFonts w:ascii="Arial Narrow" w:hAnsi="Arial Narrow"/>
          <w:sz w:val="24"/>
        </w:rPr>
        <w:t>1、</w:t>
      </w:r>
      <w:r>
        <w:rPr>
          <w:rFonts w:hint="eastAsia" w:ascii="Arial Narrow" w:hAnsi="Arial Narrow"/>
          <w:sz w:val="24"/>
        </w:rPr>
        <w:t>本次估价中，估价委托人提供了估价对象的《银川市不动产登记信息查询单》复印件，估价对象的</w:t>
      </w:r>
      <w:r>
        <w:rPr>
          <w:rFonts w:ascii="Arial Narrow" w:hAnsi="Arial Narrow"/>
          <w:sz w:val="24"/>
        </w:rPr>
        <w:t>估价对象的建筑面积、</w:t>
      </w:r>
      <w:r>
        <w:rPr>
          <w:rFonts w:hint="eastAsia" w:ascii="Arial Narrow" w:hAnsi="Arial Narrow"/>
          <w:sz w:val="24"/>
        </w:rPr>
        <w:t>坐落位置、房屋</w:t>
      </w:r>
      <w:r>
        <w:rPr>
          <w:rFonts w:ascii="Arial Narrow" w:hAnsi="Arial Narrow"/>
          <w:sz w:val="24"/>
        </w:rPr>
        <w:t>用途</w:t>
      </w:r>
      <w:r>
        <w:rPr>
          <w:rFonts w:hint="eastAsia" w:ascii="Arial Narrow" w:hAnsi="Arial Narrow"/>
          <w:sz w:val="24"/>
        </w:rPr>
        <w:t>、层数等均以上述文件记载信息为准。</w:t>
      </w:r>
    </w:p>
    <w:p>
      <w:pPr>
        <w:spacing w:line="360" w:lineRule="auto"/>
        <w:ind w:firstLine="568"/>
        <w:rPr>
          <w:rFonts w:ascii="Arial Narrow" w:hAnsi="Arial Narrow"/>
          <w:sz w:val="24"/>
        </w:rPr>
      </w:pPr>
      <w:r>
        <w:rPr>
          <w:rFonts w:ascii="Arial Narrow" w:hAnsi="Arial Narrow"/>
          <w:sz w:val="24"/>
        </w:rPr>
        <w:t>2、本报告以</w:t>
      </w:r>
      <w:r>
        <w:rPr>
          <w:rFonts w:hint="eastAsia" w:ascii="Arial Narrow" w:hAnsi="Arial Narrow"/>
          <w:sz w:val="24"/>
        </w:rPr>
        <w:t>估价委托人</w:t>
      </w:r>
      <w:r>
        <w:rPr>
          <w:rFonts w:ascii="Arial Narrow" w:hAnsi="Arial Narrow"/>
          <w:sz w:val="24"/>
        </w:rPr>
        <w:t>确定的范围为前提进行估价。估价人员在</w:t>
      </w:r>
      <w:r>
        <w:rPr>
          <w:rFonts w:hint="eastAsia" w:ascii="Arial Narrow" w:hAnsi="Arial Narrow"/>
          <w:sz w:val="24"/>
        </w:rPr>
        <w:t>估价委托人</w:t>
      </w:r>
      <w:r>
        <w:rPr>
          <w:rFonts w:ascii="Arial Narrow" w:hAnsi="Arial Narrow"/>
          <w:sz w:val="24"/>
        </w:rPr>
        <w:t>相关人员配合下对估价对象进行现场调查并由其确认，如果相关指认有误，应对本报告评估结果作相应调整或重新评估。</w:t>
      </w:r>
    </w:p>
    <w:p>
      <w:pPr>
        <w:spacing w:line="360" w:lineRule="auto"/>
        <w:ind w:firstLine="567"/>
        <w:rPr>
          <w:rFonts w:ascii="Arial Narrow" w:hAnsi="Arial Narrow"/>
          <w:sz w:val="24"/>
        </w:rPr>
      </w:pPr>
      <w:r>
        <w:rPr>
          <w:rFonts w:hint="eastAsia" w:ascii="Arial Narrow" w:hAnsi="Arial Narrow"/>
          <w:sz w:val="24"/>
        </w:rPr>
        <w:t>3、本次估价时，根据《中华人民共和国民法典》第三百五十九条规定“住宅建设用地使用权期限届满的，自动续期”，本次估价对象尚可使用年限按照房屋建筑物剩余使用年限确定。</w:t>
      </w:r>
    </w:p>
    <w:p>
      <w:pPr>
        <w:spacing w:line="360" w:lineRule="auto"/>
        <w:ind w:firstLine="568"/>
        <w:rPr>
          <w:rFonts w:ascii="Arial Narrow" w:hAnsi="Arial Narrow"/>
          <w:sz w:val="24"/>
        </w:rPr>
      </w:pPr>
      <w:r>
        <w:rPr>
          <w:rFonts w:hint="eastAsia" w:ascii="Arial Narrow" w:hAnsi="Arial Narrow"/>
          <w:sz w:val="24"/>
        </w:rPr>
        <w:t>4、截止价值时点，估价委托人未提供其他相关资料，本次估价以上述资料为依据进行评估测算。若报告出具之日后相关当事方（申请人或被申请人）提供其他房地产估价相关资料，应重新委托评估。</w:t>
      </w:r>
    </w:p>
    <w:p>
      <w:pPr>
        <w:spacing w:line="360" w:lineRule="auto"/>
        <w:ind w:firstLine="567"/>
        <w:rPr>
          <w:rFonts w:ascii="Arial Narrow" w:hAnsi="Arial Narrow"/>
          <w:sz w:val="24"/>
        </w:rPr>
      </w:pPr>
      <w:r>
        <w:rPr>
          <w:rFonts w:hint="eastAsia" w:ascii="Arial Narrow" w:hAnsi="Arial Narrow"/>
          <w:sz w:val="24"/>
        </w:rPr>
        <w:t>5、评估</w:t>
      </w:r>
      <w:r>
        <w:rPr>
          <w:rFonts w:ascii="Arial Narrow" w:hAnsi="Arial Narrow"/>
          <w:sz w:val="24"/>
        </w:rPr>
        <w:t>报告使用限制</w:t>
      </w:r>
    </w:p>
    <w:p>
      <w:pPr>
        <w:spacing w:line="360" w:lineRule="auto"/>
        <w:ind w:firstLine="480" w:firstLineChars="200"/>
        <w:rPr>
          <w:rFonts w:ascii="Arial Narrow" w:hAnsi="Arial Narrow"/>
          <w:sz w:val="24"/>
        </w:rPr>
      </w:pPr>
      <w:r>
        <w:rPr>
          <w:rFonts w:ascii="Arial Narrow" w:hAnsi="Arial Narrow"/>
          <w:sz w:val="24"/>
        </w:rPr>
        <w:t>（1）报告使用期限限制。估价结果为报告载明的价值时点的价值，估价结果的有效期自评估报告出具之日起一年内有效，即</w:t>
      </w:r>
      <w:r>
        <w:rPr>
          <w:rFonts w:hint="eastAsia" w:ascii="Arial Narrow" w:hAnsi="Arial Narrow"/>
          <w:sz w:val="24"/>
        </w:rPr>
        <w:t>：</w:t>
      </w:r>
      <w:r>
        <w:rPr>
          <w:rFonts w:ascii="Arial Narrow" w:hAnsi="Arial Narrow"/>
          <w:sz w:val="24"/>
        </w:rPr>
        <w:t>有效期为</w:t>
      </w:r>
      <w:r>
        <w:rPr>
          <w:rFonts w:hint="eastAsia" w:ascii="Arial Narrow" w:hAnsi="Arial Narrow"/>
          <w:sz w:val="24"/>
        </w:rPr>
        <w:t>2022年6月13日</w:t>
      </w:r>
      <w:r>
        <w:rPr>
          <w:rFonts w:ascii="Arial Narrow" w:hAnsi="Arial Narrow"/>
          <w:sz w:val="24"/>
        </w:rPr>
        <w:t>至</w:t>
      </w:r>
      <w:r>
        <w:rPr>
          <w:rFonts w:hint="eastAsia" w:ascii="Arial Narrow" w:hAnsi="Arial Narrow"/>
          <w:sz w:val="24"/>
        </w:rPr>
        <w:t>2023年6月12日</w:t>
      </w:r>
      <w:r>
        <w:rPr>
          <w:rFonts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（2）价值类型限制。估价结果为房地产市场价值，未考虑快速变现等处分方式带来的影响。</w:t>
      </w:r>
    </w:p>
    <w:p>
      <w:pPr>
        <w:spacing w:line="360" w:lineRule="auto"/>
        <w:ind w:firstLine="480" w:firstLineChars="200"/>
        <w:rPr>
          <w:rFonts w:ascii="Arial Narrow" w:hAnsi="Arial Narrow"/>
          <w:sz w:val="24"/>
        </w:rPr>
      </w:pPr>
      <w:r>
        <w:rPr>
          <w:rFonts w:ascii="Arial Narrow" w:hAnsi="Arial Narrow"/>
          <w:sz w:val="24"/>
        </w:rPr>
        <w:t>（3）报告用途限制。</w:t>
      </w:r>
      <w:r>
        <w:rPr>
          <w:rFonts w:hint="eastAsia" w:ascii="Arial Narrow" w:hAnsi="Arial Narrow"/>
          <w:sz w:val="24"/>
        </w:rPr>
        <w:t>本评估报告仅用于</w:t>
      </w:r>
      <w:r>
        <w:rPr>
          <w:rFonts w:hint="eastAsia" w:ascii="Arial Narrow" w:hAnsi="Arial Narrow" w:cs="宋体"/>
          <w:sz w:val="24"/>
        </w:rPr>
        <w:t>人民法院确定财产处置参考价提供参考依据</w:t>
      </w:r>
      <w:r>
        <w:rPr>
          <w:rFonts w:hint="eastAsia" w:ascii="Arial Narrow" w:hAnsi="Arial Narrow"/>
          <w:sz w:val="24"/>
        </w:rPr>
        <w:t>，其他用途无效。</w:t>
      </w:r>
    </w:p>
    <w:p>
      <w:pPr>
        <w:spacing w:line="360" w:lineRule="auto"/>
        <w:ind w:firstLine="480" w:firstLineChars="200"/>
        <w:rPr>
          <w:rFonts w:ascii="Arial Narrow" w:hAnsi="Arial Narrow"/>
          <w:sz w:val="24"/>
        </w:rPr>
      </w:pPr>
      <w:r>
        <w:rPr>
          <w:rFonts w:ascii="Arial Narrow" w:hAnsi="Arial Narrow"/>
          <w:sz w:val="24"/>
        </w:rPr>
        <w:t>（</w:t>
      </w:r>
      <w:r>
        <w:rPr>
          <w:rFonts w:hint="eastAsia" w:ascii="Arial Narrow" w:hAnsi="Arial Narrow"/>
          <w:sz w:val="24"/>
        </w:rPr>
        <w:t>4</w:t>
      </w:r>
      <w:r>
        <w:rPr>
          <w:rFonts w:ascii="Arial Narrow" w:hAnsi="Arial Narrow"/>
          <w:sz w:val="24"/>
        </w:rPr>
        <w:t>）报告内容</w:t>
      </w:r>
      <w:r>
        <w:rPr>
          <w:rFonts w:hint="eastAsia" w:ascii="Arial Narrow" w:hAnsi="Arial Narrow"/>
          <w:sz w:val="24"/>
        </w:rPr>
        <w:t>引</w:t>
      </w:r>
      <w:r>
        <w:rPr>
          <w:rFonts w:ascii="Arial Narrow" w:hAnsi="Arial Narrow"/>
          <w:sz w:val="24"/>
        </w:rPr>
        <w:t>用限制。除法律、法规规定以及相关当事方另有约定外，未征得本估价机构书面同意，本估价报告的全部或部分及任何参考资料均不允许在任何公开发表的文件、通告或声明中引用，亦不得以其他任何方式公开发表。</w:t>
      </w:r>
    </w:p>
    <w:p>
      <w:pPr>
        <w:spacing w:line="360" w:lineRule="auto"/>
        <w:ind w:firstLine="480" w:firstLineChars="200"/>
        <w:jc w:val="center"/>
        <w:rPr>
          <w:rFonts w:ascii="黑体" w:hAnsi="黑体" w:eastAsia="黑体" w:cs="Arial"/>
          <w:b/>
          <w:spacing w:val="5"/>
          <w:sz w:val="32"/>
          <w:szCs w:val="32"/>
        </w:rPr>
      </w:pPr>
      <w:r>
        <w:rPr>
          <w:rFonts w:ascii="Arial Narrow" w:hAnsi="Arial Narrow"/>
          <w:sz w:val="24"/>
        </w:rPr>
        <w:br w:type="page"/>
      </w:r>
      <w:r>
        <w:rPr>
          <w:rFonts w:hint="eastAsia" w:ascii="黑体" w:hAnsi="黑体" w:eastAsia="黑体" w:cs="Arial"/>
          <w:b/>
          <w:spacing w:val="5"/>
          <w:sz w:val="32"/>
          <w:szCs w:val="32"/>
        </w:rPr>
        <w:t>涉执房地产处置司法评估报告</w:t>
      </w:r>
    </w:p>
    <w:p>
      <w:pPr>
        <w:spacing w:line="360" w:lineRule="auto"/>
        <w:jc w:val="center"/>
        <w:rPr>
          <w:rFonts w:ascii="Arial Narrow" w:hAnsi="Arial Narrow"/>
        </w:rPr>
      </w:pPr>
      <w:r>
        <w:rPr>
          <w:rFonts w:ascii="Arial Narrow" w:hAnsi="Arial Narrow"/>
        </w:rPr>
        <w:t>正业通房司评报</w:t>
      </w:r>
      <w:r>
        <w:rPr>
          <w:rFonts w:hint="eastAsia" w:ascii="Arial Narrow" w:hAnsi="Arial Narrow"/>
        </w:rPr>
        <w:t>(2022)</w:t>
      </w:r>
      <w:r>
        <w:rPr>
          <w:rFonts w:ascii="Arial Narrow" w:hAnsi="Arial Narrow"/>
        </w:rPr>
        <w:t>第</w:t>
      </w:r>
      <w:r>
        <w:rPr>
          <w:rFonts w:hint="eastAsia" w:ascii="Arial Narrow" w:hAnsi="Arial Narrow"/>
        </w:rPr>
        <w:t>63</w:t>
      </w:r>
      <w:r>
        <w:rPr>
          <w:rFonts w:ascii="Arial Narrow" w:hAnsi="Arial Narrow"/>
        </w:rPr>
        <w:t>号</w:t>
      </w:r>
    </w:p>
    <w:p>
      <w:pPr>
        <w:spacing w:line="360" w:lineRule="auto"/>
        <w:jc w:val="center"/>
        <w:rPr>
          <w:rFonts w:ascii="Arial Narrow" w:hAnsi="Arial Narrow"/>
        </w:rPr>
      </w:pPr>
    </w:p>
    <w:p>
      <w:pPr>
        <w:pStyle w:val="2"/>
        <w:keepNext w:val="0"/>
        <w:keepLines w:val="0"/>
        <w:widowControl/>
        <w:numPr>
          <w:ilvl w:val="0"/>
          <w:numId w:val="1"/>
        </w:numPr>
        <w:spacing w:line="360" w:lineRule="auto"/>
        <w:jc w:val="left"/>
        <w:rPr>
          <w:rFonts w:ascii="Arial Narrow" w:hAnsi="Arial Narrow"/>
          <w:sz w:val="24"/>
        </w:rPr>
      </w:pPr>
      <w:bookmarkStart w:id="3" w:name="_Toc535140646"/>
      <w:r>
        <w:rPr>
          <w:rFonts w:ascii="Arial Narrow" w:hAnsi="Arial Narrow"/>
          <w:sz w:val="24"/>
        </w:rPr>
        <w:t>估价委托人</w:t>
      </w:r>
      <w:bookmarkEnd w:id="3"/>
      <w:r>
        <w:rPr>
          <w:rFonts w:ascii="Arial Narrow" w:hAnsi="Arial Narrow"/>
          <w:sz w:val="24"/>
        </w:rPr>
        <w:t>及</w:t>
      </w:r>
      <w:r>
        <w:rPr>
          <w:rFonts w:hint="eastAsia" w:ascii="Arial Narrow" w:hAnsi="Arial Narrow"/>
          <w:sz w:val="24"/>
        </w:rPr>
        <w:t>项目</w:t>
      </w:r>
      <w:r>
        <w:rPr>
          <w:rFonts w:ascii="Arial Narrow" w:hAnsi="Arial Narrow"/>
          <w:sz w:val="24"/>
        </w:rPr>
        <w:t>基本</w:t>
      </w:r>
      <w:r>
        <w:rPr>
          <w:rFonts w:hint="eastAsia" w:ascii="Arial Narrow" w:hAnsi="Arial Narrow"/>
          <w:sz w:val="24"/>
        </w:rPr>
        <w:t>情况</w:t>
      </w:r>
    </w:p>
    <w:p>
      <w:pPr>
        <w:widowControl/>
        <w:spacing w:line="360" w:lineRule="auto"/>
      </w:pPr>
      <w:r>
        <w:rPr>
          <w:rFonts w:hint="eastAsia"/>
        </w:rPr>
        <w:t xml:space="preserve">     （一）</w:t>
      </w:r>
      <w:r>
        <w:rPr>
          <w:rFonts w:ascii="Arial Narrow" w:hAnsi="Arial Narrow"/>
          <w:sz w:val="24"/>
        </w:rPr>
        <w:t>估价委托人</w:t>
      </w:r>
    </w:p>
    <w:p>
      <w:pPr>
        <w:widowControl/>
        <w:spacing w:line="360" w:lineRule="auto"/>
        <w:ind w:firstLine="480" w:firstLineChars="200"/>
        <w:rPr>
          <w:rFonts w:ascii="Arial Narrow" w:hAnsi="Arial Narrow"/>
          <w:sz w:val="24"/>
        </w:rPr>
      </w:pPr>
      <w:r>
        <w:rPr>
          <w:rFonts w:hint="eastAsia" w:ascii="Arial Narrow" w:hAnsi="Arial Narrow"/>
          <w:sz w:val="24"/>
        </w:rPr>
        <w:t>名称：宁夏回族自治区银川市金凤区人民法院</w:t>
      </w:r>
    </w:p>
    <w:p>
      <w:pPr>
        <w:widowControl/>
        <w:spacing w:line="360" w:lineRule="auto"/>
        <w:ind w:firstLine="480" w:firstLineChars="200"/>
        <w:rPr>
          <w:rFonts w:ascii="Arial Narrow" w:hAnsi="Arial Narrow"/>
          <w:sz w:val="24"/>
        </w:rPr>
      </w:pPr>
      <w:r>
        <w:rPr>
          <w:rFonts w:hint="eastAsia" w:ascii="Arial Narrow" w:hAnsi="Arial Narrow"/>
          <w:sz w:val="24"/>
        </w:rPr>
        <w:t>联系人：张修镇</w:t>
      </w:r>
    </w:p>
    <w:p>
      <w:pPr>
        <w:widowControl/>
        <w:spacing w:line="360" w:lineRule="auto"/>
        <w:ind w:firstLine="480" w:firstLineChars="200"/>
        <w:rPr>
          <w:rFonts w:ascii="Arial Narrow" w:hAnsi="Arial Narrow"/>
          <w:sz w:val="24"/>
        </w:rPr>
      </w:pPr>
      <w:r>
        <w:rPr>
          <w:rFonts w:hint="eastAsia" w:ascii="Arial Narrow" w:hAnsi="Arial Narrow"/>
          <w:sz w:val="24"/>
        </w:rPr>
        <w:t>联系电话：0951-4017132</w:t>
      </w:r>
    </w:p>
    <w:p>
      <w:pPr>
        <w:widowControl/>
        <w:numPr>
          <w:ilvl w:val="0"/>
          <w:numId w:val="2"/>
        </w:numPr>
        <w:shd w:val="clear" w:color="auto" w:fill="FFFFFF"/>
        <w:spacing w:line="360" w:lineRule="auto"/>
        <w:jc w:val="left"/>
        <w:rPr>
          <w:rFonts w:ascii="宋体" w:hAnsi="宋体" w:cs="宋体"/>
          <w:kern w:val="0"/>
          <w:sz w:val="24"/>
        </w:rPr>
      </w:pPr>
      <w:r>
        <w:rPr>
          <w:rFonts w:hint="eastAsia" w:ascii="宋体" w:hAnsi="宋体" w:cs="宋体"/>
          <w:kern w:val="0"/>
          <w:sz w:val="24"/>
        </w:rPr>
        <w:t>受理日期</w:t>
      </w:r>
    </w:p>
    <w:p>
      <w:pPr>
        <w:widowControl/>
        <w:spacing w:line="360" w:lineRule="auto"/>
        <w:ind w:firstLine="480" w:firstLineChars="200"/>
        <w:rPr>
          <w:rFonts w:ascii="Arial Narrow" w:hAnsi="Arial Narrow"/>
          <w:sz w:val="24"/>
        </w:rPr>
      </w:pPr>
      <w:r>
        <w:rPr>
          <w:rFonts w:hint="eastAsia" w:ascii="Arial Narrow" w:hAnsi="Arial Narrow"/>
          <w:sz w:val="24"/>
        </w:rPr>
        <w:t>2022年5月13日。</w:t>
      </w:r>
    </w:p>
    <w:p>
      <w:pPr>
        <w:widowControl/>
        <w:numPr>
          <w:ilvl w:val="0"/>
          <w:numId w:val="2"/>
        </w:numPr>
        <w:shd w:val="clear" w:color="auto" w:fill="FFFFFF"/>
        <w:spacing w:line="360" w:lineRule="auto"/>
        <w:jc w:val="left"/>
        <w:rPr>
          <w:rFonts w:ascii="宋体" w:hAnsi="宋体" w:cs="宋体"/>
          <w:kern w:val="0"/>
          <w:sz w:val="24"/>
        </w:rPr>
      </w:pPr>
      <w:bookmarkStart w:id="4" w:name="_Toc4097"/>
      <w:bookmarkStart w:id="5" w:name="_Toc489862756"/>
      <w:r>
        <w:rPr>
          <w:rFonts w:hint="eastAsia" w:ascii="宋体" w:hAnsi="宋体" w:cs="宋体"/>
          <w:kern w:val="0"/>
          <w:sz w:val="24"/>
        </w:rPr>
        <w:t>检案摘要</w:t>
      </w:r>
      <w:bookmarkEnd w:id="4"/>
      <w:bookmarkEnd w:id="5"/>
    </w:p>
    <w:p>
      <w:pPr>
        <w:widowControl/>
        <w:spacing w:line="360" w:lineRule="auto"/>
        <w:ind w:firstLine="568"/>
        <w:rPr>
          <w:rFonts w:ascii="Arial Narrow" w:hAnsi="Arial Narrow"/>
          <w:sz w:val="24"/>
        </w:rPr>
      </w:pPr>
      <w:r>
        <w:rPr>
          <w:rFonts w:hint="eastAsia" w:ascii="Arial Narrow" w:hAnsi="Arial Narrow"/>
          <w:sz w:val="24"/>
        </w:rPr>
        <w:t>宁夏晟鑫诚建设工程有限公司与宁夏浩海桃园民族养老产业有限公司建设工程合同纠纷案。</w:t>
      </w:r>
    </w:p>
    <w:p>
      <w:pPr>
        <w:widowControl/>
        <w:numPr>
          <w:ilvl w:val="0"/>
          <w:numId w:val="2"/>
        </w:numPr>
        <w:shd w:val="clear" w:color="auto" w:fill="FFFFFF"/>
        <w:spacing w:line="360" w:lineRule="auto"/>
        <w:jc w:val="left"/>
        <w:rPr>
          <w:rFonts w:ascii="宋体" w:hAnsi="宋体" w:cs="宋体"/>
          <w:kern w:val="0"/>
          <w:sz w:val="24"/>
        </w:rPr>
      </w:pPr>
      <w:r>
        <w:rPr>
          <w:rFonts w:ascii="Arial Narrow" w:hAnsi="Arial Narrow"/>
          <w:sz w:val="24"/>
        </w:rPr>
        <w:t>估价</w:t>
      </w:r>
      <w:r>
        <w:rPr>
          <w:rFonts w:hint="eastAsia" w:ascii="宋体" w:hAnsi="宋体" w:cs="宋体"/>
          <w:kern w:val="0"/>
          <w:sz w:val="24"/>
        </w:rPr>
        <w:t xml:space="preserve">委托人提供的评估材料 </w:t>
      </w:r>
    </w:p>
    <w:p>
      <w:pPr>
        <w:widowControl/>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hint="eastAsia" w:ascii="Arial Narrow" w:hAnsi="Arial Narrow" w:cs="宋体"/>
          <w:sz w:val="24"/>
        </w:rPr>
        <w:t>1、</w:t>
      </w:r>
      <w:r>
        <w:rPr>
          <w:rFonts w:hint="eastAsia" w:ascii="Arial Narrow" w:hAnsi="Arial Narrow"/>
          <w:sz w:val="24"/>
        </w:rPr>
        <w:t>（2021）宁0106执5700号《宁夏回族自治区银川市金凤区人民法院评估委托书》</w:t>
      </w:r>
      <w:r>
        <w:rPr>
          <w:rFonts w:hint="eastAsia" w:ascii="Arial Narrow" w:hAnsi="Arial Narrow" w:cs="宋体"/>
          <w:sz w:val="24"/>
        </w:rPr>
        <w:t>；</w:t>
      </w:r>
    </w:p>
    <w:p>
      <w:pPr>
        <w:widowControl/>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hint="eastAsia" w:ascii="Arial Narrow" w:hAnsi="Arial Narrow" w:cs="宋体"/>
          <w:sz w:val="24"/>
        </w:rPr>
        <w:t>2、估价对象</w:t>
      </w:r>
      <w:r>
        <w:rPr>
          <w:rFonts w:hint="eastAsia" w:ascii="Arial Narrow" w:hAnsi="Arial Narrow"/>
          <w:sz w:val="24"/>
        </w:rPr>
        <w:t>《银川市不动产登记信息查询单》复印件</w:t>
      </w:r>
      <w:r>
        <w:rPr>
          <w:rFonts w:hint="eastAsia" w:ascii="Arial Narrow" w:hAnsi="Arial Narrow" w:cs="宋体"/>
          <w:sz w:val="24"/>
        </w:rPr>
        <w:t>；</w:t>
      </w:r>
    </w:p>
    <w:p>
      <w:pPr>
        <w:widowControl/>
        <w:shd w:val="clear" w:color="auto" w:fill="FFFFFF"/>
        <w:spacing w:line="360" w:lineRule="auto"/>
        <w:ind w:firstLine="424" w:firstLineChars="177"/>
        <w:jc w:val="left"/>
        <w:rPr>
          <w:rFonts w:ascii="宋体" w:hAnsi="宋体" w:cs="宋体"/>
          <w:kern w:val="0"/>
          <w:sz w:val="24"/>
        </w:rPr>
      </w:pPr>
      <w:r>
        <w:rPr>
          <w:rFonts w:hint="eastAsia" w:ascii="宋体" w:hAnsi="宋体" w:cs="宋体"/>
          <w:kern w:val="0"/>
          <w:sz w:val="24"/>
        </w:rPr>
        <w:t>（五）评估现场</w:t>
      </w:r>
    </w:p>
    <w:p>
      <w:pPr>
        <w:widowControl/>
        <w:shd w:val="clear" w:color="auto" w:fill="FFFFFF"/>
        <w:spacing w:line="360" w:lineRule="auto"/>
        <w:ind w:firstLine="424" w:firstLineChars="177"/>
        <w:jc w:val="left"/>
        <w:rPr>
          <w:rFonts w:ascii="Arial" w:hAnsi="Arial" w:cs="Arial"/>
          <w:sz w:val="24"/>
        </w:rPr>
      </w:pPr>
      <w:r>
        <w:rPr>
          <w:rFonts w:hint="eastAsia" w:ascii="宋体" w:hAnsi="宋体" w:cs="宋体"/>
          <w:sz w:val="24"/>
        </w:rPr>
        <w:t>位于银川市金凤区新海家园22号公寓楼。</w:t>
      </w:r>
    </w:p>
    <w:p>
      <w:pPr>
        <w:widowControl/>
        <w:shd w:val="clear" w:color="auto" w:fill="FFFFFF"/>
        <w:spacing w:line="360" w:lineRule="auto"/>
        <w:ind w:firstLine="424" w:firstLineChars="177"/>
        <w:jc w:val="left"/>
        <w:rPr>
          <w:rFonts w:ascii="宋体" w:hAnsi="宋体" w:cs="宋体"/>
          <w:kern w:val="0"/>
          <w:sz w:val="24"/>
        </w:rPr>
      </w:pPr>
      <w:r>
        <w:rPr>
          <w:rFonts w:hint="eastAsia" w:ascii="宋体" w:hAnsi="宋体" w:cs="宋体"/>
          <w:kern w:val="0"/>
          <w:sz w:val="24"/>
        </w:rPr>
        <w:t>（六）在场人员</w:t>
      </w:r>
    </w:p>
    <w:p>
      <w:pPr>
        <w:widowControl/>
        <w:shd w:val="clear" w:color="auto" w:fill="FFFFFF"/>
        <w:spacing w:line="360" w:lineRule="auto"/>
        <w:ind w:firstLine="424" w:firstLineChars="177"/>
        <w:jc w:val="left"/>
        <w:rPr>
          <w:rFonts w:ascii="宋体" w:hAnsi="宋体" w:cs="宋体"/>
          <w:sz w:val="24"/>
        </w:rPr>
      </w:pPr>
      <w:r>
        <w:rPr>
          <w:rFonts w:hint="eastAsia" w:ascii="宋体" w:hAnsi="宋体" w:cs="宋体"/>
          <w:sz w:val="24"/>
        </w:rPr>
        <w:t>委托人代表：</w:t>
      </w:r>
      <w:r>
        <w:rPr>
          <w:rFonts w:hint="eastAsia" w:ascii="Arial Narrow" w:hAnsi="Arial Narrow"/>
          <w:sz w:val="24"/>
        </w:rPr>
        <w:t>宁夏回族自治区银川市金凤区人民法院 张修镇法官</w:t>
      </w:r>
      <w:r>
        <w:rPr>
          <w:rFonts w:hint="eastAsia" w:ascii="宋体" w:hAnsi="宋体" w:cs="宋体"/>
          <w:sz w:val="24"/>
        </w:rPr>
        <w:t>；</w:t>
      </w:r>
    </w:p>
    <w:p>
      <w:pPr>
        <w:widowControl/>
        <w:shd w:val="clear" w:color="auto" w:fill="FFFFFF"/>
        <w:spacing w:line="360" w:lineRule="auto"/>
        <w:ind w:firstLine="424" w:firstLineChars="177"/>
        <w:jc w:val="left"/>
        <w:rPr>
          <w:rFonts w:ascii="宋体" w:hAnsi="宋体" w:cs="宋体"/>
          <w:sz w:val="24"/>
        </w:rPr>
      </w:pPr>
      <w:r>
        <w:rPr>
          <w:rFonts w:hint="eastAsia" w:ascii="宋体" w:hAnsi="宋体" w:cs="宋体"/>
          <w:sz w:val="24"/>
        </w:rPr>
        <w:t>案件申请方代表：</w:t>
      </w:r>
      <w:r>
        <w:rPr>
          <w:rFonts w:hint="eastAsia" w:ascii="Arial Narrow" w:hAnsi="Arial Narrow"/>
          <w:sz w:val="24"/>
        </w:rPr>
        <w:t>宁夏晟鑫诚建设工程有限公司 赵培惠</w:t>
      </w:r>
      <w:r>
        <w:rPr>
          <w:rFonts w:hint="eastAsia" w:ascii="宋体" w:hAnsi="宋体" w:cs="宋体"/>
          <w:sz w:val="24"/>
        </w:rPr>
        <w:t>；</w:t>
      </w:r>
    </w:p>
    <w:p>
      <w:pPr>
        <w:widowControl/>
        <w:shd w:val="clear" w:color="auto" w:fill="FFFFFF"/>
        <w:spacing w:line="360" w:lineRule="auto"/>
        <w:ind w:firstLine="424" w:firstLineChars="177"/>
        <w:jc w:val="left"/>
        <w:rPr>
          <w:rFonts w:ascii="宋体" w:hAnsi="宋体" w:cs="宋体"/>
          <w:sz w:val="24"/>
        </w:rPr>
      </w:pPr>
      <w:r>
        <w:rPr>
          <w:rFonts w:hint="eastAsia" w:ascii="宋体" w:hAnsi="宋体" w:cs="宋体"/>
          <w:sz w:val="24"/>
        </w:rPr>
        <w:t>案件被申请方代表：宁夏浩海房地产开发集团有限公司  范锋；</w:t>
      </w:r>
    </w:p>
    <w:p>
      <w:pPr>
        <w:widowControl/>
        <w:spacing w:line="360" w:lineRule="auto"/>
        <w:ind w:firstLine="426"/>
        <w:rPr>
          <w:rFonts w:ascii="Arial Narrow" w:hAnsi="Arial Narrow"/>
          <w:sz w:val="24"/>
        </w:rPr>
      </w:pPr>
      <w:r>
        <w:rPr>
          <w:rFonts w:hint="eastAsia" w:ascii="Arial Narrow" w:hAnsi="Arial Narrow"/>
          <w:sz w:val="24"/>
        </w:rPr>
        <w:t>评估机构代表：注册房地产估价师罗尚吉、估价助理杨蕾。</w:t>
      </w:r>
    </w:p>
    <w:p>
      <w:pPr>
        <w:pStyle w:val="3"/>
        <w:keepNext w:val="0"/>
        <w:keepLines w:val="0"/>
        <w:spacing w:before="0" w:after="0" w:line="360" w:lineRule="auto"/>
        <w:ind w:firstLine="566" w:firstLineChars="235"/>
        <w:rPr>
          <w:rFonts w:ascii="Arial Narrow" w:hAnsi="Arial Narrow"/>
        </w:rPr>
      </w:pPr>
      <w:bookmarkStart w:id="6" w:name="_Toc535140647"/>
      <w:r>
        <w:rPr>
          <w:rFonts w:ascii="Arial Narrow" w:hAnsi="Arial Narrow"/>
        </w:rPr>
        <w:t>二、房地产估价机构</w:t>
      </w:r>
      <w:bookmarkEnd w:id="6"/>
    </w:p>
    <w:p>
      <w:pPr>
        <w:spacing w:line="360" w:lineRule="auto"/>
        <w:ind w:firstLine="568"/>
        <w:rPr>
          <w:rFonts w:ascii="Arial Narrow" w:hAnsi="Arial Narrow"/>
          <w:sz w:val="24"/>
        </w:rPr>
      </w:pPr>
      <w:r>
        <w:rPr>
          <w:rFonts w:hint="eastAsia" w:ascii="Arial Narrow" w:hAnsi="Arial Narrow"/>
          <w:sz w:val="24"/>
        </w:rPr>
        <w:t>名称：宁夏正业通房地产土地资产评估有限公司</w:t>
      </w:r>
    </w:p>
    <w:p>
      <w:pPr>
        <w:spacing w:line="360" w:lineRule="auto"/>
        <w:ind w:firstLine="568"/>
        <w:rPr>
          <w:rFonts w:ascii="Arial Narrow" w:hAnsi="Arial Narrow"/>
          <w:sz w:val="24"/>
        </w:rPr>
      </w:pPr>
      <w:r>
        <w:rPr>
          <w:rFonts w:hint="eastAsia" w:ascii="Arial Narrow" w:hAnsi="Arial Narrow"/>
          <w:sz w:val="24"/>
        </w:rPr>
        <w:t>住所：银川市金凤区宁安大街490号银川IBI育成中心九号楼</w:t>
      </w:r>
    </w:p>
    <w:p>
      <w:pPr>
        <w:spacing w:line="360" w:lineRule="auto"/>
        <w:ind w:firstLine="568"/>
        <w:rPr>
          <w:rFonts w:ascii="Arial Narrow" w:hAnsi="Arial Narrow" w:cs="Arial Narrow"/>
          <w:sz w:val="24"/>
        </w:rPr>
      </w:pPr>
      <w:r>
        <w:rPr>
          <w:rFonts w:hint="eastAsia" w:ascii="Arial Narrow" w:hAnsi="Arial Narrow" w:cs="Arial Narrow"/>
          <w:sz w:val="24"/>
        </w:rPr>
        <w:t>法定代表人：刘旖旎</w:t>
      </w:r>
    </w:p>
    <w:p>
      <w:pPr>
        <w:spacing w:line="360" w:lineRule="auto"/>
        <w:ind w:firstLine="568"/>
        <w:rPr>
          <w:rFonts w:ascii="Arial Narrow" w:hAnsi="Arial Narrow" w:cs="Arial Narrow"/>
          <w:sz w:val="24"/>
        </w:rPr>
      </w:pPr>
      <w:r>
        <w:rPr>
          <w:rFonts w:hint="eastAsia" w:ascii="Arial Narrow" w:hAnsi="Arial Narrow" w:cs="Arial Narrow"/>
          <w:sz w:val="24"/>
        </w:rPr>
        <w:t>统一社会信用代码：916411007359529694</w:t>
      </w:r>
    </w:p>
    <w:p>
      <w:pPr>
        <w:spacing w:line="360" w:lineRule="auto"/>
        <w:ind w:firstLine="568"/>
        <w:rPr>
          <w:rFonts w:ascii="Arial Narrow" w:hAnsi="Arial Narrow" w:cs="Arial Narrow"/>
          <w:sz w:val="24"/>
        </w:rPr>
      </w:pPr>
      <w:r>
        <w:rPr>
          <w:rFonts w:hint="eastAsia" w:ascii="Arial Narrow" w:hAnsi="Arial Narrow" w:cs="Arial Narrow"/>
          <w:sz w:val="24"/>
        </w:rPr>
        <w:t>估价备案等级：壹级</w:t>
      </w:r>
    </w:p>
    <w:p>
      <w:pPr>
        <w:spacing w:line="360" w:lineRule="auto"/>
        <w:ind w:firstLine="568"/>
        <w:rPr>
          <w:rFonts w:ascii="Arial Narrow" w:hAnsi="Arial Narrow" w:cs="Arial Narrow"/>
          <w:sz w:val="24"/>
        </w:rPr>
      </w:pPr>
      <w:r>
        <w:rPr>
          <w:rFonts w:hint="eastAsia" w:ascii="Arial Narrow" w:hAnsi="Arial Narrow" w:cs="Arial Narrow"/>
          <w:sz w:val="24"/>
        </w:rPr>
        <w:t>估价备案证书编号：宁建房估证字（2007）第020号</w:t>
      </w:r>
    </w:p>
    <w:p>
      <w:pPr>
        <w:widowControl/>
        <w:spacing w:line="360" w:lineRule="auto"/>
        <w:ind w:firstLine="568"/>
        <w:rPr>
          <w:rFonts w:ascii="Arial Narrow" w:hAnsi="Arial Narrow" w:cs="Arial Narrow"/>
          <w:sz w:val="24"/>
        </w:rPr>
      </w:pPr>
      <w:r>
        <w:rPr>
          <w:rFonts w:hint="eastAsia" w:ascii="Arial Narrow" w:hAnsi="Arial Narrow" w:cs="Arial Narrow"/>
          <w:sz w:val="24"/>
        </w:rPr>
        <w:t>有效期限：2020年8月31日至2023年8月30日</w:t>
      </w:r>
    </w:p>
    <w:p>
      <w:pPr>
        <w:widowControl/>
        <w:spacing w:line="360" w:lineRule="auto"/>
        <w:ind w:firstLine="568"/>
        <w:rPr>
          <w:rFonts w:ascii="Arial Narrow" w:hAnsi="Arial Narrow"/>
          <w:sz w:val="24"/>
        </w:rPr>
      </w:pPr>
      <w:r>
        <w:rPr>
          <w:rFonts w:hint="eastAsia" w:ascii="Arial Narrow" w:hAnsi="Arial Narrow"/>
          <w:sz w:val="24"/>
        </w:rPr>
        <w:t>联系人：罗尚吉</w:t>
      </w:r>
    </w:p>
    <w:p>
      <w:pPr>
        <w:widowControl/>
        <w:spacing w:line="360" w:lineRule="auto"/>
        <w:ind w:firstLine="568"/>
        <w:rPr>
          <w:rFonts w:ascii="Arial Narrow" w:hAnsi="Arial Narrow"/>
          <w:sz w:val="24"/>
          <w:shd w:val="clear" w:color="auto" w:fill="FFFFFF" w:themeFill="background1"/>
        </w:rPr>
      </w:pPr>
      <w:r>
        <w:rPr>
          <w:rFonts w:hint="eastAsia" w:ascii="Arial Narrow" w:hAnsi="Arial Narrow"/>
          <w:sz w:val="24"/>
        </w:rPr>
        <w:t>联系电话：0951—4120892</w:t>
      </w:r>
    </w:p>
    <w:p>
      <w:pPr>
        <w:pStyle w:val="3"/>
        <w:keepNext w:val="0"/>
        <w:keepLines w:val="0"/>
        <w:widowControl/>
        <w:spacing w:before="0" w:after="0" w:line="360" w:lineRule="auto"/>
        <w:ind w:firstLine="566" w:firstLineChars="235"/>
        <w:rPr>
          <w:rFonts w:ascii="Arial Narrow" w:hAnsi="Arial Narrow"/>
        </w:rPr>
      </w:pPr>
      <w:bookmarkStart w:id="7" w:name="_Toc535140648"/>
      <w:r>
        <w:rPr>
          <w:rFonts w:ascii="Arial Narrow" w:hAnsi="Arial Narrow"/>
        </w:rPr>
        <w:t>三、估价目的</w:t>
      </w:r>
      <w:bookmarkEnd w:id="7"/>
    </w:p>
    <w:p>
      <w:pPr>
        <w:widowControl/>
        <w:spacing w:line="360" w:lineRule="auto"/>
        <w:ind w:firstLine="568"/>
        <w:rPr>
          <w:rFonts w:ascii="Arial Narrow" w:hAnsi="Arial Narrow" w:cs="宋体"/>
          <w:sz w:val="24"/>
        </w:rPr>
      </w:pPr>
      <w:r>
        <w:rPr>
          <w:rFonts w:hint="eastAsia" w:ascii="Arial Narrow" w:hAnsi="Arial Narrow" w:cs="宋体"/>
          <w:sz w:val="24"/>
        </w:rPr>
        <w:t>为人民法院确定财产处置参考价提供参考依据。</w:t>
      </w:r>
    </w:p>
    <w:p>
      <w:pPr>
        <w:pStyle w:val="3"/>
        <w:keepNext w:val="0"/>
        <w:keepLines w:val="0"/>
        <w:widowControl/>
        <w:spacing w:before="0" w:after="0" w:line="360" w:lineRule="auto"/>
        <w:ind w:firstLine="566" w:firstLineChars="235"/>
        <w:rPr>
          <w:rFonts w:ascii="Arial Narrow" w:hAnsi="Arial Narrow"/>
        </w:rPr>
      </w:pPr>
      <w:bookmarkStart w:id="8" w:name="_Toc535140649"/>
      <w:r>
        <w:rPr>
          <w:rFonts w:ascii="Arial Narrow" w:hAnsi="Arial Narrow"/>
        </w:rPr>
        <w:t>四、估价对象</w:t>
      </w:r>
      <w:bookmarkEnd w:id="8"/>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根据</w:t>
      </w:r>
      <w:r>
        <w:rPr>
          <w:rFonts w:hint="eastAsia" w:ascii="Arial Narrow" w:hAnsi="Arial Narrow"/>
          <w:sz w:val="24"/>
        </w:rPr>
        <w:t>（2021）宁0106执5700号《宁夏回族自治区银川市金凤区人民法院评估委托书》</w:t>
      </w:r>
      <w:r>
        <w:rPr>
          <w:rFonts w:hint="eastAsia" w:ascii="Arial Narrow" w:hAnsi="Arial Narrow" w:cs="宋体"/>
          <w:kern w:val="2"/>
          <w:sz w:val="24"/>
        </w:rPr>
        <w:t>，本评估报告的估价对象为产权人宁夏浩海房地产开发集团有限公司位于银川市金凤区新海家园22号公寓楼519、613、617、701、711、722、902、914室（共八套）公寓</w:t>
      </w:r>
      <w:r>
        <w:rPr>
          <w:rFonts w:hint="eastAsia" w:ascii="Arial Narrow" w:hAnsi="Arial Narrow"/>
          <w:sz w:val="24"/>
        </w:rPr>
        <w:t>的房地产</w:t>
      </w:r>
      <w:r>
        <w:rPr>
          <w:rFonts w:hint="eastAsia" w:ascii="Arial Narrow" w:hAnsi="Arial Narrow" w:cs="宋体"/>
          <w:kern w:val="2"/>
          <w:sz w:val="24"/>
        </w:rPr>
        <w:t>，估价范围为总建筑面积487.67平方米，总层数为9层，所在层分别为5层、6层、7层、9层钢混结构的住宅房及其分摊的国有建设用地使用权。具体如下：</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1、估价对象区位状况</w:t>
      </w:r>
    </w:p>
    <w:p>
      <w:pPr>
        <w:pStyle w:val="4"/>
        <w:widowControl/>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1）位置状况：估价对象坐落于银川市金凤区新海家园22号公寓楼，新海家园四至为：东临福州北街，南至紫阳小区，西临通达北街，北至上海西路，距离市级商业中心距离（鼓楼）10.2千米，距离区级商业中心（金凤万达）5.7千米。</w:t>
      </w:r>
    </w:p>
    <w:p>
      <w:pPr>
        <w:pStyle w:val="4"/>
        <w:widowControl/>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2）交通状况：估价对象所在区域内交通路网密集，主要分布有上海西路、福州北街、通达北街等交通干道，附近通行11、30、31、46、52、502、515路等公交汽车，距离银川汽车站约14.5千米，距离银川火车站约2.0千米，距离银川河东机场约38.9千米，交通便利、通达度好。</w:t>
      </w:r>
    </w:p>
    <w:p>
      <w:pPr>
        <w:pStyle w:val="4"/>
        <w:widowControl/>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（3）外部公共基础设施：估价对象所在区域内基础设施开发程度为七通即“通路、通电、通讯、供水、排水、通暖、通气”，公共基础设施完善。</w:t>
      </w:r>
    </w:p>
    <w:p>
      <w:pPr>
        <w:pStyle w:val="4"/>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4）外部公共配套设施：估价对象所在区域内有中国邮政储蓄银行、中国农业银行、中国工商银行、中国建设银行、交通银行、宁夏银行；金凤区第二小学、金凤区第三小学、银川市第六中学；银川市第二人民医院、银川冠林医院；金凤区购物广场、新华联购物广场、新城商业广场等，区域内公共配套设施完善。</w:t>
      </w:r>
    </w:p>
    <w:p>
      <w:pPr>
        <w:pStyle w:val="4"/>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（5）居住环境：估价对象位于上海西路南侧，周围住宅较多，附近有紫阳小区、知春园、紫馨苑、明园小区、未来城等，小区人口较密集，区域内居住环境较好。</w:t>
      </w:r>
    </w:p>
    <w:p>
      <w:pPr>
        <w:pStyle w:val="4"/>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（6）周围环境：估价对象所在区域自然环境和人文环境较好，附近有三角公园、毓秀公园等，无明显的空气、水、噪声及土壤等污染。</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t>2、估价对象实物状况</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t>（1）建筑物状况</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1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①</w:t>
      </w:r>
      <w:r>
        <w:rPr>
          <w:rFonts w:hint="eastAsia" w:ascii="Arial Narrow" w:hAnsi="Arial Narrow" w:cs="宋体"/>
          <w:kern w:val="2"/>
          <w:sz w:val="24"/>
        </w:rPr>
        <w:fldChar w:fldCharType="end"/>
      </w:r>
      <w:r>
        <w:rPr>
          <w:rFonts w:hint="eastAsia" w:ascii="Arial Narrow" w:hAnsi="Arial Narrow" w:cs="宋体"/>
          <w:kern w:val="2"/>
          <w:sz w:val="24"/>
        </w:rPr>
        <w:t>基本状况：估价对象坐落于银川市金凤区新海家园22号公寓楼，南北朝向，所在栋楼共9层，估价对象所在层分别为5层、6层、7层、9层，栋楼2009年建成，钢混结构，总建筑面积为487.67平方米，房屋用途为高档公寓。</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2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②</w:t>
      </w:r>
      <w:r>
        <w:rPr>
          <w:rFonts w:hint="eastAsia" w:ascii="Arial Narrow" w:hAnsi="Arial Narrow" w:cs="宋体"/>
          <w:kern w:val="2"/>
          <w:sz w:val="24"/>
        </w:rPr>
        <w:fldChar w:fldCharType="end"/>
      </w:r>
      <w:r>
        <w:rPr>
          <w:rFonts w:hint="eastAsia" w:ascii="Arial Narrow" w:hAnsi="Arial Narrow" w:cs="宋体"/>
          <w:kern w:val="2"/>
          <w:sz w:val="24"/>
        </w:rPr>
        <w:t>装修装饰状况： 估价对象所在栋楼外墙贴面砖，外门为双开塑钢玻璃地弹门；大厅地面铺800mm</w:t>
      </w:r>
      <w:r>
        <w:rPr>
          <w:rFonts w:hint="eastAsia" w:ascii="宋体" w:hAnsi="宋体" w:cs="宋体"/>
          <w:kern w:val="2"/>
          <w:sz w:val="24"/>
        </w:rPr>
        <w:t>×</w:t>
      </w:r>
      <w:r>
        <w:rPr>
          <w:rFonts w:hint="eastAsia" w:ascii="Arial Narrow" w:hAnsi="Arial Narrow" w:cs="宋体"/>
          <w:kern w:val="2"/>
          <w:sz w:val="24"/>
        </w:rPr>
        <w:t>800mm地砖，墙面贴壁纸，石膏板吊顶；走廊地面铺花岗岩，墙面及顶棚刷乳胶漆。室内装修状况如下表：</w:t>
      </w:r>
    </w:p>
    <w:tbl>
      <w:tblPr>
        <w:tblStyle w:val="14"/>
        <w:tblW w:w="703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557"/>
        <w:gridCol w:w="739"/>
        <w:gridCol w:w="840"/>
        <w:gridCol w:w="510"/>
        <w:gridCol w:w="424"/>
        <w:gridCol w:w="660"/>
        <w:gridCol w:w="628"/>
        <w:gridCol w:w="75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41"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序号</w:t>
            </w:r>
          </w:p>
        </w:tc>
        <w:tc>
          <w:tcPr>
            <w:tcW w:w="557"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产权人</w:t>
            </w:r>
          </w:p>
        </w:tc>
        <w:tc>
          <w:tcPr>
            <w:tcW w:w="739"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产权证号</w:t>
            </w:r>
          </w:p>
        </w:tc>
        <w:tc>
          <w:tcPr>
            <w:tcW w:w="840" w:type="dxa"/>
            <w:shd w:val="clear" w:color="auto" w:fill="auto"/>
            <w:vAlign w:val="center"/>
          </w:tcPr>
          <w:p>
            <w:pPr>
              <w:widowControl/>
              <w:ind w:left="261" w:hanging="201" w:hangingChars="200"/>
              <w:jc w:val="both"/>
              <w:rPr>
                <w:rFonts w:hint="eastAsia" w:ascii="宋体" w:hAnsi="宋体" w:eastAsia="宋体" w:cs="宋体"/>
                <w:b/>
                <w:bCs/>
                <w:kern w:val="0"/>
                <w:sz w:val="10"/>
                <w:szCs w:val="10"/>
              </w:rPr>
            </w:pPr>
            <w:r>
              <w:rPr>
                <w:rFonts w:hint="eastAsia" w:ascii="宋体" w:hAnsi="宋体" w:eastAsia="宋体" w:cs="宋体"/>
                <w:b/>
                <w:bCs/>
                <w:kern w:val="0"/>
                <w:sz w:val="10"/>
                <w:szCs w:val="10"/>
              </w:rPr>
              <w:t>估价对象名称</w:t>
            </w:r>
          </w:p>
        </w:tc>
        <w:tc>
          <w:tcPr>
            <w:tcW w:w="510"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建成年代</w:t>
            </w:r>
          </w:p>
        </w:tc>
        <w:tc>
          <w:tcPr>
            <w:tcW w:w="424" w:type="dxa"/>
            <w:shd w:val="clear" w:color="auto" w:fill="auto"/>
            <w:noWrap/>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结构</w:t>
            </w:r>
          </w:p>
        </w:tc>
        <w:tc>
          <w:tcPr>
            <w:tcW w:w="660"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所在层/总层数</w:t>
            </w:r>
          </w:p>
        </w:tc>
        <w:tc>
          <w:tcPr>
            <w:tcW w:w="628"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规划用途</w:t>
            </w:r>
          </w:p>
        </w:tc>
        <w:tc>
          <w:tcPr>
            <w:tcW w:w="754"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建筑面积（㎡）</w:t>
            </w:r>
          </w:p>
        </w:tc>
        <w:tc>
          <w:tcPr>
            <w:tcW w:w="1579" w:type="dxa"/>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装修状况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1</w:t>
            </w:r>
          </w:p>
        </w:tc>
        <w:tc>
          <w:tcPr>
            <w:tcW w:w="557" w:type="dxa"/>
            <w:vMerge w:val="restart"/>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宁夏浩海房地产开发集团有限公司</w:t>
            </w: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2012004451</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银川市金凤区新海家园22号公寓楼519室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5//9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47.71</w:t>
            </w:r>
          </w:p>
        </w:tc>
        <w:tc>
          <w:tcPr>
            <w:tcW w:w="1579" w:type="dxa"/>
            <w:shd w:val="clear" w:color="auto" w:fill="auto"/>
            <w:vAlign w:val="bottom"/>
          </w:tcPr>
          <w:p>
            <w:pPr>
              <w:widowControl/>
              <w:jc w:val="left"/>
              <w:rPr>
                <w:rFonts w:hint="eastAsia" w:ascii="宋体" w:hAnsi="宋体" w:eastAsia="宋体" w:cs="宋体"/>
                <w:kern w:val="0"/>
                <w:sz w:val="10"/>
                <w:szCs w:val="10"/>
              </w:rPr>
            </w:pPr>
            <w:r>
              <w:rPr>
                <w:rFonts w:hint="eastAsia" w:ascii="宋体" w:hAnsi="宋体" w:eastAsia="宋体" w:cs="宋体"/>
                <w:kern w:val="0"/>
                <w:sz w:val="10"/>
                <w:szCs w:val="10"/>
              </w:rPr>
              <w:t>估价对象入户门为防盗门，室内地面铺木地板，墙面刷乳胶漆，顶棚刷乳胶漆，铺阳角石膏线；厨房地面铺800mm×800mm地砖，墙面贴330mm×450mm面砖，集成吊顶，塑钢窗，成品木门；卫生间地面铺300mm×300mm地砖，墙面贴330mm×450mm面砖，PVC吊顶，成品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2012004449</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银川市金凤区新海家园22号公寓楼613室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6//9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52.41</w:t>
            </w:r>
          </w:p>
        </w:tc>
        <w:tc>
          <w:tcPr>
            <w:tcW w:w="1579" w:type="dxa"/>
            <w:shd w:val="clear" w:color="auto" w:fill="auto"/>
            <w:vAlign w:val="center"/>
          </w:tcPr>
          <w:p>
            <w:pPr>
              <w:widowControl/>
              <w:rPr>
                <w:rFonts w:hint="eastAsia" w:ascii="宋体" w:hAnsi="宋体" w:eastAsia="宋体" w:cs="宋体"/>
                <w:kern w:val="0"/>
                <w:sz w:val="10"/>
                <w:szCs w:val="10"/>
              </w:rPr>
            </w:pPr>
            <w:r>
              <w:rPr>
                <w:rFonts w:hint="eastAsia" w:ascii="宋体" w:hAnsi="宋体" w:eastAsia="宋体" w:cs="宋体"/>
                <w:kern w:val="0"/>
                <w:sz w:val="10"/>
                <w:szCs w:val="10"/>
              </w:rPr>
              <w:t>现场勘查时未进入，装修状况参照其他五套。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3</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2012004447</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银川市金凤区新海家园22号公寓楼617室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6//9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46.77</w:t>
            </w:r>
          </w:p>
        </w:tc>
        <w:tc>
          <w:tcPr>
            <w:tcW w:w="1579" w:type="dxa"/>
            <w:shd w:val="clear" w:color="auto" w:fill="auto"/>
            <w:vAlign w:val="bottom"/>
          </w:tcPr>
          <w:p>
            <w:pPr>
              <w:widowControl/>
              <w:jc w:val="left"/>
              <w:rPr>
                <w:rFonts w:hint="eastAsia" w:ascii="宋体" w:hAnsi="宋体" w:eastAsia="宋体" w:cs="宋体"/>
                <w:kern w:val="0"/>
                <w:sz w:val="10"/>
                <w:szCs w:val="10"/>
              </w:rPr>
            </w:pPr>
            <w:r>
              <w:rPr>
                <w:rFonts w:hint="eastAsia" w:ascii="宋体" w:hAnsi="宋体" w:eastAsia="宋体" w:cs="宋体"/>
                <w:kern w:val="0"/>
                <w:sz w:val="10"/>
                <w:szCs w:val="10"/>
              </w:rPr>
              <w:t>估价对象入户门为防盗门，室内地面铺木地板，墙面刷乳胶漆，顶棚刷乳胶漆，铺阳角石膏线；厨房地面铺800mm×800mm地砖，墙面贴330mm×450mm面砖，PVC吊顶，塑钢窗，成品木门；卫生间地面铺300mm×300mm地砖，墙面贴330mm×450mm面砖，PVC吊顶，成品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4</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2012004435</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银川市金凤区新海家园22号公寓楼701室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7//9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70.25</w:t>
            </w:r>
          </w:p>
        </w:tc>
        <w:tc>
          <w:tcPr>
            <w:tcW w:w="1579" w:type="dxa"/>
            <w:shd w:val="clear" w:color="auto" w:fill="auto"/>
            <w:vAlign w:val="center"/>
          </w:tcPr>
          <w:p>
            <w:pPr>
              <w:widowControl/>
              <w:rPr>
                <w:rFonts w:hint="eastAsia" w:ascii="宋体" w:hAnsi="宋体" w:eastAsia="宋体" w:cs="宋体"/>
                <w:kern w:val="0"/>
                <w:sz w:val="10"/>
                <w:szCs w:val="10"/>
              </w:rPr>
            </w:pPr>
            <w:r>
              <w:rPr>
                <w:rFonts w:hint="eastAsia" w:ascii="宋体" w:hAnsi="宋体" w:eastAsia="宋体" w:cs="宋体"/>
                <w:kern w:val="0"/>
                <w:sz w:val="10"/>
                <w:szCs w:val="10"/>
              </w:rPr>
              <w:t>现场勘查时未进入，装修状况参照其他五套。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5</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2012004445</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银川市金凤区新海家园22号公寓楼711室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7//9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65.09</w:t>
            </w:r>
          </w:p>
        </w:tc>
        <w:tc>
          <w:tcPr>
            <w:tcW w:w="1579" w:type="dxa"/>
            <w:shd w:val="clear" w:color="auto" w:fill="auto"/>
            <w:vAlign w:val="bottom"/>
          </w:tcPr>
          <w:p>
            <w:pPr>
              <w:widowControl/>
              <w:jc w:val="left"/>
              <w:rPr>
                <w:rFonts w:hint="eastAsia" w:ascii="宋体" w:hAnsi="宋体" w:eastAsia="宋体" w:cs="宋体"/>
                <w:kern w:val="0"/>
                <w:sz w:val="10"/>
                <w:szCs w:val="10"/>
              </w:rPr>
            </w:pPr>
            <w:r>
              <w:rPr>
                <w:rFonts w:hint="eastAsia" w:ascii="宋体" w:hAnsi="宋体" w:eastAsia="宋体" w:cs="宋体"/>
                <w:kern w:val="0"/>
                <w:sz w:val="10"/>
                <w:szCs w:val="10"/>
              </w:rPr>
              <w:t>估价对象入户门为防盗门，室内地面铺木地板，墙面刷乳胶漆，石膏板吊顶，塑钢窗，成品木门；厨房地面铺800mm×800mm地砖，墙面贴330mm×450mm面砖，PVC吊顶，塑钢窗，成品木门；卫生间地面铺300mm×300mm地砖，墙面贴330mm×450mm面砖，PVC吊顶，成品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6</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2012004442</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银川市金凤区新海家园22号公寓楼722室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7//9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71.93</w:t>
            </w:r>
          </w:p>
        </w:tc>
        <w:tc>
          <w:tcPr>
            <w:tcW w:w="1579" w:type="dxa"/>
            <w:shd w:val="clear" w:color="auto" w:fill="auto"/>
            <w:vAlign w:val="bottom"/>
          </w:tcPr>
          <w:p>
            <w:pPr>
              <w:widowControl/>
              <w:jc w:val="left"/>
              <w:rPr>
                <w:rFonts w:hint="eastAsia" w:ascii="宋体" w:hAnsi="宋体" w:eastAsia="宋体" w:cs="宋体"/>
                <w:kern w:val="0"/>
                <w:sz w:val="10"/>
                <w:szCs w:val="10"/>
              </w:rPr>
            </w:pPr>
            <w:r>
              <w:rPr>
                <w:rFonts w:hint="eastAsia" w:ascii="宋体" w:hAnsi="宋体" w:eastAsia="宋体" w:cs="宋体"/>
                <w:kern w:val="0"/>
                <w:sz w:val="10"/>
                <w:szCs w:val="10"/>
              </w:rPr>
              <w:t>估价对象入户门为防盗门，室内地面铺木地板，墙面刷乳胶漆，石膏板吊顶，塑钢窗，成品木门；厨房地面铺800mm×800mm地砖，墙面贴330mm×450mm面砖，PVC吊顶，塑钢窗，成品木门；卫生间地面铺300mm×300mm地砖，墙面贴330mm×450mm面砖，PVC吊顶，成品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7</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201200440</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银川市金凤区新海家园22号公寓楼902室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9//9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68.42</w:t>
            </w:r>
          </w:p>
        </w:tc>
        <w:tc>
          <w:tcPr>
            <w:tcW w:w="1579" w:type="dxa"/>
            <w:shd w:val="clear" w:color="auto" w:fill="auto"/>
            <w:vAlign w:val="bottom"/>
          </w:tcPr>
          <w:p>
            <w:pPr>
              <w:widowControl/>
              <w:jc w:val="left"/>
              <w:rPr>
                <w:rFonts w:hint="eastAsia" w:ascii="宋体" w:hAnsi="宋体" w:eastAsia="宋体" w:cs="宋体"/>
                <w:kern w:val="0"/>
                <w:sz w:val="10"/>
                <w:szCs w:val="10"/>
              </w:rPr>
            </w:pPr>
            <w:r>
              <w:rPr>
                <w:rFonts w:hint="eastAsia" w:ascii="宋体" w:hAnsi="宋体" w:eastAsia="宋体" w:cs="宋体"/>
                <w:kern w:val="0"/>
                <w:sz w:val="10"/>
                <w:szCs w:val="10"/>
              </w:rPr>
              <w:t>估价对象入户门为防盗门，室内地面铺地板革，墙面刷乳胶漆，石膏板吊顶，塑钢窗，成品木门；厨房地面铺800mm×800mm地砖，墙面贴330mm×450mm面砖，PVC吊顶，塑钢窗，成品木门；卫生间地面铺300mm×300mm地砖，墙面贴330mm×450mm面砖，PVC吊顶，成品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41"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8</w:t>
            </w:r>
          </w:p>
        </w:tc>
        <w:tc>
          <w:tcPr>
            <w:tcW w:w="557" w:type="dxa"/>
            <w:vMerge w:val="continue"/>
            <w:vAlign w:val="center"/>
          </w:tcPr>
          <w:p>
            <w:pPr>
              <w:widowControl/>
              <w:jc w:val="left"/>
              <w:rPr>
                <w:rFonts w:hint="eastAsia" w:ascii="宋体" w:hAnsi="宋体" w:eastAsia="宋体" w:cs="宋体"/>
                <w:kern w:val="0"/>
                <w:sz w:val="10"/>
                <w:szCs w:val="10"/>
              </w:rPr>
            </w:pPr>
          </w:p>
        </w:tc>
        <w:tc>
          <w:tcPr>
            <w:tcW w:w="739" w:type="dxa"/>
            <w:shd w:val="clear" w:color="000000" w:fill="FFFFFF"/>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2012004438</w:t>
            </w:r>
          </w:p>
        </w:tc>
        <w:tc>
          <w:tcPr>
            <w:tcW w:w="84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银川市金凤区新海家园22号公寓楼914室</w:t>
            </w:r>
          </w:p>
        </w:tc>
        <w:tc>
          <w:tcPr>
            <w:tcW w:w="510"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2009年</w:t>
            </w:r>
          </w:p>
        </w:tc>
        <w:tc>
          <w:tcPr>
            <w:tcW w:w="424" w:type="dxa"/>
            <w:shd w:val="clear" w:color="auto" w:fill="auto"/>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钢混</w:t>
            </w:r>
          </w:p>
        </w:tc>
        <w:tc>
          <w:tcPr>
            <w:tcW w:w="660"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9//9</w:t>
            </w:r>
          </w:p>
        </w:tc>
        <w:tc>
          <w:tcPr>
            <w:tcW w:w="628" w:type="dxa"/>
            <w:shd w:val="clear" w:color="auto" w:fill="auto"/>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公寓</w:t>
            </w:r>
          </w:p>
        </w:tc>
        <w:tc>
          <w:tcPr>
            <w:tcW w:w="754" w:type="dxa"/>
            <w:shd w:val="clear" w:color="000000" w:fill="FFFFFF"/>
            <w:noWrap/>
            <w:vAlign w:val="center"/>
          </w:tcPr>
          <w:p>
            <w:pPr>
              <w:widowControl/>
              <w:jc w:val="center"/>
              <w:rPr>
                <w:rFonts w:hint="eastAsia" w:ascii="宋体" w:hAnsi="宋体" w:eastAsia="宋体" w:cs="宋体"/>
                <w:kern w:val="0"/>
                <w:sz w:val="10"/>
                <w:szCs w:val="10"/>
              </w:rPr>
            </w:pPr>
            <w:r>
              <w:rPr>
                <w:rFonts w:hint="eastAsia" w:ascii="宋体" w:hAnsi="宋体" w:eastAsia="宋体" w:cs="宋体"/>
                <w:kern w:val="0"/>
                <w:sz w:val="10"/>
                <w:szCs w:val="10"/>
              </w:rPr>
              <w:t>65.09</w:t>
            </w:r>
          </w:p>
        </w:tc>
        <w:tc>
          <w:tcPr>
            <w:tcW w:w="1579" w:type="dxa"/>
            <w:shd w:val="clear" w:color="auto" w:fill="auto"/>
            <w:vAlign w:val="center"/>
          </w:tcPr>
          <w:p>
            <w:pPr>
              <w:widowControl/>
              <w:rPr>
                <w:rFonts w:hint="eastAsia" w:ascii="宋体" w:hAnsi="宋体" w:eastAsia="宋体" w:cs="宋体"/>
                <w:kern w:val="0"/>
                <w:sz w:val="10"/>
                <w:szCs w:val="10"/>
              </w:rPr>
            </w:pPr>
            <w:r>
              <w:rPr>
                <w:rFonts w:hint="eastAsia" w:ascii="宋体" w:hAnsi="宋体" w:eastAsia="宋体" w:cs="宋体"/>
                <w:kern w:val="0"/>
                <w:sz w:val="10"/>
                <w:szCs w:val="10"/>
              </w:rPr>
              <w:t>现场勘查时未进入，装修状况参照其他五套。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699" w:type="dxa"/>
            <w:gridSpan w:val="8"/>
            <w:shd w:val="clear" w:color="auto" w:fill="auto"/>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合计</w:t>
            </w:r>
          </w:p>
        </w:tc>
        <w:tc>
          <w:tcPr>
            <w:tcW w:w="754" w:type="dxa"/>
            <w:shd w:val="clear" w:color="auto" w:fill="auto"/>
            <w:noWrap/>
            <w:vAlign w:val="center"/>
          </w:tcPr>
          <w:p>
            <w:pPr>
              <w:widowControl/>
              <w:jc w:val="center"/>
              <w:rPr>
                <w:rFonts w:hint="eastAsia" w:ascii="宋体" w:hAnsi="宋体" w:eastAsia="宋体" w:cs="宋体"/>
                <w:b/>
                <w:bCs/>
                <w:kern w:val="0"/>
                <w:sz w:val="10"/>
                <w:szCs w:val="10"/>
              </w:rPr>
            </w:pPr>
            <w:r>
              <w:rPr>
                <w:rFonts w:hint="eastAsia" w:ascii="宋体" w:hAnsi="宋体" w:eastAsia="宋体" w:cs="宋体"/>
                <w:b/>
                <w:bCs/>
                <w:kern w:val="0"/>
                <w:sz w:val="10"/>
                <w:szCs w:val="10"/>
              </w:rPr>
              <w:t>487.67</w:t>
            </w:r>
          </w:p>
        </w:tc>
        <w:tc>
          <w:tcPr>
            <w:tcW w:w="1579" w:type="dxa"/>
            <w:shd w:val="clear" w:color="auto" w:fill="auto"/>
            <w:noWrap/>
            <w:vAlign w:val="bottom"/>
          </w:tcPr>
          <w:p>
            <w:pPr>
              <w:widowControl/>
              <w:jc w:val="left"/>
              <w:rPr>
                <w:rFonts w:hint="eastAsia" w:ascii="宋体" w:hAnsi="宋体" w:eastAsia="宋体" w:cs="宋体"/>
                <w:kern w:val="0"/>
                <w:sz w:val="10"/>
                <w:szCs w:val="10"/>
              </w:rPr>
            </w:pPr>
            <w:r>
              <w:rPr>
                <w:rFonts w:hint="eastAsia" w:ascii="宋体" w:hAnsi="宋体" w:eastAsia="宋体" w:cs="宋体"/>
                <w:kern w:val="0"/>
                <w:sz w:val="10"/>
                <w:szCs w:val="10"/>
              </w:rPr>
              <w:t>　</w:t>
            </w:r>
          </w:p>
        </w:tc>
      </w:tr>
    </w:tbl>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3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③</w:t>
      </w:r>
      <w:r>
        <w:rPr>
          <w:rFonts w:hint="eastAsia" w:ascii="Arial Narrow" w:hAnsi="Arial Narrow" w:cs="宋体"/>
          <w:kern w:val="2"/>
          <w:sz w:val="24"/>
        </w:rPr>
        <w:fldChar w:fldCharType="end"/>
      </w:r>
      <w:r>
        <w:rPr>
          <w:rFonts w:hint="eastAsia" w:ascii="Arial Narrow" w:hAnsi="Arial Narrow" w:cs="宋体"/>
          <w:kern w:val="2"/>
          <w:sz w:val="24"/>
        </w:rPr>
        <w:t>设施设备状况：估价对象所在栋楼水、暖、电等设施完备齐全，单元设有电梯2部、步梯2部（花岗岩踏步，不锈钢扶手）。</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经估价人员实地查勘，估价对象结构稳定，主体无明显沉降现象，室内设施设备无破损现象。维护及使用状况良好，能够满足使用要求。</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（2）土地使用权状况</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t>估价人员实地查勘实际用途为住宅用地，根据银川市土地级别划分属于住宅</w:t>
      </w:r>
      <w:r>
        <w:rPr>
          <w:rFonts w:hint="eastAsia" w:ascii="宋体" w:hAnsi="宋体" w:cs="宋体"/>
          <w:kern w:val="2"/>
          <w:sz w:val="24"/>
        </w:rPr>
        <w:t>Ⅳ</w:t>
      </w:r>
      <w:r>
        <w:rPr>
          <w:rFonts w:hint="eastAsia" w:ascii="Arial Narrow" w:hAnsi="Arial Narrow" w:cs="宋体"/>
          <w:kern w:val="2"/>
          <w:sz w:val="24"/>
        </w:rPr>
        <w:t>级区域，土地形状为矩形，土地现状开发程度为宗地外七通即“通路、通电、供水、排水、通暖、通气、通讯”，宗地内“土地平整”。</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（3）利用状况</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估价对象现部分出租，部分空置。</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3、估价对象权益状况</w:t>
      </w:r>
    </w:p>
    <w:p>
      <w:pPr>
        <w:pStyle w:val="4"/>
        <w:widowControl/>
        <w:spacing w:line="360" w:lineRule="auto"/>
        <w:ind w:firstLine="480" w:firstLineChars="200"/>
        <w:rPr>
          <w:rFonts w:ascii="Arial Narrow" w:hAnsi="Arial Narrow" w:cs="宋体"/>
          <w:kern w:val="2"/>
          <w:sz w:val="24"/>
        </w:rPr>
      </w:pPr>
      <w:bookmarkStart w:id="9" w:name="_Toc535140650"/>
      <w:bookmarkStart w:id="10" w:name="_Toc444619165"/>
      <w:r>
        <w:rPr>
          <w:rFonts w:hint="eastAsia" w:ascii="Arial Narrow" w:hAnsi="Arial Narrow" w:cs="宋体"/>
          <w:kern w:val="2"/>
          <w:sz w:val="24"/>
        </w:rPr>
        <w:t>（1）房屋权益状况</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估价委托人未提供估价对象《房屋所有权证》《国有土地使用证》，根据估价委托人提供估价对象的《银川市不动产登记信息查询单》复印件，记载的具体状况如下表：</w:t>
      </w:r>
    </w:p>
    <w:tbl>
      <w:tblPr>
        <w:tblStyle w:val="14"/>
        <w:tblW w:w="893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59"/>
        <w:gridCol w:w="709"/>
        <w:gridCol w:w="1985"/>
        <w:gridCol w:w="992"/>
        <w:gridCol w:w="709"/>
        <w:gridCol w:w="992"/>
        <w:gridCol w:w="992"/>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80"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65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产权人</w:t>
            </w:r>
          </w:p>
        </w:tc>
        <w:tc>
          <w:tcPr>
            <w:tcW w:w="70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产权证号</w:t>
            </w:r>
          </w:p>
        </w:tc>
        <w:tc>
          <w:tcPr>
            <w:tcW w:w="1985"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房屋坐落</w:t>
            </w:r>
          </w:p>
        </w:tc>
        <w:tc>
          <w:tcPr>
            <w:tcW w:w="992" w:type="dxa"/>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建成年代</w:t>
            </w:r>
          </w:p>
        </w:tc>
        <w:tc>
          <w:tcPr>
            <w:tcW w:w="709" w:type="dxa"/>
            <w:shd w:val="clear" w:color="auto" w:fill="auto"/>
            <w:noWrap/>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结构</w:t>
            </w:r>
          </w:p>
        </w:tc>
        <w:tc>
          <w:tcPr>
            <w:tcW w:w="992" w:type="dxa"/>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所在层</w:t>
            </w:r>
            <w:r>
              <w:rPr>
                <w:rFonts w:ascii="Arial Narrow" w:hAnsi="Arial Narrow" w:cs="宋体"/>
                <w:b/>
                <w:bCs/>
                <w:kern w:val="0"/>
                <w:sz w:val="18"/>
                <w:szCs w:val="18"/>
              </w:rPr>
              <w:t>//</w:t>
            </w:r>
            <w:r>
              <w:rPr>
                <w:rFonts w:hint="eastAsia" w:ascii="宋体" w:hAnsi="宋体" w:cs="宋体"/>
                <w:b/>
                <w:bCs/>
                <w:kern w:val="0"/>
                <w:sz w:val="18"/>
                <w:szCs w:val="18"/>
              </w:rPr>
              <w:t>总层数</w:t>
            </w:r>
          </w:p>
        </w:tc>
        <w:tc>
          <w:tcPr>
            <w:tcW w:w="992" w:type="dxa"/>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建筑面积（㎡）</w:t>
            </w:r>
          </w:p>
        </w:tc>
        <w:tc>
          <w:tcPr>
            <w:tcW w:w="70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房屋用途</w:t>
            </w:r>
          </w:p>
        </w:tc>
        <w:tc>
          <w:tcPr>
            <w:tcW w:w="70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共有情况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1</w:t>
            </w:r>
          </w:p>
        </w:tc>
        <w:tc>
          <w:tcPr>
            <w:tcW w:w="659" w:type="dxa"/>
            <w:vMerge w:val="restart"/>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2012004451</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银川市金凤区新海家园22号公寓楼519室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5//9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47.71</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2012004449</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银川市金凤区新海家园22号公寓楼613室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6//9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52.41</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2012004447</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银川市金凤区新海家园22号公寓楼617室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6//9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46.77</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2012004435</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银川市金凤区新海家园22号公寓楼701室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7//9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70.25</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2012004445</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银川市金凤区新海家园22号公寓楼711室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7//9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65.09</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2012004442</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银川市金凤区新海家园22号公寓楼722室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7//9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71.93</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201200440</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银川市金凤区新海家园22号公寓楼902室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9//9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68.42</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8</w:t>
            </w:r>
          </w:p>
        </w:tc>
        <w:tc>
          <w:tcPr>
            <w:tcW w:w="659" w:type="dxa"/>
            <w:vMerge w:val="continue"/>
            <w:vAlign w:val="center"/>
          </w:tcPr>
          <w:p>
            <w:pPr>
              <w:widowControl/>
              <w:jc w:val="left"/>
              <w:rPr>
                <w:rFonts w:ascii="宋体" w:hAnsi="宋体" w:cs="宋体"/>
                <w:kern w:val="0"/>
                <w:sz w:val="18"/>
                <w:szCs w:val="18"/>
              </w:rPr>
            </w:pPr>
          </w:p>
        </w:tc>
        <w:tc>
          <w:tcPr>
            <w:tcW w:w="70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2012004438</w:t>
            </w:r>
          </w:p>
        </w:tc>
        <w:tc>
          <w:tcPr>
            <w:tcW w:w="198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银川市金凤区新海家园22号公寓楼914室</w:t>
            </w:r>
          </w:p>
        </w:tc>
        <w:tc>
          <w:tcPr>
            <w:tcW w:w="992"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709" w:type="dxa"/>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992" w:type="dxa"/>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9//9</w:t>
            </w:r>
          </w:p>
        </w:tc>
        <w:tc>
          <w:tcPr>
            <w:tcW w:w="992" w:type="dxa"/>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65.09</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高档公寓</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6526" w:type="dxa"/>
            <w:gridSpan w:val="7"/>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合计</w:t>
            </w:r>
          </w:p>
        </w:tc>
        <w:tc>
          <w:tcPr>
            <w:tcW w:w="992" w:type="dxa"/>
            <w:shd w:val="clear" w:color="auto" w:fill="auto"/>
            <w:noWrap/>
            <w:vAlign w:val="center"/>
          </w:tcPr>
          <w:p>
            <w:pPr>
              <w:widowControl/>
              <w:jc w:val="center"/>
              <w:rPr>
                <w:rFonts w:ascii="Arial Narrow" w:hAnsi="Arial Narrow" w:cs="宋体"/>
                <w:b/>
                <w:bCs/>
                <w:kern w:val="0"/>
                <w:sz w:val="18"/>
                <w:szCs w:val="18"/>
              </w:rPr>
            </w:pPr>
            <w:r>
              <w:rPr>
                <w:rFonts w:ascii="Arial Narrow" w:hAnsi="Arial Narrow" w:cs="宋体"/>
                <w:b/>
                <w:bCs/>
                <w:kern w:val="0"/>
                <w:sz w:val="18"/>
                <w:szCs w:val="18"/>
              </w:rPr>
              <w:t>487.67</w:t>
            </w:r>
          </w:p>
        </w:tc>
        <w:tc>
          <w:tcPr>
            <w:tcW w:w="1418" w:type="dxa"/>
            <w:gridSpan w:val="2"/>
            <w:shd w:val="clear" w:color="auto" w:fill="auto"/>
            <w:noWrap/>
            <w:vAlign w:val="center"/>
          </w:tcPr>
          <w:p>
            <w:pPr>
              <w:widowControl/>
              <w:jc w:val="center"/>
              <w:rPr>
                <w:rFonts w:ascii="宋体" w:hAnsi="宋体" w:cs="宋体"/>
                <w:kern w:val="0"/>
                <w:sz w:val="24"/>
              </w:rPr>
            </w:pPr>
          </w:p>
        </w:tc>
      </w:tr>
    </w:tbl>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（2）土地使用权权益状况</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估价委托人未提供估价对象《房屋所有权证》《国有土地使用证》，根据估价委托人提供估价对象的《银川市不动产登记信息查询单》复印件，记载的具体状况如下表：</w:t>
      </w:r>
      <w:r>
        <w:rPr>
          <w:rFonts w:ascii="Arial Narrow" w:hAnsi="Arial Narrow" w:cs="宋体"/>
          <w:kern w:val="2"/>
          <w:sz w:val="24"/>
        </w:rPr>
        <w:t xml:space="preserve"> </w:t>
      </w:r>
    </w:p>
    <w:tbl>
      <w:tblPr>
        <w:tblStyle w:val="14"/>
        <w:tblW w:w="893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1022"/>
        <w:gridCol w:w="1116"/>
        <w:gridCol w:w="2065"/>
        <w:gridCol w:w="1134"/>
        <w:gridCol w:w="1134"/>
        <w:gridCol w:w="959"/>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022"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产权人</w:t>
            </w:r>
          </w:p>
        </w:tc>
        <w:tc>
          <w:tcPr>
            <w:tcW w:w="111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产权证号</w:t>
            </w:r>
          </w:p>
        </w:tc>
        <w:tc>
          <w:tcPr>
            <w:tcW w:w="2065"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房屋坐落</w:t>
            </w:r>
          </w:p>
        </w:tc>
        <w:tc>
          <w:tcPr>
            <w:tcW w:w="113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分摊面积（㎡）</w:t>
            </w:r>
          </w:p>
        </w:tc>
        <w:tc>
          <w:tcPr>
            <w:tcW w:w="113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地类用途</w:t>
            </w:r>
          </w:p>
        </w:tc>
        <w:tc>
          <w:tcPr>
            <w:tcW w:w="95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土地性质</w:t>
            </w:r>
          </w:p>
        </w:tc>
        <w:tc>
          <w:tcPr>
            <w:tcW w:w="102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1</w:t>
            </w:r>
          </w:p>
        </w:tc>
        <w:tc>
          <w:tcPr>
            <w:tcW w:w="1022" w:type="dxa"/>
            <w:vMerge w:val="restart"/>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2012004451</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银川市金凤区新海家园22号公寓楼519室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1134"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城镇住宅用地</w:t>
            </w:r>
          </w:p>
        </w:tc>
        <w:tc>
          <w:tcPr>
            <w:tcW w:w="959"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出让</w:t>
            </w:r>
          </w:p>
        </w:tc>
        <w:tc>
          <w:tcPr>
            <w:tcW w:w="1026"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2054-4-15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2012004449</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银川市金凤区新海家园22号公寓楼613室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5.82</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2012004447</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银川市金凤区新海家园22号公寓楼617室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5.19</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2012004435</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银川市金凤区新海家园22号公寓楼701室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7.81</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2012004445</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银川市金凤区新海家园22号公寓楼711室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7.23</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2012004442</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银川市金凤区新海家园22号公寓楼722室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7.99</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201200440</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银川市金凤区新海家园22号公寓楼902室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7.6</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480" w:type="dxa"/>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8</w:t>
            </w:r>
          </w:p>
        </w:tc>
        <w:tc>
          <w:tcPr>
            <w:tcW w:w="1022" w:type="dxa"/>
            <w:vMerge w:val="continue"/>
            <w:vAlign w:val="center"/>
          </w:tcPr>
          <w:p>
            <w:pPr>
              <w:widowControl/>
              <w:jc w:val="left"/>
              <w:rPr>
                <w:rFonts w:ascii="宋体" w:hAnsi="宋体" w:cs="宋体"/>
                <w:kern w:val="0"/>
                <w:sz w:val="18"/>
                <w:szCs w:val="18"/>
              </w:rPr>
            </w:pPr>
          </w:p>
        </w:tc>
        <w:tc>
          <w:tcPr>
            <w:tcW w:w="111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2012004438</w:t>
            </w:r>
          </w:p>
        </w:tc>
        <w:tc>
          <w:tcPr>
            <w:tcW w:w="206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银川市金凤区新海家园22号公寓楼914室</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7.23</w:t>
            </w:r>
          </w:p>
        </w:tc>
        <w:tc>
          <w:tcPr>
            <w:tcW w:w="1134" w:type="dxa"/>
            <w:vMerge w:val="continue"/>
            <w:vAlign w:val="center"/>
          </w:tcPr>
          <w:p>
            <w:pPr>
              <w:widowControl/>
              <w:jc w:val="left"/>
              <w:rPr>
                <w:rFonts w:ascii="宋体" w:hAnsi="宋体" w:cs="宋体"/>
                <w:kern w:val="0"/>
                <w:sz w:val="18"/>
                <w:szCs w:val="18"/>
              </w:rPr>
            </w:pPr>
          </w:p>
        </w:tc>
        <w:tc>
          <w:tcPr>
            <w:tcW w:w="959" w:type="dxa"/>
            <w:vMerge w:val="continue"/>
            <w:vAlign w:val="center"/>
          </w:tcPr>
          <w:p>
            <w:pPr>
              <w:widowControl/>
              <w:jc w:val="left"/>
              <w:rPr>
                <w:rFonts w:ascii="宋体" w:hAnsi="宋体" w:cs="宋体"/>
                <w:kern w:val="0"/>
                <w:sz w:val="18"/>
                <w:szCs w:val="18"/>
              </w:rPr>
            </w:pPr>
          </w:p>
        </w:tc>
        <w:tc>
          <w:tcPr>
            <w:tcW w:w="1026" w:type="dxa"/>
            <w:vMerge w:val="continue"/>
            <w:vAlign w:val="center"/>
          </w:tcPr>
          <w:p>
            <w:pPr>
              <w:widowControl/>
              <w:jc w:val="left"/>
              <w:rPr>
                <w:rFonts w:ascii="宋体" w:hAnsi="宋体" w:cs="宋体"/>
                <w:kern w:val="0"/>
                <w:sz w:val="18"/>
                <w:szCs w:val="18"/>
              </w:rPr>
            </w:pPr>
          </w:p>
        </w:tc>
      </w:tr>
    </w:tbl>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（3）他项权利状况</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根据估价委托人提供的估价对象《银川市不动产登记信息查询单》复印件记载，估价对象已抵押，已查封。</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抵押信息如下：</w:t>
      </w:r>
    </w:p>
    <w:tbl>
      <w:tblPr>
        <w:tblStyle w:val="14"/>
        <w:tblW w:w="893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43"/>
        <w:gridCol w:w="1701"/>
        <w:gridCol w:w="1134"/>
        <w:gridCol w:w="1417"/>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80"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943"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业务号</w:t>
            </w:r>
          </w:p>
        </w:tc>
        <w:tc>
          <w:tcPr>
            <w:tcW w:w="1701"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抵押人</w:t>
            </w:r>
          </w:p>
        </w:tc>
        <w:tc>
          <w:tcPr>
            <w:tcW w:w="113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抵押权人</w:t>
            </w:r>
          </w:p>
        </w:tc>
        <w:tc>
          <w:tcPr>
            <w:tcW w:w="1417"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不动产登记证明号</w:t>
            </w:r>
          </w:p>
        </w:tc>
        <w:tc>
          <w:tcPr>
            <w:tcW w:w="70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抵押金额</w:t>
            </w:r>
          </w:p>
        </w:tc>
        <w:tc>
          <w:tcPr>
            <w:tcW w:w="1418"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抵押期限</w:t>
            </w:r>
          </w:p>
        </w:tc>
        <w:tc>
          <w:tcPr>
            <w:tcW w:w="113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被抵押不动产权证号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20210114059001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bookmarkStart w:id="24" w:name="_GoBack"/>
            <w:r>
              <w:rPr>
                <w:rFonts w:hint="eastAsia" w:ascii="宋体" w:hAnsi="宋体" w:cs="宋体"/>
                <w:kern w:val="0"/>
                <w:sz w:val="18"/>
                <w:szCs w:val="18"/>
              </w:rPr>
              <w:t>宁夏银行股份有限公司湖滨支行</w:t>
            </w:r>
            <w:bookmarkEnd w:id="24"/>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宁（2021）金凤区不动产证明第0004704号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20210114062001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宁（2021）金凤区不动产证明第0004707号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20210114063301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宁（2021）金凤区不动产证明第0004709号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20210114064101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宁（2021）金凤区不动产证明第0004710号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20210114066001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宁（2021）金凤区不动产证明第0004713号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20120114068301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宁（2021）金凤区不动产证明第0004716号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20210114069501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宁（2021）金凤区不动产证明第0004717号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94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20210114071101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宁夏银行股份有限公司湖滨支行</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宁（2021）金凤区不动产证明第0004720号</w:t>
            </w:r>
          </w:p>
        </w:tc>
        <w:tc>
          <w:tcPr>
            <w:tcW w:w="7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2021年1月14日起2022年1月13日止</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2012004438</w:t>
            </w:r>
          </w:p>
        </w:tc>
      </w:tr>
    </w:tbl>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查封信息如下：</w:t>
      </w:r>
    </w:p>
    <w:tbl>
      <w:tblPr>
        <w:tblStyle w:val="14"/>
        <w:tblW w:w="893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34"/>
        <w:gridCol w:w="1701"/>
        <w:gridCol w:w="2126"/>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13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业务号</w:t>
            </w:r>
          </w:p>
        </w:tc>
        <w:tc>
          <w:tcPr>
            <w:tcW w:w="1701"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被限制人</w:t>
            </w:r>
          </w:p>
        </w:tc>
        <w:tc>
          <w:tcPr>
            <w:tcW w:w="212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被限制不动产产权证号</w:t>
            </w:r>
          </w:p>
        </w:tc>
        <w:tc>
          <w:tcPr>
            <w:tcW w:w="1701"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限制期限</w:t>
            </w:r>
          </w:p>
        </w:tc>
        <w:tc>
          <w:tcPr>
            <w:tcW w:w="1560"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限制文号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YC202203100061901</w:t>
            </w:r>
          </w:p>
        </w:tc>
        <w:tc>
          <w:tcPr>
            <w:tcW w:w="1701"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2012004451</w:t>
            </w:r>
          </w:p>
        </w:tc>
        <w:tc>
          <w:tcPr>
            <w:tcW w:w="1701"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2022年3月10日起2025年3月9日止</w:t>
            </w:r>
          </w:p>
        </w:tc>
        <w:tc>
          <w:tcPr>
            <w:tcW w:w="1560"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（2021）宁0106执5700号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2012004449</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2012004447</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2012004435</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2012004445</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2012004442</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2012004440</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1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134" w:type="dxa"/>
            <w:vMerge w:val="continue"/>
            <w:vAlign w:val="center"/>
          </w:tcPr>
          <w:p>
            <w:pPr>
              <w:widowControl/>
              <w:jc w:val="left"/>
              <w:rPr>
                <w:rFonts w:ascii="宋体" w:hAnsi="宋体" w:cs="宋体"/>
                <w:kern w:val="0"/>
                <w:sz w:val="18"/>
                <w:szCs w:val="18"/>
              </w:rPr>
            </w:pPr>
          </w:p>
        </w:tc>
        <w:tc>
          <w:tcPr>
            <w:tcW w:w="1701" w:type="dxa"/>
            <w:vMerge w:val="continue"/>
            <w:vAlign w:val="center"/>
          </w:tcPr>
          <w:p>
            <w:pPr>
              <w:widowControl/>
              <w:jc w:val="left"/>
              <w:rPr>
                <w:rFonts w:ascii="宋体" w:hAnsi="宋体" w:cs="宋体"/>
                <w:kern w:val="0"/>
                <w:sz w:val="18"/>
                <w:szCs w:val="18"/>
              </w:rPr>
            </w:pPr>
          </w:p>
        </w:tc>
        <w:tc>
          <w:tcPr>
            <w:tcW w:w="21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2012004438</w:t>
            </w:r>
          </w:p>
        </w:tc>
        <w:tc>
          <w:tcPr>
            <w:tcW w:w="1701" w:type="dxa"/>
            <w:vMerge w:val="continue"/>
            <w:vAlign w:val="center"/>
          </w:tcPr>
          <w:p>
            <w:pPr>
              <w:widowControl/>
              <w:jc w:val="left"/>
              <w:rPr>
                <w:rFonts w:ascii="宋体" w:hAnsi="宋体" w:cs="宋体"/>
                <w:kern w:val="0"/>
                <w:sz w:val="18"/>
                <w:szCs w:val="18"/>
              </w:rPr>
            </w:pPr>
          </w:p>
        </w:tc>
        <w:tc>
          <w:tcPr>
            <w:tcW w:w="1560" w:type="dxa"/>
            <w:vMerge w:val="continue"/>
            <w:vAlign w:val="center"/>
          </w:tcPr>
          <w:p>
            <w:pPr>
              <w:widowControl/>
              <w:jc w:val="left"/>
              <w:rPr>
                <w:rFonts w:ascii="宋体" w:hAnsi="宋体" w:cs="宋体"/>
                <w:kern w:val="0"/>
                <w:sz w:val="18"/>
                <w:szCs w:val="18"/>
              </w:rPr>
            </w:pPr>
          </w:p>
        </w:tc>
      </w:tr>
    </w:tbl>
    <w:p>
      <w:pPr>
        <w:pStyle w:val="4"/>
        <w:widowControl/>
        <w:spacing w:line="360" w:lineRule="auto"/>
        <w:ind w:firstLine="480" w:firstLineChars="200"/>
        <w:rPr>
          <w:rFonts w:ascii="Arial Narrow" w:hAnsi="Arial Narrow" w:cs="宋体"/>
          <w:sz w:val="24"/>
        </w:rPr>
      </w:pPr>
      <w:r>
        <w:rPr>
          <w:rFonts w:hint="eastAsia" w:ascii="Arial Narrow" w:hAnsi="Arial Narrow" w:cs="宋体"/>
          <w:sz w:val="24"/>
        </w:rPr>
        <w:t>截止价值时点，该抵押、</w:t>
      </w:r>
      <w:r>
        <w:rPr>
          <w:rFonts w:hint="eastAsia" w:ascii="Arial Narrow" w:hAnsi="Arial Narrow" w:cs="宋体"/>
          <w:kern w:val="2"/>
          <w:sz w:val="24"/>
        </w:rPr>
        <w:t>查封</w:t>
      </w:r>
      <w:r>
        <w:rPr>
          <w:rFonts w:hint="eastAsia" w:ascii="Arial Narrow" w:hAnsi="Arial Narrow" w:cs="宋体"/>
          <w:sz w:val="24"/>
        </w:rPr>
        <w:t>未解除。</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（4）其他权利状况</w:t>
      </w:r>
    </w:p>
    <w:p>
      <w:pPr>
        <w:pStyle w:val="4"/>
        <w:spacing w:line="360" w:lineRule="auto"/>
        <w:ind w:firstLine="480" w:firstLineChars="200"/>
        <w:rPr>
          <w:rFonts w:ascii="Arial Narrow" w:hAnsi="Arial Narrow" w:cs="宋体"/>
          <w:sz w:val="24"/>
        </w:rPr>
      </w:pPr>
      <w:r>
        <w:rPr>
          <w:rFonts w:hint="eastAsia" w:ascii="Arial Narrow" w:hAnsi="Arial Narrow" w:cs="宋体"/>
          <w:sz w:val="24"/>
        </w:rPr>
        <w:t>估价对象现部分出租，但估价委托人未提供其《房屋租赁合同》等资料，租赁情况不详；除此之外，估价对象不存在土地使用管制及相邻关系等其他情况。</w:t>
      </w:r>
    </w:p>
    <w:p>
      <w:pPr>
        <w:pStyle w:val="3"/>
        <w:keepNext w:val="0"/>
        <w:keepLines w:val="0"/>
        <w:widowControl/>
        <w:spacing w:before="0" w:after="0" w:line="360" w:lineRule="auto"/>
        <w:ind w:firstLine="482" w:firstLineChars="200"/>
      </w:pPr>
      <w:r>
        <w:t>五、价值时点</w:t>
      </w:r>
      <w:bookmarkEnd w:id="9"/>
      <w:bookmarkEnd w:id="10"/>
    </w:p>
    <w:p>
      <w:pPr>
        <w:widowControl/>
        <w:spacing w:line="360" w:lineRule="auto"/>
        <w:ind w:firstLine="568"/>
        <w:rPr>
          <w:rFonts w:ascii="Arial Narrow" w:hAnsi="Arial Narrow" w:cs="宋体"/>
          <w:sz w:val="24"/>
        </w:rPr>
      </w:pPr>
      <w:r>
        <w:rPr>
          <w:rFonts w:hint="eastAsia" w:ascii="Arial Narrow" w:hAnsi="Arial Narrow" w:cs="宋体"/>
          <w:sz w:val="24"/>
        </w:rPr>
        <w:t>价值时点确定为2022年5月30日，即估价人员对本项目的实地查勘日期。</w:t>
      </w:r>
    </w:p>
    <w:p>
      <w:pPr>
        <w:pStyle w:val="3"/>
        <w:keepNext w:val="0"/>
        <w:keepLines w:val="0"/>
        <w:widowControl/>
        <w:spacing w:before="0" w:after="0" w:line="360" w:lineRule="auto"/>
        <w:ind w:firstLine="482" w:firstLineChars="200"/>
      </w:pPr>
      <w:bookmarkStart w:id="11" w:name="_Toc535140651"/>
      <w:r>
        <w:t>六、价值类型</w:t>
      </w:r>
      <w:bookmarkEnd w:id="11"/>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价值类型是指房地产估价结论的价值属性及其表现形式。</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根据估价目的，本次估价选择房地产市场价值作为估价结论的价值类型。</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房地产市场价值是估价对象经适当营销后，由熟悉情况、谨慎行事且不受强迫的交易双方，以公平交易方式于价值时点自愿进行交易的金额，选用比较法、成本法、收益法、假设开发法等估价方法评估得出。</w:t>
      </w:r>
    </w:p>
    <w:p>
      <w:pPr>
        <w:spacing w:line="360" w:lineRule="auto"/>
        <w:ind w:firstLine="568"/>
        <w:rPr>
          <w:rFonts w:ascii="Arial Narrow" w:hAnsi="Arial Narrow" w:cs="宋体"/>
          <w:sz w:val="24"/>
        </w:rPr>
      </w:pPr>
      <w:r>
        <w:rPr>
          <w:rFonts w:hint="eastAsia" w:ascii="Arial Narrow" w:hAnsi="Arial Narrow" w:cs="宋体"/>
          <w:sz w:val="24"/>
        </w:rPr>
        <w:t>房地产市场价值，是估价中最基本、最重要、最常用的一种价值类型，其主要假设条件有五个：一是适当营销，即估价对象以适当的方式在市场上进行了展示，展示的时间长度可能随着市场状况而变化，但足以使估价对象引起一定数量的潜在买者的注意。二是熟悉情况，即买方和卖方都了解估价对象并熟悉市场行情，买方不盲目地购买，卖方不是盲目地出售。三是谨慎行事，即买方和卖方都是冷静、理性、谨慎的，没有感情用事。四是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五是公平交易，即买方和卖方都是出于自己利益的需要进行估价对象交易的，没有诸如亲友之间、母子公司之间、业主与租户之间等特殊或特别的关系，不是关联交易。</w:t>
      </w:r>
    </w:p>
    <w:p>
      <w:pPr>
        <w:pStyle w:val="3"/>
        <w:keepNext w:val="0"/>
        <w:keepLines w:val="0"/>
        <w:spacing w:before="0" w:after="0" w:line="360" w:lineRule="auto"/>
        <w:ind w:firstLine="482" w:firstLineChars="200"/>
      </w:pPr>
      <w:bookmarkStart w:id="12" w:name="_Toc535140652"/>
      <w:r>
        <w:t>七、估价原则</w:t>
      </w:r>
      <w:bookmarkEnd w:id="12"/>
    </w:p>
    <w:p>
      <w:pPr>
        <w:spacing w:line="360" w:lineRule="auto"/>
        <w:ind w:firstLine="568"/>
        <w:rPr>
          <w:rFonts w:ascii="Arial Narrow" w:hAnsi="Arial Narrow" w:cs="宋体"/>
          <w:sz w:val="24"/>
        </w:rPr>
      </w:pPr>
      <w:r>
        <w:rPr>
          <w:rFonts w:ascii="Arial Narrow" w:hAnsi="Arial Narrow" w:cs="宋体"/>
          <w:sz w:val="24"/>
        </w:rPr>
        <w:t>本</w:t>
      </w:r>
      <w:r>
        <w:rPr>
          <w:rFonts w:hint="eastAsia" w:ascii="Arial Narrow" w:hAnsi="Arial Narrow" w:cs="宋体"/>
          <w:sz w:val="24"/>
        </w:rPr>
        <w:t>评估</w:t>
      </w:r>
      <w:r>
        <w:rPr>
          <w:rFonts w:ascii="Arial Narrow" w:hAnsi="Arial Narrow" w:cs="宋体"/>
          <w:sz w:val="24"/>
        </w:rPr>
        <w:t>报告遵守独立、客观、公正原则、合法原则、最高最佳使用原则、价值时点原则、替代原则等技术性原则进行估价。</w:t>
      </w:r>
    </w:p>
    <w:p>
      <w:pPr>
        <w:spacing w:line="360" w:lineRule="auto"/>
        <w:ind w:firstLine="480" w:firstLineChars="200"/>
        <w:rPr>
          <w:rFonts w:ascii="Arial Narrow" w:hAnsi="Arial Narrow" w:cs="宋体"/>
          <w:sz w:val="24"/>
        </w:rPr>
      </w:pPr>
      <w:r>
        <w:rPr>
          <w:rFonts w:ascii="Arial Narrow" w:hAnsi="Arial Narrow" w:cs="宋体"/>
          <w:sz w:val="24"/>
        </w:rPr>
        <w:t>（一）独立、客观、公正原则</w:t>
      </w:r>
    </w:p>
    <w:p>
      <w:pPr>
        <w:widowControl/>
        <w:spacing w:line="360" w:lineRule="auto"/>
        <w:ind w:firstLine="568"/>
        <w:rPr>
          <w:rFonts w:ascii="Arial Narrow" w:hAnsi="Arial Narrow" w:cs="宋体"/>
          <w:sz w:val="24"/>
        </w:rPr>
      </w:pPr>
      <w:r>
        <w:rPr>
          <w:rFonts w:ascii="Arial Narrow" w:hAnsi="Arial Narrow" w:cs="宋体"/>
          <w:sz w:val="24"/>
        </w:rPr>
        <w:t>独立、客观、公正原则要求站在中立的立场上，实事求是、公平正直地评估出对各方估价利害关系人均是公平合理的价值或价格的原则。所谓</w:t>
      </w:r>
      <w:r>
        <w:rPr>
          <w:rFonts w:hint="eastAsia" w:ascii="Arial Narrow" w:hAnsi="Arial Narrow" w:cs="宋体"/>
          <w:sz w:val="24"/>
        </w:rPr>
        <w:t>“</w:t>
      </w:r>
      <w:r>
        <w:rPr>
          <w:rFonts w:ascii="Arial Narrow" w:hAnsi="Arial Narrow" w:cs="宋体"/>
          <w:sz w:val="24"/>
        </w:rPr>
        <w:t>独立</w:t>
      </w:r>
      <w:r>
        <w:rPr>
          <w:rFonts w:hint="eastAsia" w:ascii="Arial Narrow" w:hAnsi="Arial Narrow" w:cs="宋体"/>
          <w:sz w:val="24"/>
        </w:rPr>
        <w:t>”</w:t>
      </w:r>
      <w:r>
        <w:rPr>
          <w:rFonts w:ascii="Arial Narrow" w:hAnsi="Arial Narrow" w:cs="宋体"/>
          <w:sz w:val="24"/>
        </w:rPr>
        <w:t>，就是要求注册房地产估价师和房地产估价机构与估价委托人及估价利害关系人没有利害关系，在估价中不受包括估价机构、委托人在内的任何单位和个人的影响，应凭自己的专业知识、经验和职业道德进行估价。所谓</w:t>
      </w:r>
      <w:r>
        <w:rPr>
          <w:rFonts w:hint="eastAsia" w:ascii="Arial Narrow" w:hAnsi="Arial Narrow" w:cs="宋体"/>
          <w:sz w:val="24"/>
        </w:rPr>
        <w:t>“</w:t>
      </w:r>
      <w:r>
        <w:rPr>
          <w:rFonts w:ascii="Arial Narrow" w:hAnsi="Arial Narrow" w:cs="宋体"/>
          <w:sz w:val="24"/>
        </w:rPr>
        <w:t>客观</w:t>
      </w:r>
      <w:r>
        <w:rPr>
          <w:rFonts w:hint="eastAsia" w:ascii="Arial Narrow" w:hAnsi="Arial Narrow" w:cs="宋体"/>
          <w:sz w:val="24"/>
        </w:rPr>
        <w:t>”</w:t>
      </w:r>
      <w:r>
        <w:rPr>
          <w:rFonts w:ascii="Arial Narrow" w:hAnsi="Arial Narrow" w:cs="宋体"/>
          <w:sz w:val="24"/>
        </w:rPr>
        <w:t>，就是要求注册房地产估价师和房地产估价机构在估价中不带着自己的情感、好恶和偏见，应按照事物的本来面目、实事求是地进行估价。所谓</w:t>
      </w:r>
      <w:r>
        <w:rPr>
          <w:rFonts w:hint="eastAsia" w:ascii="Arial Narrow" w:hAnsi="Arial Narrow" w:cs="宋体"/>
          <w:sz w:val="24"/>
        </w:rPr>
        <w:t>“</w:t>
      </w:r>
      <w:r>
        <w:rPr>
          <w:rFonts w:ascii="Arial Narrow" w:hAnsi="Arial Narrow" w:cs="宋体"/>
          <w:sz w:val="24"/>
        </w:rPr>
        <w:t>公正</w:t>
      </w:r>
      <w:r>
        <w:rPr>
          <w:rFonts w:hint="eastAsia" w:ascii="Arial Narrow" w:hAnsi="Arial Narrow" w:cs="宋体"/>
          <w:sz w:val="24"/>
        </w:rPr>
        <w:t>”</w:t>
      </w:r>
      <w:r>
        <w:rPr>
          <w:rFonts w:ascii="Arial Narrow" w:hAnsi="Arial Narrow" w:cs="宋体"/>
          <w:sz w:val="24"/>
        </w:rPr>
        <w:t>，就是要求注册房地产估价师和房地产估价机构在估价中不偏袒利害关系人中的任何一方，应坚持原则、公平正直地进行估价。</w:t>
      </w:r>
    </w:p>
    <w:p>
      <w:pPr>
        <w:widowControl/>
        <w:spacing w:line="360" w:lineRule="auto"/>
        <w:ind w:firstLine="480" w:firstLineChars="200"/>
        <w:rPr>
          <w:rFonts w:ascii="Arial Narrow" w:hAnsi="Arial Narrow" w:cs="宋体"/>
          <w:sz w:val="24"/>
        </w:rPr>
      </w:pPr>
      <w:r>
        <w:rPr>
          <w:rFonts w:ascii="Arial Narrow" w:hAnsi="Arial Narrow" w:cs="宋体"/>
          <w:sz w:val="24"/>
        </w:rPr>
        <w:t>（二）合法原则</w:t>
      </w:r>
    </w:p>
    <w:p>
      <w:pPr>
        <w:widowControl/>
        <w:spacing w:line="360" w:lineRule="auto"/>
        <w:ind w:firstLine="568"/>
        <w:rPr>
          <w:rFonts w:ascii="Arial Narrow" w:hAnsi="Arial Narrow" w:cs="宋体"/>
          <w:sz w:val="24"/>
        </w:rPr>
      </w:pPr>
      <w:r>
        <w:rPr>
          <w:rFonts w:ascii="Arial Narrow" w:hAnsi="Arial Narrow" w:cs="宋体"/>
          <w:sz w:val="24"/>
        </w:rPr>
        <w:t>要求估价结果是在依法判定的估价对象状况下的价值或价格的原则。</w:t>
      </w:r>
    </w:p>
    <w:p>
      <w:pPr>
        <w:widowControl/>
        <w:spacing w:line="360" w:lineRule="auto"/>
        <w:ind w:firstLine="568"/>
        <w:rPr>
          <w:rFonts w:ascii="Arial Narrow" w:hAnsi="Arial Narrow" w:cs="宋体"/>
          <w:sz w:val="24"/>
        </w:rPr>
      </w:pPr>
      <w:r>
        <w:rPr>
          <w:rFonts w:ascii="Arial Narrow" w:hAnsi="Arial Narrow" w:cs="宋体"/>
          <w:sz w:val="24"/>
        </w:rPr>
        <w:t>遵循合法原则并不意味着只有合法的房地产才能成为估价对象，而是指依法判定估价对象是哪种状况的房地产，就应将其作为那种状况的房地产来估价。</w:t>
      </w:r>
    </w:p>
    <w:p>
      <w:pPr>
        <w:widowControl/>
        <w:spacing w:line="360" w:lineRule="auto"/>
        <w:ind w:firstLine="480" w:firstLineChars="200"/>
        <w:rPr>
          <w:rFonts w:ascii="Arial Narrow" w:hAnsi="Arial Narrow" w:cs="宋体"/>
          <w:sz w:val="24"/>
        </w:rPr>
      </w:pPr>
      <w:r>
        <w:rPr>
          <w:rFonts w:ascii="Arial Narrow" w:hAnsi="Arial Narrow" w:cs="宋体"/>
          <w:sz w:val="24"/>
        </w:rPr>
        <w:t>（三）最高最佳利用原则</w:t>
      </w:r>
    </w:p>
    <w:p>
      <w:pPr>
        <w:widowControl/>
        <w:spacing w:line="360" w:lineRule="auto"/>
        <w:ind w:firstLine="568"/>
        <w:rPr>
          <w:rFonts w:ascii="Arial Narrow" w:hAnsi="Arial Narrow" w:cs="宋体"/>
          <w:sz w:val="24"/>
        </w:rPr>
      </w:pPr>
      <w:r>
        <w:rPr>
          <w:rFonts w:ascii="Arial Narrow" w:hAnsi="Arial Narrow" w:cs="宋体"/>
          <w:sz w:val="24"/>
        </w:rPr>
        <w:t>最高最佳利用原则要求估价结果是在估价对象最高最佳利用状况下的价值和价格的原则。最高最佳利用必须同时满足四个条件：一是法律上允许；二是技术上可能；三是财务上可行；四是价值最大化。最高最佳利用是指房地产在法律上允许、技术上可能、财务上可行并使价值最大的合理、可能的利用，包括最佳的用途、规模、档次等。</w:t>
      </w:r>
    </w:p>
    <w:p>
      <w:pPr>
        <w:spacing w:line="360" w:lineRule="auto"/>
        <w:ind w:firstLine="360" w:firstLineChars="150"/>
        <w:rPr>
          <w:rFonts w:ascii="Arial Narrow" w:hAnsi="Arial Narrow" w:cs="宋体"/>
          <w:sz w:val="24"/>
        </w:rPr>
      </w:pPr>
      <w:r>
        <w:rPr>
          <w:rFonts w:ascii="Arial Narrow" w:hAnsi="Arial Narrow" w:cs="宋体"/>
          <w:sz w:val="24"/>
        </w:rPr>
        <w:t xml:space="preserve"> （四）替代原则</w:t>
      </w:r>
    </w:p>
    <w:p>
      <w:pPr>
        <w:spacing w:line="360" w:lineRule="auto"/>
        <w:ind w:firstLine="568"/>
        <w:rPr>
          <w:rFonts w:ascii="Arial Narrow" w:hAnsi="Arial Narrow" w:cs="宋体"/>
          <w:sz w:val="24"/>
        </w:rPr>
      </w:pPr>
      <w:r>
        <w:rPr>
          <w:rFonts w:ascii="Arial Narrow" w:hAnsi="Arial Narrow" w:cs="宋体"/>
          <w:sz w:val="24"/>
        </w:rPr>
        <w:t>替代原则要求估价结果与估价对象的类似房地产在同等条件下的价值或价格偏差在合理范围内的原则。依据经济学原理，在同一个市场上相同的商品有相同的价格。</w:t>
      </w:r>
    </w:p>
    <w:p>
      <w:pPr>
        <w:spacing w:line="360" w:lineRule="auto"/>
        <w:ind w:firstLine="568"/>
        <w:rPr>
          <w:rFonts w:ascii="Arial Narrow" w:hAnsi="Arial Narrow" w:cs="宋体"/>
          <w:sz w:val="24"/>
        </w:rPr>
      </w:pPr>
      <w:r>
        <w:rPr>
          <w:rFonts w:ascii="Arial Narrow" w:hAnsi="Arial Narrow" w:cs="宋体"/>
          <w:sz w:val="24"/>
        </w:rPr>
        <w:t xml:space="preserve">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                </w:t>
      </w:r>
    </w:p>
    <w:p>
      <w:pPr>
        <w:spacing w:line="360" w:lineRule="auto"/>
        <w:ind w:firstLine="568"/>
        <w:rPr>
          <w:rFonts w:ascii="Arial Narrow" w:hAnsi="Arial Narrow" w:cs="宋体"/>
          <w:sz w:val="24"/>
        </w:rPr>
      </w:pPr>
      <w:r>
        <w:rPr>
          <w:rFonts w:ascii="Arial Narrow" w:hAnsi="Arial Narrow" w:cs="宋体"/>
          <w:sz w:val="24"/>
        </w:rPr>
        <w:t>（五）价值时点原则</w:t>
      </w:r>
    </w:p>
    <w:p>
      <w:pPr>
        <w:spacing w:line="360" w:lineRule="auto"/>
        <w:ind w:firstLine="568"/>
        <w:rPr>
          <w:rFonts w:ascii="Arial Narrow" w:hAnsi="Arial Narrow" w:cs="宋体"/>
          <w:sz w:val="24"/>
        </w:rPr>
      </w:pPr>
      <w:r>
        <w:rPr>
          <w:rFonts w:ascii="Arial Narrow" w:hAnsi="Arial Narrow" w:cs="宋体"/>
          <w:sz w:val="24"/>
        </w:rPr>
        <w:t>价值时点原则要求估价结果是在根据估价目的确定的某一特定时间的价值或价格的原则。</w:t>
      </w:r>
    </w:p>
    <w:p>
      <w:pPr>
        <w:widowControl/>
        <w:spacing w:line="360" w:lineRule="auto"/>
        <w:ind w:firstLine="480" w:firstLineChars="200"/>
        <w:rPr>
          <w:rFonts w:ascii="Arial Narrow" w:hAnsi="Arial Narrow" w:cs="宋体"/>
          <w:sz w:val="24"/>
        </w:rPr>
      </w:pPr>
      <w:r>
        <w:rPr>
          <w:rFonts w:ascii="Arial Narrow" w:hAnsi="Arial Narrow" w:cs="宋体"/>
          <w:sz w:val="24"/>
        </w:rPr>
        <w:t>价值时点不是可以随意确定的，应根据估价目的来确定。价值时点可能是现在、过去或将来的某一特定时间，一般为某一特定日期，并采用公历年、月、日表示。</w:t>
      </w:r>
    </w:p>
    <w:p>
      <w:pPr>
        <w:pStyle w:val="3"/>
        <w:keepNext w:val="0"/>
        <w:keepLines w:val="0"/>
        <w:widowControl/>
        <w:spacing w:before="0" w:after="0" w:line="360" w:lineRule="auto"/>
        <w:ind w:firstLine="482" w:firstLineChars="200"/>
      </w:pPr>
      <w:bookmarkStart w:id="13" w:name="_Toc535140653"/>
      <w:r>
        <w:t>八、估价依据</w:t>
      </w:r>
      <w:bookmarkEnd w:id="13"/>
    </w:p>
    <w:p>
      <w:pPr>
        <w:widowControl/>
        <w:spacing w:line="360" w:lineRule="auto"/>
        <w:ind w:firstLine="568"/>
        <w:rPr>
          <w:rFonts w:ascii="Arial Narrow" w:hAnsi="Arial Narrow" w:cs="宋体"/>
          <w:sz w:val="24"/>
        </w:rPr>
      </w:pPr>
      <w:r>
        <w:rPr>
          <w:rFonts w:hint="eastAsia" w:ascii="Arial Narrow" w:hAnsi="Arial Narrow" w:cs="宋体"/>
          <w:sz w:val="24"/>
        </w:rPr>
        <w:t>1、</w:t>
      </w:r>
      <w:r>
        <w:rPr>
          <w:rFonts w:hint="eastAsia" w:ascii="Arial" w:hAnsi="Arial" w:cs="Arial"/>
          <w:sz w:val="24"/>
        </w:rPr>
        <w:t>《中华人民共和国资产评估法》（中华人民共和国第十二届全国人民代表大会常务委员会第二十一次会议于</w:t>
      </w:r>
      <w:r>
        <w:rPr>
          <w:rFonts w:hint="eastAsia" w:ascii="Arial Narrow" w:hAnsi="Arial Narrow" w:cs="宋体"/>
          <w:sz w:val="24"/>
        </w:rPr>
        <w:t>2016年7月2日通过）</w:t>
      </w:r>
      <w:r>
        <w:rPr>
          <w:rFonts w:hint="eastAsia" w:ascii="Arial" w:hAnsi="Arial" w:cs="Arial"/>
          <w:sz w:val="24"/>
        </w:rPr>
        <w:t>；</w:t>
      </w:r>
    </w:p>
    <w:p>
      <w:pPr>
        <w:widowControl/>
        <w:spacing w:line="360" w:lineRule="auto"/>
        <w:ind w:firstLine="568"/>
        <w:rPr>
          <w:rFonts w:ascii="Arial Narrow" w:hAnsi="Arial Narrow" w:cs="宋体"/>
          <w:sz w:val="24"/>
        </w:rPr>
      </w:pPr>
      <w:r>
        <w:rPr>
          <w:rFonts w:hint="eastAsia" w:ascii="Arial Narrow" w:hAnsi="Arial Narrow" w:cs="宋体"/>
          <w:sz w:val="24"/>
        </w:rPr>
        <w:t>2、中华人民共和国主席令第72号《中华人民共和国城市房地产管理法》；</w:t>
      </w:r>
    </w:p>
    <w:p>
      <w:pPr>
        <w:widowControl/>
        <w:spacing w:line="360" w:lineRule="auto"/>
        <w:ind w:firstLine="568"/>
        <w:rPr>
          <w:rFonts w:ascii="Arial Narrow" w:hAnsi="Arial Narrow" w:cs="宋体"/>
          <w:sz w:val="24"/>
        </w:rPr>
      </w:pPr>
      <w:r>
        <w:rPr>
          <w:rFonts w:hint="eastAsia" w:ascii="Arial Narrow" w:hAnsi="Arial Narrow" w:cs="宋体"/>
          <w:sz w:val="24"/>
        </w:rPr>
        <w:t>3、《中华人民共和国民法典》（2020年5月28日第十三届全国人民代表大会第三次会议通过）；</w:t>
      </w:r>
    </w:p>
    <w:p>
      <w:pPr>
        <w:widowControl/>
        <w:spacing w:line="360" w:lineRule="auto"/>
        <w:ind w:firstLine="568"/>
        <w:rPr>
          <w:rFonts w:ascii="Arial Narrow" w:hAnsi="Arial Narrow" w:cs="宋体"/>
          <w:sz w:val="24"/>
        </w:rPr>
      </w:pPr>
      <w:r>
        <w:rPr>
          <w:rFonts w:hint="eastAsia" w:ascii="Arial Narrow" w:hAnsi="Arial Narrow" w:cs="宋体"/>
          <w:sz w:val="24"/>
        </w:rPr>
        <w:t>4、中华人民共和国建设部令第96号《城市房地产转让管理规定》；</w:t>
      </w:r>
    </w:p>
    <w:p>
      <w:pPr>
        <w:widowControl/>
        <w:spacing w:line="360" w:lineRule="auto"/>
        <w:ind w:firstLine="568"/>
        <w:rPr>
          <w:rFonts w:ascii="Arial Narrow" w:hAnsi="Arial Narrow" w:cs="宋体"/>
          <w:sz w:val="24"/>
        </w:rPr>
      </w:pPr>
      <w:r>
        <w:rPr>
          <w:rFonts w:hint="eastAsia" w:ascii="Arial Narrow" w:hAnsi="Arial Narrow" w:cs="宋体"/>
          <w:sz w:val="24"/>
        </w:rPr>
        <w:t>5、</w:t>
      </w:r>
      <w:r>
        <w:rPr>
          <w:rFonts w:ascii="Arial Narrow" w:hAnsi="Arial Narrow" w:cs="宋体"/>
          <w:sz w:val="24"/>
        </w:rPr>
        <w:t>《最高人民法院关于人民法院确定财产处置参考价若干问题的规定》（法释〔2018〕15号）</w:t>
      </w:r>
      <w:r>
        <w:rPr>
          <w:rFonts w:hint="eastAsia" w:ascii="Arial Narrow" w:hAnsi="Arial Narrow" w:cs="宋体"/>
          <w:sz w:val="24"/>
        </w:rPr>
        <w:t>；</w:t>
      </w:r>
    </w:p>
    <w:p>
      <w:pPr>
        <w:widowControl/>
        <w:spacing w:line="360" w:lineRule="auto"/>
        <w:ind w:firstLine="568"/>
        <w:rPr>
          <w:rFonts w:ascii="Arial Narrow" w:hAnsi="Arial Narrow" w:cs="宋体"/>
          <w:sz w:val="24"/>
        </w:rPr>
      </w:pPr>
      <w:r>
        <w:rPr>
          <w:rFonts w:hint="eastAsia" w:ascii="Arial Narrow" w:hAnsi="Arial Narrow" w:cs="宋体"/>
          <w:sz w:val="24"/>
        </w:rPr>
        <w:t>6、《最高人民法院关于人民法院委托评估、拍卖和变卖工作的若干规定》              法释[</w:t>
      </w:r>
      <w:r>
        <w:rPr>
          <w:rFonts w:ascii="Arial Narrow" w:hAnsi="Arial Narrow" w:cs="宋体"/>
          <w:sz w:val="24"/>
        </w:rPr>
        <w:t>2009</w:t>
      </w:r>
      <w:r>
        <w:rPr>
          <w:rFonts w:hint="eastAsia" w:ascii="Arial Narrow" w:hAnsi="Arial Narrow" w:cs="宋体"/>
          <w:sz w:val="24"/>
        </w:rPr>
        <w:t>]</w:t>
      </w:r>
      <w:r>
        <w:rPr>
          <w:rFonts w:ascii="Arial Narrow" w:hAnsi="Arial Narrow" w:cs="宋体"/>
          <w:sz w:val="24"/>
        </w:rPr>
        <w:t>16</w:t>
      </w:r>
      <w:r>
        <w:rPr>
          <w:rFonts w:hint="eastAsia" w:ascii="Arial Narrow" w:hAnsi="Arial Narrow" w:cs="宋体"/>
          <w:sz w:val="24"/>
        </w:rPr>
        <w:t>号；</w:t>
      </w:r>
    </w:p>
    <w:p>
      <w:pPr>
        <w:widowControl/>
        <w:spacing w:line="360" w:lineRule="auto"/>
        <w:ind w:firstLine="568"/>
        <w:rPr>
          <w:rFonts w:ascii="Arial Narrow" w:hAnsi="Arial Narrow" w:cs="宋体"/>
          <w:sz w:val="24"/>
        </w:rPr>
      </w:pPr>
      <w:r>
        <w:rPr>
          <w:rFonts w:hint="eastAsia" w:ascii="Arial Narrow" w:hAnsi="Arial Narrow" w:cs="宋体"/>
          <w:sz w:val="24"/>
        </w:rPr>
        <w:t>7、《最高人民法院对外委托鉴定、评估、拍卖等工作管理规定》（法办发[2007]5号）；</w:t>
      </w:r>
    </w:p>
    <w:p>
      <w:pPr>
        <w:widowControl/>
        <w:spacing w:line="360" w:lineRule="auto"/>
        <w:ind w:firstLine="568"/>
        <w:rPr>
          <w:rFonts w:ascii="Arial Narrow" w:hAnsi="Arial Narrow" w:cs="宋体"/>
          <w:sz w:val="24"/>
        </w:rPr>
      </w:pPr>
      <w:r>
        <w:rPr>
          <w:rFonts w:hint="eastAsia" w:ascii="Arial Narrow" w:hAnsi="Arial Narrow" w:cs="宋体"/>
          <w:sz w:val="24"/>
        </w:rPr>
        <w:t>8、关于印发《人民法院委托评估工作规范》的通知（法办〔2018〕273号）；</w:t>
      </w:r>
    </w:p>
    <w:p>
      <w:pPr>
        <w:widowControl/>
        <w:spacing w:line="360" w:lineRule="auto"/>
        <w:ind w:firstLine="568"/>
        <w:rPr>
          <w:rFonts w:ascii="Arial Narrow" w:hAnsi="Arial Narrow" w:cs="宋体"/>
          <w:sz w:val="24"/>
        </w:rPr>
      </w:pPr>
      <w:r>
        <w:rPr>
          <w:rFonts w:hint="eastAsia" w:ascii="Arial Narrow" w:hAnsi="Arial Narrow" w:cs="宋体"/>
          <w:sz w:val="24"/>
        </w:rPr>
        <w:t>9、《人民法院委托涉执房地产处置司法评估指导意见（内部研讨稿）》；</w:t>
      </w:r>
    </w:p>
    <w:p>
      <w:pPr>
        <w:widowControl/>
        <w:spacing w:line="360" w:lineRule="auto"/>
        <w:ind w:firstLine="568"/>
        <w:rPr>
          <w:rFonts w:ascii="Arial Narrow" w:hAnsi="Arial Narrow" w:cs="宋体"/>
          <w:sz w:val="24"/>
        </w:rPr>
      </w:pPr>
      <w:r>
        <w:rPr>
          <w:rFonts w:hint="eastAsia" w:ascii="Arial Narrow" w:hAnsi="Arial Narrow" w:cs="宋体"/>
          <w:sz w:val="24"/>
        </w:rPr>
        <w:t>10、《涉执房地产处置司法评估指导意见（试行）》中房学〔2021〕37号；</w:t>
      </w:r>
    </w:p>
    <w:p>
      <w:pPr>
        <w:widowControl/>
        <w:spacing w:line="360" w:lineRule="auto"/>
        <w:ind w:firstLine="568"/>
        <w:rPr>
          <w:rFonts w:ascii="Arial Narrow" w:hAnsi="Arial Narrow" w:cs="宋体"/>
          <w:sz w:val="24"/>
        </w:rPr>
      </w:pPr>
      <w:r>
        <w:rPr>
          <w:rFonts w:hint="eastAsia" w:ascii="Arial Narrow" w:hAnsi="Arial Narrow" w:cs="宋体"/>
          <w:sz w:val="24"/>
        </w:rPr>
        <w:t>11、中华人民共和国国家标准《房地产估价规范》（GB/T50291-2015）；</w:t>
      </w:r>
    </w:p>
    <w:p>
      <w:pPr>
        <w:widowControl/>
        <w:spacing w:line="360" w:lineRule="auto"/>
        <w:ind w:firstLine="568"/>
        <w:rPr>
          <w:rFonts w:ascii="Arial Narrow" w:hAnsi="Arial Narrow" w:cs="宋体"/>
          <w:sz w:val="24"/>
        </w:rPr>
      </w:pPr>
      <w:r>
        <w:rPr>
          <w:rFonts w:hint="eastAsia" w:ascii="Arial Narrow" w:hAnsi="Arial Narrow" w:cs="宋体"/>
          <w:sz w:val="24"/>
        </w:rPr>
        <w:t>12、中华人民共和国国家标准《房地产估价基本术语标准》（GB/T50899-2013）；</w:t>
      </w:r>
    </w:p>
    <w:p>
      <w:pPr>
        <w:widowControl/>
        <w:spacing w:line="360" w:lineRule="auto"/>
        <w:ind w:firstLine="568"/>
        <w:rPr>
          <w:rFonts w:ascii="Arial Narrow" w:hAnsi="Arial Narrow" w:cs="宋体"/>
          <w:sz w:val="24"/>
        </w:rPr>
      </w:pPr>
      <w:r>
        <w:rPr>
          <w:rFonts w:hint="eastAsia" w:ascii="Arial Narrow" w:hAnsi="Arial Narrow" w:cs="宋体"/>
          <w:sz w:val="24"/>
        </w:rPr>
        <w:t>13、中国人民银行发布的金融机构存款基准利率、各大银行存款利率调查；</w:t>
      </w:r>
    </w:p>
    <w:p>
      <w:pPr>
        <w:spacing w:line="360" w:lineRule="auto"/>
        <w:ind w:firstLine="568"/>
        <w:rPr>
          <w:rFonts w:ascii="Arial Narrow" w:hAnsi="Arial Narrow" w:cs="宋体"/>
          <w:sz w:val="24"/>
        </w:rPr>
      </w:pPr>
      <w:r>
        <w:rPr>
          <w:rFonts w:hint="eastAsia" w:ascii="Arial Narrow" w:hAnsi="Arial Narrow" w:cs="宋体"/>
          <w:sz w:val="24"/>
        </w:rPr>
        <w:t>14、银</w:t>
      </w:r>
      <w:r>
        <w:rPr>
          <w:rFonts w:ascii="Arial Narrow" w:hAnsi="Arial Narrow" w:cs="宋体"/>
          <w:sz w:val="24"/>
        </w:rPr>
        <w:t>政发</w:t>
      </w:r>
      <w:r>
        <w:rPr>
          <w:rFonts w:hint="eastAsia" w:ascii="Arial Narrow" w:hAnsi="Arial Narrow" w:cs="宋体"/>
          <w:sz w:val="24"/>
        </w:rPr>
        <w:t>[2017]190号</w:t>
      </w:r>
      <w:r>
        <w:rPr>
          <w:rFonts w:ascii="Arial Narrow" w:hAnsi="Arial Narrow" w:cs="宋体"/>
          <w:sz w:val="24"/>
        </w:rPr>
        <w:t>《</w:t>
      </w:r>
      <w:r>
        <w:rPr>
          <w:rFonts w:hint="eastAsia" w:ascii="Arial Narrow" w:hAnsi="Arial Narrow" w:cs="宋体"/>
          <w:sz w:val="24"/>
        </w:rPr>
        <w:t>银川市</w:t>
      </w:r>
      <w:r>
        <w:rPr>
          <w:rFonts w:ascii="Arial Narrow" w:hAnsi="Arial Narrow" w:cs="宋体"/>
          <w:sz w:val="24"/>
        </w:rPr>
        <w:t>人民政府关于公布实施银川市区土地级别与基准地价更新成果的公告》</w:t>
      </w:r>
      <w:r>
        <w:rPr>
          <w:rFonts w:hint="eastAsia" w:ascii="Arial Narrow" w:hAnsi="Arial Narrow" w:cs="宋体"/>
          <w:sz w:val="24"/>
        </w:rPr>
        <w:t>；</w:t>
      </w:r>
    </w:p>
    <w:p>
      <w:pPr>
        <w:widowControl/>
        <w:spacing w:line="360" w:lineRule="auto"/>
        <w:ind w:firstLine="568"/>
        <w:rPr>
          <w:rFonts w:ascii="Arial Narrow" w:hAnsi="Arial Narrow" w:cs="宋体"/>
          <w:sz w:val="24"/>
        </w:rPr>
      </w:pPr>
      <w:r>
        <w:rPr>
          <w:rFonts w:hint="eastAsia" w:ascii="Arial Narrow" w:hAnsi="Arial Narrow" w:cs="宋体"/>
          <w:sz w:val="24"/>
        </w:rPr>
        <w:t>15、（2021）宁0106执5700号《宁夏回族自治区银川市金凤区人民法院评估委托书》；</w:t>
      </w:r>
    </w:p>
    <w:p>
      <w:pPr>
        <w:widowControl/>
        <w:spacing w:line="360" w:lineRule="auto"/>
        <w:ind w:firstLine="568"/>
        <w:rPr>
          <w:rFonts w:ascii="Arial Narrow" w:hAnsi="Arial Narrow" w:cs="宋体"/>
          <w:sz w:val="24"/>
        </w:rPr>
      </w:pPr>
      <w:bookmarkStart w:id="14" w:name="_Toc535140654"/>
      <w:r>
        <w:rPr>
          <w:rFonts w:hint="eastAsia" w:ascii="Arial Narrow" w:hAnsi="Arial Narrow" w:cs="宋体"/>
          <w:sz w:val="24"/>
        </w:rPr>
        <w:t>16、估价委托人提供的估价对象《银川市不动产登记信息查询单》复印件；</w:t>
      </w:r>
    </w:p>
    <w:p>
      <w:pPr>
        <w:spacing w:line="360" w:lineRule="auto"/>
        <w:ind w:firstLine="568"/>
        <w:rPr>
          <w:rFonts w:ascii="Arial Narrow" w:hAnsi="Arial Narrow" w:cs="宋体"/>
          <w:sz w:val="24"/>
        </w:rPr>
      </w:pPr>
      <w:r>
        <w:rPr>
          <w:rFonts w:hint="eastAsia" w:ascii="Arial Narrow" w:hAnsi="Arial Narrow" w:cs="宋体"/>
          <w:sz w:val="24"/>
        </w:rPr>
        <w:t>17、估价对象实地查勘记录；</w:t>
      </w:r>
    </w:p>
    <w:p>
      <w:pPr>
        <w:widowControl/>
        <w:spacing w:line="360" w:lineRule="auto"/>
        <w:ind w:firstLine="568"/>
        <w:rPr>
          <w:rFonts w:ascii="Arial Narrow" w:hAnsi="Arial Narrow" w:cs="宋体"/>
          <w:sz w:val="24"/>
        </w:rPr>
      </w:pPr>
      <w:r>
        <w:rPr>
          <w:rFonts w:hint="eastAsia" w:ascii="Arial Narrow" w:hAnsi="Arial Narrow" w:cs="宋体"/>
          <w:sz w:val="24"/>
        </w:rPr>
        <w:t>18、本评估机构掌握的房地产市场相关资料。</w:t>
      </w:r>
    </w:p>
    <w:p>
      <w:pPr>
        <w:pStyle w:val="3"/>
        <w:keepNext w:val="0"/>
        <w:keepLines w:val="0"/>
        <w:widowControl/>
        <w:spacing w:before="0" w:after="0" w:line="360" w:lineRule="auto"/>
        <w:ind w:firstLine="482" w:firstLineChars="200"/>
      </w:pPr>
      <w:r>
        <w:t>九、估价方法</w:t>
      </w:r>
      <w:bookmarkEnd w:id="14"/>
    </w:p>
    <w:p>
      <w:pPr>
        <w:widowControl/>
        <w:shd w:val="clear" w:color="auto" w:fill="FFFFFF"/>
        <w:spacing w:line="360" w:lineRule="auto"/>
        <w:ind w:firstLine="480" w:firstLineChars="200"/>
        <w:jc w:val="left"/>
        <w:rPr>
          <w:rFonts w:ascii="Arial Narrow" w:hAnsi="Arial Narrow" w:cs="宋体"/>
          <w:sz w:val="24"/>
        </w:rPr>
      </w:pPr>
      <w:bookmarkStart w:id="15" w:name="_Toc535140655"/>
      <w:r>
        <w:rPr>
          <w:rFonts w:hint="eastAsia" w:ascii="Arial Narrow" w:hAnsi="Arial Narrow" w:cs="宋体"/>
          <w:sz w:val="24"/>
        </w:rPr>
        <w:t>根据《房地产估价规范》中对估价方法选用的规定：选用估价方法时，应根据估价对象及其所在地的房地产市场状况等客观条件，对比较法、收益法、成本法、假设开发法等估价方法进行适用性分析。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估价人员在实地查勘的基础上，根据价值时点估价对象用途、估价目的和资料收集状况，对估价方法选用分析如下：第一，经调查本地区同类房地产市场交易实例较多，可比实例较易取得，故可采用比较法估价；第二，经调查本地区同类房地产市场租赁实例较多，客观租金较易取得，故可采用收益法估价；第三，假设开发法适用于对在建工程和待开发用地的估价，而估价对象为已建成建筑物，故不宜采用假设开发法估价；第四，成本法以成本累加为基础，未充分考虑供求关系等市场因素对房地产价值的影响，测算结果不能反映住宅房的市场价值，故不宜采用成本法估价。</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1、比较法</w:t>
      </w:r>
    </w:p>
    <w:p>
      <w:pPr>
        <w:widowControl/>
        <w:spacing w:line="360" w:lineRule="auto"/>
        <w:ind w:firstLine="480" w:firstLineChars="200"/>
        <w:rPr>
          <w:rFonts w:ascii="Arial Narrow" w:hAnsi="Arial Narrow" w:cs="宋体"/>
          <w:sz w:val="24"/>
        </w:rPr>
      </w:pPr>
      <w:r>
        <w:rPr>
          <w:rFonts w:hint="eastAsia" w:ascii="Arial Narrow" w:hAnsi="Arial Narrow" w:cs="宋体"/>
          <w:sz w:val="24"/>
        </w:rPr>
        <w:t>比较法是选取一定数量的可比实例，将它们与估价对象进行比较，根据其间的差异对可比实例成交价格进行处理后得到估价对象价值或价格的方法。</w:t>
      </w:r>
    </w:p>
    <w:p>
      <w:pPr>
        <w:widowControl/>
        <w:spacing w:line="360" w:lineRule="auto"/>
        <w:ind w:firstLine="480" w:firstLineChars="200"/>
        <w:rPr>
          <w:rFonts w:ascii="Arial Narrow" w:hAnsi="Arial Narrow" w:cs="宋体"/>
          <w:sz w:val="24"/>
        </w:rPr>
      </w:pPr>
      <w:r>
        <w:rPr>
          <w:rFonts w:hint="eastAsia" w:ascii="Arial Narrow" w:hAnsi="Arial Narrow" w:cs="宋体"/>
          <w:sz w:val="24"/>
        </w:rPr>
        <w:t>首先对可比实例进行恰当地处理，基本公式为：</w:t>
      </w:r>
    </w:p>
    <w:p>
      <w:pPr>
        <w:tabs>
          <w:tab w:val="left" w:pos="1335"/>
        </w:tabs>
        <w:spacing w:line="360" w:lineRule="auto"/>
        <w:ind w:firstLine="480" w:firstLineChars="200"/>
        <w:rPr>
          <w:rFonts w:ascii="Arial Narrow" w:hAnsi="Arial Narrow" w:cs="宋体"/>
          <w:sz w:val="24"/>
        </w:rPr>
      </w:pPr>
      <w:r>
        <w:rPr>
          <w:rFonts w:hint="eastAsia" w:ascii="Arial Narrow" w:hAnsi="Arial Narrow" w:cs="宋体"/>
          <w:sz w:val="24"/>
        </w:rPr>
        <w:t>比准价格＝可比实例成交价格×市场状况调整系数×交易情况修正系数×房地产状况调整系数</w:t>
      </w:r>
    </w:p>
    <w:p>
      <w:pPr>
        <w:pStyle w:val="11"/>
        <w:spacing w:line="360" w:lineRule="auto"/>
        <w:ind w:left="0" w:firstLine="480" w:firstLineChars="200"/>
        <w:rPr>
          <w:rFonts w:ascii="Arial Narrow" w:hAnsi="Arial Narrow" w:cs="宋体"/>
          <w:kern w:val="2"/>
          <w:sz w:val="24"/>
        </w:rPr>
      </w:pPr>
      <w:r>
        <w:rPr>
          <w:rFonts w:hint="eastAsia" w:ascii="Arial Narrow" w:hAnsi="Arial Narrow" w:cs="宋体"/>
          <w:kern w:val="2"/>
          <w:sz w:val="24"/>
        </w:rPr>
        <w:t>把经过修正、调整后的若干个可比实例价格采用平均数综合成一个最终比准价格，也就是采用比较法测算出的估价对象比较价值。</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2、收益法</w:t>
      </w:r>
    </w:p>
    <w:p>
      <w:pPr>
        <w:widowControl/>
        <w:tabs>
          <w:tab w:val="left" w:pos="585"/>
          <w:tab w:val="left" w:pos="1134"/>
        </w:tabs>
        <w:spacing w:line="360" w:lineRule="auto"/>
        <w:ind w:firstLine="480" w:firstLineChars="200"/>
        <w:rPr>
          <w:rFonts w:ascii="Arial Narrow" w:hAnsi="Arial Narrow" w:cs="宋体"/>
          <w:kern w:val="0"/>
          <w:sz w:val="24"/>
        </w:rPr>
      </w:pPr>
      <w:r>
        <w:rPr>
          <w:rFonts w:hint="eastAsia" w:ascii="Arial Narrow" w:hAnsi="Arial Narrow" w:cs="宋体"/>
          <w:sz w:val="24"/>
        </w:rPr>
        <w:t>收益法是预测估价对象的未来收益，利用报酬率或资本化率、收益乘数将未来收益转换为价值得到估价对象价值或价格的方法。当采用报酬资本化法估价时，且估价对象收益期较长、难以预测该期限内各年净收益时，宜选用持有加转售模式进行估价，持有期末的房地产转售价格采用直接资本化法。基本公式为：</w:t>
      </w:r>
    </w:p>
    <w:p>
      <w:pPr>
        <w:widowControl/>
        <w:tabs>
          <w:tab w:val="left" w:pos="709"/>
          <w:tab w:val="left" w:pos="1134"/>
        </w:tabs>
        <w:spacing w:line="360" w:lineRule="auto"/>
        <w:ind w:left="850" w:leftChars="405"/>
        <w:rPr>
          <w:rFonts w:ascii="Arial Narrow" w:hAnsi="Arial Narrow"/>
        </w:rPr>
      </w:pPr>
      <w:r>
        <w:rPr>
          <w:rFonts w:ascii="Arial Narrow" w:hAnsi="Arial Narrow" w:eastAsia="仿宋_GB2312"/>
          <w:i/>
          <w:szCs w:val="21"/>
        </w:rPr>
        <w:drawing>
          <wp:inline distT="0" distB="0" distL="114300" distR="114300">
            <wp:extent cx="1609725" cy="59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1609725" cy="590550"/>
                    </a:xfrm>
                    <a:prstGeom prst="rect">
                      <a:avLst/>
                    </a:prstGeom>
                    <a:noFill/>
                    <a:ln w="9525">
                      <a:noFill/>
                      <a:miter/>
                    </a:ln>
                  </pic:spPr>
                </pic:pic>
              </a:graphicData>
            </a:graphic>
          </wp:inline>
        </w:drawing>
      </w:r>
      <w:r>
        <w:rPr>
          <w:rFonts w:ascii="Arial Narrow" w:hAnsi="Arial Narrow" w:eastAsia="仿宋_GB2312"/>
          <w:i/>
          <w:szCs w:val="21"/>
        </w:rPr>
        <w:br w:type="textWrapping"/>
      </w:r>
      <w:r>
        <w:rPr>
          <w:rFonts w:ascii="Arial Narrow" w:hAnsi="Arial Narrow"/>
        </w:rPr>
        <w:drawing>
          <wp:inline distT="0" distB="0" distL="114300" distR="114300">
            <wp:extent cx="5334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533400" cy="400050"/>
                    </a:xfrm>
                    <a:prstGeom prst="rect">
                      <a:avLst/>
                    </a:prstGeom>
                    <a:noFill/>
                    <a:ln w="9525">
                      <a:noFill/>
                      <a:miter/>
                    </a:ln>
                  </pic:spPr>
                </pic:pic>
              </a:graphicData>
            </a:graphic>
          </wp:inline>
        </w:drawing>
      </w:r>
    </w:p>
    <w:p>
      <w:pPr>
        <w:widowControl/>
        <w:tabs>
          <w:tab w:val="left" w:pos="1335"/>
        </w:tabs>
        <w:spacing w:line="360" w:lineRule="auto"/>
        <w:ind w:firstLine="480" w:firstLineChars="200"/>
        <w:rPr>
          <w:rFonts w:ascii="Arial Narrow" w:hAnsi="Arial Narrow"/>
          <w:sz w:val="24"/>
        </w:rPr>
      </w:pPr>
      <w:r>
        <w:rPr>
          <w:rFonts w:ascii="Arial Narrow" w:hAnsi="Arial Narrow"/>
          <w:sz w:val="24"/>
        </w:rPr>
        <w:t>式中：</w:t>
      </w:r>
    </w:p>
    <w:p>
      <w:pPr>
        <w:widowControl/>
        <w:tabs>
          <w:tab w:val="left" w:pos="1335"/>
        </w:tabs>
        <w:spacing w:line="360" w:lineRule="auto"/>
        <w:ind w:firstLine="1440" w:firstLineChars="600"/>
        <w:rPr>
          <w:rFonts w:ascii="Arial Narrow" w:hAnsi="Arial Narrow"/>
          <w:sz w:val="24"/>
        </w:rPr>
      </w:pPr>
      <w:r>
        <w:rPr>
          <w:rFonts w:ascii="Arial Narrow" w:hAnsi="Arial Narrow"/>
          <w:sz w:val="24"/>
        </w:rPr>
        <w:t>V表示：收益价值（元或元/m</w:t>
      </w:r>
      <w:r>
        <w:rPr>
          <w:rFonts w:ascii="Arial Narrow" w:hAnsi="Arial Narrow"/>
          <w:sz w:val="24"/>
          <w:vertAlign w:val="superscript"/>
        </w:rPr>
        <w:t>2</w:t>
      </w:r>
      <w:r>
        <w:rPr>
          <w:rFonts w:ascii="Arial Narrow" w:hAnsi="Arial Narrow"/>
          <w:sz w:val="24"/>
        </w:rPr>
        <w:t>）</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A</w:t>
      </w:r>
      <w:r>
        <w:rPr>
          <w:rFonts w:ascii="Arial Narrow" w:hAnsi="Arial Narrow"/>
          <w:sz w:val="24"/>
          <w:vertAlign w:val="subscript"/>
        </w:rPr>
        <w:t>i</w:t>
      </w:r>
      <w:r>
        <w:rPr>
          <w:rFonts w:ascii="Arial Narrow" w:hAnsi="Arial Narrow"/>
          <w:sz w:val="24"/>
        </w:rPr>
        <w:t>表示：期间收益（元或元/m</w:t>
      </w:r>
      <w:r>
        <w:rPr>
          <w:rFonts w:ascii="Arial Narrow" w:hAnsi="Arial Narrow"/>
          <w:sz w:val="24"/>
          <w:vertAlign w:val="superscript"/>
        </w:rPr>
        <w:t>2</w:t>
      </w:r>
      <w:r>
        <w:rPr>
          <w:rFonts w:ascii="Arial Narrow" w:hAnsi="Arial Narrow"/>
          <w:sz w:val="24"/>
        </w:rPr>
        <w:t>）</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V</w:t>
      </w:r>
      <w:r>
        <w:rPr>
          <w:rFonts w:ascii="Arial Narrow" w:hAnsi="Arial Narrow"/>
          <w:sz w:val="24"/>
          <w:vertAlign w:val="subscript"/>
        </w:rPr>
        <w:t>t</w:t>
      </w:r>
      <w:r>
        <w:rPr>
          <w:rFonts w:ascii="Arial Narrow" w:hAnsi="Arial Narrow"/>
          <w:sz w:val="24"/>
        </w:rPr>
        <w:t>表示：期末转售收益（元或元/m</w:t>
      </w:r>
      <w:r>
        <w:rPr>
          <w:rFonts w:ascii="Arial Narrow" w:hAnsi="Arial Narrow"/>
          <w:sz w:val="24"/>
          <w:vertAlign w:val="superscript"/>
        </w:rPr>
        <w:t>2</w:t>
      </w:r>
      <w:r>
        <w:rPr>
          <w:rFonts w:ascii="Arial Narrow" w:hAnsi="Arial Narrow"/>
          <w:sz w:val="24"/>
        </w:rPr>
        <w:t xml:space="preserve">）                               </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Y</w:t>
      </w:r>
      <w:r>
        <w:rPr>
          <w:rFonts w:ascii="Arial Narrow" w:hAnsi="Arial Narrow"/>
          <w:sz w:val="24"/>
          <w:vertAlign w:val="subscript"/>
        </w:rPr>
        <w:t>i</w:t>
      </w:r>
      <w:r>
        <w:rPr>
          <w:rFonts w:ascii="Arial Narrow" w:hAnsi="Arial Narrow"/>
          <w:sz w:val="24"/>
        </w:rPr>
        <w:t>表示：未来第i年的报酬率（%）</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Yt表示：期末报酬率（%）</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t表示：持有期（年）</w:t>
      </w:r>
    </w:p>
    <w:p>
      <w:pPr>
        <w:widowControl/>
        <w:tabs>
          <w:tab w:val="left" w:pos="1335"/>
        </w:tabs>
        <w:spacing w:line="360" w:lineRule="auto"/>
        <w:ind w:firstLine="1440" w:firstLineChars="600"/>
        <w:rPr>
          <w:rFonts w:ascii="Arial Narrow" w:hAnsi="Arial Narrow"/>
          <w:sz w:val="24"/>
        </w:rPr>
      </w:pPr>
      <w:r>
        <w:rPr>
          <w:rFonts w:ascii="Arial Narrow" w:hAnsi="Arial Narrow"/>
          <w:sz w:val="24"/>
        </w:rPr>
        <w:t>NOI表示：未来第一年的净收益(元)</w:t>
      </w:r>
    </w:p>
    <w:p>
      <w:pPr>
        <w:widowControl/>
        <w:tabs>
          <w:tab w:val="left" w:pos="1335"/>
        </w:tabs>
        <w:spacing w:line="360" w:lineRule="auto"/>
        <w:ind w:firstLine="1440" w:firstLineChars="600"/>
        <w:rPr>
          <w:rFonts w:ascii="Arial Narrow" w:hAnsi="Arial Narrow"/>
          <w:sz w:val="24"/>
        </w:rPr>
      </w:pPr>
      <w:r>
        <w:rPr>
          <w:rFonts w:ascii="Arial Narrow" w:hAnsi="Arial Narrow"/>
          <w:sz w:val="24"/>
        </w:rPr>
        <w:t>R表示：资本化率（%）</w:t>
      </w:r>
    </w:p>
    <w:p>
      <w:pPr>
        <w:pStyle w:val="3"/>
        <w:keepNext w:val="0"/>
        <w:keepLines w:val="0"/>
        <w:widowControl/>
        <w:spacing w:before="0" w:after="0" w:line="360" w:lineRule="auto"/>
        <w:ind w:firstLine="482" w:firstLineChars="200"/>
      </w:pPr>
      <w:r>
        <w:t>十、估价结果</w:t>
      </w:r>
      <w:bookmarkEnd w:id="15"/>
      <w:r>
        <w:tab/>
      </w:r>
    </w:p>
    <w:p>
      <w:pPr>
        <w:widowControl/>
        <w:tabs>
          <w:tab w:val="left" w:pos="585"/>
          <w:tab w:val="left" w:pos="1134"/>
        </w:tabs>
        <w:spacing w:line="360" w:lineRule="auto"/>
        <w:ind w:firstLine="480" w:firstLineChars="200"/>
        <w:rPr>
          <w:rFonts w:ascii="Arial Narrow" w:hAnsi="Arial Narrow" w:cs="Arial Narrow"/>
          <w:sz w:val="24"/>
        </w:rPr>
      </w:pPr>
      <w:r>
        <w:rPr>
          <w:rFonts w:hint="eastAsia" w:ascii="Arial Narrow" w:hAnsi="Arial Narrow" w:cs="宋体"/>
          <w:sz w:val="24"/>
        </w:rPr>
        <w:t>估价人员根据估价目的，遵循估价原则，按照估价工作程序，选用适宜的估价方法，经过周密审慎的测算，并结合估价经验及对影响房地产价值的因素综合分析后，确定于价值时点、在本评估报告设定的假设和限制条件下，估价对象房地合一市场价值为：人民币贰佰伍拾柒万陆仟玖佰元整（¥2,576,900.00），详见</w:t>
      </w:r>
      <w:r>
        <w:rPr>
          <w:rFonts w:hint="eastAsia" w:ascii="Arial Narrow" w:hAnsi="Arial Narrow" w:cs="Arial Narrow"/>
          <w:sz w:val="24"/>
        </w:rPr>
        <w:t>房地产</w:t>
      </w:r>
      <w:r>
        <w:rPr>
          <w:rFonts w:ascii="Arial Narrow" w:hAnsi="Arial Narrow" w:cs="Arial Narrow"/>
          <w:sz w:val="24"/>
        </w:rPr>
        <w:t>估价结果明细表</w:t>
      </w:r>
      <w:r>
        <w:rPr>
          <w:rFonts w:hint="eastAsia" w:ascii="Arial Narrow" w:hAnsi="Arial Narrow" w:cs="Arial Narrow"/>
          <w:sz w:val="24"/>
        </w:rPr>
        <w:t>。</w:t>
      </w:r>
    </w:p>
    <w:tbl>
      <w:tblPr>
        <w:tblStyle w:val="14"/>
        <w:tblW w:w="8934" w:type="dxa"/>
        <w:tblInd w:w="108" w:type="dxa"/>
        <w:tblLayout w:type="fixed"/>
        <w:tblCellMar>
          <w:top w:w="0" w:type="dxa"/>
          <w:left w:w="108" w:type="dxa"/>
          <w:bottom w:w="0" w:type="dxa"/>
          <w:right w:w="108" w:type="dxa"/>
        </w:tblCellMar>
      </w:tblPr>
      <w:tblGrid>
        <w:gridCol w:w="426"/>
        <w:gridCol w:w="850"/>
        <w:gridCol w:w="709"/>
        <w:gridCol w:w="850"/>
        <w:gridCol w:w="709"/>
        <w:gridCol w:w="425"/>
        <w:gridCol w:w="709"/>
        <w:gridCol w:w="712"/>
        <w:gridCol w:w="850"/>
        <w:gridCol w:w="851"/>
        <w:gridCol w:w="1134"/>
        <w:gridCol w:w="709"/>
      </w:tblGrid>
      <w:tr>
        <w:tblPrEx>
          <w:tblCellMar>
            <w:top w:w="0" w:type="dxa"/>
            <w:left w:w="108" w:type="dxa"/>
            <w:bottom w:w="0" w:type="dxa"/>
            <w:right w:w="108" w:type="dxa"/>
          </w:tblCellMar>
        </w:tblPrEx>
        <w:trPr>
          <w:trHeight w:val="170" w:hRule="atLeast"/>
          <w:tblHeader/>
        </w:trPr>
        <w:tc>
          <w:tcPr>
            <w:tcW w:w="8934" w:type="dxa"/>
            <w:gridSpan w:val="12"/>
            <w:tcBorders>
              <w:top w:val="nil"/>
              <w:left w:val="nil"/>
              <w:bottom w:val="nil"/>
              <w:right w:val="nil"/>
            </w:tcBorders>
            <w:shd w:val="clear" w:color="auto" w:fill="auto"/>
            <w:noWrap/>
            <w:vAlign w:val="center"/>
          </w:tcPr>
          <w:p>
            <w:pPr>
              <w:widowControl/>
              <w:jc w:val="center"/>
              <w:rPr>
                <w:rFonts w:ascii="Arial Narrow" w:hAnsi="Arial Narrow" w:cs="宋体"/>
                <w:b/>
                <w:bCs/>
                <w:kern w:val="0"/>
                <w:sz w:val="24"/>
              </w:rPr>
            </w:pPr>
            <w:bookmarkStart w:id="16" w:name="RANGE!A1:L12"/>
            <w:bookmarkStart w:id="17" w:name="_Toc444619171"/>
            <w:bookmarkStart w:id="18" w:name="_Toc535140656"/>
            <w:r>
              <w:rPr>
                <w:rFonts w:hint="eastAsia" w:ascii="宋体" w:hAnsi="宋体" w:cs="宋体"/>
                <w:b/>
                <w:bCs/>
                <w:kern w:val="0"/>
                <w:sz w:val="24"/>
              </w:rPr>
              <w:t>房地产估价结果明细表</w:t>
            </w:r>
            <w:bookmarkEnd w:id="16"/>
          </w:p>
        </w:tc>
      </w:tr>
      <w:tr>
        <w:tblPrEx>
          <w:tblCellMar>
            <w:top w:w="0" w:type="dxa"/>
            <w:left w:w="108" w:type="dxa"/>
            <w:bottom w:w="0" w:type="dxa"/>
            <w:right w:w="108" w:type="dxa"/>
          </w:tblCellMar>
        </w:tblPrEx>
        <w:trPr>
          <w:trHeight w:val="170" w:hRule="atLeast"/>
          <w:tblHeader/>
        </w:trPr>
        <w:tc>
          <w:tcPr>
            <w:tcW w:w="8934" w:type="dxa"/>
            <w:gridSpan w:val="12"/>
            <w:tcBorders>
              <w:top w:val="nil"/>
              <w:left w:val="nil"/>
              <w:bottom w:val="single" w:color="auto" w:sz="4" w:space="0"/>
              <w:right w:val="nil"/>
            </w:tcBorders>
            <w:shd w:val="clear" w:color="auto" w:fill="auto"/>
            <w:noWrap/>
            <w:vAlign w:val="center"/>
          </w:tcPr>
          <w:p>
            <w:pPr>
              <w:widowControl/>
              <w:jc w:val="center"/>
              <w:rPr>
                <w:rFonts w:ascii="Arial Narrow" w:hAnsi="Arial Narrow" w:cs="宋体"/>
                <w:b/>
                <w:bCs/>
                <w:kern w:val="0"/>
                <w:sz w:val="18"/>
                <w:szCs w:val="18"/>
              </w:rPr>
            </w:pPr>
            <w:r>
              <w:rPr>
                <w:rFonts w:ascii="Arial Narrow" w:hAnsi="Arial Narrow" w:cs="宋体"/>
                <w:b/>
                <w:bCs/>
                <w:kern w:val="0"/>
                <w:sz w:val="18"/>
                <w:szCs w:val="18"/>
              </w:rPr>
              <w:t>价值时点：2022年5月30日</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85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产权人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产权证号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估价对象名称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建成年代</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结构</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所在层</w:t>
            </w:r>
            <w:r>
              <w:rPr>
                <w:rFonts w:ascii="Arial Narrow" w:hAnsi="Arial Narrow" w:cs="宋体"/>
                <w:b/>
                <w:bCs/>
                <w:kern w:val="0"/>
                <w:sz w:val="18"/>
                <w:szCs w:val="18"/>
              </w:rPr>
              <w:t>//</w:t>
            </w:r>
            <w:r>
              <w:rPr>
                <w:rFonts w:hint="eastAsia" w:ascii="宋体" w:hAnsi="宋体" w:cs="宋体"/>
                <w:b/>
                <w:bCs/>
                <w:kern w:val="0"/>
                <w:sz w:val="18"/>
                <w:szCs w:val="18"/>
              </w:rPr>
              <w:t>总层数</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规划用途</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建筑面积（㎡）</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ind w:left="-109" w:leftChars="-52" w:right="-107" w:rightChars="-51" w:firstLine="1"/>
              <w:jc w:val="center"/>
              <w:rPr>
                <w:rFonts w:ascii="Arial Narrow" w:hAnsi="Arial Narrow" w:cs="宋体"/>
                <w:b/>
                <w:bCs/>
                <w:kern w:val="0"/>
                <w:sz w:val="18"/>
                <w:szCs w:val="18"/>
              </w:rPr>
            </w:pPr>
            <w:r>
              <w:rPr>
                <w:rFonts w:hint="eastAsia" w:ascii="宋体" w:hAnsi="宋体" w:cs="宋体"/>
                <w:b/>
                <w:bCs/>
                <w:kern w:val="0"/>
                <w:sz w:val="18"/>
                <w:szCs w:val="18"/>
              </w:rPr>
              <w:t>评估单价（元</w:t>
            </w:r>
            <w:r>
              <w:rPr>
                <w:rFonts w:ascii="Arial Narrow" w:hAnsi="Arial Narrow" w:cs="宋体"/>
                <w:b/>
                <w:bCs/>
                <w:kern w:val="0"/>
                <w:sz w:val="18"/>
                <w:szCs w:val="18"/>
              </w:rPr>
              <w:t>/</w:t>
            </w:r>
            <w:r>
              <w:rPr>
                <w:rFonts w:hint="eastAsia" w:ascii="宋体" w:hAnsi="宋体" w:cs="宋体"/>
                <w:b/>
                <w:bCs/>
                <w:kern w:val="0"/>
                <w:sz w:val="18"/>
                <w:szCs w:val="18"/>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评估总价（元）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备注</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1</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宁夏浩海房地产开发集团有限公司</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2012004451</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银川市金凤区新海家园22号公寓楼519室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5//9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47.71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5,307.00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253,200.00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2012004449</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银川市金凤区新海家园22号公寓楼613室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6//9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52.41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5,334.00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279,600.00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2012004447</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银川市金凤区新海家园22号公寓楼617室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6//9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46.77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5,334.00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249,500.00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4</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2012004435</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银川市金凤区新海家园22号公寓楼701室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7//9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70.25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5,360.00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376,500.00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2012004445</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银川市金凤区新海家园22号公寓楼711室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7//9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65.09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5,360.00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348,900.00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2012004442</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银川市金凤区新海家园22号公寓楼722室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7//9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5,414.00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389,400.00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7</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银川市金凤区新海家园22号公寓楼902室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9//9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68.42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5,092.00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348,400.00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8</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2012004438</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银川市金凤区新海家园22号公寓楼914室</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2009</w:t>
            </w:r>
            <w:r>
              <w:rPr>
                <w:rFonts w:hint="eastAsia" w:ascii="宋体" w:hAnsi="宋体" w:cs="宋体"/>
                <w:kern w:val="0"/>
                <w:sz w:val="18"/>
                <w:szCs w:val="18"/>
              </w:rPr>
              <w:t>年</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hint="eastAsia" w:ascii="宋体" w:hAnsi="宋体" w:cs="宋体"/>
                <w:kern w:val="0"/>
                <w:sz w:val="18"/>
                <w:szCs w:val="18"/>
              </w:rPr>
              <w:t>钢混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Arial Narrow" w:cs="宋体"/>
                <w:kern w:val="0"/>
                <w:sz w:val="18"/>
                <w:szCs w:val="18"/>
              </w:rPr>
              <w:t>9//9</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65.09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5,092.00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kern w:val="0"/>
                <w:sz w:val="18"/>
                <w:szCs w:val="18"/>
              </w:rPr>
            </w:pPr>
            <w:r>
              <w:rPr>
                <w:rFonts w:ascii="Arial Narrow" w:hAnsi="Arial Narrow" w:cs="宋体"/>
                <w:kern w:val="0"/>
                <w:sz w:val="18"/>
                <w:szCs w:val="18"/>
              </w:rPr>
              <w:t>331,400.00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房地合一价</w:t>
            </w:r>
          </w:p>
        </w:tc>
      </w:tr>
      <w:tr>
        <w:tblPrEx>
          <w:tblCellMar>
            <w:top w:w="0" w:type="dxa"/>
            <w:left w:w="108" w:type="dxa"/>
            <w:bottom w:w="0" w:type="dxa"/>
            <w:right w:w="108" w:type="dxa"/>
          </w:tblCellMar>
        </w:tblPrEx>
        <w:trPr>
          <w:trHeight w:val="170" w:hRule="atLeast"/>
          <w:tblHeader/>
        </w:trPr>
        <w:tc>
          <w:tcPr>
            <w:tcW w:w="539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合计</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b/>
                <w:bCs/>
                <w:kern w:val="0"/>
                <w:sz w:val="18"/>
                <w:szCs w:val="18"/>
              </w:rPr>
            </w:pPr>
            <w:r>
              <w:rPr>
                <w:rFonts w:ascii="Arial Narrow" w:hAnsi="Arial Narrow" w:cs="宋体"/>
                <w:b/>
                <w:bCs/>
                <w:kern w:val="0"/>
                <w:sz w:val="18"/>
                <w:szCs w:val="18"/>
              </w:rPr>
              <w:t>487.67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b/>
                <w:bCs/>
                <w:kern w:val="0"/>
                <w:sz w:val="18"/>
                <w:szCs w:val="18"/>
              </w:rPr>
            </w:pPr>
            <w:r>
              <w:rPr>
                <w:rFonts w:ascii="Arial Narrow" w:hAnsi="Arial Narrow" w:cs="宋体"/>
                <w:b/>
                <w:bCs/>
                <w:kern w:val="0"/>
                <w:sz w:val="18"/>
                <w:szCs w:val="18"/>
              </w:rPr>
              <w:t>***</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b/>
                <w:bCs/>
                <w:kern w:val="0"/>
                <w:sz w:val="18"/>
                <w:szCs w:val="18"/>
              </w:rPr>
            </w:pPr>
            <w:r>
              <w:rPr>
                <w:rFonts w:ascii="Arial Narrow" w:hAnsi="Arial Narrow" w:cs="宋体"/>
                <w:b/>
                <w:bCs/>
                <w:kern w:val="0"/>
                <w:sz w:val="18"/>
                <w:szCs w:val="18"/>
              </w:rPr>
              <w:t>2,576,900.00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Narrow" w:hAnsi="Arial Narrow" w:cs="宋体"/>
                <w:b/>
                <w:bCs/>
                <w:kern w:val="0"/>
                <w:sz w:val="18"/>
                <w:szCs w:val="18"/>
              </w:rPr>
            </w:pPr>
            <w:r>
              <w:rPr>
                <w:rFonts w:hint="eastAsia" w:ascii="宋体" w:hAnsi="宋体" w:cs="宋体"/>
                <w:b/>
                <w:bCs/>
                <w:kern w:val="0"/>
                <w:sz w:val="18"/>
                <w:szCs w:val="18"/>
              </w:rPr>
              <w:t>百位取整</w:t>
            </w:r>
          </w:p>
        </w:tc>
      </w:tr>
    </w:tbl>
    <w:p>
      <w:pPr>
        <w:pStyle w:val="3"/>
        <w:keepNext w:val="0"/>
        <w:keepLines w:val="0"/>
        <w:widowControl/>
        <w:spacing w:before="0" w:after="0" w:line="360" w:lineRule="auto"/>
        <w:ind w:firstLine="482" w:firstLineChars="200"/>
        <w:rPr>
          <w:rFonts w:ascii="Arial Narrow" w:hAnsi="Arial Narrow"/>
        </w:rPr>
      </w:pPr>
      <w:r>
        <w:rPr>
          <w:rFonts w:ascii="Arial Narrow" w:hAnsi="Arial Narrow"/>
        </w:rPr>
        <w:t>十一、估价人员</w:t>
      </w:r>
      <w:bookmarkEnd w:id="17"/>
      <w:bookmarkEnd w:id="18"/>
    </w:p>
    <w:tbl>
      <w:tblPr>
        <w:tblStyle w:val="14"/>
        <w:tblW w:w="8699" w:type="dxa"/>
        <w:jc w:val="center"/>
        <w:tblLayout w:type="fixed"/>
        <w:tblCellMar>
          <w:top w:w="0" w:type="dxa"/>
          <w:left w:w="108" w:type="dxa"/>
          <w:bottom w:w="0" w:type="dxa"/>
          <w:right w:w="108" w:type="dxa"/>
        </w:tblCellMar>
      </w:tblPr>
      <w:tblGrid>
        <w:gridCol w:w="1229"/>
        <w:gridCol w:w="2130"/>
        <w:gridCol w:w="2895"/>
        <w:gridCol w:w="2445"/>
      </w:tblGrid>
      <w:tr>
        <w:tblPrEx>
          <w:tblCellMar>
            <w:top w:w="0" w:type="dxa"/>
            <w:left w:w="108" w:type="dxa"/>
            <w:bottom w:w="0" w:type="dxa"/>
            <w:right w:w="108" w:type="dxa"/>
          </w:tblCellMar>
        </w:tblPrEx>
        <w:trPr>
          <w:trHeight w:val="851" w:hRule="exact"/>
          <w:jc w:val="center"/>
        </w:trPr>
        <w:tc>
          <w:tcPr>
            <w:tcW w:w="1229" w:type="dxa"/>
            <w:vAlign w:val="center"/>
          </w:tcPr>
          <w:p>
            <w:pPr>
              <w:widowControl/>
              <w:ind w:firstLine="360" w:firstLineChars="150"/>
              <w:rPr>
                <w:rFonts w:ascii="Arial Narrow" w:hAnsi="Arial Narrow"/>
                <w:sz w:val="24"/>
              </w:rPr>
            </w:pPr>
            <w:bookmarkStart w:id="19" w:name="_Toc535140657"/>
            <w:bookmarkStart w:id="20" w:name="_Toc23299"/>
            <w:r>
              <w:rPr>
                <w:rFonts w:hint="eastAsia" w:ascii="Arial Narrow" w:hAnsi="Arial Narrow"/>
                <w:sz w:val="24"/>
              </w:rPr>
              <w:t>姓名</w:t>
            </w:r>
          </w:p>
        </w:tc>
        <w:tc>
          <w:tcPr>
            <w:tcW w:w="2130" w:type="dxa"/>
            <w:vAlign w:val="center"/>
          </w:tcPr>
          <w:p>
            <w:pPr>
              <w:widowControl/>
              <w:jc w:val="center"/>
              <w:rPr>
                <w:rFonts w:ascii="Arial Narrow" w:hAnsi="Arial Narrow"/>
                <w:sz w:val="24"/>
              </w:rPr>
            </w:pPr>
            <w:r>
              <w:rPr>
                <w:rFonts w:hint="eastAsia" w:ascii="Arial Narrow" w:hAnsi="Arial Narrow"/>
                <w:sz w:val="24"/>
              </w:rPr>
              <w:t>注册号</w:t>
            </w:r>
          </w:p>
        </w:tc>
        <w:tc>
          <w:tcPr>
            <w:tcW w:w="2895" w:type="dxa"/>
            <w:vAlign w:val="center"/>
          </w:tcPr>
          <w:p>
            <w:pPr>
              <w:widowControl/>
              <w:ind w:firstLine="240" w:firstLineChars="100"/>
              <w:rPr>
                <w:rFonts w:ascii="Arial Narrow" w:hAnsi="Arial Narrow"/>
                <w:sz w:val="24"/>
              </w:rPr>
            </w:pPr>
            <w:r>
              <w:rPr>
                <w:rFonts w:ascii="Arial Narrow" w:hAnsi="Arial Narrow"/>
                <w:sz w:val="24"/>
              </w:rPr>
              <w:t xml:space="preserve">      </w:t>
            </w:r>
            <w:r>
              <w:rPr>
                <w:rFonts w:hint="eastAsia" w:ascii="Arial Narrow" w:hAnsi="Arial Narrow"/>
                <w:sz w:val="24"/>
              </w:rPr>
              <w:t>签（章）名</w:t>
            </w:r>
          </w:p>
        </w:tc>
        <w:tc>
          <w:tcPr>
            <w:tcW w:w="2445" w:type="dxa"/>
            <w:vAlign w:val="center"/>
          </w:tcPr>
          <w:p>
            <w:pPr>
              <w:widowControl/>
              <w:ind w:firstLine="480" w:firstLineChars="200"/>
              <w:jc w:val="left"/>
              <w:rPr>
                <w:rFonts w:ascii="Arial Narrow" w:hAnsi="Arial Narrow"/>
                <w:sz w:val="24"/>
              </w:rPr>
            </w:pPr>
            <w:r>
              <w:rPr>
                <w:rFonts w:ascii="Arial Narrow" w:hAnsi="Arial Narrow"/>
                <w:sz w:val="24"/>
              </w:rPr>
              <w:t xml:space="preserve">  </w:t>
            </w:r>
            <w:r>
              <w:rPr>
                <w:rFonts w:hint="eastAsia" w:ascii="Arial Narrow" w:hAnsi="Arial Narrow"/>
                <w:sz w:val="24"/>
              </w:rPr>
              <w:t>签名日期</w:t>
            </w:r>
          </w:p>
        </w:tc>
      </w:tr>
      <w:tr>
        <w:tblPrEx>
          <w:tblCellMar>
            <w:top w:w="0" w:type="dxa"/>
            <w:left w:w="108" w:type="dxa"/>
            <w:bottom w:w="0" w:type="dxa"/>
            <w:right w:w="108" w:type="dxa"/>
          </w:tblCellMar>
        </w:tblPrEx>
        <w:trPr>
          <w:trHeight w:val="851" w:hRule="exact"/>
          <w:jc w:val="center"/>
        </w:trPr>
        <w:tc>
          <w:tcPr>
            <w:tcW w:w="1229" w:type="dxa"/>
            <w:vAlign w:val="center"/>
          </w:tcPr>
          <w:p>
            <w:pPr>
              <w:spacing w:line="360" w:lineRule="auto"/>
              <w:ind w:firstLine="240" w:firstLineChars="100"/>
              <w:jc w:val="right"/>
              <w:rPr>
                <w:rFonts w:ascii="Arial Narrow" w:hAnsi="Arial Narrow" w:cs="Arial Narrow"/>
                <w:sz w:val="24"/>
              </w:rPr>
            </w:pPr>
            <w:r>
              <w:rPr>
                <w:rFonts w:hint="eastAsia" w:ascii="Arial Narrow" w:hAnsi="Arial Narrow" w:cs="Arial Narrow"/>
                <w:sz w:val="24"/>
              </w:rPr>
              <w:t>罗尚吉</w:t>
            </w:r>
          </w:p>
        </w:tc>
        <w:tc>
          <w:tcPr>
            <w:tcW w:w="2130" w:type="dxa"/>
            <w:vAlign w:val="center"/>
          </w:tcPr>
          <w:p>
            <w:pPr>
              <w:spacing w:line="360" w:lineRule="auto"/>
              <w:jc w:val="center"/>
              <w:rPr>
                <w:rFonts w:ascii="Arial Narrow" w:hAnsi="Arial Narrow"/>
                <w:sz w:val="24"/>
              </w:rPr>
            </w:pPr>
            <w:r>
              <w:rPr>
                <w:rFonts w:hint="eastAsia" w:ascii="Arial Narrow" w:hAnsi="Arial Narrow" w:cs="Arial Narrow"/>
                <w:sz w:val="24"/>
              </w:rPr>
              <w:t>6420150003</w:t>
            </w:r>
          </w:p>
        </w:tc>
        <w:tc>
          <w:tcPr>
            <w:tcW w:w="2895" w:type="dxa"/>
            <w:vAlign w:val="center"/>
          </w:tcPr>
          <w:p>
            <w:pPr>
              <w:widowControl/>
              <w:spacing w:line="360" w:lineRule="auto"/>
              <w:ind w:firstLine="360" w:firstLineChars="150"/>
              <w:rPr>
                <w:rFonts w:ascii="Arial Narrow" w:hAnsi="Arial Narrow" w:cs="Arial Narrow"/>
                <w:sz w:val="24"/>
              </w:rPr>
            </w:pPr>
          </w:p>
        </w:tc>
        <w:tc>
          <w:tcPr>
            <w:tcW w:w="2445" w:type="dxa"/>
            <w:vAlign w:val="center"/>
          </w:tcPr>
          <w:p>
            <w:pPr>
              <w:widowControl/>
              <w:spacing w:line="360" w:lineRule="auto"/>
              <w:rPr>
                <w:rFonts w:ascii="Arial Narrow" w:hAnsi="Arial Narrow"/>
                <w:sz w:val="24"/>
              </w:rPr>
            </w:pPr>
            <w:r>
              <w:rPr>
                <w:rFonts w:ascii="Arial Narrow" w:hAnsi="Arial Narrow"/>
                <w:sz w:val="24"/>
              </w:rPr>
              <w:t xml:space="preserve">     </w:t>
            </w:r>
            <w:r>
              <w:rPr>
                <w:rFonts w:hint="eastAsia" w:ascii="Arial Narrow" w:hAnsi="Arial Narrow"/>
                <w:sz w:val="24"/>
              </w:rPr>
              <w:t>年</w:t>
            </w:r>
            <w:r>
              <w:rPr>
                <w:rFonts w:ascii="Arial Narrow" w:hAnsi="Arial Narrow"/>
                <w:sz w:val="24"/>
              </w:rPr>
              <w:t xml:space="preserve">   </w:t>
            </w:r>
            <w:r>
              <w:rPr>
                <w:rFonts w:hint="eastAsia" w:ascii="Arial Narrow" w:hAnsi="Arial Narrow"/>
                <w:sz w:val="24"/>
              </w:rPr>
              <w:t>月</w:t>
            </w:r>
            <w:r>
              <w:rPr>
                <w:rFonts w:ascii="Arial Narrow" w:hAnsi="Arial Narrow"/>
                <w:sz w:val="24"/>
              </w:rPr>
              <w:t xml:space="preserve">   </w:t>
            </w:r>
            <w:r>
              <w:rPr>
                <w:rFonts w:hint="eastAsia" w:ascii="Arial Narrow" w:hAnsi="Arial Narrow"/>
                <w:sz w:val="24"/>
              </w:rPr>
              <w:t>日</w:t>
            </w:r>
            <w:r>
              <w:rPr>
                <w:rFonts w:ascii="Arial Narrow" w:hAnsi="Arial Narrow"/>
                <w:sz w:val="24"/>
              </w:rPr>
              <w:t xml:space="preserve"> </w:t>
            </w:r>
          </w:p>
        </w:tc>
      </w:tr>
      <w:tr>
        <w:tblPrEx>
          <w:tblCellMar>
            <w:top w:w="0" w:type="dxa"/>
            <w:left w:w="108" w:type="dxa"/>
            <w:bottom w:w="0" w:type="dxa"/>
            <w:right w:w="108" w:type="dxa"/>
          </w:tblCellMar>
        </w:tblPrEx>
        <w:trPr>
          <w:trHeight w:val="851" w:hRule="exact"/>
          <w:jc w:val="center"/>
        </w:trPr>
        <w:tc>
          <w:tcPr>
            <w:tcW w:w="1229" w:type="dxa"/>
            <w:vAlign w:val="center"/>
          </w:tcPr>
          <w:p>
            <w:pPr>
              <w:spacing w:line="360" w:lineRule="auto"/>
              <w:ind w:firstLine="240" w:firstLineChars="100"/>
              <w:jc w:val="center"/>
              <w:rPr>
                <w:rFonts w:ascii="Arial Narrow" w:hAnsi="Arial Narrow"/>
                <w:sz w:val="24"/>
              </w:rPr>
            </w:pPr>
            <w:r>
              <w:rPr>
                <w:rFonts w:hint="eastAsia" w:ascii="Arial Narrow" w:hAnsi="Arial Narrow" w:cs="Arial Narrow"/>
                <w:sz w:val="24"/>
              </w:rPr>
              <w:t>葛 畅</w:t>
            </w:r>
          </w:p>
        </w:tc>
        <w:tc>
          <w:tcPr>
            <w:tcW w:w="2130" w:type="dxa"/>
            <w:vAlign w:val="center"/>
          </w:tcPr>
          <w:p>
            <w:pPr>
              <w:spacing w:line="360" w:lineRule="auto"/>
              <w:jc w:val="center"/>
              <w:rPr>
                <w:rFonts w:ascii="Arial Narrow" w:hAnsi="Arial Narrow"/>
                <w:sz w:val="24"/>
              </w:rPr>
            </w:pPr>
            <w:r>
              <w:rPr>
                <w:rFonts w:ascii="Arial Narrow" w:hAnsi="Arial Narrow" w:cs="Arial Narrow"/>
                <w:sz w:val="24"/>
              </w:rPr>
              <w:t>6420</w:t>
            </w:r>
            <w:r>
              <w:rPr>
                <w:rFonts w:hint="eastAsia" w:ascii="Arial Narrow" w:hAnsi="Arial Narrow" w:cs="Arial Narrow"/>
                <w:sz w:val="24"/>
              </w:rPr>
              <w:t>040025</w:t>
            </w:r>
          </w:p>
        </w:tc>
        <w:tc>
          <w:tcPr>
            <w:tcW w:w="2895" w:type="dxa"/>
            <w:vAlign w:val="center"/>
          </w:tcPr>
          <w:p>
            <w:pPr>
              <w:widowControl/>
              <w:spacing w:line="360" w:lineRule="auto"/>
              <w:jc w:val="center"/>
              <w:rPr>
                <w:rFonts w:ascii="Arial Narrow" w:hAnsi="Arial Narrow"/>
                <w:sz w:val="24"/>
              </w:rPr>
            </w:pPr>
          </w:p>
        </w:tc>
        <w:tc>
          <w:tcPr>
            <w:tcW w:w="2445" w:type="dxa"/>
            <w:vAlign w:val="center"/>
          </w:tcPr>
          <w:p>
            <w:pPr>
              <w:widowControl/>
              <w:spacing w:line="360" w:lineRule="auto"/>
              <w:rPr>
                <w:rFonts w:ascii="Arial Narrow" w:hAnsi="Arial Narrow"/>
                <w:sz w:val="24"/>
              </w:rPr>
            </w:pPr>
            <w:r>
              <w:rPr>
                <w:rFonts w:ascii="Arial Narrow" w:hAnsi="Arial Narrow"/>
                <w:sz w:val="24"/>
              </w:rPr>
              <w:t xml:space="preserve">     年   月   日 </w:t>
            </w:r>
          </w:p>
        </w:tc>
      </w:tr>
    </w:tbl>
    <w:p>
      <w:pPr>
        <w:pStyle w:val="3"/>
        <w:keepNext w:val="0"/>
        <w:keepLines w:val="0"/>
        <w:widowControl/>
        <w:spacing w:before="0" w:after="0" w:line="360" w:lineRule="auto"/>
        <w:ind w:firstLine="482" w:firstLineChars="200"/>
        <w:rPr>
          <w:rFonts w:ascii="Arial Narrow" w:hAnsi="Arial Narrow"/>
        </w:rPr>
      </w:pPr>
      <w:r>
        <w:rPr>
          <w:rFonts w:ascii="Arial Narrow" w:hAnsi="Arial Narrow"/>
        </w:rPr>
        <w:t>十二、实地查勘期</w:t>
      </w:r>
      <w:bookmarkEnd w:id="19"/>
    </w:p>
    <w:bookmarkEnd w:id="20"/>
    <w:p>
      <w:pPr>
        <w:widowControl/>
        <w:spacing w:line="360" w:lineRule="auto"/>
        <w:ind w:firstLine="480" w:firstLineChars="200"/>
        <w:rPr>
          <w:rFonts w:ascii="Arial Narrow" w:hAnsi="Arial Narrow"/>
          <w:sz w:val="24"/>
        </w:rPr>
      </w:pPr>
      <w:r>
        <w:rPr>
          <w:rFonts w:ascii="Arial Narrow" w:hAnsi="Arial Narrow"/>
          <w:sz w:val="24"/>
        </w:rPr>
        <w:t>实地查勘估价对象的起止日期自进入估价对象现场之日</w:t>
      </w:r>
      <w:r>
        <w:rPr>
          <w:rFonts w:hint="eastAsia" w:ascii="Arial Narrow" w:hAnsi="Arial Narrow"/>
          <w:sz w:val="24"/>
        </w:rPr>
        <w:t>2022年5月30日</w:t>
      </w:r>
      <w:r>
        <w:rPr>
          <w:rFonts w:ascii="Arial Narrow" w:hAnsi="Arial Narrow"/>
          <w:sz w:val="24"/>
        </w:rPr>
        <w:t>至完成实地查勘之日</w:t>
      </w:r>
      <w:r>
        <w:rPr>
          <w:rFonts w:hint="eastAsia" w:ascii="Arial Narrow" w:hAnsi="Arial Narrow"/>
          <w:sz w:val="24"/>
        </w:rPr>
        <w:t>2022年5月30日</w:t>
      </w:r>
      <w:r>
        <w:rPr>
          <w:rFonts w:ascii="Arial Narrow" w:hAnsi="Arial Narrow"/>
          <w:sz w:val="24"/>
        </w:rPr>
        <w:t>止。</w:t>
      </w:r>
    </w:p>
    <w:p>
      <w:pPr>
        <w:pStyle w:val="3"/>
        <w:keepNext w:val="0"/>
        <w:keepLines w:val="0"/>
        <w:widowControl/>
        <w:spacing w:before="0" w:after="0" w:line="360" w:lineRule="auto"/>
        <w:ind w:firstLine="482" w:firstLineChars="200"/>
        <w:rPr>
          <w:rFonts w:ascii="Arial Narrow" w:hAnsi="Arial Narrow"/>
        </w:rPr>
      </w:pPr>
      <w:bookmarkStart w:id="21" w:name="_Toc535140658"/>
      <w:bookmarkStart w:id="22" w:name="_Toc12359"/>
      <w:r>
        <w:rPr>
          <w:rFonts w:ascii="Arial Narrow" w:hAnsi="Arial Narrow"/>
        </w:rPr>
        <w:t>十三、估价作业期</w:t>
      </w:r>
      <w:bookmarkEnd w:id="21"/>
    </w:p>
    <w:bookmarkEnd w:id="22"/>
    <w:p>
      <w:pPr>
        <w:widowControl/>
        <w:spacing w:line="360" w:lineRule="auto"/>
        <w:ind w:firstLine="567"/>
        <w:rPr>
          <w:rFonts w:ascii="Arial Narrow" w:hAnsi="Arial Narrow" w:cs="Arial Narrow"/>
          <w:sz w:val="24"/>
        </w:rPr>
      </w:pPr>
      <w:r>
        <w:rPr>
          <w:rFonts w:ascii="Arial Narrow" w:hAnsi="Arial Narrow" w:cs="Arial Narrow"/>
          <w:sz w:val="24"/>
        </w:rPr>
        <w:t>估价工作起止日期为自受理估价委托之日</w:t>
      </w:r>
      <w:r>
        <w:rPr>
          <w:rFonts w:hint="eastAsia" w:ascii="Arial Narrow" w:hAnsi="Arial Narrow" w:cs="Arial Narrow"/>
          <w:sz w:val="24"/>
        </w:rPr>
        <w:t>2022年5月13日</w:t>
      </w:r>
      <w:r>
        <w:rPr>
          <w:rFonts w:ascii="Arial Narrow" w:hAnsi="Arial Narrow" w:cs="Arial Narrow"/>
          <w:sz w:val="24"/>
        </w:rPr>
        <w:t>至</w:t>
      </w:r>
      <w:r>
        <w:rPr>
          <w:rFonts w:hint="eastAsia" w:ascii="Arial Narrow" w:hAnsi="Arial Narrow" w:cs="Arial Narrow"/>
          <w:sz w:val="24"/>
        </w:rPr>
        <w:t>评估</w:t>
      </w:r>
      <w:r>
        <w:rPr>
          <w:rFonts w:ascii="Arial Narrow" w:hAnsi="Arial Narrow" w:cs="Arial Narrow"/>
          <w:sz w:val="24"/>
        </w:rPr>
        <w:t>报告出具之日</w:t>
      </w:r>
      <w:r>
        <w:rPr>
          <w:rFonts w:hint="eastAsia" w:ascii="Arial Narrow" w:hAnsi="Arial Narrow" w:cs="Arial Narrow"/>
          <w:sz w:val="24"/>
        </w:rPr>
        <w:t>2022年6月13日</w:t>
      </w:r>
      <w:r>
        <w:rPr>
          <w:rFonts w:ascii="Arial Narrow" w:hAnsi="Arial Narrow" w:cs="Arial Narrow"/>
          <w:sz w:val="24"/>
        </w:rPr>
        <w:t>止。</w:t>
      </w:r>
    </w:p>
    <w:p>
      <w:pPr>
        <w:widowControl/>
        <w:spacing w:line="360" w:lineRule="auto"/>
        <w:ind w:firstLine="567"/>
        <w:rPr>
          <w:rFonts w:ascii="Arial Narrow" w:hAnsi="Arial Narrow" w:cs="Arial Narrow"/>
          <w:sz w:val="24"/>
        </w:rPr>
      </w:pPr>
    </w:p>
    <w:p>
      <w:pPr>
        <w:widowControl/>
        <w:spacing w:line="360" w:lineRule="auto"/>
        <w:ind w:firstLine="567"/>
        <w:rPr>
          <w:rFonts w:hint="eastAsia" w:ascii="Arial Narrow" w:hAnsi="Arial Narrow" w:cs="Arial Narrow"/>
          <w:sz w:val="24"/>
        </w:rPr>
      </w:pPr>
      <w:r>
        <w:rPr>
          <w:rFonts w:ascii="Arial Narrow" w:hAnsi="Arial Narrow" w:cs="Arial Narrow"/>
          <w:sz w:val="24"/>
        </w:rPr>
        <w:t xml:space="preserve">     </w:t>
      </w:r>
    </w:p>
    <w:p>
      <w:pPr>
        <w:widowControl/>
        <w:spacing w:line="360" w:lineRule="auto"/>
        <w:ind w:firstLine="567"/>
        <w:rPr>
          <w:rFonts w:ascii="Arial Narrow" w:hAnsi="Arial Narrow" w:cs="Arial Narrow"/>
          <w:sz w:val="24"/>
        </w:rPr>
      </w:pPr>
      <w:r>
        <w:rPr>
          <w:rFonts w:ascii="Arial Narrow" w:hAnsi="Arial Narrow" w:cs="Arial Narrow"/>
          <w:sz w:val="24"/>
        </w:rPr>
        <w:t xml:space="preserve">                      宁夏正业通房地产土地资产评估有限公司 </w:t>
      </w:r>
    </w:p>
    <w:p>
      <w:pPr>
        <w:widowControl/>
        <w:spacing w:line="360" w:lineRule="auto"/>
        <w:ind w:firstLine="567"/>
        <w:rPr>
          <w:rFonts w:ascii="Arial Narrow" w:hAnsi="Arial Narrow" w:cs="Arial Narrow"/>
          <w:sz w:val="24"/>
        </w:rPr>
      </w:pPr>
      <w:r>
        <w:rPr>
          <w:rFonts w:ascii="Arial Narrow" w:hAnsi="Arial Narrow" w:cs="Arial Narrow"/>
          <w:sz w:val="24"/>
        </w:rPr>
        <w:t xml:space="preserve">                                   二〇二二年六月十三日</w:t>
      </w:r>
    </w:p>
    <w:p>
      <w:pPr>
        <w:pStyle w:val="2"/>
        <w:keepNext w:val="0"/>
        <w:keepLines w:val="0"/>
        <w:widowControl/>
        <w:rPr>
          <w:rFonts w:ascii="Arial Narrow" w:hAnsi="Arial Narrow"/>
          <w:sz w:val="44"/>
          <w:szCs w:val="44"/>
        </w:rPr>
      </w:pPr>
      <w:bookmarkStart w:id="23" w:name="_Toc535140659"/>
      <w:r>
        <w:rPr>
          <w:rFonts w:ascii="Arial Narrow" w:hAnsi="Arial Narrow"/>
          <w:sz w:val="44"/>
          <w:szCs w:val="44"/>
        </w:rPr>
        <w:br w:type="page"/>
      </w:r>
    </w:p>
    <w:p/>
    <w:p/>
    <w:p/>
    <w:p/>
    <w:p/>
    <w:p/>
    <w:p/>
    <w:p/>
    <w:p/>
    <w:p/>
    <w:p/>
    <w:p/>
    <w:p/>
    <w:p/>
    <w:p/>
    <w:p/>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r>
        <w:rPr>
          <w:rFonts w:ascii="Arial Narrow" w:hAnsi="Arial Narrow"/>
          <w:sz w:val="44"/>
          <w:szCs w:val="44"/>
        </w:rPr>
        <w:t>涉执房地产</w:t>
      </w:r>
      <w:r>
        <w:rPr>
          <w:rFonts w:hint="eastAsia" w:ascii="Arial Narrow" w:hAnsi="Arial Narrow"/>
          <w:sz w:val="44"/>
          <w:szCs w:val="44"/>
        </w:rPr>
        <w:t>处置</w:t>
      </w:r>
      <w:r>
        <w:rPr>
          <w:rFonts w:ascii="Arial Narrow" w:hAnsi="Arial Narrow"/>
          <w:sz w:val="44"/>
          <w:szCs w:val="44"/>
        </w:rPr>
        <w:t>司法评估报告附件</w:t>
      </w:r>
      <w:bookmarkEnd w:id="23"/>
    </w:p>
    <w:p>
      <w:pPr>
        <w:rPr>
          <w:rFonts w:ascii="Arial Narrow" w:hAnsi="Arial Narrow"/>
        </w:rPr>
      </w:pPr>
    </w:p>
    <w:p>
      <w:pPr>
        <w:rPr>
          <w:rFonts w:ascii="Arial Narrow" w:hAnsi="Arial Narrow"/>
        </w:rPr>
      </w:pPr>
    </w:p>
    <w:p>
      <w:pPr>
        <w:rPr>
          <w:rFonts w:ascii="Arial Narrow" w:hAnsi="Arial Narrow"/>
        </w:rPr>
      </w:pPr>
    </w:p>
    <w:sectPr>
      <w:headerReference r:id="rId13" w:type="default"/>
      <w:pgSz w:w="11906" w:h="16838"/>
      <w:pgMar w:top="1672" w:right="1474" w:bottom="1417" w:left="1531" w:header="1106" w:footer="1276"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u w:val="single"/>
      </w:rPr>
      <w:t xml:space="preserve">    </w:t>
    </w:r>
    <w:r>
      <w:rPr>
        <w:u w:val="single"/>
      </w:rPr>
      <w:t xml:space="preserve">                                                                                             </w:t>
    </w:r>
    <w:r>
      <w:rPr>
        <w:rFonts w:hint="eastAsia"/>
        <w:iCs/>
      </w:rPr>
      <w:t>宁夏正业通房地产土地资产评估有限公司</w:t>
    </w:r>
    <w:r>
      <w:rPr>
        <w:iCs/>
      </w:rPr>
      <w:t xml:space="preserve"> </w:t>
    </w:r>
    <w:r>
      <w:rPr>
        <w:i/>
        <w:iC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2085" o:spid="_x0000_s2085" o:spt="1" style="position:absolute;left:0pt;margin-top:0pt;height:10.35pt;width:9.05pt;mso-position-horizontal:left;mso-position-horizontal-relative:margin;mso-wrap-style:none;z-index:251661312;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r>
      <w:pict>
        <v:rect id="_x0000_s2086" o:spid="_x0000_s2086" o:spt="1" style="position:absolute;left:0pt;margin-top:0pt;height:10.35pt;width:9.05pt;mso-position-horizontal:left;mso-position-horizontal-relative:margin;mso-wrap-style:none;z-index:251662336;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pPr>
    <w:r>
      <w:rPr>
        <w:rFonts w:hint="eastAsia" w:ascii="宋体" w:hAnsi="宋体"/>
        <w:iCs/>
      </w:rPr>
      <w:t>宁夏正业通房地产土地资产评估有限公司</w:t>
    </w:r>
    <w:r>
      <w:rPr>
        <w:rFonts w:ascii="宋体" w:hAnsi="宋体"/>
        <w:iCs/>
      </w:rPr>
      <w:t xml:space="preserve">  </w:t>
    </w:r>
    <w:r>
      <w:rPr>
        <w:i/>
        <w:iCs/>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2089" o:spid="_x0000_s2089" o:spt="1" style="position:absolute;left:0pt;margin-top:0pt;height:10.35pt;width:9.05pt;mso-position-horizontal:left;mso-position-horizontal-relative:margin;mso-wrap-style:none;z-index:251663360;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r>
      <w:pict>
        <v:rect id="_x0000_s2090" o:spid="_x0000_s2090" o:spt="1" style="position:absolute;left:0pt;margin-top:0pt;height:10.35pt;width:9.05pt;mso-position-horizontal:left;mso-position-horizontal-relative:margin;mso-wrap-style:none;z-index:25166438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cs="宋体"/>
        <w:iCs/>
        <w:sz w:val="18"/>
        <w:szCs w:val="18"/>
      </w:rPr>
    </w:pPr>
    <w:r>
      <w:rPr>
        <w:rFonts w:ascii="宋体" w:hAnsi="宋体" w:cs="宋体"/>
        <w:iCs/>
        <w:sz w:val="18"/>
        <w:szCs w:val="18"/>
      </w:rPr>
      <w:t xml:space="preserve">                                                                                                  </w:t>
    </w:r>
  </w:p>
  <w:p>
    <w:pPr>
      <w:pBdr>
        <w:top w:val="single" w:color="auto" w:sz="4" w:space="0"/>
      </w:pBdr>
      <w:snapToGrid w:val="0"/>
      <w:rPr>
        <w:iCs/>
      </w:rPr>
    </w:pPr>
    <w:r>
      <w:rPr>
        <w:rFonts w:hint="eastAsia" w:ascii="宋体" w:hAnsi="宋体"/>
        <w:iCs/>
        <w:sz w:val="18"/>
        <w:szCs w:val="18"/>
      </w:rPr>
      <w:t xml:space="preserve">宁夏正业通房地产土地资产评估有限公司       </w:t>
    </w:r>
    <w:r>
      <w:rPr>
        <w:rFonts w:ascii="宋体" w:hAnsi="宋体"/>
        <w:iCs/>
        <w:sz w:val="18"/>
        <w:szCs w:val="18"/>
      </w:rPr>
      <w:t xml:space="preserve">  </w:t>
    </w:r>
    <w:r>
      <w:rPr>
        <w:rFonts w:ascii="宋体" w:hAnsi="宋体"/>
        <w:i/>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w:t>
    </w:r>
    <w:r>
      <w:rPr>
        <w:rFonts w:ascii="宋体" w:hAnsi="宋体"/>
        <w:sz w:val="18"/>
        <w:szCs w:val="18"/>
      </w:rPr>
      <w:fldChar w:fldCharType="begin"/>
    </w:r>
    <w:r>
      <w:instrText xml:space="preserve">PAGE   \* MERGEFORMAT</w:instrText>
    </w:r>
    <w:r>
      <w:fldChar w:fldCharType="separate"/>
    </w:r>
    <w:r>
      <w:t>18</w:t>
    </w:r>
    <w:r>
      <w:fldChar w:fldCharType="end"/>
    </w:r>
    <w:r>
      <w:rPr>
        <w:rFonts w:ascii="宋体" w:hAnsi="宋体"/>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矩形 2" o:spid="_x0000_s2060" o:spt="1" style="position:absolute;left:0pt;margin-left:-3.55pt;margin-top:-17.75pt;height:28.1pt;width:451.5pt;mso-position-horizontal-relative:margin;z-index:251659264;mso-width-relative:page;mso-height-relative:page;" filled="f" o:preferrelative="t" stroked="f" coordsize="21600,21600">
          <v:path/>
          <v:fill on="f" focussize="0,0"/>
          <v:stroke on="f"/>
          <v:imagedata o:title=""/>
          <o:lock v:ext="edit"/>
          <v:textbox inset="0mm,0mm,0mm,0mm">
            <w:txbxContent>
              <w:p>
                <w:pPr>
                  <w:pBdr>
                    <w:top w:val="single" w:color="auto" w:sz="4" w:space="1"/>
                  </w:pBdr>
                  <w:snapToGrid w:val="0"/>
                  <w:rPr>
                    <w:iCs/>
                    <w:sz w:val="18"/>
                    <w:szCs w:val="18"/>
                  </w:rPr>
                </w:pPr>
                <w:r>
                  <w:rPr>
                    <w:rFonts w:hint="eastAsia" w:ascii="宋体" w:hAnsi="宋体"/>
                    <w:iCs/>
                    <w:sz w:val="18"/>
                    <w:szCs w:val="18"/>
                  </w:rPr>
                  <w:t>宁夏正业通房地产土地资产评估有限公司</w:t>
                </w:r>
              </w:p>
            </w:txbxContent>
          </v:textbox>
        </v:rect>
      </w:pict>
    </w:r>
    <w:r>
      <w:pict>
        <v:rect id="矩形 1" o:spid="_x0000_s2061" o:spt="1" style="position:absolute;left:0pt;margin-top:0pt;height:10.35pt;width:9.3pt;mso-position-horizontal:right;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rPr>
        <w:b/>
      </w:rPr>
    </w:pPr>
    <w:r>
      <w:rPr>
        <w:b/>
      </w:rPr>
      <w:t xml:space="preserve">                                                          </w:t>
    </w:r>
  </w:p>
  <w:p>
    <w:pPr>
      <w:pStyle w:val="9"/>
      <w:ind w:firstLine="367"/>
    </w:pPr>
    <w:r>
      <w:rPr>
        <w:b/>
      </w:rPr>
      <w:t xml:space="preserve">                                                                     </w:t>
    </w:r>
    <w:r>
      <w:rPr>
        <w:rFonts w:hint="eastAsia"/>
        <w:iCs/>
      </w:rPr>
      <w:t>房地产估价报告</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pPr>
    <w:r>
      <w:rPr>
        <w:b/>
      </w:rPr>
      <w:t xml:space="preserve">                                                       </w:t>
    </w:r>
    <w:r>
      <w:rPr>
        <w:rFonts w:hint="eastAsia"/>
        <w:b/>
      </w:rPr>
      <w:t xml:space="preserve"> </w:t>
    </w:r>
    <w:r>
      <w:rPr>
        <w:b/>
      </w:rPr>
      <w:t xml:space="preserve"> </w:t>
    </w:r>
    <w:r>
      <w:rPr>
        <w:rFonts w:hint="eastAsia"/>
        <w:b/>
      </w:rPr>
      <w:t xml:space="preserve">   </w:t>
    </w:r>
    <w:r>
      <w:rPr>
        <w:iCs/>
      </w:rPr>
      <w:t xml:space="preserve"> 涉执</w:t>
    </w:r>
    <w:r>
      <w:rPr>
        <w:rFonts w:hint="eastAsia"/>
        <w:iCs/>
      </w:rPr>
      <w:t xml:space="preserve">房地产处置司法评估报告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pPr>
    <w:r>
      <w:rPr>
        <w:iCs/>
      </w:rPr>
      <w:t xml:space="preserve">                                                           </w:t>
    </w:r>
    <w:r>
      <w:rPr>
        <w:rFonts w:hint="eastAsia"/>
        <w:iCs/>
      </w:rPr>
      <w:t xml:space="preserve">  </w:t>
    </w:r>
    <w:r>
      <w:rPr>
        <w:iCs/>
      </w:rPr>
      <w:t>涉执</w:t>
    </w:r>
    <w:r>
      <w:rPr>
        <w:rFonts w:hint="eastAsia"/>
        <w:iCs/>
      </w:rPr>
      <w:t>房地产处置司法评估报告</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Arial"/>
      </w:rPr>
    </w:pPr>
    <w:r>
      <w:rPr>
        <w:rFonts w:hint="eastAsia" w:hAnsi="Arial"/>
      </w:rPr>
      <w:t xml:space="preserve">                                                                      </w:t>
    </w:r>
    <w:r>
      <w:rPr>
        <w:iCs/>
      </w:rPr>
      <w:t>涉执</w:t>
    </w:r>
    <w:r>
      <w:rPr>
        <w:rFonts w:hint="eastAsia"/>
        <w:iCs/>
      </w:rPr>
      <w:t>房地产处置司法评估报告</w:t>
    </w:r>
    <w:r>
      <w:rPr>
        <w:rFonts w:hint="eastAsia"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07C8D"/>
    <w:multiLevelType w:val="multilevel"/>
    <w:tmpl w:val="28207C8D"/>
    <w:lvl w:ilvl="0" w:tentative="0">
      <w:start w:val="2"/>
      <w:numFmt w:val="japaneseCounting"/>
      <w:lvlText w:val="（%1）"/>
      <w:lvlJc w:val="left"/>
      <w:pPr>
        <w:ind w:left="1145" w:hanging="7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7E9B4B52"/>
    <w:multiLevelType w:val="multilevel"/>
    <w:tmpl w:val="7E9B4B52"/>
    <w:lvl w:ilvl="0" w:tentative="0">
      <w:start w:val="1"/>
      <w:numFmt w:val="japaneseCounting"/>
      <w:lvlText w:val="%1、"/>
      <w:lvlJc w:val="left"/>
      <w:pPr>
        <w:ind w:left="990" w:hanging="51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1"/>
  <w:displayBackgroundShape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645E"/>
    <w:rsid w:val="00000E90"/>
    <w:rsid w:val="00001C71"/>
    <w:rsid w:val="00003465"/>
    <w:rsid w:val="0000528D"/>
    <w:rsid w:val="00011A01"/>
    <w:rsid w:val="00013288"/>
    <w:rsid w:val="00015DF8"/>
    <w:rsid w:val="000164C6"/>
    <w:rsid w:val="00020A50"/>
    <w:rsid w:val="00021A27"/>
    <w:rsid w:val="00021F3E"/>
    <w:rsid w:val="00023392"/>
    <w:rsid w:val="000238AC"/>
    <w:rsid w:val="00025A13"/>
    <w:rsid w:val="000261E3"/>
    <w:rsid w:val="0003342D"/>
    <w:rsid w:val="00034560"/>
    <w:rsid w:val="000355CA"/>
    <w:rsid w:val="000431FA"/>
    <w:rsid w:val="000443BF"/>
    <w:rsid w:val="00046055"/>
    <w:rsid w:val="00046536"/>
    <w:rsid w:val="000504FE"/>
    <w:rsid w:val="00051240"/>
    <w:rsid w:val="00051629"/>
    <w:rsid w:val="00051C33"/>
    <w:rsid w:val="00052CE5"/>
    <w:rsid w:val="00053180"/>
    <w:rsid w:val="00053262"/>
    <w:rsid w:val="00053FD4"/>
    <w:rsid w:val="000549AE"/>
    <w:rsid w:val="00055EE7"/>
    <w:rsid w:val="00056613"/>
    <w:rsid w:val="00060E55"/>
    <w:rsid w:val="00061138"/>
    <w:rsid w:val="0006117B"/>
    <w:rsid w:val="0006148D"/>
    <w:rsid w:val="00062820"/>
    <w:rsid w:val="00062D05"/>
    <w:rsid w:val="000640B2"/>
    <w:rsid w:val="00064205"/>
    <w:rsid w:val="00066D31"/>
    <w:rsid w:val="00066FA1"/>
    <w:rsid w:val="00067BE9"/>
    <w:rsid w:val="0007021F"/>
    <w:rsid w:val="0007177C"/>
    <w:rsid w:val="00072802"/>
    <w:rsid w:val="00073D60"/>
    <w:rsid w:val="00073F9E"/>
    <w:rsid w:val="00075EAB"/>
    <w:rsid w:val="00076193"/>
    <w:rsid w:val="00076F05"/>
    <w:rsid w:val="000779C7"/>
    <w:rsid w:val="00080250"/>
    <w:rsid w:val="0008182C"/>
    <w:rsid w:val="000825C3"/>
    <w:rsid w:val="0008645E"/>
    <w:rsid w:val="00087B58"/>
    <w:rsid w:val="0009063B"/>
    <w:rsid w:val="00091252"/>
    <w:rsid w:val="000922B2"/>
    <w:rsid w:val="00093BF8"/>
    <w:rsid w:val="00093E31"/>
    <w:rsid w:val="0009421F"/>
    <w:rsid w:val="000945AD"/>
    <w:rsid w:val="00094DCC"/>
    <w:rsid w:val="0009525A"/>
    <w:rsid w:val="00096298"/>
    <w:rsid w:val="00097081"/>
    <w:rsid w:val="00097A83"/>
    <w:rsid w:val="000A1F5C"/>
    <w:rsid w:val="000A4985"/>
    <w:rsid w:val="000A76D6"/>
    <w:rsid w:val="000B1FEB"/>
    <w:rsid w:val="000B2135"/>
    <w:rsid w:val="000B3762"/>
    <w:rsid w:val="000B4BE3"/>
    <w:rsid w:val="000B54DC"/>
    <w:rsid w:val="000B635B"/>
    <w:rsid w:val="000B7DA0"/>
    <w:rsid w:val="000C415E"/>
    <w:rsid w:val="000C47FE"/>
    <w:rsid w:val="000C65AF"/>
    <w:rsid w:val="000C6CA0"/>
    <w:rsid w:val="000D104A"/>
    <w:rsid w:val="000D139E"/>
    <w:rsid w:val="000D4BB3"/>
    <w:rsid w:val="000D4EF4"/>
    <w:rsid w:val="000D54DD"/>
    <w:rsid w:val="000D747A"/>
    <w:rsid w:val="000D7A3B"/>
    <w:rsid w:val="000E1576"/>
    <w:rsid w:val="000E21B5"/>
    <w:rsid w:val="000E2D65"/>
    <w:rsid w:val="000E39A3"/>
    <w:rsid w:val="000E42B4"/>
    <w:rsid w:val="000E4C2C"/>
    <w:rsid w:val="000E5271"/>
    <w:rsid w:val="000E5811"/>
    <w:rsid w:val="000F0401"/>
    <w:rsid w:val="000F1058"/>
    <w:rsid w:val="000F1B37"/>
    <w:rsid w:val="000F335F"/>
    <w:rsid w:val="000F4EDA"/>
    <w:rsid w:val="000F70D7"/>
    <w:rsid w:val="000F7CB8"/>
    <w:rsid w:val="001007D7"/>
    <w:rsid w:val="00101075"/>
    <w:rsid w:val="00102A21"/>
    <w:rsid w:val="00102C30"/>
    <w:rsid w:val="001038C5"/>
    <w:rsid w:val="00103DD0"/>
    <w:rsid w:val="00104AF6"/>
    <w:rsid w:val="00104EB1"/>
    <w:rsid w:val="001058AA"/>
    <w:rsid w:val="00106175"/>
    <w:rsid w:val="00106EB4"/>
    <w:rsid w:val="001126C2"/>
    <w:rsid w:val="00113AB2"/>
    <w:rsid w:val="00114664"/>
    <w:rsid w:val="001160C5"/>
    <w:rsid w:val="00116F55"/>
    <w:rsid w:val="001179EA"/>
    <w:rsid w:val="00120B77"/>
    <w:rsid w:val="00121B21"/>
    <w:rsid w:val="0012219E"/>
    <w:rsid w:val="001237C3"/>
    <w:rsid w:val="001239C2"/>
    <w:rsid w:val="00123BC3"/>
    <w:rsid w:val="00127F64"/>
    <w:rsid w:val="00130405"/>
    <w:rsid w:val="0013048E"/>
    <w:rsid w:val="001320CE"/>
    <w:rsid w:val="0013269F"/>
    <w:rsid w:val="00133815"/>
    <w:rsid w:val="00134194"/>
    <w:rsid w:val="00135428"/>
    <w:rsid w:val="00140212"/>
    <w:rsid w:val="00141294"/>
    <w:rsid w:val="00143D7F"/>
    <w:rsid w:val="00145D6D"/>
    <w:rsid w:val="00146327"/>
    <w:rsid w:val="0015051C"/>
    <w:rsid w:val="00151EB8"/>
    <w:rsid w:val="001554FE"/>
    <w:rsid w:val="00156667"/>
    <w:rsid w:val="00157A82"/>
    <w:rsid w:val="0016249A"/>
    <w:rsid w:val="00164380"/>
    <w:rsid w:val="0016456B"/>
    <w:rsid w:val="00164FAA"/>
    <w:rsid w:val="001663C5"/>
    <w:rsid w:val="001671F3"/>
    <w:rsid w:val="001706BF"/>
    <w:rsid w:val="00170776"/>
    <w:rsid w:val="00173995"/>
    <w:rsid w:val="00174988"/>
    <w:rsid w:val="00174B84"/>
    <w:rsid w:val="00177044"/>
    <w:rsid w:val="00181419"/>
    <w:rsid w:val="00182181"/>
    <w:rsid w:val="00182992"/>
    <w:rsid w:val="001829D7"/>
    <w:rsid w:val="00183EAD"/>
    <w:rsid w:val="00185171"/>
    <w:rsid w:val="00186F5D"/>
    <w:rsid w:val="00187112"/>
    <w:rsid w:val="0019094D"/>
    <w:rsid w:val="00191B66"/>
    <w:rsid w:val="00191D7F"/>
    <w:rsid w:val="001953AF"/>
    <w:rsid w:val="00195BB4"/>
    <w:rsid w:val="001962D0"/>
    <w:rsid w:val="001969FD"/>
    <w:rsid w:val="001A0688"/>
    <w:rsid w:val="001A1560"/>
    <w:rsid w:val="001A2063"/>
    <w:rsid w:val="001A3A74"/>
    <w:rsid w:val="001A4558"/>
    <w:rsid w:val="001A541E"/>
    <w:rsid w:val="001A5F6E"/>
    <w:rsid w:val="001A72E3"/>
    <w:rsid w:val="001B0EE6"/>
    <w:rsid w:val="001B208F"/>
    <w:rsid w:val="001B2D01"/>
    <w:rsid w:val="001B3298"/>
    <w:rsid w:val="001B3E9E"/>
    <w:rsid w:val="001B55D8"/>
    <w:rsid w:val="001B59C1"/>
    <w:rsid w:val="001B7773"/>
    <w:rsid w:val="001B7A4D"/>
    <w:rsid w:val="001B7D73"/>
    <w:rsid w:val="001B7FA0"/>
    <w:rsid w:val="001C0736"/>
    <w:rsid w:val="001C0FE5"/>
    <w:rsid w:val="001C19B2"/>
    <w:rsid w:val="001C1E8D"/>
    <w:rsid w:val="001C536F"/>
    <w:rsid w:val="001D0EF3"/>
    <w:rsid w:val="001D1CA5"/>
    <w:rsid w:val="001D1CCF"/>
    <w:rsid w:val="001D3134"/>
    <w:rsid w:val="001D5973"/>
    <w:rsid w:val="001D6D2D"/>
    <w:rsid w:val="001D7074"/>
    <w:rsid w:val="001E0571"/>
    <w:rsid w:val="001E088B"/>
    <w:rsid w:val="001E1E43"/>
    <w:rsid w:val="001E286D"/>
    <w:rsid w:val="001E46AF"/>
    <w:rsid w:val="001E4901"/>
    <w:rsid w:val="001E4F0C"/>
    <w:rsid w:val="001E6C8C"/>
    <w:rsid w:val="001E77E5"/>
    <w:rsid w:val="001E7BAC"/>
    <w:rsid w:val="001E7C99"/>
    <w:rsid w:val="001F0FF5"/>
    <w:rsid w:val="001F1632"/>
    <w:rsid w:val="001F2E2A"/>
    <w:rsid w:val="001F346E"/>
    <w:rsid w:val="001F4448"/>
    <w:rsid w:val="001F4DC6"/>
    <w:rsid w:val="001F635C"/>
    <w:rsid w:val="00204CD3"/>
    <w:rsid w:val="00204E47"/>
    <w:rsid w:val="00205E6E"/>
    <w:rsid w:val="00207C3C"/>
    <w:rsid w:val="002112A9"/>
    <w:rsid w:val="00211FD4"/>
    <w:rsid w:val="002123EF"/>
    <w:rsid w:val="0021751D"/>
    <w:rsid w:val="002203DC"/>
    <w:rsid w:val="00220F4D"/>
    <w:rsid w:val="002212F0"/>
    <w:rsid w:val="00221FF4"/>
    <w:rsid w:val="002225D4"/>
    <w:rsid w:val="00223BD0"/>
    <w:rsid w:val="00225A28"/>
    <w:rsid w:val="00225BCB"/>
    <w:rsid w:val="0022774F"/>
    <w:rsid w:val="00227CA3"/>
    <w:rsid w:val="00230B1C"/>
    <w:rsid w:val="0023129E"/>
    <w:rsid w:val="00231B60"/>
    <w:rsid w:val="00232F0F"/>
    <w:rsid w:val="00233541"/>
    <w:rsid w:val="00234E1E"/>
    <w:rsid w:val="002352C9"/>
    <w:rsid w:val="00236636"/>
    <w:rsid w:val="0023691B"/>
    <w:rsid w:val="00237185"/>
    <w:rsid w:val="00237641"/>
    <w:rsid w:val="00240657"/>
    <w:rsid w:val="002409B5"/>
    <w:rsid w:val="00241ACE"/>
    <w:rsid w:val="00245892"/>
    <w:rsid w:val="002479F5"/>
    <w:rsid w:val="002502D8"/>
    <w:rsid w:val="00253095"/>
    <w:rsid w:val="002535AC"/>
    <w:rsid w:val="00253691"/>
    <w:rsid w:val="00253872"/>
    <w:rsid w:val="00254D68"/>
    <w:rsid w:val="00256127"/>
    <w:rsid w:val="0025687B"/>
    <w:rsid w:val="0026131F"/>
    <w:rsid w:val="002618D6"/>
    <w:rsid w:val="00261906"/>
    <w:rsid w:val="00262611"/>
    <w:rsid w:val="00262E94"/>
    <w:rsid w:val="00264E3D"/>
    <w:rsid w:val="0026511E"/>
    <w:rsid w:val="00265EF7"/>
    <w:rsid w:val="00266A25"/>
    <w:rsid w:val="00266B59"/>
    <w:rsid w:val="00267C04"/>
    <w:rsid w:val="0027345E"/>
    <w:rsid w:val="002744BD"/>
    <w:rsid w:val="0027478E"/>
    <w:rsid w:val="002753C4"/>
    <w:rsid w:val="00275FC3"/>
    <w:rsid w:val="00282BF4"/>
    <w:rsid w:val="002845E2"/>
    <w:rsid w:val="0029128A"/>
    <w:rsid w:val="002923A4"/>
    <w:rsid w:val="00293D50"/>
    <w:rsid w:val="00293F9A"/>
    <w:rsid w:val="002943D9"/>
    <w:rsid w:val="00294989"/>
    <w:rsid w:val="002A04A8"/>
    <w:rsid w:val="002A3231"/>
    <w:rsid w:val="002A49AC"/>
    <w:rsid w:val="002A4CFC"/>
    <w:rsid w:val="002B14C7"/>
    <w:rsid w:val="002B151E"/>
    <w:rsid w:val="002B3679"/>
    <w:rsid w:val="002B6AA0"/>
    <w:rsid w:val="002B6F20"/>
    <w:rsid w:val="002B7405"/>
    <w:rsid w:val="002C000E"/>
    <w:rsid w:val="002C1228"/>
    <w:rsid w:val="002C15A6"/>
    <w:rsid w:val="002C2BC3"/>
    <w:rsid w:val="002C346A"/>
    <w:rsid w:val="002C4722"/>
    <w:rsid w:val="002C560C"/>
    <w:rsid w:val="002C5C19"/>
    <w:rsid w:val="002C7299"/>
    <w:rsid w:val="002C763E"/>
    <w:rsid w:val="002D01ED"/>
    <w:rsid w:val="002D7292"/>
    <w:rsid w:val="002E1B1B"/>
    <w:rsid w:val="002E1D21"/>
    <w:rsid w:val="002E44F7"/>
    <w:rsid w:val="002E6BEE"/>
    <w:rsid w:val="002E7BD9"/>
    <w:rsid w:val="002E7E83"/>
    <w:rsid w:val="002F0B67"/>
    <w:rsid w:val="002F1BE4"/>
    <w:rsid w:val="002F20C3"/>
    <w:rsid w:val="002F24A0"/>
    <w:rsid w:val="002F4A70"/>
    <w:rsid w:val="002F6135"/>
    <w:rsid w:val="002F7535"/>
    <w:rsid w:val="00300908"/>
    <w:rsid w:val="00300A1A"/>
    <w:rsid w:val="003032E6"/>
    <w:rsid w:val="00303E6A"/>
    <w:rsid w:val="0030410D"/>
    <w:rsid w:val="00306BB9"/>
    <w:rsid w:val="00306E18"/>
    <w:rsid w:val="00312E28"/>
    <w:rsid w:val="00313487"/>
    <w:rsid w:val="00314148"/>
    <w:rsid w:val="00315DB9"/>
    <w:rsid w:val="00315E3F"/>
    <w:rsid w:val="00316469"/>
    <w:rsid w:val="00317B35"/>
    <w:rsid w:val="003203B0"/>
    <w:rsid w:val="00320D93"/>
    <w:rsid w:val="00320FE8"/>
    <w:rsid w:val="003213FC"/>
    <w:rsid w:val="00321FAE"/>
    <w:rsid w:val="00323CA6"/>
    <w:rsid w:val="00324168"/>
    <w:rsid w:val="00325F61"/>
    <w:rsid w:val="003264AF"/>
    <w:rsid w:val="003268BA"/>
    <w:rsid w:val="003272E6"/>
    <w:rsid w:val="00332E15"/>
    <w:rsid w:val="00335115"/>
    <w:rsid w:val="00336B0D"/>
    <w:rsid w:val="003372A8"/>
    <w:rsid w:val="00337E89"/>
    <w:rsid w:val="00340078"/>
    <w:rsid w:val="003409E2"/>
    <w:rsid w:val="00342F70"/>
    <w:rsid w:val="003445CC"/>
    <w:rsid w:val="00345D01"/>
    <w:rsid w:val="00347846"/>
    <w:rsid w:val="003509C1"/>
    <w:rsid w:val="00351F3D"/>
    <w:rsid w:val="0035200B"/>
    <w:rsid w:val="00353EEE"/>
    <w:rsid w:val="003547F9"/>
    <w:rsid w:val="00356BB6"/>
    <w:rsid w:val="0036078E"/>
    <w:rsid w:val="00360A2D"/>
    <w:rsid w:val="00361151"/>
    <w:rsid w:val="0036259F"/>
    <w:rsid w:val="00363AA8"/>
    <w:rsid w:val="003643C2"/>
    <w:rsid w:val="00365501"/>
    <w:rsid w:val="00366479"/>
    <w:rsid w:val="00366E32"/>
    <w:rsid w:val="00371BB3"/>
    <w:rsid w:val="003726B1"/>
    <w:rsid w:val="00372C83"/>
    <w:rsid w:val="003742D8"/>
    <w:rsid w:val="003764F2"/>
    <w:rsid w:val="00377B81"/>
    <w:rsid w:val="00381362"/>
    <w:rsid w:val="003828F1"/>
    <w:rsid w:val="00383317"/>
    <w:rsid w:val="0038353A"/>
    <w:rsid w:val="00385286"/>
    <w:rsid w:val="0038611A"/>
    <w:rsid w:val="0038718E"/>
    <w:rsid w:val="00387662"/>
    <w:rsid w:val="003876C6"/>
    <w:rsid w:val="00392D87"/>
    <w:rsid w:val="00393FF0"/>
    <w:rsid w:val="00395055"/>
    <w:rsid w:val="00395BD6"/>
    <w:rsid w:val="00397C12"/>
    <w:rsid w:val="003A1529"/>
    <w:rsid w:val="003A2DA9"/>
    <w:rsid w:val="003A3134"/>
    <w:rsid w:val="003A60C4"/>
    <w:rsid w:val="003A69F1"/>
    <w:rsid w:val="003A7574"/>
    <w:rsid w:val="003A79D3"/>
    <w:rsid w:val="003A7EB9"/>
    <w:rsid w:val="003B0BBE"/>
    <w:rsid w:val="003B1069"/>
    <w:rsid w:val="003B1353"/>
    <w:rsid w:val="003B1BA0"/>
    <w:rsid w:val="003B27E0"/>
    <w:rsid w:val="003B283C"/>
    <w:rsid w:val="003B2D90"/>
    <w:rsid w:val="003B2E76"/>
    <w:rsid w:val="003B3E0D"/>
    <w:rsid w:val="003B42DA"/>
    <w:rsid w:val="003B5525"/>
    <w:rsid w:val="003B5EC2"/>
    <w:rsid w:val="003B62A6"/>
    <w:rsid w:val="003B7017"/>
    <w:rsid w:val="003B719D"/>
    <w:rsid w:val="003C1994"/>
    <w:rsid w:val="003C4F14"/>
    <w:rsid w:val="003C4F76"/>
    <w:rsid w:val="003C54FA"/>
    <w:rsid w:val="003C5979"/>
    <w:rsid w:val="003D032C"/>
    <w:rsid w:val="003D06AB"/>
    <w:rsid w:val="003D34F8"/>
    <w:rsid w:val="003D59D3"/>
    <w:rsid w:val="003D7009"/>
    <w:rsid w:val="003D78B5"/>
    <w:rsid w:val="003D7CD0"/>
    <w:rsid w:val="003E0CE6"/>
    <w:rsid w:val="003E3D37"/>
    <w:rsid w:val="003E596B"/>
    <w:rsid w:val="003E7510"/>
    <w:rsid w:val="003F07F5"/>
    <w:rsid w:val="003F18FC"/>
    <w:rsid w:val="003F1D42"/>
    <w:rsid w:val="003F34CD"/>
    <w:rsid w:val="003F3BEE"/>
    <w:rsid w:val="003F5442"/>
    <w:rsid w:val="003F5838"/>
    <w:rsid w:val="003F7B3D"/>
    <w:rsid w:val="0040020F"/>
    <w:rsid w:val="00400D3B"/>
    <w:rsid w:val="00405B40"/>
    <w:rsid w:val="00407811"/>
    <w:rsid w:val="0041329A"/>
    <w:rsid w:val="00414A20"/>
    <w:rsid w:val="004168C1"/>
    <w:rsid w:val="00417A1D"/>
    <w:rsid w:val="00417E8D"/>
    <w:rsid w:val="00420EA2"/>
    <w:rsid w:val="004210B8"/>
    <w:rsid w:val="00424101"/>
    <w:rsid w:val="0042571E"/>
    <w:rsid w:val="00427F5A"/>
    <w:rsid w:val="0043017B"/>
    <w:rsid w:val="00434E27"/>
    <w:rsid w:val="00435206"/>
    <w:rsid w:val="0043635A"/>
    <w:rsid w:val="00437A46"/>
    <w:rsid w:val="00440B1A"/>
    <w:rsid w:val="00440DE6"/>
    <w:rsid w:val="00440DF7"/>
    <w:rsid w:val="00441DCC"/>
    <w:rsid w:val="0044242B"/>
    <w:rsid w:val="004435DE"/>
    <w:rsid w:val="0044395B"/>
    <w:rsid w:val="004439C4"/>
    <w:rsid w:val="004468D4"/>
    <w:rsid w:val="00447971"/>
    <w:rsid w:val="00447B26"/>
    <w:rsid w:val="00447BF1"/>
    <w:rsid w:val="004502CE"/>
    <w:rsid w:val="00450FC3"/>
    <w:rsid w:val="004524D9"/>
    <w:rsid w:val="00453972"/>
    <w:rsid w:val="004555E1"/>
    <w:rsid w:val="0045639E"/>
    <w:rsid w:val="004623E1"/>
    <w:rsid w:val="00462865"/>
    <w:rsid w:val="004633C2"/>
    <w:rsid w:val="004634AC"/>
    <w:rsid w:val="00464C7C"/>
    <w:rsid w:val="004661FF"/>
    <w:rsid w:val="00467DFE"/>
    <w:rsid w:val="00470A12"/>
    <w:rsid w:val="00470B79"/>
    <w:rsid w:val="00471052"/>
    <w:rsid w:val="00471513"/>
    <w:rsid w:val="004718ED"/>
    <w:rsid w:val="00477534"/>
    <w:rsid w:val="004778E9"/>
    <w:rsid w:val="00480791"/>
    <w:rsid w:val="00482C39"/>
    <w:rsid w:val="0048373D"/>
    <w:rsid w:val="00485734"/>
    <w:rsid w:val="004865EA"/>
    <w:rsid w:val="00486CCD"/>
    <w:rsid w:val="004904F2"/>
    <w:rsid w:val="004908F6"/>
    <w:rsid w:val="00490DDD"/>
    <w:rsid w:val="0049280B"/>
    <w:rsid w:val="00494EBA"/>
    <w:rsid w:val="0049601A"/>
    <w:rsid w:val="004A340C"/>
    <w:rsid w:val="004A3B5A"/>
    <w:rsid w:val="004A40E0"/>
    <w:rsid w:val="004A525B"/>
    <w:rsid w:val="004A54CA"/>
    <w:rsid w:val="004A5AF8"/>
    <w:rsid w:val="004A6FDE"/>
    <w:rsid w:val="004A71CA"/>
    <w:rsid w:val="004A7BA8"/>
    <w:rsid w:val="004B060D"/>
    <w:rsid w:val="004B0C79"/>
    <w:rsid w:val="004B226A"/>
    <w:rsid w:val="004B4E89"/>
    <w:rsid w:val="004B5F08"/>
    <w:rsid w:val="004B6FCB"/>
    <w:rsid w:val="004C0F8F"/>
    <w:rsid w:val="004C1537"/>
    <w:rsid w:val="004C26D3"/>
    <w:rsid w:val="004C4D30"/>
    <w:rsid w:val="004C6382"/>
    <w:rsid w:val="004C7DE0"/>
    <w:rsid w:val="004D03CB"/>
    <w:rsid w:val="004D0DF1"/>
    <w:rsid w:val="004D3343"/>
    <w:rsid w:val="004D7715"/>
    <w:rsid w:val="004D7B55"/>
    <w:rsid w:val="004E042F"/>
    <w:rsid w:val="004E06C0"/>
    <w:rsid w:val="004E1397"/>
    <w:rsid w:val="004E4D6B"/>
    <w:rsid w:val="004E7095"/>
    <w:rsid w:val="004F0815"/>
    <w:rsid w:val="004F094C"/>
    <w:rsid w:val="004F336E"/>
    <w:rsid w:val="004F38FE"/>
    <w:rsid w:val="004F3C5A"/>
    <w:rsid w:val="004F3EBF"/>
    <w:rsid w:val="004F526D"/>
    <w:rsid w:val="004F5618"/>
    <w:rsid w:val="004F63D5"/>
    <w:rsid w:val="004F64CD"/>
    <w:rsid w:val="004F751A"/>
    <w:rsid w:val="004F7708"/>
    <w:rsid w:val="0050012F"/>
    <w:rsid w:val="00500A79"/>
    <w:rsid w:val="00504B72"/>
    <w:rsid w:val="005059D8"/>
    <w:rsid w:val="005064B6"/>
    <w:rsid w:val="005102E7"/>
    <w:rsid w:val="00510D83"/>
    <w:rsid w:val="00511400"/>
    <w:rsid w:val="0051229B"/>
    <w:rsid w:val="00512310"/>
    <w:rsid w:val="00512BA9"/>
    <w:rsid w:val="00513C4B"/>
    <w:rsid w:val="00516C66"/>
    <w:rsid w:val="00517671"/>
    <w:rsid w:val="00517D25"/>
    <w:rsid w:val="00517FED"/>
    <w:rsid w:val="005207DE"/>
    <w:rsid w:val="005225C9"/>
    <w:rsid w:val="005229D0"/>
    <w:rsid w:val="00523269"/>
    <w:rsid w:val="00524DFA"/>
    <w:rsid w:val="00525FA7"/>
    <w:rsid w:val="0052631D"/>
    <w:rsid w:val="00526C81"/>
    <w:rsid w:val="00527D4E"/>
    <w:rsid w:val="00530D39"/>
    <w:rsid w:val="00530E2B"/>
    <w:rsid w:val="00533396"/>
    <w:rsid w:val="005341CD"/>
    <w:rsid w:val="00535AB4"/>
    <w:rsid w:val="005362C4"/>
    <w:rsid w:val="0053741D"/>
    <w:rsid w:val="005376E7"/>
    <w:rsid w:val="00537E6B"/>
    <w:rsid w:val="00540C61"/>
    <w:rsid w:val="00540E31"/>
    <w:rsid w:val="00541078"/>
    <w:rsid w:val="00541D9B"/>
    <w:rsid w:val="00543315"/>
    <w:rsid w:val="00543483"/>
    <w:rsid w:val="00543D52"/>
    <w:rsid w:val="005442EE"/>
    <w:rsid w:val="00544706"/>
    <w:rsid w:val="0054557C"/>
    <w:rsid w:val="00546124"/>
    <w:rsid w:val="0054632E"/>
    <w:rsid w:val="00546DE4"/>
    <w:rsid w:val="00550951"/>
    <w:rsid w:val="00551427"/>
    <w:rsid w:val="00551430"/>
    <w:rsid w:val="0055148B"/>
    <w:rsid w:val="00551505"/>
    <w:rsid w:val="0055284E"/>
    <w:rsid w:val="00553C6C"/>
    <w:rsid w:val="00554F90"/>
    <w:rsid w:val="00555465"/>
    <w:rsid w:val="005554BB"/>
    <w:rsid w:val="00555A74"/>
    <w:rsid w:val="00560367"/>
    <w:rsid w:val="005606C3"/>
    <w:rsid w:val="005606D7"/>
    <w:rsid w:val="00560AC2"/>
    <w:rsid w:val="00560E4C"/>
    <w:rsid w:val="00561999"/>
    <w:rsid w:val="00561CAD"/>
    <w:rsid w:val="00563030"/>
    <w:rsid w:val="00563117"/>
    <w:rsid w:val="005637D0"/>
    <w:rsid w:val="005675F6"/>
    <w:rsid w:val="00571B33"/>
    <w:rsid w:val="00571EF9"/>
    <w:rsid w:val="00572550"/>
    <w:rsid w:val="00574382"/>
    <w:rsid w:val="00574FC6"/>
    <w:rsid w:val="005753EE"/>
    <w:rsid w:val="005828D4"/>
    <w:rsid w:val="00584D08"/>
    <w:rsid w:val="005850AE"/>
    <w:rsid w:val="00586D08"/>
    <w:rsid w:val="005932A4"/>
    <w:rsid w:val="005936D9"/>
    <w:rsid w:val="00595E83"/>
    <w:rsid w:val="005A1076"/>
    <w:rsid w:val="005A2349"/>
    <w:rsid w:val="005A2F52"/>
    <w:rsid w:val="005A3542"/>
    <w:rsid w:val="005A4862"/>
    <w:rsid w:val="005A6AF1"/>
    <w:rsid w:val="005B0203"/>
    <w:rsid w:val="005B042C"/>
    <w:rsid w:val="005B1B4C"/>
    <w:rsid w:val="005B2E01"/>
    <w:rsid w:val="005B3712"/>
    <w:rsid w:val="005B56D2"/>
    <w:rsid w:val="005B6010"/>
    <w:rsid w:val="005B60CD"/>
    <w:rsid w:val="005B660C"/>
    <w:rsid w:val="005C2F88"/>
    <w:rsid w:val="005C3BF9"/>
    <w:rsid w:val="005C47B2"/>
    <w:rsid w:val="005C4A01"/>
    <w:rsid w:val="005C55BA"/>
    <w:rsid w:val="005C619C"/>
    <w:rsid w:val="005D1C8D"/>
    <w:rsid w:val="005D28FD"/>
    <w:rsid w:val="005D4C5D"/>
    <w:rsid w:val="005D5093"/>
    <w:rsid w:val="005D5297"/>
    <w:rsid w:val="005D5F6E"/>
    <w:rsid w:val="005E0220"/>
    <w:rsid w:val="005E2228"/>
    <w:rsid w:val="005E292A"/>
    <w:rsid w:val="005E4396"/>
    <w:rsid w:val="005E4AB8"/>
    <w:rsid w:val="005E54F8"/>
    <w:rsid w:val="005E6FBB"/>
    <w:rsid w:val="005E6FCA"/>
    <w:rsid w:val="005E7515"/>
    <w:rsid w:val="005F0A6A"/>
    <w:rsid w:val="005F0DD7"/>
    <w:rsid w:val="005F1982"/>
    <w:rsid w:val="005F2014"/>
    <w:rsid w:val="005F3932"/>
    <w:rsid w:val="005F4935"/>
    <w:rsid w:val="005F5B90"/>
    <w:rsid w:val="00601F52"/>
    <w:rsid w:val="00601FD1"/>
    <w:rsid w:val="0060290E"/>
    <w:rsid w:val="00603CAB"/>
    <w:rsid w:val="00603CC6"/>
    <w:rsid w:val="00606EBA"/>
    <w:rsid w:val="006121F6"/>
    <w:rsid w:val="0061334B"/>
    <w:rsid w:val="0061374E"/>
    <w:rsid w:val="006137F1"/>
    <w:rsid w:val="0061389E"/>
    <w:rsid w:val="00616C19"/>
    <w:rsid w:val="006177FC"/>
    <w:rsid w:val="006206BA"/>
    <w:rsid w:val="006214FA"/>
    <w:rsid w:val="00622A22"/>
    <w:rsid w:val="0062389F"/>
    <w:rsid w:val="00623E70"/>
    <w:rsid w:val="0062717E"/>
    <w:rsid w:val="00627900"/>
    <w:rsid w:val="00630E9C"/>
    <w:rsid w:val="006311DF"/>
    <w:rsid w:val="00633448"/>
    <w:rsid w:val="006335D1"/>
    <w:rsid w:val="006347EA"/>
    <w:rsid w:val="0063531D"/>
    <w:rsid w:val="00635E96"/>
    <w:rsid w:val="00637545"/>
    <w:rsid w:val="00637603"/>
    <w:rsid w:val="006403C3"/>
    <w:rsid w:val="006405EA"/>
    <w:rsid w:val="006418CC"/>
    <w:rsid w:val="006428AC"/>
    <w:rsid w:val="006435BC"/>
    <w:rsid w:val="006436B1"/>
    <w:rsid w:val="0064567E"/>
    <w:rsid w:val="00645E3A"/>
    <w:rsid w:val="00652F67"/>
    <w:rsid w:val="00653438"/>
    <w:rsid w:val="00653CC0"/>
    <w:rsid w:val="00655BE9"/>
    <w:rsid w:val="006619A8"/>
    <w:rsid w:val="00661A59"/>
    <w:rsid w:val="00662E78"/>
    <w:rsid w:val="00663263"/>
    <w:rsid w:val="00663390"/>
    <w:rsid w:val="00663636"/>
    <w:rsid w:val="006638A8"/>
    <w:rsid w:val="00663DAC"/>
    <w:rsid w:val="00663DFB"/>
    <w:rsid w:val="00664C2D"/>
    <w:rsid w:val="00665115"/>
    <w:rsid w:val="00665543"/>
    <w:rsid w:val="00665E8C"/>
    <w:rsid w:val="006674E3"/>
    <w:rsid w:val="006679FD"/>
    <w:rsid w:val="00670F56"/>
    <w:rsid w:val="006715F4"/>
    <w:rsid w:val="00672FE2"/>
    <w:rsid w:val="00673F24"/>
    <w:rsid w:val="0067419A"/>
    <w:rsid w:val="006741F1"/>
    <w:rsid w:val="0067491B"/>
    <w:rsid w:val="00676AE8"/>
    <w:rsid w:val="00676C02"/>
    <w:rsid w:val="006772A2"/>
    <w:rsid w:val="00677D52"/>
    <w:rsid w:val="006808E6"/>
    <w:rsid w:val="00681FD3"/>
    <w:rsid w:val="00682190"/>
    <w:rsid w:val="006824FB"/>
    <w:rsid w:val="0068256B"/>
    <w:rsid w:val="006835F3"/>
    <w:rsid w:val="006836C3"/>
    <w:rsid w:val="00684183"/>
    <w:rsid w:val="00684809"/>
    <w:rsid w:val="006852BF"/>
    <w:rsid w:val="0068552C"/>
    <w:rsid w:val="006879C8"/>
    <w:rsid w:val="00687AF7"/>
    <w:rsid w:val="00687BAA"/>
    <w:rsid w:val="00687C8F"/>
    <w:rsid w:val="00687FD9"/>
    <w:rsid w:val="006906DF"/>
    <w:rsid w:val="00690864"/>
    <w:rsid w:val="0069203A"/>
    <w:rsid w:val="00694F75"/>
    <w:rsid w:val="00695A16"/>
    <w:rsid w:val="006967A7"/>
    <w:rsid w:val="006A0374"/>
    <w:rsid w:val="006A073A"/>
    <w:rsid w:val="006A3040"/>
    <w:rsid w:val="006A3101"/>
    <w:rsid w:val="006A3258"/>
    <w:rsid w:val="006A3688"/>
    <w:rsid w:val="006A424E"/>
    <w:rsid w:val="006A5F9B"/>
    <w:rsid w:val="006A649E"/>
    <w:rsid w:val="006A6A23"/>
    <w:rsid w:val="006A6B19"/>
    <w:rsid w:val="006B0448"/>
    <w:rsid w:val="006B05B7"/>
    <w:rsid w:val="006B05FC"/>
    <w:rsid w:val="006B1678"/>
    <w:rsid w:val="006B1D26"/>
    <w:rsid w:val="006B621D"/>
    <w:rsid w:val="006B6C0B"/>
    <w:rsid w:val="006B71CE"/>
    <w:rsid w:val="006B7A88"/>
    <w:rsid w:val="006C01BD"/>
    <w:rsid w:val="006C2BF0"/>
    <w:rsid w:val="006C4CE5"/>
    <w:rsid w:val="006C7495"/>
    <w:rsid w:val="006D08AD"/>
    <w:rsid w:val="006D0D99"/>
    <w:rsid w:val="006D3749"/>
    <w:rsid w:val="006D3A2C"/>
    <w:rsid w:val="006D67EF"/>
    <w:rsid w:val="006D73A5"/>
    <w:rsid w:val="006E0ADB"/>
    <w:rsid w:val="006E13BE"/>
    <w:rsid w:val="006E2580"/>
    <w:rsid w:val="006E46DA"/>
    <w:rsid w:val="006E5B8E"/>
    <w:rsid w:val="006F1FD4"/>
    <w:rsid w:val="006F22CB"/>
    <w:rsid w:val="006F2333"/>
    <w:rsid w:val="006F3248"/>
    <w:rsid w:val="006F3460"/>
    <w:rsid w:val="006F3CA8"/>
    <w:rsid w:val="006F4957"/>
    <w:rsid w:val="006F5BC5"/>
    <w:rsid w:val="006F5D6A"/>
    <w:rsid w:val="006F6EC7"/>
    <w:rsid w:val="006F791B"/>
    <w:rsid w:val="00701689"/>
    <w:rsid w:val="00701D05"/>
    <w:rsid w:val="00704F0C"/>
    <w:rsid w:val="00706B96"/>
    <w:rsid w:val="00710953"/>
    <w:rsid w:val="007123F4"/>
    <w:rsid w:val="00712732"/>
    <w:rsid w:val="007130B4"/>
    <w:rsid w:val="007162A2"/>
    <w:rsid w:val="00716473"/>
    <w:rsid w:val="00716ED2"/>
    <w:rsid w:val="00717CC7"/>
    <w:rsid w:val="00721840"/>
    <w:rsid w:val="00721A67"/>
    <w:rsid w:val="00721EFB"/>
    <w:rsid w:val="007221EC"/>
    <w:rsid w:val="00724884"/>
    <w:rsid w:val="007249AF"/>
    <w:rsid w:val="007275BA"/>
    <w:rsid w:val="00730083"/>
    <w:rsid w:val="0073404D"/>
    <w:rsid w:val="00735084"/>
    <w:rsid w:val="00735727"/>
    <w:rsid w:val="00736A5D"/>
    <w:rsid w:val="00742454"/>
    <w:rsid w:val="007431AD"/>
    <w:rsid w:val="007434A6"/>
    <w:rsid w:val="00743F79"/>
    <w:rsid w:val="00744461"/>
    <w:rsid w:val="007451D7"/>
    <w:rsid w:val="00746243"/>
    <w:rsid w:val="007517E9"/>
    <w:rsid w:val="00751C2E"/>
    <w:rsid w:val="007532E1"/>
    <w:rsid w:val="007557B0"/>
    <w:rsid w:val="00756858"/>
    <w:rsid w:val="00757025"/>
    <w:rsid w:val="0075774E"/>
    <w:rsid w:val="00760E07"/>
    <w:rsid w:val="00760F33"/>
    <w:rsid w:val="0076116A"/>
    <w:rsid w:val="00762C8E"/>
    <w:rsid w:val="00766424"/>
    <w:rsid w:val="00766990"/>
    <w:rsid w:val="0077099D"/>
    <w:rsid w:val="00770D00"/>
    <w:rsid w:val="007734A7"/>
    <w:rsid w:val="0077406F"/>
    <w:rsid w:val="00774272"/>
    <w:rsid w:val="00777789"/>
    <w:rsid w:val="007807CA"/>
    <w:rsid w:val="00781345"/>
    <w:rsid w:val="00782830"/>
    <w:rsid w:val="00782E72"/>
    <w:rsid w:val="00783EAA"/>
    <w:rsid w:val="00785166"/>
    <w:rsid w:val="00785A73"/>
    <w:rsid w:val="00787244"/>
    <w:rsid w:val="00787759"/>
    <w:rsid w:val="007877CD"/>
    <w:rsid w:val="00791084"/>
    <w:rsid w:val="0079355E"/>
    <w:rsid w:val="00793AD8"/>
    <w:rsid w:val="00793E89"/>
    <w:rsid w:val="007947E6"/>
    <w:rsid w:val="007979F9"/>
    <w:rsid w:val="00797C7B"/>
    <w:rsid w:val="007A0C12"/>
    <w:rsid w:val="007A0F19"/>
    <w:rsid w:val="007A1D18"/>
    <w:rsid w:val="007A1EEF"/>
    <w:rsid w:val="007A2AAF"/>
    <w:rsid w:val="007A486B"/>
    <w:rsid w:val="007A5071"/>
    <w:rsid w:val="007A5AB0"/>
    <w:rsid w:val="007A5FE1"/>
    <w:rsid w:val="007A66F9"/>
    <w:rsid w:val="007A7EAC"/>
    <w:rsid w:val="007B162D"/>
    <w:rsid w:val="007B2922"/>
    <w:rsid w:val="007B3B24"/>
    <w:rsid w:val="007B606D"/>
    <w:rsid w:val="007B64D3"/>
    <w:rsid w:val="007B6D5C"/>
    <w:rsid w:val="007B786C"/>
    <w:rsid w:val="007B7FC1"/>
    <w:rsid w:val="007C0C49"/>
    <w:rsid w:val="007C1E17"/>
    <w:rsid w:val="007C2047"/>
    <w:rsid w:val="007C213C"/>
    <w:rsid w:val="007C3485"/>
    <w:rsid w:val="007C4EE2"/>
    <w:rsid w:val="007C585D"/>
    <w:rsid w:val="007C62DD"/>
    <w:rsid w:val="007C69D4"/>
    <w:rsid w:val="007D1391"/>
    <w:rsid w:val="007D1616"/>
    <w:rsid w:val="007D1CF6"/>
    <w:rsid w:val="007D1EDB"/>
    <w:rsid w:val="007D2A80"/>
    <w:rsid w:val="007D4634"/>
    <w:rsid w:val="007D4A2E"/>
    <w:rsid w:val="007E0726"/>
    <w:rsid w:val="007E078F"/>
    <w:rsid w:val="007E13DF"/>
    <w:rsid w:val="007E17C5"/>
    <w:rsid w:val="007E362E"/>
    <w:rsid w:val="007E473C"/>
    <w:rsid w:val="007E488B"/>
    <w:rsid w:val="007E48B1"/>
    <w:rsid w:val="007E49BE"/>
    <w:rsid w:val="007E5D7E"/>
    <w:rsid w:val="007E6450"/>
    <w:rsid w:val="007E6AE0"/>
    <w:rsid w:val="007F03C2"/>
    <w:rsid w:val="007F063F"/>
    <w:rsid w:val="007F1F25"/>
    <w:rsid w:val="007F3BA2"/>
    <w:rsid w:val="007F3BDC"/>
    <w:rsid w:val="007F6A9F"/>
    <w:rsid w:val="007F6B3D"/>
    <w:rsid w:val="008008B9"/>
    <w:rsid w:val="00803B19"/>
    <w:rsid w:val="00804658"/>
    <w:rsid w:val="0080487D"/>
    <w:rsid w:val="0080566C"/>
    <w:rsid w:val="00806A9E"/>
    <w:rsid w:val="00807D08"/>
    <w:rsid w:val="008113D4"/>
    <w:rsid w:val="00811B24"/>
    <w:rsid w:val="00814488"/>
    <w:rsid w:val="00814510"/>
    <w:rsid w:val="008154B4"/>
    <w:rsid w:val="00815616"/>
    <w:rsid w:val="00816003"/>
    <w:rsid w:val="008214B9"/>
    <w:rsid w:val="00825B4B"/>
    <w:rsid w:val="00830A7F"/>
    <w:rsid w:val="00831B96"/>
    <w:rsid w:val="00833137"/>
    <w:rsid w:val="0083325D"/>
    <w:rsid w:val="00837529"/>
    <w:rsid w:val="008376EB"/>
    <w:rsid w:val="0084016C"/>
    <w:rsid w:val="00840612"/>
    <w:rsid w:val="00840BED"/>
    <w:rsid w:val="00841414"/>
    <w:rsid w:val="00841A45"/>
    <w:rsid w:val="00843A03"/>
    <w:rsid w:val="00843C00"/>
    <w:rsid w:val="00843D3F"/>
    <w:rsid w:val="00844214"/>
    <w:rsid w:val="008449A2"/>
    <w:rsid w:val="00844BB7"/>
    <w:rsid w:val="00846115"/>
    <w:rsid w:val="008464CD"/>
    <w:rsid w:val="00850BA7"/>
    <w:rsid w:val="00850C30"/>
    <w:rsid w:val="0085254B"/>
    <w:rsid w:val="00853762"/>
    <w:rsid w:val="00854911"/>
    <w:rsid w:val="0085491C"/>
    <w:rsid w:val="00856418"/>
    <w:rsid w:val="00856781"/>
    <w:rsid w:val="00860866"/>
    <w:rsid w:val="008618B5"/>
    <w:rsid w:val="00861E27"/>
    <w:rsid w:val="00862327"/>
    <w:rsid w:val="00863414"/>
    <w:rsid w:val="00863D39"/>
    <w:rsid w:val="0086512B"/>
    <w:rsid w:val="0086526F"/>
    <w:rsid w:val="00865AAE"/>
    <w:rsid w:val="008668FE"/>
    <w:rsid w:val="0086747C"/>
    <w:rsid w:val="008716EF"/>
    <w:rsid w:val="0087184A"/>
    <w:rsid w:val="008729F6"/>
    <w:rsid w:val="00872E0E"/>
    <w:rsid w:val="00873387"/>
    <w:rsid w:val="00874AAD"/>
    <w:rsid w:val="00875480"/>
    <w:rsid w:val="00881AD0"/>
    <w:rsid w:val="008860EC"/>
    <w:rsid w:val="00893B5D"/>
    <w:rsid w:val="00894073"/>
    <w:rsid w:val="00896795"/>
    <w:rsid w:val="00896D38"/>
    <w:rsid w:val="008A1060"/>
    <w:rsid w:val="008A121C"/>
    <w:rsid w:val="008A2B8A"/>
    <w:rsid w:val="008A331B"/>
    <w:rsid w:val="008A51A8"/>
    <w:rsid w:val="008A58C0"/>
    <w:rsid w:val="008A5CB9"/>
    <w:rsid w:val="008A6017"/>
    <w:rsid w:val="008A79E9"/>
    <w:rsid w:val="008A7C80"/>
    <w:rsid w:val="008B067D"/>
    <w:rsid w:val="008B3EF7"/>
    <w:rsid w:val="008B55FE"/>
    <w:rsid w:val="008B682E"/>
    <w:rsid w:val="008B709C"/>
    <w:rsid w:val="008B71CB"/>
    <w:rsid w:val="008B7F75"/>
    <w:rsid w:val="008C0231"/>
    <w:rsid w:val="008C152A"/>
    <w:rsid w:val="008C2AEB"/>
    <w:rsid w:val="008C3625"/>
    <w:rsid w:val="008C428A"/>
    <w:rsid w:val="008C46DC"/>
    <w:rsid w:val="008C4907"/>
    <w:rsid w:val="008C54D2"/>
    <w:rsid w:val="008C57A2"/>
    <w:rsid w:val="008C7EC4"/>
    <w:rsid w:val="008D054A"/>
    <w:rsid w:val="008D1812"/>
    <w:rsid w:val="008D2693"/>
    <w:rsid w:val="008D2F4A"/>
    <w:rsid w:val="008D3193"/>
    <w:rsid w:val="008D40A9"/>
    <w:rsid w:val="008D46E6"/>
    <w:rsid w:val="008D545B"/>
    <w:rsid w:val="008D686A"/>
    <w:rsid w:val="008D6F08"/>
    <w:rsid w:val="008E0457"/>
    <w:rsid w:val="008E09A9"/>
    <w:rsid w:val="008E1A97"/>
    <w:rsid w:val="008E3730"/>
    <w:rsid w:val="008E3800"/>
    <w:rsid w:val="008E38A0"/>
    <w:rsid w:val="008E3B27"/>
    <w:rsid w:val="008E490F"/>
    <w:rsid w:val="008E52FD"/>
    <w:rsid w:val="008E58A6"/>
    <w:rsid w:val="008E5997"/>
    <w:rsid w:val="008E5DFE"/>
    <w:rsid w:val="008E6149"/>
    <w:rsid w:val="008E7C2F"/>
    <w:rsid w:val="008E7F20"/>
    <w:rsid w:val="008F1B50"/>
    <w:rsid w:val="008F40DC"/>
    <w:rsid w:val="00900AD7"/>
    <w:rsid w:val="0090195C"/>
    <w:rsid w:val="00901B8C"/>
    <w:rsid w:val="009025B6"/>
    <w:rsid w:val="00902B40"/>
    <w:rsid w:val="009036AB"/>
    <w:rsid w:val="009037F1"/>
    <w:rsid w:val="009039A8"/>
    <w:rsid w:val="0090446A"/>
    <w:rsid w:val="009045C1"/>
    <w:rsid w:val="00905AC6"/>
    <w:rsid w:val="00910CD1"/>
    <w:rsid w:val="0091192A"/>
    <w:rsid w:val="00912054"/>
    <w:rsid w:val="00912722"/>
    <w:rsid w:val="00913712"/>
    <w:rsid w:val="009151FA"/>
    <w:rsid w:val="00921856"/>
    <w:rsid w:val="00921EB4"/>
    <w:rsid w:val="00924829"/>
    <w:rsid w:val="00925381"/>
    <w:rsid w:val="009261F6"/>
    <w:rsid w:val="0092716B"/>
    <w:rsid w:val="00931467"/>
    <w:rsid w:val="00932395"/>
    <w:rsid w:val="009352D3"/>
    <w:rsid w:val="00936FF8"/>
    <w:rsid w:val="00943682"/>
    <w:rsid w:val="00943B9B"/>
    <w:rsid w:val="00945275"/>
    <w:rsid w:val="00951331"/>
    <w:rsid w:val="00951891"/>
    <w:rsid w:val="00952AE6"/>
    <w:rsid w:val="009531D2"/>
    <w:rsid w:val="00953ADB"/>
    <w:rsid w:val="00955028"/>
    <w:rsid w:val="00955135"/>
    <w:rsid w:val="00956464"/>
    <w:rsid w:val="00956E65"/>
    <w:rsid w:val="00957471"/>
    <w:rsid w:val="009622FF"/>
    <w:rsid w:val="00963AEF"/>
    <w:rsid w:val="00964D31"/>
    <w:rsid w:val="009717E9"/>
    <w:rsid w:val="00971DC7"/>
    <w:rsid w:val="00971F1C"/>
    <w:rsid w:val="009730F7"/>
    <w:rsid w:val="00973A4E"/>
    <w:rsid w:val="00975745"/>
    <w:rsid w:val="00975CF5"/>
    <w:rsid w:val="00980DB0"/>
    <w:rsid w:val="00981142"/>
    <w:rsid w:val="00982A5C"/>
    <w:rsid w:val="00984383"/>
    <w:rsid w:val="0098510A"/>
    <w:rsid w:val="00987825"/>
    <w:rsid w:val="00992A7F"/>
    <w:rsid w:val="00992B2A"/>
    <w:rsid w:val="00994429"/>
    <w:rsid w:val="0099454D"/>
    <w:rsid w:val="00997BD5"/>
    <w:rsid w:val="00997DBD"/>
    <w:rsid w:val="00997F95"/>
    <w:rsid w:val="009A0C0A"/>
    <w:rsid w:val="009A7C14"/>
    <w:rsid w:val="009B3BBC"/>
    <w:rsid w:val="009B3C9D"/>
    <w:rsid w:val="009B7405"/>
    <w:rsid w:val="009C189C"/>
    <w:rsid w:val="009C1C44"/>
    <w:rsid w:val="009C200F"/>
    <w:rsid w:val="009C25BE"/>
    <w:rsid w:val="009C3F12"/>
    <w:rsid w:val="009C5195"/>
    <w:rsid w:val="009C5D12"/>
    <w:rsid w:val="009C66EF"/>
    <w:rsid w:val="009C6804"/>
    <w:rsid w:val="009C691E"/>
    <w:rsid w:val="009C71B5"/>
    <w:rsid w:val="009C71F4"/>
    <w:rsid w:val="009C7289"/>
    <w:rsid w:val="009C77F8"/>
    <w:rsid w:val="009C7F1F"/>
    <w:rsid w:val="009D263E"/>
    <w:rsid w:val="009D4082"/>
    <w:rsid w:val="009D4E1C"/>
    <w:rsid w:val="009D5403"/>
    <w:rsid w:val="009D654D"/>
    <w:rsid w:val="009D66C1"/>
    <w:rsid w:val="009E0C81"/>
    <w:rsid w:val="009E1117"/>
    <w:rsid w:val="009E303E"/>
    <w:rsid w:val="009E4CF3"/>
    <w:rsid w:val="009E55AA"/>
    <w:rsid w:val="009F20AB"/>
    <w:rsid w:val="009F2BB6"/>
    <w:rsid w:val="009F4D0A"/>
    <w:rsid w:val="009F4F88"/>
    <w:rsid w:val="009F5C46"/>
    <w:rsid w:val="00A0147F"/>
    <w:rsid w:val="00A025D7"/>
    <w:rsid w:val="00A04148"/>
    <w:rsid w:val="00A05882"/>
    <w:rsid w:val="00A0597E"/>
    <w:rsid w:val="00A060D3"/>
    <w:rsid w:val="00A0641B"/>
    <w:rsid w:val="00A105E6"/>
    <w:rsid w:val="00A11F65"/>
    <w:rsid w:val="00A128B7"/>
    <w:rsid w:val="00A12E82"/>
    <w:rsid w:val="00A13B85"/>
    <w:rsid w:val="00A13C47"/>
    <w:rsid w:val="00A14524"/>
    <w:rsid w:val="00A14AA3"/>
    <w:rsid w:val="00A165F9"/>
    <w:rsid w:val="00A1721B"/>
    <w:rsid w:val="00A17833"/>
    <w:rsid w:val="00A2208D"/>
    <w:rsid w:val="00A23A51"/>
    <w:rsid w:val="00A23DD2"/>
    <w:rsid w:val="00A25587"/>
    <w:rsid w:val="00A25CF9"/>
    <w:rsid w:val="00A26407"/>
    <w:rsid w:val="00A309D7"/>
    <w:rsid w:val="00A3149E"/>
    <w:rsid w:val="00A321E1"/>
    <w:rsid w:val="00A349EB"/>
    <w:rsid w:val="00A34ECF"/>
    <w:rsid w:val="00A34F5B"/>
    <w:rsid w:val="00A3534F"/>
    <w:rsid w:val="00A35A0D"/>
    <w:rsid w:val="00A3650B"/>
    <w:rsid w:val="00A41539"/>
    <w:rsid w:val="00A4252D"/>
    <w:rsid w:val="00A42DA8"/>
    <w:rsid w:val="00A4344F"/>
    <w:rsid w:val="00A4380D"/>
    <w:rsid w:val="00A453B8"/>
    <w:rsid w:val="00A45534"/>
    <w:rsid w:val="00A45629"/>
    <w:rsid w:val="00A47E2F"/>
    <w:rsid w:val="00A5049D"/>
    <w:rsid w:val="00A5186F"/>
    <w:rsid w:val="00A52847"/>
    <w:rsid w:val="00A53B94"/>
    <w:rsid w:val="00A55F1B"/>
    <w:rsid w:val="00A5632D"/>
    <w:rsid w:val="00A569D3"/>
    <w:rsid w:val="00A57B96"/>
    <w:rsid w:val="00A61C9D"/>
    <w:rsid w:val="00A622EF"/>
    <w:rsid w:val="00A6288E"/>
    <w:rsid w:val="00A636A2"/>
    <w:rsid w:val="00A6408C"/>
    <w:rsid w:val="00A649F2"/>
    <w:rsid w:val="00A64A43"/>
    <w:rsid w:val="00A6511F"/>
    <w:rsid w:val="00A6557C"/>
    <w:rsid w:val="00A65B19"/>
    <w:rsid w:val="00A65CC5"/>
    <w:rsid w:val="00A65D59"/>
    <w:rsid w:val="00A6686C"/>
    <w:rsid w:val="00A701DA"/>
    <w:rsid w:val="00A716A7"/>
    <w:rsid w:val="00A7206D"/>
    <w:rsid w:val="00A748D6"/>
    <w:rsid w:val="00A75045"/>
    <w:rsid w:val="00A76A9D"/>
    <w:rsid w:val="00A81D19"/>
    <w:rsid w:val="00A85435"/>
    <w:rsid w:val="00A91186"/>
    <w:rsid w:val="00A92E7E"/>
    <w:rsid w:val="00A947B3"/>
    <w:rsid w:val="00A94A57"/>
    <w:rsid w:val="00A95A06"/>
    <w:rsid w:val="00A96B69"/>
    <w:rsid w:val="00A97E64"/>
    <w:rsid w:val="00AA02DF"/>
    <w:rsid w:val="00AA10AD"/>
    <w:rsid w:val="00AA1FDC"/>
    <w:rsid w:val="00AA708E"/>
    <w:rsid w:val="00AB0A94"/>
    <w:rsid w:val="00AB171B"/>
    <w:rsid w:val="00AB2585"/>
    <w:rsid w:val="00AB25C9"/>
    <w:rsid w:val="00AB3196"/>
    <w:rsid w:val="00AB3460"/>
    <w:rsid w:val="00AB4025"/>
    <w:rsid w:val="00AB6193"/>
    <w:rsid w:val="00AB62E2"/>
    <w:rsid w:val="00AB7939"/>
    <w:rsid w:val="00AB7AAD"/>
    <w:rsid w:val="00AB7C9E"/>
    <w:rsid w:val="00AC0596"/>
    <w:rsid w:val="00AC374A"/>
    <w:rsid w:val="00AC3C66"/>
    <w:rsid w:val="00AC42D2"/>
    <w:rsid w:val="00AC5FCF"/>
    <w:rsid w:val="00AC6551"/>
    <w:rsid w:val="00AD233A"/>
    <w:rsid w:val="00AD2A6E"/>
    <w:rsid w:val="00AD3019"/>
    <w:rsid w:val="00AD3D35"/>
    <w:rsid w:val="00AD3F59"/>
    <w:rsid w:val="00AD7A5B"/>
    <w:rsid w:val="00AE0ECB"/>
    <w:rsid w:val="00AE0F80"/>
    <w:rsid w:val="00AE164A"/>
    <w:rsid w:val="00AE27A9"/>
    <w:rsid w:val="00AE40EC"/>
    <w:rsid w:val="00AE4DF0"/>
    <w:rsid w:val="00AE5240"/>
    <w:rsid w:val="00AE5AFF"/>
    <w:rsid w:val="00AE67A5"/>
    <w:rsid w:val="00AF0973"/>
    <w:rsid w:val="00AF1913"/>
    <w:rsid w:val="00AF233B"/>
    <w:rsid w:val="00AF59F3"/>
    <w:rsid w:val="00AF6410"/>
    <w:rsid w:val="00AF64D4"/>
    <w:rsid w:val="00B00D27"/>
    <w:rsid w:val="00B00D5B"/>
    <w:rsid w:val="00B01DF7"/>
    <w:rsid w:val="00B02A8B"/>
    <w:rsid w:val="00B03E9B"/>
    <w:rsid w:val="00B043CE"/>
    <w:rsid w:val="00B045BA"/>
    <w:rsid w:val="00B05318"/>
    <w:rsid w:val="00B05420"/>
    <w:rsid w:val="00B05EE0"/>
    <w:rsid w:val="00B126A8"/>
    <w:rsid w:val="00B126BE"/>
    <w:rsid w:val="00B12CDC"/>
    <w:rsid w:val="00B146F0"/>
    <w:rsid w:val="00B202B1"/>
    <w:rsid w:val="00B22D73"/>
    <w:rsid w:val="00B23177"/>
    <w:rsid w:val="00B236A3"/>
    <w:rsid w:val="00B2391E"/>
    <w:rsid w:val="00B24DD8"/>
    <w:rsid w:val="00B27E72"/>
    <w:rsid w:val="00B307CC"/>
    <w:rsid w:val="00B310D0"/>
    <w:rsid w:val="00B35693"/>
    <w:rsid w:val="00B35815"/>
    <w:rsid w:val="00B37158"/>
    <w:rsid w:val="00B40B71"/>
    <w:rsid w:val="00B42199"/>
    <w:rsid w:val="00B429C6"/>
    <w:rsid w:val="00B4715C"/>
    <w:rsid w:val="00B50511"/>
    <w:rsid w:val="00B51D60"/>
    <w:rsid w:val="00B51DFB"/>
    <w:rsid w:val="00B51F43"/>
    <w:rsid w:val="00B525EB"/>
    <w:rsid w:val="00B5267A"/>
    <w:rsid w:val="00B52DA5"/>
    <w:rsid w:val="00B55374"/>
    <w:rsid w:val="00B55850"/>
    <w:rsid w:val="00B56FEB"/>
    <w:rsid w:val="00B605AB"/>
    <w:rsid w:val="00B608C8"/>
    <w:rsid w:val="00B61BCF"/>
    <w:rsid w:val="00B62C80"/>
    <w:rsid w:val="00B62CCC"/>
    <w:rsid w:val="00B643B9"/>
    <w:rsid w:val="00B64787"/>
    <w:rsid w:val="00B658D5"/>
    <w:rsid w:val="00B65D79"/>
    <w:rsid w:val="00B70129"/>
    <w:rsid w:val="00B70B1C"/>
    <w:rsid w:val="00B718E1"/>
    <w:rsid w:val="00B73B3A"/>
    <w:rsid w:val="00B7476E"/>
    <w:rsid w:val="00B7482A"/>
    <w:rsid w:val="00B7669E"/>
    <w:rsid w:val="00B771A7"/>
    <w:rsid w:val="00B8648F"/>
    <w:rsid w:val="00B920E2"/>
    <w:rsid w:val="00B922FE"/>
    <w:rsid w:val="00B92A6F"/>
    <w:rsid w:val="00B92E9D"/>
    <w:rsid w:val="00B968DC"/>
    <w:rsid w:val="00B97135"/>
    <w:rsid w:val="00B97385"/>
    <w:rsid w:val="00BA015D"/>
    <w:rsid w:val="00BA1F07"/>
    <w:rsid w:val="00BA221E"/>
    <w:rsid w:val="00BB1052"/>
    <w:rsid w:val="00BB1A3F"/>
    <w:rsid w:val="00BB1F97"/>
    <w:rsid w:val="00BB244B"/>
    <w:rsid w:val="00BB24D7"/>
    <w:rsid w:val="00BB447A"/>
    <w:rsid w:val="00BB4894"/>
    <w:rsid w:val="00BB682E"/>
    <w:rsid w:val="00BC290C"/>
    <w:rsid w:val="00BC2F67"/>
    <w:rsid w:val="00BC37F6"/>
    <w:rsid w:val="00BC5AED"/>
    <w:rsid w:val="00BC7792"/>
    <w:rsid w:val="00BC7991"/>
    <w:rsid w:val="00BC7A26"/>
    <w:rsid w:val="00BD1271"/>
    <w:rsid w:val="00BD394E"/>
    <w:rsid w:val="00BD42CB"/>
    <w:rsid w:val="00BD5178"/>
    <w:rsid w:val="00BD5EDA"/>
    <w:rsid w:val="00BD6BD8"/>
    <w:rsid w:val="00BE00C7"/>
    <w:rsid w:val="00BE196D"/>
    <w:rsid w:val="00BE1A2F"/>
    <w:rsid w:val="00BE42D9"/>
    <w:rsid w:val="00BE48F8"/>
    <w:rsid w:val="00BE5479"/>
    <w:rsid w:val="00BE56E9"/>
    <w:rsid w:val="00BE7612"/>
    <w:rsid w:val="00BF008C"/>
    <w:rsid w:val="00BF01AD"/>
    <w:rsid w:val="00BF0A97"/>
    <w:rsid w:val="00BF1315"/>
    <w:rsid w:val="00BF1C70"/>
    <w:rsid w:val="00BF3734"/>
    <w:rsid w:val="00BF3873"/>
    <w:rsid w:val="00BF5119"/>
    <w:rsid w:val="00C00127"/>
    <w:rsid w:val="00C003FC"/>
    <w:rsid w:val="00C00EE1"/>
    <w:rsid w:val="00C01842"/>
    <w:rsid w:val="00C01A9A"/>
    <w:rsid w:val="00C0233A"/>
    <w:rsid w:val="00C036BD"/>
    <w:rsid w:val="00C0631E"/>
    <w:rsid w:val="00C110AC"/>
    <w:rsid w:val="00C113AC"/>
    <w:rsid w:val="00C11B08"/>
    <w:rsid w:val="00C12275"/>
    <w:rsid w:val="00C139C8"/>
    <w:rsid w:val="00C14006"/>
    <w:rsid w:val="00C142AC"/>
    <w:rsid w:val="00C169C3"/>
    <w:rsid w:val="00C179A3"/>
    <w:rsid w:val="00C2015A"/>
    <w:rsid w:val="00C20DA0"/>
    <w:rsid w:val="00C2118C"/>
    <w:rsid w:val="00C218BC"/>
    <w:rsid w:val="00C2195A"/>
    <w:rsid w:val="00C2252D"/>
    <w:rsid w:val="00C240E3"/>
    <w:rsid w:val="00C2418C"/>
    <w:rsid w:val="00C24A6A"/>
    <w:rsid w:val="00C25A03"/>
    <w:rsid w:val="00C26C44"/>
    <w:rsid w:val="00C27848"/>
    <w:rsid w:val="00C3003D"/>
    <w:rsid w:val="00C303EB"/>
    <w:rsid w:val="00C308CF"/>
    <w:rsid w:val="00C3098F"/>
    <w:rsid w:val="00C33F9E"/>
    <w:rsid w:val="00C344D2"/>
    <w:rsid w:val="00C35283"/>
    <w:rsid w:val="00C35A3D"/>
    <w:rsid w:val="00C37FD8"/>
    <w:rsid w:val="00C469CB"/>
    <w:rsid w:val="00C5048B"/>
    <w:rsid w:val="00C510BE"/>
    <w:rsid w:val="00C51AF8"/>
    <w:rsid w:val="00C52434"/>
    <w:rsid w:val="00C52615"/>
    <w:rsid w:val="00C530F4"/>
    <w:rsid w:val="00C53184"/>
    <w:rsid w:val="00C54C57"/>
    <w:rsid w:val="00C57B10"/>
    <w:rsid w:val="00C62F19"/>
    <w:rsid w:val="00C63624"/>
    <w:rsid w:val="00C636C2"/>
    <w:rsid w:val="00C64AB3"/>
    <w:rsid w:val="00C67372"/>
    <w:rsid w:val="00C70A72"/>
    <w:rsid w:val="00C72CFA"/>
    <w:rsid w:val="00C7313E"/>
    <w:rsid w:val="00C75A47"/>
    <w:rsid w:val="00C76010"/>
    <w:rsid w:val="00C76598"/>
    <w:rsid w:val="00C76F0D"/>
    <w:rsid w:val="00C77E64"/>
    <w:rsid w:val="00C815EC"/>
    <w:rsid w:val="00C8192D"/>
    <w:rsid w:val="00C831ED"/>
    <w:rsid w:val="00C845B3"/>
    <w:rsid w:val="00C85D76"/>
    <w:rsid w:val="00C87DBE"/>
    <w:rsid w:val="00C902DE"/>
    <w:rsid w:val="00C91543"/>
    <w:rsid w:val="00C92D52"/>
    <w:rsid w:val="00C94710"/>
    <w:rsid w:val="00C95479"/>
    <w:rsid w:val="00C9697B"/>
    <w:rsid w:val="00C97174"/>
    <w:rsid w:val="00C97672"/>
    <w:rsid w:val="00C979D5"/>
    <w:rsid w:val="00CA1C76"/>
    <w:rsid w:val="00CA41C0"/>
    <w:rsid w:val="00CA494E"/>
    <w:rsid w:val="00CA5CB9"/>
    <w:rsid w:val="00CA6903"/>
    <w:rsid w:val="00CA785F"/>
    <w:rsid w:val="00CA7A02"/>
    <w:rsid w:val="00CA7A9D"/>
    <w:rsid w:val="00CB0046"/>
    <w:rsid w:val="00CB069D"/>
    <w:rsid w:val="00CB1151"/>
    <w:rsid w:val="00CB134B"/>
    <w:rsid w:val="00CB1D5C"/>
    <w:rsid w:val="00CB2EF4"/>
    <w:rsid w:val="00CB42FE"/>
    <w:rsid w:val="00CB7521"/>
    <w:rsid w:val="00CC191D"/>
    <w:rsid w:val="00CC2146"/>
    <w:rsid w:val="00CC36D3"/>
    <w:rsid w:val="00CC75BC"/>
    <w:rsid w:val="00CC7F08"/>
    <w:rsid w:val="00CD00AA"/>
    <w:rsid w:val="00CD182D"/>
    <w:rsid w:val="00CD273F"/>
    <w:rsid w:val="00CD4CA7"/>
    <w:rsid w:val="00CD74DC"/>
    <w:rsid w:val="00CE2B50"/>
    <w:rsid w:val="00CE306F"/>
    <w:rsid w:val="00CE3955"/>
    <w:rsid w:val="00CE4F5A"/>
    <w:rsid w:val="00CE54BC"/>
    <w:rsid w:val="00CE5F0C"/>
    <w:rsid w:val="00CE69BF"/>
    <w:rsid w:val="00CF4285"/>
    <w:rsid w:val="00CF5210"/>
    <w:rsid w:val="00CF5F1A"/>
    <w:rsid w:val="00CF7AB9"/>
    <w:rsid w:val="00D00EEB"/>
    <w:rsid w:val="00D01562"/>
    <w:rsid w:val="00D01F1F"/>
    <w:rsid w:val="00D1099C"/>
    <w:rsid w:val="00D126E7"/>
    <w:rsid w:val="00D13F96"/>
    <w:rsid w:val="00D14DB1"/>
    <w:rsid w:val="00D15082"/>
    <w:rsid w:val="00D15B40"/>
    <w:rsid w:val="00D15F42"/>
    <w:rsid w:val="00D17205"/>
    <w:rsid w:val="00D17F3F"/>
    <w:rsid w:val="00D17F76"/>
    <w:rsid w:val="00D200B3"/>
    <w:rsid w:val="00D2010D"/>
    <w:rsid w:val="00D201B2"/>
    <w:rsid w:val="00D20366"/>
    <w:rsid w:val="00D20BAC"/>
    <w:rsid w:val="00D2295A"/>
    <w:rsid w:val="00D23C59"/>
    <w:rsid w:val="00D30806"/>
    <w:rsid w:val="00D30823"/>
    <w:rsid w:val="00D31C3A"/>
    <w:rsid w:val="00D3312B"/>
    <w:rsid w:val="00D34276"/>
    <w:rsid w:val="00D34755"/>
    <w:rsid w:val="00D359F1"/>
    <w:rsid w:val="00D360CA"/>
    <w:rsid w:val="00D36999"/>
    <w:rsid w:val="00D37F6A"/>
    <w:rsid w:val="00D40A06"/>
    <w:rsid w:val="00D418FE"/>
    <w:rsid w:val="00D42F6F"/>
    <w:rsid w:val="00D4346C"/>
    <w:rsid w:val="00D447BD"/>
    <w:rsid w:val="00D47BC8"/>
    <w:rsid w:val="00D51BEA"/>
    <w:rsid w:val="00D520E0"/>
    <w:rsid w:val="00D537AC"/>
    <w:rsid w:val="00D54593"/>
    <w:rsid w:val="00D54A01"/>
    <w:rsid w:val="00D552F8"/>
    <w:rsid w:val="00D55A3D"/>
    <w:rsid w:val="00D56326"/>
    <w:rsid w:val="00D5679D"/>
    <w:rsid w:val="00D604D3"/>
    <w:rsid w:val="00D611E4"/>
    <w:rsid w:val="00D61209"/>
    <w:rsid w:val="00D61723"/>
    <w:rsid w:val="00D623CF"/>
    <w:rsid w:val="00D6271F"/>
    <w:rsid w:val="00D66D79"/>
    <w:rsid w:val="00D70EB5"/>
    <w:rsid w:val="00D730F0"/>
    <w:rsid w:val="00D73F95"/>
    <w:rsid w:val="00D74E7F"/>
    <w:rsid w:val="00D7610F"/>
    <w:rsid w:val="00D762E2"/>
    <w:rsid w:val="00D76A3C"/>
    <w:rsid w:val="00D76CFF"/>
    <w:rsid w:val="00D77342"/>
    <w:rsid w:val="00D81539"/>
    <w:rsid w:val="00D83A3A"/>
    <w:rsid w:val="00D83A95"/>
    <w:rsid w:val="00D85BA7"/>
    <w:rsid w:val="00D8667B"/>
    <w:rsid w:val="00D87C8D"/>
    <w:rsid w:val="00D91D2F"/>
    <w:rsid w:val="00D941A3"/>
    <w:rsid w:val="00D94828"/>
    <w:rsid w:val="00D95741"/>
    <w:rsid w:val="00D96B3C"/>
    <w:rsid w:val="00DA13E8"/>
    <w:rsid w:val="00DA16A8"/>
    <w:rsid w:val="00DA5A4A"/>
    <w:rsid w:val="00DA7DD3"/>
    <w:rsid w:val="00DA7F08"/>
    <w:rsid w:val="00DB1EEA"/>
    <w:rsid w:val="00DB2C53"/>
    <w:rsid w:val="00DB2D1D"/>
    <w:rsid w:val="00DB6FAC"/>
    <w:rsid w:val="00DB71D4"/>
    <w:rsid w:val="00DC035E"/>
    <w:rsid w:val="00DC0B1A"/>
    <w:rsid w:val="00DC2480"/>
    <w:rsid w:val="00DC2764"/>
    <w:rsid w:val="00DC2E81"/>
    <w:rsid w:val="00DC6587"/>
    <w:rsid w:val="00DC6719"/>
    <w:rsid w:val="00DC7404"/>
    <w:rsid w:val="00DC76C7"/>
    <w:rsid w:val="00DC7B19"/>
    <w:rsid w:val="00DC7D07"/>
    <w:rsid w:val="00DC7FFA"/>
    <w:rsid w:val="00DD49D3"/>
    <w:rsid w:val="00DD5E05"/>
    <w:rsid w:val="00DD6EF5"/>
    <w:rsid w:val="00DD7538"/>
    <w:rsid w:val="00DD7EAB"/>
    <w:rsid w:val="00DD7FF8"/>
    <w:rsid w:val="00DE0AFE"/>
    <w:rsid w:val="00DE1594"/>
    <w:rsid w:val="00DE1F8A"/>
    <w:rsid w:val="00DE2BBE"/>
    <w:rsid w:val="00DE303C"/>
    <w:rsid w:val="00DE5367"/>
    <w:rsid w:val="00DE7037"/>
    <w:rsid w:val="00DF3333"/>
    <w:rsid w:val="00DF3AFC"/>
    <w:rsid w:val="00DF40EB"/>
    <w:rsid w:val="00DF4C91"/>
    <w:rsid w:val="00DF63C4"/>
    <w:rsid w:val="00E01607"/>
    <w:rsid w:val="00E01BC7"/>
    <w:rsid w:val="00E0334B"/>
    <w:rsid w:val="00E061C2"/>
    <w:rsid w:val="00E07475"/>
    <w:rsid w:val="00E10025"/>
    <w:rsid w:val="00E11FC9"/>
    <w:rsid w:val="00E12002"/>
    <w:rsid w:val="00E12262"/>
    <w:rsid w:val="00E1258B"/>
    <w:rsid w:val="00E1463D"/>
    <w:rsid w:val="00E1600D"/>
    <w:rsid w:val="00E170CA"/>
    <w:rsid w:val="00E2109B"/>
    <w:rsid w:val="00E21395"/>
    <w:rsid w:val="00E21915"/>
    <w:rsid w:val="00E22E7F"/>
    <w:rsid w:val="00E22FFF"/>
    <w:rsid w:val="00E23346"/>
    <w:rsid w:val="00E24056"/>
    <w:rsid w:val="00E322CC"/>
    <w:rsid w:val="00E33D7A"/>
    <w:rsid w:val="00E35001"/>
    <w:rsid w:val="00E354B2"/>
    <w:rsid w:val="00E37A68"/>
    <w:rsid w:val="00E37B89"/>
    <w:rsid w:val="00E401DE"/>
    <w:rsid w:val="00E413BF"/>
    <w:rsid w:val="00E41DA7"/>
    <w:rsid w:val="00E41F12"/>
    <w:rsid w:val="00E4200A"/>
    <w:rsid w:val="00E42709"/>
    <w:rsid w:val="00E42754"/>
    <w:rsid w:val="00E431B9"/>
    <w:rsid w:val="00E44679"/>
    <w:rsid w:val="00E44931"/>
    <w:rsid w:val="00E44AD0"/>
    <w:rsid w:val="00E46DC4"/>
    <w:rsid w:val="00E51B8B"/>
    <w:rsid w:val="00E52447"/>
    <w:rsid w:val="00E53BDB"/>
    <w:rsid w:val="00E54394"/>
    <w:rsid w:val="00E563DC"/>
    <w:rsid w:val="00E56FEB"/>
    <w:rsid w:val="00E613CD"/>
    <w:rsid w:val="00E6188E"/>
    <w:rsid w:val="00E62E8B"/>
    <w:rsid w:val="00E63929"/>
    <w:rsid w:val="00E71C65"/>
    <w:rsid w:val="00E743E6"/>
    <w:rsid w:val="00E75FE3"/>
    <w:rsid w:val="00E76670"/>
    <w:rsid w:val="00E77206"/>
    <w:rsid w:val="00E77C15"/>
    <w:rsid w:val="00E77D0F"/>
    <w:rsid w:val="00E80D25"/>
    <w:rsid w:val="00E8228F"/>
    <w:rsid w:val="00E85155"/>
    <w:rsid w:val="00E86729"/>
    <w:rsid w:val="00E86829"/>
    <w:rsid w:val="00E8758B"/>
    <w:rsid w:val="00E8795D"/>
    <w:rsid w:val="00E91A65"/>
    <w:rsid w:val="00E93000"/>
    <w:rsid w:val="00E933BF"/>
    <w:rsid w:val="00E935FD"/>
    <w:rsid w:val="00E97054"/>
    <w:rsid w:val="00E977B1"/>
    <w:rsid w:val="00E97F59"/>
    <w:rsid w:val="00EA0A9A"/>
    <w:rsid w:val="00EA111D"/>
    <w:rsid w:val="00EA36B6"/>
    <w:rsid w:val="00EA5D57"/>
    <w:rsid w:val="00EA6E0F"/>
    <w:rsid w:val="00EA7715"/>
    <w:rsid w:val="00EA775D"/>
    <w:rsid w:val="00EB2017"/>
    <w:rsid w:val="00EB20FE"/>
    <w:rsid w:val="00EB3025"/>
    <w:rsid w:val="00EB378D"/>
    <w:rsid w:val="00EB5117"/>
    <w:rsid w:val="00EB59F1"/>
    <w:rsid w:val="00EB6A05"/>
    <w:rsid w:val="00EB7103"/>
    <w:rsid w:val="00EC275F"/>
    <w:rsid w:val="00EC2D57"/>
    <w:rsid w:val="00EC5375"/>
    <w:rsid w:val="00EC5480"/>
    <w:rsid w:val="00EC5C0D"/>
    <w:rsid w:val="00ED05D6"/>
    <w:rsid w:val="00ED1046"/>
    <w:rsid w:val="00ED2691"/>
    <w:rsid w:val="00ED2835"/>
    <w:rsid w:val="00ED3F6C"/>
    <w:rsid w:val="00ED6A5D"/>
    <w:rsid w:val="00ED79EC"/>
    <w:rsid w:val="00EE3F91"/>
    <w:rsid w:val="00EE531C"/>
    <w:rsid w:val="00EE5F51"/>
    <w:rsid w:val="00EE767F"/>
    <w:rsid w:val="00EF08D3"/>
    <w:rsid w:val="00EF0BC5"/>
    <w:rsid w:val="00EF2C85"/>
    <w:rsid w:val="00EF4730"/>
    <w:rsid w:val="00EF665F"/>
    <w:rsid w:val="00EF764C"/>
    <w:rsid w:val="00F04136"/>
    <w:rsid w:val="00F05538"/>
    <w:rsid w:val="00F05BD7"/>
    <w:rsid w:val="00F075ED"/>
    <w:rsid w:val="00F113A4"/>
    <w:rsid w:val="00F130BA"/>
    <w:rsid w:val="00F150C6"/>
    <w:rsid w:val="00F174EB"/>
    <w:rsid w:val="00F178B7"/>
    <w:rsid w:val="00F1799E"/>
    <w:rsid w:val="00F179BB"/>
    <w:rsid w:val="00F20033"/>
    <w:rsid w:val="00F20160"/>
    <w:rsid w:val="00F22ED9"/>
    <w:rsid w:val="00F2316B"/>
    <w:rsid w:val="00F23415"/>
    <w:rsid w:val="00F23FD2"/>
    <w:rsid w:val="00F24D42"/>
    <w:rsid w:val="00F25407"/>
    <w:rsid w:val="00F269F7"/>
    <w:rsid w:val="00F2736E"/>
    <w:rsid w:val="00F3599F"/>
    <w:rsid w:val="00F41817"/>
    <w:rsid w:val="00F435A0"/>
    <w:rsid w:val="00F45087"/>
    <w:rsid w:val="00F462B2"/>
    <w:rsid w:val="00F4681F"/>
    <w:rsid w:val="00F476D4"/>
    <w:rsid w:val="00F50876"/>
    <w:rsid w:val="00F521CF"/>
    <w:rsid w:val="00F53D45"/>
    <w:rsid w:val="00F5538B"/>
    <w:rsid w:val="00F55E11"/>
    <w:rsid w:val="00F60F55"/>
    <w:rsid w:val="00F633A3"/>
    <w:rsid w:val="00F6355F"/>
    <w:rsid w:val="00F6749A"/>
    <w:rsid w:val="00F67513"/>
    <w:rsid w:val="00F675F0"/>
    <w:rsid w:val="00F67BDE"/>
    <w:rsid w:val="00F71BD0"/>
    <w:rsid w:val="00F726C9"/>
    <w:rsid w:val="00F72C83"/>
    <w:rsid w:val="00F73B19"/>
    <w:rsid w:val="00F74267"/>
    <w:rsid w:val="00F74B59"/>
    <w:rsid w:val="00F7534C"/>
    <w:rsid w:val="00F7617D"/>
    <w:rsid w:val="00F77511"/>
    <w:rsid w:val="00F81104"/>
    <w:rsid w:val="00F82EF0"/>
    <w:rsid w:val="00F83815"/>
    <w:rsid w:val="00F84484"/>
    <w:rsid w:val="00F852B0"/>
    <w:rsid w:val="00F86207"/>
    <w:rsid w:val="00F8646D"/>
    <w:rsid w:val="00F86B6F"/>
    <w:rsid w:val="00F906FA"/>
    <w:rsid w:val="00F907F6"/>
    <w:rsid w:val="00F908FA"/>
    <w:rsid w:val="00F94A02"/>
    <w:rsid w:val="00F95F6B"/>
    <w:rsid w:val="00F973AE"/>
    <w:rsid w:val="00FA1AD3"/>
    <w:rsid w:val="00FA21D4"/>
    <w:rsid w:val="00FA24C2"/>
    <w:rsid w:val="00FA2DBB"/>
    <w:rsid w:val="00FA313F"/>
    <w:rsid w:val="00FA3691"/>
    <w:rsid w:val="00FA5E4B"/>
    <w:rsid w:val="00FA6C2D"/>
    <w:rsid w:val="00FA702A"/>
    <w:rsid w:val="00FB128D"/>
    <w:rsid w:val="00FB7894"/>
    <w:rsid w:val="00FC03B8"/>
    <w:rsid w:val="00FC1437"/>
    <w:rsid w:val="00FC49A6"/>
    <w:rsid w:val="00FC4AAC"/>
    <w:rsid w:val="00FC4BA7"/>
    <w:rsid w:val="00FC5F61"/>
    <w:rsid w:val="00FC7E56"/>
    <w:rsid w:val="00FC7F12"/>
    <w:rsid w:val="00FD031E"/>
    <w:rsid w:val="00FD0353"/>
    <w:rsid w:val="00FD1B4B"/>
    <w:rsid w:val="00FD44C9"/>
    <w:rsid w:val="00FD5340"/>
    <w:rsid w:val="00FD7698"/>
    <w:rsid w:val="00FE05AE"/>
    <w:rsid w:val="00FE1C82"/>
    <w:rsid w:val="00FE25B5"/>
    <w:rsid w:val="00FE3C6A"/>
    <w:rsid w:val="00FE74C9"/>
    <w:rsid w:val="00FF0347"/>
    <w:rsid w:val="00FF0823"/>
    <w:rsid w:val="00FF3125"/>
    <w:rsid w:val="00FF4969"/>
    <w:rsid w:val="00FF6E4E"/>
    <w:rsid w:val="00FF6F16"/>
    <w:rsid w:val="01E03DA0"/>
    <w:rsid w:val="02216B53"/>
    <w:rsid w:val="02933833"/>
    <w:rsid w:val="03182BA3"/>
    <w:rsid w:val="034A389B"/>
    <w:rsid w:val="035339A0"/>
    <w:rsid w:val="0384774D"/>
    <w:rsid w:val="039630FB"/>
    <w:rsid w:val="03FD47DA"/>
    <w:rsid w:val="0432567E"/>
    <w:rsid w:val="0465346C"/>
    <w:rsid w:val="04941056"/>
    <w:rsid w:val="04EF50E4"/>
    <w:rsid w:val="05EB5E91"/>
    <w:rsid w:val="061A080A"/>
    <w:rsid w:val="06241B10"/>
    <w:rsid w:val="070B35E7"/>
    <w:rsid w:val="076D3D9B"/>
    <w:rsid w:val="08575FBE"/>
    <w:rsid w:val="086168E8"/>
    <w:rsid w:val="086B2094"/>
    <w:rsid w:val="08CC637B"/>
    <w:rsid w:val="08D4083B"/>
    <w:rsid w:val="0948383A"/>
    <w:rsid w:val="097B2C18"/>
    <w:rsid w:val="09897D66"/>
    <w:rsid w:val="09BD4ABD"/>
    <w:rsid w:val="09DE3555"/>
    <w:rsid w:val="0A5B6627"/>
    <w:rsid w:val="0B196FF0"/>
    <w:rsid w:val="0BA64D17"/>
    <w:rsid w:val="0BE07789"/>
    <w:rsid w:val="0C6368F2"/>
    <w:rsid w:val="0CA87E34"/>
    <w:rsid w:val="0CAB26D5"/>
    <w:rsid w:val="0CF24310"/>
    <w:rsid w:val="0CF550D2"/>
    <w:rsid w:val="0DCD7334"/>
    <w:rsid w:val="0DCF6FB4"/>
    <w:rsid w:val="0DF37EED"/>
    <w:rsid w:val="0DF4006B"/>
    <w:rsid w:val="0E176437"/>
    <w:rsid w:val="0E1806AD"/>
    <w:rsid w:val="0E79238A"/>
    <w:rsid w:val="0E904E74"/>
    <w:rsid w:val="0EDF0212"/>
    <w:rsid w:val="0FB777B7"/>
    <w:rsid w:val="10154348"/>
    <w:rsid w:val="102B2696"/>
    <w:rsid w:val="108E2A2A"/>
    <w:rsid w:val="1091203B"/>
    <w:rsid w:val="10B050F0"/>
    <w:rsid w:val="10CA51F4"/>
    <w:rsid w:val="11206871"/>
    <w:rsid w:val="11883CA1"/>
    <w:rsid w:val="1240562F"/>
    <w:rsid w:val="12783CB1"/>
    <w:rsid w:val="12BF484E"/>
    <w:rsid w:val="13270D7A"/>
    <w:rsid w:val="137D3D07"/>
    <w:rsid w:val="13911D57"/>
    <w:rsid w:val="13995D1B"/>
    <w:rsid w:val="13BF21F2"/>
    <w:rsid w:val="14696128"/>
    <w:rsid w:val="15460D75"/>
    <w:rsid w:val="155927B5"/>
    <w:rsid w:val="15636126"/>
    <w:rsid w:val="15667F11"/>
    <w:rsid w:val="15F8234F"/>
    <w:rsid w:val="160B1DB7"/>
    <w:rsid w:val="164F52D4"/>
    <w:rsid w:val="16774771"/>
    <w:rsid w:val="16EC4928"/>
    <w:rsid w:val="16F12184"/>
    <w:rsid w:val="17153A81"/>
    <w:rsid w:val="17B80B79"/>
    <w:rsid w:val="17E05839"/>
    <w:rsid w:val="18093CC8"/>
    <w:rsid w:val="181D1494"/>
    <w:rsid w:val="18846FC8"/>
    <w:rsid w:val="18A35FCB"/>
    <w:rsid w:val="18D93565"/>
    <w:rsid w:val="18E402E6"/>
    <w:rsid w:val="191B750A"/>
    <w:rsid w:val="1A110D76"/>
    <w:rsid w:val="1A2D22E8"/>
    <w:rsid w:val="1A3B0898"/>
    <w:rsid w:val="1ACA4F32"/>
    <w:rsid w:val="1B5D2457"/>
    <w:rsid w:val="1BC64613"/>
    <w:rsid w:val="1BFC6F13"/>
    <w:rsid w:val="1C7902CC"/>
    <w:rsid w:val="1CDE0FF5"/>
    <w:rsid w:val="1D8C05F8"/>
    <w:rsid w:val="1DA034D6"/>
    <w:rsid w:val="1DF63B37"/>
    <w:rsid w:val="1EA95099"/>
    <w:rsid w:val="1ECA23A8"/>
    <w:rsid w:val="1EE21A64"/>
    <w:rsid w:val="1EE97C2F"/>
    <w:rsid w:val="1F0316B2"/>
    <w:rsid w:val="1F04384E"/>
    <w:rsid w:val="1F1C2826"/>
    <w:rsid w:val="1F5C4703"/>
    <w:rsid w:val="1F8F7905"/>
    <w:rsid w:val="20114A5C"/>
    <w:rsid w:val="201B5A3A"/>
    <w:rsid w:val="20C26CB6"/>
    <w:rsid w:val="20CD4685"/>
    <w:rsid w:val="20ED5D93"/>
    <w:rsid w:val="21C36B18"/>
    <w:rsid w:val="22081726"/>
    <w:rsid w:val="228316AC"/>
    <w:rsid w:val="22837F55"/>
    <w:rsid w:val="22C24A14"/>
    <w:rsid w:val="22F038A8"/>
    <w:rsid w:val="235B27F2"/>
    <w:rsid w:val="23E3614A"/>
    <w:rsid w:val="24223428"/>
    <w:rsid w:val="244B0AC1"/>
    <w:rsid w:val="246201C6"/>
    <w:rsid w:val="24EC6B16"/>
    <w:rsid w:val="250E3B32"/>
    <w:rsid w:val="254E4741"/>
    <w:rsid w:val="25A01C95"/>
    <w:rsid w:val="267E5845"/>
    <w:rsid w:val="2707064B"/>
    <w:rsid w:val="27CE475B"/>
    <w:rsid w:val="288557F6"/>
    <w:rsid w:val="28E64C29"/>
    <w:rsid w:val="293A0A71"/>
    <w:rsid w:val="297B2160"/>
    <w:rsid w:val="29940245"/>
    <w:rsid w:val="29D60088"/>
    <w:rsid w:val="2A365D31"/>
    <w:rsid w:val="2A4B1F72"/>
    <w:rsid w:val="2AAF4215"/>
    <w:rsid w:val="2AE049E4"/>
    <w:rsid w:val="2AF967EE"/>
    <w:rsid w:val="2B055B8E"/>
    <w:rsid w:val="2BF10A0D"/>
    <w:rsid w:val="2C1938A0"/>
    <w:rsid w:val="2C686C0F"/>
    <w:rsid w:val="2C781FEF"/>
    <w:rsid w:val="2CF4444F"/>
    <w:rsid w:val="2CF53DEE"/>
    <w:rsid w:val="2CFC72DD"/>
    <w:rsid w:val="2D654CA7"/>
    <w:rsid w:val="2D665645"/>
    <w:rsid w:val="2E3738AE"/>
    <w:rsid w:val="2F2512B8"/>
    <w:rsid w:val="2F262ED7"/>
    <w:rsid w:val="2F7B4820"/>
    <w:rsid w:val="2FA76EBB"/>
    <w:rsid w:val="2FAF1D4C"/>
    <w:rsid w:val="3010492B"/>
    <w:rsid w:val="3086432B"/>
    <w:rsid w:val="30C2390F"/>
    <w:rsid w:val="31091081"/>
    <w:rsid w:val="31DF791A"/>
    <w:rsid w:val="31EC2498"/>
    <w:rsid w:val="320C3781"/>
    <w:rsid w:val="324878E5"/>
    <w:rsid w:val="32B033A5"/>
    <w:rsid w:val="32DD3DBC"/>
    <w:rsid w:val="32E267C8"/>
    <w:rsid w:val="33106C6C"/>
    <w:rsid w:val="331D745B"/>
    <w:rsid w:val="335B5F5D"/>
    <w:rsid w:val="338F3800"/>
    <w:rsid w:val="348E19EA"/>
    <w:rsid w:val="34A9327D"/>
    <w:rsid w:val="351006F8"/>
    <w:rsid w:val="35A2048B"/>
    <w:rsid w:val="35B31B6A"/>
    <w:rsid w:val="35C964D0"/>
    <w:rsid w:val="35D2638C"/>
    <w:rsid w:val="35E326D2"/>
    <w:rsid w:val="360A7D8B"/>
    <w:rsid w:val="366414DA"/>
    <w:rsid w:val="36E33B2C"/>
    <w:rsid w:val="37031B65"/>
    <w:rsid w:val="37103EE5"/>
    <w:rsid w:val="37720706"/>
    <w:rsid w:val="37EA1649"/>
    <w:rsid w:val="381E2ABC"/>
    <w:rsid w:val="382F16EF"/>
    <w:rsid w:val="394B4F67"/>
    <w:rsid w:val="39C159CC"/>
    <w:rsid w:val="3A082811"/>
    <w:rsid w:val="3A1A71C6"/>
    <w:rsid w:val="3B073105"/>
    <w:rsid w:val="3D240B2F"/>
    <w:rsid w:val="3D8C258A"/>
    <w:rsid w:val="3E017490"/>
    <w:rsid w:val="3E0E244A"/>
    <w:rsid w:val="3E4D6A61"/>
    <w:rsid w:val="3E8C6C2E"/>
    <w:rsid w:val="3F1B7D24"/>
    <w:rsid w:val="3F744629"/>
    <w:rsid w:val="3FB24DF5"/>
    <w:rsid w:val="3FC26926"/>
    <w:rsid w:val="3FE33E5C"/>
    <w:rsid w:val="400650B3"/>
    <w:rsid w:val="40530B00"/>
    <w:rsid w:val="405732F1"/>
    <w:rsid w:val="40631D33"/>
    <w:rsid w:val="406D0409"/>
    <w:rsid w:val="40E50D2B"/>
    <w:rsid w:val="411073B8"/>
    <w:rsid w:val="41321107"/>
    <w:rsid w:val="413A6513"/>
    <w:rsid w:val="414C1CB1"/>
    <w:rsid w:val="41D96700"/>
    <w:rsid w:val="41F0705D"/>
    <w:rsid w:val="41F53EED"/>
    <w:rsid w:val="42A754B7"/>
    <w:rsid w:val="42C74D8A"/>
    <w:rsid w:val="42D32DB1"/>
    <w:rsid w:val="44823A25"/>
    <w:rsid w:val="458107ED"/>
    <w:rsid w:val="458565B0"/>
    <w:rsid w:val="45A13B03"/>
    <w:rsid w:val="460738D9"/>
    <w:rsid w:val="467C41EC"/>
    <w:rsid w:val="46CC6841"/>
    <w:rsid w:val="46EE03DB"/>
    <w:rsid w:val="46F45396"/>
    <w:rsid w:val="46F45EA5"/>
    <w:rsid w:val="473C746D"/>
    <w:rsid w:val="47656FAD"/>
    <w:rsid w:val="47700762"/>
    <w:rsid w:val="480B693E"/>
    <w:rsid w:val="488E6CEF"/>
    <w:rsid w:val="491608A3"/>
    <w:rsid w:val="49F078CF"/>
    <w:rsid w:val="49F81A09"/>
    <w:rsid w:val="4AED437B"/>
    <w:rsid w:val="4B821FDC"/>
    <w:rsid w:val="4BB61845"/>
    <w:rsid w:val="4BDF3F5B"/>
    <w:rsid w:val="4C145797"/>
    <w:rsid w:val="4C4C4FAC"/>
    <w:rsid w:val="4CA755B7"/>
    <w:rsid w:val="4D063886"/>
    <w:rsid w:val="4D6715E6"/>
    <w:rsid w:val="4DB47D83"/>
    <w:rsid w:val="4DD2071A"/>
    <w:rsid w:val="4E0A4298"/>
    <w:rsid w:val="4EAC7155"/>
    <w:rsid w:val="4ED05D28"/>
    <w:rsid w:val="4F1436B5"/>
    <w:rsid w:val="4F1F635F"/>
    <w:rsid w:val="4FC24205"/>
    <w:rsid w:val="4FDD594D"/>
    <w:rsid w:val="50116BEC"/>
    <w:rsid w:val="508F1061"/>
    <w:rsid w:val="50AC78E9"/>
    <w:rsid w:val="50DD75B9"/>
    <w:rsid w:val="520463E7"/>
    <w:rsid w:val="5220170B"/>
    <w:rsid w:val="52CB5130"/>
    <w:rsid w:val="52DA704E"/>
    <w:rsid w:val="53CB4BAB"/>
    <w:rsid w:val="54724373"/>
    <w:rsid w:val="54873D1F"/>
    <w:rsid w:val="549C094B"/>
    <w:rsid w:val="56181C0B"/>
    <w:rsid w:val="565158D7"/>
    <w:rsid w:val="565C123F"/>
    <w:rsid w:val="56635000"/>
    <w:rsid w:val="57CE2C74"/>
    <w:rsid w:val="58514B72"/>
    <w:rsid w:val="58535BD4"/>
    <w:rsid w:val="58D15620"/>
    <w:rsid w:val="596B2D09"/>
    <w:rsid w:val="59883C8E"/>
    <w:rsid w:val="598B1CD9"/>
    <w:rsid w:val="59C613C7"/>
    <w:rsid w:val="5A155FF5"/>
    <w:rsid w:val="5A1F2D9A"/>
    <w:rsid w:val="5A2003EE"/>
    <w:rsid w:val="5A230561"/>
    <w:rsid w:val="5A5C2B83"/>
    <w:rsid w:val="5A625035"/>
    <w:rsid w:val="5AB33F7D"/>
    <w:rsid w:val="5B0D5CEF"/>
    <w:rsid w:val="5B192C27"/>
    <w:rsid w:val="5B4E101D"/>
    <w:rsid w:val="5BB21798"/>
    <w:rsid w:val="5C8865C9"/>
    <w:rsid w:val="5CD737CD"/>
    <w:rsid w:val="5CDE6EAF"/>
    <w:rsid w:val="5D1D6575"/>
    <w:rsid w:val="5DE7421F"/>
    <w:rsid w:val="5E2067FF"/>
    <w:rsid w:val="5EDD46F0"/>
    <w:rsid w:val="5F825E44"/>
    <w:rsid w:val="5FB14F22"/>
    <w:rsid w:val="5FBF5D46"/>
    <w:rsid w:val="5FF04489"/>
    <w:rsid w:val="60372CF0"/>
    <w:rsid w:val="60602475"/>
    <w:rsid w:val="60827FC4"/>
    <w:rsid w:val="61204966"/>
    <w:rsid w:val="61CE5A63"/>
    <w:rsid w:val="62167E81"/>
    <w:rsid w:val="625171BD"/>
    <w:rsid w:val="62D21FDD"/>
    <w:rsid w:val="631A4CE8"/>
    <w:rsid w:val="634A3548"/>
    <w:rsid w:val="651D36B7"/>
    <w:rsid w:val="65AB60D6"/>
    <w:rsid w:val="65B603C8"/>
    <w:rsid w:val="66452C87"/>
    <w:rsid w:val="67E049F9"/>
    <w:rsid w:val="67F96780"/>
    <w:rsid w:val="68665F57"/>
    <w:rsid w:val="686739D9"/>
    <w:rsid w:val="68807334"/>
    <w:rsid w:val="689C7AFA"/>
    <w:rsid w:val="68A04FB5"/>
    <w:rsid w:val="691047F8"/>
    <w:rsid w:val="691D2117"/>
    <w:rsid w:val="692222E2"/>
    <w:rsid w:val="6941557A"/>
    <w:rsid w:val="69B05308"/>
    <w:rsid w:val="69C9659C"/>
    <w:rsid w:val="6AF80F8D"/>
    <w:rsid w:val="6B174A95"/>
    <w:rsid w:val="6B274F24"/>
    <w:rsid w:val="6C9C451C"/>
    <w:rsid w:val="6D066832"/>
    <w:rsid w:val="6D331C69"/>
    <w:rsid w:val="6D9B6EFA"/>
    <w:rsid w:val="6DA74CBE"/>
    <w:rsid w:val="6DC42ECA"/>
    <w:rsid w:val="6E36781A"/>
    <w:rsid w:val="6EA85057"/>
    <w:rsid w:val="6ED22CDD"/>
    <w:rsid w:val="6EEC09B6"/>
    <w:rsid w:val="6F1B5A60"/>
    <w:rsid w:val="6F5B217D"/>
    <w:rsid w:val="6F5B51C0"/>
    <w:rsid w:val="6FDA6658"/>
    <w:rsid w:val="706F4423"/>
    <w:rsid w:val="707C78B4"/>
    <w:rsid w:val="708A2A09"/>
    <w:rsid w:val="70D95D6F"/>
    <w:rsid w:val="70DA60C1"/>
    <w:rsid w:val="718E1C5D"/>
    <w:rsid w:val="71D40373"/>
    <w:rsid w:val="720B35BE"/>
    <w:rsid w:val="722E0ED3"/>
    <w:rsid w:val="72646EF6"/>
    <w:rsid w:val="734112A3"/>
    <w:rsid w:val="73437744"/>
    <w:rsid w:val="734473FF"/>
    <w:rsid w:val="735F3EBF"/>
    <w:rsid w:val="736973F9"/>
    <w:rsid w:val="738479CE"/>
    <w:rsid w:val="738E4556"/>
    <w:rsid w:val="73CF3490"/>
    <w:rsid w:val="73E5767F"/>
    <w:rsid w:val="73EE04C2"/>
    <w:rsid w:val="741B15DB"/>
    <w:rsid w:val="742A0B0D"/>
    <w:rsid w:val="745E7011"/>
    <w:rsid w:val="7491236A"/>
    <w:rsid w:val="74D83854"/>
    <w:rsid w:val="756927B0"/>
    <w:rsid w:val="757A2869"/>
    <w:rsid w:val="766A5257"/>
    <w:rsid w:val="76D261A7"/>
    <w:rsid w:val="78085CF8"/>
    <w:rsid w:val="783E657E"/>
    <w:rsid w:val="784C0CFB"/>
    <w:rsid w:val="78B70CF5"/>
    <w:rsid w:val="78DD7519"/>
    <w:rsid w:val="78F225BE"/>
    <w:rsid w:val="79F9576B"/>
    <w:rsid w:val="7ACB6801"/>
    <w:rsid w:val="7AD142CE"/>
    <w:rsid w:val="7B1370AF"/>
    <w:rsid w:val="7B7F1F77"/>
    <w:rsid w:val="7C1A5C69"/>
    <w:rsid w:val="7C1D66CE"/>
    <w:rsid w:val="7C7F7298"/>
    <w:rsid w:val="7CC57B5B"/>
    <w:rsid w:val="7D0D02F3"/>
    <w:rsid w:val="7D660B52"/>
    <w:rsid w:val="7D6903CE"/>
    <w:rsid w:val="7DCD02ED"/>
    <w:rsid w:val="7ED03198"/>
    <w:rsid w:val="7F0A2079"/>
    <w:rsid w:val="7F683717"/>
    <w:rsid w:val="7F841AD5"/>
    <w:rsid w:val="7FE0657A"/>
    <w:rsid w:val="7FF441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99" w:semiHidden="0" w:name="Strong"/>
    <w:lsdException w:qFormat="1" w:unhideWhenUsed="0" w:uiPriority="2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line="460" w:lineRule="exact"/>
      <w:jc w:val="center"/>
      <w:outlineLvl w:val="0"/>
    </w:pPr>
    <w:rPr>
      <w:b/>
      <w:kern w:val="44"/>
      <w:sz w:val="32"/>
    </w:rPr>
  </w:style>
  <w:style w:type="paragraph" w:styleId="3">
    <w:name w:val="heading 2"/>
    <w:basedOn w:val="1"/>
    <w:next w:val="1"/>
    <w:link w:val="21"/>
    <w:qFormat/>
    <w:uiPriority w:val="99"/>
    <w:pPr>
      <w:keepNext/>
      <w:keepLines/>
      <w:spacing w:before="260" w:after="260" w:line="416" w:lineRule="auto"/>
      <w:outlineLvl w:val="1"/>
    </w:pPr>
    <w:rPr>
      <w:rFonts w:ascii="Arial" w:hAnsi="Arial"/>
      <w:b/>
      <w:bCs/>
      <w:kern w:val="0"/>
      <w:sz w:val="24"/>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4"/>
    <w:qFormat/>
    <w:uiPriority w:val="0"/>
    <w:pPr>
      <w:ind w:firstLine="420"/>
    </w:pPr>
    <w:rPr>
      <w:kern w:val="0"/>
      <w:sz w:val="20"/>
    </w:rPr>
  </w:style>
  <w:style w:type="paragraph" w:styleId="5">
    <w:name w:val="Body Text Indent"/>
    <w:basedOn w:val="1"/>
    <w:link w:val="22"/>
    <w:qFormat/>
    <w:uiPriority w:val="99"/>
    <w:pPr>
      <w:spacing w:after="120"/>
      <w:ind w:left="420" w:leftChars="200"/>
    </w:pPr>
    <w:rPr>
      <w:kern w:val="0"/>
      <w:sz w:val="20"/>
    </w:rPr>
  </w:style>
  <w:style w:type="paragraph" w:styleId="6">
    <w:name w:val="Date"/>
    <w:basedOn w:val="1"/>
    <w:next w:val="1"/>
    <w:link w:val="23"/>
    <w:qFormat/>
    <w:uiPriority w:val="99"/>
    <w:pPr>
      <w:ind w:left="100" w:leftChars="2500"/>
    </w:pPr>
    <w:rPr>
      <w:kern w:val="0"/>
      <w:sz w:val="20"/>
    </w:rPr>
  </w:style>
  <w:style w:type="paragraph" w:styleId="7">
    <w:name w:val="Balloon Text"/>
    <w:basedOn w:val="1"/>
    <w:link w:val="24"/>
    <w:qFormat/>
    <w:uiPriority w:val="99"/>
    <w:rPr>
      <w:kern w:val="0"/>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style>
  <w:style w:type="paragraph" w:styleId="11">
    <w:name w:val="List"/>
    <w:basedOn w:val="1"/>
    <w:qFormat/>
    <w:uiPriority w:val="0"/>
    <w:pPr>
      <w:autoSpaceDE w:val="0"/>
      <w:autoSpaceDN w:val="0"/>
      <w:adjustRightInd w:val="0"/>
      <w:spacing w:line="312" w:lineRule="atLeast"/>
      <w:ind w:left="200" w:hanging="200" w:hangingChars="200"/>
      <w:jc w:val="left"/>
      <w:textAlignment w:val="baseline"/>
    </w:pPr>
    <w:rPr>
      <w:rFonts w:ascii="宋体"/>
      <w:kern w:val="0"/>
      <w:sz w:val="34"/>
    </w:rPr>
  </w:style>
  <w:style w:type="paragraph" w:styleId="12">
    <w:name w:val="toc 2"/>
    <w:basedOn w:val="1"/>
    <w:next w:val="1"/>
    <w:qFormat/>
    <w:uiPriority w:val="39"/>
    <w:pPr>
      <w:tabs>
        <w:tab w:val="right" w:leader="dot" w:pos="8302"/>
      </w:tabs>
      <w:spacing w:line="520" w:lineRule="exact"/>
      <w:ind w:firstLine="360" w:firstLineChars="150"/>
    </w:pPr>
    <w:rPr>
      <w:rFonts w:eastAsia="仿宋_GB2312"/>
      <w:sz w:val="24"/>
      <w:szCs w:val="32"/>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page number"/>
    <w:qFormat/>
    <w:uiPriority w:val="99"/>
    <w:rPr>
      <w:rFonts w:cs="Times New Roman"/>
    </w:rPr>
  </w:style>
  <w:style w:type="character" w:styleId="19">
    <w:name w:val="Hyperlink"/>
    <w:basedOn w:val="16"/>
    <w:semiHidden/>
    <w:unhideWhenUsed/>
    <w:qFormat/>
    <w:uiPriority w:val="99"/>
    <w:rPr>
      <w:color w:val="0000FF"/>
      <w:u w:val="single"/>
    </w:rPr>
  </w:style>
  <w:style w:type="character" w:customStyle="1" w:styleId="20">
    <w:name w:val="标题 1 Char"/>
    <w:link w:val="2"/>
    <w:qFormat/>
    <w:uiPriority w:val="9"/>
    <w:rPr>
      <w:b/>
      <w:bCs/>
      <w:kern w:val="44"/>
      <w:sz w:val="44"/>
      <w:szCs w:val="44"/>
    </w:rPr>
  </w:style>
  <w:style w:type="character" w:customStyle="1" w:styleId="21">
    <w:name w:val="标题 2 Char1"/>
    <w:link w:val="3"/>
    <w:qFormat/>
    <w:locked/>
    <w:uiPriority w:val="99"/>
    <w:rPr>
      <w:rFonts w:ascii="Arial" w:hAnsi="Arial" w:eastAsia="宋体" w:cs="Times New Roman"/>
      <w:b/>
      <w:sz w:val="32"/>
    </w:rPr>
  </w:style>
  <w:style w:type="character" w:customStyle="1" w:styleId="22">
    <w:name w:val="正文文本缩进 Char"/>
    <w:link w:val="5"/>
    <w:semiHidden/>
    <w:qFormat/>
    <w:locked/>
    <w:uiPriority w:val="99"/>
    <w:rPr>
      <w:rFonts w:ascii="Times New Roman" w:hAnsi="Times New Roman" w:eastAsia="宋体"/>
      <w:sz w:val="24"/>
    </w:rPr>
  </w:style>
  <w:style w:type="character" w:customStyle="1" w:styleId="23">
    <w:name w:val="日期 Char"/>
    <w:link w:val="6"/>
    <w:semiHidden/>
    <w:qFormat/>
    <w:locked/>
    <w:uiPriority w:val="99"/>
    <w:rPr>
      <w:rFonts w:ascii="Times New Roman" w:hAnsi="Times New Roman" w:eastAsia="宋体"/>
      <w:sz w:val="24"/>
    </w:rPr>
  </w:style>
  <w:style w:type="character" w:customStyle="1" w:styleId="24">
    <w:name w:val="批注框文本 Char"/>
    <w:link w:val="7"/>
    <w:semiHidden/>
    <w:qFormat/>
    <w:locked/>
    <w:uiPriority w:val="99"/>
    <w:rPr>
      <w:rFonts w:ascii="Times New Roman" w:hAnsi="Times New Roman" w:eastAsia="宋体"/>
      <w:sz w:val="18"/>
    </w:rPr>
  </w:style>
  <w:style w:type="character" w:customStyle="1" w:styleId="25">
    <w:name w:val="页脚 Char"/>
    <w:link w:val="8"/>
    <w:qFormat/>
    <w:locked/>
    <w:uiPriority w:val="99"/>
    <w:rPr>
      <w:sz w:val="18"/>
    </w:rPr>
  </w:style>
  <w:style w:type="character" w:customStyle="1" w:styleId="26">
    <w:name w:val="页眉 Char"/>
    <w:link w:val="9"/>
    <w:qFormat/>
    <w:locked/>
    <w:uiPriority w:val="99"/>
    <w:rPr>
      <w:sz w:val="18"/>
    </w:rPr>
  </w:style>
  <w:style w:type="paragraph" w:customStyle="1" w:styleId="27">
    <w:name w:val="列表1"/>
    <w:basedOn w:val="1"/>
    <w:qFormat/>
    <w:uiPriority w:val="99"/>
    <w:pPr>
      <w:ind w:left="420" w:hanging="420"/>
    </w:pPr>
    <w:rPr>
      <w:sz w:val="30"/>
      <w:szCs w:val="20"/>
    </w:rPr>
  </w:style>
  <w:style w:type="paragraph" w:customStyle="1" w:styleId="28">
    <w:name w:val="正文文本缩进1"/>
    <w:basedOn w:val="1"/>
    <w:qFormat/>
    <w:uiPriority w:val="99"/>
    <w:pPr>
      <w:ind w:firstLine="435"/>
    </w:pPr>
  </w:style>
  <w:style w:type="paragraph" w:customStyle="1" w:styleId="29">
    <w:name w:val="列出段落1"/>
    <w:basedOn w:val="1"/>
    <w:qFormat/>
    <w:uiPriority w:val="99"/>
    <w:pPr>
      <w:ind w:firstLine="420" w:firstLineChars="200"/>
    </w:pPr>
  </w:style>
  <w:style w:type="paragraph" w:customStyle="1" w:styleId="30">
    <w:name w:val="p0"/>
    <w:basedOn w:val="1"/>
    <w:qFormat/>
    <w:uiPriority w:val="99"/>
    <w:pPr>
      <w:widowControl/>
    </w:pPr>
    <w:rPr>
      <w:kern w:val="0"/>
      <w:szCs w:val="21"/>
    </w:rPr>
  </w:style>
  <w:style w:type="paragraph" w:customStyle="1" w:styleId="31">
    <w:name w:val="正文缩进2"/>
    <w:basedOn w:val="1"/>
    <w:qFormat/>
    <w:uiPriority w:val="99"/>
    <w:pPr>
      <w:ind w:firstLine="420"/>
    </w:pPr>
  </w:style>
  <w:style w:type="character" w:customStyle="1" w:styleId="32">
    <w:name w:val="标题 2 Char"/>
    <w:qFormat/>
    <w:uiPriority w:val="99"/>
    <w:rPr>
      <w:rFonts w:ascii="Arial" w:hAnsi="Arial" w:eastAsia="宋体"/>
      <w:b/>
      <w:sz w:val="32"/>
    </w:rPr>
  </w:style>
  <w:style w:type="character" w:customStyle="1" w:styleId="33">
    <w:name w:val="tpc_content1"/>
    <w:qFormat/>
    <w:uiPriority w:val="99"/>
    <w:rPr>
      <w:sz w:val="20"/>
    </w:rPr>
  </w:style>
  <w:style w:type="character" w:customStyle="1" w:styleId="34">
    <w:name w:val="正文缩进 Char"/>
    <w:link w:val="4"/>
    <w:qFormat/>
    <w:locked/>
    <w:uiPriority w:val="0"/>
    <w:rPr>
      <w:rFonts w:ascii="Times New Roman" w:hAnsi="Times New Roman" w:eastAsia="宋体"/>
      <w:sz w:val="24"/>
    </w:rPr>
  </w:style>
  <w:style w:type="character" w:customStyle="1" w:styleId="35">
    <w:name w:val="font11"/>
    <w:qFormat/>
    <w:uiPriority w:val="0"/>
    <w:rPr>
      <w:rFonts w:ascii="宋体" w:hAnsi="宋体" w:eastAsia="宋体"/>
      <w:color w:val="000000"/>
      <w:sz w:val="20"/>
      <w:u w:val="none"/>
    </w:rPr>
  </w:style>
  <w:style w:type="character" w:customStyle="1" w:styleId="36">
    <w:name w:val="font31"/>
    <w:qFormat/>
    <w:uiPriority w:val="0"/>
    <w:rPr>
      <w:rFonts w:ascii="Arial Narrow" w:hAnsi="Arial Narrow"/>
      <w:color w:val="000000"/>
      <w:sz w:val="20"/>
      <w:u w:val="none"/>
    </w:rPr>
  </w:style>
  <w:style w:type="character" w:customStyle="1" w:styleId="37">
    <w:name w:val="font01"/>
    <w:qFormat/>
    <w:uiPriority w:val="0"/>
    <w:rPr>
      <w:rFonts w:ascii="Arial Narrow" w:hAnsi="Arial Narrow" w:eastAsia="Arial Narrow" w:cs="Arial Narrow"/>
      <w:color w:val="000000"/>
      <w:sz w:val="20"/>
      <w:szCs w:val="20"/>
      <w:u w:val="none"/>
    </w:rPr>
  </w:style>
  <w:style w:type="character" w:customStyle="1" w:styleId="38">
    <w:name w:val="font41"/>
    <w:basedOn w:val="16"/>
    <w:qFormat/>
    <w:uiPriority w:val="0"/>
    <w:rPr>
      <w:rFonts w:hint="eastAsia" w:ascii="宋体" w:hAnsi="宋体" w:eastAsia="宋体" w:cs="宋体"/>
      <w:color w:val="000000"/>
      <w:sz w:val="20"/>
      <w:szCs w:val="20"/>
      <w:u w:val="none"/>
    </w:rPr>
  </w:style>
  <w:style w:type="character" w:customStyle="1" w:styleId="39">
    <w:name w:val="font81"/>
    <w:qFormat/>
    <w:uiPriority w:val="0"/>
    <w:rPr>
      <w:rFonts w:hint="default" w:ascii="Arial Narrow" w:hAnsi="Arial Narrow"/>
      <w:color w:val="000000"/>
      <w:sz w:val="18"/>
      <w:szCs w:val="18"/>
      <w:u w:val="none"/>
    </w:rPr>
  </w:style>
  <w:style w:type="character" w:customStyle="1" w:styleId="40">
    <w:name w:val="font21"/>
    <w:basedOn w:val="16"/>
    <w:qFormat/>
    <w:uiPriority w:val="0"/>
    <w:rPr>
      <w:rFonts w:hint="eastAsia" w:ascii="宋体" w:hAnsi="宋体" w:eastAsia="宋体" w:cs="宋体"/>
      <w:color w:val="000000"/>
      <w:sz w:val="20"/>
      <w:szCs w:val="20"/>
      <w:u w:val="none"/>
    </w:rPr>
  </w:style>
  <w:style w:type="character" w:customStyle="1" w:styleId="41">
    <w:name w:val="font121"/>
    <w:basedOn w:val="16"/>
    <w:qFormat/>
    <w:uiPriority w:val="0"/>
    <w:rPr>
      <w:rFonts w:hint="default" w:ascii="Arial Narrow" w:hAnsi="Arial Narrow" w:eastAsia="Arial Narrow" w:cs="Arial Narrow"/>
      <w:color w:val="000000"/>
      <w:sz w:val="20"/>
      <w:szCs w:val="20"/>
      <w:u w:val="none"/>
    </w:rPr>
  </w:style>
  <w:style w:type="character" w:customStyle="1" w:styleId="42">
    <w:name w:val="font71"/>
    <w:basedOn w:val="16"/>
    <w:qFormat/>
    <w:uiPriority w:val="0"/>
    <w:rPr>
      <w:rFonts w:hint="default" w:ascii="Arial Narrow" w:hAnsi="Arial Narrow" w:eastAsia="Arial Narrow" w:cs="Arial Narrow"/>
      <w:color w:val="000000"/>
      <w:sz w:val="20"/>
      <w:szCs w:val="20"/>
      <w:u w:val="none"/>
    </w:rPr>
  </w:style>
  <w:style w:type="character" w:customStyle="1" w:styleId="43">
    <w:name w:val="font51"/>
    <w:basedOn w:val="16"/>
    <w:qFormat/>
    <w:uiPriority w:val="0"/>
    <w:rPr>
      <w:rFonts w:hint="eastAsia" w:ascii="宋体" w:hAnsi="宋体" w:eastAsia="宋体" w:cs="宋体"/>
      <w:color w:val="000000"/>
      <w:sz w:val="20"/>
      <w:szCs w:val="20"/>
      <w:u w:val="none"/>
    </w:rPr>
  </w:style>
  <w:style w:type="character" w:customStyle="1" w:styleId="44">
    <w:name w:val="font61"/>
    <w:basedOn w:val="16"/>
    <w:qFormat/>
    <w:uiPriority w:val="0"/>
    <w:rPr>
      <w:rFonts w:ascii="Arial Narrow" w:hAnsi="Arial Narrow" w:eastAsia="Arial Narrow" w:cs="Arial Narrow"/>
      <w:color w:val="000000"/>
      <w:sz w:val="20"/>
      <w:szCs w:val="20"/>
      <w:u w:val="none"/>
    </w:rPr>
  </w:style>
  <w:style w:type="character" w:customStyle="1" w:styleId="45">
    <w:name w:val="占位符文本1"/>
    <w:basedOn w:val="16"/>
    <w:unhideWhenUsed/>
    <w:qFormat/>
    <w:uiPriority w:val="99"/>
    <w:rPr>
      <w:color w:val="808080"/>
    </w:rPr>
  </w:style>
  <w:style w:type="paragraph" w:customStyle="1" w:styleId="46">
    <w:name w:val="_Style 33"/>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85"/>
    <customShpInfo spid="_x0000_s2086"/>
    <customShpInfo spid="_x0000_s2089"/>
    <customShpInfo spid="_x0000_s2090"/>
    <customShpInfo spid="_x0000_s2060"/>
    <customShpInfo spid="_x0000_s2061"/>
    <customShpInfo spid="_x0000_s1038"/>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91AFA-AC60-47C6-81F7-8A0A515A408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12811</Words>
  <Characters>14678</Characters>
  <Lines>117</Lines>
  <Paragraphs>32</Paragraphs>
  <TotalTime>969</TotalTime>
  <ScaleCrop>false</ScaleCrop>
  <LinksUpToDate>false</LinksUpToDate>
  <CharactersWithSpaces>15023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2019-03-07T08:37:00Z</dcterms:created>
  <dc:creator>wy</dc:creator>
  <cp:lastModifiedBy>王强</cp:lastModifiedBy>
  <cp:lastPrinted>2022-06-14T07:27:00Z</cp:lastPrinted>
  <dcterms:modified xsi:type="dcterms:W3CDTF">2022-07-22T03:34:37Z</dcterms:modified>
  <dc:title>房地产司法评估报告模板</dc:title>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6237AD204B8A4A60AEC341E68CB3E49F</vt:lpwstr>
  </property>
</Properties>
</file>