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auto"/>
        <w:rPr>
          <w:rFonts w:hint="default" w:hAnsi="宋体"/>
          <w:b/>
          <w:color w:val="FF0000"/>
          <w:sz w:val="84"/>
          <w:lang w:val="en-US"/>
        </w:rPr>
      </w:pPr>
      <w:r>
        <w:rPr>
          <w:rFonts w:ascii="宋体" w:hAnsi="宋体" w:eastAsia="宋体" w:cs="宋体"/>
          <w:sz w:val="24"/>
          <w:szCs w:val="24"/>
        </w:rPr>
        <w:drawing>
          <wp:inline distT="0" distB="0" distL="114300" distR="114300">
            <wp:extent cx="666115" cy="820420"/>
            <wp:effectExtent l="0" t="0" r="635" b="17780"/>
            <wp:docPr id="7" name="图片 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2" descr="IMG_256"/>
                    <pic:cNvPicPr>
                      <a:picLocks noChangeAspect="1"/>
                    </pic:cNvPicPr>
                  </pic:nvPicPr>
                  <pic:blipFill>
                    <a:blip r:embed="rId16"/>
                    <a:stretch>
                      <a:fillRect/>
                    </a:stretch>
                  </pic:blipFill>
                  <pic:spPr>
                    <a:xfrm>
                      <a:off x="0" y="0"/>
                      <a:ext cx="666115" cy="820420"/>
                    </a:xfrm>
                    <a:prstGeom prst="rect">
                      <a:avLst/>
                    </a:prstGeom>
                    <a:noFill/>
                    <a:ln w="9525">
                      <a:noFill/>
                    </a:ln>
                  </pic:spPr>
                </pic:pic>
              </a:graphicData>
            </a:graphic>
          </wp:inline>
        </w:drawing>
      </w:r>
    </w:p>
    <w:p>
      <w:pPr>
        <w:spacing w:line="600" w:lineRule="auto"/>
        <w:jc w:val="center"/>
        <w:rPr>
          <w:rFonts w:hint="eastAsia" w:hAnsi="宋体" w:eastAsiaTheme="minorEastAsia"/>
          <w:b/>
          <w:sz w:val="72"/>
          <w:szCs w:val="72"/>
          <w:lang w:val="en-US" w:eastAsia="zh-CN"/>
        </w:rPr>
      </w:pPr>
      <w:r>
        <w:rPr>
          <w:rFonts w:hint="eastAsia" w:hAnsi="宋体"/>
          <w:b/>
          <w:sz w:val="72"/>
          <w:szCs w:val="72"/>
          <w:lang w:val="en-US" w:eastAsia="zh-CN"/>
        </w:rPr>
        <w:t xml:space="preserve"> </w:t>
      </w:r>
    </w:p>
    <w:p>
      <w:pPr>
        <w:spacing w:line="600" w:lineRule="auto"/>
        <w:jc w:val="center"/>
        <w:rPr>
          <w:rFonts w:hAnsi="宋体"/>
          <w:b/>
          <w:sz w:val="72"/>
          <w:szCs w:val="72"/>
        </w:rPr>
      </w:pPr>
      <w:r>
        <w:rPr>
          <w:rFonts w:hint="eastAsia" w:hAnsi="宋体"/>
          <w:b/>
          <w:sz w:val="72"/>
          <w:szCs w:val="72"/>
        </w:rPr>
        <w:t>房地产估价报告</w:t>
      </w:r>
    </w:p>
    <w:p>
      <w:pPr>
        <w:spacing w:line="600" w:lineRule="auto"/>
        <w:rPr>
          <w:rFonts w:ascii="楷体_GB2312" w:eastAsia="楷体_GB2312"/>
          <w:b/>
          <w:sz w:val="32"/>
        </w:rPr>
      </w:pPr>
      <w:r>
        <w:rPr>
          <w:sz w:val="32"/>
        </w:rPr>
        <mc:AlternateContent>
          <mc:Choice Requires="wps">
            <w:drawing>
              <wp:anchor distT="0" distB="0" distL="114300" distR="114300" simplePos="0" relativeHeight="251659264" behindDoc="0" locked="0" layoutInCell="1" allowOverlap="1">
                <wp:simplePos x="0" y="0"/>
                <wp:positionH relativeFrom="column">
                  <wp:posOffset>-283845</wp:posOffset>
                </wp:positionH>
                <wp:positionV relativeFrom="paragraph">
                  <wp:posOffset>273685</wp:posOffset>
                </wp:positionV>
                <wp:extent cx="5840095" cy="2540"/>
                <wp:effectExtent l="0" t="28575" r="8255" b="45085"/>
                <wp:wrapNone/>
                <wp:docPr id="2" name="未知"/>
                <wp:cNvGraphicFramePr/>
                <a:graphic xmlns:a="http://schemas.openxmlformats.org/drawingml/2006/main">
                  <a:graphicData uri="http://schemas.microsoft.com/office/word/2010/wordprocessingShape">
                    <wps:wsp>
                      <wps:cNvSpPr/>
                      <wps:spPr>
                        <a:xfrm>
                          <a:off x="0" y="0"/>
                          <a:ext cx="5840095" cy="2540"/>
                        </a:xfrm>
                        <a:custGeom>
                          <a:avLst/>
                          <a:gdLst/>
                          <a:ahLst/>
                          <a:cxnLst/>
                          <a:pathLst>
                            <a:path w="9197" h="4">
                              <a:moveTo>
                                <a:pt x="0" y="0"/>
                              </a:moveTo>
                              <a:lnTo>
                                <a:pt x="9197" y="4"/>
                              </a:lnTo>
                            </a:path>
                          </a:pathLst>
                        </a:custGeom>
                        <a:noFill/>
                        <a:ln w="57150" cap="flat" cmpd="sng">
                          <a:solidFill>
                            <a:srgbClr val="008000"/>
                          </a:solidFill>
                          <a:prstDash val="solid"/>
                          <a:round/>
                          <a:headEnd type="none" w="med" len="med"/>
                          <a:tailEnd type="none" w="med" len="med"/>
                        </a:ln>
                      </wps:spPr>
                      <wps:bodyPr upright="1"/>
                    </wps:wsp>
                  </a:graphicData>
                </a:graphic>
              </wp:anchor>
            </w:drawing>
          </mc:Choice>
          <mc:Fallback>
            <w:pict>
              <v:shape id="未知" o:spid="_x0000_s1026" o:spt="100" style="position:absolute;left:0pt;margin-left:-22.35pt;margin-top:21.55pt;height:0.2pt;width:459.85pt;z-index:251659264;mso-width-relative:page;mso-height-relative:page;" filled="f" stroked="t" coordsize="9197,4" o:gfxdata="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eeSHBNYAAAAJAQAADwAAAAAAAAABACAAAAAiAAAAZHJzL2Rvd25yZXYueG1sUEsBAhQAFAAA&#10;AAgAh07iQPRGhr0qAgAAiwQAAA4AAAAAAAAAAQAgAAAAJQEAAGRycy9lMm9Eb2MueG1sUEsFBgAA&#10;AAAGAAYAWQEAAMEFAAAAAA==&#10;" path="m0,0l9197,4e">
                <v:fill on="f" focussize="0,0"/>
                <v:stroke weight="4.5pt" color="#008000" joinstyle="round"/>
                <v:imagedata o:title=""/>
                <o:lock v:ext="edit" aspectratio="f"/>
              </v:shape>
            </w:pict>
          </mc:Fallback>
        </mc:AlternateContent>
      </w:r>
    </w:p>
    <w:p>
      <w:pPr>
        <w:ind w:left="3534" w:hanging="3534" w:hangingChars="1100"/>
        <w:jc w:val="both"/>
        <w:rPr>
          <w:rFonts w:hAnsi="宋体"/>
          <w:b/>
          <w:sz w:val="32"/>
          <w:szCs w:val="32"/>
        </w:rPr>
      </w:pPr>
    </w:p>
    <w:p>
      <w:pPr>
        <w:tabs>
          <w:tab w:val="left" w:pos="5938"/>
        </w:tabs>
        <w:rPr>
          <w:rFonts w:hint="eastAsia" w:ascii="楷体_GB2312" w:eastAsia="楷体_GB2312"/>
          <w:b/>
          <w:sz w:val="44"/>
          <w:szCs w:val="44"/>
          <w:lang w:eastAsia="zh-CN"/>
        </w:rPr>
      </w:pPr>
      <w:r>
        <w:rPr>
          <w:rFonts w:hint="eastAsia" w:ascii="楷体_GB2312" w:eastAsia="楷体_GB2312"/>
          <w:b/>
          <w:sz w:val="44"/>
          <w:szCs w:val="44"/>
          <w:lang w:eastAsia="zh-CN"/>
        </w:rPr>
        <w:tab/>
      </w:r>
    </w:p>
    <w:p>
      <w:pPr>
        <w:rPr>
          <w:rFonts w:ascii="楷体_GB2312" w:eastAsia="楷体_GB2312"/>
          <w:b/>
          <w:sz w:val="44"/>
          <w:szCs w:val="44"/>
        </w:rPr>
      </w:pPr>
    </w:p>
    <w:p>
      <w:pPr>
        <w:rPr>
          <w:rFonts w:ascii="楷体_GB2312" w:eastAsia="楷体_GB2312"/>
          <w:b/>
          <w:sz w:val="44"/>
          <w:szCs w:val="44"/>
        </w:rPr>
      </w:pPr>
    </w:p>
    <w:p>
      <w:pPr>
        <w:rPr>
          <w:rFonts w:ascii="楷体_GB2312" w:eastAsia="楷体_GB2312"/>
          <w:b/>
          <w:sz w:val="44"/>
          <w:szCs w:val="44"/>
        </w:rPr>
      </w:pPr>
    </w:p>
    <w:p>
      <w:pPr>
        <w:rPr>
          <w:rFonts w:ascii="楷体_GB2312" w:eastAsia="楷体_GB2312"/>
          <w:b/>
          <w:sz w:val="44"/>
          <w:szCs w:val="44"/>
        </w:rPr>
      </w:pPr>
    </w:p>
    <w:p>
      <w:pPr>
        <w:spacing w:line="540" w:lineRule="exact"/>
        <w:ind w:left="2568" w:leftChars="114" w:hanging="2249" w:hangingChars="700"/>
        <w:rPr>
          <w:rFonts w:hAnsi="宋体"/>
          <w:sz w:val="32"/>
          <w:szCs w:val="32"/>
        </w:rPr>
      </w:pPr>
      <w:r>
        <w:rPr>
          <w:rFonts w:hint="eastAsia" w:hAnsi="宋体"/>
          <w:b/>
          <w:bCs/>
          <w:sz w:val="32"/>
          <w:szCs w:val="32"/>
        </w:rPr>
        <w:t>估价项目名称</w:t>
      </w:r>
      <w:r>
        <w:rPr>
          <w:rFonts w:hint="eastAsia" w:ascii="宋体" w:hAnsi="宋体"/>
          <w:sz w:val="32"/>
          <w:szCs w:val="32"/>
        </w:rPr>
        <w:t>：</w:t>
      </w:r>
      <w:r>
        <w:rPr>
          <w:rFonts w:hint="eastAsia" w:hAnsi="宋体"/>
          <w:sz w:val="32"/>
          <w:szCs w:val="32"/>
          <w:lang w:val="en-US" w:eastAsia="zh-CN"/>
        </w:rPr>
        <w:t>毕节市中级人民法院执行案件涉及贵州鼎鑫房地产开发有限责任公司拥有并位于威宁彝族回族苗族自治县五里岗经济开发区工业一路鼎鑫.北港鑫城（一期）的44套住宅房地产市场</w:t>
      </w:r>
      <w:r>
        <w:rPr>
          <w:rFonts w:hint="eastAsia" w:ascii="宋体" w:hAnsi="宋体"/>
          <w:sz w:val="32"/>
          <w:szCs w:val="32"/>
          <w:lang w:eastAsia="zh-CN"/>
        </w:rPr>
        <w:t>价值</w:t>
      </w:r>
      <w:r>
        <w:rPr>
          <w:rFonts w:hint="eastAsia" w:ascii="宋体" w:hAnsi="宋体"/>
          <w:sz w:val="32"/>
          <w:szCs w:val="32"/>
        </w:rPr>
        <w:t>评估</w:t>
      </w:r>
    </w:p>
    <w:p>
      <w:pPr>
        <w:spacing w:line="540" w:lineRule="exact"/>
        <w:ind w:firstLine="321" w:firstLineChars="100"/>
        <w:rPr>
          <w:rFonts w:hint="default" w:hAnsi="宋体" w:eastAsiaTheme="minorEastAsia"/>
          <w:sz w:val="32"/>
          <w:szCs w:val="32"/>
          <w:lang w:val="en-US" w:eastAsia="zh-CN"/>
        </w:rPr>
      </w:pPr>
      <w:r>
        <w:rPr>
          <w:rFonts w:hint="eastAsia" w:hAnsi="宋体"/>
          <w:b/>
          <w:sz w:val="32"/>
          <w:szCs w:val="32"/>
        </w:rPr>
        <w:t>估价委托人</w:t>
      </w:r>
      <w:r>
        <w:rPr>
          <w:rFonts w:hint="eastAsia" w:hAnsi="宋体"/>
          <w:sz w:val="32"/>
          <w:szCs w:val="32"/>
        </w:rPr>
        <w:t>：</w:t>
      </w:r>
      <w:r>
        <w:rPr>
          <w:rFonts w:hint="eastAsia" w:hAnsi="宋体"/>
          <w:sz w:val="32"/>
          <w:szCs w:val="32"/>
          <w:lang w:val="en-US" w:eastAsia="zh-CN"/>
        </w:rPr>
        <w:t>毕节市中级人民法院</w:t>
      </w:r>
    </w:p>
    <w:p>
      <w:pPr>
        <w:spacing w:line="540" w:lineRule="exact"/>
        <w:ind w:firstLine="321" w:firstLineChars="100"/>
        <w:rPr>
          <w:rFonts w:hint="eastAsia" w:hAnsi="宋体" w:eastAsiaTheme="minorEastAsia"/>
          <w:sz w:val="32"/>
          <w:szCs w:val="32"/>
          <w:lang w:eastAsia="zh-CN"/>
        </w:rPr>
      </w:pPr>
      <w:r>
        <w:rPr>
          <w:rFonts w:hint="eastAsia" w:hAnsi="宋体"/>
          <w:b/>
          <w:sz w:val="32"/>
          <w:szCs w:val="32"/>
        </w:rPr>
        <w:t>房地产估价机构：</w:t>
      </w:r>
      <w:r>
        <w:rPr>
          <w:rFonts w:hint="eastAsia" w:hAnsi="宋体"/>
          <w:sz w:val="32"/>
          <w:szCs w:val="32"/>
          <w:lang w:eastAsia="zh-CN"/>
        </w:rPr>
        <w:t>贵州瑞华亚太房地产土地资产评估有限公司</w:t>
      </w:r>
    </w:p>
    <w:p>
      <w:pPr>
        <w:spacing w:line="540" w:lineRule="exact"/>
        <w:ind w:firstLine="321" w:firstLineChars="100"/>
        <w:rPr>
          <w:rFonts w:hAnsi="宋体"/>
          <w:color w:val="auto"/>
          <w:szCs w:val="28"/>
        </w:rPr>
      </w:pPr>
      <w:r>
        <w:rPr>
          <w:rFonts w:hint="eastAsia" w:hAnsi="宋体"/>
          <w:b/>
          <w:sz w:val="32"/>
          <w:szCs w:val="32"/>
        </w:rPr>
        <w:t>注册房地产估价师：</w:t>
      </w:r>
      <w:r>
        <w:rPr>
          <w:rFonts w:hint="eastAsia" w:hAnsi="宋体"/>
          <w:color w:val="auto"/>
          <w:sz w:val="32"/>
          <w:szCs w:val="32"/>
        </w:rPr>
        <w:t>谢光明</w:t>
      </w:r>
      <w:r>
        <w:rPr>
          <w:rFonts w:hAnsi="宋体"/>
          <w:color w:val="auto"/>
          <w:sz w:val="32"/>
          <w:szCs w:val="32"/>
        </w:rPr>
        <w:t xml:space="preserve">   注册证号：</w:t>
      </w:r>
      <w:r>
        <w:rPr>
          <w:snapToGrid w:val="0"/>
          <w:color w:val="auto"/>
          <w:sz w:val="32"/>
          <w:szCs w:val="32"/>
        </w:rPr>
        <w:t>52201</w:t>
      </w:r>
      <w:r>
        <w:rPr>
          <w:rFonts w:hint="eastAsia"/>
          <w:snapToGrid w:val="0"/>
          <w:color w:val="auto"/>
          <w:sz w:val="32"/>
          <w:szCs w:val="32"/>
        </w:rPr>
        <w:t>8</w:t>
      </w:r>
      <w:r>
        <w:rPr>
          <w:snapToGrid w:val="0"/>
          <w:color w:val="auto"/>
          <w:sz w:val="32"/>
          <w:szCs w:val="32"/>
        </w:rPr>
        <w:t>0</w:t>
      </w:r>
      <w:r>
        <w:rPr>
          <w:rFonts w:hint="eastAsia"/>
          <w:snapToGrid w:val="0"/>
          <w:color w:val="auto"/>
          <w:sz w:val="32"/>
          <w:szCs w:val="32"/>
        </w:rPr>
        <w:t>018</w:t>
      </w:r>
    </w:p>
    <w:p>
      <w:pPr>
        <w:spacing w:line="540" w:lineRule="exact"/>
        <w:ind w:firstLine="3200" w:firstLineChars="1000"/>
        <w:rPr>
          <w:rFonts w:hint="eastAsia" w:hAnsi="宋体" w:eastAsiaTheme="minorEastAsia"/>
          <w:sz w:val="32"/>
          <w:szCs w:val="32"/>
          <w:lang w:eastAsia="zh-CN"/>
        </w:rPr>
      </w:pPr>
      <w:r>
        <w:rPr>
          <w:rFonts w:hint="eastAsia"/>
          <w:color w:val="auto"/>
          <w:sz w:val="32"/>
          <w:szCs w:val="32"/>
          <w:lang w:val="en-US" w:eastAsia="zh-CN"/>
        </w:rPr>
        <w:t>周礼行</w:t>
      </w:r>
      <w:r>
        <w:rPr>
          <w:rFonts w:hint="eastAsia"/>
          <w:color w:val="auto"/>
          <w:sz w:val="32"/>
          <w:szCs w:val="32"/>
        </w:rPr>
        <w:t xml:space="preserve"> </w:t>
      </w:r>
      <w:r>
        <w:rPr>
          <w:rFonts w:hAnsi="宋体"/>
          <w:color w:val="auto"/>
          <w:sz w:val="32"/>
          <w:szCs w:val="32"/>
        </w:rPr>
        <w:t xml:space="preserve">  注册证号：</w:t>
      </w:r>
      <w:r>
        <w:rPr>
          <w:rFonts w:hint="eastAsia"/>
          <w:snapToGrid w:val="0"/>
          <w:color w:val="auto"/>
          <w:sz w:val="32"/>
          <w:szCs w:val="32"/>
          <w:lang w:eastAsia="zh-CN"/>
        </w:rPr>
        <w:t>5220180026</w:t>
      </w:r>
    </w:p>
    <w:p>
      <w:pPr>
        <w:spacing w:line="540" w:lineRule="exact"/>
        <w:ind w:firstLine="321" w:firstLineChars="100"/>
        <w:rPr>
          <w:rFonts w:hint="eastAsia" w:eastAsiaTheme="minorEastAsia"/>
          <w:sz w:val="32"/>
          <w:szCs w:val="32"/>
          <w:lang w:eastAsia="zh-CN"/>
        </w:rPr>
      </w:pPr>
      <w:r>
        <w:rPr>
          <w:rFonts w:hint="eastAsia" w:hAnsi="宋体"/>
          <w:b/>
          <w:sz w:val="32"/>
          <w:szCs w:val="32"/>
        </w:rPr>
        <w:t>估价报告出具日期：</w:t>
      </w:r>
      <w:r>
        <w:rPr>
          <w:rFonts w:hint="eastAsia"/>
          <w:sz w:val="32"/>
          <w:szCs w:val="32"/>
          <w:lang w:eastAsia="zh-CN"/>
        </w:rPr>
        <w:t>2022年7月14日</w:t>
      </w:r>
    </w:p>
    <w:p>
      <w:pPr>
        <w:spacing w:line="540" w:lineRule="exact"/>
        <w:ind w:firstLine="321" w:firstLineChars="100"/>
        <w:rPr>
          <w:rFonts w:hint="eastAsia" w:eastAsiaTheme="minorEastAsia"/>
          <w:sz w:val="32"/>
          <w:szCs w:val="32"/>
          <w:lang w:eastAsia="zh-CN"/>
        </w:rPr>
        <w:sectPr>
          <w:headerReference r:id="rId4" w:type="first"/>
          <w:footerReference r:id="rId6" w:type="first"/>
          <w:headerReference r:id="rId3" w:type="default"/>
          <w:footerReference r:id="rId5" w:type="default"/>
          <w:pgSz w:w="11906" w:h="16838"/>
          <w:pgMar w:top="1418" w:right="1418" w:bottom="1134" w:left="1418" w:header="851" w:footer="851" w:gutter="0"/>
          <w:pgBorders>
            <w:top w:val="none" w:sz="0" w:space="0"/>
            <w:left w:val="none" w:sz="0" w:space="0"/>
            <w:bottom w:val="none" w:sz="0" w:space="0"/>
            <w:right w:val="none" w:sz="0" w:space="0"/>
          </w:pgBorders>
          <w:pgNumType w:start="0"/>
          <w:cols w:space="720" w:num="1"/>
          <w:titlePg/>
          <w:docGrid w:type="lines" w:linePitch="312" w:charSpace="0"/>
        </w:sectPr>
      </w:pPr>
      <w:r>
        <w:rPr>
          <w:rFonts w:hint="eastAsia" w:hAnsi="宋体"/>
          <w:b/>
          <w:sz w:val="32"/>
          <w:szCs w:val="32"/>
        </w:rPr>
        <w:t>估价报告编号：</w:t>
      </w:r>
      <w:r>
        <w:rPr>
          <w:rFonts w:hint="eastAsia" w:hAnsi="宋体"/>
          <w:b w:val="0"/>
          <w:bCs/>
          <w:sz w:val="32"/>
          <w:szCs w:val="32"/>
          <w:lang w:eastAsia="zh-CN"/>
        </w:rPr>
        <w:t>黔亚太房评[2022]0146号</w:t>
      </w:r>
    </w:p>
    <w:p>
      <w:pPr>
        <w:pStyle w:val="3"/>
        <w:spacing w:before="156" w:beforeLines="50" w:after="156" w:afterLines="50" w:line="360" w:lineRule="auto"/>
        <w:jc w:val="center"/>
        <w:rPr>
          <w:rFonts w:hAnsi="宋体"/>
          <w:spacing w:val="100"/>
        </w:rPr>
      </w:pPr>
      <w:bookmarkStart w:id="0" w:name="_Toc10589"/>
      <w:bookmarkStart w:id="1" w:name="_Toc19778"/>
      <w:r>
        <w:rPr>
          <w:rFonts w:hAnsi="宋体"/>
          <w:spacing w:val="100"/>
        </w:rPr>
        <w:t>致委托</w:t>
      </w:r>
      <w:r>
        <w:rPr>
          <w:rFonts w:hint="eastAsia" w:hAnsi="宋体"/>
          <w:spacing w:val="100"/>
        </w:rPr>
        <w:t>人</w:t>
      </w:r>
      <w:r>
        <w:rPr>
          <w:rFonts w:hAnsi="宋体"/>
          <w:spacing w:val="100"/>
        </w:rPr>
        <w:t>函</w:t>
      </w:r>
      <w:bookmarkEnd w:id="0"/>
      <w:bookmarkEnd w:id="1"/>
    </w:p>
    <w:p>
      <w:pPr>
        <w:pStyle w:val="27"/>
        <w:autoSpaceDE/>
        <w:autoSpaceDN/>
        <w:adjustRightInd/>
        <w:spacing w:before="156" w:beforeLines="50" w:after="156" w:afterLines="50" w:line="360" w:lineRule="auto"/>
        <w:jc w:val="both"/>
        <w:textAlignment w:val="auto"/>
        <w:rPr>
          <w:rFonts w:ascii="Times New Roman" w:hAnsi="Times New Roman" w:eastAsia="宋体" w:cs="Times New Roman"/>
          <w:b/>
          <w:szCs w:val="28"/>
        </w:rPr>
      </w:pPr>
      <w:r>
        <w:rPr>
          <w:rFonts w:hint="eastAsia" w:ascii="Times New Roman" w:hAnsi="Times New Roman" w:eastAsia="宋体" w:cs="Times New Roman"/>
          <w:b/>
          <w:szCs w:val="28"/>
          <w:lang w:val="en-US" w:eastAsia="zh-CN"/>
        </w:rPr>
        <w:t>毕节市中级人民法院</w:t>
      </w:r>
      <w:r>
        <w:rPr>
          <w:rFonts w:hint="eastAsia" w:ascii="Times New Roman" w:hAnsi="Times New Roman" w:eastAsia="宋体" w:cs="Times New Roman"/>
          <w:b/>
          <w:szCs w:val="28"/>
        </w:rPr>
        <w:t>：</w:t>
      </w:r>
    </w:p>
    <w:p>
      <w:pPr>
        <w:pStyle w:val="27"/>
        <w:autoSpaceDE/>
        <w:autoSpaceDN/>
        <w:adjustRightInd/>
        <w:spacing w:before="156" w:beforeLines="50" w:after="156" w:afterLines="50" w:line="360" w:lineRule="auto"/>
        <w:ind w:firstLine="560" w:firstLineChars="200"/>
        <w:jc w:val="both"/>
        <w:textAlignment w:val="auto"/>
        <w:rPr>
          <w:rFonts w:ascii="Times New Roman" w:hAnsi="Times New Roman" w:eastAsia="宋体" w:cs="Times New Roman"/>
          <w:bCs/>
          <w:szCs w:val="28"/>
        </w:rPr>
      </w:pPr>
      <w:r>
        <w:rPr>
          <w:rFonts w:hint="eastAsia" w:ascii="Times New Roman" w:hAnsi="Times New Roman" w:eastAsia="宋体" w:cs="Times New Roman"/>
          <w:bCs/>
          <w:szCs w:val="28"/>
        </w:rPr>
        <w:t>我公司接受</w:t>
      </w:r>
      <w:r>
        <w:rPr>
          <w:rFonts w:hint="eastAsia" w:ascii="Times New Roman" w:hAnsi="Times New Roman" w:eastAsia="宋体" w:cs="Times New Roman"/>
          <w:bCs/>
          <w:szCs w:val="28"/>
          <w:lang w:val="en-US" w:eastAsia="zh-CN"/>
        </w:rPr>
        <w:t>贵单位</w:t>
      </w:r>
      <w:r>
        <w:rPr>
          <w:rFonts w:hint="eastAsia" w:ascii="Times New Roman" w:hAnsi="Times New Roman" w:eastAsia="宋体" w:cs="Times New Roman"/>
          <w:bCs/>
          <w:szCs w:val="28"/>
        </w:rPr>
        <w:t>的委托，</w:t>
      </w:r>
      <w:r>
        <w:rPr>
          <w:rFonts w:hint="eastAsia" w:asciiTheme="minorEastAsia" w:hAnsiTheme="minorEastAsia" w:eastAsiaTheme="minorEastAsia"/>
          <w:spacing w:val="-2"/>
          <w:szCs w:val="24"/>
        </w:rPr>
        <w:t>我公司根据</w:t>
      </w:r>
      <w:r>
        <w:rPr>
          <w:rFonts w:hint="eastAsia" w:ascii="Times New Roman" w:hAnsi="Times New Roman" w:eastAsia="宋体" w:cs="Times New Roman"/>
          <w:bCs/>
          <w:sz w:val="28"/>
          <w:szCs w:val="28"/>
          <w:highlight w:val="none"/>
          <w:lang w:val="en-US" w:eastAsia="zh-CN" w:bidi="ar-SA"/>
        </w:rPr>
        <w:t>《房地产估价规范》、</w:t>
      </w:r>
      <w:r>
        <w:rPr>
          <w:rFonts w:hint="eastAsia" w:ascii="Times New Roman" w:hAnsi="Times New Roman" w:eastAsia="宋体" w:cs="Times New Roman"/>
          <w:bCs/>
          <w:szCs w:val="28"/>
        </w:rPr>
        <w:t>《房地产估价基本术语标准</w:t>
      </w:r>
      <w:r>
        <w:rPr>
          <w:rFonts w:hint="eastAsia" w:ascii="Times New Roman" w:hAnsi="Times New Roman" w:eastAsia="宋体" w:cs="Times New Roman"/>
          <w:bCs/>
          <w:szCs w:val="28"/>
          <w:lang w:eastAsia="zh-CN"/>
        </w:rPr>
        <w:t>》</w:t>
      </w:r>
      <w:r>
        <w:rPr>
          <w:rFonts w:hint="eastAsia" w:ascii="Times New Roman" w:hAnsi="Times New Roman" w:eastAsia="宋体" w:cs="Times New Roman"/>
          <w:bCs/>
          <w:sz w:val="28"/>
          <w:szCs w:val="28"/>
          <w:highlight w:val="none"/>
          <w:lang w:val="en-US" w:eastAsia="zh-CN" w:bidi="ar-SA"/>
        </w:rPr>
        <w:t>等</w:t>
      </w:r>
      <w:r>
        <w:rPr>
          <w:rFonts w:hint="eastAsia" w:asciiTheme="minorEastAsia" w:hAnsiTheme="minorEastAsia"/>
          <w:spacing w:val="-2"/>
          <w:szCs w:val="24"/>
          <w:lang w:val="en-US" w:eastAsia="zh-CN"/>
        </w:rPr>
        <w:t>有关</w:t>
      </w:r>
      <w:r>
        <w:rPr>
          <w:rFonts w:hint="eastAsia" w:asciiTheme="minorEastAsia" w:hAnsiTheme="minorEastAsia" w:eastAsiaTheme="minorEastAsia"/>
          <w:spacing w:val="-2"/>
          <w:szCs w:val="24"/>
        </w:rPr>
        <w:t>规定，本着独立、客观、公正、科学的原则，按照必要的估价程序，采用合理的估价方法</w:t>
      </w:r>
      <w:r>
        <w:rPr>
          <w:rFonts w:hint="eastAsia" w:ascii="Times New Roman" w:hAnsi="Times New Roman" w:eastAsia="宋体" w:cs="Times New Roman"/>
          <w:bCs/>
          <w:szCs w:val="28"/>
        </w:rPr>
        <w:t>，对</w:t>
      </w:r>
      <w:r>
        <w:rPr>
          <w:rFonts w:hint="eastAsia" w:hAnsi="宋体" w:eastAsia="宋体"/>
          <w:szCs w:val="28"/>
          <w:lang w:val="en-US" w:eastAsia="zh-CN"/>
        </w:rPr>
        <w:t>委托评估的房地产市场价值</w:t>
      </w:r>
      <w:r>
        <w:rPr>
          <w:rFonts w:hint="eastAsia" w:ascii="Times New Roman" w:hAnsi="Times New Roman" w:eastAsia="宋体" w:cs="Times New Roman"/>
          <w:bCs/>
          <w:szCs w:val="28"/>
        </w:rPr>
        <w:t>进行了</w:t>
      </w:r>
      <w:r>
        <w:rPr>
          <w:rFonts w:hint="eastAsia" w:ascii="Times New Roman" w:hAnsi="Times New Roman" w:eastAsia="宋体" w:cs="Times New Roman"/>
          <w:bCs/>
          <w:szCs w:val="28"/>
          <w:lang w:val="en-US" w:eastAsia="zh-CN"/>
        </w:rPr>
        <w:t>估价</w:t>
      </w:r>
      <w:r>
        <w:rPr>
          <w:rFonts w:hint="eastAsia" w:ascii="Times New Roman" w:hAnsi="Times New Roman" w:eastAsia="宋体" w:cs="Times New Roman"/>
          <w:bCs/>
          <w:szCs w:val="28"/>
        </w:rPr>
        <w:t xml:space="preserve"> </w:t>
      </w:r>
      <w:r>
        <w:rPr>
          <w:rFonts w:hint="eastAsia" w:ascii="Times New Roman" w:hAnsi="Times New Roman" w:eastAsia="宋体" w:cs="Times New Roman"/>
          <w:bCs/>
          <w:szCs w:val="28"/>
          <w:lang w:val="en-US" w:eastAsia="zh-CN"/>
        </w:rPr>
        <w:t>估价</w:t>
      </w:r>
      <w:r>
        <w:rPr>
          <w:rFonts w:hint="eastAsia" w:ascii="Times New Roman" w:hAnsi="Times New Roman" w:eastAsia="宋体" w:cs="Times New Roman"/>
          <w:bCs/>
          <w:szCs w:val="28"/>
        </w:rPr>
        <w:t>基本事项如下：</w:t>
      </w:r>
    </w:p>
    <w:p>
      <w:pPr>
        <w:pStyle w:val="27"/>
        <w:autoSpaceDE/>
        <w:autoSpaceDN/>
        <w:adjustRightInd/>
        <w:spacing w:before="156" w:beforeLines="50" w:after="156" w:afterLines="50" w:line="360" w:lineRule="auto"/>
        <w:ind w:firstLine="562" w:firstLineChars="200"/>
        <w:jc w:val="both"/>
        <w:textAlignment w:val="auto"/>
        <w:rPr>
          <w:rFonts w:ascii="Times New Roman" w:hAnsi="Times New Roman" w:eastAsia="宋体" w:cs="Times New Roman"/>
          <w:bCs/>
          <w:szCs w:val="28"/>
        </w:rPr>
      </w:pPr>
      <w:r>
        <w:rPr>
          <w:rFonts w:hint="eastAsia" w:ascii="Times New Roman" w:hAnsi="Times New Roman" w:eastAsia="宋体" w:cs="Times New Roman"/>
          <w:b/>
          <w:szCs w:val="28"/>
        </w:rPr>
        <w:t>估价目的：</w:t>
      </w:r>
      <w:r>
        <w:rPr>
          <w:rFonts w:hint="eastAsia" w:ascii="Times New Roman" w:hAnsi="Times New Roman" w:eastAsia="宋体" w:cs="Times New Roman"/>
          <w:bCs/>
          <w:szCs w:val="28"/>
        </w:rPr>
        <w:t>为</w:t>
      </w:r>
      <w:r>
        <w:rPr>
          <w:rFonts w:hint="eastAsia" w:ascii="Times New Roman" w:hAnsi="Times New Roman" w:eastAsia="宋体" w:cs="Times New Roman"/>
          <w:bCs/>
          <w:szCs w:val="28"/>
          <w:lang w:val="en-US" w:eastAsia="zh-CN"/>
        </w:rPr>
        <w:t>人民法院</w:t>
      </w:r>
      <w:r>
        <w:rPr>
          <w:rFonts w:hint="eastAsia" w:hAnsi="宋体"/>
          <w:szCs w:val="28"/>
        </w:rPr>
        <w:t>确定</w:t>
      </w:r>
      <w:r>
        <w:rPr>
          <w:rFonts w:hint="eastAsia" w:hAnsi="宋体"/>
          <w:szCs w:val="28"/>
          <w:lang w:val="en-US" w:eastAsia="zh-CN"/>
        </w:rPr>
        <w:t>财产处置参考价提供参考依据</w:t>
      </w:r>
      <w:r>
        <w:rPr>
          <w:rFonts w:hint="eastAsia" w:ascii="Times New Roman" w:hAnsi="Times New Roman" w:eastAsia="宋体" w:cs="Times New Roman"/>
          <w:bCs/>
          <w:szCs w:val="28"/>
        </w:rPr>
        <w:t>。</w:t>
      </w:r>
    </w:p>
    <w:p>
      <w:pPr>
        <w:pStyle w:val="27"/>
        <w:autoSpaceDE/>
        <w:autoSpaceDN/>
        <w:adjustRightInd/>
        <w:spacing w:before="156" w:beforeLines="50" w:after="156" w:afterLines="50" w:line="360" w:lineRule="auto"/>
        <w:ind w:firstLine="562" w:firstLineChars="200"/>
        <w:jc w:val="both"/>
        <w:textAlignment w:val="auto"/>
        <w:rPr>
          <w:rFonts w:hint="eastAsia" w:hAnsi="宋体"/>
          <w:szCs w:val="28"/>
          <w:lang w:val="en-US" w:eastAsia="zh-CN"/>
        </w:rPr>
      </w:pPr>
      <w:r>
        <w:rPr>
          <w:rFonts w:hint="eastAsia" w:ascii="Times New Roman" w:hAnsi="Times New Roman" w:eastAsia="宋体" w:cs="Times New Roman"/>
          <w:b/>
          <w:szCs w:val="28"/>
        </w:rPr>
        <w:t>估价对象：</w:t>
      </w:r>
      <w:r>
        <w:rPr>
          <w:rFonts w:hint="eastAsia" w:hAnsi="宋体"/>
          <w:szCs w:val="28"/>
          <w:lang w:val="en-US" w:eastAsia="zh-CN"/>
        </w:rPr>
        <w:t xml:space="preserve">基本状况如下表所示：   </w:t>
      </w:r>
    </w:p>
    <w:tbl>
      <w:tblPr>
        <w:tblStyle w:val="17"/>
        <w:tblW w:w="911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710"/>
        <w:gridCol w:w="743"/>
        <w:gridCol w:w="1952"/>
        <w:gridCol w:w="1740"/>
        <w:gridCol w:w="1575"/>
        <w:gridCol w:w="660"/>
        <w:gridCol w:w="1035"/>
        <w:gridCol w:w="6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95" w:hRule="atLeast"/>
          <w:jc w:val="center"/>
        </w:trPr>
        <w:tc>
          <w:tcPr>
            <w:tcW w:w="710" w:type="dxa"/>
            <w:vMerge w:val="restart"/>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序号</w:t>
            </w:r>
          </w:p>
        </w:tc>
        <w:tc>
          <w:tcPr>
            <w:tcW w:w="743" w:type="dxa"/>
            <w:vMerge w:val="restart"/>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权证编号</w:t>
            </w:r>
          </w:p>
        </w:tc>
        <w:tc>
          <w:tcPr>
            <w:tcW w:w="1952" w:type="dxa"/>
            <w:vMerge w:val="restart"/>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名称</w:t>
            </w:r>
          </w:p>
        </w:tc>
        <w:tc>
          <w:tcPr>
            <w:tcW w:w="1740" w:type="dxa"/>
            <w:vMerge w:val="restart"/>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位置</w:t>
            </w:r>
          </w:p>
        </w:tc>
        <w:tc>
          <w:tcPr>
            <w:tcW w:w="1575" w:type="dxa"/>
            <w:vMerge w:val="restart"/>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权利人</w:t>
            </w:r>
          </w:p>
        </w:tc>
        <w:tc>
          <w:tcPr>
            <w:tcW w:w="660" w:type="dxa"/>
            <w:vMerge w:val="restart"/>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用途</w:t>
            </w:r>
          </w:p>
        </w:tc>
        <w:tc>
          <w:tcPr>
            <w:tcW w:w="1035" w:type="dxa"/>
            <w:vMerge w:val="restart"/>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建筑面积</w:t>
            </w:r>
            <w:r>
              <w:rPr>
                <w:rFonts w:hint="default" w:ascii="仿宋" w:hAnsi="仿宋" w:eastAsia="仿宋" w:cs="仿宋"/>
                <w:i w:val="0"/>
                <w:iCs w:val="0"/>
                <w:color w:val="000000"/>
                <w:kern w:val="0"/>
                <w:sz w:val="21"/>
                <w:szCs w:val="21"/>
                <w:u w:val="none"/>
                <w:lang w:val="en-US" w:eastAsia="zh-CN" w:bidi="ar"/>
              </w:rPr>
              <w:t>m2</w:t>
            </w:r>
          </w:p>
        </w:tc>
        <w:tc>
          <w:tcPr>
            <w:tcW w:w="697" w:type="dxa"/>
            <w:vMerge w:val="restart"/>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0" w:hRule="atLeast"/>
          <w:jc w:val="center"/>
        </w:trPr>
        <w:tc>
          <w:tcPr>
            <w:tcW w:w="710" w:type="dxa"/>
            <w:vMerge w:val="continue"/>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p>
        </w:tc>
        <w:tc>
          <w:tcPr>
            <w:tcW w:w="743" w:type="dxa"/>
            <w:vMerge w:val="continue"/>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p>
        </w:tc>
        <w:tc>
          <w:tcPr>
            <w:tcW w:w="1952" w:type="dxa"/>
            <w:vMerge w:val="continue"/>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p>
        </w:tc>
        <w:tc>
          <w:tcPr>
            <w:tcW w:w="1740" w:type="dxa"/>
            <w:vMerge w:val="continue"/>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p>
        </w:tc>
        <w:tc>
          <w:tcPr>
            <w:tcW w:w="1575" w:type="dxa"/>
            <w:vMerge w:val="continue"/>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p>
        </w:tc>
        <w:tc>
          <w:tcPr>
            <w:tcW w:w="660" w:type="dxa"/>
            <w:vMerge w:val="continue"/>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p>
        </w:tc>
        <w:tc>
          <w:tcPr>
            <w:tcW w:w="1035" w:type="dxa"/>
            <w:vMerge w:val="continue"/>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p>
        </w:tc>
        <w:tc>
          <w:tcPr>
            <w:tcW w:w="697" w:type="dxa"/>
            <w:vMerge w:val="continue"/>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735" w:hRule="atLeast"/>
          <w:jc w:val="center"/>
        </w:trPr>
        <w:tc>
          <w:tcPr>
            <w:tcW w:w="710" w:type="dxa"/>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1</w:t>
            </w:r>
          </w:p>
        </w:tc>
        <w:tc>
          <w:tcPr>
            <w:tcW w:w="743"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w:t>
            </w:r>
          </w:p>
        </w:tc>
        <w:tc>
          <w:tcPr>
            <w:tcW w:w="1952"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北港兴城（一期）2、3、5栋（2）1单元12层1号</w:t>
            </w:r>
          </w:p>
        </w:tc>
        <w:tc>
          <w:tcPr>
            <w:tcW w:w="1740"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威宁彝族回族苗族自治县五里岗大道</w:t>
            </w:r>
          </w:p>
        </w:tc>
        <w:tc>
          <w:tcPr>
            <w:tcW w:w="1575"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贵州鼎鑫房地产开发有限责任公司</w:t>
            </w:r>
          </w:p>
        </w:tc>
        <w:tc>
          <w:tcPr>
            <w:tcW w:w="660" w:type="dxa"/>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住宅</w:t>
            </w:r>
          </w:p>
        </w:tc>
        <w:tc>
          <w:tcPr>
            <w:tcW w:w="1035" w:type="dxa"/>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147.29</w:t>
            </w:r>
          </w:p>
        </w:tc>
        <w:tc>
          <w:tcPr>
            <w:tcW w:w="697"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735" w:hRule="atLeast"/>
          <w:jc w:val="center"/>
        </w:trPr>
        <w:tc>
          <w:tcPr>
            <w:tcW w:w="710" w:type="dxa"/>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2</w:t>
            </w:r>
          </w:p>
        </w:tc>
        <w:tc>
          <w:tcPr>
            <w:tcW w:w="743"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w:t>
            </w:r>
          </w:p>
        </w:tc>
        <w:tc>
          <w:tcPr>
            <w:tcW w:w="1952"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北港兴城（一期）2、3、5栋（2）1单元12层2号</w:t>
            </w:r>
          </w:p>
        </w:tc>
        <w:tc>
          <w:tcPr>
            <w:tcW w:w="1740"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威宁彝族回族苗族自治县五里岗大道</w:t>
            </w:r>
          </w:p>
        </w:tc>
        <w:tc>
          <w:tcPr>
            <w:tcW w:w="1575"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贵州鼎鑫房地产开发有限责任公司</w:t>
            </w:r>
          </w:p>
        </w:tc>
        <w:tc>
          <w:tcPr>
            <w:tcW w:w="660" w:type="dxa"/>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住宅</w:t>
            </w:r>
          </w:p>
        </w:tc>
        <w:tc>
          <w:tcPr>
            <w:tcW w:w="1035" w:type="dxa"/>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108.42</w:t>
            </w:r>
          </w:p>
        </w:tc>
        <w:tc>
          <w:tcPr>
            <w:tcW w:w="697"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735" w:hRule="atLeast"/>
          <w:jc w:val="center"/>
        </w:trPr>
        <w:tc>
          <w:tcPr>
            <w:tcW w:w="710" w:type="dxa"/>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3</w:t>
            </w:r>
          </w:p>
        </w:tc>
        <w:tc>
          <w:tcPr>
            <w:tcW w:w="743"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w:t>
            </w:r>
          </w:p>
        </w:tc>
        <w:tc>
          <w:tcPr>
            <w:tcW w:w="1952"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北港兴城（一期）2、3、5栋（2）1单元12层3号</w:t>
            </w:r>
          </w:p>
        </w:tc>
        <w:tc>
          <w:tcPr>
            <w:tcW w:w="1740"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威宁彝族回族苗族自治县五里岗大道</w:t>
            </w:r>
          </w:p>
        </w:tc>
        <w:tc>
          <w:tcPr>
            <w:tcW w:w="1575"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贵州鼎鑫房地产开发有限责任公司</w:t>
            </w:r>
          </w:p>
        </w:tc>
        <w:tc>
          <w:tcPr>
            <w:tcW w:w="660" w:type="dxa"/>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住宅</w:t>
            </w:r>
          </w:p>
        </w:tc>
        <w:tc>
          <w:tcPr>
            <w:tcW w:w="1035" w:type="dxa"/>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108.42</w:t>
            </w:r>
          </w:p>
        </w:tc>
        <w:tc>
          <w:tcPr>
            <w:tcW w:w="697"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735" w:hRule="atLeast"/>
          <w:jc w:val="center"/>
        </w:trPr>
        <w:tc>
          <w:tcPr>
            <w:tcW w:w="710" w:type="dxa"/>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4</w:t>
            </w:r>
          </w:p>
        </w:tc>
        <w:tc>
          <w:tcPr>
            <w:tcW w:w="743"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w:t>
            </w:r>
          </w:p>
        </w:tc>
        <w:tc>
          <w:tcPr>
            <w:tcW w:w="1952"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北港兴城（一期）2、3、5栋（2）1单元12层4号</w:t>
            </w:r>
          </w:p>
        </w:tc>
        <w:tc>
          <w:tcPr>
            <w:tcW w:w="1740"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威宁彝族回族苗族自治县五里岗大道</w:t>
            </w:r>
          </w:p>
        </w:tc>
        <w:tc>
          <w:tcPr>
            <w:tcW w:w="1575"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贵州鼎鑫房地产开发有限责任公司</w:t>
            </w:r>
          </w:p>
        </w:tc>
        <w:tc>
          <w:tcPr>
            <w:tcW w:w="660" w:type="dxa"/>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住宅</w:t>
            </w:r>
          </w:p>
        </w:tc>
        <w:tc>
          <w:tcPr>
            <w:tcW w:w="1035" w:type="dxa"/>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147.89</w:t>
            </w:r>
          </w:p>
        </w:tc>
        <w:tc>
          <w:tcPr>
            <w:tcW w:w="697"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735" w:hRule="atLeast"/>
          <w:jc w:val="center"/>
        </w:trPr>
        <w:tc>
          <w:tcPr>
            <w:tcW w:w="710" w:type="dxa"/>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5</w:t>
            </w:r>
          </w:p>
        </w:tc>
        <w:tc>
          <w:tcPr>
            <w:tcW w:w="743"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w:t>
            </w:r>
          </w:p>
        </w:tc>
        <w:tc>
          <w:tcPr>
            <w:tcW w:w="1952"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北港兴城（一期）2、3、5栋（2）1单元13层1号</w:t>
            </w:r>
          </w:p>
        </w:tc>
        <w:tc>
          <w:tcPr>
            <w:tcW w:w="1740"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威宁彝族回族苗族自治县五里岗大道</w:t>
            </w:r>
          </w:p>
        </w:tc>
        <w:tc>
          <w:tcPr>
            <w:tcW w:w="1575"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贵州鼎鑫房地产开发有限责任公司</w:t>
            </w:r>
          </w:p>
        </w:tc>
        <w:tc>
          <w:tcPr>
            <w:tcW w:w="660" w:type="dxa"/>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住宅</w:t>
            </w:r>
          </w:p>
        </w:tc>
        <w:tc>
          <w:tcPr>
            <w:tcW w:w="1035" w:type="dxa"/>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147.29</w:t>
            </w:r>
          </w:p>
        </w:tc>
        <w:tc>
          <w:tcPr>
            <w:tcW w:w="697"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735" w:hRule="atLeast"/>
          <w:jc w:val="center"/>
        </w:trPr>
        <w:tc>
          <w:tcPr>
            <w:tcW w:w="710" w:type="dxa"/>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6</w:t>
            </w:r>
          </w:p>
        </w:tc>
        <w:tc>
          <w:tcPr>
            <w:tcW w:w="743"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w:t>
            </w:r>
          </w:p>
        </w:tc>
        <w:tc>
          <w:tcPr>
            <w:tcW w:w="1952"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北港兴城（一期）2、3、5栋（2）1单元13层2号</w:t>
            </w:r>
          </w:p>
        </w:tc>
        <w:tc>
          <w:tcPr>
            <w:tcW w:w="1740"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威宁彝族回族苗族自治县五里岗大道</w:t>
            </w:r>
          </w:p>
        </w:tc>
        <w:tc>
          <w:tcPr>
            <w:tcW w:w="1575"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贵州鼎鑫房地产开发有限责任公司</w:t>
            </w:r>
          </w:p>
        </w:tc>
        <w:tc>
          <w:tcPr>
            <w:tcW w:w="660" w:type="dxa"/>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住宅</w:t>
            </w:r>
          </w:p>
        </w:tc>
        <w:tc>
          <w:tcPr>
            <w:tcW w:w="1035" w:type="dxa"/>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108.42</w:t>
            </w:r>
          </w:p>
        </w:tc>
        <w:tc>
          <w:tcPr>
            <w:tcW w:w="697"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735" w:hRule="atLeast"/>
          <w:jc w:val="center"/>
        </w:trPr>
        <w:tc>
          <w:tcPr>
            <w:tcW w:w="710" w:type="dxa"/>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7</w:t>
            </w:r>
          </w:p>
        </w:tc>
        <w:tc>
          <w:tcPr>
            <w:tcW w:w="743"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w:t>
            </w:r>
          </w:p>
        </w:tc>
        <w:tc>
          <w:tcPr>
            <w:tcW w:w="1952"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北港兴城（一期）2、3、5栋（2）1单元13层3号</w:t>
            </w:r>
          </w:p>
        </w:tc>
        <w:tc>
          <w:tcPr>
            <w:tcW w:w="1740"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威宁彝族回族苗族自治县五里岗大道</w:t>
            </w:r>
          </w:p>
        </w:tc>
        <w:tc>
          <w:tcPr>
            <w:tcW w:w="1575"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贵州鼎鑫房地产开发有限责任公司</w:t>
            </w:r>
          </w:p>
        </w:tc>
        <w:tc>
          <w:tcPr>
            <w:tcW w:w="660" w:type="dxa"/>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住宅</w:t>
            </w:r>
          </w:p>
        </w:tc>
        <w:tc>
          <w:tcPr>
            <w:tcW w:w="1035" w:type="dxa"/>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108.42</w:t>
            </w:r>
          </w:p>
        </w:tc>
        <w:tc>
          <w:tcPr>
            <w:tcW w:w="697"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735" w:hRule="atLeast"/>
          <w:jc w:val="center"/>
        </w:trPr>
        <w:tc>
          <w:tcPr>
            <w:tcW w:w="710" w:type="dxa"/>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8</w:t>
            </w:r>
          </w:p>
        </w:tc>
        <w:tc>
          <w:tcPr>
            <w:tcW w:w="743"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w:t>
            </w:r>
          </w:p>
        </w:tc>
        <w:tc>
          <w:tcPr>
            <w:tcW w:w="1952"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北港兴城（一期）2、3、5栋（2）1单元13层4号</w:t>
            </w:r>
          </w:p>
        </w:tc>
        <w:tc>
          <w:tcPr>
            <w:tcW w:w="1740"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威宁彝族回族苗族自治县五里岗大道</w:t>
            </w:r>
          </w:p>
        </w:tc>
        <w:tc>
          <w:tcPr>
            <w:tcW w:w="1575"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贵州鼎鑫房地产开发有限责任公司</w:t>
            </w:r>
          </w:p>
        </w:tc>
        <w:tc>
          <w:tcPr>
            <w:tcW w:w="660" w:type="dxa"/>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住宅</w:t>
            </w:r>
          </w:p>
        </w:tc>
        <w:tc>
          <w:tcPr>
            <w:tcW w:w="1035" w:type="dxa"/>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147.89</w:t>
            </w:r>
          </w:p>
        </w:tc>
        <w:tc>
          <w:tcPr>
            <w:tcW w:w="697"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735" w:hRule="atLeast"/>
          <w:jc w:val="center"/>
        </w:trPr>
        <w:tc>
          <w:tcPr>
            <w:tcW w:w="710" w:type="dxa"/>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9</w:t>
            </w:r>
          </w:p>
        </w:tc>
        <w:tc>
          <w:tcPr>
            <w:tcW w:w="743"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w:t>
            </w:r>
          </w:p>
        </w:tc>
        <w:tc>
          <w:tcPr>
            <w:tcW w:w="1952"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北港兴城（一期）2、3、5栋（2）1单元14层1号</w:t>
            </w:r>
          </w:p>
        </w:tc>
        <w:tc>
          <w:tcPr>
            <w:tcW w:w="1740"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威宁彝族回族苗族自治县五里岗大道</w:t>
            </w:r>
          </w:p>
        </w:tc>
        <w:tc>
          <w:tcPr>
            <w:tcW w:w="1575"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贵州鼎鑫房地产开发有限责任公司</w:t>
            </w:r>
          </w:p>
        </w:tc>
        <w:tc>
          <w:tcPr>
            <w:tcW w:w="660" w:type="dxa"/>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住宅</w:t>
            </w:r>
          </w:p>
        </w:tc>
        <w:tc>
          <w:tcPr>
            <w:tcW w:w="1035" w:type="dxa"/>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147.29</w:t>
            </w:r>
          </w:p>
        </w:tc>
        <w:tc>
          <w:tcPr>
            <w:tcW w:w="697"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735" w:hRule="atLeast"/>
          <w:jc w:val="center"/>
        </w:trPr>
        <w:tc>
          <w:tcPr>
            <w:tcW w:w="710" w:type="dxa"/>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10</w:t>
            </w:r>
          </w:p>
        </w:tc>
        <w:tc>
          <w:tcPr>
            <w:tcW w:w="743"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w:t>
            </w:r>
          </w:p>
        </w:tc>
        <w:tc>
          <w:tcPr>
            <w:tcW w:w="1952"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北港兴城（一期）2、3、5栋（2）1单元14层2号</w:t>
            </w:r>
          </w:p>
        </w:tc>
        <w:tc>
          <w:tcPr>
            <w:tcW w:w="1740"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威宁彝族回族苗族自治县五里岗大道</w:t>
            </w:r>
          </w:p>
        </w:tc>
        <w:tc>
          <w:tcPr>
            <w:tcW w:w="1575"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贵州鼎鑫房地产开发有限责任公司</w:t>
            </w:r>
          </w:p>
        </w:tc>
        <w:tc>
          <w:tcPr>
            <w:tcW w:w="660" w:type="dxa"/>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住宅</w:t>
            </w:r>
          </w:p>
        </w:tc>
        <w:tc>
          <w:tcPr>
            <w:tcW w:w="1035" w:type="dxa"/>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108.42</w:t>
            </w:r>
          </w:p>
        </w:tc>
        <w:tc>
          <w:tcPr>
            <w:tcW w:w="697"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735" w:hRule="atLeast"/>
          <w:jc w:val="center"/>
        </w:trPr>
        <w:tc>
          <w:tcPr>
            <w:tcW w:w="710" w:type="dxa"/>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11</w:t>
            </w:r>
          </w:p>
        </w:tc>
        <w:tc>
          <w:tcPr>
            <w:tcW w:w="743"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w:t>
            </w:r>
          </w:p>
        </w:tc>
        <w:tc>
          <w:tcPr>
            <w:tcW w:w="1952"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北港兴城（一期）2、3、5栋（2）1单元14层3号</w:t>
            </w:r>
          </w:p>
        </w:tc>
        <w:tc>
          <w:tcPr>
            <w:tcW w:w="1740"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威宁彝族回族苗族自治县五里岗大道</w:t>
            </w:r>
          </w:p>
        </w:tc>
        <w:tc>
          <w:tcPr>
            <w:tcW w:w="1575"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贵州鼎鑫房地产开发有限责任公司</w:t>
            </w:r>
          </w:p>
        </w:tc>
        <w:tc>
          <w:tcPr>
            <w:tcW w:w="660" w:type="dxa"/>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住宅</w:t>
            </w:r>
          </w:p>
        </w:tc>
        <w:tc>
          <w:tcPr>
            <w:tcW w:w="1035" w:type="dxa"/>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108.42</w:t>
            </w:r>
          </w:p>
        </w:tc>
        <w:tc>
          <w:tcPr>
            <w:tcW w:w="697"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735" w:hRule="atLeast"/>
          <w:jc w:val="center"/>
        </w:trPr>
        <w:tc>
          <w:tcPr>
            <w:tcW w:w="710" w:type="dxa"/>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12</w:t>
            </w:r>
          </w:p>
        </w:tc>
        <w:tc>
          <w:tcPr>
            <w:tcW w:w="743"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w:t>
            </w:r>
          </w:p>
        </w:tc>
        <w:tc>
          <w:tcPr>
            <w:tcW w:w="1952"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北港兴城（一期）2、3、5栋（2）1单元14层4号</w:t>
            </w:r>
          </w:p>
        </w:tc>
        <w:tc>
          <w:tcPr>
            <w:tcW w:w="1740"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威宁彝族回族苗族自治县五里岗大道</w:t>
            </w:r>
          </w:p>
        </w:tc>
        <w:tc>
          <w:tcPr>
            <w:tcW w:w="1575"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贵州鼎鑫房地产开发有限责任公司</w:t>
            </w:r>
          </w:p>
        </w:tc>
        <w:tc>
          <w:tcPr>
            <w:tcW w:w="660" w:type="dxa"/>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住宅</w:t>
            </w:r>
          </w:p>
        </w:tc>
        <w:tc>
          <w:tcPr>
            <w:tcW w:w="1035" w:type="dxa"/>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147.89</w:t>
            </w:r>
          </w:p>
        </w:tc>
        <w:tc>
          <w:tcPr>
            <w:tcW w:w="697"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735" w:hRule="atLeast"/>
          <w:jc w:val="center"/>
        </w:trPr>
        <w:tc>
          <w:tcPr>
            <w:tcW w:w="710" w:type="dxa"/>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13</w:t>
            </w:r>
          </w:p>
        </w:tc>
        <w:tc>
          <w:tcPr>
            <w:tcW w:w="743"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w:t>
            </w:r>
          </w:p>
        </w:tc>
        <w:tc>
          <w:tcPr>
            <w:tcW w:w="1952"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北港兴城（一期）2、3、5栋（2）1单元15层1号</w:t>
            </w:r>
          </w:p>
        </w:tc>
        <w:tc>
          <w:tcPr>
            <w:tcW w:w="1740"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威宁彝族回族苗族自治县五里岗大道</w:t>
            </w:r>
          </w:p>
        </w:tc>
        <w:tc>
          <w:tcPr>
            <w:tcW w:w="1575"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贵州鼎鑫房地产开发有限责任公司</w:t>
            </w:r>
          </w:p>
        </w:tc>
        <w:tc>
          <w:tcPr>
            <w:tcW w:w="660" w:type="dxa"/>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住宅</w:t>
            </w:r>
          </w:p>
        </w:tc>
        <w:tc>
          <w:tcPr>
            <w:tcW w:w="1035" w:type="dxa"/>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147.29</w:t>
            </w:r>
          </w:p>
        </w:tc>
        <w:tc>
          <w:tcPr>
            <w:tcW w:w="697"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735" w:hRule="atLeast"/>
          <w:jc w:val="center"/>
        </w:trPr>
        <w:tc>
          <w:tcPr>
            <w:tcW w:w="710" w:type="dxa"/>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14</w:t>
            </w:r>
          </w:p>
        </w:tc>
        <w:tc>
          <w:tcPr>
            <w:tcW w:w="743"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w:t>
            </w:r>
          </w:p>
        </w:tc>
        <w:tc>
          <w:tcPr>
            <w:tcW w:w="1952"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北港兴城（一期）2、3、5栋（2）1单元15层2号</w:t>
            </w:r>
          </w:p>
        </w:tc>
        <w:tc>
          <w:tcPr>
            <w:tcW w:w="1740"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威宁彝族回族苗族自治县五里岗大道</w:t>
            </w:r>
          </w:p>
        </w:tc>
        <w:tc>
          <w:tcPr>
            <w:tcW w:w="1575"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贵州鼎鑫房地产开发有限责任公司</w:t>
            </w:r>
          </w:p>
        </w:tc>
        <w:tc>
          <w:tcPr>
            <w:tcW w:w="660" w:type="dxa"/>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住宅</w:t>
            </w:r>
          </w:p>
        </w:tc>
        <w:tc>
          <w:tcPr>
            <w:tcW w:w="1035" w:type="dxa"/>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108.42</w:t>
            </w:r>
          </w:p>
        </w:tc>
        <w:tc>
          <w:tcPr>
            <w:tcW w:w="697"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735" w:hRule="atLeast"/>
          <w:jc w:val="center"/>
        </w:trPr>
        <w:tc>
          <w:tcPr>
            <w:tcW w:w="710" w:type="dxa"/>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15</w:t>
            </w:r>
          </w:p>
        </w:tc>
        <w:tc>
          <w:tcPr>
            <w:tcW w:w="743"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w:t>
            </w:r>
          </w:p>
        </w:tc>
        <w:tc>
          <w:tcPr>
            <w:tcW w:w="1952"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北港兴城（一期）2、3、5栋（2）1单元15层3号</w:t>
            </w:r>
          </w:p>
        </w:tc>
        <w:tc>
          <w:tcPr>
            <w:tcW w:w="1740"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威宁彝族回族苗族自治县五里岗大道</w:t>
            </w:r>
          </w:p>
        </w:tc>
        <w:tc>
          <w:tcPr>
            <w:tcW w:w="1575"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贵州鼎鑫房地产开发有限责任公司</w:t>
            </w:r>
          </w:p>
        </w:tc>
        <w:tc>
          <w:tcPr>
            <w:tcW w:w="660" w:type="dxa"/>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住宅</w:t>
            </w:r>
          </w:p>
        </w:tc>
        <w:tc>
          <w:tcPr>
            <w:tcW w:w="1035" w:type="dxa"/>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108.42</w:t>
            </w:r>
          </w:p>
        </w:tc>
        <w:tc>
          <w:tcPr>
            <w:tcW w:w="697"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735" w:hRule="atLeast"/>
          <w:jc w:val="center"/>
        </w:trPr>
        <w:tc>
          <w:tcPr>
            <w:tcW w:w="710" w:type="dxa"/>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16</w:t>
            </w:r>
          </w:p>
        </w:tc>
        <w:tc>
          <w:tcPr>
            <w:tcW w:w="743"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w:t>
            </w:r>
          </w:p>
        </w:tc>
        <w:tc>
          <w:tcPr>
            <w:tcW w:w="1952"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北港兴城（一期）2、3、5栋（2）1单元15层4号</w:t>
            </w:r>
          </w:p>
        </w:tc>
        <w:tc>
          <w:tcPr>
            <w:tcW w:w="1740"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威宁彝族回族苗族自治县五里岗大道</w:t>
            </w:r>
          </w:p>
        </w:tc>
        <w:tc>
          <w:tcPr>
            <w:tcW w:w="1575"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贵州鼎鑫房地产开发有限责任公司</w:t>
            </w:r>
          </w:p>
        </w:tc>
        <w:tc>
          <w:tcPr>
            <w:tcW w:w="660" w:type="dxa"/>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住宅</w:t>
            </w:r>
          </w:p>
        </w:tc>
        <w:tc>
          <w:tcPr>
            <w:tcW w:w="1035" w:type="dxa"/>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147.89</w:t>
            </w:r>
          </w:p>
        </w:tc>
        <w:tc>
          <w:tcPr>
            <w:tcW w:w="697"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735" w:hRule="atLeast"/>
          <w:jc w:val="center"/>
        </w:trPr>
        <w:tc>
          <w:tcPr>
            <w:tcW w:w="710" w:type="dxa"/>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17</w:t>
            </w:r>
          </w:p>
        </w:tc>
        <w:tc>
          <w:tcPr>
            <w:tcW w:w="743"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w:t>
            </w:r>
          </w:p>
        </w:tc>
        <w:tc>
          <w:tcPr>
            <w:tcW w:w="1952"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北港兴城（一期）2、3、5栋（2）1单元16层1号</w:t>
            </w:r>
          </w:p>
        </w:tc>
        <w:tc>
          <w:tcPr>
            <w:tcW w:w="1740"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威宁彝族回族苗族自治县五里岗大道</w:t>
            </w:r>
          </w:p>
        </w:tc>
        <w:tc>
          <w:tcPr>
            <w:tcW w:w="1575"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贵州鼎鑫房地产开发有限责任公司</w:t>
            </w:r>
          </w:p>
        </w:tc>
        <w:tc>
          <w:tcPr>
            <w:tcW w:w="660" w:type="dxa"/>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住宅</w:t>
            </w:r>
          </w:p>
        </w:tc>
        <w:tc>
          <w:tcPr>
            <w:tcW w:w="1035" w:type="dxa"/>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147.29</w:t>
            </w:r>
          </w:p>
        </w:tc>
        <w:tc>
          <w:tcPr>
            <w:tcW w:w="697"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735" w:hRule="atLeast"/>
          <w:jc w:val="center"/>
        </w:trPr>
        <w:tc>
          <w:tcPr>
            <w:tcW w:w="710" w:type="dxa"/>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18</w:t>
            </w:r>
          </w:p>
        </w:tc>
        <w:tc>
          <w:tcPr>
            <w:tcW w:w="743"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w:t>
            </w:r>
          </w:p>
        </w:tc>
        <w:tc>
          <w:tcPr>
            <w:tcW w:w="1952"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北港兴城（一期）2、3、5栋（2）1单元16层2号</w:t>
            </w:r>
          </w:p>
        </w:tc>
        <w:tc>
          <w:tcPr>
            <w:tcW w:w="1740"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威宁彝族回族苗族自治县五里岗大道</w:t>
            </w:r>
          </w:p>
        </w:tc>
        <w:tc>
          <w:tcPr>
            <w:tcW w:w="1575"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贵州鼎鑫房地产开发有限责任公司</w:t>
            </w:r>
          </w:p>
        </w:tc>
        <w:tc>
          <w:tcPr>
            <w:tcW w:w="660" w:type="dxa"/>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住宅</w:t>
            </w:r>
          </w:p>
        </w:tc>
        <w:tc>
          <w:tcPr>
            <w:tcW w:w="1035" w:type="dxa"/>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108.42</w:t>
            </w:r>
          </w:p>
        </w:tc>
        <w:tc>
          <w:tcPr>
            <w:tcW w:w="697"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735" w:hRule="atLeast"/>
          <w:jc w:val="center"/>
        </w:trPr>
        <w:tc>
          <w:tcPr>
            <w:tcW w:w="710" w:type="dxa"/>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19</w:t>
            </w:r>
          </w:p>
        </w:tc>
        <w:tc>
          <w:tcPr>
            <w:tcW w:w="743"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w:t>
            </w:r>
          </w:p>
        </w:tc>
        <w:tc>
          <w:tcPr>
            <w:tcW w:w="1952"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北港兴城（一期）2、3、5栋（2）1单元16层3号</w:t>
            </w:r>
          </w:p>
        </w:tc>
        <w:tc>
          <w:tcPr>
            <w:tcW w:w="1740"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威宁彝族回族苗族自治县五里岗大道</w:t>
            </w:r>
          </w:p>
        </w:tc>
        <w:tc>
          <w:tcPr>
            <w:tcW w:w="1575"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贵州鼎鑫房地产开发有限责任公司</w:t>
            </w:r>
          </w:p>
        </w:tc>
        <w:tc>
          <w:tcPr>
            <w:tcW w:w="660" w:type="dxa"/>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住宅</w:t>
            </w:r>
          </w:p>
        </w:tc>
        <w:tc>
          <w:tcPr>
            <w:tcW w:w="1035" w:type="dxa"/>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108.42</w:t>
            </w:r>
          </w:p>
        </w:tc>
        <w:tc>
          <w:tcPr>
            <w:tcW w:w="697"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735" w:hRule="atLeast"/>
          <w:jc w:val="center"/>
        </w:trPr>
        <w:tc>
          <w:tcPr>
            <w:tcW w:w="710" w:type="dxa"/>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20</w:t>
            </w:r>
          </w:p>
        </w:tc>
        <w:tc>
          <w:tcPr>
            <w:tcW w:w="743"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w:t>
            </w:r>
          </w:p>
        </w:tc>
        <w:tc>
          <w:tcPr>
            <w:tcW w:w="1952"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北港兴城（一期）2、3、5栋（2）1单元16层4号</w:t>
            </w:r>
          </w:p>
        </w:tc>
        <w:tc>
          <w:tcPr>
            <w:tcW w:w="1740"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威宁彝族回族苗族自治县五里岗大道</w:t>
            </w:r>
          </w:p>
        </w:tc>
        <w:tc>
          <w:tcPr>
            <w:tcW w:w="1575"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贵州鼎鑫房地产开发有限责任公司</w:t>
            </w:r>
          </w:p>
        </w:tc>
        <w:tc>
          <w:tcPr>
            <w:tcW w:w="660" w:type="dxa"/>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住宅</w:t>
            </w:r>
          </w:p>
        </w:tc>
        <w:tc>
          <w:tcPr>
            <w:tcW w:w="1035" w:type="dxa"/>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147.89</w:t>
            </w:r>
          </w:p>
        </w:tc>
        <w:tc>
          <w:tcPr>
            <w:tcW w:w="697"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735" w:hRule="atLeast"/>
          <w:jc w:val="center"/>
        </w:trPr>
        <w:tc>
          <w:tcPr>
            <w:tcW w:w="710" w:type="dxa"/>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21</w:t>
            </w:r>
          </w:p>
        </w:tc>
        <w:tc>
          <w:tcPr>
            <w:tcW w:w="743"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w:t>
            </w:r>
          </w:p>
        </w:tc>
        <w:tc>
          <w:tcPr>
            <w:tcW w:w="1952"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北港兴城（一期）2、3、5栋（2）1单元17层1号</w:t>
            </w:r>
          </w:p>
        </w:tc>
        <w:tc>
          <w:tcPr>
            <w:tcW w:w="1740"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威宁彝族回族苗族自治县五里岗大道</w:t>
            </w:r>
          </w:p>
        </w:tc>
        <w:tc>
          <w:tcPr>
            <w:tcW w:w="1575"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贵州鼎鑫房地产开发有限责任公司</w:t>
            </w:r>
          </w:p>
        </w:tc>
        <w:tc>
          <w:tcPr>
            <w:tcW w:w="660" w:type="dxa"/>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住宅</w:t>
            </w:r>
          </w:p>
        </w:tc>
        <w:tc>
          <w:tcPr>
            <w:tcW w:w="1035" w:type="dxa"/>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147.29</w:t>
            </w:r>
          </w:p>
        </w:tc>
        <w:tc>
          <w:tcPr>
            <w:tcW w:w="697"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735" w:hRule="atLeast"/>
          <w:jc w:val="center"/>
        </w:trPr>
        <w:tc>
          <w:tcPr>
            <w:tcW w:w="710" w:type="dxa"/>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22</w:t>
            </w:r>
          </w:p>
        </w:tc>
        <w:tc>
          <w:tcPr>
            <w:tcW w:w="743"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w:t>
            </w:r>
          </w:p>
        </w:tc>
        <w:tc>
          <w:tcPr>
            <w:tcW w:w="1952"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北港兴城（一期）2、3、5栋（2）1单元17层2号</w:t>
            </w:r>
          </w:p>
        </w:tc>
        <w:tc>
          <w:tcPr>
            <w:tcW w:w="1740"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威宁彝族回族苗族自治县五里岗大道</w:t>
            </w:r>
          </w:p>
        </w:tc>
        <w:tc>
          <w:tcPr>
            <w:tcW w:w="1575"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贵州鼎鑫房地产开发有限责任公司</w:t>
            </w:r>
          </w:p>
        </w:tc>
        <w:tc>
          <w:tcPr>
            <w:tcW w:w="660" w:type="dxa"/>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住宅</w:t>
            </w:r>
          </w:p>
        </w:tc>
        <w:tc>
          <w:tcPr>
            <w:tcW w:w="1035" w:type="dxa"/>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108.42</w:t>
            </w:r>
          </w:p>
        </w:tc>
        <w:tc>
          <w:tcPr>
            <w:tcW w:w="697"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735" w:hRule="atLeast"/>
          <w:jc w:val="center"/>
        </w:trPr>
        <w:tc>
          <w:tcPr>
            <w:tcW w:w="710" w:type="dxa"/>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23</w:t>
            </w:r>
          </w:p>
        </w:tc>
        <w:tc>
          <w:tcPr>
            <w:tcW w:w="743"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w:t>
            </w:r>
          </w:p>
        </w:tc>
        <w:tc>
          <w:tcPr>
            <w:tcW w:w="1952"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北港兴城（一期）2、3、5栋（2）1单元17层3号</w:t>
            </w:r>
          </w:p>
        </w:tc>
        <w:tc>
          <w:tcPr>
            <w:tcW w:w="1740"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威宁彝族回族苗族自治县五里岗大道</w:t>
            </w:r>
          </w:p>
        </w:tc>
        <w:tc>
          <w:tcPr>
            <w:tcW w:w="1575"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贵州鼎鑫房地产开发有限责任公司</w:t>
            </w:r>
          </w:p>
        </w:tc>
        <w:tc>
          <w:tcPr>
            <w:tcW w:w="660" w:type="dxa"/>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住宅</w:t>
            </w:r>
          </w:p>
        </w:tc>
        <w:tc>
          <w:tcPr>
            <w:tcW w:w="1035" w:type="dxa"/>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108.42</w:t>
            </w:r>
          </w:p>
        </w:tc>
        <w:tc>
          <w:tcPr>
            <w:tcW w:w="697"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735" w:hRule="atLeast"/>
          <w:jc w:val="center"/>
        </w:trPr>
        <w:tc>
          <w:tcPr>
            <w:tcW w:w="710" w:type="dxa"/>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24</w:t>
            </w:r>
          </w:p>
        </w:tc>
        <w:tc>
          <w:tcPr>
            <w:tcW w:w="743"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w:t>
            </w:r>
          </w:p>
        </w:tc>
        <w:tc>
          <w:tcPr>
            <w:tcW w:w="1952"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北港兴城（一期）2、3、5栋（2）1单元17层4号</w:t>
            </w:r>
          </w:p>
        </w:tc>
        <w:tc>
          <w:tcPr>
            <w:tcW w:w="1740"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威宁彝族回族苗族自治县五里岗大道</w:t>
            </w:r>
          </w:p>
        </w:tc>
        <w:tc>
          <w:tcPr>
            <w:tcW w:w="1575"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贵州鼎鑫房地产开发有限责任公司</w:t>
            </w:r>
          </w:p>
        </w:tc>
        <w:tc>
          <w:tcPr>
            <w:tcW w:w="660" w:type="dxa"/>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住宅</w:t>
            </w:r>
          </w:p>
        </w:tc>
        <w:tc>
          <w:tcPr>
            <w:tcW w:w="1035" w:type="dxa"/>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147.89</w:t>
            </w:r>
          </w:p>
        </w:tc>
        <w:tc>
          <w:tcPr>
            <w:tcW w:w="697"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735" w:hRule="atLeast"/>
          <w:jc w:val="center"/>
        </w:trPr>
        <w:tc>
          <w:tcPr>
            <w:tcW w:w="710" w:type="dxa"/>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25</w:t>
            </w:r>
          </w:p>
        </w:tc>
        <w:tc>
          <w:tcPr>
            <w:tcW w:w="743"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w:t>
            </w:r>
          </w:p>
        </w:tc>
        <w:tc>
          <w:tcPr>
            <w:tcW w:w="1952"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北港兴城（一期）2、3、5栋（2）1单元18层1号</w:t>
            </w:r>
          </w:p>
        </w:tc>
        <w:tc>
          <w:tcPr>
            <w:tcW w:w="1740"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威宁彝族回族苗族自治县五里岗大道</w:t>
            </w:r>
          </w:p>
        </w:tc>
        <w:tc>
          <w:tcPr>
            <w:tcW w:w="1575"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贵州鼎鑫房地产开发有限责任公司</w:t>
            </w:r>
          </w:p>
        </w:tc>
        <w:tc>
          <w:tcPr>
            <w:tcW w:w="660" w:type="dxa"/>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住宅</w:t>
            </w:r>
          </w:p>
        </w:tc>
        <w:tc>
          <w:tcPr>
            <w:tcW w:w="1035" w:type="dxa"/>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147.29</w:t>
            </w:r>
          </w:p>
        </w:tc>
        <w:tc>
          <w:tcPr>
            <w:tcW w:w="697"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735" w:hRule="atLeast"/>
          <w:jc w:val="center"/>
        </w:trPr>
        <w:tc>
          <w:tcPr>
            <w:tcW w:w="710" w:type="dxa"/>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26</w:t>
            </w:r>
          </w:p>
        </w:tc>
        <w:tc>
          <w:tcPr>
            <w:tcW w:w="743"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w:t>
            </w:r>
          </w:p>
        </w:tc>
        <w:tc>
          <w:tcPr>
            <w:tcW w:w="1952"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北港兴城（一期）2、3、5栋（2）1单元18层2号</w:t>
            </w:r>
          </w:p>
        </w:tc>
        <w:tc>
          <w:tcPr>
            <w:tcW w:w="1740"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威宁彝族回族苗族自治县五里岗大道</w:t>
            </w:r>
          </w:p>
        </w:tc>
        <w:tc>
          <w:tcPr>
            <w:tcW w:w="1575"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贵州鼎鑫房地产开发有限责任公司</w:t>
            </w:r>
          </w:p>
        </w:tc>
        <w:tc>
          <w:tcPr>
            <w:tcW w:w="660" w:type="dxa"/>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住宅</w:t>
            </w:r>
          </w:p>
        </w:tc>
        <w:tc>
          <w:tcPr>
            <w:tcW w:w="1035" w:type="dxa"/>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108.42</w:t>
            </w:r>
          </w:p>
        </w:tc>
        <w:tc>
          <w:tcPr>
            <w:tcW w:w="697"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735" w:hRule="atLeast"/>
          <w:jc w:val="center"/>
        </w:trPr>
        <w:tc>
          <w:tcPr>
            <w:tcW w:w="710" w:type="dxa"/>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27</w:t>
            </w:r>
          </w:p>
        </w:tc>
        <w:tc>
          <w:tcPr>
            <w:tcW w:w="743"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w:t>
            </w:r>
          </w:p>
        </w:tc>
        <w:tc>
          <w:tcPr>
            <w:tcW w:w="1952"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北港兴城（一期）2、3、5栋（2）1单元18层3号</w:t>
            </w:r>
          </w:p>
        </w:tc>
        <w:tc>
          <w:tcPr>
            <w:tcW w:w="1740"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威宁彝族回族苗族自治县五里岗大道</w:t>
            </w:r>
          </w:p>
        </w:tc>
        <w:tc>
          <w:tcPr>
            <w:tcW w:w="1575"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贵州鼎鑫房地产开发有限责任公司</w:t>
            </w:r>
          </w:p>
        </w:tc>
        <w:tc>
          <w:tcPr>
            <w:tcW w:w="660" w:type="dxa"/>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住宅</w:t>
            </w:r>
          </w:p>
        </w:tc>
        <w:tc>
          <w:tcPr>
            <w:tcW w:w="1035" w:type="dxa"/>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108.42</w:t>
            </w:r>
          </w:p>
        </w:tc>
        <w:tc>
          <w:tcPr>
            <w:tcW w:w="697"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735" w:hRule="atLeast"/>
          <w:jc w:val="center"/>
        </w:trPr>
        <w:tc>
          <w:tcPr>
            <w:tcW w:w="710" w:type="dxa"/>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28</w:t>
            </w:r>
          </w:p>
        </w:tc>
        <w:tc>
          <w:tcPr>
            <w:tcW w:w="743"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w:t>
            </w:r>
          </w:p>
        </w:tc>
        <w:tc>
          <w:tcPr>
            <w:tcW w:w="1952"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北港兴城（一期）2、3、5栋（2）1单元18层4号</w:t>
            </w:r>
          </w:p>
        </w:tc>
        <w:tc>
          <w:tcPr>
            <w:tcW w:w="1740"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威宁彝族回族苗族自治县五里岗大道</w:t>
            </w:r>
          </w:p>
        </w:tc>
        <w:tc>
          <w:tcPr>
            <w:tcW w:w="1575"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贵州鼎鑫房地产开发有限责任公司</w:t>
            </w:r>
          </w:p>
        </w:tc>
        <w:tc>
          <w:tcPr>
            <w:tcW w:w="660" w:type="dxa"/>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住宅</w:t>
            </w:r>
          </w:p>
        </w:tc>
        <w:tc>
          <w:tcPr>
            <w:tcW w:w="1035" w:type="dxa"/>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147.89</w:t>
            </w:r>
          </w:p>
        </w:tc>
        <w:tc>
          <w:tcPr>
            <w:tcW w:w="697"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735" w:hRule="atLeast"/>
          <w:jc w:val="center"/>
        </w:trPr>
        <w:tc>
          <w:tcPr>
            <w:tcW w:w="710" w:type="dxa"/>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29</w:t>
            </w:r>
          </w:p>
        </w:tc>
        <w:tc>
          <w:tcPr>
            <w:tcW w:w="743"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w:t>
            </w:r>
          </w:p>
        </w:tc>
        <w:tc>
          <w:tcPr>
            <w:tcW w:w="1952"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北港兴城（一期）2、3、5栋（2）1单元19层1号</w:t>
            </w:r>
          </w:p>
        </w:tc>
        <w:tc>
          <w:tcPr>
            <w:tcW w:w="1740"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威宁彝族回族苗族自治县五里岗大道</w:t>
            </w:r>
          </w:p>
        </w:tc>
        <w:tc>
          <w:tcPr>
            <w:tcW w:w="1575"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贵州鼎鑫房地产开发有限责任公司</w:t>
            </w:r>
          </w:p>
        </w:tc>
        <w:tc>
          <w:tcPr>
            <w:tcW w:w="660" w:type="dxa"/>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住宅</w:t>
            </w:r>
          </w:p>
        </w:tc>
        <w:tc>
          <w:tcPr>
            <w:tcW w:w="1035" w:type="dxa"/>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147.29</w:t>
            </w:r>
          </w:p>
        </w:tc>
        <w:tc>
          <w:tcPr>
            <w:tcW w:w="697"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735" w:hRule="atLeast"/>
          <w:jc w:val="center"/>
        </w:trPr>
        <w:tc>
          <w:tcPr>
            <w:tcW w:w="710" w:type="dxa"/>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30</w:t>
            </w:r>
          </w:p>
        </w:tc>
        <w:tc>
          <w:tcPr>
            <w:tcW w:w="743"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w:t>
            </w:r>
          </w:p>
        </w:tc>
        <w:tc>
          <w:tcPr>
            <w:tcW w:w="1952"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北港兴城（一期）2、3、5栋（2）1单元19层2号</w:t>
            </w:r>
          </w:p>
        </w:tc>
        <w:tc>
          <w:tcPr>
            <w:tcW w:w="1740"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威宁彝族回族苗族自治县五里岗大道</w:t>
            </w:r>
          </w:p>
        </w:tc>
        <w:tc>
          <w:tcPr>
            <w:tcW w:w="1575"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贵州鼎鑫房地产开发有限责任公司</w:t>
            </w:r>
          </w:p>
        </w:tc>
        <w:tc>
          <w:tcPr>
            <w:tcW w:w="660" w:type="dxa"/>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住宅</w:t>
            </w:r>
          </w:p>
        </w:tc>
        <w:tc>
          <w:tcPr>
            <w:tcW w:w="1035" w:type="dxa"/>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108.42</w:t>
            </w:r>
          </w:p>
        </w:tc>
        <w:tc>
          <w:tcPr>
            <w:tcW w:w="697"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735" w:hRule="atLeast"/>
          <w:jc w:val="center"/>
        </w:trPr>
        <w:tc>
          <w:tcPr>
            <w:tcW w:w="710" w:type="dxa"/>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31</w:t>
            </w:r>
          </w:p>
        </w:tc>
        <w:tc>
          <w:tcPr>
            <w:tcW w:w="743"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w:t>
            </w:r>
          </w:p>
        </w:tc>
        <w:tc>
          <w:tcPr>
            <w:tcW w:w="1952"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北港兴城（一期）2、3、5栋（2）1单元19层3号</w:t>
            </w:r>
          </w:p>
        </w:tc>
        <w:tc>
          <w:tcPr>
            <w:tcW w:w="1740"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威宁彝族回族苗族自治县五里岗大道</w:t>
            </w:r>
          </w:p>
        </w:tc>
        <w:tc>
          <w:tcPr>
            <w:tcW w:w="1575"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贵州鼎鑫房地产开发有限责任公司</w:t>
            </w:r>
          </w:p>
        </w:tc>
        <w:tc>
          <w:tcPr>
            <w:tcW w:w="660" w:type="dxa"/>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住宅</w:t>
            </w:r>
          </w:p>
        </w:tc>
        <w:tc>
          <w:tcPr>
            <w:tcW w:w="1035" w:type="dxa"/>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108.42</w:t>
            </w:r>
          </w:p>
        </w:tc>
        <w:tc>
          <w:tcPr>
            <w:tcW w:w="697"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735" w:hRule="atLeast"/>
          <w:jc w:val="center"/>
        </w:trPr>
        <w:tc>
          <w:tcPr>
            <w:tcW w:w="710" w:type="dxa"/>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32</w:t>
            </w:r>
          </w:p>
        </w:tc>
        <w:tc>
          <w:tcPr>
            <w:tcW w:w="743"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w:t>
            </w:r>
          </w:p>
        </w:tc>
        <w:tc>
          <w:tcPr>
            <w:tcW w:w="1952"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北港兴城（一期）2、3、5栋（2）1单元19层4号</w:t>
            </w:r>
          </w:p>
        </w:tc>
        <w:tc>
          <w:tcPr>
            <w:tcW w:w="1740"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威宁彝族回族苗族自治县五里岗大道</w:t>
            </w:r>
          </w:p>
        </w:tc>
        <w:tc>
          <w:tcPr>
            <w:tcW w:w="1575"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贵州鼎鑫房地产开发有限责任公司</w:t>
            </w:r>
          </w:p>
        </w:tc>
        <w:tc>
          <w:tcPr>
            <w:tcW w:w="660" w:type="dxa"/>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住宅</w:t>
            </w:r>
          </w:p>
        </w:tc>
        <w:tc>
          <w:tcPr>
            <w:tcW w:w="1035" w:type="dxa"/>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147.89</w:t>
            </w:r>
          </w:p>
        </w:tc>
        <w:tc>
          <w:tcPr>
            <w:tcW w:w="697"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735" w:hRule="atLeast"/>
          <w:jc w:val="center"/>
        </w:trPr>
        <w:tc>
          <w:tcPr>
            <w:tcW w:w="710" w:type="dxa"/>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33</w:t>
            </w:r>
          </w:p>
        </w:tc>
        <w:tc>
          <w:tcPr>
            <w:tcW w:w="743"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w:t>
            </w:r>
          </w:p>
        </w:tc>
        <w:tc>
          <w:tcPr>
            <w:tcW w:w="1952"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北港兴城（一期）2、3、5栋（2）1单元20层1号</w:t>
            </w:r>
          </w:p>
        </w:tc>
        <w:tc>
          <w:tcPr>
            <w:tcW w:w="1740"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威宁彝族回族苗族自治县五里岗大道</w:t>
            </w:r>
          </w:p>
        </w:tc>
        <w:tc>
          <w:tcPr>
            <w:tcW w:w="1575"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贵州鼎鑫房地产开发有限责任公司</w:t>
            </w:r>
          </w:p>
        </w:tc>
        <w:tc>
          <w:tcPr>
            <w:tcW w:w="660" w:type="dxa"/>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住宅</w:t>
            </w:r>
          </w:p>
        </w:tc>
        <w:tc>
          <w:tcPr>
            <w:tcW w:w="1035" w:type="dxa"/>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147.29</w:t>
            </w:r>
          </w:p>
        </w:tc>
        <w:tc>
          <w:tcPr>
            <w:tcW w:w="697"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735" w:hRule="atLeast"/>
          <w:jc w:val="center"/>
        </w:trPr>
        <w:tc>
          <w:tcPr>
            <w:tcW w:w="710" w:type="dxa"/>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34</w:t>
            </w:r>
          </w:p>
        </w:tc>
        <w:tc>
          <w:tcPr>
            <w:tcW w:w="743"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w:t>
            </w:r>
          </w:p>
        </w:tc>
        <w:tc>
          <w:tcPr>
            <w:tcW w:w="1952"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北港兴城（一期）2、3、5栋（2）1单元20层2号</w:t>
            </w:r>
          </w:p>
        </w:tc>
        <w:tc>
          <w:tcPr>
            <w:tcW w:w="1740"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威宁彝族回族苗族自治县五里岗大道</w:t>
            </w:r>
          </w:p>
        </w:tc>
        <w:tc>
          <w:tcPr>
            <w:tcW w:w="1575"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贵州鼎鑫房地产开发有限责任公司</w:t>
            </w:r>
          </w:p>
        </w:tc>
        <w:tc>
          <w:tcPr>
            <w:tcW w:w="660" w:type="dxa"/>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住宅</w:t>
            </w:r>
          </w:p>
        </w:tc>
        <w:tc>
          <w:tcPr>
            <w:tcW w:w="1035" w:type="dxa"/>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108.42</w:t>
            </w:r>
          </w:p>
        </w:tc>
        <w:tc>
          <w:tcPr>
            <w:tcW w:w="697"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735" w:hRule="atLeast"/>
          <w:jc w:val="center"/>
        </w:trPr>
        <w:tc>
          <w:tcPr>
            <w:tcW w:w="710" w:type="dxa"/>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35</w:t>
            </w:r>
          </w:p>
        </w:tc>
        <w:tc>
          <w:tcPr>
            <w:tcW w:w="743"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w:t>
            </w:r>
          </w:p>
        </w:tc>
        <w:tc>
          <w:tcPr>
            <w:tcW w:w="1952"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北港兴城（一期）2、3、5栋（2）1单元20层3号</w:t>
            </w:r>
          </w:p>
        </w:tc>
        <w:tc>
          <w:tcPr>
            <w:tcW w:w="1740"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威宁彝族回族苗族自治县五里岗大道</w:t>
            </w:r>
          </w:p>
        </w:tc>
        <w:tc>
          <w:tcPr>
            <w:tcW w:w="1575"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贵州鼎鑫房地产开发有限责任公司</w:t>
            </w:r>
          </w:p>
        </w:tc>
        <w:tc>
          <w:tcPr>
            <w:tcW w:w="660" w:type="dxa"/>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住宅</w:t>
            </w:r>
          </w:p>
        </w:tc>
        <w:tc>
          <w:tcPr>
            <w:tcW w:w="1035" w:type="dxa"/>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108.42</w:t>
            </w:r>
          </w:p>
        </w:tc>
        <w:tc>
          <w:tcPr>
            <w:tcW w:w="697"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735" w:hRule="atLeast"/>
          <w:jc w:val="center"/>
        </w:trPr>
        <w:tc>
          <w:tcPr>
            <w:tcW w:w="710" w:type="dxa"/>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36</w:t>
            </w:r>
          </w:p>
        </w:tc>
        <w:tc>
          <w:tcPr>
            <w:tcW w:w="743"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w:t>
            </w:r>
          </w:p>
        </w:tc>
        <w:tc>
          <w:tcPr>
            <w:tcW w:w="1952"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北港兴城（一期）2、3、5栋（2）1单元20层4号</w:t>
            </w:r>
          </w:p>
        </w:tc>
        <w:tc>
          <w:tcPr>
            <w:tcW w:w="1740"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威宁彝族回族苗族自治县五里岗大道</w:t>
            </w:r>
          </w:p>
        </w:tc>
        <w:tc>
          <w:tcPr>
            <w:tcW w:w="1575"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贵州鼎鑫房地产开发有限责任公司</w:t>
            </w:r>
          </w:p>
        </w:tc>
        <w:tc>
          <w:tcPr>
            <w:tcW w:w="660" w:type="dxa"/>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住宅</w:t>
            </w:r>
          </w:p>
        </w:tc>
        <w:tc>
          <w:tcPr>
            <w:tcW w:w="1035" w:type="dxa"/>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147.89</w:t>
            </w:r>
          </w:p>
        </w:tc>
        <w:tc>
          <w:tcPr>
            <w:tcW w:w="697"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735" w:hRule="atLeast"/>
          <w:jc w:val="center"/>
        </w:trPr>
        <w:tc>
          <w:tcPr>
            <w:tcW w:w="710" w:type="dxa"/>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37</w:t>
            </w:r>
          </w:p>
        </w:tc>
        <w:tc>
          <w:tcPr>
            <w:tcW w:w="743"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w:t>
            </w:r>
          </w:p>
        </w:tc>
        <w:tc>
          <w:tcPr>
            <w:tcW w:w="1952"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北港兴城（一期）2、3、5栋（2）1单元21层1号</w:t>
            </w:r>
          </w:p>
        </w:tc>
        <w:tc>
          <w:tcPr>
            <w:tcW w:w="1740"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威宁彝族回族苗族自治县五里岗大道</w:t>
            </w:r>
          </w:p>
        </w:tc>
        <w:tc>
          <w:tcPr>
            <w:tcW w:w="1575"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贵州鼎鑫房地产开发有限责任公司</w:t>
            </w:r>
          </w:p>
        </w:tc>
        <w:tc>
          <w:tcPr>
            <w:tcW w:w="660" w:type="dxa"/>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住宅</w:t>
            </w:r>
          </w:p>
        </w:tc>
        <w:tc>
          <w:tcPr>
            <w:tcW w:w="1035" w:type="dxa"/>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147.29</w:t>
            </w:r>
          </w:p>
        </w:tc>
        <w:tc>
          <w:tcPr>
            <w:tcW w:w="697"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735" w:hRule="atLeast"/>
          <w:jc w:val="center"/>
        </w:trPr>
        <w:tc>
          <w:tcPr>
            <w:tcW w:w="710" w:type="dxa"/>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38</w:t>
            </w:r>
          </w:p>
        </w:tc>
        <w:tc>
          <w:tcPr>
            <w:tcW w:w="743"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w:t>
            </w:r>
          </w:p>
        </w:tc>
        <w:tc>
          <w:tcPr>
            <w:tcW w:w="1952"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北港兴城（一期）2、3、5栋（2）1单元21层2号</w:t>
            </w:r>
          </w:p>
        </w:tc>
        <w:tc>
          <w:tcPr>
            <w:tcW w:w="1740"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威宁彝族回族苗族自治县五里岗大道</w:t>
            </w:r>
          </w:p>
        </w:tc>
        <w:tc>
          <w:tcPr>
            <w:tcW w:w="1575"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贵州鼎鑫房地产开发有限责任公司</w:t>
            </w:r>
          </w:p>
        </w:tc>
        <w:tc>
          <w:tcPr>
            <w:tcW w:w="660" w:type="dxa"/>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住宅</w:t>
            </w:r>
          </w:p>
        </w:tc>
        <w:tc>
          <w:tcPr>
            <w:tcW w:w="1035" w:type="dxa"/>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108.42</w:t>
            </w:r>
          </w:p>
        </w:tc>
        <w:tc>
          <w:tcPr>
            <w:tcW w:w="697"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735" w:hRule="atLeast"/>
          <w:jc w:val="center"/>
        </w:trPr>
        <w:tc>
          <w:tcPr>
            <w:tcW w:w="710" w:type="dxa"/>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39</w:t>
            </w:r>
          </w:p>
        </w:tc>
        <w:tc>
          <w:tcPr>
            <w:tcW w:w="743"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w:t>
            </w:r>
          </w:p>
        </w:tc>
        <w:tc>
          <w:tcPr>
            <w:tcW w:w="1952"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北港兴城（一期）2、3、5栋（2）1单元21层3号</w:t>
            </w:r>
          </w:p>
        </w:tc>
        <w:tc>
          <w:tcPr>
            <w:tcW w:w="1740"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威宁彝族回族苗族自治县五里岗大道</w:t>
            </w:r>
          </w:p>
        </w:tc>
        <w:tc>
          <w:tcPr>
            <w:tcW w:w="1575"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贵州鼎鑫房地产开发有限责任公司</w:t>
            </w:r>
          </w:p>
        </w:tc>
        <w:tc>
          <w:tcPr>
            <w:tcW w:w="660" w:type="dxa"/>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住宅</w:t>
            </w:r>
          </w:p>
        </w:tc>
        <w:tc>
          <w:tcPr>
            <w:tcW w:w="1035" w:type="dxa"/>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108.42</w:t>
            </w:r>
          </w:p>
        </w:tc>
        <w:tc>
          <w:tcPr>
            <w:tcW w:w="697"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735" w:hRule="atLeast"/>
          <w:jc w:val="center"/>
        </w:trPr>
        <w:tc>
          <w:tcPr>
            <w:tcW w:w="710" w:type="dxa"/>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40</w:t>
            </w:r>
          </w:p>
        </w:tc>
        <w:tc>
          <w:tcPr>
            <w:tcW w:w="743"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w:t>
            </w:r>
          </w:p>
        </w:tc>
        <w:tc>
          <w:tcPr>
            <w:tcW w:w="1952"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北港兴城（一期）2、3、5栋（2）1单元21层4号</w:t>
            </w:r>
          </w:p>
        </w:tc>
        <w:tc>
          <w:tcPr>
            <w:tcW w:w="1740"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威宁彝族回族苗族自治县五里岗大道</w:t>
            </w:r>
          </w:p>
        </w:tc>
        <w:tc>
          <w:tcPr>
            <w:tcW w:w="1575"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贵州鼎鑫房地产开发有限责任公司</w:t>
            </w:r>
          </w:p>
        </w:tc>
        <w:tc>
          <w:tcPr>
            <w:tcW w:w="660" w:type="dxa"/>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住宅</w:t>
            </w:r>
          </w:p>
        </w:tc>
        <w:tc>
          <w:tcPr>
            <w:tcW w:w="1035" w:type="dxa"/>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147.89</w:t>
            </w:r>
          </w:p>
        </w:tc>
        <w:tc>
          <w:tcPr>
            <w:tcW w:w="697"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735" w:hRule="atLeast"/>
          <w:jc w:val="center"/>
        </w:trPr>
        <w:tc>
          <w:tcPr>
            <w:tcW w:w="710" w:type="dxa"/>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41</w:t>
            </w:r>
          </w:p>
        </w:tc>
        <w:tc>
          <w:tcPr>
            <w:tcW w:w="743"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w:t>
            </w:r>
          </w:p>
        </w:tc>
        <w:tc>
          <w:tcPr>
            <w:tcW w:w="1952"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北港兴城（一期）2、3、5栋（2）1单元22层1号</w:t>
            </w:r>
          </w:p>
        </w:tc>
        <w:tc>
          <w:tcPr>
            <w:tcW w:w="1740"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威宁彝族回族苗族自治县五里岗大道</w:t>
            </w:r>
          </w:p>
        </w:tc>
        <w:tc>
          <w:tcPr>
            <w:tcW w:w="1575"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贵州鼎鑫房地产开发有限责任公司</w:t>
            </w:r>
          </w:p>
        </w:tc>
        <w:tc>
          <w:tcPr>
            <w:tcW w:w="660" w:type="dxa"/>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住宅</w:t>
            </w:r>
          </w:p>
        </w:tc>
        <w:tc>
          <w:tcPr>
            <w:tcW w:w="1035" w:type="dxa"/>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147.29</w:t>
            </w:r>
          </w:p>
        </w:tc>
        <w:tc>
          <w:tcPr>
            <w:tcW w:w="697"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735" w:hRule="atLeast"/>
          <w:jc w:val="center"/>
        </w:trPr>
        <w:tc>
          <w:tcPr>
            <w:tcW w:w="710" w:type="dxa"/>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42</w:t>
            </w:r>
          </w:p>
        </w:tc>
        <w:tc>
          <w:tcPr>
            <w:tcW w:w="743"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w:t>
            </w:r>
          </w:p>
        </w:tc>
        <w:tc>
          <w:tcPr>
            <w:tcW w:w="1952"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北港兴城（一期）2、3、5栋（2）1单元22层2号</w:t>
            </w:r>
          </w:p>
        </w:tc>
        <w:tc>
          <w:tcPr>
            <w:tcW w:w="1740"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威宁彝族回族苗族自治县五里岗大道</w:t>
            </w:r>
          </w:p>
        </w:tc>
        <w:tc>
          <w:tcPr>
            <w:tcW w:w="1575"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贵州鼎鑫房地产开发有限责任公司</w:t>
            </w:r>
          </w:p>
        </w:tc>
        <w:tc>
          <w:tcPr>
            <w:tcW w:w="660" w:type="dxa"/>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住宅</w:t>
            </w:r>
          </w:p>
        </w:tc>
        <w:tc>
          <w:tcPr>
            <w:tcW w:w="1035" w:type="dxa"/>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108.42</w:t>
            </w:r>
          </w:p>
        </w:tc>
        <w:tc>
          <w:tcPr>
            <w:tcW w:w="697"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jc w:val="center"/>
        </w:trPr>
        <w:tc>
          <w:tcPr>
            <w:tcW w:w="710" w:type="dxa"/>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43</w:t>
            </w:r>
          </w:p>
        </w:tc>
        <w:tc>
          <w:tcPr>
            <w:tcW w:w="743"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w:t>
            </w:r>
          </w:p>
        </w:tc>
        <w:tc>
          <w:tcPr>
            <w:tcW w:w="1952"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北港兴城（一期）2、3、5栋（2）1单元22层3号</w:t>
            </w:r>
          </w:p>
        </w:tc>
        <w:tc>
          <w:tcPr>
            <w:tcW w:w="1740"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威宁彝族回族苗族自治县五里岗大道</w:t>
            </w:r>
          </w:p>
        </w:tc>
        <w:tc>
          <w:tcPr>
            <w:tcW w:w="1575"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贵州鼎鑫房地产开发有限责任公司</w:t>
            </w:r>
          </w:p>
        </w:tc>
        <w:tc>
          <w:tcPr>
            <w:tcW w:w="660" w:type="dxa"/>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住宅</w:t>
            </w:r>
          </w:p>
        </w:tc>
        <w:tc>
          <w:tcPr>
            <w:tcW w:w="1035" w:type="dxa"/>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108.42</w:t>
            </w:r>
          </w:p>
        </w:tc>
        <w:tc>
          <w:tcPr>
            <w:tcW w:w="697"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jc w:val="center"/>
        </w:trPr>
        <w:tc>
          <w:tcPr>
            <w:tcW w:w="710" w:type="dxa"/>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44</w:t>
            </w:r>
          </w:p>
        </w:tc>
        <w:tc>
          <w:tcPr>
            <w:tcW w:w="743"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w:t>
            </w:r>
          </w:p>
        </w:tc>
        <w:tc>
          <w:tcPr>
            <w:tcW w:w="1952"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北港兴城（一期）2、3、5栋（2）1单元22层4号</w:t>
            </w:r>
          </w:p>
        </w:tc>
        <w:tc>
          <w:tcPr>
            <w:tcW w:w="1740"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威宁彝族回族苗族自治县五里岗大道</w:t>
            </w:r>
          </w:p>
        </w:tc>
        <w:tc>
          <w:tcPr>
            <w:tcW w:w="1575"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贵州鼎鑫房地产开发有限责任公司</w:t>
            </w:r>
          </w:p>
        </w:tc>
        <w:tc>
          <w:tcPr>
            <w:tcW w:w="660" w:type="dxa"/>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住宅</w:t>
            </w:r>
          </w:p>
        </w:tc>
        <w:tc>
          <w:tcPr>
            <w:tcW w:w="1035" w:type="dxa"/>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147.89</w:t>
            </w:r>
          </w:p>
        </w:tc>
        <w:tc>
          <w:tcPr>
            <w:tcW w:w="697"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p>
        </w:tc>
      </w:tr>
    </w:tbl>
    <w:p>
      <w:pPr>
        <w:pStyle w:val="27"/>
        <w:autoSpaceDE/>
        <w:autoSpaceDN/>
        <w:adjustRightInd/>
        <w:spacing w:before="156" w:beforeLines="50" w:after="156" w:afterLines="50" w:line="360" w:lineRule="auto"/>
        <w:ind w:firstLine="560" w:firstLineChars="200"/>
        <w:jc w:val="both"/>
        <w:textAlignment w:val="auto"/>
        <w:rPr>
          <w:rFonts w:hint="eastAsia" w:hAnsi="宋体"/>
          <w:sz w:val="28"/>
          <w:szCs w:val="28"/>
          <w:lang w:val="en-US" w:eastAsia="zh-CN"/>
        </w:rPr>
      </w:pPr>
      <w:r>
        <w:rPr>
          <w:rFonts w:hint="eastAsia" w:hAnsi="宋体"/>
          <w:szCs w:val="28"/>
          <w:lang w:eastAsia="zh-CN"/>
        </w:rPr>
        <w:t>估价对象</w:t>
      </w:r>
      <w:r>
        <w:rPr>
          <w:rFonts w:hint="eastAsia" w:hAnsi="宋体"/>
          <w:szCs w:val="28"/>
          <w:lang w:val="en-US" w:eastAsia="zh-CN"/>
        </w:rPr>
        <w:t>财产</w:t>
      </w:r>
      <w:r>
        <w:rPr>
          <w:rFonts w:hint="eastAsia" w:hAnsi="宋体"/>
          <w:szCs w:val="28"/>
          <w:lang w:eastAsia="zh-CN"/>
        </w:rPr>
        <w:t>范围包含房屋</w:t>
      </w:r>
      <w:r>
        <w:rPr>
          <w:rFonts w:hint="eastAsia" w:hAnsi="宋体"/>
          <w:szCs w:val="28"/>
          <w:lang w:val="en-US" w:eastAsia="zh-CN"/>
        </w:rPr>
        <w:t>所有</w:t>
      </w:r>
      <w:r>
        <w:rPr>
          <w:rFonts w:hint="eastAsia" w:hAnsi="宋体"/>
          <w:szCs w:val="28"/>
          <w:lang w:eastAsia="zh-CN"/>
        </w:rPr>
        <w:t>权及其对应分摊的国有建设用地使用权价值、室内装饰装修价值，但不包含</w:t>
      </w:r>
      <w:r>
        <w:rPr>
          <w:rFonts w:hint="eastAsia" w:ascii="Times New Roman" w:hAnsi="Times New Roman" w:eastAsia="宋体" w:cs="Times New Roman"/>
          <w:bCs/>
          <w:szCs w:val="28"/>
          <w:lang w:val="en-US" w:eastAsia="zh-CN"/>
        </w:rPr>
        <w:t>室内动产、债权债务等价值</w:t>
      </w:r>
      <w:r>
        <w:rPr>
          <w:rFonts w:hint="eastAsia" w:hAnsi="宋体"/>
          <w:szCs w:val="28"/>
          <w:lang w:eastAsia="zh-CN"/>
        </w:rPr>
        <w:t>。</w:t>
      </w:r>
    </w:p>
    <w:p>
      <w:pPr>
        <w:pStyle w:val="27"/>
        <w:autoSpaceDE/>
        <w:autoSpaceDN/>
        <w:adjustRightInd/>
        <w:spacing w:before="156" w:beforeLines="50" w:after="156" w:afterLines="50" w:line="360" w:lineRule="auto"/>
        <w:ind w:firstLine="562" w:firstLineChars="200"/>
        <w:jc w:val="both"/>
        <w:textAlignment w:val="auto"/>
        <w:rPr>
          <w:rFonts w:ascii="Times New Roman" w:hAnsi="Times New Roman" w:eastAsia="宋体" w:cs="Times New Roman"/>
          <w:bCs/>
          <w:szCs w:val="28"/>
        </w:rPr>
      </w:pPr>
      <w:r>
        <w:rPr>
          <w:rFonts w:hint="eastAsia" w:ascii="Times New Roman" w:hAnsi="Times New Roman" w:eastAsia="宋体" w:cs="Times New Roman"/>
          <w:b/>
          <w:szCs w:val="28"/>
        </w:rPr>
        <w:t>价值时点：</w:t>
      </w:r>
      <w:r>
        <w:rPr>
          <w:rFonts w:hint="eastAsia" w:ascii="Times New Roman" w:hAnsi="Times New Roman" w:eastAsia="宋体" w:cs="Times New Roman"/>
          <w:bCs/>
          <w:szCs w:val="28"/>
        </w:rPr>
        <w:t>价值时点为</w:t>
      </w:r>
      <w:r>
        <w:rPr>
          <w:rFonts w:hint="eastAsia" w:ascii="Times New Roman" w:hAnsi="Times New Roman" w:eastAsia="宋体" w:cs="Times New Roman"/>
          <w:bCs/>
          <w:szCs w:val="28"/>
          <w:lang w:eastAsia="zh-CN"/>
        </w:rPr>
        <w:t>2022年7月7日</w:t>
      </w:r>
      <w:r>
        <w:rPr>
          <w:rFonts w:hint="eastAsia" w:ascii="Times New Roman" w:hAnsi="Times New Roman" w:eastAsia="宋体" w:cs="Times New Roman"/>
          <w:bCs/>
          <w:szCs w:val="28"/>
        </w:rPr>
        <w:t>，系</w:t>
      </w:r>
      <w:r>
        <w:rPr>
          <w:rFonts w:hint="eastAsia" w:ascii="Times New Roman" w:hAnsi="Times New Roman" w:eastAsia="宋体" w:cs="Times New Roman"/>
          <w:bCs/>
          <w:szCs w:val="28"/>
          <w:lang w:val="en-US" w:eastAsia="zh-CN"/>
        </w:rPr>
        <w:t>注册房地产估价师</w:t>
      </w:r>
      <w:r>
        <w:rPr>
          <w:rFonts w:hint="eastAsia" w:ascii="Times New Roman" w:hAnsi="Times New Roman" w:eastAsia="宋体" w:cs="Times New Roman"/>
          <w:bCs/>
          <w:szCs w:val="28"/>
        </w:rPr>
        <w:t>现场查勘之日。</w:t>
      </w:r>
    </w:p>
    <w:p>
      <w:pPr>
        <w:ind w:firstLine="560"/>
      </w:pPr>
      <w:r>
        <w:rPr>
          <w:rFonts w:hint="eastAsia" w:ascii="Times New Roman" w:hAnsi="Times New Roman" w:eastAsia="宋体" w:cs="Times New Roman"/>
          <w:b/>
          <w:szCs w:val="28"/>
        </w:rPr>
        <w:t>价值类型：</w:t>
      </w:r>
      <w:r>
        <w:rPr>
          <w:rFonts w:hint="eastAsia"/>
        </w:rPr>
        <w:t>本报告书提供的房地产价值是满足本报告假设限制条件下于价值时点的房地产市场价值。</w:t>
      </w:r>
    </w:p>
    <w:p>
      <w:pPr>
        <w:ind w:firstLine="560"/>
        <w:rPr>
          <w:rFonts w:hint="eastAsia" w:ascii="Times New Roman" w:hAnsi="Times New Roman" w:eastAsia="宋体" w:cs="Times New Roman"/>
          <w:bCs/>
          <w:szCs w:val="28"/>
          <w:lang w:eastAsia="zh-CN"/>
        </w:rPr>
      </w:pPr>
      <w:r>
        <w:rPr>
          <w:rFonts w:hint="eastAsia"/>
        </w:rPr>
        <w:t>市场价值是指估价对象经适当营销后，由熟悉情况、谨慎行事且不受强迫的交易双方，以公平交易方式在价值时点自愿进行交易的金额。</w:t>
      </w:r>
    </w:p>
    <w:p>
      <w:pPr>
        <w:pStyle w:val="27"/>
        <w:autoSpaceDE/>
        <w:autoSpaceDN/>
        <w:adjustRightInd/>
        <w:spacing w:before="156" w:beforeLines="50" w:after="156" w:afterLines="50" w:line="360" w:lineRule="auto"/>
        <w:ind w:firstLine="562" w:firstLineChars="200"/>
        <w:jc w:val="both"/>
        <w:textAlignment w:val="auto"/>
        <w:rPr>
          <w:rFonts w:hint="eastAsia" w:ascii="Times New Roman" w:hAnsi="Times New Roman" w:eastAsia="宋体" w:cs="Times New Roman"/>
          <w:bCs/>
          <w:szCs w:val="28"/>
          <w:lang w:eastAsia="zh-CN"/>
        </w:rPr>
      </w:pPr>
      <w:r>
        <w:rPr>
          <w:rFonts w:hint="eastAsia" w:ascii="Times New Roman" w:hAnsi="Times New Roman" w:eastAsia="宋体" w:cs="Times New Roman"/>
          <w:b/>
          <w:szCs w:val="28"/>
        </w:rPr>
        <w:t>估价方法：</w:t>
      </w:r>
      <w:r>
        <w:rPr>
          <w:rFonts w:hint="eastAsia" w:ascii="Times New Roman" w:hAnsi="Times New Roman" w:eastAsia="宋体" w:cs="Times New Roman"/>
          <w:bCs/>
          <w:szCs w:val="28"/>
          <w:lang w:val="en-US" w:eastAsia="zh-CN"/>
        </w:rPr>
        <w:t>比较法</w:t>
      </w:r>
    </w:p>
    <w:p>
      <w:pPr>
        <w:pStyle w:val="27"/>
        <w:spacing w:before="156" w:beforeLines="50" w:after="156" w:afterLines="50" w:line="360" w:lineRule="auto"/>
        <w:ind w:firstLine="562" w:firstLineChars="200"/>
        <w:jc w:val="left"/>
        <w:rPr>
          <w:rFonts w:hint="eastAsia" w:hAnsi="宋体" w:eastAsia="宋体" w:cs="Times New Roman"/>
          <w:b/>
          <w:bCs w:val="0"/>
          <w:sz w:val="28"/>
          <w:szCs w:val="28"/>
          <w:lang w:val="en-US" w:eastAsia="zh-CN"/>
        </w:rPr>
      </w:pPr>
      <w:r>
        <w:rPr>
          <w:rFonts w:hint="eastAsia" w:ascii="Times New Roman" w:hAnsi="Times New Roman" w:eastAsia="宋体" w:cs="Times New Roman"/>
          <w:b/>
          <w:szCs w:val="28"/>
        </w:rPr>
        <w:t>估价结果：</w:t>
      </w:r>
      <w:r>
        <w:rPr>
          <w:rFonts w:hint="eastAsia" w:ascii="Times New Roman" w:hAnsi="Times New Roman" w:eastAsia="宋体" w:cs="Times New Roman"/>
          <w:bCs/>
          <w:szCs w:val="28"/>
        </w:rPr>
        <w:t>我公司估价人员经过实地查勘和市场调查，遵照《中华人民共和国房地产管理法》及国家标准《房地产估价规范》等法律法规和技术标准，遵循估价原则，按照估价工作程序，采用</w:t>
      </w:r>
      <w:r>
        <w:rPr>
          <w:rFonts w:hint="eastAsia" w:ascii="Times New Roman" w:hAnsi="Times New Roman" w:eastAsia="宋体" w:cs="Times New Roman"/>
          <w:bCs/>
          <w:szCs w:val="28"/>
          <w:lang w:val="en-US" w:eastAsia="zh-CN"/>
        </w:rPr>
        <w:t>适当的估价方法</w:t>
      </w:r>
      <w:r>
        <w:rPr>
          <w:rFonts w:hint="eastAsia" w:ascii="Times New Roman" w:hAnsi="Times New Roman" w:eastAsia="宋体" w:cs="Times New Roman"/>
          <w:bCs/>
          <w:szCs w:val="28"/>
        </w:rPr>
        <w:t>对估价对象进行了全面细致的测算，并结合估价经验和对影响价值因素的分析，在满足本次估价的假设和限制条件下，确定估价对象于价值时点的</w:t>
      </w:r>
      <w:r>
        <w:rPr>
          <w:rFonts w:hint="eastAsia" w:ascii="Times New Roman" w:hAnsi="Times New Roman" w:eastAsia="宋体" w:cs="Times New Roman"/>
          <w:bCs/>
          <w:szCs w:val="28"/>
          <w:lang w:val="en-US" w:eastAsia="zh-CN"/>
        </w:rPr>
        <w:t>市场价值</w:t>
      </w:r>
      <w:r>
        <w:rPr>
          <w:rFonts w:hint="eastAsia" w:ascii="Times New Roman" w:hAnsi="Times New Roman" w:eastAsia="宋体" w:cs="Times New Roman"/>
          <w:bCs/>
          <w:szCs w:val="28"/>
        </w:rPr>
        <w:t>为人民币（大写）：</w:t>
      </w:r>
      <w:r>
        <w:rPr>
          <w:rFonts w:hint="eastAsia" w:hAnsi="宋体" w:eastAsia="宋体" w:cs="Times New Roman"/>
          <w:b/>
          <w:bCs w:val="0"/>
          <w:sz w:val="28"/>
          <w:szCs w:val="28"/>
          <w:lang w:val="en-US" w:eastAsia="zh-CN"/>
        </w:rPr>
        <w:fldChar w:fldCharType="begin"/>
      </w:r>
      <w:r>
        <w:rPr>
          <w:rFonts w:hint="eastAsia" w:hAnsi="宋体" w:eastAsia="宋体" w:cs="Times New Roman"/>
          <w:b/>
          <w:bCs w:val="0"/>
          <w:sz w:val="28"/>
          <w:szCs w:val="28"/>
          <w:lang w:val="en-US" w:eastAsia="zh-CN"/>
        </w:rPr>
        <w:instrText xml:space="preserve"> = 18360524 \* CHINESENUM2 \* MERGEFORMAT </w:instrText>
      </w:r>
      <w:r>
        <w:rPr>
          <w:rFonts w:hint="eastAsia" w:hAnsi="宋体" w:eastAsia="宋体" w:cs="Times New Roman"/>
          <w:b/>
          <w:bCs w:val="0"/>
          <w:sz w:val="28"/>
          <w:szCs w:val="28"/>
          <w:lang w:val="en-US" w:eastAsia="zh-CN"/>
        </w:rPr>
        <w:fldChar w:fldCharType="separate"/>
      </w:r>
      <w:r>
        <w:rPr>
          <w:rFonts w:hint="default" w:hAnsi="宋体" w:eastAsia="宋体" w:cs="Times New Roman"/>
          <w:b/>
          <w:bCs w:val="0"/>
          <w:sz w:val="28"/>
          <w:szCs w:val="28"/>
          <w:lang w:val="en-US" w:eastAsia="zh-CN"/>
        </w:rPr>
        <w:t>壹仟捌佰叁拾陆万零伍佰贰拾肆</w:t>
      </w:r>
      <w:r>
        <w:rPr>
          <w:rFonts w:hint="eastAsia" w:hAnsi="宋体" w:eastAsia="宋体" w:cs="Times New Roman"/>
          <w:b/>
          <w:bCs w:val="0"/>
          <w:sz w:val="28"/>
          <w:szCs w:val="28"/>
          <w:lang w:val="en-US" w:eastAsia="zh-CN"/>
        </w:rPr>
        <w:fldChar w:fldCharType="end"/>
      </w:r>
      <w:r>
        <w:rPr>
          <w:rFonts w:hint="eastAsia" w:hAnsi="宋体" w:eastAsia="宋体" w:cs="Times New Roman"/>
          <w:b/>
          <w:bCs w:val="0"/>
          <w:sz w:val="28"/>
          <w:szCs w:val="28"/>
          <w:lang w:val="en-US" w:eastAsia="zh-CN"/>
        </w:rPr>
        <w:t>元（</w:t>
      </w:r>
      <w:r>
        <w:rPr>
          <w:rFonts w:hint="default" w:hAnsi="宋体" w:eastAsia="宋体" w:cs="Times New Roman"/>
          <w:b/>
          <w:bCs w:val="0"/>
          <w:sz w:val="28"/>
          <w:szCs w:val="28"/>
          <w:lang w:val="en-US" w:eastAsia="zh-CN"/>
        </w:rPr>
        <w:t xml:space="preserve"> 18,360,524.00 </w:t>
      </w:r>
      <w:r>
        <w:rPr>
          <w:rFonts w:hint="eastAsia" w:hAnsi="宋体" w:eastAsia="宋体" w:cs="Times New Roman"/>
          <w:b/>
          <w:bCs w:val="0"/>
          <w:sz w:val="28"/>
          <w:szCs w:val="28"/>
          <w:lang w:val="en-US" w:eastAsia="zh-CN"/>
        </w:rPr>
        <w:t>元），详见下表：</w:t>
      </w:r>
    </w:p>
    <w:tbl>
      <w:tblPr>
        <w:tblStyle w:val="17"/>
        <w:tblW w:w="939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705"/>
        <w:gridCol w:w="2610"/>
        <w:gridCol w:w="810"/>
        <w:gridCol w:w="773"/>
        <w:gridCol w:w="1096"/>
        <w:gridCol w:w="1236"/>
        <w:gridCol w:w="1629"/>
        <w:gridCol w:w="5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47" w:hRule="atLeast"/>
          <w:jc w:val="center"/>
        </w:trPr>
        <w:tc>
          <w:tcPr>
            <w:tcW w:w="9392" w:type="dxa"/>
            <w:gridSpan w:val="8"/>
            <w:shd w:val="clear" w:color="auto" w:fill="auto"/>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1"/>
                <w:szCs w:val="21"/>
                <w:u w:val="none"/>
              </w:rPr>
            </w:pPr>
            <w:r>
              <w:rPr>
                <w:rFonts w:hint="eastAsia" w:ascii="仿宋" w:hAnsi="仿宋" w:eastAsia="仿宋" w:cs="仿宋"/>
                <w:b/>
                <w:bCs/>
                <w:i w:val="0"/>
                <w:iCs w:val="0"/>
                <w:color w:val="000000"/>
                <w:kern w:val="0"/>
                <w:sz w:val="21"/>
                <w:szCs w:val="21"/>
                <w:u w:val="none"/>
                <w:lang w:val="en-US" w:eastAsia="zh-CN" w:bidi="ar"/>
              </w:rPr>
              <w:t>估价结果一览表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12" w:hRule="atLeast"/>
          <w:jc w:val="center"/>
        </w:trPr>
        <w:tc>
          <w:tcPr>
            <w:tcW w:w="705" w:type="dxa"/>
            <w:vMerge w:val="restart"/>
            <w:shd w:val="clear" w:color="auto" w:fill="auto"/>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1"/>
                <w:szCs w:val="21"/>
                <w:u w:val="none"/>
              </w:rPr>
            </w:pPr>
            <w:r>
              <w:rPr>
                <w:rFonts w:hint="eastAsia" w:ascii="仿宋" w:hAnsi="仿宋" w:eastAsia="仿宋" w:cs="仿宋"/>
                <w:b/>
                <w:bCs/>
                <w:i w:val="0"/>
                <w:iCs w:val="0"/>
                <w:color w:val="000000"/>
                <w:kern w:val="0"/>
                <w:sz w:val="21"/>
                <w:szCs w:val="21"/>
                <w:u w:val="none"/>
                <w:lang w:val="en-US" w:eastAsia="zh-CN" w:bidi="ar"/>
              </w:rPr>
              <w:t>序号</w:t>
            </w:r>
          </w:p>
        </w:tc>
        <w:tc>
          <w:tcPr>
            <w:tcW w:w="2610" w:type="dxa"/>
            <w:vMerge w:val="restart"/>
            <w:shd w:val="clear" w:color="auto" w:fill="auto"/>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1"/>
                <w:szCs w:val="21"/>
                <w:u w:val="none"/>
              </w:rPr>
            </w:pPr>
            <w:r>
              <w:rPr>
                <w:rFonts w:hint="eastAsia" w:ascii="仿宋" w:hAnsi="仿宋" w:eastAsia="仿宋" w:cs="仿宋"/>
                <w:b/>
                <w:bCs/>
                <w:i w:val="0"/>
                <w:iCs w:val="0"/>
                <w:color w:val="000000"/>
                <w:kern w:val="0"/>
                <w:sz w:val="21"/>
                <w:szCs w:val="21"/>
                <w:u w:val="none"/>
                <w:lang w:val="en-US" w:eastAsia="zh-CN" w:bidi="ar"/>
              </w:rPr>
              <w:t>建筑物名称</w:t>
            </w:r>
          </w:p>
        </w:tc>
        <w:tc>
          <w:tcPr>
            <w:tcW w:w="810" w:type="dxa"/>
            <w:vMerge w:val="restart"/>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1"/>
                <w:szCs w:val="21"/>
                <w:u w:val="none"/>
              </w:rPr>
            </w:pPr>
            <w:r>
              <w:rPr>
                <w:rFonts w:hint="eastAsia" w:ascii="仿宋" w:hAnsi="仿宋" w:eastAsia="仿宋" w:cs="仿宋"/>
                <w:b/>
                <w:bCs/>
                <w:i w:val="0"/>
                <w:iCs w:val="0"/>
                <w:color w:val="000000"/>
                <w:kern w:val="0"/>
                <w:sz w:val="21"/>
                <w:szCs w:val="21"/>
                <w:u w:val="none"/>
                <w:lang w:val="en-US" w:eastAsia="zh-CN" w:bidi="ar"/>
              </w:rPr>
              <w:t>用途</w:t>
            </w:r>
          </w:p>
        </w:tc>
        <w:tc>
          <w:tcPr>
            <w:tcW w:w="773" w:type="dxa"/>
            <w:vMerge w:val="restart"/>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1"/>
                <w:szCs w:val="21"/>
                <w:u w:val="none"/>
              </w:rPr>
            </w:pPr>
            <w:r>
              <w:rPr>
                <w:rFonts w:hint="eastAsia" w:ascii="仿宋" w:hAnsi="仿宋" w:eastAsia="仿宋" w:cs="仿宋"/>
                <w:b/>
                <w:bCs/>
                <w:i w:val="0"/>
                <w:iCs w:val="0"/>
                <w:color w:val="000000"/>
                <w:kern w:val="0"/>
                <w:sz w:val="21"/>
                <w:szCs w:val="21"/>
                <w:u w:val="none"/>
                <w:lang w:val="en-US" w:eastAsia="zh-CN" w:bidi="ar"/>
              </w:rPr>
              <w:t>计量单位</w:t>
            </w:r>
          </w:p>
        </w:tc>
        <w:tc>
          <w:tcPr>
            <w:tcW w:w="1096" w:type="dxa"/>
            <w:vMerge w:val="restart"/>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1"/>
                <w:szCs w:val="21"/>
                <w:u w:val="none"/>
              </w:rPr>
            </w:pPr>
            <w:r>
              <w:rPr>
                <w:rFonts w:hint="eastAsia" w:ascii="仿宋" w:hAnsi="仿宋" w:eastAsia="仿宋" w:cs="仿宋"/>
                <w:b/>
                <w:bCs/>
                <w:i w:val="0"/>
                <w:iCs w:val="0"/>
                <w:color w:val="000000"/>
                <w:kern w:val="0"/>
                <w:sz w:val="21"/>
                <w:szCs w:val="21"/>
                <w:u w:val="none"/>
                <w:lang w:val="en-US" w:eastAsia="zh-CN" w:bidi="ar"/>
              </w:rPr>
              <w:t>建筑面积m</w:t>
            </w:r>
            <w:r>
              <w:rPr>
                <w:rFonts w:hint="eastAsia" w:ascii="仿宋" w:hAnsi="仿宋" w:eastAsia="仿宋" w:cs="仿宋"/>
                <w:b/>
                <w:bCs/>
                <w:i w:val="0"/>
                <w:iCs w:val="0"/>
                <w:color w:val="000000"/>
                <w:kern w:val="0"/>
                <w:sz w:val="21"/>
                <w:szCs w:val="21"/>
                <w:u w:val="none"/>
                <w:vertAlign w:val="superscript"/>
                <w:lang w:val="en-US" w:eastAsia="zh-CN" w:bidi="ar"/>
              </w:rPr>
              <w:t>2</w:t>
            </w:r>
          </w:p>
        </w:tc>
        <w:tc>
          <w:tcPr>
            <w:tcW w:w="1236" w:type="dxa"/>
            <w:vMerge w:val="restart"/>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1"/>
                <w:szCs w:val="21"/>
                <w:u w:val="none"/>
              </w:rPr>
            </w:pPr>
            <w:r>
              <w:rPr>
                <w:rFonts w:hint="eastAsia" w:ascii="仿宋" w:hAnsi="仿宋" w:eastAsia="仿宋" w:cs="仿宋"/>
                <w:b/>
                <w:bCs/>
                <w:i w:val="0"/>
                <w:iCs w:val="0"/>
                <w:color w:val="000000"/>
                <w:kern w:val="0"/>
                <w:sz w:val="21"/>
                <w:szCs w:val="21"/>
                <w:u w:val="none"/>
                <w:lang w:val="en-US" w:eastAsia="zh-CN" w:bidi="ar"/>
              </w:rPr>
              <w:t>评估单价(元/m</w:t>
            </w:r>
            <w:r>
              <w:rPr>
                <w:rFonts w:hint="eastAsia" w:ascii="仿宋" w:hAnsi="仿宋" w:eastAsia="仿宋" w:cs="仿宋"/>
                <w:b/>
                <w:bCs/>
                <w:i w:val="0"/>
                <w:iCs w:val="0"/>
                <w:color w:val="000000"/>
                <w:kern w:val="0"/>
                <w:sz w:val="21"/>
                <w:szCs w:val="21"/>
                <w:u w:val="none"/>
                <w:vertAlign w:val="superscript"/>
                <w:lang w:val="en-US" w:eastAsia="zh-CN" w:bidi="ar"/>
              </w:rPr>
              <w:t>2</w:t>
            </w:r>
            <w:r>
              <w:rPr>
                <w:rFonts w:hint="eastAsia" w:ascii="仿宋" w:hAnsi="仿宋" w:eastAsia="仿宋" w:cs="仿宋"/>
                <w:b/>
                <w:bCs/>
                <w:i w:val="0"/>
                <w:iCs w:val="0"/>
                <w:color w:val="000000"/>
                <w:kern w:val="0"/>
                <w:sz w:val="21"/>
                <w:szCs w:val="21"/>
                <w:u w:val="none"/>
                <w:lang w:val="en-US" w:eastAsia="zh-CN" w:bidi="ar"/>
              </w:rPr>
              <w:t>)</w:t>
            </w:r>
          </w:p>
        </w:tc>
        <w:tc>
          <w:tcPr>
            <w:tcW w:w="1629" w:type="dxa"/>
            <w:vMerge w:val="restart"/>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1"/>
                <w:szCs w:val="21"/>
                <w:u w:val="none"/>
              </w:rPr>
            </w:pPr>
            <w:r>
              <w:rPr>
                <w:rFonts w:hint="eastAsia" w:ascii="仿宋" w:hAnsi="仿宋" w:eastAsia="仿宋" w:cs="仿宋"/>
                <w:b/>
                <w:bCs/>
                <w:i w:val="0"/>
                <w:iCs w:val="0"/>
                <w:color w:val="000000"/>
                <w:kern w:val="0"/>
                <w:sz w:val="21"/>
                <w:szCs w:val="21"/>
                <w:u w:val="none"/>
                <w:lang w:val="en-US" w:eastAsia="zh-CN" w:bidi="ar"/>
              </w:rPr>
              <w:t>评估总价(元)</w:t>
            </w:r>
          </w:p>
        </w:tc>
        <w:tc>
          <w:tcPr>
            <w:tcW w:w="533" w:type="dxa"/>
            <w:vMerge w:val="restart"/>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1"/>
                <w:szCs w:val="21"/>
                <w:u w:val="none"/>
              </w:rPr>
            </w:pPr>
            <w:r>
              <w:rPr>
                <w:rFonts w:hint="eastAsia" w:ascii="仿宋" w:hAnsi="仿宋" w:eastAsia="仿宋" w:cs="仿宋"/>
                <w:b/>
                <w:bCs/>
                <w:i w:val="0"/>
                <w:iCs w:val="0"/>
                <w:color w:val="000000"/>
                <w:kern w:val="0"/>
                <w:sz w:val="21"/>
                <w:szCs w:val="21"/>
                <w:u w:val="none"/>
                <w:lang w:val="en-US" w:eastAsia="zh-CN"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8" w:hRule="atLeast"/>
          <w:jc w:val="center"/>
        </w:trPr>
        <w:tc>
          <w:tcPr>
            <w:tcW w:w="705" w:type="dxa"/>
            <w:vMerge w:val="continue"/>
            <w:shd w:val="clear" w:color="auto" w:fill="auto"/>
            <w:noWrap/>
            <w:vAlign w:val="center"/>
          </w:tcPr>
          <w:p>
            <w:pPr>
              <w:jc w:val="center"/>
              <w:rPr>
                <w:rFonts w:hint="eastAsia" w:ascii="仿宋" w:hAnsi="仿宋" w:eastAsia="仿宋" w:cs="仿宋"/>
                <w:b/>
                <w:bCs/>
                <w:i w:val="0"/>
                <w:iCs w:val="0"/>
                <w:color w:val="000000"/>
                <w:sz w:val="21"/>
                <w:szCs w:val="21"/>
                <w:u w:val="none"/>
              </w:rPr>
            </w:pPr>
          </w:p>
        </w:tc>
        <w:tc>
          <w:tcPr>
            <w:tcW w:w="2610" w:type="dxa"/>
            <w:vMerge w:val="continue"/>
            <w:shd w:val="clear" w:color="auto" w:fill="auto"/>
            <w:noWrap/>
            <w:vAlign w:val="center"/>
          </w:tcPr>
          <w:p>
            <w:pPr>
              <w:jc w:val="center"/>
              <w:rPr>
                <w:rFonts w:hint="eastAsia" w:ascii="仿宋" w:hAnsi="仿宋" w:eastAsia="仿宋" w:cs="仿宋"/>
                <w:b/>
                <w:bCs/>
                <w:i w:val="0"/>
                <w:iCs w:val="0"/>
                <w:color w:val="000000"/>
                <w:sz w:val="21"/>
                <w:szCs w:val="21"/>
                <w:u w:val="none"/>
              </w:rPr>
            </w:pPr>
          </w:p>
        </w:tc>
        <w:tc>
          <w:tcPr>
            <w:tcW w:w="810" w:type="dxa"/>
            <w:vMerge w:val="continue"/>
            <w:shd w:val="clear" w:color="auto" w:fill="auto"/>
            <w:vAlign w:val="center"/>
          </w:tcPr>
          <w:p>
            <w:pPr>
              <w:jc w:val="center"/>
              <w:rPr>
                <w:rFonts w:hint="eastAsia" w:ascii="仿宋" w:hAnsi="仿宋" w:eastAsia="仿宋" w:cs="仿宋"/>
                <w:b/>
                <w:bCs/>
                <w:i w:val="0"/>
                <w:iCs w:val="0"/>
                <w:color w:val="000000"/>
                <w:sz w:val="21"/>
                <w:szCs w:val="21"/>
                <w:u w:val="none"/>
              </w:rPr>
            </w:pPr>
          </w:p>
        </w:tc>
        <w:tc>
          <w:tcPr>
            <w:tcW w:w="773" w:type="dxa"/>
            <w:vMerge w:val="continue"/>
            <w:shd w:val="clear" w:color="auto" w:fill="auto"/>
            <w:vAlign w:val="center"/>
          </w:tcPr>
          <w:p>
            <w:pPr>
              <w:jc w:val="center"/>
              <w:rPr>
                <w:rFonts w:hint="eastAsia" w:ascii="仿宋" w:hAnsi="仿宋" w:eastAsia="仿宋" w:cs="仿宋"/>
                <w:b/>
                <w:bCs/>
                <w:i w:val="0"/>
                <w:iCs w:val="0"/>
                <w:color w:val="000000"/>
                <w:sz w:val="21"/>
                <w:szCs w:val="21"/>
                <w:u w:val="none"/>
              </w:rPr>
            </w:pPr>
          </w:p>
        </w:tc>
        <w:tc>
          <w:tcPr>
            <w:tcW w:w="1096" w:type="dxa"/>
            <w:vMerge w:val="continue"/>
            <w:shd w:val="clear" w:color="auto" w:fill="auto"/>
            <w:vAlign w:val="center"/>
          </w:tcPr>
          <w:p>
            <w:pPr>
              <w:jc w:val="center"/>
              <w:rPr>
                <w:rFonts w:hint="eastAsia" w:ascii="仿宋" w:hAnsi="仿宋" w:eastAsia="仿宋" w:cs="仿宋"/>
                <w:b/>
                <w:bCs/>
                <w:i w:val="0"/>
                <w:iCs w:val="0"/>
                <w:color w:val="000000"/>
                <w:sz w:val="21"/>
                <w:szCs w:val="21"/>
                <w:u w:val="none"/>
              </w:rPr>
            </w:pPr>
          </w:p>
        </w:tc>
        <w:tc>
          <w:tcPr>
            <w:tcW w:w="1236" w:type="dxa"/>
            <w:vMerge w:val="continue"/>
            <w:shd w:val="clear" w:color="auto" w:fill="auto"/>
            <w:vAlign w:val="center"/>
          </w:tcPr>
          <w:p>
            <w:pPr>
              <w:jc w:val="center"/>
              <w:rPr>
                <w:rFonts w:hint="eastAsia" w:ascii="仿宋" w:hAnsi="仿宋" w:eastAsia="仿宋" w:cs="仿宋"/>
                <w:b/>
                <w:bCs/>
                <w:i w:val="0"/>
                <w:iCs w:val="0"/>
                <w:color w:val="000000"/>
                <w:sz w:val="21"/>
                <w:szCs w:val="21"/>
                <w:u w:val="none"/>
              </w:rPr>
            </w:pPr>
          </w:p>
        </w:tc>
        <w:tc>
          <w:tcPr>
            <w:tcW w:w="1629" w:type="dxa"/>
            <w:vMerge w:val="continue"/>
            <w:shd w:val="clear" w:color="auto" w:fill="auto"/>
            <w:vAlign w:val="center"/>
          </w:tcPr>
          <w:p>
            <w:pPr>
              <w:jc w:val="center"/>
              <w:rPr>
                <w:rFonts w:hint="eastAsia" w:ascii="仿宋" w:hAnsi="仿宋" w:eastAsia="仿宋" w:cs="仿宋"/>
                <w:b/>
                <w:bCs/>
                <w:i w:val="0"/>
                <w:iCs w:val="0"/>
                <w:color w:val="000000"/>
                <w:sz w:val="21"/>
                <w:szCs w:val="21"/>
                <w:u w:val="none"/>
              </w:rPr>
            </w:pPr>
          </w:p>
        </w:tc>
        <w:tc>
          <w:tcPr>
            <w:tcW w:w="533" w:type="dxa"/>
            <w:vMerge w:val="continue"/>
            <w:shd w:val="clear" w:color="auto" w:fill="auto"/>
            <w:vAlign w:val="center"/>
          </w:tcPr>
          <w:p>
            <w:pPr>
              <w:jc w:val="center"/>
              <w:rPr>
                <w:rFonts w:hint="eastAsia" w:ascii="仿宋" w:hAnsi="仿宋" w:eastAsia="仿宋" w:cs="仿宋"/>
                <w:b/>
                <w:bCs/>
                <w:i w:val="0"/>
                <w:iCs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41" w:hRule="atLeast"/>
          <w:jc w:val="center"/>
        </w:trPr>
        <w:tc>
          <w:tcPr>
            <w:tcW w:w="705" w:type="dxa"/>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w:t>
            </w:r>
          </w:p>
        </w:tc>
        <w:tc>
          <w:tcPr>
            <w:tcW w:w="2610"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北港兴城（一期）2、3、5栋（2）1单元12层1号</w:t>
            </w:r>
          </w:p>
        </w:tc>
        <w:tc>
          <w:tcPr>
            <w:tcW w:w="810" w:type="dxa"/>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住宅</w:t>
            </w:r>
          </w:p>
        </w:tc>
        <w:tc>
          <w:tcPr>
            <w:tcW w:w="773" w:type="dxa"/>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w:t>
            </w:r>
          </w:p>
        </w:tc>
        <w:tc>
          <w:tcPr>
            <w:tcW w:w="1096" w:type="dxa"/>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147.29</w:t>
            </w:r>
          </w:p>
        </w:tc>
        <w:tc>
          <w:tcPr>
            <w:tcW w:w="1236" w:type="dxa"/>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3,244.00</w:t>
            </w:r>
          </w:p>
        </w:tc>
        <w:tc>
          <w:tcPr>
            <w:tcW w:w="1629" w:type="dxa"/>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477,809.00</w:t>
            </w:r>
          </w:p>
        </w:tc>
        <w:tc>
          <w:tcPr>
            <w:tcW w:w="533" w:type="dxa"/>
            <w:shd w:val="clear" w:color="auto" w:fill="auto"/>
            <w:noWrap/>
            <w:vAlign w:val="center"/>
          </w:tcPr>
          <w:p>
            <w:pPr>
              <w:jc w:val="center"/>
              <w:rPr>
                <w:rFonts w:hint="eastAsia" w:ascii="仿宋" w:hAnsi="仿宋" w:eastAsia="仿宋" w:cs="仿宋"/>
                <w:i w:val="0"/>
                <w:iCs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41" w:hRule="atLeast"/>
          <w:jc w:val="center"/>
        </w:trPr>
        <w:tc>
          <w:tcPr>
            <w:tcW w:w="705" w:type="dxa"/>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w:t>
            </w:r>
          </w:p>
        </w:tc>
        <w:tc>
          <w:tcPr>
            <w:tcW w:w="2610"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北港兴城（一期）2、3、5栋（2）1单元12层2号</w:t>
            </w:r>
          </w:p>
        </w:tc>
        <w:tc>
          <w:tcPr>
            <w:tcW w:w="810" w:type="dxa"/>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住宅</w:t>
            </w:r>
          </w:p>
        </w:tc>
        <w:tc>
          <w:tcPr>
            <w:tcW w:w="773" w:type="dxa"/>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w:t>
            </w:r>
          </w:p>
        </w:tc>
        <w:tc>
          <w:tcPr>
            <w:tcW w:w="1096" w:type="dxa"/>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108.42</w:t>
            </w:r>
          </w:p>
        </w:tc>
        <w:tc>
          <w:tcPr>
            <w:tcW w:w="1236" w:type="dxa"/>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3,244.00</w:t>
            </w:r>
          </w:p>
        </w:tc>
        <w:tc>
          <w:tcPr>
            <w:tcW w:w="1629" w:type="dxa"/>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351,714.00</w:t>
            </w:r>
          </w:p>
        </w:tc>
        <w:tc>
          <w:tcPr>
            <w:tcW w:w="533" w:type="dxa"/>
            <w:shd w:val="clear" w:color="auto" w:fill="auto"/>
            <w:noWrap/>
            <w:vAlign w:val="center"/>
          </w:tcPr>
          <w:p>
            <w:pPr>
              <w:jc w:val="center"/>
              <w:rPr>
                <w:rFonts w:hint="eastAsia" w:ascii="仿宋" w:hAnsi="仿宋" w:eastAsia="仿宋" w:cs="仿宋"/>
                <w:i w:val="0"/>
                <w:iCs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41" w:hRule="atLeast"/>
          <w:jc w:val="center"/>
        </w:trPr>
        <w:tc>
          <w:tcPr>
            <w:tcW w:w="705" w:type="dxa"/>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w:t>
            </w:r>
          </w:p>
        </w:tc>
        <w:tc>
          <w:tcPr>
            <w:tcW w:w="2610"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北港兴城（一期）2、3、5栋（2）1单元12层3号</w:t>
            </w:r>
          </w:p>
        </w:tc>
        <w:tc>
          <w:tcPr>
            <w:tcW w:w="810" w:type="dxa"/>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住宅</w:t>
            </w:r>
          </w:p>
        </w:tc>
        <w:tc>
          <w:tcPr>
            <w:tcW w:w="773" w:type="dxa"/>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w:t>
            </w:r>
          </w:p>
        </w:tc>
        <w:tc>
          <w:tcPr>
            <w:tcW w:w="1096" w:type="dxa"/>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108.42</w:t>
            </w:r>
          </w:p>
        </w:tc>
        <w:tc>
          <w:tcPr>
            <w:tcW w:w="1236" w:type="dxa"/>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3,244.00</w:t>
            </w:r>
          </w:p>
        </w:tc>
        <w:tc>
          <w:tcPr>
            <w:tcW w:w="1629" w:type="dxa"/>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351,714.00</w:t>
            </w:r>
          </w:p>
        </w:tc>
        <w:tc>
          <w:tcPr>
            <w:tcW w:w="533" w:type="dxa"/>
            <w:shd w:val="clear" w:color="auto" w:fill="auto"/>
            <w:noWrap/>
            <w:vAlign w:val="center"/>
          </w:tcPr>
          <w:p>
            <w:pPr>
              <w:jc w:val="center"/>
              <w:rPr>
                <w:rFonts w:hint="eastAsia" w:ascii="仿宋" w:hAnsi="仿宋" w:eastAsia="仿宋" w:cs="仿宋"/>
                <w:i w:val="0"/>
                <w:iCs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41" w:hRule="atLeast"/>
          <w:jc w:val="center"/>
        </w:trPr>
        <w:tc>
          <w:tcPr>
            <w:tcW w:w="705" w:type="dxa"/>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4</w:t>
            </w:r>
          </w:p>
        </w:tc>
        <w:tc>
          <w:tcPr>
            <w:tcW w:w="2610"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北港兴城（一期）2、3、5栋（2）1单元12层4号</w:t>
            </w:r>
          </w:p>
        </w:tc>
        <w:tc>
          <w:tcPr>
            <w:tcW w:w="810" w:type="dxa"/>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住宅</w:t>
            </w:r>
          </w:p>
        </w:tc>
        <w:tc>
          <w:tcPr>
            <w:tcW w:w="773" w:type="dxa"/>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w:t>
            </w:r>
          </w:p>
        </w:tc>
        <w:tc>
          <w:tcPr>
            <w:tcW w:w="1096" w:type="dxa"/>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147.89</w:t>
            </w:r>
          </w:p>
        </w:tc>
        <w:tc>
          <w:tcPr>
            <w:tcW w:w="1236" w:type="dxa"/>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3,244.00</w:t>
            </w:r>
          </w:p>
        </w:tc>
        <w:tc>
          <w:tcPr>
            <w:tcW w:w="1629" w:type="dxa"/>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479,755.00</w:t>
            </w:r>
          </w:p>
        </w:tc>
        <w:tc>
          <w:tcPr>
            <w:tcW w:w="533" w:type="dxa"/>
            <w:shd w:val="clear" w:color="auto" w:fill="auto"/>
            <w:noWrap/>
            <w:vAlign w:val="center"/>
          </w:tcPr>
          <w:p>
            <w:pPr>
              <w:jc w:val="center"/>
              <w:rPr>
                <w:rFonts w:hint="eastAsia" w:ascii="仿宋" w:hAnsi="仿宋" w:eastAsia="仿宋" w:cs="仿宋"/>
                <w:i w:val="0"/>
                <w:iCs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41" w:hRule="atLeast"/>
          <w:jc w:val="center"/>
        </w:trPr>
        <w:tc>
          <w:tcPr>
            <w:tcW w:w="705" w:type="dxa"/>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5</w:t>
            </w:r>
          </w:p>
        </w:tc>
        <w:tc>
          <w:tcPr>
            <w:tcW w:w="2610"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北港兴城（一期）2、3、5栋（2）1单元13层1号</w:t>
            </w:r>
          </w:p>
        </w:tc>
        <w:tc>
          <w:tcPr>
            <w:tcW w:w="810" w:type="dxa"/>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住宅</w:t>
            </w:r>
          </w:p>
        </w:tc>
        <w:tc>
          <w:tcPr>
            <w:tcW w:w="773" w:type="dxa"/>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w:t>
            </w:r>
          </w:p>
        </w:tc>
        <w:tc>
          <w:tcPr>
            <w:tcW w:w="1096" w:type="dxa"/>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147.29</w:t>
            </w:r>
          </w:p>
        </w:tc>
        <w:tc>
          <w:tcPr>
            <w:tcW w:w="1236" w:type="dxa"/>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3,249.00</w:t>
            </w:r>
          </w:p>
        </w:tc>
        <w:tc>
          <w:tcPr>
            <w:tcW w:w="1629" w:type="dxa"/>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478,545.00</w:t>
            </w:r>
          </w:p>
        </w:tc>
        <w:tc>
          <w:tcPr>
            <w:tcW w:w="533" w:type="dxa"/>
            <w:shd w:val="clear" w:color="auto" w:fill="auto"/>
            <w:noWrap/>
            <w:vAlign w:val="center"/>
          </w:tcPr>
          <w:p>
            <w:pPr>
              <w:jc w:val="center"/>
              <w:rPr>
                <w:rFonts w:hint="eastAsia" w:ascii="仿宋" w:hAnsi="仿宋" w:eastAsia="仿宋" w:cs="仿宋"/>
                <w:i w:val="0"/>
                <w:iCs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41" w:hRule="atLeast"/>
          <w:jc w:val="center"/>
        </w:trPr>
        <w:tc>
          <w:tcPr>
            <w:tcW w:w="705" w:type="dxa"/>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6</w:t>
            </w:r>
          </w:p>
        </w:tc>
        <w:tc>
          <w:tcPr>
            <w:tcW w:w="2610"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北港兴城（一期）2、3、5栋（2）1单元13层2号</w:t>
            </w:r>
          </w:p>
        </w:tc>
        <w:tc>
          <w:tcPr>
            <w:tcW w:w="810" w:type="dxa"/>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住宅</w:t>
            </w:r>
          </w:p>
        </w:tc>
        <w:tc>
          <w:tcPr>
            <w:tcW w:w="773" w:type="dxa"/>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w:t>
            </w:r>
          </w:p>
        </w:tc>
        <w:tc>
          <w:tcPr>
            <w:tcW w:w="1096" w:type="dxa"/>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108.42</w:t>
            </w:r>
          </w:p>
        </w:tc>
        <w:tc>
          <w:tcPr>
            <w:tcW w:w="1236" w:type="dxa"/>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3,249.00</w:t>
            </w:r>
          </w:p>
        </w:tc>
        <w:tc>
          <w:tcPr>
            <w:tcW w:w="1629" w:type="dxa"/>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352,257.00</w:t>
            </w:r>
          </w:p>
        </w:tc>
        <w:tc>
          <w:tcPr>
            <w:tcW w:w="533" w:type="dxa"/>
            <w:shd w:val="clear" w:color="auto" w:fill="auto"/>
            <w:noWrap/>
            <w:vAlign w:val="center"/>
          </w:tcPr>
          <w:p>
            <w:pPr>
              <w:jc w:val="center"/>
              <w:rPr>
                <w:rFonts w:hint="eastAsia" w:ascii="仿宋" w:hAnsi="仿宋" w:eastAsia="仿宋" w:cs="仿宋"/>
                <w:i w:val="0"/>
                <w:iCs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41" w:hRule="atLeast"/>
          <w:jc w:val="center"/>
        </w:trPr>
        <w:tc>
          <w:tcPr>
            <w:tcW w:w="705" w:type="dxa"/>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7</w:t>
            </w:r>
          </w:p>
        </w:tc>
        <w:tc>
          <w:tcPr>
            <w:tcW w:w="2610"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北港兴城（一期）2、3、5栋（2）1单元13层3号</w:t>
            </w:r>
          </w:p>
        </w:tc>
        <w:tc>
          <w:tcPr>
            <w:tcW w:w="810" w:type="dxa"/>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住宅</w:t>
            </w:r>
          </w:p>
        </w:tc>
        <w:tc>
          <w:tcPr>
            <w:tcW w:w="773" w:type="dxa"/>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w:t>
            </w:r>
          </w:p>
        </w:tc>
        <w:tc>
          <w:tcPr>
            <w:tcW w:w="1096" w:type="dxa"/>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108.42</w:t>
            </w:r>
          </w:p>
        </w:tc>
        <w:tc>
          <w:tcPr>
            <w:tcW w:w="1236" w:type="dxa"/>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3,249.00</w:t>
            </w:r>
          </w:p>
        </w:tc>
        <w:tc>
          <w:tcPr>
            <w:tcW w:w="1629" w:type="dxa"/>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352,257.00</w:t>
            </w:r>
          </w:p>
        </w:tc>
        <w:tc>
          <w:tcPr>
            <w:tcW w:w="533" w:type="dxa"/>
            <w:shd w:val="clear" w:color="auto" w:fill="auto"/>
            <w:noWrap/>
            <w:vAlign w:val="center"/>
          </w:tcPr>
          <w:p>
            <w:pPr>
              <w:jc w:val="center"/>
              <w:rPr>
                <w:rFonts w:hint="eastAsia" w:ascii="仿宋" w:hAnsi="仿宋" w:eastAsia="仿宋" w:cs="仿宋"/>
                <w:i w:val="0"/>
                <w:iCs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41" w:hRule="atLeast"/>
          <w:jc w:val="center"/>
        </w:trPr>
        <w:tc>
          <w:tcPr>
            <w:tcW w:w="705" w:type="dxa"/>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8</w:t>
            </w:r>
          </w:p>
        </w:tc>
        <w:tc>
          <w:tcPr>
            <w:tcW w:w="2610"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北港兴城（一期）2、3、5栋（2）1单元13层4号</w:t>
            </w:r>
          </w:p>
        </w:tc>
        <w:tc>
          <w:tcPr>
            <w:tcW w:w="810" w:type="dxa"/>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住宅</w:t>
            </w:r>
          </w:p>
        </w:tc>
        <w:tc>
          <w:tcPr>
            <w:tcW w:w="773" w:type="dxa"/>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w:t>
            </w:r>
          </w:p>
        </w:tc>
        <w:tc>
          <w:tcPr>
            <w:tcW w:w="1096" w:type="dxa"/>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147.89</w:t>
            </w:r>
          </w:p>
        </w:tc>
        <w:tc>
          <w:tcPr>
            <w:tcW w:w="1236" w:type="dxa"/>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3,249.00</w:t>
            </w:r>
          </w:p>
        </w:tc>
        <w:tc>
          <w:tcPr>
            <w:tcW w:w="1629" w:type="dxa"/>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480,495.00</w:t>
            </w:r>
          </w:p>
        </w:tc>
        <w:tc>
          <w:tcPr>
            <w:tcW w:w="533" w:type="dxa"/>
            <w:shd w:val="clear" w:color="auto" w:fill="auto"/>
            <w:noWrap/>
            <w:vAlign w:val="center"/>
          </w:tcPr>
          <w:p>
            <w:pPr>
              <w:jc w:val="center"/>
              <w:rPr>
                <w:rFonts w:hint="eastAsia" w:ascii="仿宋" w:hAnsi="仿宋" w:eastAsia="仿宋" w:cs="仿宋"/>
                <w:i w:val="0"/>
                <w:iCs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41" w:hRule="atLeast"/>
          <w:jc w:val="center"/>
        </w:trPr>
        <w:tc>
          <w:tcPr>
            <w:tcW w:w="705" w:type="dxa"/>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9</w:t>
            </w:r>
          </w:p>
        </w:tc>
        <w:tc>
          <w:tcPr>
            <w:tcW w:w="2610"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北港兴城（一期）2、3、5栋（2）1单元14层1号</w:t>
            </w:r>
          </w:p>
        </w:tc>
        <w:tc>
          <w:tcPr>
            <w:tcW w:w="810" w:type="dxa"/>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住宅</w:t>
            </w:r>
          </w:p>
        </w:tc>
        <w:tc>
          <w:tcPr>
            <w:tcW w:w="773" w:type="dxa"/>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w:t>
            </w:r>
          </w:p>
        </w:tc>
        <w:tc>
          <w:tcPr>
            <w:tcW w:w="1096" w:type="dxa"/>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147.29</w:t>
            </w:r>
          </w:p>
        </w:tc>
        <w:tc>
          <w:tcPr>
            <w:tcW w:w="1236" w:type="dxa"/>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3,254.00</w:t>
            </w:r>
          </w:p>
        </w:tc>
        <w:tc>
          <w:tcPr>
            <w:tcW w:w="1629" w:type="dxa"/>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479,282.00</w:t>
            </w:r>
          </w:p>
        </w:tc>
        <w:tc>
          <w:tcPr>
            <w:tcW w:w="533" w:type="dxa"/>
            <w:shd w:val="clear" w:color="auto" w:fill="auto"/>
            <w:noWrap/>
            <w:vAlign w:val="center"/>
          </w:tcPr>
          <w:p>
            <w:pPr>
              <w:jc w:val="center"/>
              <w:rPr>
                <w:rFonts w:hint="eastAsia" w:ascii="仿宋" w:hAnsi="仿宋" w:eastAsia="仿宋" w:cs="仿宋"/>
                <w:i w:val="0"/>
                <w:iCs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41" w:hRule="atLeast"/>
          <w:jc w:val="center"/>
        </w:trPr>
        <w:tc>
          <w:tcPr>
            <w:tcW w:w="705" w:type="dxa"/>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10</w:t>
            </w:r>
          </w:p>
        </w:tc>
        <w:tc>
          <w:tcPr>
            <w:tcW w:w="2610"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北港兴城（一期）2、3、5栋（2）1单元14层2号</w:t>
            </w:r>
          </w:p>
        </w:tc>
        <w:tc>
          <w:tcPr>
            <w:tcW w:w="810" w:type="dxa"/>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住宅</w:t>
            </w:r>
          </w:p>
        </w:tc>
        <w:tc>
          <w:tcPr>
            <w:tcW w:w="773" w:type="dxa"/>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w:t>
            </w:r>
          </w:p>
        </w:tc>
        <w:tc>
          <w:tcPr>
            <w:tcW w:w="1096" w:type="dxa"/>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108.42</w:t>
            </w:r>
          </w:p>
        </w:tc>
        <w:tc>
          <w:tcPr>
            <w:tcW w:w="1236" w:type="dxa"/>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3,254.00</w:t>
            </w:r>
          </w:p>
        </w:tc>
        <w:tc>
          <w:tcPr>
            <w:tcW w:w="1629" w:type="dxa"/>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352,799.00</w:t>
            </w:r>
          </w:p>
        </w:tc>
        <w:tc>
          <w:tcPr>
            <w:tcW w:w="533" w:type="dxa"/>
            <w:shd w:val="clear" w:color="auto" w:fill="auto"/>
            <w:noWrap/>
            <w:vAlign w:val="center"/>
          </w:tcPr>
          <w:p>
            <w:pPr>
              <w:jc w:val="center"/>
              <w:rPr>
                <w:rFonts w:hint="eastAsia" w:ascii="仿宋" w:hAnsi="仿宋" w:eastAsia="仿宋" w:cs="仿宋"/>
                <w:i w:val="0"/>
                <w:iCs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41" w:hRule="atLeast"/>
          <w:jc w:val="center"/>
        </w:trPr>
        <w:tc>
          <w:tcPr>
            <w:tcW w:w="705" w:type="dxa"/>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11</w:t>
            </w:r>
          </w:p>
        </w:tc>
        <w:tc>
          <w:tcPr>
            <w:tcW w:w="2610"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北港兴城（一期）2、3、5栋（2）1单元14层3号</w:t>
            </w:r>
          </w:p>
        </w:tc>
        <w:tc>
          <w:tcPr>
            <w:tcW w:w="810" w:type="dxa"/>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住宅</w:t>
            </w:r>
          </w:p>
        </w:tc>
        <w:tc>
          <w:tcPr>
            <w:tcW w:w="773" w:type="dxa"/>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w:t>
            </w:r>
          </w:p>
        </w:tc>
        <w:tc>
          <w:tcPr>
            <w:tcW w:w="1096" w:type="dxa"/>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108.42</w:t>
            </w:r>
          </w:p>
        </w:tc>
        <w:tc>
          <w:tcPr>
            <w:tcW w:w="1236" w:type="dxa"/>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3,254.00</w:t>
            </w:r>
          </w:p>
        </w:tc>
        <w:tc>
          <w:tcPr>
            <w:tcW w:w="1629" w:type="dxa"/>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352,799.00</w:t>
            </w:r>
          </w:p>
        </w:tc>
        <w:tc>
          <w:tcPr>
            <w:tcW w:w="533" w:type="dxa"/>
            <w:shd w:val="clear" w:color="auto" w:fill="auto"/>
            <w:noWrap/>
            <w:vAlign w:val="center"/>
          </w:tcPr>
          <w:p>
            <w:pPr>
              <w:jc w:val="center"/>
              <w:rPr>
                <w:rFonts w:hint="eastAsia" w:ascii="仿宋" w:hAnsi="仿宋" w:eastAsia="仿宋" w:cs="仿宋"/>
                <w:i w:val="0"/>
                <w:iCs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41" w:hRule="atLeast"/>
          <w:jc w:val="center"/>
        </w:trPr>
        <w:tc>
          <w:tcPr>
            <w:tcW w:w="705" w:type="dxa"/>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12</w:t>
            </w:r>
          </w:p>
        </w:tc>
        <w:tc>
          <w:tcPr>
            <w:tcW w:w="2610"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北港兴城（一期）2、3、5栋（2）1单元14层4号</w:t>
            </w:r>
          </w:p>
        </w:tc>
        <w:tc>
          <w:tcPr>
            <w:tcW w:w="810" w:type="dxa"/>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住宅</w:t>
            </w:r>
          </w:p>
        </w:tc>
        <w:tc>
          <w:tcPr>
            <w:tcW w:w="773" w:type="dxa"/>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w:t>
            </w:r>
          </w:p>
        </w:tc>
        <w:tc>
          <w:tcPr>
            <w:tcW w:w="1096" w:type="dxa"/>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147.89</w:t>
            </w:r>
          </w:p>
        </w:tc>
        <w:tc>
          <w:tcPr>
            <w:tcW w:w="1236" w:type="dxa"/>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3,254.00</w:t>
            </w:r>
          </w:p>
        </w:tc>
        <w:tc>
          <w:tcPr>
            <w:tcW w:w="1629" w:type="dxa"/>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481,234.00</w:t>
            </w:r>
          </w:p>
        </w:tc>
        <w:tc>
          <w:tcPr>
            <w:tcW w:w="533" w:type="dxa"/>
            <w:shd w:val="clear" w:color="auto" w:fill="auto"/>
            <w:noWrap/>
            <w:vAlign w:val="center"/>
          </w:tcPr>
          <w:p>
            <w:pPr>
              <w:jc w:val="center"/>
              <w:rPr>
                <w:rFonts w:hint="eastAsia" w:ascii="仿宋" w:hAnsi="仿宋" w:eastAsia="仿宋" w:cs="仿宋"/>
                <w:i w:val="0"/>
                <w:iCs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41" w:hRule="atLeast"/>
          <w:jc w:val="center"/>
        </w:trPr>
        <w:tc>
          <w:tcPr>
            <w:tcW w:w="705" w:type="dxa"/>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13</w:t>
            </w:r>
          </w:p>
        </w:tc>
        <w:tc>
          <w:tcPr>
            <w:tcW w:w="2610"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北港兴城（一期）2、3、5栋（2）1单元15层1号</w:t>
            </w:r>
          </w:p>
        </w:tc>
        <w:tc>
          <w:tcPr>
            <w:tcW w:w="810" w:type="dxa"/>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住宅</w:t>
            </w:r>
          </w:p>
        </w:tc>
        <w:tc>
          <w:tcPr>
            <w:tcW w:w="773" w:type="dxa"/>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w:t>
            </w:r>
          </w:p>
        </w:tc>
        <w:tc>
          <w:tcPr>
            <w:tcW w:w="1096" w:type="dxa"/>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147.29</w:t>
            </w:r>
          </w:p>
        </w:tc>
        <w:tc>
          <w:tcPr>
            <w:tcW w:w="1236" w:type="dxa"/>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3,259.00</w:t>
            </w:r>
          </w:p>
        </w:tc>
        <w:tc>
          <w:tcPr>
            <w:tcW w:w="1629" w:type="dxa"/>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480,018.00</w:t>
            </w:r>
          </w:p>
        </w:tc>
        <w:tc>
          <w:tcPr>
            <w:tcW w:w="533" w:type="dxa"/>
            <w:shd w:val="clear" w:color="auto" w:fill="auto"/>
            <w:noWrap/>
            <w:vAlign w:val="center"/>
          </w:tcPr>
          <w:p>
            <w:pPr>
              <w:jc w:val="center"/>
              <w:rPr>
                <w:rFonts w:hint="eastAsia" w:ascii="仿宋" w:hAnsi="仿宋" w:eastAsia="仿宋" w:cs="仿宋"/>
                <w:i w:val="0"/>
                <w:iCs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41" w:hRule="atLeast"/>
          <w:jc w:val="center"/>
        </w:trPr>
        <w:tc>
          <w:tcPr>
            <w:tcW w:w="705" w:type="dxa"/>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14</w:t>
            </w:r>
          </w:p>
        </w:tc>
        <w:tc>
          <w:tcPr>
            <w:tcW w:w="2610"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北港兴城（一期）2、3、5栋（2）1单元15层2号</w:t>
            </w:r>
          </w:p>
        </w:tc>
        <w:tc>
          <w:tcPr>
            <w:tcW w:w="810" w:type="dxa"/>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住宅</w:t>
            </w:r>
          </w:p>
        </w:tc>
        <w:tc>
          <w:tcPr>
            <w:tcW w:w="773" w:type="dxa"/>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w:t>
            </w:r>
          </w:p>
        </w:tc>
        <w:tc>
          <w:tcPr>
            <w:tcW w:w="1096" w:type="dxa"/>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108.42</w:t>
            </w:r>
          </w:p>
        </w:tc>
        <w:tc>
          <w:tcPr>
            <w:tcW w:w="1236" w:type="dxa"/>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3,259.00</w:t>
            </w:r>
          </w:p>
        </w:tc>
        <w:tc>
          <w:tcPr>
            <w:tcW w:w="1629" w:type="dxa"/>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353,341.00</w:t>
            </w:r>
          </w:p>
        </w:tc>
        <w:tc>
          <w:tcPr>
            <w:tcW w:w="533" w:type="dxa"/>
            <w:shd w:val="clear" w:color="auto" w:fill="auto"/>
            <w:noWrap/>
            <w:vAlign w:val="center"/>
          </w:tcPr>
          <w:p>
            <w:pPr>
              <w:jc w:val="center"/>
              <w:rPr>
                <w:rFonts w:hint="eastAsia" w:ascii="仿宋" w:hAnsi="仿宋" w:eastAsia="仿宋" w:cs="仿宋"/>
                <w:i w:val="0"/>
                <w:iCs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41" w:hRule="atLeast"/>
          <w:jc w:val="center"/>
        </w:trPr>
        <w:tc>
          <w:tcPr>
            <w:tcW w:w="705" w:type="dxa"/>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15</w:t>
            </w:r>
          </w:p>
        </w:tc>
        <w:tc>
          <w:tcPr>
            <w:tcW w:w="2610"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北港兴城（一期）2、3、5栋（2）1单元15层3号</w:t>
            </w:r>
          </w:p>
        </w:tc>
        <w:tc>
          <w:tcPr>
            <w:tcW w:w="810" w:type="dxa"/>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住宅</w:t>
            </w:r>
          </w:p>
        </w:tc>
        <w:tc>
          <w:tcPr>
            <w:tcW w:w="773" w:type="dxa"/>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w:t>
            </w:r>
          </w:p>
        </w:tc>
        <w:tc>
          <w:tcPr>
            <w:tcW w:w="1096" w:type="dxa"/>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108.42</w:t>
            </w:r>
          </w:p>
        </w:tc>
        <w:tc>
          <w:tcPr>
            <w:tcW w:w="1236" w:type="dxa"/>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3,259.00</w:t>
            </w:r>
          </w:p>
        </w:tc>
        <w:tc>
          <w:tcPr>
            <w:tcW w:w="1629" w:type="dxa"/>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353,341.00</w:t>
            </w:r>
          </w:p>
        </w:tc>
        <w:tc>
          <w:tcPr>
            <w:tcW w:w="533" w:type="dxa"/>
            <w:shd w:val="clear" w:color="auto" w:fill="auto"/>
            <w:noWrap/>
            <w:vAlign w:val="center"/>
          </w:tcPr>
          <w:p>
            <w:pPr>
              <w:jc w:val="center"/>
              <w:rPr>
                <w:rFonts w:hint="eastAsia" w:ascii="仿宋" w:hAnsi="仿宋" w:eastAsia="仿宋" w:cs="仿宋"/>
                <w:i w:val="0"/>
                <w:iCs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41" w:hRule="atLeast"/>
          <w:jc w:val="center"/>
        </w:trPr>
        <w:tc>
          <w:tcPr>
            <w:tcW w:w="705" w:type="dxa"/>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16</w:t>
            </w:r>
          </w:p>
        </w:tc>
        <w:tc>
          <w:tcPr>
            <w:tcW w:w="2610"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北港兴城（一期）2、3、5栋（2）1单元15层4号</w:t>
            </w:r>
          </w:p>
        </w:tc>
        <w:tc>
          <w:tcPr>
            <w:tcW w:w="810" w:type="dxa"/>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住宅</w:t>
            </w:r>
          </w:p>
        </w:tc>
        <w:tc>
          <w:tcPr>
            <w:tcW w:w="773" w:type="dxa"/>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w:t>
            </w:r>
          </w:p>
        </w:tc>
        <w:tc>
          <w:tcPr>
            <w:tcW w:w="1096" w:type="dxa"/>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147.89</w:t>
            </w:r>
          </w:p>
        </w:tc>
        <w:tc>
          <w:tcPr>
            <w:tcW w:w="1236" w:type="dxa"/>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3,259.00</w:t>
            </w:r>
          </w:p>
        </w:tc>
        <w:tc>
          <w:tcPr>
            <w:tcW w:w="1629" w:type="dxa"/>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481,974.00</w:t>
            </w:r>
          </w:p>
        </w:tc>
        <w:tc>
          <w:tcPr>
            <w:tcW w:w="533" w:type="dxa"/>
            <w:shd w:val="clear" w:color="auto" w:fill="auto"/>
            <w:noWrap/>
            <w:vAlign w:val="center"/>
          </w:tcPr>
          <w:p>
            <w:pPr>
              <w:jc w:val="center"/>
              <w:rPr>
                <w:rFonts w:hint="eastAsia" w:ascii="仿宋" w:hAnsi="仿宋" w:eastAsia="仿宋" w:cs="仿宋"/>
                <w:i w:val="0"/>
                <w:iCs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41" w:hRule="atLeast"/>
          <w:jc w:val="center"/>
        </w:trPr>
        <w:tc>
          <w:tcPr>
            <w:tcW w:w="705" w:type="dxa"/>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17</w:t>
            </w:r>
          </w:p>
        </w:tc>
        <w:tc>
          <w:tcPr>
            <w:tcW w:w="2610"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北港兴城（一期）2、3、5栋（2）1单元16层1号</w:t>
            </w:r>
          </w:p>
        </w:tc>
        <w:tc>
          <w:tcPr>
            <w:tcW w:w="810" w:type="dxa"/>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住宅</w:t>
            </w:r>
          </w:p>
        </w:tc>
        <w:tc>
          <w:tcPr>
            <w:tcW w:w="773" w:type="dxa"/>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w:t>
            </w:r>
          </w:p>
        </w:tc>
        <w:tc>
          <w:tcPr>
            <w:tcW w:w="1096" w:type="dxa"/>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147.29</w:t>
            </w:r>
          </w:p>
        </w:tc>
        <w:tc>
          <w:tcPr>
            <w:tcW w:w="1236" w:type="dxa"/>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3,264.00</w:t>
            </w:r>
          </w:p>
        </w:tc>
        <w:tc>
          <w:tcPr>
            <w:tcW w:w="1629" w:type="dxa"/>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480,755.00</w:t>
            </w:r>
          </w:p>
        </w:tc>
        <w:tc>
          <w:tcPr>
            <w:tcW w:w="533" w:type="dxa"/>
            <w:shd w:val="clear" w:color="auto" w:fill="auto"/>
            <w:noWrap/>
            <w:vAlign w:val="center"/>
          </w:tcPr>
          <w:p>
            <w:pPr>
              <w:jc w:val="center"/>
              <w:rPr>
                <w:rFonts w:hint="eastAsia" w:ascii="仿宋" w:hAnsi="仿宋" w:eastAsia="仿宋" w:cs="仿宋"/>
                <w:i w:val="0"/>
                <w:iCs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41" w:hRule="atLeast"/>
          <w:jc w:val="center"/>
        </w:trPr>
        <w:tc>
          <w:tcPr>
            <w:tcW w:w="705" w:type="dxa"/>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18</w:t>
            </w:r>
          </w:p>
        </w:tc>
        <w:tc>
          <w:tcPr>
            <w:tcW w:w="2610"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北港兴城（一期）2、3、5栋（2）1单元16层2号</w:t>
            </w:r>
          </w:p>
        </w:tc>
        <w:tc>
          <w:tcPr>
            <w:tcW w:w="810" w:type="dxa"/>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住宅</w:t>
            </w:r>
          </w:p>
        </w:tc>
        <w:tc>
          <w:tcPr>
            <w:tcW w:w="773" w:type="dxa"/>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w:t>
            </w:r>
          </w:p>
        </w:tc>
        <w:tc>
          <w:tcPr>
            <w:tcW w:w="1096" w:type="dxa"/>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108.42</w:t>
            </w:r>
          </w:p>
        </w:tc>
        <w:tc>
          <w:tcPr>
            <w:tcW w:w="1236" w:type="dxa"/>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3,264.00</w:t>
            </w:r>
          </w:p>
        </w:tc>
        <w:tc>
          <w:tcPr>
            <w:tcW w:w="1629" w:type="dxa"/>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353,883.00</w:t>
            </w:r>
          </w:p>
        </w:tc>
        <w:tc>
          <w:tcPr>
            <w:tcW w:w="533" w:type="dxa"/>
            <w:shd w:val="clear" w:color="auto" w:fill="auto"/>
            <w:noWrap/>
            <w:vAlign w:val="center"/>
          </w:tcPr>
          <w:p>
            <w:pPr>
              <w:jc w:val="center"/>
              <w:rPr>
                <w:rFonts w:hint="eastAsia" w:ascii="仿宋" w:hAnsi="仿宋" w:eastAsia="仿宋" w:cs="仿宋"/>
                <w:i w:val="0"/>
                <w:iCs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41" w:hRule="atLeast"/>
          <w:jc w:val="center"/>
        </w:trPr>
        <w:tc>
          <w:tcPr>
            <w:tcW w:w="705" w:type="dxa"/>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19</w:t>
            </w:r>
          </w:p>
        </w:tc>
        <w:tc>
          <w:tcPr>
            <w:tcW w:w="2610"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北港兴城（一期）2、3、5栋（2）1单元16层3号</w:t>
            </w:r>
          </w:p>
        </w:tc>
        <w:tc>
          <w:tcPr>
            <w:tcW w:w="810" w:type="dxa"/>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住宅</w:t>
            </w:r>
          </w:p>
        </w:tc>
        <w:tc>
          <w:tcPr>
            <w:tcW w:w="773" w:type="dxa"/>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w:t>
            </w:r>
          </w:p>
        </w:tc>
        <w:tc>
          <w:tcPr>
            <w:tcW w:w="1096" w:type="dxa"/>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108.42</w:t>
            </w:r>
          </w:p>
        </w:tc>
        <w:tc>
          <w:tcPr>
            <w:tcW w:w="1236" w:type="dxa"/>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3,264.00</w:t>
            </w:r>
          </w:p>
        </w:tc>
        <w:tc>
          <w:tcPr>
            <w:tcW w:w="1629" w:type="dxa"/>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353,883.00</w:t>
            </w:r>
          </w:p>
        </w:tc>
        <w:tc>
          <w:tcPr>
            <w:tcW w:w="533" w:type="dxa"/>
            <w:shd w:val="clear" w:color="auto" w:fill="auto"/>
            <w:noWrap/>
            <w:vAlign w:val="center"/>
          </w:tcPr>
          <w:p>
            <w:pPr>
              <w:jc w:val="center"/>
              <w:rPr>
                <w:rFonts w:hint="eastAsia" w:ascii="仿宋" w:hAnsi="仿宋" w:eastAsia="仿宋" w:cs="仿宋"/>
                <w:i w:val="0"/>
                <w:iCs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41" w:hRule="atLeast"/>
          <w:jc w:val="center"/>
        </w:trPr>
        <w:tc>
          <w:tcPr>
            <w:tcW w:w="705" w:type="dxa"/>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20</w:t>
            </w:r>
          </w:p>
        </w:tc>
        <w:tc>
          <w:tcPr>
            <w:tcW w:w="2610"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北港兴城（一期）2、3、5栋（2）1单元16层4号</w:t>
            </w:r>
          </w:p>
        </w:tc>
        <w:tc>
          <w:tcPr>
            <w:tcW w:w="810" w:type="dxa"/>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住宅</w:t>
            </w:r>
          </w:p>
        </w:tc>
        <w:tc>
          <w:tcPr>
            <w:tcW w:w="773" w:type="dxa"/>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w:t>
            </w:r>
          </w:p>
        </w:tc>
        <w:tc>
          <w:tcPr>
            <w:tcW w:w="1096" w:type="dxa"/>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147.89</w:t>
            </w:r>
          </w:p>
        </w:tc>
        <w:tc>
          <w:tcPr>
            <w:tcW w:w="1236" w:type="dxa"/>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3,264.00</w:t>
            </w:r>
          </w:p>
        </w:tc>
        <w:tc>
          <w:tcPr>
            <w:tcW w:w="1629" w:type="dxa"/>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482,713.00</w:t>
            </w:r>
          </w:p>
        </w:tc>
        <w:tc>
          <w:tcPr>
            <w:tcW w:w="533" w:type="dxa"/>
            <w:shd w:val="clear" w:color="auto" w:fill="auto"/>
            <w:noWrap/>
            <w:vAlign w:val="center"/>
          </w:tcPr>
          <w:p>
            <w:pPr>
              <w:jc w:val="center"/>
              <w:rPr>
                <w:rFonts w:hint="eastAsia" w:ascii="仿宋" w:hAnsi="仿宋" w:eastAsia="仿宋" w:cs="仿宋"/>
                <w:i w:val="0"/>
                <w:iCs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41" w:hRule="atLeast"/>
          <w:jc w:val="center"/>
        </w:trPr>
        <w:tc>
          <w:tcPr>
            <w:tcW w:w="705" w:type="dxa"/>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21</w:t>
            </w:r>
          </w:p>
        </w:tc>
        <w:tc>
          <w:tcPr>
            <w:tcW w:w="2610"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北港兴城（一期）2、3、5栋（2）1单元17层1号</w:t>
            </w:r>
          </w:p>
        </w:tc>
        <w:tc>
          <w:tcPr>
            <w:tcW w:w="810" w:type="dxa"/>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住宅</w:t>
            </w:r>
          </w:p>
        </w:tc>
        <w:tc>
          <w:tcPr>
            <w:tcW w:w="773" w:type="dxa"/>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w:t>
            </w:r>
          </w:p>
        </w:tc>
        <w:tc>
          <w:tcPr>
            <w:tcW w:w="1096" w:type="dxa"/>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147.29</w:t>
            </w:r>
          </w:p>
        </w:tc>
        <w:tc>
          <w:tcPr>
            <w:tcW w:w="1236" w:type="dxa"/>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3,269.00</w:t>
            </w:r>
          </w:p>
        </w:tc>
        <w:tc>
          <w:tcPr>
            <w:tcW w:w="1629" w:type="dxa"/>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481,491.00</w:t>
            </w:r>
          </w:p>
        </w:tc>
        <w:tc>
          <w:tcPr>
            <w:tcW w:w="533" w:type="dxa"/>
            <w:shd w:val="clear" w:color="auto" w:fill="auto"/>
            <w:noWrap/>
            <w:vAlign w:val="center"/>
          </w:tcPr>
          <w:p>
            <w:pPr>
              <w:jc w:val="center"/>
              <w:rPr>
                <w:rFonts w:hint="eastAsia" w:ascii="仿宋" w:hAnsi="仿宋" w:eastAsia="仿宋" w:cs="仿宋"/>
                <w:i w:val="0"/>
                <w:iCs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41" w:hRule="atLeast"/>
          <w:jc w:val="center"/>
        </w:trPr>
        <w:tc>
          <w:tcPr>
            <w:tcW w:w="705" w:type="dxa"/>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22</w:t>
            </w:r>
          </w:p>
        </w:tc>
        <w:tc>
          <w:tcPr>
            <w:tcW w:w="2610"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北港兴城（一期）2、3、5栋（2）1单元17层2号</w:t>
            </w:r>
          </w:p>
        </w:tc>
        <w:tc>
          <w:tcPr>
            <w:tcW w:w="810" w:type="dxa"/>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住宅</w:t>
            </w:r>
          </w:p>
        </w:tc>
        <w:tc>
          <w:tcPr>
            <w:tcW w:w="773" w:type="dxa"/>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w:t>
            </w:r>
          </w:p>
        </w:tc>
        <w:tc>
          <w:tcPr>
            <w:tcW w:w="1096" w:type="dxa"/>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108.42</w:t>
            </w:r>
          </w:p>
        </w:tc>
        <w:tc>
          <w:tcPr>
            <w:tcW w:w="1236" w:type="dxa"/>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3,269.00</w:t>
            </w:r>
          </w:p>
        </w:tc>
        <w:tc>
          <w:tcPr>
            <w:tcW w:w="1629" w:type="dxa"/>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354,425.00</w:t>
            </w:r>
          </w:p>
        </w:tc>
        <w:tc>
          <w:tcPr>
            <w:tcW w:w="533" w:type="dxa"/>
            <w:shd w:val="clear" w:color="auto" w:fill="auto"/>
            <w:noWrap/>
            <w:vAlign w:val="center"/>
          </w:tcPr>
          <w:p>
            <w:pPr>
              <w:jc w:val="center"/>
              <w:rPr>
                <w:rFonts w:hint="eastAsia" w:ascii="仿宋" w:hAnsi="仿宋" w:eastAsia="仿宋" w:cs="仿宋"/>
                <w:i w:val="0"/>
                <w:iCs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41" w:hRule="atLeast"/>
          <w:jc w:val="center"/>
        </w:trPr>
        <w:tc>
          <w:tcPr>
            <w:tcW w:w="705" w:type="dxa"/>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23</w:t>
            </w:r>
          </w:p>
        </w:tc>
        <w:tc>
          <w:tcPr>
            <w:tcW w:w="2610"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北港兴城（一期）2、3、5栋（2）1单元17层3号</w:t>
            </w:r>
          </w:p>
        </w:tc>
        <w:tc>
          <w:tcPr>
            <w:tcW w:w="810" w:type="dxa"/>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住宅</w:t>
            </w:r>
          </w:p>
        </w:tc>
        <w:tc>
          <w:tcPr>
            <w:tcW w:w="773" w:type="dxa"/>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w:t>
            </w:r>
          </w:p>
        </w:tc>
        <w:tc>
          <w:tcPr>
            <w:tcW w:w="1096" w:type="dxa"/>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108.42</w:t>
            </w:r>
          </w:p>
        </w:tc>
        <w:tc>
          <w:tcPr>
            <w:tcW w:w="1236" w:type="dxa"/>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3,269.00</w:t>
            </w:r>
          </w:p>
        </w:tc>
        <w:tc>
          <w:tcPr>
            <w:tcW w:w="1629" w:type="dxa"/>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354,425.00</w:t>
            </w:r>
          </w:p>
        </w:tc>
        <w:tc>
          <w:tcPr>
            <w:tcW w:w="533" w:type="dxa"/>
            <w:shd w:val="clear" w:color="auto" w:fill="auto"/>
            <w:noWrap/>
            <w:vAlign w:val="center"/>
          </w:tcPr>
          <w:p>
            <w:pPr>
              <w:jc w:val="center"/>
              <w:rPr>
                <w:rFonts w:hint="eastAsia" w:ascii="仿宋" w:hAnsi="仿宋" w:eastAsia="仿宋" w:cs="仿宋"/>
                <w:i w:val="0"/>
                <w:iCs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41" w:hRule="atLeast"/>
          <w:jc w:val="center"/>
        </w:trPr>
        <w:tc>
          <w:tcPr>
            <w:tcW w:w="705" w:type="dxa"/>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24</w:t>
            </w:r>
          </w:p>
        </w:tc>
        <w:tc>
          <w:tcPr>
            <w:tcW w:w="2610"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北港兴城（一期）2、3、5栋（2）1单元17层4号</w:t>
            </w:r>
          </w:p>
        </w:tc>
        <w:tc>
          <w:tcPr>
            <w:tcW w:w="810" w:type="dxa"/>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住宅</w:t>
            </w:r>
          </w:p>
        </w:tc>
        <w:tc>
          <w:tcPr>
            <w:tcW w:w="773" w:type="dxa"/>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w:t>
            </w:r>
          </w:p>
        </w:tc>
        <w:tc>
          <w:tcPr>
            <w:tcW w:w="1096" w:type="dxa"/>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147.89</w:t>
            </w:r>
          </w:p>
        </w:tc>
        <w:tc>
          <w:tcPr>
            <w:tcW w:w="1236" w:type="dxa"/>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3,269.00</w:t>
            </w:r>
          </w:p>
        </w:tc>
        <w:tc>
          <w:tcPr>
            <w:tcW w:w="1629" w:type="dxa"/>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483,452.00</w:t>
            </w:r>
          </w:p>
        </w:tc>
        <w:tc>
          <w:tcPr>
            <w:tcW w:w="533" w:type="dxa"/>
            <w:shd w:val="clear" w:color="auto" w:fill="auto"/>
            <w:noWrap/>
            <w:vAlign w:val="center"/>
          </w:tcPr>
          <w:p>
            <w:pPr>
              <w:jc w:val="center"/>
              <w:rPr>
                <w:rFonts w:hint="eastAsia" w:ascii="仿宋" w:hAnsi="仿宋" w:eastAsia="仿宋" w:cs="仿宋"/>
                <w:i w:val="0"/>
                <w:iCs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41" w:hRule="atLeast"/>
          <w:jc w:val="center"/>
        </w:trPr>
        <w:tc>
          <w:tcPr>
            <w:tcW w:w="705" w:type="dxa"/>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25</w:t>
            </w:r>
          </w:p>
        </w:tc>
        <w:tc>
          <w:tcPr>
            <w:tcW w:w="2610"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北港兴城（一期）2、3、5栋（2）1单元18层1号</w:t>
            </w:r>
          </w:p>
        </w:tc>
        <w:tc>
          <w:tcPr>
            <w:tcW w:w="810" w:type="dxa"/>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住宅</w:t>
            </w:r>
          </w:p>
        </w:tc>
        <w:tc>
          <w:tcPr>
            <w:tcW w:w="773" w:type="dxa"/>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w:t>
            </w:r>
          </w:p>
        </w:tc>
        <w:tc>
          <w:tcPr>
            <w:tcW w:w="1096" w:type="dxa"/>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147.29</w:t>
            </w:r>
          </w:p>
        </w:tc>
        <w:tc>
          <w:tcPr>
            <w:tcW w:w="1236" w:type="dxa"/>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3,274.00</w:t>
            </w:r>
          </w:p>
        </w:tc>
        <w:tc>
          <w:tcPr>
            <w:tcW w:w="1629" w:type="dxa"/>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482,227.00</w:t>
            </w:r>
          </w:p>
        </w:tc>
        <w:tc>
          <w:tcPr>
            <w:tcW w:w="533" w:type="dxa"/>
            <w:shd w:val="clear" w:color="auto" w:fill="auto"/>
            <w:noWrap/>
            <w:vAlign w:val="center"/>
          </w:tcPr>
          <w:p>
            <w:pPr>
              <w:jc w:val="center"/>
              <w:rPr>
                <w:rFonts w:hint="eastAsia" w:ascii="仿宋" w:hAnsi="仿宋" w:eastAsia="仿宋" w:cs="仿宋"/>
                <w:i w:val="0"/>
                <w:iCs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41" w:hRule="atLeast"/>
          <w:jc w:val="center"/>
        </w:trPr>
        <w:tc>
          <w:tcPr>
            <w:tcW w:w="705" w:type="dxa"/>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26</w:t>
            </w:r>
          </w:p>
        </w:tc>
        <w:tc>
          <w:tcPr>
            <w:tcW w:w="2610"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北港兴城（一期）2、3、5栋（2）1单元18层2号</w:t>
            </w:r>
          </w:p>
        </w:tc>
        <w:tc>
          <w:tcPr>
            <w:tcW w:w="810" w:type="dxa"/>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住宅</w:t>
            </w:r>
          </w:p>
        </w:tc>
        <w:tc>
          <w:tcPr>
            <w:tcW w:w="773" w:type="dxa"/>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w:t>
            </w:r>
          </w:p>
        </w:tc>
        <w:tc>
          <w:tcPr>
            <w:tcW w:w="1096" w:type="dxa"/>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108.42</w:t>
            </w:r>
          </w:p>
        </w:tc>
        <w:tc>
          <w:tcPr>
            <w:tcW w:w="1236" w:type="dxa"/>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3,274.00</w:t>
            </w:r>
          </w:p>
        </w:tc>
        <w:tc>
          <w:tcPr>
            <w:tcW w:w="1629" w:type="dxa"/>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354,967.00</w:t>
            </w:r>
          </w:p>
        </w:tc>
        <w:tc>
          <w:tcPr>
            <w:tcW w:w="533" w:type="dxa"/>
            <w:shd w:val="clear" w:color="auto" w:fill="auto"/>
            <w:noWrap/>
            <w:vAlign w:val="center"/>
          </w:tcPr>
          <w:p>
            <w:pPr>
              <w:jc w:val="center"/>
              <w:rPr>
                <w:rFonts w:hint="eastAsia" w:ascii="仿宋" w:hAnsi="仿宋" w:eastAsia="仿宋" w:cs="仿宋"/>
                <w:i w:val="0"/>
                <w:iCs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41" w:hRule="atLeast"/>
          <w:jc w:val="center"/>
        </w:trPr>
        <w:tc>
          <w:tcPr>
            <w:tcW w:w="705" w:type="dxa"/>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27</w:t>
            </w:r>
          </w:p>
        </w:tc>
        <w:tc>
          <w:tcPr>
            <w:tcW w:w="2610"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北港兴城（一期）2、3、5栋（2）1单元18层3号</w:t>
            </w:r>
          </w:p>
        </w:tc>
        <w:tc>
          <w:tcPr>
            <w:tcW w:w="810" w:type="dxa"/>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住宅</w:t>
            </w:r>
          </w:p>
        </w:tc>
        <w:tc>
          <w:tcPr>
            <w:tcW w:w="773" w:type="dxa"/>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w:t>
            </w:r>
          </w:p>
        </w:tc>
        <w:tc>
          <w:tcPr>
            <w:tcW w:w="1096" w:type="dxa"/>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108.42</w:t>
            </w:r>
          </w:p>
        </w:tc>
        <w:tc>
          <w:tcPr>
            <w:tcW w:w="1236" w:type="dxa"/>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3,274.00</w:t>
            </w:r>
          </w:p>
        </w:tc>
        <w:tc>
          <w:tcPr>
            <w:tcW w:w="1629" w:type="dxa"/>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354,967.00</w:t>
            </w:r>
          </w:p>
        </w:tc>
        <w:tc>
          <w:tcPr>
            <w:tcW w:w="533" w:type="dxa"/>
            <w:shd w:val="clear" w:color="auto" w:fill="auto"/>
            <w:noWrap/>
            <w:vAlign w:val="center"/>
          </w:tcPr>
          <w:p>
            <w:pPr>
              <w:jc w:val="center"/>
              <w:rPr>
                <w:rFonts w:hint="eastAsia" w:ascii="仿宋" w:hAnsi="仿宋" w:eastAsia="仿宋" w:cs="仿宋"/>
                <w:i w:val="0"/>
                <w:iCs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41" w:hRule="atLeast"/>
          <w:jc w:val="center"/>
        </w:trPr>
        <w:tc>
          <w:tcPr>
            <w:tcW w:w="705" w:type="dxa"/>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28</w:t>
            </w:r>
          </w:p>
        </w:tc>
        <w:tc>
          <w:tcPr>
            <w:tcW w:w="2610"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北港兴城（一期）2、3、5栋（2）1单元18层4号</w:t>
            </w:r>
          </w:p>
        </w:tc>
        <w:tc>
          <w:tcPr>
            <w:tcW w:w="810" w:type="dxa"/>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住宅</w:t>
            </w:r>
          </w:p>
        </w:tc>
        <w:tc>
          <w:tcPr>
            <w:tcW w:w="773" w:type="dxa"/>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w:t>
            </w:r>
          </w:p>
        </w:tc>
        <w:tc>
          <w:tcPr>
            <w:tcW w:w="1096" w:type="dxa"/>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147.89</w:t>
            </w:r>
          </w:p>
        </w:tc>
        <w:tc>
          <w:tcPr>
            <w:tcW w:w="1236" w:type="dxa"/>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3,274.00</w:t>
            </w:r>
          </w:p>
        </w:tc>
        <w:tc>
          <w:tcPr>
            <w:tcW w:w="1629" w:type="dxa"/>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484,192.00</w:t>
            </w:r>
          </w:p>
        </w:tc>
        <w:tc>
          <w:tcPr>
            <w:tcW w:w="533" w:type="dxa"/>
            <w:shd w:val="clear" w:color="auto" w:fill="auto"/>
            <w:noWrap/>
            <w:vAlign w:val="center"/>
          </w:tcPr>
          <w:p>
            <w:pPr>
              <w:jc w:val="center"/>
              <w:rPr>
                <w:rFonts w:hint="eastAsia" w:ascii="仿宋" w:hAnsi="仿宋" w:eastAsia="仿宋" w:cs="仿宋"/>
                <w:i w:val="0"/>
                <w:iCs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41" w:hRule="atLeast"/>
          <w:jc w:val="center"/>
        </w:trPr>
        <w:tc>
          <w:tcPr>
            <w:tcW w:w="705" w:type="dxa"/>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29</w:t>
            </w:r>
          </w:p>
        </w:tc>
        <w:tc>
          <w:tcPr>
            <w:tcW w:w="2610"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北港兴城（一期）2、3、5栋（2）1单元19层1号</w:t>
            </w:r>
          </w:p>
        </w:tc>
        <w:tc>
          <w:tcPr>
            <w:tcW w:w="810" w:type="dxa"/>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住宅</w:t>
            </w:r>
          </w:p>
        </w:tc>
        <w:tc>
          <w:tcPr>
            <w:tcW w:w="773" w:type="dxa"/>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w:t>
            </w:r>
          </w:p>
        </w:tc>
        <w:tc>
          <w:tcPr>
            <w:tcW w:w="1096" w:type="dxa"/>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147.29</w:t>
            </w:r>
          </w:p>
        </w:tc>
        <w:tc>
          <w:tcPr>
            <w:tcW w:w="1236" w:type="dxa"/>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3,279.00</w:t>
            </w:r>
          </w:p>
        </w:tc>
        <w:tc>
          <w:tcPr>
            <w:tcW w:w="1629" w:type="dxa"/>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482,964.00</w:t>
            </w:r>
          </w:p>
        </w:tc>
        <w:tc>
          <w:tcPr>
            <w:tcW w:w="533" w:type="dxa"/>
            <w:shd w:val="clear" w:color="auto" w:fill="auto"/>
            <w:noWrap/>
            <w:vAlign w:val="center"/>
          </w:tcPr>
          <w:p>
            <w:pPr>
              <w:jc w:val="center"/>
              <w:rPr>
                <w:rFonts w:hint="eastAsia" w:ascii="仿宋" w:hAnsi="仿宋" w:eastAsia="仿宋" w:cs="仿宋"/>
                <w:i w:val="0"/>
                <w:iCs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41" w:hRule="atLeast"/>
          <w:jc w:val="center"/>
        </w:trPr>
        <w:tc>
          <w:tcPr>
            <w:tcW w:w="705" w:type="dxa"/>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30</w:t>
            </w:r>
          </w:p>
        </w:tc>
        <w:tc>
          <w:tcPr>
            <w:tcW w:w="2610"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北港兴城（一期）2、3、5栋（2）1单元19层2号</w:t>
            </w:r>
          </w:p>
        </w:tc>
        <w:tc>
          <w:tcPr>
            <w:tcW w:w="810" w:type="dxa"/>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住宅</w:t>
            </w:r>
          </w:p>
        </w:tc>
        <w:tc>
          <w:tcPr>
            <w:tcW w:w="773" w:type="dxa"/>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w:t>
            </w:r>
          </w:p>
        </w:tc>
        <w:tc>
          <w:tcPr>
            <w:tcW w:w="1096" w:type="dxa"/>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108.42</w:t>
            </w:r>
          </w:p>
        </w:tc>
        <w:tc>
          <w:tcPr>
            <w:tcW w:w="1236" w:type="dxa"/>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3,279.00</w:t>
            </w:r>
          </w:p>
        </w:tc>
        <w:tc>
          <w:tcPr>
            <w:tcW w:w="1629" w:type="dxa"/>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355,509.00</w:t>
            </w:r>
          </w:p>
        </w:tc>
        <w:tc>
          <w:tcPr>
            <w:tcW w:w="533" w:type="dxa"/>
            <w:shd w:val="clear" w:color="auto" w:fill="auto"/>
            <w:noWrap/>
            <w:vAlign w:val="center"/>
          </w:tcPr>
          <w:p>
            <w:pPr>
              <w:jc w:val="center"/>
              <w:rPr>
                <w:rFonts w:hint="eastAsia" w:ascii="仿宋" w:hAnsi="仿宋" w:eastAsia="仿宋" w:cs="仿宋"/>
                <w:i w:val="0"/>
                <w:iCs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41" w:hRule="atLeast"/>
          <w:jc w:val="center"/>
        </w:trPr>
        <w:tc>
          <w:tcPr>
            <w:tcW w:w="705" w:type="dxa"/>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31</w:t>
            </w:r>
          </w:p>
        </w:tc>
        <w:tc>
          <w:tcPr>
            <w:tcW w:w="2610"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北港兴城（一期）2、3、5栋（2）1单元19层3号</w:t>
            </w:r>
          </w:p>
        </w:tc>
        <w:tc>
          <w:tcPr>
            <w:tcW w:w="810" w:type="dxa"/>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住宅</w:t>
            </w:r>
          </w:p>
        </w:tc>
        <w:tc>
          <w:tcPr>
            <w:tcW w:w="773" w:type="dxa"/>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w:t>
            </w:r>
          </w:p>
        </w:tc>
        <w:tc>
          <w:tcPr>
            <w:tcW w:w="1096" w:type="dxa"/>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108.42</w:t>
            </w:r>
          </w:p>
        </w:tc>
        <w:tc>
          <w:tcPr>
            <w:tcW w:w="1236" w:type="dxa"/>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3,279.00</w:t>
            </w:r>
          </w:p>
        </w:tc>
        <w:tc>
          <w:tcPr>
            <w:tcW w:w="1629" w:type="dxa"/>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355,509.00</w:t>
            </w:r>
          </w:p>
        </w:tc>
        <w:tc>
          <w:tcPr>
            <w:tcW w:w="533" w:type="dxa"/>
            <w:shd w:val="clear" w:color="auto" w:fill="auto"/>
            <w:noWrap/>
            <w:vAlign w:val="center"/>
          </w:tcPr>
          <w:p>
            <w:pPr>
              <w:jc w:val="center"/>
              <w:rPr>
                <w:rFonts w:hint="eastAsia" w:ascii="仿宋" w:hAnsi="仿宋" w:eastAsia="仿宋" w:cs="仿宋"/>
                <w:i w:val="0"/>
                <w:iCs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41" w:hRule="atLeast"/>
          <w:jc w:val="center"/>
        </w:trPr>
        <w:tc>
          <w:tcPr>
            <w:tcW w:w="705" w:type="dxa"/>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32</w:t>
            </w:r>
          </w:p>
        </w:tc>
        <w:tc>
          <w:tcPr>
            <w:tcW w:w="2610"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北港兴城（一期）2、3、5栋（2）1单元19层4号</w:t>
            </w:r>
          </w:p>
        </w:tc>
        <w:tc>
          <w:tcPr>
            <w:tcW w:w="810" w:type="dxa"/>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住宅</w:t>
            </w:r>
          </w:p>
        </w:tc>
        <w:tc>
          <w:tcPr>
            <w:tcW w:w="773" w:type="dxa"/>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w:t>
            </w:r>
          </w:p>
        </w:tc>
        <w:tc>
          <w:tcPr>
            <w:tcW w:w="1096" w:type="dxa"/>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147.89</w:t>
            </w:r>
          </w:p>
        </w:tc>
        <w:tc>
          <w:tcPr>
            <w:tcW w:w="1236" w:type="dxa"/>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3,279.00</w:t>
            </w:r>
          </w:p>
        </w:tc>
        <w:tc>
          <w:tcPr>
            <w:tcW w:w="1629" w:type="dxa"/>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484,931.00</w:t>
            </w:r>
          </w:p>
        </w:tc>
        <w:tc>
          <w:tcPr>
            <w:tcW w:w="533" w:type="dxa"/>
            <w:shd w:val="clear" w:color="auto" w:fill="auto"/>
            <w:noWrap/>
            <w:vAlign w:val="center"/>
          </w:tcPr>
          <w:p>
            <w:pPr>
              <w:jc w:val="center"/>
              <w:rPr>
                <w:rFonts w:hint="eastAsia" w:ascii="仿宋" w:hAnsi="仿宋" w:eastAsia="仿宋" w:cs="仿宋"/>
                <w:i w:val="0"/>
                <w:iCs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41" w:hRule="atLeast"/>
          <w:jc w:val="center"/>
        </w:trPr>
        <w:tc>
          <w:tcPr>
            <w:tcW w:w="705" w:type="dxa"/>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33</w:t>
            </w:r>
          </w:p>
        </w:tc>
        <w:tc>
          <w:tcPr>
            <w:tcW w:w="2610"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北港兴城（一期）2、3、5栋（2）1单元20层1号</w:t>
            </w:r>
          </w:p>
        </w:tc>
        <w:tc>
          <w:tcPr>
            <w:tcW w:w="810" w:type="dxa"/>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住宅</w:t>
            </w:r>
          </w:p>
        </w:tc>
        <w:tc>
          <w:tcPr>
            <w:tcW w:w="773" w:type="dxa"/>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w:t>
            </w:r>
          </w:p>
        </w:tc>
        <w:tc>
          <w:tcPr>
            <w:tcW w:w="1096" w:type="dxa"/>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147.29</w:t>
            </w:r>
          </w:p>
        </w:tc>
        <w:tc>
          <w:tcPr>
            <w:tcW w:w="1236" w:type="dxa"/>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3,284.00</w:t>
            </w:r>
          </w:p>
        </w:tc>
        <w:tc>
          <w:tcPr>
            <w:tcW w:w="1629" w:type="dxa"/>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483,700.00</w:t>
            </w:r>
          </w:p>
        </w:tc>
        <w:tc>
          <w:tcPr>
            <w:tcW w:w="533" w:type="dxa"/>
            <w:shd w:val="clear" w:color="auto" w:fill="auto"/>
            <w:noWrap/>
            <w:vAlign w:val="center"/>
          </w:tcPr>
          <w:p>
            <w:pPr>
              <w:jc w:val="center"/>
              <w:rPr>
                <w:rFonts w:hint="eastAsia" w:ascii="仿宋" w:hAnsi="仿宋" w:eastAsia="仿宋" w:cs="仿宋"/>
                <w:i w:val="0"/>
                <w:iCs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41" w:hRule="atLeast"/>
          <w:jc w:val="center"/>
        </w:trPr>
        <w:tc>
          <w:tcPr>
            <w:tcW w:w="705" w:type="dxa"/>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34</w:t>
            </w:r>
          </w:p>
        </w:tc>
        <w:tc>
          <w:tcPr>
            <w:tcW w:w="2610"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北港兴城（一期）2、3、5栋（2）1单元20层2号</w:t>
            </w:r>
          </w:p>
        </w:tc>
        <w:tc>
          <w:tcPr>
            <w:tcW w:w="810" w:type="dxa"/>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住宅</w:t>
            </w:r>
          </w:p>
        </w:tc>
        <w:tc>
          <w:tcPr>
            <w:tcW w:w="773" w:type="dxa"/>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w:t>
            </w:r>
          </w:p>
        </w:tc>
        <w:tc>
          <w:tcPr>
            <w:tcW w:w="1096" w:type="dxa"/>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108.42</w:t>
            </w:r>
          </w:p>
        </w:tc>
        <w:tc>
          <w:tcPr>
            <w:tcW w:w="1236" w:type="dxa"/>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3,284.00</w:t>
            </w:r>
          </w:p>
        </w:tc>
        <w:tc>
          <w:tcPr>
            <w:tcW w:w="1629" w:type="dxa"/>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356,051.00</w:t>
            </w:r>
          </w:p>
        </w:tc>
        <w:tc>
          <w:tcPr>
            <w:tcW w:w="533" w:type="dxa"/>
            <w:shd w:val="clear" w:color="auto" w:fill="auto"/>
            <w:noWrap/>
            <w:vAlign w:val="center"/>
          </w:tcPr>
          <w:p>
            <w:pPr>
              <w:jc w:val="center"/>
              <w:rPr>
                <w:rFonts w:hint="eastAsia" w:ascii="仿宋" w:hAnsi="仿宋" w:eastAsia="仿宋" w:cs="仿宋"/>
                <w:i w:val="0"/>
                <w:iCs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41" w:hRule="atLeast"/>
          <w:jc w:val="center"/>
        </w:trPr>
        <w:tc>
          <w:tcPr>
            <w:tcW w:w="705" w:type="dxa"/>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35</w:t>
            </w:r>
          </w:p>
        </w:tc>
        <w:tc>
          <w:tcPr>
            <w:tcW w:w="2610"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北港兴城（一期）2、3、5栋（2）1单元20层3号</w:t>
            </w:r>
          </w:p>
        </w:tc>
        <w:tc>
          <w:tcPr>
            <w:tcW w:w="810" w:type="dxa"/>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住宅</w:t>
            </w:r>
          </w:p>
        </w:tc>
        <w:tc>
          <w:tcPr>
            <w:tcW w:w="773" w:type="dxa"/>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w:t>
            </w:r>
          </w:p>
        </w:tc>
        <w:tc>
          <w:tcPr>
            <w:tcW w:w="1096" w:type="dxa"/>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108.42</w:t>
            </w:r>
          </w:p>
        </w:tc>
        <w:tc>
          <w:tcPr>
            <w:tcW w:w="1236" w:type="dxa"/>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3,284.00</w:t>
            </w:r>
          </w:p>
        </w:tc>
        <w:tc>
          <w:tcPr>
            <w:tcW w:w="1629" w:type="dxa"/>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356,051.00</w:t>
            </w:r>
          </w:p>
        </w:tc>
        <w:tc>
          <w:tcPr>
            <w:tcW w:w="533" w:type="dxa"/>
            <w:shd w:val="clear" w:color="auto" w:fill="auto"/>
            <w:noWrap/>
            <w:vAlign w:val="center"/>
          </w:tcPr>
          <w:p>
            <w:pPr>
              <w:jc w:val="center"/>
              <w:rPr>
                <w:rFonts w:hint="eastAsia" w:ascii="仿宋" w:hAnsi="仿宋" w:eastAsia="仿宋" w:cs="仿宋"/>
                <w:i w:val="0"/>
                <w:iCs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41" w:hRule="atLeast"/>
          <w:jc w:val="center"/>
        </w:trPr>
        <w:tc>
          <w:tcPr>
            <w:tcW w:w="705" w:type="dxa"/>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36</w:t>
            </w:r>
          </w:p>
        </w:tc>
        <w:tc>
          <w:tcPr>
            <w:tcW w:w="2610"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北港兴城（一期）2、3、5栋（2）1单元20层4号</w:t>
            </w:r>
          </w:p>
        </w:tc>
        <w:tc>
          <w:tcPr>
            <w:tcW w:w="810" w:type="dxa"/>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住宅</w:t>
            </w:r>
          </w:p>
        </w:tc>
        <w:tc>
          <w:tcPr>
            <w:tcW w:w="773" w:type="dxa"/>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w:t>
            </w:r>
          </w:p>
        </w:tc>
        <w:tc>
          <w:tcPr>
            <w:tcW w:w="1096" w:type="dxa"/>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147.89</w:t>
            </w:r>
          </w:p>
        </w:tc>
        <w:tc>
          <w:tcPr>
            <w:tcW w:w="1236" w:type="dxa"/>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3,284.00</w:t>
            </w:r>
          </w:p>
        </w:tc>
        <w:tc>
          <w:tcPr>
            <w:tcW w:w="1629" w:type="dxa"/>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485,671.00</w:t>
            </w:r>
          </w:p>
        </w:tc>
        <w:tc>
          <w:tcPr>
            <w:tcW w:w="533" w:type="dxa"/>
            <w:shd w:val="clear" w:color="auto" w:fill="auto"/>
            <w:noWrap/>
            <w:vAlign w:val="center"/>
          </w:tcPr>
          <w:p>
            <w:pPr>
              <w:jc w:val="center"/>
              <w:rPr>
                <w:rFonts w:hint="eastAsia" w:ascii="仿宋" w:hAnsi="仿宋" w:eastAsia="仿宋" w:cs="仿宋"/>
                <w:i w:val="0"/>
                <w:iCs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41" w:hRule="atLeast"/>
          <w:jc w:val="center"/>
        </w:trPr>
        <w:tc>
          <w:tcPr>
            <w:tcW w:w="705" w:type="dxa"/>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37</w:t>
            </w:r>
          </w:p>
        </w:tc>
        <w:tc>
          <w:tcPr>
            <w:tcW w:w="2610"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北港兴城（一期）2、3、5栋（2）1单元21层1号</w:t>
            </w:r>
          </w:p>
        </w:tc>
        <w:tc>
          <w:tcPr>
            <w:tcW w:w="810" w:type="dxa"/>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住宅</w:t>
            </w:r>
          </w:p>
        </w:tc>
        <w:tc>
          <w:tcPr>
            <w:tcW w:w="773" w:type="dxa"/>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w:t>
            </w:r>
          </w:p>
        </w:tc>
        <w:tc>
          <w:tcPr>
            <w:tcW w:w="1096" w:type="dxa"/>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147.29</w:t>
            </w:r>
          </w:p>
        </w:tc>
        <w:tc>
          <w:tcPr>
            <w:tcW w:w="1236" w:type="dxa"/>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3,289.00</w:t>
            </w:r>
          </w:p>
        </w:tc>
        <w:tc>
          <w:tcPr>
            <w:tcW w:w="1629" w:type="dxa"/>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484,437.00</w:t>
            </w:r>
          </w:p>
        </w:tc>
        <w:tc>
          <w:tcPr>
            <w:tcW w:w="533" w:type="dxa"/>
            <w:shd w:val="clear" w:color="auto" w:fill="auto"/>
            <w:noWrap/>
            <w:vAlign w:val="center"/>
          </w:tcPr>
          <w:p>
            <w:pPr>
              <w:jc w:val="center"/>
              <w:rPr>
                <w:rFonts w:hint="eastAsia" w:ascii="仿宋" w:hAnsi="仿宋" w:eastAsia="仿宋" w:cs="仿宋"/>
                <w:i w:val="0"/>
                <w:iCs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41" w:hRule="atLeast"/>
          <w:jc w:val="center"/>
        </w:trPr>
        <w:tc>
          <w:tcPr>
            <w:tcW w:w="705" w:type="dxa"/>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38</w:t>
            </w:r>
          </w:p>
        </w:tc>
        <w:tc>
          <w:tcPr>
            <w:tcW w:w="2610"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北港兴城（一期）2、3、5栋（2）1单元21层2号</w:t>
            </w:r>
          </w:p>
        </w:tc>
        <w:tc>
          <w:tcPr>
            <w:tcW w:w="810" w:type="dxa"/>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住宅</w:t>
            </w:r>
          </w:p>
        </w:tc>
        <w:tc>
          <w:tcPr>
            <w:tcW w:w="773" w:type="dxa"/>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w:t>
            </w:r>
          </w:p>
        </w:tc>
        <w:tc>
          <w:tcPr>
            <w:tcW w:w="1096" w:type="dxa"/>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108.42</w:t>
            </w:r>
          </w:p>
        </w:tc>
        <w:tc>
          <w:tcPr>
            <w:tcW w:w="1236" w:type="dxa"/>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3,289.00</w:t>
            </w:r>
          </w:p>
        </w:tc>
        <w:tc>
          <w:tcPr>
            <w:tcW w:w="1629" w:type="dxa"/>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356,593.00</w:t>
            </w:r>
          </w:p>
        </w:tc>
        <w:tc>
          <w:tcPr>
            <w:tcW w:w="533" w:type="dxa"/>
            <w:shd w:val="clear" w:color="auto" w:fill="auto"/>
            <w:noWrap/>
            <w:vAlign w:val="center"/>
          </w:tcPr>
          <w:p>
            <w:pPr>
              <w:jc w:val="center"/>
              <w:rPr>
                <w:rFonts w:hint="eastAsia" w:ascii="仿宋" w:hAnsi="仿宋" w:eastAsia="仿宋" w:cs="仿宋"/>
                <w:i w:val="0"/>
                <w:iCs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41" w:hRule="atLeast"/>
          <w:jc w:val="center"/>
        </w:trPr>
        <w:tc>
          <w:tcPr>
            <w:tcW w:w="705" w:type="dxa"/>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39</w:t>
            </w:r>
          </w:p>
        </w:tc>
        <w:tc>
          <w:tcPr>
            <w:tcW w:w="2610"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北港兴城（一期）2、3、5栋（2）1单元21层3号</w:t>
            </w:r>
          </w:p>
        </w:tc>
        <w:tc>
          <w:tcPr>
            <w:tcW w:w="810" w:type="dxa"/>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住宅</w:t>
            </w:r>
          </w:p>
        </w:tc>
        <w:tc>
          <w:tcPr>
            <w:tcW w:w="773" w:type="dxa"/>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w:t>
            </w:r>
          </w:p>
        </w:tc>
        <w:tc>
          <w:tcPr>
            <w:tcW w:w="1096" w:type="dxa"/>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108.42</w:t>
            </w:r>
          </w:p>
        </w:tc>
        <w:tc>
          <w:tcPr>
            <w:tcW w:w="1236" w:type="dxa"/>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3,289.00</w:t>
            </w:r>
          </w:p>
        </w:tc>
        <w:tc>
          <w:tcPr>
            <w:tcW w:w="1629" w:type="dxa"/>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356,593.00</w:t>
            </w:r>
          </w:p>
        </w:tc>
        <w:tc>
          <w:tcPr>
            <w:tcW w:w="533" w:type="dxa"/>
            <w:shd w:val="clear" w:color="auto" w:fill="auto"/>
            <w:noWrap/>
            <w:vAlign w:val="center"/>
          </w:tcPr>
          <w:p>
            <w:pPr>
              <w:jc w:val="center"/>
              <w:rPr>
                <w:rFonts w:hint="eastAsia" w:ascii="仿宋" w:hAnsi="仿宋" w:eastAsia="仿宋" w:cs="仿宋"/>
                <w:i w:val="0"/>
                <w:iCs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41" w:hRule="atLeast"/>
          <w:jc w:val="center"/>
        </w:trPr>
        <w:tc>
          <w:tcPr>
            <w:tcW w:w="705" w:type="dxa"/>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40</w:t>
            </w:r>
          </w:p>
        </w:tc>
        <w:tc>
          <w:tcPr>
            <w:tcW w:w="2610"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北港兴城（一期）2、3、5栋（2）1单元21层4号</w:t>
            </w:r>
          </w:p>
        </w:tc>
        <w:tc>
          <w:tcPr>
            <w:tcW w:w="810" w:type="dxa"/>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住宅</w:t>
            </w:r>
          </w:p>
        </w:tc>
        <w:tc>
          <w:tcPr>
            <w:tcW w:w="773" w:type="dxa"/>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w:t>
            </w:r>
          </w:p>
        </w:tc>
        <w:tc>
          <w:tcPr>
            <w:tcW w:w="1096" w:type="dxa"/>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147.89</w:t>
            </w:r>
          </w:p>
        </w:tc>
        <w:tc>
          <w:tcPr>
            <w:tcW w:w="1236" w:type="dxa"/>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3,289.00</w:t>
            </w:r>
          </w:p>
        </w:tc>
        <w:tc>
          <w:tcPr>
            <w:tcW w:w="1629" w:type="dxa"/>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486,410.00</w:t>
            </w:r>
          </w:p>
        </w:tc>
        <w:tc>
          <w:tcPr>
            <w:tcW w:w="533" w:type="dxa"/>
            <w:shd w:val="clear" w:color="auto" w:fill="auto"/>
            <w:noWrap/>
            <w:vAlign w:val="center"/>
          </w:tcPr>
          <w:p>
            <w:pPr>
              <w:jc w:val="center"/>
              <w:rPr>
                <w:rFonts w:hint="eastAsia" w:ascii="仿宋" w:hAnsi="仿宋" w:eastAsia="仿宋" w:cs="仿宋"/>
                <w:i w:val="0"/>
                <w:iCs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41" w:hRule="atLeast"/>
          <w:jc w:val="center"/>
        </w:trPr>
        <w:tc>
          <w:tcPr>
            <w:tcW w:w="705" w:type="dxa"/>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41</w:t>
            </w:r>
          </w:p>
        </w:tc>
        <w:tc>
          <w:tcPr>
            <w:tcW w:w="2610"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北港兴城（一期）2、3、5栋（2）1单元22层1号</w:t>
            </w:r>
          </w:p>
        </w:tc>
        <w:tc>
          <w:tcPr>
            <w:tcW w:w="810" w:type="dxa"/>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住宅</w:t>
            </w:r>
          </w:p>
        </w:tc>
        <w:tc>
          <w:tcPr>
            <w:tcW w:w="773" w:type="dxa"/>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w:t>
            </w:r>
          </w:p>
        </w:tc>
        <w:tc>
          <w:tcPr>
            <w:tcW w:w="1096" w:type="dxa"/>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147.29</w:t>
            </w:r>
          </w:p>
        </w:tc>
        <w:tc>
          <w:tcPr>
            <w:tcW w:w="1236" w:type="dxa"/>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3,194.00</w:t>
            </w:r>
          </w:p>
        </w:tc>
        <w:tc>
          <w:tcPr>
            <w:tcW w:w="1629" w:type="dxa"/>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470,444.00</w:t>
            </w:r>
          </w:p>
        </w:tc>
        <w:tc>
          <w:tcPr>
            <w:tcW w:w="533" w:type="dxa"/>
            <w:shd w:val="clear" w:color="auto" w:fill="auto"/>
            <w:noWrap/>
            <w:vAlign w:val="center"/>
          </w:tcPr>
          <w:p>
            <w:pPr>
              <w:jc w:val="center"/>
              <w:rPr>
                <w:rFonts w:hint="eastAsia" w:ascii="仿宋" w:hAnsi="仿宋" w:eastAsia="仿宋" w:cs="仿宋"/>
                <w:i w:val="0"/>
                <w:iCs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41" w:hRule="atLeast"/>
          <w:jc w:val="center"/>
        </w:trPr>
        <w:tc>
          <w:tcPr>
            <w:tcW w:w="705" w:type="dxa"/>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42</w:t>
            </w:r>
          </w:p>
        </w:tc>
        <w:tc>
          <w:tcPr>
            <w:tcW w:w="2610"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北港兴城（一期）2、3、5栋（2）1单元22层2号</w:t>
            </w:r>
          </w:p>
        </w:tc>
        <w:tc>
          <w:tcPr>
            <w:tcW w:w="810" w:type="dxa"/>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住宅</w:t>
            </w:r>
          </w:p>
        </w:tc>
        <w:tc>
          <w:tcPr>
            <w:tcW w:w="773" w:type="dxa"/>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w:t>
            </w:r>
          </w:p>
        </w:tc>
        <w:tc>
          <w:tcPr>
            <w:tcW w:w="1096" w:type="dxa"/>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108.42</w:t>
            </w:r>
          </w:p>
        </w:tc>
        <w:tc>
          <w:tcPr>
            <w:tcW w:w="1236" w:type="dxa"/>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3,194.00</w:t>
            </w:r>
          </w:p>
        </w:tc>
        <w:tc>
          <w:tcPr>
            <w:tcW w:w="1629" w:type="dxa"/>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346,293.00</w:t>
            </w:r>
          </w:p>
        </w:tc>
        <w:tc>
          <w:tcPr>
            <w:tcW w:w="533" w:type="dxa"/>
            <w:shd w:val="clear" w:color="auto" w:fill="auto"/>
            <w:noWrap/>
            <w:vAlign w:val="center"/>
          </w:tcPr>
          <w:p>
            <w:pPr>
              <w:jc w:val="center"/>
              <w:rPr>
                <w:rFonts w:hint="eastAsia" w:ascii="仿宋" w:hAnsi="仿宋" w:eastAsia="仿宋" w:cs="仿宋"/>
                <w:i w:val="0"/>
                <w:iCs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1" w:hRule="atLeast"/>
          <w:jc w:val="center"/>
        </w:trPr>
        <w:tc>
          <w:tcPr>
            <w:tcW w:w="705" w:type="dxa"/>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43</w:t>
            </w:r>
          </w:p>
        </w:tc>
        <w:tc>
          <w:tcPr>
            <w:tcW w:w="2610"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北港兴城（一期）2、3、5栋（2）1单元22层3号</w:t>
            </w:r>
          </w:p>
        </w:tc>
        <w:tc>
          <w:tcPr>
            <w:tcW w:w="810" w:type="dxa"/>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住宅</w:t>
            </w:r>
          </w:p>
        </w:tc>
        <w:tc>
          <w:tcPr>
            <w:tcW w:w="773" w:type="dxa"/>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w:t>
            </w:r>
          </w:p>
        </w:tc>
        <w:tc>
          <w:tcPr>
            <w:tcW w:w="1096" w:type="dxa"/>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108.42</w:t>
            </w:r>
          </w:p>
        </w:tc>
        <w:tc>
          <w:tcPr>
            <w:tcW w:w="1236" w:type="dxa"/>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3,194.00</w:t>
            </w:r>
          </w:p>
        </w:tc>
        <w:tc>
          <w:tcPr>
            <w:tcW w:w="1629" w:type="dxa"/>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346,293.00</w:t>
            </w:r>
          </w:p>
        </w:tc>
        <w:tc>
          <w:tcPr>
            <w:tcW w:w="533" w:type="dxa"/>
            <w:shd w:val="clear" w:color="auto" w:fill="auto"/>
            <w:noWrap/>
            <w:vAlign w:val="center"/>
          </w:tcPr>
          <w:p>
            <w:pPr>
              <w:jc w:val="center"/>
              <w:rPr>
                <w:rFonts w:hint="eastAsia" w:ascii="仿宋" w:hAnsi="仿宋" w:eastAsia="仿宋" w:cs="仿宋"/>
                <w:i w:val="0"/>
                <w:iCs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1" w:hRule="atLeast"/>
          <w:jc w:val="center"/>
        </w:trPr>
        <w:tc>
          <w:tcPr>
            <w:tcW w:w="705" w:type="dxa"/>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44</w:t>
            </w:r>
          </w:p>
        </w:tc>
        <w:tc>
          <w:tcPr>
            <w:tcW w:w="2610"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北港兴城（一期）2、3、5栋（2）1单元22层4号</w:t>
            </w:r>
          </w:p>
        </w:tc>
        <w:tc>
          <w:tcPr>
            <w:tcW w:w="810" w:type="dxa"/>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住宅</w:t>
            </w:r>
          </w:p>
        </w:tc>
        <w:tc>
          <w:tcPr>
            <w:tcW w:w="773" w:type="dxa"/>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w:t>
            </w:r>
          </w:p>
        </w:tc>
        <w:tc>
          <w:tcPr>
            <w:tcW w:w="1096" w:type="dxa"/>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147.89</w:t>
            </w:r>
          </w:p>
        </w:tc>
        <w:tc>
          <w:tcPr>
            <w:tcW w:w="1236" w:type="dxa"/>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3,194.00</w:t>
            </w:r>
          </w:p>
        </w:tc>
        <w:tc>
          <w:tcPr>
            <w:tcW w:w="1629" w:type="dxa"/>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472,361.00</w:t>
            </w:r>
          </w:p>
        </w:tc>
        <w:tc>
          <w:tcPr>
            <w:tcW w:w="533" w:type="dxa"/>
            <w:shd w:val="clear" w:color="auto" w:fill="auto"/>
            <w:noWrap/>
            <w:vAlign w:val="center"/>
          </w:tcPr>
          <w:p>
            <w:pPr>
              <w:jc w:val="center"/>
              <w:rPr>
                <w:rFonts w:hint="eastAsia" w:ascii="仿宋" w:hAnsi="仿宋" w:eastAsia="仿宋" w:cs="仿宋"/>
                <w:i w:val="0"/>
                <w:iCs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36" w:hRule="atLeast"/>
          <w:jc w:val="center"/>
        </w:trPr>
        <w:tc>
          <w:tcPr>
            <w:tcW w:w="3315" w:type="dxa"/>
            <w:gridSpan w:val="2"/>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合计</w:t>
            </w:r>
          </w:p>
        </w:tc>
        <w:tc>
          <w:tcPr>
            <w:tcW w:w="810" w:type="dxa"/>
            <w:shd w:val="clear" w:color="auto" w:fill="auto"/>
            <w:noWrap/>
            <w:vAlign w:val="center"/>
          </w:tcPr>
          <w:p>
            <w:pPr>
              <w:jc w:val="center"/>
              <w:rPr>
                <w:rFonts w:hint="eastAsia" w:ascii="仿宋" w:hAnsi="仿宋" w:eastAsia="仿宋" w:cs="仿宋"/>
                <w:i w:val="0"/>
                <w:iCs w:val="0"/>
                <w:color w:val="000000"/>
                <w:sz w:val="21"/>
                <w:szCs w:val="21"/>
                <w:u w:val="none"/>
              </w:rPr>
            </w:pPr>
          </w:p>
        </w:tc>
        <w:tc>
          <w:tcPr>
            <w:tcW w:w="773" w:type="dxa"/>
            <w:shd w:val="clear" w:color="auto" w:fill="auto"/>
            <w:noWrap/>
            <w:vAlign w:val="center"/>
          </w:tcPr>
          <w:p>
            <w:pPr>
              <w:jc w:val="center"/>
              <w:rPr>
                <w:rFonts w:hint="eastAsia" w:ascii="仿宋" w:hAnsi="仿宋" w:eastAsia="仿宋" w:cs="仿宋"/>
                <w:i w:val="0"/>
                <w:iCs w:val="0"/>
                <w:color w:val="000000"/>
                <w:sz w:val="21"/>
                <w:szCs w:val="21"/>
                <w:u w:val="none"/>
              </w:rPr>
            </w:pPr>
          </w:p>
        </w:tc>
        <w:tc>
          <w:tcPr>
            <w:tcW w:w="1096" w:type="dxa"/>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5,632.22</w:t>
            </w:r>
          </w:p>
        </w:tc>
        <w:tc>
          <w:tcPr>
            <w:tcW w:w="1236" w:type="dxa"/>
            <w:shd w:val="clear" w:color="auto" w:fill="auto"/>
            <w:noWrap/>
            <w:vAlign w:val="center"/>
          </w:tcPr>
          <w:p>
            <w:pPr>
              <w:jc w:val="center"/>
              <w:rPr>
                <w:rFonts w:hint="eastAsia" w:ascii="仿宋" w:hAnsi="仿宋" w:eastAsia="仿宋" w:cs="仿宋"/>
                <w:i w:val="0"/>
                <w:iCs w:val="0"/>
                <w:color w:val="000000"/>
                <w:sz w:val="21"/>
                <w:szCs w:val="21"/>
                <w:u w:val="none"/>
              </w:rPr>
            </w:pPr>
          </w:p>
        </w:tc>
        <w:tc>
          <w:tcPr>
            <w:tcW w:w="1629" w:type="dxa"/>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18,360,524.00</w:t>
            </w:r>
          </w:p>
        </w:tc>
        <w:tc>
          <w:tcPr>
            <w:tcW w:w="533" w:type="dxa"/>
            <w:shd w:val="clear" w:color="auto" w:fill="auto"/>
            <w:noWrap/>
            <w:vAlign w:val="center"/>
          </w:tcPr>
          <w:p>
            <w:pPr>
              <w:jc w:val="center"/>
              <w:rPr>
                <w:rFonts w:hint="eastAsia" w:ascii="仿宋" w:hAnsi="仿宋" w:eastAsia="仿宋" w:cs="仿宋"/>
                <w:i w:val="0"/>
                <w:iCs w:val="0"/>
                <w:color w:val="000000"/>
                <w:sz w:val="21"/>
                <w:szCs w:val="21"/>
                <w:u w:val="none"/>
              </w:rPr>
            </w:pPr>
          </w:p>
        </w:tc>
      </w:tr>
    </w:tbl>
    <w:p>
      <w:pPr>
        <w:keepNext w:val="0"/>
        <w:keepLines w:val="0"/>
        <w:pageBreakBefore w:val="0"/>
        <w:widowControl w:val="0"/>
        <w:kinsoku/>
        <w:wordWrap/>
        <w:overflowPunct/>
        <w:topLinePunct w:val="0"/>
        <w:autoSpaceDE/>
        <w:autoSpaceDN/>
        <w:bidi w:val="0"/>
        <w:adjustRightInd/>
        <w:snapToGrid/>
        <w:spacing w:line="360" w:lineRule="auto"/>
        <w:ind w:firstLine="840" w:firstLineChars="300"/>
        <w:jc w:val="both"/>
        <w:textAlignment w:val="auto"/>
        <w:rPr>
          <w:rFonts w:hint="eastAsia"/>
          <w:sz w:val="28"/>
          <w:szCs w:val="28"/>
          <w:lang w:val="en-US" w:eastAsia="zh-CN"/>
        </w:rPr>
      </w:pPr>
      <w:r>
        <w:rPr>
          <w:rFonts w:hint="eastAsia" w:ascii="Times New Roman" w:hAnsi="Times New Roman" w:eastAsia="宋体" w:cs="Times New Roman"/>
          <w:bCs/>
          <w:szCs w:val="28"/>
        </w:rPr>
        <w:t>特别提示：</w:t>
      </w:r>
      <w:r>
        <w:rPr>
          <w:rFonts w:hint="eastAsia" w:ascii="Times New Roman" w:hAnsi="Times New Roman" w:eastAsia="宋体" w:cs="Times New Roman"/>
          <w:bCs/>
          <w:szCs w:val="28"/>
          <w:lang w:val="en-US" w:eastAsia="zh-CN"/>
        </w:rPr>
        <w:t>1、</w:t>
      </w:r>
      <w:r>
        <w:rPr>
          <w:rFonts w:hint="eastAsia"/>
          <w:sz w:val="28"/>
          <w:szCs w:val="28"/>
          <w:lang w:val="en-US" w:eastAsia="zh-CN"/>
        </w:rPr>
        <w:t>于2022年7月7日正在建设之中，2#、3#、5#楼建筑面积共计40585.52平方米，本次评估对象44套建筑面积合计5,632.22 平方米，约占13.88%，且部分房地产已被售出，由购买方对纳入评估范围的部分住宅房地产进行后续开发建设不具备操作性与可行性，</w:t>
      </w:r>
      <w:r>
        <w:rPr>
          <w:rFonts w:hint="eastAsia"/>
          <w:sz w:val="28"/>
          <w:szCs w:val="28"/>
        </w:rPr>
        <w:t>贵州鼎鑫房地产开发有限责任公司</w:t>
      </w:r>
      <w:r>
        <w:rPr>
          <w:rFonts w:hint="eastAsia"/>
          <w:sz w:val="28"/>
          <w:szCs w:val="28"/>
          <w:lang w:val="en-US" w:eastAsia="zh-CN"/>
        </w:rPr>
        <w:t>承诺：“由贵州鼎鑫房地产开发有限责任公司进行后续开发建设，贵州鼎鑫房地产开发有限责任公司承担后续开发建设过程中的一切经济支出，纳入评估范围的房地产严格按照《商品房预售许可证》记载的交付使用日期（2023年12月1日）进行交付使用，交付使用的房地产需经相关部分验收合格，贵州鼎鑫房地产开发有限责任公司在房屋交付使用后按照国家相关的法律规定承担相应的住宅房地产质量保修责任，交付的房地产的装修情况为毛坯”，故本次评估按期房进行评估，提请报告</w:t>
      </w:r>
      <w:bookmarkStart w:id="80" w:name="_GoBack"/>
      <w:r>
        <w:rPr>
          <w:rFonts w:hint="eastAsia"/>
          <w:sz w:val="28"/>
          <w:szCs w:val="28"/>
          <w:lang w:val="en-US" w:eastAsia="zh-CN"/>
        </w:rPr>
        <w:t>使用者予以关注。</w:t>
      </w:r>
    </w:p>
    <w:bookmarkEnd w:id="80"/>
    <w:p>
      <w:pPr>
        <w:pStyle w:val="2"/>
        <w:rPr>
          <w:rFonts w:hint="default"/>
          <w:lang w:val="en-US" w:eastAsia="zh-CN"/>
        </w:rPr>
      </w:pPr>
      <w:r>
        <w:rPr>
          <w:rFonts w:hint="eastAsia"/>
          <w:sz w:val="28"/>
          <w:szCs w:val="28"/>
          <w:lang w:val="en-US" w:eastAsia="zh-CN"/>
        </w:rPr>
        <w:t>2、本次估价对象均为期房，非现房，提请报告使用者以及司法拍卖竞买者进行特别关注。</w:t>
      </w:r>
    </w:p>
    <w:p>
      <w:pPr>
        <w:spacing w:before="156" w:beforeLines="50" w:after="156" w:afterLines="50" w:line="520" w:lineRule="exact"/>
        <w:ind w:firstLine="560" w:firstLineChars="200"/>
        <w:rPr>
          <w:rFonts w:hint="eastAsia" w:ascii="Times New Roman" w:hAnsi="Times New Roman" w:eastAsia="宋体" w:cs="Times New Roman"/>
          <w:bCs/>
          <w:sz w:val="28"/>
          <w:szCs w:val="28"/>
          <w:lang w:val="en-US" w:eastAsia="zh-CN" w:bidi="ar-SA"/>
        </w:rPr>
      </w:pPr>
      <w:r>
        <w:rPr>
          <w:rFonts w:hint="eastAsia" w:ascii="Times New Roman" w:hAnsi="Times New Roman" w:eastAsia="宋体" w:cs="Times New Roman"/>
          <w:bCs/>
          <w:sz w:val="28"/>
          <w:szCs w:val="28"/>
          <w:lang w:val="en-US" w:eastAsia="zh-CN" w:bidi="ar-SA"/>
        </w:rPr>
        <w:t>3、委托人或者估价报告使用人应当按照法律规定和估价报告载明的使用范围使用估价报告，违反该规定使用估价报告的，房地产估价机构和注册房地产估价师依法不承担责任；</w:t>
      </w:r>
    </w:p>
    <w:p>
      <w:pPr>
        <w:pStyle w:val="8"/>
        <w:snapToGrid w:val="0"/>
        <w:spacing w:line="520" w:lineRule="exact"/>
        <w:ind w:firstLine="560" w:firstLineChars="200"/>
        <w:rPr>
          <w:rFonts w:hint="eastAsia" w:ascii="Times New Roman" w:hAnsi="Times New Roman" w:eastAsia="宋体" w:cs="Times New Roman"/>
          <w:bCs/>
          <w:sz w:val="28"/>
          <w:szCs w:val="28"/>
          <w:lang w:val="en-US" w:eastAsia="zh-CN" w:bidi="ar-SA"/>
        </w:rPr>
      </w:pPr>
      <w:r>
        <w:rPr>
          <w:rFonts w:hint="eastAsia" w:ascii="Times New Roman" w:hAnsi="Times New Roman" w:eastAsia="宋体" w:cs="Times New Roman"/>
          <w:bCs/>
          <w:sz w:val="28"/>
          <w:szCs w:val="28"/>
          <w:lang w:val="en-US" w:eastAsia="zh-CN" w:bidi="ar-SA"/>
        </w:rPr>
        <w:t>4、估价结果不等于估价对象处置可实现的成交价，不应被认为是估价对象处置成交价的保证；</w:t>
      </w:r>
    </w:p>
    <w:p>
      <w:pPr>
        <w:pStyle w:val="8"/>
        <w:snapToGrid w:val="0"/>
        <w:spacing w:line="520" w:lineRule="exact"/>
        <w:ind w:firstLine="560" w:firstLineChars="200"/>
        <w:rPr>
          <w:rFonts w:hint="eastAsia" w:ascii="Times New Roman" w:hAnsi="Times New Roman" w:eastAsia="宋体" w:cs="Times New Roman"/>
          <w:bCs/>
          <w:sz w:val="28"/>
          <w:szCs w:val="28"/>
          <w:lang w:val="en-US" w:eastAsia="zh-CN" w:bidi="ar-SA"/>
        </w:rPr>
      </w:pPr>
      <w:r>
        <w:rPr>
          <w:rFonts w:hint="eastAsia" w:ascii="Times New Roman" w:hAnsi="Times New Roman" w:eastAsia="宋体" w:cs="Times New Roman"/>
          <w:bCs/>
          <w:sz w:val="28"/>
          <w:szCs w:val="28"/>
          <w:lang w:val="en-US" w:eastAsia="zh-CN" w:bidi="ar-SA"/>
        </w:rPr>
        <w:t>5、根据《最高人民法院关于人民法院确定财产处置参考价若干问题的规定》，当事人、利害关系人认为评估报告具有（一）财产基本信息错误；（二）超出财产范围或者遗漏财产；（三）评估机构或者评估人员不具备相应评估资质；（四）评估程序严重违法等情形之一的，可以在收到报告后五日内提出书面异议，若在此期间内未予书面回复，我公司视为对估价报告无异议；</w:t>
      </w:r>
    </w:p>
    <w:p>
      <w:pPr>
        <w:pStyle w:val="8"/>
        <w:snapToGrid w:val="0"/>
        <w:spacing w:line="520" w:lineRule="exact"/>
        <w:ind w:firstLine="560" w:firstLineChars="200"/>
        <w:rPr>
          <w:rFonts w:hint="eastAsia" w:ascii="Times New Roman" w:hAnsi="Times New Roman" w:eastAsia="宋体" w:cs="Times New Roman"/>
          <w:bCs/>
          <w:sz w:val="28"/>
          <w:szCs w:val="28"/>
          <w:lang w:val="en-US" w:eastAsia="zh-CN" w:bidi="ar-SA"/>
        </w:rPr>
      </w:pPr>
      <w:r>
        <w:rPr>
          <w:rFonts w:hint="eastAsia" w:ascii="Times New Roman" w:hAnsi="Times New Roman" w:eastAsia="宋体" w:cs="Times New Roman"/>
          <w:bCs/>
          <w:sz w:val="28"/>
          <w:szCs w:val="28"/>
          <w:lang w:val="en-US" w:eastAsia="zh-CN" w:bidi="ar-SA"/>
        </w:rPr>
        <w:t>6、本机构提醒报告使用方在使用本估价结论时，应认真阅读本报告书全文，提请关注本报告各种假设和限制条件等对该估价结果的影响。</w:t>
      </w:r>
    </w:p>
    <w:p>
      <w:pPr>
        <w:pStyle w:val="8"/>
        <w:snapToGrid w:val="0"/>
        <w:spacing w:line="520" w:lineRule="exact"/>
        <w:ind w:firstLine="560" w:firstLineChars="200"/>
        <w:rPr>
          <w:rFonts w:hint="eastAsia" w:ascii="Times New Roman" w:hAnsi="Times New Roman" w:eastAsia="宋体" w:cs="Times New Roman"/>
          <w:bCs/>
          <w:sz w:val="28"/>
          <w:szCs w:val="28"/>
          <w:lang w:val="en-US" w:eastAsia="zh-CN" w:bidi="ar-SA"/>
        </w:rPr>
      </w:pPr>
    </w:p>
    <w:p>
      <w:pPr>
        <w:pStyle w:val="8"/>
        <w:snapToGrid w:val="0"/>
        <w:spacing w:line="520" w:lineRule="exact"/>
        <w:ind w:firstLine="560" w:firstLineChars="200"/>
        <w:rPr>
          <w:rFonts w:hint="eastAsia" w:ascii="Times New Roman" w:hAnsi="Times New Roman" w:eastAsia="宋体" w:cs="Times New Roman"/>
          <w:bCs/>
          <w:sz w:val="28"/>
          <w:szCs w:val="28"/>
          <w:lang w:val="en-US" w:eastAsia="zh-CN" w:bidi="ar-SA"/>
        </w:rPr>
      </w:pPr>
    </w:p>
    <w:p>
      <w:pPr>
        <w:pStyle w:val="8"/>
        <w:snapToGrid w:val="0"/>
        <w:spacing w:line="520" w:lineRule="exact"/>
        <w:ind w:firstLine="560" w:firstLineChars="200"/>
        <w:rPr>
          <w:rFonts w:hint="eastAsia" w:ascii="Times New Roman" w:hAnsi="Times New Roman" w:eastAsia="宋体" w:cs="Times New Roman"/>
          <w:bCs/>
          <w:sz w:val="28"/>
          <w:szCs w:val="28"/>
          <w:lang w:val="en-US" w:eastAsia="zh-CN" w:bidi="ar-SA"/>
        </w:rPr>
      </w:pPr>
    </w:p>
    <w:p>
      <w:pPr>
        <w:pStyle w:val="8"/>
        <w:snapToGrid w:val="0"/>
        <w:spacing w:line="520" w:lineRule="exact"/>
        <w:ind w:firstLine="560" w:firstLineChars="200"/>
        <w:rPr>
          <w:rFonts w:hint="eastAsia" w:ascii="Times New Roman" w:hAnsi="Times New Roman" w:eastAsia="宋体" w:cs="Times New Roman"/>
          <w:bCs/>
          <w:sz w:val="28"/>
          <w:szCs w:val="28"/>
          <w:lang w:val="en-US" w:eastAsia="zh-CN" w:bidi="ar-SA"/>
        </w:rPr>
      </w:pPr>
    </w:p>
    <w:p>
      <w:pPr>
        <w:pStyle w:val="8"/>
        <w:snapToGrid w:val="0"/>
        <w:spacing w:line="520" w:lineRule="exact"/>
        <w:ind w:firstLine="560" w:firstLineChars="200"/>
        <w:rPr>
          <w:rFonts w:hint="eastAsia" w:ascii="Times New Roman" w:hAnsi="Times New Roman" w:eastAsia="宋体" w:cs="Times New Roman"/>
          <w:bCs/>
          <w:sz w:val="28"/>
          <w:szCs w:val="28"/>
          <w:lang w:val="en-US" w:eastAsia="zh-CN" w:bidi="ar-SA"/>
        </w:rPr>
      </w:pPr>
    </w:p>
    <w:p>
      <w:pPr>
        <w:pStyle w:val="27"/>
        <w:spacing w:before="156" w:beforeLines="50" w:after="156" w:afterLines="50" w:line="520" w:lineRule="exact"/>
        <w:ind w:firstLine="3360" w:firstLineChars="1200"/>
        <w:rPr>
          <w:rFonts w:hint="eastAsia" w:ascii="Times New Roman" w:hAnsi="Times New Roman" w:eastAsia="宋体" w:cs="Times New Roman"/>
          <w:bCs/>
          <w:szCs w:val="28"/>
          <w:lang w:eastAsia="zh-CN"/>
        </w:rPr>
      </w:pPr>
      <w:r>
        <w:rPr>
          <w:rFonts w:hint="eastAsia" w:hAnsi="宋体" w:eastAsia="宋体"/>
          <w:szCs w:val="28"/>
          <w:lang w:eastAsia="zh-CN"/>
        </w:rPr>
        <w:t>贵州瑞华亚太房地产土地资产评估有限公司</w:t>
      </w:r>
    </w:p>
    <w:p>
      <w:pPr>
        <w:wordWrap w:val="0"/>
        <w:spacing w:line="520" w:lineRule="exact"/>
        <w:ind w:right="1120" w:firstLine="5040" w:firstLineChars="1800"/>
        <w:rPr>
          <w:rFonts w:hint="eastAsia" w:hAnsi="宋体" w:eastAsiaTheme="minorEastAsia"/>
          <w:szCs w:val="28"/>
          <w:lang w:eastAsia="zh-CN"/>
        </w:rPr>
      </w:pPr>
      <w:r>
        <w:rPr>
          <w:rFonts w:hAnsi="宋体"/>
          <w:szCs w:val="28"/>
        </w:rPr>
        <w:t>法定代表人</w:t>
      </w:r>
      <w:r>
        <w:rPr>
          <w:rFonts w:hint="eastAsia" w:hAnsi="宋体"/>
          <w:szCs w:val="28"/>
          <w:lang w:eastAsia="zh-CN"/>
        </w:rPr>
        <w:t>：</w:t>
      </w:r>
    </w:p>
    <w:p>
      <w:pPr>
        <w:pStyle w:val="27"/>
        <w:spacing w:before="156" w:beforeLines="50" w:after="156" w:afterLines="50" w:line="520" w:lineRule="exact"/>
        <w:ind w:firstLine="0" w:firstLineChars="0"/>
        <w:jc w:val="center"/>
        <w:rPr>
          <w:rFonts w:hint="eastAsia" w:eastAsiaTheme="minorEastAsia"/>
          <w:highlight w:val="none"/>
          <w:lang w:eastAsia="zh-CN"/>
        </w:rPr>
      </w:pPr>
      <w:r>
        <w:rPr>
          <w:rFonts w:hint="eastAsia" w:hAnsi="宋体"/>
          <w:szCs w:val="28"/>
          <w:lang w:val="en-US" w:eastAsia="zh-CN"/>
        </w:rPr>
        <w:t xml:space="preserve">               </w:t>
      </w:r>
      <w:r>
        <w:rPr>
          <w:rFonts w:hint="eastAsia" w:hAnsi="宋体"/>
          <w:szCs w:val="28"/>
          <w:lang w:eastAsia="zh-CN"/>
        </w:rPr>
        <w:t>二○二二年七月十四日</w:t>
      </w:r>
    </w:p>
    <w:p>
      <w:pPr>
        <w:spacing w:line="520" w:lineRule="exact"/>
        <w:ind w:right="560"/>
        <w:jc w:val="center"/>
        <w:rPr>
          <w:rFonts w:hint="eastAsia" w:hAnsi="宋体"/>
          <w:szCs w:val="28"/>
          <w:lang w:eastAsia="zh-CN"/>
        </w:rPr>
        <w:sectPr>
          <w:headerReference r:id="rId8" w:type="first"/>
          <w:footerReference r:id="rId10" w:type="first"/>
          <w:headerReference r:id="rId7" w:type="default"/>
          <w:footerReference r:id="rId9" w:type="default"/>
          <w:pgSz w:w="11906" w:h="16838"/>
          <w:pgMar w:top="1418" w:right="1418" w:bottom="1134" w:left="1418" w:header="851" w:footer="851" w:gutter="0"/>
          <w:pgBorders>
            <w:top w:val="none" w:sz="0" w:space="0"/>
            <w:left w:val="none" w:sz="0" w:space="0"/>
            <w:bottom w:val="none" w:sz="0" w:space="0"/>
            <w:right w:val="none" w:sz="0" w:space="0"/>
          </w:pgBorders>
          <w:pgNumType w:fmt="decimal" w:start="1"/>
          <w:cols w:space="720" w:num="1"/>
          <w:titlePg/>
          <w:docGrid w:type="lines" w:linePitch="312" w:charSpace="0"/>
        </w:sectPr>
      </w:pPr>
    </w:p>
    <w:p>
      <w:pPr>
        <w:ind w:firstLine="883" w:firstLineChars="200"/>
        <w:jc w:val="center"/>
        <w:rPr>
          <w:rFonts w:ascii="宋体" w:hAnsi="宋体" w:eastAsiaTheme="minorEastAsia" w:cstheme="minorBidi"/>
          <w:color w:val="000000"/>
          <w:sz w:val="28"/>
          <w:szCs w:val="44"/>
          <w:lang w:val="zh-CN" w:eastAsia="zh-CN" w:bidi="ar-SA"/>
        </w:rPr>
      </w:pPr>
      <w:bookmarkStart w:id="2" w:name="_Toc22251"/>
      <w:r>
        <w:rPr>
          <w:rFonts w:hAnsi="宋体"/>
          <w:b/>
          <w:bCs/>
          <w:color w:val="000000"/>
          <w:sz w:val="44"/>
          <w:szCs w:val="44"/>
          <w:lang w:val="zh-CN"/>
        </w:rPr>
        <w:t>目</w:t>
      </w:r>
      <w:r>
        <w:rPr>
          <w:rFonts w:hint="eastAsia" w:hAnsi="宋体"/>
          <w:b/>
          <w:bCs/>
          <w:color w:val="000000"/>
          <w:sz w:val="44"/>
          <w:szCs w:val="44"/>
        </w:rPr>
        <w:t xml:space="preserve">   </w:t>
      </w:r>
      <w:r>
        <w:rPr>
          <w:rFonts w:hAnsi="宋体"/>
          <w:b/>
          <w:bCs/>
          <w:color w:val="000000"/>
          <w:sz w:val="44"/>
          <w:szCs w:val="44"/>
          <w:lang w:val="zh-CN"/>
        </w:rPr>
        <w:t>录</w:t>
      </w:r>
      <w:bookmarkEnd w:id="2"/>
      <w:r>
        <w:rPr>
          <w:rFonts w:hAnsi="宋体"/>
          <w:color w:val="000000"/>
          <w:sz w:val="44"/>
          <w:szCs w:val="44"/>
          <w:lang w:val="zh-CN"/>
        </w:rPr>
        <w:fldChar w:fldCharType="begin"/>
      </w:r>
      <w:r>
        <w:rPr>
          <w:rFonts w:hAnsi="宋体"/>
          <w:color w:val="000000"/>
          <w:sz w:val="44"/>
          <w:szCs w:val="44"/>
          <w:lang w:val="zh-CN"/>
        </w:rPr>
        <w:instrText xml:space="preserve">TOC \o "1-3" \h \u </w:instrText>
      </w:r>
      <w:r>
        <w:rPr>
          <w:rFonts w:hAnsi="宋体"/>
          <w:color w:val="000000"/>
          <w:sz w:val="44"/>
          <w:szCs w:val="44"/>
          <w:lang w:val="zh-CN"/>
        </w:rPr>
        <w:fldChar w:fldCharType="separate"/>
      </w:r>
    </w:p>
    <w:p>
      <w:pPr>
        <w:pStyle w:val="14"/>
        <w:tabs>
          <w:tab w:val="right" w:leader="dot" w:pos="9070"/>
        </w:tabs>
      </w:pPr>
      <w:r>
        <w:rPr>
          <w:rFonts w:hAnsi="宋体"/>
          <w:color w:val="000000"/>
          <w:szCs w:val="44"/>
          <w:lang w:val="zh-CN"/>
        </w:rPr>
        <w:fldChar w:fldCharType="begin"/>
      </w:r>
      <w:r>
        <w:rPr>
          <w:rFonts w:hAnsi="宋体"/>
          <w:szCs w:val="44"/>
          <w:lang w:val="zh-CN"/>
        </w:rPr>
        <w:instrText xml:space="preserve"> HYPERLINK \l _Toc10589 </w:instrText>
      </w:r>
      <w:r>
        <w:rPr>
          <w:rFonts w:hAnsi="宋体"/>
          <w:szCs w:val="44"/>
          <w:lang w:val="zh-CN"/>
        </w:rPr>
        <w:fldChar w:fldCharType="separate"/>
      </w:r>
      <w:r>
        <w:rPr>
          <w:rFonts w:hAnsi="宋体"/>
          <w:spacing w:val="100"/>
        </w:rPr>
        <w:t>致委托</w:t>
      </w:r>
      <w:r>
        <w:rPr>
          <w:rFonts w:hint="eastAsia" w:hAnsi="宋体"/>
          <w:spacing w:val="100"/>
        </w:rPr>
        <w:t>人</w:t>
      </w:r>
      <w:r>
        <w:rPr>
          <w:rFonts w:hAnsi="宋体"/>
          <w:spacing w:val="100"/>
        </w:rPr>
        <w:t>函</w:t>
      </w:r>
      <w:r>
        <w:tab/>
      </w:r>
      <w:r>
        <w:fldChar w:fldCharType="begin"/>
      </w:r>
      <w:r>
        <w:instrText xml:space="preserve"> PAGEREF _Toc10589 \h </w:instrText>
      </w:r>
      <w:r>
        <w:fldChar w:fldCharType="separate"/>
      </w:r>
      <w:r>
        <w:t>1</w:t>
      </w:r>
      <w:r>
        <w:fldChar w:fldCharType="end"/>
      </w:r>
      <w:r>
        <w:rPr>
          <w:rFonts w:hAnsi="宋体"/>
          <w:color w:val="000000"/>
          <w:szCs w:val="44"/>
          <w:lang w:val="zh-CN"/>
        </w:rPr>
        <w:fldChar w:fldCharType="end"/>
      </w:r>
    </w:p>
    <w:p>
      <w:pPr>
        <w:pStyle w:val="14"/>
        <w:tabs>
          <w:tab w:val="right" w:leader="dot" w:pos="9070"/>
        </w:tabs>
      </w:pPr>
      <w:r>
        <w:rPr>
          <w:rFonts w:hAnsi="宋体"/>
          <w:color w:val="000000"/>
          <w:szCs w:val="44"/>
          <w:lang w:val="zh-CN"/>
        </w:rPr>
        <w:fldChar w:fldCharType="begin"/>
      </w:r>
      <w:r>
        <w:rPr>
          <w:rFonts w:hAnsi="宋体"/>
          <w:szCs w:val="44"/>
          <w:lang w:val="zh-CN"/>
        </w:rPr>
        <w:instrText xml:space="preserve"> HYPERLINK \l _Toc16039 </w:instrText>
      </w:r>
      <w:r>
        <w:rPr>
          <w:rFonts w:hAnsi="宋体"/>
          <w:szCs w:val="44"/>
          <w:lang w:val="zh-CN"/>
        </w:rPr>
        <w:fldChar w:fldCharType="separate"/>
      </w:r>
      <w:r>
        <w:t>估价师声明</w:t>
      </w:r>
      <w:r>
        <w:tab/>
      </w:r>
      <w:r>
        <w:fldChar w:fldCharType="begin"/>
      </w:r>
      <w:r>
        <w:instrText xml:space="preserve"> PAGEREF _Toc16039 \h </w:instrText>
      </w:r>
      <w:r>
        <w:fldChar w:fldCharType="separate"/>
      </w:r>
      <w:r>
        <w:t>1</w:t>
      </w:r>
      <w:r>
        <w:fldChar w:fldCharType="end"/>
      </w:r>
      <w:r>
        <w:rPr>
          <w:rFonts w:hAnsi="宋体"/>
          <w:color w:val="000000"/>
          <w:szCs w:val="44"/>
          <w:lang w:val="zh-CN"/>
        </w:rPr>
        <w:fldChar w:fldCharType="end"/>
      </w:r>
    </w:p>
    <w:p>
      <w:pPr>
        <w:pStyle w:val="14"/>
        <w:tabs>
          <w:tab w:val="right" w:leader="dot" w:pos="9070"/>
        </w:tabs>
      </w:pPr>
      <w:r>
        <w:rPr>
          <w:rFonts w:hAnsi="宋体"/>
          <w:color w:val="000000"/>
          <w:szCs w:val="44"/>
          <w:lang w:val="zh-CN"/>
        </w:rPr>
        <w:fldChar w:fldCharType="begin"/>
      </w:r>
      <w:r>
        <w:rPr>
          <w:rFonts w:hAnsi="宋体"/>
          <w:szCs w:val="44"/>
          <w:lang w:val="zh-CN"/>
        </w:rPr>
        <w:instrText xml:space="preserve"> HYPERLINK \l _Toc17560 </w:instrText>
      </w:r>
      <w:r>
        <w:rPr>
          <w:rFonts w:hAnsi="宋体"/>
          <w:szCs w:val="44"/>
          <w:lang w:val="zh-CN"/>
        </w:rPr>
        <w:fldChar w:fldCharType="separate"/>
      </w:r>
      <w:r>
        <w:rPr>
          <w:rFonts w:hint="eastAsia"/>
        </w:rPr>
        <w:t>估价的假设和限制条件</w:t>
      </w:r>
      <w:r>
        <w:tab/>
      </w:r>
      <w:r>
        <w:fldChar w:fldCharType="begin"/>
      </w:r>
      <w:r>
        <w:instrText xml:space="preserve"> PAGEREF _Toc17560 \h </w:instrText>
      </w:r>
      <w:r>
        <w:fldChar w:fldCharType="separate"/>
      </w:r>
      <w:r>
        <w:t>2</w:t>
      </w:r>
      <w:r>
        <w:fldChar w:fldCharType="end"/>
      </w:r>
      <w:r>
        <w:rPr>
          <w:rFonts w:hAnsi="宋体"/>
          <w:color w:val="000000"/>
          <w:szCs w:val="44"/>
          <w:lang w:val="zh-CN"/>
        </w:rPr>
        <w:fldChar w:fldCharType="end"/>
      </w:r>
    </w:p>
    <w:p>
      <w:pPr>
        <w:pStyle w:val="14"/>
        <w:tabs>
          <w:tab w:val="right" w:leader="dot" w:pos="9070"/>
        </w:tabs>
      </w:pPr>
      <w:r>
        <w:rPr>
          <w:rFonts w:hAnsi="宋体"/>
          <w:color w:val="000000"/>
          <w:szCs w:val="44"/>
          <w:lang w:val="zh-CN"/>
        </w:rPr>
        <w:fldChar w:fldCharType="begin"/>
      </w:r>
      <w:r>
        <w:rPr>
          <w:rFonts w:hAnsi="宋体"/>
          <w:szCs w:val="44"/>
          <w:lang w:val="zh-CN"/>
        </w:rPr>
        <w:instrText xml:space="preserve"> HYPERLINK \l _Toc1161 </w:instrText>
      </w:r>
      <w:r>
        <w:rPr>
          <w:rFonts w:hAnsi="宋体"/>
          <w:szCs w:val="44"/>
          <w:lang w:val="zh-CN"/>
        </w:rPr>
        <w:fldChar w:fldCharType="separate"/>
      </w:r>
      <w:r>
        <w:rPr>
          <w:rFonts w:hint="eastAsia" w:hAnsi="宋体"/>
          <w:spacing w:val="40"/>
        </w:rPr>
        <w:t>房地产估价结果报告</w:t>
      </w:r>
      <w:r>
        <w:tab/>
      </w:r>
      <w:r>
        <w:fldChar w:fldCharType="begin"/>
      </w:r>
      <w:r>
        <w:instrText xml:space="preserve"> PAGEREF _Toc1161 \h </w:instrText>
      </w:r>
      <w:r>
        <w:fldChar w:fldCharType="separate"/>
      </w:r>
      <w:r>
        <w:t>5</w:t>
      </w:r>
      <w:r>
        <w:fldChar w:fldCharType="end"/>
      </w:r>
      <w:r>
        <w:rPr>
          <w:rFonts w:hAnsi="宋体"/>
          <w:color w:val="000000"/>
          <w:szCs w:val="44"/>
          <w:lang w:val="zh-CN"/>
        </w:rPr>
        <w:fldChar w:fldCharType="end"/>
      </w:r>
    </w:p>
    <w:p>
      <w:pPr>
        <w:pStyle w:val="15"/>
        <w:tabs>
          <w:tab w:val="right" w:leader="dot" w:pos="9070"/>
        </w:tabs>
      </w:pPr>
      <w:r>
        <w:rPr>
          <w:rFonts w:hAnsi="宋体"/>
          <w:color w:val="000000"/>
          <w:szCs w:val="44"/>
          <w:lang w:val="zh-CN"/>
        </w:rPr>
        <w:fldChar w:fldCharType="begin"/>
      </w:r>
      <w:r>
        <w:rPr>
          <w:rFonts w:hAnsi="宋体"/>
          <w:szCs w:val="44"/>
          <w:lang w:val="zh-CN"/>
        </w:rPr>
        <w:instrText xml:space="preserve"> HYPERLINK \l _Toc9692 </w:instrText>
      </w:r>
      <w:r>
        <w:rPr>
          <w:rFonts w:hAnsi="宋体"/>
          <w:szCs w:val="44"/>
          <w:lang w:val="zh-CN"/>
        </w:rPr>
        <w:fldChar w:fldCharType="separate"/>
      </w:r>
      <w:r>
        <w:rPr>
          <w:rFonts w:hint="eastAsia"/>
        </w:rPr>
        <w:t>一、估价委托人</w:t>
      </w:r>
      <w:r>
        <w:tab/>
      </w:r>
      <w:r>
        <w:fldChar w:fldCharType="begin"/>
      </w:r>
      <w:r>
        <w:instrText xml:space="preserve"> PAGEREF _Toc9692 \h </w:instrText>
      </w:r>
      <w:r>
        <w:fldChar w:fldCharType="separate"/>
      </w:r>
      <w:r>
        <w:t>5</w:t>
      </w:r>
      <w:r>
        <w:fldChar w:fldCharType="end"/>
      </w:r>
      <w:r>
        <w:rPr>
          <w:rFonts w:hAnsi="宋体"/>
          <w:color w:val="000000"/>
          <w:szCs w:val="44"/>
          <w:lang w:val="zh-CN"/>
        </w:rPr>
        <w:fldChar w:fldCharType="end"/>
      </w:r>
    </w:p>
    <w:p>
      <w:pPr>
        <w:pStyle w:val="15"/>
        <w:tabs>
          <w:tab w:val="right" w:leader="dot" w:pos="9070"/>
        </w:tabs>
      </w:pPr>
      <w:r>
        <w:rPr>
          <w:rFonts w:hAnsi="宋体"/>
          <w:color w:val="000000"/>
          <w:szCs w:val="44"/>
          <w:lang w:val="zh-CN"/>
        </w:rPr>
        <w:fldChar w:fldCharType="begin"/>
      </w:r>
      <w:r>
        <w:rPr>
          <w:rFonts w:hAnsi="宋体"/>
          <w:szCs w:val="44"/>
          <w:lang w:val="zh-CN"/>
        </w:rPr>
        <w:instrText xml:space="preserve"> HYPERLINK \l _Toc23324 </w:instrText>
      </w:r>
      <w:r>
        <w:rPr>
          <w:rFonts w:hAnsi="宋体"/>
          <w:szCs w:val="44"/>
          <w:lang w:val="zh-CN"/>
        </w:rPr>
        <w:fldChar w:fldCharType="separate"/>
      </w:r>
      <w:r>
        <w:rPr>
          <w:rFonts w:hint="eastAsia"/>
        </w:rPr>
        <w:t>二、房地产估价机构</w:t>
      </w:r>
      <w:r>
        <w:tab/>
      </w:r>
      <w:r>
        <w:fldChar w:fldCharType="begin"/>
      </w:r>
      <w:r>
        <w:instrText xml:space="preserve"> PAGEREF _Toc23324 \h </w:instrText>
      </w:r>
      <w:r>
        <w:fldChar w:fldCharType="separate"/>
      </w:r>
      <w:r>
        <w:t>5</w:t>
      </w:r>
      <w:r>
        <w:fldChar w:fldCharType="end"/>
      </w:r>
      <w:r>
        <w:rPr>
          <w:rFonts w:hAnsi="宋体"/>
          <w:color w:val="000000"/>
          <w:szCs w:val="44"/>
          <w:lang w:val="zh-CN"/>
        </w:rPr>
        <w:fldChar w:fldCharType="end"/>
      </w:r>
    </w:p>
    <w:p>
      <w:pPr>
        <w:pStyle w:val="15"/>
        <w:tabs>
          <w:tab w:val="right" w:leader="dot" w:pos="9070"/>
        </w:tabs>
      </w:pPr>
      <w:r>
        <w:rPr>
          <w:rFonts w:hAnsi="宋体"/>
          <w:color w:val="000000"/>
          <w:szCs w:val="44"/>
          <w:lang w:val="zh-CN"/>
        </w:rPr>
        <w:fldChar w:fldCharType="begin"/>
      </w:r>
      <w:r>
        <w:rPr>
          <w:rFonts w:hAnsi="宋体"/>
          <w:szCs w:val="44"/>
          <w:lang w:val="zh-CN"/>
        </w:rPr>
        <w:instrText xml:space="preserve"> HYPERLINK \l _Toc31135 </w:instrText>
      </w:r>
      <w:r>
        <w:rPr>
          <w:rFonts w:hAnsi="宋体"/>
          <w:szCs w:val="44"/>
          <w:lang w:val="zh-CN"/>
        </w:rPr>
        <w:fldChar w:fldCharType="separate"/>
      </w:r>
      <w:r>
        <w:rPr>
          <w:rFonts w:hint="eastAsia"/>
          <w:lang w:val="en-US" w:eastAsia="zh-CN"/>
        </w:rPr>
        <w:t>三</w:t>
      </w:r>
      <w:r>
        <w:rPr>
          <w:rFonts w:hint="eastAsia"/>
        </w:rPr>
        <w:t>、估价目的</w:t>
      </w:r>
      <w:r>
        <w:tab/>
      </w:r>
      <w:r>
        <w:fldChar w:fldCharType="begin"/>
      </w:r>
      <w:r>
        <w:instrText xml:space="preserve"> PAGEREF _Toc31135 \h </w:instrText>
      </w:r>
      <w:r>
        <w:fldChar w:fldCharType="separate"/>
      </w:r>
      <w:r>
        <w:t>5</w:t>
      </w:r>
      <w:r>
        <w:fldChar w:fldCharType="end"/>
      </w:r>
      <w:r>
        <w:rPr>
          <w:rFonts w:hAnsi="宋体"/>
          <w:color w:val="000000"/>
          <w:szCs w:val="44"/>
          <w:lang w:val="zh-CN"/>
        </w:rPr>
        <w:fldChar w:fldCharType="end"/>
      </w:r>
    </w:p>
    <w:p>
      <w:pPr>
        <w:pStyle w:val="15"/>
        <w:tabs>
          <w:tab w:val="right" w:leader="dot" w:pos="9070"/>
        </w:tabs>
      </w:pPr>
      <w:r>
        <w:rPr>
          <w:rFonts w:hAnsi="宋体"/>
          <w:color w:val="000000"/>
          <w:szCs w:val="44"/>
          <w:lang w:val="zh-CN"/>
        </w:rPr>
        <w:fldChar w:fldCharType="begin"/>
      </w:r>
      <w:r>
        <w:rPr>
          <w:rFonts w:hAnsi="宋体"/>
          <w:szCs w:val="44"/>
          <w:lang w:val="zh-CN"/>
        </w:rPr>
        <w:instrText xml:space="preserve"> HYPERLINK \l _Toc1408 </w:instrText>
      </w:r>
      <w:r>
        <w:rPr>
          <w:rFonts w:hAnsi="宋体"/>
          <w:szCs w:val="44"/>
          <w:lang w:val="zh-CN"/>
        </w:rPr>
        <w:fldChar w:fldCharType="separate"/>
      </w:r>
      <w:r>
        <w:rPr>
          <w:rFonts w:hint="eastAsia"/>
          <w:lang w:val="en-US" w:eastAsia="zh-CN"/>
        </w:rPr>
        <w:t>四</w:t>
      </w:r>
      <w:r>
        <w:rPr>
          <w:rFonts w:hint="eastAsia"/>
        </w:rPr>
        <w:t>、估价对象</w:t>
      </w:r>
      <w:r>
        <w:tab/>
      </w:r>
      <w:r>
        <w:fldChar w:fldCharType="begin"/>
      </w:r>
      <w:r>
        <w:instrText xml:space="preserve"> PAGEREF _Toc1408 \h </w:instrText>
      </w:r>
      <w:r>
        <w:fldChar w:fldCharType="separate"/>
      </w:r>
      <w:r>
        <w:t>6</w:t>
      </w:r>
      <w:r>
        <w:fldChar w:fldCharType="end"/>
      </w:r>
      <w:r>
        <w:rPr>
          <w:rFonts w:hAnsi="宋体"/>
          <w:color w:val="000000"/>
          <w:szCs w:val="44"/>
          <w:lang w:val="zh-CN"/>
        </w:rPr>
        <w:fldChar w:fldCharType="end"/>
      </w:r>
    </w:p>
    <w:p>
      <w:pPr>
        <w:pStyle w:val="15"/>
        <w:tabs>
          <w:tab w:val="right" w:leader="dot" w:pos="9070"/>
        </w:tabs>
      </w:pPr>
      <w:r>
        <w:rPr>
          <w:rFonts w:hAnsi="宋体"/>
          <w:color w:val="000000"/>
          <w:szCs w:val="44"/>
          <w:lang w:val="zh-CN"/>
        </w:rPr>
        <w:fldChar w:fldCharType="begin"/>
      </w:r>
      <w:r>
        <w:rPr>
          <w:rFonts w:hAnsi="宋体"/>
          <w:szCs w:val="44"/>
          <w:lang w:val="zh-CN"/>
        </w:rPr>
        <w:instrText xml:space="preserve"> HYPERLINK \l _Toc1301 </w:instrText>
      </w:r>
      <w:r>
        <w:rPr>
          <w:rFonts w:hAnsi="宋体"/>
          <w:szCs w:val="44"/>
          <w:lang w:val="zh-CN"/>
        </w:rPr>
        <w:fldChar w:fldCharType="separate"/>
      </w:r>
      <w:r>
        <w:rPr>
          <w:rFonts w:hint="eastAsia"/>
        </w:rPr>
        <w:t>五、价值时点</w:t>
      </w:r>
      <w:r>
        <w:tab/>
      </w:r>
      <w:r>
        <w:fldChar w:fldCharType="begin"/>
      </w:r>
      <w:r>
        <w:instrText xml:space="preserve"> PAGEREF _Toc1301 \h </w:instrText>
      </w:r>
      <w:r>
        <w:fldChar w:fldCharType="separate"/>
      </w:r>
      <w:r>
        <w:t>13</w:t>
      </w:r>
      <w:r>
        <w:fldChar w:fldCharType="end"/>
      </w:r>
      <w:r>
        <w:rPr>
          <w:rFonts w:hAnsi="宋体"/>
          <w:color w:val="000000"/>
          <w:szCs w:val="44"/>
          <w:lang w:val="zh-CN"/>
        </w:rPr>
        <w:fldChar w:fldCharType="end"/>
      </w:r>
    </w:p>
    <w:p>
      <w:pPr>
        <w:pStyle w:val="15"/>
        <w:tabs>
          <w:tab w:val="right" w:leader="dot" w:pos="9070"/>
        </w:tabs>
      </w:pPr>
      <w:r>
        <w:rPr>
          <w:rFonts w:hAnsi="宋体"/>
          <w:color w:val="000000"/>
          <w:szCs w:val="44"/>
          <w:lang w:val="zh-CN"/>
        </w:rPr>
        <w:fldChar w:fldCharType="begin"/>
      </w:r>
      <w:r>
        <w:rPr>
          <w:rFonts w:hAnsi="宋体"/>
          <w:szCs w:val="44"/>
          <w:lang w:val="zh-CN"/>
        </w:rPr>
        <w:instrText xml:space="preserve"> HYPERLINK \l _Toc20570 </w:instrText>
      </w:r>
      <w:r>
        <w:rPr>
          <w:rFonts w:hAnsi="宋体"/>
          <w:szCs w:val="44"/>
          <w:lang w:val="zh-CN"/>
        </w:rPr>
        <w:fldChar w:fldCharType="separate"/>
      </w:r>
      <w:r>
        <w:rPr>
          <w:rFonts w:hint="eastAsia"/>
        </w:rPr>
        <w:t>六、价值</w:t>
      </w:r>
      <w:r>
        <w:rPr>
          <w:rFonts w:hint="eastAsia"/>
          <w:lang w:val="en-US" w:eastAsia="zh-CN"/>
        </w:rPr>
        <w:t>类型</w:t>
      </w:r>
      <w:r>
        <w:tab/>
      </w:r>
      <w:r>
        <w:fldChar w:fldCharType="begin"/>
      </w:r>
      <w:r>
        <w:instrText xml:space="preserve"> PAGEREF _Toc20570 \h </w:instrText>
      </w:r>
      <w:r>
        <w:fldChar w:fldCharType="separate"/>
      </w:r>
      <w:r>
        <w:t>17</w:t>
      </w:r>
      <w:r>
        <w:fldChar w:fldCharType="end"/>
      </w:r>
      <w:r>
        <w:rPr>
          <w:rFonts w:hAnsi="宋体"/>
          <w:color w:val="000000"/>
          <w:szCs w:val="44"/>
          <w:lang w:val="zh-CN"/>
        </w:rPr>
        <w:fldChar w:fldCharType="end"/>
      </w:r>
    </w:p>
    <w:p>
      <w:pPr>
        <w:pStyle w:val="15"/>
        <w:tabs>
          <w:tab w:val="right" w:leader="dot" w:pos="9070"/>
        </w:tabs>
      </w:pPr>
      <w:r>
        <w:rPr>
          <w:rFonts w:hAnsi="宋体"/>
          <w:color w:val="000000"/>
          <w:szCs w:val="44"/>
          <w:lang w:val="zh-CN"/>
        </w:rPr>
        <w:fldChar w:fldCharType="begin"/>
      </w:r>
      <w:r>
        <w:rPr>
          <w:rFonts w:hAnsi="宋体"/>
          <w:szCs w:val="44"/>
          <w:lang w:val="zh-CN"/>
        </w:rPr>
        <w:instrText xml:space="preserve"> HYPERLINK \l _Toc13679 </w:instrText>
      </w:r>
      <w:r>
        <w:rPr>
          <w:rFonts w:hAnsi="宋体"/>
          <w:szCs w:val="44"/>
          <w:lang w:val="zh-CN"/>
        </w:rPr>
        <w:fldChar w:fldCharType="separate"/>
      </w:r>
      <w:r>
        <w:rPr>
          <w:rFonts w:hint="eastAsia"/>
          <w:lang w:val="en-US" w:eastAsia="zh-CN"/>
        </w:rPr>
        <w:t>七</w:t>
      </w:r>
      <w:r>
        <w:rPr>
          <w:rFonts w:hint="eastAsia"/>
        </w:rPr>
        <w:t>、估价原则</w:t>
      </w:r>
      <w:r>
        <w:tab/>
      </w:r>
      <w:r>
        <w:fldChar w:fldCharType="begin"/>
      </w:r>
      <w:r>
        <w:instrText xml:space="preserve"> PAGEREF _Toc13679 \h </w:instrText>
      </w:r>
      <w:r>
        <w:fldChar w:fldCharType="separate"/>
      </w:r>
      <w:r>
        <w:t>18</w:t>
      </w:r>
      <w:r>
        <w:fldChar w:fldCharType="end"/>
      </w:r>
      <w:r>
        <w:rPr>
          <w:rFonts w:hAnsi="宋体"/>
          <w:color w:val="000000"/>
          <w:szCs w:val="44"/>
          <w:lang w:val="zh-CN"/>
        </w:rPr>
        <w:fldChar w:fldCharType="end"/>
      </w:r>
    </w:p>
    <w:p>
      <w:pPr>
        <w:pStyle w:val="15"/>
        <w:tabs>
          <w:tab w:val="right" w:leader="dot" w:pos="9070"/>
        </w:tabs>
      </w:pPr>
      <w:r>
        <w:rPr>
          <w:rFonts w:hAnsi="宋体"/>
          <w:color w:val="000000"/>
          <w:szCs w:val="44"/>
          <w:lang w:val="zh-CN"/>
        </w:rPr>
        <w:fldChar w:fldCharType="begin"/>
      </w:r>
      <w:r>
        <w:rPr>
          <w:rFonts w:hAnsi="宋体"/>
          <w:szCs w:val="44"/>
          <w:lang w:val="zh-CN"/>
        </w:rPr>
        <w:instrText xml:space="preserve"> HYPERLINK \l _Toc695 </w:instrText>
      </w:r>
      <w:r>
        <w:rPr>
          <w:rFonts w:hAnsi="宋体"/>
          <w:szCs w:val="44"/>
          <w:lang w:val="zh-CN"/>
        </w:rPr>
        <w:fldChar w:fldCharType="separate"/>
      </w:r>
      <w:r>
        <w:rPr>
          <w:rFonts w:hint="eastAsia"/>
          <w:lang w:val="en-US" w:eastAsia="zh-CN"/>
        </w:rPr>
        <w:t>八</w:t>
      </w:r>
      <w:r>
        <w:rPr>
          <w:rFonts w:hint="eastAsia"/>
        </w:rPr>
        <w:t>、估价依据</w:t>
      </w:r>
      <w:r>
        <w:tab/>
      </w:r>
      <w:r>
        <w:fldChar w:fldCharType="begin"/>
      </w:r>
      <w:r>
        <w:instrText xml:space="preserve"> PAGEREF _Toc695 \h </w:instrText>
      </w:r>
      <w:r>
        <w:fldChar w:fldCharType="separate"/>
      </w:r>
      <w:r>
        <w:t>18</w:t>
      </w:r>
      <w:r>
        <w:fldChar w:fldCharType="end"/>
      </w:r>
      <w:r>
        <w:rPr>
          <w:rFonts w:hAnsi="宋体"/>
          <w:color w:val="000000"/>
          <w:szCs w:val="44"/>
          <w:lang w:val="zh-CN"/>
        </w:rPr>
        <w:fldChar w:fldCharType="end"/>
      </w:r>
    </w:p>
    <w:p>
      <w:pPr>
        <w:pStyle w:val="15"/>
        <w:tabs>
          <w:tab w:val="right" w:leader="dot" w:pos="9070"/>
        </w:tabs>
      </w:pPr>
      <w:r>
        <w:rPr>
          <w:rFonts w:hAnsi="宋体"/>
          <w:color w:val="000000"/>
          <w:szCs w:val="44"/>
          <w:lang w:val="zh-CN"/>
        </w:rPr>
        <w:fldChar w:fldCharType="begin"/>
      </w:r>
      <w:r>
        <w:rPr>
          <w:rFonts w:hAnsi="宋体"/>
          <w:szCs w:val="44"/>
          <w:lang w:val="zh-CN"/>
        </w:rPr>
        <w:instrText xml:space="preserve"> HYPERLINK \l _Toc29110 </w:instrText>
      </w:r>
      <w:r>
        <w:rPr>
          <w:rFonts w:hAnsi="宋体"/>
          <w:szCs w:val="44"/>
          <w:lang w:val="zh-CN"/>
        </w:rPr>
        <w:fldChar w:fldCharType="separate"/>
      </w:r>
      <w:r>
        <w:rPr>
          <w:rFonts w:hint="eastAsia"/>
        </w:rPr>
        <w:t>九、估价方法</w:t>
      </w:r>
      <w:r>
        <w:tab/>
      </w:r>
      <w:r>
        <w:fldChar w:fldCharType="begin"/>
      </w:r>
      <w:r>
        <w:instrText xml:space="preserve"> PAGEREF _Toc29110 \h </w:instrText>
      </w:r>
      <w:r>
        <w:fldChar w:fldCharType="separate"/>
      </w:r>
      <w:r>
        <w:t>20</w:t>
      </w:r>
      <w:r>
        <w:fldChar w:fldCharType="end"/>
      </w:r>
      <w:r>
        <w:rPr>
          <w:rFonts w:hAnsi="宋体"/>
          <w:color w:val="000000"/>
          <w:szCs w:val="44"/>
          <w:lang w:val="zh-CN"/>
        </w:rPr>
        <w:fldChar w:fldCharType="end"/>
      </w:r>
    </w:p>
    <w:p>
      <w:pPr>
        <w:pStyle w:val="15"/>
        <w:tabs>
          <w:tab w:val="right" w:leader="dot" w:pos="9070"/>
        </w:tabs>
      </w:pPr>
      <w:r>
        <w:rPr>
          <w:rFonts w:hAnsi="宋体"/>
          <w:color w:val="000000"/>
          <w:szCs w:val="44"/>
          <w:lang w:val="zh-CN"/>
        </w:rPr>
        <w:fldChar w:fldCharType="begin"/>
      </w:r>
      <w:r>
        <w:rPr>
          <w:rFonts w:hAnsi="宋体"/>
          <w:szCs w:val="44"/>
          <w:lang w:val="zh-CN"/>
        </w:rPr>
        <w:instrText xml:space="preserve"> HYPERLINK \l _Toc31461 </w:instrText>
      </w:r>
      <w:r>
        <w:rPr>
          <w:rFonts w:hAnsi="宋体"/>
          <w:szCs w:val="44"/>
          <w:lang w:val="zh-CN"/>
        </w:rPr>
        <w:fldChar w:fldCharType="separate"/>
      </w:r>
      <w:r>
        <w:rPr>
          <w:rFonts w:hint="eastAsia"/>
        </w:rPr>
        <w:t>十、估价结果</w:t>
      </w:r>
      <w:r>
        <w:tab/>
      </w:r>
      <w:r>
        <w:fldChar w:fldCharType="begin"/>
      </w:r>
      <w:r>
        <w:instrText xml:space="preserve"> PAGEREF _Toc31461 \h </w:instrText>
      </w:r>
      <w:r>
        <w:fldChar w:fldCharType="separate"/>
      </w:r>
      <w:r>
        <w:t>22</w:t>
      </w:r>
      <w:r>
        <w:fldChar w:fldCharType="end"/>
      </w:r>
      <w:r>
        <w:rPr>
          <w:rFonts w:hAnsi="宋体"/>
          <w:color w:val="000000"/>
          <w:szCs w:val="44"/>
          <w:lang w:val="zh-CN"/>
        </w:rPr>
        <w:fldChar w:fldCharType="end"/>
      </w:r>
    </w:p>
    <w:p>
      <w:pPr>
        <w:pStyle w:val="15"/>
        <w:tabs>
          <w:tab w:val="right" w:leader="dot" w:pos="9070"/>
        </w:tabs>
      </w:pPr>
      <w:r>
        <w:rPr>
          <w:rFonts w:hAnsi="宋体"/>
          <w:color w:val="000000"/>
          <w:szCs w:val="44"/>
          <w:lang w:val="zh-CN"/>
        </w:rPr>
        <w:fldChar w:fldCharType="begin"/>
      </w:r>
      <w:r>
        <w:rPr>
          <w:rFonts w:hAnsi="宋体"/>
          <w:szCs w:val="44"/>
          <w:lang w:val="zh-CN"/>
        </w:rPr>
        <w:instrText xml:space="preserve"> HYPERLINK \l _Toc3270 </w:instrText>
      </w:r>
      <w:r>
        <w:rPr>
          <w:rFonts w:hAnsi="宋体"/>
          <w:szCs w:val="44"/>
          <w:lang w:val="zh-CN"/>
        </w:rPr>
        <w:fldChar w:fldCharType="separate"/>
      </w:r>
      <w:r>
        <w:rPr>
          <w:rFonts w:hint="eastAsia"/>
          <w:lang w:val="en-US" w:eastAsia="zh-CN"/>
        </w:rPr>
        <w:t>十一、注册房地产估价师</w:t>
      </w:r>
      <w:r>
        <w:tab/>
      </w:r>
      <w:r>
        <w:fldChar w:fldCharType="begin"/>
      </w:r>
      <w:r>
        <w:instrText xml:space="preserve"> PAGEREF _Toc3270 \h </w:instrText>
      </w:r>
      <w:r>
        <w:fldChar w:fldCharType="separate"/>
      </w:r>
      <w:r>
        <w:t>22</w:t>
      </w:r>
      <w:r>
        <w:fldChar w:fldCharType="end"/>
      </w:r>
      <w:r>
        <w:rPr>
          <w:rFonts w:hAnsi="宋体"/>
          <w:color w:val="000000"/>
          <w:szCs w:val="44"/>
          <w:lang w:val="zh-CN"/>
        </w:rPr>
        <w:fldChar w:fldCharType="end"/>
      </w:r>
    </w:p>
    <w:p>
      <w:pPr>
        <w:pStyle w:val="15"/>
        <w:tabs>
          <w:tab w:val="right" w:leader="dot" w:pos="9070"/>
        </w:tabs>
      </w:pPr>
      <w:r>
        <w:rPr>
          <w:rFonts w:hAnsi="宋体"/>
          <w:color w:val="000000"/>
          <w:szCs w:val="44"/>
          <w:lang w:val="zh-CN"/>
        </w:rPr>
        <w:fldChar w:fldCharType="begin"/>
      </w:r>
      <w:r>
        <w:rPr>
          <w:rFonts w:hAnsi="宋体"/>
          <w:szCs w:val="44"/>
          <w:lang w:val="zh-CN"/>
        </w:rPr>
        <w:instrText xml:space="preserve"> HYPERLINK \l _Toc32520 </w:instrText>
      </w:r>
      <w:r>
        <w:rPr>
          <w:rFonts w:hAnsi="宋体"/>
          <w:szCs w:val="44"/>
          <w:lang w:val="zh-CN"/>
        </w:rPr>
        <w:fldChar w:fldCharType="separate"/>
      </w:r>
      <w:r>
        <w:rPr>
          <w:rFonts w:hint="eastAsia"/>
        </w:rPr>
        <w:t>十二、实地查勘期</w:t>
      </w:r>
      <w:r>
        <w:tab/>
      </w:r>
      <w:r>
        <w:fldChar w:fldCharType="begin"/>
      </w:r>
      <w:r>
        <w:instrText xml:space="preserve"> PAGEREF _Toc32520 \h </w:instrText>
      </w:r>
      <w:r>
        <w:fldChar w:fldCharType="separate"/>
      </w:r>
      <w:r>
        <w:t>23</w:t>
      </w:r>
      <w:r>
        <w:fldChar w:fldCharType="end"/>
      </w:r>
      <w:r>
        <w:rPr>
          <w:rFonts w:hAnsi="宋体"/>
          <w:color w:val="000000"/>
          <w:szCs w:val="44"/>
          <w:lang w:val="zh-CN"/>
        </w:rPr>
        <w:fldChar w:fldCharType="end"/>
      </w:r>
    </w:p>
    <w:p>
      <w:pPr>
        <w:pStyle w:val="15"/>
        <w:tabs>
          <w:tab w:val="right" w:leader="dot" w:pos="9070"/>
        </w:tabs>
        <w:rPr>
          <w:rFonts w:hAnsi="宋体"/>
          <w:color w:val="000000"/>
          <w:szCs w:val="44"/>
          <w:lang w:val="zh-CN"/>
        </w:rPr>
      </w:pPr>
      <w:r>
        <w:rPr>
          <w:rFonts w:hAnsi="宋体"/>
          <w:color w:val="000000"/>
          <w:szCs w:val="44"/>
          <w:lang w:val="zh-CN"/>
        </w:rPr>
        <w:fldChar w:fldCharType="begin"/>
      </w:r>
      <w:r>
        <w:rPr>
          <w:rFonts w:hAnsi="宋体"/>
          <w:szCs w:val="44"/>
          <w:lang w:val="zh-CN"/>
        </w:rPr>
        <w:instrText xml:space="preserve"> HYPERLINK \l _Toc24579 </w:instrText>
      </w:r>
      <w:r>
        <w:rPr>
          <w:rFonts w:hAnsi="宋体"/>
          <w:szCs w:val="44"/>
          <w:lang w:val="zh-CN"/>
        </w:rPr>
        <w:fldChar w:fldCharType="separate"/>
      </w:r>
      <w:r>
        <w:rPr>
          <w:rFonts w:hint="eastAsia"/>
        </w:rPr>
        <w:t>十三、估价作业期</w:t>
      </w:r>
      <w:r>
        <w:tab/>
      </w:r>
      <w:r>
        <w:fldChar w:fldCharType="begin"/>
      </w:r>
      <w:r>
        <w:instrText xml:space="preserve"> PAGEREF _Toc24579 \h </w:instrText>
      </w:r>
      <w:r>
        <w:fldChar w:fldCharType="separate"/>
      </w:r>
      <w:r>
        <w:t>23</w:t>
      </w:r>
      <w:r>
        <w:fldChar w:fldCharType="end"/>
      </w:r>
      <w:r>
        <w:rPr>
          <w:rFonts w:hAnsi="宋体"/>
          <w:color w:val="000000"/>
          <w:szCs w:val="44"/>
          <w:lang w:val="zh-CN"/>
        </w:rPr>
        <w:fldChar w:fldCharType="end"/>
      </w:r>
    </w:p>
    <w:p>
      <w:r>
        <w:rPr>
          <w:rFonts w:hint="eastAsia" w:hAnsi="宋体"/>
          <w:color w:val="000000"/>
          <w:szCs w:val="44"/>
          <w:lang w:val="zh-CN"/>
        </w:rPr>
        <w:t>估价技术报告未载入</w:t>
      </w:r>
    </w:p>
    <w:p>
      <w:pPr>
        <w:spacing w:line="360" w:lineRule="auto"/>
        <w:ind w:firstLine="560" w:firstLineChars="200"/>
        <w:jc w:val="center"/>
        <w:rPr>
          <w:rFonts w:hAnsi="宋体"/>
          <w:spacing w:val="100"/>
        </w:rPr>
        <w:sectPr>
          <w:footerReference r:id="rId12" w:type="first"/>
          <w:footerReference r:id="rId11" w:type="default"/>
          <w:pgSz w:w="11906" w:h="16838"/>
          <w:pgMar w:top="1418" w:right="1418" w:bottom="1134" w:left="1418" w:header="851" w:footer="851" w:gutter="0"/>
          <w:pgBorders>
            <w:top w:val="none" w:sz="0" w:space="0"/>
            <w:left w:val="none" w:sz="0" w:space="0"/>
            <w:bottom w:val="none" w:sz="0" w:space="0"/>
            <w:right w:val="none" w:sz="0" w:space="0"/>
          </w:pgBorders>
          <w:pgNumType w:fmt="decimal"/>
          <w:cols w:space="720" w:num="1"/>
          <w:titlePg/>
          <w:docGrid w:type="lines" w:linePitch="312" w:charSpace="0"/>
        </w:sectPr>
      </w:pPr>
      <w:r>
        <w:rPr>
          <w:rFonts w:hAnsi="宋体"/>
          <w:color w:val="000000"/>
          <w:szCs w:val="44"/>
          <w:lang w:val="zh-CN"/>
        </w:rPr>
        <w:fldChar w:fldCharType="end"/>
      </w:r>
      <w:r>
        <w:rPr>
          <w:rFonts w:hint="eastAsia" w:hAnsi="宋体"/>
          <w:color w:val="000000"/>
          <w:szCs w:val="28"/>
        </w:rPr>
        <w:t>附</w:t>
      </w:r>
      <w:r>
        <w:rPr>
          <w:rFonts w:hAnsi="宋体"/>
          <w:color w:val="000000"/>
          <w:szCs w:val="28"/>
        </w:rPr>
        <w:t>件：</w:t>
      </w:r>
      <w:r>
        <w:rPr>
          <w:color w:val="000000"/>
          <w:szCs w:val="28"/>
        </w:rPr>
        <w:t>1</w:t>
      </w:r>
      <w:r>
        <w:rPr>
          <w:rFonts w:hAnsi="宋体"/>
          <w:color w:val="000000"/>
          <w:szCs w:val="28"/>
        </w:rPr>
        <w:t>、</w:t>
      </w:r>
      <w:r>
        <w:rPr>
          <w:rFonts w:hint="eastAsia" w:hAnsi="宋体"/>
          <w:color w:val="000000"/>
          <w:szCs w:val="28"/>
        </w:rPr>
        <w:t>委托书</w:t>
      </w:r>
      <w:r>
        <w:rPr>
          <w:rFonts w:hAnsi="宋体"/>
          <w:color w:val="000000"/>
          <w:szCs w:val="28"/>
        </w:rPr>
        <w:t>；</w:t>
      </w:r>
      <w:r>
        <w:rPr>
          <w:color w:val="000000"/>
          <w:szCs w:val="28"/>
        </w:rPr>
        <w:t>2</w:t>
      </w:r>
      <w:r>
        <w:rPr>
          <w:rFonts w:hAnsi="宋体"/>
          <w:color w:val="000000"/>
          <w:szCs w:val="28"/>
        </w:rPr>
        <w:t>、估价对象</w:t>
      </w:r>
      <w:r>
        <w:rPr>
          <w:rFonts w:hint="eastAsia" w:hAnsi="宋体"/>
          <w:color w:val="000000"/>
          <w:szCs w:val="28"/>
        </w:rPr>
        <w:t>位置图及</w:t>
      </w:r>
      <w:r>
        <w:rPr>
          <w:rFonts w:hAnsi="宋体"/>
          <w:color w:val="000000"/>
          <w:szCs w:val="28"/>
        </w:rPr>
        <w:t>照片</w:t>
      </w:r>
      <w:r>
        <w:rPr>
          <w:rFonts w:hint="eastAsia" w:hAnsi="宋体"/>
          <w:color w:val="000000"/>
          <w:szCs w:val="28"/>
        </w:rPr>
        <w:t>；3、</w:t>
      </w:r>
      <w:r>
        <w:rPr>
          <w:rFonts w:hint="eastAsia" w:hAnsi="宋体"/>
          <w:color w:val="000000"/>
          <w:szCs w:val="28"/>
          <w:lang w:val="en-US" w:eastAsia="zh-CN"/>
        </w:rPr>
        <w:t>估价对象权属证明复印件</w:t>
      </w:r>
      <w:r>
        <w:rPr>
          <w:rFonts w:hAnsi="宋体"/>
          <w:color w:val="000000"/>
          <w:szCs w:val="28"/>
        </w:rPr>
        <w:t>；</w:t>
      </w:r>
      <w:r>
        <w:rPr>
          <w:rFonts w:hint="eastAsia"/>
          <w:color w:val="000000"/>
          <w:szCs w:val="28"/>
        </w:rPr>
        <w:t>4</w:t>
      </w:r>
      <w:r>
        <w:rPr>
          <w:rFonts w:hAnsi="宋体"/>
          <w:color w:val="000000"/>
          <w:szCs w:val="28"/>
        </w:rPr>
        <w:t>、</w:t>
      </w:r>
      <w:r>
        <w:rPr>
          <w:rFonts w:hint="eastAsia" w:hAnsi="宋体"/>
          <w:color w:val="000000"/>
          <w:szCs w:val="28"/>
          <w:lang w:val="en-US" w:eastAsia="zh-CN"/>
        </w:rPr>
        <w:t>房地产估价机构营业执照和估价资质证书复印件；4、注册房地产估价师资格证书复印件</w:t>
      </w:r>
      <w:r>
        <w:rPr>
          <w:rFonts w:hint="eastAsia" w:hAnsi="宋体"/>
          <w:color w:val="000000"/>
          <w:szCs w:val="28"/>
        </w:rPr>
        <w:t>。</w:t>
      </w:r>
    </w:p>
    <w:p>
      <w:pPr>
        <w:pStyle w:val="3"/>
        <w:tabs>
          <w:tab w:val="left" w:pos="2760"/>
          <w:tab w:val="center" w:pos="4535"/>
        </w:tabs>
        <w:spacing w:before="312" w:beforeLines="100" w:after="312" w:afterLines="100" w:line="360" w:lineRule="auto"/>
        <w:jc w:val="center"/>
        <w:rPr>
          <w:rFonts w:hAnsi="宋体"/>
        </w:rPr>
      </w:pPr>
      <w:bookmarkStart w:id="3" w:name="_Toc16039"/>
      <w:bookmarkStart w:id="4" w:name="_Toc14451"/>
      <w:bookmarkStart w:id="5" w:name="_Toc16557"/>
      <w:bookmarkStart w:id="6" w:name="_Toc8421"/>
      <w:r>
        <w:t>估价师声明</w:t>
      </w:r>
      <w:bookmarkEnd w:id="3"/>
      <w:bookmarkEnd w:id="4"/>
      <w:bookmarkEnd w:id="5"/>
      <w:bookmarkEnd w:id="6"/>
    </w:p>
    <w:p>
      <w:pPr>
        <w:pStyle w:val="27"/>
        <w:autoSpaceDE/>
        <w:autoSpaceDN/>
        <w:adjustRightInd/>
        <w:spacing w:before="156" w:beforeLines="50" w:after="156" w:afterLines="50" w:line="360" w:lineRule="auto"/>
        <w:jc w:val="both"/>
        <w:textAlignment w:val="auto"/>
        <w:rPr>
          <w:rFonts w:ascii="Times New Roman" w:hAnsi="Times New Roman" w:eastAsia="宋体" w:cs="Times New Roman"/>
          <w:bCs/>
          <w:szCs w:val="28"/>
          <w:highlight w:val="none"/>
        </w:rPr>
      </w:pPr>
      <w:r>
        <w:rPr>
          <w:rFonts w:hint="eastAsia" w:ascii="Times New Roman" w:hAnsi="Times New Roman" w:eastAsia="宋体" w:cs="Times New Roman"/>
          <w:bCs/>
          <w:szCs w:val="28"/>
          <w:highlight w:val="none"/>
        </w:rPr>
        <w:t>对本报告我们特作如下郑重声明：</w:t>
      </w:r>
    </w:p>
    <w:p>
      <w:pPr>
        <w:ind w:firstLine="560"/>
        <w:rPr>
          <w:rFonts w:hint="eastAsia" w:ascii="Times New Roman" w:hAnsi="Times New Roman" w:eastAsia="宋体" w:cs="Times New Roman"/>
          <w:bCs/>
          <w:sz w:val="28"/>
          <w:szCs w:val="28"/>
          <w:highlight w:val="none"/>
          <w:lang w:val="en-US" w:eastAsia="zh-CN" w:bidi="ar-SA"/>
        </w:rPr>
      </w:pPr>
      <w:r>
        <w:rPr>
          <w:rFonts w:hint="eastAsia" w:ascii="Times New Roman" w:hAnsi="Times New Roman" w:eastAsia="宋体" w:cs="Times New Roman"/>
          <w:bCs/>
          <w:sz w:val="28"/>
          <w:szCs w:val="28"/>
          <w:highlight w:val="none"/>
          <w:lang w:val="en-US" w:eastAsia="zh-CN" w:bidi="ar-SA"/>
        </w:rPr>
        <w:t>1．注册房地产估价师在估价报告中对事实的说明是真实和准确的，没有虚假记载、误导性陈述和重大遗漏</w:t>
      </w:r>
    </w:p>
    <w:p>
      <w:pPr>
        <w:ind w:firstLine="560"/>
        <w:rPr>
          <w:rFonts w:hint="eastAsia" w:ascii="Times New Roman" w:hAnsi="Times New Roman" w:eastAsia="宋体" w:cs="Times New Roman"/>
          <w:bCs/>
          <w:sz w:val="28"/>
          <w:szCs w:val="28"/>
          <w:highlight w:val="none"/>
          <w:lang w:val="en-US" w:eastAsia="zh-CN" w:bidi="ar-SA"/>
        </w:rPr>
      </w:pPr>
      <w:r>
        <w:rPr>
          <w:rFonts w:hint="eastAsia" w:ascii="Times New Roman" w:hAnsi="Times New Roman" w:eastAsia="宋体" w:cs="Times New Roman"/>
          <w:bCs/>
          <w:sz w:val="28"/>
          <w:szCs w:val="28"/>
          <w:highlight w:val="none"/>
          <w:lang w:val="en-US" w:eastAsia="zh-CN" w:bidi="ar-SA"/>
        </w:rPr>
        <w:t>2．估价报告中的分析、意见和结论是注册房地产估价师独立、客观、公正的专业分析、意见和结论，但受到本估价报告中已说明的估价假设和限制条件的限制。</w:t>
      </w:r>
    </w:p>
    <w:p>
      <w:pPr>
        <w:ind w:firstLine="560"/>
        <w:rPr>
          <w:rFonts w:hint="eastAsia" w:ascii="Times New Roman" w:hAnsi="Times New Roman" w:eastAsia="宋体" w:cs="Times New Roman"/>
          <w:bCs/>
          <w:sz w:val="28"/>
          <w:szCs w:val="28"/>
          <w:highlight w:val="none"/>
          <w:lang w:val="en-US" w:eastAsia="zh-CN" w:bidi="ar-SA"/>
        </w:rPr>
      </w:pPr>
      <w:r>
        <w:rPr>
          <w:rFonts w:hint="eastAsia" w:ascii="Times New Roman" w:hAnsi="Times New Roman" w:eastAsia="宋体" w:cs="Times New Roman"/>
          <w:bCs/>
          <w:sz w:val="28"/>
          <w:szCs w:val="28"/>
          <w:highlight w:val="none"/>
          <w:lang w:val="en-US" w:eastAsia="zh-CN" w:bidi="ar-SA"/>
        </w:rPr>
        <w:t>3．注册房地产估价师与估价报告中的估价对象没有现实或潜在的利害，与估价委托人及估价利害关系人没有利害关系，也对估价对象、估价委托人及估价利害关系人没有偏见。</w:t>
      </w:r>
    </w:p>
    <w:p>
      <w:pPr>
        <w:ind w:firstLine="560"/>
        <w:rPr>
          <w:rFonts w:hint="eastAsia" w:ascii="Times New Roman" w:hAnsi="Times New Roman" w:eastAsia="宋体" w:cs="Times New Roman"/>
          <w:bCs/>
          <w:sz w:val="28"/>
          <w:szCs w:val="28"/>
          <w:highlight w:val="none"/>
          <w:lang w:val="en-US" w:eastAsia="zh-CN" w:bidi="ar-SA"/>
        </w:rPr>
      </w:pPr>
      <w:r>
        <w:rPr>
          <w:rFonts w:hint="eastAsia" w:ascii="Times New Roman" w:hAnsi="Times New Roman" w:eastAsia="宋体" w:cs="Times New Roman"/>
          <w:bCs/>
          <w:sz w:val="28"/>
          <w:szCs w:val="28"/>
          <w:highlight w:val="none"/>
          <w:lang w:val="en-US" w:eastAsia="zh-CN" w:bidi="ar-SA"/>
        </w:rPr>
        <w:t>4．注册房地产估价师是按照中华人民共和国国家标准《房地产估价规范》（GB/T50291—2015）及《房地产估价基本术语标准》(GB/T50899-2013)进行估价工作，撰写本估价报告。</w:t>
      </w:r>
    </w:p>
    <w:p>
      <w:pPr>
        <w:pStyle w:val="27"/>
        <w:autoSpaceDE/>
        <w:autoSpaceDN/>
        <w:adjustRightInd/>
        <w:spacing w:before="156" w:beforeLines="50" w:after="156" w:afterLines="50" w:line="360" w:lineRule="auto"/>
        <w:ind w:firstLine="560" w:firstLineChars="200"/>
        <w:jc w:val="both"/>
        <w:textAlignment w:val="auto"/>
        <w:rPr>
          <w:rFonts w:ascii="Times New Roman" w:hAnsi="Times New Roman" w:eastAsia="宋体" w:cs="Times New Roman"/>
          <w:bCs/>
          <w:szCs w:val="28"/>
          <w:highlight w:val="none"/>
        </w:rPr>
      </w:pPr>
      <w:r>
        <w:rPr>
          <w:rFonts w:hint="eastAsia" w:ascii="Times New Roman" w:hAnsi="Times New Roman" w:eastAsia="宋体" w:cs="Times New Roman"/>
          <w:bCs/>
          <w:szCs w:val="28"/>
          <w:highlight w:val="none"/>
          <w:lang w:val="en-US" w:eastAsia="zh-CN"/>
        </w:rPr>
        <w:t>5</w:t>
      </w:r>
      <w:r>
        <w:rPr>
          <w:rFonts w:hint="eastAsia" w:ascii="Times New Roman" w:hAnsi="Times New Roman" w:eastAsia="宋体" w:cs="Times New Roman"/>
          <w:bCs/>
          <w:szCs w:val="28"/>
          <w:highlight w:val="none"/>
        </w:rPr>
        <w:t>、没有其他人对本估价报告提供重要的专业帮助。</w:t>
      </w:r>
    </w:p>
    <w:p>
      <w:pPr>
        <w:pStyle w:val="3"/>
        <w:spacing w:before="312" w:beforeLines="100" w:after="312" w:afterLines="100" w:line="360" w:lineRule="auto"/>
        <w:jc w:val="center"/>
        <w:rPr>
          <w:rFonts w:hint="eastAsia"/>
        </w:rPr>
        <w:sectPr>
          <w:footerReference r:id="rId13" w:type="default"/>
          <w:pgSz w:w="11906" w:h="16838"/>
          <w:pgMar w:top="1440" w:right="1800" w:bottom="1440" w:left="1800" w:header="851" w:footer="992" w:gutter="0"/>
          <w:pgBorders>
            <w:top w:val="none" w:sz="0" w:space="0"/>
            <w:left w:val="none" w:sz="0" w:space="0"/>
            <w:bottom w:val="none" w:sz="0" w:space="0"/>
            <w:right w:val="none" w:sz="0" w:space="0"/>
          </w:pgBorders>
          <w:pgNumType w:fmt="decimal" w:start="1"/>
          <w:cols w:space="720" w:num="1"/>
          <w:docGrid w:type="lines" w:linePitch="312" w:charSpace="0"/>
        </w:sectPr>
      </w:pPr>
      <w:bookmarkStart w:id="7" w:name="_Toc29726"/>
      <w:bookmarkStart w:id="8" w:name="_Toc25142"/>
      <w:bookmarkStart w:id="9" w:name="_Toc440992054"/>
      <w:bookmarkStart w:id="10" w:name="_Toc464207624"/>
      <w:bookmarkStart w:id="11" w:name="_Toc28492"/>
      <w:bookmarkStart w:id="12" w:name="_Toc440990674"/>
    </w:p>
    <w:p>
      <w:pPr>
        <w:pStyle w:val="3"/>
        <w:spacing w:before="312" w:beforeLines="100" w:after="312" w:afterLines="100" w:line="360" w:lineRule="auto"/>
        <w:jc w:val="center"/>
        <w:rPr>
          <w:rFonts w:ascii="Times New Roman" w:hAnsi="Times New Roman" w:eastAsia="宋体" w:cs="Times New Roman"/>
          <w:b w:val="0"/>
          <w:kern w:val="0"/>
          <w:sz w:val="28"/>
          <w:szCs w:val="28"/>
        </w:rPr>
      </w:pPr>
      <w:bookmarkStart w:id="13" w:name="_Toc17560"/>
      <w:r>
        <w:rPr>
          <w:rFonts w:hint="eastAsia"/>
        </w:rPr>
        <w:t>估价的假设和限制条件</w:t>
      </w:r>
      <w:bookmarkEnd w:id="7"/>
      <w:bookmarkEnd w:id="8"/>
      <w:bookmarkEnd w:id="9"/>
      <w:bookmarkEnd w:id="10"/>
      <w:bookmarkEnd w:id="11"/>
      <w:bookmarkEnd w:id="12"/>
      <w:bookmarkEnd w:id="13"/>
    </w:p>
    <w:p>
      <w:pPr>
        <w:pStyle w:val="27"/>
        <w:autoSpaceDE/>
        <w:autoSpaceDN/>
        <w:adjustRightInd/>
        <w:spacing w:before="156" w:beforeLines="50" w:after="156" w:afterLines="50" w:line="360" w:lineRule="auto"/>
        <w:ind w:firstLine="562" w:firstLineChars="200"/>
        <w:jc w:val="both"/>
        <w:textAlignment w:val="auto"/>
        <w:rPr>
          <w:rFonts w:ascii="Times New Roman" w:hAnsi="Times New Roman" w:eastAsia="宋体" w:cs="Times New Roman"/>
          <w:b/>
          <w:szCs w:val="28"/>
        </w:rPr>
      </w:pPr>
      <w:r>
        <w:rPr>
          <w:rFonts w:hint="eastAsia" w:ascii="Times New Roman" w:hAnsi="Times New Roman" w:eastAsia="宋体" w:cs="Times New Roman"/>
          <w:b/>
          <w:szCs w:val="28"/>
        </w:rPr>
        <w:t>一、一般假设</w:t>
      </w:r>
    </w:p>
    <w:p>
      <w:pPr>
        <w:pStyle w:val="27"/>
        <w:autoSpaceDE/>
        <w:autoSpaceDN/>
        <w:adjustRightInd/>
        <w:spacing w:beforeLines="50" w:afterLines="50" w:line="360" w:lineRule="auto"/>
        <w:ind w:firstLine="560" w:firstLineChars="200"/>
        <w:jc w:val="both"/>
        <w:textAlignment w:val="auto"/>
        <w:rPr>
          <w:rFonts w:hint="eastAsia" w:ascii="Times New Roman" w:hAnsi="Times New Roman" w:eastAsia="宋体" w:cs="Times New Roman"/>
          <w:bCs/>
          <w:szCs w:val="28"/>
          <w:highlight w:val="none"/>
          <w:lang w:val="en-US" w:eastAsia="zh-CN"/>
        </w:rPr>
      </w:pPr>
      <w:r>
        <w:rPr>
          <w:rFonts w:hint="eastAsia" w:ascii="Times New Roman" w:hAnsi="Times New Roman" w:eastAsia="宋体" w:cs="Times New Roman"/>
          <w:bCs/>
          <w:szCs w:val="28"/>
          <w:highlight w:val="none"/>
          <w:lang w:val="en-US" w:eastAsia="zh-CN"/>
        </w:rPr>
        <w:t>1、房地产估价师对估价对象的权属、面积、用途等资料进行了检查，在无理由怀疑其合法性、真实性、准确性、完整性的情况下，假设委托人提供的相关产权资料合法、真实、准确、完整。</w:t>
      </w:r>
    </w:p>
    <w:p>
      <w:pPr>
        <w:pStyle w:val="27"/>
        <w:autoSpaceDE/>
        <w:autoSpaceDN/>
        <w:adjustRightInd/>
        <w:spacing w:beforeLines="50" w:afterLines="50" w:line="360" w:lineRule="auto"/>
        <w:ind w:firstLine="560" w:firstLineChars="200"/>
        <w:jc w:val="both"/>
        <w:textAlignment w:val="auto"/>
        <w:rPr>
          <w:rFonts w:hint="eastAsia" w:ascii="Times New Roman" w:hAnsi="Times New Roman" w:eastAsia="宋体" w:cs="Times New Roman"/>
          <w:bCs/>
          <w:szCs w:val="28"/>
          <w:highlight w:val="none"/>
          <w:lang w:val="en-US" w:eastAsia="zh-CN"/>
        </w:rPr>
      </w:pPr>
      <w:r>
        <w:rPr>
          <w:rFonts w:hint="eastAsia" w:ascii="Times New Roman" w:hAnsi="Times New Roman" w:eastAsia="宋体" w:cs="Times New Roman"/>
          <w:bCs/>
          <w:szCs w:val="28"/>
          <w:highlight w:val="none"/>
          <w:lang w:val="en-US" w:eastAsia="zh-CN"/>
        </w:rPr>
        <w:t>2、注册房地产估价师已对房屋安全、环境污染等影响估价对象价值的重大因素给予了关注，在无理由怀疑估价对象存在安全隐患且无相应的专业机构进行鉴定、检测的情况下，假定估价对象能正常安全使用。</w:t>
      </w:r>
    </w:p>
    <w:p>
      <w:pPr>
        <w:pStyle w:val="27"/>
        <w:autoSpaceDE/>
        <w:autoSpaceDN/>
        <w:adjustRightInd/>
        <w:spacing w:beforeLines="50" w:afterLines="50" w:line="360" w:lineRule="auto"/>
        <w:ind w:firstLine="560" w:firstLineChars="200"/>
        <w:jc w:val="both"/>
        <w:textAlignment w:val="auto"/>
        <w:rPr>
          <w:rFonts w:hint="eastAsia" w:ascii="Times New Roman" w:hAnsi="Times New Roman" w:eastAsia="宋体" w:cs="Times New Roman"/>
          <w:bCs/>
          <w:szCs w:val="28"/>
          <w:highlight w:val="none"/>
          <w:lang w:eastAsia="zh-CN"/>
        </w:rPr>
      </w:pPr>
      <w:r>
        <w:rPr>
          <w:rFonts w:hint="eastAsia" w:ascii="Times New Roman" w:hAnsi="Times New Roman" w:eastAsia="宋体" w:cs="Times New Roman"/>
          <w:bCs/>
          <w:szCs w:val="28"/>
          <w:highlight w:val="none"/>
          <w:lang w:val="en-US" w:eastAsia="zh-CN"/>
        </w:rPr>
        <w:t>3、对房地产</w:t>
      </w:r>
      <w:r>
        <w:rPr>
          <w:rFonts w:hint="eastAsia" w:ascii="Times New Roman" w:hAnsi="Times New Roman" w:eastAsia="宋体" w:cs="Times New Roman"/>
          <w:bCs/>
          <w:szCs w:val="28"/>
          <w:highlight w:val="none"/>
        </w:rPr>
        <w:t>市场</w:t>
      </w:r>
      <w:r>
        <w:rPr>
          <w:rFonts w:hint="eastAsia" w:ascii="Times New Roman" w:hAnsi="Times New Roman" w:eastAsia="宋体" w:cs="Times New Roman"/>
          <w:bCs/>
          <w:szCs w:val="28"/>
          <w:highlight w:val="none"/>
          <w:lang w:val="en-US" w:eastAsia="zh-CN"/>
        </w:rPr>
        <w:t>的</w:t>
      </w:r>
      <w:r>
        <w:rPr>
          <w:rFonts w:hint="eastAsia" w:ascii="Times New Roman" w:hAnsi="Times New Roman" w:eastAsia="宋体" w:cs="Times New Roman"/>
          <w:bCs/>
          <w:szCs w:val="28"/>
          <w:highlight w:val="none"/>
        </w:rPr>
        <w:t>假设</w:t>
      </w:r>
      <w:r>
        <w:rPr>
          <w:rFonts w:hint="eastAsia" w:ascii="Times New Roman" w:hAnsi="Times New Roman" w:eastAsia="宋体" w:cs="Times New Roman"/>
          <w:bCs/>
          <w:szCs w:val="28"/>
          <w:highlight w:val="none"/>
          <w:lang w:eastAsia="zh-CN"/>
        </w:rPr>
        <w:t>：</w:t>
      </w:r>
    </w:p>
    <w:p>
      <w:pPr>
        <w:pStyle w:val="27"/>
        <w:autoSpaceDE/>
        <w:autoSpaceDN/>
        <w:adjustRightInd/>
        <w:spacing w:beforeLines="50" w:afterLines="50" w:line="360" w:lineRule="auto"/>
        <w:ind w:firstLine="560" w:firstLineChars="200"/>
        <w:jc w:val="both"/>
        <w:textAlignment w:val="auto"/>
        <w:rPr>
          <w:rFonts w:ascii="Times New Roman" w:hAnsi="Times New Roman" w:eastAsia="宋体" w:cs="Times New Roman"/>
          <w:bCs/>
          <w:szCs w:val="28"/>
          <w:highlight w:val="none"/>
        </w:rPr>
      </w:pPr>
      <w:r>
        <w:rPr>
          <w:rFonts w:hint="eastAsia" w:ascii="Times New Roman" w:hAnsi="Times New Roman" w:eastAsia="宋体" w:cs="Times New Roman"/>
          <w:bCs/>
          <w:szCs w:val="28"/>
          <w:highlight w:val="none"/>
        </w:rPr>
        <w:t>①交易双方均是自愿地进行交易的；</w:t>
      </w:r>
    </w:p>
    <w:p>
      <w:pPr>
        <w:pStyle w:val="27"/>
        <w:autoSpaceDE/>
        <w:autoSpaceDN/>
        <w:adjustRightInd/>
        <w:spacing w:beforeLines="50" w:afterLines="50" w:line="360" w:lineRule="auto"/>
        <w:ind w:firstLine="560" w:firstLineChars="200"/>
        <w:jc w:val="both"/>
        <w:textAlignment w:val="auto"/>
        <w:rPr>
          <w:rFonts w:ascii="Times New Roman" w:hAnsi="Times New Roman" w:eastAsia="宋体" w:cs="Times New Roman"/>
          <w:bCs/>
          <w:szCs w:val="28"/>
          <w:highlight w:val="none"/>
        </w:rPr>
      </w:pPr>
      <w:r>
        <w:rPr>
          <w:rFonts w:hint="eastAsia" w:ascii="Times New Roman" w:hAnsi="Times New Roman" w:eastAsia="宋体" w:cs="Times New Roman"/>
          <w:bCs/>
          <w:szCs w:val="28"/>
          <w:highlight w:val="none"/>
        </w:rPr>
        <w:t>②交易双方均是出于利己动机，交易双方具有关于交易对象的必要的专业知识，了解交易对象、知晓市场行情，交易目的在于最大限度地追求经济利益；</w:t>
      </w:r>
    </w:p>
    <w:p>
      <w:pPr>
        <w:pStyle w:val="27"/>
        <w:autoSpaceDE/>
        <w:autoSpaceDN/>
        <w:adjustRightInd/>
        <w:spacing w:beforeLines="50" w:afterLines="50" w:line="360" w:lineRule="auto"/>
        <w:ind w:firstLine="560" w:firstLineChars="200"/>
        <w:jc w:val="both"/>
        <w:textAlignment w:val="auto"/>
        <w:rPr>
          <w:rFonts w:ascii="Times New Roman" w:hAnsi="Times New Roman" w:eastAsia="宋体" w:cs="Times New Roman"/>
          <w:bCs/>
          <w:szCs w:val="28"/>
          <w:highlight w:val="none"/>
        </w:rPr>
      </w:pPr>
      <w:r>
        <w:rPr>
          <w:rFonts w:hint="eastAsia" w:ascii="Times New Roman" w:hAnsi="Times New Roman" w:eastAsia="宋体" w:cs="Times New Roman"/>
          <w:bCs/>
          <w:szCs w:val="28"/>
          <w:highlight w:val="none"/>
        </w:rPr>
        <w:t>③市场上有多个买家、卖家，交易条件公开并不具有排他性，交易价格支付为一次性在成交时支付。</w:t>
      </w:r>
    </w:p>
    <w:p>
      <w:pPr>
        <w:pStyle w:val="27"/>
        <w:autoSpaceDE/>
        <w:autoSpaceDN/>
        <w:adjustRightInd/>
        <w:spacing w:beforeLines="50" w:afterLines="50" w:line="360" w:lineRule="auto"/>
        <w:ind w:firstLine="560" w:firstLineChars="200"/>
        <w:jc w:val="both"/>
        <w:textAlignment w:val="auto"/>
        <w:rPr>
          <w:rFonts w:ascii="Times New Roman" w:hAnsi="Times New Roman" w:eastAsia="宋体" w:cs="Times New Roman"/>
          <w:bCs/>
          <w:szCs w:val="28"/>
          <w:highlight w:val="none"/>
        </w:rPr>
      </w:pPr>
      <w:r>
        <w:rPr>
          <w:rFonts w:hint="eastAsia" w:ascii="Times New Roman" w:hAnsi="Times New Roman" w:eastAsia="宋体" w:cs="Times New Roman"/>
          <w:bCs/>
          <w:szCs w:val="28"/>
          <w:highlight w:val="none"/>
        </w:rPr>
        <w:t>④交易房地产在市场上公开足够时间，买卖双方掌握足够的关于交易房地产的信息，并有充裕的时间进行房地产交易；</w:t>
      </w:r>
    </w:p>
    <w:p>
      <w:pPr>
        <w:pStyle w:val="27"/>
        <w:autoSpaceDE/>
        <w:autoSpaceDN/>
        <w:adjustRightInd/>
        <w:spacing w:beforeLines="50" w:afterLines="50" w:line="360" w:lineRule="auto"/>
        <w:ind w:firstLine="560" w:firstLineChars="200"/>
        <w:jc w:val="both"/>
        <w:textAlignment w:val="auto"/>
        <w:rPr>
          <w:rFonts w:ascii="Times New Roman" w:hAnsi="Times New Roman" w:eastAsia="宋体" w:cs="Times New Roman"/>
          <w:bCs/>
          <w:szCs w:val="28"/>
          <w:highlight w:val="none"/>
        </w:rPr>
      </w:pPr>
      <w:r>
        <w:rPr>
          <w:rFonts w:hint="eastAsia" w:ascii="Times New Roman" w:hAnsi="Times New Roman" w:eastAsia="宋体" w:cs="Times New Roman"/>
          <w:bCs/>
          <w:szCs w:val="28"/>
          <w:highlight w:val="none"/>
        </w:rPr>
        <w:t>⑤交易双方均不存在买者因特殊兴趣而给予的附加出价。</w:t>
      </w:r>
    </w:p>
    <w:p>
      <w:pPr>
        <w:pStyle w:val="27"/>
        <w:autoSpaceDE/>
        <w:autoSpaceDN/>
        <w:adjustRightInd/>
        <w:spacing w:beforeLines="50" w:afterLines="50" w:line="360" w:lineRule="auto"/>
        <w:ind w:firstLine="560" w:firstLineChars="200"/>
        <w:jc w:val="both"/>
        <w:textAlignment w:val="auto"/>
        <w:rPr>
          <w:rFonts w:hint="eastAsia" w:ascii="Times New Roman" w:hAnsi="Times New Roman" w:eastAsia="宋体" w:cs="Times New Roman"/>
          <w:bCs/>
          <w:szCs w:val="28"/>
          <w:highlight w:val="none"/>
        </w:rPr>
      </w:pPr>
      <w:r>
        <w:rPr>
          <w:rFonts w:hint="eastAsia" w:ascii="Times New Roman" w:hAnsi="Times New Roman" w:eastAsia="宋体" w:cs="Times New Roman"/>
          <w:bCs/>
          <w:szCs w:val="28"/>
          <w:highlight w:val="none"/>
        </w:rPr>
        <w:t>估价对象于价值时点的</w:t>
      </w:r>
      <w:r>
        <w:rPr>
          <w:rFonts w:hint="eastAsia" w:ascii="Times New Roman" w:hAnsi="Times New Roman" w:eastAsia="宋体" w:cs="Times New Roman"/>
          <w:bCs/>
          <w:szCs w:val="28"/>
          <w:highlight w:val="none"/>
          <w:lang w:eastAsia="zh-CN"/>
        </w:rPr>
        <w:t>抵押价值</w:t>
      </w:r>
      <w:r>
        <w:rPr>
          <w:rFonts w:hint="eastAsia" w:ascii="Times New Roman" w:hAnsi="Times New Roman" w:eastAsia="宋体" w:cs="Times New Roman"/>
          <w:bCs/>
          <w:szCs w:val="28"/>
          <w:highlight w:val="none"/>
        </w:rPr>
        <w:t>是指估价对象于价值时点在市场上公开出售最可能实现的价格。</w:t>
      </w:r>
    </w:p>
    <w:p>
      <w:pPr>
        <w:pStyle w:val="27"/>
        <w:autoSpaceDE/>
        <w:autoSpaceDN/>
        <w:adjustRightInd/>
        <w:spacing w:before="156" w:beforeLines="50" w:after="156" w:afterLines="50" w:line="360" w:lineRule="auto"/>
        <w:ind w:firstLine="562" w:firstLineChars="200"/>
        <w:jc w:val="both"/>
        <w:textAlignment w:val="auto"/>
        <w:rPr>
          <w:rFonts w:ascii="Times New Roman" w:hAnsi="Times New Roman" w:eastAsia="宋体" w:cs="Times New Roman"/>
          <w:b/>
          <w:szCs w:val="28"/>
        </w:rPr>
      </w:pPr>
      <w:r>
        <w:rPr>
          <w:rFonts w:hint="eastAsia" w:ascii="Times New Roman" w:hAnsi="Times New Roman" w:eastAsia="宋体" w:cs="Times New Roman"/>
          <w:b/>
          <w:szCs w:val="28"/>
        </w:rPr>
        <w:t>二、不相一致假设</w:t>
      </w:r>
    </w:p>
    <w:p>
      <w:pPr>
        <w:pStyle w:val="27"/>
        <w:spacing w:before="156" w:beforeLines="50" w:after="156" w:afterLines="50" w:line="360" w:lineRule="auto"/>
        <w:ind w:firstLine="560" w:firstLineChars="200"/>
        <w:rPr>
          <w:rFonts w:hint="default"/>
          <w:bCs/>
          <w:sz w:val="28"/>
          <w:szCs w:val="28"/>
          <w:highlight w:val="none"/>
          <w:lang w:val="en-US" w:eastAsia="zh-CN"/>
        </w:rPr>
      </w:pPr>
      <w:r>
        <w:rPr>
          <w:rFonts w:hint="eastAsia"/>
          <w:bCs/>
          <w:sz w:val="28"/>
          <w:szCs w:val="28"/>
          <w:highlight w:val="none"/>
          <w:lang w:val="en-US" w:eastAsia="zh-CN"/>
        </w:rPr>
        <w:t>估价对象已被查封，但结合本次评估目的，本次评估不考虑查封对估价结果的影响，提请报告使用者予以关注</w:t>
      </w:r>
      <w:r>
        <w:rPr>
          <w:rFonts w:hint="eastAsia"/>
          <w:bCs/>
          <w:sz w:val="28"/>
          <w:szCs w:val="28"/>
          <w:highlight w:val="none"/>
          <w:lang w:eastAsia="zh-CN"/>
        </w:rPr>
        <w:t>。</w:t>
      </w:r>
    </w:p>
    <w:p>
      <w:pPr>
        <w:pStyle w:val="27"/>
        <w:numPr>
          <w:ilvl w:val="0"/>
          <w:numId w:val="1"/>
        </w:numPr>
        <w:autoSpaceDE/>
        <w:autoSpaceDN/>
        <w:adjustRightInd/>
        <w:spacing w:before="156" w:beforeLines="50" w:after="156" w:afterLines="50" w:line="360" w:lineRule="auto"/>
        <w:ind w:left="-2" w:firstLine="562" w:firstLineChars="0"/>
        <w:jc w:val="both"/>
        <w:textAlignment w:val="auto"/>
        <w:rPr>
          <w:rFonts w:hint="eastAsia" w:ascii="Times New Roman" w:hAnsi="Times New Roman" w:eastAsia="宋体" w:cs="Times New Roman"/>
          <w:b/>
          <w:szCs w:val="28"/>
        </w:rPr>
      </w:pPr>
      <w:r>
        <w:rPr>
          <w:rFonts w:hint="eastAsia" w:ascii="Times New Roman" w:hAnsi="Times New Roman" w:eastAsia="宋体" w:cs="Times New Roman"/>
          <w:b/>
          <w:szCs w:val="28"/>
        </w:rPr>
        <w:t>未定事项假设</w:t>
      </w:r>
    </w:p>
    <w:p>
      <w:pPr>
        <w:pStyle w:val="27"/>
        <w:keepNext w:val="0"/>
        <w:keepLines w:val="0"/>
        <w:pageBreakBefore w:val="0"/>
        <w:widowControl/>
        <w:kinsoku/>
        <w:wordWrap/>
        <w:overflowPunct/>
        <w:topLinePunct w:val="0"/>
        <w:autoSpaceDE w:val="0"/>
        <w:autoSpaceDN w:val="0"/>
        <w:bidi w:val="0"/>
        <w:adjustRightInd w:val="0"/>
        <w:snapToGrid/>
        <w:spacing w:before="156" w:beforeLines="50" w:after="156" w:afterLines="50" w:line="360" w:lineRule="auto"/>
        <w:ind w:firstLine="560" w:firstLineChars="200"/>
        <w:textAlignment w:val="baseline"/>
        <w:rPr>
          <w:rFonts w:hint="eastAsia"/>
          <w:bCs/>
          <w:sz w:val="28"/>
          <w:szCs w:val="28"/>
          <w:highlight w:val="none"/>
          <w:lang w:val="en-US" w:eastAsia="zh-CN"/>
        </w:rPr>
      </w:pPr>
      <w:r>
        <w:rPr>
          <w:rFonts w:hint="eastAsia"/>
          <w:bCs/>
          <w:sz w:val="28"/>
          <w:szCs w:val="28"/>
          <w:highlight w:val="none"/>
          <w:lang w:val="en-US" w:eastAsia="zh-CN"/>
        </w:rPr>
        <w:t>于2022年7月7日正在建设之中，2#、3#、5#楼建筑面积共计40585.52平方米，本次评估对象44套建筑面积合计5,632.22 平方米，约占13.88%，且部分房地产已被售出，由购买方对纳入评估范围的部分住宅房地产进行后续开发建设不具备操作性与可行性，贵州鼎鑫房地产开发有限责任公司承诺：“由贵州鼎鑫房地产开发有限责任公司进行后续开发建设，贵州鼎鑫房地产开发有限责任公司承担后续开发建设过程中的一切经济支出，纳入评估范围的房地产严格按照《商品房预售许可证》记载的交付使用日期（2023年12月1日）进行交付使用，交付使用的房地产需经相关部分验收合格，贵州鼎鑫房地产开发有限责任公司在房屋交付使用后按照国家相关的法律规定承担相应的住宅房地产质量保修责任，交付的房地产的装修情况为毛坯”，故本次评估按期房进行评估，提请报告使用者予以关注。</w:t>
      </w:r>
    </w:p>
    <w:p>
      <w:pPr>
        <w:pStyle w:val="27"/>
        <w:widowControl/>
        <w:numPr>
          <w:ilvl w:val="0"/>
          <w:numId w:val="0"/>
        </w:numPr>
        <w:autoSpaceDE/>
        <w:autoSpaceDN/>
        <w:adjustRightInd/>
        <w:spacing w:before="156" w:beforeLines="50" w:after="156" w:afterLines="50" w:line="360" w:lineRule="auto"/>
        <w:ind w:leftChars="0" w:firstLine="562" w:firstLineChars="200"/>
        <w:jc w:val="both"/>
        <w:textAlignment w:val="auto"/>
        <w:rPr>
          <w:rFonts w:hint="eastAsia" w:ascii="Times New Roman" w:hAnsi="Times New Roman" w:eastAsia="宋体" w:cs="Times New Roman"/>
          <w:b/>
          <w:szCs w:val="28"/>
        </w:rPr>
      </w:pPr>
      <w:r>
        <w:rPr>
          <w:rFonts w:hint="eastAsia" w:ascii="Times New Roman" w:hAnsi="Times New Roman" w:eastAsia="宋体" w:cs="Times New Roman"/>
          <w:b/>
          <w:szCs w:val="28"/>
          <w:lang w:val="en-US" w:eastAsia="zh-CN"/>
        </w:rPr>
        <w:t>四、</w:t>
      </w:r>
      <w:r>
        <w:rPr>
          <w:rFonts w:hint="eastAsia" w:ascii="Times New Roman" w:hAnsi="Times New Roman" w:eastAsia="宋体" w:cs="Times New Roman"/>
          <w:b/>
          <w:szCs w:val="28"/>
        </w:rPr>
        <w:t>背离事实假设</w:t>
      </w:r>
    </w:p>
    <w:p>
      <w:pPr>
        <w:pStyle w:val="27"/>
        <w:widowControl/>
        <w:numPr>
          <w:ilvl w:val="0"/>
          <w:numId w:val="0"/>
        </w:numPr>
        <w:autoSpaceDE/>
        <w:autoSpaceDN/>
        <w:adjustRightInd/>
        <w:spacing w:before="156" w:beforeLines="50" w:after="156" w:afterLines="50" w:line="360" w:lineRule="auto"/>
        <w:ind w:firstLine="562" w:firstLineChars="200"/>
        <w:jc w:val="both"/>
        <w:textAlignment w:val="auto"/>
        <w:rPr>
          <w:rFonts w:hint="eastAsia" w:ascii="Times New Roman" w:hAnsi="Times New Roman" w:eastAsia="宋体" w:cs="Times New Roman"/>
          <w:b/>
          <w:szCs w:val="28"/>
          <w:highlight w:val="none"/>
          <w:lang w:val="en-US" w:eastAsia="zh-CN"/>
        </w:rPr>
      </w:pPr>
      <w:r>
        <w:rPr>
          <w:rFonts w:hint="eastAsia" w:ascii="Times New Roman" w:hAnsi="Times New Roman" w:eastAsia="宋体" w:cs="Times New Roman"/>
          <w:b/>
          <w:szCs w:val="28"/>
          <w:highlight w:val="none"/>
          <w:lang w:val="en-US" w:eastAsia="zh-CN"/>
        </w:rPr>
        <w:t>无。</w:t>
      </w:r>
    </w:p>
    <w:p>
      <w:pPr>
        <w:pStyle w:val="27"/>
        <w:widowControl/>
        <w:numPr>
          <w:ilvl w:val="0"/>
          <w:numId w:val="0"/>
        </w:numPr>
        <w:autoSpaceDE/>
        <w:autoSpaceDN/>
        <w:adjustRightInd/>
        <w:spacing w:before="156" w:beforeLines="50" w:after="156" w:afterLines="50" w:line="360" w:lineRule="auto"/>
        <w:ind w:left="0" w:leftChars="0" w:firstLine="562" w:firstLineChars="200"/>
        <w:jc w:val="both"/>
        <w:textAlignment w:val="auto"/>
        <w:rPr>
          <w:rFonts w:hint="eastAsia" w:ascii="Times New Roman" w:hAnsi="Times New Roman" w:eastAsia="宋体" w:cs="Times New Roman"/>
          <w:b/>
          <w:szCs w:val="28"/>
          <w:lang w:val="en-US" w:eastAsia="zh-CN"/>
        </w:rPr>
      </w:pPr>
      <w:r>
        <w:rPr>
          <w:rFonts w:hint="eastAsia" w:ascii="Times New Roman" w:hAnsi="Times New Roman" w:eastAsia="宋体" w:cs="Times New Roman"/>
          <w:b/>
          <w:szCs w:val="28"/>
          <w:lang w:val="en-US" w:eastAsia="zh-CN"/>
        </w:rPr>
        <w:t>五、</w:t>
      </w:r>
      <w:r>
        <w:rPr>
          <w:rFonts w:hint="eastAsia" w:ascii="Times New Roman" w:hAnsi="Times New Roman" w:eastAsia="宋体" w:cs="Times New Roman"/>
          <w:b/>
          <w:szCs w:val="28"/>
        </w:rPr>
        <w:t>依据不足假设</w:t>
      </w:r>
    </w:p>
    <w:p>
      <w:pPr>
        <w:pStyle w:val="27"/>
        <w:widowControl/>
        <w:numPr>
          <w:ilvl w:val="0"/>
          <w:numId w:val="0"/>
        </w:numPr>
        <w:autoSpaceDE/>
        <w:autoSpaceDN/>
        <w:adjustRightInd/>
        <w:spacing w:before="156" w:beforeLines="50" w:after="156" w:afterLines="50" w:line="360" w:lineRule="auto"/>
        <w:ind w:firstLine="562" w:firstLineChars="200"/>
        <w:jc w:val="both"/>
        <w:textAlignment w:val="auto"/>
        <w:rPr>
          <w:rFonts w:hint="eastAsia" w:ascii="Times New Roman" w:hAnsi="Times New Roman" w:eastAsia="宋体" w:cs="Times New Roman"/>
          <w:b/>
          <w:szCs w:val="28"/>
          <w:highlight w:val="none"/>
          <w:lang w:val="en-US" w:eastAsia="zh-CN"/>
        </w:rPr>
      </w:pPr>
      <w:r>
        <w:rPr>
          <w:rFonts w:hint="eastAsia" w:ascii="Times New Roman" w:hAnsi="Times New Roman" w:eastAsia="宋体" w:cs="Times New Roman"/>
          <w:b/>
          <w:szCs w:val="28"/>
          <w:highlight w:val="none"/>
          <w:lang w:val="en-US" w:eastAsia="zh-CN"/>
        </w:rPr>
        <w:t>无。</w:t>
      </w:r>
    </w:p>
    <w:p>
      <w:pPr>
        <w:pStyle w:val="27"/>
        <w:autoSpaceDE/>
        <w:autoSpaceDN/>
        <w:adjustRightInd/>
        <w:spacing w:before="156" w:beforeLines="50" w:after="156" w:afterLines="50" w:line="360" w:lineRule="auto"/>
        <w:ind w:firstLine="562" w:firstLineChars="200"/>
        <w:jc w:val="both"/>
        <w:textAlignment w:val="auto"/>
        <w:rPr>
          <w:rFonts w:ascii="Times New Roman" w:hAnsi="Times New Roman" w:eastAsia="宋体" w:cs="Times New Roman"/>
          <w:b/>
          <w:szCs w:val="28"/>
        </w:rPr>
      </w:pPr>
      <w:r>
        <w:rPr>
          <w:rFonts w:hint="eastAsia" w:ascii="Times New Roman" w:hAnsi="Times New Roman" w:eastAsia="宋体" w:cs="Times New Roman"/>
          <w:b/>
          <w:szCs w:val="28"/>
          <w:lang w:val="en-US" w:eastAsia="zh-CN"/>
        </w:rPr>
        <w:t>六</w:t>
      </w:r>
      <w:r>
        <w:rPr>
          <w:rFonts w:hint="eastAsia" w:ascii="Times New Roman" w:hAnsi="Times New Roman" w:eastAsia="宋体" w:cs="Times New Roman"/>
          <w:b/>
          <w:szCs w:val="28"/>
        </w:rPr>
        <w:t>、本报告使用的限制条件</w:t>
      </w:r>
    </w:p>
    <w:p>
      <w:pPr>
        <w:spacing w:line="560" w:lineRule="exact"/>
        <w:ind w:firstLine="560" w:firstLineChars="200"/>
        <w:rPr>
          <w:rFonts w:hint="eastAsia" w:ascii="Times New Roman" w:hAnsi="Times New Roman" w:eastAsia="宋体" w:cs="Times New Roman"/>
          <w:bCs/>
          <w:sz w:val="28"/>
          <w:szCs w:val="28"/>
          <w:highlight w:val="none"/>
          <w:lang w:val="en-US" w:eastAsia="zh-CN" w:bidi="ar-SA"/>
        </w:rPr>
      </w:pPr>
      <w:bookmarkStart w:id="14" w:name="_Toc20917"/>
      <w:bookmarkStart w:id="15" w:name="_Toc3076"/>
      <w:bookmarkStart w:id="16" w:name="_Toc440990675"/>
      <w:bookmarkStart w:id="17" w:name="_Toc440992055"/>
      <w:r>
        <w:rPr>
          <w:rFonts w:hint="eastAsia" w:ascii="Times New Roman" w:hAnsi="Times New Roman" w:eastAsia="宋体" w:cs="Times New Roman"/>
          <w:bCs/>
          <w:sz w:val="28"/>
          <w:szCs w:val="28"/>
          <w:highlight w:val="none"/>
          <w:lang w:val="en-US" w:eastAsia="zh-CN" w:bidi="ar-SA"/>
        </w:rPr>
        <w:t>1、本报告有效期为壹年，自估价报告出具之日起算，若报告有效期内房地产市场或估价对象状况发生重大变化，估价结果需做相应调整或重新进行评估。同时，如果使用本报告的时间超过了估价报告应用的有效期而造成的损失，房地产估价机构及注册房地产估价师不承担责任。</w:t>
      </w:r>
    </w:p>
    <w:p>
      <w:pPr>
        <w:spacing w:line="560" w:lineRule="exact"/>
        <w:ind w:firstLine="560" w:firstLineChars="200"/>
        <w:rPr>
          <w:rFonts w:hint="eastAsia" w:ascii="Times New Roman" w:hAnsi="Times New Roman" w:eastAsia="宋体" w:cs="Times New Roman"/>
          <w:bCs/>
          <w:sz w:val="28"/>
          <w:szCs w:val="28"/>
          <w:highlight w:val="none"/>
          <w:lang w:val="en-US" w:eastAsia="zh-CN" w:bidi="ar-SA"/>
        </w:rPr>
      </w:pPr>
      <w:r>
        <w:rPr>
          <w:rFonts w:hint="eastAsia" w:ascii="Times New Roman" w:hAnsi="Times New Roman" w:eastAsia="宋体" w:cs="Times New Roman"/>
          <w:bCs/>
          <w:sz w:val="28"/>
          <w:szCs w:val="28"/>
          <w:highlight w:val="none"/>
          <w:lang w:val="en-US" w:eastAsia="zh-CN" w:bidi="ar-SA"/>
        </w:rPr>
        <w:t>2、本估价报告仅为委托人及案件相关当事人提供涉案房地产的价值参考依据，将估价报告及估价结果用于其他用途时，估价报告及估价结果无效。</w:t>
      </w:r>
    </w:p>
    <w:p>
      <w:pPr>
        <w:spacing w:line="560" w:lineRule="exact"/>
        <w:ind w:firstLine="560" w:firstLineChars="200"/>
        <w:rPr>
          <w:rFonts w:hint="eastAsia" w:ascii="Times New Roman" w:hAnsi="Times New Roman" w:eastAsia="宋体" w:cs="Times New Roman"/>
          <w:bCs/>
          <w:sz w:val="28"/>
          <w:szCs w:val="28"/>
          <w:highlight w:val="none"/>
          <w:lang w:val="en-US" w:eastAsia="zh-CN" w:bidi="ar-SA"/>
        </w:rPr>
      </w:pPr>
      <w:r>
        <w:rPr>
          <w:rFonts w:hint="eastAsia" w:ascii="Times New Roman" w:hAnsi="Times New Roman" w:eastAsia="宋体" w:cs="Times New Roman"/>
          <w:bCs/>
          <w:sz w:val="28"/>
          <w:szCs w:val="28"/>
          <w:highlight w:val="none"/>
          <w:lang w:val="en-US" w:eastAsia="zh-CN" w:bidi="ar-SA"/>
        </w:rPr>
        <w:t>3、本估价报告的使用人为委托人及案件相关当事人，其他单位和个人不能使用本估价报告。未经本估价机构同意，估价报告不得向估价委托人及估价报告审查部门以外的单位和个人提供，凡因估价委托人使用估价报告不当而引起的后果，估价机构和注册房地产估价师不承担相应的责任。</w:t>
      </w:r>
    </w:p>
    <w:p>
      <w:pPr>
        <w:pStyle w:val="27"/>
        <w:autoSpaceDE/>
        <w:autoSpaceDN/>
        <w:adjustRightInd/>
        <w:spacing w:before="156" w:beforeLines="50" w:after="156" w:afterLines="50" w:line="360" w:lineRule="auto"/>
        <w:ind w:firstLine="560" w:firstLineChars="200"/>
        <w:jc w:val="both"/>
        <w:textAlignment w:val="auto"/>
        <w:rPr>
          <w:rFonts w:hint="eastAsia" w:ascii="Times New Roman" w:hAnsi="Times New Roman" w:eastAsia="宋体" w:cs="Times New Roman"/>
          <w:bCs/>
          <w:szCs w:val="28"/>
          <w:highlight w:val="none"/>
        </w:rPr>
      </w:pPr>
      <w:r>
        <w:rPr>
          <w:rFonts w:hint="eastAsia" w:ascii="Times New Roman" w:hAnsi="Times New Roman" w:eastAsia="宋体" w:cs="Times New Roman"/>
          <w:bCs/>
          <w:szCs w:val="28"/>
          <w:highlight w:val="none"/>
        </w:rPr>
        <w:t>4、本报告的估价结果的使用权归委托方所有，本公司对估价结果有最终解释权。</w:t>
      </w:r>
    </w:p>
    <w:p>
      <w:pPr>
        <w:pStyle w:val="27"/>
        <w:autoSpaceDE/>
        <w:autoSpaceDN/>
        <w:adjustRightInd/>
        <w:spacing w:before="156" w:beforeLines="50" w:after="156" w:afterLines="50" w:line="360" w:lineRule="auto"/>
        <w:ind w:firstLine="560" w:firstLineChars="200"/>
        <w:jc w:val="both"/>
        <w:textAlignment w:val="auto"/>
        <w:rPr>
          <w:rFonts w:hint="eastAsia" w:ascii="Times New Roman" w:hAnsi="Times New Roman" w:eastAsia="宋体" w:cs="Times New Roman"/>
          <w:bCs/>
          <w:szCs w:val="28"/>
          <w:highlight w:val="none"/>
        </w:rPr>
      </w:pPr>
      <w:r>
        <w:rPr>
          <w:rFonts w:hint="eastAsia" w:ascii="Times New Roman" w:hAnsi="Times New Roman" w:eastAsia="宋体" w:cs="Times New Roman"/>
          <w:bCs/>
          <w:szCs w:val="28"/>
          <w:highlight w:val="none"/>
        </w:rPr>
        <w:t>5、未经我公司允许，本估价报告全部或部分内容不得公开发表。</w:t>
      </w:r>
    </w:p>
    <w:p>
      <w:pPr>
        <w:pStyle w:val="27"/>
        <w:autoSpaceDE/>
        <w:autoSpaceDN/>
        <w:adjustRightInd/>
        <w:spacing w:before="156" w:beforeLines="50" w:after="156" w:afterLines="50" w:line="360" w:lineRule="auto"/>
        <w:ind w:firstLine="560" w:firstLineChars="200"/>
        <w:jc w:val="both"/>
        <w:textAlignment w:val="auto"/>
        <w:rPr>
          <w:rFonts w:ascii="Times New Roman" w:hAnsi="Times New Roman" w:eastAsia="宋体" w:cs="Times New Roman"/>
          <w:bCs/>
          <w:szCs w:val="28"/>
        </w:rPr>
      </w:pPr>
      <w:r>
        <w:rPr>
          <w:rFonts w:hint="eastAsia" w:ascii="Times New Roman" w:hAnsi="Times New Roman" w:eastAsia="宋体" w:cs="Times New Roman"/>
          <w:bCs/>
          <w:szCs w:val="28"/>
          <w:highlight w:val="none"/>
        </w:rPr>
        <w:t>6、本次评估结果受本估价假设限制条件的影响，当上述条件及评估报告遵循的各种条件和原则发生变化时，本评估结果一般自动失效。</w:t>
      </w:r>
    </w:p>
    <w:p>
      <w:pPr>
        <w:pStyle w:val="3"/>
        <w:spacing w:before="312" w:beforeLines="100" w:after="312" w:afterLines="100" w:line="360" w:lineRule="auto"/>
        <w:jc w:val="center"/>
        <w:rPr>
          <w:rFonts w:hint="eastAsia" w:hAnsi="宋体"/>
          <w:spacing w:val="40"/>
        </w:rPr>
        <w:sectPr>
          <w:footerReference r:id="rId14" w:type="default"/>
          <w:pgSz w:w="11906" w:h="16838"/>
          <w:pgMar w:top="1440" w:right="1800" w:bottom="1440" w:left="1800" w:header="851" w:footer="992" w:gutter="0"/>
          <w:pgBorders>
            <w:top w:val="none" w:sz="0" w:space="0"/>
            <w:left w:val="none" w:sz="0" w:space="0"/>
            <w:bottom w:val="none" w:sz="0" w:space="0"/>
            <w:right w:val="none" w:sz="0" w:space="0"/>
          </w:pgBorders>
          <w:pgNumType w:fmt="decimal"/>
          <w:cols w:space="720" w:num="1"/>
          <w:docGrid w:type="lines" w:linePitch="312" w:charSpace="0"/>
        </w:sectPr>
      </w:pPr>
      <w:bookmarkStart w:id="18" w:name="_Toc14891"/>
    </w:p>
    <w:p>
      <w:pPr>
        <w:pStyle w:val="3"/>
        <w:spacing w:before="312" w:beforeLines="100" w:after="312" w:afterLines="100" w:line="360" w:lineRule="auto"/>
        <w:jc w:val="center"/>
        <w:rPr>
          <w:rFonts w:hAnsi="宋体"/>
          <w:spacing w:val="40"/>
        </w:rPr>
      </w:pPr>
      <w:bookmarkStart w:id="19" w:name="_Toc1161"/>
      <w:r>
        <w:rPr>
          <w:rFonts w:hint="eastAsia" w:hAnsi="宋体"/>
          <w:spacing w:val="40"/>
        </w:rPr>
        <w:t>房地产估价结果报告</w:t>
      </w:r>
      <w:bookmarkEnd w:id="14"/>
      <w:bookmarkEnd w:id="15"/>
      <w:bookmarkEnd w:id="16"/>
      <w:bookmarkEnd w:id="17"/>
      <w:bookmarkEnd w:id="18"/>
      <w:bookmarkEnd w:id="19"/>
    </w:p>
    <w:p>
      <w:pPr>
        <w:pStyle w:val="4"/>
        <w:ind w:firstLine="579" w:firstLineChars="200"/>
        <w:jc w:val="left"/>
      </w:pPr>
      <w:bookmarkStart w:id="20" w:name="_Toc481484538"/>
      <w:bookmarkStart w:id="21" w:name="_Toc9692"/>
      <w:r>
        <w:rPr>
          <w:rFonts w:hint="eastAsia"/>
        </w:rPr>
        <w:t>一、</w:t>
      </w:r>
      <w:bookmarkEnd w:id="20"/>
      <w:r>
        <w:rPr>
          <w:rFonts w:hint="eastAsia"/>
        </w:rPr>
        <w:t>估价委托人</w:t>
      </w:r>
      <w:bookmarkEnd w:id="21"/>
    </w:p>
    <w:p>
      <w:pPr>
        <w:pStyle w:val="27"/>
        <w:autoSpaceDE/>
        <w:autoSpaceDN/>
        <w:adjustRightInd/>
        <w:spacing w:before="156" w:beforeLines="50" w:after="156" w:afterLines="50" w:line="360" w:lineRule="auto"/>
        <w:ind w:firstLine="560" w:firstLineChars="200"/>
        <w:jc w:val="both"/>
        <w:textAlignment w:val="auto"/>
        <w:rPr>
          <w:rFonts w:hint="default" w:ascii="Times New Roman" w:hAnsi="Times New Roman" w:eastAsia="宋体" w:cs="Times New Roman"/>
          <w:bCs/>
          <w:szCs w:val="28"/>
          <w:lang w:val="en-US" w:eastAsia="zh-CN"/>
        </w:rPr>
      </w:pPr>
      <w:bookmarkStart w:id="22" w:name="_Toc481484539"/>
      <w:bookmarkStart w:id="23" w:name="_Toc440990678"/>
      <w:bookmarkStart w:id="24" w:name="_Toc22831"/>
      <w:bookmarkStart w:id="25" w:name="_Toc440992058"/>
      <w:bookmarkStart w:id="26" w:name="_Toc25828"/>
      <w:r>
        <w:rPr>
          <w:rFonts w:hint="eastAsia" w:ascii="Times New Roman" w:hAnsi="Times New Roman" w:eastAsia="宋体" w:cs="Times New Roman"/>
          <w:bCs/>
          <w:szCs w:val="28"/>
          <w:lang w:val="en-US" w:eastAsia="zh-CN"/>
        </w:rPr>
        <w:t>名称</w:t>
      </w:r>
      <w:r>
        <w:rPr>
          <w:rFonts w:hint="eastAsia" w:ascii="Times New Roman" w:hAnsi="Times New Roman" w:eastAsia="宋体" w:cs="Times New Roman"/>
          <w:bCs/>
          <w:szCs w:val="28"/>
        </w:rPr>
        <w:t>：</w:t>
      </w:r>
      <w:r>
        <w:rPr>
          <w:rFonts w:hint="eastAsia" w:ascii="Times New Roman" w:hAnsi="Times New Roman" w:eastAsia="宋体" w:cs="Times New Roman"/>
          <w:bCs/>
          <w:szCs w:val="28"/>
          <w:lang w:val="en-US" w:eastAsia="zh-CN"/>
        </w:rPr>
        <w:t>毕节市中级人民法院</w:t>
      </w:r>
    </w:p>
    <w:p>
      <w:pPr>
        <w:pStyle w:val="27"/>
        <w:autoSpaceDE/>
        <w:autoSpaceDN/>
        <w:adjustRightInd/>
        <w:spacing w:before="156" w:beforeLines="50" w:after="156" w:afterLines="50" w:line="360" w:lineRule="auto"/>
        <w:ind w:firstLine="560" w:firstLineChars="200"/>
        <w:jc w:val="both"/>
        <w:textAlignment w:val="auto"/>
        <w:rPr>
          <w:rFonts w:hint="default" w:ascii="Times New Roman" w:hAnsi="Times New Roman" w:eastAsia="宋体" w:cs="Times New Roman"/>
          <w:bCs/>
          <w:szCs w:val="28"/>
          <w:lang w:val="en-US" w:eastAsia="zh-CN"/>
        </w:rPr>
      </w:pPr>
      <w:r>
        <w:rPr>
          <w:rFonts w:hint="eastAsia" w:ascii="Times New Roman" w:hAnsi="Times New Roman" w:eastAsia="宋体" w:cs="Times New Roman"/>
          <w:bCs/>
          <w:szCs w:val="28"/>
          <w:lang w:val="en-US" w:eastAsia="zh-CN"/>
        </w:rPr>
        <w:t>地址</w:t>
      </w:r>
      <w:r>
        <w:rPr>
          <w:rFonts w:hint="eastAsia" w:ascii="Times New Roman" w:hAnsi="Times New Roman" w:eastAsia="宋体" w:cs="Times New Roman"/>
          <w:bCs/>
          <w:szCs w:val="28"/>
        </w:rPr>
        <w:t>：</w:t>
      </w:r>
      <w:r>
        <w:rPr>
          <w:rFonts w:hint="eastAsia" w:ascii="Times New Roman" w:hAnsi="Times New Roman" w:eastAsia="宋体" w:cs="Times New Roman"/>
          <w:bCs/>
          <w:szCs w:val="28"/>
          <w:lang w:val="en-US" w:eastAsia="zh-CN"/>
        </w:rPr>
        <w:t>贵州省毕节市七星关区生活路24号</w:t>
      </w:r>
    </w:p>
    <w:p>
      <w:pPr>
        <w:pStyle w:val="4"/>
        <w:ind w:firstLine="579" w:firstLineChars="200"/>
        <w:jc w:val="left"/>
      </w:pPr>
      <w:bookmarkStart w:id="27" w:name="_Toc23324"/>
      <w:r>
        <w:rPr>
          <w:rFonts w:hint="eastAsia"/>
        </w:rPr>
        <w:t>二、</w:t>
      </w:r>
      <w:bookmarkEnd w:id="22"/>
      <w:r>
        <w:rPr>
          <w:rFonts w:hint="eastAsia"/>
        </w:rPr>
        <w:t>房地产估价机构</w:t>
      </w:r>
      <w:bookmarkEnd w:id="27"/>
    </w:p>
    <w:bookmarkEnd w:id="23"/>
    <w:bookmarkEnd w:id="24"/>
    <w:bookmarkEnd w:id="25"/>
    <w:bookmarkEnd w:id="26"/>
    <w:p>
      <w:pPr>
        <w:pStyle w:val="27"/>
        <w:autoSpaceDE/>
        <w:autoSpaceDN/>
        <w:adjustRightInd/>
        <w:spacing w:before="156" w:beforeLines="50" w:after="156" w:afterLines="50" w:line="360" w:lineRule="auto"/>
        <w:ind w:firstLine="560" w:firstLineChars="200"/>
        <w:jc w:val="both"/>
        <w:textAlignment w:val="auto"/>
        <w:rPr>
          <w:rFonts w:hint="eastAsia" w:ascii="Times New Roman" w:hAnsi="Times New Roman" w:eastAsia="宋体" w:cs="Times New Roman"/>
          <w:bCs/>
          <w:szCs w:val="28"/>
          <w:lang w:eastAsia="zh-CN"/>
        </w:rPr>
      </w:pPr>
      <w:bookmarkStart w:id="28" w:name="_Toc481484541"/>
      <w:r>
        <w:rPr>
          <w:rFonts w:hint="eastAsia" w:ascii="Times New Roman" w:hAnsi="Times New Roman" w:eastAsia="宋体" w:cs="Times New Roman"/>
          <w:bCs/>
          <w:szCs w:val="28"/>
          <w:lang w:val="en-US" w:eastAsia="zh-CN"/>
        </w:rPr>
        <w:t>名称</w:t>
      </w:r>
      <w:r>
        <w:rPr>
          <w:rFonts w:hint="eastAsia" w:ascii="Times New Roman" w:hAnsi="Times New Roman" w:eastAsia="宋体" w:cs="Times New Roman"/>
          <w:bCs/>
          <w:szCs w:val="28"/>
        </w:rPr>
        <w:t>：</w:t>
      </w:r>
      <w:r>
        <w:rPr>
          <w:rFonts w:hint="eastAsia" w:ascii="Times New Roman" w:hAnsi="Times New Roman" w:eastAsia="宋体" w:cs="Times New Roman"/>
          <w:bCs/>
          <w:szCs w:val="28"/>
          <w:lang w:eastAsia="zh-CN"/>
        </w:rPr>
        <w:t>贵州瑞华亚太房地产土地资产评估有限公司</w:t>
      </w:r>
    </w:p>
    <w:p>
      <w:pPr>
        <w:pStyle w:val="27"/>
        <w:autoSpaceDE/>
        <w:autoSpaceDN/>
        <w:adjustRightInd/>
        <w:spacing w:before="156" w:beforeLines="50" w:after="156" w:afterLines="50" w:line="360" w:lineRule="auto"/>
        <w:ind w:firstLine="560" w:firstLineChars="200"/>
        <w:jc w:val="both"/>
        <w:textAlignment w:val="auto"/>
        <w:rPr>
          <w:rFonts w:hint="eastAsia" w:ascii="Times New Roman" w:hAnsi="Times New Roman" w:eastAsia="宋体" w:cs="Times New Roman"/>
          <w:bCs/>
          <w:szCs w:val="28"/>
          <w:lang w:val="en-US" w:eastAsia="zh-CN"/>
        </w:rPr>
      </w:pPr>
      <w:r>
        <w:rPr>
          <w:rFonts w:hint="eastAsia" w:ascii="Times New Roman" w:hAnsi="Times New Roman" w:eastAsia="宋体" w:cs="Times New Roman"/>
          <w:bCs/>
          <w:szCs w:val="28"/>
          <w:lang w:val="en-US" w:eastAsia="zh-CN"/>
        </w:rPr>
        <w:t>住所：</w:t>
      </w:r>
      <w:r>
        <w:rPr>
          <w:rFonts w:hint="eastAsia" w:ascii="Times New Roman" w:hAnsi="Times New Roman" w:eastAsia="宋体" w:cs="Times New Roman"/>
          <w:bCs/>
          <w:szCs w:val="28"/>
        </w:rPr>
        <w:t>贵阳市观山湖区诚信北路东侧群升千禧广场</w:t>
      </w:r>
      <w:r>
        <w:rPr>
          <w:rFonts w:hint="eastAsia" w:ascii="Times New Roman" w:hAnsi="Times New Roman" w:eastAsia="宋体" w:cs="Times New Roman"/>
          <w:bCs/>
          <w:szCs w:val="28"/>
          <w:lang w:val="en-US" w:eastAsia="zh-CN"/>
        </w:rPr>
        <w:t>0</w:t>
      </w:r>
      <w:r>
        <w:rPr>
          <w:rFonts w:hint="eastAsia" w:ascii="Times New Roman" w:hAnsi="Times New Roman" w:eastAsia="宋体" w:cs="Times New Roman"/>
          <w:bCs/>
          <w:szCs w:val="28"/>
        </w:rPr>
        <w:t>7B</w:t>
      </w:r>
      <w:r>
        <w:rPr>
          <w:rFonts w:hint="eastAsia" w:ascii="Times New Roman" w:hAnsi="Times New Roman" w:eastAsia="宋体" w:cs="Times New Roman"/>
          <w:bCs/>
          <w:szCs w:val="28"/>
          <w:lang w:val="en-US" w:eastAsia="zh-CN"/>
        </w:rPr>
        <w:t>栋</w:t>
      </w:r>
      <w:r>
        <w:rPr>
          <w:rFonts w:hint="eastAsia" w:ascii="Times New Roman" w:hAnsi="Times New Roman" w:eastAsia="宋体" w:cs="Times New Roman"/>
          <w:bCs/>
          <w:szCs w:val="28"/>
        </w:rPr>
        <w:t>20层</w:t>
      </w:r>
    </w:p>
    <w:p>
      <w:pPr>
        <w:pStyle w:val="27"/>
        <w:autoSpaceDE/>
        <w:autoSpaceDN/>
        <w:adjustRightInd/>
        <w:spacing w:before="156" w:beforeLines="50" w:after="156" w:afterLines="50" w:line="360" w:lineRule="auto"/>
        <w:ind w:firstLine="560" w:firstLineChars="200"/>
        <w:jc w:val="both"/>
        <w:textAlignment w:val="auto"/>
        <w:rPr>
          <w:rFonts w:ascii="Times New Roman" w:hAnsi="Times New Roman" w:eastAsia="宋体" w:cs="Times New Roman"/>
          <w:bCs/>
          <w:szCs w:val="28"/>
        </w:rPr>
      </w:pPr>
      <w:r>
        <w:rPr>
          <w:rFonts w:hint="eastAsia" w:ascii="Times New Roman" w:hAnsi="Times New Roman" w:eastAsia="宋体" w:cs="Times New Roman"/>
          <w:bCs/>
          <w:szCs w:val="28"/>
          <w:lang w:val="en-US" w:eastAsia="zh-CN"/>
        </w:rPr>
        <w:t>资质证书编号</w:t>
      </w:r>
      <w:r>
        <w:rPr>
          <w:rFonts w:hint="eastAsia" w:ascii="Times New Roman" w:hAnsi="Times New Roman" w:eastAsia="宋体" w:cs="Times New Roman"/>
          <w:bCs/>
          <w:szCs w:val="28"/>
        </w:rPr>
        <w:t>：黔建房估字【2015】壹52003001</w:t>
      </w:r>
    </w:p>
    <w:p>
      <w:pPr>
        <w:pStyle w:val="27"/>
        <w:autoSpaceDE/>
        <w:autoSpaceDN/>
        <w:adjustRightInd/>
        <w:spacing w:before="156" w:beforeLines="50" w:after="156" w:afterLines="50" w:line="360" w:lineRule="auto"/>
        <w:ind w:firstLine="560" w:firstLineChars="200"/>
        <w:jc w:val="both"/>
        <w:textAlignment w:val="auto"/>
        <w:rPr>
          <w:rFonts w:ascii="Times New Roman" w:hAnsi="Times New Roman" w:eastAsia="宋体" w:cs="Times New Roman"/>
          <w:bCs/>
          <w:szCs w:val="28"/>
        </w:rPr>
      </w:pPr>
      <w:r>
        <w:rPr>
          <w:rFonts w:hint="eastAsia" w:ascii="Times New Roman" w:hAnsi="Times New Roman" w:eastAsia="宋体" w:cs="Times New Roman"/>
          <w:bCs/>
          <w:szCs w:val="28"/>
        </w:rPr>
        <w:t>资质等级：壹级</w:t>
      </w:r>
    </w:p>
    <w:p>
      <w:pPr>
        <w:pStyle w:val="27"/>
        <w:autoSpaceDE/>
        <w:autoSpaceDN/>
        <w:adjustRightInd/>
        <w:spacing w:before="156" w:beforeLines="50" w:after="156" w:afterLines="50" w:line="360" w:lineRule="auto"/>
        <w:ind w:firstLine="560" w:firstLineChars="200"/>
        <w:jc w:val="both"/>
        <w:textAlignment w:val="auto"/>
        <w:rPr>
          <w:rFonts w:hint="eastAsia" w:ascii="Times New Roman" w:hAnsi="Times New Roman" w:eastAsia="宋体" w:cs="Times New Roman"/>
          <w:bCs/>
          <w:szCs w:val="28"/>
          <w:lang w:val="en-US" w:eastAsia="zh-CN"/>
        </w:rPr>
      </w:pPr>
      <w:r>
        <w:rPr>
          <w:rFonts w:hint="eastAsia" w:ascii="Times New Roman" w:hAnsi="Times New Roman" w:eastAsia="宋体" w:cs="Times New Roman"/>
          <w:bCs/>
          <w:szCs w:val="28"/>
        </w:rPr>
        <w:t>法定代表人</w:t>
      </w:r>
      <w:r>
        <w:rPr>
          <w:rFonts w:hint="eastAsia" w:ascii="Times New Roman" w:hAnsi="Times New Roman" w:eastAsia="宋体" w:cs="Times New Roman"/>
          <w:bCs/>
          <w:szCs w:val="28"/>
          <w:lang w:eastAsia="zh-CN"/>
        </w:rPr>
        <w:t>：</w:t>
      </w:r>
      <w:r>
        <w:rPr>
          <w:rFonts w:hint="eastAsia" w:ascii="Times New Roman" w:hAnsi="Times New Roman" w:eastAsia="宋体" w:cs="Times New Roman"/>
          <w:bCs/>
          <w:szCs w:val="28"/>
          <w:lang w:val="en-US" w:eastAsia="zh-CN"/>
        </w:rPr>
        <w:t>张绍伙</w:t>
      </w:r>
    </w:p>
    <w:p>
      <w:pPr>
        <w:pStyle w:val="27"/>
        <w:autoSpaceDE/>
        <w:autoSpaceDN/>
        <w:adjustRightInd/>
        <w:spacing w:before="156" w:beforeLines="50" w:after="156" w:afterLines="50" w:line="360" w:lineRule="auto"/>
        <w:ind w:firstLine="560" w:firstLineChars="200"/>
        <w:jc w:val="both"/>
        <w:textAlignment w:val="auto"/>
        <w:rPr>
          <w:rFonts w:ascii="Times New Roman" w:hAnsi="Times New Roman" w:eastAsia="宋体" w:cs="Times New Roman"/>
          <w:bCs/>
          <w:szCs w:val="28"/>
        </w:rPr>
      </w:pPr>
      <w:r>
        <w:rPr>
          <w:rFonts w:hint="eastAsia" w:ascii="Times New Roman" w:hAnsi="Times New Roman" w:eastAsia="宋体" w:cs="Times New Roman"/>
          <w:bCs/>
          <w:szCs w:val="28"/>
        </w:rPr>
        <w:t>联系电话：180 8513 0337</w:t>
      </w:r>
    </w:p>
    <w:p>
      <w:pPr>
        <w:pStyle w:val="4"/>
        <w:ind w:firstLine="579" w:firstLineChars="200"/>
        <w:jc w:val="left"/>
      </w:pPr>
      <w:bookmarkStart w:id="29" w:name="_Toc31135"/>
      <w:r>
        <w:rPr>
          <w:rFonts w:hint="eastAsia"/>
          <w:lang w:val="en-US" w:eastAsia="zh-CN"/>
        </w:rPr>
        <w:t>三</w:t>
      </w:r>
      <w:r>
        <w:rPr>
          <w:rFonts w:hint="eastAsia"/>
        </w:rPr>
        <w:t>、估价目的</w:t>
      </w:r>
      <w:bookmarkEnd w:id="29"/>
    </w:p>
    <w:p>
      <w:pPr>
        <w:pStyle w:val="27"/>
        <w:autoSpaceDE/>
        <w:autoSpaceDN/>
        <w:adjustRightInd/>
        <w:spacing w:before="156" w:beforeLines="50" w:after="156" w:afterLines="50" w:line="360" w:lineRule="auto"/>
        <w:ind w:firstLine="560" w:firstLineChars="200"/>
        <w:jc w:val="both"/>
        <w:textAlignment w:val="auto"/>
        <w:rPr>
          <w:rFonts w:hint="eastAsia" w:ascii="Times New Roman" w:hAnsi="Times New Roman" w:eastAsia="宋体" w:cs="Times New Roman"/>
          <w:bCs/>
          <w:szCs w:val="28"/>
        </w:rPr>
      </w:pPr>
      <w:r>
        <w:rPr>
          <w:rFonts w:hint="eastAsia"/>
          <w:sz w:val="28"/>
          <w:szCs w:val="28"/>
          <w:lang w:val="en-US" w:eastAsia="zh-CN"/>
        </w:rPr>
        <w:t xml:space="preserve"> </w:t>
      </w:r>
      <w:r>
        <w:rPr>
          <w:rFonts w:hint="eastAsia" w:ascii="宋体" w:hAnsi="宋体"/>
          <w:sz w:val="28"/>
          <w:szCs w:val="28"/>
          <w:lang w:val="en-US" w:eastAsia="zh-CN"/>
        </w:rPr>
        <w:t>根据（2022）黔05执184号《委托书》，</w:t>
      </w:r>
      <w:r>
        <w:rPr>
          <w:rFonts w:hint="eastAsia" w:ascii="宋体" w:hAnsi="宋体" w:eastAsia="宋体" w:cs="宋体"/>
          <w:sz w:val="28"/>
          <w:szCs w:val="28"/>
          <w:lang w:val="en-US" w:eastAsia="zh-CN"/>
        </w:rPr>
        <w:t>因贵院执行云南建投基础工程有限责任公司与贵州鼎鑫房地产开发有限责任公司建设工程合同纠纷一案，需对</w:t>
      </w:r>
      <w:r>
        <w:rPr>
          <w:rFonts w:hint="eastAsia" w:hAnsi="宋体" w:eastAsia="宋体" w:cs="宋体"/>
          <w:sz w:val="28"/>
          <w:szCs w:val="28"/>
          <w:lang w:val="en-US" w:eastAsia="zh-CN"/>
        </w:rPr>
        <w:t>贵州鼎鑫房地产开发有限责任公司</w:t>
      </w:r>
      <w:r>
        <w:rPr>
          <w:rFonts w:hint="eastAsia" w:ascii="宋体" w:hAnsi="宋体" w:eastAsia="宋体" w:cs="宋体"/>
          <w:sz w:val="28"/>
          <w:szCs w:val="28"/>
          <w:lang w:val="en-US" w:eastAsia="zh-CN"/>
        </w:rPr>
        <w:t>拥有并</w:t>
      </w:r>
      <w:r>
        <w:rPr>
          <w:rFonts w:hint="eastAsia" w:ascii="宋体" w:hAnsi="宋体" w:cs="宋体"/>
          <w:sz w:val="28"/>
          <w:szCs w:val="28"/>
          <w:lang w:val="en-US" w:eastAsia="zh-CN"/>
        </w:rPr>
        <w:t>位于</w:t>
      </w:r>
      <w:r>
        <w:rPr>
          <w:rFonts w:hint="eastAsia" w:hAnsi="宋体" w:cs="宋体"/>
          <w:sz w:val="28"/>
          <w:szCs w:val="28"/>
          <w:lang w:val="en-US" w:eastAsia="zh-CN"/>
        </w:rPr>
        <w:t>威宁彝族回族苗族自治县五里岗经济开发区工业一路鼎鑫.北港鑫城（一期）</w:t>
      </w:r>
      <w:r>
        <w:rPr>
          <w:rFonts w:hint="eastAsia" w:ascii="宋体" w:hAnsi="宋体" w:cs="宋体"/>
          <w:sz w:val="28"/>
          <w:szCs w:val="28"/>
          <w:lang w:val="en-US" w:eastAsia="zh-CN"/>
        </w:rPr>
        <w:t>的</w:t>
      </w:r>
      <w:r>
        <w:rPr>
          <w:rFonts w:hint="eastAsia" w:hAnsi="宋体" w:cs="宋体"/>
          <w:sz w:val="28"/>
          <w:szCs w:val="28"/>
          <w:lang w:val="en-US" w:eastAsia="zh-CN"/>
        </w:rPr>
        <w:t>44套</w:t>
      </w:r>
      <w:r>
        <w:rPr>
          <w:rFonts w:hint="eastAsia" w:ascii="宋体" w:hAnsi="宋体" w:cs="宋体"/>
          <w:sz w:val="28"/>
          <w:szCs w:val="28"/>
          <w:lang w:val="en-US" w:eastAsia="zh-CN"/>
        </w:rPr>
        <w:t>住宅房地产市场价值</w:t>
      </w:r>
      <w:r>
        <w:rPr>
          <w:rFonts w:hint="eastAsia" w:ascii="宋体" w:hAnsi="宋体" w:eastAsia="宋体" w:cs="宋体"/>
          <w:sz w:val="28"/>
          <w:szCs w:val="28"/>
          <w:lang w:val="en-US" w:eastAsia="zh-CN"/>
        </w:rPr>
        <w:t>进行评估</w:t>
      </w:r>
      <w:r>
        <w:rPr>
          <w:rFonts w:hint="eastAsia" w:hAnsi="宋体"/>
          <w:sz w:val="28"/>
          <w:szCs w:val="28"/>
          <w:highlight w:val="none"/>
          <w:lang w:val="en-US" w:eastAsia="zh-CN"/>
        </w:rPr>
        <w:t>，故本次评估目的是</w:t>
      </w:r>
      <w:r>
        <w:rPr>
          <w:rFonts w:hint="eastAsia" w:ascii="Times New Roman" w:hAnsi="Times New Roman" w:eastAsia="宋体" w:cs="Times New Roman"/>
          <w:bCs/>
          <w:szCs w:val="28"/>
        </w:rPr>
        <w:t>为</w:t>
      </w:r>
      <w:r>
        <w:rPr>
          <w:rFonts w:hint="eastAsia" w:ascii="Times New Roman" w:hAnsi="Times New Roman" w:eastAsia="宋体" w:cs="Times New Roman"/>
          <w:bCs/>
          <w:szCs w:val="28"/>
          <w:lang w:val="en-US" w:eastAsia="zh-CN"/>
        </w:rPr>
        <w:t>人民法院</w:t>
      </w:r>
      <w:r>
        <w:rPr>
          <w:rFonts w:hint="eastAsia" w:hAnsi="宋体"/>
          <w:szCs w:val="28"/>
        </w:rPr>
        <w:t>确定</w:t>
      </w:r>
      <w:r>
        <w:rPr>
          <w:rFonts w:hint="eastAsia" w:hAnsi="宋体"/>
          <w:szCs w:val="28"/>
          <w:lang w:val="en-US" w:eastAsia="zh-CN"/>
        </w:rPr>
        <w:t>财产处置参考价提供提供参考依据</w:t>
      </w:r>
      <w:r>
        <w:rPr>
          <w:rFonts w:hint="eastAsia" w:ascii="Times New Roman" w:hAnsi="Times New Roman" w:eastAsia="宋体" w:cs="Times New Roman"/>
          <w:bCs/>
          <w:szCs w:val="28"/>
        </w:rPr>
        <w:t>。</w:t>
      </w:r>
    </w:p>
    <w:p>
      <w:pPr>
        <w:pStyle w:val="4"/>
        <w:ind w:firstLine="579" w:firstLineChars="200"/>
        <w:jc w:val="left"/>
      </w:pPr>
      <w:bookmarkStart w:id="30" w:name="_Toc1408"/>
      <w:r>
        <w:rPr>
          <w:rFonts w:hint="eastAsia"/>
          <w:lang w:val="en-US" w:eastAsia="zh-CN"/>
        </w:rPr>
        <w:t>四</w:t>
      </w:r>
      <w:r>
        <w:rPr>
          <w:rFonts w:hint="eastAsia"/>
        </w:rPr>
        <w:t>、估价对象</w:t>
      </w:r>
      <w:bookmarkEnd w:id="28"/>
      <w:bookmarkEnd w:id="30"/>
    </w:p>
    <w:p>
      <w:pPr>
        <w:pStyle w:val="27"/>
        <w:autoSpaceDE/>
        <w:autoSpaceDN/>
        <w:adjustRightInd/>
        <w:spacing w:before="156" w:beforeLines="50" w:after="156" w:afterLines="50" w:line="360" w:lineRule="auto"/>
        <w:ind w:firstLine="562" w:firstLineChars="200"/>
        <w:jc w:val="both"/>
        <w:textAlignment w:val="auto"/>
        <w:rPr>
          <w:rFonts w:ascii="Times New Roman" w:hAnsi="Times New Roman" w:eastAsia="宋体" w:cs="Times New Roman"/>
          <w:b/>
          <w:szCs w:val="28"/>
        </w:rPr>
      </w:pPr>
      <w:r>
        <w:rPr>
          <w:rFonts w:hint="eastAsia" w:ascii="Times New Roman" w:hAnsi="Times New Roman" w:eastAsia="宋体" w:cs="Times New Roman"/>
          <w:b/>
          <w:szCs w:val="28"/>
        </w:rPr>
        <w:t>1、估价对象</w:t>
      </w:r>
      <w:r>
        <w:rPr>
          <w:rFonts w:hint="eastAsia" w:ascii="Times New Roman" w:hAnsi="Times New Roman" w:eastAsia="宋体" w:cs="Times New Roman"/>
          <w:b/>
          <w:szCs w:val="28"/>
          <w:lang w:val="en-US" w:eastAsia="zh-CN"/>
        </w:rPr>
        <w:t>财产</w:t>
      </w:r>
      <w:r>
        <w:rPr>
          <w:rFonts w:hint="eastAsia" w:ascii="Times New Roman" w:hAnsi="Times New Roman" w:eastAsia="宋体" w:cs="Times New Roman"/>
          <w:b/>
          <w:szCs w:val="28"/>
        </w:rPr>
        <w:t>范围</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jc w:val="both"/>
        <w:textAlignment w:val="auto"/>
        <w:rPr>
          <w:rFonts w:hint="eastAsia" w:hAnsi="宋体"/>
          <w:sz w:val="28"/>
          <w:szCs w:val="28"/>
          <w:highlight w:val="none"/>
          <w:lang w:eastAsia="zh-CN"/>
        </w:rPr>
      </w:pPr>
      <w:r>
        <w:rPr>
          <w:rFonts w:hint="eastAsia" w:hAnsi="宋体"/>
          <w:sz w:val="28"/>
          <w:szCs w:val="28"/>
          <w:highlight w:val="none"/>
        </w:rPr>
        <w:t>估价对象</w:t>
      </w:r>
      <w:r>
        <w:rPr>
          <w:rFonts w:hint="eastAsia" w:ascii="宋体" w:hAnsi="宋体" w:eastAsia="宋体" w:cs="宋体"/>
          <w:sz w:val="28"/>
          <w:szCs w:val="28"/>
          <w:lang w:val="en-US" w:eastAsia="zh-CN"/>
        </w:rPr>
        <w:t>贵州鼎鑫房地产开发有限责任公司拥有并</w:t>
      </w:r>
      <w:r>
        <w:rPr>
          <w:rFonts w:hint="eastAsia" w:ascii="宋体" w:hAnsi="宋体" w:cs="宋体"/>
          <w:sz w:val="28"/>
          <w:szCs w:val="28"/>
          <w:lang w:val="en-US" w:eastAsia="zh-CN"/>
        </w:rPr>
        <w:t>位于威宁彝族回族苗族自治县五里岗经济开发区工业一路鼎鑫.北港鑫城（一期）的44套住宅房地产</w:t>
      </w:r>
      <w:r>
        <w:rPr>
          <w:rFonts w:hint="eastAsia" w:ascii="Times New Roman" w:hAnsi="宋体" w:eastAsia="宋体" w:cs="Times New Roman"/>
          <w:sz w:val="28"/>
          <w:szCs w:val="28"/>
          <w:highlight w:val="none"/>
          <w:lang w:val="en-US" w:eastAsia="zh-CN"/>
        </w:rPr>
        <w:t>，建筑面积共计5,632.22</w:t>
      </w:r>
      <w:r>
        <w:rPr>
          <w:rFonts w:hint="eastAsia" w:ascii="Times New Roman" w:hAnsi="宋体" w:eastAsia="宋体" w:cs="Times New Roman"/>
          <w:sz w:val="28"/>
          <w:szCs w:val="28"/>
          <w:highlight w:val="none"/>
          <w:lang w:eastAsia="zh-CN"/>
        </w:rPr>
        <w:t>平方米</w:t>
      </w:r>
      <w:r>
        <w:rPr>
          <w:rFonts w:hint="eastAsia" w:hAnsi="宋体"/>
          <w:sz w:val="28"/>
          <w:szCs w:val="28"/>
          <w:highlight w:val="none"/>
          <w:lang w:eastAsia="zh-CN"/>
        </w:rPr>
        <w:t>，具体如下所示：</w:t>
      </w:r>
    </w:p>
    <w:tbl>
      <w:tblPr>
        <w:tblStyle w:val="17"/>
        <w:tblW w:w="9108"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752"/>
        <w:gridCol w:w="808"/>
        <w:gridCol w:w="2018"/>
        <w:gridCol w:w="1523"/>
        <w:gridCol w:w="1592"/>
        <w:gridCol w:w="636"/>
        <w:gridCol w:w="1114"/>
        <w:gridCol w:w="66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5" w:hRule="atLeast"/>
          <w:jc w:val="center"/>
        </w:trPr>
        <w:tc>
          <w:tcPr>
            <w:tcW w:w="752" w:type="dxa"/>
            <w:vMerge w:val="restart"/>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序号</w:t>
            </w:r>
          </w:p>
        </w:tc>
        <w:tc>
          <w:tcPr>
            <w:tcW w:w="808" w:type="dxa"/>
            <w:vMerge w:val="restart"/>
            <w:tcBorders>
              <w:top w:val="single" w:color="000000" w:sz="8" w:space="0"/>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权证编号</w:t>
            </w:r>
          </w:p>
        </w:tc>
        <w:tc>
          <w:tcPr>
            <w:tcW w:w="2018" w:type="dxa"/>
            <w:vMerge w:val="restart"/>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名称</w:t>
            </w:r>
          </w:p>
        </w:tc>
        <w:tc>
          <w:tcPr>
            <w:tcW w:w="1523" w:type="dxa"/>
            <w:vMerge w:val="restart"/>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位置</w:t>
            </w:r>
          </w:p>
        </w:tc>
        <w:tc>
          <w:tcPr>
            <w:tcW w:w="1592" w:type="dxa"/>
            <w:vMerge w:val="restart"/>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权利人</w:t>
            </w:r>
          </w:p>
        </w:tc>
        <w:tc>
          <w:tcPr>
            <w:tcW w:w="636" w:type="dxa"/>
            <w:vMerge w:val="restart"/>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用途</w:t>
            </w:r>
          </w:p>
        </w:tc>
        <w:tc>
          <w:tcPr>
            <w:tcW w:w="1114" w:type="dxa"/>
            <w:vMerge w:val="restart"/>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建筑面积</w:t>
            </w:r>
            <w:r>
              <w:rPr>
                <w:rFonts w:hint="default" w:ascii="仿宋" w:hAnsi="仿宋" w:eastAsia="仿宋" w:cs="仿宋"/>
                <w:i w:val="0"/>
                <w:iCs w:val="0"/>
                <w:color w:val="000000"/>
                <w:kern w:val="0"/>
                <w:sz w:val="21"/>
                <w:szCs w:val="21"/>
                <w:u w:val="none"/>
                <w:lang w:val="en-US" w:eastAsia="zh-CN" w:bidi="ar"/>
              </w:rPr>
              <w:t>m2</w:t>
            </w:r>
          </w:p>
        </w:tc>
        <w:tc>
          <w:tcPr>
            <w:tcW w:w="665" w:type="dxa"/>
            <w:vMerge w:val="restart"/>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jc w:val="center"/>
        </w:trPr>
        <w:tc>
          <w:tcPr>
            <w:tcW w:w="752" w:type="dxa"/>
            <w:vMerge w:val="continue"/>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p>
        </w:tc>
        <w:tc>
          <w:tcPr>
            <w:tcW w:w="808" w:type="dxa"/>
            <w:vMerge w:val="continue"/>
            <w:tcBorders>
              <w:top w:val="single" w:color="000000" w:sz="8" w:space="0"/>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p>
        </w:tc>
        <w:tc>
          <w:tcPr>
            <w:tcW w:w="2018" w:type="dxa"/>
            <w:vMerge w:val="continue"/>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p>
        </w:tc>
        <w:tc>
          <w:tcPr>
            <w:tcW w:w="1523" w:type="dxa"/>
            <w:vMerge w:val="continue"/>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p>
        </w:tc>
        <w:tc>
          <w:tcPr>
            <w:tcW w:w="1592" w:type="dxa"/>
            <w:vMerge w:val="continue"/>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p>
        </w:tc>
        <w:tc>
          <w:tcPr>
            <w:tcW w:w="636" w:type="dxa"/>
            <w:vMerge w:val="continue"/>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p>
        </w:tc>
        <w:tc>
          <w:tcPr>
            <w:tcW w:w="1114" w:type="dxa"/>
            <w:vMerge w:val="continue"/>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p>
        </w:tc>
        <w:tc>
          <w:tcPr>
            <w:tcW w:w="665" w:type="dxa"/>
            <w:vMerge w:val="continue"/>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35" w:hRule="atLeast"/>
          <w:jc w:val="center"/>
        </w:trPr>
        <w:tc>
          <w:tcPr>
            <w:tcW w:w="752"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1</w:t>
            </w:r>
          </w:p>
        </w:tc>
        <w:tc>
          <w:tcPr>
            <w:tcW w:w="808"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w:t>
            </w:r>
          </w:p>
        </w:tc>
        <w:tc>
          <w:tcPr>
            <w:tcW w:w="2018"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北港兴城（一期）2、3、5栋（2）1单元12层1号</w:t>
            </w:r>
          </w:p>
        </w:tc>
        <w:tc>
          <w:tcPr>
            <w:tcW w:w="152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威宁彝族回族苗族自治县五里岗大道</w:t>
            </w:r>
          </w:p>
        </w:tc>
        <w:tc>
          <w:tcPr>
            <w:tcW w:w="159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贵州鼎鑫房地产开发有限责任公司</w:t>
            </w:r>
          </w:p>
        </w:tc>
        <w:tc>
          <w:tcPr>
            <w:tcW w:w="63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住宅</w:t>
            </w:r>
          </w:p>
        </w:tc>
        <w:tc>
          <w:tcPr>
            <w:tcW w:w="1114"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147.29</w:t>
            </w:r>
          </w:p>
        </w:tc>
        <w:tc>
          <w:tcPr>
            <w:tcW w:w="66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35" w:hRule="atLeast"/>
          <w:jc w:val="center"/>
        </w:trPr>
        <w:tc>
          <w:tcPr>
            <w:tcW w:w="752"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2</w:t>
            </w:r>
          </w:p>
        </w:tc>
        <w:tc>
          <w:tcPr>
            <w:tcW w:w="808"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w:t>
            </w:r>
          </w:p>
        </w:tc>
        <w:tc>
          <w:tcPr>
            <w:tcW w:w="2018"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北港兴城（一期）2、3、5栋（2）1单元12层2号</w:t>
            </w:r>
          </w:p>
        </w:tc>
        <w:tc>
          <w:tcPr>
            <w:tcW w:w="152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威宁彝族回族苗族自治县五里岗大道</w:t>
            </w:r>
          </w:p>
        </w:tc>
        <w:tc>
          <w:tcPr>
            <w:tcW w:w="159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贵州鼎鑫房地产开发有限责任公司</w:t>
            </w:r>
          </w:p>
        </w:tc>
        <w:tc>
          <w:tcPr>
            <w:tcW w:w="63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住宅</w:t>
            </w:r>
          </w:p>
        </w:tc>
        <w:tc>
          <w:tcPr>
            <w:tcW w:w="1114"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108.42</w:t>
            </w:r>
          </w:p>
        </w:tc>
        <w:tc>
          <w:tcPr>
            <w:tcW w:w="66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35" w:hRule="atLeast"/>
          <w:jc w:val="center"/>
        </w:trPr>
        <w:tc>
          <w:tcPr>
            <w:tcW w:w="752"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3</w:t>
            </w:r>
          </w:p>
        </w:tc>
        <w:tc>
          <w:tcPr>
            <w:tcW w:w="808"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w:t>
            </w:r>
          </w:p>
        </w:tc>
        <w:tc>
          <w:tcPr>
            <w:tcW w:w="2018"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北港兴城（一期）2、3、5栋（2）1单元12层3号</w:t>
            </w:r>
          </w:p>
        </w:tc>
        <w:tc>
          <w:tcPr>
            <w:tcW w:w="152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威宁彝族回族苗族自治县五里岗大道</w:t>
            </w:r>
          </w:p>
        </w:tc>
        <w:tc>
          <w:tcPr>
            <w:tcW w:w="159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贵州鼎鑫房地产开发有限责任公司</w:t>
            </w:r>
          </w:p>
        </w:tc>
        <w:tc>
          <w:tcPr>
            <w:tcW w:w="63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住宅</w:t>
            </w:r>
          </w:p>
        </w:tc>
        <w:tc>
          <w:tcPr>
            <w:tcW w:w="1114"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108.42</w:t>
            </w:r>
          </w:p>
        </w:tc>
        <w:tc>
          <w:tcPr>
            <w:tcW w:w="66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35" w:hRule="atLeast"/>
          <w:jc w:val="center"/>
        </w:trPr>
        <w:tc>
          <w:tcPr>
            <w:tcW w:w="752"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4</w:t>
            </w:r>
          </w:p>
        </w:tc>
        <w:tc>
          <w:tcPr>
            <w:tcW w:w="808"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w:t>
            </w:r>
          </w:p>
        </w:tc>
        <w:tc>
          <w:tcPr>
            <w:tcW w:w="2018"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北港兴城（一期）2、3、5栋（2）1单元12层4号</w:t>
            </w:r>
          </w:p>
        </w:tc>
        <w:tc>
          <w:tcPr>
            <w:tcW w:w="152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威宁彝族回族苗族自治县五里岗大道</w:t>
            </w:r>
          </w:p>
        </w:tc>
        <w:tc>
          <w:tcPr>
            <w:tcW w:w="159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贵州鼎鑫房地产开发有限责任公司</w:t>
            </w:r>
          </w:p>
        </w:tc>
        <w:tc>
          <w:tcPr>
            <w:tcW w:w="63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住宅</w:t>
            </w:r>
          </w:p>
        </w:tc>
        <w:tc>
          <w:tcPr>
            <w:tcW w:w="1114"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147.89</w:t>
            </w:r>
          </w:p>
        </w:tc>
        <w:tc>
          <w:tcPr>
            <w:tcW w:w="66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35" w:hRule="atLeast"/>
          <w:jc w:val="center"/>
        </w:trPr>
        <w:tc>
          <w:tcPr>
            <w:tcW w:w="752"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5</w:t>
            </w:r>
          </w:p>
        </w:tc>
        <w:tc>
          <w:tcPr>
            <w:tcW w:w="808"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w:t>
            </w:r>
          </w:p>
        </w:tc>
        <w:tc>
          <w:tcPr>
            <w:tcW w:w="2018"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北港兴城（一期）2、3、5栋（2）1单元13层1号</w:t>
            </w:r>
          </w:p>
        </w:tc>
        <w:tc>
          <w:tcPr>
            <w:tcW w:w="152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威宁彝族回族苗族自治县五里岗大道</w:t>
            </w:r>
          </w:p>
        </w:tc>
        <w:tc>
          <w:tcPr>
            <w:tcW w:w="159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贵州鼎鑫房地产开发有限责任公司</w:t>
            </w:r>
          </w:p>
        </w:tc>
        <w:tc>
          <w:tcPr>
            <w:tcW w:w="63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住宅</w:t>
            </w:r>
          </w:p>
        </w:tc>
        <w:tc>
          <w:tcPr>
            <w:tcW w:w="1114"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147.29</w:t>
            </w:r>
          </w:p>
        </w:tc>
        <w:tc>
          <w:tcPr>
            <w:tcW w:w="66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35" w:hRule="atLeast"/>
          <w:jc w:val="center"/>
        </w:trPr>
        <w:tc>
          <w:tcPr>
            <w:tcW w:w="752"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6</w:t>
            </w:r>
          </w:p>
        </w:tc>
        <w:tc>
          <w:tcPr>
            <w:tcW w:w="808"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w:t>
            </w:r>
          </w:p>
        </w:tc>
        <w:tc>
          <w:tcPr>
            <w:tcW w:w="2018"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北港兴城（一期）2、3、5栋（2）1单元13层2号</w:t>
            </w:r>
          </w:p>
        </w:tc>
        <w:tc>
          <w:tcPr>
            <w:tcW w:w="152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威宁彝族回族苗族自治县五里岗大道</w:t>
            </w:r>
          </w:p>
        </w:tc>
        <w:tc>
          <w:tcPr>
            <w:tcW w:w="159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贵州鼎鑫房地产开发有限责任公司</w:t>
            </w:r>
          </w:p>
        </w:tc>
        <w:tc>
          <w:tcPr>
            <w:tcW w:w="63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住宅</w:t>
            </w:r>
          </w:p>
        </w:tc>
        <w:tc>
          <w:tcPr>
            <w:tcW w:w="1114"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108.42</w:t>
            </w:r>
          </w:p>
        </w:tc>
        <w:tc>
          <w:tcPr>
            <w:tcW w:w="66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35" w:hRule="atLeast"/>
          <w:jc w:val="center"/>
        </w:trPr>
        <w:tc>
          <w:tcPr>
            <w:tcW w:w="752"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7</w:t>
            </w:r>
          </w:p>
        </w:tc>
        <w:tc>
          <w:tcPr>
            <w:tcW w:w="808"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w:t>
            </w:r>
          </w:p>
        </w:tc>
        <w:tc>
          <w:tcPr>
            <w:tcW w:w="2018"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北港兴城（一期）2、3、5栋（2）1单元13层3号</w:t>
            </w:r>
          </w:p>
        </w:tc>
        <w:tc>
          <w:tcPr>
            <w:tcW w:w="152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威宁彝族回族苗族自治县五里岗大道</w:t>
            </w:r>
          </w:p>
        </w:tc>
        <w:tc>
          <w:tcPr>
            <w:tcW w:w="159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贵州鼎鑫房地产开发有限责任公司</w:t>
            </w:r>
          </w:p>
        </w:tc>
        <w:tc>
          <w:tcPr>
            <w:tcW w:w="63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住宅</w:t>
            </w:r>
          </w:p>
        </w:tc>
        <w:tc>
          <w:tcPr>
            <w:tcW w:w="1114"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108.42</w:t>
            </w:r>
          </w:p>
        </w:tc>
        <w:tc>
          <w:tcPr>
            <w:tcW w:w="66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35" w:hRule="atLeast"/>
          <w:jc w:val="center"/>
        </w:trPr>
        <w:tc>
          <w:tcPr>
            <w:tcW w:w="752"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8</w:t>
            </w:r>
          </w:p>
        </w:tc>
        <w:tc>
          <w:tcPr>
            <w:tcW w:w="808"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w:t>
            </w:r>
          </w:p>
        </w:tc>
        <w:tc>
          <w:tcPr>
            <w:tcW w:w="2018"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北港兴城（一期）2、3、5栋（2）1单元13层4号</w:t>
            </w:r>
          </w:p>
        </w:tc>
        <w:tc>
          <w:tcPr>
            <w:tcW w:w="152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威宁彝族回族苗族自治县五里岗大道</w:t>
            </w:r>
          </w:p>
        </w:tc>
        <w:tc>
          <w:tcPr>
            <w:tcW w:w="159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贵州鼎鑫房地产开发有限责任公司</w:t>
            </w:r>
          </w:p>
        </w:tc>
        <w:tc>
          <w:tcPr>
            <w:tcW w:w="63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住宅</w:t>
            </w:r>
          </w:p>
        </w:tc>
        <w:tc>
          <w:tcPr>
            <w:tcW w:w="1114"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147.89</w:t>
            </w:r>
          </w:p>
        </w:tc>
        <w:tc>
          <w:tcPr>
            <w:tcW w:w="66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35" w:hRule="atLeast"/>
          <w:jc w:val="center"/>
        </w:trPr>
        <w:tc>
          <w:tcPr>
            <w:tcW w:w="752"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9</w:t>
            </w:r>
          </w:p>
        </w:tc>
        <w:tc>
          <w:tcPr>
            <w:tcW w:w="808"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w:t>
            </w:r>
          </w:p>
        </w:tc>
        <w:tc>
          <w:tcPr>
            <w:tcW w:w="2018"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北港兴城（一期）2、3、5栋（2）1单元14层1号</w:t>
            </w:r>
          </w:p>
        </w:tc>
        <w:tc>
          <w:tcPr>
            <w:tcW w:w="152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威宁彝族回族苗族自治县五里岗大道</w:t>
            </w:r>
          </w:p>
        </w:tc>
        <w:tc>
          <w:tcPr>
            <w:tcW w:w="159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贵州鼎鑫房地产开发有限责任公司</w:t>
            </w:r>
          </w:p>
        </w:tc>
        <w:tc>
          <w:tcPr>
            <w:tcW w:w="63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住宅</w:t>
            </w:r>
          </w:p>
        </w:tc>
        <w:tc>
          <w:tcPr>
            <w:tcW w:w="1114"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147.29</w:t>
            </w:r>
          </w:p>
        </w:tc>
        <w:tc>
          <w:tcPr>
            <w:tcW w:w="66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35" w:hRule="atLeast"/>
          <w:jc w:val="center"/>
        </w:trPr>
        <w:tc>
          <w:tcPr>
            <w:tcW w:w="752"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10</w:t>
            </w:r>
          </w:p>
        </w:tc>
        <w:tc>
          <w:tcPr>
            <w:tcW w:w="808"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w:t>
            </w:r>
          </w:p>
        </w:tc>
        <w:tc>
          <w:tcPr>
            <w:tcW w:w="2018"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北港兴城（一期）2、3、5栋（2）1单元14层2号</w:t>
            </w:r>
          </w:p>
        </w:tc>
        <w:tc>
          <w:tcPr>
            <w:tcW w:w="152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威宁彝族回族苗族自治县五里岗大道</w:t>
            </w:r>
          </w:p>
        </w:tc>
        <w:tc>
          <w:tcPr>
            <w:tcW w:w="159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贵州鼎鑫房地产开发有限责任公司</w:t>
            </w:r>
          </w:p>
        </w:tc>
        <w:tc>
          <w:tcPr>
            <w:tcW w:w="63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住宅</w:t>
            </w:r>
          </w:p>
        </w:tc>
        <w:tc>
          <w:tcPr>
            <w:tcW w:w="1114"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108.42</w:t>
            </w:r>
          </w:p>
        </w:tc>
        <w:tc>
          <w:tcPr>
            <w:tcW w:w="66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35" w:hRule="atLeast"/>
          <w:jc w:val="center"/>
        </w:trPr>
        <w:tc>
          <w:tcPr>
            <w:tcW w:w="752"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11</w:t>
            </w:r>
          </w:p>
        </w:tc>
        <w:tc>
          <w:tcPr>
            <w:tcW w:w="808"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w:t>
            </w:r>
          </w:p>
        </w:tc>
        <w:tc>
          <w:tcPr>
            <w:tcW w:w="2018"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北港兴城（一期）2、3、5栋（2）1单元14层3号</w:t>
            </w:r>
          </w:p>
        </w:tc>
        <w:tc>
          <w:tcPr>
            <w:tcW w:w="152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威宁彝族回族苗族自治县五里岗大道</w:t>
            </w:r>
          </w:p>
        </w:tc>
        <w:tc>
          <w:tcPr>
            <w:tcW w:w="159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贵州鼎鑫房地产开发有限责任公司</w:t>
            </w:r>
          </w:p>
        </w:tc>
        <w:tc>
          <w:tcPr>
            <w:tcW w:w="63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住宅</w:t>
            </w:r>
          </w:p>
        </w:tc>
        <w:tc>
          <w:tcPr>
            <w:tcW w:w="1114"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108.42</w:t>
            </w:r>
          </w:p>
        </w:tc>
        <w:tc>
          <w:tcPr>
            <w:tcW w:w="66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35" w:hRule="atLeast"/>
          <w:jc w:val="center"/>
        </w:trPr>
        <w:tc>
          <w:tcPr>
            <w:tcW w:w="752"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12</w:t>
            </w:r>
          </w:p>
        </w:tc>
        <w:tc>
          <w:tcPr>
            <w:tcW w:w="808"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w:t>
            </w:r>
          </w:p>
        </w:tc>
        <w:tc>
          <w:tcPr>
            <w:tcW w:w="2018"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北港兴城（一期）2、3、5栋（2）1单元14层4号</w:t>
            </w:r>
          </w:p>
        </w:tc>
        <w:tc>
          <w:tcPr>
            <w:tcW w:w="152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威宁彝族回族苗族自治县五里岗大道</w:t>
            </w:r>
          </w:p>
        </w:tc>
        <w:tc>
          <w:tcPr>
            <w:tcW w:w="159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贵州鼎鑫房地产开发有限责任公司</w:t>
            </w:r>
          </w:p>
        </w:tc>
        <w:tc>
          <w:tcPr>
            <w:tcW w:w="63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住宅</w:t>
            </w:r>
          </w:p>
        </w:tc>
        <w:tc>
          <w:tcPr>
            <w:tcW w:w="1114"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147.89</w:t>
            </w:r>
          </w:p>
        </w:tc>
        <w:tc>
          <w:tcPr>
            <w:tcW w:w="66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35" w:hRule="atLeast"/>
          <w:jc w:val="center"/>
        </w:trPr>
        <w:tc>
          <w:tcPr>
            <w:tcW w:w="752"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13</w:t>
            </w:r>
          </w:p>
        </w:tc>
        <w:tc>
          <w:tcPr>
            <w:tcW w:w="808"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w:t>
            </w:r>
          </w:p>
        </w:tc>
        <w:tc>
          <w:tcPr>
            <w:tcW w:w="2018"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北港兴城（一期）2、3、5栋（2）1单元15层1号</w:t>
            </w:r>
          </w:p>
        </w:tc>
        <w:tc>
          <w:tcPr>
            <w:tcW w:w="152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威宁彝族回族苗族自治县五里岗大道</w:t>
            </w:r>
          </w:p>
        </w:tc>
        <w:tc>
          <w:tcPr>
            <w:tcW w:w="159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贵州鼎鑫房地产开发有限责任公司</w:t>
            </w:r>
          </w:p>
        </w:tc>
        <w:tc>
          <w:tcPr>
            <w:tcW w:w="63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住宅</w:t>
            </w:r>
          </w:p>
        </w:tc>
        <w:tc>
          <w:tcPr>
            <w:tcW w:w="1114"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147.29</w:t>
            </w:r>
          </w:p>
        </w:tc>
        <w:tc>
          <w:tcPr>
            <w:tcW w:w="66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35" w:hRule="atLeast"/>
          <w:jc w:val="center"/>
        </w:trPr>
        <w:tc>
          <w:tcPr>
            <w:tcW w:w="752"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14</w:t>
            </w:r>
          </w:p>
        </w:tc>
        <w:tc>
          <w:tcPr>
            <w:tcW w:w="808"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w:t>
            </w:r>
          </w:p>
        </w:tc>
        <w:tc>
          <w:tcPr>
            <w:tcW w:w="2018"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北港兴城（一期）2、3、5栋（2）1单元15层2号</w:t>
            </w:r>
          </w:p>
        </w:tc>
        <w:tc>
          <w:tcPr>
            <w:tcW w:w="152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威宁彝族回族苗族自治县五里岗大道</w:t>
            </w:r>
          </w:p>
        </w:tc>
        <w:tc>
          <w:tcPr>
            <w:tcW w:w="159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贵州鼎鑫房地产开发有限责任公司</w:t>
            </w:r>
          </w:p>
        </w:tc>
        <w:tc>
          <w:tcPr>
            <w:tcW w:w="63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住宅</w:t>
            </w:r>
          </w:p>
        </w:tc>
        <w:tc>
          <w:tcPr>
            <w:tcW w:w="1114"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108.42</w:t>
            </w:r>
          </w:p>
        </w:tc>
        <w:tc>
          <w:tcPr>
            <w:tcW w:w="66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35" w:hRule="atLeast"/>
          <w:jc w:val="center"/>
        </w:trPr>
        <w:tc>
          <w:tcPr>
            <w:tcW w:w="752"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15</w:t>
            </w:r>
          </w:p>
        </w:tc>
        <w:tc>
          <w:tcPr>
            <w:tcW w:w="808"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w:t>
            </w:r>
          </w:p>
        </w:tc>
        <w:tc>
          <w:tcPr>
            <w:tcW w:w="2018"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北港兴城（一期）2、3、5栋（2）1单元15层3号</w:t>
            </w:r>
          </w:p>
        </w:tc>
        <w:tc>
          <w:tcPr>
            <w:tcW w:w="152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威宁彝族回族苗族自治县五里岗大道</w:t>
            </w:r>
          </w:p>
        </w:tc>
        <w:tc>
          <w:tcPr>
            <w:tcW w:w="159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贵州鼎鑫房地产开发有限责任公司</w:t>
            </w:r>
          </w:p>
        </w:tc>
        <w:tc>
          <w:tcPr>
            <w:tcW w:w="63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住宅</w:t>
            </w:r>
          </w:p>
        </w:tc>
        <w:tc>
          <w:tcPr>
            <w:tcW w:w="1114"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108.42</w:t>
            </w:r>
          </w:p>
        </w:tc>
        <w:tc>
          <w:tcPr>
            <w:tcW w:w="66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35" w:hRule="atLeast"/>
          <w:jc w:val="center"/>
        </w:trPr>
        <w:tc>
          <w:tcPr>
            <w:tcW w:w="752"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16</w:t>
            </w:r>
          </w:p>
        </w:tc>
        <w:tc>
          <w:tcPr>
            <w:tcW w:w="808"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w:t>
            </w:r>
          </w:p>
        </w:tc>
        <w:tc>
          <w:tcPr>
            <w:tcW w:w="2018"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北港兴城（一期）2、3、5栋（2）1单元15层4号</w:t>
            </w:r>
          </w:p>
        </w:tc>
        <w:tc>
          <w:tcPr>
            <w:tcW w:w="152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威宁彝族回族苗族自治县五里岗大道</w:t>
            </w:r>
          </w:p>
        </w:tc>
        <w:tc>
          <w:tcPr>
            <w:tcW w:w="159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贵州鼎鑫房地产开发有限责任公司</w:t>
            </w:r>
          </w:p>
        </w:tc>
        <w:tc>
          <w:tcPr>
            <w:tcW w:w="63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住宅</w:t>
            </w:r>
          </w:p>
        </w:tc>
        <w:tc>
          <w:tcPr>
            <w:tcW w:w="1114"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147.89</w:t>
            </w:r>
          </w:p>
        </w:tc>
        <w:tc>
          <w:tcPr>
            <w:tcW w:w="66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35" w:hRule="atLeast"/>
          <w:jc w:val="center"/>
        </w:trPr>
        <w:tc>
          <w:tcPr>
            <w:tcW w:w="752"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17</w:t>
            </w:r>
          </w:p>
        </w:tc>
        <w:tc>
          <w:tcPr>
            <w:tcW w:w="808"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w:t>
            </w:r>
          </w:p>
        </w:tc>
        <w:tc>
          <w:tcPr>
            <w:tcW w:w="2018"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北港兴城（一期）2、3、5栋（2）1单元16层1号</w:t>
            </w:r>
          </w:p>
        </w:tc>
        <w:tc>
          <w:tcPr>
            <w:tcW w:w="152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威宁彝族回族苗族自治县五里岗大道</w:t>
            </w:r>
          </w:p>
        </w:tc>
        <w:tc>
          <w:tcPr>
            <w:tcW w:w="159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贵州鼎鑫房地产开发有限责任公司</w:t>
            </w:r>
          </w:p>
        </w:tc>
        <w:tc>
          <w:tcPr>
            <w:tcW w:w="63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住宅</w:t>
            </w:r>
          </w:p>
        </w:tc>
        <w:tc>
          <w:tcPr>
            <w:tcW w:w="1114"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147.29</w:t>
            </w:r>
          </w:p>
        </w:tc>
        <w:tc>
          <w:tcPr>
            <w:tcW w:w="66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35" w:hRule="atLeast"/>
          <w:jc w:val="center"/>
        </w:trPr>
        <w:tc>
          <w:tcPr>
            <w:tcW w:w="752"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18</w:t>
            </w:r>
          </w:p>
        </w:tc>
        <w:tc>
          <w:tcPr>
            <w:tcW w:w="808"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w:t>
            </w:r>
          </w:p>
        </w:tc>
        <w:tc>
          <w:tcPr>
            <w:tcW w:w="2018"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北港兴城（一期）2、3、5栋（2）1单元16层2号</w:t>
            </w:r>
          </w:p>
        </w:tc>
        <w:tc>
          <w:tcPr>
            <w:tcW w:w="152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威宁彝族回族苗族自治县五里岗大道</w:t>
            </w:r>
          </w:p>
        </w:tc>
        <w:tc>
          <w:tcPr>
            <w:tcW w:w="159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贵州鼎鑫房地产开发有限责任公司</w:t>
            </w:r>
          </w:p>
        </w:tc>
        <w:tc>
          <w:tcPr>
            <w:tcW w:w="63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住宅</w:t>
            </w:r>
          </w:p>
        </w:tc>
        <w:tc>
          <w:tcPr>
            <w:tcW w:w="1114"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108.42</w:t>
            </w:r>
          </w:p>
        </w:tc>
        <w:tc>
          <w:tcPr>
            <w:tcW w:w="66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35" w:hRule="atLeast"/>
          <w:jc w:val="center"/>
        </w:trPr>
        <w:tc>
          <w:tcPr>
            <w:tcW w:w="752"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19</w:t>
            </w:r>
          </w:p>
        </w:tc>
        <w:tc>
          <w:tcPr>
            <w:tcW w:w="808"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w:t>
            </w:r>
          </w:p>
        </w:tc>
        <w:tc>
          <w:tcPr>
            <w:tcW w:w="2018"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北港兴城（一期）2、3、5栋（2）1单元16层3号</w:t>
            </w:r>
          </w:p>
        </w:tc>
        <w:tc>
          <w:tcPr>
            <w:tcW w:w="152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威宁彝族回族苗族自治县五里岗大道</w:t>
            </w:r>
          </w:p>
        </w:tc>
        <w:tc>
          <w:tcPr>
            <w:tcW w:w="159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贵州鼎鑫房地产开发有限责任公司</w:t>
            </w:r>
          </w:p>
        </w:tc>
        <w:tc>
          <w:tcPr>
            <w:tcW w:w="63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住宅</w:t>
            </w:r>
          </w:p>
        </w:tc>
        <w:tc>
          <w:tcPr>
            <w:tcW w:w="1114"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108.42</w:t>
            </w:r>
          </w:p>
        </w:tc>
        <w:tc>
          <w:tcPr>
            <w:tcW w:w="66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35" w:hRule="atLeast"/>
          <w:jc w:val="center"/>
        </w:trPr>
        <w:tc>
          <w:tcPr>
            <w:tcW w:w="752"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20</w:t>
            </w:r>
          </w:p>
        </w:tc>
        <w:tc>
          <w:tcPr>
            <w:tcW w:w="808"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w:t>
            </w:r>
          </w:p>
        </w:tc>
        <w:tc>
          <w:tcPr>
            <w:tcW w:w="2018"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北港兴城（一期）2、3、5栋（2）1单元16层4号</w:t>
            </w:r>
          </w:p>
        </w:tc>
        <w:tc>
          <w:tcPr>
            <w:tcW w:w="152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威宁彝族回族苗族自治县五里岗大道</w:t>
            </w:r>
          </w:p>
        </w:tc>
        <w:tc>
          <w:tcPr>
            <w:tcW w:w="159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贵州鼎鑫房地产开发有限责任公司</w:t>
            </w:r>
          </w:p>
        </w:tc>
        <w:tc>
          <w:tcPr>
            <w:tcW w:w="63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住宅</w:t>
            </w:r>
          </w:p>
        </w:tc>
        <w:tc>
          <w:tcPr>
            <w:tcW w:w="1114"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147.89</w:t>
            </w:r>
          </w:p>
        </w:tc>
        <w:tc>
          <w:tcPr>
            <w:tcW w:w="66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35" w:hRule="atLeast"/>
          <w:jc w:val="center"/>
        </w:trPr>
        <w:tc>
          <w:tcPr>
            <w:tcW w:w="752"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21</w:t>
            </w:r>
          </w:p>
        </w:tc>
        <w:tc>
          <w:tcPr>
            <w:tcW w:w="808"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w:t>
            </w:r>
          </w:p>
        </w:tc>
        <w:tc>
          <w:tcPr>
            <w:tcW w:w="2018"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北港兴城（一期）2、3、5栋（2）1单元17层1号</w:t>
            </w:r>
          </w:p>
        </w:tc>
        <w:tc>
          <w:tcPr>
            <w:tcW w:w="152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威宁彝族回族苗族自治县五里岗大道</w:t>
            </w:r>
          </w:p>
        </w:tc>
        <w:tc>
          <w:tcPr>
            <w:tcW w:w="159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贵州鼎鑫房地产开发有限责任公司</w:t>
            </w:r>
          </w:p>
        </w:tc>
        <w:tc>
          <w:tcPr>
            <w:tcW w:w="63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住宅</w:t>
            </w:r>
          </w:p>
        </w:tc>
        <w:tc>
          <w:tcPr>
            <w:tcW w:w="1114"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147.29</w:t>
            </w:r>
          </w:p>
        </w:tc>
        <w:tc>
          <w:tcPr>
            <w:tcW w:w="66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35" w:hRule="atLeast"/>
          <w:jc w:val="center"/>
        </w:trPr>
        <w:tc>
          <w:tcPr>
            <w:tcW w:w="752"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22</w:t>
            </w:r>
          </w:p>
        </w:tc>
        <w:tc>
          <w:tcPr>
            <w:tcW w:w="808"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w:t>
            </w:r>
          </w:p>
        </w:tc>
        <w:tc>
          <w:tcPr>
            <w:tcW w:w="2018"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北港兴城（一期）2、3、5栋（2）1单元17层2号</w:t>
            </w:r>
          </w:p>
        </w:tc>
        <w:tc>
          <w:tcPr>
            <w:tcW w:w="152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威宁彝族回族苗族自治县五里岗大道</w:t>
            </w:r>
          </w:p>
        </w:tc>
        <w:tc>
          <w:tcPr>
            <w:tcW w:w="159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贵州鼎鑫房地产开发有限责任公司</w:t>
            </w:r>
          </w:p>
        </w:tc>
        <w:tc>
          <w:tcPr>
            <w:tcW w:w="63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住宅</w:t>
            </w:r>
          </w:p>
        </w:tc>
        <w:tc>
          <w:tcPr>
            <w:tcW w:w="1114"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108.42</w:t>
            </w:r>
          </w:p>
        </w:tc>
        <w:tc>
          <w:tcPr>
            <w:tcW w:w="66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35" w:hRule="atLeast"/>
          <w:jc w:val="center"/>
        </w:trPr>
        <w:tc>
          <w:tcPr>
            <w:tcW w:w="752"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23</w:t>
            </w:r>
          </w:p>
        </w:tc>
        <w:tc>
          <w:tcPr>
            <w:tcW w:w="808"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w:t>
            </w:r>
          </w:p>
        </w:tc>
        <w:tc>
          <w:tcPr>
            <w:tcW w:w="2018"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北港兴城（一期）2、3、5栋（2）1单元17层3号</w:t>
            </w:r>
          </w:p>
        </w:tc>
        <w:tc>
          <w:tcPr>
            <w:tcW w:w="152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威宁彝族回族苗族自治县五里岗大道</w:t>
            </w:r>
          </w:p>
        </w:tc>
        <w:tc>
          <w:tcPr>
            <w:tcW w:w="159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贵州鼎鑫房地产开发有限责任公司</w:t>
            </w:r>
          </w:p>
        </w:tc>
        <w:tc>
          <w:tcPr>
            <w:tcW w:w="63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住宅</w:t>
            </w:r>
          </w:p>
        </w:tc>
        <w:tc>
          <w:tcPr>
            <w:tcW w:w="1114"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108.42</w:t>
            </w:r>
          </w:p>
        </w:tc>
        <w:tc>
          <w:tcPr>
            <w:tcW w:w="66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35" w:hRule="atLeast"/>
          <w:jc w:val="center"/>
        </w:trPr>
        <w:tc>
          <w:tcPr>
            <w:tcW w:w="752"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24</w:t>
            </w:r>
          </w:p>
        </w:tc>
        <w:tc>
          <w:tcPr>
            <w:tcW w:w="808"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w:t>
            </w:r>
          </w:p>
        </w:tc>
        <w:tc>
          <w:tcPr>
            <w:tcW w:w="2018"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北港兴城（一期）2、3、5栋（2）1单元17层4号</w:t>
            </w:r>
          </w:p>
        </w:tc>
        <w:tc>
          <w:tcPr>
            <w:tcW w:w="152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威宁彝族回族苗族自治县五里岗大道</w:t>
            </w:r>
          </w:p>
        </w:tc>
        <w:tc>
          <w:tcPr>
            <w:tcW w:w="159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贵州鼎鑫房地产开发有限责任公司</w:t>
            </w:r>
          </w:p>
        </w:tc>
        <w:tc>
          <w:tcPr>
            <w:tcW w:w="63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住宅</w:t>
            </w:r>
          </w:p>
        </w:tc>
        <w:tc>
          <w:tcPr>
            <w:tcW w:w="1114"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147.89</w:t>
            </w:r>
          </w:p>
        </w:tc>
        <w:tc>
          <w:tcPr>
            <w:tcW w:w="66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35" w:hRule="atLeast"/>
          <w:jc w:val="center"/>
        </w:trPr>
        <w:tc>
          <w:tcPr>
            <w:tcW w:w="752"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25</w:t>
            </w:r>
          </w:p>
        </w:tc>
        <w:tc>
          <w:tcPr>
            <w:tcW w:w="808"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w:t>
            </w:r>
          </w:p>
        </w:tc>
        <w:tc>
          <w:tcPr>
            <w:tcW w:w="2018"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北港兴城（一期）2、3、5栋（2）1单元18层1号</w:t>
            </w:r>
          </w:p>
        </w:tc>
        <w:tc>
          <w:tcPr>
            <w:tcW w:w="152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威宁彝族回族苗族自治县五里岗大道</w:t>
            </w:r>
          </w:p>
        </w:tc>
        <w:tc>
          <w:tcPr>
            <w:tcW w:w="159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贵州鼎鑫房地产开发有限责任公司</w:t>
            </w:r>
          </w:p>
        </w:tc>
        <w:tc>
          <w:tcPr>
            <w:tcW w:w="63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住宅</w:t>
            </w:r>
          </w:p>
        </w:tc>
        <w:tc>
          <w:tcPr>
            <w:tcW w:w="1114"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147.29</w:t>
            </w:r>
          </w:p>
        </w:tc>
        <w:tc>
          <w:tcPr>
            <w:tcW w:w="66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35" w:hRule="atLeast"/>
          <w:jc w:val="center"/>
        </w:trPr>
        <w:tc>
          <w:tcPr>
            <w:tcW w:w="752"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26</w:t>
            </w:r>
          </w:p>
        </w:tc>
        <w:tc>
          <w:tcPr>
            <w:tcW w:w="808"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w:t>
            </w:r>
          </w:p>
        </w:tc>
        <w:tc>
          <w:tcPr>
            <w:tcW w:w="2018"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北港兴城（一期）2、3、5栋（2）1单元18层2号</w:t>
            </w:r>
          </w:p>
        </w:tc>
        <w:tc>
          <w:tcPr>
            <w:tcW w:w="152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威宁彝族回族苗族自治县五里岗大道</w:t>
            </w:r>
          </w:p>
        </w:tc>
        <w:tc>
          <w:tcPr>
            <w:tcW w:w="159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贵州鼎鑫房地产开发有限责任公司</w:t>
            </w:r>
          </w:p>
        </w:tc>
        <w:tc>
          <w:tcPr>
            <w:tcW w:w="63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住宅</w:t>
            </w:r>
          </w:p>
        </w:tc>
        <w:tc>
          <w:tcPr>
            <w:tcW w:w="1114"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108.42</w:t>
            </w:r>
          </w:p>
        </w:tc>
        <w:tc>
          <w:tcPr>
            <w:tcW w:w="66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35" w:hRule="atLeast"/>
          <w:jc w:val="center"/>
        </w:trPr>
        <w:tc>
          <w:tcPr>
            <w:tcW w:w="752"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27</w:t>
            </w:r>
          </w:p>
        </w:tc>
        <w:tc>
          <w:tcPr>
            <w:tcW w:w="808"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w:t>
            </w:r>
          </w:p>
        </w:tc>
        <w:tc>
          <w:tcPr>
            <w:tcW w:w="2018"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北港兴城（一期）2、3、5栋（2）1单元18层3号</w:t>
            </w:r>
          </w:p>
        </w:tc>
        <w:tc>
          <w:tcPr>
            <w:tcW w:w="152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威宁彝族回族苗族自治县五里岗大道</w:t>
            </w:r>
          </w:p>
        </w:tc>
        <w:tc>
          <w:tcPr>
            <w:tcW w:w="159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贵州鼎鑫房地产开发有限责任公司</w:t>
            </w:r>
          </w:p>
        </w:tc>
        <w:tc>
          <w:tcPr>
            <w:tcW w:w="63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住宅</w:t>
            </w:r>
          </w:p>
        </w:tc>
        <w:tc>
          <w:tcPr>
            <w:tcW w:w="1114"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108.42</w:t>
            </w:r>
          </w:p>
        </w:tc>
        <w:tc>
          <w:tcPr>
            <w:tcW w:w="66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35" w:hRule="atLeast"/>
          <w:jc w:val="center"/>
        </w:trPr>
        <w:tc>
          <w:tcPr>
            <w:tcW w:w="752"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28</w:t>
            </w:r>
          </w:p>
        </w:tc>
        <w:tc>
          <w:tcPr>
            <w:tcW w:w="808"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w:t>
            </w:r>
          </w:p>
        </w:tc>
        <w:tc>
          <w:tcPr>
            <w:tcW w:w="2018"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北港兴城（一期）2、3、5栋（2）1单元18层4号</w:t>
            </w:r>
          </w:p>
        </w:tc>
        <w:tc>
          <w:tcPr>
            <w:tcW w:w="152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威宁彝族回族苗族自治县五里岗大道</w:t>
            </w:r>
          </w:p>
        </w:tc>
        <w:tc>
          <w:tcPr>
            <w:tcW w:w="159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贵州鼎鑫房地产开发有限责任公司</w:t>
            </w:r>
          </w:p>
        </w:tc>
        <w:tc>
          <w:tcPr>
            <w:tcW w:w="63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住宅</w:t>
            </w:r>
          </w:p>
        </w:tc>
        <w:tc>
          <w:tcPr>
            <w:tcW w:w="1114"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147.89</w:t>
            </w:r>
          </w:p>
        </w:tc>
        <w:tc>
          <w:tcPr>
            <w:tcW w:w="66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35" w:hRule="atLeast"/>
          <w:jc w:val="center"/>
        </w:trPr>
        <w:tc>
          <w:tcPr>
            <w:tcW w:w="752"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29</w:t>
            </w:r>
          </w:p>
        </w:tc>
        <w:tc>
          <w:tcPr>
            <w:tcW w:w="808"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w:t>
            </w:r>
          </w:p>
        </w:tc>
        <w:tc>
          <w:tcPr>
            <w:tcW w:w="2018"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北港兴城（一期）2、3、5栋（2）1单元19层1号</w:t>
            </w:r>
          </w:p>
        </w:tc>
        <w:tc>
          <w:tcPr>
            <w:tcW w:w="152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威宁彝族回族苗族自治县五里岗大道</w:t>
            </w:r>
          </w:p>
        </w:tc>
        <w:tc>
          <w:tcPr>
            <w:tcW w:w="159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贵州鼎鑫房地产开发有限责任公司</w:t>
            </w:r>
          </w:p>
        </w:tc>
        <w:tc>
          <w:tcPr>
            <w:tcW w:w="63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住宅</w:t>
            </w:r>
          </w:p>
        </w:tc>
        <w:tc>
          <w:tcPr>
            <w:tcW w:w="1114"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147.29</w:t>
            </w:r>
          </w:p>
        </w:tc>
        <w:tc>
          <w:tcPr>
            <w:tcW w:w="66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35" w:hRule="atLeast"/>
          <w:jc w:val="center"/>
        </w:trPr>
        <w:tc>
          <w:tcPr>
            <w:tcW w:w="752"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30</w:t>
            </w:r>
          </w:p>
        </w:tc>
        <w:tc>
          <w:tcPr>
            <w:tcW w:w="808"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w:t>
            </w:r>
          </w:p>
        </w:tc>
        <w:tc>
          <w:tcPr>
            <w:tcW w:w="2018"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北港兴城（一期）2、3、5栋（2）1单元19层2号</w:t>
            </w:r>
          </w:p>
        </w:tc>
        <w:tc>
          <w:tcPr>
            <w:tcW w:w="152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威宁彝族回族苗族自治县五里岗大道</w:t>
            </w:r>
          </w:p>
        </w:tc>
        <w:tc>
          <w:tcPr>
            <w:tcW w:w="159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贵州鼎鑫房地产开发有限责任公司</w:t>
            </w:r>
          </w:p>
        </w:tc>
        <w:tc>
          <w:tcPr>
            <w:tcW w:w="63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住宅</w:t>
            </w:r>
          </w:p>
        </w:tc>
        <w:tc>
          <w:tcPr>
            <w:tcW w:w="1114"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108.42</w:t>
            </w:r>
          </w:p>
        </w:tc>
        <w:tc>
          <w:tcPr>
            <w:tcW w:w="66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35" w:hRule="atLeast"/>
          <w:jc w:val="center"/>
        </w:trPr>
        <w:tc>
          <w:tcPr>
            <w:tcW w:w="752"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31</w:t>
            </w:r>
          </w:p>
        </w:tc>
        <w:tc>
          <w:tcPr>
            <w:tcW w:w="808"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w:t>
            </w:r>
          </w:p>
        </w:tc>
        <w:tc>
          <w:tcPr>
            <w:tcW w:w="2018"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北港兴城（一期）2、3、5栋（2）1单元19层3号</w:t>
            </w:r>
          </w:p>
        </w:tc>
        <w:tc>
          <w:tcPr>
            <w:tcW w:w="152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威宁彝族回族苗族自治县五里岗大道</w:t>
            </w:r>
          </w:p>
        </w:tc>
        <w:tc>
          <w:tcPr>
            <w:tcW w:w="159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贵州鼎鑫房地产开发有限责任公司</w:t>
            </w:r>
          </w:p>
        </w:tc>
        <w:tc>
          <w:tcPr>
            <w:tcW w:w="63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住宅</w:t>
            </w:r>
          </w:p>
        </w:tc>
        <w:tc>
          <w:tcPr>
            <w:tcW w:w="1114"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108.42</w:t>
            </w:r>
          </w:p>
        </w:tc>
        <w:tc>
          <w:tcPr>
            <w:tcW w:w="66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35" w:hRule="atLeast"/>
          <w:jc w:val="center"/>
        </w:trPr>
        <w:tc>
          <w:tcPr>
            <w:tcW w:w="752"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32</w:t>
            </w:r>
          </w:p>
        </w:tc>
        <w:tc>
          <w:tcPr>
            <w:tcW w:w="808"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w:t>
            </w:r>
          </w:p>
        </w:tc>
        <w:tc>
          <w:tcPr>
            <w:tcW w:w="2018"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北港兴城（一期）2、3、5栋（2）1单元19层4号</w:t>
            </w:r>
          </w:p>
        </w:tc>
        <w:tc>
          <w:tcPr>
            <w:tcW w:w="152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威宁彝族回族苗族自治县五里岗大道</w:t>
            </w:r>
          </w:p>
        </w:tc>
        <w:tc>
          <w:tcPr>
            <w:tcW w:w="159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贵州鼎鑫房地产开发有限责任公司</w:t>
            </w:r>
          </w:p>
        </w:tc>
        <w:tc>
          <w:tcPr>
            <w:tcW w:w="63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住宅</w:t>
            </w:r>
          </w:p>
        </w:tc>
        <w:tc>
          <w:tcPr>
            <w:tcW w:w="1114"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147.89</w:t>
            </w:r>
          </w:p>
        </w:tc>
        <w:tc>
          <w:tcPr>
            <w:tcW w:w="66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35" w:hRule="atLeast"/>
          <w:jc w:val="center"/>
        </w:trPr>
        <w:tc>
          <w:tcPr>
            <w:tcW w:w="752"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33</w:t>
            </w:r>
          </w:p>
        </w:tc>
        <w:tc>
          <w:tcPr>
            <w:tcW w:w="808"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w:t>
            </w:r>
          </w:p>
        </w:tc>
        <w:tc>
          <w:tcPr>
            <w:tcW w:w="2018"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北港兴城（一期）2、3、5栋（2）1单元20层1号</w:t>
            </w:r>
          </w:p>
        </w:tc>
        <w:tc>
          <w:tcPr>
            <w:tcW w:w="152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威宁彝族回族苗族自治县五里岗大道</w:t>
            </w:r>
          </w:p>
        </w:tc>
        <w:tc>
          <w:tcPr>
            <w:tcW w:w="159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贵州鼎鑫房地产开发有限责任公司</w:t>
            </w:r>
          </w:p>
        </w:tc>
        <w:tc>
          <w:tcPr>
            <w:tcW w:w="63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住宅</w:t>
            </w:r>
          </w:p>
        </w:tc>
        <w:tc>
          <w:tcPr>
            <w:tcW w:w="1114"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147.29</w:t>
            </w:r>
          </w:p>
        </w:tc>
        <w:tc>
          <w:tcPr>
            <w:tcW w:w="66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5" w:hRule="atLeast"/>
          <w:jc w:val="center"/>
        </w:trPr>
        <w:tc>
          <w:tcPr>
            <w:tcW w:w="752"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34</w:t>
            </w:r>
          </w:p>
        </w:tc>
        <w:tc>
          <w:tcPr>
            <w:tcW w:w="808"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w:t>
            </w:r>
          </w:p>
        </w:tc>
        <w:tc>
          <w:tcPr>
            <w:tcW w:w="2018"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北港兴城（一期）2、3、5栋（2）1单元20层2号</w:t>
            </w:r>
          </w:p>
        </w:tc>
        <w:tc>
          <w:tcPr>
            <w:tcW w:w="152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威宁彝族回族苗族自治县五里岗大道</w:t>
            </w:r>
          </w:p>
        </w:tc>
        <w:tc>
          <w:tcPr>
            <w:tcW w:w="159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贵州鼎鑫房地产开发有限责任公司</w:t>
            </w:r>
          </w:p>
        </w:tc>
        <w:tc>
          <w:tcPr>
            <w:tcW w:w="63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住宅</w:t>
            </w:r>
          </w:p>
        </w:tc>
        <w:tc>
          <w:tcPr>
            <w:tcW w:w="1114"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108.42</w:t>
            </w:r>
          </w:p>
        </w:tc>
        <w:tc>
          <w:tcPr>
            <w:tcW w:w="66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5" w:hRule="atLeast"/>
          <w:jc w:val="center"/>
        </w:trPr>
        <w:tc>
          <w:tcPr>
            <w:tcW w:w="752"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35</w:t>
            </w:r>
          </w:p>
        </w:tc>
        <w:tc>
          <w:tcPr>
            <w:tcW w:w="808"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w:t>
            </w:r>
          </w:p>
        </w:tc>
        <w:tc>
          <w:tcPr>
            <w:tcW w:w="2018"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北港兴城（一期）2、3、5栋（2）1单元20层3号</w:t>
            </w:r>
          </w:p>
        </w:tc>
        <w:tc>
          <w:tcPr>
            <w:tcW w:w="152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威宁彝族回族苗族自治县五里岗大道</w:t>
            </w:r>
          </w:p>
        </w:tc>
        <w:tc>
          <w:tcPr>
            <w:tcW w:w="159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贵州鼎鑫房地产开发有限责任公司</w:t>
            </w:r>
          </w:p>
        </w:tc>
        <w:tc>
          <w:tcPr>
            <w:tcW w:w="63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住宅</w:t>
            </w:r>
          </w:p>
        </w:tc>
        <w:tc>
          <w:tcPr>
            <w:tcW w:w="1114"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108.42</w:t>
            </w:r>
          </w:p>
        </w:tc>
        <w:tc>
          <w:tcPr>
            <w:tcW w:w="66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5" w:hRule="atLeast"/>
          <w:jc w:val="center"/>
        </w:trPr>
        <w:tc>
          <w:tcPr>
            <w:tcW w:w="752"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36</w:t>
            </w:r>
          </w:p>
        </w:tc>
        <w:tc>
          <w:tcPr>
            <w:tcW w:w="808"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w:t>
            </w:r>
          </w:p>
        </w:tc>
        <w:tc>
          <w:tcPr>
            <w:tcW w:w="2018"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北港兴城（一期）2、3、5栋（2）1单元20层4号</w:t>
            </w:r>
          </w:p>
        </w:tc>
        <w:tc>
          <w:tcPr>
            <w:tcW w:w="152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威宁彝族回族苗族自治县五里岗大道</w:t>
            </w:r>
          </w:p>
        </w:tc>
        <w:tc>
          <w:tcPr>
            <w:tcW w:w="159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贵州鼎鑫房地产开发有限责任公司</w:t>
            </w:r>
          </w:p>
        </w:tc>
        <w:tc>
          <w:tcPr>
            <w:tcW w:w="63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住宅</w:t>
            </w:r>
          </w:p>
        </w:tc>
        <w:tc>
          <w:tcPr>
            <w:tcW w:w="1114"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147.89</w:t>
            </w:r>
          </w:p>
        </w:tc>
        <w:tc>
          <w:tcPr>
            <w:tcW w:w="66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35" w:hRule="atLeast"/>
          <w:jc w:val="center"/>
        </w:trPr>
        <w:tc>
          <w:tcPr>
            <w:tcW w:w="752"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37</w:t>
            </w:r>
          </w:p>
        </w:tc>
        <w:tc>
          <w:tcPr>
            <w:tcW w:w="808"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w:t>
            </w:r>
          </w:p>
        </w:tc>
        <w:tc>
          <w:tcPr>
            <w:tcW w:w="2018"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北港兴城（一期）2、3、5栋（2）1单元21层1号</w:t>
            </w:r>
          </w:p>
        </w:tc>
        <w:tc>
          <w:tcPr>
            <w:tcW w:w="152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威宁彝族回族苗族自治县五里岗大道</w:t>
            </w:r>
          </w:p>
        </w:tc>
        <w:tc>
          <w:tcPr>
            <w:tcW w:w="159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贵州鼎鑫房地产开发有限责任公司</w:t>
            </w:r>
          </w:p>
        </w:tc>
        <w:tc>
          <w:tcPr>
            <w:tcW w:w="63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住宅</w:t>
            </w:r>
          </w:p>
        </w:tc>
        <w:tc>
          <w:tcPr>
            <w:tcW w:w="1114"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147.29</w:t>
            </w:r>
          </w:p>
        </w:tc>
        <w:tc>
          <w:tcPr>
            <w:tcW w:w="66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35" w:hRule="atLeast"/>
          <w:jc w:val="center"/>
        </w:trPr>
        <w:tc>
          <w:tcPr>
            <w:tcW w:w="752"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38</w:t>
            </w:r>
          </w:p>
        </w:tc>
        <w:tc>
          <w:tcPr>
            <w:tcW w:w="808"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w:t>
            </w:r>
          </w:p>
        </w:tc>
        <w:tc>
          <w:tcPr>
            <w:tcW w:w="2018"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北港兴城（一期）2、3、5栋（2）1单元21层2号</w:t>
            </w:r>
          </w:p>
        </w:tc>
        <w:tc>
          <w:tcPr>
            <w:tcW w:w="152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威宁彝族回族苗族自治县五里岗大道</w:t>
            </w:r>
          </w:p>
        </w:tc>
        <w:tc>
          <w:tcPr>
            <w:tcW w:w="159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贵州鼎鑫房地产开发有限责任公司</w:t>
            </w:r>
          </w:p>
        </w:tc>
        <w:tc>
          <w:tcPr>
            <w:tcW w:w="63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住宅</w:t>
            </w:r>
          </w:p>
        </w:tc>
        <w:tc>
          <w:tcPr>
            <w:tcW w:w="1114"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108.42</w:t>
            </w:r>
          </w:p>
        </w:tc>
        <w:tc>
          <w:tcPr>
            <w:tcW w:w="66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35" w:hRule="atLeast"/>
          <w:jc w:val="center"/>
        </w:trPr>
        <w:tc>
          <w:tcPr>
            <w:tcW w:w="752"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39</w:t>
            </w:r>
          </w:p>
        </w:tc>
        <w:tc>
          <w:tcPr>
            <w:tcW w:w="808"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w:t>
            </w:r>
          </w:p>
        </w:tc>
        <w:tc>
          <w:tcPr>
            <w:tcW w:w="2018"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北港兴城（一期）2、3、5栋（2）1单元21层3号</w:t>
            </w:r>
          </w:p>
        </w:tc>
        <w:tc>
          <w:tcPr>
            <w:tcW w:w="152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威宁彝族回族苗族自治县五里岗大道</w:t>
            </w:r>
          </w:p>
        </w:tc>
        <w:tc>
          <w:tcPr>
            <w:tcW w:w="159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贵州鼎鑫房地产开发有限责任公司</w:t>
            </w:r>
          </w:p>
        </w:tc>
        <w:tc>
          <w:tcPr>
            <w:tcW w:w="63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住宅</w:t>
            </w:r>
          </w:p>
        </w:tc>
        <w:tc>
          <w:tcPr>
            <w:tcW w:w="1114"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108.42</w:t>
            </w:r>
          </w:p>
        </w:tc>
        <w:tc>
          <w:tcPr>
            <w:tcW w:w="66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35" w:hRule="atLeast"/>
          <w:jc w:val="center"/>
        </w:trPr>
        <w:tc>
          <w:tcPr>
            <w:tcW w:w="752"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40</w:t>
            </w:r>
          </w:p>
        </w:tc>
        <w:tc>
          <w:tcPr>
            <w:tcW w:w="808"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w:t>
            </w:r>
          </w:p>
        </w:tc>
        <w:tc>
          <w:tcPr>
            <w:tcW w:w="2018"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北港兴城（一期）2、3、5栋（2）1单元21层4号</w:t>
            </w:r>
          </w:p>
        </w:tc>
        <w:tc>
          <w:tcPr>
            <w:tcW w:w="152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威宁彝族回族苗族自治县五里岗大道</w:t>
            </w:r>
          </w:p>
        </w:tc>
        <w:tc>
          <w:tcPr>
            <w:tcW w:w="159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贵州鼎鑫房地产开发有限责任公司</w:t>
            </w:r>
          </w:p>
        </w:tc>
        <w:tc>
          <w:tcPr>
            <w:tcW w:w="63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住宅</w:t>
            </w:r>
          </w:p>
        </w:tc>
        <w:tc>
          <w:tcPr>
            <w:tcW w:w="1114"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147.89</w:t>
            </w:r>
          </w:p>
        </w:tc>
        <w:tc>
          <w:tcPr>
            <w:tcW w:w="66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35" w:hRule="atLeast"/>
          <w:jc w:val="center"/>
        </w:trPr>
        <w:tc>
          <w:tcPr>
            <w:tcW w:w="752"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41</w:t>
            </w:r>
          </w:p>
        </w:tc>
        <w:tc>
          <w:tcPr>
            <w:tcW w:w="808"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w:t>
            </w:r>
          </w:p>
        </w:tc>
        <w:tc>
          <w:tcPr>
            <w:tcW w:w="2018"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北港兴城（一期）2、3、5栋（2）1单元22层1号</w:t>
            </w:r>
          </w:p>
        </w:tc>
        <w:tc>
          <w:tcPr>
            <w:tcW w:w="152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威宁彝族回族苗族自治县五里岗大道</w:t>
            </w:r>
          </w:p>
        </w:tc>
        <w:tc>
          <w:tcPr>
            <w:tcW w:w="159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贵州鼎鑫房地产开发有限责任公司</w:t>
            </w:r>
          </w:p>
        </w:tc>
        <w:tc>
          <w:tcPr>
            <w:tcW w:w="63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住宅</w:t>
            </w:r>
          </w:p>
        </w:tc>
        <w:tc>
          <w:tcPr>
            <w:tcW w:w="1114"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147.29</w:t>
            </w:r>
          </w:p>
        </w:tc>
        <w:tc>
          <w:tcPr>
            <w:tcW w:w="66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35" w:hRule="atLeast"/>
          <w:jc w:val="center"/>
        </w:trPr>
        <w:tc>
          <w:tcPr>
            <w:tcW w:w="752"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42</w:t>
            </w:r>
          </w:p>
        </w:tc>
        <w:tc>
          <w:tcPr>
            <w:tcW w:w="808"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w:t>
            </w:r>
          </w:p>
        </w:tc>
        <w:tc>
          <w:tcPr>
            <w:tcW w:w="2018"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北港兴城（一期）2、3、5栋（2）1单元22层2号</w:t>
            </w:r>
          </w:p>
        </w:tc>
        <w:tc>
          <w:tcPr>
            <w:tcW w:w="152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威宁彝族回族苗族自治县五里岗大道</w:t>
            </w:r>
          </w:p>
        </w:tc>
        <w:tc>
          <w:tcPr>
            <w:tcW w:w="159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贵州鼎鑫房地产开发有限责任公司</w:t>
            </w:r>
          </w:p>
        </w:tc>
        <w:tc>
          <w:tcPr>
            <w:tcW w:w="63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住宅</w:t>
            </w:r>
          </w:p>
        </w:tc>
        <w:tc>
          <w:tcPr>
            <w:tcW w:w="1114"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108.42</w:t>
            </w:r>
          </w:p>
        </w:tc>
        <w:tc>
          <w:tcPr>
            <w:tcW w:w="66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35" w:hRule="atLeast"/>
          <w:jc w:val="center"/>
        </w:trPr>
        <w:tc>
          <w:tcPr>
            <w:tcW w:w="752"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43</w:t>
            </w:r>
          </w:p>
        </w:tc>
        <w:tc>
          <w:tcPr>
            <w:tcW w:w="808"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w:t>
            </w:r>
          </w:p>
        </w:tc>
        <w:tc>
          <w:tcPr>
            <w:tcW w:w="2018"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北港兴城（一期）2、3、5栋（2）1单元22层3号</w:t>
            </w:r>
          </w:p>
        </w:tc>
        <w:tc>
          <w:tcPr>
            <w:tcW w:w="152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威宁彝族回族苗族自治县五里岗大道</w:t>
            </w:r>
          </w:p>
        </w:tc>
        <w:tc>
          <w:tcPr>
            <w:tcW w:w="159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贵州鼎鑫房地产开发有限责任公司</w:t>
            </w:r>
          </w:p>
        </w:tc>
        <w:tc>
          <w:tcPr>
            <w:tcW w:w="63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住宅</w:t>
            </w:r>
          </w:p>
        </w:tc>
        <w:tc>
          <w:tcPr>
            <w:tcW w:w="1114"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108.42</w:t>
            </w:r>
          </w:p>
        </w:tc>
        <w:tc>
          <w:tcPr>
            <w:tcW w:w="66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35" w:hRule="atLeast"/>
          <w:jc w:val="center"/>
        </w:trPr>
        <w:tc>
          <w:tcPr>
            <w:tcW w:w="752"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44</w:t>
            </w:r>
          </w:p>
        </w:tc>
        <w:tc>
          <w:tcPr>
            <w:tcW w:w="808"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w:t>
            </w:r>
          </w:p>
        </w:tc>
        <w:tc>
          <w:tcPr>
            <w:tcW w:w="2018"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北港兴城（一期）2、3、5栋（2）1单元22层4号</w:t>
            </w:r>
          </w:p>
        </w:tc>
        <w:tc>
          <w:tcPr>
            <w:tcW w:w="152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威宁彝族回族苗族自治县五里岗大道</w:t>
            </w:r>
          </w:p>
        </w:tc>
        <w:tc>
          <w:tcPr>
            <w:tcW w:w="159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贵州鼎鑫房地产开发有限责任公司</w:t>
            </w:r>
          </w:p>
        </w:tc>
        <w:tc>
          <w:tcPr>
            <w:tcW w:w="63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住宅</w:t>
            </w:r>
          </w:p>
        </w:tc>
        <w:tc>
          <w:tcPr>
            <w:tcW w:w="1114"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147.89</w:t>
            </w:r>
          </w:p>
        </w:tc>
        <w:tc>
          <w:tcPr>
            <w:tcW w:w="66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p>
        </w:tc>
      </w:tr>
    </w:tbl>
    <w:p>
      <w:pPr>
        <w:pStyle w:val="27"/>
        <w:autoSpaceDE/>
        <w:autoSpaceDN/>
        <w:adjustRightInd/>
        <w:spacing w:before="156" w:beforeLines="50" w:after="156" w:afterLines="50" w:line="360" w:lineRule="auto"/>
        <w:ind w:firstLine="560" w:firstLineChars="200"/>
        <w:jc w:val="both"/>
        <w:textAlignment w:val="auto"/>
        <w:rPr>
          <w:rFonts w:hint="eastAsia" w:hAnsi="宋体"/>
          <w:sz w:val="28"/>
          <w:szCs w:val="28"/>
          <w:lang w:val="en-US" w:eastAsia="zh-CN"/>
        </w:rPr>
      </w:pPr>
      <w:r>
        <w:rPr>
          <w:rFonts w:hint="eastAsia" w:hAnsi="宋体"/>
          <w:szCs w:val="28"/>
          <w:lang w:eastAsia="zh-CN"/>
        </w:rPr>
        <w:t>估价对象</w:t>
      </w:r>
      <w:r>
        <w:rPr>
          <w:rFonts w:hint="eastAsia" w:hAnsi="宋体"/>
          <w:szCs w:val="28"/>
          <w:lang w:val="en-US" w:eastAsia="zh-CN"/>
        </w:rPr>
        <w:t>财产</w:t>
      </w:r>
      <w:r>
        <w:rPr>
          <w:rFonts w:hint="eastAsia" w:hAnsi="宋体"/>
          <w:szCs w:val="28"/>
          <w:lang w:eastAsia="zh-CN"/>
        </w:rPr>
        <w:t>范围包含房屋</w:t>
      </w:r>
      <w:r>
        <w:rPr>
          <w:rFonts w:hint="eastAsia" w:hAnsi="宋体"/>
          <w:szCs w:val="28"/>
          <w:lang w:val="en-US" w:eastAsia="zh-CN"/>
        </w:rPr>
        <w:t>所有</w:t>
      </w:r>
      <w:r>
        <w:rPr>
          <w:rFonts w:hint="eastAsia" w:hAnsi="宋体"/>
          <w:szCs w:val="28"/>
          <w:lang w:eastAsia="zh-CN"/>
        </w:rPr>
        <w:t>权及其对应分摊的国有建设用地使用权价值、室内装饰装修价值，但不包含</w:t>
      </w:r>
      <w:r>
        <w:rPr>
          <w:rFonts w:hint="eastAsia" w:ascii="Times New Roman" w:hAnsi="Times New Roman" w:eastAsia="宋体" w:cs="Times New Roman"/>
          <w:bCs/>
          <w:szCs w:val="28"/>
          <w:lang w:val="en-US" w:eastAsia="zh-CN"/>
        </w:rPr>
        <w:t>室内动产、债权债务等价值</w:t>
      </w:r>
      <w:r>
        <w:rPr>
          <w:rFonts w:hint="eastAsia" w:hAnsi="宋体"/>
          <w:szCs w:val="28"/>
          <w:lang w:eastAsia="zh-CN"/>
        </w:rPr>
        <w:t>。</w:t>
      </w:r>
    </w:p>
    <w:p>
      <w:pPr>
        <w:pStyle w:val="27"/>
        <w:numPr>
          <w:ilvl w:val="-1"/>
          <w:numId w:val="0"/>
        </w:numPr>
        <w:autoSpaceDE/>
        <w:autoSpaceDN/>
        <w:adjustRightInd/>
        <w:spacing w:before="156" w:beforeLines="50" w:after="156" w:afterLines="50" w:line="360" w:lineRule="auto"/>
        <w:ind w:left="560" w:leftChars="200" w:firstLine="0" w:firstLineChars="0"/>
        <w:jc w:val="both"/>
        <w:textAlignment w:val="auto"/>
        <w:rPr>
          <w:rFonts w:hint="eastAsia" w:ascii="Times New Roman" w:hAnsi="Times New Roman" w:eastAsia="宋体" w:cs="Times New Roman"/>
          <w:b/>
          <w:szCs w:val="28"/>
        </w:rPr>
      </w:pPr>
      <w:r>
        <w:rPr>
          <w:rFonts w:hint="eastAsia" w:ascii="Times New Roman" w:hAnsi="Times New Roman" w:eastAsia="宋体" w:cs="Times New Roman"/>
          <w:b/>
          <w:szCs w:val="28"/>
          <w:lang w:val="en-US" w:eastAsia="zh-CN"/>
        </w:rPr>
        <w:t>2、</w:t>
      </w:r>
      <w:r>
        <w:rPr>
          <w:rFonts w:hint="eastAsia" w:ascii="Times New Roman" w:hAnsi="Times New Roman" w:eastAsia="宋体" w:cs="Times New Roman"/>
          <w:b/>
          <w:szCs w:val="28"/>
        </w:rPr>
        <w:t>估价对象</w:t>
      </w:r>
      <w:r>
        <w:rPr>
          <w:rFonts w:hint="eastAsia" w:ascii="Times New Roman" w:hAnsi="Times New Roman" w:eastAsia="宋体" w:cs="Times New Roman"/>
          <w:b/>
          <w:szCs w:val="28"/>
          <w:lang w:val="en-US" w:eastAsia="zh-CN"/>
        </w:rPr>
        <w:t>基本</w:t>
      </w:r>
      <w:r>
        <w:rPr>
          <w:rFonts w:hint="eastAsia" w:ascii="Times New Roman" w:hAnsi="Times New Roman" w:eastAsia="宋体" w:cs="Times New Roman"/>
          <w:b/>
          <w:szCs w:val="28"/>
        </w:rPr>
        <w:t>状况</w:t>
      </w:r>
    </w:p>
    <w:p>
      <w:pPr>
        <w:pStyle w:val="27"/>
        <w:numPr>
          <w:ilvl w:val="0"/>
          <w:numId w:val="0"/>
        </w:numPr>
        <w:autoSpaceDE/>
        <w:autoSpaceDN/>
        <w:adjustRightInd/>
        <w:spacing w:before="156" w:beforeLines="50" w:after="156" w:afterLines="50" w:line="360" w:lineRule="auto"/>
        <w:ind w:firstLine="840" w:firstLineChars="300"/>
        <w:jc w:val="both"/>
        <w:textAlignment w:val="auto"/>
        <w:rPr>
          <w:rFonts w:hint="eastAsia" w:hAnsi="宋体"/>
          <w:sz w:val="28"/>
          <w:szCs w:val="28"/>
          <w:lang w:val="en-US" w:eastAsia="zh-CN"/>
        </w:rPr>
      </w:pPr>
      <w:r>
        <w:rPr>
          <w:rFonts w:hint="eastAsia" w:hAnsi="宋体"/>
          <w:sz w:val="28"/>
          <w:szCs w:val="28"/>
          <w:lang w:val="en-US" w:eastAsia="zh-CN"/>
        </w:rPr>
        <w:t>2.1建筑物基本情况</w:t>
      </w:r>
    </w:p>
    <w:tbl>
      <w:tblPr>
        <w:tblStyle w:val="17"/>
        <w:tblW w:w="9303"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615"/>
        <w:gridCol w:w="1916"/>
        <w:gridCol w:w="825"/>
        <w:gridCol w:w="765"/>
        <w:gridCol w:w="1080"/>
        <w:gridCol w:w="780"/>
        <w:gridCol w:w="1335"/>
        <w:gridCol w:w="690"/>
        <w:gridCol w:w="765"/>
        <w:gridCol w:w="53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jc w:val="center"/>
        </w:trPr>
        <w:tc>
          <w:tcPr>
            <w:tcW w:w="615"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序号</w:t>
            </w:r>
          </w:p>
        </w:tc>
        <w:tc>
          <w:tcPr>
            <w:tcW w:w="191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名称</w:t>
            </w:r>
          </w:p>
        </w:tc>
        <w:tc>
          <w:tcPr>
            <w:tcW w:w="82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权证编号</w:t>
            </w:r>
          </w:p>
        </w:tc>
        <w:tc>
          <w:tcPr>
            <w:tcW w:w="76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用途</w:t>
            </w:r>
          </w:p>
        </w:tc>
        <w:tc>
          <w:tcPr>
            <w:tcW w:w="108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建筑面积（㎡）</w:t>
            </w:r>
          </w:p>
        </w:tc>
        <w:tc>
          <w:tcPr>
            <w:tcW w:w="78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结构</w:t>
            </w:r>
          </w:p>
        </w:tc>
        <w:tc>
          <w:tcPr>
            <w:tcW w:w="133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设定设施设备</w:t>
            </w:r>
          </w:p>
        </w:tc>
        <w:tc>
          <w:tcPr>
            <w:tcW w:w="69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设定装饰装修</w:t>
            </w:r>
          </w:p>
        </w:tc>
        <w:tc>
          <w:tcPr>
            <w:tcW w:w="76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新旧程度</w:t>
            </w:r>
          </w:p>
        </w:tc>
        <w:tc>
          <w:tcPr>
            <w:tcW w:w="53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jc w:val="center"/>
        </w:trPr>
        <w:tc>
          <w:tcPr>
            <w:tcW w:w="615"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p>
        </w:tc>
        <w:tc>
          <w:tcPr>
            <w:tcW w:w="191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p>
        </w:tc>
        <w:tc>
          <w:tcPr>
            <w:tcW w:w="82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p>
        </w:tc>
        <w:tc>
          <w:tcPr>
            <w:tcW w:w="76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p>
        </w:tc>
        <w:tc>
          <w:tcPr>
            <w:tcW w:w="10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p>
        </w:tc>
        <w:tc>
          <w:tcPr>
            <w:tcW w:w="7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p>
        </w:tc>
        <w:tc>
          <w:tcPr>
            <w:tcW w:w="133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p>
        </w:tc>
        <w:tc>
          <w:tcPr>
            <w:tcW w:w="69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p>
        </w:tc>
        <w:tc>
          <w:tcPr>
            <w:tcW w:w="76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p>
        </w:tc>
        <w:tc>
          <w:tcPr>
            <w:tcW w:w="53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jc w:val="center"/>
        </w:trPr>
        <w:tc>
          <w:tcPr>
            <w:tcW w:w="61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1</w:t>
            </w:r>
          </w:p>
        </w:tc>
        <w:tc>
          <w:tcPr>
            <w:tcW w:w="191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北港兴城（一期）2、3、5栋（2）1单元12层1号</w:t>
            </w:r>
          </w:p>
        </w:tc>
        <w:tc>
          <w:tcPr>
            <w:tcW w:w="82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w:t>
            </w:r>
          </w:p>
        </w:tc>
        <w:tc>
          <w:tcPr>
            <w:tcW w:w="76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住宅</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147.29</w:t>
            </w:r>
          </w:p>
        </w:tc>
        <w:tc>
          <w:tcPr>
            <w:tcW w:w="7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框架结构</w:t>
            </w:r>
          </w:p>
        </w:tc>
        <w:tc>
          <w:tcPr>
            <w:tcW w:w="133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水电、消防、电梯等设施设备齐全</w:t>
            </w:r>
          </w:p>
        </w:tc>
        <w:tc>
          <w:tcPr>
            <w:tcW w:w="6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毛坯</w:t>
            </w:r>
          </w:p>
        </w:tc>
        <w:tc>
          <w:tcPr>
            <w:tcW w:w="76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新</w:t>
            </w:r>
          </w:p>
        </w:tc>
        <w:tc>
          <w:tcPr>
            <w:tcW w:w="53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jc w:val="center"/>
        </w:trPr>
        <w:tc>
          <w:tcPr>
            <w:tcW w:w="61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2</w:t>
            </w:r>
          </w:p>
        </w:tc>
        <w:tc>
          <w:tcPr>
            <w:tcW w:w="191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北港兴城（一期）2、3、5栋（2）1单元12层2号</w:t>
            </w:r>
          </w:p>
        </w:tc>
        <w:tc>
          <w:tcPr>
            <w:tcW w:w="82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w:t>
            </w:r>
          </w:p>
        </w:tc>
        <w:tc>
          <w:tcPr>
            <w:tcW w:w="76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住宅</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108.42</w:t>
            </w:r>
          </w:p>
        </w:tc>
        <w:tc>
          <w:tcPr>
            <w:tcW w:w="7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框架结构</w:t>
            </w:r>
          </w:p>
        </w:tc>
        <w:tc>
          <w:tcPr>
            <w:tcW w:w="133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水电、消防、电梯等设施设备齐全</w:t>
            </w:r>
          </w:p>
        </w:tc>
        <w:tc>
          <w:tcPr>
            <w:tcW w:w="6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毛坯</w:t>
            </w:r>
          </w:p>
        </w:tc>
        <w:tc>
          <w:tcPr>
            <w:tcW w:w="76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新</w:t>
            </w:r>
          </w:p>
        </w:tc>
        <w:tc>
          <w:tcPr>
            <w:tcW w:w="53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jc w:val="center"/>
        </w:trPr>
        <w:tc>
          <w:tcPr>
            <w:tcW w:w="61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3</w:t>
            </w:r>
          </w:p>
        </w:tc>
        <w:tc>
          <w:tcPr>
            <w:tcW w:w="191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北港兴城（一期）2、3、5栋（2）1单元12层3号</w:t>
            </w:r>
          </w:p>
        </w:tc>
        <w:tc>
          <w:tcPr>
            <w:tcW w:w="82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w:t>
            </w:r>
          </w:p>
        </w:tc>
        <w:tc>
          <w:tcPr>
            <w:tcW w:w="76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住宅</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108.42</w:t>
            </w:r>
          </w:p>
        </w:tc>
        <w:tc>
          <w:tcPr>
            <w:tcW w:w="7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框架结构</w:t>
            </w:r>
          </w:p>
        </w:tc>
        <w:tc>
          <w:tcPr>
            <w:tcW w:w="133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水电、消防、电梯等设施设备齐全</w:t>
            </w:r>
          </w:p>
        </w:tc>
        <w:tc>
          <w:tcPr>
            <w:tcW w:w="6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毛坯</w:t>
            </w:r>
          </w:p>
        </w:tc>
        <w:tc>
          <w:tcPr>
            <w:tcW w:w="76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新</w:t>
            </w:r>
          </w:p>
        </w:tc>
        <w:tc>
          <w:tcPr>
            <w:tcW w:w="53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jc w:val="center"/>
        </w:trPr>
        <w:tc>
          <w:tcPr>
            <w:tcW w:w="61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4</w:t>
            </w:r>
          </w:p>
        </w:tc>
        <w:tc>
          <w:tcPr>
            <w:tcW w:w="191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北港兴城（一期）2、3、5栋（2）1单元12层4号</w:t>
            </w:r>
          </w:p>
        </w:tc>
        <w:tc>
          <w:tcPr>
            <w:tcW w:w="82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w:t>
            </w:r>
          </w:p>
        </w:tc>
        <w:tc>
          <w:tcPr>
            <w:tcW w:w="76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住宅</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147.89</w:t>
            </w:r>
          </w:p>
        </w:tc>
        <w:tc>
          <w:tcPr>
            <w:tcW w:w="7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框架结构</w:t>
            </w:r>
          </w:p>
        </w:tc>
        <w:tc>
          <w:tcPr>
            <w:tcW w:w="133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水电、消防、电梯等设施设备齐全</w:t>
            </w:r>
          </w:p>
        </w:tc>
        <w:tc>
          <w:tcPr>
            <w:tcW w:w="6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毛坯</w:t>
            </w:r>
          </w:p>
        </w:tc>
        <w:tc>
          <w:tcPr>
            <w:tcW w:w="76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新</w:t>
            </w:r>
          </w:p>
        </w:tc>
        <w:tc>
          <w:tcPr>
            <w:tcW w:w="53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jc w:val="center"/>
        </w:trPr>
        <w:tc>
          <w:tcPr>
            <w:tcW w:w="61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5</w:t>
            </w:r>
          </w:p>
        </w:tc>
        <w:tc>
          <w:tcPr>
            <w:tcW w:w="191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北港兴城（一期）2、3、5栋（2）1单元13层1号</w:t>
            </w:r>
          </w:p>
        </w:tc>
        <w:tc>
          <w:tcPr>
            <w:tcW w:w="82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w:t>
            </w:r>
          </w:p>
        </w:tc>
        <w:tc>
          <w:tcPr>
            <w:tcW w:w="76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住宅</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147.29</w:t>
            </w:r>
          </w:p>
        </w:tc>
        <w:tc>
          <w:tcPr>
            <w:tcW w:w="7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框架结构</w:t>
            </w:r>
          </w:p>
        </w:tc>
        <w:tc>
          <w:tcPr>
            <w:tcW w:w="133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水电、消防、电梯等设施设备齐全</w:t>
            </w:r>
          </w:p>
        </w:tc>
        <w:tc>
          <w:tcPr>
            <w:tcW w:w="6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毛坯</w:t>
            </w:r>
          </w:p>
        </w:tc>
        <w:tc>
          <w:tcPr>
            <w:tcW w:w="76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新</w:t>
            </w:r>
          </w:p>
        </w:tc>
        <w:tc>
          <w:tcPr>
            <w:tcW w:w="53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jc w:val="center"/>
        </w:trPr>
        <w:tc>
          <w:tcPr>
            <w:tcW w:w="61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6</w:t>
            </w:r>
          </w:p>
        </w:tc>
        <w:tc>
          <w:tcPr>
            <w:tcW w:w="191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北港兴城（一期）2、3、5栋（2）1单元13层2号</w:t>
            </w:r>
          </w:p>
        </w:tc>
        <w:tc>
          <w:tcPr>
            <w:tcW w:w="82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w:t>
            </w:r>
          </w:p>
        </w:tc>
        <w:tc>
          <w:tcPr>
            <w:tcW w:w="76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住宅</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108.42</w:t>
            </w:r>
          </w:p>
        </w:tc>
        <w:tc>
          <w:tcPr>
            <w:tcW w:w="7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框架结构</w:t>
            </w:r>
          </w:p>
        </w:tc>
        <w:tc>
          <w:tcPr>
            <w:tcW w:w="133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水电、消防、电梯等设施设备齐全</w:t>
            </w:r>
          </w:p>
        </w:tc>
        <w:tc>
          <w:tcPr>
            <w:tcW w:w="6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毛坯</w:t>
            </w:r>
          </w:p>
        </w:tc>
        <w:tc>
          <w:tcPr>
            <w:tcW w:w="76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新</w:t>
            </w:r>
          </w:p>
        </w:tc>
        <w:tc>
          <w:tcPr>
            <w:tcW w:w="53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jc w:val="center"/>
        </w:trPr>
        <w:tc>
          <w:tcPr>
            <w:tcW w:w="61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7</w:t>
            </w:r>
          </w:p>
        </w:tc>
        <w:tc>
          <w:tcPr>
            <w:tcW w:w="191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北港兴城（一期）2、3、5栋（2）1单元13层3号</w:t>
            </w:r>
          </w:p>
        </w:tc>
        <w:tc>
          <w:tcPr>
            <w:tcW w:w="82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w:t>
            </w:r>
          </w:p>
        </w:tc>
        <w:tc>
          <w:tcPr>
            <w:tcW w:w="76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住宅</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108.42</w:t>
            </w:r>
          </w:p>
        </w:tc>
        <w:tc>
          <w:tcPr>
            <w:tcW w:w="7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框架结构</w:t>
            </w:r>
          </w:p>
        </w:tc>
        <w:tc>
          <w:tcPr>
            <w:tcW w:w="133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水电、消防、电梯等设施设备齐全</w:t>
            </w:r>
          </w:p>
        </w:tc>
        <w:tc>
          <w:tcPr>
            <w:tcW w:w="6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毛坯</w:t>
            </w:r>
          </w:p>
        </w:tc>
        <w:tc>
          <w:tcPr>
            <w:tcW w:w="76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新</w:t>
            </w:r>
          </w:p>
        </w:tc>
        <w:tc>
          <w:tcPr>
            <w:tcW w:w="53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jc w:val="center"/>
        </w:trPr>
        <w:tc>
          <w:tcPr>
            <w:tcW w:w="61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8</w:t>
            </w:r>
          </w:p>
        </w:tc>
        <w:tc>
          <w:tcPr>
            <w:tcW w:w="191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北港兴城（一期）2、3、5栋（2）1单元13层4号</w:t>
            </w:r>
          </w:p>
        </w:tc>
        <w:tc>
          <w:tcPr>
            <w:tcW w:w="82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w:t>
            </w:r>
          </w:p>
        </w:tc>
        <w:tc>
          <w:tcPr>
            <w:tcW w:w="76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住宅</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147.89</w:t>
            </w:r>
          </w:p>
        </w:tc>
        <w:tc>
          <w:tcPr>
            <w:tcW w:w="7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框架结构</w:t>
            </w:r>
          </w:p>
        </w:tc>
        <w:tc>
          <w:tcPr>
            <w:tcW w:w="133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水电、消防、电梯等设施设备齐全</w:t>
            </w:r>
          </w:p>
        </w:tc>
        <w:tc>
          <w:tcPr>
            <w:tcW w:w="6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毛坯</w:t>
            </w:r>
          </w:p>
        </w:tc>
        <w:tc>
          <w:tcPr>
            <w:tcW w:w="76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新</w:t>
            </w:r>
          </w:p>
        </w:tc>
        <w:tc>
          <w:tcPr>
            <w:tcW w:w="53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jc w:val="center"/>
        </w:trPr>
        <w:tc>
          <w:tcPr>
            <w:tcW w:w="61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9</w:t>
            </w:r>
          </w:p>
        </w:tc>
        <w:tc>
          <w:tcPr>
            <w:tcW w:w="191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北港兴城（一期）2、3、5栋（2）1单元14层1号</w:t>
            </w:r>
          </w:p>
        </w:tc>
        <w:tc>
          <w:tcPr>
            <w:tcW w:w="82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w:t>
            </w:r>
          </w:p>
        </w:tc>
        <w:tc>
          <w:tcPr>
            <w:tcW w:w="76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住宅</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147.29</w:t>
            </w:r>
          </w:p>
        </w:tc>
        <w:tc>
          <w:tcPr>
            <w:tcW w:w="7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框架结构</w:t>
            </w:r>
          </w:p>
        </w:tc>
        <w:tc>
          <w:tcPr>
            <w:tcW w:w="133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水电、消防、电梯等设施设备齐全</w:t>
            </w:r>
          </w:p>
        </w:tc>
        <w:tc>
          <w:tcPr>
            <w:tcW w:w="6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毛坯</w:t>
            </w:r>
          </w:p>
        </w:tc>
        <w:tc>
          <w:tcPr>
            <w:tcW w:w="76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新</w:t>
            </w:r>
          </w:p>
        </w:tc>
        <w:tc>
          <w:tcPr>
            <w:tcW w:w="53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jc w:val="center"/>
        </w:trPr>
        <w:tc>
          <w:tcPr>
            <w:tcW w:w="61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10</w:t>
            </w:r>
          </w:p>
        </w:tc>
        <w:tc>
          <w:tcPr>
            <w:tcW w:w="191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北港兴城（一期）2、3、5栋（2）1单元14层2号</w:t>
            </w:r>
          </w:p>
        </w:tc>
        <w:tc>
          <w:tcPr>
            <w:tcW w:w="82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w:t>
            </w:r>
          </w:p>
        </w:tc>
        <w:tc>
          <w:tcPr>
            <w:tcW w:w="76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住宅</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108.42</w:t>
            </w:r>
          </w:p>
        </w:tc>
        <w:tc>
          <w:tcPr>
            <w:tcW w:w="7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框架结构</w:t>
            </w:r>
          </w:p>
        </w:tc>
        <w:tc>
          <w:tcPr>
            <w:tcW w:w="133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水电、消防、电梯等设施设备齐全</w:t>
            </w:r>
          </w:p>
        </w:tc>
        <w:tc>
          <w:tcPr>
            <w:tcW w:w="6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毛坯</w:t>
            </w:r>
          </w:p>
        </w:tc>
        <w:tc>
          <w:tcPr>
            <w:tcW w:w="76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新</w:t>
            </w:r>
          </w:p>
        </w:tc>
        <w:tc>
          <w:tcPr>
            <w:tcW w:w="53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jc w:val="center"/>
        </w:trPr>
        <w:tc>
          <w:tcPr>
            <w:tcW w:w="61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11</w:t>
            </w:r>
          </w:p>
        </w:tc>
        <w:tc>
          <w:tcPr>
            <w:tcW w:w="191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北港兴城（一期）2、3、5栋（2）1单元14层3号</w:t>
            </w:r>
          </w:p>
        </w:tc>
        <w:tc>
          <w:tcPr>
            <w:tcW w:w="82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w:t>
            </w:r>
          </w:p>
        </w:tc>
        <w:tc>
          <w:tcPr>
            <w:tcW w:w="76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住宅</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108.42</w:t>
            </w:r>
          </w:p>
        </w:tc>
        <w:tc>
          <w:tcPr>
            <w:tcW w:w="7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框架结构</w:t>
            </w:r>
          </w:p>
        </w:tc>
        <w:tc>
          <w:tcPr>
            <w:tcW w:w="133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水电、消防、电梯等设施设备齐全</w:t>
            </w:r>
          </w:p>
        </w:tc>
        <w:tc>
          <w:tcPr>
            <w:tcW w:w="6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毛坯</w:t>
            </w:r>
          </w:p>
        </w:tc>
        <w:tc>
          <w:tcPr>
            <w:tcW w:w="76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新</w:t>
            </w:r>
          </w:p>
        </w:tc>
        <w:tc>
          <w:tcPr>
            <w:tcW w:w="53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jc w:val="center"/>
        </w:trPr>
        <w:tc>
          <w:tcPr>
            <w:tcW w:w="61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12</w:t>
            </w:r>
          </w:p>
        </w:tc>
        <w:tc>
          <w:tcPr>
            <w:tcW w:w="191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北港兴城（一期）2、3、5栋（2）1单元14层4号</w:t>
            </w:r>
          </w:p>
        </w:tc>
        <w:tc>
          <w:tcPr>
            <w:tcW w:w="82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w:t>
            </w:r>
          </w:p>
        </w:tc>
        <w:tc>
          <w:tcPr>
            <w:tcW w:w="76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住宅</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147.89</w:t>
            </w:r>
          </w:p>
        </w:tc>
        <w:tc>
          <w:tcPr>
            <w:tcW w:w="7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框架结构</w:t>
            </w:r>
          </w:p>
        </w:tc>
        <w:tc>
          <w:tcPr>
            <w:tcW w:w="133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水电、消防、电梯等设施设备齐全</w:t>
            </w:r>
          </w:p>
        </w:tc>
        <w:tc>
          <w:tcPr>
            <w:tcW w:w="6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毛坯</w:t>
            </w:r>
          </w:p>
        </w:tc>
        <w:tc>
          <w:tcPr>
            <w:tcW w:w="76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新</w:t>
            </w:r>
          </w:p>
        </w:tc>
        <w:tc>
          <w:tcPr>
            <w:tcW w:w="53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jc w:val="center"/>
        </w:trPr>
        <w:tc>
          <w:tcPr>
            <w:tcW w:w="61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13</w:t>
            </w:r>
          </w:p>
        </w:tc>
        <w:tc>
          <w:tcPr>
            <w:tcW w:w="191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北港兴城（一期）2、3、5栋（2）1单元15层1号</w:t>
            </w:r>
          </w:p>
        </w:tc>
        <w:tc>
          <w:tcPr>
            <w:tcW w:w="82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w:t>
            </w:r>
          </w:p>
        </w:tc>
        <w:tc>
          <w:tcPr>
            <w:tcW w:w="76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住宅</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147.29</w:t>
            </w:r>
          </w:p>
        </w:tc>
        <w:tc>
          <w:tcPr>
            <w:tcW w:w="7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框架结构</w:t>
            </w:r>
          </w:p>
        </w:tc>
        <w:tc>
          <w:tcPr>
            <w:tcW w:w="133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水电、消防、电梯等设施设备齐全</w:t>
            </w:r>
          </w:p>
        </w:tc>
        <w:tc>
          <w:tcPr>
            <w:tcW w:w="6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毛坯</w:t>
            </w:r>
          </w:p>
        </w:tc>
        <w:tc>
          <w:tcPr>
            <w:tcW w:w="76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新</w:t>
            </w:r>
          </w:p>
        </w:tc>
        <w:tc>
          <w:tcPr>
            <w:tcW w:w="53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jc w:val="center"/>
        </w:trPr>
        <w:tc>
          <w:tcPr>
            <w:tcW w:w="61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14</w:t>
            </w:r>
          </w:p>
        </w:tc>
        <w:tc>
          <w:tcPr>
            <w:tcW w:w="191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北港兴城（一期）2、3、5栋（2）1单元15层2号</w:t>
            </w:r>
          </w:p>
        </w:tc>
        <w:tc>
          <w:tcPr>
            <w:tcW w:w="82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w:t>
            </w:r>
          </w:p>
        </w:tc>
        <w:tc>
          <w:tcPr>
            <w:tcW w:w="76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住宅</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108.42</w:t>
            </w:r>
          </w:p>
        </w:tc>
        <w:tc>
          <w:tcPr>
            <w:tcW w:w="7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框架结构</w:t>
            </w:r>
          </w:p>
        </w:tc>
        <w:tc>
          <w:tcPr>
            <w:tcW w:w="133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水电、消防、电梯等设施设备齐全</w:t>
            </w:r>
          </w:p>
        </w:tc>
        <w:tc>
          <w:tcPr>
            <w:tcW w:w="6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毛坯</w:t>
            </w:r>
          </w:p>
        </w:tc>
        <w:tc>
          <w:tcPr>
            <w:tcW w:w="76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新</w:t>
            </w:r>
          </w:p>
        </w:tc>
        <w:tc>
          <w:tcPr>
            <w:tcW w:w="53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jc w:val="center"/>
        </w:trPr>
        <w:tc>
          <w:tcPr>
            <w:tcW w:w="61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15</w:t>
            </w:r>
          </w:p>
        </w:tc>
        <w:tc>
          <w:tcPr>
            <w:tcW w:w="191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北港兴城（一期）2、3、5栋（2）1单元15层3号</w:t>
            </w:r>
          </w:p>
        </w:tc>
        <w:tc>
          <w:tcPr>
            <w:tcW w:w="82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w:t>
            </w:r>
          </w:p>
        </w:tc>
        <w:tc>
          <w:tcPr>
            <w:tcW w:w="76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住宅</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108.42</w:t>
            </w:r>
          </w:p>
        </w:tc>
        <w:tc>
          <w:tcPr>
            <w:tcW w:w="7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框架结构</w:t>
            </w:r>
          </w:p>
        </w:tc>
        <w:tc>
          <w:tcPr>
            <w:tcW w:w="133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水电、消防、电梯等设施设备齐全</w:t>
            </w:r>
          </w:p>
        </w:tc>
        <w:tc>
          <w:tcPr>
            <w:tcW w:w="6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毛坯</w:t>
            </w:r>
          </w:p>
        </w:tc>
        <w:tc>
          <w:tcPr>
            <w:tcW w:w="76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新</w:t>
            </w:r>
          </w:p>
        </w:tc>
        <w:tc>
          <w:tcPr>
            <w:tcW w:w="53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jc w:val="center"/>
        </w:trPr>
        <w:tc>
          <w:tcPr>
            <w:tcW w:w="61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16</w:t>
            </w:r>
          </w:p>
        </w:tc>
        <w:tc>
          <w:tcPr>
            <w:tcW w:w="191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北港兴城（一期）2、3、5栋（2）1单元15层4号</w:t>
            </w:r>
          </w:p>
        </w:tc>
        <w:tc>
          <w:tcPr>
            <w:tcW w:w="82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w:t>
            </w:r>
          </w:p>
        </w:tc>
        <w:tc>
          <w:tcPr>
            <w:tcW w:w="76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住宅</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147.89</w:t>
            </w:r>
          </w:p>
        </w:tc>
        <w:tc>
          <w:tcPr>
            <w:tcW w:w="7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框架结构</w:t>
            </w:r>
          </w:p>
        </w:tc>
        <w:tc>
          <w:tcPr>
            <w:tcW w:w="133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水电、消防、电梯等设施设备齐全</w:t>
            </w:r>
          </w:p>
        </w:tc>
        <w:tc>
          <w:tcPr>
            <w:tcW w:w="6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毛坯</w:t>
            </w:r>
          </w:p>
        </w:tc>
        <w:tc>
          <w:tcPr>
            <w:tcW w:w="76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新</w:t>
            </w:r>
          </w:p>
        </w:tc>
        <w:tc>
          <w:tcPr>
            <w:tcW w:w="53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jc w:val="center"/>
        </w:trPr>
        <w:tc>
          <w:tcPr>
            <w:tcW w:w="61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17</w:t>
            </w:r>
          </w:p>
        </w:tc>
        <w:tc>
          <w:tcPr>
            <w:tcW w:w="191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北港兴城（一期）2、3、5栋（2）1单元16层1号</w:t>
            </w:r>
          </w:p>
        </w:tc>
        <w:tc>
          <w:tcPr>
            <w:tcW w:w="82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w:t>
            </w:r>
          </w:p>
        </w:tc>
        <w:tc>
          <w:tcPr>
            <w:tcW w:w="76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住宅</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147.29</w:t>
            </w:r>
          </w:p>
        </w:tc>
        <w:tc>
          <w:tcPr>
            <w:tcW w:w="7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框架结构</w:t>
            </w:r>
          </w:p>
        </w:tc>
        <w:tc>
          <w:tcPr>
            <w:tcW w:w="133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水电、消防、电梯等设施设备齐全</w:t>
            </w:r>
          </w:p>
        </w:tc>
        <w:tc>
          <w:tcPr>
            <w:tcW w:w="6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毛坯</w:t>
            </w:r>
          </w:p>
        </w:tc>
        <w:tc>
          <w:tcPr>
            <w:tcW w:w="76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新</w:t>
            </w:r>
          </w:p>
        </w:tc>
        <w:tc>
          <w:tcPr>
            <w:tcW w:w="53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jc w:val="center"/>
        </w:trPr>
        <w:tc>
          <w:tcPr>
            <w:tcW w:w="61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18</w:t>
            </w:r>
          </w:p>
        </w:tc>
        <w:tc>
          <w:tcPr>
            <w:tcW w:w="191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北港兴城（一期）2、3、5栋（2）1单元16层2号</w:t>
            </w:r>
          </w:p>
        </w:tc>
        <w:tc>
          <w:tcPr>
            <w:tcW w:w="82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w:t>
            </w:r>
          </w:p>
        </w:tc>
        <w:tc>
          <w:tcPr>
            <w:tcW w:w="76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住宅</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108.42</w:t>
            </w:r>
          </w:p>
        </w:tc>
        <w:tc>
          <w:tcPr>
            <w:tcW w:w="7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框架结构</w:t>
            </w:r>
          </w:p>
        </w:tc>
        <w:tc>
          <w:tcPr>
            <w:tcW w:w="133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水电、消防、电梯等设施设备齐全</w:t>
            </w:r>
          </w:p>
        </w:tc>
        <w:tc>
          <w:tcPr>
            <w:tcW w:w="6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毛坯</w:t>
            </w:r>
          </w:p>
        </w:tc>
        <w:tc>
          <w:tcPr>
            <w:tcW w:w="76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新</w:t>
            </w:r>
          </w:p>
        </w:tc>
        <w:tc>
          <w:tcPr>
            <w:tcW w:w="53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jc w:val="center"/>
        </w:trPr>
        <w:tc>
          <w:tcPr>
            <w:tcW w:w="61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19</w:t>
            </w:r>
          </w:p>
        </w:tc>
        <w:tc>
          <w:tcPr>
            <w:tcW w:w="191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北港兴城（一期）2、3、5栋（2）1单元16层3号</w:t>
            </w:r>
          </w:p>
        </w:tc>
        <w:tc>
          <w:tcPr>
            <w:tcW w:w="82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w:t>
            </w:r>
          </w:p>
        </w:tc>
        <w:tc>
          <w:tcPr>
            <w:tcW w:w="76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住宅</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108.42</w:t>
            </w:r>
          </w:p>
        </w:tc>
        <w:tc>
          <w:tcPr>
            <w:tcW w:w="7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框架结构</w:t>
            </w:r>
          </w:p>
        </w:tc>
        <w:tc>
          <w:tcPr>
            <w:tcW w:w="133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水电、消防、电梯等设施设备齐全</w:t>
            </w:r>
          </w:p>
        </w:tc>
        <w:tc>
          <w:tcPr>
            <w:tcW w:w="6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毛坯</w:t>
            </w:r>
          </w:p>
        </w:tc>
        <w:tc>
          <w:tcPr>
            <w:tcW w:w="76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新</w:t>
            </w:r>
          </w:p>
        </w:tc>
        <w:tc>
          <w:tcPr>
            <w:tcW w:w="53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jc w:val="center"/>
        </w:trPr>
        <w:tc>
          <w:tcPr>
            <w:tcW w:w="61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20</w:t>
            </w:r>
          </w:p>
        </w:tc>
        <w:tc>
          <w:tcPr>
            <w:tcW w:w="191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北港兴城（一期）2、3、5栋（2）1单元16层4号</w:t>
            </w:r>
          </w:p>
        </w:tc>
        <w:tc>
          <w:tcPr>
            <w:tcW w:w="82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w:t>
            </w:r>
          </w:p>
        </w:tc>
        <w:tc>
          <w:tcPr>
            <w:tcW w:w="76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住宅</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147.89</w:t>
            </w:r>
          </w:p>
        </w:tc>
        <w:tc>
          <w:tcPr>
            <w:tcW w:w="7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框架结构</w:t>
            </w:r>
          </w:p>
        </w:tc>
        <w:tc>
          <w:tcPr>
            <w:tcW w:w="133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水电、消防、电梯等设施设备齐全</w:t>
            </w:r>
          </w:p>
        </w:tc>
        <w:tc>
          <w:tcPr>
            <w:tcW w:w="6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毛坯</w:t>
            </w:r>
          </w:p>
        </w:tc>
        <w:tc>
          <w:tcPr>
            <w:tcW w:w="76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新</w:t>
            </w:r>
          </w:p>
        </w:tc>
        <w:tc>
          <w:tcPr>
            <w:tcW w:w="53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jc w:val="center"/>
        </w:trPr>
        <w:tc>
          <w:tcPr>
            <w:tcW w:w="61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21</w:t>
            </w:r>
          </w:p>
        </w:tc>
        <w:tc>
          <w:tcPr>
            <w:tcW w:w="191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北港兴城（一期）2、3、5栋（2）1单元17层1号</w:t>
            </w:r>
          </w:p>
        </w:tc>
        <w:tc>
          <w:tcPr>
            <w:tcW w:w="82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w:t>
            </w:r>
          </w:p>
        </w:tc>
        <w:tc>
          <w:tcPr>
            <w:tcW w:w="76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住宅</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147.29</w:t>
            </w:r>
          </w:p>
        </w:tc>
        <w:tc>
          <w:tcPr>
            <w:tcW w:w="7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框架结构</w:t>
            </w:r>
          </w:p>
        </w:tc>
        <w:tc>
          <w:tcPr>
            <w:tcW w:w="133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水电、消防、电梯等设施设备齐全</w:t>
            </w:r>
          </w:p>
        </w:tc>
        <w:tc>
          <w:tcPr>
            <w:tcW w:w="6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毛坯</w:t>
            </w:r>
          </w:p>
        </w:tc>
        <w:tc>
          <w:tcPr>
            <w:tcW w:w="76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新</w:t>
            </w:r>
          </w:p>
        </w:tc>
        <w:tc>
          <w:tcPr>
            <w:tcW w:w="53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jc w:val="center"/>
        </w:trPr>
        <w:tc>
          <w:tcPr>
            <w:tcW w:w="61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22</w:t>
            </w:r>
          </w:p>
        </w:tc>
        <w:tc>
          <w:tcPr>
            <w:tcW w:w="191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北港兴城（一期）2、3、5栋（2）1单元17层2号</w:t>
            </w:r>
          </w:p>
        </w:tc>
        <w:tc>
          <w:tcPr>
            <w:tcW w:w="82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w:t>
            </w:r>
          </w:p>
        </w:tc>
        <w:tc>
          <w:tcPr>
            <w:tcW w:w="76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住宅</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108.42</w:t>
            </w:r>
          </w:p>
        </w:tc>
        <w:tc>
          <w:tcPr>
            <w:tcW w:w="7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框架结构</w:t>
            </w:r>
          </w:p>
        </w:tc>
        <w:tc>
          <w:tcPr>
            <w:tcW w:w="133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水电、消防、电梯等设施设备齐全</w:t>
            </w:r>
          </w:p>
        </w:tc>
        <w:tc>
          <w:tcPr>
            <w:tcW w:w="6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毛坯</w:t>
            </w:r>
          </w:p>
        </w:tc>
        <w:tc>
          <w:tcPr>
            <w:tcW w:w="76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新</w:t>
            </w:r>
          </w:p>
        </w:tc>
        <w:tc>
          <w:tcPr>
            <w:tcW w:w="53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jc w:val="center"/>
        </w:trPr>
        <w:tc>
          <w:tcPr>
            <w:tcW w:w="61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23</w:t>
            </w:r>
          </w:p>
        </w:tc>
        <w:tc>
          <w:tcPr>
            <w:tcW w:w="191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北港兴城（一期）2、3、5栋（2）1单元17层3号</w:t>
            </w:r>
          </w:p>
        </w:tc>
        <w:tc>
          <w:tcPr>
            <w:tcW w:w="82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w:t>
            </w:r>
          </w:p>
        </w:tc>
        <w:tc>
          <w:tcPr>
            <w:tcW w:w="76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住宅</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108.42</w:t>
            </w:r>
          </w:p>
        </w:tc>
        <w:tc>
          <w:tcPr>
            <w:tcW w:w="7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框架结构</w:t>
            </w:r>
          </w:p>
        </w:tc>
        <w:tc>
          <w:tcPr>
            <w:tcW w:w="133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水电、消防、电梯等设施设备齐全</w:t>
            </w:r>
          </w:p>
        </w:tc>
        <w:tc>
          <w:tcPr>
            <w:tcW w:w="6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毛坯</w:t>
            </w:r>
          </w:p>
        </w:tc>
        <w:tc>
          <w:tcPr>
            <w:tcW w:w="76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新</w:t>
            </w:r>
          </w:p>
        </w:tc>
        <w:tc>
          <w:tcPr>
            <w:tcW w:w="53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jc w:val="center"/>
        </w:trPr>
        <w:tc>
          <w:tcPr>
            <w:tcW w:w="61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24</w:t>
            </w:r>
          </w:p>
        </w:tc>
        <w:tc>
          <w:tcPr>
            <w:tcW w:w="191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北港兴城（一期）2、3、5栋（2）1单元17层4号</w:t>
            </w:r>
          </w:p>
        </w:tc>
        <w:tc>
          <w:tcPr>
            <w:tcW w:w="82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w:t>
            </w:r>
          </w:p>
        </w:tc>
        <w:tc>
          <w:tcPr>
            <w:tcW w:w="76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住宅</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147.89</w:t>
            </w:r>
          </w:p>
        </w:tc>
        <w:tc>
          <w:tcPr>
            <w:tcW w:w="7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框架结构</w:t>
            </w:r>
          </w:p>
        </w:tc>
        <w:tc>
          <w:tcPr>
            <w:tcW w:w="133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水电、消防、电梯等设施设备齐全</w:t>
            </w:r>
          </w:p>
        </w:tc>
        <w:tc>
          <w:tcPr>
            <w:tcW w:w="6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毛坯</w:t>
            </w:r>
          </w:p>
        </w:tc>
        <w:tc>
          <w:tcPr>
            <w:tcW w:w="76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新</w:t>
            </w:r>
          </w:p>
        </w:tc>
        <w:tc>
          <w:tcPr>
            <w:tcW w:w="53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jc w:val="center"/>
        </w:trPr>
        <w:tc>
          <w:tcPr>
            <w:tcW w:w="61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25</w:t>
            </w:r>
          </w:p>
        </w:tc>
        <w:tc>
          <w:tcPr>
            <w:tcW w:w="191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北港兴城（一期）2、3、5栋（2）1单元18层1号</w:t>
            </w:r>
          </w:p>
        </w:tc>
        <w:tc>
          <w:tcPr>
            <w:tcW w:w="82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w:t>
            </w:r>
          </w:p>
        </w:tc>
        <w:tc>
          <w:tcPr>
            <w:tcW w:w="76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住宅</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147.29</w:t>
            </w:r>
          </w:p>
        </w:tc>
        <w:tc>
          <w:tcPr>
            <w:tcW w:w="7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框架结构</w:t>
            </w:r>
          </w:p>
        </w:tc>
        <w:tc>
          <w:tcPr>
            <w:tcW w:w="133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水电、消防、电梯等设施设备齐全</w:t>
            </w:r>
          </w:p>
        </w:tc>
        <w:tc>
          <w:tcPr>
            <w:tcW w:w="6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毛坯</w:t>
            </w:r>
          </w:p>
        </w:tc>
        <w:tc>
          <w:tcPr>
            <w:tcW w:w="76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新</w:t>
            </w:r>
          </w:p>
        </w:tc>
        <w:tc>
          <w:tcPr>
            <w:tcW w:w="53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jc w:val="center"/>
        </w:trPr>
        <w:tc>
          <w:tcPr>
            <w:tcW w:w="61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26</w:t>
            </w:r>
          </w:p>
        </w:tc>
        <w:tc>
          <w:tcPr>
            <w:tcW w:w="191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北港兴城（一期）2、3、5栋（2）1单元18层2号</w:t>
            </w:r>
          </w:p>
        </w:tc>
        <w:tc>
          <w:tcPr>
            <w:tcW w:w="82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w:t>
            </w:r>
          </w:p>
        </w:tc>
        <w:tc>
          <w:tcPr>
            <w:tcW w:w="76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住宅</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108.42</w:t>
            </w:r>
          </w:p>
        </w:tc>
        <w:tc>
          <w:tcPr>
            <w:tcW w:w="7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框架结构</w:t>
            </w:r>
          </w:p>
        </w:tc>
        <w:tc>
          <w:tcPr>
            <w:tcW w:w="133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水电、消防、电梯等设施设备齐全</w:t>
            </w:r>
          </w:p>
        </w:tc>
        <w:tc>
          <w:tcPr>
            <w:tcW w:w="6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毛坯</w:t>
            </w:r>
          </w:p>
        </w:tc>
        <w:tc>
          <w:tcPr>
            <w:tcW w:w="76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新</w:t>
            </w:r>
          </w:p>
        </w:tc>
        <w:tc>
          <w:tcPr>
            <w:tcW w:w="53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jc w:val="center"/>
        </w:trPr>
        <w:tc>
          <w:tcPr>
            <w:tcW w:w="61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27</w:t>
            </w:r>
          </w:p>
        </w:tc>
        <w:tc>
          <w:tcPr>
            <w:tcW w:w="191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北港兴城（一期）2、3、5栋（2）1单元18层3号</w:t>
            </w:r>
          </w:p>
        </w:tc>
        <w:tc>
          <w:tcPr>
            <w:tcW w:w="82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w:t>
            </w:r>
          </w:p>
        </w:tc>
        <w:tc>
          <w:tcPr>
            <w:tcW w:w="76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住宅</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108.42</w:t>
            </w:r>
          </w:p>
        </w:tc>
        <w:tc>
          <w:tcPr>
            <w:tcW w:w="7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框架结构</w:t>
            </w:r>
          </w:p>
        </w:tc>
        <w:tc>
          <w:tcPr>
            <w:tcW w:w="133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水电、消防、电梯等设施设备齐全</w:t>
            </w:r>
          </w:p>
        </w:tc>
        <w:tc>
          <w:tcPr>
            <w:tcW w:w="6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毛坯</w:t>
            </w:r>
          </w:p>
        </w:tc>
        <w:tc>
          <w:tcPr>
            <w:tcW w:w="76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新</w:t>
            </w:r>
          </w:p>
        </w:tc>
        <w:tc>
          <w:tcPr>
            <w:tcW w:w="53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jc w:val="center"/>
        </w:trPr>
        <w:tc>
          <w:tcPr>
            <w:tcW w:w="61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28</w:t>
            </w:r>
          </w:p>
        </w:tc>
        <w:tc>
          <w:tcPr>
            <w:tcW w:w="191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北港兴城（一期）2、3、5栋（2）1单元18层4号</w:t>
            </w:r>
          </w:p>
        </w:tc>
        <w:tc>
          <w:tcPr>
            <w:tcW w:w="82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w:t>
            </w:r>
          </w:p>
        </w:tc>
        <w:tc>
          <w:tcPr>
            <w:tcW w:w="76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住宅</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147.89</w:t>
            </w:r>
          </w:p>
        </w:tc>
        <w:tc>
          <w:tcPr>
            <w:tcW w:w="7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框架结构</w:t>
            </w:r>
          </w:p>
        </w:tc>
        <w:tc>
          <w:tcPr>
            <w:tcW w:w="133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水电、消防、电梯等设施设备齐全</w:t>
            </w:r>
          </w:p>
        </w:tc>
        <w:tc>
          <w:tcPr>
            <w:tcW w:w="6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毛坯</w:t>
            </w:r>
          </w:p>
        </w:tc>
        <w:tc>
          <w:tcPr>
            <w:tcW w:w="76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新</w:t>
            </w:r>
          </w:p>
        </w:tc>
        <w:tc>
          <w:tcPr>
            <w:tcW w:w="53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jc w:val="center"/>
        </w:trPr>
        <w:tc>
          <w:tcPr>
            <w:tcW w:w="61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29</w:t>
            </w:r>
          </w:p>
        </w:tc>
        <w:tc>
          <w:tcPr>
            <w:tcW w:w="191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北港兴城（一期）2、3、5栋（2）1单元19层1号</w:t>
            </w:r>
          </w:p>
        </w:tc>
        <w:tc>
          <w:tcPr>
            <w:tcW w:w="82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w:t>
            </w:r>
          </w:p>
        </w:tc>
        <w:tc>
          <w:tcPr>
            <w:tcW w:w="76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住宅</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147.29</w:t>
            </w:r>
          </w:p>
        </w:tc>
        <w:tc>
          <w:tcPr>
            <w:tcW w:w="7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框架结构</w:t>
            </w:r>
          </w:p>
        </w:tc>
        <w:tc>
          <w:tcPr>
            <w:tcW w:w="133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水电、消防、电梯等设施设备齐全</w:t>
            </w:r>
          </w:p>
        </w:tc>
        <w:tc>
          <w:tcPr>
            <w:tcW w:w="6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毛坯</w:t>
            </w:r>
          </w:p>
        </w:tc>
        <w:tc>
          <w:tcPr>
            <w:tcW w:w="76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新</w:t>
            </w:r>
          </w:p>
        </w:tc>
        <w:tc>
          <w:tcPr>
            <w:tcW w:w="53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jc w:val="center"/>
        </w:trPr>
        <w:tc>
          <w:tcPr>
            <w:tcW w:w="61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30</w:t>
            </w:r>
          </w:p>
        </w:tc>
        <w:tc>
          <w:tcPr>
            <w:tcW w:w="191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北港兴城（一期）2、3、5栋（2）1单元19层2号</w:t>
            </w:r>
          </w:p>
        </w:tc>
        <w:tc>
          <w:tcPr>
            <w:tcW w:w="82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w:t>
            </w:r>
          </w:p>
        </w:tc>
        <w:tc>
          <w:tcPr>
            <w:tcW w:w="76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住宅</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108.42</w:t>
            </w:r>
          </w:p>
        </w:tc>
        <w:tc>
          <w:tcPr>
            <w:tcW w:w="7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框架结构</w:t>
            </w:r>
          </w:p>
        </w:tc>
        <w:tc>
          <w:tcPr>
            <w:tcW w:w="133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水电、消防、电梯等设施设备齐全</w:t>
            </w:r>
          </w:p>
        </w:tc>
        <w:tc>
          <w:tcPr>
            <w:tcW w:w="6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毛坯</w:t>
            </w:r>
          </w:p>
        </w:tc>
        <w:tc>
          <w:tcPr>
            <w:tcW w:w="76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新</w:t>
            </w:r>
          </w:p>
        </w:tc>
        <w:tc>
          <w:tcPr>
            <w:tcW w:w="53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jc w:val="center"/>
        </w:trPr>
        <w:tc>
          <w:tcPr>
            <w:tcW w:w="61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31</w:t>
            </w:r>
          </w:p>
        </w:tc>
        <w:tc>
          <w:tcPr>
            <w:tcW w:w="191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北港兴城（一期）2、3、5栋（2）1单元19层3号</w:t>
            </w:r>
          </w:p>
        </w:tc>
        <w:tc>
          <w:tcPr>
            <w:tcW w:w="82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w:t>
            </w:r>
          </w:p>
        </w:tc>
        <w:tc>
          <w:tcPr>
            <w:tcW w:w="76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住宅</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108.42</w:t>
            </w:r>
          </w:p>
        </w:tc>
        <w:tc>
          <w:tcPr>
            <w:tcW w:w="7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框架结构</w:t>
            </w:r>
          </w:p>
        </w:tc>
        <w:tc>
          <w:tcPr>
            <w:tcW w:w="133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水电、消防、电梯等设施设备齐全</w:t>
            </w:r>
          </w:p>
        </w:tc>
        <w:tc>
          <w:tcPr>
            <w:tcW w:w="6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毛坯</w:t>
            </w:r>
          </w:p>
        </w:tc>
        <w:tc>
          <w:tcPr>
            <w:tcW w:w="76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新</w:t>
            </w:r>
          </w:p>
        </w:tc>
        <w:tc>
          <w:tcPr>
            <w:tcW w:w="53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jc w:val="center"/>
        </w:trPr>
        <w:tc>
          <w:tcPr>
            <w:tcW w:w="61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32</w:t>
            </w:r>
          </w:p>
        </w:tc>
        <w:tc>
          <w:tcPr>
            <w:tcW w:w="191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北港兴城（一期）2、3、5栋（2）1单元19层4号</w:t>
            </w:r>
          </w:p>
        </w:tc>
        <w:tc>
          <w:tcPr>
            <w:tcW w:w="82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w:t>
            </w:r>
          </w:p>
        </w:tc>
        <w:tc>
          <w:tcPr>
            <w:tcW w:w="76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住宅</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147.89</w:t>
            </w:r>
          </w:p>
        </w:tc>
        <w:tc>
          <w:tcPr>
            <w:tcW w:w="7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框架结构</w:t>
            </w:r>
          </w:p>
        </w:tc>
        <w:tc>
          <w:tcPr>
            <w:tcW w:w="133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水电、消防、电梯等设施设备齐全</w:t>
            </w:r>
          </w:p>
        </w:tc>
        <w:tc>
          <w:tcPr>
            <w:tcW w:w="6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毛坯</w:t>
            </w:r>
          </w:p>
        </w:tc>
        <w:tc>
          <w:tcPr>
            <w:tcW w:w="76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新</w:t>
            </w:r>
          </w:p>
        </w:tc>
        <w:tc>
          <w:tcPr>
            <w:tcW w:w="53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jc w:val="center"/>
        </w:trPr>
        <w:tc>
          <w:tcPr>
            <w:tcW w:w="61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33</w:t>
            </w:r>
          </w:p>
        </w:tc>
        <w:tc>
          <w:tcPr>
            <w:tcW w:w="191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北港兴城（一期）2、3、5栋（2）1单元20层1号</w:t>
            </w:r>
          </w:p>
        </w:tc>
        <w:tc>
          <w:tcPr>
            <w:tcW w:w="82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w:t>
            </w:r>
          </w:p>
        </w:tc>
        <w:tc>
          <w:tcPr>
            <w:tcW w:w="76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住宅</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147.29</w:t>
            </w:r>
          </w:p>
        </w:tc>
        <w:tc>
          <w:tcPr>
            <w:tcW w:w="7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框架结构</w:t>
            </w:r>
          </w:p>
        </w:tc>
        <w:tc>
          <w:tcPr>
            <w:tcW w:w="133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水电、消防、电梯等设施设备齐全</w:t>
            </w:r>
          </w:p>
        </w:tc>
        <w:tc>
          <w:tcPr>
            <w:tcW w:w="6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毛坯</w:t>
            </w:r>
          </w:p>
        </w:tc>
        <w:tc>
          <w:tcPr>
            <w:tcW w:w="76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新</w:t>
            </w:r>
          </w:p>
        </w:tc>
        <w:tc>
          <w:tcPr>
            <w:tcW w:w="53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jc w:val="center"/>
        </w:trPr>
        <w:tc>
          <w:tcPr>
            <w:tcW w:w="61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34</w:t>
            </w:r>
          </w:p>
        </w:tc>
        <w:tc>
          <w:tcPr>
            <w:tcW w:w="191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北港兴城（一期）2、3、5栋（2）1单元20层2号</w:t>
            </w:r>
          </w:p>
        </w:tc>
        <w:tc>
          <w:tcPr>
            <w:tcW w:w="82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w:t>
            </w:r>
          </w:p>
        </w:tc>
        <w:tc>
          <w:tcPr>
            <w:tcW w:w="76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住宅</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108.42</w:t>
            </w:r>
          </w:p>
        </w:tc>
        <w:tc>
          <w:tcPr>
            <w:tcW w:w="7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框架结构</w:t>
            </w:r>
          </w:p>
        </w:tc>
        <w:tc>
          <w:tcPr>
            <w:tcW w:w="133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水电、消防、电梯等设施设备齐全</w:t>
            </w:r>
          </w:p>
        </w:tc>
        <w:tc>
          <w:tcPr>
            <w:tcW w:w="6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毛坯</w:t>
            </w:r>
          </w:p>
        </w:tc>
        <w:tc>
          <w:tcPr>
            <w:tcW w:w="76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新</w:t>
            </w:r>
          </w:p>
        </w:tc>
        <w:tc>
          <w:tcPr>
            <w:tcW w:w="53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jc w:val="center"/>
        </w:trPr>
        <w:tc>
          <w:tcPr>
            <w:tcW w:w="61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35</w:t>
            </w:r>
          </w:p>
        </w:tc>
        <w:tc>
          <w:tcPr>
            <w:tcW w:w="191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北港兴城（一期）2、3、5栋（2）1单元20层3号</w:t>
            </w:r>
          </w:p>
        </w:tc>
        <w:tc>
          <w:tcPr>
            <w:tcW w:w="82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w:t>
            </w:r>
          </w:p>
        </w:tc>
        <w:tc>
          <w:tcPr>
            <w:tcW w:w="76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住宅</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108.42</w:t>
            </w:r>
          </w:p>
        </w:tc>
        <w:tc>
          <w:tcPr>
            <w:tcW w:w="7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框架结构</w:t>
            </w:r>
          </w:p>
        </w:tc>
        <w:tc>
          <w:tcPr>
            <w:tcW w:w="133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水电、消防、电梯等设施设备齐全</w:t>
            </w:r>
          </w:p>
        </w:tc>
        <w:tc>
          <w:tcPr>
            <w:tcW w:w="6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毛坯</w:t>
            </w:r>
          </w:p>
        </w:tc>
        <w:tc>
          <w:tcPr>
            <w:tcW w:w="76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新</w:t>
            </w:r>
          </w:p>
        </w:tc>
        <w:tc>
          <w:tcPr>
            <w:tcW w:w="53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jc w:val="center"/>
        </w:trPr>
        <w:tc>
          <w:tcPr>
            <w:tcW w:w="61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36</w:t>
            </w:r>
          </w:p>
        </w:tc>
        <w:tc>
          <w:tcPr>
            <w:tcW w:w="191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北港兴城（一期）2、3、5栋（2）1单元20层4号</w:t>
            </w:r>
          </w:p>
        </w:tc>
        <w:tc>
          <w:tcPr>
            <w:tcW w:w="82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w:t>
            </w:r>
          </w:p>
        </w:tc>
        <w:tc>
          <w:tcPr>
            <w:tcW w:w="76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住宅</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147.89</w:t>
            </w:r>
          </w:p>
        </w:tc>
        <w:tc>
          <w:tcPr>
            <w:tcW w:w="7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框架结构</w:t>
            </w:r>
          </w:p>
        </w:tc>
        <w:tc>
          <w:tcPr>
            <w:tcW w:w="133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水电、消防、电梯等设施设备齐全</w:t>
            </w:r>
          </w:p>
        </w:tc>
        <w:tc>
          <w:tcPr>
            <w:tcW w:w="6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毛坯</w:t>
            </w:r>
          </w:p>
        </w:tc>
        <w:tc>
          <w:tcPr>
            <w:tcW w:w="76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新</w:t>
            </w:r>
          </w:p>
        </w:tc>
        <w:tc>
          <w:tcPr>
            <w:tcW w:w="53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jc w:val="center"/>
        </w:trPr>
        <w:tc>
          <w:tcPr>
            <w:tcW w:w="61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37</w:t>
            </w:r>
          </w:p>
        </w:tc>
        <w:tc>
          <w:tcPr>
            <w:tcW w:w="191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北港兴城（一期）2、3、5栋（2）1单元21层1号</w:t>
            </w:r>
          </w:p>
        </w:tc>
        <w:tc>
          <w:tcPr>
            <w:tcW w:w="82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w:t>
            </w:r>
          </w:p>
        </w:tc>
        <w:tc>
          <w:tcPr>
            <w:tcW w:w="76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住宅</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147.29</w:t>
            </w:r>
          </w:p>
        </w:tc>
        <w:tc>
          <w:tcPr>
            <w:tcW w:w="7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框架结构</w:t>
            </w:r>
          </w:p>
        </w:tc>
        <w:tc>
          <w:tcPr>
            <w:tcW w:w="133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水电、消防、电梯等设施设备齐全</w:t>
            </w:r>
          </w:p>
        </w:tc>
        <w:tc>
          <w:tcPr>
            <w:tcW w:w="6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毛坯</w:t>
            </w:r>
          </w:p>
        </w:tc>
        <w:tc>
          <w:tcPr>
            <w:tcW w:w="76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新</w:t>
            </w:r>
          </w:p>
        </w:tc>
        <w:tc>
          <w:tcPr>
            <w:tcW w:w="53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jc w:val="center"/>
        </w:trPr>
        <w:tc>
          <w:tcPr>
            <w:tcW w:w="61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38</w:t>
            </w:r>
          </w:p>
        </w:tc>
        <w:tc>
          <w:tcPr>
            <w:tcW w:w="191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北港兴城（一期）2、3、5栋（2）1单元21层2号</w:t>
            </w:r>
          </w:p>
        </w:tc>
        <w:tc>
          <w:tcPr>
            <w:tcW w:w="82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w:t>
            </w:r>
          </w:p>
        </w:tc>
        <w:tc>
          <w:tcPr>
            <w:tcW w:w="76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住宅</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108.42</w:t>
            </w:r>
          </w:p>
        </w:tc>
        <w:tc>
          <w:tcPr>
            <w:tcW w:w="7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框架结构</w:t>
            </w:r>
          </w:p>
        </w:tc>
        <w:tc>
          <w:tcPr>
            <w:tcW w:w="133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水电、消防、电梯等设施设备齐全</w:t>
            </w:r>
          </w:p>
        </w:tc>
        <w:tc>
          <w:tcPr>
            <w:tcW w:w="6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毛坯</w:t>
            </w:r>
          </w:p>
        </w:tc>
        <w:tc>
          <w:tcPr>
            <w:tcW w:w="76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新</w:t>
            </w:r>
          </w:p>
        </w:tc>
        <w:tc>
          <w:tcPr>
            <w:tcW w:w="53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95" w:hRule="atLeast"/>
          <w:jc w:val="center"/>
        </w:trPr>
        <w:tc>
          <w:tcPr>
            <w:tcW w:w="61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39</w:t>
            </w:r>
          </w:p>
        </w:tc>
        <w:tc>
          <w:tcPr>
            <w:tcW w:w="191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北港兴城（一期）2、3、5栋（2）1单元21层3号</w:t>
            </w:r>
          </w:p>
        </w:tc>
        <w:tc>
          <w:tcPr>
            <w:tcW w:w="82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w:t>
            </w:r>
          </w:p>
        </w:tc>
        <w:tc>
          <w:tcPr>
            <w:tcW w:w="76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住宅</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108.42</w:t>
            </w:r>
          </w:p>
        </w:tc>
        <w:tc>
          <w:tcPr>
            <w:tcW w:w="7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框架结构</w:t>
            </w:r>
          </w:p>
        </w:tc>
        <w:tc>
          <w:tcPr>
            <w:tcW w:w="133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水电、消防、电梯等设施设备齐全</w:t>
            </w:r>
          </w:p>
        </w:tc>
        <w:tc>
          <w:tcPr>
            <w:tcW w:w="6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毛坯</w:t>
            </w:r>
          </w:p>
        </w:tc>
        <w:tc>
          <w:tcPr>
            <w:tcW w:w="76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新</w:t>
            </w:r>
          </w:p>
        </w:tc>
        <w:tc>
          <w:tcPr>
            <w:tcW w:w="53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95" w:hRule="atLeast"/>
          <w:jc w:val="center"/>
        </w:trPr>
        <w:tc>
          <w:tcPr>
            <w:tcW w:w="61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40</w:t>
            </w:r>
          </w:p>
        </w:tc>
        <w:tc>
          <w:tcPr>
            <w:tcW w:w="191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北港兴城（一期）2、3、5栋（2）1单元21层4号</w:t>
            </w:r>
          </w:p>
        </w:tc>
        <w:tc>
          <w:tcPr>
            <w:tcW w:w="82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w:t>
            </w:r>
          </w:p>
        </w:tc>
        <w:tc>
          <w:tcPr>
            <w:tcW w:w="76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住宅</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147.89</w:t>
            </w:r>
          </w:p>
        </w:tc>
        <w:tc>
          <w:tcPr>
            <w:tcW w:w="7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框架结构</w:t>
            </w:r>
          </w:p>
        </w:tc>
        <w:tc>
          <w:tcPr>
            <w:tcW w:w="133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水电、消防、电梯等设施设备齐全</w:t>
            </w:r>
          </w:p>
        </w:tc>
        <w:tc>
          <w:tcPr>
            <w:tcW w:w="6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毛坯</w:t>
            </w:r>
          </w:p>
        </w:tc>
        <w:tc>
          <w:tcPr>
            <w:tcW w:w="76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新</w:t>
            </w:r>
          </w:p>
        </w:tc>
        <w:tc>
          <w:tcPr>
            <w:tcW w:w="53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95" w:hRule="atLeast"/>
          <w:jc w:val="center"/>
        </w:trPr>
        <w:tc>
          <w:tcPr>
            <w:tcW w:w="61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41</w:t>
            </w:r>
          </w:p>
        </w:tc>
        <w:tc>
          <w:tcPr>
            <w:tcW w:w="191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北港兴城（一期）2、3、5栋（2）1单元22层1号</w:t>
            </w:r>
          </w:p>
        </w:tc>
        <w:tc>
          <w:tcPr>
            <w:tcW w:w="82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w:t>
            </w:r>
          </w:p>
        </w:tc>
        <w:tc>
          <w:tcPr>
            <w:tcW w:w="76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住宅</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147.29</w:t>
            </w:r>
          </w:p>
        </w:tc>
        <w:tc>
          <w:tcPr>
            <w:tcW w:w="7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框架结构</w:t>
            </w:r>
          </w:p>
        </w:tc>
        <w:tc>
          <w:tcPr>
            <w:tcW w:w="133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水电、消防、电梯等设施设备齐全</w:t>
            </w:r>
          </w:p>
        </w:tc>
        <w:tc>
          <w:tcPr>
            <w:tcW w:w="6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毛坯</w:t>
            </w:r>
          </w:p>
        </w:tc>
        <w:tc>
          <w:tcPr>
            <w:tcW w:w="76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新</w:t>
            </w:r>
          </w:p>
        </w:tc>
        <w:tc>
          <w:tcPr>
            <w:tcW w:w="53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95" w:hRule="atLeast"/>
          <w:jc w:val="center"/>
        </w:trPr>
        <w:tc>
          <w:tcPr>
            <w:tcW w:w="61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42</w:t>
            </w:r>
          </w:p>
        </w:tc>
        <w:tc>
          <w:tcPr>
            <w:tcW w:w="191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北港兴城（一期）2、3、5栋（2）1单元22层2号</w:t>
            </w:r>
          </w:p>
        </w:tc>
        <w:tc>
          <w:tcPr>
            <w:tcW w:w="82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w:t>
            </w:r>
          </w:p>
        </w:tc>
        <w:tc>
          <w:tcPr>
            <w:tcW w:w="76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住宅</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108.42</w:t>
            </w:r>
          </w:p>
        </w:tc>
        <w:tc>
          <w:tcPr>
            <w:tcW w:w="7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框架结构</w:t>
            </w:r>
          </w:p>
        </w:tc>
        <w:tc>
          <w:tcPr>
            <w:tcW w:w="133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水电、消防、电梯等设施设备齐全</w:t>
            </w:r>
          </w:p>
        </w:tc>
        <w:tc>
          <w:tcPr>
            <w:tcW w:w="6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毛坯</w:t>
            </w:r>
          </w:p>
        </w:tc>
        <w:tc>
          <w:tcPr>
            <w:tcW w:w="76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新</w:t>
            </w:r>
          </w:p>
        </w:tc>
        <w:tc>
          <w:tcPr>
            <w:tcW w:w="53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95" w:hRule="atLeast"/>
          <w:jc w:val="center"/>
        </w:trPr>
        <w:tc>
          <w:tcPr>
            <w:tcW w:w="61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43</w:t>
            </w:r>
          </w:p>
        </w:tc>
        <w:tc>
          <w:tcPr>
            <w:tcW w:w="191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北港兴城（一期）2、3、5栋（2）1单元22层3号</w:t>
            </w:r>
          </w:p>
        </w:tc>
        <w:tc>
          <w:tcPr>
            <w:tcW w:w="82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w:t>
            </w:r>
          </w:p>
        </w:tc>
        <w:tc>
          <w:tcPr>
            <w:tcW w:w="76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住宅</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108.42</w:t>
            </w:r>
          </w:p>
        </w:tc>
        <w:tc>
          <w:tcPr>
            <w:tcW w:w="7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框架结构</w:t>
            </w:r>
          </w:p>
        </w:tc>
        <w:tc>
          <w:tcPr>
            <w:tcW w:w="133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水电、消防、电梯等设施设备齐全</w:t>
            </w:r>
          </w:p>
        </w:tc>
        <w:tc>
          <w:tcPr>
            <w:tcW w:w="6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毛坯</w:t>
            </w:r>
          </w:p>
        </w:tc>
        <w:tc>
          <w:tcPr>
            <w:tcW w:w="76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新</w:t>
            </w:r>
          </w:p>
        </w:tc>
        <w:tc>
          <w:tcPr>
            <w:tcW w:w="53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95" w:hRule="atLeast"/>
          <w:jc w:val="center"/>
        </w:trPr>
        <w:tc>
          <w:tcPr>
            <w:tcW w:w="61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44</w:t>
            </w:r>
          </w:p>
        </w:tc>
        <w:tc>
          <w:tcPr>
            <w:tcW w:w="191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北港兴城（一期）2、3、5栋（2）1单元22层4号</w:t>
            </w:r>
          </w:p>
        </w:tc>
        <w:tc>
          <w:tcPr>
            <w:tcW w:w="82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w:t>
            </w:r>
          </w:p>
        </w:tc>
        <w:tc>
          <w:tcPr>
            <w:tcW w:w="76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住宅</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147.89</w:t>
            </w:r>
          </w:p>
        </w:tc>
        <w:tc>
          <w:tcPr>
            <w:tcW w:w="7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框架结构</w:t>
            </w:r>
          </w:p>
        </w:tc>
        <w:tc>
          <w:tcPr>
            <w:tcW w:w="133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水电、消防、电梯等设施设备齐全</w:t>
            </w:r>
          </w:p>
        </w:tc>
        <w:tc>
          <w:tcPr>
            <w:tcW w:w="6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毛坯</w:t>
            </w:r>
          </w:p>
        </w:tc>
        <w:tc>
          <w:tcPr>
            <w:tcW w:w="76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新</w:t>
            </w:r>
          </w:p>
        </w:tc>
        <w:tc>
          <w:tcPr>
            <w:tcW w:w="53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p>
        </w:tc>
      </w:tr>
    </w:tbl>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both"/>
        <w:textAlignment w:val="auto"/>
        <w:rPr>
          <w:rFonts w:hint="eastAsia"/>
          <w:sz w:val="28"/>
          <w:szCs w:val="28"/>
          <w:lang w:val="en-US" w:eastAsia="zh-CN"/>
        </w:rPr>
      </w:pPr>
      <w:r>
        <w:rPr>
          <w:rFonts w:hint="eastAsia" w:hAnsi="宋体" w:eastAsia="宋体" w:cs="Times New Roman"/>
          <w:b w:val="0"/>
          <w:bCs w:val="0"/>
          <w:sz w:val="28"/>
          <w:szCs w:val="28"/>
          <w:highlight w:val="none"/>
          <w:lang w:val="en-US" w:eastAsia="zh-CN"/>
        </w:rPr>
        <w:t>估价对象现状开发层度为在建住宅房地产，</w:t>
      </w:r>
      <w:r>
        <w:rPr>
          <w:rFonts w:hint="eastAsia"/>
          <w:sz w:val="28"/>
          <w:szCs w:val="28"/>
          <w:lang w:val="en-US" w:eastAsia="zh-CN"/>
        </w:rPr>
        <w:t>于2022年7月7日正在建设之中，现状工程进度为基础、主体结构、外墙已完工，外墙漆、电梯，内部隔墙、公共区域装修未施工，2#、3#、5#楼建筑面积共计40585.52平方米，本次评估对象44套建筑面积合计5,632.22 平方米，约占13.88%，且部分房地产已被售出，由购买方对纳入评估范围的部分住宅房地产进行后续开发建设不具备操作性与可行性，</w:t>
      </w:r>
      <w:r>
        <w:rPr>
          <w:rFonts w:hint="eastAsia"/>
          <w:sz w:val="28"/>
          <w:szCs w:val="28"/>
        </w:rPr>
        <w:t>贵州鼎鑫房地产开发有限责任公司</w:t>
      </w:r>
      <w:r>
        <w:rPr>
          <w:rFonts w:hint="eastAsia"/>
          <w:sz w:val="28"/>
          <w:szCs w:val="28"/>
          <w:lang w:val="en-US" w:eastAsia="zh-CN"/>
        </w:rPr>
        <w:t>承诺：“由贵州鼎鑫房地产开发有限责任公司进行后续开发建设，贵州鼎鑫房地产开发有限责任公司承担后续开发建设过程中的一切经济支出，纳入评估范围的房地产严格按照《商品房预售许可证》记载的交付使用日期（2023年12月1日）进行交付使用，交付使用的房地产需经相关部分验收合格，贵州鼎鑫房地产开发有限责任公司在房屋交付使用后按照国家相关的法律规定承担相应的住宅房地产质量保修责任，交付的房地产的装修情况为毛坯”故本次评估按期房进行评估，提请报告使用者予以关注。</w:t>
      </w:r>
    </w:p>
    <w:p>
      <w:pPr>
        <w:pStyle w:val="27"/>
        <w:numPr>
          <w:ilvl w:val="0"/>
          <w:numId w:val="0"/>
        </w:numPr>
        <w:autoSpaceDE/>
        <w:autoSpaceDN/>
        <w:adjustRightInd/>
        <w:spacing w:before="156" w:beforeLines="50" w:after="156" w:afterLines="50" w:line="360" w:lineRule="auto"/>
        <w:ind w:firstLine="840" w:firstLineChars="300"/>
        <w:jc w:val="both"/>
        <w:textAlignment w:val="auto"/>
        <w:rPr>
          <w:rFonts w:hint="eastAsia" w:hAnsi="宋体"/>
          <w:sz w:val="28"/>
          <w:szCs w:val="28"/>
          <w:lang w:val="en-US" w:eastAsia="zh-CN"/>
        </w:rPr>
      </w:pPr>
      <w:r>
        <w:rPr>
          <w:rFonts w:hint="eastAsia" w:hAnsi="宋体"/>
          <w:sz w:val="28"/>
          <w:szCs w:val="28"/>
          <w:lang w:val="en-US" w:eastAsia="zh-CN"/>
        </w:rPr>
        <w:t>2.2共用宗地基本情况</w:t>
      </w:r>
    </w:p>
    <w:tbl>
      <w:tblPr>
        <w:tblStyle w:val="17"/>
        <w:tblW w:w="9527"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632"/>
        <w:gridCol w:w="1845"/>
        <w:gridCol w:w="1216"/>
        <w:gridCol w:w="749"/>
        <w:gridCol w:w="825"/>
        <w:gridCol w:w="705"/>
        <w:gridCol w:w="1920"/>
        <w:gridCol w:w="645"/>
        <w:gridCol w:w="99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5" w:hRule="atLeast"/>
          <w:jc w:val="center"/>
        </w:trPr>
        <w:tc>
          <w:tcPr>
            <w:tcW w:w="6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bookmarkStart w:id="31" w:name="_Toc18159"/>
            <w:bookmarkStart w:id="32" w:name="_Toc440990680"/>
            <w:bookmarkStart w:id="33" w:name="_Toc7706"/>
            <w:bookmarkStart w:id="34" w:name="_Toc440992060"/>
            <w:bookmarkStart w:id="35" w:name="_Toc1301"/>
            <w:r>
              <w:rPr>
                <w:rFonts w:hint="eastAsia" w:ascii="仿宋" w:hAnsi="仿宋" w:eastAsia="仿宋" w:cs="仿宋"/>
                <w:i w:val="0"/>
                <w:iCs w:val="0"/>
                <w:color w:val="000000"/>
                <w:kern w:val="0"/>
                <w:sz w:val="21"/>
                <w:szCs w:val="21"/>
                <w:u w:val="none"/>
                <w:lang w:val="en-US" w:eastAsia="zh-CN" w:bidi="ar"/>
              </w:rPr>
              <w:t>序号</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房地产名称</w:t>
            </w:r>
          </w:p>
        </w:tc>
        <w:tc>
          <w:tcPr>
            <w:tcW w:w="1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共用宗地面积（㎡）</w:t>
            </w:r>
          </w:p>
        </w:tc>
        <w:tc>
          <w:tcPr>
            <w:tcW w:w="7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用途</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开发程度</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地质</w:t>
            </w:r>
          </w:p>
        </w:tc>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四至</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形状</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土地使用权终止日期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47" w:hRule="exact"/>
          <w:jc w:val="center"/>
        </w:trPr>
        <w:tc>
          <w:tcPr>
            <w:tcW w:w="6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1</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北港兴城（一期）2、3、5栋（2）1单元12层1号</w:t>
            </w:r>
          </w:p>
        </w:tc>
        <w:tc>
          <w:tcPr>
            <w:tcW w:w="12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54,987.11</w:t>
            </w:r>
          </w:p>
        </w:tc>
        <w:tc>
          <w:tcPr>
            <w:tcW w:w="7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商住用地</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六通</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适宜建设</w:t>
            </w:r>
          </w:p>
        </w:tc>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北临相邻土地，东临五里岗大道，西临相邻土地，南临相邻土地</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多边形</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2083年9月20日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47" w:hRule="exact"/>
          <w:jc w:val="center"/>
        </w:trPr>
        <w:tc>
          <w:tcPr>
            <w:tcW w:w="6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2</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北港兴城（一期）2、3、5栋（2）1单元12层2号</w:t>
            </w:r>
          </w:p>
        </w:tc>
        <w:tc>
          <w:tcPr>
            <w:tcW w:w="12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54,987.11</w:t>
            </w:r>
          </w:p>
        </w:tc>
        <w:tc>
          <w:tcPr>
            <w:tcW w:w="7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商住用地</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六通</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适宜建设</w:t>
            </w:r>
          </w:p>
        </w:tc>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北临相邻土地，东临五里岗大道，西临相邻土地，南临相邻土地</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多边形</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2083年9月20日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47" w:hRule="exact"/>
          <w:jc w:val="center"/>
        </w:trPr>
        <w:tc>
          <w:tcPr>
            <w:tcW w:w="6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3</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北港兴城（一期）2、3、5栋（2）1单元12层3号</w:t>
            </w:r>
          </w:p>
        </w:tc>
        <w:tc>
          <w:tcPr>
            <w:tcW w:w="12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54,987.11</w:t>
            </w:r>
          </w:p>
        </w:tc>
        <w:tc>
          <w:tcPr>
            <w:tcW w:w="7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商住用地</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六通</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适宜建设</w:t>
            </w:r>
          </w:p>
        </w:tc>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北临相邻土地，东临五里岗大道，西临相邻土地，南临相邻土地</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多边形</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2083年9月20日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47" w:hRule="exact"/>
          <w:jc w:val="center"/>
        </w:trPr>
        <w:tc>
          <w:tcPr>
            <w:tcW w:w="6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4</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北港兴城（一期）2、3、5栋（2）1单元12层4号</w:t>
            </w:r>
          </w:p>
        </w:tc>
        <w:tc>
          <w:tcPr>
            <w:tcW w:w="12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54,987.11</w:t>
            </w:r>
          </w:p>
        </w:tc>
        <w:tc>
          <w:tcPr>
            <w:tcW w:w="7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商住用地</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六通</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适宜建设</w:t>
            </w:r>
          </w:p>
        </w:tc>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北临相邻土地，东临五里岗大道，西临相邻土地，南临相邻土地</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多边形</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2083年9月20日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47" w:hRule="exact"/>
          <w:jc w:val="center"/>
        </w:trPr>
        <w:tc>
          <w:tcPr>
            <w:tcW w:w="6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5</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北港兴城（一期）2、3、5栋（2）1单元13层1号</w:t>
            </w:r>
          </w:p>
        </w:tc>
        <w:tc>
          <w:tcPr>
            <w:tcW w:w="12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54,987.11</w:t>
            </w:r>
          </w:p>
        </w:tc>
        <w:tc>
          <w:tcPr>
            <w:tcW w:w="7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商住用地</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六通</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适宜建设</w:t>
            </w:r>
          </w:p>
        </w:tc>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北临相邻土地，东临五里岗大道，西临相邻土地，南临相邻土地</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多边形</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2083年9月20日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47" w:hRule="exact"/>
          <w:jc w:val="center"/>
        </w:trPr>
        <w:tc>
          <w:tcPr>
            <w:tcW w:w="6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6</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北港兴城（一期）2、3、5栋（2）1单元13层2号</w:t>
            </w:r>
          </w:p>
        </w:tc>
        <w:tc>
          <w:tcPr>
            <w:tcW w:w="12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54,987.11</w:t>
            </w:r>
          </w:p>
        </w:tc>
        <w:tc>
          <w:tcPr>
            <w:tcW w:w="7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商住用地</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六通</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适宜建设</w:t>
            </w:r>
          </w:p>
        </w:tc>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北临相邻土地，东临五里岗大道，西临相邻土地，南临相邻土地</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多边形</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2083年9月20日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47" w:hRule="exact"/>
          <w:jc w:val="center"/>
        </w:trPr>
        <w:tc>
          <w:tcPr>
            <w:tcW w:w="6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7</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北港兴城（一期）2、3、5栋（2）1单元13层3号</w:t>
            </w:r>
          </w:p>
        </w:tc>
        <w:tc>
          <w:tcPr>
            <w:tcW w:w="12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54,987.11</w:t>
            </w:r>
          </w:p>
        </w:tc>
        <w:tc>
          <w:tcPr>
            <w:tcW w:w="7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商住用地</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六通</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适宜建设</w:t>
            </w:r>
          </w:p>
        </w:tc>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北临相邻土地，东临五里岗大道，西临相邻土地，南临相邻土地</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多边形</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2083年9月20日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47" w:hRule="exact"/>
          <w:jc w:val="center"/>
        </w:trPr>
        <w:tc>
          <w:tcPr>
            <w:tcW w:w="6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8</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北港兴城（一期）2、3、5栋（2）1单元13层4号</w:t>
            </w:r>
          </w:p>
        </w:tc>
        <w:tc>
          <w:tcPr>
            <w:tcW w:w="12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54,987.11</w:t>
            </w:r>
          </w:p>
        </w:tc>
        <w:tc>
          <w:tcPr>
            <w:tcW w:w="7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商住用地</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六通</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适宜建设</w:t>
            </w:r>
          </w:p>
        </w:tc>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北临相邻土地，东临五里岗大道，西临相邻土地，南临相邻土地</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多边形</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2083年9月20日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47" w:hRule="exact"/>
          <w:jc w:val="center"/>
        </w:trPr>
        <w:tc>
          <w:tcPr>
            <w:tcW w:w="6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9</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北港兴城（一期）2、3、5栋（2）1单元14层1号</w:t>
            </w:r>
          </w:p>
        </w:tc>
        <w:tc>
          <w:tcPr>
            <w:tcW w:w="12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54,987.11</w:t>
            </w:r>
          </w:p>
        </w:tc>
        <w:tc>
          <w:tcPr>
            <w:tcW w:w="7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商住用地</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六通</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适宜建设</w:t>
            </w:r>
          </w:p>
        </w:tc>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北临相邻土地，东临五里岗大道，西临相邻土地，南临相邻土地</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多边形</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2083年9月20日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47" w:hRule="exact"/>
          <w:jc w:val="center"/>
        </w:trPr>
        <w:tc>
          <w:tcPr>
            <w:tcW w:w="6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10</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北港兴城（一期）2、3、5栋（2）1单元14层2号</w:t>
            </w:r>
          </w:p>
        </w:tc>
        <w:tc>
          <w:tcPr>
            <w:tcW w:w="12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54,987.11</w:t>
            </w:r>
          </w:p>
        </w:tc>
        <w:tc>
          <w:tcPr>
            <w:tcW w:w="7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商住用地</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六通</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适宜建设</w:t>
            </w:r>
          </w:p>
        </w:tc>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北临相邻土地，东临五里岗大道，西临相邻土地，南临相邻土地</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多边形</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2083年9月20日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47" w:hRule="exact"/>
          <w:jc w:val="center"/>
        </w:trPr>
        <w:tc>
          <w:tcPr>
            <w:tcW w:w="6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11</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北港兴城（一期）2、3、5栋（2）1单元14层3号</w:t>
            </w:r>
          </w:p>
        </w:tc>
        <w:tc>
          <w:tcPr>
            <w:tcW w:w="12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54,987.11</w:t>
            </w:r>
          </w:p>
        </w:tc>
        <w:tc>
          <w:tcPr>
            <w:tcW w:w="7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商住用地</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六通</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适宜建设</w:t>
            </w:r>
          </w:p>
        </w:tc>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北临相邻土地，东临五里岗大道，西临相邻土地，南临相邻土地</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多边形</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2083年9月20日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47" w:hRule="exact"/>
          <w:jc w:val="center"/>
        </w:trPr>
        <w:tc>
          <w:tcPr>
            <w:tcW w:w="6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12</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北港兴城（一期）2、3、5栋（2）1单元14层4号</w:t>
            </w:r>
          </w:p>
        </w:tc>
        <w:tc>
          <w:tcPr>
            <w:tcW w:w="12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54,987.11</w:t>
            </w:r>
          </w:p>
        </w:tc>
        <w:tc>
          <w:tcPr>
            <w:tcW w:w="7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商住用地</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六通</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适宜建设</w:t>
            </w:r>
          </w:p>
        </w:tc>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北临相邻土地，东临五里岗大道，西临相邻土地，南临相邻土地</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多边形</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2083年9月20日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47" w:hRule="exact"/>
          <w:jc w:val="center"/>
        </w:trPr>
        <w:tc>
          <w:tcPr>
            <w:tcW w:w="6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13</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北港兴城（一期）2、3、5栋（2）1单元15层1号</w:t>
            </w:r>
          </w:p>
        </w:tc>
        <w:tc>
          <w:tcPr>
            <w:tcW w:w="12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54,987.11</w:t>
            </w:r>
          </w:p>
        </w:tc>
        <w:tc>
          <w:tcPr>
            <w:tcW w:w="7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商住用地</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六通</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适宜建设</w:t>
            </w:r>
          </w:p>
        </w:tc>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北临相邻土地，东临五里岗大道，西临相邻土地，南临相邻土地</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多边形</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2083年9月20日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47" w:hRule="exact"/>
          <w:jc w:val="center"/>
        </w:trPr>
        <w:tc>
          <w:tcPr>
            <w:tcW w:w="6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14</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北港兴城（一期）2、3、5栋（2）1单元15层2号</w:t>
            </w:r>
          </w:p>
        </w:tc>
        <w:tc>
          <w:tcPr>
            <w:tcW w:w="12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54,987.11</w:t>
            </w:r>
          </w:p>
        </w:tc>
        <w:tc>
          <w:tcPr>
            <w:tcW w:w="7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商住用地</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六通</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适宜建设</w:t>
            </w:r>
          </w:p>
        </w:tc>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北临相邻土地，东临五里岗大道，西临相邻土地，南临相邻土地</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多边形</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2083年9月20日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47" w:hRule="exact"/>
          <w:jc w:val="center"/>
        </w:trPr>
        <w:tc>
          <w:tcPr>
            <w:tcW w:w="6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15</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北港兴城（一期）2、3、5栋（2）1单元15层3号</w:t>
            </w:r>
          </w:p>
        </w:tc>
        <w:tc>
          <w:tcPr>
            <w:tcW w:w="12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54,987.11</w:t>
            </w:r>
          </w:p>
        </w:tc>
        <w:tc>
          <w:tcPr>
            <w:tcW w:w="7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商住用地</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六通</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适宜建设</w:t>
            </w:r>
          </w:p>
        </w:tc>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北临相邻土地，东临五里岗大道，西临相邻土地，南临相邻土地</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多边形</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2083年9月20日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47" w:hRule="exact"/>
          <w:jc w:val="center"/>
        </w:trPr>
        <w:tc>
          <w:tcPr>
            <w:tcW w:w="6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16</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北港兴城（一期）2、3、5栋（2）1单元15层4号</w:t>
            </w:r>
          </w:p>
        </w:tc>
        <w:tc>
          <w:tcPr>
            <w:tcW w:w="12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54,987.11</w:t>
            </w:r>
          </w:p>
        </w:tc>
        <w:tc>
          <w:tcPr>
            <w:tcW w:w="7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商住用地</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六通</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适宜建设</w:t>
            </w:r>
          </w:p>
        </w:tc>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北临相邻土地，东临五里岗大道，西临相邻土地，南临相邻土地</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多边形</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2083年9月20日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47" w:hRule="exact"/>
          <w:jc w:val="center"/>
        </w:trPr>
        <w:tc>
          <w:tcPr>
            <w:tcW w:w="6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17</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北港兴城（一期）2、3、5栋（2）1单元16层1号</w:t>
            </w:r>
          </w:p>
        </w:tc>
        <w:tc>
          <w:tcPr>
            <w:tcW w:w="12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54,987.11</w:t>
            </w:r>
          </w:p>
        </w:tc>
        <w:tc>
          <w:tcPr>
            <w:tcW w:w="7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商住用地</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六通</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适宜建设</w:t>
            </w:r>
          </w:p>
        </w:tc>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北临相邻土地，东临五里岗大道，西临相邻土地，南临相邻土地</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多边形</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2083年9月20日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47" w:hRule="exact"/>
          <w:jc w:val="center"/>
        </w:trPr>
        <w:tc>
          <w:tcPr>
            <w:tcW w:w="6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18</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北港兴城（一期）2、3、5栋（2）1单元16层2号</w:t>
            </w:r>
          </w:p>
        </w:tc>
        <w:tc>
          <w:tcPr>
            <w:tcW w:w="12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54,987.11</w:t>
            </w:r>
          </w:p>
        </w:tc>
        <w:tc>
          <w:tcPr>
            <w:tcW w:w="7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商住用地</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六通</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适宜建设</w:t>
            </w:r>
          </w:p>
        </w:tc>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北临相邻土地，东临五里岗大道，西临相邻土地，南临相邻土地</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多边形</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2083年9月20日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47" w:hRule="exact"/>
          <w:jc w:val="center"/>
        </w:trPr>
        <w:tc>
          <w:tcPr>
            <w:tcW w:w="6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19</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北港兴城（一期）2、3、5栋（2）1单元16层3号</w:t>
            </w:r>
          </w:p>
        </w:tc>
        <w:tc>
          <w:tcPr>
            <w:tcW w:w="12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54,987.11</w:t>
            </w:r>
          </w:p>
        </w:tc>
        <w:tc>
          <w:tcPr>
            <w:tcW w:w="7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商住用地</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六通</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适宜建设</w:t>
            </w:r>
          </w:p>
        </w:tc>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北临相邻土地，东临五里岗大道，西临相邻土地，南临相邻土地</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多边形</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2083年9月20日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47" w:hRule="exact"/>
          <w:jc w:val="center"/>
        </w:trPr>
        <w:tc>
          <w:tcPr>
            <w:tcW w:w="6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20</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北港兴城（一期）2、3、5栋（2）1单元16层4号</w:t>
            </w:r>
          </w:p>
        </w:tc>
        <w:tc>
          <w:tcPr>
            <w:tcW w:w="12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54,987.11</w:t>
            </w:r>
          </w:p>
        </w:tc>
        <w:tc>
          <w:tcPr>
            <w:tcW w:w="7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商住用地</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六通</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适宜建设</w:t>
            </w:r>
          </w:p>
        </w:tc>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北临相邻土地，东临五里岗大道，西临相邻土地，南临相邻土地</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多边形</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2083年9月20日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47" w:hRule="exact"/>
          <w:jc w:val="center"/>
        </w:trPr>
        <w:tc>
          <w:tcPr>
            <w:tcW w:w="6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21</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北港兴城（一期）2、3、5栋（2）1单元17层1号</w:t>
            </w:r>
          </w:p>
        </w:tc>
        <w:tc>
          <w:tcPr>
            <w:tcW w:w="12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54,987.11</w:t>
            </w:r>
          </w:p>
        </w:tc>
        <w:tc>
          <w:tcPr>
            <w:tcW w:w="7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商住用地</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六通</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适宜建设</w:t>
            </w:r>
          </w:p>
        </w:tc>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北临相邻土地，东临五里岗大道，西临相邻土地，南临相邻土地</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多边形</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2083年9月20日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47" w:hRule="exact"/>
          <w:jc w:val="center"/>
        </w:trPr>
        <w:tc>
          <w:tcPr>
            <w:tcW w:w="6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22</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北港兴城（一期）2、3、5栋（2）1单元17层2号</w:t>
            </w:r>
          </w:p>
        </w:tc>
        <w:tc>
          <w:tcPr>
            <w:tcW w:w="12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54,987.11</w:t>
            </w:r>
          </w:p>
        </w:tc>
        <w:tc>
          <w:tcPr>
            <w:tcW w:w="7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商住用地</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六通</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适宜建设</w:t>
            </w:r>
          </w:p>
        </w:tc>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北临相邻土地，东临五里岗大道，西临相邻土地，南临相邻土地</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多边形</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2083年9月20日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47" w:hRule="exact"/>
          <w:jc w:val="center"/>
        </w:trPr>
        <w:tc>
          <w:tcPr>
            <w:tcW w:w="6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23</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北港兴城（一期）2、3、5栋（2）1单元17层3号</w:t>
            </w:r>
          </w:p>
        </w:tc>
        <w:tc>
          <w:tcPr>
            <w:tcW w:w="12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54,987.11</w:t>
            </w:r>
          </w:p>
        </w:tc>
        <w:tc>
          <w:tcPr>
            <w:tcW w:w="7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商住用地</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六通</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适宜建设</w:t>
            </w:r>
          </w:p>
        </w:tc>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北临相邻土地，东临五里岗大道，西临相邻土地，南临相邻土地</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多边形</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2083年9月20日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47" w:hRule="exact"/>
          <w:jc w:val="center"/>
        </w:trPr>
        <w:tc>
          <w:tcPr>
            <w:tcW w:w="6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24</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北港兴城（一期）2、3、5栋（2）1单元17层4号</w:t>
            </w:r>
          </w:p>
        </w:tc>
        <w:tc>
          <w:tcPr>
            <w:tcW w:w="12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54,987.11</w:t>
            </w:r>
          </w:p>
        </w:tc>
        <w:tc>
          <w:tcPr>
            <w:tcW w:w="7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商住用地</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六通</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适宜建设</w:t>
            </w:r>
          </w:p>
        </w:tc>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北临相邻土地，东临五里岗大道，西临相邻土地，南临相邻土地</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多边形</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2083年9月20日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47" w:hRule="exact"/>
          <w:jc w:val="center"/>
        </w:trPr>
        <w:tc>
          <w:tcPr>
            <w:tcW w:w="6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25</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北港兴城（一期）2、3、5栋（2）1单元18层1号</w:t>
            </w:r>
          </w:p>
        </w:tc>
        <w:tc>
          <w:tcPr>
            <w:tcW w:w="12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54,987.11</w:t>
            </w:r>
          </w:p>
        </w:tc>
        <w:tc>
          <w:tcPr>
            <w:tcW w:w="7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商住用地</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六通</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适宜建设</w:t>
            </w:r>
          </w:p>
        </w:tc>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北临相邻土地，东临五里岗大道，西临相邻土地，南临相邻土地</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多边形</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2083年9月20日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47" w:hRule="exact"/>
          <w:jc w:val="center"/>
        </w:trPr>
        <w:tc>
          <w:tcPr>
            <w:tcW w:w="6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26</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北港兴城（一期）2、3、5栋（2）1单元18层2号</w:t>
            </w:r>
          </w:p>
        </w:tc>
        <w:tc>
          <w:tcPr>
            <w:tcW w:w="12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54,987.11</w:t>
            </w:r>
          </w:p>
        </w:tc>
        <w:tc>
          <w:tcPr>
            <w:tcW w:w="7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商住用地</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六通</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适宜建设</w:t>
            </w:r>
          </w:p>
        </w:tc>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北临相邻土地，东临五里岗大道，西临相邻土地，南临相邻土地</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多边形</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2083年9月20日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47" w:hRule="exact"/>
          <w:jc w:val="center"/>
        </w:trPr>
        <w:tc>
          <w:tcPr>
            <w:tcW w:w="6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27</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北港兴城（一期）2、3、5栋（2）1单元18层3号</w:t>
            </w:r>
          </w:p>
        </w:tc>
        <w:tc>
          <w:tcPr>
            <w:tcW w:w="12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54,987.11</w:t>
            </w:r>
          </w:p>
        </w:tc>
        <w:tc>
          <w:tcPr>
            <w:tcW w:w="7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商住用地</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六通</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适宜建设</w:t>
            </w:r>
          </w:p>
        </w:tc>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北临相邻土地，东临五里岗大道，西临相邻土地，南临相邻土地</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多边形</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2083年9月20日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47" w:hRule="exact"/>
          <w:jc w:val="center"/>
        </w:trPr>
        <w:tc>
          <w:tcPr>
            <w:tcW w:w="6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28</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北港兴城（一期）2、3、5栋（2）1单元18层4号</w:t>
            </w:r>
          </w:p>
        </w:tc>
        <w:tc>
          <w:tcPr>
            <w:tcW w:w="12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54,987.11</w:t>
            </w:r>
          </w:p>
        </w:tc>
        <w:tc>
          <w:tcPr>
            <w:tcW w:w="7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商住用地</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六通</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适宜建设</w:t>
            </w:r>
          </w:p>
        </w:tc>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北临相邻土地，东临五里岗大道，西临相邻土地，南临相邻土地</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多边形</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2083年9月20日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47" w:hRule="exact"/>
          <w:jc w:val="center"/>
        </w:trPr>
        <w:tc>
          <w:tcPr>
            <w:tcW w:w="6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29</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北港兴城（一期）2、3、5栋（2）1单元19层1号</w:t>
            </w:r>
          </w:p>
        </w:tc>
        <w:tc>
          <w:tcPr>
            <w:tcW w:w="12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54,987.11</w:t>
            </w:r>
          </w:p>
        </w:tc>
        <w:tc>
          <w:tcPr>
            <w:tcW w:w="7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商住用地</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六通</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适宜建设</w:t>
            </w:r>
          </w:p>
        </w:tc>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北临相邻土地，东临五里岗大道，西临相邻土地，南临相邻土地</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多边形</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2083年9月20日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47" w:hRule="exact"/>
          <w:jc w:val="center"/>
        </w:trPr>
        <w:tc>
          <w:tcPr>
            <w:tcW w:w="6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30</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北港兴城（一期）2、3、5栋（2）1单元19层2号</w:t>
            </w:r>
          </w:p>
        </w:tc>
        <w:tc>
          <w:tcPr>
            <w:tcW w:w="12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54,987.11</w:t>
            </w:r>
          </w:p>
        </w:tc>
        <w:tc>
          <w:tcPr>
            <w:tcW w:w="7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商住用地</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六通</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适宜建设</w:t>
            </w:r>
          </w:p>
        </w:tc>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北临相邻土地，东临五里岗大道，西临相邻土地，南临相邻土地</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多边形</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2083年9月20日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47" w:hRule="exact"/>
          <w:jc w:val="center"/>
        </w:trPr>
        <w:tc>
          <w:tcPr>
            <w:tcW w:w="6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31</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北港兴城（一期）2、3、5栋（2）1单元19层3号</w:t>
            </w:r>
          </w:p>
        </w:tc>
        <w:tc>
          <w:tcPr>
            <w:tcW w:w="12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54,987.11</w:t>
            </w:r>
          </w:p>
        </w:tc>
        <w:tc>
          <w:tcPr>
            <w:tcW w:w="7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商住用地</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六通</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适宜建设</w:t>
            </w:r>
          </w:p>
        </w:tc>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北临相邻土地，东临五里岗大道，西临相邻土地，南临相邻土地</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多边形</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2083年9月20日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47" w:hRule="exact"/>
          <w:jc w:val="center"/>
        </w:trPr>
        <w:tc>
          <w:tcPr>
            <w:tcW w:w="6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32</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北港兴城（一期）2、3、5栋（2）1单元19层4号</w:t>
            </w:r>
          </w:p>
        </w:tc>
        <w:tc>
          <w:tcPr>
            <w:tcW w:w="12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54,987.11</w:t>
            </w:r>
          </w:p>
        </w:tc>
        <w:tc>
          <w:tcPr>
            <w:tcW w:w="7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商住用地</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六通</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适宜建设</w:t>
            </w:r>
          </w:p>
        </w:tc>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北临相邻土地，东临五里岗大道，西临相邻土地，南临相邻土地</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多边形</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2083年9月20日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47" w:hRule="exact"/>
          <w:jc w:val="center"/>
        </w:trPr>
        <w:tc>
          <w:tcPr>
            <w:tcW w:w="6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33</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北港兴城（一期）2、3、5栋（2）1单元20层1号</w:t>
            </w:r>
          </w:p>
        </w:tc>
        <w:tc>
          <w:tcPr>
            <w:tcW w:w="12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54,987.11</w:t>
            </w:r>
          </w:p>
        </w:tc>
        <w:tc>
          <w:tcPr>
            <w:tcW w:w="7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商住用地</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六通</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适宜建设</w:t>
            </w:r>
          </w:p>
        </w:tc>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北临相邻土地，东临五里岗大道，西临相邻土地，南临相邻土地</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多边形</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2083年9月20日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47" w:hRule="exact"/>
          <w:jc w:val="center"/>
        </w:trPr>
        <w:tc>
          <w:tcPr>
            <w:tcW w:w="6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34</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北港兴城（一期）2、3、5栋（2）1单元20层2号</w:t>
            </w:r>
          </w:p>
        </w:tc>
        <w:tc>
          <w:tcPr>
            <w:tcW w:w="12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54,987.11</w:t>
            </w:r>
          </w:p>
        </w:tc>
        <w:tc>
          <w:tcPr>
            <w:tcW w:w="7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商住用地</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六通</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适宜建设</w:t>
            </w:r>
          </w:p>
        </w:tc>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北临相邻土地，东临五里岗大道，西临相邻土地，南临相邻土地</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多边形</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2083年9月20日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47" w:hRule="exact"/>
          <w:jc w:val="center"/>
        </w:trPr>
        <w:tc>
          <w:tcPr>
            <w:tcW w:w="6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35</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北港兴城（一期）2、3、5栋（2）1单元20层3号</w:t>
            </w:r>
          </w:p>
        </w:tc>
        <w:tc>
          <w:tcPr>
            <w:tcW w:w="12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54,987.11</w:t>
            </w:r>
          </w:p>
        </w:tc>
        <w:tc>
          <w:tcPr>
            <w:tcW w:w="7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商住用地</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六通</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适宜建设</w:t>
            </w:r>
          </w:p>
        </w:tc>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北临相邻土地，东临五里岗大道，西临相邻土地，南临相邻土地</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多边形</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2083年9月20日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47" w:hRule="exact"/>
          <w:jc w:val="center"/>
        </w:trPr>
        <w:tc>
          <w:tcPr>
            <w:tcW w:w="6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36</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北港兴城（一期）2、3、5栋（2）1单元20层4号</w:t>
            </w:r>
          </w:p>
        </w:tc>
        <w:tc>
          <w:tcPr>
            <w:tcW w:w="12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54,987.11</w:t>
            </w:r>
          </w:p>
        </w:tc>
        <w:tc>
          <w:tcPr>
            <w:tcW w:w="7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商住用地</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六通</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适宜建设</w:t>
            </w:r>
          </w:p>
        </w:tc>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北临相邻土地，东临五里岗大道，西临相邻土地，南临相邻土地</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多边形</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2083年9月20日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47" w:hRule="exact"/>
          <w:jc w:val="center"/>
        </w:trPr>
        <w:tc>
          <w:tcPr>
            <w:tcW w:w="6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37</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北港兴城（一期）2、3、5栋（2）1单元21层1号</w:t>
            </w:r>
          </w:p>
        </w:tc>
        <w:tc>
          <w:tcPr>
            <w:tcW w:w="12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54,987.11</w:t>
            </w:r>
          </w:p>
        </w:tc>
        <w:tc>
          <w:tcPr>
            <w:tcW w:w="7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商住用地</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六通</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适宜建设</w:t>
            </w:r>
          </w:p>
        </w:tc>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北临相邻土地，东临五里岗大道，西临相邻土地，南临相邻土地</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多边形</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2083年9月20日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47" w:hRule="exact"/>
          <w:jc w:val="center"/>
        </w:trPr>
        <w:tc>
          <w:tcPr>
            <w:tcW w:w="6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38</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北港兴城（一期）2、3、5栋（2）1单元21层2号</w:t>
            </w:r>
          </w:p>
        </w:tc>
        <w:tc>
          <w:tcPr>
            <w:tcW w:w="12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54,987.11</w:t>
            </w:r>
          </w:p>
        </w:tc>
        <w:tc>
          <w:tcPr>
            <w:tcW w:w="7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商住用地</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六通</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适宜建设</w:t>
            </w:r>
          </w:p>
        </w:tc>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北临相邻土地，东临五里岗大道，西临相邻土地，南临相邻土地</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多边形</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2083年9月20日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47" w:hRule="exact"/>
          <w:jc w:val="center"/>
        </w:trPr>
        <w:tc>
          <w:tcPr>
            <w:tcW w:w="6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39</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北港兴城（一期）2、3、5栋（2）1单元21层3号</w:t>
            </w:r>
          </w:p>
        </w:tc>
        <w:tc>
          <w:tcPr>
            <w:tcW w:w="12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54,987.11</w:t>
            </w:r>
          </w:p>
        </w:tc>
        <w:tc>
          <w:tcPr>
            <w:tcW w:w="7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商住用地</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六通</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适宜建设</w:t>
            </w:r>
          </w:p>
        </w:tc>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北临相邻土地，东临五里岗大道，西临相邻土地，南临相邻土地</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多边形</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2083年9月20日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47" w:hRule="exact"/>
          <w:jc w:val="center"/>
        </w:trPr>
        <w:tc>
          <w:tcPr>
            <w:tcW w:w="6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40</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北港兴城（一期）2、3、5栋（2）1单元21层4号</w:t>
            </w:r>
          </w:p>
        </w:tc>
        <w:tc>
          <w:tcPr>
            <w:tcW w:w="12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54,987.11</w:t>
            </w:r>
          </w:p>
        </w:tc>
        <w:tc>
          <w:tcPr>
            <w:tcW w:w="7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商住用地</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六通</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适宜建设</w:t>
            </w:r>
          </w:p>
        </w:tc>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北临相邻土地，东临五里岗大道，西临相邻土地，南临相邻土地</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多边形</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2083年9月20日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47" w:hRule="exact"/>
          <w:jc w:val="center"/>
        </w:trPr>
        <w:tc>
          <w:tcPr>
            <w:tcW w:w="6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41</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北港兴城（一期）2、3、5栋（2）1单元22层1号</w:t>
            </w:r>
          </w:p>
        </w:tc>
        <w:tc>
          <w:tcPr>
            <w:tcW w:w="12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54,987.11</w:t>
            </w:r>
          </w:p>
        </w:tc>
        <w:tc>
          <w:tcPr>
            <w:tcW w:w="7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商住用地</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六通</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适宜建设</w:t>
            </w:r>
          </w:p>
        </w:tc>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北临相邻土地，东临五里岗大道，西临相邻土地，南临相邻土地</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多边形</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2083年9月20日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47" w:hRule="exact"/>
          <w:jc w:val="center"/>
        </w:trPr>
        <w:tc>
          <w:tcPr>
            <w:tcW w:w="6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42</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北港兴城（一期）2、3、5栋（2）1单元22层2号</w:t>
            </w:r>
          </w:p>
        </w:tc>
        <w:tc>
          <w:tcPr>
            <w:tcW w:w="12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54,987.11</w:t>
            </w:r>
          </w:p>
        </w:tc>
        <w:tc>
          <w:tcPr>
            <w:tcW w:w="7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商住用地</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六通</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适宜建设</w:t>
            </w:r>
          </w:p>
        </w:tc>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北临相邻土地，东临五里岗大道，西临相邻土地，南临相邻土地</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多边形</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2083年9月20日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47" w:hRule="exact"/>
          <w:jc w:val="center"/>
        </w:trPr>
        <w:tc>
          <w:tcPr>
            <w:tcW w:w="6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43</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北港兴城（一期）2、3、5栋（2）1单元22层3号</w:t>
            </w:r>
          </w:p>
        </w:tc>
        <w:tc>
          <w:tcPr>
            <w:tcW w:w="12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54,987.11</w:t>
            </w:r>
          </w:p>
        </w:tc>
        <w:tc>
          <w:tcPr>
            <w:tcW w:w="7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商住用地</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六通</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适宜建设</w:t>
            </w:r>
          </w:p>
        </w:tc>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北临相邻土地，东临五里岗大道，西临相邻土地，南临相邻土地</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多边形</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2083年9月20日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47" w:hRule="exact"/>
          <w:jc w:val="center"/>
        </w:trPr>
        <w:tc>
          <w:tcPr>
            <w:tcW w:w="6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44</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北港兴城（一期）2、3、5栋（2）1单元22层4号</w:t>
            </w:r>
          </w:p>
        </w:tc>
        <w:tc>
          <w:tcPr>
            <w:tcW w:w="12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54,987.11</w:t>
            </w:r>
          </w:p>
        </w:tc>
        <w:tc>
          <w:tcPr>
            <w:tcW w:w="7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商住用地</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六通</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适宜建设</w:t>
            </w:r>
          </w:p>
        </w:tc>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北临相邻土地，东临五里岗大道，西临相邻土地，南临相邻土地</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多边形</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2083年9月20日</w:t>
            </w:r>
          </w:p>
        </w:tc>
      </w:tr>
    </w:tbl>
    <w:p>
      <w:pPr>
        <w:pStyle w:val="4"/>
        <w:ind w:firstLine="579" w:firstLineChars="200"/>
        <w:jc w:val="left"/>
      </w:pPr>
      <w:r>
        <w:rPr>
          <w:rFonts w:hint="eastAsia"/>
        </w:rPr>
        <w:t>五、价值时点</w:t>
      </w:r>
      <w:bookmarkEnd w:id="31"/>
      <w:bookmarkEnd w:id="32"/>
      <w:bookmarkEnd w:id="33"/>
      <w:bookmarkEnd w:id="34"/>
      <w:bookmarkEnd w:id="35"/>
    </w:p>
    <w:p>
      <w:pPr>
        <w:pStyle w:val="27"/>
        <w:autoSpaceDE/>
        <w:autoSpaceDN/>
        <w:adjustRightInd/>
        <w:spacing w:before="156" w:beforeLines="50" w:after="156" w:afterLines="50" w:line="360" w:lineRule="auto"/>
        <w:ind w:firstLine="560" w:firstLineChars="200"/>
        <w:jc w:val="both"/>
        <w:textAlignment w:val="auto"/>
        <w:rPr>
          <w:rFonts w:ascii="Times New Roman" w:hAnsi="Times New Roman" w:eastAsia="宋体" w:cs="Times New Roman"/>
          <w:bCs/>
          <w:szCs w:val="28"/>
        </w:rPr>
      </w:pPr>
      <w:r>
        <w:rPr>
          <w:rFonts w:hint="eastAsia" w:ascii="Times New Roman" w:hAnsi="Times New Roman" w:eastAsia="宋体" w:cs="Times New Roman"/>
          <w:bCs/>
          <w:szCs w:val="28"/>
        </w:rPr>
        <w:t>价值时点为</w:t>
      </w:r>
      <w:r>
        <w:rPr>
          <w:rFonts w:hint="eastAsia" w:ascii="Times New Roman" w:hAnsi="Times New Roman" w:eastAsia="宋体" w:cs="Times New Roman"/>
          <w:bCs/>
          <w:szCs w:val="28"/>
          <w:lang w:eastAsia="zh-CN"/>
        </w:rPr>
        <w:t>2022年7月7日</w:t>
      </w:r>
      <w:r>
        <w:rPr>
          <w:rFonts w:hint="eastAsia" w:ascii="Times New Roman" w:hAnsi="Times New Roman" w:eastAsia="宋体" w:cs="Times New Roman"/>
          <w:bCs/>
          <w:szCs w:val="28"/>
        </w:rPr>
        <w:t>，系</w:t>
      </w:r>
      <w:r>
        <w:rPr>
          <w:rFonts w:hint="eastAsia" w:ascii="Times New Roman" w:hAnsi="Times New Roman" w:eastAsia="宋体" w:cs="Times New Roman"/>
          <w:bCs/>
          <w:szCs w:val="28"/>
          <w:lang w:val="en-US" w:eastAsia="zh-CN"/>
        </w:rPr>
        <w:t>注册房地产估价师</w:t>
      </w:r>
      <w:r>
        <w:rPr>
          <w:rFonts w:hint="eastAsia" w:ascii="Times New Roman" w:hAnsi="Times New Roman" w:eastAsia="宋体" w:cs="Times New Roman"/>
          <w:bCs/>
          <w:szCs w:val="28"/>
        </w:rPr>
        <w:t>现场查勘之日。</w:t>
      </w:r>
    </w:p>
    <w:p>
      <w:pPr>
        <w:pStyle w:val="4"/>
        <w:ind w:firstLine="579" w:firstLineChars="200"/>
        <w:jc w:val="left"/>
        <w:rPr>
          <w:rFonts w:hint="eastAsia"/>
          <w:lang w:eastAsia="zh-CN"/>
        </w:rPr>
      </w:pPr>
      <w:bookmarkStart w:id="36" w:name="_Toc440990681"/>
      <w:bookmarkStart w:id="37" w:name="_Toc10555"/>
      <w:bookmarkStart w:id="38" w:name="_Toc10217"/>
      <w:bookmarkStart w:id="39" w:name="_Toc440992061"/>
      <w:bookmarkStart w:id="40" w:name="_Toc20570"/>
      <w:r>
        <w:rPr>
          <w:rFonts w:hint="eastAsia"/>
        </w:rPr>
        <w:t>六、价值</w:t>
      </w:r>
      <w:bookmarkEnd w:id="36"/>
      <w:bookmarkEnd w:id="37"/>
      <w:bookmarkEnd w:id="38"/>
      <w:bookmarkEnd w:id="39"/>
      <w:r>
        <w:rPr>
          <w:rFonts w:hint="eastAsia"/>
          <w:lang w:val="en-US" w:eastAsia="zh-CN"/>
        </w:rPr>
        <w:t>类型</w:t>
      </w:r>
      <w:bookmarkEnd w:id="40"/>
    </w:p>
    <w:p>
      <w:pPr>
        <w:ind w:firstLine="560"/>
      </w:pPr>
      <w:bookmarkStart w:id="41" w:name="_Toc27632"/>
      <w:bookmarkStart w:id="42" w:name="_Toc440992062"/>
      <w:bookmarkStart w:id="43" w:name="_Toc31835"/>
      <w:bookmarkStart w:id="44" w:name="_Toc440990682"/>
      <w:r>
        <w:rPr>
          <w:rFonts w:hint="eastAsia"/>
        </w:rPr>
        <w:t>本报告书提供的房地产价值是满足本报告假设限制条件下于价值时点的房地产市场价值。</w:t>
      </w:r>
    </w:p>
    <w:p>
      <w:pPr>
        <w:ind w:firstLine="560"/>
        <w:rPr>
          <w:rFonts w:hint="eastAsia" w:ascii="Times New Roman" w:hAnsi="Times New Roman" w:eastAsia="宋体" w:cs="Times New Roman"/>
          <w:bCs/>
          <w:szCs w:val="28"/>
          <w:lang w:eastAsia="zh-CN"/>
        </w:rPr>
      </w:pPr>
      <w:r>
        <w:rPr>
          <w:rFonts w:hint="eastAsia" w:hAnsi="宋体"/>
          <w:szCs w:val="28"/>
          <w:lang w:val="en-US" w:eastAsia="zh-CN"/>
        </w:rPr>
        <w:t>价值定义：</w:t>
      </w:r>
      <w:r>
        <w:rPr>
          <w:rFonts w:hint="eastAsia"/>
        </w:rPr>
        <w:t>市场价值是指估价对象经适当营销后，由熟悉情况、谨慎行事且不受强迫的交易双方，以公平交易方式在价值时点自愿进行交易的金额。</w:t>
      </w:r>
    </w:p>
    <w:p>
      <w:pPr>
        <w:pStyle w:val="4"/>
        <w:ind w:firstLine="579" w:firstLineChars="200"/>
        <w:jc w:val="left"/>
      </w:pPr>
      <w:bookmarkStart w:id="45" w:name="_Toc13679"/>
      <w:r>
        <w:rPr>
          <w:rFonts w:hint="eastAsia"/>
          <w:lang w:val="en-US" w:eastAsia="zh-CN"/>
        </w:rPr>
        <w:t>七</w:t>
      </w:r>
      <w:r>
        <w:rPr>
          <w:rFonts w:hint="eastAsia"/>
        </w:rPr>
        <w:t>、估价原则</w:t>
      </w:r>
      <w:bookmarkEnd w:id="45"/>
    </w:p>
    <w:p>
      <w:pPr>
        <w:pStyle w:val="27"/>
        <w:autoSpaceDE/>
        <w:autoSpaceDN/>
        <w:adjustRightInd/>
        <w:spacing w:before="156" w:beforeLines="50" w:after="156" w:afterLines="50" w:line="360" w:lineRule="auto"/>
        <w:ind w:firstLine="560" w:firstLineChars="200"/>
        <w:jc w:val="both"/>
        <w:textAlignment w:val="auto"/>
        <w:rPr>
          <w:rFonts w:ascii="Times New Roman" w:hAnsi="Times New Roman" w:eastAsia="宋体" w:cs="Times New Roman"/>
          <w:bCs/>
          <w:szCs w:val="28"/>
        </w:rPr>
      </w:pPr>
      <w:r>
        <w:rPr>
          <w:rFonts w:hint="eastAsia" w:ascii="Times New Roman" w:hAnsi="Times New Roman" w:eastAsia="宋体" w:cs="Times New Roman"/>
          <w:bCs/>
          <w:szCs w:val="28"/>
        </w:rPr>
        <w:t>本估价报告在遵循客观、公正、科学、合理的基本原则下，结合估价目的对估价对象进行评估。具体依据如下估价原则：客观、独立、公正原则、合法原则、最高最佳使用原则、替代原则、价值时点原则。</w:t>
      </w:r>
    </w:p>
    <w:p>
      <w:pPr>
        <w:pStyle w:val="27"/>
        <w:autoSpaceDE/>
        <w:autoSpaceDN/>
        <w:adjustRightInd/>
        <w:spacing w:before="156" w:beforeLines="50" w:after="156" w:afterLines="50" w:line="360" w:lineRule="auto"/>
        <w:ind w:firstLine="562" w:firstLineChars="200"/>
        <w:jc w:val="both"/>
        <w:textAlignment w:val="auto"/>
        <w:rPr>
          <w:rFonts w:ascii="Times New Roman" w:hAnsi="Times New Roman" w:eastAsia="宋体" w:cs="Times New Roman"/>
          <w:bCs/>
          <w:szCs w:val="28"/>
        </w:rPr>
      </w:pPr>
      <w:r>
        <w:rPr>
          <w:rFonts w:hint="eastAsia" w:ascii="Times New Roman" w:hAnsi="Times New Roman" w:eastAsia="宋体" w:cs="Times New Roman"/>
          <w:b/>
          <w:szCs w:val="28"/>
        </w:rPr>
        <w:t>1、客观、独立、公正原则</w:t>
      </w:r>
      <w:r>
        <w:rPr>
          <w:rFonts w:hint="eastAsia" w:ascii="Times New Roman" w:hAnsi="Times New Roman" w:eastAsia="宋体" w:cs="Times New Roman"/>
          <w:bCs/>
          <w:szCs w:val="28"/>
        </w:rPr>
        <w:t>：要求站在中立的立场上，实事求是、公平正直地评估出对各方估价利害关系人均是公平合理的价值或价格的原则。</w:t>
      </w:r>
    </w:p>
    <w:p>
      <w:pPr>
        <w:pStyle w:val="27"/>
        <w:autoSpaceDE/>
        <w:autoSpaceDN/>
        <w:adjustRightInd/>
        <w:spacing w:before="156" w:beforeLines="50" w:after="156" w:afterLines="50" w:line="360" w:lineRule="auto"/>
        <w:ind w:firstLine="562" w:firstLineChars="200"/>
        <w:jc w:val="both"/>
        <w:textAlignment w:val="auto"/>
        <w:rPr>
          <w:rFonts w:ascii="Times New Roman" w:hAnsi="Times New Roman" w:eastAsia="宋体" w:cs="Times New Roman"/>
          <w:bCs/>
          <w:szCs w:val="28"/>
        </w:rPr>
      </w:pPr>
      <w:r>
        <w:rPr>
          <w:rFonts w:hint="eastAsia" w:ascii="Times New Roman" w:hAnsi="Times New Roman" w:eastAsia="宋体" w:cs="Times New Roman"/>
          <w:b/>
          <w:szCs w:val="28"/>
        </w:rPr>
        <w:t>2、合法原则：</w:t>
      </w:r>
      <w:r>
        <w:rPr>
          <w:rFonts w:hint="eastAsia" w:ascii="Times New Roman" w:hAnsi="Times New Roman" w:eastAsia="宋体" w:cs="Times New Roman"/>
          <w:bCs/>
          <w:szCs w:val="28"/>
        </w:rPr>
        <w:t>要求估价结果是在依法判定的估价对象状况下的价值或价格的原则。</w:t>
      </w:r>
    </w:p>
    <w:p>
      <w:pPr>
        <w:pStyle w:val="27"/>
        <w:autoSpaceDE/>
        <w:autoSpaceDN/>
        <w:adjustRightInd/>
        <w:spacing w:before="156" w:beforeLines="50" w:after="156" w:afterLines="50" w:line="360" w:lineRule="auto"/>
        <w:ind w:firstLine="562" w:firstLineChars="200"/>
        <w:jc w:val="both"/>
        <w:textAlignment w:val="auto"/>
        <w:rPr>
          <w:rFonts w:ascii="Times New Roman" w:hAnsi="Times New Roman" w:eastAsia="宋体" w:cs="Times New Roman"/>
          <w:bCs/>
          <w:szCs w:val="28"/>
        </w:rPr>
      </w:pPr>
      <w:r>
        <w:rPr>
          <w:rFonts w:hint="eastAsia" w:ascii="Times New Roman" w:hAnsi="Times New Roman" w:eastAsia="宋体" w:cs="Times New Roman"/>
          <w:b/>
          <w:szCs w:val="28"/>
        </w:rPr>
        <w:t>3、价值时点原则：</w:t>
      </w:r>
      <w:r>
        <w:rPr>
          <w:rFonts w:hint="eastAsia" w:ascii="Times New Roman" w:hAnsi="Times New Roman" w:eastAsia="宋体" w:cs="Times New Roman"/>
          <w:bCs/>
          <w:szCs w:val="28"/>
        </w:rPr>
        <w:t>要求估价结果是在根据估价目的确定的某一特定时间的价值或价格的原则。</w:t>
      </w:r>
    </w:p>
    <w:p>
      <w:pPr>
        <w:pStyle w:val="27"/>
        <w:autoSpaceDE/>
        <w:autoSpaceDN/>
        <w:adjustRightInd/>
        <w:spacing w:before="156" w:beforeLines="50" w:after="156" w:afterLines="50" w:line="360" w:lineRule="auto"/>
        <w:ind w:firstLine="562" w:firstLineChars="200"/>
        <w:jc w:val="both"/>
        <w:textAlignment w:val="auto"/>
        <w:rPr>
          <w:rFonts w:ascii="Times New Roman" w:hAnsi="Times New Roman" w:eastAsia="宋体" w:cs="Times New Roman"/>
          <w:bCs/>
          <w:szCs w:val="28"/>
        </w:rPr>
      </w:pPr>
      <w:r>
        <w:rPr>
          <w:rFonts w:hint="eastAsia" w:ascii="Times New Roman" w:hAnsi="Times New Roman" w:eastAsia="宋体" w:cs="Times New Roman"/>
          <w:b/>
          <w:szCs w:val="28"/>
        </w:rPr>
        <w:t>4、替代原则：</w:t>
      </w:r>
      <w:r>
        <w:rPr>
          <w:rFonts w:hint="eastAsia" w:ascii="Times New Roman" w:hAnsi="Times New Roman" w:eastAsia="宋体" w:cs="Times New Roman"/>
          <w:bCs/>
          <w:szCs w:val="28"/>
        </w:rPr>
        <w:t>要求估价结果与估价对象的类似房地产在同等条件下的价值或价格偏差在合理范围内的原则。</w:t>
      </w:r>
    </w:p>
    <w:p>
      <w:pPr>
        <w:pStyle w:val="27"/>
        <w:autoSpaceDE/>
        <w:autoSpaceDN/>
        <w:adjustRightInd/>
        <w:spacing w:before="156" w:beforeLines="50" w:after="156" w:afterLines="50" w:line="360" w:lineRule="auto"/>
        <w:ind w:firstLine="562" w:firstLineChars="200"/>
        <w:jc w:val="both"/>
        <w:textAlignment w:val="auto"/>
        <w:rPr>
          <w:rFonts w:hint="eastAsia" w:ascii="Times New Roman" w:hAnsi="Times New Roman" w:eastAsia="宋体" w:cs="Times New Roman"/>
          <w:bCs/>
          <w:szCs w:val="28"/>
        </w:rPr>
      </w:pPr>
      <w:r>
        <w:rPr>
          <w:rFonts w:hint="eastAsia" w:ascii="Times New Roman" w:hAnsi="Times New Roman" w:eastAsia="宋体" w:cs="Times New Roman"/>
          <w:b/>
          <w:szCs w:val="28"/>
        </w:rPr>
        <w:t>5、最高最佳利用原则：</w:t>
      </w:r>
      <w:r>
        <w:rPr>
          <w:rFonts w:hint="eastAsia" w:ascii="Times New Roman" w:hAnsi="Times New Roman" w:eastAsia="宋体" w:cs="Times New Roman"/>
          <w:bCs/>
          <w:szCs w:val="28"/>
        </w:rPr>
        <w:t>要求估价结果是在估价对象最高最佳利用状况下的价值或价格的原则。</w:t>
      </w:r>
    </w:p>
    <w:p>
      <w:pPr>
        <w:pStyle w:val="4"/>
        <w:ind w:firstLine="579" w:firstLineChars="200"/>
        <w:jc w:val="left"/>
      </w:pPr>
      <w:bookmarkStart w:id="46" w:name="_Toc695"/>
      <w:r>
        <w:rPr>
          <w:rFonts w:hint="eastAsia"/>
          <w:lang w:val="en-US" w:eastAsia="zh-CN"/>
        </w:rPr>
        <w:t>八</w:t>
      </w:r>
      <w:r>
        <w:rPr>
          <w:rFonts w:hint="eastAsia"/>
        </w:rPr>
        <w:t>、估价依据</w:t>
      </w:r>
      <w:bookmarkEnd w:id="41"/>
      <w:bookmarkEnd w:id="42"/>
      <w:bookmarkEnd w:id="43"/>
      <w:bookmarkEnd w:id="44"/>
      <w:bookmarkEnd w:id="46"/>
    </w:p>
    <w:p>
      <w:pPr>
        <w:pStyle w:val="27"/>
        <w:autoSpaceDE/>
        <w:autoSpaceDN/>
        <w:adjustRightInd/>
        <w:spacing w:before="156" w:beforeLines="50" w:after="156" w:afterLines="50" w:line="360" w:lineRule="auto"/>
        <w:ind w:firstLine="560" w:firstLineChars="200"/>
        <w:jc w:val="both"/>
        <w:textAlignment w:val="auto"/>
        <w:rPr>
          <w:rFonts w:hint="eastAsia" w:ascii="Times New Roman" w:hAnsi="Times New Roman" w:eastAsia="宋体" w:cs="Times New Roman"/>
          <w:bCs/>
          <w:szCs w:val="28"/>
          <w:lang w:val="en-US" w:eastAsia="zh-CN"/>
        </w:rPr>
      </w:pPr>
      <w:bookmarkStart w:id="47" w:name="_Toc27176"/>
      <w:bookmarkStart w:id="48" w:name="_Toc440990683"/>
      <w:bookmarkStart w:id="49" w:name="_Toc440992063"/>
      <w:bookmarkStart w:id="50" w:name="_Toc290"/>
      <w:r>
        <w:rPr>
          <w:rFonts w:hint="eastAsia" w:ascii="Times New Roman" w:hAnsi="Times New Roman" w:eastAsia="宋体" w:cs="Times New Roman"/>
          <w:bCs/>
          <w:szCs w:val="28"/>
          <w:lang w:eastAsia="zh-CN"/>
        </w:rPr>
        <w:t>（</w:t>
      </w:r>
      <w:r>
        <w:rPr>
          <w:rFonts w:hint="eastAsia" w:ascii="Times New Roman" w:hAnsi="Times New Roman" w:eastAsia="宋体" w:cs="Times New Roman"/>
          <w:bCs/>
          <w:szCs w:val="28"/>
          <w:lang w:val="en-US" w:eastAsia="zh-CN"/>
        </w:rPr>
        <w:t>一</w:t>
      </w:r>
      <w:r>
        <w:rPr>
          <w:rFonts w:hint="eastAsia" w:ascii="Times New Roman" w:hAnsi="Times New Roman" w:eastAsia="宋体" w:cs="Times New Roman"/>
          <w:bCs/>
          <w:szCs w:val="28"/>
          <w:lang w:eastAsia="zh-CN"/>
        </w:rPr>
        <w:t>）</w:t>
      </w:r>
      <w:r>
        <w:rPr>
          <w:rFonts w:hint="eastAsia" w:ascii="Times New Roman" w:hAnsi="Times New Roman" w:eastAsia="宋体" w:cs="Times New Roman"/>
          <w:bCs/>
          <w:szCs w:val="28"/>
          <w:lang w:val="en-US" w:eastAsia="zh-CN"/>
        </w:rPr>
        <w:t>有关法律、法规和政策</w:t>
      </w:r>
    </w:p>
    <w:p>
      <w:pPr>
        <w:pStyle w:val="27"/>
        <w:autoSpaceDE/>
        <w:autoSpaceDN/>
        <w:adjustRightInd/>
        <w:spacing w:before="0" w:beforeLines="0" w:after="0" w:afterLines="0" w:line="360" w:lineRule="auto"/>
        <w:ind w:firstLine="560" w:firstLineChars="200"/>
        <w:jc w:val="both"/>
        <w:textAlignment w:val="auto"/>
        <w:rPr>
          <w:rFonts w:hint="eastAsia" w:ascii="Times New Roman" w:hAnsi="Times New Roman" w:eastAsia="宋体" w:cs="Times New Roman"/>
          <w:bCs/>
          <w:szCs w:val="28"/>
        </w:rPr>
      </w:pPr>
      <w:r>
        <w:rPr>
          <w:rFonts w:hint="eastAsia" w:ascii="Times New Roman" w:hAnsi="Times New Roman" w:eastAsia="宋体" w:cs="Times New Roman"/>
          <w:bCs/>
          <w:szCs w:val="28"/>
          <w:lang w:val="en-US" w:eastAsia="zh-CN"/>
        </w:rPr>
        <w:t>1、</w:t>
      </w:r>
      <w:r>
        <w:rPr>
          <w:rFonts w:hint="eastAsia" w:ascii="Times New Roman" w:hAnsi="Times New Roman" w:eastAsia="宋体" w:cs="Times New Roman"/>
          <w:bCs/>
          <w:szCs w:val="28"/>
        </w:rPr>
        <w:t>《中华人民共和国房地产管理法》</w:t>
      </w:r>
      <w:r>
        <w:rPr>
          <w:rFonts w:hint="eastAsia" w:ascii="Times New Roman" w:hAnsi="Times New Roman" w:eastAsia="宋体" w:cs="Times New Roman"/>
          <w:bCs/>
          <w:szCs w:val="28"/>
          <w:lang w:eastAsia="zh-CN"/>
        </w:rPr>
        <w:t>（</w:t>
      </w:r>
      <w:r>
        <w:rPr>
          <w:rFonts w:hint="eastAsia" w:ascii="Times New Roman" w:hAnsi="Times New Roman" w:eastAsia="宋体" w:cs="Times New Roman"/>
          <w:bCs/>
          <w:szCs w:val="28"/>
          <w:lang w:val="en-US" w:eastAsia="zh-CN"/>
        </w:rPr>
        <w:t>2020年1月1日修订实施</w:t>
      </w:r>
      <w:r>
        <w:rPr>
          <w:rFonts w:hint="eastAsia" w:ascii="Times New Roman" w:hAnsi="Times New Roman" w:eastAsia="宋体" w:cs="Times New Roman"/>
          <w:bCs/>
          <w:szCs w:val="28"/>
          <w:lang w:eastAsia="zh-CN"/>
        </w:rPr>
        <w:t>）</w:t>
      </w:r>
      <w:r>
        <w:rPr>
          <w:rFonts w:hint="eastAsia" w:ascii="Times New Roman" w:hAnsi="Times New Roman" w:eastAsia="宋体" w:cs="Times New Roman"/>
          <w:bCs/>
          <w:szCs w:val="28"/>
        </w:rPr>
        <w:t>；</w:t>
      </w:r>
    </w:p>
    <w:p>
      <w:pPr>
        <w:pStyle w:val="27"/>
        <w:autoSpaceDE/>
        <w:autoSpaceDN/>
        <w:adjustRightInd/>
        <w:spacing w:before="0" w:beforeLines="0" w:after="0" w:afterLines="0" w:line="360" w:lineRule="auto"/>
        <w:ind w:firstLine="560" w:firstLineChars="200"/>
        <w:jc w:val="both"/>
        <w:textAlignment w:val="auto"/>
        <w:rPr>
          <w:rFonts w:hint="eastAsia" w:ascii="Times New Roman" w:hAnsi="Times New Roman" w:eastAsia="宋体" w:cs="Times New Roman"/>
          <w:bCs/>
          <w:szCs w:val="28"/>
        </w:rPr>
      </w:pPr>
      <w:r>
        <w:rPr>
          <w:rFonts w:hint="eastAsia" w:ascii="Times New Roman" w:hAnsi="Times New Roman" w:eastAsia="宋体" w:cs="Times New Roman"/>
          <w:bCs/>
          <w:szCs w:val="28"/>
          <w:lang w:val="en-US" w:eastAsia="zh-CN"/>
        </w:rPr>
        <w:t>2、</w:t>
      </w:r>
      <w:r>
        <w:rPr>
          <w:rFonts w:hint="eastAsia" w:ascii="Times New Roman" w:hAnsi="Times New Roman" w:eastAsia="宋体" w:cs="Times New Roman"/>
          <w:bCs/>
          <w:szCs w:val="28"/>
        </w:rPr>
        <w:t>《中华人民共和国土地管理法》</w:t>
      </w:r>
      <w:r>
        <w:rPr>
          <w:rFonts w:hint="eastAsia" w:ascii="Times New Roman" w:hAnsi="Times New Roman" w:eastAsia="宋体" w:cs="Times New Roman"/>
          <w:bCs/>
          <w:szCs w:val="28"/>
          <w:lang w:eastAsia="zh-CN"/>
        </w:rPr>
        <w:t>（</w:t>
      </w:r>
      <w:r>
        <w:rPr>
          <w:rFonts w:hint="eastAsia" w:ascii="Times New Roman" w:hAnsi="Times New Roman" w:eastAsia="宋体" w:cs="Times New Roman"/>
          <w:bCs/>
          <w:szCs w:val="28"/>
          <w:lang w:val="en-US" w:eastAsia="zh-CN"/>
        </w:rPr>
        <w:t>2020年1月1日修订实施</w:t>
      </w:r>
      <w:r>
        <w:rPr>
          <w:rFonts w:hint="eastAsia" w:ascii="Times New Roman" w:hAnsi="Times New Roman" w:eastAsia="宋体" w:cs="Times New Roman"/>
          <w:bCs/>
          <w:szCs w:val="28"/>
          <w:lang w:eastAsia="zh-CN"/>
        </w:rPr>
        <w:t>）</w:t>
      </w:r>
      <w:r>
        <w:rPr>
          <w:rFonts w:hint="eastAsia" w:ascii="Times New Roman" w:hAnsi="Times New Roman" w:eastAsia="宋体" w:cs="Times New Roman"/>
          <w:bCs/>
          <w:szCs w:val="28"/>
        </w:rPr>
        <w:t>；</w:t>
      </w:r>
    </w:p>
    <w:p>
      <w:pPr>
        <w:pStyle w:val="27"/>
        <w:autoSpaceDE/>
        <w:autoSpaceDN/>
        <w:adjustRightInd/>
        <w:spacing w:before="0" w:beforeLines="0" w:after="0" w:afterLines="0" w:line="360" w:lineRule="auto"/>
        <w:ind w:firstLine="560" w:firstLineChars="200"/>
        <w:jc w:val="both"/>
        <w:textAlignment w:val="auto"/>
        <w:rPr>
          <w:rFonts w:hint="eastAsia" w:ascii="Times New Roman" w:hAnsi="Times New Roman" w:eastAsia="宋体" w:cs="Times New Roman"/>
          <w:bCs/>
          <w:szCs w:val="28"/>
        </w:rPr>
      </w:pPr>
      <w:r>
        <w:rPr>
          <w:rFonts w:hint="eastAsia" w:ascii="Times New Roman" w:hAnsi="Times New Roman" w:eastAsia="宋体" w:cs="Times New Roman"/>
          <w:bCs/>
          <w:szCs w:val="28"/>
          <w:lang w:val="en-US" w:eastAsia="zh-CN"/>
        </w:rPr>
        <w:t>3、</w:t>
      </w:r>
      <w:r>
        <w:rPr>
          <w:rFonts w:hint="eastAsia" w:ascii="Times New Roman" w:hAnsi="Times New Roman" w:eastAsia="宋体" w:cs="Times New Roman"/>
          <w:bCs/>
          <w:szCs w:val="28"/>
        </w:rPr>
        <w:t>《中华人民共和国民法典》</w:t>
      </w:r>
      <w:r>
        <w:rPr>
          <w:rFonts w:hint="eastAsia" w:ascii="Times New Roman" w:hAnsi="Times New Roman" w:eastAsia="宋体" w:cs="Times New Roman"/>
          <w:bCs/>
          <w:szCs w:val="28"/>
          <w:lang w:eastAsia="zh-CN"/>
        </w:rPr>
        <w:t>（</w:t>
      </w:r>
      <w:r>
        <w:rPr>
          <w:rFonts w:hint="eastAsia" w:ascii="Times New Roman" w:hAnsi="Times New Roman" w:eastAsia="宋体" w:cs="Times New Roman"/>
          <w:bCs/>
          <w:szCs w:val="28"/>
          <w:lang w:val="en-US" w:eastAsia="zh-CN"/>
        </w:rPr>
        <w:t>2021年1月1日实施</w:t>
      </w:r>
      <w:r>
        <w:rPr>
          <w:rFonts w:hint="eastAsia" w:ascii="Times New Roman" w:hAnsi="Times New Roman" w:eastAsia="宋体" w:cs="Times New Roman"/>
          <w:bCs/>
          <w:szCs w:val="28"/>
          <w:lang w:eastAsia="zh-CN"/>
        </w:rPr>
        <w:t>）</w:t>
      </w:r>
      <w:r>
        <w:rPr>
          <w:rFonts w:hint="eastAsia" w:ascii="Times New Roman" w:hAnsi="Times New Roman" w:eastAsia="宋体" w:cs="Times New Roman"/>
          <w:bCs/>
          <w:szCs w:val="28"/>
        </w:rPr>
        <w:t>；</w:t>
      </w:r>
    </w:p>
    <w:p>
      <w:pPr>
        <w:pStyle w:val="27"/>
        <w:autoSpaceDE/>
        <w:autoSpaceDN/>
        <w:adjustRightInd/>
        <w:spacing w:before="0" w:beforeLines="0" w:after="0" w:afterLines="0" w:line="360" w:lineRule="auto"/>
        <w:ind w:firstLine="560" w:firstLineChars="200"/>
        <w:jc w:val="both"/>
        <w:textAlignment w:val="auto"/>
        <w:rPr>
          <w:rFonts w:hint="eastAsia" w:ascii="Times New Roman" w:hAnsi="Times New Roman" w:eastAsia="宋体" w:cs="Times New Roman"/>
          <w:bCs/>
          <w:szCs w:val="28"/>
          <w:lang w:eastAsia="zh-CN"/>
        </w:rPr>
      </w:pPr>
      <w:r>
        <w:rPr>
          <w:rFonts w:hint="eastAsia" w:ascii="Times New Roman" w:hAnsi="Times New Roman" w:eastAsia="宋体" w:cs="Times New Roman"/>
          <w:bCs/>
          <w:szCs w:val="28"/>
          <w:lang w:val="en-US" w:eastAsia="zh-CN"/>
        </w:rPr>
        <w:t>4、</w:t>
      </w:r>
      <w:r>
        <w:rPr>
          <w:rFonts w:hint="eastAsia" w:ascii="Times New Roman" w:hAnsi="Times New Roman" w:eastAsia="宋体" w:cs="Times New Roman"/>
          <w:bCs/>
          <w:szCs w:val="28"/>
        </w:rPr>
        <w:t>《中华人民共和国资产评估法》</w:t>
      </w:r>
      <w:r>
        <w:rPr>
          <w:rFonts w:hint="eastAsia" w:ascii="Times New Roman" w:hAnsi="Times New Roman" w:eastAsia="宋体" w:cs="Times New Roman"/>
          <w:bCs/>
          <w:szCs w:val="28"/>
          <w:lang w:eastAsia="zh-CN"/>
        </w:rPr>
        <w:t>（</w:t>
      </w:r>
      <w:r>
        <w:rPr>
          <w:rFonts w:hint="eastAsia" w:ascii="Times New Roman" w:hAnsi="Times New Roman" w:eastAsia="宋体" w:cs="Times New Roman"/>
          <w:bCs/>
          <w:szCs w:val="28"/>
          <w:lang w:val="en-US" w:eastAsia="zh-CN"/>
        </w:rPr>
        <w:t>2016年12月1日实施</w:t>
      </w:r>
      <w:r>
        <w:rPr>
          <w:rFonts w:hint="eastAsia" w:ascii="Times New Roman" w:hAnsi="Times New Roman" w:eastAsia="宋体" w:cs="Times New Roman"/>
          <w:bCs/>
          <w:szCs w:val="28"/>
          <w:lang w:eastAsia="zh-CN"/>
        </w:rPr>
        <w:t>）；</w:t>
      </w:r>
    </w:p>
    <w:p>
      <w:pPr>
        <w:pStyle w:val="27"/>
        <w:autoSpaceDE/>
        <w:autoSpaceDN/>
        <w:adjustRightInd/>
        <w:spacing w:before="156" w:beforeLines="50" w:after="156" w:afterLines="50" w:line="360" w:lineRule="auto"/>
        <w:ind w:firstLine="560" w:firstLineChars="200"/>
        <w:jc w:val="both"/>
        <w:textAlignment w:val="auto"/>
        <w:rPr>
          <w:rFonts w:hint="eastAsia" w:ascii="Times New Roman" w:hAnsi="Times New Roman" w:eastAsia="宋体" w:cs="Times New Roman"/>
          <w:bCs/>
          <w:szCs w:val="28"/>
          <w:lang w:val="en-US" w:eastAsia="zh-CN"/>
        </w:rPr>
      </w:pPr>
      <w:r>
        <w:rPr>
          <w:rFonts w:hint="eastAsia" w:ascii="Times New Roman" w:hAnsi="Times New Roman" w:eastAsia="宋体" w:cs="Times New Roman"/>
          <w:bCs/>
          <w:szCs w:val="28"/>
          <w:lang w:val="en-US" w:eastAsia="zh-CN"/>
        </w:rPr>
        <w:t>5、《人民法院委托评估工作规范》（</w:t>
      </w:r>
      <w:r>
        <w:rPr>
          <w:rFonts w:hint="eastAsia" w:ascii="Times New Roman" w:hAnsi="Times New Roman" w:eastAsia="宋体" w:cs="Times New Roman"/>
          <w:bCs/>
          <w:szCs w:val="28"/>
        </w:rPr>
        <w:t>法办〔2018〕273号</w:t>
      </w:r>
      <w:r>
        <w:rPr>
          <w:rFonts w:hint="eastAsia" w:ascii="Times New Roman" w:hAnsi="Times New Roman" w:eastAsia="宋体" w:cs="Times New Roman"/>
          <w:bCs/>
          <w:szCs w:val="28"/>
          <w:lang w:val="en-US" w:eastAsia="zh-CN"/>
        </w:rPr>
        <w:t>）</w:t>
      </w:r>
    </w:p>
    <w:p>
      <w:pPr>
        <w:pStyle w:val="27"/>
        <w:autoSpaceDE/>
        <w:autoSpaceDN/>
        <w:adjustRightInd/>
        <w:spacing w:before="156" w:beforeLines="50" w:after="156" w:afterLines="50" w:line="360" w:lineRule="auto"/>
        <w:ind w:firstLine="560" w:firstLineChars="200"/>
        <w:jc w:val="both"/>
        <w:textAlignment w:val="auto"/>
        <w:rPr>
          <w:rFonts w:hint="eastAsia" w:ascii="Times New Roman" w:hAnsi="Times New Roman" w:eastAsia="宋体" w:cs="Times New Roman"/>
          <w:bCs/>
          <w:szCs w:val="28"/>
        </w:rPr>
      </w:pPr>
      <w:r>
        <w:rPr>
          <w:rFonts w:hint="eastAsia" w:ascii="Times New Roman" w:hAnsi="Times New Roman" w:eastAsia="宋体" w:cs="Times New Roman"/>
          <w:bCs/>
          <w:szCs w:val="28"/>
          <w:lang w:val="en-US" w:eastAsia="zh-CN"/>
        </w:rPr>
        <w:t>6、《最高人民法院关于人民法院确定财产处置参考价若干问题的规定》</w:t>
      </w:r>
      <w:r>
        <w:rPr>
          <w:rFonts w:hint="eastAsia" w:ascii="Times New Roman" w:hAnsi="Times New Roman" w:eastAsia="宋体" w:cs="Times New Roman"/>
          <w:bCs/>
          <w:szCs w:val="28"/>
        </w:rPr>
        <w:t>法释〔2018〕15号</w:t>
      </w:r>
    </w:p>
    <w:p>
      <w:pPr>
        <w:pStyle w:val="27"/>
        <w:autoSpaceDE/>
        <w:autoSpaceDN/>
        <w:adjustRightInd/>
        <w:spacing w:before="156" w:beforeLines="50" w:after="156" w:afterLines="50" w:line="360" w:lineRule="auto"/>
        <w:ind w:firstLine="560" w:firstLineChars="200"/>
        <w:jc w:val="both"/>
        <w:textAlignment w:val="auto"/>
        <w:rPr>
          <w:rFonts w:hint="eastAsia" w:ascii="Times New Roman" w:hAnsi="Times New Roman" w:eastAsia="宋体" w:cs="Times New Roman"/>
          <w:bCs/>
          <w:szCs w:val="28"/>
        </w:rPr>
      </w:pPr>
      <w:r>
        <w:rPr>
          <w:rFonts w:hint="eastAsia" w:ascii="Times New Roman" w:hAnsi="Times New Roman" w:eastAsia="宋体" w:cs="Times New Roman"/>
          <w:bCs/>
          <w:szCs w:val="28"/>
          <w:lang w:val="en-US" w:eastAsia="zh-CN"/>
        </w:rPr>
        <w:t>7</w:t>
      </w:r>
      <w:r>
        <w:rPr>
          <w:rFonts w:hint="eastAsia" w:ascii="Times New Roman" w:hAnsi="Times New Roman" w:eastAsia="宋体" w:cs="Times New Roman"/>
          <w:bCs/>
          <w:szCs w:val="28"/>
        </w:rPr>
        <w:t>、《司法鉴定程序通则》（司法部令第132号）；</w:t>
      </w:r>
    </w:p>
    <w:p>
      <w:pPr>
        <w:pStyle w:val="27"/>
        <w:autoSpaceDE/>
        <w:autoSpaceDN/>
        <w:adjustRightInd/>
        <w:spacing w:before="156" w:beforeLines="50" w:after="156" w:afterLines="50" w:line="360" w:lineRule="auto"/>
        <w:ind w:firstLine="560" w:firstLineChars="200"/>
        <w:jc w:val="both"/>
        <w:textAlignment w:val="auto"/>
        <w:rPr>
          <w:rFonts w:hint="eastAsia" w:ascii="Times New Roman" w:hAnsi="Times New Roman" w:eastAsia="宋体" w:cs="Times New Roman"/>
          <w:bCs/>
          <w:szCs w:val="28"/>
        </w:rPr>
      </w:pPr>
      <w:r>
        <w:rPr>
          <w:rFonts w:hint="eastAsia" w:ascii="Times New Roman" w:hAnsi="Times New Roman" w:eastAsia="宋体" w:cs="Times New Roman"/>
          <w:bCs/>
          <w:szCs w:val="28"/>
          <w:lang w:val="en-US" w:eastAsia="zh-CN"/>
        </w:rPr>
        <w:t>8</w:t>
      </w:r>
      <w:r>
        <w:rPr>
          <w:rFonts w:hint="eastAsia" w:ascii="Times New Roman" w:hAnsi="Times New Roman" w:eastAsia="宋体" w:cs="Times New Roman"/>
          <w:bCs/>
          <w:szCs w:val="28"/>
        </w:rPr>
        <w:t>、《司法部关于印发〈司法鉴定文书规范〉和〈司法鉴定协议书（示范文本）〉的通知》（司发通〔2007〕71号）；</w:t>
      </w:r>
    </w:p>
    <w:p>
      <w:pPr>
        <w:pStyle w:val="27"/>
        <w:autoSpaceDE/>
        <w:autoSpaceDN/>
        <w:adjustRightInd/>
        <w:spacing w:before="156" w:beforeLines="50" w:after="156" w:afterLines="50" w:line="360" w:lineRule="auto"/>
        <w:ind w:firstLine="560" w:firstLineChars="200"/>
        <w:jc w:val="both"/>
        <w:textAlignment w:val="auto"/>
        <w:rPr>
          <w:rFonts w:hint="eastAsia" w:ascii="Times New Roman" w:hAnsi="Times New Roman" w:eastAsia="宋体" w:cs="Times New Roman"/>
          <w:bCs/>
          <w:szCs w:val="28"/>
        </w:rPr>
      </w:pPr>
      <w:r>
        <w:rPr>
          <w:rFonts w:hint="eastAsia" w:ascii="Times New Roman" w:hAnsi="Times New Roman" w:eastAsia="宋体" w:cs="Times New Roman"/>
          <w:bCs/>
          <w:szCs w:val="28"/>
          <w:lang w:val="en-US" w:eastAsia="zh-CN"/>
        </w:rPr>
        <w:t>9</w:t>
      </w:r>
      <w:r>
        <w:rPr>
          <w:rFonts w:hint="eastAsia" w:ascii="Times New Roman" w:hAnsi="Times New Roman" w:eastAsia="宋体" w:cs="Times New Roman"/>
          <w:bCs/>
          <w:szCs w:val="28"/>
        </w:rPr>
        <w:t>、《贵州省高级人民法院关于本院机关对外委托司法鉴定、评估和拍卖的规定（试行）》；</w:t>
      </w:r>
      <w:r>
        <w:rPr>
          <w:rFonts w:hint="eastAsia" w:ascii="Times New Roman" w:hAnsi="Times New Roman" w:eastAsia="宋体" w:cs="Times New Roman"/>
          <w:bCs/>
          <w:szCs w:val="28"/>
        </w:rPr>
        <w:cr/>
      </w:r>
      <w:r>
        <w:rPr>
          <w:rFonts w:hint="eastAsia" w:ascii="Times New Roman" w:hAnsi="Times New Roman" w:eastAsia="宋体" w:cs="Times New Roman"/>
          <w:bCs/>
          <w:szCs w:val="28"/>
        </w:rPr>
        <w:t xml:space="preserve">    </w:t>
      </w:r>
      <w:r>
        <w:rPr>
          <w:rFonts w:hint="eastAsia" w:ascii="Times New Roman" w:hAnsi="Times New Roman" w:eastAsia="宋体" w:cs="Times New Roman"/>
          <w:bCs/>
          <w:szCs w:val="28"/>
          <w:lang w:val="en-US" w:eastAsia="zh-CN"/>
        </w:rPr>
        <w:t>10</w:t>
      </w:r>
      <w:r>
        <w:rPr>
          <w:rFonts w:hint="eastAsia" w:ascii="Times New Roman" w:hAnsi="Times New Roman" w:eastAsia="宋体" w:cs="Times New Roman"/>
          <w:bCs/>
          <w:szCs w:val="28"/>
        </w:rPr>
        <w:t>、《最高人民法院关于人民法院委托评估、拍卖和变卖工作的若干规定》（法释〔2009〕16号）；</w:t>
      </w:r>
    </w:p>
    <w:p>
      <w:pPr>
        <w:pStyle w:val="27"/>
        <w:autoSpaceDE/>
        <w:autoSpaceDN/>
        <w:adjustRightInd/>
        <w:spacing w:before="156" w:beforeLines="50" w:after="156" w:afterLines="50" w:line="360" w:lineRule="auto"/>
        <w:ind w:firstLine="560" w:firstLineChars="200"/>
        <w:jc w:val="both"/>
        <w:textAlignment w:val="auto"/>
        <w:rPr>
          <w:rFonts w:hint="default" w:ascii="Times New Roman" w:hAnsi="Times New Roman" w:eastAsia="宋体" w:cs="Times New Roman"/>
          <w:bCs/>
          <w:szCs w:val="28"/>
          <w:lang w:val="en-US" w:eastAsia="zh-CN"/>
        </w:rPr>
      </w:pPr>
      <w:r>
        <w:rPr>
          <w:rFonts w:hint="eastAsia" w:ascii="Times New Roman" w:hAnsi="Times New Roman" w:eastAsia="宋体" w:cs="Times New Roman"/>
          <w:bCs/>
          <w:szCs w:val="28"/>
          <w:lang w:val="en-US" w:eastAsia="zh-CN"/>
        </w:rPr>
        <w:t>（二）技术规程及有关估价标准</w:t>
      </w:r>
    </w:p>
    <w:p>
      <w:pPr>
        <w:pStyle w:val="27"/>
        <w:autoSpaceDE/>
        <w:autoSpaceDN/>
        <w:adjustRightInd/>
        <w:spacing w:before="156" w:beforeLines="50" w:after="156" w:afterLines="50" w:line="360" w:lineRule="auto"/>
        <w:ind w:firstLine="560" w:firstLineChars="200"/>
        <w:jc w:val="both"/>
        <w:textAlignment w:val="auto"/>
        <w:rPr>
          <w:rFonts w:ascii="Times New Roman" w:hAnsi="Times New Roman" w:eastAsia="宋体" w:cs="Times New Roman"/>
          <w:bCs/>
          <w:szCs w:val="28"/>
        </w:rPr>
      </w:pPr>
      <w:r>
        <w:rPr>
          <w:rFonts w:hint="eastAsia" w:ascii="Times New Roman" w:hAnsi="Times New Roman" w:eastAsia="宋体" w:cs="Times New Roman"/>
          <w:bCs/>
          <w:szCs w:val="28"/>
          <w:lang w:val="en-US" w:eastAsia="zh-CN"/>
        </w:rPr>
        <w:t>1、</w:t>
      </w:r>
      <w:r>
        <w:rPr>
          <w:rFonts w:hint="eastAsia" w:ascii="Times New Roman" w:hAnsi="Times New Roman" w:eastAsia="宋体" w:cs="Times New Roman"/>
          <w:bCs/>
          <w:szCs w:val="28"/>
        </w:rPr>
        <w:t>《房地产估价规范GB/T50291-2015》；</w:t>
      </w:r>
    </w:p>
    <w:p>
      <w:pPr>
        <w:pStyle w:val="27"/>
        <w:autoSpaceDE/>
        <w:autoSpaceDN/>
        <w:adjustRightInd/>
        <w:spacing w:before="156" w:beforeLines="50" w:after="156" w:afterLines="50" w:line="360" w:lineRule="auto"/>
        <w:ind w:firstLine="560" w:firstLineChars="200"/>
        <w:jc w:val="both"/>
        <w:textAlignment w:val="auto"/>
        <w:rPr>
          <w:rFonts w:ascii="Times New Roman" w:hAnsi="Times New Roman" w:eastAsia="宋体" w:cs="Times New Roman"/>
          <w:bCs/>
          <w:szCs w:val="28"/>
        </w:rPr>
      </w:pPr>
      <w:r>
        <w:rPr>
          <w:rFonts w:hint="eastAsia" w:ascii="Times New Roman" w:hAnsi="Times New Roman" w:eastAsia="宋体" w:cs="Times New Roman"/>
          <w:bCs/>
          <w:szCs w:val="28"/>
          <w:lang w:val="en-US" w:eastAsia="zh-CN"/>
        </w:rPr>
        <w:t>2、</w:t>
      </w:r>
      <w:r>
        <w:rPr>
          <w:rFonts w:hint="eastAsia" w:ascii="Times New Roman" w:hAnsi="Times New Roman" w:eastAsia="宋体" w:cs="Times New Roman"/>
          <w:bCs/>
          <w:szCs w:val="28"/>
        </w:rPr>
        <w:t>《房地产估价基本术语标准GB/T50899-2013》；</w:t>
      </w:r>
    </w:p>
    <w:p>
      <w:pPr>
        <w:pStyle w:val="27"/>
        <w:autoSpaceDE/>
        <w:autoSpaceDN/>
        <w:adjustRightInd/>
        <w:spacing w:before="156" w:beforeLines="50" w:after="156" w:afterLines="50" w:line="360" w:lineRule="auto"/>
        <w:ind w:firstLine="560" w:firstLineChars="200"/>
        <w:jc w:val="both"/>
        <w:textAlignment w:val="auto"/>
        <w:rPr>
          <w:rFonts w:hint="eastAsia" w:ascii="Times New Roman" w:hAnsi="Times New Roman" w:eastAsia="宋体" w:cs="Times New Roman"/>
          <w:bCs/>
          <w:szCs w:val="28"/>
          <w:lang w:eastAsia="zh-CN"/>
        </w:rPr>
      </w:pPr>
      <w:r>
        <w:rPr>
          <w:rFonts w:hint="eastAsia" w:ascii="Times New Roman" w:hAnsi="Times New Roman" w:eastAsia="宋体" w:cs="Times New Roman"/>
          <w:bCs/>
          <w:szCs w:val="28"/>
          <w:lang w:val="en-US" w:eastAsia="zh-CN"/>
        </w:rPr>
        <w:t>3、</w:t>
      </w:r>
      <w:r>
        <w:rPr>
          <w:rFonts w:hint="eastAsia" w:ascii="Times New Roman" w:hAnsi="Times New Roman" w:eastAsia="宋体" w:cs="Times New Roman"/>
          <w:bCs/>
          <w:szCs w:val="28"/>
        </w:rPr>
        <w:t>《城镇土地估价规程》（GB／T18508-2014）</w:t>
      </w:r>
      <w:r>
        <w:rPr>
          <w:rFonts w:hint="eastAsia" w:ascii="Times New Roman" w:hAnsi="Times New Roman" w:eastAsia="宋体" w:cs="Times New Roman"/>
          <w:bCs/>
          <w:szCs w:val="28"/>
          <w:lang w:eastAsia="zh-CN"/>
        </w:rPr>
        <w:t>；</w:t>
      </w:r>
    </w:p>
    <w:p>
      <w:pPr>
        <w:pStyle w:val="27"/>
        <w:autoSpaceDE/>
        <w:autoSpaceDN/>
        <w:adjustRightInd/>
        <w:spacing w:before="156" w:beforeLines="50" w:after="156" w:afterLines="50" w:line="360" w:lineRule="auto"/>
        <w:ind w:firstLine="560" w:firstLineChars="200"/>
        <w:jc w:val="both"/>
        <w:textAlignment w:val="auto"/>
        <w:rPr>
          <w:rFonts w:hint="eastAsia" w:ascii="Times New Roman" w:hAnsi="Times New Roman" w:eastAsia="宋体" w:cs="Times New Roman"/>
          <w:bCs/>
          <w:szCs w:val="28"/>
          <w:lang w:val="en-US" w:eastAsia="zh-CN"/>
        </w:rPr>
      </w:pPr>
      <w:r>
        <w:rPr>
          <w:rFonts w:hint="eastAsia" w:ascii="Times New Roman" w:hAnsi="Times New Roman" w:eastAsia="宋体" w:cs="Times New Roman"/>
          <w:bCs/>
          <w:szCs w:val="28"/>
          <w:lang w:val="en-US" w:eastAsia="zh-CN"/>
        </w:rPr>
        <w:t>（三）估价委托书、估价委托合同及估价委托人提供的资料</w:t>
      </w:r>
    </w:p>
    <w:p>
      <w:pPr>
        <w:pStyle w:val="27"/>
        <w:autoSpaceDE/>
        <w:autoSpaceDN/>
        <w:adjustRightInd/>
        <w:spacing w:before="156" w:beforeLines="50" w:after="156" w:afterLines="50" w:line="360" w:lineRule="auto"/>
        <w:ind w:firstLine="560" w:firstLineChars="200"/>
        <w:jc w:val="both"/>
        <w:textAlignment w:val="auto"/>
        <w:rPr>
          <w:rFonts w:hint="eastAsia" w:ascii="Times New Roman" w:hAnsi="Times New Roman" w:eastAsia="宋体" w:cs="Times New Roman"/>
          <w:bCs/>
          <w:szCs w:val="28"/>
          <w:lang w:val="en-US" w:eastAsia="zh-CN"/>
        </w:rPr>
      </w:pPr>
      <w:r>
        <w:rPr>
          <w:rFonts w:hint="eastAsia" w:ascii="Times New Roman" w:hAnsi="Times New Roman" w:eastAsia="宋体" w:cs="Times New Roman"/>
          <w:bCs/>
          <w:szCs w:val="28"/>
          <w:lang w:val="en-US" w:eastAsia="zh-CN"/>
        </w:rPr>
        <w:t>1、估价委托书</w:t>
      </w:r>
    </w:p>
    <w:p>
      <w:pPr>
        <w:pStyle w:val="27"/>
        <w:autoSpaceDE/>
        <w:autoSpaceDN/>
        <w:adjustRightInd/>
        <w:spacing w:before="156" w:beforeLines="50" w:after="156" w:afterLines="50" w:line="360" w:lineRule="auto"/>
        <w:ind w:firstLine="560" w:firstLineChars="200"/>
        <w:jc w:val="both"/>
        <w:textAlignment w:val="auto"/>
        <w:rPr>
          <w:rFonts w:hint="eastAsia" w:ascii="Times New Roman" w:hAnsi="Times New Roman" w:eastAsia="宋体" w:cs="Times New Roman"/>
          <w:bCs/>
          <w:szCs w:val="28"/>
          <w:lang w:val="en-US" w:eastAsia="zh-CN"/>
        </w:rPr>
      </w:pPr>
      <w:r>
        <w:rPr>
          <w:rFonts w:hint="eastAsia" w:ascii="Times New Roman" w:hAnsi="Times New Roman" w:eastAsia="宋体" w:cs="Times New Roman"/>
          <w:bCs/>
          <w:szCs w:val="28"/>
          <w:lang w:val="en-US" w:eastAsia="zh-CN"/>
        </w:rPr>
        <w:t>2、估价对象的产权资料</w:t>
      </w:r>
    </w:p>
    <w:p>
      <w:pPr>
        <w:pStyle w:val="27"/>
        <w:autoSpaceDE/>
        <w:autoSpaceDN/>
        <w:adjustRightInd/>
        <w:spacing w:before="156" w:beforeLines="50" w:after="156" w:afterLines="50" w:line="360" w:lineRule="auto"/>
        <w:ind w:firstLine="560" w:firstLineChars="200"/>
        <w:jc w:val="both"/>
        <w:textAlignment w:val="auto"/>
        <w:rPr>
          <w:rFonts w:hint="eastAsia" w:ascii="Times New Roman" w:hAnsi="Times New Roman" w:eastAsia="宋体" w:cs="Times New Roman"/>
          <w:bCs/>
          <w:szCs w:val="28"/>
          <w:lang w:val="en-US" w:eastAsia="zh-CN"/>
        </w:rPr>
      </w:pPr>
      <w:r>
        <w:rPr>
          <w:rFonts w:hint="eastAsia" w:ascii="Times New Roman" w:hAnsi="Times New Roman" w:eastAsia="宋体" w:cs="Times New Roman"/>
          <w:bCs/>
          <w:szCs w:val="28"/>
          <w:lang w:val="en-US" w:eastAsia="zh-CN"/>
        </w:rPr>
        <w:t>3、估价委托人提供的其他相关资料</w:t>
      </w:r>
    </w:p>
    <w:p>
      <w:pPr>
        <w:pStyle w:val="27"/>
        <w:autoSpaceDE/>
        <w:autoSpaceDN/>
        <w:adjustRightInd/>
        <w:spacing w:before="156" w:beforeLines="50" w:after="156" w:afterLines="50" w:line="360" w:lineRule="auto"/>
        <w:ind w:firstLine="560" w:firstLineChars="200"/>
        <w:jc w:val="both"/>
        <w:textAlignment w:val="auto"/>
        <w:rPr>
          <w:rFonts w:hint="eastAsia" w:ascii="Times New Roman" w:hAnsi="Times New Roman" w:eastAsia="宋体" w:cs="Times New Roman"/>
          <w:bCs/>
          <w:szCs w:val="28"/>
          <w:lang w:val="en-US" w:eastAsia="zh-CN"/>
        </w:rPr>
      </w:pPr>
      <w:r>
        <w:rPr>
          <w:rFonts w:hint="eastAsia" w:ascii="Times New Roman" w:hAnsi="Times New Roman" w:eastAsia="宋体" w:cs="Times New Roman"/>
          <w:bCs/>
          <w:szCs w:val="28"/>
          <w:lang w:val="en-US" w:eastAsia="zh-CN"/>
        </w:rPr>
        <w:t>（四）房地产估价机构、注册房地产估价师掌握及收集的资料</w:t>
      </w:r>
    </w:p>
    <w:p>
      <w:pPr>
        <w:spacing w:line="360" w:lineRule="auto"/>
        <w:ind w:firstLine="555"/>
        <w:rPr>
          <w:rFonts w:hint="eastAsia" w:ascii="宋体" w:hAnsi="宋体" w:eastAsia="宋体" w:cs="Times New Roman"/>
          <w:sz w:val="28"/>
          <w:szCs w:val="28"/>
        </w:rPr>
      </w:pPr>
      <w:r>
        <w:rPr>
          <w:rFonts w:hint="eastAsia" w:ascii="Times New Roman" w:hAnsi="Times New Roman" w:eastAsia="宋体" w:cs="Times New Roman"/>
          <w:bCs/>
          <w:szCs w:val="28"/>
          <w:lang w:val="en-US" w:eastAsia="zh-CN"/>
        </w:rPr>
        <w:t>1、</w:t>
      </w:r>
      <w:r>
        <w:rPr>
          <w:rFonts w:hint="eastAsia" w:ascii="宋体" w:hAnsi="宋体" w:eastAsia="宋体" w:cs="Times New Roman"/>
          <w:sz w:val="28"/>
          <w:szCs w:val="28"/>
          <w:lang w:val="en-US" w:eastAsia="zh-CN"/>
        </w:rPr>
        <w:t>注册房地产估价师</w:t>
      </w:r>
      <w:r>
        <w:rPr>
          <w:rFonts w:hint="eastAsia" w:ascii="宋体" w:hAnsi="宋体" w:eastAsia="宋体" w:cs="Times New Roman"/>
          <w:sz w:val="28"/>
          <w:szCs w:val="28"/>
        </w:rPr>
        <w:t>调查收集的</w:t>
      </w:r>
      <w:r>
        <w:rPr>
          <w:rFonts w:hint="eastAsia" w:ascii="宋体" w:hAnsi="宋体" w:eastAsia="宋体" w:cs="Times New Roman"/>
          <w:sz w:val="28"/>
          <w:szCs w:val="28"/>
          <w:lang w:val="en-US" w:eastAsia="zh-CN"/>
        </w:rPr>
        <w:t>估价对象</w:t>
      </w:r>
      <w:r>
        <w:rPr>
          <w:rFonts w:hint="eastAsia" w:ascii="宋体" w:hAnsi="宋体" w:eastAsia="宋体" w:cs="Times New Roman"/>
          <w:sz w:val="28"/>
          <w:szCs w:val="28"/>
        </w:rPr>
        <w:t>所在区域</w:t>
      </w:r>
      <w:r>
        <w:rPr>
          <w:rFonts w:hint="eastAsia" w:ascii="宋体" w:hAnsi="宋体" w:eastAsia="宋体" w:cs="Times New Roman"/>
          <w:sz w:val="28"/>
          <w:szCs w:val="28"/>
          <w:lang w:val="en-US" w:eastAsia="zh-CN"/>
        </w:rPr>
        <w:t>房地产市场售价及租金</w:t>
      </w:r>
      <w:r>
        <w:rPr>
          <w:rFonts w:hint="eastAsia" w:ascii="宋体" w:hAnsi="宋体" w:eastAsia="宋体" w:cs="Times New Roman"/>
          <w:sz w:val="28"/>
          <w:szCs w:val="28"/>
        </w:rPr>
        <w:t>等方面的资料；</w:t>
      </w:r>
    </w:p>
    <w:p>
      <w:pPr>
        <w:spacing w:line="360" w:lineRule="auto"/>
        <w:ind w:firstLine="555"/>
        <w:rPr>
          <w:rFonts w:hint="eastAsia" w:ascii="宋体" w:hAnsi="宋体" w:eastAsia="宋体" w:cs="Times New Roman"/>
          <w:sz w:val="28"/>
          <w:szCs w:val="28"/>
        </w:rPr>
      </w:pPr>
      <w:r>
        <w:rPr>
          <w:rFonts w:hint="eastAsia" w:ascii="宋体" w:hAnsi="宋体" w:eastAsia="宋体" w:cs="Times New Roman"/>
          <w:sz w:val="28"/>
          <w:szCs w:val="28"/>
          <w:lang w:val="en-US" w:eastAsia="zh-CN"/>
        </w:rPr>
        <w:t>2.注册房地产估价师</w:t>
      </w:r>
      <w:r>
        <w:rPr>
          <w:rFonts w:hint="eastAsia" w:ascii="宋体" w:hAnsi="宋体" w:eastAsia="宋体" w:cs="Times New Roman"/>
          <w:sz w:val="28"/>
          <w:szCs w:val="28"/>
        </w:rPr>
        <w:t>调查填写的《现场勘查记录》及估价对象照片等其他相关资料；</w:t>
      </w:r>
    </w:p>
    <w:p>
      <w:pPr>
        <w:pStyle w:val="27"/>
        <w:autoSpaceDE/>
        <w:autoSpaceDN/>
        <w:adjustRightInd/>
        <w:spacing w:before="156" w:beforeLines="50" w:after="156" w:afterLines="50" w:line="360" w:lineRule="auto"/>
        <w:ind w:firstLine="560" w:firstLineChars="200"/>
        <w:jc w:val="both"/>
        <w:textAlignment w:val="auto"/>
        <w:rPr>
          <w:rFonts w:ascii="Times New Roman" w:hAnsi="Times New Roman" w:eastAsia="宋体" w:cs="Times New Roman"/>
          <w:bCs/>
          <w:szCs w:val="28"/>
        </w:rPr>
      </w:pPr>
      <w:r>
        <w:rPr>
          <w:rFonts w:hint="eastAsia" w:ascii="Times New Roman" w:hAnsi="Times New Roman" w:eastAsia="宋体" w:cs="Times New Roman"/>
          <w:bCs/>
          <w:szCs w:val="28"/>
          <w:lang w:val="en-US" w:eastAsia="zh-CN"/>
        </w:rPr>
        <w:t>3、</w:t>
      </w:r>
      <w:r>
        <w:rPr>
          <w:rFonts w:hint="eastAsia" w:ascii="Times New Roman" w:hAnsi="Times New Roman" w:eastAsia="宋体" w:cs="Times New Roman"/>
          <w:bCs/>
          <w:szCs w:val="28"/>
        </w:rPr>
        <w:t>本估价机构掌握的</w:t>
      </w:r>
      <w:r>
        <w:rPr>
          <w:rFonts w:hint="eastAsia" w:ascii="Times New Roman" w:hAnsi="Times New Roman" w:eastAsia="宋体" w:cs="Times New Roman"/>
          <w:bCs/>
          <w:szCs w:val="28"/>
          <w:lang w:val="en-US" w:eastAsia="zh-CN"/>
        </w:rPr>
        <w:t>及注册房地产估价师收集的其他</w:t>
      </w:r>
      <w:r>
        <w:rPr>
          <w:rFonts w:hint="eastAsia" w:ascii="Times New Roman" w:hAnsi="Times New Roman" w:eastAsia="宋体" w:cs="Times New Roman"/>
          <w:bCs/>
          <w:szCs w:val="28"/>
        </w:rPr>
        <w:t>相关资料；</w:t>
      </w:r>
    </w:p>
    <w:bookmarkEnd w:id="47"/>
    <w:bookmarkEnd w:id="48"/>
    <w:bookmarkEnd w:id="49"/>
    <w:bookmarkEnd w:id="50"/>
    <w:p>
      <w:pPr>
        <w:pStyle w:val="4"/>
        <w:ind w:firstLine="579" w:firstLineChars="200"/>
        <w:jc w:val="left"/>
      </w:pPr>
      <w:bookmarkStart w:id="51" w:name="_Toc440992064"/>
      <w:bookmarkStart w:id="52" w:name="_Toc21253"/>
      <w:bookmarkStart w:id="53" w:name="_Toc29110"/>
      <w:bookmarkStart w:id="54" w:name="_Toc9547"/>
      <w:bookmarkStart w:id="55" w:name="_Toc440990684"/>
      <w:r>
        <w:rPr>
          <w:rFonts w:hint="eastAsia"/>
        </w:rPr>
        <w:t>九、估价方法</w:t>
      </w:r>
      <w:bookmarkEnd w:id="51"/>
      <w:bookmarkEnd w:id="52"/>
      <w:bookmarkEnd w:id="53"/>
      <w:bookmarkEnd w:id="54"/>
      <w:bookmarkEnd w:id="55"/>
    </w:p>
    <w:p>
      <w:pPr>
        <w:pStyle w:val="27"/>
        <w:spacing w:before="156" w:beforeLines="50" w:after="156" w:afterLines="50" w:line="360" w:lineRule="auto"/>
        <w:ind w:firstLine="560" w:firstLineChars="200"/>
        <w:rPr>
          <w:rFonts w:hint="default"/>
          <w:b/>
          <w:sz w:val="28"/>
          <w:szCs w:val="28"/>
          <w:lang w:val="en-US" w:eastAsia="zh-CN"/>
        </w:rPr>
      </w:pPr>
      <w:bookmarkStart w:id="56" w:name="_Toc26251"/>
      <w:bookmarkStart w:id="57" w:name="_Toc23178"/>
      <w:bookmarkStart w:id="58" w:name="_Toc440990685"/>
      <w:bookmarkStart w:id="59" w:name="_Toc440992065"/>
      <w:r>
        <w:rPr>
          <w:rFonts w:hint="eastAsia"/>
          <w:bCs/>
          <w:sz w:val="28"/>
          <w:szCs w:val="28"/>
        </w:rPr>
        <w:t>根据《房地产估价规范》（GB/T50291-2015）规定，房地产估价方法有比较法，收益法、假设开发法、成本法等</w:t>
      </w:r>
      <w:r>
        <w:rPr>
          <w:rFonts w:hint="eastAsia"/>
          <w:bCs/>
          <w:sz w:val="28"/>
          <w:szCs w:val="28"/>
          <w:lang w:eastAsia="zh-CN"/>
        </w:rPr>
        <w:t>，</w:t>
      </w:r>
      <w:r>
        <w:rPr>
          <w:rFonts w:hint="eastAsia"/>
          <w:bCs/>
          <w:sz w:val="28"/>
          <w:szCs w:val="28"/>
        </w:rPr>
        <w:t>本次估价选用的估价方法为</w:t>
      </w:r>
      <w:r>
        <w:rPr>
          <w:rFonts w:hint="eastAsia"/>
          <w:bCs/>
          <w:sz w:val="28"/>
          <w:szCs w:val="28"/>
          <w:highlight w:val="none"/>
          <w:lang w:val="en-US" w:eastAsia="zh-CN"/>
        </w:rPr>
        <w:t>比较法</w:t>
      </w:r>
      <w:r>
        <w:rPr>
          <w:rFonts w:hint="eastAsia"/>
          <w:bCs/>
          <w:sz w:val="28"/>
          <w:szCs w:val="28"/>
          <w:highlight w:val="none"/>
        </w:rPr>
        <w:t>，不适宜选用</w:t>
      </w:r>
      <w:r>
        <w:rPr>
          <w:rFonts w:hint="eastAsia"/>
          <w:bCs/>
          <w:sz w:val="28"/>
          <w:szCs w:val="28"/>
          <w:highlight w:val="none"/>
          <w:lang w:val="en-US" w:eastAsia="zh-CN"/>
        </w:rPr>
        <w:t>收益法</w:t>
      </w:r>
      <w:r>
        <w:rPr>
          <w:rFonts w:hint="eastAsia"/>
          <w:bCs/>
          <w:sz w:val="28"/>
          <w:szCs w:val="28"/>
          <w:highlight w:val="none"/>
        </w:rPr>
        <w:t>、成本法及假</w:t>
      </w:r>
      <w:r>
        <w:rPr>
          <w:rFonts w:hint="eastAsia"/>
          <w:bCs/>
          <w:sz w:val="28"/>
          <w:szCs w:val="28"/>
        </w:rPr>
        <w:t>设开发法。</w:t>
      </w:r>
    </w:p>
    <w:p>
      <w:pPr>
        <w:pStyle w:val="27"/>
        <w:numPr>
          <w:ilvl w:val="0"/>
          <w:numId w:val="2"/>
        </w:numPr>
        <w:spacing w:before="156" w:beforeLines="50" w:after="156" w:afterLines="50" w:line="360" w:lineRule="auto"/>
        <w:ind w:firstLine="562" w:firstLineChars="200"/>
        <w:rPr>
          <w:rFonts w:hint="eastAsia"/>
          <w:b/>
          <w:sz w:val="28"/>
          <w:szCs w:val="28"/>
        </w:rPr>
      </w:pPr>
      <w:r>
        <w:rPr>
          <w:rFonts w:hint="eastAsia"/>
          <w:b/>
          <w:sz w:val="28"/>
          <w:szCs w:val="28"/>
        </w:rPr>
        <w:t>适宜选用的估价方法及其理由</w:t>
      </w:r>
    </w:p>
    <w:p>
      <w:pPr>
        <w:pStyle w:val="27"/>
        <w:numPr>
          <w:ilvl w:val="0"/>
          <w:numId w:val="0"/>
        </w:numPr>
        <w:spacing w:before="156" w:beforeLines="50" w:after="156" w:afterLines="50" w:line="360" w:lineRule="auto"/>
        <w:ind w:firstLine="560" w:firstLineChars="200"/>
        <w:rPr>
          <w:rFonts w:hint="eastAsia"/>
          <w:b/>
          <w:sz w:val="28"/>
          <w:szCs w:val="28"/>
        </w:rPr>
      </w:pPr>
      <w:r>
        <w:rPr>
          <w:rFonts w:hint="eastAsia" w:ascii="Times New Roman" w:hAnsi="Times New Roman"/>
          <w:bCs/>
          <w:kern w:val="0"/>
          <w:sz w:val="28"/>
          <w:szCs w:val="28"/>
          <w:lang w:val="en-US" w:eastAsia="zh-CN" w:bidi="ar-SA"/>
        </w:rPr>
        <w:t>比较法是选取一定数量的可比实例，将它们与估价对象进行比较，根据其间的差异对可比实例成交价格进行处理后得到估价对象价值或价格的方法。</w:t>
      </w:r>
      <w:r>
        <w:rPr>
          <w:rFonts w:hint="eastAsia" w:hAnsi="宋体"/>
          <w:sz w:val="28"/>
          <w:szCs w:val="28"/>
          <w:lang w:val="en-US" w:eastAsia="zh-CN"/>
        </w:rPr>
        <w:t>估价对象</w:t>
      </w:r>
      <w:r>
        <w:rPr>
          <w:rFonts w:hint="eastAsia" w:ascii="Times New Roman" w:hAnsi="Times New Roman"/>
          <w:bCs/>
          <w:kern w:val="0"/>
          <w:sz w:val="28"/>
          <w:szCs w:val="28"/>
          <w:lang w:val="en-US" w:eastAsia="zh-CN" w:bidi="ar-SA"/>
        </w:rPr>
        <w:t>周边成交案例</w:t>
      </w:r>
      <w:r>
        <w:rPr>
          <w:rFonts w:hint="eastAsia"/>
          <w:bCs/>
          <w:kern w:val="0"/>
          <w:sz w:val="28"/>
          <w:szCs w:val="28"/>
          <w:lang w:val="en-US" w:eastAsia="zh-CN" w:bidi="ar-SA"/>
        </w:rPr>
        <w:t>较多</w:t>
      </w:r>
      <w:r>
        <w:rPr>
          <w:rFonts w:hint="eastAsia" w:ascii="Times New Roman" w:hAnsi="Times New Roman"/>
          <w:bCs/>
          <w:kern w:val="0"/>
          <w:sz w:val="28"/>
          <w:szCs w:val="28"/>
          <w:lang w:val="en-US" w:eastAsia="zh-CN" w:bidi="ar-SA"/>
        </w:rPr>
        <w:t>，</w:t>
      </w:r>
      <w:r>
        <w:rPr>
          <w:rFonts w:hint="eastAsia"/>
          <w:bCs/>
          <w:kern w:val="0"/>
          <w:sz w:val="28"/>
          <w:szCs w:val="28"/>
          <w:lang w:val="en-US" w:eastAsia="zh-CN" w:bidi="ar-SA"/>
        </w:rPr>
        <w:t>能够</w:t>
      </w:r>
      <w:r>
        <w:rPr>
          <w:rFonts w:hint="eastAsia" w:ascii="Times New Roman" w:hAnsi="Times New Roman"/>
          <w:bCs/>
          <w:kern w:val="0"/>
          <w:sz w:val="28"/>
          <w:szCs w:val="28"/>
          <w:lang w:val="en-US" w:eastAsia="zh-CN" w:bidi="ar-SA"/>
        </w:rPr>
        <w:t>收集到足够的可比案例，故适宜选用市场比较法进行评估。</w:t>
      </w:r>
    </w:p>
    <w:p>
      <w:pPr>
        <w:pStyle w:val="27"/>
        <w:spacing w:before="156" w:beforeLines="50" w:after="156" w:afterLines="50" w:line="360" w:lineRule="auto"/>
        <w:ind w:firstLine="562" w:firstLineChars="200"/>
        <w:rPr>
          <w:rFonts w:hint="eastAsia"/>
          <w:b/>
          <w:sz w:val="28"/>
          <w:szCs w:val="28"/>
        </w:rPr>
      </w:pPr>
      <w:r>
        <w:rPr>
          <w:rFonts w:hint="eastAsia"/>
          <w:b/>
          <w:sz w:val="28"/>
          <w:szCs w:val="28"/>
        </w:rPr>
        <w:t>2、不选用的估价方法及其理由</w:t>
      </w:r>
    </w:p>
    <w:p>
      <w:pPr>
        <w:pStyle w:val="27"/>
        <w:spacing w:before="156" w:beforeLines="50" w:after="156" w:afterLines="50" w:line="360" w:lineRule="auto"/>
        <w:ind w:firstLine="562" w:firstLineChars="200"/>
        <w:rPr>
          <w:rFonts w:hint="eastAsia"/>
          <w:b/>
          <w:sz w:val="28"/>
          <w:szCs w:val="28"/>
        </w:rPr>
      </w:pPr>
      <w:r>
        <w:rPr>
          <w:rFonts w:hint="eastAsia"/>
          <w:b/>
          <w:sz w:val="28"/>
          <w:szCs w:val="28"/>
        </w:rPr>
        <w:t>（1）成本法</w:t>
      </w:r>
    </w:p>
    <w:p>
      <w:pPr>
        <w:pStyle w:val="27"/>
        <w:spacing w:before="156" w:beforeLines="50" w:after="156" w:afterLines="50" w:line="360" w:lineRule="auto"/>
        <w:ind w:firstLine="560" w:firstLineChars="200"/>
        <w:rPr>
          <w:rFonts w:hint="eastAsia"/>
          <w:bCs/>
          <w:sz w:val="28"/>
          <w:szCs w:val="28"/>
        </w:rPr>
      </w:pPr>
      <w:r>
        <w:rPr>
          <w:rFonts w:hint="eastAsia"/>
          <w:bCs/>
          <w:sz w:val="28"/>
          <w:szCs w:val="28"/>
        </w:rPr>
        <w:t>成本法是测算估价对象的重置成本或重建成本，测算折旧得到估价对象价值的方法，</w:t>
      </w:r>
      <w:r>
        <w:rPr>
          <w:rFonts w:hint="eastAsia" w:hAnsi="宋体"/>
          <w:sz w:val="28"/>
          <w:szCs w:val="28"/>
          <w:lang w:val="en-US" w:eastAsia="zh-CN"/>
        </w:rPr>
        <w:t>估价对象为</w:t>
      </w:r>
      <w:r>
        <w:rPr>
          <w:rFonts w:hint="eastAsia"/>
          <w:bCs/>
          <w:sz w:val="28"/>
          <w:szCs w:val="28"/>
        </w:rPr>
        <w:t>已建成的</w:t>
      </w:r>
      <w:r>
        <w:rPr>
          <w:rFonts w:hint="eastAsia" w:hAnsi="宋体"/>
          <w:sz w:val="28"/>
          <w:szCs w:val="28"/>
          <w:lang w:val="en-US" w:eastAsia="zh-CN"/>
        </w:rPr>
        <w:t>住宅</w:t>
      </w:r>
      <w:r>
        <w:rPr>
          <w:rFonts w:hint="eastAsia" w:ascii="宋体" w:hAnsi="宋体"/>
          <w:sz w:val="28"/>
          <w:szCs w:val="28"/>
          <w:lang w:val="en-US" w:eastAsia="zh-CN"/>
        </w:rPr>
        <w:t>房地产</w:t>
      </w:r>
      <w:r>
        <w:rPr>
          <w:rFonts w:hint="eastAsia" w:hAnsi="宋体"/>
          <w:sz w:val="28"/>
          <w:szCs w:val="28"/>
          <w:lang w:val="en-US" w:eastAsia="zh-CN"/>
        </w:rPr>
        <w:t>，</w:t>
      </w:r>
      <w:r>
        <w:rPr>
          <w:rFonts w:hint="eastAsia"/>
          <w:bCs/>
          <w:sz w:val="28"/>
          <w:szCs w:val="28"/>
          <w:lang w:val="en-US" w:eastAsia="zh-CN"/>
        </w:rPr>
        <w:t>土地使用权价值难以分割，</w:t>
      </w:r>
      <w:r>
        <w:rPr>
          <w:rFonts w:hint="eastAsia"/>
          <w:bCs/>
          <w:sz w:val="28"/>
          <w:szCs w:val="28"/>
        </w:rPr>
        <w:t>故不选用成本法进行估价。</w:t>
      </w:r>
    </w:p>
    <w:p>
      <w:pPr>
        <w:pStyle w:val="27"/>
        <w:spacing w:before="156" w:beforeLines="50" w:after="156" w:afterLines="50" w:line="360" w:lineRule="auto"/>
        <w:ind w:firstLine="562" w:firstLineChars="200"/>
        <w:rPr>
          <w:rFonts w:hint="eastAsia"/>
          <w:b/>
          <w:sz w:val="28"/>
          <w:szCs w:val="28"/>
        </w:rPr>
      </w:pPr>
      <w:r>
        <w:rPr>
          <w:rFonts w:hint="eastAsia"/>
          <w:b/>
          <w:sz w:val="28"/>
          <w:szCs w:val="28"/>
        </w:rPr>
        <w:t>（2）假设开发法</w:t>
      </w:r>
    </w:p>
    <w:p>
      <w:pPr>
        <w:pStyle w:val="27"/>
        <w:spacing w:before="156" w:beforeLines="50" w:after="156" w:afterLines="50" w:line="360" w:lineRule="auto"/>
        <w:ind w:firstLine="560" w:firstLineChars="200"/>
        <w:rPr>
          <w:rFonts w:hint="eastAsia"/>
          <w:bCs/>
          <w:sz w:val="28"/>
          <w:szCs w:val="28"/>
        </w:rPr>
      </w:pPr>
      <w:r>
        <w:rPr>
          <w:rFonts w:hint="eastAsia"/>
          <w:bCs/>
          <w:sz w:val="28"/>
          <w:szCs w:val="28"/>
        </w:rPr>
        <w:t>假设开发法适用于具有投资开发或再开发潜力的房地产估价。</w:t>
      </w:r>
      <w:r>
        <w:rPr>
          <w:rFonts w:hint="eastAsia" w:hAnsi="宋体" w:eastAsia="宋体" w:cs="Times New Roman"/>
          <w:b w:val="0"/>
          <w:bCs w:val="0"/>
          <w:sz w:val="28"/>
          <w:szCs w:val="28"/>
          <w:highlight w:val="none"/>
          <w:lang w:val="en-US" w:eastAsia="zh-CN"/>
        </w:rPr>
        <w:t>现状开发层度为在建住宅房地产，</w:t>
      </w:r>
      <w:r>
        <w:rPr>
          <w:rFonts w:hint="eastAsia"/>
          <w:sz w:val="28"/>
          <w:szCs w:val="28"/>
          <w:lang w:val="en-US" w:eastAsia="zh-CN"/>
        </w:rPr>
        <w:t>于2022年7月7日正在建设之中，2#、3#、5#楼建筑面积共计40585.52平方米，本次评估对象44套建筑面积合计5,632.22 平方米，约占13.88%，且部分房地产已被售出，由购买方对纳入评估范围的部分住宅房地产进行后续开发建设不具备操作性与可行性，</w:t>
      </w:r>
      <w:r>
        <w:rPr>
          <w:rFonts w:hint="eastAsia"/>
          <w:sz w:val="28"/>
          <w:szCs w:val="28"/>
        </w:rPr>
        <w:t>贵州鼎鑫房地产开发有限责任公司</w:t>
      </w:r>
      <w:r>
        <w:rPr>
          <w:rFonts w:hint="eastAsia"/>
          <w:sz w:val="28"/>
          <w:szCs w:val="28"/>
          <w:lang w:val="en-US" w:eastAsia="zh-CN"/>
        </w:rPr>
        <w:t>承诺：“由贵州鼎鑫房地产开发有限责任公司进行后续开发建设，贵州鼎鑫房地产开发有限责任公司承担后续开发建设过程中的一切经济支出，纳入评估范围的房地产严格按照《商品房预售许可证》记载的交付使用日期（2023年12月1日）进行交付使用，交付使用的房地产需经相关部分验收合格，贵州鼎鑫房地产开发有限责任公司在房屋交付使用后按照国家相关的法律规定承担相应的住宅房地产质量保修责任</w:t>
      </w:r>
      <w:r>
        <w:rPr>
          <w:rFonts w:hint="eastAsia"/>
          <w:bCs/>
          <w:sz w:val="28"/>
          <w:szCs w:val="28"/>
        </w:rPr>
        <w:t>。故也不选用假设开发法进行估价。</w:t>
      </w:r>
    </w:p>
    <w:p>
      <w:pPr>
        <w:pStyle w:val="2"/>
        <w:ind w:left="0" w:leftChars="0" w:firstLine="562" w:firstLineChars="200"/>
        <w:rPr>
          <w:rFonts w:hint="eastAsia" w:ascii="Times New Roman" w:hAnsi="Times New Roman"/>
          <w:b/>
          <w:kern w:val="0"/>
          <w:sz w:val="28"/>
          <w:szCs w:val="28"/>
          <w:lang w:val="en-US" w:eastAsia="zh-CN" w:bidi="ar-SA"/>
        </w:rPr>
      </w:pPr>
      <w:r>
        <w:rPr>
          <w:rFonts w:hint="eastAsia" w:ascii="Times New Roman" w:hAnsi="Times New Roman"/>
          <w:b/>
          <w:kern w:val="0"/>
          <w:sz w:val="28"/>
          <w:szCs w:val="28"/>
          <w:lang w:val="en-US" w:eastAsia="zh-CN" w:bidi="ar-SA"/>
        </w:rPr>
        <w:t>（3）收益法</w:t>
      </w:r>
    </w:p>
    <w:p>
      <w:pPr>
        <w:pStyle w:val="2"/>
        <w:ind w:left="0" w:leftChars="0" w:firstLine="560" w:firstLineChars="200"/>
        <w:rPr>
          <w:rFonts w:hint="eastAsia"/>
          <w:lang w:val="en-US" w:eastAsia="zh-CN"/>
        </w:rPr>
      </w:pPr>
      <w:r>
        <w:rPr>
          <w:rFonts w:hint="eastAsia" w:ascii="宋体" w:hAnsi="宋体"/>
          <w:sz w:val="28"/>
        </w:rPr>
        <w:t>收益法，</w:t>
      </w:r>
      <w:r>
        <w:rPr>
          <w:rFonts w:hint="eastAsia" w:ascii="宋体" w:hAnsi="宋体"/>
          <w:sz w:val="28"/>
          <w:szCs w:val="28"/>
        </w:rPr>
        <w:t>是求取估价对象未来的正常净收益，选用适当的资本化率将其折现到价值时点后累加，以此估算估价对象的客观合理价格或价值的方法</w:t>
      </w:r>
      <w:r>
        <w:rPr>
          <w:rFonts w:hint="eastAsia" w:ascii="宋体" w:hAnsi="宋体"/>
          <w:sz w:val="28"/>
          <w:szCs w:val="28"/>
          <w:lang w:eastAsia="zh-CN"/>
        </w:rPr>
        <w:t>，</w:t>
      </w:r>
      <w:r>
        <w:rPr>
          <w:rFonts w:hint="eastAsia" w:hAnsi="宋体"/>
          <w:sz w:val="28"/>
          <w:szCs w:val="28"/>
          <w:lang w:val="en-US" w:eastAsia="zh-CN"/>
        </w:rPr>
        <w:t>对于</w:t>
      </w:r>
      <w:r>
        <w:rPr>
          <w:rFonts w:hint="eastAsia" w:ascii="宋体" w:hAnsi="宋体"/>
          <w:sz w:val="28"/>
          <w:szCs w:val="28"/>
          <w:lang w:val="en-US" w:eastAsia="zh-CN"/>
        </w:rPr>
        <w:t>住宅房地产，以居住为主要使用方式，租金收益难以体现房地产的市场价值，故不宜使用收益法进行评估。</w:t>
      </w:r>
    </w:p>
    <w:p>
      <w:pPr>
        <w:numPr>
          <w:ilvl w:val="0"/>
          <w:numId w:val="3"/>
        </w:numPr>
        <w:spacing w:line="360" w:lineRule="auto"/>
        <w:ind w:firstLine="562" w:firstLineChars="200"/>
        <w:rPr>
          <w:rFonts w:hint="eastAsia" w:ascii="宋体" w:hAnsi="宋体"/>
          <w:b/>
          <w:color w:val="000000"/>
          <w:sz w:val="28"/>
          <w:szCs w:val="28"/>
        </w:rPr>
      </w:pPr>
      <w:r>
        <w:rPr>
          <w:rFonts w:hint="eastAsia" w:ascii="宋体" w:hAnsi="宋体"/>
          <w:b/>
          <w:color w:val="000000"/>
          <w:sz w:val="28"/>
          <w:szCs w:val="28"/>
        </w:rPr>
        <w:t>估价方法说明</w:t>
      </w:r>
    </w:p>
    <w:p>
      <w:pPr>
        <w:spacing w:line="360" w:lineRule="auto"/>
        <w:ind w:firstLine="560" w:firstLineChars="200"/>
        <w:rPr>
          <w:rFonts w:hint="eastAsia"/>
          <w:sz w:val="28"/>
          <w:szCs w:val="28"/>
        </w:rPr>
      </w:pPr>
      <w:r>
        <w:rPr>
          <w:sz w:val="28"/>
          <w:szCs w:val="28"/>
        </w:rPr>
        <w:t>比较法，是选取一定数量的可比实例</w:t>
      </w:r>
      <w:r>
        <w:rPr>
          <w:rFonts w:hint="eastAsia"/>
          <w:sz w:val="28"/>
          <w:szCs w:val="28"/>
        </w:rPr>
        <w:t>,</w:t>
      </w:r>
      <w:r>
        <w:rPr>
          <w:sz w:val="28"/>
          <w:szCs w:val="28"/>
        </w:rPr>
        <w:t>将它们与估价对象进行比较，</w:t>
      </w:r>
      <w:r>
        <w:rPr>
          <w:rFonts w:hint="eastAsia"/>
          <w:sz w:val="28"/>
          <w:szCs w:val="28"/>
        </w:rPr>
        <w:t>根据其间的差异对可比实例成交价格进行处理后得到估价对象价值或价格的方法。</w:t>
      </w:r>
    </w:p>
    <w:p>
      <w:pPr>
        <w:spacing w:line="360" w:lineRule="auto"/>
        <w:ind w:firstLine="560" w:firstLineChars="200"/>
        <w:rPr>
          <w:rFonts w:hint="eastAsia"/>
          <w:sz w:val="28"/>
          <w:szCs w:val="28"/>
        </w:rPr>
      </w:pPr>
      <w:r>
        <w:rPr>
          <w:rFonts w:hint="eastAsia"/>
          <w:sz w:val="28"/>
          <w:szCs w:val="28"/>
        </w:rPr>
        <w:t>比较法具体计算公式为：</w:t>
      </w:r>
    </w:p>
    <w:p>
      <w:pPr>
        <w:spacing w:line="360" w:lineRule="auto"/>
        <w:ind w:firstLine="560" w:firstLineChars="200"/>
        <w:rPr>
          <w:rFonts w:hint="eastAsia"/>
          <w:sz w:val="28"/>
          <w:szCs w:val="28"/>
        </w:rPr>
      </w:pPr>
      <w:r>
        <w:rPr>
          <w:rFonts w:hint="eastAsia"/>
          <w:sz w:val="28"/>
          <w:szCs w:val="28"/>
        </w:rPr>
        <w:t>估价对象价值＝可比实例价格×交易情况修正系数×交易日期修正系数×区域状况修正系数×实物状况修正系数×权益状况修正系数。</w:t>
      </w:r>
    </w:p>
    <w:p>
      <w:pPr>
        <w:pStyle w:val="4"/>
        <w:keepNext w:val="0"/>
        <w:keepLines w:val="0"/>
        <w:pageBreakBefore w:val="0"/>
        <w:kinsoku/>
        <w:wordWrap/>
        <w:overflowPunct/>
        <w:topLinePunct w:val="0"/>
        <w:bidi w:val="0"/>
        <w:spacing w:line="560" w:lineRule="exact"/>
        <w:ind w:firstLine="579" w:firstLineChars="200"/>
        <w:jc w:val="left"/>
      </w:pPr>
      <w:bookmarkStart w:id="60" w:name="_Toc31461"/>
      <w:r>
        <w:rPr>
          <w:rFonts w:hint="eastAsia"/>
        </w:rPr>
        <w:t>十、估价结果</w:t>
      </w:r>
      <w:bookmarkEnd w:id="56"/>
      <w:bookmarkEnd w:id="57"/>
      <w:bookmarkEnd w:id="58"/>
      <w:bookmarkEnd w:id="59"/>
      <w:bookmarkEnd w:id="60"/>
      <w:bookmarkStart w:id="61" w:name="_Toc252558954"/>
    </w:p>
    <w:p>
      <w:pPr>
        <w:pStyle w:val="27"/>
        <w:spacing w:before="156" w:beforeLines="50" w:after="156" w:afterLines="50" w:line="360" w:lineRule="auto"/>
        <w:ind w:firstLine="560" w:firstLineChars="200"/>
        <w:jc w:val="left"/>
        <w:rPr>
          <w:rFonts w:hint="eastAsia" w:hAnsi="宋体" w:eastAsia="宋体" w:cs="Times New Roman"/>
          <w:b/>
          <w:bCs w:val="0"/>
          <w:sz w:val="28"/>
          <w:szCs w:val="28"/>
          <w:lang w:val="en-US" w:eastAsia="zh-CN"/>
        </w:rPr>
      </w:pPr>
      <w:bookmarkStart w:id="62" w:name="_Toc27149"/>
      <w:bookmarkStart w:id="63" w:name="_Toc440992066"/>
      <w:bookmarkStart w:id="64" w:name="_Toc6036"/>
      <w:bookmarkStart w:id="65" w:name="_Toc440990686"/>
      <w:r>
        <w:rPr>
          <w:rFonts w:hint="eastAsia" w:ascii="Times New Roman" w:hAnsi="Times New Roman" w:eastAsia="宋体" w:cs="Times New Roman"/>
          <w:bCs/>
          <w:szCs w:val="28"/>
        </w:rPr>
        <w:t>本估价机构根据估价目的，遵循估价原则，采用科学合理的估价方法，在认真分析现有资料的基础上，经过测算，结合估价经验与对影响房地产市场价格因素进行分析，确定估价对象在符合报告中已说明的有关假设以及限制条件的基础上，确定估价对象于价值时点</w:t>
      </w:r>
      <w:r>
        <w:rPr>
          <w:rFonts w:hint="eastAsia" w:ascii="Times New Roman" w:hAnsi="Times New Roman" w:eastAsia="宋体" w:cs="Times New Roman"/>
          <w:bCs/>
          <w:szCs w:val="28"/>
          <w:lang w:val="en-US" w:eastAsia="zh-CN"/>
        </w:rPr>
        <w:t>评估</w:t>
      </w:r>
      <w:r>
        <w:rPr>
          <w:rFonts w:hint="eastAsia" w:ascii="Times New Roman" w:hAnsi="Times New Roman" w:eastAsia="宋体" w:cs="Times New Roman"/>
          <w:bCs/>
          <w:szCs w:val="28"/>
          <w:lang w:eastAsia="zh-CN"/>
        </w:rPr>
        <w:t>价值</w:t>
      </w:r>
      <w:r>
        <w:rPr>
          <w:rFonts w:hint="eastAsia" w:ascii="Times New Roman" w:hAnsi="Times New Roman" w:eastAsia="宋体" w:cs="Times New Roman"/>
          <w:bCs/>
          <w:szCs w:val="28"/>
        </w:rPr>
        <w:t>为人民币（大写）</w:t>
      </w:r>
      <w:bookmarkEnd w:id="61"/>
      <w:bookmarkEnd w:id="62"/>
      <w:bookmarkEnd w:id="63"/>
      <w:bookmarkEnd w:id="64"/>
      <w:bookmarkEnd w:id="65"/>
      <w:bookmarkStart w:id="66" w:name="_Toc3270"/>
      <w:r>
        <w:rPr>
          <w:rFonts w:hint="eastAsia" w:hAnsi="宋体" w:eastAsia="宋体" w:cs="Times New Roman"/>
          <w:b/>
          <w:bCs w:val="0"/>
          <w:sz w:val="28"/>
          <w:szCs w:val="28"/>
          <w:lang w:val="en-US" w:eastAsia="zh-CN"/>
        </w:rPr>
        <w:fldChar w:fldCharType="begin"/>
      </w:r>
      <w:r>
        <w:rPr>
          <w:rFonts w:hint="eastAsia" w:hAnsi="宋体" w:eastAsia="宋体" w:cs="Times New Roman"/>
          <w:b/>
          <w:bCs w:val="0"/>
          <w:sz w:val="28"/>
          <w:szCs w:val="28"/>
          <w:lang w:val="en-US" w:eastAsia="zh-CN"/>
        </w:rPr>
        <w:instrText xml:space="preserve"> = 18360524 \* CHINESENUM2 \* MERGEFORMAT </w:instrText>
      </w:r>
      <w:r>
        <w:rPr>
          <w:rFonts w:hint="eastAsia" w:hAnsi="宋体" w:eastAsia="宋体" w:cs="Times New Roman"/>
          <w:b/>
          <w:bCs w:val="0"/>
          <w:sz w:val="28"/>
          <w:szCs w:val="28"/>
          <w:lang w:val="en-US" w:eastAsia="zh-CN"/>
        </w:rPr>
        <w:fldChar w:fldCharType="separate"/>
      </w:r>
      <w:r>
        <w:rPr>
          <w:rFonts w:hint="default" w:hAnsi="宋体" w:eastAsia="宋体" w:cs="Times New Roman"/>
          <w:b/>
          <w:bCs w:val="0"/>
          <w:sz w:val="28"/>
          <w:szCs w:val="28"/>
          <w:lang w:val="en-US" w:eastAsia="zh-CN"/>
        </w:rPr>
        <w:t>壹仟捌佰叁拾陆万零伍佰贰拾肆</w:t>
      </w:r>
      <w:r>
        <w:rPr>
          <w:rFonts w:hint="eastAsia" w:hAnsi="宋体" w:eastAsia="宋体" w:cs="Times New Roman"/>
          <w:b/>
          <w:bCs w:val="0"/>
          <w:sz w:val="28"/>
          <w:szCs w:val="28"/>
          <w:lang w:val="en-US" w:eastAsia="zh-CN"/>
        </w:rPr>
        <w:fldChar w:fldCharType="end"/>
      </w:r>
      <w:r>
        <w:rPr>
          <w:rFonts w:hint="eastAsia" w:hAnsi="宋体" w:eastAsia="宋体" w:cs="Times New Roman"/>
          <w:b/>
          <w:bCs w:val="0"/>
          <w:sz w:val="28"/>
          <w:szCs w:val="28"/>
          <w:lang w:val="en-US" w:eastAsia="zh-CN"/>
        </w:rPr>
        <w:t>元（</w:t>
      </w:r>
      <w:r>
        <w:rPr>
          <w:rFonts w:hint="default" w:hAnsi="宋体" w:eastAsia="宋体" w:cs="Times New Roman"/>
          <w:b/>
          <w:bCs w:val="0"/>
          <w:sz w:val="28"/>
          <w:szCs w:val="28"/>
          <w:lang w:val="en-US" w:eastAsia="zh-CN"/>
        </w:rPr>
        <w:t>18,360,524.00</w:t>
      </w:r>
      <w:r>
        <w:rPr>
          <w:rFonts w:hint="eastAsia" w:hAnsi="宋体" w:eastAsia="宋体" w:cs="Times New Roman"/>
          <w:b/>
          <w:bCs w:val="0"/>
          <w:sz w:val="28"/>
          <w:szCs w:val="28"/>
          <w:lang w:val="en-US" w:eastAsia="zh-CN"/>
        </w:rPr>
        <w:t>元），详见估价结果一览表：</w:t>
      </w:r>
    </w:p>
    <w:p>
      <w:pPr>
        <w:pStyle w:val="27"/>
        <w:spacing w:before="156" w:beforeLines="50" w:after="156" w:afterLines="50" w:line="360" w:lineRule="auto"/>
        <w:ind w:firstLine="562" w:firstLineChars="200"/>
        <w:jc w:val="left"/>
        <w:rPr>
          <w:rFonts w:hint="eastAsia" w:hAnsi="宋体" w:eastAsia="宋体" w:cs="Times New Roman"/>
          <w:b/>
          <w:bCs w:val="0"/>
          <w:sz w:val="28"/>
          <w:szCs w:val="28"/>
          <w:lang w:val="en-US" w:eastAsia="zh-CN"/>
        </w:rPr>
      </w:pPr>
    </w:p>
    <w:p>
      <w:pPr>
        <w:pStyle w:val="27"/>
        <w:spacing w:before="156" w:beforeLines="50" w:after="156" w:afterLines="50" w:line="360" w:lineRule="auto"/>
        <w:ind w:firstLine="562" w:firstLineChars="200"/>
        <w:jc w:val="left"/>
        <w:rPr>
          <w:rFonts w:hint="eastAsia" w:hAnsi="宋体" w:eastAsia="宋体" w:cs="Times New Roman"/>
          <w:b/>
          <w:bCs w:val="0"/>
          <w:sz w:val="28"/>
          <w:szCs w:val="28"/>
          <w:lang w:val="en-US" w:eastAsia="zh-CN"/>
        </w:rPr>
      </w:pPr>
    </w:p>
    <w:p>
      <w:pPr>
        <w:pStyle w:val="27"/>
        <w:spacing w:before="156" w:beforeLines="50" w:after="156" w:afterLines="50" w:line="360" w:lineRule="auto"/>
        <w:ind w:firstLine="562" w:firstLineChars="200"/>
        <w:jc w:val="left"/>
        <w:rPr>
          <w:rFonts w:hint="eastAsia" w:hAnsi="宋体" w:eastAsia="宋体" w:cs="Times New Roman"/>
          <w:b/>
          <w:bCs w:val="0"/>
          <w:sz w:val="28"/>
          <w:szCs w:val="28"/>
          <w:lang w:val="en-US" w:eastAsia="zh-CN"/>
        </w:rPr>
      </w:pPr>
    </w:p>
    <w:p>
      <w:pPr>
        <w:pStyle w:val="4"/>
        <w:keepNext w:val="0"/>
        <w:keepLines w:val="0"/>
        <w:pageBreakBefore w:val="0"/>
        <w:kinsoku/>
        <w:wordWrap/>
        <w:overflowPunct/>
        <w:topLinePunct w:val="0"/>
        <w:bidi w:val="0"/>
        <w:spacing w:line="560" w:lineRule="exact"/>
        <w:ind w:firstLine="579" w:firstLineChars="200"/>
        <w:jc w:val="left"/>
        <w:rPr>
          <w:rFonts w:hint="eastAsia"/>
          <w:lang w:val="en-US" w:eastAsia="zh-CN"/>
        </w:rPr>
      </w:pPr>
      <w:r>
        <w:rPr>
          <w:rFonts w:hint="eastAsia"/>
          <w:lang w:val="en-US" w:eastAsia="zh-CN"/>
        </w:rPr>
        <w:t>十一、注册房地产估价师</w:t>
      </w:r>
      <w:bookmarkEnd w:id="66"/>
    </w:p>
    <w:tbl>
      <w:tblPr>
        <w:tblStyle w:val="17"/>
        <w:tblW w:w="903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3"/>
        <w:gridCol w:w="2018"/>
        <w:gridCol w:w="3123"/>
        <w:gridCol w:w="24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exact"/>
          <w:jc w:val="center"/>
        </w:trPr>
        <w:tc>
          <w:tcPr>
            <w:tcW w:w="1413" w:type="dxa"/>
            <w:tcBorders>
              <w:top w:val="single" w:color="auto" w:sz="12" w:space="0"/>
              <w:left w:val="single" w:color="auto" w:sz="12" w:space="0"/>
            </w:tcBorders>
            <w:vAlign w:val="center"/>
          </w:tcPr>
          <w:p>
            <w:pPr>
              <w:keepNext w:val="0"/>
              <w:keepLines w:val="0"/>
              <w:pageBreakBefore w:val="0"/>
              <w:kinsoku/>
              <w:wordWrap/>
              <w:overflowPunct/>
              <w:topLinePunct w:val="0"/>
              <w:bidi w:val="0"/>
              <w:snapToGrid w:val="0"/>
              <w:spacing w:line="560" w:lineRule="exact"/>
              <w:jc w:val="center"/>
              <w:rPr>
                <w:szCs w:val="28"/>
              </w:rPr>
            </w:pPr>
            <w:r>
              <w:rPr>
                <w:szCs w:val="28"/>
              </w:rPr>
              <w:t>姓名</w:t>
            </w:r>
          </w:p>
        </w:tc>
        <w:tc>
          <w:tcPr>
            <w:tcW w:w="2018" w:type="dxa"/>
            <w:tcBorders>
              <w:top w:val="single" w:color="auto" w:sz="12" w:space="0"/>
            </w:tcBorders>
            <w:vAlign w:val="center"/>
          </w:tcPr>
          <w:p>
            <w:pPr>
              <w:keepNext w:val="0"/>
              <w:keepLines w:val="0"/>
              <w:pageBreakBefore w:val="0"/>
              <w:kinsoku/>
              <w:wordWrap/>
              <w:overflowPunct/>
              <w:topLinePunct w:val="0"/>
              <w:bidi w:val="0"/>
              <w:snapToGrid w:val="0"/>
              <w:spacing w:line="560" w:lineRule="exact"/>
              <w:jc w:val="center"/>
              <w:rPr>
                <w:szCs w:val="28"/>
              </w:rPr>
            </w:pPr>
            <w:r>
              <w:rPr>
                <w:szCs w:val="28"/>
              </w:rPr>
              <w:t>注册号</w:t>
            </w:r>
          </w:p>
        </w:tc>
        <w:tc>
          <w:tcPr>
            <w:tcW w:w="3123" w:type="dxa"/>
            <w:tcBorders>
              <w:top w:val="single" w:color="auto" w:sz="12" w:space="0"/>
            </w:tcBorders>
            <w:vAlign w:val="center"/>
          </w:tcPr>
          <w:p>
            <w:pPr>
              <w:keepNext w:val="0"/>
              <w:keepLines w:val="0"/>
              <w:pageBreakBefore w:val="0"/>
              <w:kinsoku/>
              <w:wordWrap/>
              <w:overflowPunct/>
              <w:topLinePunct w:val="0"/>
              <w:bidi w:val="0"/>
              <w:snapToGrid w:val="0"/>
              <w:spacing w:line="560" w:lineRule="exact"/>
              <w:jc w:val="center"/>
              <w:rPr>
                <w:szCs w:val="28"/>
              </w:rPr>
            </w:pPr>
            <w:r>
              <w:rPr>
                <w:szCs w:val="28"/>
              </w:rPr>
              <w:t>签名</w:t>
            </w:r>
          </w:p>
        </w:tc>
        <w:tc>
          <w:tcPr>
            <w:tcW w:w="2483" w:type="dxa"/>
            <w:tcBorders>
              <w:top w:val="single" w:color="auto" w:sz="12" w:space="0"/>
              <w:right w:val="single" w:color="auto" w:sz="12" w:space="0"/>
            </w:tcBorders>
            <w:vAlign w:val="center"/>
          </w:tcPr>
          <w:p>
            <w:pPr>
              <w:keepNext w:val="0"/>
              <w:keepLines w:val="0"/>
              <w:pageBreakBefore w:val="0"/>
              <w:kinsoku/>
              <w:wordWrap/>
              <w:overflowPunct/>
              <w:topLinePunct w:val="0"/>
              <w:bidi w:val="0"/>
              <w:snapToGrid w:val="0"/>
              <w:spacing w:line="560" w:lineRule="exact"/>
              <w:jc w:val="center"/>
              <w:rPr>
                <w:szCs w:val="28"/>
              </w:rPr>
            </w:pPr>
            <w:r>
              <w:rPr>
                <w:szCs w:val="28"/>
              </w:rPr>
              <w:t>签名日期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exact"/>
          <w:jc w:val="center"/>
        </w:trPr>
        <w:tc>
          <w:tcPr>
            <w:tcW w:w="1413" w:type="dxa"/>
            <w:tcBorders>
              <w:left w:val="single" w:color="auto" w:sz="12" w:space="0"/>
            </w:tcBorders>
            <w:vAlign w:val="center"/>
          </w:tcPr>
          <w:p>
            <w:pPr>
              <w:keepNext w:val="0"/>
              <w:keepLines w:val="0"/>
              <w:pageBreakBefore w:val="0"/>
              <w:kinsoku/>
              <w:wordWrap/>
              <w:overflowPunct/>
              <w:topLinePunct w:val="0"/>
              <w:bidi w:val="0"/>
              <w:snapToGrid w:val="0"/>
              <w:spacing w:line="560" w:lineRule="exact"/>
              <w:jc w:val="center"/>
              <w:rPr>
                <w:rFonts w:hint="eastAsia"/>
                <w:snapToGrid w:val="0"/>
                <w:sz w:val="28"/>
                <w:szCs w:val="28"/>
              </w:rPr>
            </w:pPr>
            <w:r>
              <w:rPr>
                <w:rFonts w:hint="eastAsia"/>
                <w:snapToGrid w:val="0"/>
                <w:sz w:val="28"/>
                <w:szCs w:val="28"/>
              </w:rPr>
              <w:t>谢光明</w:t>
            </w:r>
          </w:p>
        </w:tc>
        <w:tc>
          <w:tcPr>
            <w:tcW w:w="2018" w:type="dxa"/>
            <w:vAlign w:val="center"/>
          </w:tcPr>
          <w:p>
            <w:pPr>
              <w:keepNext w:val="0"/>
              <w:keepLines w:val="0"/>
              <w:pageBreakBefore w:val="0"/>
              <w:kinsoku/>
              <w:wordWrap/>
              <w:overflowPunct/>
              <w:topLinePunct w:val="0"/>
              <w:bidi w:val="0"/>
              <w:snapToGrid w:val="0"/>
              <w:spacing w:line="560" w:lineRule="exact"/>
              <w:jc w:val="center"/>
              <w:rPr>
                <w:rFonts w:hint="eastAsia"/>
                <w:snapToGrid w:val="0"/>
                <w:sz w:val="28"/>
                <w:szCs w:val="28"/>
              </w:rPr>
            </w:pPr>
            <w:r>
              <w:rPr>
                <w:rFonts w:hint="eastAsia"/>
                <w:snapToGrid w:val="0"/>
                <w:sz w:val="28"/>
                <w:szCs w:val="28"/>
              </w:rPr>
              <w:t>5220180018</w:t>
            </w:r>
          </w:p>
        </w:tc>
        <w:tc>
          <w:tcPr>
            <w:tcW w:w="3123" w:type="dxa"/>
            <w:vAlign w:val="center"/>
          </w:tcPr>
          <w:p>
            <w:pPr>
              <w:keepNext w:val="0"/>
              <w:keepLines w:val="0"/>
              <w:pageBreakBefore w:val="0"/>
              <w:kinsoku/>
              <w:wordWrap/>
              <w:overflowPunct/>
              <w:topLinePunct w:val="0"/>
              <w:bidi w:val="0"/>
              <w:snapToGrid w:val="0"/>
              <w:spacing w:line="560" w:lineRule="exact"/>
              <w:jc w:val="center"/>
              <w:rPr>
                <w:rFonts w:hint="eastAsia"/>
                <w:snapToGrid w:val="0"/>
                <w:sz w:val="28"/>
                <w:szCs w:val="28"/>
              </w:rPr>
            </w:pPr>
          </w:p>
        </w:tc>
        <w:tc>
          <w:tcPr>
            <w:tcW w:w="2483" w:type="dxa"/>
            <w:tcBorders>
              <w:right w:val="single" w:color="auto" w:sz="12" w:space="0"/>
            </w:tcBorders>
            <w:vAlign w:val="center"/>
          </w:tcPr>
          <w:p>
            <w:pPr>
              <w:keepNext w:val="0"/>
              <w:keepLines w:val="0"/>
              <w:pageBreakBefore w:val="0"/>
              <w:kinsoku/>
              <w:wordWrap/>
              <w:overflowPunct/>
              <w:topLinePunct w:val="0"/>
              <w:bidi w:val="0"/>
              <w:snapToGrid w:val="0"/>
              <w:spacing w:line="560" w:lineRule="exact"/>
              <w:jc w:val="center"/>
              <w:rPr>
                <w:rFonts w:hint="eastAsia" w:eastAsiaTheme="minorEastAsia"/>
                <w:snapToGrid w:val="0"/>
                <w:sz w:val="28"/>
                <w:szCs w:val="28"/>
                <w:lang w:eastAsia="zh-CN"/>
              </w:rPr>
            </w:pPr>
            <w:r>
              <w:rPr>
                <w:rFonts w:hint="eastAsia"/>
                <w:snapToGrid w:val="0"/>
                <w:sz w:val="28"/>
                <w:szCs w:val="28"/>
                <w:lang w:eastAsia="zh-CN"/>
              </w:rPr>
              <w:t>2022年7月14日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exact"/>
          <w:jc w:val="center"/>
        </w:trPr>
        <w:tc>
          <w:tcPr>
            <w:tcW w:w="1413" w:type="dxa"/>
            <w:tcBorders>
              <w:left w:val="single" w:color="auto" w:sz="12" w:space="0"/>
              <w:bottom w:val="single" w:color="auto" w:sz="12" w:space="0"/>
            </w:tcBorders>
            <w:vAlign w:val="center"/>
          </w:tcPr>
          <w:p>
            <w:pPr>
              <w:keepNext w:val="0"/>
              <w:keepLines w:val="0"/>
              <w:pageBreakBefore w:val="0"/>
              <w:kinsoku/>
              <w:wordWrap/>
              <w:overflowPunct/>
              <w:topLinePunct w:val="0"/>
              <w:bidi w:val="0"/>
              <w:snapToGrid w:val="0"/>
              <w:spacing w:line="560" w:lineRule="exact"/>
              <w:jc w:val="center"/>
              <w:rPr>
                <w:rFonts w:hint="eastAsia" w:eastAsiaTheme="minorEastAsia"/>
                <w:snapToGrid w:val="0"/>
                <w:sz w:val="28"/>
                <w:szCs w:val="28"/>
                <w:lang w:val="en-US" w:eastAsia="zh-CN"/>
              </w:rPr>
            </w:pPr>
            <w:r>
              <w:rPr>
                <w:rFonts w:hint="eastAsia"/>
                <w:snapToGrid w:val="0"/>
                <w:sz w:val="28"/>
                <w:szCs w:val="28"/>
                <w:lang w:val="en-US" w:eastAsia="zh-CN"/>
              </w:rPr>
              <w:t>周礼行</w:t>
            </w:r>
          </w:p>
        </w:tc>
        <w:tc>
          <w:tcPr>
            <w:tcW w:w="2018" w:type="dxa"/>
            <w:tcBorders>
              <w:bottom w:val="single" w:color="auto" w:sz="12" w:space="0"/>
            </w:tcBorders>
            <w:vAlign w:val="center"/>
          </w:tcPr>
          <w:p>
            <w:pPr>
              <w:keepNext w:val="0"/>
              <w:keepLines w:val="0"/>
              <w:pageBreakBefore w:val="0"/>
              <w:kinsoku/>
              <w:wordWrap/>
              <w:overflowPunct/>
              <w:topLinePunct w:val="0"/>
              <w:bidi w:val="0"/>
              <w:snapToGrid w:val="0"/>
              <w:spacing w:line="560" w:lineRule="exact"/>
              <w:jc w:val="center"/>
              <w:rPr>
                <w:rFonts w:hint="eastAsia"/>
                <w:snapToGrid w:val="0"/>
                <w:sz w:val="28"/>
                <w:szCs w:val="28"/>
              </w:rPr>
            </w:pPr>
            <w:r>
              <w:rPr>
                <w:rFonts w:hint="eastAsia"/>
                <w:snapToGrid w:val="0"/>
                <w:sz w:val="28"/>
                <w:szCs w:val="28"/>
                <w:lang w:eastAsia="zh-CN"/>
              </w:rPr>
              <w:t>5220180026</w:t>
            </w:r>
          </w:p>
        </w:tc>
        <w:tc>
          <w:tcPr>
            <w:tcW w:w="3123" w:type="dxa"/>
            <w:tcBorders>
              <w:bottom w:val="single" w:color="auto" w:sz="12" w:space="0"/>
            </w:tcBorders>
            <w:vAlign w:val="center"/>
          </w:tcPr>
          <w:p>
            <w:pPr>
              <w:keepNext w:val="0"/>
              <w:keepLines w:val="0"/>
              <w:pageBreakBefore w:val="0"/>
              <w:kinsoku/>
              <w:wordWrap/>
              <w:overflowPunct/>
              <w:topLinePunct w:val="0"/>
              <w:bidi w:val="0"/>
              <w:snapToGrid w:val="0"/>
              <w:spacing w:line="560" w:lineRule="exact"/>
              <w:jc w:val="center"/>
              <w:rPr>
                <w:rFonts w:hint="eastAsia"/>
                <w:snapToGrid w:val="0"/>
                <w:sz w:val="28"/>
                <w:szCs w:val="28"/>
              </w:rPr>
            </w:pPr>
          </w:p>
        </w:tc>
        <w:tc>
          <w:tcPr>
            <w:tcW w:w="2483" w:type="dxa"/>
            <w:tcBorders>
              <w:bottom w:val="single" w:color="auto" w:sz="12" w:space="0"/>
              <w:right w:val="single" w:color="auto" w:sz="12" w:space="0"/>
            </w:tcBorders>
            <w:vAlign w:val="center"/>
          </w:tcPr>
          <w:p>
            <w:pPr>
              <w:keepNext w:val="0"/>
              <w:keepLines w:val="0"/>
              <w:pageBreakBefore w:val="0"/>
              <w:kinsoku/>
              <w:wordWrap/>
              <w:overflowPunct/>
              <w:topLinePunct w:val="0"/>
              <w:bidi w:val="0"/>
              <w:snapToGrid w:val="0"/>
              <w:spacing w:line="560" w:lineRule="exact"/>
              <w:jc w:val="center"/>
              <w:rPr>
                <w:rFonts w:hint="eastAsia" w:eastAsiaTheme="minorEastAsia"/>
                <w:snapToGrid w:val="0"/>
                <w:sz w:val="28"/>
                <w:szCs w:val="28"/>
                <w:lang w:eastAsia="zh-CN"/>
              </w:rPr>
            </w:pPr>
            <w:r>
              <w:rPr>
                <w:rFonts w:hint="eastAsia"/>
                <w:snapToGrid w:val="0"/>
                <w:sz w:val="28"/>
                <w:szCs w:val="28"/>
                <w:lang w:eastAsia="zh-CN"/>
              </w:rPr>
              <w:t>2022年7月14日</w:t>
            </w:r>
          </w:p>
        </w:tc>
      </w:tr>
    </w:tbl>
    <w:p>
      <w:pPr>
        <w:pStyle w:val="4"/>
        <w:keepNext w:val="0"/>
        <w:keepLines w:val="0"/>
        <w:pageBreakBefore w:val="0"/>
        <w:kinsoku/>
        <w:wordWrap/>
        <w:overflowPunct/>
        <w:topLinePunct w:val="0"/>
        <w:bidi w:val="0"/>
        <w:spacing w:line="560" w:lineRule="exact"/>
        <w:ind w:firstLine="579" w:firstLineChars="200"/>
        <w:jc w:val="left"/>
      </w:pPr>
      <w:bookmarkStart w:id="67" w:name="_Toc440980567"/>
      <w:bookmarkStart w:id="68" w:name="_Toc12400"/>
      <w:bookmarkStart w:id="69" w:name="_Toc32732"/>
      <w:bookmarkStart w:id="70" w:name="_Toc440992067"/>
      <w:bookmarkStart w:id="71" w:name="_Toc440980990"/>
      <w:bookmarkStart w:id="72" w:name="_Toc440977514"/>
      <w:bookmarkStart w:id="73" w:name="_Toc32520"/>
      <w:bookmarkStart w:id="74" w:name="_Toc440990687"/>
      <w:r>
        <w:rPr>
          <w:rFonts w:hint="eastAsia"/>
        </w:rPr>
        <w:t>十二、实地查勘期</w:t>
      </w:r>
      <w:bookmarkEnd w:id="67"/>
      <w:bookmarkEnd w:id="68"/>
      <w:bookmarkEnd w:id="69"/>
      <w:bookmarkEnd w:id="70"/>
      <w:bookmarkEnd w:id="71"/>
      <w:bookmarkEnd w:id="72"/>
      <w:bookmarkEnd w:id="73"/>
      <w:bookmarkEnd w:id="74"/>
    </w:p>
    <w:p>
      <w:pPr>
        <w:pStyle w:val="27"/>
        <w:keepNext w:val="0"/>
        <w:keepLines w:val="0"/>
        <w:pageBreakBefore w:val="0"/>
        <w:kinsoku/>
        <w:wordWrap/>
        <w:overflowPunct/>
        <w:topLinePunct w:val="0"/>
        <w:autoSpaceDE/>
        <w:autoSpaceDN/>
        <w:bidi w:val="0"/>
        <w:adjustRightInd/>
        <w:spacing w:before="156" w:beforeLines="50" w:after="156" w:afterLines="50" w:line="560" w:lineRule="exact"/>
        <w:ind w:firstLine="560" w:firstLineChars="200"/>
        <w:jc w:val="both"/>
        <w:textAlignment w:val="auto"/>
        <w:rPr>
          <w:rFonts w:hint="eastAsia" w:ascii="Times New Roman" w:hAnsi="Times New Roman" w:eastAsia="宋体" w:cs="Times New Roman"/>
          <w:bCs/>
          <w:szCs w:val="28"/>
          <w:lang w:eastAsia="zh-CN"/>
        </w:rPr>
      </w:pPr>
      <w:r>
        <w:rPr>
          <w:rFonts w:hint="eastAsia" w:ascii="Times New Roman" w:hAnsi="Times New Roman" w:eastAsia="宋体" w:cs="Times New Roman"/>
          <w:bCs/>
          <w:szCs w:val="28"/>
          <w:lang w:eastAsia="zh-CN"/>
        </w:rPr>
        <w:t>2022年7月7日</w:t>
      </w:r>
      <w:r>
        <w:rPr>
          <w:rFonts w:hint="eastAsia" w:ascii="Times New Roman" w:hAnsi="Times New Roman" w:eastAsia="宋体" w:cs="Times New Roman"/>
          <w:bCs/>
          <w:szCs w:val="28"/>
        </w:rPr>
        <w:t>至</w:t>
      </w:r>
      <w:r>
        <w:rPr>
          <w:rFonts w:hint="eastAsia" w:ascii="Times New Roman" w:hAnsi="Times New Roman" w:eastAsia="宋体" w:cs="Times New Roman"/>
          <w:bCs/>
          <w:szCs w:val="28"/>
          <w:lang w:eastAsia="zh-CN"/>
        </w:rPr>
        <w:t>2022年7月7日</w:t>
      </w:r>
    </w:p>
    <w:p>
      <w:pPr>
        <w:pStyle w:val="4"/>
        <w:keepNext w:val="0"/>
        <w:keepLines w:val="0"/>
        <w:pageBreakBefore w:val="0"/>
        <w:kinsoku/>
        <w:wordWrap/>
        <w:overflowPunct/>
        <w:topLinePunct w:val="0"/>
        <w:bidi w:val="0"/>
        <w:spacing w:line="560" w:lineRule="exact"/>
        <w:ind w:firstLine="579" w:firstLineChars="200"/>
        <w:jc w:val="left"/>
      </w:pPr>
      <w:bookmarkStart w:id="75" w:name="_Toc24579"/>
      <w:bookmarkStart w:id="76" w:name="_Toc440990688"/>
      <w:bookmarkStart w:id="77" w:name="_Toc13936"/>
      <w:bookmarkStart w:id="78" w:name="_Toc440992068"/>
      <w:bookmarkStart w:id="79" w:name="_Toc23116"/>
      <w:r>
        <w:rPr>
          <w:rFonts w:hint="eastAsia"/>
        </w:rPr>
        <w:t>十三、估价作业期</w:t>
      </w:r>
      <w:bookmarkEnd w:id="75"/>
      <w:bookmarkEnd w:id="76"/>
      <w:bookmarkEnd w:id="77"/>
      <w:bookmarkEnd w:id="78"/>
      <w:bookmarkEnd w:id="79"/>
    </w:p>
    <w:p>
      <w:pPr>
        <w:pStyle w:val="27"/>
        <w:keepNext w:val="0"/>
        <w:keepLines w:val="0"/>
        <w:pageBreakBefore w:val="0"/>
        <w:kinsoku/>
        <w:wordWrap/>
        <w:overflowPunct/>
        <w:topLinePunct w:val="0"/>
        <w:autoSpaceDE/>
        <w:autoSpaceDN/>
        <w:bidi w:val="0"/>
        <w:adjustRightInd/>
        <w:spacing w:before="156" w:beforeLines="50" w:after="156" w:afterLines="50" w:line="560" w:lineRule="exact"/>
        <w:ind w:firstLine="560" w:firstLineChars="200"/>
        <w:jc w:val="both"/>
        <w:textAlignment w:val="auto"/>
        <w:rPr>
          <w:rFonts w:hint="eastAsia" w:ascii="Times New Roman" w:hAnsi="Times New Roman" w:eastAsia="宋体" w:cs="Times New Roman"/>
          <w:bCs/>
          <w:szCs w:val="28"/>
        </w:rPr>
      </w:pPr>
      <w:r>
        <w:rPr>
          <w:rFonts w:hint="eastAsia" w:ascii="Times New Roman" w:hAnsi="Times New Roman" w:eastAsia="宋体" w:cs="Times New Roman"/>
          <w:bCs/>
          <w:szCs w:val="28"/>
          <w:lang w:eastAsia="zh-CN"/>
        </w:rPr>
        <w:t>202</w:t>
      </w:r>
      <w:r>
        <w:rPr>
          <w:rFonts w:hint="eastAsia" w:ascii="Times New Roman" w:hAnsi="Times New Roman" w:eastAsia="宋体" w:cs="Times New Roman"/>
          <w:bCs/>
          <w:szCs w:val="28"/>
          <w:lang w:val="en-US" w:eastAsia="zh-CN"/>
        </w:rPr>
        <w:t>2</w:t>
      </w:r>
      <w:r>
        <w:rPr>
          <w:rFonts w:hint="eastAsia" w:ascii="Times New Roman" w:hAnsi="Times New Roman" w:eastAsia="宋体" w:cs="Times New Roman"/>
          <w:bCs/>
          <w:szCs w:val="28"/>
          <w:lang w:eastAsia="zh-CN"/>
        </w:rPr>
        <w:t>年</w:t>
      </w:r>
      <w:r>
        <w:rPr>
          <w:rFonts w:hint="eastAsia" w:ascii="Times New Roman" w:hAnsi="Times New Roman" w:eastAsia="宋体" w:cs="Times New Roman"/>
          <w:bCs/>
          <w:szCs w:val="28"/>
          <w:lang w:val="en-US" w:eastAsia="zh-CN"/>
        </w:rPr>
        <w:t>6</w:t>
      </w:r>
      <w:r>
        <w:rPr>
          <w:rFonts w:hint="eastAsia" w:ascii="Times New Roman" w:hAnsi="Times New Roman" w:eastAsia="宋体" w:cs="Times New Roman"/>
          <w:bCs/>
          <w:szCs w:val="28"/>
          <w:lang w:eastAsia="zh-CN"/>
        </w:rPr>
        <w:t>月</w:t>
      </w:r>
      <w:r>
        <w:rPr>
          <w:rFonts w:hint="eastAsia" w:ascii="Times New Roman" w:hAnsi="Times New Roman" w:eastAsia="宋体" w:cs="Times New Roman"/>
          <w:bCs/>
          <w:szCs w:val="28"/>
          <w:lang w:val="en-US" w:eastAsia="zh-CN"/>
        </w:rPr>
        <w:t>13</w:t>
      </w:r>
      <w:r>
        <w:rPr>
          <w:rFonts w:hint="eastAsia" w:ascii="Times New Roman" w:hAnsi="Times New Roman" w:eastAsia="宋体" w:cs="Times New Roman"/>
          <w:bCs/>
          <w:szCs w:val="28"/>
          <w:lang w:eastAsia="zh-CN"/>
        </w:rPr>
        <w:t>日</w:t>
      </w:r>
      <w:r>
        <w:rPr>
          <w:rFonts w:hint="eastAsia" w:ascii="Times New Roman" w:hAnsi="Times New Roman" w:eastAsia="宋体" w:cs="Times New Roman"/>
          <w:bCs/>
          <w:szCs w:val="28"/>
        </w:rPr>
        <w:t>至</w:t>
      </w:r>
      <w:r>
        <w:rPr>
          <w:rFonts w:hint="eastAsia" w:ascii="Times New Roman" w:hAnsi="Times New Roman" w:eastAsia="宋体" w:cs="Times New Roman"/>
          <w:bCs/>
          <w:szCs w:val="28"/>
          <w:lang w:eastAsia="zh-CN"/>
        </w:rPr>
        <w:t>2022年7月14日</w:t>
      </w:r>
    </w:p>
    <w:p>
      <w:pPr>
        <w:pStyle w:val="27"/>
        <w:keepNext w:val="0"/>
        <w:keepLines w:val="0"/>
        <w:pageBreakBefore w:val="0"/>
        <w:kinsoku/>
        <w:wordWrap/>
        <w:overflowPunct/>
        <w:topLinePunct w:val="0"/>
        <w:autoSpaceDE/>
        <w:autoSpaceDN/>
        <w:bidi w:val="0"/>
        <w:adjustRightInd/>
        <w:spacing w:before="156" w:beforeLines="50" w:after="156" w:afterLines="50" w:line="560" w:lineRule="exact"/>
        <w:ind w:firstLine="560" w:firstLineChars="200"/>
        <w:jc w:val="both"/>
        <w:textAlignment w:val="auto"/>
        <w:rPr>
          <w:rFonts w:hint="eastAsia" w:ascii="Times New Roman" w:hAnsi="Times New Roman" w:eastAsia="宋体" w:cs="Times New Roman"/>
          <w:bCs/>
          <w:szCs w:val="28"/>
        </w:rPr>
      </w:pPr>
    </w:p>
    <w:p>
      <w:pPr>
        <w:pStyle w:val="27"/>
        <w:keepNext w:val="0"/>
        <w:keepLines w:val="0"/>
        <w:pageBreakBefore w:val="0"/>
        <w:kinsoku/>
        <w:wordWrap/>
        <w:overflowPunct/>
        <w:topLinePunct w:val="0"/>
        <w:autoSpaceDE/>
        <w:autoSpaceDN/>
        <w:bidi w:val="0"/>
        <w:adjustRightInd/>
        <w:spacing w:before="156" w:beforeLines="50" w:after="156" w:afterLines="50" w:line="560" w:lineRule="exact"/>
        <w:ind w:firstLine="560" w:firstLineChars="200"/>
        <w:jc w:val="both"/>
        <w:textAlignment w:val="auto"/>
        <w:rPr>
          <w:rFonts w:hint="eastAsia" w:ascii="Times New Roman" w:hAnsi="Times New Roman" w:eastAsia="宋体" w:cs="Times New Roman"/>
          <w:bCs/>
          <w:szCs w:val="28"/>
        </w:rPr>
      </w:pPr>
    </w:p>
    <w:p>
      <w:pPr>
        <w:pStyle w:val="27"/>
        <w:keepNext w:val="0"/>
        <w:keepLines w:val="0"/>
        <w:pageBreakBefore w:val="0"/>
        <w:kinsoku/>
        <w:wordWrap/>
        <w:overflowPunct/>
        <w:topLinePunct w:val="0"/>
        <w:autoSpaceDE/>
        <w:autoSpaceDN/>
        <w:bidi w:val="0"/>
        <w:adjustRightInd/>
        <w:spacing w:before="156" w:beforeLines="50" w:after="156" w:afterLines="50" w:line="560" w:lineRule="exact"/>
        <w:ind w:firstLine="560" w:firstLineChars="200"/>
        <w:jc w:val="both"/>
        <w:textAlignment w:val="auto"/>
        <w:rPr>
          <w:rFonts w:hint="eastAsia" w:ascii="Times New Roman" w:hAnsi="Times New Roman" w:eastAsia="宋体" w:cs="Times New Roman"/>
          <w:bCs/>
          <w:szCs w:val="28"/>
        </w:rPr>
      </w:pPr>
    </w:p>
    <w:p>
      <w:pPr>
        <w:pStyle w:val="27"/>
        <w:keepNext w:val="0"/>
        <w:keepLines w:val="0"/>
        <w:pageBreakBefore w:val="0"/>
        <w:kinsoku/>
        <w:wordWrap/>
        <w:overflowPunct/>
        <w:topLinePunct w:val="0"/>
        <w:autoSpaceDE/>
        <w:autoSpaceDN/>
        <w:bidi w:val="0"/>
        <w:adjustRightInd/>
        <w:spacing w:before="156" w:beforeLines="50" w:after="156" w:afterLines="50" w:line="560" w:lineRule="exact"/>
        <w:ind w:firstLine="560" w:firstLineChars="200"/>
        <w:jc w:val="both"/>
        <w:textAlignment w:val="auto"/>
        <w:rPr>
          <w:rFonts w:hint="eastAsia" w:ascii="Times New Roman" w:hAnsi="Times New Roman" w:eastAsia="宋体" w:cs="Times New Roman"/>
          <w:bCs/>
          <w:szCs w:val="28"/>
        </w:rPr>
      </w:pPr>
    </w:p>
    <w:p>
      <w:pPr>
        <w:pStyle w:val="27"/>
        <w:keepNext w:val="0"/>
        <w:keepLines w:val="0"/>
        <w:pageBreakBefore w:val="0"/>
        <w:kinsoku/>
        <w:wordWrap/>
        <w:overflowPunct/>
        <w:topLinePunct w:val="0"/>
        <w:autoSpaceDE/>
        <w:autoSpaceDN/>
        <w:bidi w:val="0"/>
        <w:adjustRightInd/>
        <w:spacing w:before="156" w:beforeLines="50" w:after="156" w:afterLines="50" w:line="560" w:lineRule="exact"/>
        <w:ind w:firstLine="560" w:firstLineChars="200"/>
        <w:jc w:val="both"/>
        <w:textAlignment w:val="auto"/>
        <w:rPr>
          <w:rFonts w:hint="eastAsia" w:ascii="Times New Roman" w:hAnsi="Times New Roman" w:eastAsia="宋体" w:cs="Times New Roman"/>
          <w:bCs/>
          <w:szCs w:val="28"/>
        </w:rPr>
      </w:pPr>
    </w:p>
    <w:p>
      <w:pPr>
        <w:pStyle w:val="10"/>
        <w:keepNext w:val="0"/>
        <w:keepLines w:val="0"/>
        <w:pageBreakBefore w:val="0"/>
        <w:kinsoku/>
        <w:wordWrap/>
        <w:overflowPunct/>
        <w:topLinePunct w:val="0"/>
        <w:bidi w:val="0"/>
        <w:adjustRightInd/>
        <w:spacing w:line="560" w:lineRule="exact"/>
        <w:ind w:left="0" w:leftChars="0" w:firstLine="200"/>
        <w:jc w:val="right"/>
        <w:rPr>
          <w:rFonts w:ascii="宋体" w:hAnsi="宋体" w:eastAsia="宋体"/>
          <w:spacing w:val="0"/>
          <w:szCs w:val="28"/>
        </w:rPr>
      </w:pPr>
      <w:r>
        <w:rPr>
          <w:rFonts w:hint="eastAsia" w:ascii="宋体" w:hAnsi="宋体" w:eastAsia="宋体"/>
          <w:spacing w:val="0"/>
          <w:szCs w:val="28"/>
          <w:lang w:eastAsia="zh-CN"/>
        </w:rPr>
        <w:t>贵州瑞华亚太房地产土地资产评估有限公司</w:t>
      </w:r>
      <w:r>
        <w:rPr>
          <w:rFonts w:ascii="宋体" w:hAnsi="宋体" w:eastAsia="宋体"/>
          <w:spacing w:val="0"/>
          <w:szCs w:val="28"/>
        </w:rPr>
        <w:t xml:space="preserve"> </w:t>
      </w:r>
    </w:p>
    <w:p>
      <w:pPr>
        <w:pStyle w:val="27"/>
        <w:keepNext w:val="0"/>
        <w:keepLines w:val="0"/>
        <w:pageBreakBefore w:val="0"/>
        <w:kinsoku/>
        <w:wordWrap/>
        <w:overflowPunct/>
        <w:topLinePunct w:val="0"/>
        <w:bidi w:val="0"/>
        <w:spacing w:before="156" w:beforeLines="50" w:after="156" w:afterLines="50" w:line="560" w:lineRule="exact"/>
        <w:ind w:firstLine="0" w:firstLineChars="0"/>
        <w:jc w:val="right"/>
      </w:pPr>
      <w:r>
        <w:rPr>
          <w:rFonts w:hint="eastAsia" w:hAnsi="宋体"/>
          <w:szCs w:val="28"/>
          <w:lang w:eastAsia="zh-CN"/>
        </w:rPr>
        <w:t xml:space="preserve"> 二○二二年七月十四日</w:t>
      </w:r>
    </w:p>
    <w:sectPr>
      <w:pgSz w:w="11906" w:h="16838"/>
      <w:pgMar w:top="1440" w:right="1800" w:bottom="1440" w:left="1800" w:header="851" w:footer="992" w:gutter="0"/>
      <w:pgBorders>
        <w:top w:val="none" w:sz="0" w:space="0"/>
        <w:left w:val="none" w:sz="0" w:space="0"/>
        <w:bottom w:val="none" w:sz="0" w:space="0"/>
        <w:right w:val="none" w:sz="0" w:space="0"/>
      </w:pgBorders>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PMingLiU">
    <w:altName w:val="PMingLiU-ExtB"/>
    <w:panose1 w:val="02020500000000000000"/>
    <w:charset w:val="88"/>
    <w:family w:val="roman"/>
    <w:pitch w:val="default"/>
    <w:sig w:usb0="00000000" w:usb1="00000000" w:usb2="00000016" w:usb3="00000000" w:csb0="00100001" w:csb1="00000000"/>
  </w:font>
  <w:font w:name="PMingLiU-ExtB">
    <w:panose1 w:val="02020500000000000000"/>
    <w:charset w:val="88"/>
    <w:family w:val="auto"/>
    <w:pitch w:val="default"/>
    <w:sig w:usb0="8000002F" w:usb1="02000008" w:usb2="00000000" w:usb3="00000000" w:csb0="00100001" w:csb1="00000000"/>
  </w:font>
  <w:font w:name="Cambria">
    <w:panose1 w:val="02040503050406030204"/>
    <w:charset w:val="00"/>
    <w:family w:val="roman"/>
    <w:pitch w:val="default"/>
    <w:sig w:usb0="E00006FF" w:usb1="420024FF" w:usb2="02000000" w:usb3="00000000" w:csb0="2000019F" w:csb1="00000000"/>
  </w:font>
  <w:font w:name="楷体_GB2312">
    <w:altName w:val="楷体"/>
    <w:panose1 w:val="00000000000000000000"/>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r>
      <w:rPr>
        <w:rFonts w:hint="eastAsia"/>
      </w:rPr>
      <w:t xml:space="preserve">                                         第2页 共2页</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firstLine="4320" w:firstLineChars="240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tabs>
        <w:tab w:val="center" w:pos="4535"/>
        <w:tab w:val="clear" w:pos="4153"/>
      </w:tabs>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t xml:space="preserve">第 </w:t>
                          </w:r>
                          <w:r>
                            <w:fldChar w:fldCharType="begin"/>
                          </w:r>
                          <w:r>
                            <w:instrText xml:space="preserve"> PAGE  \* MERGEFORMAT </w:instrText>
                          </w:r>
                          <w:r>
                            <w:fldChar w:fldCharType="separate"/>
                          </w:r>
                          <w:r>
                            <w:t>2</w:t>
                          </w:r>
                          <w:r>
                            <w:fldChar w:fldCharType="end"/>
                          </w:r>
                          <w:r>
                            <w:t xml:space="preserve"> 页 共 </w:t>
                          </w:r>
                          <w:r>
                            <w:rPr>
                              <w:rFonts w:hint="eastAsia"/>
                              <w:lang w:val="en-US" w:eastAsia="zh-CN"/>
                            </w:rPr>
                            <w:t>8</w:t>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12"/>
                    </w:pPr>
                    <w:r>
                      <w:t xml:space="preserve">第 </w:t>
                    </w:r>
                    <w:r>
                      <w:fldChar w:fldCharType="begin"/>
                    </w:r>
                    <w:r>
                      <w:instrText xml:space="preserve"> PAGE  \* MERGEFORMAT </w:instrText>
                    </w:r>
                    <w:r>
                      <w:fldChar w:fldCharType="separate"/>
                    </w:r>
                    <w:r>
                      <w:t>2</w:t>
                    </w:r>
                    <w:r>
                      <w:fldChar w:fldCharType="end"/>
                    </w:r>
                    <w:r>
                      <w:t xml:space="preserve"> 页 共 </w:t>
                    </w:r>
                    <w:r>
                      <w:rPr>
                        <w:rFonts w:hint="eastAsia"/>
                        <w:lang w:val="en-US" w:eastAsia="zh-CN"/>
                      </w:rPr>
                      <w:t>8</w:t>
                    </w:r>
                    <w:r>
                      <w:t xml:space="preserve"> 页</w:t>
                    </w:r>
                  </w:p>
                </w:txbxContent>
              </v:textbox>
            </v:shape>
          </w:pict>
        </mc:Fallback>
      </mc:AlternateContent>
    </w:r>
    <w:r>
      <w:rPr>
        <w:rFonts w:hint="eastAsia"/>
      </w:rP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firstLine="4320" w:firstLineChars="2400"/>
    </w:pPr>
    <w:r>
      <w:rPr>
        <w:sz w:val="18"/>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t xml:space="preserve">第 </w:t>
                          </w:r>
                          <w:r>
                            <w:rPr>
                              <w:color w:val="FF0000"/>
                            </w:rPr>
                            <w:fldChar w:fldCharType="begin"/>
                          </w:r>
                          <w:r>
                            <w:rPr>
                              <w:color w:val="FF0000"/>
                            </w:rPr>
                            <w:instrText xml:space="preserve"> PAGE  \* MERGEFORMAT </w:instrText>
                          </w:r>
                          <w:r>
                            <w:rPr>
                              <w:color w:val="FF0000"/>
                            </w:rPr>
                            <w:fldChar w:fldCharType="separate"/>
                          </w:r>
                          <w:r>
                            <w:rPr>
                              <w:color w:val="FF0000"/>
                            </w:rPr>
                            <w:t>1</w:t>
                          </w:r>
                          <w:r>
                            <w:rPr>
                              <w:color w:val="FF0000"/>
                            </w:rPr>
                            <w:fldChar w:fldCharType="end"/>
                          </w:r>
                          <w:r>
                            <w:t xml:space="preserve"> 页 共 </w:t>
                          </w:r>
                          <w:r>
                            <w:rPr>
                              <w:rFonts w:hint="eastAsia"/>
                              <w:lang w:val="en-US" w:eastAsia="zh-CN"/>
                            </w:rPr>
                            <w:t>2</w:t>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12"/>
                    </w:pPr>
                    <w:r>
                      <w:t xml:space="preserve">第 </w:t>
                    </w:r>
                    <w:r>
                      <w:rPr>
                        <w:color w:val="FF0000"/>
                      </w:rPr>
                      <w:fldChar w:fldCharType="begin"/>
                    </w:r>
                    <w:r>
                      <w:rPr>
                        <w:color w:val="FF0000"/>
                      </w:rPr>
                      <w:instrText xml:space="preserve"> PAGE  \* MERGEFORMAT </w:instrText>
                    </w:r>
                    <w:r>
                      <w:rPr>
                        <w:color w:val="FF0000"/>
                      </w:rPr>
                      <w:fldChar w:fldCharType="separate"/>
                    </w:r>
                    <w:r>
                      <w:rPr>
                        <w:color w:val="FF0000"/>
                      </w:rPr>
                      <w:t>1</w:t>
                    </w:r>
                    <w:r>
                      <w:rPr>
                        <w:color w:val="FF0000"/>
                      </w:rPr>
                      <w:fldChar w:fldCharType="end"/>
                    </w:r>
                    <w:r>
                      <w:t xml:space="preserve"> 页 共 </w:t>
                    </w:r>
                    <w:r>
                      <w:rPr>
                        <w:rFonts w:hint="eastAsia"/>
                        <w:lang w:val="en-US" w:eastAsia="zh-CN"/>
                      </w:rPr>
                      <w:t>2</w:t>
                    </w:r>
                    <w:r>
                      <w:t xml:space="preserve"> 页</w:t>
                    </w:r>
                  </w:p>
                </w:txbxContent>
              </v:textbox>
            </v:shape>
          </w:pict>
        </mc:Fallback>
      </mc:AlternateContent>
    </w: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12"/>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DajL89NwIAAG8EAAAOAAAAAAAAAAEAIAAAAB8BAABkcnMvZTJvRG9jLnht&#10;bFBLBQYAAAAABgAGAFkBAADIBQAAAAA=&#10;">
              <v:fill on="f" focussize="0,0"/>
              <v:stroke on="f" weight="0.5pt"/>
              <v:imagedata o:title=""/>
              <o:lock v:ext="edit" aspectratio="f"/>
              <v:textbox inset="0mm,0mm,0mm,0mm" style="mso-fit-shape-to-text:t;">
                <w:txbxContent>
                  <w:p>
                    <w:pPr>
                      <w:pStyle w:val="12"/>
                    </w:pP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tabs>
        <w:tab w:val="center" w:pos="4535"/>
        <w:tab w:val="clear" w:pos="4153"/>
      </w:tabs>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firstLine="4320" w:firstLineChars="2400"/>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26" name="文本框 2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12"/>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s0lY7tAAAAAFAQAADwAAAAAAAAABACAAAAAiAAAAZHJzL2Rvd25yZXYueG1s&#10;UEsBAhQAFAAAAAgAh07iQOmEs+A5AgAAcQQAAA4AAAAAAAAAAQAgAAAAHwEAAGRycy9lMm9Eb2Mu&#10;eG1sUEsFBgAAAAAGAAYAWQEAAMoFAAAAAA==&#10;">
              <v:fill on="f" focussize="0,0"/>
              <v:stroke on="f" weight="0.5pt"/>
              <v:imagedata o:title=""/>
              <o:lock v:ext="edit" aspectratio="f"/>
              <v:textbox inset="0mm,0mm,0mm,0mm" style="mso-fit-shape-to-text:t;">
                <w:txbxContent>
                  <w:p>
                    <w:pPr>
                      <w:pStyle w:val="12"/>
                    </w:pP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pPr>
    <w:r>
      <w:rPr>
        <w:sz w:val="18"/>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t xml:space="preserve">第 </w:t>
                          </w:r>
                          <w:r>
                            <w:fldChar w:fldCharType="begin"/>
                          </w:r>
                          <w:r>
                            <w:instrText xml:space="preserve"> PAGE  \* MERGEFORMAT </w:instrText>
                          </w:r>
                          <w:r>
                            <w:fldChar w:fldCharType="separate"/>
                          </w:r>
                          <w:r>
                            <w:t>7</w:t>
                          </w:r>
                          <w:r>
                            <w:fldChar w:fldCharType="end"/>
                          </w:r>
                          <w:r>
                            <w:t xml:space="preserve"> 页 共 </w:t>
                          </w:r>
                          <w:r>
                            <w:rPr>
                              <w:rFonts w:hint="eastAsia"/>
                              <w:lang w:val="en-US" w:eastAsia="zh-CN"/>
                            </w:rPr>
                            <w:t>12</w:t>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rADh6MQIAAGMEAAAOAAAAAAAAAAEAIAAAAB8BAABkcnMvZTJvRG9jLnhtbFBLBQYA&#10;AAAABgAGAFkBAADCBQAAAAA=&#10;">
              <v:fill on="f" focussize="0,0"/>
              <v:stroke on="f" weight="0.5pt"/>
              <v:imagedata o:title=""/>
              <o:lock v:ext="edit" aspectratio="f"/>
              <v:textbox inset="0mm,0mm,0mm,0mm" style="mso-fit-shape-to-text:t;">
                <w:txbxContent>
                  <w:p>
                    <w:pPr>
                      <w:pStyle w:val="12"/>
                    </w:pPr>
                    <w:r>
                      <w:t xml:space="preserve">第 </w:t>
                    </w:r>
                    <w:r>
                      <w:fldChar w:fldCharType="begin"/>
                    </w:r>
                    <w:r>
                      <w:instrText xml:space="preserve"> PAGE  \* MERGEFORMAT </w:instrText>
                    </w:r>
                    <w:r>
                      <w:fldChar w:fldCharType="separate"/>
                    </w:r>
                    <w:r>
                      <w:t>7</w:t>
                    </w:r>
                    <w:r>
                      <w:fldChar w:fldCharType="end"/>
                    </w:r>
                    <w:r>
                      <w:t xml:space="preserve"> 页 共 </w:t>
                    </w:r>
                    <w:r>
                      <w:rPr>
                        <w:rFonts w:hint="eastAsia"/>
                        <w:lang w:val="en-US" w:eastAsia="zh-CN"/>
                      </w:rPr>
                      <w:t>12</w:t>
                    </w:r>
                    <w:r>
                      <w:t xml:space="preserve"> 页</w:t>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pPr>
    <w:r>
      <w:rPr>
        <w:sz w:val="18"/>
      </w:rP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t xml:space="preserve">第 </w:t>
                          </w:r>
                          <w:r>
                            <w:fldChar w:fldCharType="begin"/>
                          </w:r>
                          <w:r>
                            <w:instrText xml:space="preserve"> PAGE  \* MERGEFORMAT </w:instrText>
                          </w:r>
                          <w:r>
                            <w:fldChar w:fldCharType="separate"/>
                          </w:r>
                          <w:r>
                            <w:t>2</w:t>
                          </w:r>
                          <w:r>
                            <w:fldChar w:fldCharType="end"/>
                          </w:r>
                          <w:r>
                            <w:t xml:space="preserve"> 页 共 </w:t>
                          </w:r>
                          <w:r>
                            <w:rPr>
                              <w:rFonts w:hint="eastAsia"/>
                              <w:lang w:val="en-US" w:eastAsia="zh-CN"/>
                            </w:rPr>
                            <w:t>23</w:t>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z+8ZE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s/vGRMQIAAGMEAAAOAAAAAAAAAAEAIAAAAB8BAABkcnMvZTJvRG9jLnhtbFBLBQYA&#10;AAAABgAGAFkBAADCBQAAAAA=&#10;">
              <v:fill on="f" focussize="0,0"/>
              <v:stroke on="f" weight="0.5pt"/>
              <v:imagedata o:title=""/>
              <o:lock v:ext="edit" aspectratio="f"/>
              <v:textbox inset="0mm,0mm,0mm,0mm" style="mso-fit-shape-to-text:t;">
                <w:txbxContent>
                  <w:p>
                    <w:pPr>
                      <w:pStyle w:val="12"/>
                    </w:pPr>
                    <w:r>
                      <w:t xml:space="preserve">第 </w:t>
                    </w:r>
                    <w:r>
                      <w:fldChar w:fldCharType="begin"/>
                    </w:r>
                    <w:r>
                      <w:instrText xml:space="preserve"> PAGE  \* MERGEFORMAT </w:instrText>
                    </w:r>
                    <w:r>
                      <w:fldChar w:fldCharType="separate"/>
                    </w:r>
                    <w:r>
                      <w:t>2</w:t>
                    </w:r>
                    <w:r>
                      <w:fldChar w:fldCharType="end"/>
                    </w:r>
                    <w:r>
                      <w:t xml:space="preserve"> 页 共 </w:t>
                    </w:r>
                    <w:r>
                      <w:rPr>
                        <w:rFonts w:hint="eastAsia"/>
                        <w:lang w:val="en-US" w:eastAsia="zh-CN"/>
                      </w:rPr>
                      <w:t>23</w:t>
                    </w:r>
                    <w:r>
                      <w:t xml:space="preserve"> 页</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rPr>
        <w:rFonts w:hint="eastAsia"/>
      </w:rPr>
      <w:t>【</w:t>
    </w:r>
    <w:r>
      <w:rPr>
        <w:rFonts w:hint="eastAsia"/>
        <w:lang w:eastAsia="zh-CN"/>
      </w:rPr>
      <w:t>贵州瑞华亚太房地产土地资产评估有限公司</w:t>
    </w:r>
    <w:r>
      <w:rPr>
        <w:rFonts w:hint="eastAsia"/>
      </w:rPr>
      <w:t>】                                 【房地产估价报告】</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1"/>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rPr>
        <w:rFonts w:hint="eastAsia"/>
      </w:rPr>
      <w:t>【</w:t>
    </w:r>
    <w:r>
      <w:rPr>
        <w:rFonts w:hint="eastAsia"/>
        <w:lang w:eastAsia="zh-CN"/>
      </w:rPr>
      <w:t>贵州瑞华亚太房地产土地资产评估有限公司</w:t>
    </w:r>
    <w:r>
      <w:rPr>
        <w:rFonts w:hint="eastAsia"/>
      </w:rPr>
      <w:t>】                                 【房地产估价报告】</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rPr>
        <w:rFonts w:hint="eastAsia"/>
      </w:rPr>
      <w:t>【</w:t>
    </w:r>
    <w:r>
      <w:rPr>
        <w:rFonts w:hint="eastAsia"/>
        <w:lang w:eastAsia="zh-CN"/>
      </w:rPr>
      <w:t>贵州瑞华亚太房地产土地资产评估有限公司</w:t>
    </w:r>
    <w:r>
      <w:rPr>
        <w:rFonts w:hint="eastAsia"/>
      </w:rPr>
      <w:t>】                                           【房地产估价报告】</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7B02642"/>
    <w:multiLevelType w:val="singleLevel"/>
    <w:tmpl w:val="17B02642"/>
    <w:lvl w:ilvl="0" w:tentative="0">
      <w:start w:val="1"/>
      <w:numFmt w:val="decimal"/>
      <w:suff w:val="nothing"/>
      <w:lvlText w:val="%1、"/>
      <w:lvlJc w:val="left"/>
    </w:lvl>
  </w:abstractNum>
  <w:abstractNum w:abstractNumId="1">
    <w:nsid w:val="3F941C80"/>
    <w:multiLevelType w:val="singleLevel"/>
    <w:tmpl w:val="3F941C80"/>
    <w:lvl w:ilvl="0" w:tentative="0">
      <w:start w:val="3"/>
      <w:numFmt w:val="chineseCounting"/>
      <w:suff w:val="nothing"/>
      <w:lvlText w:val="%1、"/>
      <w:lvlJc w:val="left"/>
      <w:pPr>
        <w:ind w:left="-2"/>
      </w:pPr>
      <w:rPr>
        <w:rFonts w:hint="eastAsia"/>
      </w:rPr>
    </w:lvl>
  </w:abstractNum>
  <w:abstractNum w:abstractNumId="2">
    <w:nsid w:val="59CB438A"/>
    <w:multiLevelType w:val="singleLevel"/>
    <w:tmpl w:val="59CB438A"/>
    <w:lvl w:ilvl="0" w:tentative="0">
      <w:start w:val="3"/>
      <w:numFmt w:val="decimal"/>
      <w:suff w:val="nothing"/>
      <w:lvlText w:val="%1、"/>
      <w:lvlJc w:val="left"/>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8"/>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dhMmE5ZTYzMjVkNzc1NDg0Zjc5ZjU0NDEyYjVhMWIifQ=="/>
  </w:docVars>
  <w:rsids>
    <w:rsidRoot w:val="203E338B"/>
    <w:rsid w:val="00003261"/>
    <w:rsid w:val="00012E1F"/>
    <w:rsid w:val="00020FCE"/>
    <w:rsid w:val="0002733F"/>
    <w:rsid w:val="00027F99"/>
    <w:rsid w:val="00041369"/>
    <w:rsid w:val="0005781E"/>
    <w:rsid w:val="00065942"/>
    <w:rsid w:val="000830CB"/>
    <w:rsid w:val="000A6D35"/>
    <w:rsid w:val="000B4DC7"/>
    <w:rsid w:val="000B5374"/>
    <w:rsid w:val="000C0F9F"/>
    <w:rsid w:val="000D02EA"/>
    <w:rsid w:val="000E144F"/>
    <w:rsid w:val="000E497B"/>
    <w:rsid w:val="000F4059"/>
    <w:rsid w:val="00102DDB"/>
    <w:rsid w:val="00115825"/>
    <w:rsid w:val="00115BB7"/>
    <w:rsid w:val="00126195"/>
    <w:rsid w:val="001471F8"/>
    <w:rsid w:val="0017241A"/>
    <w:rsid w:val="00185FA8"/>
    <w:rsid w:val="00193F4C"/>
    <w:rsid w:val="001B357C"/>
    <w:rsid w:val="001B4BAA"/>
    <w:rsid w:val="001C4D5C"/>
    <w:rsid w:val="001D1894"/>
    <w:rsid w:val="001D1B5C"/>
    <w:rsid w:val="001D76B3"/>
    <w:rsid w:val="001E2545"/>
    <w:rsid w:val="001F6966"/>
    <w:rsid w:val="00207316"/>
    <w:rsid w:val="002077BF"/>
    <w:rsid w:val="0021136E"/>
    <w:rsid w:val="002142E7"/>
    <w:rsid w:val="002234FC"/>
    <w:rsid w:val="002421BC"/>
    <w:rsid w:val="00242F3A"/>
    <w:rsid w:val="002609F1"/>
    <w:rsid w:val="002636F3"/>
    <w:rsid w:val="002747E6"/>
    <w:rsid w:val="002C2BD6"/>
    <w:rsid w:val="002D5F1A"/>
    <w:rsid w:val="002D6DCC"/>
    <w:rsid w:val="002F24B8"/>
    <w:rsid w:val="00304F0F"/>
    <w:rsid w:val="0031798B"/>
    <w:rsid w:val="00337E2B"/>
    <w:rsid w:val="00362362"/>
    <w:rsid w:val="00375B2A"/>
    <w:rsid w:val="003972E2"/>
    <w:rsid w:val="003A420B"/>
    <w:rsid w:val="003D1F87"/>
    <w:rsid w:val="00422389"/>
    <w:rsid w:val="0042668C"/>
    <w:rsid w:val="004503C4"/>
    <w:rsid w:val="00454B32"/>
    <w:rsid w:val="00456F4B"/>
    <w:rsid w:val="00460CFD"/>
    <w:rsid w:val="004623D0"/>
    <w:rsid w:val="00466F52"/>
    <w:rsid w:val="00472BCE"/>
    <w:rsid w:val="0047515F"/>
    <w:rsid w:val="0048164E"/>
    <w:rsid w:val="00484B91"/>
    <w:rsid w:val="00485E51"/>
    <w:rsid w:val="004A4467"/>
    <w:rsid w:val="004C5A01"/>
    <w:rsid w:val="004D1DD7"/>
    <w:rsid w:val="004E555A"/>
    <w:rsid w:val="0050222C"/>
    <w:rsid w:val="005078C0"/>
    <w:rsid w:val="005226A0"/>
    <w:rsid w:val="00535A04"/>
    <w:rsid w:val="00537268"/>
    <w:rsid w:val="00552686"/>
    <w:rsid w:val="00553789"/>
    <w:rsid w:val="00565480"/>
    <w:rsid w:val="00574752"/>
    <w:rsid w:val="005772D4"/>
    <w:rsid w:val="005822D7"/>
    <w:rsid w:val="00584D62"/>
    <w:rsid w:val="00594010"/>
    <w:rsid w:val="005C270E"/>
    <w:rsid w:val="005F0D92"/>
    <w:rsid w:val="00614AAD"/>
    <w:rsid w:val="00632AD5"/>
    <w:rsid w:val="006367EB"/>
    <w:rsid w:val="00643815"/>
    <w:rsid w:val="00647CEB"/>
    <w:rsid w:val="00670584"/>
    <w:rsid w:val="006839CF"/>
    <w:rsid w:val="006902A4"/>
    <w:rsid w:val="00692864"/>
    <w:rsid w:val="00693C69"/>
    <w:rsid w:val="006A0CDC"/>
    <w:rsid w:val="006B0DAF"/>
    <w:rsid w:val="006C7B07"/>
    <w:rsid w:val="006D0A6B"/>
    <w:rsid w:val="006E737D"/>
    <w:rsid w:val="00713AE3"/>
    <w:rsid w:val="00716C6B"/>
    <w:rsid w:val="00743D48"/>
    <w:rsid w:val="0074422B"/>
    <w:rsid w:val="00751FD2"/>
    <w:rsid w:val="00761B84"/>
    <w:rsid w:val="00764CCE"/>
    <w:rsid w:val="00767EE4"/>
    <w:rsid w:val="0078195D"/>
    <w:rsid w:val="00786E60"/>
    <w:rsid w:val="0079537B"/>
    <w:rsid w:val="00795EDD"/>
    <w:rsid w:val="007B1A28"/>
    <w:rsid w:val="007B30C7"/>
    <w:rsid w:val="007B32EB"/>
    <w:rsid w:val="007C10C3"/>
    <w:rsid w:val="007C376A"/>
    <w:rsid w:val="007D11AA"/>
    <w:rsid w:val="008005D5"/>
    <w:rsid w:val="00802D5D"/>
    <w:rsid w:val="00803B1D"/>
    <w:rsid w:val="008064A4"/>
    <w:rsid w:val="00813088"/>
    <w:rsid w:val="008143F6"/>
    <w:rsid w:val="00826278"/>
    <w:rsid w:val="00855825"/>
    <w:rsid w:val="008568D2"/>
    <w:rsid w:val="00857384"/>
    <w:rsid w:val="00881D50"/>
    <w:rsid w:val="00893A09"/>
    <w:rsid w:val="008C6BD1"/>
    <w:rsid w:val="008D00CA"/>
    <w:rsid w:val="008D3E56"/>
    <w:rsid w:val="008F5D66"/>
    <w:rsid w:val="0090086A"/>
    <w:rsid w:val="00912A68"/>
    <w:rsid w:val="00917E0E"/>
    <w:rsid w:val="009241B2"/>
    <w:rsid w:val="00927E0E"/>
    <w:rsid w:val="009312B6"/>
    <w:rsid w:val="009448D6"/>
    <w:rsid w:val="009C01D4"/>
    <w:rsid w:val="009C52AE"/>
    <w:rsid w:val="009C667B"/>
    <w:rsid w:val="009C7E56"/>
    <w:rsid w:val="009D36CD"/>
    <w:rsid w:val="009E45C5"/>
    <w:rsid w:val="009F5599"/>
    <w:rsid w:val="00A162BB"/>
    <w:rsid w:val="00A26393"/>
    <w:rsid w:val="00A37845"/>
    <w:rsid w:val="00A51329"/>
    <w:rsid w:val="00A56883"/>
    <w:rsid w:val="00A6457D"/>
    <w:rsid w:val="00A71E79"/>
    <w:rsid w:val="00A75A04"/>
    <w:rsid w:val="00A86885"/>
    <w:rsid w:val="00AA3416"/>
    <w:rsid w:val="00AA47EB"/>
    <w:rsid w:val="00AD189D"/>
    <w:rsid w:val="00AD4E73"/>
    <w:rsid w:val="00AE19E3"/>
    <w:rsid w:val="00AE5C26"/>
    <w:rsid w:val="00B0368B"/>
    <w:rsid w:val="00B21D61"/>
    <w:rsid w:val="00B3622A"/>
    <w:rsid w:val="00B3720E"/>
    <w:rsid w:val="00B87C26"/>
    <w:rsid w:val="00BB1E9A"/>
    <w:rsid w:val="00BD7526"/>
    <w:rsid w:val="00BE6D9E"/>
    <w:rsid w:val="00BF033B"/>
    <w:rsid w:val="00C050F3"/>
    <w:rsid w:val="00C34387"/>
    <w:rsid w:val="00C34EB2"/>
    <w:rsid w:val="00C3782E"/>
    <w:rsid w:val="00C42675"/>
    <w:rsid w:val="00C4717C"/>
    <w:rsid w:val="00CA22E1"/>
    <w:rsid w:val="00CA3894"/>
    <w:rsid w:val="00CA7570"/>
    <w:rsid w:val="00CB4529"/>
    <w:rsid w:val="00CC2954"/>
    <w:rsid w:val="00CC2B9A"/>
    <w:rsid w:val="00CD5C86"/>
    <w:rsid w:val="00CF40A2"/>
    <w:rsid w:val="00D11844"/>
    <w:rsid w:val="00D118A2"/>
    <w:rsid w:val="00D13D3D"/>
    <w:rsid w:val="00D20D8D"/>
    <w:rsid w:val="00D22563"/>
    <w:rsid w:val="00D413B3"/>
    <w:rsid w:val="00D427DE"/>
    <w:rsid w:val="00D5190E"/>
    <w:rsid w:val="00D619BB"/>
    <w:rsid w:val="00D6393A"/>
    <w:rsid w:val="00D662B3"/>
    <w:rsid w:val="00D677E7"/>
    <w:rsid w:val="00D73C86"/>
    <w:rsid w:val="00D9452C"/>
    <w:rsid w:val="00D96B28"/>
    <w:rsid w:val="00DA0937"/>
    <w:rsid w:val="00DB1D57"/>
    <w:rsid w:val="00DC562C"/>
    <w:rsid w:val="00DC5706"/>
    <w:rsid w:val="00DC7F32"/>
    <w:rsid w:val="00DD5F10"/>
    <w:rsid w:val="00DE2A17"/>
    <w:rsid w:val="00E04FF5"/>
    <w:rsid w:val="00E06B22"/>
    <w:rsid w:val="00E169E1"/>
    <w:rsid w:val="00E37744"/>
    <w:rsid w:val="00E526D5"/>
    <w:rsid w:val="00E62DA1"/>
    <w:rsid w:val="00E77920"/>
    <w:rsid w:val="00E85FEB"/>
    <w:rsid w:val="00E917C5"/>
    <w:rsid w:val="00E93A9D"/>
    <w:rsid w:val="00EA34D3"/>
    <w:rsid w:val="00EB0B0F"/>
    <w:rsid w:val="00EC00AF"/>
    <w:rsid w:val="00EC542B"/>
    <w:rsid w:val="00ED2197"/>
    <w:rsid w:val="00ED2204"/>
    <w:rsid w:val="00EF5034"/>
    <w:rsid w:val="00F02E07"/>
    <w:rsid w:val="00F0325E"/>
    <w:rsid w:val="00F14FAB"/>
    <w:rsid w:val="00F22B8E"/>
    <w:rsid w:val="00F37F6F"/>
    <w:rsid w:val="00F470FA"/>
    <w:rsid w:val="00F76E47"/>
    <w:rsid w:val="00F969BB"/>
    <w:rsid w:val="00FA2E2B"/>
    <w:rsid w:val="00FB2CAE"/>
    <w:rsid w:val="00FC06C1"/>
    <w:rsid w:val="00FF506C"/>
    <w:rsid w:val="01006E0C"/>
    <w:rsid w:val="01084510"/>
    <w:rsid w:val="015578F1"/>
    <w:rsid w:val="01803F2D"/>
    <w:rsid w:val="01A93AB8"/>
    <w:rsid w:val="01B8626C"/>
    <w:rsid w:val="01C64B27"/>
    <w:rsid w:val="01DB6DF2"/>
    <w:rsid w:val="02025D76"/>
    <w:rsid w:val="02305065"/>
    <w:rsid w:val="02AD5050"/>
    <w:rsid w:val="02BF75AC"/>
    <w:rsid w:val="02CB1035"/>
    <w:rsid w:val="02D1697A"/>
    <w:rsid w:val="02F50EDF"/>
    <w:rsid w:val="02F731D4"/>
    <w:rsid w:val="030250E3"/>
    <w:rsid w:val="0324064E"/>
    <w:rsid w:val="033332BC"/>
    <w:rsid w:val="033A6CE1"/>
    <w:rsid w:val="0358731B"/>
    <w:rsid w:val="03674223"/>
    <w:rsid w:val="03787BE6"/>
    <w:rsid w:val="03B75B74"/>
    <w:rsid w:val="03DD3869"/>
    <w:rsid w:val="045452FF"/>
    <w:rsid w:val="045B0617"/>
    <w:rsid w:val="045F11A2"/>
    <w:rsid w:val="046A1CF3"/>
    <w:rsid w:val="046A7128"/>
    <w:rsid w:val="048D2117"/>
    <w:rsid w:val="04A32F43"/>
    <w:rsid w:val="04AB1AC9"/>
    <w:rsid w:val="050C35F7"/>
    <w:rsid w:val="052D7542"/>
    <w:rsid w:val="053E6E45"/>
    <w:rsid w:val="054F2DC6"/>
    <w:rsid w:val="05D72384"/>
    <w:rsid w:val="0607433F"/>
    <w:rsid w:val="06165B0D"/>
    <w:rsid w:val="0649438D"/>
    <w:rsid w:val="066740F1"/>
    <w:rsid w:val="066F2C48"/>
    <w:rsid w:val="067514EE"/>
    <w:rsid w:val="06815743"/>
    <w:rsid w:val="06A1234B"/>
    <w:rsid w:val="06A5774A"/>
    <w:rsid w:val="06AF3D0D"/>
    <w:rsid w:val="06DD4F87"/>
    <w:rsid w:val="07006AE6"/>
    <w:rsid w:val="070E0D96"/>
    <w:rsid w:val="071E0F6B"/>
    <w:rsid w:val="073248EE"/>
    <w:rsid w:val="076607B1"/>
    <w:rsid w:val="077E0533"/>
    <w:rsid w:val="07886256"/>
    <w:rsid w:val="078F6E47"/>
    <w:rsid w:val="079C1C64"/>
    <w:rsid w:val="07A62941"/>
    <w:rsid w:val="07D42332"/>
    <w:rsid w:val="07E8252A"/>
    <w:rsid w:val="08102E87"/>
    <w:rsid w:val="081638B4"/>
    <w:rsid w:val="084773FD"/>
    <w:rsid w:val="08484F8E"/>
    <w:rsid w:val="085271BA"/>
    <w:rsid w:val="086247EB"/>
    <w:rsid w:val="0891128C"/>
    <w:rsid w:val="089E219D"/>
    <w:rsid w:val="08A46FDC"/>
    <w:rsid w:val="08A80EE8"/>
    <w:rsid w:val="08B64E17"/>
    <w:rsid w:val="08D3609C"/>
    <w:rsid w:val="08E840ED"/>
    <w:rsid w:val="09163423"/>
    <w:rsid w:val="094073CE"/>
    <w:rsid w:val="09486791"/>
    <w:rsid w:val="09490BBC"/>
    <w:rsid w:val="094A513C"/>
    <w:rsid w:val="09D935CC"/>
    <w:rsid w:val="09DB7703"/>
    <w:rsid w:val="0A26088B"/>
    <w:rsid w:val="0A4F45C5"/>
    <w:rsid w:val="0A542916"/>
    <w:rsid w:val="0A550E7B"/>
    <w:rsid w:val="0A69303C"/>
    <w:rsid w:val="0A6A707B"/>
    <w:rsid w:val="0A6B41FA"/>
    <w:rsid w:val="0AB23EC8"/>
    <w:rsid w:val="0AC3604D"/>
    <w:rsid w:val="0AD63C3B"/>
    <w:rsid w:val="0ADB0822"/>
    <w:rsid w:val="0AE115F0"/>
    <w:rsid w:val="0B1D1FA5"/>
    <w:rsid w:val="0BB24377"/>
    <w:rsid w:val="0BBC5B86"/>
    <w:rsid w:val="0BE43639"/>
    <w:rsid w:val="0BE60D5E"/>
    <w:rsid w:val="0BEA61BB"/>
    <w:rsid w:val="0C6A6660"/>
    <w:rsid w:val="0C6D3A64"/>
    <w:rsid w:val="0C7D3266"/>
    <w:rsid w:val="0C8603DD"/>
    <w:rsid w:val="0CE9794A"/>
    <w:rsid w:val="0CFE2652"/>
    <w:rsid w:val="0D076A4A"/>
    <w:rsid w:val="0D2437CB"/>
    <w:rsid w:val="0D6F580E"/>
    <w:rsid w:val="0D736F27"/>
    <w:rsid w:val="0D7A3B02"/>
    <w:rsid w:val="0D96271C"/>
    <w:rsid w:val="0D98089A"/>
    <w:rsid w:val="0DAE66A4"/>
    <w:rsid w:val="0DB85F17"/>
    <w:rsid w:val="0DBB05C0"/>
    <w:rsid w:val="0DE80446"/>
    <w:rsid w:val="0DF029C3"/>
    <w:rsid w:val="0DFB4219"/>
    <w:rsid w:val="0E0421A9"/>
    <w:rsid w:val="0E0A64DF"/>
    <w:rsid w:val="0E502793"/>
    <w:rsid w:val="0E7353F4"/>
    <w:rsid w:val="0E7C3DDE"/>
    <w:rsid w:val="0E7E172C"/>
    <w:rsid w:val="0EB03020"/>
    <w:rsid w:val="0EBC1907"/>
    <w:rsid w:val="0EC52E77"/>
    <w:rsid w:val="0EC960A5"/>
    <w:rsid w:val="0EF2759D"/>
    <w:rsid w:val="0F0802FD"/>
    <w:rsid w:val="0F1F24A9"/>
    <w:rsid w:val="0F2A2B5E"/>
    <w:rsid w:val="0F2B066F"/>
    <w:rsid w:val="0F2E0D84"/>
    <w:rsid w:val="0F3114A9"/>
    <w:rsid w:val="0F702F03"/>
    <w:rsid w:val="0FA34B23"/>
    <w:rsid w:val="0FAA55A8"/>
    <w:rsid w:val="102E2A36"/>
    <w:rsid w:val="105D1A57"/>
    <w:rsid w:val="10640648"/>
    <w:rsid w:val="108656A4"/>
    <w:rsid w:val="109F3443"/>
    <w:rsid w:val="10B15905"/>
    <w:rsid w:val="10C210D3"/>
    <w:rsid w:val="10C761F6"/>
    <w:rsid w:val="10CA6723"/>
    <w:rsid w:val="10DC0458"/>
    <w:rsid w:val="10EF466C"/>
    <w:rsid w:val="10FF7C2E"/>
    <w:rsid w:val="11072AFE"/>
    <w:rsid w:val="110C5A96"/>
    <w:rsid w:val="11202244"/>
    <w:rsid w:val="112C20DB"/>
    <w:rsid w:val="11564519"/>
    <w:rsid w:val="118B7AAC"/>
    <w:rsid w:val="11EF793B"/>
    <w:rsid w:val="1227765D"/>
    <w:rsid w:val="124C629A"/>
    <w:rsid w:val="12516C5E"/>
    <w:rsid w:val="125C48DB"/>
    <w:rsid w:val="129B7A18"/>
    <w:rsid w:val="12A91204"/>
    <w:rsid w:val="12AA5DF1"/>
    <w:rsid w:val="12B53FE5"/>
    <w:rsid w:val="12C77EBD"/>
    <w:rsid w:val="12EF457E"/>
    <w:rsid w:val="12F024E3"/>
    <w:rsid w:val="12F3202C"/>
    <w:rsid w:val="12FD1472"/>
    <w:rsid w:val="12FF38DA"/>
    <w:rsid w:val="130D082D"/>
    <w:rsid w:val="130D4E3B"/>
    <w:rsid w:val="1323622C"/>
    <w:rsid w:val="13C45613"/>
    <w:rsid w:val="13E65EA8"/>
    <w:rsid w:val="13F8311F"/>
    <w:rsid w:val="1432341B"/>
    <w:rsid w:val="146722EB"/>
    <w:rsid w:val="14DC30B7"/>
    <w:rsid w:val="14EC6D2F"/>
    <w:rsid w:val="151155B0"/>
    <w:rsid w:val="151A36C4"/>
    <w:rsid w:val="151C0BD9"/>
    <w:rsid w:val="15295F0F"/>
    <w:rsid w:val="152C0A0B"/>
    <w:rsid w:val="15385593"/>
    <w:rsid w:val="155A4756"/>
    <w:rsid w:val="15717BE9"/>
    <w:rsid w:val="15765003"/>
    <w:rsid w:val="157A0429"/>
    <w:rsid w:val="15B63694"/>
    <w:rsid w:val="15BB5CAC"/>
    <w:rsid w:val="15DB0FCF"/>
    <w:rsid w:val="15DD5088"/>
    <w:rsid w:val="15E52A7C"/>
    <w:rsid w:val="16047D98"/>
    <w:rsid w:val="161360C1"/>
    <w:rsid w:val="161E7E3B"/>
    <w:rsid w:val="162E51CD"/>
    <w:rsid w:val="16774403"/>
    <w:rsid w:val="169C3D1C"/>
    <w:rsid w:val="16B15ED5"/>
    <w:rsid w:val="16CF4F73"/>
    <w:rsid w:val="171371BA"/>
    <w:rsid w:val="17421003"/>
    <w:rsid w:val="17494248"/>
    <w:rsid w:val="17574791"/>
    <w:rsid w:val="176B383F"/>
    <w:rsid w:val="17713B34"/>
    <w:rsid w:val="179A757D"/>
    <w:rsid w:val="17A9584B"/>
    <w:rsid w:val="17B506CB"/>
    <w:rsid w:val="17EC5E51"/>
    <w:rsid w:val="18167655"/>
    <w:rsid w:val="183B7A7C"/>
    <w:rsid w:val="183E56AE"/>
    <w:rsid w:val="18466945"/>
    <w:rsid w:val="18693648"/>
    <w:rsid w:val="18917505"/>
    <w:rsid w:val="18940CB1"/>
    <w:rsid w:val="189A17C7"/>
    <w:rsid w:val="18A27AC9"/>
    <w:rsid w:val="18A36726"/>
    <w:rsid w:val="18E57A8F"/>
    <w:rsid w:val="191042DC"/>
    <w:rsid w:val="191345E4"/>
    <w:rsid w:val="192D3F41"/>
    <w:rsid w:val="197B539B"/>
    <w:rsid w:val="198255DB"/>
    <w:rsid w:val="19873650"/>
    <w:rsid w:val="19A57120"/>
    <w:rsid w:val="19AA40AE"/>
    <w:rsid w:val="19BA6F91"/>
    <w:rsid w:val="1A020515"/>
    <w:rsid w:val="1A2B0D13"/>
    <w:rsid w:val="1A506245"/>
    <w:rsid w:val="1A540EAB"/>
    <w:rsid w:val="1A5E10FC"/>
    <w:rsid w:val="1A8100E9"/>
    <w:rsid w:val="1AB14F1B"/>
    <w:rsid w:val="1AB45720"/>
    <w:rsid w:val="1AD02F01"/>
    <w:rsid w:val="1AEF0A3F"/>
    <w:rsid w:val="1AF306A5"/>
    <w:rsid w:val="1AF4026C"/>
    <w:rsid w:val="1AF749ED"/>
    <w:rsid w:val="1B511C91"/>
    <w:rsid w:val="1BBB4D35"/>
    <w:rsid w:val="1BFE6A15"/>
    <w:rsid w:val="1C0E21D6"/>
    <w:rsid w:val="1C120C68"/>
    <w:rsid w:val="1C136562"/>
    <w:rsid w:val="1C2139E2"/>
    <w:rsid w:val="1C2F257B"/>
    <w:rsid w:val="1C3339B2"/>
    <w:rsid w:val="1C5E41CE"/>
    <w:rsid w:val="1C6C2600"/>
    <w:rsid w:val="1C772EE4"/>
    <w:rsid w:val="1C854396"/>
    <w:rsid w:val="1CAF59BF"/>
    <w:rsid w:val="1CB019BA"/>
    <w:rsid w:val="1CE906D9"/>
    <w:rsid w:val="1D0B7450"/>
    <w:rsid w:val="1D1051EB"/>
    <w:rsid w:val="1D17033E"/>
    <w:rsid w:val="1D1E34FF"/>
    <w:rsid w:val="1D3C4D97"/>
    <w:rsid w:val="1D456325"/>
    <w:rsid w:val="1D6A20D8"/>
    <w:rsid w:val="1D876363"/>
    <w:rsid w:val="1D9328E2"/>
    <w:rsid w:val="1DAB40F4"/>
    <w:rsid w:val="1DEB38DA"/>
    <w:rsid w:val="1DF63C75"/>
    <w:rsid w:val="1E537224"/>
    <w:rsid w:val="1E9751ED"/>
    <w:rsid w:val="1EA71CBA"/>
    <w:rsid w:val="1EBB0C2F"/>
    <w:rsid w:val="1EBC1866"/>
    <w:rsid w:val="1EEB0918"/>
    <w:rsid w:val="1F6F4EC3"/>
    <w:rsid w:val="1F9840A6"/>
    <w:rsid w:val="1FA1268C"/>
    <w:rsid w:val="1FA306A0"/>
    <w:rsid w:val="1FA53772"/>
    <w:rsid w:val="1FCD67E7"/>
    <w:rsid w:val="203E338B"/>
    <w:rsid w:val="20491C57"/>
    <w:rsid w:val="205E35B9"/>
    <w:rsid w:val="208732F2"/>
    <w:rsid w:val="20A508C5"/>
    <w:rsid w:val="20A63861"/>
    <w:rsid w:val="20C6461A"/>
    <w:rsid w:val="20C91B24"/>
    <w:rsid w:val="20E96098"/>
    <w:rsid w:val="20FD6043"/>
    <w:rsid w:val="21092AA9"/>
    <w:rsid w:val="211C35B6"/>
    <w:rsid w:val="21204FD7"/>
    <w:rsid w:val="212124CD"/>
    <w:rsid w:val="216D54BD"/>
    <w:rsid w:val="216F59FD"/>
    <w:rsid w:val="218161F4"/>
    <w:rsid w:val="21C22B5C"/>
    <w:rsid w:val="21DB455F"/>
    <w:rsid w:val="21DD2120"/>
    <w:rsid w:val="21F902D1"/>
    <w:rsid w:val="224321F6"/>
    <w:rsid w:val="22552807"/>
    <w:rsid w:val="22603678"/>
    <w:rsid w:val="228D7D44"/>
    <w:rsid w:val="22C53104"/>
    <w:rsid w:val="22E1649F"/>
    <w:rsid w:val="22E87783"/>
    <w:rsid w:val="23327B80"/>
    <w:rsid w:val="23817021"/>
    <w:rsid w:val="239177A2"/>
    <w:rsid w:val="23B41DB4"/>
    <w:rsid w:val="23F165BD"/>
    <w:rsid w:val="24060717"/>
    <w:rsid w:val="24150A8C"/>
    <w:rsid w:val="241865C1"/>
    <w:rsid w:val="241927E5"/>
    <w:rsid w:val="24476975"/>
    <w:rsid w:val="24737C58"/>
    <w:rsid w:val="248D1B33"/>
    <w:rsid w:val="249950E9"/>
    <w:rsid w:val="24C4423F"/>
    <w:rsid w:val="24CA7727"/>
    <w:rsid w:val="24DB3A0A"/>
    <w:rsid w:val="24DE547D"/>
    <w:rsid w:val="24EF237C"/>
    <w:rsid w:val="251D31E8"/>
    <w:rsid w:val="2520094B"/>
    <w:rsid w:val="252F5C30"/>
    <w:rsid w:val="25855109"/>
    <w:rsid w:val="25A2019F"/>
    <w:rsid w:val="25A54007"/>
    <w:rsid w:val="25BE5181"/>
    <w:rsid w:val="25DB291A"/>
    <w:rsid w:val="260207AC"/>
    <w:rsid w:val="265F3BFD"/>
    <w:rsid w:val="269C666C"/>
    <w:rsid w:val="26CD6B3F"/>
    <w:rsid w:val="26D513D7"/>
    <w:rsid w:val="26F36753"/>
    <w:rsid w:val="26F611C6"/>
    <w:rsid w:val="27444E5A"/>
    <w:rsid w:val="275020B3"/>
    <w:rsid w:val="27757B1A"/>
    <w:rsid w:val="2784278F"/>
    <w:rsid w:val="27982D80"/>
    <w:rsid w:val="27A803F9"/>
    <w:rsid w:val="27AD25A9"/>
    <w:rsid w:val="28102EF2"/>
    <w:rsid w:val="2813068B"/>
    <w:rsid w:val="28242295"/>
    <w:rsid w:val="28294D48"/>
    <w:rsid w:val="288475FB"/>
    <w:rsid w:val="28AE6E87"/>
    <w:rsid w:val="28B81055"/>
    <w:rsid w:val="293D5402"/>
    <w:rsid w:val="299522A6"/>
    <w:rsid w:val="29A5578A"/>
    <w:rsid w:val="29F936D8"/>
    <w:rsid w:val="2A187959"/>
    <w:rsid w:val="2A2F107B"/>
    <w:rsid w:val="2A3331A8"/>
    <w:rsid w:val="2A3E561C"/>
    <w:rsid w:val="2A537323"/>
    <w:rsid w:val="2A824616"/>
    <w:rsid w:val="2AAB0807"/>
    <w:rsid w:val="2AB843B4"/>
    <w:rsid w:val="2ABD6112"/>
    <w:rsid w:val="2AC35EF8"/>
    <w:rsid w:val="2AD91853"/>
    <w:rsid w:val="2ADE2519"/>
    <w:rsid w:val="2AEE01E6"/>
    <w:rsid w:val="2AFA451D"/>
    <w:rsid w:val="2B1B173A"/>
    <w:rsid w:val="2B35642A"/>
    <w:rsid w:val="2B401D70"/>
    <w:rsid w:val="2B4D636C"/>
    <w:rsid w:val="2B550E4F"/>
    <w:rsid w:val="2B6646F6"/>
    <w:rsid w:val="2B754563"/>
    <w:rsid w:val="2BBE552A"/>
    <w:rsid w:val="2C041527"/>
    <w:rsid w:val="2C0655C4"/>
    <w:rsid w:val="2C1F150E"/>
    <w:rsid w:val="2C352496"/>
    <w:rsid w:val="2C3D3EEB"/>
    <w:rsid w:val="2C400718"/>
    <w:rsid w:val="2C8505D1"/>
    <w:rsid w:val="2C983570"/>
    <w:rsid w:val="2C9E0AF7"/>
    <w:rsid w:val="2CBD1A02"/>
    <w:rsid w:val="2CE4317E"/>
    <w:rsid w:val="2D012FF7"/>
    <w:rsid w:val="2D075DCE"/>
    <w:rsid w:val="2D2C6046"/>
    <w:rsid w:val="2D2E74C1"/>
    <w:rsid w:val="2D4D5564"/>
    <w:rsid w:val="2D5A33D6"/>
    <w:rsid w:val="2D7568C2"/>
    <w:rsid w:val="2D8F6E64"/>
    <w:rsid w:val="2D970EC5"/>
    <w:rsid w:val="2DB61775"/>
    <w:rsid w:val="2DB86B7A"/>
    <w:rsid w:val="2DC7102D"/>
    <w:rsid w:val="2DD0300F"/>
    <w:rsid w:val="2DD15C87"/>
    <w:rsid w:val="2DD47474"/>
    <w:rsid w:val="2DE17120"/>
    <w:rsid w:val="2E3A06B9"/>
    <w:rsid w:val="2E524AF3"/>
    <w:rsid w:val="2E6C2092"/>
    <w:rsid w:val="2E827CBB"/>
    <w:rsid w:val="2EA3409D"/>
    <w:rsid w:val="2EC66EC5"/>
    <w:rsid w:val="2F0F5FD2"/>
    <w:rsid w:val="2F2A388D"/>
    <w:rsid w:val="2F4163F6"/>
    <w:rsid w:val="2F5C213F"/>
    <w:rsid w:val="2F733797"/>
    <w:rsid w:val="2FD55768"/>
    <w:rsid w:val="2FE45E95"/>
    <w:rsid w:val="2FE90187"/>
    <w:rsid w:val="2FF31CB1"/>
    <w:rsid w:val="30432D47"/>
    <w:rsid w:val="30752451"/>
    <w:rsid w:val="30787AEE"/>
    <w:rsid w:val="309662DC"/>
    <w:rsid w:val="30A46BA6"/>
    <w:rsid w:val="30A83FD1"/>
    <w:rsid w:val="30E92CF8"/>
    <w:rsid w:val="30ED2C8E"/>
    <w:rsid w:val="30F708AF"/>
    <w:rsid w:val="3114557B"/>
    <w:rsid w:val="31275D8A"/>
    <w:rsid w:val="31342837"/>
    <w:rsid w:val="31513CE2"/>
    <w:rsid w:val="31820E96"/>
    <w:rsid w:val="31916D43"/>
    <w:rsid w:val="31AB0286"/>
    <w:rsid w:val="31AD7CF0"/>
    <w:rsid w:val="31B64A34"/>
    <w:rsid w:val="31C83682"/>
    <w:rsid w:val="320F1C60"/>
    <w:rsid w:val="323048D2"/>
    <w:rsid w:val="32320A1E"/>
    <w:rsid w:val="323D1CA2"/>
    <w:rsid w:val="326078C9"/>
    <w:rsid w:val="32795B44"/>
    <w:rsid w:val="327F030B"/>
    <w:rsid w:val="329F6FF1"/>
    <w:rsid w:val="32CB4E3F"/>
    <w:rsid w:val="332B6EAE"/>
    <w:rsid w:val="333609B2"/>
    <w:rsid w:val="335860FD"/>
    <w:rsid w:val="335F7A86"/>
    <w:rsid w:val="33661EEF"/>
    <w:rsid w:val="338D6159"/>
    <w:rsid w:val="339C13D5"/>
    <w:rsid w:val="33EC5B8E"/>
    <w:rsid w:val="340B3DD1"/>
    <w:rsid w:val="34215097"/>
    <w:rsid w:val="342832F0"/>
    <w:rsid w:val="3450585B"/>
    <w:rsid w:val="34900231"/>
    <w:rsid w:val="349C2F62"/>
    <w:rsid w:val="34A64D76"/>
    <w:rsid w:val="34BD7CF7"/>
    <w:rsid w:val="350A1100"/>
    <w:rsid w:val="351112EF"/>
    <w:rsid w:val="35444D91"/>
    <w:rsid w:val="35755765"/>
    <w:rsid w:val="359A1805"/>
    <w:rsid w:val="35B04173"/>
    <w:rsid w:val="35DA4350"/>
    <w:rsid w:val="36067A29"/>
    <w:rsid w:val="361276D2"/>
    <w:rsid w:val="36415032"/>
    <w:rsid w:val="36655D9D"/>
    <w:rsid w:val="367916AC"/>
    <w:rsid w:val="3682340D"/>
    <w:rsid w:val="368679F1"/>
    <w:rsid w:val="36D11F35"/>
    <w:rsid w:val="36D52385"/>
    <w:rsid w:val="36F41E83"/>
    <w:rsid w:val="37014050"/>
    <w:rsid w:val="375E56CF"/>
    <w:rsid w:val="3769410C"/>
    <w:rsid w:val="378113D6"/>
    <w:rsid w:val="37976515"/>
    <w:rsid w:val="37A553C4"/>
    <w:rsid w:val="37AC07A6"/>
    <w:rsid w:val="37D55A53"/>
    <w:rsid w:val="37EE4AF6"/>
    <w:rsid w:val="381620C9"/>
    <w:rsid w:val="381B7ECC"/>
    <w:rsid w:val="38280A2C"/>
    <w:rsid w:val="38482442"/>
    <w:rsid w:val="384C6FAB"/>
    <w:rsid w:val="38581A14"/>
    <w:rsid w:val="386229F0"/>
    <w:rsid w:val="38742EF7"/>
    <w:rsid w:val="387F56F3"/>
    <w:rsid w:val="38841490"/>
    <w:rsid w:val="38D00635"/>
    <w:rsid w:val="39110EF1"/>
    <w:rsid w:val="39330B4C"/>
    <w:rsid w:val="393405A2"/>
    <w:rsid w:val="393607E9"/>
    <w:rsid w:val="398C7AEF"/>
    <w:rsid w:val="39A90B97"/>
    <w:rsid w:val="39BF4200"/>
    <w:rsid w:val="39D87C45"/>
    <w:rsid w:val="39DE1D35"/>
    <w:rsid w:val="39EB43CA"/>
    <w:rsid w:val="39EE6433"/>
    <w:rsid w:val="3A3B0B5F"/>
    <w:rsid w:val="3A6275A9"/>
    <w:rsid w:val="3A724EBA"/>
    <w:rsid w:val="3A960231"/>
    <w:rsid w:val="3A971447"/>
    <w:rsid w:val="3ABD4178"/>
    <w:rsid w:val="3AC04E9E"/>
    <w:rsid w:val="3AF152E9"/>
    <w:rsid w:val="3B506F70"/>
    <w:rsid w:val="3B8167A9"/>
    <w:rsid w:val="3BD54568"/>
    <w:rsid w:val="3BDF6D36"/>
    <w:rsid w:val="3BEF1118"/>
    <w:rsid w:val="3C190FCE"/>
    <w:rsid w:val="3C4515B9"/>
    <w:rsid w:val="3C7A3523"/>
    <w:rsid w:val="3CA87B28"/>
    <w:rsid w:val="3CDF0A4C"/>
    <w:rsid w:val="3CF72479"/>
    <w:rsid w:val="3CFE0E05"/>
    <w:rsid w:val="3D55032D"/>
    <w:rsid w:val="3D9321F2"/>
    <w:rsid w:val="3DB52001"/>
    <w:rsid w:val="3DD178E9"/>
    <w:rsid w:val="3DD2779E"/>
    <w:rsid w:val="3DD35DD2"/>
    <w:rsid w:val="3DE51856"/>
    <w:rsid w:val="3DF47FD6"/>
    <w:rsid w:val="3E0C71C0"/>
    <w:rsid w:val="3E7543ED"/>
    <w:rsid w:val="3E80203B"/>
    <w:rsid w:val="3EA207F2"/>
    <w:rsid w:val="3EA3507B"/>
    <w:rsid w:val="3EC70647"/>
    <w:rsid w:val="3EC93C52"/>
    <w:rsid w:val="3ECD68A1"/>
    <w:rsid w:val="3EDE4E3F"/>
    <w:rsid w:val="3F3E1F86"/>
    <w:rsid w:val="3FA170C8"/>
    <w:rsid w:val="40051582"/>
    <w:rsid w:val="401E6A8D"/>
    <w:rsid w:val="401F24F5"/>
    <w:rsid w:val="40346DA3"/>
    <w:rsid w:val="404E7B9F"/>
    <w:rsid w:val="406420B8"/>
    <w:rsid w:val="407224EF"/>
    <w:rsid w:val="407E2B15"/>
    <w:rsid w:val="40A55698"/>
    <w:rsid w:val="40CE5CCF"/>
    <w:rsid w:val="40DC0E14"/>
    <w:rsid w:val="40E54567"/>
    <w:rsid w:val="41102C50"/>
    <w:rsid w:val="41A13BF5"/>
    <w:rsid w:val="41DB21EA"/>
    <w:rsid w:val="41E23C78"/>
    <w:rsid w:val="41F42D08"/>
    <w:rsid w:val="41F84955"/>
    <w:rsid w:val="4251750E"/>
    <w:rsid w:val="42667A51"/>
    <w:rsid w:val="42961224"/>
    <w:rsid w:val="42B21B80"/>
    <w:rsid w:val="43172726"/>
    <w:rsid w:val="431F3987"/>
    <w:rsid w:val="432154A3"/>
    <w:rsid w:val="4354229C"/>
    <w:rsid w:val="43593107"/>
    <w:rsid w:val="43615797"/>
    <w:rsid w:val="436529BE"/>
    <w:rsid w:val="4384396B"/>
    <w:rsid w:val="438B166E"/>
    <w:rsid w:val="43A63E1E"/>
    <w:rsid w:val="43B463DE"/>
    <w:rsid w:val="43D963DC"/>
    <w:rsid w:val="4420725F"/>
    <w:rsid w:val="44230047"/>
    <w:rsid w:val="443E61EA"/>
    <w:rsid w:val="444A17E1"/>
    <w:rsid w:val="447B2C25"/>
    <w:rsid w:val="448205D0"/>
    <w:rsid w:val="44C52D9D"/>
    <w:rsid w:val="44EE013A"/>
    <w:rsid w:val="44EF5F01"/>
    <w:rsid w:val="44FE4F21"/>
    <w:rsid w:val="45050C65"/>
    <w:rsid w:val="45620023"/>
    <w:rsid w:val="45DC51F6"/>
    <w:rsid w:val="461D1547"/>
    <w:rsid w:val="46250654"/>
    <w:rsid w:val="463F058C"/>
    <w:rsid w:val="464B3264"/>
    <w:rsid w:val="465D786B"/>
    <w:rsid w:val="4678522D"/>
    <w:rsid w:val="467E2623"/>
    <w:rsid w:val="46C7757F"/>
    <w:rsid w:val="46EA25EC"/>
    <w:rsid w:val="47003825"/>
    <w:rsid w:val="470F065D"/>
    <w:rsid w:val="47323494"/>
    <w:rsid w:val="47767A96"/>
    <w:rsid w:val="47A10C37"/>
    <w:rsid w:val="47E0354B"/>
    <w:rsid w:val="480D79D5"/>
    <w:rsid w:val="48243063"/>
    <w:rsid w:val="48262B18"/>
    <w:rsid w:val="485F682A"/>
    <w:rsid w:val="487B7433"/>
    <w:rsid w:val="4883600D"/>
    <w:rsid w:val="489379F5"/>
    <w:rsid w:val="48951E72"/>
    <w:rsid w:val="489F506F"/>
    <w:rsid w:val="48A5091B"/>
    <w:rsid w:val="48CA1F25"/>
    <w:rsid w:val="48ED5346"/>
    <w:rsid w:val="48F95EC4"/>
    <w:rsid w:val="48FF5750"/>
    <w:rsid w:val="49256FF7"/>
    <w:rsid w:val="497D261E"/>
    <w:rsid w:val="497D4F00"/>
    <w:rsid w:val="49891442"/>
    <w:rsid w:val="499F35BB"/>
    <w:rsid w:val="49B93BA1"/>
    <w:rsid w:val="49E82CF0"/>
    <w:rsid w:val="49FC738D"/>
    <w:rsid w:val="49FD0240"/>
    <w:rsid w:val="4A06406B"/>
    <w:rsid w:val="4A165356"/>
    <w:rsid w:val="4A2567F0"/>
    <w:rsid w:val="4A3E3856"/>
    <w:rsid w:val="4A3F2845"/>
    <w:rsid w:val="4A5B6E2D"/>
    <w:rsid w:val="4A5E6DAC"/>
    <w:rsid w:val="4A6077BA"/>
    <w:rsid w:val="4A7123DC"/>
    <w:rsid w:val="4A8A2382"/>
    <w:rsid w:val="4ABE682B"/>
    <w:rsid w:val="4AE37001"/>
    <w:rsid w:val="4AF51571"/>
    <w:rsid w:val="4B2B4045"/>
    <w:rsid w:val="4B445FDC"/>
    <w:rsid w:val="4B573B7D"/>
    <w:rsid w:val="4B8E3D1F"/>
    <w:rsid w:val="4BF83CC4"/>
    <w:rsid w:val="4BF90F26"/>
    <w:rsid w:val="4C0B4AF1"/>
    <w:rsid w:val="4C3E67FC"/>
    <w:rsid w:val="4C3F341D"/>
    <w:rsid w:val="4C5E15CB"/>
    <w:rsid w:val="4C635140"/>
    <w:rsid w:val="4C791870"/>
    <w:rsid w:val="4CB4322D"/>
    <w:rsid w:val="4CCD5A11"/>
    <w:rsid w:val="4D3100C7"/>
    <w:rsid w:val="4D4366B3"/>
    <w:rsid w:val="4D627FF4"/>
    <w:rsid w:val="4D7F3188"/>
    <w:rsid w:val="4D943406"/>
    <w:rsid w:val="4DA36CBE"/>
    <w:rsid w:val="4DFD73B7"/>
    <w:rsid w:val="4E01655E"/>
    <w:rsid w:val="4E146E42"/>
    <w:rsid w:val="4E240E4F"/>
    <w:rsid w:val="4E4C178A"/>
    <w:rsid w:val="4E6F116B"/>
    <w:rsid w:val="4E704166"/>
    <w:rsid w:val="4E750F59"/>
    <w:rsid w:val="4EA12B37"/>
    <w:rsid w:val="4EC24C70"/>
    <w:rsid w:val="4ED9062F"/>
    <w:rsid w:val="4EDA418F"/>
    <w:rsid w:val="4EE954AB"/>
    <w:rsid w:val="4F0207D2"/>
    <w:rsid w:val="4F372EB7"/>
    <w:rsid w:val="4F3941D5"/>
    <w:rsid w:val="4F3D28C7"/>
    <w:rsid w:val="4F833186"/>
    <w:rsid w:val="4FA35444"/>
    <w:rsid w:val="50511F8F"/>
    <w:rsid w:val="505C09E2"/>
    <w:rsid w:val="50662D7E"/>
    <w:rsid w:val="508F3857"/>
    <w:rsid w:val="50904C95"/>
    <w:rsid w:val="50A5375D"/>
    <w:rsid w:val="50A63709"/>
    <w:rsid w:val="50A8750D"/>
    <w:rsid w:val="50C428D3"/>
    <w:rsid w:val="50FB45EA"/>
    <w:rsid w:val="5101058A"/>
    <w:rsid w:val="51047F05"/>
    <w:rsid w:val="513C0468"/>
    <w:rsid w:val="51417317"/>
    <w:rsid w:val="5147020F"/>
    <w:rsid w:val="514F72CC"/>
    <w:rsid w:val="519D2F76"/>
    <w:rsid w:val="51BB7038"/>
    <w:rsid w:val="51CA2DF2"/>
    <w:rsid w:val="51ED5266"/>
    <w:rsid w:val="51F6583F"/>
    <w:rsid w:val="51FD7772"/>
    <w:rsid w:val="520B4714"/>
    <w:rsid w:val="52197D0F"/>
    <w:rsid w:val="523101E1"/>
    <w:rsid w:val="528A4D7B"/>
    <w:rsid w:val="529019CD"/>
    <w:rsid w:val="52AE6FFC"/>
    <w:rsid w:val="52F06E47"/>
    <w:rsid w:val="52F14319"/>
    <w:rsid w:val="531A422B"/>
    <w:rsid w:val="532446BF"/>
    <w:rsid w:val="5330589A"/>
    <w:rsid w:val="53464CAF"/>
    <w:rsid w:val="534B333B"/>
    <w:rsid w:val="53667568"/>
    <w:rsid w:val="53945662"/>
    <w:rsid w:val="539467ED"/>
    <w:rsid w:val="53A7545B"/>
    <w:rsid w:val="53A913B7"/>
    <w:rsid w:val="53E379C9"/>
    <w:rsid w:val="53EB0066"/>
    <w:rsid w:val="53FE095E"/>
    <w:rsid w:val="54055DA0"/>
    <w:rsid w:val="545C48F6"/>
    <w:rsid w:val="54607814"/>
    <w:rsid w:val="54831C1C"/>
    <w:rsid w:val="549B42C1"/>
    <w:rsid w:val="549D42C8"/>
    <w:rsid w:val="54B61C48"/>
    <w:rsid w:val="54BA04D0"/>
    <w:rsid w:val="54CA529E"/>
    <w:rsid w:val="54E82986"/>
    <w:rsid w:val="55213A44"/>
    <w:rsid w:val="55213B1F"/>
    <w:rsid w:val="554978A7"/>
    <w:rsid w:val="556F6887"/>
    <w:rsid w:val="55745F36"/>
    <w:rsid w:val="55C72D40"/>
    <w:rsid w:val="55E25B4D"/>
    <w:rsid w:val="55ED757C"/>
    <w:rsid w:val="55FA236E"/>
    <w:rsid w:val="56366E31"/>
    <w:rsid w:val="563D295D"/>
    <w:rsid w:val="56F15DE9"/>
    <w:rsid w:val="571D2CC5"/>
    <w:rsid w:val="573A1CFB"/>
    <w:rsid w:val="57623786"/>
    <w:rsid w:val="57721920"/>
    <w:rsid w:val="57B25566"/>
    <w:rsid w:val="57BA7079"/>
    <w:rsid w:val="57E14D67"/>
    <w:rsid w:val="57F95F1E"/>
    <w:rsid w:val="580E740B"/>
    <w:rsid w:val="582A7928"/>
    <w:rsid w:val="583C4F2F"/>
    <w:rsid w:val="58405E83"/>
    <w:rsid w:val="58694541"/>
    <w:rsid w:val="588E427B"/>
    <w:rsid w:val="58946CA1"/>
    <w:rsid w:val="58AC2C5F"/>
    <w:rsid w:val="58AD1419"/>
    <w:rsid w:val="58B132CD"/>
    <w:rsid w:val="58B341C1"/>
    <w:rsid w:val="58E739ED"/>
    <w:rsid w:val="5902154F"/>
    <w:rsid w:val="59316864"/>
    <w:rsid w:val="594515C3"/>
    <w:rsid w:val="5948251A"/>
    <w:rsid w:val="59524944"/>
    <w:rsid w:val="59785676"/>
    <w:rsid w:val="597A42AE"/>
    <w:rsid w:val="59870360"/>
    <w:rsid w:val="59D01FE2"/>
    <w:rsid w:val="59D7630F"/>
    <w:rsid w:val="59E30018"/>
    <w:rsid w:val="59ED641E"/>
    <w:rsid w:val="5A1222DF"/>
    <w:rsid w:val="5A3D69F0"/>
    <w:rsid w:val="5A8F430E"/>
    <w:rsid w:val="5AAB56AF"/>
    <w:rsid w:val="5AD21F65"/>
    <w:rsid w:val="5AF04797"/>
    <w:rsid w:val="5B0C0D52"/>
    <w:rsid w:val="5B121863"/>
    <w:rsid w:val="5B1B0707"/>
    <w:rsid w:val="5B245AA5"/>
    <w:rsid w:val="5B3162E9"/>
    <w:rsid w:val="5B400FDA"/>
    <w:rsid w:val="5B647915"/>
    <w:rsid w:val="5B890B44"/>
    <w:rsid w:val="5BAB13CB"/>
    <w:rsid w:val="5BB90779"/>
    <w:rsid w:val="5BD8423B"/>
    <w:rsid w:val="5BDF15F5"/>
    <w:rsid w:val="5BF93B1E"/>
    <w:rsid w:val="5C542C5A"/>
    <w:rsid w:val="5C6226F1"/>
    <w:rsid w:val="5C6C0E29"/>
    <w:rsid w:val="5C7D760E"/>
    <w:rsid w:val="5CAE4A64"/>
    <w:rsid w:val="5CDA66AC"/>
    <w:rsid w:val="5D334E29"/>
    <w:rsid w:val="5D496448"/>
    <w:rsid w:val="5D4B2718"/>
    <w:rsid w:val="5D576D22"/>
    <w:rsid w:val="5D7974AC"/>
    <w:rsid w:val="5DA91133"/>
    <w:rsid w:val="5E23499A"/>
    <w:rsid w:val="5E2E3005"/>
    <w:rsid w:val="5E3720E7"/>
    <w:rsid w:val="5E544A26"/>
    <w:rsid w:val="5E5C3C9C"/>
    <w:rsid w:val="5E8C517B"/>
    <w:rsid w:val="5E914038"/>
    <w:rsid w:val="5E9B61E1"/>
    <w:rsid w:val="5EA20770"/>
    <w:rsid w:val="5EF71A5E"/>
    <w:rsid w:val="5F13785F"/>
    <w:rsid w:val="5F2B2B70"/>
    <w:rsid w:val="5F4032D8"/>
    <w:rsid w:val="5F475361"/>
    <w:rsid w:val="5F75697E"/>
    <w:rsid w:val="5F782098"/>
    <w:rsid w:val="5F7872CA"/>
    <w:rsid w:val="5F991EFB"/>
    <w:rsid w:val="5FB20531"/>
    <w:rsid w:val="5FBD6EBF"/>
    <w:rsid w:val="5FC52ADE"/>
    <w:rsid w:val="5FD92C1D"/>
    <w:rsid w:val="602426AF"/>
    <w:rsid w:val="60567C8B"/>
    <w:rsid w:val="605D0750"/>
    <w:rsid w:val="60666BF3"/>
    <w:rsid w:val="607957CC"/>
    <w:rsid w:val="60864B6A"/>
    <w:rsid w:val="609F43E6"/>
    <w:rsid w:val="60CC63E2"/>
    <w:rsid w:val="60EF006B"/>
    <w:rsid w:val="610845E6"/>
    <w:rsid w:val="610D1B42"/>
    <w:rsid w:val="61296849"/>
    <w:rsid w:val="612C17AC"/>
    <w:rsid w:val="615570B6"/>
    <w:rsid w:val="6167191D"/>
    <w:rsid w:val="616D556F"/>
    <w:rsid w:val="617317A2"/>
    <w:rsid w:val="618C1E02"/>
    <w:rsid w:val="61C03F0F"/>
    <w:rsid w:val="61E355F8"/>
    <w:rsid w:val="622844F0"/>
    <w:rsid w:val="622C7F14"/>
    <w:rsid w:val="627E73BD"/>
    <w:rsid w:val="62BF1C0C"/>
    <w:rsid w:val="62CB5F9C"/>
    <w:rsid w:val="63080579"/>
    <w:rsid w:val="63136C06"/>
    <w:rsid w:val="63251F93"/>
    <w:rsid w:val="6373404E"/>
    <w:rsid w:val="637A5D1C"/>
    <w:rsid w:val="638A57B1"/>
    <w:rsid w:val="63922C22"/>
    <w:rsid w:val="639F70E3"/>
    <w:rsid w:val="63A4706C"/>
    <w:rsid w:val="63B74E9E"/>
    <w:rsid w:val="63C00A28"/>
    <w:rsid w:val="63E65E32"/>
    <w:rsid w:val="63EB732A"/>
    <w:rsid w:val="642A3221"/>
    <w:rsid w:val="644D767C"/>
    <w:rsid w:val="646B5CD9"/>
    <w:rsid w:val="64B56DE1"/>
    <w:rsid w:val="64BD535E"/>
    <w:rsid w:val="64C8649F"/>
    <w:rsid w:val="64C916B5"/>
    <w:rsid w:val="64D23F55"/>
    <w:rsid w:val="64E50C85"/>
    <w:rsid w:val="655D63A4"/>
    <w:rsid w:val="656E648C"/>
    <w:rsid w:val="65727500"/>
    <w:rsid w:val="65774FC7"/>
    <w:rsid w:val="658C73C0"/>
    <w:rsid w:val="659A606C"/>
    <w:rsid w:val="65A920E5"/>
    <w:rsid w:val="65B67E88"/>
    <w:rsid w:val="65C61D54"/>
    <w:rsid w:val="65D52A02"/>
    <w:rsid w:val="65F94944"/>
    <w:rsid w:val="662F34B9"/>
    <w:rsid w:val="662F645A"/>
    <w:rsid w:val="66636EFC"/>
    <w:rsid w:val="667C78B5"/>
    <w:rsid w:val="66815294"/>
    <w:rsid w:val="6686587F"/>
    <w:rsid w:val="66882965"/>
    <w:rsid w:val="66B87850"/>
    <w:rsid w:val="66C30C0D"/>
    <w:rsid w:val="66C538E7"/>
    <w:rsid w:val="66D976EE"/>
    <w:rsid w:val="66E21184"/>
    <w:rsid w:val="66E274C8"/>
    <w:rsid w:val="66F5033F"/>
    <w:rsid w:val="675F4060"/>
    <w:rsid w:val="67691D87"/>
    <w:rsid w:val="67695EDC"/>
    <w:rsid w:val="67735E24"/>
    <w:rsid w:val="677603B3"/>
    <w:rsid w:val="6783754E"/>
    <w:rsid w:val="67851E50"/>
    <w:rsid w:val="678610CF"/>
    <w:rsid w:val="67C47202"/>
    <w:rsid w:val="67E13313"/>
    <w:rsid w:val="67F40EB7"/>
    <w:rsid w:val="680B7ABF"/>
    <w:rsid w:val="68183E7E"/>
    <w:rsid w:val="6829110C"/>
    <w:rsid w:val="6860249A"/>
    <w:rsid w:val="68817CE8"/>
    <w:rsid w:val="68BC6ED7"/>
    <w:rsid w:val="692D7E31"/>
    <w:rsid w:val="694935D8"/>
    <w:rsid w:val="69A41541"/>
    <w:rsid w:val="69C15BFD"/>
    <w:rsid w:val="69F451B0"/>
    <w:rsid w:val="6A06038D"/>
    <w:rsid w:val="6A1161FE"/>
    <w:rsid w:val="6A625145"/>
    <w:rsid w:val="6A7C5296"/>
    <w:rsid w:val="6AB67C96"/>
    <w:rsid w:val="6ABE358C"/>
    <w:rsid w:val="6B4738B9"/>
    <w:rsid w:val="6B551533"/>
    <w:rsid w:val="6B5E1B7E"/>
    <w:rsid w:val="6BB5673E"/>
    <w:rsid w:val="6BC8435B"/>
    <w:rsid w:val="6BFB2372"/>
    <w:rsid w:val="6C042FCD"/>
    <w:rsid w:val="6C106732"/>
    <w:rsid w:val="6C20563E"/>
    <w:rsid w:val="6C8C765F"/>
    <w:rsid w:val="6C9301BE"/>
    <w:rsid w:val="6CC87F5B"/>
    <w:rsid w:val="6D354188"/>
    <w:rsid w:val="6D5C0D3F"/>
    <w:rsid w:val="6D8140C7"/>
    <w:rsid w:val="6D902BE3"/>
    <w:rsid w:val="6D982C4E"/>
    <w:rsid w:val="6D9E3197"/>
    <w:rsid w:val="6DAE1733"/>
    <w:rsid w:val="6DB80B4F"/>
    <w:rsid w:val="6DD9213B"/>
    <w:rsid w:val="6DE75A07"/>
    <w:rsid w:val="6E022A40"/>
    <w:rsid w:val="6E132676"/>
    <w:rsid w:val="6E262314"/>
    <w:rsid w:val="6E461CFF"/>
    <w:rsid w:val="6E467941"/>
    <w:rsid w:val="6E4953EE"/>
    <w:rsid w:val="6E624079"/>
    <w:rsid w:val="6E787A31"/>
    <w:rsid w:val="6EB6425C"/>
    <w:rsid w:val="6F7438CA"/>
    <w:rsid w:val="6F76352C"/>
    <w:rsid w:val="6F7F35CC"/>
    <w:rsid w:val="6F867A78"/>
    <w:rsid w:val="6F8C7025"/>
    <w:rsid w:val="6FBB5F2E"/>
    <w:rsid w:val="6FCB5EF8"/>
    <w:rsid w:val="6FD64DEF"/>
    <w:rsid w:val="707D3DB4"/>
    <w:rsid w:val="709475F9"/>
    <w:rsid w:val="70B04438"/>
    <w:rsid w:val="70DB278B"/>
    <w:rsid w:val="712108B6"/>
    <w:rsid w:val="71315CEB"/>
    <w:rsid w:val="715C6D8C"/>
    <w:rsid w:val="718C3469"/>
    <w:rsid w:val="71AB2D0D"/>
    <w:rsid w:val="71B6518B"/>
    <w:rsid w:val="71DB1943"/>
    <w:rsid w:val="71F00493"/>
    <w:rsid w:val="724F53DD"/>
    <w:rsid w:val="72610297"/>
    <w:rsid w:val="727B1958"/>
    <w:rsid w:val="72953C1A"/>
    <w:rsid w:val="72D866D9"/>
    <w:rsid w:val="72EE2832"/>
    <w:rsid w:val="72FC27FA"/>
    <w:rsid w:val="730E014F"/>
    <w:rsid w:val="73397727"/>
    <w:rsid w:val="733A055C"/>
    <w:rsid w:val="73696DF0"/>
    <w:rsid w:val="73781DD7"/>
    <w:rsid w:val="739004A2"/>
    <w:rsid w:val="739958CB"/>
    <w:rsid w:val="73B11876"/>
    <w:rsid w:val="73BE01F6"/>
    <w:rsid w:val="73C12F5A"/>
    <w:rsid w:val="73D27975"/>
    <w:rsid w:val="74007354"/>
    <w:rsid w:val="746846B4"/>
    <w:rsid w:val="749D7DE8"/>
    <w:rsid w:val="74B55F10"/>
    <w:rsid w:val="74C64DE2"/>
    <w:rsid w:val="74D9511F"/>
    <w:rsid w:val="74E500B6"/>
    <w:rsid w:val="74E73540"/>
    <w:rsid w:val="755707A5"/>
    <w:rsid w:val="75572750"/>
    <w:rsid w:val="75764378"/>
    <w:rsid w:val="75BA6F6E"/>
    <w:rsid w:val="75EA3D5D"/>
    <w:rsid w:val="761F26BA"/>
    <w:rsid w:val="76203753"/>
    <w:rsid w:val="76316A17"/>
    <w:rsid w:val="763345EF"/>
    <w:rsid w:val="76516C3B"/>
    <w:rsid w:val="76522254"/>
    <w:rsid w:val="76542B0E"/>
    <w:rsid w:val="76547112"/>
    <w:rsid w:val="76573031"/>
    <w:rsid w:val="765F304B"/>
    <w:rsid w:val="765F4905"/>
    <w:rsid w:val="76644071"/>
    <w:rsid w:val="76673AC9"/>
    <w:rsid w:val="76732D15"/>
    <w:rsid w:val="76812832"/>
    <w:rsid w:val="76835460"/>
    <w:rsid w:val="76D9398D"/>
    <w:rsid w:val="76E300B2"/>
    <w:rsid w:val="76E732D0"/>
    <w:rsid w:val="773A14A3"/>
    <w:rsid w:val="773A490B"/>
    <w:rsid w:val="775A1098"/>
    <w:rsid w:val="77702CD4"/>
    <w:rsid w:val="77823492"/>
    <w:rsid w:val="77886D41"/>
    <w:rsid w:val="77906A0C"/>
    <w:rsid w:val="77CC6501"/>
    <w:rsid w:val="77D37CE0"/>
    <w:rsid w:val="77DC33BB"/>
    <w:rsid w:val="77F87BB4"/>
    <w:rsid w:val="77FF05B4"/>
    <w:rsid w:val="78302EDC"/>
    <w:rsid w:val="78304F77"/>
    <w:rsid w:val="785C1F4C"/>
    <w:rsid w:val="78672983"/>
    <w:rsid w:val="787261A5"/>
    <w:rsid w:val="788700C7"/>
    <w:rsid w:val="789E2565"/>
    <w:rsid w:val="78B92335"/>
    <w:rsid w:val="78D70CF8"/>
    <w:rsid w:val="79292B5A"/>
    <w:rsid w:val="792C6738"/>
    <w:rsid w:val="7931772B"/>
    <w:rsid w:val="7959583B"/>
    <w:rsid w:val="79960C6D"/>
    <w:rsid w:val="79A548AE"/>
    <w:rsid w:val="79AB1380"/>
    <w:rsid w:val="79E46B61"/>
    <w:rsid w:val="79E5013C"/>
    <w:rsid w:val="79F12139"/>
    <w:rsid w:val="7A0250AD"/>
    <w:rsid w:val="7A0E1142"/>
    <w:rsid w:val="7A4C0BDD"/>
    <w:rsid w:val="7A5B69D5"/>
    <w:rsid w:val="7AB22220"/>
    <w:rsid w:val="7AFA4A23"/>
    <w:rsid w:val="7B1C044D"/>
    <w:rsid w:val="7B88203E"/>
    <w:rsid w:val="7BC22E22"/>
    <w:rsid w:val="7BCC5730"/>
    <w:rsid w:val="7BD625D3"/>
    <w:rsid w:val="7BF131E7"/>
    <w:rsid w:val="7C1B653F"/>
    <w:rsid w:val="7C442D1A"/>
    <w:rsid w:val="7C5936CD"/>
    <w:rsid w:val="7C7F3DF8"/>
    <w:rsid w:val="7C9B64FD"/>
    <w:rsid w:val="7CEE04A6"/>
    <w:rsid w:val="7D000B1A"/>
    <w:rsid w:val="7D044E9F"/>
    <w:rsid w:val="7D0A0F84"/>
    <w:rsid w:val="7D3E30B6"/>
    <w:rsid w:val="7D710D2F"/>
    <w:rsid w:val="7DC063B7"/>
    <w:rsid w:val="7DEE367C"/>
    <w:rsid w:val="7DF6136B"/>
    <w:rsid w:val="7DF96D5F"/>
    <w:rsid w:val="7E070526"/>
    <w:rsid w:val="7E24359E"/>
    <w:rsid w:val="7E367079"/>
    <w:rsid w:val="7E633231"/>
    <w:rsid w:val="7EA06D4F"/>
    <w:rsid w:val="7EC568D6"/>
    <w:rsid w:val="7EE46F93"/>
    <w:rsid w:val="7EF10DD3"/>
    <w:rsid w:val="7F24657D"/>
    <w:rsid w:val="7F2C7816"/>
    <w:rsid w:val="7F911D55"/>
    <w:rsid w:val="7F991648"/>
    <w:rsid w:val="7F9F2371"/>
    <w:rsid w:val="7FD076DD"/>
    <w:rsid w:val="7FEE5D29"/>
    <w:rsid w:val="7FF834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utoSpaceDE w:val="0"/>
      <w:autoSpaceDN w:val="0"/>
      <w:adjustRightInd w:val="0"/>
      <w:textAlignment w:val="baseline"/>
    </w:pPr>
    <w:rPr>
      <w:rFonts w:ascii="宋体" w:hAnsiTheme="minorHAnsi" w:eastAsiaTheme="minorEastAsia" w:cstheme="minorBidi"/>
      <w:sz w:val="28"/>
      <w:szCs w:val="22"/>
      <w:lang w:val="en-US" w:eastAsia="zh-CN" w:bidi="ar-SA"/>
    </w:rPr>
  </w:style>
  <w:style w:type="paragraph" w:styleId="3">
    <w:name w:val="heading 1"/>
    <w:basedOn w:val="1"/>
    <w:next w:val="1"/>
    <w:qFormat/>
    <w:uiPriority w:val="0"/>
    <w:pPr>
      <w:keepNext/>
      <w:keepLines/>
      <w:spacing w:line="578" w:lineRule="auto"/>
      <w:outlineLvl w:val="0"/>
    </w:pPr>
    <w:rPr>
      <w:b/>
      <w:bCs/>
      <w:kern w:val="44"/>
      <w:sz w:val="44"/>
      <w:szCs w:val="44"/>
    </w:rPr>
  </w:style>
  <w:style w:type="paragraph" w:styleId="4">
    <w:name w:val="heading 2"/>
    <w:basedOn w:val="1"/>
    <w:next w:val="2"/>
    <w:unhideWhenUsed/>
    <w:qFormat/>
    <w:uiPriority w:val="0"/>
    <w:pPr>
      <w:spacing w:line="660" w:lineRule="atLeast"/>
      <w:jc w:val="center"/>
      <w:outlineLvl w:val="1"/>
    </w:pPr>
    <w:rPr>
      <w:rFonts w:ascii="仿宋_GB2312" w:eastAsia="仿宋_GB2312"/>
      <w:b/>
      <w:bCs/>
      <w:spacing w:val="-16"/>
      <w:sz w:val="32"/>
      <w:szCs w:val="32"/>
    </w:rPr>
  </w:style>
  <w:style w:type="paragraph" w:styleId="5">
    <w:name w:val="heading 3"/>
    <w:basedOn w:val="1"/>
    <w:next w:val="1"/>
    <w:link w:val="25"/>
    <w:unhideWhenUsed/>
    <w:qFormat/>
    <w:uiPriority w:val="0"/>
    <w:pPr>
      <w:keepNext/>
      <w:keepLines/>
      <w:spacing w:line="413" w:lineRule="auto"/>
      <w:outlineLvl w:val="2"/>
    </w:pPr>
    <w:rPr>
      <w:rFonts w:hAnsi="宋体"/>
      <w:b/>
    </w:rPr>
  </w:style>
  <w:style w:type="character" w:default="1" w:styleId="19">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2">
    <w:name w:val="Normal Indent"/>
    <w:basedOn w:val="1"/>
    <w:next w:val="1"/>
    <w:qFormat/>
    <w:uiPriority w:val="0"/>
    <w:pPr>
      <w:ind w:firstLine="420" w:firstLineChars="200"/>
    </w:pPr>
  </w:style>
  <w:style w:type="paragraph" w:styleId="6">
    <w:name w:val="Document Map"/>
    <w:basedOn w:val="1"/>
    <w:link w:val="28"/>
    <w:qFormat/>
    <w:uiPriority w:val="0"/>
    <w:rPr>
      <w:rFonts w:eastAsia="宋体"/>
      <w:sz w:val="18"/>
      <w:szCs w:val="18"/>
    </w:rPr>
  </w:style>
  <w:style w:type="paragraph" w:styleId="7">
    <w:name w:val="annotation text"/>
    <w:basedOn w:val="1"/>
    <w:link w:val="29"/>
    <w:qFormat/>
    <w:uiPriority w:val="0"/>
  </w:style>
  <w:style w:type="paragraph" w:styleId="8">
    <w:name w:val="Body Text"/>
    <w:basedOn w:val="1"/>
    <w:qFormat/>
    <w:uiPriority w:val="0"/>
    <w:rPr>
      <w:rFonts w:ascii="仿宋_GB2312" w:eastAsia="仿宋_GB2312"/>
    </w:rPr>
  </w:style>
  <w:style w:type="paragraph" w:styleId="9">
    <w:name w:val="toc 3"/>
    <w:basedOn w:val="1"/>
    <w:next w:val="1"/>
    <w:qFormat/>
    <w:uiPriority w:val="0"/>
    <w:pPr>
      <w:ind w:left="840" w:leftChars="400"/>
    </w:pPr>
  </w:style>
  <w:style w:type="paragraph" w:styleId="10">
    <w:name w:val="Date"/>
    <w:basedOn w:val="1"/>
    <w:next w:val="1"/>
    <w:qFormat/>
    <w:uiPriority w:val="0"/>
    <w:pPr>
      <w:spacing w:line="400" w:lineRule="atLeast"/>
      <w:ind w:left="100" w:leftChars="2500" w:firstLine="454"/>
    </w:pPr>
    <w:rPr>
      <w:rFonts w:ascii="仿宋_GB2312" w:eastAsia="仿宋_GB2312"/>
      <w:spacing w:val="-16"/>
    </w:rPr>
  </w:style>
  <w:style w:type="paragraph" w:styleId="11">
    <w:name w:val="Balloon Text"/>
    <w:basedOn w:val="1"/>
    <w:link w:val="26"/>
    <w:qFormat/>
    <w:uiPriority w:val="0"/>
    <w:rPr>
      <w:sz w:val="18"/>
      <w:szCs w:val="18"/>
    </w:rPr>
  </w:style>
  <w:style w:type="paragraph" w:styleId="12">
    <w:name w:val="footer"/>
    <w:basedOn w:val="1"/>
    <w:qFormat/>
    <w:uiPriority w:val="0"/>
    <w:pPr>
      <w:tabs>
        <w:tab w:val="center" w:pos="4153"/>
        <w:tab w:val="right" w:pos="8306"/>
      </w:tabs>
      <w:snapToGrid w:val="0"/>
    </w:pPr>
    <w:rPr>
      <w:sz w:val="18"/>
    </w:rPr>
  </w:style>
  <w:style w:type="paragraph" w:styleId="13">
    <w:name w:val="header"/>
    <w:basedOn w:val="1"/>
    <w:qFormat/>
    <w:uiPriority w:val="0"/>
    <w:pPr>
      <w:pBdr>
        <w:bottom w:val="single" w:color="auto" w:sz="6" w:space="1"/>
      </w:pBdr>
      <w:tabs>
        <w:tab w:val="center" w:pos="4153"/>
        <w:tab w:val="right" w:pos="8306"/>
      </w:tabs>
      <w:snapToGrid w:val="0"/>
      <w:jc w:val="center"/>
    </w:pPr>
    <w:rPr>
      <w:sz w:val="18"/>
    </w:rPr>
  </w:style>
  <w:style w:type="paragraph" w:styleId="14">
    <w:name w:val="toc 1"/>
    <w:basedOn w:val="1"/>
    <w:next w:val="1"/>
    <w:qFormat/>
    <w:uiPriority w:val="39"/>
  </w:style>
  <w:style w:type="paragraph" w:styleId="15">
    <w:name w:val="toc 2"/>
    <w:basedOn w:val="1"/>
    <w:next w:val="1"/>
    <w:qFormat/>
    <w:uiPriority w:val="39"/>
    <w:pPr>
      <w:ind w:left="420" w:leftChars="200"/>
    </w:pPr>
  </w:style>
  <w:style w:type="paragraph" w:styleId="16">
    <w:name w:val="annotation subject"/>
    <w:basedOn w:val="7"/>
    <w:next w:val="7"/>
    <w:link w:val="30"/>
    <w:qFormat/>
    <w:uiPriority w:val="0"/>
    <w:rPr>
      <w:b/>
      <w:bCs/>
    </w:rPr>
  </w:style>
  <w:style w:type="table" w:styleId="18">
    <w:name w:val="Table Grid"/>
    <w:basedOn w:val="17"/>
    <w:qFormat/>
    <w:uiPriority w:val="0"/>
    <w:pPr>
      <w:widowControl w:val="0"/>
      <w:autoSpaceDE w:val="0"/>
      <w:autoSpaceDN w:val="0"/>
      <w:adjustRightInd w:val="0"/>
      <w:spacing w:line="240" w:lineRule="atLeast"/>
    </w:pPr>
    <w:rPr>
      <w:rFonts w:ascii="Times New Roman" w:hAnsi="Times New Roman" w:eastAsia="PMingLiU"/>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0">
    <w:name w:val="Strong"/>
    <w:basedOn w:val="19"/>
    <w:qFormat/>
    <w:uiPriority w:val="0"/>
    <w:rPr>
      <w:b/>
    </w:rPr>
  </w:style>
  <w:style w:type="character" w:styleId="21">
    <w:name w:val="Emphasis"/>
    <w:basedOn w:val="19"/>
    <w:qFormat/>
    <w:uiPriority w:val="0"/>
    <w:rPr>
      <w:i/>
    </w:rPr>
  </w:style>
  <w:style w:type="character" w:styleId="22">
    <w:name w:val="Hyperlink"/>
    <w:basedOn w:val="19"/>
    <w:unhideWhenUsed/>
    <w:qFormat/>
    <w:uiPriority w:val="99"/>
    <w:rPr>
      <w:color w:val="0563C1" w:themeColor="hyperlink"/>
      <w:u w:val="single"/>
      <w14:textFill>
        <w14:solidFill>
          <w14:schemeClr w14:val="hlink"/>
        </w14:solidFill>
      </w14:textFill>
    </w:rPr>
  </w:style>
  <w:style w:type="character" w:styleId="23">
    <w:name w:val="annotation reference"/>
    <w:basedOn w:val="19"/>
    <w:qFormat/>
    <w:uiPriority w:val="0"/>
    <w:rPr>
      <w:sz w:val="21"/>
      <w:szCs w:val="21"/>
    </w:rPr>
  </w:style>
  <w:style w:type="paragraph" w:customStyle="1" w:styleId="24">
    <w:name w:val="_Style 2"/>
    <w:basedOn w:val="3"/>
    <w:next w:val="1"/>
    <w:qFormat/>
    <w:uiPriority w:val="0"/>
    <w:pPr>
      <w:widowControl/>
      <w:spacing w:line="276" w:lineRule="auto"/>
      <w:outlineLvl w:val="9"/>
    </w:pPr>
    <w:rPr>
      <w:rFonts w:ascii="Cambria" w:hAnsi="Cambria" w:eastAsia="宋体" w:cs="Times New Roman"/>
      <w:color w:val="365F91"/>
      <w:kern w:val="0"/>
      <w:sz w:val="28"/>
      <w:szCs w:val="28"/>
    </w:rPr>
  </w:style>
  <w:style w:type="character" w:customStyle="1" w:styleId="25">
    <w:name w:val="标题 3 Char"/>
    <w:link w:val="5"/>
    <w:qFormat/>
    <w:uiPriority w:val="0"/>
    <w:rPr>
      <w:rFonts w:hAnsi="宋体"/>
      <w:b/>
    </w:rPr>
  </w:style>
  <w:style w:type="character" w:customStyle="1" w:styleId="26">
    <w:name w:val="批注框文本 Char"/>
    <w:basedOn w:val="19"/>
    <w:link w:val="11"/>
    <w:qFormat/>
    <w:uiPriority w:val="0"/>
    <w:rPr>
      <w:rFonts w:ascii="宋体"/>
      <w:sz w:val="18"/>
      <w:szCs w:val="18"/>
    </w:rPr>
  </w:style>
  <w:style w:type="paragraph" w:customStyle="1" w:styleId="27">
    <w:name w:val="p0"/>
    <w:basedOn w:val="1"/>
    <w:qFormat/>
    <w:uiPriority w:val="0"/>
    <w:pPr>
      <w:widowControl/>
    </w:pPr>
    <w:rPr>
      <w:szCs w:val="21"/>
    </w:rPr>
  </w:style>
  <w:style w:type="character" w:customStyle="1" w:styleId="28">
    <w:name w:val="文档结构图 Char"/>
    <w:basedOn w:val="19"/>
    <w:link w:val="6"/>
    <w:qFormat/>
    <w:uiPriority w:val="0"/>
    <w:rPr>
      <w:rFonts w:ascii="宋体" w:hAnsiTheme="minorHAnsi" w:cstheme="minorBidi"/>
      <w:sz w:val="18"/>
      <w:szCs w:val="18"/>
    </w:rPr>
  </w:style>
  <w:style w:type="character" w:customStyle="1" w:styleId="29">
    <w:name w:val="批注文字 Char"/>
    <w:basedOn w:val="19"/>
    <w:link w:val="7"/>
    <w:qFormat/>
    <w:uiPriority w:val="0"/>
    <w:rPr>
      <w:rFonts w:ascii="宋体" w:hAnsiTheme="minorHAnsi" w:eastAsiaTheme="minorEastAsia" w:cstheme="minorBidi"/>
      <w:sz w:val="28"/>
      <w:szCs w:val="22"/>
    </w:rPr>
  </w:style>
  <w:style w:type="character" w:customStyle="1" w:styleId="30">
    <w:name w:val="批注主题 Char"/>
    <w:basedOn w:val="29"/>
    <w:link w:val="16"/>
    <w:qFormat/>
    <w:uiPriority w:val="0"/>
    <w:rPr>
      <w:rFonts w:ascii="宋体" w:hAnsiTheme="minorHAnsi" w:eastAsiaTheme="minorEastAsia" w:cstheme="minorBidi"/>
      <w:b/>
      <w:bCs/>
      <w:sz w:val="28"/>
      <w:szCs w:val="22"/>
    </w:rPr>
  </w:style>
  <w:style w:type="character" w:customStyle="1" w:styleId="31">
    <w:name w:val="font01"/>
    <w:basedOn w:val="19"/>
    <w:qFormat/>
    <w:uiPriority w:val="0"/>
    <w:rPr>
      <w:rFonts w:hint="eastAsia" w:ascii="宋体" w:hAnsi="宋体" w:eastAsia="宋体" w:cs="宋体"/>
      <w:b/>
      <w:bCs/>
      <w:color w:val="FF0000"/>
      <w:sz w:val="20"/>
      <w:szCs w:val="20"/>
      <w:u w:val="none"/>
    </w:rPr>
  </w:style>
  <w:style w:type="character" w:customStyle="1" w:styleId="32">
    <w:name w:val="font71"/>
    <w:basedOn w:val="19"/>
    <w:qFormat/>
    <w:uiPriority w:val="0"/>
    <w:rPr>
      <w:rFonts w:hint="default" w:ascii="Times New Roman" w:hAnsi="Times New Roman" w:cs="Times New Roman"/>
      <w:b/>
      <w:bCs/>
      <w:color w:val="FF0000"/>
      <w:sz w:val="20"/>
      <w:szCs w:val="20"/>
      <w:u w:val="none"/>
    </w:rPr>
  </w:style>
  <w:style w:type="character" w:customStyle="1" w:styleId="33">
    <w:name w:val="font81"/>
    <w:basedOn w:val="19"/>
    <w:qFormat/>
    <w:uiPriority w:val="0"/>
    <w:rPr>
      <w:rFonts w:hint="default" w:ascii="Times New Roman" w:hAnsi="Times New Roman" w:cs="Times New Roman"/>
      <w:b/>
      <w:bCs/>
      <w:color w:val="FF0000"/>
      <w:sz w:val="20"/>
      <w:szCs w:val="20"/>
      <w:u w:val="none"/>
      <w:vertAlign w:val="superscript"/>
    </w:rPr>
  </w:style>
  <w:style w:type="character" w:customStyle="1" w:styleId="34">
    <w:name w:val="font111"/>
    <w:basedOn w:val="19"/>
    <w:qFormat/>
    <w:uiPriority w:val="0"/>
    <w:rPr>
      <w:rFonts w:hint="default" w:ascii="Times New Roman" w:hAnsi="Times New Roman" w:cs="Times New Roman"/>
      <w:b/>
      <w:bCs/>
      <w:color w:val="FF0000"/>
      <w:sz w:val="20"/>
      <w:szCs w:val="20"/>
      <w:u w:val="none"/>
    </w:rPr>
  </w:style>
  <w:style w:type="character" w:customStyle="1" w:styleId="35">
    <w:name w:val="font122"/>
    <w:basedOn w:val="19"/>
    <w:qFormat/>
    <w:uiPriority w:val="0"/>
    <w:rPr>
      <w:rFonts w:hint="default" w:ascii="Times New Roman" w:hAnsi="Times New Roman" w:cs="Times New Roman"/>
      <w:b/>
      <w:bCs/>
      <w:color w:val="FF0000"/>
      <w:sz w:val="20"/>
      <w:szCs w:val="20"/>
      <w:u w:val="none"/>
      <w:vertAlign w:val="superscript"/>
    </w:rPr>
  </w:style>
  <w:style w:type="character" w:customStyle="1" w:styleId="36">
    <w:name w:val="font101"/>
    <w:basedOn w:val="19"/>
    <w:qFormat/>
    <w:uiPriority w:val="0"/>
    <w:rPr>
      <w:rFonts w:hint="eastAsia" w:ascii="宋体" w:hAnsi="宋体" w:eastAsia="宋体" w:cs="宋体"/>
      <w:b/>
      <w:bCs/>
      <w:color w:val="FF0000"/>
      <w:sz w:val="20"/>
      <w:szCs w:val="20"/>
      <w:u w:val="none"/>
    </w:rPr>
  </w:style>
  <w:style w:type="character" w:customStyle="1" w:styleId="37">
    <w:name w:val="font11"/>
    <w:basedOn w:val="19"/>
    <w:qFormat/>
    <w:uiPriority w:val="0"/>
    <w:rPr>
      <w:rFonts w:hint="default" w:ascii="Times New Roman" w:hAnsi="Times New Roman" w:cs="Times New Roman"/>
      <w:b/>
      <w:bCs/>
      <w:color w:val="FF0000"/>
      <w:sz w:val="20"/>
      <w:szCs w:val="20"/>
      <w:u w:val="none"/>
    </w:rPr>
  </w:style>
  <w:style w:type="character" w:customStyle="1" w:styleId="38">
    <w:name w:val="font131"/>
    <w:basedOn w:val="19"/>
    <w:qFormat/>
    <w:uiPriority w:val="0"/>
    <w:rPr>
      <w:rFonts w:hint="default" w:ascii="Times New Roman" w:hAnsi="Times New Roman" w:cs="Times New Roman"/>
      <w:b/>
      <w:bCs/>
      <w:color w:val="FF0000"/>
      <w:sz w:val="20"/>
      <w:szCs w:val="20"/>
      <w:u w:val="none"/>
      <w:vertAlign w:val="superscript"/>
    </w:rPr>
  </w:style>
  <w:style w:type="character" w:customStyle="1" w:styleId="39">
    <w:name w:val="font21"/>
    <w:basedOn w:val="19"/>
    <w:qFormat/>
    <w:uiPriority w:val="0"/>
    <w:rPr>
      <w:rFonts w:hint="eastAsia" w:ascii="宋体" w:hAnsi="宋体" w:eastAsia="宋体" w:cs="宋体"/>
      <w:b/>
      <w:bCs/>
      <w:color w:val="000000"/>
      <w:sz w:val="20"/>
      <w:szCs w:val="20"/>
      <w:u w:val="none"/>
    </w:rPr>
  </w:style>
  <w:style w:type="character" w:customStyle="1" w:styleId="40">
    <w:name w:val="font41"/>
    <w:basedOn w:val="19"/>
    <w:qFormat/>
    <w:uiPriority w:val="0"/>
    <w:rPr>
      <w:rFonts w:hint="default" w:ascii="Times New Roman" w:hAnsi="Times New Roman" w:cs="Times New Roman"/>
      <w:b/>
      <w:bCs/>
      <w:color w:val="000000"/>
      <w:sz w:val="20"/>
      <w:szCs w:val="20"/>
      <w:u w:val="none"/>
    </w:rPr>
  </w:style>
  <w:style w:type="character" w:customStyle="1" w:styleId="41">
    <w:name w:val="font112"/>
    <w:basedOn w:val="19"/>
    <w:qFormat/>
    <w:uiPriority w:val="0"/>
    <w:rPr>
      <w:rFonts w:hint="default" w:ascii="Times New Roman" w:hAnsi="Times New Roman" w:cs="Times New Roman"/>
      <w:b/>
      <w:bCs/>
      <w:color w:val="000000"/>
      <w:sz w:val="20"/>
      <w:szCs w:val="20"/>
      <w:u w:val="none"/>
      <w:vertAlign w:val="superscript"/>
    </w:rPr>
  </w:style>
  <w:style w:type="character" w:customStyle="1" w:styleId="42">
    <w:name w:val="font51"/>
    <w:basedOn w:val="19"/>
    <w:qFormat/>
    <w:uiPriority w:val="0"/>
    <w:rPr>
      <w:rFonts w:hint="default" w:ascii="Times New Roman" w:hAnsi="Times New Roman" w:cs="Times New Roman"/>
      <w:b/>
      <w:bCs/>
      <w:color w:val="000000"/>
      <w:sz w:val="15"/>
      <w:szCs w:val="15"/>
      <w:u w:val="none"/>
      <w:vertAlign w:val="superscript"/>
    </w:rPr>
  </w:style>
  <w:style w:type="character" w:customStyle="1" w:styleId="43">
    <w:name w:val="font31"/>
    <w:basedOn w:val="19"/>
    <w:qFormat/>
    <w:uiPriority w:val="0"/>
    <w:rPr>
      <w:rFonts w:hint="eastAsia" w:ascii="宋体" w:hAnsi="宋体" w:eastAsia="宋体" w:cs="宋体"/>
      <w:b/>
      <w:bCs/>
      <w:color w:val="000000"/>
      <w:sz w:val="15"/>
      <w:szCs w:val="15"/>
      <w:u w:val="none"/>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header" Target="header4.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customXml" Target="../customXml/item2.xml"/><Relationship Id="rId18" Type="http://schemas.openxmlformats.org/officeDocument/2006/relationships/numbering" Target="numbering.xml"/><Relationship Id="rId17" Type="http://schemas.openxmlformats.org/officeDocument/2006/relationships/customXml" Target="../customXml/item1.xml"/><Relationship Id="rId16" Type="http://schemas.openxmlformats.org/officeDocument/2006/relationships/image" Target="media/image1.jpeg"/><Relationship Id="rId15" Type="http://schemas.openxmlformats.org/officeDocument/2006/relationships/theme" Target="theme/theme1.xml"/><Relationship Id="rId14" Type="http://schemas.openxmlformats.org/officeDocument/2006/relationships/footer" Target="footer8.xml"/><Relationship Id="rId13" Type="http://schemas.openxmlformats.org/officeDocument/2006/relationships/footer" Target="footer7.xml"/><Relationship Id="rId12" Type="http://schemas.openxmlformats.org/officeDocument/2006/relationships/footer" Target="footer6.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2FF1A5F-6A7A-411B-925A-AF3C1F596A4B}">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33</Pages>
  <Words>18834</Words>
  <Characters>21749</Characters>
  <Lines>72</Lines>
  <Paragraphs>20</Paragraphs>
  <TotalTime>32</TotalTime>
  <ScaleCrop>false</ScaleCrop>
  <LinksUpToDate>false</LinksUpToDate>
  <CharactersWithSpaces>21811</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2016-08-21T15:10:00Z</dcterms:created>
  <dc:creator>Administrator</dc:creator>
  <cp:lastModifiedBy>匹夫</cp:lastModifiedBy>
  <cp:lastPrinted>2022-07-14T04:00:29Z</cp:lastPrinted>
  <dcterms:modified xsi:type="dcterms:W3CDTF">2022-07-14T06:03:38Z</dcterms:modified>
  <cp:revision>137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340139BB95A04E0CA07F0231CECF851B</vt:lpwstr>
  </property>
</Properties>
</file>