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56" w:beforeLines="50" w:after="156" w:afterLines="50" w:line="360" w:lineRule="auto"/>
        <w:ind w:firstLine="642" w:firstLineChars="100"/>
        <w:jc w:val="center"/>
        <w:rPr>
          <w:rFonts w:hAnsi="宋体"/>
          <w:spacing w:val="100"/>
        </w:rPr>
      </w:pPr>
      <w:bookmarkStart w:id="0" w:name="_Toc12138"/>
      <w:bookmarkStart w:id="1" w:name="_Toc19939"/>
      <w:bookmarkStart w:id="2" w:name="_Toc27543"/>
      <w:bookmarkStart w:id="3" w:name="_Toc28845"/>
      <w:bookmarkStart w:id="4" w:name="_Toc31087"/>
      <w:bookmarkStart w:id="5" w:name="_Toc28266"/>
      <w:bookmarkStart w:id="6" w:name="_Toc22739"/>
      <w:bookmarkStart w:id="7" w:name="_Toc12628"/>
      <w:bookmarkStart w:id="8" w:name="_Toc8452"/>
      <w:bookmarkStart w:id="9" w:name="_Toc31681"/>
      <w:bookmarkStart w:id="10" w:name="_Toc23734"/>
      <w:bookmarkStart w:id="11" w:name="_Toc19778"/>
      <w:bookmarkStart w:id="12" w:name="_Toc19625"/>
      <w:bookmarkStart w:id="13" w:name="_Toc8790"/>
      <w:bookmarkStart w:id="14" w:name="_Toc1659"/>
      <w:bookmarkStart w:id="15" w:name="_Toc4018"/>
      <w:bookmarkStart w:id="16" w:name="_Toc24036"/>
      <w:bookmarkStart w:id="17" w:name="_Toc27133"/>
      <w:bookmarkStart w:id="18" w:name="_Toc31678"/>
      <w:bookmarkStart w:id="19" w:name="_Toc2429"/>
      <w:bookmarkStart w:id="20" w:name="_Toc17480"/>
      <w:bookmarkStart w:id="21" w:name="_Toc6263"/>
      <w:bookmarkStart w:id="22" w:name="_Toc11274"/>
      <w:bookmarkStart w:id="23" w:name="_Toc43"/>
      <w:r>
        <w:rPr>
          <w:rFonts w:hAnsi="宋体"/>
          <w:spacing w:val="100"/>
        </w:rPr>
        <w:t>致委托</w:t>
      </w:r>
      <w:r>
        <w:rPr>
          <w:rFonts w:hint="eastAsia" w:hAnsi="宋体"/>
          <w:spacing w:val="100"/>
        </w:rPr>
        <w:t>人</w:t>
      </w:r>
      <w:r>
        <w:rPr>
          <w:rFonts w:hAnsi="宋体"/>
          <w:spacing w:val="100"/>
        </w:rPr>
        <w:t>函</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27"/>
        <w:autoSpaceDE/>
        <w:autoSpaceDN/>
        <w:adjustRightInd/>
        <w:spacing w:before="156" w:beforeLines="50" w:after="156" w:afterLines="50" w:line="360" w:lineRule="auto"/>
        <w:jc w:val="both"/>
        <w:textAlignment w:val="auto"/>
        <w:rPr>
          <w:rFonts w:ascii="Times New Roman" w:hAnsi="Times New Roman" w:eastAsia="宋体" w:cs="Times New Roman"/>
          <w:b/>
          <w:szCs w:val="28"/>
        </w:rPr>
      </w:pPr>
      <w:r>
        <w:rPr>
          <w:rFonts w:hint="eastAsia" w:ascii="Times New Roman" w:hAnsi="Times New Roman" w:eastAsia="宋体" w:cs="Times New Roman"/>
          <w:b/>
          <w:szCs w:val="28"/>
          <w:lang w:val="en-US" w:eastAsia="zh-CN"/>
        </w:rPr>
        <w:t>威宁彝族回族苗族自治县人民法院</w:t>
      </w:r>
      <w:r>
        <w:rPr>
          <w:rFonts w:hint="eastAsia" w:ascii="Times New Roman" w:hAnsi="Times New Roman" w:eastAsia="宋体" w:cs="Times New Roman"/>
          <w:b/>
          <w:szCs w:val="28"/>
        </w:rPr>
        <w:t>：</w:t>
      </w:r>
    </w:p>
    <w:p>
      <w:pPr>
        <w:pStyle w:val="27"/>
        <w:autoSpaceDE/>
        <w:autoSpaceDN/>
        <w:adjustRightInd/>
        <w:spacing w:before="156" w:beforeLines="50" w:after="156"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我公司接受</w:t>
      </w:r>
      <w:r>
        <w:rPr>
          <w:rFonts w:hint="eastAsia" w:ascii="Times New Roman" w:hAnsi="Times New Roman" w:eastAsia="宋体" w:cs="Times New Roman"/>
          <w:bCs/>
          <w:szCs w:val="28"/>
          <w:lang w:val="en-US" w:eastAsia="zh-CN"/>
        </w:rPr>
        <w:t>贵单位</w:t>
      </w:r>
      <w:r>
        <w:rPr>
          <w:rFonts w:hint="eastAsia" w:ascii="Times New Roman" w:hAnsi="Times New Roman" w:eastAsia="宋体" w:cs="Times New Roman"/>
          <w:bCs/>
          <w:szCs w:val="28"/>
        </w:rPr>
        <w:t>的委托，</w:t>
      </w:r>
      <w:r>
        <w:rPr>
          <w:rFonts w:hint="eastAsia" w:asciiTheme="minorEastAsia" w:hAnsiTheme="minorEastAsia" w:eastAsiaTheme="minorEastAsia"/>
          <w:spacing w:val="-2"/>
          <w:szCs w:val="24"/>
        </w:rPr>
        <w:t>根据</w:t>
      </w:r>
      <w:r>
        <w:rPr>
          <w:rFonts w:hint="eastAsia" w:ascii="Times New Roman" w:hAnsi="Times New Roman" w:eastAsia="宋体" w:cs="Times New Roman"/>
          <w:bCs/>
          <w:sz w:val="28"/>
          <w:szCs w:val="28"/>
          <w:highlight w:val="none"/>
          <w:lang w:val="en-US" w:eastAsia="zh-CN" w:bidi="ar-SA"/>
        </w:rPr>
        <w:t>《房地产估价规范》</w:t>
      </w:r>
      <w:r>
        <w:rPr>
          <w:rFonts w:hint="eastAsia" w:asciiTheme="minorEastAsia" w:hAnsiTheme="minorEastAsia" w:eastAsiaTheme="minorEastAsia"/>
          <w:spacing w:val="-2"/>
          <w:szCs w:val="24"/>
        </w:rPr>
        <w:t>的规定，本着独立、客观、公正、科学的原则，按照必要的估价程序，采用合理的估价方法</w:t>
      </w:r>
      <w:r>
        <w:rPr>
          <w:rFonts w:hint="eastAsia" w:ascii="Times New Roman" w:hAnsi="Times New Roman" w:eastAsia="宋体" w:cs="Times New Roman"/>
          <w:bCs/>
          <w:szCs w:val="28"/>
        </w:rPr>
        <w:t>，对</w:t>
      </w:r>
      <w:r>
        <w:rPr>
          <w:rFonts w:hint="eastAsia" w:hAnsi="宋体" w:eastAsia="宋体"/>
          <w:szCs w:val="28"/>
          <w:lang w:val="en-US" w:eastAsia="zh-CN"/>
        </w:rPr>
        <w:t>委托评估的房地产市场价值</w:t>
      </w:r>
      <w:r>
        <w:rPr>
          <w:rFonts w:hint="eastAsia" w:ascii="Times New Roman" w:hAnsi="Times New Roman" w:eastAsia="宋体" w:cs="Times New Roman"/>
          <w:bCs/>
          <w:szCs w:val="28"/>
        </w:rPr>
        <w:t>进行了</w:t>
      </w:r>
      <w:r>
        <w:rPr>
          <w:rFonts w:hint="eastAsia" w:ascii="Times New Roman" w:hAnsi="Times New Roman" w:eastAsia="宋体" w:cs="Times New Roman"/>
          <w:bCs/>
          <w:szCs w:val="28"/>
          <w:lang w:val="en-US" w:eastAsia="zh-CN"/>
        </w:rPr>
        <w:t>估价</w:t>
      </w:r>
      <w:r>
        <w:rPr>
          <w:rFonts w:hint="eastAsia" w:ascii="Times New Roman" w:hAnsi="Times New Roman" w:eastAsia="宋体" w:cs="Times New Roman"/>
          <w:bCs/>
          <w:szCs w:val="28"/>
        </w:rPr>
        <w:t>, 评估基本事项如下：</w:t>
      </w:r>
    </w:p>
    <w:p>
      <w:pPr>
        <w:pStyle w:val="27"/>
        <w:autoSpaceDE/>
        <w:autoSpaceDN/>
        <w:adjustRightInd/>
        <w:spacing w:before="156" w:beforeLines="50" w:after="156" w:afterLines="50" w:line="360" w:lineRule="auto"/>
        <w:ind w:firstLine="562"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
          <w:szCs w:val="28"/>
        </w:rPr>
        <w:t>估价目的：</w:t>
      </w:r>
      <w:r>
        <w:rPr>
          <w:rFonts w:hint="eastAsia" w:ascii="Times New Roman" w:hAnsi="Times New Roman" w:eastAsia="宋体" w:cs="Times New Roman"/>
          <w:bCs/>
          <w:szCs w:val="28"/>
        </w:rPr>
        <w:t>为</w:t>
      </w:r>
      <w:r>
        <w:rPr>
          <w:rFonts w:hint="eastAsia" w:ascii="Times New Roman" w:hAnsi="Times New Roman" w:eastAsia="宋体" w:cs="Times New Roman"/>
          <w:bCs/>
          <w:szCs w:val="28"/>
          <w:lang w:val="en-US" w:eastAsia="zh-CN"/>
        </w:rPr>
        <w:t>人民法院</w:t>
      </w:r>
      <w:r>
        <w:rPr>
          <w:rFonts w:hint="eastAsia" w:hAnsi="宋体"/>
          <w:szCs w:val="28"/>
        </w:rPr>
        <w:t>确定</w:t>
      </w:r>
      <w:r>
        <w:rPr>
          <w:rFonts w:hint="eastAsia" w:hAnsi="宋体"/>
          <w:szCs w:val="28"/>
          <w:lang w:val="en-US" w:eastAsia="zh-CN"/>
        </w:rPr>
        <w:t>财产处置参考价提供参考依据</w:t>
      </w:r>
      <w:r>
        <w:rPr>
          <w:rFonts w:hint="eastAsia" w:ascii="Times New Roman" w:hAnsi="Times New Roman" w:eastAsia="宋体" w:cs="Times New Roman"/>
          <w:bCs/>
          <w:szCs w:val="28"/>
        </w:rPr>
        <w:t>。</w:t>
      </w:r>
    </w:p>
    <w:p>
      <w:pPr>
        <w:pStyle w:val="27"/>
        <w:autoSpaceDE/>
        <w:autoSpaceDN/>
        <w:adjustRightInd/>
        <w:spacing w:before="156" w:beforeLines="50" w:after="156" w:afterLines="50" w:line="360" w:lineRule="auto"/>
        <w:ind w:firstLine="562" w:firstLineChars="200"/>
        <w:jc w:val="both"/>
        <w:textAlignment w:val="auto"/>
        <w:rPr>
          <w:rFonts w:hint="eastAsia" w:hAnsi="宋体"/>
          <w:szCs w:val="28"/>
          <w:lang w:val="en-US" w:eastAsia="zh-CN"/>
        </w:rPr>
      </w:pPr>
      <w:r>
        <w:rPr>
          <w:rFonts w:hint="eastAsia" w:ascii="Times New Roman" w:hAnsi="Times New Roman" w:eastAsia="宋体" w:cs="Times New Roman"/>
          <w:b/>
          <w:szCs w:val="28"/>
        </w:rPr>
        <w:t>估价对象：</w:t>
      </w:r>
      <w:r>
        <w:rPr>
          <w:rFonts w:hint="eastAsia" w:hAnsi="宋体"/>
          <w:szCs w:val="28"/>
          <w:lang w:val="en-US" w:eastAsia="zh-CN"/>
        </w:rPr>
        <w:t>基本状况如下表所示：</w:t>
      </w:r>
    </w:p>
    <w:tbl>
      <w:tblPr>
        <w:tblStyle w:val="17"/>
        <w:tblpPr w:leftFromText="180" w:rightFromText="180" w:vertAnchor="text" w:horzAnchor="page" w:tblpXSpec="center" w:tblpY="181"/>
        <w:tblOverlap w:val="never"/>
        <w:tblW w:w="8337" w:type="dxa"/>
        <w:jc w:val="center"/>
        <w:tblLayout w:type="fixed"/>
        <w:tblCellMar>
          <w:top w:w="0" w:type="dxa"/>
          <w:left w:w="108" w:type="dxa"/>
          <w:bottom w:w="0" w:type="dxa"/>
          <w:right w:w="108" w:type="dxa"/>
        </w:tblCellMar>
      </w:tblPr>
      <w:tblGrid>
        <w:gridCol w:w="483"/>
        <w:gridCol w:w="1395"/>
        <w:gridCol w:w="1055"/>
        <w:gridCol w:w="1935"/>
        <w:gridCol w:w="855"/>
        <w:gridCol w:w="682"/>
        <w:gridCol w:w="945"/>
        <w:gridCol w:w="987"/>
      </w:tblGrid>
      <w:tr>
        <w:tblPrEx>
          <w:tblCellMar>
            <w:top w:w="0" w:type="dxa"/>
            <w:left w:w="108" w:type="dxa"/>
            <w:bottom w:w="0" w:type="dxa"/>
            <w:right w:w="108" w:type="dxa"/>
          </w:tblCellMar>
        </w:tblPrEx>
        <w:trPr>
          <w:trHeight w:val="587" w:hRule="atLeast"/>
          <w:jc w:val="center"/>
        </w:trPr>
        <w:tc>
          <w:tcPr>
            <w:tcW w:w="483"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序号</w:t>
            </w:r>
          </w:p>
        </w:tc>
        <w:tc>
          <w:tcPr>
            <w:tcW w:w="1395"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不动产权证证书/证明号</w:t>
            </w:r>
          </w:p>
        </w:tc>
        <w:tc>
          <w:tcPr>
            <w:tcW w:w="105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名称</w:t>
            </w:r>
          </w:p>
        </w:tc>
        <w:tc>
          <w:tcPr>
            <w:tcW w:w="193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所在位置</w:t>
            </w:r>
          </w:p>
        </w:tc>
        <w:tc>
          <w:tcPr>
            <w:tcW w:w="85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权利人</w:t>
            </w:r>
          </w:p>
        </w:tc>
        <w:tc>
          <w:tcPr>
            <w:tcW w:w="682"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用途</w:t>
            </w:r>
          </w:p>
        </w:tc>
        <w:tc>
          <w:tcPr>
            <w:tcW w:w="94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建筑面积（㎡）</w:t>
            </w:r>
          </w:p>
        </w:tc>
        <w:tc>
          <w:tcPr>
            <w:tcW w:w="987"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hAnsi="宋体" w:eastAsia="宋体" w:cs="宋体"/>
                <w:b w:val="0"/>
                <w:bCs w:val="0"/>
                <w:i w:val="0"/>
                <w:iCs w:val="0"/>
                <w:color w:val="000000"/>
                <w:kern w:val="0"/>
                <w:sz w:val="18"/>
                <w:szCs w:val="18"/>
                <w:u w:val="none"/>
                <w:lang w:val="en-US" w:eastAsia="zh-CN" w:bidi="ar"/>
              </w:rPr>
              <w:t>备注</w:t>
            </w:r>
          </w:p>
        </w:tc>
      </w:tr>
      <w:tr>
        <w:tblPrEx>
          <w:tblCellMar>
            <w:top w:w="0" w:type="dxa"/>
            <w:left w:w="108" w:type="dxa"/>
            <w:bottom w:w="0" w:type="dxa"/>
            <w:right w:w="108" w:type="dxa"/>
          </w:tblCellMar>
        </w:tblPrEx>
        <w:trPr>
          <w:trHeight w:val="760" w:hRule="atLeast"/>
          <w:jc w:val="center"/>
        </w:trPr>
        <w:tc>
          <w:tcPr>
            <w:tcW w:w="483"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w:t>
            </w:r>
          </w:p>
        </w:tc>
        <w:tc>
          <w:tcPr>
            <w:tcW w:w="139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黔（2018）威宁县不动产证明第0003232号</w:t>
            </w:r>
          </w:p>
        </w:tc>
        <w:tc>
          <w:tcPr>
            <w:tcW w:w="105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宋体" w:hAnsi="宋体" w:cs="宋体"/>
                <w:b w:val="0"/>
                <w:bCs w:val="0"/>
                <w:i w:val="0"/>
                <w:iCs w:val="0"/>
                <w:color w:val="000000"/>
                <w:kern w:val="0"/>
                <w:sz w:val="18"/>
                <w:szCs w:val="18"/>
                <w:u w:val="none"/>
                <w:lang w:val="en-US" w:eastAsia="zh-CN" w:bidi="ar"/>
              </w:rPr>
            </w:pPr>
            <w:r>
              <w:rPr>
                <w:rFonts w:hint="eastAsia" w:ascii="宋体" w:hAnsi="宋体" w:eastAsia="宋体" w:cs="宋体"/>
                <w:i w:val="0"/>
                <w:iCs w:val="0"/>
                <w:color w:val="000000"/>
                <w:sz w:val="18"/>
                <w:szCs w:val="18"/>
                <w:u w:val="none"/>
                <w:lang w:val="en-US" w:eastAsia="zh-CN"/>
              </w:rPr>
              <w:t>梁才怡苑</w:t>
            </w:r>
          </w:p>
        </w:tc>
        <w:tc>
          <w:tcPr>
            <w:tcW w:w="193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18"/>
                <w:szCs w:val="18"/>
                <w:u w:val="none"/>
                <w:lang w:val="en-US" w:eastAsia="zh-CN" w:bidi="ar"/>
              </w:rPr>
            </w:pPr>
            <w:r>
              <w:rPr>
                <w:rFonts w:hint="eastAsia" w:ascii="宋体" w:hAnsi="宋体" w:cs="宋体"/>
                <w:b w:val="0"/>
                <w:bCs w:val="0"/>
                <w:i w:val="0"/>
                <w:iCs w:val="0"/>
                <w:color w:val="000000"/>
                <w:kern w:val="0"/>
                <w:sz w:val="18"/>
                <w:szCs w:val="18"/>
                <w:u w:val="none"/>
                <w:lang w:val="en-US" w:eastAsia="zh-CN" w:bidi="ar"/>
              </w:rPr>
              <w:t>威宁县海边街道凤山大道南侧梁才怡苑1、2、3栋2单元11层2号</w:t>
            </w:r>
          </w:p>
        </w:tc>
        <w:tc>
          <w:tcPr>
            <w:tcW w:w="85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18"/>
                <w:szCs w:val="18"/>
                <w:u w:val="none"/>
                <w:lang w:val="en-US" w:eastAsia="zh-CN" w:bidi="ar"/>
              </w:rPr>
            </w:pPr>
            <w:r>
              <w:rPr>
                <w:rFonts w:hint="default" w:ascii="宋体" w:hAnsi="宋体" w:cs="宋体"/>
                <w:b w:val="0"/>
                <w:bCs w:val="0"/>
                <w:i w:val="0"/>
                <w:iCs w:val="0"/>
                <w:color w:val="000000"/>
                <w:kern w:val="0"/>
                <w:sz w:val="18"/>
                <w:szCs w:val="18"/>
                <w:u w:val="none"/>
                <w:lang w:val="en-US" w:eastAsia="zh-CN" w:bidi="ar"/>
              </w:rPr>
              <w:t>訾姣、管晨</w:t>
            </w:r>
          </w:p>
        </w:tc>
        <w:tc>
          <w:tcPr>
            <w:tcW w:w="682"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宋体" w:hAnsi="宋体" w:cs="宋体"/>
                <w:b w:val="0"/>
                <w:bCs w:val="0"/>
                <w:i w:val="0"/>
                <w:iCs w:val="0"/>
                <w:color w:val="000000"/>
                <w:kern w:val="0"/>
                <w:sz w:val="18"/>
                <w:szCs w:val="18"/>
                <w:u w:val="none"/>
                <w:lang w:val="en-US" w:eastAsia="zh-CN" w:bidi="ar"/>
              </w:rPr>
            </w:pPr>
            <w:r>
              <w:rPr>
                <w:rFonts w:hint="eastAsia" w:ascii="宋体" w:hAnsi="宋体" w:cs="宋体"/>
                <w:b w:val="0"/>
                <w:bCs w:val="0"/>
                <w:i w:val="0"/>
                <w:iCs w:val="0"/>
                <w:color w:val="000000"/>
                <w:kern w:val="0"/>
                <w:sz w:val="18"/>
                <w:szCs w:val="18"/>
                <w:u w:val="none"/>
                <w:lang w:val="en-US" w:eastAsia="zh-CN" w:bidi="ar"/>
              </w:rPr>
              <w:t>住宅</w:t>
            </w:r>
          </w:p>
        </w:tc>
        <w:tc>
          <w:tcPr>
            <w:tcW w:w="94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宋体" w:hAnsi="宋体" w:cs="宋体"/>
                <w:b w:val="0"/>
                <w:bCs w:val="0"/>
                <w:i w:val="0"/>
                <w:iCs w:val="0"/>
                <w:color w:val="000000"/>
                <w:kern w:val="0"/>
                <w:sz w:val="18"/>
                <w:szCs w:val="18"/>
                <w:u w:val="none"/>
                <w:lang w:val="en-US" w:eastAsia="zh-CN" w:bidi="ar"/>
              </w:rPr>
            </w:pPr>
            <w:r>
              <w:rPr>
                <w:rFonts w:hint="eastAsia" w:ascii="宋体" w:hAnsi="宋体" w:cs="宋体"/>
                <w:b w:val="0"/>
                <w:bCs w:val="0"/>
                <w:i w:val="0"/>
                <w:iCs w:val="0"/>
                <w:color w:val="000000"/>
                <w:kern w:val="0"/>
                <w:sz w:val="18"/>
                <w:szCs w:val="18"/>
                <w:u w:val="none"/>
                <w:lang w:val="en-US" w:eastAsia="zh-CN" w:bidi="ar"/>
              </w:rPr>
              <w:t>122.6</w:t>
            </w:r>
          </w:p>
        </w:tc>
        <w:tc>
          <w:tcPr>
            <w:tcW w:w="987"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hAnsi="宋体" w:eastAsia="宋体" w:cs="宋体"/>
                <w:b w:val="0"/>
                <w:bCs w:val="0"/>
                <w:i w:val="0"/>
                <w:iCs w:val="0"/>
                <w:color w:val="000000"/>
                <w:kern w:val="0"/>
                <w:sz w:val="18"/>
                <w:szCs w:val="18"/>
                <w:u w:val="none"/>
                <w:lang w:val="en-US" w:eastAsia="zh-CN" w:bidi="ar"/>
              </w:rPr>
              <w:t>户型：三室两厅一厨两卫</w:t>
            </w:r>
          </w:p>
        </w:tc>
      </w:tr>
    </w:tbl>
    <w:p>
      <w:pPr>
        <w:pStyle w:val="27"/>
        <w:autoSpaceDE/>
        <w:autoSpaceDN/>
        <w:adjustRightInd/>
        <w:spacing w:before="156" w:beforeLines="50" w:after="156" w:afterLines="50" w:line="360" w:lineRule="auto"/>
        <w:ind w:firstLine="560" w:firstLineChars="200"/>
        <w:jc w:val="both"/>
        <w:textAlignment w:val="auto"/>
        <w:rPr>
          <w:rFonts w:hint="default" w:ascii="Times New Roman" w:hAnsi="Times New Roman" w:eastAsia="宋体" w:cs="Times New Roman"/>
          <w:b w:val="0"/>
          <w:bCs/>
          <w:szCs w:val="28"/>
          <w:lang w:val="en-US" w:eastAsia="zh-CN"/>
        </w:rPr>
      </w:pPr>
      <w:r>
        <w:rPr>
          <w:rFonts w:hint="eastAsia" w:hAnsi="宋体"/>
          <w:szCs w:val="28"/>
          <w:lang w:eastAsia="zh-CN"/>
        </w:rPr>
        <w:t>估价对象</w:t>
      </w:r>
      <w:r>
        <w:rPr>
          <w:rFonts w:hint="eastAsia" w:hAnsi="宋体"/>
          <w:szCs w:val="28"/>
          <w:lang w:val="en-US" w:eastAsia="zh-CN"/>
        </w:rPr>
        <w:t>财产</w:t>
      </w:r>
      <w:r>
        <w:rPr>
          <w:rFonts w:hint="eastAsia" w:hAnsi="宋体"/>
          <w:szCs w:val="28"/>
          <w:lang w:eastAsia="zh-CN"/>
        </w:rPr>
        <w:t>范围包含房屋</w:t>
      </w:r>
      <w:r>
        <w:rPr>
          <w:rFonts w:hint="eastAsia" w:hAnsi="宋体"/>
          <w:szCs w:val="28"/>
          <w:lang w:val="en-US" w:eastAsia="zh-CN"/>
        </w:rPr>
        <w:t>所有</w:t>
      </w:r>
      <w:r>
        <w:rPr>
          <w:rFonts w:hint="eastAsia" w:hAnsi="宋体"/>
          <w:szCs w:val="28"/>
          <w:lang w:eastAsia="zh-CN"/>
        </w:rPr>
        <w:t>权及其对应分摊的国有建设用地使用权价值</w:t>
      </w:r>
      <w:r>
        <w:rPr>
          <w:rFonts w:hint="eastAsia" w:ascii="Times New Roman" w:hAnsi="Times New Roman" w:eastAsia="宋体" w:cs="Times New Roman"/>
          <w:b w:val="0"/>
          <w:bCs/>
          <w:szCs w:val="28"/>
          <w:lang w:val="en-US" w:eastAsia="zh-CN"/>
        </w:rPr>
        <w:t>、不可拆除或不宜拆除的装饰装修，</w:t>
      </w:r>
      <w:r>
        <w:rPr>
          <w:rFonts w:hint="eastAsia" w:hAnsi="宋体"/>
          <w:szCs w:val="28"/>
          <w:lang w:eastAsia="zh-CN"/>
        </w:rPr>
        <w:t>但不包含</w:t>
      </w:r>
      <w:r>
        <w:rPr>
          <w:rFonts w:hint="eastAsia" w:ascii="Times New Roman" w:hAnsi="Times New Roman" w:eastAsia="宋体" w:cs="Times New Roman"/>
          <w:bCs/>
          <w:szCs w:val="28"/>
          <w:lang w:val="en-US" w:eastAsia="zh-CN"/>
        </w:rPr>
        <w:t>室内动产、债权债务等价值</w:t>
      </w:r>
      <w:r>
        <w:rPr>
          <w:rFonts w:hint="eastAsia" w:hAnsi="宋体"/>
          <w:szCs w:val="28"/>
          <w:lang w:eastAsia="zh-CN"/>
        </w:rPr>
        <w:t>。</w:t>
      </w:r>
    </w:p>
    <w:p>
      <w:pPr>
        <w:pStyle w:val="27"/>
        <w:autoSpaceDE/>
        <w:autoSpaceDN/>
        <w:adjustRightInd/>
        <w:spacing w:before="156" w:beforeLines="50" w:after="156" w:afterLines="50" w:line="360" w:lineRule="auto"/>
        <w:ind w:firstLine="562"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
          <w:szCs w:val="28"/>
        </w:rPr>
        <w:t>价值时点：</w:t>
      </w:r>
      <w:r>
        <w:rPr>
          <w:rFonts w:hint="eastAsia" w:ascii="Times New Roman" w:hAnsi="Times New Roman" w:eastAsia="宋体" w:cs="Times New Roman"/>
          <w:bCs/>
          <w:szCs w:val="28"/>
        </w:rPr>
        <w:t>价值时点为</w:t>
      </w:r>
      <w:r>
        <w:rPr>
          <w:rFonts w:hint="eastAsia" w:ascii="Times New Roman" w:hAnsi="Times New Roman" w:eastAsia="宋体" w:cs="Times New Roman"/>
          <w:bCs/>
          <w:szCs w:val="28"/>
          <w:lang w:eastAsia="zh-CN"/>
        </w:rPr>
        <w:t>20</w:t>
      </w:r>
      <w:r>
        <w:rPr>
          <w:rFonts w:hint="eastAsia" w:ascii="Times New Roman" w:hAnsi="Times New Roman" w:eastAsia="宋体" w:cs="Times New Roman"/>
          <w:bCs/>
          <w:szCs w:val="28"/>
          <w:lang w:val="en-US" w:eastAsia="zh-CN"/>
        </w:rPr>
        <w:t>22</w:t>
      </w:r>
      <w:r>
        <w:rPr>
          <w:rFonts w:hint="eastAsia" w:ascii="Times New Roman" w:hAnsi="Times New Roman" w:eastAsia="宋体" w:cs="Times New Roman"/>
          <w:bCs/>
          <w:szCs w:val="28"/>
          <w:lang w:eastAsia="zh-CN"/>
        </w:rPr>
        <w:t>年</w:t>
      </w:r>
      <w:r>
        <w:rPr>
          <w:rFonts w:hint="eastAsia" w:ascii="Times New Roman" w:hAnsi="Times New Roman" w:eastAsia="宋体" w:cs="Times New Roman"/>
          <w:bCs/>
          <w:szCs w:val="28"/>
          <w:lang w:val="en-US" w:eastAsia="zh-CN"/>
        </w:rPr>
        <w:t>5</w:t>
      </w:r>
      <w:r>
        <w:rPr>
          <w:rFonts w:hint="eastAsia" w:ascii="Times New Roman" w:hAnsi="Times New Roman" w:eastAsia="宋体" w:cs="Times New Roman"/>
          <w:bCs/>
          <w:szCs w:val="28"/>
          <w:lang w:eastAsia="zh-CN"/>
        </w:rPr>
        <w:t>月</w:t>
      </w:r>
      <w:r>
        <w:rPr>
          <w:rFonts w:hint="eastAsia" w:ascii="Times New Roman" w:hAnsi="Times New Roman" w:eastAsia="宋体" w:cs="Times New Roman"/>
          <w:bCs/>
          <w:szCs w:val="28"/>
          <w:lang w:val="en-US" w:eastAsia="zh-CN"/>
        </w:rPr>
        <w:t>13</w:t>
      </w:r>
      <w:r>
        <w:rPr>
          <w:rFonts w:hint="eastAsia" w:ascii="Times New Roman" w:hAnsi="Times New Roman" w:eastAsia="宋体" w:cs="Times New Roman"/>
          <w:bCs/>
          <w:szCs w:val="28"/>
          <w:lang w:eastAsia="zh-CN"/>
        </w:rPr>
        <w:t>日</w:t>
      </w:r>
      <w:r>
        <w:rPr>
          <w:rFonts w:hint="eastAsia" w:ascii="Times New Roman" w:hAnsi="Times New Roman" w:eastAsia="宋体" w:cs="Times New Roman"/>
          <w:bCs/>
          <w:szCs w:val="28"/>
        </w:rPr>
        <w:t>，系</w:t>
      </w:r>
      <w:r>
        <w:rPr>
          <w:rFonts w:hint="eastAsia" w:ascii="Times New Roman" w:hAnsi="Times New Roman" w:eastAsia="宋体" w:cs="Times New Roman"/>
          <w:bCs/>
          <w:szCs w:val="28"/>
          <w:lang w:val="en-US" w:eastAsia="zh-CN"/>
        </w:rPr>
        <w:t>注册房地产估价师</w:t>
      </w:r>
      <w:r>
        <w:rPr>
          <w:rFonts w:hint="eastAsia" w:ascii="Times New Roman" w:hAnsi="Times New Roman" w:eastAsia="宋体" w:cs="Times New Roman"/>
          <w:bCs/>
          <w:szCs w:val="28"/>
        </w:rPr>
        <w:t>现场查勘之日。</w:t>
      </w:r>
    </w:p>
    <w:p>
      <w:pPr>
        <w:ind w:firstLine="560"/>
      </w:pPr>
      <w:r>
        <w:rPr>
          <w:rFonts w:hint="eastAsia" w:ascii="Times New Roman" w:hAnsi="Times New Roman" w:eastAsia="宋体" w:cs="Times New Roman"/>
          <w:b/>
          <w:szCs w:val="28"/>
        </w:rPr>
        <w:t>价值类型：</w:t>
      </w:r>
      <w:r>
        <w:rPr>
          <w:rFonts w:hint="eastAsia"/>
        </w:rPr>
        <w:t>本报告书提供的房地产价值是满足本报告假设限制条件下于价值时点的房地产市场价值。</w:t>
      </w:r>
    </w:p>
    <w:p>
      <w:pPr>
        <w:ind w:firstLine="560"/>
        <w:rPr>
          <w:rFonts w:hint="eastAsia" w:ascii="Times New Roman" w:hAnsi="Times New Roman" w:eastAsia="宋体" w:cs="Times New Roman"/>
          <w:bCs/>
          <w:szCs w:val="28"/>
          <w:lang w:eastAsia="zh-CN"/>
        </w:rPr>
      </w:pPr>
      <w:r>
        <w:rPr>
          <w:rFonts w:hint="eastAsia"/>
        </w:rPr>
        <w:t>市场价值是指估价对象经适当营销后，由熟悉情况、谨慎行事且不受强迫的交易双方，以公平交易方式在价值时点自愿进行交易的金额。</w:t>
      </w:r>
    </w:p>
    <w:p>
      <w:pPr>
        <w:pStyle w:val="27"/>
        <w:autoSpaceDE/>
        <w:autoSpaceDN/>
        <w:adjustRightInd/>
        <w:spacing w:before="156" w:beforeLines="50" w:after="156" w:afterLines="50" w:line="360" w:lineRule="auto"/>
        <w:ind w:firstLine="562" w:firstLineChars="200"/>
        <w:jc w:val="both"/>
        <w:textAlignment w:val="auto"/>
        <w:rPr>
          <w:rFonts w:hint="default" w:ascii="Times New Roman" w:hAnsi="Times New Roman" w:eastAsia="宋体" w:cs="Times New Roman"/>
          <w:bCs/>
          <w:szCs w:val="28"/>
          <w:lang w:val="en-US" w:eastAsia="zh-CN"/>
        </w:rPr>
      </w:pPr>
      <w:r>
        <w:rPr>
          <w:rFonts w:hint="eastAsia" w:ascii="Times New Roman" w:hAnsi="Times New Roman" w:eastAsia="宋体" w:cs="Times New Roman"/>
          <w:b/>
          <w:szCs w:val="28"/>
        </w:rPr>
        <w:t>估价方法：</w:t>
      </w:r>
      <w:r>
        <w:rPr>
          <w:rFonts w:hint="eastAsia" w:ascii="Times New Roman" w:hAnsi="Times New Roman" w:eastAsia="宋体" w:cs="Times New Roman"/>
          <w:bCs/>
          <w:szCs w:val="28"/>
          <w:lang w:val="en-US" w:eastAsia="zh-CN"/>
        </w:rPr>
        <w:t>比较法</w:t>
      </w:r>
    </w:p>
    <w:p>
      <w:pPr>
        <w:spacing w:before="156" w:beforeLines="50" w:after="156" w:afterLines="50" w:line="360" w:lineRule="auto"/>
        <w:ind w:firstLine="562" w:firstLineChars="200"/>
        <w:rPr>
          <w:rFonts w:hint="eastAsia" w:ascii="Times New Roman" w:hAnsi="Times New Roman" w:eastAsia="宋体" w:cs="Times New Roman"/>
          <w:b/>
          <w:bCs w:val="0"/>
          <w:szCs w:val="28"/>
        </w:rPr>
      </w:pPr>
      <w:r>
        <w:rPr>
          <w:rFonts w:hint="eastAsia" w:ascii="Times New Roman" w:hAnsi="Times New Roman" w:eastAsia="宋体" w:cs="Times New Roman"/>
          <w:b/>
          <w:szCs w:val="28"/>
        </w:rPr>
        <w:t>估价结果：</w:t>
      </w:r>
      <w:r>
        <w:rPr>
          <w:rFonts w:hint="eastAsia" w:ascii="Times New Roman" w:hAnsi="Times New Roman" w:eastAsia="宋体" w:cs="Times New Roman"/>
          <w:bCs/>
          <w:szCs w:val="28"/>
        </w:rPr>
        <w:t>我公司估价人员经过实地查勘和市场调查，遵照《中华人民共和国房地产管理法》及国家标准《房地产估价规范》等法律法规和技术标准，遵循估价原则，按照估价工作程序，采用</w:t>
      </w:r>
      <w:r>
        <w:rPr>
          <w:rFonts w:hint="eastAsia" w:ascii="Times New Roman" w:hAnsi="Times New Roman" w:eastAsia="宋体" w:cs="Times New Roman"/>
          <w:bCs/>
          <w:szCs w:val="28"/>
          <w:lang w:val="en-US" w:eastAsia="zh-CN"/>
        </w:rPr>
        <w:t>适当的估价方法</w:t>
      </w:r>
      <w:r>
        <w:rPr>
          <w:rFonts w:hint="eastAsia" w:ascii="Times New Roman" w:hAnsi="Times New Roman" w:eastAsia="宋体" w:cs="Times New Roman"/>
          <w:bCs/>
          <w:szCs w:val="28"/>
        </w:rPr>
        <w:t>对估价对象进行了全面细致的测算，并结合估价经验和对影响价值因素的分析，在满足本次估价的假设和限制条件下，确定估价对象于价值时点的</w:t>
      </w:r>
      <w:r>
        <w:rPr>
          <w:rFonts w:hint="eastAsia" w:ascii="Times New Roman" w:hAnsi="Times New Roman" w:eastAsia="宋体" w:cs="Times New Roman"/>
          <w:bCs/>
          <w:szCs w:val="28"/>
          <w:lang w:val="en-US" w:eastAsia="zh-CN"/>
        </w:rPr>
        <w:t>市场价值共计</w:t>
      </w:r>
      <w:r>
        <w:rPr>
          <w:rFonts w:hint="eastAsia" w:ascii="Times New Roman" w:hAnsi="Times New Roman" w:eastAsia="宋体" w:cs="Times New Roman"/>
          <w:bCs/>
          <w:szCs w:val="28"/>
        </w:rPr>
        <w:t>人民币</w:t>
      </w:r>
      <w:r>
        <w:rPr>
          <w:rFonts w:hint="eastAsia" w:ascii="Times New Roman" w:hAnsi="Times New Roman" w:eastAsia="宋体" w:cs="Times New Roman"/>
          <w:b/>
          <w:bCs w:val="0"/>
          <w:szCs w:val="28"/>
        </w:rPr>
        <w:t>（大写）</w:t>
      </w:r>
      <w:r>
        <w:rPr>
          <w:rFonts w:hint="eastAsia" w:ascii="Times New Roman" w:hAnsi="Times New Roman" w:eastAsia="宋体" w:cs="Times New Roman"/>
          <w:b/>
          <w:bCs w:val="0"/>
          <w:szCs w:val="28"/>
          <w:lang w:eastAsia="zh-CN"/>
        </w:rPr>
        <w:t>：</w:t>
      </w:r>
      <w:r>
        <w:rPr>
          <w:rFonts w:hint="eastAsia" w:ascii="宋体" w:hAnsi="宋体"/>
          <w:b/>
          <w:sz w:val="28"/>
          <w:szCs w:val="28"/>
          <w:lang w:val="en-US" w:eastAsia="zh-CN"/>
        </w:rPr>
        <w:t>伍拾万零壹仟壹佰捌拾玖</w:t>
      </w:r>
      <w:r>
        <w:rPr>
          <w:rFonts w:hint="eastAsia" w:hAnsi="宋体"/>
          <w:b/>
          <w:sz w:val="28"/>
          <w:szCs w:val="28"/>
          <w:lang w:val="en-US" w:eastAsia="zh-CN"/>
        </w:rPr>
        <w:t>元</w:t>
      </w:r>
      <w:r>
        <w:rPr>
          <w:rFonts w:hint="eastAsia" w:hAnsi="宋体"/>
          <w:b/>
          <w:sz w:val="28"/>
          <w:szCs w:val="28"/>
        </w:rPr>
        <w:t>整（</w:t>
      </w:r>
      <w:r>
        <w:rPr>
          <w:rFonts w:hAnsi="宋体"/>
          <w:b/>
          <w:sz w:val="28"/>
          <w:szCs w:val="28"/>
        </w:rPr>
        <w:t>￥</w:t>
      </w:r>
      <w:r>
        <w:rPr>
          <w:rFonts w:hint="default" w:hAnsi="宋体"/>
          <w:b/>
          <w:sz w:val="28"/>
          <w:szCs w:val="28"/>
          <w:lang w:val="en-US" w:eastAsia="zh-CN"/>
        </w:rPr>
        <w:t>501,189.00</w:t>
      </w:r>
      <w:r>
        <w:rPr>
          <w:rFonts w:hAnsi="宋体"/>
          <w:b/>
          <w:sz w:val="28"/>
          <w:szCs w:val="28"/>
        </w:rPr>
        <w:t>元）</w:t>
      </w:r>
      <w:r>
        <w:rPr>
          <w:rFonts w:hint="eastAsia" w:hAnsi="宋体"/>
          <w:b w:val="0"/>
          <w:bCs/>
          <w:sz w:val="28"/>
          <w:szCs w:val="28"/>
          <w:lang w:eastAsia="zh-CN"/>
        </w:rPr>
        <w:t>，</w:t>
      </w:r>
      <w:r>
        <w:rPr>
          <w:rFonts w:hint="eastAsia" w:hAnsi="宋体"/>
          <w:b/>
          <w:bCs w:val="0"/>
          <w:sz w:val="28"/>
          <w:szCs w:val="28"/>
          <w:lang w:val="en-US" w:eastAsia="zh-CN"/>
        </w:rPr>
        <w:t>综合评估单价为4,088.00元/平方米（取整至个位）</w:t>
      </w:r>
      <w:r>
        <w:rPr>
          <w:rFonts w:hint="eastAsia" w:ascii="Times New Roman" w:hAnsi="Times New Roman" w:eastAsia="宋体" w:cs="Times New Roman"/>
          <w:b/>
          <w:bCs w:val="0"/>
          <w:szCs w:val="28"/>
        </w:rPr>
        <w:t>。</w:t>
      </w:r>
    </w:p>
    <w:p>
      <w:pPr>
        <w:spacing w:before="156" w:beforeLines="50" w:after="156" w:afterLines="50" w:line="360" w:lineRule="auto"/>
        <w:ind w:firstLine="560" w:firstLineChars="200"/>
        <w:rPr>
          <w:rFonts w:hint="eastAsia" w:ascii="Times New Roman" w:hAnsi="Times New Roman" w:eastAsia="宋体" w:cs="Times New Roman"/>
          <w:bCs/>
          <w:szCs w:val="28"/>
        </w:rPr>
      </w:pPr>
      <w:r>
        <w:rPr>
          <w:rFonts w:hint="eastAsia" w:ascii="Times New Roman" w:hAnsi="Times New Roman" w:eastAsia="宋体" w:cs="Times New Roman"/>
          <w:bCs/>
          <w:szCs w:val="28"/>
        </w:rPr>
        <w:t>特别提示：</w:t>
      </w:r>
    </w:p>
    <w:p>
      <w:pPr>
        <w:pStyle w:val="2"/>
        <w:numPr>
          <w:ilvl w:val="0"/>
          <w:numId w:val="1"/>
        </w:numPr>
        <w:adjustRightInd/>
        <w:spacing w:line="360" w:lineRule="auto"/>
        <w:ind w:firstLine="560" w:firstLineChars="200"/>
        <w:jc w:val="both"/>
        <w:rPr>
          <w:rFonts w:hint="eastAsia" w:ascii="Times New Roman" w:hAnsi="Times New Roman"/>
          <w:sz w:val="28"/>
          <w:szCs w:val="28"/>
          <w:lang w:val="en-US" w:eastAsia="zh-CN"/>
        </w:rPr>
      </w:pPr>
      <w:r>
        <w:rPr>
          <w:rFonts w:hint="eastAsia" w:ascii="Times New Roman" w:hAnsi="Times New Roman"/>
          <w:sz w:val="28"/>
          <w:szCs w:val="28"/>
          <w:lang w:val="en-US" w:eastAsia="zh-CN"/>
        </w:rPr>
        <w:t>估价对象涉及查封等他项权利，</w:t>
      </w:r>
      <w:r>
        <w:rPr>
          <w:rFonts w:hint="eastAsia"/>
          <w:sz w:val="28"/>
          <w:szCs w:val="28"/>
          <w:lang w:eastAsia="zh-CN"/>
        </w:rPr>
        <w:t>结合本次估价目的，</w:t>
      </w:r>
      <w:r>
        <w:rPr>
          <w:rFonts w:hint="eastAsia" w:ascii="Times New Roman" w:hAnsi="Times New Roman"/>
          <w:sz w:val="28"/>
          <w:szCs w:val="28"/>
          <w:lang w:val="en-US" w:eastAsia="zh-CN"/>
        </w:rPr>
        <w:t>本次评估未考虑估价对象抵押、查封他项权利的限制对其估价结果的影响，提请报告使用者予以关注。</w:t>
      </w:r>
    </w:p>
    <w:p>
      <w:pPr>
        <w:numPr>
          <w:ilvl w:val="-1"/>
          <w:numId w:val="0"/>
        </w:numPr>
        <w:ind w:firstLine="560" w:firstLineChars="200"/>
        <w:rPr>
          <w:rFonts w:hint="default"/>
          <w:lang w:val="en-US" w:eastAsia="zh-CN"/>
        </w:rPr>
      </w:pPr>
      <w:r>
        <w:rPr>
          <w:rFonts w:hint="eastAsia" w:ascii="Times New Roman" w:hAnsi="Times New Roman"/>
          <w:sz w:val="28"/>
          <w:szCs w:val="28"/>
          <w:lang w:val="en-US" w:eastAsia="zh-CN"/>
        </w:rPr>
        <w:t>2、由于未能获取估价对象土地相关信息，根据委托人提供的资料，通过注册房地产估价师对该楼盘房屋进行调查走访，该小区楼盘属于商住房地产，本次评估假定估价对象土地使用权类型为出让，土地使用权类型地类（用途）为住宅前提下进行评估，提请报告使用者对估价对象权属状况予以关注</w:t>
      </w:r>
    </w:p>
    <w:p>
      <w:pPr>
        <w:pStyle w:val="8"/>
        <w:adjustRightInd/>
        <w:snapToGrid/>
        <w:spacing w:line="360" w:lineRule="auto"/>
        <w:ind w:firstLine="560" w:firstLineChars="200"/>
        <w:jc w:val="both"/>
        <w:rPr>
          <w:rFonts w:hint="eastAsia" w:ascii="Times New Roman" w:hAnsi="Times New Roman" w:eastAsia="宋体" w:cs="Times New Roman"/>
          <w:bCs/>
          <w:sz w:val="28"/>
          <w:szCs w:val="28"/>
          <w:lang w:val="en-US" w:eastAsia="zh-CN" w:bidi="ar-SA"/>
        </w:rPr>
      </w:pPr>
      <w:r>
        <w:rPr>
          <w:rFonts w:hint="eastAsia" w:ascii="Times New Roman" w:hAnsi="Times New Roman" w:eastAsia="宋体" w:cs="Times New Roman"/>
          <w:bCs/>
          <w:sz w:val="28"/>
          <w:szCs w:val="28"/>
          <w:lang w:val="en-US" w:eastAsia="zh-CN" w:bidi="ar-SA"/>
        </w:rPr>
        <w:t>3、委托人或者估价报告使用人应当按照法律规定和估价报告载明的使用范围使用估价报告，违反该规定使用估价报告的，房地产估价机构和注册房地产估价师依法不承担责任。</w:t>
      </w:r>
    </w:p>
    <w:p>
      <w:pPr>
        <w:pStyle w:val="8"/>
        <w:adjustRightInd/>
        <w:snapToGrid/>
        <w:spacing w:line="360" w:lineRule="auto"/>
        <w:ind w:firstLine="560" w:firstLineChars="200"/>
        <w:jc w:val="both"/>
        <w:rPr>
          <w:rFonts w:hint="eastAsia" w:ascii="Times New Roman" w:hAnsi="Times New Roman" w:eastAsia="宋体" w:cs="Times New Roman"/>
          <w:bCs/>
          <w:sz w:val="28"/>
          <w:szCs w:val="28"/>
          <w:lang w:val="en-US" w:eastAsia="zh-CN" w:bidi="ar-SA"/>
        </w:rPr>
      </w:pPr>
      <w:r>
        <w:rPr>
          <w:rFonts w:hint="eastAsia" w:ascii="Times New Roman" w:hAnsi="Times New Roman" w:eastAsia="宋体" w:cs="Times New Roman"/>
          <w:bCs/>
          <w:sz w:val="28"/>
          <w:szCs w:val="28"/>
          <w:lang w:val="en-US" w:eastAsia="zh-CN" w:bidi="ar-SA"/>
        </w:rPr>
        <w:t>4、估价结果不等于估价对象处置可实现的成交价，不应被认为是估价对象处置成交价的保证。</w:t>
      </w:r>
    </w:p>
    <w:p>
      <w:pPr>
        <w:pStyle w:val="8"/>
        <w:adjustRightInd/>
        <w:snapToGrid/>
        <w:spacing w:line="360" w:lineRule="auto"/>
        <w:ind w:firstLine="560" w:firstLineChars="200"/>
        <w:jc w:val="both"/>
        <w:rPr>
          <w:rFonts w:hint="eastAsia" w:ascii="Times New Roman" w:hAnsi="Times New Roman" w:eastAsia="宋体" w:cs="Times New Roman"/>
          <w:bCs/>
          <w:sz w:val="30"/>
          <w:szCs w:val="30"/>
          <w:lang w:val="en-US" w:eastAsia="zh-CN" w:bidi="ar-SA"/>
        </w:rPr>
      </w:pPr>
      <w:r>
        <w:rPr>
          <w:rFonts w:hint="eastAsia" w:ascii="Times New Roman" w:hAnsi="Times New Roman" w:eastAsia="宋体" w:cs="Times New Roman"/>
          <w:bCs/>
          <w:sz w:val="28"/>
          <w:szCs w:val="28"/>
          <w:lang w:val="en-US" w:eastAsia="zh-CN" w:bidi="ar-SA"/>
        </w:rPr>
        <w:t>5、根据《最高人民法院关于人民法院确定财产处置参考价若干问题的规定》，当事人、利害关系人认为评估报告具有（一）财产基本信息错误；（二）超出财产范围或者遗漏财产；（三）评估机构或者评估人员不具备相应评估资质；（四）评估程序严重违法等情形之一的，可以在收到报告后五日内提出书面异议，</w:t>
      </w:r>
      <w:r>
        <w:rPr>
          <w:rFonts w:hint="eastAsia" w:ascii="Times New Roman" w:hAnsi="Times New Roman" w:eastAsia="宋体" w:cs="Times New Roman"/>
          <w:bCs/>
          <w:sz w:val="30"/>
          <w:szCs w:val="30"/>
          <w:lang w:val="en-US" w:eastAsia="zh-CN" w:bidi="ar-SA"/>
        </w:rPr>
        <w:t>若在此期间内未予书面回复，我公司视为对估价报告无异议。</w:t>
      </w:r>
    </w:p>
    <w:p>
      <w:pPr>
        <w:pStyle w:val="8"/>
        <w:adjustRightInd/>
        <w:snapToGrid/>
        <w:spacing w:line="360" w:lineRule="auto"/>
        <w:ind w:firstLine="560" w:firstLineChars="200"/>
        <w:jc w:val="both"/>
        <w:rPr>
          <w:rFonts w:hint="eastAsia" w:ascii="Times New Roman" w:hAnsi="Times New Roman" w:eastAsia="宋体" w:cs="Times New Roman"/>
          <w:bCs/>
          <w:sz w:val="28"/>
          <w:szCs w:val="28"/>
          <w:lang w:val="en-US" w:eastAsia="zh-CN" w:bidi="ar-SA"/>
        </w:rPr>
      </w:pPr>
      <w:r>
        <w:rPr>
          <w:rFonts w:hint="eastAsia" w:ascii="Times New Roman" w:hAnsi="Times New Roman" w:eastAsia="宋体" w:cs="Times New Roman"/>
          <w:bCs/>
          <w:sz w:val="28"/>
          <w:szCs w:val="28"/>
          <w:lang w:val="en-US" w:eastAsia="zh-CN" w:bidi="ar-SA"/>
        </w:rPr>
        <w:t>6、本机构提醒报告使用方在使用本估价结论时，应认真阅读本报告书全文，提请关注本报告各种假设和限制条件等对该估价结果的影响。</w:t>
      </w:r>
    </w:p>
    <w:p>
      <w:pPr>
        <w:pStyle w:val="8"/>
        <w:snapToGrid w:val="0"/>
        <w:spacing w:line="560" w:lineRule="exact"/>
        <w:ind w:firstLine="560" w:firstLineChars="200"/>
        <w:rPr>
          <w:rFonts w:hint="eastAsia" w:ascii="Times New Roman" w:hAnsi="Times New Roman" w:eastAsia="宋体" w:cs="Times New Roman"/>
          <w:bCs/>
          <w:sz w:val="28"/>
          <w:szCs w:val="28"/>
          <w:lang w:val="en-US" w:eastAsia="zh-CN" w:bidi="ar-SA"/>
        </w:rPr>
      </w:pPr>
    </w:p>
    <w:p>
      <w:pPr>
        <w:pStyle w:val="8"/>
        <w:snapToGrid w:val="0"/>
        <w:spacing w:line="560" w:lineRule="exact"/>
        <w:ind w:firstLine="560" w:firstLineChars="200"/>
        <w:rPr>
          <w:rFonts w:hint="eastAsia" w:ascii="Times New Roman" w:hAnsi="Times New Roman" w:eastAsia="宋体" w:cs="Times New Roman"/>
          <w:bCs/>
          <w:sz w:val="28"/>
          <w:szCs w:val="28"/>
          <w:lang w:val="en-US" w:eastAsia="zh-CN" w:bidi="ar-SA"/>
        </w:rPr>
      </w:pPr>
    </w:p>
    <w:p>
      <w:pPr>
        <w:pStyle w:val="8"/>
        <w:snapToGrid w:val="0"/>
        <w:spacing w:line="560" w:lineRule="exact"/>
        <w:ind w:firstLine="560" w:firstLineChars="200"/>
        <w:rPr>
          <w:rFonts w:hint="eastAsia" w:ascii="Times New Roman" w:hAnsi="Times New Roman" w:eastAsia="宋体" w:cs="Times New Roman"/>
          <w:bCs/>
          <w:sz w:val="28"/>
          <w:szCs w:val="28"/>
          <w:lang w:val="en-US" w:eastAsia="zh-CN" w:bidi="ar-SA"/>
        </w:rPr>
      </w:pPr>
    </w:p>
    <w:p>
      <w:pPr>
        <w:pStyle w:val="27"/>
        <w:spacing w:before="156" w:beforeLines="50" w:after="156" w:afterLines="50" w:line="360" w:lineRule="auto"/>
        <w:ind w:firstLine="3360" w:firstLineChars="1200"/>
        <w:rPr>
          <w:rFonts w:hint="eastAsia" w:ascii="Times New Roman" w:hAnsi="Times New Roman" w:eastAsia="宋体" w:cs="Times New Roman"/>
          <w:bCs/>
          <w:szCs w:val="28"/>
          <w:lang w:eastAsia="zh-CN"/>
        </w:rPr>
      </w:pPr>
      <w:r>
        <w:rPr>
          <w:rFonts w:hint="eastAsia" w:hAnsi="宋体" w:eastAsia="宋体"/>
          <w:szCs w:val="28"/>
          <w:lang w:eastAsia="zh-CN"/>
        </w:rPr>
        <w:t>贵州瑞华亚太房地产土地资产评估有限公司</w:t>
      </w:r>
    </w:p>
    <w:p>
      <w:pPr>
        <w:wordWrap w:val="0"/>
        <w:spacing w:line="360" w:lineRule="auto"/>
        <w:ind w:right="1120" w:firstLine="5040" w:firstLineChars="1800"/>
        <w:rPr>
          <w:rFonts w:hAnsi="宋体"/>
          <w:szCs w:val="28"/>
        </w:rPr>
      </w:pPr>
      <w:r>
        <w:rPr>
          <w:rFonts w:hAnsi="宋体"/>
          <w:szCs w:val="28"/>
        </w:rPr>
        <w:t>法定代表人：</w:t>
      </w:r>
    </w:p>
    <w:p>
      <w:pPr>
        <w:ind w:right="560"/>
        <w:jc w:val="center"/>
        <w:rPr>
          <w:rFonts w:hint="eastAsia" w:hAnsi="宋体"/>
          <w:szCs w:val="28"/>
          <w:lang w:eastAsia="zh-CN"/>
        </w:rPr>
        <w:sectPr>
          <w:footerReference r:id="rId5" w:type="first"/>
          <w:headerReference r:id="rId3" w:type="default"/>
          <w:footerReference r:id="rId4" w:type="default"/>
          <w:pgSz w:w="11906" w:h="16838"/>
          <w:pgMar w:top="1418" w:right="1418" w:bottom="1134" w:left="1418" w:header="851" w:footer="851" w:gutter="0"/>
          <w:pgBorders>
            <w:top w:val="none" w:sz="0" w:space="0"/>
            <w:left w:val="none" w:sz="0" w:space="0"/>
            <w:bottom w:val="none" w:sz="0" w:space="0"/>
            <w:right w:val="none" w:sz="0" w:space="0"/>
          </w:pgBorders>
          <w:pgNumType w:fmt="decimal" w:start="1"/>
          <w:cols w:space="720" w:num="1"/>
          <w:docGrid w:type="lines" w:linePitch="312" w:charSpace="0"/>
        </w:sectPr>
      </w:pPr>
      <w:r>
        <w:rPr>
          <w:rFonts w:hint="eastAsia" w:hAnsi="宋体"/>
          <w:szCs w:val="28"/>
        </w:rPr>
        <w:t xml:space="preserve"> </w:t>
      </w:r>
      <w:r>
        <w:rPr>
          <w:rFonts w:hint="eastAsia" w:hAnsi="宋体"/>
          <w:szCs w:val="28"/>
          <w:lang w:val="en-US" w:eastAsia="zh-CN"/>
        </w:rPr>
        <w:t xml:space="preserve"> </w:t>
      </w:r>
      <w:r>
        <w:rPr>
          <w:rFonts w:hint="eastAsia" w:hAnsi="宋体"/>
          <w:szCs w:val="28"/>
        </w:rPr>
        <w:t xml:space="preserve">                     </w:t>
      </w:r>
      <w:r>
        <w:rPr>
          <w:rFonts w:hint="eastAsia" w:hAnsi="宋体"/>
          <w:szCs w:val="28"/>
          <w:lang w:val="en-US" w:eastAsia="zh-CN"/>
        </w:rPr>
        <w:t xml:space="preserve">    </w:t>
      </w:r>
      <w:r>
        <w:rPr>
          <w:rFonts w:hint="eastAsia" w:hAnsi="宋体"/>
          <w:szCs w:val="28"/>
          <w:lang w:eastAsia="zh-CN"/>
        </w:rPr>
        <w:t>二○二</w:t>
      </w:r>
      <w:r>
        <w:rPr>
          <w:rFonts w:hint="eastAsia" w:hAnsi="宋体"/>
          <w:szCs w:val="28"/>
          <w:lang w:val="en-US" w:eastAsia="zh-CN"/>
        </w:rPr>
        <w:t>二</w:t>
      </w:r>
      <w:r>
        <w:rPr>
          <w:rFonts w:hint="eastAsia" w:hAnsi="宋体"/>
          <w:szCs w:val="28"/>
          <w:lang w:eastAsia="zh-CN"/>
        </w:rPr>
        <w:t>年</w:t>
      </w:r>
      <w:r>
        <w:rPr>
          <w:rFonts w:hint="eastAsia" w:hAnsi="宋体"/>
          <w:szCs w:val="28"/>
          <w:lang w:val="en-US" w:eastAsia="zh-CN"/>
        </w:rPr>
        <w:t>五</w:t>
      </w:r>
      <w:r>
        <w:rPr>
          <w:rFonts w:hint="eastAsia" w:hAnsi="宋体"/>
          <w:szCs w:val="28"/>
          <w:lang w:eastAsia="zh-CN"/>
        </w:rPr>
        <w:t>月</w:t>
      </w:r>
      <w:r>
        <w:rPr>
          <w:rFonts w:hint="eastAsia" w:hAnsi="宋体"/>
          <w:szCs w:val="28"/>
          <w:lang w:val="en-US" w:eastAsia="zh-CN"/>
        </w:rPr>
        <w:t>二十五</w:t>
      </w:r>
      <w:r>
        <w:rPr>
          <w:rFonts w:hint="eastAsia" w:hAnsi="宋体"/>
          <w:szCs w:val="28"/>
          <w:lang w:eastAsia="zh-CN"/>
        </w:rPr>
        <w:t>日</w:t>
      </w:r>
    </w:p>
    <w:p>
      <w:pPr>
        <w:spacing w:line="360" w:lineRule="auto"/>
        <w:ind w:firstLine="0" w:firstLineChars="0"/>
        <w:jc w:val="center"/>
        <w:rPr>
          <w:rFonts w:ascii="宋体" w:hAnsi="宋体" w:eastAsiaTheme="minorEastAsia" w:cstheme="minorBidi"/>
          <w:color w:val="000000"/>
          <w:sz w:val="28"/>
          <w:szCs w:val="44"/>
          <w:lang w:val="zh-CN" w:eastAsia="zh-CN" w:bidi="ar-SA"/>
        </w:rPr>
      </w:pPr>
      <w:bookmarkStart w:id="24" w:name="_Toc22251"/>
      <w:r>
        <mc:AlternateContent>
          <mc:Choice Requires="wps">
            <w:drawing>
              <wp:anchor distT="0" distB="0" distL="114300" distR="114300" simplePos="0" relativeHeight="251659264" behindDoc="0" locked="0" layoutInCell="1" allowOverlap="1">
                <wp:simplePos x="0" y="0"/>
                <wp:positionH relativeFrom="column">
                  <wp:posOffset>-90805</wp:posOffset>
                </wp:positionH>
                <wp:positionV relativeFrom="paragraph">
                  <wp:posOffset>387350</wp:posOffset>
                </wp:positionV>
                <wp:extent cx="5924550" cy="0"/>
                <wp:effectExtent l="0" t="19050" r="0" b="19050"/>
                <wp:wrapNone/>
                <wp:docPr id="5" name="自选图形 2"/>
                <wp:cNvGraphicFramePr/>
                <a:graphic xmlns:a="http://schemas.openxmlformats.org/drawingml/2006/main">
                  <a:graphicData uri="http://schemas.microsoft.com/office/word/2010/wordprocessingShape">
                    <wps:wsp>
                      <wps:cNvCnPr/>
                      <wps:spPr>
                        <a:xfrm>
                          <a:off x="0" y="0"/>
                          <a:ext cx="5924550" cy="0"/>
                        </a:xfrm>
                        <a:prstGeom prst="straightConnector1">
                          <a:avLst/>
                        </a:prstGeom>
                        <a:ln w="38100" cap="flat" cmpd="sng">
                          <a:solidFill>
                            <a:srgbClr val="00B050"/>
                          </a:solidFill>
                          <a:prstDash val="solid"/>
                          <a:headEnd type="none" w="med" len="med"/>
                          <a:tailEnd type="none" w="med" len="med"/>
                        </a:ln>
                        <a:effectLst/>
                      </wps:spPr>
                      <wps:bodyPr/>
                    </wps:wsp>
                  </a:graphicData>
                </a:graphic>
              </wp:anchor>
            </w:drawing>
          </mc:Choice>
          <mc:Fallback>
            <w:pict>
              <v:shape id="自选图形 2" o:spid="_x0000_s1026" o:spt="32" type="#_x0000_t32" style="position:absolute;left:0pt;margin-left:-7.15pt;margin-top:30.5pt;height:0pt;width:466.5pt;z-index:251659264;mso-width-relative:page;mso-height-relative:page;" filled="f" stroked="t" coordsize="21600,21600" o:gfxdata="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a9roLWAAAACQEAAA8A&#10;AAAAAAAAAQAgAAAAIgAAAGRycy9kb3ducmV2LnhtbFBLAQIUABQAAAAIAIdO4kDSUQj+4AEAAKQD&#10;AAAOAAAAAAAAAAEAIAAAACUBAABkcnMvZTJvRG9jLnhtbFBLBQYAAAAABgAGAFkBAAB3BQAAAAA=&#10;">
                <v:fill on="f" focussize="0,0"/>
                <v:stroke weight="3pt" color="#00B050" joinstyle="round"/>
                <v:imagedata o:title=""/>
                <o:lock v:ext="edit" aspectratio="f"/>
              </v:shape>
            </w:pict>
          </mc:Fallback>
        </mc:AlternateContent>
      </w:r>
      <w:r>
        <w:rPr>
          <w:rFonts w:hAnsi="宋体"/>
          <w:b/>
          <w:bCs/>
          <w:color w:val="000000"/>
          <w:sz w:val="44"/>
          <w:szCs w:val="44"/>
          <w:lang w:val="zh-CN"/>
        </w:rPr>
        <w:t>目</w:t>
      </w:r>
      <w:r>
        <w:rPr>
          <w:rFonts w:hint="eastAsia" w:hAnsi="宋体"/>
          <w:b/>
          <w:bCs/>
          <w:color w:val="000000"/>
          <w:sz w:val="44"/>
          <w:szCs w:val="44"/>
        </w:rPr>
        <w:t xml:space="preserve">   </w:t>
      </w:r>
      <w:r>
        <w:rPr>
          <w:rFonts w:hAnsi="宋体"/>
          <w:b/>
          <w:bCs/>
          <w:color w:val="000000"/>
          <w:sz w:val="44"/>
          <w:szCs w:val="44"/>
          <w:lang w:val="zh-CN"/>
        </w:rPr>
        <w:t>录</w:t>
      </w:r>
      <w:bookmarkEnd w:id="24"/>
      <w:r>
        <w:rPr>
          <w:rFonts w:hAnsi="宋体"/>
          <w:color w:val="000000"/>
          <w:sz w:val="44"/>
          <w:szCs w:val="44"/>
          <w:lang w:val="zh-CN"/>
        </w:rPr>
        <w:fldChar w:fldCharType="begin"/>
      </w:r>
      <w:r>
        <w:rPr>
          <w:rFonts w:hAnsi="宋体"/>
          <w:color w:val="000000"/>
          <w:sz w:val="44"/>
          <w:szCs w:val="44"/>
          <w:lang w:val="zh-CN"/>
        </w:rPr>
        <w:instrText xml:space="preserve">TOC \o "1-3" \h \u </w:instrText>
      </w:r>
      <w:r>
        <w:rPr>
          <w:rFonts w:hAnsi="宋体"/>
          <w:color w:val="000000"/>
          <w:sz w:val="44"/>
          <w:szCs w:val="44"/>
          <w:lang w:val="zh-CN"/>
        </w:rPr>
        <w:fldChar w:fldCharType="separate"/>
      </w:r>
    </w:p>
    <w:p>
      <w:pPr>
        <w:pStyle w:val="14"/>
        <w:tabs>
          <w:tab w:val="right" w:leader="dot" w:pos="9070"/>
        </w:tabs>
      </w:pPr>
      <w:r>
        <w:rPr>
          <w:rFonts w:hAnsi="宋体"/>
          <w:color w:val="000000"/>
          <w:szCs w:val="44"/>
          <w:lang w:val="zh-CN"/>
        </w:rPr>
        <w:fldChar w:fldCharType="begin"/>
      </w:r>
      <w:r>
        <w:rPr>
          <w:rFonts w:hAnsi="宋体"/>
          <w:szCs w:val="44"/>
          <w:lang w:val="zh-CN"/>
        </w:rPr>
        <w:instrText xml:space="preserve"> HYPERLINK \l _Toc29161 </w:instrText>
      </w:r>
      <w:r>
        <w:rPr>
          <w:rFonts w:hAnsi="宋体"/>
          <w:szCs w:val="44"/>
          <w:lang w:val="zh-CN"/>
        </w:rPr>
        <w:fldChar w:fldCharType="separate"/>
      </w:r>
      <w:r>
        <w:t>估价师声明</w:t>
      </w:r>
      <w:r>
        <w:tab/>
      </w:r>
      <w:r>
        <w:fldChar w:fldCharType="begin"/>
      </w:r>
      <w:r>
        <w:instrText xml:space="preserve"> PAGEREF _Toc29161 </w:instrText>
      </w:r>
      <w:r>
        <w:fldChar w:fldCharType="separate"/>
      </w:r>
      <w:r>
        <w:t>1</w:t>
      </w:r>
      <w:r>
        <w:fldChar w:fldCharType="end"/>
      </w:r>
      <w:r>
        <w:rPr>
          <w:rFonts w:hAnsi="宋体"/>
          <w:color w:val="000000"/>
          <w:szCs w:val="44"/>
          <w:lang w:val="zh-CN"/>
        </w:rPr>
        <w:fldChar w:fldCharType="end"/>
      </w:r>
    </w:p>
    <w:p>
      <w:pPr>
        <w:pStyle w:val="14"/>
        <w:tabs>
          <w:tab w:val="right" w:leader="dot" w:pos="9070"/>
        </w:tabs>
      </w:pPr>
      <w:r>
        <w:rPr>
          <w:rFonts w:hAnsi="宋体"/>
          <w:color w:val="000000"/>
          <w:szCs w:val="44"/>
          <w:lang w:val="zh-CN"/>
        </w:rPr>
        <w:fldChar w:fldCharType="begin"/>
      </w:r>
      <w:r>
        <w:rPr>
          <w:rFonts w:hAnsi="宋体"/>
          <w:szCs w:val="44"/>
          <w:lang w:val="zh-CN"/>
        </w:rPr>
        <w:instrText xml:space="preserve"> HYPERLINK \l _Toc5901 </w:instrText>
      </w:r>
      <w:r>
        <w:rPr>
          <w:rFonts w:hAnsi="宋体"/>
          <w:szCs w:val="44"/>
          <w:lang w:val="zh-CN"/>
        </w:rPr>
        <w:fldChar w:fldCharType="separate"/>
      </w:r>
      <w:r>
        <w:rPr>
          <w:rFonts w:hint="eastAsia"/>
        </w:rPr>
        <w:t>估价的假设和限制条件</w:t>
      </w:r>
      <w:r>
        <w:tab/>
      </w:r>
      <w:r>
        <w:fldChar w:fldCharType="begin"/>
      </w:r>
      <w:r>
        <w:instrText xml:space="preserve"> PAGEREF _Toc5901 </w:instrText>
      </w:r>
      <w:r>
        <w:fldChar w:fldCharType="separate"/>
      </w:r>
      <w:r>
        <w:t>2</w:t>
      </w:r>
      <w:r>
        <w:fldChar w:fldCharType="end"/>
      </w:r>
      <w:r>
        <w:rPr>
          <w:rFonts w:hAnsi="宋体"/>
          <w:color w:val="000000"/>
          <w:szCs w:val="44"/>
          <w:lang w:val="zh-CN"/>
        </w:rPr>
        <w:fldChar w:fldCharType="end"/>
      </w:r>
    </w:p>
    <w:p>
      <w:pPr>
        <w:pStyle w:val="14"/>
        <w:tabs>
          <w:tab w:val="right" w:leader="dot" w:pos="9070"/>
        </w:tabs>
      </w:pPr>
      <w:r>
        <w:rPr>
          <w:rFonts w:hAnsi="宋体"/>
          <w:color w:val="000000"/>
          <w:szCs w:val="44"/>
          <w:lang w:val="zh-CN"/>
        </w:rPr>
        <w:fldChar w:fldCharType="begin"/>
      </w:r>
      <w:r>
        <w:rPr>
          <w:rFonts w:hAnsi="宋体"/>
          <w:szCs w:val="44"/>
          <w:lang w:val="zh-CN"/>
        </w:rPr>
        <w:instrText xml:space="preserve"> HYPERLINK \l _Toc3762 </w:instrText>
      </w:r>
      <w:r>
        <w:rPr>
          <w:rFonts w:hAnsi="宋体"/>
          <w:szCs w:val="44"/>
          <w:lang w:val="zh-CN"/>
        </w:rPr>
        <w:fldChar w:fldCharType="separate"/>
      </w:r>
      <w:r>
        <w:rPr>
          <w:rFonts w:hint="eastAsia" w:hAnsi="宋体"/>
          <w:spacing w:val="40"/>
        </w:rPr>
        <w:t>房地产估价结果报告</w:t>
      </w:r>
      <w:r>
        <w:tab/>
      </w:r>
      <w:r>
        <w:fldChar w:fldCharType="begin"/>
      </w:r>
      <w:r>
        <w:instrText xml:space="preserve"> PAGEREF _Toc3762 </w:instrText>
      </w:r>
      <w:r>
        <w:fldChar w:fldCharType="separate"/>
      </w:r>
      <w:r>
        <w:t>5</w:t>
      </w:r>
      <w:r>
        <w:fldChar w:fldCharType="end"/>
      </w:r>
      <w:r>
        <w:rPr>
          <w:rFonts w:hAnsi="宋体"/>
          <w:color w:val="000000"/>
          <w:szCs w:val="44"/>
          <w:lang w:val="zh-CN"/>
        </w:rPr>
        <w:fldChar w:fldCharType="end"/>
      </w:r>
    </w:p>
    <w:p>
      <w:pPr>
        <w:pStyle w:val="14"/>
        <w:tabs>
          <w:tab w:val="right" w:leader="dot" w:pos="9070"/>
        </w:tabs>
        <w:ind w:firstLine="560" w:firstLineChars="200"/>
      </w:pPr>
      <w:r>
        <w:rPr>
          <w:rFonts w:hAnsi="宋体"/>
          <w:color w:val="000000"/>
          <w:szCs w:val="44"/>
          <w:lang w:val="zh-CN"/>
        </w:rPr>
        <w:fldChar w:fldCharType="begin"/>
      </w:r>
      <w:r>
        <w:rPr>
          <w:rFonts w:hAnsi="宋体"/>
          <w:szCs w:val="44"/>
          <w:lang w:val="zh-CN"/>
        </w:rPr>
        <w:instrText xml:space="preserve"> HYPERLINK \l _Toc12290 </w:instrText>
      </w:r>
      <w:r>
        <w:rPr>
          <w:rFonts w:hAnsi="宋体"/>
          <w:szCs w:val="44"/>
          <w:lang w:val="zh-CN"/>
        </w:rPr>
        <w:fldChar w:fldCharType="separate"/>
      </w:r>
      <w:r>
        <w:rPr>
          <w:rFonts w:hint="default" w:ascii="宋体" w:hAnsiTheme="minorHAnsi" w:eastAsiaTheme="minorEastAsia" w:cstheme="minorBidi"/>
          <w:szCs w:val="28"/>
        </w:rPr>
        <w:t>一、估价委托人</w:t>
      </w:r>
      <w:r>
        <w:tab/>
      </w:r>
      <w:r>
        <w:fldChar w:fldCharType="begin"/>
      </w:r>
      <w:r>
        <w:instrText xml:space="preserve"> PAGEREF _Toc12290 </w:instrText>
      </w:r>
      <w:r>
        <w:fldChar w:fldCharType="separate"/>
      </w:r>
      <w:r>
        <w:t>5</w:t>
      </w:r>
      <w:r>
        <w:fldChar w:fldCharType="end"/>
      </w:r>
      <w:r>
        <w:rPr>
          <w:rFonts w:hAnsi="宋体"/>
          <w:color w:val="000000"/>
          <w:szCs w:val="44"/>
          <w:lang w:val="zh-CN"/>
        </w:rPr>
        <w:fldChar w:fldCharType="end"/>
      </w:r>
    </w:p>
    <w:p>
      <w:pPr>
        <w:pStyle w:val="14"/>
        <w:tabs>
          <w:tab w:val="right" w:leader="dot" w:pos="9070"/>
        </w:tabs>
        <w:ind w:firstLine="560" w:firstLineChars="200"/>
      </w:pPr>
      <w:r>
        <w:rPr>
          <w:rFonts w:hAnsi="宋体"/>
          <w:color w:val="000000"/>
          <w:szCs w:val="44"/>
          <w:lang w:val="zh-CN"/>
        </w:rPr>
        <w:fldChar w:fldCharType="begin"/>
      </w:r>
      <w:r>
        <w:rPr>
          <w:rFonts w:hAnsi="宋体"/>
          <w:szCs w:val="44"/>
          <w:lang w:val="zh-CN"/>
        </w:rPr>
        <w:instrText xml:space="preserve"> HYPERLINK \l _Toc15112 </w:instrText>
      </w:r>
      <w:r>
        <w:rPr>
          <w:rFonts w:hAnsi="宋体"/>
          <w:szCs w:val="44"/>
          <w:lang w:val="zh-CN"/>
        </w:rPr>
        <w:fldChar w:fldCharType="separate"/>
      </w:r>
      <w:r>
        <w:rPr>
          <w:rFonts w:hint="default" w:ascii="宋体" w:hAnsiTheme="minorHAnsi" w:eastAsiaTheme="minorEastAsia" w:cstheme="minorBidi"/>
          <w:szCs w:val="28"/>
        </w:rPr>
        <w:t>二、房地产估价机构</w:t>
      </w:r>
      <w:r>
        <w:tab/>
      </w:r>
      <w:r>
        <w:fldChar w:fldCharType="begin"/>
      </w:r>
      <w:r>
        <w:instrText xml:space="preserve"> PAGEREF _Toc15112 </w:instrText>
      </w:r>
      <w:r>
        <w:fldChar w:fldCharType="separate"/>
      </w:r>
      <w:r>
        <w:t>5</w:t>
      </w:r>
      <w:r>
        <w:fldChar w:fldCharType="end"/>
      </w:r>
      <w:r>
        <w:rPr>
          <w:rFonts w:hAnsi="宋体"/>
          <w:color w:val="000000"/>
          <w:szCs w:val="44"/>
          <w:lang w:val="zh-CN"/>
        </w:rPr>
        <w:fldChar w:fldCharType="end"/>
      </w:r>
    </w:p>
    <w:p>
      <w:pPr>
        <w:pStyle w:val="14"/>
        <w:tabs>
          <w:tab w:val="right" w:leader="dot" w:pos="9070"/>
        </w:tabs>
        <w:ind w:firstLine="560" w:firstLineChars="200"/>
      </w:pPr>
      <w:r>
        <w:rPr>
          <w:rFonts w:hAnsi="宋体"/>
          <w:color w:val="000000"/>
          <w:szCs w:val="44"/>
          <w:lang w:val="zh-CN"/>
        </w:rPr>
        <w:fldChar w:fldCharType="begin"/>
      </w:r>
      <w:r>
        <w:rPr>
          <w:rFonts w:hAnsi="宋体"/>
          <w:szCs w:val="44"/>
          <w:lang w:val="zh-CN"/>
        </w:rPr>
        <w:instrText xml:space="preserve"> HYPERLINK \l _Toc30214 </w:instrText>
      </w:r>
      <w:r>
        <w:rPr>
          <w:rFonts w:hAnsi="宋体"/>
          <w:szCs w:val="44"/>
          <w:lang w:val="zh-CN"/>
        </w:rPr>
        <w:fldChar w:fldCharType="separate"/>
      </w:r>
      <w:r>
        <w:rPr>
          <w:rFonts w:hint="default" w:ascii="宋体" w:hAnsiTheme="minorHAnsi" w:eastAsiaTheme="minorEastAsia" w:cstheme="minorBidi"/>
          <w:szCs w:val="28"/>
          <w:lang w:val="en-US" w:eastAsia="zh-CN"/>
        </w:rPr>
        <w:t>三</w:t>
      </w:r>
      <w:r>
        <w:rPr>
          <w:rFonts w:hint="default" w:ascii="宋体" w:hAnsiTheme="minorHAnsi" w:eastAsiaTheme="minorEastAsia" w:cstheme="minorBidi"/>
          <w:szCs w:val="28"/>
        </w:rPr>
        <w:t>、估价目的</w:t>
      </w:r>
      <w:r>
        <w:tab/>
      </w:r>
      <w:r>
        <w:fldChar w:fldCharType="begin"/>
      </w:r>
      <w:r>
        <w:instrText xml:space="preserve"> PAGEREF _Toc30214 </w:instrText>
      </w:r>
      <w:r>
        <w:fldChar w:fldCharType="separate"/>
      </w:r>
      <w:r>
        <w:t>5</w:t>
      </w:r>
      <w:r>
        <w:fldChar w:fldCharType="end"/>
      </w:r>
      <w:r>
        <w:rPr>
          <w:rFonts w:hAnsi="宋体"/>
          <w:color w:val="000000"/>
          <w:szCs w:val="44"/>
          <w:lang w:val="zh-CN"/>
        </w:rPr>
        <w:fldChar w:fldCharType="end"/>
      </w:r>
    </w:p>
    <w:p>
      <w:pPr>
        <w:pStyle w:val="14"/>
        <w:tabs>
          <w:tab w:val="right" w:leader="dot" w:pos="9070"/>
        </w:tabs>
        <w:ind w:firstLine="560" w:firstLineChars="200"/>
      </w:pPr>
      <w:r>
        <w:rPr>
          <w:rFonts w:hAnsi="宋体"/>
          <w:color w:val="000000"/>
          <w:szCs w:val="44"/>
          <w:lang w:val="zh-CN"/>
        </w:rPr>
        <w:fldChar w:fldCharType="begin"/>
      </w:r>
      <w:r>
        <w:rPr>
          <w:rFonts w:hAnsi="宋体"/>
          <w:szCs w:val="44"/>
          <w:lang w:val="zh-CN"/>
        </w:rPr>
        <w:instrText xml:space="preserve"> HYPERLINK \l _Toc30221 </w:instrText>
      </w:r>
      <w:r>
        <w:rPr>
          <w:rFonts w:hAnsi="宋体"/>
          <w:szCs w:val="44"/>
          <w:lang w:val="zh-CN"/>
        </w:rPr>
        <w:fldChar w:fldCharType="separate"/>
      </w:r>
      <w:r>
        <w:rPr>
          <w:rFonts w:hint="default" w:ascii="宋体" w:hAnsiTheme="minorHAnsi" w:eastAsiaTheme="minorEastAsia" w:cstheme="minorBidi"/>
          <w:szCs w:val="28"/>
          <w:lang w:val="en-US" w:eastAsia="zh-CN"/>
        </w:rPr>
        <w:t>四</w:t>
      </w:r>
      <w:r>
        <w:rPr>
          <w:rFonts w:hint="default" w:ascii="宋体" w:hAnsiTheme="minorHAnsi" w:eastAsiaTheme="minorEastAsia" w:cstheme="minorBidi"/>
          <w:szCs w:val="28"/>
        </w:rPr>
        <w:t>、估价对象</w:t>
      </w:r>
      <w:r>
        <w:tab/>
      </w:r>
      <w:r>
        <w:fldChar w:fldCharType="begin"/>
      </w:r>
      <w:r>
        <w:instrText xml:space="preserve"> PAGEREF _Toc30221 </w:instrText>
      </w:r>
      <w:r>
        <w:fldChar w:fldCharType="separate"/>
      </w:r>
      <w:r>
        <w:t>6</w:t>
      </w:r>
      <w:r>
        <w:fldChar w:fldCharType="end"/>
      </w:r>
      <w:r>
        <w:rPr>
          <w:rFonts w:hAnsi="宋体"/>
          <w:color w:val="000000"/>
          <w:szCs w:val="44"/>
          <w:lang w:val="zh-CN"/>
        </w:rPr>
        <w:fldChar w:fldCharType="end"/>
      </w:r>
    </w:p>
    <w:p>
      <w:pPr>
        <w:pStyle w:val="14"/>
        <w:tabs>
          <w:tab w:val="right" w:leader="dot" w:pos="9070"/>
        </w:tabs>
        <w:ind w:firstLine="560" w:firstLineChars="200"/>
      </w:pPr>
      <w:r>
        <w:rPr>
          <w:rFonts w:hAnsi="宋体"/>
          <w:color w:val="000000"/>
          <w:szCs w:val="44"/>
          <w:lang w:val="zh-CN"/>
        </w:rPr>
        <w:fldChar w:fldCharType="begin"/>
      </w:r>
      <w:r>
        <w:rPr>
          <w:rFonts w:hAnsi="宋体"/>
          <w:szCs w:val="44"/>
          <w:lang w:val="zh-CN"/>
        </w:rPr>
        <w:instrText xml:space="preserve"> HYPERLINK \l _Toc21349 </w:instrText>
      </w:r>
      <w:r>
        <w:rPr>
          <w:rFonts w:hAnsi="宋体"/>
          <w:szCs w:val="44"/>
          <w:lang w:val="zh-CN"/>
        </w:rPr>
        <w:fldChar w:fldCharType="separate"/>
      </w:r>
      <w:r>
        <w:rPr>
          <w:rFonts w:hint="default" w:ascii="宋体" w:hAnsiTheme="minorHAnsi" w:eastAsiaTheme="minorEastAsia" w:cstheme="minorBidi"/>
          <w:szCs w:val="28"/>
        </w:rPr>
        <w:t>五、价值时点</w:t>
      </w:r>
      <w:r>
        <w:tab/>
      </w:r>
      <w:r>
        <w:fldChar w:fldCharType="begin"/>
      </w:r>
      <w:r>
        <w:instrText xml:space="preserve"> PAGEREF _Toc21349 </w:instrText>
      </w:r>
      <w:r>
        <w:fldChar w:fldCharType="separate"/>
      </w:r>
      <w:r>
        <w:t>7</w:t>
      </w:r>
      <w:r>
        <w:fldChar w:fldCharType="end"/>
      </w:r>
      <w:r>
        <w:rPr>
          <w:rFonts w:hAnsi="宋体"/>
          <w:color w:val="000000"/>
          <w:szCs w:val="44"/>
          <w:lang w:val="zh-CN"/>
        </w:rPr>
        <w:fldChar w:fldCharType="end"/>
      </w:r>
    </w:p>
    <w:p>
      <w:pPr>
        <w:pStyle w:val="14"/>
        <w:tabs>
          <w:tab w:val="right" w:leader="dot" w:pos="9070"/>
        </w:tabs>
        <w:ind w:firstLine="560" w:firstLineChars="200"/>
      </w:pPr>
      <w:r>
        <w:rPr>
          <w:rFonts w:hAnsi="宋体"/>
          <w:color w:val="000000"/>
          <w:szCs w:val="44"/>
          <w:lang w:val="zh-CN"/>
        </w:rPr>
        <w:fldChar w:fldCharType="begin"/>
      </w:r>
      <w:r>
        <w:rPr>
          <w:rFonts w:hAnsi="宋体"/>
          <w:szCs w:val="44"/>
          <w:lang w:val="zh-CN"/>
        </w:rPr>
        <w:instrText xml:space="preserve"> HYPERLINK \l _Toc4553 </w:instrText>
      </w:r>
      <w:r>
        <w:rPr>
          <w:rFonts w:hAnsi="宋体"/>
          <w:szCs w:val="44"/>
          <w:lang w:val="zh-CN"/>
        </w:rPr>
        <w:fldChar w:fldCharType="separate"/>
      </w:r>
      <w:r>
        <w:rPr>
          <w:rFonts w:hint="default" w:ascii="宋体" w:hAnsiTheme="minorHAnsi" w:eastAsiaTheme="minorEastAsia" w:cstheme="minorBidi"/>
          <w:szCs w:val="28"/>
        </w:rPr>
        <w:t>六、价值</w:t>
      </w:r>
      <w:r>
        <w:rPr>
          <w:rFonts w:hint="default" w:ascii="宋体" w:hAnsiTheme="minorHAnsi" w:eastAsiaTheme="minorEastAsia" w:cstheme="minorBidi"/>
          <w:szCs w:val="28"/>
          <w:lang w:val="en-US" w:eastAsia="zh-CN"/>
        </w:rPr>
        <w:t>类型</w:t>
      </w:r>
      <w:r>
        <w:tab/>
      </w:r>
      <w:r>
        <w:fldChar w:fldCharType="begin"/>
      </w:r>
      <w:r>
        <w:instrText xml:space="preserve"> PAGEREF _Toc4553 </w:instrText>
      </w:r>
      <w:r>
        <w:fldChar w:fldCharType="separate"/>
      </w:r>
      <w:r>
        <w:t>7</w:t>
      </w:r>
      <w:r>
        <w:fldChar w:fldCharType="end"/>
      </w:r>
      <w:r>
        <w:rPr>
          <w:rFonts w:hAnsi="宋体"/>
          <w:color w:val="000000"/>
          <w:szCs w:val="44"/>
          <w:lang w:val="zh-CN"/>
        </w:rPr>
        <w:fldChar w:fldCharType="end"/>
      </w:r>
    </w:p>
    <w:p>
      <w:pPr>
        <w:pStyle w:val="14"/>
        <w:tabs>
          <w:tab w:val="right" w:leader="dot" w:pos="9070"/>
        </w:tabs>
        <w:ind w:firstLine="560" w:firstLineChars="200"/>
      </w:pPr>
      <w:r>
        <w:rPr>
          <w:rFonts w:hAnsi="宋体"/>
          <w:color w:val="000000"/>
          <w:szCs w:val="44"/>
          <w:lang w:val="zh-CN"/>
        </w:rPr>
        <w:fldChar w:fldCharType="begin"/>
      </w:r>
      <w:r>
        <w:rPr>
          <w:rFonts w:hAnsi="宋体"/>
          <w:szCs w:val="44"/>
          <w:lang w:val="zh-CN"/>
        </w:rPr>
        <w:instrText xml:space="preserve"> HYPERLINK \l _Toc18246 </w:instrText>
      </w:r>
      <w:r>
        <w:rPr>
          <w:rFonts w:hAnsi="宋体"/>
          <w:szCs w:val="44"/>
          <w:lang w:val="zh-CN"/>
        </w:rPr>
        <w:fldChar w:fldCharType="separate"/>
      </w:r>
      <w:r>
        <w:rPr>
          <w:rFonts w:hint="default" w:ascii="宋体" w:hAnsiTheme="minorHAnsi" w:eastAsiaTheme="minorEastAsia" w:cstheme="minorBidi"/>
          <w:szCs w:val="28"/>
          <w:lang w:val="en-US" w:eastAsia="zh-CN"/>
        </w:rPr>
        <w:t>七</w:t>
      </w:r>
      <w:r>
        <w:rPr>
          <w:rFonts w:hint="default" w:ascii="宋体" w:hAnsiTheme="minorHAnsi" w:eastAsiaTheme="minorEastAsia" w:cstheme="minorBidi"/>
          <w:szCs w:val="28"/>
        </w:rPr>
        <w:t>、估价原则</w:t>
      </w:r>
      <w:r>
        <w:tab/>
      </w:r>
      <w:r>
        <w:fldChar w:fldCharType="begin"/>
      </w:r>
      <w:r>
        <w:instrText xml:space="preserve"> PAGEREF _Toc18246 </w:instrText>
      </w:r>
      <w:r>
        <w:fldChar w:fldCharType="separate"/>
      </w:r>
      <w:r>
        <w:t>7</w:t>
      </w:r>
      <w:r>
        <w:fldChar w:fldCharType="end"/>
      </w:r>
      <w:r>
        <w:rPr>
          <w:rFonts w:hAnsi="宋体"/>
          <w:color w:val="000000"/>
          <w:szCs w:val="44"/>
          <w:lang w:val="zh-CN"/>
        </w:rPr>
        <w:fldChar w:fldCharType="end"/>
      </w:r>
    </w:p>
    <w:p>
      <w:pPr>
        <w:pStyle w:val="14"/>
        <w:tabs>
          <w:tab w:val="right" w:leader="dot" w:pos="9070"/>
        </w:tabs>
        <w:ind w:firstLine="560" w:firstLineChars="200"/>
      </w:pPr>
      <w:r>
        <w:rPr>
          <w:rFonts w:hAnsi="宋体"/>
          <w:color w:val="000000"/>
          <w:szCs w:val="44"/>
          <w:lang w:val="zh-CN"/>
        </w:rPr>
        <w:fldChar w:fldCharType="begin"/>
      </w:r>
      <w:r>
        <w:rPr>
          <w:rFonts w:hAnsi="宋体"/>
          <w:szCs w:val="44"/>
          <w:lang w:val="zh-CN"/>
        </w:rPr>
        <w:instrText xml:space="preserve"> HYPERLINK \l _Toc14589 </w:instrText>
      </w:r>
      <w:r>
        <w:rPr>
          <w:rFonts w:hAnsi="宋体"/>
          <w:szCs w:val="44"/>
          <w:lang w:val="zh-CN"/>
        </w:rPr>
        <w:fldChar w:fldCharType="separate"/>
      </w:r>
      <w:r>
        <w:rPr>
          <w:rFonts w:hint="default" w:ascii="宋体" w:hAnsiTheme="minorHAnsi" w:eastAsiaTheme="minorEastAsia" w:cstheme="minorBidi"/>
          <w:szCs w:val="28"/>
          <w:lang w:val="en-US" w:eastAsia="zh-CN"/>
        </w:rPr>
        <w:t>八</w:t>
      </w:r>
      <w:r>
        <w:rPr>
          <w:rFonts w:hint="default" w:ascii="宋体" w:hAnsiTheme="minorHAnsi" w:eastAsiaTheme="minorEastAsia" w:cstheme="minorBidi"/>
          <w:szCs w:val="28"/>
        </w:rPr>
        <w:t>、估价依据</w:t>
      </w:r>
      <w:r>
        <w:tab/>
      </w:r>
      <w:r>
        <w:fldChar w:fldCharType="begin"/>
      </w:r>
      <w:r>
        <w:instrText xml:space="preserve"> PAGEREF _Toc14589 </w:instrText>
      </w:r>
      <w:r>
        <w:fldChar w:fldCharType="separate"/>
      </w:r>
      <w:r>
        <w:t>8</w:t>
      </w:r>
      <w:r>
        <w:fldChar w:fldCharType="end"/>
      </w:r>
      <w:r>
        <w:rPr>
          <w:rFonts w:hAnsi="宋体"/>
          <w:color w:val="000000"/>
          <w:szCs w:val="44"/>
          <w:lang w:val="zh-CN"/>
        </w:rPr>
        <w:fldChar w:fldCharType="end"/>
      </w:r>
    </w:p>
    <w:p>
      <w:pPr>
        <w:pStyle w:val="14"/>
        <w:tabs>
          <w:tab w:val="right" w:leader="dot" w:pos="9070"/>
        </w:tabs>
        <w:ind w:firstLine="560" w:firstLineChars="200"/>
      </w:pPr>
      <w:r>
        <w:rPr>
          <w:rFonts w:hAnsi="宋体"/>
          <w:color w:val="000000"/>
          <w:szCs w:val="44"/>
          <w:lang w:val="zh-CN"/>
        </w:rPr>
        <w:fldChar w:fldCharType="begin"/>
      </w:r>
      <w:r>
        <w:rPr>
          <w:rFonts w:hAnsi="宋体"/>
          <w:szCs w:val="44"/>
          <w:lang w:val="zh-CN"/>
        </w:rPr>
        <w:instrText xml:space="preserve"> HYPERLINK \l _Toc16575 </w:instrText>
      </w:r>
      <w:r>
        <w:rPr>
          <w:rFonts w:hAnsi="宋体"/>
          <w:szCs w:val="44"/>
          <w:lang w:val="zh-CN"/>
        </w:rPr>
        <w:fldChar w:fldCharType="separate"/>
      </w:r>
      <w:r>
        <w:rPr>
          <w:rFonts w:hint="default" w:ascii="宋体" w:hAnsiTheme="minorHAnsi" w:eastAsiaTheme="minorEastAsia" w:cstheme="minorBidi"/>
          <w:szCs w:val="28"/>
        </w:rPr>
        <w:t>九、估价方法</w:t>
      </w:r>
      <w:r>
        <w:tab/>
      </w:r>
      <w:r>
        <w:fldChar w:fldCharType="begin"/>
      </w:r>
      <w:r>
        <w:instrText xml:space="preserve"> PAGEREF _Toc16575 </w:instrText>
      </w:r>
      <w:r>
        <w:fldChar w:fldCharType="separate"/>
      </w:r>
      <w:r>
        <w:t>9</w:t>
      </w:r>
      <w:r>
        <w:fldChar w:fldCharType="end"/>
      </w:r>
      <w:r>
        <w:rPr>
          <w:rFonts w:hAnsi="宋体"/>
          <w:color w:val="000000"/>
          <w:szCs w:val="44"/>
          <w:lang w:val="zh-CN"/>
        </w:rPr>
        <w:fldChar w:fldCharType="end"/>
      </w:r>
    </w:p>
    <w:p>
      <w:pPr>
        <w:pStyle w:val="14"/>
        <w:tabs>
          <w:tab w:val="right" w:leader="dot" w:pos="9070"/>
        </w:tabs>
        <w:ind w:firstLine="560" w:firstLineChars="200"/>
      </w:pPr>
      <w:r>
        <w:rPr>
          <w:rFonts w:hAnsi="宋体"/>
          <w:color w:val="000000"/>
          <w:szCs w:val="44"/>
          <w:lang w:val="zh-CN"/>
        </w:rPr>
        <w:fldChar w:fldCharType="begin"/>
      </w:r>
      <w:r>
        <w:rPr>
          <w:rFonts w:hAnsi="宋体"/>
          <w:szCs w:val="44"/>
          <w:lang w:val="zh-CN"/>
        </w:rPr>
        <w:instrText xml:space="preserve"> HYPERLINK \l _Toc6265 </w:instrText>
      </w:r>
      <w:r>
        <w:rPr>
          <w:rFonts w:hAnsi="宋体"/>
          <w:szCs w:val="44"/>
          <w:lang w:val="zh-CN"/>
        </w:rPr>
        <w:fldChar w:fldCharType="separate"/>
      </w:r>
      <w:r>
        <w:rPr>
          <w:rFonts w:hint="default" w:ascii="宋体" w:hAnsiTheme="minorHAnsi" w:eastAsiaTheme="minorEastAsia" w:cstheme="minorBidi"/>
          <w:szCs w:val="28"/>
        </w:rPr>
        <w:t>十、估价结果</w:t>
      </w:r>
      <w:r>
        <w:tab/>
      </w:r>
      <w:r>
        <w:fldChar w:fldCharType="begin"/>
      </w:r>
      <w:r>
        <w:instrText xml:space="preserve"> PAGEREF _Toc6265 </w:instrText>
      </w:r>
      <w:r>
        <w:fldChar w:fldCharType="separate"/>
      </w:r>
      <w:r>
        <w:t>11</w:t>
      </w:r>
      <w:r>
        <w:fldChar w:fldCharType="end"/>
      </w:r>
      <w:r>
        <w:rPr>
          <w:rFonts w:hAnsi="宋体"/>
          <w:color w:val="000000"/>
          <w:szCs w:val="44"/>
          <w:lang w:val="zh-CN"/>
        </w:rPr>
        <w:fldChar w:fldCharType="end"/>
      </w:r>
    </w:p>
    <w:p>
      <w:pPr>
        <w:pStyle w:val="14"/>
        <w:tabs>
          <w:tab w:val="right" w:leader="dot" w:pos="9070"/>
        </w:tabs>
        <w:ind w:firstLine="560" w:firstLineChars="200"/>
      </w:pPr>
      <w:r>
        <w:rPr>
          <w:rFonts w:hAnsi="宋体"/>
          <w:color w:val="000000"/>
          <w:szCs w:val="44"/>
          <w:lang w:val="zh-CN"/>
        </w:rPr>
        <w:fldChar w:fldCharType="begin"/>
      </w:r>
      <w:r>
        <w:rPr>
          <w:rFonts w:hAnsi="宋体"/>
          <w:szCs w:val="44"/>
          <w:lang w:val="zh-CN"/>
        </w:rPr>
        <w:instrText xml:space="preserve"> HYPERLINK \l _Toc29500 </w:instrText>
      </w:r>
      <w:r>
        <w:rPr>
          <w:rFonts w:hAnsi="宋体"/>
          <w:szCs w:val="44"/>
          <w:lang w:val="zh-CN"/>
        </w:rPr>
        <w:fldChar w:fldCharType="separate"/>
      </w:r>
      <w:r>
        <w:rPr>
          <w:rFonts w:hint="eastAsia" w:cstheme="minorBidi"/>
          <w:szCs w:val="28"/>
          <w:lang w:val="en-US" w:eastAsia="zh-CN"/>
        </w:rPr>
        <w:t>十一、</w:t>
      </w:r>
      <w:r>
        <w:rPr>
          <w:rFonts w:hint="default" w:ascii="宋体" w:hAnsiTheme="minorHAnsi" w:eastAsiaTheme="minorEastAsia" w:cstheme="minorBidi"/>
          <w:szCs w:val="28"/>
          <w:lang w:val="en-US" w:eastAsia="zh-CN"/>
        </w:rPr>
        <w:t>注册房地产估价师</w:t>
      </w:r>
      <w:r>
        <w:tab/>
      </w:r>
      <w:r>
        <w:fldChar w:fldCharType="begin"/>
      </w:r>
      <w:r>
        <w:instrText xml:space="preserve"> PAGEREF _Toc29500 </w:instrText>
      </w:r>
      <w:r>
        <w:fldChar w:fldCharType="separate"/>
      </w:r>
      <w:r>
        <w:t>11</w:t>
      </w:r>
      <w:r>
        <w:fldChar w:fldCharType="end"/>
      </w:r>
      <w:r>
        <w:rPr>
          <w:rFonts w:hAnsi="宋体"/>
          <w:color w:val="000000"/>
          <w:szCs w:val="44"/>
          <w:lang w:val="zh-CN"/>
        </w:rPr>
        <w:fldChar w:fldCharType="end"/>
      </w:r>
    </w:p>
    <w:p>
      <w:pPr>
        <w:pStyle w:val="14"/>
        <w:tabs>
          <w:tab w:val="right" w:leader="dot" w:pos="9070"/>
        </w:tabs>
        <w:ind w:firstLine="560" w:firstLineChars="200"/>
      </w:pPr>
      <w:r>
        <w:rPr>
          <w:rFonts w:hAnsi="宋体"/>
          <w:color w:val="000000"/>
          <w:szCs w:val="44"/>
          <w:lang w:val="zh-CN"/>
        </w:rPr>
        <w:fldChar w:fldCharType="begin"/>
      </w:r>
      <w:r>
        <w:rPr>
          <w:rFonts w:hAnsi="宋体"/>
          <w:szCs w:val="44"/>
          <w:lang w:val="zh-CN"/>
        </w:rPr>
        <w:instrText xml:space="preserve"> HYPERLINK \l _Toc28748 </w:instrText>
      </w:r>
      <w:r>
        <w:rPr>
          <w:rFonts w:hAnsi="宋体"/>
          <w:szCs w:val="44"/>
          <w:lang w:val="zh-CN"/>
        </w:rPr>
        <w:fldChar w:fldCharType="separate"/>
      </w:r>
      <w:r>
        <w:rPr>
          <w:rFonts w:hint="eastAsia" w:ascii="宋体" w:hAnsiTheme="minorHAnsi" w:eastAsiaTheme="minorEastAsia" w:cstheme="minorBidi"/>
          <w:szCs w:val="28"/>
        </w:rPr>
        <w:t>十二、实地查勘期</w:t>
      </w:r>
      <w:r>
        <w:tab/>
      </w:r>
      <w:r>
        <w:fldChar w:fldCharType="begin"/>
      </w:r>
      <w:r>
        <w:instrText xml:space="preserve"> PAGEREF _Toc28748 </w:instrText>
      </w:r>
      <w:r>
        <w:fldChar w:fldCharType="separate"/>
      </w:r>
      <w:r>
        <w:t>11</w:t>
      </w:r>
      <w:r>
        <w:fldChar w:fldCharType="end"/>
      </w:r>
      <w:r>
        <w:rPr>
          <w:rFonts w:hAnsi="宋体"/>
          <w:color w:val="000000"/>
          <w:szCs w:val="44"/>
          <w:lang w:val="zh-CN"/>
        </w:rPr>
        <w:fldChar w:fldCharType="end"/>
      </w:r>
    </w:p>
    <w:p>
      <w:pPr>
        <w:pStyle w:val="14"/>
        <w:tabs>
          <w:tab w:val="right" w:leader="dot" w:pos="9070"/>
        </w:tabs>
        <w:ind w:firstLine="560" w:firstLineChars="200"/>
      </w:pPr>
      <w:r>
        <w:rPr>
          <w:rFonts w:hAnsi="宋体"/>
          <w:color w:val="000000"/>
          <w:szCs w:val="44"/>
          <w:lang w:val="zh-CN"/>
        </w:rPr>
        <w:fldChar w:fldCharType="begin"/>
      </w:r>
      <w:r>
        <w:rPr>
          <w:rFonts w:hAnsi="宋体"/>
          <w:szCs w:val="44"/>
          <w:lang w:val="zh-CN"/>
        </w:rPr>
        <w:instrText xml:space="preserve"> HYPERLINK \l _Toc30599 </w:instrText>
      </w:r>
      <w:r>
        <w:rPr>
          <w:rFonts w:hAnsi="宋体"/>
          <w:szCs w:val="44"/>
          <w:lang w:val="zh-CN"/>
        </w:rPr>
        <w:fldChar w:fldCharType="separate"/>
      </w:r>
      <w:r>
        <w:rPr>
          <w:rFonts w:hint="eastAsia" w:ascii="宋体" w:hAnsiTheme="minorHAnsi" w:eastAsiaTheme="minorEastAsia" w:cstheme="minorBidi"/>
          <w:szCs w:val="28"/>
        </w:rPr>
        <w:t>十三、估价作业期</w:t>
      </w:r>
      <w:r>
        <w:tab/>
      </w:r>
      <w:r>
        <w:fldChar w:fldCharType="begin"/>
      </w:r>
      <w:r>
        <w:instrText xml:space="preserve"> PAGEREF _Toc30599 </w:instrText>
      </w:r>
      <w:r>
        <w:fldChar w:fldCharType="separate"/>
      </w:r>
      <w:r>
        <w:t>11</w:t>
      </w:r>
      <w:r>
        <w:fldChar w:fldCharType="end"/>
      </w:r>
      <w:r>
        <w:rPr>
          <w:rFonts w:hAnsi="宋体"/>
          <w:color w:val="000000"/>
          <w:szCs w:val="44"/>
          <w:lang w:val="zh-CN"/>
        </w:rPr>
        <w:fldChar w:fldCharType="end"/>
      </w:r>
    </w:p>
    <w:p>
      <w:pPr>
        <w:spacing w:line="360" w:lineRule="auto"/>
        <w:ind w:firstLine="0" w:firstLineChars="0"/>
        <w:jc w:val="center"/>
        <w:rPr>
          <w:rFonts w:hAnsi="宋体"/>
          <w:spacing w:val="100"/>
        </w:rPr>
        <w:sectPr>
          <w:footerReference r:id="rId7" w:type="first"/>
          <w:footerReference r:id="rId6" w:type="default"/>
          <w:pgSz w:w="11906" w:h="16838"/>
          <w:pgMar w:top="1418" w:right="1418" w:bottom="1134" w:left="1418" w:header="851" w:footer="851" w:gutter="0"/>
          <w:pgBorders>
            <w:top w:val="none" w:sz="0" w:space="0"/>
            <w:left w:val="none" w:sz="0" w:space="0"/>
            <w:bottom w:val="none" w:sz="0" w:space="0"/>
            <w:right w:val="none" w:sz="0" w:space="0"/>
          </w:pgBorders>
          <w:pgNumType w:fmt="decimal"/>
          <w:cols w:space="720" w:num="1"/>
          <w:titlePg/>
          <w:docGrid w:type="lines" w:linePitch="312" w:charSpace="0"/>
        </w:sectPr>
      </w:pPr>
      <w:r>
        <w:rPr>
          <w:rFonts w:hAnsi="宋体"/>
          <w:color w:val="000000"/>
          <w:szCs w:val="44"/>
          <w:lang w:val="zh-CN"/>
        </w:rPr>
        <w:fldChar w:fldCharType="end"/>
      </w:r>
      <w:r>
        <w:rPr>
          <w:rFonts w:hint="eastAsia" w:hAnsi="宋体"/>
          <w:color w:val="000000"/>
          <w:szCs w:val="44"/>
          <w:lang w:val="en-US" w:eastAsia="zh-CN"/>
        </w:rPr>
        <w:t xml:space="preserve">    </w:t>
      </w:r>
      <w:r>
        <w:rPr>
          <w:rFonts w:hint="eastAsia" w:hAnsi="宋体"/>
          <w:color w:val="000000"/>
          <w:szCs w:val="28"/>
        </w:rPr>
        <w:t>附</w:t>
      </w:r>
      <w:r>
        <w:rPr>
          <w:rFonts w:hAnsi="宋体"/>
          <w:color w:val="000000"/>
          <w:szCs w:val="28"/>
        </w:rPr>
        <w:t>件：</w:t>
      </w:r>
      <w:r>
        <w:rPr>
          <w:color w:val="000000"/>
          <w:szCs w:val="28"/>
        </w:rPr>
        <w:t>1</w:t>
      </w:r>
      <w:r>
        <w:rPr>
          <w:rFonts w:hAnsi="宋体"/>
          <w:color w:val="000000"/>
          <w:szCs w:val="28"/>
        </w:rPr>
        <w:t>、</w:t>
      </w:r>
      <w:r>
        <w:rPr>
          <w:rFonts w:hint="eastAsia" w:hAnsi="宋体"/>
          <w:color w:val="000000"/>
          <w:szCs w:val="28"/>
        </w:rPr>
        <w:t>委托书</w:t>
      </w:r>
      <w:r>
        <w:rPr>
          <w:rFonts w:hAnsi="宋体"/>
          <w:color w:val="000000"/>
          <w:szCs w:val="28"/>
        </w:rPr>
        <w:t>；</w:t>
      </w:r>
      <w:r>
        <w:rPr>
          <w:color w:val="000000"/>
          <w:szCs w:val="28"/>
        </w:rPr>
        <w:t>2</w:t>
      </w:r>
      <w:r>
        <w:rPr>
          <w:rFonts w:hAnsi="宋体"/>
          <w:color w:val="000000"/>
          <w:szCs w:val="28"/>
        </w:rPr>
        <w:t>、估价对象</w:t>
      </w:r>
      <w:r>
        <w:rPr>
          <w:rFonts w:hint="eastAsia" w:hAnsi="宋体"/>
          <w:color w:val="000000"/>
          <w:szCs w:val="28"/>
        </w:rPr>
        <w:t>位置图及</w:t>
      </w:r>
      <w:r>
        <w:rPr>
          <w:rFonts w:hAnsi="宋体"/>
          <w:color w:val="000000"/>
          <w:szCs w:val="28"/>
        </w:rPr>
        <w:t>照片</w:t>
      </w:r>
      <w:r>
        <w:rPr>
          <w:rFonts w:hint="eastAsia" w:hAnsi="宋体"/>
          <w:color w:val="000000"/>
          <w:szCs w:val="28"/>
        </w:rPr>
        <w:t>；3、</w:t>
      </w:r>
      <w:r>
        <w:rPr>
          <w:rFonts w:hint="eastAsia" w:hAnsi="宋体"/>
          <w:color w:val="000000"/>
          <w:szCs w:val="28"/>
          <w:lang w:val="en-US" w:eastAsia="zh-CN"/>
        </w:rPr>
        <w:t>估价对象权属证明复印件</w:t>
      </w:r>
      <w:r>
        <w:rPr>
          <w:rFonts w:hAnsi="宋体"/>
          <w:color w:val="000000"/>
          <w:szCs w:val="28"/>
        </w:rPr>
        <w:t>；</w:t>
      </w:r>
      <w:r>
        <w:rPr>
          <w:rFonts w:hint="eastAsia"/>
          <w:color w:val="000000"/>
          <w:szCs w:val="28"/>
        </w:rPr>
        <w:t>4</w:t>
      </w:r>
      <w:r>
        <w:rPr>
          <w:rFonts w:hAnsi="宋体"/>
          <w:color w:val="000000"/>
          <w:szCs w:val="28"/>
        </w:rPr>
        <w:t>、</w:t>
      </w:r>
      <w:r>
        <w:rPr>
          <w:rFonts w:hint="eastAsia" w:hAnsi="宋体"/>
          <w:color w:val="000000"/>
          <w:szCs w:val="28"/>
          <w:lang w:val="en-US" w:eastAsia="zh-CN"/>
        </w:rPr>
        <w:t>房地产估价机构营业执照和估价资质证书复印件；4、注册房地产估价师资格证书复印件</w:t>
      </w:r>
      <w:r>
        <w:rPr>
          <w:rFonts w:hint="eastAsia" w:hAnsi="宋体"/>
          <w:color w:val="000000"/>
          <w:szCs w:val="28"/>
        </w:rPr>
        <w:t>。</w:t>
      </w:r>
    </w:p>
    <w:p>
      <w:pPr>
        <w:pStyle w:val="3"/>
        <w:tabs>
          <w:tab w:val="left" w:pos="2760"/>
          <w:tab w:val="center" w:pos="4535"/>
        </w:tabs>
        <w:spacing w:before="312" w:beforeLines="100" w:after="312" w:afterLines="100" w:line="360" w:lineRule="auto"/>
        <w:jc w:val="center"/>
        <w:rPr>
          <w:rFonts w:hAnsi="宋体"/>
        </w:rPr>
      </w:pPr>
      <w:bookmarkStart w:id="25" w:name="_Toc11515"/>
      <w:bookmarkStart w:id="26" w:name="_Toc8421"/>
      <w:bookmarkStart w:id="27" w:name="_Toc23048"/>
      <w:bookmarkStart w:id="28" w:name="_Toc16029"/>
      <w:bookmarkStart w:id="29" w:name="_Toc11028"/>
      <w:bookmarkStart w:id="30" w:name="_Toc27605"/>
      <w:bookmarkStart w:id="31" w:name="_Toc14653"/>
      <w:bookmarkStart w:id="32" w:name="_Toc28867"/>
      <w:bookmarkStart w:id="33" w:name="_Toc5978"/>
      <w:bookmarkStart w:id="34" w:name="_Toc16557"/>
      <w:bookmarkStart w:id="35" w:name="_Toc146"/>
      <w:bookmarkStart w:id="36" w:name="_Toc23340"/>
      <w:bookmarkStart w:id="37" w:name="_Toc15840"/>
      <w:bookmarkStart w:id="38" w:name="_Toc12909"/>
      <w:bookmarkStart w:id="39" w:name="_Toc6148"/>
      <w:bookmarkStart w:id="40" w:name="_Toc1196"/>
      <w:bookmarkStart w:id="41" w:name="_Toc20100"/>
      <w:bookmarkStart w:id="42" w:name="_Toc11212"/>
      <w:bookmarkStart w:id="43" w:name="_Toc26105"/>
      <w:bookmarkStart w:id="44" w:name="_Toc31701"/>
      <w:bookmarkStart w:id="45" w:name="_Toc8650"/>
      <w:bookmarkStart w:id="46" w:name="_Toc352"/>
      <w:bookmarkStart w:id="47" w:name="_Toc29161"/>
      <w:bookmarkStart w:id="48" w:name="_Toc4750"/>
      <w:bookmarkStart w:id="49" w:name="_Toc25092"/>
      <w:bookmarkStart w:id="50" w:name="_Toc14451"/>
      <w:bookmarkStart w:id="51" w:name="_Toc9282"/>
      <w:r>
        <w:t>估价师声明</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27"/>
        <w:autoSpaceDE/>
        <w:autoSpaceDN/>
        <w:adjustRightInd/>
        <w:spacing w:before="156" w:beforeLines="50" w:after="156" w:afterLines="50" w:line="360" w:lineRule="auto"/>
        <w:jc w:val="both"/>
        <w:textAlignment w:val="auto"/>
        <w:rPr>
          <w:rFonts w:ascii="Times New Roman" w:hAnsi="Times New Roman" w:eastAsia="宋体" w:cs="Times New Roman"/>
          <w:bCs/>
          <w:szCs w:val="28"/>
          <w:highlight w:val="none"/>
        </w:rPr>
      </w:pPr>
      <w:r>
        <w:rPr>
          <w:rFonts w:hint="eastAsia" w:ascii="Times New Roman" w:hAnsi="Times New Roman" w:eastAsia="宋体" w:cs="Times New Roman"/>
          <w:bCs/>
          <w:szCs w:val="28"/>
          <w:highlight w:val="none"/>
        </w:rPr>
        <w:t>对本报告我们特作如下郑重声明：</w:t>
      </w:r>
    </w:p>
    <w:p>
      <w:pPr>
        <w:ind w:firstLine="560"/>
        <w:rPr>
          <w:rFonts w:hint="eastAsia" w:ascii="Times New Roman" w:hAnsi="Times New Roman" w:eastAsia="宋体" w:cs="Times New Roman"/>
          <w:bCs/>
          <w:sz w:val="28"/>
          <w:szCs w:val="28"/>
          <w:highlight w:val="none"/>
          <w:lang w:val="en-US" w:eastAsia="zh-CN" w:bidi="ar-SA"/>
        </w:rPr>
      </w:pPr>
      <w:r>
        <w:rPr>
          <w:rFonts w:hint="eastAsia" w:ascii="Times New Roman" w:hAnsi="Times New Roman" w:eastAsia="宋体" w:cs="Times New Roman"/>
          <w:bCs/>
          <w:sz w:val="28"/>
          <w:szCs w:val="28"/>
          <w:highlight w:val="none"/>
          <w:lang w:val="en-US" w:eastAsia="zh-CN" w:bidi="ar-SA"/>
        </w:rPr>
        <w:t>1、注册房地产估价师在估价报告中对事实的说明是真实和准确的，没有虚假记载、误导性陈述和重大遗漏</w:t>
      </w:r>
    </w:p>
    <w:p>
      <w:pPr>
        <w:ind w:firstLine="560"/>
        <w:rPr>
          <w:rFonts w:hint="eastAsia" w:ascii="Times New Roman" w:hAnsi="Times New Roman" w:eastAsia="宋体" w:cs="Times New Roman"/>
          <w:bCs/>
          <w:sz w:val="28"/>
          <w:szCs w:val="28"/>
          <w:highlight w:val="none"/>
          <w:lang w:val="en-US" w:eastAsia="zh-CN" w:bidi="ar-SA"/>
        </w:rPr>
      </w:pPr>
      <w:r>
        <w:rPr>
          <w:rFonts w:hint="eastAsia" w:ascii="Times New Roman" w:hAnsi="Times New Roman" w:eastAsia="宋体" w:cs="Times New Roman"/>
          <w:bCs/>
          <w:sz w:val="28"/>
          <w:szCs w:val="28"/>
          <w:highlight w:val="none"/>
          <w:lang w:val="en-US" w:eastAsia="zh-CN" w:bidi="ar-SA"/>
        </w:rPr>
        <w:t>2、估价报告中的分析、意见和结论是注册房地产估价师独立、客观、公正的专业分析、意见和结论，但受到本估价报告中已说明的估价假设和限制条件的限制。</w:t>
      </w:r>
    </w:p>
    <w:p>
      <w:pPr>
        <w:ind w:firstLine="560"/>
        <w:rPr>
          <w:rFonts w:hint="eastAsia" w:ascii="Times New Roman" w:hAnsi="Times New Roman" w:eastAsia="宋体" w:cs="Times New Roman"/>
          <w:bCs/>
          <w:sz w:val="28"/>
          <w:szCs w:val="28"/>
          <w:highlight w:val="none"/>
          <w:lang w:val="en-US" w:eastAsia="zh-CN" w:bidi="ar-SA"/>
        </w:rPr>
      </w:pPr>
      <w:r>
        <w:rPr>
          <w:rFonts w:hint="eastAsia" w:ascii="Times New Roman" w:hAnsi="Times New Roman" w:eastAsia="宋体" w:cs="Times New Roman"/>
          <w:bCs/>
          <w:sz w:val="28"/>
          <w:szCs w:val="28"/>
          <w:highlight w:val="none"/>
          <w:lang w:val="en-US" w:eastAsia="zh-CN" w:bidi="ar-SA"/>
        </w:rPr>
        <w:t>3、注册房地产估价师与估价报告中的估价对象没有现实或潜在的利害，与估价委托人及估价利害关系人没有利害关系，也对估价对象、估价委托人及估价利害关系人没有偏见。</w:t>
      </w:r>
    </w:p>
    <w:p>
      <w:pPr>
        <w:ind w:firstLine="560"/>
        <w:rPr>
          <w:rFonts w:hint="eastAsia" w:ascii="Times New Roman" w:hAnsi="Times New Roman" w:eastAsia="宋体" w:cs="Times New Roman"/>
          <w:bCs/>
          <w:sz w:val="28"/>
          <w:szCs w:val="28"/>
          <w:highlight w:val="none"/>
          <w:lang w:val="en-US" w:eastAsia="zh-CN" w:bidi="ar-SA"/>
        </w:rPr>
      </w:pPr>
      <w:r>
        <w:rPr>
          <w:rFonts w:hint="eastAsia" w:ascii="Times New Roman" w:hAnsi="Times New Roman" w:eastAsia="宋体" w:cs="Times New Roman"/>
          <w:bCs/>
          <w:sz w:val="28"/>
          <w:szCs w:val="28"/>
          <w:highlight w:val="none"/>
          <w:lang w:val="en-US" w:eastAsia="zh-CN" w:bidi="ar-SA"/>
        </w:rPr>
        <w:t>4、注册房地产估价师是按照中华人民共和国国家标准GB/T50291—2015《房地产估价规范》及《房地产估价基本术语标准》(GB/T50899-2013)进行估价工作，撰写本估价报告。</w:t>
      </w:r>
    </w:p>
    <w:p>
      <w:pPr>
        <w:pStyle w:val="27"/>
        <w:autoSpaceDE/>
        <w:autoSpaceDN/>
        <w:adjustRightInd/>
        <w:spacing w:before="156" w:beforeLines="50" w:after="156" w:afterLines="50" w:line="360" w:lineRule="auto"/>
        <w:ind w:firstLine="560" w:firstLineChars="200"/>
        <w:jc w:val="both"/>
        <w:textAlignment w:val="auto"/>
        <w:rPr>
          <w:rFonts w:ascii="Times New Roman" w:hAnsi="Times New Roman" w:eastAsia="宋体" w:cs="Times New Roman"/>
          <w:bCs/>
          <w:szCs w:val="28"/>
          <w:highlight w:val="none"/>
        </w:rPr>
      </w:pPr>
      <w:r>
        <w:rPr>
          <w:rFonts w:hint="eastAsia" w:ascii="Times New Roman" w:hAnsi="Times New Roman" w:eastAsia="宋体" w:cs="Times New Roman"/>
          <w:bCs/>
          <w:szCs w:val="28"/>
          <w:highlight w:val="none"/>
          <w:lang w:val="en-US" w:eastAsia="zh-CN"/>
        </w:rPr>
        <w:t>5</w:t>
      </w:r>
      <w:r>
        <w:rPr>
          <w:rFonts w:hint="eastAsia" w:ascii="Times New Roman" w:hAnsi="Times New Roman" w:eastAsia="宋体" w:cs="Times New Roman"/>
          <w:bCs/>
          <w:szCs w:val="28"/>
          <w:highlight w:val="none"/>
        </w:rPr>
        <w:t>、没有其他人对本估价报告提供重要的专业帮助。</w:t>
      </w:r>
    </w:p>
    <w:p>
      <w:pPr>
        <w:pStyle w:val="3"/>
        <w:spacing w:before="312" w:beforeLines="100" w:after="312" w:afterLines="100" w:line="360" w:lineRule="auto"/>
        <w:jc w:val="center"/>
        <w:rPr>
          <w:rFonts w:hint="eastAsia"/>
        </w:rPr>
        <w:sectPr>
          <w:footerReference r:id="rId8"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bookmarkStart w:id="52" w:name="_Toc440992054"/>
      <w:bookmarkStart w:id="53" w:name="_Toc464207624"/>
      <w:bookmarkStart w:id="54" w:name="_Toc28492"/>
      <w:bookmarkStart w:id="55" w:name="_Toc25142"/>
      <w:bookmarkStart w:id="56" w:name="_Toc19359"/>
      <w:bookmarkStart w:id="57" w:name="_Toc440990674"/>
      <w:bookmarkStart w:id="58" w:name="_Toc29726"/>
    </w:p>
    <w:p>
      <w:pPr>
        <w:pStyle w:val="3"/>
        <w:spacing w:before="312" w:beforeLines="100" w:after="312" w:afterLines="100" w:line="360" w:lineRule="auto"/>
        <w:jc w:val="center"/>
        <w:rPr>
          <w:rFonts w:ascii="Times New Roman" w:hAnsi="Times New Roman" w:eastAsia="宋体" w:cs="Times New Roman"/>
          <w:b w:val="0"/>
          <w:kern w:val="0"/>
          <w:sz w:val="28"/>
          <w:szCs w:val="28"/>
        </w:rPr>
      </w:pPr>
      <w:bookmarkStart w:id="59" w:name="_Toc2193"/>
      <w:bookmarkStart w:id="60" w:name="_Toc575"/>
      <w:bookmarkStart w:id="61" w:name="_Toc2326"/>
      <w:bookmarkStart w:id="62" w:name="_Toc21599"/>
      <w:bookmarkStart w:id="63" w:name="_Toc4080"/>
      <w:bookmarkStart w:id="64" w:name="_Toc13683"/>
      <w:bookmarkStart w:id="65" w:name="_Toc32410"/>
      <w:bookmarkStart w:id="66" w:name="_Toc25438"/>
      <w:bookmarkStart w:id="67" w:name="_Toc31186"/>
      <w:bookmarkStart w:id="68" w:name="_Toc17852"/>
      <w:bookmarkStart w:id="69" w:name="_Toc16514"/>
      <w:bookmarkStart w:id="70" w:name="_Toc21825"/>
      <w:bookmarkStart w:id="71" w:name="_Toc12953"/>
      <w:bookmarkStart w:id="72" w:name="_Toc21292"/>
      <w:bookmarkStart w:id="73" w:name="_Toc31400"/>
      <w:bookmarkStart w:id="74" w:name="_Toc14884"/>
      <w:bookmarkStart w:id="75" w:name="_Toc5684"/>
      <w:bookmarkStart w:id="76" w:name="_Toc27564"/>
      <w:bookmarkStart w:id="77" w:name="_Toc1598"/>
      <w:bookmarkStart w:id="78" w:name="_Toc2044"/>
      <w:bookmarkStart w:id="79" w:name="_Toc21567"/>
      <w:bookmarkStart w:id="80" w:name="_Toc27765"/>
      <w:bookmarkStart w:id="81" w:name="_Toc5901"/>
      <w:r>
        <w:rPr>
          <w:rFonts w:hint="eastAsia"/>
        </w:rPr>
        <w:t>估价的假设和限制条件</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27"/>
        <w:autoSpaceDE/>
        <w:autoSpaceDN/>
        <w:adjustRightInd/>
        <w:spacing w:before="156" w:beforeLines="50" w:after="156" w:afterLines="50" w:line="360" w:lineRule="auto"/>
        <w:ind w:firstLine="562" w:firstLineChars="200"/>
        <w:jc w:val="both"/>
        <w:textAlignment w:val="auto"/>
        <w:rPr>
          <w:rFonts w:ascii="Times New Roman" w:hAnsi="Times New Roman" w:eastAsia="宋体" w:cs="Times New Roman"/>
          <w:b/>
          <w:szCs w:val="28"/>
        </w:rPr>
      </w:pPr>
      <w:r>
        <w:rPr>
          <w:rFonts w:hint="eastAsia" w:ascii="Times New Roman" w:hAnsi="Times New Roman" w:eastAsia="宋体" w:cs="Times New Roman"/>
          <w:b/>
          <w:szCs w:val="28"/>
        </w:rPr>
        <w:t>一、一般假设</w:t>
      </w:r>
    </w:p>
    <w:p>
      <w:pPr>
        <w:pStyle w:val="27"/>
        <w:autoSpaceDE/>
        <w:autoSpaceDN/>
        <w:adjustRightInd/>
        <w:spacing w:beforeLines="0" w:afterLines="0" w:line="360" w:lineRule="auto"/>
        <w:ind w:firstLine="560" w:firstLineChars="200"/>
        <w:jc w:val="both"/>
        <w:textAlignment w:val="auto"/>
        <w:rPr>
          <w:rFonts w:hint="eastAsia" w:ascii="Times New Roman" w:hAnsi="Times New Roman" w:eastAsia="宋体" w:cs="Times New Roman"/>
          <w:bCs/>
          <w:szCs w:val="28"/>
          <w:highlight w:val="none"/>
          <w:lang w:val="en-US" w:eastAsia="zh-CN"/>
        </w:rPr>
      </w:pPr>
      <w:r>
        <w:rPr>
          <w:rFonts w:hint="eastAsia" w:ascii="Times New Roman" w:hAnsi="Times New Roman" w:eastAsia="宋体" w:cs="Times New Roman"/>
          <w:bCs/>
          <w:szCs w:val="28"/>
          <w:highlight w:val="none"/>
          <w:lang w:val="en-US" w:eastAsia="zh-CN"/>
        </w:rPr>
        <w:t>1、房地产估价师对估价对象的权属、面积、用途等资料进行了检查，在无理由怀疑其合法性、真实性、准确性、完整性的情况下，假设委托人提供的相关产权资料合法、真实、准确、完整。</w:t>
      </w:r>
    </w:p>
    <w:p>
      <w:pPr>
        <w:pStyle w:val="27"/>
        <w:autoSpaceDE/>
        <w:autoSpaceDN/>
        <w:adjustRightInd/>
        <w:spacing w:beforeLines="0" w:afterLines="0" w:line="360" w:lineRule="auto"/>
        <w:ind w:firstLine="560" w:firstLineChars="200"/>
        <w:jc w:val="both"/>
        <w:textAlignment w:val="auto"/>
        <w:rPr>
          <w:rFonts w:hint="eastAsia" w:ascii="Times New Roman" w:hAnsi="Times New Roman" w:eastAsia="宋体" w:cs="Times New Roman"/>
          <w:bCs/>
          <w:szCs w:val="28"/>
          <w:highlight w:val="none"/>
          <w:lang w:val="en-US" w:eastAsia="zh-CN"/>
        </w:rPr>
      </w:pPr>
      <w:r>
        <w:rPr>
          <w:rFonts w:hint="eastAsia" w:ascii="Times New Roman" w:hAnsi="Times New Roman" w:eastAsia="宋体" w:cs="Times New Roman"/>
          <w:bCs/>
          <w:szCs w:val="28"/>
          <w:highlight w:val="none"/>
          <w:lang w:val="en-US" w:eastAsia="zh-CN"/>
        </w:rPr>
        <w:t>2、注册房地产估价师已对房屋安全、环境污染等影响估价对象价值的重大因素给予了关注，在无理由怀疑估价对象存在安全隐患且无相应的专业机构进行鉴定、检测的情况下，假定估价对象能正常安全使用。</w:t>
      </w:r>
    </w:p>
    <w:p>
      <w:pPr>
        <w:pStyle w:val="27"/>
        <w:autoSpaceDE/>
        <w:autoSpaceDN/>
        <w:adjustRightInd/>
        <w:spacing w:beforeLines="0" w:afterLines="0" w:line="360" w:lineRule="auto"/>
        <w:ind w:firstLine="560" w:firstLineChars="200"/>
        <w:jc w:val="both"/>
        <w:textAlignment w:val="auto"/>
        <w:rPr>
          <w:rFonts w:hint="eastAsia" w:ascii="Times New Roman" w:hAnsi="Times New Roman" w:eastAsia="宋体" w:cs="Times New Roman"/>
          <w:bCs/>
          <w:szCs w:val="28"/>
          <w:highlight w:val="none"/>
          <w:lang w:eastAsia="zh-CN"/>
        </w:rPr>
      </w:pPr>
      <w:r>
        <w:rPr>
          <w:rFonts w:hint="eastAsia" w:ascii="Times New Roman" w:hAnsi="Times New Roman" w:eastAsia="宋体" w:cs="Times New Roman"/>
          <w:bCs/>
          <w:szCs w:val="28"/>
          <w:highlight w:val="none"/>
          <w:lang w:val="en-US" w:eastAsia="zh-CN"/>
        </w:rPr>
        <w:t>3、对房地产</w:t>
      </w:r>
      <w:r>
        <w:rPr>
          <w:rFonts w:hint="eastAsia" w:ascii="Times New Roman" w:hAnsi="Times New Roman" w:eastAsia="宋体" w:cs="Times New Roman"/>
          <w:bCs/>
          <w:szCs w:val="28"/>
          <w:highlight w:val="none"/>
        </w:rPr>
        <w:t>市场</w:t>
      </w:r>
      <w:r>
        <w:rPr>
          <w:rFonts w:hint="eastAsia" w:ascii="Times New Roman" w:hAnsi="Times New Roman" w:eastAsia="宋体" w:cs="Times New Roman"/>
          <w:bCs/>
          <w:szCs w:val="28"/>
          <w:highlight w:val="none"/>
          <w:lang w:val="en-US" w:eastAsia="zh-CN"/>
        </w:rPr>
        <w:t>的</w:t>
      </w:r>
      <w:r>
        <w:rPr>
          <w:rFonts w:hint="eastAsia" w:ascii="Times New Roman" w:hAnsi="Times New Roman" w:eastAsia="宋体" w:cs="Times New Roman"/>
          <w:bCs/>
          <w:szCs w:val="28"/>
          <w:highlight w:val="none"/>
        </w:rPr>
        <w:t>假设</w:t>
      </w:r>
      <w:r>
        <w:rPr>
          <w:rFonts w:hint="eastAsia" w:ascii="Times New Roman" w:hAnsi="Times New Roman" w:eastAsia="宋体" w:cs="Times New Roman"/>
          <w:bCs/>
          <w:szCs w:val="28"/>
          <w:highlight w:val="none"/>
          <w:lang w:eastAsia="zh-CN"/>
        </w:rPr>
        <w:t>：</w:t>
      </w:r>
    </w:p>
    <w:p>
      <w:pPr>
        <w:pStyle w:val="27"/>
        <w:autoSpaceDE/>
        <w:autoSpaceDN/>
        <w:adjustRightInd/>
        <w:spacing w:beforeLines="0" w:afterLines="0" w:line="360" w:lineRule="auto"/>
        <w:ind w:firstLine="560" w:firstLineChars="200"/>
        <w:jc w:val="both"/>
        <w:textAlignment w:val="auto"/>
        <w:rPr>
          <w:rFonts w:ascii="Times New Roman" w:hAnsi="Times New Roman" w:eastAsia="宋体" w:cs="Times New Roman"/>
          <w:bCs/>
          <w:szCs w:val="28"/>
          <w:highlight w:val="none"/>
        </w:rPr>
      </w:pPr>
      <w:r>
        <w:rPr>
          <w:rFonts w:hint="eastAsia" w:ascii="Times New Roman" w:hAnsi="Times New Roman" w:eastAsia="宋体" w:cs="Times New Roman"/>
          <w:bCs/>
          <w:szCs w:val="28"/>
          <w:highlight w:val="none"/>
        </w:rPr>
        <w:t>①交易双方均是自愿地进行交易的；</w:t>
      </w:r>
    </w:p>
    <w:p>
      <w:pPr>
        <w:pStyle w:val="27"/>
        <w:autoSpaceDE/>
        <w:autoSpaceDN/>
        <w:adjustRightInd/>
        <w:spacing w:beforeLines="0" w:afterLines="0" w:line="360" w:lineRule="auto"/>
        <w:ind w:firstLine="560" w:firstLineChars="200"/>
        <w:jc w:val="both"/>
        <w:textAlignment w:val="auto"/>
        <w:rPr>
          <w:rFonts w:ascii="Times New Roman" w:hAnsi="Times New Roman" w:eastAsia="宋体" w:cs="Times New Roman"/>
          <w:bCs/>
          <w:szCs w:val="28"/>
          <w:highlight w:val="none"/>
        </w:rPr>
      </w:pPr>
      <w:r>
        <w:rPr>
          <w:rFonts w:hint="eastAsia" w:ascii="Times New Roman" w:hAnsi="Times New Roman" w:eastAsia="宋体" w:cs="Times New Roman"/>
          <w:bCs/>
          <w:szCs w:val="28"/>
          <w:highlight w:val="none"/>
        </w:rPr>
        <w:t>②交易双方均是出于利己动机，交易双方具有关于交易对象的必要的专业知识，了解交易对象、知晓市场行情，交易目的在于最大限度地追求经济利益；</w:t>
      </w:r>
    </w:p>
    <w:p>
      <w:pPr>
        <w:pStyle w:val="27"/>
        <w:autoSpaceDE/>
        <w:autoSpaceDN/>
        <w:adjustRightInd/>
        <w:spacing w:beforeLines="0" w:afterLines="0" w:line="360" w:lineRule="auto"/>
        <w:ind w:firstLine="560" w:firstLineChars="200"/>
        <w:jc w:val="both"/>
        <w:textAlignment w:val="auto"/>
        <w:rPr>
          <w:rFonts w:ascii="Times New Roman" w:hAnsi="Times New Roman" w:eastAsia="宋体" w:cs="Times New Roman"/>
          <w:bCs/>
          <w:szCs w:val="28"/>
          <w:highlight w:val="none"/>
        </w:rPr>
      </w:pPr>
      <w:r>
        <w:rPr>
          <w:rFonts w:hint="eastAsia" w:ascii="Times New Roman" w:hAnsi="Times New Roman" w:eastAsia="宋体" w:cs="Times New Roman"/>
          <w:bCs/>
          <w:szCs w:val="28"/>
          <w:highlight w:val="none"/>
        </w:rPr>
        <w:t>③市场上有多个买家、卖家，交易条件公开并不具有排他性，交易价格支付为一次性在成交时支付。</w:t>
      </w:r>
    </w:p>
    <w:p>
      <w:pPr>
        <w:pStyle w:val="27"/>
        <w:autoSpaceDE/>
        <w:autoSpaceDN/>
        <w:adjustRightInd/>
        <w:spacing w:beforeLines="0" w:afterLines="0" w:line="360" w:lineRule="auto"/>
        <w:ind w:firstLine="560" w:firstLineChars="200"/>
        <w:jc w:val="both"/>
        <w:textAlignment w:val="auto"/>
        <w:rPr>
          <w:rFonts w:ascii="Times New Roman" w:hAnsi="Times New Roman" w:eastAsia="宋体" w:cs="Times New Roman"/>
          <w:bCs/>
          <w:szCs w:val="28"/>
          <w:highlight w:val="none"/>
        </w:rPr>
      </w:pPr>
      <w:r>
        <w:rPr>
          <w:rFonts w:hint="eastAsia" w:ascii="Times New Roman" w:hAnsi="Times New Roman" w:eastAsia="宋体" w:cs="Times New Roman"/>
          <w:bCs/>
          <w:szCs w:val="28"/>
          <w:highlight w:val="none"/>
        </w:rPr>
        <w:t>④交易房地产在市场上公开足够时间，买卖双方掌握足够的关于交易房地产的信息，并有充裕的时间进行房地产交易；</w:t>
      </w:r>
    </w:p>
    <w:p>
      <w:pPr>
        <w:pStyle w:val="27"/>
        <w:autoSpaceDE/>
        <w:autoSpaceDN/>
        <w:adjustRightInd/>
        <w:spacing w:beforeLines="0" w:afterLines="0" w:line="360" w:lineRule="auto"/>
        <w:ind w:firstLine="560" w:firstLineChars="200"/>
        <w:jc w:val="both"/>
        <w:textAlignment w:val="auto"/>
        <w:rPr>
          <w:rFonts w:ascii="Times New Roman" w:hAnsi="Times New Roman" w:eastAsia="宋体" w:cs="Times New Roman"/>
          <w:bCs/>
          <w:szCs w:val="28"/>
          <w:highlight w:val="none"/>
        </w:rPr>
      </w:pPr>
      <w:r>
        <w:rPr>
          <w:rFonts w:hint="eastAsia" w:ascii="Times New Roman" w:hAnsi="Times New Roman" w:eastAsia="宋体" w:cs="Times New Roman"/>
          <w:bCs/>
          <w:szCs w:val="28"/>
          <w:highlight w:val="none"/>
        </w:rPr>
        <w:t>⑤交易双方均不存在买者因特殊兴趣而给予的附加出价。</w:t>
      </w:r>
    </w:p>
    <w:p>
      <w:pPr>
        <w:pStyle w:val="27"/>
        <w:numPr>
          <w:ilvl w:val="0"/>
          <w:numId w:val="2"/>
        </w:numPr>
        <w:autoSpaceDE/>
        <w:autoSpaceDN/>
        <w:adjustRightInd/>
        <w:spacing w:before="156" w:beforeLines="50" w:after="156" w:afterLines="50" w:line="360" w:lineRule="auto"/>
        <w:ind w:firstLine="562" w:firstLineChars="200"/>
        <w:jc w:val="both"/>
        <w:textAlignment w:val="auto"/>
        <w:rPr>
          <w:rFonts w:hint="eastAsia" w:ascii="Times New Roman" w:hAnsi="Times New Roman" w:eastAsia="宋体" w:cs="Times New Roman"/>
          <w:b/>
          <w:szCs w:val="28"/>
        </w:rPr>
      </w:pPr>
      <w:r>
        <w:rPr>
          <w:rFonts w:hint="eastAsia" w:ascii="Times New Roman" w:hAnsi="Times New Roman" w:eastAsia="宋体" w:cs="Times New Roman"/>
          <w:b/>
          <w:szCs w:val="28"/>
        </w:rPr>
        <w:t>不相一致假设</w:t>
      </w:r>
    </w:p>
    <w:p>
      <w:pPr>
        <w:numPr>
          <w:ilvl w:val="-1"/>
          <w:numId w:val="0"/>
        </w:numPr>
        <w:autoSpaceDE/>
        <w:autoSpaceDN/>
        <w:adjustRightInd/>
        <w:spacing w:line="360" w:lineRule="auto"/>
        <w:ind w:firstLine="560" w:firstLineChars="200"/>
        <w:jc w:val="both"/>
        <w:textAlignment w:val="auto"/>
        <w:outlineLvl w:val="9"/>
        <w:rPr>
          <w:rFonts w:hint="eastAsia" w:ascii="Times New Roman" w:hAnsi="Times New Roman"/>
          <w:sz w:val="28"/>
          <w:szCs w:val="28"/>
          <w:lang w:val="en-US" w:eastAsia="zh-CN"/>
        </w:rPr>
      </w:pPr>
      <w:r>
        <w:rPr>
          <w:rFonts w:hint="eastAsia" w:ascii="Times New Roman" w:hAnsi="Times New Roman"/>
          <w:sz w:val="28"/>
          <w:szCs w:val="28"/>
          <w:lang w:val="en-US" w:eastAsia="zh-CN"/>
        </w:rPr>
        <w:t>估价对象涉及查封等他项权利，</w:t>
      </w:r>
      <w:r>
        <w:rPr>
          <w:rFonts w:hint="eastAsia"/>
          <w:sz w:val="28"/>
          <w:szCs w:val="28"/>
          <w:lang w:eastAsia="zh-CN"/>
        </w:rPr>
        <w:t>结合本次估价目的，</w:t>
      </w:r>
      <w:r>
        <w:rPr>
          <w:rFonts w:hint="eastAsia" w:ascii="Times New Roman" w:hAnsi="Times New Roman"/>
          <w:sz w:val="28"/>
          <w:szCs w:val="28"/>
          <w:lang w:val="en-US" w:eastAsia="zh-CN"/>
        </w:rPr>
        <w:t>本次评估未考虑估价对象抵押、查封他项权利的限制对其估价结果的影响，提请报告使用者予以关注。</w:t>
      </w:r>
    </w:p>
    <w:p>
      <w:pPr>
        <w:pStyle w:val="27"/>
        <w:numPr>
          <w:ilvl w:val="0"/>
          <w:numId w:val="3"/>
        </w:numPr>
        <w:autoSpaceDE/>
        <w:autoSpaceDN/>
        <w:adjustRightInd/>
        <w:spacing w:before="156" w:beforeLines="50" w:after="156" w:afterLines="50" w:line="360" w:lineRule="auto"/>
        <w:ind w:firstLine="562" w:firstLineChars="200"/>
        <w:jc w:val="both"/>
        <w:textAlignment w:val="auto"/>
        <w:rPr>
          <w:rFonts w:hint="eastAsia" w:ascii="Times New Roman" w:hAnsi="Times New Roman" w:eastAsia="宋体" w:cs="Times New Roman"/>
          <w:b/>
          <w:szCs w:val="28"/>
        </w:rPr>
      </w:pPr>
      <w:r>
        <w:rPr>
          <w:rFonts w:hint="eastAsia" w:ascii="Times New Roman" w:hAnsi="Times New Roman" w:eastAsia="宋体" w:cs="Times New Roman"/>
          <w:b/>
          <w:szCs w:val="28"/>
        </w:rPr>
        <w:t>未定事项假设</w:t>
      </w:r>
    </w:p>
    <w:p>
      <w:pPr>
        <w:numPr>
          <w:ilvl w:val="0"/>
          <w:numId w:val="4"/>
        </w:numPr>
        <w:autoSpaceDE/>
        <w:autoSpaceDN/>
        <w:adjustRightInd/>
        <w:spacing w:line="360" w:lineRule="auto"/>
        <w:ind w:firstLine="560" w:firstLineChars="200"/>
        <w:jc w:val="both"/>
        <w:textAlignment w:val="auto"/>
        <w:outlineLvl w:val="9"/>
        <w:rPr>
          <w:rFonts w:hint="eastAsia" w:ascii="Times New Roman" w:hAnsi="Times New Roman"/>
          <w:sz w:val="28"/>
          <w:szCs w:val="28"/>
          <w:lang w:val="en-US" w:eastAsia="zh-CN"/>
        </w:rPr>
      </w:pPr>
      <w:r>
        <w:rPr>
          <w:rFonts w:hint="eastAsia" w:ascii="Times New Roman" w:hAnsi="Times New Roman"/>
          <w:sz w:val="28"/>
          <w:szCs w:val="28"/>
          <w:lang w:val="en-US" w:eastAsia="zh-CN"/>
        </w:rPr>
        <w:t>因未能进入估价对象内部进行现场查勘，根据委托人的要求和介绍，本次评估估价对象室内装饰装修按照毛坯进行评估，提请报告使用者予以关注。</w:t>
      </w:r>
    </w:p>
    <w:p>
      <w:pPr>
        <w:pStyle w:val="2"/>
        <w:numPr>
          <w:ilvl w:val="0"/>
          <w:numId w:val="4"/>
        </w:numPr>
        <w:rPr>
          <w:rFonts w:hint="eastAsia"/>
          <w:lang w:val="en-US" w:eastAsia="zh-CN"/>
        </w:rPr>
      </w:pPr>
      <w:r>
        <w:rPr>
          <w:rFonts w:hint="eastAsia" w:ascii="Times New Roman" w:hAnsi="Times New Roman"/>
          <w:sz w:val="28"/>
          <w:szCs w:val="28"/>
          <w:lang w:val="en-US" w:eastAsia="zh-CN"/>
        </w:rPr>
        <w:t>由于未能获取估价对象土地相关信息，根据委托人提供的资料，通过注册房地产估价师对该楼盘房屋进行调查走访，该小区楼盘属于商住房地产，本次评估假定估价对象土地使用权类型为出让，土地使用权类型地类（用途）为住宅前提下进行评估，提请报告使用者对估价对象权属状况予以关注</w:t>
      </w:r>
    </w:p>
    <w:p>
      <w:pPr>
        <w:pStyle w:val="27"/>
        <w:widowControl/>
        <w:numPr>
          <w:ilvl w:val="0"/>
          <w:numId w:val="3"/>
        </w:numPr>
        <w:autoSpaceDE/>
        <w:autoSpaceDN/>
        <w:adjustRightInd/>
        <w:spacing w:before="156" w:beforeLines="50" w:after="156" w:afterLines="50" w:line="360" w:lineRule="auto"/>
        <w:ind w:left="0" w:leftChars="0" w:firstLine="562" w:firstLineChars="200"/>
        <w:jc w:val="both"/>
        <w:textAlignment w:val="auto"/>
        <w:rPr>
          <w:rFonts w:hint="eastAsia" w:ascii="Times New Roman" w:hAnsi="Times New Roman" w:eastAsia="宋体" w:cs="Times New Roman"/>
          <w:b/>
          <w:szCs w:val="28"/>
        </w:rPr>
      </w:pPr>
      <w:r>
        <w:rPr>
          <w:rFonts w:hint="eastAsia" w:ascii="Times New Roman" w:hAnsi="Times New Roman" w:eastAsia="宋体" w:cs="Times New Roman"/>
          <w:b/>
          <w:szCs w:val="28"/>
        </w:rPr>
        <w:t>背离事实假设</w:t>
      </w:r>
    </w:p>
    <w:p>
      <w:pPr>
        <w:pStyle w:val="2"/>
        <w:adjustRightInd/>
        <w:spacing w:line="360" w:lineRule="auto"/>
        <w:jc w:val="both"/>
        <w:rPr>
          <w:rFonts w:hint="default" w:eastAsia="宋体"/>
          <w:lang w:val="en-US" w:eastAsia="zh-CN"/>
        </w:rPr>
      </w:pPr>
      <w:r>
        <w:rPr>
          <w:rFonts w:hint="eastAsia" w:ascii="Times New Roman" w:hAnsi="Times New Roman" w:eastAsia="宋体" w:cs="Times New Roman"/>
          <w:bCs/>
          <w:szCs w:val="28"/>
          <w:lang w:val="en-US" w:eastAsia="zh-CN"/>
        </w:rPr>
        <w:t>无</w:t>
      </w:r>
    </w:p>
    <w:p>
      <w:pPr>
        <w:pStyle w:val="27"/>
        <w:widowControl/>
        <w:numPr>
          <w:ilvl w:val="0"/>
          <w:numId w:val="3"/>
        </w:numPr>
        <w:autoSpaceDE/>
        <w:autoSpaceDN/>
        <w:adjustRightInd/>
        <w:spacing w:before="156" w:beforeLines="50" w:after="156" w:afterLines="50" w:line="360" w:lineRule="auto"/>
        <w:ind w:left="0" w:leftChars="0" w:firstLine="562" w:firstLineChars="200"/>
        <w:jc w:val="both"/>
        <w:textAlignment w:val="auto"/>
        <w:rPr>
          <w:rFonts w:hint="eastAsia" w:ascii="Times New Roman" w:hAnsi="Times New Roman" w:eastAsia="宋体" w:cs="Times New Roman"/>
          <w:b/>
          <w:szCs w:val="28"/>
          <w:lang w:val="en-US" w:eastAsia="zh-CN"/>
        </w:rPr>
      </w:pPr>
      <w:r>
        <w:rPr>
          <w:rFonts w:hint="eastAsia" w:ascii="Times New Roman" w:hAnsi="Times New Roman" w:eastAsia="宋体" w:cs="Times New Roman"/>
          <w:b/>
          <w:szCs w:val="28"/>
        </w:rPr>
        <w:t>依据不足假设</w:t>
      </w:r>
    </w:p>
    <w:p>
      <w:pPr>
        <w:pStyle w:val="27"/>
        <w:widowControl/>
        <w:numPr>
          <w:ilvl w:val="0"/>
          <w:numId w:val="0"/>
        </w:numPr>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 w:val="0"/>
          <w:bCs/>
          <w:szCs w:val="28"/>
          <w:highlight w:val="none"/>
          <w:lang w:val="en-US" w:eastAsia="zh-CN"/>
        </w:rPr>
      </w:pPr>
      <w:r>
        <w:rPr>
          <w:rFonts w:hint="eastAsia" w:ascii="Times New Roman" w:hAnsi="Times New Roman" w:eastAsia="宋体" w:cs="Times New Roman"/>
          <w:b w:val="0"/>
          <w:bCs/>
          <w:szCs w:val="28"/>
          <w:highlight w:val="none"/>
          <w:lang w:val="en-US" w:eastAsia="zh-CN"/>
        </w:rPr>
        <w:t>无</w:t>
      </w:r>
    </w:p>
    <w:p>
      <w:pPr>
        <w:pStyle w:val="27"/>
        <w:autoSpaceDE/>
        <w:autoSpaceDN/>
        <w:adjustRightInd/>
        <w:spacing w:before="156" w:beforeLines="50" w:after="156" w:afterLines="50" w:line="360" w:lineRule="auto"/>
        <w:ind w:firstLine="562" w:firstLineChars="200"/>
        <w:jc w:val="both"/>
        <w:textAlignment w:val="auto"/>
        <w:rPr>
          <w:rFonts w:ascii="Times New Roman" w:hAnsi="Times New Roman" w:eastAsia="宋体" w:cs="Times New Roman"/>
          <w:b/>
          <w:szCs w:val="28"/>
        </w:rPr>
      </w:pPr>
      <w:r>
        <w:rPr>
          <w:rFonts w:hint="eastAsia" w:ascii="Times New Roman" w:hAnsi="Times New Roman" w:eastAsia="宋体" w:cs="Times New Roman"/>
          <w:b/>
          <w:szCs w:val="28"/>
          <w:lang w:val="en-US" w:eastAsia="zh-CN"/>
        </w:rPr>
        <w:t>六</w:t>
      </w:r>
      <w:r>
        <w:rPr>
          <w:rFonts w:hint="eastAsia" w:ascii="Times New Roman" w:hAnsi="Times New Roman" w:eastAsia="宋体" w:cs="Times New Roman"/>
          <w:b/>
          <w:szCs w:val="28"/>
        </w:rPr>
        <w:t>、本报告使用的限制条件</w:t>
      </w:r>
    </w:p>
    <w:p>
      <w:pPr>
        <w:adjustRightInd/>
        <w:spacing w:line="560" w:lineRule="exact"/>
        <w:ind w:firstLine="560" w:firstLineChars="200"/>
        <w:jc w:val="both"/>
        <w:rPr>
          <w:rFonts w:hint="eastAsia" w:ascii="Times New Roman" w:hAnsi="Times New Roman" w:eastAsia="宋体" w:cs="Times New Roman"/>
          <w:bCs/>
          <w:sz w:val="28"/>
          <w:szCs w:val="28"/>
          <w:highlight w:val="none"/>
          <w:lang w:val="en-US" w:eastAsia="zh-CN" w:bidi="ar-SA"/>
        </w:rPr>
      </w:pPr>
      <w:bookmarkStart w:id="82" w:name="_Toc20917"/>
      <w:bookmarkStart w:id="83" w:name="_Toc440990675"/>
      <w:bookmarkStart w:id="84" w:name="_Toc15708"/>
      <w:bookmarkStart w:id="85" w:name="_Toc440992055"/>
      <w:bookmarkStart w:id="86" w:name="_Toc3076"/>
      <w:r>
        <w:rPr>
          <w:rFonts w:hint="eastAsia" w:ascii="Times New Roman" w:hAnsi="Times New Roman" w:eastAsia="宋体" w:cs="Times New Roman"/>
          <w:bCs/>
          <w:sz w:val="28"/>
          <w:szCs w:val="28"/>
          <w:highlight w:val="none"/>
          <w:lang w:val="en-US" w:eastAsia="zh-CN" w:bidi="ar-SA"/>
        </w:rPr>
        <w:t>1、本报告有效期为壹年，自估价报告出具之日起算，若报告有效期内房地产市场或估价对象状况发生重大变化，估价结果需做相应调整或重新进行评估。同时，如果使用本报告的时间超过了估价报告应用的有效期而造成的损失，房地产估价机构及注册房地产估价师不承担责任。</w:t>
      </w:r>
    </w:p>
    <w:p>
      <w:pPr>
        <w:adjustRightInd/>
        <w:spacing w:line="360" w:lineRule="auto"/>
        <w:ind w:firstLine="560" w:firstLineChars="200"/>
        <w:jc w:val="both"/>
        <w:rPr>
          <w:rFonts w:hint="eastAsia" w:ascii="Times New Roman" w:hAnsi="Times New Roman" w:eastAsia="宋体" w:cs="Times New Roman"/>
          <w:bCs/>
          <w:sz w:val="28"/>
          <w:szCs w:val="28"/>
          <w:highlight w:val="none"/>
          <w:lang w:val="en-US" w:eastAsia="zh-CN" w:bidi="ar-SA"/>
        </w:rPr>
      </w:pPr>
      <w:r>
        <w:rPr>
          <w:rFonts w:hint="eastAsia" w:ascii="Times New Roman" w:hAnsi="Times New Roman" w:eastAsia="宋体" w:cs="Times New Roman"/>
          <w:bCs/>
          <w:sz w:val="28"/>
          <w:szCs w:val="28"/>
          <w:highlight w:val="none"/>
          <w:lang w:val="en-US" w:eastAsia="zh-CN" w:bidi="ar-SA"/>
        </w:rPr>
        <w:t>2、本估价报告仅为委托人及案件相关当事人提供涉案房地产的价值参考依据，将估价报告及估价结果用于其他用途时，估价报告及估价结果无效。</w:t>
      </w:r>
    </w:p>
    <w:p>
      <w:pPr>
        <w:adjustRightInd/>
        <w:spacing w:line="360" w:lineRule="auto"/>
        <w:ind w:firstLine="560" w:firstLineChars="200"/>
        <w:jc w:val="both"/>
        <w:rPr>
          <w:rFonts w:hint="eastAsia" w:ascii="Times New Roman" w:hAnsi="Times New Roman" w:eastAsia="宋体" w:cs="Times New Roman"/>
          <w:bCs/>
          <w:sz w:val="28"/>
          <w:szCs w:val="28"/>
          <w:highlight w:val="none"/>
          <w:lang w:val="en-US" w:eastAsia="zh-CN" w:bidi="ar-SA"/>
        </w:rPr>
      </w:pPr>
      <w:r>
        <w:rPr>
          <w:rFonts w:hint="eastAsia" w:ascii="Times New Roman" w:hAnsi="Times New Roman" w:eastAsia="宋体" w:cs="Times New Roman"/>
          <w:bCs/>
          <w:sz w:val="28"/>
          <w:szCs w:val="28"/>
          <w:highlight w:val="none"/>
          <w:lang w:val="en-US" w:eastAsia="zh-CN" w:bidi="ar-SA"/>
        </w:rPr>
        <w:t>3、本估价报告的使用人为委托人及案件相关当事人，其他单位和个人不能使用本估价报告。未经本估价机构同意，估价报告不得向估价委托人及估价报告审查部门以外的单位和个人提供，凡因估价委托人使用估价报告不当而引起的后果，估价机构和注册房地产估价师不承担相应的责任。</w:t>
      </w:r>
    </w:p>
    <w:p>
      <w:pPr>
        <w:adjustRightInd/>
        <w:spacing w:line="360" w:lineRule="auto"/>
        <w:ind w:firstLine="560" w:firstLineChars="200"/>
        <w:jc w:val="both"/>
        <w:rPr>
          <w:rFonts w:hint="eastAsia" w:ascii="Times New Roman" w:hAnsi="Times New Roman" w:eastAsia="宋体" w:cs="Times New Roman"/>
          <w:bCs/>
          <w:szCs w:val="28"/>
          <w:highlight w:val="none"/>
        </w:rPr>
      </w:pPr>
      <w:r>
        <w:rPr>
          <w:rFonts w:hint="eastAsia" w:ascii="Times New Roman" w:hAnsi="Times New Roman" w:eastAsia="宋体" w:cs="Times New Roman"/>
          <w:bCs/>
          <w:szCs w:val="28"/>
          <w:highlight w:val="none"/>
        </w:rPr>
        <w:t>4、本报告的估价结果的使用权归委托方所有，本公司对估价结果有最终解释权。</w:t>
      </w:r>
    </w:p>
    <w:p>
      <w:pPr>
        <w:adjustRightInd/>
        <w:spacing w:line="360" w:lineRule="auto"/>
        <w:ind w:firstLine="560" w:firstLineChars="200"/>
        <w:jc w:val="both"/>
        <w:rPr>
          <w:rFonts w:hint="eastAsia" w:ascii="Times New Roman" w:hAnsi="Times New Roman" w:eastAsia="宋体" w:cs="Times New Roman"/>
          <w:bCs/>
          <w:szCs w:val="28"/>
          <w:highlight w:val="none"/>
        </w:rPr>
      </w:pPr>
      <w:r>
        <w:rPr>
          <w:rFonts w:hint="eastAsia" w:ascii="Times New Roman" w:hAnsi="Times New Roman" w:eastAsia="宋体" w:cs="Times New Roman"/>
          <w:bCs/>
          <w:szCs w:val="28"/>
          <w:highlight w:val="none"/>
        </w:rPr>
        <w:t>5、未经我公司允许，本估价报告全部或部分内容不得公开发表。</w:t>
      </w:r>
    </w:p>
    <w:p>
      <w:pPr>
        <w:adjustRightInd/>
        <w:spacing w:line="360" w:lineRule="auto"/>
        <w:ind w:firstLine="560" w:firstLineChars="200"/>
        <w:jc w:val="both"/>
        <w:rPr>
          <w:rFonts w:hint="eastAsia" w:ascii="Times New Roman" w:hAnsi="Times New Roman" w:eastAsia="宋体" w:cs="Times New Roman"/>
          <w:bCs/>
          <w:szCs w:val="28"/>
          <w:highlight w:val="none"/>
        </w:rPr>
      </w:pPr>
      <w:r>
        <w:rPr>
          <w:rFonts w:hint="eastAsia" w:ascii="Times New Roman" w:hAnsi="Times New Roman" w:eastAsia="宋体" w:cs="Times New Roman"/>
          <w:bCs/>
          <w:szCs w:val="28"/>
          <w:highlight w:val="none"/>
        </w:rPr>
        <w:t>6、本次评估结果受本估价假设限制条件的影响，当上述条件及评估报告遵循的各种条件和原则发生变化时，本评估结果一般自动失效。</w:t>
      </w:r>
    </w:p>
    <w:p>
      <w:pPr>
        <w:pStyle w:val="2"/>
        <w:ind w:firstLine="560" w:firstLineChars="200"/>
        <w:rPr>
          <w:rFonts w:hint="default" w:eastAsia="宋体"/>
          <w:lang w:val="en-US" w:eastAsia="zh-CN"/>
        </w:rPr>
        <w:sectPr>
          <w:footerReference r:id="rId9"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bookmarkStart w:id="87" w:name="_Toc14891"/>
      <w:r>
        <w:rPr>
          <w:rFonts w:hint="eastAsia" w:ascii="Times New Roman" w:hAnsi="Times New Roman" w:eastAsia="宋体" w:cs="Times New Roman"/>
          <w:bCs/>
          <w:spacing w:val="0"/>
          <w:szCs w:val="28"/>
          <w:highlight w:val="none"/>
          <w:lang w:val="en-US" w:eastAsia="zh-CN"/>
        </w:rPr>
        <w:t>7、贵州瑞华亚太房地产土地评估有限公司已于2021年3月24日变更公司名称，变更后的公司名称为贵州瑞华亚太房地产土地资产评估有限公司，提请报告使用者予以关注。</w:t>
      </w:r>
    </w:p>
    <w:p>
      <w:pPr>
        <w:pStyle w:val="3"/>
        <w:spacing w:before="312" w:beforeLines="100" w:after="312" w:afterLines="100" w:line="360" w:lineRule="auto"/>
        <w:jc w:val="center"/>
        <w:rPr>
          <w:rFonts w:hAnsi="宋体"/>
          <w:spacing w:val="40"/>
        </w:rPr>
      </w:pPr>
      <w:bookmarkStart w:id="88" w:name="_Toc23056"/>
      <w:bookmarkStart w:id="89" w:name="_Toc5413"/>
      <w:bookmarkStart w:id="90" w:name="_Toc14734"/>
      <w:bookmarkStart w:id="91" w:name="_Toc25008"/>
      <w:bookmarkStart w:id="92" w:name="_Toc17746"/>
      <w:bookmarkStart w:id="93" w:name="_Toc21594"/>
      <w:bookmarkStart w:id="94" w:name="_Toc15253"/>
      <w:bookmarkStart w:id="95" w:name="_Toc28479"/>
      <w:bookmarkStart w:id="96" w:name="_Toc20636"/>
      <w:bookmarkStart w:id="97" w:name="_Toc29091"/>
      <w:bookmarkStart w:id="98" w:name="_Toc1889"/>
      <w:bookmarkStart w:id="99" w:name="_Toc25789"/>
      <w:bookmarkStart w:id="100" w:name="_Toc15104"/>
      <w:bookmarkStart w:id="101" w:name="_Toc32193"/>
      <w:bookmarkStart w:id="102" w:name="_Toc18360"/>
      <w:bookmarkStart w:id="103" w:name="_Toc3762"/>
      <w:bookmarkStart w:id="104" w:name="_Toc12549"/>
      <w:bookmarkStart w:id="105" w:name="_Toc26843"/>
      <w:bookmarkStart w:id="106" w:name="_Toc3452"/>
      <w:bookmarkStart w:id="107" w:name="_Toc19953"/>
      <w:bookmarkStart w:id="108" w:name="_Toc32633"/>
      <w:bookmarkStart w:id="109" w:name="_Toc30814"/>
      <w:bookmarkStart w:id="110" w:name="_Toc21936"/>
      <w:r>
        <w:rPr>
          <w:rFonts w:hint="eastAsia" w:hAnsi="宋体"/>
          <w:spacing w:val="40"/>
        </w:rPr>
        <w:t>房地产估价结果报告</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3"/>
        <w:tabs>
          <w:tab w:val="left" w:pos="2760"/>
          <w:tab w:val="center" w:pos="4535"/>
        </w:tabs>
        <w:autoSpaceDE w:val="0"/>
        <w:autoSpaceDN w:val="0"/>
        <w:spacing w:before="157" w:beforeLines="50" w:after="157" w:afterLines="50" w:line="579" w:lineRule="auto"/>
        <w:ind w:firstLine="562" w:firstLineChars="200"/>
        <w:jc w:val="left"/>
        <w:textAlignment w:val="baseline"/>
        <w:rPr>
          <w:rFonts w:ascii="宋体" w:hAnsiTheme="minorHAnsi" w:eastAsiaTheme="minorEastAsia" w:cstheme="minorBidi"/>
          <w:b/>
          <w:sz w:val="28"/>
          <w:szCs w:val="28"/>
        </w:rPr>
      </w:pPr>
      <w:bookmarkStart w:id="111" w:name="_Toc481484538"/>
      <w:bookmarkStart w:id="112" w:name="_Toc6272"/>
      <w:bookmarkStart w:id="113" w:name="_Toc19212"/>
      <w:bookmarkStart w:id="114" w:name="_Toc23506"/>
      <w:bookmarkStart w:id="115" w:name="_Toc17409"/>
      <w:bookmarkStart w:id="116" w:name="_Toc29607"/>
      <w:bookmarkStart w:id="117" w:name="_Toc5915"/>
      <w:bookmarkStart w:id="118" w:name="_Toc9234"/>
      <w:bookmarkStart w:id="119" w:name="_Toc8507"/>
      <w:bookmarkStart w:id="120" w:name="_Toc23681"/>
      <w:bookmarkStart w:id="121" w:name="_Toc32616"/>
      <w:bookmarkStart w:id="122" w:name="_Toc16798"/>
      <w:bookmarkStart w:id="123" w:name="_Toc27668"/>
      <w:bookmarkStart w:id="124" w:name="_Toc22875"/>
      <w:bookmarkStart w:id="125" w:name="_Toc5544"/>
      <w:bookmarkStart w:id="126" w:name="_Toc12290"/>
      <w:bookmarkStart w:id="127" w:name="_Toc31462"/>
      <w:bookmarkStart w:id="128" w:name="_Toc19361"/>
      <w:bookmarkStart w:id="129" w:name="_Toc32058"/>
      <w:bookmarkStart w:id="130" w:name="_Toc16883"/>
      <w:bookmarkStart w:id="131" w:name="_Toc688"/>
      <w:bookmarkStart w:id="132" w:name="_Toc31541"/>
      <w:bookmarkStart w:id="133" w:name="_Toc11594"/>
      <w:bookmarkStart w:id="134" w:name="_Toc28137"/>
      <w:r>
        <w:rPr>
          <w:rFonts w:hint="default" w:ascii="宋体" w:hAnsiTheme="minorHAnsi" w:eastAsiaTheme="minorEastAsia" w:cstheme="minorBidi"/>
          <w:b/>
          <w:sz w:val="28"/>
          <w:szCs w:val="28"/>
        </w:rPr>
        <w:t>一、</w:t>
      </w:r>
      <w:bookmarkEnd w:id="111"/>
      <w:r>
        <w:rPr>
          <w:rFonts w:hint="default" w:ascii="宋体" w:hAnsiTheme="minorHAnsi" w:eastAsiaTheme="minorEastAsia" w:cstheme="minorBidi"/>
          <w:b/>
          <w:sz w:val="28"/>
          <w:szCs w:val="28"/>
        </w:rPr>
        <w:t>估价委托人</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Cs/>
          <w:szCs w:val="28"/>
          <w:lang w:val="en-US" w:eastAsia="zh-CN"/>
        </w:rPr>
      </w:pPr>
      <w:bookmarkStart w:id="135" w:name="_Toc481484539"/>
      <w:bookmarkStart w:id="136" w:name="_Toc8627"/>
      <w:bookmarkStart w:id="137" w:name="_Toc440990678"/>
      <w:bookmarkStart w:id="138" w:name="_Toc22831"/>
      <w:bookmarkStart w:id="139" w:name="_Toc25828"/>
      <w:bookmarkStart w:id="140" w:name="_Toc440992058"/>
      <w:r>
        <w:rPr>
          <w:rFonts w:hint="eastAsia" w:ascii="Times New Roman" w:hAnsi="Times New Roman" w:eastAsia="宋体" w:cs="Times New Roman"/>
          <w:bCs/>
          <w:szCs w:val="28"/>
          <w:lang w:val="en-US" w:eastAsia="zh-CN"/>
        </w:rPr>
        <w:t>名称</w:t>
      </w:r>
      <w:r>
        <w:rPr>
          <w:rFonts w:hint="eastAsia" w:ascii="Times New Roman" w:hAnsi="Times New Roman" w:eastAsia="宋体" w:cs="Times New Roman"/>
          <w:bCs/>
          <w:szCs w:val="28"/>
        </w:rPr>
        <w:t>：</w:t>
      </w:r>
      <w:r>
        <w:rPr>
          <w:rFonts w:hint="eastAsia" w:ascii="Times New Roman" w:hAnsi="Times New Roman" w:eastAsia="宋体" w:cs="Times New Roman"/>
          <w:bCs/>
          <w:szCs w:val="28"/>
          <w:lang w:val="en-US" w:eastAsia="zh-CN"/>
        </w:rPr>
        <w:t>威宁彝族回族苗族自治县人民法院</w:t>
      </w:r>
    </w:p>
    <w:p>
      <w:pPr>
        <w:pStyle w:val="27"/>
        <w:autoSpaceDE/>
        <w:autoSpaceDN/>
        <w:adjustRightInd/>
        <w:spacing w:before="156" w:beforeLines="50" w:after="156" w:afterLines="50" w:line="360" w:lineRule="auto"/>
        <w:ind w:firstLine="560" w:firstLineChars="200"/>
        <w:jc w:val="both"/>
        <w:textAlignment w:val="auto"/>
        <w:rPr>
          <w:rFonts w:hint="default" w:ascii="Times New Roman" w:hAnsi="Times New Roman" w:eastAsia="宋体" w:cs="Times New Roman"/>
          <w:bCs/>
          <w:szCs w:val="28"/>
          <w:lang w:val="en-US" w:eastAsia="zh-CN"/>
        </w:rPr>
      </w:pPr>
      <w:r>
        <w:rPr>
          <w:rFonts w:hint="eastAsia" w:ascii="Times New Roman" w:hAnsi="Times New Roman" w:eastAsia="宋体" w:cs="Times New Roman"/>
          <w:bCs/>
          <w:szCs w:val="28"/>
          <w:lang w:val="en-US" w:eastAsia="zh-CN"/>
        </w:rPr>
        <w:t>地址</w:t>
      </w:r>
      <w:r>
        <w:rPr>
          <w:rFonts w:hint="eastAsia" w:ascii="Times New Roman" w:hAnsi="Times New Roman" w:eastAsia="宋体" w:cs="Times New Roman"/>
          <w:bCs/>
          <w:szCs w:val="28"/>
        </w:rPr>
        <w:t>：</w:t>
      </w:r>
      <w:r>
        <w:rPr>
          <w:rFonts w:hint="eastAsia" w:ascii="Times New Roman" w:hAnsi="Times New Roman" w:eastAsia="宋体" w:cs="Times New Roman"/>
          <w:bCs/>
          <w:szCs w:val="28"/>
          <w:lang w:val="en-US" w:eastAsia="zh-CN"/>
        </w:rPr>
        <w:t>威宁县滨海路与凤山大道交叉口</w:t>
      </w:r>
    </w:p>
    <w:p>
      <w:pPr>
        <w:pStyle w:val="3"/>
        <w:tabs>
          <w:tab w:val="left" w:pos="2760"/>
          <w:tab w:val="center" w:pos="4535"/>
        </w:tabs>
        <w:autoSpaceDE w:val="0"/>
        <w:autoSpaceDN w:val="0"/>
        <w:spacing w:before="157" w:beforeLines="50" w:after="157" w:afterLines="50" w:line="579" w:lineRule="auto"/>
        <w:ind w:firstLine="562" w:firstLineChars="200"/>
        <w:jc w:val="left"/>
        <w:textAlignment w:val="baseline"/>
        <w:rPr>
          <w:rFonts w:ascii="宋体" w:hAnsiTheme="minorHAnsi" w:eastAsiaTheme="minorEastAsia" w:cstheme="minorBidi"/>
          <w:b/>
          <w:sz w:val="28"/>
          <w:szCs w:val="28"/>
        </w:rPr>
      </w:pPr>
      <w:bookmarkStart w:id="141" w:name="_Toc342"/>
      <w:bookmarkStart w:id="142" w:name="_Toc3315"/>
      <w:bookmarkStart w:id="143" w:name="_Toc22041"/>
      <w:bookmarkStart w:id="144" w:name="_Toc2062"/>
      <w:bookmarkStart w:id="145" w:name="_Toc28595"/>
      <w:bookmarkStart w:id="146" w:name="_Toc14748"/>
      <w:bookmarkStart w:id="147" w:name="_Toc15399"/>
      <w:bookmarkStart w:id="148" w:name="_Toc27144"/>
      <w:bookmarkStart w:id="149" w:name="_Toc28529"/>
      <w:bookmarkStart w:id="150" w:name="_Toc15795"/>
      <w:bookmarkStart w:id="151" w:name="_Toc11884"/>
      <w:bookmarkStart w:id="152" w:name="_Toc15112"/>
      <w:bookmarkStart w:id="153" w:name="_Toc18218"/>
      <w:bookmarkStart w:id="154" w:name="_Toc25797"/>
      <w:bookmarkStart w:id="155" w:name="_Toc20437"/>
      <w:bookmarkStart w:id="156" w:name="_Toc6003"/>
      <w:bookmarkStart w:id="157" w:name="_Toc21541"/>
      <w:bookmarkStart w:id="158" w:name="_Toc4998"/>
      <w:bookmarkStart w:id="159" w:name="_Toc28599"/>
      <w:bookmarkStart w:id="160" w:name="_Toc21430"/>
      <w:bookmarkStart w:id="161" w:name="_Toc195"/>
      <w:bookmarkStart w:id="162" w:name="_Toc20410"/>
      <w:r>
        <w:rPr>
          <w:rFonts w:hint="default" w:ascii="宋体" w:hAnsiTheme="minorHAnsi" w:eastAsiaTheme="minorEastAsia" w:cstheme="minorBidi"/>
          <w:b/>
          <w:sz w:val="28"/>
          <w:szCs w:val="28"/>
        </w:rPr>
        <w:t>二、</w:t>
      </w:r>
      <w:bookmarkEnd w:id="135"/>
      <w:r>
        <w:rPr>
          <w:rFonts w:hint="default" w:ascii="宋体" w:hAnsiTheme="minorHAnsi" w:eastAsiaTheme="minorEastAsia" w:cstheme="minorBidi"/>
          <w:b/>
          <w:sz w:val="28"/>
          <w:szCs w:val="28"/>
        </w:rPr>
        <w:t>房地产估价机构</w:t>
      </w:r>
      <w:bookmarkEnd w:id="136"/>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bookmarkEnd w:id="137"/>
    <w:bookmarkEnd w:id="138"/>
    <w:bookmarkEnd w:id="139"/>
    <w:bookmarkEnd w:id="140"/>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Cs/>
          <w:szCs w:val="28"/>
          <w:lang w:eastAsia="zh-CN"/>
        </w:rPr>
      </w:pPr>
      <w:bookmarkStart w:id="163" w:name="_Toc2047"/>
      <w:bookmarkStart w:id="164" w:name="_Toc481484541"/>
      <w:r>
        <w:rPr>
          <w:rFonts w:hint="eastAsia" w:ascii="Times New Roman" w:hAnsi="Times New Roman" w:eastAsia="宋体" w:cs="Times New Roman"/>
          <w:bCs/>
          <w:szCs w:val="28"/>
          <w:lang w:val="en-US" w:eastAsia="zh-CN"/>
        </w:rPr>
        <w:t>名称</w:t>
      </w:r>
      <w:r>
        <w:rPr>
          <w:rFonts w:hint="eastAsia" w:ascii="Times New Roman" w:hAnsi="Times New Roman" w:eastAsia="宋体" w:cs="Times New Roman"/>
          <w:bCs/>
          <w:szCs w:val="28"/>
        </w:rPr>
        <w:t>：</w:t>
      </w:r>
      <w:r>
        <w:rPr>
          <w:rFonts w:hint="eastAsia" w:ascii="Times New Roman" w:hAnsi="Times New Roman" w:eastAsia="宋体" w:cs="Times New Roman"/>
          <w:bCs/>
          <w:szCs w:val="28"/>
          <w:lang w:eastAsia="zh-CN"/>
        </w:rPr>
        <w:t>贵州瑞华亚太房地产土地资产评估有限公司</w:t>
      </w:r>
    </w:p>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Cs/>
          <w:szCs w:val="28"/>
          <w:lang w:val="en-US" w:eastAsia="zh-CN"/>
        </w:rPr>
      </w:pPr>
      <w:r>
        <w:rPr>
          <w:rFonts w:hint="eastAsia" w:ascii="Times New Roman" w:hAnsi="Times New Roman" w:eastAsia="宋体" w:cs="Times New Roman"/>
          <w:bCs/>
          <w:szCs w:val="28"/>
          <w:lang w:val="en-US" w:eastAsia="zh-CN"/>
        </w:rPr>
        <w:t>住所：</w:t>
      </w:r>
      <w:r>
        <w:rPr>
          <w:rFonts w:hint="eastAsia" w:ascii="Times New Roman" w:hAnsi="Times New Roman" w:eastAsia="宋体" w:cs="Times New Roman"/>
          <w:bCs/>
          <w:szCs w:val="28"/>
        </w:rPr>
        <w:t>贵阳市观山湖区诚信北路东侧群升千禧广场</w:t>
      </w:r>
      <w:r>
        <w:rPr>
          <w:rFonts w:hint="eastAsia" w:ascii="Times New Roman" w:hAnsi="Times New Roman" w:eastAsia="宋体" w:cs="Times New Roman"/>
          <w:bCs/>
          <w:szCs w:val="28"/>
          <w:lang w:val="en-US" w:eastAsia="zh-CN"/>
        </w:rPr>
        <w:t>0</w:t>
      </w:r>
      <w:r>
        <w:rPr>
          <w:rFonts w:hint="eastAsia" w:ascii="Times New Roman" w:hAnsi="Times New Roman" w:eastAsia="宋体" w:cs="Times New Roman"/>
          <w:bCs/>
          <w:szCs w:val="28"/>
        </w:rPr>
        <w:t>7B</w:t>
      </w:r>
      <w:r>
        <w:rPr>
          <w:rFonts w:hint="eastAsia" w:ascii="Times New Roman" w:hAnsi="Times New Roman" w:eastAsia="宋体" w:cs="Times New Roman"/>
          <w:bCs/>
          <w:szCs w:val="28"/>
          <w:lang w:val="en-US" w:eastAsia="zh-CN"/>
        </w:rPr>
        <w:t>栋</w:t>
      </w:r>
      <w:r>
        <w:rPr>
          <w:rFonts w:hint="eastAsia" w:ascii="Times New Roman" w:hAnsi="Times New Roman" w:eastAsia="宋体" w:cs="Times New Roman"/>
          <w:bCs/>
          <w:szCs w:val="28"/>
        </w:rPr>
        <w:t>20层</w:t>
      </w:r>
    </w:p>
    <w:p>
      <w:pPr>
        <w:pStyle w:val="27"/>
        <w:autoSpaceDE/>
        <w:autoSpaceDN/>
        <w:adjustRightInd/>
        <w:spacing w:before="156" w:beforeLines="50" w:after="156"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lang w:val="en-US" w:eastAsia="zh-CN"/>
        </w:rPr>
        <w:t>资质证书编号</w:t>
      </w:r>
      <w:r>
        <w:rPr>
          <w:rFonts w:hint="eastAsia" w:ascii="Times New Roman" w:hAnsi="Times New Roman" w:eastAsia="宋体" w:cs="Times New Roman"/>
          <w:bCs/>
          <w:szCs w:val="28"/>
        </w:rPr>
        <w:t>：黔建房估字【2015】壹52003001</w:t>
      </w:r>
    </w:p>
    <w:p>
      <w:pPr>
        <w:pStyle w:val="27"/>
        <w:autoSpaceDE/>
        <w:autoSpaceDN/>
        <w:adjustRightInd/>
        <w:spacing w:before="156" w:beforeLines="50" w:after="156"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资质等级：壹级</w:t>
      </w:r>
    </w:p>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Cs/>
          <w:szCs w:val="28"/>
          <w:lang w:val="en-US" w:eastAsia="zh-CN"/>
        </w:rPr>
      </w:pPr>
      <w:r>
        <w:rPr>
          <w:rFonts w:hint="eastAsia" w:ascii="Times New Roman" w:hAnsi="Times New Roman" w:eastAsia="宋体" w:cs="Times New Roman"/>
          <w:bCs/>
          <w:szCs w:val="28"/>
        </w:rPr>
        <w:t>法定代表人</w:t>
      </w:r>
      <w:r>
        <w:rPr>
          <w:rFonts w:hint="eastAsia" w:ascii="Times New Roman" w:hAnsi="Times New Roman" w:eastAsia="宋体" w:cs="Times New Roman"/>
          <w:bCs/>
          <w:szCs w:val="28"/>
          <w:lang w:eastAsia="zh-CN"/>
        </w:rPr>
        <w:t>：</w:t>
      </w:r>
      <w:r>
        <w:rPr>
          <w:rFonts w:hint="eastAsia" w:ascii="Times New Roman" w:hAnsi="Times New Roman" w:eastAsia="宋体" w:cs="Times New Roman"/>
          <w:bCs/>
          <w:szCs w:val="28"/>
          <w:lang w:val="en-US" w:eastAsia="zh-CN"/>
        </w:rPr>
        <w:t>张绍伙</w:t>
      </w:r>
    </w:p>
    <w:p>
      <w:pPr>
        <w:pStyle w:val="27"/>
        <w:autoSpaceDE/>
        <w:autoSpaceDN/>
        <w:adjustRightInd/>
        <w:spacing w:before="156" w:beforeLines="50" w:after="156"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联系电话：180 8513 0337</w:t>
      </w:r>
    </w:p>
    <w:p>
      <w:pPr>
        <w:pStyle w:val="3"/>
        <w:tabs>
          <w:tab w:val="left" w:pos="2760"/>
          <w:tab w:val="center" w:pos="4535"/>
        </w:tabs>
        <w:autoSpaceDE w:val="0"/>
        <w:autoSpaceDN w:val="0"/>
        <w:spacing w:before="157" w:beforeLines="50" w:after="157" w:afterLines="50" w:line="579" w:lineRule="auto"/>
        <w:ind w:firstLine="562" w:firstLineChars="200"/>
        <w:jc w:val="left"/>
        <w:textAlignment w:val="baseline"/>
        <w:rPr>
          <w:rFonts w:ascii="宋体" w:hAnsiTheme="minorHAnsi" w:eastAsiaTheme="minorEastAsia" w:cstheme="minorBidi"/>
          <w:b/>
          <w:sz w:val="28"/>
          <w:szCs w:val="28"/>
        </w:rPr>
      </w:pPr>
      <w:bookmarkStart w:id="165" w:name="_Toc30214"/>
      <w:bookmarkStart w:id="166" w:name="_Toc18316"/>
      <w:bookmarkStart w:id="167" w:name="_Toc22517"/>
      <w:bookmarkStart w:id="168" w:name="_Toc31155"/>
      <w:bookmarkStart w:id="169" w:name="_Toc31074"/>
      <w:bookmarkStart w:id="170" w:name="_Toc13588"/>
      <w:bookmarkStart w:id="171" w:name="_Toc1582"/>
      <w:bookmarkStart w:id="172" w:name="_Toc18706"/>
      <w:bookmarkStart w:id="173" w:name="_Toc11297"/>
      <w:bookmarkStart w:id="174" w:name="_Toc12136"/>
      <w:bookmarkStart w:id="175" w:name="_Toc28231"/>
      <w:bookmarkStart w:id="176" w:name="_Toc21959"/>
      <w:bookmarkStart w:id="177" w:name="_Toc4763"/>
      <w:bookmarkStart w:id="178" w:name="_Toc12589"/>
      <w:bookmarkStart w:id="179" w:name="_Toc27385"/>
      <w:bookmarkStart w:id="180" w:name="_Toc32213"/>
      <w:bookmarkStart w:id="181" w:name="_Toc2573"/>
      <w:bookmarkStart w:id="182" w:name="_Toc30385"/>
      <w:bookmarkStart w:id="183" w:name="_Toc8826"/>
      <w:bookmarkStart w:id="184" w:name="_Toc20349"/>
      <w:bookmarkStart w:id="185" w:name="_Toc31246"/>
      <w:bookmarkStart w:id="186" w:name="_Toc5503"/>
      <w:r>
        <w:rPr>
          <w:rFonts w:hint="default" w:ascii="宋体" w:hAnsiTheme="minorHAnsi" w:eastAsiaTheme="minorEastAsia" w:cstheme="minorBidi"/>
          <w:b/>
          <w:sz w:val="28"/>
          <w:szCs w:val="28"/>
          <w:lang w:val="en-US" w:eastAsia="zh-CN"/>
        </w:rPr>
        <w:t>三</w:t>
      </w:r>
      <w:r>
        <w:rPr>
          <w:rFonts w:hint="default" w:ascii="宋体" w:hAnsiTheme="minorHAnsi" w:eastAsiaTheme="minorEastAsia" w:cstheme="minorBidi"/>
          <w:b/>
          <w:sz w:val="28"/>
          <w:szCs w:val="28"/>
        </w:rPr>
        <w:t>、估价目的</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27"/>
        <w:autoSpaceDE/>
        <w:autoSpaceDN/>
        <w:adjustRightInd/>
        <w:spacing w:before="0" w:beforeLines="0" w:after="0" w:afterLines="0" w:line="360" w:lineRule="auto"/>
        <w:ind w:firstLine="560" w:firstLineChars="200"/>
        <w:jc w:val="both"/>
        <w:textAlignment w:val="auto"/>
        <w:rPr>
          <w:rFonts w:hint="eastAsia" w:ascii="Times New Roman" w:hAnsi="Times New Roman" w:eastAsia="宋体" w:cs="Times New Roman"/>
          <w:bCs/>
          <w:szCs w:val="28"/>
        </w:rPr>
      </w:pPr>
      <w:r>
        <w:rPr>
          <w:rFonts w:hint="eastAsia" w:ascii="Times New Roman" w:hAnsi="Times New Roman" w:eastAsia="宋体" w:cs="Times New Roman"/>
          <w:bCs/>
          <w:szCs w:val="28"/>
          <w:lang w:val="en-US" w:eastAsia="zh-CN"/>
        </w:rPr>
        <w:t>根据威宁彝族回族苗族自治县人民法院（2022）黔0526执551号委托书，因贵院在执行威宁富民村镇银行股份有限公司与</w:t>
      </w:r>
      <w:r>
        <w:rPr>
          <w:rFonts w:hint="eastAsia" w:hAnsi="宋体"/>
          <w:sz w:val="28"/>
          <w:szCs w:val="28"/>
          <w:lang w:val="en-US" w:eastAsia="zh-CN"/>
        </w:rPr>
        <w:t>訾姣、管晨</w:t>
      </w:r>
      <w:r>
        <w:rPr>
          <w:rFonts w:hint="eastAsia" w:ascii="Times New Roman" w:hAnsi="Times New Roman" w:eastAsia="宋体" w:cs="Times New Roman"/>
          <w:bCs/>
          <w:szCs w:val="28"/>
          <w:lang w:val="en-US" w:eastAsia="zh-CN"/>
        </w:rPr>
        <w:t>借款合同纠纷一案，需对訾姣、管晨共同拥有并位于威宁县海边街道凤山大道南侧梁才怡苑1、2、3栋2单元11层2号的一套住宅房地产市场价值进行估价，</w:t>
      </w:r>
      <w:r>
        <w:rPr>
          <w:rFonts w:hint="eastAsia" w:hAnsi="宋体"/>
          <w:sz w:val="28"/>
          <w:szCs w:val="28"/>
          <w:highlight w:val="none"/>
          <w:lang w:val="en-US" w:eastAsia="zh-CN"/>
        </w:rPr>
        <w:t>故本次估价目的是</w:t>
      </w:r>
      <w:r>
        <w:rPr>
          <w:rFonts w:hint="eastAsia" w:ascii="Times New Roman" w:hAnsi="Times New Roman" w:eastAsia="宋体" w:cs="Times New Roman"/>
          <w:bCs/>
          <w:szCs w:val="28"/>
        </w:rPr>
        <w:t>为</w:t>
      </w:r>
      <w:r>
        <w:rPr>
          <w:rFonts w:hint="eastAsia" w:ascii="Times New Roman" w:hAnsi="Times New Roman" w:eastAsia="宋体" w:cs="Times New Roman"/>
          <w:bCs/>
          <w:szCs w:val="28"/>
          <w:lang w:val="en-US" w:eastAsia="zh-CN"/>
        </w:rPr>
        <w:t>人民法院</w:t>
      </w:r>
      <w:r>
        <w:rPr>
          <w:rFonts w:hint="eastAsia" w:hAnsi="宋体"/>
          <w:szCs w:val="28"/>
        </w:rPr>
        <w:t>确定</w:t>
      </w:r>
      <w:r>
        <w:rPr>
          <w:rFonts w:hint="eastAsia" w:hAnsi="宋体"/>
          <w:szCs w:val="28"/>
          <w:lang w:val="en-US" w:eastAsia="zh-CN"/>
        </w:rPr>
        <w:t>财产处置参考价提供参考依据</w:t>
      </w:r>
      <w:r>
        <w:rPr>
          <w:rFonts w:hint="eastAsia" w:ascii="Times New Roman" w:hAnsi="Times New Roman" w:eastAsia="宋体" w:cs="Times New Roman"/>
          <w:bCs/>
          <w:szCs w:val="28"/>
        </w:rPr>
        <w:t>。</w:t>
      </w:r>
    </w:p>
    <w:p>
      <w:pPr>
        <w:pStyle w:val="3"/>
        <w:tabs>
          <w:tab w:val="left" w:pos="2760"/>
          <w:tab w:val="center" w:pos="4535"/>
        </w:tabs>
        <w:autoSpaceDE w:val="0"/>
        <w:autoSpaceDN w:val="0"/>
        <w:spacing w:before="157" w:beforeLines="50" w:after="157" w:afterLines="50" w:line="579" w:lineRule="auto"/>
        <w:ind w:firstLine="562" w:firstLineChars="200"/>
        <w:jc w:val="left"/>
        <w:textAlignment w:val="baseline"/>
        <w:rPr>
          <w:rFonts w:ascii="宋体" w:hAnsiTheme="minorHAnsi" w:eastAsiaTheme="minorEastAsia" w:cstheme="minorBidi"/>
          <w:b/>
          <w:sz w:val="28"/>
          <w:szCs w:val="28"/>
        </w:rPr>
      </w:pPr>
      <w:bookmarkStart w:id="187" w:name="_Toc7256"/>
      <w:bookmarkStart w:id="188" w:name="_Toc32036"/>
      <w:bookmarkStart w:id="189" w:name="_Toc13717"/>
      <w:bookmarkStart w:id="190" w:name="_Toc17444"/>
      <w:bookmarkStart w:id="191" w:name="_Toc659"/>
      <w:bookmarkStart w:id="192" w:name="_Toc30221"/>
      <w:bookmarkStart w:id="193" w:name="_Toc22851"/>
      <w:bookmarkStart w:id="194" w:name="_Toc17989"/>
      <w:bookmarkStart w:id="195" w:name="_Toc16853"/>
      <w:bookmarkStart w:id="196" w:name="_Toc29263"/>
      <w:bookmarkStart w:id="197" w:name="_Toc2206"/>
      <w:bookmarkStart w:id="198" w:name="_Toc4259"/>
      <w:bookmarkStart w:id="199" w:name="_Toc24853"/>
      <w:bookmarkStart w:id="200" w:name="_Toc25479"/>
      <w:bookmarkStart w:id="201" w:name="_Toc9223"/>
      <w:bookmarkStart w:id="202" w:name="_Toc5052"/>
      <w:bookmarkStart w:id="203" w:name="_Toc17091"/>
      <w:bookmarkStart w:id="204" w:name="_Toc26468"/>
      <w:bookmarkStart w:id="205" w:name="_Toc8642"/>
      <w:bookmarkStart w:id="206" w:name="_Toc31387"/>
      <w:bookmarkStart w:id="207" w:name="_Toc25694"/>
      <w:bookmarkStart w:id="208" w:name="_Toc8942"/>
      <w:bookmarkStart w:id="209" w:name="_Toc14229"/>
      <w:r>
        <w:rPr>
          <w:rFonts w:hint="default" w:ascii="宋体" w:hAnsiTheme="minorHAnsi" w:eastAsiaTheme="minorEastAsia" w:cstheme="minorBidi"/>
          <w:b/>
          <w:sz w:val="28"/>
          <w:szCs w:val="28"/>
          <w:lang w:val="en-US" w:eastAsia="zh-CN"/>
        </w:rPr>
        <w:t>四</w:t>
      </w:r>
      <w:r>
        <w:rPr>
          <w:rFonts w:hint="default" w:ascii="宋体" w:hAnsiTheme="minorHAnsi" w:eastAsiaTheme="minorEastAsia" w:cstheme="minorBidi"/>
          <w:b/>
          <w:sz w:val="28"/>
          <w:szCs w:val="28"/>
        </w:rPr>
        <w:t>、估价对象</w:t>
      </w:r>
      <w:bookmarkEnd w:id="163"/>
      <w:bookmarkEnd w:id="164"/>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27"/>
        <w:autoSpaceDE/>
        <w:autoSpaceDN/>
        <w:adjustRightInd/>
        <w:spacing w:before="156" w:beforeLines="50" w:after="156" w:afterLines="50" w:line="360" w:lineRule="auto"/>
        <w:ind w:firstLine="562" w:firstLineChars="200"/>
        <w:jc w:val="both"/>
        <w:textAlignment w:val="auto"/>
        <w:rPr>
          <w:rFonts w:ascii="Times New Roman" w:hAnsi="Times New Roman" w:eastAsia="宋体" w:cs="Times New Roman"/>
          <w:b/>
          <w:szCs w:val="28"/>
        </w:rPr>
      </w:pPr>
      <w:r>
        <w:rPr>
          <w:rFonts w:hint="eastAsia" w:ascii="Times New Roman" w:hAnsi="Times New Roman" w:eastAsia="宋体" w:cs="Times New Roman"/>
          <w:b/>
          <w:szCs w:val="28"/>
        </w:rPr>
        <w:t>1、估价对象</w:t>
      </w:r>
      <w:r>
        <w:rPr>
          <w:rFonts w:hint="eastAsia" w:ascii="Times New Roman" w:hAnsi="Times New Roman" w:eastAsia="宋体" w:cs="Times New Roman"/>
          <w:b/>
          <w:szCs w:val="28"/>
          <w:lang w:val="en-US" w:eastAsia="zh-CN"/>
        </w:rPr>
        <w:t>财产</w:t>
      </w:r>
      <w:r>
        <w:rPr>
          <w:rFonts w:hint="eastAsia" w:ascii="Times New Roman" w:hAnsi="Times New Roman" w:eastAsia="宋体" w:cs="Times New Roman"/>
          <w:b/>
          <w:szCs w:val="28"/>
        </w:rPr>
        <w:t>范围</w:t>
      </w:r>
    </w:p>
    <w:p>
      <w:pPr>
        <w:pStyle w:val="27"/>
        <w:autoSpaceDE/>
        <w:autoSpaceDN/>
        <w:adjustRightInd/>
        <w:spacing w:before="0" w:beforeLines="0" w:after="0" w:afterLines="0" w:line="360" w:lineRule="auto"/>
        <w:ind w:firstLine="560" w:firstLineChars="200"/>
        <w:jc w:val="both"/>
        <w:textAlignment w:val="auto"/>
        <w:rPr>
          <w:rFonts w:hint="eastAsia" w:ascii="Times New Roman" w:hAnsi="Times New Roman" w:eastAsia="宋体" w:cs="Times New Roman"/>
          <w:bCs/>
          <w:szCs w:val="28"/>
          <w:lang w:val="en-US" w:eastAsia="zh-CN"/>
        </w:rPr>
      </w:pPr>
      <w:r>
        <w:rPr>
          <w:rFonts w:hint="eastAsia" w:ascii="Times New Roman" w:hAnsi="Times New Roman" w:eastAsia="宋体" w:cs="Times New Roman"/>
          <w:bCs/>
          <w:szCs w:val="28"/>
        </w:rPr>
        <w:t>估价对象</w:t>
      </w:r>
      <w:r>
        <w:rPr>
          <w:rFonts w:hint="eastAsia" w:ascii="Times New Roman" w:hAnsi="Times New Roman" w:eastAsia="宋体" w:cs="Times New Roman"/>
          <w:bCs/>
          <w:szCs w:val="28"/>
          <w:lang w:val="en-US" w:eastAsia="zh-CN"/>
        </w:rPr>
        <w:t>系訾姣、管晨共同拥有并位于威宁县海边街道凤山大道南侧梁才怡苑1、2、3栋2单元11层2号的一套住宅房地产，具体如下所示：</w:t>
      </w:r>
    </w:p>
    <w:tbl>
      <w:tblPr>
        <w:tblStyle w:val="17"/>
        <w:tblpPr w:leftFromText="180" w:rightFromText="180" w:vertAnchor="text" w:horzAnchor="page" w:tblpX="1415" w:tblpY="378"/>
        <w:tblOverlap w:val="never"/>
        <w:tblW w:w="9230" w:type="dxa"/>
        <w:jc w:val="center"/>
        <w:tblLayout w:type="fixed"/>
        <w:tblCellMar>
          <w:top w:w="0" w:type="dxa"/>
          <w:left w:w="108" w:type="dxa"/>
          <w:bottom w:w="0" w:type="dxa"/>
          <w:right w:w="108" w:type="dxa"/>
        </w:tblCellMar>
      </w:tblPr>
      <w:tblGrid>
        <w:gridCol w:w="615"/>
        <w:gridCol w:w="1520"/>
        <w:gridCol w:w="930"/>
        <w:gridCol w:w="1950"/>
        <w:gridCol w:w="825"/>
        <w:gridCol w:w="705"/>
        <w:gridCol w:w="975"/>
        <w:gridCol w:w="645"/>
        <w:gridCol w:w="1065"/>
      </w:tblGrid>
      <w:tr>
        <w:tblPrEx>
          <w:tblCellMar>
            <w:top w:w="0" w:type="dxa"/>
            <w:left w:w="108" w:type="dxa"/>
            <w:bottom w:w="0" w:type="dxa"/>
            <w:right w:w="108" w:type="dxa"/>
          </w:tblCellMar>
        </w:tblPrEx>
        <w:trPr>
          <w:trHeight w:val="587" w:hRule="atLeast"/>
          <w:jc w:val="center"/>
        </w:trPr>
        <w:tc>
          <w:tcPr>
            <w:tcW w:w="615"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序号</w:t>
            </w:r>
          </w:p>
        </w:tc>
        <w:tc>
          <w:tcPr>
            <w:tcW w:w="1520"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不动产权证证书/证明号</w:t>
            </w:r>
          </w:p>
        </w:tc>
        <w:tc>
          <w:tcPr>
            <w:tcW w:w="930"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名称</w:t>
            </w:r>
          </w:p>
        </w:tc>
        <w:tc>
          <w:tcPr>
            <w:tcW w:w="1950"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所在位置</w:t>
            </w:r>
          </w:p>
        </w:tc>
        <w:tc>
          <w:tcPr>
            <w:tcW w:w="82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权利人</w:t>
            </w:r>
          </w:p>
        </w:tc>
        <w:tc>
          <w:tcPr>
            <w:tcW w:w="70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用途</w:t>
            </w:r>
          </w:p>
        </w:tc>
        <w:tc>
          <w:tcPr>
            <w:tcW w:w="97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建筑面积（㎡）</w:t>
            </w:r>
          </w:p>
        </w:tc>
        <w:tc>
          <w:tcPr>
            <w:tcW w:w="64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结构</w:t>
            </w:r>
          </w:p>
        </w:tc>
        <w:tc>
          <w:tcPr>
            <w:tcW w:w="106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所在层数/总层数</w:t>
            </w:r>
          </w:p>
        </w:tc>
      </w:tr>
      <w:tr>
        <w:tblPrEx>
          <w:tblCellMar>
            <w:top w:w="0" w:type="dxa"/>
            <w:left w:w="108" w:type="dxa"/>
            <w:bottom w:w="0" w:type="dxa"/>
            <w:right w:w="108" w:type="dxa"/>
          </w:tblCellMar>
        </w:tblPrEx>
        <w:trPr>
          <w:trHeight w:val="760" w:hRule="atLeast"/>
          <w:jc w:val="center"/>
        </w:trPr>
        <w:tc>
          <w:tcPr>
            <w:tcW w:w="615"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w:t>
            </w:r>
          </w:p>
        </w:tc>
        <w:tc>
          <w:tcPr>
            <w:tcW w:w="152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黔（2018）威宁县不动产证明第0003232号</w:t>
            </w:r>
          </w:p>
        </w:tc>
        <w:tc>
          <w:tcPr>
            <w:tcW w:w="93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宋体" w:hAnsi="宋体" w:cs="宋体"/>
                <w:b w:val="0"/>
                <w:bCs w:val="0"/>
                <w:i w:val="0"/>
                <w:iCs w:val="0"/>
                <w:color w:val="000000"/>
                <w:kern w:val="0"/>
                <w:sz w:val="18"/>
                <w:szCs w:val="18"/>
                <w:u w:val="none"/>
                <w:lang w:val="en-US" w:eastAsia="zh-CN" w:bidi="ar"/>
              </w:rPr>
            </w:pPr>
            <w:r>
              <w:rPr>
                <w:rFonts w:hint="eastAsia" w:ascii="宋体" w:hAnsi="宋体" w:eastAsia="宋体" w:cs="宋体"/>
                <w:i w:val="0"/>
                <w:iCs w:val="0"/>
                <w:color w:val="000000"/>
                <w:sz w:val="18"/>
                <w:szCs w:val="18"/>
                <w:u w:val="none"/>
                <w:lang w:val="en-US" w:eastAsia="zh-CN"/>
              </w:rPr>
              <w:t>梁才怡苑</w:t>
            </w:r>
          </w:p>
        </w:tc>
        <w:tc>
          <w:tcPr>
            <w:tcW w:w="195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18"/>
                <w:szCs w:val="18"/>
                <w:u w:val="none"/>
                <w:lang w:val="en-US" w:eastAsia="zh-CN" w:bidi="ar"/>
              </w:rPr>
            </w:pPr>
            <w:r>
              <w:rPr>
                <w:rFonts w:hint="eastAsia" w:ascii="宋体" w:hAnsi="宋体" w:cs="宋体"/>
                <w:b w:val="0"/>
                <w:bCs w:val="0"/>
                <w:i w:val="0"/>
                <w:iCs w:val="0"/>
                <w:color w:val="000000"/>
                <w:kern w:val="0"/>
                <w:sz w:val="18"/>
                <w:szCs w:val="18"/>
                <w:u w:val="none"/>
                <w:lang w:val="en-US" w:eastAsia="zh-CN" w:bidi="ar"/>
              </w:rPr>
              <w:t>威宁县海边街道凤山大道南侧梁才怡苑1、2、3栋2单元11层2号</w:t>
            </w:r>
          </w:p>
        </w:tc>
        <w:tc>
          <w:tcPr>
            <w:tcW w:w="82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宋体" w:hAnsi="宋体" w:cs="宋体"/>
                <w:b w:val="0"/>
                <w:bCs w:val="0"/>
                <w:i w:val="0"/>
                <w:iCs w:val="0"/>
                <w:color w:val="000000"/>
                <w:kern w:val="0"/>
                <w:sz w:val="18"/>
                <w:szCs w:val="18"/>
                <w:u w:val="none"/>
                <w:lang w:val="en-US" w:eastAsia="zh-CN" w:bidi="ar"/>
              </w:rPr>
            </w:pPr>
            <w:r>
              <w:rPr>
                <w:rFonts w:hint="default" w:ascii="宋体" w:hAnsi="宋体" w:cs="宋体"/>
                <w:b w:val="0"/>
                <w:bCs w:val="0"/>
                <w:i w:val="0"/>
                <w:iCs w:val="0"/>
                <w:color w:val="000000"/>
                <w:kern w:val="0"/>
                <w:sz w:val="18"/>
                <w:szCs w:val="18"/>
                <w:u w:val="none"/>
                <w:lang w:val="en-US" w:eastAsia="zh-CN" w:bidi="ar"/>
              </w:rPr>
              <w:t>訾姣、管晨</w:t>
            </w:r>
          </w:p>
        </w:tc>
        <w:tc>
          <w:tcPr>
            <w:tcW w:w="70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宋体" w:hAnsi="宋体" w:cs="宋体"/>
                <w:b w:val="0"/>
                <w:bCs w:val="0"/>
                <w:i w:val="0"/>
                <w:iCs w:val="0"/>
                <w:color w:val="000000"/>
                <w:kern w:val="0"/>
                <w:sz w:val="18"/>
                <w:szCs w:val="18"/>
                <w:u w:val="none"/>
                <w:lang w:val="en-US" w:eastAsia="zh-CN" w:bidi="ar"/>
              </w:rPr>
            </w:pPr>
            <w:r>
              <w:rPr>
                <w:rFonts w:hint="eastAsia" w:ascii="宋体" w:hAnsi="宋体" w:cs="宋体"/>
                <w:b w:val="0"/>
                <w:bCs w:val="0"/>
                <w:i w:val="0"/>
                <w:iCs w:val="0"/>
                <w:color w:val="000000"/>
                <w:kern w:val="0"/>
                <w:sz w:val="18"/>
                <w:szCs w:val="18"/>
                <w:u w:val="none"/>
                <w:lang w:val="en-US" w:eastAsia="zh-CN" w:bidi="ar"/>
              </w:rPr>
              <w:t>住宅</w:t>
            </w:r>
          </w:p>
        </w:tc>
        <w:tc>
          <w:tcPr>
            <w:tcW w:w="97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宋体" w:hAnsi="宋体" w:cs="宋体"/>
                <w:b w:val="0"/>
                <w:bCs w:val="0"/>
                <w:i w:val="0"/>
                <w:iCs w:val="0"/>
                <w:color w:val="000000"/>
                <w:kern w:val="0"/>
                <w:sz w:val="18"/>
                <w:szCs w:val="18"/>
                <w:u w:val="none"/>
                <w:lang w:val="en-US" w:eastAsia="zh-CN" w:bidi="ar"/>
              </w:rPr>
            </w:pPr>
            <w:r>
              <w:rPr>
                <w:rFonts w:hint="eastAsia" w:ascii="宋体" w:hAnsi="宋体" w:cs="宋体"/>
                <w:b w:val="0"/>
                <w:bCs w:val="0"/>
                <w:i w:val="0"/>
                <w:iCs w:val="0"/>
                <w:color w:val="000000"/>
                <w:kern w:val="0"/>
                <w:sz w:val="18"/>
                <w:szCs w:val="18"/>
                <w:u w:val="none"/>
                <w:lang w:val="en-US" w:eastAsia="zh-CN" w:bidi="ar"/>
              </w:rPr>
              <w:t>122.6</w:t>
            </w:r>
          </w:p>
        </w:tc>
        <w:tc>
          <w:tcPr>
            <w:tcW w:w="64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钢混</w:t>
            </w:r>
          </w:p>
        </w:tc>
        <w:tc>
          <w:tcPr>
            <w:tcW w:w="106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11/30</w:t>
            </w:r>
          </w:p>
        </w:tc>
      </w:tr>
    </w:tbl>
    <w:p>
      <w:pPr>
        <w:pStyle w:val="27"/>
        <w:numPr>
          <w:ilvl w:val="-1"/>
          <w:numId w:val="0"/>
        </w:numPr>
        <w:autoSpaceDE/>
        <w:autoSpaceDN/>
        <w:adjustRightInd/>
        <w:spacing w:before="156" w:beforeLines="50" w:after="156" w:afterLines="50" w:line="360" w:lineRule="auto"/>
        <w:ind w:left="0" w:leftChars="0" w:firstLine="560" w:firstLineChars="200"/>
        <w:jc w:val="both"/>
        <w:textAlignment w:val="auto"/>
        <w:rPr>
          <w:rFonts w:hint="eastAsia" w:ascii="Times New Roman" w:hAnsi="Times New Roman" w:eastAsia="宋体" w:cs="Times New Roman"/>
          <w:b/>
          <w:bCs w:val="0"/>
          <w:szCs w:val="28"/>
          <w:lang w:val="en-US" w:eastAsia="zh-CN"/>
        </w:rPr>
      </w:pPr>
      <w:r>
        <w:rPr>
          <w:rFonts w:hint="eastAsia" w:hAnsi="宋体"/>
          <w:szCs w:val="28"/>
          <w:lang w:eastAsia="zh-CN"/>
        </w:rPr>
        <w:t>估价对象</w:t>
      </w:r>
      <w:r>
        <w:rPr>
          <w:rFonts w:hint="eastAsia" w:hAnsi="宋体"/>
          <w:szCs w:val="28"/>
          <w:lang w:val="en-US" w:eastAsia="zh-CN"/>
        </w:rPr>
        <w:t>财产</w:t>
      </w:r>
      <w:r>
        <w:rPr>
          <w:rFonts w:hint="eastAsia" w:hAnsi="宋体"/>
          <w:szCs w:val="28"/>
          <w:lang w:eastAsia="zh-CN"/>
        </w:rPr>
        <w:t>范围包含房屋</w:t>
      </w:r>
      <w:r>
        <w:rPr>
          <w:rFonts w:hint="eastAsia" w:hAnsi="宋体"/>
          <w:szCs w:val="28"/>
          <w:lang w:val="en-US" w:eastAsia="zh-CN"/>
        </w:rPr>
        <w:t>所有</w:t>
      </w:r>
      <w:r>
        <w:rPr>
          <w:rFonts w:hint="eastAsia" w:hAnsi="宋体"/>
          <w:szCs w:val="28"/>
          <w:lang w:eastAsia="zh-CN"/>
        </w:rPr>
        <w:t>权及其对应分摊的国有建设用地使用权价值</w:t>
      </w:r>
      <w:r>
        <w:rPr>
          <w:rFonts w:hint="eastAsia" w:ascii="Times New Roman" w:hAnsi="Times New Roman" w:eastAsia="宋体" w:cs="Times New Roman"/>
          <w:b w:val="0"/>
          <w:bCs/>
          <w:szCs w:val="28"/>
          <w:lang w:val="en-US" w:eastAsia="zh-CN"/>
        </w:rPr>
        <w:t>、不可拆除或不宜拆除的装饰装修，</w:t>
      </w:r>
      <w:r>
        <w:rPr>
          <w:rFonts w:hint="eastAsia" w:hAnsi="宋体"/>
          <w:szCs w:val="28"/>
          <w:lang w:eastAsia="zh-CN"/>
        </w:rPr>
        <w:t>但不包含</w:t>
      </w:r>
      <w:r>
        <w:rPr>
          <w:rFonts w:hint="eastAsia" w:ascii="Times New Roman" w:hAnsi="Times New Roman" w:eastAsia="宋体" w:cs="Times New Roman"/>
          <w:bCs/>
          <w:szCs w:val="28"/>
          <w:lang w:val="en-US" w:eastAsia="zh-CN"/>
        </w:rPr>
        <w:t>室内动产、债权债务等价值</w:t>
      </w:r>
      <w:r>
        <w:rPr>
          <w:rFonts w:hint="eastAsia" w:hAnsi="宋体"/>
          <w:szCs w:val="28"/>
          <w:lang w:eastAsia="zh-CN"/>
        </w:rPr>
        <w:t>。</w:t>
      </w:r>
    </w:p>
    <w:p>
      <w:pPr>
        <w:pStyle w:val="27"/>
        <w:numPr>
          <w:ilvl w:val="-1"/>
          <w:numId w:val="0"/>
        </w:numPr>
        <w:autoSpaceDE/>
        <w:autoSpaceDN/>
        <w:adjustRightInd/>
        <w:spacing w:before="156" w:beforeLines="50" w:after="156" w:afterLines="50" w:line="360" w:lineRule="auto"/>
        <w:ind w:left="0" w:leftChars="0" w:firstLine="562" w:firstLineChars="200"/>
        <w:jc w:val="both"/>
        <w:textAlignment w:val="auto"/>
        <w:rPr>
          <w:rFonts w:hint="eastAsia" w:ascii="Times New Roman" w:hAnsi="Times New Roman" w:eastAsia="宋体" w:cs="Times New Roman"/>
          <w:b/>
          <w:szCs w:val="28"/>
        </w:rPr>
      </w:pPr>
      <w:r>
        <w:rPr>
          <w:rFonts w:hint="eastAsia" w:ascii="Times New Roman" w:hAnsi="Times New Roman" w:eastAsia="宋体" w:cs="Times New Roman"/>
          <w:b/>
          <w:bCs w:val="0"/>
          <w:szCs w:val="28"/>
          <w:lang w:val="en-US" w:eastAsia="zh-CN"/>
        </w:rPr>
        <w:t>2、</w:t>
      </w:r>
      <w:r>
        <w:rPr>
          <w:rFonts w:hint="eastAsia" w:ascii="Times New Roman" w:hAnsi="Times New Roman" w:eastAsia="宋体" w:cs="Times New Roman"/>
          <w:b/>
          <w:szCs w:val="28"/>
        </w:rPr>
        <w:t>估价对象</w:t>
      </w:r>
      <w:r>
        <w:rPr>
          <w:rFonts w:hint="eastAsia" w:ascii="Times New Roman" w:hAnsi="Times New Roman" w:eastAsia="宋体" w:cs="Times New Roman"/>
          <w:b/>
          <w:szCs w:val="28"/>
          <w:lang w:val="en-US" w:eastAsia="zh-CN"/>
        </w:rPr>
        <w:t>基本</w:t>
      </w:r>
      <w:r>
        <w:rPr>
          <w:rFonts w:hint="eastAsia" w:ascii="Times New Roman" w:hAnsi="Times New Roman" w:eastAsia="宋体" w:cs="Times New Roman"/>
          <w:b/>
          <w:szCs w:val="28"/>
        </w:rPr>
        <w:t>状况</w:t>
      </w:r>
    </w:p>
    <w:p>
      <w:pPr>
        <w:pStyle w:val="27"/>
        <w:numPr>
          <w:ilvl w:val="0"/>
          <w:numId w:val="0"/>
        </w:numPr>
        <w:autoSpaceDE/>
        <w:autoSpaceDN/>
        <w:adjustRightInd/>
        <w:spacing w:before="156" w:beforeLines="50" w:after="156" w:afterLines="50" w:line="360" w:lineRule="auto"/>
        <w:ind w:left="0" w:leftChars="0" w:firstLine="560" w:firstLineChars="200"/>
        <w:jc w:val="both"/>
        <w:textAlignment w:val="auto"/>
        <w:rPr>
          <w:rFonts w:hint="eastAsia" w:hAnsi="宋体"/>
          <w:sz w:val="28"/>
          <w:szCs w:val="28"/>
          <w:lang w:val="en-US" w:eastAsia="zh-CN"/>
        </w:rPr>
      </w:pPr>
      <w:r>
        <w:rPr>
          <w:rFonts w:hint="eastAsia" w:ascii="Times New Roman" w:hAnsi="Times New Roman" w:eastAsia="宋体" w:cs="Times New Roman"/>
          <w:bCs/>
          <w:sz w:val="28"/>
          <w:szCs w:val="28"/>
          <w:lang w:val="en-US" w:eastAsia="zh-CN"/>
        </w:rPr>
        <w:t>2.1</w:t>
      </w:r>
      <w:r>
        <w:rPr>
          <w:rFonts w:hint="eastAsia" w:hAnsi="宋体"/>
          <w:sz w:val="28"/>
          <w:szCs w:val="28"/>
          <w:lang w:val="en-US" w:eastAsia="zh-CN"/>
        </w:rPr>
        <w:t>建筑物基本情况</w:t>
      </w:r>
    </w:p>
    <w:tbl>
      <w:tblPr>
        <w:tblStyle w:val="17"/>
        <w:tblW w:w="9622" w:type="dxa"/>
        <w:jc w:val="center"/>
        <w:tblLayout w:type="fixed"/>
        <w:tblCellMar>
          <w:top w:w="0" w:type="dxa"/>
          <w:left w:w="108" w:type="dxa"/>
          <w:bottom w:w="0" w:type="dxa"/>
          <w:right w:w="108" w:type="dxa"/>
        </w:tblCellMar>
      </w:tblPr>
      <w:tblGrid>
        <w:gridCol w:w="469"/>
        <w:gridCol w:w="885"/>
        <w:gridCol w:w="1170"/>
        <w:gridCol w:w="903"/>
        <w:gridCol w:w="1347"/>
        <w:gridCol w:w="980"/>
        <w:gridCol w:w="1018"/>
        <w:gridCol w:w="1080"/>
        <w:gridCol w:w="1140"/>
        <w:gridCol w:w="630"/>
      </w:tblGrid>
      <w:tr>
        <w:tblPrEx>
          <w:tblCellMar>
            <w:top w:w="0" w:type="dxa"/>
            <w:left w:w="108" w:type="dxa"/>
            <w:bottom w:w="0" w:type="dxa"/>
            <w:right w:w="108" w:type="dxa"/>
          </w:tblCellMar>
        </w:tblPrEx>
        <w:trPr>
          <w:trHeight w:val="315" w:hRule="atLeast"/>
          <w:jc w:val="center"/>
        </w:trPr>
        <w:tc>
          <w:tcPr>
            <w:tcW w:w="469" w:type="dxa"/>
            <w:vMerge w:val="restar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序号</w:t>
            </w:r>
          </w:p>
        </w:tc>
        <w:tc>
          <w:tcPr>
            <w:tcW w:w="885"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名称</w:t>
            </w:r>
          </w:p>
        </w:tc>
        <w:tc>
          <w:tcPr>
            <w:tcW w:w="1170"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建筑面积（㎡）</w:t>
            </w:r>
          </w:p>
        </w:tc>
        <w:tc>
          <w:tcPr>
            <w:tcW w:w="903"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结构</w:t>
            </w:r>
          </w:p>
        </w:tc>
        <w:tc>
          <w:tcPr>
            <w:tcW w:w="1347"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设施设备</w:t>
            </w:r>
          </w:p>
        </w:tc>
        <w:tc>
          <w:tcPr>
            <w:tcW w:w="980"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装饰装修</w:t>
            </w:r>
          </w:p>
        </w:tc>
        <w:tc>
          <w:tcPr>
            <w:tcW w:w="1018"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空间布局</w:t>
            </w:r>
          </w:p>
        </w:tc>
        <w:tc>
          <w:tcPr>
            <w:tcW w:w="1080"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建筑功能</w:t>
            </w:r>
          </w:p>
        </w:tc>
        <w:tc>
          <w:tcPr>
            <w:tcW w:w="1140"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外观</w:t>
            </w:r>
          </w:p>
        </w:tc>
        <w:tc>
          <w:tcPr>
            <w:tcW w:w="630"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新旧程度</w:t>
            </w:r>
          </w:p>
        </w:tc>
      </w:tr>
      <w:tr>
        <w:tblPrEx>
          <w:tblCellMar>
            <w:top w:w="0" w:type="dxa"/>
            <w:left w:w="108" w:type="dxa"/>
            <w:bottom w:w="0" w:type="dxa"/>
            <w:right w:w="108" w:type="dxa"/>
          </w:tblCellMar>
        </w:tblPrEx>
        <w:trPr>
          <w:trHeight w:val="312" w:hRule="atLeast"/>
          <w:jc w:val="center"/>
        </w:trPr>
        <w:tc>
          <w:tcPr>
            <w:tcW w:w="469"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hint="eastAsia" w:ascii="宋体" w:hAnsi="宋体" w:eastAsia="宋体" w:cs="宋体"/>
                <w:b/>
                <w:bCs/>
                <w:i w:val="0"/>
                <w:iCs w:val="0"/>
                <w:color w:val="000000"/>
                <w:sz w:val="18"/>
                <w:szCs w:val="18"/>
                <w:u w:val="none"/>
              </w:rPr>
            </w:pPr>
          </w:p>
        </w:tc>
        <w:tc>
          <w:tcPr>
            <w:tcW w:w="885"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70"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903"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347"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980"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018"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1140"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c>
          <w:tcPr>
            <w:tcW w:w="630"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sz w:val="18"/>
                <w:szCs w:val="18"/>
                <w:u w:val="none"/>
              </w:rPr>
            </w:pPr>
          </w:p>
        </w:tc>
      </w:tr>
      <w:tr>
        <w:tblPrEx>
          <w:tblCellMar>
            <w:top w:w="0" w:type="dxa"/>
            <w:left w:w="108" w:type="dxa"/>
            <w:bottom w:w="0" w:type="dxa"/>
            <w:right w:w="108" w:type="dxa"/>
          </w:tblCellMar>
        </w:tblPrEx>
        <w:trPr>
          <w:trHeight w:val="760" w:hRule="atLeast"/>
          <w:jc w:val="center"/>
        </w:trPr>
        <w:tc>
          <w:tcPr>
            <w:tcW w:w="469"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sz w:val="18"/>
                <w:szCs w:val="18"/>
                <w:u w:val="none"/>
                <w:lang w:val="en-US" w:eastAsia="zh-CN"/>
              </w:rPr>
              <w:t>梁才怡苑</w:t>
            </w:r>
          </w:p>
        </w:tc>
        <w:tc>
          <w:tcPr>
            <w:tcW w:w="117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122.6</w:t>
            </w:r>
          </w:p>
        </w:tc>
        <w:tc>
          <w:tcPr>
            <w:tcW w:w="90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钢混</w:t>
            </w:r>
          </w:p>
        </w:tc>
        <w:tc>
          <w:tcPr>
            <w:tcW w:w="1347"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水电、消防及电梯等设施设备配套较齐全</w:t>
            </w:r>
          </w:p>
        </w:tc>
        <w:tc>
          <w:tcPr>
            <w:tcW w:w="98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毛坯</w:t>
            </w:r>
          </w:p>
        </w:tc>
        <w:tc>
          <w:tcPr>
            <w:tcW w:w="1018"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适宜利用</w:t>
            </w:r>
          </w:p>
        </w:tc>
        <w:tc>
          <w:tcPr>
            <w:tcW w:w="108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能够满足一般居住使用需要</w:t>
            </w:r>
          </w:p>
        </w:tc>
        <w:tc>
          <w:tcPr>
            <w:tcW w:w="11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外形规整，装饰颜色比较稳重</w:t>
            </w:r>
          </w:p>
        </w:tc>
        <w:tc>
          <w:tcPr>
            <w:tcW w:w="63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较新</w:t>
            </w:r>
          </w:p>
        </w:tc>
      </w:tr>
    </w:tbl>
    <w:p>
      <w:pPr>
        <w:pStyle w:val="27"/>
        <w:numPr>
          <w:ilvl w:val="0"/>
          <w:numId w:val="0"/>
        </w:numPr>
        <w:autoSpaceDE/>
        <w:autoSpaceDN/>
        <w:adjustRightInd/>
        <w:spacing w:before="156" w:beforeLines="50" w:after="156" w:afterLines="50" w:line="360" w:lineRule="auto"/>
        <w:ind w:left="0" w:leftChars="0" w:firstLine="560" w:firstLineChars="0"/>
        <w:jc w:val="both"/>
        <w:textAlignment w:val="auto"/>
        <w:rPr>
          <w:rFonts w:hint="eastAsia" w:hAnsi="宋体"/>
          <w:sz w:val="28"/>
          <w:szCs w:val="28"/>
          <w:lang w:val="en-US" w:eastAsia="zh-CN"/>
        </w:rPr>
      </w:pPr>
      <w:r>
        <w:rPr>
          <w:rFonts w:hint="eastAsia" w:ascii="Times New Roman" w:hAnsi="Times New Roman" w:eastAsia="宋体" w:cs="Times New Roman"/>
          <w:bCs/>
          <w:sz w:val="28"/>
          <w:szCs w:val="28"/>
          <w:lang w:val="en-US" w:eastAsia="zh-CN"/>
        </w:rPr>
        <w:t>2.2</w:t>
      </w:r>
      <w:r>
        <w:rPr>
          <w:rFonts w:hint="eastAsia" w:hAnsi="宋体"/>
          <w:sz w:val="28"/>
          <w:szCs w:val="28"/>
          <w:lang w:val="en-US" w:eastAsia="zh-CN"/>
        </w:rPr>
        <w:t>共用宗地基本情况</w:t>
      </w:r>
    </w:p>
    <w:tbl>
      <w:tblPr>
        <w:tblStyle w:val="17"/>
        <w:tblW w:w="4540" w:type="pct"/>
        <w:jc w:val="center"/>
        <w:tblLayout w:type="fixed"/>
        <w:tblCellMar>
          <w:top w:w="0" w:type="dxa"/>
          <w:left w:w="108" w:type="dxa"/>
          <w:bottom w:w="0" w:type="dxa"/>
          <w:right w:w="108" w:type="dxa"/>
        </w:tblCellMar>
      </w:tblPr>
      <w:tblGrid>
        <w:gridCol w:w="877"/>
        <w:gridCol w:w="1185"/>
        <w:gridCol w:w="1035"/>
        <w:gridCol w:w="823"/>
        <w:gridCol w:w="2921"/>
        <w:gridCol w:w="897"/>
      </w:tblGrid>
      <w:tr>
        <w:tblPrEx>
          <w:tblCellMar>
            <w:top w:w="0" w:type="dxa"/>
            <w:left w:w="108" w:type="dxa"/>
            <w:bottom w:w="0" w:type="dxa"/>
            <w:right w:w="108" w:type="dxa"/>
          </w:tblCellMar>
        </w:tblPrEx>
        <w:trPr>
          <w:trHeight w:val="420" w:hRule="atLeast"/>
          <w:jc w:val="center"/>
        </w:trPr>
        <w:tc>
          <w:tcPr>
            <w:tcW w:w="5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序号</w:t>
            </w:r>
          </w:p>
        </w:tc>
        <w:tc>
          <w:tcPr>
            <w:tcW w:w="7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名称</w:t>
            </w:r>
          </w:p>
        </w:tc>
        <w:tc>
          <w:tcPr>
            <w:tcW w:w="6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cs="宋体"/>
                <w:b w:val="0"/>
                <w:bCs w:val="0"/>
                <w:i w:val="0"/>
                <w:iCs w:val="0"/>
                <w:color w:val="000000"/>
                <w:kern w:val="0"/>
                <w:sz w:val="18"/>
                <w:szCs w:val="18"/>
                <w:u w:val="none"/>
                <w:lang w:val="en-US" w:eastAsia="zh-CN" w:bidi="ar"/>
              </w:rPr>
              <w:t>土地使用权</w:t>
            </w:r>
            <w:r>
              <w:rPr>
                <w:rFonts w:hint="eastAsia" w:ascii="宋体" w:hAnsi="宋体" w:eastAsia="宋体" w:cs="宋体"/>
                <w:b w:val="0"/>
                <w:bCs w:val="0"/>
                <w:i w:val="0"/>
                <w:iCs w:val="0"/>
                <w:color w:val="000000"/>
                <w:kern w:val="0"/>
                <w:sz w:val="18"/>
                <w:szCs w:val="18"/>
                <w:u w:val="none"/>
                <w:lang w:val="en-US" w:eastAsia="zh-CN" w:bidi="ar"/>
              </w:rPr>
              <w:t>用途</w:t>
            </w:r>
          </w:p>
        </w:tc>
        <w:tc>
          <w:tcPr>
            <w:tcW w:w="5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hAnsi="宋体" w:eastAsia="宋体" w:cs="宋体"/>
                <w:b w:val="0"/>
                <w:bCs w:val="0"/>
                <w:i w:val="0"/>
                <w:iCs w:val="0"/>
                <w:color w:val="000000"/>
                <w:kern w:val="0"/>
                <w:sz w:val="18"/>
                <w:szCs w:val="18"/>
                <w:u w:val="none"/>
                <w:lang w:val="en-US" w:eastAsia="zh-CN" w:bidi="ar"/>
              </w:rPr>
              <w:t>使用性质</w:t>
            </w:r>
          </w:p>
        </w:tc>
        <w:tc>
          <w:tcPr>
            <w:tcW w:w="1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四至</w:t>
            </w:r>
          </w:p>
        </w:tc>
        <w:tc>
          <w:tcPr>
            <w:tcW w:w="5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形状</w:t>
            </w:r>
          </w:p>
        </w:tc>
      </w:tr>
      <w:tr>
        <w:tblPrEx>
          <w:tblCellMar>
            <w:top w:w="0" w:type="dxa"/>
            <w:left w:w="108" w:type="dxa"/>
            <w:bottom w:w="0" w:type="dxa"/>
            <w:right w:w="108" w:type="dxa"/>
          </w:tblCellMar>
        </w:tblPrEx>
        <w:trPr>
          <w:trHeight w:val="720" w:hRule="atLeast"/>
          <w:jc w:val="center"/>
        </w:trPr>
        <w:tc>
          <w:tcPr>
            <w:tcW w:w="5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w:t>
            </w:r>
          </w:p>
        </w:tc>
        <w:tc>
          <w:tcPr>
            <w:tcW w:w="7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i w:val="0"/>
                <w:iCs w:val="0"/>
                <w:color w:val="000000"/>
                <w:sz w:val="18"/>
                <w:szCs w:val="18"/>
                <w:u w:val="none"/>
                <w:lang w:val="en-US" w:eastAsia="zh-CN"/>
              </w:rPr>
              <w:t>梁才怡苑</w:t>
            </w:r>
          </w:p>
        </w:tc>
        <w:tc>
          <w:tcPr>
            <w:tcW w:w="6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住宅用地</w:t>
            </w:r>
          </w:p>
        </w:tc>
        <w:tc>
          <w:tcPr>
            <w:tcW w:w="5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hAnsi="宋体" w:eastAsia="宋体" w:cs="宋体"/>
                <w:b w:val="0"/>
                <w:bCs w:val="0"/>
                <w:i w:val="0"/>
                <w:iCs w:val="0"/>
                <w:color w:val="000000"/>
                <w:kern w:val="0"/>
                <w:sz w:val="18"/>
                <w:szCs w:val="18"/>
                <w:u w:val="none"/>
                <w:lang w:val="en-US" w:eastAsia="zh-CN" w:bidi="ar"/>
              </w:rPr>
              <w:t>出让</w:t>
            </w:r>
          </w:p>
        </w:tc>
        <w:tc>
          <w:tcPr>
            <w:tcW w:w="1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北至凤山大道、南至相邻道路、西至相邻道路、东至相邻楼盘</w:t>
            </w:r>
          </w:p>
        </w:tc>
        <w:tc>
          <w:tcPr>
            <w:tcW w:w="5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hAnsi="宋体" w:eastAsia="宋体" w:cs="宋体"/>
                <w:i w:val="0"/>
                <w:iCs w:val="0"/>
                <w:color w:val="000000"/>
                <w:sz w:val="18"/>
                <w:szCs w:val="18"/>
                <w:u w:val="none"/>
                <w:lang w:val="en-US" w:eastAsia="zh-CN"/>
              </w:rPr>
              <w:t>多边形</w:t>
            </w:r>
          </w:p>
        </w:tc>
      </w:tr>
    </w:tbl>
    <w:p>
      <w:pPr>
        <w:pStyle w:val="3"/>
        <w:tabs>
          <w:tab w:val="left" w:pos="2760"/>
          <w:tab w:val="center" w:pos="4535"/>
        </w:tabs>
        <w:autoSpaceDE w:val="0"/>
        <w:autoSpaceDN w:val="0"/>
        <w:spacing w:before="157" w:beforeLines="50" w:after="157" w:afterLines="50" w:line="579" w:lineRule="auto"/>
        <w:ind w:firstLine="562" w:firstLineChars="200"/>
        <w:jc w:val="left"/>
        <w:textAlignment w:val="baseline"/>
        <w:rPr>
          <w:rFonts w:ascii="宋体" w:hAnsiTheme="minorHAnsi" w:eastAsiaTheme="minorEastAsia" w:cstheme="minorBidi"/>
          <w:b/>
          <w:sz w:val="28"/>
          <w:szCs w:val="28"/>
        </w:rPr>
      </w:pPr>
      <w:bookmarkStart w:id="210" w:name="_Toc133"/>
      <w:bookmarkStart w:id="211" w:name="_Toc3186"/>
      <w:bookmarkStart w:id="212" w:name="_Toc32214"/>
      <w:bookmarkStart w:id="213" w:name="_Toc4315"/>
      <w:bookmarkStart w:id="214" w:name="_Toc6137"/>
      <w:bookmarkStart w:id="215" w:name="_Toc2774"/>
      <w:bookmarkStart w:id="216" w:name="_Toc21349"/>
      <w:r>
        <w:rPr>
          <w:rFonts w:hint="default" w:ascii="宋体" w:hAnsiTheme="minorHAnsi" w:eastAsiaTheme="minorEastAsia" w:cstheme="minorBidi"/>
          <w:b/>
          <w:sz w:val="28"/>
          <w:szCs w:val="28"/>
        </w:rPr>
        <w:t>五、价值时点</w:t>
      </w:r>
      <w:bookmarkEnd w:id="210"/>
      <w:bookmarkEnd w:id="211"/>
      <w:bookmarkEnd w:id="212"/>
      <w:bookmarkEnd w:id="213"/>
      <w:bookmarkEnd w:id="214"/>
      <w:bookmarkEnd w:id="215"/>
      <w:bookmarkEnd w:id="216"/>
    </w:p>
    <w:p>
      <w:pPr>
        <w:pStyle w:val="27"/>
        <w:numPr>
          <w:ilvl w:val="-1"/>
          <w:numId w:val="0"/>
        </w:numPr>
        <w:autoSpaceDE/>
        <w:autoSpaceDN/>
        <w:adjustRightInd/>
        <w:spacing w:before="156" w:beforeLines="50" w:after="156" w:afterLines="50" w:line="360" w:lineRule="auto"/>
        <w:ind w:left="0" w:leftChars="0" w:firstLine="560" w:firstLineChars="200"/>
        <w:jc w:val="both"/>
        <w:textAlignment w:val="auto"/>
        <w:rPr>
          <w:rFonts w:hint="eastAsia" w:hAnsi="宋体"/>
          <w:sz w:val="28"/>
          <w:szCs w:val="28"/>
          <w:lang w:val="en-US" w:eastAsia="zh-CN"/>
        </w:rPr>
      </w:pPr>
      <w:r>
        <w:rPr>
          <w:rFonts w:hint="eastAsia" w:ascii="Times New Roman" w:hAnsi="Times New Roman" w:eastAsia="宋体" w:cs="Times New Roman"/>
          <w:bCs/>
          <w:szCs w:val="28"/>
        </w:rPr>
        <w:t>价值时点为</w:t>
      </w:r>
      <w:r>
        <w:rPr>
          <w:rFonts w:hint="eastAsia" w:ascii="Times New Roman" w:hAnsi="Times New Roman" w:eastAsia="宋体" w:cs="Times New Roman"/>
          <w:bCs/>
          <w:szCs w:val="28"/>
          <w:lang w:eastAsia="zh-CN"/>
        </w:rPr>
        <w:t>20</w:t>
      </w:r>
      <w:r>
        <w:rPr>
          <w:rFonts w:hint="eastAsia" w:ascii="Times New Roman" w:hAnsi="Times New Roman" w:eastAsia="宋体" w:cs="Times New Roman"/>
          <w:bCs/>
          <w:szCs w:val="28"/>
          <w:lang w:val="en-US" w:eastAsia="zh-CN"/>
        </w:rPr>
        <w:t>22</w:t>
      </w:r>
      <w:r>
        <w:rPr>
          <w:rFonts w:hint="eastAsia" w:ascii="Times New Roman" w:hAnsi="Times New Roman" w:eastAsia="宋体" w:cs="Times New Roman"/>
          <w:bCs/>
          <w:szCs w:val="28"/>
          <w:lang w:eastAsia="zh-CN"/>
        </w:rPr>
        <w:t>年</w:t>
      </w:r>
      <w:r>
        <w:rPr>
          <w:rFonts w:hint="eastAsia" w:ascii="Times New Roman" w:hAnsi="Times New Roman" w:eastAsia="宋体" w:cs="Times New Roman"/>
          <w:bCs/>
          <w:szCs w:val="28"/>
          <w:lang w:val="en-US" w:eastAsia="zh-CN"/>
        </w:rPr>
        <w:t>5</w:t>
      </w:r>
      <w:r>
        <w:rPr>
          <w:rFonts w:hint="eastAsia" w:ascii="Times New Roman" w:hAnsi="Times New Roman" w:eastAsia="宋体" w:cs="Times New Roman"/>
          <w:bCs/>
          <w:szCs w:val="28"/>
          <w:lang w:eastAsia="zh-CN"/>
        </w:rPr>
        <w:t>月</w:t>
      </w:r>
      <w:r>
        <w:rPr>
          <w:rFonts w:hint="eastAsia" w:ascii="Times New Roman" w:hAnsi="Times New Roman" w:eastAsia="宋体" w:cs="Times New Roman"/>
          <w:bCs/>
          <w:szCs w:val="28"/>
          <w:lang w:val="en-US" w:eastAsia="zh-CN"/>
        </w:rPr>
        <w:t>13</w:t>
      </w:r>
      <w:r>
        <w:rPr>
          <w:rFonts w:hint="eastAsia" w:ascii="Times New Roman" w:hAnsi="Times New Roman" w:eastAsia="宋体" w:cs="Times New Roman"/>
          <w:bCs/>
          <w:szCs w:val="28"/>
          <w:lang w:eastAsia="zh-CN"/>
        </w:rPr>
        <w:t>日</w:t>
      </w:r>
      <w:r>
        <w:rPr>
          <w:rFonts w:hint="eastAsia" w:ascii="Times New Roman" w:hAnsi="Times New Roman" w:eastAsia="宋体" w:cs="Times New Roman"/>
          <w:bCs/>
          <w:szCs w:val="28"/>
        </w:rPr>
        <w:t>，系</w:t>
      </w:r>
      <w:r>
        <w:rPr>
          <w:rFonts w:hint="eastAsia" w:ascii="Times New Roman" w:hAnsi="Times New Roman" w:eastAsia="宋体" w:cs="Times New Roman"/>
          <w:bCs/>
          <w:szCs w:val="28"/>
          <w:lang w:val="en-US" w:eastAsia="zh-CN"/>
        </w:rPr>
        <w:t>注册房地产估价师</w:t>
      </w:r>
      <w:r>
        <w:rPr>
          <w:rFonts w:hint="eastAsia" w:ascii="Times New Roman" w:hAnsi="Times New Roman" w:eastAsia="宋体" w:cs="Times New Roman"/>
          <w:bCs/>
          <w:szCs w:val="28"/>
        </w:rPr>
        <w:t>现场查勘之日。</w:t>
      </w:r>
    </w:p>
    <w:p>
      <w:pPr>
        <w:pStyle w:val="3"/>
        <w:tabs>
          <w:tab w:val="left" w:pos="2760"/>
          <w:tab w:val="center" w:pos="4535"/>
        </w:tabs>
        <w:autoSpaceDE w:val="0"/>
        <w:autoSpaceDN w:val="0"/>
        <w:spacing w:before="157" w:beforeLines="50" w:after="157" w:afterLines="50" w:line="579" w:lineRule="auto"/>
        <w:ind w:firstLine="562" w:firstLineChars="200"/>
        <w:jc w:val="left"/>
        <w:textAlignment w:val="baseline"/>
        <w:rPr>
          <w:rFonts w:hint="default" w:ascii="宋体" w:hAnsiTheme="minorHAnsi" w:eastAsiaTheme="minorEastAsia" w:cstheme="minorBidi"/>
          <w:b/>
          <w:sz w:val="28"/>
          <w:szCs w:val="28"/>
          <w:lang w:eastAsia="zh-CN"/>
        </w:rPr>
      </w:pPr>
      <w:bookmarkStart w:id="217" w:name="_Toc440992061"/>
      <w:bookmarkStart w:id="218" w:name="_Toc10555"/>
      <w:bookmarkStart w:id="219" w:name="_Toc440990681"/>
      <w:bookmarkStart w:id="220" w:name="_Toc20501"/>
      <w:bookmarkStart w:id="221" w:name="_Toc10217"/>
      <w:bookmarkStart w:id="222" w:name="_Toc25752"/>
      <w:bookmarkStart w:id="223" w:name="_Toc30091"/>
      <w:bookmarkStart w:id="224" w:name="_Toc12520"/>
      <w:bookmarkStart w:id="225" w:name="_Toc8950"/>
      <w:bookmarkStart w:id="226" w:name="_Toc27953"/>
      <w:bookmarkStart w:id="227" w:name="_Toc4837"/>
      <w:bookmarkStart w:id="228" w:name="_Toc14091"/>
      <w:bookmarkStart w:id="229" w:name="_Toc2534"/>
      <w:bookmarkStart w:id="230" w:name="_Toc9585"/>
      <w:bookmarkStart w:id="231" w:name="_Toc27081"/>
      <w:bookmarkStart w:id="232" w:name="_Toc24785"/>
      <w:bookmarkStart w:id="233" w:name="_Toc1244"/>
      <w:bookmarkStart w:id="234" w:name="_Toc27527"/>
      <w:bookmarkStart w:id="235" w:name="_Toc8490"/>
      <w:bookmarkStart w:id="236" w:name="_Toc21086"/>
      <w:bookmarkStart w:id="237" w:name="_Toc17597"/>
      <w:bookmarkStart w:id="238" w:name="_Toc23833"/>
      <w:bookmarkStart w:id="239" w:name="_Toc10711"/>
      <w:bookmarkStart w:id="240" w:name="_Toc29082"/>
      <w:bookmarkStart w:id="241" w:name="_Toc8215"/>
      <w:bookmarkStart w:id="242" w:name="_Toc4883"/>
      <w:bookmarkStart w:id="243" w:name="_Toc4553"/>
      <w:bookmarkStart w:id="244" w:name="_Toc1694"/>
      <w:r>
        <w:rPr>
          <w:rFonts w:hint="default" w:ascii="宋体" w:hAnsiTheme="minorHAnsi" w:eastAsiaTheme="minorEastAsia" w:cstheme="minorBidi"/>
          <w:b/>
          <w:sz w:val="28"/>
          <w:szCs w:val="28"/>
        </w:rPr>
        <w:t>六、价值</w:t>
      </w:r>
      <w:bookmarkEnd w:id="217"/>
      <w:bookmarkEnd w:id="218"/>
      <w:bookmarkEnd w:id="219"/>
      <w:bookmarkEnd w:id="220"/>
      <w:bookmarkEnd w:id="221"/>
      <w:r>
        <w:rPr>
          <w:rFonts w:hint="default" w:ascii="宋体" w:hAnsiTheme="minorHAnsi" w:eastAsiaTheme="minorEastAsia" w:cstheme="minorBidi"/>
          <w:b/>
          <w:sz w:val="28"/>
          <w:szCs w:val="28"/>
          <w:lang w:val="en-US" w:eastAsia="zh-CN"/>
        </w:rPr>
        <w:t>类型</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adjustRightInd/>
        <w:ind w:firstLine="561"/>
        <w:jc w:val="both"/>
      </w:pPr>
      <w:bookmarkStart w:id="245" w:name="_Toc440992062"/>
      <w:bookmarkStart w:id="246" w:name="_Toc440990682"/>
      <w:bookmarkStart w:id="247" w:name="_Toc31835"/>
      <w:bookmarkStart w:id="248" w:name="_Toc8397"/>
      <w:bookmarkStart w:id="249" w:name="_Toc27632"/>
      <w:r>
        <w:rPr>
          <w:rFonts w:hint="eastAsia"/>
        </w:rPr>
        <w:t>本报告书提供的房地产价值是满足本报告假设限制条件下于价值时点的房地产市场价值。</w:t>
      </w:r>
    </w:p>
    <w:p>
      <w:pPr>
        <w:ind w:firstLine="560"/>
        <w:rPr>
          <w:rFonts w:hint="eastAsia" w:ascii="Times New Roman" w:hAnsi="Times New Roman" w:eastAsia="宋体" w:cs="Times New Roman"/>
          <w:bCs/>
          <w:szCs w:val="28"/>
          <w:lang w:eastAsia="zh-CN"/>
        </w:rPr>
      </w:pPr>
      <w:r>
        <w:rPr>
          <w:rFonts w:hint="eastAsia" w:hAnsi="宋体"/>
          <w:szCs w:val="28"/>
          <w:lang w:val="en-US" w:eastAsia="zh-CN"/>
        </w:rPr>
        <w:t>价值定义：</w:t>
      </w:r>
      <w:r>
        <w:rPr>
          <w:rFonts w:hint="eastAsia"/>
        </w:rPr>
        <w:t>市场价值是指估价对象经适当营销后，由熟悉情况、谨慎行事且不受强迫的交易双方，以公平交易方式在价值时点自愿进行交易的金额。</w:t>
      </w:r>
    </w:p>
    <w:p>
      <w:pPr>
        <w:pStyle w:val="3"/>
        <w:tabs>
          <w:tab w:val="left" w:pos="2760"/>
          <w:tab w:val="center" w:pos="4535"/>
        </w:tabs>
        <w:autoSpaceDE w:val="0"/>
        <w:autoSpaceDN w:val="0"/>
        <w:spacing w:before="157" w:after="157" w:line="579" w:lineRule="auto"/>
        <w:ind w:firstLine="562" w:firstLineChars="200"/>
        <w:jc w:val="left"/>
        <w:textAlignment w:val="baseline"/>
        <w:rPr>
          <w:rFonts w:ascii="宋体" w:hAnsiTheme="minorHAnsi" w:eastAsiaTheme="minorEastAsia" w:cstheme="minorBidi"/>
          <w:b/>
          <w:sz w:val="28"/>
          <w:szCs w:val="28"/>
        </w:rPr>
      </w:pPr>
      <w:bookmarkStart w:id="250" w:name="_Toc27086"/>
      <w:bookmarkStart w:id="251" w:name="_Toc7790"/>
      <w:bookmarkStart w:id="252" w:name="_Toc22341"/>
      <w:bookmarkStart w:id="253" w:name="_Toc10004"/>
      <w:bookmarkStart w:id="254" w:name="_Toc25893"/>
      <w:bookmarkStart w:id="255" w:name="_Toc16859"/>
      <w:bookmarkStart w:id="256" w:name="_Toc12320"/>
      <w:bookmarkStart w:id="257" w:name="_Toc32716"/>
      <w:bookmarkStart w:id="258" w:name="_Toc29698"/>
      <w:bookmarkStart w:id="259" w:name="_Toc11211"/>
      <w:bookmarkStart w:id="260" w:name="_Toc18246"/>
      <w:bookmarkStart w:id="261" w:name="_Toc270"/>
      <w:bookmarkStart w:id="262" w:name="_Toc5393"/>
      <w:bookmarkStart w:id="263" w:name="_Toc23081"/>
      <w:bookmarkStart w:id="264" w:name="_Toc6297"/>
      <w:bookmarkStart w:id="265" w:name="_Toc23012"/>
      <w:bookmarkStart w:id="266" w:name="_Toc12469"/>
      <w:bookmarkStart w:id="267" w:name="_Toc20371"/>
      <w:bookmarkStart w:id="268" w:name="_Toc8727"/>
      <w:bookmarkStart w:id="269" w:name="_Toc18750"/>
      <w:bookmarkStart w:id="270" w:name="_Toc12623"/>
      <w:bookmarkStart w:id="271" w:name="_Toc19041"/>
      <w:r>
        <w:rPr>
          <w:rFonts w:hint="default" w:ascii="宋体" w:hAnsiTheme="minorHAnsi" w:eastAsiaTheme="minorEastAsia" w:cstheme="minorBidi"/>
          <w:b/>
          <w:sz w:val="28"/>
          <w:szCs w:val="28"/>
          <w:lang w:val="en-US" w:eastAsia="zh-CN"/>
        </w:rPr>
        <w:t>七</w:t>
      </w:r>
      <w:r>
        <w:rPr>
          <w:rFonts w:hint="default" w:ascii="宋体" w:hAnsiTheme="minorHAnsi" w:eastAsiaTheme="minorEastAsia" w:cstheme="minorBidi"/>
          <w:b/>
          <w:sz w:val="28"/>
          <w:szCs w:val="28"/>
        </w:rPr>
        <w:t>、估价原则</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27"/>
        <w:autoSpaceDE/>
        <w:autoSpaceDN/>
        <w:adjustRightInd/>
        <w:spacing w:before="156" w:beforeLines="50" w:after="156"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本估价报告在遵循客观、公正、科学、合理的基本原则下，结合估价目的对估价对象进行评估。具体依据如下估价原则：客观、独立、公正原则、合法原则、最高最佳使用原则、替代原则、价值时点原则。</w:t>
      </w:r>
    </w:p>
    <w:p>
      <w:pPr>
        <w:pStyle w:val="27"/>
        <w:autoSpaceDE/>
        <w:autoSpaceDN/>
        <w:adjustRightInd/>
        <w:spacing w:before="156" w:beforeLines="50" w:after="156" w:afterLines="50" w:line="360" w:lineRule="auto"/>
        <w:ind w:firstLine="562"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
          <w:szCs w:val="28"/>
        </w:rPr>
        <w:t>1、客观、独立、公正原则</w:t>
      </w:r>
      <w:r>
        <w:rPr>
          <w:rFonts w:hint="eastAsia" w:ascii="Times New Roman" w:hAnsi="Times New Roman" w:eastAsia="宋体" w:cs="Times New Roman"/>
          <w:bCs/>
          <w:szCs w:val="28"/>
        </w:rPr>
        <w:t>：要求站在中立的立场上，实事求是、公平正直地评估出对各方估价利害关系人均是公平合理的价值或价格的原则。</w:t>
      </w:r>
    </w:p>
    <w:p>
      <w:pPr>
        <w:pStyle w:val="27"/>
        <w:autoSpaceDE/>
        <w:autoSpaceDN/>
        <w:adjustRightInd/>
        <w:spacing w:before="156" w:beforeLines="50" w:after="156" w:afterLines="50" w:line="360" w:lineRule="auto"/>
        <w:ind w:firstLine="562"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
          <w:szCs w:val="28"/>
        </w:rPr>
        <w:t>2、合法原则：</w:t>
      </w:r>
      <w:r>
        <w:rPr>
          <w:rFonts w:hint="eastAsia" w:ascii="Times New Roman" w:hAnsi="Times New Roman" w:eastAsia="宋体" w:cs="Times New Roman"/>
          <w:bCs/>
          <w:szCs w:val="28"/>
        </w:rPr>
        <w:t>要求估价结果是在依法判定的估价对象状况下的价值或价格的原则。</w:t>
      </w:r>
    </w:p>
    <w:p>
      <w:pPr>
        <w:pStyle w:val="27"/>
        <w:autoSpaceDE/>
        <w:autoSpaceDN/>
        <w:adjustRightInd/>
        <w:spacing w:before="156" w:beforeLines="50" w:after="156" w:afterLines="50" w:line="360" w:lineRule="auto"/>
        <w:ind w:firstLine="562"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
          <w:szCs w:val="28"/>
        </w:rPr>
        <w:t>3、价值时点原则：</w:t>
      </w:r>
      <w:r>
        <w:rPr>
          <w:rFonts w:hint="eastAsia" w:ascii="Times New Roman" w:hAnsi="Times New Roman" w:eastAsia="宋体" w:cs="Times New Roman"/>
          <w:bCs/>
          <w:szCs w:val="28"/>
        </w:rPr>
        <w:t>要求估价结果是在根据估价目的确定的某一特定时间的价值或价格的原则。</w:t>
      </w:r>
    </w:p>
    <w:p>
      <w:pPr>
        <w:pStyle w:val="27"/>
        <w:autoSpaceDE/>
        <w:autoSpaceDN/>
        <w:adjustRightInd/>
        <w:spacing w:before="156" w:beforeLines="50" w:after="156" w:afterLines="50" w:line="360" w:lineRule="auto"/>
        <w:ind w:firstLine="562"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
          <w:szCs w:val="28"/>
        </w:rPr>
        <w:t>4、替代原则：</w:t>
      </w:r>
      <w:r>
        <w:rPr>
          <w:rFonts w:hint="eastAsia" w:ascii="Times New Roman" w:hAnsi="Times New Roman" w:eastAsia="宋体" w:cs="Times New Roman"/>
          <w:bCs/>
          <w:szCs w:val="28"/>
        </w:rPr>
        <w:t>要求估价结果与估价对象的类似房地产在同等条件下的价值或价格偏差在合理范围内的原则。</w:t>
      </w:r>
    </w:p>
    <w:p>
      <w:pPr>
        <w:pStyle w:val="27"/>
        <w:autoSpaceDE/>
        <w:autoSpaceDN/>
        <w:adjustRightInd/>
        <w:spacing w:before="156" w:beforeLines="50" w:after="156" w:afterLines="50" w:line="360" w:lineRule="auto"/>
        <w:ind w:firstLine="562" w:firstLineChars="200"/>
        <w:jc w:val="both"/>
        <w:textAlignment w:val="auto"/>
        <w:rPr>
          <w:rFonts w:hint="eastAsia" w:ascii="Times New Roman" w:hAnsi="Times New Roman" w:eastAsia="宋体" w:cs="Times New Roman"/>
          <w:bCs/>
          <w:szCs w:val="28"/>
        </w:rPr>
      </w:pPr>
      <w:r>
        <w:rPr>
          <w:rFonts w:hint="eastAsia" w:ascii="Times New Roman" w:hAnsi="Times New Roman" w:eastAsia="宋体" w:cs="Times New Roman"/>
          <w:b/>
          <w:szCs w:val="28"/>
        </w:rPr>
        <w:t>5、最高最佳利用原则：</w:t>
      </w:r>
      <w:r>
        <w:rPr>
          <w:rFonts w:hint="eastAsia" w:ascii="Times New Roman" w:hAnsi="Times New Roman" w:eastAsia="宋体" w:cs="Times New Roman"/>
          <w:bCs/>
          <w:szCs w:val="28"/>
        </w:rPr>
        <w:t>要求估价结果是在估价对象最高最佳利用状况下的价值或价格的原则。</w:t>
      </w:r>
    </w:p>
    <w:p>
      <w:pPr>
        <w:pStyle w:val="3"/>
        <w:tabs>
          <w:tab w:val="left" w:pos="2760"/>
          <w:tab w:val="center" w:pos="4535"/>
        </w:tabs>
        <w:autoSpaceDE w:val="0"/>
        <w:autoSpaceDN w:val="0"/>
        <w:spacing w:before="157" w:after="157" w:line="579" w:lineRule="auto"/>
        <w:ind w:firstLine="562" w:firstLineChars="200"/>
        <w:jc w:val="left"/>
        <w:textAlignment w:val="baseline"/>
        <w:rPr>
          <w:rFonts w:ascii="宋体" w:hAnsiTheme="minorHAnsi" w:eastAsiaTheme="minorEastAsia" w:cstheme="minorBidi"/>
          <w:b/>
          <w:sz w:val="28"/>
          <w:szCs w:val="28"/>
        </w:rPr>
      </w:pPr>
      <w:bookmarkStart w:id="272" w:name="_Toc4132"/>
      <w:bookmarkStart w:id="273" w:name="_Toc7207"/>
      <w:bookmarkStart w:id="274" w:name="_Toc4714"/>
      <w:bookmarkStart w:id="275" w:name="_Toc10906"/>
      <w:bookmarkStart w:id="276" w:name="_Toc26488"/>
      <w:bookmarkStart w:id="277" w:name="_Toc32163"/>
      <w:bookmarkStart w:id="278" w:name="_Toc10374"/>
      <w:bookmarkStart w:id="279" w:name="_Toc13955"/>
      <w:bookmarkStart w:id="280" w:name="_Toc32182"/>
      <w:bookmarkStart w:id="281" w:name="_Toc8096"/>
      <w:bookmarkStart w:id="282" w:name="_Toc32451"/>
      <w:bookmarkStart w:id="283" w:name="_Toc21818"/>
      <w:bookmarkStart w:id="284" w:name="_Toc24496"/>
      <w:bookmarkStart w:id="285" w:name="_Toc1558"/>
      <w:bookmarkStart w:id="286" w:name="_Toc2396"/>
      <w:bookmarkStart w:id="287" w:name="_Toc5599"/>
      <w:bookmarkStart w:id="288" w:name="_Toc12757"/>
      <w:bookmarkStart w:id="289" w:name="_Toc16291"/>
      <w:bookmarkStart w:id="290" w:name="_Toc14589"/>
      <w:bookmarkStart w:id="291" w:name="_Toc21738"/>
      <w:bookmarkStart w:id="292" w:name="_Toc8034"/>
      <w:bookmarkStart w:id="293" w:name="_Toc6809"/>
      <w:r>
        <w:rPr>
          <w:rFonts w:hint="default" w:ascii="宋体" w:hAnsiTheme="minorHAnsi" w:eastAsiaTheme="minorEastAsia" w:cstheme="minorBidi"/>
          <w:b/>
          <w:sz w:val="28"/>
          <w:szCs w:val="28"/>
          <w:lang w:val="en-US" w:eastAsia="zh-CN"/>
        </w:rPr>
        <w:t>八</w:t>
      </w:r>
      <w:r>
        <w:rPr>
          <w:rFonts w:hint="default" w:ascii="宋体" w:hAnsiTheme="minorHAnsi" w:eastAsiaTheme="minorEastAsia" w:cstheme="minorBidi"/>
          <w:b/>
          <w:sz w:val="28"/>
          <w:szCs w:val="28"/>
        </w:rPr>
        <w:t>、估价依据</w:t>
      </w:r>
      <w:bookmarkEnd w:id="245"/>
      <w:bookmarkEnd w:id="246"/>
      <w:bookmarkEnd w:id="247"/>
      <w:bookmarkEnd w:id="248"/>
      <w:bookmarkEnd w:id="249"/>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Cs/>
          <w:szCs w:val="28"/>
          <w:lang w:val="en-US" w:eastAsia="zh-CN"/>
        </w:rPr>
      </w:pPr>
      <w:bookmarkStart w:id="294" w:name="_Toc440992063"/>
      <w:bookmarkStart w:id="295" w:name="_Toc27176"/>
      <w:bookmarkStart w:id="296" w:name="_Toc290"/>
      <w:bookmarkStart w:id="297" w:name="_Toc440990683"/>
      <w:bookmarkStart w:id="298" w:name="_Toc23336"/>
      <w:r>
        <w:rPr>
          <w:rFonts w:hint="eastAsia" w:ascii="Times New Roman" w:hAnsi="Times New Roman" w:eastAsia="宋体" w:cs="Times New Roman"/>
          <w:bCs/>
          <w:szCs w:val="28"/>
          <w:lang w:eastAsia="zh-CN"/>
        </w:rPr>
        <w:t>（</w:t>
      </w:r>
      <w:r>
        <w:rPr>
          <w:rFonts w:hint="eastAsia" w:ascii="Times New Roman" w:hAnsi="Times New Roman" w:eastAsia="宋体" w:cs="Times New Roman"/>
          <w:bCs/>
          <w:szCs w:val="28"/>
          <w:lang w:val="en-US" w:eastAsia="zh-CN"/>
        </w:rPr>
        <w:t>一</w:t>
      </w:r>
      <w:r>
        <w:rPr>
          <w:rFonts w:hint="eastAsia" w:ascii="Times New Roman" w:hAnsi="Times New Roman" w:eastAsia="宋体" w:cs="Times New Roman"/>
          <w:bCs/>
          <w:szCs w:val="28"/>
          <w:lang w:eastAsia="zh-CN"/>
        </w:rPr>
        <w:t>）</w:t>
      </w:r>
      <w:r>
        <w:rPr>
          <w:rFonts w:hint="eastAsia" w:ascii="Times New Roman" w:hAnsi="Times New Roman" w:eastAsia="宋体" w:cs="Times New Roman"/>
          <w:bCs/>
          <w:szCs w:val="28"/>
          <w:lang w:val="en-US" w:eastAsia="zh-CN"/>
        </w:rPr>
        <w:t>有关法律、法规和政策</w:t>
      </w:r>
    </w:p>
    <w:p>
      <w:pPr>
        <w:pStyle w:val="27"/>
        <w:autoSpaceDE/>
        <w:autoSpaceDN/>
        <w:adjustRightInd/>
        <w:spacing w:before="0" w:beforeLines="0" w:after="0" w:afterLines="0" w:line="360" w:lineRule="auto"/>
        <w:ind w:firstLine="560" w:firstLineChars="200"/>
        <w:jc w:val="both"/>
        <w:textAlignment w:val="auto"/>
        <w:rPr>
          <w:rFonts w:hint="eastAsia" w:ascii="Times New Roman" w:hAnsi="Times New Roman" w:eastAsia="宋体" w:cs="Times New Roman"/>
          <w:bCs/>
          <w:szCs w:val="28"/>
        </w:rPr>
      </w:pPr>
      <w:r>
        <w:rPr>
          <w:rFonts w:hint="eastAsia" w:ascii="Times New Roman" w:hAnsi="Times New Roman" w:eastAsia="宋体" w:cs="Times New Roman"/>
          <w:bCs/>
          <w:szCs w:val="28"/>
          <w:lang w:val="en-US" w:eastAsia="zh-CN"/>
        </w:rPr>
        <w:t>1、</w:t>
      </w:r>
      <w:r>
        <w:rPr>
          <w:rFonts w:hint="eastAsia" w:ascii="Times New Roman" w:hAnsi="Times New Roman" w:eastAsia="宋体" w:cs="Times New Roman"/>
          <w:bCs/>
          <w:szCs w:val="28"/>
        </w:rPr>
        <w:t>《中华人民共和国房地产管理法》</w:t>
      </w:r>
      <w:r>
        <w:rPr>
          <w:rFonts w:hint="eastAsia" w:ascii="Times New Roman" w:hAnsi="Times New Roman" w:eastAsia="宋体" w:cs="Times New Roman"/>
          <w:bCs/>
          <w:szCs w:val="28"/>
          <w:lang w:eastAsia="zh-CN"/>
        </w:rPr>
        <w:t>（</w:t>
      </w:r>
      <w:r>
        <w:rPr>
          <w:rFonts w:hint="eastAsia" w:ascii="Times New Roman" w:hAnsi="Times New Roman" w:eastAsia="宋体" w:cs="Times New Roman"/>
          <w:bCs/>
          <w:szCs w:val="28"/>
          <w:lang w:val="en-US" w:eastAsia="zh-CN"/>
        </w:rPr>
        <w:t>2020年1月1日修订实施</w:t>
      </w:r>
      <w:r>
        <w:rPr>
          <w:rFonts w:hint="eastAsia" w:ascii="Times New Roman" w:hAnsi="Times New Roman" w:eastAsia="宋体" w:cs="Times New Roman"/>
          <w:bCs/>
          <w:szCs w:val="28"/>
          <w:lang w:eastAsia="zh-CN"/>
        </w:rPr>
        <w:t>）</w:t>
      </w:r>
      <w:r>
        <w:rPr>
          <w:rFonts w:hint="eastAsia" w:ascii="Times New Roman" w:hAnsi="Times New Roman" w:eastAsia="宋体" w:cs="Times New Roman"/>
          <w:bCs/>
          <w:szCs w:val="28"/>
        </w:rPr>
        <w:t>；</w:t>
      </w:r>
    </w:p>
    <w:p>
      <w:pPr>
        <w:pStyle w:val="27"/>
        <w:autoSpaceDE/>
        <w:autoSpaceDN/>
        <w:adjustRightInd/>
        <w:spacing w:before="0" w:beforeLines="0" w:after="0" w:afterLines="0" w:line="360" w:lineRule="auto"/>
        <w:ind w:firstLine="560" w:firstLineChars="200"/>
        <w:jc w:val="both"/>
        <w:textAlignment w:val="auto"/>
        <w:rPr>
          <w:rFonts w:hint="eastAsia" w:ascii="Times New Roman" w:hAnsi="Times New Roman" w:eastAsia="宋体" w:cs="Times New Roman"/>
          <w:bCs/>
          <w:szCs w:val="28"/>
        </w:rPr>
      </w:pPr>
      <w:r>
        <w:rPr>
          <w:rFonts w:hint="eastAsia" w:ascii="Times New Roman" w:hAnsi="Times New Roman" w:eastAsia="宋体" w:cs="Times New Roman"/>
          <w:bCs/>
          <w:szCs w:val="28"/>
          <w:lang w:val="en-US" w:eastAsia="zh-CN"/>
        </w:rPr>
        <w:t>2、</w:t>
      </w:r>
      <w:r>
        <w:rPr>
          <w:rFonts w:hint="eastAsia" w:ascii="Times New Roman" w:hAnsi="Times New Roman" w:eastAsia="宋体" w:cs="Times New Roman"/>
          <w:bCs/>
          <w:szCs w:val="28"/>
        </w:rPr>
        <w:t>《中华人民共和国土地管理法》</w:t>
      </w:r>
      <w:r>
        <w:rPr>
          <w:rFonts w:hint="eastAsia" w:ascii="Times New Roman" w:hAnsi="Times New Roman" w:eastAsia="宋体" w:cs="Times New Roman"/>
          <w:bCs/>
          <w:szCs w:val="28"/>
          <w:lang w:eastAsia="zh-CN"/>
        </w:rPr>
        <w:t>（</w:t>
      </w:r>
      <w:r>
        <w:rPr>
          <w:rFonts w:hint="eastAsia" w:ascii="Times New Roman" w:hAnsi="Times New Roman" w:eastAsia="宋体" w:cs="Times New Roman"/>
          <w:bCs/>
          <w:szCs w:val="28"/>
          <w:lang w:val="en-US" w:eastAsia="zh-CN"/>
        </w:rPr>
        <w:t>2020年1月1日修订实施</w:t>
      </w:r>
      <w:r>
        <w:rPr>
          <w:rFonts w:hint="eastAsia" w:ascii="Times New Roman" w:hAnsi="Times New Roman" w:eastAsia="宋体" w:cs="Times New Roman"/>
          <w:bCs/>
          <w:szCs w:val="28"/>
          <w:lang w:eastAsia="zh-CN"/>
        </w:rPr>
        <w:t>）</w:t>
      </w:r>
      <w:r>
        <w:rPr>
          <w:rFonts w:hint="eastAsia" w:ascii="Times New Roman" w:hAnsi="Times New Roman" w:eastAsia="宋体" w:cs="Times New Roman"/>
          <w:bCs/>
          <w:szCs w:val="28"/>
        </w:rPr>
        <w:t>；</w:t>
      </w:r>
    </w:p>
    <w:p>
      <w:pPr>
        <w:pStyle w:val="27"/>
        <w:autoSpaceDE/>
        <w:autoSpaceDN/>
        <w:adjustRightInd/>
        <w:spacing w:before="0" w:beforeLines="0" w:after="0" w:afterLines="0" w:line="360" w:lineRule="auto"/>
        <w:ind w:firstLine="560" w:firstLineChars="200"/>
        <w:jc w:val="both"/>
        <w:textAlignment w:val="auto"/>
        <w:rPr>
          <w:rFonts w:hint="eastAsia" w:ascii="Times New Roman" w:hAnsi="Times New Roman" w:eastAsia="宋体" w:cs="Times New Roman"/>
          <w:bCs/>
          <w:szCs w:val="28"/>
        </w:rPr>
      </w:pPr>
      <w:r>
        <w:rPr>
          <w:rFonts w:hint="eastAsia" w:ascii="Times New Roman" w:hAnsi="Times New Roman" w:eastAsia="宋体" w:cs="Times New Roman"/>
          <w:bCs/>
          <w:szCs w:val="28"/>
          <w:lang w:val="en-US" w:eastAsia="zh-CN"/>
        </w:rPr>
        <w:t>3、</w:t>
      </w:r>
      <w:r>
        <w:rPr>
          <w:rFonts w:hint="eastAsia" w:ascii="Times New Roman" w:hAnsi="Times New Roman" w:eastAsia="宋体" w:cs="Times New Roman"/>
          <w:bCs/>
          <w:szCs w:val="28"/>
        </w:rPr>
        <w:t>《中华人民共和国民法典》</w:t>
      </w:r>
      <w:r>
        <w:rPr>
          <w:rFonts w:hint="eastAsia" w:ascii="Times New Roman" w:hAnsi="Times New Roman" w:eastAsia="宋体" w:cs="Times New Roman"/>
          <w:bCs/>
          <w:szCs w:val="28"/>
          <w:lang w:eastAsia="zh-CN"/>
        </w:rPr>
        <w:t>（</w:t>
      </w:r>
      <w:r>
        <w:rPr>
          <w:rFonts w:hint="eastAsia" w:ascii="Times New Roman" w:hAnsi="Times New Roman" w:eastAsia="宋体" w:cs="Times New Roman"/>
          <w:bCs/>
          <w:szCs w:val="28"/>
          <w:lang w:val="en-US" w:eastAsia="zh-CN"/>
        </w:rPr>
        <w:t>2021年1月1日实施</w:t>
      </w:r>
      <w:r>
        <w:rPr>
          <w:rFonts w:hint="eastAsia" w:ascii="Times New Roman" w:hAnsi="Times New Roman" w:eastAsia="宋体" w:cs="Times New Roman"/>
          <w:bCs/>
          <w:szCs w:val="28"/>
          <w:lang w:eastAsia="zh-CN"/>
        </w:rPr>
        <w:t>）</w:t>
      </w:r>
      <w:r>
        <w:rPr>
          <w:rFonts w:hint="eastAsia" w:ascii="Times New Roman" w:hAnsi="Times New Roman" w:eastAsia="宋体" w:cs="Times New Roman"/>
          <w:bCs/>
          <w:szCs w:val="28"/>
        </w:rPr>
        <w:t>；</w:t>
      </w:r>
    </w:p>
    <w:p>
      <w:pPr>
        <w:pStyle w:val="27"/>
        <w:autoSpaceDE/>
        <w:autoSpaceDN/>
        <w:adjustRightInd/>
        <w:spacing w:before="0" w:beforeLines="0" w:after="0" w:afterLines="0" w:line="360" w:lineRule="auto"/>
        <w:ind w:firstLine="560" w:firstLineChars="200"/>
        <w:jc w:val="both"/>
        <w:textAlignment w:val="auto"/>
        <w:rPr>
          <w:rFonts w:hint="eastAsia" w:ascii="Times New Roman" w:hAnsi="Times New Roman" w:eastAsia="宋体" w:cs="Times New Roman"/>
          <w:bCs/>
          <w:szCs w:val="28"/>
          <w:lang w:eastAsia="zh-CN"/>
        </w:rPr>
      </w:pPr>
      <w:r>
        <w:rPr>
          <w:rFonts w:hint="eastAsia" w:ascii="Times New Roman" w:hAnsi="Times New Roman" w:eastAsia="宋体" w:cs="Times New Roman"/>
          <w:bCs/>
          <w:szCs w:val="28"/>
          <w:lang w:val="en-US" w:eastAsia="zh-CN"/>
        </w:rPr>
        <w:t>4、</w:t>
      </w:r>
      <w:r>
        <w:rPr>
          <w:rFonts w:hint="eastAsia" w:ascii="Times New Roman" w:hAnsi="Times New Roman" w:eastAsia="宋体" w:cs="Times New Roman"/>
          <w:bCs/>
          <w:szCs w:val="28"/>
        </w:rPr>
        <w:t>《中华人民共和国资产评估法》</w:t>
      </w:r>
      <w:r>
        <w:rPr>
          <w:rFonts w:hint="eastAsia" w:ascii="Times New Roman" w:hAnsi="Times New Roman" w:eastAsia="宋体" w:cs="Times New Roman"/>
          <w:bCs/>
          <w:szCs w:val="28"/>
          <w:lang w:eastAsia="zh-CN"/>
        </w:rPr>
        <w:t>（</w:t>
      </w:r>
      <w:r>
        <w:rPr>
          <w:rFonts w:hint="eastAsia" w:ascii="Times New Roman" w:hAnsi="Times New Roman" w:eastAsia="宋体" w:cs="Times New Roman"/>
          <w:bCs/>
          <w:szCs w:val="28"/>
          <w:lang w:val="en-US" w:eastAsia="zh-CN"/>
        </w:rPr>
        <w:t>2016年12月1日实施</w:t>
      </w:r>
      <w:r>
        <w:rPr>
          <w:rFonts w:hint="eastAsia" w:ascii="Times New Roman" w:hAnsi="Times New Roman" w:eastAsia="宋体" w:cs="Times New Roman"/>
          <w:bCs/>
          <w:szCs w:val="28"/>
          <w:lang w:eastAsia="zh-CN"/>
        </w:rPr>
        <w:t>）；</w:t>
      </w:r>
    </w:p>
    <w:p>
      <w:pPr>
        <w:pStyle w:val="27"/>
        <w:autoSpaceDE/>
        <w:autoSpaceDN/>
        <w:adjustRightInd/>
        <w:spacing w:before="0" w:beforeLines="0" w:after="0" w:afterLines="0" w:line="360" w:lineRule="auto"/>
        <w:ind w:firstLine="560" w:firstLineChars="200"/>
        <w:jc w:val="both"/>
        <w:textAlignment w:val="auto"/>
        <w:rPr>
          <w:rFonts w:hint="eastAsia" w:ascii="Times New Roman" w:hAnsi="Times New Roman" w:eastAsia="宋体" w:cs="Times New Roman"/>
          <w:bCs/>
          <w:szCs w:val="28"/>
          <w:lang w:val="en-US" w:eastAsia="zh-CN"/>
        </w:rPr>
      </w:pPr>
      <w:r>
        <w:rPr>
          <w:rFonts w:hint="eastAsia" w:ascii="Times New Roman" w:hAnsi="Times New Roman" w:eastAsia="宋体" w:cs="Times New Roman"/>
          <w:bCs/>
          <w:szCs w:val="28"/>
          <w:lang w:val="en-US" w:eastAsia="zh-CN"/>
        </w:rPr>
        <w:t>5、《人民法院委托评估工作规范》（</w:t>
      </w:r>
      <w:r>
        <w:rPr>
          <w:rFonts w:hint="eastAsia" w:ascii="Times New Roman" w:hAnsi="Times New Roman" w:eastAsia="宋体" w:cs="Times New Roman"/>
          <w:bCs/>
          <w:szCs w:val="28"/>
        </w:rPr>
        <w:t>法办〔2018〕273号</w:t>
      </w:r>
      <w:r>
        <w:rPr>
          <w:rFonts w:hint="eastAsia" w:ascii="Times New Roman" w:hAnsi="Times New Roman" w:eastAsia="宋体" w:cs="Times New Roman"/>
          <w:bCs/>
          <w:szCs w:val="28"/>
          <w:lang w:val="en-US" w:eastAsia="zh-CN"/>
        </w:rPr>
        <w:t>）；</w:t>
      </w:r>
    </w:p>
    <w:p>
      <w:pPr>
        <w:pStyle w:val="27"/>
        <w:autoSpaceDE/>
        <w:autoSpaceDN/>
        <w:adjustRightInd/>
        <w:spacing w:before="0" w:beforeLines="0" w:after="0" w:afterLines="0" w:line="360" w:lineRule="auto"/>
        <w:ind w:firstLine="560" w:firstLineChars="200"/>
        <w:jc w:val="both"/>
        <w:textAlignment w:val="auto"/>
        <w:rPr>
          <w:rFonts w:hint="eastAsia" w:ascii="Times New Roman" w:hAnsi="Times New Roman" w:eastAsia="宋体" w:cs="Times New Roman"/>
          <w:bCs/>
          <w:szCs w:val="28"/>
          <w:lang w:eastAsia="zh-CN"/>
        </w:rPr>
      </w:pPr>
      <w:r>
        <w:rPr>
          <w:rFonts w:hint="eastAsia" w:ascii="Times New Roman" w:hAnsi="Times New Roman" w:eastAsia="宋体" w:cs="Times New Roman"/>
          <w:bCs/>
          <w:szCs w:val="28"/>
          <w:lang w:val="en-US" w:eastAsia="zh-CN"/>
        </w:rPr>
        <w:t>6、《最高人民法院关于人民法院确定财产处置参考价若干问题的规定》</w:t>
      </w:r>
      <w:r>
        <w:rPr>
          <w:rFonts w:hint="eastAsia" w:ascii="Times New Roman" w:hAnsi="Times New Roman" w:eastAsia="宋体" w:cs="Times New Roman"/>
          <w:bCs/>
          <w:szCs w:val="28"/>
        </w:rPr>
        <w:t>法释〔2018〕15号</w:t>
      </w:r>
      <w:r>
        <w:rPr>
          <w:rFonts w:hint="eastAsia" w:ascii="Times New Roman" w:hAnsi="Times New Roman" w:eastAsia="宋体" w:cs="Times New Roman"/>
          <w:bCs/>
          <w:szCs w:val="28"/>
          <w:lang w:eastAsia="zh-CN"/>
        </w:rPr>
        <w:t>；</w:t>
      </w:r>
    </w:p>
    <w:p>
      <w:pPr>
        <w:pStyle w:val="27"/>
        <w:autoSpaceDE/>
        <w:autoSpaceDN/>
        <w:adjustRightInd/>
        <w:spacing w:before="0" w:beforeLines="0" w:after="0" w:afterLines="0" w:line="360" w:lineRule="auto"/>
        <w:ind w:firstLine="560" w:firstLineChars="200"/>
        <w:jc w:val="both"/>
        <w:textAlignment w:val="auto"/>
        <w:rPr>
          <w:rFonts w:hint="eastAsia" w:ascii="Times New Roman" w:hAnsi="Times New Roman" w:eastAsia="宋体" w:cs="Times New Roman"/>
          <w:bCs/>
          <w:szCs w:val="28"/>
        </w:rPr>
      </w:pPr>
      <w:r>
        <w:rPr>
          <w:rFonts w:hint="eastAsia" w:ascii="Times New Roman" w:hAnsi="Times New Roman" w:eastAsia="宋体" w:cs="Times New Roman"/>
          <w:bCs/>
          <w:szCs w:val="28"/>
          <w:lang w:val="en-US" w:eastAsia="zh-CN"/>
        </w:rPr>
        <w:t>7</w:t>
      </w:r>
      <w:r>
        <w:rPr>
          <w:rFonts w:hint="eastAsia" w:ascii="Times New Roman" w:hAnsi="Times New Roman" w:eastAsia="宋体" w:cs="Times New Roman"/>
          <w:bCs/>
          <w:szCs w:val="28"/>
        </w:rPr>
        <w:t>、《司法鉴定程序通则》（司法部令第132号）；</w:t>
      </w:r>
    </w:p>
    <w:p>
      <w:pPr>
        <w:pStyle w:val="27"/>
        <w:autoSpaceDE/>
        <w:autoSpaceDN/>
        <w:adjustRightInd/>
        <w:spacing w:before="0" w:beforeLines="0" w:after="0" w:afterLines="0" w:line="360" w:lineRule="auto"/>
        <w:ind w:firstLine="560" w:firstLineChars="200"/>
        <w:jc w:val="both"/>
        <w:textAlignment w:val="auto"/>
        <w:rPr>
          <w:rFonts w:hint="eastAsia" w:ascii="Times New Roman" w:hAnsi="Times New Roman" w:eastAsia="宋体" w:cs="Times New Roman"/>
          <w:bCs/>
          <w:szCs w:val="28"/>
        </w:rPr>
      </w:pPr>
      <w:r>
        <w:rPr>
          <w:rFonts w:hint="eastAsia" w:ascii="Times New Roman" w:hAnsi="Times New Roman" w:eastAsia="宋体" w:cs="Times New Roman"/>
          <w:bCs/>
          <w:szCs w:val="28"/>
          <w:lang w:val="en-US" w:eastAsia="zh-CN"/>
        </w:rPr>
        <w:t>8</w:t>
      </w:r>
      <w:r>
        <w:rPr>
          <w:rFonts w:hint="eastAsia" w:ascii="Times New Roman" w:hAnsi="Times New Roman" w:eastAsia="宋体" w:cs="Times New Roman"/>
          <w:bCs/>
          <w:szCs w:val="28"/>
        </w:rPr>
        <w:t>、《司法部关于印发〈司法鉴定文书规范〉和〈司法鉴定协议书（示范文本）〉的通知》（司发通〔2007〕71号）；</w:t>
      </w:r>
    </w:p>
    <w:p>
      <w:pPr>
        <w:pStyle w:val="27"/>
        <w:autoSpaceDE/>
        <w:autoSpaceDN/>
        <w:adjustRightInd/>
        <w:spacing w:before="0" w:beforeLines="0" w:after="0" w:afterLines="0" w:line="360" w:lineRule="auto"/>
        <w:ind w:firstLine="560" w:firstLineChars="200"/>
        <w:jc w:val="both"/>
        <w:textAlignment w:val="auto"/>
        <w:rPr>
          <w:rFonts w:hint="eastAsia" w:ascii="Times New Roman" w:hAnsi="Times New Roman" w:eastAsia="宋体" w:cs="Times New Roman"/>
          <w:bCs/>
          <w:szCs w:val="28"/>
        </w:rPr>
      </w:pPr>
      <w:r>
        <w:rPr>
          <w:rFonts w:hint="eastAsia" w:ascii="Times New Roman" w:hAnsi="Times New Roman" w:eastAsia="宋体" w:cs="Times New Roman"/>
          <w:bCs/>
          <w:szCs w:val="28"/>
          <w:lang w:val="en-US" w:eastAsia="zh-CN"/>
        </w:rPr>
        <w:t>9</w:t>
      </w:r>
      <w:r>
        <w:rPr>
          <w:rFonts w:hint="eastAsia" w:ascii="Times New Roman" w:hAnsi="Times New Roman" w:eastAsia="宋体" w:cs="Times New Roman"/>
          <w:bCs/>
          <w:szCs w:val="28"/>
        </w:rPr>
        <w:t>、《贵州省高级人民法院关于本院机关对外委托司法鉴定、评估和拍卖的规定（试行）》；</w:t>
      </w:r>
      <w:r>
        <w:rPr>
          <w:rFonts w:hint="eastAsia" w:ascii="Times New Roman" w:hAnsi="Times New Roman" w:eastAsia="宋体" w:cs="Times New Roman"/>
          <w:bCs/>
          <w:szCs w:val="28"/>
        </w:rPr>
        <w:cr/>
      </w:r>
      <w:r>
        <w:rPr>
          <w:rFonts w:hint="eastAsia" w:ascii="Times New Roman" w:hAnsi="Times New Roman" w:eastAsia="宋体" w:cs="Times New Roman"/>
          <w:bCs/>
          <w:szCs w:val="28"/>
        </w:rPr>
        <w:t xml:space="preserve">    </w:t>
      </w:r>
      <w:r>
        <w:rPr>
          <w:rFonts w:hint="eastAsia" w:ascii="Times New Roman" w:hAnsi="Times New Roman" w:eastAsia="宋体" w:cs="Times New Roman"/>
          <w:bCs/>
          <w:szCs w:val="28"/>
          <w:lang w:val="en-US" w:eastAsia="zh-CN"/>
        </w:rPr>
        <w:t>10</w:t>
      </w:r>
      <w:r>
        <w:rPr>
          <w:rFonts w:hint="eastAsia" w:ascii="Times New Roman" w:hAnsi="Times New Roman" w:eastAsia="宋体" w:cs="Times New Roman"/>
          <w:bCs/>
          <w:szCs w:val="28"/>
        </w:rPr>
        <w:t>、《最高人民法院关于人民法院委托评估、拍卖和变卖工作的若干规定》（法释〔2009〕16号）</w:t>
      </w:r>
      <w:r>
        <w:rPr>
          <w:rFonts w:hint="eastAsia" w:ascii="Times New Roman" w:hAnsi="Times New Roman" w:eastAsia="宋体" w:cs="Times New Roman"/>
          <w:bCs/>
          <w:szCs w:val="28"/>
          <w:lang w:eastAsia="zh-CN"/>
        </w:rPr>
        <w:t>。</w:t>
      </w:r>
    </w:p>
    <w:p>
      <w:pPr>
        <w:pStyle w:val="27"/>
        <w:autoSpaceDE/>
        <w:autoSpaceDN/>
        <w:adjustRightInd/>
        <w:spacing w:before="156" w:beforeLines="50" w:after="156" w:afterLines="50" w:line="360" w:lineRule="auto"/>
        <w:ind w:firstLine="560" w:firstLineChars="200"/>
        <w:jc w:val="both"/>
        <w:textAlignment w:val="auto"/>
        <w:rPr>
          <w:rFonts w:hint="default" w:ascii="Times New Roman" w:hAnsi="Times New Roman" w:eastAsia="宋体" w:cs="Times New Roman"/>
          <w:bCs/>
          <w:szCs w:val="28"/>
          <w:lang w:val="en-US" w:eastAsia="zh-CN"/>
        </w:rPr>
      </w:pPr>
      <w:r>
        <w:rPr>
          <w:rFonts w:hint="eastAsia" w:ascii="Times New Roman" w:hAnsi="Times New Roman" w:eastAsia="宋体" w:cs="Times New Roman"/>
          <w:bCs/>
          <w:szCs w:val="28"/>
          <w:lang w:val="en-US" w:eastAsia="zh-CN"/>
        </w:rPr>
        <w:t>（二）技术规程及有关估价标准</w:t>
      </w:r>
    </w:p>
    <w:p>
      <w:pPr>
        <w:pStyle w:val="27"/>
        <w:autoSpaceDE/>
        <w:autoSpaceDN/>
        <w:adjustRightInd/>
        <w:spacing w:before="0" w:beforeLines="0" w:after="0" w:afterLines="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lang w:val="en-US" w:eastAsia="zh-CN"/>
        </w:rPr>
        <w:t>1、</w:t>
      </w:r>
      <w:r>
        <w:rPr>
          <w:rFonts w:hint="eastAsia" w:ascii="Times New Roman" w:hAnsi="Times New Roman" w:eastAsia="宋体" w:cs="Times New Roman"/>
          <w:bCs/>
          <w:szCs w:val="28"/>
        </w:rPr>
        <w:t>《房地产估价规范GB/T50291-2015》；</w:t>
      </w:r>
    </w:p>
    <w:p>
      <w:pPr>
        <w:pStyle w:val="27"/>
        <w:autoSpaceDE/>
        <w:autoSpaceDN/>
        <w:adjustRightInd/>
        <w:spacing w:before="0" w:beforeLines="0" w:after="0" w:afterLines="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lang w:val="en-US" w:eastAsia="zh-CN"/>
        </w:rPr>
        <w:t>2、</w:t>
      </w:r>
      <w:r>
        <w:rPr>
          <w:rFonts w:hint="eastAsia" w:ascii="Times New Roman" w:hAnsi="Times New Roman" w:eastAsia="宋体" w:cs="Times New Roman"/>
          <w:bCs/>
          <w:szCs w:val="28"/>
        </w:rPr>
        <w:t>《房地产估价基本术语标准GB/T50899-2013》；</w:t>
      </w:r>
    </w:p>
    <w:p>
      <w:pPr>
        <w:pStyle w:val="27"/>
        <w:autoSpaceDE/>
        <w:autoSpaceDN/>
        <w:adjustRightInd/>
        <w:spacing w:before="0" w:beforeLines="0" w:after="0" w:afterLines="0" w:line="360" w:lineRule="auto"/>
        <w:ind w:firstLine="560" w:firstLineChars="200"/>
        <w:jc w:val="both"/>
        <w:textAlignment w:val="auto"/>
        <w:rPr>
          <w:rFonts w:hint="eastAsia" w:ascii="Times New Roman" w:hAnsi="Times New Roman" w:eastAsia="宋体" w:cs="Times New Roman"/>
          <w:bCs/>
          <w:szCs w:val="28"/>
          <w:lang w:eastAsia="zh-CN"/>
        </w:rPr>
      </w:pPr>
      <w:r>
        <w:rPr>
          <w:rFonts w:hint="eastAsia" w:ascii="Times New Roman" w:hAnsi="Times New Roman" w:eastAsia="宋体" w:cs="Times New Roman"/>
          <w:bCs/>
          <w:szCs w:val="28"/>
          <w:lang w:val="en-US" w:eastAsia="zh-CN"/>
        </w:rPr>
        <w:t>3、</w:t>
      </w:r>
      <w:r>
        <w:rPr>
          <w:rFonts w:hint="eastAsia" w:ascii="Times New Roman" w:hAnsi="Times New Roman" w:eastAsia="宋体" w:cs="Times New Roman"/>
          <w:bCs/>
          <w:szCs w:val="28"/>
        </w:rPr>
        <w:t>《城镇土地估价规程》（GB／T18508-2014）</w:t>
      </w:r>
      <w:r>
        <w:rPr>
          <w:rFonts w:hint="eastAsia" w:ascii="Times New Roman" w:hAnsi="Times New Roman" w:eastAsia="宋体" w:cs="Times New Roman"/>
          <w:bCs/>
          <w:szCs w:val="28"/>
          <w:lang w:eastAsia="zh-CN"/>
        </w:rPr>
        <w:t>。</w:t>
      </w:r>
    </w:p>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Cs/>
          <w:szCs w:val="28"/>
          <w:lang w:val="en-US" w:eastAsia="zh-CN"/>
        </w:rPr>
      </w:pPr>
      <w:r>
        <w:rPr>
          <w:rFonts w:hint="eastAsia" w:ascii="Times New Roman" w:hAnsi="Times New Roman" w:eastAsia="宋体" w:cs="Times New Roman"/>
          <w:bCs/>
          <w:szCs w:val="28"/>
          <w:lang w:val="en-US" w:eastAsia="zh-CN"/>
        </w:rPr>
        <w:t>（三）估价委托书、估价委托合同及估价委托人提供的资料</w:t>
      </w:r>
    </w:p>
    <w:p>
      <w:pPr>
        <w:pStyle w:val="27"/>
        <w:autoSpaceDE/>
        <w:autoSpaceDN/>
        <w:adjustRightInd/>
        <w:spacing w:before="0" w:beforeLines="0" w:after="0" w:afterLines="0" w:line="360" w:lineRule="auto"/>
        <w:ind w:firstLine="560" w:firstLineChars="200"/>
        <w:jc w:val="both"/>
        <w:textAlignment w:val="auto"/>
        <w:rPr>
          <w:rFonts w:hint="eastAsia" w:ascii="Times New Roman" w:hAnsi="Times New Roman" w:eastAsia="宋体" w:cs="Times New Roman"/>
          <w:bCs/>
          <w:szCs w:val="28"/>
          <w:lang w:val="en-US" w:eastAsia="zh-CN"/>
        </w:rPr>
      </w:pPr>
      <w:r>
        <w:rPr>
          <w:rFonts w:hint="eastAsia" w:ascii="Times New Roman" w:hAnsi="Times New Roman" w:eastAsia="宋体" w:cs="Times New Roman"/>
          <w:bCs/>
          <w:szCs w:val="28"/>
          <w:lang w:val="en-US" w:eastAsia="zh-CN"/>
        </w:rPr>
        <w:t>1、估价委托书</w:t>
      </w:r>
    </w:p>
    <w:p>
      <w:pPr>
        <w:pStyle w:val="27"/>
        <w:autoSpaceDE/>
        <w:autoSpaceDN/>
        <w:adjustRightInd/>
        <w:spacing w:before="0" w:beforeLines="0" w:after="0" w:afterLines="0" w:line="360" w:lineRule="auto"/>
        <w:ind w:firstLine="560" w:firstLineChars="200"/>
        <w:jc w:val="both"/>
        <w:textAlignment w:val="auto"/>
        <w:rPr>
          <w:rFonts w:hint="eastAsia" w:ascii="Times New Roman" w:hAnsi="Times New Roman" w:eastAsia="宋体" w:cs="Times New Roman"/>
          <w:bCs/>
          <w:szCs w:val="28"/>
          <w:lang w:val="en-US" w:eastAsia="zh-CN"/>
        </w:rPr>
      </w:pPr>
      <w:r>
        <w:rPr>
          <w:rFonts w:hint="eastAsia" w:ascii="Times New Roman" w:hAnsi="Times New Roman" w:eastAsia="宋体" w:cs="Times New Roman"/>
          <w:bCs/>
          <w:szCs w:val="28"/>
          <w:lang w:val="en-US" w:eastAsia="zh-CN"/>
        </w:rPr>
        <w:t>2、估价对象的产权资料</w:t>
      </w:r>
    </w:p>
    <w:p>
      <w:pPr>
        <w:pStyle w:val="27"/>
        <w:autoSpaceDE/>
        <w:autoSpaceDN/>
        <w:adjustRightInd/>
        <w:spacing w:before="0" w:beforeLines="0" w:after="0" w:afterLines="0" w:line="360" w:lineRule="auto"/>
        <w:ind w:firstLine="560" w:firstLineChars="200"/>
        <w:jc w:val="both"/>
        <w:textAlignment w:val="auto"/>
        <w:rPr>
          <w:rFonts w:hint="eastAsia" w:ascii="Times New Roman" w:hAnsi="Times New Roman" w:eastAsia="宋体" w:cs="Times New Roman"/>
          <w:bCs/>
          <w:szCs w:val="28"/>
          <w:lang w:val="en-US" w:eastAsia="zh-CN"/>
        </w:rPr>
      </w:pPr>
      <w:r>
        <w:rPr>
          <w:rFonts w:hint="eastAsia" w:ascii="Times New Roman" w:hAnsi="Times New Roman" w:eastAsia="宋体" w:cs="Times New Roman"/>
          <w:bCs/>
          <w:szCs w:val="28"/>
          <w:lang w:val="en-US" w:eastAsia="zh-CN"/>
        </w:rPr>
        <w:t>3、估价委托人提供的其他相关资料</w:t>
      </w:r>
    </w:p>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Cs/>
          <w:szCs w:val="28"/>
          <w:lang w:val="en-US" w:eastAsia="zh-CN"/>
        </w:rPr>
      </w:pPr>
      <w:r>
        <w:rPr>
          <w:rFonts w:hint="eastAsia" w:ascii="Times New Roman" w:hAnsi="Times New Roman" w:eastAsia="宋体" w:cs="Times New Roman"/>
          <w:bCs/>
          <w:szCs w:val="28"/>
          <w:lang w:val="en-US" w:eastAsia="zh-CN"/>
        </w:rPr>
        <w:t>（四）房地产估价机构、注册房地产估价师掌握及收集的资料</w:t>
      </w:r>
    </w:p>
    <w:p>
      <w:pPr>
        <w:pStyle w:val="27"/>
        <w:autoSpaceDE/>
        <w:autoSpaceDN/>
        <w:adjustRightInd/>
        <w:spacing w:beforeLines="0" w:afterLines="0" w:line="360" w:lineRule="auto"/>
        <w:ind w:firstLine="560" w:firstLineChars="200"/>
        <w:jc w:val="both"/>
        <w:textAlignment w:val="auto"/>
        <w:rPr>
          <w:rFonts w:hint="eastAsia" w:ascii="Times New Roman" w:hAnsi="Times New Roman" w:eastAsia="宋体" w:cs="Times New Roman"/>
          <w:bCs/>
          <w:sz w:val="28"/>
          <w:szCs w:val="28"/>
        </w:rPr>
      </w:pPr>
      <w:r>
        <w:rPr>
          <w:rFonts w:hint="eastAsia" w:ascii="Times New Roman" w:hAnsi="Times New Roman" w:eastAsia="宋体" w:cs="Times New Roman"/>
          <w:bCs/>
          <w:szCs w:val="28"/>
          <w:lang w:val="en-US" w:eastAsia="zh-CN"/>
        </w:rPr>
        <w:t>1、</w:t>
      </w:r>
      <w:r>
        <w:rPr>
          <w:rFonts w:hint="eastAsia" w:ascii="Times New Roman" w:hAnsi="Times New Roman" w:eastAsia="宋体" w:cs="Times New Roman"/>
          <w:bCs/>
          <w:sz w:val="28"/>
          <w:szCs w:val="28"/>
          <w:lang w:val="en-US" w:eastAsia="zh-CN"/>
        </w:rPr>
        <w:t>注册房地产估价师</w:t>
      </w:r>
      <w:r>
        <w:rPr>
          <w:rFonts w:hint="eastAsia" w:ascii="Times New Roman" w:hAnsi="Times New Roman" w:eastAsia="宋体" w:cs="Times New Roman"/>
          <w:bCs/>
          <w:sz w:val="28"/>
          <w:szCs w:val="28"/>
        </w:rPr>
        <w:t>调查收集的</w:t>
      </w:r>
      <w:r>
        <w:rPr>
          <w:rFonts w:hint="eastAsia" w:ascii="Times New Roman" w:hAnsi="Times New Roman" w:eastAsia="宋体" w:cs="Times New Roman"/>
          <w:bCs/>
          <w:sz w:val="28"/>
          <w:szCs w:val="28"/>
          <w:lang w:val="en-US" w:eastAsia="zh-CN"/>
        </w:rPr>
        <w:t>估价对象</w:t>
      </w:r>
      <w:r>
        <w:rPr>
          <w:rFonts w:hint="eastAsia" w:ascii="Times New Roman" w:hAnsi="Times New Roman" w:eastAsia="宋体" w:cs="Times New Roman"/>
          <w:bCs/>
          <w:sz w:val="28"/>
          <w:szCs w:val="28"/>
        </w:rPr>
        <w:t>所在区域</w:t>
      </w:r>
      <w:r>
        <w:rPr>
          <w:rFonts w:hint="eastAsia" w:ascii="Times New Roman" w:hAnsi="Times New Roman" w:eastAsia="宋体" w:cs="Times New Roman"/>
          <w:bCs/>
          <w:sz w:val="28"/>
          <w:szCs w:val="28"/>
          <w:lang w:val="en-US" w:eastAsia="zh-CN"/>
        </w:rPr>
        <w:t>房地产市场售价及租金</w:t>
      </w:r>
      <w:r>
        <w:rPr>
          <w:rFonts w:hint="eastAsia" w:ascii="Times New Roman" w:hAnsi="Times New Roman" w:eastAsia="宋体" w:cs="Times New Roman"/>
          <w:bCs/>
          <w:sz w:val="28"/>
          <w:szCs w:val="28"/>
        </w:rPr>
        <w:t>等方面的资料；</w:t>
      </w:r>
    </w:p>
    <w:p>
      <w:pPr>
        <w:pStyle w:val="27"/>
        <w:autoSpaceDE/>
        <w:autoSpaceDN/>
        <w:adjustRightInd/>
        <w:spacing w:beforeLines="0" w:afterLines="0" w:line="360" w:lineRule="auto"/>
        <w:ind w:firstLine="560" w:firstLineChars="200"/>
        <w:jc w:val="both"/>
        <w:textAlignment w:val="auto"/>
        <w:rPr>
          <w:rFonts w:hint="eastAsia" w:ascii="Times New Roman" w:hAnsi="Times New Roman" w:eastAsia="宋体" w:cs="Times New Roman"/>
          <w:bCs/>
          <w:sz w:val="28"/>
          <w:szCs w:val="28"/>
        </w:rPr>
      </w:pPr>
      <w:r>
        <w:rPr>
          <w:rFonts w:hint="eastAsia" w:ascii="Times New Roman" w:hAnsi="Times New Roman" w:eastAsia="宋体" w:cs="Times New Roman"/>
          <w:bCs/>
          <w:sz w:val="28"/>
          <w:szCs w:val="28"/>
          <w:lang w:val="en-US" w:eastAsia="zh-CN"/>
        </w:rPr>
        <w:t>2、注册房地产估价师</w:t>
      </w:r>
      <w:r>
        <w:rPr>
          <w:rFonts w:hint="eastAsia" w:ascii="Times New Roman" w:hAnsi="Times New Roman" w:eastAsia="宋体" w:cs="Times New Roman"/>
          <w:bCs/>
          <w:sz w:val="28"/>
          <w:szCs w:val="28"/>
        </w:rPr>
        <w:t>调查填写的《现场勘查记录》及估价对象照片等其他相关资料；</w:t>
      </w:r>
    </w:p>
    <w:p>
      <w:pPr>
        <w:pStyle w:val="27"/>
        <w:autoSpaceDE/>
        <w:autoSpaceDN/>
        <w:adjustRightInd/>
        <w:spacing w:before="0" w:beforeLines="0" w:after="0" w:afterLines="0" w:line="360" w:lineRule="auto"/>
        <w:ind w:firstLine="560" w:firstLineChars="200"/>
        <w:jc w:val="both"/>
        <w:textAlignment w:val="auto"/>
        <w:rPr>
          <w:rFonts w:hint="eastAsia" w:ascii="Times New Roman" w:hAnsi="Times New Roman" w:eastAsia="宋体" w:cs="Times New Roman"/>
          <w:bCs/>
          <w:szCs w:val="28"/>
        </w:rPr>
      </w:pPr>
      <w:r>
        <w:rPr>
          <w:rFonts w:hint="eastAsia" w:ascii="Times New Roman" w:hAnsi="Times New Roman" w:eastAsia="宋体" w:cs="Times New Roman"/>
          <w:bCs/>
          <w:szCs w:val="28"/>
          <w:lang w:val="en-US" w:eastAsia="zh-CN"/>
        </w:rPr>
        <w:t>3、</w:t>
      </w:r>
      <w:r>
        <w:rPr>
          <w:rFonts w:hint="eastAsia" w:ascii="Times New Roman" w:hAnsi="Times New Roman" w:eastAsia="宋体" w:cs="Times New Roman"/>
          <w:bCs/>
          <w:szCs w:val="28"/>
        </w:rPr>
        <w:t>本估价机构掌握的</w:t>
      </w:r>
      <w:r>
        <w:rPr>
          <w:rFonts w:hint="eastAsia" w:ascii="Times New Roman" w:hAnsi="Times New Roman" w:eastAsia="宋体" w:cs="Times New Roman"/>
          <w:bCs/>
          <w:szCs w:val="28"/>
          <w:lang w:val="en-US" w:eastAsia="zh-CN"/>
        </w:rPr>
        <w:t>及注册房地产估价师收集的其他</w:t>
      </w:r>
      <w:r>
        <w:rPr>
          <w:rFonts w:hint="eastAsia" w:ascii="Times New Roman" w:hAnsi="Times New Roman" w:eastAsia="宋体" w:cs="Times New Roman"/>
          <w:bCs/>
          <w:szCs w:val="28"/>
        </w:rPr>
        <w:t>相关资料</w:t>
      </w:r>
      <w:r>
        <w:rPr>
          <w:rFonts w:hint="eastAsia" w:ascii="Times New Roman" w:hAnsi="Times New Roman" w:eastAsia="宋体" w:cs="Times New Roman"/>
          <w:bCs/>
          <w:szCs w:val="28"/>
          <w:lang w:eastAsia="zh-CN"/>
        </w:rPr>
        <w:t>。</w:t>
      </w:r>
    </w:p>
    <w:bookmarkEnd w:id="294"/>
    <w:bookmarkEnd w:id="295"/>
    <w:bookmarkEnd w:id="296"/>
    <w:bookmarkEnd w:id="297"/>
    <w:bookmarkEnd w:id="298"/>
    <w:p>
      <w:pPr>
        <w:pStyle w:val="3"/>
        <w:tabs>
          <w:tab w:val="left" w:pos="2760"/>
          <w:tab w:val="center" w:pos="4535"/>
        </w:tabs>
        <w:autoSpaceDE w:val="0"/>
        <w:autoSpaceDN w:val="0"/>
        <w:spacing w:before="157" w:after="157" w:line="579" w:lineRule="auto"/>
        <w:ind w:firstLine="562" w:firstLineChars="200"/>
        <w:jc w:val="left"/>
        <w:textAlignment w:val="baseline"/>
        <w:rPr>
          <w:rFonts w:ascii="宋体" w:hAnsiTheme="minorHAnsi" w:eastAsiaTheme="minorEastAsia" w:cstheme="minorBidi"/>
          <w:b/>
          <w:sz w:val="28"/>
          <w:szCs w:val="28"/>
        </w:rPr>
      </w:pPr>
      <w:bookmarkStart w:id="299" w:name="_Toc26658"/>
      <w:bookmarkStart w:id="300" w:name="_Toc21253"/>
      <w:bookmarkStart w:id="301" w:name="_Toc14162"/>
      <w:bookmarkStart w:id="302" w:name="_Toc12266"/>
      <w:bookmarkStart w:id="303" w:name="_Toc29584"/>
      <w:bookmarkStart w:id="304" w:name="_Toc31034"/>
      <w:bookmarkStart w:id="305" w:name="_Toc31197"/>
      <w:bookmarkStart w:id="306" w:name="_Toc9547"/>
      <w:bookmarkStart w:id="307" w:name="_Toc29380"/>
      <w:bookmarkStart w:id="308" w:name="_Toc5507"/>
      <w:bookmarkStart w:id="309" w:name="_Toc11095"/>
      <w:bookmarkStart w:id="310" w:name="_Toc24026"/>
      <w:bookmarkStart w:id="311" w:name="_Toc440990684"/>
      <w:bookmarkStart w:id="312" w:name="_Toc24682"/>
      <w:bookmarkStart w:id="313" w:name="_Toc29608"/>
      <w:bookmarkStart w:id="314" w:name="_Toc30095"/>
      <w:bookmarkStart w:id="315" w:name="_Toc2560"/>
      <w:bookmarkStart w:id="316" w:name="_Toc26298"/>
      <w:bookmarkStart w:id="317" w:name="_Toc24238"/>
      <w:bookmarkStart w:id="318" w:name="_Toc16575"/>
      <w:bookmarkStart w:id="319" w:name="_Toc22069"/>
      <w:bookmarkStart w:id="320" w:name="_Toc8329"/>
      <w:bookmarkStart w:id="321" w:name="_Toc440992064"/>
      <w:bookmarkStart w:id="322" w:name="_Toc29519"/>
      <w:bookmarkStart w:id="323" w:name="_Toc10354"/>
      <w:bookmarkStart w:id="324" w:name="_Toc16723"/>
      <w:bookmarkStart w:id="325" w:name="_Toc3605"/>
      <w:r>
        <w:rPr>
          <w:rFonts w:hint="default" w:ascii="宋体" w:hAnsiTheme="minorHAnsi" w:eastAsiaTheme="minorEastAsia" w:cstheme="minorBidi"/>
          <w:b/>
          <w:sz w:val="28"/>
          <w:szCs w:val="28"/>
        </w:rPr>
        <w:t>九、估价方法</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27"/>
        <w:spacing w:before="156" w:beforeLines="50" w:after="156" w:afterLines="50" w:line="360" w:lineRule="auto"/>
        <w:ind w:firstLine="560" w:firstLineChars="200"/>
        <w:rPr>
          <w:bCs/>
          <w:szCs w:val="28"/>
        </w:rPr>
      </w:pPr>
      <w:bookmarkStart w:id="326" w:name="_Toc26251"/>
      <w:bookmarkStart w:id="327" w:name="_Toc31083"/>
      <w:bookmarkStart w:id="328" w:name="_Toc23178"/>
      <w:bookmarkStart w:id="329" w:name="_Toc440992065"/>
      <w:bookmarkStart w:id="330" w:name="_Toc440990685"/>
      <w:r>
        <w:rPr>
          <w:rFonts w:hint="eastAsia"/>
          <w:bCs/>
          <w:szCs w:val="28"/>
        </w:rPr>
        <w:t>根据《房地产估价规范》（</w:t>
      </w:r>
      <w:r>
        <w:rPr>
          <w:rFonts w:hint="eastAsia" w:ascii="Times New Roman" w:hAnsi="Times New Roman" w:eastAsia="宋体" w:cs="Times New Roman"/>
          <w:bCs/>
          <w:szCs w:val="28"/>
        </w:rPr>
        <w:t>GB/T50291-2015</w:t>
      </w:r>
      <w:r>
        <w:rPr>
          <w:rFonts w:hint="eastAsia"/>
          <w:bCs/>
          <w:szCs w:val="28"/>
        </w:rPr>
        <w:t>）规定，房地产估价方法有比较法，收益法、假设开发法、成本法等。</w:t>
      </w:r>
      <w:r>
        <w:rPr>
          <w:rFonts w:hint="eastAsia"/>
          <w:sz w:val="28"/>
          <w:szCs w:val="28"/>
        </w:rPr>
        <w:t>本次</w:t>
      </w:r>
      <w:r>
        <w:rPr>
          <w:rFonts w:hint="eastAsia"/>
          <w:sz w:val="28"/>
          <w:szCs w:val="28"/>
          <w:lang w:eastAsia="zh-CN"/>
        </w:rPr>
        <w:t>房地产</w:t>
      </w:r>
      <w:r>
        <w:rPr>
          <w:rFonts w:hint="eastAsia"/>
          <w:sz w:val="28"/>
          <w:szCs w:val="28"/>
        </w:rPr>
        <w:t>选用的估价方法为</w:t>
      </w:r>
      <w:r>
        <w:rPr>
          <w:rFonts w:hint="eastAsia"/>
          <w:sz w:val="28"/>
          <w:szCs w:val="28"/>
          <w:lang w:eastAsia="zh-CN"/>
        </w:rPr>
        <w:t>比较</w:t>
      </w:r>
      <w:r>
        <w:rPr>
          <w:rFonts w:hint="eastAsia"/>
          <w:sz w:val="28"/>
          <w:szCs w:val="28"/>
        </w:rPr>
        <w:t>法，不适宜选用</w:t>
      </w:r>
      <w:r>
        <w:rPr>
          <w:rFonts w:hint="eastAsia"/>
          <w:sz w:val="28"/>
          <w:szCs w:val="28"/>
          <w:lang w:eastAsia="zh-CN"/>
        </w:rPr>
        <w:t>成本</w:t>
      </w:r>
      <w:r>
        <w:rPr>
          <w:rFonts w:hint="eastAsia"/>
          <w:sz w:val="28"/>
          <w:szCs w:val="28"/>
        </w:rPr>
        <w:t>法及假设开发法</w:t>
      </w:r>
      <w:r>
        <w:rPr>
          <w:rFonts w:hint="eastAsia"/>
          <w:sz w:val="28"/>
          <w:szCs w:val="28"/>
          <w:lang w:eastAsia="zh-CN"/>
        </w:rPr>
        <w:t>、</w:t>
      </w:r>
      <w:r>
        <w:rPr>
          <w:rFonts w:hint="eastAsia"/>
          <w:sz w:val="28"/>
          <w:szCs w:val="28"/>
          <w:lang w:val="en-US" w:eastAsia="zh-CN"/>
        </w:rPr>
        <w:t>收益法</w:t>
      </w:r>
      <w:r>
        <w:rPr>
          <w:rFonts w:hint="eastAsia"/>
          <w:bCs/>
          <w:szCs w:val="28"/>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outlineLvl w:val="9"/>
        <w:rPr>
          <w:rFonts w:hint="eastAsia" w:ascii="Times New Roman" w:hAnsi="Times New Roman" w:eastAsia="宋体" w:cs="Times New Roman"/>
          <w:b w:val="0"/>
          <w:bCs/>
          <w:sz w:val="28"/>
          <w:szCs w:val="28"/>
        </w:rPr>
      </w:pPr>
      <w:r>
        <w:rPr>
          <w:rFonts w:hint="eastAsia" w:ascii="Times New Roman" w:hAnsi="Times New Roman" w:eastAsia="宋体" w:cs="Times New Roman"/>
          <w:b w:val="0"/>
          <w:bCs/>
          <w:kern w:val="0"/>
          <w:sz w:val="28"/>
          <w:szCs w:val="28"/>
          <w:lang w:val="en-US" w:eastAsia="zh-CN"/>
        </w:rPr>
        <w:t>1</w:t>
      </w:r>
      <w:r>
        <w:rPr>
          <w:rFonts w:hint="eastAsia" w:ascii="Times New Roman" w:hAnsi="Times New Roman" w:eastAsia="宋体" w:cs="Times New Roman"/>
          <w:b w:val="0"/>
          <w:bCs/>
          <w:sz w:val="28"/>
          <w:szCs w:val="28"/>
        </w:rPr>
        <w:t>、选用的估价方法及理由</w:t>
      </w:r>
    </w:p>
    <w:p>
      <w:pPr>
        <w:spacing w:line="360" w:lineRule="auto"/>
        <w:ind w:firstLine="560" w:firstLineChars="200"/>
        <w:rPr>
          <w:rFonts w:hint="eastAsia" w:hAnsi="宋体"/>
          <w:sz w:val="28"/>
          <w:lang w:eastAsia="zh-CN"/>
        </w:rPr>
      </w:pPr>
      <w:r>
        <w:rPr>
          <w:sz w:val="28"/>
          <w:szCs w:val="28"/>
        </w:rPr>
        <w:t>经对</w:t>
      </w:r>
      <w:r>
        <w:rPr>
          <w:rFonts w:hint="eastAsia"/>
          <w:sz w:val="28"/>
          <w:szCs w:val="28"/>
          <w:lang w:val="en-US" w:eastAsia="zh-CN"/>
        </w:rPr>
        <w:t>威宁县住宅</w:t>
      </w:r>
      <w:r>
        <w:rPr>
          <w:sz w:val="28"/>
          <w:szCs w:val="28"/>
        </w:rPr>
        <w:t>房地产市场进行调查分析后，</w:t>
      </w:r>
      <w:r>
        <w:rPr>
          <w:rFonts w:hint="eastAsia"/>
          <w:sz w:val="28"/>
          <w:szCs w:val="28"/>
          <w:lang w:val="en-US" w:eastAsia="zh-CN"/>
        </w:rPr>
        <w:t>周边住宅房地产市场交易比较活跃，</w:t>
      </w:r>
      <w:r>
        <w:rPr>
          <w:rFonts w:hint="eastAsia"/>
          <w:sz w:val="28"/>
          <w:szCs w:val="28"/>
        </w:rPr>
        <w:t>相关的市场交易实例较易收集和获取</w:t>
      </w:r>
      <w:r>
        <w:rPr>
          <w:rFonts w:hint="eastAsia"/>
          <w:sz w:val="28"/>
          <w:szCs w:val="28"/>
          <w:lang w:eastAsia="zh-CN"/>
        </w:rPr>
        <w:t>，</w:t>
      </w:r>
      <w:r>
        <w:rPr>
          <w:rFonts w:hint="eastAsia"/>
          <w:sz w:val="28"/>
          <w:szCs w:val="28"/>
        </w:rPr>
        <w:t>故本次评估</w:t>
      </w:r>
      <w:r>
        <w:rPr>
          <w:rFonts w:hint="eastAsia"/>
          <w:sz w:val="28"/>
          <w:szCs w:val="28"/>
          <w:lang w:val="en-US" w:eastAsia="zh-CN"/>
        </w:rPr>
        <w:t>住宅房地产</w:t>
      </w:r>
      <w:r>
        <w:rPr>
          <w:rFonts w:hint="eastAsia"/>
          <w:sz w:val="28"/>
          <w:szCs w:val="28"/>
        </w:rPr>
        <w:t>采用比较法对估价对象进行评估</w:t>
      </w:r>
      <w:r>
        <w:rPr>
          <w:rFonts w:hint="eastAsia"/>
          <w:sz w:val="28"/>
          <w:szCs w:val="28"/>
          <w:lang w:eastAsia="zh-CN"/>
        </w:rPr>
        <w:t>。</w:t>
      </w:r>
    </w:p>
    <w:p>
      <w:pPr>
        <w:spacing w:line="360" w:lineRule="auto"/>
        <w:ind w:firstLine="560" w:firstLineChars="200"/>
        <w:rPr>
          <w:rFonts w:hint="eastAsia" w:ascii="Times New Roman" w:hAnsi="Times New Roman" w:eastAsia="宋体" w:cs="Times New Roman"/>
          <w:b w:val="0"/>
          <w:bCs/>
          <w:kern w:val="0"/>
          <w:sz w:val="28"/>
          <w:szCs w:val="28"/>
          <w:lang w:val="en-US" w:eastAsia="zh-CN"/>
        </w:rPr>
      </w:pPr>
      <w:r>
        <w:rPr>
          <w:rFonts w:hint="eastAsia" w:ascii="Times New Roman" w:hAnsi="Times New Roman" w:eastAsia="宋体" w:cs="Times New Roman"/>
          <w:b w:val="0"/>
          <w:bCs/>
          <w:kern w:val="0"/>
          <w:sz w:val="28"/>
          <w:szCs w:val="28"/>
          <w:lang w:val="en-US" w:eastAsia="zh-CN"/>
        </w:rPr>
        <w:t>2、不选用的估价方法及其理由</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9"/>
        <w:rPr>
          <w:rFonts w:hint="eastAsia" w:ascii="Times New Roman" w:hAnsi="Times New Roman" w:eastAsia="宋体" w:cs="Times New Roman"/>
          <w:b w:val="0"/>
          <w:bCs/>
          <w:kern w:val="0"/>
          <w:sz w:val="28"/>
          <w:szCs w:val="28"/>
          <w:lang w:val="en-US" w:eastAsia="zh-CN"/>
        </w:rPr>
      </w:pPr>
      <w:r>
        <w:rPr>
          <w:rFonts w:hint="eastAsia" w:ascii="Times New Roman" w:hAnsi="Times New Roman" w:eastAsia="宋体" w:cs="Times New Roman"/>
          <w:b w:val="0"/>
          <w:bCs/>
          <w:kern w:val="0"/>
          <w:sz w:val="28"/>
          <w:szCs w:val="28"/>
          <w:lang w:val="en-US" w:eastAsia="zh-CN"/>
        </w:rPr>
        <w:t>（1）假设开发法</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9"/>
        <w:rPr>
          <w:rFonts w:hint="eastAsia" w:ascii="Times New Roman" w:hAnsi="Times New Roman" w:eastAsia="宋体" w:cs="Times New Roman"/>
          <w:bCs/>
          <w:sz w:val="28"/>
          <w:szCs w:val="28"/>
          <w:lang w:eastAsia="zh-CN"/>
        </w:rPr>
      </w:pPr>
      <w:r>
        <w:rPr>
          <w:rFonts w:hint="eastAsia" w:ascii="Times New Roman" w:hAnsi="Times New Roman" w:eastAsia="宋体" w:cs="Times New Roman"/>
          <w:bCs/>
          <w:sz w:val="28"/>
          <w:szCs w:val="28"/>
        </w:rPr>
        <w:t>假设开发法适用于具有投资开发或再开发潜力的房地产估价</w:t>
      </w:r>
      <w:r>
        <w:rPr>
          <w:rFonts w:hint="eastAsia" w:ascii="Times New Roman" w:hAnsi="Times New Roman" w:eastAsia="宋体" w:cs="Times New Roman"/>
          <w:bCs/>
          <w:sz w:val="28"/>
          <w:szCs w:val="28"/>
          <w:lang w:eastAsia="zh-CN"/>
        </w:rPr>
        <w:t>，</w:t>
      </w:r>
      <w:r>
        <w:rPr>
          <w:rFonts w:hint="eastAsia" w:ascii="Times New Roman" w:hAnsi="Times New Roman" w:eastAsia="宋体" w:cs="Times New Roman"/>
          <w:bCs/>
          <w:sz w:val="28"/>
          <w:szCs w:val="28"/>
        </w:rPr>
        <w:t>估价对象是已建造完成的</w:t>
      </w:r>
      <w:r>
        <w:rPr>
          <w:rFonts w:hint="eastAsia" w:ascii="Times New Roman" w:hAnsi="Times New Roman" w:eastAsia="宋体" w:cs="Times New Roman"/>
          <w:bCs/>
          <w:sz w:val="28"/>
          <w:szCs w:val="28"/>
          <w:lang w:val="en-US" w:eastAsia="zh-CN"/>
        </w:rPr>
        <w:t>住宅</w:t>
      </w:r>
      <w:r>
        <w:rPr>
          <w:rFonts w:hint="eastAsia" w:ascii="Times New Roman" w:hAnsi="Times New Roman" w:eastAsia="宋体" w:cs="Times New Roman"/>
          <w:bCs/>
          <w:sz w:val="28"/>
          <w:szCs w:val="28"/>
          <w:lang w:eastAsia="zh-CN"/>
        </w:rPr>
        <w:t>房地产</w:t>
      </w:r>
      <w:r>
        <w:rPr>
          <w:rFonts w:hint="eastAsia" w:ascii="Times New Roman" w:hAnsi="Times New Roman" w:eastAsia="宋体" w:cs="Times New Roman"/>
          <w:bCs/>
          <w:sz w:val="28"/>
          <w:szCs w:val="28"/>
        </w:rPr>
        <w:t>，规划条件未发生变更，估价对象处于最高最佳利用条件下，无开发潜力，故不宜采用假设开发法评估</w:t>
      </w:r>
      <w:r>
        <w:rPr>
          <w:rFonts w:hint="eastAsia" w:ascii="Times New Roman" w:hAnsi="Times New Roman" w:eastAsia="宋体" w:cs="Times New Roman"/>
          <w:bCs/>
          <w:sz w:val="28"/>
          <w:szCs w:val="28"/>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9"/>
        <w:rPr>
          <w:rFonts w:hint="eastAsia" w:ascii="Times New Roman" w:hAnsi="Times New Roman" w:eastAsia="宋体" w:cs="Times New Roman"/>
          <w:b w:val="0"/>
          <w:bCs/>
          <w:sz w:val="28"/>
          <w:szCs w:val="28"/>
          <w:lang w:eastAsia="zh-CN"/>
        </w:rPr>
      </w:pPr>
      <w:r>
        <w:rPr>
          <w:rFonts w:hint="eastAsia" w:ascii="Times New Roman" w:hAnsi="Times New Roman" w:eastAsia="宋体" w:cs="Times New Roman"/>
          <w:b w:val="0"/>
          <w:bCs/>
          <w:sz w:val="28"/>
          <w:szCs w:val="28"/>
        </w:rPr>
        <w:t>（</w:t>
      </w:r>
      <w:r>
        <w:rPr>
          <w:rFonts w:hint="eastAsia" w:ascii="Times New Roman" w:hAnsi="Times New Roman" w:eastAsia="宋体" w:cs="Times New Roman"/>
          <w:b w:val="0"/>
          <w:bCs/>
          <w:kern w:val="0"/>
          <w:sz w:val="28"/>
          <w:szCs w:val="28"/>
          <w:lang w:val="en-US" w:eastAsia="zh-CN"/>
        </w:rPr>
        <w:t>2</w:t>
      </w:r>
      <w:r>
        <w:rPr>
          <w:rFonts w:hint="eastAsia" w:ascii="Times New Roman" w:hAnsi="Times New Roman" w:eastAsia="宋体" w:cs="Times New Roman"/>
          <w:b w:val="0"/>
          <w:bCs/>
          <w:sz w:val="28"/>
          <w:szCs w:val="28"/>
        </w:rPr>
        <w:t>）</w:t>
      </w:r>
      <w:r>
        <w:rPr>
          <w:rFonts w:hint="eastAsia" w:ascii="Times New Roman" w:hAnsi="Times New Roman" w:eastAsia="宋体" w:cs="Times New Roman"/>
          <w:b w:val="0"/>
          <w:bCs/>
          <w:sz w:val="28"/>
          <w:szCs w:val="28"/>
          <w:lang w:eastAsia="zh-CN"/>
        </w:rPr>
        <w:t>成本法</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9"/>
        <w:rPr>
          <w:rFonts w:hint="eastAsia" w:ascii="Times New Roman" w:hAnsi="Times New Roman" w:eastAsia="宋体" w:cs="Times New Roman"/>
          <w:bCs/>
          <w:sz w:val="28"/>
          <w:szCs w:val="28"/>
        </w:rPr>
      </w:pPr>
      <w:r>
        <w:rPr>
          <w:rFonts w:hint="eastAsia" w:ascii="Times New Roman" w:hAnsi="Times New Roman" w:eastAsia="宋体" w:cs="Times New Roman"/>
          <w:bCs/>
          <w:sz w:val="28"/>
          <w:szCs w:val="28"/>
        </w:rPr>
        <w:t>由于</w:t>
      </w:r>
      <w:r>
        <w:rPr>
          <w:rFonts w:hint="eastAsia" w:ascii="Times New Roman" w:hAnsi="Times New Roman" w:eastAsia="宋体" w:cs="Times New Roman"/>
          <w:bCs/>
          <w:sz w:val="28"/>
          <w:szCs w:val="28"/>
          <w:lang w:eastAsia="zh-CN"/>
        </w:rPr>
        <w:t>估价</w:t>
      </w:r>
      <w:r>
        <w:rPr>
          <w:rFonts w:hint="eastAsia" w:ascii="Times New Roman" w:hAnsi="Times New Roman" w:eastAsia="宋体" w:cs="Times New Roman"/>
          <w:bCs/>
          <w:sz w:val="28"/>
          <w:szCs w:val="28"/>
        </w:rPr>
        <w:t>对象为</w:t>
      </w:r>
      <w:r>
        <w:rPr>
          <w:rFonts w:hint="eastAsia" w:ascii="Times New Roman" w:hAnsi="Times New Roman" w:eastAsia="宋体" w:cs="Times New Roman"/>
          <w:bCs/>
          <w:sz w:val="28"/>
          <w:szCs w:val="28"/>
          <w:lang w:val="en-US" w:eastAsia="zh-CN"/>
        </w:rPr>
        <w:t>住宅房地产</w:t>
      </w:r>
      <w:r>
        <w:rPr>
          <w:rFonts w:hint="eastAsia" w:ascii="Times New Roman" w:hAnsi="Times New Roman" w:eastAsia="宋体" w:cs="Times New Roman"/>
          <w:bCs/>
          <w:sz w:val="28"/>
          <w:szCs w:val="28"/>
        </w:rPr>
        <w:t>，</w:t>
      </w:r>
      <w:r>
        <w:rPr>
          <w:rFonts w:hint="eastAsia" w:hAnsi="宋体"/>
          <w:sz w:val="28"/>
          <w:lang w:val="en-US" w:eastAsia="zh-CN"/>
        </w:rPr>
        <w:t>未能获取到房屋分摊的土地使用权面积，</w:t>
      </w:r>
      <w:bookmarkStart w:id="437" w:name="_GoBack"/>
      <w:bookmarkEnd w:id="437"/>
      <w:r>
        <w:rPr>
          <w:rFonts w:hint="eastAsia" w:hAnsi="宋体"/>
          <w:sz w:val="28"/>
          <w:lang w:val="en-US" w:eastAsia="zh-CN"/>
        </w:rPr>
        <w:t>土地成本难以分割</w:t>
      </w:r>
      <w:r>
        <w:rPr>
          <w:rFonts w:hint="eastAsia" w:hAnsi="宋体"/>
          <w:sz w:val="28"/>
        </w:rPr>
        <w:t>，</w:t>
      </w:r>
      <w:r>
        <w:rPr>
          <w:rFonts w:hint="eastAsia" w:ascii="Times New Roman" w:hAnsi="Times New Roman" w:eastAsia="宋体" w:cs="Times New Roman"/>
          <w:bCs/>
          <w:sz w:val="28"/>
          <w:szCs w:val="28"/>
        </w:rPr>
        <w:t>故不宜选用成本法进行评估。</w:t>
      </w:r>
    </w:p>
    <w:p>
      <w:pPr>
        <w:keepNext w:val="0"/>
        <w:keepLines w:val="0"/>
        <w:pageBreakBefore w:val="0"/>
        <w:widowControl/>
        <w:numPr>
          <w:ilvl w:val="-1"/>
          <w:numId w:val="0"/>
        </w:numPr>
        <w:kinsoku/>
        <w:wordWrap/>
        <w:overflowPunct/>
        <w:topLinePunct w:val="0"/>
        <w:autoSpaceDE/>
        <w:autoSpaceDN/>
        <w:bidi w:val="0"/>
        <w:adjustRightInd/>
        <w:snapToGrid/>
        <w:spacing w:line="360" w:lineRule="auto"/>
        <w:ind w:firstLine="560" w:firstLineChars="200"/>
        <w:textAlignment w:val="auto"/>
        <w:outlineLvl w:val="9"/>
        <w:rPr>
          <w:rFonts w:hint="eastAsia" w:ascii="Times New Roman" w:hAnsi="Times New Roman" w:eastAsia="宋体" w:cs="Times New Roman"/>
          <w:b w:val="0"/>
          <w:bCs/>
          <w:kern w:val="0"/>
          <w:sz w:val="28"/>
          <w:szCs w:val="28"/>
          <w:lang w:val="en-US" w:eastAsia="zh-CN"/>
        </w:rPr>
      </w:pPr>
      <w:r>
        <w:rPr>
          <w:rFonts w:hint="eastAsia" w:ascii="Times New Roman" w:hAnsi="Times New Roman" w:eastAsia="宋体" w:cs="Times New Roman"/>
          <w:b w:val="0"/>
          <w:bCs/>
          <w:kern w:val="0"/>
          <w:sz w:val="28"/>
          <w:szCs w:val="28"/>
          <w:lang w:val="en-US" w:eastAsia="zh-CN"/>
        </w:rPr>
        <w:t>（3）收益法</w:t>
      </w:r>
    </w:p>
    <w:p>
      <w:pPr>
        <w:pStyle w:val="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Times New Roman" w:hAnsi="Times New Roman" w:eastAsia="宋体" w:cs="Times New Roman"/>
          <w:b w:val="0"/>
          <w:bCs/>
          <w:sz w:val="28"/>
          <w:szCs w:val="28"/>
          <w:lang w:val="en-US" w:eastAsia="zh-CN"/>
        </w:rPr>
      </w:pPr>
      <w:r>
        <w:rPr>
          <w:rFonts w:hint="eastAsia" w:ascii="宋体" w:hAnsi="宋体"/>
          <w:sz w:val="28"/>
        </w:rPr>
        <w:t>收益法，</w:t>
      </w:r>
      <w:r>
        <w:rPr>
          <w:rFonts w:hint="eastAsia" w:ascii="宋体" w:hAnsi="宋体"/>
          <w:sz w:val="28"/>
          <w:szCs w:val="28"/>
        </w:rPr>
        <w:t>是求取估价对象未来的正常净收益，选用适当的资本化率将其折现到价值时点后累加，以此估算估价对象的客观合理价格或价值的方法</w:t>
      </w:r>
      <w:r>
        <w:rPr>
          <w:rFonts w:hint="eastAsia" w:ascii="宋体" w:hAnsi="宋体"/>
          <w:sz w:val="28"/>
          <w:szCs w:val="28"/>
          <w:lang w:eastAsia="zh-CN"/>
        </w:rPr>
        <w:t>，</w:t>
      </w:r>
      <w:r>
        <w:rPr>
          <w:rFonts w:hint="eastAsia" w:hAnsi="宋体"/>
          <w:sz w:val="28"/>
          <w:szCs w:val="28"/>
          <w:lang w:val="en-US" w:eastAsia="zh-CN"/>
        </w:rPr>
        <w:t>对于</w:t>
      </w:r>
      <w:r>
        <w:rPr>
          <w:rFonts w:hint="eastAsia" w:ascii="宋体" w:hAnsi="宋体"/>
          <w:sz w:val="28"/>
          <w:szCs w:val="28"/>
          <w:lang w:val="en-US" w:eastAsia="zh-CN"/>
        </w:rPr>
        <w:t>住宅房地产，以居住为主要使用方式，租金收益难以体现房地产的市场价值，故不宜使用收益法进行评估</w:t>
      </w:r>
      <w:r>
        <w:rPr>
          <w:rFonts w:hint="eastAsia" w:ascii="Times New Roman" w:hAnsi="Times New Roman" w:eastAsia="宋体" w:cs="Times New Roman"/>
          <w:bCs/>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outlineLvl w:val="9"/>
        <w:rPr>
          <w:rFonts w:hint="eastAsia" w:ascii="宋体" w:hAnsi="宋体"/>
          <w:b/>
          <w:color w:val="000000"/>
          <w:sz w:val="28"/>
          <w:szCs w:val="28"/>
        </w:rPr>
      </w:pPr>
      <w:r>
        <w:rPr>
          <w:rFonts w:hint="eastAsia" w:ascii="宋体" w:hAnsi="宋体"/>
          <w:b/>
          <w:color w:val="000000"/>
          <w:sz w:val="28"/>
          <w:szCs w:val="28"/>
          <w:lang w:eastAsia="zh-CN"/>
        </w:rPr>
        <w:t>（</w:t>
      </w:r>
      <w:r>
        <w:rPr>
          <w:rFonts w:hint="eastAsia" w:ascii="宋体" w:hAnsi="宋体"/>
          <w:b/>
          <w:color w:val="000000"/>
          <w:sz w:val="28"/>
          <w:szCs w:val="28"/>
          <w:lang w:val="en-US" w:eastAsia="zh-CN"/>
        </w:rPr>
        <w:t>二</w:t>
      </w:r>
      <w:r>
        <w:rPr>
          <w:rFonts w:hint="eastAsia" w:ascii="宋体" w:hAnsi="宋体"/>
          <w:b/>
          <w:color w:val="000000"/>
          <w:sz w:val="28"/>
          <w:szCs w:val="28"/>
          <w:lang w:eastAsia="zh-CN"/>
        </w:rPr>
        <w:t>）</w:t>
      </w:r>
      <w:r>
        <w:rPr>
          <w:rFonts w:hint="eastAsia" w:ascii="宋体" w:hAnsi="宋体"/>
          <w:b/>
          <w:color w:val="000000"/>
          <w:sz w:val="28"/>
          <w:szCs w:val="28"/>
        </w:rPr>
        <w:t>估价方法说明</w:t>
      </w:r>
    </w:p>
    <w:p>
      <w:pPr>
        <w:spacing w:line="360" w:lineRule="auto"/>
        <w:ind w:firstLine="560" w:firstLineChars="200"/>
        <w:rPr>
          <w:rFonts w:hint="eastAsia"/>
          <w:sz w:val="28"/>
          <w:szCs w:val="28"/>
        </w:rPr>
      </w:pPr>
      <w:r>
        <w:rPr>
          <w:sz w:val="28"/>
          <w:szCs w:val="28"/>
        </w:rPr>
        <w:t>比较法，是选取一定数量的可比实例</w:t>
      </w:r>
      <w:r>
        <w:rPr>
          <w:rFonts w:hint="eastAsia" w:ascii="宋体" w:hAnsi="宋体"/>
          <w:sz w:val="28"/>
          <w:szCs w:val="28"/>
        </w:rPr>
        <w:t>,</w:t>
      </w:r>
      <w:r>
        <w:rPr>
          <w:sz w:val="28"/>
          <w:szCs w:val="28"/>
        </w:rPr>
        <w:t>将它们与估价对象进行比较，</w:t>
      </w:r>
      <w:r>
        <w:rPr>
          <w:rFonts w:hint="eastAsia"/>
          <w:sz w:val="28"/>
          <w:szCs w:val="28"/>
        </w:rPr>
        <w:t>根据其间的差异对可比实例成交价格进行处理后得到估价对象价值或价格的方法。</w:t>
      </w:r>
    </w:p>
    <w:p>
      <w:pPr>
        <w:spacing w:line="360" w:lineRule="auto"/>
        <w:ind w:firstLine="560" w:firstLineChars="200"/>
        <w:rPr>
          <w:rFonts w:hint="eastAsia" w:ascii="宋体" w:hAnsi="宋体"/>
          <w:sz w:val="28"/>
          <w:szCs w:val="28"/>
        </w:rPr>
      </w:pPr>
      <w:r>
        <w:rPr>
          <w:rFonts w:hint="eastAsia" w:ascii="宋体" w:hAnsi="宋体"/>
          <w:sz w:val="28"/>
          <w:szCs w:val="28"/>
        </w:rPr>
        <w:t>比较法具体计算公式为：</w:t>
      </w:r>
    </w:p>
    <w:p>
      <w:pPr>
        <w:spacing w:line="360" w:lineRule="auto"/>
        <w:ind w:firstLine="560" w:firstLineChars="200"/>
        <w:rPr>
          <w:rFonts w:hint="eastAsia" w:ascii="宋体" w:hAnsi="宋体"/>
          <w:color w:val="000000"/>
          <w:kern w:val="0"/>
          <w:sz w:val="28"/>
          <w:szCs w:val="28"/>
        </w:rPr>
      </w:pPr>
      <w:r>
        <w:rPr>
          <w:rFonts w:hint="eastAsia" w:ascii="宋体" w:hAnsi="宋体"/>
          <w:color w:val="000000"/>
          <w:kern w:val="0"/>
          <w:sz w:val="28"/>
          <w:szCs w:val="28"/>
        </w:rPr>
        <w:t>估价对象价值＝可比实例价格×交易情况修正系数×交易日期修正系数×区域状况修正系数×</w:t>
      </w:r>
      <w:r>
        <w:rPr>
          <w:rFonts w:hint="eastAsia"/>
          <w:sz w:val="28"/>
          <w:szCs w:val="28"/>
        </w:rPr>
        <w:t>实物状况</w:t>
      </w:r>
      <w:r>
        <w:rPr>
          <w:rFonts w:hint="eastAsia" w:ascii="宋体" w:hAnsi="宋体"/>
          <w:color w:val="000000"/>
          <w:kern w:val="0"/>
          <w:sz w:val="28"/>
          <w:szCs w:val="28"/>
        </w:rPr>
        <w:t>修正系数×</w:t>
      </w:r>
      <w:r>
        <w:rPr>
          <w:rFonts w:hint="eastAsia"/>
          <w:sz w:val="28"/>
          <w:szCs w:val="28"/>
        </w:rPr>
        <w:t>权益状况</w:t>
      </w:r>
      <w:r>
        <w:rPr>
          <w:rFonts w:hint="eastAsia" w:ascii="宋体" w:hAnsi="宋体"/>
          <w:color w:val="000000"/>
          <w:kern w:val="0"/>
          <w:sz w:val="28"/>
          <w:szCs w:val="28"/>
        </w:rPr>
        <w:t>修正系数。</w:t>
      </w:r>
    </w:p>
    <w:p>
      <w:pPr>
        <w:pStyle w:val="3"/>
        <w:tabs>
          <w:tab w:val="left" w:pos="2760"/>
          <w:tab w:val="center" w:pos="4535"/>
        </w:tabs>
        <w:autoSpaceDE w:val="0"/>
        <w:autoSpaceDN w:val="0"/>
        <w:spacing w:before="157" w:after="157" w:line="579" w:lineRule="auto"/>
        <w:ind w:firstLine="562" w:firstLineChars="200"/>
        <w:jc w:val="left"/>
        <w:textAlignment w:val="baseline"/>
        <w:rPr>
          <w:rFonts w:ascii="宋体" w:hAnsiTheme="minorHAnsi" w:eastAsiaTheme="minorEastAsia" w:cstheme="minorBidi"/>
          <w:b/>
          <w:sz w:val="28"/>
          <w:szCs w:val="28"/>
        </w:rPr>
      </w:pPr>
      <w:bookmarkStart w:id="331" w:name="_Toc16417"/>
      <w:bookmarkStart w:id="332" w:name="_Toc31292"/>
      <w:bookmarkStart w:id="333" w:name="_Toc25087"/>
      <w:bookmarkStart w:id="334" w:name="_Toc7302"/>
      <w:bookmarkStart w:id="335" w:name="_Toc23655"/>
      <w:bookmarkStart w:id="336" w:name="_Toc16267"/>
      <w:bookmarkStart w:id="337" w:name="_Toc3907"/>
      <w:bookmarkStart w:id="338" w:name="_Toc25535"/>
      <w:bookmarkStart w:id="339" w:name="_Toc8119"/>
      <w:bookmarkStart w:id="340" w:name="_Toc16896"/>
      <w:bookmarkStart w:id="341" w:name="_Toc26279"/>
      <w:bookmarkStart w:id="342" w:name="_Toc28464"/>
      <w:bookmarkStart w:id="343" w:name="_Toc28035"/>
      <w:bookmarkStart w:id="344" w:name="_Toc31736"/>
      <w:bookmarkStart w:id="345" w:name="_Toc19997"/>
      <w:bookmarkStart w:id="346" w:name="_Toc27882"/>
      <w:bookmarkStart w:id="347" w:name="_Toc16898"/>
      <w:bookmarkStart w:id="348" w:name="_Toc17604"/>
      <w:bookmarkStart w:id="349" w:name="_Toc9407"/>
      <w:bookmarkStart w:id="350" w:name="_Toc9102"/>
      <w:bookmarkStart w:id="351" w:name="_Toc24195"/>
      <w:bookmarkStart w:id="352" w:name="_Toc6265"/>
      <w:r>
        <w:rPr>
          <w:rFonts w:hint="default" w:ascii="宋体" w:hAnsiTheme="minorHAnsi" w:eastAsiaTheme="minorEastAsia" w:cstheme="minorBidi"/>
          <w:b/>
          <w:sz w:val="28"/>
          <w:szCs w:val="28"/>
        </w:rPr>
        <w:t>十、估价结果</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Start w:id="353" w:name="_Toc252558954"/>
    </w:p>
    <w:p>
      <w:pPr>
        <w:spacing w:before="156" w:beforeLines="50" w:after="156" w:afterLines="50" w:line="360" w:lineRule="auto"/>
        <w:ind w:firstLine="560" w:firstLineChars="200"/>
        <w:rPr>
          <w:rFonts w:hint="default"/>
          <w:b/>
          <w:sz w:val="28"/>
          <w:szCs w:val="28"/>
          <w:lang w:val="en-US" w:eastAsia="zh-CN"/>
        </w:rPr>
      </w:pPr>
      <w:bookmarkStart w:id="354" w:name="_Toc27149"/>
      <w:bookmarkStart w:id="355" w:name="_Toc440990686"/>
      <w:bookmarkStart w:id="356" w:name="_Toc440992066"/>
      <w:bookmarkStart w:id="357" w:name="_Toc6036"/>
      <w:r>
        <w:rPr>
          <w:rFonts w:hint="eastAsia" w:ascii="Times New Roman" w:hAnsi="Times New Roman" w:eastAsia="宋体" w:cs="Times New Roman"/>
          <w:bCs/>
          <w:szCs w:val="28"/>
        </w:rPr>
        <w:t>本估价机构根据估价目的，遵循估价原则，采用科学合理的估价方法，在认真分析现有资料的基础上，经过测算，结合估价经验与对影响房地产市场价格因素进行分析，确定估价对象在符合报告中已说明的有关假设以及限制条件的基础上，确定估价对象于价值时点</w:t>
      </w:r>
      <w:r>
        <w:rPr>
          <w:rFonts w:hint="eastAsia" w:ascii="Times New Roman" w:hAnsi="Times New Roman" w:eastAsia="宋体" w:cs="Times New Roman"/>
          <w:bCs/>
          <w:szCs w:val="28"/>
          <w:lang w:val="en-US" w:eastAsia="zh-CN"/>
        </w:rPr>
        <w:t>市场</w:t>
      </w:r>
      <w:r>
        <w:rPr>
          <w:rFonts w:hint="eastAsia" w:ascii="Times New Roman" w:hAnsi="Times New Roman" w:eastAsia="宋体" w:cs="Times New Roman"/>
          <w:bCs/>
          <w:szCs w:val="28"/>
          <w:lang w:eastAsia="zh-CN"/>
        </w:rPr>
        <w:t>价值</w:t>
      </w:r>
      <w:r>
        <w:rPr>
          <w:rFonts w:hint="eastAsia" w:ascii="Times New Roman" w:hAnsi="Times New Roman" w:eastAsia="宋体" w:cs="Times New Roman"/>
          <w:bCs/>
          <w:szCs w:val="28"/>
        </w:rPr>
        <w:t>为人民币</w:t>
      </w:r>
      <w:r>
        <w:rPr>
          <w:rFonts w:hint="eastAsia" w:ascii="Times New Roman" w:hAnsi="Times New Roman" w:eastAsia="宋体" w:cs="Times New Roman"/>
          <w:b/>
          <w:bCs w:val="0"/>
          <w:szCs w:val="28"/>
        </w:rPr>
        <w:t>（大写）：</w:t>
      </w:r>
      <w:r>
        <w:rPr>
          <w:rFonts w:hint="eastAsia" w:ascii="宋体" w:hAnsi="宋体"/>
          <w:b/>
          <w:sz w:val="28"/>
          <w:szCs w:val="28"/>
          <w:lang w:val="en-US" w:eastAsia="zh-CN"/>
        </w:rPr>
        <w:t>伍拾万零壹仟壹佰捌拾玖</w:t>
      </w:r>
      <w:r>
        <w:rPr>
          <w:rFonts w:hint="eastAsia" w:hAnsi="宋体"/>
          <w:b/>
          <w:sz w:val="28"/>
          <w:szCs w:val="28"/>
          <w:lang w:val="en-US" w:eastAsia="zh-CN"/>
        </w:rPr>
        <w:t>元</w:t>
      </w:r>
      <w:r>
        <w:rPr>
          <w:rFonts w:hint="eastAsia" w:hAnsi="宋体"/>
          <w:b/>
          <w:sz w:val="28"/>
          <w:szCs w:val="28"/>
        </w:rPr>
        <w:t>整（</w:t>
      </w:r>
      <w:r>
        <w:rPr>
          <w:rFonts w:hAnsi="宋体"/>
          <w:b/>
          <w:sz w:val="28"/>
          <w:szCs w:val="28"/>
        </w:rPr>
        <w:t>￥</w:t>
      </w:r>
      <w:r>
        <w:rPr>
          <w:rFonts w:hint="default" w:hAnsi="宋体"/>
          <w:b/>
          <w:sz w:val="28"/>
          <w:szCs w:val="28"/>
          <w:lang w:val="en-US" w:eastAsia="zh-CN"/>
        </w:rPr>
        <w:t xml:space="preserve">501,189.00 </w:t>
      </w:r>
      <w:r>
        <w:rPr>
          <w:rFonts w:hAnsi="宋体"/>
          <w:b/>
          <w:sz w:val="28"/>
          <w:szCs w:val="28"/>
        </w:rPr>
        <w:t>元）</w:t>
      </w:r>
      <w:r>
        <w:rPr>
          <w:rFonts w:hint="eastAsia" w:hAnsi="宋体"/>
          <w:b w:val="0"/>
          <w:bCs/>
          <w:sz w:val="28"/>
          <w:szCs w:val="28"/>
          <w:lang w:eastAsia="zh-CN"/>
        </w:rPr>
        <w:t>，</w:t>
      </w:r>
      <w:r>
        <w:rPr>
          <w:rFonts w:hint="eastAsia" w:hAnsi="宋体"/>
          <w:b/>
          <w:bCs w:val="0"/>
          <w:sz w:val="28"/>
          <w:szCs w:val="28"/>
          <w:lang w:val="en-US" w:eastAsia="zh-CN"/>
        </w:rPr>
        <w:t>综合评估单价为4,088.00元/平方米（取整至个位）</w:t>
      </w:r>
      <w:r>
        <w:rPr>
          <w:rFonts w:hint="eastAsia" w:ascii="Times New Roman" w:hAnsi="Times New Roman" w:eastAsia="宋体" w:cs="Times New Roman"/>
          <w:b/>
          <w:bCs w:val="0"/>
          <w:szCs w:val="28"/>
        </w:rPr>
        <w:t>。</w:t>
      </w:r>
    </w:p>
    <w:bookmarkEnd w:id="353"/>
    <w:bookmarkEnd w:id="354"/>
    <w:bookmarkEnd w:id="355"/>
    <w:bookmarkEnd w:id="356"/>
    <w:bookmarkEnd w:id="357"/>
    <w:p>
      <w:pPr>
        <w:pStyle w:val="3"/>
        <w:tabs>
          <w:tab w:val="left" w:pos="2760"/>
          <w:tab w:val="center" w:pos="4535"/>
        </w:tabs>
        <w:autoSpaceDE w:val="0"/>
        <w:autoSpaceDN w:val="0"/>
        <w:spacing w:before="157" w:after="157" w:line="579" w:lineRule="auto"/>
        <w:ind w:firstLine="562" w:firstLineChars="200"/>
        <w:jc w:val="left"/>
        <w:textAlignment w:val="baseline"/>
        <w:rPr>
          <w:rFonts w:hint="default" w:ascii="宋体" w:hAnsiTheme="minorHAnsi" w:eastAsiaTheme="minorEastAsia" w:cstheme="minorBidi"/>
          <w:b/>
          <w:sz w:val="28"/>
          <w:szCs w:val="28"/>
          <w:lang w:val="en-US" w:eastAsia="zh-CN"/>
        </w:rPr>
      </w:pPr>
      <w:bookmarkStart w:id="358" w:name="_Toc5555"/>
      <w:bookmarkStart w:id="359" w:name="_Toc24529"/>
      <w:bookmarkStart w:id="360" w:name="_Toc7335"/>
      <w:bookmarkStart w:id="361" w:name="_Toc4404"/>
      <w:bookmarkStart w:id="362" w:name="_Toc27352"/>
      <w:bookmarkStart w:id="363" w:name="_Toc26119"/>
      <w:bookmarkStart w:id="364" w:name="_Toc31140"/>
      <w:bookmarkStart w:id="365" w:name="_Toc14599"/>
      <w:bookmarkStart w:id="366" w:name="_Toc31905"/>
      <w:bookmarkStart w:id="367" w:name="_Toc21706"/>
      <w:bookmarkStart w:id="368" w:name="_Toc19777"/>
      <w:bookmarkStart w:id="369" w:name="_Toc11500"/>
      <w:bookmarkStart w:id="370" w:name="_Toc29500"/>
      <w:bookmarkStart w:id="371" w:name="_Toc24082"/>
      <w:bookmarkStart w:id="372" w:name="_Toc24608"/>
      <w:bookmarkStart w:id="373" w:name="_Toc25126"/>
      <w:bookmarkStart w:id="374" w:name="_Toc27503"/>
      <w:bookmarkStart w:id="375" w:name="_Toc4329"/>
      <w:bookmarkStart w:id="376" w:name="_Toc2164"/>
      <w:bookmarkStart w:id="377" w:name="_Toc24188"/>
      <w:bookmarkStart w:id="378" w:name="_Toc22726"/>
      <w:bookmarkStart w:id="379" w:name="_Toc29865"/>
      <w:r>
        <w:rPr>
          <w:rFonts w:hint="eastAsia" w:cstheme="minorBidi"/>
          <w:b/>
          <w:sz w:val="28"/>
          <w:szCs w:val="28"/>
          <w:lang w:val="en-US" w:eastAsia="zh-CN"/>
        </w:rPr>
        <w:t>十一、</w:t>
      </w:r>
      <w:r>
        <w:rPr>
          <w:rFonts w:hint="default" w:ascii="宋体" w:hAnsiTheme="minorHAnsi" w:eastAsiaTheme="minorEastAsia" w:cstheme="minorBidi"/>
          <w:b/>
          <w:sz w:val="28"/>
          <w:szCs w:val="28"/>
          <w:lang w:val="en-US" w:eastAsia="zh-CN"/>
        </w:rPr>
        <w:t>注册房地产估价师</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tbl>
      <w:tblPr>
        <w:tblStyle w:val="17"/>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7"/>
        <w:gridCol w:w="2010"/>
        <w:gridCol w:w="3110"/>
        <w:gridCol w:w="2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exact"/>
        </w:trPr>
        <w:tc>
          <w:tcPr>
            <w:tcW w:w="1407" w:type="dxa"/>
            <w:tcBorders>
              <w:top w:val="single" w:color="auto" w:sz="12" w:space="0"/>
              <w:left w:val="single" w:color="auto" w:sz="12" w:space="0"/>
            </w:tcBorders>
            <w:vAlign w:val="center"/>
          </w:tcPr>
          <w:p>
            <w:pPr>
              <w:keepNext/>
              <w:keepLines/>
              <w:pageBreakBefore w:val="0"/>
              <w:kinsoku/>
              <w:wordWrap/>
              <w:overflowPunct/>
              <w:topLinePunct w:val="0"/>
              <w:bidi w:val="0"/>
              <w:snapToGrid w:val="0"/>
              <w:jc w:val="center"/>
              <w:rPr>
                <w:szCs w:val="28"/>
              </w:rPr>
            </w:pPr>
            <w:bookmarkStart w:id="380" w:name="_Toc440980990"/>
            <w:bookmarkStart w:id="381" w:name="_Toc32732"/>
            <w:bookmarkStart w:id="382" w:name="_Toc13890"/>
            <w:bookmarkStart w:id="383" w:name="_Toc440977514"/>
            <w:bookmarkStart w:id="384" w:name="_Toc12400"/>
            <w:bookmarkStart w:id="385" w:name="_Toc440992067"/>
            <w:bookmarkStart w:id="386" w:name="_Toc440990687"/>
            <w:bookmarkStart w:id="387" w:name="_Toc440980567"/>
            <w:r>
              <w:rPr>
                <w:szCs w:val="28"/>
              </w:rPr>
              <w:t>姓名</w:t>
            </w:r>
          </w:p>
        </w:tc>
        <w:tc>
          <w:tcPr>
            <w:tcW w:w="2010" w:type="dxa"/>
            <w:tcBorders>
              <w:top w:val="single" w:color="auto" w:sz="12" w:space="0"/>
            </w:tcBorders>
            <w:vAlign w:val="center"/>
          </w:tcPr>
          <w:p>
            <w:pPr>
              <w:keepNext/>
              <w:keepLines/>
              <w:pageBreakBefore w:val="0"/>
              <w:kinsoku/>
              <w:wordWrap/>
              <w:overflowPunct/>
              <w:topLinePunct w:val="0"/>
              <w:bidi w:val="0"/>
              <w:snapToGrid w:val="0"/>
              <w:jc w:val="center"/>
              <w:rPr>
                <w:szCs w:val="28"/>
              </w:rPr>
            </w:pPr>
            <w:r>
              <w:rPr>
                <w:szCs w:val="28"/>
              </w:rPr>
              <w:t>注册号</w:t>
            </w:r>
          </w:p>
        </w:tc>
        <w:tc>
          <w:tcPr>
            <w:tcW w:w="3110" w:type="dxa"/>
            <w:tcBorders>
              <w:top w:val="single" w:color="auto" w:sz="12" w:space="0"/>
            </w:tcBorders>
            <w:vAlign w:val="center"/>
          </w:tcPr>
          <w:p>
            <w:pPr>
              <w:keepNext/>
              <w:keepLines/>
              <w:pageBreakBefore w:val="0"/>
              <w:kinsoku/>
              <w:wordWrap/>
              <w:overflowPunct/>
              <w:topLinePunct w:val="0"/>
              <w:bidi w:val="0"/>
              <w:snapToGrid w:val="0"/>
              <w:jc w:val="center"/>
              <w:rPr>
                <w:szCs w:val="28"/>
              </w:rPr>
            </w:pPr>
            <w:r>
              <w:rPr>
                <w:szCs w:val="28"/>
              </w:rPr>
              <w:t>签名</w:t>
            </w:r>
          </w:p>
        </w:tc>
        <w:tc>
          <w:tcPr>
            <w:tcW w:w="2473" w:type="dxa"/>
            <w:tcBorders>
              <w:top w:val="single" w:color="auto" w:sz="12" w:space="0"/>
              <w:right w:val="single" w:color="auto" w:sz="12" w:space="0"/>
            </w:tcBorders>
            <w:vAlign w:val="center"/>
          </w:tcPr>
          <w:p>
            <w:pPr>
              <w:keepNext/>
              <w:keepLines/>
              <w:pageBreakBefore w:val="0"/>
              <w:kinsoku/>
              <w:wordWrap/>
              <w:overflowPunct/>
              <w:topLinePunct w:val="0"/>
              <w:bidi w:val="0"/>
              <w:snapToGrid w:val="0"/>
              <w:jc w:val="center"/>
              <w:rPr>
                <w:szCs w:val="28"/>
              </w:rPr>
            </w:pPr>
            <w:r>
              <w:rPr>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exact"/>
        </w:trPr>
        <w:tc>
          <w:tcPr>
            <w:tcW w:w="1407" w:type="dxa"/>
            <w:tcBorders>
              <w:left w:val="single" w:color="auto" w:sz="12" w:space="0"/>
            </w:tcBorders>
            <w:vAlign w:val="center"/>
          </w:tcPr>
          <w:p>
            <w:pPr>
              <w:snapToGrid w:val="0"/>
              <w:jc w:val="center"/>
              <w:rPr>
                <w:szCs w:val="28"/>
              </w:rPr>
            </w:pPr>
            <w:r>
              <w:rPr>
                <w:rFonts w:hint="eastAsia"/>
                <w:szCs w:val="28"/>
                <w:lang w:val="en-US" w:eastAsia="zh-CN"/>
              </w:rPr>
              <w:t>谢光明</w:t>
            </w:r>
          </w:p>
        </w:tc>
        <w:tc>
          <w:tcPr>
            <w:tcW w:w="2010" w:type="dxa"/>
            <w:vAlign w:val="center"/>
          </w:tcPr>
          <w:p>
            <w:pPr>
              <w:snapToGrid w:val="0"/>
              <w:jc w:val="center"/>
              <w:rPr>
                <w:rFonts w:hint="default"/>
                <w:szCs w:val="28"/>
                <w:lang w:val="en-US"/>
              </w:rPr>
            </w:pPr>
            <w:r>
              <w:rPr>
                <w:rFonts w:hint="eastAsia" w:ascii="Times New Roman" w:hAnsi="Times New Roman" w:eastAsia="宋体" w:cs="Times New Roman"/>
                <w:kern w:val="2"/>
                <w:sz w:val="28"/>
                <w:szCs w:val="28"/>
                <w:lang w:val="en-US" w:eastAsia="zh-CN"/>
              </w:rPr>
              <w:t>5220180018</w:t>
            </w:r>
          </w:p>
        </w:tc>
        <w:tc>
          <w:tcPr>
            <w:tcW w:w="3110" w:type="dxa"/>
            <w:vAlign w:val="center"/>
          </w:tcPr>
          <w:p>
            <w:pPr>
              <w:snapToGrid w:val="0"/>
              <w:jc w:val="center"/>
              <w:rPr>
                <w:szCs w:val="28"/>
              </w:rPr>
            </w:pPr>
          </w:p>
        </w:tc>
        <w:tc>
          <w:tcPr>
            <w:tcW w:w="2473" w:type="dxa"/>
            <w:tcBorders>
              <w:right w:val="single" w:color="auto" w:sz="12" w:space="0"/>
            </w:tcBorders>
            <w:vAlign w:val="center"/>
          </w:tcPr>
          <w:p>
            <w:pPr>
              <w:snapToGrid w:val="0"/>
              <w:jc w:val="center"/>
              <w:rPr>
                <w:rFonts w:hint="eastAsia" w:eastAsiaTheme="minorEastAsia"/>
                <w:szCs w:val="28"/>
                <w:lang w:eastAsia="zh-CN"/>
              </w:rPr>
            </w:pPr>
            <w:r>
              <w:rPr>
                <w:rFonts w:hint="eastAsia" w:ascii="Times New Roman" w:hAnsi="Times New Roman" w:eastAsia="宋体" w:cs="Times New Roman"/>
                <w:kern w:val="2"/>
                <w:sz w:val="28"/>
                <w:szCs w:val="28"/>
              </w:rPr>
              <w:t>20</w:t>
            </w:r>
            <w:r>
              <w:rPr>
                <w:rFonts w:hint="eastAsia" w:ascii="Times New Roman" w:hAnsi="Times New Roman" w:eastAsia="宋体" w:cs="Times New Roman"/>
                <w:kern w:val="2"/>
                <w:sz w:val="28"/>
                <w:szCs w:val="28"/>
                <w:lang w:val="en-US" w:eastAsia="zh-CN"/>
              </w:rPr>
              <w:t>22</w:t>
            </w:r>
            <w:r>
              <w:rPr>
                <w:rFonts w:hint="eastAsia" w:ascii="Times New Roman" w:hAnsi="Times New Roman" w:eastAsia="宋体" w:cs="Times New Roman"/>
                <w:kern w:val="2"/>
                <w:sz w:val="28"/>
                <w:szCs w:val="28"/>
              </w:rPr>
              <w:t>年</w:t>
            </w:r>
            <w:r>
              <w:rPr>
                <w:rFonts w:hint="eastAsia" w:ascii="Times New Roman" w:hAnsi="Times New Roman" w:eastAsia="宋体" w:cs="Times New Roman"/>
                <w:kern w:val="2"/>
                <w:sz w:val="28"/>
                <w:szCs w:val="28"/>
                <w:lang w:val="en-US" w:eastAsia="zh-CN"/>
              </w:rPr>
              <w:t>5</w:t>
            </w:r>
            <w:r>
              <w:rPr>
                <w:rFonts w:hint="eastAsia" w:ascii="Times New Roman" w:hAnsi="Times New Roman" w:eastAsia="宋体" w:cs="Times New Roman"/>
                <w:kern w:val="2"/>
                <w:sz w:val="28"/>
                <w:szCs w:val="28"/>
              </w:rPr>
              <w:t>月</w:t>
            </w:r>
            <w:r>
              <w:rPr>
                <w:rFonts w:hint="eastAsia" w:ascii="Times New Roman" w:hAnsi="Times New Roman" w:eastAsia="宋体" w:cs="Times New Roman"/>
                <w:kern w:val="2"/>
                <w:sz w:val="28"/>
                <w:szCs w:val="28"/>
                <w:lang w:val="en-US" w:eastAsia="zh-CN"/>
              </w:rPr>
              <w:t>25</w:t>
            </w:r>
            <w:r>
              <w:rPr>
                <w:rFonts w:hint="eastAsia" w:ascii="Times New Roman" w:hAnsi="Times New Roman" w:eastAsia="宋体" w:cs="Times New Roman"/>
                <w:kern w:val="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exact"/>
        </w:trPr>
        <w:tc>
          <w:tcPr>
            <w:tcW w:w="1407" w:type="dxa"/>
            <w:tcBorders>
              <w:left w:val="single" w:color="auto" w:sz="12" w:space="0"/>
              <w:bottom w:val="single" w:color="auto" w:sz="12" w:space="0"/>
            </w:tcBorders>
            <w:vAlign w:val="center"/>
          </w:tcPr>
          <w:p>
            <w:pPr>
              <w:snapToGrid w:val="0"/>
              <w:jc w:val="center"/>
              <w:rPr>
                <w:rFonts w:hint="eastAsia" w:eastAsiaTheme="minorEastAsia"/>
                <w:szCs w:val="28"/>
                <w:lang w:val="en-US" w:eastAsia="zh-CN"/>
              </w:rPr>
            </w:pPr>
            <w:r>
              <w:rPr>
                <w:rFonts w:hint="eastAsia"/>
                <w:color w:val="000000"/>
                <w:szCs w:val="28"/>
                <w:lang w:val="en-US" w:eastAsia="zh-CN"/>
              </w:rPr>
              <w:t>周礼行</w:t>
            </w:r>
          </w:p>
        </w:tc>
        <w:tc>
          <w:tcPr>
            <w:tcW w:w="2010" w:type="dxa"/>
            <w:tcBorders>
              <w:bottom w:val="single" w:color="auto" w:sz="12" w:space="0"/>
            </w:tcBorders>
            <w:vAlign w:val="center"/>
          </w:tcPr>
          <w:p>
            <w:pPr>
              <w:snapToGrid w:val="0"/>
              <w:jc w:val="center"/>
              <w:rPr>
                <w:szCs w:val="28"/>
              </w:rPr>
            </w:pPr>
            <w:r>
              <w:rPr>
                <w:rFonts w:hint="eastAsia" w:ascii="Times New Roman" w:hAnsi="Times New Roman" w:eastAsia="宋体" w:cs="Times New Roman"/>
                <w:kern w:val="2"/>
                <w:sz w:val="28"/>
                <w:szCs w:val="28"/>
                <w:lang w:val="en-US" w:eastAsia="zh-CN"/>
              </w:rPr>
              <w:t>5220180026</w:t>
            </w:r>
          </w:p>
        </w:tc>
        <w:tc>
          <w:tcPr>
            <w:tcW w:w="3110" w:type="dxa"/>
            <w:tcBorders>
              <w:bottom w:val="single" w:color="auto" w:sz="12" w:space="0"/>
            </w:tcBorders>
            <w:vAlign w:val="center"/>
          </w:tcPr>
          <w:p>
            <w:pPr>
              <w:snapToGrid w:val="0"/>
              <w:jc w:val="center"/>
              <w:rPr>
                <w:szCs w:val="28"/>
              </w:rPr>
            </w:pPr>
          </w:p>
        </w:tc>
        <w:tc>
          <w:tcPr>
            <w:tcW w:w="2473" w:type="dxa"/>
            <w:tcBorders>
              <w:bottom w:val="single" w:color="auto" w:sz="12" w:space="0"/>
              <w:right w:val="single" w:color="auto" w:sz="12" w:space="0"/>
            </w:tcBorders>
            <w:vAlign w:val="center"/>
          </w:tcPr>
          <w:p>
            <w:pPr>
              <w:snapToGrid w:val="0"/>
              <w:jc w:val="center"/>
              <w:rPr>
                <w:rFonts w:hint="eastAsia" w:eastAsiaTheme="minorEastAsia"/>
                <w:szCs w:val="28"/>
                <w:lang w:eastAsia="zh-CN"/>
              </w:rPr>
            </w:pPr>
            <w:r>
              <w:rPr>
                <w:rFonts w:hint="eastAsia" w:ascii="Times New Roman" w:hAnsi="Times New Roman" w:eastAsia="宋体" w:cs="Times New Roman"/>
                <w:kern w:val="2"/>
                <w:sz w:val="28"/>
                <w:szCs w:val="28"/>
              </w:rPr>
              <w:t>20</w:t>
            </w:r>
            <w:r>
              <w:rPr>
                <w:rFonts w:hint="eastAsia" w:ascii="Times New Roman" w:hAnsi="Times New Roman" w:eastAsia="宋体" w:cs="Times New Roman"/>
                <w:kern w:val="2"/>
                <w:sz w:val="28"/>
                <w:szCs w:val="28"/>
                <w:lang w:val="en-US" w:eastAsia="zh-CN"/>
              </w:rPr>
              <w:t>22</w:t>
            </w:r>
            <w:r>
              <w:rPr>
                <w:rFonts w:hint="eastAsia" w:ascii="Times New Roman" w:hAnsi="Times New Roman" w:eastAsia="宋体" w:cs="Times New Roman"/>
                <w:kern w:val="2"/>
                <w:sz w:val="28"/>
                <w:szCs w:val="28"/>
              </w:rPr>
              <w:t>年</w:t>
            </w:r>
            <w:r>
              <w:rPr>
                <w:rFonts w:hint="eastAsia" w:ascii="Times New Roman" w:hAnsi="Times New Roman" w:eastAsia="宋体" w:cs="Times New Roman"/>
                <w:kern w:val="2"/>
                <w:sz w:val="28"/>
                <w:szCs w:val="28"/>
                <w:lang w:val="en-US" w:eastAsia="zh-CN"/>
              </w:rPr>
              <w:t>5</w:t>
            </w:r>
            <w:r>
              <w:rPr>
                <w:rFonts w:hint="eastAsia" w:ascii="Times New Roman" w:hAnsi="Times New Roman" w:eastAsia="宋体" w:cs="Times New Roman"/>
                <w:kern w:val="2"/>
                <w:sz w:val="28"/>
                <w:szCs w:val="28"/>
              </w:rPr>
              <w:t>月</w:t>
            </w:r>
            <w:r>
              <w:rPr>
                <w:rFonts w:hint="eastAsia" w:ascii="Times New Roman" w:hAnsi="Times New Roman" w:eastAsia="宋体" w:cs="Times New Roman"/>
                <w:kern w:val="2"/>
                <w:sz w:val="28"/>
                <w:szCs w:val="28"/>
                <w:lang w:val="en-US" w:eastAsia="zh-CN"/>
              </w:rPr>
              <w:t>25</w:t>
            </w:r>
            <w:r>
              <w:rPr>
                <w:rFonts w:hint="eastAsia" w:ascii="Times New Roman" w:hAnsi="Times New Roman" w:eastAsia="宋体" w:cs="Times New Roman"/>
                <w:kern w:val="2"/>
                <w:sz w:val="28"/>
                <w:szCs w:val="28"/>
              </w:rPr>
              <w:t>日</w:t>
            </w:r>
          </w:p>
        </w:tc>
      </w:tr>
    </w:tbl>
    <w:p>
      <w:pPr>
        <w:pStyle w:val="3"/>
        <w:tabs>
          <w:tab w:val="left" w:pos="2760"/>
          <w:tab w:val="center" w:pos="4535"/>
        </w:tabs>
        <w:autoSpaceDE w:val="0"/>
        <w:autoSpaceDN w:val="0"/>
        <w:spacing w:before="157" w:after="157" w:line="579" w:lineRule="auto"/>
        <w:ind w:firstLine="562" w:firstLineChars="200"/>
        <w:jc w:val="left"/>
        <w:textAlignment w:val="baseline"/>
        <w:rPr>
          <w:rFonts w:hint="eastAsia" w:ascii="宋体" w:hAnsiTheme="minorHAnsi" w:eastAsiaTheme="minorEastAsia" w:cstheme="minorBidi"/>
          <w:b/>
          <w:sz w:val="28"/>
          <w:szCs w:val="28"/>
        </w:rPr>
      </w:pPr>
      <w:bookmarkStart w:id="388" w:name="_Toc16198"/>
      <w:bookmarkStart w:id="389" w:name="_Toc7236"/>
      <w:bookmarkStart w:id="390" w:name="_Toc13567"/>
      <w:bookmarkStart w:id="391" w:name="_Toc7012"/>
      <w:bookmarkStart w:id="392" w:name="_Toc19370"/>
      <w:bookmarkStart w:id="393" w:name="_Toc31174"/>
      <w:bookmarkStart w:id="394" w:name="_Toc21274"/>
      <w:bookmarkStart w:id="395" w:name="_Toc3725"/>
      <w:bookmarkStart w:id="396" w:name="_Toc4364"/>
      <w:bookmarkStart w:id="397" w:name="_Toc17258"/>
      <w:bookmarkStart w:id="398" w:name="_Toc26122"/>
      <w:bookmarkStart w:id="399" w:name="_Toc9736"/>
      <w:bookmarkStart w:id="400" w:name="_Toc2336"/>
      <w:bookmarkStart w:id="401" w:name="_Toc27726"/>
      <w:bookmarkStart w:id="402" w:name="_Toc10864"/>
      <w:bookmarkStart w:id="403" w:name="_Toc29937"/>
      <w:bookmarkStart w:id="404" w:name="_Toc21571"/>
      <w:bookmarkStart w:id="405" w:name="_Toc16163"/>
      <w:bookmarkStart w:id="406" w:name="_Toc28748"/>
      <w:bookmarkStart w:id="407" w:name="_Toc8364"/>
      <w:bookmarkStart w:id="408" w:name="_Toc30393"/>
      <w:bookmarkStart w:id="409" w:name="_Toc17805"/>
      <w:r>
        <w:rPr>
          <w:rFonts w:hint="eastAsia" w:ascii="宋体" w:hAnsiTheme="minorHAnsi" w:eastAsiaTheme="minorEastAsia" w:cstheme="minorBidi"/>
          <w:b/>
          <w:sz w:val="28"/>
          <w:szCs w:val="28"/>
        </w:rPr>
        <w:t>十二、实地查勘期</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Cs/>
          <w:szCs w:val="28"/>
          <w:lang w:eastAsia="zh-CN"/>
        </w:rPr>
      </w:pPr>
      <w:r>
        <w:rPr>
          <w:rFonts w:hint="eastAsia" w:ascii="Times New Roman" w:hAnsi="Times New Roman" w:eastAsia="宋体" w:cs="Times New Roman"/>
          <w:bCs/>
          <w:szCs w:val="28"/>
          <w:lang w:eastAsia="zh-CN"/>
        </w:rPr>
        <w:t>20</w:t>
      </w:r>
      <w:r>
        <w:rPr>
          <w:rFonts w:hint="eastAsia" w:ascii="Times New Roman" w:hAnsi="Times New Roman" w:eastAsia="宋体" w:cs="Times New Roman"/>
          <w:bCs/>
          <w:szCs w:val="28"/>
          <w:lang w:val="en-US" w:eastAsia="zh-CN"/>
        </w:rPr>
        <w:t>22</w:t>
      </w:r>
      <w:r>
        <w:rPr>
          <w:rFonts w:hint="eastAsia" w:ascii="Times New Roman" w:hAnsi="Times New Roman" w:eastAsia="宋体" w:cs="Times New Roman"/>
          <w:bCs/>
          <w:szCs w:val="28"/>
          <w:lang w:eastAsia="zh-CN"/>
        </w:rPr>
        <w:t>年</w:t>
      </w:r>
      <w:r>
        <w:rPr>
          <w:rFonts w:hint="eastAsia" w:ascii="Times New Roman" w:hAnsi="Times New Roman" w:eastAsia="宋体" w:cs="Times New Roman"/>
          <w:bCs/>
          <w:szCs w:val="28"/>
          <w:lang w:val="en-US" w:eastAsia="zh-CN"/>
        </w:rPr>
        <w:t>5</w:t>
      </w:r>
      <w:r>
        <w:rPr>
          <w:rFonts w:hint="eastAsia" w:ascii="Times New Roman" w:hAnsi="Times New Roman" w:eastAsia="宋体" w:cs="Times New Roman"/>
          <w:bCs/>
          <w:szCs w:val="28"/>
          <w:lang w:eastAsia="zh-CN"/>
        </w:rPr>
        <w:t>月</w:t>
      </w:r>
      <w:r>
        <w:rPr>
          <w:rFonts w:hint="eastAsia" w:ascii="Times New Roman" w:hAnsi="Times New Roman" w:eastAsia="宋体" w:cs="Times New Roman"/>
          <w:bCs/>
          <w:szCs w:val="28"/>
          <w:lang w:val="en-US" w:eastAsia="zh-CN"/>
        </w:rPr>
        <w:t>13</w:t>
      </w:r>
      <w:r>
        <w:rPr>
          <w:rFonts w:hint="eastAsia" w:ascii="Times New Roman" w:hAnsi="Times New Roman" w:eastAsia="宋体" w:cs="Times New Roman"/>
          <w:bCs/>
          <w:szCs w:val="28"/>
          <w:lang w:eastAsia="zh-CN"/>
        </w:rPr>
        <w:t>日</w:t>
      </w:r>
      <w:r>
        <w:rPr>
          <w:rFonts w:hint="eastAsia" w:ascii="Times New Roman" w:hAnsi="Times New Roman" w:eastAsia="宋体" w:cs="Times New Roman"/>
          <w:bCs/>
          <w:szCs w:val="28"/>
        </w:rPr>
        <w:t>至</w:t>
      </w:r>
      <w:r>
        <w:rPr>
          <w:rFonts w:hint="eastAsia" w:ascii="Times New Roman" w:hAnsi="Times New Roman" w:eastAsia="宋体" w:cs="Times New Roman"/>
          <w:bCs/>
          <w:szCs w:val="28"/>
          <w:lang w:eastAsia="zh-CN"/>
        </w:rPr>
        <w:t>20</w:t>
      </w:r>
      <w:r>
        <w:rPr>
          <w:rFonts w:hint="eastAsia" w:ascii="Times New Roman" w:hAnsi="Times New Roman" w:eastAsia="宋体" w:cs="Times New Roman"/>
          <w:bCs/>
          <w:szCs w:val="28"/>
          <w:lang w:val="en-US" w:eastAsia="zh-CN"/>
        </w:rPr>
        <w:t>22</w:t>
      </w:r>
      <w:r>
        <w:rPr>
          <w:rFonts w:hint="eastAsia" w:ascii="Times New Roman" w:hAnsi="Times New Roman" w:eastAsia="宋体" w:cs="Times New Roman"/>
          <w:bCs/>
          <w:szCs w:val="28"/>
          <w:lang w:eastAsia="zh-CN"/>
        </w:rPr>
        <w:t>年</w:t>
      </w:r>
      <w:r>
        <w:rPr>
          <w:rFonts w:hint="eastAsia" w:ascii="Times New Roman" w:hAnsi="Times New Roman" w:eastAsia="宋体" w:cs="Times New Roman"/>
          <w:bCs/>
          <w:szCs w:val="28"/>
          <w:lang w:val="en-US" w:eastAsia="zh-CN"/>
        </w:rPr>
        <w:t>5</w:t>
      </w:r>
      <w:r>
        <w:rPr>
          <w:rFonts w:hint="eastAsia" w:ascii="Times New Roman" w:hAnsi="Times New Roman" w:eastAsia="宋体" w:cs="Times New Roman"/>
          <w:bCs/>
          <w:szCs w:val="28"/>
          <w:lang w:eastAsia="zh-CN"/>
        </w:rPr>
        <w:t>月</w:t>
      </w:r>
      <w:r>
        <w:rPr>
          <w:rFonts w:hint="eastAsia" w:ascii="Times New Roman" w:hAnsi="Times New Roman" w:eastAsia="宋体" w:cs="Times New Roman"/>
          <w:bCs/>
          <w:szCs w:val="28"/>
          <w:lang w:val="en-US" w:eastAsia="zh-CN"/>
        </w:rPr>
        <w:t>13</w:t>
      </w:r>
      <w:r>
        <w:rPr>
          <w:rFonts w:hint="eastAsia" w:ascii="Times New Roman" w:hAnsi="Times New Roman" w:eastAsia="宋体" w:cs="Times New Roman"/>
          <w:bCs/>
          <w:szCs w:val="28"/>
          <w:lang w:eastAsia="zh-CN"/>
        </w:rPr>
        <w:t>日</w:t>
      </w:r>
    </w:p>
    <w:p>
      <w:pPr>
        <w:pStyle w:val="3"/>
        <w:tabs>
          <w:tab w:val="left" w:pos="2760"/>
          <w:tab w:val="center" w:pos="4535"/>
        </w:tabs>
        <w:autoSpaceDE w:val="0"/>
        <w:autoSpaceDN w:val="0"/>
        <w:spacing w:before="157" w:after="157" w:line="579" w:lineRule="auto"/>
        <w:ind w:firstLine="562" w:firstLineChars="200"/>
        <w:jc w:val="left"/>
        <w:textAlignment w:val="baseline"/>
        <w:rPr>
          <w:rFonts w:hint="eastAsia" w:ascii="宋体" w:hAnsiTheme="minorHAnsi" w:eastAsiaTheme="minorEastAsia" w:cstheme="minorBidi"/>
          <w:b/>
          <w:sz w:val="28"/>
          <w:szCs w:val="28"/>
        </w:rPr>
      </w:pPr>
      <w:bookmarkStart w:id="410" w:name="_Toc9522"/>
      <w:bookmarkStart w:id="411" w:name="_Toc17954"/>
      <w:bookmarkStart w:id="412" w:name="_Toc3140"/>
      <w:bookmarkStart w:id="413" w:name="_Toc7274"/>
      <w:bookmarkStart w:id="414" w:name="_Toc440990688"/>
      <w:bookmarkStart w:id="415" w:name="_Toc23116"/>
      <w:bookmarkStart w:id="416" w:name="_Toc8617"/>
      <w:bookmarkStart w:id="417" w:name="_Toc10600"/>
      <w:bookmarkStart w:id="418" w:name="_Toc7439"/>
      <w:bookmarkStart w:id="419" w:name="_Toc17770"/>
      <w:bookmarkStart w:id="420" w:name="_Toc13668"/>
      <w:bookmarkStart w:id="421" w:name="_Toc14504"/>
      <w:bookmarkStart w:id="422" w:name="_Toc13936"/>
      <w:bookmarkStart w:id="423" w:name="_Toc30521"/>
      <w:bookmarkStart w:id="424" w:name="_Toc29177"/>
      <w:bookmarkStart w:id="425" w:name="_Toc2324"/>
      <w:bookmarkStart w:id="426" w:name="_Toc2958"/>
      <w:bookmarkStart w:id="427" w:name="_Toc25257"/>
      <w:bookmarkStart w:id="428" w:name="_Toc19250"/>
      <w:bookmarkStart w:id="429" w:name="_Toc440992068"/>
      <w:bookmarkStart w:id="430" w:name="_Toc11852"/>
      <w:bookmarkStart w:id="431" w:name="_Toc23990"/>
      <w:bookmarkStart w:id="432" w:name="_Toc19619"/>
      <w:bookmarkStart w:id="433" w:name="_Toc1848"/>
      <w:bookmarkStart w:id="434" w:name="_Toc17542"/>
      <w:bookmarkStart w:id="435" w:name="_Toc30599"/>
      <w:bookmarkStart w:id="436" w:name="_Toc28446"/>
      <w:r>
        <w:rPr>
          <w:rFonts w:hint="eastAsia" w:ascii="宋体" w:hAnsiTheme="minorHAnsi" w:eastAsiaTheme="minorEastAsia" w:cstheme="minorBidi"/>
          <w:b/>
          <w:sz w:val="28"/>
          <w:szCs w:val="28"/>
        </w:rPr>
        <w:t>十三、估价作业期</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27"/>
        <w:autoSpaceDE/>
        <w:autoSpaceDN/>
        <w:spacing w:before="156" w:beforeLines="50" w:after="156" w:afterLines="50"/>
        <w:ind w:firstLine="560" w:firstLineChars="200"/>
        <w:jc w:val="both"/>
        <w:textAlignment w:val="auto"/>
        <w:rPr>
          <w:rFonts w:hint="eastAsia" w:ascii="宋体" w:hAnsi="宋体" w:eastAsia="宋体"/>
          <w:spacing w:val="0"/>
          <w:szCs w:val="28"/>
          <w:lang w:eastAsia="zh-CN"/>
        </w:rPr>
      </w:pPr>
      <w:r>
        <w:rPr>
          <w:rFonts w:hint="eastAsia" w:ascii="Times New Roman" w:hAnsi="Times New Roman" w:eastAsia="宋体" w:cs="Times New Roman"/>
          <w:bCs/>
          <w:szCs w:val="28"/>
          <w:lang w:eastAsia="zh-CN"/>
        </w:rPr>
        <w:t>20</w:t>
      </w:r>
      <w:r>
        <w:rPr>
          <w:rFonts w:hint="eastAsia" w:ascii="Times New Roman" w:hAnsi="Times New Roman" w:eastAsia="宋体" w:cs="Times New Roman"/>
          <w:bCs/>
          <w:szCs w:val="28"/>
          <w:lang w:val="en-US" w:eastAsia="zh-CN"/>
        </w:rPr>
        <w:t>22</w:t>
      </w:r>
      <w:r>
        <w:rPr>
          <w:rFonts w:hint="eastAsia" w:ascii="Times New Roman" w:hAnsi="Times New Roman" w:eastAsia="宋体" w:cs="Times New Roman"/>
          <w:bCs/>
          <w:szCs w:val="28"/>
          <w:lang w:eastAsia="zh-CN"/>
        </w:rPr>
        <w:t>年</w:t>
      </w:r>
      <w:r>
        <w:rPr>
          <w:rFonts w:hint="eastAsia" w:ascii="Times New Roman" w:hAnsi="Times New Roman" w:eastAsia="宋体" w:cs="Times New Roman"/>
          <w:bCs/>
          <w:szCs w:val="28"/>
          <w:lang w:val="en-US" w:eastAsia="zh-CN"/>
        </w:rPr>
        <w:t>5</w:t>
      </w:r>
      <w:r>
        <w:rPr>
          <w:rFonts w:hint="eastAsia" w:ascii="Times New Roman" w:hAnsi="Times New Roman" w:eastAsia="宋体" w:cs="Times New Roman"/>
          <w:bCs/>
          <w:szCs w:val="28"/>
          <w:lang w:eastAsia="zh-CN"/>
        </w:rPr>
        <w:t>月</w:t>
      </w:r>
      <w:r>
        <w:rPr>
          <w:rFonts w:hint="eastAsia" w:ascii="Times New Roman" w:hAnsi="Times New Roman" w:eastAsia="宋体" w:cs="Times New Roman"/>
          <w:bCs/>
          <w:szCs w:val="28"/>
          <w:lang w:val="en-US" w:eastAsia="zh-CN"/>
        </w:rPr>
        <w:t>13</w:t>
      </w:r>
      <w:r>
        <w:rPr>
          <w:rFonts w:hint="eastAsia" w:ascii="Times New Roman" w:hAnsi="Times New Roman" w:eastAsia="宋体" w:cs="Times New Roman"/>
          <w:bCs/>
          <w:szCs w:val="28"/>
          <w:lang w:eastAsia="zh-CN"/>
        </w:rPr>
        <w:t>日</w:t>
      </w:r>
      <w:r>
        <w:rPr>
          <w:rFonts w:hint="eastAsia" w:ascii="Times New Roman" w:hAnsi="Times New Roman" w:eastAsia="宋体" w:cs="Times New Roman"/>
          <w:bCs/>
          <w:szCs w:val="28"/>
        </w:rPr>
        <w:t>至</w:t>
      </w:r>
      <w:r>
        <w:rPr>
          <w:rFonts w:hint="eastAsia" w:ascii="Times New Roman" w:hAnsi="Times New Roman" w:eastAsia="宋体" w:cs="Times New Roman"/>
          <w:bCs/>
          <w:szCs w:val="28"/>
          <w:lang w:eastAsia="zh-CN"/>
        </w:rPr>
        <w:t>20</w:t>
      </w:r>
      <w:r>
        <w:rPr>
          <w:rFonts w:hint="eastAsia" w:ascii="Times New Roman" w:hAnsi="Times New Roman" w:eastAsia="宋体" w:cs="Times New Roman"/>
          <w:bCs/>
          <w:szCs w:val="28"/>
          <w:lang w:val="en-US" w:eastAsia="zh-CN"/>
        </w:rPr>
        <w:t>22</w:t>
      </w:r>
      <w:r>
        <w:rPr>
          <w:rFonts w:hint="eastAsia" w:ascii="Times New Roman" w:hAnsi="Times New Roman" w:eastAsia="宋体" w:cs="Times New Roman"/>
          <w:bCs/>
          <w:szCs w:val="28"/>
          <w:lang w:eastAsia="zh-CN"/>
        </w:rPr>
        <w:t>年</w:t>
      </w:r>
      <w:r>
        <w:rPr>
          <w:rFonts w:hint="eastAsia" w:ascii="Times New Roman" w:hAnsi="Times New Roman" w:eastAsia="宋体" w:cs="Times New Roman"/>
          <w:bCs/>
          <w:szCs w:val="28"/>
          <w:lang w:val="en-US" w:eastAsia="zh-CN"/>
        </w:rPr>
        <w:t>5</w:t>
      </w:r>
      <w:r>
        <w:rPr>
          <w:rFonts w:hint="eastAsia" w:ascii="Times New Roman" w:hAnsi="Times New Roman" w:eastAsia="宋体" w:cs="Times New Roman"/>
          <w:bCs/>
          <w:szCs w:val="28"/>
          <w:lang w:eastAsia="zh-CN"/>
        </w:rPr>
        <w:t>月</w:t>
      </w:r>
      <w:r>
        <w:rPr>
          <w:rFonts w:hint="eastAsia" w:ascii="Times New Roman" w:hAnsi="Times New Roman" w:eastAsia="宋体" w:cs="Times New Roman"/>
          <w:bCs/>
          <w:szCs w:val="28"/>
          <w:lang w:val="en-US" w:eastAsia="zh-CN"/>
        </w:rPr>
        <w:t>25</w:t>
      </w:r>
      <w:r>
        <w:rPr>
          <w:rFonts w:hint="eastAsia" w:ascii="Times New Roman" w:hAnsi="Times New Roman" w:eastAsia="宋体" w:cs="Times New Roman"/>
          <w:bCs/>
          <w:szCs w:val="28"/>
          <w:lang w:eastAsia="zh-CN"/>
        </w:rPr>
        <w:t>日</w:t>
      </w:r>
      <w:r>
        <w:rPr>
          <w:rFonts w:hint="eastAsia" w:ascii="Times New Roman" w:hAnsi="Times New Roman" w:eastAsia="宋体" w:cs="Times New Roman"/>
          <w:bCs/>
          <w:szCs w:val="28"/>
        </w:rPr>
        <w:t>。</w:t>
      </w:r>
    </w:p>
    <w:p>
      <w:pPr>
        <w:rPr>
          <w:rFonts w:hint="eastAsia"/>
          <w:lang w:eastAsia="zh-CN"/>
        </w:rPr>
      </w:pPr>
    </w:p>
    <w:p>
      <w:pPr>
        <w:pStyle w:val="10"/>
        <w:adjustRightInd/>
        <w:spacing w:line="360" w:lineRule="auto"/>
        <w:ind w:left="0" w:leftChars="0" w:firstLine="200"/>
        <w:jc w:val="left"/>
        <w:rPr>
          <w:rFonts w:hint="eastAsia" w:ascii="宋体" w:hAnsi="宋体" w:eastAsia="宋体"/>
          <w:spacing w:val="0"/>
          <w:szCs w:val="28"/>
          <w:lang w:eastAsia="zh-CN"/>
        </w:rPr>
      </w:pPr>
    </w:p>
    <w:p>
      <w:pPr>
        <w:pStyle w:val="10"/>
        <w:adjustRightInd/>
        <w:spacing w:line="360" w:lineRule="auto"/>
        <w:ind w:left="0" w:leftChars="0" w:firstLine="200"/>
        <w:jc w:val="left"/>
        <w:rPr>
          <w:rFonts w:hint="eastAsia" w:ascii="宋体" w:hAnsi="宋体" w:eastAsia="宋体"/>
          <w:spacing w:val="0"/>
          <w:szCs w:val="28"/>
          <w:lang w:eastAsia="zh-CN"/>
        </w:rPr>
      </w:pPr>
      <w:r>
        <w:rPr>
          <w:rFonts w:hint="eastAsia" w:ascii="宋体" w:hAnsi="宋体" w:eastAsia="宋体"/>
          <w:spacing w:val="0"/>
          <w:szCs w:val="28"/>
          <w:lang w:eastAsia="zh-CN"/>
        </w:rPr>
        <w:t>（</w:t>
      </w:r>
      <w:r>
        <w:rPr>
          <w:rFonts w:hint="eastAsia" w:ascii="宋体" w:hAnsi="宋体" w:eastAsia="宋体"/>
          <w:spacing w:val="0"/>
          <w:szCs w:val="28"/>
          <w:lang w:val="en-US" w:eastAsia="zh-CN"/>
        </w:rPr>
        <w:t>此页无正文</w:t>
      </w:r>
      <w:r>
        <w:rPr>
          <w:rFonts w:hint="eastAsia" w:ascii="宋体" w:hAnsi="宋体" w:eastAsia="宋体"/>
          <w:spacing w:val="0"/>
          <w:szCs w:val="28"/>
          <w:lang w:eastAsia="zh-CN"/>
        </w:rPr>
        <w:t>）</w:t>
      </w:r>
    </w:p>
    <w:p>
      <w:pPr>
        <w:rPr>
          <w:rFonts w:hint="eastAsia"/>
          <w:lang w:eastAsia="zh-CN"/>
        </w:rPr>
      </w:pPr>
    </w:p>
    <w:p>
      <w:pPr>
        <w:pStyle w:val="10"/>
        <w:adjustRightInd/>
        <w:spacing w:line="360" w:lineRule="auto"/>
        <w:ind w:left="0" w:leftChars="0" w:firstLine="200"/>
        <w:jc w:val="right"/>
        <w:rPr>
          <w:rFonts w:ascii="宋体" w:hAnsi="宋体" w:eastAsia="宋体"/>
          <w:spacing w:val="0"/>
          <w:szCs w:val="28"/>
        </w:rPr>
      </w:pPr>
      <w:r>
        <w:rPr>
          <w:rFonts w:hint="eastAsia" w:ascii="宋体" w:hAnsi="宋体" w:eastAsia="宋体"/>
          <w:spacing w:val="0"/>
          <w:szCs w:val="28"/>
          <w:lang w:eastAsia="zh-CN"/>
        </w:rPr>
        <w:t>贵州瑞华亚太房地产土地资产评估有限公司</w:t>
      </w:r>
      <w:r>
        <w:rPr>
          <w:rFonts w:ascii="宋体" w:hAnsi="宋体" w:eastAsia="宋体"/>
          <w:spacing w:val="0"/>
          <w:szCs w:val="28"/>
        </w:rPr>
        <w:t xml:space="preserve"> </w:t>
      </w:r>
    </w:p>
    <w:p>
      <w:pPr>
        <w:ind w:firstLine="4480" w:firstLineChars="1600"/>
        <w:rPr>
          <w:rFonts w:hint="eastAsia" w:hAnsi="宋体" w:eastAsia="宋体"/>
          <w:szCs w:val="28"/>
          <w:lang w:eastAsia="zh-CN"/>
        </w:rPr>
      </w:pPr>
      <w:r>
        <w:rPr>
          <w:rFonts w:hint="eastAsia" w:hAnsi="宋体" w:eastAsia="宋体"/>
          <w:szCs w:val="28"/>
          <w:lang w:eastAsia="zh-CN"/>
        </w:rPr>
        <w:t>二○</w:t>
      </w:r>
      <w:r>
        <w:rPr>
          <w:rFonts w:hint="eastAsia" w:hAnsi="宋体" w:eastAsia="宋体"/>
          <w:szCs w:val="28"/>
          <w:lang w:val="en-US" w:eastAsia="zh-CN"/>
        </w:rPr>
        <w:t>二二</w:t>
      </w:r>
      <w:r>
        <w:rPr>
          <w:rFonts w:hint="eastAsia" w:hAnsi="宋体" w:eastAsia="宋体"/>
          <w:szCs w:val="28"/>
          <w:lang w:eastAsia="zh-CN"/>
        </w:rPr>
        <w:t>年</w:t>
      </w:r>
      <w:r>
        <w:rPr>
          <w:rFonts w:hint="eastAsia" w:hAnsi="宋体" w:eastAsia="宋体"/>
          <w:szCs w:val="28"/>
          <w:lang w:val="en-US" w:eastAsia="zh-CN"/>
        </w:rPr>
        <w:t>五</w:t>
      </w:r>
      <w:r>
        <w:rPr>
          <w:rFonts w:hint="eastAsia" w:hAnsi="宋体" w:eastAsia="宋体"/>
          <w:szCs w:val="28"/>
          <w:lang w:eastAsia="zh-CN"/>
        </w:rPr>
        <w:t>月</w:t>
      </w:r>
      <w:r>
        <w:rPr>
          <w:rFonts w:hint="eastAsia" w:hAnsi="宋体" w:eastAsia="宋体"/>
          <w:szCs w:val="28"/>
          <w:lang w:val="en-US" w:eastAsia="zh-CN"/>
        </w:rPr>
        <w:t>二十五</w:t>
      </w:r>
      <w:r>
        <w:rPr>
          <w:rFonts w:hint="eastAsia" w:hAnsi="宋体" w:eastAsia="宋体"/>
          <w:szCs w:val="28"/>
          <w:lang w:eastAsia="zh-CN"/>
        </w:rPr>
        <w:t>日</w:t>
      </w: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Wingdings 2">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 w:name="Arial Rounded MT Bold">
    <w:panose1 w:val="020F0704030504030204"/>
    <w:charset w:val="00"/>
    <w:family w:val="auto"/>
    <w:pitch w:val="default"/>
    <w:sig w:usb0="00000003" w:usb1="00000000" w:usb2="00000000" w:usb3="00000000" w:csb0="20000001" w:csb1="00000000"/>
  </w:font>
  <w:font w:name="仿宋_GB2312">
    <w:panose1 w:val="02010609030101010101"/>
    <w:charset w:val="86"/>
    <w:family w:val="modern"/>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Cambria">
    <w:altName w:val="Tengwar Annatar"/>
    <w:panose1 w:val="02040503050406030204"/>
    <w:charset w:val="00"/>
    <w:family w:val="roman"/>
    <w:pitch w:val="default"/>
    <w:sig w:usb0="00000000" w:usb1="00000000" w:usb2="00000000" w:usb3="00000000" w:csb0="2000019F" w:csb1="00000000"/>
  </w:font>
  <w:font w:name="微软雅黑">
    <w:panose1 w:val="020B0503020204020204"/>
    <w:charset w:val="86"/>
    <w:family w:val="auto"/>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535"/>
        <w:tab w:val="clear" w:pos="4153"/>
      </w:tabs>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2</w:t>
                          </w:r>
                          <w:r>
                            <w:fldChar w:fldCharType="end"/>
                          </w:r>
                          <w:r>
                            <w:t xml:space="preserve"> 页 共 </w:t>
                          </w:r>
                          <w:r>
                            <w:rPr>
                              <w:rFonts w:hint="eastAsia"/>
                              <w:lang w:val="en-US" w:eastAsia="zh-CN"/>
                            </w:rPr>
                            <w:t>3</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2</w:t>
                    </w:r>
                    <w:r>
                      <w:fldChar w:fldCharType="end"/>
                    </w:r>
                    <w:r>
                      <w:t xml:space="preserve"> 页 共 </w:t>
                    </w:r>
                    <w:r>
                      <w:rPr>
                        <w:rFonts w:hint="eastAsia"/>
                        <w:lang w:val="en-US" w:eastAsia="zh-CN"/>
                      </w:rPr>
                      <w:t>3</w:t>
                    </w:r>
                    <w:r>
                      <w:t xml:space="preserve"> 页</w:t>
                    </w:r>
                  </w:p>
                </w:txbxContent>
              </v:textbox>
            </v:shape>
          </w:pict>
        </mc:Fallback>
      </mc:AlternateContent>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4320" w:firstLineChars="2400"/>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3</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3</w:t>
                    </w:r>
                    <w:r>
                      <w:t xml:space="preserve"> 页</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O11wiEbAgAAIQQAAA4A&#10;AAAAAAAAAQAgAAAAHwEAAGRycy9lMm9Eb2MueG1sUEsFBgAAAAAGAAYAWQEAAKwFAAAAAA==&#10;">
              <v:fill on="f" focussize="0,0"/>
              <v:stroke on="f" weight="0.5pt"/>
              <v:imagedata o:title=""/>
              <o:lock v:ext="edit" aspectratio="f"/>
              <v:textbox inset="0mm,0mm,0mm,0mm" style="mso-fit-shape-to-text:t;">
                <w:txbxContent>
                  <w:p>
                    <w:pPr>
                      <w:pStyle w:val="12"/>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535"/>
        <w:tab w:val="clear" w:pos="4153"/>
      </w:tabs>
      <w:jc w:val="center"/>
      <w:rPr>
        <w:rFonts w:hint="default" w:eastAsiaTheme="minorEastAsia"/>
        <w:lang w:val="en-US" w:eastAsia="zh-CN"/>
      </w:rPr>
    </w:pPr>
    <w:r>
      <w:rPr>
        <w:rFonts w:hint="eastAsia"/>
        <w:lang w:val="en-US" w:eastAsia="zh-CN"/>
      </w:rPr>
      <w:t>第 3 页 共 11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4320" w:firstLineChars="240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szzUgbAgAAIw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HszzUgbAgAAIwQAAA4A&#10;AAAAAAAAAQAgAAAAHwEAAGRycy9lMm9Eb2MueG1sUEsFBgAAAAAGAAYAWQEAAKwFAAAAAA==&#10;">
              <v:fill on="f" focussize="0,0"/>
              <v:stroke on="f" weight="0.5pt"/>
              <v:imagedata o:title=""/>
              <o:lock v:ext="edit" aspectratio="f"/>
              <v:textbox inset="0mm,0mm,0mm,0mm" style="mso-fit-shape-to-text:t;">
                <w:txbxContent>
                  <w:p>
                    <w:pPr>
                      <w:pStyle w:val="12"/>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62336" behindDoc="0" locked="0" layoutInCell="1" allowOverlap="1">
              <wp:simplePos x="0" y="0"/>
              <wp:positionH relativeFrom="margin">
                <wp:posOffset>2176780</wp:posOffset>
              </wp:positionH>
              <wp:positionV relativeFrom="paragraph">
                <wp:posOffset>-9525</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12</w:t>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71.4pt;margin-top:-0.75pt;height:144pt;width:144pt;mso-position-horizontal-relative:margin;mso-wrap-style:none;z-index:251662336;mso-width-relative:page;mso-height-relative:page;" filled="f" stroked="f" coordsize="21600,21600" o:gfxdata="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dVDaT2AAAAAoBAAAPAAAA&#10;AAAAAAEAIAAAACIAAABkcnMvZG93bnJldi54bWxQSwECFAAUAAAACACHTuJALKjCmRUCAAAVBAAA&#10;DgAAAAAAAAABACAAAAAnAQAAZHJzL2Uyb0RvYy54bWxQSwUGAAAAAAYABgBZAQAArgUAAAAA&#10;">
              <v:fill on="f" focussize="0,0"/>
              <v:stroke on="f" weight="0.5pt"/>
              <v:imagedata o:title=""/>
              <o:lock v:ext="edit" aspectratio="f"/>
              <v:textbox inset="0mm,0mm,0mm,0mm" style="mso-fit-shape-to-text:t;">
                <w:txbxContent>
                  <w:p>
                    <w:pPr>
                      <w:pStyle w:val="1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12</w:t>
                    </w:r>
                    <w:r>
                      <w:rPr>
                        <w:rFonts w:hint="eastAsia"/>
                        <w:lang w:eastAsia="zh-CN"/>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12</w:t>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tWC3IVAgAAFQQAAA4AAAAAAAAA&#10;AQAgAAAAHwEAAGRycy9lMm9Eb2MueG1sUEsFBgAAAAAGAAYAWQEAAKYFAAAAAA==&#10;">
              <v:fill on="f" focussize="0,0"/>
              <v:stroke on="f" weight="0.5pt"/>
              <v:imagedata o:title=""/>
              <o:lock v:ext="edit" aspectratio="f"/>
              <v:textbox inset="0mm,0mm,0mm,0mm" style="mso-fit-shape-to-text:t;">
                <w:txbxContent>
                  <w:p>
                    <w:pPr>
                      <w:pStyle w:val="1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12</w:t>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rPr>
      <w:t>【</w:t>
    </w:r>
    <w:r>
      <w:rPr>
        <w:rFonts w:hint="eastAsia"/>
        <w:lang w:eastAsia="zh-CN"/>
      </w:rPr>
      <w:t>贵州瑞华亚太房地产土地资产评估有限公司</w:t>
    </w:r>
    <w:r>
      <w:rPr>
        <w:rFonts w:hint="eastAsia"/>
      </w:rPr>
      <w:t>】                                 【房地产估价报告】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93AFA7"/>
    <w:multiLevelType w:val="singleLevel"/>
    <w:tmpl w:val="9093AFA7"/>
    <w:lvl w:ilvl="0" w:tentative="0">
      <w:start w:val="1"/>
      <w:numFmt w:val="decimal"/>
      <w:suff w:val="nothing"/>
      <w:lvlText w:val="%1、"/>
      <w:lvlJc w:val="left"/>
    </w:lvl>
  </w:abstractNum>
  <w:abstractNum w:abstractNumId="1">
    <w:nsid w:val="3F941C80"/>
    <w:multiLevelType w:val="singleLevel"/>
    <w:tmpl w:val="3F941C80"/>
    <w:lvl w:ilvl="0" w:tentative="0">
      <w:start w:val="3"/>
      <w:numFmt w:val="chineseCounting"/>
      <w:suff w:val="nothing"/>
      <w:lvlText w:val="%1、"/>
      <w:lvlJc w:val="left"/>
      <w:rPr>
        <w:rFonts w:hint="eastAsia"/>
      </w:rPr>
    </w:lvl>
  </w:abstractNum>
  <w:abstractNum w:abstractNumId="2">
    <w:nsid w:val="4342AC46"/>
    <w:multiLevelType w:val="singleLevel"/>
    <w:tmpl w:val="4342AC46"/>
    <w:lvl w:ilvl="0" w:tentative="0">
      <w:start w:val="2"/>
      <w:numFmt w:val="chineseCounting"/>
      <w:suff w:val="nothing"/>
      <w:lvlText w:val="%1、"/>
      <w:lvlJc w:val="left"/>
      <w:rPr>
        <w:rFonts w:hint="eastAsia"/>
      </w:rPr>
    </w:lvl>
  </w:abstractNum>
  <w:abstractNum w:abstractNumId="3">
    <w:nsid w:val="72217ECE"/>
    <w:multiLevelType w:val="singleLevel"/>
    <w:tmpl w:val="72217ECE"/>
    <w:lvl w:ilvl="0" w:tentative="0">
      <w:start w:val="1"/>
      <w:numFmt w:val="decimal"/>
      <w:suff w:val="nothing"/>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3E338B"/>
    <w:rsid w:val="00003261"/>
    <w:rsid w:val="00012E1F"/>
    <w:rsid w:val="00020FCE"/>
    <w:rsid w:val="0002733F"/>
    <w:rsid w:val="00027F99"/>
    <w:rsid w:val="00041369"/>
    <w:rsid w:val="0005781E"/>
    <w:rsid w:val="00065942"/>
    <w:rsid w:val="000830CB"/>
    <w:rsid w:val="000A6D35"/>
    <w:rsid w:val="000B4DC7"/>
    <w:rsid w:val="000B5374"/>
    <w:rsid w:val="000C0F9F"/>
    <w:rsid w:val="000D02EA"/>
    <w:rsid w:val="000E144F"/>
    <w:rsid w:val="000E497B"/>
    <w:rsid w:val="00102DDB"/>
    <w:rsid w:val="00115825"/>
    <w:rsid w:val="00115BB7"/>
    <w:rsid w:val="00126195"/>
    <w:rsid w:val="001471F8"/>
    <w:rsid w:val="0017241A"/>
    <w:rsid w:val="00185FA8"/>
    <w:rsid w:val="00193F4C"/>
    <w:rsid w:val="001B357C"/>
    <w:rsid w:val="001B4BAA"/>
    <w:rsid w:val="001B665E"/>
    <w:rsid w:val="001C4D5C"/>
    <w:rsid w:val="001D1894"/>
    <w:rsid w:val="001D1B5C"/>
    <w:rsid w:val="001D76B3"/>
    <w:rsid w:val="001E2545"/>
    <w:rsid w:val="001F6966"/>
    <w:rsid w:val="00207316"/>
    <w:rsid w:val="002077BF"/>
    <w:rsid w:val="0021136E"/>
    <w:rsid w:val="002142E7"/>
    <w:rsid w:val="002234FC"/>
    <w:rsid w:val="002421BC"/>
    <w:rsid w:val="00242F3A"/>
    <w:rsid w:val="002609F1"/>
    <w:rsid w:val="002636F3"/>
    <w:rsid w:val="002747E6"/>
    <w:rsid w:val="002C2BD6"/>
    <w:rsid w:val="002D5F1A"/>
    <w:rsid w:val="002D6DCC"/>
    <w:rsid w:val="002F24B8"/>
    <w:rsid w:val="00304F0F"/>
    <w:rsid w:val="0031798B"/>
    <w:rsid w:val="00337E2B"/>
    <w:rsid w:val="00362362"/>
    <w:rsid w:val="00375B2A"/>
    <w:rsid w:val="003972E2"/>
    <w:rsid w:val="003A420B"/>
    <w:rsid w:val="003D1F87"/>
    <w:rsid w:val="00422389"/>
    <w:rsid w:val="0042668C"/>
    <w:rsid w:val="00454B32"/>
    <w:rsid w:val="00456F4B"/>
    <w:rsid w:val="00460CFD"/>
    <w:rsid w:val="004623D0"/>
    <w:rsid w:val="00466F52"/>
    <w:rsid w:val="00472BCE"/>
    <w:rsid w:val="0047515F"/>
    <w:rsid w:val="0048164E"/>
    <w:rsid w:val="00484B91"/>
    <w:rsid w:val="00485E51"/>
    <w:rsid w:val="004A4467"/>
    <w:rsid w:val="004C5A01"/>
    <w:rsid w:val="004D1DD7"/>
    <w:rsid w:val="004E555A"/>
    <w:rsid w:val="0050222C"/>
    <w:rsid w:val="005078C0"/>
    <w:rsid w:val="00535A04"/>
    <w:rsid w:val="00537268"/>
    <w:rsid w:val="00552686"/>
    <w:rsid w:val="00553789"/>
    <w:rsid w:val="00565480"/>
    <w:rsid w:val="00574752"/>
    <w:rsid w:val="005772D4"/>
    <w:rsid w:val="005822D7"/>
    <w:rsid w:val="00584D62"/>
    <w:rsid w:val="00594010"/>
    <w:rsid w:val="005C270E"/>
    <w:rsid w:val="005F0D92"/>
    <w:rsid w:val="00614AAD"/>
    <w:rsid w:val="00632AD5"/>
    <w:rsid w:val="006367EB"/>
    <w:rsid w:val="00643815"/>
    <w:rsid w:val="00647CEB"/>
    <w:rsid w:val="00670584"/>
    <w:rsid w:val="006839CF"/>
    <w:rsid w:val="006902A4"/>
    <w:rsid w:val="00692864"/>
    <w:rsid w:val="00693C69"/>
    <w:rsid w:val="006A0CDC"/>
    <w:rsid w:val="006B0DAF"/>
    <w:rsid w:val="006C7B07"/>
    <w:rsid w:val="006D0A6B"/>
    <w:rsid w:val="006E737D"/>
    <w:rsid w:val="00713AE3"/>
    <w:rsid w:val="00716C6B"/>
    <w:rsid w:val="00743D48"/>
    <w:rsid w:val="0074422B"/>
    <w:rsid w:val="00751FD2"/>
    <w:rsid w:val="00761B84"/>
    <w:rsid w:val="00764CCE"/>
    <w:rsid w:val="00767EE4"/>
    <w:rsid w:val="0078195D"/>
    <w:rsid w:val="00786E60"/>
    <w:rsid w:val="0079537B"/>
    <w:rsid w:val="00795EDD"/>
    <w:rsid w:val="007B1A28"/>
    <w:rsid w:val="007B30C7"/>
    <w:rsid w:val="007B32EB"/>
    <w:rsid w:val="007C10C3"/>
    <w:rsid w:val="007C376A"/>
    <w:rsid w:val="007D11AA"/>
    <w:rsid w:val="008005D5"/>
    <w:rsid w:val="00802D5D"/>
    <w:rsid w:val="00803B1D"/>
    <w:rsid w:val="008064A4"/>
    <w:rsid w:val="00813088"/>
    <w:rsid w:val="008143F6"/>
    <w:rsid w:val="00826278"/>
    <w:rsid w:val="00855825"/>
    <w:rsid w:val="008568D2"/>
    <w:rsid w:val="00857384"/>
    <w:rsid w:val="00881D50"/>
    <w:rsid w:val="00893A09"/>
    <w:rsid w:val="008C6BD1"/>
    <w:rsid w:val="008D00CA"/>
    <w:rsid w:val="008D3E56"/>
    <w:rsid w:val="008F5D66"/>
    <w:rsid w:val="0090086A"/>
    <w:rsid w:val="00912A68"/>
    <w:rsid w:val="00917E0E"/>
    <w:rsid w:val="009241B2"/>
    <w:rsid w:val="00927E0E"/>
    <w:rsid w:val="009312B6"/>
    <w:rsid w:val="009448D6"/>
    <w:rsid w:val="009C01D4"/>
    <w:rsid w:val="009C52AE"/>
    <w:rsid w:val="009C667B"/>
    <w:rsid w:val="009C7E56"/>
    <w:rsid w:val="009D36CD"/>
    <w:rsid w:val="009E45C5"/>
    <w:rsid w:val="009F5599"/>
    <w:rsid w:val="00A162BB"/>
    <w:rsid w:val="00A26393"/>
    <w:rsid w:val="00A37845"/>
    <w:rsid w:val="00A51329"/>
    <w:rsid w:val="00A56883"/>
    <w:rsid w:val="00A6457D"/>
    <w:rsid w:val="00A71E79"/>
    <w:rsid w:val="00A75A04"/>
    <w:rsid w:val="00A86885"/>
    <w:rsid w:val="00AA3416"/>
    <w:rsid w:val="00AA47EB"/>
    <w:rsid w:val="00AD189D"/>
    <w:rsid w:val="00AD4E73"/>
    <w:rsid w:val="00AE19E3"/>
    <w:rsid w:val="00AE5C26"/>
    <w:rsid w:val="00B0368B"/>
    <w:rsid w:val="00B21D61"/>
    <w:rsid w:val="00B3622A"/>
    <w:rsid w:val="00B3720E"/>
    <w:rsid w:val="00B87C26"/>
    <w:rsid w:val="00BB1E9A"/>
    <w:rsid w:val="00BD7526"/>
    <w:rsid w:val="00BE6D9E"/>
    <w:rsid w:val="00BF033B"/>
    <w:rsid w:val="00C050F3"/>
    <w:rsid w:val="00C34387"/>
    <w:rsid w:val="00C34EB2"/>
    <w:rsid w:val="00C3782E"/>
    <w:rsid w:val="00C42675"/>
    <w:rsid w:val="00C4717C"/>
    <w:rsid w:val="00CA22E1"/>
    <w:rsid w:val="00CA3894"/>
    <w:rsid w:val="00CA7570"/>
    <w:rsid w:val="00CB4529"/>
    <w:rsid w:val="00CC2954"/>
    <w:rsid w:val="00CC2B9A"/>
    <w:rsid w:val="00CD5C86"/>
    <w:rsid w:val="00CF40A2"/>
    <w:rsid w:val="00D11844"/>
    <w:rsid w:val="00D118A2"/>
    <w:rsid w:val="00D13D3D"/>
    <w:rsid w:val="00D20D8D"/>
    <w:rsid w:val="00D22563"/>
    <w:rsid w:val="00D413B3"/>
    <w:rsid w:val="00D427DE"/>
    <w:rsid w:val="00D5190E"/>
    <w:rsid w:val="00D619BB"/>
    <w:rsid w:val="00D6393A"/>
    <w:rsid w:val="00D662B3"/>
    <w:rsid w:val="00D677E7"/>
    <w:rsid w:val="00D73C86"/>
    <w:rsid w:val="00D9452C"/>
    <w:rsid w:val="00D96B28"/>
    <w:rsid w:val="00DA0937"/>
    <w:rsid w:val="00DB1D57"/>
    <w:rsid w:val="00DC562C"/>
    <w:rsid w:val="00DC5706"/>
    <w:rsid w:val="00DC7F32"/>
    <w:rsid w:val="00DD5F10"/>
    <w:rsid w:val="00DE2A17"/>
    <w:rsid w:val="00E04FF5"/>
    <w:rsid w:val="00E06B22"/>
    <w:rsid w:val="00E169E1"/>
    <w:rsid w:val="00E37744"/>
    <w:rsid w:val="00E526D5"/>
    <w:rsid w:val="00E62DA1"/>
    <w:rsid w:val="00E77920"/>
    <w:rsid w:val="00E85FEB"/>
    <w:rsid w:val="00E917C5"/>
    <w:rsid w:val="00E93A9D"/>
    <w:rsid w:val="00EA34D3"/>
    <w:rsid w:val="00EB0B0F"/>
    <w:rsid w:val="00EC00AF"/>
    <w:rsid w:val="00EC542B"/>
    <w:rsid w:val="00ED2197"/>
    <w:rsid w:val="00ED2204"/>
    <w:rsid w:val="00EF5034"/>
    <w:rsid w:val="00F02E07"/>
    <w:rsid w:val="00F0325E"/>
    <w:rsid w:val="00F14FAB"/>
    <w:rsid w:val="00F22B8E"/>
    <w:rsid w:val="00F37F6F"/>
    <w:rsid w:val="00F470FA"/>
    <w:rsid w:val="00F76E47"/>
    <w:rsid w:val="00F969BB"/>
    <w:rsid w:val="00FA2E2B"/>
    <w:rsid w:val="00FB2CAE"/>
    <w:rsid w:val="00FC06C1"/>
    <w:rsid w:val="00FF506C"/>
    <w:rsid w:val="01006E0C"/>
    <w:rsid w:val="01084510"/>
    <w:rsid w:val="01803F2D"/>
    <w:rsid w:val="01A93AB8"/>
    <w:rsid w:val="01B8626C"/>
    <w:rsid w:val="01C64B27"/>
    <w:rsid w:val="01DB6DF2"/>
    <w:rsid w:val="02025D76"/>
    <w:rsid w:val="02AD5050"/>
    <w:rsid w:val="02BF75AC"/>
    <w:rsid w:val="02CB1035"/>
    <w:rsid w:val="02D1697A"/>
    <w:rsid w:val="02F50EDF"/>
    <w:rsid w:val="030250E3"/>
    <w:rsid w:val="0324064E"/>
    <w:rsid w:val="033332BC"/>
    <w:rsid w:val="0334625F"/>
    <w:rsid w:val="033A6CE1"/>
    <w:rsid w:val="0358731B"/>
    <w:rsid w:val="03674223"/>
    <w:rsid w:val="03787BE6"/>
    <w:rsid w:val="03B75B74"/>
    <w:rsid w:val="03DD3869"/>
    <w:rsid w:val="045452FF"/>
    <w:rsid w:val="045B0617"/>
    <w:rsid w:val="045F11A2"/>
    <w:rsid w:val="046A1CF3"/>
    <w:rsid w:val="046A7128"/>
    <w:rsid w:val="048D2117"/>
    <w:rsid w:val="04A32F43"/>
    <w:rsid w:val="04AB1AC9"/>
    <w:rsid w:val="04FA6E33"/>
    <w:rsid w:val="050C35F7"/>
    <w:rsid w:val="052D7542"/>
    <w:rsid w:val="053E6E45"/>
    <w:rsid w:val="054F2DC6"/>
    <w:rsid w:val="05D72384"/>
    <w:rsid w:val="0607433F"/>
    <w:rsid w:val="06165B0D"/>
    <w:rsid w:val="0649438D"/>
    <w:rsid w:val="066740F1"/>
    <w:rsid w:val="066F2C48"/>
    <w:rsid w:val="067514EE"/>
    <w:rsid w:val="06815743"/>
    <w:rsid w:val="06A1234B"/>
    <w:rsid w:val="06A5774A"/>
    <w:rsid w:val="06AF3D0D"/>
    <w:rsid w:val="06CD76B2"/>
    <w:rsid w:val="06DD4F87"/>
    <w:rsid w:val="07006AE6"/>
    <w:rsid w:val="070E0D96"/>
    <w:rsid w:val="076607B1"/>
    <w:rsid w:val="077E0533"/>
    <w:rsid w:val="07886256"/>
    <w:rsid w:val="078F6E47"/>
    <w:rsid w:val="07A62941"/>
    <w:rsid w:val="07D42332"/>
    <w:rsid w:val="07E8252A"/>
    <w:rsid w:val="08102E87"/>
    <w:rsid w:val="081638B4"/>
    <w:rsid w:val="084773FD"/>
    <w:rsid w:val="08484F8E"/>
    <w:rsid w:val="085271BA"/>
    <w:rsid w:val="086247EB"/>
    <w:rsid w:val="0891128C"/>
    <w:rsid w:val="089E219D"/>
    <w:rsid w:val="08A46FDC"/>
    <w:rsid w:val="08A80EE8"/>
    <w:rsid w:val="08B64E17"/>
    <w:rsid w:val="08D3609C"/>
    <w:rsid w:val="08E840ED"/>
    <w:rsid w:val="09163423"/>
    <w:rsid w:val="094073CE"/>
    <w:rsid w:val="09486791"/>
    <w:rsid w:val="09490BBC"/>
    <w:rsid w:val="094A513C"/>
    <w:rsid w:val="09BF0553"/>
    <w:rsid w:val="09D935CC"/>
    <w:rsid w:val="09DB7703"/>
    <w:rsid w:val="09E406B6"/>
    <w:rsid w:val="0A26088B"/>
    <w:rsid w:val="0A4F45C5"/>
    <w:rsid w:val="0A542916"/>
    <w:rsid w:val="0A550E7B"/>
    <w:rsid w:val="0A69303C"/>
    <w:rsid w:val="0A6A707B"/>
    <w:rsid w:val="0A6B41FA"/>
    <w:rsid w:val="0AB23EC8"/>
    <w:rsid w:val="0AC3604D"/>
    <w:rsid w:val="0AD63C3B"/>
    <w:rsid w:val="0ADB0822"/>
    <w:rsid w:val="0AE115F0"/>
    <w:rsid w:val="0B1D1FA5"/>
    <w:rsid w:val="0B46347C"/>
    <w:rsid w:val="0BB24377"/>
    <w:rsid w:val="0BBC5B86"/>
    <w:rsid w:val="0BE43639"/>
    <w:rsid w:val="0BE60D5E"/>
    <w:rsid w:val="0BEA61BB"/>
    <w:rsid w:val="0C6A6660"/>
    <w:rsid w:val="0C7D3266"/>
    <w:rsid w:val="0C8603DD"/>
    <w:rsid w:val="0CFE2652"/>
    <w:rsid w:val="0D076A4A"/>
    <w:rsid w:val="0D2437CB"/>
    <w:rsid w:val="0D537A33"/>
    <w:rsid w:val="0D736F27"/>
    <w:rsid w:val="0D96271C"/>
    <w:rsid w:val="0D98089A"/>
    <w:rsid w:val="0DAE66A4"/>
    <w:rsid w:val="0DB85F17"/>
    <w:rsid w:val="0DBB05C0"/>
    <w:rsid w:val="0DE80446"/>
    <w:rsid w:val="0DF029C3"/>
    <w:rsid w:val="0DFB4219"/>
    <w:rsid w:val="0E0421A9"/>
    <w:rsid w:val="0E0A64DF"/>
    <w:rsid w:val="0E502793"/>
    <w:rsid w:val="0E7353F4"/>
    <w:rsid w:val="0E7C3DDE"/>
    <w:rsid w:val="0E7E172C"/>
    <w:rsid w:val="0EB03020"/>
    <w:rsid w:val="0EBC1907"/>
    <w:rsid w:val="0EC52E77"/>
    <w:rsid w:val="0EC960A5"/>
    <w:rsid w:val="0F0802FD"/>
    <w:rsid w:val="0F2A2B5E"/>
    <w:rsid w:val="0F2B066F"/>
    <w:rsid w:val="0F2E0D84"/>
    <w:rsid w:val="0F3114A9"/>
    <w:rsid w:val="0F702F03"/>
    <w:rsid w:val="0FA34B23"/>
    <w:rsid w:val="0FAA55A8"/>
    <w:rsid w:val="102E2A36"/>
    <w:rsid w:val="105D1A57"/>
    <w:rsid w:val="10640648"/>
    <w:rsid w:val="108656A4"/>
    <w:rsid w:val="109F3443"/>
    <w:rsid w:val="10B15905"/>
    <w:rsid w:val="10C210D3"/>
    <w:rsid w:val="10CA6723"/>
    <w:rsid w:val="11072AFE"/>
    <w:rsid w:val="110C5A96"/>
    <w:rsid w:val="11202244"/>
    <w:rsid w:val="112C20DB"/>
    <w:rsid w:val="11564519"/>
    <w:rsid w:val="118B7AAC"/>
    <w:rsid w:val="11EF793B"/>
    <w:rsid w:val="1227765D"/>
    <w:rsid w:val="124C629A"/>
    <w:rsid w:val="125C48DB"/>
    <w:rsid w:val="129B7A18"/>
    <w:rsid w:val="12A91204"/>
    <w:rsid w:val="12AA5DF1"/>
    <w:rsid w:val="12B53FE5"/>
    <w:rsid w:val="12C77EBD"/>
    <w:rsid w:val="12EF457E"/>
    <w:rsid w:val="12F024E3"/>
    <w:rsid w:val="12F3202C"/>
    <w:rsid w:val="12FD1472"/>
    <w:rsid w:val="12FF38DA"/>
    <w:rsid w:val="130D082D"/>
    <w:rsid w:val="130D4E3B"/>
    <w:rsid w:val="1323622C"/>
    <w:rsid w:val="13C45613"/>
    <w:rsid w:val="13E65EA8"/>
    <w:rsid w:val="13F8311F"/>
    <w:rsid w:val="146722EB"/>
    <w:rsid w:val="14DC30B7"/>
    <w:rsid w:val="14EC6D2F"/>
    <w:rsid w:val="151155B0"/>
    <w:rsid w:val="151A36C4"/>
    <w:rsid w:val="151C0BD9"/>
    <w:rsid w:val="15295F0F"/>
    <w:rsid w:val="152C0A0B"/>
    <w:rsid w:val="15385593"/>
    <w:rsid w:val="15717BE9"/>
    <w:rsid w:val="15765003"/>
    <w:rsid w:val="157A0429"/>
    <w:rsid w:val="15B675FE"/>
    <w:rsid w:val="15BB5CAC"/>
    <w:rsid w:val="15DB0FCF"/>
    <w:rsid w:val="15DD5088"/>
    <w:rsid w:val="15E52A7C"/>
    <w:rsid w:val="16047D98"/>
    <w:rsid w:val="161360C1"/>
    <w:rsid w:val="161E7E3B"/>
    <w:rsid w:val="162E51CD"/>
    <w:rsid w:val="16774403"/>
    <w:rsid w:val="16984CA1"/>
    <w:rsid w:val="169C3D1C"/>
    <w:rsid w:val="16B15ED5"/>
    <w:rsid w:val="16CF4F73"/>
    <w:rsid w:val="171371BA"/>
    <w:rsid w:val="17421003"/>
    <w:rsid w:val="17494248"/>
    <w:rsid w:val="17574791"/>
    <w:rsid w:val="17713B34"/>
    <w:rsid w:val="179A757D"/>
    <w:rsid w:val="17A9584B"/>
    <w:rsid w:val="17B506CB"/>
    <w:rsid w:val="17EC5E51"/>
    <w:rsid w:val="18167655"/>
    <w:rsid w:val="183B7A7C"/>
    <w:rsid w:val="183E56AE"/>
    <w:rsid w:val="18917505"/>
    <w:rsid w:val="18940CB1"/>
    <w:rsid w:val="189A17C7"/>
    <w:rsid w:val="18A27AC9"/>
    <w:rsid w:val="18A36726"/>
    <w:rsid w:val="18E57A8F"/>
    <w:rsid w:val="191042DC"/>
    <w:rsid w:val="191345E4"/>
    <w:rsid w:val="192D3F41"/>
    <w:rsid w:val="197B539B"/>
    <w:rsid w:val="198255DB"/>
    <w:rsid w:val="19873650"/>
    <w:rsid w:val="198C03E3"/>
    <w:rsid w:val="19A57120"/>
    <w:rsid w:val="19AA40AE"/>
    <w:rsid w:val="1A020515"/>
    <w:rsid w:val="1A2B0D13"/>
    <w:rsid w:val="1A506245"/>
    <w:rsid w:val="1A540EAB"/>
    <w:rsid w:val="1A5E10FC"/>
    <w:rsid w:val="1A674A96"/>
    <w:rsid w:val="1A8100E9"/>
    <w:rsid w:val="1AB14F1B"/>
    <w:rsid w:val="1AB45720"/>
    <w:rsid w:val="1AD02F01"/>
    <w:rsid w:val="1AEF0A3F"/>
    <w:rsid w:val="1AF306A5"/>
    <w:rsid w:val="1AF4026C"/>
    <w:rsid w:val="1AF749ED"/>
    <w:rsid w:val="1B511C91"/>
    <w:rsid w:val="1BBB4D35"/>
    <w:rsid w:val="1BD55609"/>
    <w:rsid w:val="1BFE6A15"/>
    <w:rsid w:val="1C0E21D6"/>
    <w:rsid w:val="1C120C68"/>
    <w:rsid w:val="1C136562"/>
    <w:rsid w:val="1C2139E2"/>
    <w:rsid w:val="1C2F257B"/>
    <w:rsid w:val="1C3339B2"/>
    <w:rsid w:val="1C6C2600"/>
    <w:rsid w:val="1C772EE4"/>
    <w:rsid w:val="1C854396"/>
    <w:rsid w:val="1CAF59BF"/>
    <w:rsid w:val="1CB019BA"/>
    <w:rsid w:val="1CE906D9"/>
    <w:rsid w:val="1D0B7450"/>
    <w:rsid w:val="1D1051EB"/>
    <w:rsid w:val="1D17033E"/>
    <w:rsid w:val="1D1E34FF"/>
    <w:rsid w:val="1D3C4D97"/>
    <w:rsid w:val="1D456325"/>
    <w:rsid w:val="1D876363"/>
    <w:rsid w:val="1D9328E2"/>
    <w:rsid w:val="1DAB40F4"/>
    <w:rsid w:val="1DEB38DA"/>
    <w:rsid w:val="1E537224"/>
    <w:rsid w:val="1EBB0C2F"/>
    <w:rsid w:val="1EBC1866"/>
    <w:rsid w:val="1EC766EB"/>
    <w:rsid w:val="1EEB0918"/>
    <w:rsid w:val="1F6F4EC3"/>
    <w:rsid w:val="1F9840A6"/>
    <w:rsid w:val="1FA1268C"/>
    <w:rsid w:val="1FA53772"/>
    <w:rsid w:val="1FCD67E7"/>
    <w:rsid w:val="203E338B"/>
    <w:rsid w:val="20491C57"/>
    <w:rsid w:val="208732F2"/>
    <w:rsid w:val="20A508C5"/>
    <w:rsid w:val="20A63861"/>
    <w:rsid w:val="20C6461A"/>
    <w:rsid w:val="20C91B24"/>
    <w:rsid w:val="20E96098"/>
    <w:rsid w:val="20FD6043"/>
    <w:rsid w:val="21092AA9"/>
    <w:rsid w:val="211C35B6"/>
    <w:rsid w:val="21204FD7"/>
    <w:rsid w:val="212124CD"/>
    <w:rsid w:val="213432DC"/>
    <w:rsid w:val="213B4B25"/>
    <w:rsid w:val="216D54BD"/>
    <w:rsid w:val="216F59FD"/>
    <w:rsid w:val="218161F4"/>
    <w:rsid w:val="21C22B5C"/>
    <w:rsid w:val="21DB455F"/>
    <w:rsid w:val="21DD2120"/>
    <w:rsid w:val="21F902D1"/>
    <w:rsid w:val="224321F6"/>
    <w:rsid w:val="22552807"/>
    <w:rsid w:val="22603678"/>
    <w:rsid w:val="228D7D44"/>
    <w:rsid w:val="22C53104"/>
    <w:rsid w:val="22E1649F"/>
    <w:rsid w:val="22E87783"/>
    <w:rsid w:val="23327B80"/>
    <w:rsid w:val="23817021"/>
    <w:rsid w:val="239177A2"/>
    <w:rsid w:val="23B41DB4"/>
    <w:rsid w:val="23F165BD"/>
    <w:rsid w:val="24060717"/>
    <w:rsid w:val="24150A8C"/>
    <w:rsid w:val="241865C1"/>
    <w:rsid w:val="24476975"/>
    <w:rsid w:val="24737C58"/>
    <w:rsid w:val="248D1B33"/>
    <w:rsid w:val="249950E9"/>
    <w:rsid w:val="24C4423F"/>
    <w:rsid w:val="24CA7727"/>
    <w:rsid w:val="24DB3A0A"/>
    <w:rsid w:val="24DE547D"/>
    <w:rsid w:val="24EF237C"/>
    <w:rsid w:val="251D31E8"/>
    <w:rsid w:val="2520094B"/>
    <w:rsid w:val="252F5C30"/>
    <w:rsid w:val="25855109"/>
    <w:rsid w:val="25A54007"/>
    <w:rsid w:val="25BE5181"/>
    <w:rsid w:val="25DB291A"/>
    <w:rsid w:val="260207AC"/>
    <w:rsid w:val="269C666C"/>
    <w:rsid w:val="26CD6B3F"/>
    <w:rsid w:val="26D513D7"/>
    <w:rsid w:val="26F36753"/>
    <w:rsid w:val="26F611C6"/>
    <w:rsid w:val="27444E5A"/>
    <w:rsid w:val="275020B3"/>
    <w:rsid w:val="2784278F"/>
    <w:rsid w:val="27982D80"/>
    <w:rsid w:val="27A803F9"/>
    <w:rsid w:val="27AD25A9"/>
    <w:rsid w:val="28102EF2"/>
    <w:rsid w:val="2813068B"/>
    <w:rsid w:val="28242295"/>
    <w:rsid w:val="28294D48"/>
    <w:rsid w:val="288475FB"/>
    <w:rsid w:val="28AE6E87"/>
    <w:rsid w:val="28B81055"/>
    <w:rsid w:val="293D5402"/>
    <w:rsid w:val="299522A6"/>
    <w:rsid w:val="29A5578A"/>
    <w:rsid w:val="29F936D8"/>
    <w:rsid w:val="2A187959"/>
    <w:rsid w:val="2A2F107B"/>
    <w:rsid w:val="2A3331A8"/>
    <w:rsid w:val="2A3E561C"/>
    <w:rsid w:val="2A537323"/>
    <w:rsid w:val="2A824616"/>
    <w:rsid w:val="2AB843B4"/>
    <w:rsid w:val="2ABD6112"/>
    <w:rsid w:val="2AC35EF8"/>
    <w:rsid w:val="2AD91853"/>
    <w:rsid w:val="2ADE2519"/>
    <w:rsid w:val="2AEE01E6"/>
    <w:rsid w:val="2AFA451D"/>
    <w:rsid w:val="2B1B173A"/>
    <w:rsid w:val="2B35642A"/>
    <w:rsid w:val="2B401D70"/>
    <w:rsid w:val="2B4D636C"/>
    <w:rsid w:val="2B550E4F"/>
    <w:rsid w:val="2B6646F6"/>
    <w:rsid w:val="2B754563"/>
    <w:rsid w:val="2B7B24F0"/>
    <w:rsid w:val="2BBE552A"/>
    <w:rsid w:val="2C041527"/>
    <w:rsid w:val="2C352496"/>
    <w:rsid w:val="2C3D3EEB"/>
    <w:rsid w:val="2C400718"/>
    <w:rsid w:val="2C8505D1"/>
    <w:rsid w:val="2C983570"/>
    <w:rsid w:val="2C9E0AF7"/>
    <w:rsid w:val="2CBD1A02"/>
    <w:rsid w:val="2CE4317E"/>
    <w:rsid w:val="2D012FF7"/>
    <w:rsid w:val="2D2C6046"/>
    <w:rsid w:val="2D2E74C1"/>
    <w:rsid w:val="2D4D5564"/>
    <w:rsid w:val="2D5A33D6"/>
    <w:rsid w:val="2D7568C2"/>
    <w:rsid w:val="2D8F6E64"/>
    <w:rsid w:val="2D970EC5"/>
    <w:rsid w:val="2DB61775"/>
    <w:rsid w:val="2DB86B7A"/>
    <w:rsid w:val="2DC7102D"/>
    <w:rsid w:val="2DD0300F"/>
    <w:rsid w:val="2DD15C87"/>
    <w:rsid w:val="2DD47474"/>
    <w:rsid w:val="2DE17120"/>
    <w:rsid w:val="2E524AF3"/>
    <w:rsid w:val="2E6C2092"/>
    <w:rsid w:val="2EA3409D"/>
    <w:rsid w:val="2EC66EC5"/>
    <w:rsid w:val="2F2A388D"/>
    <w:rsid w:val="2F4163F6"/>
    <w:rsid w:val="2F5C213F"/>
    <w:rsid w:val="2F733797"/>
    <w:rsid w:val="2FC85026"/>
    <w:rsid w:val="2FD55768"/>
    <w:rsid w:val="2FE45E95"/>
    <w:rsid w:val="2FE90187"/>
    <w:rsid w:val="2FF31CB1"/>
    <w:rsid w:val="304160F8"/>
    <w:rsid w:val="30432D47"/>
    <w:rsid w:val="30752451"/>
    <w:rsid w:val="30787AEE"/>
    <w:rsid w:val="309662DC"/>
    <w:rsid w:val="30A46BA6"/>
    <w:rsid w:val="30A83FD1"/>
    <w:rsid w:val="30E92CF8"/>
    <w:rsid w:val="30ED2C8E"/>
    <w:rsid w:val="30F708AF"/>
    <w:rsid w:val="3114557B"/>
    <w:rsid w:val="31275D8A"/>
    <w:rsid w:val="31342837"/>
    <w:rsid w:val="31513CE2"/>
    <w:rsid w:val="31820E96"/>
    <w:rsid w:val="31916D43"/>
    <w:rsid w:val="31AB0286"/>
    <w:rsid w:val="31AD7CF0"/>
    <w:rsid w:val="31B64A34"/>
    <w:rsid w:val="31C83682"/>
    <w:rsid w:val="320F1C60"/>
    <w:rsid w:val="323048D2"/>
    <w:rsid w:val="32320A1E"/>
    <w:rsid w:val="323D1CA2"/>
    <w:rsid w:val="326078C9"/>
    <w:rsid w:val="32795B44"/>
    <w:rsid w:val="327F030B"/>
    <w:rsid w:val="329F6FF1"/>
    <w:rsid w:val="32CB4E3F"/>
    <w:rsid w:val="332B6EAE"/>
    <w:rsid w:val="333609B2"/>
    <w:rsid w:val="335F7A86"/>
    <w:rsid w:val="33661EEF"/>
    <w:rsid w:val="338D6159"/>
    <w:rsid w:val="339C13D5"/>
    <w:rsid w:val="33EC5B8E"/>
    <w:rsid w:val="34215097"/>
    <w:rsid w:val="342832F0"/>
    <w:rsid w:val="3450585B"/>
    <w:rsid w:val="34900231"/>
    <w:rsid w:val="349C2F62"/>
    <w:rsid w:val="34A64D76"/>
    <w:rsid w:val="34D90CAE"/>
    <w:rsid w:val="350A1100"/>
    <w:rsid w:val="351112EF"/>
    <w:rsid w:val="35444D91"/>
    <w:rsid w:val="35755765"/>
    <w:rsid w:val="359A1805"/>
    <w:rsid w:val="35B04173"/>
    <w:rsid w:val="35D42410"/>
    <w:rsid w:val="35DA4350"/>
    <w:rsid w:val="36067A29"/>
    <w:rsid w:val="361276D2"/>
    <w:rsid w:val="36415032"/>
    <w:rsid w:val="36655D9D"/>
    <w:rsid w:val="367916AC"/>
    <w:rsid w:val="3682340D"/>
    <w:rsid w:val="368679F1"/>
    <w:rsid w:val="36D11F35"/>
    <w:rsid w:val="36D52385"/>
    <w:rsid w:val="37014050"/>
    <w:rsid w:val="375E56CF"/>
    <w:rsid w:val="378113D6"/>
    <w:rsid w:val="37976515"/>
    <w:rsid w:val="37A553C4"/>
    <w:rsid w:val="37AC07A6"/>
    <w:rsid w:val="37D55A53"/>
    <w:rsid w:val="37EE4AF6"/>
    <w:rsid w:val="381620C9"/>
    <w:rsid w:val="381B7ECC"/>
    <w:rsid w:val="38280A2C"/>
    <w:rsid w:val="38482442"/>
    <w:rsid w:val="384C6FAB"/>
    <w:rsid w:val="38581A14"/>
    <w:rsid w:val="386229F0"/>
    <w:rsid w:val="38742EF7"/>
    <w:rsid w:val="387F56F3"/>
    <w:rsid w:val="38841490"/>
    <w:rsid w:val="38D00635"/>
    <w:rsid w:val="390E350E"/>
    <w:rsid w:val="39110EF1"/>
    <w:rsid w:val="39330B4C"/>
    <w:rsid w:val="393405A2"/>
    <w:rsid w:val="393607E9"/>
    <w:rsid w:val="398C7AEF"/>
    <w:rsid w:val="39A90B97"/>
    <w:rsid w:val="39D87C45"/>
    <w:rsid w:val="39EB43CA"/>
    <w:rsid w:val="39EE6433"/>
    <w:rsid w:val="3A3B0B5F"/>
    <w:rsid w:val="3A724EBA"/>
    <w:rsid w:val="3A971447"/>
    <w:rsid w:val="3ABB3090"/>
    <w:rsid w:val="3ABD4178"/>
    <w:rsid w:val="3AF152E9"/>
    <w:rsid w:val="3B506F70"/>
    <w:rsid w:val="3BBE601B"/>
    <w:rsid w:val="3BD54568"/>
    <w:rsid w:val="3BDF6D36"/>
    <w:rsid w:val="3BEF1118"/>
    <w:rsid w:val="3C190FCE"/>
    <w:rsid w:val="3C7A3523"/>
    <w:rsid w:val="3CA87B28"/>
    <w:rsid w:val="3CDF0A4C"/>
    <w:rsid w:val="3CF72479"/>
    <w:rsid w:val="3CFE0E05"/>
    <w:rsid w:val="3D55032D"/>
    <w:rsid w:val="3D9321F2"/>
    <w:rsid w:val="3DB52001"/>
    <w:rsid w:val="3DD178E9"/>
    <w:rsid w:val="3DD35DD2"/>
    <w:rsid w:val="3DE51856"/>
    <w:rsid w:val="3DF47FD6"/>
    <w:rsid w:val="3E0C71C0"/>
    <w:rsid w:val="3E7543ED"/>
    <w:rsid w:val="3E80203B"/>
    <w:rsid w:val="3EA207F2"/>
    <w:rsid w:val="3EC70647"/>
    <w:rsid w:val="3EC93C52"/>
    <w:rsid w:val="3ECD68A1"/>
    <w:rsid w:val="3EDE4E3F"/>
    <w:rsid w:val="3F3E1F86"/>
    <w:rsid w:val="3FA170C8"/>
    <w:rsid w:val="40051582"/>
    <w:rsid w:val="401E6A8D"/>
    <w:rsid w:val="401F24F5"/>
    <w:rsid w:val="40346DA3"/>
    <w:rsid w:val="404E7B9F"/>
    <w:rsid w:val="406420B8"/>
    <w:rsid w:val="407224EF"/>
    <w:rsid w:val="407E2B15"/>
    <w:rsid w:val="40A55698"/>
    <w:rsid w:val="40CE5CCF"/>
    <w:rsid w:val="40DC0E14"/>
    <w:rsid w:val="40E54567"/>
    <w:rsid w:val="41102C50"/>
    <w:rsid w:val="41A13BF5"/>
    <w:rsid w:val="41DB21EA"/>
    <w:rsid w:val="41E23C78"/>
    <w:rsid w:val="41F42D08"/>
    <w:rsid w:val="41F84955"/>
    <w:rsid w:val="4251750E"/>
    <w:rsid w:val="42667A51"/>
    <w:rsid w:val="42961224"/>
    <w:rsid w:val="42B21B80"/>
    <w:rsid w:val="42C677DE"/>
    <w:rsid w:val="43172726"/>
    <w:rsid w:val="431F3987"/>
    <w:rsid w:val="432154A3"/>
    <w:rsid w:val="4354229C"/>
    <w:rsid w:val="4354797F"/>
    <w:rsid w:val="43593107"/>
    <w:rsid w:val="43615797"/>
    <w:rsid w:val="436529BE"/>
    <w:rsid w:val="438B166E"/>
    <w:rsid w:val="43A63E1E"/>
    <w:rsid w:val="43B463DE"/>
    <w:rsid w:val="43D963DC"/>
    <w:rsid w:val="4420725F"/>
    <w:rsid w:val="44230047"/>
    <w:rsid w:val="443E61EA"/>
    <w:rsid w:val="444A17E1"/>
    <w:rsid w:val="448205D0"/>
    <w:rsid w:val="44C52D9D"/>
    <w:rsid w:val="44EE013A"/>
    <w:rsid w:val="44EF5F01"/>
    <w:rsid w:val="44FE4F21"/>
    <w:rsid w:val="45050C65"/>
    <w:rsid w:val="45620023"/>
    <w:rsid w:val="456B3CD0"/>
    <w:rsid w:val="45DC51F6"/>
    <w:rsid w:val="461D1547"/>
    <w:rsid w:val="46250654"/>
    <w:rsid w:val="463F058C"/>
    <w:rsid w:val="464B3264"/>
    <w:rsid w:val="465D786B"/>
    <w:rsid w:val="4678522D"/>
    <w:rsid w:val="467E2623"/>
    <w:rsid w:val="46C7757F"/>
    <w:rsid w:val="46EA25EC"/>
    <w:rsid w:val="47003825"/>
    <w:rsid w:val="470F065D"/>
    <w:rsid w:val="47323494"/>
    <w:rsid w:val="47767A96"/>
    <w:rsid w:val="47A10C37"/>
    <w:rsid w:val="47E0354B"/>
    <w:rsid w:val="480D79D5"/>
    <w:rsid w:val="48262B18"/>
    <w:rsid w:val="485F682A"/>
    <w:rsid w:val="4883600D"/>
    <w:rsid w:val="489379F5"/>
    <w:rsid w:val="48951E72"/>
    <w:rsid w:val="489F506F"/>
    <w:rsid w:val="48A5091B"/>
    <w:rsid w:val="48CA1F25"/>
    <w:rsid w:val="48ED5346"/>
    <w:rsid w:val="48F95EC4"/>
    <w:rsid w:val="48FF5750"/>
    <w:rsid w:val="49182783"/>
    <w:rsid w:val="49256FF7"/>
    <w:rsid w:val="497D4F00"/>
    <w:rsid w:val="499F35BB"/>
    <w:rsid w:val="49B93BA1"/>
    <w:rsid w:val="49E82CF0"/>
    <w:rsid w:val="49FC738D"/>
    <w:rsid w:val="49FD0240"/>
    <w:rsid w:val="4A06406B"/>
    <w:rsid w:val="4A165356"/>
    <w:rsid w:val="4A2567F0"/>
    <w:rsid w:val="4A3E3856"/>
    <w:rsid w:val="4A3F2845"/>
    <w:rsid w:val="4A5B6E2D"/>
    <w:rsid w:val="4A5E6DAC"/>
    <w:rsid w:val="4A6077BA"/>
    <w:rsid w:val="4A7123DC"/>
    <w:rsid w:val="4A8A2382"/>
    <w:rsid w:val="4ABE682B"/>
    <w:rsid w:val="4AE37001"/>
    <w:rsid w:val="4AF51571"/>
    <w:rsid w:val="4B2B4045"/>
    <w:rsid w:val="4B445FDC"/>
    <w:rsid w:val="4B573B7D"/>
    <w:rsid w:val="4B8E3D1F"/>
    <w:rsid w:val="4BF83CC4"/>
    <w:rsid w:val="4BF90F26"/>
    <w:rsid w:val="4C0B4AF1"/>
    <w:rsid w:val="4C3F341D"/>
    <w:rsid w:val="4C5E15CB"/>
    <w:rsid w:val="4C635140"/>
    <w:rsid w:val="4C791870"/>
    <w:rsid w:val="4CB4322D"/>
    <w:rsid w:val="4CCD5A11"/>
    <w:rsid w:val="4D3100C7"/>
    <w:rsid w:val="4D4366B3"/>
    <w:rsid w:val="4D627FF4"/>
    <w:rsid w:val="4D7F3188"/>
    <w:rsid w:val="4D943406"/>
    <w:rsid w:val="4DA36CBE"/>
    <w:rsid w:val="4DFD73B7"/>
    <w:rsid w:val="4E01655E"/>
    <w:rsid w:val="4E141073"/>
    <w:rsid w:val="4E146E42"/>
    <w:rsid w:val="4E240E4F"/>
    <w:rsid w:val="4E4C178A"/>
    <w:rsid w:val="4E6F116B"/>
    <w:rsid w:val="4E704166"/>
    <w:rsid w:val="4E750F59"/>
    <w:rsid w:val="4EA12B37"/>
    <w:rsid w:val="4EC24C70"/>
    <w:rsid w:val="4EDA418F"/>
    <w:rsid w:val="4EE954AB"/>
    <w:rsid w:val="4F0207D2"/>
    <w:rsid w:val="4F372EB7"/>
    <w:rsid w:val="4F3941D5"/>
    <w:rsid w:val="4F3D28C7"/>
    <w:rsid w:val="4F833186"/>
    <w:rsid w:val="4FA35444"/>
    <w:rsid w:val="4FE111B6"/>
    <w:rsid w:val="50511F8F"/>
    <w:rsid w:val="505C09E2"/>
    <w:rsid w:val="50662D7E"/>
    <w:rsid w:val="508F3857"/>
    <w:rsid w:val="50904C95"/>
    <w:rsid w:val="50A5375D"/>
    <w:rsid w:val="50A63709"/>
    <w:rsid w:val="50A8750D"/>
    <w:rsid w:val="50C428D3"/>
    <w:rsid w:val="50FB45EA"/>
    <w:rsid w:val="5101058A"/>
    <w:rsid w:val="51047F05"/>
    <w:rsid w:val="513C0468"/>
    <w:rsid w:val="51417317"/>
    <w:rsid w:val="5147020F"/>
    <w:rsid w:val="514F72CC"/>
    <w:rsid w:val="519D2F76"/>
    <w:rsid w:val="51B95838"/>
    <w:rsid w:val="51BB7038"/>
    <w:rsid w:val="51CA2DF2"/>
    <w:rsid w:val="51ED5266"/>
    <w:rsid w:val="51F6583F"/>
    <w:rsid w:val="51FD7772"/>
    <w:rsid w:val="520B4714"/>
    <w:rsid w:val="52197D0F"/>
    <w:rsid w:val="523101E1"/>
    <w:rsid w:val="528A4D7B"/>
    <w:rsid w:val="529019CD"/>
    <w:rsid w:val="52AE6FFC"/>
    <w:rsid w:val="52F14319"/>
    <w:rsid w:val="531A422B"/>
    <w:rsid w:val="532446BF"/>
    <w:rsid w:val="5330589A"/>
    <w:rsid w:val="53464CAF"/>
    <w:rsid w:val="534B333B"/>
    <w:rsid w:val="53667568"/>
    <w:rsid w:val="53945662"/>
    <w:rsid w:val="539467ED"/>
    <w:rsid w:val="53A7545B"/>
    <w:rsid w:val="53A913B7"/>
    <w:rsid w:val="53EB0066"/>
    <w:rsid w:val="53FE095E"/>
    <w:rsid w:val="54055DA0"/>
    <w:rsid w:val="545C48F6"/>
    <w:rsid w:val="54607814"/>
    <w:rsid w:val="54831C1C"/>
    <w:rsid w:val="549B42C1"/>
    <w:rsid w:val="549D42C8"/>
    <w:rsid w:val="54B61C48"/>
    <w:rsid w:val="54BA04D0"/>
    <w:rsid w:val="54CA529E"/>
    <w:rsid w:val="54E82986"/>
    <w:rsid w:val="55213A44"/>
    <w:rsid w:val="55213B1F"/>
    <w:rsid w:val="554978A7"/>
    <w:rsid w:val="556F6887"/>
    <w:rsid w:val="55745F36"/>
    <w:rsid w:val="55C72D40"/>
    <w:rsid w:val="55E25B4D"/>
    <w:rsid w:val="55ED757C"/>
    <w:rsid w:val="55FA236E"/>
    <w:rsid w:val="56366E31"/>
    <w:rsid w:val="563D295D"/>
    <w:rsid w:val="56A03510"/>
    <w:rsid w:val="56F15DE9"/>
    <w:rsid w:val="571D2CC5"/>
    <w:rsid w:val="573A1CFB"/>
    <w:rsid w:val="57623786"/>
    <w:rsid w:val="57721920"/>
    <w:rsid w:val="57B25566"/>
    <w:rsid w:val="57BA7079"/>
    <w:rsid w:val="57E14D67"/>
    <w:rsid w:val="57F95F1E"/>
    <w:rsid w:val="580E740B"/>
    <w:rsid w:val="582A7928"/>
    <w:rsid w:val="583C4F2F"/>
    <w:rsid w:val="58405E83"/>
    <w:rsid w:val="58694541"/>
    <w:rsid w:val="588E427B"/>
    <w:rsid w:val="58946CA1"/>
    <w:rsid w:val="58AC2C5F"/>
    <w:rsid w:val="58AD1419"/>
    <w:rsid w:val="58B341C1"/>
    <w:rsid w:val="58E739ED"/>
    <w:rsid w:val="5902154F"/>
    <w:rsid w:val="59316864"/>
    <w:rsid w:val="594515C3"/>
    <w:rsid w:val="5948251A"/>
    <w:rsid w:val="59524944"/>
    <w:rsid w:val="597A42AE"/>
    <w:rsid w:val="59870360"/>
    <w:rsid w:val="598F4D10"/>
    <w:rsid w:val="59D01FE2"/>
    <w:rsid w:val="59D7630F"/>
    <w:rsid w:val="59E30018"/>
    <w:rsid w:val="59ED641E"/>
    <w:rsid w:val="5A1222DF"/>
    <w:rsid w:val="5A3D69F0"/>
    <w:rsid w:val="5A8F430E"/>
    <w:rsid w:val="5AAB56AF"/>
    <w:rsid w:val="5AD21F65"/>
    <w:rsid w:val="5AF04797"/>
    <w:rsid w:val="5B0C0D52"/>
    <w:rsid w:val="5B121863"/>
    <w:rsid w:val="5B245AA5"/>
    <w:rsid w:val="5B3162E9"/>
    <w:rsid w:val="5B400FDA"/>
    <w:rsid w:val="5B7C0F8D"/>
    <w:rsid w:val="5BAB13CB"/>
    <w:rsid w:val="5BB90779"/>
    <w:rsid w:val="5BD8423B"/>
    <w:rsid w:val="5BDF15F5"/>
    <w:rsid w:val="5BF93B1E"/>
    <w:rsid w:val="5C542C5A"/>
    <w:rsid w:val="5C6226F1"/>
    <w:rsid w:val="5C6C0E29"/>
    <w:rsid w:val="5C7D760E"/>
    <w:rsid w:val="5CAE4A64"/>
    <w:rsid w:val="5CB87CF2"/>
    <w:rsid w:val="5CDA66AC"/>
    <w:rsid w:val="5D334E29"/>
    <w:rsid w:val="5D496448"/>
    <w:rsid w:val="5D4B2718"/>
    <w:rsid w:val="5D576D22"/>
    <w:rsid w:val="5D7974AC"/>
    <w:rsid w:val="5DA91133"/>
    <w:rsid w:val="5DDF3C6C"/>
    <w:rsid w:val="5E23499A"/>
    <w:rsid w:val="5E2E3005"/>
    <w:rsid w:val="5E3720E7"/>
    <w:rsid w:val="5E5C3C9C"/>
    <w:rsid w:val="5E8C517B"/>
    <w:rsid w:val="5E914038"/>
    <w:rsid w:val="5E9B61E1"/>
    <w:rsid w:val="5EA20770"/>
    <w:rsid w:val="5EF71A5E"/>
    <w:rsid w:val="5F13785F"/>
    <w:rsid w:val="5F2B2B70"/>
    <w:rsid w:val="5F4032D8"/>
    <w:rsid w:val="5F475361"/>
    <w:rsid w:val="5F75697E"/>
    <w:rsid w:val="5F782098"/>
    <w:rsid w:val="5F7872CA"/>
    <w:rsid w:val="5F991EFB"/>
    <w:rsid w:val="5FB20531"/>
    <w:rsid w:val="5FBD6EBF"/>
    <w:rsid w:val="5FC52ADE"/>
    <w:rsid w:val="5FD92C1D"/>
    <w:rsid w:val="602426AF"/>
    <w:rsid w:val="60567C8B"/>
    <w:rsid w:val="605D0750"/>
    <w:rsid w:val="60666BF3"/>
    <w:rsid w:val="607957CC"/>
    <w:rsid w:val="60864B6A"/>
    <w:rsid w:val="609F43E6"/>
    <w:rsid w:val="60CC63E2"/>
    <w:rsid w:val="60EF006B"/>
    <w:rsid w:val="610845E6"/>
    <w:rsid w:val="610D1B42"/>
    <w:rsid w:val="61296849"/>
    <w:rsid w:val="612C17AC"/>
    <w:rsid w:val="615570B6"/>
    <w:rsid w:val="616D556F"/>
    <w:rsid w:val="617317A2"/>
    <w:rsid w:val="618C1E02"/>
    <w:rsid w:val="61C03F0F"/>
    <w:rsid w:val="61D069B4"/>
    <w:rsid w:val="61E355F8"/>
    <w:rsid w:val="622844F0"/>
    <w:rsid w:val="622C7F14"/>
    <w:rsid w:val="626174F3"/>
    <w:rsid w:val="627E73BD"/>
    <w:rsid w:val="62BF1C0C"/>
    <w:rsid w:val="62CB5F9C"/>
    <w:rsid w:val="63080579"/>
    <w:rsid w:val="63136C06"/>
    <w:rsid w:val="63251F93"/>
    <w:rsid w:val="6373404E"/>
    <w:rsid w:val="637A5D1C"/>
    <w:rsid w:val="638A57B1"/>
    <w:rsid w:val="63922C22"/>
    <w:rsid w:val="639F70E3"/>
    <w:rsid w:val="63A4706C"/>
    <w:rsid w:val="63B74E9E"/>
    <w:rsid w:val="63C00A28"/>
    <w:rsid w:val="63E65E32"/>
    <w:rsid w:val="63EB732A"/>
    <w:rsid w:val="642A3221"/>
    <w:rsid w:val="644D767C"/>
    <w:rsid w:val="64BD535E"/>
    <w:rsid w:val="64C8649F"/>
    <w:rsid w:val="64C916B5"/>
    <w:rsid w:val="64D23F55"/>
    <w:rsid w:val="64E50C85"/>
    <w:rsid w:val="655D63A4"/>
    <w:rsid w:val="656E648C"/>
    <w:rsid w:val="65727500"/>
    <w:rsid w:val="65774FC7"/>
    <w:rsid w:val="658C73C0"/>
    <w:rsid w:val="659A606C"/>
    <w:rsid w:val="65A920E5"/>
    <w:rsid w:val="65B67E88"/>
    <w:rsid w:val="65C61D54"/>
    <w:rsid w:val="65D52A02"/>
    <w:rsid w:val="65F94944"/>
    <w:rsid w:val="662F34B9"/>
    <w:rsid w:val="662F645A"/>
    <w:rsid w:val="66636EFC"/>
    <w:rsid w:val="667C78B5"/>
    <w:rsid w:val="6686587F"/>
    <w:rsid w:val="66882965"/>
    <w:rsid w:val="66B87850"/>
    <w:rsid w:val="66C538E7"/>
    <w:rsid w:val="66D976EE"/>
    <w:rsid w:val="66E21184"/>
    <w:rsid w:val="66E274C8"/>
    <w:rsid w:val="675F4060"/>
    <w:rsid w:val="67691D87"/>
    <w:rsid w:val="67695EDC"/>
    <w:rsid w:val="67735E24"/>
    <w:rsid w:val="677603B3"/>
    <w:rsid w:val="6783754E"/>
    <w:rsid w:val="67851E50"/>
    <w:rsid w:val="678610CF"/>
    <w:rsid w:val="67C47202"/>
    <w:rsid w:val="67E13313"/>
    <w:rsid w:val="67F40EB7"/>
    <w:rsid w:val="680B7ABF"/>
    <w:rsid w:val="68183E7E"/>
    <w:rsid w:val="6829110C"/>
    <w:rsid w:val="683D35C9"/>
    <w:rsid w:val="6860249A"/>
    <w:rsid w:val="68817CE8"/>
    <w:rsid w:val="68BC6ED7"/>
    <w:rsid w:val="692D7E31"/>
    <w:rsid w:val="694935D8"/>
    <w:rsid w:val="69A41541"/>
    <w:rsid w:val="69C15BFD"/>
    <w:rsid w:val="69F451B0"/>
    <w:rsid w:val="6A06038D"/>
    <w:rsid w:val="6A1161FE"/>
    <w:rsid w:val="6A625145"/>
    <w:rsid w:val="6A7C5296"/>
    <w:rsid w:val="6AB67C96"/>
    <w:rsid w:val="6ABE358C"/>
    <w:rsid w:val="6B4738B9"/>
    <w:rsid w:val="6B551533"/>
    <w:rsid w:val="6B5E1B7E"/>
    <w:rsid w:val="6BB5673E"/>
    <w:rsid w:val="6BC8435B"/>
    <w:rsid w:val="6BFB2372"/>
    <w:rsid w:val="6C106732"/>
    <w:rsid w:val="6C20563E"/>
    <w:rsid w:val="6C8C765F"/>
    <w:rsid w:val="6C9301BE"/>
    <w:rsid w:val="6D5C0D3F"/>
    <w:rsid w:val="6D8140C7"/>
    <w:rsid w:val="6D902BE3"/>
    <w:rsid w:val="6D9E3197"/>
    <w:rsid w:val="6DAE1733"/>
    <w:rsid w:val="6DD9213B"/>
    <w:rsid w:val="6DEC22C4"/>
    <w:rsid w:val="6E022A40"/>
    <w:rsid w:val="6E132676"/>
    <w:rsid w:val="6E262314"/>
    <w:rsid w:val="6E461CFF"/>
    <w:rsid w:val="6E467941"/>
    <w:rsid w:val="6E4953EE"/>
    <w:rsid w:val="6E624079"/>
    <w:rsid w:val="6E787A31"/>
    <w:rsid w:val="6F7438CA"/>
    <w:rsid w:val="6F76352C"/>
    <w:rsid w:val="6F7F35CC"/>
    <w:rsid w:val="6F867A78"/>
    <w:rsid w:val="6F8C7025"/>
    <w:rsid w:val="6FBB5F2E"/>
    <w:rsid w:val="6FCB5EF8"/>
    <w:rsid w:val="6FD64DEF"/>
    <w:rsid w:val="707D3DB4"/>
    <w:rsid w:val="709475F9"/>
    <w:rsid w:val="70B04438"/>
    <w:rsid w:val="70DB278B"/>
    <w:rsid w:val="712108B6"/>
    <w:rsid w:val="71315CEB"/>
    <w:rsid w:val="715C6D8C"/>
    <w:rsid w:val="718C3469"/>
    <w:rsid w:val="71B6518B"/>
    <w:rsid w:val="71DB1943"/>
    <w:rsid w:val="71F00493"/>
    <w:rsid w:val="724F53DD"/>
    <w:rsid w:val="72610297"/>
    <w:rsid w:val="727B1958"/>
    <w:rsid w:val="72953C1A"/>
    <w:rsid w:val="72A002F9"/>
    <w:rsid w:val="72D866D9"/>
    <w:rsid w:val="72EE2832"/>
    <w:rsid w:val="72FC27FA"/>
    <w:rsid w:val="730E014F"/>
    <w:rsid w:val="73397727"/>
    <w:rsid w:val="733A055C"/>
    <w:rsid w:val="73696DF0"/>
    <w:rsid w:val="73781DD7"/>
    <w:rsid w:val="739004A2"/>
    <w:rsid w:val="739958CB"/>
    <w:rsid w:val="73BE01F6"/>
    <w:rsid w:val="73C12F5A"/>
    <w:rsid w:val="73D27975"/>
    <w:rsid w:val="74007354"/>
    <w:rsid w:val="746846B4"/>
    <w:rsid w:val="749D7DE8"/>
    <w:rsid w:val="74B55F10"/>
    <w:rsid w:val="74C64DE2"/>
    <w:rsid w:val="74D9511F"/>
    <w:rsid w:val="74E500B6"/>
    <w:rsid w:val="74E73540"/>
    <w:rsid w:val="75572750"/>
    <w:rsid w:val="75764378"/>
    <w:rsid w:val="75BA6F6E"/>
    <w:rsid w:val="75EA3D5D"/>
    <w:rsid w:val="761F26BA"/>
    <w:rsid w:val="76203753"/>
    <w:rsid w:val="76280A25"/>
    <w:rsid w:val="76316A17"/>
    <w:rsid w:val="763345EF"/>
    <w:rsid w:val="763919E1"/>
    <w:rsid w:val="76522254"/>
    <w:rsid w:val="76542B0E"/>
    <w:rsid w:val="76547112"/>
    <w:rsid w:val="76573031"/>
    <w:rsid w:val="765F304B"/>
    <w:rsid w:val="765F4905"/>
    <w:rsid w:val="76644071"/>
    <w:rsid w:val="76673AC9"/>
    <w:rsid w:val="76732D15"/>
    <w:rsid w:val="76812832"/>
    <w:rsid w:val="76835460"/>
    <w:rsid w:val="76D9398D"/>
    <w:rsid w:val="76E300B2"/>
    <w:rsid w:val="76E732D0"/>
    <w:rsid w:val="773A14A3"/>
    <w:rsid w:val="773A490B"/>
    <w:rsid w:val="775307DF"/>
    <w:rsid w:val="775A1098"/>
    <w:rsid w:val="776F09BF"/>
    <w:rsid w:val="77702CD4"/>
    <w:rsid w:val="77823492"/>
    <w:rsid w:val="77886D41"/>
    <w:rsid w:val="77906A0C"/>
    <w:rsid w:val="77CC6501"/>
    <w:rsid w:val="77D37CE0"/>
    <w:rsid w:val="77DC33BB"/>
    <w:rsid w:val="77F87BB4"/>
    <w:rsid w:val="77FF05B4"/>
    <w:rsid w:val="78304F77"/>
    <w:rsid w:val="785C1F4C"/>
    <w:rsid w:val="78672983"/>
    <w:rsid w:val="787261A5"/>
    <w:rsid w:val="788700C7"/>
    <w:rsid w:val="789E2565"/>
    <w:rsid w:val="78B92335"/>
    <w:rsid w:val="78D70CF8"/>
    <w:rsid w:val="79292B5A"/>
    <w:rsid w:val="792C6738"/>
    <w:rsid w:val="7931772B"/>
    <w:rsid w:val="7959583B"/>
    <w:rsid w:val="796A7E0B"/>
    <w:rsid w:val="79960C6D"/>
    <w:rsid w:val="79A548AE"/>
    <w:rsid w:val="79AB1380"/>
    <w:rsid w:val="79E5013C"/>
    <w:rsid w:val="79EF0D44"/>
    <w:rsid w:val="79F12139"/>
    <w:rsid w:val="7A0250AD"/>
    <w:rsid w:val="7A0E1142"/>
    <w:rsid w:val="7A4C0BDD"/>
    <w:rsid w:val="7A5B69D5"/>
    <w:rsid w:val="7AB22220"/>
    <w:rsid w:val="7AFA4A23"/>
    <w:rsid w:val="7B1C044D"/>
    <w:rsid w:val="7B6D3A74"/>
    <w:rsid w:val="7B88203E"/>
    <w:rsid w:val="7BC22E22"/>
    <w:rsid w:val="7BCC5730"/>
    <w:rsid w:val="7BD625D3"/>
    <w:rsid w:val="7BF131E7"/>
    <w:rsid w:val="7C1B653F"/>
    <w:rsid w:val="7C442D1A"/>
    <w:rsid w:val="7C5936CD"/>
    <w:rsid w:val="7C7F3DF8"/>
    <w:rsid w:val="7C9B64FD"/>
    <w:rsid w:val="7CBE2865"/>
    <w:rsid w:val="7CEE04A6"/>
    <w:rsid w:val="7D000B1A"/>
    <w:rsid w:val="7D044E9F"/>
    <w:rsid w:val="7D0A0F84"/>
    <w:rsid w:val="7D1D6D06"/>
    <w:rsid w:val="7D3E30B6"/>
    <w:rsid w:val="7D710D2F"/>
    <w:rsid w:val="7DC063B7"/>
    <w:rsid w:val="7DEE367C"/>
    <w:rsid w:val="7DF6136B"/>
    <w:rsid w:val="7DF96D5F"/>
    <w:rsid w:val="7E070526"/>
    <w:rsid w:val="7E24359E"/>
    <w:rsid w:val="7E367079"/>
    <w:rsid w:val="7E633231"/>
    <w:rsid w:val="7E9E7ED3"/>
    <w:rsid w:val="7EC568D6"/>
    <w:rsid w:val="7EE46F93"/>
    <w:rsid w:val="7EF10DD3"/>
    <w:rsid w:val="7F1E615D"/>
    <w:rsid w:val="7F24657D"/>
    <w:rsid w:val="7F2C7816"/>
    <w:rsid w:val="7F911D55"/>
    <w:rsid w:val="7F991648"/>
    <w:rsid w:val="7F9F2371"/>
    <w:rsid w:val="7FD076DD"/>
    <w:rsid w:val="7FEE5D29"/>
    <w:rsid w:val="7FF834A5"/>
    <w:rsid w:val="7FFE2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textAlignment w:val="baseline"/>
    </w:pPr>
    <w:rPr>
      <w:rFonts w:ascii="宋体" w:hAnsiTheme="minorHAnsi" w:eastAsiaTheme="minorEastAsia" w:cstheme="minorBidi"/>
      <w:sz w:val="28"/>
      <w:szCs w:val="22"/>
      <w:lang w:val="en-US" w:eastAsia="zh-CN" w:bidi="ar-SA"/>
    </w:rPr>
  </w:style>
  <w:style w:type="paragraph" w:styleId="3">
    <w:name w:val="heading 1"/>
    <w:basedOn w:val="1"/>
    <w:next w:val="1"/>
    <w:qFormat/>
    <w:uiPriority w:val="0"/>
    <w:pPr>
      <w:keepNext/>
      <w:keepLines/>
      <w:spacing w:line="578" w:lineRule="auto"/>
      <w:outlineLvl w:val="0"/>
    </w:pPr>
    <w:rPr>
      <w:b/>
      <w:bCs/>
      <w:kern w:val="44"/>
      <w:sz w:val="44"/>
      <w:szCs w:val="44"/>
    </w:rPr>
  </w:style>
  <w:style w:type="paragraph" w:styleId="4">
    <w:name w:val="heading 2"/>
    <w:basedOn w:val="1"/>
    <w:next w:val="2"/>
    <w:unhideWhenUsed/>
    <w:qFormat/>
    <w:uiPriority w:val="0"/>
    <w:pPr>
      <w:spacing w:line="660" w:lineRule="atLeast"/>
      <w:jc w:val="center"/>
      <w:outlineLvl w:val="1"/>
    </w:pPr>
    <w:rPr>
      <w:rFonts w:ascii="仿宋_GB2312" w:eastAsia="仿宋_GB2312"/>
      <w:b/>
      <w:bCs/>
      <w:spacing w:val="-16"/>
      <w:sz w:val="32"/>
      <w:szCs w:val="32"/>
    </w:rPr>
  </w:style>
  <w:style w:type="paragraph" w:styleId="5">
    <w:name w:val="heading 3"/>
    <w:basedOn w:val="1"/>
    <w:next w:val="1"/>
    <w:link w:val="25"/>
    <w:unhideWhenUsed/>
    <w:qFormat/>
    <w:uiPriority w:val="0"/>
    <w:pPr>
      <w:keepNext/>
      <w:keepLines/>
      <w:spacing w:line="413" w:lineRule="auto"/>
      <w:outlineLvl w:val="2"/>
    </w:pPr>
    <w:rPr>
      <w:rFonts w:hAnsi="宋体"/>
      <w:b/>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6">
    <w:name w:val="Document Map"/>
    <w:basedOn w:val="1"/>
    <w:link w:val="28"/>
    <w:qFormat/>
    <w:uiPriority w:val="0"/>
    <w:rPr>
      <w:rFonts w:eastAsia="宋体"/>
      <w:sz w:val="18"/>
      <w:szCs w:val="18"/>
    </w:rPr>
  </w:style>
  <w:style w:type="paragraph" w:styleId="7">
    <w:name w:val="annotation text"/>
    <w:basedOn w:val="1"/>
    <w:link w:val="29"/>
    <w:qFormat/>
    <w:uiPriority w:val="0"/>
  </w:style>
  <w:style w:type="paragraph" w:styleId="8">
    <w:name w:val="Body Text"/>
    <w:basedOn w:val="1"/>
    <w:qFormat/>
    <w:uiPriority w:val="0"/>
    <w:rPr>
      <w:rFonts w:ascii="仿宋_GB2312" w:eastAsia="仿宋_GB2312"/>
    </w:rPr>
  </w:style>
  <w:style w:type="paragraph" w:styleId="9">
    <w:name w:val="toc 3"/>
    <w:basedOn w:val="1"/>
    <w:next w:val="1"/>
    <w:qFormat/>
    <w:uiPriority w:val="0"/>
    <w:pPr>
      <w:ind w:left="840" w:leftChars="400"/>
    </w:pPr>
  </w:style>
  <w:style w:type="paragraph" w:styleId="10">
    <w:name w:val="Date"/>
    <w:basedOn w:val="1"/>
    <w:next w:val="1"/>
    <w:qFormat/>
    <w:uiPriority w:val="0"/>
    <w:pPr>
      <w:spacing w:line="400" w:lineRule="atLeast"/>
      <w:ind w:left="100" w:leftChars="2500" w:firstLine="454"/>
    </w:pPr>
    <w:rPr>
      <w:rFonts w:ascii="仿宋_GB2312" w:eastAsia="仿宋_GB2312"/>
      <w:spacing w:val="-16"/>
    </w:rPr>
  </w:style>
  <w:style w:type="paragraph" w:styleId="11">
    <w:name w:val="Balloon Text"/>
    <w:basedOn w:val="1"/>
    <w:link w:val="26"/>
    <w:qFormat/>
    <w:uiPriority w:val="0"/>
    <w:rPr>
      <w:sz w:val="18"/>
      <w:szCs w:val="18"/>
    </w:rPr>
  </w:style>
  <w:style w:type="paragraph" w:styleId="12">
    <w:name w:val="footer"/>
    <w:basedOn w:val="1"/>
    <w:qFormat/>
    <w:uiPriority w:val="0"/>
    <w:pPr>
      <w:tabs>
        <w:tab w:val="center" w:pos="4153"/>
        <w:tab w:val="right" w:pos="8306"/>
      </w:tabs>
      <w:snapToGrid w:val="0"/>
    </w:pPr>
    <w:rPr>
      <w:sz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rPr>
  </w:style>
  <w:style w:type="paragraph" w:styleId="14">
    <w:name w:val="toc 1"/>
    <w:basedOn w:val="1"/>
    <w:next w:val="1"/>
    <w:qFormat/>
    <w:uiPriority w:val="39"/>
  </w:style>
  <w:style w:type="paragraph" w:styleId="15">
    <w:name w:val="toc 2"/>
    <w:basedOn w:val="1"/>
    <w:next w:val="1"/>
    <w:qFormat/>
    <w:uiPriority w:val="39"/>
    <w:pPr>
      <w:ind w:left="420" w:leftChars="200"/>
    </w:pPr>
  </w:style>
  <w:style w:type="paragraph" w:styleId="16">
    <w:name w:val="annotation subject"/>
    <w:basedOn w:val="7"/>
    <w:next w:val="7"/>
    <w:link w:val="30"/>
    <w:qFormat/>
    <w:uiPriority w:val="0"/>
    <w:rPr>
      <w:b/>
      <w:bCs/>
    </w:rPr>
  </w:style>
  <w:style w:type="table" w:styleId="18">
    <w:name w:val="Table Grid"/>
    <w:basedOn w:val="17"/>
    <w:qFormat/>
    <w:uiPriority w:val="0"/>
    <w:pPr>
      <w:widowControl w:val="0"/>
      <w:autoSpaceDE w:val="0"/>
      <w:autoSpaceDN w:val="0"/>
      <w:adjustRightInd w:val="0"/>
      <w:spacing w:line="240" w:lineRule="atLeast"/>
    </w:pPr>
    <w:rPr>
      <w:rFonts w:ascii="Times New Roman" w:hAnsi="Times New Roman" w:eastAsia="PMingLi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0"/>
    <w:rPr>
      <w:b/>
    </w:rPr>
  </w:style>
  <w:style w:type="character" w:styleId="21">
    <w:name w:val="Emphasis"/>
    <w:basedOn w:val="19"/>
    <w:qFormat/>
    <w:uiPriority w:val="0"/>
    <w:rPr>
      <w:i/>
    </w:rPr>
  </w:style>
  <w:style w:type="character" w:styleId="22">
    <w:name w:val="Hyperlink"/>
    <w:basedOn w:val="19"/>
    <w:unhideWhenUsed/>
    <w:qFormat/>
    <w:uiPriority w:val="99"/>
    <w:rPr>
      <w:color w:val="0563C1" w:themeColor="hyperlink"/>
      <w:u w:val="single"/>
      <w14:textFill>
        <w14:solidFill>
          <w14:schemeClr w14:val="hlink"/>
        </w14:solidFill>
      </w14:textFill>
    </w:rPr>
  </w:style>
  <w:style w:type="character" w:styleId="23">
    <w:name w:val="annotation reference"/>
    <w:basedOn w:val="19"/>
    <w:qFormat/>
    <w:uiPriority w:val="0"/>
    <w:rPr>
      <w:sz w:val="21"/>
      <w:szCs w:val="21"/>
    </w:rPr>
  </w:style>
  <w:style w:type="paragraph" w:customStyle="1" w:styleId="24">
    <w:name w:val="_Style 2"/>
    <w:basedOn w:val="3"/>
    <w:next w:val="1"/>
    <w:qFormat/>
    <w:uiPriority w:val="0"/>
    <w:pPr>
      <w:widowControl/>
      <w:spacing w:line="276" w:lineRule="auto"/>
      <w:outlineLvl w:val="9"/>
    </w:pPr>
    <w:rPr>
      <w:rFonts w:ascii="Cambria" w:hAnsi="Cambria" w:eastAsia="宋体" w:cs="Times New Roman"/>
      <w:color w:val="365F91"/>
      <w:kern w:val="0"/>
      <w:sz w:val="28"/>
      <w:szCs w:val="28"/>
    </w:rPr>
  </w:style>
  <w:style w:type="character" w:customStyle="1" w:styleId="25">
    <w:name w:val="标题 3 Char"/>
    <w:link w:val="5"/>
    <w:qFormat/>
    <w:uiPriority w:val="0"/>
    <w:rPr>
      <w:rFonts w:hAnsi="宋体"/>
      <w:b/>
    </w:rPr>
  </w:style>
  <w:style w:type="character" w:customStyle="1" w:styleId="26">
    <w:name w:val="批注框文本 Char"/>
    <w:basedOn w:val="19"/>
    <w:link w:val="11"/>
    <w:qFormat/>
    <w:uiPriority w:val="0"/>
    <w:rPr>
      <w:rFonts w:ascii="宋体"/>
      <w:sz w:val="18"/>
      <w:szCs w:val="18"/>
    </w:rPr>
  </w:style>
  <w:style w:type="paragraph" w:customStyle="1" w:styleId="27">
    <w:name w:val="p0"/>
    <w:basedOn w:val="1"/>
    <w:qFormat/>
    <w:uiPriority w:val="0"/>
    <w:pPr>
      <w:widowControl/>
    </w:pPr>
    <w:rPr>
      <w:szCs w:val="21"/>
    </w:rPr>
  </w:style>
  <w:style w:type="character" w:customStyle="1" w:styleId="28">
    <w:name w:val="文档结构图 Char"/>
    <w:basedOn w:val="19"/>
    <w:link w:val="6"/>
    <w:qFormat/>
    <w:uiPriority w:val="0"/>
    <w:rPr>
      <w:rFonts w:ascii="宋体" w:hAnsiTheme="minorHAnsi" w:cstheme="minorBidi"/>
      <w:sz w:val="18"/>
      <w:szCs w:val="18"/>
    </w:rPr>
  </w:style>
  <w:style w:type="character" w:customStyle="1" w:styleId="29">
    <w:name w:val="批注文字 Char"/>
    <w:basedOn w:val="19"/>
    <w:link w:val="7"/>
    <w:qFormat/>
    <w:uiPriority w:val="0"/>
    <w:rPr>
      <w:rFonts w:ascii="宋体" w:hAnsiTheme="minorHAnsi" w:eastAsiaTheme="minorEastAsia" w:cstheme="minorBidi"/>
      <w:sz w:val="28"/>
      <w:szCs w:val="22"/>
    </w:rPr>
  </w:style>
  <w:style w:type="character" w:customStyle="1" w:styleId="30">
    <w:name w:val="批注主题 Char"/>
    <w:basedOn w:val="29"/>
    <w:link w:val="16"/>
    <w:qFormat/>
    <w:uiPriority w:val="0"/>
    <w:rPr>
      <w:rFonts w:ascii="宋体" w:hAnsiTheme="minorHAnsi" w:eastAsiaTheme="minorEastAsia" w:cstheme="minorBidi"/>
      <w:b/>
      <w:bCs/>
      <w:sz w:val="28"/>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FF1A5F-6A7A-411B-925A-AF3C1F596A4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20</Pages>
  <Words>1530</Words>
  <Characters>8727</Characters>
  <Lines>72</Lines>
  <Paragraphs>20</Paragraphs>
  <TotalTime>1</TotalTime>
  <ScaleCrop>false</ScaleCrop>
  <LinksUpToDate>false</LinksUpToDate>
  <CharactersWithSpaces>10237</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2016-08-21T15:10:00Z</dcterms:created>
  <dc:creator>Administrator</dc:creator>
  <cp:lastModifiedBy>何华</cp:lastModifiedBy>
  <cp:lastPrinted>2022-04-25T01:38:00Z</cp:lastPrinted>
  <dcterms:modified xsi:type="dcterms:W3CDTF">2022-05-25T06:57:02Z</dcterms:modified>
  <cp:revision>137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ICV">
    <vt:lpwstr>340139BB95A04E0CA07F0231CECF851B</vt:lpwstr>
  </property>
</Properties>
</file>