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jc w:val="right"/>
        <w:textAlignment w:val="auto"/>
        <w:rPr>
          <w:rFonts w:hint="eastAsia"/>
          <w:sz w:val="28"/>
          <w:lang w:val="en-US" w:eastAsia="zh-CN"/>
        </w:rPr>
      </w:pPr>
      <w:r>
        <w:drawing>
          <wp:inline distT="0" distB="0" distL="114300" distR="114300">
            <wp:extent cx="1009650" cy="99060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stretch>
                      <a:fillRect/>
                    </a:stretch>
                  </pic:blipFill>
                  <pic:spPr>
                    <a:xfrm>
                      <a:off x="0" y="0"/>
                      <a:ext cx="1009650" cy="990600"/>
                    </a:xfrm>
                    <a:prstGeom prst="rect">
                      <a:avLst/>
                    </a:prstGeom>
                  </pic:spPr>
                </pic:pic>
              </a:graphicData>
            </a:graphic>
          </wp:inline>
        </w:drawing>
      </w:r>
    </w:p>
    <w:p>
      <w:pPr>
        <w:pStyle w:val="7"/>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jc w:val="right"/>
        <w:textAlignment w:val="auto"/>
        <w:rPr>
          <w:rFonts w:eastAsia="黑体"/>
          <w:b/>
          <w:bCs/>
          <w:color w:val="000000"/>
          <w:sz w:val="32"/>
        </w:rPr>
      </w:pPr>
      <w:r>
        <w:rPr>
          <w:rFonts w:hint="eastAsia"/>
          <w:sz w:val="28"/>
          <w:lang w:val="en-US" w:eastAsia="zh-CN"/>
        </w:rPr>
        <w:t xml:space="preserve">                                                    </w:t>
      </w:r>
    </w:p>
    <w:p>
      <w:pPr>
        <w:spacing w:line="480" w:lineRule="auto"/>
        <w:jc w:val="center"/>
        <w:rPr>
          <w:rFonts w:hint="eastAsia" w:ascii="楷体_GB2312" w:hAnsi="楷体_GB2312" w:eastAsia="楷体_GB2312" w:cs="楷体_GB2312"/>
          <w:b/>
          <w:bCs/>
          <w:color w:val="000000"/>
          <w:sz w:val="16"/>
          <w:szCs w:val="6"/>
          <w:lang w:eastAsia="zh-CN"/>
        </w:rPr>
      </w:pPr>
      <w:r>
        <w:rPr>
          <w:rFonts w:hint="eastAsia" w:ascii="楷体_GB2312" w:hAnsi="楷体_GB2312" w:eastAsia="楷体_GB2312" w:cs="楷体_GB2312"/>
          <w:b/>
          <w:bCs/>
          <w:color w:val="000000"/>
          <w:sz w:val="48"/>
        </w:rPr>
        <w:t>涉</w:t>
      </w:r>
      <w:r>
        <w:rPr>
          <w:rFonts w:hint="eastAsia" w:ascii="楷体_GB2312" w:hAnsi="楷体_GB2312" w:eastAsia="楷体_GB2312" w:cs="楷体_GB2312"/>
          <w:b/>
          <w:bCs/>
          <w:color w:val="000000"/>
          <w:sz w:val="48"/>
          <w:lang w:val="en-US" w:eastAsia="zh-CN"/>
        </w:rPr>
        <w:t>案</w:t>
      </w:r>
      <w:r>
        <w:rPr>
          <w:rFonts w:hint="eastAsia" w:ascii="楷体_GB2312" w:hAnsi="楷体_GB2312" w:eastAsia="楷体_GB2312" w:cs="楷体_GB2312"/>
          <w:b/>
          <w:bCs/>
          <w:color w:val="000000"/>
          <w:sz w:val="48"/>
        </w:rPr>
        <w:t>房地产司法评估报告</w:t>
      </w:r>
    </w:p>
    <w:p>
      <w:pPr>
        <w:jc w:val="center"/>
        <w:rPr>
          <w:b/>
          <w:bCs/>
          <w:color w:val="auto"/>
          <w:sz w:val="16"/>
          <w:szCs w:val="6"/>
        </w:rPr>
      </w:pPr>
    </w:p>
    <w:p>
      <w:pPr>
        <w:keepNext w:val="0"/>
        <w:keepLines w:val="0"/>
        <w:pageBreakBefore w:val="0"/>
        <w:widowControl w:val="0"/>
        <w:kinsoku/>
        <w:wordWrap/>
        <w:overflowPunct/>
        <w:topLinePunct w:val="0"/>
        <w:autoSpaceDE/>
        <w:autoSpaceDN/>
        <w:bidi w:val="0"/>
        <w:adjustRightInd/>
        <w:snapToGrid/>
        <w:spacing w:before="0" w:after="0" w:line="600" w:lineRule="auto"/>
        <w:textAlignment w:val="auto"/>
        <w:rPr>
          <w:rFonts w:hint="eastAsia" w:ascii="楷体_GB2312" w:hAnsi="楷体_GB2312" w:eastAsia="楷体_GB2312" w:cs="楷体_GB2312"/>
          <w:color w:val="auto"/>
          <w:sz w:val="32"/>
          <w:szCs w:val="32"/>
          <w:lang w:eastAsia="zh-CN"/>
        </w:rPr>
      </w:pPr>
      <w:r>
        <w:rPr>
          <w:rFonts w:eastAsia="楷体_GB2312"/>
          <w:b/>
          <w:bCs/>
          <w:color w:val="auto"/>
          <w:spacing w:val="-5"/>
          <w:sz w:val="32"/>
          <w:szCs w:val="32"/>
        </w:rPr>
        <w:t>估 价 报 告 编 号</w:t>
      </w:r>
      <w:r>
        <w:rPr>
          <w:rFonts w:eastAsia="楷体_GB2312"/>
          <w:b/>
          <w:bCs/>
          <w:color w:val="auto"/>
          <w:spacing w:val="20"/>
          <w:sz w:val="32"/>
          <w:szCs w:val="32"/>
        </w:rPr>
        <w:t>：</w:t>
      </w:r>
      <w:r>
        <w:rPr>
          <w:rFonts w:hint="eastAsia" w:ascii="楷体_GB2312" w:hAnsi="楷体_GB2312" w:eastAsia="楷体_GB2312" w:cs="楷体_GB2312"/>
          <w:color w:val="auto"/>
          <w:sz w:val="32"/>
          <w:szCs w:val="32"/>
          <w:highlight w:val="none"/>
          <w:lang w:eastAsia="zh-CN"/>
        </w:rPr>
        <w:t>赣天禄房评（2022）字第0583号</w:t>
      </w:r>
    </w:p>
    <w:p>
      <w:pPr>
        <w:keepNext w:val="0"/>
        <w:keepLines w:val="0"/>
        <w:pageBreakBefore w:val="0"/>
        <w:widowControl w:val="0"/>
        <w:kinsoku/>
        <w:wordWrap/>
        <w:overflowPunct/>
        <w:topLinePunct w:val="0"/>
        <w:autoSpaceDE/>
        <w:autoSpaceDN/>
        <w:bidi w:val="0"/>
        <w:adjustRightInd/>
        <w:snapToGrid/>
        <w:spacing w:before="0" w:after="0" w:line="480" w:lineRule="auto"/>
        <w:ind w:left="2978" w:leftChars="9" w:hanging="2959" w:hangingChars="921"/>
        <w:textAlignment w:val="auto"/>
        <w:rPr>
          <w:rFonts w:ascii="楷体_GB2312" w:hAnsi="楷体_GB2312" w:eastAsia="楷体_GB2312" w:cs="楷体_GB2312"/>
          <w:color w:val="000000"/>
          <w:sz w:val="32"/>
          <w:szCs w:val="32"/>
        </w:rPr>
      </w:pPr>
      <w:r>
        <w:rPr>
          <w:rFonts w:eastAsia="楷体_GB2312"/>
          <w:b/>
          <w:bCs/>
          <w:color w:val="000000"/>
          <w:sz w:val="32"/>
          <w:szCs w:val="32"/>
        </w:rPr>
        <w:t>估 价 项 目 名 称</w:t>
      </w:r>
      <w:r>
        <w:rPr>
          <w:rFonts w:eastAsia="楷体_GB2312"/>
          <w:color w:val="000000"/>
          <w:sz w:val="32"/>
          <w:szCs w:val="32"/>
        </w:rPr>
        <w:t>：</w:t>
      </w:r>
      <w:r>
        <w:rPr>
          <w:rFonts w:hint="eastAsia" w:ascii="楷体_GB2312" w:hAnsi="楷体_GB2312" w:eastAsia="楷体_GB2312" w:cs="楷体_GB2312"/>
          <w:color w:val="000000"/>
          <w:sz w:val="32"/>
          <w:szCs w:val="32"/>
          <w:lang w:eastAsia="zh-CN"/>
        </w:rPr>
        <w:t>吉安市吉州区人民法院执行申请人中国建设银行股份有限公司吉安市分行与被执行人陈敏金融借款合同纠纷一案涉及</w:t>
      </w:r>
      <w:r>
        <w:rPr>
          <w:rFonts w:hint="eastAsia" w:ascii="楷体_GB2312" w:hAnsi="楷体_GB2312" w:eastAsia="楷体_GB2312" w:cs="楷体_GB2312"/>
          <w:color w:val="000000"/>
          <w:sz w:val="32"/>
          <w:szCs w:val="32"/>
          <w:lang w:val="en-US" w:eastAsia="zh-CN"/>
        </w:rPr>
        <w:t>青原区青原大道西侧粮食局对面第2栋住宅501房</w:t>
      </w:r>
      <w:r>
        <w:rPr>
          <w:rFonts w:hint="eastAsia" w:ascii="楷体_GB2312" w:hAnsi="楷体_GB2312" w:eastAsia="楷体_GB2312" w:cs="楷体_GB2312"/>
          <w:color w:val="auto"/>
          <w:sz w:val="32"/>
          <w:szCs w:val="32"/>
          <w:lang w:val="en-US" w:eastAsia="zh-CN"/>
        </w:rPr>
        <w:t>涉案房地产司法评估</w:t>
      </w:r>
    </w:p>
    <w:p>
      <w:pPr>
        <w:keepNext w:val="0"/>
        <w:keepLines w:val="0"/>
        <w:pageBreakBefore w:val="0"/>
        <w:widowControl w:val="0"/>
        <w:kinsoku/>
        <w:wordWrap/>
        <w:overflowPunct/>
        <w:topLinePunct w:val="0"/>
        <w:autoSpaceDE/>
        <w:autoSpaceDN/>
        <w:bidi w:val="0"/>
        <w:adjustRightInd/>
        <w:snapToGrid/>
        <w:spacing w:before="0" w:after="0" w:line="600" w:lineRule="auto"/>
        <w:ind w:left="2240" w:hanging="2249" w:hangingChars="700"/>
        <w:textAlignment w:val="auto"/>
        <w:rPr>
          <w:rFonts w:hint="eastAsia" w:eastAsia="楷体_GB2312"/>
          <w:color w:val="000000"/>
          <w:sz w:val="32"/>
          <w:szCs w:val="32"/>
          <w:lang w:eastAsia="zh-CN"/>
        </w:rPr>
      </w:pPr>
      <w:r>
        <w:rPr>
          <w:rFonts w:eastAsia="楷体_GB2312"/>
          <w:b/>
          <w:bCs/>
          <w:color w:val="000000"/>
          <w:sz w:val="32"/>
          <w:szCs w:val="32"/>
        </w:rPr>
        <w:t>估  价  委  托 人</w:t>
      </w:r>
      <w:r>
        <w:rPr>
          <w:rFonts w:eastAsia="楷体_GB2312"/>
          <w:b/>
          <w:bCs/>
          <w:color w:val="000000"/>
          <w:w w:val="96"/>
          <w:sz w:val="32"/>
          <w:szCs w:val="32"/>
        </w:rPr>
        <w:t>：</w:t>
      </w:r>
      <w:r>
        <w:rPr>
          <w:rFonts w:hint="eastAsia" w:ascii="楷体_GB2312" w:hAnsi="楷体_GB2312" w:eastAsia="楷体_GB2312" w:cs="楷体_GB2312"/>
          <w:color w:val="000000"/>
          <w:sz w:val="32"/>
          <w:szCs w:val="32"/>
          <w:lang w:eastAsia="zh-CN"/>
        </w:rPr>
        <w:t>吉安市吉州区人民法院</w:t>
      </w:r>
    </w:p>
    <w:p>
      <w:pPr>
        <w:keepNext w:val="0"/>
        <w:keepLines w:val="0"/>
        <w:pageBreakBefore w:val="0"/>
        <w:widowControl w:val="0"/>
        <w:kinsoku/>
        <w:wordWrap/>
        <w:overflowPunct/>
        <w:topLinePunct w:val="0"/>
        <w:autoSpaceDE/>
        <w:autoSpaceDN/>
        <w:bidi w:val="0"/>
        <w:adjustRightInd/>
        <w:snapToGrid/>
        <w:spacing w:before="0" w:after="0" w:line="600" w:lineRule="auto"/>
        <w:ind w:left="2240" w:hanging="1969" w:hangingChars="700"/>
        <w:textAlignment w:val="auto"/>
        <w:rPr>
          <w:rFonts w:eastAsia="楷体_GB2312"/>
          <w:b/>
          <w:color w:val="000000"/>
          <w:sz w:val="32"/>
          <w:szCs w:val="32"/>
        </w:rPr>
      </w:pPr>
      <w:r>
        <w:rPr>
          <w:rFonts w:eastAsia="楷体_GB2312"/>
          <w:b/>
          <w:bCs/>
          <w:color w:val="000000"/>
          <w:spacing w:val="-20"/>
          <w:sz w:val="32"/>
          <w:szCs w:val="32"/>
        </w:rPr>
        <w:t>房 地 产 估 价 机 构：</w:t>
      </w:r>
      <w:r>
        <w:rPr>
          <w:rFonts w:hint="eastAsia" w:eastAsia="楷体_GB2312"/>
          <w:color w:val="000000"/>
          <w:sz w:val="32"/>
          <w:szCs w:val="32"/>
        </w:rPr>
        <w:t>江西天禄房地产土地资产评估有限公司</w:t>
      </w:r>
    </w:p>
    <w:p>
      <w:pPr>
        <w:keepNext w:val="0"/>
        <w:keepLines w:val="0"/>
        <w:pageBreakBefore w:val="0"/>
        <w:widowControl w:val="0"/>
        <w:kinsoku/>
        <w:wordWrap/>
        <w:overflowPunct/>
        <w:topLinePunct w:val="0"/>
        <w:autoSpaceDE/>
        <w:autoSpaceDN/>
        <w:bidi w:val="0"/>
        <w:adjustRightInd/>
        <w:snapToGrid/>
        <w:spacing w:before="0" w:after="0" w:line="600" w:lineRule="auto"/>
        <w:ind w:left="2240" w:hanging="2403" w:hangingChars="700"/>
        <w:textAlignment w:val="auto"/>
        <w:rPr>
          <w:rFonts w:ascii="楷体_GB2312" w:hAnsi="楷体_GB2312" w:eastAsia="楷体_GB2312" w:cs="楷体_GB2312"/>
          <w:color w:val="000000"/>
          <w:sz w:val="32"/>
          <w:szCs w:val="32"/>
        </w:rPr>
      </w:pPr>
      <w:r>
        <w:rPr>
          <w:rFonts w:eastAsia="楷体_GB2312"/>
          <w:b/>
          <w:bCs/>
          <w:color w:val="000000"/>
          <w:spacing w:val="11"/>
          <w:sz w:val="32"/>
          <w:szCs w:val="32"/>
        </w:rPr>
        <w:t>注册房地产估价</w:t>
      </w:r>
      <w:r>
        <w:rPr>
          <w:rFonts w:eastAsia="楷体_GB2312"/>
          <w:b/>
          <w:bCs/>
          <w:color w:val="000000"/>
          <w:sz w:val="32"/>
          <w:szCs w:val="32"/>
        </w:rPr>
        <w:t>师：</w:t>
      </w:r>
      <w:r>
        <w:rPr>
          <w:rFonts w:hint="eastAsia" w:ascii="楷体_GB2312" w:hAnsi="楷体_GB2312" w:eastAsia="楷体_GB2312" w:cs="楷体_GB2312"/>
          <w:color w:val="000000"/>
          <w:sz w:val="32"/>
          <w:szCs w:val="32"/>
          <w:lang w:eastAsia="zh-CN"/>
        </w:rPr>
        <w:t>谢明敏</w:t>
      </w:r>
      <w:r>
        <w:rPr>
          <w:rFonts w:hint="eastAsia" w:ascii="楷体_GB2312" w:hAnsi="楷体_GB2312" w:eastAsia="楷体_GB2312" w:cs="楷体_GB2312"/>
          <w:color w:val="000000"/>
          <w:sz w:val="32"/>
          <w:szCs w:val="32"/>
        </w:rPr>
        <w:t>（注册号：</w:t>
      </w:r>
      <w:r>
        <w:rPr>
          <w:rFonts w:hint="eastAsia" w:ascii="楷体_GB2312" w:hAnsi="楷体_GB2312" w:eastAsia="楷体_GB2312" w:cs="楷体_GB2312"/>
          <w:color w:val="000000"/>
          <w:sz w:val="32"/>
          <w:szCs w:val="32"/>
          <w:lang w:eastAsia="zh-CN"/>
        </w:rPr>
        <w:t>3620190004</w:t>
      </w:r>
      <w:r>
        <w:rPr>
          <w:rFonts w:hint="eastAsia" w:ascii="楷体_GB2312" w:hAnsi="楷体_GB2312" w:eastAsia="楷体_GB2312" w:cs="楷体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before="0" w:after="0" w:line="600" w:lineRule="auto"/>
        <w:ind w:firstLine="3040" w:firstLineChars="950"/>
        <w:textAlignment w:val="auto"/>
        <w:rPr>
          <w:rFonts w:ascii="楷体_GB2312" w:hAnsi="楷体_GB2312" w:eastAsia="楷体_GB2312" w:cs="楷体_GB2312"/>
          <w:b/>
          <w:color w:val="000000"/>
          <w:sz w:val="32"/>
          <w:szCs w:val="32"/>
        </w:rPr>
      </w:pPr>
      <w:r>
        <w:rPr>
          <w:rFonts w:hint="eastAsia" w:ascii="楷体_GB2312" w:hAnsi="楷体_GB2312" w:eastAsia="楷体_GB2312" w:cs="楷体_GB2312"/>
          <w:color w:val="000000"/>
          <w:sz w:val="32"/>
          <w:szCs w:val="32"/>
        </w:rPr>
        <w:t>李宏宇（注册号：3620190029）</w:t>
      </w:r>
    </w:p>
    <w:p>
      <w:pPr>
        <w:keepNext w:val="0"/>
        <w:keepLines w:val="0"/>
        <w:pageBreakBefore w:val="0"/>
        <w:widowControl w:val="0"/>
        <w:kinsoku/>
        <w:wordWrap/>
        <w:overflowPunct/>
        <w:topLinePunct w:val="0"/>
        <w:autoSpaceDE/>
        <w:autoSpaceDN/>
        <w:bidi w:val="0"/>
        <w:adjustRightInd/>
        <w:snapToGrid/>
        <w:spacing w:before="0" w:after="0" w:line="600" w:lineRule="auto"/>
        <w:ind w:left="2240" w:hanging="2403" w:hangingChars="700"/>
        <w:textAlignment w:val="auto"/>
        <w:rPr>
          <w:rFonts w:hint="eastAsia" w:eastAsia="楷体_GB2312"/>
          <w:color w:val="000000"/>
          <w:sz w:val="32"/>
          <w:szCs w:val="32"/>
          <w:lang w:eastAsia="zh-CN"/>
        </w:rPr>
      </w:pPr>
      <w:r>
        <w:rPr>
          <w:rFonts w:eastAsia="楷体_GB2312"/>
          <w:b/>
          <w:bCs/>
          <w:color w:val="000000"/>
          <w:spacing w:val="11"/>
          <w:sz w:val="32"/>
          <w:szCs w:val="32"/>
        </w:rPr>
        <w:t>估价报告出具日期：</w:t>
      </w:r>
      <w:r>
        <w:rPr>
          <w:rFonts w:hint="eastAsia" w:eastAsia="楷体_GB2312"/>
          <w:color w:val="000000"/>
          <w:sz w:val="32"/>
          <w:szCs w:val="32"/>
          <w:lang w:eastAsia="zh-CN"/>
        </w:rPr>
        <w:t>二〇二二年六月二日</w:t>
      </w:r>
    </w:p>
    <w:p>
      <w:pPr>
        <w:keepNext w:val="0"/>
        <w:keepLines w:val="0"/>
        <w:pageBreakBefore w:val="0"/>
        <w:widowControl w:val="0"/>
        <w:kinsoku/>
        <w:wordWrap/>
        <w:overflowPunct/>
        <w:topLinePunct w:val="0"/>
        <w:autoSpaceDE/>
        <w:autoSpaceDN/>
        <w:bidi w:val="0"/>
        <w:adjustRightInd/>
        <w:snapToGrid/>
        <w:spacing w:before="0" w:after="0" w:line="440" w:lineRule="exact"/>
        <w:jc w:val="center"/>
        <w:textAlignment w:val="auto"/>
        <w:rPr>
          <w:rFonts w:eastAsia="仿宋_GB2312"/>
          <w:b/>
          <w:color w:val="000000"/>
          <w:sz w:val="32"/>
          <w:szCs w:val="32"/>
        </w:rPr>
      </w:pPr>
      <w:r>
        <w:rPr>
          <w:color w:val="000000"/>
        </w:rPr>
        <w:br w:type="page"/>
      </w:r>
      <w:r>
        <w:rPr>
          <w:rFonts w:eastAsia="仿宋_GB2312"/>
          <w:b/>
          <w:color w:val="000000"/>
          <w:sz w:val="32"/>
          <w:szCs w:val="32"/>
        </w:rPr>
        <w:t>致估价委托人函</w:t>
      </w:r>
    </w:p>
    <w:p>
      <w:pPr>
        <w:pStyle w:val="12"/>
        <w:keepNext w:val="0"/>
        <w:keepLines w:val="0"/>
        <w:pageBreakBefore w:val="0"/>
        <w:widowControl w:val="0"/>
        <w:kinsoku/>
        <w:wordWrap/>
        <w:overflowPunct/>
        <w:topLinePunct w:val="0"/>
        <w:autoSpaceDE/>
        <w:autoSpaceDN/>
        <w:bidi w:val="0"/>
        <w:adjustRightInd/>
        <w:snapToGrid/>
        <w:spacing w:before="312" w:beforeLines="100" w:after="0" w:line="360" w:lineRule="auto"/>
        <w:textAlignment w:val="auto"/>
        <w:rPr>
          <w:rFonts w:ascii="Times New Roman" w:eastAsia="仿宋_GB2312"/>
          <w:color w:val="000000"/>
          <w:spacing w:val="0"/>
          <w:sz w:val="28"/>
          <w:szCs w:val="28"/>
        </w:rPr>
      </w:pPr>
      <w:r>
        <w:rPr>
          <w:rFonts w:hint="eastAsia" w:ascii="Times New Roman" w:eastAsia="仿宋_GB2312"/>
          <w:color w:val="000000"/>
          <w:spacing w:val="0"/>
          <w:sz w:val="28"/>
          <w:szCs w:val="28"/>
          <w:lang w:eastAsia="zh-CN"/>
        </w:rPr>
        <w:t>吉安市吉州区人民法院</w:t>
      </w:r>
      <w:r>
        <w:rPr>
          <w:rFonts w:ascii="Times New Roman" w:eastAsia="仿宋_GB2312"/>
          <w:color w:val="000000"/>
          <w:spacing w:val="0"/>
          <w:sz w:val="28"/>
          <w:szCs w:val="28"/>
        </w:rPr>
        <w:t>：</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color w:val="auto"/>
          <w:kern w:val="0"/>
          <w:sz w:val="28"/>
          <w:szCs w:val="20"/>
        </w:rPr>
        <w:t>承蒙委托，我公司对</w:t>
      </w:r>
      <w:r>
        <w:rPr>
          <w:rFonts w:hint="eastAsia" w:ascii="仿宋_GB2312" w:hAnsi="仿宋_GB2312" w:eastAsia="仿宋_GB2312" w:cs="仿宋_GB2312"/>
          <w:snapToGrid w:val="0"/>
          <w:kern w:val="0"/>
          <w:sz w:val="28"/>
          <w:szCs w:val="20"/>
          <w:lang w:eastAsia="zh-CN"/>
        </w:rPr>
        <w:t>吉安市吉州区人民法院执行申请人中国建设银行股份有限公司吉安市分行与被执行人陈敏金融借款合同纠纷一案</w:t>
      </w:r>
      <w:r>
        <w:rPr>
          <w:rFonts w:hint="eastAsia" w:ascii="仿宋_GB2312" w:hAnsi="仿宋_GB2312" w:eastAsia="仿宋_GB2312" w:cs="仿宋_GB2312"/>
          <w:snapToGrid w:val="0"/>
          <w:color w:val="auto"/>
          <w:kern w:val="0"/>
          <w:sz w:val="28"/>
          <w:szCs w:val="20"/>
          <w:lang w:val="en-US" w:eastAsia="zh-CN"/>
        </w:rPr>
        <w:t>涉及青原区青原大道西侧粮食局对面第2栋住宅501房住宅房地产</w:t>
      </w:r>
      <w:r>
        <w:rPr>
          <w:rFonts w:hint="eastAsia" w:ascii="仿宋_GB2312" w:hAnsi="仿宋_GB2312" w:eastAsia="仿宋_GB2312" w:cs="仿宋_GB2312"/>
          <w:snapToGrid w:val="0"/>
          <w:color w:val="auto"/>
          <w:kern w:val="0"/>
          <w:sz w:val="28"/>
          <w:szCs w:val="20"/>
        </w:rPr>
        <w:t>价</w:t>
      </w:r>
      <w:r>
        <w:rPr>
          <w:rFonts w:hint="eastAsia" w:ascii="仿宋_GB2312" w:hAnsi="仿宋_GB2312" w:eastAsia="仿宋_GB2312" w:cs="仿宋_GB2312"/>
          <w:snapToGrid w:val="0"/>
          <w:color w:val="auto"/>
          <w:kern w:val="0"/>
          <w:sz w:val="28"/>
          <w:szCs w:val="20"/>
          <w:lang w:val="en-US" w:eastAsia="zh-CN"/>
        </w:rPr>
        <w:t>格</w:t>
      </w:r>
      <w:r>
        <w:rPr>
          <w:rFonts w:hint="eastAsia" w:ascii="仿宋_GB2312" w:hAnsi="仿宋_GB2312" w:eastAsia="仿宋_GB2312" w:cs="仿宋_GB2312"/>
          <w:snapToGrid w:val="0"/>
          <w:color w:val="auto"/>
          <w:kern w:val="0"/>
          <w:sz w:val="28"/>
          <w:szCs w:val="20"/>
        </w:rPr>
        <w:t>进行了估价</w:t>
      </w:r>
      <w:r>
        <w:rPr>
          <w:rFonts w:hint="eastAsia" w:ascii="仿宋_GB2312" w:hAnsi="仿宋_GB2312" w:eastAsia="仿宋_GB2312" w:cs="仿宋_GB2312"/>
          <w:snapToGrid w:val="0"/>
          <w:kern w:val="0"/>
          <w:sz w:val="28"/>
          <w:szCs w:val="20"/>
        </w:rPr>
        <w:t>，价值时点为</w:t>
      </w:r>
      <w:r>
        <w:rPr>
          <w:rFonts w:hint="eastAsia" w:ascii="仿宋_GB2312" w:hAnsi="仿宋_GB2312" w:eastAsia="仿宋_GB2312" w:cs="仿宋_GB2312"/>
          <w:snapToGrid w:val="0"/>
          <w:kern w:val="0"/>
          <w:sz w:val="28"/>
          <w:szCs w:val="20"/>
          <w:lang w:eastAsia="zh-CN"/>
        </w:rPr>
        <w:t>2022年6月1日</w:t>
      </w:r>
      <w:r>
        <w:rPr>
          <w:rFonts w:hint="eastAsia" w:ascii="仿宋_GB2312" w:hAnsi="仿宋_GB2312" w:eastAsia="仿宋_GB2312" w:cs="仿宋_GB2312"/>
          <w:snapToGrid w:val="0"/>
          <w:kern w:val="0"/>
          <w:sz w:val="28"/>
          <w:szCs w:val="20"/>
        </w:rPr>
        <w:t>，估价对象</w:t>
      </w:r>
      <w:r>
        <w:rPr>
          <w:rFonts w:hint="eastAsia" w:ascii="仿宋_GB2312" w:hAnsi="仿宋_GB2312" w:eastAsia="仿宋_GB2312" w:cs="仿宋_GB2312"/>
          <w:snapToGrid w:val="0"/>
          <w:color w:val="auto"/>
          <w:kern w:val="0"/>
          <w:sz w:val="28"/>
          <w:szCs w:val="20"/>
        </w:rPr>
        <w:t>房屋建筑面积为</w:t>
      </w:r>
      <w:r>
        <w:rPr>
          <w:rFonts w:hint="eastAsia" w:ascii="仿宋_GB2312" w:hAnsi="仿宋_GB2312" w:eastAsia="仿宋_GB2312" w:cs="仿宋_GB2312"/>
          <w:snapToGrid w:val="0"/>
          <w:color w:val="auto"/>
          <w:kern w:val="0"/>
          <w:sz w:val="28"/>
          <w:szCs w:val="20"/>
          <w:lang w:eastAsia="zh-CN"/>
        </w:rPr>
        <w:t>122.26</w:t>
      </w:r>
      <w:r>
        <w:rPr>
          <w:rFonts w:hint="eastAsia" w:ascii="仿宋_GB2312" w:hAnsi="仿宋_GB2312" w:eastAsia="仿宋_GB2312" w:cs="仿宋_GB2312"/>
          <w:snapToGrid w:val="0"/>
          <w:color w:val="auto"/>
          <w:kern w:val="0"/>
          <w:sz w:val="28"/>
          <w:szCs w:val="20"/>
        </w:rPr>
        <w:t>平方米，估价目的是</w:t>
      </w:r>
      <w:r>
        <w:rPr>
          <w:rFonts w:hint="eastAsia" w:ascii="仿宋_GB2312" w:hAnsi="仿宋_GB2312" w:eastAsia="仿宋_GB2312" w:cs="仿宋_GB2312"/>
          <w:snapToGrid w:val="0"/>
          <w:color w:val="auto"/>
          <w:kern w:val="0"/>
          <w:sz w:val="28"/>
          <w:szCs w:val="20"/>
          <w:lang w:eastAsia="zh-CN"/>
        </w:rPr>
        <w:t>为人民法院确定涉案财产价值提供参考依据</w:t>
      </w:r>
      <w:r>
        <w:rPr>
          <w:rFonts w:hint="eastAsia" w:ascii="仿宋_GB2312" w:hAnsi="仿宋_GB2312" w:eastAsia="仿宋_GB2312" w:cs="仿宋_GB2312"/>
          <w:snapToGrid w:val="0"/>
          <w:color w:val="auto"/>
          <w:kern w:val="0"/>
          <w:sz w:val="28"/>
          <w:szCs w:val="20"/>
        </w:rPr>
        <w:t>。</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hint="eastAsia"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color w:val="auto"/>
          <w:kern w:val="0"/>
          <w:sz w:val="28"/>
          <w:szCs w:val="20"/>
        </w:rPr>
        <w:t>经过实地查勘和市场调查，遵照《中华人民共和国城市房地产管理法》、《中华人民共和国资产评估法》、《房地产估价规范》、《房地产估价基本术语标准》及其他相关法规，遵循估价原则，按照估价程序，根据估价目的和贵方提供的相关资料，结合估价师的经验，</w:t>
      </w:r>
      <w:r>
        <w:rPr>
          <w:rFonts w:hint="eastAsia" w:eastAsia="仿宋_GB2312"/>
          <w:snapToGrid w:val="0"/>
          <w:color w:val="auto"/>
          <w:kern w:val="0"/>
          <w:sz w:val="28"/>
          <w:szCs w:val="20"/>
          <w:lang w:eastAsia="zh-CN"/>
        </w:rPr>
        <w:t>选用比较法进行测算</w:t>
      </w:r>
      <w:r>
        <w:rPr>
          <w:rFonts w:hint="eastAsia" w:ascii="仿宋_GB2312" w:hAnsi="仿宋_GB2312" w:eastAsia="仿宋_GB2312" w:cs="仿宋_GB2312"/>
          <w:snapToGrid w:val="0"/>
          <w:color w:val="auto"/>
          <w:kern w:val="0"/>
          <w:sz w:val="28"/>
          <w:szCs w:val="20"/>
        </w:rPr>
        <w:t>，在综合分析影响估价对象房地产价格因素的基础上测算出估价对象在价值时点</w:t>
      </w:r>
      <w:r>
        <w:rPr>
          <w:rFonts w:hint="eastAsia" w:ascii="仿宋_GB2312" w:hAnsi="仿宋_GB2312" w:eastAsia="仿宋_GB2312" w:cs="仿宋_GB2312"/>
          <w:snapToGrid w:val="0"/>
          <w:color w:val="auto"/>
          <w:kern w:val="0"/>
          <w:sz w:val="28"/>
          <w:szCs w:val="20"/>
          <w:lang w:eastAsia="zh-CN"/>
        </w:rPr>
        <w:t>2022年6月1日</w:t>
      </w:r>
      <w:r>
        <w:rPr>
          <w:rFonts w:hint="eastAsia" w:ascii="仿宋_GB2312" w:hAnsi="仿宋_GB2312" w:eastAsia="仿宋_GB2312" w:cs="仿宋_GB2312"/>
          <w:snapToGrid w:val="0"/>
          <w:color w:val="auto"/>
          <w:kern w:val="0"/>
          <w:sz w:val="28"/>
          <w:szCs w:val="20"/>
        </w:rPr>
        <w:t>的</w:t>
      </w:r>
      <w:r>
        <w:rPr>
          <w:rFonts w:hint="eastAsia" w:ascii="仿宋_GB2312" w:hAnsi="仿宋_GB2312" w:eastAsia="仿宋_GB2312" w:cs="仿宋_GB2312"/>
          <w:snapToGrid w:val="0"/>
          <w:color w:val="auto"/>
          <w:kern w:val="0"/>
          <w:sz w:val="28"/>
          <w:szCs w:val="20"/>
          <w:lang w:val="en-US" w:eastAsia="zh-CN"/>
        </w:rPr>
        <w:t>房地产</w:t>
      </w:r>
      <w:r>
        <w:rPr>
          <w:rFonts w:hint="eastAsia" w:ascii="仿宋_GB2312" w:hAnsi="仿宋_GB2312" w:eastAsia="仿宋_GB2312" w:cs="仿宋_GB2312"/>
          <w:snapToGrid w:val="0"/>
          <w:color w:val="auto"/>
          <w:kern w:val="0"/>
          <w:sz w:val="28"/>
          <w:szCs w:val="20"/>
          <w:shd w:val="clear" w:color="auto" w:fill="auto"/>
        </w:rPr>
        <w:t>市场价值为</w:t>
      </w:r>
      <w:r>
        <w:rPr>
          <w:rFonts w:hint="eastAsia" w:ascii="仿宋_GB2312" w:hAnsi="仿宋_GB2312" w:eastAsia="仿宋_GB2312" w:cs="仿宋_GB2312"/>
          <w:b/>
          <w:bCs/>
          <w:snapToGrid w:val="0"/>
          <w:color w:val="auto"/>
          <w:kern w:val="0"/>
          <w:sz w:val="28"/>
          <w:szCs w:val="20"/>
          <w:shd w:val="clear" w:color="auto" w:fill="auto"/>
          <w:lang w:eastAsia="zh-CN"/>
        </w:rPr>
        <w:t>69.57</w:t>
      </w:r>
      <w:r>
        <w:rPr>
          <w:rFonts w:hint="eastAsia" w:ascii="仿宋_GB2312" w:hAnsi="仿宋_GB2312" w:eastAsia="仿宋_GB2312" w:cs="仿宋_GB2312"/>
          <w:snapToGrid w:val="0"/>
          <w:color w:val="auto"/>
          <w:kern w:val="0"/>
          <w:sz w:val="28"/>
          <w:szCs w:val="20"/>
          <w:shd w:val="clear" w:color="auto" w:fill="auto"/>
          <w:lang w:val="en-US" w:eastAsia="zh-CN"/>
        </w:rPr>
        <w:t>万</w:t>
      </w:r>
      <w:r>
        <w:rPr>
          <w:rFonts w:hint="eastAsia" w:ascii="仿宋_GB2312" w:hAnsi="仿宋_GB2312" w:eastAsia="仿宋_GB2312" w:cs="仿宋_GB2312"/>
          <w:b w:val="0"/>
          <w:bCs w:val="0"/>
          <w:snapToGrid w:val="0"/>
          <w:color w:val="auto"/>
          <w:kern w:val="0"/>
          <w:sz w:val="28"/>
          <w:szCs w:val="20"/>
          <w:shd w:val="clear" w:color="auto" w:fill="auto"/>
        </w:rPr>
        <w:t>元</w:t>
      </w:r>
      <w:r>
        <w:rPr>
          <w:rFonts w:hint="eastAsia" w:ascii="仿宋_GB2312" w:hAnsi="仿宋_GB2312" w:eastAsia="仿宋_GB2312" w:cs="仿宋_GB2312"/>
          <w:snapToGrid w:val="0"/>
          <w:color w:val="auto"/>
          <w:kern w:val="0"/>
          <w:sz w:val="28"/>
          <w:szCs w:val="20"/>
          <w:shd w:val="clear" w:color="auto" w:fill="auto"/>
        </w:rPr>
        <w:t>，人民币大写：</w:t>
      </w:r>
      <w:r>
        <w:rPr>
          <w:rFonts w:hint="eastAsia" w:ascii="仿宋_GB2312" w:hAnsi="仿宋_GB2312" w:eastAsia="仿宋_GB2312" w:cs="仿宋_GB2312"/>
          <w:b/>
          <w:bCs/>
          <w:snapToGrid w:val="0"/>
          <w:color w:val="auto"/>
          <w:kern w:val="0"/>
          <w:sz w:val="28"/>
          <w:szCs w:val="20"/>
          <w:shd w:val="clear" w:color="auto" w:fill="auto"/>
          <w:lang w:val="en-US" w:eastAsia="zh-CN"/>
        </w:rPr>
        <w:t>陆拾玖万伍仟柒佰</w:t>
      </w:r>
      <w:r>
        <w:rPr>
          <w:rFonts w:hint="eastAsia" w:ascii="仿宋_GB2312" w:hAnsi="仿宋_GB2312" w:eastAsia="仿宋_GB2312" w:cs="仿宋_GB2312"/>
          <w:b w:val="0"/>
          <w:bCs w:val="0"/>
          <w:snapToGrid w:val="0"/>
          <w:color w:val="auto"/>
          <w:kern w:val="0"/>
          <w:sz w:val="28"/>
          <w:szCs w:val="20"/>
          <w:shd w:val="clear" w:color="auto" w:fill="auto"/>
          <w:lang w:eastAsia="zh-CN"/>
        </w:rPr>
        <w:t>元整</w:t>
      </w:r>
      <w:r>
        <w:rPr>
          <w:rFonts w:hint="eastAsia" w:ascii="仿宋_GB2312" w:hAnsi="仿宋_GB2312" w:eastAsia="仿宋_GB2312" w:cs="仿宋_GB2312"/>
          <w:snapToGrid w:val="0"/>
          <w:color w:val="auto"/>
          <w:kern w:val="0"/>
          <w:sz w:val="28"/>
          <w:szCs w:val="20"/>
          <w:shd w:val="clear" w:color="auto" w:fill="auto"/>
          <w:lang w:eastAsia="zh-CN"/>
        </w:rPr>
        <w:t>，</w:t>
      </w:r>
      <w:r>
        <w:rPr>
          <w:rFonts w:hint="eastAsia" w:ascii="仿宋_GB2312" w:hAnsi="宋体" w:eastAsia="仿宋_GB2312"/>
          <w:color w:val="auto"/>
          <w:sz w:val="28"/>
          <w:shd w:val="clear" w:color="auto" w:fill="auto"/>
        </w:rPr>
        <w:t>具体详见《评估结果明细表》</w:t>
      </w:r>
      <w:r>
        <w:rPr>
          <w:rFonts w:hint="eastAsia" w:ascii="仿宋_GB2312" w:hAnsi="仿宋_GB2312" w:eastAsia="仿宋_GB2312" w:cs="仿宋_GB2312"/>
          <w:snapToGrid w:val="0"/>
          <w:color w:val="auto"/>
          <w:kern w:val="0"/>
          <w:sz w:val="28"/>
          <w:szCs w:val="20"/>
          <w:shd w:val="clear" w:color="auto" w:fill="auto"/>
        </w:rPr>
        <w:t>。</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420" w:lineRule="exact"/>
        <w:ind w:firstLine="560" w:firstLineChars="200"/>
        <w:textAlignment w:val="auto"/>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 xml:space="preserve">                     评估结果明细表</w:t>
      </w:r>
    </w:p>
    <w:tbl>
      <w:tblPr>
        <w:tblStyle w:val="26"/>
        <w:tblW w:w="9951"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6"/>
        <w:gridCol w:w="1272"/>
        <w:gridCol w:w="879"/>
        <w:gridCol w:w="1223"/>
        <w:gridCol w:w="1050"/>
        <w:gridCol w:w="841"/>
        <w:gridCol w:w="930"/>
        <w:gridCol w:w="945"/>
        <w:gridCol w:w="1125"/>
        <w:gridCol w:w="108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5" w:hRule="atLeast"/>
          <w:jc w:val="center"/>
        </w:trPr>
        <w:tc>
          <w:tcPr>
            <w:tcW w:w="6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2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产权证号</w:t>
            </w:r>
          </w:p>
        </w:tc>
        <w:tc>
          <w:tcPr>
            <w:tcW w:w="8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权利人</w:t>
            </w:r>
          </w:p>
        </w:tc>
        <w:tc>
          <w:tcPr>
            <w:tcW w:w="12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坐落</w:t>
            </w:r>
          </w:p>
        </w:tc>
        <w:tc>
          <w:tcPr>
            <w:tcW w:w="1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所在层/</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总层数</w:t>
            </w:r>
          </w:p>
        </w:tc>
        <w:tc>
          <w:tcPr>
            <w:tcW w:w="8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用途</w:t>
            </w:r>
          </w:p>
        </w:tc>
        <w:tc>
          <w:tcPr>
            <w:tcW w:w="9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结构</w:t>
            </w:r>
          </w:p>
        </w:tc>
        <w:tc>
          <w:tcPr>
            <w:tcW w:w="9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面积（㎡）</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（元/㎡）</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总价</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（万元）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7" w:hRule="atLeast"/>
          <w:jc w:val="center"/>
        </w:trPr>
        <w:tc>
          <w:tcPr>
            <w:tcW w:w="6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2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赣（2016）吉安市不动产权第0030101号</w:t>
            </w:r>
          </w:p>
        </w:tc>
        <w:tc>
          <w:tcPr>
            <w:tcW w:w="8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陈敏</w:t>
            </w:r>
          </w:p>
        </w:tc>
        <w:tc>
          <w:tcPr>
            <w:tcW w:w="122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青原区青原大道西侧粮食局对面第2栋住宅501房</w:t>
            </w:r>
          </w:p>
        </w:tc>
        <w:tc>
          <w:tcPr>
            <w:tcW w:w="1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5/5</w:t>
            </w:r>
          </w:p>
        </w:tc>
        <w:tc>
          <w:tcPr>
            <w:tcW w:w="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住宅</w:t>
            </w:r>
          </w:p>
        </w:tc>
        <w:tc>
          <w:tcPr>
            <w:tcW w:w="93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砖混</w:t>
            </w:r>
          </w:p>
        </w:tc>
        <w:tc>
          <w:tcPr>
            <w:tcW w:w="9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122.26</w:t>
            </w:r>
          </w:p>
        </w:tc>
        <w:tc>
          <w:tcPr>
            <w:tcW w:w="11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5690</w:t>
            </w:r>
          </w:p>
        </w:tc>
        <w:tc>
          <w:tcPr>
            <w:tcW w:w="10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69.57 </w:t>
            </w:r>
          </w:p>
        </w:tc>
      </w:tr>
    </w:tbl>
    <w:p>
      <w:pPr>
        <w:pStyle w:val="7"/>
        <w:rPr>
          <w:rFonts w:hint="eastAsia"/>
          <w:lang w:val="en-US" w:eastAsia="zh-CN"/>
        </w:rPr>
      </w:pP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rPr>
        <w:t xml:space="preserve">特别提示： </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lang w:val="en-US" w:eastAsia="zh-CN"/>
        </w:rPr>
        <w:t>1、</w:t>
      </w:r>
      <w:r>
        <w:rPr>
          <w:rFonts w:hint="eastAsia" w:ascii="仿宋_GB2312" w:hAnsi="仿宋_GB2312" w:eastAsia="仿宋_GB2312" w:cs="仿宋_GB2312"/>
          <w:snapToGrid w:val="0"/>
          <w:kern w:val="0"/>
          <w:sz w:val="28"/>
          <w:szCs w:val="28"/>
        </w:rPr>
        <w:t>本报告仅限于</w:t>
      </w:r>
      <w:r>
        <w:rPr>
          <w:rFonts w:hint="eastAsia" w:ascii="仿宋_GB2312" w:hAnsi="仿宋_GB2312" w:eastAsia="仿宋_GB2312" w:cs="仿宋_GB2312"/>
          <w:snapToGrid w:val="0"/>
          <w:kern w:val="0"/>
          <w:sz w:val="28"/>
          <w:szCs w:val="28"/>
          <w:lang w:val="en-US" w:eastAsia="zh-CN"/>
        </w:rPr>
        <w:t>吉安市吉州区人民法院执行</w:t>
      </w:r>
      <w:r>
        <w:rPr>
          <w:rFonts w:hint="eastAsia" w:ascii="仿宋_GB2312" w:hAnsi="仿宋_GB2312" w:eastAsia="仿宋_GB2312" w:cs="仿宋_GB2312"/>
          <w:snapToGrid w:val="0"/>
          <w:kern w:val="0"/>
          <w:sz w:val="28"/>
          <w:szCs w:val="20"/>
          <w:lang w:eastAsia="zh-CN"/>
        </w:rPr>
        <w:t>申请人中国建设银行股份有限公司吉安市分行与被执行人陈敏金融借款合同纠纷一案</w:t>
      </w:r>
      <w:r>
        <w:rPr>
          <w:rFonts w:hint="eastAsia" w:ascii="仿宋_GB2312" w:hAnsi="仿宋_GB2312" w:eastAsia="仿宋_GB2312" w:cs="仿宋_GB2312"/>
          <w:snapToGrid w:val="0"/>
          <w:kern w:val="0"/>
          <w:sz w:val="28"/>
          <w:szCs w:val="28"/>
          <w:lang w:val="en-US" w:eastAsia="zh-CN"/>
        </w:rPr>
        <w:t>确</w:t>
      </w:r>
      <w:r>
        <w:rPr>
          <w:rFonts w:hint="eastAsia" w:ascii="仿宋_GB2312" w:hAnsi="仿宋_GB2312" w:eastAsia="仿宋_GB2312" w:cs="仿宋_GB2312"/>
          <w:snapToGrid w:val="0"/>
          <w:kern w:val="0"/>
          <w:sz w:val="28"/>
          <w:szCs w:val="28"/>
          <w:lang w:eastAsia="zh-CN"/>
        </w:rPr>
        <w:t>定</w:t>
      </w:r>
      <w:r>
        <w:rPr>
          <w:rFonts w:hint="eastAsia" w:ascii="仿宋_GB2312" w:hAnsi="仿宋_GB2312" w:eastAsia="仿宋_GB2312" w:cs="仿宋_GB2312"/>
          <w:snapToGrid w:val="0"/>
          <w:color w:val="auto"/>
          <w:kern w:val="0"/>
          <w:sz w:val="28"/>
          <w:szCs w:val="20"/>
          <w:lang w:eastAsia="zh-CN"/>
        </w:rPr>
        <w:t>涉案财产价值提供参考依据</w:t>
      </w:r>
      <w:r>
        <w:rPr>
          <w:rFonts w:hint="eastAsia" w:ascii="仿宋_GB2312" w:hAnsi="仿宋_GB2312" w:eastAsia="仿宋_GB2312" w:cs="仿宋_GB2312"/>
          <w:snapToGrid w:val="0"/>
          <w:kern w:val="0"/>
          <w:sz w:val="28"/>
          <w:szCs w:val="28"/>
        </w:rPr>
        <w:t>使用，不作他用。</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hint="eastAsia" w:ascii="仿宋_GB2312" w:hAnsi="仿宋_GB2312" w:eastAsia="仿宋_GB2312" w:cs="仿宋_GB2312"/>
          <w:snapToGrid w:val="0"/>
          <w:kern w:val="0"/>
          <w:sz w:val="28"/>
          <w:szCs w:val="28"/>
        </w:rPr>
      </w:pPr>
      <w:r>
        <w:rPr>
          <w:rFonts w:hint="eastAsia" w:ascii="仿宋_GB2312" w:hAnsi="仿宋_GB2312" w:eastAsia="仿宋_GB2312" w:cs="仿宋_GB2312"/>
          <w:snapToGrid w:val="0"/>
          <w:kern w:val="0"/>
          <w:sz w:val="28"/>
          <w:szCs w:val="28"/>
          <w:lang w:val="en-US" w:eastAsia="zh-CN"/>
        </w:rPr>
        <w:t>2、</w:t>
      </w:r>
      <w:r>
        <w:rPr>
          <w:rFonts w:hint="eastAsia" w:ascii="仿宋_GB2312" w:hAnsi="仿宋_GB2312" w:eastAsia="仿宋_GB2312" w:cs="仿宋_GB2312"/>
          <w:snapToGrid w:val="0"/>
          <w:kern w:val="0"/>
          <w:sz w:val="28"/>
          <w:szCs w:val="28"/>
        </w:rPr>
        <w:t>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360" w:lineRule="auto"/>
        <w:ind w:firstLine="560" w:firstLineChars="200"/>
        <w:textAlignment w:val="auto"/>
        <w:rPr>
          <w:rFonts w:hint="eastAsia" w:ascii="仿宋_GB2312" w:hAnsi="仿宋_GB2312" w:eastAsia="仿宋_GB2312" w:cs="仿宋_GB2312"/>
          <w:snapToGrid w:val="0"/>
          <w:kern w:val="0"/>
          <w:sz w:val="28"/>
          <w:szCs w:val="28"/>
          <w:lang w:val="en-US" w:eastAsia="zh-CN"/>
        </w:rPr>
      </w:pPr>
      <w:r>
        <w:rPr>
          <w:rFonts w:hint="eastAsia" w:ascii="仿宋_GB2312" w:hAnsi="仿宋_GB2312" w:eastAsia="仿宋_GB2312" w:cs="仿宋_GB2312"/>
          <w:snapToGrid w:val="0"/>
          <w:kern w:val="0"/>
          <w:sz w:val="28"/>
          <w:szCs w:val="28"/>
          <w:lang w:val="en-US" w:eastAsia="zh-CN"/>
        </w:rPr>
        <w:t>3、估价结果未扣除处置时应缴纳的评估费、拍卖费、诉讼费、律师费等财产处置费用。</w:t>
      </w:r>
    </w:p>
    <w:p>
      <w:pPr>
        <w:keepNext w:val="0"/>
        <w:keepLines w:val="0"/>
        <w:pageBreakBefore w:val="0"/>
        <w:widowControl w:val="0"/>
        <w:kinsoku/>
        <w:wordWrap/>
        <w:overflowPunct/>
        <w:topLinePunct w:val="0"/>
        <w:autoSpaceDE/>
        <w:autoSpaceDN/>
        <w:bidi w:val="0"/>
        <w:adjustRightInd/>
        <w:snapToGrid/>
        <w:spacing w:before="0" w:after="0" w:line="480" w:lineRule="auto"/>
        <w:ind w:firstLine="560" w:firstLineChars="200"/>
        <w:jc w:val="both"/>
        <w:textAlignment w:val="auto"/>
        <w:rPr>
          <w:rFonts w:hint="eastAsia" w:eastAsia="仿宋_GB2312"/>
          <w:snapToGrid w:val="0"/>
          <w:kern w:val="0"/>
          <w:sz w:val="28"/>
          <w:szCs w:val="28"/>
          <w:lang w:eastAsia="zh-CN"/>
        </w:rPr>
      </w:pPr>
    </w:p>
    <w:p>
      <w:pPr>
        <w:keepNext w:val="0"/>
        <w:keepLines w:val="0"/>
        <w:pageBreakBefore w:val="0"/>
        <w:widowControl w:val="0"/>
        <w:kinsoku/>
        <w:wordWrap/>
        <w:overflowPunct/>
        <w:topLinePunct w:val="0"/>
        <w:autoSpaceDE/>
        <w:autoSpaceDN/>
        <w:bidi w:val="0"/>
        <w:spacing w:before="0" w:after="0" w:line="480" w:lineRule="auto"/>
        <w:jc w:val="right"/>
        <w:textAlignment w:val="auto"/>
        <w:rPr>
          <w:rFonts w:eastAsia="仿宋_GB2312"/>
          <w:color w:val="000000"/>
          <w:spacing w:val="14"/>
          <w:sz w:val="28"/>
          <w:szCs w:val="28"/>
        </w:rPr>
      </w:pPr>
      <w:r>
        <w:rPr>
          <w:rFonts w:hint="eastAsia" w:eastAsia="仿宋_GB2312"/>
          <w:color w:val="000000"/>
          <w:spacing w:val="14"/>
          <w:sz w:val="28"/>
          <w:szCs w:val="28"/>
        </w:rPr>
        <w:t>江西天禄房地产土地资产评估有限公司</w:t>
      </w:r>
    </w:p>
    <w:p>
      <w:pPr>
        <w:keepNext w:val="0"/>
        <w:keepLines w:val="0"/>
        <w:pageBreakBefore w:val="0"/>
        <w:widowControl w:val="0"/>
        <w:kinsoku/>
        <w:wordWrap/>
        <w:overflowPunct/>
        <w:topLinePunct w:val="0"/>
        <w:autoSpaceDE/>
        <w:autoSpaceDN/>
        <w:bidi w:val="0"/>
        <w:spacing w:before="0" w:after="0" w:line="480" w:lineRule="auto"/>
        <w:jc w:val="center"/>
        <w:textAlignment w:val="auto"/>
        <w:rPr>
          <w:rFonts w:eastAsia="仿宋_GB2312"/>
          <w:color w:val="000000"/>
          <w:spacing w:val="14"/>
          <w:sz w:val="28"/>
          <w:szCs w:val="28"/>
        </w:rPr>
      </w:pPr>
      <w:r>
        <w:rPr>
          <w:rFonts w:hint="eastAsia" w:eastAsia="仿宋_GB2312"/>
          <w:color w:val="000000"/>
          <w:spacing w:val="14"/>
          <w:sz w:val="28"/>
          <w:szCs w:val="28"/>
          <w:lang w:val="en-US" w:eastAsia="zh-CN"/>
        </w:rPr>
        <w:t xml:space="preserve">         </w:t>
      </w:r>
      <w:r>
        <w:rPr>
          <w:rFonts w:eastAsia="仿宋_GB2312"/>
          <w:color w:val="000000"/>
          <w:spacing w:val="14"/>
          <w:sz w:val="28"/>
          <w:szCs w:val="28"/>
        </w:rPr>
        <w:t>法人代表：</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480" w:lineRule="auto"/>
        <w:ind w:firstLine="616" w:firstLineChars="200"/>
        <w:jc w:val="right"/>
        <w:textAlignment w:val="auto"/>
        <w:rPr>
          <w:rFonts w:hint="eastAsia" w:eastAsia="仿宋_GB2312"/>
          <w:snapToGrid w:val="0"/>
          <w:kern w:val="0"/>
          <w:sz w:val="28"/>
          <w:szCs w:val="20"/>
          <w:lang w:eastAsia="zh-CN"/>
        </w:rPr>
        <w:sectPr>
          <w:footerReference r:id="rId7" w:type="first"/>
          <w:headerReference r:id="rId5" w:type="default"/>
          <w:footerReference r:id="rId6" w:type="even"/>
          <w:pgSz w:w="11906" w:h="16838"/>
          <w:pgMar w:top="1984" w:right="1440" w:bottom="1440" w:left="1440" w:header="47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仿宋_GB2312" w:hAnsi="宋体" w:eastAsia="仿宋_GB2312"/>
          <w:color w:val="000000"/>
          <w:spacing w:val="14"/>
          <w:sz w:val="28"/>
          <w:szCs w:val="28"/>
          <w:lang w:eastAsia="zh-CN"/>
        </w:rPr>
        <w:t>二〇二二年六月二日</w:t>
      </w:r>
    </w:p>
    <w:p>
      <w:pPr>
        <w:spacing w:before="0" w:after="0" w:line="360" w:lineRule="auto"/>
        <w:jc w:val="center"/>
        <w:rPr>
          <w:b/>
          <w:color w:val="000000"/>
          <w:sz w:val="36"/>
          <w:szCs w:val="36"/>
          <w:lang w:val="zh-CN"/>
        </w:rPr>
      </w:pPr>
      <w:r>
        <w:rPr>
          <w:rFonts w:eastAsia="楷体_GB2312"/>
          <w:b/>
          <w:color w:val="000000"/>
          <w:sz w:val="36"/>
          <w:szCs w:val="36"/>
          <w:lang w:val="zh-CN"/>
        </w:rPr>
        <w:t>目 录</w:t>
      </w:r>
    </w:p>
    <w:p>
      <w:pPr>
        <w:pStyle w:val="17"/>
        <w:tabs>
          <w:tab w:val="right" w:leader="dot" w:pos="9070"/>
        </w:tabs>
        <w:spacing w:before="0" w:after="0" w:line="360" w:lineRule="auto"/>
        <w:rPr>
          <w:rFonts w:ascii="楷体_GB2312" w:hAnsi="楷体_GB2312" w:eastAsia="楷体_GB2312" w:cs="楷体_GB2312"/>
          <w:color w:val="000000"/>
          <w:sz w:val="24"/>
        </w:rPr>
      </w:pP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TOC \o "1-3" \h \z \u </w:instrText>
      </w:r>
      <w:r>
        <w:rPr>
          <w:rFonts w:hint="eastAsia" w:ascii="楷体_GB2312" w:hAnsi="楷体_GB2312" w:eastAsia="楷体_GB2312" w:cs="楷体_GB2312"/>
          <w:color w:val="000000"/>
          <w:sz w:val="24"/>
        </w:rPr>
        <w:fldChar w:fldCharType="separate"/>
      </w:r>
      <w:r>
        <w:fldChar w:fldCharType="begin"/>
      </w:r>
      <w:r>
        <w:instrText xml:space="preserve"> HYPERLINK \l "_Toc7004" </w:instrText>
      </w:r>
      <w:r>
        <w:fldChar w:fldCharType="separate"/>
      </w:r>
      <w:r>
        <w:rPr>
          <w:rFonts w:hint="eastAsia" w:ascii="楷体_GB2312" w:hAnsi="楷体_GB2312" w:eastAsia="楷体_GB2312" w:cs="楷体_GB2312"/>
          <w:color w:val="000000"/>
          <w:sz w:val="24"/>
        </w:rPr>
        <w:t>一、估价师声明</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_Toc7004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17"/>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"_Toc28931" </w:instrText>
      </w:r>
      <w:r>
        <w:fldChar w:fldCharType="separate"/>
      </w:r>
      <w:r>
        <w:rPr>
          <w:rFonts w:hint="eastAsia" w:ascii="楷体_GB2312" w:hAnsi="楷体_GB2312" w:eastAsia="楷体_GB2312" w:cs="楷体_GB2312"/>
          <w:color w:val="000000"/>
          <w:sz w:val="24"/>
        </w:rPr>
        <w:t>二、估价的假设和限制条件</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_Toc28931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3</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17"/>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"_Toc29835" </w:instrText>
      </w:r>
      <w:r>
        <w:fldChar w:fldCharType="separate"/>
      </w:r>
      <w:r>
        <w:rPr>
          <w:rFonts w:hint="eastAsia" w:ascii="楷体_GB2312" w:hAnsi="楷体_GB2312" w:eastAsia="楷体_GB2312" w:cs="楷体_GB2312"/>
          <w:color w:val="000000"/>
          <w:sz w:val="24"/>
        </w:rPr>
        <w:t>三、估价结果报告</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_Toc29835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6</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"_Toc16238" </w:instrText>
      </w:r>
      <w:r>
        <w:fldChar w:fldCharType="separate"/>
      </w:r>
      <w:r>
        <w:rPr>
          <w:rFonts w:hint="eastAsia" w:ascii="楷体_GB2312" w:hAnsi="楷体_GB2312" w:eastAsia="楷体_GB2312" w:cs="楷体_GB2312"/>
          <w:color w:val="000000"/>
          <w:sz w:val="24"/>
        </w:rPr>
        <w:t>（一）估价委托人</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_Toc16238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6</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"_Toc30080" </w:instrText>
      </w:r>
      <w:r>
        <w:fldChar w:fldCharType="separate"/>
      </w:r>
      <w:r>
        <w:rPr>
          <w:rFonts w:hint="eastAsia" w:ascii="楷体_GB2312" w:hAnsi="楷体_GB2312" w:eastAsia="楷体_GB2312" w:cs="楷体_GB2312"/>
          <w:color w:val="000000"/>
          <w:sz w:val="24"/>
        </w:rPr>
        <w:t>（二）房地产估价机构</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_Toc30080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6</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"_Toc2439" </w:instrText>
      </w:r>
      <w:r>
        <w:fldChar w:fldCharType="separate"/>
      </w:r>
      <w:r>
        <w:rPr>
          <w:rFonts w:hint="eastAsia" w:ascii="楷体_GB2312" w:hAnsi="楷体_GB2312" w:eastAsia="楷体_GB2312" w:cs="楷体_GB2312"/>
          <w:color w:val="000000"/>
          <w:sz w:val="24"/>
        </w:rPr>
        <w:t>（三）估价目的</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_Toc2439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6</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"_Toc31596" </w:instrText>
      </w:r>
      <w:r>
        <w:fldChar w:fldCharType="separate"/>
      </w:r>
      <w:r>
        <w:rPr>
          <w:rFonts w:hint="eastAsia" w:ascii="楷体_GB2312" w:hAnsi="楷体_GB2312" w:eastAsia="楷体_GB2312" w:cs="楷体_GB2312"/>
          <w:color w:val="000000"/>
          <w:sz w:val="24"/>
        </w:rPr>
        <w:t>（四）估价对象</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_Toc31596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6</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"_Toc27070" </w:instrText>
      </w:r>
      <w:r>
        <w:fldChar w:fldCharType="separate"/>
      </w:r>
      <w:r>
        <w:rPr>
          <w:rFonts w:hint="eastAsia" w:ascii="楷体_GB2312" w:hAnsi="楷体_GB2312" w:eastAsia="楷体_GB2312" w:cs="楷体_GB2312"/>
          <w:color w:val="000000"/>
          <w:sz w:val="24"/>
        </w:rPr>
        <w:t>（五）价值时点</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_Toc27070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8</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"_Toc10488" </w:instrText>
      </w:r>
      <w:r>
        <w:fldChar w:fldCharType="separate"/>
      </w:r>
      <w:r>
        <w:rPr>
          <w:rFonts w:hint="eastAsia" w:ascii="楷体_GB2312" w:hAnsi="楷体_GB2312" w:eastAsia="楷体_GB2312" w:cs="楷体_GB2312"/>
          <w:color w:val="000000"/>
          <w:sz w:val="24"/>
        </w:rPr>
        <w:t>（六）价值类型</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_Toc10488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8</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"_Toc2600" </w:instrText>
      </w:r>
      <w:r>
        <w:fldChar w:fldCharType="separate"/>
      </w:r>
      <w:r>
        <w:rPr>
          <w:rFonts w:hint="eastAsia" w:ascii="楷体_GB2312" w:hAnsi="楷体_GB2312" w:eastAsia="楷体_GB2312" w:cs="楷体_GB2312"/>
          <w:color w:val="000000"/>
          <w:sz w:val="24"/>
        </w:rPr>
        <w:t>（七）估价原则</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_Toc2600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8</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"_Toc4525" </w:instrText>
      </w:r>
      <w:r>
        <w:fldChar w:fldCharType="separate"/>
      </w:r>
      <w:r>
        <w:rPr>
          <w:rFonts w:hint="eastAsia" w:ascii="楷体_GB2312" w:hAnsi="楷体_GB2312" w:eastAsia="楷体_GB2312" w:cs="楷体_GB2312"/>
          <w:color w:val="000000"/>
          <w:sz w:val="24"/>
        </w:rPr>
        <w:t>（八）估价依据</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_Toc4525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10</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"_Toc8912" </w:instrText>
      </w:r>
      <w:r>
        <w:fldChar w:fldCharType="separate"/>
      </w:r>
      <w:r>
        <w:rPr>
          <w:rFonts w:hint="eastAsia" w:ascii="楷体_GB2312" w:hAnsi="楷体_GB2312" w:eastAsia="楷体_GB2312" w:cs="楷体_GB2312"/>
          <w:color w:val="000000"/>
          <w:sz w:val="24"/>
        </w:rPr>
        <w:t>（九）估价方法</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_Toc8912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11</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"_Toc15752" </w:instrText>
      </w:r>
      <w:r>
        <w:fldChar w:fldCharType="separate"/>
      </w:r>
      <w:r>
        <w:rPr>
          <w:rFonts w:hint="eastAsia" w:ascii="楷体_GB2312" w:hAnsi="楷体_GB2312" w:eastAsia="楷体_GB2312" w:cs="楷体_GB2312"/>
          <w:color w:val="000000"/>
          <w:sz w:val="24"/>
        </w:rPr>
        <w:t>（十）估价结果</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_Toc15752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12</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hint="eastAsia" w:ascii="楷体_GB2312" w:hAnsi="楷体_GB2312" w:eastAsia="楷体_GB2312" w:cs="楷体_GB2312"/>
          <w:color w:val="000000"/>
          <w:sz w:val="24"/>
          <w:lang w:val="en-US" w:eastAsia="zh-CN"/>
        </w:rPr>
      </w:pPr>
      <w:r>
        <w:fldChar w:fldCharType="begin"/>
      </w:r>
      <w:r>
        <w:instrText xml:space="preserve"> HYPERLINK \l "_Toc29547" </w:instrText>
      </w:r>
      <w:r>
        <w:fldChar w:fldCharType="separate"/>
      </w:r>
      <w:r>
        <w:rPr>
          <w:rFonts w:hint="eastAsia" w:ascii="楷体_GB2312" w:hAnsi="楷体_GB2312" w:eastAsia="楷体_GB2312" w:cs="楷体_GB2312"/>
          <w:color w:val="000000"/>
          <w:sz w:val="24"/>
        </w:rPr>
        <w:t>（十一）注册房地产估价师</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lang w:val="en-US" w:eastAsia="zh-CN"/>
        </w:rPr>
        <w:t>1</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lang w:val="en-US" w:eastAsia="zh-CN"/>
        </w:rPr>
        <w:t>2</w:t>
      </w:r>
    </w:p>
    <w:p>
      <w:pPr>
        <w:pStyle w:val="20"/>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"_Toc11854" </w:instrText>
      </w:r>
      <w:r>
        <w:fldChar w:fldCharType="separate"/>
      </w:r>
      <w:r>
        <w:rPr>
          <w:rFonts w:hint="eastAsia" w:ascii="楷体_GB2312" w:hAnsi="楷体_GB2312" w:eastAsia="楷体_GB2312" w:cs="楷体_GB2312"/>
          <w:color w:val="000000"/>
          <w:sz w:val="24"/>
        </w:rPr>
        <w:t>（十二）实地查勘期</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_Toc11854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13</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20"/>
        <w:tabs>
          <w:tab w:val="right" w:leader="dot" w:pos="9070"/>
        </w:tabs>
        <w:spacing w:before="0" w:after="0" w:line="360" w:lineRule="auto"/>
        <w:rPr>
          <w:rFonts w:ascii="楷体_GB2312" w:hAnsi="楷体_GB2312" w:eastAsia="楷体_GB2312" w:cs="楷体_GB2312"/>
          <w:sz w:val="24"/>
        </w:rPr>
      </w:pPr>
      <w:r>
        <w:fldChar w:fldCharType="begin"/>
      </w:r>
      <w:r>
        <w:instrText xml:space="preserve"> HYPERLINK \l "_Toc23535" </w:instrText>
      </w:r>
      <w:r>
        <w:fldChar w:fldCharType="separate"/>
      </w:r>
      <w:r>
        <w:rPr>
          <w:rFonts w:hint="eastAsia" w:ascii="楷体_GB2312" w:hAnsi="楷体_GB2312" w:eastAsia="楷体_GB2312" w:cs="楷体_GB2312"/>
          <w:color w:val="000000"/>
          <w:sz w:val="24"/>
        </w:rPr>
        <w:t>（十三）估价作业日期</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_Toc23535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13</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pStyle w:val="17"/>
        <w:tabs>
          <w:tab w:val="right" w:leader="dot" w:pos="9070"/>
        </w:tabs>
        <w:spacing w:before="0" w:after="0" w:line="360" w:lineRule="auto"/>
        <w:rPr>
          <w:rFonts w:ascii="楷体_GB2312" w:hAnsi="楷体_GB2312" w:eastAsia="楷体_GB2312" w:cs="楷体_GB2312"/>
          <w:color w:val="000000"/>
          <w:sz w:val="24"/>
        </w:rPr>
      </w:pPr>
      <w:r>
        <w:fldChar w:fldCharType="begin"/>
      </w:r>
      <w:r>
        <w:instrText xml:space="preserve"> HYPERLINK \l "_Toc3648" </w:instrText>
      </w:r>
      <w:r>
        <w:fldChar w:fldCharType="separate"/>
      </w:r>
      <w:r>
        <w:rPr>
          <w:rFonts w:hint="eastAsia" w:ascii="楷体_GB2312" w:hAnsi="楷体_GB2312" w:eastAsia="楷体_GB2312" w:cs="楷体_GB2312"/>
          <w:color w:val="000000"/>
          <w:sz w:val="24"/>
        </w:rPr>
        <w:t>四、附 件</w:t>
      </w:r>
      <w:r>
        <w:rPr>
          <w:rFonts w:hint="eastAsia" w:ascii="楷体_GB2312" w:hAnsi="楷体_GB2312" w:eastAsia="楷体_GB2312" w:cs="楷体_GB2312"/>
          <w:color w:val="000000"/>
          <w:sz w:val="24"/>
        </w:rPr>
        <w:tab/>
      </w:r>
      <w:r>
        <w:rPr>
          <w:rFonts w:hint="eastAsia" w:ascii="楷体_GB2312" w:hAnsi="楷体_GB2312" w:eastAsia="楷体_GB2312" w:cs="楷体_GB2312"/>
          <w:color w:val="000000"/>
          <w:sz w:val="24"/>
        </w:rPr>
        <w:fldChar w:fldCharType="begin"/>
      </w:r>
      <w:r>
        <w:rPr>
          <w:rFonts w:hint="eastAsia" w:ascii="楷体_GB2312" w:hAnsi="楷体_GB2312" w:eastAsia="楷体_GB2312" w:cs="楷体_GB2312"/>
          <w:color w:val="000000"/>
          <w:sz w:val="24"/>
        </w:rPr>
        <w:instrText xml:space="preserve"> PAGEREF _Toc3648 </w:instrText>
      </w:r>
      <w:r>
        <w:rPr>
          <w:rFonts w:hint="eastAsia" w:ascii="楷体_GB2312" w:hAnsi="楷体_GB2312" w:eastAsia="楷体_GB2312" w:cs="楷体_GB2312"/>
          <w:color w:val="000000"/>
          <w:sz w:val="24"/>
        </w:rPr>
        <w:fldChar w:fldCharType="separate"/>
      </w:r>
      <w:r>
        <w:rPr>
          <w:rFonts w:hint="eastAsia" w:ascii="楷体_GB2312" w:hAnsi="楷体_GB2312" w:eastAsia="楷体_GB2312" w:cs="楷体_GB2312"/>
          <w:color w:val="000000"/>
          <w:sz w:val="24"/>
        </w:rPr>
        <w:t>14</w:t>
      </w: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color w:val="000000"/>
          <w:sz w:val="24"/>
        </w:rPr>
        <w:fldChar w:fldCharType="end"/>
      </w:r>
    </w:p>
    <w:p>
      <w:pPr>
        <w:spacing w:before="0" w:after="0" w:line="360" w:lineRule="auto"/>
        <w:ind w:firstLine="480" w:firstLineChars="200"/>
        <w:rPr>
          <w:rFonts w:ascii="楷体_GB2312" w:hAnsi="楷体_GB2312" w:eastAsia="楷体_GB2312" w:cs="楷体_GB2312"/>
          <w:sz w:val="24"/>
        </w:rPr>
      </w:pPr>
      <w:r>
        <w:rPr>
          <w:rFonts w:hint="eastAsia" w:ascii="楷体_GB2312" w:hAnsi="楷体_GB2312" w:eastAsia="楷体_GB2312" w:cs="楷体_GB2312"/>
          <w:color w:val="000000"/>
          <w:sz w:val="24"/>
        </w:rPr>
        <w:fldChar w:fldCharType="end"/>
      </w:r>
      <w:r>
        <w:rPr>
          <w:rFonts w:hint="eastAsia" w:ascii="楷体_GB2312" w:hAnsi="楷体_GB2312" w:eastAsia="楷体_GB2312" w:cs="楷体_GB2312"/>
          <w:sz w:val="24"/>
        </w:rPr>
        <w:t>1、估价委托书复印件</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2、估价对象位置图</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3、估价对象现场查勘照片</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4、估价对象产权资料复印件</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5、房地产估价机构企业营业执照复印件</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6、房地产估价机构资质证书复印件</w:t>
      </w:r>
    </w:p>
    <w:p>
      <w:pPr>
        <w:spacing w:before="0" w:after="0" w:line="288" w:lineRule="auto"/>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7、注册房地产估价师执业证书复印件</w:t>
      </w:r>
    </w:p>
    <w:p>
      <w:pPr>
        <w:rPr>
          <w:rFonts w:ascii="楷体_GB2312" w:hAnsi="楷体_GB2312" w:eastAsia="楷体_GB2312" w:cs="楷体_GB2312"/>
        </w:rPr>
        <w:sectPr>
          <w:pgSz w:w="11906" w:h="16838"/>
          <w:pgMar w:top="1984" w:right="1440" w:bottom="1440" w:left="1440" w:header="47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24"/>
        <w:spacing w:before="0" w:after="0" w:line="360" w:lineRule="auto"/>
        <w:rPr>
          <w:rFonts w:ascii="Times New Roman" w:hAnsi="Times New Roman"/>
        </w:rPr>
      </w:pPr>
      <w:bookmarkStart w:id="0" w:name="_Toc7004"/>
      <w:r>
        <w:rPr>
          <w:rFonts w:ascii="Times New Roman" w:hAnsi="Times New Roman" w:eastAsia="仿宋_GB2312"/>
          <w:color w:val="000000"/>
        </w:rPr>
        <w:t>一、估价师声明</w:t>
      </w:r>
      <w:bookmarkEnd w:id="0"/>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我们根据自己的专业知识和职业道德，在此郑重声明：</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1、我们在本估价报告中陈述的事实是真实的和准确的、没有虚假记载、误导性陈述和重大遗漏。</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2、本估价报告中的分析、意见和结论是我们独立、客观、公正的专业分析、意见和结论，但受到本报告中已经说明的估价假设和限制条件的限制。</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3、我们与本估价报告中的估价对象没有（或有已载明的）现实或潜在的利害关系，也与估价委托方及估价利害人没有（或有已载明的）利害关系，也对估价对象、估价委托方及估价利害关系人没有偏见。</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4、我们依照中华人民共和国国家标准《房地产估价规范》【GB/T 50291-2015】和《房地产估价基本术语标准》【GB/T 50899-2013】的规定进行估价工作，形成意见和结论，撰写评估报告。</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color w:val="auto"/>
          <w:kern w:val="0"/>
          <w:sz w:val="28"/>
          <w:szCs w:val="20"/>
        </w:rPr>
        <w:t>5、</w:t>
      </w:r>
      <w:r>
        <w:rPr>
          <w:rFonts w:hint="eastAsia" w:ascii="仿宋_GB2312" w:hAnsi="仿宋_GB2312" w:eastAsia="仿宋_GB2312" w:cs="仿宋_GB2312"/>
          <w:snapToGrid w:val="0"/>
          <w:color w:val="auto"/>
          <w:kern w:val="0"/>
          <w:sz w:val="28"/>
          <w:szCs w:val="20"/>
          <w:lang w:eastAsia="zh-CN"/>
        </w:rPr>
        <w:t>我公司估价人员</w:t>
      </w:r>
      <w:r>
        <w:rPr>
          <w:rFonts w:hint="eastAsia" w:ascii="仿宋_GB2312" w:hAnsi="仿宋_GB2312" w:eastAsia="仿宋_GB2312" w:cs="仿宋_GB2312"/>
          <w:snapToGrid w:val="0"/>
          <w:color w:val="auto"/>
          <w:kern w:val="0"/>
          <w:sz w:val="28"/>
          <w:szCs w:val="20"/>
        </w:rPr>
        <w:t>已于</w:t>
      </w:r>
      <w:r>
        <w:rPr>
          <w:rFonts w:hint="eastAsia" w:ascii="仿宋_GB2312" w:hAnsi="仿宋_GB2312" w:eastAsia="仿宋_GB2312" w:cs="仿宋_GB2312"/>
          <w:snapToGrid w:val="0"/>
          <w:color w:val="auto"/>
          <w:kern w:val="0"/>
          <w:sz w:val="28"/>
          <w:szCs w:val="20"/>
          <w:lang w:eastAsia="zh-CN"/>
        </w:rPr>
        <w:t>2022年6月1日</w:t>
      </w:r>
      <w:r>
        <w:rPr>
          <w:rFonts w:hint="eastAsia" w:ascii="仿宋_GB2312" w:hAnsi="仿宋_GB2312" w:eastAsia="仿宋_GB2312" w:cs="仿宋_GB2312"/>
          <w:snapToGrid w:val="0"/>
          <w:color w:val="auto"/>
          <w:kern w:val="0"/>
          <w:sz w:val="28"/>
          <w:szCs w:val="20"/>
        </w:rPr>
        <w:t>对本报告中的估价对象进行了实地查勘并进行记录，但仅限于估价对象的外观与目前维护管理状况，尤其因提供资料有限，我们不承担对估价对象建筑结构质量、建筑面积数量准确性和相应权益的责任，也不承担其他被掩盖、未暴露及难于接触到的部分进行检视的责任。</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6、随着时间、市场行情及相关条件的变化，该估价结果需做相应的调整。</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7、没有其他行业的专业人员对本估价报告提供重要专业帮助。</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8、本估价报告的依据《</w:t>
      </w:r>
      <w:r>
        <w:rPr>
          <w:rFonts w:hint="eastAsia" w:ascii="仿宋_GB2312" w:hAnsi="仿宋_GB2312" w:eastAsia="仿宋_GB2312" w:cs="仿宋_GB2312"/>
          <w:snapToGrid w:val="0"/>
          <w:kern w:val="0"/>
          <w:sz w:val="28"/>
          <w:szCs w:val="20"/>
          <w:lang w:eastAsia="zh-CN"/>
        </w:rPr>
        <w:t>吉安市吉州区人民法院司法技术委托书</w:t>
      </w: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eastAsia="zh-CN"/>
        </w:rPr>
        <w:t>（2022）吉州法技委字第36号</w:t>
      </w:r>
      <w:r>
        <w:rPr>
          <w:rFonts w:hint="eastAsia" w:ascii="仿宋_GB2312" w:hAnsi="仿宋_GB2312" w:eastAsia="仿宋_GB2312" w:cs="仿宋_GB2312"/>
          <w:snapToGrid w:val="0"/>
          <w:kern w:val="0"/>
          <w:sz w:val="28"/>
          <w:szCs w:val="20"/>
        </w:rPr>
        <w:t>】及相关产权资料是委托方提供的，由委托方对其真实性和准确性负责。</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9、本估价报告仅是在报告中说明的假设条件下对估价对象正常市场价格进行的合理估算，报告中对估价对象权属情况的披露不能作为对其权属确认的依据，估价对象权属界定以产权管理部门认定为准。</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10、本报告的评估结果为委托方了解待估房地产客观、公正、合理的市场价格提供参考依据，不得做其他用途，没有考虑将来可能出现并影响物业价值的其它因素。未经本房地产估价机构和注册房地产估价师同意，估价报告不得向委托方及报告审查部门以外的单位及个人提供，凡因委托方使用估价报告不当而引起的后果，房地产估价机构和注册房地产估价师不承担相应的责任。</w:t>
      </w:r>
    </w:p>
    <w:p>
      <w:pPr>
        <w:pStyle w:val="24"/>
        <w:spacing w:before="0" w:after="0" w:line="360" w:lineRule="auto"/>
        <w:rPr>
          <w:rFonts w:ascii="Times New Roman" w:hAnsi="Times New Roman" w:eastAsia="仿宋_GB2312"/>
          <w:color w:val="000000"/>
        </w:rPr>
      </w:pPr>
      <w:r>
        <w:rPr>
          <w:rFonts w:ascii="Times New Roman" w:hAnsi="Times New Roman" w:eastAsia="仿宋_GB2312"/>
          <w:color w:val="000000"/>
        </w:rPr>
        <w:br w:type="page"/>
      </w:r>
      <w:bookmarkStart w:id="1" w:name="_Toc28931"/>
      <w:r>
        <w:rPr>
          <w:rFonts w:ascii="Times New Roman" w:hAnsi="Times New Roman" w:eastAsia="仿宋_GB2312"/>
          <w:color w:val="000000"/>
        </w:rPr>
        <w:t>二、估价的假设和限制条件</w:t>
      </w:r>
      <w:bookmarkEnd w:id="1"/>
    </w:p>
    <w:p>
      <w:pPr>
        <w:tabs>
          <w:tab w:val="left" w:pos="267"/>
        </w:tabs>
        <w:adjustRightInd w:val="0"/>
        <w:snapToGrid w:val="0"/>
        <w:spacing w:before="312" w:beforeLines="100" w:after="0" w:line="360" w:lineRule="auto"/>
        <w:ind w:firstLine="562" w:firstLineChars="200"/>
        <w:jc w:val="left"/>
        <w:rPr>
          <w:rFonts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1.一般假设</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注册房地产估价师对估价委托人提供的估价对象权属、面积、用途等资料进行了检查，但未予以核实，在无理由怀疑其合法性、真实性、准确性和完整性的情况下，假定估价委托人提供的资料合法、真实、准确、完整，且估价对象可在公开市场上自由转让。若估价委托人提供的资料失实或有任何隐匿，本公司不承担任何责任。</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（2）注册房地产估价师已对房屋安全、环境污染等影响估价对象价值的重大因素给予了关注，在无理由怀疑估价对象存在安全隐患且无相应的专业机构进行鉴定、检测的情况下，假定估价对象能正常安全使用。</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3</w:t>
      </w: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8"/>
          <w:lang w:val="en-US" w:eastAsia="zh-CN"/>
        </w:rPr>
        <w:t>经估价师现场查勘，估价对象目前</w:t>
      </w:r>
      <w:r>
        <w:rPr>
          <w:rFonts w:hint="eastAsia" w:ascii="仿宋_GB2312" w:hAnsi="仿宋_GB2312" w:eastAsia="仿宋_GB2312" w:cs="仿宋_GB2312"/>
          <w:snapToGrid w:val="0"/>
          <w:kern w:val="0"/>
          <w:sz w:val="28"/>
          <w:szCs w:val="20"/>
          <w:lang w:val="en-US" w:eastAsia="zh-CN"/>
        </w:rPr>
        <w:t>被查封</w:t>
      </w:r>
      <w:r>
        <w:rPr>
          <w:rFonts w:hint="eastAsia" w:ascii="仿宋_GB2312" w:hAnsi="仿宋_GB2312" w:eastAsia="仿宋_GB2312" w:cs="仿宋_GB2312"/>
          <w:snapToGrid w:val="0"/>
          <w:kern w:val="0"/>
          <w:sz w:val="28"/>
          <w:szCs w:val="28"/>
          <w:lang w:val="en-US" w:eastAsia="zh-CN"/>
        </w:rPr>
        <w:t>，根据本次评估目的，</w:t>
      </w:r>
      <w:r>
        <w:rPr>
          <w:rFonts w:hint="eastAsia" w:ascii="仿宋_GB2312" w:hAnsi="仿宋_GB2312" w:eastAsia="仿宋_GB2312" w:cs="仿宋_GB2312"/>
          <w:snapToGrid w:val="0"/>
          <w:kern w:val="0"/>
          <w:sz w:val="28"/>
          <w:szCs w:val="20"/>
          <w:lang w:val="en-US" w:eastAsia="zh-CN"/>
        </w:rPr>
        <w:t>本次评估未考虑</w:t>
      </w:r>
      <w:r>
        <w:rPr>
          <w:rFonts w:hint="eastAsia" w:ascii="仿宋_GB2312" w:hAnsi="仿宋_GB2312" w:eastAsia="仿宋_GB2312" w:cs="仿宋_GB2312"/>
          <w:snapToGrid w:val="0"/>
          <w:kern w:val="0"/>
          <w:sz w:val="28"/>
          <w:szCs w:val="20"/>
        </w:rPr>
        <w:t>租赁权、用益物权及占有使用情况</w:t>
      </w:r>
      <w:r>
        <w:rPr>
          <w:rFonts w:hint="eastAsia" w:ascii="仿宋_GB2312" w:hAnsi="仿宋_GB2312" w:eastAsia="仿宋_GB2312" w:cs="仿宋_GB2312"/>
          <w:snapToGrid w:val="0"/>
          <w:kern w:val="0"/>
          <w:sz w:val="28"/>
          <w:szCs w:val="20"/>
          <w:lang w:eastAsia="zh-CN"/>
        </w:rPr>
        <w:t>。</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4</w:t>
      </w: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人民法院未明确估价对象是否存在欠缴税金及相关费用的，本次评估</w:t>
      </w:r>
      <w:r>
        <w:rPr>
          <w:rFonts w:hint="eastAsia" w:ascii="仿宋_GB2312" w:hAnsi="仿宋_GB2312" w:eastAsia="仿宋_GB2312" w:cs="仿宋_GB2312"/>
          <w:snapToGrid w:val="0"/>
          <w:kern w:val="0"/>
          <w:sz w:val="28"/>
          <w:szCs w:val="20"/>
        </w:rPr>
        <w:t>不</w:t>
      </w:r>
      <w:r>
        <w:rPr>
          <w:rFonts w:hint="eastAsia" w:ascii="仿宋_GB2312" w:hAnsi="仿宋_GB2312" w:eastAsia="仿宋_GB2312" w:cs="仿宋_GB2312"/>
          <w:snapToGrid w:val="0"/>
          <w:kern w:val="0"/>
          <w:sz w:val="28"/>
          <w:szCs w:val="20"/>
          <w:lang w:val="en-US" w:eastAsia="zh-CN"/>
        </w:rPr>
        <w:t>考虑欠缴税金及相关费用。</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5</w:t>
      </w:r>
      <w:r>
        <w:rPr>
          <w:rFonts w:hint="eastAsia" w:ascii="仿宋_GB2312" w:hAnsi="仿宋_GB2312" w:eastAsia="仿宋_GB2312" w:cs="仿宋_GB2312"/>
          <w:snapToGrid w:val="0"/>
          <w:kern w:val="0"/>
          <w:sz w:val="28"/>
          <w:szCs w:val="20"/>
        </w:rPr>
        <w:t>）人民法院未书面明确评估对象交易税费负担方式，</w:t>
      </w:r>
      <w:r>
        <w:rPr>
          <w:rFonts w:hint="eastAsia" w:ascii="仿宋_GB2312" w:hAnsi="仿宋_GB2312" w:eastAsia="仿宋_GB2312" w:cs="仿宋_GB2312"/>
          <w:snapToGrid w:val="0"/>
          <w:kern w:val="0"/>
          <w:sz w:val="28"/>
          <w:szCs w:val="20"/>
          <w:lang w:val="en-US" w:eastAsia="zh-CN"/>
        </w:rPr>
        <w:t>本次评估按照法律法规规定，假定转让人和买受人各自负担</w:t>
      </w:r>
      <w:r>
        <w:rPr>
          <w:rFonts w:hint="eastAsia" w:ascii="仿宋_GB2312" w:hAnsi="仿宋_GB2312" w:eastAsia="仿宋_GB2312" w:cs="仿宋_GB2312"/>
          <w:snapToGrid w:val="0"/>
          <w:kern w:val="0"/>
          <w:sz w:val="28"/>
          <w:szCs w:val="20"/>
        </w:rPr>
        <w:t>交易税费</w:t>
      </w:r>
      <w:r>
        <w:rPr>
          <w:rFonts w:hint="eastAsia" w:ascii="仿宋_GB2312" w:hAnsi="仿宋_GB2312" w:eastAsia="仿宋_GB2312" w:cs="仿宋_GB2312"/>
          <w:snapToGrid w:val="0"/>
          <w:kern w:val="0"/>
          <w:sz w:val="28"/>
          <w:szCs w:val="20"/>
          <w:lang w:eastAsia="zh-CN"/>
        </w:rPr>
        <w:t>。</w:t>
      </w:r>
    </w:p>
    <w:p>
      <w:pPr>
        <w:tabs>
          <w:tab w:val="left" w:pos="267"/>
        </w:tabs>
        <w:adjustRightInd w:val="0"/>
        <w:snapToGrid w:val="0"/>
        <w:spacing w:before="0" w:after="0" w:line="360" w:lineRule="auto"/>
        <w:ind w:firstLine="562" w:firstLineChars="200"/>
        <w:jc w:val="left"/>
        <w:rPr>
          <w:rFonts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2.未定事项假设</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本次估价对象由委托方代表现场指认，若与实际不符，应重新估价；估价人员现场查勘时，未对其做建筑物基础、房屋结构上的测量和实验，本次估价假设其无建筑物基础、结构等方面重大质量问题。</w:t>
      </w:r>
    </w:p>
    <w:p>
      <w:pPr>
        <w:tabs>
          <w:tab w:val="left" w:pos="267"/>
        </w:tabs>
        <w:adjustRightInd w:val="0"/>
        <w:snapToGrid w:val="0"/>
        <w:spacing w:before="0" w:after="0" w:line="360" w:lineRule="auto"/>
        <w:ind w:firstLine="562" w:firstLineChars="200"/>
        <w:jc w:val="left"/>
        <w:rPr>
          <w:rFonts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3.背离事实假设</w:t>
      </w:r>
    </w:p>
    <w:p>
      <w:pPr>
        <w:tabs>
          <w:tab w:val="left" w:pos="267"/>
        </w:tabs>
        <w:adjustRightInd w:val="0"/>
        <w:snapToGrid w:val="0"/>
        <w:spacing w:before="0" w:after="0" w:line="360" w:lineRule="auto"/>
        <w:ind w:firstLine="560" w:firstLineChars="200"/>
        <w:jc w:val="left"/>
        <w:rPr>
          <w:rFonts w:hint="eastAsia" w:ascii="仿宋_GB2312" w:hAnsi="宋体" w:eastAsia="仿宋_GB2312"/>
          <w:color w:val="000000"/>
          <w:sz w:val="28"/>
          <w:szCs w:val="28"/>
        </w:rPr>
      </w:pPr>
      <w:r>
        <w:rPr>
          <w:rFonts w:hint="eastAsia" w:ascii="仿宋_GB2312" w:hAnsi="仿宋_GB2312" w:eastAsia="仿宋_GB2312" w:cs="仿宋_GB2312"/>
          <w:snapToGrid w:val="0"/>
          <w:kern w:val="0"/>
          <w:sz w:val="28"/>
          <w:szCs w:val="20"/>
        </w:rPr>
        <w:t>（1）</w:t>
      </w:r>
      <w:r>
        <w:rPr>
          <w:rFonts w:hint="eastAsia" w:ascii="仿宋_GB2312" w:hAnsi="宋体" w:eastAsia="仿宋_GB2312"/>
          <w:color w:val="000000"/>
          <w:sz w:val="28"/>
          <w:szCs w:val="28"/>
        </w:rPr>
        <w:t>估价结果是</w:t>
      </w:r>
      <w:r>
        <w:rPr>
          <w:rFonts w:hint="eastAsia" w:ascii="仿宋_GB2312" w:hAnsi="宋体" w:eastAsia="仿宋_GB2312"/>
          <w:color w:val="000000"/>
          <w:sz w:val="28"/>
          <w:szCs w:val="28"/>
          <w:lang w:eastAsia="zh-CN"/>
        </w:rPr>
        <w:t>为人民法院确定涉案财产价值提供参考依据</w:t>
      </w:r>
      <w:r>
        <w:rPr>
          <w:rFonts w:hint="eastAsia" w:ascii="仿宋_GB2312" w:hAnsi="宋体" w:eastAsia="仿宋_GB2312"/>
          <w:color w:val="000000"/>
          <w:sz w:val="28"/>
          <w:szCs w:val="28"/>
        </w:rPr>
        <w:t>，估价时没有考虑国家宏观经济政策发生变化、市场供应发生变化、市场结构转变、遇有自然力和其他不可抗力等因素对房地产价值的影响，也没有考虑估价对象将来可能承担违约责任的事宜，以及特殊交易方式下的特殊交易价格等对拟评估价值的影响。当上述条件发生变化时，评估结果一般亦会发生变化。</w:t>
      </w:r>
    </w:p>
    <w:p>
      <w:pPr>
        <w:tabs>
          <w:tab w:val="left" w:pos="267"/>
        </w:tabs>
        <w:adjustRightInd w:val="0"/>
        <w:snapToGrid w:val="0"/>
        <w:spacing w:before="0" w:after="0" w:line="360" w:lineRule="auto"/>
        <w:ind w:firstLine="560" w:firstLineChars="200"/>
        <w:jc w:val="left"/>
        <w:rPr>
          <w:rFonts w:hint="eastAsia" w:ascii="仿宋_GB2312" w:hAnsi="宋体" w:eastAsia="仿宋_GB2312" w:cs="Times New Roman"/>
          <w:snapToGrid/>
          <w:color w:val="000000"/>
          <w:kern w:val="2"/>
          <w:sz w:val="28"/>
          <w:szCs w:val="28"/>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2</w:t>
      </w:r>
      <w:r>
        <w:rPr>
          <w:rFonts w:hint="eastAsia" w:ascii="仿宋_GB2312" w:hAnsi="仿宋_GB2312" w:eastAsia="仿宋_GB2312" w:cs="仿宋_GB2312"/>
          <w:snapToGrid w:val="0"/>
          <w:kern w:val="0"/>
          <w:sz w:val="28"/>
          <w:szCs w:val="20"/>
        </w:rPr>
        <w:t>）</w:t>
      </w:r>
      <w:r>
        <w:rPr>
          <w:rFonts w:hint="eastAsia" w:ascii="仿宋_GB2312" w:hAnsi="宋体" w:eastAsia="仿宋_GB2312"/>
          <w:color w:val="000000"/>
          <w:sz w:val="28"/>
          <w:szCs w:val="28"/>
          <w:lang w:eastAsia="zh-CN"/>
        </w:rPr>
        <w:t>涉案房地产司法评估</w:t>
      </w:r>
      <w:r>
        <w:rPr>
          <w:rFonts w:hint="eastAsia" w:ascii="仿宋_GB2312" w:hAnsi="宋体" w:eastAsia="仿宋_GB2312"/>
          <w:color w:val="000000"/>
          <w:sz w:val="28"/>
          <w:szCs w:val="28"/>
        </w:rPr>
        <w:t>不应考虑评估对象被查封以及原有的担保物权和其他优先受偿权情况，</w:t>
      </w:r>
      <w:r>
        <w:rPr>
          <w:rFonts w:hint="eastAsia" w:ascii="仿宋_GB2312" w:hAnsi="宋体" w:eastAsia="仿宋_GB2312"/>
          <w:color w:val="000000"/>
          <w:sz w:val="28"/>
          <w:szCs w:val="28"/>
          <w:lang w:val="en-US" w:eastAsia="zh-CN"/>
        </w:rPr>
        <w:t>本次评估假设估价对象</w:t>
      </w:r>
      <w:r>
        <w:rPr>
          <w:rFonts w:hint="eastAsia" w:ascii="仿宋_GB2312" w:hAnsi="宋体" w:eastAsia="仿宋_GB2312"/>
          <w:color w:val="000000"/>
          <w:sz w:val="28"/>
          <w:szCs w:val="28"/>
        </w:rPr>
        <w:t>为没有查封、未设立担保物权及其他优先受偿权的财产进行评估</w:t>
      </w:r>
      <w:r>
        <w:rPr>
          <w:rFonts w:hint="eastAsia" w:ascii="仿宋_GB2312" w:hAnsi="宋体" w:eastAsia="仿宋_GB2312" w:cs="Times New Roman"/>
          <w:snapToGrid/>
          <w:color w:val="000000"/>
          <w:kern w:val="2"/>
          <w:sz w:val="28"/>
          <w:szCs w:val="28"/>
        </w:rPr>
        <w:t>。</w:t>
      </w:r>
    </w:p>
    <w:p>
      <w:pPr>
        <w:tabs>
          <w:tab w:val="left" w:pos="267"/>
        </w:tabs>
        <w:adjustRightInd w:val="0"/>
        <w:snapToGrid w:val="0"/>
        <w:spacing w:before="0" w:after="0" w:line="360" w:lineRule="auto"/>
        <w:ind w:firstLine="562" w:firstLineChars="200"/>
        <w:jc w:val="left"/>
        <w:rPr>
          <w:rFonts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4.不相一致假设</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宋体" w:eastAsia="仿宋_GB2312"/>
          <w:kern w:val="0"/>
          <w:sz w:val="28"/>
          <w:szCs w:val="28"/>
        </w:rPr>
        <w:t>本次估价</w:t>
      </w:r>
      <w:r>
        <w:rPr>
          <w:rFonts w:hint="eastAsia" w:ascii="仿宋_GB2312" w:hAnsi="宋体" w:eastAsia="仿宋_GB2312"/>
          <w:kern w:val="0"/>
          <w:sz w:val="28"/>
          <w:szCs w:val="28"/>
          <w:lang w:val="en-US" w:eastAsia="zh-CN"/>
        </w:rPr>
        <w:t>无</w:t>
      </w:r>
      <w:r>
        <w:rPr>
          <w:rFonts w:hint="eastAsia" w:ascii="仿宋_GB2312" w:hAnsi="仿宋_GB2312" w:eastAsia="仿宋_GB2312" w:cs="仿宋_GB2312"/>
          <w:snapToGrid w:val="0"/>
          <w:kern w:val="0"/>
          <w:sz w:val="28"/>
          <w:szCs w:val="20"/>
        </w:rPr>
        <w:t>不相一致假设。</w:t>
      </w:r>
    </w:p>
    <w:p>
      <w:pPr>
        <w:tabs>
          <w:tab w:val="left" w:pos="267"/>
        </w:tabs>
        <w:adjustRightInd w:val="0"/>
        <w:snapToGrid w:val="0"/>
        <w:spacing w:before="0" w:after="0" w:line="360" w:lineRule="auto"/>
        <w:ind w:firstLine="562" w:firstLineChars="200"/>
        <w:jc w:val="left"/>
        <w:rPr>
          <w:rFonts w:hint="eastAsia"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5.依据不足假设</w:t>
      </w:r>
    </w:p>
    <w:p>
      <w:pPr>
        <w:tabs>
          <w:tab w:val="left" w:pos="267"/>
        </w:tabs>
        <w:adjustRightInd w:val="0"/>
        <w:snapToGrid w:val="0"/>
        <w:spacing w:before="0" w:after="0" w:line="360" w:lineRule="auto"/>
        <w:ind w:firstLine="560" w:firstLineChars="200"/>
        <w:jc w:val="left"/>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rPr>
        <w:t>本次估价无依据不足假设。</w:t>
      </w:r>
    </w:p>
    <w:p>
      <w:pPr>
        <w:tabs>
          <w:tab w:val="left" w:pos="267"/>
        </w:tabs>
        <w:adjustRightInd w:val="0"/>
        <w:snapToGrid w:val="0"/>
        <w:spacing w:before="0" w:after="0" w:line="360" w:lineRule="auto"/>
        <w:ind w:firstLine="562" w:firstLineChars="200"/>
        <w:jc w:val="left"/>
        <w:rPr>
          <w:rFonts w:ascii="仿宋_GB2312" w:hAnsi="仿宋_GB2312" w:eastAsia="仿宋_GB2312" w:cs="仿宋_GB2312"/>
          <w:b/>
          <w:bCs/>
          <w:snapToGrid w:val="0"/>
          <w:kern w:val="0"/>
          <w:sz w:val="28"/>
          <w:szCs w:val="20"/>
        </w:rPr>
      </w:pPr>
      <w:r>
        <w:rPr>
          <w:rFonts w:hint="eastAsia" w:ascii="仿宋_GB2312" w:hAnsi="仿宋_GB2312" w:eastAsia="仿宋_GB2312" w:cs="仿宋_GB2312"/>
          <w:b/>
          <w:bCs/>
          <w:snapToGrid w:val="0"/>
          <w:kern w:val="0"/>
          <w:sz w:val="28"/>
          <w:szCs w:val="20"/>
        </w:rPr>
        <w:t>6.估价报告使用限制</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rPr>
        <w:t>（1）本估价报告结果仅作为委托方在本次估价目的下使用，不作其他估价目的之用。如果估价条件或目的发生变化，估价报告需做相应调整</w:t>
      </w:r>
      <w:r>
        <w:rPr>
          <w:rFonts w:hint="eastAsia" w:ascii="仿宋_GB2312" w:hAnsi="仿宋_GB2312" w:eastAsia="仿宋_GB2312" w:cs="仿宋_GB2312"/>
          <w:snapToGrid w:val="0"/>
          <w:kern w:val="0"/>
          <w:sz w:val="28"/>
          <w:szCs w:val="20"/>
          <w:lang w:val="en-US" w:eastAsia="zh-CN"/>
        </w:rPr>
        <w:t>；</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rPr>
        <w:t>（2）未经本估价机构书面同意，本报告的全部或任何一部分均不得向估价委托人、报告使用者、报告审查部门之外的单位和个人提供，也不得以任何形式公开发表，报告解释权为本估价机构所有</w:t>
      </w:r>
      <w:r>
        <w:rPr>
          <w:rFonts w:hint="eastAsia" w:ascii="仿宋_GB2312" w:hAnsi="仿宋_GB2312" w:eastAsia="仿宋_GB2312" w:cs="仿宋_GB2312"/>
          <w:snapToGrid w:val="0"/>
          <w:kern w:val="0"/>
          <w:sz w:val="28"/>
          <w:szCs w:val="20"/>
          <w:lang w:val="en-US" w:eastAsia="zh-CN"/>
        </w:rPr>
        <w:t>；</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rPr>
        <w:t>（3）本报告必须完整使用方为有效，对仅使用本报告中部分内容而导致可能的损失，本估价机构不承担责任</w:t>
      </w:r>
      <w:r>
        <w:rPr>
          <w:rFonts w:hint="eastAsia" w:ascii="仿宋_GB2312" w:hAnsi="仿宋_GB2312" w:eastAsia="仿宋_GB2312" w:cs="仿宋_GB2312"/>
          <w:snapToGrid w:val="0"/>
          <w:kern w:val="0"/>
          <w:sz w:val="28"/>
          <w:szCs w:val="20"/>
          <w:lang w:val="en-US" w:eastAsia="zh-CN"/>
        </w:rPr>
        <w:t>；</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rPr>
        <w:t>（4）本次估价结果受价值时点的限制，且本估价报告使用期限自估价报告出具之日起为壹年。若报告使用期限内，房地产市场、建筑市场或估价对象自身状况发生重大变化，估价结果也需做相应调整或委托估价机构重新估价</w:t>
      </w:r>
      <w:r>
        <w:rPr>
          <w:rFonts w:hint="eastAsia" w:ascii="仿宋_GB2312" w:hAnsi="仿宋_GB2312" w:eastAsia="仿宋_GB2312" w:cs="仿宋_GB2312"/>
          <w:snapToGrid w:val="0"/>
          <w:kern w:val="0"/>
          <w:sz w:val="28"/>
          <w:szCs w:val="20"/>
          <w:lang w:val="en-US" w:eastAsia="zh-CN"/>
        </w:rPr>
        <w:t>；</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（5）应当按照法律规定和评估报告载明的用途、使用人、使用期限等使用范围使用评估报告。否则，房地产估价机构和注册房地产估价师依法不承担责任；</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（6）评估结果仅为人民法院确定涉案财产参考价服务，不是评估对象处置可实现的成交价格，也不应当被视为对评估对象处置成交价格的保证；</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7）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（8）在评估报告使用期限或者评估结果有效期内，评估报告或者评估结果未使用之前，如果评估对象状况或者房地产市场状况发生明显变化的，评估结果应当进行相应调整后才可使用；</w:t>
      </w:r>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lang w:val="en-US" w:eastAsia="zh-CN"/>
        </w:rPr>
        <w:t>（9）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pPr>
        <w:pStyle w:val="24"/>
        <w:spacing w:before="0" w:after="0" w:line="360" w:lineRule="auto"/>
        <w:rPr>
          <w:rFonts w:ascii="Times New Roman" w:hAnsi="Times New Roman" w:eastAsia="仿宋_GB2312"/>
          <w:color w:val="000000"/>
        </w:rPr>
      </w:pPr>
      <w:r>
        <w:rPr>
          <w:rFonts w:ascii="Times New Roman" w:hAnsi="Times New Roman" w:eastAsia="仿宋_GB2312"/>
          <w:color w:val="000000"/>
        </w:rPr>
        <w:br w:type="page"/>
      </w:r>
      <w:bookmarkStart w:id="2" w:name="_Toc29835"/>
      <w:r>
        <w:rPr>
          <w:rFonts w:ascii="Times New Roman" w:hAnsi="Times New Roman" w:eastAsia="仿宋_GB2312"/>
          <w:color w:val="000000"/>
        </w:rPr>
        <w:t>三、估价结果报告</w:t>
      </w:r>
      <w:bookmarkEnd w:id="2"/>
    </w:p>
    <w:p>
      <w:pPr>
        <w:pStyle w:val="5"/>
        <w:keepLines w:val="0"/>
        <w:snapToGrid w:val="0"/>
        <w:spacing w:before="312" w:beforeLines="100" w:after="0" w:line="360" w:lineRule="auto"/>
        <w:ind w:firstLine="562" w:firstLineChars="200"/>
        <w:jc w:val="left"/>
        <w:rPr>
          <w:rFonts w:ascii="仿宋_GB2312" w:hAnsi="仿宋_GB2312" w:eastAsia="仿宋_GB2312" w:cs="仿宋_GB2312"/>
          <w:color w:val="000000"/>
          <w:sz w:val="28"/>
          <w:szCs w:val="28"/>
        </w:rPr>
      </w:pPr>
      <w:bookmarkStart w:id="3" w:name="_Toc16238"/>
      <w:r>
        <w:rPr>
          <w:rFonts w:hint="eastAsia" w:ascii="仿宋_GB2312" w:hAnsi="仿宋_GB2312" w:eastAsia="仿宋_GB2312" w:cs="仿宋_GB2312"/>
          <w:color w:val="000000"/>
          <w:sz w:val="28"/>
          <w:szCs w:val="28"/>
        </w:rPr>
        <w:t>（一）估价委托人</w:t>
      </w:r>
      <w:bookmarkEnd w:id="3"/>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rPr>
        <w:t>委托单位：</w:t>
      </w:r>
      <w:r>
        <w:rPr>
          <w:rFonts w:hint="eastAsia" w:ascii="仿宋_GB2312" w:hAnsi="仿宋_GB2312" w:eastAsia="仿宋_GB2312" w:cs="仿宋_GB2312"/>
          <w:snapToGrid w:val="0"/>
          <w:kern w:val="0"/>
          <w:sz w:val="28"/>
          <w:szCs w:val="20"/>
          <w:lang w:eastAsia="zh-CN"/>
        </w:rPr>
        <w:t>吉安市吉州区人民法院</w:t>
      </w:r>
    </w:p>
    <w:p>
      <w:pPr>
        <w:pStyle w:val="5"/>
        <w:keepLines w:val="0"/>
        <w:snapToGrid w:val="0"/>
        <w:spacing w:before="0" w:after="0" w:line="360" w:lineRule="auto"/>
        <w:ind w:firstLine="562" w:firstLineChars="200"/>
        <w:jc w:val="left"/>
        <w:rPr>
          <w:rFonts w:ascii="仿宋_GB2312" w:hAnsi="仿宋_GB2312" w:eastAsia="仿宋_GB2312" w:cs="仿宋_GB2312"/>
          <w:color w:val="000000"/>
          <w:sz w:val="28"/>
          <w:szCs w:val="28"/>
        </w:rPr>
      </w:pPr>
      <w:bookmarkStart w:id="4" w:name="_Toc30080"/>
      <w:r>
        <w:rPr>
          <w:rFonts w:hint="eastAsia" w:ascii="仿宋_GB2312" w:hAnsi="仿宋_GB2312" w:eastAsia="仿宋_GB2312" w:cs="仿宋_GB2312"/>
          <w:color w:val="000000"/>
          <w:sz w:val="28"/>
          <w:szCs w:val="28"/>
        </w:rPr>
        <w:t>（二）房地产估价机构</w:t>
      </w:r>
      <w:bookmarkEnd w:id="4"/>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受托估价机构：江西天禄房地产土地资产评估有限公司</w:t>
      </w:r>
    </w:p>
    <w:p>
      <w:pPr>
        <w:tabs>
          <w:tab w:val="left" w:pos="267"/>
        </w:tabs>
        <w:adjustRightInd w:val="0"/>
        <w:snapToGrid w:val="0"/>
        <w:spacing w:before="0" w:after="0" w:line="360" w:lineRule="auto"/>
        <w:ind w:left="1959" w:leftChars="266" w:hanging="1400" w:hangingChars="5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机构地址：</w:t>
      </w:r>
      <w:r>
        <w:rPr>
          <w:rFonts w:hint="eastAsia" w:ascii="仿宋_GB2312" w:hAnsi="仿宋_GB2312" w:eastAsia="仿宋_GB2312" w:cs="仿宋_GB2312"/>
          <w:color w:val="000000"/>
          <w:sz w:val="28"/>
          <w:szCs w:val="28"/>
          <w:lang w:eastAsia="zh-CN"/>
        </w:rPr>
        <w:t>江西省南昌市红谷滩新区赣江南大道</w:t>
      </w:r>
      <w:r>
        <w:rPr>
          <w:rFonts w:hint="eastAsia" w:ascii="仿宋_GB2312" w:hAnsi="仿宋_GB2312" w:eastAsia="仿宋_GB2312" w:cs="仿宋_GB2312"/>
          <w:color w:val="000000"/>
          <w:sz w:val="28"/>
          <w:szCs w:val="28"/>
          <w:lang w:val="en-US" w:eastAsia="zh-CN"/>
        </w:rPr>
        <w:t>1888号滨江商务中心2#楼2922室</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估价机构资质级别：壹级</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证书编号：赣建房评字115号</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法人代表：肖斌</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联系电话：0791-87678282</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邮    编：330000</w:t>
      </w:r>
    </w:p>
    <w:p>
      <w:pPr>
        <w:pStyle w:val="5"/>
        <w:keepLines w:val="0"/>
        <w:snapToGrid w:val="0"/>
        <w:spacing w:before="0" w:after="0" w:line="360" w:lineRule="auto"/>
        <w:ind w:firstLine="562" w:firstLineChars="200"/>
        <w:jc w:val="left"/>
        <w:rPr>
          <w:rFonts w:ascii="仿宋_GB2312" w:hAnsi="仿宋_GB2312" w:eastAsia="仿宋_GB2312" w:cs="仿宋_GB2312"/>
          <w:color w:val="000000"/>
          <w:sz w:val="28"/>
          <w:szCs w:val="28"/>
        </w:rPr>
      </w:pPr>
      <w:bookmarkStart w:id="5" w:name="_Toc2439"/>
      <w:r>
        <w:rPr>
          <w:rFonts w:hint="eastAsia" w:ascii="仿宋_GB2312" w:hAnsi="仿宋_GB2312" w:eastAsia="仿宋_GB2312" w:cs="仿宋_GB2312"/>
          <w:color w:val="000000"/>
          <w:sz w:val="28"/>
          <w:szCs w:val="28"/>
        </w:rPr>
        <w:t>（三）估价目的</w:t>
      </w:r>
      <w:bookmarkEnd w:id="5"/>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lang w:eastAsia="zh-CN"/>
        </w:rPr>
        <w:t>为人民法院确定涉案财产价值提供参考依据</w:t>
      </w:r>
      <w:r>
        <w:rPr>
          <w:rFonts w:hint="eastAsia" w:ascii="仿宋_GB2312" w:hAnsi="仿宋_GB2312" w:eastAsia="仿宋_GB2312" w:cs="仿宋_GB2312"/>
          <w:snapToGrid w:val="0"/>
          <w:kern w:val="0"/>
          <w:sz w:val="28"/>
          <w:szCs w:val="20"/>
        </w:rPr>
        <w:t>。</w:t>
      </w:r>
    </w:p>
    <w:p>
      <w:pPr>
        <w:pStyle w:val="5"/>
        <w:keepLines w:val="0"/>
        <w:snapToGrid w:val="0"/>
        <w:spacing w:before="0" w:after="0" w:line="360" w:lineRule="auto"/>
        <w:ind w:firstLine="562" w:firstLineChars="200"/>
        <w:jc w:val="left"/>
        <w:rPr>
          <w:rFonts w:ascii="仿宋_GB2312" w:hAnsi="仿宋_GB2312" w:eastAsia="仿宋_GB2312" w:cs="仿宋_GB2312"/>
          <w:color w:val="000000"/>
          <w:sz w:val="28"/>
          <w:szCs w:val="28"/>
        </w:rPr>
      </w:pPr>
      <w:bookmarkStart w:id="6" w:name="_Toc31596"/>
      <w:r>
        <w:rPr>
          <w:rFonts w:hint="eastAsia" w:ascii="仿宋_GB2312" w:hAnsi="仿宋_GB2312" w:eastAsia="仿宋_GB2312" w:cs="仿宋_GB2312"/>
          <w:color w:val="000000"/>
          <w:sz w:val="28"/>
          <w:szCs w:val="28"/>
        </w:rPr>
        <w:t>（四）估价对象</w:t>
      </w:r>
      <w:bookmarkEnd w:id="6"/>
    </w:p>
    <w:p>
      <w:pPr>
        <w:tabs>
          <w:tab w:val="left" w:pos="267"/>
        </w:tabs>
        <w:adjustRightInd w:val="0"/>
        <w:snapToGrid w:val="0"/>
        <w:spacing w:before="0" w:after="0" w:line="360" w:lineRule="auto"/>
        <w:ind w:firstLine="560" w:firstLineChars="200"/>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color w:val="auto"/>
          <w:kern w:val="0"/>
          <w:sz w:val="28"/>
          <w:szCs w:val="20"/>
        </w:rPr>
        <w:t>估价对象为</w:t>
      </w:r>
      <w:r>
        <w:rPr>
          <w:rFonts w:hint="eastAsia" w:ascii="仿宋_GB2312" w:hAnsi="仿宋_GB2312" w:eastAsia="仿宋_GB2312" w:cs="仿宋_GB2312"/>
          <w:snapToGrid w:val="0"/>
          <w:color w:val="auto"/>
          <w:kern w:val="0"/>
          <w:sz w:val="28"/>
          <w:szCs w:val="20"/>
          <w:lang w:eastAsia="zh-CN"/>
        </w:rPr>
        <w:t>青原区青原大道西侧粮食局对面第2栋住宅501房住宅房地产</w:t>
      </w:r>
      <w:r>
        <w:rPr>
          <w:rFonts w:hint="eastAsia" w:ascii="仿宋_GB2312" w:hAnsi="仿宋_GB2312" w:eastAsia="仿宋_GB2312" w:cs="仿宋_GB2312"/>
          <w:snapToGrid w:val="0"/>
          <w:color w:val="auto"/>
          <w:kern w:val="0"/>
          <w:sz w:val="28"/>
          <w:szCs w:val="20"/>
        </w:rPr>
        <w:t>，</w:t>
      </w:r>
      <w:r>
        <w:rPr>
          <w:rFonts w:hint="eastAsia" w:ascii="仿宋_GB2312" w:hAnsi="仿宋_GB2312" w:eastAsia="仿宋_GB2312" w:cs="仿宋_GB2312"/>
          <w:snapToGrid w:val="0"/>
          <w:color w:val="auto"/>
          <w:kern w:val="0"/>
          <w:sz w:val="28"/>
          <w:szCs w:val="20"/>
          <w:lang w:val="en-US" w:eastAsia="zh-CN"/>
        </w:rPr>
        <w:t>估价对象房屋建筑面积</w:t>
      </w:r>
      <w:r>
        <w:rPr>
          <w:rFonts w:hint="eastAsia" w:ascii="仿宋_GB2312" w:hAnsi="仿宋_GB2312" w:eastAsia="仿宋_GB2312" w:cs="仿宋_GB2312"/>
          <w:snapToGrid w:val="0"/>
          <w:color w:val="auto"/>
          <w:kern w:val="0"/>
          <w:sz w:val="28"/>
          <w:szCs w:val="20"/>
        </w:rPr>
        <w:t>为</w:t>
      </w:r>
      <w:r>
        <w:rPr>
          <w:rFonts w:hint="eastAsia" w:ascii="仿宋_GB2312" w:hAnsi="仿宋_GB2312" w:eastAsia="仿宋_GB2312" w:cs="仿宋_GB2312"/>
          <w:snapToGrid w:val="0"/>
          <w:color w:val="auto"/>
          <w:kern w:val="0"/>
          <w:sz w:val="28"/>
          <w:szCs w:val="20"/>
          <w:lang w:eastAsia="zh-CN"/>
        </w:rPr>
        <w:t>122.26</w:t>
      </w:r>
      <w:r>
        <w:rPr>
          <w:rFonts w:hint="eastAsia" w:ascii="仿宋_GB2312" w:hAnsi="仿宋_GB2312" w:eastAsia="仿宋_GB2312" w:cs="仿宋_GB2312"/>
          <w:snapToGrid w:val="0"/>
          <w:color w:val="auto"/>
          <w:kern w:val="0"/>
          <w:sz w:val="28"/>
          <w:szCs w:val="20"/>
        </w:rPr>
        <w:t>平方米，</w:t>
      </w:r>
      <w:r>
        <w:rPr>
          <w:rFonts w:hint="eastAsia" w:ascii="仿宋_GB2312" w:hAnsi="仿宋_GB2312" w:eastAsia="仿宋_GB2312" w:cs="仿宋_GB2312"/>
          <w:snapToGrid w:val="0"/>
          <w:color w:val="auto"/>
          <w:kern w:val="0"/>
          <w:sz w:val="28"/>
          <w:szCs w:val="20"/>
          <w:lang w:eastAsia="zh-CN"/>
        </w:rPr>
        <w:t>房屋</w:t>
      </w:r>
      <w:r>
        <w:rPr>
          <w:rFonts w:hint="eastAsia" w:ascii="仿宋_GB2312" w:hAnsi="仿宋_GB2312" w:eastAsia="仿宋_GB2312" w:cs="仿宋_GB2312"/>
          <w:snapToGrid w:val="0"/>
          <w:color w:val="auto"/>
          <w:kern w:val="0"/>
          <w:sz w:val="28"/>
          <w:szCs w:val="20"/>
        </w:rPr>
        <w:t>用途为</w:t>
      </w:r>
      <w:r>
        <w:rPr>
          <w:rFonts w:hint="eastAsia" w:ascii="仿宋_GB2312" w:hAnsi="仿宋_GB2312" w:eastAsia="仿宋_GB2312" w:cs="仿宋_GB2312"/>
          <w:snapToGrid w:val="0"/>
          <w:color w:val="auto"/>
          <w:kern w:val="0"/>
          <w:sz w:val="28"/>
          <w:szCs w:val="20"/>
          <w:lang w:eastAsia="zh-CN"/>
        </w:rPr>
        <w:t>住宅</w:t>
      </w:r>
      <w:r>
        <w:rPr>
          <w:rFonts w:hint="eastAsia" w:ascii="仿宋_GB2312" w:hAnsi="仿宋_GB2312" w:eastAsia="仿宋_GB2312" w:cs="仿宋_GB2312"/>
          <w:snapToGrid w:val="0"/>
          <w:color w:val="auto"/>
          <w:kern w:val="0"/>
          <w:sz w:val="28"/>
          <w:szCs w:val="20"/>
        </w:rPr>
        <w:t>。</w:t>
      </w:r>
      <w:r>
        <w:rPr>
          <w:rFonts w:hint="eastAsia" w:eastAsia="仿宋_GB2312"/>
          <w:snapToGrid w:val="0"/>
          <w:color w:val="auto"/>
          <w:kern w:val="0"/>
          <w:sz w:val="28"/>
          <w:szCs w:val="20"/>
          <w:lang w:val="en-US" w:eastAsia="zh-CN"/>
        </w:rPr>
        <w:t>本次评估的对象包括房屋的所有权、分摊的土地使用权和确保其正常使用功能不可分割的基本设备设施及不可移动的装饰装修，现</w:t>
      </w:r>
      <w:r>
        <w:rPr>
          <w:rFonts w:hint="eastAsia" w:eastAsia="仿宋_GB2312"/>
          <w:snapToGrid w:val="0"/>
          <w:kern w:val="0"/>
          <w:sz w:val="28"/>
          <w:szCs w:val="20"/>
          <w:lang w:val="en-US" w:eastAsia="zh-CN"/>
        </w:rPr>
        <w:t>将估价对象基本状况概述如下：</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lang w:val="en-US" w:eastAsia="zh-CN"/>
        </w:rPr>
        <w:t>1</w:t>
      </w:r>
      <w:r>
        <w:rPr>
          <w:rFonts w:hint="eastAsia" w:ascii="仿宋_GB2312" w:hAnsi="仿宋_GB2312" w:eastAsia="仿宋_GB2312" w:cs="仿宋_GB2312"/>
          <w:snapToGrid w:val="0"/>
          <w:kern w:val="0"/>
          <w:sz w:val="28"/>
          <w:szCs w:val="20"/>
        </w:rPr>
        <w:t>、土地基本状况</w:t>
      </w:r>
    </w:p>
    <w:p>
      <w:pPr>
        <w:tabs>
          <w:tab w:val="left" w:pos="267"/>
        </w:tabs>
        <w:adjustRightInd w:val="0"/>
        <w:snapToGrid w:val="0"/>
        <w:spacing w:before="0" w:after="0" w:line="360" w:lineRule="auto"/>
        <w:ind w:firstLine="560" w:firstLineChars="200"/>
        <w:rPr>
          <w:rFonts w:hint="eastAsia" w:ascii="仿宋_GB2312" w:hAnsi="仿宋_GB2312" w:eastAsia="仿宋_GB2312" w:cs="仿宋_GB2312"/>
          <w:snapToGrid w:val="0"/>
          <w:color w:val="auto"/>
          <w:kern w:val="0"/>
          <w:sz w:val="28"/>
          <w:szCs w:val="20"/>
          <w:lang w:val="en-US" w:eastAsia="zh-CN"/>
        </w:rPr>
      </w:pPr>
      <w:r>
        <w:rPr>
          <w:rFonts w:hint="eastAsia" w:ascii="仿宋_GB2312" w:hAnsi="仿宋_GB2312" w:eastAsia="仿宋_GB2312" w:cs="仿宋_GB2312"/>
          <w:snapToGrid w:val="0"/>
          <w:color w:val="auto"/>
          <w:kern w:val="0"/>
          <w:sz w:val="28"/>
          <w:szCs w:val="20"/>
        </w:rPr>
        <w:t>根据委托方提供的</w:t>
      </w:r>
      <w:r>
        <w:rPr>
          <w:rFonts w:hint="eastAsia" w:ascii="仿宋_GB2312" w:hAnsi="仿宋_GB2312" w:eastAsia="仿宋_GB2312" w:cs="仿宋_GB2312"/>
          <w:snapToGrid w:val="0"/>
          <w:color w:val="auto"/>
          <w:kern w:val="0"/>
          <w:sz w:val="28"/>
          <w:szCs w:val="20"/>
          <w:lang w:eastAsia="zh-CN"/>
        </w:rPr>
        <w:t>资料</w:t>
      </w:r>
      <w:r>
        <w:rPr>
          <w:rFonts w:hint="eastAsia" w:ascii="仿宋_GB2312" w:hAnsi="仿宋_GB2312" w:eastAsia="仿宋_GB2312" w:cs="仿宋_GB2312"/>
          <w:snapToGrid w:val="0"/>
          <w:color w:val="auto"/>
          <w:kern w:val="0"/>
          <w:sz w:val="28"/>
          <w:szCs w:val="20"/>
        </w:rPr>
        <w:t>及现场查勘</w:t>
      </w:r>
      <w:r>
        <w:rPr>
          <w:rFonts w:hint="eastAsia" w:ascii="仿宋_GB2312" w:hAnsi="仿宋_GB2312" w:eastAsia="仿宋_GB2312" w:cs="仿宋_GB2312"/>
          <w:snapToGrid w:val="0"/>
          <w:color w:val="auto"/>
          <w:kern w:val="0"/>
          <w:sz w:val="28"/>
          <w:szCs w:val="20"/>
          <w:lang w:eastAsia="zh-CN"/>
        </w:rPr>
        <w:t>，</w:t>
      </w:r>
      <w:r>
        <w:rPr>
          <w:rFonts w:hint="eastAsia" w:ascii="仿宋_GB2312" w:hAnsi="仿宋_GB2312" w:eastAsia="仿宋_GB2312" w:cs="仿宋_GB2312"/>
          <w:snapToGrid w:val="0"/>
          <w:color w:val="auto"/>
          <w:kern w:val="0"/>
          <w:sz w:val="28"/>
          <w:szCs w:val="20"/>
          <w:lang w:val="en-US" w:eastAsia="zh-CN"/>
        </w:rPr>
        <w:t>估价对象坐落</w:t>
      </w:r>
      <w:r>
        <w:rPr>
          <w:rFonts w:hint="eastAsia" w:ascii="仿宋_GB2312" w:hAnsi="仿宋_GB2312" w:eastAsia="仿宋_GB2312" w:cs="仿宋_GB2312"/>
          <w:snapToGrid w:val="0"/>
          <w:color w:val="auto"/>
          <w:kern w:val="0"/>
          <w:sz w:val="28"/>
          <w:szCs w:val="20"/>
          <w:lang w:eastAsia="zh-CN"/>
        </w:rPr>
        <w:t>青原区青原大道西侧粮食局对面第2栋住宅501房，土地所有权状况为国有，土地使用权</w:t>
      </w:r>
      <w:r>
        <w:rPr>
          <w:rFonts w:hint="eastAsia" w:ascii="仿宋_GB2312" w:hAnsi="仿宋_GB2312" w:eastAsia="仿宋_GB2312" w:cs="仿宋_GB2312"/>
          <w:snapToGrid w:val="0"/>
          <w:color w:val="auto"/>
          <w:kern w:val="0"/>
          <w:sz w:val="28"/>
          <w:szCs w:val="20"/>
          <w:lang w:val="en-US" w:eastAsia="zh-CN"/>
        </w:rPr>
        <w:t>类型</w:t>
      </w:r>
      <w:r>
        <w:rPr>
          <w:rFonts w:hint="eastAsia" w:ascii="仿宋_GB2312" w:hAnsi="仿宋_GB2312" w:eastAsia="仿宋_GB2312" w:cs="仿宋_GB2312"/>
          <w:snapToGrid w:val="0"/>
          <w:color w:val="auto"/>
          <w:kern w:val="0"/>
          <w:sz w:val="28"/>
          <w:szCs w:val="20"/>
          <w:lang w:eastAsia="zh-CN"/>
        </w:rPr>
        <w:t>为出让</w:t>
      </w:r>
      <w:r>
        <w:rPr>
          <w:rFonts w:hint="eastAsia" w:ascii="仿宋_GB2312" w:hAnsi="仿宋_GB2312" w:eastAsia="仿宋_GB2312" w:cs="仿宋_GB2312"/>
          <w:snapToGrid w:val="0"/>
          <w:color w:val="auto"/>
          <w:kern w:val="0"/>
          <w:sz w:val="28"/>
          <w:szCs w:val="20"/>
          <w:lang w:val="en-US" w:eastAsia="zh-CN"/>
        </w:rPr>
        <w:t>；估价对象所在宗地</w:t>
      </w:r>
      <w:r>
        <w:rPr>
          <w:rFonts w:hint="eastAsia" w:ascii="仿宋_GB2312" w:hAnsi="仿宋_GB2312" w:eastAsia="仿宋_GB2312" w:cs="仿宋_GB2312"/>
          <w:snapToGrid w:val="0"/>
          <w:color w:val="auto"/>
          <w:kern w:val="0"/>
          <w:sz w:val="28"/>
          <w:szCs w:val="20"/>
        </w:rPr>
        <w:t>形状</w:t>
      </w:r>
      <w:r>
        <w:rPr>
          <w:rFonts w:hint="eastAsia" w:ascii="仿宋_GB2312" w:hAnsi="仿宋_GB2312" w:eastAsia="仿宋_GB2312" w:cs="仿宋_GB2312"/>
          <w:snapToGrid w:val="0"/>
          <w:color w:val="auto"/>
          <w:kern w:val="0"/>
          <w:sz w:val="28"/>
          <w:szCs w:val="20"/>
          <w:lang w:val="en-US" w:eastAsia="zh-CN"/>
        </w:rPr>
        <w:t>较</w:t>
      </w:r>
      <w:r>
        <w:rPr>
          <w:rFonts w:hint="eastAsia" w:ascii="仿宋_GB2312" w:hAnsi="仿宋_GB2312" w:eastAsia="仿宋_GB2312" w:cs="仿宋_GB2312"/>
          <w:snapToGrid w:val="0"/>
          <w:color w:val="auto"/>
          <w:kern w:val="0"/>
          <w:sz w:val="28"/>
          <w:szCs w:val="20"/>
        </w:rPr>
        <w:t>规则，地形较平坦，地质条件良好</w:t>
      </w:r>
      <w:r>
        <w:rPr>
          <w:rFonts w:hint="eastAsia" w:ascii="仿宋_GB2312" w:hAnsi="仿宋_GB2312" w:eastAsia="仿宋_GB2312" w:cs="仿宋_GB2312"/>
          <w:snapToGrid w:val="0"/>
          <w:color w:val="auto"/>
          <w:kern w:val="0"/>
          <w:sz w:val="28"/>
          <w:szCs w:val="20"/>
          <w:lang w:val="en-US" w:eastAsia="zh-CN"/>
        </w:rPr>
        <w:t>，</w:t>
      </w:r>
      <w:r>
        <w:rPr>
          <w:rFonts w:hint="eastAsia" w:ascii="仿宋_GB2312" w:hAnsi="仿宋_GB2312" w:eastAsia="仿宋_GB2312" w:cs="仿宋_GB2312"/>
          <w:snapToGrid w:val="0"/>
          <w:color w:val="auto"/>
          <w:kern w:val="0"/>
          <w:sz w:val="28"/>
          <w:szCs w:val="20"/>
        </w:rPr>
        <w:t>土地开发程度为红线外“</w:t>
      </w:r>
      <w:r>
        <w:rPr>
          <w:rFonts w:hint="eastAsia" w:ascii="仿宋_GB2312" w:hAnsi="仿宋_GB2312" w:eastAsia="仿宋_GB2312" w:cs="仿宋_GB2312"/>
          <w:snapToGrid w:val="0"/>
          <w:color w:val="auto"/>
          <w:kern w:val="0"/>
          <w:sz w:val="28"/>
          <w:szCs w:val="20"/>
          <w:lang w:val="en-US" w:eastAsia="zh-CN"/>
        </w:rPr>
        <w:t>五通</w:t>
      </w:r>
      <w:r>
        <w:rPr>
          <w:rFonts w:hint="eastAsia" w:ascii="仿宋_GB2312" w:hAnsi="仿宋_GB2312" w:eastAsia="仿宋_GB2312" w:cs="仿宋_GB2312"/>
          <w:snapToGrid w:val="0"/>
          <w:color w:val="auto"/>
          <w:kern w:val="0"/>
          <w:sz w:val="28"/>
          <w:szCs w:val="20"/>
        </w:rPr>
        <w:t>”（指</w:t>
      </w:r>
      <w:r>
        <w:rPr>
          <w:rFonts w:hint="eastAsia" w:ascii="仿宋_GB2312" w:hAnsi="仿宋_GB2312" w:eastAsia="仿宋_GB2312" w:cs="仿宋_GB2312"/>
          <w:snapToGrid w:val="0"/>
          <w:color w:val="auto"/>
          <w:kern w:val="0"/>
          <w:sz w:val="28"/>
          <w:szCs w:val="20"/>
          <w:lang w:eastAsia="zh-CN"/>
        </w:rPr>
        <w:t>通路、通电、供水、排水、通讯</w:t>
      </w:r>
      <w:r>
        <w:rPr>
          <w:rFonts w:hint="eastAsia" w:ascii="仿宋_GB2312" w:hAnsi="仿宋_GB2312" w:eastAsia="仿宋_GB2312" w:cs="仿宋_GB2312"/>
          <w:snapToGrid w:val="0"/>
          <w:color w:val="auto"/>
          <w:kern w:val="0"/>
          <w:sz w:val="28"/>
          <w:szCs w:val="20"/>
        </w:rPr>
        <w:t>），红线内“</w:t>
      </w:r>
      <w:r>
        <w:rPr>
          <w:rFonts w:hint="eastAsia" w:ascii="仿宋_GB2312" w:hAnsi="仿宋_GB2312" w:eastAsia="仿宋_GB2312" w:cs="仿宋_GB2312"/>
          <w:snapToGrid w:val="0"/>
          <w:color w:val="auto"/>
          <w:kern w:val="0"/>
          <w:sz w:val="28"/>
          <w:szCs w:val="20"/>
          <w:lang w:val="en-US" w:eastAsia="zh-CN"/>
        </w:rPr>
        <w:t>五通</w:t>
      </w:r>
      <w:r>
        <w:rPr>
          <w:rFonts w:hint="eastAsia" w:ascii="仿宋_GB2312" w:hAnsi="仿宋_GB2312" w:eastAsia="仿宋_GB2312" w:cs="仿宋_GB2312"/>
          <w:snapToGrid w:val="0"/>
          <w:color w:val="auto"/>
          <w:kern w:val="0"/>
          <w:sz w:val="28"/>
          <w:szCs w:val="20"/>
        </w:rPr>
        <w:t>一平”（指</w:t>
      </w:r>
      <w:r>
        <w:rPr>
          <w:rFonts w:hint="eastAsia" w:ascii="仿宋_GB2312" w:hAnsi="仿宋_GB2312" w:eastAsia="仿宋_GB2312" w:cs="仿宋_GB2312"/>
          <w:snapToGrid w:val="0"/>
          <w:color w:val="auto"/>
          <w:kern w:val="0"/>
          <w:sz w:val="28"/>
          <w:szCs w:val="20"/>
          <w:lang w:eastAsia="zh-CN"/>
        </w:rPr>
        <w:t>通路、通电、供水、排水、通讯</w:t>
      </w:r>
      <w:r>
        <w:rPr>
          <w:rFonts w:hint="eastAsia" w:ascii="仿宋_GB2312" w:hAnsi="仿宋_GB2312" w:eastAsia="仿宋_GB2312" w:cs="仿宋_GB2312"/>
          <w:snapToGrid w:val="0"/>
          <w:color w:val="auto"/>
          <w:kern w:val="0"/>
          <w:sz w:val="28"/>
          <w:szCs w:val="20"/>
        </w:rPr>
        <w:t>及场地平整）</w:t>
      </w:r>
      <w:r>
        <w:rPr>
          <w:rFonts w:hint="eastAsia" w:ascii="仿宋_GB2312" w:hAnsi="仿宋_GB2312" w:eastAsia="仿宋_GB2312" w:cs="仿宋_GB2312"/>
          <w:snapToGrid w:val="0"/>
          <w:color w:val="auto"/>
          <w:kern w:val="0"/>
          <w:sz w:val="28"/>
          <w:szCs w:val="20"/>
          <w:lang w:val="en-US" w:eastAsia="zh-CN"/>
        </w:rPr>
        <w:t>。</w:t>
      </w:r>
    </w:p>
    <w:p>
      <w:pPr>
        <w:tabs>
          <w:tab w:val="left" w:pos="267"/>
        </w:tabs>
        <w:adjustRightInd w:val="0"/>
        <w:snapToGrid w:val="0"/>
        <w:spacing w:before="0" w:after="0" w:line="360" w:lineRule="auto"/>
        <w:ind w:firstLine="560" w:firstLineChars="200"/>
        <w:jc w:val="left"/>
        <w:rPr>
          <w:rFonts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color w:val="auto"/>
          <w:kern w:val="0"/>
          <w:sz w:val="28"/>
          <w:szCs w:val="20"/>
          <w:lang w:val="en-US" w:eastAsia="zh-CN"/>
        </w:rPr>
        <w:t>2</w:t>
      </w:r>
      <w:r>
        <w:rPr>
          <w:rFonts w:hint="eastAsia" w:ascii="仿宋_GB2312" w:hAnsi="仿宋_GB2312" w:eastAsia="仿宋_GB2312" w:cs="仿宋_GB2312"/>
          <w:snapToGrid w:val="0"/>
          <w:color w:val="auto"/>
          <w:kern w:val="0"/>
          <w:sz w:val="28"/>
          <w:szCs w:val="20"/>
        </w:rPr>
        <w:t>、建筑物基本状况</w:t>
      </w:r>
    </w:p>
    <w:p>
      <w:pPr>
        <w:tabs>
          <w:tab w:val="left" w:pos="267"/>
        </w:tabs>
        <w:adjustRightInd w:val="0"/>
        <w:snapToGrid w:val="0"/>
        <w:spacing w:before="0" w:after="0" w:line="360" w:lineRule="auto"/>
        <w:ind w:firstLine="560" w:firstLineChars="200"/>
        <w:rPr>
          <w:rFonts w:hint="eastAsia" w:ascii="仿宋_GB2312" w:hAnsi="仿宋_GB2312" w:eastAsia="仿宋_GB2312" w:cs="仿宋_GB2312"/>
          <w:snapToGrid w:val="0"/>
          <w:color w:val="auto"/>
          <w:kern w:val="0"/>
          <w:sz w:val="28"/>
          <w:szCs w:val="20"/>
          <w:lang w:val="en-US" w:eastAsia="zh-CN"/>
        </w:rPr>
      </w:pPr>
      <w:r>
        <w:rPr>
          <w:rFonts w:hint="eastAsia" w:ascii="仿宋_GB2312" w:hAnsi="仿宋_GB2312" w:eastAsia="仿宋_GB2312" w:cs="仿宋_GB2312"/>
          <w:snapToGrid w:val="0"/>
          <w:color w:val="auto"/>
          <w:kern w:val="0"/>
          <w:sz w:val="28"/>
          <w:szCs w:val="20"/>
          <w:lang w:val="en-US" w:eastAsia="zh-CN"/>
        </w:rPr>
        <w:t>根据委托方提供的相关资料及估价人员现场勘察，估价对象建筑结构为砖混，房屋性质为市场化商品房，</w:t>
      </w:r>
      <w:r>
        <w:rPr>
          <w:rFonts w:hint="eastAsia" w:ascii="仿宋_GB2312" w:hAnsi="仿宋_GB2312" w:eastAsia="仿宋_GB2312" w:cs="仿宋_GB2312"/>
          <w:snapToGrid w:val="0"/>
          <w:color w:val="auto"/>
          <w:kern w:val="0"/>
          <w:sz w:val="28"/>
          <w:szCs w:val="20"/>
        </w:rPr>
        <w:t>建筑物</w:t>
      </w:r>
      <w:r>
        <w:rPr>
          <w:rFonts w:hint="eastAsia" w:ascii="仿宋_GB2312" w:hAnsi="仿宋_GB2312" w:eastAsia="仿宋_GB2312" w:cs="仿宋_GB2312"/>
          <w:snapToGrid w:val="0"/>
          <w:color w:val="auto"/>
          <w:kern w:val="0"/>
          <w:sz w:val="28"/>
          <w:szCs w:val="20"/>
          <w:lang w:val="en-US" w:eastAsia="zh-CN"/>
        </w:rPr>
        <w:t>基本</w:t>
      </w:r>
      <w:r>
        <w:rPr>
          <w:rFonts w:hint="eastAsia" w:ascii="仿宋_GB2312" w:hAnsi="仿宋_GB2312" w:eastAsia="仿宋_GB2312" w:cs="仿宋_GB2312"/>
          <w:snapToGrid w:val="0"/>
          <w:color w:val="auto"/>
          <w:kern w:val="0"/>
          <w:sz w:val="28"/>
          <w:szCs w:val="20"/>
        </w:rPr>
        <w:t>状况</w:t>
      </w:r>
      <w:r>
        <w:rPr>
          <w:rFonts w:hint="eastAsia" w:ascii="仿宋_GB2312" w:hAnsi="仿宋_GB2312" w:eastAsia="仿宋_GB2312" w:cs="仿宋_GB2312"/>
          <w:snapToGrid w:val="0"/>
          <w:color w:val="auto"/>
          <w:kern w:val="0"/>
          <w:sz w:val="28"/>
          <w:szCs w:val="20"/>
          <w:lang w:val="en-US" w:eastAsia="zh-CN"/>
        </w:rPr>
        <w:t>如下表：</w:t>
      </w:r>
    </w:p>
    <w:tbl>
      <w:tblPr>
        <w:tblStyle w:val="26"/>
        <w:tblW w:w="9156" w:type="dxa"/>
        <w:jc w:val="center"/>
        <w:shd w:val="clear" w:color="auto" w:fill="auto"/>
        <w:tblLayout w:type="fixed"/>
        <w:tblCellMar>
          <w:top w:w="0" w:type="dxa"/>
          <w:left w:w="108" w:type="dxa"/>
          <w:bottom w:w="0" w:type="dxa"/>
          <w:right w:w="108" w:type="dxa"/>
        </w:tblCellMar>
      </w:tblPr>
      <w:tblGrid>
        <w:gridCol w:w="493"/>
        <w:gridCol w:w="1800"/>
        <w:gridCol w:w="908"/>
        <w:gridCol w:w="2272"/>
        <w:gridCol w:w="1099"/>
        <w:gridCol w:w="732"/>
        <w:gridCol w:w="831"/>
        <w:gridCol w:w="1021"/>
      </w:tblGrid>
      <w:tr>
        <w:tblPrEx>
          <w:shd w:val="clear" w:color="auto" w:fill="auto"/>
          <w:tblCellMar>
            <w:top w:w="0" w:type="dxa"/>
            <w:left w:w="108" w:type="dxa"/>
            <w:bottom w:w="0" w:type="dxa"/>
            <w:right w:w="108" w:type="dxa"/>
          </w:tblCellMar>
        </w:tblPrEx>
        <w:trPr>
          <w:trHeight w:val="530" w:hRule="atLeast"/>
          <w:jc w:val="center"/>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default" w:ascii="仿宋_GB2312" w:hAnsi="仿宋_GB2312" w:eastAsia="仿宋_GB2312" w:cs="仿宋_GB2312"/>
                <w:b/>
                <w:bCs/>
                <w:i w:val="0"/>
                <w:iCs w:val="0"/>
                <w:color w:val="auto"/>
                <w:sz w:val="21"/>
                <w:szCs w:val="21"/>
                <w:u w:val="none"/>
                <w:lang w:val="en-US"/>
              </w:rPr>
            </w:pPr>
            <w:r>
              <w:rPr>
                <w:rFonts w:hint="eastAsia" w:ascii="仿宋_GB2312" w:hAnsi="仿宋_GB2312" w:eastAsia="仿宋_GB2312" w:cs="仿宋_GB2312"/>
                <w:b/>
                <w:bCs/>
                <w:i w:val="0"/>
                <w:iCs w:val="0"/>
                <w:color w:val="auto"/>
                <w:kern w:val="0"/>
                <w:sz w:val="21"/>
                <w:szCs w:val="21"/>
                <w:u w:val="none"/>
                <w:lang w:val="en-US" w:eastAsia="zh-CN" w:bidi="ar"/>
              </w:rPr>
              <w:t>产权证号</w:t>
            </w: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权利人</w:t>
            </w:r>
          </w:p>
        </w:tc>
        <w:tc>
          <w:tcPr>
            <w:tcW w:w="2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坐落</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kern w:val="0"/>
                <w:sz w:val="21"/>
                <w:szCs w:val="21"/>
                <w:u w:val="none"/>
                <w:lang w:val="en-US" w:eastAsia="zh-CN" w:bidi="ar"/>
              </w:rPr>
            </w:pPr>
            <w:r>
              <w:rPr>
                <w:rFonts w:hint="eastAsia" w:ascii="仿宋_GB2312" w:hAnsi="仿宋_GB2312" w:eastAsia="仿宋_GB2312" w:cs="仿宋_GB2312"/>
                <w:b/>
                <w:bCs/>
                <w:i w:val="0"/>
                <w:iCs w:val="0"/>
                <w:color w:val="auto"/>
                <w:kern w:val="0"/>
                <w:sz w:val="21"/>
                <w:szCs w:val="21"/>
                <w:u w:val="none"/>
                <w:lang w:val="en-US" w:eastAsia="zh-CN" w:bidi="ar"/>
              </w:rPr>
              <w:t>所在层/</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总层数</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用途</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kern w:val="0"/>
                <w:sz w:val="21"/>
                <w:szCs w:val="21"/>
                <w:u w:val="none"/>
                <w:lang w:val="en-US" w:eastAsia="zh-CN" w:bidi="ar"/>
              </w:rPr>
            </w:pPr>
            <w:r>
              <w:rPr>
                <w:rFonts w:hint="eastAsia" w:ascii="仿宋_GB2312" w:hAnsi="仿宋_GB2312" w:eastAsia="仿宋_GB2312" w:cs="仿宋_GB2312"/>
                <w:b/>
                <w:bCs/>
                <w:i w:val="0"/>
                <w:iCs w:val="0"/>
                <w:color w:val="auto"/>
                <w:kern w:val="0"/>
                <w:sz w:val="21"/>
                <w:szCs w:val="21"/>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结构</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auto"/>
                <w:sz w:val="21"/>
                <w:szCs w:val="21"/>
                <w:u w:val="none"/>
              </w:rPr>
            </w:pPr>
            <w:r>
              <w:rPr>
                <w:rFonts w:hint="eastAsia" w:ascii="仿宋_GB2312" w:hAnsi="仿宋_GB2312" w:eastAsia="仿宋_GB2312" w:cs="仿宋_GB2312"/>
                <w:b/>
                <w:bCs/>
                <w:i w:val="0"/>
                <w:iCs w:val="0"/>
                <w:color w:val="auto"/>
                <w:kern w:val="0"/>
                <w:sz w:val="21"/>
                <w:szCs w:val="21"/>
                <w:u w:val="none"/>
                <w:lang w:val="en-US" w:eastAsia="zh-CN" w:bidi="ar"/>
              </w:rPr>
              <w:t>面积（㎡）</w:t>
            </w:r>
          </w:p>
        </w:tc>
      </w:tr>
      <w:tr>
        <w:tblPrEx>
          <w:tblCellMar>
            <w:top w:w="0" w:type="dxa"/>
            <w:left w:w="108" w:type="dxa"/>
            <w:bottom w:w="0" w:type="dxa"/>
            <w:right w:w="108" w:type="dxa"/>
          </w:tblCellMar>
        </w:tblPrEx>
        <w:trPr>
          <w:trHeight w:val="820" w:hRule="atLeast"/>
          <w:jc w:val="center"/>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赣（2016）吉安市不动产权第0030101号</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i w:val="0"/>
                <w:iCs w:val="0"/>
                <w:color w:val="auto"/>
                <w:kern w:val="0"/>
                <w:sz w:val="21"/>
                <w:szCs w:val="21"/>
                <w:u w:val="none"/>
                <w:lang w:val="en-US" w:eastAsia="zh-CN" w:bidi="ar"/>
              </w:rPr>
              <w:t>陈敏</w:t>
            </w: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青原区青原大道西侧粮食局对面第2栋住宅501房</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5/5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住宅</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lang w:val="en-US" w:eastAsia="zh-CN"/>
              </w:rPr>
            </w:pPr>
            <w:r>
              <w:rPr>
                <w:rFonts w:hint="eastAsia" w:ascii="仿宋_GB2312" w:hAnsi="仿宋_GB2312" w:eastAsia="仿宋_GB2312" w:cs="仿宋_GB2312"/>
                <w:i w:val="0"/>
                <w:iCs w:val="0"/>
                <w:color w:val="auto"/>
                <w:sz w:val="21"/>
                <w:szCs w:val="21"/>
                <w:u w:val="none"/>
                <w:lang w:val="en-US" w:eastAsia="zh-CN"/>
              </w:rPr>
              <w:t>砖混</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auto"/>
                <w:sz w:val="21"/>
                <w:szCs w:val="21"/>
                <w:u w:val="none"/>
              </w:rPr>
            </w:pPr>
            <w:r>
              <w:rPr>
                <w:rFonts w:hint="eastAsia" w:ascii="仿宋_GB2312" w:hAnsi="仿宋_GB2312" w:eastAsia="仿宋_GB2312" w:cs="仿宋_GB2312"/>
                <w:i w:val="0"/>
                <w:iCs w:val="0"/>
                <w:color w:val="auto"/>
                <w:kern w:val="0"/>
                <w:sz w:val="21"/>
                <w:szCs w:val="21"/>
                <w:u w:val="none"/>
                <w:lang w:val="en-US" w:eastAsia="zh-CN" w:bidi="ar"/>
              </w:rPr>
              <w:t>122.26</w:t>
            </w:r>
          </w:p>
        </w:tc>
      </w:tr>
      <w:tr>
        <w:tblPrEx>
          <w:shd w:val="clear" w:color="auto" w:fill="auto"/>
          <w:tblCellMar>
            <w:top w:w="0" w:type="dxa"/>
            <w:left w:w="108" w:type="dxa"/>
            <w:bottom w:w="0" w:type="dxa"/>
            <w:right w:w="108" w:type="dxa"/>
          </w:tblCellMar>
        </w:tblPrEx>
        <w:trPr>
          <w:trHeight w:val="664" w:hRule="atLeast"/>
          <w:jc w:val="center"/>
        </w:trPr>
        <w:tc>
          <w:tcPr>
            <w:tcW w:w="9156"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ind w:firstLine="510" w:firstLineChars="300"/>
              <w:jc w:val="left"/>
              <w:textAlignment w:val="center"/>
              <w:rPr>
                <w:rFonts w:hint="eastAsia" w:ascii="仿宋_GB2312" w:hAnsi="仿宋_GB2312" w:eastAsia="仿宋_GB2312" w:cs="仿宋_GB2312"/>
                <w:snapToGrid w:val="0"/>
                <w:color w:val="auto"/>
                <w:kern w:val="0"/>
                <w:sz w:val="21"/>
                <w:szCs w:val="21"/>
                <w:lang w:val="en-US" w:eastAsia="zh-CN"/>
              </w:rPr>
            </w:pPr>
            <w:r>
              <w:rPr>
                <w:rFonts w:hint="eastAsia" w:ascii="仿宋_GB2312" w:hAnsi="等线" w:eastAsia="仿宋_GB2312" w:cs="仿宋_GB2312"/>
                <w:i w:val="0"/>
                <w:color w:val="auto"/>
                <w:spacing w:val="-20"/>
                <w:kern w:val="0"/>
                <w:sz w:val="21"/>
                <w:szCs w:val="21"/>
                <w:u w:val="none"/>
                <w:lang w:val="en-US" w:eastAsia="zh-CN" w:bidi="ar"/>
              </w:rPr>
              <w:t>备注： 1、</w:t>
            </w:r>
            <w:r>
              <w:rPr>
                <w:rFonts w:hint="eastAsia" w:ascii="仿宋_GB2312" w:hAnsi="仿宋_GB2312" w:eastAsia="仿宋_GB2312" w:cs="仿宋_GB2312"/>
                <w:snapToGrid w:val="0"/>
                <w:color w:val="auto"/>
                <w:kern w:val="0"/>
                <w:sz w:val="21"/>
                <w:szCs w:val="21"/>
              </w:rPr>
              <w:t>估价对象</w:t>
            </w:r>
            <w:r>
              <w:rPr>
                <w:rFonts w:hint="eastAsia" w:ascii="仿宋_GB2312" w:hAnsi="仿宋_GB2312" w:eastAsia="仿宋_GB2312" w:cs="仿宋_GB2312"/>
                <w:snapToGrid w:val="0"/>
                <w:color w:val="auto"/>
                <w:kern w:val="0"/>
                <w:sz w:val="21"/>
                <w:szCs w:val="21"/>
                <w:lang w:val="en-US" w:eastAsia="zh-CN"/>
              </w:rPr>
              <w:t>为2房1厅1厨2卫2阳台，室内为</w:t>
            </w:r>
            <w:r>
              <w:rPr>
                <w:rFonts w:hint="eastAsia" w:ascii="仿宋_GB2312" w:hAnsi="仿宋_GB2312" w:eastAsia="仿宋_GB2312" w:cs="仿宋_GB2312"/>
                <w:snapToGrid w:val="0"/>
                <w:color w:val="auto"/>
                <w:kern w:val="0"/>
                <w:sz w:val="21"/>
                <w:szCs w:val="21"/>
                <w:highlight w:val="none"/>
                <w:lang w:val="en-US" w:eastAsia="zh-CN"/>
              </w:rPr>
              <w:t>简单装修：</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ind w:firstLine="630" w:firstLineChars="300"/>
              <w:jc w:val="left"/>
              <w:textAlignment w:val="center"/>
              <w:rPr>
                <w:rFonts w:hint="eastAsia" w:ascii="仿宋_GB2312" w:hAnsi="仿宋_GB2312" w:eastAsia="仿宋_GB2312" w:cs="仿宋_GB2312"/>
                <w:snapToGrid w:val="0"/>
                <w:color w:val="auto"/>
                <w:kern w:val="0"/>
                <w:sz w:val="21"/>
                <w:szCs w:val="21"/>
                <w:lang w:val="en-US" w:eastAsia="zh-CN" w:bidi="ar-SA"/>
              </w:rPr>
            </w:pPr>
            <w:r>
              <w:rPr>
                <w:rFonts w:hint="eastAsia" w:ascii="仿宋_GB2312" w:hAnsi="仿宋_GB2312" w:eastAsia="仿宋_GB2312" w:cs="仿宋_GB2312"/>
                <w:snapToGrid w:val="0"/>
                <w:color w:val="auto"/>
                <w:kern w:val="0"/>
                <w:sz w:val="21"/>
                <w:szCs w:val="21"/>
                <w:lang w:val="en-US" w:eastAsia="zh-CN" w:bidi="ar-SA"/>
              </w:rPr>
              <w:t>客餐厅：地面为地砖、乳胶漆墙面、乳胶漆天花、木吊角线；</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left="0" w:leftChars="0" w:firstLine="630" w:firstLineChars="300"/>
              <w:textAlignment w:val="auto"/>
              <w:rPr>
                <w:rFonts w:hint="eastAsia" w:ascii="仿宋_GB2312" w:hAnsi="仿宋_GB2312" w:eastAsia="仿宋_GB2312" w:cs="仿宋_GB2312"/>
                <w:snapToGrid w:val="0"/>
                <w:color w:val="auto"/>
                <w:kern w:val="0"/>
                <w:sz w:val="21"/>
                <w:szCs w:val="21"/>
                <w:lang w:val="en-US" w:eastAsia="zh-CN" w:bidi="ar-SA"/>
              </w:rPr>
            </w:pPr>
            <w:r>
              <w:rPr>
                <w:rFonts w:hint="eastAsia" w:ascii="仿宋_GB2312" w:hAnsi="仿宋_GB2312" w:eastAsia="仿宋_GB2312" w:cs="仿宋_GB2312"/>
                <w:snapToGrid w:val="0"/>
                <w:color w:val="auto"/>
                <w:kern w:val="0"/>
                <w:sz w:val="21"/>
                <w:szCs w:val="21"/>
                <w:lang w:val="en-US" w:eastAsia="zh-CN" w:bidi="ar-SA"/>
              </w:rPr>
              <w:t>卧室：地面为地砖、乳胶漆墙面、乳胶漆天花、</w:t>
            </w:r>
            <w:r>
              <w:rPr>
                <w:rFonts w:hint="eastAsia" w:ascii="仿宋_GB2312" w:hAnsi="仿宋_GB2312" w:eastAsia="仿宋_GB2312" w:cs="仿宋_GB2312"/>
                <w:snapToGrid w:val="0"/>
                <w:color w:val="auto"/>
                <w:kern w:val="0"/>
                <w:sz w:val="21"/>
                <w:szCs w:val="21"/>
                <w:lang w:val="en-US" w:eastAsia="zh-CN" w:bidi="ar-SA"/>
              </w:rPr>
              <w:t>木吊角线</w:t>
            </w:r>
            <w:bookmarkStart w:id="17" w:name="_GoBack"/>
            <w:bookmarkEnd w:id="17"/>
            <w:r>
              <w:rPr>
                <w:rFonts w:hint="eastAsia" w:ascii="仿宋_GB2312" w:hAnsi="仿宋_GB2312" w:eastAsia="仿宋_GB2312" w:cs="仿宋_GB2312"/>
                <w:snapToGrid w:val="0"/>
                <w:color w:val="auto"/>
                <w:kern w:val="0"/>
                <w:sz w:val="21"/>
                <w:szCs w:val="21"/>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left="0" w:leftChars="0" w:firstLine="630" w:firstLineChars="300"/>
              <w:textAlignment w:val="auto"/>
              <w:rPr>
                <w:rFonts w:hint="eastAsia" w:ascii="仿宋_GB2312" w:hAnsi="仿宋_GB2312" w:eastAsia="仿宋_GB2312" w:cs="仿宋_GB2312"/>
                <w:snapToGrid w:val="0"/>
                <w:color w:val="auto"/>
                <w:kern w:val="0"/>
                <w:sz w:val="21"/>
                <w:szCs w:val="21"/>
                <w:lang w:val="en-US" w:eastAsia="zh-CN" w:bidi="ar-SA"/>
              </w:rPr>
            </w:pPr>
            <w:r>
              <w:rPr>
                <w:rFonts w:hint="eastAsia" w:ascii="仿宋_GB2312" w:hAnsi="仿宋_GB2312" w:eastAsia="仿宋_GB2312" w:cs="仿宋_GB2312"/>
                <w:snapToGrid w:val="0"/>
                <w:color w:val="auto"/>
                <w:kern w:val="0"/>
                <w:sz w:val="21"/>
                <w:szCs w:val="21"/>
                <w:lang w:val="en-US" w:eastAsia="zh-CN" w:bidi="ar-SA"/>
              </w:rPr>
              <w:t>厨房：地面为地砖、瓷砖墙面、铝扣板吊顶;</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left="0" w:leftChars="0" w:firstLine="630" w:firstLineChars="300"/>
              <w:textAlignment w:val="auto"/>
              <w:rPr>
                <w:rFonts w:hint="default" w:ascii="仿宋_GB2312" w:hAnsi="仿宋_GB2312" w:eastAsia="仿宋_GB2312" w:cs="仿宋_GB2312"/>
                <w:snapToGrid w:val="0"/>
                <w:color w:val="auto"/>
                <w:kern w:val="0"/>
                <w:sz w:val="21"/>
                <w:szCs w:val="21"/>
                <w:lang w:val="en-US" w:eastAsia="zh-CN" w:bidi="ar-SA"/>
              </w:rPr>
            </w:pPr>
            <w:r>
              <w:rPr>
                <w:rFonts w:hint="eastAsia" w:ascii="仿宋_GB2312" w:hAnsi="仿宋_GB2312" w:eastAsia="仿宋_GB2312" w:cs="仿宋_GB2312"/>
                <w:snapToGrid w:val="0"/>
                <w:color w:val="auto"/>
                <w:kern w:val="0"/>
                <w:sz w:val="21"/>
                <w:szCs w:val="21"/>
                <w:lang w:val="en-US" w:eastAsia="zh-CN" w:bidi="ar-SA"/>
              </w:rPr>
              <w:t>卫生间：地面为地砖、瓷砖墙面、铝扣板吊顶;</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ind w:firstLine="1050" w:firstLineChars="500"/>
              <w:jc w:val="left"/>
              <w:textAlignment w:val="center"/>
              <w:rPr>
                <w:rFonts w:hint="eastAsia" w:ascii="仿宋_GB2312" w:hAnsi="仿宋_GB2312" w:eastAsia="仿宋_GB2312" w:cs="仿宋_GB2312"/>
                <w:i w:val="0"/>
                <w:iCs w:val="0"/>
                <w:color w:val="auto"/>
                <w:kern w:val="0"/>
                <w:sz w:val="21"/>
                <w:szCs w:val="21"/>
                <w:u w:val="none"/>
                <w:lang w:val="en-US" w:eastAsia="zh-CN" w:bidi="ar"/>
              </w:rPr>
            </w:pPr>
            <w:r>
              <w:rPr>
                <w:rFonts w:hint="eastAsia" w:ascii="仿宋_GB2312" w:hAnsi="仿宋_GB2312" w:eastAsia="仿宋_GB2312" w:cs="仿宋_GB2312"/>
                <w:snapToGrid w:val="0"/>
                <w:color w:val="auto"/>
                <w:kern w:val="0"/>
                <w:sz w:val="21"/>
                <w:szCs w:val="21"/>
                <w:lang w:val="en-US" w:eastAsia="zh-CN"/>
              </w:rPr>
              <w:t>2、经估价师现场查勘，估价对象住宅用房目前空置。</w:t>
            </w:r>
          </w:p>
        </w:tc>
      </w:tr>
    </w:tbl>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textAlignment w:val="auto"/>
        <w:rPr>
          <w:rFonts w:hint="eastAsia" w:ascii="仿宋_GB2312" w:hAnsi="宋体" w:eastAsia="仿宋_GB2312"/>
          <w:color w:val="auto"/>
          <w:kern w:val="0"/>
          <w:sz w:val="28"/>
          <w:szCs w:val="28"/>
          <w:lang w:val="en-US" w:eastAsia="zh-CN"/>
        </w:rPr>
      </w:pPr>
      <w:r>
        <w:rPr>
          <w:rFonts w:hint="eastAsia" w:ascii="仿宋_GB2312" w:hAnsi="宋体" w:eastAsia="仿宋_GB2312"/>
          <w:color w:val="auto"/>
          <w:kern w:val="0"/>
          <w:sz w:val="28"/>
          <w:szCs w:val="28"/>
          <w:lang w:val="en-US" w:eastAsia="zh-CN"/>
        </w:rPr>
        <w:t>3、他项权利状况</w:t>
      </w:r>
      <w:r>
        <w:rPr>
          <w:rFonts w:hint="eastAsia" w:ascii="仿宋_GB2312" w:hAnsi="宋体" w:eastAsia="仿宋_GB2312"/>
          <w:color w:val="auto"/>
          <w:kern w:val="0"/>
          <w:sz w:val="28"/>
          <w:szCs w:val="28"/>
          <w:lang w:val="en-US" w:eastAsia="zh-CN"/>
        </w:rPr>
        <w:tab/>
      </w:r>
    </w:p>
    <w:p>
      <w:pPr>
        <w:keepLines w:val="0"/>
        <w:pageBreakBefore w:val="0"/>
        <w:widowControl w:val="0"/>
        <w:numPr>
          <w:ilvl w:val="0"/>
          <w:numId w:val="0"/>
        </w:numPr>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lang w:val="en-US" w:eastAsia="zh-CN"/>
        </w:rPr>
      </w:pPr>
      <w:r>
        <w:rPr>
          <w:rFonts w:hint="eastAsia" w:eastAsia="仿宋_GB2312"/>
          <w:snapToGrid w:val="0"/>
          <w:kern w:val="0"/>
          <w:sz w:val="28"/>
          <w:szCs w:val="20"/>
        </w:rPr>
        <w:t>根据</w:t>
      </w:r>
      <w:r>
        <w:rPr>
          <w:rFonts w:hint="eastAsia" w:eastAsia="仿宋_GB2312"/>
          <w:snapToGrid w:val="0"/>
          <w:kern w:val="0"/>
          <w:sz w:val="28"/>
          <w:szCs w:val="20"/>
          <w:lang w:val="en-US" w:eastAsia="zh-CN"/>
        </w:rPr>
        <w:t>委托方提供的资料及现场调查</w:t>
      </w:r>
      <w:r>
        <w:rPr>
          <w:rFonts w:hint="eastAsia" w:eastAsia="仿宋_GB2312"/>
          <w:snapToGrid w:val="0"/>
          <w:kern w:val="0"/>
          <w:sz w:val="28"/>
          <w:szCs w:val="20"/>
        </w:rPr>
        <w:t>，</w:t>
      </w:r>
      <w:r>
        <w:rPr>
          <w:rFonts w:hint="eastAsia" w:ascii="仿宋_GB2312" w:hAnsi="宋体" w:eastAsia="仿宋_GB2312"/>
          <w:color w:val="000000"/>
          <w:sz w:val="28"/>
          <w:szCs w:val="28"/>
        </w:rPr>
        <w:t>估价对象于价值时点已</w:t>
      </w:r>
      <w:r>
        <w:rPr>
          <w:rFonts w:hint="eastAsia" w:ascii="仿宋_GB2312" w:hAnsi="宋体" w:eastAsia="仿宋_GB2312"/>
          <w:color w:val="000000"/>
          <w:sz w:val="28"/>
          <w:szCs w:val="28"/>
          <w:lang w:val="en-US" w:eastAsia="zh-CN"/>
        </w:rPr>
        <w:t>被查封</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根据</w:t>
      </w:r>
      <w:r>
        <w:rPr>
          <w:rFonts w:hint="eastAsia" w:ascii="仿宋_GB2312" w:hAnsi="宋体" w:eastAsia="仿宋_GB2312"/>
          <w:color w:val="000000"/>
          <w:sz w:val="28"/>
          <w:szCs w:val="28"/>
          <w:lang w:val="en-US" w:eastAsia="zh-CN"/>
        </w:rPr>
        <w:t>本次</w:t>
      </w:r>
      <w:r>
        <w:rPr>
          <w:rFonts w:hint="eastAsia" w:ascii="仿宋_GB2312" w:hAnsi="宋体" w:eastAsia="仿宋_GB2312"/>
          <w:color w:val="000000"/>
          <w:sz w:val="28"/>
          <w:szCs w:val="28"/>
        </w:rPr>
        <w:t>估价目的，</w:t>
      </w:r>
      <w:r>
        <w:rPr>
          <w:rFonts w:hint="eastAsia" w:ascii="仿宋_GB2312" w:hAnsi="宋体" w:eastAsia="仿宋_GB2312"/>
          <w:snapToGrid/>
          <w:color w:val="000000"/>
          <w:kern w:val="2"/>
          <w:sz w:val="28"/>
          <w:szCs w:val="28"/>
        </w:rPr>
        <w:t>本次评估未考虑</w:t>
      </w:r>
      <w:r>
        <w:rPr>
          <w:rFonts w:hint="eastAsia" w:ascii="仿宋_GB2312" w:hAnsi="宋体" w:eastAsia="仿宋_GB2312"/>
          <w:snapToGrid/>
          <w:color w:val="000000"/>
          <w:kern w:val="2"/>
          <w:sz w:val="28"/>
          <w:szCs w:val="28"/>
          <w:lang w:val="en-US" w:eastAsia="zh-CN"/>
        </w:rPr>
        <w:t>估价</w:t>
      </w:r>
      <w:r>
        <w:rPr>
          <w:rFonts w:hint="eastAsia" w:ascii="仿宋_GB2312" w:hAnsi="宋体" w:eastAsia="仿宋_GB2312"/>
          <w:snapToGrid/>
          <w:color w:val="000000"/>
          <w:kern w:val="2"/>
          <w:sz w:val="28"/>
          <w:szCs w:val="28"/>
        </w:rPr>
        <w:t>对象</w:t>
      </w:r>
      <w:r>
        <w:rPr>
          <w:rFonts w:hint="eastAsia" w:ascii="仿宋_GB2312" w:hAnsi="宋体" w:eastAsia="仿宋_GB2312"/>
          <w:snapToGrid/>
          <w:color w:val="000000"/>
          <w:kern w:val="2"/>
          <w:sz w:val="28"/>
          <w:szCs w:val="28"/>
          <w:lang w:val="en-US" w:eastAsia="zh-CN"/>
        </w:rPr>
        <w:t>租赁、</w:t>
      </w:r>
      <w:r>
        <w:rPr>
          <w:rFonts w:hint="eastAsia" w:ascii="仿宋_GB2312" w:hAnsi="宋体" w:eastAsia="仿宋_GB2312"/>
          <w:snapToGrid/>
          <w:color w:val="000000"/>
          <w:kern w:val="2"/>
          <w:sz w:val="28"/>
          <w:szCs w:val="28"/>
        </w:rPr>
        <w:t>被查封以及原有的担保物权和其他优先受偿权的影响</w:t>
      </w:r>
      <w:r>
        <w:rPr>
          <w:rFonts w:hint="eastAsia" w:eastAsia="仿宋_GB2312"/>
          <w:snapToGrid w:val="0"/>
          <w:kern w:val="0"/>
          <w:sz w:val="28"/>
          <w:szCs w:val="20"/>
        </w:rPr>
        <w:t>。</w:t>
      </w:r>
    </w:p>
    <w:p>
      <w:pPr>
        <w:keepLines w:val="0"/>
        <w:pageBreakBefore w:val="0"/>
        <w:widowControl w:val="0"/>
        <w:numPr>
          <w:ilvl w:val="0"/>
          <w:numId w:val="0"/>
        </w:numPr>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lang w:val="en-US" w:eastAsia="zh-CN"/>
        </w:rPr>
        <w:t>4、</w:t>
      </w:r>
      <w:r>
        <w:rPr>
          <w:rFonts w:hint="eastAsia" w:ascii="仿宋_GB2312" w:hAnsi="仿宋_GB2312" w:eastAsia="仿宋_GB2312" w:cs="仿宋_GB2312"/>
          <w:snapToGrid w:val="0"/>
          <w:kern w:val="0"/>
          <w:sz w:val="28"/>
          <w:szCs w:val="20"/>
        </w:rPr>
        <w:t>区位状况</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default" w:ascii="仿宋_GB2312" w:hAnsi="仿宋_GB2312" w:eastAsia="仿宋_GB2312" w:cs="仿宋_GB2312"/>
          <w:caps/>
          <w:sz w:val="28"/>
          <w:szCs w:val="28"/>
          <w:lang w:val="en-US" w:eastAsia="zh-CN"/>
        </w:rPr>
      </w:pPr>
      <w:r>
        <w:rPr>
          <w:rFonts w:hint="eastAsia" w:ascii="仿宋_GB2312" w:hAnsi="仿宋_GB2312" w:eastAsia="仿宋_GB2312" w:cs="仿宋_GB2312"/>
          <w:caps/>
          <w:sz w:val="28"/>
          <w:szCs w:val="28"/>
          <w:lang w:eastAsia="zh-CN"/>
        </w:rPr>
        <w:t>吉安市位于江西省中部，</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"https://baike.baidu.com/item/%E8%B5%A3%E6%B1%9F"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赣江</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中游。地势上，属罗霄山脉中段，扼湖南、江西两省咽喉通道。地理位置介于北纬25°58′32″至27°57′50″，东经113°46′至115°56′之间，全市长约218千米，东西宽约208千米，总面积为25271平方千米。东邻</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"https://baike.baidu.com/item/%E6%8A%9A%E5%B7%9E%E5%B8%82/520352"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抚州市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的</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"https://baike.baidu.com/item/%E5%B4%87%E4%BB%81%E5%8E%BF"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崇仁县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"https://baike.baidu.com/item/%E4%B9%90%E5%AE%89%E5%8E%BF/80921"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乐安县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及</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"https://baike.baidu.com/item/%E8%B5%A3%E5%B7%9E%E5%B8%82/1688863"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赣州市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的</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"https://baike.baidu.com/item/%E5%AE%81%E9%83%BD%E5%8E%BF"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宁都县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"https://baike.baidu.com/item/%E5%85%B4%E5%9B%BD%E5%8E%BF"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兴国县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，南连赣州市的</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"https://baike.baidu.com/item/%E8%B5%A3%E5%8E%BF%E5%8C%BA"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赣县区</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"https://baike.baidu.com/item/%E5%8D%97%E5%BA%B7%E5%8C%BA"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南康区</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"https://baike.baidu.com/item/%E4%B8%8A%E7%8A%B9%E5%8E%BF"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上犹县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，西接</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"https://baike.baidu.com/item/%E6%B9%96%E5%8D%97%E7%9C%81/293174"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湖南省</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的</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"https://baike.baidu.com/item/%E6%A1%82%E4%B8%9C%E5%8E%BF"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桂东县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"https://baike.baidu.com/item/%E7%82%8E%E9%99%B5%E5%8E%BF"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炎陵县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"https://baike.baidu.com/item/%E8%8C%B6%E9%99%B5%E5%8E%BF"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茶陵县</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，北与</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"https://baike.baidu.com/item/%E5%AE%9C%E6%98%A5%E5%B8%82/3435813"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宜春市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的</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"https://baike.baidu.com/item/%E4%B8%B0%E5%9F%8E%E5%B8%82"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丰城市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"https://baike.baidu.com/item/%E6%A8%9F%E6%A0%91%E5%B8%82"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樟树市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及</w:t>
      </w:r>
      <w:r>
        <w:rPr>
          <w:rFonts w:hint="default" w:ascii="仿宋_GB2312" w:hAnsi="仿宋_GB2312" w:eastAsia="仿宋_GB2312" w:cs="仿宋_GB2312"/>
          <w:caps/>
          <w:sz w:val="28"/>
          <w:szCs w:val="28"/>
          <w:lang w:eastAsia="zh-CN"/>
        </w:rPr>
        <w:fldChar w:fldCharType="begin"/>
      </w:r>
      <w:r>
        <w:rPr>
          <w:rFonts w:hint="default" w:ascii="仿宋_GB2312" w:hAnsi="仿宋_GB2312" w:eastAsia="仿宋_GB2312" w:cs="仿宋_GB2312"/>
          <w:caps/>
          <w:sz w:val="28"/>
          <w:szCs w:val="28"/>
          <w:lang w:eastAsia="zh-CN"/>
        </w:rPr>
        <w:instrText xml:space="preserve"> HYPERLINK "https://baike.baidu.com/item/%E6%96%B0%E4%BD%99%E5%B8%82" \t "https://baike.baidu.com/item/%E5%90%89%E5%AE%89/_blank" </w:instrText>
      </w:r>
      <w:r>
        <w:rPr>
          <w:rFonts w:hint="default" w:ascii="仿宋_GB2312" w:hAnsi="仿宋_GB2312" w:eastAsia="仿宋_GB2312" w:cs="仿宋_GB2312"/>
          <w:caps/>
          <w:sz w:val="28"/>
          <w:szCs w:val="28"/>
          <w:lang w:eastAsia="zh-CN"/>
        </w:rPr>
        <w:fldChar w:fldCharType="separate"/>
      </w:r>
      <w:r>
        <w:rPr>
          <w:rFonts w:hint="default" w:ascii="仿宋_GB2312" w:hAnsi="仿宋_GB2312" w:eastAsia="仿宋_GB2312" w:cs="仿宋_GB2312"/>
          <w:caps/>
          <w:sz w:val="28"/>
          <w:szCs w:val="28"/>
          <w:lang w:eastAsia="zh-CN"/>
        </w:rPr>
        <w:t>新余市</w:t>
      </w:r>
      <w:r>
        <w:rPr>
          <w:rFonts w:hint="default" w:ascii="仿宋_GB2312" w:hAnsi="仿宋_GB2312" w:eastAsia="仿宋_GB2312" w:cs="仿宋_GB2312"/>
          <w:caps/>
          <w:sz w:val="28"/>
          <w:szCs w:val="28"/>
          <w:lang w:eastAsia="zh-CN"/>
        </w:rPr>
        <w:fldChar w:fldCharType="end"/>
      </w:r>
      <w:r>
        <w:rPr>
          <w:rFonts w:hint="default" w:ascii="仿宋_GB2312" w:hAnsi="仿宋_GB2312" w:eastAsia="仿宋_GB2312" w:cs="仿宋_GB2312"/>
          <w:caps/>
          <w:sz w:val="28"/>
          <w:szCs w:val="28"/>
          <w:lang w:eastAsia="zh-CN"/>
        </w:rPr>
        <w:t>、萍乡市接壤。</w:t>
      </w:r>
      <w:r>
        <w:rPr>
          <w:rFonts w:hint="eastAsia" w:ascii="仿宋_GB2312" w:hAnsi="仿宋_GB2312" w:eastAsia="仿宋_GB2312" w:cs="仿宋_GB2312"/>
          <w:caps/>
          <w:sz w:val="28"/>
          <w:szCs w:val="28"/>
          <w:lang w:eastAsia="zh-CN"/>
        </w:rPr>
        <w:t>吉安下辖2区1市10县。全市总面积25283平方千米</w:t>
      </w:r>
      <w:r>
        <w:rPr>
          <w:rFonts w:hint="default" w:ascii="仿宋_GB2312" w:hAnsi="仿宋_GB2312" w:eastAsia="仿宋_GB2312" w:cs="仿宋_GB2312"/>
          <w:caps/>
          <w:sz w:val="28"/>
          <w:szCs w:val="28"/>
          <w:lang w:eastAsia="zh-CN"/>
        </w:rPr>
        <w:t>。截至2020年11月1日零时，吉安市常住人口为446.9176万人(第七次人口普查)。2021年吉安地区生产总值为2525.65亿元，同比增长9.0%。</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委估物业位于</w:t>
      </w:r>
      <w:r>
        <w:rPr>
          <w:rFonts w:hint="eastAsia" w:ascii="仿宋_GB2312" w:hAnsi="仿宋_GB2312" w:eastAsia="仿宋_GB2312" w:cs="仿宋_GB2312"/>
          <w:caps/>
          <w:sz w:val="28"/>
          <w:szCs w:val="28"/>
          <w:lang w:eastAsia="zh-CN"/>
        </w:rPr>
        <w:t>青原区青原大道西侧粮食局对面第2栋住宅501房</w:t>
      </w:r>
      <w:r>
        <w:rPr>
          <w:rFonts w:hint="eastAsia" w:ascii="仿宋_GB2312" w:hAnsi="仿宋_GB2312" w:eastAsia="仿宋_GB2312" w:cs="仿宋_GB2312"/>
          <w:sz w:val="28"/>
          <w:szCs w:val="28"/>
          <w:lang w:val="en-US" w:eastAsia="zh-CN"/>
        </w:rPr>
        <w:t>，附近有青原大道、江东路、正气路等，道路通达性和交通便捷度好。周围人文环境好、整体人群文化素质较高，治安状况良好。该区域的各种基础配套设施及生活服务设施较完备，能够满足日常生活的需要。委估对象所处区域市政配套设施服务网点完善，其周边有：</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公共交通：附近有吉安文武学校公交站，18路A线、</w:t>
      </w:r>
      <w:r>
        <w:rPr>
          <w:rFonts w:hint="default" w:ascii="仿宋_GB2312" w:hAnsi="仿宋_GB2312" w:eastAsia="仿宋_GB2312" w:cs="仿宋_GB2312"/>
          <w:sz w:val="28"/>
          <w:szCs w:val="28"/>
          <w:lang w:val="en-US" w:eastAsia="zh-CN"/>
        </w:rPr>
        <w:t>18路D线 </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102路D线</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 301路</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901路</w:t>
      </w:r>
      <w:r>
        <w:rPr>
          <w:rFonts w:hint="eastAsia" w:ascii="仿宋_GB2312" w:hAnsi="仿宋_GB2312" w:eastAsia="仿宋_GB2312" w:cs="仿宋_GB2312"/>
          <w:sz w:val="28"/>
          <w:szCs w:val="28"/>
          <w:lang w:val="en-US" w:eastAsia="zh-CN"/>
        </w:rPr>
        <w:t>等多路公交车经停；</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周边</w:t>
      </w:r>
      <w:r>
        <w:rPr>
          <w:rFonts w:hint="eastAsia" w:ascii="仿宋_GB2312" w:hAnsi="仿宋_GB2312" w:eastAsia="仿宋_GB2312" w:cs="仿宋_GB2312"/>
          <w:sz w:val="28"/>
          <w:szCs w:val="28"/>
          <w:lang w:val="en-US" w:eastAsia="zh-CN"/>
        </w:rPr>
        <w:t>商业</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昌隆超市、惠家福超市、阳光超市、青原区菜市场、移动和联通营业、中国邮政储蓄银行、中国农业银行、中国工商银行等；</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周边公园：</w:t>
      </w:r>
      <w:r>
        <w:rPr>
          <w:rFonts w:hint="eastAsia" w:ascii="仿宋_GB2312" w:hAnsi="仿宋_GB2312" w:eastAsia="仿宋_GB2312" w:cs="仿宋_GB2312"/>
          <w:sz w:val="28"/>
          <w:szCs w:val="28"/>
          <w:lang w:val="en-US" w:eastAsia="zh-CN"/>
        </w:rPr>
        <w:t>滨江生态公园；</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周边医院：</w:t>
      </w:r>
      <w:r>
        <w:rPr>
          <w:rFonts w:hint="eastAsia" w:ascii="仿宋_GB2312" w:hAnsi="仿宋_GB2312" w:eastAsia="仿宋_GB2312" w:cs="仿宋_GB2312"/>
          <w:sz w:val="28"/>
          <w:szCs w:val="28"/>
          <w:lang w:val="en-US" w:eastAsia="zh-CN"/>
        </w:rPr>
        <w:t>吉安仁济医院、河东社区卫生服务中心；</w:t>
      </w:r>
    </w:p>
    <w:p>
      <w:pPr>
        <w:keepLines w:val="0"/>
        <w:pageBreakBefore w:val="0"/>
        <w:widowControl w:val="0"/>
        <w:kinsoku/>
        <w:wordWrap/>
        <w:overflowPunct/>
        <w:topLinePunct w:val="0"/>
        <w:autoSpaceDE/>
        <w:autoSpaceDN/>
        <w:bidi w:val="0"/>
        <w:adjustRightInd/>
        <w:snapToGrid/>
        <w:spacing w:before="0" w:after="0" w:line="520" w:lineRule="exact"/>
        <w:ind w:right="34" w:firstLine="560" w:firstLineChars="200"/>
        <w:textAlignment w:val="auto"/>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周边学校：</w:t>
      </w:r>
      <w:r>
        <w:rPr>
          <w:rFonts w:hint="eastAsia" w:ascii="仿宋_GB2312" w:hAnsi="仿宋_GB2312" w:eastAsia="仿宋_GB2312" w:cs="仿宋_GB2312"/>
          <w:sz w:val="28"/>
          <w:szCs w:val="28"/>
          <w:lang w:val="en-US" w:eastAsia="zh-CN"/>
        </w:rPr>
        <w:t>吉安阳明实验学校、青原区新桥小学、吉安市青原区城北学校；</w:t>
      </w:r>
    </w:p>
    <w:p>
      <w:pPr>
        <w:keepLines w:val="0"/>
        <w:pageBreakBefore w:val="0"/>
        <w:widowControl w:val="0"/>
        <w:numPr>
          <w:ilvl w:val="0"/>
          <w:numId w:val="0"/>
        </w:numPr>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宋体" w:eastAsia="仿宋_GB2312"/>
          <w:snapToGrid/>
          <w:color w:val="000000"/>
          <w:kern w:val="2"/>
          <w:sz w:val="28"/>
          <w:szCs w:val="28"/>
          <w:lang w:eastAsia="zh-CN"/>
        </w:rPr>
      </w:pPr>
      <w:r>
        <w:rPr>
          <w:rFonts w:hint="eastAsia" w:ascii="仿宋_GB2312" w:hAnsi="仿宋_GB2312" w:eastAsia="仿宋_GB2312" w:cs="仿宋_GB2312"/>
          <w:sz w:val="28"/>
          <w:szCs w:val="28"/>
          <w:lang w:val="en-US" w:eastAsia="zh-CN"/>
        </w:rPr>
        <w:t>综上所述，估价对象所在区域内基础设施及配套公服设施较完善</w:t>
      </w:r>
      <w:r>
        <w:rPr>
          <w:rFonts w:hint="eastAsia" w:ascii="仿宋_GB2312" w:hAnsi="宋体" w:eastAsia="仿宋_GB2312"/>
          <w:snapToGrid/>
          <w:color w:val="000000"/>
          <w:kern w:val="2"/>
          <w:sz w:val="28"/>
          <w:szCs w:val="28"/>
          <w:lang w:eastAsia="zh-CN"/>
        </w:rPr>
        <w:t>。</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color w:val="000000"/>
          <w:sz w:val="28"/>
          <w:szCs w:val="28"/>
        </w:rPr>
      </w:pPr>
      <w:bookmarkStart w:id="7" w:name="_Toc27070"/>
      <w:r>
        <w:rPr>
          <w:rFonts w:hint="eastAsia" w:ascii="仿宋_GB2312" w:hAnsi="仿宋_GB2312" w:eastAsia="仿宋_GB2312" w:cs="仿宋_GB2312"/>
          <w:color w:val="000000"/>
          <w:sz w:val="28"/>
          <w:szCs w:val="28"/>
        </w:rPr>
        <w:t>（五）价值时点</w:t>
      </w:r>
      <w:bookmarkEnd w:id="7"/>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b/>
          <w:bCs/>
          <w:snapToGrid w:val="0"/>
          <w:kern w:val="0"/>
          <w:sz w:val="28"/>
          <w:szCs w:val="20"/>
        </w:rPr>
      </w:pPr>
      <w:r>
        <w:rPr>
          <w:rFonts w:hint="eastAsia" w:ascii="仿宋_GB2312" w:hAnsi="宋体" w:eastAsia="仿宋_GB2312"/>
          <w:snapToGrid w:val="0"/>
          <w:sz w:val="28"/>
          <w:szCs w:val="28"/>
          <w:lang w:val="en-US" w:eastAsia="zh-CN"/>
        </w:rPr>
        <w:t>涉案房地产司法评估的价值时点一般设定为估价对象实地查勘完成之日，即2022年6月1日</w:t>
      </w:r>
      <w:r>
        <w:rPr>
          <w:rFonts w:hint="eastAsia" w:ascii="仿宋_GB2312" w:hAnsi="仿宋_GB2312" w:eastAsia="仿宋_GB2312" w:cs="仿宋_GB2312"/>
          <w:snapToGrid w:val="0"/>
          <w:kern w:val="0"/>
          <w:sz w:val="28"/>
          <w:szCs w:val="20"/>
        </w:rPr>
        <w:t>。</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b/>
          <w:bCs/>
          <w:color w:val="000000"/>
          <w:sz w:val="28"/>
          <w:szCs w:val="28"/>
        </w:rPr>
      </w:pPr>
      <w:bookmarkStart w:id="8" w:name="_Toc10488"/>
      <w:r>
        <w:rPr>
          <w:rFonts w:hint="eastAsia" w:ascii="仿宋_GB2312" w:hAnsi="仿宋_GB2312" w:eastAsia="仿宋_GB2312" w:cs="仿宋_GB2312"/>
          <w:b/>
          <w:bCs/>
          <w:color w:val="000000"/>
          <w:sz w:val="28"/>
          <w:szCs w:val="28"/>
        </w:rPr>
        <w:t>（六）价值类型</w:t>
      </w:r>
      <w:bookmarkEnd w:id="8"/>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估价中采用市场价值标准，即所评估出的客观合理价格应是在公开市场上最可能形成或成立的价格。</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公开市场：指交易双方进行交易的目的在于最大限度地追求经济利益，并掌握必要的市场信息，有比较充裕的时间进行交易，对交易对象具有必要的专业知识，交易条件并不具有排他性。</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公开市场价值：指在公开市场上最可能形成的价格。</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color w:val="000000"/>
          <w:sz w:val="28"/>
          <w:szCs w:val="28"/>
        </w:rPr>
      </w:pPr>
      <w:bookmarkStart w:id="9" w:name="_Toc2600"/>
      <w:r>
        <w:rPr>
          <w:rFonts w:hint="eastAsia" w:ascii="仿宋_GB2312" w:hAnsi="仿宋_GB2312" w:eastAsia="仿宋_GB2312" w:cs="仿宋_GB2312"/>
          <w:color w:val="000000"/>
          <w:sz w:val="28"/>
          <w:szCs w:val="28"/>
        </w:rPr>
        <w:t>（七）估价原则</w:t>
      </w:r>
      <w:bookmarkEnd w:id="9"/>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我们在本次估价时遵循了以下原则：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1、独立、客观、公正原则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独立、客观、公正原则要求房地产估价师站地中立的产场上，评估出对各方当事人来说均是公平合理的价格。</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2、合法原则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合法原则要求房地产估价应以估价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3、价值时点原则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房地产市场是不断变化的，房地产价格具有很强的时间性，它是某一时点上的价格。在不同时点，同一宗房地产往往会有不同的价格。价值时点原则是指求取某一时点上的价格，所以在评估一宗房地产的价格时，必须假定市场停止在价值时点上，同时估价对象房地产的状况通常也是以其在该时点时的状况为准。</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4、替代原则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根据市场运行规律，在同一商品市场中，商品或提供服务的效用相同或大致相似时，价格低者吸引需求，即有两个以上互有替代性的商品或服务同时存在时，商品或服务的价格中经过相互影响与比较之后来决定。房地产价格也同样遵循替代规律，受其它具有相同使用价值的房地产，即同类型具有替代可能的房地产价格所牵制。换言之，具有相同使用价值、替代可能的房地产之间，会相互影响和竞争，使价格相互牵制而趋于一致。</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5、最高最佳利用原则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所谓最高最佳利用是估价对象一种最可能的使用，这种最可能的使用是法律上允许、技术上可能、财务上可行、经过充分合理的论证，并能给予估价对象带来最高价值的使用。它的一种具体表现，是以能使估价对象获利最多的用途和开发强度来衡量。这是因为在房地产市场中，每位房地产拥有者在主观上都试图充分地发挥房地产的潜力，采用最高最佳利用方式，取得最大的收益。</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color w:val="000000"/>
          <w:sz w:val="28"/>
          <w:szCs w:val="28"/>
        </w:rPr>
      </w:pPr>
      <w:bookmarkStart w:id="10" w:name="_Toc4525"/>
      <w:r>
        <w:rPr>
          <w:rFonts w:hint="eastAsia" w:ascii="仿宋_GB2312" w:hAnsi="仿宋_GB2312" w:eastAsia="仿宋_GB2312" w:cs="仿宋_GB2312"/>
          <w:color w:val="000000"/>
          <w:sz w:val="28"/>
          <w:szCs w:val="28"/>
        </w:rPr>
        <w:t>（八）估价依据</w:t>
      </w:r>
      <w:bookmarkEnd w:id="10"/>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1、本次估价所依据的有关法律、法规和政策文件</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（1）《中华人民共和国房地产管理法》（中华人民共和国主席令第72号，自1995年1月1日起施行，20</w:t>
      </w:r>
      <w:r>
        <w:rPr>
          <w:rFonts w:hint="eastAsia" w:ascii="仿宋_GB2312" w:hAnsi="仿宋_GB2312" w:eastAsia="仿宋_GB2312" w:cs="仿宋_GB2312"/>
          <w:snapToGrid w:val="0"/>
          <w:kern w:val="0"/>
          <w:sz w:val="28"/>
          <w:szCs w:val="20"/>
          <w:lang w:val="en-US" w:eastAsia="zh-CN"/>
        </w:rPr>
        <w:t>1</w:t>
      </w:r>
      <w:r>
        <w:rPr>
          <w:rFonts w:hint="eastAsia" w:ascii="仿宋_GB2312" w:hAnsi="仿宋_GB2312" w:eastAsia="仿宋_GB2312" w:cs="仿宋_GB2312"/>
          <w:snapToGrid w:val="0"/>
          <w:kern w:val="0"/>
          <w:sz w:val="28"/>
          <w:szCs w:val="20"/>
        </w:rPr>
        <w:t>9年8月2</w:t>
      </w:r>
      <w:r>
        <w:rPr>
          <w:rFonts w:hint="eastAsia" w:ascii="仿宋_GB2312" w:hAnsi="仿宋_GB2312" w:eastAsia="仿宋_GB2312" w:cs="仿宋_GB2312"/>
          <w:snapToGrid w:val="0"/>
          <w:kern w:val="0"/>
          <w:sz w:val="28"/>
          <w:szCs w:val="20"/>
          <w:lang w:val="en-US" w:eastAsia="zh-CN"/>
        </w:rPr>
        <w:t>6</w:t>
      </w:r>
      <w:r>
        <w:rPr>
          <w:rFonts w:hint="eastAsia" w:ascii="仿宋_GB2312" w:hAnsi="仿宋_GB2312" w:eastAsia="仿宋_GB2312" w:cs="仿宋_GB2312"/>
          <w:snapToGrid w:val="0"/>
          <w:kern w:val="0"/>
          <w:sz w:val="28"/>
          <w:szCs w:val="20"/>
        </w:rPr>
        <w:t>日第</w:t>
      </w:r>
      <w:r>
        <w:rPr>
          <w:rFonts w:hint="eastAsia" w:ascii="仿宋_GB2312" w:hAnsi="仿宋_GB2312" w:eastAsia="仿宋_GB2312" w:cs="仿宋_GB2312"/>
          <w:snapToGrid w:val="0"/>
          <w:kern w:val="0"/>
          <w:sz w:val="28"/>
          <w:szCs w:val="20"/>
          <w:lang w:eastAsia="zh-CN"/>
        </w:rPr>
        <w:t>三</w:t>
      </w:r>
      <w:r>
        <w:rPr>
          <w:rFonts w:hint="eastAsia" w:ascii="仿宋_GB2312" w:hAnsi="仿宋_GB2312" w:eastAsia="仿宋_GB2312" w:cs="仿宋_GB2312"/>
          <w:snapToGrid w:val="0"/>
          <w:kern w:val="0"/>
          <w:sz w:val="28"/>
          <w:szCs w:val="20"/>
        </w:rPr>
        <w:t>次修正）；</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kern w:val="0"/>
          <w:sz w:val="28"/>
          <w:szCs w:val="20"/>
        </w:rPr>
        <w:t>（2）《中华人民共和国土地管理法》（中华人民共和国主席令第28</w:t>
      </w:r>
      <w:r>
        <w:rPr>
          <w:rFonts w:hint="eastAsia" w:ascii="仿宋_GB2312" w:hAnsi="仿宋_GB2312" w:eastAsia="仿宋_GB2312" w:cs="仿宋_GB2312"/>
          <w:snapToGrid w:val="0"/>
          <w:color w:val="auto"/>
          <w:kern w:val="0"/>
          <w:sz w:val="28"/>
          <w:szCs w:val="20"/>
        </w:rPr>
        <w:t>号，自1999年１月１日起施行，20</w:t>
      </w:r>
      <w:r>
        <w:rPr>
          <w:rFonts w:hint="eastAsia" w:ascii="仿宋_GB2312" w:hAnsi="仿宋_GB2312" w:eastAsia="仿宋_GB2312" w:cs="仿宋_GB2312"/>
          <w:snapToGrid w:val="0"/>
          <w:color w:val="auto"/>
          <w:kern w:val="0"/>
          <w:sz w:val="28"/>
          <w:szCs w:val="20"/>
          <w:lang w:val="en-US" w:eastAsia="zh-CN"/>
        </w:rPr>
        <w:t>19</w:t>
      </w:r>
      <w:r>
        <w:rPr>
          <w:rFonts w:hint="eastAsia" w:ascii="仿宋_GB2312" w:hAnsi="仿宋_GB2312" w:eastAsia="仿宋_GB2312" w:cs="仿宋_GB2312"/>
          <w:snapToGrid w:val="0"/>
          <w:color w:val="auto"/>
          <w:kern w:val="0"/>
          <w:sz w:val="28"/>
          <w:szCs w:val="20"/>
        </w:rPr>
        <w:t>年8月2</w:t>
      </w:r>
      <w:r>
        <w:rPr>
          <w:rFonts w:hint="eastAsia" w:ascii="仿宋_GB2312" w:hAnsi="仿宋_GB2312" w:eastAsia="仿宋_GB2312" w:cs="仿宋_GB2312"/>
          <w:snapToGrid w:val="0"/>
          <w:color w:val="auto"/>
          <w:kern w:val="0"/>
          <w:sz w:val="28"/>
          <w:szCs w:val="20"/>
          <w:lang w:val="en-US" w:eastAsia="zh-CN"/>
        </w:rPr>
        <w:t>6</w:t>
      </w:r>
      <w:r>
        <w:rPr>
          <w:rFonts w:hint="eastAsia" w:ascii="仿宋_GB2312" w:hAnsi="仿宋_GB2312" w:eastAsia="仿宋_GB2312" w:cs="仿宋_GB2312"/>
          <w:snapToGrid w:val="0"/>
          <w:color w:val="auto"/>
          <w:kern w:val="0"/>
          <w:sz w:val="28"/>
          <w:szCs w:val="20"/>
        </w:rPr>
        <w:t>日第</w:t>
      </w:r>
      <w:r>
        <w:rPr>
          <w:rFonts w:hint="eastAsia" w:ascii="仿宋_GB2312" w:hAnsi="仿宋_GB2312" w:eastAsia="仿宋_GB2312" w:cs="仿宋_GB2312"/>
          <w:snapToGrid w:val="0"/>
          <w:color w:val="auto"/>
          <w:kern w:val="0"/>
          <w:sz w:val="28"/>
          <w:szCs w:val="20"/>
          <w:lang w:eastAsia="zh-CN"/>
        </w:rPr>
        <w:t>三</w:t>
      </w:r>
      <w:r>
        <w:rPr>
          <w:rFonts w:hint="eastAsia" w:ascii="仿宋_GB2312" w:hAnsi="仿宋_GB2312" w:eastAsia="仿宋_GB2312" w:cs="仿宋_GB2312"/>
          <w:snapToGrid w:val="0"/>
          <w:color w:val="auto"/>
          <w:kern w:val="0"/>
          <w:sz w:val="28"/>
          <w:szCs w:val="20"/>
        </w:rPr>
        <w:t>次修正）；</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color w:val="auto"/>
          <w:kern w:val="0"/>
          <w:sz w:val="28"/>
          <w:szCs w:val="20"/>
        </w:rPr>
      </w:pPr>
      <w:r>
        <w:rPr>
          <w:rFonts w:hint="eastAsia" w:ascii="仿宋_GB2312" w:hAnsi="仿宋_GB2312" w:eastAsia="仿宋_GB2312" w:cs="仿宋_GB2312"/>
          <w:snapToGrid w:val="0"/>
          <w:color w:val="auto"/>
          <w:kern w:val="0"/>
          <w:sz w:val="28"/>
          <w:szCs w:val="20"/>
        </w:rPr>
        <w:t>（3）《中华人民共和国</w:t>
      </w:r>
      <w:r>
        <w:rPr>
          <w:rFonts w:hint="eastAsia" w:ascii="仿宋_GB2312" w:hAnsi="仿宋_GB2312" w:eastAsia="仿宋_GB2312" w:cs="仿宋_GB2312"/>
          <w:snapToGrid w:val="0"/>
          <w:color w:val="auto"/>
          <w:kern w:val="0"/>
          <w:sz w:val="28"/>
          <w:szCs w:val="20"/>
          <w:lang w:eastAsia="zh-CN"/>
        </w:rPr>
        <w:t>民法典</w:t>
      </w:r>
      <w:r>
        <w:rPr>
          <w:rFonts w:hint="eastAsia" w:ascii="仿宋_GB2312" w:hAnsi="仿宋_GB2312" w:eastAsia="仿宋_GB2312" w:cs="仿宋_GB2312"/>
          <w:snapToGrid w:val="0"/>
          <w:color w:val="auto"/>
          <w:kern w:val="0"/>
          <w:sz w:val="28"/>
          <w:szCs w:val="20"/>
        </w:rPr>
        <w:t>》（2020年5月28日第十三届全国人民代表大会第三次会议通过）；</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（4）《中华人民共和国资产评估法》（中华人民共和国主席令第四十六号，自2016年12月1日起施行）；</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（5）《最高人民法院关于人民法院民事执行中拍卖、变卖财产的规定》（法释〔2004〕16号2004年11月15日）；</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（6）《司法鉴定程序通则》（中华人民共和国司法部令第132号，2016年3月2日）。</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2.技术标准、规程、规范</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（1）《房地产估价规范》（GB/T 50291-2015）；</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（2）《房地产估价基本术语标准》（GB/T50899-2013，2014年2月1日实施）；</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（3）《房地产估价报告评审标准（试行）》</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4</w:t>
      </w:r>
      <w:r>
        <w:rPr>
          <w:rFonts w:hint="eastAsia" w:ascii="仿宋_GB2312" w:hAnsi="仿宋_GB2312" w:eastAsia="仿宋_GB2312" w:cs="仿宋_GB2312"/>
          <w:snapToGrid w:val="0"/>
          <w:kern w:val="0"/>
          <w:sz w:val="28"/>
          <w:szCs w:val="20"/>
        </w:rPr>
        <w:t>）关于印发《</w:t>
      </w:r>
      <w:r>
        <w:rPr>
          <w:rFonts w:hint="eastAsia" w:ascii="仿宋_GB2312" w:hAnsi="仿宋_GB2312" w:eastAsia="仿宋_GB2312" w:cs="仿宋_GB2312"/>
          <w:snapToGrid w:val="0"/>
          <w:kern w:val="0"/>
          <w:sz w:val="28"/>
          <w:szCs w:val="20"/>
          <w:lang w:eastAsia="zh-CN"/>
        </w:rPr>
        <w:t>涉案房地产司法评估</w:t>
      </w:r>
      <w:r>
        <w:rPr>
          <w:rFonts w:hint="eastAsia" w:ascii="仿宋_GB2312" w:hAnsi="仿宋_GB2312" w:eastAsia="仿宋_GB2312" w:cs="仿宋_GB2312"/>
          <w:snapToGrid w:val="0"/>
          <w:kern w:val="0"/>
          <w:sz w:val="28"/>
          <w:szCs w:val="20"/>
        </w:rPr>
        <w:t>指导意见（试行）》的通知</w:t>
      </w:r>
      <w:r>
        <w:rPr>
          <w:rFonts w:hint="eastAsia" w:ascii="仿宋_GB2312" w:hAnsi="仿宋_GB2312" w:eastAsia="仿宋_GB2312" w:cs="仿宋_GB2312"/>
          <w:snapToGrid w:val="0"/>
          <w:kern w:val="0"/>
          <w:sz w:val="28"/>
          <w:szCs w:val="20"/>
          <w:lang w:eastAsia="zh-CN"/>
        </w:rPr>
        <w:t>（</w:t>
      </w:r>
      <w:r>
        <w:rPr>
          <w:rFonts w:hint="eastAsia" w:ascii="仿宋_GB2312" w:hAnsi="仿宋_GB2312" w:eastAsia="仿宋_GB2312" w:cs="仿宋_GB2312"/>
          <w:snapToGrid w:val="0"/>
          <w:kern w:val="0"/>
          <w:sz w:val="28"/>
          <w:szCs w:val="20"/>
        </w:rPr>
        <w:t>中房学〔2021〕37号</w:t>
      </w:r>
      <w:r>
        <w:rPr>
          <w:rFonts w:hint="eastAsia" w:ascii="仿宋_GB2312" w:hAnsi="仿宋_GB2312" w:eastAsia="仿宋_GB2312" w:cs="仿宋_GB2312"/>
          <w:snapToGrid w:val="0"/>
          <w:kern w:val="0"/>
          <w:sz w:val="28"/>
          <w:szCs w:val="20"/>
          <w:lang w:eastAsia="zh-CN"/>
        </w:rPr>
        <w:t>）</w:t>
      </w:r>
      <w:r>
        <w:rPr>
          <w:rFonts w:hint="eastAsia" w:ascii="仿宋_GB2312" w:hAnsi="仿宋_GB2312" w:eastAsia="仿宋_GB2312" w:cs="仿宋_GB2312"/>
          <w:snapToGrid w:val="0"/>
          <w:kern w:val="0"/>
          <w:sz w:val="28"/>
          <w:szCs w:val="20"/>
        </w:rPr>
        <w:t>。</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3.估价委托人提供的有关资料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w:t>
      </w:r>
      <w:r>
        <w:rPr>
          <w:rFonts w:hint="eastAsia" w:ascii="仿宋_GB2312" w:hAnsi="仿宋_GB2312" w:eastAsia="仿宋_GB2312" w:cs="仿宋_GB2312"/>
          <w:snapToGrid w:val="0"/>
          <w:kern w:val="0"/>
          <w:sz w:val="28"/>
          <w:szCs w:val="20"/>
          <w:lang w:eastAsia="zh-CN"/>
        </w:rPr>
        <w:t>吉安市吉州区人民法院司法技术委托书</w:t>
      </w: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eastAsia="zh-CN"/>
        </w:rPr>
        <w:t>（2022）吉州法技委字第36号</w:t>
      </w:r>
      <w:r>
        <w:rPr>
          <w:rFonts w:hint="eastAsia" w:ascii="仿宋_GB2312" w:hAnsi="仿宋_GB2312" w:eastAsia="仿宋_GB2312" w:cs="仿宋_GB2312"/>
          <w:snapToGrid w:val="0"/>
          <w:kern w:val="0"/>
          <w:sz w:val="28"/>
          <w:szCs w:val="20"/>
        </w:rPr>
        <w:t>】；</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w:t>
      </w:r>
      <w:r>
        <w:rPr>
          <w:rFonts w:hint="eastAsia" w:ascii="仿宋_GB2312" w:hAnsi="仿宋_GB2312" w:eastAsia="仿宋_GB2312" w:cs="仿宋_GB2312"/>
          <w:snapToGrid w:val="0"/>
          <w:kern w:val="0"/>
          <w:sz w:val="28"/>
          <w:szCs w:val="20"/>
          <w:lang w:val="en-US" w:eastAsia="zh-CN"/>
        </w:rPr>
        <w:t>房屋详细信息表</w:t>
      </w:r>
      <w:r>
        <w:rPr>
          <w:rFonts w:hint="eastAsia" w:ascii="仿宋_GB2312" w:hAnsi="仿宋_GB2312" w:eastAsia="仿宋_GB2312" w:cs="仿宋_GB2312"/>
          <w:snapToGrid w:val="0"/>
          <w:kern w:val="0"/>
          <w:sz w:val="28"/>
          <w:szCs w:val="20"/>
        </w:rPr>
        <w:t>》等权属资料。</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4.估价机构掌握的资料</w:t>
      </w:r>
    </w:p>
    <w:p>
      <w:pPr>
        <w:keepLines w:val="0"/>
        <w:pageBreakBefore w:val="0"/>
        <w:widowControl w:val="0"/>
        <w:kinsoku/>
        <w:wordWrap/>
        <w:overflowPunct/>
        <w:topLinePunct w:val="0"/>
        <w:autoSpaceDE/>
        <w:autoSpaceDN/>
        <w:bidi w:val="0"/>
        <w:snapToGrid w:val="0"/>
        <w:spacing w:before="0" w:after="0" w:line="520" w:lineRule="exact"/>
        <w:ind w:firstLine="560" w:firstLineChars="200"/>
        <w:textAlignment w:val="auto"/>
        <w:rPr>
          <w:rFonts w:hint="eastAsia" w:ascii="仿宋_GB2312" w:hAnsi="仿宋_GB2312" w:eastAsia="仿宋_GB2312" w:cs="仿宋_GB2312"/>
          <w:color w:val="000000"/>
          <w:sz w:val="28"/>
        </w:rPr>
      </w:pPr>
      <w:r>
        <w:rPr>
          <w:rFonts w:hint="eastAsia" w:ascii="仿宋_GB2312" w:hAnsi="仿宋_GB2312" w:eastAsia="仿宋_GB2312" w:cs="仿宋_GB2312"/>
          <w:snapToGrid w:val="0"/>
          <w:kern w:val="0"/>
          <w:sz w:val="28"/>
          <w:szCs w:val="20"/>
        </w:rPr>
        <w:t>（1）</w:t>
      </w:r>
      <w:r>
        <w:rPr>
          <w:rFonts w:hint="eastAsia" w:ascii="仿宋_GB2312" w:hAnsi="仿宋_GB2312" w:eastAsia="仿宋_GB2312" w:cs="仿宋_GB2312"/>
          <w:sz w:val="28"/>
        </w:rPr>
        <w:t>房地产估价机构</w:t>
      </w:r>
      <w:r>
        <w:rPr>
          <w:rFonts w:hint="eastAsia" w:ascii="仿宋_GB2312" w:hAnsi="仿宋_GB2312" w:eastAsia="仿宋_GB2312" w:cs="仿宋_GB2312"/>
          <w:color w:val="000000"/>
          <w:sz w:val="28"/>
        </w:rPr>
        <w:t>平时所积累的市场信息；</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w:t>
      </w:r>
      <w:r>
        <w:rPr>
          <w:rFonts w:hint="eastAsia" w:ascii="仿宋_GB2312" w:hAnsi="仿宋_GB2312" w:eastAsia="仿宋_GB2312" w:cs="仿宋_GB2312"/>
          <w:snapToGrid w:val="0"/>
          <w:kern w:val="0"/>
          <w:sz w:val="28"/>
          <w:szCs w:val="20"/>
          <w:lang w:val="en-US" w:eastAsia="zh-CN"/>
        </w:rPr>
        <w:t>2</w:t>
      </w:r>
      <w:r>
        <w:rPr>
          <w:rFonts w:hint="eastAsia" w:ascii="仿宋_GB2312" w:hAnsi="仿宋_GB2312" w:eastAsia="仿宋_GB2312" w:cs="仿宋_GB2312"/>
          <w:snapToGrid w:val="0"/>
          <w:kern w:val="0"/>
          <w:sz w:val="28"/>
          <w:szCs w:val="20"/>
        </w:rPr>
        <w:t>）估价人员实地查勘和市场调查所取得的资料。</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color w:val="000000"/>
          <w:sz w:val="28"/>
          <w:szCs w:val="28"/>
        </w:rPr>
      </w:pPr>
      <w:bookmarkStart w:id="11" w:name="_Toc8912"/>
      <w:r>
        <w:rPr>
          <w:rFonts w:hint="eastAsia" w:ascii="仿宋_GB2312" w:hAnsi="仿宋_GB2312" w:eastAsia="仿宋_GB2312" w:cs="仿宋_GB2312"/>
          <w:color w:val="000000"/>
          <w:sz w:val="28"/>
          <w:szCs w:val="28"/>
        </w:rPr>
        <w:t>（九）估价方法</w:t>
      </w:r>
      <w:bookmarkEnd w:id="11"/>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1、估价技术路线</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根据《房地产估价规范》等，通行的评估方法有比较法、收益法、成本法、假设开发法等。注册房地产估价师在认真分析所掌握的资料并对估价对象进行实地勘察后，根据估价对象的特点及本身的实际情况，遵照国家标准《房地产估价规范》，分析如下：</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（1）比较法：估价对象</w:t>
      </w:r>
      <w:r>
        <w:rPr>
          <w:rFonts w:hint="eastAsia" w:ascii="仿宋_GB2312" w:hAnsi="仿宋_GB2312" w:eastAsia="仿宋_GB2312" w:cs="仿宋_GB2312"/>
          <w:snapToGrid w:val="0"/>
          <w:kern w:val="0"/>
          <w:sz w:val="28"/>
          <w:szCs w:val="20"/>
          <w:lang w:val="en-US" w:eastAsia="zh-CN"/>
        </w:rPr>
        <w:t>用途为住宅</w:t>
      </w:r>
      <w:r>
        <w:rPr>
          <w:rFonts w:hint="eastAsia" w:ascii="仿宋_GB2312" w:hAnsi="仿宋_GB2312" w:eastAsia="仿宋_GB2312" w:cs="仿宋_GB2312"/>
          <w:snapToGrid w:val="0"/>
          <w:kern w:val="0"/>
          <w:sz w:val="28"/>
          <w:szCs w:val="20"/>
        </w:rPr>
        <w:t>，经估价人员现场调查，区域内类似二手房交易市场较活跃且能收集到的该类物业交易案例，因此可采用比较法进行评估。</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（2）收益法：</w:t>
      </w:r>
      <w:r>
        <w:rPr>
          <w:rFonts w:hint="eastAsia" w:ascii="仿宋_GB2312" w:hAnsi="Bookman Old Style" w:eastAsia="仿宋_GB2312"/>
          <w:bCs/>
          <w:snapToGrid w:val="0"/>
          <w:kern w:val="0"/>
          <w:sz w:val="28"/>
          <w:szCs w:val="28"/>
        </w:rPr>
        <w:t>估价对象</w:t>
      </w:r>
      <w:r>
        <w:rPr>
          <w:rFonts w:hint="eastAsia" w:ascii="仿宋_GB2312" w:hAnsi="仿宋_GB2312" w:eastAsia="仿宋_GB2312" w:cs="仿宋_GB2312"/>
          <w:snapToGrid w:val="0"/>
          <w:kern w:val="0"/>
          <w:sz w:val="28"/>
          <w:szCs w:val="20"/>
          <w:lang w:val="en-US" w:eastAsia="zh-CN"/>
        </w:rPr>
        <w:t>用途为住宅</w:t>
      </w:r>
      <w:r>
        <w:rPr>
          <w:rFonts w:hint="eastAsia" w:ascii="仿宋_GB2312" w:hAnsi="Bookman Old Style" w:eastAsia="仿宋_GB2312"/>
          <w:bCs/>
          <w:snapToGrid w:val="0"/>
          <w:kern w:val="0"/>
          <w:sz w:val="28"/>
          <w:szCs w:val="28"/>
          <w:lang w:eastAsia="zh-CN"/>
        </w:rPr>
        <w:t>，</w:t>
      </w:r>
      <w:r>
        <w:rPr>
          <w:rFonts w:hint="eastAsia" w:ascii="仿宋_GB2312" w:hAnsi="Bookman Old Style" w:eastAsia="仿宋_GB2312"/>
          <w:bCs/>
          <w:snapToGrid w:val="0"/>
          <w:kern w:val="0"/>
          <w:sz w:val="28"/>
          <w:szCs w:val="28"/>
          <w:lang w:val="en-US" w:eastAsia="zh-CN"/>
        </w:rPr>
        <w:t>虽然估价对象所在</w:t>
      </w:r>
      <w:r>
        <w:rPr>
          <w:rFonts w:hint="eastAsia" w:ascii="仿宋_GB2312" w:hAnsi="仿宋_GB2312" w:eastAsia="仿宋_GB2312" w:cs="仿宋_GB2312"/>
          <w:snapToGrid w:val="0"/>
          <w:kern w:val="0"/>
          <w:sz w:val="28"/>
          <w:szCs w:val="20"/>
        </w:rPr>
        <w:t>区域内</w:t>
      </w:r>
      <w:r>
        <w:rPr>
          <w:rFonts w:hint="eastAsia" w:ascii="仿宋_GB2312" w:hAnsi="仿宋_GB2312" w:eastAsia="仿宋_GB2312" w:cs="仿宋_GB2312"/>
          <w:snapToGrid w:val="0"/>
          <w:kern w:val="0"/>
          <w:sz w:val="28"/>
          <w:szCs w:val="20"/>
          <w:lang w:val="en-US" w:eastAsia="zh-CN"/>
        </w:rPr>
        <w:t>有一定的</w:t>
      </w:r>
      <w:r>
        <w:rPr>
          <w:rFonts w:hint="eastAsia" w:ascii="仿宋_GB2312" w:hAnsi="Bookman Old Style" w:eastAsia="仿宋_GB2312"/>
          <w:bCs/>
          <w:snapToGrid w:val="0"/>
          <w:kern w:val="0"/>
          <w:sz w:val="28"/>
          <w:szCs w:val="28"/>
          <w:lang w:val="en-US" w:eastAsia="zh-CN"/>
        </w:rPr>
        <w:t>类似</w:t>
      </w:r>
      <w:r>
        <w:rPr>
          <w:rFonts w:hint="eastAsia" w:ascii="仿宋_GB2312" w:hAnsi="仿宋_GB2312" w:eastAsia="仿宋_GB2312" w:cs="仿宋_GB2312"/>
          <w:snapToGrid w:val="0"/>
          <w:kern w:val="0"/>
          <w:sz w:val="28"/>
          <w:szCs w:val="20"/>
          <w:lang w:val="en-US" w:eastAsia="zh-CN"/>
        </w:rPr>
        <w:t>房地产出租案例，但</w:t>
      </w:r>
      <w:r>
        <w:rPr>
          <w:rFonts w:hint="eastAsia" w:ascii="仿宋_GB2312" w:hAnsi="仿宋_GB2312" w:eastAsia="仿宋_GB2312" w:cs="仿宋_GB2312"/>
          <w:snapToGrid w:val="0"/>
          <w:kern w:val="0"/>
          <w:sz w:val="28"/>
          <w:szCs w:val="20"/>
        </w:rPr>
        <w:t>租售比较低，难以反映市场真实成交价，故不宜采用收益法。</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（3）成本法：估价对象为已建成</w:t>
      </w:r>
      <w:r>
        <w:rPr>
          <w:rFonts w:hint="eastAsia" w:ascii="仿宋_GB2312" w:hAnsi="仿宋_GB2312" w:eastAsia="仿宋_GB2312" w:cs="仿宋_GB2312"/>
          <w:snapToGrid w:val="0"/>
          <w:kern w:val="0"/>
          <w:sz w:val="28"/>
          <w:szCs w:val="20"/>
          <w:lang w:eastAsia="zh-CN"/>
        </w:rPr>
        <w:t>房地产</w:t>
      </w:r>
      <w:r>
        <w:rPr>
          <w:rFonts w:hint="eastAsia" w:ascii="仿宋_GB2312" w:hAnsi="仿宋_GB2312" w:eastAsia="仿宋_GB2312" w:cs="仿宋_GB2312"/>
          <w:snapToGrid w:val="0"/>
          <w:kern w:val="0"/>
          <w:sz w:val="28"/>
          <w:szCs w:val="20"/>
        </w:rPr>
        <w:t>，不是独立开发建设的整体房地产，且现时</w:t>
      </w:r>
      <w:r>
        <w:rPr>
          <w:rFonts w:hint="eastAsia" w:ascii="仿宋_GB2312" w:hAnsi="仿宋_GB2312" w:eastAsia="仿宋_GB2312" w:cs="仿宋_GB2312"/>
          <w:snapToGrid w:val="0"/>
          <w:kern w:val="0"/>
          <w:sz w:val="28"/>
          <w:szCs w:val="20"/>
          <w:lang w:eastAsia="zh-CN"/>
        </w:rPr>
        <w:t>房地产</w:t>
      </w:r>
      <w:r>
        <w:rPr>
          <w:rFonts w:hint="eastAsia" w:ascii="仿宋_GB2312" w:hAnsi="仿宋_GB2312" w:eastAsia="仿宋_GB2312" w:cs="仿宋_GB2312"/>
          <w:snapToGrid w:val="0"/>
          <w:kern w:val="0"/>
          <w:sz w:val="28"/>
          <w:szCs w:val="20"/>
        </w:rPr>
        <w:t>价格与成本关联性弱，房地产的开发成本不能准确反映房地产的实际市场价值，故不适宜采用成本法。</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（4）假设开发法：估价对象属已建成物业，本次估价是以现状用途使用对其价值最为有利为前提进行估价，不适宜更新改造、改变用途、重新开发，故不适宜采用假设开发法。</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根据估价对象的特点及本身的实际情况，遵照国家标准《房地产估价规范》，经研究，在此次评估中，选取比较法作为本次估价采用的基本方法来求取估价对象价值。</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2、本次选用估价方法定义</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比较法原理：将估价对象与价值时点有过交易的类似房地产进行比较，对于这些类似房地产的已知价格作适当的修正，以此估算对象的客观合理价格或价值的方法。</w:t>
      </w:r>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比较法公式：估价对象价格=可比实例价格×交易情况修正×市场状况调整系数×房地产状况调整系数</w:t>
      </w:r>
    </w:p>
    <w:p>
      <w:pPr>
        <w:pStyle w:val="5"/>
        <w:keepLines w:val="0"/>
        <w:pageBreakBefore w:val="0"/>
        <w:widowControl w:val="0"/>
        <w:kinsoku/>
        <w:wordWrap/>
        <w:overflowPunct/>
        <w:topLinePunct w:val="0"/>
        <w:autoSpaceDE/>
        <w:autoSpaceDN/>
        <w:bidi w:val="0"/>
        <w:snapToGrid w:val="0"/>
        <w:spacing w:before="0" w:after="0" w:line="520" w:lineRule="exact"/>
        <w:ind w:firstLine="562" w:firstLineChars="200"/>
        <w:jc w:val="left"/>
        <w:textAlignment w:val="auto"/>
        <w:rPr>
          <w:rFonts w:ascii="仿宋_GB2312" w:hAnsi="仿宋_GB2312" w:eastAsia="仿宋_GB2312" w:cs="仿宋_GB2312"/>
          <w:color w:val="000000"/>
          <w:sz w:val="28"/>
          <w:szCs w:val="28"/>
        </w:rPr>
      </w:pPr>
      <w:bookmarkStart w:id="12" w:name="_Toc15752"/>
      <w:r>
        <w:rPr>
          <w:rFonts w:hint="eastAsia" w:ascii="仿宋_GB2312" w:hAnsi="仿宋_GB2312" w:eastAsia="仿宋_GB2312" w:cs="仿宋_GB2312"/>
          <w:color w:val="000000"/>
          <w:sz w:val="28"/>
          <w:szCs w:val="28"/>
        </w:rPr>
        <w:t>（十）估价结果</w:t>
      </w:r>
      <w:bookmarkEnd w:id="12"/>
    </w:p>
    <w:p>
      <w:pPr>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rPr>
      </w:pPr>
      <w:r>
        <w:rPr>
          <w:rFonts w:hint="eastAsia" w:ascii="仿宋_GB2312" w:hAnsi="仿宋_GB2312" w:eastAsia="仿宋_GB2312" w:cs="仿宋_GB2312"/>
          <w:snapToGrid w:val="0"/>
          <w:kern w:val="0"/>
          <w:sz w:val="28"/>
          <w:szCs w:val="20"/>
        </w:rPr>
        <w:t>估价人员根据估价目的，遵循估价原则，根据市场调查，在认真分析所掌握资料与影响估价对象价值诸因素的基础上，结合估价对象的个别因素和使用现状，采用科学的估价方法进行分析、测算和判断，最终确定估价对象于价值时点</w:t>
      </w:r>
      <w:r>
        <w:rPr>
          <w:rFonts w:hint="eastAsia" w:ascii="仿宋_GB2312" w:hAnsi="仿宋_GB2312" w:eastAsia="仿宋_GB2312" w:cs="仿宋_GB2312"/>
          <w:snapToGrid w:val="0"/>
          <w:kern w:val="0"/>
          <w:sz w:val="28"/>
          <w:szCs w:val="20"/>
          <w:lang w:eastAsia="zh-CN"/>
        </w:rPr>
        <w:t>2022年6月1日</w:t>
      </w:r>
      <w:r>
        <w:rPr>
          <w:rFonts w:hint="eastAsia" w:ascii="仿宋_GB2312" w:hAnsi="仿宋_GB2312" w:eastAsia="仿宋_GB2312" w:cs="仿宋_GB2312"/>
          <w:snapToGrid w:val="0"/>
          <w:color w:val="auto"/>
          <w:kern w:val="0"/>
          <w:sz w:val="28"/>
          <w:szCs w:val="20"/>
        </w:rPr>
        <w:t>的</w:t>
      </w:r>
      <w:r>
        <w:rPr>
          <w:rFonts w:hint="eastAsia" w:ascii="仿宋_GB2312" w:hAnsi="仿宋_GB2312" w:eastAsia="仿宋_GB2312" w:cs="仿宋_GB2312"/>
          <w:snapToGrid w:val="0"/>
          <w:color w:val="auto"/>
          <w:kern w:val="0"/>
          <w:sz w:val="28"/>
          <w:szCs w:val="20"/>
          <w:lang w:val="en-US" w:eastAsia="zh-CN"/>
        </w:rPr>
        <w:t>房地产</w:t>
      </w:r>
      <w:r>
        <w:rPr>
          <w:rFonts w:hint="eastAsia" w:ascii="仿宋_GB2312" w:hAnsi="仿宋_GB2312" w:eastAsia="仿宋_GB2312" w:cs="仿宋_GB2312"/>
          <w:snapToGrid w:val="0"/>
          <w:color w:val="auto"/>
          <w:kern w:val="0"/>
          <w:sz w:val="28"/>
          <w:szCs w:val="20"/>
          <w:shd w:val="clear" w:color="auto" w:fill="auto"/>
        </w:rPr>
        <w:t>市场价值为</w:t>
      </w:r>
      <w:r>
        <w:rPr>
          <w:rFonts w:hint="eastAsia" w:ascii="仿宋_GB2312" w:hAnsi="仿宋_GB2312" w:eastAsia="仿宋_GB2312" w:cs="仿宋_GB2312"/>
          <w:b/>
          <w:bCs/>
          <w:snapToGrid w:val="0"/>
          <w:color w:val="auto"/>
          <w:kern w:val="0"/>
          <w:sz w:val="28"/>
          <w:szCs w:val="20"/>
          <w:shd w:val="clear" w:color="auto" w:fill="auto"/>
          <w:lang w:eastAsia="zh-CN"/>
        </w:rPr>
        <w:t>69.57</w:t>
      </w:r>
      <w:r>
        <w:rPr>
          <w:rFonts w:hint="eastAsia" w:ascii="仿宋_GB2312" w:hAnsi="仿宋_GB2312" w:eastAsia="仿宋_GB2312" w:cs="仿宋_GB2312"/>
          <w:snapToGrid w:val="0"/>
          <w:color w:val="auto"/>
          <w:kern w:val="0"/>
          <w:sz w:val="28"/>
          <w:szCs w:val="20"/>
          <w:shd w:val="clear" w:color="auto" w:fill="auto"/>
          <w:lang w:val="en-US" w:eastAsia="zh-CN"/>
        </w:rPr>
        <w:t>万</w:t>
      </w:r>
      <w:r>
        <w:rPr>
          <w:rFonts w:hint="eastAsia" w:ascii="仿宋_GB2312" w:hAnsi="仿宋_GB2312" w:eastAsia="仿宋_GB2312" w:cs="仿宋_GB2312"/>
          <w:b w:val="0"/>
          <w:bCs w:val="0"/>
          <w:snapToGrid w:val="0"/>
          <w:color w:val="auto"/>
          <w:kern w:val="0"/>
          <w:sz w:val="28"/>
          <w:szCs w:val="20"/>
          <w:shd w:val="clear" w:color="auto" w:fill="auto"/>
        </w:rPr>
        <w:t>元</w:t>
      </w:r>
      <w:r>
        <w:rPr>
          <w:rFonts w:hint="eastAsia" w:ascii="仿宋_GB2312" w:hAnsi="仿宋_GB2312" w:eastAsia="仿宋_GB2312" w:cs="仿宋_GB2312"/>
          <w:snapToGrid w:val="0"/>
          <w:color w:val="auto"/>
          <w:kern w:val="0"/>
          <w:sz w:val="28"/>
          <w:szCs w:val="20"/>
          <w:shd w:val="clear" w:color="auto" w:fill="auto"/>
        </w:rPr>
        <w:t>，人民币大写：</w:t>
      </w:r>
      <w:r>
        <w:rPr>
          <w:rFonts w:hint="eastAsia" w:ascii="仿宋_GB2312" w:hAnsi="仿宋_GB2312" w:eastAsia="仿宋_GB2312" w:cs="仿宋_GB2312"/>
          <w:b/>
          <w:bCs/>
          <w:snapToGrid w:val="0"/>
          <w:color w:val="auto"/>
          <w:kern w:val="0"/>
          <w:sz w:val="28"/>
          <w:szCs w:val="20"/>
          <w:shd w:val="clear" w:color="auto" w:fill="auto"/>
          <w:lang w:val="en-US" w:eastAsia="zh-CN"/>
        </w:rPr>
        <w:t>陆拾玖万伍仟柒佰</w:t>
      </w:r>
      <w:r>
        <w:rPr>
          <w:rFonts w:hint="eastAsia" w:ascii="仿宋_GB2312" w:hAnsi="仿宋_GB2312" w:eastAsia="仿宋_GB2312" w:cs="仿宋_GB2312"/>
          <w:b w:val="0"/>
          <w:bCs w:val="0"/>
          <w:snapToGrid w:val="0"/>
          <w:color w:val="auto"/>
          <w:kern w:val="0"/>
          <w:sz w:val="28"/>
          <w:szCs w:val="20"/>
          <w:shd w:val="clear" w:color="auto" w:fill="auto"/>
          <w:lang w:eastAsia="zh-CN"/>
        </w:rPr>
        <w:t>元整</w:t>
      </w:r>
      <w:r>
        <w:rPr>
          <w:rFonts w:hint="eastAsia" w:ascii="仿宋_GB2312" w:hAnsi="仿宋_GB2312" w:eastAsia="仿宋_GB2312" w:cs="仿宋_GB2312"/>
          <w:snapToGrid w:val="0"/>
          <w:kern w:val="0"/>
          <w:sz w:val="28"/>
          <w:szCs w:val="20"/>
          <w:lang w:eastAsia="zh-CN"/>
        </w:rPr>
        <w:t>，</w:t>
      </w:r>
      <w:r>
        <w:rPr>
          <w:rFonts w:hint="eastAsia" w:ascii="仿宋_GB2312" w:hAnsi="仿宋_GB2312" w:eastAsia="仿宋_GB2312" w:cs="仿宋_GB2312"/>
          <w:snapToGrid w:val="0"/>
          <w:kern w:val="0"/>
          <w:sz w:val="28"/>
          <w:szCs w:val="20"/>
        </w:rPr>
        <w:t>具体详见《评估结果明细表》。</w:t>
      </w:r>
    </w:p>
    <w:p>
      <w:pPr>
        <w:keepNext w:val="0"/>
        <w:keepLines w:val="0"/>
        <w:pageBreakBefore w:val="0"/>
        <w:widowControl w:val="0"/>
        <w:tabs>
          <w:tab w:val="left" w:pos="267"/>
        </w:tabs>
        <w:kinsoku/>
        <w:wordWrap/>
        <w:overflowPunct/>
        <w:topLinePunct w:val="0"/>
        <w:autoSpaceDE/>
        <w:autoSpaceDN/>
        <w:bidi w:val="0"/>
        <w:adjustRightInd w:val="0"/>
        <w:snapToGrid w:val="0"/>
        <w:spacing w:before="0" w:after="0" w:line="520" w:lineRule="exact"/>
        <w:ind w:firstLine="560" w:firstLineChars="200"/>
        <w:jc w:val="left"/>
        <w:textAlignment w:val="auto"/>
        <w:rPr>
          <w:rFonts w:hint="eastAsia" w:ascii="仿宋_GB2312" w:hAnsi="仿宋_GB2312" w:eastAsia="仿宋_GB2312" w:cs="仿宋_GB2312"/>
          <w:snapToGrid w:val="0"/>
          <w:kern w:val="0"/>
          <w:sz w:val="28"/>
          <w:szCs w:val="20"/>
          <w:lang w:val="en-US" w:eastAsia="zh-CN"/>
        </w:rPr>
      </w:pPr>
      <w:r>
        <w:rPr>
          <w:rFonts w:hint="eastAsia" w:ascii="仿宋_GB2312" w:hAnsi="仿宋_GB2312" w:eastAsia="仿宋_GB2312" w:cs="仿宋_GB2312"/>
          <w:snapToGrid w:val="0"/>
          <w:kern w:val="0"/>
          <w:sz w:val="28"/>
          <w:szCs w:val="20"/>
          <w:lang w:val="en-US" w:eastAsia="zh-CN"/>
        </w:rPr>
        <w:t xml:space="preserve">                     评估结果明细表</w:t>
      </w:r>
    </w:p>
    <w:tbl>
      <w:tblPr>
        <w:tblStyle w:val="26"/>
        <w:tblW w:w="9951"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6"/>
        <w:gridCol w:w="1272"/>
        <w:gridCol w:w="879"/>
        <w:gridCol w:w="1223"/>
        <w:gridCol w:w="1050"/>
        <w:gridCol w:w="841"/>
        <w:gridCol w:w="930"/>
        <w:gridCol w:w="945"/>
        <w:gridCol w:w="1125"/>
        <w:gridCol w:w="108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5" w:hRule="atLeast"/>
          <w:jc w:val="center"/>
        </w:trPr>
        <w:tc>
          <w:tcPr>
            <w:tcW w:w="6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2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产权证号</w:t>
            </w:r>
          </w:p>
        </w:tc>
        <w:tc>
          <w:tcPr>
            <w:tcW w:w="8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权利人</w:t>
            </w:r>
          </w:p>
        </w:tc>
        <w:tc>
          <w:tcPr>
            <w:tcW w:w="12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坐落</w:t>
            </w:r>
          </w:p>
        </w:tc>
        <w:tc>
          <w:tcPr>
            <w:tcW w:w="1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所在层/</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总层数</w:t>
            </w:r>
          </w:p>
        </w:tc>
        <w:tc>
          <w:tcPr>
            <w:tcW w:w="8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用途</w:t>
            </w:r>
          </w:p>
        </w:tc>
        <w:tc>
          <w:tcPr>
            <w:tcW w:w="9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结构</w:t>
            </w:r>
          </w:p>
        </w:tc>
        <w:tc>
          <w:tcPr>
            <w:tcW w:w="9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面积（㎡）</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单价</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（元/㎡）</w:t>
            </w:r>
          </w:p>
        </w:tc>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总价</w:t>
            </w:r>
          </w:p>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b/>
                <w:bCs/>
                <w:i w:val="0"/>
                <w:iCs w:val="0"/>
                <w:color w:val="000000"/>
                <w:kern w:val="0"/>
                <w:sz w:val="21"/>
                <w:szCs w:val="21"/>
                <w:u w:val="none"/>
                <w:lang w:val="en-US" w:eastAsia="zh-CN" w:bidi="ar"/>
              </w:rPr>
            </w:pPr>
            <w:r>
              <w:rPr>
                <w:rFonts w:hint="eastAsia" w:ascii="仿宋_GB2312" w:hAnsi="仿宋_GB2312" w:eastAsia="仿宋_GB2312" w:cs="仿宋_GB2312"/>
                <w:b/>
                <w:bCs/>
                <w:i w:val="0"/>
                <w:iCs w:val="0"/>
                <w:color w:val="000000"/>
                <w:kern w:val="0"/>
                <w:sz w:val="21"/>
                <w:szCs w:val="21"/>
                <w:u w:val="none"/>
                <w:lang w:val="en-US" w:eastAsia="zh-CN" w:bidi="ar"/>
              </w:rPr>
              <w:t>（万元）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7" w:hRule="atLeast"/>
          <w:jc w:val="center"/>
        </w:trPr>
        <w:tc>
          <w:tcPr>
            <w:tcW w:w="60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2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赣（2016）吉安市不动产权第0030101号</w:t>
            </w:r>
          </w:p>
        </w:tc>
        <w:tc>
          <w:tcPr>
            <w:tcW w:w="8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陈敏</w:t>
            </w:r>
          </w:p>
        </w:tc>
        <w:tc>
          <w:tcPr>
            <w:tcW w:w="122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青原区青原大道西侧粮食局对面第2栋住宅501房</w:t>
            </w:r>
          </w:p>
        </w:tc>
        <w:tc>
          <w:tcPr>
            <w:tcW w:w="10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5/5</w:t>
            </w:r>
          </w:p>
        </w:tc>
        <w:tc>
          <w:tcPr>
            <w:tcW w:w="8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住宅</w:t>
            </w:r>
          </w:p>
        </w:tc>
        <w:tc>
          <w:tcPr>
            <w:tcW w:w="93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砖混</w:t>
            </w:r>
          </w:p>
        </w:tc>
        <w:tc>
          <w:tcPr>
            <w:tcW w:w="94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122.26</w:t>
            </w:r>
          </w:p>
        </w:tc>
        <w:tc>
          <w:tcPr>
            <w:tcW w:w="11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5690</w:t>
            </w:r>
          </w:p>
        </w:tc>
        <w:tc>
          <w:tcPr>
            <w:tcW w:w="10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69.57 </w:t>
            </w:r>
          </w:p>
        </w:tc>
      </w:tr>
    </w:tbl>
    <w:p>
      <w:pPr>
        <w:rPr>
          <w:rFonts w:hint="eastAsia"/>
        </w:rPr>
      </w:pPr>
    </w:p>
    <w:p>
      <w:pPr>
        <w:pStyle w:val="2"/>
        <w:ind w:left="0" w:leftChars="0" w:firstLine="0" w:firstLineChars="0"/>
        <w:rPr>
          <w:rFonts w:hint="eastAsia"/>
        </w:rPr>
      </w:pPr>
    </w:p>
    <w:p>
      <w:pPr>
        <w:pStyle w:val="5"/>
        <w:keepLines w:val="0"/>
        <w:pageBreakBefore w:val="0"/>
        <w:widowControl w:val="0"/>
        <w:kinsoku/>
        <w:wordWrap/>
        <w:overflowPunct/>
        <w:topLinePunct w:val="0"/>
        <w:autoSpaceDE/>
        <w:autoSpaceDN/>
        <w:bidi w:val="0"/>
        <w:snapToGrid w:val="0"/>
        <w:spacing w:before="0" w:after="0" w:line="480" w:lineRule="exact"/>
        <w:ind w:firstLine="562" w:firstLineChars="200"/>
        <w:jc w:val="left"/>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（十一）注册房地产估价师</w:t>
      </w:r>
    </w:p>
    <w:p>
      <w:pPr>
        <w:keepLines w:val="0"/>
        <w:pageBreakBefore w:val="0"/>
        <w:widowControl w:val="0"/>
        <w:tabs>
          <w:tab w:val="left" w:pos="267"/>
        </w:tabs>
        <w:kinsoku/>
        <w:wordWrap/>
        <w:overflowPunct/>
        <w:topLinePunct w:val="0"/>
        <w:autoSpaceDE/>
        <w:autoSpaceDN/>
        <w:bidi w:val="0"/>
        <w:adjustRightInd w:val="0"/>
        <w:snapToGrid w:val="0"/>
        <w:spacing w:before="0" w:after="0" w:line="480" w:lineRule="exact"/>
        <w:ind w:firstLine="560" w:firstLineChars="200"/>
        <w:jc w:val="left"/>
        <w:textAlignment w:val="auto"/>
        <w:rPr>
          <w:rFonts w:eastAsia="仿宋_GB2312"/>
          <w:snapToGrid w:val="0"/>
          <w:kern w:val="0"/>
          <w:sz w:val="28"/>
          <w:szCs w:val="20"/>
        </w:rPr>
      </w:pPr>
      <w:r>
        <w:rPr>
          <w:rFonts w:eastAsia="仿宋_GB2312"/>
          <w:snapToGrid w:val="0"/>
          <w:kern w:val="0"/>
          <w:sz w:val="28"/>
          <w:szCs w:val="20"/>
        </w:rPr>
        <w:t>参加本次估价的注册房地产估价师为：</w:t>
      </w:r>
    </w:p>
    <w:tbl>
      <w:tblPr>
        <w:tblStyle w:val="26"/>
        <w:tblpPr w:leftFromText="180" w:rightFromText="180" w:vertAnchor="text" w:horzAnchor="page" w:tblpX="1440" w:tblpY="68"/>
        <w:tblOverlap w:val="never"/>
        <w:tblW w:w="9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2319"/>
        <w:gridCol w:w="2193"/>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319"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r>
              <w:rPr>
                <w:rFonts w:hint="default" w:eastAsia="仿宋_GB2312"/>
                <w:sz w:val="28"/>
                <w:szCs w:val="28"/>
              </w:rPr>
              <w:t>姓名</w:t>
            </w:r>
          </w:p>
        </w:tc>
        <w:tc>
          <w:tcPr>
            <w:tcW w:w="2319"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r>
              <w:rPr>
                <w:rFonts w:hint="default" w:eastAsia="仿宋_GB2312"/>
                <w:sz w:val="28"/>
                <w:szCs w:val="28"/>
              </w:rPr>
              <w:t>注册号</w:t>
            </w:r>
          </w:p>
        </w:tc>
        <w:tc>
          <w:tcPr>
            <w:tcW w:w="2193"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r>
              <w:rPr>
                <w:rFonts w:hint="default" w:eastAsia="仿宋_GB2312"/>
                <w:sz w:val="28"/>
                <w:szCs w:val="28"/>
              </w:rPr>
              <w:t>签名</w:t>
            </w:r>
          </w:p>
        </w:tc>
        <w:tc>
          <w:tcPr>
            <w:tcW w:w="2447"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r>
              <w:rPr>
                <w:rFonts w:hint="default" w:eastAsia="仿宋_GB2312"/>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2319" w:type="dxa"/>
            <w:vAlign w:val="center"/>
          </w:tcPr>
          <w:p>
            <w:pPr>
              <w:pStyle w:val="72"/>
              <w:keepNext w:val="0"/>
              <w:keepLines w:val="0"/>
              <w:suppressLineNumbers w:val="0"/>
              <w:spacing w:before="0" w:beforeAutospacing="0" w:after="0" w:afterAutospacing="0"/>
              <w:ind w:left="0" w:right="0"/>
              <w:jc w:val="center"/>
              <w:rPr>
                <w:rFonts w:hint="eastAsia" w:eastAsia="仿宋_GB2312"/>
                <w:sz w:val="28"/>
                <w:szCs w:val="28"/>
                <w:lang w:eastAsia="zh-CN"/>
              </w:rPr>
            </w:pPr>
            <w:r>
              <w:rPr>
                <w:rFonts w:hint="eastAsia" w:eastAsia="仿宋_GB2312"/>
                <w:sz w:val="28"/>
                <w:szCs w:val="28"/>
                <w:lang w:eastAsia="zh-CN"/>
              </w:rPr>
              <w:t>谢明敏</w:t>
            </w:r>
          </w:p>
        </w:tc>
        <w:tc>
          <w:tcPr>
            <w:tcW w:w="2319" w:type="dxa"/>
            <w:vAlign w:val="center"/>
          </w:tcPr>
          <w:p>
            <w:pPr>
              <w:pStyle w:val="72"/>
              <w:keepNext w:val="0"/>
              <w:keepLines w:val="0"/>
              <w:suppressLineNumbers w:val="0"/>
              <w:spacing w:before="0" w:beforeAutospacing="0" w:after="0" w:afterAutospacing="0"/>
              <w:ind w:left="0" w:right="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3620190004</w:t>
            </w:r>
          </w:p>
        </w:tc>
        <w:tc>
          <w:tcPr>
            <w:tcW w:w="2193"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p>
        </w:tc>
        <w:tc>
          <w:tcPr>
            <w:tcW w:w="2447" w:type="dxa"/>
            <w:vAlign w:val="center"/>
          </w:tcPr>
          <w:p>
            <w:pPr>
              <w:pStyle w:val="72"/>
              <w:keepNext w:val="0"/>
              <w:keepLines w:val="0"/>
              <w:suppressLineNumbers w:val="0"/>
              <w:spacing w:before="0" w:beforeAutospacing="0" w:after="0" w:afterAutospacing="0"/>
              <w:ind w:left="0" w:right="0"/>
              <w:jc w:val="center"/>
              <w:rPr>
                <w:rFonts w:hint="eastAsia" w:eastAsia="仿宋_GB2312"/>
                <w:sz w:val="28"/>
                <w:szCs w:val="28"/>
                <w:lang w:eastAsia="zh-CN"/>
              </w:rPr>
            </w:pPr>
            <w:r>
              <w:rPr>
                <w:rFonts w:hint="eastAsia" w:ascii="仿宋_GB2312" w:hAnsi="仿宋_GB2312" w:eastAsia="仿宋_GB2312" w:cs="仿宋_GB2312"/>
                <w:snapToGrid w:val="0"/>
                <w:kern w:val="0"/>
                <w:sz w:val="28"/>
                <w:szCs w:val="20"/>
                <w:lang w:eastAsia="zh-CN"/>
              </w:rPr>
              <w:t>2022年6月2日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2319"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r>
              <w:rPr>
                <w:rFonts w:hint="eastAsia" w:eastAsia="仿宋_GB2312"/>
                <w:sz w:val="28"/>
                <w:szCs w:val="28"/>
              </w:rPr>
              <w:t>李宏宇</w:t>
            </w:r>
          </w:p>
        </w:tc>
        <w:tc>
          <w:tcPr>
            <w:tcW w:w="2319" w:type="dxa"/>
            <w:vAlign w:val="center"/>
          </w:tcPr>
          <w:p>
            <w:pPr>
              <w:pStyle w:val="72"/>
              <w:keepNext w:val="0"/>
              <w:keepLines w:val="0"/>
              <w:suppressLineNumbers w:val="0"/>
              <w:spacing w:before="0" w:beforeAutospacing="0" w:after="0" w:afterAutospacing="0"/>
              <w:ind w:left="0" w:right="0"/>
              <w:jc w:val="center"/>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3620190029</w:t>
            </w:r>
          </w:p>
        </w:tc>
        <w:tc>
          <w:tcPr>
            <w:tcW w:w="2193" w:type="dxa"/>
            <w:vAlign w:val="center"/>
          </w:tcPr>
          <w:p>
            <w:pPr>
              <w:pStyle w:val="72"/>
              <w:keepNext w:val="0"/>
              <w:keepLines w:val="0"/>
              <w:suppressLineNumbers w:val="0"/>
              <w:spacing w:before="0" w:beforeAutospacing="0" w:after="0" w:afterAutospacing="0"/>
              <w:ind w:left="0" w:right="0"/>
              <w:jc w:val="center"/>
              <w:rPr>
                <w:rFonts w:hint="default" w:eastAsia="仿宋_GB2312"/>
                <w:sz w:val="28"/>
                <w:szCs w:val="28"/>
              </w:rPr>
            </w:pPr>
          </w:p>
        </w:tc>
        <w:tc>
          <w:tcPr>
            <w:tcW w:w="2447" w:type="dxa"/>
            <w:vAlign w:val="center"/>
          </w:tcPr>
          <w:p>
            <w:pPr>
              <w:pStyle w:val="72"/>
              <w:keepNext w:val="0"/>
              <w:keepLines w:val="0"/>
              <w:suppressLineNumbers w:val="0"/>
              <w:spacing w:before="0" w:beforeAutospacing="0" w:after="0" w:afterAutospacing="0"/>
              <w:ind w:left="0" w:right="0"/>
              <w:jc w:val="center"/>
              <w:rPr>
                <w:rFonts w:hint="eastAsia" w:eastAsia="仿宋_GB2312"/>
                <w:sz w:val="28"/>
                <w:szCs w:val="28"/>
                <w:lang w:eastAsia="zh-CN"/>
              </w:rPr>
            </w:pPr>
            <w:r>
              <w:rPr>
                <w:rFonts w:hint="eastAsia" w:ascii="仿宋_GB2312" w:hAnsi="仿宋_GB2312" w:eastAsia="仿宋_GB2312" w:cs="仿宋_GB2312"/>
                <w:snapToGrid w:val="0"/>
                <w:kern w:val="0"/>
                <w:sz w:val="28"/>
                <w:szCs w:val="20"/>
                <w:lang w:eastAsia="zh-CN"/>
              </w:rPr>
              <w:t>2022年6月2日</w:t>
            </w:r>
          </w:p>
        </w:tc>
      </w:tr>
    </w:tbl>
    <w:p>
      <w:pPr>
        <w:pStyle w:val="7"/>
      </w:pPr>
    </w:p>
    <w:p>
      <w:pPr>
        <w:pStyle w:val="5"/>
        <w:keepLines w:val="0"/>
        <w:snapToGrid w:val="0"/>
        <w:spacing w:before="0" w:after="0" w:line="360" w:lineRule="auto"/>
        <w:ind w:firstLine="562" w:firstLineChars="200"/>
        <w:jc w:val="left"/>
        <w:rPr>
          <w:rFonts w:hint="eastAsia" w:ascii="仿宋_GB2312" w:hAnsi="仿宋_GB2312" w:eastAsia="仿宋_GB2312" w:cs="仿宋_GB2312"/>
          <w:color w:val="000000"/>
          <w:sz w:val="28"/>
          <w:szCs w:val="28"/>
        </w:rPr>
      </w:pPr>
      <w:bookmarkStart w:id="13" w:name="_Toc11854"/>
      <w:r>
        <w:rPr>
          <w:rFonts w:hint="eastAsia" w:ascii="仿宋_GB2312" w:hAnsi="仿宋_GB2312" w:eastAsia="仿宋_GB2312" w:cs="仿宋_GB2312"/>
          <w:color w:val="000000"/>
          <w:sz w:val="28"/>
          <w:szCs w:val="28"/>
        </w:rPr>
        <w:t>（十二）实地查勘期</w:t>
      </w:r>
      <w:bookmarkEnd w:id="13"/>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lang w:eastAsia="zh-CN"/>
        </w:rPr>
      </w:pPr>
      <w:r>
        <w:rPr>
          <w:rFonts w:hint="eastAsia" w:ascii="仿宋_GB2312" w:hAnsi="仿宋_GB2312" w:eastAsia="仿宋_GB2312" w:cs="仿宋_GB2312"/>
          <w:snapToGrid w:val="0"/>
          <w:kern w:val="0"/>
          <w:sz w:val="28"/>
          <w:szCs w:val="20"/>
          <w:lang w:eastAsia="zh-CN"/>
        </w:rPr>
        <w:t>2022年6月1日</w:t>
      </w:r>
    </w:p>
    <w:p>
      <w:pPr>
        <w:pStyle w:val="5"/>
        <w:keepLines w:val="0"/>
        <w:snapToGrid w:val="0"/>
        <w:spacing w:before="0" w:after="0" w:line="360" w:lineRule="auto"/>
        <w:ind w:firstLine="562" w:firstLineChars="200"/>
        <w:jc w:val="left"/>
        <w:rPr>
          <w:rFonts w:ascii="仿宋_GB2312" w:hAnsi="仿宋_GB2312" w:eastAsia="仿宋_GB2312" w:cs="仿宋_GB2312"/>
          <w:color w:val="000000"/>
          <w:sz w:val="28"/>
          <w:szCs w:val="28"/>
        </w:rPr>
      </w:pPr>
      <w:bookmarkStart w:id="14" w:name="_Toc23535"/>
      <w:r>
        <w:rPr>
          <w:rFonts w:hint="eastAsia" w:ascii="仿宋_GB2312" w:hAnsi="仿宋_GB2312" w:eastAsia="仿宋_GB2312" w:cs="仿宋_GB2312"/>
          <w:color w:val="000000"/>
          <w:sz w:val="28"/>
          <w:szCs w:val="28"/>
        </w:rPr>
        <w:t>（十三）估价作业日期</w:t>
      </w:r>
      <w:bookmarkEnd w:id="14"/>
    </w:p>
    <w:p>
      <w:pPr>
        <w:tabs>
          <w:tab w:val="left" w:pos="267"/>
        </w:tabs>
        <w:adjustRightInd w:val="0"/>
        <w:snapToGrid w:val="0"/>
        <w:spacing w:before="0" w:after="0" w:line="360" w:lineRule="auto"/>
        <w:ind w:firstLine="560" w:firstLineChars="200"/>
        <w:jc w:val="left"/>
        <w:rPr>
          <w:rFonts w:hint="eastAsia" w:ascii="仿宋_GB2312" w:hAnsi="仿宋_GB2312" w:eastAsia="仿宋_GB2312" w:cs="仿宋_GB2312"/>
          <w:snapToGrid w:val="0"/>
          <w:kern w:val="0"/>
          <w:sz w:val="28"/>
          <w:szCs w:val="20"/>
        </w:rPr>
        <w:sectPr>
          <w:footerReference r:id="rId8" w:type="default"/>
          <w:pgSz w:w="11906" w:h="16838"/>
          <w:pgMar w:top="1984" w:right="1440" w:bottom="1440" w:left="1440" w:header="47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_GB2312" w:hAnsi="仿宋_GB2312" w:eastAsia="仿宋_GB2312" w:cs="仿宋_GB2312"/>
          <w:snapToGrid w:val="0"/>
          <w:kern w:val="0"/>
          <w:sz w:val="28"/>
          <w:szCs w:val="20"/>
          <w:lang w:eastAsia="zh-CN"/>
        </w:rPr>
        <w:t>2022年6月1日</w:t>
      </w:r>
      <w:r>
        <w:rPr>
          <w:rFonts w:hint="eastAsia" w:ascii="仿宋_GB2312" w:hAnsi="仿宋_GB2312" w:eastAsia="仿宋_GB2312" w:cs="仿宋_GB2312"/>
          <w:snapToGrid w:val="0"/>
          <w:kern w:val="0"/>
          <w:sz w:val="28"/>
          <w:szCs w:val="20"/>
        </w:rPr>
        <w:t>至</w:t>
      </w:r>
      <w:r>
        <w:rPr>
          <w:rFonts w:hint="eastAsia" w:ascii="仿宋_GB2312" w:hAnsi="仿宋_GB2312" w:eastAsia="仿宋_GB2312" w:cs="仿宋_GB2312"/>
          <w:snapToGrid w:val="0"/>
          <w:kern w:val="0"/>
          <w:sz w:val="28"/>
          <w:szCs w:val="20"/>
          <w:lang w:eastAsia="zh-CN"/>
        </w:rPr>
        <w:t>2022年6月2日</w:t>
      </w:r>
    </w:p>
    <w:p>
      <w:pPr>
        <w:pStyle w:val="24"/>
        <w:spacing w:before="0" w:after="0" w:line="360" w:lineRule="auto"/>
        <w:jc w:val="center"/>
        <w:rPr>
          <w:rFonts w:ascii="Times New Roman" w:hAnsi="Times New Roman" w:eastAsia="仿宋_GB2312"/>
          <w:color w:val="000000"/>
        </w:rPr>
      </w:pPr>
      <w:bookmarkStart w:id="15" w:name="_Toc3648"/>
      <w:r>
        <w:rPr>
          <w:rFonts w:hint="eastAsia" w:ascii="Times New Roman" w:hAnsi="Times New Roman" w:eastAsia="仿宋_GB2312"/>
          <w:color w:val="000000"/>
        </w:rPr>
        <w:t>四</w:t>
      </w:r>
      <w:r>
        <w:rPr>
          <w:rFonts w:ascii="Times New Roman" w:hAnsi="Times New Roman" w:eastAsia="仿宋_GB2312"/>
          <w:color w:val="000000"/>
        </w:rPr>
        <w:t>、附 件</w:t>
      </w:r>
      <w:bookmarkEnd w:id="15"/>
    </w:p>
    <w:p>
      <w:pPr>
        <w:spacing w:before="312" w:beforeLines="10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附件1：估价委托书复印件</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附件2：</w:t>
      </w:r>
      <w:r>
        <w:rPr>
          <w:rFonts w:eastAsia="仿宋_GB2312"/>
          <w:color w:val="000000"/>
          <w:sz w:val="28"/>
          <w:szCs w:val="28"/>
        </w:rPr>
        <w:t>估价对象位置图</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附件3：估价对象现场查勘照片</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附件4：</w:t>
      </w:r>
      <w:r>
        <w:rPr>
          <w:rFonts w:eastAsia="仿宋_GB2312"/>
          <w:color w:val="000000"/>
          <w:sz w:val="28"/>
          <w:szCs w:val="28"/>
        </w:rPr>
        <w:t>估价对象产权资料复印件</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附件5：</w:t>
      </w:r>
      <w:r>
        <w:rPr>
          <w:rFonts w:eastAsia="仿宋_GB2312"/>
          <w:color w:val="000000"/>
          <w:sz w:val="28"/>
          <w:szCs w:val="28"/>
        </w:rPr>
        <w:t>房地产估价机构企业营业执照复印件</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附件6：</w:t>
      </w:r>
      <w:r>
        <w:rPr>
          <w:rFonts w:eastAsia="仿宋_GB2312"/>
          <w:color w:val="000000"/>
          <w:sz w:val="28"/>
          <w:szCs w:val="28"/>
        </w:rPr>
        <w:t>房地产估价机构资质证书复印件</w:t>
      </w:r>
    </w:p>
    <w:p>
      <w:pPr>
        <w:spacing w:before="0" w:after="0" w:line="360" w:lineRule="auto"/>
        <w:ind w:firstLine="1120" w:firstLineChars="400"/>
        <w:rPr>
          <w:rFonts w:eastAsia="仿宋_GB2312"/>
          <w:color w:val="000000"/>
          <w:sz w:val="28"/>
          <w:szCs w:val="28"/>
        </w:rPr>
      </w:pPr>
      <w:r>
        <w:rPr>
          <w:rFonts w:hint="eastAsia" w:ascii="仿宋_GB2312" w:hAnsi="宋体" w:eastAsia="仿宋_GB2312" w:cs="仿宋_GB2312"/>
          <w:sz w:val="28"/>
        </w:rPr>
        <w:t>附件7：</w:t>
      </w:r>
      <w:r>
        <w:rPr>
          <w:rFonts w:eastAsia="仿宋_GB2312"/>
          <w:color w:val="000000"/>
          <w:sz w:val="28"/>
          <w:szCs w:val="28"/>
        </w:rPr>
        <w:t>注册房地产估价师执业证书复印件</w:t>
      </w:r>
    </w:p>
    <w:p>
      <w:pPr>
        <w:spacing w:before="0" w:after="0" w:line="360" w:lineRule="auto"/>
        <w:ind w:firstLine="1120" w:firstLineChars="400"/>
        <w:rPr>
          <w:rFonts w:eastAsia="仿宋_GB2312"/>
          <w:color w:val="000000"/>
          <w:sz w:val="28"/>
          <w:szCs w:val="28"/>
        </w:rPr>
      </w:pPr>
    </w:p>
    <w:p>
      <w:pPr>
        <w:spacing w:before="0" w:after="0"/>
        <w:jc w:val="center"/>
        <w:rPr>
          <w:rFonts w:hint="eastAsia" w:ascii="仿宋_GB2312" w:hAnsi="宋体" w:eastAsia="仿宋_GB2312" w:cs="仿宋_GB2312"/>
          <w:sz w:val="28"/>
        </w:rPr>
      </w:pPr>
      <w:r>
        <w:rPr>
          <w:rFonts w:eastAsia="仿宋_GB2312"/>
          <w:color w:val="000000"/>
          <w:sz w:val="28"/>
          <w:szCs w:val="28"/>
        </w:rPr>
        <w:br w:type="page"/>
      </w:r>
      <w:r>
        <w:rPr>
          <w:rFonts w:hint="eastAsia" w:ascii="仿宋_GB2312" w:hAnsi="宋体" w:eastAsia="仿宋_GB2312" w:cs="仿宋_GB2312"/>
          <w:sz w:val="28"/>
        </w:rPr>
        <w:t>附件1：估价委托书复印件</w:t>
      </w:r>
    </w:p>
    <w:p>
      <w:pPr>
        <w:spacing w:before="0" w:after="0"/>
        <w:jc w:val="center"/>
        <w:rPr>
          <w:rFonts w:ascii="仿宋_GB2312" w:hAnsi="宋体" w:eastAsia="仿宋_GB2312" w:cs="仿宋_GB2312"/>
          <w:sz w:val="28"/>
        </w:rPr>
      </w:pPr>
      <w:r>
        <w:drawing>
          <wp:inline distT="0" distB="0" distL="114300" distR="114300">
            <wp:extent cx="5391150" cy="7185025"/>
            <wp:effectExtent l="0" t="0" r="0" b="15875"/>
            <wp:docPr id="4" name="图片 1" descr="D:\工作\报告\2022-6\吉州区法院-青原区青原大道西侧粮食局对面第2栋住宅501-吴亮业务\4a9c0962a1d54d784572beb6545fe75.jpg4a9c0962a1d54d784572beb6545f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工作\报告\2022-6\吉州区法院-青原区青原大道西侧粮食局对面第2栋住宅501-吴亮业务\4a9c0962a1d54d784572beb6545fe75.jpg4a9c0962a1d54d784572beb6545fe75"/>
                    <pic:cNvPicPr>
                      <a:picLocks noChangeAspect="1"/>
                    </pic:cNvPicPr>
                  </pic:nvPicPr>
                  <pic:blipFill>
                    <a:blip r:embed="rId11"/>
                    <a:srcRect/>
                    <a:stretch>
                      <a:fillRect/>
                    </a:stretch>
                  </pic:blipFill>
                  <pic:spPr>
                    <a:xfrm>
                      <a:off x="0" y="0"/>
                      <a:ext cx="5391150" cy="7185025"/>
                    </a:xfrm>
                    <a:prstGeom prst="rect">
                      <a:avLst/>
                    </a:prstGeom>
                    <a:noFill/>
                    <a:ln>
                      <a:noFill/>
                    </a:ln>
                  </pic:spPr>
                </pic:pic>
              </a:graphicData>
            </a:graphic>
          </wp:inline>
        </w:drawing>
      </w:r>
      <w:r>
        <w:rPr>
          <w:rFonts w:hint="eastAsia" w:ascii="仿宋_GB2312" w:hAnsi="宋体" w:eastAsia="仿宋_GB2312" w:cs="仿宋_GB2312"/>
          <w:sz w:val="28"/>
        </w:rPr>
        <w:br w:type="page"/>
      </w:r>
      <w:r>
        <w:rPr>
          <w:rFonts w:hint="eastAsia" w:ascii="仿宋_GB2312" w:hAnsi="宋体" w:eastAsia="仿宋_GB2312" w:cs="仿宋_GB2312"/>
          <w:sz w:val="28"/>
        </w:rPr>
        <w:t>附件2：估价对象位置图</w:t>
      </w:r>
    </w:p>
    <w:p>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仿宋_GB2312" w:hAnsi="宋体" w:eastAsia="仿宋_GB2312" w:cs="仿宋_GB2312"/>
          <w:sz w:val="28"/>
          <w:lang w:val="en-US" w:eastAsia="zh-CN"/>
        </w:rPr>
      </w:pPr>
      <w:bookmarkStart w:id="16" w:name="PO_二维码"/>
      <w:bookmarkEnd w:id="16"/>
      <w:r>
        <w:pict>
          <v:shape id="圆角矩形标注 35" o:spid="_x0000_s1025" o:spt="62" type="#_x0000_t62" style="position:absolute;left:0pt;margin-left:208.4pt;margin-top:201.55pt;height:23.45pt;width:74.7pt;z-index:251659264;mso-width-relative:page;mso-height-relative:page;" fillcolor="#FFFFFF" filled="t" stroked="t" coordsize="21600,21600" adj="-873,53319">
            <v:path/>
            <v:fill on="t" color2="#FFFFFF" focussize="0,0"/>
            <v:stroke color="#000000" joinstyle="miter"/>
            <v:imagedata o:title=""/>
            <o:lock v:ext="edit" aspectratio="f"/>
            <v:textbox>
              <w:txbxContent>
                <w:p>
                  <w:pPr>
                    <w:spacing w:before="0" w:after="0"/>
                    <w:jc w:val="center"/>
                    <w:rPr>
                      <w:rFonts w:ascii="仿宋_GB2312" w:eastAsia="仿宋_GB2312"/>
                      <w:sz w:val="24"/>
                    </w:rPr>
                  </w:pPr>
                  <w:r>
                    <w:rPr>
                      <w:rFonts w:hint="eastAsia" w:ascii="仿宋_GB2312" w:eastAsia="仿宋_GB2312"/>
                      <w:sz w:val="24"/>
                    </w:rPr>
                    <w:t>估价对象</w:t>
                  </w:r>
                </w:p>
              </w:txbxContent>
            </v:textbox>
          </v:shape>
        </w:pict>
      </w:r>
      <w:r>
        <w:drawing>
          <wp:inline distT="0" distB="0" distL="114300" distR="114300">
            <wp:extent cx="5727700" cy="713867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27700" cy="7138670"/>
                    </a:xfrm>
                    <a:prstGeom prst="rect">
                      <a:avLst/>
                    </a:prstGeom>
                    <a:noFill/>
                    <a:ln>
                      <a:noFill/>
                    </a:ln>
                  </pic:spPr>
                </pic:pic>
              </a:graphicData>
            </a:graphic>
          </wp:inline>
        </w:drawing>
      </w:r>
      <w:r>
        <w:rPr>
          <w:rFonts w:hint="eastAsia" w:ascii="宋体" w:hAnsi="宋体"/>
          <w:sz w:val="28"/>
        </w:rPr>
        <w:br w:type="page"/>
      </w:r>
      <w:r>
        <w:rPr>
          <w:rFonts w:hint="eastAsia" w:ascii="仿宋_GB2312" w:hAnsi="宋体" w:eastAsia="仿宋_GB2312" w:cs="仿宋_GB2312"/>
          <w:sz w:val="28"/>
        </w:rPr>
        <w:t>附件3：估价对象</w:t>
      </w:r>
      <w:r>
        <w:rPr>
          <w:rFonts w:hint="eastAsia" w:ascii="仿宋_GB2312" w:hAnsi="宋体" w:eastAsia="仿宋_GB2312" w:cs="仿宋_GB2312"/>
          <w:sz w:val="28"/>
          <w:lang w:val="en-US" w:eastAsia="zh-CN"/>
        </w:rPr>
        <w:t xml:space="preserve">现场查勘照片 </w:t>
      </w:r>
    </w:p>
    <w:tbl>
      <w:tblPr>
        <w:tblStyle w:val="27"/>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4"/>
        <w:gridCol w:w="4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4504"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default"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1436370" cy="1908175"/>
                  <wp:effectExtent l="0" t="0" r="11430" b="15875"/>
                  <wp:docPr id="39" name="图片 39" descr="D:\工作\报告\2022-6\吉州区法院-青原区青原大道西侧粮食局对面第2栋住宅501-吴亮业务\照片\569c733963b8ab4b31d43ef4814a1e3.jpg569c733963b8ab4b31d43ef4814a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工作\报告\2022-6\吉州区法院-青原区青原大道西侧粮食局对面第2栋住宅501-吴亮业务\照片\569c733963b8ab4b31d43ef4814a1e3.jpg569c733963b8ab4b31d43ef4814a1e3"/>
                          <pic:cNvPicPr>
                            <a:picLocks noChangeAspect="1"/>
                          </pic:cNvPicPr>
                        </pic:nvPicPr>
                        <pic:blipFill>
                          <a:blip r:embed="rId13"/>
                          <a:srcRect/>
                          <a:stretch>
                            <a:fillRect/>
                          </a:stretch>
                        </pic:blipFill>
                        <pic:spPr>
                          <a:xfrm>
                            <a:off x="0" y="0"/>
                            <a:ext cx="1436370" cy="1908175"/>
                          </a:xfrm>
                          <a:prstGeom prst="rect">
                            <a:avLst/>
                          </a:prstGeom>
                        </pic:spPr>
                      </pic:pic>
                    </a:graphicData>
                  </a:graphic>
                </wp:inline>
              </w:drawing>
            </w:r>
          </w:p>
        </w:tc>
        <w:tc>
          <w:tcPr>
            <w:tcW w:w="4738"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19" name="图片 19" descr="D:\工作\报告\2022-6\吉州区法院-青原区青原大道西侧粮食局对面第2栋住宅501-吴亮业务\照片\adeb86c4bf76547551f1cca4d84dfbc.jpgadeb86c4bf76547551f1cca4d84d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报告\2022-6\吉州区法院-青原区青原大道西侧粮食局对面第2栋住宅501-吴亮业务\照片\adeb86c4bf76547551f1cca4d84dfbc.jpgadeb86c4bf76547551f1cca4d84dfbc"/>
                          <pic:cNvPicPr>
                            <a:picLocks noChangeAspect="1"/>
                          </pic:cNvPicPr>
                        </pic:nvPicPr>
                        <pic:blipFill>
                          <a:blip r:embed="rId14"/>
                          <a:srcRect/>
                          <a:stretch>
                            <a:fillRect/>
                          </a:stretch>
                        </pic:blipFill>
                        <pic:spPr>
                          <a:xfrm>
                            <a:off x="0" y="0"/>
                            <a:ext cx="2602230" cy="1952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4504"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20" name="图片 20" descr="D:\工作\报告\2022-6\吉州区法院-青原区青原大道西侧粮食局对面第2栋住宅501-吴亮业务\照片\4f78dd8841303ae0eed719bd3fd3d30.jpg4f78dd8841303ae0eed719bd3fd3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报告\2022-6\吉州区法院-青原区青原大道西侧粮食局对面第2栋住宅501-吴亮业务\照片\4f78dd8841303ae0eed719bd3fd3d30.jpg4f78dd8841303ae0eed719bd3fd3d30"/>
                          <pic:cNvPicPr>
                            <a:picLocks noChangeAspect="1"/>
                          </pic:cNvPicPr>
                        </pic:nvPicPr>
                        <pic:blipFill>
                          <a:blip r:embed="rId15"/>
                          <a:srcRect/>
                          <a:stretch>
                            <a:fillRect/>
                          </a:stretch>
                        </pic:blipFill>
                        <pic:spPr>
                          <a:xfrm>
                            <a:off x="0" y="0"/>
                            <a:ext cx="2602230" cy="1952625"/>
                          </a:xfrm>
                          <a:prstGeom prst="rect">
                            <a:avLst/>
                          </a:prstGeom>
                        </pic:spPr>
                      </pic:pic>
                    </a:graphicData>
                  </a:graphic>
                </wp:inline>
              </w:drawing>
            </w:r>
          </w:p>
        </w:tc>
        <w:tc>
          <w:tcPr>
            <w:tcW w:w="4738"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17" name="图片 17" descr="D:\工作\报告\2022-6\吉州区法院-青原区青原大道西侧粮食局对面第2栋住宅501-吴亮业务\照片\b3b1a12481637d994d65ca837a5c663.jpgb3b1a12481637d994d65ca837a5c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报告\2022-6\吉州区法院-青原区青原大道西侧粮食局对面第2栋住宅501-吴亮业务\照片\b3b1a12481637d994d65ca837a5c663.jpgb3b1a12481637d994d65ca837a5c663"/>
                          <pic:cNvPicPr>
                            <a:picLocks noChangeAspect="1"/>
                          </pic:cNvPicPr>
                        </pic:nvPicPr>
                        <pic:blipFill>
                          <a:blip r:embed="rId16"/>
                          <a:srcRect/>
                          <a:stretch>
                            <a:fillRect/>
                          </a:stretch>
                        </pic:blipFill>
                        <pic:spPr>
                          <a:xfrm>
                            <a:off x="0" y="0"/>
                            <a:ext cx="2602230" cy="1952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4504"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473325" cy="1856105"/>
                  <wp:effectExtent l="0" t="0" r="3175" b="10795"/>
                  <wp:docPr id="41" name="图片 41" descr="D:\工作\报告\2022-6\吉州区法院-青原区青原大道西侧粮食局对面第2栋住宅501-吴亮业务\照片\2d3a86025a868791a3dd3ab4768bcc4.jpg2d3a86025a868791a3dd3ab4768b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工作\报告\2022-6\吉州区法院-青原区青原大道西侧粮食局对面第2栋住宅501-吴亮业务\照片\2d3a86025a868791a3dd3ab4768bcc4.jpg2d3a86025a868791a3dd3ab4768bcc4"/>
                          <pic:cNvPicPr>
                            <a:picLocks noChangeAspect="1"/>
                          </pic:cNvPicPr>
                        </pic:nvPicPr>
                        <pic:blipFill>
                          <a:blip r:embed="rId17"/>
                          <a:srcRect/>
                          <a:stretch>
                            <a:fillRect/>
                          </a:stretch>
                        </pic:blipFill>
                        <pic:spPr>
                          <a:xfrm>
                            <a:off x="0" y="0"/>
                            <a:ext cx="2473325" cy="1856105"/>
                          </a:xfrm>
                          <a:prstGeom prst="rect">
                            <a:avLst/>
                          </a:prstGeom>
                        </pic:spPr>
                      </pic:pic>
                    </a:graphicData>
                  </a:graphic>
                </wp:inline>
              </w:drawing>
            </w:r>
          </w:p>
        </w:tc>
        <w:tc>
          <w:tcPr>
            <w:tcW w:w="4738"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21" name="图片 21" descr="D:\工作\报告\2022-6\吉州区法院-青原区青原大道西侧粮食局对面第2栋住宅501-吴亮业务\照片\31abcf54743a9b49c1e4edc8192abb4.jpg31abcf54743a9b49c1e4edc8192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报告\2022-6\吉州区法院-青原区青原大道西侧粮食局对面第2栋住宅501-吴亮业务\照片\31abcf54743a9b49c1e4edc8192abb4.jpg31abcf54743a9b49c1e4edc8192abb4"/>
                          <pic:cNvPicPr>
                            <a:picLocks noChangeAspect="1"/>
                          </pic:cNvPicPr>
                        </pic:nvPicPr>
                        <pic:blipFill>
                          <a:blip r:embed="rId18"/>
                          <a:srcRect/>
                          <a:stretch>
                            <a:fillRect/>
                          </a:stretch>
                        </pic:blipFill>
                        <pic:spPr>
                          <a:xfrm>
                            <a:off x="0" y="0"/>
                            <a:ext cx="2602230" cy="1952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4504"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22" name="图片 22" descr="D:\工作\报告\2022-6\吉州区法院-青原区青原大道西侧粮食局对面第2栋住宅501-吴亮业务\照片\571e3b1950d41bebe29142a99743d25.jpg571e3b1950d41bebe29142a99743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报告\2022-6\吉州区法院-青原区青原大道西侧粮食局对面第2栋住宅501-吴亮业务\照片\571e3b1950d41bebe29142a99743d25.jpg571e3b1950d41bebe29142a99743d25"/>
                          <pic:cNvPicPr>
                            <a:picLocks noChangeAspect="1"/>
                          </pic:cNvPicPr>
                        </pic:nvPicPr>
                        <pic:blipFill>
                          <a:blip r:embed="rId19"/>
                          <a:srcRect/>
                          <a:stretch>
                            <a:fillRect/>
                          </a:stretch>
                        </pic:blipFill>
                        <pic:spPr>
                          <a:xfrm>
                            <a:off x="0" y="0"/>
                            <a:ext cx="2602230" cy="1952625"/>
                          </a:xfrm>
                          <a:prstGeom prst="rect">
                            <a:avLst/>
                          </a:prstGeom>
                        </pic:spPr>
                      </pic:pic>
                    </a:graphicData>
                  </a:graphic>
                </wp:inline>
              </w:drawing>
            </w:r>
          </w:p>
        </w:tc>
        <w:tc>
          <w:tcPr>
            <w:tcW w:w="4738" w:type="dxa"/>
            <w:noWrap w:val="0"/>
            <w:vAlign w:val="top"/>
          </w:tcPr>
          <w:p>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9"/>
              <w:rPr>
                <w:rFonts w:hint="eastAsia" w:ascii="仿宋_GB2312" w:eastAsia="仿宋_GB2312"/>
                <w:spacing w:val="-20"/>
                <w:sz w:val="28"/>
                <w:szCs w:val="28"/>
                <w:highlight w:val="none"/>
                <w:vertAlign w:val="baseline"/>
                <w:lang w:val="en-US" w:eastAsia="zh-CN"/>
              </w:rPr>
            </w:pPr>
            <w:r>
              <w:rPr>
                <w:rFonts w:hint="eastAsia" w:ascii="仿宋_GB2312" w:eastAsia="仿宋_GB2312"/>
                <w:spacing w:val="-20"/>
                <w:sz w:val="28"/>
                <w:szCs w:val="28"/>
                <w:highlight w:val="none"/>
                <w:vertAlign w:val="baseline"/>
                <w:lang w:val="en-US" w:eastAsia="zh-CN"/>
              </w:rPr>
              <w:drawing>
                <wp:inline distT="0" distB="0" distL="114300" distR="114300">
                  <wp:extent cx="2602230" cy="1952625"/>
                  <wp:effectExtent l="0" t="0" r="7620" b="9525"/>
                  <wp:docPr id="23" name="图片 23" descr="D:\工作\报告\2022-6\吉州区法院-青原区青原大道西侧粮食局对面第2栋住宅501-吴亮业务\照片\ddc389a153ab9055477b502f54245d6.jpgddc389a153ab9055477b502f5424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报告\2022-6\吉州区法院-青原区青原大道西侧粮食局对面第2栋住宅501-吴亮业务\照片\ddc389a153ab9055477b502f54245d6.jpgddc389a153ab9055477b502f54245d6"/>
                          <pic:cNvPicPr>
                            <a:picLocks noChangeAspect="1"/>
                          </pic:cNvPicPr>
                        </pic:nvPicPr>
                        <pic:blipFill>
                          <a:blip r:embed="rId20"/>
                          <a:srcRect/>
                          <a:stretch>
                            <a:fillRect/>
                          </a:stretch>
                        </pic:blipFill>
                        <pic:spPr>
                          <a:xfrm>
                            <a:off x="0" y="0"/>
                            <a:ext cx="2602230" cy="1952625"/>
                          </a:xfrm>
                          <a:prstGeom prst="rect">
                            <a:avLst/>
                          </a:prstGeom>
                        </pic:spPr>
                      </pic:pic>
                    </a:graphicData>
                  </a:graphic>
                </wp:inline>
              </w:drawing>
            </w:r>
          </w:p>
        </w:tc>
      </w:tr>
    </w:tbl>
    <w:p>
      <w:pPr>
        <w:jc w:val="center"/>
        <w:rPr>
          <w:rFonts w:hint="eastAsia" w:ascii="仿宋_GB2312" w:hAnsi="宋体" w:eastAsia="仿宋_GB2312" w:cs="仿宋_GB2312"/>
          <w:sz w:val="28"/>
          <w:lang w:eastAsia="zh-CN"/>
        </w:rPr>
      </w:pPr>
      <w:r>
        <w:rPr>
          <w:rFonts w:hint="eastAsia" w:ascii="仿宋_GB2312" w:hAnsi="宋体" w:eastAsia="仿宋_GB2312" w:cs="仿宋_GB2312"/>
          <w:sz w:val="28"/>
        </w:rPr>
        <w:t>附件4：估价对象产权资料复印件</w:t>
      </w:r>
    </w:p>
    <w:p>
      <w:pPr>
        <w:spacing w:before="0" w:after="0"/>
        <w:jc w:val="center"/>
        <w:rPr>
          <w:rFonts w:hint="eastAsia" w:ascii="仿宋_GB2312" w:hAnsi="宋体" w:eastAsia="仿宋_GB2312" w:cs="仿宋_GB2312"/>
          <w:sz w:val="28"/>
          <w:lang w:eastAsia="zh-CN"/>
        </w:rPr>
      </w:pPr>
    </w:p>
    <w:p>
      <w:pPr>
        <w:spacing w:before="0" w:after="0"/>
        <w:jc w:val="center"/>
      </w:pPr>
      <w:r>
        <w:drawing>
          <wp:inline distT="0" distB="0" distL="114300" distR="114300">
            <wp:extent cx="4187190" cy="7440930"/>
            <wp:effectExtent l="0" t="0" r="3810" b="7620"/>
            <wp:docPr id="6" name="图片 3" descr="D:\工作\报告\2022-6\吉州区法院-青原区青原大道西侧粮食局对面第2栋住宅501-吴亮业务\996d6cac34b86c12a1af2a6f4c980c4.jpg996d6cac34b86c12a1af2a6f4c98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工作\报告\2022-6\吉州区法院-青原区青原大道西侧粮食局对面第2栋住宅501-吴亮业务\996d6cac34b86c12a1af2a6f4c980c4.jpg996d6cac34b86c12a1af2a6f4c980c4"/>
                    <pic:cNvPicPr>
                      <a:picLocks noChangeAspect="1"/>
                    </pic:cNvPicPr>
                  </pic:nvPicPr>
                  <pic:blipFill>
                    <a:blip r:embed="rId21"/>
                    <a:srcRect/>
                    <a:stretch>
                      <a:fillRect/>
                    </a:stretch>
                  </pic:blipFill>
                  <pic:spPr>
                    <a:xfrm>
                      <a:off x="0" y="0"/>
                      <a:ext cx="4187190" cy="7440930"/>
                    </a:xfrm>
                    <a:prstGeom prst="rect">
                      <a:avLst/>
                    </a:prstGeom>
                    <a:noFill/>
                    <a:ln>
                      <a:noFill/>
                    </a:ln>
                  </pic:spPr>
                </pic:pic>
              </a:graphicData>
            </a:graphic>
          </wp:inline>
        </w:drawing>
      </w:r>
    </w:p>
    <w:p>
      <w:pPr>
        <w:pStyle w:val="2"/>
        <w:rPr>
          <w:rFonts w:hint="eastAsia"/>
          <w:lang w:eastAsia="zh-CN"/>
        </w:rPr>
        <w:sectPr>
          <w:pgSz w:w="11906" w:h="16838"/>
          <w:pgMar w:top="1984" w:right="1440" w:bottom="1440" w:left="1440" w:header="47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before="0" w:after="0"/>
        <w:jc w:val="center"/>
        <w:rPr>
          <w:rFonts w:hint="eastAsia" w:ascii="仿宋_GB2312" w:hAnsi="宋体" w:eastAsia="仿宋_GB2312" w:cs="仿宋_GB2312"/>
          <w:sz w:val="28"/>
        </w:rPr>
      </w:pPr>
      <w:r>
        <w:rPr>
          <w:rFonts w:hint="eastAsia" w:ascii="仿宋_GB2312" w:hAnsi="宋体" w:eastAsia="仿宋_GB2312" w:cs="仿宋_GB2312"/>
          <w:sz w:val="28"/>
        </w:rPr>
        <w:t>附件</w:t>
      </w:r>
      <w:r>
        <w:rPr>
          <w:rFonts w:eastAsia="仿宋_GB2312"/>
          <w:sz w:val="28"/>
        </w:rPr>
        <w:t>5</w:t>
      </w:r>
      <w:r>
        <w:rPr>
          <w:rFonts w:hint="eastAsia" w:ascii="仿宋_GB2312" w:hAnsi="宋体" w:eastAsia="仿宋_GB2312" w:cs="仿宋_GB2312"/>
          <w:sz w:val="28"/>
        </w:rPr>
        <w:t>：房地产估价机构企业营业执照复印件</w:t>
      </w:r>
    </w:p>
    <w:p>
      <w:pPr>
        <w:spacing w:before="0" w:after="0"/>
        <w:jc w:val="both"/>
        <w:rPr>
          <w:rFonts w:hint="eastAsia" w:ascii="仿宋_GB2312" w:hAnsi="宋体" w:eastAsia="仿宋_GB2312" w:cs="仿宋_GB2312"/>
          <w:sz w:val="28"/>
        </w:rPr>
      </w:pPr>
      <w:r>
        <w:rPr>
          <w:rFonts w:hint="eastAsia" w:ascii="仿宋_GB2312" w:hAnsi="宋体" w:eastAsia="仿宋_GB2312"/>
          <w:color w:val="000000"/>
          <w:sz w:val="28"/>
          <w:szCs w:val="28"/>
        </w:rPr>
        <w:drawing>
          <wp:anchor distT="0" distB="0" distL="114300" distR="114300" simplePos="0" relativeHeight="251661312" behindDoc="0" locked="0" layoutInCell="1" allowOverlap="1">
            <wp:simplePos x="0" y="0"/>
            <wp:positionH relativeFrom="column">
              <wp:posOffset>-1072515</wp:posOffset>
            </wp:positionH>
            <wp:positionV relativeFrom="paragraph">
              <wp:posOffset>1106170</wp:posOffset>
            </wp:positionV>
            <wp:extent cx="7853045" cy="5550535"/>
            <wp:effectExtent l="0" t="0" r="12065" b="14605"/>
            <wp:wrapNone/>
            <wp:docPr id="44" name="图片 2" descr="C:/Users/Administrator.USER-20170523SG/AppData/Local/Temp/picturecompress_20211224101808/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C:/Users/Administrator.USER-20170523SG/AppData/Local/Temp/picturecompress_20211224101808/output_9.jpgoutput_9"/>
                    <pic:cNvPicPr>
                      <a:picLocks noChangeAspect="1"/>
                    </pic:cNvPicPr>
                  </pic:nvPicPr>
                  <pic:blipFill>
                    <a:blip r:embed="rId22"/>
                    <a:stretch>
                      <a:fillRect/>
                    </a:stretch>
                  </pic:blipFill>
                  <pic:spPr>
                    <a:xfrm rot="-5400000">
                      <a:off x="0" y="0"/>
                      <a:ext cx="7853045" cy="5550535"/>
                    </a:xfrm>
                    <a:prstGeom prst="rect">
                      <a:avLst/>
                    </a:prstGeom>
                    <a:noFill/>
                    <a:ln>
                      <a:noFill/>
                    </a:ln>
                  </pic:spPr>
                </pic:pic>
              </a:graphicData>
            </a:graphic>
          </wp:anchor>
        </w:drawing>
      </w:r>
    </w:p>
    <w:p>
      <w:pPr>
        <w:spacing w:before="0" w:after="0"/>
        <w:jc w:val="center"/>
        <w:rPr>
          <w:rFonts w:ascii="仿宋_GB2312" w:hAnsi="宋体" w:eastAsia="仿宋_GB2312" w:cs="仿宋_GB2312"/>
          <w:sz w:val="28"/>
        </w:rPr>
      </w:pPr>
      <w:r>
        <w:rPr>
          <w:rFonts w:hint="eastAsia" w:ascii="仿宋_GB2312" w:hAnsi="宋体" w:eastAsia="仿宋_GB2312" w:cs="仿宋_GB2312"/>
          <w:sz w:val="28"/>
        </w:rPr>
        <w:t>附件</w:t>
      </w:r>
      <w:r>
        <w:rPr>
          <w:rFonts w:eastAsia="仿宋_GB2312"/>
          <w:sz w:val="28"/>
        </w:rPr>
        <w:t>6</w:t>
      </w:r>
      <w:r>
        <w:rPr>
          <w:rFonts w:hint="eastAsia" w:ascii="仿宋_GB2312" w:hAnsi="宋体" w:eastAsia="仿宋_GB2312" w:cs="仿宋_GB2312"/>
          <w:sz w:val="28"/>
        </w:rPr>
        <w:t>：房地产估价机构资质证书复印件</w:t>
      </w:r>
    </w:p>
    <w:p>
      <w:pPr>
        <w:spacing w:before="0" w:after="0"/>
        <w:jc w:val="center"/>
        <w:rPr>
          <w:rFonts w:ascii="宋体" w:hAnsi="宋体" w:cs="宋体"/>
          <w:sz w:val="28"/>
        </w:rPr>
      </w:pPr>
      <w:r>
        <w:rPr>
          <w:rFonts w:hint="eastAsia" w:ascii="仿宋_GB2312" w:hAnsi="宋体" w:eastAsia="仿宋_GB2312"/>
          <w:color w:val="000000"/>
          <w:sz w:val="28"/>
          <w:szCs w:val="28"/>
          <w:lang w:eastAsia="zh-CN"/>
        </w:rPr>
        <w:drawing>
          <wp:inline distT="0" distB="0" distL="114300" distR="114300">
            <wp:extent cx="5724525" cy="7917180"/>
            <wp:effectExtent l="0" t="0" r="9525" b="7620"/>
            <wp:docPr id="43" name="图片 3" descr="C:/Users/Administrator.USER-20170523SG/AppData/Local/Temp/picturecompress_20211224101808/output_17.pn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C:/Users/Administrator.USER-20170523SG/AppData/Local/Temp/picturecompress_20211224101808/output_17.pngoutput_17"/>
                    <pic:cNvPicPr>
                      <a:picLocks noChangeAspect="1"/>
                    </pic:cNvPicPr>
                  </pic:nvPicPr>
                  <pic:blipFill>
                    <a:blip r:embed="rId23"/>
                    <a:stretch>
                      <a:fillRect/>
                    </a:stretch>
                  </pic:blipFill>
                  <pic:spPr>
                    <a:xfrm>
                      <a:off x="0" y="0"/>
                      <a:ext cx="5724525" cy="7917180"/>
                    </a:xfrm>
                    <a:prstGeom prst="rect">
                      <a:avLst/>
                    </a:prstGeom>
                    <a:noFill/>
                    <a:ln>
                      <a:noFill/>
                    </a:ln>
                  </pic:spPr>
                </pic:pic>
              </a:graphicData>
            </a:graphic>
          </wp:inline>
        </w:drawing>
      </w:r>
      <w:r>
        <w:rPr>
          <w:rFonts w:hint="eastAsia" w:ascii="宋体" w:hAnsi="宋体" w:cs="宋体"/>
          <w:sz w:val="28"/>
        </w:rPr>
        <w:br w:type="page"/>
      </w:r>
      <w:r>
        <w:rPr>
          <w:rFonts w:hint="eastAsia" w:ascii="仿宋_GB2312" w:hAnsi="宋体" w:eastAsia="仿宋_GB2312" w:cs="仿宋_GB2312"/>
          <w:sz w:val="28"/>
        </w:rPr>
        <w:t>附件7：注册房地产估价师执业证书复印件</w:t>
      </w:r>
    </w:p>
    <w:p>
      <w:pPr>
        <w:spacing w:before="0" w:after="0"/>
        <w:jc w:val="center"/>
        <w:rPr>
          <w:rFonts w:hint="eastAsia" w:eastAsia="宋体"/>
          <w:lang w:eastAsia="zh-CN"/>
        </w:rPr>
      </w:pPr>
      <w:r>
        <w:drawing>
          <wp:inline distT="0" distB="0" distL="114300" distR="114300">
            <wp:extent cx="5088255" cy="3678555"/>
            <wp:effectExtent l="0" t="0" r="17145" b="17145"/>
            <wp:docPr id="10" name="图片 1" descr="C:\Users\Administrator\Desktop\新建文件夹\新建文件夹\房地产估价师转注材料\房估证.jpg房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Desktop\新建文件夹\新建文件夹\房地产估价师转注材料\房估证.jpg房估证"/>
                    <pic:cNvPicPr>
                      <a:picLocks noChangeAspect="1"/>
                    </pic:cNvPicPr>
                  </pic:nvPicPr>
                  <pic:blipFill>
                    <a:blip r:embed="rId24"/>
                    <a:stretch>
                      <a:fillRect/>
                    </a:stretch>
                  </pic:blipFill>
                  <pic:spPr>
                    <a:xfrm>
                      <a:off x="0" y="0"/>
                      <a:ext cx="5088255" cy="3678555"/>
                    </a:xfrm>
                    <a:prstGeom prst="rect">
                      <a:avLst/>
                    </a:prstGeom>
                    <a:noFill/>
                    <a:ln>
                      <a:noFill/>
                    </a:ln>
                  </pic:spPr>
                </pic:pic>
              </a:graphicData>
            </a:graphic>
          </wp:inline>
        </w:drawing>
      </w:r>
    </w:p>
    <w:p>
      <w:pPr>
        <w:spacing w:before="0" w:after="0"/>
        <w:jc w:val="center"/>
        <w:rPr>
          <w:rFonts w:ascii="仿宋_GB2312" w:eastAsia="仿宋_GB2312" w:cs="仿宋_GB2312"/>
        </w:rPr>
      </w:pPr>
      <w:r>
        <w:rPr>
          <w:rFonts w:ascii="仿宋_GB2312" w:hAnsi="仿宋_GB2312" w:eastAsia="仿宋_GB2312" w:cs="仿宋_GB2312"/>
        </w:rPr>
        <w:drawing>
          <wp:inline distT="0" distB="0" distL="0" distR="0">
            <wp:extent cx="5391785" cy="3797300"/>
            <wp:effectExtent l="0" t="0" r="18415" b="12700"/>
            <wp:docPr id="42" name="图片 223" descr="C:\徐飞\报告\4.资料\入围材料\扫描件\估价师证\房估\李宏宇.jpg李宏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3" descr="C:\徐飞\报告\4.资料\入围材料\扫描件\估价师证\房估\李宏宇.jpg李宏宇"/>
                    <pic:cNvPicPr>
                      <a:picLocks noChangeAspect="1" noChangeArrowheads="1"/>
                    </pic:cNvPicPr>
                  </pic:nvPicPr>
                  <pic:blipFill>
                    <a:blip r:embed="rId25"/>
                    <a:stretch>
                      <a:fillRect/>
                    </a:stretch>
                  </pic:blipFill>
                  <pic:spPr>
                    <a:xfrm>
                      <a:off x="0" y="0"/>
                      <a:ext cx="5391785" cy="3797300"/>
                    </a:xfrm>
                    <a:prstGeom prst="rect">
                      <a:avLst/>
                    </a:prstGeom>
                    <a:noFill/>
                    <a:ln w="9525">
                      <a:noFill/>
                      <a:miter lim="800000"/>
                      <a:headEnd/>
                      <a:tailEnd/>
                    </a:ln>
                  </pic:spPr>
                </pic:pic>
              </a:graphicData>
            </a:graphic>
          </wp:inline>
        </w:drawing>
      </w:r>
    </w:p>
    <w:sectPr>
      <w:pgSz w:w="11906" w:h="16838"/>
      <w:pgMar w:top="1984" w:right="1440" w:bottom="1440" w:left="1440" w:header="47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行楷">
    <w:altName w:val="微软雅黑"/>
    <w:panose1 w:val="0201080004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Bookman Old Style">
    <w:altName w:val="Segoe Print"/>
    <w:panose1 w:val="02050604050505020204"/>
    <w:charset w:val="00"/>
    <w:family w:val="roman"/>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0"/>
      </w:rPr>
    </w:pPr>
    <w:r>
      <w:fldChar w:fldCharType="begin"/>
    </w:r>
    <w:r>
      <w:rPr>
        <w:rStyle w:val="30"/>
      </w:rPr>
      <w:instrText xml:space="preserve">PAGE  </w:instrText>
    </w:r>
    <w:r>
      <w:fldChar w:fldCharType="separate"/>
    </w:r>
    <w:r>
      <w:rPr>
        <w:rStyle w:val="30"/>
      </w:rPr>
      <w:t>25</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0"/>
      </w:rPr>
    </w:pPr>
    <w:r>
      <w:fldChar w:fldCharType="begin"/>
    </w:r>
    <w:r>
      <w:rPr>
        <w:rStyle w:val="30"/>
      </w:rPr>
      <w:instrText xml:space="preserve">PAGE  </w:instrText>
    </w:r>
    <w:r>
      <w:fldChar w:fldCharType="separate"/>
    </w:r>
    <w:r>
      <w:rPr>
        <w:rStyle w:val="30"/>
      </w:rPr>
      <w:t>25</w:t>
    </w:r>
    <w:r>
      <w:fldChar w:fldCharType="end"/>
    </w:r>
  </w:p>
  <w:p>
    <w:pPr>
      <w:pStyle w:val="1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r>
      <w:rPr>
        <w:sz w:val="21"/>
      </w:rPr>
      <w:pict>
        <v:shape id="PowerPlusWaterMarkObject40885" o:spid="_x0000_s2049" o:spt="136" type="#_x0000_t136" style="position:absolute;left:0pt;height:66.4pt;width:203.4pt;mso-position-horizontal:center;mso-position-horizontal-relative:margin;mso-position-vertical:center;mso-position-vertical-relative:margin;z-index:-251656192;mso-width-relative:page;mso-height-relative:page;" fillcolor="#C0C0C0" filled="t" stroked="f" coordsize="21600,21600" adj="10800">
          <v:path/>
          <v:fill on="t" opacity="32768f" focussize="0,0"/>
          <v:stroke on="f"/>
          <v:imagedata o:title=""/>
          <o:lock v:ext="edit" aspectratio="t"/>
          <v:textpath on="t" fitshape="t" fitpath="t" trim="t" xscale="f" string="天禄评估" style="font-family:微软雅黑;font-size:66pt;v-same-letter-heights:f;v-text-align:center;"/>
        </v:shape>
      </w:pict>
    </w:r>
    <w:r>
      <w:drawing>
        <wp:inline distT="0" distB="0" distL="0" distR="0">
          <wp:extent cx="1583055" cy="464185"/>
          <wp:effectExtent l="19050" t="0" r="0" b="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pic:cNvPicPr>
                    <a:picLocks noChangeAspect="1" noChangeArrowheads="1"/>
                  </pic:cNvPicPr>
                </pic:nvPicPr>
                <pic:blipFill>
                  <a:blip r:embed="rId1"/>
                  <a:stretch>
                    <a:fillRect/>
                  </a:stretch>
                </pic:blipFill>
                <pic:spPr>
                  <a:xfrm>
                    <a:off x="0" y="0"/>
                    <a:ext cx="1583055" cy="464185"/>
                  </a:xfrm>
                  <a:prstGeom prst="rect">
                    <a:avLst/>
                  </a:prstGeom>
                  <a:noFill/>
                  <a:ln w="9525">
                    <a:noFill/>
                    <a:miter lim="800000"/>
                    <a:headEnd/>
                    <a:tailEnd/>
                  </a:ln>
                </pic:spPr>
              </pic:pic>
            </a:graphicData>
          </a:graphic>
        </wp:inline>
      </w:drawing>
    </w:r>
    <w:r>
      <w:rPr>
        <w:rFonts w:hint="eastAsia" w:eastAsia="华文行楷"/>
        <w:color w:val="FF0000"/>
      </w:rPr>
      <w:t xml:space="preserve">   </w:t>
    </w:r>
    <w:r>
      <w:rPr>
        <w:rFonts w:eastAsia="华文行楷"/>
        <w:color w:val="FF0000"/>
      </w:rPr>
      <w:t xml:space="preserve">    </w:t>
    </w:r>
    <w:r>
      <w:rPr>
        <w:rFonts w:hint="eastAsia" w:eastAsia="华文行楷"/>
        <w:color w:val="FF0000"/>
      </w:rPr>
      <w:t xml:space="preserve">        </w:t>
    </w:r>
    <w:r>
      <w:rPr>
        <w:rFonts w:eastAsia="华文行楷"/>
        <w:color w:val="FF0000"/>
      </w:rPr>
      <w:t xml:space="preserve">         </w:t>
    </w:r>
    <w:r>
      <w:rPr>
        <w:rFonts w:hint="eastAsia" w:eastAsia="华文行楷"/>
        <w:color w:val="FF0000"/>
      </w:rPr>
      <w:t xml:space="preserve">          </w:t>
    </w:r>
    <w:r>
      <w:rPr>
        <w:rFonts w:hint="eastAsia" w:eastAsia="华文行楷"/>
        <w:color w:val="FF0000"/>
      </w:rPr>
      <w:drawing>
        <wp:inline distT="0" distB="0" distL="0" distR="0">
          <wp:extent cx="1801495" cy="457200"/>
          <wp:effectExtent l="19050" t="0" r="8255"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noChangeArrowheads="1"/>
                  </pic:cNvPicPr>
                </pic:nvPicPr>
                <pic:blipFill>
                  <a:blip r:embed="rId2"/>
                  <a:stretch>
                    <a:fillRect/>
                  </a:stretch>
                </pic:blipFill>
                <pic:spPr>
                  <a:xfrm>
                    <a:off x="0" y="0"/>
                    <a:ext cx="1801495" cy="4572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2N2U2MjdmYzY5ZGFhZTczZDI1NDVhYmZmMDgwMGEifQ=="/>
  </w:docVars>
  <w:rsids>
    <w:rsidRoot w:val="00000000"/>
    <w:rsid w:val="00674524"/>
    <w:rsid w:val="006B5063"/>
    <w:rsid w:val="00906786"/>
    <w:rsid w:val="022A6766"/>
    <w:rsid w:val="02965218"/>
    <w:rsid w:val="02F67B23"/>
    <w:rsid w:val="035E2A3D"/>
    <w:rsid w:val="04CC45D7"/>
    <w:rsid w:val="05D1661F"/>
    <w:rsid w:val="05FF06A3"/>
    <w:rsid w:val="06D3619B"/>
    <w:rsid w:val="0B204A2F"/>
    <w:rsid w:val="0B493381"/>
    <w:rsid w:val="0B512FB6"/>
    <w:rsid w:val="0BB91287"/>
    <w:rsid w:val="0EEB4246"/>
    <w:rsid w:val="0FF609E7"/>
    <w:rsid w:val="10081CEE"/>
    <w:rsid w:val="100A4136"/>
    <w:rsid w:val="10145695"/>
    <w:rsid w:val="1060584A"/>
    <w:rsid w:val="10C90513"/>
    <w:rsid w:val="10F9294C"/>
    <w:rsid w:val="11391502"/>
    <w:rsid w:val="12AE552B"/>
    <w:rsid w:val="13464A49"/>
    <w:rsid w:val="13AA37A2"/>
    <w:rsid w:val="13B311EA"/>
    <w:rsid w:val="146E6986"/>
    <w:rsid w:val="1500075A"/>
    <w:rsid w:val="1530415D"/>
    <w:rsid w:val="15E5170F"/>
    <w:rsid w:val="165504D4"/>
    <w:rsid w:val="166B402B"/>
    <w:rsid w:val="17C50FB3"/>
    <w:rsid w:val="18360DD0"/>
    <w:rsid w:val="19243307"/>
    <w:rsid w:val="1A865C35"/>
    <w:rsid w:val="1BAF5BF4"/>
    <w:rsid w:val="1CBA0EDC"/>
    <w:rsid w:val="1CC10960"/>
    <w:rsid w:val="1FBA5115"/>
    <w:rsid w:val="1FF767DC"/>
    <w:rsid w:val="202F2D69"/>
    <w:rsid w:val="210F4CB8"/>
    <w:rsid w:val="21E719A7"/>
    <w:rsid w:val="24DB3599"/>
    <w:rsid w:val="260817EC"/>
    <w:rsid w:val="2618571D"/>
    <w:rsid w:val="29310257"/>
    <w:rsid w:val="2A43063C"/>
    <w:rsid w:val="2A90644F"/>
    <w:rsid w:val="2B0275DF"/>
    <w:rsid w:val="2DEB449D"/>
    <w:rsid w:val="2FE73D65"/>
    <w:rsid w:val="30A4183D"/>
    <w:rsid w:val="34812700"/>
    <w:rsid w:val="34FA455F"/>
    <w:rsid w:val="37DD3977"/>
    <w:rsid w:val="39F135F7"/>
    <w:rsid w:val="3ABA3491"/>
    <w:rsid w:val="3B1B7AD5"/>
    <w:rsid w:val="3BEE06B8"/>
    <w:rsid w:val="3C97626A"/>
    <w:rsid w:val="3CBC0F2A"/>
    <w:rsid w:val="3CFB49AC"/>
    <w:rsid w:val="3D7824A0"/>
    <w:rsid w:val="3DA81A14"/>
    <w:rsid w:val="3EB62E9D"/>
    <w:rsid w:val="3F277D00"/>
    <w:rsid w:val="3F521238"/>
    <w:rsid w:val="3F7C339C"/>
    <w:rsid w:val="41B16896"/>
    <w:rsid w:val="424F19F5"/>
    <w:rsid w:val="478B491D"/>
    <w:rsid w:val="47A13DC1"/>
    <w:rsid w:val="47BF7E0B"/>
    <w:rsid w:val="47CF7161"/>
    <w:rsid w:val="48D9333D"/>
    <w:rsid w:val="49006C29"/>
    <w:rsid w:val="4A1D4ACA"/>
    <w:rsid w:val="4B816125"/>
    <w:rsid w:val="4BEC277D"/>
    <w:rsid w:val="4C9539A5"/>
    <w:rsid w:val="4CA014BD"/>
    <w:rsid w:val="4CD06A2A"/>
    <w:rsid w:val="4D7C7B78"/>
    <w:rsid w:val="4DC43794"/>
    <w:rsid w:val="4E9E632B"/>
    <w:rsid w:val="514C29E4"/>
    <w:rsid w:val="51E157E3"/>
    <w:rsid w:val="52B3049A"/>
    <w:rsid w:val="52D15EDA"/>
    <w:rsid w:val="543D4AA1"/>
    <w:rsid w:val="54B24138"/>
    <w:rsid w:val="55204233"/>
    <w:rsid w:val="55872E29"/>
    <w:rsid w:val="56B93FDF"/>
    <w:rsid w:val="56F67DF9"/>
    <w:rsid w:val="57A6723F"/>
    <w:rsid w:val="57DE6248"/>
    <w:rsid w:val="58070251"/>
    <w:rsid w:val="587B6A7C"/>
    <w:rsid w:val="590E5443"/>
    <w:rsid w:val="5A7D0C9E"/>
    <w:rsid w:val="5BBE331C"/>
    <w:rsid w:val="5D155A92"/>
    <w:rsid w:val="5DD03546"/>
    <w:rsid w:val="5EB87CF5"/>
    <w:rsid w:val="5F64242D"/>
    <w:rsid w:val="6083677E"/>
    <w:rsid w:val="63221DE5"/>
    <w:rsid w:val="634A32FC"/>
    <w:rsid w:val="64BC23C3"/>
    <w:rsid w:val="64D14E46"/>
    <w:rsid w:val="64F8789F"/>
    <w:rsid w:val="652137CE"/>
    <w:rsid w:val="68164C40"/>
    <w:rsid w:val="682D2D5B"/>
    <w:rsid w:val="687225EE"/>
    <w:rsid w:val="69744461"/>
    <w:rsid w:val="6CE23A3C"/>
    <w:rsid w:val="6D8E25FB"/>
    <w:rsid w:val="6EE33529"/>
    <w:rsid w:val="722649A5"/>
    <w:rsid w:val="74035919"/>
    <w:rsid w:val="765E7A97"/>
    <w:rsid w:val="771B0CB7"/>
    <w:rsid w:val="78210A63"/>
    <w:rsid w:val="786646C8"/>
    <w:rsid w:val="7A5B5CE9"/>
    <w:rsid w:val="7AE87BF4"/>
    <w:rsid w:val="7D3E2F48"/>
    <w:rsid w:val="7DE61BA2"/>
    <w:rsid w:val="7E590DAD"/>
    <w:rsid w:val="7EAE29BA"/>
    <w:rsid w:val="7EE777E2"/>
    <w:rsid w:val="7F8B13B1"/>
    <w:rsid w:val="7F92642F"/>
    <w:rsid w:val="7F9C6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0" w:semiHidden="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99"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uiPriority="0" w:name="HTML Typewriter"/>
    <w:lsdException w:qFormat="1"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240" w:after="60" w:line="276"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spacing w:line="360" w:lineRule="auto"/>
      <w:ind w:left="128"/>
      <w:jc w:val="left"/>
      <w:outlineLvl w:val="0"/>
    </w:pPr>
    <w:rPr>
      <w:rFonts w:ascii="宋体" w:hAnsi="宋体" w:eastAsia="仿宋_GB2312"/>
      <w:b/>
      <w:sz w:val="28"/>
    </w:rPr>
  </w:style>
  <w:style w:type="paragraph" w:styleId="5">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6">
    <w:name w:val="heading 4"/>
    <w:basedOn w:val="1"/>
    <w:next w:val="1"/>
    <w:qFormat/>
    <w:uiPriority w:val="0"/>
    <w:pPr>
      <w:keepNext/>
      <w:keepLines/>
      <w:tabs>
        <w:tab w:val="left" w:pos="6264"/>
      </w:tabs>
      <w:ind w:left="5400"/>
      <w:outlineLvl w:val="3"/>
    </w:pPr>
    <w:rPr>
      <w:rFonts w:ascii="华文细黑" w:hAnsi="Arial" w:eastAsia="华文细黑"/>
      <w:b/>
      <w:bCs/>
      <w:sz w:val="22"/>
      <w:szCs w:val="22"/>
      <w:u w:val="single"/>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标准段落正文"/>
    <w:basedOn w:val="3"/>
    <w:qFormat/>
    <w:uiPriority w:val="0"/>
    <w:pPr>
      <w:ind w:firstLine="480"/>
    </w:pPr>
  </w:style>
  <w:style w:type="paragraph" w:customStyle="1" w:styleId="3">
    <w:name w:val="单括号小标题"/>
    <w:basedOn w:val="1"/>
    <w:qFormat/>
    <w:uiPriority w:val="0"/>
    <w:pPr>
      <w:spacing w:beforeLines="50" w:afterLines="100" w:line="360" w:lineRule="auto"/>
      <w:ind w:left="567"/>
      <w:jc w:val="left"/>
    </w:pPr>
    <w:rPr>
      <w:rFonts w:eastAsia="黑体"/>
      <w:sz w:val="24"/>
    </w:rPr>
  </w:style>
  <w:style w:type="paragraph" w:styleId="7">
    <w:name w:val="toa heading"/>
    <w:basedOn w:val="1"/>
    <w:next w:val="1"/>
    <w:qFormat/>
    <w:uiPriority w:val="0"/>
    <w:pPr>
      <w:spacing w:before="120" w:beforeLines="0" w:beforeAutospacing="0"/>
    </w:pPr>
    <w:rPr>
      <w:rFonts w:ascii="Arial" w:hAnsi="Arial"/>
      <w:sz w:val="24"/>
    </w:rPr>
  </w:style>
  <w:style w:type="paragraph" w:styleId="8">
    <w:name w:val="annotation text"/>
    <w:basedOn w:val="1"/>
    <w:qFormat/>
    <w:uiPriority w:val="0"/>
    <w:pPr>
      <w:jc w:val="left"/>
    </w:pPr>
  </w:style>
  <w:style w:type="paragraph" w:styleId="9">
    <w:name w:val="Body Text"/>
    <w:basedOn w:val="1"/>
    <w:qFormat/>
    <w:uiPriority w:val="0"/>
    <w:rPr>
      <w:sz w:val="30"/>
      <w:szCs w:val="20"/>
    </w:rPr>
  </w:style>
  <w:style w:type="paragraph" w:styleId="10">
    <w:name w:val="Body Text Indent"/>
    <w:basedOn w:val="1"/>
    <w:qFormat/>
    <w:uiPriority w:val="0"/>
    <w:pPr>
      <w:spacing w:line="300" w:lineRule="auto"/>
      <w:ind w:firstLine="480" w:firstLineChars="200"/>
    </w:pPr>
    <w:rPr>
      <w:rFonts w:ascii="宋体" w:hAnsi="宋体"/>
      <w:sz w:val="24"/>
    </w:rPr>
  </w:style>
  <w:style w:type="paragraph" w:styleId="11">
    <w:name w:val="Plain Text"/>
    <w:basedOn w:val="1"/>
    <w:qFormat/>
    <w:uiPriority w:val="0"/>
    <w:rPr>
      <w:rFonts w:ascii="宋体" w:hAnsi="Courier New"/>
      <w:szCs w:val="21"/>
    </w:rPr>
  </w:style>
  <w:style w:type="paragraph" w:styleId="12">
    <w:name w:val="Date"/>
    <w:basedOn w:val="1"/>
    <w:next w:val="1"/>
    <w:qFormat/>
    <w:uiPriority w:val="0"/>
    <w:rPr>
      <w:rFonts w:ascii="楷体_GB2312" w:eastAsia="楷体_GB2312"/>
      <w:spacing w:val="10"/>
      <w:sz w:val="24"/>
      <w:szCs w:val="20"/>
    </w:rPr>
  </w:style>
  <w:style w:type="paragraph" w:styleId="13">
    <w:name w:val="Body Text Indent 2"/>
    <w:basedOn w:val="1"/>
    <w:qFormat/>
    <w:uiPriority w:val="0"/>
    <w:pPr>
      <w:spacing w:after="120" w:line="480" w:lineRule="auto"/>
      <w:ind w:left="420" w:leftChars="200"/>
    </w:pPr>
  </w:style>
  <w:style w:type="paragraph" w:styleId="14">
    <w:name w:val="Balloon Text"/>
    <w:basedOn w:val="1"/>
    <w:qFormat/>
    <w:uiPriority w:val="0"/>
    <w:rPr>
      <w:sz w:val="18"/>
      <w:szCs w:val="18"/>
    </w:rPr>
  </w:style>
  <w:style w:type="paragraph" w:styleId="15">
    <w:name w:val="footer"/>
    <w:basedOn w:val="1"/>
    <w:qFormat/>
    <w:uiPriority w:val="0"/>
    <w:pPr>
      <w:tabs>
        <w:tab w:val="center" w:pos="4153"/>
        <w:tab w:val="right" w:pos="8306"/>
      </w:tabs>
      <w:snapToGrid w:val="0"/>
      <w:jc w:val="left"/>
    </w:pPr>
    <w:rPr>
      <w:rFonts w:ascii="Arial" w:hAnsi="Arial" w:eastAsia="幼圆"/>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rFonts w:ascii="Arial" w:hAnsi="Arial" w:eastAsia="幼圆"/>
      <w:sz w:val="18"/>
      <w:szCs w:val="18"/>
    </w:rPr>
  </w:style>
  <w:style w:type="paragraph" w:styleId="17">
    <w:name w:val="toc 1"/>
    <w:basedOn w:val="1"/>
    <w:next w:val="1"/>
    <w:qFormat/>
    <w:uiPriority w:val="39"/>
  </w:style>
  <w:style w:type="paragraph" w:styleId="18">
    <w:name w:val="Body Text Indent 3"/>
    <w:basedOn w:val="1"/>
    <w:qFormat/>
    <w:uiPriority w:val="0"/>
    <w:pPr>
      <w:spacing w:after="120"/>
      <w:ind w:left="420" w:leftChars="200"/>
    </w:pPr>
    <w:rPr>
      <w:sz w:val="16"/>
      <w:szCs w:val="16"/>
    </w:rPr>
  </w:style>
  <w:style w:type="paragraph" w:styleId="19">
    <w:name w:val="table of figures"/>
    <w:basedOn w:val="1"/>
    <w:next w:val="1"/>
    <w:qFormat/>
    <w:uiPriority w:val="0"/>
    <w:pPr>
      <w:spacing w:before="120" w:after="120"/>
      <w:ind w:left="840" w:hanging="420"/>
      <w:jc w:val="center"/>
    </w:pPr>
    <w:rPr>
      <w:rFonts w:eastAsia="黑体"/>
      <w:szCs w:val="20"/>
    </w:rPr>
  </w:style>
  <w:style w:type="paragraph" w:styleId="20">
    <w:name w:val="toc 2"/>
    <w:basedOn w:val="1"/>
    <w:next w:val="1"/>
    <w:qFormat/>
    <w:uiPriority w:val="0"/>
    <w:pPr>
      <w:ind w:left="420" w:leftChars="200"/>
    </w:pPr>
  </w:style>
  <w:style w:type="paragraph" w:styleId="21">
    <w:name w:val="Body Text 2"/>
    <w:basedOn w:val="1"/>
    <w:qFormat/>
    <w:uiPriority w:val="0"/>
    <w:pPr>
      <w:spacing w:after="120" w:line="480" w:lineRule="auto"/>
    </w:pPr>
  </w:style>
  <w:style w:type="paragraph" w:styleId="2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Arial Unicode MS"/>
      <w:kern w:val="0"/>
      <w:sz w:val="20"/>
      <w:szCs w:val="20"/>
    </w:rPr>
  </w:style>
  <w:style w:type="paragraph" w:styleId="23">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24">
    <w:name w:val="Title"/>
    <w:basedOn w:val="1"/>
    <w:next w:val="1"/>
    <w:link w:val="44"/>
    <w:qFormat/>
    <w:uiPriority w:val="0"/>
    <w:pPr>
      <w:jc w:val="center"/>
      <w:outlineLvl w:val="0"/>
    </w:pPr>
    <w:rPr>
      <w:rFonts w:ascii="Cambria" w:hAnsi="Cambria"/>
      <w:b/>
      <w:bCs/>
      <w:sz w:val="32"/>
      <w:szCs w:val="32"/>
    </w:rPr>
  </w:style>
  <w:style w:type="paragraph" w:styleId="25">
    <w:name w:val="annotation subject"/>
    <w:basedOn w:val="8"/>
    <w:next w:val="8"/>
    <w:qFormat/>
    <w:uiPriority w:val="0"/>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page number"/>
    <w:basedOn w:val="28"/>
    <w:qFormat/>
    <w:uiPriority w:val="0"/>
  </w:style>
  <w:style w:type="character" w:styleId="31">
    <w:name w:val="FollowedHyperlink"/>
    <w:basedOn w:val="28"/>
    <w:semiHidden/>
    <w:unhideWhenUsed/>
    <w:qFormat/>
    <w:uiPriority w:val="0"/>
    <w:rPr>
      <w:color w:val="338DE6"/>
      <w:u w:val="none"/>
    </w:rPr>
  </w:style>
  <w:style w:type="character" w:styleId="32">
    <w:name w:val="Emphasis"/>
    <w:basedOn w:val="28"/>
    <w:qFormat/>
    <w:uiPriority w:val="0"/>
  </w:style>
  <w:style w:type="character" w:styleId="33">
    <w:name w:val="HTML Definition"/>
    <w:basedOn w:val="28"/>
    <w:semiHidden/>
    <w:unhideWhenUsed/>
    <w:qFormat/>
    <w:uiPriority w:val="0"/>
  </w:style>
  <w:style w:type="character" w:styleId="34">
    <w:name w:val="HTML Variable"/>
    <w:basedOn w:val="28"/>
    <w:semiHidden/>
    <w:unhideWhenUsed/>
    <w:qFormat/>
    <w:uiPriority w:val="0"/>
  </w:style>
  <w:style w:type="character" w:styleId="35">
    <w:name w:val="Hyperlink"/>
    <w:qFormat/>
    <w:uiPriority w:val="99"/>
    <w:rPr>
      <w:rFonts w:eastAsia="仿宋_GB2312"/>
      <w:color w:val="0162BC"/>
      <w:sz w:val="24"/>
      <w:u w:val="none"/>
    </w:rPr>
  </w:style>
  <w:style w:type="character" w:styleId="36">
    <w:name w:val="HTML Code"/>
    <w:basedOn w:val="28"/>
    <w:semiHidden/>
    <w:unhideWhenUsed/>
    <w:qFormat/>
    <w:uiPriority w:val="0"/>
    <w:rPr>
      <w:rFonts w:hint="default" w:ascii="serif" w:hAnsi="serif" w:eastAsia="serif" w:cs="serif"/>
      <w:vanish/>
      <w:sz w:val="21"/>
      <w:szCs w:val="21"/>
    </w:rPr>
  </w:style>
  <w:style w:type="character" w:styleId="37">
    <w:name w:val="annotation reference"/>
    <w:qFormat/>
    <w:uiPriority w:val="0"/>
    <w:rPr>
      <w:rFonts w:eastAsia="仿宋_GB2312"/>
      <w:sz w:val="21"/>
      <w:szCs w:val="21"/>
    </w:rPr>
  </w:style>
  <w:style w:type="character" w:styleId="38">
    <w:name w:val="HTML Cite"/>
    <w:basedOn w:val="28"/>
    <w:semiHidden/>
    <w:unhideWhenUsed/>
    <w:qFormat/>
    <w:uiPriority w:val="0"/>
  </w:style>
  <w:style w:type="character" w:styleId="39">
    <w:name w:val="HTML Keyboard"/>
    <w:basedOn w:val="28"/>
    <w:semiHidden/>
    <w:unhideWhenUsed/>
    <w:qFormat/>
    <w:uiPriority w:val="0"/>
    <w:rPr>
      <w:rFonts w:hint="default" w:ascii="serif" w:hAnsi="serif" w:eastAsia="serif" w:cs="serif"/>
      <w:sz w:val="21"/>
      <w:szCs w:val="21"/>
    </w:rPr>
  </w:style>
  <w:style w:type="character" w:styleId="40">
    <w:name w:val="HTML Sample"/>
    <w:basedOn w:val="28"/>
    <w:semiHidden/>
    <w:unhideWhenUsed/>
    <w:qFormat/>
    <w:uiPriority w:val="0"/>
    <w:rPr>
      <w:rFonts w:ascii="serif" w:hAnsi="serif" w:eastAsia="serif" w:cs="serif"/>
      <w:sz w:val="21"/>
      <w:szCs w:val="21"/>
    </w:rPr>
  </w:style>
  <w:style w:type="character" w:customStyle="1" w:styleId="41">
    <w:name w:val="description"/>
    <w:basedOn w:val="28"/>
    <w:qFormat/>
    <w:uiPriority w:val="0"/>
  </w:style>
  <w:style w:type="character" w:customStyle="1" w:styleId="42">
    <w:name w:val="newtxt1"/>
    <w:basedOn w:val="28"/>
    <w:qFormat/>
    <w:uiPriority w:val="0"/>
  </w:style>
  <w:style w:type="character" w:customStyle="1" w:styleId="43">
    <w:name w:val="apple-converted-space"/>
    <w:basedOn w:val="28"/>
    <w:qFormat/>
    <w:uiPriority w:val="0"/>
  </w:style>
  <w:style w:type="character" w:customStyle="1" w:styleId="44">
    <w:name w:val="标题 Char"/>
    <w:basedOn w:val="28"/>
    <w:link w:val="24"/>
    <w:qFormat/>
    <w:uiPriority w:val="0"/>
    <w:rPr>
      <w:rFonts w:ascii="Cambria" w:hAnsi="Cambria" w:cs="Times New Roman"/>
      <w:b/>
      <w:bCs/>
      <w:kern w:val="2"/>
      <w:sz w:val="32"/>
      <w:szCs w:val="32"/>
    </w:rPr>
  </w:style>
  <w:style w:type="paragraph" w:customStyle="1" w:styleId="45">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8">
    <w:name w:val="Char"/>
    <w:basedOn w:val="1"/>
    <w:qFormat/>
    <w:uiPriority w:val="0"/>
    <w:pPr>
      <w:snapToGrid w:val="0"/>
      <w:spacing w:line="360" w:lineRule="auto"/>
      <w:ind w:firstLine="200" w:firstLineChars="200"/>
    </w:pPr>
    <w:rPr>
      <w:rFonts w:eastAsia="仿宋_GB2312"/>
      <w:sz w:val="24"/>
    </w:rPr>
  </w:style>
  <w:style w:type="paragraph" w:customStyle="1" w:styleId="49">
    <w:name w:val="xl45"/>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0">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1">
    <w:name w:val="报告正文"/>
    <w:basedOn w:val="1"/>
    <w:qFormat/>
    <w:uiPriority w:val="0"/>
    <w:pPr>
      <w:spacing w:line="336" w:lineRule="auto"/>
      <w:ind w:left="2603"/>
    </w:pPr>
    <w:rPr>
      <w:rFonts w:ascii="华文细黑" w:eastAsia="华文细黑" w:cs="宋体"/>
      <w:sz w:val="22"/>
    </w:rPr>
  </w:style>
  <w:style w:type="paragraph" w:customStyle="1" w:styleId="52">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3">
    <w:name w:val="xl4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4">
    <w:name w:val="xl6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5">
    <w:name w:val="xl57"/>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6">
    <w:name w:val="xl56"/>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7">
    <w:name w:val="xl6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8">
    <w:name w:val="xl5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9">
    <w:name w:val="xl2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61">
    <w:name w:val="xl36"/>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2">
    <w:name w:val="_Style 26"/>
    <w:basedOn w:val="1"/>
    <w:qFormat/>
    <w:uiPriority w:val="0"/>
    <w:pPr>
      <w:snapToGrid w:val="0"/>
      <w:spacing w:line="360" w:lineRule="auto"/>
      <w:ind w:firstLine="200" w:firstLineChars="200"/>
    </w:pPr>
  </w:style>
  <w:style w:type="paragraph" w:customStyle="1" w:styleId="63">
    <w:name w:val="xl4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64">
    <w:name w:val="xl4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65">
    <w:name w:val="xl3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6">
    <w:name w:val="xl53"/>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7">
    <w:name w:val="xl7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8">
    <w:name w:val="xl48"/>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9">
    <w:name w:val="xl61"/>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0">
    <w:name w:val="xl7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1">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styleId="72">
    <w:name w:val="No Spacing"/>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73">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xl78"/>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5">
    <w:name w:val="Char Char Char"/>
    <w:basedOn w:val="1"/>
    <w:next w:val="1"/>
    <w:qFormat/>
    <w:uiPriority w:val="0"/>
    <w:pPr>
      <w:widowControl/>
      <w:spacing w:line="360" w:lineRule="auto"/>
      <w:jc w:val="left"/>
    </w:pPr>
    <w:rPr>
      <w:kern w:val="0"/>
      <w:szCs w:val="20"/>
      <w:lang w:eastAsia="en-US"/>
    </w:rPr>
  </w:style>
  <w:style w:type="paragraph" w:customStyle="1" w:styleId="76">
    <w:name w:val="xl30"/>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7">
    <w:name w:val="xl34"/>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8">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79">
    <w:name w:val="font7"/>
    <w:basedOn w:val="1"/>
    <w:qFormat/>
    <w:uiPriority w:val="0"/>
    <w:pPr>
      <w:widowControl/>
      <w:spacing w:before="100" w:beforeAutospacing="1" w:after="100" w:afterAutospacing="1"/>
      <w:jc w:val="left"/>
    </w:pPr>
    <w:rPr>
      <w:rFonts w:eastAsia="Arial Unicode MS"/>
      <w:kern w:val="0"/>
      <w:sz w:val="24"/>
    </w:rPr>
  </w:style>
  <w:style w:type="paragraph" w:customStyle="1" w:styleId="80">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1">
    <w:name w:val="xl62"/>
    <w:basedOn w:val="1"/>
    <w:qFormat/>
    <w:uiPriority w:val="0"/>
    <w:pPr>
      <w:widowControl/>
      <w:pBdr>
        <w:top w:val="single" w:color="auto" w:sz="4" w:space="0"/>
        <w:lef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2">
    <w:name w:val="xl32"/>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3">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84">
    <w:name w:val="xl44"/>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5">
    <w:name w:val="xl58"/>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6">
    <w:name w:val="TOC 标题1"/>
    <w:basedOn w:val="4"/>
    <w:next w:val="1"/>
    <w:qFormat/>
    <w:uiPriority w:val="39"/>
    <w:pPr>
      <w:keepLines/>
      <w:widowControl/>
      <w:spacing w:before="480" w:line="276" w:lineRule="auto"/>
      <w:ind w:left="0"/>
      <w:outlineLvl w:val="9"/>
    </w:pPr>
    <w:rPr>
      <w:rFonts w:ascii="Cambria" w:hAnsi="Cambria" w:eastAsia="宋体"/>
      <w:bCs/>
      <w:color w:val="365F91"/>
      <w:kern w:val="0"/>
      <w:szCs w:val="28"/>
    </w:rPr>
  </w:style>
  <w:style w:type="paragraph" w:customStyle="1" w:styleId="87">
    <w:name w:val="xl2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8">
    <w:name w:val="xl24"/>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89">
    <w:name w:val="表格内文字"/>
    <w:basedOn w:val="1"/>
    <w:qFormat/>
    <w:uiPriority w:val="0"/>
    <w:pPr>
      <w:spacing w:after="0"/>
      <w:textAlignment w:val="bottom"/>
    </w:pPr>
    <w:rPr>
      <w:rFonts w:ascii="华文细黑" w:eastAsia="华文细黑"/>
      <w:snapToGrid w:val="0"/>
      <w:szCs w:val="18"/>
    </w:rPr>
  </w:style>
  <w:style w:type="paragraph" w:customStyle="1" w:styleId="90">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1">
    <w:name w:val="xl52"/>
    <w:basedOn w:val="1"/>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3">
    <w:name w:val="xl46"/>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4">
    <w:name w:val="列出段落1"/>
    <w:basedOn w:val="1"/>
    <w:qFormat/>
    <w:uiPriority w:val="0"/>
    <w:pPr>
      <w:ind w:firstLine="420" w:firstLineChars="200"/>
    </w:pPr>
    <w:rPr>
      <w:szCs w:val="21"/>
    </w:rPr>
  </w:style>
  <w:style w:type="paragraph" w:customStyle="1" w:styleId="95">
    <w:name w:val="xl6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6">
    <w:name w:val="xl6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7">
    <w:name w:val="xl47"/>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8">
    <w:name w:val="xl5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9">
    <w:name w:val="xl5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0">
    <w:name w:val="xl29"/>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1">
    <w:name w:val="xl33"/>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2">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3">
    <w:name w:val="xl5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4">
    <w:name w:val="xl63"/>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5">
    <w:name w:val="xl28"/>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6">
    <w:name w:val="xl40"/>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107">
    <w:name w:val="xl7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8">
    <w:name w:val="报告正文 Char Char Char"/>
    <w:basedOn w:val="1"/>
    <w:qFormat/>
    <w:uiPriority w:val="0"/>
    <w:pPr>
      <w:spacing w:line="336" w:lineRule="auto"/>
      <w:ind w:left="2603"/>
    </w:pPr>
    <w:rPr>
      <w:rFonts w:ascii="华文细黑" w:eastAsia="华文细黑" w:cs="宋体"/>
      <w:sz w:val="22"/>
    </w:rPr>
  </w:style>
  <w:style w:type="paragraph" w:customStyle="1" w:styleId="109">
    <w:name w:val="xl39"/>
    <w:basedOn w:val="1"/>
    <w:qFormat/>
    <w:uiPriority w:val="0"/>
    <w:pPr>
      <w:widowControl/>
      <w:pBdr>
        <w:bottom w:val="single" w:color="auto" w:sz="8"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10">
    <w:name w:val="xl38"/>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32"/>
      <w:szCs w:val="32"/>
    </w:rPr>
  </w:style>
  <w:style w:type="paragraph" w:customStyle="1" w:styleId="111">
    <w:name w:val="xl3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12">
    <w:name w:val="xl7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13">
    <w:name w:val="xl7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character" w:customStyle="1" w:styleId="114">
    <w:name w:val="font01"/>
    <w:basedOn w:val="28"/>
    <w:qFormat/>
    <w:uiPriority w:val="0"/>
    <w:rPr>
      <w:rFonts w:hint="eastAsia" w:ascii="宋体" w:hAnsi="宋体" w:eastAsia="宋体" w:cs="宋体"/>
      <w:color w:val="000000"/>
      <w:sz w:val="20"/>
      <w:szCs w:val="20"/>
      <w:u w:val="none"/>
    </w:rPr>
  </w:style>
  <w:style w:type="character" w:customStyle="1" w:styleId="115">
    <w:name w:val="font21"/>
    <w:basedOn w:val="28"/>
    <w:qFormat/>
    <w:uiPriority w:val="0"/>
    <w:rPr>
      <w:rFonts w:hint="eastAsia" w:ascii="仿宋_GB2312" w:eastAsia="仿宋_GB2312" w:cs="仿宋_GB2312"/>
      <w:color w:val="000000"/>
      <w:sz w:val="20"/>
      <w:szCs w:val="20"/>
      <w:u w:val="none"/>
    </w:rPr>
  </w:style>
  <w:style w:type="character" w:customStyle="1" w:styleId="116">
    <w:name w:val="fontstrikethrough"/>
    <w:basedOn w:val="28"/>
    <w:qFormat/>
    <w:uiPriority w:val="0"/>
    <w:rPr>
      <w:strike/>
    </w:rPr>
  </w:style>
  <w:style w:type="character" w:customStyle="1" w:styleId="117">
    <w:name w:val="fontborder"/>
    <w:basedOn w:val="28"/>
    <w:qFormat/>
    <w:uiPriority w:val="0"/>
    <w:rPr>
      <w:bdr w:val="single" w:color="000000" w:sz="6" w:space="0"/>
    </w:rPr>
  </w:style>
  <w:style w:type="character" w:customStyle="1" w:styleId="118">
    <w:name w:val="font31"/>
    <w:basedOn w:val="28"/>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LEGEND (Beijing) Limited</Company>
  <Pages>25</Pages>
  <Words>7693</Words>
  <Characters>8062</Characters>
  <Lines>54</Lines>
  <Paragraphs>15</Paragraphs>
  <TotalTime>0</TotalTime>
  <ScaleCrop>false</ScaleCrop>
  <LinksUpToDate>false</LinksUpToDate>
  <CharactersWithSpaces>8223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2019-06-10T07:05:00Z</dcterms:created>
  <dc:creator>Legend User</dc:creator>
  <cp:lastModifiedBy>WPS_1632402243</cp:lastModifiedBy>
  <cp:lastPrinted>2021-12-08T06:32:00Z</cp:lastPrinted>
  <dcterms:modified xsi:type="dcterms:W3CDTF">2022-06-02T02:35:03Z</dcterms:modified>
  <dc:title>房 地 产 估 价 报 告</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21BF63B873C74BC781FD64982A7B9C3F</vt:lpwstr>
  </property>
  <property fmtid="{D5CDD505-2E9C-101B-9397-08002B2CF9AE}" pid="3" name="KSOProductBuildVer">
    <vt:lpwstr>2052-11.1.0.11744</vt:lpwstr>
  </property>
</Properties>
</file>