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
        <w:ind w:left="450"/>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eastAsia="微软雅黑" w:cs="Calibri" w:hint="eastAsia"/>
          <w:b/>
          <w:color w:val="3e3e3e"/>
          <w:spacing w:val="9"/>
          <w:sz w:val="32"/>
          <w:szCs w:val="32"/>
          <w:shd w:val="clear" w:fill="ffffff"/>
        </w:rPr>
      </w:pPr>
      <w:r>
        <w:rPr>
          <w:rFonts w:eastAsia="微软雅黑" w:cs="Calibri" w:hint="eastAsia"/>
          <w:b/>
          <w:color w:val="3e3e3e"/>
          <w:spacing w:val="9"/>
          <w:sz w:val="32"/>
          <w:szCs w:val="32"/>
          <w:shd w:val="clear" w:fill="ffffff"/>
        </w:rPr>
        <w:t>房屋交易税费明细</w:t>
      </w:r>
      <w:r>
        <w:rPr>
          <w:rFonts w:eastAsia="微软雅黑" w:cs="Calibri" w:hint="eastAsia"/>
          <w:b/>
          <w:color w:val="3e3e3e"/>
          <w:spacing w:val="9"/>
          <w:sz w:val="32"/>
          <w:szCs w:val="32"/>
          <w:shd w:val="clear" w:fill="ffffff"/>
        </w:rPr>
      </w:r>
    </w:p>
    <w:p>
      <w:pPr>
        <w:pStyle w:val="()"/>
        <w:ind w:left="450"/>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eastAsia="微软雅黑" w:cs="Calibri"/>
          <w:b/>
          <w:color w:val="3e3e3e"/>
          <w:spacing w:val="8"/>
          <w:sz w:val="21"/>
          <w:szCs w:val="21"/>
          <w:shd w:val="clear" w:fill="ffffff"/>
        </w:rPr>
        <w:t>一、 </w:t>
      </w:r>
      <w:r>
        <w:rPr>
          <w:rStyle w:val=""/>
          <w:rFonts w:ascii="宋体" w:hAnsi="宋体" w:eastAsia="宋体" w:cs="宋体" w:hint="eastAsia"/>
          <w:color w:val="3e3e3e"/>
          <w:spacing w:val="6"/>
          <w:sz w:val="21"/>
          <w:szCs w:val="21"/>
          <w:shd w:val="clear" w:fill="ffffff"/>
        </w:rPr>
        <w:t>契税：</w:t>
      </w:r>
      <w:r>
        <w:rPr>
          <w:rFonts w:ascii="宋体" w:hAnsi="宋体" w:eastAsia="宋体" w:cs="宋体" w:hint="eastAsia"/>
          <w:color w:val="3e3e3e"/>
          <w:spacing w:val="7"/>
          <w:sz w:val="21"/>
          <w:szCs w:val="21"/>
          <w:shd w:val="clear" w:fill="ffffff"/>
        </w:rPr>
        <w:t>是指在土地、房屋权属转移时，国家向承受权属者一次性征收的一次行为税。</w:t>
      </w:r>
      <w:r>
        <w:rPr>
          <w:color w:val="3e3e3e"/>
        </w:rPr>
      </w:r>
    </w:p>
    <w:p>
      <w:pPr>
        <w:pStyle w:val="()"/>
        <w:ind w:firstLine="420"/>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 </w:t>
      </w:r>
      <w:r>
        <w:rPr>
          <w:color w:val="3e3e3e"/>
        </w:rPr>
      </w:r>
    </w:p>
    <w:tbl>
      <w:tblPr>
        <w:tblW w:w="8260" w:type="dxa"/>
      </w:tblPr>
      <w:tblGrid>
        <w:gridCol w:w="889"/>
        <w:gridCol w:w="1149"/>
        <w:gridCol w:w="2418"/>
        <w:gridCol w:w="716"/>
        <w:gridCol w:w="763"/>
        <w:gridCol w:w="1450"/>
        <w:gridCol w:w="875"/>
      </w:tblGrid>
      <w:tr>
        <w:trPr>
          <w:trHeight w:val="296" w:hRule="atLeast"/>
        </w:trPr>
        <w:tc>
          <w:tcPr>
            <w:tcW w:w="889" w:type="dxa"/>
            <w:vMerge w:val="restart"/>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税种</w:t>
            </w:r>
            <w:r/>
          </w:p>
        </w:tc>
        <w:tc>
          <w:tcPr>
            <w:tcW w:w="1149" w:type="dxa"/>
            <w:vMerge w:val="restart"/>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计税金额</w:t>
            </w:r>
            <w:r/>
          </w:p>
        </w:tc>
        <w:tc>
          <w:tcPr>
            <w:tcW w:w="5347" w:type="dxa"/>
            <w:gridSpan w:val="4"/>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个人</w:t>
            </w:r>
            <w:r/>
          </w:p>
        </w:tc>
        <w:tc>
          <w:tcPr>
            <w:tcW w:w="875"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单位</w:t>
            </w:r>
            <w:r/>
          </w:p>
        </w:tc>
      </w:tr>
      <w:tr>
        <w:trPr>
          <w:trHeight w:val="577" w:hRule="atLeast"/>
        </w:trPr>
        <w:tc>
          <w:tcPr>
            <w:tcW w:w="889" w:type="dxa"/>
            <w:vMerge/>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tc>
        <w:tc>
          <w:tcPr>
            <w:tcW w:w="1149"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c>
          <w:tcPr>
            <w:tcW w:w="2418"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类型</w:t>
            </w:r>
            <w:r/>
          </w:p>
        </w:tc>
        <w:tc>
          <w:tcPr>
            <w:tcW w:w="716"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首次</w:t>
            </w:r>
            <w:r/>
          </w:p>
        </w:tc>
        <w:tc>
          <w:tcPr>
            <w:tcW w:w="763" w:type="dxa"/>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二次</w:t>
            </w:r>
            <w:r/>
          </w:p>
        </w:tc>
        <w:tc>
          <w:tcPr>
            <w:tcW w:w="1450"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三次及以上</w:t>
            </w:r>
            <w:r/>
          </w:p>
        </w:tc>
        <w:tc>
          <w:tcPr>
            <w:tcW w:w="875" w:type="dxa"/>
            <w:vMerge w:val="restart"/>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w:t>
            </w:r>
            <w:r/>
          </w:p>
        </w:tc>
      </w:tr>
      <w:tr>
        <w:trPr>
          <w:trHeight w:val="296" w:hRule="atLeast"/>
        </w:trPr>
        <w:tc>
          <w:tcPr>
            <w:tcW w:w="889" w:type="dxa"/>
            <w:vMerge w:val="restart"/>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契税</w:t>
            </w:r>
            <w:r/>
          </w:p>
        </w:tc>
        <w:tc>
          <w:tcPr>
            <w:tcW w:w="1149" w:type="dxa"/>
            <w:vMerge w:val="restart"/>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成交价格</w:t>
            </w:r>
            <w:r/>
          </w:p>
        </w:tc>
        <w:tc>
          <w:tcPr>
            <w:tcW w:w="2418"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非住宅</w:t>
            </w:r>
            <w:r/>
          </w:p>
        </w:tc>
        <w:tc>
          <w:tcPr>
            <w:tcW w:w="716"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w:t>
            </w:r>
            <w:r/>
          </w:p>
        </w:tc>
        <w:tc>
          <w:tcPr>
            <w:tcW w:w="763"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w:t>
            </w:r>
            <w:r/>
          </w:p>
        </w:tc>
        <w:tc>
          <w:tcPr>
            <w:tcW w:w="1450"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w:t>
            </w:r>
            <w:r/>
          </w:p>
        </w:tc>
        <w:tc>
          <w:tcPr>
            <w:tcW w:w="875"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r>
      <w:tr>
        <w:trPr>
          <w:trHeight w:val="296" w:hRule="atLeast"/>
        </w:trPr>
        <w:tc>
          <w:tcPr>
            <w:tcW w:w="889"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1149" w:type="dxa"/>
            <w:vMerge/>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tc>
        <w:tc>
          <w:tcPr>
            <w:tcW w:w="2418"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住宅90方以上</w:t>
            </w:r>
            <w:r/>
          </w:p>
        </w:tc>
        <w:tc>
          <w:tcPr>
            <w:tcW w:w="716"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1.5%</w:t>
            </w:r>
            <w:r/>
          </w:p>
        </w:tc>
        <w:tc>
          <w:tcPr>
            <w:tcW w:w="763"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2%</w:t>
            </w:r>
            <w:r/>
          </w:p>
        </w:tc>
        <w:tc>
          <w:tcPr>
            <w:tcW w:w="1450"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w:t>
            </w:r>
            <w:r/>
          </w:p>
        </w:tc>
        <w:tc>
          <w:tcPr>
            <w:tcW w:w="875"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r>
      <w:tr>
        <w:trPr>
          <w:trHeight w:val="309" w:hRule="atLeast"/>
        </w:trPr>
        <w:tc>
          <w:tcPr>
            <w:tcW w:w="889"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1149" w:type="dxa"/>
            <w:vMerge/>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tc>
        <w:tc>
          <w:tcPr>
            <w:tcW w:w="2418"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住宅90方（含）以下</w:t>
            </w:r>
            <w:r/>
          </w:p>
        </w:tc>
        <w:tc>
          <w:tcPr>
            <w:tcW w:w="716"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w:t>
            </w:r>
            <w:r/>
          </w:p>
        </w:tc>
        <w:tc>
          <w:tcPr>
            <w:tcW w:w="763" w:type="dxa"/>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w:t>
            </w:r>
            <w:r/>
          </w:p>
        </w:tc>
        <w:tc>
          <w:tcPr>
            <w:tcW w:w="1450"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w:t>
            </w:r>
            <w:r/>
          </w:p>
        </w:tc>
        <w:tc>
          <w:tcPr>
            <w:tcW w:w="875"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r>
    </w:tbl>
    <w:p>
      <w:pPr>
        <w:pStyle w:val="()"/>
        <w:ind w:left="450"/>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eastAsia="微软雅黑" w:cs="Calibri"/>
          <w:color w:val="3e3e3e"/>
          <w:spacing w:val="8"/>
          <w:sz w:val="21"/>
          <w:szCs w:val="21"/>
          <w:shd w:val="clear" w:fill="ffffff"/>
        </w:rPr>
        <w:t> </w:t>
      </w:r>
      <w:r>
        <w:rPr>
          <w:color w:val="3e3e3e"/>
        </w:rPr>
      </w:r>
    </w:p>
    <w:p>
      <w:pPr>
        <w:pStyle w:val="()"/>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二、印花税：</w:t>
      </w:r>
      <w:r>
        <w:rPr>
          <w:rFonts w:ascii="宋体" w:hAnsi="宋体" w:eastAsia="宋体" w:cs="宋体" w:hint="eastAsia"/>
          <w:color w:val="3e3e3e"/>
          <w:spacing w:val="7"/>
          <w:sz w:val="21"/>
          <w:szCs w:val="21"/>
          <w:shd w:val="clear" w:fill="ffffff"/>
        </w:rPr>
        <w:t>以经济活动中签立的各种合同、产权转移书据等应税凭证文件为对象所课征的税。</w:t>
      </w:r>
      <w:r>
        <w:rPr>
          <w:color w:val="3e3e3e"/>
        </w:rPr>
      </w:r>
    </w:p>
    <w:tbl>
      <w:tblPr>
        <w:tblW w:w="8240" w:type="dxa"/>
      </w:tblPr>
      <w:tblGrid>
        <w:gridCol w:w="1354"/>
        <w:gridCol w:w="1341"/>
        <w:gridCol w:w="2751"/>
        <w:gridCol w:w="1255"/>
        <w:gridCol w:w="1539"/>
      </w:tblGrid>
      <w:tr>
        <w:trPr>
          <w:trHeight w:val="290" w:hRule="atLeast"/>
        </w:trPr>
        <w:tc>
          <w:tcPr>
            <w:tcW w:w="1354" w:type="dxa"/>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税种</w:t>
            </w:r>
            <w:r/>
          </w:p>
        </w:tc>
        <w:tc>
          <w:tcPr>
            <w:tcW w:w="1341"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计税金额</w:t>
            </w:r>
            <w:r/>
          </w:p>
        </w:tc>
        <w:tc>
          <w:tcPr>
            <w:tcW w:w="4006" w:type="dxa"/>
            <w:gridSpan w:val="2"/>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个人</w:t>
            </w:r>
            <w:r/>
          </w:p>
        </w:tc>
        <w:tc>
          <w:tcPr>
            <w:tcW w:w="1539"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单位</w:t>
            </w:r>
            <w:r/>
          </w:p>
        </w:tc>
      </w:tr>
      <w:tr>
        <w:trPr>
          <w:trHeight w:val="290" w:hRule="atLeast"/>
        </w:trPr>
        <w:tc>
          <w:tcPr>
            <w:tcW w:w="1354" w:type="dxa"/>
            <w:vMerge w:val="restart"/>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印花税</w:t>
            </w:r>
            <w:r/>
          </w:p>
        </w:tc>
        <w:tc>
          <w:tcPr>
            <w:tcW w:w="1341" w:type="dxa"/>
            <w:vMerge w:val="restart"/>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成交价格</w:t>
            </w:r>
            <w:r/>
          </w:p>
        </w:tc>
        <w:tc>
          <w:tcPr>
            <w:tcW w:w="2751"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非住宅</w:t>
            </w:r>
            <w:r/>
          </w:p>
        </w:tc>
        <w:tc>
          <w:tcPr>
            <w:tcW w:w="1255"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0.05%</w:t>
            </w:r>
            <w:r/>
          </w:p>
        </w:tc>
        <w:tc>
          <w:tcPr>
            <w:tcW w:w="1539" w:type="dxa"/>
            <w:vMerge w:val="restart"/>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0.05%</w:t>
            </w:r>
            <w:r/>
          </w:p>
        </w:tc>
      </w:tr>
      <w:tr>
        <w:trPr>
          <w:trHeight w:val="316" w:hRule="atLeast"/>
        </w:trPr>
        <w:tc>
          <w:tcPr>
            <w:tcW w:w="1354"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1341" w:type="dxa"/>
            <w:vMerge/>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tc>
        <w:tc>
          <w:tcPr>
            <w:tcW w:w="2751"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住宅</w:t>
            </w:r>
            <w:r/>
          </w:p>
        </w:tc>
        <w:tc>
          <w:tcPr>
            <w:tcW w:w="1255"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免征</w:t>
            </w:r>
            <w:r/>
          </w:p>
        </w:tc>
        <w:tc>
          <w:tcPr>
            <w:tcW w:w="1539"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r>
    </w:tbl>
    <w:p>
      <w:pPr>
        <w:pStyle w:val="()"/>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 </w:t>
      </w:r>
      <w:r>
        <w:rPr>
          <w:color w:val="3e3e3e"/>
        </w:rPr>
      </w:r>
    </w:p>
    <w:p>
      <w:pPr>
        <w:pStyle w:val="()"/>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三、综合税：</w:t>
      </w:r>
      <w:r>
        <w:rPr>
          <w:rFonts w:ascii="宋体" w:hAnsi="宋体" w:eastAsia="宋体" w:cs="宋体" w:hint="eastAsia"/>
          <w:color w:val="3e3e3e"/>
          <w:spacing w:val="7"/>
          <w:sz w:val="21"/>
          <w:szCs w:val="21"/>
          <w:shd w:val="clear" w:fill="ffffff"/>
        </w:rPr>
        <w:t>一般来说，营业部与教育费附加、城市维护建设税是统一打包成综合税一起征收的。其中营业税为计税金额的5%，城市维护建设税为营业税税额的7%，教育费附加为营业税税额的3%，地方教育附加为营业税税额的2%，综合税率为5.6%。（外商投资企业、外国企业、中外合资企业因城市维护建设税、教育税附加免征，综合税率为5%）。</w:t>
      </w:r>
      <w:r>
        <w:rPr>
          <w:color w:val="3e3e3e"/>
        </w:rPr>
      </w:r>
    </w:p>
    <w:tbl>
      <w:tblPr>
        <w:tblW w:w="8280" w:type="dxa"/>
      </w:tblPr>
      <w:tblGrid>
        <w:gridCol w:w="1905"/>
        <w:gridCol w:w="1580"/>
        <w:gridCol w:w="2164"/>
        <w:gridCol w:w="2631"/>
      </w:tblGrid>
      <w:tr>
        <w:trPr>
          <w:trHeight w:val="266" w:hRule="atLeast"/>
        </w:trPr>
        <w:tc>
          <w:tcPr>
            <w:tcW w:w="1905" w:type="dxa"/>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税种</w:t>
            </w:r>
            <w:r/>
          </w:p>
        </w:tc>
        <w:tc>
          <w:tcPr>
            <w:tcW w:w="1580" w:type="dxa"/>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办证时间至出售</w:t>
            </w:r>
            <w:r/>
          </w:p>
        </w:tc>
        <w:tc>
          <w:tcPr>
            <w:tcW w:w="2164" w:type="dxa"/>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个人</w:t>
            </w:r>
            <w:r/>
          </w:p>
        </w:tc>
        <w:tc>
          <w:tcPr>
            <w:tcW w:w="2631" w:type="dxa"/>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单位</w:t>
            </w:r>
            <w:r/>
          </w:p>
        </w:tc>
      </w:tr>
      <w:tr>
        <w:trPr>
          <w:trHeight w:val="549" w:hRule="atLeast"/>
        </w:trPr>
        <w:tc>
          <w:tcPr>
            <w:tcW w:w="1905" w:type="dxa"/>
            <w:vMerge w:val="restart"/>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营业税</w:t>
            </w:r>
            <w:r/>
          </w:p>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城市维护建设税</w:t>
            </w:r>
            <w:r/>
          </w:p>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教育费附加</w:t>
            </w:r>
            <w:r/>
          </w:p>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地方教育附加</w:t>
            </w:r>
            <w:r/>
          </w:p>
        </w:tc>
        <w:tc>
          <w:tcPr>
            <w:tcW w:w="1580"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未满2年</w:t>
            </w:r>
            <w:r/>
          </w:p>
        </w:tc>
        <w:tc>
          <w:tcPr>
            <w:tcW w:w="2164"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9"/>
                <w:szCs w:val="19"/>
              </w:rPr>
              <w:t>按成交价格×5.6%缴纳</w:t>
            </w:r>
            <w:r/>
          </w:p>
        </w:tc>
        <w:tc>
          <w:tcPr>
            <w:tcW w:w="2631" w:type="dxa"/>
            <w:vMerge w:val="restart"/>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按（成交价格-购入原价）×5.6%缴纳</w:t>
            </w:r>
            <w:r/>
          </w:p>
        </w:tc>
      </w:tr>
      <w:tr>
        <w:trPr>
          <w:trHeight w:val="491" w:hRule="atLeast"/>
        </w:trPr>
        <w:tc>
          <w:tcPr>
            <w:tcW w:w="1905"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1580"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满2年</w:t>
            </w:r>
            <w:r/>
          </w:p>
        </w:tc>
        <w:tc>
          <w:tcPr>
            <w:tcW w:w="2164"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9"/>
                <w:szCs w:val="19"/>
              </w:rPr>
              <w:t>免征</w:t>
            </w:r>
            <w:r/>
          </w:p>
        </w:tc>
        <w:tc>
          <w:tcPr>
            <w:tcW w:w="2631" w:type="dxa"/>
            <w:vMerge/>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tc>
      </w:tr>
    </w:tbl>
    <w:p>
      <w:pPr>
        <w:pStyle w:val="()"/>
        <w:ind w:firstLine="420"/>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br w:type="textWrapping"/>
      </w:r>
      <w:r>
        <w:rPr>
          <w:rFonts w:ascii="宋体" w:hAnsi="宋体" w:eastAsia="宋体" w:cs="宋体" w:hint="eastAsia"/>
          <w:color w:val="3e3e3e"/>
          <w:spacing w:val="7"/>
          <w:sz w:val="21"/>
          <w:szCs w:val="21"/>
          <w:shd w:val="clear" w:fill="ffffff"/>
        </w:rPr>
        <w:t>综合税“满</w:t>
      </w:r>
      <w:r>
        <w:rPr>
          <w:rFonts w:eastAsia="宋体" w:cs="Calibri"/>
          <w:color w:val="3e3e3e"/>
          <w:spacing w:val="8"/>
          <w:sz w:val="21"/>
          <w:szCs w:val="21"/>
          <w:shd w:val="clear" w:fill="ffffff"/>
        </w:rPr>
        <w:t>2</w:t>
      </w:r>
      <w:r>
        <w:rPr>
          <w:rFonts w:ascii="宋体" w:hAnsi="宋体" w:eastAsia="宋体" w:cs="宋体" w:hint="eastAsia"/>
          <w:color w:val="3e3e3e"/>
          <w:spacing w:val="7"/>
          <w:sz w:val="21"/>
          <w:szCs w:val="21"/>
          <w:shd w:val="clear" w:fill="ffffff"/>
        </w:rPr>
        <w:t>年”时间认定标准</w:t>
      </w:r>
      <w:r>
        <w:rPr>
          <w:color w:val="3e3e3e"/>
        </w:rPr>
      </w:r>
    </w:p>
    <w:tbl>
      <w:tblPr>
        <w:tblW w:w="8520" w:type="dxa"/>
      </w:tblPr>
      <w:tblGrid>
        <w:gridCol w:w="1293"/>
        <w:gridCol w:w="7227"/>
      </w:tblGrid>
      <w:tr>
        <w:trPr>
          <w:trHeight w:val="543" w:hRule="atLeast"/>
        </w:trPr>
        <w:tc>
          <w:tcPr>
            <w:tcW w:w="1293" w:type="dxa"/>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私房</w:t>
            </w:r>
            <w:r/>
          </w:p>
        </w:tc>
        <w:tc>
          <w:tcPr>
            <w:tcW w:w="7227"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以《房屋所有权证》填发日期或契税完税时间按孰先为原则确定起点</w:t>
            </w:r>
            <w:r>
              <w:rPr>
                <w:rFonts w:eastAsia="宋体" w:cs="Calibri"/>
                <w:sz w:val="18"/>
                <w:szCs w:val="18"/>
              </w:rPr>
              <w:t>(</w:t>
            </w:r>
            <w:r>
              <w:rPr>
                <w:rFonts w:ascii="宋体" w:hAnsi="宋体" w:eastAsia="宋体" w:cs="宋体" w:hint="eastAsia"/>
                <w:sz w:val="18"/>
                <w:szCs w:val="18"/>
              </w:rPr>
              <w:t>以契证填发时间或完成时间为确定起点</w:t>
            </w:r>
            <w:r>
              <w:rPr>
                <w:rFonts w:eastAsia="宋体" w:cs="Calibri"/>
                <w:sz w:val="18"/>
                <w:szCs w:val="18"/>
              </w:rPr>
              <w:t>)</w:t>
            </w:r>
            <w:r/>
          </w:p>
        </w:tc>
      </w:tr>
      <w:tr>
        <w:trPr>
          <w:trHeight w:val="319" w:hRule="atLeast"/>
        </w:trPr>
        <w:tc>
          <w:tcPr>
            <w:tcW w:w="1293" w:type="dxa"/>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房改房</w:t>
            </w:r>
            <w: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以《契证》立契时间为起点；以《契证》填发时间为起点计算。</w:t>
            </w:r>
            <w:r/>
          </w:p>
        </w:tc>
      </w:tr>
      <w:tr>
        <w:trPr>
          <w:trHeight w:val="807" w:hRule="atLeast"/>
        </w:trPr>
        <w:tc>
          <w:tcPr>
            <w:tcW w:w="1293" w:type="dxa"/>
            <w:vMerge w:val="restart"/>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拆迁安置房</w:t>
            </w:r>
            <w: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私房拆迁：新契证立契时间为</w:t>
            </w:r>
            <w:r>
              <w:rPr>
                <w:rFonts w:eastAsia="宋体" w:cs="Calibri"/>
                <w:sz w:val="18"/>
                <w:szCs w:val="18"/>
              </w:rPr>
              <w:t>2013</w:t>
            </w:r>
            <w:r>
              <w:rPr>
                <w:rFonts w:ascii="宋体" w:hAnsi="宋体" w:eastAsia="宋体" w:cs="宋体" w:hint="eastAsia"/>
                <w:sz w:val="18"/>
                <w:szCs w:val="18"/>
              </w:rPr>
              <w:t>年</w:t>
            </w:r>
            <w:r>
              <w:rPr>
                <w:rFonts w:eastAsia="宋体" w:cs="Calibri"/>
                <w:sz w:val="18"/>
                <w:szCs w:val="18"/>
              </w:rPr>
              <w:t>8</w:t>
            </w:r>
            <w:r>
              <w:rPr>
                <w:rFonts w:ascii="宋体" w:hAnsi="宋体" w:eastAsia="宋体" w:cs="宋体" w:hint="eastAsia"/>
                <w:sz w:val="18"/>
                <w:szCs w:val="18"/>
              </w:rPr>
              <w:t>月</w:t>
            </w:r>
            <w:r>
              <w:rPr>
                <w:rFonts w:eastAsia="宋体" w:cs="Calibri"/>
                <w:sz w:val="18"/>
                <w:szCs w:val="18"/>
              </w:rPr>
              <w:t>2</w:t>
            </w:r>
            <w:r>
              <w:rPr>
                <w:rFonts w:ascii="宋体" w:hAnsi="宋体" w:eastAsia="宋体" w:cs="宋体" w:hint="eastAsia"/>
                <w:sz w:val="18"/>
                <w:szCs w:val="18"/>
              </w:rPr>
              <w:t>日（含）后的，营业税按新房屋所有权证填发时间为起点计算；新证立契时间</w:t>
            </w:r>
            <w:r>
              <w:rPr>
                <w:rFonts w:eastAsia="宋体" w:cs="Calibri"/>
                <w:sz w:val="18"/>
                <w:szCs w:val="18"/>
              </w:rPr>
              <w:t>2013</w:t>
            </w:r>
            <w:r>
              <w:rPr>
                <w:rFonts w:ascii="宋体" w:hAnsi="宋体" w:eastAsia="宋体" w:cs="宋体" w:hint="eastAsia"/>
                <w:sz w:val="18"/>
                <w:szCs w:val="18"/>
              </w:rPr>
              <w:t>年</w:t>
            </w:r>
            <w:r>
              <w:rPr>
                <w:rFonts w:eastAsia="宋体" w:cs="Calibri"/>
                <w:sz w:val="18"/>
                <w:szCs w:val="18"/>
              </w:rPr>
              <w:t>8</w:t>
            </w:r>
            <w:r>
              <w:rPr>
                <w:rFonts w:ascii="宋体" w:hAnsi="宋体" w:eastAsia="宋体" w:cs="宋体" w:hint="eastAsia"/>
                <w:sz w:val="18"/>
                <w:szCs w:val="18"/>
              </w:rPr>
              <w:t>月</w:t>
            </w:r>
            <w:r>
              <w:rPr>
                <w:rFonts w:eastAsia="宋体" w:cs="Calibri"/>
                <w:sz w:val="18"/>
                <w:szCs w:val="18"/>
              </w:rPr>
              <w:t>1</w:t>
            </w:r>
            <w:r>
              <w:rPr>
                <w:rFonts w:ascii="宋体" w:hAnsi="宋体" w:eastAsia="宋体" w:cs="宋体" w:hint="eastAsia"/>
                <w:sz w:val="18"/>
                <w:szCs w:val="18"/>
              </w:rPr>
              <w:t>日（含）前的，按原《房屋所有权证》填发日期或契税完税时间按孰先为原则确定起点计算。</w:t>
            </w:r>
            <w:r/>
          </w:p>
        </w:tc>
      </w:tr>
      <w:tr>
        <w:trPr>
          <w:trHeight w:val="319" w:hRule="atLeast"/>
        </w:trPr>
        <w:tc>
          <w:tcPr>
            <w:tcW w:w="1293"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line="360" w:lineRule="atLeast"/>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公房拆迁：以拆迁后新《契证》立契时间为起点</w:t>
            </w:r>
            <w:r/>
          </w:p>
        </w:tc>
      </w:tr>
      <w:tr>
        <w:trPr>
          <w:trHeight w:val="802" w:hRule="atLeast"/>
        </w:trPr>
        <w:tc>
          <w:tcPr>
            <w:tcW w:w="1293"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房改房拆迁：新契证立契时间为</w:t>
            </w:r>
            <w:r>
              <w:rPr>
                <w:rFonts w:eastAsia="宋体" w:cs="Calibri"/>
                <w:sz w:val="18"/>
                <w:szCs w:val="18"/>
              </w:rPr>
              <w:t>2013</w:t>
            </w:r>
            <w:r>
              <w:rPr>
                <w:rFonts w:ascii="宋体" w:hAnsi="宋体" w:eastAsia="宋体" w:cs="宋体" w:hint="eastAsia"/>
                <w:sz w:val="18"/>
                <w:szCs w:val="18"/>
              </w:rPr>
              <w:t>年</w:t>
            </w:r>
            <w:r>
              <w:rPr>
                <w:rFonts w:eastAsia="宋体" w:cs="Calibri"/>
                <w:sz w:val="18"/>
                <w:szCs w:val="18"/>
              </w:rPr>
              <w:t>8</w:t>
            </w:r>
            <w:r>
              <w:rPr>
                <w:rFonts w:ascii="宋体" w:hAnsi="宋体" w:eastAsia="宋体" w:cs="宋体" w:hint="eastAsia"/>
                <w:sz w:val="18"/>
                <w:szCs w:val="18"/>
              </w:rPr>
              <w:t>月</w:t>
            </w:r>
            <w:r>
              <w:rPr>
                <w:rFonts w:eastAsia="宋体" w:cs="Calibri"/>
                <w:sz w:val="18"/>
                <w:szCs w:val="18"/>
              </w:rPr>
              <w:t>2</w:t>
            </w:r>
            <w:r>
              <w:rPr>
                <w:rFonts w:ascii="宋体" w:hAnsi="宋体" w:eastAsia="宋体" w:cs="宋体" w:hint="eastAsia"/>
                <w:sz w:val="18"/>
                <w:szCs w:val="18"/>
              </w:rPr>
              <w:t>日（含）后的，营业税按新《契证》立契时间为起点计算；新证立契时间</w:t>
            </w:r>
            <w:r>
              <w:rPr>
                <w:rFonts w:eastAsia="宋体" w:cs="Calibri"/>
                <w:sz w:val="18"/>
                <w:szCs w:val="18"/>
              </w:rPr>
              <w:t>2013</w:t>
            </w:r>
            <w:r>
              <w:rPr>
                <w:rFonts w:ascii="宋体" w:hAnsi="宋体" w:eastAsia="宋体" w:cs="宋体" w:hint="eastAsia"/>
                <w:sz w:val="18"/>
                <w:szCs w:val="18"/>
              </w:rPr>
              <w:t>年</w:t>
            </w:r>
            <w:r>
              <w:rPr>
                <w:rFonts w:eastAsia="宋体" w:cs="Calibri"/>
                <w:sz w:val="18"/>
                <w:szCs w:val="18"/>
              </w:rPr>
              <w:t>8</w:t>
            </w:r>
            <w:r>
              <w:rPr>
                <w:rFonts w:ascii="宋体" w:hAnsi="宋体" w:eastAsia="宋体" w:cs="宋体" w:hint="eastAsia"/>
                <w:sz w:val="18"/>
                <w:szCs w:val="18"/>
              </w:rPr>
              <w:t>月</w:t>
            </w:r>
            <w:r>
              <w:rPr>
                <w:rFonts w:eastAsia="宋体" w:cs="Calibri"/>
                <w:sz w:val="18"/>
                <w:szCs w:val="18"/>
              </w:rPr>
              <w:t>1</w:t>
            </w:r>
            <w:r>
              <w:rPr>
                <w:rFonts w:ascii="宋体" w:hAnsi="宋体" w:eastAsia="宋体" w:cs="宋体" w:hint="eastAsia"/>
                <w:sz w:val="18"/>
                <w:szCs w:val="18"/>
              </w:rPr>
              <w:t>日（含）前的，按原《契证》立契时间为起点计算。</w:t>
            </w:r>
            <w:r/>
          </w:p>
        </w:tc>
      </w:tr>
      <w:tr>
        <w:trPr>
          <w:trHeight w:val="807" w:hRule="atLeast"/>
        </w:trPr>
        <w:tc>
          <w:tcPr>
            <w:tcW w:w="1293"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农居房拆迁：新契证立契时间为</w:t>
            </w:r>
            <w:r>
              <w:rPr>
                <w:rFonts w:eastAsia="宋体" w:cs="Calibri"/>
                <w:sz w:val="18"/>
                <w:szCs w:val="18"/>
              </w:rPr>
              <w:t>2013</w:t>
            </w:r>
            <w:r>
              <w:rPr>
                <w:rFonts w:ascii="宋体" w:hAnsi="宋体" w:eastAsia="宋体" w:cs="宋体" w:hint="eastAsia"/>
                <w:sz w:val="18"/>
                <w:szCs w:val="18"/>
              </w:rPr>
              <w:t>年</w:t>
            </w:r>
            <w:r>
              <w:rPr>
                <w:rFonts w:eastAsia="宋体" w:cs="Calibri"/>
                <w:sz w:val="18"/>
                <w:szCs w:val="18"/>
              </w:rPr>
              <w:t>8</w:t>
            </w:r>
            <w:r>
              <w:rPr>
                <w:rFonts w:ascii="宋体" w:hAnsi="宋体" w:eastAsia="宋体" w:cs="宋体" w:hint="eastAsia"/>
                <w:sz w:val="18"/>
                <w:szCs w:val="18"/>
              </w:rPr>
              <w:t>月</w:t>
            </w:r>
            <w:r>
              <w:rPr>
                <w:rFonts w:eastAsia="宋体" w:cs="Calibri"/>
                <w:sz w:val="18"/>
                <w:szCs w:val="18"/>
              </w:rPr>
              <w:t>2</w:t>
            </w:r>
            <w:r>
              <w:rPr>
                <w:rFonts w:ascii="宋体" w:hAnsi="宋体" w:eastAsia="宋体" w:cs="宋体" w:hint="eastAsia"/>
                <w:sz w:val="18"/>
                <w:szCs w:val="18"/>
              </w:rPr>
              <w:t>日（含）后的，营业税按新新房屋所有权证填发时间为起点计算；新证立契时间</w:t>
            </w:r>
            <w:r>
              <w:rPr>
                <w:rFonts w:eastAsia="宋体" w:cs="Calibri"/>
                <w:sz w:val="18"/>
                <w:szCs w:val="18"/>
              </w:rPr>
              <w:t>2013</w:t>
            </w:r>
            <w:r>
              <w:rPr>
                <w:rFonts w:ascii="宋体" w:hAnsi="宋体" w:eastAsia="宋体" w:cs="宋体" w:hint="eastAsia"/>
                <w:sz w:val="18"/>
                <w:szCs w:val="18"/>
              </w:rPr>
              <w:t>年</w:t>
            </w:r>
            <w:r>
              <w:rPr>
                <w:rFonts w:eastAsia="宋体" w:cs="Calibri"/>
                <w:sz w:val="18"/>
                <w:szCs w:val="18"/>
              </w:rPr>
              <w:t>8</w:t>
            </w:r>
            <w:r>
              <w:rPr>
                <w:rFonts w:ascii="宋体" w:hAnsi="宋体" w:eastAsia="宋体" w:cs="宋体" w:hint="eastAsia"/>
                <w:sz w:val="18"/>
                <w:szCs w:val="18"/>
              </w:rPr>
              <w:t>月</w:t>
            </w:r>
            <w:r>
              <w:rPr>
                <w:rFonts w:eastAsia="宋体" w:cs="Calibri"/>
                <w:sz w:val="18"/>
                <w:szCs w:val="18"/>
              </w:rPr>
              <w:t>1</w:t>
            </w:r>
            <w:r>
              <w:rPr>
                <w:rFonts w:ascii="宋体" w:hAnsi="宋体" w:eastAsia="宋体" w:cs="宋体" w:hint="eastAsia"/>
                <w:sz w:val="18"/>
                <w:szCs w:val="18"/>
              </w:rPr>
              <w:t>日（含）前的，按被拆迁房屋建造年份或拆迁安置协议签订时间为起点计算。</w:t>
            </w:r>
            <w:r/>
          </w:p>
        </w:tc>
      </w:tr>
      <w:tr>
        <w:trPr>
          <w:trHeight w:val="395" w:hRule="atLeast"/>
        </w:trPr>
        <w:tc>
          <w:tcPr>
            <w:tcW w:w="1293" w:type="dxa"/>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集资建房</w:t>
            </w:r>
            <w: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以集资购房合同生效时间或房款收据开具日期按孰先为原则确定起点</w:t>
            </w:r>
            <w:r/>
          </w:p>
        </w:tc>
      </w:tr>
      <w:tr>
        <w:trPr>
          <w:trHeight w:val="807" w:hRule="atLeast"/>
        </w:trPr>
        <w:tc>
          <w:tcPr>
            <w:tcW w:w="1293" w:type="dxa"/>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离婚、直系亲属</w:t>
            </w:r>
            <w:r/>
          </w:p>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继承或赠与所得</w:t>
            </w:r>
            <w: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以发生离婚析产分割、继承、赠与行为前的购房时间为起点</w:t>
            </w:r>
            <w:r/>
          </w:p>
        </w:tc>
      </w:tr>
      <w:tr>
        <w:trPr>
          <w:trHeight w:val="555" w:hRule="atLeast"/>
        </w:trPr>
        <w:tc>
          <w:tcPr>
            <w:tcW w:w="1293" w:type="dxa"/>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非直系亲属</w:t>
            </w:r>
            <w:r/>
          </w:p>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18"/>
                <w:szCs w:val="18"/>
              </w:rPr>
              <w:t>赠与所得</w:t>
            </w:r>
            <w:r/>
          </w:p>
        </w:tc>
        <w:tc>
          <w:tcPr>
            <w:tcW w:w="7227"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cs="Calibri"/>
                <w:sz w:val="18"/>
                <w:szCs w:val="18"/>
              </w:rPr>
              <w:t>1.</w:t>
            </w:r>
            <w:r>
              <w:rPr>
                <w:rFonts w:ascii="宋体" w:hAnsi="宋体" w:eastAsia="宋体" w:cs="宋体" w:hint="eastAsia"/>
                <w:sz w:val="18"/>
                <w:szCs w:val="18"/>
              </w:rPr>
              <w:t>私房按发生受赠行为后新《房屋所有权证》填发日期或契税完税时间为起点计算；</w:t>
            </w:r>
            <w:r/>
          </w:p>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rPr>
                <w:rFonts w:cs="Calibri"/>
                <w:sz w:val="18"/>
                <w:szCs w:val="18"/>
              </w:rPr>
              <w:t>2.</w:t>
            </w:r>
            <w:r>
              <w:rPr>
                <w:rFonts w:ascii="宋体" w:hAnsi="宋体" w:eastAsia="宋体" w:cs="宋体" w:hint="eastAsia"/>
                <w:sz w:val="18"/>
                <w:szCs w:val="18"/>
              </w:rPr>
              <w:t>房改房按发生受赠行为后新《契证》立契时间为起点计算</w:t>
            </w:r>
            <w:r/>
          </w:p>
        </w:tc>
      </w:tr>
    </w:tbl>
    <w:p>
      <w:pPr>
        <w:pStyle w:val="()"/>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 </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四、个人所得税：</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是对个人（即自然人）取得的应税所得征收的一种税,现行个人所得税属于“财产转让所得”项目。</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转让所得税即个税有两种计算方式:</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① 评估</w:t>
      </w:r>
      <w:r>
        <w:rPr>
          <w:rFonts w:ascii="宋体" w:hAnsi="宋体" w:eastAsia="宋体" w:cs="宋体" w:hint="eastAsia"/>
          <w:color w:val="3e3e3e"/>
          <w:spacing w:val="7"/>
          <w:sz w:val="21"/>
          <w:szCs w:val="21"/>
          <w:shd w:val="clear" w:fill="ffffff"/>
        </w:rPr>
        <w:t>总价*1%</w:t>
      </w:r>
      <w:r>
        <w:rPr>
          <w:rFonts w:ascii="宋体" w:hAnsi="宋体" w:eastAsia="宋体" w:cs="宋体" w:hint="eastAsia"/>
          <w:color w:val="3e3e3e"/>
          <w:spacing w:val="7"/>
          <w:sz w:val="21"/>
          <w:szCs w:val="21"/>
          <w:shd w:val="clear" w:fill="ffffff"/>
        </w:rPr>
        <w:t>至3%</w:t>
      </w:r>
      <w:r>
        <w:rPr>
          <w:rFonts w:ascii="宋体" w:hAnsi="宋体" w:eastAsia="宋体" w:cs="宋体" w:hint="eastAsia"/>
          <w:color w:val="3e3e3e"/>
          <w:spacing w:val="7"/>
          <w:sz w:val="21"/>
          <w:szCs w:val="21"/>
          <w:shd w:val="clear" w:fill="ffffff"/>
        </w:rPr>
        <w:t>；</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② 差价(评估</w:t>
      </w:r>
      <w:r>
        <w:rPr>
          <w:rFonts w:ascii="宋体" w:hAnsi="宋体" w:eastAsia="宋体" w:cs="宋体" w:hint="eastAsia"/>
          <w:color w:val="3e3e3e"/>
          <w:spacing w:val="7"/>
          <w:sz w:val="21"/>
          <w:szCs w:val="21"/>
          <w:shd w:val="clear" w:fill="ffffff"/>
        </w:rPr>
        <w:t>总价-住房原值-合理费用-交易税金)*20%；</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可任选其一，若非住宅个税按差价20%征收，则土地增值税按四级累进制计算；住宅若满五年且是家庭唯一住房免征个税。</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转让所得税即个税“满五年”时间认定标准：</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1.以《契证》立契时间（新版《契证》立契时间显示为“纳税义务发生时间”）为计算起点，至签订转让合同当日满五年且为家庭唯一住房免征个税；《契证》填发时间为计算起点，至签订合同当日满五年且为家庭唯一住房免征个税(提供户口所在地、身份证地址所在地、出售房屋所在地、无房证明)。</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2.个人销售赠与所得住房：非直系亲属赠与个人所得税（即赠与税）“满五年”是以受赠后新《契证》立契时间为起点计算，若受赠时已缴纳20%赠与税，则在出售时个税“满五年”的时间起点可按前道证计算；直系亲属赠与个人所得税（即赠与税）“满五年”是以受赠前《契证》立契时间为起点计算（2012年新政策）。</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3.个人销售非住宅需按差价的20%交纳个税，按成交价的1%交纳土地增值税；单位出售非住宅需按成交价的3%交纳土地增值税。</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4.单位出售住宅及非住宅，土地增值税计算方法：</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A.按四级累进制计算：应纳税额=增值额*适用税率-扣除项目金额*速算扣除系数；</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B.按总房价*5%计算征收。</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5.个人出售非住宅按总价*1%缴纳个税或按差价20%缴纳个税（若个税选择按差价20%缴纳，则土地增值税必须按四级累进制计算征收）。</w:t>
      </w:r>
      <w:r>
        <w:rPr>
          <w:color w:val="3e3e3e"/>
        </w:rPr>
      </w:r>
    </w:p>
    <w:p>
      <w:pPr>
        <w:pStyle w:val="()"/>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eastAsia="微软雅黑" w:cs="Calibri"/>
          <w:color w:val="3e3e3e"/>
          <w:spacing w:val="8"/>
          <w:sz w:val="21"/>
          <w:szCs w:val="21"/>
          <w:shd w:val="clear" w:fill="ffffff"/>
        </w:rPr>
        <w:t> </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五、土地出让金：</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t>当交易的房屋土地性质为划拨，并且承受人是自然人，交易的房屋又为标准住宅时，承受方就要交纳土地出让金，涉及的房屋类型主要是房改房及划拨土地上的商品房、拆迁安置房等。</w:t>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r>
    </w:p>
    <w:tbl>
      <w:tblPr>
        <w:tblW w:w="8063" w:type="dxa"/>
      </w:tblPr>
      <w:tblGrid>
        <w:gridCol w:w="837"/>
        <w:gridCol w:w="1598"/>
        <w:gridCol w:w="1136"/>
        <w:gridCol w:w="646"/>
        <w:gridCol w:w="600"/>
        <w:gridCol w:w="586"/>
        <w:gridCol w:w="573"/>
        <w:gridCol w:w="559"/>
        <w:gridCol w:w="545"/>
        <w:gridCol w:w="491"/>
        <w:gridCol w:w="492"/>
      </w:tblGrid>
      <w:tr>
        <w:trPr>
          <w:trHeight w:val="319" w:hRule="atLeast"/>
        </w:trPr>
        <w:tc>
          <w:tcPr>
            <w:tcW w:w="837" w:type="dxa"/>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税种</w:t>
            </w:r>
            <w:r/>
          </w:p>
        </w:tc>
        <w:tc>
          <w:tcPr>
            <w:tcW w:w="1598"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征收金额</w:t>
            </w:r>
            <w:r/>
          </w:p>
        </w:tc>
        <w:tc>
          <w:tcPr>
            <w:tcW w:w="5628" w:type="dxa"/>
            <w:gridSpan w:val="9"/>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spacing/>
              <w:jc w:val="left"/>
              <w:widowControl/>
            </w:pPr>
            <w:r/>
          </w:p>
        </w:tc>
      </w:tr>
      <w:tr>
        <w:trPr>
          <w:trHeight w:val="319" w:hRule="atLeast"/>
        </w:trPr>
        <w:tc>
          <w:tcPr>
            <w:tcW w:w="837" w:type="dxa"/>
            <w:vMerge w:val="restart"/>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w:t>
            </w:r>
            <w:r/>
          </w:p>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出让金</w:t>
            </w:r>
            <w:r/>
          </w:p>
        </w:tc>
        <w:tc>
          <w:tcPr>
            <w:tcW w:w="1598" w:type="dxa"/>
            <w:vMerge w:val="restart"/>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土地等级相对应的出让金标准X土地分摊面积</w:t>
            </w:r>
            <w:r/>
          </w:p>
        </w:tc>
        <w:tc>
          <w:tcPr>
            <w:tcW w:w="1136"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土地登记</w:t>
            </w:r>
            <w:r/>
          </w:p>
        </w:tc>
        <w:tc>
          <w:tcPr>
            <w:tcW w:w="646"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一</w:t>
            </w:r>
            <w:r/>
          </w:p>
        </w:tc>
        <w:tc>
          <w:tcPr>
            <w:tcW w:w="600"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二</w:t>
            </w:r>
            <w:r/>
          </w:p>
        </w:tc>
        <w:tc>
          <w:tcPr>
            <w:tcW w:w="586"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三</w:t>
            </w:r>
            <w:r/>
          </w:p>
        </w:tc>
        <w:tc>
          <w:tcPr>
            <w:tcW w:w="573"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四</w:t>
            </w:r>
            <w:r/>
          </w:p>
        </w:tc>
        <w:tc>
          <w:tcPr>
            <w:tcW w:w="559"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五</w:t>
            </w:r>
            <w:r/>
          </w:p>
        </w:tc>
        <w:tc>
          <w:tcPr>
            <w:tcW w:w="545"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六</w:t>
            </w:r>
            <w:r/>
          </w:p>
        </w:tc>
        <w:tc>
          <w:tcPr>
            <w:tcW w:w="491"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七</w:t>
            </w:r>
            <w:r/>
          </w:p>
        </w:tc>
        <w:tc>
          <w:tcPr>
            <w:tcW w:w="492" w:type="dxa"/>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八</w:t>
            </w:r>
            <w:r/>
          </w:p>
        </w:tc>
      </w:tr>
      <w:tr>
        <w:trPr>
          <w:trHeight w:val="927" w:hRule="atLeast"/>
        </w:trPr>
        <w:tc>
          <w:tcPr>
            <w:tcW w:w="837" w:type="dxa"/>
            <w:vMerge/>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tc>
        <w:tc>
          <w:tcPr>
            <w:tcW w:w="1598" w:type="dxa"/>
            <w:vMerge/>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tc>
        <w:tc>
          <w:tcPr>
            <w:tcW w:w="1136"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预计缴纳标准（元/平米）</w:t>
            </w:r>
            <w:r/>
          </w:p>
        </w:tc>
        <w:tc>
          <w:tcPr>
            <w:tcW w:w="646"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600</w:t>
            </w:r>
            <w:r/>
          </w:p>
        </w:tc>
        <w:tc>
          <w:tcPr>
            <w:tcW w:w="600"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500</w:t>
            </w:r>
            <w:r/>
          </w:p>
        </w:tc>
        <w:tc>
          <w:tcPr>
            <w:tcW w:w="586"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400</w:t>
            </w:r>
            <w:r/>
          </w:p>
        </w:tc>
        <w:tc>
          <w:tcPr>
            <w:tcW w:w="573"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300</w:t>
            </w:r>
            <w:r/>
          </w:p>
        </w:tc>
        <w:tc>
          <w:tcPr>
            <w:tcW w:w="559"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200</w:t>
            </w:r>
            <w:r/>
          </w:p>
        </w:tc>
        <w:tc>
          <w:tcPr>
            <w:tcW w:w="545"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100</w:t>
            </w:r>
            <w:r/>
          </w:p>
        </w:tc>
        <w:tc>
          <w:tcPr>
            <w:tcW w:w="491"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80</w:t>
            </w:r>
            <w:r/>
          </w:p>
        </w:tc>
        <w:tc>
          <w:tcPr>
            <w:tcW w:w="492" w:type="dxa"/>
            <w:vAlign w:val="center"/>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50</w:t>
            </w:r>
            <w:r/>
          </w:p>
        </w:tc>
      </w:tr>
    </w:tbl>
    <w:p>
      <w:pPr>
        <w:pStyle w:val="()"/>
        <w:ind w:firstLine="420"/>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 </w:t>
      </w:r>
      <w:r>
        <w:rPr>
          <w:color w:val="3e3e3e"/>
        </w:rPr>
      </w:r>
    </w:p>
    <w:p>
      <w:pPr>
        <w:pStyle w:val="()"/>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t>说明：1.土地分摊面积为交易房屋的国有土地使用证书证载土地面积。</w:t>
      </w:r>
    </w:p>
    <w:p>
      <w:pPr>
        <w:pStyle w:val="()"/>
        <w:ind w:firstLine="678"/>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t>2.土地出让年期统一为70年，自土地出让合同签订之日起算，不作年期修正。</w:t>
      </w:r>
      <w:r>
        <w:rPr>
          <w:rFonts w:ascii="宋体" w:hAnsi="宋体" w:eastAsia="宋体" w:cs="宋体" w:hint="eastAsia"/>
          <w:color w:val="3e3e3e"/>
          <w:spacing w:val="7"/>
          <w:sz w:val="21"/>
          <w:szCs w:val="21"/>
          <w:shd w:val="clear" w:fill="ffffff"/>
        </w:rPr>
      </w:r>
    </w:p>
    <w:p>
      <w:pPr>
        <w:pStyle w:val="()"/>
        <w:numPr>
          <w:ilvl w:val="0"/>
          <w:numId w:val="0"/>
        </w:numPr>
        <w:ind w:left="654"/>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color w:val="3e3e3e"/>
          <w:spacing w:val="7"/>
          <w:sz w:val="21"/>
          <w:szCs w:val="21"/>
          <w:shd w:val="clear" w:fill="ffffff"/>
        </w:rPr>
      </w:pPr>
      <w:r>
        <w:rPr>
          <w:rFonts w:ascii="宋体" w:hAnsi="宋体" w:eastAsia="宋体" w:cs="宋体" w:hint="eastAsia"/>
          <w:color w:val="3e3e3e"/>
          <w:spacing w:val="7"/>
          <w:sz w:val="21"/>
          <w:szCs w:val="21"/>
          <w:shd w:val="clear" w:fill="ffffff"/>
        </w:rPr>
        <w:t>3.土地出让金计算一房一议，具体金额以房产过户部门计算为准。</w:t>
      </w:r>
      <w:r>
        <w:rPr>
          <w:rFonts w:ascii="宋体" w:hAnsi="宋体" w:eastAsia="宋体" w:cs="宋体"/>
          <w:color w:val="3e3e3e"/>
          <w:spacing w:val="7"/>
          <w:sz w:val="21"/>
          <w:szCs w:val="21"/>
          <w:shd w:val="clear" w:fill="ffffff"/>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六、房屋登记费</w:t>
      </w:r>
      <w:r>
        <w:rPr>
          <w:rFonts w:ascii="宋体" w:hAnsi="宋体" w:eastAsia="宋体" w:cs="宋体" w:hint="eastAsia"/>
          <w:color w:val="3e3e3e"/>
          <w:spacing w:val="7"/>
          <w:sz w:val="21"/>
          <w:szCs w:val="21"/>
          <w:shd w:val="clear" w:fill="ffffff"/>
        </w:rPr>
        <w:t>：</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1.住房登记以一套为一件，80元/件：非住房登记以房屋登记机构在房屋登记簿上记载一次为完成一次登记， 550元/件；</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2.房屋登记收费标准中，包含房屋权属证书费，按规定一本房屋权属证书免收证书费。向一个以上房屋权得人核发房屋权属证书时，每增加一本证书加收证书工本费10元。</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3.房屋预告登记、异议登记、地役权登记等，按规定收取房屋登记费。</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4.企业所有的房产办理房屋抵押登记的，收取房屋登记费。其他抵押登记业务按规定向抵押权人收取房屋登记费。</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5.房屋权证每本代收印花税5元。</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七、交易手续费：</w:t>
      </w:r>
      <w:r>
        <w:rPr>
          <w:color w:val="3e3e3e"/>
        </w:rPr>
      </w:r>
    </w:p>
    <w:p>
      <w:pPr>
        <w:pStyle w:val="()"/>
        <w:ind w:firstLine="42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住房转让手续费，按住房建筑面积收取。标准如下：</w:t>
      </w:r>
      <w:r>
        <w:rPr>
          <w:color w:val="3e3e3e"/>
        </w:rPr>
      </w:r>
    </w:p>
    <w:p>
      <w:pPr>
        <w:pStyle w:val="()"/>
        <w:numPr>
          <w:ilvl w:val="0"/>
          <w:numId w:val="1"/>
        </w:numPr>
        <w:ind w:left="360" w:firstLine="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t>存量住房每平方米6元，双方各承担50%；</w:t>
      </w:r>
    </w:p>
    <w:p>
      <w:pPr>
        <w:pStyle w:val="()"/>
        <w:numPr>
          <w:ilvl w:val="0"/>
          <w:numId w:val="1"/>
        </w:numPr>
        <w:ind w:left="360" w:firstLine="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存量非住宅每平方米12元，每宗交易手续费超过5000元的按5000元收取，双方各承担50%；</w:t>
      </w:r>
      <w:r>
        <w:rPr>
          <w:color w:val="3e3e3e"/>
        </w:rPr>
      </w:r>
    </w:p>
    <w:p>
      <w:pPr>
        <w:pStyle w:val="()"/>
        <w:numPr>
          <w:ilvl w:val="0"/>
          <w:numId w:val="1"/>
        </w:numPr>
        <w:ind w:left="360" w:firstLine="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宋体" w:hAnsi="宋体" w:eastAsia="宋体" w:cs="宋体" w:hint="eastAsia"/>
          <w:color w:val="3e3e3e"/>
          <w:spacing w:val="7"/>
          <w:sz w:val="21"/>
          <w:szCs w:val="21"/>
          <w:shd w:val="clear" w:fill="ffffff"/>
        </w:rPr>
      </w:pPr>
      <w:r>
        <w:rPr>
          <w:rFonts w:ascii="宋体" w:hAnsi="宋体" w:eastAsia="宋体" w:cs="宋体" w:hint="eastAsia"/>
          <w:color w:val="3e3e3e"/>
          <w:spacing w:val="7"/>
          <w:sz w:val="21"/>
          <w:szCs w:val="21"/>
          <w:shd w:val="clear" w:fill="ffffff"/>
        </w:rPr>
        <w:t>房改房首次上市，出让方免交手续费，受让方每平米3元。</w:t>
      </w:r>
    </w:p>
    <w:p>
      <w:pPr>
        <w:pStyle w:val="()"/>
        <w:numPr>
          <w:ilvl w:val="0"/>
          <w:numId w:val="1"/>
        </w:numPr>
        <w:ind w:left="360" w:firstLine="0"/>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如需公告，费用按实结算。</w:t>
      </w:r>
      <w:r>
        <w:rPr>
          <w:color w:val="3e3e3e"/>
        </w:rPr>
      </w:r>
    </w:p>
    <w:p>
      <w:pPr>
        <w:pStyle w:val="()"/>
        <w:spacing w:beforeAutospacing="0" w:afterAutospacing="0" w:line="274" w:lineRule="atLeast"/>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  </w:t>
      </w:r>
      <w:r>
        <w:rPr>
          <w:color w:val="3e3e3e"/>
        </w:rPr>
      </w:r>
    </w:p>
    <w:tbl>
      <w:tblPr>
        <w:tblW w:w="8520" w:type="dxa"/>
      </w:tblPr>
      <w:tblGrid>
        <w:gridCol w:w="931"/>
        <w:gridCol w:w="1519"/>
        <w:gridCol w:w="1761"/>
        <w:gridCol w:w="1914"/>
        <w:gridCol w:w="2395"/>
      </w:tblGrid>
      <w:tr>
        <w:trPr>
          <w:trHeight w:val="324" w:hRule="atLeast"/>
        </w:trPr>
        <w:tc>
          <w:tcPr>
            <w:tcW w:w="931" w:type="dxa"/>
            <w:vMerge w:val="restart"/>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征收对象</w:t>
            </w:r>
            <w:r/>
          </w:p>
        </w:tc>
        <w:tc>
          <w:tcPr>
            <w:tcW w:w="1519" w:type="dxa"/>
            <w:vMerge w:val="restart"/>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税费项目</w:t>
            </w:r>
            <w:r/>
          </w:p>
        </w:tc>
        <w:tc>
          <w:tcPr>
            <w:tcW w:w="6070" w:type="dxa"/>
            <w:gridSpan w:val="3"/>
            <w:vAlign w:val="bottom"/>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具体征收标准</w:t>
            </w:r>
            <w:r/>
          </w:p>
        </w:tc>
      </w:tr>
      <w:tr>
        <w:trPr>
          <w:trHeight w:val="324" w:hRule="atLeast"/>
        </w:trPr>
        <w:tc>
          <w:tcPr>
            <w:tcW w:w="931" w:type="dxa"/>
            <w:vMerge/>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tc>
        <w:tc>
          <w:tcPr>
            <w:tcW w:w="1519"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c>
          <w:tcPr>
            <w:tcW w:w="1761"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普通住宅</w:t>
            </w:r>
            <w:r/>
          </w:p>
        </w:tc>
        <w:tc>
          <w:tcPr>
            <w:tcW w:w="1914"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非普通住宅</w:t>
            </w:r>
            <w:r/>
          </w:p>
        </w:tc>
        <w:tc>
          <w:tcPr>
            <w:tcW w:w="2395"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非住宅</w:t>
            </w:r>
            <w:r/>
          </w:p>
        </w:tc>
      </w:tr>
      <w:tr>
        <w:trPr>
          <w:trHeight w:val="324" w:hRule="atLeast"/>
        </w:trPr>
        <w:tc>
          <w:tcPr>
            <w:tcW w:w="931" w:type="dxa"/>
            <w:vAlign w:val="center"/>
            <w:tcMar>
              <w:top w:w="0" w:type="dxa"/>
              <w:left w:w="105" w:type="dxa"/>
              <w:bottom w:w="0" w:type="dxa"/>
              <w:right w:w="105" w:type="dxa"/>
            </w:tcMar>
            <w:tcBorders>
              <w:top w:val="none" w:sz="0"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卖方</w:t>
            </w:r>
            <w: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交易手续费</w:t>
            </w:r>
            <w:r/>
          </w:p>
        </w:tc>
        <w:tc>
          <w:tcPr>
            <w:tcW w:w="1761"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2元/M2</w:t>
            </w:r>
            <w:r/>
          </w:p>
        </w:tc>
        <w:tc>
          <w:tcPr>
            <w:tcW w:w="1914"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2元/M2</w:t>
            </w:r>
            <w:r/>
          </w:p>
        </w:tc>
        <w:tc>
          <w:tcPr>
            <w:tcW w:w="2395"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6元/M2</w:t>
            </w:r>
            <w:r/>
          </w:p>
        </w:tc>
      </w:tr>
      <w:tr>
        <w:trPr>
          <w:trHeight w:val="324" w:hRule="atLeast"/>
        </w:trPr>
        <w:tc>
          <w:tcPr>
            <w:tcW w:w="931" w:type="dxa"/>
            <w:vMerge w:val="restart"/>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买方</w:t>
            </w:r>
            <w: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交易手续费</w:t>
            </w:r>
            <w:r/>
          </w:p>
        </w:tc>
        <w:tc>
          <w:tcPr>
            <w:tcW w:w="1761"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2元/M2</w:t>
            </w:r>
            <w:r/>
          </w:p>
        </w:tc>
        <w:tc>
          <w:tcPr>
            <w:tcW w:w="1914"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2元/M2</w:t>
            </w:r>
            <w:r/>
          </w:p>
        </w:tc>
        <w:tc>
          <w:tcPr>
            <w:tcW w:w="2395"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6元/M2</w:t>
            </w:r>
            <w:r/>
          </w:p>
        </w:tc>
      </w:tr>
      <w:tr>
        <w:trPr>
          <w:trHeight w:val="324" w:hRule="atLeast"/>
        </w:trPr>
        <w:tc>
          <w:tcPr>
            <w:tcW w:w="931" w:type="dxa"/>
            <w:vMerge/>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产权登记费</w:t>
            </w:r>
            <w:r/>
          </w:p>
        </w:tc>
        <w:tc>
          <w:tcPr>
            <w:tcW w:w="1761"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80元</w:t>
            </w:r>
            <w:r/>
          </w:p>
        </w:tc>
        <w:tc>
          <w:tcPr>
            <w:tcW w:w="1914"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80元</w:t>
            </w:r>
            <w:r/>
          </w:p>
        </w:tc>
        <w:tc>
          <w:tcPr>
            <w:tcW w:w="2395"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550元</w:t>
            </w:r>
            <w:r/>
          </w:p>
        </w:tc>
      </w:tr>
      <w:tr>
        <w:trPr>
          <w:trHeight w:val="374" w:hRule="atLeast"/>
        </w:trPr>
        <w:tc>
          <w:tcPr>
            <w:tcW w:w="931" w:type="dxa"/>
            <w:vMerge/>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共有证工本费</w:t>
            </w:r>
            <w:r/>
          </w:p>
        </w:tc>
        <w:tc>
          <w:tcPr>
            <w:tcW w:w="6070" w:type="dxa"/>
            <w:gridSpan w:val="3"/>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10元（免征）</w:t>
            </w:r>
            <w:r/>
          </w:p>
        </w:tc>
      </w:tr>
      <w:tr>
        <w:trPr>
          <w:trHeight w:val="324" w:hRule="atLeast"/>
        </w:trPr>
        <w:tc>
          <w:tcPr>
            <w:tcW w:w="931" w:type="dxa"/>
            <w:vMerge/>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抵押登记费</w:t>
            </w:r>
            <w:r/>
          </w:p>
        </w:tc>
        <w:tc>
          <w:tcPr>
            <w:tcW w:w="3675" w:type="dxa"/>
            <w:gridSpan w:val="2"/>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80元</w:t>
            </w:r>
            <w:r/>
          </w:p>
        </w:tc>
        <w:tc>
          <w:tcPr>
            <w:tcW w:w="2395" w:type="dxa"/>
            <w:vAlign w:val="bottom"/>
            <w:tcMar>
              <w:top w:w="0" w:type="dxa"/>
              <w:left w:w="105" w:type="dxa"/>
              <w:bottom w:w="0" w:type="dxa"/>
              <w:right w:w="105" w:type="dxa"/>
            </w:tcMar>
            <w:tcBorders>
              <w:top w:val="none" w:sz="0" w:space="0" w:color="000000"/>
              <w:left w:val="none" w:sz="0" w:space="0" w:color="000000"/>
              <w:bottom w:val="none" w:sz="0"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550元</w:t>
            </w:r>
            <w:r/>
          </w:p>
        </w:tc>
      </w:tr>
      <w:tr>
        <w:trPr>
          <w:trHeight w:val="324" w:hRule="atLeast"/>
        </w:trPr>
        <w:tc>
          <w:tcPr>
            <w:tcW w:w="931" w:type="dxa"/>
            <w:vMerge/>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产权证印花税</w:t>
            </w:r>
            <w:r/>
          </w:p>
        </w:tc>
        <w:tc>
          <w:tcPr>
            <w:tcW w:w="6070" w:type="dxa"/>
            <w:gridSpan w:val="3"/>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5元</w:t>
            </w:r>
            <w:r/>
          </w:p>
        </w:tc>
      </w:tr>
      <w:tr>
        <w:trPr>
          <w:trHeight w:val="324" w:hRule="atLeast"/>
        </w:trPr>
        <w:tc>
          <w:tcPr>
            <w:tcW w:w="931" w:type="dxa"/>
            <w:vMerge/>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共有证印花税</w:t>
            </w:r>
            <w:r/>
          </w:p>
        </w:tc>
        <w:tc>
          <w:tcPr>
            <w:tcW w:w="6070" w:type="dxa"/>
            <w:gridSpan w:val="3"/>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5元</w:t>
            </w:r>
            <w:r/>
          </w:p>
        </w:tc>
      </w:tr>
      <w:tr>
        <w:trPr>
          <w:trHeight w:val="647" w:hRule="atLeast"/>
        </w:trPr>
        <w:tc>
          <w:tcPr>
            <w:tcW w:w="931" w:type="dxa"/>
            <w:vMerge/>
            <w:vAlign w:val="center"/>
            <w:tcMar>
              <w:top w:w="0" w:type="dxa"/>
              <w:left w:w="105" w:type="dxa"/>
              <w:bottom w:w="0" w:type="dxa"/>
              <w:right w:w="105" w:type="dxa"/>
            </w:tcMar>
            <w:tcBorders>
              <w:top w:val="none" w:sz="0" w:space="0" w:color="000000"/>
              <w:left w:val="single" w:sz="6" w:space="0" w:color="000000"/>
              <w:bottom w:val="single" w:sz="6" w:space="0" w:color="DDDDDD"/>
              <w:right w:val="single" w:sz="6" w:space="0" w:color="000000"/>
            </w:tcBorders>
          </w:tcPr>
          <w:p/>
        </w:tc>
        <w:tc>
          <w:tcPr>
            <w:tcW w:w="151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他项权证印花税</w:t>
            </w:r>
            <w:r/>
          </w:p>
        </w:tc>
        <w:tc>
          <w:tcPr>
            <w:tcW w:w="6070" w:type="dxa"/>
            <w:gridSpan w:val="3"/>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5元</w:t>
            </w:r>
            <w:r/>
          </w:p>
        </w:tc>
      </w:tr>
    </w:tbl>
    <w:p>
      <w:pPr>
        <w:pStyle w:val="()"/>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 </w:t>
      </w:r>
      <w:r>
        <w:rPr>
          <w:color w:val="3e3e3e"/>
        </w:rPr>
      </w:r>
    </w:p>
    <w:p>
      <w:pPr>
        <w:pStyle w:val="()"/>
        <w:ind w:firstLine="405"/>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Style w:val=""/>
          <w:rFonts w:ascii="宋体" w:hAnsi="宋体" w:eastAsia="宋体" w:cs="宋体" w:hint="eastAsia"/>
          <w:color w:val="3e3e3e"/>
          <w:spacing w:val="6"/>
          <w:sz w:val="21"/>
          <w:szCs w:val="21"/>
          <w:shd w:val="clear" w:fill="ffffff"/>
        </w:rPr>
        <w:t>八、土地调查费</w:t>
      </w:r>
      <w:r>
        <w:rPr>
          <w:color w:val="3e3e3e"/>
        </w:rPr>
      </w:r>
    </w:p>
    <w:p>
      <w:pPr>
        <w:pStyle w:val="()"/>
        <w:ind w:firstLine="420"/>
        <w:spacing w:beforeAutospacing="0" w:afterAutospacing="0"/>
        <w:jc w:val="both"/>
        <w:widowControl/>
        <w:pBdr>
          <w:top w:val="none" w:sz="0" w:space="0" w:color="000000"/>
          <w:left w:val="none" w:sz="0" w:space="0" w:color="000000"/>
          <w:bottom w:val="none" w:sz="0" w:space="0" w:color="000000"/>
          <w:right w:val="none" w:sz="0" w:space="0" w:color="000000"/>
          <w:between w:val="none" w:sz="0" w:space="0" w:color="000000"/>
        </w:pBdr>
        <w:shd w:val="clear" w:color="000000" w:fill="FFFFFF"/>
        <w:rPr>
          <w:color w:val="3e3e3e"/>
        </w:rPr>
      </w:pPr>
      <w:r>
        <w:rPr>
          <w:rFonts w:ascii="宋体" w:hAnsi="宋体" w:eastAsia="宋体" w:cs="宋体" w:hint="eastAsia"/>
          <w:color w:val="3e3e3e"/>
          <w:spacing w:val="7"/>
          <w:sz w:val="21"/>
          <w:szCs w:val="21"/>
          <w:shd w:val="clear" w:fill="ffffff"/>
        </w:rPr>
        <w:t>个人：13元/套单位：100元/套</w:t>
      </w:r>
      <w:r>
        <w:rPr>
          <w:color w:val="3e3e3e"/>
        </w:rPr>
      </w:r>
    </w:p>
    <w:tbl>
      <w:tblPr>
        <w:tblW w:w="8500" w:type="dxa"/>
      </w:tblPr>
      <w:tblGrid>
        <w:gridCol w:w="930"/>
        <w:gridCol w:w="1516"/>
        <w:gridCol w:w="1682"/>
        <w:gridCol w:w="1683"/>
        <w:gridCol w:w="2689"/>
      </w:tblGrid>
      <w:tr>
        <w:trPr>
          <w:trHeight w:val="286" w:hRule="atLeast"/>
        </w:trPr>
        <w:tc>
          <w:tcPr>
            <w:tcW w:w="930" w:type="dxa"/>
            <w:vMerge w:val="restart"/>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rPr>
                <w:bCs/>
              </w:rPr>
            </w:pPr>
            <w:r>
              <w:rPr>
                <w:rStyle w:val=""/>
                <w:rFonts w:ascii="宋体" w:hAnsi="宋体" w:eastAsia="宋体" w:cs="宋体" w:hint="eastAsia"/>
                <w:b w:val="0"/>
                <w:bCs/>
                <w:sz w:val="21"/>
                <w:szCs w:val="21"/>
              </w:rPr>
              <w:t>征收对象</w:t>
            </w:r>
            <w:r>
              <w:rPr>
                <w:bCs/>
              </w:rPr>
            </w:r>
          </w:p>
        </w:tc>
        <w:tc>
          <w:tcPr>
            <w:tcW w:w="1516" w:type="dxa"/>
            <w:vMerge w:val="restart"/>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rPr>
                <w:bCs/>
              </w:rPr>
            </w:pPr>
            <w:r>
              <w:rPr>
                <w:rStyle w:val=""/>
                <w:rFonts w:ascii="宋体" w:hAnsi="宋体" w:eastAsia="宋体" w:cs="宋体" w:hint="eastAsia"/>
                <w:b w:val="0"/>
                <w:bCs/>
                <w:sz w:val="21"/>
                <w:szCs w:val="21"/>
              </w:rPr>
              <w:t>税费项目</w:t>
            </w:r>
            <w:r>
              <w:rPr>
                <w:bCs/>
              </w:rPr>
            </w:r>
          </w:p>
        </w:tc>
        <w:tc>
          <w:tcPr>
            <w:tcW w:w="6054" w:type="dxa"/>
            <w:gridSpan w:val="3"/>
            <w:vAlign w:val="bottom"/>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rPr>
                <w:bCs/>
              </w:rPr>
            </w:pPr>
            <w:r>
              <w:rPr>
                <w:rStyle w:val=""/>
                <w:rFonts w:ascii="宋体" w:hAnsi="宋体" w:eastAsia="宋体" w:cs="宋体" w:hint="eastAsia"/>
                <w:b w:val="0"/>
                <w:bCs/>
                <w:sz w:val="21"/>
                <w:szCs w:val="21"/>
              </w:rPr>
              <w:t>具体征收标准</w:t>
            </w:r>
            <w:r>
              <w:rPr>
                <w:bCs/>
              </w:rPr>
            </w:r>
          </w:p>
        </w:tc>
      </w:tr>
      <w:tr>
        <w:trPr>
          <w:trHeight w:val="343" w:hRule="atLeast"/>
        </w:trPr>
        <w:tc>
          <w:tcPr>
            <w:tcW w:w="930" w:type="dxa"/>
            <w:vMerge/>
            <w:vAlign w:val="center"/>
            <w:tcMar>
              <w:top w:w="0" w:type="dxa"/>
              <w:left w:w="105" w:type="dxa"/>
              <w:bottom w:w="0" w:type="dxa"/>
              <w:right w:w="105" w:type="dxa"/>
            </w:tcMar>
            <w:tcBorders>
              <w:top w:val="single" w:sz="6" w:space="0" w:color="000000"/>
              <w:left w:val="single" w:sz="6" w:space="0" w:color="000000"/>
              <w:bottom w:val="single" w:sz="6" w:space="0" w:color="000000"/>
              <w:right w:val="single" w:sz="6" w:space="0" w:color="000000"/>
            </w:tcBorders>
          </w:tcPr>
          <w:p/>
        </w:tc>
        <w:tc>
          <w:tcPr>
            <w:tcW w:w="1516" w:type="dxa"/>
            <w:vMerge/>
            <w:vAlign w:val="center"/>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tc>
        <w:tc>
          <w:tcPr>
            <w:tcW w:w="1682"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rPr>
                <w:bCs/>
              </w:rPr>
            </w:pPr>
            <w:r>
              <w:rPr>
                <w:rStyle w:val=""/>
                <w:rFonts w:ascii="宋体" w:hAnsi="宋体" w:eastAsia="宋体" w:cs="宋体" w:hint="eastAsia"/>
                <w:b w:val="0"/>
                <w:bCs/>
                <w:sz w:val="21"/>
                <w:szCs w:val="21"/>
              </w:rPr>
              <w:t>套内140</w:t>
            </w:r>
            <w:r>
              <w:rPr>
                <w:rStyle w:val=""/>
                <w:rFonts w:ascii="宋体" w:hAnsi="宋体" w:eastAsia="宋体" w:cs="宋体" w:hint="eastAsia"/>
                <w:b w:val="0"/>
                <w:bCs/>
                <w:sz w:val="21"/>
                <w:szCs w:val="21"/>
              </w:rPr>
              <w:t>㎡</w:t>
            </w:r>
            <w:r>
              <w:rPr>
                <w:rStyle w:val=""/>
                <w:rFonts w:ascii="宋体" w:hAnsi="宋体" w:eastAsia="宋体" w:cs="宋体" w:hint="eastAsia"/>
                <w:b w:val="0"/>
                <w:bCs/>
                <w:sz w:val="21"/>
                <w:szCs w:val="21"/>
              </w:rPr>
              <w:t>以下</w:t>
            </w:r>
            <w:r>
              <w:rPr>
                <w:bCs/>
              </w:rPr>
            </w:r>
          </w:p>
        </w:tc>
        <w:tc>
          <w:tcPr>
            <w:tcW w:w="1683" w:type="dxa"/>
            <w:vAlign w:val="bottom"/>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rPr>
                <w:bCs/>
              </w:rPr>
            </w:pPr>
            <w:r>
              <w:rPr>
                <w:rStyle w:val=""/>
                <w:rFonts w:ascii="宋体" w:hAnsi="宋体" w:eastAsia="宋体" w:cs="宋体" w:hint="eastAsia"/>
                <w:b w:val="0"/>
                <w:bCs/>
                <w:sz w:val="21"/>
                <w:szCs w:val="21"/>
              </w:rPr>
              <w:t>套内140</w:t>
            </w:r>
            <w:r>
              <w:rPr>
                <w:rStyle w:val=""/>
                <w:rFonts w:ascii="宋体" w:hAnsi="宋体" w:eastAsia="宋体" w:cs="宋体" w:hint="eastAsia"/>
                <w:b w:val="0"/>
                <w:bCs/>
                <w:sz w:val="21"/>
                <w:szCs w:val="21"/>
              </w:rPr>
              <w:t>㎡</w:t>
            </w:r>
            <w:r>
              <w:rPr>
                <w:rStyle w:val=""/>
                <w:rFonts w:ascii="宋体" w:hAnsi="宋体" w:eastAsia="宋体" w:cs="宋体" w:hint="eastAsia"/>
                <w:b w:val="0"/>
                <w:bCs/>
                <w:sz w:val="21"/>
                <w:szCs w:val="21"/>
              </w:rPr>
              <w:t>以上</w:t>
            </w:r>
            <w:r>
              <w:rPr>
                <w:bCs/>
              </w:rPr>
            </w:r>
          </w:p>
        </w:tc>
        <w:tc>
          <w:tcPr>
            <w:tcW w:w="2689" w:type="dxa"/>
            <w:vAlign w:val="bottom"/>
            <w:tcMar>
              <w:top w:w="0" w:type="dxa"/>
              <w:left w:w="105" w:type="dxa"/>
              <w:bottom w:w="0" w:type="dxa"/>
              <w:right w:w="105" w:type="dxa"/>
            </w:tcMar>
            <w:tcBorders>
              <w:top w:val="single" w:sz="6"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rPr>
                <w:bCs/>
              </w:rPr>
            </w:pPr>
            <w:r>
              <w:rPr>
                <w:rStyle w:val=""/>
                <w:rFonts w:ascii="宋体" w:hAnsi="宋体" w:eastAsia="宋体" w:cs="宋体" w:hint="eastAsia"/>
                <w:b w:val="0"/>
                <w:bCs/>
                <w:sz w:val="21"/>
                <w:szCs w:val="21"/>
              </w:rPr>
              <w:t>非住宅</w:t>
            </w:r>
            <w:r>
              <w:rPr>
                <w:bCs/>
              </w:rPr>
            </w:r>
          </w:p>
        </w:tc>
      </w:tr>
      <w:tr>
        <w:trPr>
          <w:trHeight w:val="343" w:hRule="atLeast"/>
        </w:trPr>
        <w:tc>
          <w:tcPr>
            <w:tcW w:w="930" w:type="dxa"/>
            <w:vAlign w:val="center"/>
            <w:tcMar>
              <w:top w:w="0" w:type="dxa"/>
              <w:left w:w="105" w:type="dxa"/>
              <w:bottom w:w="0" w:type="dxa"/>
              <w:right w:w="105" w:type="dxa"/>
            </w:tcMar>
            <w:tcBorders>
              <w:top w:val="none" w:sz="0" w:space="0" w:color="000000"/>
              <w:left w:val="single" w:sz="6" w:space="0" w:color="000000"/>
              <w:bottom w:val="single" w:sz="4"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卖方</w:t>
            </w:r>
            <w:r/>
          </w:p>
        </w:tc>
        <w:tc>
          <w:tcPr>
            <w:tcW w:w="1516"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土地交易费</w:t>
            </w:r>
            <w:r/>
          </w:p>
        </w:tc>
        <w:tc>
          <w:tcPr>
            <w:tcW w:w="1682"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50元</w:t>
            </w:r>
            <w:r/>
          </w:p>
        </w:tc>
        <w:tc>
          <w:tcPr>
            <w:tcW w:w="1683"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50元</w:t>
            </w:r>
            <w:r/>
          </w:p>
        </w:tc>
        <w:tc>
          <w:tcPr>
            <w:tcW w:w="268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基准地价换算</w:t>
            </w:r>
            <w:r/>
          </w:p>
        </w:tc>
      </w:tr>
      <w:tr>
        <w:trPr>
          <w:trHeight w:val="343" w:hRule="atLeast"/>
        </w:trPr>
        <w:tc>
          <w:tcPr>
            <w:tcW w:w="930" w:type="dxa"/>
            <w:vMerge w:val="restart"/>
            <w:vAlign w:val="center"/>
            <w:tcMar>
              <w:top w:w="0" w:type="dxa"/>
              <w:left w:w="105" w:type="dxa"/>
              <w:bottom w:w="0" w:type="dxa"/>
              <w:right w:w="105" w:type="dxa"/>
            </w:tcMar>
            <w:tcBorders>
              <w:top w:val="single" w:sz="4" w:space="0" w:color="000000"/>
              <w:left w:val="single" w:sz="4" w:space="0" w:color="000000"/>
              <w:bottom w:val="single" w:sz="4" w:space="0" w:color="000000"/>
              <w:right w:val="single" w:sz="4"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Style w:val=""/>
                <w:rFonts w:ascii="宋体" w:hAnsi="宋体" w:eastAsia="宋体" w:cs="宋体" w:hint="eastAsia"/>
                <w:sz w:val="21"/>
                <w:szCs w:val="21"/>
              </w:rPr>
              <w:t>买方</w:t>
            </w:r>
            <w:r/>
          </w:p>
        </w:tc>
        <w:tc>
          <w:tcPr>
            <w:tcW w:w="1516" w:type="dxa"/>
            <w:vAlign w:val="bottom"/>
            <w:tcMar>
              <w:top w:w="0" w:type="dxa"/>
              <w:left w:w="105" w:type="dxa"/>
              <w:bottom w:w="0" w:type="dxa"/>
              <w:right w:w="105" w:type="dxa"/>
            </w:tcMar>
            <w:tcBorders>
              <w:top w:val="none" w:sz="0" w:space="0" w:color="000000"/>
              <w:left w:val="single" w:sz="4"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土地交易费</w:t>
            </w:r>
            <w:r/>
          </w:p>
        </w:tc>
        <w:tc>
          <w:tcPr>
            <w:tcW w:w="1682"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50元</w:t>
            </w:r>
            <w:r/>
          </w:p>
        </w:tc>
        <w:tc>
          <w:tcPr>
            <w:tcW w:w="1683"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50元</w:t>
            </w:r>
            <w:r/>
          </w:p>
        </w:tc>
        <w:tc>
          <w:tcPr>
            <w:tcW w:w="2689"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基准地价换算</w:t>
            </w:r>
            <w:r/>
          </w:p>
        </w:tc>
      </w:tr>
      <w:tr>
        <w:trPr>
          <w:trHeight w:val="343" w:hRule="atLeast"/>
        </w:trPr>
        <w:tc>
          <w:tcPr>
            <w:tcW w:w="930" w:type="dxa"/>
            <w:vMerge/>
            <w:vAlign w:val="center"/>
            <w:tcMar>
              <w:top w:w="0" w:type="dxa"/>
              <w:left w:w="105" w:type="dxa"/>
              <w:bottom w:w="0" w:type="dxa"/>
              <w:right w:w="105" w:type="dxa"/>
            </w:tcMar>
            <w:tcBorders>
              <w:top w:val="single" w:sz="4" w:space="0" w:color="000000"/>
              <w:left w:val="single" w:sz="4" w:space="0" w:color="000000"/>
              <w:bottom w:val="single" w:sz="4" w:space="0" w:color="000000"/>
              <w:right w:val="single" w:sz="4" w:space="0" w:color="000000"/>
            </w:tcBorders>
          </w:tcPr>
          <w:p/>
        </w:tc>
        <w:tc>
          <w:tcPr>
            <w:tcW w:w="1516" w:type="dxa"/>
            <w:vAlign w:val="bottom"/>
            <w:tcMar>
              <w:top w:w="0" w:type="dxa"/>
              <w:left w:w="105" w:type="dxa"/>
              <w:bottom w:w="0" w:type="dxa"/>
              <w:right w:w="105" w:type="dxa"/>
            </w:tcMar>
            <w:tcBorders>
              <w:top w:val="none" w:sz="0" w:space="0" w:color="000000"/>
              <w:left w:val="single" w:sz="4"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土地调查费</w:t>
            </w:r>
            <w:r/>
          </w:p>
        </w:tc>
        <w:tc>
          <w:tcPr>
            <w:tcW w:w="1682" w:type="dxa"/>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13元（免征）</w:t>
            </w:r>
            <w:r/>
          </w:p>
        </w:tc>
        <w:tc>
          <w:tcPr>
            <w:tcW w:w="4372" w:type="dxa"/>
            <w:gridSpan w:val="2"/>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13元</w:t>
            </w:r>
            <w:r/>
          </w:p>
        </w:tc>
      </w:tr>
      <w:tr>
        <w:trPr>
          <w:trHeight w:val="571" w:hRule="atLeast"/>
        </w:trPr>
        <w:tc>
          <w:tcPr>
            <w:tcW w:w="930" w:type="dxa"/>
            <w:vMerge/>
            <w:vAlign w:val="center"/>
            <w:tcMar>
              <w:top w:w="0" w:type="dxa"/>
              <w:left w:w="105" w:type="dxa"/>
              <w:bottom w:w="0" w:type="dxa"/>
              <w:right w:w="105" w:type="dxa"/>
            </w:tcMar>
            <w:tcBorders>
              <w:top w:val="single" w:sz="4" w:space="0" w:color="000000"/>
              <w:left w:val="single" w:sz="4" w:space="0" w:color="000000"/>
              <w:bottom w:val="single" w:sz="4" w:space="0" w:color="000000"/>
              <w:right w:val="single" w:sz="4" w:space="0" w:color="000000"/>
            </w:tcBorders>
          </w:tcPr>
          <w:p/>
        </w:tc>
        <w:tc>
          <w:tcPr>
            <w:tcW w:w="1516" w:type="dxa"/>
            <w:vAlign w:val="bottom"/>
            <w:tcMar>
              <w:top w:w="0" w:type="dxa"/>
              <w:left w:w="105" w:type="dxa"/>
              <w:bottom w:w="0" w:type="dxa"/>
              <w:right w:w="105" w:type="dxa"/>
            </w:tcMar>
            <w:tcBorders>
              <w:top w:val="none" w:sz="0" w:space="0" w:color="000000"/>
              <w:left w:val="single" w:sz="4"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土地证印花税</w:t>
            </w:r>
            <w:r/>
          </w:p>
        </w:tc>
        <w:tc>
          <w:tcPr>
            <w:tcW w:w="6054" w:type="dxa"/>
            <w:gridSpan w:val="3"/>
            <w:vAlign w:val="bottom"/>
            <w:tcMar>
              <w:top w:w="0" w:type="dxa"/>
              <w:left w:w="105" w:type="dxa"/>
              <w:bottom w:w="0" w:type="dxa"/>
              <w:right w:w="105" w:type="dxa"/>
            </w:tcMar>
            <w:tcBorders>
              <w:top w:val="none" w:sz="0" w:space="0" w:color="000000"/>
              <w:left w:val="none" w:sz="0" w:space="0" w:color="000000"/>
              <w:bottom w:val="single" w:sz="6" w:space="0" w:color="000000"/>
              <w:right w:val="single" w:sz="6" w:space="0" w:color="000000"/>
            </w:tcBorders>
          </w:tcPr>
          <w:p>
            <w:pPr>
              <w:pStyle w:val="()"/>
              <w:spacing w:beforeAutospacing="0" w:afterAutospacing="0"/>
              <w:jc w:val="center"/>
              <w:widowControl/>
              <w:pBdr>
                <w:top w:val="none" w:sz="0" w:space="0" w:color="000000"/>
                <w:left w:val="none" w:sz="0" w:space="0" w:color="000000"/>
                <w:bottom w:val="none" w:sz="0" w:space="0" w:color="000000"/>
                <w:right w:val="none" w:sz="0" w:space="0" w:color="000000"/>
                <w:between w:val="none" w:sz="0" w:space="0" w:color="000000"/>
              </w:pBdr>
              <w:shd w:val="none"/>
            </w:pPr>
            <w:r>
              <w:rPr>
                <w:rFonts w:ascii="宋体" w:hAnsi="宋体" w:eastAsia="宋体" w:cs="宋体" w:hint="eastAsia"/>
                <w:sz w:val="21"/>
                <w:szCs w:val="21"/>
              </w:rPr>
              <w:t>5元</w:t>
            </w:r>
            <w:r/>
          </w:p>
          <w:p>
            <w:pPr>
              <w:pStyle w:val="()"/>
              <w:spacing w:beforeAutospacing="0" w:afterAutospacing="0"/>
              <w:widowControl/>
              <w:pBdr>
                <w:top w:val="none" w:sz="0" w:space="0" w:color="000000"/>
                <w:left w:val="none" w:sz="0" w:space="0" w:color="000000"/>
                <w:bottom w:val="none" w:sz="0" w:space="0" w:color="000000"/>
                <w:right w:val="none" w:sz="0" w:space="0" w:color="000000"/>
                <w:between w:val="none" w:sz="0" w:space="0" w:color="000000"/>
              </w:pBdr>
              <w:shd w:val="none"/>
            </w:pPr>
            <w:r/>
          </w:p>
        </w:tc>
      </w:tr>
    </w:tbl>
    <w:p>
      <w:pPr>
        <w:rPr>
          <w:rFonts w:ascii="Tahoma" w:hAnsi="Tahoma" w:cs="Tahoma"/>
          <w:b/>
          <w:bCs/>
          <w:color w:val="ff0000"/>
          <w:szCs w:val="21"/>
        </w:rPr>
      </w:pPr>
      <w:r>
        <w:t xml:space="preserve">   </w:t>
      </w:r>
      <w:r>
        <w:rPr>
          <w:rFonts w:ascii="Tahoma" w:hAnsi="Tahoma" w:cs="Tahoma"/>
          <w:b/>
          <w:bCs/>
          <w:color w:val="ff0000"/>
          <w:szCs w:val="21"/>
        </w:rPr>
        <w:t>由于每个地方税务局收费标准变动频率比较高，以</w:t>
      </w:r>
      <w:r>
        <w:rPr>
          <w:rFonts w:ascii="Tahoma" w:hAnsi="Tahoma" w:cs="Tahoma" w:hint="eastAsia"/>
          <w:b/>
          <w:bCs/>
          <w:color w:val="ff0000"/>
          <w:szCs w:val="21"/>
        </w:rPr>
        <w:t>上</w:t>
      </w:r>
      <w:r>
        <w:rPr>
          <w:rFonts w:ascii="Tahoma" w:hAnsi="Tahoma" w:cs="Tahoma"/>
          <w:b/>
          <w:bCs/>
          <w:color w:val="ff0000"/>
          <w:szCs w:val="21"/>
        </w:rPr>
        <w:t>调查结果只作为参考，实际收费以当地税务部门为准。</w:t>
      </w:r>
      <w:r>
        <w:rPr>
          <w:rFonts w:ascii="Tahoma" w:hAnsi="Tahoma" w:cs="Tahoma"/>
          <w:b/>
          <w:bCs/>
          <w:color w:val="ff0000"/>
          <w:szCs w:val="21"/>
        </w:rPr>
      </w:r>
    </w:p>
    <w:p>
      <w:pPr>
        <w:rPr>
          <w:rFonts w:ascii="Tahoma" w:hAnsi="Tahoma" w:cs="Tahoma"/>
          <w:b/>
          <w:bCs/>
          <w:color w:val="ff0000"/>
          <w:szCs w:val="21"/>
        </w:rPr>
      </w:pPr>
      <w:r/>
      <w:bookmarkStart w:id="0" w:name="_GoBack"/>
      <w:bookmarkEnd w:id="0"/>
      <w:r/>
      <w:r>
        <w:rPr>
          <w:rFonts w:ascii="Tahoma" w:hAnsi="Tahoma" w:cs="Tahoma"/>
          <w:b/>
          <w:bCs/>
          <w:color w:val="ff0000"/>
          <w:szCs w:val="21"/>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134"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1"/>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 w:name="微软雅黑">
    <w:panose1 w:val="020B0503020204020204"/>
    <w:charset w:val="86"/>
    <w:family w:val="auto"/>
    <w:pitch w:val="default"/>
  </w:font>
  <w:font w:name="Tahoma">
    <w:panose1 w:val="020B060403050404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编号列表 1"/>
    <w:lvl w:ilvl="0">
      <w:start w:val="1"/>
      <w:numFmt w:val="decimal"/>
      <w:suff w:val="tab"/>
      <w:lvlText w:val="%1."/>
      <w:lvlJc w:val="left"/>
      <w:pPr>
        <w:ind w:left="0" w:hanging="0"/>
      </w:pPr>
      <w:rPr/>
    </w:lvl>
  </w:abstractNum>
  <w:abstractNum w:abstractNumId="2">
    <w:multiLevelType w:val="singleLevel"/>
    <w:name w:val="Bullet 2"/>
    <w:lvl w:ilvl="0">
      <w:start w:val="1"/>
      <w:numFmt w:val="decimal"/>
      <w:lvlText w:val="%1"/>
      <w:lvlJc w:val="left"/>
      <w:pPr>
        <w:tabs>
          <w:tab w:val="num" w:pos="0"/>
        </w:tabs>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57"/>
      <w:tmLastPosIdx w:val="24"/>
    </w:tmLastPosCaret>
    <w:tmLastPosAnchor>
      <w:tmLastPosPgfIdx w:val="0"/>
      <w:tmLastPosIdx w:val="0"/>
    </w:tmLastPosAnchor>
    <w:tmLastPosTblRect w:left="0" w:top="0" w:right="0" w:bottom="0"/>
    <w:tmAppRevision w:date="1584265218"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Autospacing="1" w:afterAutospacing="1"/>
      <w:jc w:val="left"/>
    </w:pPr>
    <w:rPr>
      <w:sz w:val="24"/>
    </w:rPr>
  </w:style>
  <w:style w:type="character" w:styleId="" w:default="1">
    <w:name w:val="Default Paragraph Font"/>
    <w:rPr>
      <w:kern w:val="0"/>
      <w:sz w:val="20"/>
      <w:szCs w:val="20"/>
      <w:lang w:val="en-us" w:eastAsia="zh-cn" w:bidi="ar-sa"/>
    </w:rPr>
  </w:style>
  <w:style w:type="character" w:styleId="">
    <w:name w:val="Strong"/>
    <w:basedOn w:val=""/>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Autospacing="1" w:afterAutospacing="1"/>
      <w:jc w:val="left"/>
    </w:pPr>
    <w:rPr>
      <w:sz w:val="24"/>
    </w:rPr>
  </w:style>
  <w:style w:type="character" w:styleId="" w:default="1">
    <w:name w:val="Default Paragraph Font"/>
    <w:rPr>
      <w:kern w:val="0"/>
      <w:sz w:val="20"/>
      <w:szCs w:val="20"/>
      <w:lang w:val="en-us" w:eastAsia="zh-cn" w:bidi="ar-sa"/>
    </w:rPr>
  </w:style>
  <w:style w:type="character" w:styleId="">
    <w:name w:val="Strong"/>
    <w:basedOn w:v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添启化公司（司法拍卖辅助机构）</dc:creator>
  <cp:keywords/>
  <dc:description/>
  <cp:lastModifiedBy/>
  <cp:revision>2</cp:revision>
  <dcterms:created xsi:type="dcterms:W3CDTF">2019-10-09T01:38:00Z</dcterms:created>
  <dcterms:modified xsi:type="dcterms:W3CDTF">2020-03-15T17:40:18Z</dcterms:modified>
</cp:coreProperties>
</file>