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500" w:lineRule="atLeast"/>
        <w:ind w:firstLine="420"/>
        <w:jc w:val="center"/>
        <w:rPr>
          <w:rFonts w:ascii="隶书" w:eastAsia="隶书"/>
          <w:kern w:val="0"/>
          <w:sz w:val="72"/>
          <w:szCs w:val="22"/>
        </w:rPr>
      </w:pPr>
    </w:p>
    <w:p>
      <w:pPr>
        <w:adjustRightInd w:val="0"/>
        <w:spacing w:line="500" w:lineRule="atLeast"/>
        <w:ind w:firstLine="420"/>
        <w:jc w:val="center"/>
        <w:rPr>
          <w:rFonts w:ascii="仿宋" w:hAnsi="仿宋" w:eastAsia="仿宋"/>
          <w:b/>
          <w:bCs/>
          <w:spacing w:val="-6"/>
          <w:sz w:val="48"/>
          <w:szCs w:val="48"/>
        </w:rPr>
      </w:pPr>
      <w:r>
        <w:rPr>
          <w:rFonts w:hint="eastAsia" w:ascii="仿宋" w:hAnsi="仿宋" w:eastAsia="仿宋"/>
          <w:b/>
          <w:bCs/>
          <w:spacing w:val="-6"/>
          <w:sz w:val="48"/>
          <w:szCs w:val="48"/>
        </w:rPr>
        <w:t>涉执房地产处置司法评估报告</w:t>
      </w:r>
    </w:p>
    <w:p>
      <w:pPr>
        <w:adjustRightInd w:val="0"/>
        <w:spacing w:line="500" w:lineRule="atLeast"/>
        <w:ind w:firstLine="420"/>
        <w:jc w:val="center"/>
        <w:rPr>
          <w:rFonts w:ascii="隶书" w:eastAsia="隶书"/>
          <w:kern w:val="0"/>
          <w:sz w:val="72"/>
          <w:szCs w:val="22"/>
        </w:rPr>
      </w:pPr>
    </w:p>
    <w:p>
      <w:pPr>
        <w:pStyle w:val="12"/>
        <w:spacing w:line="480" w:lineRule="auto"/>
        <w:rPr>
          <w:rFonts w:ascii="仿宋" w:hAnsi="仿宋" w:eastAsia="仿宋"/>
        </w:rPr>
      </w:pPr>
      <w:r>
        <w:rPr>
          <w:rFonts w:hint="eastAsia" w:ascii="仿宋" w:hAnsi="仿宋" w:eastAsia="仿宋"/>
        </w:rPr>
        <w:t>估价报告编号：甬衡房【2022】（估）字第</w:t>
      </w:r>
      <w:r>
        <w:rPr>
          <w:rFonts w:hint="eastAsia" w:ascii="仿宋" w:hAnsi="仿宋" w:eastAsia="仿宋"/>
          <w:lang w:val="en-US" w:eastAsia="zh-CN"/>
        </w:rPr>
        <w:t>071</w:t>
      </w:r>
      <w:r>
        <w:rPr>
          <w:rFonts w:hint="eastAsia" w:ascii="仿宋" w:hAnsi="仿宋" w:eastAsia="仿宋"/>
        </w:rPr>
        <w:t>号</w:t>
      </w:r>
    </w:p>
    <w:p>
      <w:pPr>
        <w:pStyle w:val="12"/>
        <w:spacing w:line="480" w:lineRule="auto"/>
        <w:rPr>
          <w:rFonts w:ascii="仿宋" w:hAnsi="仿宋" w:eastAsia="仿宋"/>
          <w:spacing w:val="-6"/>
        </w:rPr>
      </w:pPr>
      <w:r>
        <w:rPr>
          <w:rFonts w:hint="eastAsia" w:ascii="仿宋" w:hAnsi="仿宋" w:eastAsia="仿宋"/>
        </w:rPr>
        <w:t>估价项目名称：</w:t>
      </w:r>
      <w:r>
        <w:rPr>
          <w:rFonts w:hint="eastAsia" w:ascii="仿宋" w:hAnsi="仿宋" w:eastAsia="仿宋"/>
          <w:spacing w:val="-6"/>
        </w:rPr>
        <w:t>宁波市象山县丹西街道西谷苑5幢4单元402室</w:t>
      </w:r>
    </w:p>
    <w:p>
      <w:pPr>
        <w:pStyle w:val="12"/>
        <w:spacing w:line="480" w:lineRule="auto"/>
        <w:ind w:left="1451" w:leftChars="691" w:firstLine="642" w:firstLineChars="223"/>
        <w:rPr>
          <w:rFonts w:ascii="仿宋" w:hAnsi="仿宋" w:eastAsia="仿宋"/>
        </w:rPr>
      </w:pPr>
      <w:r>
        <w:rPr>
          <w:rFonts w:hint="eastAsia" w:ascii="仿宋" w:hAnsi="仿宋" w:eastAsia="仿宋"/>
          <w:spacing w:val="-6"/>
        </w:rPr>
        <w:t>住宅房地产市场价值评估</w:t>
      </w:r>
    </w:p>
    <w:p>
      <w:pPr>
        <w:tabs>
          <w:tab w:val="left" w:pos="-2205"/>
        </w:tabs>
        <w:spacing w:line="480" w:lineRule="auto"/>
        <w:ind w:right="17"/>
        <w:rPr>
          <w:rFonts w:ascii="仿宋" w:hAnsi="仿宋" w:eastAsia="仿宋"/>
          <w:sz w:val="30"/>
          <w:szCs w:val="30"/>
        </w:rPr>
      </w:pPr>
      <w:r>
        <w:rPr>
          <w:rFonts w:hint="eastAsia" w:ascii="仿宋" w:hAnsi="仿宋" w:eastAsia="仿宋"/>
          <w:sz w:val="30"/>
          <w:szCs w:val="30"/>
        </w:rPr>
        <w:t>估价委托人：宁波市江北区人民法院</w:t>
      </w:r>
    </w:p>
    <w:p>
      <w:pPr>
        <w:tabs>
          <w:tab w:val="left" w:pos="-2205"/>
        </w:tabs>
        <w:spacing w:line="480" w:lineRule="auto"/>
        <w:ind w:right="17"/>
        <w:rPr>
          <w:rFonts w:ascii="仿宋" w:hAnsi="仿宋" w:eastAsia="仿宋" w:cs="宋体"/>
          <w:kern w:val="0"/>
          <w:sz w:val="30"/>
          <w:szCs w:val="30"/>
        </w:rPr>
      </w:pPr>
      <w:r>
        <w:rPr>
          <w:rFonts w:hint="eastAsia" w:ascii="仿宋" w:hAnsi="仿宋" w:eastAsia="仿宋"/>
          <w:sz w:val="30"/>
          <w:szCs w:val="30"/>
        </w:rPr>
        <w:t>房地产估价机构：</w:t>
      </w:r>
      <w:r>
        <w:rPr>
          <w:rFonts w:hint="eastAsia" w:ascii="仿宋" w:hAnsi="仿宋" w:eastAsia="仿宋" w:cs="宋体"/>
          <w:kern w:val="0"/>
          <w:sz w:val="30"/>
          <w:szCs w:val="30"/>
        </w:rPr>
        <w:t>宁波衡信房地产评估有限公司</w:t>
      </w:r>
    </w:p>
    <w:p>
      <w:pPr>
        <w:tabs>
          <w:tab w:val="left" w:pos="-2205"/>
        </w:tabs>
        <w:spacing w:line="480" w:lineRule="auto"/>
        <w:ind w:right="17"/>
        <w:rPr>
          <w:rFonts w:ascii="仿宋" w:hAnsi="仿宋" w:eastAsia="仿宋"/>
          <w:sz w:val="30"/>
          <w:szCs w:val="30"/>
        </w:rPr>
      </w:pPr>
      <w:r>
        <w:rPr>
          <w:rFonts w:hint="eastAsia" w:ascii="仿宋" w:hAnsi="仿宋" w:eastAsia="仿宋"/>
          <w:sz w:val="30"/>
          <w:szCs w:val="30"/>
        </w:rPr>
        <w:t>注册房地产估价师：</w:t>
      </w:r>
      <w:r>
        <w:rPr>
          <w:rFonts w:hint="eastAsia" w:ascii="仿宋" w:hAnsi="仿宋" w:eastAsia="仿宋"/>
          <w:sz w:val="30"/>
          <w:szCs w:val="30"/>
          <w:lang w:val="en-US" w:eastAsia="zh-CN"/>
        </w:rPr>
        <w:t>***</w:t>
      </w:r>
      <w:r>
        <w:rPr>
          <w:rFonts w:hint="eastAsia" w:ascii="仿宋" w:hAnsi="仿宋" w:eastAsia="仿宋"/>
          <w:sz w:val="30"/>
          <w:szCs w:val="30"/>
        </w:rPr>
        <w:t xml:space="preserve">  注册号 3319970043</w:t>
      </w:r>
    </w:p>
    <w:p>
      <w:pPr>
        <w:tabs>
          <w:tab w:val="left" w:pos="-2205"/>
        </w:tabs>
        <w:spacing w:line="480" w:lineRule="auto"/>
        <w:ind w:right="17" w:firstLine="2700" w:firstLineChars="900"/>
        <w:rPr>
          <w:rFonts w:ascii="仿宋" w:hAnsi="仿宋" w:eastAsia="仿宋"/>
          <w:sz w:val="30"/>
          <w:szCs w:val="30"/>
        </w:rPr>
      </w:pPr>
      <w:r>
        <w:rPr>
          <w:rFonts w:hint="eastAsia" w:ascii="仿宋" w:hAnsi="仿宋" w:eastAsia="仿宋"/>
          <w:sz w:val="30"/>
          <w:szCs w:val="30"/>
          <w:lang w:val="en-US" w:eastAsia="zh-CN"/>
        </w:rPr>
        <w:t>***</w:t>
      </w:r>
      <w:r>
        <w:rPr>
          <w:rFonts w:hint="eastAsia" w:ascii="仿宋" w:hAnsi="仿宋" w:eastAsia="仿宋"/>
          <w:sz w:val="30"/>
          <w:szCs w:val="30"/>
        </w:rPr>
        <w:t xml:space="preserve">    注册号 3320040045</w:t>
      </w:r>
    </w:p>
    <w:p>
      <w:pPr>
        <w:tabs>
          <w:tab w:val="left" w:pos="-2205"/>
        </w:tabs>
        <w:spacing w:line="480" w:lineRule="auto"/>
        <w:ind w:right="17"/>
        <w:rPr>
          <w:rFonts w:ascii="仿宋" w:hAnsi="仿宋" w:eastAsia="仿宋"/>
          <w:sz w:val="30"/>
          <w:szCs w:val="30"/>
        </w:rPr>
      </w:pPr>
      <w:r>
        <w:rPr>
          <w:rFonts w:hint="eastAsia" w:ascii="仿宋" w:hAnsi="仿宋" w:eastAsia="仿宋"/>
          <w:sz w:val="30"/>
          <w:szCs w:val="30"/>
        </w:rPr>
        <w:t>估价报告出具日期：2022年6月24日</w:t>
      </w:r>
    </w:p>
    <w:p>
      <w:pPr>
        <w:tabs>
          <w:tab w:val="left" w:pos="-2205"/>
        </w:tabs>
        <w:spacing w:line="480" w:lineRule="auto"/>
        <w:ind w:right="17"/>
        <w:rPr>
          <w:rFonts w:ascii="仿宋" w:hAnsi="仿宋" w:eastAsia="仿宋"/>
          <w:sz w:val="30"/>
          <w:szCs w:val="30"/>
        </w:rPr>
      </w:pPr>
    </w:p>
    <w:p>
      <w:pPr>
        <w:pStyle w:val="12"/>
        <w:spacing w:line="480" w:lineRule="auto"/>
        <w:rPr>
          <w:rFonts w:ascii="仿宋" w:hAnsi="仿宋" w:eastAsia="仿宋"/>
        </w:rPr>
      </w:pPr>
    </w:p>
    <w:p>
      <w:pPr>
        <w:pStyle w:val="12"/>
        <w:spacing w:line="480" w:lineRule="auto"/>
        <w:rPr>
          <w:rFonts w:ascii="仿宋" w:hAnsi="仿宋" w:eastAsia="仿宋"/>
        </w:rPr>
      </w:pPr>
    </w:p>
    <w:p>
      <w:pPr>
        <w:pStyle w:val="12"/>
        <w:spacing w:line="480" w:lineRule="auto"/>
        <w:rPr>
          <w:rFonts w:ascii="仿宋" w:hAnsi="仿宋" w:eastAsia="仿宋"/>
        </w:rPr>
      </w:pPr>
    </w:p>
    <w:p>
      <w:pPr>
        <w:pStyle w:val="12"/>
        <w:spacing w:line="480" w:lineRule="auto"/>
        <w:rPr>
          <w:rFonts w:ascii="仿宋" w:hAnsi="仿宋" w:eastAsia="仿宋"/>
        </w:rPr>
      </w:pPr>
    </w:p>
    <w:p>
      <w:pPr>
        <w:ind w:firstLine="2349" w:firstLineChars="650"/>
        <w:rPr>
          <w:rFonts w:ascii="仿宋" w:hAnsi="仿宋" w:eastAsia="仿宋"/>
          <w:b/>
          <w:sz w:val="36"/>
          <w:szCs w:val="36"/>
        </w:rPr>
      </w:pPr>
      <w:r>
        <w:rPr>
          <w:rFonts w:hint="eastAsia" w:ascii="仿宋" w:hAnsi="仿宋" w:eastAsia="仿宋"/>
          <w:b/>
          <w:sz w:val="36"/>
          <w:szCs w:val="36"/>
        </w:rPr>
        <w:t>致 估 价 委 托 人 函</w:t>
      </w:r>
    </w:p>
    <w:p>
      <w:pPr>
        <w:spacing w:line="480" w:lineRule="exact"/>
        <w:ind w:firstLine="2730" w:firstLineChars="1300"/>
        <w:rPr>
          <w:rFonts w:ascii="仿宋" w:hAnsi="仿宋" w:eastAsia="仿宋"/>
          <w:sz w:val="28"/>
          <w:szCs w:val="28"/>
        </w:rPr>
      </w:pPr>
      <w:r>
        <w:rPr>
          <w:rFonts w:hint="eastAsia" w:ascii="仿宋" w:hAnsi="仿宋" w:eastAsia="仿宋"/>
        </w:rPr>
        <w:t>甬衡房【2022】（估）字第</w:t>
      </w:r>
      <w:r>
        <w:rPr>
          <w:rFonts w:hint="eastAsia" w:ascii="仿宋" w:hAnsi="仿宋" w:eastAsia="仿宋"/>
          <w:lang w:val="en-US" w:eastAsia="zh-CN"/>
        </w:rPr>
        <w:t>071</w:t>
      </w:r>
      <w:r>
        <w:rPr>
          <w:rFonts w:hint="eastAsia" w:ascii="仿宋" w:hAnsi="仿宋" w:eastAsia="仿宋"/>
        </w:rPr>
        <w:t>号</w:t>
      </w:r>
    </w:p>
    <w:p>
      <w:pPr>
        <w:spacing w:line="460" w:lineRule="exact"/>
        <w:rPr>
          <w:rFonts w:ascii="仿宋" w:hAnsi="仿宋" w:eastAsia="仿宋"/>
          <w:sz w:val="28"/>
          <w:szCs w:val="28"/>
        </w:rPr>
      </w:pPr>
      <w:r>
        <w:rPr>
          <w:rFonts w:hint="eastAsia" w:ascii="仿宋" w:hAnsi="仿宋" w:eastAsia="仿宋"/>
          <w:spacing w:val="-6"/>
          <w:sz w:val="30"/>
          <w:szCs w:val="30"/>
        </w:rPr>
        <w:t>宁波市江北区人民法院</w:t>
      </w:r>
      <w:r>
        <w:rPr>
          <w:rFonts w:hint="eastAsia" w:ascii="仿宋" w:hAnsi="仿宋" w:eastAsia="仿宋"/>
          <w:sz w:val="28"/>
          <w:szCs w:val="28"/>
        </w:rPr>
        <w:t>：　　</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受贵方委托，遵照有关房地产评估的规范，本着独立、客观、公正、合法的原则，根据估价目的，按照估价程序，对估价对象房地产进行了评估。</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估价目的：为人民法院确定财产处置参考价提供参考依据。</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估价对象：权利人为</w:t>
      </w:r>
      <w:r>
        <w:rPr>
          <w:rFonts w:hint="eastAsia" w:ascii="仿宋" w:hAnsi="仿宋" w:eastAsia="仿宋"/>
          <w:sz w:val="28"/>
          <w:szCs w:val="28"/>
          <w:lang w:val="en-US" w:eastAsia="zh-CN"/>
        </w:rPr>
        <w:t>***</w:t>
      </w:r>
      <w:r>
        <w:rPr>
          <w:rFonts w:hint="eastAsia" w:ascii="宋体" w:hAnsi="宋体" w:cs="宋体"/>
          <w:sz w:val="28"/>
          <w:szCs w:val="28"/>
        </w:rPr>
        <w:t>、</w:t>
      </w:r>
      <w:r>
        <w:rPr>
          <w:rFonts w:hint="eastAsia" w:ascii="仿宋" w:hAnsi="仿宋" w:eastAsia="仿宋"/>
          <w:sz w:val="28"/>
          <w:szCs w:val="28"/>
          <w:lang w:val="en-US" w:eastAsia="zh-CN"/>
        </w:rPr>
        <w:t>***</w:t>
      </w:r>
      <w:r>
        <w:rPr>
          <w:rFonts w:hint="eastAsia" w:ascii="仿宋" w:hAnsi="仿宋" w:eastAsia="仿宋"/>
          <w:sz w:val="28"/>
          <w:szCs w:val="28"/>
        </w:rPr>
        <w:t>按份共有的位于宁波市象山县丹西街道西谷苑5幢4单元402室住宅房地产，</w:t>
      </w:r>
      <w:r>
        <w:rPr>
          <w:rFonts w:hint="eastAsia" w:ascii="仿宋_GB2312" w:hAnsi="仿宋" w:eastAsia="仿宋_GB2312"/>
          <w:sz w:val="28"/>
        </w:rPr>
        <w:t>房屋建筑面积110.96平方米，</w:t>
      </w:r>
      <w:r>
        <w:rPr>
          <w:rFonts w:hint="eastAsia" w:ascii="仿宋" w:hAnsi="仿宋" w:eastAsia="仿宋"/>
          <w:sz w:val="28"/>
          <w:szCs w:val="28"/>
        </w:rPr>
        <w:t>土地使用权面积24.03平方米（国有出让</w:t>
      </w:r>
      <w:r>
        <w:rPr>
          <w:rFonts w:hint="eastAsia" w:ascii="仿宋" w:hAnsi="仿宋" w:eastAsia="仿宋"/>
          <w:sz w:val="28"/>
          <w:szCs w:val="28"/>
          <w:lang w:eastAsia="zh-CN"/>
        </w:rPr>
        <w:t>城镇</w:t>
      </w:r>
      <w:r>
        <w:rPr>
          <w:rFonts w:hint="eastAsia" w:ascii="仿宋" w:hAnsi="仿宋" w:eastAsia="仿宋"/>
          <w:sz w:val="28"/>
          <w:szCs w:val="28"/>
        </w:rPr>
        <w:t>住宅用地，</w:t>
      </w:r>
      <w:r>
        <w:rPr>
          <w:rFonts w:hint="eastAsia" w:ascii="仿宋" w:hAnsi="仿宋" w:eastAsia="仿宋"/>
          <w:sz w:val="28"/>
          <w:szCs w:val="28"/>
          <w:lang w:eastAsia="zh-CN"/>
        </w:rPr>
        <w:t>终止日期至</w:t>
      </w:r>
      <w:r>
        <w:rPr>
          <w:rFonts w:hint="eastAsia" w:ascii="仿宋" w:hAnsi="仿宋" w:eastAsia="仿宋"/>
          <w:sz w:val="28"/>
          <w:szCs w:val="28"/>
        </w:rPr>
        <w:t>2077年11月22日止），另有附属用房17号7.10平方米，车位32号13.85平方米</w:t>
      </w:r>
      <w:r>
        <w:rPr>
          <w:rFonts w:hint="eastAsia" w:ascii="仿宋_GB2312" w:hAnsi="仿宋" w:eastAsia="仿宋_GB2312"/>
          <w:sz w:val="28"/>
        </w:rPr>
        <w:t>。</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财产范围：包括土地使用权、建筑物、固定装修、附属用房及车位等配套设施，不包括动产、债权债务等其他财产或权益。</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价值时点：2022年6月17日</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价值类型：市场价值</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估价方法：比较法</w:t>
      </w:r>
    </w:p>
    <w:p>
      <w:pPr>
        <w:spacing w:line="480" w:lineRule="exact"/>
        <w:ind w:firstLine="560" w:firstLineChars="200"/>
        <w:rPr>
          <w:rStyle w:val="62"/>
          <w:rFonts w:ascii="仿宋" w:hAnsi="仿宋" w:eastAsia="仿宋" w:cs="仿宋"/>
          <w:szCs w:val="21"/>
        </w:rPr>
      </w:pPr>
      <w:r>
        <w:rPr>
          <w:rFonts w:hint="eastAsia" w:ascii="仿宋" w:hAnsi="仿宋" w:eastAsia="仿宋"/>
          <w:sz w:val="28"/>
          <w:szCs w:val="28"/>
        </w:rPr>
        <w:t>估价结果: 估价对象在价值时点的市场价值为人民币</w:t>
      </w:r>
      <w:r>
        <w:rPr>
          <w:rFonts w:hint="eastAsia" w:ascii="仿宋" w:hAnsi="仿宋" w:eastAsia="仿宋"/>
          <w:b/>
          <w:sz w:val="28"/>
          <w:lang w:eastAsia="zh-CN"/>
        </w:rPr>
        <w:t>129.7</w:t>
      </w:r>
      <w:r>
        <w:rPr>
          <w:rFonts w:hint="eastAsia" w:ascii="仿宋" w:hAnsi="仿宋" w:eastAsia="仿宋"/>
          <w:sz w:val="28"/>
        </w:rPr>
        <w:t>万元</w:t>
      </w:r>
      <w:r>
        <w:rPr>
          <w:rFonts w:hint="eastAsia" w:ascii="仿宋_GB2312" w:eastAsia="仿宋_GB2312"/>
          <w:sz w:val="28"/>
        </w:rPr>
        <w:t>，</w:t>
      </w:r>
      <w:r>
        <w:rPr>
          <w:rFonts w:hint="eastAsia" w:ascii="仿宋" w:hAnsi="仿宋" w:eastAsia="仿宋"/>
          <w:sz w:val="28"/>
          <w:szCs w:val="28"/>
        </w:rPr>
        <w:t>大写金额为人民币</w:t>
      </w:r>
      <w:r>
        <w:rPr>
          <w:rFonts w:hint="eastAsia" w:ascii="仿宋" w:hAnsi="仿宋" w:eastAsia="仿宋"/>
          <w:b/>
          <w:sz w:val="28"/>
          <w:lang w:eastAsia="zh-CN"/>
        </w:rPr>
        <w:t>壹佰贰拾玖万柒仟元整</w:t>
      </w:r>
      <w:r>
        <w:rPr>
          <w:rFonts w:hint="eastAsia" w:ascii="仿宋" w:hAnsi="仿宋" w:eastAsia="仿宋"/>
          <w:b/>
          <w:sz w:val="28"/>
        </w:rPr>
        <w:t>，</w:t>
      </w:r>
      <w:r>
        <w:rPr>
          <w:rFonts w:hint="eastAsia" w:ascii="仿宋" w:hAnsi="仿宋" w:eastAsia="仿宋"/>
          <w:sz w:val="28"/>
          <w:szCs w:val="28"/>
        </w:rPr>
        <w:t>建筑面积单价为人民币</w:t>
      </w:r>
      <w:r>
        <w:rPr>
          <w:rFonts w:hint="eastAsia" w:ascii="仿宋" w:hAnsi="仿宋" w:eastAsia="仿宋"/>
          <w:b/>
          <w:sz w:val="28"/>
          <w:lang w:eastAsia="zh-CN"/>
        </w:rPr>
        <w:t>11689</w:t>
      </w:r>
      <w:r>
        <w:rPr>
          <w:rFonts w:hint="eastAsia" w:ascii="仿宋" w:hAnsi="仿宋" w:eastAsia="仿宋"/>
          <w:b/>
          <w:sz w:val="28"/>
        </w:rPr>
        <w:t>元/平方米</w:t>
      </w:r>
      <w:r>
        <w:rPr>
          <w:rFonts w:hint="eastAsia" w:ascii="仿宋" w:hAnsi="仿宋" w:eastAsia="仿宋"/>
          <w:sz w:val="28"/>
          <w:szCs w:val="28"/>
        </w:rPr>
        <w:t>。</w:t>
      </w:r>
    </w:p>
    <w:p>
      <w:pPr>
        <w:spacing w:line="300" w:lineRule="atLeast"/>
        <w:jc w:val="left"/>
        <w:rPr>
          <w:rStyle w:val="62"/>
          <w:rFonts w:ascii="仿宋" w:hAnsi="仿宋" w:eastAsia="仿宋" w:cs="仿宋"/>
          <w:szCs w:val="21"/>
        </w:rPr>
      </w:pPr>
    </w:p>
    <w:p>
      <w:pPr>
        <w:spacing w:line="300" w:lineRule="atLeast"/>
        <w:jc w:val="left"/>
        <w:rPr>
          <w:rStyle w:val="62"/>
          <w:rFonts w:ascii="仿宋" w:hAnsi="仿宋" w:eastAsia="仿宋" w:cs="仿宋"/>
          <w:szCs w:val="21"/>
        </w:rPr>
      </w:pPr>
      <w:r>
        <w:rPr>
          <w:rStyle w:val="62"/>
          <w:rFonts w:hint="eastAsia" w:ascii="仿宋" w:hAnsi="仿宋" w:eastAsia="仿宋" w:cs="仿宋"/>
          <w:szCs w:val="21"/>
        </w:rPr>
        <w:t>特别提示：</w:t>
      </w:r>
    </w:p>
    <w:p>
      <w:pPr>
        <w:numPr>
          <w:ilvl w:val="0"/>
          <w:numId w:val="2"/>
        </w:numPr>
        <w:spacing w:line="300" w:lineRule="atLeast"/>
        <w:ind w:left="210" w:leftChars="100" w:firstLine="420" w:firstLineChars="200"/>
        <w:jc w:val="left"/>
        <w:rPr>
          <w:rStyle w:val="62"/>
          <w:rFonts w:ascii="仿宋" w:hAnsi="仿宋" w:eastAsia="仿宋" w:cs="仿宋"/>
          <w:szCs w:val="21"/>
        </w:rPr>
      </w:pPr>
      <w:r>
        <w:rPr>
          <w:rStyle w:val="62"/>
          <w:rFonts w:hint="eastAsia" w:ascii="仿宋" w:hAnsi="仿宋" w:eastAsia="仿宋" w:cs="仿宋"/>
          <w:szCs w:val="21"/>
        </w:rPr>
        <w:t>欲知详情，请阅读本报告全文，报告使用时请特别关注估价假设和限制条件提示内容。</w:t>
      </w:r>
    </w:p>
    <w:p>
      <w:pPr>
        <w:spacing w:line="480" w:lineRule="exact"/>
        <w:rPr>
          <w:rFonts w:ascii="仿宋" w:hAnsi="仿宋" w:eastAsia="仿宋"/>
          <w:sz w:val="28"/>
          <w:szCs w:val="28"/>
        </w:rPr>
      </w:pPr>
    </w:p>
    <w:p>
      <w:pPr>
        <w:spacing w:line="480" w:lineRule="exact"/>
        <w:rPr>
          <w:rFonts w:ascii="仿宋" w:hAnsi="仿宋" w:eastAsia="仿宋"/>
          <w:sz w:val="28"/>
          <w:szCs w:val="28"/>
        </w:rPr>
      </w:pPr>
    </w:p>
    <w:p>
      <w:pPr>
        <w:spacing w:line="480" w:lineRule="exact"/>
        <w:ind w:firstLine="4480" w:firstLineChars="1600"/>
        <w:rPr>
          <w:rFonts w:ascii="仿宋" w:hAnsi="仿宋" w:eastAsia="仿宋"/>
          <w:sz w:val="28"/>
          <w:szCs w:val="28"/>
        </w:rPr>
      </w:pPr>
      <w:r>
        <w:rPr>
          <w:rFonts w:hint="eastAsia" w:ascii="仿宋" w:hAnsi="仿宋" w:eastAsia="仿宋"/>
          <w:sz w:val="28"/>
          <w:szCs w:val="28"/>
        </w:rPr>
        <w:t>宁波衡信房地产评估有限公司</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 xml:space="preserve">                                法定代表人：</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　　　　　　　　　　           2022年6月24日</w:t>
      </w:r>
    </w:p>
    <w:p>
      <w:pPr>
        <w:autoSpaceDE w:val="0"/>
        <w:autoSpaceDN w:val="0"/>
        <w:spacing w:line="200" w:lineRule="exact"/>
        <w:textAlignment w:val="bottom"/>
        <w:rPr>
          <w:rFonts w:ascii="仿宋" w:hAnsi="仿宋" w:eastAsia="仿宋"/>
          <w:sz w:val="28"/>
          <w:szCs w:val="28"/>
        </w:rPr>
      </w:pPr>
    </w:p>
    <w:p>
      <w:pPr>
        <w:autoSpaceDE w:val="0"/>
        <w:autoSpaceDN w:val="0"/>
        <w:spacing w:line="200" w:lineRule="exact"/>
        <w:textAlignment w:val="bottom"/>
        <w:rPr>
          <w:rFonts w:ascii="仿宋" w:hAnsi="仿宋" w:eastAsia="仿宋"/>
          <w:sz w:val="28"/>
          <w:szCs w:val="28"/>
        </w:rPr>
      </w:pPr>
    </w:p>
    <w:p>
      <w:pPr>
        <w:spacing w:line="480" w:lineRule="exact"/>
        <w:ind w:firstLine="3975" w:firstLineChars="1100"/>
        <w:rPr>
          <w:rFonts w:ascii="仿宋" w:hAnsi="仿宋" w:eastAsia="仿宋"/>
          <w:sz w:val="36"/>
          <w:szCs w:val="36"/>
        </w:rPr>
      </w:pPr>
      <w:r>
        <w:rPr>
          <w:rFonts w:hint="eastAsia" w:ascii="仿宋" w:hAnsi="仿宋" w:eastAsia="仿宋"/>
          <w:b/>
          <w:bCs/>
          <w:sz w:val="36"/>
          <w:szCs w:val="36"/>
        </w:rPr>
        <w:t>目录</w:t>
      </w:r>
    </w:p>
    <w:p>
      <w:pPr>
        <w:pStyle w:val="19"/>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rPr>
          <w:rFonts w:ascii="仿宋" w:hAnsi="仿宋"/>
          <w:szCs w:val="28"/>
        </w:rPr>
        <w:fldChar w:fldCharType="begin"/>
      </w:r>
      <w:r>
        <w:rPr>
          <w:rFonts w:ascii="仿宋" w:hAnsi="仿宋"/>
          <w:szCs w:val="28"/>
        </w:rPr>
        <w:instrText xml:space="preserve"> TOC \o "1-3" \h \z \u </w:instrText>
      </w:r>
      <w:r>
        <w:rPr>
          <w:rFonts w:ascii="仿宋" w:hAnsi="仿宋"/>
          <w:szCs w:val="28"/>
        </w:rPr>
        <w:fldChar w:fldCharType="separate"/>
      </w:r>
      <w:r>
        <w:fldChar w:fldCharType="begin"/>
      </w:r>
      <w:r>
        <w:instrText xml:space="preserve"> HYPERLINK \l "_Toc32407" </w:instrText>
      </w:r>
      <w:r>
        <w:fldChar w:fldCharType="separate"/>
      </w:r>
      <w:r>
        <w:rPr>
          <w:rFonts w:hint="eastAsia" w:ascii="仿宋" w:hAnsi="仿宋"/>
        </w:rPr>
        <w:t>估 价 师 声 明</w:t>
      </w:r>
      <w:r>
        <w:tab/>
      </w:r>
      <w:r>
        <w:fldChar w:fldCharType="begin"/>
      </w:r>
      <w:r>
        <w:instrText xml:space="preserve"> PAGEREF _Toc32407 \h </w:instrText>
      </w:r>
      <w:r>
        <w:fldChar w:fldCharType="separate"/>
      </w:r>
      <w:r>
        <w:t>1</w:t>
      </w:r>
      <w:r>
        <w:fldChar w:fldCharType="end"/>
      </w:r>
      <w:r>
        <w:fldChar w:fldCharType="end"/>
      </w:r>
    </w:p>
    <w:p>
      <w:pPr>
        <w:pStyle w:val="19"/>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"_Toc9989" </w:instrText>
      </w:r>
      <w:r>
        <w:fldChar w:fldCharType="separate"/>
      </w:r>
      <w:r>
        <w:rPr>
          <w:rFonts w:hint="eastAsia" w:ascii="仿宋" w:hAnsi="仿宋"/>
        </w:rPr>
        <w:t>估价假设和限制条件</w:t>
      </w:r>
      <w:r>
        <w:tab/>
      </w:r>
      <w:r>
        <w:fldChar w:fldCharType="begin"/>
      </w:r>
      <w:r>
        <w:instrText xml:space="preserve"> PAGEREF _Toc9989 \h </w:instrText>
      </w:r>
      <w:r>
        <w:fldChar w:fldCharType="separate"/>
      </w:r>
      <w:r>
        <w:t>2</w:t>
      </w:r>
      <w:r>
        <w:fldChar w:fldCharType="end"/>
      </w:r>
      <w:r>
        <w:fldChar w:fldCharType="end"/>
      </w:r>
    </w:p>
    <w:p>
      <w:pPr>
        <w:pStyle w:val="19"/>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"_Toc843" </w:instrText>
      </w:r>
      <w:r>
        <w:fldChar w:fldCharType="separate"/>
      </w:r>
      <w:r>
        <w:rPr>
          <w:rFonts w:hint="eastAsia" w:ascii="仿宋" w:hAnsi="仿宋"/>
        </w:rPr>
        <w:t>估价结果报告</w:t>
      </w:r>
      <w:r>
        <w:tab/>
      </w:r>
      <w:r>
        <w:fldChar w:fldCharType="begin"/>
      </w:r>
      <w:r>
        <w:instrText xml:space="preserve"> PAGEREF _Toc843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"_Toc4403" </w:instrText>
      </w:r>
      <w:r>
        <w:fldChar w:fldCharType="separate"/>
      </w:r>
      <w:r>
        <w:rPr>
          <w:rFonts w:hint="eastAsia" w:ascii="仿宋" w:hAnsi="仿宋"/>
        </w:rPr>
        <w:t>一、估价委托人</w:t>
      </w:r>
      <w:r>
        <w:tab/>
      </w:r>
      <w:r>
        <w:fldChar w:fldCharType="begin"/>
      </w:r>
      <w:r>
        <w:instrText xml:space="preserve"> PAGEREF _Toc4403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"_Toc21760" </w:instrText>
      </w:r>
      <w:r>
        <w:fldChar w:fldCharType="separate"/>
      </w:r>
      <w:r>
        <w:rPr>
          <w:rFonts w:hint="eastAsia" w:ascii="仿宋" w:hAnsi="仿宋"/>
        </w:rPr>
        <w:t>二、房地产估价机构</w:t>
      </w:r>
      <w:r>
        <w:tab/>
      </w:r>
      <w:r>
        <w:fldChar w:fldCharType="begin"/>
      </w:r>
      <w:r>
        <w:instrText xml:space="preserve"> PAGEREF _Toc21760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"_Toc32767" </w:instrText>
      </w:r>
      <w:r>
        <w:fldChar w:fldCharType="separate"/>
      </w:r>
      <w:r>
        <w:rPr>
          <w:rFonts w:hint="eastAsia" w:ascii="仿宋" w:hAnsi="仿宋"/>
        </w:rPr>
        <w:t>三、估价目的</w:t>
      </w:r>
      <w:r>
        <w:tab/>
      </w:r>
      <w:r>
        <w:fldChar w:fldCharType="begin"/>
      </w:r>
      <w:r>
        <w:instrText xml:space="preserve"> PAGEREF _Toc32767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"_Toc7934" </w:instrText>
      </w:r>
      <w:r>
        <w:fldChar w:fldCharType="separate"/>
      </w:r>
      <w:r>
        <w:rPr>
          <w:rFonts w:hint="eastAsia" w:ascii="仿宋" w:hAnsi="仿宋"/>
        </w:rPr>
        <w:t>四、估价对象</w:t>
      </w:r>
      <w:r>
        <w:tab/>
      </w:r>
      <w:r>
        <w:fldChar w:fldCharType="begin"/>
      </w:r>
      <w:r>
        <w:instrText xml:space="preserve"> PAGEREF _Toc7934 \h </w:instrText>
      </w:r>
      <w:r>
        <w:fldChar w:fldCharType="separate"/>
      </w:r>
      <w:r>
        <w:t>5</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"_Toc6272" </w:instrText>
      </w:r>
      <w:r>
        <w:fldChar w:fldCharType="separate"/>
      </w:r>
      <w:r>
        <w:rPr>
          <w:rFonts w:hint="eastAsia" w:ascii="仿宋" w:hAnsi="仿宋"/>
        </w:rPr>
        <w:t>六、价值类型</w:t>
      </w:r>
      <w:r>
        <w:tab/>
      </w:r>
      <w:r>
        <w:fldChar w:fldCharType="begin"/>
      </w:r>
      <w:r>
        <w:instrText xml:space="preserve"> PAGEREF _Toc6272 \h </w:instrText>
      </w:r>
      <w:r>
        <w:fldChar w:fldCharType="separate"/>
      </w:r>
      <w:r>
        <w:t>8</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"_Toc17706" </w:instrText>
      </w:r>
      <w:r>
        <w:fldChar w:fldCharType="separate"/>
      </w:r>
      <w:r>
        <w:rPr>
          <w:rFonts w:hint="eastAsia" w:ascii="仿宋" w:hAnsi="仿宋"/>
        </w:rPr>
        <w:t>七、估价原则</w:t>
      </w:r>
      <w:r>
        <w:tab/>
      </w:r>
      <w:r>
        <w:fldChar w:fldCharType="begin"/>
      </w:r>
      <w:r>
        <w:instrText xml:space="preserve"> PAGEREF _Toc17706 \h </w:instrText>
      </w:r>
      <w:r>
        <w:fldChar w:fldCharType="separate"/>
      </w:r>
      <w:r>
        <w:t>9</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"_Toc23944" </w:instrText>
      </w:r>
      <w:r>
        <w:fldChar w:fldCharType="separate"/>
      </w:r>
      <w:r>
        <w:rPr>
          <w:rFonts w:hint="eastAsia" w:ascii="仿宋" w:hAnsi="仿宋"/>
        </w:rPr>
        <w:t>八</w:t>
      </w:r>
      <w:r>
        <w:rPr>
          <w:rFonts w:hint="eastAsia" w:ascii="宋体" w:hAnsi="宋体" w:eastAsia="宋体" w:cs="宋体"/>
        </w:rPr>
        <w:t>、</w:t>
      </w:r>
      <w:r>
        <w:rPr>
          <w:rFonts w:hint="eastAsia" w:ascii="仿宋" w:hAnsi="仿宋"/>
        </w:rPr>
        <w:t>估价依据</w:t>
      </w:r>
      <w:r>
        <w:tab/>
      </w:r>
      <w:r>
        <w:fldChar w:fldCharType="begin"/>
      </w:r>
      <w:r>
        <w:instrText xml:space="preserve"> PAGEREF _Toc23944 \h </w:instrText>
      </w:r>
      <w:r>
        <w:fldChar w:fldCharType="separate"/>
      </w:r>
      <w:r>
        <w:t>9</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"_Toc15244" </w:instrText>
      </w:r>
      <w:r>
        <w:fldChar w:fldCharType="separate"/>
      </w:r>
      <w:r>
        <w:rPr>
          <w:rFonts w:hint="eastAsia" w:ascii="仿宋" w:hAnsi="仿宋"/>
        </w:rPr>
        <w:t>九、估价方法</w:t>
      </w:r>
      <w:r>
        <w:tab/>
      </w:r>
      <w:r>
        <w:fldChar w:fldCharType="begin"/>
      </w:r>
      <w:r>
        <w:instrText xml:space="preserve"> PAGEREF _Toc15244 \h </w:instrText>
      </w:r>
      <w:r>
        <w:fldChar w:fldCharType="separate"/>
      </w:r>
      <w:r>
        <w:t>11</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"_Toc26002" </w:instrText>
      </w:r>
      <w:r>
        <w:fldChar w:fldCharType="separate"/>
      </w:r>
      <w:r>
        <w:rPr>
          <w:rFonts w:hint="eastAsia" w:ascii="仿宋" w:hAnsi="仿宋"/>
        </w:rPr>
        <w:t>十、估价结果</w:t>
      </w:r>
      <w:r>
        <w:tab/>
      </w:r>
      <w:r>
        <w:fldChar w:fldCharType="begin"/>
      </w:r>
      <w:r>
        <w:instrText xml:space="preserve"> PAGEREF _Toc26002 \h </w:instrText>
      </w:r>
      <w:r>
        <w:fldChar w:fldCharType="separate"/>
      </w:r>
      <w:r>
        <w:t>11</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"_Toc12028" </w:instrText>
      </w:r>
      <w:r>
        <w:fldChar w:fldCharType="separate"/>
      </w:r>
      <w:r>
        <w:rPr>
          <w:rFonts w:hint="eastAsia" w:ascii="仿宋" w:hAnsi="仿宋"/>
        </w:rPr>
        <w:t>十一、注册房地产估价师</w:t>
      </w:r>
      <w:r>
        <w:tab/>
      </w:r>
      <w:r>
        <w:fldChar w:fldCharType="begin"/>
      </w:r>
      <w:r>
        <w:instrText xml:space="preserve"> PAGEREF _Toc12028 \h </w:instrText>
      </w:r>
      <w:r>
        <w:fldChar w:fldCharType="separate"/>
      </w:r>
      <w:r>
        <w:t>11</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"_Toc314" </w:instrText>
      </w:r>
      <w:r>
        <w:fldChar w:fldCharType="separate"/>
      </w:r>
      <w:r>
        <w:rPr>
          <w:rFonts w:hint="eastAsia" w:ascii="仿宋" w:hAnsi="仿宋"/>
        </w:rPr>
        <w:t>十二、实地查勘期</w:t>
      </w:r>
      <w:r>
        <w:tab/>
      </w:r>
      <w:r>
        <w:fldChar w:fldCharType="begin"/>
      </w:r>
      <w:r>
        <w:instrText xml:space="preserve"> PAGEREF _Toc314 \h </w:instrText>
      </w:r>
      <w:r>
        <w:fldChar w:fldCharType="separate"/>
      </w:r>
      <w:r>
        <w:t>11</w:t>
      </w:r>
      <w:r>
        <w:fldChar w:fldCharType="end"/>
      </w:r>
      <w:r>
        <w:fldChar w:fldCharType="end"/>
      </w:r>
    </w:p>
    <w:p>
      <w:pPr>
        <w:pStyle w:val="21"/>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"_Toc12351" </w:instrText>
      </w:r>
      <w:r>
        <w:fldChar w:fldCharType="separate"/>
      </w:r>
      <w:r>
        <w:rPr>
          <w:rFonts w:hint="eastAsia" w:ascii="仿宋" w:hAnsi="仿宋"/>
        </w:rPr>
        <w:t>十三、估价作业期</w:t>
      </w:r>
      <w:r>
        <w:tab/>
      </w:r>
      <w:r>
        <w:fldChar w:fldCharType="begin"/>
      </w:r>
      <w:r>
        <w:instrText xml:space="preserve"> PAGEREF _Toc12351 \h </w:instrText>
      </w:r>
      <w:r>
        <w:fldChar w:fldCharType="separate"/>
      </w:r>
      <w:r>
        <w:t>12</w:t>
      </w:r>
      <w:r>
        <w:fldChar w:fldCharType="end"/>
      </w:r>
      <w:r>
        <w:fldChar w:fldCharType="end"/>
      </w:r>
    </w:p>
    <w:p>
      <w:pPr>
        <w:pStyle w:val="19"/>
        <w:keepNext w:val="0"/>
        <w:keepLines w:val="0"/>
        <w:pageBreakBefore w:val="0"/>
        <w:widowControl w:val="0"/>
        <w:tabs>
          <w:tab w:val="right" w:leader="dot" w:pos="8640"/>
        </w:tabs>
        <w:kinsoku/>
        <w:wordWrap/>
        <w:overflowPunct/>
        <w:topLinePunct w:val="0"/>
        <w:autoSpaceDE/>
        <w:autoSpaceDN/>
        <w:bidi w:val="0"/>
        <w:adjustRightInd/>
        <w:snapToGrid/>
        <w:spacing w:line="480" w:lineRule="exact"/>
        <w:textAlignment w:val="auto"/>
      </w:pPr>
      <w:r>
        <w:fldChar w:fldCharType="begin"/>
      </w:r>
      <w:r>
        <w:instrText xml:space="preserve"> HYPERLINK \l "_Toc14245" </w:instrText>
      </w:r>
      <w:r>
        <w:fldChar w:fldCharType="separate"/>
      </w:r>
      <w:r>
        <w:rPr>
          <w:rFonts w:hint="eastAsia" w:ascii="仿宋" w:hAnsi="仿宋"/>
        </w:rPr>
        <w:t>附  件</w:t>
      </w:r>
      <w:r>
        <w:tab/>
      </w:r>
      <w:r>
        <w:fldChar w:fldCharType="begin"/>
      </w:r>
      <w:r>
        <w:instrText xml:space="preserve"> PAGEREF _Toc14245 \h </w:instrText>
      </w:r>
      <w:r>
        <w:fldChar w:fldCharType="separate"/>
      </w:r>
      <w:r>
        <w:t>13</w:t>
      </w:r>
      <w:r>
        <w:fldChar w:fldCharType="end"/>
      </w:r>
      <w:r>
        <w:fldChar w:fldCharType="end"/>
      </w:r>
    </w:p>
    <w:p>
      <w:pPr>
        <w:autoSpaceDE w:val="0"/>
        <w:autoSpaceDN w:val="0"/>
        <w:spacing w:line="200" w:lineRule="exact"/>
        <w:textAlignment w:val="bottom"/>
        <w:rPr>
          <w:rFonts w:ascii="仿宋" w:hAnsi="仿宋" w:eastAsia="仿宋"/>
          <w:szCs w:val="28"/>
        </w:rPr>
      </w:pPr>
      <w:r>
        <w:rPr>
          <w:rFonts w:ascii="仿宋" w:hAnsi="仿宋" w:eastAsia="仿宋"/>
          <w:szCs w:val="28"/>
        </w:rPr>
        <w:fldChar w:fldCharType="end"/>
      </w:r>
    </w:p>
    <w:p>
      <w:pPr>
        <w:spacing w:line="240" w:lineRule="atLeast"/>
        <w:ind w:firstLine="360" w:firstLineChars="200"/>
        <w:rPr>
          <w:rFonts w:ascii="仿宋_GB2312" w:eastAsia="仿宋_GB2312"/>
          <w:snapToGrid w:val="0"/>
          <w:sz w:val="18"/>
          <w:szCs w:val="18"/>
        </w:rPr>
      </w:pPr>
      <w:r>
        <w:rPr>
          <w:rFonts w:hint="eastAsia" w:ascii="仿宋_GB2312" w:hAnsi="仿宋" w:eastAsia="仿宋_GB2312"/>
          <w:sz w:val="18"/>
          <w:szCs w:val="18"/>
        </w:rPr>
        <w:t>1、</w:t>
      </w:r>
      <w:bookmarkStart w:id="0" w:name="_Toc28317"/>
      <w:r>
        <w:rPr>
          <w:rFonts w:hint="eastAsia" w:ascii="仿宋_GB2312" w:eastAsia="仿宋_GB2312"/>
          <w:snapToGrid w:val="0"/>
          <w:sz w:val="18"/>
          <w:szCs w:val="18"/>
        </w:rPr>
        <w:t>估价委托书</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2、估价对象地理位置图</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3、估价对象实地查勘情况和相关照片</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4、权证复印件</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5、房地产估价机构营业执照复印件</w:t>
      </w:r>
    </w:p>
    <w:p>
      <w:pPr>
        <w:spacing w:line="240" w:lineRule="atLeast"/>
        <w:ind w:firstLine="360" w:firstLineChars="200"/>
        <w:rPr>
          <w:rFonts w:ascii="仿宋_GB2312" w:eastAsia="仿宋_GB2312"/>
          <w:snapToGrid w:val="0"/>
          <w:sz w:val="18"/>
          <w:szCs w:val="18"/>
        </w:rPr>
      </w:pPr>
      <w:r>
        <w:rPr>
          <w:rFonts w:hint="eastAsia" w:ascii="仿宋_GB2312" w:eastAsia="仿宋_GB2312"/>
          <w:snapToGrid w:val="0"/>
          <w:sz w:val="18"/>
          <w:szCs w:val="18"/>
        </w:rPr>
        <w:t>6、房地产估价机构资质证书复印件</w:t>
      </w:r>
    </w:p>
    <w:p>
      <w:pPr>
        <w:spacing w:line="240" w:lineRule="atLeast"/>
        <w:ind w:firstLine="360" w:firstLineChars="200"/>
        <w:rPr>
          <w:rFonts w:ascii="仿宋_GB2312" w:eastAsia="仿宋_GB2312"/>
          <w:snapToGrid w:val="0"/>
          <w:sz w:val="18"/>
          <w:szCs w:val="18"/>
        </w:rPr>
        <w:sectPr>
          <w:footerReference r:id="rId5" w:type="first"/>
          <w:headerReference r:id="rId3" w:type="default"/>
          <w:footerReference r:id="rId4" w:type="default"/>
          <w:pgSz w:w="12240" w:h="15840"/>
          <w:pgMar w:top="1440" w:right="1800" w:bottom="1440" w:left="1800" w:header="720" w:footer="720" w:gutter="0"/>
          <w:pgNumType w:start="1"/>
          <w:cols w:space="720" w:num="1"/>
        </w:sectPr>
      </w:pPr>
      <w:r>
        <w:rPr>
          <w:rFonts w:hint="eastAsia" w:ascii="仿宋_GB2312" w:eastAsia="仿宋_GB2312"/>
          <w:snapToGrid w:val="0"/>
          <w:sz w:val="18"/>
          <w:szCs w:val="18"/>
        </w:rPr>
        <w:t>7、注册房地产估价师估价资格证书复印件</w:t>
      </w:r>
    </w:p>
    <w:p>
      <w:pPr>
        <w:pStyle w:val="2"/>
        <w:rPr>
          <w:rFonts w:ascii="仿宋" w:hAnsi="仿宋" w:eastAsia="仿宋"/>
        </w:rPr>
      </w:pPr>
      <w:bookmarkStart w:id="1" w:name="_Toc32407"/>
      <w:r>
        <w:rPr>
          <w:rFonts w:hint="eastAsia" w:ascii="仿宋" w:hAnsi="仿宋" w:eastAsia="仿宋"/>
        </w:rPr>
        <w:t>估 价 师 声 明</w:t>
      </w:r>
      <w:bookmarkEnd w:id="0"/>
      <w:bookmarkEnd w:id="1"/>
    </w:p>
    <w:p>
      <w:pPr>
        <w:tabs>
          <w:tab w:val="left" w:pos="-2205"/>
        </w:tabs>
        <w:spacing w:line="560" w:lineRule="exact"/>
        <w:ind w:right="17"/>
        <w:rPr>
          <w:rFonts w:ascii="仿宋" w:hAnsi="仿宋" w:eastAsia="仿宋"/>
          <w:sz w:val="28"/>
          <w:szCs w:val="28"/>
        </w:rPr>
      </w:pPr>
      <w:r>
        <w:rPr>
          <w:rFonts w:hint="eastAsia" w:ascii="仿宋" w:hAnsi="仿宋" w:eastAsia="仿宋"/>
          <w:sz w:val="28"/>
          <w:szCs w:val="28"/>
        </w:rPr>
        <w:t>我们郑重声明：</w:t>
      </w:r>
    </w:p>
    <w:p>
      <w:pPr>
        <w:tabs>
          <w:tab w:val="left" w:pos="-2205"/>
        </w:tabs>
        <w:spacing w:line="560" w:lineRule="exact"/>
        <w:ind w:right="17" w:firstLine="560" w:firstLineChars="200"/>
        <w:rPr>
          <w:rFonts w:ascii="仿宋" w:hAnsi="仿宋" w:eastAsia="仿宋"/>
          <w:sz w:val="28"/>
          <w:szCs w:val="28"/>
        </w:rPr>
      </w:pPr>
      <w:r>
        <w:rPr>
          <w:rFonts w:hint="eastAsia" w:ascii="仿宋" w:hAnsi="仿宋" w:eastAsia="仿宋"/>
          <w:sz w:val="28"/>
          <w:szCs w:val="28"/>
        </w:rPr>
        <w:t>1、注册房地产估价师在本估价报告中陈述的事实是真实的和准确的，没有虚假记载、误导性陈述和重大遗漏。</w:t>
      </w:r>
    </w:p>
    <w:p>
      <w:pPr>
        <w:tabs>
          <w:tab w:val="left" w:pos="-2205"/>
        </w:tabs>
        <w:spacing w:line="560" w:lineRule="exact"/>
        <w:ind w:right="17" w:firstLine="560" w:firstLineChars="200"/>
        <w:rPr>
          <w:rFonts w:ascii="仿宋" w:hAnsi="仿宋" w:eastAsia="仿宋"/>
          <w:sz w:val="28"/>
          <w:szCs w:val="28"/>
        </w:rPr>
      </w:pPr>
      <w:r>
        <w:rPr>
          <w:rFonts w:hint="eastAsia" w:ascii="仿宋" w:hAnsi="仿宋" w:eastAsia="仿宋"/>
          <w:sz w:val="28"/>
          <w:szCs w:val="28"/>
        </w:rPr>
        <w:t>2、本估价报告中的分析、意见和结论是注册房地产估价师独立、客观、公正的专业分析、意见和结论，但受到本估价报告中已说明的估价假设和限制条件的限制。</w:t>
      </w:r>
    </w:p>
    <w:p>
      <w:pPr>
        <w:tabs>
          <w:tab w:val="left" w:pos="-2205"/>
        </w:tabs>
        <w:spacing w:line="560" w:lineRule="exact"/>
        <w:ind w:right="17" w:firstLine="560" w:firstLineChars="200"/>
        <w:rPr>
          <w:rFonts w:ascii="仿宋" w:hAnsi="仿宋" w:eastAsia="仿宋"/>
          <w:sz w:val="28"/>
          <w:szCs w:val="28"/>
        </w:rPr>
      </w:pPr>
      <w:r>
        <w:rPr>
          <w:rFonts w:hint="eastAsia" w:ascii="仿宋" w:hAnsi="仿宋" w:eastAsia="仿宋"/>
          <w:sz w:val="28"/>
          <w:szCs w:val="28"/>
        </w:rPr>
        <w:t>3、注册房地产估价师与本估价报告中的估价对象没有现实或潜在的利益，与估价委托人及估价利害关系人没有利害关系，也对估价对象、估价委托人及估价利害关系人没有偏见。</w:t>
      </w:r>
    </w:p>
    <w:p>
      <w:pPr>
        <w:tabs>
          <w:tab w:val="left" w:pos="-2205"/>
        </w:tabs>
        <w:spacing w:line="560" w:lineRule="exact"/>
        <w:ind w:right="17" w:firstLine="560" w:firstLineChars="200"/>
        <w:rPr>
          <w:rFonts w:ascii="仿宋" w:hAnsi="仿宋" w:eastAsia="仿宋"/>
          <w:sz w:val="28"/>
          <w:szCs w:val="28"/>
        </w:rPr>
      </w:pPr>
      <w:r>
        <w:rPr>
          <w:rFonts w:hint="eastAsia" w:ascii="仿宋" w:hAnsi="仿宋" w:eastAsia="仿宋"/>
          <w:sz w:val="28"/>
          <w:szCs w:val="28"/>
        </w:rPr>
        <w:t>4、注册房地产估价师是按照中华人民共和国国家标准《房地产估价规范》（GB/T50291-2015）和《房地产估价基本术语标准》（GB/T50899-2013）号的规定进行分析，形成意见和结论，撰写本估价报告。</w:t>
      </w:r>
    </w:p>
    <w:p>
      <w:pPr>
        <w:pStyle w:val="2"/>
        <w:spacing w:before="0" w:after="0" w:line="480" w:lineRule="exact"/>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tabs>
          <w:tab w:val="left" w:pos="6762"/>
        </w:tabs>
        <w:rPr>
          <w:rFonts w:ascii="仿宋" w:hAnsi="仿宋" w:eastAsia="仿宋"/>
        </w:rPr>
      </w:pPr>
      <w:r>
        <w:rPr>
          <w:rFonts w:hint="eastAsia" w:ascii="仿宋" w:hAnsi="仿宋" w:eastAsia="仿宋"/>
        </w:rPr>
        <w:tab/>
      </w:r>
    </w:p>
    <w:p>
      <w:pPr>
        <w:rPr>
          <w:rFonts w:ascii="仿宋" w:hAnsi="仿宋" w:eastAsia="仿宋"/>
        </w:rPr>
      </w:pPr>
    </w:p>
    <w:p>
      <w:pPr>
        <w:rPr>
          <w:rFonts w:ascii="仿宋" w:hAnsi="仿宋" w:eastAsia="仿宋"/>
        </w:rPr>
      </w:pPr>
    </w:p>
    <w:p>
      <w:pPr>
        <w:rPr>
          <w:rFonts w:ascii="仿宋" w:hAnsi="仿宋" w:eastAsia="仿宋"/>
        </w:rPr>
      </w:pPr>
    </w:p>
    <w:p>
      <w:pPr>
        <w:pStyle w:val="2"/>
        <w:spacing w:before="0" w:after="0" w:line="480" w:lineRule="exact"/>
        <w:rPr>
          <w:rFonts w:ascii="仿宋" w:hAnsi="仿宋" w:eastAsia="仿宋"/>
        </w:rPr>
      </w:pPr>
      <w:bookmarkStart w:id="2" w:name="_Toc9989"/>
      <w:bookmarkStart w:id="3" w:name="_Toc15054"/>
      <w:r>
        <w:rPr>
          <w:rFonts w:hint="eastAsia" w:ascii="仿宋" w:hAnsi="仿宋" w:eastAsia="仿宋"/>
        </w:rPr>
        <w:t>估价假设和限制条件</w:t>
      </w:r>
      <w:bookmarkEnd w:id="2"/>
      <w:bookmarkEnd w:id="3"/>
    </w:p>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一、估价假设条件</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（一）一般假设：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1、估价委托人提供了估价对象的相关权属证书，我们对权属证书上记载的权属、面积、用途等资料进行了审慎检查，在无理由怀疑其合法性、真实性、准确性和完整性的情况下,假定估价委托人提供的资料是真实</w:t>
      </w:r>
      <w:r>
        <w:rPr>
          <w:rFonts w:hint="eastAsia" w:ascii="宋体" w:hAnsi="宋体" w:cs="宋体"/>
          <w:sz w:val="28"/>
          <w:szCs w:val="28"/>
        </w:rPr>
        <w:t>、</w:t>
      </w:r>
      <w:r>
        <w:rPr>
          <w:rFonts w:hint="eastAsia" w:ascii="仿宋" w:hAnsi="仿宋" w:eastAsia="仿宋"/>
          <w:sz w:val="28"/>
          <w:szCs w:val="28"/>
        </w:rPr>
        <w:t>完整和有效的，且估价对象可以在公开市场上自由转让。</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2、对房屋安全、环境污染等影响估价对象价值或价格的重大因素给予了关注，在无理由怀疑估价对象存在安全隐患，且无相应的专业机构进行鉴定、检测的情况下，假定其是安全的、无污染的。</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3、市场供应关系、市场结构保持稳定，未发生重大变化或实质性改变。</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4、本报告中估价对象价值评估结果为该估价对象的公开市场价值，它依据了如下假设：（1）存在自愿的卖者和买者；（2）买卖双方的交易行为都是谨慎的、理性的；（3）在价值时点前，相对于物业的特性和房地产市场状态而言，为使交易完成及达至合理价格，有一个合理的谈判周期；（4）在此周期内，房地产市场状态是保持稳定的；（5）该房地产可以在公开市场上自由转让；（6）不考虑买卖双方因特殊的因素或偏好对房地产价格的影响。</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5、不考虑估价对象可能存在的欠缴物业费</w:t>
      </w:r>
      <w:r>
        <w:rPr>
          <w:rFonts w:hint="eastAsia" w:ascii="宋体" w:hAnsi="宋体" w:cs="宋体"/>
          <w:sz w:val="28"/>
          <w:szCs w:val="28"/>
        </w:rPr>
        <w:t>、</w:t>
      </w:r>
      <w:r>
        <w:rPr>
          <w:rFonts w:hint="eastAsia" w:ascii="仿宋" w:hAnsi="仿宋" w:eastAsia="仿宋"/>
          <w:sz w:val="28"/>
          <w:szCs w:val="28"/>
        </w:rPr>
        <w:t>税金及相关费用对估价结果的影响。</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6、</w:t>
      </w:r>
      <w:bookmarkStart w:id="4" w:name="_Hlk5191777"/>
      <w:r>
        <w:rPr>
          <w:rFonts w:hint="eastAsia" w:ascii="仿宋" w:hAnsi="仿宋" w:eastAsia="仿宋"/>
          <w:sz w:val="28"/>
          <w:szCs w:val="28"/>
        </w:rPr>
        <w:t>不考虑评估费、拍卖费、诉讼费、律师费等财产处置费用对估价结果的影响</w:t>
      </w:r>
      <w:bookmarkEnd w:id="4"/>
      <w:r>
        <w:rPr>
          <w:rFonts w:hint="eastAsia" w:ascii="仿宋" w:hAnsi="仿宋" w:eastAsia="仿宋"/>
          <w:sz w:val="28"/>
          <w:szCs w:val="28"/>
        </w:rPr>
        <w:t>。</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（二）、未定事项假设：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本次估价无未定事项假设。</w:t>
      </w:r>
    </w:p>
    <w:p>
      <w:pPr>
        <w:tabs>
          <w:tab w:val="left" w:pos="-2205"/>
        </w:tabs>
        <w:spacing w:line="560" w:lineRule="exact"/>
        <w:ind w:right="17" w:firstLine="840" w:firstLineChars="300"/>
        <w:rPr>
          <w:rFonts w:ascii="仿宋" w:hAnsi="仿宋" w:eastAsia="仿宋"/>
          <w:sz w:val="28"/>
          <w:szCs w:val="28"/>
        </w:rPr>
      </w:pPr>
      <w:r>
        <w:rPr>
          <w:rFonts w:hint="eastAsia" w:ascii="仿宋" w:hAnsi="仿宋" w:eastAsia="仿宋"/>
          <w:sz w:val="28"/>
          <w:szCs w:val="28"/>
        </w:rPr>
        <w:t>（三）、背离事实假设：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不考虑估价对象被抵押</w:t>
      </w:r>
      <w:r>
        <w:rPr>
          <w:rFonts w:hint="eastAsia" w:ascii="宋体" w:hAnsi="宋体" w:cs="宋体"/>
          <w:sz w:val="28"/>
          <w:szCs w:val="28"/>
        </w:rPr>
        <w:t>、</w:t>
      </w:r>
      <w:r>
        <w:rPr>
          <w:rFonts w:hint="eastAsia" w:ascii="仿宋" w:hAnsi="仿宋" w:eastAsia="仿宋"/>
          <w:sz w:val="28"/>
          <w:szCs w:val="28"/>
        </w:rPr>
        <w:t>查封以及原有的担保物权和其它优先受偿权的影响。</w:t>
      </w:r>
    </w:p>
    <w:p>
      <w:pPr>
        <w:tabs>
          <w:tab w:val="left" w:pos="-2205"/>
        </w:tabs>
        <w:spacing w:line="560" w:lineRule="exact"/>
        <w:ind w:right="17" w:firstLine="980" w:firstLineChars="350"/>
        <w:rPr>
          <w:rFonts w:ascii="仿宋" w:hAnsi="仿宋" w:eastAsia="仿宋"/>
          <w:sz w:val="28"/>
          <w:szCs w:val="28"/>
        </w:rPr>
      </w:pPr>
      <w:r>
        <w:rPr>
          <w:rFonts w:hint="eastAsia" w:ascii="仿宋" w:hAnsi="仿宋" w:eastAsia="仿宋"/>
          <w:sz w:val="28"/>
          <w:szCs w:val="28"/>
        </w:rPr>
        <w:t>(四)、不相一致假设：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本次估价无不相一致假设。</w:t>
      </w:r>
    </w:p>
    <w:p>
      <w:pPr>
        <w:tabs>
          <w:tab w:val="left" w:pos="-2205"/>
        </w:tabs>
        <w:spacing w:line="560" w:lineRule="exact"/>
        <w:ind w:right="17" w:firstLine="980" w:firstLineChars="350"/>
        <w:rPr>
          <w:rFonts w:ascii="仿宋" w:hAnsi="仿宋" w:eastAsia="仿宋"/>
          <w:sz w:val="28"/>
          <w:szCs w:val="28"/>
        </w:rPr>
      </w:pPr>
      <w:r>
        <w:rPr>
          <w:rFonts w:hint="eastAsia" w:ascii="仿宋" w:hAnsi="仿宋" w:eastAsia="仿宋"/>
          <w:sz w:val="28"/>
          <w:szCs w:val="28"/>
        </w:rPr>
        <w:t>(五)、依据不足假设：</w:t>
      </w:r>
    </w:p>
    <w:p>
      <w:pPr>
        <w:tabs>
          <w:tab w:val="left" w:pos="-2205"/>
        </w:tabs>
        <w:spacing w:line="560" w:lineRule="exact"/>
        <w:ind w:right="17" w:firstLine="700" w:firstLineChars="250"/>
        <w:rPr>
          <w:rFonts w:ascii="仿宋" w:hAnsi="仿宋" w:eastAsia="仿宋" w:cs="Arial"/>
          <w:sz w:val="28"/>
        </w:rPr>
      </w:pPr>
      <w:r>
        <w:rPr>
          <w:rFonts w:hint="eastAsia" w:ascii="仿宋" w:hAnsi="仿宋" w:eastAsia="仿宋"/>
          <w:sz w:val="28"/>
          <w:szCs w:val="28"/>
        </w:rPr>
        <w:t>本次估价无依据不足假设。</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二、估价限制条件</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1、</w:t>
      </w:r>
      <w:r>
        <w:rPr>
          <w:rFonts w:hint="eastAsia" w:ascii="仿宋" w:hAnsi="仿宋" w:eastAsia="仿宋" w:cs="Arial"/>
          <w:sz w:val="28"/>
        </w:rPr>
        <w:t>本报告的使用者为估价委托人</w:t>
      </w:r>
      <w:r>
        <w:rPr>
          <w:rFonts w:hint="eastAsia" w:ascii="仿宋" w:hAnsi="仿宋" w:eastAsia="仿宋"/>
          <w:sz w:val="28"/>
          <w:szCs w:val="28"/>
        </w:rPr>
        <w:t>。</w:t>
      </w:r>
    </w:p>
    <w:p>
      <w:pPr>
        <w:tabs>
          <w:tab w:val="left" w:pos="-2205"/>
        </w:tabs>
        <w:spacing w:line="560" w:lineRule="exact"/>
        <w:ind w:right="17" w:firstLine="700" w:firstLineChars="250"/>
        <w:rPr>
          <w:rFonts w:ascii="宋体" w:hAnsi="宋体" w:cs="宋体"/>
          <w:kern w:val="0"/>
          <w:sz w:val="24"/>
        </w:rPr>
      </w:pPr>
      <w:r>
        <w:rPr>
          <w:rFonts w:hint="eastAsia" w:ascii="仿宋" w:hAnsi="仿宋" w:eastAsia="仿宋"/>
          <w:sz w:val="28"/>
          <w:szCs w:val="28"/>
        </w:rPr>
        <w:t>2、本估价报告仅用于为估价委托人确定财产处置参考价提供参考依据，不得用于其他用途。</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3、本报告必须经估价机构加盖公章、注册房地产估价师签字后方可使用，估价机构仅对本报告的原件承担责任，对任何形式的复制件概不认可且不承担责任。</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4、本报告应用有效期为自出具评估报告之日起一年。</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5、未经本评估单位同意，评估报告的全部或任何一部分内容不得使用于其它与本次项目无关的任何公开文件，通告或报告中，也不得以任何形式公开发表。</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6、本报告由宁波衡信房地产评估有限公司负责解释。</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三、其它事项说明</w:t>
      </w:r>
    </w:p>
    <w:p>
      <w:pPr>
        <w:tabs>
          <w:tab w:val="left" w:pos="-2205"/>
        </w:tabs>
        <w:spacing w:line="560" w:lineRule="exact"/>
        <w:ind w:right="17" w:firstLine="700" w:firstLineChars="250"/>
        <w:rPr>
          <w:rFonts w:ascii="仿宋" w:hAnsi="仿宋" w:eastAsia="仿宋"/>
          <w:sz w:val="28"/>
          <w:szCs w:val="28"/>
        </w:rPr>
      </w:pPr>
      <w:bookmarkStart w:id="5" w:name="_Toc27876"/>
      <w:r>
        <w:rPr>
          <w:rFonts w:hint="eastAsia" w:ascii="仿宋" w:hAnsi="仿宋" w:eastAsia="仿宋"/>
          <w:sz w:val="28"/>
          <w:szCs w:val="28"/>
        </w:rPr>
        <w:t>1、应当按照法律规定和评估报告载明的用途、使用人、使用期限等使用范围使用评估报告。否则，房地产估价机构和注册房地产估价师依法不承担责任；</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2、评估结果仅为人民法院确定财产处置参考价服务，不是评估对象处置可实现的成交价格，也不应当被视为对评估对象处置成交价格的保证；</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3、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4、在评估报告使用期限或者评估结果有效期内，评估报告或者评估结果未使用之前，如果评估对象状况或者房地产市场状况发生明显变化的，评估结果应当进行相应调整后才可使用；</w:t>
      </w:r>
    </w:p>
    <w:p>
      <w:pPr>
        <w:tabs>
          <w:tab w:val="left" w:pos="-2205"/>
        </w:tabs>
        <w:spacing w:line="560" w:lineRule="exact"/>
        <w:ind w:right="17" w:firstLine="700" w:firstLineChars="250"/>
        <w:rPr>
          <w:rFonts w:ascii="仿宋" w:hAnsi="仿宋" w:eastAsia="仿宋"/>
          <w:sz w:val="28"/>
          <w:szCs w:val="28"/>
        </w:rPr>
      </w:pPr>
      <w:r>
        <w:rPr>
          <w:rFonts w:hint="eastAsia" w:ascii="仿宋" w:hAnsi="仿宋" w:eastAsia="仿宋"/>
          <w:sz w:val="28"/>
          <w:szCs w:val="28"/>
        </w:rPr>
        <w:t>5、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bookmarkStart w:id="6" w:name="_Toc843"/>
    </w:p>
    <w:p>
      <w:pPr>
        <w:tabs>
          <w:tab w:val="left" w:pos="-2205"/>
        </w:tabs>
        <w:spacing w:line="560" w:lineRule="exact"/>
        <w:ind w:right="17" w:firstLine="700" w:firstLineChars="250"/>
        <w:rPr>
          <w:rFonts w:ascii="仿宋" w:hAnsi="仿宋" w:eastAsia="仿宋"/>
          <w:sz w:val="28"/>
          <w:szCs w:val="28"/>
        </w:rPr>
      </w:pPr>
    </w:p>
    <w:p>
      <w:pPr>
        <w:pStyle w:val="2"/>
        <w:spacing w:line="560" w:lineRule="exact"/>
        <w:rPr>
          <w:rFonts w:ascii="仿宋" w:hAnsi="仿宋" w:eastAsia="仿宋"/>
        </w:rPr>
      </w:pPr>
      <w:r>
        <w:rPr>
          <w:rFonts w:hint="eastAsia" w:ascii="仿宋" w:hAnsi="仿宋" w:eastAsia="仿宋"/>
        </w:rPr>
        <w:t>估价结果报告</w:t>
      </w:r>
      <w:bookmarkEnd w:id="5"/>
      <w:bookmarkEnd w:id="6"/>
    </w:p>
    <w:p>
      <w:pPr>
        <w:pStyle w:val="3"/>
        <w:spacing w:line="560" w:lineRule="exact"/>
        <w:rPr>
          <w:rFonts w:ascii="仿宋" w:hAnsi="仿宋" w:eastAsia="仿宋"/>
        </w:rPr>
      </w:pPr>
      <w:bookmarkStart w:id="7" w:name="_Toc4403"/>
      <w:bookmarkStart w:id="8" w:name="_Toc29716"/>
      <w:r>
        <w:rPr>
          <w:rFonts w:hint="eastAsia" w:ascii="仿宋" w:hAnsi="仿宋" w:eastAsia="仿宋"/>
        </w:rPr>
        <w:t>一、估价委托人</w:t>
      </w:r>
      <w:bookmarkEnd w:id="7"/>
      <w:bookmarkEnd w:id="8"/>
    </w:p>
    <w:p>
      <w:pPr>
        <w:spacing w:line="560" w:lineRule="exact"/>
        <w:ind w:firstLine="570"/>
        <w:rPr>
          <w:rFonts w:ascii="仿宋" w:hAnsi="仿宋" w:eastAsia="仿宋"/>
          <w:sz w:val="28"/>
          <w:szCs w:val="28"/>
        </w:rPr>
      </w:pPr>
      <w:r>
        <w:rPr>
          <w:rFonts w:hint="eastAsia" w:ascii="仿宋" w:hAnsi="仿宋" w:eastAsia="仿宋"/>
          <w:sz w:val="28"/>
          <w:szCs w:val="28"/>
        </w:rPr>
        <w:t>估价委托人：宁波市江北区人民法院</w:t>
      </w:r>
    </w:p>
    <w:p>
      <w:pPr>
        <w:spacing w:line="560" w:lineRule="exact"/>
        <w:ind w:firstLine="570"/>
        <w:rPr>
          <w:rFonts w:hint="default" w:ascii="仿宋" w:hAnsi="仿宋" w:eastAsia="仿宋"/>
          <w:sz w:val="28"/>
          <w:szCs w:val="28"/>
          <w:lang w:val="en-US" w:eastAsia="zh-CN"/>
        </w:rPr>
      </w:pPr>
      <w:r>
        <w:rPr>
          <w:rFonts w:hint="eastAsia" w:ascii="仿宋" w:hAnsi="仿宋" w:eastAsia="仿宋"/>
          <w:sz w:val="28"/>
          <w:szCs w:val="28"/>
        </w:rPr>
        <w:t>地址：宁波市</w:t>
      </w:r>
      <w:r>
        <w:rPr>
          <w:rFonts w:hint="eastAsia" w:ascii="仿宋" w:hAnsi="仿宋" w:eastAsia="仿宋"/>
          <w:sz w:val="28"/>
          <w:szCs w:val="28"/>
          <w:lang w:eastAsia="zh-CN"/>
        </w:rPr>
        <w:t>江北区清河路</w:t>
      </w:r>
      <w:r>
        <w:rPr>
          <w:rFonts w:hint="eastAsia" w:ascii="仿宋" w:hAnsi="仿宋" w:eastAsia="仿宋"/>
          <w:sz w:val="28"/>
          <w:szCs w:val="28"/>
          <w:lang w:val="en-US" w:eastAsia="zh-CN"/>
        </w:rPr>
        <w:t>28号</w:t>
      </w:r>
    </w:p>
    <w:p>
      <w:pPr>
        <w:pStyle w:val="3"/>
        <w:spacing w:line="560" w:lineRule="exact"/>
        <w:rPr>
          <w:rFonts w:ascii="仿宋" w:hAnsi="仿宋" w:eastAsia="仿宋"/>
        </w:rPr>
      </w:pPr>
      <w:bookmarkStart w:id="9" w:name="_Toc8668"/>
      <w:bookmarkStart w:id="10" w:name="_Toc21760"/>
      <w:r>
        <w:rPr>
          <w:rFonts w:hint="eastAsia" w:ascii="仿宋" w:hAnsi="仿宋" w:eastAsia="仿宋"/>
        </w:rPr>
        <w:t>二、房地产估价机构</w:t>
      </w:r>
      <w:bookmarkEnd w:id="9"/>
      <w:bookmarkEnd w:id="10"/>
    </w:p>
    <w:p>
      <w:pPr>
        <w:spacing w:line="560" w:lineRule="exact"/>
        <w:ind w:firstLine="570"/>
        <w:rPr>
          <w:rFonts w:ascii="仿宋" w:hAnsi="仿宋" w:eastAsia="仿宋"/>
          <w:strike/>
          <w:sz w:val="28"/>
          <w:szCs w:val="28"/>
        </w:rPr>
      </w:pPr>
      <w:r>
        <w:rPr>
          <w:rFonts w:hint="eastAsia" w:ascii="仿宋" w:hAnsi="仿宋" w:eastAsia="仿宋"/>
          <w:sz w:val="28"/>
          <w:szCs w:val="28"/>
        </w:rPr>
        <w:t>估价机构：宁波衡信房地产评估有限公司</w:t>
      </w:r>
    </w:p>
    <w:p>
      <w:pPr>
        <w:spacing w:line="56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rPr>
        <w:t xml:space="preserve">法人代表： </w:t>
      </w:r>
      <w:r>
        <w:rPr>
          <w:rFonts w:hint="eastAsia" w:ascii="仿宋" w:hAnsi="仿宋" w:eastAsia="仿宋"/>
          <w:sz w:val="28"/>
          <w:szCs w:val="28"/>
          <w:lang w:val="en-US" w:eastAsia="zh-CN"/>
        </w:rPr>
        <w:t>***</w:t>
      </w:r>
    </w:p>
    <w:p>
      <w:pPr>
        <w:spacing w:line="560" w:lineRule="exact"/>
        <w:ind w:firstLine="570"/>
        <w:rPr>
          <w:rFonts w:ascii="仿宋" w:hAnsi="仿宋" w:eastAsia="仿宋"/>
          <w:sz w:val="28"/>
          <w:szCs w:val="28"/>
        </w:rPr>
      </w:pPr>
      <w:r>
        <w:rPr>
          <w:rFonts w:hint="eastAsia" w:ascii="仿宋" w:hAnsi="仿宋" w:eastAsia="仿宋"/>
          <w:sz w:val="28"/>
          <w:szCs w:val="28"/>
        </w:rPr>
        <w:t>地址：宁波市鄞州区百盛商务楼南楼421-422；</w:t>
      </w:r>
    </w:p>
    <w:p>
      <w:pPr>
        <w:spacing w:line="560" w:lineRule="exact"/>
        <w:ind w:firstLine="570"/>
        <w:rPr>
          <w:rFonts w:ascii="仿宋" w:hAnsi="仿宋" w:eastAsia="仿宋"/>
          <w:color w:val="FF0000"/>
          <w:sz w:val="28"/>
          <w:szCs w:val="28"/>
        </w:rPr>
      </w:pPr>
      <w:r>
        <w:rPr>
          <w:rFonts w:hint="eastAsia" w:ascii="仿宋" w:hAnsi="仿宋" w:eastAsia="仿宋"/>
          <w:sz w:val="28"/>
          <w:szCs w:val="28"/>
        </w:rPr>
        <w:t>资质证书号：</w:t>
      </w:r>
      <w:r>
        <w:rPr>
          <w:rFonts w:hint="eastAsia" w:ascii="仿宋" w:hAnsi="仿宋" w:eastAsia="仿宋"/>
          <w:color w:val="000000"/>
          <w:sz w:val="28"/>
          <w:szCs w:val="28"/>
        </w:rPr>
        <w:t>浙建房估证字[2013]005号</w:t>
      </w:r>
    </w:p>
    <w:p>
      <w:pPr>
        <w:spacing w:line="560" w:lineRule="exact"/>
        <w:ind w:firstLine="570"/>
        <w:rPr>
          <w:rFonts w:ascii="仿宋" w:hAnsi="仿宋" w:eastAsia="仿宋"/>
          <w:strike/>
          <w:sz w:val="28"/>
          <w:szCs w:val="28"/>
        </w:rPr>
      </w:pPr>
      <w:r>
        <w:rPr>
          <w:rFonts w:hint="eastAsia" w:ascii="仿宋" w:hAnsi="仿宋" w:eastAsia="仿宋"/>
          <w:sz w:val="28"/>
          <w:szCs w:val="28"/>
        </w:rPr>
        <w:t>资质等级：壹级</w:t>
      </w:r>
    </w:p>
    <w:p>
      <w:pPr>
        <w:pStyle w:val="3"/>
        <w:spacing w:line="560" w:lineRule="exact"/>
        <w:rPr>
          <w:rFonts w:ascii="仿宋" w:hAnsi="仿宋" w:eastAsia="仿宋"/>
        </w:rPr>
      </w:pPr>
      <w:bookmarkStart w:id="11" w:name="_Toc32767"/>
      <w:bookmarkStart w:id="12" w:name="_Toc15217"/>
      <w:r>
        <w:rPr>
          <w:rFonts w:hint="eastAsia" w:ascii="仿宋" w:hAnsi="仿宋" w:eastAsia="仿宋"/>
        </w:rPr>
        <w:t>三、估价目的</w:t>
      </w:r>
      <w:bookmarkEnd w:id="11"/>
      <w:bookmarkEnd w:id="12"/>
    </w:p>
    <w:p>
      <w:pPr>
        <w:spacing w:line="480" w:lineRule="exact"/>
        <w:ind w:firstLine="560" w:firstLineChars="200"/>
        <w:rPr>
          <w:rFonts w:ascii="仿宋_GB2312" w:eastAsia="仿宋_GB2312"/>
          <w:sz w:val="28"/>
        </w:rPr>
      </w:pPr>
      <w:r>
        <w:rPr>
          <w:rFonts w:hint="eastAsia" w:ascii="仿宋" w:hAnsi="仿宋" w:eastAsia="仿宋"/>
          <w:sz w:val="28"/>
          <w:szCs w:val="28"/>
        </w:rPr>
        <w:t>为人民法院确定财产处置参考价提供参考依据。</w:t>
      </w:r>
    </w:p>
    <w:p>
      <w:pPr>
        <w:pStyle w:val="3"/>
        <w:spacing w:line="560" w:lineRule="exact"/>
        <w:rPr>
          <w:rFonts w:ascii="仿宋" w:hAnsi="仿宋" w:eastAsia="仿宋"/>
        </w:rPr>
      </w:pPr>
      <w:bookmarkStart w:id="13" w:name="_Toc7934"/>
      <w:bookmarkStart w:id="14" w:name="_Toc32540"/>
      <w:r>
        <w:rPr>
          <w:rFonts w:hint="eastAsia" w:ascii="仿宋" w:hAnsi="仿宋" w:eastAsia="仿宋"/>
        </w:rPr>
        <w:t>四、估价对象</w:t>
      </w:r>
      <w:bookmarkEnd w:id="13"/>
      <w:bookmarkEnd w:id="14"/>
    </w:p>
    <w:p>
      <w:pPr>
        <w:spacing w:line="500" w:lineRule="exact"/>
        <w:ind w:firstLine="537" w:firstLineChars="192"/>
        <w:rPr>
          <w:rFonts w:eastAsia="仿宋_GB2312"/>
          <w:sz w:val="28"/>
        </w:rPr>
      </w:pPr>
      <w:r>
        <w:rPr>
          <w:rFonts w:eastAsia="仿宋_GB2312"/>
          <w:sz w:val="28"/>
        </w:rPr>
        <w:t>（一）估价对象财产范围</w:t>
      </w:r>
    </w:p>
    <w:p>
      <w:pPr>
        <w:spacing w:line="480" w:lineRule="exact"/>
        <w:ind w:firstLine="560" w:firstLineChars="200"/>
        <w:rPr>
          <w:rFonts w:eastAsia="仿宋"/>
          <w:sz w:val="28"/>
        </w:rPr>
      </w:pPr>
      <w:r>
        <w:rPr>
          <w:rFonts w:hint="eastAsia" w:ascii="仿宋" w:hAnsi="仿宋" w:eastAsia="仿宋"/>
          <w:sz w:val="28"/>
          <w:szCs w:val="28"/>
        </w:rPr>
        <w:t>包括土地使用权、建筑物、固定装修、附属用房及车位等配套设施，不包括动产、债权债务等其他财产或权益。</w:t>
      </w:r>
    </w:p>
    <w:p>
      <w:pPr>
        <w:spacing w:line="480" w:lineRule="exact"/>
        <w:ind w:firstLine="560" w:firstLineChars="200"/>
        <w:rPr>
          <w:rFonts w:eastAsia="仿宋_GB2312"/>
          <w:sz w:val="28"/>
        </w:rPr>
      </w:pPr>
      <w:r>
        <w:rPr>
          <w:rFonts w:eastAsia="仿宋_GB2312"/>
          <w:sz w:val="28"/>
        </w:rPr>
        <w:t>（二）估价对象基本状况</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1、名称：</w:t>
      </w:r>
      <w:bookmarkStart w:id="15" w:name="_Toc22347"/>
      <w:r>
        <w:rPr>
          <w:rFonts w:hint="eastAsia" w:ascii="仿宋" w:hAnsi="仿宋" w:eastAsia="仿宋"/>
          <w:sz w:val="28"/>
          <w:szCs w:val="28"/>
          <w:lang w:val="en-US" w:eastAsia="zh-CN"/>
        </w:rPr>
        <w:t>***</w:t>
      </w:r>
      <w:r>
        <w:rPr>
          <w:rFonts w:hint="eastAsia" w:ascii="仿宋" w:hAnsi="仿宋" w:eastAsia="仿宋"/>
          <w:sz w:val="28"/>
          <w:szCs w:val="28"/>
        </w:rPr>
        <w:t>、</w:t>
      </w:r>
      <w:r>
        <w:rPr>
          <w:rFonts w:hint="eastAsia" w:ascii="仿宋" w:hAnsi="仿宋" w:eastAsia="仿宋"/>
          <w:sz w:val="28"/>
          <w:szCs w:val="28"/>
          <w:lang w:val="en-US" w:eastAsia="zh-CN"/>
        </w:rPr>
        <w:t>***</w:t>
      </w:r>
      <w:r>
        <w:rPr>
          <w:rFonts w:hint="eastAsia" w:ascii="仿宋" w:hAnsi="仿宋" w:eastAsia="仿宋"/>
          <w:sz w:val="28"/>
          <w:szCs w:val="28"/>
        </w:rPr>
        <w:t>按份共有的位于宁波市象山县丹西街道西谷苑5幢4单元402室住宅房地产。</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2、坐落：宁波市象山县丹西街道西谷苑5幢4单元402室。</w:t>
      </w:r>
    </w:p>
    <w:p>
      <w:pPr>
        <w:spacing w:line="560" w:lineRule="exact"/>
        <w:ind w:firstLine="560" w:firstLineChars="200"/>
        <w:rPr>
          <w:rFonts w:ascii="仿宋" w:hAnsi="仿宋" w:eastAsia="仿宋_GB2312"/>
          <w:sz w:val="28"/>
          <w:szCs w:val="28"/>
        </w:rPr>
      </w:pPr>
      <w:r>
        <w:rPr>
          <w:rFonts w:hint="eastAsia" w:ascii="仿宋" w:hAnsi="仿宋" w:eastAsia="仿宋"/>
          <w:sz w:val="28"/>
          <w:szCs w:val="28"/>
        </w:rPr>
        <w:t>3、规模：房屋建筑面积110.96平方米，土地使用权面积24.03平方米，另有附属用房17号7.10平方米，车位32号13.85平方米。</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4、用途：法定用途和实际用途均为住宅。</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5、权属状况</w:t>
      </w:r>
    </w:p>
    <w:p>
      <w:pPr>
        <w:spacing w:line="560" w:lineRule="exact"/>
        <w:ind w:firstLine="3092" w:firstLineChars="1100"/>
        <w:rPr>
          <w:rFonts w:ascii="仿宋" w:hAnsi="仿宋" w:eastAsia="仿宋"/>
          <w:sz w:val="28"/>
          <w:szCs w:val="28"/>
        </w:rPr>
      </w:pPr>
      <w:r>
        <w:rPr>
          <w:rFonts w:hint="eastAsia" w:ascii="仿宋_GB2312" w:eastAsia="仿宋_GB2312"/>
          <w:b/>
          <w:sz w:val="28"/>
          <w:szCs w:val="28"/>
        </w:rPr>
        <w:t>房屋所有权证登记状况表</w:t>
      </w:r>
    </w:p>
    <w:tbl>
      <w:tblPr>
        <w:tblStyle w:val="23"/>
        <w:tblpPr w:leftFromText="180" w:rightFromText="180" w:vertAnchor="text" w:horzAnchor="page" w:tblpX="2355" w:tblpY="202"/>
        <w:tblOverlap w:val="never"/>
        <w:tblW w:w="83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2055"/>
        <w:gridCol w:w="1562"/>
        <w:gridCol w:w="1562"/>
        <w:gridCol w:w="1920"/>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055" w:type="dxa"/>
            <w:noWrap/>
            <w:vAlign w:val="center"/>
          </w:tcPr>
          <w:p>
            <w:pPr>
              <w:widowControl/>
              <w:jc w:val="center"/>
              <w:rPr>
                <w:rFonts w:ascii="仿宋" w:hAnsi="仿宋" w:eastAsia="仿宋"/>
                <w:color w:val="000000"/>
                <w:szCs w:val="21"/>
              </w:rPr>
            </w:pPr>
            <w:r>
              <w:rPr>
                <w:rFonts w:hint="eastAsia" w:ascii="仿宋" w:hAnsi="仿宋" w:eastAsia="仿宋"/>
                <w:color w:val="000000"/>
                <w:szCs w:val="21"/>
              </w:rPr>
              <w:t>权证书编号</w:t>
            </w:r>
          </w:p>
        </w:tc>
        <w:tc>
          <w:tcPr>
            <w:tcW w:w="6248" w:type="dxa"/>
            <w:gridSpan w:val="4"/>
            <w:noWrap/>
            <w:vAlign w:val="center"/>
          </w:tcPr>
          <w:p>
            <w:pPr>
              <w:widowControl/>
              <w:jc w:val="center"/>
              <w:rPr>
                <w:rFonts w:ascii="仿宋" w:hAnsi="仿宋" w:eastAsia="仿宋"/>
                <w:color w:val="000000"/>
                <w:szCs w:val="21"/>
              </w:rPr>
            </w:pPr>
            <w:r>
              <w:rPr>
                <w:rFonts w:hint="eastAsia" w:ascii="仿宋" w:hAnsi="仿宋" w:eastAsia="仿宋"/>
                <w:color w:val="000000"/>
                <w:szCs w:val="21"/>
              </w:rPr>
              <w:t>象房权证丹西街道字第2012-0102920号、2012-0102921号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055" w:type="dxa"/>
            <w:noWrap/>
            <w:vAlign w:val="center"/>
          </w:tcPr>
          <w:p>
            <w:pPr>
              <w:widowControl/>
              <w:jc w:val="center"/>
              <w:rPr>
                <w:rFonts w:ascii="仿宋" w:hAnsi="仿宋" w:eastAsia="仿宋"/>
                <w:color w:val="000000"/>
                <w:szCs w:val="21"/>
              </w:rPr>
            </w:pPr>
            <w:r>
              <w:rPr>
                <w:rFonts w:hint="eastAsia" w:ascii="仿宋" w:hAnsi="仿宋" w:eastAsia="仿宋"/>
                <w:color w:val="000000"/>
                <w:szCs w:val="21"/>
              </w:rPr>
              <w:t>权利人</w:t>
            </w:r>
          </w:p>
        </w:tc>
        <w:tc>
          <w:tcPr>
            <w:tcW w:w="6248" w:type="dxa"/>
            <w:gridSpan w:val="4"/>
            <w:noWrap/>
            <w:vAlign w:val="center"/>
          </w:tcPr>
          <w:p>
            <w:pPr>
              <w:widowControl/>
              <w:jc w:val="center"/>
              <w:rPr>
                <w:rFonts w:hint="default" w:ascii="仿宋" w:hAnsi="仿宋" w:eastAsia="仿宋"/>
                <w:color w:val="000000"/>
                <w:szCs w:val="21"/>
                <w:lang w:val="en-US" w:eastAsia="zh-CN"/>
              </w:rPr>
            </w:pPr>
            <w:r>
              <w:rPr>
                <w:rFonts w:hint="eastAsia" w:ascii="仿宋" w:hAnsi="仿宋" w:eastAsia="仿宋" w:cs="宋体"/>
                <w:kern w:val="0"/>
                <w:sz w:val="20"/>
                <w:szCs w:val="20"/>
                <w:lang w:val="en-US" w:eastAsia="zh-CN"/>
              </w:rPr>
              <w:t>***</w:t>
            </w:r>
            <w:r>
              <w:rPr>
                <w:rFonts w:hint="eastAsia" w:ascii="仿宋" w:hAnsi="仿宋" w:eastAsia="仿宋" w:cs="宋体"/>
                <w:kern w:val="0"/>
                <w:sz w:val="20"/>
                <w:szCs w:val="20"/>
              </w:rPr>
              <w:t>、</w:t>
            </w:r>
            <w:r>
              <w:rPr>
                <w:rFonts w:hint="eastAsia" w:ascii="仿宋" w:hAnsi="仿宋" w:eastAsia="仿宋" w:cs="宋体"/>
                <w:kern w:val="0"/>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055" w:type="dxa"/>
            <w:noWrap/>
            <w:vAlign w:val="center"/>
          </w:tcPr>
          <w:p>
            <w:pPr>
              <w:widowControl/>
              <w:jc w:val="center"/>
              <w:rPr>
                <w:rFonts w:ascii="仿宋" w:hAnsi="仿宋" w:eastAsia="仿宋"/>
                <w:color w:val="000000"/>
                <w:szCs w:val="21"/>
              </w:rPr>
            </w:pPr>
            <w:r>
              <w:rPr>
                <w:rFonts w:hint="eastAsia" w:ascii="仿宋" w:hAnsi="仿宋" w:eastAsia="仿宋"/>
                <w:color w:val="000000"/>
                <w:szCs w:val="21"/>
              </w:rPr>
              <w:t>共有情况</w:t>
            </w:r>
          </w:p>
        </w:tc>
        <w:tc>
          <w:tcPr>
            <w:tcW w:w="6248" w:type="dxa"/>
            <w:gridSpan w:val="4"/>
            <w:noWrap/>
            <w:vAlign w:val="center"/>
          </w:tcPr>
          <w:p>
            <w:pPr>
              <w:widowControl/>
              <w:jc w:val="center"/>
              <w:rPr>
                <w:rFonts w:ascii="仿宋" w:hAnsi="仿宋" w:eastAsia="仿宋"/>
                <w:color w:val="000000"/>
                <w:szCs w:val="21"/>
              </w:rPr>
            </w:pPr>
            <w:r>
              <w:rPr>
                <w:rFonts w:hint="eastAsia" w:ascii="仿宋" w:hAnsi="仿宋" w:eastAsia="仿宋"/>
                <w:color w:val="000000"/>
                <w:szCs w:val="21"/>
              </w:rPr>
              <w:t>按份共有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055" w:type="dxa"/>
            <w:noWrap/>
            <w:vAlign w:val="center"/>
          </w:tcPr>
          <w:p>
            <w:pPr>
              <w:widowControl/>
              <w:jc w:val="center"/>
              <w:rPr>
                <w:rFonts w:ascii="仿宋" w:hAnsi="仿宋" w:eastAsia="仿宋"/>
                <w:color w:val="000000"/>
                <w:szCs w:val="21"/>
              </w:rPr>
            </w:pPr>
            <w:r>
              <w:rPr>
                <w:rFonts w:hint="eastAsia" w:ascii="仿宋" w:hAnsi="仿宋" w:eastAsia="仿宋"/>
                <w:color w:val="000000"/>
                <w:szCs w:val="21"/>
              </w:rPr>
              <w:t>坐落</w:t>
            </w:r>
          </w:p>
        </w:tc>
        <w:tc>
          <w:tcPr>
            <w:tcW w:w="6248" w:type="dxa"/>
            <w:gridSpan w:val="4"/>
            <w:noWrap/>
            <w:vAlign w:val="center"/>
          </w:tcPr>
          <w:p>
            <w:pPr>
              <w:widowControl/>
              <w:jc w:val="center"/>
              <w:rPr>
                <w:rFonts w:ascii="仿宋" w:hAnsi="仿宋" w:eastAsia="仿宋"/>
                <w:color w:val="000000"/>
                <w:szCs w:val="21"/>
              </w:rPr>
            </w:pPr>
            <w:r>
              <w:rPr>
                <w:rFonts w:hint="eastAsia" w:ascii="仿宋" w:hAnsi="仿宋" w:eastAsia="仿宋"/>
                <w:color w:val="000000"/>
                <w:szCs w:val="21"/>
              </w:rPr>
              <w:t>丹西街道西谷苑5幢4单元402室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055" w:type="dxa"/>
            <w:noWrap/>
            <w:vAlign w:val="center"/>
          </w:tcPr>
          <w:p>
            <w:pPr>
              <w:widowControl/>
              <w:jc w:val="center"/>
              <w:rPr>
                <w:rFonts w:ascii="仿宋" w:hAnsi="仿宋" w:eastAsia="仿宋"/>
                <w:color w:val="000000"/>
                <w:szCs w:val="21"/>
              </w:rPr>
            </w:pPr>
            <w:r>
              <w:rPr>
                <w:rFonts w:hint="eastAsia" w:ascii="仿宋" w:hAnsi="仿宋" w:eastAsia="仿宋"/>
                <w:color w:val="000000"/>
                <w:szCs w:val="21"/>
              </w:rPr>
              <w:t>规划用途</w:t>
            </w:r>
          </w:p>
        </w:tc>
        <w:tc>
          <w:tcPr>
            <w:tcW w:w="6248" w:type="dxa"/>
            <w:gridSpan w:val="4"/>
            <w:noWrap/>
            <w:vAlign w:val="center"/>
          </w:tcPr>
          <w:p>
            <w:pPr>
              <w:widowControl/>
              <w:jc w:val="center"/>
              <w:rPr>
                <w:rFonts w:ascii="仿宋" w:hAnsi="仿宋" w:eastAsia="仿宋"/>
                <w:color w:val="000000"/>
                <w:szCs w:val="21"/>
              </w:rPr>
            </w:pPr>
            <w:r>
              <w:rPr>
                <w:rFonts w:hint="eastAsia" w:ascii="仿宋" w:hAnsi="仿宋" w:eastAsia="仿宋"/>
                <w:color w:val="000000"/>
                <w:szCs w:val="21"/>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055" w:type="dxa"/>
            <w:vMerge w:val="restart"/>
            <w:noWrap/>
            <w:vAlign w:val="center"/>
          </w:tcPr>
          <w:p>
            <w:pPr>
              <w:widowControl/>
              <w:jc w:val="center"/>
              <w:rPr>
                <w:rFonts w:ascii="仿宋" w:hAnsi="仿宋" w:eastAsia="仿宋"/>
                <w:color w:val="000000"/>
                <w:szCs w:val="21"/>
              </w:rPr>
            </w:pPr>
            <w:r>
              <w:rPr>
                <w:rFonts w:hint="eastAsia" w:ascii="仿宋" w:hAnsi="仿宋" w:eastAsia="仿宋"/>
                <w:color w:val="000000"/>
                <w:szCs w:val="21"/>
              </w:rPr>
              <w:t>房屋状况</w:t>
            </w:r>
          </w:p>
        </w:tc>
        <w:tc>
          <w:tcPr>
            <w:tcW w:w="1562" w:type="dxa"/>
            <w:noWrap/>
            <w:vAlign w:val="center"/>
          </w:tcPr>
          <w:p>
            <w:pPr>
              <w:widowControl/>
              <w:jc w:val="center"/>
              <w:rPr>
                <w:rFonts w:ascii="仿宋" w:hAnsi="仿宋" w:eastAsia="仿宋"/>
                <w:color w:val="000000"/>
                <w:szCs w:val="21"/>
              </w:rPr>
            </w:pPr>
            <w:r>
              <w:rPr>
                <w:rFonts w:hint="eastAsia" w:ascii="仿宋" w:hAnsi="仿宋" w:eastAsia="仿宋"/>
                <w:color w:val="000000"/>
                <w:szCs w:val="21"/>
              </w:rPr>
              <w:t>总层数</w:t>
            </w:r>
          </w:p>
        </w:tc>
        <w:tc>
          <w:tcPr>
            <w:tcW w:w="1562" w:type="dxa"/>
            <w:noWrap/>
            <w:vAlign w:val="center"/>
          </w:tcPr>
          <w:p>
            <w:pPr>
              <w:widowControl/>
              <w:jc w:val="center"/>
              <w:rPr>
                <w:rFonts w:ascii="仿宋" w:hAnsi="仿宋" w:eastAsia="仿宋"/>
                <w:color w:val="000000"/>
                <w:szCs w:val="21"/>
              </w:rPr>
            </w:pPr>
            <w:r>
              <w:rPr>
                <w:rFonts w:hint="eastAsia" w:ascii="仿宋" w:hAnsi="仿宋" w:eastAsia="仿宋"/>
                <w:color w:val="000000"/>
                <w:szCs w:val="21"/>
              </w:rPr>
              <w:t>建筑面积（㎡）</w:t>
            </w:r>
          </w:p>
        </w:tc>
        <w:tc>
          <w:tcPr>
            <w:tcW w:w="1920" w:type="dxa"/>
            <w:noWrap/>
            <w:vAlign w:val="center"/>
          </w:tcPr>
          <w:p>
            <w:pPr>
              <w:widowControl/>
              <w:jc w:val="center"/>
              <w:rPr>
                <w:rFonts w:ascii="仿宋" w:hAnsi="仿宋" w:eastAsia="仿宋"/>
                <w:color w:val="000000"/>
                <w:szCs w:val="21"/>
              </w:rPr>
            </w:pPr>
            <w:r>
              <w:rPr>
                <w:rFonts w:hint="eastAsia" w:ascii="仿宋" w:hAnsi="仿宋" w:eastAsia="仿宋"/>
                <w:color w:val="000000"/>
                <w:szCs w:val="21"/>
              </w:rPr>
              <w:t>套内建筑面积（㎡）</w:t>
            </w:r>
          </w:p>
        </w:tc>
        <w:tc>
          <w:tcPr>
            <w:tcW w:w="1204" w:type="dxa"/>
            <w:noWrap/>
            <w:vAlign w:val="center"/>
          </w:tcPr>
          <w:p>
            <w:pPr>
              <w:widowControl/>
              <w:jc w:val="center"/>
              <w:rPr>
                <w:rFonts w:ascii="仿宋" w:hAnsi="仿宋" w:eastAsia="仿宋"/>
                <w:color w:val="000000"/>
                <w:szCs w:val="21"/>
              </w:rPr>
            </w:pPr>
            <w:r>
              <w:rPr>
                <w:rFonts w:hint="eastAsia" w:ascii="仿宋" w:hAnsi="仿宋" w:eastAsia="仿宋"/>
                <w:color w:val="000000"/>
                <w:szCs w:val="21"/>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055" w:type="dxa"/>
            <w:vMerge w:val="continue"/>
            <w:noWrap/>
            <w:vAlign w:val="center"/>
          </w:tcPr>
          <w:p>
            <w:pPr>
              <w:widowControl/>
              <w:jc w:val="center"/>
              <w:rPr>
                <w:rFonts w:ascii="仿宋" w:hAnsi="仿宋" w:eastAsia="仿宋"/>
                <w:color w:val="000000"/>
                <w:szCs w:val="21"/>
              </w:rPr>
            </w:pPr>
          </w:p>
        </w:tc>
        <w:tc>
          <w:tcPr>
            <w:tcW w:w="1562" w:type="dxa"/>
            <w:noWrap/>
            <w:vAlign w:val="center"/>
          </w:tcPr>
          <w:p>
            <w:pPr>
              <w:widowControl/>
              <w:jc w:val="center"/>
              <w:rPr>
                <w:rFonts w:ascii="仿宋" w:hAnsi="仿宋" w:eastAsia="仿宋"/>
                <w:color w:val="000000"/>
                <w:szCs w:val="21"/>
              </w:rPr>
            </w:pPr>
            <w:r>
              <w:rPr>
                <w:rFonts w:hint="eastAsia" w:ascii="仿宋" w:hAnsi="仿宋" w:eastAsia="仿宋"/>
                <w:color w:val="000000"/>
                <w:szCs w:val="21"/>
              </w:rPr>
              <w:t>4</w:t>
            </w:r>
          </w:p>
        </w:tc>
        <w:tc>
          <w:tcPr>
            <w:tcW w:w="1562" w:type="dxa"/>
            <w:noWrap/>
            <w:vAlign w:val="center"/>
          </w:tcPr>
          <w:p>
            <w:pPr>
              <w:widowControl/>
              <w:jc w:val="center"/>
              <w:rPr>
                <w:rFonts w:ascii="仿宋" w:hAnsi="仿宋" w:eastAsia="仿宋"/>
                <w:color w:val="000000"/>
                <w:szCs w:val="21"/>
              </w:rPr>
            </w:pPr>
            <w:r>
              <w:rPr>
                <w:rFonts w:hint="eastAsia" w:ascii="仿宋" w:hAnsi="仿宋" w:eastAsia="仿宋"/>
                <w:color w:val="000000"/>
                <w:szCs w:val="21"/>
              </w:rPr>
              <w:t>110.96</w:t>
            </w:r>
          </w:p>
        </w:tc>
        <w:tc>
          <w:tcPr>
            <w:tcW w:w="1920" w:type="dxa"/>
            <w:noWrap/>
            <w:vAlign w:val="center"/>
          </w:tcPr>
          <w:p>
            <w:pPr>
              <w:widowControl/>
              <w:jc w:val="center"/>
              <w:rPr>
                <w:rFonts w:ascii="仿宋" w:hAnsi="仿宋" w:eastAsia="仿宋"/>
                <w:color w:val="000000"/>
                <w:szCs w:val="21"/>
              </w:rPr>
            </w:pPr>
            <w:r>
              <w:rPr>
                <w:rFonts w:hint="eastAsia" w:ascii="仿宋" w:hAnsi="仿宋" w:eastAsia="仿宋"/>
                <w:color w:val="000000"/>
                <w:szCs w:val="21"/>
              </w:rPr>
              <w:t>98.61</w:t>
            </w:r>
          </w:p>
        </w:tc>
        <w:tc>
          <w:tcPr>
            <w:tcW w:w="1204" w:type="dxa"/>
            <w:noWrap/>
            <w:vAlign w:val="center"/>
          </w:tcPr>
          <w:p>
            <w:pPr>
              <w:widowControl/>
              <w:jc w:val="center"/>
              <w:rPr>
                <w:rFonts w:ascii="仿宋" w:hAnsi="仿宋" w:eastAsia="仿宋"/>
                <w:color w:val="000000"/>
                <w:szCs w:val="21"/>
              </w:rPr>
            </w:pPr>
            <w:r>
              <w:rPr>
                <w:rFonts w:hint="eastAsia" w:ascii="仿宋" w:hAnsi="仿宋" w:eastAsia="仿宋"/>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trPr>
        <w:tc>
          <w:tcPr>
            <w:tcW w:w="8303" w:type="dxa"/>
            <w:gridSpan w:val="5"/>
            <w:noWrap/>
            <w:vAlign w:val="center"/>
          </w:tcPr>
          <w:p>
            <w:pPr>
              <w:widowControl/>
              <w:jc w:val="center"/>
              <w:rPr>
                <w:rFonts w:ascii="仿宋" w:hAnsi="仿宋" w:eastAsia="仿宋"/>
                <w:color w:val="000000"/>
                <w:szCs w:val="21"/>
              </w:rPr>
            </w:pPr>
            <w:r>
              <w:rPr>
                <w:rFonts w:ascii="仿宋" w:hAnsi="仿宋" w:eastAsia="仿宋"/>
                <w:color w:val="000000"/>
                <w:szCs w:val="21"/>
              </w:rPr>
              <w:t>附</w:t>
            </w:r>
            <w:r>
              <w:rPr>
                <w:rFonts w:hint="eastAsia" w:ascii="仿宋" w:hAnsi="仿宋" w:eastAsia="仿宋"/>
                <w:color w:val="000000"/>
                <w:szCs w:val="21"/>
              </w:rPr>
              <w:t xml:space="preserve"> 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05" w:hRule="atLeast"/>
        </w:trPr>
        <w:tc>
          <w:tcPr>
            <w:tcW w:w="8303" w:type="dxa"/>
            <w:gridSpan w:val="5"/>
            <w:noWrap/>
            <w:vAlign w:val="center"/>
          </w:tcPr>
          <w:p>
            <w:pPr>
              <w:widowControl/>
              <w:jc w:val="left"/>
              <w:rPr>
                <w:rFonts w:ascii="仿宋" w:hAnsi="仿宋" w:eastAsia="仿宋"/>
                <w:color w:val="000000"/>
                <w:szCs w:val="21"/>
              </w:rPr>
            </w:pPr>
            <w:r>
              <w:rPr>
                <w:rFonts w:ascii="仿宋" w:hAnsi="仿宋" w:eastAsia="仿宋"/>
                <w:color w:val="000000"/>
                <w:szCs w:val="21"/>
              </w:rPr>
              <w:t>按份共有</w:t>
            </w:r>
            <w:r>
              <w:rPr>
                <w:rFonts w:hint="eastAsia" w:ascii="仿宋" w:hAnsi="仿宋" w:eastAsia="仿宋"/>
                <w:color w:val="000000"/>
                <w:szCs w:val="21"/>
              </w:rPr>
              <w:t>，</w:t>
            </w:r>
            <w:r>
              <w:rPr>
                <w:rFonts w:hint="eastAsia" w:ascii="仿宋" w:hAnsi="仿宋" w:eastAsia="仿宋" w:cs="宋体"/>
                <w:kern w:val="0"/>
                <w:sz w:val="20"/>
                <w:szCs w:val="20"/>
                <w:lang w:val="en-US" w:eastAsia="zh-CN"/>
              </w:rPr>
              <w:t>***</w:t>
            </w:r>
            <w:r>
              <w:rPr>
                <w:rFonts w:hint="eastAsia" w:ascii="仿宋" w:hAnsi="仿宋" w:eastAsia="仿宋" w:cs="宋体"/>
                <w:kern w:val="0"/>
                <w:sz w:val="20"/>
                <w:szCs w:val="20"/>
              </w:rPr>
              <w:t>占50%，</w:t>
            </w:r>
            <w:r>
              <w:rPr>
                <w:rFonts w:hint="eastAsia" w:ascii="仿宋" w:hAnsi="仿宋" w:eastAsia="仿宋" w:cs="宋体"/>
                <w:kern w:val="0"/>
                <w:sz w:val="20"/>
                <w:szCs w:val="20"/>
                <w:lang w:val="en-US" w:eastAsia="zh-CN"/>
              </w:rPr>
              <w:t>***</w:t>
            </w:r>
            <w:r>
              <w:rPr>
                <w:rFonts w:hint="eastAsia" w:ascii="仿宋" w:hAnsi="仿宋" w:eastAsia="仿宋" w:cs="宋体"/>
                <w:kern w:val="0"/>
                <w:sz w:val="20"/>
                <w:szCs w:val="20"/>
              </w:rPr>
              <w:t>占50%，共有人</w:t>
            </w:r>
            <w:r>
              <w:rPr>
                <w:rFonts w:hint="eastAsia" w:ascii="仿宋" w:hAnsi="仿宋" w:eastAsia="仿宋" w:cs="宋体"/>
                <w:kern w:val="0"/>
                <w:sz w:val="20"/>
                <w:szCs w:val="20"/>
                <w:lang w:val="en-US" w:eastAsia="zh-CN"/>
              </w:rPr>
              <w:t>***</w:t>
            </w:r>
            <w:r>
              <w:rPr>
                <w:rFonts w:hint="eastAsia" w:ascii="仿宋" w:hAnsi="仿宋" w:eastAsia="仿宋" w:cs="宋体"/>
                <w:kern w:val="0"/>
                <w:sz w:val="20"/>
                <w:szCs w:val="20"/>
              </w:rPr>
              <w:t>、</w:t>
            </w:r>
            <w:r>
              <w:rPr>
                <w:rFonts w:hint="eastAsia" w:ascii="仿宋" w:hAnsi="仿宋" w:eastAsia="仿宋" w:cs="宋体"/>
                <w:kern w:val="0"/>
                <w:sz w:val="20"/>
                <w:szCs w:val="20"/>
                <w:lang w:val="en-US" w:eastAsia="zh-CN"/>
              </w:rPr>
              <w:t xml:space="preserve">*** </w:t>
            </w:r>
            <w:r>
              <w:rPr>
                <w:rFonts w:hint="eastAsia" w:ascii="仿宋" w:hAnsi="仿宋" w:eastAsia="仿宋" w:cs="宋体"/>
                <w:kern w:val="0"/>
                <w:sz w:val="20"/>
                <w:szCs w:val="20"/>
              </w:rPr>
              <w:t>1、附属用房17号7.10平方米，2、车位32号13.85平方米</w:t>
            </w:r>
          </w:p>
        </w:tc>
      </w:tr>
    </w:tbl>
    <w:p>
      <w:pPr>
        <w:spacing w:line="520" w:lineRule="exact"/>
        <w:rPr>
          <w:rFonts w:ascii="仿宋" w:hAnsi="仿宋" w:eastAsia="仿宋"/>
          <w:b/>
          <w:bCs/>
          <w:sz w:val="28"/>
        </w:rPr>
      </w:pPr>
    </w:p>
    <w:p>
      <w:pPr>
        <w:spacing w:line="520" w:lineRule="exact"/>
        <w:ind w:firstLine="562" w:firstLineChars="200"/>
        <w:jc w:val="center"/>
        <w:rPr>
          <w:rFonts w:ascii="仿宋" w:hAnsi="仿宋" w:eastAsia="仿宋"/>
          <w:sz w:val="28"/>
        </w:rPr>
      </w:pPr>
      <w:r>
        <w:rPr>
          <w:rFonts w:hint="eastAsia" w:ascii="仿宋" w:hAnsi="仿宋" w:eastAsia="仿宋"/>
          <w:b/>
          <w:bCs/>
          <w:sz w:val="28"/>
        </w:rPr>
        <w:t>国有土地使用权证</w:t>
      </w:r>
      <w:r>
        <w:rPr>
          <w:rFonts w:hint="eastAsia" w:ascii="仿宋" w:hAnsi="仿宋" w:eastAsia="仿宋"/>
          <w:b/>
          <w:sz w:val="28"/>
          <w:szCs w:val="28"/>
        </w:rPr>
        <w:t>登记状况表</w:t>
      </w:r>
    </w:p>
    <w:tbl>
      <w:tblPr>
        <w:tblStyle w:val="23"/>
        <w:tblpPr w:leftFromText="180" w:rightFromText="180" w:vertAnchor="text" w:horzAnchor="page" w:tblpX="2355" w:tblpY="202"/>
        <w:tblOverlap w:val="never"/>
        <w:tblW w:w="8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2326"/>
        <w:gridCol w:w="2163"/>
        <w:gridCol w:w="458"/>
        <w:gridCol w:w="1451"/>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326" w:type="dxa"/>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权证书编号</w:t>
            </w:r>
          </w:p>
        </w:tc>
        <w:tc>
          <w:tcPr>
            <w:tcW w:w="5981" w:type="dxa"/>
            <w:gridSpan w:val="4"/>
            <w:noWrap/>
            <w:vAlign w:val="center"/>
          </w:tcPr>
          <w:p>
            <w:pPr>
              <w:widowControl/>
              <w:jc w:val="center"/>
              <w:rPr>
                <w:rFonts w:ascii="仿宋" w:hAnsi="仿宋" w:eastAsia="仿宋" w:cs="宋体"/>
                <w:kern w:val="0"/>
                <w:sz w:val="20"/>
                <w:szCs w:val="20"/>
              </w:rPr>
            </w:pPr>
            <w:r>
              <w:rPr>
                <w:rFonts w:hint="eastAsia" w:ascii="仿宋" w:hAnsi="仿宋" w:eastAsia="仿宋"/>
                <w:color w:val="000000"/>
                <w:szCs w:val="21"/>
              </w:rPr>
              <w:t>象国用（2012）第03573号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326" w:type="dxa"/>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土地使用人</w:t>
            </w:r>
          </w:p>
        </w:tc>
        <w:tc>
          <w:tcPr>
            <w:tcW w:w="5981" w:type="dxa"/>
            <w:gridSpan w:val="4"/>
            <w:noWrap/>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w:t>
            </w:r>
            <w:r>
              <w:rPr>
                <w:rFonts w:hint="eastAsia" w:ascii="仿宋" w:hAnsi="仿宋" w:eastAsia="仿宋" w:cs="宋体"/>
                <w:kern w:val="0"/>
                <w:sz w:val="20"/>
                <w:szCs w:val="20"/>
              </w:rPr>
              <w:t>、</w:t>
            </w:r>
            <w:r>
              <w:rPr>
                <w:rFonts w:hint="eastAsia" w:ascii="仿宋" w:hAnsi="仿宋" w:eastAsia="仿宋" w:cs="宋体"/>
                <w:kern w:val="0"/>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326" w:type="dxa"/>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坐落</w:t>
            </w:r>
          </w:p>
        </w:tc>
        <w:tc>
          <w:tcPr>
            <w:tcW w:w="5981" w:type="dxa"/>
            <w:gridSpan w:val="4"/>
            <w:noWrap/>
            <w:vAlign w:val="center"/>
          </w:tcPr>
          <w:p>
            <w:pPr>
              <w:widowControl/>
              <w:jc w:val="center"/>
              <w:rPr>
                <w:rFonts w:ascii="仿宋" w:hAnsi="仿宋" w:eastAsia="仿宋" w:cs="宋体"/>
                <w:kern w:val="0"/>
                <w:sz w:val="20"/>
                <w:szCs w:val="20"/>
              </w:rPr>
            </w:pPr>
            <w:r>
              <w:rPr>
                <w:rFonts w:hint="eastAsia" w:ascii="仿宋" w:hAnsi="仿宋" w:eastAsia="仿宋"/>
                <w:color w:val="000000"/>
                <w:szCs w:val="21"/>
              </w:rPr>
              <w:t>丹西街道西谷苑5幢4单元402室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326" w:type="dxa"/>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地类（用途）</w:t>
            </w:r>
          </w:p>
        </w:tc>
        <w:tc>
          <w:tcPr>
            <w:tcW w:w="2163" w:type="dxa"/>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城镇住宅用地</w:t>
            </w:r>
          </w:p>
        </w:tc>
        <w:tc>
          <w:tcPr>
            <w:tcW w:w="1909" w:type="dxa"/>
            <w:gridSpan w:val="2"/>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取得价格</w:t>
            </w:r>
          </w:p>
        </w:tc>
        <w:tc>
          <w:tcPr>
            <w:tcW w:w="1909" w:type="dxa"/>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326" w:type="dxa"/>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使用权类型</w:t>
            </w:r>
          </w:p>
        </w:tc>
        <w:tc>
          <w:tcPr>
            <w:tcW w:w="2163" w:type="dxa"/>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出让</w:t>
            </w:r>
          </w:p>
        </w:tc>
        <w:tc>
          <w:tcPr>
            <w:tcW w:w="1909" w:type="dxa"/>
            <w:gridSpan w:val="2"/>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终止日期</w:t>
            </w:r>
          </w:p>
        </w:tc>
        <w:tc>
          <w:tcPr>
            <w:tcW w:w="1909" w:type="dxa"/>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2077-11-22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326" w:type="dxa"/>
            <w:vMerge w:val="restart"/>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使用权面积</w:t>
            </w:r>
          </w:p>
        </w:tc>
        <w:tc>
          <w:tcPr>
            <w:tcW w:w="2163" w:type="dxa"/>
            <w:vMerge w:val="restart"/>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24.03㎡</w:t>
            </w:r>
          </w:p>
        </w:tc>
        <w:tc>
          <w:tcPr>
            <w:tcW w:w="458" w:type="dxa"/>
            <w:vMerge w:val="restart"/>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其中</w:t>
            </w:r>
          </w:p>
        </w:tc>
        <w:tc>
          <w:tcPr>
            <w:tcW w:w="1451" w:type="dxa"/>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独用面积</w:t>
            </w:r>
          </w:p>
        </w:tc>
        <w:tc>
          <w:tcPr>
            <w:tcW w:w="1909" w:type="dxa"/>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0" w:hRule="atLeast"/>
        </w:trPr>
        <w:tc>
          <w:tcPr>
            <w:tcW w:w="2326" w:type="dxa"/>
            <w:vMerge w:val="continue"/>
            <w:noWrap/>
            <w:vAlign w:val="center"/>
          </w:tcPr>
          <w:p>
            <w:pPr>
              <w:widowControl/>
              <w:jc w:val="center"/>
              <w:rPr>
                <w:rFonts w:ascii="仿宋" w:hAnsi="仿宋" w:eastAsia="仿宋" w:cs="宋体"/>
                <w:kern w:val="0"/>
                <w:sz w:val="20"/>
                <w:szCs w:val="20"/>
              </w:rPr>
            </w:pPr>
          </w:p>
        </w:tc>
        <w:tc>
          <w:tcPr>
            <w:tcW w:w="2163" w:type="dxa"/>
            <w:vMerge w:val="continue"/>
            <w:noWrap/>
            <w:vAlign w:val="center"/>
          </w:tcPr>
          <w:p>
            <w:pPr>
              <w:widowControl/>
              <w:jc w:val="center"/>
              <w:rPr>
                <w:rFonts w:ascii="仿宋" w:hAnsi="仿宋" w:eastAsia="仿宋" w:cs="宋体"/>
                <w:kern w:val="0"/>
                <w:sz w:val="20"/>
                <w:szCs w:val="20"/>
              </w:rPr>
            </w:pPr>
          </w:p>
        </w:tc>
        <w:tc>
          <w:tcPr>
            <w:tcW w:w="458" w:type="dxa"/>
            <w:vMerge w:val="continue"/>
            <w:noWrap/>
            <w:vAlign w:val="center"/>
          </w:tcPr>
          <w:p>
            <w:pPr>
              <w:widowControl/>
              <w:jc w:val="center"/>
              <w:rPr>
                <w:rFonts w:ascii="仿宋" w:hAnsi="仿宋" w:eastAsia="仿宋" w:cs="宋体"/>
                <w:kern w:val="0"/>
                <w:sz w:val="20"/>
                <w:szCs w:val="20"/>
              </w:rPr>
            </w:pPr>
          </w:p>
        </w:tc>
        <w:tc>
          <w:tcPr>
            <w:tcW w:w="1451" w:type="dxa"/>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分摊面积</w:t>
            </w:r>
          </w:p>
        </w:tc>
        <w:tc>
          <w:tcPr>
            <w:tcW w:w="1909" w:type="dxa"/>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24.03㎡</w:t>
            </w:r>
          </w:p>
        </w:tc>
      </w:tr>
    </w:tbl>
    <w:p>
      <w:pPr>
        <w:snapToGrid w:val="0"/>
        <w:spacing w:line="480" w:lineRule="exact"/>
        <w:ind w:firstLine="420" w:firstLineChars="150"/>
        <w:rPr>
          <w:rFonts w:eastAsia="仿宋_GB2312"/>
          <w:sz w:val="28"/>
        </w:rPr>
      </w:pPr>
      <w:r>
        <w:rPr>
          <w:rFonts w:hint="eastAsia" w:ascii="仿宋" w:hAnsi="仿宋" w:eastAsia="仿宋" w:cs="Arial"/>
          <w:sz w:val="28"/>
        </w:rPr>
        <w:t>另根据不动产信息查询记录:估价对象房产有抵押，有查封情况。</w:t>
      </w:r>
    </w:p>
    <w:p>
      <w:pPr>
        <w:spacing w:line="520" w:lineRule="exact"/>
        <w:rPr>
          <w:rFonts w:eastAsia="仿宋_GB2312"/>
          <w:sz w:val="28"/>
        </w:rPr>
      </w:pPr>
    </w:p>
    <w:p>
      <w:pPr>
        <w:spacing w:line="520" w:lineRule="exact"/>
        <w:rPr>
          <w:rFonts w:eastAsia="仿宋_GB2312"/>
          <w:sz w:val="28"/>
        </w:rPr>
      </w:pPr>
    </w:p>
    <w:p>
      <w:pPr>
        <w:spacing w:line="520" w:lineRule="exact"/>
        <w:ind w:firstLine="560" w:firstLineChars="200"/>
        <w:rPr>
          <w:rFonts w:eastAsia="仿宋_GB2312"/>
          <w:sz w:val="28"/>
        </w:rPr>
      </w:pPr>
      <w:r>
        <w:rPr>
          <w:rFonts w:eastAsia="仿宋_GB2312"/>
          <w:sz w:val="28"/>
        </w:rPr>
        <w:t>（</w:t>
      </w:r>
      <w:r>
        <w:rPr>
          <w:rFonts w:hint="eastAsia" w:eastAsia="仿宋_GB2312"/>
          <w:sz w:val="28"/>
        </w:rPr>
        <w:t>三</w:t>
      </w:r>
      <w:r>
        <w:rPr>
          <w:rFonts w:eastAsia="仿宋_GB2312"/>
          <w:sz w:val="28"/>
        </w:rPr>
        <w:t>）土地基本状况</w:t>
      </w:r>
    </w:p>
    <w:p>
      <w:pPr>
        <w:snapToGrid w:val="0"/>
        <w:spacing w:line="480" w:lineRule="exact"/>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cs="Arial"/>
          <w:sz w:val="28"/>
        </w:rPr>
        <w:t>四至状况：</w:t>
      </w:r>
      <w:r>
        <w:rPr>
          <w:rFonts w:hint="eastAsia" w:ascii="仿宋" w:hAnsi="仿宋" w:eastAsia="仿宋" w:cs="Arial"/>
          <w:sz w:val="28"/>
        </w:rPr>
        <w:t>东邻蓬莱路、南邻望湖苑小区，西临西谷路，北邻靖南大街</w:t>
      </w:r>
      <w:r>
        <w:rPr>
          <w:rFonts w:hint="eastAsia" w:ascii="仿宋" w:hAnsi="仿宋" w:eastAsia="仿宋"/>
          <w:sz w:val="28"/>
          <w:szCs w:val="28"/>
        </w:rPr>
        <w:t>。</w:t>
      </w:r>
    </w:p>
    <w:p>
      <w:pPr>
        <w:snapToGrid w:val="0"/>
        <w:spacing w:line="480" w:lineRule="exact"/>
        <w:ind w:firstLine="560" w:firstLineChars="200"/>
        <w:rPr>
          <w:rFonts w:ascii="仿宋" w:hAnsi="仿宋" w:eastAsia="仿宋" w:cs="Arial"/>
          <w:sz w:val="28"/>
          <w:szCs w:val="28"/>
        </w:rPr>
      </w:pPr>
      <w:r>
        <w:rPr>
          <w:rFonts w:hint="eastAsia" w:ascii="仿宋" w:hAnsi="仿宋" w:eastAsia="仿宋"/>
          <w:sz w:val="28"/>
          <w:szCs w:val="28"/>
        </w:rPr>
        <w:t>2、</w:t>
      </w:r>
      <w:r>
        <w:rPr>
          <w:rFonts w:hint="eastAsia" w:ascii="仿宋" w:hAnsi="仿宋" w:eastAsia="仿宋" w:cs="Arial"/>
          <w:sz w:val="28"/>
          <w:szCs w:val="28"/>
        </w:rPr>
        <w:t>面积及用途：</w:t>
      </w:r>
      <w:r>
        <w:rPr>
          <w:rFonts w:hint="eastAsia" w:ascii="仿宋" w:hAnsi="仿宋" w:eastAsia="仿宋"/>
          <w:sz w:val="28"/>
          <w:szCs w:val="28"/>
        </w:rPr>
        <w:t>土地使用权面积24.03平方米，用途为</w:t>
      </w:r>
      <w:r>
        <w:rPr>
          <w:rFonts w:hint="eastAsia" w:ascii="仿宋" w:hAnsi="仿宋" w:eastAsia="仿宋"/>
          <w:sz w:val="28"/>
          <w:szCs w:val="28"/>
          <w:lang w:eastAsia="zh-CN"/>
        </w:rPr>
        <w:t>城镇</w:t>
      </w:r>
      <w:r>
        <w:rPr>
          <w:rFonts w:hint="eastAsia" w:ascii="仿宋" w:hAnsi="仿宋" w:eastAsia="仿宋"/>
          <w:sz w:val="28"/>
          <w:szCs w:val="28"/>
        </w:rPr>
        <w:t>住宅用地。</w:t>
      </w:r>
    </w:p>
    <w:p>
      <w:pPr>
        <w:snapToGrid w:val="0"/>
        <w:spacing w:line="480" w:lineRule="exact"/>
        <w:ind w:firstLine="560" w:firstLineChars="200"/>
        <w:rPr>
          <w:rFonts w:ascii="仿宋" w:hAnsi="仿宋" w:eastAsia="仿宋" w:cs="Arial"/>
          <w:sz w:val="28"/>
          <w:szCs w:val="28"/>
        </w:rPr>
      </w:pPr>
      <w:r>
        <w:rPr>
          <w:rFonts w:hint="eastAsia" w:ascii="仿宋" w:hAnsi="仿宋" w:eastAsia="仿宋"/>
          <w:sz w:val="28"/>
          <w:szCs w:val="28"/>
        </w:rPr>
        <w:t>3、</w:t>
      </w:r>
      <w:r>
        <w:rPr>
          <w:rFonts w:hint="eastAsia" w:ascii="仿宋" w:hAnsi="仿宋" w:eastAsia="仿宋" w:cs="Arial"/>
          <w:sz w:val="28"/>
          <w:szCs w:val="28"/>
        </w:rPr>
        <w:t>形状</w:t>
      </w:r>
      <w:r>
        <w:rPr>
          <w:rFonts w:ascii="仿宋" w:hAnsi="仿宋" w:eastAsia="仿宋" w:cs="Arial"/>
          <w:sz w:val="28"/>
          <w:szCs w:val="28"/>
        </w:rPr>
        <w:t>：</w:t>
      </w:r>
      <w:r>
        <w:rPr>
          <w:rFonts w:hint="eastAsia" w:ascii="仿宋" w:hAnsi="仿宋" w:eastAsia="仿宋" w:cs="Arial"/>
          <w:sz w:val="28"/>
          <w:szCs w:val="28"/>
        </w:rPr>
        <w:t>规则。</w:t>
      </w:r>
    </w:p>
    <w:p>
      <w:pPr>
        <w:snapToGrid w:val="0"/>
        <w:spacing w:line="480" w:lineRule="exact"/>
        <w:ind w:firstLine="560" w:firstLineChars="200"/>
        <w:rPr>
          <w:rFonts w:ascii="仿宋" w:hAnsi="仿宋" w:eastAsia="仿宋" w:cs="Arial"/>
          <w:sz w:val="28"/>
        </w:rPr>
      </w:pPr>
      <w:r>
        <w:rPr>
          <w:rFonts w:hint="eastAsia" w:ascii="仿宋" w:hAnsi="仿宋" w:eastAsia="仿宋"/>
          <w:sz w:val="28"/>
          <w:szCs w:val="28"/>
        </w:rPr>
        <w:t>4、</w:t>
      </w:r>
      <w:r>
        <w:rPr>
          <w:rFonts w:ascii="仿宋" w:hAnsi="仿宋" w:eastAsia="仿宋" w:cs="Arial"/>
          <w:sz w:val="28"/>
          <w:szCs w:val="28"/>
        </w:rPr>
        <w:t>使用权取得方式</w:t>
      </w:r>
      <w:r>
        <w:rPr>
          <w:rFonts w:hint="eastAsia" w:ascii="仿宋" w:hAnsi="仿宋" w:eastAsia="仿宋" w:cs="Arial"/>
          <w:sz w:val="28"/>
          <w:szCs w:val="28"/>
        </w:rPr>
        <w:t>及</w:t>
      </w:r>
      <w:r>
        <w:rPr>
          <w:rFonts w:ascii="仿宋" w:hAnsi="仿宋" w:eastAsia="仿宋" w:cs="Arial"/>
          <w:sz w:val="28"/>
          <w:szCs w:val="28"/>
        </w:rPr>
        <w:t>土地使用期限：</w:t>
      </w:r>
      <w:r>
        <w:rPr>
          <w:rFonts w:hint="eastAsia" w:ascii="仿宋" w:hAnsi="仿宋" w:eastAsia="仿宋" w:cs="Arial"/>
          <w:sz w:val="28"/>
          <w:szCs w:val="28"/>
        </w:rPr>
        <w:t>国有</w:t>
      </w:r>
      <w:r>
        <w:rPr>
          <w:rFonts w:hint="eastAsia" w:ascii="仿宋" w:hAnsi="仿宋" w:eastAsia="仿宋" w:cs="Arial"/>
          <w:sz w:val="28"/>
        </w:rPr>
        <w:t>出让取得，</w:t>
      </w:r>
      <w:r>
        <w:rPr>
          <w:rFonts w:hint="eastAsia" w:ascii="仿宋" w:hAnsi="仿宋" w:eastAsia="仿宋"/>
          <w:sz w:val="28"/>
          <w:szCs w:val="28"/>
        </w:rPr>
        <w:t>土地</w:t>
      </w:r>
      <w:r>
        <w:rPr>
          <w:rFonts w:hint="eastAsia" w:ascii="仿宋" w:hAnsi="仿宋" w:eastAsia="仿宋"/>
          <w:sz w:val="28"/>
          <w:szCs w:val="28"/>
          <w:lang w:eastAsia="zh-CN"/>
        </w:rPr>
        <w:t>终止日期至</w:t>
      </w:r>
      <w:r>
        <w:rPr>
          <w:rFonts w:hint="eastAsia" w:ascii="仿宋" w:hAnsi="仿宋" w:eastAsia="仿宋"/>
          <w:sz w:val="28"/>
          <w:szCs w:val="28"/>
        </w:rPr>
        <w:t>2077年11月22日止。</w:t>
      </w:r>
    </w:p>
    <w:p>
      <w:pPr>
        <w:autoSpaceDE w:val="0"/>
        <w:autoSpaceDN w:val="0"/>
        <w:spacing w:before="25" w:after="25" w:line="480" w:lineRule="exact"/>
        <w:ind w:firstLine="560" w:firstLineChars="200"/>
        <w:textAlignment w:val="bottom"/>
        <w:rPr>
          <w:rFonts w:ascii="仿宋" w:hAnsi="仿宋" w:eastAsia="仿宋" w:cs="Arial"/>
          <w:sz w:val="28"/>
        </w:rPr>
      </w:pPr>
      <w:r>
        <w:rPr>
          <w:rFonts w:hint="eastAsia" w:ascii="仿宋" w:hAnsi="仿宋" w:eastAsia="仿宋"/>
          <w:sz w:val="28"/>
          <w:szCs w:val="28"/>
        </w:rPr>
        <w:t>5、</w:t>
      </w:r>
      <w:r>
        <w:rPr>
          <w:rFonts w:ascii="仿宋" w:hAnsi="仿宋" w:eastAsia="仿宋" w:cs="Arial"/>
          <w:sz w:val="28"/>
        </w:rPr>
        <w:t>土地开发程度：</w:t>
      </w:r>
      <w:r>
        <w:rPr>
          <w:rFonts w:hint="eastAsia" w:ascii="仿宋" w:hAnsi="仿宋" w:eastAsia="仿宋" w:cs="Arial"/>
          <w:sz w:val="28"/>
        </w:rPr>
        <w:t>已开发完成，达到“六通”</w:t>
      </w:r>
      <w:r>
        <w:rPr>
          <w:rFonts w:ascii="仿宋" w:hAnsi="仿宋" w:eastAsia="仿宋" w:cs="Arial"/>
          <w:sz w:val="28"/>
        </w:rPr>
        <w:t>（</w:t>
      </w:r>
      <w:r>
        <w:rPr>
          <w:rFonts w:hint="eastAsia" w:ascii="仿宋" w:hAnsi="仿宋" w:eastAsia="仿宋" w:cs="仿宋"/>
          <w:sz w:val="28"/>
          <w:szCs w:val="28"/>
        </w:rPr>
        <w:t>通电、通路、通上水、通下水、通讯、燃气</w:t>
      </w:r>
      <w:r>
        <w:rPr>
          <w:rFonts w:ascii="仿宋" w:hAnsi="仿宋" w:eastAsia="仿宋" w:cs="Arial"/>
          <w:sz w:val="28"/>
        </w:rPr>
        <w:t>）</w:t>
      </w:r>
      <w:r>
        <w:rPr>
          <w:rFonts w:hint="eastAsia" w:ascii="仿宋" w:hAnsi="仿宋" w:eastAsia="仿宋" w:cs="Arial"/>
          <w:sz w:val="28"/>
        </w:rPr>
        <w:t>。</w:t>
      </w:r>
    </w:p>
    <w:p>
      <w:pPr>
        <w:tabs>
          <w:tab w:val="left" w:pos="3060"/>
        </w:tabs>
        <w:spacing w:line="520" w:lineRule="exact"/>
        <w:ind w:right="181" w:firstLine="560" w:firstLineChars="200"/>
        <w:rPr>
          <w:rFonts w:eastAsia="仿宋_GB2312"/>
          <w:sz w:val="28"/>
        </w:rPr>
      </w:pPr>
      <w:r>
        <w:rPr>
          <w:rFonts w:hint="eastAsia" w:eastAsia="仿宋_GB2312"/>
          <w:sz w:val="28"/>
        </w:rPr>
        <w:t>（四）</w:t>
      </w:r>
      <w:r>
        <w:rPr>
          <w:rFonts w:eastAsia="仿宋_GB2312"/>
          <w:sz w:val="28"/>
        </w:rPr>
        <w:t>建筑物</w:t>
      </w:r>
      <w:r>
        <w:rPr>
          <w:rFonts w:hint="eastAsia" w:eastAsia="仿宋_GB2312"/>
          <w:sz w:val="28"/>
        </w:rPr>
        <w:t>基本状况</w:t>
      </w:r>
    </w:p>
    <w:p>
      <w:pPr>
        <w:spacing w:line="500" w:lineRule="exact"/>
        <w:ind w:firstLine="560" w:firstLineChars="200"/>
        <w:rPr>
          <w:rFonts w:ascii="仿宋" w:hAnsi="仿宋" w:eastAsia="仿宋" w:cs="Arial"/>
          <w:sz w:val="28"/>
          <w:szCs w:val="28"/>
        </w:rPr>
      </w:pPr>
      <w:r>
        <w:rPr>
          <w:rFonts w:hint="eastAsia" w:ascii="仿宋" w:hAnsi="仿宋" w:eastAsia="仿宋" w:cs="Arial"/>
          <w:sz w:val="28"/>
          <w:szCs w:val="28"/>
        </w:rPr>
        <w:t>根据实地查勘，</w:t>
      </w:r>
      <w:r>
        <w:rPr>
          <w:rFonts w:hint="eastAsia" w:ascii="仿宋" w:hAnsi="仿宋" w:eastAsia="仿宋"/>
          <w:sz w:val="28"/>
          <w:szCs w:val="28"/>
        </w:rPr>
        <w:t>估价对象位于宁波市象山县丹西街道西谷苑5幢4单元402室</w:t>
      </w:r>
      <w:r>
        <w:rPr>
          <w:rFonts w:hint="eastAsia" w:ascii="仿宋" w:hAnsi="仿宋" w:eastAsia="仿宋" w:cs="Arial"/>
          <w:sz w:val="28"/>
          <w:szCs w:val="28"/>
        </w:rPr>
        <w:t>，钢混结构，朝向部位南西，所在楼幢总层数4层，估价对象位于第4层及阁楼层。房屋建成年份2010年，质量较好，维护状况较好，该住宅用房平面结构规则，通风采光良好，水电卫齐全，标准层高，室内楼下户型为二室一厅一厨一卫套型，由木楼梯上阁楼层，阁楼层</w:t>
      </w:r>
      <w:r>
        <w:rPr>
          <w:rFonts w:hint="eastAsia" w:ascii="仿宋" w:hAnsi="仿宋" w:eastAsia="仿宋" w:cs="Arial"/>
          <w:sz w:val="28"/>
          <w:szCs w:val="28"/>
          <w:lang w:eastAsia="zh-CN"/>
        </w:rPr>
        <w:t>室内</w:t>
      </w:r>
      <w:r>
        <w:rPr>
          <w:rFonts w:hint="eastAsia" w:ascii="仿宋" w:hAnsi="仿宋" w:eastAsia="仿宋" w:cs="Arial"/>
          <w:sz w:val="28"/>
          <w:szCs w:val="28"/>
        </w:rPr>
        <w:t>基本为一室布局，</w:t>
      </w:r>
      <w:r>
        <w:rPr>
          <w:rFonts w:hint="eastAsia" w:ascii="仿宋" w:hAnsi="仿宋" w:eastAsia="仿宋" w:cs="Arial"/>
          <w:sz w:val="28"/>
          <w:szCs w:val="28"/>
          <w:lang w:eastAsia="zh-CN"/>
        </w:rPr>
        <w:t>室外有露台一个，</w:t>
      </w:r>
      <w:r>
        <w:rPr>
          <w:rFonts w:hint="eastAsia" w:ascii="仿宋" w:hAnsi="仿宋" w:eastAsia="仿宋" w:cs="Arial"/>
          <w:sz w:val="28"/>
          <w:szCs w:val="28"/>
        </w:rPr>
        <w:t>装修明细</w:t>
      </w:r>
      <w:r>
        <w:rPr>
          <w:rFonts w:ascii="仿宋" w:hAnsi="仿宋" w:eastAsia="仿宋" w:cs="Arial"/>
          <w:sz w:val="28"/>
          <w:szCs w:val="28"/>
        </w:rPr>
        <w:t>如下表：</w:t>
      </w:r>
    </w:p>
    <w:tbl>
      <w:tblPr>
        <w:tblStyle w:val="23"/>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62"/>
        <w:gridCol w:w="5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2"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装修部位</w:t>
            </w:r>
          </w:p>
        </w:tc>
        <w:tc>
          <w:tcPr>
            <w:tcW w:w="5266"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装修情况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2"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lang w:eastAsia="zh-CN"/>
              </w:rPr>
              <w:t>主</w:t>
            </w:r>
            <w:r>
              <w:rPr>
                <w:rFonts w:hint="eastAsia" w:ascii="仿宋" w:hAnsi="仿宋" w:eastAsia="仿宋"/>
                <w:szCs w:val="21"/>
              </w:rPr>
              <w:t>卧</w:t>
            </w:r>
            <w:r>
              <w:rPr>
                <w:rFonts w:hint="eastAsia" w:ascii="仿宋" w:hAnsi="仿宋" w:eastAsia="仿宋"/>
                <w:szCs w:val="21"/>
                <w:lang w:eastAsia="zh-CN"/>
              </w:rPr>
              <w:t>连阳台</w:t>
            </w:r>
          </w:p>
        </w:tc>
        <w:tc>
          <w:tcPr>
            <w:tcW w:w="5266"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地板</w:t>
            </w:r>
            <w:r>
              <w:rPr>
                <w:rFonts w:ascii="仿宋" w:hAnsi="仿宋" w:eastAsia="仿宋"/>
                <w:szCs w:val="21"/>
              </w:rPr>
              <w:t>，</w:t>
            </w:r>
            <w:r>
              <w:rPr>
                <w:rFonts w:hint="eastAsia" w:ascii="仿宋" w:hAnsi="仿宋" w:eastAsia="仿宋"/>
                <w:szCs w:val="21"/>
              </w:rPr>
              <w:t>涂料</w:t>
            </w:r>
            <w:r>
              <w:rPr>
                <w:rFonts w:ascii="仿宋" w:hAnsi="仿宋" w:eastAsia="仿宋"/>
                <w:szCs w:val="21"/>
              </w:rPr>
              <w:t>，工艺顶</w:t>
            </w:r>
            <w:r>
              <w:rPr>
                <w:rFonts w:hint="eastAsia" w:ascii="仿宋" w:hAnsi="仿宋" w:eastAsia="仿宋"/>
                <w:szCs w:val="21"/>
              </w:rPr>
              <w:t>，大橱，</w:t>
            </w:r>
            <w:r>
              <w:rPr>
                <w:rFonts w:hint="eastAsia" w:ascii="仿宋" w:hAnsi="仿宋" w:eastAsia="仿宋"/>
                <w:szCs w:val="21"/>
                <w:lang w:eastAsia="zh-CN"/>
              </w:rPr>
              <w:t>阳台地砖，面砖，带淋浴房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2"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lang w:eastAsia="zh-CN"/>
              </w:rPr>
              <w:t>次</w:t>
            </w:r>
            <w:r>
              <w:rPr>
                <w:rFonts w:hint="eastAsia" w:ascii="仿宋" w:hAnsi="仿宋" w:eastAsia="仿宋"/>
                <w:szCs w:val="21"/>
              </w:rPr>
              <w:t>卧</w:t>
            </w:r>
            <w:r>
              <w:rPr>
                <w:rFonts w:hint="eastAsia" w:ascii="仿宋" w:hAnsi="仿宋" w:eastAsia="仿宋"/>
                <w:szCs w:val="21"/>
                <w:lang w:eastAsia="zh-CN"/>
              </w:rPr>
              <w:t>连阳台</w:t>
            </w:r>
          </w:p>
        </w:tc>
        <w:tc>
          <w:tcPr>
            <w:tcW w:w="5266" w:type="dxa"/>
            <w:shd w:val="clear" w:color="auto" w:fill="auto"/>
            <w:vAlign w:val="center"/>
          </w:tcPr>
          <w:p>
            <w:pPr>
              <w:adjustRightInd w:val="0"/>
              <w:spacing w:line="360" w:lineRule="auto"/>
              <w:jc w:val="center"/>
              <w:rPr>
                <w:rFonts w:hint="eastAsia" w:ascii="仿宋" w:hAnsi="仿宋" w:eastAsia="仿宋"/>
                <w:szCs w:val="21"/>
                <w:lang w:eastAsia="zh-CN"/>
              </w:rPr>
            </w:pPr>
            <w:r>
              <w:rPr>
                <w:rFonts w:hint="eastAsia" w:ascii="仿宋" w:hAnsi="仿宋" w:eastAsia="仿宋"/>
                <w:szCs w:val="21"/>
              </w:rPr>
              <w:t>地板</w:t>
            </w:r>
            <w:r>
              <w:rPr>
                <w:rFonts w:ascii="仿宋" w:hAnsi="仿宋" w:eastAsia="仿宋"/>
                <w:szCs w:val="21"/>
              </w:rPr>
              <w:t>，</w:t>
            </w:r>
            <w:r>
              <w:rPr>
                <w:rFonts w:hint="eastAsia" w:ascii="仿宋" w:hAnsi="仿宋" w:eastAsia="仿宋"/>
                <w:szCs w:val="21"/>
              </w:rPr>
              <w:t>涂料</w:t>
            </w:r>
            <w:r>
              <w:rPr>
                <w:rFonts w:ascii="仿宋" w:hAnsi="仿宋" w:eastAsia="仿宋"/>
                <w:szCs w:val="21"/>
              </w:rPr>
              <w:t>，工艺顶</w:t>
            </w:r>
            <w:r>
              <w:rPr>
                <w:rFonts w:hint="eastAsia" w:ascii="仿宋" w:hAnsi="仿宋" w:eastAsia="仿宋"/>
                <w:szCs w:val="21"/>
              </w:rPr>
              <w:t>，大橱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2"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客厅</w:t>
            </w:r>
          </w:p>
        </w:tc>
        <w:tc>
          <w:tcPr>
            <w:tcW w:w="5266" w:type="dxa"/>
            <w:shd w:val="clear" w:color="auto" w:fill="auto"/>
            <w:vAlign w:val="center"/>
          </w:tcPr>
          <w:p>
            <w:pPr>
              <w:adjustRightInd w:val="0"/>
              <w:spacing w:line="360" w:lineRule="auto"/>
              <w:jc w:val="center"/>
              <w:rPr>
                <w:rFonts w:hint="eastAsia" w:ascii="仿宋" w:hAnsi="仿宋" w:eastAsia="仿宋"/>
                <w:szCs w:val="21"/>
                <w:lang w:eastAsia="zh-CN"/>
              </w:rPr>
            </w:pPr>
            <w:r>
              <w:rPr>
                <w:rFonts w:hint="eastAsia" w:ascii="仿宋" w:hAnsi="仿宋" w:eastAsia="仿宋"/>
                <w:szCs w:val="21"/>
              </w:rPr>
              <w:t>地</w:t>
            </w:r>
            <w:r>
              <w:rPr>
                <w:rFonts w:ascii="仿宋" w:hAnsi="仿宋" w:eastAsia="仿宋"/>
                <w:szCs w:val="21"/>
              </w:rPr>
              <w:t>砖，</w:t>
            </w:r>
            <w:r>
              <w:rPr>
                <w:rFonts w:hint="eastAsia" w:ascii="仿宋" w:hAnsi="仿宋" w:eastAsia="仿宋"/>
                <w:szCs w:val="21"/>
              </w:rPr>
              <w:t>涂料</w:t>
            </w:r>
            <w:r>
              <w:rPr>
                <w:rFonts w:ascii="仿宋" w:hAnsi="仿宋" w:eastAsia="仿宋"/>
                <w:szCs w:val="21"/>
              </w:rPr>
              <w:t>，工艺顶</w:t>
            </w:r>
            <w:r>
              <w:rPr>
                <w:rFonts w:hint="eastAsia" w:ascii="仿宋" w:hAnsi="仿宋" w:eastAsia="仿宋"/>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62"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厨房</w:t>
            </w:r>
          </w:p>
        </w:tc>
        <w:tc>
          <w:tcPr>
            <w:tcW w:w="5266"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地砖</w:t>
            </w:r>
            <w:r>
              <w:rPr>
                <w:rFonts w:ascii="仿宋" w:hAnsi="仿宋" w:eastAsia="仿宋"/>
                <w:szCs w:val="21"/>
              </w:rPr>
              <w:t>，</w:t>
            </w:r>
            <w:r>
              <w:rPr>
                <w:rFonts w:hint="eastAsia" w:ascii="仿宋" w:hAnsi="仿宋" w:eastAsia="仿宋"/>
                <w:szCs w:val="21"/>
              </w:rPr>
              <w:t>面砖</w:t>
            </w:r>
            <w:r>
              <w:rPr>
                <w:rFonts w:ascii="仿宋" w:hAnsi="仿宋" w:eastAsia="仿宋"/>
                <w:szCs w:val="21"/>
              </w:rPr>
              <w:t>，</w:t>
            </w:r>
            <w:r>
              <w:rPr>
                <w:rFonts w:hint="eastAsia" w:ascii="仿宋" w:hAnsi="仿宋" w:eastAsia="仿宋"/>
                <w:szCs w:val="21"/>
              </w:rPr>
              <w:t>集成</w:t>
            </w:r>
            <w:r>
              <w:rPr>
                <w:rFonts w:ascii="仿宋" w:hAnsi="仿宋" w:eastAsia="仿宋"/>
                <w:szCs w:val="21"/>
              </w:rPr>
              <w:t>顶</w:t>
            </w:r>
            <w:r>
              <w:rPr>
                <w:rFonts w:hint="eastAsia" w:ascii="仿宋" w:hAnsi="仿宋" w:eastAsia="仿宋"/>
                <w:szCs w:val="21"/>
              </w:rPr>
              <w:t>，整体</w:t>
            </w:r>
            <w:r>
              <w:rPr>
                <w:rFonts w:ascii="仿宋" w:hAnsi="仿宋" w:eastAsia="仿宋"/>
                <w:szCs w:val="21"/>
              </w:rPr>
              <w:t>橱</w:t>
            </w:r>
            <w:r>
              <w:rPr>
                <w:rFonts w:hint="eastAsia" w:ascii="仿宋" w:hAnsi="仿宋" w:eastAsia="仿宋"/>
                <w:szCs w:val="21"/>
              </w:rPr>
              <w:t>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62"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卫生间</w:t>
            </w:r>
          </w:p>
        </w:tc>
        <w:tc>
          <w:tcPr>
            <w:tcW w:w="5266"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地砖</w:t>
            </w:r>
            <w:r>
              <w:rPr>
                <w:rFonts w:ascii="仿宋" w:hAnsi="仿宋" w:eastAsia="仿宋"/>
                <w:szCs w:val="21"/>
              </w:rPr>
              <w:t>，</w:t>
            </w:r>
            <w:r>
              <w:rPr>
                <w:rFonts w:hint="eastAsia" w:ascii="仿宋" w:hAnsi="仿宋" w:eastAsia="仿宋"/>
                <w:szCs w:val="21"/>
              </w:rPr>
              <w:t>面砖</w:t>
            </w:r>
            <w:r>
              <w:rPr>
                <w:rFonts w:ascii="仿宋" w:hAnsi="仿宋" w:eastAsia="仿宋"/>
                <w:szCs w:val="21"/>
              </w:rPr>
              <w:t>，</w:t>
            </w:r>
            <w:r>
              <w:rPr>
                <w:rFonts w:hint="eastAsia" w:ascii="仿宋" w:hAnsi="仿宋" w:eastAsia="仿宋"/>
                <w:szCs w:val="21"/>
              </w:rPr>
              <w:t>集成</w:t>
            </w:r>
            <w:r>
              <w:rPr>
                <w:rFonts w:ascii="仿宋" w:hAnsi="仿宋" w:eastAsia="仿宋"/>
                <w:szCs w:val="21"/>
              </w:rPr>
              <w:t>顶</w:t>
            </w:r>
            <w:r>
              <w:rPr>
                <w:rFonts w:hint="eastAsia" w:ascii="仿宋" w:hAnsi="仿宋" w:eastAsia="仿宋"/>
                <w:szCs w:val="21"/>
              </w:rPr>
              <w:t>，带洗脸盆、马桶、淋浴房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62"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阁楼</w:t>
            </w:r>
          </w:p>
        </w:tc>
        <w:tc>
          <w:tcPr>
            <w:tcW w:w="5266"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地板，墙涂料，平顶涂料</w:t>
            </w:r>
            <w:r>
              <w:rPr>
                <w:rFonts w:hint="eastAsia" w:ascii="仿宋" w:hAnsi="仿宋" w:eastAsia="仿宋"/>
                <w:szCs w:val="21"/>
                <w:lang w:eastAsia="zh-CN"/>
              </w:rPr>
              <w:t>，</w:t>
            </w:r>
            <w:r>
              <w:rPr>
                <w:rFonts w:hint="eastAsia" w:ascii="仿宋" w:hAnsi="仿宋" w:eastAsia="仿宋"/>
                <w:szCs w:val="21"/>
              </w:rPr>
              <w:t>大橱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62"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露台</w:t>
            </w:r>
          </w:p>
        </w:tc>
        <w:tc>
          <w:tcPr>
            <w:tcW w:w="5266" w:type="dxa"/>
            <w:shd w:val="clear" w:color="auto" w:fill="auto"/>
            <w:vAlign w:val="center"/>
          </w:tcPr>
          <w:p>
            <w:pPr>
              <w:adjustRightInd w:val="0"/>
              <w:spacing w:line="360" w:lineRule="auto"/>
              <w:jc w:val="center"/>
              <w:rPr>
                <w:rFonts w:ascii="仿宋" w:hAnsi="仿宋" w:eastAsia="仿宋"/>
                <w:szCs w:val="21"/>
              </w:rPr>
            </w:pPr>
            <w:r>
              <w:rPr>
                <w:rFonts w:hint="eastAsia" w:ascii="仿宋" w:hAnsi="仿宋" w:eastAsia="仿宋"/>
                <w:szCs w:val="21"/>
              </w:rPr>
              <w:t>地砖，面砖，洗涤盆，铝合金窗</w:t>
            </w:r>
            <w:r>
              <w:rPr>
                <w:rFonts w:hint="eastAsia" w:ascii="仿宋" w:hAnsi="仿宋" w:eastAsia="仿宋"/>
                <w:szCs w:val="21"/>
                <w:lang w:eastAsia="zh-CN"/>
              </w:rPr>
              <w:t>整体</w:t>
            </w:r>
            <w:r>
              <w:rPr>
                <w:rFonts w:hint="eastAsia" w:ascii="仿宋" w:hAnsi="仿宋" w:eastAsia="仿宋"/>
                <w:szCs w:val="21"/>
              </w:rPr>
              <w:t>封闭</w:t>
            </w:r>
          </w:p>
        </w:tc>
      </w:tr>
    </w:tbl>
    <w:p>
      <w:pPr>
        <w:spacing w:line="480" w:lineRule="exact"/>
        <w:ind w:firstLine="561"/>
        <w:rPr>
          <w:rFonts w:ascii="仿宋" w:hAnsi="仿宋" w:eastAsia="仿宋" w:cs="Arial"/>
          <w:sz w:val="28"/>
          <w:szCs w:val="28"/>
        </w:rPr>
      </w:pPr>
      <w:r>
        <w:rPr>
          <w:rFonts w:hint="eastAsia" w:ascii="仿宋" w:hAnsi="仿宋" w:eastAsia="仿宋" w:cs="Arial"/>
          <w:sz w:val="28"/>
          <w:szCs w:val="28"/>
        </w:rPr>
        <w:t>另据实地查勘，</w:t>
      </w:r>
      <w:r>
        <w:rPr>
          <w:rFonts w:hint="eastAsia" w:ascii="仿宋" w:hAnsi="仿宋" w:eastAsia="仿宋" w:cs="Arial"/>
          <w:sz w:val="28"/>
          <w:szCs w:val="28"/>
          <w:lang w:eastAsia="zh-CN"/>
        </w:rPr>
        <w:t>在</w:t>
      </w:r>
      <w:r>
        <w:rPr>
          <w:rFonts w:hint="eastAsia" w:ascii="仿宋" w:hAnsi="仿宋" w:eastAsia="仿宋" w:cs="Arial"/>
          <w:sz w:val="28"/>
          <w:szCs w:val="28"/>
        </w:rPr>
        <w:t>估价对象底层有车棚一间，</w:t>
      </w:r>
      <w:r>
        <w:rPr>
          <w:rFonts w:hint="eastAsia" w:ascii="仿宋" w:hAnsi="仿宋" w:eastAsia="仿宋" w:cs="Arial"/>
          <w:sz w:val="28"/>
          <w:szCs w:val="28"/>
          <w:lang w:eastAsia="zh-CN"/>
        </w:rPr>
        <w:t>在小区</w:t>
      </w:r>
      <w:r>
        <w:rPr>
          <w:rFonts w:hint="eastAsia" w:ascii="仿宋" w:hAnsi="仿宋" w:eastAsia="仿宋" w:cs="Arial"/>
          <w:sz w:val="28"/>
          <w:szCs w:val="28"/>
        </w:rPr>
        <w:t>地下一层另有车位一个。估价对象于价值时点处于自用状态</w:t>
      </w:r>
      <w:r>
        <w:rPr>
          <w:rFonts w:ascii="仿宋" w:hAnsi="仿宋" w:eastAsia="仿宋" w:cs="Arial"/>
          <w:sz w:val="28"/>
          <w:szCs w:val="28"/>
        </w:rPr>
        <w:t>。</w:t>
      </w:r>
    </w:p>
    <w:p>
      <w:pPr>
        <w:tabs>
          <w:tab w:val="left" w:pos="3060"/>
        </w:tabs>
        <w:spacing w:line="520" w:lineRule="exact"/>
        <w:ind w:right="181" w:firstLine="560" w:firstLineChars="200"/>
        <w:rPr>
          <w:rFonts w:eastAsia="仿宋_GB2312"/>
          <w:sz w:val="28"/>
        </w:rPr>
      </w:pPr>
      <w:r>
        <w:rPr>
          <w:rFonts w:hint="eastAsia" w:eastAsia="仿宋_GB2312"/>
          <w:sz w:val="28"/>
        </w:rPr>
        <w:t>（五）区位状况</w:t>
      </w:r>
    </w:p>
    <w:p>
      <w:pPr>
        <w:spacing w:line="480" w:lineRule="exact"/>
        <w:ind w:left="210" w:leftChars="100" w:firstLine="560" w:firstLineChars="200"/>
        <w:rPr>
          <w:rFonts w:ascii="仿宋" w:hAnsi="仿宋" w:eastAsia="仿宋"/>
          <w:sz w:val="28"/>
          <w:szCs w:val="28"/>
        </w:rPr>
      </w:pPr>
      <w:r>
        <w:rPr>
          <w:rFonts w:hint="eastAsia" w:ascii="仿宋" w:hAnsi="仿宋" w:eastAsia="仿宋"/>
          <w:sz w:val="28"/>
          <w:szCs w:val="28"/>
        </w:rPr>
        <w:t>1、</w:t>
      </w:r>
      <w:r>
        <w:rPr>
          <w:rFonts w:hint="eastAsia" w:ascii="仿宋" w:hAnsi="仿宋" w:eastAsia="仿宋" w:cs="Arial"/>
          <w:sz w:val="28"/>
        </w:rPr>
        <w:t>位置</w:t>
      </w:r>
      <w:r>
        <w:rPr>
          <w:rFonts w:ascii="仿宋" w:hAnsi="仿宋" w:eastAsia="仿宋" w:cs="Arial"/>
          <w:sz w:val="28"/>
        </w:rPr>
        <w:t>：</w:t>
      </w:r>
      <w:r>
        <w:rPr>
          <w:rFonts w:hint="eastAsia" w:ascii="仿宋" w:hAnsi="仿宋" w:eastAsia="仿宋" w:cs="Arial"/>
          <w:sz w:val="28"/>
        </w:rPr>
        <w:t>估价对象为</w:t>
      </w:r>
      <w:r>
        <w:rPr>
          <w:rFonts w:hint="eastAsia" w:ascii="仿宋" w:hAnsi="仿宋" w:eastAsia="仿宋"/>
          <w:sz w:val="28"/>
          <w:szCs w:val="28"/>
        </w:rPr>
        <w:t>宁波市象山县丹西街道西谷苑5幢4单元402室，所在小区</w:t>
      </w:r>
      <w:r>
        <w:rPr>
          <w:rFonts w:hint="eastAsia" w:ascii="仿宋" w:hAnsi="仿宋" w:eastAsia="仿宋" w:cs="Arial"/>
          <w:sz w:val="28"/>
        </w:rPr>
        <w:t>东邻蓬莱路、南邻望湖苑小区，西临西谷路，北邻靖南大街</w:t>
      </w:r>
      <w:r>
        <w:rPr>
          <w:rFonts w:hint="eastAsia" w:ascii="仿宋" w:hAnsi="仿宋" w:eastAsia="仿宋"/>
          <w:sz w:val="28"/>
          <w:szCs w:val="28"/>
        </w:rPr>
        <w:t>。周边有</w:t>
      </w:r>
      <w:r>
        <w:rPr>
          <w:rFonts w:hint="eastAsia" w:ascii="仿宋" w:hAnsi="仿宋" w:eastAsia="仿宋" w:cs="Arial"/>
          <w:sz w:val="28"/>
        </w:rPr>
        <w:t>望湖苑小区</w:t>
      </w:r>
      <w:r>
        <w:rPr>
          <w:rFonts w:hint="eastAsia" w:ascii="宋体" w:hAnsi="宋体" w:eastAsia="宋体" w:cs="宋体"/>
          <w:sz w:val="28"/>
        </w:rPr>
        <w:t>、</w:t>
      </w:r>
      <w:r>
        <w:rPr>
          <w:rFonts w:hint="eastAsia" w:ascii="仿宋" w:hAnsi="仿宋" w:eastAsia="仿宋" w:cs="Arial"/>
          <w:sz w:val="28"/>
        </w:rPr>
        <w:t>蓬莱</w:t>
      </w:r>
      <w:r>
        <w:rPr>
          <w:rFonts w:hint="eastAsia" w:ascii="仿宋" w:hAnsi="仿宋" w:eastAsia="仿宋" w:cs="Arial"/>
          <w:sz w:val="28"/>
          <w:lang w:eastAsia="zh-CN"/>
        </w:rPr>
        <w:t>小区</w:t>
      </w:r>
      <w:r>
        <w:rPr>
          <w:rFonts w:hint="eastAsia" w:ascii="仿宋" w:hAnsi="仿宋" w:eastAsia="仿宋"/>
          <w:sz w:val="28"/>
          <w:szCs w:val="28"/>
        </w:rPr>
        <w:t>等住宅小区，居住成熟度较高。</w:t>
      </w:r>
    </w:p>
    <w:p>
      <w:pPr>
        <w:snapToGrid w:val="0"/>
        <w:spacing w:line="480" w:lineRule="exact"/>
        <w:ind w:firstLine="560" w:firstLineChars="200"/>
        <w:rPr>
          <w:rFonts w:ascii="仿宋" w:hAnsi="仿宋" w:eastAsia="仿宋" w:cs="Arial"/>
          <w:sz w:val="28"/>
          <w:szCs w:val="28"/>
        </w:rPr>
      </w:pPr>
      <w:r>
        <w:rPr>
          <w:rFonts w:hint="eastAsia" w:ascii="仿宋" w:hAnsi="仿宋" w:eastAsia="仿宋"/>
          <w:sz w:val="28"/>
          <w:szCs w:val="28"/>
        </w:rPr>
        <w:t>2、</w:t>
      </w:r>
      <w:r>
        <w:rPr>
          <w:rFonts w:hint="eastAsia" w:ascii="仿宋" w:hAnsi="仿宋" w:eastAsia="仿宋" w:cs="Arial"/>
          <w:sz w:val="28"/>
          <w:szCs w:val="28"/>
        </w:rPr>
        <w:t>交通：</w:t>
      </w:r>
      <w:r>
        <w:rPr>
          <w:rFonts w:hint="eastAsia" w:ascii="仿宋" w:hAnsi="仿宋" w:eastAsia="仿宋" w:cs="Arial"/>
          <w:sz w:val="28"/>
        </w:rPr>
        <w:t>附近有103公交线路经过，交通便捷度一般。</w:t>
      </w:r>
      <w:r>
        <w:rPr>
          <w:rFonts w:hint="eastAsia" w:ascii="仿宋" w:hAnsi="仿宋" w:eastAsia="仿宋"/>
          <w:sz w:val="28"/>
          <w:szCs w:val="28"/>
        </w:rPr>
        <w:t>小区内设有地上和地下</w:t>
      </w:r>
      <w:r>
        <w:rPr>
          <w:rFonts w:hint="eastAsia" w:ascii="仿宋" w:hAnsi="仿宋" w:eastAsia="仿宋" w:cs="Arial"/>
          <w:sz w:val="28"/>
        </w:rPr>
        <w:t>停车位，小区停车便捷程度较好。</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3、</w:t>
      </w:r>
      <w:r>
        <w:rPr>
          <w:rFonts w:hint="eastAsia" w:ascii="仿宋" w:hAnsi="仿宋" w:eastAsia="仿宋" w:cs="Arial"/>
          <w:sz w:val="28"/>
          <w:szCs w:val="28"/>
        </w:rPr>
        <w:t>外部配套设施</w:t>
      </w:r>
      <w:r>
        <w:rPr>
          <w:rFonts w:ascii="仿宋" w:hAnsi="仿宋" w:eastAsia="仿宋" w:cs="Arial"/>
          <w:sz w:val="28"/>
          <w:szCs w:val="28"/>
        </w:rPr>
        <w:t>：</w:t>
      </w:r>
      <w:r>
        <w:rPr>
          <w:rFonts w:hint="eastAsia" w:ascii="仿宋" w:hAnsi="仿宋" w:eastAsia="仿宋"/>
          <w:sz w:val="28"/>
          <w:szCs w:val="28"/>
        </w:rPr>
        <w:t>基础设施已达至“</w:t>
      </w:r>
      <w:r>
        <w:rPr>
          <w:rFonts w:hint="eastAsia" w:ascii="仿宋" w:hAnsi="仿宋" w:eastAsia="仿宋"/>
          <w:sz w:val="28"/>
          <w:szCs w:val="28"/>
          <w:lang w:eastAsia="zh-CN"/>
        </w:rPr>
        <w:t>六</w:t>
      </w:r>
      <w:r>
        <w:rPr>
          <w:rFonts w:hint="eastAsia" w:ascii="仿宋" w:hAnsi="仿宋" w:eastAsia="仿宋"/>
          <w:sz w:val="28"/>
          <w:szCs w:val="28"/>
        </w:rPr>
        <w:t>通”，基础设施完善，周边有超市、</w:t>
      </w:r>
      <w:r>
        <w:rPr>
          <w:rFonts w:hint="eastAsia" w:ascii="仿宋" w:hAnsi="仿宋" w:eastAsia="仿宋"/>
          <w:sz w:val="28"/>
          <w:szCs w:val="28"/>
          <w:lang w:eastAsia="zh-CN"/>
        </w:rPr>
        <w:t>幼儿园</w:t>
      </w:r>
      <w:r>
        <w:rPr>
          <w:rFonts w:hint="eastAsia" w:ascii="宋体" w:hAnsi="宋体" w:eastAsia="宋体" w:cs="宋体"/>
          <w:sz w:val="28"/>
          <w:szCs w:val="28"/>
          <w:lang w:eastAsia="zh-CN"/>
        </w:rPr>
        <w:t>、</w:t>
      </w:r>
      <w:r>
        <w:rPr>
          <w:rFonts w:hint="eastAsia" w:ascii="仿宋" w:hAnsi="仿宋" w:eastAsia="仿宋"/>
          <w:sz w:val="28"/>
          <w:szCs w:val="28"/>
          <w:lang w:eastAsia="zh-CN"/>
        </w:rPr>
        <w:t>丹城第三小</w:t>
      </w:r>
      <w:r>
        <w:rPr>
          <w:rFonts w:hint="eastAsia" w:ascii="仿宋" w:hAnsi="仿宋" w:eastAsia="仿宋"/>
          <w:sz w:val="28"/>
          <w:szCs w:val="28"/>
        </w:rPr>
        <w:t>学</w:t>
      </w:r>
      <w:r>
        <w:rPr>
          <w:rFonts w:hint="eastAsia" w:ascii="宋体" w:hAnsi="宋体" w:eastAsia="宋体" w:cs="宋体"/>
          <w:sz w:val="28"/>
          <w:szCs w:val="28"/>
        </w:rPr>
        <w:t>、</w:t>
      </w:r>
      <w:r>
        <w:rPr>
          <w:rFonts w:hint="eastAsia" w:ascii="仿宋" w:hAnsi="仿宋" w:eastAsia="仿宋"/>
          <w:sz w:val="28"/>
          <w:szCs w:val="28"/>
          <w:lang w:eastAsia="zh-CN"/>
        </w:rPr>
        <w:t>丹城第二中</w:t>
      </w:r>
      <w:r>
        <w:rPr>
          <w:rFonts w:hint="eastAsia" w:ascii="仿宋" w:hAnsi="仿宋" w:eastAsia="仿宋"/>
          <w:sz w:val="28"/>
          <w:szCs w:val="28"/>
        </w:rPr>
        <w:t>学、</w:t>
      </w:r>
      <w:r>
        <w:rPr>
          <w:rFonts w:hint="eastAsia" w:ascii="仿宋" w:hAnsi="仿宋" w:eastAsia="仿宋"/>
          <w:sz w:val="28"/>
          <w:szCs w:val="28"/>
          <w:lang w:eastAsia="zh-CN"/>
        </w:rPr>
        <w:t>象山县中医医院</w:t>
      </w:r>
      <w:r>
        <w:rPr>
          <w:rFonts w:hint="eastAsia" w:ascii="仿宋" w:hAnsi="仿宋" w:eastAsia="仿宋"/>
          <w:sz w:val="28"/>
          <w:szCs w:val="28"/>
        </w:rPr>
        <w:t>等，公共服务配套设施较完善。</w:t>
      </w:r>
    </w:p>
    <w:p>
      <w:pPr>
        <w:snapToGrid w:val="0"/>
        <w:spacing w:line="480" w:lineRule="exact"/>
        <w:ind w:firstLine="560" w:firstLineChars="200"/>
        <w:rPr>
          <w:rFonts w:ascii="仿宋" w:hAnsi="仿宋" w:eastAsia="仿宋" w:cs="Arial"/>
          <w:sz w:val="28"/>
        </w:rPr>
      </w:pPr>
      <w:r>
        <w:rPr>
          <w:rFonts w:hint="eastAsia" w:ascii="仿宋" w:hAnsi="仿宋" w:eastAsia="仿宋"/>
          <w:sz w:val="28"/>
          <w:szCs w:val="28"/>
        </w:rPr>
        <w:t>4、</w:t>
      </w:r>
      <w:r>
        <w:rPr>
          <w:rFonts w:hint="eastAsia" w:ascii="仿宋" w:hAnsi="仿宋" w:eastAsia="仿宋" w:cs="Arial"/>
          <w:sz w:val="28"/>
          <w:szCs w:val="28"/>
        </w:rPr>
        <w:t>周围环境</w:t>
      </w:r>
      <w:r>
        <w:rPr>
          <w:rFonts w:ascii="仿宋" w:hAnsi="仿宋" w:eastAsia="仿宋" w:cs="Arial"/>
          <w:sz w:val="28"/>
          <w:szCs w:val="28"/>
        </w:rPr>
        <w:t>：</w:t>
      </w:r>
      <w:r>
        <w:rPr>
          <w:rFonts w:hint="eastAsia" w:ascii="仿宋" w:hAnsi="仿宋" w:eastAsia="仿宋"/>
          <w:sz w:val="28"/>
          <w:szCs w:val="28"/>
        </w:rPr>
        <w:t>周边环境较整洁，道路清洁，环境和空气质量较好。</w:t>
      </w:r>
    </w:p>
    <w:p>
      <w:pPr>
        <w:spacing w:line="560" w:lineRule="exact"/>
        <w:rPr>
          <w:rFonts w:ascii="仿宋" w:hAnsi="仿宋" w:eastAsia="仿宋"/>
        </w:rPr>
      </w:pPr>
      <w:r>
        <w:rPr>
          <w:rFonts w:hint="eastAsia" w:ascii="仿宋" w:hAnsi="仿宋" w:eastAsia="仿宋"/>
          <w:b/>
          <w:bCs/>
          <w:kern w:val="0"/>
          <w:sz w:val="32"/>
          <w:szCs w:val="28"/>
        </w:rPr>
        <w:t>五、价值时点</w:t>
      </w:r>
      <w:bookmarkEnd w:id="15"/>
    </w:p>
    <w:p>
      <w:pPr>
        <w:spacing w:line="480" w:lineRule="exact"/>
        <w:ind w:firstLine="560" w:firstLineChars="200"/>
        <w:rPr>
          <w:rFonts w:ascii="仿宋" w:hAnsi="仿宋" w:eastAsia="仿宋"/>
          <w:sz w:val="28"/>
          <w:szCs w:val="28"/>
        </w:rPr>
      </w:pPr>
      <w:r>
        <w:rPr>
          <w:rFonts w:hint="eastAsia" w:ascii="仿宋" w:hAnsi="仿宋" w:eastAsia="仿宋"/>
          <w:sz w:val="28"/>
          <w:szCs w:val="28"/>
        </w:rPr>
        <w:t>价值时点为估价人员实地查勘日，即2022年6月17日。</w:t>
      </w:r>
    </w:p>
    <w:p>
      <w:pPr>
        <w:pStyle w:val="3"/>
        <w:spacing w:line="560" w:lineRule="exact"/>
        <w:rPr>
          <w:rFonts w:ascii="仿宋" w:hAnsi="仿宋" w:eastAsia="仿宋"/>
          <w:sz w:val="28"/>
        </w:rPr>
      </w:pPr>
      <w:bookmarkStart w:id="16" w:name="_Toc6272"/>
      <w:bookmarkStart w:id="17" w:name="_Toc10204"/>
      <w:r>
        <w:rPr>
          <w:rFonts w:hint="eastAsia" w:ascii="仿宋" w:hAnsi="仿宋" w:eastAsia="仿宋"/>
        </w:rPr>
        <w:t>六、价值类型</w:t>
      </w:r>
      <w:bookmarkEnd w:id="16"/>
      <w:bookmarkEnd w:id="17"/>
    </w:p>
    <w:p>
      <w:pPr>
        <w:spacing w:line="560" w:lineRule="exact"/>
        <w:ind w:firstLine="560" w:firstLineChars="200"/>
        <w:rPr>
          <w:rFonts w:ascii="仿宋" w:hAnsi="仿宋" w:eastAsia="仿宋"/>
          <w:sz w:val="28"/>
          <w:szCs w:val="28"/>
        </w:rPr>
      </w:pPr>
      <w:r>
        <w:rPr>
          <w:rFonts w:hint="eastAsia" w:ascii="仿宋" w:hAnsi="仿宋" w:eastAsia="仿宋"/>
          <w:sz w:val="28"/>
          <w:szCs w:val="28"/>
        </w:rPr>
        <w:t>（一）价值类型名称</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本次估价的价值类型为市场</w:t>
      </w:r>
      <w:r>
        <w:rPr>
          <w:rFonts w:ascii="仿宋" w:hAnsi="仿宋" w:eastAsia="仿宋"/>
          <w:sz w:val="28"/>
          <w:szCs w:val="28"/>
        </w:rPr>
        <w:t>价值</w:t>
      </w:r>
      <w:r>
        <w:rPr>
          <w:rFonts w:hint="eastAsia" w:ascii="仿宋" w:hAnsi="仿宋" w:eastAsia="仿宋"/>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（二）价值定义</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市场价值为估价对象经适当营销后，由熟悉情况、谨慎行事且不受强迫的交易双方，以公平交易方式在价值时点自愿进行交易的金额。</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（三）价值内涵</w:t>
      </w:r>
    </w:p>
    <w:p>
      <w:pPr>
        <w:spacing w:line="560" w:lineRule="exact"/>
        <w:ind w:firstLine="561"/>
        <w:rPr>
          <w:rFonts w:ascii="仿宋" w:hAnsi="仿宋" w:eastAsia="仿宋"/>
          <w:sz w:val="28"/>
          <w:szCs w:val="28"/>
        </w:rPr>
      </w:pPr>
      <w:r>
        <w:rPr>
          <w:rFonts w:hint="eastAsia" w:ascii="仿宋" w:hAnsi="仿宋" w:eastAsia="仿宋"/>
          <w:sz w:val="28"/>
          <w:szCs w:val="28"/>
        </w:rPr>
        <w:t>价值内涵是估价对象在价值时点，满足本次估价假设和限制条件下包括建筑物、土地使用权、不包括动产、债权债务等其他财产或权益。付款方式是一次性付清房价款；房屋面积内涵为建筑面积；不考虑估价对象可能存在欠缴物业费</w:t>
      </w:r>
      <w:r>
        <w:rPr>
          <w:rFonts w:hint="eastAsia" w:ascii="宋体" w:hAnsi="宋体" w:cs="宋体"/>
          <w:sz w:val="28"/>
          <w:szCs w:val="28"/>
        </w:rPr>
        <w:t>、</w:t>
      </w:r>
      <w:r>
        <w:rPr>
          <w:rFonts w:hint="eastAsia" w:ascii="仿宋" w:hAnsi="仿宋" w:eastAsia="仿宋"/>
          <w:sz w:val="28"/>
          <w:szCs w:val="28"/>
        </w:rPr>
        <w:t>欠缴税金及相关费用对评估结果的影响；不考虑评估费、拍卖费、诉讼费、律师费等财产处置费用对评估结果的影响；不考虑估价对象被</w:t>
      </w:r>
      <w:r>
        <w:rPr>
          <w:rFonts w:hint="eastAsia" w:ascii="仿宋" w:hAnsi="仿宋" w:eastAsia="仿宋"/>
          <w:sz w:val="28"/>
          <w:szCs w:val="28"/>
          <w:lang w:eastAsia="zh-CN"/>
        </w:rPr>
        <w:t>抵押</w:t>
      </w:r>
      <w:r>
        <w:rPr>
          <w:rFonts w:hint="eastAsia" w:ascii="宋体" w:hAnsi="宋体" w:eastAsia="宋体" w:cs="宋体"/>
          <w:sz w:val="28"/>
          <w:szCs w:val="28"/>
          <w:lang w:eastAsia="zh-CN"/>
        </w:rPr>
        <w:t>、</w:t>
      </w:r>
      <w:r>
        <w:rPr>
          <w:rFonts w:hint="eastAsia" w:ascii="仿宋" w:hAnsi="仿宋" w:eastAsia="仿宋"/>
          <w:sz w:val="28"/>
          <w:szCs w:val="28"/>
        </w:rPr>
        <w:t>查封以及原有的担保物权和其它优先受偿权的影响。</w:t>
      </w:r>
    </w:p>
    <w:p>
      <w:pPr>
        <w:pStyle w:val="3"/>
        <w:spacing w:line="560" w:lineRule="exact"/>
        <w:rPr>
          <w:rFonts w:ascii="仿宋" w:hAnsi="仿宋" w:eastAsia="仿宋"/>
          <w:sz w:val="28"/>
        </w:rPr>
      </w:pPr>
      <w:bookmarkStart w:id="18" w:name="_Toc17706"/>
      <w:r>
        <w:rPr>
          <w:rFonts w:hint="eastAsia" w:ascii="仿宋" w:hAnsi="仿宋" w:eastAsia="仿宋"/>
        </w:rPr>
        <w:t>七、估价原则</w:t>
      </w:r>
      <w:bookmarkEnd w:id="18"/>
    </w:p>
    <w:p>
      <w:pPr>
        <w:spacing w:line="560" w:lineRule="exact"/>
        <w:ind w:firstLine="560" w:firstLineChars="200"/>
        <w:rPr>
          <w:rFonts w:ascii="仿宋" w:hAnsi="仿宋" w:eastAsia="仿宋"/>
          <w:sz w:val="28"/>
          <w:szCs w:val="28"/>
        </w:rPr>
      </w:pPr>
      <w:r>
        <w:rPr>
          <w:rFonts w:ascii="仿宋" w:hAnsi="仿宋" w:eastAsia="仿宋"/>
          <w:sz w:val="28"/>
          <w:szCs w:val="28"/>
        </w:rPr>
        <w:t>房地产估价遵循独立、客观、公正原则、合法原则、价值时点原则、替代原则、最高最佳利用原则。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独立、客观、公正原则：要求站在中立的立场上，实事求是、公平正直地评估出对各方估价利害关系人均是公平合理的价值或价格的原则。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合法原则：要求估价结果是在依法判定的估价对象状况下的价值或价格的原则。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价值时点原则：要求估价结果是在根据估价目的确定的某一特定时间的价值或价格的原则。</w:t>
      </w:r>
    </w:p>
    <w:p>
      <w:pPr>
        <w:spacing w:line="500" w:lineRule="exact"/>
        <w:ind w:firstLine="539"/>
        <w:rPr>
          <w:rFonts w:ascii="仿宋" w:hAnsi="仿宋" w:eastAsia="仿宋"/>
          <w:sz w:val="28"/>
          <w:szCs w:val="28"/>
        </w:rPr>
      </w:pPr>
      <w:r>
        <w:rPr>
          <w:rFonts w:ascii="仿宋" w:hAnsi="仿宋" w:eastAsia="仿宋"/>
          <w:sz w:val="28"/>
          <w:szCs w:val="28"/>
        </w:rPr>
        <w:t>替代原则：要求估价结果与估价对象的类似房地产在同等条件下的价值或价格偏差在合理范围内的原则。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遵循最高最佳利用原则，要求估价结果是在估价对象最高最佳利用状况下的价值或价格的原则。</w:t>
      </w:r>
    </w:p>
    <w:p>
      <w:pPr>
        <w:pStyle w:val="3"/>
        <w:spacing w:line="560" w:lineRule="exact"/>
        <w:rPr>
          <w:rFonts w:ascii="仿宋" w:hAnsi="仿宋" w:eastAsia="仿宋"/>
        </w:rPr>
      </w:pPr>
      <w:bookmarkStart w:id="19" w:name="_Toc23944"/>
      <w:bookmarkStart w:id="20" w:name="_Toc8897"/>
      <w:r>
        <w:rPr>
          <w:rFonts w:hint="eastAsia" w:ascii="仿宋" w:hAnsi="仿宋" w:eastAsia="仿宋"/>
        </w:rPr>
        <w:t>八</w:t>
      </w:r>
      <w:r>
        <w:rPr>
          <w:rFonts w:hint="eastAsia" w:ascii="宋体" w:hAnsi="宋体" w:eastAsia="宋体" w:cs="宋体"/>
        </w:rPr>
        <w:t>、</w:t>
      </w:r>
      <w:r>
        <w:rPr>
          <w:rFonts w:hint="eastAsia" w:ascii="仿宋" w:hAnsi="仿宋" w:eastAsia="仿宋"/>
        </w:rPr>
        <w:t>估价依据</w:t>
      </w:r>
      <w:bookmarkEnd w:id="19"/>
      <w:bookmarkEnd w:id="20"/>
    </w:p>
    <w:p>
      <w:pPr>
        <w:spacing w:line="560" w:lineRule="exact"/>
        <w:ind w:firstLine="560" w:firstLineChars="200"/>
        <w:rPr>
          <w:rFonts w:ascii="仿宋" w:hAnsi="仿宋" w:eastAsia="仿宋"/>
          <w:sz w:val="28"/>
          <w:szCs w:val="28"/>
        </w:rPr>
      </w:pPr>
      <w:r>
        <w:rPr>
          <w:rFonts w:hint="eastAsia" w:ascii="仿宋" w:hAnsi="仿宋" w:eastAsia="仿宋"/>
          <w:sz w:val="28"/>
          <w:szCs w:val="28"/>
        </w:rPr>
        <w:t>（一）法律、法规及文件依据</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中华人民共和国民法典</w:t>
      </w:r>
      <w:r>
        <w:rPr>
          <w:rFonts w:hint="eastAsia" w:ascii="仿宋" w:hAnsi="仿宋" w:eastAsia="仿宋"/>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2、《中华人民共和国城市房地产管理法》；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3、《中华人民共和国土地管理法》；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4、《中华人民共和国城市规划法》；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5</w:t>
      </w:r>
      <w:r>
        <w:rPr>
          <w:rFonts w:hint="eastAsia" w:ascii="宋体" w:hAnsi="宋体" w:cs="宋体"/>
          <w:sz w:val="28"/>
          <w:szCs w:val="28"/>
        </w:rPr>
        <w:t>、</w:t>
      </w:r>
      <w:r>
        <w:rPr>
          <w:rFonts w:hint="eastAsia" w:ascii="仿宋" w:hAnsi="仿宋" w:eastAsia="仿宋"/>
          <w:sz w:val="28"/>
          <w:szCs w:val="28"/>
        </w:rPr>
        <w:t>《中华人民共和国资产评估法》；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6、《最高人民法院关于人民法院确定财产处置参考价若干问题的规定》；</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7、《人民法院委托评估工作规范》；</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8、《涉执房地产处置司法评估指导意见（试行）》；</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9</w:t>
      </w:r>
      <w:r>
        <w:rPr>
          <w:rFonts w:hint="eastAsia" w:ascii="宋体" w:hAnsi="宋体" w:cs="宋体"/>
          <w:sz w:val="28"/>
          <w:szCs w:val="28"/>
        </w:rPr>
        <w:t>、</w:t>
      </w:r>
      <w:r>
        <w:rPr>
          <w:rFonts w:hint="eastAsia" w:ascii="仿宋" w:hAnsi="仿宋" w:eastAsia="仿宋"/>
          <w:sz w:val="28"/>
          <w:szCs w:val="28"/>
        </w:rPr>
        <w:t>《浙江省房地产司法评估指导意见（试行）》；</w:t>
      </w:r>
    </w:p>
    <w:p>
      <w:pPr>
        <w:spacing w:line="560" w:lineRule="exact"/>
        <w:ind w:firstLine="560" w:firstLineChars="200"/>
        <w:rPr>
          <w:rFonts w:ascii="仿宋" w:hAnsi="仿宋" w:eastAsia="仿宋" w:cs="Arial"/>
          <w:sz w:val="28"/>
          <w:szCs w:val="28"/>
          <w:lang w:val="zh-CN"/>
        </w:rPr>
      </w:pPr>
      <w:r>
        <w:rPr>
          <w:rFonts w:hint="eastAsia" w:ascii="仿宋" w:hAnsi="仿宋" w:eastAsia="仿宋"/>
          <w:sz w:val="28"/>
          <w:szCs w:val="28"/>
        </w:rPr>
        <w:t>10</w:t>
      </w:r>
      <w:r>
        <w:rPr>
          <w:rFonts w:hint="eastAsia" w:ascii="宋体" w:hAnsi="宋体" w:cs="宋体"/>
          <w:sz w:val="28"/>
          <w:szCs w:val="28"/>
        </w:rPr>
        <w:t>、</w:t>
      </w:r>
      <w:r>
        <w:rPr>
          <w:rFonts w:hint="eastAsia" w:ascii="仿宋" w:hAnsi="仿宋" w:eastAsia="仿宋" w:cs="Arial"/>
          <w:sz w:val="28"/>
          <w:szCs w:val="28"/>
          <w:lang w:val="zh-CN"/>
        </w:rPr>
        <w:t>《浙江省</w:t>
      </w:r>
      <w:r>
        <w:rPr>
          <w:rFonts w:hint="eastAsia" w:ascii="仿宋" w:hAnsi="仿宋" w:eastAsia="仿宋"/>
          <w:sz w:val="28"/>
          <w:szCs w:val="28"/>
        </w:rPr>
        <w:t>房地产司法</w:t>
      </w:r>
      <w:r>
        <w:rPr>
          <w:rFonts w:hint="eastAsia" w:ascii="仿宋" w:hAnsi="仿宋" w:eastAsia="仿宋" w:cs="Arial"/>
          <w:sz w:val="28"/>
          <w:szCs w:val="28"/>
          <w:lang w:val="zh-CN"/>
        </w:rPr>
        <w:t>估价技术指引（试行）》；</w:t>
      </w:r>
    </w:p>
    <w:p>
      <w:pPr>
        <w:spacing w:line="520" w:lineRule="exact"/>
        <w:ind w:firstLine="560" w:firstLineChars="200"/>
        <w:rPr>
          <w:rFonts w:ascii="仿宋" w:hAnsi="仿宋" w:eastAsia="仿宋"/>
          <w:sz w:val="28"/>
          <w:szCs w:val="28"/>
        </w:rPr>
      </w:pPr>
      <w:r>
        <w:rPr>
          <w:rFonts w:hint="eastAsia" w:ascii="仿宋" w:hAnsi="仿宋" w:eastAsia="仿宋" w:cs="Arial"/>
          <w:sz w:val="28"/>
          <w:szCs w:val="28"/>
        </w:rPr>
        <w:t>11</w:t>
      </w:r>
      <w:r>
        <w:rPr>
          <w:rFonts w:hint="eastAsia" w:ascii="仿宋" w:hAnsi="仿宋" w:eastAsia="仿宋" w:cs="Arial"/>
          <w:sz w:val="28"/>
          <w:szCs w:val="28"/>
          <w:lang w:val="zh-CN"/>
        </w:rPr>
        <w:t>、</w:t>
      </w:r>
      <w:r>
        <w:rPr>
          <w:rFonts w:hint="eastAsia" w:ascii="仿宋" w:hAnsi="仿宋" w:eastAsia="仿宋"/>
          <w:sz w:val="28"/>
          <w:szCs w:val="28"/>
        </w:rPr>
        <w:t>其它法律规定</w:t>
      </w:r>
      <w:r>
        <w:rPr>
          <w:rFonts w:hint="eastAsia" w:ascii="宋体" w:hAnsi="宋体" w:cs="宋体"/>
          <w:sz w:val="28"/>
          <w:szCs w:val="28"/>
        </w:rPr>
        <w:t>、</w:t>
      </w:r>
      <w:r>
        <w:rPr>
          <w:rFonts w:hint="eastAsia" w:ascii="仿宋" w:hAnsi="仿宋" w:eastAsia="仿宋" w:cs="仿宋"/>
          <w:sz w:val="28"/>
          <w:szCs w:val="28"/>
        </w:rPr>
        <w:t>政策文件等</w:t>
      </w:r>
      <w:r>
        <w:rPr>
          <w:rFonts w:hint="eastAsia" w:ascii="仿宋" w:hAnsi="仿宋" w:eastAsia="仿宋"/>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（二）估价标准</w:t>
      </w:r>
    </w:p>
    <w:p>
      <w:pPr>
        <w:spacing w:line="520" w:lineRule="exact"/>
        <w:ind w:firstLine="560" w:firstLineChars="200"/>
        <w:rPr>
          <w:rFonts w:ascii="仿宋" w:hAnsi="仿宋" w:eastAsia="仿宋" w:cs="Arial"/>
          <w:sz w:val="28"/>
          <w:szCs w:val="28"/>
          <w:lang w:val="zh-CN"/>
        </w:rPr>
      </w:pPr>
      <w:r>
        <w:rPr>
          <w:rFonts w:hint="eastAsia" w:ascii="仿宋" w:hAnsi="仿宋" w:eastAsia="仿宋" w:cs="Arial"/>
          <w:sz w:val="28"/>
          <w:szCs w:val="28"/>
        </w:rPr>
        <w:t>1</w:t>
      </w:r>
      <w:r>
        <w:rPr>
          <w:rFonts w:hint="eastAsia" w:ascii="仿宋" w:hAnsi="仿宋" w:eastAsia="仿宋" w:cs="Arial"/>
          <w:sz w:val="28"/>
          <w:szCs w:val="28"/>
          <w:lang w:val="zh-CN"/>
        </w:rPr>
        <w:t>、《房地产估价规范》（GB/T50291-2015）；</w:t>
      </w:r>
    </w:p>
    <w:p>
      <w:pPr>
        <w:spacing w:line="520" w:lineRule="exact"/>
        <w:ind w:firstLine="560" w:firstLineChars="200"/>
        <w:rPr>
          <w:rFonts w:ascii="仿宋" w:hAnsi="仿宋" w:eastAsia="仿宋" w:cs="Arial"/>
          <w:sz w:val="28"/>
          <w:szCs w:val="28"/>
          <w:lang w:val="zh-CN"/>
        </w:rPr>
      </w:pPr>
      <w:r>
        <w:rPr>
          <w:rFonts w:hint="eastAsia" w:ascii="仿宋" w:hAnsi="仿宋" w:eastAsia="仿宋" w:cs="Arial"/>
          <w:sz w:val="28"/>
          <w:szCs w:val="28"/>
        </w:rPr>
        <w:t>2</w:t>
      </w:r>
      <w:r>
        <w:rPr>
          <w:rFonts w:hint="eastAsia" w:ascii="仿宋" w:hAnsi="仿宋" w:eastAsia="仿宋" w:cs="Arial"/>
          <w:sz w:val="28"/>
          <w:szCs w:val="28"/>
          <w:lang w:val="zh-CN"/>
        </w:rPr>
        <w:t>、《房地产估价基本术语标准》（GB/T50899-2013）；</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（三）估价委托人提供的资料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1、司法评估委托书；</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w:t>
      </w:r>
      <w:r>
        <w:rPr>
          <w:rFonts w:hint="eastAsia" w:ascii="宋体" w:hAnsi="宋体" w:cs="宋体"/>
          <w:sz w:val="28"/>
          <w:szCs w:val="28"/>
        </w:rPr>
        <w:t>、</w:t>
      </w:r>
      <w:r>
        <w:rPr>
          <w:rFonts w:hint="eastAsia" w:ascii="仿宋" w:hAnsi="仿宋" w:eastAsia="仿宋" w:cs="Arial"/>
          <w:sz w:val="28"/>
        </w:rPr>
        <w:t>不动产信息查询记录</w:t>
      </w:r>
      <w:r>
        <w:rPr>
          <w:rFonts w:hint="eastAsia" w:ascii="仿宋" w:hAnsi="仿宋" w:eastAsia="仿宋"/>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3、估价委托人提供的</w:t>
      </w:r>
      <w:r>
        <w:rPr>
          <w:rFonts w:hint="eastAsia" w:ascii="仿宋" w:hAnsi="仿宋" w:eastAsia="仿宋"/>
          <w:sz w:val="28"/>
          <w:szCs w:val="28"/>
          <w:lang w:eastAsia="zh-CN"/>
        </w:rPr>
        <w:t>其他</w:t>
      </w:r>
      <w:r>
        <w:rPr>
          <w:rFonts w:hint="eastAsia" w:ascii="仿宋" w:hAnsi="仿宋" w:eastAsia="仿宋"/>
          <w:sz w:val="28"/>
          <w:szCs w:val="28"/>
        </w:rPr>
        <w:t>资料。</w:t>
      </w:r>
      <w:bookmarkStart w:id="36" w:name="_GoBack"/>
      <w:bookmarkEnd w:id="36"/>
    </w:p>
    <w:p>
      <w:pPr>
        <w:spacing w:line="560" w:lineRule="exact"/>
        <w:ind w:firstLine="560" w:firstLineChars="200"/>
        <w:rPr>
          <w:rFonts w:ascii="仿宋" w:hAnsi="仿宋" w:eastAsia="仿宋"/>
          <w:sz w:val="28"/>
          <w:szCs w:val="28"/>
        </w:rPr>
      </w:pPr>
      <w:r>
        <w:rPr>
          <w:rFonts w:hint="eastAsia" w:ascii="仿宋" w:hAnsi="仿宋" w:eastAsia="仿宋"/>
          <w:sz w:val="28"/>
          <w:szCs w:val="28"/>
        </w:rPr>
        <w:t>（四）估价机构及估价师搜集的资料</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1、估价对象照片；</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2、实地查勘记录；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3、可比实例等相关资料；</w:t>
      </w:r>
    </w:p>
    <w:p>
      <w:pPr>
        <w:spacing w:line="560" w:lineRule="exact"/>
        <w:ind w:firstLine="560" w:firstLineChars="200"/>
      </w:pPr>
      <w:r>
        <w:rPr>
          <w:rFonts w:hint="eastAsia" w:ascii="仿宋" w:hAnsi="仿宋" w:eastAsia="仿宋"/>
          <w:sz w:val="28"/>
          <w:szCs w:val="28"/>
        </w:rPr>
        <w:t>4、当地市场调查和搜集的有关资料等。</w:t>
      </w:r>
    </w:p>
    <w:p>
      <w:pPr>
        <w:pStyle w:val="3"/>
        <w:spacing w:line="560" w:lineRule="exact"/>
        <w:rPr>
          <w:rFonts w:ascii="仿宋" w:hAnsi="仿宋" w:eastAsia="仿宋"/>
        </w:rPr>
      </w:pPr>
      <w:bookmarkStart w:id="21" w:name="_Toc15244"/>
      <w:bookmarkStart w:id="22" w:name="_Toc17527"/>
      <w:r>
        <w:rPr>
          <w:rFonts w:hint="eastAsia" w:ascii="仿宋" w:hAnsi="仿宋" w:eastAsia="仿宋"/>
        </w:rPr>
        <w:t>九、估价方法</w:t>
      </w:r>
      <w:bookmarkEnd w:id="21"/>
      <w:bookmarkEnd w:id="22"/>
    </w:p>
    <w:p>
      <w:pPr>
        <w:spacing w:line="480" w:lineRule="exact"/>
        <w:ind w:firstLine="560" w:firstLineChars="200"/>
        <w:rPr>
          <w:rFonts w:ascii="仿宋" w:hAnsi="仿宋" w:eastAsia="仿宋"/>
          <w:sz w:val="28"/>
          <w:szCs w:val="28"/>
        </w:rPr>
      </w:pPr>
      <w:bookmarkStart w:id="23" w:name="_Toc24465"/>
      <w:r>
        <w:rPr>
          <w:rFonts w:hint="eastAsia" w:ascii="仿宋" w:hAnsi="仿宋" w:eastAsia="仿宋"/>
          <w:sz w:val="28"/>
          <w:szCs w:val="28"/>
        </w:rPr>
        <w:t>本次估价采用比较法。</w:t>
      </w:r>
    </w:p>
    <w:p>
      <w:pPr>
        <w:spacing w:line="480" w:lineRule="exact"/>
        <w:ind w:firstLine="560" w:firstLineChars="200"/>
        <w:rPr>
          <w:rFonts w:ascii="仿宋" w:hAnsi="仿宋" w:eastAsia="仿宋" w:cs="Arial"/>
          <w:sz w:val="28"/>
          <w:szCs w:val="28"/>
        </w:rPr>
      </w:pPr>
      <w:r>
        <w:rPr>
          <w:rFonts w:hint="eastAsia" w:ascii="仿宋" w:hAnsi="仿宋" w:eastAsia="仿宋" w:cs="Arial"/>
          <w:sz w:val="28"/>
          <w:szCs w:val="28"/>
        </w:rPr>
        <w:t>比较法是选取一定数量的可比实例，将他们与估价对象进行比较，根据其间的差异对可比实例成交价格进行处理后得到估价对象价值或价格的方法。</w:t>
      </w:r>
    </w:p>
    <w:p>
      <w:pPr>
        <w:spacing w:line="480" w:lineRule="exact"/>
        <w:ind w:firstLine="560" w:firstLineChars="200"/>
        <w:rPr>
          <w:rFonts w:ascii="仿宋" w:hAnsi="仿宋" w:eastAsia="仿宋" w:cs="Arial"/>
          <w:sz w:val="28"/>
          <w:szCs w:val="28"/>
          <w:lang w:val="zh-CN"/>
        </w:rPr>
      </w:pPr>
      <w:r>
        <w:rPr>
          <w:rFonts w:hint="eastAsia" w:ascii="仿宋" w:hAnsi="仿宋" w:eastAsia="仿宋" w:cs="Arial"/>
          <w:sz w:val="28"/>
          <w:szCs w:val="28"/>
          <w:lang w:val="zh-CN"/>
        </w:rPr>
        <w:t>比较法计算公式如下：</w:t>
      </w:r>
    </w:p>
    <w:p>
      <w:pPr>
        <w:spacing w:line="480" w:lineRule="exact"/>
        <w:ind w:firstLine="560" w:firstLineChars="200"/>
        <w:rPr>
          <w:rFonts w:ascii="仿宋" w:hAnsi="仿宋" w:eastAsia="仿宋"/>
          <w:sz w:val="28"/>
          <w:szCs w:val="28"/>
        </w:rPr>
      </w:pPr>
      <w:r>
        <w:rPr>
          <w:rFonts w:hint="eastAsia" w:ascii="仿宋" w:hAnsi="仿宋" w:eastAsia="仿宋" w:cs="Arial"/>
          <w:sz w:val="28"/>
          <w:szCs w:val="28"/>
          <w:lang w:val="zh-CN"/>
        </w:rPr>
        <w:t>比较</w:t>
      </w:r>
      <w:r>
        <w:rPr>
          <w:rFonts w:hint="eastAsia" w:ascii="仿宋" w:hAnsi="仿宋" w:eastAsia="仿宋" w:cs="Arial"/>
          <w:sz w:val="28"/>
          <w:szCs w:val="28"/>
        </w:rPr>
        <w:t>价值</w:t>
      </w:r>
      <w:r>
        <w:rPr>
          <w:rFonts w:hint="eastAsia" w:ascii="仿宋" w:hAnsi="仿宋" w:eastAsia="仿宋" w:cs="Arial"/>
          <w:sz w:val="28"/>
          <w:szCs w:val="28"/>
          <w:lang w:val="zh-CN"/>
        </w:rPr>
        <w:t>＝可比实例成交价格×交易情况修正系数×市场状况调整系数×房地产状况调整系数。</w:t>
      </w:r>
    </w:p>
    <w:p>
      <w:pPr>
        <w:pStyle w:val="3"/>
        <w:spacing w:line="560" w:lineRule="exact"/>
        <w:rPr>
          <w:rFonts w:ascii="仿宋" w:hAnsi="仿宋" w:eastAsia="仿宋"/>
        </w:rPr>
      </w:pPr>
      <w:bookmarkStart w:id="24" w:name="_Toc26002"/>
      <w:r>
        <w:rPr>
          <w:rFonts w:hint="eastAsia" w:ascii="仿宋" w:hAnsi="仿宋" w:eastAsia="仿宋"/>
        </w:rPr>
        <w:t>十、估价结果</w:t>
      </w:r>
      <w:bookmarkEnd w:id="23"/>
      <w:bookmarkEnd w:id="24"/>
    </w:p>
    <w:p>
      <w:pPr>
        <w:spacing w:line="480" w:lineRule="exact"/>
        <w:ind w:firstLine="560" w:firstLineChars="200"/>
        <w:rPr>
          <w:rFonts w:ascii="仿宋" w:hAnsi="仿宋" w:eastAsia="仿宋" w:cs="仿宋"/>
          <w:szCs w:val="21"/>
        </w:rPr>
      </w:pPr>
      <w:bookmarkStart w:id="25" w:name="_Toc10051"/>
      <w:r>
        <w:rPr>
          <w:rFonts w:hint="eastAsia" w:ascii="仿宋" w:hAnsi="仿宋" w:eastAsia="仿宋" w:cs="Arial"/>
          <w:sz w:val="28"/>
          <w:szCs w:val="28"/>
        </w:rPr>
        <w:t>根据估价目的，遵循估价原则，采用比较法，通过认真地对影响房地产价值因素的分析，经过测算并结合估价经验，确定估价对象在价值时点</w:t>
      </w:r>
      <w:r>
        <w:rPr>
          <w:rFonts w:hint="eastAsia" w:ascii="仿宋" w:hAnsi="仿宋" w:eastAsia="仿宋"/>
          <w:sz w:val="28"/>
          <w:szCs w:val="28"/>
        </w:rPr>
        <w:t>的市场价值为</w:t>
      </w:r>
      <w:bookmarkStart w:id="26" w:name="_Toc12028"/>
      <w:r>
        <w:rPr>
          <w:rFonts w:hint="eastAsia" w:ascii="仿宋" w:hAnsi="仿宋" w:eastAsia="仿宋"/>
          <w:sz w:val="28"/>
          <w:szCs w:val="28"/>
        </w:rPr>
        <w:t>人民币</w:t>
      </w:r>
      <w:r>
        <w:rPr>
          <w:rFonts w:hint="eastAsia" w:ascii="仿宋" w:hAnsi="仿宋" w:eastAsia="仿宋"/>
          <w:b/>
          <w:sz w:val="28"/>
          <w:lang w:eastAsia="zh-CN"/>
        </w:rPr>
        <w:t>129.7</w:t>
      </w:r>
      <w:r>
        <w:rPr>
          <w:rFonts w:hint="eastAsia" w:ascii="仿宋" w:hAnsi="仿宋" w:eastAsia="仿宋"/>
          <w:sz w:val="28"/>
        </w:rPr>
        <w:t>万元</w:t>
      </w:r>
      <w:r>
        <w:rPr>
          <w:rFonts w:hint="eastAsia" w:ascii="仿宋_GB2312" w:eastAsia="仿宋_GB2312"/>
          <w:sz w:val="28"/>
        </w:rPr>
        <w:t>，</w:t>
      </w:r>
      <w:r>
        <w:rPr>
          <w:rFonts w:hint="eastAsia" w:ascii="仿宋" w:hAnsi="仿宋" w:eastAsia="仿宋"/>
          <w:sz w:val="28"/>
          <w:szCs w:val="28"/>
        </w:rPr>
        <w:t>大写金额为人民币</w:t>
      </w:r>
      <w:r>
        <w:rPr>
          <w:rFonts w:hint="eastAsia" w:ascii="仿宋" w:hAnsi="仿宋" w:eastAsia="仿宋"/>
          <w:b/>
          <w:sz w:val="28"/>
          <w:lang w:eastAsia="zh-CN"/>
        </w:rPr>
        <w:t>壹佰贰拾玖万柒仟元整</w:t>
      </w:r>
      <w:r>
        <w:rPr>
          <w:rFonts w:hint="eastAsia" w:ascii="仿宋" w:hAnsi="仿宋" w:eastAsia="仿宋"/>
          <w:b/>
          <w:sz w:val="28"/>
        </w:rPr>
        <w:t>，</w:t>
      </w:r>
      <w:r>
        <w:rPr>
          <w:rFonts w:hint="eastAsia" w:ascii="仿宋" w:hAnsi="仿宋" w:eastAsia="仿宋" w:cs="Arial"/>
          <w:sz w:val="28"/>
          <w:szCs w:val="28"/>
        </w:rPr>
        <w:t>建筑面积</w:t>
      </w:r>
      <w:r>
        <w:rPr>
          <w:rFonts w:hint="eastAsia" w:ascii="仿宋" w:hAnsi="仿宋" w:eastAsia="仿宋"/>
          <w:sz w:val="28"/>
          <w:szCs w:val="28"/>
        </w:rPr>
        <w:t>单价为人民币</w:t>
      </w:r>
      <w:r>
        <w:rPr>
          <w:rFonts w:hint="eastAsia" w:ascii="仿宋" w:hAnsi="仿宋" w:eastAsia="仿宋"/>
          <w:b/>
          <w:sz w:val="28"/>
          <w:lang w:eastAsia="zh-CN"/>
        </w:rPr>
        <w:t>11689</w:t>
      </w:r>
      <w:r>
        <w:rPr>
          <w:rFonts w:hint="eastAsia" w:ascii="仿宋" w:hAnsi="仿宋" w:eastAsia="仿宋"/>
          <w:b/>
          <w:sz w:val="28"/>
        </w:rPr>
        <w:t>元/平方米</w:t>
      </w:r>
      <w:r>
        <w:rPr>
          <w:rFonts w:hint="eastAsia" w:ascii="仿宋" w:hAnsi="仿宋" w:eastAsia="仿宋"/>
          <w:sz w:val="28"/>
          <w:szCs w:val="28"/>
        </w:rPr>
        <w:t>。</w:t>
      </w:r>
    </w:p>
    <w:p>
      <w:pPr>
        <w:pStyle w:val="3"/>
        <w:spacing w:line="560" w:lineRule="exact"/>
        <w:rPr>
          <w:rFonts w:ascii="仿宋" w:hAnsi="仿宋" w:eastAsia="仿宋"/>
        </w:rPr>
      </w:pPr>
      <w:r>
        <w:rPr>
          <w:rFonts w:hint="eastAsia" w:ascii="仿宋" w:hAnsi="仿宋" w:eastAsia="仿宋"/>
        </w:rPr>
        <w:t>十一、注册房地产估价师</w:t>
      </w:r>
      <w:bookmarkEnd w:id="25"/>
      <w:bookmarkEnd w:id="26"/>
    </w:p>
    <w:tbl>
      <w:tblPr>
        <w:tblStyle w:val="23"/>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2126"/>
        <w:gridCol w:w="2693"/>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56" w:type="dxa"/>
            <w:tcBorders>
              <w:top w:val="double" w:color="auto" w:sz="4" w:space="0"/>
              <w:left w:val="doub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姓名</w:t>
            </w:r>
          </w:p>
        </w:tc>
        <w:tc>
          <w:tcPr>
            <w:tcW w:w="2126" w:type="dxa"/>
            <w:tcBorders>
              <w:top w:val="double" w:color="auto" w:sz="4" w:space="0"/>
              <w:right w:val="sing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注册号</w:t>
            </w:r>
          </w:p>
        </w:tc>
        <w:tc>
          <w:tcPr>
            <w:tcW w:w="2693" w:type="dxa"/>
            <w:tcBorders>
              <w:top w:val="double" w:color="auto" w:sz="4" w:space="0"/>
              <w:right w:val="sing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签名</w:t>
            </w:r>
          </w:p>
        </w:tc>
        <w:tc>
          <w:tcPr>
            <w:tcW w:w="2362" w:type="dxa"/>
            <w:tcBorders>
              <w:top w:val="double" w:color="auto" w:sz="4" w:space="0"/>
              <w:left w:val="single" w:color="auto" w:sz="4" w:space="0"/>
              <w:right w:val="doub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56" w:type="dxa"/>
            <w:tcBorders>
              <w:left w:val="double" w:color="auto" w:sz="4" w:space="0"/>
            </w:tcBorders>
          </w:tcPr>
          <w:p>
            <w:pPr>
              <w:pStyle w:val="13"/>
              <w:spacing w:before="120" w:after="120"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w:t>
            </w:r>
          </w:p>
        </w:tc>
        <w:tc>
          <w:tcPr>
            <w:tcW w:w="2126" w:type="dxa"/>
            <w:tcBorders>
              <w:right w:val="sing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3319970043</w:t>
            </w:r>
          </w:p>
        </w:tc>
        <w:tc>
          <w:tcPr>
            <w:tcW w:w="2693" w:type="dxa"/>
            <w:tcBorders>
              <w:right w:val="single" w:color="auto" w:sz="4" w:space="0"/>
            </w:tcBorders>
          </w:tcPr>
          <w:p>
            <w:pPr>
              <w:pStyle w:val="13"/>
              <w:spacing w:before="120" w:after="120" w:line="560" w:lineRule="exact"/>
              <w:jc w:val="center"/>
              <w:rPr>
                <w:rFonts w:ascii="仿宋" w:hAnsi="仿宋" w:eastAsia="仿宋"/>
                <w:sz w:val="28"/>
                <w:szCs w:val="28"/>
              </w:rPr>
            </w:pPr>
          </w:p>
        </w:tc>
        <w:tc>
          <w:tcPr>
            <w:tcW w:w="2362" w:type="dxa"/>
            <w:tcBorders>
              <w:left w:val="single" w:color="auto" w:sz="4" w:space="0"/>
              <w:right w:val="double" w:color="auto" w:sz="4" w:space="0"/>
            </w:tcBorders>
          </w:tcPr>
          <w:p>
            <w:pPr>
              <w:pStyle w:val="13"/>
              <w:spacing w:before="120" w:after="120" w:line="56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56" w:type="dxa"/>
            <w:tcBorders>
              <w:left w:val="double" w:color="auto" w:sz="4" w:space="0"/>
              <w:bottom w:val="double" w:color="auto" w:sz="4" w:space="0"/>
            </w:tcBorders>
          </w:tcPr>
          <w:p>
            <w:pPr>
              <w:pStyle w:val="13"/>
              <w:spacing w:before="120" w:after="120" w:line="560" w:lineRule="exact"/>
              <w:jc w:val="center"/>
              <w:rPr>
                <w:rFonts w:hint="default" w:ascii="仿宋" w:hAnsi="仿宋" w:eastAsia="仿宋"/>
                <w:sz w:val="28"/>
                <w:szCs w:val="28"/>
                <w:lang w:val="en-US" w:eastAsia="zh-CN"/>
              </w:rPr>
            </w:pPr>
            <w:r>
              <w:rPr>
                <w:rFonts w:hint="eastAsia" w:ascii="仿宋" w:hAnsi="仿宋" w:eastAsia="仿宋"/>
                <w:sz w:val="28"/>
                <w:szCs w:val="28"/>
                <w:lang w:val="en-US" w:eastAsia="zh-CN"/>
              </w:rPr>
              <w:t>***</w:t>
            </w:r>
          </w:p>
        </w:tc>
        <w:tc>
          <w:tcPr>
            <w:tcW w:w="2126" w:type="dxa"/>
            <w:tcBorders>
              <w:bottom w:val="double" w:color="auto" w:sz="4" w:space="0"/>
              <w:right w:val="single" w:color="auto" w:sz="4" w:space="0"/>
            </w:tcBorders>
          </w:tcPr>
          <w:p>
            <w:pPr>
              <w:pStyle w:val="13"/>
              <w:spacing w:before="120" w:after="120" w:line="560" w:lineRule="exact"/>
              <w:jc w:val="center"/>
              <w:rPr>
                <w:rFonts w:ascii="仿宋" w:hAnsi="仿宋" w:eastAsia="仿宋"/>
                <w:sz w:val="28"/>
                <w:szCs w:val="28"/>
              </w:rPr>
            </w:pPr>
            <w:r>
              <w:rPr>
                <w:rFonts w:hint="eastAsia" w:ascii="仿宋" w:hAnsi="仿宋" w:eastAsia="仿宋"/>
                <w:sz w:val="28"/>
                <w:szCs w:val="28"/>
              </w:rPr>
              <w:t>3320040045</w:t>
            </w:r>
          </w:p>
        </w:tc>
        <w:tc>
          <w:tcPr>
            <w:tcW w:w="2693" w:type="dxa"/>
            <w:tcBorders>
              <w:bottom w:val="double" w:color="auto" w:sz="4" w:space="0"/>
              <w:right w:val="single" w:color="auto" w:sz="4" w:space="0"/>
            </w:tcBorders>
          </w:tcPr>
          <w:p>
            <w:pPr>
              <w:pStyle w:val="13"/>
              <w:spacing w:before="120" w:after="120" w:line="560" w:lineRule="exact"/>
              <w:jc w:val="center"/>
              <w:rPr>
                <w:rFonts w:ascii="仿宋" w:hAnsi="仿宋" w:eastAsia="仿宋"/>
                <w:sz w:val="28"/>
                <w:szCs w:val="28"/>
              </w:rPr>
            </w:pPr>
          </w:p>
        </w:tc>
        <w:tc>
          <w:tcPr>
            <w:tcW w:w="2362" w:type="dxa"/>
            <w:tcBorders>
              <w:left w:val="single" w:color="auto" w:sz="4" w:space="0"/>
              <w:bottom w:val="double" w:color="auto" w:sz="4" w:space="0"/>
              <w:right w:val="double" w:color="auto" w:sz="4" w:space="0"/>
            </w:tcBorders>
          </w:tcPr>
          <w:p>
            <w:pPr>
              <w:pStyle w:val="13"/>
              <w:spacing w:before="120" w:after="120" w:line="560" w:lineRule="exact"/>
              <w:jc w:val="center"/>
              <w:rPr>
                <w:rFonts w:ascii="仿宋" w:hAnsi="仿宋" w:eastAsia="仿宋"/>
                <w:sz w:val="28"/>
                <w:szCs w:val="28"/>
              </w:rPr>
            </w:pPr>
          </w:p>
        </w:tc>
      </w:tr>
    </w:tbl>
    <w:p>
      <w:pPr>
        <w:pStyle w:val="3"/>
        <w:spacing w:line="240" w:lineRule="atLeast"/>
        <w:rPr>
          <w:rFonts w:ascii="仿宋" w:hAnsi="仿宋" w:eastAsia="仿宋"/>
        </w:rPr>
      </w:pPr>
      <w:bookmarkStart w:id="27" w:name="_Toc314"/>
      <w:bookmarkStart w:id="28" w:name="_Toc30748"/>
      <w:r>
        <w:rPr>
          <w:rFonts w:hint="eastAsia" w:ascii="仿宋" w:hAnsi="仿宋" w:eastAsia="仿宋"/>
        </w:rPr>
        <w:t>十二、实地查勘期</w:t>
      </w:r>
      <w:bookmarkEnd w:id="27"/>
      <w:bookmarkEnd w:id="28"/>
    </w:p>
    <w:p>
      <w:pPr>
        <w:tabs>
          <w:tab w:val="left" w:pos="-2205"/>
        </w:tabs>
        <w:spacing w:line="240" w:lineRule="atLeast"/>
        <w:ind w:right="17"/>
        <w:rPr>
          <w:rFonts w:ascii="仿宋" w:hAnsi="仿宋" w:eastAsia="仿宋"/>
          <w:sz w:val="28"/>
          <w:szCs w:val="28"/>
        </w:rPr>
      </w:pPr>
      <w:r>
        <w:rPr>
          <w:rFonts w:hint="eastAsia" w:ascii="仿宋" w:hAnsi="仿宋" w:eastAsia="仿宋"/>
          <w:sz w:val="28"/>
          <w:szCs w:val="28"/>
        </w:rPr>
        <w:t>2022年6月17日。</w:t>
      </w:r>
    </w:p>
    <w:p>
      <w:pPr>
        <w:pStyle w:val="3"/>
        <w:spacing w:line="240" w:lineRule="atLeast"/>
        <w:rPr>
          <w:rFonts w:ascii="仿宋" w:hAnsi="仿宋" w:eastAsia="仿宋"/>
        </w:rPr>
      </w:pPr>
      <w:bookmarkStart w:id="29" w:name="_Toc29937"/>
      <w:bookmarkStart w:id="30" w:name="_Toc12351"/>
      <w:r>
        <w:rPr>
          <w:rFonts w:hint="eastAsia" w:ascii="仿宋" w:hAnsi="仿宋" w:eastAsia="仿宋"/>
        </w:rPr>
        <w:t>十三、估价作业期</w:t>
      </w:r>
      <w:bookmarkEnd w:id="29"/>
      <w:bookmarkEnd w:id="30"/>
    </w:p>
    <w:p>
      <w:pPr>
        <w:spacing w:line="240" w:lineRule="atLeast"/>
        <w:rPr>
          <w:rFonts w:ascii="仿宋" w:hAnsi="仿宋" w:eastAsia="仿宋"/>
          <w:sz w:val="28"/>
          <w:szCs w:val="28"/>
        </w:rPr>
      </w:pPr>
      <w:r>
        <w:rPr>
          <w:rFonts w:hint="eastAsia" w:ascii="仿宋" w:hAnsi="仿宋" w:eastAsia="仿宋"/>
          <w:sz w:val="28"/>
          <w:szCs w:val="28"/>
        </w:rPr>
        <w:t>2022年6月17日～2022年6月24日。</w:t>
      </w:r>
    </w:p>
    <w:p>
      <w:pPr>
        <w:spacing w:line="240" w:lineRule="atLeast"/>
        <w:jc w:val="right"/>
        <w:rPr>
          <w:rFonts w:ascii="仿宋" w:hAnsi="仿宋" w:eastAsia="仿宋"/>
          <w:sz w:val="28"/>
          <w:szCs w:val="28"/>
        </w:rPr>
      </w:pPr>
    </w:p>
    <w:p>
      <w:pPr>
        <w:spacing w:line="240" w:lineRule="atLeast"/>
        <w:jc w:val="right"/>
        <w:rPr>
          <w:rFonts w:ascii="仿宋" w:hAnsi="仿宋" w:eastAsia="仿宋"/>
          <w:sz w:val="28"/>
          <w:szCs w:val="28"/>
        </w:rPr>
      </w:pPr>
    </w:p>
    <w:p>
      <w:pPr>
        <w:spacing w:line="240" w:lineRule="atLeast"/>
        <w:jc w:val="right"/>
        <w:rPr>
          <w:rFonts w:ascii="仿宋" w:hAnsi="仿宋" w:eastAsia="仿宋"/>
          <w:sz w:val="28"/>
          <w:szCs w:val="28"/>
        </w:rPr>
      </w:pPr>
    </w:p>
    <w:p>
      <w:pPr>
        <w:spacing w:line="240" w:lineRule="atLeast"/>
        <w:jc w:val="right"/>
        <w:rPr>
          <w:rFonts w:ascii="仿宋" w:hAnsi="仿宋" w:eastAsia="仿宋"/>
          <w:sz w:val="28"/>
          <w:szCs w:val="28"/>
        </w:rPr>
      </w:pPr>
    </w:p>
    <w:p>
      <w:pPr>
        <w:spacing w:line="240" w:lineRule="atLeast"/>
        <w:jc w:val="right"/>
        <w:rPr>
          <w:rFonts w:ascii="仿宋" w:hAnsi="仿宋" w:eastAsia="仿宋"/>
          <w:sz w:val="28"/>
          <w:szCs w:val="28"/>
        </w:rPr>
      </w:pPr>
    </w:p>
    <w:p>
      <w:pPr>
        <w:spacing w:line="240" w:lineRule="atLeast"/>
        <w:jc w:val="right"/>
        <w:rPr>
          <w:rFonts w:ascii="仿宋" w:hAnsi="仿宋" w:eastAsia="仿宋"/>
          <w:sz w:val="28"/>
          <w:szCs w:val="28"/>
        </w:rPr>
      </w:pPr>
    </w:p>
    <w:p>
      <w:pPr>
        <w:spacing w:line="240" w:lineRule="atLeast"/>
        <w:ind w:right="560"/>
        <w:jc w:val="center"/>
        <w:rPr>
          <w:rFonts w:ascii="仿宋" w:hAnsi="仿宋" w:eastAsia="仿宋"/>
          <w:sz w:val="28"/>
          <w:szCs w:val="28"/>
        </w:rPr>
      </w:pPr>
    </w:p>
    <w:p>
      <w:pPr>
        <w:spacing w:line="240" w:lineRule="atLeast"/>
        <w:rPr>
          <w:rFonts w:ascii="仿宋" w:hAnsi="仿宋" w:eastAsia="仿宋"/>
          <w:sz w:val="28"/>
          <w:szCs w:val="28"/>
        </w:rPr>
      </w:pPr>
    </w:p>
    <w:p>
      <w:pPr>
        <w:spacing w:line="240" w:lineRule="atLeast"/>
        <w:ind w:left="4760" w:hanging="4760" w:hangingChars="1700"/>
        <w:rPr>
          <w:rFonts w:ascii="仿宋" w:hAnsi="仿宋" w:eastAsia="仿宋"/>
          <w:sz w:val="28"/>
          <w:szCs w:val="28"/>
        </w:rPr>
      </w:pPr>
      <w:r>
        <w:rPr>
          <w:rFonts w:hint="eastAsia" w:ascii="仿宋" w:hAnsi="仿宋" w:eastAsia="仿宋"/>
          <w:sz w:val="28"/>
          <w:szCs w:val="28"/>
        </w:rPr>
        <w:t xml:space="preserve">                                   宁波衡信房地产评估有限公司</w:t>
      </w:r>
      <w:r>
        <w:rPr>
          <w:rFonts w:hint="eastAsia" w:ascii="华文仿宋" w:hAnsi="华文仿宋" w:eastAsia="仿宋"/>
          <w:sz w:val="28"/>
          <w:szCs w:val="28"/>
        </w:rPr>
        <w:t> </w:t>
      </w:r>
    </w:p>
    <w:p>
      <w:pPr>
        <w:spacing w:line="240" w:lineRule="atLeast"/>
        <w:ind w:right="560"/>
        <w:jc w:val="right"/>
        <w:rPr>
          <w:rFonts w:ascii="仿宋" w:hAnsi="仿宋" w:eastAsia="仿宋"/>
          <w:sz w:val="28"/>
          <w:szCs w:val="28"/>
        </w:rPr>
      </w:pPr>
      <w:bookmarkStart w:id="31" w:name="_Toc24159"/>
      <w:bookmarkStart w:id="32" w:name="_Toc4932"/>
      <w:bookmarkStart w:id="33" w:name="_Toc143834239"/>
      <w:r>
        <w:rPr>
          <w:rFonts w:hint="eastAsia" w:ascii="仿宋" w:hAnsi="仿宋" w:eastAsia="仿宋"/>
          <w:sz w:val="28"/>
          <w:szCs w:val="28"/>
        </w:rPr>
        <w:t>2022年6月24日</w:t>
      </w:r>
    </w:p>
    <w:p>
      <w:pPr>
        <w:pStyle w:val="2"/>
        <w:rPr>
          <w:rFonts w:ascii="仿宋" w:hAnsi="仿宋" w:eastAsia="仿宋"/>
        </w:rPr>
      </w:pPr>
    </w:p>
    <w:p>
      <w:pPr>
        <w:pStyle w:val="2"/>
        <w:rPr>
          <w:rFonts w:ascii="仿宋" w:hAnsi="仿宋" w:eastAsia="仿宋"/>
        </w:rPr>
      </w:pPr>
    </w:p>
    <w:p/>
    <w:p/>
    <w:p/>
    <w:p/>
    <w:p/>
    <w:p/>
    <w:p/>
    <w:p/>
    <w:p/>
    <w:p/>
    <w:p/>
    <w:p/>
    <w:p/>
    <w:p/>
    <w:p/>
    <w:p/>
    <w:p/>
    <w:p/>
    <w:p/>
    <w:p/>
    <w:p/>
    <w:p/>
    <w:p/>
    <w:p/>
    <w:p/>
    <w:bookmarkEnd w:id="31"/>
    <w:bookmarkEnd w:id="32"/>
    <w:bookmarkEnd w:id="33"/>
    <w:p>
      <w:pPr>
        <w:rPr>
          <w:rFonts w:ascii="仿宋" w:hAnsi="仿宋" w:eastAsia="仿宋"/>
        </w:rPr>
      </w:pPr>
      <w:bookmarkStart w:id="34" w:name="_Toc14245"/>
      <w:bookmarkStart w:id="35" w:name="_Toc1527"/>
    </w:p>
    <w:p>
      <w:pPr>
        <w:rPr>
          <w:rFonts w:ascii="仿宋" w:hAnsi="仿宋" w:eastAsia="仿宋"/>
        </w:rPr>
      </w:pPr>
    </w:p>
    <w:p>
      <w:pPr>
        <w:pStyle w:val="2"/>
        <w:spacing w:line="500" w:lineRule="exact"/>
        <w:ind w:firstLine="3614" w:firstLineChars="1000"/>
        <w:jc w:val="both"/>
        <w:rPr>
          <w:rFonts w:ascii="仿宋" w:hAnsi="仿宋" w:eastAsia="仿宋"/>
        </w:rPr>
      </w:pPr>
      <w:r>
        <w:rPr>
          <w:rFonts w:hint="eastAsia" w:ascii="仿宋" w:hAnsi="仿宋" w:eastAsia="仿宋"/>
        </w:rPr>
        <w:t>附  件</w:t>
      </w:r>
      <w:bookmarkEnd w:id="34"/>
      <w:bookmarkEnd w:id="35"/>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1、估价委托书</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2、估价对象地理位置图</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3、估价对象实地查勘情况和相关照片</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4、权证复印件</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5、房地产估价机构营业执照复印件</w:t>
      </w:r>
    </w:p>
    <w:p>
      <w:pPr>
        <w:spacing w:line="520" w:lineRule="exact"/>
        <w:ind w:firstLine="560" w:firstLineChars="200"/>
        <w:rPr>
          <w:rFonts w:ascii="仿宋_GB2312" w:eastAsia="仿宋_GB2312"/>
          <w:snapToGrid w:val="0"/>
          <w:sz w:val="28"/>
          <w:szCs w:val="28"/>
        </w:rPr>
      </w:pPr>
      <w:r>
        <w:rPr>
          <w:rFonts w:hint="eastAsia" w:ascii="仿宋_GB2312" w:eastAsia="仿宋_GB2312"/>
          <w:snapToGrid w:val="0"/>
          <w:sz w:val="28"/>
          <w:szCs w:val="28"/>
        </w:rPr>
        <w:t>6、房地产估价机构资质证书复印件</w:t>
      </w:r>
    </w:p>
    <w:p>
      <w:pPr>
        <w:spacing w:line="520" w:lineRule="exact"/>
        <w:ind w:firstLine="560" w:firstLineChars="200"/>
        <w:rPr>
          <w:rFonts w:ascii="仿宋_GB2312" w:eastAsia="仿宋_GB2312"/>
          <w:snapToGrid w:val="0"/>
          <w:sz w:val="28"/>
          <w:szCs w:val="28"/>
        </w:rPr>
        <w:sectPr>
          <w:footerReference r:id="rId8" w:type="first"/>
          <w:headerReference r:id="rId6" w:type="default"/>
          <w:footerReference r:id="rId7" w:type="default"/>
          <w:pgSz w:w="12240" w:h="15840"/>
          <w:pgMar w:top="1440" w:right="1800" w:bottom="1440" w:left="1800" w:header="720" w:footer="720" w:gutter="0"/>
          <w:pgNumType w:start="1"/>
          <w:cols w:space="720" w:num="1"/>
        </w:sectPr>
      </w:pPr>
      <w:r>
        <w:rPr>
          <w:rFonts w:hint="eastAsia" w:ascii="仿宋_GB2312" w:eastAsia="仿宋_GB2312"/>
          <w:snapToGrid w:val="0"/>
          <w:sz w:val="28"/>
          <w:szCs w:val="28"/>
        </w:rPr>
        <w:t>7、注册房地产估价师估价资格证书复印件</w:t>
      </w:r>
    </w:p>
    <w:p>
      <w:pPr>
        <w:spacing w:line="520" w:lineRule="exact"/>
        <w:ind w:firstLine="3200" w:firstLineChars="1000"/>
        <w:rPr>
          <w:rFonts w:ascii="仿宋_GB2312" w:eastAsia="仿宋_GB2312"/>
          <w:snapToGrid w:val="0"/>
          <w:sz w:val="32"/>
          <w:szCs w:val="32"/>
        </w:rPr>
      </w:pPr>
    </w:p>
    <w:p>
      <w:pPr>
        <w:spacing w:line="520" w:lineRule="exact"/>
        <w:ind w:firstLine="3200" w:firstLineChars="1000"/>
        <w:rPr>
          <w:rFonts w:ascii="仿宋_GB2312" w:eastAsia="仿宋_GB2312"/>
          <w:snapToGrid w:val="0"/>
          <w:sz w:val="28"/>
          <w:szCs w:val="28"/>
        </w:rPr>
      </w:pPr>
      <w:r>
        <w:rPr>
          <w:rFonts w:hint="eastAsia" w:ascii="仿宋_GB2312" w:eastAsia="仿宋_GB2312"/>
          <w:snapToGrid w:val="0"/>
          <w:sz w:val="32"/>
          <w:szCs w:val="32"/>
        </w:rPr>
        <w:t>估价对象地理位置图</w:t>
      </w:r>
    </w:p>
    <w:p>
      <w:pPr>
        <w:spacing w:line="520" w:lineRule="exact"/>
        <w:ind w:firstLine="1960" w:firstLineChars="700"/>
        <w:rPr>
          <w:rFonts w:ascii="仿宋_GB2312" w:eastAsia="仿宋_GB2312"/>
          <w:snapToGrid w:val="0"/>
          <w:sz w:val="28"/>
          <w:szCs w:val="28"/>
        </w:rPr>
      </w:pPr>
    </w:p>
    <w:p>
      <w:pPr>
        <w:widowControl/>
        <w:jc w:val="left"/>
        <w:rPr>
          <w:rFonts w:ascii="宋体" w:hAnsi="宋体" w:cs="宋体"/>
          <w:kern w:val="0"/>
          <w:sz w:val="24"/>
        </w:rPr>
      </w:pPr>
    </w:p>
    <w:p>
      <w:pPr>
        <w:spacing w:line="520" w:lineRule="exact"/>
        <w:ind w:firstLine="1960" w:firstLineChars="700"/>
        <w:rPr>
          <w:rFonts w:ascii="仿宋_GB2312" w:eastAsia="仿宋_GB2312"/>
          <w:snapToGrid w:val="0"/>
          <w:sz w:val="28"/>
          <w:szCs w:val="28"/>
        </w:rPr>
      </w:pPr>
      <w:r>
        <w:rPr>
          <w:rFonts w:ascii="仿宋_GB2312" w:eastAsia="仿宋_GB2312"/>
          <w:sz w:val="28"/>
          <w:szCs w:val="28"/>
        </w:rPr>
        <w:drawing>
          <wp:anchor distT="0" distB="0" distL="114300" distR="114300" simplePos="0" relativeHeight="251677696" behindDoc="0" locked="0" layoutInCell="1" allowOverlap="1">
            <wp:simplePos x="0" y="0"/>
            <wp:positionH relativeFrom="margin">
              <wp:posOffset>188595</wp:posOffset>
            </wp:positionH>
            <wp:positionV relativeFrom="margin">
              <wp:posOffset>1323975</wp:posOffset>
            </wp:positionV>
            <wp:extent cx="5299710" cy="5478780"/>
            <wp:effectExtent l="19050" t="0" r="0" b="0"/>
            <wp:wrapSquare wrapText="bothSides"/>
            <wp:docPr id="1" name="图片 1" descr="C:\Users\DELL\AppData\Roaming\Tencent\Users\702053705\QQ\WinTemp\RichOle\X0M`_WUHWN6@K81(324YD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Roaming\Tencent\Users\702053705\QQ\WinTemp\RichOle\X0M`_WUHWN6@K81(324YDUW.png"/>
                    <pic:cNvPicPr>
                      <a:picLocks noChangeAspect="1" noChangeArrowheads="1"/>
                    </pic:cNvPicPr>
                  </pic:nvPicPr>
                  <pic:blipFill>
                    <a:blip r:embed="rId12"/>
                    <a:srcRect/>
                    <a:stretch>
                      <a:fillRect/>
                    </a:stretch>
                  </pic:blipFill>
                  <pic:spPr>
                    <a:xfrm>
                      <a:off x="0" y="0"/>
                      <a:ext cx="5299710" cy="5478780"/>
                    </a:xfrm>
                    <a:prstGeom prst="rect">
                      <a:avLst/>
                    </a:prstGeom>
                    <a:noFill/>
                    <a:ln w="9525">
                      <a:noFill/>
                      <a:miter lim="800000"/>
                      <a:headEnd/>
                      <a:tailEnd/>
                    </a:ln>
                  </pic:spPr>
                </pic:pic>
              </a:graphicData>
            </a:graphic>
          </wp:anchor>
        </w:drawing>
      </w:r>
    </w:p>
    <w:p>
      <w:pPr>
        <w:widowControl/>
        <w:jc w:val="left"/>
      </w:pPr>
    </w:p>
    <w:p>
      <w:pPr>
        <w:spacing w:line="520" w:lineRule="exact"/>
        <w:ind w:firstLine="1960" w:firstLineChars="700"/>
        <w:rPr>
          <w:rFonts w:ascii="仿宋_GB2312" w:eastAsia="仿宋_GB2312"/>
          <w:snapToGrid w:val="0"/>
          <w:sz w:val="28"/>
          <w:szCs w:val="28"/>
        </w:rPr>
      </w:pPr>
    </w:p>
    <w:p>
      <w:pPr>
        <w:spacing w:line="520" w:lineRule="exact"/>
        <w:rPr>
          <w:rFonts w:ascii="仿宋_GB2312" w:eastAsia="仿宋_GB2312"/>
          <w:snapToGrid w:val="0"/>
          <w:sz w:val="28"/>
          <w:szCs w:val="28"/>
        </w:rPr>
      </w:pPr>
    </w:p>
    <w:p>
      <w:pPr>
        <w:spacing w:line="520" w:lineRule="exact"/>
        <w:rPr>
          <w:rFonts w:ascii="仿宋_GB2312" w:eastAsia="仿宋_GB2312"/>
          <w:snapToGrid w:val="0"/>
          <w:sz w:val="28"/>
          <w:szCs w:val="28"/>
        </w:rPr>
      </w:pPr>
    </w:p>
    <w:p>
      <w:pPr>
        <w:spacing w:line="520" w:lineRule="exact"/>
        <w:ind w:firstLine="1960" w:firstLineChars="700"/>
        <w:rPr>
          <w:rFonts w:ascii="仿宋_GB2312" w:hAnsi="宋体" w:eastAsia="仿宋_GB2312" w:cs="宋体"/>
          <w:bCs/>
          <w:sz w:val="36"/>
          <w:szCs w:val="36"/>
        </w:rPr>
      </w:pPr>
      <w:r>
        <w:rPr>
          <w:rFonts w:hint="eastAsia" w:ascii="仿宋_GB2312" w:eastAsia="仿宋_GB2312"/>
          <w:snapToGrid w:val="0"/>
          <w:sz w:val="28"/>
          <w:szCs w:val="28"/>
        </w:rPr>
        <w:t>估价对象实地查勘情况和相关照片</w:t>
      </w:r>
    </w:p>
    <w:p>
      <w:pPr>
        <w:ind w:firstLine="420" w:firstLineChars="200"/>
        <w:jc w:val="left"/>
        <w:rPr>
          <w:rFonts w:ascii="仿宋" w:hAnsi="仿宋" w:eastAsia="仿宋" w:cs="仿宋"/>
          <w:szCs w:val="21"/>
        </w:rPr>
      </w:pPr>
      <w:r>
        <w:rPr>
          <w:rFonts w:hint="eastAsia" w:ascii="仿宋" w:hAnsi="仿宋" w:eastAsia="仿宋" w:cs="仿宋"/>
          <w:bCs/>
          <w:color w:val="000000"/>
          <w:kern w:val="0"/>
          <w:szCs w:val="21"/>
        </w:rPr>
        <w:t>本次估价由</w:t>
      </w:r>
      <w:r>
        <w:rPr>
          <w:rFonts w:hint="eastAsia" w:ascii="仿宋" w:hAnsi="仿宋" w:eastAsia="仿宋" w:cs="仿宋"/>
          <w:szCs w:val="21"/>
        </w:rPr>
        <w:t>注册房地产估价师</w:t>
      </w:r>
      <w:r>
        <w:rPr>
          <w:rFonts w:hint="eastAsia" w:ascii="仿宋" w:hAnsi="仿宋" w:eastAsia="仿宋" w:cs="仿宋"/>
          <w:szCs w:val="21"/>
          <w:lang w:val="en-US" w:eastAsia="zh-CN"/>
        </w:rPr>
        <w:t>***</w:t>
      </w:r>
      <w:r>
        <w:rPr>
          <w:rFonts w:hint="eastAsia" w:ascii="仿宋" w:hAnsi="仿宋" w:eastAsia="仿宋" w:cs="仿宋"/>
          <w:szCs w:val="21"/>
        </w:rPr>
        <w:t>和</w:t>
      </w:r>
      <w:r>
        <w:rPr>
          <w:rFonts w:hint="eastAsia" w:ascii="仿宋" w:hAnsi="仿宋" w:eastAsia="仿宋"/>
          <w:szCs w:val="21"/>
          <w:lang w:val="en-US" w:eastAsia="zh-CN"/>
        </w:rPr>
        <w:t>***</w:t>
      </w:r>
      <w:r>
        <w:rPr>
          <w:rFonts w:hint="eastAsia" w:ascii="仿宋" w:hAnsi="仿宋" w:eastAsia="仿宋" w:cs="仿宋"/>
          <w:szCs w:val="21"/>
        </w:rPr>
        <w:t>于2022年6月17日对估价对象进行了实地查勘。估价对象照片如下：</w:t>
      </w:r>
    </w:p>
    <w:p>
      <w:pPr>
        <w:ind w:firstLine="560" w:firstLineChars="200"/>
        <w:jc w:val="left"/>
        <w:rPr>
          <w:sz w:val="28"/>
          <w:szCs w:val="28"/>
        </w:rPr>
      </w:pPr>
    </w:p>
    <w:p>
      <w:pPr>
        <w:jc w:val="left"/>
        <w:rPr>
          <w:sz w:val="28"/>
          <w:szCs w:val="28"/>
        </w:rPr>
      </w:pPr>
      <w:r>
        <w:rPr>
          <w:sz w:val="28"/>
          <w:szCs w:val="28"/>
        </w:rPr>
        <w:pict>
          <v:shape id="_x0000_s2051" o:spid="_x0000_s2051" o:spt="202" type="#_x0000_t202" style="position:absolute;left:0pt;margin-left:235.85pt;margin-top:1.55pt;height:148.95pt;width:205.65pt;z-index:251672576;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416810" cy="1787525"/>
                        <wp:effectExtent l="0" t="0" r="2540" b="3175"/>
                        <wp:docPr id="7" name="图片 7" descr="549fc34705a89cedf955099ea59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49fc34705a89cedf955099ea599187"/>
                                <pic:cNvPicPr>
                                  <a:picLocks noChangeAspect="1"/>
                                </pic:cNvPicPr>
                              </pic:nvPicPr>
                              <pic:blipFill>
                                <a:blip r:embed="rId13"/>
                                <a:stretch>
                                  <a:fillRect/>
                                </a:stretch>
                              </pic:blipFill>
                              <pic:spPr>
                                <a:xfrm>
                                  <a:off x="0" y="0"/>
                                  <a:ext cx="2416810" cy="1787525"/>
                                </a:xfrm>
                                <a:prstGeom prst="rect">
                                  <a:avLst/>
                                </a:prstGeom>
                              </pic:spPr>
                            </pic:pic>
                          </a:graphicData>
                        </a:graphic>
                      </wp:inline>
                    </w:drawing>
                  </w:r>
                </w:p>
              </w:txbxContent>
            </v:textbox>
          </v:shape>
        </w:pict>
      </w:r>
      <w:r>
        <w:rPr>
          <w:sz w:val="28"/>
          <w:szCs w:val="28"/>
        </w:rPr>
        <w:pict>
          <v:shape id="_x0000_s2050" o:spid="_x0000_s2050" o:spt="202" type="#_x0000_t202" style="position:absolute;left:0pt;margin-left:-5pt;margin-top:0pt;height:150.5pt;width:221.05pt;z-index:251671552;mso-width-relative:page;mso-height-relative:page;" coordsize="21600,21600">
            <v:path/>
            <v:fill focussize="0,0"/>
            <v:stroke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2600325" cy="1803400"/>
                        <wp:effectExtent l="0" t="0" r="9525" b="6350"/>
                        <wp:docPr id="6" name="图片 6" descr="79e5403acf22440e95482913b379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9e5403acf22440e95482913b3795e4"/>
                                <pic:cNvPicPr>
                                  <a:picLocks noChangeAspect="1"/>
                                </pic:cNvPicPr>
                              </pic:nvPicPr>
                              <pic:blipFill>
                                <a:blip r:embed="rId14"/>
                                <a:stretch>
                                  <a:fillRect/>
                                </a:stretch>
                              </pic:blipFill>
                              <pic:spPr>
                                <a:xfrm>
                                  <a:off x="0" y="0"/>
                                  <a:ext cx="2600325" cy="1803400"/>
                                </a:xfrm>
                                <a:prstGeom prst="rect">
                                  <a:avLst/>
                                </a:prstGeom>
                              </pic:spPr>
                            </pic:pic>
                          </a:graphicData>
                        </a:graphic>
                      </wp:inline>
                    </w:drawing>
                  </w:r>
                </w:p>
              </w:txbxContent>
            </v:textbox>
          </v:shape>
        </w:pic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sz w:val="28"/>
          <w:szCs w:val="28"/>
        </w:rPr>
        <w:pict>
          <v:shape id="_x0000_s2052" o:spid="_x0000_s2052" o:spt="202" type="#_x0000_t202" style="position:absolute;left:0pt;margin-left:234.3pt;margin-top:15.65pt;height:160.4pt;width:209.85pt;z-index:251674624;mso-width-relative:page;mso-height-relative:page;" coordsize="21600,21600">
            <v:path/>
            <v:fill focussize="0,0"/>
            <v:stroke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2450465" cy="1933575"/>
                        <wp:effectExtent l="0" t="0" r="6985" b="9525"/>
                        <wp:docPr id="9" name="图片 9" descr="c057ea33c484bfc54d0555733b2d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057ea33c484bfc54d0555733b2d159"/>
                                <pic:cNvPicPr>
                                  <a:picLocks noChangeAspect="1"/>
                                </pic:cNvPicPr>
                              </pic:nvPicPr>
                              <pic:blipFill>
                                <a:blip r:embed="rId15"/>
                                <a:stretch>
                                  <a:fillRect/>
                                </a:stretch>
                              </pic:blipFill>
                              <pic:spPr>
                                <a:xfrm>
                                  <a:off x="0" y="0"/>
                                  <a:ext cx="2450465" cy="1933575"/>
                                </a:xfrm>
                                <a:prstGeom prst="rect">
                                  <a:avLst/>
                                </a:prstGeom>
                              </pic:spPr>
                            </pic:pic>
                          </a:graphicData>
                        </a:graphic>
                      </wp:inline>
                    </w:drawing>
                  </w:r>
                </w:p>
              </w:txbxContent>
            </v:textbox>
          </v:shape>
        </w:pict>
      </w:r>
    </w:p>
    <w:p>
      <w:pPr>
        <w:jc w:val="left"/>
        <w:rPr>
          <w:sz w:val="28"/>
          <w:szCs w:val="28"/>
        </w:rPr>
      </w:pPr>
      <w:r>
        <w:rPr>
          <w:sz w:val="28"/>
          <w:szCs w:val="28"/>
        </w:rPr>
        <w:pict>
          <v:shape id="_x0000_s2053" o:spid="_x0000_s2053" o:spt="202" type="#_x0000_t202" style="position:absolute;left:0pt;margin-left:1.35pt;margin-top:2.5pt;height:157.45pt;width:214.7pt;z-index:251673600;mso-width-relative:page;mso-height-relative:page;" coordsize="21600,21600">
            <v:path/>
            <v:fill focussize="0,0"/>
            <v:stroke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2499995" cy="1884680"/>
                        <wp:effectExtent l="0" t="0" r="14605" b="1270"/>
                        <wp:docPr id="8" name="图片 8" descr="b99c434b2cb2a901fd158a91c977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99c434b2cb2a901fd158a91c9778bf"/>
                                <pic:cNvPicPr>
                                  <a:picLocks noChangeAspect="1"/>
                                </pic:cNvPicPr>
                              </pic:nvPicPr>
                              <pic:blipFill>
                                <a:blip r:embed="rId16"/>
                                <a:stretch>
                                  <a:fillRect/>
                                </a:stretch>
                              </pic:blipFill>
                              <pic:spPr>
                                <a:xfrm>
                                  <a:off x="0" y="0"/>
                                  <a:ext cx="2499995" cy="1884680"/>
                                </a:xfrm>
                                <a:prstGeom prst="rect">
                                  <a:avLst/>
                                </a:prstGeom>
                              </pic:spPr>
                            </pic:pic>
                          </a:graphicData>
                        </a:graphic>
                      </wp:inline>
                    </w:drawing>
                  </w:r>
                </w:p>
              </w:txbxContent>
            </v:textbox>
          </v:shape>
        </w:pic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widowControl/>
        <w:jc w:val="left"/>
        <w:rPr>
          <w:rFonts w:ascii="仿宋" w:hAnsi="仿宋" w:eastAsia="仿宋"/>
          <w:b/>
          <w:sz w:val="28"/>
          <w:szCs w:val="28"/>
        </w:rPr>
      </w:pPr>
    </w:p>
    <w:p>
      <w:pPr>
        <w:widowControl/>
        <w:jc w:val="left"/>
        <w:rPr>
          <w:rFonts w:ascii="仿宋" w:hAnsi="仿宋" w:eastAsia="仿宋"/>
          <w:b/>
          <w:sz w:val="28"/>
          <w:szCs w:val="28"/>
        </w:rPr>
      </w:pPr>
      <w:r>
        <w:rPr>
          <w:sz w:val="28"/>
          <w:szCs w:val="28"/>
        </w:rPr>
        <w:pict>
          <v:shape id="_x0000_s2055" o:spid="_x0000_s2055" o:spt="202" type="#_x0000_t202" style="position:absolute;left:0pt;margin-left:3.3pt;margin-top:7.35pt;height:185.9pt;width:212.75pt;z-index:251675648;mso-width-relative:page;mso-height-relative:page;" coordsize="21600,21600">
            <v:path/>
            <v:fill focussize="0,0"/>
            <v:stroke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2485390" cy="2258695"/>
                        <wp:effectExtent l="0" t="0" r="10160" b="8255"/>
                        <wp:docPr id="10" name="图片 10" descr="283c24ee2ee9cf590af0227e268c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83c24ee2ee9cf590af0227e268ca04"/>
                                <pic:cNvPicPr>
                                  <a:picLocks noChangeAspect="1"/>
                                </pic:cNvPicPr>
                              </pic:nvPicPr>
                              <pic:blipFill>
                                <a:blip r:embed="rId17"/>
                                <a:stretch>
                                  <a:fillRect/>
                                </a:stretch>
                              </pic:blipFill>
                              <pic:spPr>
                                <a:xfrm>
                                  <a:off x="0" y="0"/>
                                  <a:ext cx="2485390" cy="2258695"/>
                                </a:xfrm>
                                <a:prstGeom prst="rect">
                                  <a:avLst/>
                                </a:prstGeom>
                              </pic:spPr>
                            </pic:pic>
                          </a:graphicData>
                        </a:graphic>
                      </wp:inline>
                    </w:drawing>
                  </w:r>
                </w:p>
              </w:txbxContent>
            </v:textbox>
          </v:shape>
        </w:pict>
      </w:r>
      <w:r>
        <w:rPr>
          <w:sz w:val="28"/>
          <w:szCs w:val="28"/>
        </w:rPr>
        <w:pict>
          <v:shape id="_x0000_s2054" o:spid="_x0000_s2054" o:spt="202" type="#_x0000_t202" style="position:absolute;left:0pt;margin-left:239.1pt;margin-top:9.2pt;height:189.45pt;width:201.45pt;z-index:251676672;mso-width-relative:page;mso-height-relative:page;" coordsize="21600,21600">
            <v:path/>
            <v:fill focussize="0,0"/>
            <v:stroke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2328545" cy="2291080"/>
                        <wp:effectExtent l="0" t="0" r="14605" b="13970"/>
                        <wp:docPr id="11" name="图片 11" descr="7769bbf2bc26ba5e60e2565519ff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769bbf2bc26ba5e60e2565519ff57c"/>
                                <pic:cNvPicPr>
                                  <a:picLocks noChangeAspect="1"/>
                                </pic:cNvPicPr>
                              </pic:nvPicPr>
                              <pic:blipFill>
                                <a:blip r:embed="rId18"/>
                                <a:stretch>
                                  <a:fillRect/>
                                </a:stretch>
                              </pic:blipFill>
                              <pic:spPr>
                                <a:xfrm>
                                  <a:off x="0" y="0"/>
                                  <a:ext cx="2328545" cy="2291080"/>
                                </a:xfrm>
                                <a:prstGeom prst="rect">
                                  <a:avLst/>
                                </a:prstGeom>
                              </pic:spPr>
                            </pic:pic>
                          </a:graphicData>
                        </a:graphic>
                      </wp:inline>
                    </w:drawing>
                  </w:r>
                </w:p>
              </w:txbxContent>
            </v:textbox>
          </v:shape>
        </w:pict>
      </w:r>
    </w:p>
    <w:p>
      <w:pPr>
        <w:widowControl/>
        <w:jc w:val="left"/>
        <w:rPr>
          <w:rFonts w:ascii="仿宋" w:hAnsi="仿宋" w:eastAsia="仿宋"/>
          <w:b/>
          <w:sz w:val="28"/>
          <w:szCs w:val="28"/>
        </w:rPr>
      </w:pPr>
    </w:p>
    <w:p>
      <w:pPr>
        <w:widowControl/>
        <w:jc w:val="left"/>
        <w:rPr>
          <w:rFonts w:ascii="仿宋" w:hAnsi="仿宋" w:eastAsia="仿宋"/>
          <w:b/>
          <w:sz w:val="28"/>
          <w:szCs w:val="28"/>
        </w:rPr>
      </w:pPr>
    </w:p>
    <w:p>
      <w:pPr>
        <w:widowControl/>
        <w:jc w:val="left"/>
        <w:rPr>
          <w:rFonts w:ascii="仿宋" w:hAnsi="仿宋" w:eastAsia="仿宋"/>
          <w:b/>
          <w:sz w:val="28"/>
          <w:szCs w:val="28"/>
        </w:rPr>
      </w:pPr>
    </w:p>
    <w:p>
      <w:pPr>
        <w:widowControl/>
        <w:jc w:val="left"/>
        <w:rPr>
          <w:rFonts w:ascii="仿宋" w:hAnsi="仿宋" w:eastAsia="仿宋"/>
          <w:b/>
          <w:sz w:val="28"/>
          <w:szCs w:val="28"/>
        </w:rPr>
      </w:pPr>
    </w:p>
    <w:p>
      <w:pPr>
        <w:widowControl/>
        <w:jc w:val="left"/>
        <w:rPr>
          <w:rFonts w:ascii="仿宋" w:hAnsi="仿宋" w:eastAsia="仿宋"/>
          <w:b/>
          <w:sz w:val="28"/>
          <w:szCs w:val="28"/>
        </w:rPr>
      </w:pPr>
    </w:p>
    <w:p>
      <w:pPr>
        <w:widowControl/>
        <w:spacing w:beforeAutospacing="1" w:afterAutospacing="1" w:line="360" w:lineRule="auto"/>
        <w:jc w:val="left"/>
        <w:rPr>
          <w:rFonts w:ascii="仿宋" w:hAnsi="仿宋" w:eastAsia="仿宋" w:cs="仿宋"/>
          <w:bCs/>
          <w:color w:val="000000"/>
          <w:kern w:val="0"/>
          <w:sz w:val="28"/>
          <w:szCs w:val="28"/>
        </w:rPr>
      </w:pPr>
    </w:p>
    <w:sectPr>
      <w:headerReference r:id="rId9" w:type="default"/>
      <w:footerReference r:id="rId10" w:type="default"/>
      <w:pgSz w:w="12240" w:h="15840"/>
      <w:pgMar w:top="720" w:right="1797" w:bottom="1418" w:left="1797"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A00002EF" w:usb1="4000004B"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rPr>
        <w:rFonts w:ascii="仿宋" w:hAnsi="仿宋" w:eastAsia="仿宋"/>
      </w:rPr>
    </w:pPr>
    <w:r>
      <w:rPr>
        <w:rFonts w:hint="eastAsia" w:ascii="仿宋" w:hAnsi="仿宋" w:eastAsia="仿宋"/>
      </w:rPr>
      <w:t>宁波</w:t>
    </w:r>
    <w:r>
      <w:rPr>
        <w:rFonts w:hint="eastAsia" w:ascii="仿宋" w:hAnsi="仿宋" w:eastAsia="仿宋"/>
        <w:spacing w:val="-6"/>
      </w:rPr>
      <w:t>市象山县丹西街道西谷苑5幢4单元402室</w:t>
    </w:r>
    <w:r>
      <w:rPr>
        <w:rFonts w:hint="eastAsia" w:ascii="仿宋" w:hAnsi="仿宋" w:eastAsia="仿宋"/>
      </w:rPr>
      <w:t>住宅</w:t>
    </w:r>
    <w:r>
      <w:rPr>
        <w:rFonts w:hint="eastAsia" w:ascii="仿宋" w:hAnsi="仿宋" w:eastAsia="仿宋"/>
        <w:spacing w:val="-6"/>
      </w:rPr>
      <w:t>房地产市场价值评估</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tabs>
        <w:tab w:val="right" w:pos="8640"/>
        <w:tab w:val="clear" w:pos="8306"/>
      </w:tabs>
    </w:pPr>
    <w:r>
      <w:pict>
        <v:shape id="_x0000_s3074" o:spid="_x0000_s3074"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7"/>
                </w:pPr>
                <w:r>
                  <w:fldChar w:fldCharType="begin"/>
                </w:r>
                <w:r>
                  <w:instrText xml:space="preserve"> PAGE  \* MERGEFORMAT </w:instrText>
                </w:r>
                <w:r>
                  <w:fldChar w:fldCharType="separate"/>
                </w:r>
                <w:r>
                  <w:t>16</w:t>
                </w:r>
                <w:r>
                  <w:fldChar w:fldCharType="end"/>
                </w:r>
              </w:p>
            </w:txbxContent>
          </v:textbox>
        </v:shape>
      </w:pict>
    </w:r>
    <w:r>
      <w:rPr>
        <w:rFonts w:hint="eastAsia" w:ascii="仿宋" w:hAnsi="仿宋" w:eastAsia="仿宋"/>
      </w:rPr>
      <w:t>宁波市鄞州区中河街道</w:t>
    </w:r>
    <w:r>
      <w:rPr>
        <w:rFonts w:hint="eastAsia" w:ascii="仿宋" w:hAnsi="仿宋" w:eastAsia="仿宋"/>
        <w:lang w:eastAsia="zh-CN"/>
      </w:rPr>
      <w:t>西谷苑小区</w:t>
    </w:r>
    <w:r>
      <w:rPr>
        <w:rFonts w:hint="eastAsia" w:ascii="仿宋" w:hAnsi="仿宋" w:eastAsia="仿宋"/>
      </w:rPr>
      <w:t>28幢05室、北仑区大碶新华园18幢储19住宅</w:t>
    </w:r>
    <w:r>
      <w:rPr>
        <w:rFonts w:hint="eastAsia" w:ascii="仿宋" w:hAnsi="仿宋" w:eastAsia="仿宋"/>
        <w:spacing w:val="-6"/>
      </w:rPr>
      <w:t>房地产市场价值评估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rPr>
        <w:rFonts w:ascii="仿宋" w:hAnsi="仿宋" w:eastAsia="仿宋"/>
      </w:rPr>
    </w:pPr>
    <w:r>
      <w:pict>
        <v:shape id="_x0000_s3077" o:spid="_x0000_s3077" o:spt="202" type="#_x0000_t202" style="position:absolute;left:0pt;margin-top:0pt;height:144pt;width:144pt;mso-position-horizontal:right;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w:r>
    <w:r>
      <w:rPr>
        <w:rFonts w:hint="eastAsia" w:ascii="仿宋" w:hAnsi="仿宋" w:eastAsia="仿宋"/>
      </w:rPr>
      <w:t>宁波</w:t>
    </w:r>
    <w:r>
      <w:rPr>
        <w:rFonts w:hint="eastAsia" w:ascii="仿宋" w:hAnsi="仿宋" w:eastAsia="仿宋"/>
        <w:spacing w:val="-6"/>
      </w:rPr>
      <w:t>市象山县丹西街道西谷苑5幢4单元402室</w:t>
    </w:r>
    <w:r>
      <w:rPr>
        <w:rFonts w:hint="eastAsia" w:ascii="仿宋" w:hAnsi="仿宋" w:eastAsia="仿宋"/>
      </w:rPr>
      <w:t>住宅</w:t>
    </w:r>
    <w:r>
      <w:rPr>
        <w:rFonts w:hint="eastAsia" w:ascii="仿宋" w:hAnsi="仿宋" w:eastAsia="仿宋"/>
        <w:spacing w:val="-6"/>
      </w:rPr>
      <w:t>房地产市场价值评估</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tabs>
        <w:tab w:val="right" w:pos="8640"/>
        <w:tab w:val="clear" w:pos="8306"/>
      </w:tabs>
    </w:pPr>
    <w:r>
      <w:pict>
        <v:shape id="_x0000_s3075" o:spid="_x0000_s3075"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7"/>
                </w:pPr>
                <w:r>
                  <w:fldChar w:fldCharType="begin"/>
                </w:r>
                <w:r>
                  <w:instrText xml:space="preserve"> PAGE  \* MERGEFORMAT </w:instrText>
                </w:r>
                <w:r>
                  <w:fldChar w:fldCharType="separate"/>
                </w:r>
                <w:r>
                  <w:t>5</w:t>
                </w:r>
                <w:r>
                  <w:fldChar w:fldCharType="end"/>
                </w:r>
              </w:p>
            </w:txbxContent>
          </v:textbox>
        </v:shape>
      </w:pict>
    </w:r>
    <w:r>
      <w:rPr>
        <w:rFonts w:hint="eastAsia" w:ascii="仿宋" w:hAnsi="仿宋" w:eastAsia="仿宋"/>
      </w:rPr>
      <w:t>宁波市鄞州区中河街道</w:t>
    </w:r>
    <w:r>
      <w:rPr>
        <w:rFonts w:hint="eastAsia" w:ascii="仿宋" w:hAnsi="仿宋" w:eastAsia="仿宋"/>
        <w:lang w:eastAsia="zh-CN"/>
      </w:rPr>
      <w:t>西谷苑小区</w:t>
    </w:r>
    <w:r>
      <w:rPr>
        <w:rFonts w:hint="eastAsia" w:ascii="仿宋" w:hAnsi="仿宋" w:eastAsia="仿宋"/>
      </w:rPr>
      <w:t>28幢05室、18幢储19住宅</w:t>
    </w:r>
    <w:r>
      <w:rPr>
        <w:rFonts w:hint="eastAsia" w:ascii="仿宋" w:hAnsi="仿宋" w:eastAsia="仿宋"/>
        <w:spacing w:val="-6"/>
      </w:rPr>
      <w:t>房地产市场价值评估</w:t>
    </w:r>
    <w:r>
      <w:rPr>
        <w:sz w:val="24"/>
      </w:rPr>
      <w:pict>
        <v:shape id="_x0000_s3076" o:spid="_x0000_s307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path/>
          <v:fill on="f" focussize="0,0"/>
          <v:stroke on="f" weight="0.5pt" joinstyle="miter"/>
          <v:imagedata o:title=""/>
          <o:lock v:ext="edit"/>
          <v:textbox inset="0mm,0mm,0mm,0mm" style="mso-fit-shape-to-text:t;">
            <w:txbxContent>
              <w:p>
                <w:r>
                  <w:rPr>
                    <w:rFonts w:hint="eastAsia"/>
                  </w:rPr>
                  <w:t>1</w:t>
                </w:r>
              </w:p>
            </w:txbxContent>
          </v:textbox>
        </v:shape>
      </w:pict>
    </w:r>
    <w:r>
      <w:rPr>
        <w:rFonts w:hint="eastAsia" w:ascii="仿宋" w:hAnsi="仿宋" w:eastAsia="仿宋"/>
        <w:spacing w:val="-6"/>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threeDEmboss" w:color="auto" w:sz="24" w:space="1"/>
      </w:pBdr>
      <w:rPr>
        <w:rFonts w:ascii="仿宋" w:hAnsi="仿宋" w:eastAsia="仿宋"/>
      </w:rPr>
    </w:pPr>
    <w:r>
      <w:pict>
        <v:shape id="_x0000_s3073" o:spid="_x0000_s3073" o:spt="202" type="#_x0000_t202" style="position:absolute;left:0pt;margin-top:0pt;height:144pt;width:144pt;mso-position-horizontal:right;mso-position-horizontal-relative:margin;mso-wrap-style:none;z-index:251661312;mso-width-relative:page;mso-height-relative:page;" filled="f" stroked="f" coordsize="21600,2160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34</w:t>
                </w:r>
                <w:r>
                  <w:fldChar w:fldCharType="end"/>
                </w:r>
              </w:p>
            </w:txbxContent>
          </v:textbox>
        </v:shape>
      </w:pict>
    </w:r>
    <w:r>
      <w:rPr>
        <w:rFonts w:hint="eastAsia" w:ascii="仿宋" w:hAnsi="仿宋" w:eastAsia="仿宋"/>
      </w:rPr>
      <w:t>宁波</w:t>
    </w:r>
    <w:r>
      <w:rPr>
        <w:rFonts w:hint="eastAsia" w:ascii="仿宋" w:hAnsi="仿宋" w:eastAsia="仿宋"/>
        <w:spacing w:val="-6"/>
      </w:rPr>
      <w:t>市象山县丹西街道西谷苑5幢4单元402室</w:t>
    </w:r>
    <w:r>
      <w:rPr>
        <w:rFonts w:hint="eastAsia" w:ascii="仿宋" w:hAnsi="仿宋" w:eastAsia="仿宋"/>
      </w:rPr>
      <w:t>住宅</w:t>
    </w:r>
    <w:r>
      <w:rPr>
        <w:rFonts w:hint="eastAsia" w:ascii="仿宋" w:hAnsi="仿宋" w:eastAsia="仿宋"/>
        <w:spacing w:val="-6"/>
      </w:rPr>
      <w:t>房地产市场价值评估</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right" w:pos="8700"/>
        <w:tab w:val="clear" w:pos="8306"/>
      </w:tabs>
      <w:ind w:right="90" w:firstLine="180" w:firstLineChars="100"/>
      <w:jc w:val="right"/>
      <w:rPr>
        <w:rFonts w:ascii="楷体_GB2312" w:eastAsia="楷体_GB2312"/>
        <w:sz w:val="24"/>
        <w:szCs w:val="24"/>
      </w:rPr>
    </w:pPr>
    <w:r>
      <w:pict>
        <v:shape id="_x0000_s3078" o:spid="_x0000_s3078"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w:r>
    <w:r>
      <w:rPr>
        <w:rFonts w:hint="eastAsia"/>
      </w:rPr>
      <w:drawing>
        <wp:anchor distT="0" distB="0" distL="114300" distR="114300" simplePos="0" relativeHeight="251666432" behindDoc="0" locked="0" layoutInCell="1" allowOverlap="1">
          <wp:simplePos x="0" y="0"/>
          <wp:positionH relativeFrom="column">
            <wp:posOffset>32385</wp:posOffset>
          </wp:positionH>
          <wp:positionV relativeFrom="paragraph">
            <wp:posOffset>-131445</wp:posOffset>
          </wp:positionV>
          <wp:extent cx="543560" cy="400050"/>
          <wp:effectExtent l="0" t="0" r="8890" b="0"/>
          <wp:wrapSquare wrapText="bothSides"/>
          <wp:docPr id="2" name="图片 2" descr="衡信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衡信LOGO-2"/>
                  <pic:cNvPicPr>
                    <a:picLocks noChangeAspect="1" noChangeArrowheads="1"/>
                  </pic:cNvPicPr>
                </pic:nvPicPr>
                <pic:blipFill>
                  <a:blip r:embed="rId1"/>
                  <a:srcRect/>
                  <a:stretch>
                    <a:fillRect/>
                  </a:stretch>
                </pic:blipFill>
                <pic:spPr>
                  <a:xfrm>
                    <a:off x="0" y="0"/>
                    <a:ext cx="543560" cy="400050"/>
                  </a:xfrm>
                  <a:prstGeom prst="rect">
                    <a:avLst/>
                  </a:prstGeom>
                  <a:noFill/>
                  <a:ln w="9525">
                    <a:noFill/>
                    <a:miter lim="800000"/>
                    <a:headEnd/>
                    <a:tailEnd/>
                  </a:ln>
                </pic:spPr>
              </pic:pic>
            </a:graphicData>
          </a:graphic>
        </wp:anchor>
      </w:drawing>
    </w:r>
    <w: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486400" cy="2103120"/>
          <wp:effectExtent l="0" t="0" r="0" b="11430"/>
          <wp:wrapNone/>
          <wp:docPr id="3" name="WordPictureWatermark28567794" descr="衡信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28567794" descr="衡信LOGO-4"/>
                  <pic:cNvPicPr>
                    <a:picLocks noChangeAspect="1"/>
                  </pic:cNvPicPr>
                </pic:nvPicPr>
                <pic:blipFill>
                  <a:blip r:embed="rId2">
                    <a:lum bright="70001" contrast="-70000"/>
                  </a:blip>
                  <a:stretch>
                    <a:fillRect/>
                  </a:stretch>
                </pic:blipFill>
                <pic:spPr>
                  <a:xfrm>
                    <a:off x="0" y="0"/>
                    <a:ext cx="5486400" cy="2103120"/>
                  </a:xfrm>
                  <a:prstGeom prst="rect">
                    <a:avLst/>
                  </a:prstGeom>
                  <a:noFill/>
                  <a:ln>
                    <a:noFill/>
                  </a:ln>
                </pic:spPr>
              </pic:pic>
            </a:graphicData>
          </a:graphic>
        </wp:anchor>
      </w:drawing>
    </w:r>
    <w:r>
      <w:rPr>
        <w:rFonts w:hint="eastAsia" w:ascii="楷体_GB2312" w:eastAsia="楷体_GB2312"/>
        <w:b/>
        <w:sz w:val="16"/>
      </w:rPr>
      <w:t>地址(Add)：百盛商务楼南楼421-422（宁波市鄞州区科技支路179号）         邮编(Zip Code)：315100</w:t>
    </w:r>
  </w:p>
  <w:p>
    <w:pPr>
      <w:pStyle w:val="18"/>
      <w:pBdr>
        <w:bottom w:val="threeDEmboss" w:color="auto" w:sz="24" w:space="1"/>
      </w:pBdr>
      <w:tabs>
        <w:tab w:val="right" w:pos="8700"/>
        <w:tab w:val="clear" w:pos="8306"/>
      </w:tabs>
      <w:ind w:firstLine="803" w:firstLineChars="500"/>
      <w:jc w:val="left"/>
    </w:pPr>
    <w:r>
      <w:rPr>
        <w:rFonts w:hint="eastAsia" w:ascii="楷体_GB2312" w:eastAsia="楷体_GB2312"/>
        <w:b/>
        <w:sz w:val="16"/>
      </w:rPr>
      <w:t>电话(Tel)：</w:t>
    </w:r>
    <w:r>
      <w:rPr>
        <w:rFonts w:ascii="楷体_GB2312" w:eastAsia="楷体_GB2312"/>
        <w:b/>
        <w:sz w:val="16"/>
      </w:rPr>
      <w:t>0574</w:t>
    </w:r>
    <w:r>
      <w:rPr>
        <w:rFonts w:hint="eastAsia" w:ascii="楷体_GB2312" w:eastAsia="楷体_GB2312"/>
        <w:b/>
        <w:sz w:val="16"/>
      </w:rPr>
      <w:t>-88319850 82822739 传真(fax)：0574-82822738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right" w:pos="8700"/>
        <w:tab w:val="clear" w:pos="8306"/>
      </w:tabs>
      <w:ind w:right="90" w:rightChars="43" w:firstLine="180" w:firstLineChars="100"/>
      <w:jc w:val="right"/>
      <w:rPr>
        <w:rFonts w:ascii="楷体_GB2312" w:eastAsia="楷体_GB2312"/>
        <w:sz w:val="24"/>
        <w:szCs w:val="24"/>
      </w:rPr>
    </w:pPr>
    <w:r>
      <w:rPr>
        <w:rFonts w:hint="eastAsia"/>
      </w:rPr>
      <w:drawing>
        <wp:anchor distT="0" distB="0" distL="114300" distR="114300" simplePos="0" relativeHeight="251669504" behindDoc="0" locked="0" layoutInCell="1" allowOverlap="1">
          <wp:simplePos x="0" y="0"/>
          <wp:positionH relativeFrom="column">
            <wp:posOffset>32385</wp:posOffset>
          </wp:positionH>
          <wp:positionV relativeFrom="paragraph">
            <wp:posOffset>-131445</wp:posOffset>
          </wp:positionV>
          <wp:extent cx="543560" cy="400050"/>
          <wp:effectExtent l="0" t="0" r="8890" b="0"/>
          <wp:wrapSquare wrapText="bothSides"/>
          <wp:docPr id="4" name="图片 4" descr="衡信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衡信LOGO-2"/>
                  <pic:cNvPicPr>
                    <a:picLocks noChangeAspect="1" noChangeArrowheads="1"/>
                  </pic:cNvPicPr>
                </pic:nvPicPr>
                <pic:blipFill>
                  <a:blip r:embed="rId1"/>
                  <a:srcRect/>
                  <a:stretch>
                    <a:fillRect/>
                  </a:stretch>
                </pic:blipFill>
                <pic:spPr>
                  <a:xfrm>
                    <a:off x="0" y="0"/>
                    <a:ext cx="543560" cy="400050"/>
                  </a:xfrm>
                  <a:prstGeom prst="rect">
                    <a:avLst/>
                  </a:prstGeom>
                  <a:noFill/>
                  <a:ln w="9525">
                    <a:noFill/>
                    <a:miter lim="800000"/>
                    <a:headEnd/>
                    <a:tailEnd/>
                  </a:ln>
                </pic:spPr>
              </pic:pic>
            </a:graphicData>
          </a:graphic>
        </wp:anchor>
      </w:drawing>
    </w:r>
    <w:r>
      <w:drawing>
        <wp:anchor distT="0" distB="0" distL="114300" distR="114300" simplePos="0" relativeHeight="251670528" behindDoc="1" locked="0" layoutInCell="0" allowOverlap="1">
          <wp:simplePos x="0" y="0"/>
          <wp:positionH relativeFrom="margin">
            <wp:posOffset>0</wp:posOffset>
          </wp:positionH>
          <wp:positionV relativeFrom="margin">
            <wp:posOffset>3057525</wp:posOffset>
          </wp:positionV>
          <wp:extent cx="5486400" cy="2103120"/>
          <wp:effectExtent l="0" t="0" r="0" b="11430"/>
          <wp:wrapNone/>
          <wp:docPr id="5" name="WordPictureWatermark28567794" descr="衡信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28567794" descr="衡信LOGO-4"/>
                  <pic:cNvPicPr>
                    <a:picLocks noChangeAspect="1"/>
                  </pic:cNvPicPr>
                </pic:nvPicPr>
                <pic:blipFill>
                  <a:blip r:embed="rId2">
                    <a:lum bright="70001" contrast="-70000"/>
                  </a:blip>
                  <a:stretch>
                    <a:fillRect/>
                  </a:stretch>
                </pic:blipFill>
                <pic:spPr>
                  <a:xfrm>
                    <a:off x="0" y="0"/>
                    <a:ext cx="5486400" cy="2103120"/>
                  </a:xfrm>
                  <a:prstGeom prst="rect">
                    <a:avLst/>
                  </a:prstGeom>
                  <a:noFill/>
                  <a:ln>
                    <a:noFill/>
                  </a:ln>
                </pic:spPr>
              </pic:pic>
            </a:graphicData>
          </a:graphic>
        </wp:anchor>
      </w:drawing>
    </w:r>
    <w:r>
      <w:rPr>
        <w:rFonts w:hint="eastAsia" w:ascii="楷体_GB2312" w:eastAsia="楷体_GB2312"/>
        <w:b/>
        <w:sz w:val="16"/>
      </w:rPr>
      <w:t>地址(Add)：百盛商务楼南楼421-422（宁波市鄞州区科技支路179号）         邮编(Zip Code)：315100</w:t>
    </w:r>
  </w:p>
  <w:p>
    <w:pPr>
      <w:pStyle w:val="18"/>
      <w:pBdr>
        <w:bottom w:val="threeDEmboss" w:color="auto" w:sz="24" w:space="1"/>
      </w:pBdr>
      <w:tabs>
        <w:tab w:val="right" w:pos="8700"/>
        <w:tab w:val="clear" w:pos="8306"/>
      </w:tabs>
      <w:ind w:firstLine="803" w:firstLineChars="500"/>
      <w:jc w:val="left"/>
    </w:pPr>
    <w:r>
      <w:rPr>
        <w:rFonts w:hint="eastAsia" w:ascii="楷体_GB2312" w:eastAsia="楷体_GB2312"/>
        <w:b/>
        <w:sz w:val="16"/>
      </w:rPr>
      <w:t>电话(Tel)：</w:t>
    </w:r>
    <w:r>
      <w:rPr>
        <w:rFonts w:ascii="楷体_GB2312" w:eastAsia="楷体_GB2312"/>
        <w:b/>
        <w:sz w:val="16"/>
      </w:rPr>
      <w:t>0574</w:t>
    </w:r>
    <w:r>
      <w:rPr>
        <w:rFonts w:hint="eastAsia" w:ascii="楷体_GB2312" w:eastAsia="楷体_GB2312"/>
        <w:b/>
        <w:sz w:val="16"/>
      </w:rPr>
      <w:t>-88319850 82822739 传真(fax)：0574-82822738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right" w:pos="8700"/>
        <w:tab w:val="clear" w:pos="8306"/>
      </w:tabs>
      <w:ind w:right="90" w:firstLine="180" w:firstLineChars="100"/>
      <w:jc w:val="right"/>
      <w:rPr>
        <w:rFonts w:ascii="楷体_GB2312" w:eastAsia="楷体_GB2312"/>
        <w:sz w:val="24"/>
        <w:szCs w:val="24"/>
      </w:rPr>
    </w:pPr>
    <w:r>
      <w:rPr>
        <w:rFonts w:hint="eastAsia"/>
      </w:rPr>
      <w:drawing>
        <wp:anchor distT="0" distB="0" distL="114300" distR="114300" simplePos="0" relativeHeight="251659264" behindDoc="0" locked="0" layoutInCell="1" allowOverlap="1">
          <wp:simplePos x="0" y="0"/>
          <wp:positionH relativeFrom="column">
            <wp:posOffset>32385</wp:posOffset>
          </wp:positionH>
          <wp:positionV relativeFrom="paragraph">
            <wp:posOffset>-131445</wp:posOffset>
          </wp:positionV>
          <wp:extent cx="543560" cy="400050"/>
          <wp:effectExtent l="0" t="0" r="8890" b="0"/>
          <wp:wrapSquare wrapText="bothSides"/>
          <wp:docPr id="19" name="图片 19" descr="衡信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衡信LOGO-2"/>
                  <pic:cNvPicPr>
                    <a:picLocks noChangeAspect="1" noChangeArrowheads="1"/>
                  </pic:cNvPicPr>
                </pic:nvPicPr>
                <pic:blipFill>
                  <a:blip r:embed="rId1"/>
                  <a:srcRect/>
                  <a:stretch>
                    <a:fillRect/>
                  </a:stretch>
                </pic:blipFill>
                <pic:spPr>
                  <a:xfrm>
                    <a:off x="0" y="0"/>
                    <a:ext cx="543560" cy="400050"/>
                  </a:xfrm>
                  <a:prstGeom prst="rect">
                    <a:avLst/>
                  </a:prstGeom>
                  <a:noFill/>
                  <a:ln w="9525">
                    <a:noFill/>
                    <a:miter lim="800000"/>
                    <a:headEnd/>
                    <a:tailEnd/>
                  </a:ln>
                </pic:spPr>
              </pic:pic>
            </a:graphicData>
          </a:graphic>
        </wp:anchor>
      </w:drawing>
    </w: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486400" cy="2103120"/>
          <wp:effectExtent l="0" t="0" r="0" b="11430"/>
          <wp:wrapNone/>
          <wp:docPr id="21" name="WordPictureWatermark28567794" descr="衡信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28567794" descr="衡信LOGO-4"/>
                  <pic:cNvPicPr>
                    <a:picLocks noChangeAspect="1"/>
                  </pic:cNvPicPr>
                </pic:nvPicPr>
                <pic:blipFill>
                  <a:blip r:embed="rId2">
                    <a:lum bright="70001" contrast="-70000"/>
                  </a:blip>
                  <a:stretch>
                    <a:fillRect/>
                  </a:stretch>
                </pic:blipFill>
                <pic:spPr>
                  <a:xfrm>
                    <a:off x="0" y="0"/>
                    <a:ext cx="5486400" cy="2103120"/>
                  </a:xfrm>
                  <a:prstGeom prst="rect">
                    <a:avLst/>
                  </a:prstGeom>
                  <a:noFill/>
                  <a:ln>
                    <a:noFill/>
                  </a:ln>
                </pic:spPr>
              </pic:pic>
            </a:graphicData>
          </a:graphic>
        </wp:anchor>
      </w:drawing>
    </w:r>
    <w:r>
      <w:rPr>
        <w:rFonts w:hint="eastAsia" w:ascii="楷体_GB2312" w:eastAsia="楷体_GB2312"/>
        <w:b/>
        <w:sz w:val="16"/>
      </w:rPr>
      <w:t>地址(Add)：百盛商务楼南楼421-422（宁波市鄞州区科技支路179号）         邮编(Zip Code)：315100</w:t>
    </w:r>
  </w:p>
  <w:p>
    <w:pPr>
      <w:pStyle w:val="18"/>
      <w:pBdr>
        <w:bottom w:val="threeDEmboss" w:color="auto" w:sz="24" w:space="1"/>
      </w:pBdr>
      <w:tabs>
        <w:tab w:val="right" w:pos="8700"/>
        <w:tab w:val="clear" w:pos="8306"/>
      </w:tabs>
      <w:ind w:firstLine="803" w:firstLineChars="500"/>
      <w:jc w:val="left"/>
    </w:pPr>
    <w:r>
      <w:rPr>
        <w:rFonts w:hint="eastAsia" w:ascii="楷体_GB2312" w:eastAsia="楷体_GB2312"/>
        <w:b/>
        <w:sz w:val="16"/>
      </w:rPr>
      <w:t>电话(Tel)：</w:t>
    </w:r>
    <w:r>
      <w:rPr>
        <w:rFonts w:ascii="楷体_GB2312" w:eastAsia="楷体_GB2312"/>
        <w:b/>
        <w:sz w:val="16"/>
      </w:rPr>
      <w:t>0574</w:t>
    </w:r>
    <w:r>
      <w:rPr>
        <w:rFonts w:hint="eastAsia" w:ascii="楷体_GB2312" w:eastAsia="楷体_GB2312"/>
        <w:b/>
        <w:sz w:val="16"/>
      </w:rPr>
      <w:t>-88319850 82822739 传真(fax)：0574-82822738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B185E0"/>
    <w:multiLevelType w:val="singleLevel"/>
    <w:tmpl w:val="C5B185E0"/>
    <w:lvl w:ilvl="0" w:tentative="0">
      <w:start w:val="1"/>
      <w:numFmt w:val="decimal"/>
      <w:suff w:val="nothing"/>
      <w:lvlText w:val="%1、"/>
      <w:lvlJc w:val="left"/>
    </w:lvl>
  </w:abstractNum>
  <w:abstractNum w:abstractNumId="1">
    <w:nsid w:val="35083E45"/>
    <w:multiLevelType w:val="multilevel"/>
    <w:tmpl w:val="35083E45"/>
    <w:lvl w:ilvl="0" w:tentative="0">
      <w:start w:val="3"/>
      <w:numFmt w:val="decimal"/>
      <w:pStyle w:val="69"/>
      <w:lvlText w:val="%1、"/>
      <w:lvlJc w:val="left"/>
      <w:pPr>
        <w:tabs>
          <w:tab w:val="left" w:pos="1275"/>
        </w:tabs>
        <w:ind w:left="1275" w:hanging="720"/>
      </w:pPr>
      <w:rPr>
        <w:rFonts w:hint="default"/>
      </w:rPr>
    </w:lvl>
    <w:lvl w:ilvl="1" w:tentative="0">
      <w:start w:val="1"/>
      <w:numFmt w:val="lowerLetter"/>
      <w:lvlText w:val="%2)"/>
      <w:lvlJc w:val="left"/>
      <w:pPr>
        <w:tabs>
          <w:tab w:val="left" w:pos="1395"/>
        </w:tabs>
        <w:ind w:left="1395" w:hanging="420"/>
      </w:p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YyZjJhNTBiNzFlMTkwNmNhZGJjYWEyZDBjN2YyZWMifQ=="/>
  </w:docVars>
  <w:rsids>
    <w:rsidRoot w:val="007A029B"/>
    <w:rsid w:val="00001E8D"/>
    <w:rsid w:val="00002671"/>
    <w:rsid w:val="00002A08"/>
    <w:rsid w:val="00002FEF"/>
    <w:rsid w:val="0000335B"/>
    <w:rsid w:val="00003ADD"/>
    <w:rsid w:val="00004276"/>
    <w:rsid w:val="000054A2"/>
    <w:rsid w:val="00005BA0"/>
    <w:rsid w:val="00006F42"/>
    <w:rsid w:val="0000758B"/>
    <w:rsid w:val="0001052A"/>
    <w:rsid w:val="000109EE"/>
    <w:rsid w:val="00010E4A"/>
    <w:rsid w:val="000118FE"/>
    <w:rsid w:val="0001219F"/>
    <w:rsid w:val="000134F5"/>
    <w:rsid w:val="00013661"/>
    <w:rsid w:val="00014098"/>
    <w:rsid w:val="00015596"/>
    <w:rsid w:val="00015E98"/>
    <w:rsid w:val="000164D2"/>
    <w:rsid w:val="00017D75"/>
    <w:rsid w:val="0002177B"/>
    <w:rsid w:val="00021CF3"/>
    <w:rsid w:val="00022275"/>
    <w:rsid w:val="00022F4B"/>
    <w:rsid w:val="00023C69"/>
    <w:rsid w:val="00023C73"/>
    <w:rsid w:val="00025157"/>
    <w:rsid w:val="00025666"/>
    <w:rsid w:val="00027026"/>
    <w:rsid w:val="00030213"/>
    <w:rsid w:val="00030637"/>
    <w:rsid w:val="00031F01"/>
    <w:rsid w:val="000322D3"/>
    <w:rsid w:val="00032F5C"/>
    <w:rsid w:val="00034284"/>
    <w:rsid w:val="00034CB7"/>
    <w:rsid w:val="0003632F"/>
    <w:rsid w:val="00037229"/>
    <w:rsid w:val="00037E2B"/>
    <w:rsid w:val="00037EFB"/>
    <w:rsid w:val="00040413"/>
    <w:rsid w:val="00040FCD"/>
    <w:rsid w:val="000416EA"/>
    <w:rsid w:val="000421D5"/>
    <w:rsid w:val="00044D92"/>
    <w:rsid w:val="000453CB"/>
    <w:rsid w:val="00045752"/>
    <w:rsid w:val="00045AE4"/>
    <w:rsid w:val="000478B3"/>
    <w:rsid w:val="00047F0F"/>
    <w:rsid w:val="00047FD4"/>
    <w:rsid w:val="00052439"/>
    <w:rsid w:val="00052968"/>
    <w:rsid w:val="00053EB1"/>
    <w:rsid w:val="00053FBD"/>
    <w:rsid w:val="00054485"/>
    <w:rsid w:val="00054E43"/>
    <w:rsid w:val="00056780"/>
    <w:rsid w:val="0005713A"/>
    <w:rsid w:val="00057814"/>
    <w:rsid w:val="00060676"/>
    <w:rsid w:val="00061618"/>
    <w:rsid w:val="00061ACD"/>
    <w:rsid w:val="000624EC"/>
    <w:rsid w:val="00062F15"/>
    <w:rsid w:val="00063066"/>
    <w:rsid w:val="00063EB8"/>
    <w:rsid w:val="00064874"/>
    <w:rsid w:val="000656FE"/>
    <w:rsid w:val="00065855"/>
    <w:rsid w:val="00067D38"/>
    <w:rsid w:val="000700D2"/>
    <w:rsid w:val="00070874"/>
    <w:rsid w:val="00071D66"/>
    <w:rsid w:val="000722BE"/>
    <w:rsid w:val="00072C0A"/>
    <w:rsid w:val="000738EE"/>
    <w:rsid w:val="00073CCC"/>
    <w:rsid w:val="00074E60"/>
    <w:rsid w:val="000752B6"/>
    <w:rsid w:val="00075979"/>
    <w:rsid w:val="000762E3"/>
    <w:rsid w:val="000773B6"/>
    <w:rsid w:val="000773E8"/>
    <w:rsid w:val="00077E08"/>
    <w:rsid w:val="00080695"/>
    <w:rsid w:val="00080E68"/>
    <w:rsid w:val="0008215C"/>
    <w:rsid w:val="00085905"/>
    <w:rsid w:val="00085E46"/>
    <w:rsid w:val="00086491"/>
    <w:rsid w:val="000900DB"/>
    <w:rsid w:val="000901D8"/>
    <w:rsid w:val="0009064D"/>
    <w:rsid w:val="000923E4"/>
    <w:rsid w:val="00093E11"/>
    <w:rsid w:val="00094551"/>
    <w:rsid w:val="0009637F"/>
    <w:rsid w:val="00096BFF"/>
    <w:rsid w:val="000A0654"/>
    <w:rsid w:val="000A0EE5"/>
    <w:rsid w:val="000A1489"/>
    <w:rsid w:val="000A1FA9"/>
    <w:rsid w:val="000A2701"/>
    <w:rsid w:val="000A66B0"/>
    <w:rsid w:val="000A70D0"/>
    <w:rsid w:val="000A7544"/>
    <w:rsid w:val="000A75A6"/>
    <w:rsid w:val="000A7791"/>
    <w:rsid w:val="000A7C99"/>
    <w:rsid w:val="000B3D51"/>
    <w:rsid w:val="000B3FF6"/>
    <w:rsid w:val="000B5E23"/>
    <w:rsid w:val="000B621A"/>
    <w:rsid w:val="000C05A2"/>
    <w:rsid w:val="000C1E6C"/>
    <w:rsid w:val="000C207A"/>
    <w:rsid w:val="000C21E6"/>
    <w:rsid w:val="000C2740"/>
    <w:rsid w:val="000C2C75"/>
    <w:rsid w:val="000C39F4"/>
    <w:rsid w:val="000C446C"/>
    <w:rsid w:val="000C58FA"/>
    <w:rsid w:val="000C6383"/>
    <w:rsid w:val="000C699F"/>
    <w:rsid w:val="000C7890"/>
    <w:rsid w:val="000C7B33"/>
    <w:rsid w:val="000C7E83"/>
    <w:rsid w:val="000D0E6B"/>
    <w:rsid w:val="000D1449"/>
    <w:rsid w:val="000D1A0F"/>
    <w:rsid w:val="000D3BBC"/>
    <w:rsid w:val="000D560C"/>
    <w:rsid w:val="000D5A99"/>
    <w:rsid w:val="000D5F2E"/>
    <w:rsid w:val="000D6B30"/>
    <w:rsid w:val="000D6DCB"/>
    <w:rsid w:val="000E0610"/>
    <w:rsid w:val="000E1352"/>
    <w:rsid w:val="000E1A1D"/>
    <w:rsid w:val="000E1DC1"/>
    <w:rsid w:val="000E42E5"/>
    <w:rsid w:val="000E4598"/>
    <w:rsid w:val="000E4E6C"/>
    <w:rsid w:val="000E5C28"/>
    <w:rsid w:val="000E6F34"/>
    <w:rsid w:val="000E70CF"/>
    <w:rsid w:val="000E7A6A"/>
    <w:rsid w:val="000F1C7B"/>
    <w:rsid w:val="000F28A6"/>
    <w:rsid w:val="000F2C71"/>
    <w:rsid w:val="000F32FE"/>
    <w:rsid w:val="000F4020"/>
    <w:rsid w:val="000F4596"/>
    <w:rsid w:val="000F5438"/>
    <w:rsid w:val="000F7A99"/>
    <w:rsid w:val="00100EB9"/>
    <w:rsid w:val="00101557"/>
    <w:rsid w:val="00101B62"/>
    <w:rsid w:val="00101BE6"/>
    <w:rsid w:val="00103594"/>
    <w:rsid w:val="0010392E"/>
    <w:rsid w:val="00103F7D"/>
    <w:rsid w:val="00105107"/>
    <w:rsid w:val="0010552A"/>
    <w:rsid w:val="001063EC"/>
    <w:rsid w:val="00107D1B"/>
    <w:rsid w:val="00110262"/>
    <w:rsid w:val="0011064B"/>
    <w:rsid w:val="00110C09"/>
    <w:rsid w:val="001124B7"/>
    <w:rsid w:val="00113AFC"/>
    <w:rsid w:val="001141A0"/>
    <w:rsid w:val="00114421"/>
    <w:rsid w:val="00114449"/>
    <w:rsid w:val="001155CA"/>
    <w:rsid w:val="001160EA"/>
    <w:rsid w:val="001161D9"/>
    <w:rsid w:val="00116513"/>
    <w:rsid w:val="00117740"/>
    <w:rsid w:val="001202C9"/>
    <w:rsid w:val="00120711"/>
    <w:rsid w:val="00120E43"/>
    <w:rsid w:val="00120EEE"/>
    <w:rsid w:val="001210A7"/>
    <w:rsid w:val="0012198A"/>
    <w:rsid w:val="00121D92"/>
    <w:rsid w:val="00122095"/>
    <w:rsid w:val="00122967"/>
    <w:rsid w:val="001232E2"/>
    <w:rsid w:val="0012338C"/>
    <w:rsid w:val="00124653"/>
    <w:rsid w:val="00124C92"/>
    <w:rsid w:val="00125093"/>
    <w:rsid w:val="0012643D"/>
    <w:rsid w:val="00127681"/>
    <w:rsid w:val="00127FCB"/>
    <w:rsid w:val="0013002B"/>
    <w:rsid w:val="001304F1"/>
    <w:rsid w:val="00130A31"/>
    <w:rsid w:val="00131083"/>
    <w:rsid w:val="00131EC3"/>
    <w:rsid w:val="0013212E"/>
    <w:rsid w:val="00132F24"/>
    <w:rsid w:val="001332FD"/>
    <w:rsid w:val="00133507"/>
    <w:rsid w:val="00134114"/>
    <w:rsid w:val="00134A4E"/>
    <w:rsid w:val="0013544D"/>
    <w:rsid w:val="00135D1C"/>
    <w:rsid w:val="001376C2"/>
    <w:rsid w:val="00137A10"/>
    <w:rsid w:val="0014105A"/>
    <w:rsid w:val="00141DC4"/>
    <w:rsid w:val="00142CE4"/>
    <w:rsid w:val="001446BA"/>
    <w:rsid w:val="0014497B"/>
    <w:rsid w:val="00146982"/>
    <w:rsid w:val="001475EC"/>
    <w:rsid w:val="00147A7B"/>
    <w:rsid w:val="00147B79"/>
    <w:rsid w:val="00150632"/>
    <w:rsid w:val="00150719"/>
    <w:rsid w:val="001521AD"/>
    <w:rsid w:val="00153346"/>
    <w:rsid w:val="00153A38"/>
    <w:rsid w:val="00154435"/>
    <w:rsid w:val="00155F96"/>
    <w:rsid w:val="00155FB4"/>
    <w:rsid w:val="0015690B"/>
    <w:rsid w:val="00157427"/>
    <w:rsid w:val="00160A1E"/>
    <w:rsid w:val="0016124E"/>
    <w:rsid w:val="00162CB5"/>
    <w:rsid w:val="001630AF"/>
    <w:rsid w:val="00163773"/>
    <w:rsid w:val="0016391E"/>
    <w:rsid w:val="00163C58"/>
    <w:rsid w:val="00163EFB"/>
    <w:rsid w:val="001656B1"/>
    <w:rsid w:val="00165988"/>
    <w:rsid w:val="00167803"/>
    <w:rsid w:val="00170BBC"/>
    <w:rsid w:val="0017171C"/>
    <w:rsid w:val="00171A94"/>
    <w:rsid w:val="00173B80"/>
    <w:rsid w:val="00175C67"/>
    <w:rsid w:val="00175D86"/>
    <w:rsid w:val="0017784B"/>
    <w:rsid w:val="00177E70"/>
    <w:rsid w:val="001810B1"/>
    <w:rsid w:val="0018128C"/>
    <w:rsid w:val="0018146C"/>
    <w:rsid w:val="001826EC"/>
    <w:rsid w:val="0018361E"/>
    <w:rsid w:val="001838A7"/>
    <w:rsid w:val="001859D0"/>
    <w:rsid w:val="00186141"/>
    <w:rsid w:val="0018619E"/>
    <w:rsid w:val="00190BC3"/>
    <w:rsid w:val="00190EC9"/>
    <w:rsid w:val="00192DE8"/>
    <w:rsid w:val="00193AAA"/>
    <w:rsid w:val="00195CD0"/>
    <w:rsid w:val="00197DAC"/>
    <w:rsid w:val="001A024D"/>
    <w:rsid w:val="001A03A7"/>
    <w:rsid w:val="001A09D1"/>
    <w:rsid w:val="001A1F83"/>
    <w:rsid w:val="001A24B4"/>
    <w:rsid w:val="001A2523"/>
    <w:rsid w:val="001A29D5"/>
    <w:rsid w:val="001A357B"/>
    <w:rsid w:val="001A46FB"/>
    <w:rsid w:val="001A488C"/>
    <w:rsid w:val="001A555C"/>
    <w:rsid w:val="001A5565"/>
    <w:rsid w:val="001A5A0A"/>
    <w:rsid w:val="001A5E09"/>
    <w:rsid w:val="001A6D1F"/>
    <w:rsid w:val="001A7E54"/>
    <w:rsid w:val="001B0930"/>
    <w:rsid w:val="001B0C8D"/>
    <w:rsid w:val="001B1088"/>
    <w:rsid w:val="001B10A6"/>
    <w:rsid w:val="001B2234"/>
    <w:rsid w:val="001B2833"/>
    <w:rsid w:val="001B2CEF"/>
    <w:rsid w:val="001B381D"/>
    <w:rsid w:val="001B4151"/>
    <w:rsid w:val="001B42AF"/>
    <w:rsid w:val="001B63F3"/>
    <w:rsid w:val="001C0060"/>
    <w:rsid w:val="001C0DC7"/>
    <w:rsid w:val="001C0EA0"/>
    <w:rsid w:val="001C1920"/>
    <w:rsid w:val="001C1CD5"/>
    <w:rsid w:val="001C1E40"/>
    <w:rsid w:val="001C2D79"/>
    <w:rsid w:val="001C3F7B"/>
    <w:rsid w:val="001C3FE1"/>
    <w:rsid w:val="001C4B85"/>
    <w:rsid w:val="001C5D64"/>
    <w:rsid w:val="001C669B"/>
    <w:rsid w:val="001C6A80"/>
    <w:rsid w:val="001C747A"/>
    <w:rsid w:val="001C7F47"/>
    <w:rsid w:val="001D0B8F"/>
    <w:rsid w:val="001D1011"/>
    <w:rsid w:val="001D1F57"/>
    <w:rsid w:val="001D2056"/>
    <w:rsid w:val="001D240A"/>
    <w:rsid w:val="001D365D"/>
    <w:rsid w:val="001D3910"/>
    <w:rsid w:val="001D3F4E"/>
    <w:rsid w:val="001D3FD8"/>
    <w:rsid w:val="001D6B30"/>
    <w:rsid w:val="001D6BC2"/>
    <w:rsid w:val="001D74A2"/>
    <w:rsid w:val="001D7E20"/>
    <w:rsid w:val="001E00D2"/>
    <w:rsid w:val="001E03DA"/>
    <w:rsid w:val="001E0470"/>
    <w:rsid w:val="001E055B"/>
    <w:rsid w:val="001E22EF"/>
    <w:rsid w:val="001E29C4"/>
    <w:rsid w:val="001E2DEC"/>
    <w:rsid w:val="001E3E43"/>
    <w:rsid w:val="001E3EC5"/>
    <w:rsid w:val="001E4724"/>
    <w:rsid w:val="001E4C87"/>
    <w:rsid w:val="001E50CB"/>
    <w:rsid w:val="001E547C"/>
    <w:rsid w:val="001E5516"/>
    <w:rsid w:val="001E6F3D"/>
    <w:rsid w:val="001F017A"/>
    <w:rsid w:val="001F0971"/>
    <w:rsid w:val="001F124F"/>
    <w:rsid w:val="001F2CBE"/>
    <w:rsid w:val="001F310D"/>
    <w:rsid w:val="001F3BA7"/>
    <w:rsid w:val="001F3FF5"/>
    <w:rsid w:val="001F4384"/>
    <w:rsid w:val="001F47BC"/>
    <w:rsid w:val="001F48B4"/>
    <w:rsid w:val="001F57C0"/>
    <w:rsid w:val="001F5A66"/>
    <w:rsid w:val="001F5F26"/>
    <w:rsid w:val="001F5FFE"/>
    <w:rsid w:val="001F6183"/>
    <w:rsid w:val="001F744B"/>
    <w:rsid w:val="001F7CCB"/>
    <w:rsid w:val="002012D9"/>
    <w:rsid w:val="00201A3C"/>
    <w:rsid w:val="00202E7C"/>
    <w:rsid w:val="0020317F"/>
    <w:rsid w:val="00204146"/>
    <w:rsid w:val="00204516"/>
    <w:rsid w:val="002050D8"/>
    <w:rsid w:val="0020515D"/>
    <w:rsid w:val="002052E4"/>
    <w:rsid w:val="00207328"/>
    <w:rsid w:val="002073CD"/>
    <w:rsid w:val="002073E2"/>
    <w:rsid w:val="00207CD5"/>
    <w:rsid w:val="0021025D"/>
    <w:rsid w:val="00210D8B"/>
    <w:rsid w:val="002127A3"/>
    <w:rsid w:val="002128DD"/>
    <w:rsid w:val="00212949"/>
    <w:rsid w:val="00212FA0"/>
    <w:rsid w:val="00213CF2"/>
    <w:rsid w:val="00214194"/>
    <w:rsid w:val="002142EB"/>
    <w:rsid w:val="00214EA5"/>
    <w:rsid w:val="002163D0"/>
    <w:rsid w:val="00216847"/>
    <w:rsid w:val="00216A38"/>
    <w:rsid w:val="00217759"/>
    <w:rsid w:val="00217E76"/>
    <w:rsid w:val="00221DE9"/>
    <w:rsid w:val="00221F28"/>
    <w:rsid w:val="0022308E"/>
    <w:rsid w:val="002235AD"/>
    <w:rsid w:val="00224F54"/>
    <w:rsid w:val="00225AA5"/>
    <w:rsid w:val="00225B98"/>
    <w:rsid w:val="00226DB2"/>
    <w:rsid w:val="002319AE"/>
    <w:rsid w:val="002344D3"/>
    <w:rsid w:val="002355E1"/>
    <w:rsid w:val="00236B21"/>
    <w:rsid w:val="002400B2"/>
    <w:rsid w:val="00240411"/>
    <w:rsid w:val="00240E3E"/>
    <w:rsid w:val="00240F2C"/>
    <w:rsid w:val="0024102C"/>
    <w:rsid w:val="00243EF2"/>
    <w:rsid w:val="00246515"/>
    <w:rsid w:val="0024691F"/>
    <w:rsid w:val="0024744F"/>
    <w:rsid w:val="00247970"/>
    <w:rsid w:val="0025004E"/>
    <w:rsid w:val="0025030F"/>
    <w:rsid w:val="0025138E"/>
    <w:rsid w:val="002514DE"/>
    <w:rsid w:val="002516BD"/>
    <w:rsid w:val="00251954"/>
    <w:rsid w:val="00252F21"/>
    <w:rsid w:val="00253551"/>
    <w:rsid w:val="002539CF"/>
    <w:rsid w:val="00253B93"/>
    <w:rsid w:val="002546C0"/>
    <w:rsid w:val="00254B97"/>
    <w:rsid w:val="00254BD3"/>
    <w:rsid w:val="00254CA3"/>
    <w:rsid w:val="00256D96"/>
    <w:rsid w:val="0026003C"/>
    <w:rsid w:val="00260A41"/>
    <w:rsid w:val="002615DD"/>
    <w:rsid w:val="00262CBB"/>
    <w:rsid w:val="00263023"/>
    <w:rsid w:val="002631CD"/>
    <w:rsid w:val="00263820"/>
    <w:rsid w:val="002641F5"/>
    <w:rsid w:val="00270F9D"/>
    <w:rsid w:val="00271D0C"/>
    <w:rsid w:val="00272FCF"/>
    <w:rsid w:val="0027450F"/>
    <w:rsid w:val="00275E91"/>
    <w:rsid w:val="0027650B"/>
    <w:rsid w:val="00277E69"/>
    <w:rsid w:val="0028202E"/>
    <w:rsid w:val="002824D7"/>
    <w:rsid w:val="0028326C"/>
    <w:rsid w:val="00283CF8"/>
    <w:rsid w:val="00283CFE"/>
    <w:rsid w:val="00283D57"/>
    <w:rsid w:val="0028410B"/>
    <w:rsid w:val="0028493B"/>
    <w:rsid w:val="0028520C"/>
    <w:rsid w:val="00285F36"/>
    <w:rsid w:val="002860CD"/>
    <w:rsid w:val="00286175"/>
    <w:rsid w:val="00286215"/>
    <w:rsid w:val="0028705D"/>
    <w:rsid w:val="00291C26"/>
    <w:rsid w:val="002927C5"/>
    <w:rsid w:val="00294870"/>
    <w:rsid w:val="002949F3"/>
    <w:rsid w:val="00294DAB"/>
    <w:rsid w:val="00295383"/>
    <w:rsid w:val="00297510"/>
    <w:rsid w:val="002A013A"/>
    <w:rsid w:val="002A0954"/>
    <w:rsid w:val="002A3466"/>
    <w:rsid w:val="002A3701"/>
    <w:rsid w:val="002A39CA"/>
    <w:rsid w:val="002A3EF0"/>
    <w:rsid w:val="002A4290"/>
    <w:rsid w:val="002A43C4"/>
    <w:rsid w:val="002A78F0"/>
    <w:rsid w:val="002A7DB6"/>
    <w:rsid w:val="002B03F4"/>
    <w:rsid w:val="002B341A"/>
    <w:rsid w:val="002B39A1"/>
    <w:rsid w:val="002B433C"/>
    <w:rsid w:val="002B495E"/>
    <w:rsid w:val="002B558A"/>
    <w:rsid w:val="002B5D35"/>
    <w:rsid w:val="002B672F"/>
    <w:rsid w:val="002B6DF5"/>
    <w:rsid w:val="002B70BB"/>
    <w:rsid w:val="002B7C4C"/>
    <w:rsid w:val="002B7D9D"/>
    <w:rsid w:val="002C0E22"/>
    <w:rsid w:val="002C108F"/>
    <w:rsid w:val="002C1247"/>
    <w:rsid w:val="002C1847"/>
    <w:rsid w:val="002C2486"/>
    <w:rsid w:val="002C296B"/>
    <w:rsid w:val="002C2DEC"/>
    <w:rsid w:val="002C37B4"/>
    <w:rsid w:val="002C3B47"/>
    <w:rsid w:val="002C3CEE"/>
    <w:rsid w:val="002C4B69"/>
    <w:rsid w:val="002C4D59"/>
    <w:rsid w:val="002C56F5"/>
    <w:rsid w:val="002C6F0E"/>
    <w:rsid w:val="002C71C4"/>
    <w:rsid w:val="002D2788"/>
    <w:rsid w:val="002D362F"/>
    <w:rsid w:val="002D5229"/>
    <w:rsid w:val="002D5411"/>
    <w:rsid w:val="002D5C6F"/>
    <w:rsid w:val="002D63B4"/>
    <w:rsid w:val="002D6F56"/>
    <w:rsid w:val="002E0895"/>
    <w:rsid w:val="002E0AD8"/>
    <w:rsid w:val="002E0B34"/>
    <w:rsid w:val="002E13FB"/>
    <w:rsid w:val="002E1C2D"/>
    <w:rsid w:val="002E3905"/>
    <w:rsid w:val="002E6C6C"/>
    <w:rsid w:val="002E6DCC"/>
    <w:rsid w:val="002E7206"/>
    <w:rsid w:val="002F0783"/>
    <w:rsid w:val="002F1154"/>
    <w:rsid w:val="002F2038"/>
    <w:rsid w:val="002F2141"/>
    <w:rsid w:val="002F2722"/>
    <w:rsid w:val="002F32B9"/>
    <w:rsid w:val="002F3A56"/>
    <w:rsid w:val="002F3A5F"/>
    <w:rsid w:val="002F491A"/>
    <w:rsid w:val="002F5654"/>
    <w:rsid w:val="002F5919"/>
    <w:rsid w:val="00301B96"/>
    <w:rsid w:val="00301CAD"/>
    <w:rsid w:val="00301CD9"/>
    <w:rsid w:val="003037E0"/>
    <w:rsid w:val="00303824"/>
    <w:rsid w:val="00304C80"/>
    <w:rsid w:val="0030525F"/>
    <w:rsid w:val="00305EF8"/>
    <w:rsid w:val="003066B7"/>
    <w:rsid w:val="003068B9"/>
    <w:rsid w:val="003069FC"/>
    <w:rsid w:val="00306BE5"/>
    <w:rsid w:val="0030743C"/>
    <w:rsid w:val="00310292"/>
    <w:rsid w:val="00310FA9"/>
    <w:rsid w:val="003115BC"/>
    <w:rsid w:val="003128AE"/>
    <w:rsid w:val="00315EC5"/>
    <w:rsid w:val="00316240"/>
    <w:rsid w:val="003163F4"/>
    <w:rsid w:val="00317CF1"/>
    <w:rsid w:val="0032057F"/>
    <w:rsid w:val="00320BEA"/>
    <w:rsid w:val="00321326"/>
    <w:rsid w:val="00321370"/>
    <w:rsid w:val="003213ED"/>
    <w:rsid w:val="00321B39"/>
    <w:rsid w:val="003229A7"/>
    <w:rsid w:val="00323100"/>
    <w:rsid w:val="003244F3"/>
    <w:rsid w:val="003245BD"/>
    <w:rsid w:val="00324AEA"/>
    <w:rsid w:val="00325CAA"/>
    <w:rsid w:val="0032676E"/>
    <w:rsid w:val="00326BF1"/>
    <w:rsid w:val="003273FA"/>
    <w:rsid w:val="00327BD1"/>
    <w:rsid w:val="00330BDD"/>
    <w:rsid w:val="00332400"/>
    <w:rsid w:val="003325CC"/>
    <w:rsid w:val="003325FD"/>
    <w:rsid w:val="003336B1"/>
    <w:rsid w:val="00333D07"/>
    <w:rsid w:val="0033410F"/>
    <w:rsid w:val="003341C3"/>
    <w:rsid w:val="00337C85"/>
    <w:rsid w:val="00342917"/>
    <w:rsid w:val="00342DFF"/>
    <w:rsid w:val="003436CB"/>
    <w:rsid w:val="00343D6B"/>
    <w:rsid w:val="003444C0"/>
    <w:rsid w:val="00344945"/>
    <w:rsid w:val="00344A53"/>
    <w:rsid w:val="00344D56"/>
    <w:rsid w:val="00345F12"/>
    <w:rsid w:val="00346098"/>
    <w:rsid w:val="003502BE"/>
    <w:rsid w:val="00350602"/>
    <w:rsid w:val="00350E3F"/>
    <w:rsid w:val="00351517"/>
    <w:rsid w:val="0035180B"/>
    <w:rsid w:val="003522CE"/>
    <w:rsid w:val="003525ED"/>
    <w:rsid w:val="00352FED"/>
    <w:rsid w:val="00353710"/>
    <w:rsid w:val="0035562E"/>
    <w:rsid w:val="0035580C"/>
    <w:rsid w:val="0035593A"/>
    <w:rsid w:val="003563CB"/>
    <w:rsid w:val="00357156"/>
    <w:rsid w:val="00357302"/>
    <w:rsid w:val="00360ED1"/>
    <w:rsid w:val="00362B13"/>
    <w:rsid w:val="00363293"/>
    <w:rsid w:val="0036335C"/>
    <w:rsid w:val="00363F7E"/>
    <w:rsid w:val="00364918"/>
    <w:rsid w:val="00364A11"/>
    <w:rsid w:val="00364F18"/>
    <w:rsid w:val="003653D9"/>
    <w:rsid w:val="00367074"/>
    <w:rsid w:val="00370047"/>
    <w:rsid w:val="003705F0"/>
    <w:rsid w:val="00370897"/>
    <w:rsid w:val="00371007"/>
    <w:rsid w:val="003731A8"/>
    <w:rsid w:val="00373D59"/>
    <w:rsid w:val="00374212"/>
    <w:rsid w:val="00374753"/>
    <w:rsid w:val="00374C61"/>
    <w:rsid w:val="003757AC"/>
    <w:rsid w:val="00376B5F"/>
    <w:rsid w:val="00376F5D"/>
    <w:rsid w:val="0037769A"/>
    <w:rsid w:val="00380B99"/>
    <w:rsid w:val="003838E8"/>
    <w:rsid w:val="003838F5"/>
    <w:rsid w:val="00384218"/>
    <w:rsid w:val="00384D04"/>
    <w:rsid w:val="003853A8"/>
    <w:rsid w:val="0038658E"/>
    <w:rsid w:val="003878B1"/>
    <w:rsid w:val="00387D7A"/>
    <w:rsid w:val="003901A2"/>
    <w:rsid w:val="0039128F"/>
    <w:rsid w:val="00392A98"/>
    <w:rsid w:val="003930A9"/>
    <w:rsid w:val="003938E0"/>
    <w:rsid w:val="00393985"/>
    <w:rsid w:val="00395A31"/>
    <w:rsid w:val="00397330"/>
    <w:rsid w:val="003978A6"/>
    <w:rsid w:val="003A011E"/>
    <w:rsid w:val="003A2CC7"/>
    <w:rsid w:val="003A2E97"/>
    <w:rsid w:val="003A4161"/>
    <w:rsid w:val="003A4E93"/>
    <w:rsid w:val="003A5F9D"/>
    <w:rsid w:val="003A721F"/>
    <w:rsid w:val="003B0FE8"/>
    <w:rsid w:val="003B2405"/>
    <w:rsid w:val="003B3C0E"/>
    <w:rsid w:val="003B3F58"/>
    <w:rsid w:val="003B44AF"/>
    <w:rsid w:val="003B4821"/>
    <w:rsid w:val="003B4D2A"/>
    <w:rsid w:val="003B765A"/>
    <w:rsid w:val="003B7F1F"/>
    <w:rsid w:val="003C035C"/>
    <w:rsid w:val="003C18DF"/>
    <w:rsid w:val="003C2A9A"/>
    <w:rsid w:val="003C32F6"/>
    <w:rsid w:val="003C3D61"/>
    <w:rsid w:val="003C70F9"/>
    <w:rsid w:val="003C7319"/>
    <w:rsid w:val="003C7AE0"/>
    <w:rsid w:val="003D0068"/>
    <w:rsid w:val="003D0217"/>
    <w:rsid w:val="003D0B22"/>
    <w:rsid w:val="003D5CD2"/>
    <w:rsid w:val="003D6741"/>
    <w:rsid w:val="003D7A5E"/>
    <w:rsid w:val="003E0435"/>
    <w:rsid w:val="003E2493"/>
    <w:rsid w:val="003E2807"/>
    <w:rsid w:val="003E2D11"/>
    <w:rsid w:val="003E3F23"/>
    <w:rsid w:val="003E4434"/>
    <w:rsid w:val="003E4B24"/>
    <w:rsid w:val="003E5589"/>
    <w:rsid w:val="003E5812"/>
    <w:rsid w:val="003E584C"/>
    <w:rsid w:val="003E6207"/>
    <w:rsid w:val="003E68E2"/>
    <w:rsid w:val="003F1281"/>
    <w:rsid w:val="003F144B"/>
    <w:rsid w:val="003F2176"/>
    <w:rsid w:val="003F2817"/>
    <w:rsid w:val="003F2BE8"/>
    <w:rsid w:val="003F61D5"/>
    <w:rsid w:val="003F723B"/>
    <w:rsid w:val="003F7CFD"/>
    <w:rsid w:val="00400454"/>
    <w:rsid w:val="00401CCB"/>
    <w:rsid w:val="004030D0"/>
    <w:rsid w:val="00403ABC"/>
    <w:rsid w:val="00403CF4"/>
    <w:rsid w:val="004041D1"/>
    <w:rsid w:val="00405282"/>
    <w:rsid w:val="00405732"/>
    <w:rsid w:val="00405CB9"/>
    <w:rsid w:val="00406244"/>
    <w:rsid w:val="00406D85"/>
    <w:rsid w:val="00407D9F"/>
    <w:rsid w:val="00407DF1"/>
    <w:rsid w:val="00407F05"/>
    <w:rsid w:val="00411E85"/>
    <w:rsid w:val="00412348"/>
    <w:rsid w:val="00412562"/>
    <w:rsid w:val="00412657"/>
    <w:rsid w:val="00413C38"/>
    <w:rsid w:val="00414316"/>
    <w:rsid w:val="00414AC9"/>
    <w:rsid w:val="00414D52"/>
    <w:rsid w:val="00415665"/>
    <w:rsid w:val="00416446"/>
    <w:rsid w:val="00416765"/>
    <w:rsid w:val="00417397"/>
    <w:rsid w:val="00420026"/>
    <w:rsid w:val="00420192"/>
    <w:rsid w:val="004204C3"/>
    <w:rsid w:val="00420996"/>
    <w:rsid w:val="00420C23"/>
    <w:rsid w:val="00423DB2"/>
    <w:rsid w:val="00423F1A"/>
    <w:rsid w:val="004261E9"/>
    <w:rsid w:val="004262D4"/>
    <w:rsid w:val="00426330"/>
    <w:rsid w:val="0042788A"/>
    <w:rsid w:val="004306E2"/>
    <w:rsid w:val="00430AA6"/>
    <w:rsid w:val="004312B8"/>
    <w:rsid w:val="00431E62"/>
    <w:rsid w:val="00432233"/>
    <w:rsid w:val="00432249"/>
    <w:rsid w:val="0043291C"/>
    <w:rsid w:val="0043332F"/>
    <w:rsid w:val="0043410D"/>
    <w:rsid w:val="0043482B"/>
    <w:rsid w:val="004355A4"/>
    <w:rsid w:val="004356C0"/>
    <w:rsid w:val="00435D2C"/>
    <w:rsid w:val="00435D96"/>
    <w:rsid w:val="004371E3"/>
    <w:rsid w:val="00440920"/>
    <w:rsid w:val="00441EB4"/>
    <w:rsid w:val="00441EDA"/>
    <w:rsid w:val="00442170"/>
    <w:rsid w:val="00443670"/>
    <w:rsid w:val="00444424"/>
    <w:rsid w:val="00444B1F"/>
    <w:rsid w:val="00444C66"/>
    <w:rsid w:val="00445223"/>
    <w:rsid w:val="004455FE"/>
    <w:rsid w:val="00446E11"/>
    <w:rsid w:val="004501D5"/>
    <w:rsid w:val="00450532"/>
    <w:rsid w:val="004505B8"/>
    <w:rsid w:val="00451896"/>
    <w:rsid w:val="00451F5C"/>
    <w:rsid w:val="00452333"/>
    <w:rsid w:val="00452CB8"/>
    <w:rsid w:val="00453BA5"/>
    <w:rsid w:val="004547B1"/>
    <w:rsid w:val="00455221"/>
    <w:rsid w:val="004576CA"/>
    <w:rsid w:val="004577CA"/>
    <w:rsid w:val="004577E2"/>
    <w:rsid w:val="004608CF"/>
    <w:rsid w:val="0046272E"/>
    <w:rsid w:val="00462FAA"/>
    <w:rsid w:val="00466B48"/>
    <w:rsid w:val="0046703A"/>
    <w:rsid w:val="00467114"/>
    <w:rsid w:val="00467643"/>
    <w:rsid w:val="00467A5D"/>
    <w:rsid w:val="004727C4"/>
    <w:rsid w:val="004735CC"/>
    <w:rsid w:val="00474398"/>
    <w:rsid w:val="004745DC"/>
    <w:rsid w:val="00474C60"/>
    <w:rsid w:val="00475B4A"/>
    <w:rsid w:val="00475FEE"/>
    <w:rsid w:val="0047689C"/>
    <w:rsid w:val="00477DFB"/>
    <w:rsid w:val="0048141C"/>
    <w:rsid w:val="004827CE"/>
    <w:rsid w:val="00482A68"/>
    <w:rsid w:val="004844D9"/>
    <w:rsid w:val="004846AA"/>
    <w:rsid w:val="00485A26"/>
    <w:rsid w:val="00485A46"/>
    <w:rsid w:val="00485E6D"/>
    <w:rsid w:val="00486B64"/>
    <w:rsid w:val="00486DDD"/>
    <w:rsid w:val="0048756A"/>
    <w:rsid w:val="0049061A"/>
    <w:rsid w:val="00491E29"/>
    <w:rsid w:val="00491FB4"/>
    <w:rsid w:val="0049206E"/>
    <w:rsid w:val="004930DE"/>
    <w:rsid w:val="00493A89"/>
    <w:rsid w:val="00493EB0"/>
    <w:rsid w:val="004944D1"/>
    <w:rsid w:val="00494C37"/>
    <w:rsid w:val="004957C7"/>
    <w:rsid w:val="00496DDD"/>
    <w:rsid w:val="004A0470"/>
    <w:rsid w:val="004A0737"/>
    <w:rsid w:val="004A161D"/>
    <w:rsid w:val="004A1BD4"/>
    <w:rsid w:val="004A1ED0"/>
    <w:rsid w:val="004A2617"/>
    <w:rsid w:val="004A3D01"/>
    <w:rsid w:val="004A3E4B"/>
    <w:rsid w:val="004A40EB"/>
    <w:rsid w:val="004A4A23"/>
    <w:rsid w:val="004A51F0"/>
    <w:rsid w:val="004A57E9"/>
    <w:rsid w:val="004A7147"/>
    <w:rsid w:val="004B0598"/>
    <w:rsid w:val="004B1BD6"/>
    <w:rsid w:val="004B26C6"/>
    <w:rsid w:val="004B290D"/>
    <w:rsid w:val="004B3658"/>
    <w:rsid w:val="004B3A3A"/>
    <w:rsid w:val="004B3D63"/>
    <w:rsid w:val="004B422A"/>
    <w:rsid w:val="004B6214"/>
    <w:rsid w:val="004B719F"/>
    <w:rsid w:val="004C001F"/>
    <w:rsid w:val="004C06BF"/>
    <w:rsid w:val="004C0C7C"/>
    <w:rsid w:val="004C0F85"/>
    <w:rsid w:val="004C115E"/>
    <w:rsid w:val="004C19F6"/>
    <w:rsid w:val="004C2945"/>
    <w:rsid w:val="004C31DC"/>
    <w:rsid w:val="004C3E6C"/>
    <w:rsid w:val="004C5353"/>
    <w:rsid w:val="004C586D"/>
    <w:rsid w:val="004C5FD9"/>
    <w:rsid w:val="004C666F"/>
    <w:rsid w:val="004C7134"/>
    <w:rsid w:val="004D2370"/>
    <w:rsid w:val="004D315F"/>
    <w:rsid w:val="004D329A"/>
    <w:rsid w:val="004D453E"/>
    <w:rsid w:val="004D46C9"/>
    <w:rsid w:val="004D49EB"/>
    <w:rsid w:val="004D572D"/>
    <w:rsid w:val="004D573C"/>
    <w:rsid w:val="004D60E5"/>
    <w:rsid w:val="004D6E68"/>
    <w:rsid w:val="004D71F8"/>
    <w:rsid w:val="004D75A6"/>
    <w:rsid w:val="004E093A"/>
    <w:rsid w:val="004E0969"/>
    <w:rsid w:val="004E2578"/>
    <w:rsid w:val="004E293D"/>
    <w:rsid w:val="004E4EDA"/>
    <w:rsid w:val="004E531F"/>
    <w:rsid w:val="004E6B0C"/>
    <w:rsid w:val="004E7323"/>
    <w:rsid w:val="004F1505"/>
    <w:rsid w:val="004F1DFE"/>
    <w:rsid w:val="004F213D"/>
    <w:rsid w:val="004F34FA"/>
    <w:rsid w:val="004F46C0"/>
    <w:rsid w:val="004F5473"/>
    <w:rsid w:val="004F55D6"/>
    <w:rsid w:val="004F6145"/>
    <w:rsid w:val="004F6207"/>
    <w:rsid w:val="004F68A5"/>
    <w:rsid w:val="004F698C"/>
    <w:rsid w:val="004F7495"/>
    <w:rsid w:val="004F7C7D"/>
    <w:rsid w:val="0050105A"/>
    <w:rsid w:val="00501ED4"/>
    <w:rsid w:val="005028BD"/>
    <w:rsid w:val="00502A4E"/>
    <w:rsid w:val="00503A98"/>
    <w:rsid w:val="00503F39"/>
    <w:rsid w:val="005059A8"/>
    <w:rsid w:val="00507E73"/>
    <w:rsid w:val="00507F99"/>
    <w:rsid w:val="00510A34"/>
    <w:rsid w:val="005113B3"/>
    <w:rsid w:val="00511509"/>
    <w:rsid w:val="00511549"/>
    <w:rsid w:val="00512BB5"/>
    <w:rsid w:val="005130F0"/>
    <w:rsid w:val="005139DE"/>
    <w:rsid w:val="00513C6F"/>
    <w:rsid w:val="00513FB3"/>
    <w:rsid w:val="005142D6"/>
    <w:rsid w:val="00514572"/>
    <w:rsid w:val="00516AB6"/>
    <w:rsid w:val="00516ED5"/>
    <w:rsid w:val="00520963"/>
    <w:rsid w:val="00522E79"/>
    <w:rsid w:val="005238A1"/>
    <w:rsid w:val="00525A21"/>
    <w:rsid w:val="00525BB7"/>
    <w:rsid w:val="00526AFD"/>
    <w:rsid w:val="0053120D"/>
    <w:rsid w:val="00532083"/>
    <w:rsid w:val="00532537"/>
    <w:rsid w:val="00532653"/>
    <w:rsid w:val="0053385A"/>
    <w:rsid w:val="00534399"/>
    <w:rsid w:val="00534411"/>
    <w:rsid w:val="00537A4E"/>
    <w:rsid w:val="00537B99"/>
    <w:rsid w:val="00540C1C"/>
    <w:rsid w:val="005415C0"/>
    <w:rsid w:val="005430B2"/>
    <w:rsid w:val="00543248"/>
    <w:rsid w:val="00543E3C"/>
    <w:rsid w:val="00545234"/>
    <w:rsid w:val="005459D7"/>
    <w:rsid w:val="00545DEA"/>
    <w:rsid w:val="00547122"/>
    <w:rsid w:val="00547E85"/>
    <w:rsid w:val="00551956"/>
    <w:rsid w:val="0055491D"/>
    <w:rsid w:val="00554DC0"/>
    <w:rsid w:val="005559A4"/>
    <w:rsid w:val="0055631E"/>
    <w:rsid w:val="005564DF"/>
    <w:rsid w:val="00556E02"/>
    <w:rsid w:val="0055780E"/>
    <w:rsid w:val="00560124"/>
    <w:rsid w:val="00560132"/>
    <w:rsid w:val="005603BF"/>
    <w:rsid w:val="005607C6"/>
    <w:rsid w:val="005608EC"/>
    <w:rsid w:val="00561138"/>
    <w:rsid w:val="00561D9E"/>
    <w:rsid w:val="005628E8"/>
    <w:rsid w:val="0056406F"/>
    <w:rsid w:val="005716FC"/>
    <w:rsid w:val="00571C9F"/>
    <w:rsid w:val="005720D9"/>
    <w:rsid w:val="00572178"/>
    <w:rsid w:val="005730E4"/>
    <w:rsid w:val="005747F5"/>
    <w:rsid w:val="005749D4"/>
    <w:rsid w:val="00575718"/>
    <w:rsid w:val="00576D48"/>
    <w:rsid w:val="005775BB"/>
    <w:rsid w:val="005811A1"/>
    <w:rsid w:val="00581728"/>
    <w:rsid w:val="00582131"/>
    <w:rsid w:val="00582660"/>
    <w:rsid w:val="0058384E"/>
    <w:rsid w:val="00584725"/>
    <w:rsid w:val="005858F9"/>
    <w:rsid w:val="00585C4F"/>
    <w:rsid w:val="00586976"/>
    <w:rsid w:val="00590300"/>
    <w:rsid w:val="00590CFB"/>
    <w:rsid w:val="00590E5D"/>
    <w:rsid w:val="005943CA"/>
    <w:rsid w:val="0059487C"/>
    <w:rsid w:val="00595D18"/>
    <w:rsid w:val="00596306"/>
    <w:rsid w:val="00596E08"/>
    <w:rsid w:val="00596ED6"/>
    <w:rsid w:val="0059752D"/>
    <w:rsid w:val="005A04AD"/>
    <w:rsid w:val="005A0E7F"/>
    <w:rsid w:val="005A10EA"/>
    <w:rsid w:val="005A2A61"/>
    <w:rsid w:val="005A3DAF"/>
    <w:rsid w:val="005A5043"/>
    <w:rsid w:val="005A5DC8"/>
    <w:rsid w:val="005A64BE"/>
    <w:rsid w:val="005A64EB"/>
    <w:rsid w:val="005A6AE6"/>
    <w:rsid w:val="005A6BE5"/>
    <w:rsid w:val="005A6C32"/>
    <w:rsid w:val="005A73D1"/>
    <w:rsid w:val="005A7906"/>
    <w:rsid w:val="005B040C"/>
    <w:rsid w:val="005B1E32"/>
    <w:rsid w:val="005B2EE4"/>
    <w:rsid w:val="005B2F73"/>
    <w:rsid w:val="005B34FC"/>
    <w:rsid w:val="005B3BCB"/>
    <w:rsid w:val="005B3C22"/>
    <w:rsid w:val="005B4D32"/>
    <w:rsid w:val="005B4F8C"/>
    <w:rsid w:val="005B5306"/>
    <w:rsid w:val="005B630E"/>
    <w:rsid w:val="005B6859"/>
    <w:rsid w:val="005C00C5"/>
    <w:rsid w:val="005C01C7"/>
    <w:rsid w:val="005C0AAA"/>
    <w:rsid w:val="005C1E23"/>
    <w:rsid w:val="005C22F1"/>
    <w:rsid w:val="005C4683"/>
    <w:rsid w:val="005C51F9"/>
    <w:rsid w:val="005C5585"/>
    <w:rsid w:val="005C7DA8"/>
    <w:rsid w:val="005D0756"/>
    <w:rsid w:val="005D1BF0"/>
    <w:rsid w:val="005D1F9A"/>
    <w:rsid w:val="005D48E2"/>
    <w:rsid w:val="005D7947"/>
    <w:rsid w:val="005E0A41"/>
    <w:rsid w:val="005E0BB2"/>
    <w:rsid w:val="005E0EA6"/>
    <w:rsid w:val="005E111D"/>
    <w:rsid w:val="005E13BD"/>
    <w:rsid w:val="005E2944"/>
    <w:rsid w:val="005E2EC2"/>
    <w:rsid w:val="005E2EFC"/>
    <w:rsid w:val="005E30CD"/>
    <w:rsid w:val="005E381A"/>
    <w:rsid w:val="005E523F"/>
    <w:rsid w:val="005E53FE"/>
    <w:rsid w:val="005E5638"/>
    <w:rsid w:val="005E7A1A"/>
    <w:rsid w:val="005F0337"/>
    <w:rsid w:val="005F1A7B"/>
    <w:rsid w:val="005F1B4F"/>
    <w:rsid w:val="005F3BE0"/>
    <w:rsid w:val="005F477D"/>
    <w:rsid w:val="005F4E2A"/>
    <w:rsid w:val="005F505B"/>
    <w:rsid w:val="005F5D31"/>
    <w:rsid w:val="005F6075"/>
    <w:rsid w:val="005F6493"/>
    <w:rsid w:val="005F66F9"/>
    <w:rsid w:val="005F6D9C"/>
    <w:rsid w:val="005F7030"/>
    <w:rsid w:val="006007E7"/>
    <w:rsid w:val="00600BF5"/>
    <w:rsid w:val="0060133E"/>
    <w:rsid w:val="006022F3"/>
    <w:rsid w:val="00602529"/>
    <w:rsid w:val="0060308C"/>
    <w:rsid w:val="0060314D"/>
    <w:rsid w:val="0060338C"/>
    <w:rsid w:val="006033DC"/>
    <w:rsid w:val="006037DF"/>
    <w:rsid w:val="00603CA1"/>
    <w:rsid w:val="00604017"/>
    <w:rsid w:val="006046CE"/>
    <w:rsid w:val="00605A2B"/>
    <w:rsid w:val="00605CF7"/>
    <w:rsid w:val="00607D2D"/>
    <w:rsid w:val="0061001B"/>
    <w:rsid w:val="00610798"/>
    <w:rsid w:val="00610883"/>
    <w:rsid w:val="00611570"/>
    <w:rsid w:val="00611848"/>
    <w:rsid w:val="00611B6A"/>
    <w:rsid w:val="00611FE7"/>
    <w:rsid w:val="006125A0"/>
    <w:rsid w:val="006129F9"/>
    <w:rsid w:val="006132A3"/>
    <w:rsid w:val="00614468"/>
    <w:rsid w:val="00615D0F"/>
    <w:rsid w:val="0061643B"/>
    <w:rsid w:val="0061784D"/>
    <w:rsid w:val="00621823"/>
    <w:rsid w:val="00621A1B"/>
    <w:rsid w:val="00623471"/>
    <w:rsid w:val="00623D92"/>
    <w:rsid w:val="00625B3F"/>
    <w:rsid w:val="00625E0E"/>
    <w:rsid w:val="006265EB"/>
    <w:rsid w:val="00626F1F"/>
    <w:rsid w:val="00627231"/>
    <w:rsid w:val="00627986"/>
    <w:rsid w:val="006279B6"/>
    <w:rsid w:val="006301C6"/>
    <w:rsid w:val="00630C33"/>
    <w:rsid w:val="006310AF"/>
    <w:rsid w:val="006323AD"/>
    <w:rsid w:val="0063289D"/>
    <w:rsid w:val="00632E82"/>
    <w:rsid w:val="00635302"/>
    <w:rsid w:val="00635D39"/>
    <w:rsid w:val="00635EE7"/>
    <w:rsid w:val="00636C4E"/>
    <w:rsid w:val="00637E0A"/>
    <w:rsid w:val="00640AFC"/>
    <w:rsid w:val="00641077"/>
    <w:rsid w:val="00641273"/>
    <w:rsid w:val="00641890"/>
    <w:rsid w:val="00642169"/>
    <w:rsid w:val="00642468"/>
    <w:rsid w:val="00643200"/>
    <w:rsid w:val="0064411C"/>
    <w:rsid w:val="00645DC8"/>
    <w:rsid w:val="00646CB6"/>
    <w:rsid w:val="00646DC8"/>
    <w:rsid w:val="00647517"/>
    <w:rsid w:val="00651057"/>
    <w:rsid w:val="0065182A"/>
    <w:rsid w:val="00651865"/>
    <w:rsid w:val="006527C2"/>
    <w:rsid w:val="00653CE8"/>
    <w:rsid w:val="00655D7F"/>
    <w:rsid w:val="006565BD"/>
    <w:rsid w:val="00657D20"/>
    <w:rsid w:val="006602EB"/>
    <w:rsid w:val="006605EB"/>
    <w:rsid w:val="00661FEF"/>
    <w:rsid w:val="00663940"/>
    <w:rsid w:val="00663C25"/>
    <w:rsid w:val="00664231"/>
    <w:rsid w:val="006645F6"/>
    <w:rsid w:val="0066484A"/>
    <w:rsid w:val="0066484F"/>
    <w:rsid w:val="006653EF"/>
    <w:rsid w:val="006654D8"/>
    <w:rsid w:val="00665E83"/>
    <w:rsid w:val="00666B33"/>
    <w:rsid w:val="00666BB3"/>
    <w:rsid w:val="00666ECB"/>
    <w:rsid w:val="0067229F"/>
    <w:rsid w:val="00672E00"/>
    <w:rsid w:val="00672F87"/>
    <w:rsid w:val="00673063"/>
    <w:rsid w:val="00673691"/>
    <w:rsid w:val="00673CF8"/>
    <w:rsid w:val="0067436C"/>
    <w:rsid w:val="006744D0"/>
    <w:rsid w:val="00675C77"/>
    <w:rsid w:val="00676409"/>
    <w:rsid w:val="0067739C"/>
    <w:rsid w:val="006773A0"/>
    <w:rsid w:val="00680D19"/>
    <w:rsid w:val="00681403"/>
    <w:rsid w:val="00681B76"/>
    <w:rsid w:val="00681D98"/>
    <w:rsid w:val="0068348A"/>
    <w:rsid w:val="00683667"/>
    <w:rsid w:val="00683FF0"/>
    <w:rsid w:val="006850B0"/>
    <w:rsid w:val="006861C1"/>
    <w:rsid w:val="00687875"/>
    <w:rsid w:val="0069109D"/>
    <w:rsid w:val="00691210"/>
    <w:rsid w:val="00692147"/>
    <w:rsid w:val="00692578"/>
    <w:rsid w:val="00693552"/>
    <w:rsid w:val="00694423"/>
    <w:rsid w:val="0069485E"/>
    <w:rsid w:val="006955A4"/>
    <w:rsid w:val="00696DAF"/>
    <w:rsid w:val="00697D02"/>
    <w:rsid w:val="006A6590"/>
    <w:rsid w:val="006A679E"/>
    <w:rsid w:val="006A716E"/>
    <w:rsid w:val="006A7D64"/>
    <w:rsid w:val="006B01FE"/>
    <w:rsid w:val="006B1797"/>
    <w:rsid w:val="006B2657"/>
    <w:rsid w:val="006B34F2"/>
    <w:rsid w:val="006B3ACE"/>
    <w:rsid w:val="006B3B94"/>
    <w:rsid w:val="006B52D7"/>
    <w:rsid w:val="006B5CF0"/>
    <w:rsid w:val="006B6BAB"/>
    <w:rsid w:val="006B7203"/>
    <w:rsid w:val="006B73E8"/>
    <w:rsid w:val="006C0229"/>
    <w:rsid w:val="006C0401"/>
    <w:rsid w:val="006C0690"/>
    <w:rsid w:val="006C1E56"/>
    <w:rsid w:val="006C25F1"/>
    <w:rsid w:val="006C2AB6"/>
    <w:rsid w:val="006C46B0"/>
    <w:rsid w:val="006C4C45"/>
    <w:rsid w:val="006C54F3"/>
    <w:rsid w:val="006C623A"/>
    <w:rsid w:val="006C682E"/>
    <w:rsid w:val="006C6ABA"/>
    <w:rsid w:val="006C7216"/>
    <w:rsid w:val="006D0002"/>
    <w:rsid w:val="006D03AE"/>
    <w:rsid w:val="006D06BF"/>
    <w:rsid w:val="006D11F6"/>
    <w:rsid w:val="006D12DC"/>
    <w:rsid w:val="006D1370"/>
    <w:rsid w:val="006D1488"/>
    <w:rsid w:val="006D213F"/>
    <w:rsid w:val="006D4568"/>
    <w:rsid w:val="006D508B"/>
    <w:rsid w:val="006D5D17"/>
    <w:rsid w:val="006D65D7"/>
    <w:rsid w:val="006D6762"/>
    <w:rsid w:val="006D6867"/>
    <w:rsid w:val="006D72E5"/>
    <w:rsid w:val="006D7DCD"/>
    <w:rsid w:val="006E0272"/>
    <w:rsid w:val="006E04A3"/>
    <w:rsid w:val="006E14E4"/>
    <w:rsid w:val="006E2507"/>
    <w:rsid w:val="006E31C5"/>
    <w:rsid w:val="006E3663"/>
    <w:rsid w:val="006E4256"/>
    <w:rsid w:val="006E4A36"/>
    <w:rsid w:val="006E4AA8"/>
    <w:rsid w:val="006E5A76"/>
    <w:rsid w:val="006E6393"/>
    <w:rsid w:val="006E6629"/>
    <w:rsid w:val="006E6B31"/>
    <w:rsid w:val="006E6FDD"/>
    <w:rsid w:val="006F1095"/>
    <w:rsid w:val="006F2249"/>
    <w:rsid w:val="006F2A0A"/>
    <w:rsid w:val="006F304D"/>
    <w:rsid w:val="006F35C3"/>
    <w:rsid w:val="006F388B"/>
    <w:rsid w:val="006F4079"/>
    <w:rsid w:val="006F460F"/>
    <w:rsid w:val="006F4CE0"/>
    <w:rsid w:val="006F4ED9"/>
    <w:rsid w:val="006F508F"/>
    <w:rsid w:val="007006DD"/>
    <w:rsid w:val="00700849"/>
    <w:rsid w:val="00700E98"/>
    <w:rsid w:val="00701194"/>
    <w:rsid w:val="007015F3"/>
    <w:rsid w:val="00703978"/>
    <w:rsid w:val="00703A00"/>
    <w:rsid w:val="00703B2C"/>
    <w:rsid w:val="00704DF1"/>
    <w:rsid w:val="00705A12"/>
    <w:rsid w:val="00707001"/>
    <w:rsid w:val="00707BDD"/>
    <w:rsid w:val="007106A2"/>
    <w:rsid w:val="00711177"/>
    <w:rsid w:val="00711570"/>
    <w:rsid w:val="00711D9A"/>
    <w:rsid w:val="00712486"/>
    <w:rsid w:val="00714090"/>
    <w:rsid w:val="007144D3"/>
    <w:rsid w:val="007147C9"/>
    <w:rsid w:val="00714BB6"/>
    <w:rsid w:val="007157CB"/>
    <w:rsid w:val="0071667E"/>
    <w:rsid w:val="00716AC2"/>
    <w:rsid w:val="00716FD6"/>
    <w:rsid w:val="007205BD"/>
    <w:rsid w:val="00721C45"/>
    <w:rsid w:val="007235CA"/>
    <w:rsid w:val="00723CA3"/>
    <w:rsid w:val="00723FCE"/>
    <w:rsid w:val="00726858"/>
    <w:rsid w:val="00727F72"/>
    <w:rsid w:val="00730234"/>
    <w:rsid w:val="00731DA7"/>
    <w:rsid w:val="00731F9A"/>
    <w:rsid w:val="0073386B"/>
    <w:rsid w:val="00735AFD"/>
    <w:rsid w:val="00735E7B"/>
    <w:rsid w:val="00736F14"/>
    <w:rsid w:val="0073731F"/>
    <w:rsid w:val="00737828"/>
    <w:rsid w:val="00740003"/>
    <w:rsid w:val="007411F0"/>
    <w:rsid w:val="0074168B"/>
    <w:rsid w:val="007423ED"/>
    <w:rsid w:val="0074240C"/>
    <w:rsid w:val="00744185"/>
    <w:rsid w:val="00745782"/>
    <w:rsid w:val="00746CBA"/>
    <w:rsid w:val="0074706B"/>
    <w:rsid w:val="007517E2"/>
    <w:rsid w:val="00751DBE"/>
    <w:rsid w:val="0075272B"/>
    <w:rsid w:val="007528A2"/>
    <w:rsid w:val="0075335E"/>
    <w:rsid w:val="00753965"/>
    <w:rsid w:val="00753D49"/>
    <w:rsid w:val="007555CE"/>
    <w:rsid w:val="00755A91"/>
    <w:rsid w:val="007566C8"/>
    <w:rsid w:val="007609E4"/>
    <w:rsid w:val="00761D17"/>
    <w:rsid w:val="00762106"/>
    <w:rsid w:val="007621C3"/>
    <w:rsid w:val="007625A7"/>
    <w:rsid w:val="007625C9"/>
    <w:rsid w:val="00763226"/>
    <w:rsid w:val="00763AD7"/>
    <w:rsid w:val="007649A6"/>
    <w:rsid w:val="00765011"/>
    <w:rsid w:val="00765263"/>
    <w:rsid w:val="007671A3"/>
    <w:rsid w:val="00770359"/>
    <w:rsid w:val="007705C1"/>
    <w:rsid w:val="0077063B"/>
    <w:rsid w:val="007707C9"/>
    <w:rsid w:val="00770954"/>
    <w:rsid w:val="007715AE"/>
    <w:rsid w:val="007719D6"/>
    <w:rsid w:val="00771EE1"/>
    <w:rsid w:val="00772943"/>
    <w:rsid w:val="00773D7A"/>
    <w:rsid w:val="0077472E"/>
    <w:rsid w:val="0077513A"/>
    <w:rsid w:val="007766C2"/>
    <w:rsid w:val="0077758C"/>
    <w:rsid w:val="007825BF"/>
    <w:rsid w:val="00782776"/>
    <w:rsid w:val="00783347"/>
    <w:rsid w:val="0078441A"/>
    <w:rsid w:val="0078459B"/>
    <w:rsid w:val="007865BD"/>
    <w:rsid w:val="00787219"/>
    <w:rsid w:val="00787F91"/>
    <w:rsid w:val="00790A54"/>
    <w:rsid w:val="007911EE"/>
    <w:rsid w:val="007919FB"/>
    <w:rsid w:val="00791B1D"/>
    <w:rsid w:val="007920B3"/>
    <w:rsid w:val="007940C0"/>
    <w:rsid w:val="00794BB4"/>
    <w:rsid w:val="00795A2D"/>
    <w:rsid w:val="00795E87"/>
    <w:rsid w:val="00796EF3"/>
    <w:rsid w:val="007972B9"/>
    <w:rsid w:val="0079740A"/>
    <w:rsid w:val="00797824"/>
    <w:rsid w:val="007A029B"/>
    <w:rsid w:val="007A050A"/>
    <w:rsid w:val="007A0BC5"/>
    <w:rsid w:val="007A280D"/>
    <w:rsid w:val="007A284E"/>
    <w:rsid w:val="007A2886"/>
    <w:rsid w:val="007A3479"/>
    <w:rsid w:val="007A4A61"/>
    <w:rsid w:val="007A5FEF"/>
    <w:rsid w:val="007A771B"/>
    <w:rsid w:val="007B04E5"/>
    <w:rsid w:val="007B096F"/>
    <w:rsid w:val="007B0C87"/>
    <w:rsid w:val="007B19C4"/>
    <w:rsid w:val="007B201C"/>
    <w:rsid w:val="007B3829"/>
    <w:rsid w:val="007B4721"/>
    <w:rsid w:val="007B621D"/>
    <w:rsid w:val="007B6359"/>
    <w:rsid w:val="007C1CF7"/>
    <w:rsid w:val="007C2D62"/>
    <w:rsid w:val="007C3042"/>
    <w:rsid w:val="007C3724"/>
    <w:rsid w:val="007C3790"/>
    <w:rsid w:val="007C4170"/>
    <w:rsid w:val="007C484B"/>
    <w:rsid w:val="007C4DD4"/>
    <w:rsid w:val="007C5CE1"/>
    <w:rsid w:val="007C7436"/>
    <w:rsid w:val="007C7718"/>
    <w:rsid w:val="007D0850"/>
    <w:rsid w:val="007D1545"/>
    <w:rsid w:val="007D3C80"/>
    <w:rsid w:val="007D4E4F"/>
    <w:rsid w:val="007D52D5"/>
    <w:rsid w:val="007D5897"/>
    <w:rsid w:val="007D5B6E"/>
    <w:rsid w:val="007D6CD9"/>
    <w:rsid w:val="007D6D36"/>
    <w:rsid w:val="007D704C"/>
    <w:rsid w:val="007D7467"/>
    <w:rsid w:val="007E0391"/>
    <w:rsid w:val="007E0882"/>
    <w:rsid w:val="007E34C7"/>
    <w:rsid w:val="007E3BDE"/>
    <w:rsid w:val="007E40F5"/>
    <w:rsid w:val="007E448C"/>
    <w:rsid w:val="007E4D6A"/>
    <w:rsid w:val="007E5AA7"/>
    <w:rsid w:val="007E5F7D"/>
    <w:rsid w:val="007E6825"/>
    <w:rsid w:val="007F00AF"/>
    <w:rsid w:val="007F125C"/>
    <w:rsid w:val="007F1B3A"/>
    <w:rsid w:val="007F1C05"/>
    <w:rsid w:val="007F2F85"/>
    <w:rsid w:val="007F3E3A"/>
    <w:rsid w:val="007F40EC"/>
    <w:rsid w:val="007F5F17"/>
    <w:rsid w:val="007F6205"/>
    <w:rsid w:val="007F74EB"/>
    <w:rsid w:val="007F78C2"/>
    <w:rsid w:val="007F7AF6"/>
    <w:rsid w:val="007F7DAD"/>
    <w:rsid w:val="00800851"/>
    <w:rsid w:val="008013FC"/>
    <w:rsid w:val="00801B26"/>
    <w:rsid w:val="00801E74"/>
    <w:rsid w:val="0080272E"/>
    <w:rsid w:val="008031DB"/>
    <w:rsid w:val="008039CD"/>
    <w:rsid w:val="00804227"/>
    <w:rsid w:val="00804E44"/>
    <w:rsid w:val="00805FC0"/>
    <w:rsid w:val="00807296"/>
    <w:rsid w:val="00810171"/>
    <w:rsid w:val="00811548"/>
    <w:rsid w:val="00811668"/>
    <w:rsid w:val="008126FC"/>
    <w:rsid w:val="00812DCA"/>
    <w:rsid w:val="00813842"/>
    <w:rsid w:val="00816C8E"/>
    <w:rsid w:val="00816FFA"/>
    <w:rsid w:val="00817722"/>
    <w:rsid w:val="008177A0"/>
    <w:rsid w:val="00817984"/>
    <w:rsid w:val="008202F0"/>
    <w:rsid w:val="00820CCD"/>
    <w:rsid w:val="00820F84"/>
    <w:rsid w:val="0082198C"/>
    <w:rsid w:val="0082303F"/>
    <w:rsid w:val="00823267"/>
    <w:rsid w:val="008237DC"/>
    <w:rsid w:val="00823D37"/>
    <w:rsid w:val="008243F3"/>
    <w:rsid w:val="008247B7"/>
    <w:rsid w:val="008248FD"/>
    <w:rsid w:val="008262C6"/>
    <w:rsid w:val="00826978"/>
    <w:rsid w:val="00826F76"/>
    <w:rsid w:val="008274CA"/>
    <w:rsid w:val="00827FA5"/>
    <w:rsid w:val="0083148E"/>
    <w:rsid w:val="00831511"/>
    <w:rsid w:val="00831FA4"/>
    <w:rsid w:val="0083313F"/>
    <w:rsid w:val="00833C03"/>
    <w:rsid w:val="00834A5F"/>
    <w:rsid w:val="00834DE2"/>
    <w:rsid w:val="0083619C"/>
    <w:rsid w:val="00836391"/>
    <w:rsid w:val="00836C2B"/>
    <w:rsid w:val="008372E4"/>
    <w:rsid w:val="00837828"/>
    <w:rsid w:val="00840470"/>
    <w:rsid w:val="00841B48"/>
    <w:rsid w:val="00842786"/>
    <w:rsid w:val="00843522"/>
    <w:rsid w:val="00843525"/>
    <w:rsid w:val="008500D9"/>
    <w:rsid w:val="0085020B"/>
    <w:rsid w:val="00850328"/>
    <w:rsid w:val="00850385"/>
    <w:rsid w:val="0085186C"/>
    <w:rsid w:val="008533C5"/>
    <w:rsid w:val="00853874"/>
    <w:rsid w:val="0085399D"/>
    <w:rsid w:val="008546C6"/>
    <w:rsid w:val="008550A8"/>
    <w:rsid w:val="008556FA"/>
    <w:rsid w:val="00855705"/>
    <w:rsid w:val="00855846"/>
    <w:rsid w:val="008576DF"/>
    <w:rsid w:val="00857B9E"/>
    <w:rsid w:val="00861385"/>
    <w:rsid w:val="00861505"/>
    <w:rsid w:val="008623C1"/>
    <w:rsid w:val="00862CE1"/>
    <w:rsid w:val="00862EDE"/>
    <w:rsid w:val="00862FB1"/>
    <w:rsid w:val="00863122"/>
    <w:rsid w:val="00863552"/>
    <w:rsid w:val="00863B17"/>
    <w:rsid w:val="00863D23"/>
    <w:rsid w:val="0086516B"/>
    <w:rsid w:val="00865C5E"/>
    <w:rsid w:val="0086689E"/>
    <w:rsid w:val="00866A25"/>
    <w:rsid w:val="00870062"/>
    <w:rsid w:val="0087110A"/>
    <w:rsid w:val="00873005"/>
    <w:rsid w:val="008745B2"/>
    <w:rsid w:val="00874F0C"/>
    <w:rsid w:val="00875EB0"/>
    <w:rsid w:val="00876300"/>
    <w:rsid w:val="008767CF"/>
    <w:rsid w:val="00876F0F"/>
    <w:rsid w:val="00880598"/>
    <w:rsid w:val="008806B5"/>
    <w:rsid w:val="00880ED5"/>
    <w:rsid w:val="00882158"/>
    <w:rsid w:val="00882BC8"/>
    <w:rsid w:val="00882ED0"/>
    <w:rsid w:val="00883FF3"/>
    <w:rsid w:val="00884CB6"/>
    <w:rsid w:val="008853AE"/>
    <w:rsid w:val="0088591E"/>
    <w:rsid w:val="008862C5"/>
    <w:rsid w:val="008867ED"/>
    <w:rsid w:val="00886946"/>
    <w:rsid w:val="00887278"/>
    <w:rsid w:val="00887439"/>
    <w:rsid w:val="00887A6C"/>
    <w:rsid w:val="0089113C"/>
    <w:rsid w:val="00891641"/>
    <w:rsid w:val="00891B29"/>
    <w:rsid w:val="0089211D"/>
    <w:rsid w:val="00892A0C"/>
    <w:rsid w:val="00894328"/>
    <w:rsid w:val="0089486C"/>
    <w:rsid w:val="00894C83"/>
    <w:rsid w:val="00895342"/>
    <w:rsid w:val="00897D67"/>
    <w:rsid w:val="008A08C9"/>
    <w:rsid w:val="008A11B0"/>
    <w:rsid w:val="008A191C"/>
    <w:rsid w:val="008A1D68"/>
    <w:rsid w:val="008A1F17"/>
    <w:rsid w:val="008A2389"/>
    <w:rsid w:val="008A2904"/>
    <w:rsid w:val="008A4780"/>
    <w:rsid w:val="008A4B39"/>
    <w:rsid w:val="008A50BA"/>
    <w:rsid w:val="008A576E"/>
    <w:rsid w:val="008A67F8"/>
    <w:rsid w:val="008A6F32"/>
    <w:rsid w:val="008A7A70"/>
    <w:rsid w:val="008B0D46"/>
    <w:rsid w:val="008B0F8E"/>
    <w:rsid w:val="008B316D"/>
    <w:rsid w:val="008B38DC"/>
    <w:rsid w:val="008B39B9"/>
    <w:rsid w:val="008B404C"/>
    <w:rsid w:val="008B4EB5"/>
    <w:rsid w:val="008B575A"/>
    <w:rsid w:val="008B60BB"/>
    <w:rsid w:val="008B646A"/>
    <w:rsid w:val="008B75A5"/>
    <w:rsid w:val="008C09D5"/>
    <w:rsid w:val="008C13E5"/>
    <w:rsid w:val="008C24DE"/>
    <w:rsid w:val="008C299B"/>
    <w:rsid w:val="008C2AFD"/>
    <w:rsid w:val="008C516B"/>
    <w:rsid w:val="008C5347"/>
    <w:rsid w:val="008C58B3"/>
    <w:rsid w:val="008C5FE0"/>
    <w:rsid w:val="008C6F86"/>
    <w:rsid w:val="008C77D8"/>
    <w:rsid w:val="008D04EF"/>
    <w:rsid w:val="008D1081"/>
    <w:rsid w:val="008D12E6"/>
    <w:rsid w:val="008D13C2"/>
    <w:rsid w:val="008D1664"/>
    <w:rsid w:val="008D2669"/>
    <w:rsid w:val="008D40BC"/>
    <w:rsid w:val="008D4ECC"/>
    <w:rsid w:val="008D549D"/>
    <w:rsid w:val="008D5CFD"/>
    <w:rsid w:val="008D6C49"/>
    <w:rsid w:val="008D7056"/>
    <w:rsid w:val="008D74FE"/>
    <w:rsid w:val="008E1608"/>
    <w:rsid w:val="008E1DAC"/>
    <w:rsid w:val="008E24A2"/>
    <w:rsid w:val="008E416B"/>
    <w:rsid w:val="008E5A68"/>
    <w:rsid w:val="008E6BEF"/>
    <w:rsid w:val="008E77B9"/>
    <w:rsid w:val="008F03C9"/>
    <w:rsid w:val="008F04C8"/>
    <w:rsid w:val="008F06F9"/>
    <w:rsid w:val="008F16D9"/>
    <w:rsid w:val="008F18C4"/>
    <w:rsid w:val="008F19A3"/>
    <w:rsid w:val="008F1C7E"/>
    <w:rsid w:val="008F2127"/>
    <w:rsid w:val="008F230A"/>
    <w:rsid w:val="008F3005"/>
    <w:rsid w:val="008F3F4B"/>
    <w:rsid w:val="008F3F5D"/>
    <w:rsid w:val="008F44AD"/>
    <w:rsid w:val="008F487D"/>
    <w:rsid w:val="008F502B"/>
    <w:rsid w:val="008F508C"/>
    <w:rsid w:val="008F54C5"/>
    <w:rsid w:val="008F55CF"/>
    <w:rsid w:val="008F7C45"/>
    <w:rsid w:val="00901036"/>
    <w:rsid w:val="009034DB"/>
    <w:rsid w:val="0090365A"/>
    <w:rsid w:val="00903A0D"/>
    <w:rsid w:val="00906980"/>
    <w:rsid w:val="0090728B"/>
    <w:rsid w:val="00910271"/>
    <w:rsid w:val="00910367"/>
    <w:rsid w:val="009108EF"/>
    <w:rsid w:val="00910A58"/>
    <w:rsid w:val="0091296A"/>
    <w:rsid w:val="00912B01"/>
    <w:rsid w:val="00913C31"/>
    <w:rsid w:val="009164E4"/>
    <w:rsid w:val="00916610"/>
    <w:rsid w:val="009173F9"/>
    <w:rsid w:val="00917F5C"/>
    <w:rsid w:val="0092050C"/>
    <w:rsid w:val="0092058B"/>
    <w:rsid w:val="00921DCC"/>
    <w:rsid w:val="00922496"/>
    <w:rsid w:val="00922D7F"/>
    <w:rsid w:val="00922F5C"/>
    <w:rsid w:val="009231DF"/>
    <w:rsid w:val="00923CA4"/>
    <w:rsid w:val="00923D96"/>
    <w:rsid w:val="009243B6"/>
    <w:rsid w:val="00924413"/>
    <w:rsid w:val="00925196"/>
    <w:rsid w:val="00926065"/>
    <w:rsid w:val="00930125"/>
    <w:rsid w:val="00930D02"/>
    <w:rsid w:val="009311E1"/>
    <w:rsid w:val="00931F4F"/>
    <w:rsid w:val="00931F8A"/>
    <w:rsid w:val="009338B8"/>
    <w:rsid w:val="00934D38"/>
    <w:rsid w:val="00934F77"/>
    <w:rsid w:val="00935CCF"/>
    <w:rsid w:val="00935EEC"/>
    <w:rsid w:val="009364BF"/>
    <w:rsid w:val="00936E4C"/>
    <w:rsid w:val="00937797"/>
    <w:rsid w:val="00937890"/>
    <w:rsid w:val="00943453"/>
    <w:rsid w:val="0094368E"/>
    <w:rsid w:val="009442D3"/>
    <w:rsid w:val="009458EE"/>
    <w:rsid w:val="00946EBD"/>
    <w:rsid w:val="00950084"/>
    <w:rsid w:val="0095149D"/>
    <w:rsid w:val="00951B76"/>
    <w:rsid w:val="0095211A"/>
    <w:rsid w:val="009525BF"/>
    <w:rsid w:val="00953A03"/>
    <w:rsid w:val="00954215"/>
    <w:rsid w:val="009547A2"/>
    <w:rsid w:val="00954C52"/>
    <w:rsid w:val="0095585B"/>
    <w:rsid w:val="009561F8"/>
    <w:rsid w:val="009562D3"/>
    <w:rsid w:val="00956CC7"/>
    <w:rsid w:val="00957700"/>
    <w:rsid w:val="009578E2"/>
    <w:rsid w:val="00957C88"/>
    <w:rsid w:val="00960F8A"/>
    <w:rsid w:val="00961473"/>
    <w:rsid w:val="00961C5D"/>
    <w:rsid w:val="00962451"/>
    <w:rsid w:val="00962D07"/>
    <w:rsid w:val="0096386E"/>
    <w:rsid w:val="00963D93"/>
    <w:rsid w:val="009644BF"/>
    <w:rsid w:val="0096689F"/>
    <w:rsid w:val="0097098A"/>
    <w:rsid w:val="00971376"/>
    <w:rsid w:val="0097259F"/>
    <w:rsid w:val="00972DD4"/>
    <w:rsid w:val="009739A8"/>
    <w:rsid w:val="0097453F"/>
    <w:rsid w:val="00974DDD"/>
    <w:rsid w:val="00976C99"/>
    <w:rsid w:val="00977F53"/>
    <w:rsid w:val="00980FC3"/>
    <w:rsid w:val="00981230"/>
    <w:rsid w:val="00981A3F"/>
    <w:rsid w:val="00981A6C"/>
    <w:rsid w:val="009837F0"/>
    <w:rsid w:val="00983B1B"/>
    <w:rsid w:val="00983E12"/>
    <w:rsid w:val="00984A11"/>
    <w:rsid w:val="00985A1D"/>
    <w:rsid w:val="009868B6"/>
    <w:rsid w:val="00992B3F"/>
    <w:rsid w:val="009930AD"/>
    <w:rsid w:val="009934CE"/>
    <w:rsid w:val="00993938"/>
    <w:rsid w:val="009943BA"/>
    <w:rsid w:val="009947C3"/>
    <w:rsid w:val="00996209"/>
    <w:rsid w:val="00996B48"/>
    <w:rsid w:val="00996D61"/>
    <w:rsid w:val="00997A6D"/>
    <w:rsid w:val="009A06E9"/>
    <w:rsid w:val="009A0A28"/>
    <w:rsid w:val="009A1AE7"/>
    <w:rsid w:val="009A277D"/>
    <w:rsid w:val="009A2785"/>
    <w:rsid w:val="009A3A72"/>
    <w:rsid w:val="009A4719"/>
    <w:rsid w:val="009A629D"/>
    <w:rsid w:val="009A68C0"/>
    <w:rsid w:val="009A69C7"/>
    <w:rsid w:val="009B06B2"/>
    <w:rsid w:val="009B08E0"/>
    <w:rsid w:val="009B0B0D"/>
    <w:rsid w:val="009B0E9E"/>
    <w:rsid w:val="009B182F"/>
    <w:rsid w:val="009B25F7"/>
    <w:rsid w:val="009B3C23"/>
    <w:rsid w:val="009B4E93"/>
    <w:rsid w:val="009B6851"/>
    <w:rsid w:val="009B6AA2"/>
    <w:rsid w:val="009B72A4"/>
    <w:rsid w:val="009B7A36"/>
    <w:rsid w:val="009C02F4"/>
    <w:rsid w:val="009C1222"/>
    <w:rsid w:val="009C1AF7"/>
    <w:rsid w:val="009C1F7C"/>
    <w:rsid w:val="009C1FBB"/>
    <w:rsid w:val="009C405D"/>
    <w:rsid w:val="009C4716"/>
    <w:rsid w:val="009C4780"/>
    <w:rsid w:val="009C5EA7"/>
    <w:rsid w:val="009C6482"/>
    <w:rsid w:val="009C704C"/>
    <w:rsid w:val="009C743F"/>
    <w:rsid w:val="009C7FD3"/>
    <w:rsid w:val="009D06C3"/>
    <w:rsid w:val="009D077F"/>
    <w:rsid w:val="009D0E1A"/>
    <w:rsid w:val="009D12F1"/>
    <w:rsid w:val="009D2C18"/>
    <w:rsid w:val="009D62AE"/>
    <w:rsid w:val="009E0E7C"/>
    <w:rsid w:val="009E10F4"/>
    <w:rsid w:val="009E12FC"/>
    <w:rsid w:val="009E185E"/>
    <w:rsid w:val="009E24D5"/>
    <w:rsid w:val="009E4D4E"/>
    <w:rsid w:val="009E50E6"/>
    <w:rsid w:val="009E610F"/>
    <w:rsid w:val="009E634C"/>
    <w:rsid w:val="009F0FCE"/>
    <w:rsid w:val="009F241A"/>
    <w:rsid w:val="009F27D8"/>
    <w:rsid w:val="009F2B27"/>
    <w:rsid w:val="009F2DC6"/>
    <w:rsid w:val="009F4A74"/>
    <w:rsid w:val="009F6266"/>
    <w:rsid w:val="009F662E"/>
    <w:rsid w:val="009F74D8"/>
    <w:rsid w:val="00A00176"/>
    <w:rsid w:val="00A00DCE"/>
    <w:rsid w:val="00A01631"/>
    <w:rsid w:val="00A02882"/>
    <w:rsid w:val="00A02E35"/>
    <w:rsid w:val="00A030E6"/>
    <w:rsid w:val="00A0509A"/>
    <w:rsid w:val="00A07D0F"/>
    <w:rsid w:val="00A07E44"/>
    <w:rsid w:val="00A1186B"/>
    <w:rsid w:val="00A12C76"/>
    <w:rsid w:val="00A13AE2"/>
    <w:rsid w:val="00A13CD7"/>
    <w:rsid w:val="00A14F77"/>
    <w:rsid w:val="00A16208"/>
    <w:rsid w:val="00A16A72"/>
    <w:rsid w:val="00A16F85"/>
    <w:rsid w:val="00A20305"/>
    <w:rsid w:val="00A20CD3"/>
    <w:rsid w:val="00A22EBC"/>
    <w:rsid w:val="00A23912"/>
    <w:rsid w:val="00A2448D"/>
    <w:rsid w:val="00A25DA6"/>
    <w:rsid w:val="00A25DF7"/>
    <w:rsid w:val="00A271E4"/>
    <w:rsid w:val="00A3011B"/>
    <w:rsid w:val="00A30E73"/>
    <w:rsid w:val="00A3100A"/>
    <w:rsid w:val="00A32168"/>
    <w:rsid w:val="00A32C40"/>
    <w:rsid w:val="00A339FD"/>
    <w:rsid w:val="00A33C4A"/>
    <w:rsid w:val="00A34B9E"/>
    <w:rsid w:val="00A34D48"/>
    <w:rsid w:val="00A34EAA"/>
    <w:rsid w:val="00A355B7"/>
    <w:rsid w:val="00A36ADB"/>
    <w:rsid w:val="00A375C6"/>
    <w:rsid w:val="00A41FB3"/>
    <w:rsid w:val="00A42480"/>
    <w:rsid w:val="00A431A5"/>
    <w:rsid w:val="00A43A6B"/>
    <w:rsid w:val="00A444F9"/>
    <w:rsid w:val="00A4518C"/>
    <w:rsid w:val="00A46E2A"/>
    <w:rsid w:val="00A5000D"/>
    <w:rsid w:val="00A50298"/>
    <w:rsid w:val="00A50FC5"/>
    <w:rsid w:val="00A5127A"/>
    <w:rsid w:val="00A51A6E"/>
    <w:rsid w:val="00A52004"/>
    <w:rsid w:val="00A52237"/>
    <w:rsid w:val="00A528B1"/>
    <w:rsid w:val="00A52943"/>
    <w:rsid w:val="00A539C3"/>
    <w:rsid w:val="00A53D14"/>
    <w:rsid w:val="00A54CF5"/>
    <w:rsid w:val="00A561A7"/>
    <w:rsid w:val="00A56572"/>
    <w:rsid w:val="00A56BE9"/>
    <w:rsid w:val="00A56C63"/>
    <w:rsid w:val="00A57D08"/>
    <w:rsid w:val="00A60494"/>
    <w:rsid w:val="00A604CD"/>
    <w:rsid w:val="00A60E3D"/>
    <w:rsid w:val="00A61E06"/>
    <w:rsid w:val="00A61E84"/>
    <w:rsid w:val="00A62F1F"/>
    <w:rsid w:val="00A62F2C"/>
    <w:rsid w:val="00A64340"/>
    <w:rsid w:val="00A66110"/>
    <w:rsid w:val="00A679CC"/>
    <w:rsid w:val="00A71049"/>
    <w:rsid w:val="00A71DB3"/>
    <w:rsid w:val="00A71E45"/>
    <w:rsid w:val="00A72EFB"/>
    <w:rsid w:val="00A7327F"/>
    <w:rsid w:val="00A7416F"/>
    <w:rsid w:val="00A74EE0"/>
    <w:rsid w:val="00A74FA8"/>
    <w:rsid w:val="00A7502D"/>
    <w:rsid w:val="00A750A8"/>
    <w:rsid w:val="00A75516"/>
    <w:rsid w:val="00A75BC7"/>
    <w:rsid w:val="00A75E8E"/>
    <w:rsid w:val="00A75ECE"/>
    <w:rsid w:val="00A77CF7"/>
    <w:rsid w:val="00A81037"/>
    <w:rsid w:val="00A810E5"/>
    <w:rsid w:val="00A812E9"/>
    <w:rsid w:val="00A82220"/>
    <w:rsid w:val="00A82E7A"/>
    <w:rsid w:val="00A833F4"/>
    <w:rsid w:val="00A8421C"/>
    <w:rsid w:val="00A85064"/>
    <w:rsid w:val="00A87535"/>
    <w:rsid w:val="00A8792D"/>
    <w:rsid w:val="00A91719"/>
    <w:rsid w:val="00A91BFD"/>
    <w:rsid w:val="00A92450"/>
    <w:rsid w:val="00A93737"/>
    <w:rsid w:val="00A94983"/>
    <w:rsid w:val="00A94E53"/>
    <w:rsid w:val="00AA0F73"/>
    <w:rsid w:val="00AA1642"/>
    <w:rsid w:val="00AA1895"/>
    <w:rsid w:val="00AA223D"/>
    <w:rsid w:val="00AA3171"/>
    <w:rsid w:val="00AA4232"/>
    <w:rsid w:val="00AA52A5"/>
    <w:rsid w:val="00AA53B2"/>
    <w:rsid w:val="00AB015F"/>
    <w:rsid w:val="00AB028D"/>
    <w:rsid w:val="00AB0F60"/>
    <w:rsid w:val="00AB21A3"/>
    <w:rsid w:val="00AB4355"/>
    <w:rsid w:val="00AB445A"/>
    <w:rsid w:val="00AB4A1B"/>
    <w:rsid w:val="00AB5371"/>
    <w:rsid w:val="00AB546A"/>
    <w:rsid w:val="00AB7847"/>
    <w:rsid w:val="00AC0852"/>
    <w:rsid w:val="00AC0CF2"/>
    <w:rsid w:val="00AC13D9"/>
    <w:rsid w:val="00AC196E"/>
    <w:rsid w:val="00AC2C18"/>
    <w:rsid w:val="00AC4A36"/>
    <w:rsid w:val="00AC507A"/>
    <w:rsid w:val="00AC5264"/>
    <w:rsid w:val="00AC6419"/>
    <w:rsid w:val="00AD01A5"/>
    <w:rsid w:val="00AD0236"/>
    <w:rsid w:val="00AD0597"/>
    <w:rsid w:val="00AD1298"/>
    <w:rsid w:val="00AD1B51"/>
    <w:rsid w:val="00AD23AB"/>
    <w:rsid w:val="00AD2C3F"/>
    <w:rsid w:val="00AD3617"/>
    <w:rsid w:val="00AD3ED4"/>
    <w:rsid w:val="00AD3FE1"/>
    <w:rsid w:val="00AD42CC"/>
    <w:rsid w:val="00AD43FD"/>
    <w:rsid w:val="00AD44C1"/>
    <w:rsid w:val="00AD46CA"/>
    <w:rsid w:val="00AD4A6B"/>
    <w:rsid w:val="00AD4D7B"/>
    <w:rsid w:val="00AD569D"/>
    <w:rsid w:val="00AE02F0"/>
    <w:rsid w:val="00AE0F0D"/>
    <w:rsid w:val="00AE107C"/>
    <w:rsid w:val="00AE11C0"/>
    <w:rsid w:val="00AE1CF9"/>
    <w:rsid w:val="00AE2191"/>
    <w:rsid w:val="00AE2574"/>
    <w:rsid w:val="00AE5108"/>
    <w:rsid w:val="00AE5644"/>
    <w:rsid w:val="00AE7631"/>
    <w:rsid w:val="00AE7E1C"/>
    <w:rsid w:val="00AE7EFA"/>
    <w:rsid w:val="00AF2978"/>
    <w:rsid w:val="00AF3583"/>
    <w:rsid w:val="00AF47FB"/>
    <w:rsid w:val="00AF5871"/>
    <w:rsid w:val="00AF6497"/>
    <w:rsid w:val="00AF6584"/>
    <w:rsid w:val="00AF6993"/>
    <w:rsid w:val="00AF7281"/>
    <w:rsid w:val="00B00484"/>
    <w:rsid w:val="00B008A1"/>
    <w:rsid w:val="00B008A9"/>
    <w:rsid w:val="00B008BB"/>
    <w:rsid w:val="00B00F24"/>
    <w:rsid w:val="00B01300"/>
    <w:rsid w:val="00B04BC3"/>
    <w:rsid w:val="00B103EC"/>
    <w:rsid w:val="00B122B3"/>
    <w:rsid w:val="00B135EE"/>
    <w:rsid w:val="00B137E3"/>
    <w:rsid w:val="00B13E4D"/>
    <w:rsid w:val="00B147A6"/>
    <w:rsid w:val="00B149C1"/>
    <w:rsid w:val="00B14F39"/>
    <w:rsid w:val="00B168FF"/>
    <w:rsid w:val="00B177C8"/>
    <w:rsid w:val="00B17F1A"/>
    <w:rsid w:val="00B20818"/>
    <w:rsid w:val="00B22F54"/>
    <w:rsid w:val="00B236A1"/>
    <w:rsid w:val="00B23BA3"/>
    <w:rsid w:val="00B23F24"/>
    <w:rsid w:val="00B256EF"/>
    <w:rsid w:val="00B25C23"/>
    <w:rsid w:val="00B27BC9"/>
    <w:rsid w:val="00B309A1"/>
    <w:rsid w:val="00B3317E"/>
    <w:rsid w:val="00B34114"/>
    <w:rsid w:val="00B34A7C"/>
    <w:rsid w:val="00B34F6C"/>
    <w:rsid w:val="00B352E2"/>
    <w:rsid w:val="00B35981"/>
    <w:rsid w:val="00B36BE7"/>
    <w:rsid w:val="00B36E7E"/>
    <w:rsid w:val="00B370DD"/>
    <w:rsid w:val="00B37AA0"/>
    <w:rsid w:val="00B40925"/>
    <w:rsid w:val="00B42CD6"/>
    <w:rsid w:val="00B42E7F"/>
    <w:rsid w:val="00B434E2"/>
    <w:rsid w:val="00B43544"/>
    <w:rsid w:val="00B43AF0"/>
    <w:rsid w:val="00B43D06"/>
    <w:rsid w:val="00B4618B"/>
    <w:rsid w:val="00B50ECA"/>
    <w:rsid w:val="00B5115C"/>
    <w:rsid w:val="00B51586"/>
    <w:rsid w:val="00B5178E"/>
    <w:rsid w:val="00B526D4"/>
    <w:rsid w:val="00B54FCF"/>
    <w:rsid w:val="00B5655E"/>
    <w:rsid w:val="00B56EF1"/>
    <w:rsid w:val="00B57003"/>
    <w:rsid w:val="00B57D64"/>
    <w:rsid w:val="00B60D7C"/>
    <w:rsid w:val="00B60DC0"/>
    <w:rsid w:val="00B60F11"/>
    <w:rsid w:val="00B618F6"/>
    <w:rsid w:val="00B61B96"/>
    <w:rsid w:val="00B62161"/>
    <w:rsid w:val="00B62D08"/>
    <w:rsid w:val="00B63310"/>
    <w:rsid w:val="00B6455B"/>
    <w:rsid w:val="00B661C1"/>
    <w:rsid w:val="00B67289"/>
    <w:rsid w:val="00B67410"/>
    <w:rsid w:val="00B67920"/>
    <w:rsid w:val="00B67DDD"/>
    <w:rsid w:val="00B70AE5"/>
    <w:rsid w:val="00B70DE4"/>
    <w:rsid w:val="00B73F39"/>
    <w:rsid w:val="00B744ED"/>
    <w:rsid w:val="00B74950"/>
    <w:rsid w:val="00B74B0F"/>
    <w:rsid w:val="00B76A3D"/>
    <w:rsid w:val="00B77173"/>
    <w:rsid w:val="00B77BA2"/>
    <w:rsid w:val="00B805F3"/>
    <w:rsid w:val="00B820B5"/>
    <w:rsid w:val="00B8339E"/>
    <w:rsid w:val="00B84065"/>
    <w:rsid w:val="00B84F58"/>
    <w:rsid w:val="00B8501F"/>
    <w:rsid w:val="00B850AF"/>
    <w:rsid w:val="00B85CCA"/>
    <w:rsid w:val="00B86DD5"/>
    <w:rsid w:val="00B8724B"/>
    <w:rsid w:val="00B8744E"/>
    <w:rsid w:val="00B87604"/>
    <w:rsid w:val="00B87AF0"/>
    <w:rsid w:val="00B87BE9"/>
    <w:rsid w:val="00B87E1F"/>
    <w:rsid w:val="00B916F0"/>
    <w:rsid w:val="00B91D99"/>
    <w:rsid w:val="00B93FC7"/>
    <w:rsid w:val="00B94111"/>
    <w:rsid w:val="00B95763"/>
    <w:rsid w:val="00B965C1"/>
    <w:rsid w:val="00B97FD6"/>
    <w:rsid w:val="00BA25D4"/>
    <w:rsid w:val="00BA3C49"/>
    <w:rsid w:val="00BA412D"/>
    <w:rsid w:val="00BA46F9"/>
    <w:rsid w:val="00BA4E6C"/>
    <w:rsid w:val="00BA4F82"/>
    <w:rsid w:val="00BA5882"/>
    <w:rsid w:val="00BA611F"/>
    <w:rsid w:val="00BA6A7B"/>
    <w:rsid w:val="00BA71AE"/>
    <w:rsid w:val="00BA7E32"/>
    <w:rsid w:val="00BB0566"/>
    <w:rsid w:val="00BB2B86"/>
    <w:rsid w:val="00BB356C"/>
    <w:rsid w:val="00BB3E25"/>
    <w:rsid w:val="00BB4C30"/>
    <w:rsid w:val="00BB5737"/>
    <w:rsid w:val="00BB5B46"/>
    <w:rsid w:val="00BB5BB6"/>
    <w:rsid w:val="00BB616B"/>
    <w:rsid w:val="00BB65CB"/>
    <w:rsid w:val="00BB6B84"/>
    <w:rsid w:val="00BB710F"/>
    <w:rsid w:val="00BB71C4"/>
    <w:rsid w:val="00BC03C4"/>
    <w:rsid w:val="00BC0E03"/>
    <w:rsid w:val="00BC1586"/>
    <w:rsid w:val="00BC1A3E"/>
    <w:rsid w:val="00BC2453"/>
    <w:rsid w:val="00BC2D11"/>
    <w:rsid w:val="00BC39FB"/>
    <w:rsid w:val="00BC3BEF"/>
    <w:rsid w:val="00BC43D2"/>
    <w:rsid w:val="00BC4773"/>
    <w:rsid w:val="00BC6E54"/>
    <w:rsid w:val="00BD0129"/>
    <w:rsid w:val="00BD0499"/>
    <w:rsid w:val="00BD1835"/>
    <w:rsid w:val="00BD1E5A"/>
    <w:rsid w:val="00BD2670"/>
    <w:rsid w:val="00BD3BA5"/>
    <w:rsid w:val="00BD4A10"/>
    <w:rsid w:val="00BD6DA6"/>
    <w:rsid w:val="00BD6F9A"/>
    <w:rsid w:val="00BD78E5"/>
    <w:rsid w:val="00BD7C7C"/>
    <w:rsid w:val="00BD7FE6"/>
    <w:rsid w:val="00BE06FB"/>
    <w:rsid w:val="00BE105F"/>
    <w:rsid w:val="00BE20E8"/>
    <w:rsid w:val="00BE2F2E"/>
    <w:rsid w:val="00BE3961"/>
    <w:rsid w:val="00BE3A05"/>
    <w:rsid w:val="00BE3FB0"/>
    <w:rsid w:val="00BE4A03"/>
    <w:rsid w:val="00BE5357"/>
    <w:rsid w:val="00BE5806"/>
    <w:rsid w:val="00BE606A"/>
    <w:rsid w:val="00BE675B"/>
    <w:rsid w:val="00BE6A8A"/>
    <w:rsid w:val="00BE70B8"/>
    <w:rsid w:val="00BE7EB1"/>
    <w:rsid w:val="00BF0D27"/>
    <w:rsid w:val="00BF0F16"/>
    <w:rsid w:val="00BF26C1"/>
    <w:rsid w:val="00BF48E5"/>
    <w:rsid w:val="00BF5A13"/>
    <w:rsid w:val="00BF5FA1"/>
    <w:rsid w:val="00BF61D3"/>
    <w:rsid w:val="00BF785C"/>
    <w:rsid w:val="00BF7914"/>
    <w:rsid w:val="00C00D39"/>
    <w:rsid w:val="00C01691"/>
    <w:rsid w:val="00C01714"/>
    <w:rsid w:val="00C0237F"/>
    <w:rsid w:val="00C032C6"/>
    <w:rsid w:val="00C03D40"/>
    <w:rsid w:val="00C04B7D"/>
    <w:rsid w:val="00C062F6"/>
    <w:rsid w:val="00C07241"/>
    <w:rsid w:val="00C123A9"/>
    <w:rsid w:val="00C12D8F"/>
    <w:rsid w:val="00C1342A"/>
    <w:rsid w:val="00C14846"/>
    <w:rsid w:val="00C16847"/>
    <w:rsid w:val="00C1768A"/>
    <w:rsid w:val="00C21941"/>
    <w:rsid w:val="00C26B44"/>
    <w:rsid w:val="00C26C64"/>
    <w:rsid w:val="00C277C8"/>
    <w:rsid w:val="00C3001D"/>
    <w:rsid w:val="00C311D0"/>
    <w:rsid w:val="00C31ADC"/>
    <w:rsid w:val="00C33460"/>
    <w:rsid w:val="00C355AE"/>
    <w:rsid w:val="00C3579A"/>
    <w:rsid w:val="00C35905"/>
    <w:rsid w:val="00C37304"/>
    <w:rsid w:val="00C40BF9"/>
    <w:rsid w:val="00C41718"/>
    <w:rsid w:val="00C42F00"/>
    <w:rsid w:val="00C43C7C"/>
    <w:rsid w:val="00C44641"/>
    <w:rsid w:val="00C466C3"/>
    <w:rsid w:val="00C46C80"/>
    <w:rsid w:val="00C4713D"/>
    <w:rsid w:val="00C47587"/>
    <w:rsid w:val="00C478E3"/>
    <w:rsid w:val="00C47B8B"/>
    <w:rsid w:val="00C505A1"/>
    <w:rsid w:val="00C50B99"/>
    <w:rsid w:val="00C50C95"/>
    <w:rsid w:val="00C51DEF"/>
    <w:rsid w:val="00C52312"/>
    <w:rsid w:val="00C53B64"/>
    <w:rsid w:val="00C53F67"/>
    <w:rsid w:val="00C543B2"/>
    <w:rsid w:val="00C5484D"/>
    <w:rsid w:val="00C54FD0"/>
    <w:rsid w:val="00C56774"/>
    <w:rsid w:val="00C57CC5"/>
    <w:rsid w:val="00C600B0"/>
    <w:rsid w:val="00C60BA3"/>
    <w:rsid w:val="00C60EE6"/>
    <w:rsid w:val="00C6130D"/>
    <w:rsid w:val="00C615D0"/>
    <w:rsid w:val="00C615E5"/>
    <w:rsid w:val="00C619A4"/>
    <w:rsid w:val="00C61CD3"/>
    <w:rsid w:val="00C62394"/>
    <w:rsid w:val="00C6274C"/>
    <w:rsid w:val="00C627BC"/>
    <w:rsid w:val="00C62F0E"/>
    <w:rsid w:val="00C638FF"/>
    <w:rsid w:val="00C63AEE"/>
    <w:rsid w:val="00C63E99"/>
    <w:rsid w:val="00C64981"/>
    <w:rsid w:val="00C65A5D"/>
    <w:rsid w:val="00C66D4C"/>
    <w:rsid w:val="00C72090"/>
    <w:rsid w:val="00C74CE4"/>
    <w:rsid w:val="00C76089"/>
    <w:rsid w:val="00C76553"/>
    <w:rsid w:val="00C77B34"/>
    <w:rsid w:val="00C81134"/>
    <w:rsid w:val="00C83913"/>
    <w:rsid w:val="00C839B7"/>
    <w:rsid w:val="00C83C94"/>
    <w:rsid w:val="00C848F4"/>
    <w:rsid w:val="00C86049"/>
    <w:rsid w:val="00C87E98"/>
    <w:rsid w:val="00C9248F"/>
    <w:rsid w:val="00C9378C"/>
    <w:rsid w:val="00C93B5C"/>
    <w:rsid w:val="00C93FE7"/>
    <w:rsid w:val="00C94CEC"/>
    <w:rsid w:val="00C95461"/>
    <w:rsid w:val="00C95884"/>
    <w:rsid w:val="00C96DB0"/>
    <w:rsid w:val="00CA0A16"/>
    <w:rsid w:val="00CA1749"/>
    <w:rsid w:val="00CA205D"/>
    <w:rsid w:val="00CA2D61"/>
    <w:rsid w:val="00CA312B"/>
    <w:rsid w:val="00CA353A"/>
    <w:rsid w:val="00CA39FD"/>
    <w:rsid w:val="00CA3F11"/>
    <w:rsid w:val="00CA4001"/>
    <w:rsid w:val="00CA52C1"/>
    <w:rsid w:val="00CA52F2"/>
    <w:rsid w:val="00CA5682"/>
    <w:rsid w:val="00CA67F0"/>
    <w:rsid w:val="00CA769E"/>
    <w:rsid w:val="00CB0431"/>
    <w:rsid w:val="00CB0D7A"/>
    <w:rsid w:val="00CB123A"/>
    <w:rsid w:val="00CB1C1B"/>
    <w:rsid w:val="00CB1EB4"/>
    <w:rsid w:val="00CB1F71"/>
    <w:rsid w:val="00CB20B8"/>
    <w:rsid w:val="00CB244C"/>
    <w:rsid w:val="00CB255F"/>
    <w:rsid w:val="00CB2FA1"/>
    <w:rsid w:val="00CB3A6E"/>
    <w:rsid w:val="00CB4584"/>
    <w:rsid w:val="00CB4714"/>
    <w:rsid w:val="00CB5465"/>
    <w:rsid w:val="00CB56E6"/>
    <w:rsid w:val="00CB5A09"/>
    <w:rsid w:val="00CB5A0D"/>
    <w:rsid w:val="00CB5B81"/>
    <w:rsid w:val="00CB61E1"/>
    <w:rsid w:val="00CB6D77"/>
    <w:rsid w:val="00CB76F1"/>
    <w:rsid w:val="00CB7BCF"/>
    <w:rsid w:val="00CC01A6"/>
    <w:rsid w:val="00CC06DB"/>
    <w:rsid w:val="00CC194E"/>
    <w:rsid w:val="00CC1B8C"/>
    <w:rsid w:val="00CC3074"/>
    <w:rsid w:val="00CC3698"/>
    <w:rsid w:val="00CC3984"/>
    <w:rsid w:val="00CC39F5"/>
    <w:rsid w:val="00CC65A7"/>
    <w:rsid w:val="00CC6AED"/>
    <w:rsid w:val="00CD26BE"/>
    <w:rsid w:val="00CD2E06"/>
    <w:rsid w:val="00CD3405"/>
    <w:rsid w:val="00CD37F7"/>
    <w:rsid w:val="00CD427A"/>
    <w:rsid w:val="00CD59F7"/>
    <w:rsid w:val="00CD5AFD"/>
    <w:rsid w:val="00CD5B6C"/>
    <w:rsid w:val="00CD673F"/>
    <w:rsid w:val="00CD6D74"/>
    <w:rsid w:val="00CD78CF"/>
    <w:rsid w:val="00CD79CB"/>
    <w:rsid w:val="00CE0233"/>
    <w:rsid w:val="00CE0E66"/>
    <w:rsid w:val="00CE15F8"/>
    <w:rsid w:val="00CE2B92"/>
    <w:rsid w:val="00CE3E90"/>
    <w:rsid w:val="00CE46E9"/>
    <w:rsid w:val="00CE4984"/>
    <w:rsid w:val="00CE4D4B"/>
    <w:rsid w:val="00CE5498"/>
    <w:rsid w:val="00CE55F3"/>
    <w:rsid w:val="00CE5A22"/>
    <w:rsid w:val="00CE6D34"/>
    <w:rsid w:val="00CE709E"/>
    <w:rsid w:val="00CE775B"/>
    <w:rsid w:val="00CF01D6"/>
    <w:rsid w:val="00CF03A5"/>
    <w:rsid w:val="00CF0F0F"/>
    <w:rsid w:val="00CF327E"/>
    <w:rsid w:val="00CF3CCA"/>
    <w:rsid w:val="00CF7A0E"/>
    <w:rsid w:val="00CF7FF7"/>
    <w:rsid w:val="00D00956"/>
    <w:rsid w:val="00D0120B"/>
    <w:rsid w:val="00D020EA"/>
    <w:rsid w:val="00D02818"/>
    <w:rsid w:val="00D0317A"/>
    <w:rsid w:val="00D03226"/>
    <w:rsid w:val="00D0333A"/>
    <w:rsid w:val="00D0338E"/>
    <w:rsid w:val="00D036FB"/>
    <w:rsid w:val="00D064EB"/>
    <w:rsid w:val="00D068CD"/>
    <w:rsid w:val="00D06BF5"/>
    <w:rsid w:val="00D071D5"/>
    <w:rsid w:val="00D12C47"/>
    <w:rsid w:val="00D132E1"/>
    <w:rsid w:val="00D14A33"/>
    <w:rsid w:val="00D14B2D"/>
    <w:rsid w:val="00D1566F"/>
    <w:rsid w:val="00D16029"/>
    <w:rsid w:val="00D16283"/>
    <w:rsid w:val="00D178D6"/>
    <w:rsid w:val="00D17B9B"/>
    <w:rsid w:val="00D216BA"/>
    <w:rsid w:val="00D22F94"/>
    <w:rsid w:val="00D23FC0"/>
    <w:rsid w:val="00D241FA"/>
    <w:rsid w:val="00D24556"/>
    <w:rsid w:val="00D245E3"/>
    <w:rsid w:val="00D2487F"/>
    <w:rsid w:val="00D25B03"/>
    <w:rsid w:val="00D2678C"/>
    <w:rsid w:val="00D26A14"/>
    <w:rsid w:val="00D2719C"/>
    <w:rsid w:val="00D27A0F"/>
    <w:rsid w:val="00D30015"/>
    <w:rsid w:val="00D30074"/>
    <w:rsid w:val="00D34256"/>
    <w:rsid w:val="00D345FB"/>
    <w:rsid w:val="00D3508E"/>
    <w:rsid w:val="00D352C3"/>
    <w:rsid w:val="00D36461"/>
    <w:rsid w:val="00D37312"/>
    <w:rsid w:val="00D40D3A"/>
    <w:rsid w:val="00D41459"/>
    <w:rsid w:val="00D41AAE"/>
    <w:rsid w:val="00D429CD"/>
    <w:rsid w:val="00D43284"/>
    <w:rsid w:val="00D43629"/>
    <w:rsid w:val="00D43CA3"/>
    <w:rsid w:val="00D44543"/>
    <w:rsid w:val="00D45093"/>
    <w:rsid w:val="00D4604B"/>
    <w:rsid w:val="00D46855"/>
    <w:rsid w:val="00D471B2"/>
    <w:rsid w:val="00D47254"/>
    <w:rsid w:val="00D50071"/>
    <w:rsid w:val="00D5020D"/>
    <w:rsid w:val="00D50E9B"/>
    <w:rsid w:val="00D52688"/>
    <w:rsid w:val="00D52EF9"/>
    <w:rsid w:val="00D53360"/>
    <w:rsid w:val="00D5501B"/>
    <w:rsid w:val="00D55FE0"/>
    <w:rsid w:val="00D57BD7"/>
    <w:rsid w:val="00D60172"/>
    <w:rsid w:val="00D60D98"/>
    <w:rsid w:val="00D6194A"/>
    <w:rsid w:val="00D61ED7"/>
    <w:rsid w:val="00D624B3"/>
    <w:rsid w:val="00D64442"/>
    <w:rsid w:val="00D64509"/>
    <w:rsid w:val="00D65F79"/>
    <w:rsid w:val="00D663AA"/>
    <w:rsid w:val="00D667C0"/>
    <w:rsid w:val="00D669DC"/>
    <w:rsid w:val="00D677DD"/>
    <w:rsid w:val="00D67BDD"/>
    <w:rsid w:val="00D67D8B"/>
    <w:rsid w:val="00D700F5"/>
    <w:rsid w:val="00D70E1A"/>
    <w:rsid w:val="00D72218"/>
    <w:rsid w:val="00D762CD"/>
    <w:rsid w:val="00D775F9"/>
    <w:rsid w:val="00D77C69"/>
    <w:rsid w:val="00D81037"/>
    <w:rsid w:val="00D81745"/>
    <w:rsid w:val="00D81BFD"/>
    <w:rsid w:val="00D85790"/>
    <w:rsid w:val="00D8678A"/>
    <w:rsid w:val="00D878C3"/>
    <w:rsid w:val="00D90BA7"/>
    <w:rsid w:val="00D9220E"/>
    <w:rsid w:val="00D92304"/>
    <w:rsid w:val="00D93386"/>
    <w:rsid w:val="00D93416"/>
    <w:rsid w:val="00D95C50"/>
    <w:rsid w:val="00D9653C"/>
    <w:rsid w:val="00D9786A"/>
    <w:rsid w:val="00DA01C5"/>
    <w:rsid w:val="00DA0943"/>
    <w:rsid w:val="00DA2005"/>
    <w:rsid w:val="00DA2363"/>
    <w:rsid w:val="00DA2DD9"/>
    <w:rsid w:val="00DA2ED0"/>
    <w:rsid w:val="00DA5AA4"/>
    <w:rsid w:val="00DA5C53"/>
    <w:rsid w:val="00DB04D8"/>
    <w:rsid w:val="00DB14C5"/>
    <w:rsid w:val="00DB166B"/>
    <w:rsid w:val="00DB2077"/>
    <w:rsid w:val="00DB31CA"/>
    <w:rsid w:val="00DB3F9A"/>
    <w:rsid w:val="00DB4AD9"/>
    <w:rsid w:val="00DB67DF"/>
    <w:rsid w:val="00DB6835"/>
    <w:rsid w:val="00DB6B26"/>
    <w:rsid w:val="00DB727B"/>
    <w:rsid w:val="00DB7319"/>
    <w:rsid w:val="00DB7A2D"/>
    <w:rsid w:val="00DC05B3"/>
    <w:rsid w:val="00DC0CE2"/>
    <w:rsid w:val="00DC0FEE"/>
    <w:rsid w:val="00DC1477"/>
    <w:rsid w:val="00DC2A5B"/>
    <w:rsid w:val="00DC37D8"/>
    <w:rsid w:val="00DC438F"/>
    <w:rsid w:val="00DC5644"/>
    <w:rsid w:val="00DC6194"/>
    <w:rsid w:val="00DC6B8C"/>
    <w:rsid w:val="00DC7D4A"/>
    <w:rsid w:val="00DC7E0D"/>
    <w:rsid w:val="00DD0589"/>
    <w:rsid w:val="00DD1735"/>
    <w:rsid w:val="00DD4250"/>
    <w:rsid w:val="00DD4679"/>
    <w:rsid w:val="00DD59EC"/>
    <w:rsid w:val="00DD7438"/>
    <w:rsid w:val="00DD7785"/>
    <w:rsid w:val="00DD7EEB"/>
    <w:rsid w:val="00DE093E"/>
    <w:rsid w:val="00DE1A22"/>
    <w:rsid w:val="00DE246A"/>
    <w:rsid w:val="00DE27CD"/>
    <w:rsid w:val="00DE59E7"/>
    <w:rsid w:val="00DE6C27"/>
    <w:rsid w:val="00DF1D70"/>
    <w:rsid w:val="00DF2136"/>
    <w:rsid w:val="00DF2B73"/>
    <w:rsid w:val="00DF3C3E"/>
    <w:rsid w:val="00DF44EF"/>
    <w:rsid w:val="00DF58DB"/>
    <w:rsid w:val="00DF591B"/>
    <w:rsid w:val="00DF5A1D"/>
    <w:rsid w:val="00DF5D16"/>
    <w:rsid w:val="00DF5F79"/>
    <w:rsid w:val="00DF6A6A"/>
    <w:rsid w:val="00DF7F02"/>
    <w:rsid w:val="00E0155E"/>
    <w:rsid w:val="00E01E30"/>
    <w:rsid w:val="00E02147"/>
    <w:rsid w:val="00E02191"/>
    <w:rsid w:val="00E02349"/>
    <w:rsid w:val="00E048C4"/>
    <w:rsid w:val="00E0501B"/>
    <w:rsid w:val="00E06735"/>
    <w:rsid w:val="00E06B07"/>
    <w:rsid w:val="00E07A2B"/>
    <w:rsid w:val="00E07C97"/>
    <w:rsid w:val="00E07D4C"/>
    <w:rsid w:val="00E10040"/>
    <w:rsid w:val="00E104FE"/>
    <w:rsid w:val="00E108ED"/>
    <w:rsid w:val="00E10D9F"/>
    <w:rsid w:val="00E1223A"/>
    <w:rsid w:val="00E14E4F"/>
    <w:rsid w:val="00E15FD1"/>
    <w:rsid w:val="00E175BE"/>
    <w:rsid w:val="00E1787D"/>
    <w:rsid w:val="00E17B1D"/>
    <w:rsid w:val="00E21CD5"/>
    <w:rsid w:val="00E21F59"/>
    <w:rsid w:val="00E2222B"/>
    <w:rsid w:val="00E2246B"/>
    <w:rsid w:val="00E22C23"/>
    <w:rsid w:val="00E23307"/>
    <w:rsid w:val="00E23856"/>
    <w:rsid w:val="00E25DAF"/>
    <w:rsid w:val="00E264CC"/>
    <w:rsid w:val="00E269DF"/>
    <w:rsid w:val="00E30581"/>
    <w:rsid w:val="00E30C09"/>
    <w:rsid w:val="00E30FF1"/>
    <w:rsid w:val="00E31B3D"/>
    <w:rsid w:val="00E31F32"/>
    <w:rsid w:val="00E35862"/>
    <w:rsid w:val="00E35CCD"/>
    <w:rsid w:val="00E35F9A"/>
    <w:rsid w:val="00E36623"/>
    <w:rsid w:val="00E3782A"/>
    <w:rsid w:val="00E409B7"/>
    <w:rsid w:val="00E41634"/>
    <w:rsid w:val="00E4188E"/>
    <w:rsid w:val="00E42FA0"/>
    <w:rsid w:val="00E43586"/>
    <w:rsid w:val="00E44010"/>
    <w:rsid w:val="00E4498F"/>
    <w:rsid w:val="00E455C0"/>
    <w:rsid w:val="00E45944"/>
    <w:rsid w:val="00E46939"/>
    <w:rsid w:val="00E473FB"/>
    <w:rsid w:val="00E47530"/>
    <w:rsid w:val="00E50A01"/>
    <w:rsid w:val="00E521F8"/>
    <w:rsid w:val="00E52F9E"/>
    <w:rsid w:val="00E5374F"/>
    <w:rsid w:val="00E546D7"/>
    <w:rsid w:val="00E54965"/>
    <w:rsid w:val="00E54A8D"/>
    <w:rsid w:val="00E54AF5"/>
    <w:rsid w:val="00E54ECC"/>
    <w:rsid w:val="00E566F4"/>
    <w:rsid w:val="00E57B28"/>
    <w:rsid w:val="00E61577"/>
    <w:rsid w:val="00E626D3"/>
    <w:rsid w:val="00E638B0"/>
    <w:rsid w:val="00E638B5"/>
    <w:rsid w:val="00E6428B"/>
    <w:rsid w:val="00E6487D"/>
    <w:rsid w:val="00E64AEA"/>
    <w:rsid w:val="00E64B73"/>
    <w:rsid w:val="00E664E2"/>
    <w:rsid w:val="00E67019"/>
    <w:rsid w:val="00E70959"/>
    <w:rsid w:val="00E71530"/>
    <w:rsid w:val="00E71709"/>
    <w:rsid w:val="00E71945"/>
    <w:rsid w:val="00E71D8D"/>
    <w:rsid w:val="00E72E35"/>
    <w:rsid w:val="00E73239"/>
    <w:rsid w:val="00E74D9C"/>
    <w:rsid w:val="00E75E22"/>
    <w:rsid w:val="00E76920"/>
    <w:rsid w:val="00E76D77"/>
    <w:rsid w:val="00E77FDF"/>
    <w:rsid w:val="00E807A0"/>
    <w:rsid w:val="00E81005"/>
    <w:rsid w:val="00E817E0"/>
    <w:rsid w:val="00E841AF"/>
    <w:rsid w:val="00E863FE"/>
    <w:rsid w:val="00E86518"/>
    <w:rsid w:val="00E873DF"/>
    <w:rsid w:val="00E907B9"/>
    <w:rsid w:val="00E90DE0"/>
    <w:rsid w:val="00E9122E"/>
    <w:rsid w:val="00E91B33"/>
    <w:rsid w:val="00E930DA"/>
    <w:rsid w:val="00E93833"/>
    <w:rsid w:val="00E9391E"/>
    <w:rsid w:val="00E94DB6"/>
    <w:rsid w:val="00E95029"/>
    <w:rsid w:val="00E95D20"/>
    <w:rsid w:val="00E961DF"/>
    <w:rsid w:val="00E96A1A"/>
    <w:rsid w:val="00E96AAA"/>
    <w:rsid w:val="00E97320"/>
    <w:rsid w:val="00E97FC9"/>
    <w:rsid w:val="00EA1212"/>
    <w:rsid w:val="00EA1ABD"/>
    <w:rsid w:val="00EA1F98"/>
    <w:rsid w:val="00EA63A4"/>
    <w:rsid w:val="00EA6572"/>
    <w:rsid w:val="00EA75DB"/>
    <w:rsid w:val="00EB09EE"/>
    <w:rsid w:val="00EB0CCE"/>
    <w:rsid w:val="00EB1E19"/>
    <w:rsid w:val="00EB3185"/>
    <w:rsid w:val="00EB3CED"/>
    <w:rsid w:val="00EB3F5D"/>
    <w:rsid w:val="00EB49B2"/>
    <w:rsid w:val="00EB4E32"/>
    <w:rsid w:val="00EB4F76"/>
    <w:rsid w:val="00EB5506"/>
    <w:rsid w:val="00EB554E"/>
    <w:rsid w:val="00EB56B6"/>
    <w:rsid w:val="00EB5805"/>
    <w:rsid w:val="00EB6B9F"/>
    <w:rsid w:val="00EB7564"/>
    <w:rsid w:val="00EB7B43"/>
    <w:rsid w:val="00EC0B89"/>
    <w:rsid w:val="00EC1038"/>
    <w:rsid w:val="00EC262F"/>
    <w:rsid w:val="00EC2FF5"/>
    <w:rsid w:val="00EC3DE1"/>
    <w:rsid w:val="00ED0082"/>
    <w:rsid w:val="00ED07E0"/>
    <w:rsid w:val="00ED14BD"/>
    <w:rsid w:val="00ED15ED"/>
    <w:rsid w:val="00ED281D"/>
    <w:rsid w:val="00ED3944"/>
    <w:rsid w:val="00ED512D"/>
    <w:rsid w:val="00ED563D"/>
    <w:rsid w:val="00ED6237"/>
    <w:rsid w:val="00ED66F8"/>
    <w:rsid w:val="00ED7AEA"/>
    <w:rsid w:val="00ED7EBA"/>
    <w:rsid w:val="00EE19A2"/>
    <w:rsid w:val="00EE2396"/>
    <w:rsid w:val="00EE27C3"/>
    <w:rsid w:val="00EE3AF8"/>
    <w:rsid w:val="00EE40C4"/>
    <w:rsid w:val="00EE4E57"/>
    <w:rsid w:val="00EE4EF6"/>
    <w:rsid w:val="00EE4F8D"/>
    <w:rsid w:val="00EE51CC"/>
    <w:rsid w:val="00EE5690"/>
    <w:rsid w:val="00EE5DAE"/>
    <w:rsid w:val="00EE674C"/>
    <w:rsid w:val="00EF0090"/>
    <w:rsid w:val="00EF06ED"/>
    <w:rsid w:val="00EF1B0C"/>
    <w:rsid w:val="00EF2295"/>
    <w:rsid w:val="00EF2E29"/>
    <w:rsid w:val="00EF30B4"/>
    <w:rsid w:val="00EF30C3"/>
    <w:rsid w:val="00EF45B2"/>
    <w:rsid w:val="00EF496B"/>
    <w:rsid w:val="00EF5B19"/>
    <w:rsid w:val="00EF5B8E"/>
    <w:rsid w:val="00EF6697"/>
    <w:rsid w:val="00EF6EEA"/>
    <w:rsid w:val="00EF6F13"/>
    <w:rsid w:val="00EF72C4"/>
    <w:rsid w:val="00EF7E33"/>
    <w:rsid w:val="00F01AE7"/>
    <w:rsid w:val="00F01FEC"/>
    <w:rsid w:val="00F028F6"/>
    <w:rsid w:val="00F03B91"/>
    <w:rsid w:val="00F03E18"/>
    <w:rsid w:val="00F042EA"/>
    <w:rsid w:val="00F04453"/>
    <w:rsid w:val="00F0617F"/>
    <w:rsid w:val="00F0673C"/>
    <w:rsid w:val="00F068DC"/>
    <w:rsid w:val="00F06C67"/>
    <w:rsid w:val="00F06DA8"/>
    <w:rsid w:val="00F078B3"/>
    <w:rsid w:val="00F10CF2"/>
    <w:rsid w:val="00F121B3"/>
    <w:rsid w:val="00F1231A"/>
    <w:rsid w:val="00F12611"/>
    <w:rsid w:val="00F12612"/>
    <w:rsid w:val="00F12A8A"/>
    <w:rsid w:val="00F12B9B"/>
    <w:rsid w:val="00F13BCE"/>
    <w:rsid w:val="00F14033"/>
    <w:rsid w:val="00F16D4F"/>
    <w:rsid w:val="00F17433"/>
    <w:rsid w:val="00F17F2F"/>
    <w:rsid w:val="00F202AF"/>
    <w:rsid w:val="00F20869"/>
    <w:rsid w:val="00F20DDF"/>
    <w:rsid w:val="00F20E75"/>
    <w:rsid w:val="00F21AEA"/>
    <w:rsid w:val="00F221D8"/>
    <w:rsid w:val="00F22232"/>
    <w:rsid w:val="00F231DA"/>
    <w:rsid w:val="00F23252"/>
    <w:rsid w:val="00F2353C"/>
    <w:rsid w:val="00F246B0"/>
    <w:rsid w:val="00F24F2B"/>
    <w:rsid w:val="00F25107"/>
    <w:rsid w:val="00F25B4E"/>
    <w:rsid w:val="00F260D8"/>
    <w:rsid w:val="00F270A1"/>
    <w:rsid w:val="00F2723C"/>
    <w:rsid w:val="00F2762E"/>
    <w:rsid w:val="00F3017E"/>
    <w:rsid w:val="00F309B2"/>
    <w:rsid w:val="00F320CA"/>
    <w:rsid w:val="00F33A66"/>
    <w:rsid w:val="00F34C01"/>
    <w:rsid w:val="00F35641"/>
    <w:rsid w:val="00F402AE"/>
    <w:rsid w:val="00F4103D"/>
    <w:rsid w:val="00F432DA"/>
    <w:rsid w:val="00F437B5"/>
    <w:rsid w:val="00F45037"/>
    <w:rsid w:val="00F45869"/>
    <w:rsid w:val="00F468F8"/>
    <w:rsid w:val="00F47CFD"/>
    <w:rsid w:val="00F50D53"/>
    <w:rsid w:val="00F50D5C"/>
    <w:rsid w:val="00F50DF9"/>
    <w:rsid w:val="00F50DFF"/>
    <w:rsid w:val="00F51D6C"/>
    <w:rsid w:val="00F51F3B"/>
    <w:rsid w:val="00F5351C"/>
    <w:rsid w:val="00F53A12"/>
    <w:rsid w:val="00F54F21"/>
    <w:rsid w:val="00F552A9"/>
    <w:rsid w:val="00F57C05"/>
    <w:rsid w:val="00F605A1"/>
    <w:rsid w:val="00F605CE"/>
    <w:rsid w:val="00F615F6"/>
    <w:rsid w:val="00F626AF"/>
    <w:rsid w:val="00F62BEE"/>
    <w:rsid w:val="00F6529D"/>
    <w:rsid w:val="00F667B2"/>
    <w:rsid w:val="00F67640"/>
    <w:rsid w:val="00F70D36"/>
    <w:rsid w:val="00F71CB4"/>
    <w:rsid w:val="00F71DED"/>
    <w:rsid w:val="00F72752"/>
    <w:rsid w:val="00F733B7"/>
    <w:rsid w:val="00F73CC5"/>
    <w:rsid w:val="00F746C0"/>
    <w:rsid w:val="00F75442"/>
    <w:rsid w:val="00F7685E"/>
    <w:rsid w:val="00F7737B"/>
    <w:rsid w:val="00F80ADD"/>
    <w:rsid w:val="00F80FA8"/>
    <w:rsid w:val="00F813EB"/>
    <w:rsid w:val="00F81922"/>
    <w:rsid w:val="00F82B70"/>
    <w:rsid w:val="00F83178"/>
    <w:rsid w:val="00F8379E"/>
    <w:rsid w:val="00F8448E"/>
    <w:rsid w:val="00F85476"/>
    <w:rsid w:val="00F85879"/>
    <w:rsid w:val="00F85DF8"/>
    <w:rsid w:val="00F86365"/>
    <w:rsid w:val="00F867E9"/>
    <w:rsid w:val="00F87030"/>
    <w:rsid w:val="00F870EF"/>
    <w:rsid w:val="00F87700"/>
    <w:rsid w:val="00F87B58"/>
    <w:rsid w:val="00F87F91"/>
    <w:rsid w:val="00F90039"/>
    <w:rsid w:val="00F91243"/>
    <w:rsid w:val="00F915F8"/>
    <w:rsid w:val="00F919B2"/>
    <w:rsid w:val="00F93086"/>
    <w:rsid w:val="00F937FF"/>
    <w:rsid w:val="00F93C3C"/>
    <w:rsid w:val="00F944F9"/>
    <w:rsid w:val="00F95329"/>
    <w:rsid w:val="00F95495"/>
    <w:rsid w:val="00F95E5F"/>
    <w:rsid w:val="00F96036"/>
    <w:rsid w:val="00F97233"/>
    <w:rsid w:val="00FA1337"/>
    <w:rsid w:val="00FA13D7"/>
    <w:rsid w:val="00FA16A7"/>
    <w:rsid w:val="00FA201F"/>
    <w:rsid w:val="00FA3558"/>
    <w:rsid w:val="00FA460A"/>
    <w:rsid w:val="00FA4865"/>
    <w:rsid w:val="00FB06E3"/>
    <w:rsid w:val="00FB1ABB"/>
    <w:rsid w:val="00FB483C"/>
    <w:rsid w:val="00FB52A2"/>
    <w:rsid w:val="00FB58EA"/>
    <w:rsid w:val="00FB58F0"/>
    <w:rsid w:val="00FC16DF"/>
    <w:rsid w:val="00FC227D"/>
    <w:rsid w:val="00FC2EBE"/>
    <w:rsid w:val="00FC3E83"/>
    <w:rsid w:val="00FC62B7"/>
    <w:rsid w:val="00FC62C3"/>
    <w:rsid w:val="00FC7D11"/>
    <w:rsid w:val="00FC7F26"/>
    <w:rsid w:val="00FD07E3"/>
    <w:rsid w:val="00FD10C6"/>
    <w:rsid w:val="00FD1BB7"/>
    <w:rsid w:val="00FD1C6D"/>
    <w:rsid w:val="00FD20A0"/>
    <w:rsid w:val="00FD2B45"/>
    <w:rsid w:val="00FD36C1"/>
    <w:rsid w:val="00FD3E9E"/>
    <w:rsid w:val="00FD422D"/>
    <w:rsid w:val="00FD4A02"/>
    <w:rsid w:val="00FD56A2"/>
    <w:rsid w:val="00FD67D6"/>
    <w:rsid w:val="00FD7974"/>
    <w:rsid w:val="00FE012A"/>
    <w:rsid w:val="00FE0A26"/>
    <w:rsid w:val="00FE1018"/>
    <w:rsid w:val="00FE11B8"/>
    <w:rsid w:val="00FE14FE"/>
    <w:rsid w:val="00FE15BB"/>
    <w:rsid w:val="00FE2007"/>
    <w:rsid w:val="00FE23FB"/>
    <w:rsid w:val="00FE2718"/>
    <w:rsid w:val="00FE2EC8"/>
    <w:rsid w:val="00FE34C9"/>
    <w:rsid w:val="00FE3F7A"/>
    <w:rsid w:val="00FE5D51"/>
    <w:rsid w:val="00FE6850"/>
    <w:rsid w:val="00FE7654"/>
    <w:rsid w:val="00FF01BF"/>
    <w:rsid w:val="00FF1110"/>
    <w:rsid w:val="00FF3882"/>
    <w:rsid w:val="00FF4583"/>
    <w:rsid w:val="00FF4CEB"/>
    <w:rsid w:val="00FF65DC"/>
    <w:rsid w:val="00FF730F"/>
    <w:rsid w:val="01077184"/>
    <w:rsid w:val="010F3654"/>
    <w:rsid w:val="01334143"/>
    <w:rsid w:val="014063FE"/>
    <w:rsid w:val="01481F02"/>
    <w:rsid w:val="014F69B8"/>
    <w:rsid w:val="01553F41"/>
    <w:rsid w:val="015F64A6"/>
    <w:rsid w:val="01804A4C"/>
    <w:rsid w:val="018C33F1"/>
    <w:rsid w:val="019E0E1A"/>
    <w:rsid w:val="01A247A0"/>
    <w:rsid w:val="01B13ED6"/>
    <w:rsid w:val="01BC5486"/>
    <w:rsid w:val="01C212FF"/>
    <w:rsid w:val="01C31E58"/>
    <w:rsid w:val="01CD27ED"/>
    <w:rsid w:val="01CE7AB0"/>
    <w:rsid w:val="01D61C20"/>
    <w:rsid w:val="01DC345C"/>
    <w:rsid w:val="02013645"/>
    <w:rsid w:val="02083990"/>
    <w:rsid w:val="02094A42"/>
    <w:rsid w:val="020D5A57"/>
    <w:rsid w:val="0216012D"/>
    <w:rsid w:val="022C4512"/>
    <w:rsid w:val="023E0019"/>
    <w:rsid w:val="02474529"/>
    <w:rsid w:val="024D4EDC"/>
    <w:rsid w:val="024D7D3C"/>
    <w:rsid w:val="02515AD1"/>
    <w:rsid w:val="02641C78"/>
    <w:rsid w:val="02653CB1"/>
    <w:rsid w:val="02817ABE"/>
    <w:rsid w:val="028D7421"/>
    <w:rsid w:val="029A78A7"/>
    <w:rsid w:val="02AF6B20"/>
    <w:rsid w:val="02B17266"/>
    <w:rsid w:val="02B805A9"/>
    <w:rsid w:val="02BD2743"/>
    <w:rsid w:val="02C94D9F"/>
    <w:rsid w:val="02CB729D"/>
    <w:rsid w:val="02D40678"/>
    <w:rsid w:val="02D906AC"/>
    <w:rsid w:val="02F93313"/>
    <w:rsid w:val="03056780"/>
    <w:rsid w:val="0318141D"/>
    <w:rsid w:val="032636FF"/>
    <w:rsid w:val="03356921"/>
    <w:rsid w:val="0337311C"/>
    <w:rsid w:val="03411600"/>
    <w:rsid w:val="034248D6"/>
    <w:rsid w:val="03440400"/>
    <w:rsid w:val="03444A1D"/>
    <w:rsid w:val="03446761"/>
    <w:rsid w:val="03514CC1"/>
    <w:rsid w:val="035C1894"/>
    <w:rsid w:val="037C5741"/>
    <w:rsid w:val="038F7E6E"/>
    <w:rsid w:val="03940CE9"/>
    <w:rsid w:val="039D5464"/>
    <w:rsid w:val="03A7040C"/>
    <w:rsid w:val="03BB2C3D"/>
    <w:rsid w:val="03BD42EC"/>
    <w:rsid w:val="03C94E2C"/>
    <w:rsid w:val="03CD6F01"/>
    <w:rsid w:val="03CE5EDE"/>
    <w:rsid w:val="03F34A59"/>
    <w:rsid w:val="03F72B58"/>
    <w:rsid w:val="03FB2656"/>
    <w:rsid w:val="040F399B"/>
    <w:rsid w:val="040F74F2"/>
    <w:rsid w:val="042E68EB"/>
    <w:rsid w:val="0430031C"/>
    <w:rsid w:val="04360B05"/>
    <w:rsid w:val="044E174F"/>
    <w:rsid w:val="045211E1"/>
    <w:rsid w:val="04633852"/>
    <w:rsid w:val="047B2879"/>
    <w:rsid w:val="048B554F"/>
    <w:rsid w:val="04952C23"/>
    <w:rsid w:val="049A5E25"/>
    <w:rsid w:val="049B498D"/>
    <w:rsid w:val="04A22116"/>
    <w:rsid w:val="04C10943"/>
    <w:rsid w:val="04D35405"/>
    <w:rsid w:val="04D855D4"/>
    <w:rsid w:val="04D92371"/>
    <w:rsid w:val="04E70770"/>
    <w:rsid w:val="04EC1057"/>
    <w:rsid w:val="04EF27E1"/>
    <w:rsid w:val="04F07402"/>
    <w:rsid w:val="04F567F1"/>
    <w:rsid w:val="04F854A6"/>
    <w:rsid w:val="05036CBD"/>
    <w:rsid w:val="051A6E65"/>
    <w:rsid w:val="05216546"/>
    <w:rsid w:val="0523343A"/>
    <w:rsid w:val="05245532"/>
    <w:rsid w:val="05252863"/>
    <w:rsid w:val="052B1E01"/>
    <w:rsid w:val="05346D61"/>
    <w:rsid w:val="05406519"/>
    <w:rsid w:val="0551620E"/>
    <w:rsid w:val="05534C1B"/>
    <w:rsid w:val="055E32F7"/>
    <w:rsid w:val="05694F8C"/>
    <w:rsid w:val="057077B3"/>
    <w:rsid w:val="05816FE5"/>
    <w:rsid w:val="05863D38"/>
    <w:rsid w:val="05AD3522"/>
    <w:rsid w:val="05C159EF"/>
    <w:rsid w:val="05C227AA"/>
    <w:rsid w:val="05CC2913"/>
    <w:rsid w:val="05F220F7"/>
    <w:rsid w:val="05F920BF"/>
    <w:rsid w:val="05FD3CC8"/>
    <w:rsid w:val="0602386B"/>
    <w:rsid w:val="060C62B2"/>
    <w:rsid w:val="06113F01"/>
    <w:rsid w:val="061C2268"/>
    <w:rsid w:val="06237B47"/>
    <w:rsid w:val="062A142B"/>
    <w:rsid w:val="064E34E8"/>
    <w:rsid w:val="06520FE9"/>
    <w:rsid w:val="065A6F03"/>
    <w:rsid w:val="066B5915"/>
    <w:rsid w:val="066B6C27"/>
    <w:rsid w:val="066C4AFB"/>
    <w:rsid w:val="067C0501"/>
    <w:rsid w:val="067D0331"/>
    <w:rsid w:val="068C1346"/>
    <w:rsid w:val="06941EAC"/>
    <w:rsid w:val="06971F19"/>
    <w:rsid w:val="06A71FB9"/>
    <w:rsid w:val="06A72D3C"/>
    <w:rsid w:val="06B56FC1"/>
    <w:rsid w:val="06B77EE0"/>
    <w:rsid w:val="06CE5CFE"/>
    <w:rsid w:val="06E24662"/>
    <w:rsid w:val="06F757B1"/>
    <w:rsid w:val="06FB1DBD"/>
    <w:rsid w:val="07140111"/>
    <w:rsid w:val="07145A92"/>
    <w:rsid w:val="071830A5"/>
    <w:rsid w:val="071C7DED"/>
    <w:rsid w:val="073B70A0"/>
    <w:rsid w:val="074B76B0"/>
    <w:rsid w:val="074D5959"/>
    <w:rsid w:val="076F3599"/>
    <w:rsid w:val="0774295E"/>
    <w:rsid w:val="07755781"/>
    <w:rsid w:val="077A3983"/>
    <w:rsid w:val="078B6D8D"/>
    <w:rsid w:val="07910259"/>
    <w:rsid w:val="079525A3"/>
    <w:rsid w:val="079A781D"/>
    <w:rsid w:val="07A06EFC"/>
    <w:rsid w:val="07AC55BB"/>
    <w:rsid w:val="07BF5E27"/>
    <w:rsid w:val="07C21DA1"/>
    <w:rsid w:val="07CC61CE"/>
    <w:rsid w:val="07D30644"/>
    <w:rsid w:val="07E73228"/>
    <w:rsid w:val="07E81BAC"/>
    <w:rsid w:val="07E86EA8"/>
    <w:rsid w:val="07F40E2D"/>
    <w:rsid w:val="07F41CF0"/>
    <w:rsid w:val="07F817E1"/>
    <w:rsid w:val="080261BB"/>
    <w:rsid w:val="08065689"/>
    <w:rsid w:val="080D1FA9"/>
    <w:rsid w:val="08116381"/>
    <w:rsid w:val="08121D3F"/>
    <w:rsid w:val="08250801"/>
    <w:rsid w:val="082D0B17"/>
    <w:rsid w:val="08315ADA"/>
    <w:rsid w:val="08326375"/>
    <w:rsid w:val="083309D2"/>
    <w:rsid w:val="084C00C5"/>
    <w:rsid w:val="084E5234"/>
    <w:rsid w:val="085B712C"/>
    <w:rsid w:val="085E1A65"/>
    <w:rsid w:val="08626E34"/>
    <w:rsid w:val="087C5435"/>
    <w:rsid w:val="0882652A"/>
    <w:rsid w:val="088C3CD7"/>
    <w:rsid w:val="08903EB0"/>
    <w:rsid w:val="08986F62"/>
    <w:rsid w:val="089E2E70"/>
    <w:rsid w:val="08AB4C8F"/>
    <w:rsid w:val="08AC7857"/>
    <w:rsid w:val="08AF5C17"/>
    <w:rsid w:val="08B5275E"/>
    <w:rsid w:val="08B55E34"/>
    <w:rsid w:val="08B60F16"/>
    <w:rsid w:val="08C6215B"/>
    <w:rsid w:val="08CA55B0"/>
    <w:rsid w:val="08D77F08"/>
    <w:rsid w:val="08DE51A5"/>
    <w:rsid w:val="08E524D3"/>
    <w:rsid w:val="08F1227D"/>
    <w:rsid w:val="08FB6303"/>
    <w:rsid w:val="0916772C"/>
    <w:rsid w:val="091753D1"/>
    <w:rsid w:val="092B527D"/>
    <w:rsid w:val="093436BD"/>
    <w:rsid w:val="09460594"/>
    <w:rsid w:val="094A1EC3"/>
    <w:rsid w:val="09573990"/>
    <w:rsid w:val="095B0D91"/>
    <w:rsid w:val="095C64B2"/>
    <w:rsid w:val="0963712E"/>
    <w:rsid w:val="097D2DCE"/>
    <w:rsid w:val="097F1441"/>
    <w:rsid w:val="098B4C3B"/>
    <w:rsid w:val="099217C1"/>
    <w:rsid w:val="09B22E58"/>
    <w:rsid w:val="09B24246"/>
    <w:rsid w:val="09C624EB"/>
    <w:rsid w:val="09DF165F"/>
    <w:rsid w:val="09E02271"/>
    <w:rsid w:val="09E4728B"/>
    <w:rsid w:val="09EC4EA3"/>
    <w:rsid w:val="09F876B4"/>
    <w:rsid w:val="09FD1E6C"/>
    <w:rsid w:val="0A051F93"/>
    <w:rsid w:val="0A1B5F1A"/>
    <w:rsid w:val="0A25252D"/>
    <w:rsid w:val="0A261F09"/>
    <w:rsid w:val="0A333840"/>
    <w:rsid w:val="0A464881"/>
    <w:rsid w:val="0A482AF0"/>
    <w:rsid w:val="0A4C0ED7"/>
    <w:rsid w:val="0A663F6C"/>
    <w:rsid w:val="0A79028B"/>
    <w:rsid w:val="0A8235E3"/>
    <w:rsid w:val="0A961EF9"/>
    <w:rsid w:val="0A97793B"/>
    <w:rsid w:val="0A9A4527"/>
    <w:rsid w:val="0AA9231F"/>
    <w:rsid w:val="0ABE020E"/>
    <w:rsid w:val="0AC64116"/>
    <w:rsid w:val="0AD52984"/>
    <w:rsid w:val="0AF12517"/>
    <w:rsid w:val="0B070BE6"/>
    <w:rsid w:val="0B0872B0"/>
    <w:rsid w:val="0B090BC0"/>
    <w:rsid w:val="0B1310BE"/>
    <w:rsid w:val="0B1D0A6F"/>
    <w:rsid w:val="0B280393"/>
    <w:rsid w:val="0B350656"/>
    <w:rsid w:val="0B3D3ED5"/>
    <w:rsid w:val="0B3F2FDA"/>
    <w:rsid w:val="0B494AD9"/>
    <w:rsid w:val="0B570713"/>
    <w:rsid w:val="0B5D3299"/>
    <w:rsid w:val="0B6E5916"/>
    <w:rsid w:val="0B7B0693"/>
    <w:rsid w:val="0B837F02"/>
    <w:rsid w:val="0B847B4B"/>
    <w:rsid w:val="0B8D4A3E"/>
    <w:rsid w:val="0B90314F"/>
    <w:rsid w:val="0BA5615C"/>
    <w:rsid w:val="0BAF4694"/>
    <w:rsid w:val="0BC1013B"/>
    <w:rsid w:val="0BCB43E8"/>
    <w:rsid w:val="0BD24C66"/>
    <w:rsid w:val="0BD84405"/>
    <w:rsid w:val="0BDC0ED2"/>
    <w:rsid w:val="0BEB0013"/>
    <w:rsid w:val="0BF10631"/>
    <w:rsid w:val="0C0F505F"/>
    <w:rsid w:val="0C140588"/>
    <w:rsid w:val="0C1A784C"/>
    <w:rsid w:val="0C2E4D21"/>
    <w:rsid w:val="0C3B566B"/>
    <w:rsid w:val="0C3E6F3F"/>
    <w:rsid w:val="0C557307"/>
    <w:rsid w:val="0C56130B"/>
    <w:rsid w:val="0C57694A"/>
    <w:rsid w:val="0C80633D"/>
    <w:rsid w:val="0C9E222B"/>
    <w:rsid w:val="0CA854D0"/>
    <w:rsid w:val="0CB11F5E"/>
    <w:rsid w:val="0CB5218B"/>
    <w:rsid w:val="0CC003F3"/>
    <w:rsid w:val="0CDC43A4"/>
    <w:rsid w:val="0CE057A4"/>
    <w:rsid w:val="0CF10596"/>
    <w:rsid w:val="0CFC0E78"/>
    <w:rsid w:val="0D005C6E"/>
    <w:rsid w:val="0D01287B"/>
    <w:rsid w:val="0D1B5A21"/>
    <w:rsid w:val="0D226A30"/>
    <w:rsid w:val="0D35493D"/>
    <w:rsid w:val="0D3B27CC"/>
    <w:rsid w:val="0D411534"/>
    <w:rsid w:val="0D630CE0"/>
    <w:rsid w:val="0D67667D"/>
    <w:rsid w:val="0D7473CF"/>
    <w:rsid w:val="0D842B09"/>
    <w:rsid w:val="0D8A0A8E"/>
    <w:rsid w:val="0D8C7218"/>
    <w:rsid w:val="0D9D144C"/>
    <w:rsid w:val="0DA844A6"/>
    <w:rsid w:val="0DBF06AB"/>
    <w:rsid w:val="0DC00CF9"/>
    <w:rsid w:val="0DC5119F"/>
    <w:rsid w:val="0DC66D51"/>
    <w:rsid w:val="0DCE7B14"/>
    <w:rsid w:val="0DCF6FB1"/>
    <w:rsid w:val="0DD50C9B"/>
    <w:rsid w:val="0DED6FC6"/>
    <w:rsid w:val="0DF8037C"/>
    <w:rsid w:val="0DFE7425"/>
    <w:rsid w:val="0E013B15"/>
    <w:rsid w:val="0E035EA6"/>
    <w:rsid w:val="0E0802A4"/>
    <w:rsid w:val="0E157D96"/>
    <w:rsid w:val="0E2062C1"/>
    <w:rsid w:val="0E212E19"/>
    <w:rsid w:val="0E2503CB"/>
    <w:rsid w:val="0E3D46A7"/>
    <w:rsid w:val="0E5B4877"/>
    <w:rsid w:val="0E5F2D56"/>
    <w:rsid w:val="0E6C7DC7"/>
    <w:rsid w:val="0E736CF8"/>
    <w:rsid w:val="0E975074"/>
    <w:rsid w:val="0E9D4E90"/>
    <w:rsid w:val="0EA26184"/>
    <w:rsid w:val="0EA43346"/>
    <w:rsid w:val="0EA4652B"/>
    <w:rsid w:val="0EAF0B16"/>
    <w:rsid w:val="0EBA1FCC"/>
    <w:rsid w:val="0ECA192C"/>
    <w:rsid w:val="0ECC4978"/>
    <w:rsid w:val="0ED63EFE"/>
    <w:rsid w:val="0EDD34DE"/>
    <w:rsid w:val="0EE73DE2"/>
    <w:rsid w:val="0EF069EB"/>
    <w:rsid w:val="0EF3579B"/>
    <w:rsid w:val="0F060C63"/>
    <w:rsid w:val="0F1524A0"/>
    <w:rsid w:val="0F2525B2"/>
    <w:rsid w:val="0F253BEA"/>
    <w:rsid w:val="0F2D123B"/>
    <w:rsid w:val="0F4071DB"/>
    <w:rsid w:val="0F4879A2"/>
    <w:rsid w:val="0F551A25"/>
    <w:rsid w:val="0F5F16A6"/>
    <w:rsid w:val="0F672DA8"/>
    <w:rsid w:val="0F6F7FFB"/>
    <w:rsid w:val="0F75214B"/>
    <w:rsid w:val="0F771C85"/>
    <w:rsid w:val="0F7E25FA"/>
    <w:rsid w:val="0F9137D0"/>
    <w:rsid w:val="0F9A145E"/>
    <w:rsid w:val="0FAB07DB"/>
    <w:rsid w:val="0FB73A1F"/>
    <w:rsid w:val="0FC77B6C"/>
    <w:rsid w:val="0FCA5D81"/>
    <w:rsid w:val="0FCD72A2"/>
    <w:rsid w:val="0FD05D31"/>
    <w:rsid w:val="0FDB703F"/>
    <w:rsid w:val="0FED7751"/>
    <w:rsid w:val="0FF66215"/>
    <w:rsid w:val="0FFE6404"/>
    <w:rsid w:val="10054FEF"/>
    <w:rsid w:val="101259B7"/>
    <w:rsid w:val="101C0E97"/>
    <w:rsid w:val="102D40D6"/>
    <w:rsid w:val="10304973"/>
    <w:rsid w:val="1043449D"/>
    <w:rsid w:val="10480D80"/>
    <w:rsid w:val="104F02CD"/>
    <w:rsid w:val="105477D0"/>
    <w:rsid w:val="10573A7C"/>
    <w:rsid w:val="106317C1"/>
    <w:rsid w:val="10697CD3"/>
    <w:rsid w:val="106A33DE"/>
    <w:rsid w:val="106C1737"/>
    <w:rsid w:val="107211A2"/>
    <w:rsid w:val="10790FE5"/>
    <w:rsid w:val="107E65DA"/>
    <w:rsid w:val="107F619F"/>
    <w:rsid w:val="10892187"/>
    <w:rsid w:val="109810A4"/>
    <w:rsid w:val="1099282B"/>
    <w:rsid w:val="109A254B"/>
    <w:rsid w:val="10B546E9"/>
    <w:rsid w:val="10B54709"/>
    <w:rsid w:val="10BC511C"/>
    <w:rsid w:val="10BD5A3E"/>
    <w:rsid w:val="10BF7055"/>
    <w:rsid w:val="10CC6977"/>
    <w:rsid w:val="10CF5C3B"/>
    <w:rsid w:val="10D0540B"/>
    <w:rsid w:val="10D34DAD"/>
    <w:rsid w:val="10E566C9"/>
    <w:rsid w:val="11034202"/>
    <w:rsid w:val="110501D5"/>
    <w:rsid w:val="110F7246"/>
    <w:rsid w:val="11291B48"/>
    <w:rsid w:val="112E1899"/>
    <w:rsid w:val="113646D1"/>
    <w:rsid w:val="11490D75"/>
    <w:rsid w:val="114B168D"/>
    <w:rsid w:val="114C73CD"/>
    <w:rsid w:val="11563695"/>
    <w:rsid w:val="1158610B"/>
    <w:rsid w:val="115A7068"/>
    <w:rsid w:val="11625F1D"/>
    <w:rsid w:val="11691059"/>
    <w:rsid w:val="1177362D"/>
    <w:rsid w:val="11782E37"/>
    <w:rsid w:val="117A5E21"/>
    <w:rsid w:val="117C523A"/>
    <w:rsid w:val="11A11D11"/>
    <w:rsid w:val="11BA7B55"/>
    <w:rsid w:val="11C51616"/>
    <w:rsid w:val="11CC23DF"/>
    <w:rsid w:val="11D52913"/>
    <w:rsid w:val="11DA4027"/>
    <w:rsid w:val="11E1370B"/>
    <w:rsid w:val="11E626AA"/>
    <w:rsid w:val="11E66921"/>
    <w:rsid w:val="11EB3A1F"/>
    <w:rsid w:val="11FB4DAB"/>
    <w:rsid w:val="12023C87"/>
    <w:rsid w:val="12061F0D"/>
    <w:rsid w:val="1208623C"/>
    <w:rsid w:val="120D6970"/>
    <w:rsid w:val="12120135"/>
    <w:rsid w:val="12152161"/>
    <w:rsid w:val="122B657D"/>
    <w:rsid w:val="122D33CB"/>
    <w:rsid w:val="12441A1E"/>
    <w:rsid w:val="124F1E82"/>
    <w:rsid w:val="12555F98"/>
    <w:rsid w:val="1257162F"/>
    <w:rsid w:val="1266140B"/>
    <w:rsid w:val="1275392B"/>
    <w:rsid w:val="128F71C8"/>
    <w:rsid w:val="12987560"/>
    <w:rsid w:val="129C286C"/>
    <w:rsid w:val="12A535D3"/>
    <w:rsid w:val="12A83D45"/>
    <w:rsid w:val="12B47898"/>
    <w:rsid w:val="12BA0120"/>
    <w:rsid w:val="12C549B5"/>
    <w:rsid w:val="12C641A3"/>
    <w:rsid w:val="12DD67DE"/>
    <w:rsid w:val="12F06A52"/>
    <w:rsid w:val="12F93D3C"/>
    <w:rsid w:val="12FA2EF5"/>
    <w:rsid w:val="13125836"/>
    <w:rsid w:val="13156040"/>
    <w:rsid w:val="1322735F"/>
    <w:rsid w:val="1327184E"/>
    <w:rsid w:val="13362695"/>
    <w:rsid w:val="133D44E6"/>
    <w:rsid w:val="13504403"/>
    <w:rsid w:val="1351381E"/>
    <w:rsid w:val="13516807"/>
    <w:rsid w:val="13522EAA"/>
    <w:rsid w:val="13536815"/>
    <w:rsid w:val="13651010"/>
    <w:rsid w:val="13765CAF"/>
    <w:rsid w:val="137B6195"/>
    <w:rsid w:val="138E703D"/>
    <w:rsid w:val="1397058F"/>
    <w:rsid w:val="139E4DFB"/>
    <w:rsid w:val="13A7230D"/>
    <w:rsid w:val="13C4682A"/>
    <w:rsid w:val="13EB6048"/>
    <w:rsid w:val="13FD1907"/>
    <w:rsid w:val="140542CC"/>
    <w:rsid w:val="140B3900"/>
    <w:rsid w:val="140E57CC"/>
    <w:rsid w:val="141C4543"/>
    <w:rsid w:val="142676D5"/>
    <w:rsid w:val="142A5BF2"/>
    <w:rsid w:val="14515782"/>
    <w:rsid w:val="14665D24"/>
    <w:rsid w:val="14797C37"/>
    <w:rsid w:val="148679FF"/>
    <w:rsid w:val="14911D3D"/>
    <w:rsid w:val="149755A0"/>
    <w:rsid w:val="14A01565"/>
    <w:rsid w:val="14A17E27"/>
    <w:rsid w:val="14AD73B3"/>
    <w:rsid w:val="14AF7DDE"/>
    <w:rsid w:val="14B03CDB"/>
    <w:rsid w:val="14B0506E"/>
    <w:rsid w:val="14C56121"/>
    <w:rsid w:val="14C77442"/>
    <w:rsid w:val="14C90B72"/>
    <w:rsid w:val="14D16820"/>
    <w:rsid w:val="14D56A06"/>
    <w:rsid w:val="14D75A97"/>
    <w:rsid w:val="14D92244"/>
    <w:rsid w:val="14E15925"/>
    <w:rsid w:val="14E97070"/>
    <w:rsid w:val="14FA0507"/>
    <w:rsid w:val="15083F0B"/>
    <w:rsid w:val="15115C90"/>
    <w:rsid w:val="15166F34"/>
    <w:rsid w:val="15272B76"/>
    <w:rsid w:val="152900D3"/>
    <w:rsid w:val="152A4FA3"/>
    <w:rsid w:val="1539095F"/>
    <w:rsid w:val="153920E2"/>
    <w:rsid w:val="1539526A"/>
    <w:rsid w:val="155E2428"/>
    <w:rsid w:val="15603D0D"/>
    <w:rsid w:val="15630D07"/>
    <w:rsid w:val="15717F60"/>
    <w:rsid w:val="15865188"/>
    <w:rsid w:val="158C1CDE"/>
    <w:rsid w:val="15995C85"/>
    <w:rsid w:val="159C03BF"/>
    <w:rsid w:val="159E5671"/>
    <w:rsid w:val="15A24172"/>
    <w:rsid w:val="15AE4044"/>
    <w:rsid w:val="15B50272"/>
    <w:rsid w:val="15B72CC9"/>
    <w:rsid w:val="15BA36BD"/>
    <w:rsid w:val="15BE29A0"/>
    <w:rsid w:val="15BE749A"/>
    <w:rsid w:val="15BF484A"/>
    <w:rsid w:val="15DB2014"/>
    <w:rsid w:val="15E06159"/>
    <w:rsid w:val="15E769F0"/>
    <w:rsid w:val="15EF3F8E"/>
    <w:rsid w:val="160A492F"/>
    <w:rsid w:val="160E15D7"/>
    <w:rsid w:val="16101710"/>
    <w:rsid w:val="1614187D"/>
    <w:rsid w:val="16240E4B"/>
    <w:rsid w:val="163E6715"/>
    <w:rsid w:val="164F2EBE"/>
    <w:rsid w:val="165400B6"/>
    <w:rsid w:val="165569EC"/>
    <w:rsid w:val="16557455"/>
    <w:rsid w:val="168810DC"/>
    <w:rsid w:val="16894563"/>
    <w:rsid w:val="168B183F"/>
    <w:rsid w:val="16A3500D"/>
    <w:rsid w:val="16B32D8F"/>
    <w:rsid w:val="16B81C38"/>
    <w:rsid w:val="16E04597"/>
    <w:rsid w:val="16E24023"/>
    <w:rsid w:val="16EC2FCF"/>
    <w:rsid w:val="16F359DD"/>
    <w:rsid w:val="17083D9C"/>
    <w:rsid w:val="170D246B"/>
    <w:rsid w:val="173043C7"/>
    <w:rsid w:val="17334649"/>
    <w:rsid w:val="17343FF9"/>
    <w:rsid w:val="173C699E"/>
    <w:rsid w:val="17433A43"/>
    <w:rsid w:val="174B6C49"/>
    <w:rsid w:val="17512E68"/>
    <w:rsid w:val="17606A5A"/>
    <w:rsid w:val="17614581"/>
    <w:rsid w:val="176B3A77"/>
    <w:rsid w:val="17713F32"/>
    <w:rsid w:val="17935856"/>
    <w:rsid w:val="17984446"/>
    <w:rsid w:val="17A14678"/>
    <w:rsid w:val="17A94A39"/>
    <w:rsid w:val="17B75702"/>
    <w:rsid w:val="17D95AC4"/>
    <w:rsid w:val="17DF6689"/>
    <w:rsid w:val="17E12BFA"/>
    <w:rsid w:val="17E31439"/>
    <w:rsid w:val="17E37B87"/>
    <w:rsid w:val="17FB6463"/>
    <w:rsid w:val="17FE670B"/>
    <w:rsid w:val="180C6316"/>
    <w:rsid w:val="180F6BD3"/>
    <w:rsid w:val="18187335"/>
    <w:rsid w:val="182F5156"/>
    <w:rsid w:val="1835733A"/>
    <w:rsid w:val="18397B68"/>
    <w:rsid w:val="183F2B14"/>
    <w:rsid w:val="18557C52"/>
    <w:rsid w:val="18632645"/>
    <w:rsid w:val="186F4798"/>
    <w:rsid w:val="186F686F"/>
    <w:rsid w:val="189415E4"/>
    <w:rsid w:val="18C51BC5"/>
    <w:rsid w:val="18C5564A"/>
    <w:rsid w:val="18D55CC8"/>
    <w:rsid w:val="18D9183A"/>
    <w:rsid w:val="19035A82"/>
    <w:rsid w:val="190842C8"/>
    <w:rsid w:val="190F0738"/>
    <w:rsid w:val="1910625E"/>
    <w:rsid w:val="191271A8"/>
    <w:rsid w:val="191E18D5"/>
    <w:rsid w:val="192B0BCB"/>
    <w:rsid w:val="192C3AFD"/>
    <w:rsid w:val="192D0231"/>
    <w:rsid w:val="19314B52"/>
    <w:rsid w:val="193C719D"/>
    <w:rsid w:val="194303E2"/>
    <w:rsid w:val="194550CF"/>
    <w:rsid w:val="19480A4B"/>
    <w:rsid w:val="19500429"/>
    <w:rsid w:val="19525A81"/>
    <w:rsid w:val="19537BBB"/>
    <w:rsid w:val="195F0AD3"/>
    <w:rsid w:val="196842EC"/>
    <w:rsid w:val="196C6951"/>
    <w:rsid w:val="196F1517"/>
    <w:rsid w:val="19792EAF"/>
    <w:rsid w:val="199926F8"/>
    <w:rsid w:val="199D4127"/>
    <w:rsid w:val="19AB4503"/>
    <w:rsid w:val="19AD0F5A"/>
    <w:rsid w:val="19AF1E8B"/>
    <w:rsid w:val="19B713CD"/>
    <w:rsid w:val="19C07D82"/>
    <w:rsid w:val="19CC3BDB"/>
    <w:rsid w:val="19D32DD7"/>
    <w:rsid w:val="19DA782D"/>
    <w:rsid w:val="1A0758B3"/>
    <w:rsid w:val="1A155FC1"/>
    <w:rsid w:val="1A3869EA"/>
    <w:rsid w:val="1A4226FE"/>
    <w:rsid w:val="1A4A33F6"/>
    <w:rsid w:val="1A4F0A8E"/>
    <w:rsid w:val="1A514D80"/>
    <w:rsid w:val="1A572FE2"/>
    <w:rsid w:val="1A5E0B56"/>
    <w:rsid w:val="1A67148F"/>
    <w:rsid w:val="1A6A4CE2"/>
    <w:rsid w:val="1A6B0782"/>
    <w:rsid w:val="1A887EEF"/>
    <w:rsid w:val="1A8E4689"/>
    <w:rsid w:val="1AA413FF"/>
    <w:rsid w:val="1AA56FB4"/>
    <w:rsid w:val="1AB51211"/>
    <w:rsid w:val="1AD74101"/>
    <w:rsid w:val="1AE2554E"/>
    <w:rsid w:val="1AE465FE"/>
    <w:rsid w:val="1AE81BF4"/>
    <w:rsid w:val="1AE91B5F"/>
    <w:rsid w:val="1AF86EDB"/>
    <w:rsid w:val="1B3C49F0"/>
    <w:rsid w:val="1B46065D"/>
    <w:rsid w:val="1B534AA9"/>
    <w:rsid w:val="1B54652C"/>
    <w:rsid w:val="1B574E23"/>
    <w:rsid w:val="1B575796"/>
    <w:rsid w:val="1B5A2CCF"/>
    <w:rsid w:val="1B6C4C9E"/>
    <w:rsid w:val="1B7C7BDB"/>
    <w:rsid w:val="1B8371BB"/>
    <w:rsid w:val="1B983985"/>
    <w:rsid w:val="1B9F2B5B"/>
    <w:rsid w:val="1BA116C2"/>
    <w:rsid w:val="1BA67E70"/>
    <w:rsid w:val="1BBE61B0"/>
    <w:rsid w:val="1BC33A5C"/>
    <w:rsid w:val="1BC80245"/>
    <w:rsid w:val="1BCC73B4"/>
    <w:rsid w:val="1BE11F7B"/>
    <w:rsid w:val="1BF03DAB"/>
    <w:rsid w:val="1BF269EB"/>
    <w:rsid w:val="1BFE5961"/>
    <w:rsid w:val="1C04399E"/>
    <w:rsid w:val="1C07063F"/>
    <w:rsid w:val="1C076386"/>
    <w:rsid w:val="1C1A4FCF"/>
    <w:rsid w:val="1C2E5379"/>
    <w:rsid w:val="1C3E4DCB"/>
    <w:rsid w:val="1C430BB1"/>
    <w:rsid w:val="1C4E4128"/>
    <w:rsid w:val="1C5648D0"/>
    <w:rsid w:val="1C5E4405"/>
    <w:rsid w:val="1C693CEC"/>
    <w:rsid w:val="1C6B5E15"/>
    <w:rsid w:val="1C763E24"/>
    <w:rsid w:val="1C7F4FDA"/>
    <w:rsid w:val="1C8043B5"/>
    <w:rsid w:val="1C8925AF"/>
    <w:rsid w:val="1C932E8C"/>
    <w:rsid w:val="1C9F0D07"/>
    <w:rsid w:val="1CB17D58"/>
    <w:rsid w:val="1CB64CD8"/>
    <w:rsid w:val="1CC730D8"/>
    <w:rsid w:val="1CC7555F"/>
    <w:rsid w:val="1CC8316A"/>
    <w:rsid w:val="1CDA065E"/>
    <w:rsid w:val="1CF56797"/>
    <w:rsid w:val="1CFF34BC"/>
    <w:rsid w:val="1D3249F5"/>
    <w:rsid w:val="1D54318A"/>
    <w:rsid w:val="1D616BDC"/>
    <w:rsid w:val="1D6628F1"/>
    <w:rsid w:val="1D8109E3"/>
    <w:rsid w:val="1D957C03"/>
    <w:rsid w:val="1D9813FF"/>
    <w:rsid w:val="1D9D01F9"/>
    <w:rsid w:val="1DA82F09"/>
    <w:rsid w:val="1DA90BE6"/>
    <w:rsid w:val="1DAC0C4B"/>
    <w:rsid w:val="1DBB6F33"/>
    <w:rsid w:val="1DC2185F"/>
    <w:rsid w:val="1DC2332A"/>
    <w:rsid w:val="1DDB074C"/>
    <w:rsid w:val="1DEC14EF"/>
    <w:rsid w:val="1DEC18D2"/>
    <w:rsid w:val="1E007FD8"/>
    <w:rsid w:val="1E0D344F"/>
    <w:rsid w:val="1E0F4823"/>
    <w:rsid w:val="1E1952EC"/>
    <w:rsid w:val="1E354D21"/>
    <w:rsid w:val="1E3C3A31"/>
    <w:rsid w:val="1E4E202D"/>
    <w:rsid w:val="1E5B0436"/>
    <w:rsid w:val="1E5B6914"/>
    <w:rsid w:val="1E6A3303"/>
    <w:rsid w:val="1E705FA3"/>
    <w:rsid w:val="1E781117"/>
    <w:rsid w:val="1E92106D"/>
    <w:rsid w:val="1E9D23AF"/>
    <w:rsid w:val="1EA23DFC"/>
    <w:rsid w:val="1EA35220"/>
    <w:rsid w:val="1EA54B58"/>
    <w:rsid w:val="1EB26C59"/>
    <w:rsid w:val="1EB75FC4"/>
    <w:rsid w:val="1EBA6901"/>
    <w:rsid w:val="1EBB39DB"/>
    <w:rsid w:val="1EC2449C"/>
    <w:rsid w:val="1EC90FB1"/>
    <w:rsid w:val="1EE53CE9"/>
    <w:rsid w:val="1EEB4A83"/>
    <w:rsid w:val="1EF84A64"/>
    <w:rsid w:val="1EFE665E"/>
    <w:rsid w:val="1F0129A0"/>
    <w:rsid w:val="1F0333B4"/>
    <w:rsid w:val="1F04072F"/>
    <w:rsid w:val="1F106619"/>
    <w:rsid w:val="1F125913"/>
    <w:rsid w:val="1F2B5214"/>
    <w:rsid w:val="1F2F48B1"/>
    <w:rsid w:val="1F3000E0"/>
    <w:rsid w:val="1F3D3B25"/>
    <w:rsid w:val="1F3F1EC5"/>
    <w:rsid w:val="1F52137F"/>
    <w:rsid w:val="1F5373B7"/>
    <w:rsid w:val="1F572DB7"/>
    <w:rsid w:val="1F5814A6"/>
    <w:rsid w:val="1F6F39A8"/>
    <w:rsid w:val="1F7A414E"/>
    <w:rsid w:val="1F8257E5"/>
    <w:rsid w:val="1F8F460B"/>
    <w:rsid w:val="1F9D4294"/>
    <w:rsid w:val="1FA63C56"/>
    <w:rsid w:val="1FB538DF"/>
    <w:rsid w:val="1FC521FC"/>
    <w:rsid w:val="1FD0078A"/>
    <w:rsid w:val="1FD925B8"/>
    <w:rsid w:val="1FE84B38"/>
    <w:rsid w:val="1FE94A68"/>
    <w:rsid w:val="1FF05211"/>
    <w:rsid w:val="1FFF5A95"/>
    <w:rsid w:val="200E0DE0"/>
    <w:rsid w:val="20110087"/>
    <w:rsid w:val="201218DF"/>
    <w:rsid w:val="201C198C"/>
    <w:rsid w:val="201D3642"/>
    <w:rsid w:val="201D6A10"/>
    <w:rsid w:val="201F6C8F"/>
    <w:rsid w:val="20272EEB"/>
    <w:rsid w:val="202C7E22"/>
    <w:rsid w:val="20384A18"/>
    <w:rsid w:val="20464C6E"/>
    <w:rsid w:val="204726BA"/>
    <w:rsid w:val="204C0E05"/>
    <w:rsid w:val="204F08FF"/>
    <w:rsid w:val="20695971"/>
    <w:rsid w:val="206C70EB"/>
    <w:rsid w:val="207001A1"/>
    <w:rsid w:val="208F6602"/>
    <w:rsid w:val="209A6442"/>
    <w:rsid w:val="20A54BD7"/>
    <w:rsid w:val="20C5396B"/>
    <w:rsid w:val="20C61DCC"/>
    <w:rsid w:val="20E65FA8"/>
    <w:rsid w:val="20EA13C5"/>
    <w:rsid w:val="20F00398"/>
    <w:rsid w:val="20F50E9B"/>
    <w:rsid w:val="20FA3A7C"/>
    <w:rsid w:val="20FE7FBE"/>
    <w:rsid w:val="21022D35"/>
    <w:rsid w:val="210963B5"/>
    <w:rsid w:val="2116545B"/>
    <w:rsid w:val="211827FA"/>
    <w:rsid w:val="21240AF9"/>
    <w:rsid w:val="212C6D4C"/>
    <w:rsid w:val="213E79D8"/>
    <w:rsid w:val="21422B8F"/>
    <w:rsid w:val="21476D32"/>
    <w:rsid w:val="216423A3"/>
    <w:rsid w:val="21774677"/>
    <w:rsid w:val="21792311"/>
    <w:rsid w:val="217B7949"/>
    <w:rsid w:val="217C0935"/>
    <w:rsid w:val="21820691"/>
    <w:rsid w:val="21883148"/>
    <w:rsid w:val="218E6104"/>
    <w:rsid w:val="21901B4C"/>
    <w:rsid w:val="219E0004"/>
    <w:rsid w:val="21AD1289"/>
    <w:rsid w:val="21CC1E37"/>
    <w:rsid w:val="21D34FE5"/>
    <w:rsid w:val="21DF02AE"/>
    <w:rsid w:val="21E35C39"/>
    <w:rsid w:val="21E61BFA"/>
    <w:rsid w:val="21E84892"/>
    <w:rsid w:val="21F26229"/>
    <w:rsid w:val="21F42757"/>
    <w:rsid w:val="21F7727A"/>
    <w:rsid w:val="21F91B2F"/>
    <w:rsid w:val="21FD68E3"/>
    <w:rsid w:val="220339B9"/>
    <w:rsid w:val="222120EE"/>
    <w:rsid w:val="22307CA8"/>
    <w:rsid w:val="223E2F45"/>
    <w:rsid w:val="22466F6A"/>
    <w:rsid w:val="22540E99"/>
    <w:rsid w:val="225C7F82"/>
    <w:rsid w:val="226451C1"/>
    <w:rsid w:val="226A71E0"/>
    <w:rsid w:val="226E0B14"/>
    <w:rsid w:val="22716E90"/>
    <w:rsid w:val="22783E7E"/>
    <w:rsid w:val="22787893"/>
    <w:rsid w:val="227E6629"/>
    <w:rsid w:val="22893547"/>
    <w:rsid w:val="22932BD2"/>
    <w:rsid w:val="229C3BF5"/>
    <w:rsid w:val="229F0552"/>
    <w:rsid w:val="22B47DD8"/>
    <w:rsid w:val="22B80F40"/>
    <w:rsid w:val="22B9297A"/>
    <w:rsid w:val="22BA2DC1"/>
    <w:rsid w:val="22BE4A1C"/>
    <w:rsid w:val="22C07FB7"/>
    <w:rsid w:val="22D12F02"/>
    <w:rsid w:val="22D25B7F"/>
    <w:rsid w:val="22DA00BA"/>
    <w:rsid w:val="22DD18A7"/>
    <w:rsid w:val="22E212BD"/>
    <w:rsid w:val="22E958FE"/>
    <w:rsid w:val="22EA2AAB"/>
    <w:rsid w:val="22EE7610"/>
    <w:rsid w:val="22F25367"/>
    <w:rsid w:val="22F7482B"/>
    <w:rsid w:val="230D32A4"/>
    <w:rsid w:val="230F7578"/>
    <w:rsid w:val="23124F20"/>
    <w:rsid w:val="23137077"/>
    <w:rsid w:val="231926ED"/>
    <w:rsid w:val="232B5A8E"/>
    <w:rsid w:val="234154A7"/>
    <w:rsid w:val="234A145C"/>
    <w:rsid w:val="234C5484"/>
    <w:rsid w:val="23517B9F"/>
    <w:rsid w:val="235A229B"/>
    <w:rsid w:val="235D4687"/>
    <w:rsid w:val="23642469"/>
    <w:rsid w:val="23642EEB"/>
    <w:rsid w:val="236A18D9"/>
    <w:rsid w:val="23744C48"/>
    <w:rsid w:val="23877225"/>
    <w:rsid w:val="238B30B1"/>
    <w:rsid w:val="239000C6"/>
    <w:rsid w:val="239E2D93"/>
    <w:rsid w:val="23A138DD"/>
    <w:rsid w:val="23A30099"/>
    <w:rsid w:val="23A54B5C"/>
    <w:rsid w:val="23B0114F"/>
    <w:rsid w:val="23B5274C"/>
    <w:rsid w:val="23C028CA"/>
    <w:rsid w:val="23C55EFB"/>
    <w:rsid w:val="23CE2152"/>
    <w:rsid w:val="23CF7C72"/>
    <w:rsid w:val="23DC1D56"/>
    <w:rsid w:val="23FD4E65"/>
    <w:rsid w:val="2401522B"/>
    <w:rsid w:val="24051263"/>
    <w:rsid w:val="240531D7"/>
    <w:rsid w:val="242B219E"/>
    <w:rsid w:val="2435556B"/>
    <w:rsid w:val="24422B2D"/>
    <w:rsid w:val="24490BD3"/>
    <w:rsid w:val="244F40DF"/>
    <w:rsid w:val="24566550"/>
    <w:rsid w:val="246012A8"/>
    <w:rsid w:val="246F652F"/>
    <w:rsid w:val="24891B61"/>
    <w:rsid w:val="248C6EB7"/>
    <w:rsid w:val="248C70E1"/>
    <w:rsid w:val="249752A8"/>
    <w:rsid w:val="24A87727"/>
    <w:rsid w:val="24AB1CFA"/>
    <w:rsid w:val="24AC2344"/>
    <w:rsid w:val="24AD5BB7"/>
    <w:rsid w:val="24AF354F"/>
    <w:rsid w:val="24C10EDB"/>
    <w:rsid w:val="24C26FA6"/>
    <w:rsid w:val="24C30909"/>
    <w:rsid w:val="24CC56C3"/>
    <w:rsid w:val="24D171E9"/>
    <w:rsid w:val="24ED1FD1"/>
    <w:rsid w:val="25053399"/>
    <w:rsid w:val="25066858"/>
    <w:rsid w:val="25206EC5"/>
    <w:rsid w:val="252A06A8"/>
    <w:rsid w:val="253A3D4D"/>
    <w:rsid w:val="253B28B5"/>
    <w:rsid w:val="25401C79"/>
    <w:rsid w:val="256147DF"/>
    <w:rsid w:val="25771CD4"/>
    <w:rsid w:val="257B6AC7"/>
    <w:rsid w:val="25876119"/>
    <w:rsid w:val="25A50CDD"/>
    <w:rsid w:val="25A91018"/>
    <w:rsid w:val="25B619EE"/>
    <w:rsid w:val="25D12A1F"/>
    <w:rsid w:val="25EA2A1C"/>
    <w:rsid w:val="25FA74DF"/>
    <w:rsid w:val="25FC11F9"/>
    <w:rsid w:val="26046BDA"/>
    <w:rsid w:val="260E0B28"/>
    <w:rsid w:val="26176E7E"/>
    <w:rsid w:val="261B32AB"/>
    <w:rsid w:val="261C3240"/>
    <w:rsid w:val="26420B0E"/>
    <w:rsid w:val="264F525C"/>
    <w:rsid w:val="26555C18"/>
    <w:rsid w:val="266B4E43"/>
    <w:rsid w:val="268D253B"/>
    <w:rsid w:val="268F2EB8"/>
    <w:rsid w:val="26A070A5"/>
    <w:rsid w:val="26A1499A"/>
    <w:rsid w:val="26A20C31"/>
    <w:rsid w:val="26B02C64"/>
    <w:rsid w:val="26B500A6"/>
    <w:rsid w:val="26BC0B56"/>
    <w:rsid w:val="26C73FAE"/>
    <w:rsid w:val="26CF05AC"/>
    <w:rsid w:val="26D058DA"/>
    <w:rsid w:val="26D572EE"/>
    <w:rsid w:val="26E845BD"/>
    <w:rsid w:val="26FD4EBA"/>
    <w:rsid w:val="270F0A30"/>
    <w:rsid w:val="27127645"/>
    <w:rsid w:val="273B76FF"/>
    <w:rsid w:val="273D0B66"/>
    <w:rsid w:val="2742555E"/>
    <w:rsid w:val="27550E8B"/>
    <w:rsid w:val="275A34C6"/>
    <w:rsid w:val="27690144"/>
    <w:rsid w:val="277515FF"/>
    <w:rsid w:val="27815CC1"/>
    <w:rsid w:val="27871B23"/>
    <w:rsid w:val="278C389C"/>
    <w:rsid w:val="278F3061"/>
    <w:rsid w:val="27912249"/>
    <w:rsid w:val="27953232"/>
    <w:rsid w:val="27954F15"/>
    <w:rsid w:val="279D31ED"/>
    <w:rsid w:val="27A801EB"/>
    <w:rsid w:val="27AE3812"/>
    <w:rsid w:val="27B0354C"/>
    <w:rsid w:val="27B131D1"/>
    <w:rsid w:val="27BD3079"/>
    <w:rsid w:val="27C070A1"/>
    <w:rsid w:val="27C75160"/>
    <w:rsid w:val="27C83DAF"/>
    <w:rsid w:val="27CA69A9"/>
    <w:rsid w:val="27D90502"/>
    <w:rsid w:val="27E72880"/>
    <w:rsid w:val="27F13668"/>
    <w:rsid w:val="27FB6ABC"/>
    <w:rsid w:val="280064FF"/>
    <w:rsid w:val="28034C59"/>
    <w:rsid w:val="2806486C"/>
    <w:rsid w:val="28126BBF"/>
    <w:rsid w:val="28137D39"/>
    <w:rsid w:val="28176B07"/>
    <w:rsid w:val="28247FAD"/>
    <w:rsid w:val="282E6701"/>
    <w:rsid w:val="28321D4D"/>
    <w:rsid w:val="283843A9"/>
    <w:rsid w:val="283C2BCC"/>
    <w:rsid w:val="2852520F"/>
    <w:rsid w:val="28A87747"/>
    <w:rsid w:val="28AB01AF"/>
    <w:rsid w:val="28AC23BA"/>
    <w:rsid w:val="28B32269"/>
    <w:rsid w:val="28B5297E"/>
    <w:rsid w:val="28BE6BAC"/>
    <w:rsid w:val="28C0505B"/>
    <w:rsid w:val="28C97E18"/>
    <w:rsid w:val="28CD22D6"/>
    <w:rsid w:val="28F52C88"/>
    <w:rsid w:val="29060039"/>
    <w:rsid w:val="290753A0"/>
    <w:rsid w:val="2916341D"/>
    <w:rsid w:val="29180048"/>
    <w:rsid w:val="29262CF0"/>
    <w:rsid w:val="29282EB2"/>
    <w:rsid w:val="29287ADB"/>
    <w:rsid w:val="29473C48"/>
    <w:rsid w:val="295274DA"/>
    <w:rsid w:val="297970CA"/>
    <w:rsid w:val="29843526"/>
    <w:rsid w:val="298A1827"/>
    <w:rsid w:val="29943B70"/>
    <w:rsid w:val="29962C24"/>
    <w:rsid w:val="29A22F02"/>
    <w:rsid w:val="29A769B3"/>
    <w:rsid w:val="29A9603F"/>
    <w:rsid w:val="29AB1B8D"/>
    <w:rsid w:val="29AB1C97"/>
    <w:rsid w:val="29BD030D"/>
    <w:rsid w:val="29C059A7"/>
    <w:rsid w:val="29CE019B"/>
    <w:rsid w:val="29DB7B0D"/>
    <w:rsid w:val="29E03C81"/>
    <w:rsid w:val="29E72052"/>
    <w:rsid w:val="29E83198"/>
    <w:rsid w:val="29EB5938"/>
    <w:rsid w:val="29EC0453"/>
    <w:rsid w:val="29EF7B3D"/>
    <w:rsid w:val="29F10C31"/>
    <w:rsid w:val="29FD0129"/>
    <w:rsid w:val="2A0E7B13"/>
    <w:rsid w:val="2A1A2158"/>
    <w:rsid w:val="2A1C2CB5"/>
    <w:rsid w:val="2A2042A1"/>
    <w:rsid w:val="2A290553"/>
    <w:rsid w:val="2A2C562E"/>
    <w:rsid w:val="2A2D472D"/>
    <w:rsid w:val="2A382AE6"/>
    <w:rsid w:val="2A3E4F68"/>
    <w:rsid w:val="2A420242"/>
    <w:rsid w:val="2A554670"/>
    <w:rsid w:val="2A574905"/>
    <w:rsid w:val="2A992332"/>
    <w:rsid w:val="2AAE58D7"/>
    <w:rsid w:val="2AB03CC6"/>
    <w:rsid w:val="2ABC7FF4"/>
    <w:rsid w:val="2ACB7716"/>
    <w:rsid w:val="2AD92954"/>
    <w:rsid w:val="2AEA23E1"/>
    <w:rsid w:val="2AFC02B9"/>
    <w:rsid w:val="2AFE5308"/>
    <w:rsid w:val="2B074AEE"/>
    <w:rsid w:val="2B1B52BC"/>
    <w:rsid w:val="2B1C47CD"/>
    <w:rsid w:val="2B1E66A8"/>
    <w:rsid w:val="2B2323F5"/>
    <w:rsid w:val="2B273BD5"/>
    <w:rsid w:val="2B4B32D8"/>
    <w:rsid w:val="2B58712F"/>
    <w:rsid w:val="2B5B0442"/>
    <w:rsid w:val="2B6B1902"/>
    <w:rsid w:val="2B734F3C"/>
    <w:rsid w:val="2B977C2C"/>
    <w:rsid w:val="2B9C479C"/>
    <w:rsid w:val="2B9D033E"/>
    <w:rsid w:val="2BA271EA"/>
    <w:rsid w:val="2BA4419B"/>
    <w:rsid w:val="2BA80EDD"/>
    <w:rsid w:val="2BB7311C"/>
    <w:rsid w:val="2BBE26D6"/>
    <w:rsid w:val="2BC21981"/>
    <w:rsid w:val="2BDC2ADA"/>
    <w:rsid w:val="2BE778B0"/>
    <w:rsid w:val="2BEF1DD7"/>
    <w:rsid w:val="2BFF568F"/>
    <w:rsid w:val="2C0C44E2"/>
    <w:rsid w:val="2C17154E"/>
    <w:rsid w:val="2C1838DF"/>
    <w:rsid w:val="2C1E4F6C"/>
    <w:rsid w:val="2C234DD4"/>
    <w:rsid w:val="2C2A5580"/>
    <w:rsid w:val="2C2B5325"/>
    <w:rsid w:val="2C3D2FC5"/>
    <w:rsid w:val="2C3F0EDD"/>
    <w:rsid w:val="2C4D00EB"/>
    <w:rsid w:val="2C7131C6"/>
    <w:rsid w:val="2C764C8A"/>
    <w:rsid w:val="2C791678"/>
    <w:rsid w:val="2C7C310A"/>
    <w:rsid w:val="2C956D4E"/>
    <w:rsid w:val="2C9F7868"/>
    <w:rsid w:val="2CAE33D0"/>
    <w:rsid w:val="2CBA6D4E"/>
    <w:rsid w:val="2CE5125A"/>
    <w:rsid w:val="2CEC65C4"/>
    <w:rsid w:val="2CFE5A08"/>
    <w:rsid w:val="2D0D7F85"/>
    <w:rsid w:val="2D1265F1"/>
    <w:rsid w:val="2D1B1E56"/>
    <w:rsid w:val="2D1B718F"/>
    <w:rsid w:val="2D207727"/>
    <w:rsid w:val="2D224FAF"/>
    <w:rsid w:val="2D255A57"/>
    <w:rsid w:val="2D2C001B"/>
    <w:rsid w:val="2D306A77"/>
    <w:rsid w:val="2D4A136B"/>
    <w:rsid w:val="2D5337A3"/>
    <w:rsid w:val="2D577C6A"/>
    <w:rsid w:val="2D6730B5"/>
    <w:rsid w:val="2D7B14F4"/>
    <w:rsid w:val="2D845798"/>
    <w:rsid w:val="2D850B71"/>
    <w:rsid w:val="2D8B5FA7"/>
    <w:rsid w:val="2D9300E2"/>
    <w:rsid w:val="2D96495C"/>
    <w:rsid w:val="2D99286E"/>
    <w:rsid w:val="2D9C0952"/>
    <w:rsid w:val="2DAB6951"/>
    <w:rsid w:val="2DAC392A"/>
    <w:rsid w:val="2DB43204"/>
    <w:rsid w:val="2DBE660E"/>
    <w:rsid w:val="2DC013E6"/>
    <w:rsid w:val="2DC51948"/>
    <w:rsid w:val="2DD318EF"/>
    <w:rsid w:val="2DDC6547"/>
    <w:rsid w:val="2DF52D5B"/>
    <w:rsid w:val="2E0454D5"/>
    <w:rsid w:val="2E05197E"/>
    <w:rsid w:val="2E101B70"/>
    <w:rsid w:val="2E21425A"/>
    <w:rsid w:val="2E2E1209"/>
    <w:rsid w:val="2E341332"/>
    <w:rsid w:val="2E3E0814"/>
    <w:rsid w:val="2E470F0E"/>
    <w:rsid w:val="2E4A12CB"/>
    <w:rsid w:val="2E676495"/>
    <w:rsid w:val="2E7368E9"/>
    <w:rsid w:val="2E7755A8"/>
    <w:rsid w:val="2E787A55"/>
    <w:rsid w:val="2E7F2D66"/>
    <w:rsid w:val="2E935EFB"/>
    <w:rsid w:val="2EC0342C"/>
    <w:rsid w:val="2ECD7114"/>
    <w:rsid w:val="2EDF0874"/>
    <w:rsid w:val="2EE51F75"/>
    <w:rsid w:val="2EF57F78"/>
    <w:rsid w:val="2F016D7F"/>
    <w:rsid w:val="2F025A74"/>
    <w:rsid w:val="2F0B55B1"/>
    <w:rsid w:val="2F2A007F"/>
    <w:rsid w:val="2F35284F"/>
    <w:rsid w:val="2F3D1007"/>
    <w:rsid w:val="2F436F36"/>
    <w:rsid w:val="2F4862FA"/>
    <w:rsid w:val="2F5D527A"/>
    <w:rsid w:val="2F6628CB"/>
    <w:rsid w:val="2F6D51D0"/>
    <w:rsid w:val="2F7251B8"/>
    <w:rsid w:val="2F7E44FF"/>
    <w:rsid w:val="2F8C6304"/>
    <w:rsid w:val="2F98789D"/>
    <w:rsid w:val="2FB5672F"/>
    <w:rsid w:val="2FD42024"/>
    <w:rsid w:val="2FEB4849"/>
    <w:rsid w:val="2FEF03F6"/>
    <w:rsid w:val="2FF00B78"/>
    <w:rsid w:val="2FF3051C"/>
    <w:rsid w:val="2FF715B4"/>
    <w:rsid w:val="30000750"/>
    <w:rsid w:val="30025CD4"/>
    <w:rsid w:val="300264A9"/>
    <w:rsid w:val="300415AB"/>
    <w:rsid w:val="300A2C29"/>
    <w:rsid w:val="30267F70"/>
    <w:rsid w:val="302C7292"/>
    <w:rsid w:val="302E5D19"/>
    <w:rsid w:val="303322EC"/>
    <w:rsid w:val="303573E1"/>
    <w:rsid w:val="30391AF4"/>
    <w:rsid w:val="303F75A4"/>
    <w:rsid w:val="30554E86"/>
    <w:rsid w:val="305F3CE6"/>
    <w:rsid w:val="306154F3"/>
    <w:rsid w:val="307B4615"/>
    <w:rsid w:val="30822445"/>
    <w:rsid w:val="308358EB"/>
    <w:rsid w:val="30854247"/>
    <w:rsid w:val="308D4D04"/>
    <w:rsid w:val="30976B8A"/>
    <w:rsid w:val="30A7083C"/>
    <w:rsid w:val="30C04F8D"/>
    <w:rsid w:val="30C15D3F"/>
    <w:rsid w:val="30C348C1"/>
    <w:rsid w:val="30D24E34"/>
    <w:rsid w:val="30D50061"/>
    <w:rsid w:val="30D76D61"/>
    <w:rsid w:val="30D92469"/>
    <w:rsid w:val="30DA3B45"/>
    <w:rsid w:val="30DB3667"/>
    <w:rsid w:val="30E327D8"/>
    <w:rsid w:val="30E84971"/>
    <w:rsid w:val="30EA15B7"/>
    <w:rsid w:val="30F55519"/>
    <w:rsid w:val="30F67D93"/>
    <w:rsid w:val="30FC5E01"/>
    <w:rsid w:val="31184ECC"/>
    <w:rsid w:val="311976D9"/>
    <w:rsid w:val="311D6FB4"/>
    <w:rsid w:val="31273722"/>
    <w:rsid w:val="31300CC0"/>
    <w:rsid w:val="313E37EB"/>
    <w:rsid w:val="3149133D"/>
    <w:rsid w:val="314B11FB"/>
    <w:rsid w:val="314C4209"/>
    <w:rsid w:val="314D0008"/>
    <w:rsid w:val="314D7D8D"/>
    <w:rsid w:val="314E12C4"/>
    <w:rsid w:val="315432A6"/>
    <w:rsid w:val="3156797C"/>
    <w:rsid w:val="31605D30"/>
    <w:rsid w:val="316E44E2"/>
    <w:rsid w:val="317A6513"/>
    <w:rsid w:val="319E7BAE"/>
    <w:rsid w:val="31A062E8"/>
    <w:rsid w:val="31AF6A41"/>
    <w:rsid w:val="31B14C7E"/>
    <w:rsid w:val="31B534FB"/>
    <w:rsid w:val="31B82FE6"/>
    <w:rsid w:val="31B8676D"/>
    <w:rsid w:val="31B9528D"/>
    <w:rsid w:val="31C9748E"/>
    <w:rsid w:val="31CD4FBE"/>
    <w:rsid w:val="31CE475B"/>
    <w:rsid w:val="31CF248B"/>
    <w:rsid w:val="31D26A1F"/>
    <w:rsid w:val="31E41E8A"/>
    <w:rsid w:val="31EB0D0B"/>
    <w:rsid w:val="31EB52C2"/>
    <w:rsid w:val="31EC0C98"/>
    <w:rsid w:val="31EC7A41"/>
    <w:rsid w:val="32036451"/>
    <w:rsid w:val="321C6378"/>
    <w:rsid w:val="321C7D2E"/>
    <w:rsid w:val="32200619"/>
    <w:rsid w:val="323B45FC"/>
    <w:rsid w:val="32501F2B"/>
    <w:rsid w:val="32516985"/>
    <w:rsid w:val="32583592"/>
    <w:rsid w:val="3264223F"/>
    <w:rsid w:val="326C3252"/>
    <w:rsid w:val="32727A66"/>
    <w:rsid w:val="32760700"/>
    <w:rsid w:val="32881893"/>
    <w:rsid w:val="32A41EE5"/>
    <w:rsid w:val="32AC7C0C"/>
    <w:rsid w:val="32B91683"/>
    <w:rsid w:val="32CA32AD"/>
    <w:rsid w:val="32E06949"/>
    <w:rsid w:val="32E23EE8"/>
    <w:rsid w:val="32E60304"/>
    <w:rsid w:val="32FB781C"/>
    <w:rsid w:val="33060513"/>
    <w:rsid w:val="331111DC"/>
    <w:rsid w:val="3311160D"/>
    <w:rsid w:val="33131CF1"/>
    <w:rsid w:val="331B05B7"/>
    <w:rsid w:val="331C5009"/>
    <w:rsid w:val="3346525D"/>
    <w:rsid w:val="334C427A"/>
    <w:rsid w:val="33553607"/>
    <w:rsid w:val="33605317"/>
    <w:rsid w:val="3360580F"/>
    <w:rsid w:val="33656111"/>
    <w:rsid w:val="336A0240"/>
    <w:rsid w:val="336B5A1C"/>
    <w:rsid w:val="3375676A"/>
    <w:rsid w:val="337A712F"/>
    <w:rsid w:val="3388317A"/>
    <w:rsid w:val="338D4446"/>
    <w:rsid w:val="338F5796"/>
    <w:rsid w:val="339D3D83"/>
    <w:rsid w:val="33A57505"/>
    <w:rsid w:val="33A627D4"/>
    <w:rsid w:val="33B62AF0"/>
    <w:rsid w:val="33C021B7"/>
    <w:rsid w:val="33C366C2"/>
    <w:rsid w:val="33CE5590"/>
    <w:rsid w:val="33E22FE4"/>
    <w:rsid w:val="33EB1F16"/>
    <w:rsid w:val="33F00D0E"/>
    <w:rsid w:val="33F535CC"/>
    <w:rsid w:val="341721CA"/>
    <w:rsid w:val="341B3FDD"/>
    <w:rsid w:val="3429270D"/>
    <w:rsid w:val="343154B4"/>
    <w:rsid w:val="34326223"/>
    <w:rsid w:val="3457360B"/>
    <w:rsid w:val="345B262C"/>
    <w:rsid w:val="3473713C"/>
    <w:rsid w:val="348A6130"/>
    <w:rsid w:val="3490176E"/>
    <w:rsid w:val="34A23F7D"/>
    <w:rsid w:val="34A279CE"/>
    <w:rsid w:val="34A940DB"/>
    <w:rsid w:val="34BB2B12"/>
    <w:rsid w:val="34CB5171"/>
    <w:rsid w:val="34D4157C"/>
    <w:rsid w:val="34D93FB6"/>
    <w:rsid w:val="34EF1FB6"/>
    <w:rsid w:val="34F064DC"/>
    <w:rsid w:val="34F36D08"/>
    <w:rsid w:val="34F56FB6"/>
    <w:rsid w:val="34FC0E58"/>
    <w:rsid w:val="35023653"/>
    <w:rsid w:val="350A48F4"/>
    <w:rsid w:val="35152680"/>
    <w:rsid w:val="35257A4F"/>
    <w:rsid w:val="352D7F3C"/>
    <w:rsid w:val="35322A25"/>
    <w:rsid w:val="35365552"/>
    <w:rsid w:val="3537307C"/>
    <w:rsid w:val="353B6429"/>
    <w:rsid w:val="353C2D8E"/>
    <w:rsid w:val="35442B98"/>
    <w:rsid w:val="35502042"/>
    <w:rsid w:val="35564277"/>
    <w:rsid w:val="35573394"/>
    <w:rsid w:val="3560099A"/>
    <w:rsid w:val="35677EEE"/>
    <w:rsid w:val="356B2ED3"/>
    <w:rsid w:val="357C4F4F"/>
    <w:rsid w:val="358142E3"/>
    <w:rsid w:val="35833D31"/>
    <w:rsid w:val="359A53D6"/>
    <w:rsid w:val="35A10846"/>
    <w:rsid w:val="35A67A52"/>
    <w:rsid w:val="35AB6694"/>
    <w:rsid w:val="35B07837"/>
    <w:rsid w:val="35B9585C"/>
    <w:rsid w:val="35BA6F50"/>
    <w:rsid w:val="35C12B22"/>
    <w:rsid w:val="35CD09D3"/>
    <w:rsid w:val="35D33384"/>
    <w:rsid w:val="35D366D7"/>
    <w:rsid w:val="35E0631F"/>
    <w:rsid w:val="35E813C1"/>
    <w:rsid w:val="35F80872"/>
    <w:rsid w:val="360676D3"/>
    <w:rsid w:val="360F0ABD"/>
    <w:rsid w:val="361207E1"/>
    <w:rsid w:val="361929CE"/>
    <w:rsid w:val="361E1B63"/>
    <w:rsid w:val="36312FE4"/>
    <w:rsid w:val="36317AE8"/>
    <w:rsid w:val="36321D25"/>
    <w:rsid w:val="363D114E"/>
    <w:rsid w:val="364902C4"/>
    <w:rsid w:val="36534663"/>
    <w:rsid w:val="366006F2"/>
    <w:rsid w:val="367C2510"/>
    <w:rsid w:val="36822795"/>
    <w:rsid w:val="368B6363"/>
    <w:rsid w:val="368C664C"/>
    <w:rsid w:val="3694104C"/>
    <w:rsid w:val="36AD080D"/>
    <w:rsid w:val="36BB29AE"/>
    <w:rsid w:val="36E50F24"/>
    <w:rsid w:val="36E62FC7"/>
    <w:rsid w:val="36F60227"/>
    <w:rsid w:val="370065CF"/>
    <w:rsid w:val="370253CB"/>
    <w:rsid w:val="37046FAB"/>
    <w:rsid w:val="37173487"/>
    <w:rsid w:val="3719522C"/>
    <w:rsid w:val="37213FFA"/>
    <w:rsid w:val="37271FD5"/>
    <w:rsid w:val="372D03BC"/>
    <w:rsid w:val="372F61A0"/>
    <w:rsid w:val="37365B97"/>
    <w:rsid w:val="373830F8"/>
    <w:rsid w:val="37476798"/>
    <w:rsid w:val="375A590F"/>
    <w:rsid w:val="37691596"/>
    <w:rsid w:val="3772138A"/>
    <w:rsid w:val="377251A5"/>
    <w:rsid w:val="37734ECD"/>
    <w:rsid w:val="377C2F08"/>
    <w:rsid w:val="37822312"/>
    <w:rsid w:val="379A16BD"/>
    <w:rsid w:val="379C6CAB"/>
    <w:rsid w:val="37B22EAA"/>
    <w:rsid w:val="37CB20FD"/>
    <w:rsid w:val="37DF17C6"/>
    <w:rsid w:val="37E4128A"/>
    <w:rsid w:val="37EB63BD"/>
    <w:rsid w:val="37F60FE9"/>
    <w:rsid w:val="38071A95"/>
    <w:rsid w:val="3814696E"/>
    <w:rsid w:val="38232A04"/>
    <w:rsid w:val="38346523"/>
    <w:rsid w:val="383A7598"/>
    <w:rsid w:val="38404012"/>
    <w:rsid w:val="384B0ABF"/>
    <w:rsid w:val="384D707C"/>
    <w:rsid w:val="38635AD8"/>
    <w:rsid w:val="38641010"/>
    <w:rsid w:val="38655460"/>
    <w:rsid w:val="387C450E"/>
    <w:rsid w:val="388100FC"/>
    <w:rsid w:val="38901DFB"/>
    <w:rsid w:val="38905267"/>
    <w:rsid w:val="389D060A"/>
    <w:rsid w:val="38A02B21"/>
    <w:rsid w:val="38A3018A"/>
    <w:rsid w:val="38AB1E3C"/>
    <w:rsid w:val="38AD5420"/>
    <w:rsid w:val="38B241BE"/>
    <w:rsid w:val="38BB0572"/>
    <w:rsid w:val="38C24C71"/>
    <w:rsid w:val="38C755A7"/>
    <w:rsid w:val="38D4425E"/>
    <w:rsid w:val="38DA0471"/>
    <w:rsid w:val="38F02E00"/>
    <w:rsid w:val="38F37B1F"/>
    <w:rsid w:val="3905086C"/>
    <w:rsid w:val="390F0DA7"/>
    <w:rsid w:val="392140C6"/>
    <w:rsid w:val="392A081F"/>
    <w:rsid w:val="39401395"/>
    <w:rsid w:val="39514782"/>
    <w:rsid w:val="3952354C"/>
    <w:rsid w:val="395A6CDB"/>
    <w:rsid w:val="39732A8A"/>
    <w:rsid w:val="397C7961"/>
    <w:rsid w:val="39952127"/>
    <w:rsid w:val="399E7599"/>
    <w:rsid w:val="39A11AC5"/>
    <w:rsid w:val="39BE663C"/>
    <w:rsid w:val="39BE7D7E"/>
    <w:rsid w:val="39C87A91"/>
    <w:rsid w:val="39E14844"/>
    <w:rsid w:val="39E369D3"/>
    <w:rsid w:val="39F674D4"/>
    <w:rsid w:val="39F73336"/>
    <w:rsid w:val="39F8731B"/>
    <w:rsid w:val="39FA17BE"/>
    <w:rsid w:val="3A023ED5"/>
    <w:rsid w:val="3A0415D0"/>
    <w:rsid w:val="3A0B1AD6"/>
    <w:rsid w:val="3A114C4C"/>
    <w:rsid w:val="3A2A6DEC"/>
    <w:rsid w:val="3A311447"/>
    <w:rsid w:val="3A6366DE"/>
    <w:rsid w:val="3A695433"/>
    <w:rsid w:val="3A6974C1"/>
    <w:rsid w:val="3A6D6C4E"/>
    <w:rsid w:val="3A6E700C"/>
    <w:rsid w:val="3A9205F5"/>
    <w:rsid w:val="3A956EAD"/>
    <w:rsid w:val="3A997B24"/>
    <w:rsid w:val="3AA27206"/>
    <w:rsid w:val="3AB154CE"/>
    <w:rsid w:val="3ABC194A"/>
    <w:rsid w:val="3AC141AD"/>
    <w:rsid w:val="3AC7206B"/>
    <w:rsid w:val="3AD56C69"/>
    <w:rsid w:val="3ADB0022"/>
    <w:rsid w:val="3AED2549"/>
    <w:rsid w:val="3AEE3AB0"/>
    <w:rsid w:val="3B002466"/>
    <w:rsid w:val="3B071129"/>
    <w:rsid w:val="3B11633E"/>
    <w:rsid w:val="3B354076"/>
    <w:rsid w:val="3B470A1F"/>
    <w:rsid w:val="3B490B1A"/>
    <w:rsid w:val="3B4E6A46"/>
    <w:rsid w:val="3B530F4B"/>
    <w:rsid w:val="3B5B2503"/>
    <w:rsid w:val="3B5D4473"/>
    <w:rsid w:val="3B620744"/>
    <w:rsid w:val="3B653901"/>
    <w:rsid w:val="3B7C54A2"/>
    <w:rsid w:val="3B954675"/>
    <w:rsid w:val="3BA448B8"/>
    <w:rsid w:val="3BA7205E"/>
    <w:rsid w:val="3BA8263A"/>
    <w:rsid w:val="3BAB2A3E"/>
    <w:rsid w:val="3BB30D8B"/>
    <w:rsid w:val="3BDF2A6C"/>
    <w:rsid w:val="3BEC4B44"/>
    <w:rsid w:val="3BF4702A"/>
    <w:rsid w:val="3BFB0B40"/>
    <w:rsid w:val="3C0273B0"/>
    <w:rsid w:val="3C0A3A7E"/>
    <w:rsid w:val="3C0F0104"/>
    <w:rsid w:val="3C12216A"/>
    <w:rsid w:val="3C1B1007"/>
    <w:rsid w:val="3C226618"/>
    <w:rsid w:val="3C2A4E51"/>
    <w:rsid w:val="3C3F0A85"/>
    <w:rsid w:val="3C483CB4"/>
    <w:rsid w:val="3C4B11D8"/>
    <w:rsid w:val="3C5969E7"/>
    <w:rsid w:val="3C686BF7"/>
    <w:rsid w:val="3C6E3BE7"/>
    <w:rsid w:val="3C7D2976"/>
    <w:rsid w:val="3C7F59E2"/>
    <w:rsid w:val="3C8A14E8"/>
    <w:rsid w:val="3C8B6D7C"/>
    <w:rsid w:val="3CAB7BCD"/>
    <w:rsid w:val="3CC5690A"/>
    <w:rsid w:val="3CD36AB8"/>
    <w:rsid w:val="3CDD2778"/>
    <w:rsid w:val="3CEA5BDE"/>
    <w:rsid w:val="3CF078B7"/>
    <w:rsid w:val="3CF86FF5"/>
    <w:rsid w:val="3D000214"/>
    <w:rsid w:val="3D0474C3"/>
    <w:rsid w:val="3D0A4BA5"/>
    <w:rsid w:val="3D101A2B"/>
    <w:rsid w:val="3D2E0C02"/>
    <w:rsid w:val="3D304DF8"/>
    <w:rsid w:val="3D45293D"/>
    <w:rsid w:val="3D682B11"/>
    <w:rsid w:val="3D6E186A"/>
    <w:rsid w:val="3D6F341F"/>
    <w:rsid w:val="3D744ACE"/>
    <w:rsid w:val="3D745D58"/>
    <w:rsid w:val="3D773539"/>
    <w:rsid w:val="3D8C47F7"/>
    <w:rsid w:val="3D901772"/>
    <w:rsid w:val="3D921001"/>
    <w:rsid w:val="3D97259F"/>
    <w:rsid w:val="3D98044D"/>
    <w:rsid w:val="3DA23CA3"/>
    <w:rsid w:val="3DA816A8"/>
    <w:rsid w:val="3DB73026"/>
    <w:rsid w:val="3DBA7971"/>
    <w:rsid w:val="3DC01A0D"/>
    <w:rsid w:val="3DCA1F95"/>
    <w:rsid w:val="3DCF7160"/>
    <w:rsid w:val="3DD93A54"/>
    <w:rsid w:val="3DE54CC2"/>
    <w:rsid w:val="3DE852E9"/>
    <w:rsid w:val="3DF42303"/>
    <w:rsid w:val="3E027FBC"/>
    <w:rsid w:val="3E077787"/>
    <w:rsid w:val="3E0A0FE6"/>
    <w:rsid w:val="3E1321C9"/>
    <w:rsid w:val="3E275720"/>
    <w:rsid w:val="3E275775"/>
    <w:rsid w:val="3E295A9C"/>
    <w:rsid w:val="3E2A01F6"/>
    <w:rsid w:val="3E4375C0"/>
    <w:rsid w:val="3E626650"/>
    <w:rsid w:val="3E6719E5"/>
    <w:rsid w:val="3E757797"/>
    <w:rsid w:val="3E9474CD"/>
    <w:rsid w:val="3EB06326"/>
    <w:rsid w:val="3EB46785"/>
    <w:rsid w:val="3EBA27AC"/>
    <w:rsid w:val="3EC72B22"/>
    <w:rsid w:val="3ECA3D26"/>
    <w:rsid w:val="3EDA1C30"/>
    <w:rsid w:val="3EEE29D8"/>
    <w:rsid w:val="3EF11BD5"/>
    <w:rsid w:val="3F0C48A0"/>
    <w:rsid w:val="3F192DEA"/>
    <w:rsid w:val="3F1E048E"/>
    <w:rsid w:val="3F2060A9"/>
    <w:rsid w:val="3F276497"/>
    <w:rsid w:val="3F2859A4"/>
    <w:rsid w:val="3F3D2D77"/>
    <w:rsid w:val="3F485824"/>
    <w:rsid w:val="3F4A00E7"/>
    <w:rsid w:val="3F502383"/>
    <w:rsid w:val="3F5142BC"/>
    <w:rsid w:val="3F5623A1"/>
    <w:rsid w:val="3F5A6F94"/>
    <w:rsid w:val="3F620137"/>
    <w:rsid w:val="3F663BD0"/>
    <w:rsid w:val="3F6F29E4"/>
    <w:rsid w:val="3F732F1F"/>
    <w:rsid w:val="3F736E8A"/>
    <w:rsid w:val="3F85387F"/>
    <w:rsid w:val="3F902B29"/>
    <w:rsid w:val="3FA3204F"/>
    <w:rsid w:val="3FA92975"/>
    <w:rsid w:val="3FAA26B9"/>
    <w:rsid w:val="3FB525D4"/>
    <w:rsid w:val="3FCA14CC"/>
    <w:rsid w:val="3FCE0992"/>
    <w:rsid w:val="3FDB2873"/>
    <w:rsid w:val="3FDE180D"/>
    <w:rsid w:val="3FE37C04"/>
    <w:rsid w:val="3FE576C8"/>
    <w:rsid w:val="3FF43934"/>
    <w:rsid w:val="3FF71FCF"/>
    <w:rsid w:val="3FFC7114"/>
    <w:rsid w:val="40022581"/>
    <w:rsid w:val="40022643"/>
    <w:rsid w:val="400B3697"/>
    <w:rsid w:val="401069C0"/>
    <w:rsid w:val="40107986"/>
    <w:rsid w:val="401C7D85"/>
    <w:rsid w:val="401D6836"/>
    <w:rsid w:val="402E5098"/>
    <w:rsid w:val="40325F76"/>
    <w:rsid w:val="40444EDF"/>
    <w:rsid w:val="404B6162"/>
    <w:rsid w:val="404F4EEB"/>
    <w:rsid w:val="40524625"/>
    <w:rsid w:val="40567A9F"/>
    <w:rsid w:val="405C51AD"/>
    <w:rsid w:val="405E259B"/>
    <w:rsid w:val="406008D5"/>
    <w:rsid w:val="40732947"/>
    <w:rsid w:val="40752CC7"/>
    <w:rsid w:val="40763E53"/>
    <w:rsid w:val="4081166C"/>
    <w:rsid w:val="40885594"/>
    <w:rsid w:val="40A52592"/>
    <w:rsid w:val="40A62D17"/>
    <w:rsid w:val="40AC406D"/>
    <w:rsid w:val="40C20C2B"/>
    <w:rsid w:val="40C252AD"/>
    <w:rsid w:val="40C95394"/>
    <w:rsid w:val="40D014FF"/>
    <w:rsid w:val="40D84227"/>
    <w:rsid w:val="40D90818"/>
    <w:rsid w:val="40DA0AB8"/>
    <w:rsid w:val="40DB15EA"/>
    <w:rsid w:val="40F349F8"/>
    <w:rsid w:val="41071D82"/>
    <w:rsid w:val="41132218"/>
    <w:rsid w:val="411A7C04"/>
    <w:rsid w:val="411C1641"/>
    <w:rsid w:val="412129BE"/>
    <w:rsid w:val="412529CF"/>
    <w:rsid w:val="41265F8E"/>
    <w:rsid w:val="41290ABA"/>
    <w:rsid w:val="4131466B"/>
    <w:rsid w:val="413606A8"/>
    <w:rsid w:val="413829CF"/>
    <w:rsid w:val="415450C7"/>
    <w:rsid w:val="41705095"/>
    <w:rsid w:val="417E2E17"/>
    <w:rsid w:val="41883E0D"/>
    <w:rsid w:val="418A3EBD"/>
    <w:rsid w:val="418F4307"/>
    <w:rsid w:val="4190081B"/>
    <w:rsid w:val="4191796A"/>
    <w:rsid w:val="419400DA"/>
    <w:rsid w:val="41944DB8"/>
    <w:rsid w:val="419B675D"/>
    <w:rsid w:val="41B130EF"/>
    <w:rsid w:val="41B7738D"/>
    <w:rsid w:val="41BB0D8A"/>
    <w:rsid w:val="41D36608"/>
    <w:rsid w:val="41E35051"/>
    <w:rsid w:val="4208015B"/>
    <w:rsid w:val="421B1192"/>
    <w:rsid w:val="422F21B8"/>
    <w:rsid w:val="42336996"/>
    <w:rsid w:val="4242119A"/>
    <w:rsid w:val="42487693"/>
    <w:rsid w:val="42523157"/>
    <w:rsid w:val="426C1EA8"/>
    <w:rsid w:val="42723962"/>
    <w:rsid w:val="427C7633"/>
    <w:rsid w:val="428A124B"/>
    <w:rsid w:val="428C108B"/>
    <w:rsid w:val="428C6591"/>
    <w:rsid w:val="428E4CC2"/>
    <w:rsid w:val="42A33B1C"/>
    <w:rsid w:val="42AE426E"/>
    <w:rsid w:val="42B06238"/>
    <w:rsid w:val="42C67A3A"/>
    <w:rsid w:val="42CE7B81"/>
    <w:rsid w:val="42D23F31"/>
    <w:rsid w:val="42D36B5F"/>
    <w:rsid w:val="42E15E80"/>
    <w:rsid w:val="42E51B9C"/>
    <w:rsid w:val="42EE559C"/>
    <w:rsid w:val="42EF1BD0"/>
    <w:rsid w:val="42F27EC6"/>
    <w:rsid w:val="42F868E9"/>
    <w:rsid w:val="431D7124"/>
    <w:rsid w:val="432664FB"/>
    <w:rsid w:val="433413E4"/>
    <w:rsid w:val="43354665"/>
    <w:rsid w:val="43427D34"/>
    <w:rsid w:val="43532CD9"/>
    <w:rsid w:val="4358262B"/>
    <w:rsid w:val="43686504"/>
    <w:rsid w:val="436A3505"/>
    <w:rsid w:val="43753273"/>
    <w:rsid w:val="43864B7F"/>
    <w:rsid w:val="43866A2B"/>
    <w:rsid w:val="438A6288"/>
    <w:rsid w:val="439216B6"/>
    <w:rsid w:val="43AD2A8E"/>
    <w:rsid w:val="43B642A2"/>
    <w:rsid w:val="43BA01CE"/>
    <w:rsid w:val="43CB6F2F"/>
    <w:rsid w:val="43E07E5B"/>
    <w:rsid w:val="43E41F85"/>
    <w:rsid w:val="43F54DA9"/>
    <w:rsid w:val="44047339"/>
    <w:rsid w:val="441427F7"/>
    <w:rsid w:val="441C21E9"/>
    <w:rsid w:val="442F0DCA"/>
    <w:rsid w:val="4435005E"/>
    <w:rsid w:val="443E4836"/>
    <w:rsid w:val="444621E3"/>
    <w:rsid w:val="44502C84"/>
    <w:rsid w:val="44504AC9"/>
    <w:rsid w:val="44566ACA"/>
    <w:rsid w:val="446210E3"/>
    <w:rsid w:val="44694196"/>
    <w:rsid w:val="4473751E"/>
    <w:rsid w:val="44880BF4"/>
    <w:rsid w:val="448F2097"/>
    <w:rsid w:val="44932576"/>
    <w:rsid w:val="44940A78"/>
    <w:rsid w:val="4495527A"/>
    <w:rsid w:val="449C7512"/>
    <w:rsid w:val="44A818BD"/>
    <w:rsid w:val="44B241DF"/>
    <w:rsid w:val="44B279A1"/>
    <w:rsid w:val="44B348B9"/>
    <w:rsid w:val="44D51485"/>
    <w:rsid w:val="44D93DC8"/>
    <w:rsid w:val="44DC0DDA"/>
    <w:rsid w:val="44DC6E8B"/>
    <w:rsid w:val="44E001FA"/>
    <w:rsid w:val="44E26451"/>
    <w:rsid w:val="44EC107E"/>
    <w:rsid w:val="44FC7572"/>
    <w:rsid w:val="45036AF3"/>
    <w:rsid w:val="450378A3"/>
    <w:rsid w:val="45240F3A"/>
    <w:rsid w:val="453500F6"/>
    <w:rsid w:val="4537679D"/>
    <w:rsid w:val="454707D3"/>
    <w:rsid w:val="45486928"/>
    <w:rsid w:val="454A165D"/>
    <w:rsid w:val="454B634D"/>
    <w:rsid w:val="454C46DE"/>
    <w:rsid w:val="4550618E"/>
    <w:rsid w:val="455530C7"/>
    <w:rsid w:val="455776FF"/>
    <w:rsid w:val="4561484F"/>
    <w:rsid w:val="456D032F"/>
    <w:rsid w:val="456F4AAB"/>
    <w:rsid w:val="456F5C60"/>
    <w:rsid w:val="45781BF7"/>
    <w:rsid w:val="45800144"/>
    <w:rsid w:val="458F6681"/>
    <w:rsid w:val="4593709B"/>
    <w:rsid w:val="459B6204"/>
    <w:rsid w:val="459E43BC"/>
    <w:rsid w:val="45A100BA"/>
    <w:rsid w:val="45AB11E6"/>
    <w:rsid w:val="45AF2D0D"/>
    <w:rsid w:val="45B2136C"/>
    <w:rsid w:val="45B75688"/>
    <w:rsid w:val="45BC3439"/>
    <w:rsid w:val="45CE7C7F"/>
    <w:rsid w:val="45DD0E95"/>
    <w:rsid w:val="45DF0AAF"/>
    <w:rsid w:val="45F410EA"/>
    <w:rsid w:val="45FE72BB"/>
    <w:rsid w:val="45FF0B28"/>
    <w:rsid w:val="46090046"/>
    <w:rsid w:val="462822BE"/>
    <w:rsid w:val="46417614"/>
    <w:rsid w:val="464421C6"/>
    <w:rsid w:val="46596BDE"/>
    <w:rsid w:val="466E2692"/>
    <w:rsid w:val="4677696F"/>
    <w:rsid w:val="467C769E"/>
    <w:rsid w:val="46B91F5B"/>
    <w:rsid w:val="46BB23EE"/>
    <w:rsid w:val="46C90A65"/>
    <w:rsid w:val="46E414B0"/>
    <w:rsid w:val="46F37769"/>
    <w:rsid w:val="46F80B50"/>
    <w:rsid w:val="46F93186"/>
    <w:rsid w:val="471C13D1"/>
    <w:rsid w:val="47240FA3"/>
    <w:rsid w:val="4732546E"/>
    <w:rsid w:val="47394935"/>
    <w:rsid w:val="473D3E13"/>
    <w:rsid w:val="473E4FB6"/>
    <w:rsid w:val="474521F3"/>
    <w:rsid w:val="474E68CD"/>
    <w:rsid w:val="475967BE"/>
    <w:rsid w:val="475C4D82"/>
    <w:rsid w:val="47615C8A"/>
    <w:rsid w:val="476400B1"/>
    <w:rsid w:val="47793B54"/>
    <w:rsid w:val="47AA66DF"/>
    <w:rsid w:val="47AF38F9"/>
    <w:rsid w:val="47B45D9F"/>
    <w:rsid w:val="47B65431"/>
    <w:rsid w:val="47B976A3"/>
    <w:rsid w:val="47C04867"/>
    <w:rsid w:val="47C75461"/>
    <w:rsid w:val="47C75FF7"/>
    <w:rsid w:val="47F0062A"/>
    <w:rsid w:val="47F17FBF"/>
    <w:rsid w:val="480458A2"/>
    <w:rsid w:val="48156107"/>
    <w:rsid w:val="48184F77"/>
    <w:rsid w:val="481B23A6"/>
    <w:rsid w:val="48225851"/>
    <w:rsid w:val="482B60A5"/>
    <w:rsid w:val="48361264"/>
    <w:rsid w:val="483A0DD5"/>
    <w:rsid w:val="4845527F"/>
    <w:rsid w:val="48481FDB"/>
    <w:rsid w:val="484C7DA0"/>
    <w:rsid w:val="484E5488"/>
    <w:rsid w:val="48555E0B"/>
    <w:rsid w:val="48557C15"/>
    <w:rsid w:val="4879413B"/>
    <w:rsid w:val="4882498D"/>
    <w:rsid w:val="48994F34"/>
    <w:rsid w:val="48A93BEB"/>
    <w:rsid w:val="48AB454B"/>
    <w:rsid w:val="48B14AB8"/>
    <w:rsid w:val="48C260EC"/>
    <w:rsid w:val="48C93BB0"/>
    <w:rsid w:val="48D8126B"/>
    <w:rsid w:val="48D8371F"/>
    <w:rsid w:val="48DD3865"/>
    <w:rsid w:val="48E35405"/>
    <w:rsid w:val="48F23D2A"/>
    <w:rsid w:val="48FD7CFE"/>
    <w:rsid w:val="490222B2"/>
    <w:rsid w:val="49030E7D"/>
    <w:rsid w:val="490B53CC"/>
    <w:rsid w:val="49181184"/>
    <w:rsid w:val="49194EAE"/>
    <w:rsid w:val="49215B20"/>
    <w:rsid w:val="493F6BB3"/>
    <w:rsid w:val="496635E0"/>
    <w:rsid w:val="496B5E93"/>
    <w:rsid w:val="4986055F"/>
    <w:rsid w:val="49983143"/>
    <w:rsid w:val="499B2C75"/>
    <w:rsid w:val="49A5629F"/>
    <w:rsid w:val="49A85EBB"/>
    <w:rsid w:val="49AD243B"/>
    <w:rsid w:val="49AD7B43"/>
    <w:rsid w:val="49B44860"/>
    <w:rsid w:val="49B63A4D"/>
    <w:rsid w:val="49BC1967"/>
    <w:rsid w:val="49BE56DF"/>
    <w:rsid w:val="49C116DE"/>
    <w:rsid w:val="49D942C7"/>
    <w:rsid w:val="49E43F90"/>
    <w:rsid w:val="49EA3AD9"/>
    <w:rsid w:val="4A0142CD"/>
    <w:rsid w:val="4A044A7D"/>
    <w:rsid w:val="4A0677FF"/>
    <w:rsid w:val="4A2B73D2"/>
    <w:rsid w:val="4A507BBC"/>
    <w:rsid w:val="4A541E8B"/>
    <w:rsid w:val="4A632F49"/>
    <w:rsid w:val="4A67125C"/>
    <w:rsid w:val="4A734051"/>
    <w:rsid w:val="4A74461E"/>
    <w:rsid w:val="4A75566D"/>
    <w:rsid w:val="4A7F5C8C"/>
    <w:rsid w:val="4A8473A9"/>
    <w:rsid w:val="4A8C1749"/>
    <w:rsid w:val="4A96082F"/>
    <w:rsid w:val="4AB50EF8"/>
    <w:rsid w:val="4ABF134A"/>
    <w:rsid w:val="4AC004FA"/>
    <w:rsid w:val="4AC40C1D"/>
    <w:rsid w:val="4AC510C3"/>
    <w:rsid w:val="4ACA1E61"/>
    <w:rsid w:val="4ACA53F3"/>
    <w:rsid w:val="4ACC5C2B"/>
    <w:rsid w:val="4ADC6717"/>
    <w:rsid w:val="4ADE012D"/>
    <w:rsid w:val="4ADE30C5"/>
    <w:rsid w:val="4AF25DEC"/>
    <w:rsid w:val="4AFC1DD3"/>
    <w:rsid w:val="4AFF5FAF"/>
    <w:rsid w:val="4B000DD0"/>
    <w:rsid w:val="4B006984"/>
    <w:rsid w:val="4B0428BF"/>
    <w:rsid w:val="4B052265"/>
    <w:rsid w:val="4B0769D2"/>
    <w:rsid w:val="4B245750"/>
    <w:rsid w:val="4B245A16"/>
    <w:rsid w:val="4B396CF6"/>
    <w:rsid w:val="4B3F63AB"/>
    <w:rsid w:val="4B6265E8"/>
    <w:rsid w:val="4B76367E"/>
    <w:rsid w:val="4B84176D"/>
    <w:rsid w:val="4B89364C"/>
    <w:rsid w:val="4B9864E5"/>
    <w:rsid w:val="4BB93DB5"/>
    <w:rsid w:val="4BBA5B9E"/>
    <w:rsid w:val="4BC5411E"/>
    <w:rsid w:val="4BE62F7B"/>
    <w:rsid w:val="4BEA2244"/>
    <w:rsid w:val="4BEB3285"/>
    <w:rsid w:val="4BEC797C"/>
    <w:rsid w:val="4BFA762B"/>
    <w:rsid w:val="4BFD463A"/>
    <w:rsid w:val="4C2819DD"/>
    <w:rsid w:val="4C2856CD"/>
    <w:rsid w:val="4C2E3820"/>
    <w:rsid w:val="4C355012"/>
    <w:rsid w:val="4C37169F"/>
    <w:rsid w:val="4C3A7EDE"/>
    <w:rsid w:val="4C511514"/>
    <w:rsid w:val="4C56286C"/>
    <w:rsid w:val="4C691B4C"/>
    <w:rsid w:val="4C8229F4"/>
    <w:rsid w:val="4C824783"/>
    <w:rsid w:val="4C907137"/>
    <w:rsid w:val="4CA90247"/>
    <w:rsid w:val="4CB233C7"/>
    <w:rsid w:val="4CC400A0"/>
    <w:rsid w:val="4CC52234"/>
    <w:rsid w:val="4CCA5ABE"/>
    <w:rsid w:val="4CCA64B9"/>
    <w:rsid w:val="4CF21C78"/>
    <w:rsid w:val="4CF76A3F"/>
    <w:rsid w:val="4D082B5C"/>
    <w:rsid w:val="4D21094F"/>
    <w:rsid w:val="4D2C1B60"/>
    <w:rsid w:val="4D2F0C57"/>
    <w:rsid w:val="4D332396"/>
    <w:rsid w:val="4D561ADF"/>
    <w:rsid w:val="4D5E016F"/>
    <w:rsid w:val="4D6E4D26"/>
    <w:rsid w:val="4D7B2A09"/>
    <w:rsid w:val="4D7D4FD0"/>
    <w:rsid w:val="4D7E13AA"/>
    <w:rsid w:val="4D815190"/>
    <w:rsid w:val="4D85011B"/>
    <w:rsid w:val="4D8773EE"/>
    <w:rsid w:val="4D8C338F"/>
    <w:rsid w:val="4D9C0C45"/>
    <w:rsid w:val="4DA42E3E"/>
    <w:rsid w:val="4DAE0FD3"/>
    <w:rsid w:val="4DAE3A5A"/>
    <w:rsid w:val="4DB01A27"/>
    <w:rsid w:val="4DB37B1D"/>
    <w:rsid w:val="4DC348CB"/>
    <w:rsid w:val="4DCB7584"/>
    <w:rsid w:val="4DD4775A"/>
    <w:rsid w:val="4DE53CDF"/>
    <w:rsid w:val="4DEE1A36"/>
    <w:rsid w:val="4DF87079"/>
    <w:rsid w:val="4DFF1E22"/>
    <w:rsid w:val="4E031A2B"/>
    <w:rsid w:val="4E04653C"/>
    <w:rsid w:val="4E100917"/>
    <w:rsid w:val="4E1B484B"/>
    <w:rsid w:val="4E1C7913"/>
    <w:rsid w:val="4E227F09"/>
    <w:rsid w:val="4E3171D2"/>
    <w:rsid w:val="4E4837C9"/>
    <w:rsid w:val="4E700EAC"/>
    <w:rsid w:val="4E720846"/>
    <w:rsid w:val="4EAA03BD"/>
    <w:rsid w:val="4EAD5D22"/>
    <w:rsid w:val="4EB253E3"/>
    <w:rsid w:val="4EB97D51"/>
    <w:rsid w:val="4EBA7922"/>
    <w:rsid w:val="4EC253FE"/>
    <w:rsid w:val="4EC807D1"/>
    <w:rsid w:val="4ED50C91"/>
    <w:rsid w:val="4EEE3D8C"/>
    <w:rsid w:val="4EF4673F"/>
    <w:rsid w:val="4EFA7506"/>
    <w:rsid w:val="4EFF23B8"/>
    <w:rsid w:val="4F071E5E"/>
    <w:rsid w:val="4F080756"/>
    <w:rsid w:val="4F08541B"/>
    <w:rsid w:val="4F224374"/>
    <w:rsid w:val="4F416B96"/>
    <w:rsid w:val="4F4210BE"/>
    <w:rsid w:val="4F4B592A"/>
    <w:rsid w:val="4F4C72E9"/>
    <w:rsid w:val="4F5D0BE0"/>
    <w:rsid w:val="4F5E4176"/>
    <w:rsid w:val="4F6B076A"/>
    <w:rsid w:val="4F6F2084"/>
    <w:rsid w:val="4F7C5EAE"/>
    <w:rsid w:val="4F870316"/>
    <w:rsid w:val="4F933194"/>
    <w:rsid w:val="4F997993"/>
    <w:rsid w:val="4FAB0AD3"/>
    <w:rsid w:val="4FB8354C"/>
    <w:rsid w:val="4FBF5D0D"/>
    <w:rsid w:val="4FBF72F3"/>
    <w:rsid w:val="4FE46A51"/>
    <w:rsid w:val="4FE94B38"/>
    <w:rsid w:val="4FEC03F5"/>
    <w:rsid w:val="4FED3763"/>
    <w:rsid w:val="50165956"/>
    <w:rsid w:val="501774DE"/>
    <w:rsid w:val="50240882"/>
    <w:rsid w:val="5036553E"/>
    <w:rsid w:val="504509FD"/>
    <w:rsid w:val="50491C39"/>
    <w:rsid w:val="5077509D"/>
    <w:rsid w:val="5079630E"/>
    <w:rsid w:val="508A490E"/>
    <w:rsid w:val="50B14FEE"/>
    <w:rsid w:val="50CC6933"/>
    <w:rsid w:val="50D923F5"/>
    <w:rsid w:val="50D95B6C"/>
    <w:rsid w:val="50DE0415"/>
    <w:rsid w:val="50FB0364"/>
    <w:rsid w:val="50FE7E90"/>
    <w:rsid w:val="51033C6E"/>
    <w:rsid w:val="510369FC"/>
    <w:rsid w:val="51085492"/>
    <w:rsid w:val="51137BFE"/>
    <w:rsid w:val="5119769F"/>
    <w:rsid w:val="5139389D"/>
    <w:rsid w:val="51452242"/>
    <w:rsid w:val="5147420C"/>
    <w:rsid w:val="51500DF4"/>
    <w:rsid w:val="51600D14"/>
    <w:rsid w:val="517049BC"/>
    <w:rsid w:val="517A0CA0"/>
    <w:rsid w:val="517B6D54"/>
    <w:rsid w:val="519E53F9"/>
    <w:rsid w:val="51AC0513"/>
    <w:rsid w:val="51B93F41"/>
    <w:rsid w:val="51C4068F"/>
    <w:rsid w:val="51CA6963"/>
    <w:rsid w:val="51CB6BEB"/>
    <w:rsid w:val="51CD2EA2"/>
    <w:rsid w:val="51CE4262"/>
    <w:rsid w:val="51CE7937"/>
    <w:rsid w:val="51D221AE"/>
    <w:rsid w:val="51F872B4"/>
    <w:rsid w:val="51FA120B"/>
    <w:rsid w:val="52052DC2"/>
    <w:rsid w:val="520C0329"/>
    <w:rsid w:val="520C7A1F"/>
    <w:rsid w:val="520F3357"/>
    <w:rsid w:val="52103F8A"/>
    <w:rsid w:val="521E40E1"/>
    <w:rsid w:val="52326C6A"/>
    <w:rsid w:val="523A6819"/>
    <w:rsid w:val="523B7FEA"/>
    <w:rsid w:val="523D4054"/>
    <w:rsid w:val="524B3D76"/>
    <w:rsid w:val="52506A55"/>
    <w:rsid w:val="52552624"/>
    <w:rsid w:val="525A0CA7"/>
    <w:rsid w:val="52756BD4"/>
    <w:rsid w:val="527D13FE"/>
    <w:rsid w:val="527E2A1A"/>
    <w:rsid w:val="52BB0BA7"/>
    <w:rsid w:val="52C07817"/>
    <w:rsid w:val="52CE3C12"/>
    <w:rsid w:val="52CF17AD"/>
    <w:rsid w:val="52D52F24"/>
    <w:rsid w:val="52DE61F0"/>
    <w:rsid w:val="52E07F11"/>
    <w:rsid w:val="52E911CD"/>
    <w:rsid w:val="52ED4595"/>
    <w:rsid w:val="52EE7E34"/>
    <w:rsid w:val="530D2B4F"/>
    <w:rsid w:val="53320F97"/>
    <w:rsid w:val="53601A5A"/>
    <w:rsid w:val="537A5F0D"/>
    <w:rsid w:val="538429EB"/>
    <w:rsid w:val="53866A64"/>
    <w:rsid w:val="538F59F6"/>
    <w:rsid w:val="53934A22"/>
    <w:rsid w:val="53963229"/>
    <w:rsid w:val="539C36D5"/>
    <w:rsid w:val="539D52A3"/>
    <w:rsid w:val="53A96EE7"/>
    <w:rsid w:val="53AD16EC"/>
    <w:rsid w:val="53BB7A2D"/>
    <w:rsid w:val="53BE7510"/>
    <w:rsid w:val="53BF62DB"/>
    <w:rsid w:val="53C27B7A"/>
    <w:rsid w:val="53D01794"/>
    <w:rsid w:val="53D02297"/>
    <w:rsid w:val="53D62B6C"/>
    <w:rsid w:val="53DE5235"/>
    <w:rsid w:val="53DF441D"/>
    <w:rsid w:val="53E1512D"/>
    <w:rsid w:val="53E72072"/>
    <w:rsid w:val="53EB67AF"/>
    <w:rsid w:val="53F755ED"/>
    <w:rsid w:val="54003E1F"/>
    <w:rsid w:val="54165DF3"/>
    <w:rsid w:val="541A4280"/>
    <w:rsid w:val="541D1216"/>
    <w:rsid w:val="54285968"/>
    <w:rsid w:val="54293FB8"/>
    <w:rsid w:val="54391FAB"/>
    <w:rsid w:val="543A4E9B"/>
    <w:rsid w:val="543A5047"/>
    <w:rsid w:val="544C56C7"/>
    <w:rsid w:val="544F3958"/>
    <w:rsid w:val="54501629"/>
    <w:rsid w:val="54504AAC"/>
    <w:rsid w:val="54543038"/>
    <w:rsid w:val="5463135D"/>
    <w:rsid w:val="546B431A"/>
    <w:rsid w:val="546D40DC"/>
    <w:rsid w:val="546E3773"/>
    <w:rsid w:val="54790662"/>
    <w:rsid w:val="547F5A6B"/>
    <w:rsid w:val="548D076D"/>
    <w:rsid w:val="54903193"/>
    <w:rsid w:val="549636D9"/>
    <w:rsid w:val="54991EF5"/>
    <w:rsid w:val="54AA5721"/>
    <w:rsid w:val="54AB65AA"/>
    <w:rsid w:val="54AD0549"/>
    <w:rsid w:val="54B2659A"/>
    <w:rsid w:val="54B33DD9"/>
    <w:rsid w:val="54BA6866"/>
    <w:rsid w:val="54BD498D"/>
    <w:rsid w:val="54C267FD"/>
    <w:rsid w:val="54D1488D"/>
    <w:rsid w:val="54D16ACC"/>
    <w:rsid w:val="54D54B1F"/>
    <w:rsid w:val="54D8314F"/>
    <w:rsid w:val="54EB202D"/>
    <w:rsid w:val="54FC2D67"/>
    <w:rsid w:val="55064531"/>
    <w:rsid w:val="55090AA3"/>
    <w:rsid w:val="550A17D8"/>
    <w:rsid w:val="550D52B1"/>
    <w:rsid w:val="55183BF1"/>
    <w:rsid w:val="55253F73"/>
    <w:rsid w:val="55287DCD"/>
    <w:rsid w:val="552A5B34"/>
    <w:rsid w:val="554033D2"/>
    <w:rsid w:val="554830E6"/>
    <w:rsid w:val="556F1454"/>
    <w:rsid w:val="556F31D0"/>
    <w:rsid w:val="557551D0"/>
    <w:rsid w:val="5583077C"/>
    <w:rsid w:val="558E01DA"/>
    <w:rsid w:val="559A6830"/>
    <w:rsid w:val="55AF790D"/>
    <w:rsid w:val="55B4040D"/>
    <w:rsid w:val="55BD660E"/>
    <w:rsid w:val="55BF4C7F"/>
    <w:rsid w:val="55C51BA3"/>
    <w:rsid w:val="55C7591B"/>
    <w:rsid w:val="55CE2806"/>
    <w:rsid w:val="55E148E6"/>
    <w:rsid w:val="55F32850"/>
    <w:rsid w:val="55F66200"/>
    <w:rsid w:val="56200B8E"/>
    <w:rsid w:val="563A2A87"/>
    <w:rsid w:val="564A4536"/>
    <w:rsid w:val="564F5CD2"/>
    <w:rsid w:val="565927DF"/>
    <w:rsid w:val="565E6CA9"/>
    <w:rsid w:val="566205C2"/>
    <w:rsid w:val="56625644"/>
    <w:rsid w:val="56674C7A"/>
    <w:rsid w:val="567053AF"/>
    <w:rsid w:val="567B13D3"/>
    <w:rsid w:val="568231CF"/>
    <w:rsid w:val="56836CD8"/>
    <w:rsid w:val="56853FC5"/>
    <w:rsid w:val="56890E23"/>
    <w:rsid w:val="568952DA"/>
    <w:rsid w:val="569400B5"/>
    <w:rsid w:val="569752EE"/>
    <w:rsid w:val="569D16C9"/>
    <w:rsid w:val="56B86275"/>
    <w:rsid w:val="56C251F3"/>
    <w:rsid w:val="56C66DC0"/>
    <w:rsid w:val="56CB48A3"/>
    <w:rsid w:val="56E11FFE"/>
    <w:rsid w:val="56E124A8"/>
    <w:rsid w:val="56E57451"/>
    <w:rsid w:val="56F46C34"/>
    <w:rsid w:val="56F73846"/>
    <w:rsid w:val="56F96F69"/>
    <w:rsid w:val="56FF5B35"/>
    <w:rsid w:val="570404A9"/>
    <w:rsid w:val="570C0EC9"/>
    <w:rsid w:val="571903F8"/>
    <w:rsid w:val="57211936"/>
    <w:rsid w:val="573A3ECB"/>
    <w:rsid w:val="57444D97"/>
    <w:rsid w:val="575178C4"/>
    <w:rsid w:val="5752708C"/>
    <w:rsid w:val="575668EF"/>
    <w:rsid w:val="57583167"/>
    <w:rsid w:val="5759595B"/>
    <w:rsid w:val="575C534A"/>
    <w:rsid w:val="576553EC"/>
    <w:rsid w:val="577E6D6D"/>
    <w:rsid w:val="57831D16"/>
    <w:rsid w:val="57AC10FA"/>
    <w:rsid w:val="57B342C9"/>
    <w:rsid w:val="57C27BCA"/>
    <w:rsid w:val="57CD0549"/>
    <w:rsid w:val="57D01782"/>
    <w:rsid w:val="57D554F9"/>
    <w:rsid w:val="57E478C5"/>
    <w:rsid w:val="57FF573B"/>
    <w:rsid w:val="58023D84"/>
    <w:rsid w:val="580A1DBF"/>
    <w:rsid w:val="580D623A"/>
    <w:rsid w:val="581B5AAA"/>
    <w:rsid w:val="582408B0"/>
    <w:rsid w:val="58335562"/>
    <w:rsid w:val="584A05C5"/>
    <w:rsid w:val="584D58F6"/>
    <w:rsid w:val="586A3A51"/>
    <w:rsid w:val="586B76C2"/>
    <w:rsid w:val="587D1AF7"/>
    <w:rsid w:val="587F40EE"/>
    <w:rsid w:val="58980015"/>
    <w:rsid w:val="5898225D"/>
    <w:rsid w:val="58AD1B30"/>
    <w:rsid w:val="58B058A9"/>
    <w:rsid w:val="58B475B7"/>
    <w:rsid w:val="58B924B4"/>
    <w:rsid w:val="58BD4D95"/>
    <w:rsid w:val="58E12EF3"/>
    <w:rsid w:val="58E13EA8"/>
    <w:rsid w:val="58E80463"/>
    <w:rsid w:val="58EA29B5"/>
    <w:rsid w:val="58EB7B73"/>
    <w:rsid w:val="590972ED"/>
    <w:rsid w:val="59260A57"/>
    <w:rsid w:val="5926324B"/>
    <w:rsid w:val="593532E9"/>
    <w:rsid w:val="59387405"/>
    <w:rsid w:val="593B587D"/>
    <w:rsid w:val="594B23BF"/>
    <w:rsid w:val="595C4563"/>
    <w:rsid w:val="59607DA0"/>
    <w:rsid w:val="59612C33"/>
    <w:rsid w:val="596322DA"/>
    <w:rsid w:val="596C18B0"/>
    <w:rsid w:val="59722042"/>
    <w:rsid w:val="598956AE"/>
    <w:rsid w:val="598F7E5C"/>
    <w:rsid w:val="599327D5"/>
    <w:rsid w:val="59BC1723"/>
    <w:rsid w:val="59BE0DE3"/>
    <w:rsid w:val="59BF0E8D"/>
    <w:rsid w:val="59C00E7C"/>
    <w:rsid w:val="59C87138"/>
    <w:rsid w:val="59E16436"/>
    <w:rsid w:val="59EF158B"/>
    <w:rsid w:val="59FA62BF"/>
    <w:rsid w:val="59FD7762"/>
    <w:rsid w:val="5A160282"/>
    <w:rsid w:val="5A1C215F"/>
    <w:rsid w:val="5A1D3D5C"/>
    <w:rsid w:val="5A212613"/>
    <w:rsid w:val="5A257995"/>
    <w:rsid w:val="5A29513B"/>
    <w:rsid w:val="5A305BDC"/>
    <w:rsid w:val="5A363F76"/>
    <w:rsid w:val="5A4D0464"/>
    <w:rsid w:val="5A673875"/>
    <w:rsid w:val="5A68475B"/>
    <w:rsid w:val="5A872C58"/>
    <w:rsid w:val="5A8E1E02"/>
    <w:rsid w:val="5A8F3006"/>
    <w:rsid w:val="5A992308"/>
    <w:rsid w:val="5AB34188"/>
    <w:rsid w:val="5AC57E95"/>
    <w:rsid w:val="5AD503C2"/>
    <w:rsid w:val="5AF71C60"/>
    <w:rsid w:val="5B0B0086"/>
    <w:rsid w:val="5B1F2BC6"/>
    <w:rsid w:val="5B242D70"/>
    <w:rsid w:val="5B294AAA"/>
    <w:rsid w:val="5B3A0E6C"/>
    <w:rsid w:val="5B4E67AE"/>
    <w:rsid w:val="5B523ED9"/>
    <w:rsid w:val="5B5B0834"/>
    <w:rsid w:val="5B6060DF"/>
    <w:rsid w:val="5B610E55"/>
    <w:rsid w:val="5B7D6643"/>
    <w:rsid w:val="5B7E6A7C"/>
    <w:rsid w:val="5B85605C"/>
    <w:rsid w:val="5B8D4F67"/>
    <w:rsid w:val="5B990AB3"/>
    <w:rsid w:val="5BA16CF2"/>
    <w:rsid w:val="5BB14D85"/>
    <w:rsid w:val="5BC768D3"/>
    <w:rsid w:val="5BD03720"/>
    <w:rsid w:val="5BD64622"/>
    <w:rsid w:val="5BD83DFD"/>
    <w:rsid w:val="5BDE42FB"/>
    <w:rsid w:val="5BEA5C61"/>
    <w:rsid w:val="5BF80AF3"/>
    <w:rsid w:val="5BFD1F1E"/>
    <w:rsid w:val="5C02145B"/>
    <w:rsid w:val="5C040C50"/>
    <w:rsid w:val="5C077F5A"/>
    <w:rsid w:val="5C0A1B46"/>
    <w:rsid w:val="5C214B15"/>
    <w:rsid w:val="5C261656"/>
    <w:rsid w:val="5C2B77A2"/>
    <w:rsid w:val="5C422553"/>
    <w:rsid w:val="5C755103"/>
    <w:rsid w:val="5C791CE2"/>
    <w:rsid w:val="5C8F45B4"/>
    <w:rsid w:val="5C9108EC"/>
    <w:rsid w:val="5C950521"/>
    <w:rsid w:val="5C9A49E0"/>
    <w:rsid w:val="5CA6628A"/>
    <w:rsid w:val="5CAB037C"/>
    <w:rsid w:val="5CAE15E3"/>
    <w:rsid w:val="5CAF373E"/>
    <w:rsid w:val="5CBF0B9D"/>
    <w:rsid w:val="5CC125DE"/>
    <w:rsid w:val="5CC1419E"/>
    <w:rsid w:val="5CD47D6A"/>
    <w:rsid w:val="5CD57403"/>
    <w:rsid w:val="5CDE1278"/>
    <w:rsid w:val="5CDE7BFB"/>
    <w:rsid w:val="5CE82F4E"/>
    <w:rsid w:val="5CEA7FA9"/>
    <w:rsid w:val="5D0E423F"/>
    <w:rsid w:val="5D2A1B40"/>
    <w:rsid w:val="5D34200D"/>
    <w:rsid w:val="5D3C6BEF"/>
    <w:rsid w:val="5D40796A"/>
    <w:rsid w:val="5D534E55"/>
    <w:rsid w:val="5D537C1E"/>
    <w:rsid w:val="5D74233C"/>
    <w:rsid w:val="5D755C5D"/>
    <w:rsid w:val="5D7F3416"/>
    <w:rsid w:val="5D830294"/>
    <w:rsid w:val="5D850489"/>
    <w:rsid w:val="5D8869BF"/>
    <w:rsid w:val="5D8C7FA6"/>
    <w:rsid w:val="5DA21B2B"/>
    <w:rsid w:val="5DC11133"/>
    <w:rsid w:val="5DC2767E"/>
    <w:rsid w:val="5DCB472A"/>
    <w:rsid w:val="5DCC7764"/>
    <w:rsid w:val="5DE23A27"/>
    <w:rsid w:val="5DE95DB7"/>
    <w:rsid w:val="5DEC4781"/>
    <w:rsid w:val="5DED613B"/>
    <w:rsid w:val="5DF30008"/>
    <w:rsid w:val="5DF660F4"/>
    <w:rsid w:val="5E092680"/>
    <w:rsid w:val="5E1170FA"/>
    <w:rsid w:val="5E166020"/>
    <w:rsid w:val="5E1D48DD"/>
    <w:rsid w:val="5E1D58F0"/>
    <w:rsid w:val="5E39473A"/>
    <w:rsid w:val="5E3B0C54"/>
    <w:rsid w:val="5E466F51"/>
    <w:rsid w:val="5E4775F9"/>
    <w:rsid w:val="5E5B594F"/>
    <w:rsid w:val="5E68756F"/>
    <w:rsid w:val="5E760D04"/>
    <w:rsid w:val="5E895412"/>
    <w:rsid w:val="5E8B612E"/>
    <w:rsid w:val="5E921864"/>
    <w:rsid w:val="5EA11561"/>
    <w:rsid w:val="5EA13DD5"/>
    <w:rsid w:val="5EA7645C"/>
    <w:rsid w:val="5EAC74DB"/>
    <w:rsid w:val="5EBC572D"/>
    <w:rsid w:val="5EDF7359"/>
    <w:rsid w:val="5EE1748B"/>
    <w:rsid w:val="5EE23104"/>
    <w:rsid w:val="5EE83CD7"/>
    <w:rsid w:val="5EEE4D09"/>
    <w:rsid w:val="5EF76984"/>
    <w:rsid w:val="5EF825CE"/>
    <w:rsid w:val="5F160ABF"/>
    <w:rsid w:val="5F201F8E"/>
    <w:rsid w:val="5F2919EA"/>
    <w:rsid w:val="5F2A21C6"/>
    <w:rsid w:val="5F322D47"/>
    <w:rsid w:val="5F3A26BF"/>
    <w:rsid w:val="5F3C41DA"/>
    <w:rsid w:val="5F3D6868"/>
    <w:rsid w:val="5F444051"/>
    <w:rsid w:val="5F4C79B8"/>
    <w:rsid w:val="5F50072F"/>
    <w:rsid w:val="5F506981"/>
    <w:rsid w:val="5F545A81"/>
    <w:rsid w:val="5F583E8D"/>
    <w:rsid w:val="5F762132"/>
    <w:rsid w:val="5F9220B9"/>
    <w:rsid w:val="5FAB1E0A"/>
    <w:rsid w:val="5FB07420"/>
    <w:rsid w:val="5FB40CBE"/>
    <w:rsid w:val="5FB62BC7"/>
    <w:rsid w:val="5FC229FE"/>
    <w:rsid w:val="5FC50C7C"/>
    <w:rsid w:val="5FE07D05"/>
    <w:rsid w:val="5FF775E5"/>
    <w:rsid w:val="5FFA4B54"/>
    <w:rsid w:val="5FFE1F39"/>
    <w:rsid w:val="60042849"/>
    <w:rsid w:val="600E02C3"/>
    <w:rsid w:val="600E70E6"/>
    <w:rsid w:val="60136769"/>
    <w:rsid w:val="601B4D80"/>
    <w:rsid w:val="60273929"/>
    <w:rsid w:val="603028FE"/>
    <w:rsid w:val="60367AE3"/>
    <w:rsid w:val="603F6ADF"/>
    <w:rsid w:val="60433DF0"/>
    <w:rsid w:val="605104EB"/>
    <w:rsid w:val="60595365"/>
    <w:rsid w:val="60672991"/>
    <w:rsid w:val="60673AE2"/>
    <w:rsid w:val="60786F1A"/>
    <w:rsid w:val="608368E3"/>
    <w:rsid w:val="60892E49"/>
    <w:rsid w:val="60A62525"/>
    <w:rsid w:val="60A6782B"/>
    <w:rsid w:val="60B64642"/>
    <w:rsid w:val="60C9332E"/>
    <w:rsid w:val="60F6512F"/>
    <w:rsid w:val="60FD6695"/>
    <w:rsid w:val="610769D0"/>
    <w:rsid w:val="61166CAF"/>
    <w:rsid w:val="61237739"/>
    <w:rsid w:val="61500A8C"/>
    <w:rsid w:val="61582486"/>
    <w:rsid w:val="615960EB"/>
    <w:rsid w:val="61801463"/>
    <w:rsid w:val="61833C6F"/>
    <w:rsid w:val="61973A88"/>
    <w:rsid w:val="619817C0"/>
    <w:rsid w:val="61A44D62"/>
    <w:rsid w:val="61B174CD"/>
    <w:rsid w:val="61BF7DEE"/>
    <w:rsid w:val="61DC6B3A"/>
    <w:rsid w:val="61DE6F9F"/>
    <w:rsid w:val="62006995"/>
    <w:rsid w:val="620A7D1F"/>
    <w:rsid w:val="622B5033"/>
    <w:rsid w:val="622D4D58"/>
    <w:rsid w:val="623205C0"/>
    <w:rsid w:val="62354269"/>
    <w:rsid w:val="6254273D"/>
    <w:rsid w:val="62621351"/>
    <w:rsid w:val="62670AB9"/>
    <w:rsid w:val="626A02D1"/>
    <w:rsid w:val="62702A25"/>
    <w:rsid w:val="62942484"/>
    <w:rsid w:val="62944BFA"/>
    <w:rsid w:val="6297415B"/>
    <w:rsid w:val="62984972"/>
    <w:rsid w:val="629B09B4"/>
    <w:rsid w:val="62A21DB3"/>
    <w:rsid w:val="62A44191"/>
    <w:rsid w:val="62AC4A07"/>
    <w:rsid w:val="62AF3C8F"/>
    <w:rsid w:val="62CE5E81"/>
    <w:rsid w:val="62CE647B"/>
    <w:rsid w:val="62D16183"/>
    <w:rsid w:val="62D66853"/>
    <w:rsid w:val="62D67210"/>
    <w:rsid w:val="62DE657B"/>
    <w:rsid w:val="62ED14AC"/>
    <w:rsid w:val="62EE7F73"/>
    <w:rsid w:val="63030F7A"/>
    <w:rsid w:val="631401EF"/>
    <w:rsid w:val="63185AC0"/>
    <w:rsid w:val="631E4F68"/>
    <w:rsid w:val="632A1297"/>
    <w:rsid w:val="633C582E"/>
    <w:rsid w:val="633D531F"/>
    <w:rsid w:val="634B5082"/>
    <w:rsid w:val="635109CE"/>
    <w:rsid w:val="63542512"/>
    <w:rsid w:val="63556314"/>
    <w:rsid w:val="635978AE"/>
    <w:rsid w:val="63662412"/>
    <w:rsid w:val="63685256"/>
    <w:rsid w:val="636C57A3"/>
    <w:rsid w:val="63754AE7"/>
    <w:rsid w:val="6384394F"/>
    <w:rsid w:val="63851EDE"/>
    <w:rsid w:val="639549F9"/>
    <w:rsid w:val="639632E0"/>
    <w:rsid w:val="63980E88"/>
    <w:rsid w:val="639A2CE8"/>
    <w:rsid w:val="639B20E0"/>
    <w:rsid w:val="63A44CCE"/>
    <w:rsid w:val="63AA0FE9"/>
    <w:rsid w:val="63AB5233"/>
    <w:rsid w:val="63AD183A"/>
    <w:rsid w:val="63CE7275"/>
    <w:rsid w:val="63D650DD"/>
    <w:rsid w:val="63E21F2D"/>
    <w:rsid w:val="63E32E6D"/>
    <w:rsid w:val="63F716E0"/>
    <w:rsid w:val="63FF2D53"/>
    <w:rsid w:val="640637EA"/>
    <w:rsid w:val="64133B98"/>
    <w:rsid w:val="641A2D9C"/>
    <w:rsid w:val="642235C4"/>
    <w:rsid w:val="64225B2B"/>
    <w:rsid w:val="642770BE"/>
    <w:rsid w:val="64290935"/>
    <w:rsid w:val="642B3EBE"/>
    <w:rsid w:val="643B7C00"/>
    <w:rsid w:val="644146FD"/>
    <w:rsid w:val="644B7717"/>
    <w:rsid w:val="646B11FC"/>
    <w:rsid w:val="646E035D"/>
    <w:rsid w:val="64744410"/>
    <w:rsid w:val="648B3FB8"/>
    <w:rsid w:val="64AA3E54"/>
    <w:rsid w:val="64B05E47"/>
    <w:rsid w:val="64C3087F"/>
    <w:rsid w:val="64C354F3"/>
    <w:rsid w:val="64CC3BCB"/>
    <w:rsid w:val="64CE3F0E"/>
    <w:rsid w:val="64D05681"/>
    <w:rsid w:val="64D92F75"/>
    <w:rsid w:val="64E967F4"/>
    <w:rsid w:val="64F73B1B"/>
    <w:rsid w:val="64F83E2E"/>
    <w:rsid w:val="64FD3107"/>
    <w:rsid w:val="651015AD"/>
    <w:rsid w:val="651345DE"/>
    <w:rsid w:val="6517594A"/>
    <w:rsid w:val="65176F74"/>
    <w:rsid w:val="651D5558"/>
    <w:rsid w:val="65234618"/>
    <w:rsid w:val="652A6842"/>
    <w:rsid w:val="653202BC"/>
    <w:rsid w:val="6548039A"/>
    <w:rsid w:val="65520000"/>
    <w:rsid w:val="65553494"/>
    <w:rsid w:val="65563BD1"/>
    <w:rsid w:val="655D6724"/>
    <w:rsid w:val="65646689"/>
    <w:rsid w:val="65650AD1"/>
    <w:rsid w:val="656E284E"/>
    <w:rsid w:val="6573406D"/>
    <w:rsid w:val="657D4BD7"/>
    <w:rsid w:val="65893883"/>
    <w:rsid w:val="65953130"/>
    <w:rsid w:val="65A534A5"/>
    <w:rsid w:val="65B339F2"/>
    <w:rsid w:val="65C44ABF"/>
    <w:rsid w:val="65C84EF0"/>
    <w:rsid w:val="65C854C3"/>
    <w:rsid w:val="65D200F0"/>
    <w:rsid w:val="65D5294E"/>
    <w:rsid w:val="65E62BFE"/>
    <w:rsid w:val="65F362B8"/>
    <w:rsid w:val="660301A4"/>
    <w:rsid w:val="6612385E"/>
    <w:rsid w:val="661B7A38"/>
    <w:rsid w:val="661D7B7B"/>
    <w:rsid w:val="66212E26"/>
    <w:rsid w:val="662228F1"/>
    <w:rsid w:val="66247B8F"/>
    <w:rsid w:val="66293F40"/>
    <w:rsid w:val="66311AC6"/>
    <w:rsid w:val="66491F1D"/>
    <w:rsid w:val="665705F5"/>
    <w:rsid w:val="6664161B"/>
    <w:rsid w:val="666920D7"/>
    <w:rsid w:val="666E0E0D"/>
    <w:rsid w:val="66744F33"/>
    <w:rsid w:val="667E7C40"/>
    <w:rsid w:val="66846F11"/>
    <w:rsid w:val="66862C89"/>
    <w:rsid w:val="669A4D6D"/>
    <w:rsid w:val="66AE17A9"/>
    <w:rsid w:val="66B21612"/>
    <w:rsid w:val="66D103A8"/>
    <w:rsid w:val="66F7428B"/>
    <w:rsid w:val="66F953BB"/>
    <w:rsid w:val="66FB3391"/>
    <w:rsid w:val="66FD2DD2"/>
    <w:rsid w:val="66FE4F15"/>
    <w:rsid w:val="67095D94"/>
    <w:rsid w:val="671042C9"/>
    <w:rsid w:val="671106CB"/>
    <w:rsid w:val="67146655"/>
    <w:rsid w:val="671E1351"/>
    <w:rsid w:val="672C5E9B"/>
    <w:rsid w:val="67320023"/>
    <w:rsid w:val="67501D08"/>
    <w:rsid w:val="6751773B"/>
    <w:rsid w:val="677717D8"/>
    <w:rsid w:val="677F1C8C"/>
    <w:rsid w:val="678F0330"/>
    <w:rsid w:val="679D2F70"/>
    <w:rsid w:val="67A04F86"/>
    <w:rsid w:val="67A9073D"/>
    <w:rsid w:val="67B35A53"/>
    <w:rsid w:val="67BF4400"/>
    <w:rsid w:val="67C25FAA"/>
    <w:rsid w:val="67C5598E"/>
    <w:rsid w:val="67CA346A"/>
    <w:rsid w:val="67CA4DF7"/>
    <w:rsid w:val="67CB1C0F"/>
    <w:rsid w:val="67DA14DE"/>
    <w:rsid w:val="67E71E3E"/>
    <w:rsid w:val="67F11723"/>
    <w:rsid w:val="67F232D8"/>
    <w:rsid w:val="67F80E17"/>
    <w:rsid w:val="6801535B"/>
    <w:rsid w:val="680500EC"/>
    <w:rsid w:val="680B6E70"/>
    <w:rsid w:val="680C5410"/>
    <w:rsid w:val="68215523"/>
    <w:rsid w:val="68381D68"/>
    <w:rsid w:val="683C5CF5"/>
    <w:rsid w:val="683D4A00"/>
    <w:rsid w:val="685268FF"/>
    <w:rsid w:val="68546E88"/>
    <w:rsid w:val="68635B40"/>
    <w:rsid w:val="6864579F"/>
    <w:rsid w:val="68703BF0"/>
    <w:rsid w:val="688E3767"/>
    <w:rsid w:val="6897475F"/>
    <w:rsid w:val="689837BE"/>
    <w:rsid w:val="689C3C63"/>
    <w:rsid w:val="68A15A62"/>
    <w:rsid w:val="68BB37C0"/>
    <w:rsid w:val="68C36978"/>
    <w:rsid w:val="68D27036"/>
    <w:rsid w:val="68DE143D"/>
    <w:rsid w:val="68E048D2"/>
    <w:rsid w:val="68E1689C"/>
    <w:rsid w:val="68F43F12"/>
    <w:rsid w:val="690913E0"/>
    <w:rsid w:val="690B1A2C"/>
    <w:rsid w:val="69142763"/>
    <w:rsid w:val="691D2A83"/>
    <w:rsid w:val="69237227"/>
    <w:rsid w:val="693B2550"/>
    <w:rsid w:val="69494488"/>
    <w:rsid w:val="694A758D"/>
    <w:rsid w:val="69593DE8"/>
    <w:rsid w:val="696A492D"/>
    <w:rsid w:val="69774DB4"/>
    <w:rsid w:val="698243FC"/>
    <w:rsid w:val="69855479"/>
    <w:rsid w:val="69877444"/>
    <w:rsid w:val="698D3D2C"/>
    <w:rsid w:val="698E6BB9"/>
    <w:rsid w:val="698F190A"/>
    <w:rsid w:val="69A015E9"/>
    <w:rsid w:val="69A20B79"/>
    <w:rsid w:val="69A32B61"/>
    <w:rsid w:val="69A35F1C"/>
    <w:rsid w:val="69AC3739"/>
    <w:rsid w:val="69C24293"/>
    <w:rsid w:val="69D229F6"/>
    <w:rsid w:val="69DC63C8"/>
    <w:rsid w:val="69DC778F"/>
    <w:rsid w:val="69E40991"/>
    <w:rsid w:val="69E763F8"/>
    <w:rsid w:val="69EC72A7"/>
    <w:rsid w:val="6A026FD1"/>
    <w:rsid w:val="6A061712"/>
    <w:rsid w:val="6A072332"/>
    <w:rsid w:val="6A0B31A0"/>
    <w:rsid w:val="6A12506F"/>
    <w:rsid w:val="6A1A4D5C"/>
    <w:rsid w:val="6A1B7D32"/>
    <w:rsid w:val="6A1F6664"/>
    <w:rsid w:val="6A2B22FF"/>
    <w:rsid w:val="6A2C1D99"/>
    <w:rsid w:val="6A2F6EF1"/>
    <w:rsid w:val="6A4308E5"/>
    <w:rsid w:val="6A545DAD"/>
    <w:rsid w:val="6A5464F4"/>
    <w:rsid w:val="6A547294"/>
    <w:rsid w:val="6A6634FD"/>
    <w:rsid w:val="6A757423"/>
    <w:rsid w:val="6A7A064B"/>
    <w:rsid w:val="6A8324AB"/>
    <w:rsid w:val="6A835FAB"/>
    <w:rsid w:val="6A880C15"/>
    <w:rsid w:val="6A891B85"/>
    <w:rsid w:val="6A9B37AD"/>
    <w:rsid w:val="6A9C6F1F"/>
    <w:rsid w:val="6AA63469"/>
    <w:rsid w:val="6AAB79A8"/>
    <w:rsid w:val="6AAE6529"/>
    <w:rsid w:val="6AC01E63"/>
    <w:rsid w:val="6AC4097D"/>
    <w:rsid w:val="6AD46B6A"/>
    <w:rsid w:val="6AE37BB0"/>
    <w:rsid w:val="6AED6CC5"/>
    <w:rsid w:val="6AFB13E1"/>
    <w:rsid w:val="6B0A20DA"/>
    <w:rsid w:val="6B0F5943"/>
    <w:rsid w:val="6B2B11EF"/>
    <w:rsid w:val="6B3B6738"/>
    <w:rsid w:val="6B3E3B32"/>
    <w:rsid w:val="6B425FB2"/>
    <w:rsid w:val="6B4C0C26"/>
    <w:rsid w:val="6B4E4003"/>
    <w:rsid w:val="6B5D0D7D"/>
    <w:rsid w:val="6B6141DE"/>
    <w:rsid w:val="6B6569C9"/>
    <w:rsid w:val="6B962207"/>
    <w:rsid w:val="6B9D2F4E"/>
    <w:rsid w:val="6BA173F5"/>
    <w:rsid w:val="6BA25856"/>
    <w:rsid w:val="6BB01FE8"/>
    <w:rsid w:val="6BB513B4"/>
    <w:rsid w:val="6BB55DED"/>
    <w:rsid w:val="6BBC1357"/>
    <w:rsid w:val="6BBE1FC2"/>
    <w:rsid w:val="6BC579E2"/>
    <w:rsid w:val="6BC628CB"/>
    <w:rsid w:val="6BC8789F"/>
    <w:rsid w:val="6BDA499D"/>
    <w:rsid w:val="6BE40B7D"/>
    <w:rsid w:val="6BEC0C0A"/>
    <w:rsid w:val="6BF35D80"/>
    <w:rsid w:val="6BF653C4"/>
    <w:rsid w:val="6BFE28E6"/>
    <w:rsid w:val="6C0E5BFA"/>
    <w:rsid w:val="6C113127"/>
    <w:rsid w:val="6C1D0284"/>
    <w:rsid w:val="6C3C6424"/>
    <w:rsid w:val="6C4E4AD0"/>
    <w:rsid w:val="6C5425B7"/>
    <w:rsid w:val="6C583622"/>
    <w:rsid w:val="6C5A66F5"/>
    <w:rsid w:val="6C8659F2"/>
    <w:rsid w:val="6C941C77"/>
    <w:rsid w:val="6C9F0432"/>
    <w:rsid w:val="6CA06871"/>
    <w:rsid w:val="6CAD4536"/>
    <w:rsid w:val="6CCD6CB7"/>
    <w:rsid w:val="6CCE501C"/>
    <w:rsid w:val="6CE00E07"/>
    <w:rsid w:val="6CE8644B"/>
    <w:rsid w:val="6CEB17DF"/>
    <w:rsid w:val="6CF73BAF"/>
    <w:rsid w:val="6CFB4F6A"/>
    <w:rsid w:val="6D04689B"/>
    <w:rsid w:val="6D1843D1"/>
    <w:rsid w:val="6D196605"/>
    <w:rsid w:val="6D27576D"/>
    <w:rsid w:val="6D30298C"/>
    <w:rsid w:val="6D3467D8"/>
    <w:rsid w:val="6D3C15EC"/>
    <w:rsid w:val="6D4556E9"/>
    <w:rsid w:val="6D4C0018"/>
    <w:rsid w:val="6D5C26AF"/>
    <w:rsid w:val="6D6046C4"/>
    <w:rsid w:val="6D6D3E13"/>
    <w:rsid w:val="6D890B23"/>
    <w:rsid w:val="6D9072D7"/>
    <w:rsid w:val="6D97556F"/>
    <w:rsid w:val="6DA44BF1"/>
    <w:rsid w:val="6DC219CB"/>
    <w:rsid w:val="6DCE4EC0"/>
    <w:rsid w:val="6DD344A4"/>
    <w:rsid w:val="6DD644F6"/>
    <w:rsid w:val="6DDC2814"/>
    <w:rsid w:val="6DE01A7F"/>
    <w:rsid w:val="6DE60F2E"/>
    <w:rsid w:val="6DE85734"/>
    <w:rsid w:val="6DEE6573"/>
    <w:rsid w:val="6DF36E56"/>
    <w:rsid w:val="6DF64B98"/>
    <w:rsid w:val="6DF70911"/>
    <w:rsid w:val="6E0D5163"/>
    <w:rsid w:val="6E1B3616"/>
    <w:rsid w:val="6E1D03D8"/>
    <w:rsid w:val="6E1F7B92"/>
    <w:rsid w:val="6E2448B7"/>
    <w:rsid w:val="6E2E3FF9"/>
    <w:rsid w:val="6E3000AA"/>
    <w:rsid w:val="6E341784"/>
    <w:rsid w:val="6E5531EF"/>
    <w:rsid w:val="6E555FA9"/>
    <w:rsid w:val="6E56534D"/>
    <w:rsid w:val="6E63281D"/>
    <w:rsid w:val="6E690EAC"/>
    <w:rsid w:val="6E6D2CC2"/>
    <w:rsid w:val="6E705A18"/>
    <w:rsid w:val="6E774F42"/>
    <w:rsid w:val="6E7A53F2"/>
    <w:rsid w:val="6E9806E4"/>
    <w:rsid w:val="6E9C55A9"/>
    <w:rsid w:val="6EA049C1"/>
    <w:rsid w:val="6EA50203"/>
    <w:rsid w:val="6ED11109"/>
    <w:rsid w:val="6ED75F98"/>
    <w:rsid w:val="6EDA581E"/>
    <w:rsid w:val="6EE00D43"/>
    <w:rsid w:val="6EE01420"/>
    <w:rsid w:val="6EE01B44"/>
    <w:rsid w:val="6EEA2105"/>
    <w:rsid w:val="6EEC1161"/>
    <w:rsid w:val="6EFD5BA2"/>
    <w:rsid w:val="6EFD71E1"/>
    <w:rsid w:val="6EFD7CFF"/>
    <w:rsid w:val="6F29766C"/>
    <w:rsid w:val="6F2D555B"/>
    <w:rsid w:val="6F393F57"/>
    <w:rsid w:val="6F3A1BFF"/>
    <w:rsid w:val="6F3A532A"/>
    <w:rsid w:val="6F3A78A8"/>
    <w:rsid w:val="6F40431D"/>
    <w:rsid w:val="6F4B3AAC"/>
    <w:rsid w:val="6F4D4C8B"/>
    <w:rsid w:val="6F524F38"/>
    <w:rsid w:val="6F5560FF"/>
    <w:rsid w:val="6F5A7073"/>
    <w:rsid w:val="6F5B0914"/>
    <w:rsid w:val="6F5C5B5D"/>
    <w:rsid w:val="6F6E57D0"/>
    <w:rsid w:val="6F756160"/>
    <w:rsid w:val="6F802E24"/>
    <w:rsid w:val="6F90382B"/>
    <w:rsid w:val="6FA26D85"/>
    <w:rsid w:val="6FA61E9B"/>
    <w:rsid w:val="6FB34313"/>
    <w:rsid w:val="6FB346BA"/>
    <w:rsid w:val="6FB37779"/>
    <w:rsid w:val="6FB65C4B"/>
    <w:rsid w:val="6FBA4B33"/>
    <w:rsid w:val="6FD601DD"/>
    <w:rsid w:val="6FEE5A5F"/>
    <w:rsid w:val="700A500E"/>
    <w:rsid w:val="70211C88"/>
    <w:rsid w:val="702D4C13"/>
    <w:rsid w:val="70342A6F"/>
    <w:rsid w:val="70405D05"/>
    <w:rsid w:val="7054557F"/>
    <w:rsid w:val="705864C4"/>
    <w:rsid w:val="705B6F34"/>
    <w:rsid w:val="70690AC7"/>
    <w:rsid w:val="706933FF"/>
    <w:rsid w:val="707F041A"/>
    <w:rsid w:val="70925E97"/>
    <w:rsid w:val="70942D2F"/>
    <w:rsid w:val="70A506CF"/>
    <w:rsid w:val="70A61480"/>
    <w:rsid w:val="70C106E4"/>
    <w:rsid w:val="70DA48D4"/>
    <w:rsid w:val="70DA7783"/>
    <w:rsid w:val="70DD3DED"/>
    <w:rsid w:val="70EB7331"/>
    <w:rsid w:val="71024BB6"/>
    <w:rsid w:val="71025602"/>
    <w:rsid w:val="710A3BD5"/>
    <w:rsid w:val="710E21F8"/>
    <w:rsid w:val="7125413B"/>
    <w:rsid w:val="712C3BE4"/>
    <w:rsid w:val="713752AB"/>
    <w:rsid w:val="713A2741"/>
    <w:rsid w:val="713B6657"/>
    <w:rsid w:val="714053F2"/>
    <w:rsid w:val="71521D19"/>
    <w:rsid w:val="7155506F"/>
    <w:rsid w:val="7168641D"/>
    <w:rsid w:val="71701D7B"/>
    <w:rsid w:val="717E5DF6"/>
    <w:rsid w:val="71876DBC"/>
    <w:rsid w:val="718D60EB"/>
    <w:rsid w:val="71924BD7"/>
    <w:rsid w:val="7192653E"/>
    <w:rsid w:val="71992848"/>
    <w:rsid w:val="719972FA"/>
    <w:rsid w:val="71A00DE1"/>
    <w:rsid w:val="71B06E93"/>
    <w:rsid w:val="71B34F2A"/>
    <w:rsid w:val="71B513AE"/>
    <w:rsid w:val="71BF5C96"/>
    <w:rsid w:val="71C70D25"/>
    <w:rsid w:val="71CE5D2C"/>
    <w:rsid w:val="71CF08DF"/>
    <w:rsid w:val="71D93097"/>
    <w:rsid w:val="71EF643B"/>
    <w:rsid w:val="71F0722D"/>
    <w:rsid w:val="71F96A05"/>
    <w:rsid w:val="7208780B"/>
    <w:rsid w:val="720A1228"/>
    <w:rsid w:val="720E0A67"/>
    <w:rsid w:val="72207836"/>
    <w:rsid w:val="72240157"/>
    <w:rsid w:val="722D132F"/>
    <w:rsid w:val="722E6408"/>
    <w:rsid w:val="723839D1"/>
    <w:rsid w:val="723E0F50"/>
    <w:rsid w:val="723E1B79"/>
    <w:rsid w:val="726E053B"/>
    <w:rsid w:val="72783A08"/>
    <w:rsid w:val="727A3E4E"/>
    <w:rsid w:val="728D4EBC"/>
    <w:rsid w:val="72917D44"/>
    <w:rsid w:val="72996222"/>
    <w:rsid w:val="729A2714"/>
    <w:rsid w:val="72A02739"/>
    <w:rsid w:val="72A43145"/>
    <w:rsid w:val="72B23D83"/>
    <w:rsid w:val="72BD7A32"/>
    <w:rsid w:val="72BF4F0D"/>
    <w:rsid w:val="72BF5307"/>
    <w:rsid w:val="72C5574B"/>
    <w:rsid w:val="72CB00F2"/>
    <w:rsid w:val="72E407B2"/>
    <w:rsid w:val="72F773E8"/>
    <w:rsid w:val="7304483D"/>
    <w:rsid w:val="730F128A"/>
    <w:rsid w:val="731464FE"/>
    <w:rsid w:val="731465B2"/>
    <w:rsid w:val="73165739"/>
    <w:rsid w:val="73247AB1"/>
    <w:rsid w:val="732B2F74"/>
    <w:rsid w:val="73407948"/>
    <w:rsid w:val="734B14E2"/>
    <w:rsid w:val="734B4108"/>
    <w:rsid w:val="734D4051"/>
    <w:rsid w:val="735F30A6"/>
    <w:rsid w:val="73702516"/>
    <w:rsid w:val="73746632"/>
    <w:rsid w:val="737D3C50"/>
    <w:rsid w:val="739A036D"/>
    <w:rsid w:val="739C6C4F"/>
    <w:rsid w:val="73A712C3"/>
    <w:rsid w:val="73B05BA5"/>
    <w:rsid w:val="73B61730"/>
    <w:rsid w:val="73B9480B"/>
    <w:rsid w:val="73D62060"/>
    <w:rsid w:val="73D65928"/>
    <w:rsid w:val="73F26870"/>
    <w:rsid w:val="740723CE"/>
    <w:rsid w:val="742370C6"/>
    <w:rsid w:val="742F2014"/>
    <w:rsid w:val="74312486"/>
    <w:rsid w:val="7440133B"/>
    <w:rsid w:val="744C3764"/>
    <w:rsid w:val="745244FB"/>
    <w:rsid w:val="74670590"/>
    <w:rsid w:val="74693FC9"/>
    <w:rsid w:val="747328AB"/>
    <w:rsid w:val="747D56CB"/>
    <w:rsid w:val="74866B81"/>
    <w:rsid w:val="749A1AFF"/>
    <w:rsid w:val="749A6557"/>
    <w:rsid w:val="749B2721"/>
    <w:rsid w:val="749E3893"/>
    <w:rsid w:val="74B34FBB"/>
    <w:rsid w:val="74B530B7"/>
    <w:rsid w:val="74BA1C88"/>
    <w:rsid w:val="74D80ADB"/>
    <w:rsid w:val="74DF02F7"/>
    <w:rsid w:val="74E02F95"/>
    <w:rsid w:val="74EA55AE"/>
    <w:rsid w:val="74F811F5"/>
    <w:rsid w:val="74FD6F16"/>
    <w:rsid w:val="75043508"/>
    <w:rsid w:val="7515690E"/>
    <w:rsid w:val="75215BBE"/>
    <w:rsid w:val="75326904"/>
    <w:rsid w:val="753C1CD3"/>
    <w:rsid w:val="753F3E81"/>
    <w:rsid w:val="755769E6"/>
    <w:rsid w:val="755C7FE5"/>
    <w:rsid w:val="756257C9"/>
    <w:rsid w:val="75641893"/>
    <w:rsid w:val="75660855"/>
    <w:rsid w:val="7568637B"/>
    <w:rsid w:val="757A29D7"/>
    <w:rsid w:val="75882579"/>
    <w:rsid w:val="759B3BB5"/>
    <w:rsid w:val="75A960FC"/>
    <w:rsid w:val="75AF2EFD"/>
    <w:rsid w:val="75B20254"/>
    <w:rsid w:val="75C74413"/>
    <w:rsid w:val="75DC5C2C"/>
    <w:rsid w:val="75F61CE6"/>
    <w:rsid w:val="760A73CE"/>
    <w:rsid w:val="760F6913"/>
    <w:rsid w:val="761262E7"/>
    <w:rsid w:val="76143E0D"/>
    <w:rsid w:val="762569BA"/>
    <w:rsid w:val="762A1A2A"/>
    <w:rsid w:val="76441F48"/>
    <w:rsid w:val="764D19B8"/>
    <w:rsid w:val="765C1557"/>
    <w:rsid w:val="765E2209"/>
    <w:rsid w:val="766A3756"/>
    <w:rsid w:val="7682208B"/>
    <w:rsid w:val="76867E05"/>
    <w:rsid w:val="768E18E3"/>
    <w:rsid w:val="76967A9F"/>
    <w:rsid w:val="76C276E0"/>
    <w:rsid w:val="76C4334D"/>
    <w:rsid w:val="76E1524A"/>
    <w:rsid w:val="76FC618B"/>
    <w:rsid w:val="76FF2D0F"/>
    <w:rsid w:val="770527E3"/>
    <w:rsid w:val="770B76F3"/>
    <w:rsid w:val="77140889"/>
    <w:rsid w:val="77182497"/>
    <w:rsid w:val="773150A7"/>
    <w:rsid w:val="77353DCB"/>
    <w:rsid w:val="773D3E66"/>
    <w:rsid w:val="774B4334"/>
    <w:rsid w:val="776F0323"/>
    <w:rsid w:val="77764653"/>
    <w:rsid w:val="777A725B"/>
    <w:rsid w:val="777E3C7E"/>
    <w:rsid w:val="778E7BEF"/>
    <w:rsid w:val="77922D31"/>
    <w:rsid w:val="779E4A3F"/>
    <w:rsid w:val="77AF21B3"/>
    <w:rsid w:val="77BA6704"/>
    <w:rsid w:val="77BB5535"/>
    <w:rsid w:val="77D37B1C"/>
    <w:rsid w:val="77D543BA"/>
    <w:rsid w:val="77D77F54"/>
    <w:rsid w:val="77DB1A01"/>
    <w:rsid w:val="77DB7F18"/>
    <w:rsid w:val="77E048EF"/>
    <w:rsid w:val="780879A1"/>
    <w:rsid w:val="78147709"/>
    <w:rsid w:val="781B3828"/>
    <w:rsid w:val="781E63EF"/>
    <w:rsid w:val="78223D0F"/>
    <w:rsid w:val="78303DA2"/>
    <w:rsid w:val="78434E7D"/>
    <w:rsid w:val="784A63CE"/>
    <w:rsid w:val="78581CD0"/>
    <w:rsid w:val="78643A7F"/>
    <w:rsid w:val="786A4B4E"/>
    <w:rsid w:val="786B1B93"/>
    <w:rsid w:val="787D61FE"/>
    <w:rsid w:val="788918C4"/>
    <w:rsid w:val="788E4915"/>
    <w:rsid w:val="789A614B"/>
    <w:rsid w:val="78A75E68"/>
    <w:rsid w:val="78A967BD"/>
    <w:rsid w:val="78C65E55"/>
    <w:rsid w:val="78D00903"/>
    <w:rsid w:val="78D668F2"/>
    <w:rsid w:val="78E44CAA"/>
    <w:rsid w:val="78E506A5"/>
    <w:rsid w:val="78E81581"/>
    <w:rsid w:val="78F0754A"/>
    <w:rsid w:val="78FA17B8"/>
    <w:rsid w:val="790B3520"/>
    <w:rsid w:val="79346574"/>
    <w:rsid w:val="79424ABD"/>
    <w:rsid w:val="794C3563"/>
    <w:rsid w:val="7959152F"/>
    <w:rsid w:val="7963350C"/>
    <w:rsid w:val="79634427"/>
    <w:rsid w:val="796B4A4E"/>
    <w:rsid w:val="797E663F"/>
    <w:rsid w:val="79870DFE"/>
    <w:rsid w:val="798968C0"/>
    <w:rsid w:val="798E799C"/>
    <w:rsid w:val="79A20C3E"/>
    <w:rsid w:val="79A47610"/>
    <w:rsid w:val="79AC7831"/>
    <w:rsid w:val="79AD73A1"/>
    <w:rsid w:val="79B2283F"/>
    <w:rsid w:val="79C45333"/>
    <w:rsid w:val="79CD3428"/>
    <w:rsid w:val="79D70ECF"/>
    <w:rsid w:val="79DF5486"/>
    <w:rsid w:val="79EF5453"/>
    <w:rsid w:val="79F63906"/>
    <w:rsid w:val="79FD005A"/>
    <w:rsid w:val="7A052F1E"/>
    <w:rsid w:val="7A1505E1"/>
    <w:rsid w:val="7A1C297C"/>
    <w:rsid w:val="7A1C3EDE"/>
    <w:rsid w:val="7A1E08BC"/>
    <w:rsid w:val="7A2F6452"/>
    <w:rsid w:val="7A5C3C97"/>
    <w:rsid w:val="7A5D2172"/>
    <w:rsid w:val="7A7A445B"/>
    <w:rsid w:val="7A9279F6"/>
    <w:rsid w:val="7A951295"/>
    <w:rsid w:val="7A9E0FE9"/>
    <w:rsid w:val="7AC75BD7"/>
    <w:rsid w:val="7AC92281"/>
    <w:rsid w:val="7ACC0E1C"/>
    <w:rsid w:val="7AE85868"/>
    <w:rsid w:val="7AEF48A0"/>
    <w:rsid w:val="7AF22861"/>
    <w:rsid w:val="7AF70FE2"/>
    <w:rsid w:val="7B1562D3"/>
    <w:rsid w:val="7B1757B5"/>
    <w:rsid w:val="7B242974"/>
    <w:rsid w:val="7B245C02"/>
    <w:rsid w:val="7B2B4FA3"/>
    <w:rsid w:val="7B4236BB"/>
    <w:rsid w:val="7B423C34"/>
    <w:rsid w:val="7B452CBB"/>
    <w:rsid w:val="7B556043"/>
    <w:rsid w:val="7B5622D6"/>
    <w:rsid w:val="7B617CFE"/>
    <w:rsid w:val="7B623F1E"/>
    <w:rsid w:val="7B8532E1"/>
    <w:rsid w:val="7B947576"/>
    <w:rsid w:val="7B964BF3"/>
    <w:rsid w:val="7BA0594D"/>
    <w:rsid w:val="7BA23C69"/>
    <w:rsid w:val="7BA94FF8"/>
    <w:rsid w:val="7BC24630"/>
    <w:rsid w:val="7BD25432"/>
    <w:rsid w:val="7BE10F2C"/>
    <w:rsid w:val="7BE230AC"/>
    <w:rsid w:val="7BE2587A"/>
    <w:rsid w:val="7BE35DB1"/>
    <w:rsid w:val="7BEB4D70"/>
    <w:rsid w:val="7BEC143C"/>
    <w:rsid w:val="7BF06CCA"/>
    <w:rsid w:val="7BF616AC"/>
    <w:rsid w:val="7BF63BD5"/>
    <w:rsid w:val="7BFF19CF"/>
    <w:rsid w:val="7C0A7546"/>
    <w:rsid w:val="7C0F322F"/>
    <w:rsid w:val="7C1B5F57"/>
    <w:rsid w:val="7C244C53"/>
    <w:rsid w:val="7C255C9F"/>
    <w:rsid w:val="7C323D0D"/>
    <w:rsid w:val="7C4918C6"/>
    <w:rsid w:val="7C513C98"/>
    <w:rsid w:val="7C5E1256"/>
    <w:rsid w:val="7C5E3ECF"/>
    <w:rsid w:val="7C643710"/>
    <w:rsid w:val="7C7D5DB7"/>
    <w:rsid w:val="7C820ABB"/>
    <w:rsid w:val="7C8363D2"/>
    <w:rsid w:val="7C99506C"/>
    <w:rsid w:val="7CA22797"/>
    <w:rsid w:val="7CA37AAC"/>
    <w:rsid w:val="7CA50DCB"/>
    <w:rsid w:val="7CB507B6"/>
    <w:rsid w:val="7CD86163"/>
    <w:rsid w:val="7CF24954"/>
    <w:rsid w:val="7CF71B4F"/>
    <w:rsid w:val="7CFE2601"/>
    <w:rsid w:val="7D0C1A12"/>
    <w:rsid w:val="7D0F63A0"/>
    <w:rsid w:val="7D20795C"/>
    <w:rsid w:val="7D357847"/>
    <w:rsid w:val="7D3947B3"/>
    <w:rsid w:val="7D4007D2"/>
    <w:rsid w:val="7D4D41AC"/>
    <w:rsid w:val="7D4E4447"/>
    <w:rsid w:val="7D657763"/>
    <w:rsid w:val="7D6A4D22"/>
    <w:rsid w:val="7D722C77"/>
    <w:rsid w:val="7D792941"/>
    <w:rsid w:val="7D804F9F"/>
    <w:rsid w:val="7D8A2150"/>
    <w:rsid w:val="7D962213"/>
    <w:rsid w:val="7D9B5B38"/>
    <w:rsid w:val="7DA10551"/>
    <w:rsid w:val="7DA30BF4"/>
    <w:rsid w:val="7DB74AC4"/>
    <w:rsid w:val="7DB75B6A"/>
    <w:rsid w:val="7DBA34EC"/>
    <w:rsid w:val="7DC83953"/>
    <w:rsid w:val="7DCE4026"/>
    <w:rsid w:val="7DD81BC4"/>
    <w:rsid w:val="7DDF398D"/>
    <w:rsid w:val="7DE23C43"/>
    <w:rsid w:val="7DE246AB"/>
    <w:rsid w:val="7DF14627"/>
    <w:rsid w:val="7DF23FD7"/>
    <w:rsid w:val="7DF659CB"/>
    <w:rsid w:val="7DF740F1"/>
    <w:rsid w:val="7E001352"/>
    <w:rsid w:val="7E062F6F"/>
    <w:rsid w:val="7E0677CC"/>
    <w:rsid w:val="7E1B0FF5"/>
    <w:rsid w:val="7E2C1760"/>
    <w:rsid w:val="7E392A45"/>
    <w:rsid w:val="7E447F1D"/>
    <w:rsid w:val="7E4F5825"/>
    <w:rsid w:val="7E5672B6"/>
    <w:rsid w:val="7E5E144C"/>
    <w:rsid w:val="7E6F6163"/>
    <w:rsid w:val="7E7538B7"/>
    <w:rsid w:val="7E775881"/>
    <w:rsid w:val="7E783D13"/>
    <w:rsid w:val="7E851174"/>
    <w:rsid w:val="7E9A331D"/>
    <w:rsid w:val="7EAE7AC2"/>
    <w:rsid w:val="7EB443DF"/>
    <w:rsid w:val="7EBB4496"/>
    <w:rsid w:val="7ED14C6C"/>
    <w:rsid w:val="7EE45463"/>
    <w:rsid w:val="7EEE159E"/>
    <w:rsid w:val="7EF83F26"/>
    <w:rsid w:val="7EFD7F5D"/>
    <w:rsid w:val="7F0361A8"/>
    <w:rsid w:val="7F076C05"/>
    <w:rsid w:val="7F147AF3"/>
    <w:rsid w:val="7F1A0395"/>
    <w:rsid w:val="7F1B26B0"/>
    <w:rsid w:val="7F202EEA"/>
    <w:rsid w:val="7F243D7D"/>
    <w:rsid w:val="7F27057A"/>
    <w:rsid w:val="7F3A7A26"/>
    <w:rsid w:val="7F3B05D3"/>
    <w:rsid w:val="7F4C00A2"/>
    <w:rsid w:val="7F5E017B"/>
    <w:rsid w:val="7F5F07EF"/>
    <w:rsid w:val="7F5F4AD6"/>
    <w:rsid w:val="7F617D26"/>
    <w:rsid w:val="7F7B52E7"/>
    <w:rsid w:val="7F8401A5"/>
    <w:rsid w:val="7F853ABC"/>
    <w:rsid w:val="7F871AF4"/>
    <w:rsid w:val="7F880BDE"/>
    <w:rsid w:val="7F8F568A"/>
    <w:rsid w:val="7F9E590C"/>
    <w:rsid w:val="7FA840A1"/>
    <w:rsid w:val="7FDD7966"/>
    <w:rsid w:val="7FDE2985"/>
    <w:rsid w:val="7FF02002"/>
    <w:rsid w:val="7FFA22C6"/>
    <w:rsid w:val="7FFF0B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40"/>
      <w:jc w:val="center"/>
      <w:outlineLvl w:val="0"/>
    </w:pPr>
    <w:rPr>
      <w:rFonts w:eastAsia="华文仿宋"/>
      <w:b/>
      <w:bCs/>
      <w:kern w:val="44"/>
      <w:sz w:val="36"/>
      <w:szCs w:val="36"/>
    </w:rPr>
  </w:style>
  <w:style w:type="paragraph" w:styleId="3">
    <w:name w:val="heading 2"/>
    <w:basedOn w:val="1"/>
    <w:next w:val="1"/>
    <w:qFormat/>
    <w:uiPriority w:val="0"/>
    <w:pPr>
      <w:keepNext/>
      <w:keepLines/>
      <w:spacing w:before="260" w:after="260"/>
      <w:outlineLvl w:val="1"/>
    </w:pPr>
    <w:rPr>
      <w:rFonts w:ascii="仿宋_GB2312" w:hAnsi="Arial" w:eastAsia="华文仿宋"/>
      <w:b/>
      <w:bCs/>
      <w:kern w:val="0"/>
      <w:sz w:val="32"/>
      <w:szCs w:val="28"/>
    </w:rPr>
  </w:style>
  <w:style w:type="paragraph" w:styleId="4">
    <w:name w:val="heading 3"/>
    <w:basedOn w:val="1"/>
    <w:next w:val="1"/>
    <w:qFormat/>
    <w:uiPriority w:val="0"/>
    <w:pPr>
      <w:keepNext/>
      <w:keepLines/>
      <w:spacing w:before="260" w:after="260"/>
      <w:outlineLvl w:val="2"/>
    </w:pPr>
    <w:rPr>
      <w:rFonts w:eastAsia="仿宋_GB2312"/>
      <w:b/>
      <w:bCs/>
      <w:sz w:val="28"/>
      <w:szCs w:val="32"/>
    </w:rPr>
  </w:style>
  <w:style w:type="paragraph" w:styleId="5">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0"/>
    <w:rPr>
      <w:rFonts w:eastAsia="黑体" w:asciiTheme="majorHAnsi" w:hAnsiTheme="majorHAnsi" w:cstheme="majorBidi"/>
      <w:sz w:val="20"/>
      <w:szCs w:val="20"/>
    </w:rPr>
  </w:style>
  <w:style w:type="paragraph" w:styleId="7">
    <w:name w:val="Document Map"/>
    <w:basedOn w:val="1"/>
    <w:semiHidden/>
    <w:qFormat/>
    <w:uiPriority w:val="0"/>
    <w:pPr>
      <w:shd w:val="clear" w:color="auto" w:fill="000080"/>
    </w:pPr>
  </w:style>
  <w:style w:type="paragraph" w:styleId="8">
    <w:name w:val="annotation text"/>
    <w:basedOn w:val="1"/>
    <w:link w:val="80"/>
    <w:qFormat/>
    <w:uiPriority w:val="0"/>
    <w:pPr>
      <w:jc w:val="left"/>
    </w:pPr>
  </w:style>
  <w:style w:type="paragraph" w:styleId="9">
    <w:name w:val="Salutation"/>
    <w:basedOn w:val="1"/>
    <w:next w:val="1"/>
    <w:link w:val="59"/>
    <w:qFormat/>
    <w:uiPriority w:val="0"/>
    <w:rPr>
      <w:rFonts w:ascii="仿宋" w:hAnsi="仿宋" w:eastAsia="仿宋"/>
      <w:sz w:val="28"/>
      <w:szCs w:val="28"/>
    </w:rPr>
  </w:style>
  <w:style w:type="paragraph" w:styleId="10">
    <w:name w:val="Closing"/>
    <w:basedOn w:val="1"/>
    <w:link w:val="60"/>
    <w:qFormat/>
    <w:uiPriority w:val="0"/>
    <w:pPr>
      <w:ind w:left="100" w:leftChars="2100"/>
    </w:pPr>
    <w:rPr>
      <w:rFonts w:ascii="仿宋" w:hAnsi="仿宋" w:eastAsia="仿宋"/>
      <w:sz w:val="28"/>
      <w:szCs w:val="28"/>
    </w:rPr>
  </w:style>
  <w:style w:type="paragraph" w:styleId="11">
    <w:name w:val="Body Text Indent"/>
    <w:basedOn w:val="1"/>
    <w:qFormat/>
    <w:uiPriority w:val="0"/>
    <w:pPr>
      <w:ind w:firstLine="705"/>
      <w:jc w:val="left"/>
    </w:pPr>
    <w:rPr>
      <w:sz w:val="30"/>
    </w:rPr>
  </w:style>
  <w:style w:type="paragraph" w:styleId="12">
    <w:name w:val="Block Text"/>
    <w:basedOn w:val="1"/>
    <w:qFormat/>
    <w:uiPriority w:val="0"/>
    <w:pPr>
      <w:tabs>
        <w:tab w:val="left" w:pos="-2205"/>
      </w:tabs>
      <w:spacing w:line="360" w:lineRule="auto"/>
      <w:ind w:left="1440" w:right="17" w:hanging="1440" w:hangingChars="480"/>
    </w:pPr>
    <w:rPr>
      <w:rFonts w:ascii="仿宋_GB2312" w:hAnsi="宋体" w:eastAsia="仿宋_GB2312"/>
      <w:sz w:val="30"/>
      <w:szCs w:val="30"/>
    </w:rPr>
  </w:style>
  <w:style w:type="paragraph" w:styleId="13">
    <w:name w:val="Plain Text"/>
    <w:basedOn w:val="1"/>
    <w:link w:val="31"/>
    <w:qFormat/>
    <w:uiPriority w:val="0"/>
    <w:rPr>
      <w:rFonts w:ascii="宋体" w:hAnsi="Courier New"/>
      <w:szCs w:val="20"/>
    </w:rPr>
  </w:style>
  <w:style w:type="paragraph" w:styleId="14">
    <w:name w:val="Date"/>
    <w:basedOn w:val="1"/>
    <w:next w:val="1"/>
    <w:qFormat/>
    <w:uiPriority w:val="0"/>
    <w:pPr>
      <w:ind w:left="100" w:leftChars="2500"/>
    </w:pPr>
  </w:style>
  <w:style w:type="paragraph" w:styleId="15">
    <w:name w:val="Body Text Indent 2"/>
    <w:basedOn w:val="1"/>
    <w:qFormat/>
    <w:uiPriority w:val="0"/>
    <w:pPr>
      <w:spacing w:line="500" w:lineRule="exact"/>
      <w:ind w:firstLine="560" w:firstLineChars="200"/>
    </w:pPr>
    <w:rPr>
      <w:rFonts w:ascii="仿宋_GB2312" w:eastAsia="仿宋_GB2312"/>
      <w:sz w:val="28"/>
      <w:szCs w:val="28"/>
    </w:rPr>
  </w:style>
  <w:style w:type="paragraph" w:styleId="16">
    <w:name w:val="Balloon Text"/>
    <w:basedOn w:val="1"/>
    <w:semiHidden/>
    <w:qFormat/>
    <w:uiPriority w:val="0"/>
    <w:rPr>
      <w:sz w:val="18"/>
      <w:szCs w:val="18"/>
    </w:rPr>
  </w:style>
  <w:style w:type="paragraph" w:styleId="17">
    <w:name w:val="footer"/>
    <w:basedOn w:val="1"/>
    <w:link w:val="38"/>
    <w:qFormat/>
    <w:uiPriority w:val="99"/>
    <w:pPr>
      <w:tabs>
        <w:tab w:val="center" w:pos="4153"/>
        <w:tab w:val="right" w:pos="8306"/>
      </w:tabs>
      <w:snapToGrid w:val="0"/>
      <w:jc w:val="left"/>
    </w:pPr>
    <w:rPr>
      <w:sz w:val="18"/>
      <w:szCs w:val="18"/>
    </w:rPr>
  </w:style>
  <w:style w:type="paragraph" w:styleId="18">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rPr>
      <w:rFonts w:eastAsia="仿宋"/>
      <w:sz w:val="28"/>
    </w:rPr>
  </w:style>
  <w:style w:type="paragraph" w:styleId="20">
    <w:name w:val="Body Text Indent 3"/>
    <w:basedOn w:val="1"/>
    <w:qFormat/>
    <w:uiPriority w:val="0"/>
    <w:pPr>
      <w:spacing w:line="520" w:lineRule="exact"/>
      <w:ind w:firstLine="560" w:firstLineChars="200"/>
    </w:pPr>
    <w:rPr>
      <w:rFonts w:ascii="仿宋_GB2312" w:eastAsia="仿宋_GB2312"/>
      <w:color w:val="FF0000"/>
      <w:sz w:val="28"/>
      <w:szCs w:val="28"/>
    </w:rPr>
  </w:style>
  <w:style w:type="paragraph" w:styleId="21">
    <w:name w:val="toc 2"/>
    <w:basedOn w:val="1"/>
    <w:next w:val="1"/>
    <w:qFormat/>
    <w:uiPriority w:val="39"/>
    <w:pPr>
      <w:ind w:left="420" w:leftChars="200"/>
    </w:pPr>
    <w:rPr>
      <w:rFonts w:eastAsia="仿宋"/>
      <w:sz w:val="28"/>
    </w:rPr>
  </w:style>
  <w:style w:type="paragraph" w:styleId="22">
    <w:name w:val="Normal (Web)"/>
    <w:basedOn w:val="1"/>
    <w:unhideWhenUsed/>
    <w:qFormat/>
    <w:uiPriority w:val="99"/>
    <w:pPr>
      <w:widowControl/>
      <w:jc w:val="left"/>
    </w:pPr>
    <w:rPr>
      <w:rFonts w:ascii="宋体" w:hAnsi="宋体" w:cs="宋体"/>
      <w:kern w:val="0"/>
      <w:sz w:val="24"/>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page number"/>
    <w:basedOn w:val="25"/>
    <w:qFormat/>
    <w:uiPriority w:val="0"/>
  </w:style>
  <w:style w:type="character" w:styleId="28">
    <w:name w:val="FollowedHyperlink"/>
    <w:basedOn w:val="25"/>
    <w:qFormat/>
    <w:uiPriority w:val="0"/>
    <w:rPr>
      <w:color w:val="800080"/>
      <w:u w:val="single"/>
    </w:rPr>
  </w:style>
  <w:style w:type="character" w:styleId="29">
    <w:name w:val="Hyperlink"/>
    <w:basedOn w:val="25"/>
    <w:qFormat/>
    <w:uiPriority w:val="99"/>
    <w:rPr>
      <w:color w:val="0000FF"/>
      <w:u w:val="single"/>
    </w:rPr>
  </w:style>
  <w:style w:type="paragraph" w:customStyle="1" w:styleId="30">
    <w:name w:val="Char"/>
    <w:basedOn w:val="1"/>
    <w:qFormat/>
    <w:uiPriority w:val="0"/>
    <w:pPr>
      <w:tabs>
        <w:tab w:val="left" w:pos="1275"/>
      </w:tabs>
      <w:ind w:left="1275" w:hanging="720"/>
    </w:pPr>
    <w:rPr>
      <w:sz w:val="24"/>
    </w:rPr>
  </w:style>
  <w:style w:type="character" w:customStyle="1" w:styleId="31">
    <w:name w:val="纯文本 Char"/>
    <w:basedOn w:val="25"/>
    <w:link w:val="13"/>
    <w:qFormat/>
    <w:uiPriority w:val="0"/>
    <w:rPr>
      <w:rFonts w:ascii="宋体" w:hAnsi="Courier New"/>
      <w:kern w:val="2"/>
      <w:sz w:val="21"/>
    </w:rPr>
  </w:style>
  <w:style w:type="character" w:customStyle="1" w:styleId="32">
    <w:name w:val="corp1name"/>
    <w:basedOn w:val="25"/>
    <w:qFormat/>
    <w:uiPriority w:val="0"/>
  </w:style>
  <w:style w:type="character" w:customStyle="1" w:styleId="33">
    <w:name w:val="r_报告编号"/>
    <w:basedOn w:val="25"/>
    <w:qFormat/>
    <w:uiPriority w:val="0"/>
  </w:style>
  <w:style w:type="character" w:customStyle="1" w:styleId="34">
    <w:name w:val="s_地址"/>
    <w:basedOn w:val="25"/>
    <w:qFormat/>
    <w:uiPriority w:val="0"/>
  </w:style>
  <w:style w:type="character" w:customStyle="1" w:styleId="35">
    <w:name w:val="无间隔 Char"/>
    <w:basedOn w:val="25"/>
    <w:link w:val="36"/>
    <w:qFormat/>
    <w:uiPriority w:val="1"/>
    <w:rPr>
      <w:rFonts w:ascii="Calibri" w:hAnsi="Calibri"/>
      <w:sz w:val="22"/>
      <w:szCs w:val="22"/>
      <w:lang w:val="en-US" w:eastAsia="zh-CN" w:bidi="ar-SA"/>
    </w:rPr>
  </w:style>
  <w:style w:type="paragraph" w:styleId="36">
    <w:name w:val="No Spacing"/>
    <w:link w:val="35"/>
    <w:qFormat/>
    <w:uiPriority w:val="1"/>
    <w:rPr>
      <w:rFonts w:ascii="Calibri" w:hAnsi="Calibri" w:eastAsia="宋体" w:cs="Times New Roman"/>
      <w:sz w:val="22"/>
      <w:szCs w:val="22"/>
      <w:lang w:val="en-US" w:eastAsia="zh-CN" w:bidi="ar-SA"/>
    </w:rPr>
  </w:style>
  <w:style w:type="character" w:customStyle="1" w:styleId="37">
    <w:name w:val="r_结束日期(长)"/>
    <w:basedOn w:val="25"/>
    <w:qFormat/>
    <w:uiPriority w:val="0"/>
  </w:style>
  <w:style w:type="character" w:customStyle="1" w:styleId="38">
    <w:name w:val="页脚 Char"/>
    <w:basedOn w:val="25"/>
    <w:link w:val="17"/>
    <w:qFormat/>
    <w:uiPriority w:val="99"/>
    <w:rPr>
      <w:kern w:val="2"/>
      <w:sz w:val="18"/>
      <w:szCs w:val="18"/>
    </w:rPr>
  </w:style>
  <w:style w:type="character" w:customStyle="1" w:styleId="39">
    <w:name w:val="页眉 Char"/>
    <w:basedOn w:val="25"/>
    <w:link w:val="18"/>
    <w:qFormat/>
    <w:uiPriority w:val="99"/>
    <w:rPr>
      <w:kern w:val="2"/>
      <w:sz w:val="18"/>
      <w:szCs w:val="18"/>
    </w:rPr>
  </w:style>
  <w:style w:type="paragraph" w:customStyle="1" w:styleId="40">
    <w:name w:val="列出段落1"/>
    <w:basedOn w:val="1"/>
    <w:qFormat/>
    <w:uiPriority w:val="34"/>
    <w:pPr>
      <w:ind w:firstLine="200" w:firstLineChars="200"/>
    </w:pPr>
    <w:rPr>
      <w:rFonts w:ascii="Calibri" w:hAnsi="Calibri"/>
      <w:szCs w:val="22"/>
    </w:rPr>
  </w:style>
  <w:style w:type="paragraph" w:customStyle="1" w:styleId="41">
    <w:name w:val="xl27"/>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2">
    <w:name w:val="Char Char"/>
    <w:basedOn w:val="1"/>
    <w:qFormat/>
    <w:uiPriority w:val="0"/>
    <w:pPr>
      <w:tabs>
        <w:tab w:val="left" w:pos="1260"/>
        <w:tab w:val="left" w:pos="1605"/>
      </w:tabs>
      <w:ind w:left="1260" w:hanging="360"/>
    </w:pPr>
    <w:rPr>
      <w:rFonts w:ascii="宋体" w:hAnsi="宋体"/>
      <w:kern w:val="0"/>
      <w:sz w:val="28"/>
      <w:szCs w:val="28"/>
    </w:rPr>
  </w:style>
  <w:style w:type="paragraph" w:customStyle="1" w:styleId="43">
    <w:name w:val="xl34"/>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5">
    <w:name w:val="xl25"/>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6">
    <w:name w:val="bigtext"/>
    <w:basedOn w:val="1"/>
    <w:qFormat/>
    <w:uiPriority w:val="0"/>
    <w:pPr>
      <w:widowControl/>
      <w:spacing w:before="100" w:beforeAutospacing="1" w:after="100" w:afterAutospacing="1" w:line="300" w:lineRule="atLeast"/>
      <w:ind w:firstLine="480"/>
      <w:jc w:val="left"/>
    </w:pPr>
    <w:rPr>
      <w:rFonts w:ascii="ˎ̥" w:hAnsi="ˎ̥" w:cs="宋体"/>
      <w:kern w:val="0"/>
      <w:sz w:val="18"/>
      <w:szCs w:val="18"/>
    </w:rPr>
  </w:style>
  <w:style w:type="paragraph" w:customStyle="1" w:styleId="47">
    <w:name w:val="xl31"/>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48">
    <w:name w:val="Char4"/>
    <w:basedOn w:val="1"/>
    <w:qFormat/>
    <w:uiPriority w:val="0"/>
    <w:rPr>
      <w:rFonts w:ascii="Tahoma" w:hAnsi="Tahoma"/>
      <w:sz w:val="24"/>
      <w:szCs w:val="20"/>
    </w:rPr>
  </w:style>
  <w:style w:type="paragraph" w:customStyle="1" w:styleId="49">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50">
    <w:name w:val="xl33"/>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1">
    <w:name w:val="xl24"/>
    <w:basedOn w:val="1"/>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2">
    <w:name w:val="xl32"/>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3">
    <w:name w:val="xl30"/>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4">
    <w:name w:val="xl29"/>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5">
    <w:name w:val="xl26"/>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6">
    <w:name w:val="xl35"/>
    <w:basedOn w:val="1"/>
    <w:qFormat/>
    <w:uiPriority w:val="0"/>
    <w:pPr>
      <w:widowControl/>
      <w:pBdr>
        <w:bottom w:val="double" w:color="auto" w:sz="6" w:space="0"/>
      </w:pBdr>
      <w:spacing w:before="100" w:beforeAutospacing="1" w:after="100" w:afterAutospacing="1"/>
      <w:jc w:val="center"/>
      <w:textAlignment w:val="center"/>
    </w:pPr>
    <w:rPr>
      <w:rFonts w:hint="eastAsia" w:ascii="仿宋_GB2312" w:hAnsi="Arial Unicode MS" w:eastAsia="仿宋_GB2312"/>
      <w:kern w:val="0"/>
      <w:sz w:val="24"/>
    </w:rPr>
  </w:style>
  <w:style w:type="paragraph" w:customStyle="1" w:styleId="57">
    <w:name w:val="Char1"/>
    <w:basedOn w:val="1"/>
    <w:qFormat/>
    <w:uiPriority w:val="0"/>
    <w:pPr>
      <w:tabs>
        <w:tab w:val="left" w:pos="1260"/>
        <w:tab w:val="left" w:pos="1605"/>
      </w:tabs>
      <w:ind w:left="1260" w:hanging="360"/>
    </w:pPr>
    <w:rPr>
      <w:rFonts w:ascii="宋体" w:hAnsi="宋体"/>
      <w:kern w:val="0"/>
      <w:sz w:val="28"/>
      <w:szCs w:val="28"/>
    </w:rPr>
  </w:style>
  <w:style w:type="paragraph" w:customStyle="1" w:styleId="58">
    <w:name w:val="样式7"/>
    <w:basedOn w:val="1"/>
    <w:qFormat/>
    <w:uiPriority w:val="0"/>
    <w:pPr>
      <w:spacing w:line="360" w:lineRule="auto"/>
      <w:ind w:firstLine="567"/>
    </w:pPr>
    <w:rPr>
      <w:rFonts w:ascii="仿宋_GB2312" w:eastAsia="仿宋_GB2312"/>
      <w:sz w:val="28"/>
      <w:szCs w:val="20"/>
    </w:rPr>
  </w:style>
  <w:style w:type="character" w:customStyle="1" w:styleId="59">
    <w:name w:val="称呼 Char"/>
    <w:basedOn w:val="25"/>
    <w:link w:val="9"/>
    <w:qFormat/>
    <w:uiPriority w:val="0"/>
    <w:rPr>
      <w:rFonts w:ascii="仿宋" w:hAnsi="仿宋" w:eastAsia="仿宋"/>
      <w:kern w:val="2"/>
      <w:sz w:val="28"/>
      <w:szCs w:val="28"/>
    </w:rPr>
  </w:style>
  <w:style w:type="character" w:customStyle="1" w:styleId="60">
    <w:name w:val="结束语 Char"/>
    <w:basedOn w:val="25"/>
    <w:link w:val="10"/>
    <w:qFormat/>
    <w:uiPriority w:val="0"/>
    <w:rPr>
      <w:rFonts w:ascii="仿宋" w:hAnsi="仿宋" w:eastAsia="仿宋"/>
      <w:kern w:val="2"/>
      <w:sz w:val="28"/>
      <w:szCs w:val="28"/>
    </w:rPr>
  </w:style>
  <w:style w:type="paragraph" w:styleId="61">
    <w:name w:val="List Paragraph"/>
    <w:basedOn w:val="1"/>
    <w:unhideWhenUsed/>
    <w:qFormat/>
    <w:uiPriority w:val="99"/>
    <w:pPr>
      <w:ind w:firstLine="420" w:firstLineChars="200"/>
    </w:pPr>
  </w:style>
  <w:style w:type="character" w:customStyle="1" w:styleId="62">
    <w:name w:val="msonormal"/>
    <w:basedOn w:val="25"/>
    <w:qFormat/>
    <w:uiPriority w:val="0"/>
  </w:style>
  <w:style w:type="character" w:customStyle="1" w:styleId="63">
    <w:name w:val="s_用地面积"/>
    <w:basedOn w:val="25"/>
    <w:qFormat/>
    <w:uiPriority w:val="0"/>
  </w:style>
  <w:style w:type="character" w:customStyle="1" w:styleId="64">
    <w:name w:val="r_估价期日(长数字)"/>
    <w:basedOn w:val="25"/>
    <w:qFormat/>
    <w:uiPriority w:val="0"/>
  </w:style>
  <w:style w:type="character" w:customStyle="1" w:styleId="65">
    <w:name w:val="client1"/>
    <w:basedOn w:val="25"/>
    <w:qFormat/>
    <w:uiPriority w:val="0"/>
  </w:style>
  <w:style w:type="paragraph" w:customStyle="1" w:styleId="66">
    <w:name w:val="报告正文"/>
    <w:basedOn w:val="1"/>
    <w:qFormat/>
    <w:uiPriority w:val="0"/>
    <w:pPr>
      <w:spacing w:line="500" w:lineRule="atLeast"/>
      <w:ind w:firstLine="567"/>
    </w:pPr>
    <w:rPr>
      <w:rFonts w:hint="eastAsia" w:ascii="仿宋_GB2312" w:hAnsi="Courier New" w:eastAsia="仿宋_GB2312"/>
      <w:sz w:val="28"/>
      <w:szCs w:val="20"/>
    </w:rPr>
  </w:style>
  <w:style w:type="character" w:customStyle="1" w:styleId="67">
    <w:name w:val="font11"/>
    <w:basedOn w:val="25"/>
    <w:qFormat/>
    <w:uiPriority w:val="0"/>
    <w:rPr>
      <w:rFonts w:hint="eastAsia" w:ascii="宋体" w:hAnsi="宋体" w:eastAsia="宋体" w:cs="宋体"/>
      <w:color w:val="000000"/>
      <w:sz w:val="18"/>
      <w:szCs w:val="18"/>
      <w:u w:val="none"/>
    </w:rPr>
  </w:style>
  <w:style w:type="paragraph" w:customStyle="1" w:styleId="68">
    <w:name w:val="Char2"/>
    <w:basedOn w:val="1"/>
    <w:qFormat/>
    <w:uiPriority w:val="0"/>
    <w:pPr>
      <w:tabs>
        <w:tab w:val="left" w:pos="1275"/>
      </w:tabs>
      <w:ind w:left="1275" w:hanging="720"/>
    </w:pPr>
    <w:rPr>
      <w:sz w:val="24"/>
    </w:rPr>
  </w:style>
  <w:style w:type="paragraph" w:customStyle="1" w:styleId="69">
    <w:name w:val="Char31"/>
    <w:basedOn w:val="1"/>
    <w:qFormat/>
    <w:uiPriority w:val="0"/>
    <w:pPr>
      <w:numPr>
        <w:ilvl w:val="0"/>
        <w:numId w:val="1"/>
      </w:numPr>
    </w:pPr>
    <w:rPr>
      <w:sz w:val="24"/>
    </w:rPr>
  </w:style>
  <w:style w:type="character" w:customStyle="1" w:styleId="70">
    <w:name w:val="font31"/>
    <w:basedOn w:val="25"/>
    <w:qFormat/>
    <w:uiPriority w:val="0"/>
    <w:rPr>
      <w:rFonts w:hint="eastAsia" w:ascii="宋体" w:hAnsi="宋体" w:eastAsia="宋体" w:cs="宋体"/>
      <w:b/>
      <w:bCs/>
      <w:color w:val="000000"/>
      <w:sz w:val="18"/>
      <w:szCs w:val="18"/>
      <w:u w:val="none"/>
    </w:rPr>
  </w:style>
  <w:style w:type="character" w:customStyle="1" w:styleId="71">
    <w:name w:val="font41"/>
    <w:basedOn w:val="25"/>
    <w:qFormat/>
    <w:uiPriority w:val="0"/>
    <w:rPr>
      <w:rFonts w:hint="eastAsia" w:ascii="宋体" w:hAnsi="宋体" w:eastAsia="宋体" w:cs="宋体"/>
      <w:b/>
      <w:bCs/>
      <w:color w:val="000000"/>
      <w:sz w:val="15"/>
      <w:szCs w:val="15"/>
      <w:u w:val="none"/>
    </w:rPr>
  </w:style>
  <w:style w:type="character" w:customStyle="1" w:styleId="72">
    <w:name w:val="font51"/>
    <w:basedOn w:val="25"/>
    <w:qFormat/>
    <w:uiPriority w:val="0"/>
    <w:rPr>
      <w:rFonts w:hint="default" w:ascii="Times New Roman" w:hAnsi="Times New Roman" w:cs="Times New Roman"/>
      <w:b/>
      <w:bCs/>
      <w:color w:val="000000"/>
      <w:sz w:val="15"/>
      <w:szCs w:val="15"/>
      <w:u w:val="none"/>
    </w:rPr>
  </w:style>
  <w:style w:type="character" w:customStyle="1" w:styleId="73">
    <w:name w:val="font01"/>
    <w:basedOn w:val="25"/>
    <w:qFormat/>
    <w:uiPriority w:val="0"/>
    <w:rPr>
      <w:rFonts w:hint="eastAsia" w:ascii="宋体" w:hAnsi="宋体" w:eastAsia="宋体" w:cs="宋体"/>
      <w:b/>
      <w:bCs/>
      <w:color w:val="000000"/>
      <w:sz w:val="15"/>
      <w:szCs w:val="15"/>
      <w:u w:val="none"/>
      <w:vertAlign w:val="superscript"/>
    </w:rPr>
  </w:style>
  <w:style w:type="character" w:customStyle="1" w:styleId="74">
    <w:name w:val="font71"/>
    <w:basedOn w:val="25"/>
    <w:qFormat/>
    <w:uiPriority w:val="0"/>
    <w:rPr>
      <w:rFonts w:hint="default" w:ascii="Times New Roman" w:hAnsi="Times New Roman" w:cs="Times New Roman"/>
      <w:b/>
      <w:bCs/>
      <w:color w:val="000000"/>
      <w:sz w:val="15"/>
      <w:szCs w:val="15"/>
      <w:u w:val="none"/>
    </w:rPr>
  </w:style>
  <w:style w:type="character" w:customStyle="1" w:styleId="75">
    <w:name w:val="font101"/>
    <w:basedOn w:val="25"/>
    <w:qFormat/>
    <w:uiPriority w:val="0"/>
    <w:rPr>
      <w:rFonts w:hint="eastAsia" w:ascii="宋体" w:hAnsi="宋体" w:eastAsia="宋体" w:cs="宋体"/>
      <w:b/>
      <w:bCs/>
      <w:color w:val="000000"/>
      <w:sz w:val="15"/>
      <w:szCs w:val="15"/>
      <w:u w:val="none"/>
      <w:vertAlign w:val="superscript"/>
    </w:rPr>
  </w:style>
  <w:style w:type="character" w:customStyle="1" w:styleId="76">
    <w:name w:val="font21"/>
    <w:basedOn w:val="25"/>
    <w:qFormat/>
    <w:uiPriority w:val="0"/>
    <w:rPr>
      <w:rFonts w:hint="eastAsia" w:ascii="宋体" w:hAnsi="宋体" w:eastAsia="宋体" w:cs="宋体"/>
      <w:color w:val="000000"/>
      <w:sz w:val="21"/>
      <w:szCs w:val="21"/>
      <w:u w:val="none"/>
    </w:rPr>
  </w:style>
  <w:style w:type="paragraph" w:customStyle="1" w:styleId="77">
    <w:name w:val="Char5"/>
    <w:basedOn w:val="1"/>
    <w:qFormat/>
    <w:uiPriority w:val="0"/>
    <w:pPr>
      <w:tabs>
        <w:tab w:val="left" w:pos="1275"/>
      </w:tabs>
      <w:ind w:left="1275" w:hanging="720"/>
    </w:pPr>
    <w:rPr>
      <w:sz w:val="24"/>
    </w:rPr>
  </w:style>
  <w:style w:type="paragraph" w:customStyle="1" w:styleId="78">
    <w:name w:val="Char3"/>
    <w:basedOn w:val="1"/>
    <w:qFormat/>
    <w:uiPriority w:val="0"/>
    <w:pPr>
      <w:tabs>
        <w:tab w:val="left" w:pos="1275"/>
      </w:tabs>
      <w:ind w:left="1275" w:hanging="720"/>
    </w:pPr>
    <w:rPr>
      <w:sz w:val="24"/>
    </w:rPr>
  </w:style>
  <w:style w:type="character" w:customStyle="1" w:styleId="79">
    <w:name w:val="basefactorname"/>
    <w:basedOn w:val="25"/>
    <w:qFormat/>
    <w:uiPriority w:val="0"/>
  </w:style>
  <w:style w:type="character" w:customStyle="1" w:styleId="80">
    <w:name w:val="批注文字 Char"/>
    <w:basedOn w:val="25"/>
    <w:link w:val="8"/>
    <w:qFormat/>
    <w:uiPriority w:val="0"/>
    <w:rPr>
      <w:kern w:val="2"/>
      <w:sz w:val="21"/>
      <w:szCs w:val="24"/>
    </w:rPr>
  </w:style>
  <w:style w:type="character" w:customStyle="1" w:styleId="81">
    <w:name w:val="r_价值类型"/>
    <w:basedOn w:val="25"/>
    <w:qFormat/>
    <w:uiPriority w:val="0"/>
  </w:style>
  <w:style w:type="character" w:customStyle="1" w:styleId="82">
    <w:name w:val="s_估价类型"/>
    <w:basedOn w:val="25"/>
    <w:qFormat/>
    <w:uiPriority w:val="0"/>
  </w:style>
  <w:style w:type="character" w:customStyle="1" w:styleId="83">
    <w:name w:val="s_权利人"/>
    <w:basedOn w:val="25"/>
    <w:qFormat/>
    <w:uiPriority w:val="0"/>
  </w:style>
  <w:style w:type="character" w:customStyle="1" w:styleId="84">
    <w:name w:val="font91"/>
    <w:basedOn w:val="25"/>
    <w:qFormat/>
    <w:uiPriority w:val="0"/>
    <w:rPr>
      <w:rFonts w:hint="eastAsia" w:ascii="宋体" w:hAnsi="宋体" w:eastAsia="宋体" w:cs="宋体"/>
      <w:b/>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8"/>
    <customShpInfo spid="_x0000_s3074"/>
    <customShpInfo spid="_x0000_s3077"/>
    <customShpInfo spid="_x0000_s3075"/>
    <customShpInfo spid="_x0000_s3076"/>
    <customShpInfo spid="_x0000_s3073"/>
    <customShpInfo spid="_x0000_s2051"/>
    <customShpInfo spid="_x0000_s2050"/>
    <customShpInfo spid="_x0000_s2052"/>
    <customShpInfo spid="_x0000_s2053"/>
    <customShpInfo spid="_x0000_s2055"/>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32A588-9256-470A-99CE-4925C7692F49}">
  <ds:schemaRefs/>
</ds:datastoreItem>
</file>

<file path=docProps/app.xml><?xml version="1.0" encoding="utf-8"?>
<Properties xmlns="http://schemas.openxmlformats.org/officeDocument/2006/extended-properties" xmlns:vt="http://schemas.openxmlformats.org/officeDocument/2006/docPropsVTypes">
  <Template>Normal.dotm</Template>
  <Company>wb</Company>
  <Pages>18</Pages>
  <Words>5309</Words>
  <Characters>5659</Characters>
  <Lines>144</Lines>
  <Paragraphs>40</Paragraphs>
  <TotalTime>0</TotalTime>
  <ScaleCrop>false</ScaleCrop>
  <LinksUpToDate>false</LinksUpToDate>
  <CharactersWithSpaces>5798</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2018-03-30T03:26:00Z</dcterms:created>
  <dc:creator>xll</dc:creator>
  <cp:lastModifiedBy>lenovo4500</cp:lastModifiedBy>
  <cp:lastPrinted>2022-03-01T08:45:00Z</cp:lastPrinted>
  <dcterms:modified xsi:type="dcterms:W3CDTF">2022-06-23T02:53:02Z</dcterms:modified>
  <dc:title>宁波衡信房地产估价有限公司</dc:title>
  <cp:revision>1594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AB28AA2EAA5643429E54F94800417C32</vt:lpwstr>
  </property>
</Properties>
</file>