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00" w:lineRule="atLeast"/>
        <w:ind w:firstLine="420"/>
        <w:jc w:val="center"/>
        <w:rPr>
          <w:rFonts w:ascii="隶书" w:eastAsia="隶书"/>
          <w:kern w:val="0"/>
          <w:sz w:val="72"/>
          <w:szCs w:val="22"/>
        </w:rPr>
      </w:pPr>
    </w:p>
    <w:p>
      <w:pPr>
        <w:adjustRightInd w:val="0"/>
        <w:spacing w:line="500" w:lineRule="atLeast"/>
        <w:ind w:firstLine="420"/>
        <w:jc w:val="center"/>
        <w:rPr>
          <w:rFonts w:ascii="仿宋" w:hAnsi="仿宋" w:eastAsia="仿宋"/>
          <w:b/>
          <w:bCs/>
          <w:spacing w:val="-6"/>
          <w:sz w:val="48"/>
          <w:szCs w:val="48"/>
        </w:rPr>
      </w:pPr>
      <w:r>
        <w:rPr>
          <w:rFonts w:hint="eastAsia" w:ascii="仿宋" w:hAnsi="仿宋" w:eastAsia="仿宋"/>
          <w:b/>
          <w:bCs/>
          <w:spacing w:val="-6"/>
          <w:sz w:val="48"/>
          <w:szCs w:val="48"/>
        </w:rPr>
        <w:t>涉执房地产处置司法评估报告</w:t>
      </w:r>
    </w:p>
    <w:p>
      <w:pPr>
        <w:adjustRightInd w:val="0"/>
        <w:spacing w:line="500" w:lineRule="atLeast"/>
        <w:ind w:firstLine="420"/>
        <w:jc w:val="center"/>
        <w:rPr>
          <w:rFonts w:ascii="隶书" w:eastAsia="隶书"/>
          <w:kern w:val="0"/>
          <w:sz w:val="72"/>
          <w:szCs w:val="22"/>
        </w:rPr>
      </w:pPr>
    </w:p>
    <w:p>
      <w:pPr>
        <w:pStyle w:val="12"/>
        <w:spacing w:line="480" w:lineRule="auto"/>
        <w:rPr>
          <w:rFonts w:ascii="仿宋" w:hAnsi="仿宋" w:eastAsia="仿宋"/>
        </w:rPr>
      </w:pPr>
      <w:r>
        <w:rPr>
          <w:rFonts w:hint="eastAsia" w:ascii="仿宋" w:hAnsi="仿宋" w:eastAsia="仿宋"/>
        </w:rPr>
        <w:t>估价报告编号：甬衡房【2022】（估）字第</w:t>
      </w:r>
      <w:r>
        <w:rPr>
          <w:rFonts w:hint="eastAsia" w:ascii="仿宋" w:hAnsi="仿宋" w:eastAsia="仿宋"/>
          <w:lang w:val="en-US" w:eastAsia="zh-CN"/>
        </w:rPr>
        <w:t>070</w:t>
      </w:r>
      <w:r>
        <w:rPr>
          <w:rFonts w:hint="eastAsia" w:ascii="仿宋" w:hAnsi="仿宋" w:eastAsia="仿宋"/>
        </w:rPr>
        <w:t>号</w:t>
      </w:r>
    </w:p>
    <w:p>
      <w:pPr>
        <w:pStyle w:val="12"/>
        <w:spacing w:line="480" w:lineRule="auto"/>
        <w:rPr>
          <w:rFonts w:ascii="仿宋" w:hAnsi="仿宋" w:eastAsia="仿宋"/>
          <w:spacing w:val="-6"/>
        </w:rPr>
      </w:pPr>
      <w:r>
        <w:rPr>
          <w:rFonts w:hint="eastAsia" w:ascii="仿宋" w:hAnsi="仿宋" w:eastAsia="仿宋"/>
        </w:rPr>
        <w:t>估价项目名称：</w:t>
      </w:r>
      <w:r>
        <w:rPr>
          <w:rFonts w:hint="eastAsia" w:ascii="仿宋" w:hAnsi="仿宋" w:eastAsia="仿宋"/>
          <w:spacing w:val="-6"/>
        </w:rPr>
        <w:t>宁波市海曙区石碶街道庄湾沁园10幢26号1001室</w:t>
      </w:r>
    </w:p>
    <w:p>
      <w:pPr>
        <w:pStyle w:val="12"/>
        <w:spacing w:line="480" w:lineRule="auto"/>
        <w:ind w:left="1451" w:leftChars="691" w:firstLine="642" w:firstLineChars="223"/>
        <w:rPr>
          <w:rFonts w:ascii="仿宋" w:hAnsi="仿宋" w:eastAsia="仿宋"/>
        </w:rPr>
      </w:pPr>
      <w:r>
        <w:rPr>
          <w:rFonts w:hint="eastAsia" w:ascii="仿宋" w:hAnsi="仿宋" w:eastAsia="仿宋"/>
          <w:spacing w:val="-6"/>
        </w:rPr>
        <w:t>住宅房地产市场价值评估</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估价委托人：宁波市海曙区人民法院</w:t>
      </w:r>
    </w:p>
    <w:p>
      <w:pPr>
        <w:tabs>
          <w:tab w:val="left" w:pos="-2205"/>
        </w:tabs>
        <w:spacing w:line="480" w:lineRule="auto"/>
        <w:ind w:right="17"/>
        <w:rPr>
          <w:rFonts w:ascii="仿宋" w:hAnsi="仿宋" w:eastAsia="仿宋" w:cs="宋体"/>
          <w:kern w:val="0"/>
          <w:sz w:val="30"/>
          <w:szCs w:val="30"/>
        </w:rPr>
      </w:pPr>
      <w:r>
        <w:rPr>
          <w:rFonts w:hint="eastAsia" w:ascii="仿宋" w:hAnsi="仿宋" w:eastAsia="仿宋"/>
          <w:sz w:val="30"/>
          <w:szCs w:val="30"/>
        </w:rPr>
        <w:t>房地产估价机构：</w:t>
      </w:r>
      <w:r>
        <w:rPr>
          <w:rFonts w:hint="eastAsia" w:ascii="仿宋" w:hAnsi="仿宋" w:eastAsia="仿宋" w:cs="宋体"/>
          <w:kern w:val="0"/>
          <w:sz w:val="30"/>
          <w:szCs w:val="30"/>
        </w:rPr>
        <w:t>宁波衡信房地产评估有限公司</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注册房地产估价师：</w:t>
      </w:r>
      <w:r>
        <w:rPr>
          <w:rFonts w:hint="eastAsia" w:ascii="仿宋" w:hAnsi="仿宋" w:eastAsia="仿宋"/>
          <w:sz w:val="30"/>
          <w:szCs w:val="30"/>
          <w:lang w:val="en-US" w:eastAsia="zh-CN"/>
        </w:rPr>
        <w:t>***</w:t>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注册号 3319970043</w:t>
      </w:r>
    </w:p>
    <w:p>
      <w:pPr>
        <w:tabs>
          <w:tab w:val="left" w:pos="-2205"/>
        </w:tabs>
        <w:spacing w:line="480" w:lineRule="auto"/>
        <w:ind w:right="17" w:firstLine="2700" w:firstLineChars="900"/>
        <w:rPr>
          <w:rFonts w:ascii="仿宋" w:hAnsi="仿宋" w:eastAsia="仿宋"/>
          <w:sz w:val="30"/>
          <w:szCs w:val="30"/>
        </w:rPr>
      </w:pPr>
      <w:r>
        <w:rPr>
          <w:rFonts w:hint="eastAsia" w:ascii="仿宋" w:hAnsi="仿宋" w:eastAsia="仿宋"/>
          <w:sz w:val="30"/>
          <w:szCs w:val="30"/>
          <w:lang w:val="en-US" w:eastAsia="zh-CN"/>
        </w:rPr>
        <w:t>***</w:t>
      </w:r>
      <w:r>
        <w:rPr>
          <w:rFonts w:hint="eastAsia" w:ascii="仿宋" w:hAnsi="仿宋" w:eastAsia="仿宋"/>
          <w:sz w:val="30"/>
          <w:szCs w:val="30"/>
        </w:rPr>
        <w:t xml:space="preserve">   注册号 3320040045</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估价报告出具日期：2022年6月21日</w:t>
      </w:r>
    </w:p>
    <w:p>
      <w:pPr>
        <w:tabs>
          <w:tab w:val="left" w:pos="-2205"/>
        </w:tabs>
        <w:spacing w:line="480" w:lineRule="auto"/>
        <w:ind w:right="17"/>
        <w:rPr>
          <w:rFonts w:ascii="仿宋" w:hAnsi="仿宋" w:eastAsia="仿宋"/>
          <w:sz w:val="30"/>
          <w:szCs w:val="30"/>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ind w:firstLine="2349" w:firstLineChars="650"/>
        <w:rPr>
          <w:rFonts w:ascii="仿宋" w:hAnsi="仿宋" w:eastAsia="仿宋"/>
          <w:b/>
          <w:sz w:val="36"/>
          <w:szCs w:val="36"/>
        </w:rPr>
      </w:pPr>
      <w:r>
        <w:rPr>
          <w:rFonts w:hint="eastAsia" w:ascii="仿宋" w:hAnsi="仿宋" w:eastAsia="仿宋"/>
          <w:b/>
          <w:sz w:val="36"/>
          <w:szCs w:val="36"/>
        </w:rPr>
        <w:t>致 估 价 委 托 人 函</w:t>
      </w:r>
    </w:p>
    <w:p>
      <w:pPr>
        <w:spacing w:line="480" w:lineRule="exact"/>
        <w:ind w:firstLine="2730" w:firstLineChars="1300"/>
        <w:rPr>
          <w:rFonts w:ascii="仿宋" w:hAnsi="仿宋" w:eastAsia="仿宋"/>
          <w:sz w:val="28"/>
          <w:szCs w:val="28"/>
        </w:rPr>
      </w:pPr>
      <w:r>
        <w:rPr>
          <w:rFonts w:hint="eastAsia" w:ascii="仿宋" w:hAnsi="仿宋" w:eastAsia="仿宋"/>
        </w:rPr>
        <w:t>甬衡房【2022】（估）字第</w:t>
      </w:r>
      <w:r>
        <w:rPr>
          <w:rFonts w:hint="eastAsia" w:ascii="仿宋" w:hAnsi="仿宋" w:eastAsia="仿宋"/>
          <w:lang w:val="en-US" w:eastAsia="zh-CN"/>
        </w:rPr>
        <w:t>070</w:t>
      </w:r>
      <w:r>
        <w:rPr>
          <w:rFonts w:hint="eastAsia" w:ascii="仿宋" w:hAnsi="仿宋" w:eastAsia="仿宋"/>
        </w:rPr>
        <w:t>号</w:t>
      </w:r>
    </w:p>
    <w:p>
      <w:pPr>
        <w:spacing w:line="460" w:lineRule="exact"/>
        <w:rPr>
          <w:rFonts w:ascii="仿宋" w:hAnsi="仿宋" w:eastAsia="仿宋"/>
          <w:sz w:val="28"/>
          <w:szCs w:val="28"/>
        </w:rPr>
      </w:pPr>
      <w:r>
        <w:rPr>
          <w:rFonts w:hint="eastAsia" w:ascii="仿宋" w:hAnsi="仿宋" w:eastAsia="仿宋"/>
          <w:spacing w:val="-6"/>
          <w:sz w:val="30"/>
          <w:szCs w:val="30"/>
        </w:rPr>
        <w:t>宁波市海曙区人民法院</w:t>
      </w:r>
      <w:r>
        <w:rPr>
          <w:rFonts w:hint="eastAsia" w:ascii="仿宋" w:hAnsi="仿宋" w:eastAsia="仿宋"/>
          <w:sz w:val="28"/>
          <w:szCs w:val="28"/>
        </w:rPr>
        <w:t>：　　</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受贵方委托，遵照有关房地产评估的规范，本着独立、客观、公正、合法的原则，根据估价目的，按照估价程序，对估价对象房地产进行了评估。</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估价目的：为人民法院确定财产处置参考价提供参考依据。</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估价对象：权利人为</w:t>
      </w:r>
      <w:r>
        <w:rPr>
          <w:rFonts w:hint="eastAsia" w:ascii="仿宋" w:hAnsi="仿宋" w:eastAsia="仿宋"/>
          <w:sz w:val="28"/>
          <w:szCs w:val="28"/>
          <w:lang w:val="en-US" w:eastAsia="zh-CN"/>
        </w:rPr>
        <w:t>***</w:t>
      </w:r>
      <w:r>
        <w:rPr>
          <w:rFonts w:hint="eastAsia" w:ascii="宋体" w:hAnsi="宋体" w:cs="宋体"/>
          <w:sz w:val="28"/>
          <w:szCs w:val="28"/>
        </w:rPr>
        <w:t>、</w:t>
      </w:r>
      <w:r>
        <w:rPr>
          <w:rFonts w:hint="eastAsia" w:ascii="仿宋" w:hAnsi="仿宋" w:eastAsia="仿宋"/>
          <w:sz w:val="28"/>
          <w:szCs w:val="28"/>
          <w:lang w:val="en-US" w:eastAsia="zh-CN"/>
        </w:rPr>
        <w:t>**</w:t>
      </w:r>
      <w:r>
        <w:rPr>
          <w:rFonts w:hint="eastAsia" w:ascii="仿宋" w:hAnsi="仿宋" w:eastAsia="仿宋"/>
          <w:sz w:val="28"/>
          <w:szCs w:val="28"/>
        </w:rPr>
        <w:t>按份共有的位于宁波市海曙区石碶街道庄湾沁园10幢26号1001室住宅房地产，</w:t>
      </w:r>
      <w:r>
        <w:rPr>
          <w:rFonts w:hint="eastAsia" w:ascii="仿宋_GB2312" w:hAnsi="仿宋" w:eastAsia="仿宋_GB2312"/>
          <w:sz w:val="28"/>
        </w:rPr>
        <w:t>房屋建筑面积118.65平方米，</w:t>
      </w:r>
      <w:r>
        <w:rPr>
          <w:rFonts w:hint="eastAsia" w:ascii="仿宋" w:hAnsi="仿宋" w:eastAsia="仿宋"/>
          <w:sz w:val="28"/>
          <w:szCs w:val="28"/>
        </w:rPr>
        <w:t>土地使用权面积11.26平方米（国有出让</w:t>
      </w:r>
      <w:r>
        <w:rPr>
          <w:rFonts w:hint="eastAsia" w:ascii="仿宋" w:hAnsi="仿宋" w:eastAsia="仿宋"/>
          <w:sz w:val="28"/>
          <w:szCs w:val="28"/>
          <w:lang w:eastAsia="zh-CN"/>
        </w:rPr>
        <w:t>城镇</w:t>
      </w:r>
      <w:r>
        <w:rPr>
          <w:rFonts w:hint="eastAsia" w:ascii="仿宋" w:hAnsi="仿宋" w:eastAsia="仿宋"/>
          <w:sz w:val="28"/>
          <w:szCs w:val="28"/>
        </w:rPr>
        <w:t>住宅用地，使用期限至2086年12月06日止），另有车棚一间</w:t>
      </w:r>
      <w:r>
        <w:rPr>
          <w:rFonts w:hint="eastAsia" w:ascii="仿宋_GB2312" w:hAnsi="仿宋" w:eastAsia="仿宋_GB2312"/>
          <w:sz w:val="28"/>
        </w:rPr>
        <w:t>。</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财产范围：包括土地使用权、建筑物及固定装修、附属物车棚等配套设施，不包括动产、债权债务等其他财产或权益。</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价值时点：2022年6月15日</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价值类型：市场价值</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估价方法：比较法</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估价结果: 估价对象在价值时点的市场价值为人民币</w:t>
      </w:r>
      <w:r>
        <w:rPr>
          <w:rFonts w:hint="eastAsia" w:ascii="仿宋" w:hAnsi="仿宋" w:eastAsia="仿宋"/>
          <w:b/>
          <w:sz w:val="28"/>
        </w:rPr>
        <w:t>315.1</w:t>
      </w:r>
      <w:r>
        <w:rPr>
          <w:rFonts w:hint="eastAsia" w:ascii="仿宋" w:hAnsi="仿宋" w:eastAsia="仿宋"/>
          <w:sz w:val="28"/>
        </w:rPr>
        <w:t>万元（含固定装修价值10.6万元）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rPr>
        <w:t>叁佰壹拾伍万壹仟元整，</w:t>
      </w:r>
      <w:r>
        <w:rPr>
          <w:rFonts w:hint="eastAsia" w:ascii="仿宋" w:hAnsi="仿宋" w:eastAsia="仿宋"/>
          <w:sz w:val="28"/>
          <w:szCs w:val="28"/>
        </w:rPr>
        <w:t>建筑面积单价为人民币</w:t>
      </w:r>
      <w:r>
        <w:rPr>
          <w:rFonts w:hint="eastAsia" w:ascii="仿宋" w:hAnsi="仿宋" w:eastAsia="仿宋"/>
          <w:b/>
          <w:sz w:val="28"/>
        </w:rPr>
        <w:t>26557元/平方米</w:t>
      </w:r>
      <w:r>
        <w:rPr>
          <w:rFonts w:hint="eastAsia" w:ascii="仿宋" w:hAnsi="仿宋" w:eastAsia="仿宋"/>
          <w:sz w:val="28"/>
          <w:szCs w:val="28"/>
        </w:rPr>
        <w:t>。估价结果详见下表:</w:t>
      </w:r>
    </w:p>
    <w:p>
      <w:pPr>
        <w:spacing w:line="480" w:lineRule="exact"/>
        <w:ind w:firstLine="560" w:firstLineChars="200"/>
        <w:rPr>
          <w:rFonts w:ascii="仿宋" w:hAnsi="仿宋" w:eastAsia="仿宋"/>
          <w:sz w:val="32"/>
          <w:szCs w:val="32"/>
        </w:rPr>
      </w:pPr>
      <w:r>
        <w:rPr>
          <w:rFonts w:hint="eastAsia" w:ascii="仿宋" w:hAnsi="仿宋" w:eastAsia="仿宋"/>
          <w:sz w:val="28"/>
          <w:szCs w:val="28"/>
        </w:rPr>
        <w:t xml:space="preserve">                    估价结果明细表</w:t>
      </w:r>
    </w:p>
    <w:tbl>
      <w:tblPr>
        <w:tblStyle w:val="23"/>
        <w:tblpPr w:leftFromText="180" w:rightFromText="180" w:vertAnchor="text" w:tblpXSpec="center" w:tblpY="1"/>
        <w:tblOverlap w:val="never"/>
        <w:tblW w:w="42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2129"/>
        <w:gridCol w:w="929"/>
        <w:gridCol w:w="847"/>
        <w:gridCol w:w="1044"/>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 w:hRule="atLeast"/>
          <w:jc w:val="center"/>
        </w:trPr>
        <w:tc>
          <w:tcPr>
            <w:tcW w:w="1089" w:type="pct"/>
            <w:vMerge w:val="restart"/>
            <w:tcBorders>
              <w:tl2br w:val="nil"/>
              <w:tr2bl w:val="nil"/>
            </w:tcBorders>
            <w:shd w:val="clear" w:color="auto" w:fill="auto"/>
            <w:noWrap/>
            <w:vAlign w:val="center"/>
          </w:tcPr>
          <w:p>
            <w:pPr>
              <w:widowControl/>
              <w:jc w:val="center"/>
              <w:textAlignment w:val="center"/>
              <w:rPr>
                <w:rFonts w:ascii="仿宋" w:hAnsi="仿宋" w:eastAsia="仿宋" w:cs="仿宋"/>
                <w:sz w:val="18"/>
                <w:szCs w:val="18"/>
              </w:rPr>
            </w:pPr>
            <w:r>
              <w:rPr>
                <w:rFonts w:hint="eastAsia" w:ascii="仿宋" w:hAnsi="仿宋" w:eastAsia="仿宋" w:cs="仿宋"/>
                <w:kern w:val="0"/>
                <w:sz w:val="18"/>
                <w:szCs w:val="18"/>
              </w:rPr>
              <w:t>项目</w:t>
            </w:r>
          </w:p>
        </w:tc>
        <w:tc>
          <w:tcPr>
            <w:tcW w:w="1425" w:type="pct"/>
            <w:vMerge w:val="restart"/>
            <w:tcBorders>
              <w:tl2br w:val="nil"/>
              <w:tr2bl w:val="nil"/>
            </w:tcBorders>
            <w:shd w:val="clear" w:color="auto" w:fill="auto"/>
            <w:noWrap/>
            <w:vAlign w:val="center"/>
          </w:tcPr>
          <w:p>
            <w:pPr>
              <w:jc w:val="center"/>
              <w:textAlignment w:val="center"/>
            </w:pPr>
            <w:r>
              <w:rPr>
                <w:rFonts w:hint="eastAsia" w:ascii="仿宋" w:hAnsi="仿宋" w:eastAsia="仿宋" w:cs="仿宋"/>
                <w:kern w:val="0"/>
                <w:sz w:val="18"/>
                <w:szCs w:val="18"/>
              </w:rPr>
              <w:t>不动产权证号</w:t>
            </w:r>
          </w:p>
        </w:tc>
        <w:tc>
          <w:tcPr>
            <w:tcW w:w="622" w:type="pct"/>
            <w:vMerge w:val="restart"/>
            <w:tcBorders>
              <w:tl2br w:val="nil"/>
              <w:tr2bl w:val="nil"/>
            </w:tcBorders>
            <w:vAlign w:val="center"/>
          </w:tcPr>
          <w:p>
            <w:pPr>
              <w:widowControl/>
              <w:textAlignment w:val="center"/>
              <w:rPr>
                <w:rFonts w:ascii="仿宋" w:hAnsi="仿宋" w:eastAsia="仿宋" w:cs="仿宋"/>
                <w:kern w:val="0"/>
                <w:sz w:val="18"/>
                <w:szCs w:val="18"/>
              </w:rPr>
            </w:pPr>
            <w:r>
              <w:rPr>
                <w:rFonts w:hint="eastAsia" w:ascii="仿宋" w:hAnsi="仿宋" w:eastAsia="仿宋" w:cs="仿宋"/>
                <w:kern w:val="0"/>
                <w:sz w:val="18"/>
                <w:szCs w:val="18"/>
              </w:rPr>
              <w:t>建筑面积（㎡）</w:t>
            </w:r>
          </w:p>
        </w:tc>
        <w:tc>
          <w:tcPr>
            <w:tcW w:w="567" w:type="pct"/>
            <w:vMerge w:val="restar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kern w:val="0"/>
                <w:sz w:val="18"/>
                <w:szCs w:val="18"/>
              </w:rPr>
              <w:t>土地面积</w:t>
            </w:r>
          </w:p>
          <w:p>
            <w:pPr>
              <w:widowControl/>
              <w:ind w:firstLine="90" w:firstLineChars="50"/>
              <w:jc w:val="center"/>
              <w:textAlignment w:val="center"/>
              <w:rPr>
                <w:rFonts w:ascii="仿宋" w:hAnsi="仿宋" w:eastAsia="仿宋" w:cs="仿宋"/>
                <w:sz w:val="18"/>
                <w:szCs w:val="18"/>
              </w:rPr>
            </w:pPr>
            <w:r>
              <w:rPr>
                <w:rFonts w:hint="eastAsia" w:ascii="仿宋" w:hAnsi="仿宋" w:eastAsia="仿宋" w:cs="仿宋"/>
                <w:kern w:val="0"/>
                <w:sz w:val="18"/>
                <w:szCs w:val="18"/>
              </w:rPr>
              <w:t>（㎡）</w:t>
            </w:r>
          </w:p>
        </w:tc>
        <w:tc>
          <w:tcPr>
            <w:tcW w:w="1295" w:type="pct"/>
            <w:gridSpan w:val="2"/>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市场价格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89" w:type="pct"/>
            <w:vMerge w:val="continue"/>
            <w:tcBorders>
              <w:tl2br w:val="nil"/>
              <w:tr2bl w:val="nil"/>
            </w:tcBorders>
            <w:shd w:val="clear" w:color="auto" w:fill="auto"/>
            <w:noWrap/>
            <w:vAlign w:val="center"/>
          </w:tcPr>
          <w:p>
            <w:pPr>
              <w:jc w:val="center"/>
              <w:textAlignment w:val="center"/>
            </w:pPr>
          </w:p>
        </w:tc>
        <w:tc>
          <w:tcPr>
            <w:tcW w:w="1425" w:type="pct"/>
            <w:vMerge w:val="continue"/>
            <w:tcBorders>
              <w:tl2br w:val="nil"/>
              <w:tr2bl w:val="nil"/>
            </w:tcBorders>
            <w:shd w:val="clear" w:color="auto" w:fill="auto"/>
            <w:noWrap/>
            <w:vAlign w:val="center"/>
          </w:tcPr>
          <w:p>
            <w:pPr>
              <w:jc w:val="center"/>
              <w:textAlignment w:val="center"/>
            </w:pPr>
          </w:p>
        </w:tc>
        <w:tc>
          <w:tcPr>
            <w:tcW w:w="622" w:type="pct"/>
            <w:vMerge w:val="continue"/>
            <w:tcBorders>
              <w:tl2br w:val="nil"/>
              <w:tr2bl w:val="nil"/>
            </w:tcBorders>
            <w:vAlign w:val="center"/>
          </w:tcPr>
          <w:p>
            <w:pPr>
              <w:jc w:val="center"/>
              <w:textAlignment w:val="center"/>
            </w:pPr>
          </w:p>
        </w:tc>
        <w:tc>
          <w:tcPr>
            <w:tcW w:w="567" w:type="pct"/>
            <w:vMerge w:val="continue"/>
            <w:tcBorders>
              <w:tl2br w:val="nil"/>
              <w:tr2bl w:val="nil"/>
            </w:tcBorders>
            <w:shd w:val="clear" w:color="auto" w:fill="auto"/>
            <w:noWrap/>
            <w:vAlign w:val="center"/>
          </w:tcPr>
          <w:p>
            <w:pPr>
              <w:jc w:val="center"/>
              <w:textAlignment w:val="center"/>
            </w:pPr>
          </w:p>
        </w:tc>
        <w:tc>
          <w:tcPr>
            <w:tcW w:w="699" w:type="pct"/>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单价</w:t>
            </w:r>
          </w:p>
          <w:p>
            <w:pPr>
              <w:jc w:val="center"/>
              <w:textAlignment w:val="center"/>
              <w:rPr>
                <w:rFonts w:ascii="仿宋" w:hAnsi="仿宋" w:eastAsia="仿宋" w:cs="仿宋"/>
                <w:sz w:val="18"/>
                <w:szCs w:val="18"/>
              </w:rPr>
            </w:pPr>
            <w:r>
              <w:rPr>
                <w:rFonts w:hint="eastAsia" w:ascii="仿宋" w:hAnsi="仿宋" w:eastAsia="仿宋" w:cs="仿宋"/>
                <w:sz w:val="18"/>
                <w:szCs w:val="18"/>
              </w:rPr>
              <w:t>（元/</w:t>
            </w:r>
            <w:r>
              <w:rPr>
                <w:rFonts w:hint="eastAsia" w:ascii="仿宋" w:hAnsi="仿宋" w:eastAsia="仿宋" w:cs="仿宋"/>
                <w:kern w:val="0"/>
                <w:sz w:val="18"/>
                <w:szCs w:val="18"/>
              </w:rPr>
              <w:t>㎡）</w:t>
            </w:r>
          </w:p>
        </w:tc>
        <w:tc>
          <w:tcPr>
            <w:tcW w:w="595" w:type="pct"/>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总价</w:t>
            </w:r>
          </w:p>
          <w:p>
            <w:pPr>
              <w:jc w:val="center"/>
              <w:textAlignment w:val="center"/>
              <w:rPr>
                <w:rFonts w:ascii="仿宋" w:hAnsi="仿宋" w:eastAsia="仿宋" w:cs="仿宋"/>
                <w:sz w:val="18"/>
                <w:szCs w:val="18"/>
              </w:rPr>
            </w:pPr>
            <w:r>
              <w:rPr>
                <w:rFonts w:hint="eastAsia" w:ascii="仿宋" w:hAnsi="仿宋" w:eastAsia="仿宋" w:cs="仿宋"/>
                <w:sz w:val="18"/>
                <w:szCs w:val="1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宁波市海曙区石碶街道庄湾沁园10幢26号1001室房地产及附属物车棚（不含</w:t>
            </w:r>
            <w:r>
              <w:rPr>
                <w:rFonts w:hint="eastAsia" w:ascii="仿宋" w:hAnsi="仿宋" w:eastAsia="仿宋" w:cs="仿宋"/>
                <w:color w:val="000000"/>
                <w:kern w:val="0"/>
                <w:sz w:val="18"/>
                <w:szCs w:val="18"/>
                <w:lang w:eastAsia="zh-CN"/>
              </w:rPr>
              <w:t>固定</w:t>
            </w:r>
            <w:r>
              <w:rPr>
                <w:rFonts w:hint="eastAsia" w:ascii="仿宋" w:hAnsi="仿宋" w:eastAsia="仿宋" w:cs="仿宋"/>
                <w:color w:val="000000"/>
                <w:kern w:val="0"/>
                <w:sz w:val="18"/>
                <w:szCs w:val="18"/>
              </w:rPr>
              <w:t>装修）</w:t>
            </w:r>
          </w:p>
        </w:tc>
        <w:tc>
          <w:tcPr>
            <w:tcW w:w="1425" w:type="pct"/>
            <w:tcBorders>
              <w:tl2br w:val="nil"/>
              <w:tr2bl w:val="nil"/>
            </w:tcBorders>
            <w:shd w:val="clear" w:color="auto" w:fill="auto"/>
            <w:noWrap/>
            <w:vAlign w:val="center"/>
          </w:tcPr>
          <w:p>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浙（2017）海曙区不动产权第0584648、</w:t>
            </w:r>
          </w:p>
          <w:p>
            <w:pPr>
              <w:widowControl/>
              <w:jc w:val="center"/>
              <w:textAlignment w:val="center"/>
              <w:rPr>
                <w:rFonts w:ascii="仿宋" w:hAnsi="仿宋" w:eastAsia="仿宋"/>
                <w:sz w:val="18"/>
                <w:szCs w:val="18"/>
              </w:rPr>
            </w:pPr>
            <w:r>
              <w:rPr>
                <w:rFonts w:hint="eastAsia" w:ascii="仿宋" w:hAnsi="仿宋" w:eastAsia="仿宋" w:cs="仿宋"/>
                <w:kern w:val="0"/>
                <w:sz w:val="18"/>
                <w:szCs w:val="18"/>
              </w:rPr>
              <w:t>浙（2017）海曙区不动产权第0584649号</w:t>
            </w:r>
          </w:p>
        </w:tc>
        <w:tc>
          <w:tcPr>
            <w:tcW w:w="622" w:type="pct"/>
            <w:tcBorders>
              <w:tl2br w:val="nil"/>
              <w:tr2bl w:val="nil"/>
            </w:tcBorders>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118.65</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11.26</w:t>
            </w:r>
          </w:p>
        </w:tc>
        <w:tc>
          <w:tcPr>
            <w:tcW w:w="699" w:type="pct"/>
            <w:tcBorders>
              <w:tl2br w:val="nil"/>
              <w:tr2bl w:val="nil"/>
            </w:tcBorders>
            <w:shd w:val="clear" w:color="auto" w:fill="auto"/>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w:t>
            </w:r>
          </w:p>
        </w:tc>
        <w:tc>
          <w:tcPr>
            <w:tcW w:w="595" w:type="pct"/>
            <w:tcBorders>
              <w:tl2br w:val="nil"/>
              <w:tr2bl w:val="nil"/>
            </w:tcBorders>
            <w:shd w:val="clear" w:color="auto" w:fill="auto"/>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304.5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1089" w:type="pct"/>
            <w:tcBorders>
              <w:tl2br w:val="nil"/>
              <w:tr2bl w:val="nil"/>
            </w:tcBorders>
            <w:shd w:val="clear" w:color="auto" w:fill="auto"/>
            <w:noWrap/>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固定装修</w:t>
            </w:r>
          </w:p>
        </w:tc>
        <w:tc>
          <w:tcPr>
            <w:tcW w:w="1425" w:type="pct"/>
            <w:tcBorders>
              <w:tl2br w:val="nil"/>
              <w:tr2bl w:val="nil"/>
            </w:tcBorders>
            <w:shd w:val="clear" w:color="auto" w:fill="auto"/>
            <w:noWrap/>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w:t>
            </w:r>
          </w:p>
        </w:tc>
        <w:tc>
          <w:tcPr>
            <w:tcW w:w="622" w:type="pct"/>
            <w:tcBorders>
              <w:tl2br w:val="nil"/>
              <w:tr2bl w:val="nil"/>
            </w:tcBorders>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699"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color w:val="000000"/>
                <w:kern w:val="0"/>
                <w:sz w:val="18"/>
                <w:szCs w:val="18"/>
              </w:rPr>
              <w:t>/</w:t>
            </w:r>
          </w:p>
        </w:tc>
        <w:tc>
          <w:tcPr>
            <w:tcW w:w="595" w:type="pct"/>
            <w:tcBorders>
              <w:tl2br w:val="nil"/>
              <w:tr2bl w:val="nil"/>
            </w:tcBorders>
            <w:shd w:val="clear" w:color="auto" w:fill="auto"/>
            <w:vAlign w:val="center"/>
          </w:tcPr>
          <w:p>
            <w:pPr>
              <w:jc w:val="center"/>
              <w:rPr>
                <w:rFonts w:ascii="仿宋" w:hAnsi="仿宋" w:eastAsia="仿宋"/>
                <w:bCs/>
                <w:sz w:val="18"/>
                <w:szCs w:val="18"/>
              </w:rPr>
            </w:pPr>
            <w:r>
              <w:rPr>
                <w:rFonts w:hint="eastAsia" w:ascii="仿宋" w:hAnsi="仿宋" w:eastAsia="仿宋"/>
                <w:bCs/>
                <w:sz w:val="18"/>
                <w:szCs w:val="18"/>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jc w:val="center"/>
        </w:trPr>
        <w:tc>
          <w:tcPr>
            <w:tcW w:w="1089" w:type="pct"/>
            <w:tcBorders>
              <w:tl2br w:val="nil"/>
              <w:tr2bl w:val="nil"/>
            </w:tcBorders>
            <w:shd w:val="clear" w:color="auto" w:fill="auto"/>
            <w:noWrap/>
            <w:vAlign w:val="center"/>
          </w:tcPr>
          <w:p>
            <w:pPr>
              <w:widowControl/>
              <w:jc w:val="center"/>
              <w:textAlignment w:val="center"/>
              <w:rPr>
                <w:rFonts w:hint="eastAsia" w:ascii="仿宋" w:hAnsi="仿宋" w:eastAsia="仿宋"/>
                <w:sz w:val="18"/>
                <w:szCs w:val="18"/>
                <w:lang w:eastAsia="zh-CN"/>
              </w:rPr>
            </w:pPr>
            <w:r>
              <w:rPr>
                <w:rFonts w:hint="eastAsia" w:ascii="仿宋" w:hAnsi="仿宋" w:eastAsia="仿宋" w:cs="仿宋"/>
                <w:b/>
                <w:bCs/>
                <w:color w:val="000000"/>
                <w:kern w:val="0"/>
                <w:sz w:val="18"/>
                <w:szCs w:val="18"/>
              </w:rPr>
              <w:t>房地产价格</w:t>
            </w:r>
            <w:r>
              <w:rPr>
                <w:rFonts w:hint="eastAsia" w:ascii="仿宋" w:hAnsi="仿宋" w:eastAsia="仿宋" w:cs="仿宋"/>
                <w:b/>
                <w:bCs/>
                <w:color w:val="000000"/>
                <w:kern w:val="0"/>
                <w:sz w:val="18"/>
                <w:szCs w:val="18"/>
                <w:lang w:eastAsia="zh-CN"/>
              </w:rPr>
              <w:t>总计</w:t>
            </w:r>
          </w:p>
        </w:tc>
        <w:tc>
          <w:tcPr>
            <w:tcW w:w="1425" w:type="pct"/>
            <w:tcBorders>
              <w:tl2br w:val="nil"/>
              <w:tr2bl w:val="nil"/>
            </w:tcBorders>
            <w:shd w:val="clear" w:color="auto" w:fill="auto"/>
            <w:noWrap/>
            <w:vAlign w:val="center"/>
          </w:tcPr>
          <w:p>
            <w:pPr>
              <w:jc w:val="center"/>
              <w:rPr>
                <w:rFonts w:ascii="仿宋" w:hAnsi="仿宋" w:eastAsia="仿宋" w:cs="仿宋"/>
                <w:b/>
                <w:bCs/>
                <w:kern w:val="0"/>
                <w:sz w:val="18"/>
                <w:szCs w:val="18"/>
              </w:rPr>
            </w:pPr>
            <w:r>
              <w:rPr>
                <w:rFonts w:hint="eastAsia" w:ascii="仿宋" w:hAnsi="仿宋" w:eastAsia="仿宋" w:cs="仿宋"/>
                <w:color w:val="000000"/>
                <w:kern w:val="0"/>
                <w:sz w:val="18"/>
                <w:szCs w:val="18"/>
              </w:rPr>
              <w:t>/</w:t>
            </w:r>
          </w:p>
        </w:tc>
        <w:tc>
          <w:tcPr>
            <w:tcW w:w="622" w:type="pct"/>
            <w:tcBorders>
              <w:tl2br w:val="nil"/>
              <w:tr2bl w:val="nil"/>
            </w:tcBorders>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118.65</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11.26</w:t>
            </w:r>
          </w:p>
        </w:tc>
        <w:tc>
          <w:tcPr>
            <w:tcW w:w="699"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b/>
                <w:bCs/>
                <w:color w:val="000000"/>
                <w:kern w:val="0"/>
                <w:sz w:val="18"/>
                <w:szCs w:val="18"/>
              </w:rPr>
              <w:t>26557</w:t>
            </w:r>
          </w:p>
        </w:tc>
        <w:tc>
          <w:tcPr>
            <w:tcW w:w="595"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b/>
                <w:bCs/>
                <w:color w:val="000000"/>
                <w:kern w:val="0"/>
                <w:sz w:val="18"/>
                <w:szCs w:val="18"/>
              </w:rPr>
              <w:t>315.1</w:t>
            </w:r>
          </w:p>
        </w:tc>
      </w:tr>
    </w:tbl>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r>
        <w:rPr>
          <w:rStyle w:val="62"/>
          <w:rFonts w:hint="eastAsia" w:ascii="仿宋" w:hAnsi="仿宋" w:eastAsia="仿宋" w:cs="仿宋"/>
          <w:szCs w:val="21"/>
        </w:rPr>
        <w:t>特别提示：</w:t>
      </w:r>
    </w:p>
    <w:p>
      <w:pPr>
        <w:numPr>
          <w:ilvl w:val="0"/>
          <w:numId w:val="2"/>
        </w:numPr>
        <w:spacing w:line="300" w:lineRule="atLeast"/>
        <w:ind w:left="210" w:leftChars="100" w:firstLine="420" w:firstLineChars="200"/>
        <w:jc w:val="left"/>
        <w:rPr>
          <w:rStyle w:val="62"/>
          <w:rFonts w:ascii="仿宋" w:hAnsi="仿宋" w:eastAsia="仿宋" w:cs="仿宋"/>
          <w:szCs w:val="21"/>
        </w:rPr>
      </w:pPr>
      <w:r>
        <w:rPr>
          <w:rStyle w:val="62"/>
          <w:rFonts w:hint="eastAsia" w:ascii="仿宋" w:hAnsi="仿宋" w:eastAsia="仿宋" w:cs="仿宋"/>
          <w:szCs w:val="21"/>
        </w:rPr>
        <w:t>经调查，估价对象至价值时点已付清2021年物业费，2022年物业费尚未支付，一年物业费约1732元，另外估价对象至价值时点欠车棚电动自行车充电费约400元，以上且供参考，本次估价不考虑拖欠物业费、电费等相关费用对估价结果的影响。</w:t>
      </w:r>
    </w:p>
    <w:p>
      <w:pPr>
        <w:numPr>
          <w:ilvl w:val="0"/>
          <w:numId w:val="2"/>
        </w:numPr>
        <w:spacing w:line="300" w:lineRule="atLeast"/>
        <w:ind w:left="210" w:leftChars="100" w:firstLine="420" w:firstLineChars="200"/>
        <w:jc w:val="left"/>
        <w:rPr>
          <w:rStyle w:val="62"/>
          <w:rFonts w:ascii="仿宋" w:hAnsi="仿宋" w:eastAsia="仿宋" w:cs="仿宋"/>
          <w:szCs w:val="21"/>
        </w:rPr>
      </w:pPr>
      <w:r>
        <w:rPr>
          <w:rStyle w:val="62"/>
          <w:rFonts w:hint="eastAsia" w:ascii="仿宋" w:hAnsi="仿宋" w:eastAsia="仿宋" w:cs="仿宋"/>
          <w:szCs w:val="21"/>
        </w:rPr>
        <w:t>欲知详情，请阅读本报告全文，报告使用时请特别关注估价假设和限制条件提示内容。</w:t>
      </w: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ind w:firstLine="4480" w:firstLineChars="1600"/>
        <w:rPr>
          <w:rFonts w:ascii="仿宋" w:hAnsi="仿宋" w:eastAsia="仿宋"/>
          <w:sz w:val="28"/>
          <w:szCs w:val="28"/>
        </w:rPr>
      </w:pPr>
      <w:r>
        <w:rPr>
          <w:rFonts w:hint="eastAsia" w:ascii="仿宋" w:hAnsi="仿宋" w:eastAsia="仿宋"/>
          <w:sz w:val="28"/>
          <w:szCs w:val="28"/>
        </w:rPr>
        <w:t>宁波衡信房地产评估有限公司</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 xml:space="preserve">                                法定代表人：</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　　　　　　　　　　           2022年6月21日</w:t>
      </w:r>
    </w:p>
    <w:p>
      <w:pPr>
        <w:spacing w:line="480" w:lineRule="exact"/>
        <w:ind w:firstLine="560" w:firstLineChars="200"/>
        <w:rPr>
          <w:rFonts w:ascii="仿宋" w:hAnsi="仿宋" w:eastAsia="仿宋"/>
          <w:sz w:val="28"/>
          <w:szCs w:val="28"/>
        </w:rPr>
      </w:pPr>
    </w:p>
    <w:p>
      <w:pPr>
        <w:spacing w:line="480" w:lineRule="exact"/>
        <w:ind w:firstLine="560" w:firstLineChars="200"/>
        <w:rPr>
          <w:rFonts w:ascii="仿宋" w:hAnsi="仿宋" w:eastAsia="仿宋"/>
          <w:sz w:val="28"/>
          <w:szCs w:val="28"/>
        </w:rPr>
      </w:pPr>
    </w:p>
    <w:p>
      <w:pPr>
        <w:spacing w:line="480" w:lineRule="exact"/>
        <w:ind w:firstLine="560" w:firstLineChars="200"/>
        <w:rPr>
          <w:rFonts w:ascii="仿宋" w:hAnsi="仿宋" w:eastAsia="仿宋"/>
          <w:sz w:val="28"/>
          <w:szCs w:val="28"/>
        </w:rPr>
      </w:pPr>
    </w:p>
    <w:p>
      <w:pPr>
        <w:spacing w:line="480" w:lineRule="exact"/>
        <w:ind w:firstLine="560" w:firstLineChars="200"/>
        <w:rPr>
          <w:rFonts w:ascii="仿宋" w:hAnsi="仿宋" w:eastAsia="仿宋"/>
          <w:sz w:val="28"/>
          <w:szCs w:val="28"/>
        </w:rPr>
      </w:pPr>
    </w:p>
    <w:p>
      <w:pPr>
        <w:spacing w:line="480" w:lineRule="exact"/>
        <w:ind w:firstLine="560" w:firstLineChars="200"/>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spacing w:line="480" w:lineRule="exact"/>
        <w:ind w:firstLine="3975" w:firstLineChars="1100"/>
        <w:rPr>
          <w:rFonts w:ascii="仿宋" w:hAnsi="仿宋" w:eastAsia="仿宋"/>
          <w:sz w:val="36"/>
          <w:szCs w:val="36"/>
        </w:rPr>
      </w:pPr>
      <w:r>
        <w:rPr>
          <w:rFonts w:hint="eastAsia" w:ascii="仿宋" w:hAnsi="仿宋" w:eastAsia="仿宋"/>
          <w:b/>
          <w:bCs/>
          <w:sz w:val="36"/>
          <w:szCs w:val="36"/>
        </w:rPr>
        <w:t>目录</w:t>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rPr>
          <w:rFonts w:ascii="仿宋" w:hAnsi="仿宋"/>
          <w:szCs w:val="28"/>
        </w:rPr>
        <w:fldChar w:fldCharType="begin"/>
      </w:r>
      <w:r>
        <w:rPr>
          <w:rFonts w:ascii="仿宋" w:hAnsi="仿宋"/>
          <w:szCs w:val="28"/>
        </w:rPr>
        <w:instrText xml:space="preserve"> TOC \o "1-3" \h \z \u </w:instrText>
      </w:r>
      <w:r>
        <w:rPr>
          <w:rFonts w:ascii="仿宋" w:hAnsi="仿宋"/>
          <w:szCs w:val="28"/>
        </w:rPr>
        <w:fldChar w:fldCharType="separate"/>
      </w:r>
      <w:r>
        <w:fldChar w:fldCharType="begin"/>
      </w:r>
      <w:r>
        <w:instrText xml:space="preserve"> HYPERLINK \l "_Toc32407" </w:instrText>
      </w:r>
      <w:r>
        <w:fldChar w:fldCharType="separate"/>
      </w:r>
      <w:r>
        <w:rPr>
          <w:rFonts w:hint="eastAsia" w:ascii="仿宋" w:hAnsi="仿宋"/>
        </w:rPr>
        <w:t>估 价 师 声 明</w:t>
      </w:r>
      <w:r>
        <w:tab/>
      </w:r>
      <w:r>
        <w:fldChar w:fldCharType="begin"/>
      </w:r>
      <w:r>
        <w:instrText xml:space="preserve"> PAGEREF _Toc32407 \h </w:instrText>
      </w:r>
      <w:r>
        <w:fldChar w:fldCharType="separate"/>
      </w:r>
      <w:r>
        <w:t>1</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"_Toc9989" </w:instrText>
      </w:r>
      <w:r>
        <w:fldChar w:fldCharType="separate"/>
      </w:r>
      <w:r>
        <w:rPr>
          <w:rFonts w:hint="eastAsia" w:ascii="仿宋" w:hAnsi="仿宋"/>
        </w:rPr>
        <w:t>估价假设和限制条件</w:t>
      </w:r>
      <w:r>
        <w:tab/>
      </w:r>
      <w:r>
        <w:fldChar w:fldCharType="begin"/>
      </w:r>
      <w:r>
        <w:instrText xml:space="preserve"> PAGEREF _Toc9989 \h </w:instrText>
      </w:r>
      <w:r>
        <w:fldChar w:fldCharType="separate"/>
      </w:r>
      <w:r>
        <w:t>2</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"_Toc843" </w:instrText>
      </w:r>
      <w:r>
        <w:fldChar w:fldCharType="separate"/>
      </w:r>
      <w:r>
        <w:rPr>
          <w:rFonts w:hint="eastAsia" w:ascii="仿宋" w:hAnsi="仿宋"/>
        </w:rPr>
        <w:t>估价结果报告</w:t>
      </w:r>
      <w:r>
        <w:tab/>
      </w:r>
      <w:r>
        <w:fldChar w:fldCharType="begin"/>
      </w:r>
      <w:r>
        <w:instrText xml:space="preserve"> PAGEREF _Toc843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"_Toc4403" </w:instrText>
      </w:r>
      <w:r>
        <w:fldChar w:fldCharType="separate"/>
      </w:r>
      <w:r>
        <w:rPr>
          <w:rFonts w:hint="eastAsia" w:ascii="仿宋" w:hAnsi="仿宋"/>
        </w:rPr>
        <w:t>一、估价委托人</w:t>
      </w:r>
      <w:r>
        <w:tab/>
      </w:r>
      <w:r>
        <w:fldChar w:fldCharType="begin"/>
      </w:r>
      <w:r>
        <w:instrText xml:space="preserve"> PAGEREF _Toc4403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"_Toc21760" </w:instrText>
      </w:r>
      <w:r>
        <w:fldChar w:fldCharType="separate"/>
      </w:r>
      <w:r>
        <w:rPr>
          <w:rFonts w:hint="eastAsia" w:ascii="仿宋" w:hAnsi="仿宋"/>
        </w:rPr>
        <w:t>二、房地产估价机构</w:t>
      </w:r>
      <w:r>
        <w:tab/>
      </w:r>
      <w:r>
        <w:fldChar w:fldCharType="begin"/>
      </w:r>
      <w:r>
        <w:instrText xml:space="preserve"> PAGEREF _Toc21760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"_Toc32767" </w:instrText>
      </w:r>
      <w:r>
        <w:fldChar w:fldCharType="separate"/>
      </w:r>
      <w:r>
        <w:rPr>
          <w:rFonts w:hint="eastAsia" w:ascii="仿宋" w:hAnsi="仿宋"/>
        </w:rPr>
        <w:t>三、估价目的</w:t>
      </w:r>
      <w:r>
        <w:tab/>
      </w:r>
      <w:r>
        <w:fldChar w:fldCharType="begin"/>
      </w:r>
      <w:r>
        <w:instrText xml:space="preserve"> PAGEREF _Toc32767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"_Toc7934" </w:instrText>
      </w:r>
      <w:r>
        <w:fldChar w:fldCharType="separate"/>
      </w:r>
      <w:r>
        <w:rPr>
          <w:rFonts w:hint="eastAsia" w:ascii="仿宋" w:hAnsi="仿宋"/>
        </w:rPr>
        <w:t>四、估价对象</w:t>
      </w:r>
      <w:r>
        <w:tab/>
      </w:r>
      <w:r>
        <w:fldChar w:fldCharType="begin"/>
      </w:r>
      <w:r>
        <w:instrText xml:space="preserve"> PAGEREF _Toc7934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"_Toc6272" </w:instrText>
      </w:r>
      <w:r>
        <w:fldChar w:fldCharType="separate"/>
      </w:r>
      <w:r>
        <w:rPr>
          <w:rFonts w:hint="eastAsia" w:ascii="仿宋" w:hAnsi="仿宋"/>
        </w:rPr>
        <w:t>六、价值类型</w:t>
      </w:r>
      <w:r>
        <w:tab/>
      </w:r>
      <w:r>
        <w:fldChar w:fldCharType="begin"/>
      </w:r>
      <w:r>
        <w:instrText xml:space="preserve"> PAGEREF _Toc6272 \h </w:instrText>
      </w:r>
      <w:r>
        <w:fldChar w:fldCharType="separate"/>
      </w:r>
      <w:r>
        <w:t>8</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"_Toc17706" </w:instrText>
      </w:r>
      <w:r>
        <w:fldChar w:fldCharType="separate"/>
      </w:r>
      <w:r>
        <w:rPr>
          <w:rFonts w:hint="eastAsia" w:ascii="仿宋" w:hAnsi="仿宋"/>
        </w:rPr>
        <w:t>七、估价原则</w:t>
      </w:r>
      <w:r>
        <w:tab/>
      </w:r>
      <w:r>
        <w:fldChar w:fldCharType="begin"/>
      </w:r>
      <w:r>
        <w:instrText xml:space="preserve"> PAGEREF _Toc17706 \h </w:instrText>
      </w:r>
      <w:r>
        <w:fldChar w:fldCharType="separate"/>
      </w:r>
      <w:r>
        <w:t>9</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"_Toc23944" </w:instrText>
      </w:r>
      <w:r>
        <w:fldChar w:fldCharType="separate"/>
      </w:r>
      <w:r>
        <w:rPr>
          <w:rFonts w:hint="eastAsia" w:ascii="仿宋" w:hAnsi="仿宋"/>
        </w:rPr>
        <w:t>八</w:t>
      </w:r>
      <w:r>
        <w:rPr>
          <w:rFonts w:hint="eastAsia" w:ascii="宋体" w:hAnsi="宋体" w:eastAsia="宋体" w:cs="宋体"/>
        </w:rPr>
        <w:t>、</w:t>
      </w:r>
      <w:r>
        <w:rPr>
          <w:rFonts w:hint="eastAsia" w:ascii="仿宋" w:hAnsi="仿宋"/>
        </w:rPr>
        <w:t>估价依据</w:t>
      </w:r>
      <w:r>
        <w:tab/>
      </w:r>
      <w:r>
        <w:fldChar w:fldCharType="begin"/>
      </w:r>
      <w:r>
        <w:instrText xml:space="preserve"> PAGEREF _Toc23944 \h </w:instrText>
      </w:r>
      <w:r>
        <w:fldChar w:fldCharType="separate"/>
      </w:r>
      <w:r>
        <w:t>9</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"_Toc15244" </w:instrText>
      </w:r>
      <w:r>
        <w:fldChar w:fldCharType="separate"/>
      </w:r>
      <w:r>
        <w:rPr>
          <w:rFonts w:hint="eastAsia" w:ascii="仿宋" w:hAnsi="仿宋"/>
        </w:rPr>
        <w:t>九、估价方法</w:t>
      </w:r>
      <w:r>
        <w:tab/>
      </w:r>
      <w:r>
        <w:fldChar w:fldCharType="begin"/>
      </w:r>
      <w:r>
        <w:instrText xml:space="preserve"> PAGEREF _Toc15244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"_Toc26002" </w:instrText>
      </w:r>
      <w:r>
        <w:fldChar w:fldCharType="separate"/>
      </w:r>
      <w:r>
        <w:rPr>
          <w:rFonts w:hint="eastAsia" w:ascii="仿宋" w:hAnsi="仿宋"/>
        </w:rPr>
        <w:t>十、估价结果</w:t>
      </w:r>
      <w:r>
        <w:tab/>
      </w:r>
      <w:r>
        <w:fldChar w:fldCharType="begin"/>
      </w:r>
      <w:r>
        <w:instrText xml:space="preserve"> PAGEREF _Toc26002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"_Toc12028" </w:instrText>
      </w:r>
      <w:r>
        <w:fldChar w:fldCharType="separate"/>
      </w:r>
      <w:r>
        <w:rPr>
          <w:rFonts w:hint="eastAsia" w:ascii="仿宋" w:hAnsi="仿宋"/>
        </w:rPr>
        <w:t>十一、注册房地产估价师</w:t>
      </w:r>
      <w:r>
        <w:tab/>
      </w:r>
      <w:r>
        <w:fldChar w:fldCharType="begin"/>
      </w:r>
      <w:r>
        <w:instrText xml:space="preserve"> PAGEREF _Toc12028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"_Toc314" </w:instrText>
      </w:r>
      <w:r>
        <w:fldChar w:fldCharType="separate"/>
      </w:r>
      <w:r>
        <w:rPr>
          <w:rFonts w:hint="eastAsia" w:ascii="仿宋" w:hAnsi="仿宋"/>
        </w:rPr>
        <w:t>十二、实地查勘期</w:t>
      </w:r>
      <w:r>
        <w:tab/>
      </w:r>
      <w:r>
        <w:fldChar w:fldCharType="begin"/>
      </w:r>
      <w:r>
        <w:instrText xml:space="preserve"> PAGEREF _Toc314 \h </w:instrText>
      </w:r>
      <w:r>
        <w:fldChar w:fldCharType="separate"/>
      </w:r>
      <w:r>
        <w:t>12</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"_Toc12351" </w:instrText>
      </w:r>
      <w:r>
        <w:fldChar w:fldCharType="separate"/>
      </w:r>
      <w:r>
        <w:rPr>
          <w:rFonts w:hint="eastAsia" w:ascii="仿宋" w:hAnsi="仿宋"/>
        </w:rPr>
        <w:t>十三、估价作业期</w:t>
      </w:r>
      <w:r>
        <w:tab/>
      </w:r>
      <w:r>
        <w:fldChar w:fldCharType="begin"/>
      </w:r>
      <w:r>
        <w:instrText xml:space="preserve"> PAGEREF _Toc12351 \h </w:instrText>
      </w:r>
      <w:r>
        <w:fldChar w:fldCharType="separate"/>
      </w:r>
      <w:r>
        <w:t>12</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"_Toc14245" </w:instrText>
      </w:r>
      <w:r>
        <w:fldChar w:fldCharType="separate"/>
      </w:r>
      <w:r>
        <w:rPr>
          <w:rFonts w:hint="eastAsia" w:ascii="仿宋" w:hAnsi="仿宋"/>
        </w:rPr>
        <w:t>附  件</w:t>
      </w:r>
      <w:r>
        <w:tab/>
      </w:r>
      <w:r>
        <w:fldChar w:fldCharType="begin"/>
      </w:r>
      <w:r>
        <w:instrText xml:space="preserve"> PAGEREF _Toc14245 \h </w:instrText>
      </w:r>
      <w:r>
        <w:fldChar w:fldCharType="separate"/>
      </w:r>
      <w:r>
        <w:t>34</w:t>
      </w:r>
      <w:r>
        <w:fldChar w:fldCharType="end"/>
      </w:r>
      <w:r>
        <w:fldChar w:fldCharType="end"/>
      </w:r>
    </w:p>
    <w:p>
      <w:pPr>
        <w:autoSpaceDE w:val="0"/>
        <w:autoSpaceDN w:val="0"/>
        <w:spacing w:line="200" w:lineRule="exact"/>
        <w:textAlignment w:val="bottom"/>
        <w:rPr>
          <w:rFonts w:ascii="仿宋" w:hAnsi="仿宋" w:eastAsia="仿宋"/>
          <w:szCs w:val="28"/>
        </w:rPr>
      </w:pPr>
      <w:r>
        <w:rPr>
          <w:rFonts w:ascii="仿宋" w:hAnsi="仿宋" w:eastAsia="仿宋"/>
          <w:szCs w:val="28"/>
        </w:rPr>
        <w:fldChar w:fldCharType="end"/>
      </w:r>
    </w:p>
    <w:p>
      <w:pPr>
        <w:spacing w:line="240" w:lineRule="atLeast"/>
        <w:ind w:firstLine="360" w:firstLineChars="200"/>
        <w:rPr>
          <w:rFonts w:ascii="仿宋_GB2312" w:eastAsia="仿宋_GB2312"/>
          <w:snapToGrid w:val="0"/>
          <w:sz w:val="18"/>
          <w:szCs w:val="18"/>
        </w:rPr>
      </w:pPr>
      <w:r>
        <w:rPr>
          <w:rFonts w:hint="eastAsia" w:ascii="仿宋_GB2312" w:hAnsi="仿宋" w:eastAsia="仿宋_GB2312"/>
          <w:sz w:val="18"/>
          <w:szCs w:val="18"/>
        </w:rPr>
        <w:t>1、</w:t>
      </w:r>
      <w:bookmarkStart w:id="0" w:name="_Toc28317"/>
      <w:r>
        <w:rPr>
          <w:rFonts w:hint="eastAsia" w:ascii="仿宋_GB2312" w:eastAsia="仿宋_GB2312"/>
          <w:snapToGrid w:val="0"/>
          <w:sz w:val="18"/>
          <w:szCs w:val="18"/>
        </w:rPr>
        <w:t>估价委托书</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2、估价对象地理位置图</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3、估价对象实地查勘情况和相关照片</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4、权证复印件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5、房地产估价机构营业执照复印件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6、房地产估价机构资质证书复印件</w:t>
      </w:r>
    </w:p>
    <w:p>
      <w:pPr>
        <w:spacing w:line="240" w:lineRule="atLeast"/>
        <w:ind w:firstLine="360" w:firstLineChars="200"/>
        <w:rPr>
          <w:rFonts w:ascii="仿宋_GB2312" w:eastAsia="仿宋_GB2312"/>
          <w:snapToGrid w:val="0"/>
          <w:sz w:val="18"/>
          <w:szCs w:val="18"/>
        </w:rPr>
        <w:sectPr>
          <w:footerReference r:id="rId5" w:type="first"/>
          <w:headerReference r:id="rId3" w:type="default"/>
          <w:footerReference r:id="rId4" w:type="default"/>
          <w:pgSz w:w="12240" w:h="15840"/>
          <w:pgMar w:top="1440" w:right="1800" w:bottom="1440" w:left="1800" w:header="720" w:footer="720" w:gutter="0"/>
          <w:pgBorders>
            <w:top w:val="none" w:sz="0" w:space="0"/>
            <w:left w:val="none" w:sz="0" w:space="0"/>
            <w:bottom w:val="none" w:sz="0" w:space="0"/>
            <w:right w:val="none" w:sz="0" w:space="0"/>
          </w:pgBorders>
          <w:pgNumType w:start="1"/>
          <w:cols w:space="720" w:num="1"/>
        </w:sectPr>
      </w:pPr>
      <w:r>
        <w:rPr>
          <w:rFonts w:hint="eastAsia" w:ascii="仿宋_GB2312" w:eastAsia="仿宋_GB2312"/>
          <w:snapToGrid w:val="0"/>
          <w:sz w:val="18"/>
          <w:szCs w:val="18"/>
        </w:rPr>
        <w:t>7、注册房地产估价师估价资格证书复印件</w:t>
      </w:r>
    </w:p>
    <w:p>
      <w:pPr>
        <w:pStyle w:val="2"/>
        <w:rPr>
          <w:rFonts w:ascii="仿宋" w:hAnsi="仿宋" w:eastAsia="仿宋"/>
        </w:rPr>
      </w:pPr>
      <w:bookmarkStart w:id="1" w:name="_Toc32407"/>
      <w:r>
        <w:rPr>
          <w:rFonts w:hint="eastAsia" w:ascii="仿宋" w:hAnsi="仿宋" w:eastAsia="仿宋"/>
        </w:rPr>
        <w:t>估 价 师 声 明</w:t>
      </w:r>
      <w:bookmarkEnd w:id="0"/>
      <w:bookmarkEnd w:id="1"/>
    </w:p>
    <w:p>
      <w:pPr>
        <w:tabs>
          <w:tab w:val="left" w:pos="-2205"/>
        </w:tabs>
        <w:spacing w:line="560" w:lineRule="exact"/>
        <w:ind w:right="17"/>
        <w:rPr>
          <w:rFonts w:ascii="仿宋" w:hAnsi="仿宋" w:eastAsia="仿宋"/>
          <w:sz w:val="28"/>
          <w:szCs w:val="28"/>
        </w:rPr>
      </w:pPr>
      <w:r>
        <w:rPr>
          <w:rFonts w:hint="eastAsia" w:ascii="仿宋" w:hAnsi="仿宋" w:eastAsia="仿宋"/>
          <w:sz w:val="28"/>
          <w:szCs w:val="28"/>
        </w:rPr>
        <w:t>我们郑重声明：</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1、注册房地产估价师在本估价报告中陈述的事实是真实的和准确的，没有虚假记载、误导性陈述和重大遗漏。</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2、本估价报告中的分析、意见和结论是注册房地产估价师独立、客观、公正的专业分析、意见和结论，但受到本估价报告中已说明的估价假设和限制条件的限制。</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3、注册房地产估价师与本估价报告中的估价对象没有现实或潜在的利益，与估价委托人及估价利害关系人没有利害关系，也对估价对象、估价委托人及估价利害关系人没有偏见。</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4、注册房地产估价师是按照中华人民共和国国家标准《房地产估价规范》（GB/T50291-2015）和《房地产估价基本术语标准》（GB/T50899-2013）号的规定进行分析，形成意见和结论，撰写本估价报告。</w:t>
      </w:r>
    </w:p>
    <w:p>
      <w:pPr>
        <w:pStyle w:val="2"/>
        <w:spacing w:before="0" w:after="0" w:line="480" w:lineRule="exact"/>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tabs>
          <w:tab w:val="left" w:pos="6762"/>
        </w:tabs>
        <w:rPr>
          <w:rFonts w:ascii="仿宋" w:hAnsi="仿宋" w:eastAsia="仿宋"/>
        </w:rPr>
      </w:pPr>
      <w:r>
        <w:rPr>
          <w:rFonts w:hint="eastAsia" w:ascii="仿宋" w:hAnsi="仿宋" w:eastAsia="仿宋"/>
        </w:rPr>
        <w:tab/>
      </w:r>
    </w:p>
    <w:p>
      <w:pPr>
        <w:rPr>
          <w:rFonts w:ascii="仿宋" w:hAnsi="仿宋" w:eastAsia="仿宋"/>
        </w:rPr>
      </w:pPr>
    </w:p>
    <w:p>
      <w:pPr>
        <w:rPr>
          <w:rFonts w:ascii="仿宋" w:hAnsi="仿宋" w:eastAsia="仿宋"/>
        </w:rPr>
      </w:pPr>
    </w:p>
    <w:p>
      <w:pPr>
        <w:rPr>
          <w:rFonts w:ascii="仿宋" w:hAnsi="仿宋" w:eastAsia="仿宋"/>
        </w:rPr>
      </w:pPr>
    </w:p>
    <w:p>
      <w:pPr>
        <w:pStyle w:val="2"/>
        <w:spacing w:before="0" w:after="0" w:line="480" w:lineRule="exact"/>
        <w:rPr>
          <w:rFonts w:ascii="仿宋" w:hAnsi="仿宋" w:eastAsia="仿宋"/>
        </w:rPr>
      </w:pPr>
      <w:bookmarkStart w:id="2" w:name="_Toc15054"/>
      <w:bookmarkStart w:id="3" w:name="_Toc9989"/>
      <w:r>
        <w:rPr>
          <w:rFonts w:hint="eastAsia" w:ascii="仿宋" w:hAnsi="仿宋" w:eastAsia="仿宋"/>
        </w:rPr>
        <w:t>估价假设和限制条件</w:t>
      </w:r>
      <w:bookmarkEnd w:id="2"/>
      <w:bookmarkEnd w:id="3"/>
    </w:p>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一、估价假设条件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（一）一般假设：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1、估价委托人提供了估价对象的相关权属证书，我们对权属证书上记载的权属、面积、用途等资料进行了审慎检查，在无理由怀疑其合法性、真实性、准确性和完整性的情况下,假定估价委托人提供的资料是真实</w:t>
      </w:r>
      <w:r>
        <w:rPr>
          <w:rFonts w:hint="eastAsia" w:ascii="宋体" w:hAnsi="宋体" w:cs="宋体"/>
          <w:sz w:val="28"/>
          <w:szCs w:val="28"/>
        </w:rPr>
        <w:t>、</w:t>
      </w:r>
      <w:r>
        <w:rPr>
          <w:rFonts w:hint="eastAsia" w:ascii="仿宋" w:hAnsi="仿宋" w:eastAsia="仿宋"/>
          <w:sz w:val="28"/>
          <w:szCs w:val="28"/>
        </w:rPr>
        <w:t>完整和有效的，且估价对象可以在公开市场上自由转让。</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2、对房屋安全、环境污染等影响估价对象价值或价格的重大因素给予了关注，在无理由怀疑估价对象存在安全隐患，且无相应的专业机构进行鉴定、检测的情况下，假定其是安全的、无污染的。</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3、市场供应关系、市场结构保持稳定，未发生重大变化或实质性改变。</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中估价对象价值评估结果为该估价对象的公开市场价值，它依据了如下假设：（1）存在自愿的卖者和买者；（2）买卖双方的交易行为都是谨慎的、理性的；（3）在价值时点前，相对于物业的特性和房地产市场状态而言，为使交易完成及达至合理价格，有一个合理的谈判周期；（4）在此周期内，房地产市场状态是保持稳定的；（5）该房地产可以在公开市场上自由转让；（6）不考虑买卖双方因特殊的因素或偏好对房地产价格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5、不考虑估价对象欠缴物业费</w:t>
      </w:r>
      <w:r>
        <w:rPr>
          <w:rFonts w:hint="eastAsia" w:ascii="宋体" w:hAnsi="宋体" w:cs="宋体"/>
          <w:sz w:val="28"/>
          <w:szCs w:val="28"/>
        </w:rPr>
        <w:t>、</w:t>
      </w:r>
      <w:r>
        <w:rPr>
          <w:rFonts w:hint="eastAsia" w:ascii="仿宋" w:hAnsi="仿宋" w:eastAsia="仿宋"/>
          <w:sz w:val="28"/>
          <w:szCs w:val="28"/>
        </w:rPr>
        <w:t>电费、可能存在的欠缴税金及相关费用对估价结果的影响。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w:t>
      </w:r>
      <w:bookmarkStart w:id="4" w:name="_Hlk5191777"/>
      <w:r>
        <w:rPr>
          <w:rFonts w:hint="eastAsia" w:ascii="仿宋" w:hAnsi="仿宋" w:eastAsia="仿宋"/>
          <w:sz w:val="28"/>
          <w:szCs w:val="28"/>
        </w:rPr>
        <w:t>不考虑评估费、拍卖费、诉讼费、律师费等财产处置费用对估价结果的影响</w:t>
      </w:r>
      <w:bookmarkEnd w:id="4"/>
      <w:r>
        <w:rPr>
          <w:rFonts w:hint="eastAsia" w:ascii="仿宋" w:hAnsi="仿宋" w:eastAsia="仿宋"/>
          <w:sz w:val="28"/>
          <w:szCs w:val="28"/>
        </w:rPr>
        <w:t>。</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（二）、未定事项假设：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本次估价无未定事项假设。</w:t>
      </w:r>
    </w:p>
    <w:p>
      <w:pPr>
        <w:tabs>
          <w:tab w:val="left" w:pos="-2205"/>
        </w:tabs>
        <w:spacing w:line="560" w:lineRule="exact"/>
        <w:ind w:right="17" w:firstLine="840" w:firstLineChars="300"/>
        <w:rPr>
          <w:rFonts w:ascii="仿宋" w:hAnsi="仿宋" w:eastAsia="仿宋"/>
          <w:sz w:val="28"/>
          <w:szCs w:val="28"/>
        </w:rPr>
      </w:pPr>
      <w:r>
        <w:rPr>
          <w:rFonts w:hint="eastAsia" w:ascii="仿宋" w:hAnsi="仿宋" w:eastAsia="仿宋"/>
          <w:sz w:val="28"/>
          <w:szCs w:val="28"/>
        </w:rPr>
        <w:t>（三）、背离事实假设：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不考虑估价对象被抵押</w:t>
      </w:r>
      <w:r>
        <w:rPr>
          <w:rFonts w:hint="eastAsia" w:ascii="宋体" w:hAnsi="宋体" w:cs="宋体"/>
          <w:sz w:val="28"/>
          <w:szCs w:val="28"/>
        </w:rPr>
        <w:t>、</w:t>
      </w:r>
      <w:r>
        <w:rPr>
          <w:rFonts w:hint="eastAsia" w:ascii="仿宋" w:hAnsi="仿宋" w:eastAsia="仿宋"/>
          <w:sz w:val="28"/>
          <w:szCs w:val="28"/>
        </w:rPr>
        <w:t>查封以及原有的担保物权和其它优先受偿权的影响。</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(四)、不相一致假设：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本次估价无不相一致假设。</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(五)、依据不足假设：</w:t>
      </w:r>
    </w:p>
    <w:p>
      <w:pPr>
        <w:tabs>
          <w:tab w:val="left" w:pos="-2205"/>
        </w:tabs>
        <w:spacing w:line="560" w:lineRule="exact"/>
        <w:ind w:right="17" w:firstLine="700" w:firstLineChars="250"/>
        <w:rPr>
          <w:rFonts w:ascii="仿宋" w:hAnsi="仿宋" w:eastAsia="仿宋" w:cs="Arial"/>
          <w:sz w:val="28"/>
        </w:rPr>
      </w:pPr>
      <w:r>
        <w:rPr>
          <w:rFonts w:hint="eastAsia" w:ascii="仿宋" w:hAnsi="仿宋" w:eastAsia="仿宋"/>
          <w:sz w:val="28"/>
          <w:szCs w:val="28"/>
        </w:rPr>
        <w:t>本次估价无依据不足假设。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二、估价限制条件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w:t>
      </w:r>
      <w:r>
        <w:rPr>
          <w:rFonts w:hint="eastAsia" w:ascii="仿宋" w:hAnsi="仿宋" w:eastAsia="仿宋" w:cs="Arial"/>
          <w:sz w:val="28"/>
        </w:rPr>
        <w:t>本报告的使用者为估价委托人</w:t>
      </w:r>
      <w:r>
        <w:rPr>
          <w:rFonts w:hint="eastAsia" w:ascii="仿宋" w:hAnsi="仿宋" w:eastAsia="仿宋"/>
          <w:sz w:val="28"/>
          <w:szCs w:val="28"/>
        </w:rPr>
        <w:t>。</w:t>
      </w:r>
    </w:p>
    <w:p>
      <w:pPr>
        <w:tabs>
          <w:tab w:val="left" w:pos="-2205"/>
        </w:tabs>
        <w:spacing w:line="560" w:lineRule="exact"/>
        <w:ind w:right="17" w:firstLine="700" w:firstLineChars="250"/>
        <w:rPr>
          <w:rFonts w:ascii="宋体" w:hAnsi="宋体" w:cs="宋体"/>
          <w:kern w:val="0"/>
          <w:sz w:val="24"/>
        </w:rPr>
      </w:pPr>
      <w:r>
        <w:rPr>
          <w:rFonts w:hint="eastAsia" w:ascii="仿宋" w:hAnsi="仿宋" w:eastAsia="仿宋"/>
          <w:sz w:val="28"/>
          <w:szCs w:val="28"/>
        </w:rPr>
        <w:t>2、本估价报告仅用于为估价委托人确定财产处置参考价提供参考依据，不得用于其他用途。</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3、本报告必须经估价机构加盖公章、注册房地产估价师签字后方可使用，估价机构仅对本报告的原件承担责任，对任何形式的复制件概不认可且不承担责任。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4、本报告应用有效期为自出具评估报告之日起一年。</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5、未经本评估单位同意，评估报告的全部或任何一部分内容不得使用于其它与本次项目无关的任何公开文件，通告或报告中，也不得以任何形式公开发表。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6、本报告由宁波衡信房地产评估有限公司负责解释。</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三、其它事项说明</w:t>
      </w:r>
    </w:p>
    <w:p>
      <w:pPr>
        <w:tabs>
          <w:tab w:val="left" w:pos="-2205"/>
        </w:tabs>
        <w:spacing w:line="560" w:lineRule="exact"/>
        <w:ind w:right="17" w:firstLine="700" w:firstLineChars="250"/>
        <w:rPr>
          <w:rFonts w:ascii="仿宋" w:hAnsi="仿宋" w:eastAsia="仿宋"/>
          <w:sz w:val="28"/>
          <w:szCs w:val="28"/>
        </w:rPr>
      </w:pPr>
      <w:bookmarkStart w:id="5" w:name="_Toc27876"/>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2、评估结果仅为人民法院确定财产处置参考价服务，不是评估对象处置可实现的成交价格，也不应当被视为对评估对象处置成交价格的保证；</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4、在评估报告使用期限或者评估结果有效期内，评估报告或者评估结果未使用之前，如果评估对象状况或者房地产市场状况发生明显变化的，评估结果应当进行相应调整后才可使用；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bookmarkStart w:id="6" w:name="_Toc843"/>
    </w:p>
    <w:p>
      <w:pPr>
        <w:tabs>
          <w:tab w:val="left" w:pos="-2205"/>
        </w:tabs>
        <w:spacing w:line="560" w:lineRule="exact"/>
        <w:ind w:right="17" w:firstLine="700" w:firstLineChars="250"/>
        <w:rPr>
          <w:rFonts w:ascii="仿宋" w:hAnsi="仿宋" w:eastAsia="仿宋"/>
          <w:sz w:val="28"/>
          <w:szCs w:val="28"/>
        </w:rPr>
      </w:pPr>
    </w:p>
    <w:p>
      <w:pPr>
        <w:pStyle w:val="2"/>
        <w:spacing w:line="560" w:lineRule="exact"/>
        <w:rPr>
          <w:rFonts w:ascii="仿宋" w:hAnsi="仿宋" w:eastAsia="仿宋"/>
        </w:rPr>
      </w:pPr>
      <w:r>
        <w:rPr>
          <w:rFonts w:hint="eastAsia" w:ascii="仿宋" w:hAnsi="仿宋" w:eastAsia="仿宋"/>
        </w:rPr>
        <w:t>估价结果报告</w:t>
      </w:r>
      <w:bookmarkEnd w:id="5"/>
      <w:bookmarkEnd w:id="6"/>
    </w:p>
    <w:p>
      <w:pPr>
        <w:pStyle w:val="3"/>
        <w:spacing w:line="560" w:lineRule="exact"/>
        <w:rPr>
          <w:rFonts w:ascii="仿宋" w:hAnsi="仿宋" w:eastAsia="仿宋"/>
        </w:rPr>
      </w:pPr>
      <w:bookmarkStart w:id="7" w:name="_Toc29716"/>
      <w:bookmarkStart w:id="8" w:name="_Toc4403"/>
      <w:r>
        <w:rPr>
          <w:rFonts w:hint="eastAsia" w:ascii="仿宋" w:hAnsi="仿宋" w:eastAsia="仿宋"/>
        </w:rPr>
        <w:t>一、估价委托人</w:t>
      </w:r>
      <w:bookmarkEnd w:id="7"/>
      <w:bookmarkEnd w:id="8"/>
    </w:p>
    <w:p>
      <w:pPr>
        <w:spacing w:line="560" w:lineRule="exact"/>
        <w:ind w:firstLine="570"/>
        <w:rPr>
          <w:rFonts w:ascii="仿宋" w:hAnsi="仿宋" w:eastAsia="仿宋"/>
          <w:sz w:val="28"/>
          <w:szCs w:val="28"/>
        </w:rPr>
      </w:pPr>
      <w:r>
        <w:rPr>
          <w:rFonts w:hint="eastAsia" w:ascii="仿宋" w:hAnsi="仿宋" w:eastAsia="仿宋"/>
          <w:sz w:val="28"/>
          <w:szCs w:val="28"/>
        </w:rPr>
        <w:t>估价委托人：宁波市海曙区人民法院</w:t>
      </w:r>
    </w:p>
    <w:p>
      <w:pPr>
        <w:spacing w:line="560" w:lineRule="exact"/>
        <w:ind w:firstLine="570"/>
        <w:rPr>
          <w:rFonts w:ascii="仿宋" w:hAnsi="仿宋" w:eastAsia="仿宋"/>
          <w:sz w:val="28"/>
          <w:szCs w:val="28"/>
        </w:rPr>
      </w:pPr>
      <w:r>
        <w:rPr>
          <w:rFonts w:hint="eastAsia" w:ascii="仿宋" w:hAnsi="仿宋" w:eastAsia="仿宋"/>
          <w:sz w:val="28"/>
          <w:szCs w:val="28"/>
        </w:rPr>
        <w:t>地址：宁波市海曙区环城西路北段200号</w:t>
      </w:r>
    </w:p>
    <w:p>
      <w:pPr>
        <w:pStyle w:val="3"/>
        <w:spacing w:line="560" w:lineRule="exact"/>
        <w:rPr>
          <w:rFonts w:ascii="仿宋" w:hAnsi="仿宋" w:eastAsia="仿宋"/>
        </w:rPr>
      </w:pPr>
      <w:bookmarkStart w:id="9" w:name="_Toc8668"/>
      <w:bookmarkStart w:id="10" w:name="_Toc21760"/>
      <w:r>
        <w:rPr>
          <w:rFonts w:hint="eastAsia" w:ascii="仿宋" w:hAnsi="仿宋" w:eastAsia="仿宋"/>
        </w:rPr>
        <w:t>二、房地产估价机构</w:t>
      </w:r>
      <w:bookmarkEnd w:id="9"/>
      <w:bookmarkEnd w:id="10"/>
    </w:p>
    <w:p>
      <w:pPr>
        <w:spacing w:line="560" w:lineRule="exact"/>
        <w:ind w:firstLine="570"/>
        <w:rPr>
          <w:rFonts w:ascii="仿宋" w:hAnsi="仿宋" w:eastAsia="仿宋"/>
          <w:strike/>
          <w:sz w:val="28"/>
          <w:szCs w:val="28"/>
        </w:rPr>
      </w:pPr>
      <w:r>
        <w:rPr>
          <w:rFonts w:hint="eastAsia" w:ascii="仿宋" w:hAnsi="仿宋" w:eastAsia="仿宋"/>
          <w:sz w:val="28"/>
          <w:szCs w:val="28"/>
        </w:rPr>
        <w:t>估价机构：宁波衡信房地产评估有限公司</w:t>
      </w:r>
    </w:p>
    <w:p>
      <w:pPr>
        <w:spacing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 xml:space="preserve">法人代表： </w:t>
      </w:r>
      <w:r>
        <w:rPr>
          <w:rFonts w:hint="eastAsia" w:ascii="仿宋" w:hAnsi="仿宋" w:eastAsia="仿宋"/>
          <w:sz w:val="28"/>
          <w:szCs w:val="28"/>
          <w:lang w:val="en-US" w:eastAsia="zh-CN"/>
        </w:rPr>
        <w:t>***</w:t>
      </w:r>
    </w:p>
    <w:p>
      <w:pPr>
        <w:spacing w:line="560" w:lineRule="exact"/>
        <w:ind w:firstLine="570"/>
        <w:rPr>
          <w:rFonts w:ascii="仿宋" w:hAnsi="仿宋" w:eastAsia="仿宋"/>
          <w:sz w:val="28"/>
          <w:szCs w:val="28"/>
        </w:rPr>
      </w:pPr>
      <w:r>
        <w:rPr>
          <w:rFonts w:hint="eastAsia" w:ascii="仿宋" w:hAnsi="仿宋" w:eastAsia="仿宋"/>
          <w:sz w:val="28"/>
          <w:szCs w:val="28"/>
        </w:rPr>
        <w:t>地址：宁波市鄞州区百盛商务楼南楼421-422；</w:t>
      </w:r>
    </w:p>
    <w:p>
      <w:pPr>
        <w:spacing w:line="560" w:lineRule="exact"/>
        <w:ind w:firstLine="570"/>
        <w:rPr>
          <w:rFonts w:ascii="仿宋" w:hAnsi="仿宋" w:eastAsia="仿宋"/>
          <w:color w:val="FF0000"/>
          <w:sz w:val="28"/>
          <w:szCs w:val="28"/>
        </w:rPr>
      </w:pPr>
      <w:r>
        <w:rPr>
          <w:rFonts w:hint="eastAsia" w:ascii="仿宋" w:hAnsi="仿宋" w:eastAsia="仿宋"/>
          <w:sz w:val="28"/>
          <w:szCs w:val="28"/>
        </w:rPr>
        <w:t>资质证书号：</w:t>
      </w:r>
      <w:r>
        <w:rPr>
          <w:rFonts w:hint="eastAsia" w:ascii="仿宋" w:hAnsi="仿宋" w:eastAsia="仿宋"/>
          <w:color w:val="000000"/>
          <w:sz w:val="28"/>
          <w:szCs w:val="28"/>
        </w:rPr>
        <w:t>浙建房估证字[2013]005号</w:t>
      </w:r>
    </w:p>
    <w:p>
      <w:pPr>
        <w:spacing w:line="560" w:lineRule="exact"/>
        <w:ind w:firstLine="570"/>
        <w:rPr>
          <w:rFonts w:ascii="仿宋" w:hAnsi="仿宋" w:eastAsia="仿宋"/>
          <w:strike/>
          <w:sz w:val="28"/>
          <w:szCs w:val="28"/>
        </w:rPr>
      </w:pPr>
      <w:r>
        <w:rPr>
          <w:rFonts w:hint="eastAsia" w:ascii="仿宋" w:hAnsi="仿宋" w:eastAsia="仿宋"/>
          <w:sz w:val="28"/>
          <w:szCs w:val="28"/>
        </w:rPr>
        <w:t>资质等级：壹级</w:t>
      </w:r>
    </w:p>
    <w:p>
      <w:pPr>
        <w:pStyle w:val="3"/>
        <w:spacing w:line="560" w:lineRule="exact"/>
        <w:rPr>
          <w:rFonts w:ascii="仿宋" w:hAnsi="仿宋" w:eastAsia="仿宋"/>
        </w:rPr>
      </w:pPr>
      <w:bookmarkStart w:id="11" w:name="_Toc15217"/>
      <w:bookmarkStart w:id="12" w:name="_Toc32767"/>
      <w:r>
        <w:rPr>
          <w:rFonts w:hint="eastAsia" w:ascii="仿宋" w:hAnsi="仿宋" w:eastAsia="仿宋"/>
        </w:rPr>
        <w:t>三、估价目的</w:t>
      </w:r>
      <w:bookmarkEnd w:id="11"/>
      <w:bookmarkEnd w:id="12"/>
    </w:p>
    <w:p>
      <w:pPr>
        <w:spacing w:line="480" w:lineRule="exact"/>
        <w:ind w:firstLine="560" w:firstLineChars="200"/>
        <w:rPr>
          <w:rFonts w:ascii="仿宋_GB2312" w:eastAsia="仿宋_GB2312"/>
          <w:sz w:val="28"/>
        </w:rPr>
      </w:pPr>
      <w:r>
        <w:rPr>
          <w:rFonts w:hint="eastAsia" w:ascii="仿宋" w:hAnsi="仿宋" w:eastAsia="仿宋"/>
          <w:sz w:val="28"/>
          <w:szCs w:val="28"/>
        </w:rPr>
        <w:t>为人民法院确定财产处置参考价提供参考依据。</w:t>
      </w:r>
    </w:p>
    <w:p>
      <w:pPr>
        <w:pStyle w:val="3"/>
        <w:spacing w:line="560" w:lineRule="exact"/>
        <w:rPr>
          <w:rFonts w:ascii="仿宋" w:hAnsi="仿宋" w:eastAsia="仿宋"/>
        </w:rPr>
      </w:pPr>
      <w:bookmarkStart w:id="13" w:name="_Toc7934"/>
      <w:bookmarkStart w:id="14" w:name="_Toc32540"/>
      <w:r>
        <w:rPr>
          <w:rFonts w:hint="eastAsia" w:ascii="仿宋" w:hAnsi="仿宋" w:eastAsia="仿宋"/>
        </w:rPr>
        <w:t>四、估价对象</w:t>
      </w:r>
      <w:bookmarkEnd w:id="13"/>
      <w:bookmarkEnd w:id="14"/>
    </w:p>
    <w:p>
      <w:pPr>
        <w:spacing w:line="500" w:lineRule="exact"/>
        <w:ind w:firstLine="537" w:firstLineChars="192"/>
        <w:rPr>
          <w:rFonts w:eastAsia="仿宋_GB2312"/>
          <w:sz w:val="28"/>
        </w:rPr>
      </w:pPr>
      <w:r>
        <w:rPr>
          <w:rFonts w:eastAsia="仿宋_GB2312"/>
          <w:sz w:val="28"/>
        </w:rPr>
        <w:t>（一）估价对象财产范围</w:t>
      </w:r>
    </w:p>
    <w:p>
      <w:pPr>
        <w:spacing w:line="480" w:lineRule="exact"/>
        <w:ind w:firstLine="560" w:firstLineChars="200"/>
        <w:rPr>
          <w:rFonts w:eastAsia="仿宋"/>
          <w:sz w:val="28"/>
        </w:rPr>
      </w:pPr>
      <w:r>
        <w:rPr>
          <w:rFonts w:ascii="仿宋" w:hAnsi="仿宋" w:eastAsia="仿宋"/>
          <w:sz w:val="28"/>
          <w:szCs w:val="28"/>
        </w:rPr>
        <w:t>估价对象</w:t>
      </w:r>
      <w:r>
        <w:rPr>
          <w:rFonts w:hint="eastAsia" w:ascii="仿宋" w:hAnsi="仿宋" w:eastAsia="仿宋"/>
          <w:sz w:val="28"/>
          <w:szCs w:val="28"/>
        </w:rPr>
        <w:t>财产范围包括土地使用权、建筑物及固定装修、附属车棚等配套设施，不包括动产、债权债务等其他财产或权益。</w:t>
      </w:r>
    </w:p>
    <w:p>
      <w:pPr>
        <w:spacing w:line="480" w:lineRule="exact"/>
        <w:ind w:firstLine="560" w:firstLineChars="200"/>
        <w:rPr>
          <w:rFonts w:eastAsia="仿宋_GB2312"/>
          <w:sz w:val="28"/>
        </w:rPr>
      </w:pPr>
      <w:r>
        <w:rPr>
          <w:rFonts w:eastAsia="仿宋_GB2312"/>
          <w:sz w:val="28"/>
        </w:rPr>
        <w:t>（二）估价对象基本状况</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1、名称：</w:t>
      </w:r>
      <w:bookmarkStart w:id="15" w:name="_Toc22347"/>
      <w:r>
        <w:rPr>
          <w:rFonts w:hint="eastAsia" w:ascii="仿宋" w:hAnsi="仿宋" w:eastAsia="仿宋"/>
          <w:sz w:val="28"/>
          <w:szCs w:val="28"/>
          <w:lang w:val="en-US" w:eastAsia="zh-CN"/>
        </w:rPr>
        <w:t>***</w:t>
      </w:r>
      <w:r>
        <w:rPr>
          <w:rFonts w:hint="eastAsia" w:ascii="仿宋" w:hAnsi="仿宋" w:eastAsia="仿宋"/>
          <w:sz w:val="28"/>
          <w:szCs w:val="28"/>
        </w:rPr>
        <w:t>、</w:t>
      </w:r>
      <w:r>
        <w:rPr>
          <w:rFonts w:hint="eastAsia" w:ascii="仿宋" w:hAnsi="仿宋" w:eastAsia="仿宋"/>
          <w:sz w:val="28"/>
          <w:szCs w:val="28"/>
          <w:lang w:val="en-US" w:eastAsia="zh-CN"/>
        </w:rPr>
        <w:t>***</w:t>
      </w:r>
      <w:r>
        <w:rPr>
          <w:rFonts w:hint="eastAsia" w:ascii="仿宋" w:hAnsi="仿宋" w:eastAsia="仿宋"/>
          <w:sz w:val="28"/>
          <w:szCs w:val="28"/>
        </w:rPr>
        <w:t>按份共有的位于宁波市海曙区石碶街道庄湾沁园10幢26号1001室住宅房地产。</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2、坐落：宁波市海曙区石碶街道庄湾沁园10幢26号1001室。</w:t>
      </w:r>
    </w:p>
    <w:p>
      <w:pPr>
        <w:spacing w:line="560" w:lineRule="exact"/>
        <w:ind w:firstLine="560" w:firstLineChars="200"/>
        <w:rPr>
          <w:rFonts w:ascii="仿宋" w:hAnsi="仿宋" w:eastAsia="仿宋_GB2312"/>
          <w:sz w:val="28"/>
          <w:szCs w:val="28"/>
        </w:rPr>
      </w:pPr>
      <w:r>
        <w:rPr>
          <w:rFonts w:hint="eastAsia" w:ascii="仿宋" w:hAnsi="仿宋" w:eastAsia="仿宋"/>
          <w:sz w:val="28"/>
          <w:szCs w:val="28"/>
        </w:rPr>
        <w:t>3、规模：房屋建筑面积118.65平方米，土地使用权面积11.26平方米，另有附属物车棚一间。</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4、用途：法定用途和实际用途均为住宅。</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5、权属状况</w:t>
      </w:r>
    </w:p>
    <w:p>
      <w:pPr>
        <w:adjustRightInd w:val="0"/>
        <w:snapToGrid w:val="0"/>
        <w:spacing w:line="500" w:lineRule="atLeast"/>
        <w:ind w:firstLine="2811" w:firstLineChars="1000"/>
        <w:rPr>
          <w:rFonts w:ascii="仿宋_GB2312" w:eastAsia="仿宋_GB2312"/>
          <w:b/>
          <w:sz w:val="28"/>
          <w:szCs w:val="28"/>
        </w:rPr>
      </w:pPr>
      <w:r>
        <w:rPr>
          <w:rFonts w:hint="eastAsia" w:ascii="仿宋_GB2312" w:eastAsia="仿宋_GB2312"/>
          <w:b/>
          <w:sz w:val="28"/>
          <w:szCs w:val="28"/>
        </w:rPr>
        <w:t>不动产权证登记状况表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03"/>
        <w:gridCol w:w="1825"/>
        <w:gridCol w:w="292"/>
        <w:gridCol w:w="2291"/>
        <w:gridCol w:w="1985"/>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57"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不动产权证编号</w:t>
            </w:r>
          </w:p>
        </w:tc>
        <w:tc>
          <w:tcPr>
            <w:tcW w:w="6228" w:type="dxa"/>
            <w:gridSpan w:val="4"/>
            <w:shd w:val="clear" w:color="auto" w:fill="FFFFFF" w:themeFill="background1"/>
            <w:noWrap/>
            <w:vAlign w:val="center"/>
          </w:tcPr>
          <w:p>
            <w:pPr>
              <w:widowControl/>
              <w:jc w:val="center"/>
              <w:rPr>
                <w:rFonts w:hint="eastAsia" w:ascii="仿宋" w:hAnsi="仿宋" w:eastAsia="仿宋"/>
                <w:color w:val="000000"/>
                <w:szCs w:val="21"/>
              </w:rPr>
            </w:pPr>
            <w:r>
              <w:rPr>
                <w:rFonts w:hint="eastAsia" w:ascii="仿宋" w:hAnsi="仿宋" w:eastAsia="仿宋"/>
                <w:color w:val="000000"/>
                <w:szCs w:val="21"/>
              </w:rPr>
              <w:t>浙（2017）海曙区不动产权第0584648号</w:t>
            </w:r>
          </w:p>
          <w:p>
            <w:pPr>
              <w:widowControl/>
              <w:jc w:val="center"/>
              <w:rPr>
                <w:rFonts w:ascii="仿宋" w:hAnsi="仿宋" w:eastAsia="仿宋"/>
                <w:color w:val="000000"/>
                <w:szCs w:val="21"/>
              </w:rPr>
            </w:pPr>
            <w:r>
              <w:rPr>
                <w:rFonts w:hint="eastAsia" w:ascii="仿宋" w:hAnsi="仿宋" w:eastAsia="仿宋"/>
                <w:color w:val="000000"/>
                <w:szCs w:val="21"/>
              </w:rPr>
              <w:t>浙（2017）海曙区不动产权第0584649号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7"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权利人</w:t>
            </w:r>
          </w:p>
        </w:tc>
        <w:tc>
          <w:tcPr>
            <w:tcW w:w="6228" w:type="dxa"/>
            <w:gridSpan w:val="4"/>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4"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共有情况</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ascii="仿宋" w:hAnsi="仿宋" w:eastAsia="仿宋"/>
                <w:color w:val="000000"/>
                <w:szCs w:val="21"/>
              </w:rPr>
              <w:t>按份共有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57"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坐落</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宁波市海曙区石碶街道庄湾沁园10幢26号1001室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6"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权利类型</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国有建设用地使用权/房屋所有权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40"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权利性质</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出让/动迁房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0"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用途</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城镇住宅用地/住宅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40"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面积</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土地使用权面积11.26㎡/房屋建筑面积118.65㎡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使用期限</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国有建设用地使用权至2086年12月06日止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28"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权利其它状况</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共有人</w:t>
            </w:r>
            <w:r>
              <w:rPr>
                <w:rFonts w:hint="eastAsia" w:ascii="仿宋" w:hAnsi="仿宋" w:eastAsia="仿宋" w:cs="宋体"/>
                <w:kern w:val="0"/>
                <w:sz w:val="20"/>
                <w:szCs w:val="20"/>
              </w:rPr>
              <w:t>马典润、高利，</w:t>
            </w:r>
            <w:r>
              <w:rPr>
                <w:rFonts w:hint="eastAsia" w:ascii="仿宋" w:hAnsi="仿宋" w:eastAsia="仿宋"/>
                <w:color w:val="000000"/>
                <w:szCs w:val="21"/>
              </w:rPr>
              <w:t>土地使用权面积11.26㎡，其中独用面积0㎡，分摊土地面积11.26㎡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56" w:type="dxa"/>
            <w:gridSpan w:val="6"/>
            <w:shd w:val="clear" w:color="auto" w:fill="FFFFFF" w:themeFill="background1"/>
            <w:noWrap/>
            <w:vAlign w:val="center"/>
          </w:tcPr>
          <w:p>
            <w:pPr>
              <w:widowControl/>
              <w:tabs>
                <w:tab w:val="left" w:pos="3245"/>
              </w:tabs>
              <w:jc w:val="center"/>
              <w:rPr>
                <w:rFonts w:ascii="仿宋" w:hAnsi="仿宋" w:eastAsia="仿宋"/>
                <w:color w:val="000000"/>
                <w:szCs w:val="21"/>
              </w:rPr>
            </w:pPr>
            <w:r>
              <w:rPr>
                <w:rFonts w:hint="eastAsia" w:ascii="仿宋" w:hAnsi="仿宋" w:eastAsia="仿宋"/>
                <w:color w:val="000000"/>
                <w:szCs w:val="21"/>
              </w:rPr>
              <w:t>附记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56" w:type="dxa"/>
            <w:gridSpan w:val="6"/>
            <w:shd w:val="clear" w:color="auto" w:fill="FFFFFF" w:themeFill="background1"/>
            <w:noWrap/>
            <w:vAlign w:val="center"/>
          </w:tcPr>
          <w:p>
            <w:pPr>
              <w:widowControl/>
              <w:tabs>
                <w:tab w:val="left" w:pos="3245"/>
              </w:tabs>
              <w:ind w:firstLine="105" w:firstLineChars="50"/>
              <w:jc w:val="left"/>
              <w:rPr>
                <w:rFonts w:ascii="仿宋" w:hAnsi="仿宋" w:eastAsia="仿宋"/>
                <w:color w:val="000000"/>
                <w:szCs w:val="21"/>
              </w:rPr>
            </w:pPr>
            <w:r>
              <w:rPr>
                <w:rFonts w:hint="eastAsia" w:ascii="仿宋" w:hAnsi="仿宋" w:eastAsia="仿宋"/>
                <w:color w:val="000000"/>
                <w:szCs w:val="21"/>
              </w:rPr>
              <w:t xml:space="preserve">按份共有 </w:t>
            </w:r>
            <w:r>
              <w:rPr>
                <w:rFonts w:hint="eastAsia" w:ascii="仿宋" w:hAnsi="仿宋" w:eastAsia="仿宋" w:cs="宋体"/>
                <w:kern w:val="0"/>
                <w:sz w:val="20"/>
                <w:szCs w:val="20"/>
              </w:rPr>
              <w:t>马典润占50%、高利占50% ，车棚一间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3"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序号</w:t>
            </w:r>
          </w:p>
        </w:tc>
        <w:tc>
          <w:tcPr>
            <w:tcW w:w="2117"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规划用途</w:t>
            </w:r>
          </w:p>
        </w:tc>
        <w:tc>
          <w:tcPr>
            <w:tcW w:w="2291"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建筑面积</w:t>
            </w:r>
          </w:p>
        </w:tc>
        <w:tc>
          <w:tcPr>
            <w:tcW w:w="1985"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专有建筑面积</w:t>
            </w:r>
          </w:p>
        </w:tc>
        <w:tc>
          <w:tcPr>
            <w:tcW w:w="1660"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分摊建筑面积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03"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1</w:t>
            </w:r>
          </w:p>
        </w:tc>
        <w:tc>
          <w:tcPr>
            <w:tcW w:w="2117" w:type="dxa"/>
            <w:gridSpan w:val="2"/>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住宅</w:t>
            </w:r>
          </w:p>
        </w:tc>
        <w:tc>
          <w:tcPr>
            <w:tcW w:w="2291"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118.65㎡</w:t>
            </w:r>
          </w:p>
        </w:tc>
        <w:tc>
          <w:tcPr>
            <w:tcW w:w="1985"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93.23㎡</w:t>
            </w:r>
          </w:p>
        </w:tc>
        <w:tc>
          <w:tcPr>
            <w:tcW w:w="1660"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25.42㎡</w:t>
            </w:r>
          </w:p>
        </w:tc>
      </w:tr>
    </w:tbl>
    <w:p>
      <w:pPr>
        <w:snapToGrid w:val="0"/>
        <w:spacing w:line="480" w:lineRule="exact"/>
        <w:ind w:firstLine="700" w:firstLineChars="250"/>
        <w:rPr>
          <w:rFonts w:eastAsia="仿宋_GB2312"/>
          <w:sz w:val="28"/>
        </w:rPr>
      </w:pPr>
      <w:r>
        <w:rPr>
          <w:rFonts w:hint="eastAsia" w:ascii="仿宋" w:hAnsi="仿宋" w:eastAsia="仿宋" w:cs="Arial"/>
          <w:sz w:val="28"/>
        </w:rPr>
        <w:t>另根据宁波市不动产登记查询结果:估价对象房产有抵押情况。</w:t>
      </w: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r>
        <w:rPr>
          <w:rFonts w:eastAsia="仿宋_GB2312"/>
          <w:sz w:val="28"/>
        </w:rPr>
        <w:t>（</w:t>
      </w:r>
      <w:r>
        <w:rPr>
          <w:rFonts w:hint="eastAsia" w:eastAsia="仿宋_GB2312"/>
          <w:sz w:val="28"/>
        </w:rPr>
        <w:t>三</w:t>
      </w:r>
      <w:r>
        <w:rPr>
          <w:rFonts w:eastAsia="仿宋_GB2312"/>
          <w:sz w:val="28"/>
        </w:rPr>
        <w:t>）土地基本状况</w:t>
      </w:r>
    </w:p>
    <w:p>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cs="Arial"/>
          <w:sz w:val="28"/>
        </w:rPr>
        <w:t>四至状况：</w:t>
      </w:r>
      <w:r>
        <w:rPr>
          <w:rFonts w:hint="eastAsia" w:ascii="仿宋" w:hAnsi="仿宋" w:eastAsia="仿宋" w:cs="Arial"/>
          <w:sz w:val="28"/>
        </w:rPr>
        <w:t>东邻万隆花苑，南临鄞州大道，西临万泉路，北临河流</w:t>
      </w:r>
      <w:r>
        <w:rPr>
          <w:rFonts w:hint="eastAsia" w:ascii="仿宋" w:hAnsi="仿宋" w:eastAsia="仿宋"/>
          <w:sz w:val="28"/>
          <w:szCs w:val="28"/>
        </w:rPr>
        <w:t>。</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2、</w:t>
      </w:r>
      <w:r>
        <w:rPr>
          <w:rFonts w:hint="eastAsia" w:ascii="仿宋" w:hAnsi="仿宋" w:eastAsia="仿宋" w:cs="Arial"/>
          <w:sz w:val="28"/>
          <w:szCs w:val="28"/>
        </w:rPr>
        <w:t>面积及用途：</w:t>
      </w:r>
      <w:r>
        <w:rPr>
          <w:rFonts w:hint="eastAsia" w:ascii="仿宋" w:hAnsi="仿宋" w:eastAsia="仿宋"/>
          <w:sz w:val="28"/>
          <w:szCs w:val="28"/>
        </w:rPr>
        <w:t>土地使用权面积11.26平方米，用途为住宅用地。</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3、</w:t>
      </w:r>
      <w:r>
        <w:rPr>
          <w:rFonts w:hint="eastAsia" w:ascii="仿宋" w:hAnsi="仿宋" w:eastAsia="仿宋" w:cs="Arial"/>
          <w:sz w:val="28"/>
          <w:szCs w:val="28"/>
        </w:rPr>
        <w:t>形状</w:t>
      </w:r>
      <w:r>
        <w:rPr>
          <w:rFonts w:ascii="仿宋" w:hAnsi="仿宋" w:eastAsia="仿宋" w:cs="Arial"/>
          <w:sz w:val="28"/>
          <w:szCs w:val="28"/>
        </w:rPr>
        <w:t>：</w:t>
      </w:r>
      <w:r>
        <w:rPr>
          <w:rFonts w:hint="eastAsia" w:ascii="仿宋" w:hAnsi="仿宋" w:eastAsia="仿宋" w:cs="Arial"/>
          <w:sz w:val="28"/>
          <w:szCs w:val="28"/>
        </w:rPr>
        <w:t>规则。</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ascii="仿宋" w:hAnsi="仿宋" w:eastAsia="仿宋" w:cs="Arial"/>
          <w:sz w:val="28"/>
          <w:szCs w:val="28"/>
        </w:rPr>
        <w:t>使用权取得方式</w:t>
      </w:r>
      <w:r>
        <w:rPr>
          <w:rFonts w:hint="eastAsia" w:ascii="仿宋" w:hAnsi="仿宋" w:eastAsia="仿宋" w:cs="Arial"/>
          <w:sz w:val="28"/>
          <w:szCs w:val="28"/>
        </w:rPr>
        <w:t>及</w:t>
      </w:r>
      <w:r>
        <w:rPr>
          <w:rFonts w:ascii="仿宋" w:hAnsi="仿宋" w:eastAsia="仿宋" w:cs="Arial"/>
          <w:sz w:val="28"/>
          <w:szCs w:val="28"/>
        </w:rPr>
        <w:t>土地使用期限：</w:t>
      </w:r>
      <w:r>
        <w:rPr>
          <w:rFonts w:hint="eastAsia" w:ascii="仿宋" w:hAnsi="仿宋" w:eastAsia="仿宋" w:cs="Arial"/>
          <w:sz w:val="28"/>
          <w:szCs w:val="28"/>
        </w:rPr>
        <w:t>国有</w:t>
      </w:r>
      <w:r>
        <w:rPr>
          <w:rFonts w:hint="eastAsia" w:ascii="仿宋" w:hAnsi="仿宋" w:eastAsia="仿宋" w:cs="Arial"/>
          <w:sz w:val="28"/>
        </w:rPr>
        <w:t>出让取得，</w:t>
      </w:r>
      <w:r>
        <w:rPr>
          <w:rFonts w:hint="eastAsia" w:ascii="仿宋" w:hAnsi="仿宋" w:eastAsia="仿宋"/>
          <w:sz w:val="28"/>
          <w:szCs w:val="28"/>
        </w:rPr>
        <w:t>土地使用期限至2086年12月06日止。</w:t>
      </w:r>
    </w:p>
    <w:p>
      <w:pPr>
        <w:autoSpaceDE w:val="0"/>
        <w:autoSpaceDN w:val="0"/>
        <w:spacing w:before="25" w:after="25" w:line="480" w:lineRule="exact"/>
        <w:ind w:firstLine="560" w:firstLineChars="200"/>
        <w:textAlignment w:val="bottom"/>
        <w:rPr>
          <w:rFonts w:ascii="仿宋" w:hAnsi="仿宋" w:eastAsia="仿宋" w:cs="Arial"/>
          <w:sz w:val="28"/>
        </w:rPr>
      </w:pPr>
      <w:r>
        <w:rPr>
          <w:rFonts w:hint="eastAsia" w:ascii="仿宋" w:hAnsi="仿宋" w:eastAsia="仿宋"/>
          <w:sz w:val="28"/>
          <w:szCs w:val="28"/>
        </w:rPr>
        <w:t>5、</w:t>
      </w:r>
      <w:r>
        <w:rPr>
          <w:rFonts w:ascii="仿宋" w:hAnsi="仿宋" w:eastAsia="仿宋" w:cs="Arial"/>
          <w:sz w:val="28"/>
        </w:rPr>
        <w:t>土地开发程度：</w:t>
      </w:r>
      <w:r>
        <w:rPr>
          <w:rFonts w:hint="eastAsia" w:ascii="仿宋" w:hAnsi="仿宋" w:eastAsia="仿宋" w:cs="Arial"/>
          <w:sz w:val="28"/>
        </w:rPr>
        <w:t>已开发完成，达到“六通”</w:t>
      </w:r>
      <w:r>
        <w:rPr>
          <w:rFonts w:ascii="仿宋" w:hAnsi="仿宋" w:eastAsia="仿宋" w:cs="Arial"/>
          <w:sz w:val="28"/>
        </w:rPr>
        <w:t>（</w:t>
      </w:r>
      <w:r>
        <w:rPr>
          <w:rFonts w:hint="eastAsia" w:ascii="仿宋" w:hAnsi="仿宋" w:eastAsia="仿宋" w:cs="仿宋"/>
          <w:sz w:val="28"/>
          <w:szCs w:val="28"/>
        </w:rPr>
        <w:t>通电、通路、通上水、通下水、通讯、燃气</w:t>
      </w:r>
      <w:r>
        <w:rPr>
          <w:rFonts w:ascii="仿宋" w:hAnsi="仿宋" w:eastAsia="仿宋" w:cs="Arial"/>
          <w:sz w:val="28"/>
        </w:rPr>
        <w:t>）</w:t>
      </w:r>
      <w:r>
        <w:rPr>
          <w:rFonts w:hint="eastAsia" w:ascii="仿宋" w:hAnsi="仿宋" w:eastAsia="仿宋" w:cs="Arial"/>
          <w:sz w:val="28"/>
        </w:rPr>
        <w:t>。</w:t>
      </w:r>
    </w:p>
    <w:p>
      <w:pPr>
        <w:tabs>
          <w:tab w:val="left" w:pos="3060"/>
        </w:tabs>
        <w:spacing w:line="520" w:lineRule="exact"/>
        <w:ind w:right="181" w:firstLine="560" w:firstLineChars="200"/>
        <w:rPr>
          <w:rFonts w:eastAsia="仿宋_GB2312"/>
          <w:sz w:val="28"/>
        </w:rPr>
      </w:pPr>
      <w:r>
        <w:rPr>
          <w:rFonts w:hint="eastAsia" w:eastAsia="仿宋_GB2312"/>
          <w:sz w:val="28"/>
        </w:rPr>
        <w:t>（四）</w:t>
      </w:r>
      <w:r>
        <w:rPr>
          <w:rFonts w:eastAsia="仿宋_GB2312"/>
          <w:sz w:val="28"/>
        </w:rPr>
        <w:t>建筑物</w:t>
      </w:r>
      <w:r>
        <w:rPr>
          <w:rFonts w:hint="eastAsia" w:eastAsia="仿宋_GB2312"/>
          <w:sz w:val="28"/>
        </w:rPr>
        <w:t>基本状况</w:t>
      </w:r>
    </w:p>
    <w:p>
      <w:pPr>
        <w:spacing w:line="500" w:lineRule="exact"/>
        <w:ind w:firstLine="560" w:firstLineChars="200"/>
        <w:rPr>
          <w:rFonts w:ascii="仿宋" w:hAnsi="仿宋" w:eastAsia="仿宋" w:cs="Arial"/>
          <w:sz w:val="28"/>
          <w:szCs w:val="28"/>
        </w:rPr>
      </w:pPr>
      <w:r>
        <w:rPr>
          <w:rFonts w:hint="eastAsia" w:ascii="仿宋" w:hAnsi="仿宋" w:eastAsia="仿宋" w:cs="Arial"/>
          <w:sz w:val="28"/>
          <w:szCs w:val="28"/>
        </w:rPr>
        <w:t>根据实地查勘，</w:t>
      </w:r>
      <w:r>
        <w:rPr>
          <w:rFonts w:hint="eastAsia" w:ascii="仿宋" w:hAnsi="仿宋" w:eastAsia="仿宋"/>
          <w:sz w:val="28"/>
          <w:szCs w:val="28"/>
        </w:rPr>
        <w:t>估价对象位于宁波市海曙区石碶街道庄湾沁园10幢26号1001室</w:t>
      </w:r>
      <w:r>
        <w:rPr>
          <w:rFonts w:hint="eastAsia" w:ascii="仿宋" w:hAnsi="仿宋" w:eastAsia="仿宋" w:cs="Arial"/>
          <w:sz w:val="28"/>
          <w:szCs w:val="28"/>
        </w:rPr>
        <w:t>，朝向部位南东，钢混结构，所在楼幢地上15层，地下2层，估价对象位于地上第10层。房屋建成年份约2015年，所在单元配备两部电梯</w:t>
      </w:r>
      <w:r>
        <w:rPr>
          <w:rFonts w:hint="eastAsia" w:ascii="仿宋" w:hAnsi="仿宋" w:eastAsia="仿宋" w:cs="Arial"/>
          <w:sz w:val="28"/>
          <w:szCs w:val="28"/>
          <w:lang w:eastAsia="zh-CN"/>
        </w:rPr>
        <w:t>，</w:t>
      </w:r>
      <w:r>
        <w:rPr>
          <w:rFonts w:hint="eastAsia" w:ascii="仿宋" w:hAnsi="仿宋" w:eastAsia="仿宋" w:cs="Arial"/>
          <w:sz w:val="28"/>
          <w:szCs w:val="28"/>
        </w:rPr>
        <w:t>质量完好，维护状况较好，该住宅用房平面结构规则，通风采光良好，水电卫齐全，标准层高。估价对象室内基本布局为三室一厅一卫一厨一阳，配备中央空调，装修明细</w:t>
      </w:r>
      <w:r>
        <w:rPr>
          <w:rFonts w:ascii="仿宋" w:hAnsi="仿宋" w:eastAsia="仿宋" w:cs="Arial"/>
          <w:sz w:val="28"/>
          <w:szCs w:val="28"/>
        </w:rPr>
        <w:t>如下表：</w:t>
      </w:r>
    </w:p>
    <w:tbl>
      <w:tblPr>
        <w:tblStyle w:val="23"/>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2"/>
        <w:gridCol w:w="5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装修部位</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装修情况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主卧</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免漆地板</w:t>
            </w:r>
            <w:r>
              <w:rPr>
                <w:rFonts w:ascii="仿宋" w:hAnsi="仿宋" w:eastAsia="仿宋"/>
                <w:szCs w:val="21"/>
              </w:rPr>
              <w:t>，</w:t>
            </w:r>
            <w:r>
              <w:rPr>
                <w:rFonts w:hint="eastAsia" w:ascii="仿宋" w:hAnsi="仿宋" w:eastAsia="仿宋"/>
                <w:szCs w:val="21"/>
              </w:rPr>
              <w:t>墙布</w:t>
            </w:r>
            <w:r>
              <w:rPr>
                <w:rFonts w:ascii="仿宋" w:hAnsi="仿宋" w:eastAsia="仿宋"/>
                <w:szCs w:val="21"/>
              </w:rPr>
              <w:t>，工艺顶</w:t>
            </w:r>
            <w:r>
              <w:rPr>
                <w:rFonts w:hint="eastAsia" w:ascii="仿宋" w:hAnsi="仿宋" w:eastAsia="仿宋"/>
                <w:szCs w:val="21"/>
              </w:rPr>
              <w:t>，大橱，连衣帽间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次卧</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免漆地板</w:t>
            </w:r>
            <w:r>
              <w:rPr>
                <w:rFonts w:ascii="仿宋" w:hAnsi="仿宋" w:eastAsia="仿宋"/>
                <w:szCs w:val="21"/>
              </w:rPr>
              <w:t>，</w:t>
            </w:r>
            <w:r>
              <w:rPr>
                <w:rFonts w:hint="eastAsia" w:ascii="仿宋" w:hAnsi="仿宋" w:eastAsia="仿宋"/>
                <w:szCs w:val="21"/>
              </w:rPr>
              <w:t>墙布</w:t>
            </w:r>
            <w:r>
              <w:rPr>
                <w:rFonts w:ascii="仿宋" w:hAnsi="仿宋" w:eastAsia="仿宋"/>
                <w:szCs w:val="21"/>
              </w:rPr>
              <w:t>，工艺顶</w:t>
            </w:r>
            <w:r>
              <w:rPr>
                <w:rFonts w:hint="eastAsia" w:ascii="仿宋" w:hAnsi="仿宋" w:eastAsia="仿宋"/>
                <w:szCs w:val="21"/>
              </w:rPr>
              <w:t>，大橱，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北卧</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免漆地板</w:t>
            </w:r>
            <w:r>
              <w:rPr>
                <w:rFonts w:ascii="仿宋" w:hAnsi="仿宋" w:eastAsia="仿宋"/>
                <w:szCs w:val="21"/>
              </w:rPr>
              <w:t>，</w:t>
            </w:r>
            <w:r>
              <w:rPr>
                <w:rFonts w:hint="eastAsia" w:ascii="仿宋" w:hAnsi="仿宋" w:eastAsia="仿宋"/>
                <w:szCs w:val="21"/>
              </w:rPr>
              <w:t>墙布</w:t>
            </w:r>
            <w:r>
              <w:rPr>
                <w:rFonts w:ascii="仿宋" w:hAnsi="仿宋" w:eastAsia="仿宋"/>
                <w:szCs w:val="21"/>
              </w:rPr>
              <w:t>，工艺顶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客厅</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w:t>
            </w:r>
            <w:r>
              <w:rPr>
                <w:rFonts w:ascii="仿宋" w:hAnsi="仿宋" w:eastAsia="仿宋"/>
                <w:szCs w:val="21"/>
              </w:rPr>
              <w:t>砖，</w:t>
            </w:r>
            <w:r>
              <w:rPr>
                <w:rFonts w:hint="eastAsia" w:ascii="仿宋" w:hAnsi="仿宋" w:eastAsia="仿宋"/>
                <w:szCs w:val="21"/>
              </w:rPr>
              <w:t>涂料</w:t>
            </w:r>
            <w:r>
              <w:rPr>
                <w:rFonts w:ascii="仿宋" w:hAnsi="仿宋" w:eastAsia="仿宋"/>
                <w:szCs w:val="21"/>
              </w:rPr>
              <w:t>，</w:t>
            </w:r>
            <w:r>
              <w:rPr>
                <w:rFonts w:hint="eastAsia" w:ascii="仿宋" w:hAnsi="仿宋" w:eastAsia="仿宋"/>
                <w:szCs w:val="21"/>
              </w:rPr>
              <w:t>背景墙，</w:t>
            </w:r>
            <w:r>
              <w:rPr>
                <w:rFonts w:ascii="仿宋" w:hAnsi="仿宋" w:eastAsia="仿宋"/>
                <w:szCs w:val="21"/>
              </w:rPr>
              <w:t>工艺顶</w:t>
            </w:r>
            <w:r>
              <w:rPr>
                <w:rFonts w:hint="eastAsia" w:ascii="仿宋" w:hAnsi="仿宋" w:eastAsia="仿宋"/>
                <w:szCs w:val="21"/>
              </w:rPr>
              <w:t>，连衣帽间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厨房</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w:t>
            </w:r>
            <w:r>
              <w:rPr>
                <w:rFonts w:ascii="仿宋" w:hAnsi="仿宋" w:eastAsia="仿宋"/>
                <w:szCs w:val="21"/>
              </w:rPr>
              <w:t>，</w:t>
            </w:r>
            <w:r>
              <w:rPr>
                <w:rFonts w:hint="eastAsia" w:ascii="仿宋" w:hAnsi="仿宋" w:eastAsia="仿宋"/>
                <w:szCs w:val="21"/>
              </w:rPr>
              <w:t>面砖</w:t>
            </w:r>
            <w:r>
              <w:rPr>
                <w:rFonts w:ascii="仿宋" w:hAnsi="仿宋" w:eastAsia="仿宋"/>
                <w:szCs w:val="21"/>
              </w:rPr>
              <w:t>，</w:t>
            </w:r>
            <w:r>
              <w:rPr>
                <w:rFonts w:hint="eastAsia" w:ascii="仿宋" w:hAnsi="仿宋" w:eastAsia="仿宋"/>
                <w:szCs w:val="21"/>
              </w:rPr>
              <w:t>集成</w:t>
            </w:r>
            <w:r>
              <w:rPr>
                <w:rFonts w:ascii="仿宋" w:hAnsi="仿宋" w:eastAsia="仿宋"/>
                <w:szCs w:val="21"/>
              </w:rPr>
              <w:t>顶</w:t>
            </w:r>
            <w:r>
              <w:rPr>
                <w:rFonts w:hint="eastAsia" w:ascii="仿宋" w:hAnsi="仿宋" w:eastAsia="仿宋"/>
                <w:szCs w:val="21"/>
              </w:rPr>
              <w:t>，整体</w:t>
            </w:r>
            <w:r>
              <w:rPr>
                <w:rFonts w:ascii="仿宋" w:hAnsi="仿宋" w:eastAsia="仿宋"/>
                <w:szCs w:val="21"/>
              </w:rPr>
              <w:t>橱</w:t>
            </w:r>
            <w:r>
              <w:rPr>
                <w:rFonts w:hint="eastAsia" w:ascii="仿宋" w:hAnsi="仿宋" w:eastAsia="仿宋"/>
                <w:szCs w:val="21"/>
              </w:rPr>
              <w:t>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卫生间</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w:t>
            </w:r>
            <w:r>
              <w:rPr>
                <w:rFonts w:ascii="仿宋" w:hAnsi="仿宋" w:eastAsia="仿宋"/>
                <w:szCs w:val="21"/>
              </w:rPr>
              <w:t>，</w:t>
            </w:r>
            <w:r>
              <w:rPr>
                <w:rFonts w:hint="eastAsia" w:ascii="仿宋" w:hAnsi="仿宋" w:eastAsia="仿宋"/>
                <w:szCs w:val="21"/>
              </w:rPr>
              <w:t>面砖</w:t>
            </w:r>
            <w:r>
              <w:rPr>
                <w:rFonts w:ascii="仿宋" w:hAnsi="仿宋" w:eastAsia="仿宋"/>
                <w:szCs w:val="21"/>
              </w:rPr>
              <w:t>，</w:t>
            </w:r>
            <w:r>
              <w:rPr>
                <w:rFonts w:hint="eastAsia" w:ascii="仿宋" w:hAnsi="仿宋" w:eastAsia="仿宋"/>
                <w:szCs w:val="21"/>
              </w:rPr>
              <w:t>集成</w:t>
            </w:r>
            <w:r>
              <w:rPr>
                <w:rFonts w:ascii="仿宋" w:hAnsi="仿宋" w:eastAsia="仿宋"/>
                <w:szCs w:val="21"/>
              </w:rPr>
              <w:t>顶</w:t>
            </w:r>
            <w:r>
              <w:rPr>
                <w:rFonts w:hint="eastAsia" w:ascii="仿宋" w:hAnsi="仿宋" w:eastAsia="仿宋"/>
                <w:szCs w:val="21"/>
              </w:rPr>
              <w:t>，带洗脸盆、马桶、淋浴房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93"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阳台</w:t>
            </w:r>
          </w:p>
        </w:tc>
        <w:tc>
          <w:tcPr>
            <w:tcW w:w="3406" w:type="pct"/>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w:t>
            </w:r>
            <w:r>
              <w:rPr>
                <w:rFonts w:ascii="仿宋" w:hAnsi="仿宋" w:eastAsia="仿宋"/>
                <w:szCs w:val="21"/>
              </w:rPr>
              <w:t>，</w:t>
            </w:r>
            <w:r>
              <w:rPr>
                <w:rFonts w:hint="eastAsia" w:ascii="仿宋" w:hAnsi="仿宋" w:eastAsia="仿宋"/>
                <w:szCs w:val="21"/>
              </w:rPr>
              <w:t>面砖</w:t>
            </w:r>
            <w:r>
              <w:rPr>
                <w:rFonts w:ascii="仿宋" w:hAnsi="仿宋" w:eastAsia="仿宋"/>
                <w:szCs w:val="21"/>
              </w:rPr>
              <w:t>，工艺顶</w:t>
            </w:r>
            <w:r>
              <w:rPr>
                <w:rFonts w:hint="eastAsia" w:ascii="仿宋" w:hAnsi="仿宋" w:eastAsia="仿宋"/>
                <w:szCs w:val="21"/>
              </w:rPr>
              <w:t>，铝合金窗封闭，外不锈钢防盗窗</w:t>
            </w:r>
          </w:p>
        </w:tc>
      </w:tr>
    </w:tbl>
    <w:p>
      <w:pPr>
        <w:spacing w:line="480" w:lineRule="exact"/>
        <w:ind w:firstLine="561"/>
        <w:rPr>
          <w:rFonts w:ascii="仿宋" w:hAnsi="仿宋" w:eastAsia="仿宋" w:cs="Arial"/>
          <w:sz w:val="28"/>
          <w:szCs w:val="28"/>
        </w:rPr>
      </w:pPr>
      <w:r>
        <w:rPr>
          <w:rFonts w:hint="eastAsia" w:ascii="仿宋" w:hAnsi="仿宋" w:eastAsia="仿宋" w:cs="Arial"/>
          <w:sz w:val="28"/>
          <w:szCs w:val="28"/>
        </w:rPr>
        <w:t>另据实地查勘，估价对象地下一层另有车棚一间，地下一层为敞开式车棚，每户单独配备充电设施可供电动自行车充电。</w:t>
      </w:r>
    </w:p>
    <w:p>
      <w:pPr>
        <w:spacing w:line="480" w:lineRule="exact"/>
        <w:ind w:firstLine="561"/>
        <w:rPr>
          <w:rFonts w:ascii="仿宋" w:hAnsi="仿宋" w:eastAsia="仿宋" w:cs="Arial"/>
          <w:sz w:val="28"/>
          <w:szCs w:val="28"/>
        </w:rPr>
      </w:pPr>
      <w:r>
        <w:rPr>
          <w:rFonts w:hint="eastAsia" w:ascii="仿宋" w:hAnsi="仿宋" w:eastAsia="仿宋" w:cs="Arial"/>
          <w:sz w:val="28"/>
          <w:szCs w:val="28"/>
        </w:rPr>
        <w:t>估价对象所在小区由新汇物业管理有限公司提供物业管理，经询问，估价对象至价值时点已付清2021年物业费，2022年物业费尚未支付，一年物业费约1732元，另外估价对象至价值时点欠车棚电动自行车充电费约400元，以上且供参考，估价对象于价值时点处于空置状态</w:t>
      </w:r>
      <w:r>
        <w:rPr>
          <w:rFonts w:ascii="仿宋" w:hAnsi="仿宋" w:eastAsia="仿宋" w:cs="Arial"/>
          <w:sz w:val="28"/>
          <w:szCs w:val="28"/>
        </w:rPr>
        <w:t>。</w:t>
      </w:r>
    </w:p>
    <w:p>
      <w:pPr>
        <w:tabs>
          <w:tab w:val="left" w:pos="3060"/>
        </w:tabs>
        <w:spacing w:line="520" w:lineRule="exact"/>
        <w:ind w:right="181" w:firstLine="560" w:firstLineChars="200"/>
        <w:rPr>
          <w:rFonts w:eastAsia="仿宋_GB2312"/>
          <w:sz w:val="28"/>
        </w:rPr>
      </w:pPr>
      <w:r>
        <w:rPr>
          <w:rFonts w:hint="eastAsia" w:eastAsia="仿宋_GB2312"/>
          <w:sz w:val="28"/>
        </w:rPr>
        <w:t>（五）区位状况</w:t>
      </w:r>
    </w:p>
    <w:p>
      <w:pPr>
        <w:spacing w:line="480" w:lineRule="exact"/>
        <w:ind w:left="210" w:leftChars="100"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cs="Arial"/>
          <w:sz w:val="28"/>
        </w:rPr>
        <w:t>位置</w:t>
      </w:r>
      <w:r>
        <w:rPr>
          <w:rFonts w:ascii="仿宋" w:hAnsi="仿宋" w:eastAsia="仿宋" w:cs="Arial"/>
          <w:sz w:val="28"/>
        </w:rPr>
        <w:t>：</w:t>
      </w:r>
      <w:r>
        <w:rPr>
          <w:rFonts w:hint="eastAsia" w:ascii="仿宋" w:hAnsi="仿宋" w:eastAsia="仿宋" w:cs="Arial"/>
          <w:sz w:val="28"/>
        </w:rPr>
        <w:t>估价对象为</w:t>
      </w:r>
      <w:r>
        <w:rPr>
          <w:rFonts w:hint="eastAsia" w:ascii="仿宋" w:hAnsi="仿宋" w:eastAsia="仿宋"/>
          <w:sz w:val="28"/>
          <w:szCs w:val="28"/>
        </w:rPr>
        <w:t>宁波市海曙区石碶街道庄湾沁园10幢26号1001室，所在小区</w:t>
      </w:r>
      <w:r>
        <w:rPr>
          <w:rFonts w:hint="eastAsia" w:ascii="仿宋" w:hAnsi="仿宋" w:eastAsia="仿宋" w:cs="Arial"/>
          <w:sz w:val="28"/>
        </w:rPr>
        <w:t>东邻万隆花苑、近万隆路，南临鄞州大道，西临万泉路，北临河流</w:t>
      </w:r>
      <w:r>
        <w:rPr>
          <w:rFonts w:hint="eastAsia" w:ascii="仿宋" w:hAnsi="仿宋" w:eastAsia="仿宋"/>
          <w:sz w:val="28"/>
          <w:szCs w:val="28"/>
        </w:rPr>
        <w:t>。周边有</w:t>
      </w:r>
      <w:r>
        <w:rPr>
          <w:rFonts w:hint="eastAsia" w:ascii="仿宋" w:hAnsi="仿宋" w:eastAsia="仿宋" w:cs="Arial"/>
          <w:sz w:val="28"/>
        </w:rPr>
        <w:t>万隆花苑</w:t>
      </w:r>
      <w:r>
        <w:rPr>
          <w:rFonts w:hint="eastAsia" w:ascii="仿宋" w:hAnsi="仿宋" w:eastAsia="仿宋"/>
          <w:sz w:val="28"/>
          <w:szCs w:val="28"/>
        </w:rPr>
        <w:t>、</w:t>
      </w:r>
      <w:r>
        <w:fldChar w:fldCharType="begin"/>
      </w:r>
      <w:r>
        <w:instrText xml:space="preserve"> HYPERLINK "https://jinyuanlijq.fang.com/?s=360map" \t "_blank" </w:instrText>
      </w:r>
      <w:r>
        <w:fldChar w:fldCharType="separate"/>
      </w:r>
      <w:r>
        <w:rPr>
          <w:rFonts w:ascii="仿宋" w:hAnsi="仿宋" w:eastAsia="仿宋"/>
          <w:sz w:val="28"/>
          <w:szCs w:val="28"/>
        </w:rPr>
        <w:t>景骐·锦源里</w:t>
      </w:r>
      <w:r>
        <w:rPr>
          <w:rFonts w:ascii="仿宋" w:hAnsi="仿宋" w:eastAsia="仿宋"/>
          <w:sz w:val="28"/>
          <w:szCs w:val="28"/>
        </w:rPr>
        <w:fldChar w:fldCharType="end"/>
      </w:r>
      <w:r>
        <w:rPr>
          <w:rFonts w:hint="eastAsia" w:ascii="仿宋" w:hAnsi="仿宋" w:eastAsia="仿宋"/>
          <w:sz w:val="28"/>
          <w:szCs w:val="28"/>
        </w:rPr>
        <w:t>等住宅小区，居住成熟度较高。</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2、</w:t>
      </w:r>
      <w:r>
        <w:rPr>
          <w:rFonts w:hint="eastAsia" w:ascii="仿宋" w:hAnsi="仿宋" w:eastAsia="仿宋" w:cs="Arial"/>
          <w:sz w:val="28"/>
          <w:szCs w:val="28"/>
        </w:rPr>
        <w:t>交通：</w:t>
      </w:r>
      <w:r>
        <w:rPr>
          <w:rFonts w:hint="eastAsia" w:ascii="仿宋" w:hAnsi="仿宋" w:eastAsia="仿宋" w:cs="Arial"/>
          <w:sz w:val="28"/>
        </w:rPr>
        <w:t>附近有132、167、513路等多条公交线路经过，交通较便捷。</w:t>
      </w:r>
      <w:r>
        <w:rPr>
          <w:rFonts w:hint="eastAsia" w:ascii="仿宋" w:hAnsi="仿宋" w:eastAsia="仿宋"/>
          <w:sz w:val="28"/>
          <w:szCs w:val="28"/>
        </w:rPr>
        <w:t>小区内设有地下</w:t>
      </w:r>
      <w:r>
        <w:rPr>
          <w:rFonts w:hint="eastAsia" w:ascii="仿宋" w:hAnsi="仿宋" w:eastAsia="仿宋" w:cs="Arial"/>
          <w:sz w:val="28"/>
        </w:rPr>
        <w:t>停车位，小区停车便捷程度较好。</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3、</w:t>
      </w:r>
      <w:r>
        <w:rPr>
          <w:rFonts w:hint="eastAsia" w:ascii="仿宋" w:hAnsi="仿宋" w:eastAsia="仿宋" w:cs="Arial"/>
          <w:sz w:val="28"/>
          <w:szCs w:val="28"/>
        </w:rPr>
        <w:t>外部配套设施</w:t>
      </w:r>
      <w:r>
        <w:rPr>
          <w:rFonts w:ascii="仿宋" w:hAnsi="仿宋" w:eastAsia="仿宋" w:cs="Arial"/>
          <w:sz w:val="28"/>
          <w:szCs w:val="28"/>
        </w:rPr>
        <w:t>：</w:t>
      </w:r>
      <w:r>
        <w:rPr>
          <w:rFonts w:hint="eastAsia" w:ascii="仿宋" w:hAnsi="仿宋" w:eastAsia="仿宋"/>
          <w:sz w:val="28"/>
          <w:szCs w:val="28"/>
        </w:rPr>
        <w:t>基础设施已达至“六通”，基础设施完善，周边有超市、学校、银行等，公共服务配套设施较完善。</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hint="eastAsia" w:ascii="仿宋" w:hAnsi="仿宋" w:eastAsia="仿宋" w:cs="Arial"/>
          <w:sz w:val="28"/>
          <w:szCs w:val="28"/>
        </w:rPr>
        <w:t>周围环境</w:t>
      </w:r>
      <w:r>
        <w:rPr>
          <w:rFonts w:ascii="仿宋" w:hAnsi="仿宋" w:eastAsia="仿宋" w:cs="Arial"/>
          <w:sz w:val="28"/>
          <w:szCs w:val="28"/>
        </w:rPr>
        <w:t>：</w:t>
      </w:r>
      <w:r>
        <w:rPr>
          <w:rFonts w:hint="eastAsia" w:ascii="仿宋" w:hAnsi="仿宋" w:eastAsia="仿宋"/>
          <w:sz w:val="28"/>
          <w:szCs w:val="28"/>
        </w:rPr>
        <w:t>周边环境较整洁，道路清洁，环境和空气质量较好。</w:t>
      </w:r>
    </w:p>
    <w:p>
      <w:pPr>
        <w:spacing w:line="560" w:lineRule="exact"/>
        <w:rPr>
          <w:rFonts w:ascii="仿宋" w:hAnsi="仿宋" w:eastAsia="仿宋"/>
        </w:rPr>
      </w:pPr>
      <w:r>
        <w:rPr>
          <w:rFonts w:hint="eastAsia" w:ascii="仿宋" w:hAnsi="仿宋" w:eastAsia="仿宋"/>
          <w:b/>
          <w:bCs/>
          <w:kern w:val="0"/>
          <w:sz w:val="32"/>
          <w:szCs w:val="28"/>
        </w:rPr>
        <w:t>五、价值时点</w:t>
      </w:r>
      <w:bookmarkEnd w:id="15"/>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价值时点为估价人员实地查勘日，即2022年6月15日。</w:t>
      </w:r>
    </w:p>
    <w:p>
      <w:pPr>
        <w:pStyle w:val="3"/>
        <w:spacing w:line="560" w:lineRule="exact"/>
        <w:rPr>
          <w:rFonts w:ascii="仿宋" w:hAnsi="仿宋" w:eastAsia="仿宋"/>
          <w:sz w:val="28"/>
        </w:rPr>
      </w:pPr>
      <w:bookmarkStart w:id="16" w:name="_Toc10204"/>
      <w:bookmarkStart w:id="17" w:name="_Toc6272"/>
      <w:r>
        <w:rPr>
          <w:rFonts w:hint="eastAsia" w:ascii="仿宋" w:hAnsi="仿宋" w:eastAsia="仿宋"/>
        </w:rPr>
        <w:t>六、价值类型</w:t>
      </w:r>
      <w:bookmarkEnd w:id="16"/>
      <w:bookmarkEnd w:id="17"/>
    </w:p>
    <w:p>
      <w:pPr>
        <w:spacing w:line="560" w:lineRule="exact"/>
        <w:ind w:firstLine="560" w:firstLineChars="200"/>
        <w:rPr>
          <w:rFonts w:ascii="仿宋" w:hAnsi="仿宋" w:eastAsia="仿宋"/>
          <w:sz w:val="28"/>
          <w:szCs w:val="28"/>
        </w:rPr>
      </w:pPr>
      <w:r>
        <w:rPr>
          <w:rFonts w:hint="eastAsia" w:ascii="仿宋" w:hAnsi="仿宋" w:eastAsia="仿宋"/>
          <w:sz w:val="28"/>
          <w:szCs w:val="28"/>
        </w:rPr>
        <w:t>（一）价值类型名称</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本次估价的价值类型为市场</w:t>
      </w:r>
      <w:r>
        <w:rPr>
          <w:rFonts w:ascii="仿宋" w:hAnsi="仿宋" w:eastAsia="仿宋"/>
          <w:sz w:val="28"/>
          <w:szCs w:val="28"/>
        </w:rPr>
        <w:t>价值</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（二）价值定义</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市场价值为估价对象经适当营销后，由熟悉情况、谨慎行事且不受强迫的交易双方，以公平交易方式在价值时点自愿进行交易的金额。</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（三）价值内涵</w:t>
      </w:r>
    </w:p>
    <w:p>
      <w:pPr>
        <w:spacing w:line="560" w:lineRule="exact"/>
        <w:ind w:firstLine="561"/>
        <w:rPr>
          <w:rFonts w:hint="eastAsia" w:ascii="仿宋" w:hAnsi="仿宋" w:eastAsia="仿宋"/>
          <w:sz w:val="28"/>
          <w:szCs w:val="28"/>
        </w:rPr>
      </w:pPr>
      <w:r>
        <w:rPr>
          <w:rFonts w:hint="eastAsia" w:ascii="仿宋" w:hAnsi="仿宋" w:eastAsia="仿宋"/>
          <w:sz w:val="28"/>
          <w:szCs w:val="28"/>
        </w:rPr>
        <w:t>价值内涵是估价对象在价值时点，满足本次估价假设和限制条件下包括建筑物、土地使用权、不包括动产、债权债务等其他财产或权益。付款方式是一次性付清房价款；房屋面积内涵为建筑面积；不考虑估价对象欠缴物业费、电费、可能存在欠缴税金及相关费用对评估结果的影响；不考虑评估费、拍卖费、诉讼费、律师费等财产处置费用对评估结果的影响；不考虑估价对象被</w:t>
      </w:r>
      <w:r>
        <w:rPr>
          <w:rFonts w:hint="eastAsia" w:ascii="仿宋" w:hAnsi="仿宋" w:eastAsia="仿宋"/>
          <w:sz w:val="28"/>
          <w:szCs w:val="28"/>
          <w:lang w:eastAsia="zh-CN"/>
        </w:rPr>
        <w:t>抵押、</w:t>
      </w:r>
      <w:r>
        <w:rPr>
          <w:rFonts w:hint="eastAsia" w:ascii="仿宋" w:hAnsi="仿宋" w:eastAsia="仿宋"/>
          <w:sz w:val="28"/>
          <w:szCs w:val="28"/>
        </w:rPr>
        <w:t>查封以及原有的担保物权和其它优先受偿权的影响。</w:t>
      </w:r>
    </w:p>
    <w:p>
      <w:pPr>
        <w:pStyle w:val="3"/>
        <w:spacing w:line="560" w:lineRule="exact"/>
        <w:rPr>
          <w:rFonts w:ascii="仿宋" w:hAnsi="仿宋" w:eastAsia="仿宋"/>
          <w:sz w:val="28"/>
        </w:rPr>
      </w:pPr>
      <w:bookmarkStart w:id="18" w:name="_Toc17706"/>
      <w:r>
        <w:rPr>
          <w:rFonts w:hint="eastAsia" w:ascii="仿宋" w:hAnsi="仿宋" w:eastAsia="仿宋"/>
        </w:rPr>
        <w:t>七、估价原则</w:t>
      </w:r>
      <w:bookmarkEnd w:id="18"/>
    </w:p>
    <w:p>
      <w:pPr>
        <w:spacing w:line="560" w:lineRule="exact"/>
        <w:ind w:firstLine="560" w:firstLineChars="200"/>
        <w:rPr>
          <w:rFonts w:ascii="仿宋" w:hAnsi="仿宋" w:eastAsia="仿宋"/>
          <w:sz w:val="28"/>
          <w:szCs w:val="28"/>
        </w:rPr>
      </w:pPr>
      <w:r>
        <w:rPr>
          <w:rFonts w:ascii="仿宋" w:hAnsi="仿宋" w:eastAsia="仿宋"/>
          <w:sz w:val="28"/>
          <w:szCs w:val="28"/>
        </w:rPr>
        <w:t>房地产估价遵循独立、客观、公正原则、合法原则、价值时点原则、替代原则、最高最佳利用原则。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独立、客观、公正原则：要求站在中立的立场上，实事求是、公平正直地评估出对各方估价利害关系人均是公平合理的价值或价格的原则。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合法原则：要求估价结果是在依法判定的估价对象状况下的价值或价格的原则。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价值时点原则：要求估价结果是在根据估价目的确定的某一特定时间的价值或价格的原则。</w:t>
      </w:r>
    </w:p>
    <w:p>
      <w:pPr>
        <w:spacing w:line="500" w:lineRule="exact"/>
        <w:ind w:firstLine="539"/>
        <w:rPr>
          <w:rFonts w:ascii="仿宋" w:hAnsi="仿宋" w:eastAsia="仿宋"/>
          <w:sz w:val="28"/>
          <w:szCs w:val="28"/>
        </w:rPr>
      </w:pPr>
      <w:r>
        <w:rPr>
          <w:rFonts w:ascii="仿宋" w:hAnsi="仿宋" w:eastAsia="仿宋"/>
          <w:sz w:val="28"/>
          <w:szCs w:val="28"/>
        </w:rPr>
        <w:t>替代原则：要求估价结果与估价对象的类似房地产在同等条件下的价值或价格偏差在合理范围内的原则。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遵循最高最佳利用原则，要求估价结果是在估价对象最高最佳利用状况下的价值或价格的原则。</w:t>
      </w:r>
    </w:p>
    <w:p>
      <w:pPr>
        <w:pStyle w:val="3"/>
        <w:spacing w:line="560" w:lineRule="exact"/>
        <w:rPr>
          <w:rFonts w:ascii="仿宋" w:hAnsi="仿宋" w:eastAsia="仿宋"/>
        </w:rPr>
      </w:pPr>
      <w:bookmarkStart w:id="19" w:name="_Toc8897"/>
      <w:bookmarkStart w:id="20" w:name="_Toc23944"/>
      <w:r>
        <w:rPr>
          <w:rFonts w:hint="eastAsia" w:ascii="仿宋" w:hAnsi="仿宋" w:eastAsia="仿宋"/>
        </w:rPr>
        <w:t>八</w:t>
      </w:r>
      <w:r>
        <w:rPr>
          <w:rFonts w:hint="eastAsia" w:ascii="宋体" w:hAnsi="宋体" w:eastAsia="宋体" w:cs="宋体"/>
        </w:rPr>
        <w:t>、</w:t>
      </w:r>
      <w:r>
        <w:rPr>
          <w:rFonts w:hint="eastAsia" w:ascii="仿宋" w:hAnsi="仿宋" w:eastAsia="仿宋"/>
        </w:rPr>
        <w:t>估价依据</w:t>
      </w:r>
      <w:bookmarkEnd w:id="19"/>
      <w:bookmarkEnd w:id="20"/>
    </w:p>
    <w:p>
      <w:pPr>
        <w:spacing w:line="560" w:lineRule="exact"/>
        <w:ind w:firstLine="560" w:firstLineChars="200"/>
        <w:rPr>
          <w:rFonts w:ascii="仿宋" w:hAnsi="仿宋" w:eastAsia="仿宋"/>
          <w:sz w:val="28"/>
          <w:szCs w:val="28"/>
        </w:rPr>
      </w:pPr>
      <w:r>
        <w:rPr>
          <w:rFonts w:hint="eastAsia" w:ascii="仿宋" w:hAnsi="仿宋" w:eastAsia="仿宋"/>
          <w:sz w:val="28"/>
          <w:szCs w:val="28"/>
        </w:rPr>
        <w:t>（一）法律、法规及文件依据</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中华人民共和国民法典</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2、《中华人民共和国城市房地产管理法》；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3、《中华人民共和国土地管理法》；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4、《中华人民共和国城市规划法》；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w:t>
      </w:r>
      <w:r>
        <w:rPr>
          <w:rFonts w:hint="eastAsia" w:ascii="宋体" w:hAnsi="宋体" w:cs="宋体"/>
          <w:sz w:val="28"/>
          <w:szCs w:val="28"/>
        </w:rPr>
        <w:t>、</w:t>
      </w:r>
      <w:r>
        <w:rPr>
          <w:rFonts w:hint="eastAsia" w:ascii="仿宋" w:hAnsi="仿宋" w:eastAsia="仿宋"/>
          <w:sz w:val="28"/>
          <w:szCs w:val="28"/>
        </w:rPr>
        <w:t>《中华人民共和国资产评估法》；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6、《最高人民法院关于人民法院确定财产处置参考价若干问题的规定》；</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7、《人民法院委托评估工作规范》；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8、《涉执房地产处置司法评估指导意见（试行）》；</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9</w:t>
      </w:r>
      <w:r>
        <w:rPr>
          <w:rFonts w:hint="eastAsia" w:ascii="宋体" w:hAnsi="宋体" w:cs="宋体"/>
          <w:sz w:val="28"/>
          <w:szCs w:val="28"/>
        </w:rPr>
        <w:t>、</w:t>
      </w:r>
      <w:r>
        <w:rPr>
          <w:rFonts w:hint="eastAsia" w:ascii="仿宋" w:hAnsi="仿宋" w:eastAsia="仿宋"/>
          <w:sz w:val="28"/>
          <w:szCs w:val="28"/>
        </w:rPr>
        <w:t>《浙江省房地产司法评估指导意见（试行）》；</w:t>
      </w:r>
    </w:p>
    <w:p>
      <w:pPr>
        <w:spacing w:line="560" w:lineRule="exact"/>
        <w:ind w:firstLine="560" w:firstLineChars="200"/>
        <w:rPr>
          <w:rFonts w:ascii="仿宋" w:hAnsi="仿宋" w:eastAsia="仿宋" w:cs="Arial"/>
          <w:sz w:val="28"/>
          <w:szCs w:val="28"/>
          <w:lang w:val="zh-CN"/>
        </w:rPr>
      </w:pPr>
      <w:r>
        <w:rPr>
          <w:rFonts w:hint="eastAsia" w:ascii="仿宋" w:hAnsi="仿宋" w:eastAsia="仿宋"/>
          <w:sz w:val="28"/>
          <w:szCs w:val="28"/>
        </w:rPr>
        <w:t>10</w:t>
      </w:r>
      <w:r>
        <w:rPr>
          <w:rFonts w:hint="eastAsia" w:ascii="宋体" w:hAnsi="宋体" w:cs="宋体"/>
          <w:sz w:val="28"/>
          <w:szCs w:val="28"/>
        </w:rPr>
        <w:t>、</w:t>
      </w:r>
      <w:r>
        <w:rPr>
          <w:rFonts w:hint="eastAsia" w:ascii="仿宋" w:hAnsi="仿宋" w:eastAsia="仿宋" w:cs="Arial"/>
          <w:sz w:val="28"/>
          <w:szCs w:val="28"/>
          <w:lang w:val="zh-CN"/>
        </w:rPr>
        <w:t>《浙江省</w:t>
      </w:r>
      <w:r>
        <w:rPr>
          <w:rFonts w:hint="eastAsia" w:ascii="仿宋" w:hAnsi="仿宋" w:eastAsia="仿宋"/>
          <w:sz w:val="28"/>
          <w:szCs w:val="28"/>
        </w:rPr>
        <w:t>房地产司法</w:t>
      </w:r>
      <w:r>
        <w:rPr>
          <w:rFonts w:hint="eastAsia" w:ascii="仿宋" w:hAnsi="仿宋" w:eastAsia="仿宋" w:cs="Arial"/>
          <w:sz w:val="28"/>
          <w:szCs w:val="28"/>
          <w:lang w:val="zh-CN"/>
        </w:rPr>
        <w:t>估价技术指引（试行）》；</w:t>
      </w:r>
    </w:p>
    <w:p>
      <w:pPr>
        <w:spacing w:line="520" w:lineRule="exact"/>
        <w:ind w:firstLine="560" w:firstLineChars="200"/>
        <w:rPr>
          <w:rFonts w:ascii="仿宋" w:hAnsi="仿宋" w:eastAsia="仿宋"/>
          <w:sz w:val="28"/>
          <w:szCs w:val="28"/>
        </w:rPr>
      </w:pPr>
      <w:r>
        <w:rPr>
          <w:rFonts w:hint="eastAsia" w:ascii="仿宋" w:hAnsi="仿宋" w:eastAsia="仿宋" w:cs="Arial"/>
          <w:sz w:val="28"/>
          <w:szCs w:val="28"/>
        </w:rPr>
        <w:t>11</w:t>
      </w:r>
      <w:r>
        <w:rPr>
          <w:rFonts w:hint="eastAsia" w:ascii="仿宋" w:hAnsi="仿宋" w:eastAsia="仿宋" w:cs="Arial"/>
          <w:sz w:val="28"/>
          <w:szCs w:val="28"/>
          <w:lang w:val="zh-CN"/>
        </w:rPr>
        <w:t>、</w:t>
      </w:r>
      <w:r>
        <w:rPr>
          <w:rFonts w:hint="eastAsia" w:ascii="仿宋" w:hAnsi="仿宋" w:eastAsia="仿宋"/>
          <w:sz w:val="28"/>
          <w:szCs w:val="28"/>
        </w:rPr>
        <w:t>其它法律规定</w:t>
      </w:r>
      <w:r>
        <w:rPr>
          <w:rFonts w:hint="eastAsia" w:ascii="宋体" w:hAnsi="宋体" w:cs="宋体"/>
          <w:sz w:val="28"/>
          <w:szCs w:val="28"/>
        </w:rPr>
        <w:t>、</w:t>
      </w:r>
      <w:r>
        <w:rPr>
          <w:rFonts w:hint="eastAsia" w:ascii="仿宋" w:hAnsi="仿宋" w:eastAsia="仿宋" w:cs="仿宋"/>
          <w:sz w:val="28"/>
          <w:szCs w:val="28"/>
        </w:rPr>
        <w:t>政策文件等</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（二）估价标准</w:t>
      </w:r>
    </w:p>
    <w:p>
      <w:pPr>
        <w:spacing w:line="520" w:lineRule="exact"/>
        <w:ind w:firstLine="560" w:firstLineChars="200"/>
        <w:rPr>
          <w:rFonts w:ascii="仿宋" w:hAnsi="仿宋" w:eastAsia="仿宋" w:cs="Arial"/>
          <w:sz w:val="28"/>
          <w:szCs w:val="28"/>
          <w:lang w:val="zh-CN"/>
        </w:rPr>
      </w:pPr>
      <w:r>
        <w:rPr>
          <w:rFonts w:hint="eastAsia" w:ascii="仿宋" w:hAnsi="仿宋" w:eastAsia="仿宋" w:cs="Arial"/>
          <w:sz w:val="28"/>
          <w:szCs w:val="28"/>
        </w:rPr>
        <w:t>1</w:t>
      </w:r>
      <w:r>
        <w:rPr>
          <w:rFonts w:hint="eastAsia" w:ascii="仿宋" w:hAnsi="仿宋" w:eastAsia="仿宋" w:cs="Arial"/>
          <w:sz w:val="28"/>
          <w:szCs w:val="28"/>
          <w:lang w:val="zh-CN"/>
        </w:rPr>
        <w:t>、《房地产估价规范》（GB/T50291-2015）；</w:t>
      </w:r>
    </w:p>
    <w:p>
      <w:pPr>
        <w:spacing w:line="520" w:lineRule="exact"/>
        <w:ind w:firstLine="560" w:firstLineChars="200"/>
        <w:rPr>
          <w:rFonts w:ascii="仿宋" w:hAnsi="仿宋" w:eastAsia="仿宋" w:cs="Arial"/>
          <w:sz w:val="28"/>
          <w:szCs w:val="28"/>
          <w:lang w:val="zh-CN"/>
        </w:rPr>
      </w:pPr>
      <w:r>
        <w:rPr>
          <w:rFonts w:hint="eastAsia" w:ascii="仿宋" w:hAnsi="仿宋" w:eastAsia="仿宋" w:cs="Arial"/>
          <w:sz w:val="28"/>
          <w:szCs w:val="28"/>
        </w:rPr>
        <w:t>2</w:t>
      </w:r>
      <w:r>
        <w:rPr>
          <w:rFonts w:hint="eastAsia" w:ascii="仿宋" w:hAnsi="仿宋" w:eastAsia="仿宋" w:cs="Arial"/>
          <w:sz w:val="28"/>
          <w:szCs w:val="28"/>
          <w:lang w:val="zh-CN"/>
        </w:rPr>
        <w:t>、《房地产估价基本术语标准》（GB/T50899-2013）；</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（三）估价委托人提供的资料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1、司法评估委托书；</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w:t>
      </w:r>
      <w:r>
        <w:rPr>
          <w:rFonts w:hint="eastAsia" w:ascii="宋体" w:hAnsi="宋体" w:cs="宋体"/>
          <w:sz w:val="28"/>
          <w:szCs w:val="28"/>
        </w:rPr>
        <w:t>、</w:t>
      </w:r>
      <w:r>
        <w:rPr>
          <w:rFonts w:hint="eastAsia" w:ascii="仿宋" w:hAnsi="仿宋" w:eastAsia="仿宋"/>
          <w:sz w:val="28"/>
          <w:szCs w:val="28"/>
        </w:rPr>
        <w:t>权证复印件；</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w:t>
      </w:r>
      <w:r>
        <w:rPr>
          <w:rFonts w:hint="eastAsia" w:ascii="仿宋" w:hAnsi="仿宋" w:eastAsia="仿宋" w:cs="Arial"/>
          <w:sz w:val="28"/>
        </w:rPr>
        <w:t>不动产登记信息查询结果</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（四）估价机构及估价师搜集的资料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1、估价对象照片；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2、实地查勘记录；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3、可比实例等相关资料；</w:t>
      </w:r>
    </w:p>
    <w:p>
      <w:pPr>
        <w:spacing w:line="560" w:lineRule="exact"/>
        <w:ind w:firstLine="560" w:firstLineChars="200"/>
      </w:pPr>
      <w:r>
        <w:rPr>
          <w:rFonts w:hint="eastAsia" w:ascii="仿宋" w:hAnsi="仿宋" w:eastAsia="仿宋"/>
          <w:sz w:val="28"/>
          <w:szCs w:val="28"/>
        </w:rPr>
        <w:t>4、当地市场调查和搜集的有关资料等。</w:t>
      </w:r>
    </w:p>
    <w:p>
      <w:pPr>
        <w:pStyle w:val="3"/>
        <w:spacing w:line="560" w:lineRule="exact"/>
        <w:rPr>
          <w:rFonts w:ascii="仿宋" w:hAnsi="仿宋" w:eastAsia="仿宋"/>
        </w:rPr>
      </w:pPr>
      <w:bookmarkStart w:id="21" w:name="_Toc17527"/>
      <w:bookmarkStart w:id="22" w:name="_Toc15244"/>
      <w:r>
        <w:rPr>
          <w:rFonts w:hint="eastAsia" w:ascii="仿宋" w:hAnsi="仿宋" w:eastAsia="仿宋"/>
        </w:rPr>
        <w:t>九、估价方法</w:t>
      </w:r>
      <w:bookmarkEnd w:id="21"/>
      <w:bookmarkEnd w:id="22"/>
    </w:p>
    <w:p>
      <w:pPr>
        <w:spacing w:line="480" w:lineRule="exact"/>
        <w:ind w:firstLine="560" w:firstLineChars="200"/>
        <w:rPr>
          <w:rFonts w:ascii="仿宋" w:hAnsi="仿宋" w:eastAsia="仿宋"/>
          <w:sz w:val="28"/>
          <w:szCs w:val="28"/>
        </w:rPr>
      </w:pPr>
      <w:bookmarkStart w:id="23" w:name="_Toc24465"/>
      <w:r>
        <w:rPr>
          <w:rFonts w:hint="eastAsia" w:ascii="仿宋" w:hAnsi="仿宋" w:eastAsia="仿宋"/>
          <w:sz w:val="28"/>
          <w:szCs w:val="28"/>
        </w:rPr>
        <w:t>本次估价采用比较法。</w:t>
      </w:r>
    </w:p>
    <w:p>
      <w:pPr>
        <w:spacing w:line="480" w:lineRule="exact"/>
        <w:ind w:firstLine="560" w:firstLineChars="200"/>
        <w:rPr>
          <w:rFonts w:ascii="仿宋" w:hAnsi="仿宋" w:eastAsia="仿宋" w:cs="Arial"/>
          <w:sz w:val="28"/>
          <w:szCs w:val="28"/>
        </w:rPr>
      </w:pPr>
      <w:r>
        <w:rPr>
          <w:rFonts w:hint="eastAsia" w:ascii="仿宋" w:hAnsi="仿宋" w:eastAsia="仿宋" w:cs="Arial"/>
          <w:sz w:val="28"/>
          <w:szCs w:val="28"/>
        </w:rPr>
        <w:t>比较法是选取一定数量的可比实例，将他们与估价对象进行比较，根据其间的差异对可比实例成交价格进行处理后得到估价对象价值或价格的方法。</w:t>
      </w:r>
    </w:p>
    <w:p>
      <w:pPr>
        <w:spacing w:line="480" w:lineRule="exact"/>
        <w:ind w:firstLine="560" w:firstLineChars="200"/>
        <w:rPr>
          <w:rFonts w:ascii="仿宋" w:hAnsi="仿宋" w:eastAsia="仿宋" w:cs="Arial"/>
          <w:sz w:val="28"/>
          <w:szCs w:val="28"/>
          <w:lang w:val="zh-CN"/>
        </w:rPr>
      </w:pPr>
      <w:r>
        <w:rPr>
          <w:rFonts w:hint="eastAsia" w:ascii="仿宋" w:hAnsi="仿宋" w:eastAsia="仿宋" w:cs="Arial"/>
          <w:sz w:val="28"/>
          <w:szCs w:val="28"/>
          <w:lang w:val="zh-CN"/>
        </w:rPr>
        <w:t>比较法计算公式如下：</w:t>
      </w:r>
    </w:p>
    <w:p>
      <w:pPr>
        <w:spacing w:line="480" w:lineRule="exact"/>
        <w:ind w:firstLine="560" w:firstLineChars="200"/>
        <w:rPr>
          <w:rFonts w:ascii="仿宋" w:hAnsi="仿宋" w:eastAsia="仿宋"/>
          <w:sz w:val="28"/>
          <w:szCs w:val="28"/>
        </w:rPr>
      </w:pPr>
      <w:r>
        <w:rPr>
          <w:rFonts w:hint="eastAsia" w:ascii="仿宋" w:hAnsi="仿宋" w:eastAsia="仿宋" w:cs="Arial"/>
          <w:sz w:val="28"/>
          <w:szCs w:val="28"/>
          <w:lang w:val="zh-CN"/>
        </w:rPr>
        <w:t>比较</w:t>
      </w:r>
      <w:r>
        <w:rPr>
          <w:rFonts w:hint="eastAsia" w:ascii="仿宋" w:hAnsi="仿宋" w:eastAsia="仿宋" w:cs="Arial"/>
          <w:sz w:val="28"/>
          <w:szCs w:val="28"/>
        </w:rPr>
        <w:t>价值</w:t>
      </w:r>
      <w:r>
        <w:rPr>
          <w:rFonts w:hint="eastAsia" w:ascii="仿宋" w:hAnsi="仿宋" w:eastAsia="仿宋" w:cs="Arial"/>
          <w:sz w:val="28"/>
          <w:szCs w:val="28"/>
          <w:lang w:val="zh-CN"/>
        </w:rPr>
        <w:t>＝可比实例成交价格×交易情况修正系数×市场状况调整系数×房地产状况调整系数。</w:t>
      </w:r>
    </w:p>
    <w:p>
      <w:pPr>
        <w:pStyle w:val="3"/>
        <w:spacing w:line="560" w:lineRule="exact"/>
        <w:rPr>
          <w:rFonts w:ascii="仿宋" w:hAnsi="仿宋" w:eastAsia="仿宋"/>
        </w:rPr>
      </w:pPr>
      <w:bookmarkStart w:id="24" w:name="_Toc26002"/>
      <w:r>
        <w:rPr>
          <w:rFonts w:hint="eastAsia" w:ascii="仿宋" w:hAnsi="仿宋" w:eastAsia="仿宋"/>
        </w:rPr>
        <w:t>十、估价结果</w:t>
      </w:r>
      <w:bookmarkEnd w:id="23"/>
      <w:bookmarkEnd w:id="24"/>
    </w:p>
    <w:p>
      <w:pPr>
        <w:spacing w:line="480" w:lineRule="exact"/>
        <w:ind w:firstLine="560" w:firstLineChars="200"/>
        <w:rPr>
          <w:rFonts w:ascii="仿宋" w:hAnsi="仿宋" w:eastAsia="仿宋"/>
          <w:sz w:val="28"/>
          <w:szCs w:val="28"/>
        </w:rPr>
      </w:pPr>
      <w:bookmarkStart w:id="25" w:name="_Toc10051"/>
      <w:r>
        <w:rPr>
          <w:rFonts w:hint="eastAsia" w:ascii="仿宋" w:hAnsi="仿宋" w:eastAsia="仿宋" w:cs="Arial"/>
          <w:sz w:val="28"/>
          <w:szCs w:val="28"/>
        </w:rPr>
        <w:t>根据估价目的，遵循估价原则，采用比较法，通过认真地对影响房地产价值因素的分析，经过测算并结合估价经验，确定估价对象在价值时点</w:t>
      </w:r>
      <w:r>
        <w:rPr>
          <w:rFonts w:hint="eastAsia" w:ascii="仿宋" w:hAnsi="仿宋" w:eastAsia="仿宋"/>
          <w:sz w:val="28"/>
          <w:szCs w:val="28"/>
        </w:rPr>
        <w:t>的市场价值为</w:t>
      </w:r>
      <w:bookmarkStart w:id="26" w:name="_Toc12028"/>
      <w:r>
        <w:rPr>
          <w:rFonts w:hint="eastAsia" w:ascii="仿宋" w:hAnsi="仿宋" w:eastAsia="仿宋"/>
          <w:sz w:val="28"/>
          <w:szCs w:val="28"/>
        </w:rPr>
        <w:t>人民币</w:t>
      </w:r>
      <w:r>
        <w:rPr>
          <w:rFonts w:hint="eastAsia" w:ascii="仿宋" w:hAnsi="仿宋" w:eastAsia="仿宋"/>
          <w:b/>
          <w:sz w:val="28"/>
        </w:rPr>
        <w:t>315.1</w:t>
      </w:r>
      <w:r>
        <w:rPr>
          <w:rFonts w:hint="eastAsia" w:ascii="仿宋" w:hAnsi="仿宋" w:eastAsia="仿宋"/>
          <w:sz w:val="28"/>
        </w:rPr>
        <w:t>万元（含固定装修价值10.6万元）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rPr>
        <w:t>叁佰壹拾伍万壹仟元整，</w:t>
      </w:r>
      <w:r>
        <w:rPr>
          <w:rFonts w:hint="eastAsia" w:ascii="仿宋" w:hAnsi="仿宋" w:eastAsia="仿宋" w:cs="Arial"/>
          <w:sz w:val="28"/>
          <w:szCs w:val="28"/>
        </w:rPr>
        <w:t>建筑面积</w:t>
      </w:r>
      <w:r>
        <w:rPr>
          <w:rFonts w:hint="eastAsia" w:ascii="仿宋" w:hAnsi="仿宋" w:eastAsia="仿宋"/>
          <w:sz w:val="28"/>
          <w:szCs w:val="28"/>
        </w:rPr>
        <w:t>单价为人民币</w:t>
      </w:r>
      <w:r>
        <w:rPr>
          <w:rFonts w:hint="eastAsia" w:ascii="仿宋" w:hAnsi="仿宋" w:eastAsia="仿宋"/>
          <w:b/>
          <w:sz w:val="28"/>
        </w:rPr>
        <w:t>26557元/平方米</w:t>
      </w:r>
      <w:r>
        <w:rPr>
          <w:rFonts w:hint="eastAsia" w:ascii="仿宋" w:hAnsi="仿宋" w:eastAsia="仿宋"/>
          <w:sz w:val="28"/>
          <w:szCs w:val="28"/>
        </w:rPr>
        <w:t>。估价结果详见下表:</w:t>
      </w:r>
    </w:p>
    <w:p>
      <w:pPr>
        <w:spacing w:line="480" w:lineRule="exact"/>
        <w:ind w:firstLine="560" w:firstLineChars="200"/>
        <w:rPr>
          <w:rFonts w:ascii="仿宋" w:hAnsi="仿宋" w:eastAsia="仿宋"/>
          <w:sz w:val="32"/>
          <w:szCs w:val="32"/>
        </w:rPr>
      </w:pPr>
      <w:r>
        <w:rPr>
          <w:rFonts w:hint="eastAsia" w:ascii="仿宋" w:hAnsi="仿宋" w:eastAsia="仿宋"/>
          <w:sz w:val="28"/>
          <w:szCs w:val="28"/>
        </w:rPr>
        <w:t xml:space="preserve">                    估价结果明细表</w:t>
      </w:r>
    </w:p>
    <w:p>
      <w:pPr>
        <w:spacing w:line="300" w:lineRule="atLeast"/>
        <w:jc w:val="left"/>
        <w:rPr>
          <w:rStyle w:val="62"/>
          <w:rFonts w:ascii="仿宋" w:hAnsi="仿宋" w:eastAsia="仿宋" w:cs="仿宋"/>
          <w:szCs w:val="21"/>
        </w:rPr>
      </w:pPr>
    </w:p>
    <w:tbl>
      <w:tblPr>
        <w:tblStyle w:val="23"/>
        <w:tblpPr w:leftFromText="180" w:rightFromText="180" w:vertAnchor="text" w:tblpXSpec="center" w:tblpY="1"/>
        <w:tblOverlap w:val="never"/>
        <w:tblW w:w="42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2129"/>
        <w:gridCol w:w="929"/>
        <w:gridCol w:w="847"/>
        <w:gridCol w:w="1044"/>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 w:hRule="atLeast"/>
          <w:jc w:val="center"/>
        </w:trPr>
        <w:tc>
          <w:tcPr>
            <w:tcW w:w="1089" w:type="pct"/>
            <w:vMerge w:val="restart"/>
            <w:tcBorders>
              <w:tl2br w:val="nil"/>
              <w:tr2bl w:val="nil"/>
            </w:tcBorders>
            <w:shd w:val="clear" w:color="auto" w:fill="auto"/>
            <w:noWrap/>
            <w:vAlign w:val="center"/>
          </w:tcPr>
          <w:p>
            <w:pPr>
              <w:widowControl/>
              <w:jc w:val="center"/>
              <w:textAlignment w:val="center"/>
              <w:rPr>
                <w:rFonts w:ascii="仿宋" w:hAnsi="仿宋" w:eastAsia="仿宋" w:cs="仿宋"/>
                <w:sz w:val="18"/>
                <w:szCs w:val="18"/>
              </w:rPr>
            </w:pPr>
            <w:r>
              <w:rPr>
                <w:rFonts w:hint="eastAsia" w:ascii="仿宋" w:hAnsi="仿宋" w:eastAsia="仿宋" w:cs="仿宋"/>
                <w:kern w:val="0"/>
                <w:sz w:val="18"/>
                <w:szCs w:val="18"/>
              </w:rPr>
              <w:t>项目</w:t>
            </w:r>
          </w:p>
        </w:tc>
        <w:tc>
          <w:tcPr>
            <w:tcW w:w="1425" w:type="pct"/>
            <w:vMerge w:val="restart"/>
            <w:tcBorders>
              <w:tl2br w:val="nil"/>
              <w:tr2bl w:val="nil"/>
            </w:tcBorders>
            <w:shd w:val="clear" w:color="auto" w:fill="auto"/>
            <w:noWrap/>
            <w:vAlign w:val="center"/>
          </w:tcPr>
          <w:p>
            <w:pPr>
              <w:jc w:val="center"/>
              <w:textAlignment w:val="center"/>
            </w:pPr>
            <w:r>
              <w:rPr>
                <w:rFonts w:hint="eastAsia" w:ascii="仿宋" w:hAnsi="仿宋" w:eastAsia="仿宋" w:cs="仿宋"/>
                <w:kern w:val="0"/>
                <w:sz w:val="18"/>
                <w:szCs w:val="18"/>
              </w:rPr>
              <w:t>不动产权证号</w:t>
            </w:r>
          </w:p>
        </w:tc>
        <w:tc>
          <w:tcPr>
            <w:tcW w:w="622" w:type="pct"/>
            <w:vMerge w:val="restart"/>
            <w:tcBorders>
              <w:tl2br w:val="nil"/>
              <w:tr2bl w:val="nil"/>
            </w:tcBorders>
            <w:vAlign w:val="center"/>
          </w:tcPr>
          <w:p>
            <w:pPr>
              <w:widowControl/>
              <w:textAlignment w:val="center"/>
              <w:rPr>
                <w:rFonts w:ascii="仿宋" w:hAnsi="仿宋" w:eastAsia="仿宋" w:cs="仿宋"/>
                <w:kern w:val="0"/>
                <w:sz w:val="18"/>
                <w:szCs w:val="18"/>
              </w:rPr>
            </w:pPr>
            <w:r>
              <w:rPr>
                <w:rFonts w:hint="eastAsia" w:ascii="仿宋" w:hAnsi="仿宋" w:eastAsia="仿宋" w:cs="仿宋"/>
                <w:kern w:val="0"/>
                <w:sz w:val="18"/>
                <w:szCs w:val="18"/>
              </w:rPr>
              <w:t>建筑面积（㎡）</w:t>
            </w:r>
          </w:p>
        </w:tc>
        <w:tc>
          <w:tcPr>
            <w:tcW w:w="567" w:type="pct"/>
            <w:vMerge w:val="restar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kern w:val="0"/>
                <w:sz w:val="18"/>
                <w:szCs w:val="18"/>
              </w:rPr>
              <w:t>土地面积</w:t>
            </w:r>
          </w:p>
          <w:p>
            <w:pPr>
              <w:widowControl/>
              <w:ind w:firstLine="90" w:firstLineChars="50"/>
              <w:jc w:val="center"/>
              <w:textAlignment w:val="center"/>
              <w:rPr>
                <w:rFonts w:ascii="仿宋" w:hAnsi="仿宋" w:eastAsia="仿宋" w:cs="仿宋"/>
                <w:sz w:val="18"/>
                <w:szCs w:val="18"/>
              </w:rPr>
            </w:pPr>
            <w:r>
              <w:rPr>
                <w:rFonts w:hint="eastAsia" w:ascii="仿宋" w:hAnsi="仿宋" w:eastAsia="仿宋" w:cs="仿宋"/>
                <w:kern w:val="0"/>
                <w:sz w:val="18"/>
                <w:szCs w:val="18"/>
              </w:rPr>
              <w:t>（㎡）</w:t>
            </w:r>
          </w:p>
        </w:tc>
        <w:tc>
          <w:tcPr>
            <w:tcW w:w="1295" w:type="pct"/>
            <w:gridSpan w:val="2"/>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市场价格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89" w:type="pct"/>
            <w:vMerge w:val="continue"/>
            <w:tcBorders>
              <w:tl2br w:val="nil"/>
              <w:tr2bl w:val="nil"/>
            </w:tcBorders>
            <w:shd w:val="clear" w:color="auto" w:fill="auto"/>
            <w:noWrap/>
            <w:vAlign w:val="center"/>
          </w:tcPr>
          <w:p>
            <w:pPr>
              <w:jc w:val="center"/>
              <w:textAlignment w:val="center"/>
            </w:pPr>
          </w:p>
        </w:tc>
        <w:tc>
          <w:tcPr>
            <w:tcW w:w="1425" w:type="pct"/>
            <w:vMerge w:val="continue"/>
            <w:tcBorders>
              <w:tl2br w:val="nil"/>
              <w:tr2bl w:val="nil"/>
            </w:tcBorders>
            <w:shd w:val="clear" w:color="auto" w:fill="auto"/>
            <w:noWrap/>
            <w:vAlign w:val="center"/>
          </w:tcPr>
          <w:p>
            <w:pPr>
              <w:jc w:val="center"/>
              <w:textAlignment w:val="center"/>
            </w:pPr>
          </w:p>
        </w:tc>
        <w:tc>
          <w:tcPr>
            <w:tcW w:w="622" w:type="pct"/>
            <w:vMerge w:val="continue"/>
            <w:tcBorders>
              <w:tl2br w:val="nil"/>
              <w:tr2bl w:val="nil"/>
            </w:tcBorders>
            <w:vAlign w:val="center"/>
          </w:tcPr>
          <w:p>
            <w:pPr>
              <w:jc w:val="center"/>
              <w:textAlignment w:val="center"/>
            </w:pPr>
          </w:p>
        </w:tc>
        <w:tc>
          <w:tcPr>
            <w:tcW w:w="567" w:type="pct"/>
            <w:vMerge w:val="continue"/>
            <w:tcBorders>
              <w:tl2br w:val="nil"/>
              <w:tr2bl w:val="nil"/>
            </w:tcBorders>
            <w:shd w:val="clear" w:color="auto" w:fill="auto"/>
            <w:noWrap/>
            <w:vAlign w:val="center"/>
          </w:tcPr>
          <w:p>
            <w:pPr>
              <w:jc w:val="center"/>
              <w:textAlignment w:val="center"/>
            </w:pPr>
          </w:p>
        </w:tc>
        <w:tc>
          <w:tcPr>
            <w:tcW w:w="699" w:type="pct"/>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单价</w:t>
            </w:r>
          </w:p>
          <w:p>
            <w:pPr>
              <w:jc w:val="center"/>
              <w:textAlignment w:val="center"/>
              <w:rPr>
                <w:rFonts w:ascii="仿宋" w:hAnsi="仿宋" w:eastAsia="仿宋" w:cs="仿宋"/>
                <w:sz w:val="18"/>
                <w:szCs w:val="18"/>
              </w:rPr>
            </w:pPr>
            <w:r>
              <w:rPr>
                <w:rFonts w:hint="eastAsia" w:ascii="仿宋" w:hAnsi="仿宋" w:eastAsia="仿宋" w:cs="仿宋"/>
                <w:sz w:val="18"/>
                <w:szCs w:val="18"/>
              </w:rPr>
              <w:t>（元/</w:t>
            </w:r>
            <w:r>
              <w:rPr>
                <w:rFonts w:hint="eastAsia" w:ascii="仿宋" w:hAnsi="仿宋" w:eastAsia="仿宋" w:cs="仿宋"/>
                <w:kern w:val="0"/>
                <w:sz w:val="18"/>
                <w:szCs w:val="18"/>
              </w:rPr>
              <w:t>㎡）</w:t>
            </w:r>
          </w:p>
        </w:tc>
        <w:tc>
          <w:tcPr>
            <w:tcW w:w="595" w:type="pct"/>
            <w:tcBorders>
              <w:tl2br w:val="nil"/>
              <w:tr2bl w:val="nil"/>
            </w:tcBorders>
            <w:shd w:val="clear" w:color="auto" w:fill="auto"/>
            <w:vAlign w:val="center"/>
          </w:tcPr>
          <w:p>
            <w:pPr>
              <w:jc w:val="center"/>
              <w:textAlignment w:val="center"/>
              <w:rPr>
                <w:rFonts w:ascii="仿宋" w:hAnsi="仿宋" w:eastAsia="仿宋" w:cs="仿宋"/>
                <w:sz w:val="18"/>
                <w:szCs w:val="18"/>
              </w:rPr>
            </w:pPr>
            <w:r>
              <w:rPr>
                <w:rFonts w:hint="eastAsia" w:ascii="仿宋" w:hAnsi="仿宋" w:eastAsia="仿宋" w:cs="仿宋"/>
                <w:sz w:val="18"/>
                <w:szCs w:val="18"/>
              </w:rPr>
              <w:t>总价</w:t>
            </w:r>
          </w:p>
          <w:p>
            <w:pPr>
              <w:jc w:val="center"/>
              <w:textAlignment w:val="center"/>
              <w:rPr>
                <w:rFonts w:ascii="仿宋" w:hAnsi="仿宋" w:eastAsia="仿宋" w:cs="仿宋"/>
                <w:sz w:val="18"/>
                <w:szCs w:val="18"/>
              </w:rPr>
            </w:pPr>
            <w:r>
              <w:rPr>
                <w:rFonts w:hint="eastAsia" w:ascii="仿宋" w:hAnsi="仿宋" w:eastAsia="仿宋" w:cs="仿宋"/>
                <w:sz w:val="18"/>
                <w:szCs w:val="1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3" w:hRule="atLeast"/>
          <w:jc w:val="center"/>
        </w:trPr>
        <w:tc>
          <w:tcPr>
            <w:tcW w:w="1089" w:type="pc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宁波市海曙区石碶街道庄湾沁园10幢26号1001室房地产及附属物车棚（不含</w:t>
            </w:r>
            <w:r>
              <w:rPr>
                <w:rFonts w:hint="eastAsia" w:ascii="仿宋" w:hAnsi="仿宋" w:eastAsia="仿宋" w:cs="仿宋"/>
                <w:color w:val="000000"/>
                <w:kern w:val="0"/>
                <w:sz w:val="18"/>
                <w:szCs w:val="18"/>
                <w:lang w:eastAsia="zh-CN"/>
              </w:rPr>
              <w:t>固定</w:t>
            </w:r>
            <w:r>
              <w:rPr>
                <w:rFonts w:hint="eastAsia" w:ascii="仿宋" w:hAnsi="仿宋" w:eastAsia="仿宋" w:cs="仿宋"/>
                <w:color w:val="000000"/>
                <w:kern w:val="0"/>
                <w:sz w:val="18"/>
                <w:szCs w:val="18"/>
              </w:rPr>
              <w:t>装修）</w:t>
            </w:r>
          </w:p>
        </w:tc>
        <w:tc>
          <w:tcPr>
            <w:tcW w:w="1425" w:type="pct"/>
            <w:tcBorders>
              <w:tl2br w:val="nil"/>
              <w:tr2bl w:val="nil"/>
            </w:tcBorders>
            <w:shd w:val="clear" w:color="auto" w:fill="auto"/>
            <w:noWrap/>
            <w:vAlign w:val="center"/>
          </w:tcPr>
          <w:p>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浙（2017）海曙区不动产权第0584648、</w:t>
            </w:r>
          </w:p>
          <w:p>
            <w:pPr>
              <w:widowControl/>
              <w:jc w:val="center"/>
              <w:textAlignment w:val="center"/>
              <w:rPr>
                <w:rFonts w:ascii="仿宋" w:hAnsi="仿宋" w:eastAsia="仿宋"/>
                <w:sz w:val="18"/>
                <w:szCs w:val="18"/>
              </w:rPr>
            </w:pPr>
            <w:r>
              <w:rPr>
                <w:rFonts w:hint="eastAsia" w:ascii="仿宋" w:hAnsi="仿宋" w:eastAsia="仿宋" w:cs="仿宋"/>
                <w:kern w:val="0"/>
                <w:sz w:val="18"/>
                <w:szCs w:val="18"/>
              </w:rPr>
              <w:t>浙（2017）海曙区不动产权第0584649号</w:t>
            </w:r>
          </w:p>
        </w:tc>
        <w:tc>
          <w:tcPr>
            <w:tcW w:w="622" w:type="pct"/>
            <w:tcBorders>
              <w:tl2br w:val="nil"/>
              <w:tr2bl w:val="nil"/>
            </w:tcBorders>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118.65</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11.26</w:t>
            </w:r>
          </w:p>
        </w:tc>
        <w:tc>
          <w:tcPr>
            <w:tcW w:w="699" w:type="pct"/>
            <w:tcBorders>
              <w:tl2br w:val="nil"/>
              <w:tr2bl w:val="nil"/>
            </w:tcBorders>
            <w:shd w:val="clear" w:color="auto" w:fill="auto"/>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w:t>
            </w:r>
          </w:p>
        </w:tc>
        <w:tc>
          <w:tcPr>
            <w:tcW w:w="595" w:type="pct"/>
            <w:tcBorders>
              <w:tl2br w:val="nil"/>
              <w:tr2bl w:val="nil"/>
            </w:tcBorders>
            <w:shd w:val="clear" w:color="auto" w:fill="auto"/>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304.5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1089" w:type="pct"/>
            <w:tcBorders>
              <w:tl2br w:val="nil"/>
              <w:tr2bl w:val="nil"/>
            </w:tcBorders>
            <w:shd w:val="clear" w:color="auto" w:fill="auto"/>
            <w:noWrap/>
            <w:vAlign w:val="center"/>
          </w:tcPr>
          <w:p>
            <w:pPr>
              <w:widowControl/>
              <w:jc w:val="center"/>
              <w:textAlignment w:val="center"/>
              <w:rPr>
                <w:rFonts w:ascii="仿宋" w:hAnsi="仿宋" w:eastAsia="仿宋"/>
                <w:sz w:val="18"/>
                <w:szCs w:val="18"/>
              </w:rPr>
            </w:pPr>
            <w:r>
              <w:rPr>
                <w:rFonts w:hint="eastAsia" w:ascii="仿宋" w:hAnsi="仿宋" w:eastAsia="仿宋" w:cs="仿宋"/>
                <w:color w:val="000000"/>
                <w:kern w:val="0"/>
                <w:sz w:val="18"/>
                <w:szCs w:val="18"/>
              </w:rPr>
              <w:t>固定装修</w:t>
            </w:r>
          </w:p>
        </w:tc>
        <w:tc>
          <w:tcPr>
            <w:tcW w:w="1425" w:type="pct"/>
            <w:tcBorders>
              <w:tl2br w:val="nil"/>
              <w:tr2bl w:val="nil"/>
            </w:tcBorders>
            <w:shd w:val="clear" w:color="auto" w:fill="auto"/>
            <w:noWrap/>
            <w:vAlign w:val="center"/>
          </w:tcPr>
          <w:p>
            <w:pPr>
              <w:widowControl/>
              <w:jc w:val="center"/>
              <w:textAlignment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lang w:val="en-US" w:eastAsia="zh-CN"/>
              </w:rPr>
              <w:t>/</w:t>
            </w:r>
          </w:p>
        </w:tc>
        <w:tc>
          <w:tcPr>
            <w:tcW w:w="622" w:type="pct"/>
            <w:tcBorders>
              <w:tl2br w:val="nil"/>
              <w:tr2bl w:val="nil"/>
            </w:tcBorders>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cs="仿宋"/>
                <w:kern w:val="0"/>
                <w:sz w:val="18"/>
                <w:szCs w:val="18"/>
              </w:rPr>
            </w:pPr>
            <w:r>
              <w:rPr>
                <w:rFonts w:hint="eastAsia" w:ascii="仿宋" w:hAnsi="仿宋" w:eastAsia="仿宋" w:cs="仿宋"/>
                <w:color w:val="000000"/>
                <w:kern w:val="0"/>
                <w:sz w:val="18"/>
                <w:szCs w:val="18"/>
              </w:rPr>
              <w:t>/</w:t>
            </w:r>
          </w:p>
        </w:tc>
        <w:tc>
          <w:tcPr>
            <w:tcW w:w="699"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color w:val="000000"/>
                <w:kern w:val="0"/>
                <w:sz w:val="18"/>
                <w:szCs w:val="18"/>
              </w:rPr>
              <w:t>/</w:t>
            </w:r>
          </w:p>
        </w:tc>
        <w:tc>
          <w:tcPr>
            <w:tcW w:w="595" w:type="pct"/>
            <w:tcBorders>
              <w:tl2br w:val="nil"/>
              <w:tr2bl w:val="nil"/>
            </w:tcBorders>
            <w:shd w:val="clear" w:color="auto" w:fill="auto"/>
            <w:vAlign w:val="center"/>
          </w:tcPr>
          <w:p>
            <w:pPr>
              <w:jc w:val="center"/>
              <w:rPr>
                <w:rFonts w:ascii="仿宋" w:hAnsi="仿宋" w:eastAsia="仿宋"/>
                <w:bCs/>
                <w:sz w:val="18"/>
                <w:szCs w:val="18"/>
              </w:rPr>
            </w:pPr>
            <w:r>
              <w:rPr>
                <w:rFonts w:hint="eastAsia" w:ascii="仿宋" w:hAnsi="仿宋" w:eastAsia="仿宋"/>
                <w:bCs/>
                <w:sz w:val="18"/>
                <w:szCs w:val="18"/>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jc w:val="center"/>
        </w:trPr>
        <w:tc>
          <w:tcPr>
            <w:tcW w:w="1089" w:type="pct"/>
            <w:tcBorders>
              <w:tl2br w:val="nil"/>
              <w:tr2bl w:val="nil"/>
            </w:tcBorders>
            <w:shd w:val="clear" w:color="auto" w:fill="auto"/>
            <w:noWrap/>
            <w:vAlign w:val="center"/>
          </w:tcPr>
          <w:p>
            <w:pPr>
              <w:widowControl/>
              <w:jc w:val="center"/>
              <w:textAlignment w:val="center"/>
              <w:rPr>
                <w:rFonts w:hint="eastAsia" w:ascii="仿宋" w:hAnsi="仿宋" w:eastAsia="仿宋"/>
                <w:sz w:val="18"/>
                <w:szCs w:val="18"/>
                <w:lang w:eastAsia="zh-CN"/>
              </w:rPr>
            </w:pPr>
            <w:r>
              <w:rPr>
                <w:rFonts w:hint="eastAsia" w:ascii="仿宋" w:hAnsi="仿宋" w:eastAsia="仿宋" w:cs="仿宋"/>
                <w:b/>
                <w:bCs/>
                <w:color w:val="000000"/>
                <w:kern w:val="0"/>
                <w:sz w:val="18"/>
                <w:szCs w:val="18"/>
              </w:rPr>
              <w:t>房地产价格</w:t>
            </w:r>
            <w:r>
              <w:rPr>
                <w:rFonts w:hint="eastAsia" w:ascii="仿宋" w:hAnsi="仿宋" w:eastAsia="仿宋" w:cs="仿宋"/>
                <w:b/>
                <w:bCs/>
                <w:color w:val="000000"/>
                <w:kern w:val="0"/>
                <w:sz w:val="18"/>
                <w:szCs w:val="18"/>
                <w:lang w:eastAsia="zh-CN"/>
              </w:rPr>
              <w:t>总计</w:t>
            </w:r>
          </w:p>
        </w:tc>
        <w:tc>
          <w:tcPr>
            <w:tcW w:w="1425" w:type="pct"/>
            <w:tcBorders>
              <w:tl2br w:val="nil"/>
              <w:tr2bl w:val="nil"/>
            </w:tcBorders>
            <w:shd w:val="clear" w:color="auto" w:fill="auto"/>
            <w:noWrap/>
            <w:vAlign w:val="center"/>
          </w:tcPr>
          <w:p>
            <w:pPr>
              <w:jc w:val="center"/>
              <w:rPr>
                <w:rFonts w:ascii="仿宋" w:hAnsi="仿宋" w:eastAsia="仿宋" w:cs="仿宋"/>
                <w:b/>
                <w:bCs/>
                <w:kern w:val="0"/>
                <w:sz w:val="18"/>
                <w:szCs w:val="18"/>
              </w:rPr>
            </w:pPr>
            <w:r>
              <w:rPr>
                <w:rFonts w:hint="eastAsia" w:ascii="仿宋" w:hAnsi="仿宋" w:eastAsia="仿宋" w:cs="仿宋"/>
                <w:color w:val="000000"/>
                <w:kern w:val="0"/>
                <w:sz w:val="18"/>
                <w:szCs w:val="18"/>
              </w:rPr>
              <w:t>/</w:t>
            </w:r>
          </w:p>
        </w:tc>
        <w:tc>
          <w:tcPr>
            <w:tcW w:w="622" w:type="pct"/>
            <w:tcBorders>
              <w:tl2br w:val="nil"/>
              <w:tr2bl w:val="nil"/>
            </w:tcBorders>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118.65</w:t>
            </w:r>
          </w:p>
        </w:tc>
        <w:tc>
          <w:tcPr>
            <w:tcW w:w="567" w:type="pct"/>
            <w:tcBorders>
              <w:tl2br w:val="nil"/>
              <w:tr2bl w:val="nil"/>
            </w:tcBorders>
            <w:shd w:val="clear" w:color="auto" w:fill="auto"/>
            <w:noWrap/>
            <w:vAlign w:val="center"/>
          </w:tcPr>
          <w:p>
            <w:pPr>
              <w:widowControl/>
              <w:jc w:val="center"/>
              <w:textAlignment w:val="center"/>
              <w:rPr>
                <w:rFonts w:ascii="仿宋" w:hAnsi="仿宋" w:eastAsia="仿宋" w:cs="仿宋"/>
                <w:b/>
                <w:bCs/>
                <w:kern w:val="0"/>
                <w:sz w:val="18"/>
                <w:szCs w:val="18"/>
              </w:rPr>
            </w:pPr>
            <w:r>
              <w:rPr>
                <w:rFonts w:hint="eastAsia" w:ascii="仿宋" w:hAnsi="仿宋" w:eastAsia="仿宋" w:cs="仿宋"/>
                <w:b/>
                <w:bCs/>
                <w:color w:val="000000"/>
                <w:kern w:val="0"/>
                <w:sz w:val="18"/>
                <w:szCs w:val="18"/>
              </w:rPr>
              <w:t>11.26</w:t>
            </w:r>
          </w:p>
        </w:tc>
        <w:tc>
          <w:tcPr>
            <w:tcW w:w="699"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b/>
                <w:bCs/>
                <w:color w:val="000000"/>
                <w:kern w:val="0"/>
                <w:sz w:val="18"/>
                <w:szCs w:val="18"/>
              </w:rPr>
              <w:t>26557</w:t>
            </w:r>
          </w:p>
        </w:tc>
        <w:tc>
          <w:tcPr>
            <w:tcW w:w="595" w:type="pct"/>
            <w:tcBorders>
              <w:tl2br w:val="nil"/>
              <w:tr2bl w:val="nil"/>
            </w:tcBorders>
            <w:shd w:val="clear" w:color="auto" w:fill="auto"/>
            <w:vAlign w:val="center"/>
          </w:tcPr>
          <w:p>
            <w:pPr>
              <w:widowControl/>
              <w:jc w:val="center"/>
              <w:textAlignment w:val="center"/>
              <w:rPr>
                <w:rFonts w:ascii="仿宋" w:hAnsi="仿宋" w:eastAsia="仿宋"/>
                <w:bCs/>
                <w:sz w:val="18"/>
                <w:szCs w:val="18"/>
              </w:rPr>
            </w:pPr>
            <w:r>
              <w:rPr>
                <w:rFonts w:hint="eastAsia" w:ascii="仿宋" w:hAnsi="仿宋" w:eastAsia="仿宋" w:cs="仿宋"/>
                <w:b/>
                <w:bCs/>
                <w:color w:val="000000"/>
                <w:kern w:val="0"/>
                <w:sz w:val="18"/>
                <w:szCs w:val="18"/>
              </w:rPr>
              <w:t>315.1</w:t>
            </w:r>
          </w:p>
        </w:tc>
      </w:tr>
    </w:tbl>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p>
    <w:p>
      <w:pPr>
        <w:spacing w:line="480" w:lineRule="exact"/>
        <w:ind w:firstLine="560" w:firstLineChars="200"/>
        <w:rPr>
          <w:rFonts w:ascii="仿宋" w:hAnsi="仿宋" w:eastAsia="仿宋"/>
          <w:sz w:val="28"/>
          <w:szCs w:val="28"/>
        </w:rPr>
      </w:pPr>
    </w:p>
    <w:p>
      <w:pPr>
        <w:pStyle w:val="3"/>
        <w:spacing w:line="560" w:lineRule="exact"/>
        <w:rPr>
          <w:rFonts w:ascii="仿宋" w:hAnsi="仿宋" w:eastAsia="仿宋"/>
        </w:rPr>
      </w:pPr>
      <w:r>
        <w:rPr>
          <w:rFonts w:hint="eastAsia" w:ascii="仿宋" w:hAnsi="仿宋" w:eastAsia="仿宋"/>
        </w:rPr>
        <w:t>十一、注册房地产估价师</w:t>
      </w:r>
      <w:bookmarkEnd w:id="25"/>
      <w:bookmarkEnd w:id="26"/>
    </w:p>
    <w:tbl>
      <w:tblPr>
        <w:tblStyle w:val="23"/>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126"/>
        <w:gridCol w:w="2693"/>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656" w:type="dxa"/>
            <w:tcBorders>
              <w:top w:val="double" w:color="auto" w:sz="4" w:space="0"/>
              <w:lef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姓名</w:t>
            </w:r>
          </w:p>
        </w:tc>
        <w:tc>
          <w:tcPr>
            <w:tcW w:w="2126"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注册号</w:t>
            </w:r>
          </w:p>
        </w:tc>
        <w:tc>
          <w:tcPr>
            <w:tcW w:w="2693"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w:t>
            </w:r>
          </w:p>
        </w:tc>
        <w:tc>
          <w:tcPr>
            <w:tcW w:w="2362" w:type="dxa"/>
            <w:tcBorders>
              <w:top w:val="double" w:color="auto" w:sz="4" w:space="0"/>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656" w:type="dxa"/>
            <w:tcBorders>
              <w:left w:val="double" w:color="auto" w:sz="4" w:space="0"/>
            </w:tcBorders>
          </w:tcPr>
          <w:p>
            <w:pPr>
              <w:pStyle w:val="13"/>
              <w:spacing w:before="120" w:after="120"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w:t>
            </w:r>
          </w:p>
        </w:tc>
        <w:tc>
          <w:tcPr>
            <w:tcW w:w="2126" w:type="dxa"/>
            <w:tcBorders>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3319970043</w:t>
            </w:r>
          </w:p>
        </w:tc>
        <w:tc>
          <w:tcPr>
            <w:tcW w:w="2693" w:type="dxa"/>
            <w:tcBorders>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656" w:type="dxa"/>
            <w:tcBorders>
              <w:left w:val="double" w:color="auto" w:sz="4" w:space="0"/>
              <w:bottom w:val="double" w:color="auto" w:sz="4" w:space="0"/>
            </w:tcBorders>
          </w:tcPr>
          <w:p>
            <w:pPr>
              <w:pStyle w:val="13"/>
              <w:spacing w:before="120" w:after="120"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w:t>
            </w:r>
          </w:p>
        </w:tc>
        <w:tc>
          <w:tcPr>
            <w:tcW w:w="2126"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3320040045</w:t>
            </w:r>
          </w:p>
        </w:tc>
        <w:tc>
          <w:tcPr>
            <w:tcW w:w="2693"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bottom w:val="doub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bl>
    <w:p>
      <w:pPr>
        <w:pStyle w:val="3"/>
        <w:spacing w:line="240" w:lineRule="atLeast"/>
        <w:rPr>
          <w:rFonts w:ascii="仿宋" w:hAnsi="仿宋" w:eastAsia="仿宋"/>
        </w:rPr>
      </w:pPr>
      <w:bookmarkStart w:id="27" w:name="_Toc30748"/>
      <w:bookmarkStart w:id="28" w:name="_Toc314"/>
      <w:r>
        <w:rPr>
          <w:rFonts w:hint="eastAsia" w:ascii="仿宋" w:hAnsi="仿宋" w:eastAsia="仿宋"/>
        </w:rPr>
        <w:t>十二、实地查勘期</w:t>
      </w:r>
      <w:bookmarkEnd w:id="27"/>
      <w:bookmarkEnd w:id="28"/>
    </w:p>
    <w:p>
      <w:pPr>
        <w:tabs>
          <w:tab w:val="left" w:pos="-2205"/>
        </w:tabs>
        <w:spacing w:line="240" w:lineRule="atLeast"/>
        <w:ind w:right="17"/>
        <w:rPr>
          <w:rFonts w:ascii="仿宋" w:hAnsi="仿宋" w:eastAsia="仿宋"/>
          <w:sz w:val="28"/>
          <w:szCs w:val="28"/>
        </w:rPr>
      </w:pPr>
      <w:r>
        <w:rPr>
          <w:rFonts w:hint="eastAsia" w:ascii="仿宋" w:hAnsi="仿宋" w:eastAsia="仿宋"/>
          <w:sz w:val="28"/>
          <w:szCs w:val="28"/>
        </w:rPr>
        <w:t>2022年6月15日。</w:t>
      </w:r>
    </w:p>
    <w:p>
      <w:pPr>
        <w:pStyle w:val="3"/>
        <w:spacing w:line="240" w:lineRule="atLeast"/>
        <w:rPr>
          <w:rFonts w:ascii="仿宋" w:hAnsi="仿宋" w:eastAsia="仿宋"/>
        </w:rPr>
      </w:pPr>
      <w:bookmarkStart w:id="29" w:name="_Toc29937"/>
      <w:bookmarkStart w:id="30" w:name="_Toc12351"/>
      <w:r>
        <w:rPr>
          <w:rFonts w:hint="eastAsia" w:ascii="仿宋" w:hAnsi="仿宋" w:eastAsia="仿宋"/>
        </w:rPr>
        <w:t>十三、估价作业期</w:t>
      </w:r>
      <w:bookmarkEnd w:id="29"/>
      <w:bookmarkEnd w:id="30"/>
    </w:p>
    <w:p>
      <w:pPr>
        <w:spacing w:line="240" w:lineRule="atLeast"/>
        <w:rPr>
          <w:rFonts w:ascii="仿宋" w:hAnsi="仿宋" w:eastAsia="仿宋"/>
          <w:sz w:val="28"/>
          <w:szCs w:val="28"/>
        </w:rPr>
      </w:pPr>
      <w:r>
        <w:rPr>
          <w:rFonts w:hint="eastAsia" w:ascii="仿宋" w:hAnsi="仿宋" w:eastAsia="仿宋"/>
          <w:sz w:val="28"/>
          <w:szCs w:val="28"/>
        </w:rPr>
        <w:t>2022年6月15日～2022年6月21日。</w:t>
      </w: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rPr>
          <w:rFonts w:ascii="仿宋" w:hAnsi="仿宋" w:eastAsia="仿宋"/>
          <w:sz w:val="28"/>
          <w:szCs w:val="28"/>
        </w:rPr>
      </w:pPr>
    </w:p>
    <w:p>
      <w:pPr>
        <w:spacing w:line="240" w:lineRule="atLeast"/>
        <w:ind w:left="4760" w:hanging="4760" w:hangingChars="1700"/>
        <w:rPr>
          <w:rFonts w:ascii="仿宋" w:hAnsi="仿宋" w:eastAsia="仿宋"/>
          <w:sz w:val="28"/>
          <w:szCs w:val="28"/>
        </w:rPr>
      </w:pPr>
      <w:r>
        <w:rPr>
          <w:rFonts w:hint="eastAsia" w:ascii="仿宋" w:hAnsi="仿宋" w:eastAsia="仿宋"/>
          <w:sz w:val="28"/>
          <w:szCs w:val="28"/>
        </w:rPr>
        <w:t xml:space="preserve">                                   宁波衡信房地产评估有限公司</w:t>
      </w:r>
      <w:r>
        <w:rPr>
          <w:rFonts w:hint="eastAsia" w:ascii="华文仿宋" w:hAnsi="华文仿宋" w:eastAsia="仿宋"/>
          <w:sz w:val="28"/>
          <w:szCs w:val="28"/>
        </w:rPr>
        <w:t> </w:t>
      </w:r>
    </w:p>
    <w:p>
      <w:pPr>
        <w:spacing w:line="240" w:lineRule="atLeast"/>
        <w:ind w:right="560"/>
        <w:jc w:val="right"/>
        <w:rPr>
          <w:rFonts w:ascii="仿宋" w:hAnsi="仿宋" w:eastAsia="仿宋"/>
          <w:sz w:val="28"/>
          <w:szCs w:val="28"/>
        </w:rPr>
      </w:pPr>
      <w:bookmarkStart w:id="31" w:name="_Toc24159"/>
      <w:bookmarkStart w:id="32" w:name="_Toc143834239"/>
      <w:bookmarkStart w:id="33" w:name="_Toc4932"/>
      <w:r>
        <w:rPr>
          <w:rFonts w:hint="eastAsia" w:ascii="仿宋" w:hAnsi="仿宋" w:eastAsia="仿宋"/>
          <w:sz w:val="28"/>
          <w:szCs w:val="28"/>
        </w:rPr>
        <w:t>2022年6月21日</w:t>
      </w:r>
    </w:p>
    <w:p/>
    <w:p/>
    <w:bookmarkEnd w:id="31"/>
    <w:bookmarkEnd w:id="32"/>
    <w:bookmarkEnd w:id="33"/>
    <w:p>
      <w:pPr>
        <w:rPr>
          <w:rFonts w:ascii="仿宋" w:hAnsi="仿宋" w:eastAsia="仿宋"/>
        </w:rPr>
      </w:pPr>
      <w:bookmarkStart w:id="34" w:name="_Toc1527"/>
      <w:bookmarkStart w:id="35" w:name="_Toc14245"/>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line="500" w:lineRule="exact"/>
        <w:ind w:firstLine="3614" w:firstLineChars="1000"/>
        <w:jc w:val="both"/>
        <w:rPr>
          <w:rFonts w:ascii="仿宋" w:hAnsi="仿宋" w:eastAsia="仿宋"/>
        </w:rPr>
      </w:pPr>
      <w:r>
        <w:rPr>
          <w:rFonts w:hint="eastAsia" w:ascii="仿宋" w:hAnsi="仿宋" w:eastAsia="仿宋"/>
        </w:rPr>
        <w:t>附  件</w:t>
      </w:r>
      <w:bookmarkEnd w:id="34"/>
      <w:bookmarkEnd w:id="35"/>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1、估价委托书</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2、估价对象地理位置图</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3、估价对象实地查勘情况和相关照片</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4、权证复印件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5、房地产估价机构营业执照复印件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6、房地产估价机构资质证书复印件</w:t>
      </w:r>
    </w:p>
    <w:p>
      <w:pPr>
        <w:spacing w:line="520" w:lineRule="exact"/>
        <w:ind w:firstLine="560" w:firstLineChars="200"/>
        <w:rPr>
          <w:rFonts w:ascii="仿宋_GB2312" w:eastAsia="仿宋_GB2312"/>
          <w:snapToGrid w:val="0"/>
          <w:sz w:val="28"/>
          <w:szCs w:val="28"/>
        </w:rPr>
        <w:sectPr>
          <w:footerReference r:id="rId8" w:type="first"/>
          <w:headerReference r:id="rId6" w:type="default"/>
          <w:footerReference r:id="rId7" w:type="default"/>
          <w:pgSz w:w="12240" w:h="15840"/>
          <w:pgMar w:top="1440" w:right="1800" w:bottom="1440" w:left="1800" w:header="720" w:footer="720" w:gutter="0"/>
          <w:pgBorders>
            <w:top w:val="none" w:sz="0" w:space="0"/>
            <w:left w:val="none" w:sz="0" w:space="0"/>
            <w:bottom w:val="none" w:sz="0" w:space="0"/>
            <w:right w:val="none" w:sz="0" w:space="0"/>
          </w:pgBorders>
          <w:pgNumType w:start="1"/>
          <w:cols w:space="720" w:num="1"/>
        </w:sectPr>
      </w:pPr>
      <w:r>
        <w:rPr>
          <w:rFonts w:hint="eastAsia" w:ascii="仿宋_GB2312" w:eastAsia="仿宋_GB2312"/>
          <w:snapToGrid w:val="0"/>
          <w:sz w:val="28"/>
          <w:szCs w:val="28"/>
        </w:rPr>
        <w:t>7、注册房地产估价师估价资格证书复印件</w:t>
      </w:r>
    </w:p>
    <w:p>
      <w:pPr>
        <w:spacing w:line="520" w:lineRule="exact"/>
        <w:ind w:firstLine="3200" w:firstLineChars="1000"/>
        <w:rPr>
          <w:rFonts w:ascii="仿宋_GB2312" w:eastAsia="仿宋_GB2312"/>
          <w:snapToGrid w:val="0"/>
          <w:sz w:val="32"/>
          <w:szCs w:val="32"/>
        </w:rPr>
      </w:pPr>
    </w:p>
    <w:p>
      <w:pPr>
        <w:spacing w:line="520" w:lineRule="exact"/>
        <w:ind w:firstLine="3200" w:firstLineChars="1000"/>
        <w:rPr>
          <w:rFonts w:ascii="仿宋_GB2312" w:eastAsia="仿宋_GB2312"/>
          <w:snapToGrid w:val="0"/>
          <w:sz w:val="28"/>
          <w:szCs w:val="28"/>
        </w:rPr>
      </w:pPr>
      <w:r>
        <w:rPr>
          <w:rFonts w:hint="eastAsia" w:ascii="仿宋_GB2312" w:eastAsia="仿宋_GB2312"/>
          <w:snapToGrid w:val="0"/>
          <w:sz w:val="32"/>
          <w:szCs w:val="32"/>
        </w:rPr>
        <w:t>估价对象地理位置图</w:t>
      </w:r>
    </w:p>
    <w:p>
      <w:pPr>
        <w:spacing w:line="520" w:lineRule="exact"/>
        <w:ind w:firstLine="1960" w:firstLineChars="700"/>
        <w:rPr>
          <w:rFonts w:ascii="仿宋_GB2312" w:eastAsia="仿宋_GB2312"/>
          <w:snapToGrid w:val="0"/>
          <w:sz w:val="28"/>
          <w:szCs w:val="28"/>
        </w:rPr>
      </w:pPr>
    </w:p>
    <w:p>
      <w:pPr>
        <w:spacing w:line="520" w:lineRule="exact"/>
        <w:ind w:firstLine="1680" w:firstLineChars="700"/>
        <w:rPr>
          <w:rFonts w:ascii="仿宋_GB2312" w:eastAsia="仿宋_GB2312"/>
          <w:snapToGrid w:val="0"/>
          <w:sz w:val="28"/>
          <w:szCs w:val="28"/>
        </w:rPr>
      </w:pPr>
      <w:r>
        <w:rPr>
          <w:rFonts w:ascii="宋体" w:hAnsi="宋体" w:cs="宋体"/>
          <w:kern w:val="0"/>
          <w:sz w:val="24"/>
        </w:rPr>
        <w:drawing>
          <wp:anchor distT="0" distB="0" distL="114300" distR="114300" simplePos="0" relativeHeight="251677696" behindDoc="1" locked="0" layoutInCell="1" allowOverlap="1">
            <wp:simplePos x="0" y="0"/>
            <wp:positionH relativeFrom="column">
              <wp:posOffset>-22225</wp:posOffset>
            </wp:positionH>
            <wp:positionV relativeFrom="paragraph">
              <wp:posOffset>307975</wp:posOffset>
            </wp:positionV>
            <wp:extent cx="5724525" cy="5125720"/>
            <wp:effectExtent l="0" t="0" r="9525" b="17780"/>
            <wp:wrapTight wrapText="bothSides">
              <wp:wrapPolygon>
                <wp:start x="0" y="0"/>
                <wp:lineTo x="0" y="21514"/>
                <wp:lineTo x="21564" y="21514"/>
                <wp:lineTo x="21564"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5724525" cy="5125720"/>
                    </a:xfrm>
                    <a:prstGeom prst="rect">
                      <a:avLst/>
                    </a:prstGeom>
                    <a:noFill/>
                    <a:ln w="9525">
                      <a:noFill/>
                    </a:ln>
                  </pic:spPr>
                </pic:pic>
              </a:graphicData>
            </a:graphic>
          </wp:anchor>
        </w:drawing>
      </w:r>
    </w:p>
    <w:p>
      <w:pPr>
        <w:widowControl/>
        <w:jc w:val="left"/>
      </w:pPr>
    </w:p>
    <w:p>
      <w:pPr>
        <w:spacing w:line="520" w:lineRule="exact"/>
        <w:ind w:firstLine="1960" w:firstLineChars="700"/>
        <w:rPr>
          <w:rFonts w:ascii="仿宋_GB2312" w:eastAsia="仿宋_GB2312"/>
          <w:snapToGrid w:val="0"/>
          <w:sz w:val="28"/>
          <w:szCs w:val="28"/>
        </w:rPr>
      </w:pPr>
    </w:p>
    <w:p>
      <w:pPr>
        <w:widowControl/>
        <w:jc w:val="left"/>
      </w:pPr>
    </w:p>
    <w:p>
      <w:pPr>
        <w:spacing w:line="520" w:lineRule="exact"/>
        <w:ind w:firstLine="1960" w:firstLineChars="700"/>
        <w:rPr>
          <w:rFonts w:ascii="仿宋_GB2312" w:eastAsia="仿宋_GB2312"/>
          <w:snapToGrid w:val="0"/>
          <w:sz w:val="28"/>
          <w:szCs w:val="28"/>
        </w:rPr>
      </w:pPr>
    </w:p>
    <w:p>
      <w:pPr>
        <w:spacing w:line="520" w:lineRule="exact"/>
        <w:rPr>
          <w:rFonts w:ascii="仿宋_GB2312" w:eastAsia="仿宋_GB2312"/>
          <w:snapToGrid w:val="0"/>
          <w:sz w:val="28"/>
          <w:szCs w:val="28"/>
        </w:rPr>
      </w:pPr>
    </w:p>
    <w:p>
      <w:pPr>
        <w:spacing w:line="520" w:lineRule="exact"/>
        <w:ind w:firstLine="1960" w:firstLineChars="700"/>
        <w:rPr>
          <w:rFonts w:ascii="仿宋_GB2312" w:eastAsia="仿宋_GB2312"/>
          <w:snapToGrid w:val="0"/>
          <w:sz w:val="28"/>
          <w:szCs w:val="28"/>
        </w:rPr>
      </w:pPr>
    </w:p>
    <w:p>
      <w:pPr>
        <w:spacing w:line="520" w:lineRule="exact"/>
        <w:rPr>
          <w:rFonts w:ascii="仿宋_GB2312" w:eastAsia="仿宋_GB2312"/>
          <w:snapToGrid w:val="0"/>
          <w:sz w:val="28"/>
          <w:szCs w:val="28"/>
        </w:rPr>
      </w:pPr>
    </w:p>
    <w:p>
      <w:pPr>
        <w:spacing w:line="520" w:lineRule="exact"/>
        <w:ind w:firstLine="1960" w:firstLineChars="700"/>
        <w:rPr>
          <w:rFonts w:ascii="仿宋_GB2312" w:hAnsi="宋体" w:eastAsia="仿宋_GB2312" w:cs="宋体"/>
          <w:bCs/>
          <w:sz w:val="36"/>
          <w:szCs w:val="36"/>
        </w:rPr>
      </w:pPr>
      <w:r>
        <w:rPr>
          <w:rFonts w:hint="eastAsia" w:ascii="仿宋_GB2312" w:eastAsia="仿宋_GB2312"/>
          <w:snapToGrid w:val="0"/>
          <w:sz w:val="28"/>
          <w:szCs w:val="28"/>
        </w:rPr>
        <w:t>估价对象实地查勘情况和相关照片</w:t>
      </w:r>
    </w:p>
    <w:p>
      <w:pPr>
        <w:ind w:firstLine="420" w:firstLineChars="200"/>
        <w:jc w:val="left"/>
        <w:rPr>
          <w:rFonts w:ascii="仿宋" w:hAnsi="仿宋" w:eastAsia="仿宋" w:cs="仿宋"/>
          <w:szCs w:val="21"/>
        </w:rPr>
      </w:pPr>
      <w:r>
        <w:rPr>
          <w:rFonts w:hint="eastAsia" w:ascii="仿宋" w:hAnsi="仿宋" w:eastAsia="仿宋" w:cs="仿宋"/>
          <w:bCs/>
          <w:color w:val="000000"/>
          <w:kern w:val="0"/>
          <w:szCs w:val="21"/>
        </w:rPr>
        <w:t>本次估价由</w:t>
      </w:r>
      <w:r>
        <w:rPr>
          <w:rFonts w:hint="eastAsia" w:ascii="仿宋" w:hAnsi="仿宋" w:eastAsia="仿宋" w:cs="仿宋"/>
          <w:szCs w:val="21"/>
        </w:rPr>
        <w:t>注册房地产估价师</w:t>
      </w:r>
      <w:r>
        <w:rPr>
          <w:rFonts w:hint="eastAsia" w:ascii="仿宋" w:hAnsi="仿宋" w:eastAsia="仿宋" w:cs="仿宋"/>
          <w:szCs w:val="21"/>
          <w:lang w:val="en-US" w:eastAsia="zh-CN"/>
        </w:rPr>
        <w:t>***</w:t>
      </w:r>
      <w:r>
        <w:rPr>
          <w:rFonts w:hint="eastAsia" w:ascii="仿宋" w:hAnsi="仿宋" w:eastAsia="仿宋" w:cs="仿宋"/>
          <w:szCs w:val="21"/>
        </w:rPr>
        <w:t>和</w:t>
      </w:r>
      <w:r>
        <w:rPr>
          <w:rFonts w:hint="eastAsia" w:ascii="仿宋" w:hAnsi="仿宋" w:eastAsia="仿宋"/>
          <w:szCs w:val="21"/>
          <w:lang w:val="en-US" w:eastAsia="zh-CN"/>
        </w:rPr>
        <w:t>***</w:t>
      </w:r>
      <w:bookmarkStart w:id="36" w:name="_GoBack"/>
      <w:bookmarkEnd w:id="36"/>
      <w:r>
        <w:rPr>
          <w:rFonts w:hint="eastAsia" w:ascii="仿宋" w:hAnsi="仿宋" w:eastAsia="仿宋" w:cs="仿宋"/>
          <w:szCs w:val="21"/>
        </w:rPr>
        <w:t>于2022年6月15日对估价对象进行了实地查勘。估价对象照片如下：</w:t>
      </w:r>
    </w:p>
    <w:p>
      <w:pPr>
        <w:ind w:firstLine="560" w:firstLineChars="200"/>
        <w:jc w:val="left"/>
        <w:rPr>
          <w:sz w:val="28"/>
          <w:szCs w:val="28"/>
        </w:rPr>
      </w:pPr>
    </w:p>
    <w:p>
      <w:pPr>
        <w:jc w:val="left"/>
        <w:rPr>
          <w:sz w:val="28"/>
          <w:szCs w:val="28"/>
        </w:rPr>
      </w:pPr>
      <w:r>
        <w:rPr>
          <w:sz w:val="28"/>
          <w:szCs w:val="28"/>
        </w:rPr>
        <w:pict>
          <v:shape id="_x0000_s2051" o:spid="_x0000_s2051" o:spt="202" type="#_x0000_t202" style="position:absolute;left:0pt;margin-left:235.85pt;margin-top:1.55pt;height:148.95pt;width:213.1pt;z-index:251672576;mso-width-relative:page;mso-height-relative:page;" coordsize="21600,21600">
            <v:path/>
            <v:fill focussize="0,0"/>
            <v:stroke joinstyle="miter"/>
            <v:imagedata o:title=""/>
            <o:lock v:ext="edit"/>
            <v:textbox>
              <w:txbxContent>
                <w:p>
                  <w:r>
                    <w:rPr>
                      <w:rFonts w:hint="eastAsia"/>
                    </w:rPr>
                    <w:drawing>
                      <wp:inline distT="0" distB="0" distL="114300" distR="114300">
                        <wp:extent cx="2397760" cy="1787525"/>
                        <wp:effectExtent l="0" t="0" r="2540" b="3175"/>
                        <wp:docPr id="7" name="图片 7" descr="9e7f4d836cfc2f9debe0ab82d8ee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7f4d836cfc2f9debe0ab82d8ee412"/>
                                <pic:cNvPicPr>
                                  <a:picLocks noChangeAspect="1"/>
                                </pic:cNvPicPr>
                              </pic:nvPicPr>
                              <pic:blipFill>
                                <a:blip r:embed="rId13"/>
                                <a:stretch>
                                  <a:fillRect/>
                                </a:stretch>
                              </pic:blipFill>
                              <pic:spPr>
                                <a:xfrm>
                                  <a:off x="0" y="0"/>
                                  <a:ext cx="2397760" cy="1787525"/>
                                </a:xfrm>
                                <a:prstGeom prst="rect">
                                  <a:avLst/>
                                </a:prstGeom>
                              </pic:spPr>
                            </pic:pic>
                          </a:graphicData>
                        </a:graphic>
                      </wp:inline>
                    </w:drawing>
                  </w:r>
                </w:p>
              </w:txbxContent>
            </v:textbox>
          </v:shape>
        </w:pict>
      </w:r>
      <w:r>
        <w:rPr>
          <w:sz w:val="28"/>
          <w:szCs w:val="28"/>
        </w:rPr>
        <w:pict>
          <v:shape id="_x0000_s2050" o:spid="_x0000_s2050" o:spt="202" type="#_x0000_t202" style="position:absolute;left:0pt;margin-left:-5pt;margin-top:0pt;height:150.5pt;width:221.05pt;z-index:251671552;mso-width-relative:page;mso-height-relative:page;" coordsize="21600,21600">
            <v:path/>
            <v:fill focussize="0,0"/>
            <v:stroke joinstyle="miter"/>
            <v:imagedata o:title=""/>
            <o:lock v:ext="edit"/>
            <v:textbox>
              <w:txbxContent>
                <w:p>
                  <w:r>
                    <w:rPr>
                      <w:rFonts w:hint="eastAsia"/>
                    </w:rPr>
                    <w:drawing>
                      <wp:inline distT="0" distB="0" distL="114300" distR="114300">
                        <wp:extent cx="2457450" cy="1803400"/>
                        <wp:effectExtent l="0" t="0" r="0" b="6350"/>
                        <wp:docPr id="6" name="图片 6" descr="fc52fd0594df4a6a0f6ff5944a56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c52fd0594df4a6a0f6ff5944a56f48"/>
                                <pic:cNvPicPr>
                                  <a:picLocks noChangeAspect="1"/>
                                </pic:cNvPicPr>
                              </pic:nvPicPr>
                              <pic:blipFill>
                                <a:blip r:embed="rId14"/>
                                <a:stretch>
                                  <a:fillRect/>
                                </a:stretch>
                              </pic:blipFill>
                              <pic:spPr>
                                <a:xfrm>
                                  <a:off x="0" y="0"/>
                                  <a:ext cx="2457450" cy="1803400"/>
                                </a:xfrm>
                                <a:prstGeom prst="rect">
                                  <a:avLst/>
                                </a:prstGeom>
                              </pic:spPr>
                            </pic:pic>
                          </a:graphicData>
                        </a:graphic>
                      </wp:inline>
                    </w:drawing>
                  </w:r>
                </w:p>
              </w:txbxContent>
            </v:textbox>
          </v:shape>
        </w:pic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pict>
          <v:shape id="_x0000_s2052" o:spid="_x0000_s2052" o:spt="202" type="#_x0000_t202" style="position:absolute;left:0pt;margin-left:234.3pt;margin-top:15.65pt;height:160.4pt;width:209.85pt;z-index:251674624;mso-width-relative:page;mso-height-relative:page;" coordsize="21600,21600">
            <v:path/>
            <v:fill focussize="0,0"/>
            <v:stroke joinstyle="miter"/>
            <v:imagedata o:title=""/>
            <o:lock v:ext="edit"/>
            <v:textbox>
              <w:txbxContent>
                <w:p>
                  <w:r>
                    <w:rPr>
                      <w:rFonts w:hint="eastAsia"/>
                    </w:rPr>
                    <w:drawing>
                      <wp:inline distT="0" distB="0" distL="114300" distR="114300">
                        <wp:extent cx="2355215" cy="1933575"/>
                        <wp:effectExtent l="0" t="0" r="6985" b="9525"/>
                        <wp:docPr id="9" name="图片 9" descr="1a8f1ba52ce6a72130abbe0d3e4e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a8f1ba52ce6a72130abbe0d3e4e9bc"/>
                                <pic:cNvPicPr>
                                  <a:picLocks noChangeAspect="1"/>
                                </pic:cNvPicPr>
                              </pic:nvPicPr>
                              <pic:blipFill>
                                <a:blip r:embed="rId15"/>
                                <a:stretch>
                                  <a:fillRect/>
                                </a:stretch>
                              </pic:blipFill>
                              <pic:spPr>
                                <a:xfrm>
                                  <a:off x="0" y="0"/>
                                  <a:ext cx="2355215" cy="1933575"/>
                                </a:xfrm>
                                <a:prstGeom prst="rect">
                                  <a:avLst/>
                                </a:prstGeom>
                              </pic:spPr>
                            </pic:pic>
                          </a:graphicData>
                        </a:graphic>
                      </wp:inline>
                    </w:drawing>
                  </w:r>
                </w:p>
              </w:txbxContent>
            </v:textbox>
          </v:shape>
        </w:pict>
      </w:r>
    </w:p>
    <w:p>
      <w:pPr>
        <w:jc w:val="left"/>
        <w:rPr>
          <w:sz w:val="28"/>
          <w:szCs w:val="28"/>
        </w:rPr>
      </w:pPr>
      <w:r>
        <w:rPr>
          <w:sz w:val="28"/>
          <w:szCs w:val="28"/>
        </w:rPr>
        <w:pict>
          <v:shape id="_x0000_s2053" o:spid="_x0000_s2053" o:spt="202" type="#_x0000_t202" style="position:absolute;left:0pt;margin-left:1.35pt;margin-top:2.5pt;height:157.45pt;width:214.7pt;z-index:251673600;mso-width-relative:page;mso-height-relative:page;" coordsize="21600,21600">
            <v:path/>
            <v:fill focussize="0,0"/>
            <v:stroke joinstyle="miter"/>
            <v:imagedata o:title=""/>
            <o:lock v:ext="edit"/>
            <v:textbox>
              <w:txbxContent>
                <w:p>
                  <w:r>
                    <w:rPr>
                      <w:rFonts w:hint="eastAsia"/>
                    </w:rPr>
                    <w:drawing>
                      <wp:inline distT="0" distB="0" distL="114300" distR="114300">
                        <wp:extent cx="2451735" cy="1884680"/>
                        <wp:effectExtent l="0" t="0" r="5715" b="1270"/>
                        <wp:docPr id="8" name="图片 8" descr="9c88944f362533bc5ff5072b1b1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c88944f362533bc5ff5072b1b19345"/>
                                <pic:cNvPicPr>
                                  <a:picLocks noChangeAspect="1"/>
                                </pic:cNvPicPr>
                              </pic:nvPicPr>
                              <pic:blipFill>
                                <a:blip r:embed="rId16"/>
                                <a:stretch>
                                  <a:fillRect/>
                                </a:stretch>
                              </pic:blipFill>
                              <pic:spPr>
                                <a:xfrm>
                                  <a:off x="0" y="0"/>
                                  <a:ext cx="2451735" cy="1884680"/>
                                </a:xfrm>
                                <a:prstGeom prst="rect">
                                  <a:avLst/>
                                </a:prstGeom>
                              </pic:spPr>
                            </pic:pic>
                          </a:graphicData>
                        </a:graphic>
                      </wp:inline>
                    </w:drawing>
                  </w:r>
                </w:p>
              </w:txbxContent>
            </v:textbox>
          </v:shape>
        </w:pic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r>
        <w:rPr>
          <w:sz w:val="28"/>
          <w:szCs w:val="28"/>
        </w:rPr>
        <w:pict>
          <v:shape id="_x0000_s2055" o:spid="_x0000_s2055" o:spt="202" type="#_x0000_t202" style="position:absolute;left:0pt;margin-left:3.3pt;margin-top:7.35pt;height:185.9pt;width:212.75pt;z-index:251675648;mso-width-relative:page;mso-height-relative:page;" coordsize="21600,21600">
            <v:path/>
            <v:fill focussize="0,0"/>
            <v:stroke joinstyle="miter"/>
            <v:imagedata o:title=""/>
            <o:lock v:ext="edit"/>
            <v:textbox>
              <w:txbxContent>
                <w:p>
                  <w:r>
                    <w:rPr>
                      <w:rFonts w:hint="eastAsia"/>
                    </w:rPr>
                    <w:drawing>
                      <wp:inline distT="0" distB="0" distL="114300" distR="114300">
                        <wp:extent cx="2428240" cy="2258695"/>
                        <wp:effectExtent l="0" t="0" r="10160" b="8255"/>
                        <wp:docPr id="10" name="图片 10" descr="778613050f6ab87ba4d0c8daf51b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8613050f6ab87ba4d0c8daf51b22d"/>
                                <pic:cNvPicPr>
                                  <a:picLocks noChangeAspect="1"/>
                                </pic:cNvPicPr>
                              </pic:nvPicPr>
                              <pic:blipFill>
                                <a:blip r:embed="rId17"/>
                                <a:stretch>
                                  <a:fillRect/>
                                </a:stretch>
                              </pic:blipFill>
                              <pic:spPr>
                                <a:xfrm>
                                  <a:off x="0" y="0"/>
                                  <a:ext cx="2428240" cy="2258695"/>
                                </a:xfrm>
                                <a:prstGeom prst="rect">
                                  <a:avLst/>
                                </a:prstGeom>
                              </pic:spPr>
                            </pic:pic>
                          </a:graphicData>
                        </a:graphic>
                      </wp:inline>
                    </w:drawing>
                  </w:r>
                </w:p>
              </w:txbxContent>
            </v:textbox>
          </v:shape>
        </w:pict>
      </w:r>
      <w:r>
        <w:rPr>
          <w:sz w:val="28"/>
          <w:szCs w:val="28"/>
        </w:rPr>
        <w:pict>
          <v:shape id="_x0000_s2054" o:spid="_x0000_s2054" o:spt="202" type="#_x0000_t202" style="position:absolute;left:0pt;margin-left:239.1pt;margin-top:9.2pt;height:189.45pt;width:201.45pt;z-index:251676672;mso-width-relative:page;mso-height-relative:page;" coordsize="21600,21600">
            <v:path/>
            <v:fill focussize="0,0"/>
            <v:stroke joinstyle="miter"/>
            <v:imagedata o:title=""/>
            <o:lock v:ext="edit"/>
            <v:textbox>
              <w:txbxContent>
                <w:p>
                  <w:r>
                    <w:rPr>
                      <w:rFonts w:hint="eastAsia"/>
                    </w:rPr>
                    <w:drawing>
                      <wp:inline distT="0" distB="0" distL="114300" distR="114300">
                        <wp:extent cx="2366645" cy="2291080"/>
                        <wp:effectExtent l="0" t="0" r="14605" b="13970"/>
                        <wp:docPr id="11" name="图片 11" descr="c978a3ac2462e08b75d2cab6115f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78a3ac2462e08b75d2cab6115f93f"/>
                                <pic:cNvPicPr>
                                  <a:picLocks noChangeAspect="1"/>
                                </pic:cNvPicPr>
                              </pic:nvPicPr>
                              <pic:blipFill>
                                <a:blip r:embed="rId18"/>
                                <a:stretch>
                                  <a:fillRect/>
                                </a:stretch>
                              </pic:blipFill>
                              <pic:spPr>
                                <a:xfrm>
                                  <a:off x="0" y="0"/>
                                  <a:ext cx="2366645" cy="2291080"/>
                                </a:xfrm>
                                <a:prstGeom prst="rect">
                                  <a:avLst/>
                                </a:prstGeom>
                              </pic:spPr>
                            </pic:pic>
                          </a:graphicData>
                        </a:graphic>
                      </wp:inline>
                    </w:drawing>
                  </w:r>
                </w:p>
              </w:txbxContent>
            </v:textbox>
          </v:shape>
        </w:pict>
      </w: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spacing w:beforeAutospacing="1" w:afterAutospacing="1" w:line="360" w:lineRule="auto"/>
        <w:jc w:val="left"/>
        <w:rPr>
          <w:rFonts w:ascii="仿宋" w:hAnsi="仿宋" w:eastAsia="仿宋" w:cs="仿宋"/>
          <w:bCs/>
          <w:color w:val="000000"/>
          <w:kern w:val="0"/>
          <w:sz w:val="28"/>
          <w:szCs w:val="28"/>
        </w:rPr>
      </w:pPr>
    </w:p>
    <w:sectPr>
      <w:headerReference r:id="rId9" w:type="default"/>
      <w:footerReference r:id="rId10" w:type="default"/>
      <w:pgSz w:w="12240" w:h="15840"/>
      <w:pgMar w:top="720" w:right="1797" w:bottom="1418" w:left="1797"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rPr>
        <w:rFonts w:hint="eastAsia" w:ascii="仿宋" w:hAnsi="仿宋" w:eastAsia="仿宋"/>
      </w:rPr>
      <w:t>宁波</w:t>
    </w:r>
    <w:r>
      <w:rPr>
        <w:rFonts w:hint="eastAsia" w:ascii="仿宋" w:hAnsi="仿宋" w:eastAsia="仿宋"/>
        <w:spacing w:val="-6"/>
      </w:rPr>
      <w:t>市海曙区石碶街道庄湾沁园10幢26号1001室</w:t>
    </w:r>
    <w:r>
      <w:rPr>
        <w:rFonts w:hint="eastAsia" w:ascii="仿宋" w:hAnsi="仿宋" w:eastAsia="仿宋"/>
      </w:rPr>
      <w:t>住宅</w:t>
    </w:r>
    <w:r>
      <w:rPr>
        <w:rFonts w:hint="eastAsia" w:ascii="仿宋" w:hAnsi="仿宋" w:eastAsia="仿宋"/>
        <w:spacing w:val="-6"/>
      </w:rPr>
      <w:t>房地产市场价值评估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16</w:t>
                </w:r>
                <w:r>
                  <w:fldChar w:fldCharType="end"/>
                </w:r>
              </w:p>
            </w:txbxContent>
          </v:textbox>
        </v:shape>
      </w:pict>
    </w:r>
    <w:r>
      <w:rPr>
        <w:rFonts w:hint="eastAsia" w:ascii="仿宋" w:hAnsi="仿宋" w:eastAsia="仿宋"/>
      </w:rPr>
      <w:t>宁波市鄞州区中河街道庄湾沁园28幢05室、北仑区大碶新华园18幢储19住宅</w:t>
    </w:r>
    <w:r>
      <w:rPr>
        <w:rFonts w:hint="eastAsia" w:ascii="仿宋" w:hAnsi="仿宋" w:eastAsia="仿宋"/>
        <w:spacing w:val="-6"/>
      </w:rPr>
      <w:t>房地产市场价值评估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7" o:spid="_x0000_s3077"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w:r>
    <w:r>
      <w:rPr>
        <w:rFonts w:hint="eastAsia" w:ascii="仿宋" w:hAnsi="仿宋" w:eastAsia="仿宋"/>
      </w:rPr>
      <w:t>宁波</w:t>
    </w:r>
    <w:r>
      <w:rPr>
        <w:rFonts w:hint="eastAsia" w:ascii="仿宋" w:hAnsi="仿宋" w:eastAsia="仿宋"/>
        <w:spacing w:val="-6"/>
      </w:rPr>
      <w:t>市海曙区石碶街道庄湾沁园10幢26号1001室</w:t>
    </w:r>
    <w:r>
      <w:rPr>
        <w:rFonts w:hint="eastAsia" w:ascii="仿宋" w:hAnsi="仿宋" w:eastAsia="仿宋"/>
      </w:rPr>
      <w:t>住宅</w:t>
    </w:r>
    <w:r>
      <w:rPr>
        <w:rFonts w:hint="eastAsia" w:ascii="仿宋" w:hAnsi="仿宋" w:eastAsia="仿宋"/>
        <w:spacing w:val="-6"/>
      </w:rPr>
      <w:t>房地产市场价值评估</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5" o:spid="_x0000_s3075"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5</w:t>
                </w:r>
                <w:r>
                  <w:fldChar w:fldCharType="end"/>
                </w:r>
              </w:p>
            </w:txbxContent>
          </v:textbox>
        </v:shape>
      </w:pict>
    </w:r>
    <w:r>
      <w:rPr>
        <w:rFonts w:hint="eastAsia" w:ascii="仿宋" w:hAnsi="仿宋" w:eastAsia="仿宋"/>
      </w:rPr>
      <w:t>宁波市鄞州区中河街道庄湾沁园28幢05室、18幢储19住宅</w:t>
    </w:r>
    <w:r>
      <w:rPr>
        <w:rFonts w:hint="eastAsia" w:ascii="仿宋" w:hAnsi="仿宋" w:eastAsia="仿宋"/>
        <w:spacing w:val="-6"/>
      </w:rPr>
      <w:t>房地产市场价值评估</w:t>
    </w:r>
    <w:r>
      <w:rPr>
        <w:sz w:val="24"/>
      </w:rPr>
      <w:pict>
        <v:shape id="_x0000_s3076" o:spid="_x0000_s307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joinstyle="miter"/>
          <v:imagedata o:title=""/>
          <o:lock v:ext="edit"/>
          <v:textbox inset="0mm,0mm,0mm,0mm" style="mso-fit-shape-to-text:t;">
            <w:txbxContent>
              <w:p>
                <w:r>
                  <w:rPr>
                    <w:rFonts w:hint="eastAsia"/>
                  </w:rPr>
                  <w:t>1</w:t>
                </w:r>
              </w:p>
            </w:txbxContent>
          </v:textbox>
        </v:shape>
      </w:pict>
    </w:r>
    <w:r>
      <w:rPr>
        <w:rFonts w:hint="eastAsia" w:ascii="仿宋" w:hAnsi="仿宋" w:eastAsia="仿宋"/>
        <w:spacing w:val="-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3" o:spid="_x0000_s3073"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36</w:t>
                </w:r>
                <w:r>
                  <w:fldChar w:fldCharType="end"/>
                </w:r>
              </w:p>
            </w:txbxContent>
          </v:textbox>
        </v:shape>
      </w:pict>
    </w:r>
    <w:r>
      <w:rPr>
        <w:rFonts w:hint="eastAsia" w:ascii="仿宋" w:hAnsi="仿宋" w:eastAsia="仿宋"/>
      </w:rPr>
      <w:t>宁波</w:t>
    </w:r>
    <w:r>
      <w:rPr>
        <w:rFonts w:hint="eastAsia" w:ascii="仿宋" w:hAnsi="仿宋" w:eastAsia="仿宋"/>
        <w:spacing w:val="-6"/>
      </w:rPr>
      <w:t>市海曙区石碶街道庄湾沁园10幢26号1001室</w:t>
    </w:r>
    <w:r>
      <w:rPr>
        <w:rFonts w:hint="eastAsia" w:ascii="仿宋" w:hAnsi="仿宋" w:eastAsia="仿宋"/>
      </w:rPr>
      <w:t>住宅</w:t>
    </w:r>
    <w:r>
      <w:rPr>
        <w:rFonts w:hint="eastAsia" w:ascii="仿宋" w:hAnsi="仿宋" w:eastAsia="仿宋"/>
        <w:spacing w:val="-6"/>
      </w:rPr>
      <w:t>房地产市场价值评估</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pict>
        <v:shape id="_x0000_s3078" o:spid="_x0000_s307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w:r>
    <w:r>
      <w:rPr>
        <w:rFonts w:hint="eastAsia"/>
      </w:rPr>
      <w:drawing>
        <wp:anchor distT="0" distB="0" distL="114300" distR="114300" simplePos="0" relativeHeight="251666432"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2" name="图片 2"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486400" cy="2103120"/>
          <wp:effectExtent l="0" t="0" r="0" b="11430"/>
          <wp:wrapNone/>
          <wp:docPr id="3"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rightChars="43" w:firstLine="180" w:firstLineChars="100"/>
      <w:jc w:val="right"/>
      <w:rPr>
        <w:rFonts w:ascii="楷体_GB2312" w:eastAsia="楷体_GB2312"/>
        <w:sz w:val="24"/>
        <w:szCs w:val="24"/>
      </w:rPr>
    </w:pPr>
    <w:r>
      <w:rPr>
        <w:rFonts w:hint="eastAsia"/>
      </w:rPr>
      <w:drawing>
        <wp:anchor distT="0" distB="0" distL="114300" distR="114300" simplePos="0" relativeHeight="25166950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4" name="图片 4"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70528" behindDoc="1" locked="0" layoutInCell="0" allowOverlap="1">
          <wp:simplePos x="0" y="0"/>
          <wp:positionH relativeFrom="margin">
            <wp:posOffset>0</wp:posOffset>
          </wp:positionH>
          <wp:positionV relativeFrom="margin">
            <wp:posOffset>3057525</wp:posOffset>
          </wp:positionV>
          <wp:extent cx="5486400" cy="2103120"/>
          <wp:effectExtent l="0" t="0" r="0" b="11430"/>
          <wp:wrapNone/>
          <wp:docPr id="5"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rPr>
        <w:rFonts w:hint="eastAsia"/>
      </w:rPr>
      <w:drawing>
        <wp:anchor distT="0" distB="0" distL="114300" distR="114300" simplePos="0" relativeHeight="25165926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19" name="图片 19"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86400" cy="2103120"/>
          <wp:effectExtent l="0" t="0" r="0" b="11430"/>
          <wp:wrapNone/>
          <wp:docPr id="21"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185E0"/>
    <w:multiLevelType w:val="singleLevel"/>
    <w:tmpl w:val="C5B185E0"/>
    <w:lvl w:ilvl="0" w:tentative="0">
      <w:start w:val="1"/>
      <w:numFmt w:val="decimal"/>
      <w:suff w:val="nothing"/>
      <w:lvlText w:val="%1、"/>
      <w:lvlJc w:val="left"/>
    </w:lvl>
  </w:abstractNum>
  <w:abstractNum w:abstractNumId="1">
    <w:nsid w:val="35083E45"/>
    <w:multiLevelType w:val="multilevel"/>
    <w:tmpl w:val="35083E45"/>
    <w:lvl w:ilvl="0" w:tentative="0">
      <w:start w:val="3"/>
      <w:numFmt w:val="decimal"/>
      <w:pStyle w:val="69"/>
      <w:lvlText w:val="%1、"/>
      <w:lvlJc w:val="left"/>
      <w:pPr>
        <w:tabs>
          <w:tab w:val="left" w:pos="1275"/>
        </w:tabs>
        <w:ind w:left="1275" w:hanging="720"/>
      </w:pPr>
      <w:rPr>
        <w:rFonts w:hint="default"/>
      </w:rPr>
    </w:lvl>
    <w:lvl w:ilvl="1" w:tentative="0">
      <w:start w:val="1"/>
      <w:numFmt w:val="lowerLetter"/>
      <w:lvlText w:val="%2)"/>
      <w:lvlJc w:val="left"/>
      <w:pPr>
        <w:tabs>
          <w:tab w:val="left" w:pos="1395"/>
        </w:tabs>
        <w:ind w:left="1395" w:hanging="420"/>
      </w:p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YyZjJhNTBiNzFlMTkwNmNhZGJjYWEyZDBjN2YyZWMifQ=="/>
  </w:docVars>
  <w:rsids>
    <w:rsidRoot w:val="007A029B"/>
    <w:rsid w:val="00001E8D"/>
    <w:rsid w:val="00002671"/>
    <w:rsid w:val="00002A08"/>
    <w:rsid w:val="00002FEF"/>
    <w:rsid w:val="0000335B"/>
    <w:rsid w:val="00003ADD"/>
    <w:rsid w:val="00004276"/>
    <w:rsid w:val="000054A2"/>
    <w:rsid w:val="00005BA0"/>
    <w:rsid w:val="00006F42"/>
    <w:rsid w:val="0000758B"/>
    <w:rsid w:val="0001052A"/>
    <w:rsid w:val="000109EE"/>
    <w:rsid w:val="00010E4A"/>
    <w:rsid w:val="000118FE"/>
    <w:rsid w:val="0001219F"/>
    <w:rsid w:val="000134F5"/>
    <w:rsid w:val="00013661"/>
    <w:rsid w:val="00014098"/>
    <w:rsid w:val="00015596"/>
    <w:rsid w:val="00015E98"/>
    <w:rsid w:val="000164D2"/>
    <w:rsid w:val="00017D75"/>
    <w:rsid w:val="0002177B"/>
    <w:rsid w:val="00021CF3"/>
    <w:rsid w:val="00022275"/>
    <w:rsid w:val="00022F4B"/>
    <w:rsid w:val="00023C69"/>
    <w:rsid w:val="00023C73"/>
    <w:rsid w:val="00025157"/>
    <w:rsid w:val="00025666"/>
    <w:rsid w:val="00027026"/>
    <w:rsid w:val="00030213"/>
    <w:rsid w:val="00030637"/>
    <w:rsid w:val="00031F01"/>
    <w:rsid w:val="000322D3"/>
    <w:rsid w:val="00032F5C"/>
    <w:rsid w:val="00034284"/>
    <w:rsid w:val="00034CB7"/>
    <w:rsid w:val="0003632F"/>
    <w:rsid w:val="00037229"/>
    <w:rsid w:val="00037E2B"/>
    <w:rsid w:val="00037EFB"/>
    <w:rsid w:val="00040413"/>
    <w:rsid w:val="00040FCD"/>
    <w:rsid w:val="000416EA"/>
    <w:rsid w:val="000421D5"/>
    <w:rsid w:val="00044D92"/>
    <w:rsid w:val="000453CB"/>
    <w:rsid w:val="00045752"/>
    <w:rsid w:val="00045AE4"/>
    <w:rsid w:val="000478B3"/>
    <w:rsid w:val="00047F0F"/>
    <w:rsid w:val="00047FD4"/>
    <w:rsid w:val="00052439"/>
    <w:rsid w:val="00052968"/>
    <w:rsid w:val="00053EB1"/>
    <w:rsid w:val="00053FBD"/>
    <w:rsid w:val="00054485"/>
    <w:rsid w:val="00054E43"/>
    <w:rsid w:val="00056780"/>
    <w:rsid w:val="0005713A"/>
    <w:rsid w:val="00057814"/>
    <w:rsid w:val="00060676"/>
    <w:rsid w:val="00061618"/>
    <w:rsid w:val="00061ACD"/>
    <w:rsid w:val="000624EC"/>
    <w:rsid w:val="00062F15"/>
    <w:rsid w:val="00063066"/>
    <w:rsid w:val="00063EB8"/>
    <w:rsid w:val="00064874"/>
    <w:rsid w:val="000656FE"/>
    <w:rsid w:val="00065855"/>
    <w:rsid w:val="00067D38"/>
    <w:rsid w:val="000700D2"/>
    <w:rsid w:val="00070874"/>
    <w:rsid w:val="00071D66"/>
    <w:rsid w:val="000722BE"/>
    <w:rsid w:val="00072C0A"/>
    <w:rsid w:val="000738EE"/>
    <w:rsid w:val="00073CCC"/>
    <w:rsid w:val="00074E60"/>
    <w:rsid w:val="000752B6"/>
    <w:rsid w:val="00075979"/>
    <w:rsid w:val="000762E3"/>
    <w:rsid w:val="000773B6"/>
    <w:rsid w:val="000773E8"/>
    <w:rsid w:val="00077E08"/>
    <w:rsid w:val="00080695"/>
    <w:rsid w:val="00080E68"/>
    <w:rsid w:val="0008215C"/>
    <w:rsid w:val="00085905"/>
    <w:rsid w:val="00085E46"/>
    <w:rsid w:val="00086491"/>
    <w:rsid w:val="000900DB"/>
    <w:rsid w:val="000901D8"/>
    <w:rsid w:val="0009064D"/>
    <w:rsid w:val="000923E4"/>
    <w:rsid w:val="00093E11"/>
    <w:rsid w:val="00094551"/>
    <w:rsid w:val="0009637F"/>
    <w:rsid w:val="00096BFF"/>
    <w:rsid w:val="000A0654"/>
    <w:rsid w:val="000A0EE5"/>
    <w:rsid w:val="000A1489"/>
    <w:rsid w:val="000A1FA9"/>
    <w:rsid w:val="000A2701"/>
    <w:rsid w:val="000A66B0"/>
    <w:rsid w:val="000A70D0"/>
    <w:rsid w:val="000A7544"/>
    <w:rsid w:val="000A75A6"/>
    <w:rsid w:val="000A7791"/>
    <w:rsid w:val="000A7C99"/>
    <w:rsid w:val="000B3D51"/>
    <w:rsid w:val="000B3FF6"/>
    <w:rsid w:val="000B5E23"/>
    <w:rsid w:val="000B621A"/>
    <w:rsid w:val="000C05A2"/>
    <w:rsid w:val="000C1E6C"/>
    <w:rsid w:val="000C207A"/>
    <w:rsid w:val="000C21E6"/>
    <w:rsid w:val="000C2740"/>
    <w:rsid w:val="000C2C75"/>
    <w:rsid w:val="000C39F4"/>
    <w:rsid w:val="000C446C"/>
    <w:rsid w:val="000C58FA"/>
    <w:rsid w:val="000C6383"/>
    <w:rsid w:val="000C699F"/>
    <w:rsid w:val="000C7890"/>
    <w:rsid w:val="000C7B33"/>
    <w:rsid w:val="000C7E83"/>
    <w:rsid w:val="000D0E6B"/>
    <w:rsid w:val="000D1449"/>
    <w:rsid w:val="000D1A0F"/>
    <w:rsid w:val="000D3BBC"/>
    <w:rsid w:val="000D560C"/>
    <w:rsid w:val="000D5A99"/>
    <w:rsid w:val="000D5F2E"/>
    <w:rsid w:val="000D6B30"/>
    <w:rsid w:val="000D6DCB"/>
    <w:rsid w:val="000E0610"/>
    <w:rsid w:val="000E1352"/>
    <w:rsid w:val="000E1A1D"/>
    <w:rsid w:val="000E1DC1"/>
    <w:rsid w:val="000E42E5"/>
    <w:rsid w:val="000E4598"/>
    <w:rsid w:val="000E4E6C"/>
    <w:rsid w:val="000E5C28"/>
    <w:rsid w:val="000E6F34"/>
    <w:rsid w:val="000E70CF"/>
    <w:rsid w:val="000E7A6A"/>
    <w:rsid w:val="000F1C7B"/>
    <w:rsid w:val="000F28A6"/>
    <w:rsid w:val="000F2C71"/>
    <w:rsid w:val="000F32FE"/>
    <w:rsid w:val="000F4020"/>
    <w:rsid w:val="000F4596"/>
    <w:rsid w:val="000F5438"/>
    <w:rsid w:val="000F7A99"/>
    <w:rsid w:val="00100EB9"/>
    <w:rsid w:val="00101557"/>
    <w:rsid w:val="00101B62"/>
    <w:rsid w:val="00101BE6"/>
    <w:rsid w:val="00103594"/>
    <w:rsid w:val="0010392E"/>
    <w:rsid w:val="00103F7D"/>
    <w:rsid w:val="00105107"/>
    <w:rsid w:val="0010552A"/>
    <w:rsid w:val="001063EC"/>
    <w:rsid w:val="00110262"/>
    <w:rsid w:val="0011064B"/>
    <w:rsid w:val="00110C09"/>
    <w:rsid w:val="001124B7"/>
    <w:rsid w:val="00113AFC"/>
    <w:rsid w:val="001141A0"/>
    <w:rsid w:val="00114421"/>
    <w:rsid w:val="00114449"/>
    <w:rsid w:val="001155CA"/>
    <w:rsid w:val="001160EA"/>
    <w:rsid w:val="001161D9"/>
    <w:rsid w:val="00116513"/>
    <w:rsid w:val="00117740"/>
    <w:rsid w:val="001202C9"/>
    <w:rsid w:val="00120711"/>
    <w:rsid w:val="00120E43"/>
    <w:rsid w:val="00120EEE"/>
    <w:rsid w:val="001210A7"/>
    <w:rsid w:val="0012198A"/>
    <w:rsid w:val="00121D92"/>
    <w:rsid w:val="00122095"/>
    <w:rsid w:val="00122967"/>
    <w:rsid w:val="001232E2"/>
    <w:rsid w:val="0012338C"/>
    <w:rsid w:val="00124653"/>
    <w:rsid w:val="00124C92"/>
    <w:rsid w:val="00125093"/>
    <w:rsid w:val="0012643D"/>
    <w:rsid w:val="00126E0B"/>
    <w:rsid w:val="00127681"/>
    <w:rsid w:val="00127FCB"/>
    <w:rsid w:val="0013002B"/>
    <w:rsid w:val="001304F1"/>
    <w:rsid w:val="00130A31"/>
    <w:rsid w:val="00131083"/>
    <w:rsid w:val="00131EC3"/>
    <w:rsid w:val="0013212E"/>
    <w:rsid w:val="00132F24"/>
    <w:rsid w:val="001332FD"/>
    <w:rsid w:val="00133507"/>
    <w:rsid w:val="00134114"/>
    <w:rsid w:val="00134A4E"/>
    <w:rsid w:val="0013544D"/>
    <w:rsid w:val="00135D1C"/>
    <w:rsid w:val="001376C2"/>
    <w:rsid w:val="00137A10"/>
    <w:rsid w:val="0014105A"/>
    <w:rsid w:val="00141DC4"/>
    <w:rsid w:val="00142CE4"/>
    <w:rsid w:val="001446BA"/>
    <w:rsid w:val="0014497B"/>
    <w:rsid w:val="00146982"/>
    <w:rsid w:val="001475EC"/>
    <w:rsid w:val="00147A7B"/>
    <w:rsid w:val="00147B79"/>
    <w:rsid w:val="00150632"/>
    <w:rsid w:val="00150719"/>
    <w:rsid w:val="001521AD"/>
    <w:rsid w:val="00153346"/>
    <w:rsid w:val="00153A38"/>
    <w:rsid w:val="00154435"/>
    <w:rsid w:val="00155F96"/>
    <w:rsid w:val="00155FB4"/>
    <w:rsid w:val="0015690B"/>
    <w:rsid w:val="00160A1E"/>
    <w:rsid w:val="0016124E"/>
    <w:rsid w:val="00162CB5"/>
    <w:rsid w:val="001630AF"/>
    <w:rsid w:val="00163773"/>
    <w:rsid w:val="0016391E"/>
    <w:rsid w:val="00163C58"/>
    <w:rsid w:val="001656B1"/>
    <w:rsid w:val="00165988"/>
    <w:rsid w:val="00167803"/>
    <w:rsid w:val="00170BBC"/>
    <w:rsid w:val="0017171C"/>
    <w:rsid w:val="00171A94"/>
    <w:rsid w:val="00173B80"/>
    <w:rsid w:val="00175C67"/>
    <w:rsid w:val="00175D86"/>
    <w:rsid w:val="0017784B"/>
    <w:rsid w:val="00177E70"/>
    <w:rsid w:val="00180FAD"/>
    <w:rsid w:val="001810B1"/>
    <w:rsid w:val="0018128C"/>
    <w:rsid w:val="0018146C"/>
    <w:rsid w:val="001826EC"/>
    <w:rsid w:val="0018361E"/>
    <w:rsid w:val="001838A7"/>
    <w:rsid w:val="001859D0"/>
    <w:rsid w:val="00186141"/>
    <w:rsid w:val="00190BC3"/>
    <w:rsid w:val="00190EC9"/>
    <w:rsid w:val="00192DE8"/>
    <w:rsid w:val="00193AAA"/>
    <w:rsid w:val="00195CD0"/>
    <w:rsid w:val="00197DAC"/>
    <w:rsid w:val="001A024D"/>
    <w:rsid w:val="001A09D1"/>
    <w:rsid w:val="001A24B4"/>
    <w:rsid w:val="001A2523"/>
    <w:rsid w:val="001A29D5"/>
    <w:rsid w:val="001A357B"/>
    <w:rsid w:val="001A46FB"/>
    <w:rsid w:val="001A488C"/>
    <w:rsid w:val="001A555C"/>
    <w:rsid w:val="001A5565"/>
    <w:rsid w:val="001A5A0A"/>
    <w:rsid w:val="001A5E09"/>
    <w:rsid w:val="001A6D1F"/>
    <w:rsid w:val="001A7E54"/>
    <w:rsid w:val="001B0930"/>
    <w:rsid w:val="001B0C8D"/>
    <w:rsid w:val="001B1088"/>
    <w:rsid w:val="001B10A6"/>
    <w:rsid w:val="001B2234"/>
    <w:rsid w:val="001B2833"/>
    <w:rsid w:val="001B2CEF"/>
    <w:rsid w:val="001B381D"/>
    <w:rsid w:val="001B4151"/>
    <w:rsid w:val="001B42AF"/>
    <w:rsid w:val="001B63F3"/>
    <w:rsid w:val="001C0060"/>
    <w:rsid w:val="001C0DC7"/>
    <w:rsid w:val="001C0EA0"/>
    <w:rsid w:val="001C1920"/>
    <w:rsid w:val="001C1CD5"/>
    <w:rsid w:val="001C1E40"/>
    <w:rsid w:val="001C242E"/>
    <w:rsid w:val="001C2D79"/>
    <w:rsid w:val="001C3F7B"/>
    <w:rsid w:val="001C3FE1"/>
    <w:rsid w:val="001C4B85"/>
    <w:rsid w:val="001C5D64"/>
    <w:rsid w:val="001C669B"/>
    <w:rsid w:val="001C6A80"/>
    <w:rsid w:val="001C747A"/>
    <w:rsid w:val="001C7F47"/>
    <w:rsid w:val="001D0B8F"/>
    <w:rsid w:val="001D1011"/>
    <w:rsid w:val="001D2056"/>
    <w:rsid w:val="001D240A"/>
    <w:rsid w:val="001D365D"/>
    <w:rsid w:val="001D3910"/>
    <w:rsid w:val="001D3F4E"/>
    <w:rsid w:val="001D3FD8"/>
    <w:rsid w:val="001D6B30"/>
    <w:rsid w:val="001D6BC2"/>
    <w:rsid w:val="001D74A2"/>
    <w:rsid w:val="001D7E20"/>
    <w:rsid w:val="001E00D2"/>
    <w:rsid w:val="001E03DA"/>
    <w:rsid w:val="001E0470"/>
    <w:rsid w:val="001E055B"/>
    <w:rsid w:val="001E22EF"/>
    <w:rsid w:val="001E29C4"/>
    <w:rsid w:val="001E2DEC"/>
    <w:rsid w:val="001E3E43"/>
    <w:rsid w:val="001E3EC5"/>
    <w:rsid w:val="001E4724"/>
    <w:rsid w:val="001E4C87"/>
    <w:rsid w:val="001E50CB"/>
    <w:rsid w:val="001E547C"/>
    <w:rsid w:val="001E5516"/>
    <w:rsid w:val="001E6F3D"/>
    <w:rsid w:val="001F017A"/>
    <w:rsid w:val="001F0971"/>
    <w:rsid w:val="001F124F"/>
    <w:rsid w:val="001F2CBE"/>
    <w:rsid w:val="001F310D"/>
    <w:rsid w:val="001F3BA7"/>
    <w:rsid w:val="001F3FF5"/>
    <w:rsid w:val="001F4384"/>
    <w:rsid w:val="001F47BC"/>
    <w:rsid w:val="001F48B4"/>
    <w:rsid w:val="001F57C0"/>
    <w:rsid w:val="001F5A66"/>
    <w:rsid w:val="001F5F26"/>
    <w:rsid w:val="001F5FFE"/>
    <w:rsid w:val="001F6183"/>
    <w:rsid w:val="001F744B"/>
    <w:rsid w:val="001F7CCB"/>
    <w:rsid w:val="002012D9"/>
    <w:rsid w:val="00201A3C"/>
    <w:rsid w:val="00202E7C"/>
    <w:rsid w:val="0020317F"/>
    <w:rsid w:val="00204146"/>
    <w:rsid w:val="00204516"/>
    <w:rsid w:val="002050D8"/>
    <w:rsid w:val="0020515D"/>
    <w:rsid w:val="002052E4"/>
    <w:rsid w:val="00207328"/>
    <w:rsid w:val="002073CD"/>
    <w:rsid w:val="002073E2"/>
    <w:rsid w:val="00207CD5"/>
    <w:rsid w:val="0021025D"/>
    <w:rsid w:val="00210D8B"/>
    <w:rsid w:val="002127A3"/>
    <w:rsid w:val="002128DD"/>
    <w:rsid w:val="00212949"/>
    <w:rsid w:val="00212FA0"/>
    <w:rsid w:val="00213CF2"/>
    <w:rsid w:val="00214194"/>
    <w:rsid w:val="002142EB"/>
    <w:rsid w:val="00214EA5"/>
    <w:rsid w:val="002163D0"/>
    <w:rsid w:val="00216847"/>
    <w:rsid w:val="00216A38"/>
    <w:rsid w:val="00217759"/>
    <w:rsid w:val="00217E76"/>
    <w:rsid w:val="00221DE9"/>
    <w:rsid w:val="00221F28"/>
    <w:rsid w:val="0022308E"/>
    <w:rsid w:val="002235AD"/>
    <w:rsid w:val="00224F54"/>
    <w:rsid w:val="00225AA5"/>
    <w:rsid w:val="00225B98"/>
    <w:rsid w:val="00226DB2"/>
    <w:rsid w:val="002319AE"/>
    <w:rsid w:val="002344D3"/>
    <w:rsid w:val="002355E1"/>
    <w:rsid w:val="00236B21"/>
    <w:rsid w:val="002400B2"/>
    <w:rsid w:val="00240411"/>
    <w:rsid w:val="00240E3E"/>
    <w:rsid w:val="00240F2C"/>
    <w:rsid w:val="0024102C"/>
    <w:rsid w:val="00243EF2"/>
    <w:rsid w:val="00246515"/>
    <w:rsid w:val="0024691F"/>
    <w:rsid w:val="0024744F"/>
    <w:rsid w:val="00247970"/>
    <w:rsid w:val="0025004E"/>
    <w:rsid w:val="0025030F"/>
    <w:rsid w:val="0025138E"/>
    <w:rsid w:val="002514DE"/>
    <w:rsid w:val="002516BD"/>
    <w:rsid w:val="00251954"/>
    <w:rsid w:val="00252F21"/>
    <w:rsid w:val="00253551"/>
    <w:rsid w:val="002539CF"/>
    <w:rsid w:val="00253B93"/>
    <w:rsid w:val="002546C0"/>
    <w:rsid w:val="00254B97"/>
    <w:rsid w:val="00254BD3"/>
    <w:rsid w:val="00254CA3"/>
    <w:rsid w:val="00256D96"/>
    <w:rsid w:val="002615DD"/>
    <w:rsid w:val="00262CBB"/>
    <w:rsid w:val="00263023"/>
    <w:rsid w:val="002631CD"/>
    <w:rsid w:val="00263820"/>
    <w:rsid w:val="002641F5"/>
    <w:rsid w:val="00270F9D"/>
    <w:rsid w:val="00271D0C"/>
    <w:rsid w:val="00272FCF"/>
    <w:rsid w:val="0027450F"/>
    <w:rsid w:val="00275E91"/>
    <w:rsid w:val="0027650B"/>
    <w:rsid w:val="00277E69"/>
    <w:rsid w:val="0028202E"/>
    <w:rsid w:val="002824D7"/>
    <w:rsid w:val="0028326C"/>
    <w:rsid w:val="00283CF8"/>
    <w:rsid w:val="00283CFE"/>
    <w:rsid w:val="00283D57"/>
    <w:rsid w:val="0028410B"/>
    <w:rsid w:val="0028493B"/>
    <w:rsid w:val="0028520C"/>
    <w:rsid w:val="00285F36"/>
    <w:rsid w:val="002860CD"/>
    <w:rsid w:val="00286175"/>
    <w:rsid w:val="00286215"/>
    <w:rsid w:val="0028705D"/>
    <w:rsid w:val="00291C26"/>
    <w:rsid w:val="002927C5"/>
    <w:rsid w:val="002949F3"/>
    <w:rsid w:val="00294DAB"/>
    <w:rsid w:val="00295383"/>
    <w:rsid w:val="00297510"/>
    <w:rsid w:val="002A013A"/>
    <w:rsid w:val="002A0954"/>
    <w:rsid w:val="002A3466"/>
    <w:rsid w:val="002A3701"/>
    <w:rsid w:val="002A39CA"/>
    <w:rsid w:val="002A3EF0"/>
    <w:rsid w:val="002A4290"/>
    <w:rsid w:val="002A43C4"/>
    <w:rsid w:val="002A78F0"/>
    <w:rsid w:val="002A7DB6"/>
    <w:rsid w:val="002B03F4"/>
    <w:rsid w:val="002B341A"/>
    <w:rsid w:val="002B39A1"/>
    <w:rsid w:val="002B433C"/>
    <w:rsid w:val="002B495E"/>
    <w:rsid w:val="002B558A"/>
    <w:rsid w:val="002B5D35"/>
    <w:rsid w:val="002B672F"/>
    <w:rsid w:val="002B6DF5"/>
    <w:rsid w:val="002B70BB"/>
    <w:rsid w:val="002B7C4C"/>
    <w:rsid w:val="002B7D9D"/>
    <w:rsid w:val="002C0E22"/>
    <w:rsid w:val="002C108F"/>
    <w:rsid w:val="002C1247"/>
    <w:rsid w:val="002C1847"/>
    <w:rsid w:val="002C2486"/>
    <w:rsid w:val="002C296B"/>
    <w:rsid w:val="002C2DEC"/>
    <w:rsid w:val="002C37B4"/>
    <w:rsid w:val="002C3B47"/>
    <w:rsid w:val="002C3CEE"/>
    <w:rsid w:val="002C4B69"/>
    <w:rsid w:val="002C4D59"/>
    <w:rsid w:val="002C56F5"/>
    <w:rsid w:val="002C6F0E"/>
    <w:rsid w:val="002C71C4"/>
    <w:rsid w:val="002D2788"/>
    <w:rsid w:val="002D362F"/>
    <w:rsid w:val="002D5229"/>
    <w:rsid w:val="002D5411"/>
    <w:rsid w:val="002D5C6F"/>
    <w:rsid w:val="002D63B4"/>
    <w:rsid w:val="002D6F56"/>
    <w:rsid w:val="002E0895"/>
    <w:rsid w:val="002E0AD8"/>
    <w:rsid w:val="002E0B34"/>
    <w:rsid w:val="002E13FB"/>
    <w:rsid w:val="002E1C2D"/>
    <w:rsid w:val="002E3905"/>
    <w:rsid w:val="002E6C6C"/>
    <w:rsid w:val="002E6DCC"/>
    <w:rsid w:val="002E7206"/>
    <w:rsid w:val="002F0783"/>
    <w:rsid w:val="002F1154"/>
    <w:rsid w:val="002F2038"/>
    <w:rsid w:val="002F2141"/>
    <w:rsid w:val="002F2722"/>
    <w:rsid w:val="002F32B9"/>
    <w:rsid w:val="002F3A56"/>
    <w:rsid w:val="002F3A5F"/>
    <w:rsid w:val="002F491A"/>
    <w:rsid w:val="002F5654"/>
    <w:rsid w:val="002F5919"/>
    <w:rsid w:val="002F6A06"/>
    <w:rsid w:val="00301B96"/>
    <w:rsid w:val="00301CAD"/>
    <w:rsid w:val="00301CD9"/>
    <w:rsid w:val="003037E0"/>
    <w:rsid w:val="00303824"/>
    <w:rsid w:val="00304C80"/>
    <w:rsid w:val="0030525F"/>
    <w:rsid w:val="00305EF8"/>
    <w:rsid w:val="003066B7"/>
    <w:rsid w:val="003068B9"/>
    <w:rsid w:val="003069FC"/>
    <w:rsid w:val="00306BE5"/>
    <w:rsid w:val="0030743C"/>
    <w:rsid w:val="00310292"/>
    <w:rsid w:val="00310FA9"/>
    <w:rsid w:val="003115BC"/>
    <w:rsid w:val="003128AE"/>
    <w:rsid w:val="00315EC5"/>
    <w:rsid w:val="00316240"/>
    <w:rsid w:val="003163F4"/>
    <w:rsid w:val="00317CF1"/>
    <w:rsid w:val="0032057F"/>
    <w:rsid w:val="00320BEA"/>
    <w:rsid w:val="00321326"/>
    <w:rsid w:val="00321370"/>
    <w:rsid w:val="003213ED"/>
    <w:rsid w:val="00321B39"/>
    <w:rsid w:val="003229A7"/>
    <w:rsid w:val="00323100"/>
    <w:rsid w:val="003244F3"/>
    <w:rsid w:val="003245BD"/>
    <w:rsid w:val="00324AEA"/>
    <w:rsid w:val="00325CAA"/>
    <w:rsid w:val="0032676E"/>
    <w:rsid w:val="00326BF1"/>
    <w:rsid w:val="003273FA"/>
    <w:rsid w:val="00327BD1"/>
    <w:rsid w:val="00330BDD"/>
    <w:rsid w:val="00332400"/>
    <w:rsid w:val="003325CC"/>
    <w:rsid w:val="003325FD"/>
    <w:rsid w:val="003336B1"/>
    <w:rsid w:val="00333D07"/>
    <w:rsid w:val="0033410F"/>
    <w:rsid w:val="003341C3"/>
    <w:rsid w:val="00337C85"/>
    <w:rsid w:val="00342917"/>
    <w:rsid w:val="00342DFF"/>
    <w:rsid w:val="003436CB"/>
    <w:rsid w:val="00343D6B"/>
    <w:rsid w:val="003444C0"/>
    <w:rsid w:val="00344945"/>
    <w:rsid w:val="00344A53"/>
    <w:rsid w:val="00344D56"/>
    <w:rsid w:val="00345F12"/>
    <w:rsid w:val="00346098"/>
    <w:rsid w:val="003502BE"/>
    <w:rsid w:val="00350602"/>
    <w:rsid w:val="00350E3F"/>
    <w:rsid w:val="00351517"/>
    <w:rsid w:val="0035180B"/>
    <w:rsid w:val="003522CE"/>
    <w:rsid w:val="003525ED"/>
    <w:rsid w:val="00352FED"/>
    <w:rsid w:val="00353710"/>
    <w:rsid w:val="0035562E"/>
    <w:rsid w:val="0035580C"/>
    <w:rsid w:val="0035593A"/>
    <w:rsid w:val="003563CB"/>
    <w:rsid w:val="00357156"/>
    <w:rsid w:val="00357302"/>
    <w:rsid w:val="00360ED1"/>
    <w:rsid w:val="00362B13"/>
    <w:rsid w:val="00363293"/>
    <w:rsid w:val="0036335C"/>
    <w:rsid w:val="00363F7E"/>
    <w:rsid w:val="00364A11"/>
    <w:rsid w:val="00364F18"/>
    <w:rsid w:val="003653D9"/>
    <w:rsid w:val="00367074"/>
    <w:rsid w:val="00370047"/>
    <w:rsid w:val="003705F0"/>
    <w:rsid w:val="00370897"/>
    <w:rsid w:val="00371007"/>
    <w:rsid w:val="003731A8"/>
    <w:rsid w:val="00373D59"/>
    <w:rsid w:val="00374212"/>
    <w:rsid w:val="00374753"/>
    <w:rsid w:val="00374C61"/>
    <w:rsid w:val="003757AC"/>
    <w:rsid w:val="00376B5F"/>
    <w:rsid w:val="00376F5D"/>
    <w:rsid w:val="0037769A"/>
    <w:rsid w:val="00380B99"/>
    <w:rsid w:val="003838E8"/>
    <w:rsid w:val="003838F5"/>
    <w:rsid w:val="00384218"/>
    <w:rsid w:val="00384D04"/>
    <w:rsid w:val="003853A8"/>
    <w:rsid w:val="0038658E"/>
    <w:rsid w:val="003878B1"/>
    <w:rsid w:val="00387D7A"/>
    <w:rsid w:val="003901A2"/>
    <w:rsid w:val="0039128F"/>
    <w:rsid w:val="00392A98"/>
    <w:rsid w:val="003930A9"/>
    <w:rsid w:val="003938E0"/>
    <w:rsid w:val="00393985"/>
    <w:rsid w:val="00395A31"/>
    <w:rsid w:val="00397330"/>
    <w:rsid w:val="003978A6"/>
    <w:rsid w:val="003A011E"/>
    <w:rsid w:val="003A2CC7"/>
    <w:rsid w:val="003A2E97"/>
    <w:rsid w:val="003A4161"/>
    <w:rsid w:val="003A4E93"/>
    <w:rsid w:val="003A5F9D"/>
    <w:rsid w:val="003A721F"/>
    <w:rsid w:val="003B0FE8"/>
    <w:rsid w:val="003B2405"/>
    <w:rsid w:val="003B3C0E"/>
    <w:rsid w:val="003B3F58"/>
    <w:rsid w:val="003B44AF"/>
    <w:rsid w:val="003B4821"/>
    <w:rsid w:val="003B4D2A"/>
    <w:rsid w:val="003B765A"/>
    <w:rsid w:val="003B7F1F"/>
    <w:rsid w:val="003C18DF"/>
    <w:rsid w:val="003C2A9A"/>
    <w:rsid w:val="003C32F6"/>
    <w:rsid w:val="003C3D61"/>
    <w:rsid w:val="003C70F9"/>
    <w:rsid w:val="003C7319"/>
    <w:rsid w:val="003C7AE0"/>
    <w:rsid w:val="003D0068"/>
    <w:rsid w:val="003D0217"/>
    <w:rsid w:val="003D0B22"/>
    <w:rsid w:val="003D5CD2"/>
    <w:rsid w:val="003D6741"/>
    <w:rsid w:val="003D7A5E"/>
    <w:rsid w:val="003E0435"/>
    <w:rsid w:val="003E2493"/>
    <w:rsid w:val="003E2807"/>
    <w:rsid w:val="003E2D11"/>
    <w:rsid w:val="003E3F23"/>
    <w:rsid w:val="003E4434"/>
    <w:rsid w:val="003E4B24"/>
    <w:rsid w:val="003E5589"/>
    <w:rsid w:val="003E5812"/>
    <w:rsid w:val="003E584C"/>
    <w:rsid w:val="003E6207"/>
    <w:rsid w:val="003E68E2"/>
    <w:rsid w:val="003F1281"/>
    <w:rsid w:val="003F144B"/>
    <w:rsid w:val="003F2176"/>
    <w:rsid w:val="003F2817"/>
    <w:rsid w:val="003F2BE8"/>
    <w:rsid w:val="003F61D5"/>
    <w:rsid w:val="003F723B"/>
    <w:rsid w:val="003F7CFD"/>
    <w:rsid w:val="00400454"/>
    <w:rsid w:val="00401CCB"/>
    <w:rsid w:val="00403ABC"/>
    <w:rsid w:val="00403CF4"/>
    <w:rsid w:val="004041D1"/>
    <w:rsid w:val="00405282"/>
    <w:rsid w:val="00405732"/>
    <w:rsid w:val="00405CB9"/>
    <w:rsid w:val="00406244"/>
    <w:rsid w:val="00406D85"/>
    <w:rsid w:val="00407D9F"/>
    <w:rsid w:val="00407DF1"/>
    <w:rsid w:val="00407F05"/>
    <w:rsid w:val="00411E85"/>
    <w:rsid w:val="00412348"/>
    <w:rsid w:val="00412562"/>
    <w:rsid w:val="00412657"/>
    <w:rsid w:val="00413C38"/>
    <w:rsid w:val="00414316"/>
    <w:rsid w:val="00414AC9"/>
    <w:rsid w:val="00414D52"/>
    <w:rsid w:val="00415665"/>
    <w:rsid w:val="00416446"/>
    <w:rsid w:val="00416765"/>
    <w:rsid w:val="00417397"/>
    <w:rsid w:val="00420026"/>
    <w:rsid w:val="00420192"/>
    <w:rsid w:val="004204C3"/>
    <w:rsid w:val="00420996"/>
    <w:rsid w:val="00420C23"/>
    <w:rsid w:val="00423DB2"/>
    <w:rsid w:val="00423F1A"/>
    <w:rsid w:val="004261E9"/>
    <w:rsid w:val="004262D4"/>
    <w:rsid w:val="00426330"/>
    <w:rsid w:val="0042788A"/>
    <w:rsid w:val="004306E2"/>
    <w:rsid w:val="00430AA6"/>
    <w:rsid w:val="004312B8"/>
    <w:rsid w:val="00431E62"/>
    <w:rsid w:val="00432233"/>
    <w:rsid w:val="00432249"/>
    <w:rsid w:val="0043291C"/>
    <w:rsid w:val="0043332F"/>
    <w:rsid w:val="0043410D"/>
    <w:rsid w:val="0043482B"/>
    <w:rsid w:val="004355A4"/>
    <w:rsid w:val="004356C0"/>
    <w:rsid w:val="00435D2C"/>
    <w:rsid w:val="00435D96"/>
    <w:rsid w:val="004371E3"/>
    <w:rsid w:val="00440920"/>
    <w:rsid w:val="00441EB4"/>
    <w:rsid w:val="00441EDA"/>
    <w:rsid w:val="00442170"/>
    <w:rsid w:val="00443670"/>
    <w:rsid w:val="00444424"/>
    <w:rsid w:val="00444B1F"/>
    <w:rsid w:val="00444C66"/>
    <w:rsid w:val="00445223"/>
    <w:rsid w:val="004455FE"/>
    <w:rsid w:val="00446E11"/>
    <w:rsid w:val="004501D5"/>
    <w:rsid w:val="00450532"/>
    <w:rsid w:val="004505B8"/>
    <w:rsid w:val="00451896"/>
    <w:rsid w:val="00451F5C"/>
    <w:rsid w:val="00452333"/>
    <w:rsid w:val="00452CB8"/>
    <w:rsid w:val="00453BA5"/>
    <w:rsid w:val="004547B1"/>
    <w:rsid w:val="00455221"/>
    <w:rsid w:val="004576CA"/>
    <w:rsid w:val="004577CA"/>
    <w:rsid w:val="004577E2"/>
    <w:rsid w:val="004608CF"/>
    <w:rsid w:val="0046272E"/>
    <w:rsid w:val="00462FAA"/>
    <w:rsid w:val="00466B48"/>
    <w:rsid w:val="0046703A"/>
    <w:rsid w:val="00467114"/>
    <w:rsid w:val="00467643"/>
    <w:rsid w:val="00467A5D"/>
    <w:rsid w:val="004727C4"/>
    <w:rsid w:val="004735CC"/>
    <w:rsid w:val="00474398"/>
    <w:rsid w:val="004745DC"/>
    <w:rsid w:val="00474C60"/>
    <w:rsid w:val="00475B4A"/>
    <w:rsid w:val="00475FEE"/>
    <w:rsid w:val="0047689C"/>
    <w:rsid w:val="00477DFB"/>
    <w:rsid w:val="0048141C"/>
    <w:rsid w:val="004827CE"/>
    <w:rsid w:val="00482A68"/>
    <w:rsid w:val="004844D9"/>
    <w:rsid w:val="004846AA"/>
    <w:rsid w:val="00485A26"/>
    <w:rsid w:val="00485A46"/>
    <w:rsid w:val="00485E6D"/>
    <w:rsid w:val="00486B64"/>
    <w:rsid w:val="00486DDD"/>
    <w:rsid w:val="0048756A"/>
    <w:rsid w:val="0049061A"/>
    <w:rsid w:val="00491E29"/>
    <w:rsid w:val="00491FB4"/>
    <w:rsid w:val="0049206E"/>
    <w:rsid w:val="004930DE"/>
    <w:rsid w:val="00493A89"/>
    <w:rsid w:val="00493EB0"/>
    <w:rsid w:val="004944D1"/>
    <w:rsid w:val="00494C37"/>
    <w:rsid w:val="004957C7"/>
    <w:rsid w:val="00496DDD"/>
    <w:rsid w:val="004A0470"/>
    <w:rsid w:val="004A0737"/>
    <w:rsid w:val="004A161D"/>
    <w:rsid w:val="004A1BD4"/>
    <w:rsid w:val="004A1ED0"/>
    <w:rsid w:val="004A2617"/>
    <w:rsid w:val="004A3D01"/>
    <w:rsid w:val="004A3E4B"/>
    <w:rsid w:val="004A40EB"/>
    <w:rsid w:val="004A4A23"/>
    <w:rsid w:val="004A51F0"/>
    <w:rsid w:val="004A57E9"/>
    <w:rsid w:val="004A7147"/>
    <w:rsid w:val="004B0598"/>
    <w:rsid w:val="004B1BD6"/>
    <w:rsid w:val="004B26C6"/>
    <w:rsid w:val="004B290D"/>
    <w:rsid w:val="004B3658"/>
    <w:rsid w:val="004B3A3A"/>
    <w:rsid w:val="004B3D63"/>
    <w:rsid w:val="004B422A"/>
    <w:rsid w:val="004B6214"/>
    <w:rsid w:val="004B719F"/>
    <w:rsid w:val="004C001F"/>
    <w:rsid w:val="004C06BF"/>
    <w:rsid w:val="004C0F85"/>
    <w:rsid w:val="004C115E"/>
    <w:rsid w:val="004C19F6"/>
    <w:rsid w:val="004C2945"/>
    <w:rsid w:val="004C31DC"/>
    <w:rsid w:val="004C5353"/>
    <w:rsid w:val="004C586D"/>
    <w:rsid w:val="004C5FD9"/>
    <w:rsid w:val="004C666F"/>
    <w:rsid w:val="004C7134"/>
    <w:rsid w:val="004D2370"/>
    <w:rsid w:val="004D315F"/>
    <w:rsid w:val="004D329A"/>
    <w:rsid w:val="004D453E"/>
    <w:rsid w:val="004D46C9"/>
    <w:rsid w:val="004D49EB"/>
    <w:rsid w:val="004D572D"/>
    <w:rsid w:val="004D573C"/>
    <w:rsid w:val="004D60E5"/>
    <w:rsid w:val="004D6E68"/>
    <w:rsid w:val="004D71F8"/>
    <w:rsid w:val="004D75A6"/>
    <w:rsid w:val="004E093A"/>
    <w:rsid w:val="004E0969"/>
    <w:rsid w:val="004E2578"/>
    <w:rsid w:val="004E4EDA"/>
    <w:rsid w:val="004E531F"/>
    <w:rsid w:val="004E6B0C"/>
    <w:rsid w:val="004E7323"/>
    <w:rsid w:val="004F1505"/>
    <w:rsid w:val="004F1DFE"/>
    <w:rsid w:val="004F213D"/>
    <w:rsid w:val="004F34FA"/>
    <w:rsid w:val="004F46C0"/>
    <w:rsid w:val="004F5473"/>
    <w:rsid w:val="004F55D6"/>
    <w:rsid w:val="004F6145"/>
    <w:rsid w:val="004F6207"/>
    <w:rsid w:val="004F68A5"/>
    <w:rsid w:val="004F698C"/>
    <w:rsid w:val="004F7495"/>
    <w:rsid w:val="004F7C7D"/>
    <w:rsid w:val="0050105A"/>
    <w:rsid w:val="00501ED4"/>
    <w:rsid w:val="005028BD"/>
    <w:rsid w:val="00502A4E"/>
    <w:rsid w:val="00503A98"/>
    <w:rsid w:val="00503F39"/>
    <w:rsid w:val="005059A8"/>
    <w:rsid w:val="00507E73"/>
    <w:rsid w:val="005113B3"/>
    <w:rsid w:val="00511509"/>
    <w:rsid w:val="00511549"/>
    <w:rsid w:val="00512BB5"/>
    <w:rsid w:val="005130F0"/>
    <w:rsid w:val="005139DE"/>
    <w:rsid w:val="00513C6F"/>
    <w:rsid w:val="00513FB3"/>
    <w:rsid w:val="00514572"/>
    <w:rsid w:val="00516AB6"/>
    <w:rsid w:val="00516ED5"/>
    <w:rsid w:val="00520963"/>
    <w:rsid w:val="00522E79"/>
    <w:rsid w:val="005238A1"/>
    <w:rsid w:val="00525A21"/>
    <w:rsid w:val="00525BB7"/>
    <w:rsid w:val="00526AFD"/>
    <w:rsid w:val="0053120D"/>
    <w:rsid w:val="00532083"/>
    <w:rsid w:val="00532537"/>
    <w:rsid w:val="00532653"/>
    <w:rsid w:val="0053385A"/>
    <w:rsid w:val="00534399"/>
    <w:rsid w:val="00534411"/>
    <w:rsid w:val="00537A4E"/>
    <w:rsid w:val="00537B99"/>
    <w:rsid w:val="00540C1C"/>
    <w:rsid w:val="005415C0"/>
    <w:rsid w:val="005430B2"/>
    <w:rsid w:val="00543248"/>
    <w:rsid w:val="00543E3C"/>
    <w:rsid w:val="00545234"/>
    <w:rsid w:val="005459D7"/>
    <w:rsid w:val="00545DEA"/>
    <w:rsid w:val="00547122"/>
    <w:rsid w:val="00547E85"/>
    <w:rsid w:val="00551956"/>
    <w:rsid w:val="0055491D"/>
    <w:rsid w:val="00554DC0"/>
    <w:rsid w:val="005559A4"/>
    <w:rsid w:val="0055631E"/>
    <w:rsid w:val="005564DF"/>
    <w:rsid w:val="00556E02"/>
    <w:rsid w:val="0055780E"/>
    <w:rsid w:val="00560124"/>
    <w:rsid w:val="00560132"/>
    <w:rsid w:val="005603BF"/>
    <w:rsid w:val="005607C6"/>
    <w:rsid w:val="005608EC"/>
    <w:rsid w:val="00561138"/>
    <w:rsid w:val="00561D9E"/>
    <w:rsid w:val="005628E8"/>
    <w:rsid w:val="0056406F"/>
    <w:rsid w:val="005716FC"/>
    <w:rsid w:val="00571C9F"/>
    <w:rsid w:val="005720D9"/>
    <w:rsid w:val="00572178"/>
    <w:rsid w:val="005730E4"/>
    <w:rsid w:val="005747F5"/>
    <w:rsid w:val="005749D4"/>
    <w:rsid w:val="00575718"/>
    <w:rsid w:val="00576D48"/>
    <w:rsid w:val="005775BB"/>
    <w:rsid w:val="005811A1"/>
    <w:rsid w:val="00581728"/>
    <w:rsid w:val="00582131"/>
    <w:rsid w:val="00582660"/>
    <w:rsid w:val="0058384E"/>
    <w:rsid w:val="00584725"/>
    <w:rsid w:val="005858F9"/>
    <w:rsid w:val="00585C4F"/>
    <w:rsid w:val="00586976"/>
    <w:rsid w:val="00590300"/>
    <w:rsid w:val="00590CFB"/>
    <w:rsid w:val="00590E5D"/>
    <w:rsid w:val="005943CA"/>
    <w:rsid w:val="0059487C"/>
    <w:rsid w:val="00595D18"/>
    <w:rsid w:val="00596306"/>
    <w:rsid w:val="00596E08"/>
    <w:rsid w:val="00596ED6"/>
    <w:rsid w:val="0059752D"/>
    <w:rsid w:val="005A04AD"/>
    <w:rsid w:val="005A0E7F"/>
    <w:rsid w:val="005A10EA"/>
    <w:rsid w:val="005A2A61"/>
    <w:rsid w:val="005A3DAF"/>
    <w:rsid w:val="005A5043"/>
    <w:rsid w:val="005A5DC8"/>
    <w:rsid w:val="005A64BE"/>
    <w:rsid w:val="005A64EB"/>
    <w:rsid w:val="005A6AE6"/>
    <w:rsid w:val="005A6BE5"/>
    <w:rsid w:val="005A6C32"/>
    <w:rsid w:val="005A73D1"/>
    <w:rsid w:val="005A7906"/>
    <w:rsid w:val="005B040C"/>
    <w:rsid w:val="005B1E32"/>
    <w:rsid w:val="005B2EE4"/>
    <w:rsid w:val="005B2F73"/>
    <w:rsid w:val="005B34FC"/>
    <w:rsid w:val="005B3BCB"/>
    <w:rsid w:val="005B3C22"/>
    <w:rsid w:val="005B4D32"/>
    <w:rsid w:val="005B4F8C"/>
    <w:rsid w:val="005B5306"/>
    <w:rsid w:val="005B630E"/>
    <w:rsid w:val="005B6859"/>
    <w:rsid w:val="005C00C5"/>
    <w:rsid w:val="005C01C7"/>
    <w:rsid w:val="005C0AAA"/>
    <w:rsid w:val="005C1E23"/>
    <w:rsid w:val="005C22F1"/>
    <w:rsid w:val="005C4683"/>
    <w:rsid w:val="005C51F9"/>
    <w:rsid w:val="005C5585"/>
    <w:rsid w:val="005C7DA8"/>
    <w:rsid w:val="005D0756"/>
    <w:rsid w:val="005D1BF0"/>
    <w:rsid w:val="005D1F9A"/>
    <w:rsid w:val="005D48E2"/>
    <w:rsid w:val="005D7947"/>
    <w:rsid w:val="005E0A41"/>
    <w:rsid w:val="005E0BB2"/>
    <w:rsid w:val="005E0EA6"/>
    <w:rsid w:val="005E111D"/>
    <w:rsid w:val="005E13BD"/>
    <w:rsid w:val="005E2944"/>
    <w:rsid w:val="005E2EC2"/>
    <w:rsid w:val="005E2EFC"/>
    <w:rsid w:val="005E30CD"/>
    <w:rsid w:val="005E381A"/>
    <w:rsid w:val="005E53FE"/>
    <w:rsid w:val="005E5638"/>
    <w:rsid w:val="005E7A1A"/>
    <w:rsid w:val="005F0337"/>
    <w:rsid w:val="005F1A7B"/>
    <w:rsid w:val="005F1B4F"/>
    <w:rsid w:val="005F3BE0"/>
    <w:rsid w:val="005F477D"/>
    <w:rsid w:val="005F4E2A"/>
    <w:rsid w:val="005F505B"/>
    <w:rsid w:val="005F5D31"/>
    <w:rsid w:val="005F6075"/>
    <w:rsid w:val="005F6493"/>
    <w:rsid w:val="005F66F9"/>
    <w:rsid w:val="005F6D9C"/>
    <w:rsid w:val="005F7030"/>
    <w:rsid w:val="006007E7"/>
    <w:rsid w:val="00600BF5"/>
    <w:rsid w:val="0060133E"/>
    <w:rsid w:val="006022F3"/>
    <w:rsid w:val="00602529"/>
    <w:rsid w:val="0060308C"/>
    <w:rsid w:val="0060314D"/>
    <w:rsid w:val="0060338C"/>
    <w:rsid w:val="006033DC"/>
    <w:rsid w:val="006037DF"/>
    <w:rsid w:val="00603CA1"/>
    <w:rsid w:val="00604017"/>
    <w:rsid w:val="006046CE"/>
    <w:rsid w:val="00605A2B"/>
    <w:rsid w:val="00605CF7"/>
    <w:rsid w:val="00607D2D"/>
    <w:rsid w:val="0061001B"/>
    <w:rsid w:val="00610798"/>
    <w:rsid w:val="00610883"/>
    <w:rsid w:val="00611570"/>
    <w:rsid w:val="00611848"/>
    <w:rsid w:val="006125A0"/>
    <w:rsid w:val="006129F9"/>
    <w:rsid w:val="006132A3"/>
    <w:rsid w:val="00614468"/>
    <w:rsid w:val="00615D0F"/>
    <w:rsid w:val="0061643B"/>
    <w:rsid w:val="0061784D"/>
    <w:rsid w:val="00621823"/>
    <w:rsid w:val="00621A1B"/>
    <w:rsid w:val="00623471"/>
    <w:rsid w:val="00623D92"/>
    <w:rsid w:val="00625B3F"/>
    <w:rsid w:val="00625E0E"/>
    <w:rsid w:val="006265EB"/>
    <w:rsid w:val="00626F1F"/>
    <w:rsid w:val="00627231"/>
    <w:rsid w:val="00627986"/>
    <w:rsid w:val="006279B6"/>
    <w:rsid w:val="006301C6"/>
    <w:rsid w:val="00630C33"/>
    <w:rsid w:val="006310AF"/>
    <w:rsid w:val="006323AD"/>
    <w:rsid w:val="0063289D"/>
    <w:rsid w:val="00632E82"/>
    <w:rsid w:val="00635302"/>
    <w:rsid w:val="00635D39"/>
    <w:rsid w:val="00635EE7"/>
    <w:rsid w:val="00636C4E"/>
    <w:rsid w:val="00637E0A"/>
    <w:rsid w:val="00640AFC"/>
    <w:rsid w:val="00641077"/>
    <w:rsid w:val="00641273"/>
    <w:rsid w:val="00641890"/>
    <w:rsid w:val="00642169"/>
    <w:rsid w:val="00642468"/>
    <w:rsid w:val="00643200"/>
    <w:rsid w:val="0064411C"/>
    <w:rsid w:val="00645DC8"/>
    <w:rsid w:val="00646CB6"/>
    <w:rsid w:val="00646DC8"/>
    <w:rsid w:val="00647517"/>
    <w:rsid w:val="00651057"/>
    <w:rsid w:val="0065182A"/>
    <w:rsid w:val="00651865"/>
    <w:rsid w:val="006527C2"/>
    <w:rsid w:val="00653CE8"/>
    <w:rsid w:val="00655D7F"/>
    <w:rsid w:val="006565BD"/>
    <w:rsid w:val="00657D20"/>
    <w:rsid w:val="006602EB"/>
    <w:rsid w:val="006605EB"/>
    <w:rsid w:val="00661FEF"/>
    <w:rsid w:val="00663C25"/>
    <w:rsid w:val="00664231"/>
    <w:rsid w:val="006645F6"/>
    <w:rsid w:val="0066484A"/>
    <w:rsid w:val="0066484F"/>
    <w:rsid w:val="006653EF"/>
    <w:rsid w:val="006654D8"/>
    <w:rsid w:val="00665E83"/>
    <w:rsid w:val="00666B33"/>
    <w:rsid w:val="00666BB3"/>
    <w:rsid w:val="00666ECB"/>
    <w:rsid w:val="0067229F"/>
    <w:rsid w:val="00672E00"/>
    <w:rsid w:val="00672F87"/>
    <w:rsid w:val="00673063"/>
    <w:rsid w:val="00673691"/>
    <w:rsid w:val="00673CF8"/>
    <w:rsid w:val="0067436C"/>
    <w:rsid w:val="006744D0"/>
    <w:rsid w:val="00675C77"/>
    <w:rsid w:val="00676409"/>
    <w:rsid w:val="0067739C"/>
    <w:rsid w:val="006773A0"/>
    <w:rsid w:val="00681403"/>
    <w:rsid w:val="00681B76"/>
    <w:rsid w:val="00681D98"/>
    <w:rsid w:val="0068348A"/>
    <w:rsid w:val="00683667"/>
    <w:rsid w:val="00683FF0"/>
    <w:rsid w:val="006850B0"/>
    <w:rsid w:val="006861C1"/>
    <w:rsid w:val="00687875"/>
    <w:rsid w:val="0069109D"/>
    <w:rsid w:val="00691210"/>
    <w:rsid w:val="00692147"/>
    <w:rsid w:val="00692578"/>
    <w:rsid w:val="00693552"/>
    <w:rsid w:val="00694423"/>
    <w:rsid w:val="0069485E"/>
    <w:rsid w:val="006955A4"/>
    <w:rsid w:val="00696DAF"/>
    <w:rsid w:val="00697D02"/>
    <w:rsid w:val="006A6590"/>
    <w:rsid w:val="006A679E"/>
    <w:rsid w:val="006A716E"/>
    <w:rsid w:val="006A7D64"/>
    <w:rsid w:val="006B01FE"/>
    <w:rsid w:val="006B1797"/>
    <w:rsid w:val="006B2657"/>
    <w:rsid w:val="006B34F2"/>
    <w:rsid w:val="006B3ACE"/>
    <w:rsid w:val="006B3B94"/>
    <w:rsid w:val="006B52D7"/>
    <w:rsid w:val="006B5CF0"/>
    <w:rsid w:val="006B6BAB"/>
    <w:rsid w:val="006B7203"/>
    <w:rsid w:val="006B73E8"/>
    <w:rsid w:val="006C0229"/>
    <w:rsid w:val="006C0401"/>
    <w:rsid w:val="006C0690"/>
    <w:rsid w:val="006C1E56"/>
    <w:rsid w:val="006C25F1"/>
    <w:rsid w:val="006C2AB6"/>
    <w:rsid w:val="006C46B0"/>
    <w:rsid w:val="006C4C45"/>
    <w:rsid w:val="006C54F3"/>
    <w:rsid w:val="006C623A"/>
    <w:rsid w:val="006C682E"/>
    <w:rsid w:val="006C6ABA"/>
    <w:rsid w:val="006C7216"/>
    <w:rsid w:val="006D0002"/>
    <w:rsid w:val="006D03AE"/>
    <w:rsid w:val="006D06BF"/>
    <w:rsid w:val="006D11F6"/>
    <w:rsid w:val="006D12DC"/>
    <w:rsid w:val="006D1370"/>
    <w:rsid w:val="006D1488"/>
    <w:rsid w:val="006D213F"/>
    <w:rsid w:val="006D508B"/>
    <w:rsid w:val="006D5D17"/>
    <w:rsid w:val="006D65D7"/>
    <w:rsid w:val="006D6762"/>
    <w:rsid w:val="006D72E5"/>
    <w:rsid w:val="006D7DCD"/>
    <w:rsid w:val="006E0272"/>
    <w:rsid w:val="006E04A3"/>
    <w:rsid w:val="006E14E4"/>
    <w:rsid w:val="006E2507"/>
    <w:rsid w:val="006E26FF"/>
    <w:rsid w:val="006E3663"/>
    <w:rsid w:val="006E4256"/>
    <w:rsid w:val="006E434F"/>
    <w:rsid w:val="006E4A36"/>
    <w:rsid w:val="006E4AA8"/>
    <w:rsid w:val="006E5A76"/>
    <w:rsid w:val="006E6393"/>
    <w:rsid w:val="006E6629"/>
    <w:rsid w:val="006E6B31"/>
    <w:rsid w:val="006E6FDD"/>
    <w:rsid w:val="006F1095"/>
    <w:rsid w:val="006F2249"/>
    <w:rsid w:val="006F2A0A"/>
    <w:rsid w:val="006F304D"/>
    <w:rsid w:val="006F35C3"/>
    <w:rsid w:val="006F388B"/>
    <w:rsid w:val="006F3CE3"/>
    <w:rsid w:val="006F4079"/>
    <w:rsid w:val="006F460F"/>
    <w:rsid w:val="006F4CE0"/>
    <w:rsid w:val="006F4ED9"/>
    <w:rsid w:val="006F508F"/>
    <w:rsid w:val="007006DD"/>
    <w:rsid w:val="00700849"/>
    <w:rsid w:val="00700E98"/>
    <w:rsid w:val="00701194"/>
    <w:rsid w:val="007015F3"/>
    <w:rsid w:val="00703978"/>
    <w:rsid w:val="00703A00"/>
    <w:rsid w:val="00703B2C"/>
    <w:rsid w:val="00705A12"/>
    <w:rsid w:val="00707001"/>
    <w:rsid w:val="00707BDD"/>
    <w:rsid w:val="007106A2"/>
    <w:rsid w:val="00711177"/>
    <w:rsid w:val="00711570"/>
    <w:rsid w:val="00711D9A"/>
    <w:rsid w:val="00712486"/>
    <w:rsid w:val="00714090"/>
    <w:rsid w:val="007144D3"/>
    <w:rsid w:val="007147C9"/>
    <w:rsid w:val="00714BB6"/>
    <w:rsid w:val="007157CB"/>
    <w:rsid w:val="0071667E"/>
    <w:rsid w:val="00716AC2"/>
    <w:rsid w:val="00716FD6"/>
    <w:rsid w:val="007205BD"/>
    <w:rsid w:val="00721C45"/>
    <w:rsid w:val="007235CA"/>
    <w:rsid w:val="00723CA3"/>
    <w:rsid w:val="00723FCE"/>
    <w:rsid w:val="00727F72"/>
    <w:rsid w:val="00730234"/>
    <w:rsid w:val="00731DA7"/>
    <w:rsid w:val="00731F9A"/>
    <w:rsid w:val="0073386B"/>
    <w:rsid w:val="00735AFD"/>
    <w:rsid w:val="00735E7B"/>
    <w:rsid w:val="00736F14"/>
    <w:rsid w:val="0073731F"/>
    <w:rsid w:val="00737828"/>
    <w:rsid w:val="00740003"/>
    <w:rsid w:val="007411F0"/>
    <w:rsid w:val="0074168B"/>
    <w:rsid w:val="007423ED"/>
    <w:rsid w:val="0074240C"/>
    <w:rsid w:val="00744185"/>
    <w:rsid w:val="00745782"/>
    <w:rsid w:val="00746CBA"/>
    <w:rsid w:val="0074706B"/>
    <w:rsid w:val="007517E2"/>
    <w:rsid w:val="00751DBE"/>
    <w:rsid w:val="0075272B"/>
    <w:rsid w:val="007528A2"/>
    <w:rsid w:val="0075335E"/>
    <w:rsid w:val="00753965"/>
    <w:rsid w:val="00753D49"/>
    <w:rsid w:val="007555CE"/>
    <w:rsid w:val="00755A91"/>
    <w:rsid w:val="007566C8"/>
    <w:rsid w:val="007609E4"/>
    <w:rsid w:val="00761D17"/>
    <w:rsid w:val="00762106"/>
    <w:rsid w:val="007621C3"/>
    <w:rsid w:val="007625A7"/>
    <w:rsid w:val="007625C9"/>
    <w:rsid w:val="00763226"/>
    <w:rsid w:val="00763AD7"/>
    <w:rsid w:val="007649A6"/>
    <w:rsid w:val="00765011"/>
    <w:rsid w:val="00765263"/>
    <w:rsid w:val="007671A3"/>
    <w:rsid w:val="00770359"/>
    <w:rsid w:val="007705C1"/>
    <w:rsid w:val="0077063B"/>
    <w:rsid w:val="007707C9"/>
    <w:rsid w:val="00770954"/>
    <w:rsid w:val="007715AE"/>
    <w:rsid w:val="007719D6"/>
    <w:rsid w:val="00771EE1"/>
    <w:rsid w:val="00772943"/>
    <w:rsid w:val="00773D7A"/>
    <w:rsid w:val="0077472E"/>
    <w:rsid w:val="0077513A"/>
    <w:rsid w:val="007766C2"/>
    <w:rsid w:val="0077758C"/>
    <w:rsid w:val="007825BF"/>
    <w:rsid w:val="00782776"/>
    <w:rsid w:val="00783347"/>
    <w:rsid w:val="0078441A"/>
    <w:rsid w:val="0078459B"/>
    <w:rsid w:val="007865BD"/>
    <w:rsid w:val="00787219"/>
    <w:rsid w:val="00787F91"/>
    <w:rsid w:val="00790A54"/>
    <w:rsid w:val="007911EE"/>
    <w:rsid w:val="007919FB"/>
    <w:rsid w:val="00791B1D"/>
    <w:rsid w:val="007920B3"/>
    <w:rsid w:val="007940C0"/>
    <w:rsid w:val="00794BB4"/>
    <w:rsid w:val="00795A2D"/>
    <w:rsid w:val="00795E87"/>
    <w:rsid w:val="00796EF3"/>
    <w:rsid w:val="007972B9"/>
    <w:rsid w:val="0079740A"/>
    <w:rsid w:val="00797824"/>
    <w:rsid w:val="007A029B"/>
    <w:rsid w:val="007A050A"/>
    <w:rsid w:val="007A0BC5"/>
    <w:rsid w:val="007A280D"/>
    <w:rsid w:val="007A284E"/>
    <w:rsid w:val="007A2886"/>
    <w:rsid w:val="007A3479"/>
    <w:rsid w:val="007A4A61"/>
    <w:rsid w:val="007A5FEF"/>
    <w:rsid w:val="007A771B"/>
    <w:rsid w:val="007B04E5"/>
    <w:rsid w:val="007B096F"/>
    <w:rsid w:val="007B0C87"/>
    <w:rsid w:val="007B19C4"/>
    <w:rsid w:val="007B201C"/>
    <w:rsid w:val="007B3829"/>
    <w:rsid w:val="007B621D"/>
    <w:rsid w:val="007B6359"/>
    <w:rsid w:val="007C1CF7"/>
    <w:rsid w:val="007C2D62"/>
    <w:rsid w:val="007C3042"/>
    <w:rsid w:val="007C3724"/>
    <w:rsid w:val="007C3790"/>
    <w:rsid w:val="007C4170"/>
    <w:rsid w:val="007C484B"/>
    <w:rsid w:val="007C4DD4"/>
    <w:rsid w:val="007C5CE1"/>
    <w:rsid w:val="007C7436"/>
    <w:rsid w:val="007C7718"/>
    <w:rsid w:val="007D0850"/>
    <w:rsid w:val="007D1545"/>
    <w:rsid w:val="007D3C80"/>
    <w:rsid w:val="007D4E4F"/>
    <w:rsid w:val="007D52D5"/>
    <w:rsid w:val="007D5897"/>
    <w:rsid w:val="007D5B6E"/>
    <w:rsid w:val="007D6CD9"/>
    <w:rsid w:val="007D6D36"/>
    <w:rsid w:val="007D704C"/>
    <w:rsid w:val="007D7467"/>
    <w:rsid w:val="007E0391"/>
    <w:rsid w:val="007E0882"/>
    <w:rsid w:val="007E34C7"/>
    <w:rsid w:val="007E3BDE"/>
    <w:rsid w:val="007E40F5"/>
    <w:rsid w:val="007E448C"/>
    <w:rsid w:val="007E4D6A"/>
    <w:rsid w:val="007E5AA7"/>
    <w:rsid w:val="007E5F7D"/>
    <w:rsid w:val="007E6825"/>
    <w:rsid w:val="007F00AF"/>
    <w:rsid w:val="007F125C"/>
    <w:rsid w:val="007F1B3A"/>
    <w:rsid w:val="007F1C05"/>
    <w:rsid w:val="007F2F85"/>
    <w:rsid w:val="007F3E3A"/>
    <w:rsid w:val="007F40EC"/>
    <w:rsid w:val="007F5F17"/>
    <w:rsid w:val="007F6205"/>
    <w:rsid w:val="007F74EB"/>
    <w:rsid w:val="007F78C2"/>
    <w:rsid w:val="007F7AF6"/>
    <w:rsid w:val="00800851"/>
    <w:rsid w:val="008013FC"/>
    <w:rsid w:val="00801B26"/>
    <w:rsid w:val="00801E74"/>
    <w:rsid w:val="0080272E"/>
    <w:rsid w:val="008039CD"/>
    <w:rsid w:val="00804227"/>
    <w:rsid w:val="00804E44"/>
    <w:rsid w:val="00805FC0"/>
    <w:rsid w:val="00807296"/>
    <w:rsid w:val="00810171"/>
    <w:rsid w:val="00811548"/>
    <w:rsid w:val="00811668"/>
    <w:rsid w:val="008126FC"/>
    <w:rsid w:val="00812DCA"/>
    <w:rsid w:val="00813842"/>
    <w:rsid w:val="00816C8E"/>
    <w:rsid w:val="00816FFA"/>
    <w:rsid w:val="00817722"/>
    <w:rsid w:val="008177A0"/>
    <w:rsid w:val="00817984"/>
    <w:rsid w:val="008202F0"/>
    <w:rsid w:val="00820CCD"/>
    <w:rsid w:val="00820F84"/>
    <w:rsid w:val="0082198C"/>
    <w:rsid w:val="0082303F"/>
    <w:rsid w:val="00823267"/>
    <w:rsid w:val="008237DC"/>
    <w:rsid w:val="00823D37"/>
    <w:rsid w:val="008243F3"/>
    <w:rsid w:val="008247B7"/>
    <w:rsid w:val="008248FD"/>
    <w:rsid w:val="008262C6"/>
    <w:rsid w:val="00826978"/>
    <w:rsid w:val="00826F76"/>
    <w:rsid w:val="008274CA"/>
    <w:rsid w:val="00827FA5"/>
    <w:rsid w:val="0083148E"/>
    <w:rsid w:val="00831511"/>
    <w:rsid w:val="00831FA4"/>
    <w:rsid w:val="0083313F"/>
    <w:rsid w:val="00833C03"/>
    <w:rsid w:val="00834A5F"/>
    <w:rsid w:val="00834DE2"/>
    <w:rsid w:val="0083619C"/>
    <w:rsid w:val="00836391"/>
    <w:rsid w:val="00836C2B"/>
    <w:rsid w:val="008372E4"/>
    <w:rsid w:val="00837828"/>
    <w:rsid w:val="00840470"/>
    <w:rsid w:val="00841B48"/>
    <w:rsid w:val="00842786"/>
    <w:rsid w:val="00843522"/>
    <w:rsid w:val="00843525"/>
    <w:rsid w:val="008500D9"/>
    <w:rsid w:val="0085020B"/>
    <w:rsid w:val="00850328"/>
    <w:rsid w:val="00850385"/>
    <w:rsid w:val="0085186C"/>
    <w:rsid w:val="008533C5"/>
    <w:rsid w:val="00853874"/>
    <w:rsid w:val="0085399D"/>
    <w:rsid w:val="008546C6"/>
    <w:rsid w:val="008550A8"/>
    <w:rsid w:val="008556FA"/>
    <w:rsid w:val="00855705"/>
    <w:rsid w:val="00855846"/>
    <w:rsid w:val="008576DF"/>
    <w:rsid w:val="00857B9E"/>
    <w:rsid w:val="00861385"/>
    <w:rsid w:val="00861505"/>
    <w:rsid w:val="008623C1"/>
    <w:rsid w:val="00862CE1"/>
    <w:rsid w:val="00862EDE"/>
    <w:rsid w:val="00862FB1"/>
    <w:rsid w:val="00863122"/>
    <w:rsid w:val="00863552"/>
    <w:rsid w:val="00863B17"/>
    <w:rsid w:val="00863D23"/>
    <w:rsid w:val="0086516B"/>
    <w:rsid w:val="00865C5E"/>
    <w:rsid w:val="0086689E"/>
    <w:rsid w:val="00866A25"/>
    <w:rsid w:val="00870062"/>
    <w:rsid w:val="0087110A"/>
    <w:rsid w:val="00871913"/>
    <w:rsid w:val="00873005"/>
    <w:rsid w:val="008745B2"/>
    <w:rsid w:val="00874F0C"/>
    <w:rsid w:val="00875EB0"/>
    <w:rsid w:val="00876300"/>
    <w:rsid w:val="008767CF"/>
    <w:rsid w:val="00876F0F"/>
    <w:rsid w:val="00880598"/>
    <w:rsid w:val="008806B5"/>
    <w:rsid w:val="00880ED5"/>
    <w:rsid w:val="00882158"/>
    <w:rsid w:val="00882BC8"/>
    <w:rsid w:val="00882ED0"/>
    <w:rsid w:val="00883FF3"/>
    <w:rsid w:val="00884CB6"/>
    <w:rsid w:val="008853AE"/>
    <w:rsid w:val="0088591E"/>
    <w:rsid w:val="008862C5"/>
    <w:rsid w:val="008867ED"/>
    <w:rsid w:val="00886946"/>
    <w:rsid w:val="00887278"/>
    <w:rsid w:val="00887439"/>
    <w:rsid w:val="00887A6C"/>
    <w:rsid w:val="0089113C"/>
    <w:rsid w:val="00891641"/>
    <w:rsid w:val="00891B29"/>
    <w:rsid w:val="0089211D"/>
    <w:rsid w:val="00892A0C"/>
    <w:rsid w:val="00894328"/>
    <w:rsid w:val="0089486C"/>
    <w:rsid w:val="00894C83"/>
    <w:rsid w:val="00895342"/>
    <w:rsid w:val="00897D67"/>
    <w:rsid w:val="008A08C9"/>
    <w:rsid w:val="008A11B0"/>
    <w:rsid w:val="008A191C"/>
    <w:rsid w:val="008A1D68"/>
    <w:rsid w:val="008A1F17"/>
    <w:rsid w:val="008A2389"/>
    <w:rsid w:val="008A2904"/>
    <w:rsid w:val="008A4780"/>
    <w:rsid w:val="008A4B39"/>
    <w:rsid w:val="008A50BA"/>
    <w:rsid w:val="008A576E"/>
    <w:rsid w:val="008A67F8"/>
    <w:rsid w:val="008A6F32"/>
    <w:rsid w:val="008A7A70"/>
    <w:rsid w:val="008B0D46"/>
    <w:rsid w:val="008B0F8E"/>
    <w:rsid w:val="008B316D"/>
    <w:rsid w:val="008B38DC"/>
    <w:rsid w:val="008B39B9"/>
    <w:rsid w:val="008B404C"/>
    <w:rsid w:val="008B4EB5"/>
    <w:rsid w:val="008B575A"/>
    <w:rsid w:val="008B60BB"/>
    <w:rsid w:val="008B646A"/>
    <w:rsid w:val="008B75A5"/>
    <w:rsid w:val="008C09D5"/>
    <w:rsid w:val="008C13E5"/>
    <w:rsid w:val="008C24DE"/>
    <w:rsid w:val="008C299B"/>
    <w:rsid w:val="008C2AFD"/>
    <w:rsid w:val="008C516B"/>
    <w:rsid w:val="008C5347"/>
    <w:rsid w:val="008C58B3"/>
    <w:rsid w:val="008C5FE0"/>
    <w:rsid w:val="008C6F86"/>
    <w:rsid w:val="008C77D8"/>
    <w:rsid w:val="008D04EF"/>
    <w:rsid w:val="008D1081"/>
    <w:rsid w:val="008D12E6"/>
    <w:rsid w:val="008D13C2"/>
    <w:rsid w:val="008D1664"/>
    <w:rsid w:val="008D2669"/>
    <w:rsid w:val="008D40BC"/>
    <w:rsid w:val="008D4ECC"/>
    <w:rsid w:val="008D549D"/>
    <w:rsid w:val="008D5CFD"/>
    <w:rsid w:val="008D6C49"/>
    <w:rsid w:val="008D7056"/>
    <w:rsid w:val="008D74FE"/>
    <w:rsid w:val="008E1608"/>
    <w:rsid w:val="008E1DAC"/>
    <w:rsid w:val="008E24A2"/>
    <w:rsid w:val="008E416B"/>
    <w:rsid w:val="008E5A68"/>
    <w:rsid w:val="008E6BEF"/>
    <w:rsid w:val="008E77B9"/>
    <w:rsid w:val="008F03C9"/>
    <w:rsid w:val="008F04C8"/>
    <w:rsid w:val="008F06F9"/>
    <w:rsid w:val="008F16D9"/>
    <w:rsid w:val="008F18C4"/>
    <w:rsid w:val="008F19A3"/>
    <w:rsid w:val="008F1C7E"/>
    <w:rsid w:val="008F2127"/>
    <w:rsid w:val="008F230A"/>
    <w:rsid w:val="008F3005"/>
    <w:rsid w:val="008F3F4B"/>
    <w:rsid w:val="008F3F5D"/>
    <w:rsid w:val="008F44AD"/>
    <w:rsid w:val="008F487D"/>
    <w:rsid w:val="008F502B"/>
    <w:rsid w:val="008F508C"/>
    <w:rsid w:val="008F54C5"/>
    <w:rsid w:val="008F55CF"/>
    <w:rsid w:val="008F7C45"/>
    <w:rsid w:val="009034DB"/>
    <w:rsid w:val="0090365A"/>
    <w:rsid w:val="00903A0D"/>
    <w:rsid w:val="00906980"/>
    <w:rsid w:val="0090728B"/>
    <w:rsid w:val="00910271"/>
    <w:rsid w:val="00910367"/>
    <w:rsid w:val="009108EF"/>
    <w:rsid w:val="00910A58"/>
    <w:rsid w:val="0091296A"/>
    <w:rsid w:val="00912B01"/>
    <w:rsid w:val="00913C31"/>
    <w:rsid w:val="009164E4"/>
    <w:rsid w:val="00916610"/>
    <w:rsid w:val="009173F9"/>
    <w:rsid w:val="00917F5C"/>
    <w:rsid w:val="0092050C"/>
    <w:rsid w:val="0092058B"/>
    <w:rsid w:val="00921DCC"/>
    <w:rsid w:val="00922496"/>
    <w:rsid w:val="00922D7F"/>
    <w:rsid w:val="00922F5C"/>
    <w:rsid w:val="009231DF"/>
    <w:rsid w:val="00923CA4"/>
    <w:rsid w:val="00923D96"/>
    <w:rsid w:val="009243B6"/>
    <w:rsid w:val="00924413"/>
    <w:rsid w:val="00925196"/>
    <w:rsid w:val="00926065"/>
    <w:rsid w:val="00930125"/>
    <w:rsid w:val="00930D02"/>
    <w:rsid w:val="009311E1"/>
    <w:rsid w:val="00931F4F"/>
    <w:rsid w:val="00931F8A"/>
    <w:rsid w:val="009338B8"/>
    <w:rsid w:val="00934D38"/>
    <w:rsid w:val="00934F77"/>
    <w:rsid w:val="009352C3"/>
    <w:rsid w:val="00935CCF"/>
    <w:rsid w:val="00935EEC"/>
    <w:rsid w:val="009364BF"/>
    <w:rsid w:val="00936E4C"/>
    <w:rsid w:val="00937797"/>
    <w:rsid w:val="00937890"/>
    <w:rsid w:val="00943453"/>
    <w:rsid w:val="0094368E"/>
    <w:rsid w:val="009442D3"/>
    <w:rsid w:val="009458EE"/>
    <w:rsid w:val="00946EBD"/>
    <w:rsid w:val="00950084"/>
    <w:rsid w:val="0095149D"/>
    <w:rsid w:val="00951B76"/>
    <w:rsid w:val="0095211A"/>
    <w:rsid w:val="009525BF"/>
    <w:rsid w:val="00953A03"/>
    <w:rsid w:val="00954215"/>
    <w:rsid w:val="009547A2"/>
    <w:rsid w:val="00954C52"/>
    <w:rsid w:val="009561F8"/>
    <w:rsid w:val="009562D3"/>
    <w:rsid w:val="00956CC7"/>
    <w:rsid w:val="00957700"/>
    <w:rsid w:val="009578E2"/>
    <w:rsid w:val="00957C88"/>
    <w:rsid w:val="00960F8A"/>
    <w:rsid w:val="00961473"/>
    <w:rsid w:val="00961C5D"/>
    <w:rsid w:val="00962451"/>
    <w:rsid w:val="00962D07"/>
    <w:rsid w:val="0096386E"/>
    <w:rsid w:val="00963D93"/>
    <w:rsid w:val="009644BF"/>
    <w:rsid w:val="0096689F"/>
    <w:rsid w:val="0097098A"/>
    <w:rsid w:val="00971376"/>
    <w:rsid w:val="00972259"/>
    <w:rsid w:val="0097259F"/>
    <w:rsid w:val="00972DD4"/>
    <w:rsid w:val="009739A8"/>
    <w:rsid w:val="0097453F"/>
    <w:rsid w:val="00974DDD"/>
    <w:rsid w:val="00976C99"/>
    <w:rsid w:val="00977F53"/>
    <w:rsid w:val="00980FC3"/>
    <w:rsid w:val="00981230"/>
    <w:rsid w:val="00981A3F"/>
    <w:rsid w:val="00981A6C"/>
    <w:rsid w:val="009837F0"/>
    <w:rsid w:val="00983B1B"/>
    <w:rsid w:val="00983E12"/>
    <w:rsid w:val="00984A11"/>
    <w:rsid w:val="00985A1D"/>
    <w:rsid w:val="009868B6"/>
    <w:rsid w:val="00992B3F"/>
    <w:rsid w:val="009930AD"/>
    <w:rsid w:val="009934CE"/>
    <w:rsid w:val="00993938"/>
    <w:rsid w:val="009943BA"/>
    <w:rsid w:val="009947C3"/>
    <w:rsid w:val="00996209"/>
    <w:rsid w:val="00996B48"/>
    <w:rsid w:val="00996D61"/>
    <w:rsid w:val="00997A6D"/>
    <w:rsid w:val="009A06E9"/>
    <w:rsid w:val="009A0A28"/>
    <w:rsid w:val="009A1AE7"/>
    <w:rsid w:val="009A277D"/>
    <w:rsid w:val="009A2785"/>
    <w:rsid w:val="009A3A72"/>
    <w:rsid w:val="009A4719"/>
    <w:rsid w:val="009A629D"/>
    <w:rsid w:val="009A68C0"/>
    <w:rsid w:val="009A69C7"/>
    <w:rsid w:val="009B06B2"/>
    <w:rsid w:val="009B08E0"/>
    <w:rsid w:val="009B0B0D"/>
    <w:rsid w:val="009B0E9E"/>
    <w:rsid w:val="009B182F"/>
    <w:rsid w:val="009B25F7"/>
    <w:rsid w:val="009B3C23"/>
    <w:rsid w:val="009B46F8"/>
    <w:rsid w:val="009B4E93"/>
    <w:rsid w:val="009B6851"/>
    <w:rsid w:val="009B6AA2"/>
    <w:rsid w:val="009B72A4"/>
    <w:rsid w:val="009B7A36"/>
    <w:rsid w:val="009C02F4"/>
    <w:rsid w:val="009C1222"/>
    <w:rsid w:val="009C1AF7"/>
    <w:rsid w:val="009C1F7C"/>
    <w:rsid w:val="009C1FBB"/>
    <w:rsid w:val="009C405D"/>
    <w:rsid w:val="009C4716"/>
    <w:rsid w:val="009C4780"/>
    <w:rsid w:val="009C5EA7"/>
    <w:rsid w:val="009C6482"/>
    <w:rsid w:val="009C704C"/>
    <w:rsid w:val="009C743F"/>
    <w:rsid w:val="009C7FD3"/>
    <w:rsid w:val="009D06C3"/>
    <w:rsid w:val="009D077F"/>
    <w:rsid w:val="009D12F1"/>
    <w:rsid w:val="009D2C18"/>
    <w:rsid w:val="009D62AE"/>
    <w:rsid w:val="009E0E7C"/>
    <w:rsid w:val="009E10F4"/>
    <w:rsid w:val="009E12FC"/>
    <w:rsid w:val="009E185E"/>
    <w:rsid w:val="009E24D5"/>
    <w:rsid w:val="009E4D4E"/>
    <w:rsid w:val="009E50E6"/>
    <w:rsid w:val="009E634C"/>
    <w:rsid w:val="009F0FCE"/>
    <w:rsid w:val="009F241A"/>
    <w:rsid w:val="009F27D8"/>
    <w:rsid w:val="009F2B27"/>
    <w:rsid w:val="009F2DC6"/>
    <w:rsid w:val="009F4A74"/>
    <w:rsid w:val="009F6266"/>
    <w:rsid w:val="009F662E"/>
    <w:rsid w:val="009F74D8"/>
    <w:rsid w:val="00A00176"/>
    <w:rsid w:val="00A01631"/>
    <w:rsid w:val="00A02882"/>
    <w:rsid w:val="00A02E35"/>
    <w:rsid w:val="00A030E6"/>
    <w:rsid w:val="00A0509A"/>
    <w:rsid w:val="00A07D0F"/>
    <w:rsid w:val="00A07E44"/>
    <w:rsid w:val="00A1186B"/>
    <w:rsid w:val="00A12C76"/>
    <w:rsid w:val="00A13AE2"/>
    <w:rsid w:val="00A13CD7"/>
    <w:rsid w:val="00A14F77"/>
    <w:rsid w:val="00A16208"/>
    <w:rsid w:val="00A16A72"/>
    <w:rsid w:val="00A16F85"/>
    <w:rsid w:val="00A20305"/>
    <w:rsid w:val="00A20CD3"/>
    <w:rsid w:val="00A22EBC"/>
    <w:rsid w:val="00A23912"/>
    <w:rsid w:val="00A2448D"/>
    <w:rsid w:val="00A25DA6"/>
    <w:rsid w:val="00A25DF7"/>
    <w:rsid w:val="00A271E4"/>
    <w:rsid w:val="00A3011B"/>
    <w:rsid w:val="00A30E73"/>
    <w:rsid w:val="00A3100A"/>
    <w:rsid w:val="00A32168"/>
    <w:rsid w:val="00A32C40"/>
    <w:rsid w:val="00A339FD"/>
    <w:rsid w:val="00A33C4A"/>
    <w:rsid w:val="00A34B9E"/>
    <w:rsid w:val="00A34D48"/>
    <w:rsid w:val="00A34EAA"/>
    <w:rsid w:val="00A355B7"/>
    <w:rsid w:val="00A36ADB"/>
    <w:rsid w:val="00A375C6"/>
    <w:rsid w:val="00A41FB3"/>
    <w:rsid w:val="00A42480"/>
    <w:rsid w:val="00A431A5"/>
    <w:rsid w:val="00A43A6B"/>
    <w:rsid w:val="00A444F9"/>
    <w:rsid w:val="00A4518C"/>
    <w:rsid w:val="00A46E2A"/>
    <w:rsid w:val="00A5000D"/>
    <w:rsid w:val="00A50298"/>
    <w:rsid w:val="00A50FC5"/>
    <w:rsid w:val="00A5127A"/>
    <w:rsid w:val="00A51A6E"/>
    <w:rsid w:val="00A52004"/>
    <w:rsid w:val="00A52237"/>
    <w:rsid w:val="00A528B1"/>
    <w:rsid w:val="00A52943"/>
    <w:rsid w:val="00A539C3"/>
    <w:rsid w:val="00A53D14"/>
    <w:rsid w:val="00A54CF5"/>
    <w:rsid w:val="00A561A7"/>
    <w:rsid w:val="00A56572"/>
    <w:rsid w:val="00A56BE9"/>
    <w:rsid w:val="00A56C63"/>
    <w:rsid w:val="00A57D08"/>
    <w:rsid w:val="00A60494"/>
    <w:rsid w:val="00A604CD"/>
    <w:rsid w:val="00A60E3D"/>
    <w:rsid w:val="00A61E06"/>
    <w:rsid w:val="00A61E84"/>
    <w:rsid w:val="00A62F1F"/>
    <w:rsid w:val="00A62F2C"/>
    <w:rsid w:val="00A64340"/>
    <w:rsid w:val="00A66110"/>
    <w:rsid w:val="00A679CC"/>
    <w:rsid w:val="00A71049"/>
    <w:rsid w:val="00A71DB3"/>
    <w:rsid w:val="00A71E45"/>
    <w:rsid w:val="00A72EFB"/>
    <w:rsid w:val="00A7327F"/>
    <w:rsid w:val="00A7416F"/>
    <w:rsid w:val="00A74EE0"/>
    <w:rsid w:val="00A74FA8"/>
    <w:rsid w:val="00A7502D"/>
    <w:rsid w:val="00A750A8"/>
    <w:rsid w:val="00A75516"/>
    <w:rsid w:val="00A75BC7"/>
    <w:rsid w:val="00A75E8E"/>
    <w:rsid w:val="00A75ECE"/>
    <w:rsid w:val="00A77CF7"/>
    <w:rsid w:val="00A80690"/>
    <w:rsid w:val="00A81037"/>
    <w:rsid w:val="00A810E5"/>
    <w:rsid w:val="00A812E9"/>
    <w:rsid w:val="00A82220"/>
    <w:rsid w:val="00A82E7A"/>
    <w:rsid w:val="00A833F4"/>
    <w:rsid w:val="00A8421C"/>
    <w:rsid w:val="00A85064"/>
    <w:rsid w:val="00A87535"/>
    <w:rsid w:val="00A8792D"/>
    <w:rsid w:val="00A91719"/>
    <w:rsid w:val="00A91BFD"/>
    <w:rsid w:val="00A92450"/>
    <w:rsid w:val="00A93737"/>
    <w:rsid w:val="00A94983"/>
    <w:rsid w:val="00A94E53"/>
    <w:rsid w:val="00AA0F73"/>
    <w:rsid w:val="00AA1642"/>
    <w:rsid w:val="00AA1895"/>
    <w:rsid w:val="00AA223D"/>
    <w:rsid w:val="00AA3171"/>
    <w:rsid w:val="00AA4232"/>
    <w:rsid w:val="00AA52A5"/>
    <w:rsid w:val="00AA53B2"/>
    <w:rsid w:val="00AB015F"/>
    <w:rsid w:val="00AB028D"/>
    <w:rsid w:val="00AB0F60"/>
    <w:rsid w:val="00AB21A3"/>
    <w:rsid w:val="00AB4355"/>
    <w:rsid w:val="00AB445A"/>
    <w:rsid w:val="00AB4A1B"/>
    <w:rsid w:val="00AB5371"/>
    <w:rsid w:val="00AB546A"/>
    <w:rsid w:val="00AB7847"/>
    <w:rsid w:val="00AC0852"/>
    <w:rsid w:val="00AC0CF2"/>
    <w:rsid w:val="00AC13D9"/>
    <w:rsid w:val="00AC196E"/>
    <w:rsid w:val="00AC2C18"/>
    <w:rsid w:val="00AC4A36"/>
    <w:rsid w:val="00AC507A"/>
    <w:rsid w:val="00AC5264"/>
    <w:rsid w:val="00AC6419"/>
    <w:rsid w:val="00AD01A5"/>
    <w:rsid w:val="00AD0236"/>
    <w:rsid w:val="00AD0597"/>
    <w:rsid w:val="00AD1298"/>
    <w:rsid w:val="00AD1B51"/>
    <w:rsid w:val="00AD23AB"/>
    <w:rsid w:val="00AD2C3F"/>
    <w:rsid w:val="00AD3617"/>
    <w:rsid w:val="00AD3ED4"/>
    <w:rsid w:val="00AD3FE1"/>
    <w:rsid w:val="00AD42CC"/>
    <w:rsid w:val="00AD43FD"/>
    <w:rsid w:val="00AD44C1"/>
    <w:rsid w:val="00AD46CA"/>
    <w:rsid w:val="00AD4A6B"/>
    <w:rsid w:val="00AD4D7B"/>
    <w:rsid w:val="00AD569D"/>
    <w:rsid w:val="00AE02F0"/>
    <w:rsid w:val="00AE0F0D"/>
    <w:rsid w:val="00AE107C"/>
    <w:rsid w:val="00AE11C0"/>
    <w:rsid w:val="00AE1CF9"/>
    <w:rsid w:val="00AE2191"/>
    <w:rsid w:val="00AE2574"/>
    <w:rsid w:val="00AE5108"/>
    <w:rsid w:val="00AE5644"/>
    <w:rsid w:val="00AE7631"/>
    <w:rsid w:val="00AE7E1C"/>
    <w:rsid w:val="00AE7EFA"/>
    <w:rsid w:val="00AF2978"/>
    <w:rsid w:val="00AF3583"/>
    <w:rsid w:val="00AF47FB"/>
    <w:rsid w:val="00AF5871"/>
    <w:rsid w:val="00AF6497"/>
    <w:rsid w:val="00AF6584"/>
    <w:rsid w:val="00AF6993"/>
    <w:rsid w:val="00AF7281"/>
    <w:rsid w:val="00B00484"/>
    <w:rsid w:val="00B008A1"/>
    <w:rsid w:val="00B008A9"/>
    <w:rsid w:val="00B008BB"/>
    <w:rsid w:val="00B00F24"/>
    <w:rsid w:val="00B01300"/>
    <w:rsid w:val="00B04BC3"/>
    <w:rsid w:val="00B103EC"/>
    <w:rsid w:val="00B122B3"/>
    <w:rsid w:val="00B135EE"/>
    <w:rsid w:val="00B137E3"/>
    <w:rsid w:val="00B13E4D"/>
    <w:rsid w:val="00B147A6"/>
    <w:rsid w:val="00B149C1"/>
    <w:rsid w:val="00B14F39"/>
    <w:rsid w:val="00B168FF"/>
    <w:rsid w:val="00B177C8"/>
    <w:rsid w:val="00B17F1A"/>
    <w:rsid w:val="00B20818"/>
    <w:rsid w:val="00B22F54"/>
    <w:rsid w:val="00B236A1"/>
    <w:rsid w:val="00B23BA3"/>
    <w:rsid w:val="00B23F24"/>
    <w:rsid w:val="00B256EF"/>
    <w:rsid w:val="00B25C23"/>
    <w:rsid w:val="00B27BC9"/>
    <w:rsid w:val="00B309A1"/>
    <w:rsid w:val="00B3317E"/>
    <w:rsid w:val="00B34114"/>
    <w:rsid w:val="00B34A7C"/>
    <w:rsid w:val="00B34F6C"/>
    <w:rsid w:val="00B352E2"/>
    <w:rsid w:val="00B36BE7"/>
    <w:rsid w:val="00B36E7E"/>
    <w:rsid w:val="00B370DD"/>
    <w:rsid w:val="00B37AA0"/>
    <w:rsid w:val="00B40925"/>
    <w:rsid w:val="00B42CD6"/>
    <w:rsid w:val="00B42E7F"/>
    <w:rsid w:val="00B434E2"/>
    <w:rsid w:val="00B43544"/>
    <w:rsid w:val="00B43AF0"/>
    <w:rsid w:val="00B43D06"/>
    <w:rsid w:val="00B4618B"/>
    <w:rsid w:val="00B50ECA"/>
    <w:rsid w:val="00B5115C"/>
    <w:rsid w:val="00B51586"/>
    <w:rsid w:val="00B5178E"/>
    <w:rsid w:val="00B526D4"/>
    <w:rsid w:val="00B54FCF"/>
    <w:rsid w:val="00B5655E"/>
    <w:rsid w:val="00B56EF1"/>
    <w:rsid w:val="00B57003"/>
    <w:rsid w:val="00B57D64"/>
    <w:rsid w:val="00B60D7C"/>
    <w:rsid w:val="00B60DC0"/>
    <w:rsid w:val="00B60F11"/>
    <w:rsid w:val="00B618F6"/>
    <w:rsid w:val="00B61B96"/>
    <w:rsid w:val="00B62161"/>
    <w:rsid w:val="00B62D08"/>
    <w:rsid w:val="00B63310"/>
    <w:rsid w:val="00B6455B"/>
    <w:rsid w:val="00B661C1"/>
    <w:rsid w:val="00B67289"/>
    <w:rsid w:val="00B67410"/>
    <w:rsid w:val="00B67920"/>
    <w:rsid w:val="00B67DDD"/>
    <w:rsid w:val="00B70AE5"/>
    <w:rsid w:val="00B70DE4"/>
    <w:rsid w:val="00B73F39"/>
    <w:rsid w:val="00B744ED"/>
    <w:rsid w:val="00B74B0F"/>
    <w:rsid w:val="00B76A3D"/>
    <w:rsid w:val="00B77173"/>
    <w:rsid w:val="00B77BA2"/>
    <w:rsid w:val="00B805F3"/>
    <w:rsid w:val="00B820B5"/>
    <w:rsid w:val="00B8339E"/>
    <w:rsid w:val="00B84065"/>
    <w:rsid w:val="00B84F58"/>
    <w:rsid w:val="00B8501F"/>
    <w:rsid w:val="00B850AF"/>
    <w:rsid w:val="00B85CCA"/>
    <w:rsid w:val="00B86DD5"/>
    <w:rsid w:val="00B8744E"/>
    <w:rsid w:val="00B87604"/>
    <w:rsid w:val="00B87AF0"/>
    <w:rsid w:val="00B87BE9"/>
    <w:rsid w:val="00B87E1F"/>
    <w:rsid w:val="00B91D99"/>
    <w:rsid w:val="00B93FC7"/>
    <w:rsid w:val="00B94111"/>
    <w:rsid w:val="00B95763"/>
    <w:rsid w:val="00B95E69"/>
    <w:rsid w:val="00B965C1"/>
    <w:rsid w:val="00B968E8"/>
    <w:rsid w:val="00B97FD6"/>
    <w:rsid w:val="00BA25D4"/>
    <w:rsid w:val="00BA3C49"/>
    <w:rsid w:val="00BA412D"/>
    <w:rsid w:val="00BA46F9"/>
    <w:rsid w:val="00BA4E6C"/>
    <w:rsid w:val="00BA4F82"/>
    <w:rsid w:val="00BA5882"/>
    <w:rsid w:val="00BA611F"/>
    <w:rsid w:val="00BA6A7B"/>
    <w:rsid w:val="00BA71AE"/>
    <w:rsid w:val="00BA7E32"/>
    <w:rsid w:val="00BB0566"/>
    <w:rsid w:val="00BB2B86"/>
    <w:rsid w:val="00BB356C"/>
    <w:rsid w:val="00BB3E25"/>
    <w:rsid w:val="00BB4C30"/>
    <w:rsid w:val="00BB5737"/>
    <w:rsid w:val="00BB5B46"/>
    <w:rsid w:val="00BB5BB6"/>
    <w:rsid w:val="00BB616B"/>
    <w:rsid w:val="00BB65CB"/>
    <w:rsid w:val="00BB6B84"/>
    <w:rsid w:val="00BB710F"/>
    <w:rsid w:val="00BB71C4"/>
    <w:rsid w:val="00BC03C4"/>
    <w:rsid w:val="00BC0E03"/>
    <w:rsid w:val="00BC1586"/>
    <w:rsid w:val="00BC1A3E"/>
    <w:rsid w:val="00BC2453"/>
    <w:rsid w:val="00BC2D11"/>
    <w:rsid w:val="00BC39FB"/>
    <w:rsid w:val="00BC3BEF"/>
    <w:rsid w:val="00BC43D2"/>
    <w:rsid w:val="00BC4773"/>
    <w:rsid w:val="00BC6E54"/>
    <w:rsid w:val="00BD0129"/>
    <w:rsid w:val="00BD0499"/>
    <w:rsid w:val="00BD1835"/>
    <w:rsid w:val="00BD1E5A"/>
    <w:rsid w:val="00BD2670"/>
    <w:rsid w:val="00BD3BA5"/>
    <w:rsid w:val="00BD4A10"/>
    <w:rsid w:val="00BD6DA6"/>
    <w:rsid w:val="00BD6F9A"/>
    <w:rsid w:val="00BD78E5"/>
    <w:rsid w:val="00BD7C7C"/>
    <w:rsid w:val="00BD7FE6"/>
    <w:rsid w:val="00BE06FB"/>
    <w:rsid w:val="00BE105F"/>
    <w:rsid w:val="00BE2F2E"/>
    <w:rsid w:val="00BE3961"/>
    <w:rsid w:val="00BE3FB0"/>
    <w:rsid w:val="00BE4A03"/>
    <w:rsid w:val="00BE5357"/>
    <w:rsid w:val="00BE5806"/>
    <w:rsid w:val="00BE606A"/>
    <w:rsid w:val="00BE675B"/>
    <w:rsid w:val="00BE6A8A"/>
    <w:rsid w:val="00BE70B8"/>
    <w:rsid w:val="00BE7EB1"/>
    <w:rsid w:val="00BF0D27"/>
    <w:rsid w:val="00BF0F16"/>
    <w:rsid w:val="00BF26C1"/>
    <w:rsid w:val="00BF48E5"/>
    <w:rsid w:val="00BF5A13"/>
    <w:rsid w:val="00BF5FA1"/>
    <w:rsid w:val="00BF61D3"/>
    <w:rsid w:val="00BF785C"/>
    <w:rsid w:val="00BF7914"/>
    <w:rsid w:val="00C00D39"/>
    <w:rsid w:val="00C01691"/>
    <w:rsid w:val="00C01714"/>
    <w:rsid w:val="00C0237F"/>
    <w:rsid w:val="00C032C6"/>
    <w:rsid w:val="00C03D40"/>
    <w:rsid w:val="00C04B7D"/>
    <w:rsid w:val="00C062F6"/>
    <w:rsid w:val="00C07241"/>
    <w:rsid w:val="00C123A9"/>
    <w:rsid w:val="00C12D8F"/>
    <w:rsid w:val="00C1342A"/>
    <w:rsid w:val="00C14846"/>
    <w:rsid w:val="00C16847"/>
    <w:rsid w:val="00C1768A"/>
    <w:rsid w:val="00C21941"/>
    <w:rsid w:val="00C26B44"/>
    <w:rsid w:val="00C26C64"/>
    <w:rsid w:val="00C277C8"/>
    <w:rsid w:val="00C3001D"/>
    <w:rsid w:val="00C311D0"/>
    <w:rsid w:val="00C31ADC"/>
    <w:rsid w:val="00C33460"/>
    <w:rsid w:val="00C355AE"/>
    <w:rsid w:val="00C3579A"/>
    <w:rsid w:val="00C35905"/>
    <w:rsid w:val="00C37304"/>
    <w:rsid w:val="00C40BF9"/>
    <w:rsid w:val="00C41718"/>
    <w:rsid w:val="00C42F00"/>
    <w:rsid w:val="00C43C7C"/>
    <w:rsid w:val="00C44641"/>
    <w:rsid w:val="00C466C3"/>
    <w:rsid w:val="00C46C80"/>
    <w:rsid w:val="00C4713D"/>
    <w:rsid w:val="00C47587"/>
    <w:rsid w:val="00C478E3"/>
    <w:rsid w:val="00C47B8B"/>
    <w:rsid w:val="00C505A1"/>
    <w:rsid w:val="00C50B99"/>
    <w:rsid w:val="00C50C95"/>
    <w:rsid w:val="00C51DEF"/>
    <w:rsid w:val="00C52312"/>
    <w:rsid w:val="00C53B64"/>
    <w:rsid w:val="00C53F67"/>
    <w:rsid w:val="00C543B2"/>
    <w:rsid w:val="00C5484D"/>
    <w:rsid w:val="00C54FD0"/>
    <w:rsid w:val="00C56774"/>
    <w:rsid w:val="00C57CC5"/>
    <w:rsid w:val="00C600B0"/>
    <w:rsid w:val="00C60BA3"/>
    <w:rsid w:val="00C60EE6"/>
    <w:rsid w:val="00C6130D"/>
    <w:rsid w:val="00C615D0"/>
    <w:rsid w:val="00C615E5"/>
    <w:rsid w:val="00C619A4"/>
    <w:rsid w:val="00C61CD3"/>
    <w:rsid w:val="00C62394"/>
    <w:rsid w:val="00C6274C"/>
    <w:rsid w:val="00C627BC"/>
    <w:rsid w:val="00C62F0E"/>
    <w:rsid w:val="00C638FF"/>
    <w:rsid w:val="00C63AEE"/>
    <w:rsid w:val="00C63E99"/>
    <w:rsid w:val="00C64981"/>
    <w:rsid w:val="00C65A5D"/>
    <w:rsid w:val="00C66D4C"/>
    <w:rsid w:val="00C72090"/>
    <w:rsid w:val="00C74CE4"/>
    <w:rsid w:val="00C76089"/>
    <w:rsid w:val="00C76553"/>
    <w:rsid w:val="00C77B34"/>
    <w:rsid w:val="00C81134"/>
    <w:rsid w:val="00C83913"/>
    <w:rsid w:val="00C839B7"/>
    <w:rsid w:val="00C83C94"/>
    <w:rsid w:val="00C848F4"/>
    <w:rsid w:val="00C86049"/>
    <w:rsid w:val="00C87E98"/>
    <w:rsid w:val="00C9248F"/>
    <w:rsid w:val="00C9378C"/>
    <w:rsid w:val="00C93B5C"/>
    <w:rsid w:val="00C93FE7"/>
    <w:rsid w:val="00C94CEC"/>
    <w:rsid w:val="00C95461"/>
    <w:rsid w:val="00C95884"/>
    <w:rsid w:val="00C96DB0"/>
    <w:rsid w:val="00CA1749"/>
    <w:rsid w:val="00CA205D"/>
    <w:rsid w:val="00CA2D61"/>
    <w:rsid w:val="00CA312B"/>
    <w:rsid w:val="00CA353A"/>
    <w:rsid w:val="00CA39FD"/>
    <w:rsid w:val="00CA3F11"/>
    <w:rsid w:val="00CA4001"/>
    <w:rsid w:val="00CA52C1"/>
    <w:rsid w:val="00CA52F2"/>
    <w:rsid w:val="00CA5682"/>
    <w:rsid w:val="00CA67F0"/>
    <w:rsid w:val="00CA769E"/>
    <w:rsid w:val="00CB0431"/>
    <w:rsid w:val="00CB0D7A"/>
    <w:rsid w:val="00CB123A"/>
    <w:rsid w:val="00CB1C1B"/>
    <w:rsid w:val="00CB1EB4"/>
    <w:rsid w:val="00CB1F71"/>
    <w:rsid w:val="00CB20B8"/>
    <w:rsid w:val="00CB244C"/>
    <w:rsid w:val="00CB255F"/>
    <w:rsid w:val="00CB2FA1"/>
    <w:rsid w:val="00CB3A6E"/>
    <w:rsid w:val="00CB4584"/>
    <w:rsid w:val="00CB4714"/>
    <w:rsid w:val="00CB5465"/>
    <w:rsid w:val="00CB56E6"/>
    <w:rsid w:val="00CB5A09"/>
    <w:rsid w:val="00CB5A0D"/>
    <w:rsid w:val="00CB5B81"/>
    <w:rsid w:val="00CB61E1"/>
    <w:rsid w:val="00CB6D77"/>
    <w:rsid w:val="00CB76F1"/>
    <w:rsid w:val="00CB7BCF"/>
    <w:rsid w:val="00CC01A6"/>
    <w:rsid w:val="00CC06DB"/>
    <w:rsid w:val="00CC194E"/>
    <w:rsid w:val="00CC1B8C"/>
    <w:rsid w:val="00CC3074"/>
    <w:rsid w:val="00CC3698"/>
    <w:rsid w:val="00CC3984"/>
    <w:rsid w:val="00CC39F5"/>
    <w:rsid w:val="00CC65A7"/>
    <w:rsid w:val="00CC6AED"/>
    <w:rsid w:val="00CD0A6F"/>
    <w:rsid w:val="00CD26BE"/>
    <w:rsid w:val="00CD2E06"/>
    <w:rsid w:val="00CD3405"/>
    <w:rsid w:val="00CD37F7"/>
    <w:rsid w:val="00CD427A"/>
    <w:rsid w:val="00CD59F7"/>
    <w:rsid w:val="00CD5AFD"/>
    <w:rsid w:val="00CD5B6C"/>
    <w:rsid w:val="00CD673F"/>
    <w:rsid w:val="00CD6D74"/>
    <w:rsid w:val="00CD78CF"/>
    <w:rsid w:val="00CD79CB"/>
    <w:rsid w:val="00CE0233"/>
    <w:rsid w:val="00CE0E66"/>
    <w:rsid w:val="00CE15F8"/>
    <w:rsid w:val="00CE2B92"/>
    <w:rsid w:val="00CE3E90"/>
    <w:rsid w:val="00CE46E9"/>
    <w:rsid w:val="00CE4984"/>
    <w:rsid w:val="00CE4D4B"/>
    <w:rsid w:val="00CE5498"/>
    <w:rsid w:val="00CE55F3"/>
    <w:rsid w:val="00CE5A22"/>
    <w:rsid w:val="00CE6D34"/>
    <w:rsid w:val="00CE709E"/>
    <w:rsid w:val="00CE775B"/>
    <w:rsid w:val="00CF01D6"/>
    <w:rsid w:val="00CF03A5"/>
    <w:rsid w:val="00CF0F0F"/>
    <w:rsid w:val="00CF327E"/>
    <w:rsid w:val="00CF3CCA"/>
    <w:rsid w:val="00CF7A0E"/>
    <w:rsid w:val="00CF7FF7"/>
    <w:rsid w:val="00D00956"/>
    <w:rsid w:val="00D0120B"/>
    <w:rsid w:val="00D020EA"/>
    <w:rsid w:val="00D02818"/>
    <w:rsid w:val="00D0317A"/>
    <w:rsid w:val="00D03226"/>
    <w:rsid w:val="00D0333A"/>
    <w:rsid w:val="00D0338E"/>
    <w:rsid w:val="00D036FB"/>
    <w:rsid w:val="00D064EB"/>
    <w:rsid w:val="00D068CD"/>
    <w:rsid w:val="00D06BF5"/>
    <w:rsid w:val="00D071D5"/>
    <w:rsid w:val="00D12C47"/>
    <w:rsid w:val="00D132E1"/>
    <w:rsid w:val="00D14A33"/>
    <w:rsid w:val="00D14B2D"/>
    <w:rsid w:val="00D1566F"/>
    <w:rsid w:val="00D16029"/>
    <w:rsid w:val="00D16283"/>
    <w:rsid w:val="00D178D6"/>
    <w:rsid w:val="00D17B9B"/>
    <w:rsid w:val="00D216BA"/>
    <w:rsid w:val="00D22F94"/>
    <w:rsid w:val="00D23FC0"/>
    <w:rsid w:val="00D241FA"/>
    <w:rsid w:val="00D24556"/>
    <w:rsid w:val="00D245E3"/>
    <w:rsid w:val="00D2487F"/>
    <w:rsid w:val="00D25B03"/>
    <w:rsid w:val="00D2678C"/>
    <w:rsid w:val="00D26A14"/>
    <w:rsid w:val="00D2719C"/>
    <w:rsid w:val="00D27A0F"/>
    <w:rsid w:val="00D30015"/>
    <w:rsid w:val="00D30074"/>
    <w:rsid w:val="00D34256"/>
    <w:rsid w:val="00D345FB"/>
    <w:rsid w:val="00D3508E"/>
    <w:rsid w:val="00D352C3"/>
    <w:rsid w:val="00D36461"/>
    <w:rsid w:val="00D37312"/>
    <w:rsid w:val="00D40D3A"/>
    <w:rsid w:val="00D41459"/>
    <w:rsid w:val="00D41AAE"/>
    <w:rsid w:val="00D429CD"/>
    <w:rsid w:val="00D43284"/>
    <w:rsid w:val="00D43629"/>
    <w:rsid w:val="00D43CA3"/>
    <w:rsid w:val="00D44543"/>
    <w:rsid w:val="00D45093"/>
    <w:rsid w:val="00D4604B"/>
    <w:rsid w:val="00D46855"/>
    <w:rsid w:val="00D471B2"/>
    <w:rsid w:val="00D47254"/>
    <w:rsid w:val="00D50071"/>
    <w:rsid w:val="00D5020D"/>
    <w:rsid w:val="00D50E9B"/>
    <w:rsid w:val="00D52688"/>
    <w:rsid w:val="00D52EF9"/>
    <w:rsid w:val="00D53360"/>
    <w:rsid w:val="00D5501B"/>
    <w:rsid w:val="00D55FE0"/>
    <w:rsid w:val="00D57BD7"/>
    <w:rsid w:val="00D60172"/>
    <w:rsid w:val="00D60D98"/>
    <w:rsid w:val="00D6194A"/>
    <w:rsid w:val="00D61ED7"/>
    <w:rsid w:val="00D624B3"/>
    <w:rsid w:val="00D64442"/>
    <w:rsid w:val="00D64509"/>
    <w:rsid w:val="00D65F79"/>
    <w:rsid w:val="00D663AA"/>
    <w:rsid w:val="00D667C0"/>
    <w:rsid w:val="00D669DC"/>
    <w:rsid w:val="00D677DD"/>
    <w:rsid w:val="00D67BDD"/>
    <w:rsid w:val="00D67D8B"/>
    <w:rsid w:val="00D700F5"/>
    <w:rsid w:val="00D70E1A"/>
    <w:rsid w:val="00D72218"/>
    <w:rsid w:val="00D762CD"/>
    <w:rsid w:val="00D775F9"/>
    <w:rsid w:val="00D77C69"/>
    <w:rsid w:val="00D81037"/>
    <w:rsid w:val="00D81BFD"/>
    <w:rsid w:val="00D85790"/>
    <w:rsid w:val="00D8678A"/>
    <w:rsid w:val="00D878C3"/>
    <w:rsid w:val="00D90BA7"/>
    <w:rsid w:val="00D9220E"/>
    <w:rsid w:val="00D92304"/>
    <w:rsid w:val="00D93386"/>
    <w:rsid w:val="00D93416"/>
    <w:rsid w:val="00D95C50"/>
    <w:rsid w:val="00D9653C"/>
    <w:rsid w:val="00D9786A"/>
    <w:rsid w:val="00DA01C5"/>
    <w:rsid w:val="00DA0943"/>
    <w:rsid w:val="00DA2005"/>
    <w:rsid w:val="00DA2363"/>
    <w:rsid w:val="00DA2DD9"/>
    <w:rsid w:val="00DA2ED0"/>
    <w:rsid w:val="00DA5AA4"/>
    <w:rsid w:val="00DA5C53"/>
    <w:rsid w:val="00DB04D8"/>
    <w:rsid w:val="00DB14C5"/>
    <w:rsid w:val="00DB166B"/>
    <w:rsid w:val="00DB2077"/>
    <w:rsid w:val="00DB31CA"/>
    <w:rsid w:val="00DB3F9A"/>
    <w:rsid w:val="00DB4AD9"/>
    <w:rsid w:val="00DB67DF"/>
    <w:rsid w:val="00DB6835"/>
    <w:rsid w:val="00DB6B26"/>
    <w:rsid w:val="00DB727B"/>
    <w:rsid w:val="00DB7319"/>
    <w:rsid w:val="00DB7A2D"/>
    <w:rsid w:val="00DC05B3"/>
    <w:rsid w:val="00DC0CE2"/>
    <w:rsid w:val="00DC1477"/>
    <w:rsid w:val="00DC2A5B"/>
    <w:rsid w:val="00DC37D8"/>
    <w:rsid w:val="00DC438F"/>
    <w:rsid w:val="00DC5644"/>
    <w:rsid w:val="00DC6194"/>
    <w:rsid w:val="00DC6B8C"/>
    <w:rsid w:val="00DC7D4A"/>
    <w:rsid w:val="00DC7E0D"/>
    <w:rsid w:val="00DD0589"/>
    <w:rsid w:val="00DD1735"/>
    <w:rsid w:val="00DD4250"/>
    <w:rsid w:val="00DD4679"/>
    <w:rsid w:val="00DD59EC"/>
    <w:rsid w:val="00DD7438"/>
    <w:rsid w:val="00DD7785"/>
    <w:rsid w:val="00DD7EEB"/>
    <w:rsid w:val="00DE093E"/>
    <w:rsid w:val="00DE1A22"/>
    <w:rsid w:val="00DE246A"/>
    <w:rsid w:val="00DE27CD"/>
    <w:rsid w:val="00DE59E7"/>
    <w:rsid w:val="00DE6C27"/>
    <w:rsid w:val="00DF1D70"/>
    <w:rsid w:val="00DF2136"/>
    <w:rsid w:val="00DF2B73"/>
    <w:rsid w:val="00DF3C3E"/>
    <w:rsid w:val="00DF44EF"/>
    <w:rsid w:val="00DF58DB"/>
    <w:rsid w:val="00DF591B"/>
    <w:rsid w:val="00DF5A1D"/>
    <w:rsid w:val="00DF5D16"/>
    <w:rsid w:val="00DF5F79"/>
    <w:rsid w:val="00DF6A6A"/>
    <w:rsid w:val="00DF7F02"/>
    <w:rsid w:val="00E01E30"/>
    <w:rsid w:val="00E02147"/>
    <w:rsid w:val="00E02191"/>
    <w:rsid w:val="00E02349"/>
    <w:rsid w:val="00E048C4"/>
    <w:rsid w:val="00E0501B"/>
    <w:rsid w:val="00E06735"/>
    <w:rsid w:val="00E06B07"/>
    <w:rsid w:val="00E07A2B"/>
    <w:rsid w:val="00E07C97"/>
    <w:rsid w:val="00E07D4C"/>
    <w:rsid w:val="00E104FE"/>
    <w:rsid w:val="00E108ED"/>
    <w:rsid w:val="00E10D9F"/>
    <w:rsid w:val="00E1223A"/>
    <w:rsid w:val="00E14E4F"/>
    <w:rsid w:val="00E15FD1"/>
    <w:rsid w:val="00E175BE"/>
    <w:rsid w:val="00E1787D"/>
    <w:rsid w:val="00E17B1D"/>
    <w:rsid w:val="00E21CD5"/>
    <w:rsid w:val="00E21F59"/>
    <w:rsid w:val="00E2222B"/>
    <w:rsid w:val="00E2246B"/>
    <w:rsid w:val="00E22C23"/>
    <w:rsid w:val="00E23307"/>
    <w:rsid w:val="00E23856"/>
    <w:rsid w:val="00E25C43"/>
    <w:rsid w:val="00E25DAF"/>
    <w:rsid w:val="00E264CC"/>
    <w:rsid w:val="00E269DF"/>
    <w:rsid w:val="00E30581"/>
    <w:rsid w:val="00E30C09"/>
    <w:rsid w:val="00E30FF1"/>
    <w:rsid w:val="00E31B3D"/>
    <w:rsid w:val="00E31F32"/>
    <w:rsid w:val="00E35862"/>
    <w:rsid w:val="00E35CCD"/>
    <w:rsid w:val="00E35F9A"/>
    <w:rsid w:val="00E36623"/>
    <w:rsid w:val="00E3782A"/>
    <w:rsid w:val="00E409B7"/>
    <w:rsid w:val="00E41634"/>
    <w:rsid w:val="00E4188E"/>
    <w:rsid w:val="00E42FA0"/>
    <w:rsid w:val="00E43586"/>
    <w:rsid w:val="00E44010"/>
    <w:rsid w:val="00E4498F"/>
    <w:rsid w:val="00E455C0"/>
    <w:rsid w:val="00E45944"/>
    <w:rsid w:val="00E46939"/>
    <w:rsid w:val="00E473FB"/>
    <w:rsid w:val="00E47530"/>
    <w:rsid w:val="00E50A01"/>
    <w:rsid w:val="00E521F8"/>
    <w:rsid w:val="00E52F9E"/>
    <w:rsid w:val="00E5374F"/>
    <w:rsid w:val="00E546D7"/>
    <w:rsid w:val="00E54965"/>
    <w:rsid w:val="00E54A8D"/>
    <w:rsid w:val="00E54AF5"/>
    <w:rsid w:val="00E54ECC"/>
    <w:rsid w:val="00E566F4"/>
    <w:rsid w:val="00E57B28"/>
    <w:rsid w:val="00E61577"/>
    <w:rsid w:val="00E626D3"/>
    <w:rsid w:val="00E638B0"/>
    <w:rsid w:val="00E638B5"/>
    <w:rsid w:val="00E6428B"/>
    <w:rsid w:val="00E6487D"/>
    <w:rsid w:val="00E64AEA"/>
    <w:rsid w:val="00E64B73"/>
    <w:rsid w:val="00E664E2"/>
    <w:rsid w:val="00E67019"/>
    <w:rsid w:val="00E70959"/>
    <w:rsid w:val="00E71530"/>
    <w:rsid w:val="00E71709"/>
    <w:rsid w:val="00E71945"/>
    <w:rsid w:val="00E71D8D"/>
    <w:rsid w:val="00E72E35"/>
    <w:rsid w:val="00E73239"/>
    <w:rsid w:val="00E74D9C"/>
    <w:rsid w:val="00E75E22"/>
    <w:rsid w:val="00E76920"/>
    <w:rsid w:val="00E76D77"/>
    <w:rsid w:val="00E77FDF"/>
    <w:rsid w:val="00E807A0"/>
    <w:rsid w:val="00E81005"/>
    <w:rsid w:val="00E817E0"/>
    <w:rsid w:val="00E841AF"/>
    <w:rsid w:val="00E863FE"/>
    <w:rsid w:val="00E86518"/>
    <w:rsid w:val="00E873DF"/>
    <w:rsid w:val="00E907B9"/>
    <w:rsid w:val="00E90DE0"/>
    <w:rsid w:val="00E9122E"/>
    <w:rsid w:val="00E91B33"/>
    <w:rsid w:val="00E930DA"/>
    <w:rsid w:val="00E93833"/>
    <w:rsid w:val="00E9391E"/>
    <w:rsid w:val="00E94DB6"/>
    <w:rsid w:val="00E95029"/>
    <w:rsid w:val="00E95D20"/>
    <w:rsid w:val="00E961DF"/>
    <w:rsid w:val="00E96A1A"/>
    <w:rsid w:val="00E96AAA"/>
    <w:rsid w:val="00E97320"/>
    <w:rsid w:val="00E97FC9"/>
    <w:rsid w:val="00EA1212"/>
    <w:rsid w:val="00EA1ABD"/>
    <w:rsid w:val="00EA1F98"/>
    <w:rsid w:val="00EA63A4"/>
    <w:rsid w:val="00EA6572"/>
    <w:rsid w:val="00EA75DB"/>
    <w:rsid w:val="00EB09EE"/>
    <w:rsid w:val="00EB0CCE"/>
    <w:rsid w:val="00EB1E19"/>
    <w:rsid w:val="00EB3185"/>
    <w:rsid w:val="00EB3CED"/>
    <w:rsid w:val="00EB3F5D"/>
    <w:rsid w:val="00EB49B2"/>
    <w:rsid w:val="00EB4E32"/>
    <w:rsid w:val="00EB4F76"/>
    <w:rsid w:val="00EB5506"/>
    <w:rsid w:val="00EB554E"/>
    <w:rsid w:val="00EB56B6"/>
    <w:rsid w:val="00EB5805"/>
    <w:rsid w:val="00EB6B9F"/>
    <w:rsid w:val="00EB7564"/>
    <w:rsid w:val="00EB7B43"/>
    <w:rsid w:val="00EC0B89"/>
    <w:rsid w:val="00EC1038"/>
    <w:rsid w:val="00EC262F"/>
    <w:rsid w:val="00EC2FF5"/>
    <w:rsid w:val="00EC3DE1"/>
    <w:rsid w:val="00ED0082"/>
    <w:rsid w:val="00ED07E0"/>
    <w:rsid w:val="00ED14BD"/>
    <w:rsid w:val="00ED15ED"/>
    <w:rsid w:val="00ED281D"/>
    <w:rsid w:val="00ED3944"/>
    <w:rsid w:val="00ED512D"/>
    <w:rsid w:val="00ED563D"/>
    <w:rsid w:val="00ED6237"/>
    <w:rsid w:val="00ED66F8"/>
    <w:rsid w:val="00ED7AEA"/>
    <w:rsid w:val="00ED7EBA"/>
    <w:rsid w:val="00EE19A2"/>
    <w:rsid w:val="00EE2396"/>
    <w:rsid w:val="00EE27C3"/>
    <w:rsid w:val="00EE3AF8"/>
    <w:rsid w:val="00EE40C4"/>
    <w:rsid w:val="00EE4E57"/>
    <w:rsid w:val="00EE4EF6"/>
    <w:rsid w:val="00EE4F8D"/>
    <w:rsid w:val="00EE51CC"/>
    <w:rsid w:val="00EE5690"/>
    <w:rsid w:val="00EE5DAE"/>
    <w:rsid w:val="00EE674C"/>
    <w:rsid w:val="00EF0090"/>
    <w:rsid w:val="00EF06ED"/>
    <w:rsid w:val="00EF1B0C"/>
    <w:rsid w:val="00EF2295"/>
    <w:rsid w:val="00EF2E29"/>
    <w:rsid w:val="00EF30B4"/>
    <w:rsid w:val="00EF30C3"/>
    <w:rsid w:val="00EF45B2"/>
    <w:rsid w:val="00EF496B"/>
    <w:rsid w:val="00EF5B19"/>
    <w:rsid w:val="00EF5B8E"/>
    <w:rsid w:val="00EF6697"/>
    <w:rsid w:val="00EF6EEA"/>
    <w:rsid w:val="00EF6F13"/>
    <w:rsid w:val="00EF72C4"/>
    <w:rsid w:val="00EF7E33"/>
    <w:rsid w:val="00F01AE7"/>
    <w:rsid w:val="00F01FEC"/>
    <w:rsid w:val="00F028F6"/>
    <w:rsid w:val="00F03B91"/>
    <w:rsid w:val="00F03E18"/>
    <w:rsid w:val="00F042EA"/>
    <w:rsid w:val="00F04453"/>
    <w:rsid w:val="00F0617F"/>
    <w:rsid w:val="00F0673C"/>
    <w:rsid w:val="00F068DC"/>
    <w:rsid w:val="00F06C67"/>
    <w:rsid w:val="00F06DA8"/>
    <w:rsid w:val="00F078B3"/>
    <w:rsid w:val="00F10CF2"/>
    <w:rsid w:val="00F121B3"/>
    <w:rsid w:val="00F1231A"/>
    <w:rsid w:val="00F12611"/>
    <w:rsid w:val="00F12612"/>
    <w:rsid w:val="00F12A8A"/>
    <w:rsid w:val="00F12B9B"/>
    <w:rsid w:val="00F13BCE"/>
    <w:rsid w:val="00F14033"/>
    <w:rsid w:val="00F16D4F"/>
    <w:rsid w:val="00F17433"/>
    <w:rsid w:val="00F17F2F"/>
    <w:rsid w:val="00F202AF"/>
    <w:rsid w:val="00F20869"/>
    <w:rsid w:val="00F20DDF"/>
    <w:rsid w:val="00F20E75"/>
    <w:rsid w:val="00F21AEA"/>
    <w:rsid w:val="00F221D8"/>
    <w:rsid w:val="00F22232"/>
    <w:rsid w:val="00F231DA"/>
    <w:rsid w:val="00F23252"/>
    <w:rsid w:val="00F2353C"/>
    <w:rsid w:val="00F246B0"/>
    <w:rsid w:val="00F24F2B"/>
    <w:rsid w:val="00F25107"/>
    <w:rsid w:val="00F25B4E"/>
    <w:rsid w:val="00F260D8"/>
    <w:rsid w:val="00F270A1"/>
    <w:rsid w:val="00F2723C"/>
    <w:rsid w:val="00F2762E"/>
    <w:rsid w:val="00F3017E"/>
    <w:rsid w:val="00F309B2"/>
    <w:rsid w:val="00F320CA"/>
    <w:rsid w:val="00F33A66"/>
    <w:rsid w:val="00F34C01"/>
    <w:rsid w:val="00F35641"/>
    <w:rsid w:val="00F402AE"/>
    <w:rsid w:val="00F4103D"/>
    <w:rsid w:val="00F432DA"/>
    <w:rsid w:val="00F437B5"/>
    <w:rsid w:val="00F45037"/>
    <w:rsid w:val="00F45869"/>
    <w:rsid w:val="00F468F8"/>
    <w:rsid w:val="00F47CFD"/>
    <w:rsid w:val="00F50D53"/>
    <w:rsid w:val="00F50D5C"/>
    <w:rsid w:val="00F50DF9"/>
    <w:rsid w:val="00F50DFF"/>
    <w:rsid w:val="00F51D6C"/>
    <w:rsid w:val="00F51F3B"/>
    <w:rsid w:val="00F5351C"/>
    <w:rsid w:val="00F53A12"/>
    <w:rsid w:val="00F54F21"/>
    <w:rsid w:val="00F552A9"/>
    <w:rsid w:val="00F57C05"/>
    <w:rsid w:val="00F605A1"/>
    <w:rsid w:val="00F605CE"/>
    <w:rsid w:val="00F615F6"/>
    <w:rsid w:val="00F626AF"/>
    <w:rsid w:val="00F62BEE"/>
    <w:rsid w:val="00F6529D"/>
    <w:rsid w:val="00F667B2"/>
    <w:rsid w:val="00F67640"/>
    <w:rsid w:val="00F70D36"/>
    <w:rsid w:val="00F71CB4"/>
    <w:rsid w:val="00F71DED"/>
    <w:rsid w:val="00F72752"/>
    <w:rsid w:val="00F733B7"/>
    <w:rsid w:val="00F73CC5"/>
    <w:rsid w:val="00F746C0"/>
    <w:rsid w:val="00F75442"/>
    <w:rsid w:val="00F7685E"/>
    <w:rsid w:val="00F7737B"/>
    <w:rsid w:val="00F80ADD"/>
    <w:rsid w:val="00F80FA8"/>
    <w:rsid w:val="00F813EB"/>
    <w:rsid w:val="00F81922"/>
    <w:rsid w:val="00F82B70"/>
    <w:rsid w:val="00F83178"/>
    <w:rsid w:val="00F8379E"/>
    <w:rsid w:val="00F8448E"/>
    <w:rsid w:val="00F85476"/>
    <w:rsid w:val="00F85879"/>
    <w:rsid w:val="00F85DF8"/>
    <w:rsid w:val="00F86365"/>
    <w:rsid w:val="00F867E9"/>
    <w:rsid w:val="00F87030"/>
    <w:rsid w:val="00F870EF"/>
    <w:rsid w:val="00F87700"/>
    <w:rsid w:val="00F87B58"/>
    <w:rsid w:val="00F87F91"/>
    <w:rsid w:val="00F90039"/>
    <w:rsid w:val="00F91243"/>
    <w:rsid w:val="00F915F8"/>
    <w:rsid w:val="00F919B2"/>
    <w:rsid w:val="00F93086"/>
    <w:rsid w:val="00F937FF"/>
    <w:rsid w:val="00F93C3C"/>
    <w:rsid w:val="00F93FE9"/>
    <w:rsid w:val="00F944F9"/>
    <w:rsid w:val="00F95329"/>
    <w:rsid w:val="00F95495"/>
    <w:rsid w:val="00F95E5F"/>
    <w:rsid w:val="00F96036"/>
    <w:rsid w:val="00F97233"/>
    <w:rsid w:val="00FA1337"/>
    <w:rsid w:val="00FA13D7"/>
    <w:rsid w:val="00FA16A7"/>
    <w:rsid w:val="00FA201F"/>
    <w:rsid w:val="00FA3558"/>
    <w:rsid w:val="00FA460A"/>
    <w:rsid w:val="00FA4865"/>
    <w:rsid w:val="00FB06E3"/>
    <w:rsid w:val="00FB1ABB"/>
    <w:rsid w:val="00FB483C"/>
    <w:rsid w:val="00FB52A2"/>
    <w:rsid w:val="00FB58EA"/>
    <w:rsid w:val="00FB58F0"/>
    <w:rsid w:val="00FC16DF"/>
    <w:rsid w:val="00FC227D"/>
    <w:rsid w:val="00FC2EBE"/>
    <w:rsid w:val="00FC3E83"/>
    <w:rsid w:val="00FC62B7"/>
    <w:rsid w:val="00FC62C3"/>
    <w:rsid w:val="00FC7D11"/>
    <w:rsid w:val="00FC7F26"/>
    <w:rsid w:val="00FD07E3"/>
    <w:rsid w:val="00FD10C6"/>
    <w:rsid w:val="00FD1BB7"/>
    <w:rsid w:val="00FD1C6D"/>
    <w:rsid w:val="00FD20A0"/>
    <w:rsid w:val="00FD2B45"/>
    <w:rsid w:val="00FD36C1"/>
    <w:rsid w:val="00FD3E9E"/>
    <w:rsid w:val="00FD422D"/>
    <w:rsid w:val="00FD4A02"/>
    <w:rsid w:val="00FD56A2"/>
    <w:rsid w:val="00FD67D6"/>
    <w:rsid w:val="00FD7974"/>
    <w:rsid w:val="00FE012A"/>
    <w:rsid w:val="00FE1018"/>
    <w:rsid w:val="00FE11B8"/>
    <w:rsid w:val="00FE14FE"/>
    <w:rsid w:val="00FE15BB"/>
    <w:rsid w:val="00FE2007"/>
    <w:rsid w:val="00FE23FB"/>
    <w:rsid w:val="00FE2718"/>
    <w:rsid w:val="00FE2EC8"/>
    <w:rsid w:val="00FE34C9"/>
    <w:rsid w:val="00FE3F7A"/>
    <w:rsid w:val="00FE5D51"/>
    <w:rsid w:val="00FE6850"/>
    <w:rsid w:val="00FE7654"/>
    <w:rsid w:val="00FF01BF"/>
    <w:rsid w:val="00FF1110"/>
    <w:rsid w:val="00FF3882"/>
    <w:rsid w:val="00FF4521"/>
    <w:rsid w:val="00FF4583"/>
    <w:rsid w:val="00FF4CEB"/>
    <w:rsid w:val="00FF65DC"/>
    <w:rsid w:val="00FF730F"/>
    <w:rsid w:val="01077184"/>
    <w:rsid w:val="010F3654"/>
    <w:rsid w:val="01334143"/>
    <w:rsid w:val="014063FE"/>
    <w:rsid w:val="01481F02"/>
    <w:rsid w:val="014F69B8"/>
    <w:rsid w:val="01553F41"/>
    <w:rsid w:val="015F64A6"/>
    <w:rsid w:val="01804A4C"/>
    <w:rsid w:val="018C33F1"/>
    <w:rsid w:val="019E0E1A"/>
    <w:rsid w:val="01A247A0"/>
    <w:rsid w:val="01B13ED6"/>
    <w:rsid w:val="01BC5486"/>
    <w:rsid w:val="01C212FF"/>
    <w:rsid w:val="01C31E58"/>
    <w:rsid w:val="01CD27ED"/>
    <w:rsid w:val="01CE7AB0"/>
    <w:rsid w:val="01D61C20"/>
    <w:rsid w:val="01DC345C"/>
    <w:rsid w:val="01E07256"/>
    <w:rsid w:val="02013645"/>
    <w:rsid w:val="02083990"/>
    <w:rsid w:val="02094A42"/>
    <w:rsid w:val="020D5A57"/>
    <w:rsid w:val="0216012D"/>
    <w:rsid w:val="022C4512"/>
    <w:rsid w:val="023E0019"/>
    <w:rsid w:val="02474529"/>
    <w:rsid w:val="024D4EDC"/>
    <w:rsid w:val="024D7D3C"/>
    <w:rsid w:val="02515AD1"/>
    <w:rsid w:val="02641C78"/>
    <w:rsid w:val="02653CB1"/>
    <w:rsid w:val="02817ABE"/>
    <w:rsid w:val="028C11CF"/>
    <w:rsid w:val="028D7421"/>
    <w:rsid w:val="029A78A7"/>
    <w:rsid w:val="02AF6B20"/>
    <w:rsid w:val="02B17266"/>
    <w:rsid w:val="02B805A9"/>
    <w:rsid w:val="02BD2743"/>
    <w:rsid w:val="02C94D9F"/>
    <w:rsid w:val="02CB729D"/>
    <w:rsid w:val="02D40678"/>
    <w:rsid w:val="02D906AC"/>
    <w:rsid w:val="02EB32BA"/>
    <w:rsid w:val="02F93313"/>
    <w:rsid w:val="03056780"/>
    <w:rsid w:val="0318141D"/>
    <w:rsid w:val="032636FF"/>
    <w:rsid w:val="03356921"/>
    <w:rsid w:val="0337311C"/>
    <w:rsid w:val="03411600"/>
    <w:rsid w:val="034248D6"/>
    <w:rsid w:val="03440400"/>
    <w:rsid w:val="03444A1D"/>
    <w:rsid w:val="03446761"/>
    <w:rsid w:val="03514CC1"/>
    <w:rsid w:val="035C1894"/>
    <w:rsid w:val="037C5741"/>
    <w:rsid w:val="038F7E6E"/>
    <w:rsid w:val="03940CE9"/>
    <w:rsid w:val="039D5464"/>
    <w:rsid w:val="03A7040C"/>
    <w:rsid w:val="03BB2C3D"/>
    <w:rsid w:val="03BD42EC"/>
    <w:rsid w:val="03C94E2C"/>
    <w:rsid w:val="03CD6F01"/>
    <w:rsid w:val="03CE5EDE"/>
    <w:rsid w:val="03D52AC9"/>
    <w:rsid w:val="03F34A59"/>
    <w:rsid w:val="03F72B58"/>
    <w:rsid w:val="03FB2656"/>
    <w:rsid w:val="040F399B"/>
    <w:rsid w:val="040F74F2"/>
    <w:rsid w:val="042E68EB"/>
    <w:rsid w:val="0430031C"/>
    <w:rsid w:val="04360B05"/>
    <w:rsid w:val="044E174F"/>
    <w:rsid w:val="04633852"/>
    <w:rsid w:val="047B2879"/>
    <w:rsid w:val="048B554F"/>
    <w:rsid w:val="04952C23"/>
    <w:rsid w:val="049A5E25"/>
    <w:rsid w:val="049B498D"/>
    <w:rsid w:val="04A22116"/>
    <w:rsid w:val="04C10943"/>
    <w:rsid w:val="04D35405"/>
    <w:rsid w:val="04D855D4"/>
    <w:rsid w:val="04D92371"/>
    <w:rsid w:val="04E70770"/>
    <w:rsid w:val="04EC1057"/>
    <w:rsid w:val="04EF27E1"/>
    <w:rsid w:val="04F07402"/>
    <w:rsid w:val="04F567F1"/>
    <w:rsid w:val="04F854A6"/>
    <w:rsid w:val="05036CBD"/>
    <w:rsid w:val="05184583"/>
    <w:rsid w:val="051A6E65"/>
    <w:rsid w:val="05216546"/>
    <w:rsid w:val="05245532"/>
    <w:rsid w:val="05252863"/>
    <w:rsid w:val="052B1E01"/>
    <w:rsid w:val="05346D61"/>
    <w:rsid w:val="05406519"/>
    <w:rsid w:val="0551620E"/>
    <w:rsid w:val="055E32F7"/>
    <w:rsid w:val="05694F8C"/>
    <w:rsid w:val="057077B3"/>
    <w:rsid w:val="05816FE5"/>
    <w:rsid w:val="05863D38"/>
    <w:rsid w:val="05AD3522"/>
    <w:rsid w:val="05C159EF"/>
    <w:rsid w:val="05C227AA"/>
    <w:rsid w:val="05CC2913"/>
    <w:rsid w:val="05F220F7"/>
    <w:rsid w:val="05F920BF"/>
    <w:rsid w:val="05FD3CC8"/>
    <w:rsid w:val="0602386B"/>
    <w:rsid w:val="060C62B2"/>
    <w:rsid w:val="06113F01"/>
    <w:rsid w:val="061C2268"/>
    <w:rsid w:val="06237B47"/>
    <w:rsid w:val="062A142B"/>
    <w:rsid w:val="064E34E8"/>
    <w:rsid w:val="06520FE9"/>
    <w:rsid w:val="065A6F03"/>
    <w:rsid w:val="066B5915"/>
    <w:rsid w:val="066B6C27"/>
    <w:rsid w:val="066C4AFB"/>
    <w:rsid w:val="067C0501"/>
    <w:rsid w:val="067D0331"/>
    <w:rsid w:val="068C1346"/>
    <w:rsid w:val="06941EAC"/>
    <w:rsid w:val="06971F19"/>
    <w:rsid w:val="06A71FB9"/>
    <w:rsid w:val="06A72D3C"/>
    <w:rsid w:val="06B56FC1"/>
    <w:rsid w:val="06B77EE0"/>
    <w:rsid w:val="06CE5CFE"/>
    <w:rsid w:val="06E24662"/>
    <w:rsid w:val="06F757B1"/>
    <w:rsid w:val="06FB1DBD"/>
    <w:rsid w:val="07140111"/>
    <w:rsid w:val="07145A92"/>
    <w:rsid w:val="071830A5"/>
    <w:rsid w:val="071C7DED"/>
    <w:rsid w:val="073B70A0"/>
    <w:rsid w:val="074B76B0"/>
    <w:rsid w:val="074D5959"/>
    <w:rsid w:val="076F3599"/>
    <w:rsid w:val="0774295E"/>
    <w:rsid w:val="07755781"/>
    <w:rsid w:val="077A3983"/>
    <w:rsid w:val="078B6D8D"/>
    <w:rsid w:val="07910259"/>
    <w:rsid w:val="079525A3"/>
    <w:rsid w:val="079A781D"/>
    <w:rsid w:val="07A06EFC"/>
    <w:rsid w:val="07AC55BB"/>
    <w:rsid w:val="07BF5E27"/>
    <w:rsid w:val="07C21DA1"/>
    <w:rsid w:val="07CC61CE"/>
    <w:rsid w:val="07D30644"/>
    <w:rsid w:val="07E73228"/>
    <w:rsid w:val="07E81BAC"/>
    <w:rsid w:val="07E86EA8"/>
    <w:rsid w:val="07F817E1"/>
    <w:rsid w:val="080261BB"/>
    <w:rsid w:val="08065689"/>
    <w:rsid w:val="080D1FA9"/>
    <w:rsid w:val="08116381"/>
    <w:rsid w:val="08121D3F"/>
    <w:rsid w:val="08250801"/>
    <w:rsid w:val="082D0B17"/>
    <w:rsid w:val="08315ADA"/>
    <w:rsid w:val="08326375"/>
    <w:rsid w:val="083309D2"/>
    <w:rsid w:val="084C00C5"/>
    <w:rsid w:val="084E5234"/>
    <w:rsid w:val="085B712C"/>
    <w:rsid w:val="085E1A65"/>
    <w:rsid w:val="08626E34"/>
    <w:rsid w:val="087C5435"/>
    <w:rsid w:val="0882652A"/>
    <w:rsid w:val="088C3CD7"/>
    <w:rsid w:val="08903EB0"/>
    <w:rsid w:val="08986F62"/>
    <w:rsid w:val="089E2E70"/>
    <w:rsid w:val="089F7EAE"/>
    <w:rsid w:val="08AC7857"/>
    <w:rsid w:val="08AF5C17"/>
    <w:rsid w:val="08B5275E"/>
    <w:rsid w:val="08B55E34"/>
    <w:rsid w:val="08B60F16"/>
    <w:rsid w:val="08C6215B"/>
    <w:rsid w:val="08D77F08"/>
    <w:rsid w:val="08DE51A5"/>
    <w:rsid w:val="08E524D3"/>
    <w:rsid w:val="08EB6946"/>
    <w:rsid w:val="08F1227D"/>
    <w:rsid w:val="08FB6303"/>
    <w:rsid w:val="09151F1E"/>
    <w:rsid w:val="0916772C"/>
    <w:rsid w:val="091753D1"/>
    <w:rsid w:val="092B527D"/>
    <w:rsid w:val="093436BD"/>
    <w:rsid w:val="09460594"/>
    <w:rsid w:val="094A1EC3"/>
    <w:rsid w:val="09573990"/>
    <w:rsid w:val="095B0D91"/>
    <w:rsid w:val="095C64B2"/>
    <w:rsid w:val="0963712E"/>
    <w:rsid w:val="097D2DCE"/>
    <w:rsid w:val="097F1441"/>
    <w:rsid w:val="098B4C3B"/>
    <w:rsid w:val="099217C1"/>
    <w:rsid w:val="09B22E58"/>
    <w:rsid w:val="09B24246"/>
    <w:rsid w:val="09C624EB"/>
    <w:rsid w:val="09DF165F"/>
    <w:rsid w:val="09E02271"/>
    <w:rsid w:val="09E4728B"/>
    <w:rsid w:val="09EC4EA3"/>
    <w:rsid w:val="09F876B4"/>
    <w:rsid w:val="09FD1E6C"/>
    <w:rsid w:val="0A051F93"/>
    <w:rsid w:val="0A1B5F1A"/>
    <w:rsid w:val="0A25252D"/>
    <w:rsid w:val="0A261F09"/>
    <w:rsid w:val="0A333840"/>
    <w:rsid w:val="0A464881"/>
    <w:rsid w:val="0A482AF0"/>
    <w:rsid w:val="0A4C0ED7"/>
    <w:rsid w:val="0A5F1495"/>
    <w:rsid w:val="0A663F6C"/>
    <w:rsid w:val="0A8235E3"/>
    <w:rsid w:val="0A961EF9"/>
    <w:rsid w:val="0A97793B"/>
    <w:rsid w:val="0A9A4527"/>
    <w:rsid w:val="0AA9231F"/>
    <w:rsid w:val="0ABE020E"/>
    <w:rsid w:val="0AC64116"/>
    <w:rsid w:val="0AD52984"/>
    <w:rsid w:val="0AF12517"/>
    <w:rsid w:val="0B070BE6"/>
    <w:rsid w:val="0B0872B0"/>
    <w:rsid w:val="0B090BC0"/>
    <w:rsid w:val="0B1310BE"/>
    <w:rsid w:val="0B1D0A6F"/>
    <w:rsid w:val="0B280393"/>
    <w:rsid w:val="0B350656"/>
    <w:rsid w:val="0B3D3ED5"/>
    <w:rsid w:val="0B3F2FDA"/>
    <w:rsid w:val="0B494AD9"/>
    <w:rsid w:val="0B570713"/>
    <w:rsid w:val="0B5D3299"/>
    <w:rsid w:val="0B6E5916"/>
    <w:rsid w:val="0B837F02"/>
    <w:rsid w:val="0B847B4B"/>
    <w:rsid w:val="0B8D4A3E"/>
    <w:rsid w:val="0B90314F"/>
    <w:rsid w:val="0BA5615C"/>
    <w:rsid w:val="0BAF4694"/>
    <w:rsid w:val="0BC1013B"/>
    <w:rsid w:val="0BCB43E8"/>
    <w:rsid w:val="0BD24C66"/>
    <w:rsid w:val="0BD84405"/>
    <w:rsid w:val="0BDC0ED2"/>
    <w:rsid w:val="0BEB0013"/>
    <w:rsid w:val="0BF10631"/>
    <w:rsid w:val="0BFE6C9A"/>
    <w:rsid w:val="0C0F505F"/>
    <w:rsid w:val="0C140588"/>
    <w:rsid w:val="0C1A784C"/>
    <w:rsid w:val="0C2E4D21"/>
    <w:rsid w:val="0C3B566B"/>
    <w:rsid w:val="0C3E6F3F"/>
    <w:rsid w:val="0C557307"/>
    <w:rsid w:val="0C56130B"/>
    <w:rsid w:val="0C57694A"/>
    <w:rsid w:val="0C80633D"/>
    <w:rsid w:val="0C9E222B"/>
    <w:rsid w:val="0CA854D0"/>
    <w:rsid w:val="0CB11F5E"/>
    <w:rsid w:val="0CB5218B"/>
    <w:rsid w:val="0CC003F3"/>
    <w:rsid w:val="0CC820DE"/>
    <w:rsid w:val="0CDC43A4"/>
    <w:rsid w:val="0CE057A4"/>
    <w:rsid w:val="0CF10596"/>
    <w:rsid w:val="0CFC0E78"/>
    <w:rsid w:val="0D005C6E"/>
    <w:rsid w:val="0D01287B"/>
    <w:rsid w:val="0D1B5A21"/>
    <w:rsid w:val="0D226A30"/>
    <w:rsid w:val="0D35493D"/>
    <w:rsid w:val="0D3B27CC"/>
    <w:rsid w:val="0D411534"/>
    <w:rsid w:val="0D630CE0"/>
    <w:rsid w:val="0D67667D"/>
    <w:rsid w:val="0D7473CF"/>
    <w:rsid w:val="0D842B09"/>
    <w:rsid w:val="0D8A0A8E"/>
    <w:rsid w:val="0D8C7218"/>
    <w:rsid w:val="0D9D144C"/>
    <w:rsid w:val="0DA844A6"/>
    <w:rsid w:val="0DC00CF9"/>
    <w:rsid w:val="0DC5119F"/>
    <w:rsid w:val="0DC66D51"/>
    <w:rsid w:val="0DCE7B14"/>
    <w:rsid w:val="0DCF6FB1"/>
    <w:rsid w:val="0DD50C9B"/>
    <w:rsid w:val="0DED6FC6"/>
    <w:rsid w:val="0DF8037C"/>
    <w:rsid w:val="0DFE7425"/>
    <w:rsid w:val="0E013B15"/>
    <w:rsid w:val="0E035EA6"/>
    <w:rsid w:val="0E0802A4"/>
    <w:rsid w:val="0E157D96"/>
    <w:rsid w:val="0E2062C1"/>
    <w:rsid w:val="0E212E19"/>
    <w:rsid w:val="0E2503CB"/>
    <w:rsid w:val="0E3D46A7"/>
    <w:rsid w:val="0E5B4877"/>
    <w:rsid w:val="0E5F2D56"/>
    <w:rsid w:val="0E6C7DC7"/>
    <w:rsid w:val="0E736CF8"/>
    <w:rsid w:val="0E975074"/>
    <w:rsid w:val="0E9D4E90"/>
    <w:rsid w:val="0EA26184"/>
    <w:rsid w:val="0EA43346"/>
    <w:rsid w:val="0EA4652B"/>
    <w:rsid w:val="0EAF0B16"/>
    <w:rsid w:val="0EBA1FCC"/>
    <w:rsid w:val="0ECA192C"/>
    <w:rsid w:val="0ECC4978"/>
    <w:rsid w:val="0ED63EFE"/>
    <w:rsid w:val="0EDB7766"/>
    <w:rsid w:val="0EDD34DE"/>
    <w:rsid w:val="0EE73DE2"/>
    <w:rsid w:val="0EF069EB"/>
    <w:rsid w:val="0EF3579B"/>
    <w:rsid w:val="0F060C63"/>
    <w:rsid w:val="0F1524A0"/>
    <w:rsid w:val="0F2525B2"/>
    <w:rsid w:val="0F253BEA"/>
    <w:rsid w:val="0F2D123B"/>
    <w:rsid w:val="0F4071DB"/>
    <w:rsid w:val="0F4879A2"/>
    <w:rsid w:val="0F551A25"/>
    <w:rsid w:val="0F5F16A6"/>
    <w:rsid w:val="0F672DA8"/>
    <w:rsid w:val="0F6F7FFB"/>
    <w:rsid w:val="0F75214B"/>
    <w:rsid w:val="0F771C85"/>
    <w:rsid w:val="0F7E25FA"/>
    <w:rsid w:val="0F9137D0"/>
    <w:rsid w:val="0F9A145E"/>
    <w:rsid w:val="0FAB07DB"/>
    <w:rsid w:val="0FB73A1F"/>
    <w:rsid w:val="0FC77B6C"/>
    <w:rsid w:val="0FCA5D81"/>
    <w:rsid w:val="0FCD72A2"/>
    <w:rsid w:val="0FD05D31"/>
    <w:rsid w:val="0FDB703F"/>
    <w:rsid w:val="0FED7751"/>
    <w:rsid w:val="0FF66215"/>
    <w:rsid w:val="0FFE6404"/>
    <w:rsid w:val="10054FEF"/>
    <w:rsid w:val="101259B7"/>
    <w:rsid w:val="101C0E97"/>
    <w:rsid w:val="102D40D6"/>
    <w:rsid w:val="10304973"/>
    <w:rsid w:val="1043449D"/>
    <w:rsid w:val="10480D80"/>
    <w:rsid w:val="104F02CD"/>
    <w:rsid w:val="105477D0"/>
    <w:rsid w:val="10573A7C"/>
    <w:rsid w:val="106317C1"/>
    <w:rsid w:val="10697CD3"/>
    <w:rsid w:val="106A33DE"/>
    <w:rsid w:val="106C1737"/>
    <w:rsid w:val="107211A2"/>
    <w:rsid w:val="10790FE5"/>
    <w:rsid w:val="107E65DA"/>
    <w:rsid w:val="107F619F"/>
    <w:rsid w:val="10892187"/>
    <w:rsid w:val="109810A4"/>
    <w:rsid w:val="1099282B"/>
    <w:rsid w:val="109A254B"/>
    <w:rsid w:val="10B546E9"/>
    <w:rsid w:val="10B54709"/>
    <w:rsid w:val="10BC511C"/>
    <w:rsid w:val="10BD5A3E"/>
    <w:rsid w:val="10BF7055"/>
    <w:rsid w:val="10CA4616"/>
    <w:rsid w:val="10CC6977"/>
    <w:rsid w:val="10CF5C3B"/>
    <w:rsid w:val="10D0540B"/>
    <w:rsid w:val="10DD0E2A"/>
    <w:rsid w:val="10E566C9"/>
    <w:rsid w:val="11034202"/>
    <w:rsid w:val="110501D5"/>
    <w:rsid w:val="110747A8"/>
    <w:rsid w:val="110F7246"/>
    <w:rsid w:val="11291B48"/>
    <w:rsid w:val="112E1899"/>
    <w:rsid w:val="113646D1"/>
    <w:rsid w:val="11490D75"/>
    <w:rsid w:val="114B168D"/>
    <w:rsid w:val="114C73CD"/>
    <w:rsid w:val="11563695"/>
    <w:rsid w:val="1158610B"/>
    <w:rsid w:val="115A7068"/>
    <w:rsid w:val="11625F1D"/>
    <w:rsid w:val="11691059"/>
    <w:rsid w:val="1177362D"/>
    <w:rsid w:val="11782E37"/>
    <w:rsid w:val="117A5E21"/>
    <w:rsid w:val="117C523A"/>
    <w:rsid w:val="11A11D11"/>
    <w:rsid w:val="11BA7B55"/>
    <w:rsid w:val="11C51616"/>
    <w:rsid w:val="11CC23DF"/>
    <w:rsid w:val="11D52913"/>
    <w:rsid w:val="11DA4027"/>
    <w:rsid w:val="11E1370B"/>
    <w:rsid w:val="11E626AA"/>
    <w:rsid w:val="11E66921"/>
    <w:rsid w:val="11EB3A1F"/>
    <w:rsid w:val="11FB4DAB"/>
    <w:rsid w:val="12023C87"/>
    <w:rsid w:val="12061F0D"/>
    <w:rsid w:val="1208623C"/>
    <w:rsid w:val="120D6970"/>
    <w:rsid w:val="12120135"/>
    <w:rsid w:val="12152161"/>
    <w:rsid w:val="122D33CB"/>
    <w:rsid w:val="12441A1E"/>
    <w:rsid w:val="124F1E82"/>
    <w:rsid w:val="12555F98"/>
    <w:rsid w:val="1257162F"/>
    <w:rsid w:val="1266140B"/>
    <w:rsid w:val="1275392B"/>
    <w:rsid w:val="128F71C8"/>
    <w:rsid w:val="12987560"/>
    <w:rsid w:val="129C286C"/>
    <w:rsid w:val="12A535D3"/>
    <w:rsid w:val="12A83D45"/>
    <w:rsid w:val="12B47898"/>
    <w:rsid w:val="12BA0120"/>
    <w:rsid w:val="12C549B5"/>
    <w:rsid w:val="12C641A3"/>
    <w:rsid w:val="12DD67DE"/>
    <w:rsid w:val="12F06A52"/>
    <w:rsid w:val="12F93D3C"/>
    <w:rsid w:val="12FA2EF5"/>
    <w:rsid w:val="13125836"/>
    <w:rsid w:val="13156040"/>
    <w:rsid w:val="1322735F"/>
    <w:rsid w:val="13250FB0"/>
    <w:rsid w:val="1327184E"/>
    <w:rsid w:val="13362695"/>
    <w:rsid w:val="133D44E6"/>
    <w:rsid w:val="13504403"/>
    <w:rsid w:val="1351381E"/>
    <w:rsid w:val="13516807"/>
    <w:rsid w:val="13522EAA"/>
    <w:rsid w:val="13536815"/>
    <w:rsid w:val="13651010"/>
    <w:rsid w:val="13765CAF"/>
    <w:rsid w:val="137B6195"/>
    <w:rsid w:val="138E703D"/>
    <w:rsid w:val="1397058F"/>
    <w:rsid w:val="139E4DFB"/>
    <w:rsid w:val="13A7230D"/>
    <w:rsid w:val="13C4682A"/>
    <w:rsid w:val="13EB6048"/>
    <w:rsid w:val="13FD1907"/>
    <w:rsid w:val="140542CC"/>
    <w:rsid w:val="140B3900"/>
    <w:rsid w:val="140E57CC"/>
    <w:rsid w:val="141C4543"/>
    <w:rsid w:val="142676D5"/>
    <w:rsid w:val="142A5BF2"/>
    <w:rsid w:val="14515782"/>
    <w:rsid w:val="14665D24"/>
    <w:rsid w:val="14797C37"/>
    <w:rsid w:val="148679FF"/>
    <w:rsid w:val="14911D3D"/>
    <w:rsid w:val="149755A0"/>
    <w:rsid w:val="14A01565"/>
    <w:rsid w:val="14A17E27"/>
    <w:rsid w:val="14AD73B3"/>
    <w:rsid w:val="14AF7DDE"/>
    <w:rsid w:val="14B03CDB"/>
    <w:rsid w:val="14B0506E"/>
    <w:rsid w:val="14C56121"/>
    <w:rsid w:val="14C77442"/>
    <w:rsid w:val="14C90B72"/>
    <w:rsid w:val="14D16820"/>
    <w:rsid w:val="14D56A06"/>
    <w:rsid w:val="14D75A97"/>
    <w:rsid w:val="14D92244"/>
    <w:rsid w:val="14E15925"/>
    <w:rsid w:val="14E97070"/>
    <w:rsid w:val="14FA0507"/>
    <w:rsid w:val="15115C90"/>
    <w:rsid w:val="15166F34"/>
    <w:rsid w:val="15272B76"/>
    <w:rsid w:val="152900D3"/>
    <w:rsid w:val="152A4FA3"/>
    <w:rsid w:val="152C0D1B"/>
    <w:rsid w:val="1539095F"/>
    <w:rsid w:val="153920E2"/>
    <w:rsid w:val="1539526A"/>
    <w:rsid w:val="155E2428"/>
    <w:rsid w:val="15603D0D"/>
    <w:rsid w:val="15630D07"/>
    <w:rsid w:val="15717F60"/>
    <w:rsid w:val="15865188"/>
    <w:rsid w:val="158C1CDE"/>
    <w:rsid w:val="15995C85"/>
    <w:rsid w:val="159C03BF"/>
    <w:rsid w:val="159E5671"/>
    <w:rsid w:val="15A24172"/>
    <w:rsid w:val="15AE4044"/>
    <w:rsid w:val="15B50272"/>
    <w:rsid w:val="15B72CC9"/>
    <w:rsid w:val="15BA36BD"/>
    <w:rsid w:val="15BE29A0"/>
    <w:rsid w:val="15BE749A"/>
    <w:rsid w:val="15BF484A"/>
    <w:rsid w:val="15DB2014"/>
    <w:rsid w:val="15E06159"/>
    <w:rsid w:val="15E769F0"/>
    <w:rsid w:val="15EF3F8E"/>
    <w:rsid w:val="160A492F"/>
    <w:rsid w:val="160E15D7"/>
    <w:rsid w:val="16101710"/>
    <w:rsid w:val="1614187D"/>
    <w:rsid w:val="16240E4B"/>
    <w:rsid w:val="163E6715"/>
    <w:rsid w:val="164F2EBE"/>
    <w:rsid w:val="165400B6"/>
    <w:rsid w:val="165569EC"/>
    <w:rsid w:val="16557455"/>
    <w:rsid w:val="168810DC"/>
    <w:rsid w:val="16894563"/>
    <w:rsid w:val="168B183F"/>
    <w:rsid w:val="16A3500D"/>
    <w:rsid w:val="16B32D8F"/>
    <w:rsid w:val="16B81C38"/>
    <w:rsid w:val="16E04597"/>
    <w:rsid w:val="16E24023"/>
    <w:rsid w:val="16EC2FCF"/>
    <w:rsid w:val="16F359DD"/>
    <w:rsid w:val="17083D9C"/>
    <w:rsid w:val="170D246B"/>
    <w:rsid w:val="173043C7"/>
    <w:rsid w:val="17334649"/>
    <w:rsid w:val="17343FF9"/>
    <w:rsid w:val="173C699E"/>
    <w:rsid w:val="17433A43"/>
    <w:rsid w:val="174B6C49"/>
    <w:rsid w:val="17512E68"/>
    <w:rsid w:val="17606A5A"/>
    <w:rsid w:val="17614581"/>
    <w:rsid w:val="176B3A77"/>
    <w:rsid w:val="17713F32"/>
    <w:rsid w:val="17935856"/>
    <w:rsid w:val="17984446"/>
    <w:rsid w:val="17A14678"/>
    <w:rsid w:val="17A94A39"/>
    <w:rsid w:val="17B75702"/>
    <w:rsid w:val="17D95AC4"/>
    <w:rsid w:val="17DF6689"/>
    <w:rsid w:val="17E12BFA"/>
    <w:rsid w:val="17E31439"/>
    <w:rsid w:val="17E37B87"/>
    <w:rsid w:val="17FB6463"/>
    <w:rsid w:val="17FE670B"/>
    <w:rsid w:val="180C6316"/>
    <w:rsid w:val="180F6BD3"/>
    <w:rsid w:val="18187335"/>
    <w:rsid w:val="181B0BD3"/>
    <w:rsid w:val="182F5156"/>
    <w:rsid w:val="183323C1"/>
    <w:rsid w:val="1835733A"/>
    <w:rsid w:val="18397B68"/>
    <w:rsid w:val="183F2B14"/>
    <w:rsid w:val="18557C52"/>
    <w:rsid w:val="18632645"/>
    <w:rsid w:val="1864257A"/>
    <w:rsid w:val="186F4798"/>
    <w:rsid w:val="186F686F"/>
    <w:rsid w:val="187A3D69"/>
    <w:rsid w:val="189415E4"/>
    <w:rsid w:val="189C6E23"/>
    <w:rsid w:val="18C5564A"/>
    <w:rsid w:val="18D55CC8"/>
    <w:rsid w:val="18D9183A"/>
    <w:rsid w:val="19035A82"/>
    <w:rsid w:val="190842C8"/>
    <w:rsid w:val="190F0738"/>
    <w:rsid w:val="1910625E"/>
    <w:rsid w:val="191271A8"/>
    <w:rsid w:val="191E18D5"/>
    <w:rsid w:val="192B0BCB"/>
    <w:rsid w:val="192C3AFD"/>
    <w:rsid w:val="192D0231"/>
    <w:rsid w:val="19314B52"/>
    <w:rsid w:val="193C719D"/>
    <w:rsid w:val="194303E2"/>
    <w:rsid w:val="194550CF"/>
    <w:rsid w:val="19480A4B"/>
    <w:rsid w:val="19525A81"/>
    <w:rsid w:val="19537BBB"/>
    <w:rsid w:val="195F0AD3"/>
    <w:rsid w:val="196842EC"/>
    <w:rsid w:val="196C6951"/>
    <w:rsid w:val="196F1517"/>
    <w:rsid w:val="19792EAF"/>
    <w:rsid w:val="199926F8"/>
    <w:rsid w:val="199D4127"/>
    <w:rsid w:val="19AB4503"/>
    <w:rsid w:val="19AD0F5A"/>
    <w:rsid w:val="19AF1E8B"/>
    <w:rsid w:val="19B713CD"/>
    <w:rsid w:val="19C07D82"/>
    <w:rsid w:val="19CC3BDB"/>
    <w:rsid w:val="19D32DD7"/>
    <w:rsid w:val="19DA782D"/>
    <w:rsid w:val="1A0758B3"/>
    <w:rsid w:val="1A155FC1"/>
    <w:rsid w:val="1A3869EA"/>
    <w:rsid w:val="1A4226FE"/>
    <w:rsid w:val="1A4A33F6"/>
    <w:rsid w:val="1A4F0A8E"/>
    <w:rsid w:val="1A514D80"/>
    <w:rsid w:val="1A572FE2"/>
    <w:rsid w:val="1A5E0B56"/>
    <w:rsid w:val="1A67148F"/>
    <w:rsid w:val="1A6A4CE2"/>
    <w:rsid w:val="1A6B0782"/>
    <w:rsid w:val="1A887EEF"/>
    <w:rsid w:val="1A8E4689"/>
    <w:rsid w:val="1AA56FB4"/>
    <w:rsid w:val="1AB51211"/>
    <w:rsid w:val="1AD74101"/>
    <w:rsid w:val="1AE2554E"/>
    <w:rsid w:val="1AE465FE"/>
    <w:rsid w:val="1AE81BF4"/>
    <w:rsid w:val="1AE91B5F"/>
    <w:rsid w:val="1AF86EDB"/>
    <w:rsid w:val="1B3C49F0"/>
    <w:rsid w:val="1B534AA9"/>
    <w:rsid w:val="1B54652C"/>
    <w:rsid w:val="1B574E23"/>
    <w:rsid w:val="1B575796"/>
    <w:rsid w:val="1B5A2CCF"/>
    <w:rsid w:val="1B6C4C9E"/>
    <w:rsid w:val="1B7C7BDB"/>
    <w:rsid w:val="1B8371BB"/>
    <w:rsid w:val="1B983985"/>
    <w:rsid w:val="1B9F2B5B"/>
    <w:rsid w:val="1BA116C2"/>
    <w:rsid w:val="1BA67E70"/>
    <w:rsid w:val="1BBE61B0"/>
    <w:rsid w:val="1BC33A5C"/>
    <w:rsid w:val="1BC80245"/>
    <w:rsid w:val="1BCC73B4"/>
    <w:rsid w:val="1BE11F7B"/>
    <w:rsid w:val="1BF03DAB"/>
    <w:rsid w:val="1BF269EB"/>
    <w:rsid w:val="1BFE5961"/>
    <w:rsid w:val="1C04399E"/>
    <w:rsid w:val="1C07063F"/>
    <w:rsid w:val="1C076386"/>
    <w:rsid w:val="1C1A4FCF"/>
    <w:rsid w:val="1C242C29"/>
    <w:rsid w:val="1C2E5379"/>
    <w:rsid w:val="1C3E4DCB"/>
    <w:rsid w:val="1C424981"/>
    <w:rsid w:val="1C430BB1"/>
    <w:rsid w:val="1C4E4128"/>
    <w:rsid w:val="1C5648D0"/>
    <w:rsid w:val="1C5E4405"/>
    <w:rsid w:val="1C693CEC"/>
    <w:rsid w:val="1C6B5E15"/>
    <w:rsid w:val="1C756F33"/>
    <w:rsid w:val="1C763E24"/>
    <w:rsid w:val="1C7F4FDA"/>
    <w:rsid w:val="1C8043B5"/>
    <w:rsid w:val="1C8925AF"/>
    <w:rsid w:val="1C932E8C"/>
    <w:rsid w:val="1C9F0D07"/>
    <w:rsid w:val="1CB17D58"/>
    <w:rsid w:val="1CB64CD8"/>
    <w:rsid w:val="1CC23E39"/>
    <w:rsid w:val="1CC7555F"/>
    <w:rsid w:val="1CC8316A"/>
    <w:rsid w:val="1CDA065E"/>
    <w:rsid w:val="1CF56797"/>
    <w:rsid w:val="1CFF34BC"/>
    <w:rsid w:val="1D3249F5"/>
    <w:rsid w:val="1D3A1AFC"/>
    <w:rsid w:val="1D54318A"/>
    <w:rsid w:val="1D616BDC"/>
    <w:rsid w:val="1D6628F1"/>
    <w:rsid w:val="1D8109E3"/>
    <w:rsid w:val="1D957C03"/>
    <w:rsid w:val="1D9813FF"/>
    <w:rsid w:val="1D9D01F9"/>
    <w:rsid w:val="1DA82F09"/>
    <w:rsid w:val="1DA90BE6"/>
    <w:rsid w:val="1DAB29F9"/>
    <w:rsid w:val="1DAC0C4B"/>
    <w:rsid w:val="1DBB6F33"/>
    <w:rsid w:val="1DC2185F"/>
    <w:rsid w:val="1DC2332A"/>
    <w:rsid w:val="1DDB074C"/>
    <w:rsid w:val="1DE657E0"/>
    <w:rsid w:val="1DEC14EF"/>
    <w:rsid w:val="1DEC18D2"/>
    <w:rsid w:val="1E007FD8"/>
    <w:rsid w:val="1E0D344F"/>
    <w:rsid w:val="1E0F4823"/>
    <w:rsid w:val="1E1952EC"/>
    <w:rsid w:val="1E354D21"/>
    <w:rsid w:val="1E3C3A31"/>
    <w:rsid w:val="1E4E202D"/>
    <w:rsid w:val="1E5B0436"/>
    <w:rsid w:val="1E5B6914"/>
    <w:rsid w:val="1E6A3303"/>
    <w:rsid w:val="1E705FA3"/>
    <w:rsid w:val="1E781117"/>
    <w:rsid w:val="1E92106D"/>
    <w:rsid w:val="1E9D23AF"/>
    <w:rsid w:val="1EA23DFC"/>
    <w:rsid w:val="1EA35220"/>
    <w:rsid w:val="1EA54B58"/>
    <w:rsid w:val="1EB26C59"/>
    <w:rsid w:val="1EB75FC4"/>
    <w:rsid w:val="1EBA6901"/>
    <w:rsid w:val="1EBB39DB"/>
    <w:rsid w:val="1EC2449C"/>
    <w:rsid w:val="1EC90FB1"/>
    <w:rsid w:val="1EE53CE9"/>
    <w:rsid w:val="1EF84A64"/>
    <w:rsid w:val="1EFE665E"/>
    <w:rsid w:val="1F0129A0"/>
    <w:rsid w:val="1F0333B4"/>
    <w:rsid w:val="1F04072F"/>
    <w:rsid w:val="1F106619"/>
    <w:rsid w:val="1F125913"/>
    <w:rsid w:val="1F2B5214"/>
    <w:rsid w:val="1F2F48B1"/>
    <w:rsid w:val="1F3000E0"/>
    <w:rsid w:val="1F3D3B25"/>
    <w:rsid w:val="1F3F1EC5"/>
    <w:rsid w:val="1F52137F"/>
    <w:rsid w:val="1F5373B7"/>
    <w:rsid w:val="1F572DB7"/>
    <w:rsid w:val="1F5814A6"/>
    <w:rsid w:val="1F6F39A8"/>
    <w:rsid w:val="1F7A414E"/>
    <w:rsid w:val="1F8257E5"/>
    <w:rsid w:val="1F8337AA"/>
    <w:rsid w:val="1F8F460B"/>
    <w:rsid w:val="1F9D4294"/>
    <w:rsid w:val="1FA63C56"/>
    <w:rsid w:val="1FB538DF"/>
    <w:rsid w:val="1FC521FC"/>
    <w:rsid w:val="1FD0078A"/>
    <w:rsid w:val="1FD925B8"/>
    <w:rsid w:val="1FE84B38"/>
    <w:rsid w:val="1FF05211"/>
    <w:rsid w:val="1FFF5A95"/>
    <w:rsid w:val="200E0DE0"/>
    <w:rsid w:val="20110087"/>
    <w:rsid w:val="201218DF"/>
    <w:rsid w:val="201C198C"/>
    <w:rsid w:val="201D3642"/>
    <w:rsid w:val="201D6A10"/>
    <w:rsid w:val="201F6C8F"/>
    <w:rsid w:val="20272EEB"/>
    <w:rsid w:val="202C7E22"/>
    <w:rsid w:val="20384A18"/>
    <w:rsid w:val="20464C6E"/>
    <w:rsid w:val="204726BA"/>
    <w:rsid w:val="204C0E05"/>
    <w:rsid w:val="204F08FF"/>
    <w:rsid w:val="20695971"/>
    <w:rsid w:val="206C70EB"/>
    <w:rsid w:val="208F6602"/>
    <w:rsid w:val="20943C19"/>
    <w:rsid w:val="209A6442"/>
    <w:rsid w:val="20A54BD7"/>
    <w:rsid w:val="20C5396B"/>
    <w:rsid w:val="20C61DCC"/>
    <w:rsid w:val="20E65FA8"/>
    <w:rsid w:val="20EA13C5"/>
    <w:rsid w:val="20F00398"/>
    <w:rsid w:val="20F50E9B"/>
    <w:rsid w:val="20FA3A7C"/>
    <w:rsid w:val="20FE7FBE"/>
    <w:rsid w:val="21022D35"/>
    <w:rsid w:val="210963B5"/>
    <w:rsid w:val="2116545B"/>
    <w:rsid w:val="211827FA"/>
    <w:rsid w:val="21240AF9"/>
    <w:rsid w:val="212C6D4C"/>
    <w:rsid w:val="213E79D8"/>
    <w:rsid w:val="2141232F"/>
    <w:rsid w:val="21422B8F"/>
    <w:rsid w:val="21476D32"/>
    <w:rsid w:val="216423A3"/>
    <w:rsid w:val="21774677"/>
    <w:rsid w:val="21792311"/>
    <w:rsid w:val="217B7949"/>
    <w:rsid w:val="217C0935"/>
    <w:rsid w:val="21883148"/>
    <w:rsid w:val="218E6104"/>
    <w:rsid w:val="21901B4C"/>
    <w:rsid w:val="219E0004"/>
    <w:rsid w:val="21AD1289"/>
    <w:rsid w:val="21CC1E37"/>
    <w:rsid w:val="21D34FE5"/>
    <w:rsid w:val="21DF02AE"/>
    <w:rsid w:val="21E35C39"/>
    <w:rsid w:val="21E61BFA"/>
    <w:rsid w:val="21E84892"/>
    <w:rsid w:val="21F26229"/>
    <w:rsid w:val="21F42757"/>
    <w:rsid w:val="21F7727A"/>
    <w:rsid w:val="21F91B2F"/>
    <w:rsid w:val="21FD68E3"/>
    <w:rsid w:val="220339B9"/>
    <w:rsid w:val="222120EE"/>
    <w:rsid w:val="22307CA8"/>
    <w:rsid w:val="223E2F45"/>
    <w:rsid w:val="22466F6A"/>
    <w:rsid w:val="22540E99"/>
    <w:rsid w:val="225C7F82"/>
    <w:rsid w:val="226451C1"/>
    <w:rsid w:val="226A71E0"/>
    <w:rsid w:val="226E0B14"/>
    <w:rsid w:val="22716E90"/>
    <w:rsid w:val="22783E7E"/>
    <w:rsid w:val="22787893"/>
    <w:rsid w:val="227E6629"/>
    <w:rsid w:val="22893547"/>
    <w:rsid w:val="22932BD2"/>
    <w:rsid w:val="229C3BF5"/>
    <w:rsid w:val="229F0552"/>
    <w:rsid w:val="22B47DD8"/>
    <w:rsid w:val="22B80F40"/>
    <w:rsid w:val="22B9297A"/>
    <w:rsid w:val="22BA2DC1"/>
    <w:rsid w:val="22BE4A1C"/>
    <w:rsid w:val="22C07FB7"/>
    <w:rsid w:val="22D12F02"/>
    <w:rsid w:val="22D25B7F"/>
    <w:rsid w:val="22DD18A7"/>
    <w:rsid w:val="22E212BD"/>
    <w:rsid w:val="22EA2AAB"/>
    <w:rsid w:val="22EE7610"/>
    <w:rsid w:val="22F25367"/>
    <w:rsid w:val="22F7482B"/>
    <w:rsid w:val="230D32A4"/>
    <w:rsid w:val="230F7578"/>
    <w:rsid w:val="23124F20"/>
    <w:rsid w:val="23137077"/>
    <w:rsid w:val="231926ED"/>
    <w:rsid w:val="232B5A8E"/>
    <w:rsid w:val="234154A7"/>
    <w:rsid w:val="23492A98"/>
    <w:rsid w:val="234A145C"/>
    <w:rsid w:val="234C5484"/>
    <w:rsid w:val="23517B9F"/>
    <w:rsid w:val="235A229B"/>
    <w:rsid w:val="235D4687"/>
    <w:rsid w:val="23642EEB"/>
    <w:rsid w:val="236A18D9"/>
    <w:rsid w:val="2372366E"/>
    <w:rsid w:val="23744C48"/>
    <w:rsid w:val="23877225"/>
    <w:rsid w:val="238B30B1"/>
    <w:rsid w:val="239000C6"/>
    <w:rsid w:val="239E2D93"/>
    <w:rsid w:val="23A138DD"/>
    <w:rsid w:val="23A30099"/>
    <w:rsid w:val="23A54B5C"/>
    <w:rsid w:val="23B0114F"/>
    <w:rsid w:val="23B5274C"/>
    <w:rsid w:val="23C028CA"/>
    <w:rsid w:val="23C55EFB"/>
    <w:rsid w:val="23CE2152"/>
    <w:rsid w:val="23CF7C72"/>
    <w:rsid w:val="23DC1D56"/>
    <w:rsid w:val="23FD4E65"/>
    <w:rsid w:val="2401522B"/>
    <w:rsid w:val="24051263"/>
    <w:rsid w:val="240531D7"/>
    <w:rsid w:val="242B219E"/>
    <w:rsid w:val="2435556B"/>
    <w:rsid w:val="24422B2D"/>
    <w:rsid w:val="24490BD3"/>
    <w:rsid w:val="244F40DF"/>
    <w:rsid w:val="24566550"/>
    <w:rsid w:val="246012A8"/>
    <w:rsid w:val="246F652F"/>
    <w:rsid w:val="24891B61"/>
    <w:rsid w:val="248C6EB7"/>
    <w:rsid w:val="248C70E1"/>
    <w:rsid w:val="249752A8"/>
    <w:rsid w:val="24A87727"/>
    <w:rsid w:val="24AB1CFA"/>
    <w:rsid w:val="24AC2344"/>
    <w:rsid w:val="24AD5BB7"/>
    <w:rsid w:val="24AF354F"/>
    <w:rsid w:val="24C10EDB"/>
    <w:rsid w:val="24C26FA6"/>
    <w:rsid w:val="24C30909"/>
    <w:rsid w:val="24CC56C3"/>
    <w:rsid w:val="24D171E9"/>
    <w:rsid w:val="24ED1FD1"/>
    <w:rsid w:val="25053399"/>
    <w:rsid w:val="25066858"/>
    <w:rsid w:val="25206EC5"/>
    <w:rsid w:val="252A06A8"/>
    <w:rsid w:val="253A3D4D"/>
    <w:rsid w:val="253B28B5"/>
    <w:rsid w:val="25401C79"/>
    <w:rsid w:val="256147DF"/>
    <w:rsid w:val="25771CD4"/>
    <w:rsid w:val="257B6AC7"/>
    <w:rsid w:val="25876119"/>
    <w:rsid w:val="25A50CDD"/>
    <w:rsid w:val="25A91018"/>
    <w:rsid w:val="25B619EE"/>
    <w:rsid w:val="25D12A1F"/>
    <w:rsid w:val="25FA74DF"/>
    <w:rsid w:val="25FC11F9"/>
    <w:rsid w:val="26046BDA"/>
    <w:rsid w:val="260E0B28"/>
    <w:rsid w:val="26176E7E"/>
    <w:rsid w:val="261B32AB"/>
    <w:rsid w:val="261C3240"/>
    <w:rsid w:val="26420B0E"/>
    <w:rsid w:val="264F525C"/>
    <w:rsid w:val="26555C18"/>
    <w:rsid w:val="266B4E43"/>
    <w:rsid w:val="268D253B"/>
    <w:rsid w:val="268F2EB8"/>
    <w:rsid w:val="26A070A5"/>
    <w:rsid w:val="26A1499A"/>
    <w:rsid w:val="26A20C31"/>
    <w:rsid w:val="26B500A6"/>
    <w:rsid w:val="26BC0B56"/>
    <w:rsid w:val="26C73FAE"/>
    <w:rsid w:val="26CF05AC"/>
    <w:rsid w:val="26D058DA"/>
    <w:rsid w:val="26D572EE"/>
    <w:rsid w:val="26E845BD"/>
    <w:rsid w:val="26FD4EBA"/>
    <w:rsid w:val="270F0A30"/>
    <w:rsid w:val="27127645"/>
    <w:rsid w:val="273B76FF"/>
    <w:rsid w:val="273D0B66"/>
    <w:rsid w:val="2742555E"/>
    <w:rsid w:val="27550E8B"/>
    <w:rsid w:val="275A34C6"/>
    <w:rsid w:val="27690144"/>
    <w:rsid w:val="277515FF"/>
    <w:rsid w:val="27815CC1"/>
    <w:rsid w:val="27871B23"/>
    <w:rsid w:val="278C389C"/>
    <w:rsid w:val="278F3061"/>
    <w:rsid w:val="27912249"/>
    <w:rsid w:val="27953232"/>
    <w:rsid w:val="27954F15"/>
    <w:rsid w:val="279D31ED"/>
    <w:rsid w:val="27A801EB"/>
    <w:rsid w:val="27AE3812"/>
    <w:rsid w:val="27B0354C"/>
    <w:rsid w:val="27B131D1"/>
    <w:rsid w:val="27BD3079"/>
    <w:rsid w:val="27C070A1"/>
    <w:rsid w:val="27C83DAF"/>
    <w:rsid w:val="27CA69A9"/>
    <w:rsid w:val="27D90502"/>
    <w:rsid w:val="27E72880"/>
    <w:rsid w:val="27F13668"/>
    <w:rsid w:val="27FB6ABC"/>
    <w:rsid w:val="28034C59"/>
    <w:rsid w:val="2806486C"/>
    <w:rsid w:val="28126BBF"/>
    <w:rsid w:val="28137D39"/>
    <w:rsid w:val="28176B07"/>
    <w:rsid w:val="28247FAD"/>
    <w:rsid w:val="282E6701"/>
    <w:rsid w:val="28321D4D"/>
    <w:rsid w:val="283843A9"/>
    <w:rsid w:val="283C2BCC"/>
    <w:rsid w:val="283E454D"/>
    <w:rsid w:val="2852520F"/>
    <w:rsid w:val="28A87747"/>
    <w:rsid w:val="28AB01AF"/>
    <w:rsid w:val="28AC23BA"/>
    <w:rsid w:val="28B32269"/>
    <w:rsid w:val="28B5297E"/>
    <w:rsid w:val="28BE6BAC"/>
    <w:rsid w:val="28C0505B"/>
    <w:rsid w:val="28C97E18"/>
    <w:rsid w:val="28CD22D6"/>
    <w:rsid w:val="28F52C88"/>
    <w:rsid w:val="28FC235B"/>
    <w:rsid w:val="290753A0"/>
    <w:rsid w:val="2916341D"/>
    <w:rsid w:val="29262CF0"/>
    <w:rsid w:val="29282EB2"/>
    <w:rsid w:val="29287ADB"/>
    <w:rsid w:val="29473C48"/>
    <w:rsid w:val="295274DA"/>
    <w:rsid w:val="297970CA"/>
    <w:rsid w:val="29843526"/>
    <w:rsid w:val="298A1827"/>
    <w:rsid w:val="29943B70"/>
    <w:rsid w:val="29962C24"/>
    <w:rsid w:val="29A22F02"/>
    <w:rsid w:val="29A769B3"/>
    <w:rsid w:val="29A9603F"/>
    <w:rsid w:val="29AB1B8D"/>
    <w:rsid w:val="29AB1C97"/>
    <w:rsid w:val="29BD030D"/>
    <w:rsid w:val="29C059A7"/>
    <w:rsid w:val="29CE019B"/>
    <w:rsid w:val="29DB7B0D"/>
    <w:rsid w:val="29E03C81"/>
    <w:rsid w:val="29E72052"/>
    <w:rsid w:val="29E83198"/>
    <w:rsid w:val="29EC0453"/>
    <w:rsid w:val="29EF7B3D"/>
    <w:rsid w:val="29F10C31"/>
    <w:rsid w:val="29FD0129"/>
    <w:rsid w:val="2A0E7B13"/>
    <w:rsid w:val="2A1A2158"/>
    <w:rsid w:val="2A1C2CB5"/>
    <w:rsid w:val="2A2042A1"/>
    <w:rsid w:val="2A290553"/>
    <w:rsid w:val="2A2C562E"/>
    <w:rsid w:val="2A2D472D"/>
    <w:rsid w:val="2A382AE6"/>
    <w:rsid w:val="2A3E4F68"/>
    <w:rsid w:val="2A420242"/>
    <w:rsid w:val="2A554670"/>
    <w:rsid w:val="2A574905"/>
    <w:rsid w:val="2A922F77"/>
    <w:rsid w:val="2A992332"/>
    <w:rsid w:val="2AAE58D7"/>
    <w:rsid w:val="2AB03CC6"/>
    <w:rsid w:val="2ABC7FF4"/>
    <w:rsid w:val="2ACB7716"/>
    <w:rsid w:val="2AD92954"/>
    <w:rsid w:val="2AE12CA5"/>
    <w:rsid w:val="2AEA23E1"/>
    <w:rsid w:val="2AFC02B9"/>
    <w:rsid w:val="2AFE5308"/>
    <w:rsid w:val="2B074AEE"/>
    <w:rsid w:val="2B1B52BC"/>
    <w:rsid w:val="2B1C47CD"/>
    <w:rsid w:val="2B1E66A8"/>
    <w:rsid w:val="2B2323F5"/>
    <w:rsid w:val="2B273BD5"/>
    <w:rsid w:val="2B4B32D8"/>
    <w:rsid w:val="2B58712F"/>
    <w:rsid w:val="2B6B1902"/>
    <w:rsid w:val="2B734F3C"/>
    <w:rsid w:val="2B977C2C"/>
    <w:rsid w:val="2B9C479C"/>
    <w:rsid w:val="2B9D033E"/>
    <w:rsid w:val="2BA271EA"/>
    <w:rsid w:val="2BA4419B"/>
    <w:rsid w:val="2BA80EDD"/>
    <w:rsid w:val="2BB7311C"/>
    <w:rsid w:val="2BBE26D6"/>
    <w:rsid w:val="2BC21981"/>
    <w:rsid w:val="2BDC2ADA"/>
    <w:rsid w:val="2BE778B0"/>
    <w:rsid w:val="2BEF1DD7"/>
    <w:rsid w:val="2BFF568F"/>
    <w:rsid w:val="2C0C44E2"/>
    <w:rsid w:val="2C17154E"/>
    <w:rsid w:val="2C1838DF"/>
    <w:rsid w:val="2C1E4F6C"/>
    <w:rsid w:val="2C234DD4"/>
    <w:rsid w:val="2C2A5580"/>
    <w:rsid w:val="2C2B5325"/>
    <w:rsid w:val="2C3D2FC5"/>
    <w:rsid w:val="2C3F0EDD"/>
    <w:rsid w:val="2C4D00EB"/>
    <w:rsid w:val="2C7131C6"/>
    <w:rsid w:val="2C764C8A"/>
    <w:rsid w:val="2C791678"/>
    <w:rsid w:val="2C7C310A"/>
    <w:rsid w:val="2C956D4E"/>
    <w:rsid w:val="2C9F7868"/>
    <w:rsid w:val="2CAE33D0"/>
    <w:rsid w:val="2CBA6D4E"/>
    <w:rsid w:val="2CE5125A"/>
    <w:rsid w:val="2CEC65C4"/>
    <w:rsid w:val="2D0D7F85"/>
    <w:rsid w:val="2D1265F1"/>
    <w:rsid w:val="2D1B1E56"/>
    <w:rsid w:val="2D1B718F"/>
    <w:rsid w:val="2D207727"/>
    <w:rsid w:val="2D224FAF"/>
    <w:rsid w:val="2D255A57"/>
    <w:rsid w:val="2D2C001B"/>
    <w:rsid w:val="2D306A77"/>
    <w:rsid w:val="2D4A136B"/>
    <w:rsid w:val="2D5337A3"/>
    <w:rsid w:val="2D577C6A"/>
    <w:rsid w:val="2D6730B5"/>
    <w:rsid w:val="2D7B14F4"/>
    <w:rsid w:val="2D845798"/>
    <w:rsid w:val="2D850B71"/>
    <w:rsid w:val="2D8B5FA7"/>
    <w:rsid w:val="2D8F19F0"/>
    <w:rsid w:val="2D9300E2"/>
    <w:rsid w:val="2D96495C"/>
    <w:rsid w:val="2D99286E"/>
    <w:rsid w:val="2D9C0952"/>
    <w:rsid w:val="2DAB6951"/>
    <w:rsid w:val="2DAC392A"/>
    <w:rsid w:val="2DB43204"/>
    <w:rsid w:val="2DBE660E"/>
    <w:rsid w:val="2DC013E6"/>
    <w:rsid w:val="2DC51948"/>
    <w:rsid w:val="2DD318EF"/>
    <w:rsid w:val="2DDC6547"/>
    <w:rsid w:val="2DF52D5B"/>
    <w:rsid w:val="2E0454D5"/>
    <w:rsid w:val="2E05197E"/>
    <w:rsid w:val="2E0917A2"/>
    <w:rsid w:val="2E101B70"/>
    <w:rsid w:val="2E21425A"/>
    <w:rsid w:val="2E2E1209"/>
    <w:rsid w:val="2E341332"/>
    <w:rsid w:val="2E470F0E"/>
    <w:rsid w:val="2E4A12CB"/>
    <w:rsid w:val="2E676495"/>
    <w:rsid w:val="2E7368E9"/>
    <w:rsid w:val="2E7755A8"/>
    <w:rsid w:val="2E787A55"/>
    <w:rsid w:val="2E7F2D66"/>
    <w:rsid w:val="2E935EFB"/>
    <w:rsid w:val="2EC0342C"/>
    <w:rsid w:val="2ECD7114"/>
    <w:rsid w:val="2EE51F75"/>
    <w:rsid w:val="2EF57F78"/>
    <w:rsid w:val="2F016D7F"/>
    <w:rsid w:val="2F025A74"/>
    <w:rsid w:val="2F0B55B1"/>
    <w:rsid w:val="2F2A007F"/>
    <w:rsid w:val="2F35284F"/>
    <w:rsid w:val="2F3D1007"/>
    <w:rsid w:val="2F436F36"/>
    <w:rsid w:val="2F4862FA"/>
    <w:rsid w:val="2F5D527A"/>
    <w:rsid w:val="2F6628CB"/>
    <w:rsid w:val="2F6D51D0"/>
    <w:rsid w:val="2F7251B8"/>
    <w:rsid w:val="2F7E44FF"/>
    <w:rsid w:val="2F8C6304"/>
    <w:rsid w:val="2F98789D"/>
    <w:rsid w:val="2FB5672F"/>
    <w:rsid w:val="2FD42024"/>
    <w:rsid w:val="2FEB4849"/>
    <w:rsid w:val="2FEF03F6"/>
    <w:rsid w:val="2FF00B78"/>
    <w:rsid w:val="2FF3051C"/>
    <w:rsid w:val="2FF715B4"/>
    <w:rsid w:val="30000750"/>
    <w:rsid w:val="30025CD4"/>
    <w:rsid w:val="300264A9"/>
    <w:rsid w:val="300415AB"/>
    <w:rsid w:val="300A2C29"/>
    <w:rsid w:val="30267F70"/>
    <w:rsid w:val="302C7292"/>
    <w:rsid w:val="302E5D19"/>
    <w:rsid w:val="303322EC"/>
    <w:rsid w:val="303573E1"/>
    <w:rsid w:val="30391AF4"/>
    <w:rsid w:val="303F75A4"/>
    <w:rsid w:val="30554E86"/>
    <w:rsid w:val="305F3CE6"/>
    <w:rsid w:val="306154F3"/>
    <w:rsid w:val="307B4615"/>
    <w:rsid w:val="30822445"/>
    <w:rsid w:val="308358EB"/>
    <w:rsid w:val="30854247"/>
    <w:rsid w:val="308D4D04"/>
    <w:rsid w:val="30976B8A"/>
    <w:rsid w:val="30A7083C"/>
    <w:rsid w:val="30BF083E"/>
    <w:rsid w:val="30C04F8D"/>
    <w:rsid w:val="30C15D3F"/>
    <w:rsid w:val="30C348C1"/>
    <w:rsid w:val="30D24E34"/>
    <w:rsid w:val="30D50061"/>
    <w:rsid w:val="30D76D61"/>
    <w:rsid w:val="30D92469"/>
    <w:rsid w:val="30DA3B45"/>
    <w:rsid w:val="30DB3667"/>
    <w:rsid w:val="30E84971"/>
    <w:rsid w:val="30EA15B7"/>
    <w:rsid w:val="30F55519"/>
    <w:rsid w:val="30F67D93"/>
    <w:rsid w:val="30FC114A"/>
    <w:rsid w:val="30FC5E01"/>
    <w:rsid w:val="31184ECC"/>
    <w:rsid w:val="311976D9"/>
    <w:rsid w:val="311D6FB4"/>
    <w:rsid w:val="31273722"/>
    <w:rsid w:val="31300CC0"/>
    <w:rsid w:val="313E37EB"/>
    <w:rsid w:val="3149133D"/>
    <w:rsid w:val="314B11FB"/>
    <w:rsid w:val="314C4209"/>
    <w:rsid w:val="314D0008"/>
    <w:rsid w:val="314D7D8D"/>
    <w:rsid w:val="314E12C4"/>
    <w:rsid w:val="315432A6"/>
    <w:rsid w:val="3156797C"/>
    <w:rsid w:val="31605D30"/>
    <w:rsid w:val="31627F6E"/>
    <w:rsid w:val="316E44E2"/>
    <w:rsid w:val="31712B23"/>
    <w:rsid w:val="31761371"/>
    <w:rsid w:val="317A6513"/>
    <w:rsid w:val="319E7BAE"/>
    <w:rsid w:val="31A062E8"/>
    <w:rsid w:val="31AF6A41"/>
    <w:rsid w:val="31B14C7E"/>
    <w:rsid w:val="31B534FB"/>
    <w:rsid w:val="31B82FE6"/>
    <w:rsid w:val="31B8676D"/>
    <w:rsid w:val="31B9528D"/>
    <w:rsid w:val="31C9748E"/>
    <w:rsid w:val="31CD4FBE"/>
    <w:rsid w:val="31CE475B"/>
    <w:rsid w:val="31CF248B"/>
    <w:rsid w:val="31D26A1F"/>
    <w:rsid w:val="31E41E8A"/>
    <w:rsid w:val="31EB0D0B"/>
    <w:rsid w:val="31EB52C2"/>
    <w:rsid w:val="31EC0C98"/>
    <w:rsid w:val="31EC7A41"/>
    <w:rsid w:val="32036451"/>
    <w:rsid w:val="321C6378"/>
    <w:rsid w:val="321C7D2E"/>
    <w:rsid w:val="32200619"/>
    <w:rsid w:val="323B45FC"/>
    <w:rsid w:val="32501F2B"/>
    <w:rsid w:val="32516985"/>
    <w:rsid w:val="32583592"/>
    <w:rsid w:val="3264223F"/>
    <w:rsid w:val="326C3252"/>
    <w:rsid w:val="32727A66"/>
    <w:rsid w:val="32760700"/>
    <w:rsid w:val="32A41EE5"/>
    <w:rsid w:val="32AC7C0C"/>
    <w:rsid w:val="32B91683"/>
    <w:rsid w:val="32CA32AD"/>
    <w:rsid w:val="32E06949"/>
    <w:rsid w:val="32E23EE8"/>
    <w:rsid w:val="32E60304"/>
    <w:rsid w:val="32FB781C"/>
    <w:rsid w:val="33060513"/>
    <w:rsid w:val="331111DC"/>
    <w:rsid w:val="3311160D"/>
    <w:rsid w:val="33131CF1"/>
    <w:rsid w:val="331B05B7"/>
    <w:rsid w:val="331C5009"/>
    <w:rsid w:val="3346525D"/>
    <w:rsid w:val="334C427A"/>
    <w:rsid w:val="33553607"/>
    <w:rsid w:val="33605317"/>
    <w:rsid w:val="3360580F"/>
    <w:rsid w:val="33656111"/>
    <w:rsid w:val="336A0240"/>
    <w:rsid w:val="336B5A1C"/>
    <w:rsid w:val="3375676A"/>
    <w:rsid w:val="337A712F"/>
    <w:rsid w:val="3388317A"/>
    <w:rsid w:val="338D4446"/>
    <w:rsid w:val="338F5796"/>
    <w:rsid w:val="339D3D83"/>
    <w:rsid w:val="33A57505"/>
    <w:rsid w:val="33A627D4"/>
    <w:rsid w:val="33B62AF0"/>
    <w:rsid w:val="33C021B7"/>
    <w:rsid w:val="33C366C2"/>
    <w:rsid w:val="33CE5590"/>
    <w:rsid w:val="33E22FE4"/>
    <w:rsid w:val="33E729B1"/>
    <w:rsid w:val="33EB1F16"/>
    <w:rsid w:val="33F00D0E"/>
    <w:rsid w:val="33F535CC"/>
    <w:rsid w:val="341721CA"/>
    <w:rsid w:val="341B3FDD"/>
    <w:rsid w:val="3429270D"/>
    <w:rsid w:val="343154B4"/>
    <w:rsid w:val="34326223"/>
    <w:rsid w:val="3457360B"/>
    <w:rsid w:val="345B262C"/>
    <w:rsid w:val="3473713C"/>
    <w:rsid w:val="348A6130"/>
    <w:rsid w:val="3490176E"/>
    <w:rsid w:val="34973B09"/>
    <w:rsid w:val="34A23F7D"/>
    <w:rsid w:val="34A279CE"/>
    <w:rsid w:val="34A940DB"/>
    <w:rsid w:val="34B306BA"/>
    <w:rsid w:val="34BB2B12"/>
    <w:rsid w:val="34CB5171"/>
    <w:rsid w:val="34D4157C"/>
    <w:rsid w:val="34D93FB6"/>
    <w:rsid w:val="34EE34A0"/>
    <w:rsid w:val="34EF1FB6"/>
    <w:rsid w:val="34F064DC"/>
    <w:rsid w:val="34F36D08"/>
    <w:rsid w:val="34F56FB6"/>
    <w:rsid w:val="34FC0E58"/>
    <w:rsid w:val="35023653"/>
    <w:rsid w:val="350A48F4"/>
    <w:rsid w:val="35152680"/>
    <w:rsid w:val="352D7F3C"/>
    <w:rsid w:val="35322A25"/>
    <w:rsid w:val="35365552"/>
    <w:rsid w:val="3537307C"/>
    <w:rsid w:val="353B6429"/>
    <w:rsid w:val="353C2D8E"/>
    <w:rsid w:val="35442B98"/>
    <w:rsid w:val="35502042"/>
    <w:rsid w:val="35564277"/>
    <w:rsid w:val="35573394"/>
    <w:rsid w:val="3560099A"/>
    <w:rsid w:val="35677EEE"/>
    <w:rsid w:val="356B2ED3"/>
    <w:rsid w:val="357C4F4F"/>
    <w:rsid w:val="358142E3"/>
    <w:rsid w:val="35833D31"/>
    <w:rsid w:val="359A53D6"/>
    <w:rsid w:val="35A10846"/>
    <w:rsid w:val="35A67A52"/>
    <w:rsid w:val="35AB6694"/>
    <w:rsid w:val="35B07837"/>
    <w:rsid w:val="35B9585C"/>
    <w:rsid w:val="35BA6F50"/>
    <w:rsid w:val="35C12B22"/>
    <w:rsid w:val="35CD09D3"/>
    <w:rsid w:val="35D33384"/>
    <w:rsid w:val="35D366D7"/>
    <w:rsid w:val="35E0631F"/>
    <w:rsid w:val="35E813C1"/>
    <w:rsid w:val="35F80872"/>
    <w:rsid w:val="360676D3"/>
    <w:rsid w:val="360F0ABD"/>
    <w:rsid w:val="361207E1"/>
    <w:rsid w:val="361E1B63"/>
    <w:rsid w:val="362B47E5"/>
    <w:rsid w:val="36312FE4"/>
    <w:rsid w:val="36317AE8"/>
    <w:rsid w:val="36321D25"/>
    <w:rsid w:val="363D114E"/>
    <w:rsid w:val="364902C4"/>
    <w:rsid w:val="36534663"/>
    <w:rsid w:val="366006F2"/>
    <w:rsid w:val="367C2510"/>
    <w:rsid w:val="36822795"/>
    <w:rsid w:val="368B6363"/>
    <w:rsid w:val="368C664C"/>
    <w:rsid w:val="3694104C"/>
    <w:rsid w:val="36962041"/>
    <w:rsid w:val="36AD080D"/>
    <w:rsid w:val="36BB29AE"/>
    <w:rsid w:val="36E50F24"/>
    <w:rsid w:val="36E62FC7"/>
    <w:rsid w:val="36F60227"/>
    <w:rsid w:val="370065CF"/>
    <w:rsid w:val="370253CB"/>
    <w:rsid w:val="37046FAB"/>
    <w:rsid w:val="37173487"/>
    <w:rsid w:val="3719522C"/>
    <w:rsid w:val="37213FFA"/>
    <w:rsid w:val="37271FD5"/>
    <w:rsid w:val="372D03BC"/>
    <w:rsid w:val="372F61A0"/>
    <w:rsid w:val="37365B97"/>
    <w:rsid w:val="373830F8"/>
    <w:rsid w:val="37476798"/>
    <w:rsid w:val="375A590F"/>
    <w:rsid w:val="37677539"/>
    <w:rsid w:val="37691596"/>
    <w:rsid w:val="3772138A"/>
    <w:rsid w:val="377251A5"/>
    <w:rsid w:val="37734ECD"/>
    <w:rsid w:val="377C2F08"/>
    <w:rsid w:val="37800FB0"/>
    <w:rsid w:val="37822312"/>
    <w:rsid w:val="379A16BD"/>
    <w:rsid w:val="379C6CAB"/>
    <w:rsid w:val="37B22EAA"/>
    <w:rsid w:val="37CB20FD"/>
    <w:rsid w:val="37DF17C6"/>
    <w:rsid w:val="37E4128A"/>
    <w:rsid w:val="37EB63BD"/>
    <w:rsid w:val="37F60FE9"/>
    <w:rsid w:val="38071A95"/>
    <w:rsid w:val="38116E64"/>
    <w:rsid w:val="3814696E"/>
    <w:rsid w:val="38232A04"/>
    <w:rsid w:val="38346523"/>
    <w:rsid w:val="383A7598"/>
    <w:rsid w:val="38404012"/>
    <w:rsid w:val="384B0ABF"/>
    <w:rsid w:val="384D707C"/>
    <w:rsid w:val="38635AD8"/>
    <w:rsid w:val="38655460"/>
    <w:rsid w:val="387C450E"/>
    <w:rsid w:val="388100FC"/>
    <w:rsid w:val="38901DFB"/>
    <w:rsid w:val="38905267"/>
    <w:rsid w:val="389D060A"/>
    <w:rsid w:val="38A02B21"/>
    <w:rsid w:val="38A3018A"/>
    <w:rsid w:val="38AB1E3C"/>
    <w:rsid w:val="38AD5420"/>
    <w:rsid w:val="38B241BE"/>
    <w:rsid w:val="38BB0572"/>
    <w:rsid w:val="38C24C71"/>
    <w:rsid w:val="38C755A7"/>
    <w:rsid w:val="38D4425E"/>
    <w:rsid w:val="38DA0471"/>
    <w:rsid w:val="38F02E00"/>
    <w:rsid w:val="38F37B1F"/>
    <w:rsid w:val="3905086C"/>
    <w:rsid w:val="390F0DA7"/>
    <w:rsid w:val="392140C6"/>
    <w:rsid w:val="392A081F"/>
    <w:rsid w:val="39401395"/>
    <w:rsid w:val="39514782"/>
    <w:rsid w:val="3952354C"/>
    <w:rsid w:val="395A6CDB"/>
    <w:rsid w:val="39732A8A"/>
    <w:rsid w:val="397C7961"/>
    <w:rsid w:val="39952127"/>
    <w:rsid w:val="399E7599"/>
    <w:rsid w:val="39A11AC5"/>
    <w:rsid w:val="39BE663C"/>
    <w:rsid w:val="39BE7D7E"/>
    <w:rsid w:val="39C87A91"/>
    <w:rsid w:val="39E14844"/>
    <w:rsid w:val="39E369D3"/>
    <w:rsid w:val="39F674D4"/>
    <w:rsid w:val="39F73336"/>
    <w:rsid w:val="39F8731B"/>
    <w:rsid w:val="3A023ED5"/>
    <w:rsid w:val="3A0415D0"/>
    <w:rsid w:val="3A0B1AD6"/>
    <w:rsid w:val="3A114C4C"/>
    <w:rsid w:val="3A1A2F0E"/>
    <w:rsid w:val="3A2A6DEC"/>
    <w:rsid w:val="3A311447"/>
    <w:rsid w:val="3A6366DE"/>
    <w:rsid w:val="3A695433"/>
    <w:rsid w:val="3A6974C1"/>
    <w:rsid w:val="3A6D6C4E"/>
    <w:rsid w:val="3A6E700C"/>
    <w:rsid w:val="3A8F302F"/>
    <w:rsid w:val="3A9205F5"/>
    <w:rsid w:val="3A997B24"/>
    <w:rsid w:val="3AA27206"/>
    <w:rsid w:val="3AB154CE"/>
    <w:rsid w:val="3ABC194A"/>
    <w:rsid w:val="3AC141AD"/>
    <w:rsid w:val="3AC7206B"/>
    <w:rsid w:val="3AD56C69"/>
    <w:rsid w:val="3ADB0022"/>
    <w:rsid w:val="3AED2549"/>
    <w:rsid w:val="3AEE3AB0"/>
    <w:rsid w:val="3B002466"/>
    <w:rsid w:val="3B071129"/>
    <w:rsid w:val="3B11633E"/>
    <w:rsid w:val="3B354076"/>
    <w:rsid w:val="3B470A1F"/>
    <w:rsid w:val="3B490B1A"/>
    <w:rsid w:val="3B4E6A46"/>
    <w:rsid w:val="3B530F4B"/>
    <w:rsid w:val="3B5B2503"/>
    <w:rsid w:val="3B5D4473"/>
    <w:rsid w:val="3B620744"/>
    <w:rsid w:val="3B653901"/>
    <w:rsid w:val="3B7C54A2"/>
    <w:rsid w:val="3B954675"/>
    <w:rsid w:val="3BA7205E"/>
    <w:rsid w:val="3BA8263A"/>
    <w:rsid w:val="3BAB2A3E"/>
    <w:rsid w:val="3BB30D8B"/>
    <w:rsid w:val="3BDF2A6C"/>
    <w:rsid w:val="3BEC4B44"/>
    <w:rsid w:val="3BF4702A"/>
    <w:rsid w:val="3BFB0B40"/>
    <w:rsid w:val="3C0273B0"/>
    <w:rsid w:val="3C0A3A7E"/>
    <w:rsid w:val="3C0F0104"/>
    <w:rsid w:val="3C12216A"/>
    <w:rsid w:val="3C1B1007"/>
    <w:rsid w:val="3C226618"/>
    <w:rsid w:val="3C2A4E51"/>
    <w:rsid w:val="3C3F0A85"/>
    <w:rsid w:val="3C483CB4"/>
    <w:rsid w:val="3C4B11D8"/>
    <w:rsid w:val="3C5969E7"/>
    <w:rsid w:val="3C686BF7"/>
    <w:rsid w:val="3C6E3BE7"/>
    <w:rsid w:val="3C7D2976"/>
    <w:rsid w:val="3C7F59E2"/>
    <w:rsid w:val="3C8A14E8"/>
    <w:rsid w:val="3C8B6D7C"/>
    <w:rsid w:val="3CAB7BCD"/>
    <w:rsid w:val="3CC5690A"/>
    <w:rsid w:val="3CD36AB8"/>
    <w:rsid w:val="3CDD2778"/>
    <w:rsid w:val="3CEA5BDE"/>
    <w:rsid w:val="3CF078B7"/>
    <w:rsid w:val="3CF86FF5"/>
    <w:rsid w:val="3D000214"/>
    <w:rsid w:val="3D0474C3"/>
    <w:rsid w:val="3D0A4BA5"/>
    <w:rsid w:val="3D101A2B"/>
    <w:rsid w:val="3D2E0C02"/>
    <w:rsid w:val="3D304DF8"/>
    <w:rsid w:val="3D45293D"/>
    <w:rsid w:val="3D682B11"/>
    <w:rsid w:val="3D6E186A"/>
    <w:rsid w:val="3D6F341F"/>
    <w:rsid w:val="3D744ACE"/>
    <w:rsid w:val="3D745D58"/>
    <w:rsid w:val="3D773539"/>
    <w:rsid w:val="3D8C47F7"/>
    <w:rsid w:val="3D901772"/>
    <w:rsid w:val="3D921001"/>
    <w:rsid w:val="3D97259F"/>
    <w:rsid w:val="3D98044D"/>
    <w:rsid w:val="3DA23CA3"/>
    <w:rsid w:val="3DA816A8"/>
    <w:rsid w:val="3DB73026"/>
    <w:rsid w:val="3DBA7971"/>
    <w:rsid w:val="3DC01A0D"/>
    <w:rsid w:val="3DCA1F95"/>
    <w:rsid w:val="3DCF7160"/>
    <w:rsid w:val="3DD93A54"/>
    <w:rsid w:val="3DE54CC2"/>
    <w:rsid w:val="3DE852E9"/>
    <w:rsid w:val="3DF42303"/>
    <w:rsid w:val="3E027FBC"/>
    <w:rsid w:val="3E077787"/>
    <w:rsid w:val="3E0A0FE6"/>
    <w:rsid w:val="3E1321C9"/>
    <w:rsid w:val="3E261EFC"/>
    <w:rsid w:val="3E275720"/>
    <w:rsid w:val="3E275775"/>
    <w:rsid w:val="3E295A9C"/>
    <w:rsid w:val="3E2A01F6"/>
    <w:rsid w:val="3E4375C0"/>
    <w:rsid w:val="3E626650"/>
    <w:rsid w:val="3E6719E5"/>
    <w:rsid w:val="3E757797"/>
    <w:rsid w:val="3E9474CD"/>
    <w:rsid w:val="3EB06326"/>
    <w:rsid w:val="3EB46785"/>
    <w:rsid w:val="3EBA27AC"/>
    <w:rsid w:val="3EC72B22"/>
    <w:rsid w:val="3ECA3D26"/>
    <w:rsid w:val="3EDA1C30"/>
    <w:rsid w:val="3EEE29D8"/>
    <w:rsid w:val="3EF11BD5"/>
    <w:rsid w:val="3F0C48A0"/>
    <w:rsid w:val="3F192DEA"/>
    <w:rsid w:val="3F1E048E"/>
    <w:rsid w:val="3F2060A9"/>
    <w:rsid w:val="3F276497"/>
    <w:rsid w:val="3F2859A4"/>
    <w:rsid w:val="3F3D2D77"/>
    <w:rsid w:val="3F485824"/>
    <w:rsid w:val="3F4A00E7"/>
    <w:rsid w:val="3F502383"/>
    <w:rsid w:val="3F5142BC"/>
    <w:rsid w:val="3F5623A1"/>
    <w:rsid w:val="3F5A6F94"/>
    <w:rsid w:val="3F620137"/>
    <w:rsid w:val="3F663BD0"/>
    <w:rsid w:val="3F6F29E4"/>
    <w:rsid w:val="3F732F1F"/>
    <w:rsid w:val="3F736E8A"/>
    <w:rsid w:val="3F85387F"/>
    <w:rsid w:val="3F902B29"/>
    <w:rsid w:val="3FA05BFF"/>
    <w:rsid w:val="3FA3204F"/>
    <w:rsid w:val="3FA92975"/>
    <w:rsid w:val="3FAA26B9"/>
    <w:rsid w:val="3FB03E4F"/>
    <w:rsid w:val="3FB525D4"/>
    <w:rsid w:val="3FCA14CC"/>
    <w:rsid w:val="3FCE0992"/>
    <w:rsid w:val="3FDB2873"/>
    <w:rsid w:val="3FDE180D"/>
    <w:rsid w:val="3FE37C04"/>
    <w:rsid w:val="3FE576C8"/>
    <w:rsid w:val="3FF43934"/>
    <w:rsid w:val="3FF71FCF"/>
    <w:rsid w:val="3FFC7114"/>
    <w:rsid w:val="40022581"/>
    <w:rsid w:val="40022643"/>
    <w:rsid w:val="400B3697"/>
    <w:rsid w:val="401069C0"/>
    <w:rsid w:val="40107986"/>
    <w:rsid w:val="401C7D85"/>
    <w:rsid w:val="401D6836"/>
    <w:rsid w:val="402E5098"/>
    <w:rsid w:val="40325F76"/>
    <w:rsid w:val="40444EDF"/>
    <w:rsid w:val="404B6162"/>
    <w:rsid w:val="404F4EEB"/>
    <w:rsid w:val="40524625"/>
    <w:rsid w:val="40567A9F"/>
    <w:rsid w:val="405C51AD"/>
    <w:rsid w:val="405D597D"/>
    <w:rsid w:val="405E259B"/>
    <w:rsid w:val="406008D5"/>
    <w:rsid w:val="40732947"/>
    <w:rsid w:val="40752CC7"/>
    <w:rsid w:val="40763E53"/>
    <w:rsid w:val="4081166C"/>
    <w:rsid w:val="40885594"/>
    <w:rsid w:val="40A52592"/>
    <w:rsid w:val="40A62D17"/>
    <w:rsid w:val="40AC406D"/>
    <w:rsid w:val="40C20C2B"/>
    <w:rsid w:val="40C252AD"/>
    <w:rsid w:val="40C95394"/>
    <w:rsid w:val="40D014FF"/>
    <w:rsid w:val="40D84227"/>
    <w:rsid w:val="40D90818"/>
    <w:rsid w:val="40DA0AB8"/>
    <w:rsid w:val="40DB15EA"/>
    <w:rsid w:val="40F349F8"/>
    <w:rsid w:val="41071D82"/>
    <w:rsid w:val="41132218"/>
    <w:rsid w:val="411A7C04"/>
    <w:rsid w:val="411C1641"/>
    <w:rsid w:val="412129BE"/>
    <w:rsid w:val="412529CF"/>
    <w:rsid w:val="41265F8E"/>
    <w:rsid w:val="41290ABA"/>
    <w:rsid w:val="4131466B"/>
    <w:rsid w:val="413606A8"/>
    <w:rsid w:val="413829CF"/>
    <w:rsid w:val="415450C7"/>
    <w:rsid w:val="41705095"/>
    <w:rsid w:val="41720FB5"/>
    <w:rsid w:val="417E2E17"/>
    <w:rsid w:val="41883E0D"/>
    <w:rsid w:val="418A3EBD"/>
    <w:rsid w:val="418F4307"/>
    <w:rsid w:val="4190081B"/>
    <w:rsid w:val="4191796A"/>
    <w:rsid w:val="419400DA"/>
    <w:rsid w:val="41944DB8"/>
    <w:rsid w:val="419B675D"/>
    <w:rsid w:val="41B130EF"/>
    <w:rsid w:val="41B7738D"/>
    <w:rsid w:val="41BB0D8A"/>
    <w:rsid w:val="41D36608"/>
    <w:rsid w:val="41E35051"/>
    <w:rsid w:val="4208015B"/>
    <w:rsid w:val="421B1192"/>
    <w:rsid w:val="422F21B8"/>
    <w:rsid w:val="42336996"/>
    <w:rsid w:val="4242119A"/>
    <w:rsid w:val="42487693"/>
    <w:rsid w:val="42523157"/>
    <w:rsid w:val="426C1EA8"/>
    <w:rsid w:val="42723962"/>
    <w:rsid w:val="427C7633"/>
    <w:rsid w:val="428A124B"/>
    <w:rsid w:val="428C108B"/>
    <w:rsid w:val="428C6591"/>
    <w:rsid w:val="428E4CC2"/>
    <w:rsid w:val="42A33B1C"/>
    <w:rsid w:val="42AE426E"/>
    <w:rsid w:val="42B06238"/>
    <w:rsid w:val="42C67A3A"/>
    <w:rsid w:val="42CE7B81"/>
    <w:rsid w:val="42D23F31"/>
    <w:rsid w:val="42D36B5F"/>
    <w:rsid w:val="42E15E80"/>
    <w:rsid w:val="42E51B9C"/>
    <w:rsid w:val="42EE559C"/>
    <w:rsid w:val="42EF1BD0"/>
    <w:rsid w:val="42F27EC6"/>
    <w:rsid w:val="42F868E9"/>
    <w:rsid w:val="431D7124"/>
    <w:rsid w:val="432664FB"/>
    <w:rsid w:val="433413E4"/>
    <w:rsid w:val="43354665"/>
    <w:rsid w:val="43427D34"/>
    <w:rsid w:val="43532CD9"/>
    <w:rsid w:val="4358262B"/>
    <w:rsid w:val="43686504"/>
    <w:rsid w:val="436A3505"/>
    <w:rsid w:val="43753273"/>
    <w:rsid w:val="43813B18"/>
    <w:rsid w:val="43864B7F"/>
    <w:rsid w:val="43866A2B"/>
    <w:rsid w:val="438A6288"/>
    <w:rsid w:val="439216B6"/>
    <w:rsid w:val="43B642A2"/>
    <w:rsid w:val="43BA01CE"/>
    <w:rsid w:val="43CB6F2F"/>
    <w:rsid w:val="43E07E5B"/>
    <w:rsid w:val="43E41F85"/>
    <w:rsid w:val="43F54DA9"/>
    <w:rsid w:val="44047339"/>
    <w:rsid w:val="441427F7"/>
    <w:rsid w:val="441C21E9"/>
    <w:rsid w:val="442F0DCA"/>
    <w:rsid w:val="4435005E"/>
    <w:rsid w:val="443E4836"/>
    <w:rsid w:val="444621E3"/>
    <w:rsid w:val="44504AC9"/>
    <w:rsid w:val="44566ACA"/>
    <w:rsid w:val="446210E3"/>
    <w:rsid w:val="44694196"/>
    <w:rsid w:val="4473751E"/>
    <w:rsid w:val="44880BF4"/>
    <w:rsid w:val="448F2097"/>
    <w:rsid w:val="44932576"/>
    <w:rsid w:val="44940A78"/>
    <w:rsid w:val="4495527A"/>
    <w:rsid w:val="449C7512"/>
    <w:rsid w:val="44A818BD"/>
    <w:rsid w:val="44B241DF"/>
    <w:rsid w:val="44B279A1"/>
    <w:rsid w:val="44D51485"/>
    <w:rsid w:val="44D93DC8"/>
    <w:rsid w:val="44DC0DDA"/>
    <w:rsid w:val="44DC6E8B"/>
    <w:rsid w:val="44E001FA"/>
    <w:rsid w:val="44E26451"/>
    <w:rsid w:val="44EC107E"/>
    <w:rsid w:val="44FC06C7"/>
    <w:rsid w:val="44FC7572"/>
    <w:rsid w:val="45036AF3"/>
    <w:rsid w:val="450378A3"/>
    <w:rsid w:val="45240F3A"/>
    <w:rsid w:val="453500F6"/>
    <w:rsid w:val="4537679D"/>
    <w:rsid w:val="45486928"/>
    <w:rsid w:val="454A165D"/>
    <w:rsid w:val="454B634D"/>
    <w:rsid w:val="454C46DE"/>
    <w:rsid w:val="4550618E"/>
    <w:rsid w:val="455530C7"/>
    <w:rsid w:val="455776FF"/>
    <w:rsid w:val="456D032F"/>
    <w:rsid w:val="456F4AAB"/>
    <w:rsid w:val="456F5C60"/>
    <w:rsid w:val="45781BF7"/>
    <w:rsid w:val="45800144"/>
    <w:rsid w:val="458F6681"/>
    <w:rsid w:val="4593709B"/>
    <w:rsid w:val="459B6204"/>
    <w:rsid w:val="459E43BC"/>
    <w:rsid w:val="45A100BA"/>
    <w:rsid w:val="45AB11E6"/>
    <w:rsid w:val="45AF2D0D"/>
    <w:rsid w:val="45B2136C"/>
    <w:rsid w:val="45B75688"/>
    <w:rsid w:val="45BC3439"/>
    <w:rsid w:val="45CD0EAF"/>
    <w:rsid w:val="45CE7C7F"/>
    <w:rsid w:val="45DD0E95"/>
    <w:rsid w:val="45DF0AAF"/>
    <w:rsid w:val="45F410EA"/>
    <w:rsid w:val="45FF0B28"/>
    <w:rsid w:val="46090046"/>
    <w:rsid w:val="462235C1"/>
    <w:rsid w:val="462822BE"/>
    <w:rsid w:val="46417614"/>
    <w:rsid w:val="464421C6"/>
    <w:rsid w:val="46596BDE"/>
    <w:rsid w:val="466E2692"/>
    <w:rsid w:val="4677696F"/>
    <w:rsid w:val="467C769E"/>
    <w:rsid w:val="46A349C7"/>
    <w:rsid w:val="46B91F5B"/>
    <w:rsid w:val="46BB23EE"/>
    <w:rsid w:val="46C90A65"/>
    <w:rsid w:val="46D71FE6"/>
    <w:rsid w:val="46E414B0"/>
    <w:rsid w:val="46F37769"/>
    <w:rsid w:val="46F80B50"/>
    <w:rsid w:val="46F93186"/>
    <w:rsid w:val="471C13D1"/>
    <w:rsid w:val="47240FA3"/>
    <w:rsid w:val="47394935"/>
    <w:rsid w:val="473D3E13"/>
    <w:rsid w:val="473E4FB6"/>
    <w:rsid w:val="474521F3"/>
    <w:rsid w:val="474E68CD"/>
    <w:rsid w:val="475967BE"/>
    <w:rsid w:val="475C4D82"/>
    <w:rsid w:val="47615C8A"/>
    <w:rsid w:val="476400B1"/>
    <w:rsid w:val="47793B54"/>
    <w:rsid w:val="47AA66DF"/>
    <w:rsid w:val="47AF38F9"/>
    <w:rsid w:val="47B45D9F"/>
    <w:rsid w:val="47B65431"/>
    <w:rsid w:val="47B976A3"/>
    <w:rsid w:val="47C04867"/>
    <w:rsid w:val="47C75461"/>
    <w:rsid w:val="47C75FF7"/>
    <w:rsid w:val="47F0062A"/>
    <w:rsid w:val="47F17FBF"/>
    <w:rsid w:val="480458A2"/>
    <w:rsid w:val="48156107"/>
    <w:rsid w:val="48184F77"/>
    <w:rsid w:val="481B23A6"/>
    <w:rsid w:val="48225851"/>
    <w:rsid w:val="482B60A5"/>
    <w:rsid w:val="48361264"/>
    <w:rsid w:val="483A0DD5"/>
    <w:rsid w:val="4845527F"/>
    <w:rsid w:val="48481FDB"/>
    <w:rsid w:val="484C7DA0"/>
    <w:rsid w:val="484E5488"/>
    <w:rsid w:val="48555E0B"/>
    <w:rsid w:val="48557C15"/>
    <w:rsid w:val="4879413B"/>
    <w:rsid w:val="4882498D"/>
    <w:rsid w:val="48994F34"/>
    <w:rsid w:val="48A93BEB"/>
    <w:rsid w:val="48AB454B"/>
    <w:rsid w:val="48B14AB8"/>
    <w:rsid w:val="48C260EC"/>
    <w:rsid w:val="48C93BB0"/>
    <w:rsid w:val="48D8126B"/>
    <w:rsid w:val="48D8371F"/>
    <w:rsid w:val="48DD3865"/>
    <w:rsid w:val="48F23D2A"/>
    <w:rsid w:val="48FD7CFE"/>
    <w:rsid w:val="490222B2"/>
    <w:rsid w:val="490B53CC"/>
    <w:rsid w:val="49181184"/>
    <w:rsid w:val="49215B20"/>
    <w:rsid w:val="49221F0B"/>
    <w:rsid w:val="49333860"/>
    <w:rsid w:val="493F6BB3"/>
    <w:rsid w:val="496635E0"/>
    <w:rsid w:val="496B5E93"/>
    <w:rsid w:val="4986055F"/>
    <w:rsid w:val="49983143"/>
    <w:rsid w:val="499B2C75"/>
    <w:rsid w:val="49A5629F"/>
    <w:rsid w:val="49AD243B"/>
    <w:rsid w:val="49AD7B43"/>
    <w:rsid w:val="49B63A4D"/>
    <w:rsid w:val="49BC1967"/>
    <w:rsid w:val="49BE56DF"/>
    <w:rsid w:val="49C116DE"/>
    <w:rsid w:val="49D942C7"/>
    <w:rsid w:val="49E43F90"/>
    <w:rsid w:val="49EA3AD9"/>
    <w:rsid w:val="4A0142CD"/>
    <w:rsid w:val="4A044A7D"/>
    <w:rsid w:val="4A0677FF"/>
    <w:rsid w:val="4A2B73D2"/>
    <w:rsid w:val="4A507BBC"/>
    <w:rsid w:val="4A541E8B"/>
    <w:rsid w:val="4A632F49"/>
    <w:rsid w:val="4A67125C"/>
    <w:rsid w:val="4A734051"/>
    <w:rsid w:val="4A74461E"/>
    <w:rsid w:val="4A75566D"/>
    <w:rsid w:val="4A7F5C8C"/>
    <w:rsid w:val="4A8473A9"/>
    <w:rsid w:val="4A8C1749"/>
    <w:rsid w:val="4A96082F"/>
    <w:rsid w:val="4AB50EF8"/>
    <w:rsid w:val="4ABF134A"/>
    <w:rsid w:val="4AC004FA"/>
    <w:rsid w:val="4AC40C1D"/>
    <w:rsid w:val="4AC510C3"/>
    <w:rsid w:val="4ACA53F3"/>
    <w:rsid w:val="4ACC5C2B"/>
    <w:rsid w:val="4ADC6717"/>
    <w:rsid w:val="4ADE012D"/>
    <w:rsid w:val="4ADE30C5"/>
    <w:rsid w:val="4AF25DEC"/>
    <w:rsid w:val="4AFC1DD3"/>
    <w:rsid w:val="4B000DD0"/>
    <w:rsid w:val="4B0428BF"/>
    <w:rsid w:val="4B052265"/>
    <w:rsid w:val="4B0769D2"/>
    <w:rsid w:val="4B245750"/>
    <w:rsid w:val="4B245A16"/>
    <w:rsid w:val="4B396CF6"/>
    <w:rsid w:val="4B3F63AB"/>
    <w:rsid w:val="4B6265E8"/>
    <w:rsid w:val="4B76367E"/>
    <w:rsid w:val="4B84176D"/>
    <w:rsid w:val="4B89364C"/>
    <w:rsid w:val="4B9864E5"/>
    <w:rsid w:val="4BB93DB5"/>
    <w:rsid w:val="4BBA5B9E"/>
    <w:rsid w:val="4BC5411E"/>
    <w:rsid w:val="4BD5393A"/>
    <w:rsid w:val="4BE62F7B"/>
    <w:rsid w:val="4BEB3285"/>
    <w:rsid w:val="4BEC797C"/>
    <w:rsid w:val="4BFA762B"/>
    <w:rsid w:val="4BFD463A"/>
    <w:rsid w:val="4C2819DD"/>
    <w:rsid w:val="4C2856CD"/>
    <w:rsid w:val="4C2E3820"/>
    <w:rsid w:val="4C355012"/>
    <w:rsid w:val="4C37169F"/>
    <w:rsid w:val="4C3A7EDE"/>
    <w:rsid w:val="4C511514"/>
    <w:rsid w:val="4C56286C"/>
    <w:rsid w:val="4C691B4C"/>
    <w:rsid w:val="4C8229F4"/>
    <w:rsid w:val="4C824783"/>
    <w:rsid w:val="4C907137"/>
    <w:rsid w:val="4CA90247"/>
    <w:rsid w:val="4CB233C7"/>
    <w:rsid w:val="4CC400A0"/>
    <w:rsid w:val="4CC52234"/>
    <w:rsid w:val="4CCA5ABE"/>
    <w:rsid w:val="4CCA64B9"/>
    <w:rsid w:val="4CF21C78"/>
    <w:rsid w:val="4CF76A3F"/>
    <w:rsid w:val="4D082B5C"/>
    <w:rsid w:val="4D202A5B"/>
    <w:rsid w:val="4D21094F"/>
    <w:rsid w:val="4D2C1B60"/>
    <w:rsid w:val="4D2F0C57"/>
    <w:rsid w:val="4D332396"/>
    <w:rsid w:val="4D561ADF"/>
    <w:rsid w:val="4D5E016F"/>
    <w:rsid w:val="4D6E4D26"/>
    <w:rsid w:val="4D7B2A09"/>
    <w:rsid w:val="4D7D4FD0"/>
    <w:rsid w:val="4D7E13AA"/>
    <w:rsid w:val="4D815190"/>
    <w:rsid w:val="4D85011B"/>
    <w:rsid w:val="4D8773EE"/>
    <w:rsid w:val="4D8C338F"/>
    <w:rsid w:val="4D9C0C45"/>
    <w:rsid w:val="4DA42E3E"/>
    <w:rsid w:val="4DAE0FD3"/>
    <w:rsid w:val="4DAE3A5A"/>
    <w:rsid w:val="4DB01A27"/>
    <w:rsid w:val="4DB37B1D"/>
    <w:rsid w:val="4DC348CB"/>
    <w:rsid w:val="4DCB7584"/>
    <w:rsid w:val="4DD4775A"/>
    <w:rsid w:val="4DE53CDF"/>
    <w:rsid w:val="4DEE1A36"/>
    <w:rsid w:val="4DF325DF"/>
    <w:rsid w:val="4DF87079"/>
    <w:rsid w:val="4DFF1E22"/>
    <w:rsid w:val="4E031A2B"/>
    <w:rsid w:val="4E04653C"/>
    <w:rsid w:val="4E100917"/>
    <w:rsid w:val="4E1B484B"/>
    <w:rsid w:val="4E1C7913"/>
    <w:rsid w:val="4E227F09"/>
    <w:rsid w:val="4E3171D2"/>
    <w:rsid w:val="4E4837C9"/>
    <w:rsid w:val="4E700EAC"/>
    <w:rsid w:val="4EAA03BD"/>
    <w:rsid w:val="4EAD5D22"/>
    <w:rsid w:val="4EB253E3"/>
    <w:rsid w:val="4EB97D51"/>
    <w:rsid w:val="4EBA7922"/>
    <w:rsid w:val="4EC253FE"/>
    <w:rsid w:val="4EC807D1"/>
    <w:rsid w:val="4ED50C91"/>
    <w:rsid w:val="4EEE3D8C"/>
    <w:rsid w:val="4EF4673F"/>
    <w:rsid w:val="4EFA7506"/>
    <w:rsid w:val="4EFF23B8"/>
    <w:rsid w:val="4F071E5E"/>
    <w:rsid w:val="4F080756"/>
    <w:rsid w:val="4F08541B"/>
    <w:rsid w:val="4F224374"/>
    <w:rsid w:val="4F416B96"/>
    <w:rsid w:val="4F4210BE"/>
    <w:rsid w:val="4F4B592A"/>
    <w:rsid w:val="4F4C72E9"/>
    <w:rsid w:val="4F5D0BE0"/>
    <w:rsid w:val="4F5E4176"/>
    <w:rsid w:val="4F6B076A"/>
    <w:rsid w:val="4F6F2084"/>
    <w:rsid w:val="4F7C5EAE"/>
    <w:rsid w:val="4F870316"/>
    <w:rsid w:val="4F933194"/>
    <w:rsid w:val="4F997993"/>
    <w:rsid w:val="4FAB0AD3"/>
    <w:rsid w:val="4FB8354C"/>
    <w:rsid w:val="4FBF5D0D"/>
    <w:rsid w:val="4FBF72F3"/>
    <w:rsid w:val="4FE46A51"/>
    <w:rsid w:val="4FE94B38"/>
    <w:rsid w:val="4FEC03F5"/>
    <w:rsid w:val="4FED3763"/>
    <w:rsid w:val="50165956"/>
    <w:rsid w:val="501774DE"/>
    <w:rsid w:val="50240882"/>
    <w:rsid w:val="5036553E"/>
    <w:rsid w:val="504509FD"/>
    <w:rsid w:val="50491C39"/>
    <w:rsid w:val="5077509D"/>
    <w:rsid w:val="5079630E"/>
    <w:rsid w:val="508A490E"/>
    <w:rsid w:val="50B14FEE"/>
    <w:rsid w:val="50CC6933"/>
    <w:rsid w:val="50D923F5"/>
    <w:rsid w:val="50D95B6C"/>
    <w:rsid w:val="50DE0415"/>
    <w:rsid w:val="50FB0364"/>
    <w:rsid w:val="50FE7E90"/>
    <w:rsid w:val="51033C6E"/>
    <w:rsid w:val="510369FC"/>
    <w:rsid w:val="51085492"/>
    <w:rsid w:val="51137BFE"/>
    <w:rsid w:val="5119769F"/>
    <w:rsid w:val="5139389D"/>
    <w:rsid w:val="51452242"/>
    <w:rsid w:val="5147420C"/>
    <w:rsid w:val="51500DF4"/>
    <w:rsid w:val="51581292"/>
    <w:rsid w:val="51600D14"/>
    <w:rsid w:val="517049BC"/>
    <w:rsid w:val="517A0CA0"/>
    <w:rsid w:val="517B6D54"/>
    <w:rsid w:val="519E53F9"/>
    <w:rsid w:val="51AC0513"/>
    <w:rsid w:val="51B93F41"/>
    <w:rsid w:val="51C4068F"/>
    <w:rsid w:val="51CA6963"/>
    <w:rsid w:val="51CB6BEB"/>
    <w:rsid w:val="51CD2EA2"/>
    <w:rsid w:val="51CE4262"/>
    <w:rsid w:val="51CE7937"/>
    <w:rsid w:val="51D221AE"/>
    <w:rsid w:val="51F872B4"/>
    <w:rsid w:val="51FA120B"/>
    <w:rsid w:val="52052DC2"/>
    <w:rsid w:val="520C0329"/>
    <w:rsid w:val="520C7A1F"/>
    <w:rsid w:val="520F3357"/>
    <w:rsid w:val="52103F8A"/>
    <w:rsid w:val="521E40E1"/>
    <w:rsid w:val="52326C6A"/>
    <w:rsid w:val="523A6819"/>
    <w:rsid w:val="523B7FEA"/>
    <w:rsid w:val="523D4054"/>
    <w:rsid w:val="524B3D76"/>
    <w:rsid w:val="52506A55"/>
    <w:rsid w:val="52552624"/>
    <w:rsid w:val="525A0CA7"/>
    <w:rsid w:val="52756BD4"/>
    <w:rsid w:val="527D13FE"/>
    <w:rsid w:val="527E2A1A"/>
    <w:rsid w:val="52BB0BA7"/>
    <w:rsid w:val="52C07817"/>
    <w:rsid w:val="52CE3C12"/>
    <w:rsid w:val="52CF17AD"/>
    <w:rsid w:val="52D52F24"/>
    <w:rsid w:val="52DE61F0"/>
    <w:rsid w:val="52E911CD"/>
    <w:rsid w:val="52ED4595"/>
    <w:rsid w:val="52EE7E34"/>
    <w:rsid w:val="530D2B4F"/>
    <w:rsid w:val="53320F97"/>
    <w:rsid w:val="53601A5A"/>
    <w:rsid w:val="537A5F0D"/>
    <w:rsid w:val="538429EB"/>
    <w:rsid w:val="53866A64"/>
    <w:rsid w:val="538F59F6"/>
    <w:rsid w:val="53934A22"/>
    <w:rsid w:val="53963229"/>
    <w:rsid w:val="539C36D5"/>
    <w:rsid w:val="539D52A3"/>
    <w:rsid w:val="53A45945"/>
    <w:rsid w:val="53A96EE7"/>
    <w:rsid w:val="53AD16EC"/>
    <w:rsid w:val="53BB7A2D"/>
    <w:rsid w:val="53BE7510"/>
    <w:rsid w:val="53BF62DB"/>
    <w:rsid w:val="53C27B7A"/>
    <w:rsid w:val="53D01794"/>
    <w:rsid w:val="53D02297"/>
    <w:rsid w:val="53D62B6C"/>
    <w:rsid w:val="53DE5235"/>
    <w:rsid w:val="53DF441D"/>
    <w:rsid w:val="53E1512D"/>
    <w:rsid w:val="53EB67AF"/>
    <w:rsid w:val="53F755ED"/>
    <w:rsid w:val="54003E1F"/>
    <w:rsid w:val="54165DF3"/>
    <w:rsid w:val="541A4280"/>
    <w:rsid w:val="541D1216"/>
    <w:rsid w:val="54293FB8"/>
    <w:rsid w:val="54391FAB"/>
    <w:rsid w:val="543A4E9B"/>
    <w:rsid w:val="543A5047"/>
    <w:rsid w:val="544C56C7"/>
    <w:rsid w:val="544F3958"/>
    <w:rsid w:val="54501629"/>
    <w:rsid w:val="54504AAC"/>
    <w:rsid w:val="54543038"/>
    <w:rsid w:val="5463135D"/>
    <w:rsid w:val="546B431A"/>
    <w:rsid w:val="546D40DC"/>
    <w:rsid w:val="546E3773"/>
    <w:rsid w:val="54790662"/>
    <w:rsid w:val="547F5A6B"/>
    <w:rsid w:val="548D076D"/>
    <w:rsid w:val="54903193"/>
    <w:rsid w:val="549636D9"/>
    <w:rsid w:val="54991EF5"/>
    <w:rsid w:val="54AA5721"/>
    <w:rsid w:val="54AB65AA"/>
    <w:rsid w:val="54B33DD9"/>
    <w:rsid w:val="54BA6866"/>
    <w:rsid w:val="54BD498D"/>
    <w:rsid w:val="54C267FD"/>
    <w:rsid w:val="54D1488D"/>
    <w:rsid w:val="54D16ACC"/>
    <w:rsid w:val="54D54B1F"/>
    <w:rsid w:val="54D8314F"/>
    <w:rsid w:val="54EB202D"/>
    <w:rsid w:val="54FC2D67"/>
    <w:rsid w:val="55064531"/>
    <w:rsid w:val="55090AA3"/>
    <w:rsid w:val="550A17D8"/>
    <w:rsid w:val="550D52B1"/>
    <w:rsid w:val="55183BF1"/>
    <w:rsid w:val="55253F73"/>
    <w:rsid w:val="55287DCD"/>
    <w:rsid w:val="552A5B34"/>
    <w:rsid w:val="554033D2"/>
    <w:rsid w:val="554830E6"/>
    <w:rsid w:val="556748B2"/>
    <w:rsid w:val="556F1454"/>
    <w:rsid w:val="556F31D0"/>
    <w:rsid w:val="557551D0"/>
    <w:rsid w:val="5583077C"/>
    <w:rsid w:val="558E01DA"/>
    <w:rsid w:val="559A6830"/>
    <w:rsid w:val="55AF790D"/>
    <w:rsid w:val="55B4040D"/>
    <w:rsid w:val="55BD660E"/>
    <w:rsid w:val="55BF4C7F"/>
    <w:rsid w:val="55C51BA3"/>
    <w:rsid w:val="55C7591B"/>
    <w:rsid w:val="55CE2806"/>
    <w:rsid w:val="55E148E6"/>
    <w:rsid w:val="55F03353"/>
    <w:rsid w:val="55F32850"/>
    <w:rsid w:val="55F66200"/>
    <w:rsid w:val="56200B8E"/>
    <w:rsid w:val="563A2A87"/>
    <w:rsid w:val="564A4536"/>
    <w:rsid w:val="564F5CD2"/>
    <w:rsid w:val="565927DF"/>
    <w:rsid w:val="565E6CA9"/>
    <w:rsid w:val="566205C2"/>
    <w:rsid w:val="56625644"/>
    <w:rsid w:val="56674C7A"/>
    <w:rsid w:val="567053AF"/>
    <w:rsid w:val="567B13D3"/>
    <w:rsid w:val="568231CF"/>
    <w:rsid w:val="56836CD8"/>
    <w:rsid w:val="56853FC5"/>
    <w:rsid w:val="56890E23"/>
    <w:rsid w:val="568952DA"/>
    <w:rsid w:val="569400B5"/>
    <w:rsid w:val="569752EE"/>
    <w:rsid w:val="569D16C9"/>
    <w:rsid w:val="56B86275"/>
    <w:rsid w:val="56C251F3"/>
    <w:rsid w:val="56C41738"/>
    <w:rsid w:val="56C66DC0"/>
    <w:rsid w:val="56CB48A3"/>
    <w:rsid w:val="56E11FFE"/>
    <w:rsid w:val="56E124A8"/>
    <w:rsid w:val="56E57451"/>
    <w:rsid w:val="56F46C34"/>
    <w:rsid w:val="56F73846"/>
    <w:rsid w:val="56F96F69"/>
    <w:rsid w:val="56FF5B35"/>
    <w:rsid w:val="570404A9"/>
    <w:rsid w:val="570C0EC9"/>
    <w:rsid w:val="571903F8"/>
    <w:rsid w:val="57211936"/>
    <w:rsid w:val="573A3ECB"/>
    <w:rsid w:val="57444D97"/>
    <w:rsid w:val="575178C4"/>
    <w:rsid w:val="5752708C"/>
    <w:rsid w:val="575668EF"/>
    <w:rsid w:val="57583167"/>
    <w:rsid w:val="5759595B"/>
    <w:rsid w:val="575C534A"/>
    <w:rsid w:val="576553EC"/>
    <w:rsid w:val="577E6D6D"/>
    <w:rsid w:val="57831D16"/>
    <w:rsid w:val="57AC10FA"/>
    <w:rsid w:val="57B342C9"/>
    <w:rsid w:val="57C27BCA"/>
    <w:rsid w:val="57CD0549"/>
    <w:rsid w:val="57D554F9"/>
    <w:rsid w:val="57E478C5"/>
    <w:rsid w:val="57FF573B"/>
    <w:rsid w:val="58023D84"/>
    <w:rsid w:val="580A1DBF"/>
    <w:rsid w:val="580D623A"/>
    <w:rsid w:val="582408B0"/>
    <w:rsid w:val="58335562"/>
    <w:rsid w:val="5847689F"/>
    <w:rsid w:val="584A05C5"/>
    <w:rsid w:val="584D58F6"/>
    <w:rsid w:val="586A3A51"/>
    <w:rsid w:val="586B76C2"/>
    <w:rsid w:val="587D1AF7"/>
    <w:rsid w:val="587F40EE"/>
    <w:rsid w:val="58980015"/>
    <w:rsid w:val="5898225D"/>
    <w:rsid w:val="58AD1B30"/>
    <w:rsid w:val="58B058A9"/>
    <w:rsid w:val="58B475B7"/>
    <w:rsid w:val="58B924B4"/>
    <w:rsid w:val="58BD4D95"/>
    <w:rsid w:val="58E12EF3"/>
    <w:rsid w:val="58E13EA8"/>
    <w:rsid w:val="58E80463"/>
    <w:rsid w:val="58EA29B5"/>
    <w:rsid w:val="58EB7B73"/>
    <w:rsid w:val="590972ED"/>
    <w:rsid w:val="59101C21"/>
    <w:rsid w:val="59260A57"/>
    <w:rsid w:val="5926324B"/>
    <w:rsid w:val="5932205F"/>
    <w:rsid w:val="593532E9"/>
    <w:rsid w:val="59387405"/>
    <w:rsid w:val="593B587D"/>
    <w:rsid w:val="594B23BF"/>
    <w:rsid w:val="595474C6"/>
    <w:rsid w:val="595C4563"/>
    <w:rsid w:val="59607DA0"/>
    <w:rsid w:val="59612C33"/>
    <w:rsid w:val="596322DA"/>
    <w:rsid w:val="596C18B0"/>
    <w:rsid w:val="59722042"/>
    <w:rsid w:val="598956AE"/>
    <w:rsid w:val="598F7E5C"/>
    <w:rsid w:val="599327D5"/>
    <w:rsid w:val="5995119F"/>
    <w:rsid w:val="59993708"/>
    <w:rsid w:val="59BC1723"/>
    <w:rsid w:val="59BE0DE3"/>
    <w:rsid w:val="59BF0E8D"/>
    <w:rsid w:val="59C00E7C"/>
    <w:rsid w:val="59C87138"/>
    <w:rsid w:val="59E16436"/>
    <w:rsid w:val="59EF158B"/>
    <w:rsid w:val="59FA62BF"/>
    <w:rsid w:val="59FD7762"/>
    <w:rsid w:val="5A160282"/>
    <w:rsid w:val="5A1629CD"/>
    <w:rsid w:val="5A1C215F"/>
    <w:rsid w:val="5A1D3D5C"/>
    <w:rsid w:val="5A212613"/>
    <w:rsid w:val="5A257995"/>
    <w:rsid w:val="5A29513B"/>
    <w:rsid w:val="5A305BDC"/>
    <w:rsid w:val="5A363F76"/>
    <w:rsid w:val="5A4D0464"/>
    <w:rsid w:val="5A673875"/>
    <w:rsid w:val="5A68475B"/>
    <w:rsid w:val="5A872C58"/>
    <w:rsid w:val="5A8E1E02"/>
    <w:rsid w:val="5A8F3006"/>
    <w:rsid w:val="5A992308"/>
    <w:rsid w:val="5AAC50E0"/>
    <w:rsid w:val="5AB34188"/>
    <w:rsid w:val="5AC57E95"/>
    <w:rsid w:val="5AD503C2"/>
    <w:rsid w:val="5AF71C60"/>
    <w:rsid w:val="5B0B0086"/>
    <w:rsid w:val="5B1F2BC6"/>
    <w:rsid w:val="5B242D70"/>
    <w:rsid w:val="5B294AAA"/>
    <w:rsid w:val="5B3A0E6C"/>
    <w:rsid w:val="5B4E67AE"/>
    <w:rsid w:val="5B5B0834"/>
    <w:rsid w:val="5B610E55"/>
    <w:rsid w:val="5B7D6643"/>
    <w:rsid w:val="5B7E6A7C"/>
    <w:rsid w:val="5B85605C"/>
    <w:rsid w:val="5B8D4F67"/>
    <w:rsid w:val="5B990AB3"/>
    <w:rsid w:val="5BA16CF2"/>
    <w:rsid w:val="5BB14D85"/>
    <w:rsid w:val="5BC768D3"/>
    <w:rsid w:val="5BD03720"/>
    <w:rsid w:val="5BD64622"/>
    <w:rsid w:val="5BD83DFD"/>
    <w:rsid w:val="5BDE42FB"/>
    <w:rsid w:val="5BEA5C61"/>
    <w:rsid w:val="5BF80AF3"/>
    <w:rsid w:val="5BFD1F1E"/>
    <w:rsid w:val="5C02145B"/>
    <w:rsid w:val="5C040C50"/>
    <w:rsid w:val="5C077F5A"/>
    <w:rsid w:val="5C0A1B46"/>
    <w:rsid w:val="5C214B15"/>
    <w:rsid w:val="5C261656"/>
    <w:rsid w:val="5C2B77A2"/>
    <w:rsid w:val="5C422553"/>
    <w:rsid w:val="5C755103"/>
    <w:rsid w:val="5C791CE2"/>
    <w:rsid w:val="5C8F45B4"/>
    <w:rsid w:val="5C9108EC"/>
    <w:rsid w:val="5C950521"/>
    <w:rsid w:val="5C975552"/>
    <w:rsid w:val="5C9A49E0"/>
    <w:rsid w:val="5CA6628A"/>
    <w:rsid w:val="5CAB037C"/>
    <w:rsid w:val="5CAE15E3"/>
    <w:rsid w:val="5CAF373E"/>
    <w:rsid w:val="5CBF0B9D"/>
    <w:rsid w:val="5CC125DE"/>
    <w:rsid w:val="5CC1419E"/>
    <w:rsid w:val="5CD47D6A"/>
    <w:rsid w:val="5CD57403"/>
    <w:rsid w:val="5CDE1278"/>
    <w:rsid w:val="5CDE7BFB"/>
    <w:rsid w:val="5CE82F4E"/>
    <w:rsid w:val="5CEA7FA9"/>
    <w:rsid w:val="5D0E423F"/>
    <w:rsid w:val="5D2A1B40"/>
    <w:rsid w:val="5D34200D"/>
    <w:rsid w:val="5D3C6BEF"/>
    <w:rsid w:val="5D40796A"/>
    <w:rsid w:val="5D534E55"/>
    <w:rsid w:val="5D537C1E"/>
    <w:rsid w:val="5D74233C"/>
    <w:rsid w:val="5D7655C7"/>
    <w:rsid w:val="5D7F3416"/>
    <w:rsid w:val="5D850489"/>
    <w:rsid w:val="5D8869BF"/>
    <w:rsid w:val="5D8C7FA6"/>
    <w:rsid w:val="5DA21B2B"/>
    <w:rsid w:val="5DC11133"/>
    <w:rsid w:val="5DC2767E"/>
    <w:rsid w:val="5DCB472A"/>
    <w:rsid w:val="5DCC7764"/>
    <w:rsid w:val="5DD706C5"/>
    <w:rsid w:val="5DE23A27"/>
    <w:rsid w:val="5DE95DB7"/>
    <w:rsid w:val="5DEC4781"/>
    <w:rsid w:val="5DED613B"/>
    <w:rsid w:val="5DF30008"/>
    <w:rsid w:val="5DF660F4"/>
    <w:rsid w:val="5E092680"/>
    <w:rsid w:val="5E1170FA"/>
    <w:rsid w:val="5E166020"/>
    <w:rsid w:val="5E1D48DD"/>
    <w:rsid w:val="5E1D58F0"/>
    <w:rsid w:val="5E39473A"/>
    <w:rsid w:val="5E3B0C54"/>
    <w:rsid w:val="5E466F51"/>
    <w:rsid w:val="5E4775F9"/>
    <w:rsid w:val="5E5B594F"/>
    <w:rsid w:val="5E68756F"/>
    <w:rsid w:val="5E760D04"/>
    <w:rsid w:val="5E895412"/>
    <w:rsid w:val="5E8B612E"/>
    <w:rsid w:val="5E921864"/>
    <w:rsid w:val="5EA11561"/>
    <w:rsid w:val="5EA13DD5"/>
    <w:rsid w:val="5EA7645C"/>
    <w:rsid w:val="5EAC74DB"/>
    <w:rsid w:val="5EBC572D"/>
    <w:rsid w:val="5ED01253"/>
    <w:rsid w:val="5EDD1D0C"/>
    <w:rsid w:val="5EDF7359"/>
    <w:rsid w:val="5EE1748B"/>
    <w:rsid w:val="5EE23104"/>
    <w:rsid w:val="5EE83CD7"/>
    <w:rsid w:val="5EEE4D09"/>
    <w:rsid w:val="5EF76984"/>
    <w:rsid w:val="5EF825CE"/>
    <w:rsid w:val="5F160ABF"/>
    <w:rsid w:val="5F201F8E"/>
    <w:rsid w:val="5F2919EA"/>
    <w:rsid w:val="5F2A21C6"/>
    <w:rsid w:val="5F322D47"/>
    <w:rsid w:val="5F335DCF"/>
    <w:rsid w:val="5F3A26BF"/>
    <w:rsid w:val="5F3C41DA"/>
    <w:rsid w:val="5F3D6868"/>
    <w:rsid w:val="5F444051"/>
    <w:rsid w:val="5F4C79B8"/>
    <w:rsid w:val="5F50072F"/>
    <w:rsid w:val="5F506981"/>
    <w:rsid w:val="5F545A81"/>
    <w:rsid w:val="5F583E8D"/>
    <w:rsid w:val="5F6E0BB6"/>
    <w:rsid w:val="5F762132"/>
    <w:rsid w:val="5F9220B9"/>
    <w:rsid w:val="5FAB1E0A"/>
    <w:rsid w:val="5FB07420"/>
    <w:rsid w:val="5FB40CBE"/>
    <w:rsid w:val="5FB62BC7"/>
    <w:rsid w:val="5FC229FE"/>
    <w:rsid w:val="5FC50C7C"/>
    <w:rsid w:val="5FE07D05"/>
    <w:rsid w:val="5FF775E5"/>
    <w:rsid w:val="5FFA4B54"/>
    <w:rsid w:val="5FFE1F39"/>
    <w:rsid w:val="60042849"/>
    <w:rsid w:val="600E02C3"/>
    <w:rsid w:val="600E70E6"/>
    <w:rsid w:val="60136769"/>
    <w:rsid w:val="601B4D80"/>
    <w:rsid w:val="60273929"/>
    <w:rsid w:val="603028FE"/>
    <w:rsid w:val="60367AE3"/>
    <w:rsid w:val="603F6ADF"/>
    <w:rsid w:val="60433DF0"/>
    <w:rsid w:val="605104EB"/>
    <w:rsid w:val="60595365"/>
    <w:rsid w:val="60672991"/>
    <w:rsid w:val="60673AE2"/>
    <w:rsid w:val="60786F1A"/>
    <w:rsid w:val="608368E3"/>
    <w:rsid w:val="60892E49"/>
    <w:rsid w:val="60A62525"/>
    <w:rsid w:val="60A6782B"/>
    <w:rsid w:val="60B64642"/>
    <w:rsid w:val="60C9332E"/>
    <w:rsid w:val="60F6512F"/>
    <w:rsid w:val="60FD6695"/>
    <w:rsid w:val="610769D0"/>
    <w:rsid w:val="61166CAF"/>
    <w:rsid w:val="61237739"/>
    <w:rsid w:val="614442C4"/>
    <w:rsid w:val="61500A8C"/>
    <w:rsid w:val="61582486"/>
    <w:rsid w:val="615960EB"/>
    <w:rsid w:val="617067C1"/>
    <w:rsid w:val="61801463"/>
    <w:rsid w:val="61833C6F"/>
    <w:rsid w:val="61973A88"/>
    <w:rsid w:val="619817C0"/>
    <w:rsid w:val="61A44D62"/>
    <w:rsid w:val="61B174CD"/>
    <w:rsid w:val="61BF7DEE"/>
    <w:rsid w:val="61DC6B3A"/>
    <w:rsid w:val="61DE6F9F"/>
    <w:rsid w:val="62006995"/>
    <w:rsid w:val="620A7D1F"/>
    <w:rsid w:val="622B5033"/>
    <w:rsid w:val="622D4D58"/>
    <w:rsid w:val="623205C0"/>
    <w:rsid w:val="62354269"/>
    <w:rsid w:val="6254273D"/>
    <w:rsid w:val="62621351"/>
    <w:rsid w:val="62670AB9"/>
    <w:rsid w:val="626A02D1"/>
    <w:rsid w:val="62702A25"/>
    <w:rsid w:val="62942484"/>
    <w:rsid w:val="62944BFA"/>
    <w:rsid w:val="6297415B"/>
    <w:rsid w:val="62984972"/>
    <w:rsid w:val="629B09B4"/>
    <w:rsid w:val="62A21DB3"/>
    <w:rsid w:val="62A44191"/>
    <w:rsid w:val="62AC4A07"/>
    <w:rsid w:val="62AF3C8F"/>
    <w:rsid w:val="62CE5E81"/>
    <w:rsid w:val="62CE647B"/>
    <w:rsid w:val="62D16183"/>
    <w:rsid w:val="62D66853"/>
    <w:rsid w:val="62D67210"/>
    <w:rsid w:val="62DE657B"/>
    <w:rsid w:val="62ED14AC"/>
    <w:rsid w:val="62EE7F73"/>
    <w:rsid w:val="63030F7A"/>
    <w:rsid w:val="631401EF"/>
    <w:rsid w:val="63185AC0"/>
    <w:rsid w:val="631E4F68"/>
    <w:rsid w:val="632A1297"/>
    <w:rsid w:val="633C582E"/>
    <w:rsid w:val="633D531F"/>
    <w:rsid w:val="634B5082"/>
    <w:rsid w:val="635109CE"/>
    <w:rsid w:val="6353259C"/>
    <w:rsid w:val="63542512"/>
    <w:rsid w:val="63556314"/>
    <w:rsid w:val="635978AE"/>
    <w:rsid w:val="63662412"/>
    <w:rsid w:val="63685256"/>
    <w:rsid w:val="636C57A3"/>
    <w:rsid w:val="63754AE7"/>
    <w:rsid w:val="6384394F"/>
    <w:rsid w:val="63851EDE"/>
    <w:rsid w:val="639549F9"/>
    <w:rsid w:val="639632E0"/>
    <w:rsid w:val="63980E88"/>
    <w:rsid w:val="639A2CE8"/>
    <w:rsid w:val="639B20E0"/>
    <w:rsid w:val="63A44CCE"/>
    <w:rsid w:val="63AA0FE9"/>
    <w:rsid w:val="63AB5233"/>
    <w:rsid w:val="63AD183A"/>
    <w:rsid w:val="63B67F30"/>
    <w:rsid w:val="63CE7275"/>
    <w:rsid w:val="63D650DD"/>
    <w:rsid w:val="63E21F2D"/>
    <w:rsid w:val="63E32E6D"/>
    <w:rsid w:val="63F716E0"/>
    <w:rsid w:val="640637EA"/>
    <w:rsid w:val="64133B98"/>
    <w:rsid w:val="641A2D9C"/>
    <w:rsid w:val="64225B2B"/>
    <w:rsid w:val="642770BE"/>
    <w:rsid w:val="64290935"/>
    <w:rsid w:val="642B3EBE"/>
    <w:rsid w:val="643B7C00"/>
    <w:rsid w:val="644146FD"/>
    <w:rsid w:val="644B7717"/>
    <w:rsid w:val="646B11FC"/>
    <w:rsid w:val="646E035D"/>
    <w:rsid w:val="64744410"/>
    <w:rsid w:val="648B3FB8"/>
    <w:rsid w:val="64AA3E54"/>
    <w:rsid w:val="64B05E47"/>
    <w:rsid w:val="64B21544"/>
    <w:rsid w:val="64C3087F"/>
    <w:rsid w:val="64C354F3"/>
    <w:rsid w:val="64CC3BCB"/>
    <w:rsid w:val="64CE3F0E"/>
    <w:rsid w:val="64D05681"/>
    <w:rsid w:val="64D92F75"/>
    <w:rsid w:val="64E967F4"/>
    <w:rsid w:val="64F73B1B"/>
    <w:rsid w:val="64F83E2E"/>
    <w:rsid w:val="64FD3107"/>
    <w:rsid w:val="651015AD"/>
    <w:rsid w:val="651345DE"/>
    <w:rsid w:val="6517594A"/>
    <w:rsid w:val="65176F74"/>
    <w:rsid w:val="651D5558"/>
    <w:rsid w:val="65234618"/>
    <w:rsid w:val="65297A59"/>
    <w:rsid w:val="652A6842"/>
    <w:rsid w:val="653202BC"/>
    <w:rsid w:val="6548039A"/>
    <w:rsid w:val="65520000"/>
    <w:rsid w:val="65553494"/>
    <w:rsid w:val="65563BD1"/>
    <w:rsid w:val="655D6724"/>
    <w:rsid w:val="65646689"/>
    <w:rsid w:val="65650AD1"/>
    <w:rsid w:val="656E284E"/>
    <w:rsid w:val="6573406D"/>
    <w:rsid w:val="657D4BD7"/>
    <w:rsid w:val="65893883"/>
    <w:rsid w:val="65953130"/>
    <w:rsid w:val="65A534A5"/>
    <w:rsid w:val="65B339F2"/>
    <w:rsid w:val="65C44ABF"/>
    <w:rsid w:val="65C84EF0"/>
    <w:rsid w:val="65C854C3"/>
    <w:rsid w:val="65D200F0"/>
    <w:rsid w:val="65D5294E"/>
    <w:rsid w:val="65E62BFE"/>
    <w:rsid w:val="65F362B8"/>
    <w:rsid w:val="660301A4"/>
    <w:rsid w:val="6612385E"/>
    <w:rsid w:val="661B7A38"/>
    <w:rsid w:val="661D7B7B"/>
    <w:rsid w:val="66212E26"/>
    <w:rsid w:val="662228F1"/>
    <w:rsid w:val="66247B8F"/>
    <w:rsid w:val="66293F40"/>
    <w:rsid w:val="66311AC6"/>
    <w:rsid w:val="6646288C"/>
    <w:rsid w:val="66491F1D"/>
    <w:rsid w:val="665705F5"/>
    <w:rsid w:val="6664161B"/>
    <w:rsid w:val="666920D7"/>
    <w:rsid w:val="666E0E0D"/>
    <w:rsid w:val="66744F33"/>
    <w:rsid w:val="667E7C40"/>
    <w:rsid w:val="66846F11"/>
    <w:rsid w:val="66862C89"/>
    <w:rsid w:val="669A4D6D"/>
    <w:rsid w:val="66AE17A9"/>
    <w:rsid w:val="66B21612"/>
    <w:rsid w:val="66D103A8"/>
    <w:rsid w:val="66F7428B"/>
    <w:rsid w:val="66F953BB"/>
    <w:rsid w:val="66FB3391"/>
    <w:rsid w:val="66FD2DD2"/>
    <w:rsid w:val="66FE4F15"/>
    <w:rsid w:val="66FF4CD8"/>
    <w:rsid w:val="67095D94"/>
    <w:rsid w:val="671042C9"/>
    <w:rsid w:val="671106CB"/>
    <w:rsid w:val="67146655"/>
    <w:rsid w:val="671E1351"/>
    <w:rsid w:val="672C5E9B"/>
    <w:rsid w:val="67320023"/>
    <w:rsid w:val="67501D08"/>
    <w:rsid w:val="6751773B"/>
    <w:rsid w:val="677717D8"/>
    <w:rsid w:val="677F1C8C"/>
    <w:rsid w:val="678F0330"/>
    <w:rsid w:val="679D2F70"/>
    <w:rsid w:val="67A04F86"/>
    <w:rsid w:val="67A9073D"/>
    <w:rsid w:val="67B35A53"/>
    <w:rsid w:val="67BF4400"/>
    <w:rsid w:val="67C25FAA"/>
    <w:rsid w:val="67C5598E"/>
    <w:rsid w:val="67CA346A"/>
    <w:rsid w:val="67CA4DF7"/>
    <w:rsid w:val="67DA14DE"/>
    <w:rsid w:val="67E71E3E"/>
    <w:rsid w:val="67F11723"/>
    <w:rsid w:val="67F232D8"/>
    <w:rsid w:val="67F80E17"/>
    <w:rsid w:val="6801535B"/>
    <w:rsid w:val="680500EC"/>
    <w:rsid w:val="680B6E70"/>
    <w:rsid w:val="680C5410"/>
    <w:rsid w:val="68215523"/>
    <w:rsid w:val="68381D68"/>
    <w:rsid w:val="683D4A00"/>
    <w:rsid w:val="685268FF"/>
    <w:rsid w:val="68546E88"/>
    <w:rsid w:val="68635B40"/>
    <w:rsid w:val="6864579F"/>
    <w:rsid w:val="68703BF0"/>
    <w:rsid w:val="688E3767"/>
    <w:rsid w:val="6897475F"/>
    <w:rsid w:val="689837BE"/>
    <w:rsid w:val="689C3C63"/>
    <w:rsid w:val="68A15A62"/>
    <w:rsid w:val="68BB37C0"/>
    <w:rsid w:val="68C36978"/>
    <w:rsid w:val="68D27036"/>
    <w:rsid w:val="68DE143D"/>
    <w:rsid w:val="68E048D2"/>
    <w:rsid w:val="68E1689C"/>
    <w:rsid w:val="68F43F12"/>
    <w:rsid w:val="690B1A2C"/>
    <w:rsid w:val="69142763"/>
    <w:rsid w:val="691D2A83"/>
    <w:rsid w:val="69237227"/>
    <w:rsid w:val="693B2550"/>
    <w:rsid w:val="69494488"/>
    <w:rsid w:val="694A758D"/>
    <w:rsid w:val="69593DE8"/>
    <w:rsid w:val="696A492D"/>
    <w:rsid w:val="69730B3F"/>
    <w:rsid w:val="69774DB4"/>
    <w:rsid w:val="698243FC"/>
    <w:rsid w:val="69855479"/>
    <w:rsid w:val="69877444"/>
    <w:rsid w:val="698D3D2C"/>
    <w:rsid w:val="698E6BB9"/>
    <w:rsid w:val="698F190A"/>
    <w:rsid w:val="699851AD"/>
    <w:rsid w:val="69A015E9"/>
    <w:rsid w:val="69A20B79"/>
    <w:rsid w:val="69A32B61"/>
    <w:rsid w:val="69A35F1C"/>
    <w:rsid w:val="69AC3739"/>
    <w:rsid w:val="69D229F6"/>
    <w:rsid w:val="69DC63C8"/>
    <w:rsid w:val="69DC778F"/>
    <w:rsid w:val="69E40991"/>
    <w:rsid w:val="69E763F8"/>
    <w:rsid w:val="69EC72A7"/>
    <w:rsid w:val="6A026FD1"/>
    <w:rsid w:val="6A061712"/>
    <w:rsid w:val="6A072332"/>
    <w:rsid w:val="6A0B31A0"/>
    <w:rsid w:val="6A12506F"/>
    <w:rsid w:val="6A1A4D5C"/>
    <w:rsid w:val="6A1B7D32"/>
    <w:rsid w:val="6A1F6664"/>
    <w:rsid w:val="6A2B22FF"/>
    <w:rsid w:val="6A2C1D99"/>
    <w:rsid w:val="6A2F6EF1"/>
    <w:rsid w:val="6A4308E5"/>
    <w:rsid w:val="6A545DAD"/>
    <w:rsid w:val="6A5464F4"/>
    <w:rsid w:val="6A547294"/>
    <w:rsid w:val="6A757423"/>
    <w:rsid w:val="6A7A064B"/>
    <w:rsid w:val="6A8324AB"/>
    <w:rsid w:val="6A835FAB"/>
    <w:rsid w:val="6A880C15"/>
    <w:rsid w:val="6A891B85"/>
    <w:rsid w:val="6A9B37AD"/>
    <w:rsid w:val="6A9C6F1F"/>
    <w:rsid w:val="6AA63469"/>
    <w:rsid w:val="6AA64E9B"/>
    <w:rsid w:val="6AAB79A8"/>
    <w:rsid w:val="6AAE6529"/>
    <w:rsid w:val="6AC01E63"/>
    <w:rsid w:val="6AC4097D"/>
    <w:rsid w:val="6AD46B6A"/>
    <w:rsid w:val="6AE37BB0"/>
    <w:rsid w:val="6AED6CC5"/>
    <w:rsid w:val="6AFB13E1"/>
    <w:rsid w:val="6B0A20DA"/>
    <w:rsid w:val="6B0F5943"/>
    <w:rsid w:val="6B2B11EF"/>
    <w:rsid w:val="6B3B6738"/>
    <w:rsid w:val="6B3E3B32"/>
    <w:rsid w:val="6B425FB2"/>
    <w:rsid w:val="6B4C0C26"/>
    <w:rsid w:val="6B4E4003"/>
    <w:rsid w:val="6B5D0D7D"/>
    <w:rsid w:val="6B6141DE"/>
    <w:rsid w:val="6B6569C9"/>
    <w:rsid w:val="6B77383E"/>
    <w:rsid w:val="6B962207"/>
    <w:rsid w:val="6B9D2F4E"/>
    <w:rsid w:val="6BA173F5"/>
    <w:rsid w:val="6BA25856"/>
    <w:rsid w:val="6BB01FE8"/>
    <w:rsid w:val="6BB55DED"/>
    <w:rsid w:val="6BBE1FC2"/>
    <w:rsid w:val="6BC579E2"/>
    <w:rsid w:val="6BC628CB"/>
    <w:rsid w:val="6BC8789F"/>
    <w:rsid w:val="6BDA499D"/>
    <w:rsid w:val="6BE40B7D"/>
    <w:rsid w:val="6BEC0C0A"/>
    <w:rsid w:val="6BF35D80"/>
    <w:rsid w:val="6BF653C4"/>
    <w:rsid w:val="6BFE28E6"/>
    <w:rsid w:val="6C0E5BFA"/>
    <w:rsid w:val="6C113127"/>
    <w:rsid w:val="6C1D0284"/>
    <w:rsid w:val="6C3C6424"/>
    <w:rsid w:val="6C4E4AD0"/>
    <w:rsid w:val="6C5425B7"/>
    <w:rsid w:val="6C583622"/>
    <w:rsid w:val="6C5A66F5"/>
    <w:rsid w:val="6C8659F2"/>
    <w:rsid w:val="6C941C77"/>
    <w:rsid w:val="6C9F0432"/>
    <w:rsid w:val="6CA06871"/>
    <w:rsid w:val="6CAD4536"/>
    <w:rsid w:val="6CCD6CB7"/>
    <w:rsid w:val="6CCE501C"/>
    <w:rsid w:val="6CE00E07"/>
    <w:rsid w:val="6CE8644B"/>
    <w:rsid w:val="6CEB17DF"/>
    <w:rsid w:val="6CF73BAF"/>
    <w:rsid w:val="6CFB4F6A"/>
    <w:rsid w:val="6D04689B"/>
    <w:rsid w:val="6D1843D1"/>
    <w:rsid w:val="6D196605"/>
    <w:rsid w:val="6D27576D"/>
    <w:rsid w:val="6D30298C"/>
    <w:rsid w:val="6D3467D8"/>
    <w:rsid w:val="6D3C15EC"/>
    <w:rsid w:val="6D4556E9"/>
    <w:rsid w:val="6D4C0018"/>
    <w:rsid w:val="6D5C26AF"/>
    <w:rsid w:val="6D6046C4"/>
    <w:rsid w:val="6D6D3E13"/>
    <w:rsid w:val="6D890B23"/>
    <w:rsid w:val="6D9072D7"/>
    <w:rsid w:val="6D97556F"/>
    <w:rsid w:val="6DA44BF1"/>
    <w:rsid w:val="6DC219CB"/>
    <w:rsid w:val="6DCE4EC0"/>
    <w:rsid w:val="6DD344A4"/>
    <w:rsid w:val="6DD644F6"/>
    <w:rsid w:val="6DDC2814"/>
    <w:rsid w:val="6DE01A7F"/>
    <w:rsid w:val="6DE60F2E"/>
    <w:rsid w:val="6DEE6573"/>
    <w:rsid w:val="6DF36E56"/>
    <w:rsid w:val="6DF64B98"/>
    <w:rsid w:val="6DF70911"/>
    <w:rsid w:val="6E0D5163"/>
    <w:rsid w:val="6E1B3616"/>
    <w:rsid w:val="6E1D03D8"/>
    <w:rsid w:val="6E1F7B92"/>
    <w:rsid w:val="6E2448B7"/>
    <w:rsid w:val="6E2E3FF9"/>
    <w:rsid w:val="6E3000AA"/>
    <w:rsid w:val="6E341784"/>
    <w:rsid w:val="6E5531EF"/>
    <w:rsid w:val="6E555FA9"/>
    <w:rsid w:val="6E56534D"/>
    <w:rsid w:val="6E63281D"/>
    <w:rsid w:val="6E690EAC"/>
    <w:rsid w:val="6E6D2CC2"/>
    <w:rsid w:val="6E705A18"/>
    <w:rsid w:val="6E774F42"/>
    <w:rsid w:val="6E7A53F2"/>
    <w:rsid w:val="6E9806E4"/>
    <w:rsid w:val="6E9C55A9"/>
    <w:rsid w:val="6EA049C1"/>
    <w:rsid w:val="6EA50203"/>
    <w:rsid w:val="6ED11109"/>
    <w:rsid w:val="6ED75F98"/>
    <w:rsid w:val="6EDA581E"/>
    <w:rsid w:val="6EE00D43"/>
    <w:rsid w:val="6EE01420"/>
    <w:rsid w:val="6EE01B44"/>
    <w:rsid w:val="6EEA2105"/>
    <w:rsid w:val="6EEC1161"/>
    <w:rsid w:val="6EFD5BA2"/>
    <w:rsid w:val="6EFD7CFF"/>
    <w:rsid w:val="6F29766C"/>
    <w:rsid w:val="6F2D555B"/>
    <w:rsid w:val="6F393F57"/>
    <w:rsid w:val="6F3A1BFF"/>
    <w:rsid w:val="6F3A532A"/>
    <w:rsid w:val="6F3A78A8"/>
    <w:rsid w:val="6F40431D"/>
    <w:rsid w:val="6F4B3AAC"/>
    <w:rsid w:val="6F4D4C8B"/>
    <w:rsid w:val="6F524F38"/>
    <w:rsid w:val="6F5560FF"/>
    <w:rsid w:val="6F5A7073"/>
    <w:rsid w:val="6F5B0914"/>
    <w:rsid w:val="6F6E57D0"/>
    <w:rsid w:val="6F756160"/>
    <w:rsid w:val="6F802E24"/>
    <w:rsid w:val="6F90382B"/>
    <w:rsid w:val="6FA26D85"/>
    <w:rsid w:val="6FA61E9B"/>
    <w:rsid w:val="6FB34313"/>
    <w:rsid w:val="6FB346BA"/>
    <w:rsid w:val="6FB37779"/>
    <w:rsid w:val="6FB65C4B"/>
    <w:rsid w:val="6FBA4B33"/>
    <w:rsid w:val="6FD601DD"/>
    <w:rsid w:val="6FEE5A5F"/>
    <w:rsid w:val="700A500E"/>
    <w:rsid w:val="70211C88"/>
    <w:rsid w:val="702D4C13"/>
    <w:rsid w:val="70342A6F"/>
    <w:rsid w:val="70405D05"/>
    <w:rsid w:val="7054557F"/>
    <w:rsid w:val="705864C4"/>
    <w:rsid w:val="705B6F34"/>
    <w:rsid w:val="70690AC7"/>
    <w:rsid w:val="706933FF"/>
    <w:rsid w:val="707F041A"/>
    <w:rsid w:val="70925E97"/>
    <w:rsid w:val="70942D2F"/>
    <w:rsid w:val="70A506CF"/>
    <w:rsid w:val="70A61480"/>
    <w:rsid w:val="70C106E4"/>
    <w:rsid w:val="70DA48D4"/>
    <w:rsid w:val="70DA7783"/>
    <w:rsid w:val="70DD3DED"/>
    <w:rsid w:val="71024BB6"/>
    <w:rsid w:val="71025602"/>
    <w:rsid w:val="710A3BD5"/>
    <w:rsid w:val="710E21F8"/>
    <w:rsid w:val="7125413B"/>
    <w:rsid w:val="712C3BE4"/>
    <w:rsid w:val="713752AB"/>
    <w:rsid w:val="713A2741"/>
    <w:rsid w:val="713B6657"/>
    <w:rsid w:val="714053F2"/>
    <w:rsid w:val="71521D19"/>
    <w:rsid w:val="7155506F"/>
    <w:rsid w:val="7168641D"/>
    <w:rsid w:val="71701D7B"/>
    <w:rsid w:val="717E5DF6"/>
    <w:rsid w:val="718469B1"/>
    <w:rsid w:val="71876DBC"/>
    <w:rsid w:val="718D60EB"/>
    <w:rsid w:val="71924BD7"/>
    <w:rsid w:val="7192653E"/>
    <w:rsid w:val="71992848"/>
    <w:rsid w:val="719972FA"/>
    <w:rsid w:val="71A00DE1"/>
    <w:rsid w:val="71B06E93"/>
    <w:rsid w:val="71B34F2A"/>
    <w:rsid w:val="71B513AE"/>
    <w:rsid w:val="71BF5C96"/>
    <w:rsid w:val="71C70D25"/>
    <w:rsid w:val="71CE5D2C"/>
    <w:rsid w:val="71CF08DF"/>
    <w:rsid w:val="71D93097"/>
    <w:rsid w:val="71EF643B"/>
    <w:rsid w:val="71F0722D"/>
    <w:rsid w:val="71F96A05"/>
    <w:rsid w:val="7208780B"/>
    <w:rsid w:val="720A1228"/>
    <w:rsid w:val="720E0A67"/>
    <w:rsid w:val="72207836"/>
    <w:rsid w:val="72240157"/>
    <w:rsid w:val="722D132F"/>
    <w:rsid w:val="722E6408"/>
    <w:rsid w:val="723839D1"/>
    <w:rsid w:val="723E0F50"/>
    <w:rsid w:val="723E1B79"/>
    <w:rsid w:val="726E053B"/>
    <w:rsid w:val="72783A08"/>
    <w:rsid w:val="727A3E4E"/>
    <w:rsid w:val="728D4EBC"/>
    <w:rsid w:val="72917D44"/>
    <w:rsid w:val="72996222"/>
    <w:rsid w:val="729A2714"/>
    <w:rsid w:val="72A02739"/>
    <w:rsid w:val="72A43145"/>
    <w:rsid w:val="72B23D83"/>
    <w:rsid w:val="72BD7A32"/>
    <w:rsid w:val="72BF4F0D"/>
    <w:rsid w:val="72BF5307"/>
    <w:rsid w:val="72C5574B"/>
    <w:rsid w:val="72CA7F48"/>
    <w:rsid w:val="72CB00F2"/>
    <w:rsid w:val="72E407B2"/>
    <w:rsid w:val="72F773E8"/>
    <w:rsid w:val="7304483D"/>
    <w:rsid w:val="730F128A"/>
    <w:rsid w:val="731464FE"/>
    <w:rsid w:val="731465B2"/>
    <w:rsid w:val="73165739"/>
    <w:rsid w:val="73247AB1"/>
    <w:rsid w:val="732B2F74"/>
    <w:rsid w:val="73407948"/>
    <w:rsid w:val="734B14E2"/>
    <w:rsid w:val="734B4108"/>
    <w:rsid w:val="734D4051"/>
    <w:rsid w:val="735F30A6"/>
    <w:rsid w:val="73702516"/>
    <w:rsid w:val="73746632"/>
    <w:rsid w:val="737D3C50"/>
    <w:rsid w:val="739A036D"/>
    <w:rsid w:val="739C6C4F"/>
    <w:rsid w:val="73A712C3"/>
    <w:rsid w:val="73B05BA5"/>
    <w:rsid w:val="73B61730"/>
    <w:rsid w:val="73B9480B"/>
    <w:rsid w:val="73B9644B"/>
    <w:rsid w:val="73D62060"/>
    <w:rsid w:val="73D65928"/>
    <w:rsid w:val="73F26870"/>
    <w:rsid w:val="740723CE"/>
    <w:rsid w:val="742370C6"/>
    <w:rsid w:val="742F2014"/>
    <w:rsid w:val="74312486"/>
    <w:rsid w:val="7440133B"/>
    <w:rsid w:val="744C3764"/>
    <w:rsid w:val="745244FB"/>
    <w:rsid w:val="74670590"/>
    <w:rsid w:val="74693FC9"/>
    <w:rsid w:val="747328AB"/>
    <w:rsid w:val="747D56CB"/>
    <w:rsid w:val="74866B81"/>
    <w:rsid w:val="749A1AFF"/>
    <w:rsid w:val="749A6557"/>
    <w:rsid w:val="749B2721"/>
    <w:rsid w:val="749E3893"/>
    <w:rsid w:val="74B530B7"/>
    <w:rsid w:val="74BA1C88"/>
    <w:rsid w:val="74D80ADB"/>
    <w:rsid w:val="74DF02F7"/>
    <w:rsid w:val="74E02F95"/>
    <w:rsid w:val="74EA55AE"/>
    <w:rsid w:val="74F811F5"/>
    <w:rsid w:val="74FD6F16"/>
    <w:rsid w:val="75043508"/>
    <w:rsid w:val="7515690E"/>
    <w:rsid w:val="75215BBE"/>
    <w:rsid w:val="75326904"/>
    <w:rsid w:val="753C1CD3"/>
    <w:rsid w:val="753F3E81"/>
    <w:rsid w:val="755769E6"/>
    <w:rsid w:val="755C7FE5"/>
    <w:rsid w:val="756257C9"/>
    <w:rsid w:val="75641893"/>
    <w:rsid w:val="75660855"/>
    <w:rsid w:val="7568637B"/>
    <w:rsid w:val="757A29D7"/>
    <w:rsid w:val="75A960FC"/>
    <w:rsid w:val="75AF2EFD"/>
    <w:rsid w:val="75B20254"/>
    <w:rsid w:val="75C74413"/>
    <w:rsid w:val="75DC5C2C"/>
    <w:rsid w:val="75F61CE6"/>
    <w:rsid w:val="760A73CE"/>
    <w:rsid w:val="760F6913"/>
    <w:rsid w:val="761262E7"/>
    <w:rsid w:val="76143E0D"/>
    <w:rsid w:val="762569BA"/>
    <w:rsid w:val="762A1A2A"/>
    <w:rsid w:val="76441F48"/>
    <w:rsid w:val="764D19B8"/>
    <w:rsid w:val="765C1557"/>
    <w:rsid w:val="765E2209"/>
    <w:rsid w:val="766A3756"/>
    <w:rsid w:val="7682208B"/>
    <w:rsid w:val="76867E05"/>
    <w:rsid w:val="768E18E3"/>
    <w:rsid w:val="76967A9F"/>
    <w:rsid w:val="76C276E0"/>
    <w:rsid w:val="76C4334D"/>
    <w:rsid w:val="76E1524A"/>
    <w:rsid w:val="76FC618B"/>
    <w:rsid w:val="76FF2D0F"/>
    <w:rsid w:val="770527E3"/>
    <w:rsid w:val="770B76F3"/>
    <w:rsid w:val="77140889"/>
    <w:rsid w:val="77182497"/>
    <w:rsid w:val="773150A7"/>
    <w:rsid w:val="77353DCB"/>
    <w:rsid w:val="773D3E66"/>
    <w:rsid w:val="774B4334"/>
    <w:rsid w:val="776F0323"/>
    <w:rsid w:val="77764653"/>
    <w:rsid w:val="777A725B"/>
    <w:rsid w:val="777E3C7E"/>
    <w:rsid w:val="77851CB1"/>
    <w:rsid w:val="778E7BEF"/>
    <w:rsid w:val="77922D31"/>
    <w:rsid w:val="779E4A3F"/>
    <w:rsid w:val="77AF21B3"/>
    <w:rsid w:val="77BA6704"/>
    <w:rsid w:val="77BB5535"/>
    <w:rsid w:val="77C74EAF"/>
    <w:rsid w:val="77D37B1C"/>
    <w:rsid w:val="77D543BA"/>
    <w:rsid w:val="77D77F54"/>
    <w:rsid w:val="77DB1A01"/>
    <w:rsid w:val="77DB7F18"/>
    <w:rsid w:val="77E048EF"/>
    <w:rsid w:val="780879A1"/>
    <w:rsid w:val="78147709"/>
    <w:rsid w:val="781B3828"/>
    <w:rsid w:val="781E5417"/>
    <w:rsid w:val="781E63EF"/>
    <w:rsid w:val="78223D0F"/>
    <w:rsid w:val="78303DA2"/>
    <w:rsid w:val="78434E7D"/>
    <w:rsid w:val="784A63CE"/>
    <w:rsid w:val="78574485"/>
    <w:rsid w:val="78581CD0"/>
    <w:rsid w:val="78643A7F"/>
    <w:rsid w:val="786A4B4E"/>
    <w:rsid w:val="786B1B93"/>
    <w:rsid w:val="787D61FE"/>
    <w:rsid w:val="788918C4"/>
    <w:rsid w:val="788E4915"/>
    <w:rsid w:val="789A614B"/>
    <w:rsid w:val="78A75E68"/>
    <w:rsid w:val="78A967BD"/>
    <w:rsid w:val="78C65E55"/>
    <w:rsid w:val="78D00903"/>
    <w:rsid w:val="78D668F2"/>
    <w:rsid w:val="78E44CAA"/>
    <w:rsid w:val="78E506A5"/>
    <w:rsid w:val="78E81581"/>
    <w:rsid w:val="78F0754A"/>
    <w:rsid w:val="78FA17B8"/>
    <w:rsid w:val="790B3520"/>
    <w:rsid w:val="79346574"/>
    <w:rsid w:val="79424ABD"/>
    <w:rsid w:val="794C3563"/>
    <w:rsid w:val="7959152F"/>
    <w:rsid w:val="7963350C"/>
    <w:rsid w:val="79634427"/>
    <w:rsid w:val="796B4A4E"/>
    <w:rsid w:val="797E663F"/>
    <w:rsid w:val="79870DFE"/>
    <w:rsid w:val="798968C0"/>
    <w:rsid w:val="798E799C"/>
    <w:rsid w:val="79A20C3E"/>
    <w:rsid w:val="79A47610"/>
    <w:rsid w:val="79AC7831"/>
    <w:rsid w:val="79AD73A1"/>
    <w:rsid w:val="79B2283F"/>
    <w:rsid w:val="79C45333"/>
    <w:rsid w:val="79CD3428"/>
    <w:rsid w:val="79D70ECF"/>
    <w:rsid w:val="79DF5486"/>
    <w:rsid w:val="79EF5453"/>
    <w:rsid w:val="79F63906"/>
    <w:rsid w:val="79FD005A"/>
    <w:rsid w:val="7A1505E1"/>
    <w:rsid w:val="7A1C3EDE"/>
    <w:rsid w:val="7A1E08BC"/>
    <w:rsid w:val="7A2F6452"/>
    <w:rsid w:val="7A5C3C97"/>
    <w:rsid w:val="7A5D2172"/>
    <w:rsid w:val="7A5F3267"/>
    <w:rsid w:val="7A7A445B"/>
    <w:rsid w:val="7A9279F6"/>
    <w:rsid w:val="7A951295"/>
    <w:rsid w:val="7A9E0FE9"/>
    <w:rsid w:val="7AC75BD7"/>
    <w:rsid w:val="7AC92281"/>
    <w:rsid w:val="7ACC0E1C"/>
    <w:rsid w:val="7AE85868"/>
    <w:rsid w:val="7AEF48A0"/>
    <w:rsid w:val="7AF22861"/>
    <w:rsid w:val="7AF70FE2"/>
    <w:rsid w:val="7B063D82"/>
    <w:rsid w:val="7B1562D3"/>
    <w:rsid w:val="7B15671D"/>
    <w:rsid w:val="7B1757B5"/>
    <w:rsid w:val="7B242974"/>
    <w:rsid w:val="7B245C02"/>
    <w:rsid w:val="7B2B4FA3"/>
    <w:rsid w:val="7B4236BB"/>
    <w:rsid w:val="7B452CBB"/>
    <w:rsid w:val="7B556043"/>
    <w:rsid w:val="7B5622D6"/>
    <w:rsid w:val="7B617CFE"/>
    <w:rsid w:val="7B623F1E"/>
    <w:rsid w:val="7B8532E1"/>
    <w:rsid w:val="7B947576"/>
    <w:rsid w:val="7B964BF3"/>
    <w:rsid w:val="7BA0594D"/>
    <w:rsid w:val="7BA23C69"/>
    <w:rsid w:val="7BA94FF8"/>
    <w:rsid w:val="7BC24630"/>
    <w:rsid w:val="7BD25432"/>
    <w:rsid w:val="7BE10F2C"/>
    <w:rsid w:val="7BE230AC"/>
    <w:rsid w:val="7BE2587A"/>
    <w:rsid w:val="7BE35DB1"/>
    <w:rsid w:val="7BEB4D70"/>
    <w:rsid w:val="7BEC143C"/>
    <w:rsid w:val="7BF06CCA"/>
    <w:rsid w:val="7BF616AC"/>
    <w:rsid w:val="7BF63BD5"/>
    <w:rsid w:val="7BFF19CF"/>
    <w:rsid w:val="7C0A7546"/>
    <w:rsid w:val="7C0F322F"/>
    <w:rsid w:val="7C1B5F57"/>
    <w:rsid w:val="7C244C53"/>
    <w:rsid w:val="7C255C9F"/>
    <w:rsid w:val="7C323D0D"/>
    <w:rsid w:val="7C4918C6"/>
    <w:rsid w:val="7C513C98"/>
    <w:rsid w:val="7C5E1256"/>
    <w:rsid w:val="7C5E3ECF"/>
    <w:rsid w:val="7C643710"/>
    <w:rsid w:val="7C7C44BA"/>
    <w:rsid w:val="7C7D5DB7"/>
    <w:rsid w:val="7C820ABB"/>
    <w:rsid w:val="7C8363D2"/>
    <w:rsid w:val="7C99506C"/>
    <w:rsid w:val="7CA22797"/>
    <w:rsid w:val="7CA37AAC"/>
    <w:rsid w:val="7CA50DCB"/>
    <w:rsid w:val="7CB507B6"/>
    <w:rsid w:val="7CD86163"/>
    <w:rsid w:val="7CF24954"/>
    <w:rsid w:val="7CF71B4F"/>
    <w:rsid w:val="7CFE2601"/>
    <w:rsid w:val="7D0C1A12"/>
    <w:rsid w:val="7D0F63A0"/>
    <w:rsid w:val="7D20795C"/>
    <w:rsid w:val="7D357847"/>
    <w:rsid w:val="7D3947B3"/>
    <w:rsid w:val="7D4007D2"/>
    <w:rsid w:val="7D4D41AC"/>
    <w:rsid w:val="7D4E4447"/>
    <w:rsid w:val="7D657763"/>
    <w:rsid w:val="7D6A4D22"/>
    <w:rsid w:val="7D722C77"/>
    <w:rsid w:val="7D792941"/>
    <w:rsid w:val="7D804F9F"/>
    <w:rsid w:val="7D8A2150"/>
    <w:rsid w:val="7D962213"/>
    <w:rsid w:val="7D9B5B38"/>
    <w:rsid w:val="7DA10551"/>
    <w:rsid w:val="7DA30BF4"/>
    <w:rsid w:val="7DB74AC4"/>
    <w:rsid w:val="7DB75B6A"/>
    <w:rsid w:val="7DBA34EC"/>
    <w:rsid w:val="7DC83953"/>
    <w:rsid w:val="7DCE4026"/>
    <w:rsid w:val="7DDF398D"/>
    <w:rsid w:val="7DE23C43"/>
    <w:rsid w:val="7DE246AB"/>
    <w:rsid w:val="7DF23FD7"/>
    <w:rsid w:val="7DF659CB"/>
    <w:rsid w:val="7DF740F1"/>
    <w:rsid w:val="7E001352"/>
    <w:rsid w:val="7E062F6F"/>
    <w:rsid w:val="7E0677CC"/>
    <w:rsid w:val="7E1B0FF5"/>
    <w:rsid w:val="7E2C1760"/>
    <w:rsid w:val="7E392A45"/>
    <w:rsid w:val="7E447F1D"/>
    <w:rsid w:val="7E4F5825"/>
    <w:rsid w:val="7E5672B6"/>
    <w:rsid w:val="7E5E144C"/>
    <w:rsid w:val="7E6F6163"/>
    <w:rsid w:val="7E7538B7"/>
    <w:rsid w:val="7E775881"/>
    <w:rsid w:val="7E851174"/>
    <w:rsid w:val="7E9A331D"/>
    <w:rsid w:val="7EB443DF"/>
    <w:rsid w:val="7EBB4496"/>
    <w:rsid w:val="7ED14C6C"/>
    <w:rsid w:val="7EE45463"/>
    <w:rsid w:val="7EEE159E"/>
    <w:rsid w:val="7EF83F26"/>
    <w:rsid w:val="7EFD7F5D"/>
    <w:rsid w:val="7F0361A8"/>
    <w:rsid w:val="7F076C05"/>
    <w:rsid w:val="7F147AF3"/>
    <w:rsid w:val="7F160BF6"/>
    <w:rsid w:val="7F1A0395"/>
    <w:rsid w:val="7F1B26B0"/>
    <w:rsid w:val="7F202EEA"/>
    <w:rsid w:val="7F243D7D"/>
    <w:rsid w:val="7F27057A"/>
    <w:rsid w:val="7F3A7A26"/>
    <w:rsid w:val="7F3B05D3"/>
    <w:rsid w:val="7F4C00A2"/>
    <w:rsid w:val="7F5E017B"/>
    <w:rsid w:val="7F5F07EF"/>
    <w:rsid w:val="7F5F4AD6"/>
    <w:rsid w:val="7F604CE1"/>
    <w:rsid w:val="7F617D26"/>
    <w:rsid w:val="7F7B52E7"/>
    <w:rsid w:val="7F8401A5"/>
    <w:rsid w:val="7F853ABC"/>
    <w:rsid w:val="7F871AF4"/>
    <w:rsid w:val="7F880BDE"/>
    <w:rsid w:val="7F8F568A"/>
    <w:rsid w:val="7F9E590C"/>
    <w:rsid w:val="7FA840A1"/>
    <w:rsid w:val="7FDD7966"/>
    <w:rsid w:val="7FDE2985"/>
    <w:rsid w:val="7FF02002"/>
    <w:rsid w:val="7FFF0B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40"/>
      <w:jc w:val="center"/>
      <w:outlineLvl w:val="0"/>
    </w:pPr>
    <w:rPr>
      <w:rFonts w:eastAsia="华文仿宋"/>
      <w:b/>
      <w:bCs/>
      <w:kern w:val="44"/>
      <w:sz w:val="36"/>
      <w:szCs w:val="36"/>
    </w:rPr>
  </w:style>
  <w:style w:type="paragraph" w:styleId="3">
    <w:name w:val="heading 2"/>
    <w:basedOn w:val="1"/>
    <w:next w:val="1"/>
    <w:qFormat/>
    <w:uiPriority w:val="0"/>
    <w:pPr>
      <w:keepNext/>
      <w:keepLines/>
      <w:spacing w:before="260" w:after="260"/>
      <w:outlineLvl w:val="1"/>
    </w:pPr>
    <w:rPr>
      <w:rFonts w:ascii="仿宋_GB2312" w:hAnsi="Arial" w:eastAsia="华文仿宋"/>
      <w:b/>
      <w:bCs/>
      <w:kern w:val="0"/>
      <w:sz w:val="32"/>
      <w:szCs w:val="28"/>
    </w:rPr>
  </w:style>
  <w:style w:type="paragraph" w:styleId="4">
    <w:name w:val="heading 3"/>
    <w:basedOn w:val="1"/>
    <w:next w:val="1"/>
    <w:qFormat/>
    <w:uiPriority w:val="0"/>
    <w:pPr>
      <w:keepNext/>
      <w:keepLines/>
      <w:spacing w:before="260" w:after="260"/>
      <w:outlineLvl w:val="2"/>
    </w:pPr>
    <w:rPr>
      <w:rFonts w:eastAsia="仿宋_GB2312"/>
      <w:b/>
      <w:bCs/>
      <w:sz w:val="28"/>
      <w:szCs w:val="32"/>
    </w:rPr>
  </w:style>
  <w:style w:type="paragraph" w:styleId="5">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80"/>
    <w:qFormat/>
    <w:uiPriority w:val="0"/>
    <w:pPr>
      <w:jc w:val="left"/>
    </w:pPr>
  </w:style>
  <w:style w:type="paragraph" w:styleId="9">
    <w:name w:val="Salutation"/>
    <w:basedOn w:val="1"/>
    <w:next w:val="1"/>
    <w:link w:val="59"/>
    <w:qFormat/>
    <w:uiPriority w:val="0"/>
    <w:rPr>
      <w:rFonts w:ascii="仿宋" w:hAnsi="仿宋" w:eastAsia="仿宋"/>
      <w:sz w:val="28"/>
      <w:szCs w:val="28"/>
    </w:rPr>
  </w:style>
  <w:style w:type="paragraph" w:styleId="10">
    <w:name w:val="Closing"/>
    <w:basedOn w:val="1"/>
    <w:link w:val="60"/>
    <w:qFormat/>
    <w:uiPriority w:val="0"/>
    <w:pPr>
      <w:ind w:left="100" w:leftChars="2100"/>
    </w:pPr>
    <w:rPr>
      <w:rFonts w:ascii="仿宋" w:hAnsi="仿宋" w:eastAsia="仿宋"/>
      <w:sz w:val="28"/>
      <w:szCs w:val="28"/>
    </w:rPr>
  </w:style>
  <w:style w:type="paragraph" w:styleId="11">
    <w:name w:val="Body Text Indent"/>
    <w:basedOn w:val="1"/>
    <w:qFormat/>
    <w:uiPriority w:val="0"/>
    <w:pPr>
      <w:ind w:firstLine="705"/>
      <w:jc w:val="left"/>
    </w:pPr>
    <w:rPr>
      <w:sz w:val="30"/>
    </w:rPr>
  </w:style>
  <w:style w:type="paragraph" w:styleId="12">
    <w:name w:val="Block Text"/>
    <w:basedOn w:val="1"/>
    <w:qFormat/>
    <w:uiPriority w:val="0"/>
    <w:pPr>
      <w:tabs>
        <w:tab w:val="left" w:pos="-2205"/>
      </w:tabs>
      <w:spacing w:line="360" w:lineRule="auto"/>
      <w:ind w:left="1440" w:right="17" w:hanging="1440" w:hangingChars="480"/>
    </w:pPr>
    <w:rPr>
      <w:rFonts w:ascii="仿宋_GB2312" w:hAnsi="宋体" w:eastAsia="仿宋_GB2312"/>
      <w:sz w:val="30"/>
      <w:szCs w:val="30"/>
    </w:rPr>
  </w:style>
  <w:style w:type="paragraph" w:styleId="13">
    <w:name w:val="Plain Text"/>
    <w:basedOn w:val="1"/>
    <w:link w:val="31"/>
    <w:qFormat/>
    <w:uiPriority w:val="0"/>
    <w:rPr>
      <w:rFonts w:ascii="宋体" w:hAnsi="Courier New"/>
      <w:szCs w:val="20"/>
    </w:rPr>
  </w:style>
  <w:style w:type="paragraph" w:styleId="14">
    <w:name w:val="Date"/>
    <w:basedOn w:val="1"/>
    <w:next w:val="1"/>
    <w:qFormat/>
    <w:uiPriority w:val="0"/>
    <w:pPr>
      <w:ind w:left="100" w:leftChars="2500"/>
    </w:pPr>
  </w:style>
  <w:style w:type="paragraph" w:styleId="15">
    <w:name w:val="Body Text Indent 2"/>
    <w:basedOn w:val="1"/>
    <w:qFormat/>
    <w:uiPriority w:val="0"/>
    <w:pPr>
      <w:spacing w:line="500" w:lineRule="exact"/>
      <w:ind w:firstLine="560" w:firstLineChars="200"/>
    </w:pPr>
    <w:rPr>
      <w:rFonts w:ascii="仿宋_GB2312" w:eastAsia="仿宋_GB2312"/>
      <w:sz w:val="28"/>
      <w:szCs w:val="28"/>
    </w:rPr>
  </w:style>
  <w:style w:type="paragraph" w:styleId="16">
    <w:name w:val="Balloon Text"/>
    <w:basedOn w:val="1"/>
    <w:semiHidden/>
    <w:qFormat/>
    <w:uiPriority w:val="0"/>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rFonts w:eastAsia="仿宋"/>
      <w:sz w:val="28"/>
    </w:rPr>
  </w:style>
  <w:style w:type="paragraph" w:styleId="20">
    <w:name w:val="Body Text Indent 3"/>
    <w:basedOn w:val="1"/>
    <w:qFormat/>
    <w:uiPriority w:val="0"/>
    <w:pPr>
      <w:spacing w:line="520" w:lineRule="exact"/>
      <w:ind w:firstLine="560" w:firstLineChars="200"/>
    </w:pPr>
    <w:rPr>
      <w:rFonts w:ascii="仿宋_GB2312" w:eastAsia="仿宋_GB2312"/>
      <w:color w:val="FF0000"/>
      <w:sz w:val="28"/>
      <w:szCs w:val="28"/>
    </w:rPr>
  </w:style>
  <w:style w:type="paragraph" w:styleId="21">
    <w:name w:val="toc 2"/>
    <w:basedOn w:val="1"/>
    <w:next w:val="1"/>
    <w:qFormat/>
    <w:uiPriority w:val="39"/>
    <w:pPr>
      <w:ind w:left="420" w:leftChars="200"/>
    </w:pPr>
    <w:rPr>
      <w:rFonts w:eastAsia="仿宋"/>
      <w:sz w:val="28"/>
    </w:rPr>
  </w:style>
  <w:style w:type="paragraph" w:styleId="22">
    <w:name w:val="Normal (Web)"/>
    <w:basedOn w:val="1"/>
    <w:unhideWhenUsed/>
    <w:qFormat/>
    <w:uiPriority w:val="99"/>
    <w:pPr>
      <w:widowControl/>
      <w:jc w:val="left"/>
    </w:pPr>
    <w:rPr>
      <w:rFonts w:ascii="宋体" w:hAnsi="宋体" w:cs="宋体"/>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basedOn w:val="25"/>
    <w:qFormat/>
    <w:uiPriority w:val="0"/>
  </w:style>
  <w:style w:type="character" w:styleId="28">
    <w:name w:val="FollowedHyperlink"/>
    <w:basedOn w:val="25"/>
    <w:qFormat/>
    <w:uiPriority w:val="0"/>
    <w:rPr>
      <w:color w:val="800080"/>
      <w:u w:val="single"/>
    </w:rPr>
  </w:style>
  <w:style w:type="character" w:styleId="29">
    <w:name w:val="Hyperlink"/>
    <w:basedOn w:val="25"/>
    <w:qFormat/>
    <w:uiPriority w:val="99"/>
    <w:rPr>
      <w:color w:val="0000FF"/>
      <w:u w:val="single"/>
    </w:rPr>
  </w:style>
  <w:style w:type="paragraph" w:customStyle="1" w:styleId="30">
    <w:name w:val="Char"/>
    <w:basedOn w:val="1"/>
    <w:qFormat/>
    <w:uiPriority w:val="0"/>
    <w:pPr>
      <w:tabs>
        <w:tab w:val="left" w:pos="1275"/>
      </w:tabs>
      <w:ind w:left="1275" w:hanging="720"/>
    </w:pPr>
    <w:rPr>
      <w:sz w:val="24"/>
    </w:rPr>
  </w:style>
  <w:style w:type="character" w:customStyle="1" w:styleId="31">
    <w:name w:val="纯文本 Char"/>
    <w:basedOn w:val="25"/>
    <w:link w:val="13"/>
    <w:qFormat/>
    <w:uiPriority w:val="0"/>
    <w:rPr>
      <w:rFonts w:ascii="宋体" w:hAnsi="Courier New"/>
      <w:kern w:val="2"/>
      <w:sz w:val="21"/>
    </w:rPr>
  </w:style>
  <w:style w:type="character" w:customStyle="1" w:styleId="32">
    <w:name w:val="corp1name"/>
    <w:basedOn w:val="25"/>
    <w:qFormat/>
    <w:uiPriority w:val="0"/>
  </w:style>
  <w:style w:type="character" w:customStyle="1" w:styleId="33">
    <w:name w:val="r_报告编号"/>
    <w:basedOn w:val="25"/>
    <w:qFormat/>
    <w:uiPriority w:val="0"/>
  </w:style>
  <w:style w:type="character" w:customStyle="1" w:styleId="34">
    <w:name w:val="s_地址"/>
    <w:basedOn w:val="25"/>
    <w:qFormat/>
    <w:uiPriority w:val="0"/>
  </w:style>
  <w:style w:type="character" w:customStyle="1" w:styleId="35">
    <w:name w:val="无间隔 Char"/>
    <w:basedOn w:val="25"/>
    <w:link w:val="36"/>
    <w:qFormat/>
    <w:uiPriority w:val="1"/>
    <w:rPr>
      <w:rFonts w:ascii="Calibri" w:hAnsi="Calibri"/>
      <w:sz w:val="22"/>
      <w:szCs w:val="22"/>
      <w:lang w:val="en-US" w:eastAsia="zh-CN" w:bidi="ar-SA"/>
    </w:rPr>
  </w:style>
  <w:style w:type="paragraph" w:styleId="36">
    <w:name w:val="No Spacing"/>
    <w:link w:val="35"/>
    <w:qFormat/>
    <w:uiPriority w:val="1"/>
    <w:rPr>
      <w:rFonts w:ascii="Calibri" w:hAnsi="Calibri" w:eastAsia="宋体" w:cs="Times New Roman"/>
      <w:sz w:val="22"/>
      <w:szCs w:val="22"/>
      <w:lang w:val="en-US" w:eastAsia="zh-CN" w:bidi="ar-SA"/>
    </w:rPr>
  </w:style>
  <w:style w:type="character" w:customStyle="1" w:styleId="37">
    <w:name w:val="r_结束日期(长)"/>
    <w:basedOn w:val="25"/>
    <w:qFormat/>
    <w:uiPriority w:val="0"/>
  </w:style>
  <w:style w:type="character" w:customStyle="1" w:styleId="38">
    <w:name w:val="页脚 Char"/>
    <w:basedOn w:val="25"/>
    <w:link w:val="17"/>
    <w:qFormat/>
    <w:uiPriority w:val="99"/>
    <w:rPr>
      <w:kern w:val="2"/>
      <w:sz w:val="18"/>
      <w:szCs w:val="18"/>
    </w:rPr>
  </w:style>
  <w:style w:type="character" w:customStyle="1" w:styleId="39">
    <w:name w:val="页眉 Char"/>
    <w:basedOn w:val="25"/>
    <w:link w:val="18"/>
    <w:qFormat/>
    <w:uiPriority w:val="99"/>
    <w:rPr>
      <w:kern w:val="2"/>
      <w:sz w:val="18"/>
      <w:szCs w:val="18"/>
    </w:rPr>
  </w:style>
  <w:style w:type="paragraph" w:customStyle="1" w:styleId="40">
    <w:name w:val="列出段落1"/>
    <w:basedOn w:val="1"/>
    <w:qFormat/>
    <w:uiPriority w:val="34"/>
    <w:pPr>
      <w:ind w:firstLine="200" w:firstLineChars="200"/>
    </w:pPr>
    <w:rPr>
      <w:rFonts w:ascii="Calibri" w:hAnsi="Calibri"/>
      <w:szCs w:val="22"/>
    </w:rPr>
  </w:style>
  <w:style w:type="paragraph" w:customStyle="1" w:styleId="41">
    <w:name w:val="xl2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2">
    <w:name w:val="Char Char"/>
    <w:basedOn w:val="1"/>
    <w:qFormat/>
    <w:uiPriority w:val="0"/>
    <w:pPr>
      <w:tabs>
        <w:tab w:val="left" w:pos="1260"/>
        <w:tab w:val="left" w:pos="1605"/>
      </w:tabs>
      <w:ind w:left="1260" w:hanging="360"/>
    </w:pPr>
    <w:rPr>
      <w:rFonts w:ascii="宋体" w:hAnsi="宋体"/>
      <w:kern w:val="0"/>
      <w:sz w:val="28"/>
      <w:szCs w:val="28"/>
    </w:rPr>
  </w:style>
  <w:style w:type="paragraph" w:customStyle="1" w:styleId="43">
    <w:name w:val="xl3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5">
    <w:name w:val="xl2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6">
    <w:name w:val="bigtext"/>
    <w:basedOn w:val="1"/>
    <w:qFormat/>
    <w:uiPriority w:val="0"/>
    <w:pPr>
      <w:widowControl/>
      <w:spacing w:before="100" w:beforeAutospacing="1" w:after="100" w:afterAutospacing="1" w:line="300" w:lineRule="atLeast"/>
      <w:ind w:firstLine="480"/>
      <w:jc w:val="left"/>
    </w:pPr>
    <w:rPr>
      <w:rFonts w:ascii="ˎ̥" w:hAnsi="ˎ̥" w:cs="宋体"/>
      <w:kern w:val="0"/>
      <w:sz w:val="18"/>
      <w:szCs w:val="18"/>
    </w:rPr>
  </w:style>
  <w:style w:type="paragraph" w:customStyle="1" w:styleId="47">
    <w:name w:val="xl31"/>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8">
    <w:name w:val="Char4"/>
    <w:basedOn w:val="1"/>
    <w:qFormat/>
    <w:uiPriority w:val="0"/>
    <w:rPr>
      <w:rFonts w:ascii="Tahoma" w:hAnsi="Tahoma"/>
      <w:sz w:val="24"/>
      <w:szCs w:val="20"/>
    </w:rPr>
  </w:style>
  <w:style w:type="paragraph" w:customStyle="1" w:styleId="4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0">
    <w:name w:val="xl3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1">
    <w:name w:val="xl24"/>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2">
    <w:name w:val="xl3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3">
    <w:name w:val="xl30"/>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4">
    <w:name w:val="xl2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5">
    <w:name w:val="xl26"/>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6">
    <w:name w:val="xl35"/>
    <w:basedOn w:val="1"/>
    <w:qFormat/>
    <w:uiPriority w:val="0"/>
    <w:pPr>
      <w:widowControl/>
      <w:pBdr>
        <w:bottom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7">
    <w:name w:val="Char1"/>
    <w:basedOn w:val="1"/>
    <w:qFormat/>
    <w:uiPriority w:val="0"/>
    <w:pPr>
      <w:tabs>
        <w:tab w:val="left" w:pos="1260"/>
        <w:tab w:val="left" w:pos="1605"/>
      </w:tabs>
      <w:ind w:left="1260" w:hanging="360"/>
    </w:pPr>
    <w:rPr>
      <w:rFonts w:ascii="宋体" w:hAnsi="宋体"/>
      <w:kern w:val="0"/>
      <w:sz w:val="28"/>
      <w:szCs w:val="28"/>
    </w:rPr>
  </w:style>
  <w:style w:type="paragraph" w:customStyle="1" w:styleId="58">
    <w:name w:val="样式7"/>
    <w:basedOn w:val="1"/>
    <w:qFormat/>
    <w:uiPriority w:val="0"/>
    <w:pPr>
      <w:spacing w:line="360" w:lineRule="auto"/>
      <w:ind w:firstLine="567"/>
    </w:pPr>
    <w:rPr>
      <w:rFonts w:ascii="仿宋_GB2312" w:eastAsia="仿宋_GB2312"/>
      <w:sz w:val="28"/>
      <w:szCs w:val="20"/>
    </w:rPr>
  </w:style>
  <w:style w:type="character" w:customStyle="1" w:styleId="59">
    <w:name w:val="称呼 Char"/>
    <w:basedOn w:val="25"/>
    <w:link w:val="9"/>
    <w:qFormat/>
    <w:uiPriority w:val="0"/>
    <w:rPr>
      <w:rFonts w:ascii="仿宋" w:hAnsi="仿宋" w:eastAsia="仿宋"/>
      <w:kern w:val="2"/>
      <w:sz w:val="28"/>
      <w:szCs w:val="28"/>
    </w:rPr>
  </w:style>
  <w:style w:type="character" w:customStyle="1" w:styleId="60">
    <w:name w:val="结束语 Char"/>
    <w:basedOn w:val="25"/>
    <w:link w:val="10"/>
    <w:qFormat/>
    <w:uiPriority w:val="0"/>
    <w:rPr>
      <w:rFonts w:ascii="仿宋" w:hAnsi="仿宋" w:eastAsia="仿宋"/>
      <w:kern w:val="2"/>
      <w:sz w:val="28"/>
      <w:szCs w:val="28"/>
    </w:rPr>
  </w:style>
  <w:style w:type="paragraph" w:styleId="61">
    <w:name w:val="List Paragraph"/>
    <w:basedOn w:val="1"/>
    <w:unhideWhenUsed/>
    <w:qFormat/>
    <w:uiPriority w:val="99"/>
    <w:pPr>
      <w:ind w:firstLine="420" w:firstLineChars="200"/>
    </w:pPr>
  </w:style>
  <w:style w:type="character" w:customStyle="1" w:styleId="62">
    <w:name w:val="msonormal"/>
    <w:basedOn w:val="25"/>
    <w:qFormat/>
    <w:uiPriority w:val="0"/>
  </w:style>
  <w:style w:type="character" w:customStyle="1" w:styleId="63">
    <w:name w:val="s_用地面积"/>
    <w:basedOn w:val="25"/>
    <w:qFormat/>
    <w:uiPriority w:val="0"/>
  </w:style>
  <w:style w:type="character" w:customStyle="1" w:styleId="64">
    <w:name w:val="r_估价期日(长数字)"/>
    <w:basedOn w:val="25"/>
    <w:qFormat/>
    <w:uiPriority w:val="0"/>
  </w:style>
  <w:style w:type="character" w:customStyle="1" w:styleId="65">
    <w:name w:val="client1"/>
    <w:basedOn w:val="25"/>
    <w:qFormat/>
    <w:uiPriority w:val="0"/>
  </w:style>
  <w:style w:type="paragraph" w:customStyle="1" w:styleId="66">
    <w:name w:val="报告正文"/>
    <w:basedOn w:val="1"/>
    <w:qFormat/>
    <w:uiPriority w:val="0"/>
    <w:pPr>
      <w:spacing w:line="500" w:lineRule="atLeast"/>
      <w:ind w:firstLine="567"/>
    </w:pPr>
    <w:rPr>
      <w:rFonts w:hint="eastAsia" w:ascii="仿宋_GB2312" w:hAnsi="Courier New" w:eastAsia="仿宋_GB2312"/>
      <w:sz w:val="28"/>
      <w:szCs w:val="20"/>
    </w:rPr>
  </w:style>
  <w:style w:type="character" w:customStyle="1" w:styleId="67">
    <w:name w:val="font11"/>
    <w:basedOn w:val="25"/>
    <w:qFormat/>
    <w:uiPriority w:val="0"/>
    <w:rPr>
      <w:rFonts w:hint="eastAsia" w:ascii="宋体" w:hAnsi="宋体" w:eastAsia="宋体" w:cs="宋体"/>
      <w:color w:val="000000"/>
      <w:sz w:val="18"/>
      <w:szCs w:val="18"/>
      <w:u w:val="none"/>
    </w:rPr>
  </w:style>
  <w:style w:type="paragraph" w:customStyle="1" w:styleId="68">
    <w:name w:val="Char2"/>
    <w:basedOn w:val="1"/>
    <w:qFormat/>
    <w:uiPriority w:val="0"/>
    <w:pPr>
      <w:tabs>
        <w:tab w:val="left" w:pos="1275"/>
      </w:tabs>
      <w:ind w:left="1275" w:hanging="720"/>
    </w:pPr>
    <w:rPr>
      <w:sz w:val="24"/>
    </w:rPr>
  </w:style>
  <w:style w:type="paragraph" w:customStyle="1" w:styleId="69">
    <w:name w:val="Char31"/>
    <w:basedOn w:val="1"/>
    <w:qFormat/>
    <w:uiPriority w:val="0"/>
    <w:pPr>
      <w:numPr>
        <w:ilvl w:val="0"/>
        <w:numId w:val="1"/>
      </w:numPr>
    </w:pPr>
    <w:rPr>
      <w:sz w:val="24"/>
    </w:rPr>
  </w:style>
  <w:style w:type="character" w:customStyle="1" w:styleId="70">
    <w:name w:val="font31"/>
    <w:basedOn w:val="25"/>
    <w:qFormat/>
    <w:uiPriority w:val="0"/>
    <w:rPr>
      <w:rFonts w:hint="eastAsia" w:ascii="宋体" w:hAnsi="宋体" w:eastAsia="宋体" w:cs="宋体"/>
      <w:b/>
      <w:bCs/>
      <w:color w:val="000000"/>
      <w:sz w:val="18"/>
      <w:szCs w:val="18"/>
      <w:u w:val="none"/>
    </w:rPr>
  </w:style>
  <w:style w:type="character" w:customStyle="1" w:styleId="71">
    <w:name w:val="font41"/>
    <w:basedOn w:val="25"/>
    <w:qFormat/>
    <w:uiPriority w:val="0"/>
    <w:rPr>
      <w:rFonts w:hint="eastAsia" w:ascii="宋体" w:hAnsi="宋体" w:eastAsia="宋体" w:cs="宋体"/>
      <w:b/>
      <w:bCs/>
      <w:color w:val="000000"/>
      <w:sz w:val="15"/>
      <w:szCs w:val="15"/>
      <w:u w:val="none"/>
    </w:rPr>
  </w:style>
  <w:style w:type="character" w:customStyle="1" w:styleId="72">
    <w:name w:val="font51"/>
    <w:basedOn w:val="25"/>
    <w:qFormat/>
    <w:uiPriority w:val="0"/>
    <w:rPr>
      <w:rFonts w:hint="default" w:ascii="Times New Roman" w:hAnsi="Times New Roman" w:cs="Times New Roman"/>
      <w:b/>
      <w:bCs/>
      <w:color w:val="000000"/>
      <w:sz w:val="15"/>
      <w:szCs w:val="15"/>
      <w:u w:val="none"/>
    </w:rPr>
  </w:style>
  <w:style w:type="character" w:customStyle="1" w:styleId="73">
    <w:name w:val="font01"/>
    <w:basedOn w:val="25"/>
    <w:qFormat/>
    <w:uiPriority w:val="0"/>
    <w:rPr>
      <w:rFonts w:hint="eastAsia" w:ascii="宋体" w:hAnsi="宋体" w:eastAsia="宋体" w:cs="宋体"/>
      <w:b/>
      <w:bCs/>
      <w:color w:val="000000"/>
      <w:sz w:val="15"/>
      <w:szCs w:val="15"/>
      <w:u w:val="none"/>
      <w:vertAlign w:val="superscript"/>
    </w:rPr>
  </w:style>
  <w:style w:type="character" w:customStyle="1" w:styleId="74">
    <w:name w:val="font71"/>
    <w:basedOn w:val="25"/>
    <w:qFormat/>
    <w:uiPriority w:val="0"/>
    <w:rPr>
      <w:rFonts w:hint="default" w:ascii="Times New Roman" w:hAnsi="Times New Roman" w:cs="Times New Roman"/>
      <w:b/>
      <w:bCs/>
      <w:color w:val="000000"/>
      <w:sz w:val="15"/>
      <w:szCs w:val="15"/>
      <w:u w:val="none"/>
    </w:rPr>
  </w:style>
  <w:style w:type="character" w:customStyle="1" w:styleId="75">
    <w:name w:val="font101"/>
    <w:basedOn w:val="25"/>
    <w:qFormat/>
    <w:uiPriority w:val="0"/>
    <w:rPr>
      <w:rFonts w:hint="eastAsia" w:ascii="宋体" w:hAnsi="宋体" w:eastAsia="宋体" w:cs="宋体"/>
      <w:b/>
      <w:bCs/>
      <w:color w:val="000000"/>
      <w:sz w:val="15"/>
      <w:szCs w:val="15"/>
      <w:u w:val="none"/>
      <w:vertAlign w:val="superscript"/>
    </w:rPr>
  </w:style>
  <w:style w:type="character" w:customStyle="1" w:styleId="76">
    <w:name w:val="font21"/>
    <w:basedOn w:val="25"/>
    <w:qFormat/>
    <w:uiPriority w:val="0"/>
    <w:rPr>
      <w:rFonts w:hint="eastAsia" w:ascii="宋体" w:hAnsi="宋体" w:eastAsia="宋体" w:cs="宋体"/>
      <w:color w:val="000000"/>
      <w:sz w:val="21"/>
      <w:szCs w:val="21"/>
      <w:u w:val="none"/>
    </w:rPr>
  </w:style>
  <w:style w:type="paragraph" w:customStyle="1" w:styleId="77">
    <w:name w:val="Char5"/>
    <w:basedOn w:val="1"/>
    <w:qFormat/>
    <w:uiPriority w:val="0"/>
    <w:pPr>
      <w:tabs>
        <w:tab w:val="left" w:pos="1275"/>
      </w:tabs>
      <w:ind w:left="1275" w:hanging="720"/>
    </w:pPr>
    <w:rPr>
      <w:sz w:val="24"/>
    </w:rPr>
  </w:style>
  <w:style w:type="paragraph" w:customStyle="1" w:styleId="78">
    <w:name w:val="Char3"/>
    <w:basedOn w:val="1"/>
    <w:qFormat/>
    <w:uiPriority w:val="0"/>
    <w:pPr>
      <w:tabs>
        <w:tab w:val="left" w:pos="1275"/>
      </w:tabs>
      <w:ind w:left="1275" w:hanging="720"/>
    </w:pPr>
    <w:rPr>
      <w:sz w:val="24"/>
    </w:rPr>
  </w:style>
  <w:style w:type="character" w:customStyle="1" w:styleId="79">
    <w:name w:val="basefactorname"/>
    <w:basedOn w:val="25"/>
    <w:qFormat/>
    <w:uiPriority w:val="0"/>
  </w:style>
  <w:style w:type="character" w:customStyle="1" w:styleId="80">
    <w:name w:val="批注文字 Char"/>
    <w:basedOn w:val="25"/>
    <w:link w:val="8"/>
    <w:qFormat/>
    <w:uiPriority w:val="0"/>
    <w:rPr>
      <w:kern w:val="2"/>
      <w:sz w:val="21"/>
      <w:szCs w:val="24"/>
    </w:rPr>
  </w:style>
  <w:style w:type="character" w:customStyle="1" w:styleId="81">
    <w:name w:val="r_价值类型"/>
    <w:basedOn w:val="25"/>
    <w:qFormat/>
    <w:uiPriority w:val="0"/>
  </w:style>
  <w:style w:type="character" w:customStyle="1" w:styleId="82">
    <w:name w:val="s_估价类型"/>
    <w:basedOn w:val="25"/>
    <w:qFormat/>
    <w:uiPriority w:val="0"/>
  </w:style>
  <w:style w:type="character" w:customStyle="1" w:styleId="83">
    <w:name w:val="s_权利人"/>
    <w:basedOn w:val="25"/>
    <w:qFormat/>
    <w:uiPriority w:val="0"/>
  </w:style>
  <w:style w:type="character" w:customStyle="1" w:styleId="84">
    <w:name w:val="font91"/>
    <w:basedOn w:val="25"/>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8"/>
    <customShpInfo spid="_x0000_s3074"/>
    <customShpInfo spid="_x0000_s3077"/>
    <customShpInfo spid="_x0000_s3075"/>
    <customShpInfo spid="_x0000_s3076"/>
    <customShpInfo spid="_x0000_s3073"/>
    <customShpInfo spid="_x0000_s2051"/>
    <customShpInfo spid="_x0000_s2050"/>
    <customShpInfo spid="_x0000_s2052"/>
    <customShpInfo spid="_x0000_s2053"/>
    <customShpInfo spid="_x0000_s2055"/>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769C9-0068-4B99-9AFC-D88EA67EBEE1}">
  <ds:schemaRefs/>
</ds:datastoreItem>
</file>

<file path=docProps/app.xml><?xml version="1.0" encoding="utf-8"?>
<Properties xmlns="http://schemas.openxmlformats.org/officeDocument/2006/extended-properties" xmlns:vt="http://schemas.openxmlformats.org/officeDocument/2006/docPropsVTypes">
  <Template>Normal.dotm</Template>
  <Company>wb</Company>
  <Pages>19</Pages>
  <Words>5868</Words>
  <Characters>6317</Characters>
  <Lines>153</Lines>
  <Paragraphs>43</Paragraphs>
  <TotalTime>10</TotalTime>
  <ScaleCrop>false</ScaleCrop>
  <LinksUpToDate>false</LinksUpToDate>
  <CharactersWithSpaces>6495</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2018-03-30T03:26:00Z</dcterms:created>
  <dc:creator>xll</dc:creator>
  <cp:lastModifiedBy>lenovo4500</cp:lastModifiedBy>
  <cp:lastPrinted>2022-03-01T08:45:00Z</cp:lastPrinted>
  <dcterms:modified xsi:type="dcterms:W3CDTF">2022-06-20T08:53:58Z</dcterms:modified>
  <dc:title>宁波衡信房地产估价有限公司</dc:title>
  <cp:revision>1514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AB28AA2EAA5643429E54F94800417C32</vt:lpwstr>
  </property>
</Properties>
</file>