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before="100" w:beforeAutospacing="1" w:after="100" w:afterAutospacing="1" w:line="500" w:lineRule="exact"/>
        <w:jc w:val="center"/>
        <w:textAlignment w:val="baseline"/>
        <w:rPr>
          <w:rFonts w:hint="eastAsia" w:ascii="楷体_GB2312" w:hAnsi="黑体" w:eastAsia="楷体_GB2312"/>
          <w:bCs/>
          <w:kern w:val="28"/>
          <w:sz w:val="48"/>
          <w:szCs w:val="48"/>
          <w:highlight w:val="none"/>
        </w:rPr>
      </w:pPr>
    </w:p>
    <w:p>
      <w:pPr>
        <w:adjustRightInd w:val="0"/>
        <w:spacing w:before="100" w:beforeAutospacing="1" w:after="100" w:afterAutospacing="1" w:line="500" w:lineRule="exact"/>
        <w:jc w:val="center"/>
        <w:textAlignment w:val="baseline"/>
        <w:rPr>
          <w:rFonts w:ascii="黑体" w:hAnsi="黑体" w:eastAsia="黑体"/>
          <w:bCs/>
          <w:kern w:val="28"/>
          <w:sz w:val="48"/>
          <w:szCs w:val="48"/>
          <w:highlight w:val="none"/>
        </w:rPr>
      </w:pPr>
      <w:r>
        <w:rPr>
          <w:rFonts w:hint="eastAsia" w:ascii="楷体_GB2312" w:hAnsi="黑体" w:eastAsia="楷体_GB2312"/>
          <w:bCs/>
          <w:kern w:val="28"/>
          <w:sz w:val="48"/>
          <w:szCs w:val="48"/>
          <w:highlight w:val="none"/>
        </w:rPr>
        <w:t xml:space="preserve">         </w:t>
      </w:r>
    </w:p>
    <w:p>
      <w:pPr>
        <w:adjustRightInd w:val="0"/>
        <w:spacing w:before="100" w:beforeAutospacing="1" w:after="100" w:afterAutospacing="1" w:line="500" w:lineRule="exact"/>
        <w:jc w:val="center"/>
        <w:textAlignment w:val="baseline"/>
        <w:rPr>
          <w:rFonts w:ascii="黑体" w:hAnsi="黑体" w:eastAsia="黑体"/>
          <w:bCs/>
          <w:kern w:val="28"/>
          <w:sz w:val="48"/>
          <w:szCs w:val="48"/>
          <w:highlight w:val="none"/>
        </w:rPr>
      </w:pPr>
      <w:r>
        <w:rPr>
          <w:rFonts w:hint="eastAsia" w:ascii="黑体" w:hAnsi="黑体" w:eastAsia="黑体" w:cs="黑体"/>
          <w:b/>
          <w:kern w:val="28"/>
          <w:sz w:val="48"/>
          <w:szCs w:val="48"/>
          <w:highlight w:val="none"/>
        </w:rPr>
        <w:t>涉执房地产处置司法评估报告</w:t>
      </w:r>
    </w:p>
    <w:p>
      <w:pPr>
        <w:rPr>
          <w:rFonts w:ascii="楷体_GB2312" w:hAnsi="黑体" w:eastAsia="楷体_GB2312"/>
          <w:kern w:val="0"/>
          <w:sz w:val="36"/>
          <w:szCs w:val="36"/>
          <w:highlight w:val="none"/>
        </w:rPr>
      </w:pPr>
    </w:p>
    <w:p>
      <w:pPr>
        <w:pStyle w:val="45"/>
        <w:rPr>
          <w:rFonts w:ascii="楷体_GB2312" w:hAnsi="黑体" w:eastAsia="楷体_GB2312"/>
          <w:kern w:val="0"/>
          <w:sz w:val="36"/>
          <w:szCs w:val="36"/>
          <w:highlight w:val="none"/>
        </w:rPr>
      </w:pPr>
    </w:p>
    <w:p>
      <w:pPr>
        <w:pStyle w:val="45"/>
        <w:rPr>
          <w:rFonts w:ascii="楷体_GB2312" w:hAnsi="黑体" w:eastAsia="楷体_GB2312"/>
          <w:kern w:val="0"/>
          <w:sz w:val="36"/>
          <w:szCs w:val="36"/>
          <w:highlight w:val="none"/>
        </w:rPr>
      </w:pPr>
    </w:p>
    <w:p>
      <w:pPr>
        <w:spacing w:before="100" w:beforeAutospacing="1" w:after="100" w:afterAutospacing="1" w:line="560" w:lineRule="exact"/>
        <w:ind w:left="2418" w:leftChars="126" w:right="223" w:rightChars="106" w:hanging="2153" w:hangingChars="715"/>
        <w:jc w:val="left"/>
        <w:rPr>
          <w:rFonts w:ascii="楷体_GB2312" w:hAnsi="黑体" w:eastAsia="仿宋"/>
          <w:kern w:val="28"/>
          <w:sz w:val="30"/>
          <w:szCs w:val="30"/>
          <w:highlight w:val="none"/>
        </w:rPr>
      </w:pPr>
      <w:r>
        <w:rPr>
          <w:rFonts w:hint="eastAsia" w:ascii="仿宋" w:hAnsi="仿宋" w:eastAsia="仿宋" w:cs="仿宋"/>
          <w:b/>
          <w:kern w:val="28"/>
          <w:sz w:val="30"/>
          <w:szCs w:val="30"/>
          <w:highlight w:val="none"/>
        </w:rPr>
        <w:t>估价项目名称：</w:t>
      </w:r>
      <w:r>
        <w:rPr>
          <w:rFonts w:hint="eastAsia" w:ascii="仿宋" w:hAnsi="仿宋" w:eastAsia="仿宋" w:cs="仿宋"/>
          <w:kern w:val="28"/>
          <w:sz w:val="30"/>
          <w:szCs w:val="30"/>
          <w:highlight w:val="none"/>
          <w:lang w:val="en-US" w:eastAsia="zh-CN"/>
        </w:rPr>
        <w:t>罗俊持有的位于贵州省三穗县三穗县八弓镇胜利村一小背后一套住宅房地产估价报告</w:t>
      </w:r>
    </w:p>
    <w:p>
      <w:pPr>
        <w:spacing w:before="100" w:beforeAutospacing="1" w:after="100" w:afterAutospacing="1" w:line="460" w:lineRule="exact"/>
        <w:ind w:left="2418" w:leftChars="126" w:right="223" w:rightChars="106" w:hanging="2153" w:hangingChars="715"/>
        <w:jc w:val="left"/>
        <w:rPr>
          <w:rFonts w:ascii="仿宋" w:hAnsi="仿宋" w:eastAsia="仿宋" w:cs="仿宋"/>
          <w:kern w:val="28"/>
          <w:sz w:val="30"/>
          <w:szCs w:val="30"/>
          <w:highlight w:val="none"/>
        </w:rPr>
      </w:pPr>
      <w:r>
        <w:rPr>
          <w:rFonts w:hint="eastAsia" w:ascii="仿宋" w:hAnsi="仿宋" w:eastAsia="仿宋" w:cs="仿宋"/>
          <w:b/>
          <w:kern w:val="28"/>
          <w:sz w:val="30"/>
          <w:szCs w:val="30"/>
          <w:highlight w:val="none"/>
        </w:rPr>
        <w:t>估价委托人：</w:t>
      </w:r>
      <w:r>
        <w:rPr>
          <w:rFonts w:hint="eastAsia" w:ascii="仿宋" w:hAnsi="仿宋" w:eastAsia="仿宋" w:cs="仿宋"/>
          <w:kern w:val="28"/>
          <w:sz w:val="30"/>
          <w:szCs w:val="30"/>
          <w:highlight w:val="none"/>
          <w:lang w:eastAsia="zh-CN"/>
        </w:rPr>
        <w:t>三穗县人民法院</w:t>
      </w:r>
    </w:p>
    <w:p>
      <w:pPr>
        <w:spacing w:line="480" w:lineRule="auto"/>
        <w:ind w:firstLine="301" w:firstLineChars="100"/>
        <w:jc w:val="left"/>
        <w:rPr>
          <w:rFonts w:ascii="仿宋" w:hAnsi="仿宋" w:eastAsia="仿宋" w:cs="仿宋"/>
          <w:kern w:val="28"/>
          <w:sz w:val="30"/>
          <w:szCs w:val="30"/>
          <w:highlight w:val="none"/>
        </w:rPr>
      </w:pPr>
      <w:r>
        <w:rPr>
          <w:rFonts w:hint="eastAsia" w:ascii="仿宋" w:hAnsi="仿宋" w:eastAsia="仿宋" w:cs="仿宋"/>
          <w:b/>
          <w:kern w:val="28"/>
          <w:sz w:val="30"/>
          <w:szCs w:val="30"/>
          <w:highlight w:val="none"/>
        </w:rPr>
        <w:t>估价机构：</w:t>
      </w:r>
      <w:r>
        <w:rPr>
          <w:rFonts w:hint="eastAsia" w:ascii="仿宋" w:hAnsi="仿宋" w:eastAsia="仿宋" w:cs="仿宋"/>
          <w:kern w:val="28"/>
          <w:sz w:val="30"/>
          <w:szCs w:val="30"/>
          <w:highlight w:val="none"/>
        </w:rPr>
        <w:t>深圳市国咨土地房地产资产评估有限公司</w:t>
      </w:r>
    </w:p>
    <w:p>
      <w:pPr>
        <w:spacing w:line="480" w:lineRule="auto"/>
        <w:ind w:firstLine="301" w:firstLineChars="100"/>
        <w:jc w:val="left"/>
        <w:rPr>
          <w:rFonts w:hint="eastAsia" w:ascii="楷体_GB2312" w:hAnsi="黑体" w:eastAsia="仿宋"/>
          <w:kern w:val="0"/>
          <w:sz w:val="30"/>
          <w:szCs w:val="30"/>
          <w:highlight w:val="none"/>
          <w:lang w:val="en-US" w:eastAsia="zh-CN"/>
        </w:rPr>
      </w:pPr>
      <w:r>
        <w:rPr>
          <w:rFonts w:hint="eastAsia" w:ascii="仿宋" w:hAnsi="仿宋" w:eastAsia="仿宋" w:cs="仿宋"/>
          <w:b/>
          <w:kern w:val="28"/>
          <w:sz w:val="30"/>
          <w:szCs w:val="30"/>
          <w:highlight w:val="none"/>
        </w:rPr>
        <w:t>估价人员：</w:t>
      </w:r>
      <w:r>
        <w:rPr>
          <w:rFonts w:hint="eastAsia" w:ascii="仿宋" w:hAnsi="仿宋" w:eastAsia="仿宋" w:cs="仿宋"/>
          <w:kern w:val="28"/>
          <w:sz w:val="30"/>
          <w:szCs w:val="30"/>
          <w:highlight w:val="none"/>
        </w:rPr>
        <w:t xml:space="preserve">王晨阳  </w:t>
      </w:r>
      <w:r>
        <w:rPr>
          <w:rFonts w:hint="default" w:ascii="仿宋" w:hAnsi="仿宋" w:eastAsia="仿宋" w:cs="仿宋"/>
          <w:kern w:val="28"/>
          <w:sz w:val="30"/>
          <w:szCs w:val="30"/>
          <w:highlight w:val="none"/>
        </w:rPr>
        <w:t>陈阳</w:t>
      </w:r>
      <w:r>
        <w:rPr>
          <w:rFonts w:hint="eastAsia" w:ascii="仿宋" w:hAnsi="仿宋" w:eastAsia="仿宋" w:cs="仿宋"/>
          <w:kern w:val="28"/>
          <w:sz w:val="30"/>
          <w:szCs w:val="30"/>
          <w:highlight w:val="none"/>
        </w:rPr>
        <w:t xml:space="preserve"> </w:t>
      </w:r>
      <w:r>
        <w:rPr>
          <w:rFonts w:hint="eastAsia" w:ascii="仿宋" w:hAnsi="仿宋" w:eastAsia="仿宋" w:cs="仿宋"/>
          <w:kern w:val="28"/>
          <w:sz w:val="30"/>
          <w:szCs w:val="30"/>
          <w:highlight w:val="none"/>
          <w:lang w:val="en-US" w:eastAsia="zh-CN"/>
        </w:rPr>
        <w:t xml:space="preserve"> 吴堂科</w:t>
      </w:r>
    </w:p>
    <w:p>
      <w:pPr>
        <w:spacing w:line="480" w:lineRule="auto"/>
        <w:ind w:firstLine="301" w:firstLineChars="100"/>
        <w:jc w:val="left"/>
        <w:rPr>
          <w:rFonts w:hint="eastAsia" w:ascii="仿宋" w:hAnsi="仿宋" w:eastAsia="仿宋" w:cs="仿宋"/>
          <w:kern w:val="28"/>
          <w:sz w:val="30"/>
          <w:szCs w:val="30"/>
          <w:highlight w:val="none"/>
          <w:lang w:eastAsia="zh-CN"/>
        </w:rPr>
      </w:pPr>
      <w:r>
        <w:rPr>
          <w:rFonts w:hint="eastAsia" w:ascii="仿宋" w:hAnsi="仿宋" w:eastAsia="仿宋" w:cs="仿宋"/>
          <w:b/>
          <w:kern w:val="28"/>
          <w:sz w:val="30"/>
          <w:szCs w:val="30"/>
          <w:highlight w:val="none"/>
        </w:rPr>
        <w:t>估价作业日期：</w:t>
      </w:r>
      <w:r>
        <w:rPr>
          <w:rFonts w:hint="eastAsia" w:ascii="仿宋" w:hAnsi="仿宋" w:eastAsia="仿宋" w:cs="仿宋"/>
          <w:kern w:val="28"/>
          <w:sz w:val="30"/>
          <w:szCs w:val="30"/>
          <w:highlight w:val="none"/>
          <w:lang w:eastAsia="zh-CN"/>
        </w:rPr>
        <w:t>202</w:t>
      </w:r>
      <w:r>
        <w:rPr>
          <w:rFonts w:hint="eastAsia" w:ascii="仿宋" w:hAnsi="仿宋" w:eastAsia="仿宋" w:cs="仿宋"/>
          <w:kern w:val="28"/>
          <w:sz w:val="30"/>
          <w:szCs w:val="30"/>
          <w:highlight w:val="none"/>
          <w:lang w:val="en-US" w:eastAsia="zh-CN"/>
        </w:rPr>
        <w:t>2</w:t>
      </w:r>
      <w:r>
        <w:rPr>
          <w:rFonts w:hint="eastAsia" w:ascii="仿宋" w:hAnsi="仿宋" w:eastAsia="仿宋" w:cs="仿宋"/>
          <w:kern w:val="28"/>
          <w:sz w:val="30"/>
          <w:szCs w:val="30"/>
          <w:highlight w:val="none"/>
          <w:lang w:eastAsia="zh-CN"/>
        </w:rPr>
        <w:t>年</w:t>
      </w:r>
      <w:r>
        <w:rPr>
          <w:rFonts w:hint="eastAsia" w:ascii="仿宋" w:hAnsi="仿宋" w:eastAsia="仿宋" w:cs="仿宋"/>
          <w:kern w:val="28"/>
          <w:sz w:val="30"/>
          <w:szCs w:val="30"/>
          <w:highlight w:val="none"/>
          <w:lang w:val="en-US" w:eastAsia="zh-CN"/>
        </w:rPr>
        <w:t>6月6日</w:t>
      </w:r>
      <w:r>
        <w:rPr>
          <w:rFonts w:hint="eastAsia" w:ascii="仿宋" w:hAnsi="仿宋" w:eastAsia="仿宋" w:cs="仿宋"/>
          <w:kern w:val="28"/>
          <w:sz w:val="30"/>
          <w:szCs w:val="30"/>
          <w:highlight w:val="none"/>
        </w:rPr>
        <w:t>至</w:t>
      </w:r>
      <w:r>
        <w:rPr>
          <w:rFonts w:hint="eastAsia" w:ascii="仿宋" w:hAnsi="仿宋" w:eastAsia="仿宋" w:cs="仿宋"/>
          <w:kern w:val="28"/>
          <w:sz w:val="30"/>
          <w:szCs w:val="30"/>
          <w:highlight w:val="none"/>
          <w:lang w:eastAsia="zh-CN"/>
        </w:rPr>
        <w:t>2022年7月8日</w:t>
      </w:r>
    </w:p>
    <w:p>
      <w:pPr>
        <w:spacing w:line="480" w:lineRule="auto"/>
        <w:ind w:firstLine="301" w:firstLineChars="100"/>
        <w:jc w:val="left"/>
        <w:rPr>
          <w:rFonts w:hint="eastAsia" w:ascii="仿宋" w:hAnsi="仿宋" w:eastAsia="仿宋" w:cs="仿宋"/>
          <w:kern w:val="28"/>
          <w:sz w:val="30"/>
          <w:szCs w:val="30"/>
          <w:highlight w:val="none"/>
          <w:lang w:eastAsia="zh-CN"/>
        </w:rPr>
      </w:pPr>
      <w:r>
        <w:rPr>
          <w:rFonts w:hint="eastAsia" w:ascii="仿宋" w:hAnsi="仿宋" w:eastAsia="仿宋" w:cs="仿宋"/>
          <w:b/>
          <w:kern w:val="28"/>
          <w:sz w:val="30"/>
          <w:szCs w:val="30"/>
          <w:highlight w:val="none"/>
          <w:lang w:eastAsia="zh-CN"/>
        </w:rPr>
        <w:t>估价报告出具日期</w:t>
      </w:r>
      <w:r>
        <w:rPr>
          <w:rFonts w:hint="eastAsia" w:ascii="仿宋" w:hAnsi="仿宋" w:eastAsia="仿宋" w:cs="仿宋"/>
          <w:b/>
          <w:kern w:val="28"/>
          <w:sz w:val="30"/>
          <w:szCs w:val="30"/>
          <w:highlight w:val="none"/>
        </w:rPr>
        <w:t>:</w:t>
      </w:r>
      <w:r>
        <w:rPr>
          <w:rFonts w:hint="eastAsia" w:ascii="仿宋" w:hAnsi="仿宋" w:eastAsia="仿宋" w:cs="仿宋"/>
          <w:kern w:val="28"/>
          <w:sz w:val="30"/>
          <w:szCs w:val="30"/>
          <w:highlight w:val="none"/>
        </w:rPr>
        <w:t xml:space="preserve"> </w:t>
      </w:r>
      <w:r>
        <w:rPr>
          <w:rFonts w:hint="eastAsia" w:ascii="仿宋" w:hAnsi="仿宋" w:eastAsia="仿宋" w:cs="仿宋"/>
          <w:kern w:val="28"/>
          <w:sz w:val="30"/>
          <w:szCs w:val="30"/>
          <w:highlight w:val="none"/>
          <w:lang w:eastAsia="zh-CN"/>
        </w:rPr>
        <w:t>2022年7月8日</w:t>
      </w:r>
    </w:p>
    <w:p>
      <w:pPr>
        <w:spacing w:line="480" w:lineRule="auto"/>
        <w:ind w:firstLine="301" w:firstLineChars="100"/>
        <w:jc w:val="left"/>
        <w:rPr>
          <w:rFonts w:ascii="仿宋" w:hAnsi="仿宋" w:eastAsia="仿宋" w:cs="仿宋"/>
          <w:kern w:val="28"/>
          <w:sz w:val="30"/>
          <w:szCs w:val="30"/>
          <w:highlight w:val="none"/>
        </w:rPr>
      </w:pPr>
      <w:r>
        <w:rPr>
          <w:rFonts w:hint="eastAsia" w:ascii="仿宋" w:hAnsi="仿宋" w:eastAsia="仿宋" w:cs="仿宋"/>
          <w:b/>
          <w:kern w:val="28"/>
          <w:sz w:val="30"/>
          <w:szCs w:val="30"/>
          <w:highlight w:val="none"/>
        </w:rPr>
        <w:t>估价报告编号：</w:t>
      </w:r>
      <w:r>
        <w:rPr>
          <w:rFonts w:hint="eastAsia" w:ascii="仿宋" w:hAnsi="仿宋" w:eastAsia="仿宋" w:cs="仿宋"/>
          <w:kern w:val="28"/>
          <w:sz w:val="30"/>
          <w:szCs w:val="30"/>
          <w:highlight w:val="none"/>
        </w:rPr>
        <w:t>深国咨黔评字</w:t>
      </w:r>
      <w:r>
        <w:rPr>
          <w:rFonts w:hint="eastAsia" w:ascii="仿宋" w:hAnsi="仿宋" w:eastAsia="仿宋" w:cs="仿宋"/>
          <w:color w:val="000000" w:themeColor="text1"/>
          <w:kern w:val="28"/>
          <w:sz w:val="30"/>
          <w:szCs w:val="30"/>
          <w:highlight w:val="none"/>
          <w:lang w:eastAsia="zh-CN"/>
          <w14:textFill>
            <w14:solidFill>
              <w14:schemeClr w14:val="tx1"/>
            </w14:solidFill>
          </w14:textFill>
        </w:rPr>
        <w:t>[2022]G07第0003号</w:t>
      </w:r>
    </w:p>
    <w:p>
      <w:pPr>
        <w:rPr>
          <w:rFonts w:ascii="楷体_GB2312" w:hAnsi="黑体" w:eastAsia="楷体_GB2312"/>
          <w:bCs/>
          <w:kern w:val="28"/>
          <w:sz w:val="32"/>
          <w:szCs w:val="32"/>
          <w:highlight w:val="none"/>
        </w:rPr>
      </w:pPr>
      <w:r>
        <w:rPr>
          <w:rFonts w:ascii="楷体_GB2312" w:hAnsi="黑体" w:eastAsia="楷体_GB2312"/>
          <w:bCs/>
          <w:kern w:val="28"/>
          <w:sz w:val="32"/>
          <w:szCs w:val="32"/>
          <w:highlight w:val="none"/>
        </w:rPr>
        <w:br w:type="page"/>
      </w:r>
    </w:p>
    <w:p>
      <w:pPr>
        <w:pStyle w:val="19"/>
        <w:spacing w:line="500" w:lineRule="exact"/>
        <w:ind w:left="0" w:firstLine="0"/>
        <w:jc w:val="both"/>
        <w:rPr>
          <w:rFonts w:ascii="黑体" w:hAnsi="黑体" w:eastAsia="黑体" w:cs="黑体"/>
          <w:b/>
          <w:kern w:val="28"/>
          <w:sz w:val="44"/>
          <w:szCs w:val="44"/>
          <w:highlight w:val="none"/>
        </w:rPr>
      </w:pPr>
    </w:p>
    <w:p>
      <w:pPr>
        <w:pStyle w:val="19"/>
        <w:spacing w:line="500" w:lineRule="exact"/>
        <w:ind w:left="0" w:firstLine="0"/>
        <w:jc w:val="center"/>
        <w:rPr>
          <w:rFonts w:ascii="黑体" w:hAnsi="黑体" w:eastAsia="黑体" w:cs="黑体"/>
          <w:b/>
          <w:kern w:val="28"/>
          <w:sz w:val="44"/>
          <w:szCs w:val="44"/>
          <w:highlight w:val="none"/>
        </w:rPr>
      </w:pPr>
      <w:r>
        <w:rPr>
          <w:rFonts w:hint="eastAsia" w:ascii="黑体" w:hAnsi="黑体" w:eastAsia="黑体" w:cs="黑体"/>
          <w:b/>
          <w:kern w:val="28"/>
          <w:sz w:val="44"/>
          <w:szCs w:val="44"/>
          <w:highlight w:val="none"/>
        </w:rPr>
        <w:t>房地产估价报告摘要</w:t>
      </w:r>
    </w:p>
    <w:p>
      <w:pPr>
        <w:pStyle w:val="19"/>
        <w:spacing w:line="500" w:lineRule="exact"/>
        <w:ind w:left="0" w:firstLine="0"/>
        <w:jc w:val="center"/>
        <w:rPr>
          <w:rFonts w:hint="eastAsia" w:ascii="仿宋" w:hAnsi="仿宋" w:eastAsia="仿宋"/>
          <w:kern w:val="2"/>
          <w:sz w:val="24"/>
          <w:szCs w:val="22"/>
          <w:highlight w:val="none"/>
          <w:lang w:eastAsia="zh-CN"/>
        </w:rPr>
      </w:pPr>
      <w:r>
        <w:rPr>
          <w:rFonts w:hint="eastAsia" w:ascii="仿宋" w:hAnsi="仿宋" w:eastAsia="仿宋"/>
          <w:kern w:val="2"/>
          <w:sz w:val="24"/>
          <w:szCs w:val="22"/>
          <w:highlight w:val="none"/>
          <w:lang w:eastAsia="zh-CN"/>
        </w:rPr>
        <w:t>深国咨黔评字[2022]G07第0003号</w:t>
      </w:r>
    </w:p>
    <w:p>
      <w:pPr>
        <w:pStyle w:val="19"/>
        <w:spacing w:line="500" w:lineRule="exact"/>
        <w:ind w:left="0" w:firstLine="0"/>
        <w:jc w:val="center"/>
        <w:rPr>
          <w:rFonts w:hint="eastAsia" w:ascii="仿宋" w:hAnsi="仿宋" w:eastAsia="仿宋"/>
          <w:b w:val="0"/>
          <w:bCs w:val="0"/>
          <w:kern w:val="2"/>
          <w:sz w:val="24"/>
          <w:szCs w:val="22"/>
          <w:highlight w:val="none"/>
          <w:lang w:eastAsia="zh-CN"/>
        </w:rPr>
      </w:pPr>
      <w:r>
        <w:rPr>
          <w:rFonts w:hint="eastAsia" w:ascii="仿宋" w:hAnsi="仿宋" w:eastAsia="仿宋"/>
          <w:b w:val="0"/>
          <w:bCs w:val="0"/>
          <w:color w:val="auto"/>
          <w:kern w:val="2"/>
          <w:sz w:val="24"/>
          <w:szCs w:val="22"/>
          <w:highlight w:val="none"/>
          <w:lang w:eastAsia="zh-CN"/>
        </w:rPr>
        <w:t>估价对象</w:t>
      </w:r>
    </w:p>
    <w:tbl>
      <w:tblPr>
        <w:tblStyle w:val="46"/>
        <w:tblpPr w:leftFromText="180" w:rightFromText="180" w:vertAnchor="text" w:horzAnchor="margin" w:tblpXSpec="center" w:tblpY="60"/>
        <w:tblW w:w="9181" w:type="dxa"/>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4431"/>
        <w:gridCol w:w="475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741" w:hRule="atLeast"/>
        </w:trPr>
        <w:tc>
          <w:tcPr>
            <w:tcW w:w="4431" w:type="dxa"/>
          </w:tcPr>
          <w:p>
            <w:pPr>
              <w:ind w:right="1050"/>
              <w:rPr>
                <w:rFonts w:hint="eastAsia"/>
                <w:highlight w:val="none"/>
                <w:lang w:eastAsia="zh-CN"/>
              </w:rPr>
            </w:pPr>
          </w:p>
          <w:p>
            <w:pPr>
              <w:pStyle w:val="45"/>
              <w:ind w:left="0" w:leftChars="0" w:firstLine="0" w:firstLineChars="0"/>
              <w:rPr>
                <w:rFonts w:hint="eastAsia"/>
                <w:highlight w:val="none"/>
                <w:lang w:eastAsia="zh-CN"/>
              </w:rPr>
            </w:pPr>
            <w:r>
              <w:rPr>
                <w:rFonts w:hint="eastAsia"/>
                <w:highlight w:val="none"/>
                <w:lang w:eastAsia="zh-CN"/>
              </w:rPr>
              <w:drawing>
                <wp:inline distT="0" distB="0" distL="114300" distR="114300">
                  <wp:extent cx="2653030" cy="2146300"/>
                  <wp:effectExtent l="0" t="0" r="13970" b="6350"/>
                  <wp:docPr id="5" name="图片 5" descr="IMG_20220608_14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220608_140306"/>
                          <pic:cNvPicPr>
                            <a:picLocks noChangeAspect="1"/>
                          </pic:cNvPicPr>
                        </pic:nvPicPr>
                        <pic:blipFill>
                          <a:blip r:embed="rId6"/>
                          <a:stretch>
                            <a:fillRect/>
                          </a:stretch>
                        </pic:blipFill>
                        <pic:spPr>
                          <a:xfrm>
                            <a:off x="0" y="0"/>
                            <a:ext cx="2653030" cy="2146300"/>
                          </a:xfrm>
                          <a:prstGeom prst="rect">
                            <a:avLst/>
                          </a:prstGeom>
                        </pic:spPr>
                      </pic:pic>
                    </a:graphicData>
                  </a:graphic>
                </wp:inline>
              </w:drawing>
            </w:r>
          </w:p>
        </w:tc>
        <w:tc>
          <w:tcPr>
            <w:tcW w:w="4750" w:type="dxa"/>
          </w:tcPr>
          <w:p>
            <w:pPr>
              <w:tabs>
                <w:tab w:val="left" w:pos="534"/>
              </w:tabs>
              <w:spacing w:line="360" w:lineRule="auto"/>
              <w:rPr>
                <w:rFonts w:hint="eastAsia" w:ascii="仿宋" w:hAnsi="仿宋" w:eastAsia="仿宋"/>
                <w:color w:val="000000" w:themeColor="text1"/>
                <w:sz w:val="28"/>
                <w:szCs w:val="28"/>
                <w:highlight w:val="none"/>
                <w:lang w:eastAsia="zh-CN"/>
                <w14:textFill>
                  <w14:solidFill>
                    <w14:schemeClr w14:val="tx1"/>
                  </w14:solidFill>
                </w14:textFill>
              </w:rPr>
            </w:pPr>
          </w:p>
          <w:p>
            <w:pPr>
              <w:tabs>
                <w:tab w:val="left" w:pos="534"/>
              </w:tabs>
              <w:spacing w:line="360" w:lineRule="auto"/>
              <w:ind w:firstLine="240" w:firstLineChars="100"/>
              <w:rPr>
                <w:rFonts w:ascii="仿宋" w:hAnsi="仿宋" w:eastAsia="仿宋"/>
                <w:color w:val="000000" w:themeColor="text1"/>
                <w:sz w:val="24"/>
                <w:szCs w:val="22"/>
                <w:highlight w:val="none"/>
                <w14:textFill>
                  <w14:solidFill>
                    <w14:schemeClr w14:val="tx1"/>
                  </w14:solidFill>
                </w14:textFill>
              </w:rPr>
            </w:pPr>
            <w:r>
              <w:rPr>
                <w:rFonts w:hint="eastAsia" w:ascii="仿宋" w:hAnsi="仿宋" w:eastAsia="仿宋"/>
                <w:color w:val="000000" w:themeColor="text1"/>
                <w:sz w:val="24"/>
                <w:szCs w:val="22"/>
                <w:highlight w:val="none"/>
                <w:lang w:eastAsia="zh-CN"/>
                <w14:textFill>
                  <w14:solidFill>
                    <w14:schemeClr w14:val="tx1"/>
                  </w14:solidFill>
                </w14:textFill>
              </w:rPr>
              <w:t>估价对象</w:t>
            </w:r>
            <w:r>
              <w:rPr>
                <w:rFonts w:hint="eastAsia" w:ascii="仿宋" w:hAnsi="仿宋" w:eastAsia="仿宋"/>
                <w:color w:val="auto"/>
                <w:sz w:val="24"/>
                <w:szCs w:val="22"/>
                <w:highlight w:val="none"/>
                <w:shd w:val="clear" w:fill="FFFFFF" w:themeFill="background1"/>
                <w:lang w:eastAsia="zh-CN"/>
              </w:rPr>
              <w:t>价格</w:t>
            </w:r>
            <w:r>
              <w:rPr>
                <w:rFonts w:hint="eastAsia" w:ascii="仿宋" w:hAnsi="仿宋" w:eastAsia="仿宋"/>
                <w:color w:val="000000" w:themeColor="text1"/>
                <w:sz w:val="24"/>
                <w:szCs w:val="22"/>
                <w:highlight w:val="none"/>
                <w14:textFill>
                  <w14:solidFill>
                    <w14:schemeClr w14:val="tx1"/>
                  </w14:solidFill>
                </w14:textFill>
              </w:rPr>
              <w:t>结果要点摘录</w:t>
            </w:r>
          </w:p>
          <w:p>
            <w:pPr>
              <w:tabs>
                <w:tab w:val="left" w:pos="534"/>
              </w:tabs>
              <w:spacing w:line="360" w:lineRule="auto"/>
              <w:ind w:left="288"/>
              <w:rPr>
                <w:rFonts w:hint="eastAsia" w:ascii="仿宋" w:hAnsi="仿宋" w:eastAsia="仿宋"/>
                <w:color w:val="000000" w:themeColor="text1"/>
                <w:sz w:val="24"/>
                <w:szCs w:val="22"/>
                <w:highlight w:val="none"/>
                <w:lang w:eastAsia="zh-CN"/>
                <w14:textFill>
                  <w14:solidFill>
                    <w14:schemeClr w14:val="tx1"/>
                  </w14:solidFill>
                </w14:textFill>
              </w:rPr>
            </w:pPr>
            <w:r>
              <w:rPr>
                <w:rFonts w:hint="eastAsia" w:ascii="仿宋" w:hAnsi="仿宋" w:eastAsia="仿宋"/>
                <w:color w:val="000000" w:themeColor="text1"/>
                <w:sz w:val="24"/>
                <w:szCs w:val="22"/>
                <w:highlight w:val="none"/>
                <w:lang w:eastAsia="zh-CN"/>
                <w14:textFill>
                  <w14:solidFill>
                    <w14:schemeClr w14:val="tx1"/>
                  </w14:solidFill>
                </w14:textFill>
              </w:rPr>
              <w:t>价值时点</w:t>
            </w:r>
            <w:r>
              <w:rPr>
                <w:rFonts w:hint="eastAsia" w:ascii="仿宋" w:hAnsi="仿宋" w:eastAsia="仿宋"/>
                <w:color w:val="000000" w:themeColor="text1"/>
                <w:sz w:val="24"/>
                <w:szCs w:val="22"/>
                <w:highlight w:val="none"/>
                <w14:textFill>
                  <w14:solidFill>
                    <w14:schemeClr w14:val="tx1"/>
                  </w14:solidFill>
                </w14:textFill>
              </w:rPr>
              <w:t>：</w:t>
            </w:r>
            <w:r>
              <w:rPr>
                <w:rFonts w:hint="eastAsia" w:ascii="仿宋" w:hAnsi="仿宋" w:eastAsia="仿宋"/>
                <w:color w:val="000000" w:themeColor="text1"/>
                <w:sz w:val="24"/>
                <w:szCs w:val="22"/>
                <w:highlight w:val="none"/>
                <w:lang w:eastAsia="zh-CN"/>
                <w14:textFill>
                  <w14:solidFill>
                    <w14:schemeClr w14:val="tx1"/>
                  </w14:solidFill>
                </w14:textFill>
              </w:rPr>
              <w:t>2022年6月8日</w:t>
            </w:r>
          </w:p>
          <w:p>
            <w:pPr>
              <w:tabs>
                <w:tab w:val="left" w:pos="534"/>
              </w:tabs>
              <w:spacing w:line="360" w:lineRule="auto"/>
              <w:ind w:left="288"/>
              <w:rPr>
                <w:rFonts w:hint="eastAsia"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建筑面积：</w:t>
            </w:r>
            <w:r>
              <w:rPr>
                <w:rFonts w:hint="eastAsia" w:ascii="仿宋" w:hAnsi="仿宋" w:eastAsia="仿宋"/>
                <w:color w:val="000000" w:themeColor="text1"/>
                <w:sz w:val="24"/>
                <w:szCs w:val="22"/>
                <w:highlight w:val="none"/>
                <w:lang w:val="en-US" w:eastAsia="zh-CN"/>
                <w14:textFill>
                  <w14:solidFill>
                    <w14:schemeClr w14:val="tx1"/>
                  </w14:solidFill>
                </w14:textFill>
              </w:rPr>
              <w:t>166.51㎡</w:t>
            </w:r>
          </w:p>
          <w:p>
            <w:pPr>
              <w:tabs>
                <w:tab w:val="left" w:pos="534"/>
              </w:tabs>
              <w:spacing w:line="360" w:lineRule="auto"/>
              <w:ind w:left="288"/>
              <w:rPr>
                <w:rFonts w:hint="default"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lang w:val="en-US" w:eastAsia="zh-CN"/>
                <w14:textFill>
                  <w14:solidFill>
                    <w14:schemeClr w14:val="tx1"/>
                  </w14:solidFill>
                </w14:textFill>
              </w:rPr>
              <w:t>权利人名称：罗俊</w:t>
            </w:r>
          </w:p>
          <w:p>
            <w:pPr>
              <w:tabs>
                <w:tab w:val="left" w:pos="534"/>
              </w:tabs>
              <w:spacing w:line="360" w:lineRule="auto"/>
              <w:ind w:left="288"/>
              <w:rPr>
                <w:rFonts w:hint="eastAsia"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14:textFill>
                  <w14:solidFill>
                    <w14:schemeClr w14:val="tx1"/>
                  </w14:solidFill>
                </w14:textFill>
              </w:rPr>
              <w:t>用途：</w:t>
            </w:r>
            <w:r>
              <w:rPr>
                <w:rFonts w:hint="eastAsia" w:ascii="仿宋" w:hAnsi="仿宋" w:eastAsia="仿宋"/>
                <w:color w:val="000000" w:themeColor="text1"/>
                <w:sz w:val="24"/>
                <w:szCs w:val="22"/>
                <w:highlight w:val="none"/>
                <w:lang w:eastAsia="zh-CN"/>
                <w14:textFill>
                  <w14:solidFill>
                    <w14:schemeClr w14:val="tx1"/>
                  </w14:solidFill>
                </w14:textFill>
              </w:rPr>
              <w:t>住宅</w:t>
            </w:r>
          </w:p>
          <w:p>
            <w:pPr>
              <w:pStyle w:val="45"/>
              <w:rPr>
                <w:rFonts w:hint="default"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lang w:val="en-US" w:eastAsia="zh-CN"/>
                <w14:textFill>
                  <w14:solidFill>
                    <w14:schemeClr w14:val="tx1"/>
                  </w14:solidFill>
                </w14:textFill>
              </w:rPr>
              <w:t>未扣除预估处置费用价格：</w:t>
            </w:r>
            <w:r>
              <w:rPr>
                <w:rFonts w:hint="eastAsia" w:ascii="仿宋" w:hAnsi="仿宋" w:eastAsia="仿宋" w:cs="Times New Roman"/>
                <w:color w:val="000000" w:themeColor="text1"/>
                <w:kern w:val="2"/>
                <w:sz w:val="24"/>
                <w:szCs w:val="22"/>
                <w:highlight w:val="none"/>
                <w:lang w:val="en-US" w:eastAsia="zh-CN" w:bidi="ar-SA"/>
                <w14:textFill>
                  <w14:solidFill>
                    <w14:schemeClr w14:val="tx1"/>
                  </w14:solidFill>
                </w14:textFill>
              </w:rPr>
              <w:t>29.07</w:t>
            </w:r>
            <w:r>
              <w:rPr>
                <w:rFonts w:hint="eastAsia" w:ascii="仿宋" w:hAnsi="仿宋" w:eastAsia="仿宋"/>
                <w:color w:val="auto"/>
                <w:sz w:val="24"/>
                <w:szCs w:val="22"/>
                <w:highlight w:val="none"/>
              </w:rPr>
              <w:t>万</w:t>
            </w:r>
            <w:r>
              <w:rPr>
                <w:rFonts w:hint="eastAsia" w:ascii="仿宋" w:hAnsi="仿宋" w:eastAsia="仿宋"/>
                <w:color w:val="000000" w:themeColor="text1"/>
                <w:sz w:val="24"/>
                <w:szCs w:val="22"/>
                <w:highlight w:val="none"/>
                <w14:textFill>
                  <w14:solidFill>
                    <w14:schemeClr w14:val="tx1"/>
                  </w14:solidFill>
                </w14:textFill>
              </w:rPr>
              <w:t>元</w:t>
            </w:r>
          </w:p>
          <w:p>
            <w:pPr>
              <w:pStyle w:val="45"/>
              <w:rPr>
                <w:rFonts w:hint="default" w:ascii="仿宋" w:hAnsi="仿宋" w:eastAsia="仿宋"/>
                <w:color w:val="000000" w:themeColor="text1"/>
                <w:sz w:val="24"/>
                <w:szCs w:val="22"/>
                <w:highlight w:val="none"/>
                <w:lang w:val="en-US" w:eastAsia="zh-CN"/>
                <w14:textFill>
                  <w14:solidFill>
                    <w14:schemeClr w14:val="tx1"/>
                  </w14:solidFill>
                </w14:textFill>
              </w:rPr>
            </w:pPr>
            <w:r>
              <w:rPr>
                <w:rFonts w:hint="eastAsia" w:ascii="仿宋" w:hAnsi="仿宋" w:eastAsia="仿宋"/>
                <w:color w:val="000000" w:themeColor="text1"/>
                <w:sz w:val="24"/>
                <w:szCs w:val="22"/>
                <w:highlight w:val="none"/>
                <w:lang w:val="en-US" w:eastAsia="zh-CN"/>
                <w14:textFill>
                  <w14:solidFill>
                    <w14:schemeClr w14:val="tx1"/>
                  </w14:solidFill>
                </w14:textFill>
              </w:rPr>
              <w:t>扣除预估处置费用价格：25.61万元</w:t>
            </w:r>
          </w:p>
        </w:tc>
      </w:tr>
    </w:tbl>
    <w:p>
      <w:pPr>
        <w:pStyle w:val="45"/>
        <w:keepNext w:val="0"/>
        <w:keepLines w:val="0"/>
        <w:pageBreakBefore w:val="0"/>
        <w:widowControl w:val="0"/>
        <w:kinsoku/>
        <w:wordWrap/>
        <w:overflowPunct/>
        <w:topLinePunct w:val="0"/>
        <w:autoSpaceDE/>
        <w:autoSpaceDN/>
        <w:bidi w:val="0"/>
        <w:adjustRightInd w:val="0"/>
        <w:snapToGrid/>
        <w:spacing w:after="0"/>
        <w:ind w:left="0" w:leftChars="0" w:firstLine="0" w:firstLineChars="0"/>
        <w:jc w:val="both"/>
        <w:textAlignment w:val="baseline"/>
        <w:rPr>
          <w:rFonts w:hint="eastAsia" w:ascii="黑体" w:hAnsi="宋体" w:eastAsia="黑体"/>
          <w:b/>
          <w:snapToGrid w:val="0"/>
          <w:sz w:val="32"/>
          <w:szCs w:val="32"/>
          <w:highlight w:val="none"/>
          <w:lang w:eastAsia="zh-CN"/>
        </w:rPr>
      </w:pPr>
    </w:p>
    <w:p>
      <w:pPr>
        <w:pStyle w:val="45"/>
        <w:jc w:val="both"/>
        <w:rPr>
          <w:rFonts w:hint="eastAsia" w:ascii="黑体" w:hAnsi="宋体" w:eastAsia="黑体"/>
          <w:b/>
          <w:snapToGrid w:val="0"/>
          <w:sz w:val="32"/>
          <w:szCs w:val="32"/>
          <w:highlight w:val="none"/>
          <w:lang w:eastAsia="zh-CN"/>
        </w:rPr>
      </w:pPr>
      <w:r>
        <w:rPr>
          <w:sz w:val="28"/>
          <w:highlight w:val="none"/>
        </w:rPr>
        <mc:AlternateContent>
          <mc:Choice Requires="wps">
            <w:drawing>
              <wp:anchor distT="0" distB="0" distL="114300" distR="114300" simplePos="0" relativeHeight="251659264" behindDoc="0" locked="0" layoutInCell="1" allowOverlap="1">
                <wp:simplePos x="0" y="0"/>
                <wp:positionH relativeFrom="column">
                  <wp:posOffset>2783205</wp:posOffset>
                </wp:positionH>
                <wp:positionV relativeFrom="paragraph">
                  <wp:posOffset>1745615</wp:posOffset>
                </wp:positionV>
                <wp:extent cx="285750" cy="266700"/>
                <wp:effectExtent l="12700" t="12700" r="25400" b="25400"/>
                <wp:wrapNone/>
                <wp:docPr id="2" name="五角星 2"/>
                <wp:cNvGraphicFramePr/>
                <a:graphic xmlns:a="http://schemas.openxmlformats.org/drawingml/2006/main">
                  <a:graphicData uri="http://schemas.microsoft.com/office/word/2010/wordprocessingShape">
                    <wps:wsp>
                      <wps:cNvSpPr/>
                      <wps:spPr>
                        <a:xfrm>
                          <a:off x="0" y="0"/>
                          <a:ext cx="285750" cy="26670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9.15pt;margin-top:137.45pt;height:21pt;width:22.5pt;z-index:251659264;v-text-anchor:middle;mso-width-relative:page;mso-height-relative:page;" fillcolor="#C0504D [3205]" filled="t" stroked="t" coordsize="285750,266700" o:gfxdata="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H4lYDZAAAACwEAAA8AAAAA&#10;AAAAAQAgAAAAIgAAAGRycy9kb3ducmV2LnhtbFBLAQIUABQAAAAIAIdO4kAqa2fxhQIAAAwFAAAO&#10;AAAAAAAAAAEAIAAAACgBAABkcnMvZTJvRG9jLnhtbFBLBQYAAAAABgAGAFkBAAAfBgAAAAA=&#10;" path="m0,101870l109147,101870,142875,0,176602,101870,285749,101870,197447,164828,231176,266699,142875,203739,54573,266699,88302,164828xe">
                <v:path textboxrect="0,0,285750,266700" o:connectlocs="142875,0;0,101870;54573,266699;231176,266699;285749,101870" o:connectangles="247,164,82,82,0"/>
                <v:fill on="t" focussize="0,0"/>
                <v:stroke weight="2pt" color="#8C3836 [3205]" joinstyle="round"/>
                <v:imagedata o:title=""/>
                <o:lock v:ext="edit" aspectratio="f"/>
                <v:textbox>
                  <w:txbxContent>
                    <w:p>
                      <w:pPr>
                        <w:jc w:val="center"/>
                      </w:pPr>
                    </w:p>
                  </w:txbxContent>
                </v:textbox>
              </v:shape>
            </w:pict>
          </mc:Fallback>
        </mc:AlternateContent>
      </w:r>
      <w:r>
        <w:drawing>
          <wp:inline distT="0" distB="0" distL="114300" distR="114300">
            <wp:extent cx="5365115" cy="3619500"/>
            <wp:effectExtent l="0" t="0" r="698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365115" cy="3619500"/>
                    </a:xfrm>
                    <a:prstGeom prst="rect">
                      <a:avLst/>
                    </a:prstGeom>
                    <a:noFill/>
                    <a:ln>
                      <a:noFill/>
                    </a:ln>
                  </pic:spPr>
                </pic:pic>
              </a:graphicData>
            </a:graphic>
          </wp:inline>
        </w:drawing>
      </w:r>
    </w:p>
    <w:p>
      <w:pPr>
        <w:pStyle w:val="45"/>
        <w:ind w:left="0" w:leftChars="0" w:firstLine="0" w:firstLineChars="0"/>
        <w:jc w:val="both"/>
        <w:rPr>
          <w:rFonts w:hint="eastAsia" w:ascii="黑体" w:hAnsi="宋体" w:eastAsia="黑体"/>
          <w:b/>
          <w:snapToGrid w:val="0"/>
          <w:sz w:val="32"/>
          <w:szCs w:val="32"/>
          <w:highlight w:val="none"/>
          <w:lang w:eastAsia="zh-CN"/>
        </w:rPr>
      </w:pPr>
    </w:p>
    <w:p>
      <w:pPr>
        <w:pStyle w:val="18"/>
        <w:adjustRightInd w:val="0"/>
        <w:spacing w:line="600" w:lineRule="exact"/>
        <w:ind w:left="1891" w:leftChars="126" w:hanging="1626" w:hangingChars="581"/>
        <w:jc w:val="center"/>
        <w:rPr>
          <w:rFonts w:hint="eastAsia" w:ascii="黑体" w:hAnsi="Arial" w:eastAsia="黑体"/>
          <w:snapToGrid w:val="0"/>
          <w:kern w:val="0"/>
          <w:szCs w:val="28"/>
          <w:highlight w:val="none"/>
        </w:rPr>
      </w:pPr>
      <w:r>
        <w:rPr>
          <w:rFonts w:hint="eastAsia" w:ascii="黑体" w:hAnsi="Arial" w:eastAsia="黑体"/>
          <w:snapToGrid w:val="0"/>
          <w:kern w:val="0"/>
          <w:szCs w:val="28"/>
          <w:highlight w:val="none"/>
        </w:rPr>
        <w:t>深圳市国咨土地房地产资产评估有限公司</w:t>
      </w:r>
    </w:p>
    <w:p>
      <w:pPr>
        <w:pStyle w:val="18"/>
        <w:adjustRightInd w:val="0"/>
        <w:spacing w:line="600" w:lineRule="exact"/>
        <w:ind w:left="1891" w:leftChars="126" w:hanging="1626" w:hangingChars="581"/>
        <w:jc w:val="center"/>
        <w:rPr>
          <w:rFonts w:hint="eastAsia" w:ascii="黑体" w:hAnsi="Arial" w:eastAsia="黑体"/>
          <w:snapToGrid w:val="0"/>
          <w:kern w:val="0"/>
          <w:szCs w:val="28"/>
          <w:highlight w:val="none"/>
        </w:rPr>
      </w:pPr>
      <w:r>
        <w:rPr>
          <w:rFonts w:hint="eastAsia" w:ascii="黑体" w:hAnsi="Arial" w:eastAsia="黑体"/>
          <w:snapToGrid w:val="0"/>
          <w:kern w:val="0"/>
          <w:szCs w:val="28"/>
          <w:highlight w:val="none"/>
          <w:lang w:eastAsia="zh-CN"/>
        </w:rPr>
        <w:t xml:space="preserve">二〇二二年七月八日 </w:t>
      </w:r>
    </w:p>
    <w:p>
      <w:pPr>
        <w:rPr>
          <w:rFonts w:hint="eastAsia" w:ascii="黑体" w:hAnsi="Arial" w:eastAsia="黑体"/>
          <w:snapToGrid w:val="0"/>
          <w:kern w:val="0"/>
          <w:szCs w:val="28"/>
          <w:highlight w:val="none"/>
        </w:rPr>
      </w:pPr>
      <w:r>
        <w:rPr>
          <w:rFonts w:hint="eastAsia" w:ascii="黑体" w:hAnsi="Arial" w:eastAsia="黑体"/>
          <w:snapToGrid w:val="0"/>
          <w:kern w:val="0"/>
          <w:szCs w:val="28"/>
          <w:highlight w:val="none"/>
        </w:rPr>
        <w:br w:type="page"/>
      </w:r>
    </w:p>
    <w:p>
      <w:pPr>
        <w:jc w:val="center"/>
        <w:rPr>
          <w:rFonts w:ascii="黑体" w:hAnsi="黑体" w:eastAsia="黑体"/>
          <w:b/>
          <w:snapToGrid w:val="0"/>
          <w:kern w:val="0"/>
          <w:sz w:val="32"/>
          <w:szCs w:val="32"/>
          <w:highlight w:val="none"/>
        </w:rPr>
      </w:pPr>
      <w:r>
        <w:rPr>
          <w:rFonts w:hint="eastAsia" w:ascii="黑体" w:hAnsi="黑体" w:eastAsia="黑体"/>
          <w:b/>
          <w:snapToGrid w:val="0"/>
          <w:kern w:val="0"/>
          <w:sz w:val="32"/>
          <w:szCs w:val="32"/>
          <w:highlight w:val="none"/>
        </w:rPr>
        <w:t>报 告 目 录</w:t>
      </w:r>
    </w:p>
    <w:p>
      <w:pPr>
        <w:pStyle w:val="37"/>
        <w:tabs>
          <w:tab w:val="right" w:leader="dot" w:pos="8174"/>
        </w:tabs>
        <w:ind w:left="0" w:leftChars="0"/>
        <w:rPr>
          <w:rFonts w:ascii="仿宋" w:hAnsi="仿宋" w:eastAsia="仿宋"/>
          <w:snapToGrid w:val="0"/>
          <w:kern w:val="0"/>
          <w:sz w:val="28"/>
          <w:szCs w:val="28"/>
          <w:highlight w:val="none"/>
        </w:rPr>
      </w:pPr>
    </w:p>
    <w:p>
      <w:pPr>
        <w:pStyle w:val="30"/>
        <w:tabs>
          <w:tab w:val="right" w:leader="dot" w:pos="8458"/>
          <w:tab w:val="clear" w:pos="8448"/>
        </w:tabs>
      </w:pPr>
      <w:r>
        <w:rPr>
          <w:rFonts w:hint="eastAsia" w:ascii="仿宋" w:hAnsi="仿宋" w:eastAsia="仿宋"/>
          <w:snapToGrid w:val="0"/>
          <w:kern w:val="0"/>
          <w:sz w:val="28"/>
          <w:szCs w:val="28"/>
          <w:highlight w:val="none"/>
        </w:rPr>
        <w:fldChar w:fldCharType="begin"/>
      </w:r>
      <w:r>
        <w:rPr>
          <w:rFonts w:hint="eastAsia" w:ascii="仿宋" w:hAnsi="仿宋" w:eastAsia="仿宋"/>
          <w:snapToGrid w:val="0"/>
          <w:kern w:val="0"/>
          <w:sz w:val="28"/>
          <w:szCs w:val="28"/>
          <w:highlight w:val="none"/>
        </w:rPr>
        <w:instrText xml:space="preserve"> TOC \o "1-3" \h \z </w:instrText>
      </w:r>
      <w:r>
        <w:rPr>
          <w:rFonts w:hint="eastAsia" w:ascii="仿宋" w:hAnsi="仿宋" w:eastAsia="仿宋"/>
          <w:snapToGrid w:val="0"/>
          <w:kern w:val="0"/>
          <w:sz w:val="28"/>
          <w:szCs w:val="28"/>
          <w:highlight w:val="none"/>
        </w:rPr>
        <w:fldChar w:fldCharType="separate"/>
      </w: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_Toc27152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致委托人函</w:t>
      </w:r>
      <w:r>
        <w:tab/>
      </w:r>
      <w:r>
        <w:fldChar w:fldCharType="begin"/>
      </w:r>
      <w:r>
        <w:instrText xml:space="preserve"> PAGEREF _Toc27152 \h </w:instrText>
      </w:r>
      <w:r>
        <w:fldChar w:fldCharType="separate"/>
      </w:r>
      <w:r>
        <w:t>1</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_Toc12010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注册房地产估价师声明</w:t>
      </w:r>
      <w:r>
        <w:tab/>
      </w:r>
      <w:r>
        <w:fldChar w:fldCharType="begin"/>
      </w:r>
      <w:r>
        <w:instrText xml:space="preserve"> PAGEREF _Toc12010 \h </w:instrText>
      </w:r>
      <w:r>
        <w:fldChar w:fldCharType="separate"/>
      </w:r>
      <w:r>
        <w:t>3</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_Toc20287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估价假设和限制条件</w:t>
      </w:r>
      <w:r>
        <w:tab/>
      </w:r>
      <w:r>
        <w:fldChar w:fldCharType="begin"/>
      </w:r>
      <w:r>
        <w:instrText xml:space="preserve"> PAGEREF _Toc20287 \h </w:instrText>
      </w:r>
      <w:r>
        <w:fldChar w:fldCharType="separate"/>
      </w:r>
      <w:r>
        <w:t>6</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_Toc31426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估价结果报告</w:t>
      </w:r>
      <w:r>
        <w:tab/>
      </w:r>
      <w:r>
        <w:fldChar w:fldCharType="begin"/>
      </w:r>
      <w:r>
        <w:instrText xml:space="preserve"> PAGEREF _Toc31426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_Toc1826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（一）估价委托人</w:t>
      </w:r>
      <w:r>
        <w:tab/>
      </w:r>
      <w:r>
        <w:fldChar w:fldCharType="begin"/>
      </w:r>
      <w:r>
        <w:instrText xml:space="preserve"> PAGEREF _Toc1826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_Toc22519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（二）估价机构</w:t>
      </w:r>
      <w:r>
        <w:tab/>
      </w:r>
      <w:r>
        <w:fldChar w:fldCharType="begin"/>
      </w:r>
      <w:r>
        <w:instrText xml:space="preserve"> PAGEREF _Toc22519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_Toc23433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（三）估价对象</w:t>
      </w:r>
      <w:r>
        <w:tab/>
      </w:r>
      <w:r>
        <w:fldChar w:fldCharType="begin"/>
      </w:r>
      <w:r>
        <w:instrText xml:space="preserve"> PAGEREF _Toc23433 \h </w:instrText>
      </w:r>
      <w:r>
        <w:fldChar w:fldCharType="separate"/>
      </w:r>
      <w:r>
        <w:t>10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_Toc9938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（四）估价目的</w:t>
      </w:r>
      <w:r>
        <w:tab/>
      </w:r>
      <w:r>
        <w:fldChar w:fldCharType="begin"/>
      </w:r>
      <w:r>
        <w:instrText xml:space="preserve"> PAGEREF _Toc9938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_Toc23145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（五）</w:t>
      </w:r>
      <w:r>
        <w:rPr>
          <w:rFonts w:hint="eastAsia" w:ascii="黑体" w:hAnsi="黑体" w:cs="黑体"/>
          <w:snapToGrid w:val="0"/>
          <w:kern w:val="0"/>
          <w:szCs w:val="30"/>
          <w:highlight w:val="none"/>
          <w:lang w:eastAsia="zh-CN"/>
        </w:rPr>
        <w:t>价值时点</w:t>
      </w:r>
      <w:r>
        <w:tab/>
      </w:r>
      <w:r>
        <w:fldChar w:fldCharType="begin"/>
      </w:r>
      <w:r>
        <w:instrText xml:space="preserve"> PAGEREF _Toc23145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_Toc30974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（六）</w:t>
      </w:r>
      <w:r>
        <w:rPr>
          <w:rFonts w:hint="eastAsia" w:ascii="黑体" w:hAnsi="黑体" w:cs="黑体"/>
          <w:snapToGrid w:val="0"/>
          <w:kern w:val="0"/>
          <w:szCs w:val="30"/>
          <w:highlight w:val="none"/>
          <w:lang w:eastAsia="zh-CN"/>
        </w:rPr>
        <w:t>价</w:t>
      </w:r>
      <w:r>
        <w:rPr>
          <w:rFonts w:hint="eastAsia" w:ascii="黑体" w:hAnsi="黑体" w:cs="黑体"/>
          <w:snapToGrid w:val="0"/>
          <w:kern w:val="0"/>
          <w:szCs w:val="30"/>
          <w:highlight w:val="none"/>
          <w:lang w:val="en-US" w:eastAsia="zh-CN"/>
        </w:rPr>
        <w:t>值类型</w:t>
      </w:r>
      <w:r>
        <w:tab/>
      </w:r>
      <w:r>
        <w:fldChar w:fldCharType="begin"/>
      </w:r>
      <w:r>
        <w:instrText xml:space="preserve"> PAGEREF _Toc30974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_Toc17445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（七）估价依据</w:t>
      </w:r>
      <w:r>
        <w:tab/>
      </w:r>
      <w:r>
        <w:fldChar w:fldCharType="begin"/>
      </w:r>
      <w:r>
        <w:instrText xml:space="preserve"> PAGEREF _Toc17445 \h </w:instrText>
      </w:r>
      <w:r>
        <w:fldChar w:fldCharType="separate"/>
      </w:r>
      <w:r>
        <w:t>12</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_Toc13608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（八）估价原则</w:t>
      </w:r>
      <w:r>
        <w:tab/>
      </w:r>
      <w:r>
        <w:fldChar w:fldCharType="begin"/>
      </w:r>
      <w:r>
        <w:instrText xml:space="preserve"> PAGEREF _Toc13608 \h </w:instrText>
      </w:r>
      <w:r>
        <w:fldChar w:fldCharType="separate"/>
      </w:r>
      <w:r>
        <w:t>14</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_Toc21801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（九）估价方法</w:t>
      </w:r>
      <w:r>
        <w:tab/>
      </w:r>
      <w:r>
        <w:fldChar w:fldCharType="begin"/>
      </w:r>
      <w:r>
        <w:instrText xml:space="preserve"> PAGEREF _Toc21801 \h </w:instrText>
      </w:r>
      <w:r>
        <w:fldChar w:fldCharType="separate"/>
      </w:r>
      <w:r>
        <w:t>15</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_Toc7356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（十）估价结果</w:t>
      </w:r>
      <w:r>
        <w:tab/>
      </w:r>
      <w:r>
        <w:fldChar w:fldCharType="begin"/>
      </w:r>
      <w:r>
        <w:instrText xml:space="preserve"> PAGEREF _Toc7356 \h </w:instrText>
      </w:r>
      <w:r>
        <w:fldChar w:fldCharType="separate"/>
      </w:r>
      <w:r>
        <w:t>18</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_Toc3374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（十一）估价人员</w:t>
      </w:r>
      <w:r>
        <w:tab/>
      </w:r>
      <w:r>
        <w:fldChar w:fldCharType="begin"/>
      </w:r>
      <w:r>
        <w:instrText xml:space="preserve"> PAGEREF _Toc3374 \h </w:instrText>
      </w:r>
      <w:r>
        <w:fldChar w:fldCharType="separate"/>
      </w:r>
      <w:r>
        <w:t>19</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_Toc27782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w:t>
      </w:r>
      <w:r>
        <w:rPr>
          <w:rFonts w:hint="eastAsia" w:ascii="黑体" w:hAnsi="黑体" w:cs="黑体"/>
          <w:snapToGrid w:val="0"/>
          <w:kern w:val="0"/>
          <w:szCs w:val="30"/>
          <w:highlight w:val="none"/>
          <w:lang w:val="en-US" w:eastAsia="zh-CN"/>
        </w:rPr>
        <w:t>二</w:t>
      </w:r>
      <w:r>
        <w:rPr>
          <w:rFonts w:hint="eastAsia" w:ascii="黑体" w:hAnsi="黑体" w:cs="黑体"/>
          <w:snapToGrid w:val="0"/>
          <w:kern w:val="0"/>
          <w:szCs w:val="30"/>
          <w:highlight w:val="none"/>
        </w:rPr>
        <w:t>）实地查勘期</w:t>
      </w:r>
      <w:r>
        <w:tab/>
      </w:r>
      <w:r>
        <w:fldChar w:fldCharType="begin"/>
      </w:r>
      <w:r>
        <w:instrText xml:space="preserve"> PAGEREF _Toc27782 \h </w:instrText>
      </w:r>
      <w:r>
        <w:fldChar w:fldCharType="separate"/>
      </w:r>
      <w:r>
        <w:t>19</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_Toc27113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w:t>
      </w:r>
      <w:r>
        <w:rPr>
          <w:rFonts w:hint="eastAsia" w:ascii="黑体" w:hAnsi="黑体" w:cs="黑体"/>
          <w:snapToGrid w:val="0"/>
          <w:kern w:val="0"/>
          <w:szCs w:val="30"/>
          <w:highlight w:val="none"/>
          <w:lang w:val="en-US" w:eastAsia="zh-CN"/>
        </w:rPr>
        <w:t>三</w:t>
      </w:r>
      <w:r>
        <w:rPr>
          <w:rFonts w:hint="eastAsia" w:ascii="黑体" w:hAnsi="黑体" w:cs="黑体"/>
          <w:snapToGrid w:val="0"/>
          <w:kern w:val="0"/>
          <w:szCs w:val="30"/>
          <w:highlight w:val="none"/>
        </w:rPr>
        <w:t>）估价作业日期</w:t>
      </w:r>
      <w:r>
        <w:tab/>
      </w:r>
      <w:r>
        <w:fldChar w:fldCharType="begin"/>
      </w:r>
      <w:r>
        <w:instrText xml:space="preserve"> PAGEREF _Toc27113 \h </w:instrText>
      </w:r>
      <w:r>
        <w:fldChar w:fldCharType="separate"/>
      </w:r>
      <w:r>
        <w:t>19</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_Toc22320 </w:instrText>
      </w:r>
      <w:r>
        <w:rPr>
          <w:rFonts w:hint="eastAsia" w:ascii="仿宋" w:hAnsi="仿宋" w:eastAsia="仿宋"/>
          <w:snapToGrid w:val="0"/>
          <w:kern w:val="0"/>
          <w:szCs w:val="28"/>
          <w:highlight w:val="none"/>
        </w:rPr>
        <w:fldChar w:fldCharType="separate"/>
      </w:r>
      <w:r>
        <w:rPr>
          <w:rFonts w:hint="eastAsia" w:ascii="黑体" w:hAnsi="黑体" w:cs="黑体"/>
          <w:snapToGrid w:val="0"/>
          <w:kern w:val="0"/>
          <w:szCs w:val="30"/>
          <w:highlight w:val="none"/>
        </w:rPr>
        <w:t>（十</w:t>
      </w:r>
      <w:r>
        <w:rPr>
          <w:rFonts w:hint="eastAsia" w:ascii="黑体" w:hAnsi="黑体" w:cs="黑体"/>
          <w:snapToGrid w:val="0"/>
          <w:kern w:val="0"/>
          <w:szCs w:val="30"/>
          <w:highlight w:val="none"/>
          <w:lang w:val="en-US" w:eastAsia="zh-CN"/>
        </w:rPr>
        <w:t>四</w:t>
      </w:r>
      <w:r>
        <w:rPr>
          <w:rFonts w:hint="eastAsia" w:ascii="黑体" w:hAnsi="黑体" w:cs="黑体"/>
          <w:snapToGrid w:val="0"/>
          <w:kern w:val="0"/>
          <w:szCs w:val="30"/>
          <w:highlight w:val="none"/>
        </w:rPr>
        <w:t>）估价报告应用的有效期</w:t>
      </w:r>
      <w:r>
        <w:tab/>
      </w:r>
      <w:r>
        <w:fldChar w:fldCharType="begin"/>
      </w:r>
      <w:r>
        <w:instrText xml:space="preserve"> PAGEREF _Toc22320 \h </w:instrText>
      </w:r>
      <w:r>
        <w:fldChar w:fldCharType="separate"/>
      </w:r>
      <w:r>
        <w:t>19</w:t>
      </w:r>
      <w:r>
        <w:fldChar w:fldCharType="end"/>
      </w:r>
      <w:r>
        <w:rPr>
          <w:rFonts w:hint="eastAsia" w:ascii="仿宋" w:hAnsi="仿宋" w:eastAsia="仿宋"/>
          <w:snapToGrid w:val="0"/>
          <w:kern w:val="0"/>
          <w:szCs w:val="28"/>
          <w:highlight w:val="none"/>
        </w:rPr>
        <w:fldChar w:fldCharType="end"/>
      </w:r>
    </w:p>
    <w:p>
      <w:pPr>
        <w:pStyle w:val="30"/>
        <w:tabs>
          <w:tab w:val="right" w:leader="dot" w:pos="8458"/>
          <w:tab w:val="clear" w:pos="844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_Toc30709 </w:instrText>
      </w:r>
      <w:r>
        <w:rPr>
          <w:rFonts w:hint="eastAsia" w:ascii="仿宋" w:hAnsi="仿宋" w:eastAsia="仿宋"/>
          <w:snapToGrid w:val="0"/>
          <w:kern w:val="0"/>
          <w:szCs w:val="28"/>
          <w:highlight w:val="none"/>
        </w:rPr>
        <w:fldChar w:fldCharType="separate"/>
      </w:r>
      <w:r>
        <w:rPr>
          <w:rFonts w:hint="eastAsia" w:ascii="黑体" w:hAnsi="黑体" w:eastAsia="黑体" w:cs="黑体"/>
          <w:bCs/>
          <w:snapToGrid w:val="0"/>
          <w:kern w:val="0"/>
          <w:szCs w:val="44"/>
          <w:highlight w:val="none"/>
        </w:rPr>
        <w:t>附　　件</w:t>
      </w:r>
      <w:r>
        <w:tab/>
      </w:r>
      <w:r>
        <w:fldChar w:fldCharType="begin"/>
      </w:r>
      <w:r>
        <w:instrText xml:space="preserve"> PAGEREF _Toc30709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_Toc20739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（一）《司法鉴定委托书》[（2022）黔2624法评26号]复印件</w:t>
      </w:r>
      <w:r>
        <w:tab/>
      </w:r>
      <w:r>
        <w:fldChar w:fldCharType="begin"/>
      </w:r>
      <w:r>
        <w:instrText xml:space="preserve"> PAGEREF _Toc20739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_Toc29745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（二）估价对象位置图</w:t>
      </w:r>
      <w:r>
        <w:tab/>
      </w:r>
      <w:r>
        <w:fldChar w:fldCharType="begin"/>
      </w:r>
      <w:r>
        <w:instrText xml:space="preserve"> PAGEREF _Toc29745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_Toc7760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（三）估价对象照片</w:t>
      </w:r>
      <w:r>
        <w:tab/>
      </w:r>
      <w:r>
        <w:fldChar w:fldCharType="begin"/>
      </w:r>
      <w:r>
        <w:instrText xml:space="preserve"> PAGEREF _Toc7760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_Toc18668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（四）可比案例位置图及照片</w:t>
      </w:r>
      <w:r>
        <w:tab/>
      </w:r>
      <w:r>
        <w:fldChar w:fldCharType="begin"/>
      </w:r>
      <w:r>
        <w:instrText xml:space="preserve"> PAGEREF _Toc18668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_Toc25185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（五）《贵州省不动产登记查询结果》</w:t>
      </w:r>
      <w:r>
        <w:tab/>
      </w:r>
      <w:r>
        <w:fldChar w:fldCharType="begin"/>
      </w:r>
      <w:r>
        <w:instrText xml:space="preserve"> PAGEREF _Toc25185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_Toc19859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（六）《房地产估价机构营业执照》复印件</w:t>
      </w:r>
      <w:r>
        <w:tab/>
      </w:r>
      <w:r>
        <w:fldChar w:fldCharType="begin"/>
      </w:r>
      <w:r>
        <w:instrText xml:space="preserve"> PAGEREF _Toc19859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_Toc6906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（七）《房地产估价机构资质证书》复印件</w:t>
      </w:r>
      <w:r>
        <w:tab/>
      </w:r>
      <w:r>
        <w:fldChar w:fldCharType="begin"/>
      </w:r>
      <w:r>
        <w:instrText xml:space="preserve"> PAGEREF _Toc6906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458"/>
        </w:tabs>
      </w:pPr>
      <w:r>
        <w:rPr>
          <w:rFonts w:hint="eastAsia" w:ascii="仿宋" w:hAnsi="仿宋" w:eastAsia="仿宋"/>
          <w:snapToGrid w:val="0"/>
          <w:kern w:val="0"/>
          <w:szCs w:val="28"/>
          <w:highlight w:val="none"/>
        </w:rPr>
        <w:fldChar w:fldCharType="begin"/>
      </w:r>
      <w:r>
        <w:rPr>
          <w:rFonts w:hint="eastAsia" w:ascii="仿宋" w:hAnsi="仿宋" w:eastAsia="仿宋"/>
          <w:snapToGrid w:val="0"/>
          <w:kern w:val="0"/>
          <w:szCs w:val="28"/>
          <w:highlight w:val="none"/>
        </w:rPr>
        <w:instrText xml:space="preserve"> HYPERLINK \l _Toc9411 </w:instrText>
      </w:r>
      <w:r>
        <w:rPr>
          <w:rFonts w:hint="eastAsia" w:ascii="仿宋" w:hAnsi="仿宋" w:eastAsia="仿宋"/>
          <w:snapToGrid w:val="0"/>
          <w:kern w:val="0"/>
          <w:szCs w:val="28"/>
          <w:highlight w:val="none"/>
        </w:rPr>
        <w:fldChar w:fldCharType="separate"/>
      </w:r>
      <w:r>
        <w:rPr>
          <w:rFonts w:hint="eastAsia" w:ascii="仿宋" w:hAnsi="仿宋" w:eastAsia="仿宋" w:cs="仿宋"/>
          <w:bCs/>
          <w:snapToGrid w:val="0"/>
          <w:kern w:val="0"/>
          <w:lang w:val="en-US" w:eastAsia="zh-CN"/>
        </w:rPr>
        <w:t>（八）《房地产估价师注册证书》复印件</w:t>
      </w:r>
      <w:r>
        <w:tab/>
      </w:r>
      <w:r>
        <w:fldChar w:fldCharType="begin"/>
      </w:r>
      <w:r>
        <w:instrText xml:space="preserve"> PAGEREF _Toc9411 \h </w:instrText>
      </w:r>
      <w:r>
        <w:fldChar w:fldCharType="separate"/>
      </w:r>
      <w:r>
        <w:t>20</w:t>
      </w:r>
      <w:r>
        <w:fldChar w:fldCharType="end"/>
      </w:r>
      <w:r>
        <w:rPr>
          <w:rFonts w:hint="eastAsia" w:ascii="仿宋" w:hAnsi="仿宋" w:eastAsia="仿宋"/>
          <w:snapToGrid w:val="0"/>
          <w:kern w:val="0"/>
          <w:szCs w:val="28"/>
          <w:highlight w:val="none"/>
        </w:rPr>
        <w:fldChar w:fldCharType="end"/>
      </w:r>
    </w:p>
    <w:p>
      <w:pPr>
        <w:pStyle w:val="37"/>
        <w:tabs>
          <w:tab w:val="right" w:leader="dot" w:pos="8174"/>
        </w:tabs>
        <w:rPr>
          <w:rFonts w:ascii="楷体_GB2312" w:hAnsi="楷体" w:eastAsia="楷体_GB2312"/>
          <w:bCs/>
          <w:snapToGrid w:val="0"/>
          <w:kern w:val="0"/>
          <w:szCs w:val="21"/>
          <w:highlight w:val="none"/>
        </w:rPr>
        <w:sectPr>
          <w:pgSz w:w="11907" w:h="16840"/>
          <w:pgMar w:top="426" w:right="1723" w:bottom="568" w:left="1726" w:header="680" w:footer="794" w:gutter="284"/>
          <w:pgBorders>
            <w:top w:val="none" w:sz="0" w:space="0"/>
            <w:left w:val="none" w:sz="0" w:space="0"/>
            <w:bottom w:val="none" w:sz="0" w:space="0"/>
            <w:right w:val="none" w:sz="0" w:space="0"/>
          </w:pgBorders>
          <w:cols w:space="720" w:num="1"/>
          <w:docGrid w:type="lines" w:linePitch="479" w:charSpace="11986"/>
        </w:sectPr>
      </w:pPr>
      <w:r>
        <w:rPr>
          <w:rFonts w:hint="eastAsia" w:ascii="仿宋" w:hAnsi="仿宋" w:eastAsia="仿宋"/>
          <w:snapToGrid w:val="0"/>
          <w:kern w:val="0"/>
          <w:szCs w:val="28"/>
          <w:highlight w:val="none"/>
        </w:rPr>
        <w:fldChar w:fldCharType="end"/>
      </w:r>
    </w:p>
    <w:p>
      <w:pPr>
        <w:pStyle w:val="3"/>
        <w:keepLines/>
        <w:ind w:firstLine="425" w:firstLineChars="0"/>
        <w:rPr>
          <w:rFonts w:ascii="黑体" w:hAnsi="黑体" w:eastAsia="黑体" w:cs="黑体"/>
          <w:bCs/>
          <w:snapToGrid w:val="0"/>
          <w:kern w:val="0"/>
          <w:sz w:val="44"/>
          <w:szCs w:val="44"/>
          <w:highlight w:val="none"/>
        </w:rPr>
      </w:pPr>
      <w:bookmarkStart w:id="0" w:name="_Toc17960840"/>
      <w:bookmarkStart w:id="1" w:name="_Toc27152"/>
      <w:r>
        <w:rPr>
          <w:rFonts w:hint="eastAsia" w:ascii="黑体" w:hAnsi="黑体" w:eastAsia="黑体" w:cs="黑体"/>
          <w:bCs/>
          <w:snapToGrid w:val="0"/>
          <w:kern w:val="0"/>
          <w:sz w:val="44"/>
          <w:szCs w:val="44"/>
          <w:highlight w:val="none"/>
        </w:rPr>
        <w:t>致委托人函</w:t>
      </w:r>
      <w:bookmarkEnd w:id="0"/>
      <w:bookmarkEnd w:id="1"/>
    </w:p>
    <w:p>
      <w:pPr>
        <w:adjustRightInd w:val="0"/>
        <w:snapToGrid w:val="0"/>
        <w:spacing w:line="420" w:lineRule="auto"/>
        <w:rPr>
          <w:rFonts w:ascii="黑体" w:hAnsi="黑体" w:eastAsia="黑体" w:cs="黑体"/>
          <w:b/>
          <w:bCs/>
          <w:kern w:val="28"/>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20" w:lineRule="auto"/>
        <w:textAlignment w:val="auto"/>
        <w:rPr>
          <w:rFonts w:ascii="黑体" w:hAnsi="黑体" w:eastAsia="黑体" w:cs="黑体"/>
          <w:b/>
          <w:bCs/>
          <w:kern w:val="28"/>
          <w:sz w:val="28"/>
          <w:szCs w:val="28"/>
          <w:highlight w:val="none"/>
        </w:rPr>
      </w:pPr>
      <w:r>
        <w:rPr>
          <w:rFonts w:hint="eastAsia" w:ascii="黑体" w:hAnsi="黑体" w:eastAsia="黑体" w:cs="黑体"/>
          <w:b/>
          <w:bCs/>
          <w:kern w:val="28"/>
          <w:sz w:val="28"/>
          <w:szCs w:val="28"/>
          <w:highlight w:val="none"/>
          <w:lang w:eastAsia="zh-CN"/>
        </w:rPr>
        <w:t>三穗县人民法院</w:t>
      </w:r>
      <w:r>
        <w:rPr>
          <w:rFonts w:hint="eastAsia" w:ascii="黑体" w:hAnsi="黑体" w:eastAsia="黑体" w:cs="黑体"/>
          <w:b/>
          <w:bCs/>
          <w:kern w:val="28"/>
          <w:sz w:val="28"/>
          <w:szCs w:val="28"/>
          <w:highlight w:val="none"/>
        </w:rPr>
        <w:t>：</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rPr>
        <w:t>承蒙委托，我公司对贵院委托的</w:t>
      </w:r>
      <w:r>
        <w:rPr>
          <w:rFonts w:hint="eastAsia" w:ascii="仿宋" w:hAnsi="仿宋" w:eastAsia="仿宋" w:cs="仿宋"/>
          <w:snapToGrid w:val="0"/>
          <w:sz w:val="28"/>
          <w:szCs w:val="28"/>
          <w:highlight w:val="none"/>
          <w:lang w:eastAsia="zh-CN"/>
        </w:rPr>
        <w:t>罗俊名下位于贵州省三穗县三穗县八弓镇胜利村一小背后</w:t>
      </w:r>
      <w:r>
        <w:rPr>
          <w:rFonts w:hint="eastAsia" w:ascii="仿宋" w:hAnsi="仿宋" w:eastAsia="仿宋" w:cs="仿宋"/>
          <w:snapToGrid w:val="0"/>
          <w:sz w:val="28"/>
          <w:szCs w:val="28"/>
          <w:highlight w:val="none"/>
          <w:lang w:val="en-US" w:eastAsia="zh-CN"/>
        </w:rPr>
        <w:t>一套</w:t>
      </w:r>
      <w:r>
        <w:rPr>
          <w:rFonts w:hint="eastAsia" w:ascii="仿宋" w:hAnsi="仿宋" w:eastAsia="仿宋" w:cs="仿宋"/>
          <w:snapToGrid w:val="0"/>
          <w:sz w:val="28"/>
          <w:szCs w:val="28"/>
          <w:highlight w:val="none"/>
          <w:lang w:eastAsia="zh-CN"/>
        </w:rPr>
        <w:t>住宅房地产的</w:t>
      </w:r>
      <w:r>
        <w:rPr>
          <w:rFonts w:hint="eastAsia" w:ascii="仿宋" w:hAnsi="仿宋" w:eastAsia="仿宋" w:cs="仿宋"/>
          <w:snapToGrid w:val="0"/>
          <w:sz w:val="28"/>
          <w:szCs w:val="28"/>
          <w:highlight w:val="none"/>
        </w:rPr>
        <w:t>市场</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进行估价，估价对象建筑面积为</w:t>
      </w:r>
      <w:r>
        <w:rPr>
          <w:rFonts w:hint="eastAsia" w:ascii="仿宋" w:hAnsi="仿宋" w:eastAsia="仿宋" w:cs="仿宋"/>
          <w:snapToGrid w:val="0"/>
          <w:sz w:val="28"/>
          <w:szCs w:val="28"/>
          <w:highlight w:val="none"/>
          <w:lang w:val="en-US" w:eastAsia="zh-CN"/>
        </w:rPr>
        <w:t>166.51</w:t>
      </w:r>
      <w:r>
        <w:rPr>
          <w:rFonts w:hint="eastAsia" w:ascii="仿宋" w:hAnsi="仿宋" w:eastAsia="仿宋" w:cs="仿宋"/>
          <w:snapToGrid w:val="0"/>
          <w:sz w:val="28"/>
          <w:szCs w:val="28"/>
          <w:highlight w:val="none"/>
        </w:rPr>
        <w:t>平方米，</w:t>
      </w:r>
      <w:r>
        <w:rPr>
          <w:rFonts w:hint="eastAsia" w:ascii="仿宋" w:hAnsi="仿宋" w:eastAsia="仿宋" w:cs="仿宋"/>
          <w:snapToGrid w:val="0"/>
          <w:sz w:val="28"/>
          <w:szCs w:val="28"/>
          <w:highlight w:val="none"/>
          <w:lang w:val="en-US" w:eastAsia="zh-CN"/>
        </w:rPr>
        <w:t>用途为住宅，</w:t>
      </w:r>
      <w:r>
        <w:rPr>
          <w:rFonts w:hint="eastAsia" w:ascii="仿宋" w:hAnsi="仿宋" w:eastAsia="仿宋" w:cs="仿宋"/>
          <w:snapToGrid w:val="0"/>
          <w:sz w:val="28"/>
          <w:szCs w:val="28"/>
          <w:highlight w:val="none"/>
        </w:rPr>
        <w:t>估价目的是</w:t>
      </w:r>
      <w:r>
        <w:rPr>
          <w:rFonts w:hint="eastAsia" w:ascii="仿宋" w:hAnsi="仿宋" w:eastAsia="仿宋" w:cs="仿宋"/>
          <w:snapToGrid w:val="0"/>
          <w:kern w:val="0"/>
          <w:sz w:val="28"/>
          <w:szCs w:val="28"/>
          <w:highlight w:val="none"/>
          <w:lang w:val="en-US" w:eastAsia="zh-CN"/>
        </w:rPr>
        <w:t>为三穗县人民法院确定财产处置参考价提供参考依据</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估价人员本着独立、客观、公正、合法的原则，根据估价目的，根据国家有关房地产估价的规范、规定，按照估价程序，经过现场查勘与市场调查，选用</w:t>
      </w:r>
      <w:r>
        <w:rPr>
          <w:rFonts w:hint="eastAsia" w:ascii="仿宋" w:hAnsi="仿宋" w:eastAsia="仿宋" w:cs="仿宋"/>
          <w:snapToGrid w:val="0"/>
          <w:sz w:val="28"/>
          <w:szCs w:val="28"/>
          <w:highlight w:val="none"/>
          <w:lang w:eastAsia="zh-CN"/>
        </w:rPr>
        <w:t>比较法</w:t>
      </w:r>
      <w:r>
        <w:rPr>
          <w:rFonts w:hint="eastAsia" w:ascii="仿宋" w:hAnsi="仿宋" w:eastAsia="仿宋" w:cs="仿宋"/>
          <w:snapToGrid w:val="0"/>
          <w:sz w:val="28"/>
          <w:szCs w:val="28"/>
          <w:highlight w:val="none"/>
        </w:rPr>
        <w:t>对估价对象进行了评定估算，确定估价对象未扣除预估的相关处置费用于</w:t>
      </w:r>
      <w:r>
        <w:rPr>
          <w:rFonts w:hint="eastAsia" w:ascii="仿宋" w:hAnsi="仿宋" w:eastAsia="仿宋" w:cs="仿宋"/>
          <w:snapToGrid w:val="0"/>
          <w:sz w:val="28"/>
          <w:szCs w:val="28"/>
          <w:highlight w:val="none"/>
          <w:lang w:eastAsia="zh-CN"/>
        </w:rPr>
        <w:t>价值时点二○二二年六月八日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1,746元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29.07万元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贰拾玖万零柒佰圆整；</w:t>
      </w:r>
      <w:r>
        <w:rPr>
          <w:rFonts w:hint="eastAsia" w:ascii="仿宋" w:hAnsi="仿宋" w:eastAsia="仿宋" w:cs="仿宋"/>
          <w:snapToGrid w:val="0"/>
          <w:sz w:val="28"/>
          <w:szCs w:val="28"/>
          <w:highlight w:val="none"/>
        </w:rPr>
        <w:t>估价</w:t>
      </w:r>
      <w:r>
        <w:rPr>
          <w:rFonts w:hint="eastAsia" w:ascii="仿宋" w:hAnsi="仿宋" w:eastAsia="仿宋" w:cs="仿宋"/>
          <w:snapToGrid w:val="0"/>
          <w:sz w:val="28"/>
          <w:szCs w:val="28"/>
          <w:highlight w:val="none"/>
          <w:lang w:eastAsia="zh-CN"/>
        </w:rPr>
        <w:t>对象扣除预估的相关处置费用</w:t>
      </w:r>
      <w:r>
        <w:rPr>
          <w:rFonts w:hint="eastAsia" w:ascii="仿宋" w:hAnsi="仿宋" w:eastAsia="仿宋" w:cs="仿宋"/>
          <w:snapToGrid w:val="0"/>
          <w:sz w:val="28"/>
          <w:szCs w:val="28"/>
          <w:highlight w:val="none"/>
        </w:rPr>
        <w:t>于</w:t>
      </w:r>
      <w:r>
        <w:rPr>
          <w:rFonts w:hint="eastAsia" w:ascii="仿宋" w:hAnsi="仿宋" w:eastAsia="仿宋" w:cs="仿宋"/>
          <w:snapToGrid w:val="0"/>
          <w:sz w:val="28"/>
          <w:szCs w:val="28"/>
          <w:highlight w:val="none"/>
          <w:lang w:eastAsia="zh-CN"/>
        </w:rPr>
        <w:t>价值时点二○二二年六月八日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1,538元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25.61万元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贰拾伍万陆仟壹佰圆整</w:t>
      </w:r>
      <w:r>
        <w:rPr>
          <w:rFonts w:hint="eastAsia" w:ascii="仿宋" w:hAnsi="仿宋" w:eastAsia="仿宋" w:cs="仿宋"/>
          <w:snapToGrid w:val="0"/>
          <w:sz w:val="28"/>
          <w:szCs w:val="28"/>
          <w:highlight w:val="none"/>
        </w:rPr>
        <w:t>。估价结果详见《估价结果明细表》。</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估价报告使用者在使用本报告之前须对报告全文，特别是“估价假设和限制条件”认真阅读，以免使用不当，造成损失。估价的详细结果、过程及有关说明，详见《估价结果报告》。</w:t>
      </w:r>
    </w:p>
    <w:p>
      <w:pPr>
        <w:pStyle w:val="35"/>
        <w:keepNext w:val="0"/>
        <w:keepLines w:val="0"/>
        <w:pageBreakBefore w:val="0"/>
        <w:widowControl w:val="0"/>
        <w:kinsoku/>
        <w:wordWrap/>
        <w:overflowPunct/>
        <w:topLinePunct w:val="0"/>
        <w:autoSpaceDE/>
        <w:autoSpaceDN/>
        <w:bidi w:val="0"/>
        <w:adjustRightInd w:val="0"/>
        <w:snapToGrid w:val="0"/>
        <w:ind w:firstLine="560" w:firstLineChars="200"/>
        <w:textAlignment w:val="auto"/>
        <w:rPr>
          <w:rFonts w:hint="eastAsia" w:ascii="仿宋" w:hAnsi="仿宋" w:eastAsia="仿宋" w:cs="仿宋"/>
          <w:snapToGrid w:val="0"/>
          <w:sz w:val="28"/>
          <w:szCs w:val="28"/>
          <w:highlight w:val="none"/>
        </w:rPr>
      </w:pPr>
    </w:p>
    <w:p>
      <w:pPr>
        <w:keepNext w:val="0"/>
        <w:keepLines w:val="0"/>
        <w:pageBreakBefore w:val="0"/>
        <w:widowControl w:val="0"/>
        <w:kinsoku/>
        <w:wordWrap/>
        <w:overflowPunct/>
        <w:topLinePunct w:val="0"/>
        <w:autoSpaceDE/>
        <w:autoSpaceDN/>
        <w:bidi w:val="0"/>
        <w:ind w:firstLine="723" w:firstLineChars="200"/>
        <w:textAlignment w:val="auto"/>
        <w:rPr>
          <w:rFonts w:ascii="仿宋" w:hAnsi="仿宋" w:eastAsia="仿宋" w:cs="宋体"/>
          <w:b/>
          <w:bCs/>
          <w:kern w:val="0"/>
          <w:sz w:val="36"/>
          <w:szCs w:val="36"/>
          <w:highlight w:val="none"/>
        </w:rPr>
      </w:pPr>
      <w:r>
        <w:rPr>
          <w:rFonts w:hint="eastAsia" w:ascii="仿宋" w:hAnsi="仿宋" w:eastAsia="仿宋" w:cs="宋体"/>
          <w:b/>
          <w:bCs/>
          <w:kern w:val="0"/>
          <w:sz w:val="36"/>
          <w:szCs w:val="36"/>
          <w:highlight w:val="none"/>
        </w:rPr>
        <w:br w:type="page"/>
      </w:r>
    </w:p>
    <w:p>
      <w:pPr>
        <w:widowControl/>
        <w:jc w:val="center"/>
        <w:rPr>
          <w:rFonts w:ascii="仿宋" w:hAnsi="仿宋" w:eastAsia="仿宋" w:cs="宋体"/>
          <w:b/>
          <w:bCs/>
          <w:kern w:val="0"/>
          <w:sz w:val="36"/>
          <w:szCs w:val="36"/>
          <w:highlight w:val="none"/>
        </w:rPr>
      </w:pPr>
      <w:r>
        <w:rPr>
          <w:rFonts w:hint="eastAsia" w:ascii="仿宋" w:hAnsi="仿宋" w:eastAsia="仿宋" w:cs="宋体"/>
          <w:b/>
          <w:bCs/>
          <w:kern w:val="0"/>
          <w:sz w:val="36"/>
          <w:szCs w:val="36"/>
          <w:highlight w:val="none"/>
        </w:rPr>
        <w:t>估价结果明细表</w:t>
      </w:r>
    </w:p>
    <w:p>
      <w:pPr>
        <w:keepNext w:val="0"/>
        <w:keepLines w:val="0"/>
        <w:pageBreakBefore w:val="0"/>
        <w:widowControl/>
        <w:kinsoku/>
        <w:wordWrap/>
        <w:overflowPunct/>
        <w:topLinePunct w:val="0"/>
        <w:autoSpaceDE/>
        <w:autoSpaceDN/>
        <w:bidi w:val="0"/>
        <w:adjustRightInd/>
        <w:snapToGrid/>
        <w:ind w:firstLine="3600" w:firstLineChars="1800"/>
        <w:textAlignment w:val="auto"/>
        <w:rPr>
          <w:rFonts w:hint="eastAsia" w:ascii="仿宋" w:hAnsi="仿宋" w:eastAsia="仿宋"/>
          <w:szCs w:val="28"/>
          <w:highlight w:val="none"/>
          <w:lang w:eastAsia="zh-CN"/>
        </w:rPr>
      </w:pPr>
      <w:r>
        <w:rPr>
          <w:rFonts w:hint="eastAsia" w:ascii="仿宋" w:hAnsi="仿宋" w:eastAsia="仿宋" w:cs="宋体"/>
          <w:kern w:val="0"/>
          <w:sz w:val="20"/>
          <w:szCs w:val="22"/>
          <w:highlight w:val="none"/>
          <w:lang w:eastAsia="zh-CN"/>
        </w:rPr>
        <w:t>价值时点</w:t>
      </w:r>
      <w:r>
        <w:rPr>
          <w:rFonts w:hint="eastAsia" w:ascii="仿宋" w:hAnsi="仿宋" w:eastAsia="仿宋" w:cs="宋体"/>
          <w:kern w:val="0"/>
          <w:sz w:val="20"/>
          <w:szCs w:val="22"/>
          <w:highlight w:val="none"/>
        </w:rPr>
        <w:t>：</w:t>
      </w:r>
      <w:r>
        <w:rPr>
          <w:rFonts w:hint="eastAsia" w:ascii="仿宋" w:hAnsi="仿宋" w:eastAsia="仿宋" w:cs="宋体"/>
          <w:kern w:val="0"/>
          <w:sz w:val="20"/>
          <w:szCs w:val="22"/>
          <w:highlight w:val="none"/>
          <w:lang w:eastAsia="zh-CN"/>
        </w:rPr>
        <w:t>2022年6月8日</w:t>
      </w:r>
    </w:p>
    <w:tbl>
      <w:tblPr>
        <w:tblStyle w:val="46"/>
        <w:tblW w:w="0" w:type="auto"/>
        <w:jc w:val="center"/>
        <w:shd w:val="clear" w:color="auto" w:fill="auto"/>
        <w:tblLayout w:type="fixed"/>
        <w:tblCellMar>
          <w:top w:w="0" w:type="dxa"/>
          <w:left w:w="108" w:type="dxa"/>
          <w:bottom w:w="0" w:type="dxa"/>
          <w:right w:w="108" w:type="dxa"/>
        </w:tblCellMar>
      </w:tblPr>
      <w:tblGrid>
        <w:gridCol w:w="843"/>
        <w:gridCol w:w="1145"/>
        <w:gridCol w:w="1582"/>
        <w:gridCol w:w="423"/>
        <w:gridCol w:w="804"/>
        <w:gridCol w:w="587"/>
        <w:gridCol w:w="777"/>
        <w:gridCol w:w="818"/>
        <w:gridCol w:w="1032"/>
        <w:gridCol w:w="1013"/>
        <w:gridCol w:w="939"/>
      </w:tblGrid>
      <w:tr>
        <w:tblPrEx>
          <w:shd w:val="clear" w:color="auto" w:fill="auto"/>
          <w:tblCellMar>
            <w:top w:w="0" w:type="dxa"/>
            <w:left w:w="108" w:type="dxa"/>
            <w:bottom w:w="0" w:type="dxa"/>
            <w:right w:w="108" w:type="dxa"/>
          </w:tblCellMar>
        </w:tblPrEx>
        <w:trPr>
          <w:trHeight w:val="397" w:hRule="atLeast"/>
          <w:jc w:val="center"/>
        </w:trPr>
        <w:tc>
          <w:tcPr>
            <w:tcW w:w="9963"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估价对象</w:t>
            </w:r>
          </w:p>
        </w:tc>
      </w:tr>
      <w:tr>
        <w:tblPrEx>
          <w:shd w:val="clear" w:color="auto" w:fill="auto"/>
          <w:tblCellMar>
            <w:top w:w="0" w:type="dxa"/>
            <w:left w:w="108" w:type="dxa"/>
            <w:bottom w:w="0" w:type="dxa"/>
            <w:right w:w="108" w:type="dxa"/>
          </w:tblCellMar>
        </w:tblPrEx>
        <w:trPr>
          <w:trHeight w:val="397"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权利人</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产权证书号</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房屋坐落</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用途</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所在层数/总层数</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装修情况</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建筑面积(㎡)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评估单价（元/㎡）</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color w:val="000000"/>
                <w:kern w:val="0"/>
                <w:sz w:val="21"/>
                <w:szCs w:val="21"/>
                <w:highlight w:val="none"/>
                <w:lang w:val="en-US" w:eastAsia="zh-CN" w:bidi="ar-SA"/>
              </w:rPr>
            </w:pPr>
            <w:r>
              <w:rPr>
                <w:rFonts w:hint="eastAsia" w:ascii="仿宋" w:hAnsi="仿宋" w:eastAsia="仿宋" w:cs="仿宋"/>
                <w:b/>
                <w:bCs/>
                <w:i w:val="0"/>
                <w:iCs w:val="0"/>
                <w:color w:val="000000"/>
                <w:kern w:val="0"/>
                <w:sz w:val="18"/>
                <w:szCs w:val="18"/>
                <w:highlight w:val="none"/>
                <w:u w:val="none"/>
                <w:lang w:val="en-US" w:eastAsia="zh-CN" w:bidi="ar"/>
              </w:rPr>
              <w:t>未扣除处置费用评估总价（万元）</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扣除处置费用评估单价（元/㎡）</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highlight w:val="none"/>
                <w:u w:val="none"/>
                <w:lang w:val="en-US" w:eastAsia="zh-CN" w:bidi="ar"/>
              </w:rPr>
            </w:pPr>
            <w:r>
              <w:rPr>
                <w:rFonts w:hint="eastAsia" w:ascii="仿宋" w:hAnsi="仿宋" w:eastAsia="仿宋" w:cs="仿宋"/>
                <w:b/>
                <w:bCs/>
                <w:i w:val="0"/>
                <w:iCs w:val="0"/>
                <w:color w:val="000000"/>
                <w:kern w:val="0"/>
                <w:sz w:val="18"/>
                <w:szCs w:val="18"/>
                <w:highlight w:val="none"/>
                <w:u w:val="none"/>
                <w:lang w:val="en-US" w:eastAsia="zh-CN" w:bidi="ar"/>
              </w:rPr>
              <w:t>扣除处置费用评估总价（万元）</w:t>
            </w:r>
          </w:p>
        </w:tc>
      </w:tr>
      <w:tr>
        <w:tblPrEx>
          <w:shd w:val="clear" w:color="auto" w:fill="auto"/>
          <w:tblCellMar>
            <w:top w:w="0" w:type="dxa"/>
            <w:left w:w="108" w:type="dxa"/>
            <w:bottom w:w="0" w:type="dxa"/>
            <w:right w:w="108" w:type="dxa"/>
          </w:tblCellMar>
        </w:tblPrEx>
        <w:trPr>
          <w:trHeight w:val="397"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罗俊</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201100327</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三穗县三穗县八弓镇胜利村一小背后</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住宅</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2层/2层</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简单装修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166.51</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1,746</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18"/>
                <w:szCs w:val="18"/>
                <w:highlight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 xml:space="preserve">29.07 </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1,538</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 xml:space="preserve">25.61 </w:t>
            </w:r>
          </w:p>
        </w:tc>
      </w:tr>
    </w:tbl>
    <w:p>
      <w:pPr>
        <w:pStyle w:val="45"/>
        <w:ind w:firstLine="280"/>
        <w:rPr>
          <w:rFonts w:ascii="仿宋" w:hAnsi="仿宋" w:eastAsia="仿宋"/>
          <w:szCs w:val="28"/>
          <w:highlight w:val="none"/>
        </w:rPr>
      </w:pPr>
    </w:p>
    <w:p>
      <w:pPr>
        <w:tabs>
          <w:tab w:val="left" w:pos="238"/>
        </w:tabs>
        <w:jc w:val="right"/>
        <w:rPr>
          <w:rFonts w:ascii="黑体" w:hAnsi="黑体" w:eastAsia="黑体" w:cs="黑体"/>
          <w:b/>
          <w:snapToGrid w:val="0"/>
          <w:kern w:val="0"/>
          <w:sz w:val="28"/>
          <w:szCs w:val="22"/>
          <w:highlight w:val="none"/>
        </w:rPr>
      </w:pPr>
      <w:r>
        <w:rPr>
          <w:rFonts w:hint="eastAsia" w:ascii="黑体" w:hAnsi="黑体" w:eastAsia="黑体" w:cs="黑体"/>
          <w:b/>
          <w:snapToGrid w:val="0"/>
          <w:kern w:val="0"/>
          <w:sz w:val="28"/>
          <w:szCs w:val="22"/>
          <w:highlight w:val="none"/>
        </w:rPr>
        <w:t>深圳市国咨土地房地产资产评估有限公司</w:t>
      </w:r>
    </w:p>
    <w:p>
      <w:pPr>
        <w:adjustRightInd w:val="0"/>
        <w:snapToGrid w:val="0"/>
        <w:spacing w:line="360" w:lineRule="auto"/>
        <w:ind w:firstLine="4200" w:firstLineChars="1500"/>
        <w:rPr>
          <w:rFonts w:ascii="黑体" w:hAnsi="黑体" w:eastAsia="黑体"/>
          <w:kern w:val="0"/>
          <w:sz w:val="28"/>
          <w:szCs w:val="28"/>
          <w:highlight w:val="none"/>
        </w:rPr>
      </w:pPr>
    </w:p>
    <w:p>
      <w:pPr>
        <w:spacing w:line="360" w:lineRule="auto"/>
        <w:ind w:firstLine="5341" w:firstLineChars="1900"/>
        <w:rPr>
          <w:rFonts w:ascii="黑体" w:hAnsi="黑体" w:eastAsia="黑体" w:cs="黑体"/>
          <w:b/>
          <w:snapToGrid w:val="0"/>
          <w:kern w:val="0"/>
          <w:sz w:val="28"/>
          <w:szCs w:val="22"/>
          <w:highlight w:val="none"/>
        </w:rPr>
      </w:pPr>
      <w:r>
        <w:rPr>
          <w:rFonts w:hint="eastAsia" w:ascii="黑体" w:hAnsi="黑体" w:eastAsia="黑体" w:cs="黑体"/>
          <w:b/>
          <w:snapToGrid w:val="0"/>
          <w:kern w:val="0"/>
          <w:sz w:val="28"/>
          <w:szCs w:val="22"/>
          <w:highlight w:val="none"/>
        </w:rPr>
        <w:t>法定代表人：</w:t>
      </w:r>
    </w:p>
    <w:p>
      <w:pPr>
        <w:spacing w:line="360" w:lineRule="auto"/>
        <w:ind w:firstLine="5341" w:firstLineChars="1900"/>
        <w:rPr>
          <w:rFonts w:hint="eastAsia" w:ascii="黑体" w:hAnsi="黑体" w:eastAsia="黑体" w:cs="黑体"/>
          <w:b/>
          <w:snapToGrid w:val="0"/>
          <w:kern w:val="0"/>
          <w:sz w:val="28"/>
          <w:szCs w:val="22"/>
          <w:highlight w:val="none"/>
          <w:lang w:eastAsia="zh-CN"/>
        </w:rPr>
      </w:pPr>
      <w:r>
        <w:rPr>
          <w:rFonts w:hint="eastAsia" w:ascii="黑体" w:hAnsi="黑体" w:eastAsia="黑体" w:cs="黑体"/>
          <w:b/>
          <w:snapToGrid w:val="0"/>
          <w:kern w:val="0"/>
          <w:sz w:val="28"/>
          <w:szCs w:val="22"/>
          <w:highlight w:val="none"/>
          <w:lang w:eastAsia="zh-CN"/>
        </w:rPr>
        <w:t>二〇二二年七月八日</w:t>
      </w:r>
    </w:p>
    <w:p>
      <w:pPr>
        <w:spacing w:line="360" w:lineRule="auto"/>
        <w:ind w:firstLine="5341" w:firstLineChars="1900"/>
        <w:rPr>
          <w:rFonts w:ascii="黑体" w:hAnsi="黑体" w:eastAsia="黑体" w:cs="黑体"/>
          <w:b/>
          <w:snapToGrid w:val="0"/>
          <w:kern w:val="0"/>
          <w:sz w:val="28"/>
          <w:szCs w:val="22"/>
          <w:highlight w:val="none"/>
        </w:rPr>
        <w:sectPr>
          <w:footerReference r:id="rId3" w:type="default"/>
          <w:pgSz w:w="11907" w:h="16840"/>
          <w:pgMar w:top="1440" w:right="1080" w:bottom="1440" w:left="1080" w:header="680" w:footer="794" w:gutter="284"/>
          <w:pgBorders>
            <w:top w:val="none" w:sz="0" w:space="0"/>
            <w:left w:val="none" w:sz="0" w:space="0"/>
            <w:bottom w:val="none" w:sz="0" w:space="0"/>
            <w:right w:val="none" w:sz="0" w:space="0"/>
          </w:pgBorders>
          <w:pgNumType w:start="1"/>
          <w:cols w:space="720" w:num="1"/>
          <w:docGrid w:type="lines" w:linePitch="479" w:charSpace="11986"/>
        </w:sectPr>
      </w:pPr>
    </w:p>
    <w:p>
      <w:pPr>
        <w:pStyle w:val="3"/>
        <w:keepLines/>
        <w:rPr>
          <w:rFonts w:ascii="黑体" w:hAnsi="黑体" w:eastAsia="黑体" w:cs="黑体"/>
          <w:bCs/>
          <w:snapToGrid w:val="0"/>
          <w:kern w:val="0"/>
          <w:sz w:val="44"/>
          <w:szCs w:val="44"/>
          <w:highlight w:val="none"/>
        </w:rPr>
      </w:pPr>
      <w:bookmarkStart w:id="2" w:name="_Toc451758622"/>
      <w:bookmarkStart w:id="3" w:name="_Toc451525146"/>
      <w:bookmarkStart w:id="4" w:name="_Toc12010"/>
      <w:bookmarkStart w:id="5" w:name="_Toc17960841"/>
      <w:bookmarkStart w:id="6" w:name="_Toc451761848"/>
      <w:r>
        <w:rPr>
          <w:rFonts w:hint="eastAsia" w:ascii="黑体" w:hAnsi="黑体" w:eastAsia="黑体" w:cs="黑体"/>
          <w:bCs/>
          <w:snapToGrid w:val="0"/>
          <w:kern w:val="0"/>
          <w:sz w:val="44"/>
          <w:szCs w:val="44"/>
          <w:highlight w:val="none"/>
        </w:rPr>
        <w:t>注册房地产估价师声明</w:t>
      </w:r>
      <w:bookmarkEnd w:id="2"/>
      <w:bookmarkEnd w:id="3"/>
      <w:bookmarkEnd w:id="4"/>
      <w:bookmarkEnd w:id="5"/>
      <w:bookmarkEnd w:id="6"/>
    </w:p>
    <w:p>
      <w:pPr>
        <w:adjustRightInd w:val="0"/>
        <w:snapToGrid w:val="0"/>
        <w:spacing w:line="360" w:lineRule="auto"/>
        <w:rPr>
          <w:rFonts w:ascii="黑体" w:hAnsi="黑体" w:eastAsia="黑体"/>
          <w:b/>
          <w:sz w:val="30"/>
          <w:szCs w:val="30"/>
          <w:highlight w:val="none"/>
        </w:rPr>
      </w:pPr>
      <w:r>
        <w:rPr>
          <w:rFonts w:hint="eastAsia" w:ascii="黑体" w:hAnsi="黑体" w:eastAsia="黑体"/>
          <w:b/>
          <w:sz w:val="30"/>
          <w:szCs w:val="30"/>
          <w:highlight w:val="none"/>
        </w:rPr>
        <w:t>我们郑重声明：</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color w:val="auto"/>
          <w:sz w:val="28"/>
          <w:szCs w:val="28"/>
          <w:highlight w:val="none"/>
        </w:rPr>
      </w:pPr>
      <w:r>
        <w:rPr>
          <w:rFonts w:hint="eastAsia" w:ascii="仿宋" w:hAnsi="仿宋" w:eastAsia="仿宋"/>
          <w:snapToGrid w:val="0"/>
          <w:color w:val="auto"/>
          <w:sz w:val="28"/>
          <w:szCs w:val="28"/>
          <w:highlight w:val="none"/>
          <w:lang w:val="en-US" w:eastAsia="zh-CN"/>
        </w:rPr>
        <w:t>1、</w:t>
      </w:r>
      <w:r>
        <w:rPr>
          <w:rFonts w:hint="eastAsia" w:ascii="仿宋" w:hAnsi="仿宋" w:eastAsia="仿宋"/>
          <w:snapToGrid w:val="0"/>
          <w:color w:val="auto"/>
          <w:sz w:val="28"/>
          <w:szCs w:val="28"/>
          <w:highlight w:val="none"/>
        </w:rPr>
        <w:t>我们在本估价报告中陈述的事实是真实的和准确的。有关资料、文件均由</w:t>
      </w:r>
      <w:r>
        <w:rPr>
          <w:rFonts w:hint="eastAsia" w:ascii="仿宋" w:hAnsi="仿宋" w:eastAsia="仿宋"/>
          <w:snapToGrid w:val="0"/>
          <w:color w:val="auto"/>
          <w:sz w:val="28"/>
          <w:szCs w:val="28"/>
          <w:highlight w:val="none"/>
          <w:lang w:eastAsia="zh-CN"/>
        </w:rPr>
        <w:t>委托人</w:t>
      </w:r>
      <w:r>
        <w:rPr>
          <w:rFonts w:hint="eastAsia" w:ascii="仿宋" w:hAnsi="仿宋" w:eastAsia="仿宋"/>
          <w:snapToGrid w:val="0"/>
          <w:color w:val="auto"/>
          <w:sz w:val="28"/>
          <w:szCs w:val="28"/>
          <w:highlight w:val="none"/>
        </w:rPr>
        <w:t>提供，</w:t>
      </w:r>
      <w:r>
        <w:rPr>
          <w:rFonts w:hint="eastAsia" w:ascii="仿宋" w:hAnsi="仿宋" w:eastAsia="仿宋"/>
          <w:snapToGrid w:val="0"/>
          <w:color w:val="auto"/>
          <w:sz w:val="28"/>
          <w:szCs w:val="28"/>
          <w:highlight w:val="none"/>
          <w:lang w:eastAsia="zh-CN"/>
        </w:rPr>
        <w:t>委托人</w:t>
      </w:r>
      <w:r>
        <w:rPr>
          <w:rFonts w:hint="eastAsia" w:ascii="仿宋" w:hAnsi="仿宋" w:eastAsia="仿宋"/>
          <w:snapToGrid w:val="0"/>
          <w:color w:val="auto"/>
          <w:sz w:val="28"/>
          <w:szCs w:val="28"/>
          <w:highlight w:val="none"/>
        </w:rPr>
        <w:t>应对所提供资料的完整性、真实性、合法性承担全部责任。房地产估价师对于估价对象的权属状况给予必要的关注，但不对估价对象的法律权属做任何形式的保证。</w:t>
      </w:r>
    </w:p>
    <w:p>
      <w:pPr>
        <w:pStyle w:val="35"/>
        <w:keepNext w:val="0"/>
        <w:keepLines w:val="0"/>
        <w:pageBreakBefore w:val="0"/>
        <w:widowControl w:val="0"/>
        <w:numPr>
          <w:ilvl w:val="0"/>
          <w:numId w:val="0"/>
        </w:numPr>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2、本估价报告中的分析、意见和结论是我们自己公正的专业分析、意见和结论，但估价结果受到本估价报告中已说明的假设和限制条件的限制。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3、估价师所在的估价机构坚持公正、公平原则，站在中立的立场上实事求是地开展本次估价工作，与本估价报告中的估价对象没有任何利害关系，也与有关当事人没有个人利害关系或偏见。</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4、我们严格依照中华人民共和国国家标准《房地产估价规范》【GB/T50291-2015】进行分析，形成结论，撰写本估价报告。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5、我公司房地产估价师</w:t>
      </w:r>
      <w:r>
        <w:rPr>
          <w:rFonts w:hint="default" w:ascii="仿宋" w:hAnsi="仿宋" w:eastAsia="仿宋"/>
          <w:snapToGrid w:val="0"/>
          <w:sz w:val="28"/>
          <w:szCs w:val="28"/>
          <w:highlight w:val="none"/>
          <w:lang w:eastAsia="zh-CN"/>
        </w:rPr>
        <w:t>陈阳</w:t>
      </w:r>
      <w:r>
        <w:rPr>
          <w:rFonts w:hint="eastAsia" w:ascii="仿宋" w:hAnsi="仿宋" w:eastAsia="仿宋"/>
          <w:snapToGrid w:val="0"/>
          <w:sz w:val="28"/>
          <w:szCs w:val="28"/>
          <w:highlight w:val="none"/>
          <w:lang w:val="en-US" w:eastAsia="zh-CN"/>
        </w:rPr>
        <w:t>、估价人员吴堂科</w:t>
      </w:r>
      <w:r>
        <w:rPr>
          <w:rFonts w:hint="eastAsia" w:ascii="仿宋" w:hAnsi="仿宋" w:eastAsia="仿宋"/>
          <w:snapToGrid w:val="0"/>
          <w:sz w:val="28"/>
          <w:szCs w:val="28"/>
          <w:highlight w:val="none"/>
        </w:rPr>
        <w:t>于</w:t>
      </w:r>
      <w:r>
        <w:rPr>
          <w:rFonts w:hint="eastAsia" w:ascii="仿宋" w:hAnsi="仿宋" w:eastAsia="仿宋"/>
          <w:snapToGrid w:val="0"/>
          <w:sz w:val="28"/>
          <w:szCs w:val="28"/>
          <w:highlight w:val="none"/>
          <w:lang w:eastAsia="zh-CN"/>
        </w:rPr>
        <w:t>2022年6月8日</w:t>
      </w:r>
      <w:r>
        <w:rPr>
          <w:rFonts w:hint="eastAsia" w:ascii="仿宋" w:hAnsi="仿宋" w:eastAsia="仿宋"/>
          <w:snapToGrid w:val="0"/>
          <w:sz w:val="28"/>
          <w:szCs w:val="28"/>
          <w:highlight w:val="none"/>
        </w:rPr>
        <w:t>已对估价对象进行了实地勘察，并对查勘的客观性、真实性、公正性承担责任，但我们对估价对象的现场查勘仅限于其外观和使用状况，对被遮盖、未暴露及难以接触到的部分，我们不承担对估价对象建筑结构质量进行调查的责任。相关权属资料仅以委托人提供的资料为基础进行形式审查和一般性核对，实质性审查为相关房地产主管单位及部门，故本公司不对其建筑结构质量、数量等内容的准确性及相关权益负责。</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6、注册房地产估价师及其所在的估价机构具备本估价业务所需的执业资格和相关的估价经验。由于估价人员的专业限制，本次估价过程中没有其他专业人员及机构对本估价报告提供诸如结构安全、环境保护、规划控制、产权设定与登记、装修及配套设施设备的权属等方面的专业支持和帮助，委托人应当保证估价对象在合法使用前提下获得收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7、本估价报告是本估价机构根据估价目的，遵循估价原则，采用科学合理的估价方法，在认真分析现有资料的基础上，经过测算，结合估价经验与对影响房地产市场价格因素进行分析，为估价对象在特定估价目的而出具的，但受本估价机构估价人员的职业水平和能力的影响。</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8、本估价报告的使用范围：委托人在使用本报告时，务请注意本估价结果报告中的估价的假设和限制条件</w:t>
      </w:r>
      <w:r>
        <w:rPr>
          <w:rFonts w:hint="eastAsia" w:ascii="仿宋" w:hAnsi="仿宋" w:eastAsia="仿宋"/>
          <w:snapToGrid w:val="0"/>
          <w:sz w:val="28"/>
          <w:szCs w:val="28"/>
          <w:highlight w:val="none"/>
          <w:lang w:eastAsia="zh-CN"/>
        </w:rPr>
        <w:t>，</w:t>
      </w:r>
      <w:r>
        <w:rPr>
          <w:rFonts w:hint="eastAsia" w:ascii="仿宋" w:hAnsi="仿宋" w:eastAsia="仿宋"/>
          <w:snapToGrid w:val="0"/>
          <w:sz w:val="28"/>
          <w:szCs w:val="28"/>
          <w:highlight w:val="none"/>
        </w:rPr>
        <w:t>并且本估价报告的全文作为一个不可分割的整体，若仅有部分内容，则不能成为有效的估价报告。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9、本报告书专为委托人为本报告所列明的估价对象在</w:t>
      </w:r>
      <w:r>
        <w:rPr>
          <w:rFonts w:hint="eastAsia" w:ascii="仿宋" w:hAnsi="仿宋" w:eastAsia="仿宋"/>
          <w:snapToGrid w:val="0"/>
          <w:sz w:val="28"/>
          <w:szCs w:val="28"/>
          <w:highlight w:val="none"/>
          <w:lang w:eastAsia="zh-CN"/>
        </w:rPr>
        <w:t>价值时点</w:t>
      </w:r>
      <w:r>
        <w:rPr>
          <w:rFonts w:hint="eastAsia" w:ascii="仿宋" w:hAnsi="仿宋" w:eastAsia="仿宋"/>
          <w:snapToGrid w:val="0"/>
          <w:sz w:val="28"/>
          <w:szCs w:val="28"/>
          <w:highlight w:val="none"/>
        </w:rPr>
        <w:t>和估价目的等条件下的市场客观</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提供参考依据。未经本公司同意，本报告的全部或部分内容不得提供给与本报告估价目的无关的单位或个人，不得发表于任何公开媒体上。</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10、本估价报告若因打印、校对及其他原因发生误差时，请委托人及时通知本估价机构予以更正，否则，误差部分无效。</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11、本报告中的数据全部采用电算化连续计算得出，由于在报告中计算的数据均按四舍五入保留两位小数或取整，因此，可能出现个别等式左右不完全相等的情况，但不影响计算结果及最终估价结论的准确性。</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12、本报告中，除使用政府部门、行业公布的价格资料和公开市场的价格信息外，主要依据估价委托人提供的相关材料，包括但不限于其提供的权属证件等复印件，我们未得到授权也无法定资格核查审验估价委托人提供的资料之真伪，估价委托人应对其提供的全部资料的真实性、合法性、完整性及其可能引起的后果负责。</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13、其他声明事项：出于职业责任，我们与委托人进行必要沟通，避免对本估价报告使用不当的情况发生，提示估价报告使用者合理并恰当使用估价报告，并声明不承担相关当事人决策的责任。估价对象及其相应的通行权、采光权及其他权利应符合法律规定设置的条件，其具体设置及享受权利的情况请报告使用人咨询规划、国土及房地产管理主管单位予以详细了解后结合本报告结果予以决策，因委托人片面使用报告或用于本报告所限定的估价目的以外用途而导致的法律后果，均由委托人承担，本公司不对此承担任何责任，因此，报告使用人需全面阅读房地产估价报告并合理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rPr>
        <w:t>14、本报告须由本估价机构及估价人员签字盖章后方为有效，估价报告的全部或部分复印件均无效。</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lang w:eastAsia="zh-CN"/>
        </w:rPr>
      </w:pPr>
      <w:r>
        <w:rPr>
          <w:rFonts w:hint="eastAsia" w:ascii="仿宋" w:hAnsi="仿宋" w:eastAsia="仿宋"/>
          <w:snapToGrid w:val="0"/>
          <w:sz w:val="28"/>
          <w:szCs w:val="28"/>
          <w:highlight w:val="none"/>
        </w:rPr>
        <w:t>15、本估价报告若有其他未尽事宜，则由深圳市国咨土地房地产资产评估有限公司负责解释</w:t>
      </w:r>
      <w:r>
        <w:rPr>
          <w:rFonts w:hint="eastAsia" w:ascii="仿宋" w:hAnsi="仿宋" w:eastAsia="仿宋"/>
          <w:snapToGrid w:val="0"/>
          <w:sz w:val="28"/>
          <w:szCs w:val="28"/>
          <w:highlight w:val="none"/>
          <w:lang w:eastAsia="zh-CN"/>
        </w:rPr>
        <w:t>。</w:t>
      </w:r>
    </w:p>
    <w:tbl>
      <w:tblPr>
        <w:tblStyle w:val="47"/>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2370"/>
        <w:gridCol w:w="2400"/>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72"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姓名</w:t>
            </w:r>
          </w:p>
        </w:tc>
        <w:tc>
          <w:tcPr>
            <w:tcW w:w="237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注册号</w:t>
            </w:r>
          </w:p>
        </w:tc>
        <w:tc>
          <w:tcPr>
            <w:tcW w:w="240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w:t>
            </w:r>
          </w:p>
        </w:tc>
        <w:tc>
          <w:tcPr>
            <w:tcW w:w="3136"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872"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王晨阳</w:t>
            </w:r>
          </w:p>
        </w:tc>
        <w:tc>
          <w:tcPr>
            <w:tcW w:w="237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4419960028</w:t>
            </w:r>
          </w:p>
        </w:tc>
        <w:tc>
          <w:tcPr>
            <w:tcW w:w="240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3136"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仿宋" w:hAnsi="仿宋" w:eastAsia="仿宋" w:cs="Times New Roman"/>
                <w:snapToGrid w:val="0"/>
                <w:sz w:val="28"/>
                <w:szCs w:val="28"/>
                <w:highlight w:val="none"/>
                <w:lang w:val="en-US" w:eastAsia="zh-CN"/>
              </w:rPr>
            </w:pPr>
            <w:r>
              <w:rPr>
                <w:rFonts w:hint="eastAsia" w:ascii="仿宋" w:hAnsi="仿宋" w:eastAsia="仿宋" w:cs="Times New Roman"/>
                <w:snapToGrid w:val="0"/>
                <w:sz w:val="28"/>
                <w:szCs w:val="28"/>
                <w:highlight w:val="none"/>
                <w:lang w:val="en-US" w:eastAsia="zh-CN"/>
              </w:rPr>
              <w:t>2022年7月8日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872"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仿宋" w:hAnsi="仿宋" w:eastAsia="仿宋" w:cs="仿宋"/>
                <w:color w:val="000000"/>
                <w:sz w:val="28"/>
                <w:szCs w:val="28"/>
                <w:highlight w:val="none"/>
                <w:vertAlign w:val="baseline"/>
              </w:rPr>
            </w:pPr>
            <w:r>
              <w:rPr>
                <w:rFonts w:hint="default" w:ascii="仿宋" w:hAnsi="仿宋" w:eastAsia="仿宋" w:cs="仿宋"/>
                <w:b/>
                <w:snapToGrid w:val="0"/>
                <w:color w:val="000000"/>
                <w:kern w:val="0"/>
                <w:sz w:val="28"/>
                <w:szCs w:val="28"/>
                <w:highlight w:val="none"/>
                <w:lang w:eastAsia="zh-CN"/>
              </w:rPr>
              <w:t>陈阳</w:t>
            </w:r>
          </w:p>
        </w:tc>
        <w:tc>
          <w:tcPr>
            <w:tcW w:w="237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5220190024</w:t>
            </w:r>
          </w:p>
        </w:tc>
        <w:tc>
          <w:tcPr>
            <w:tcW w:w="2400"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3136" w:type="dxa"/>
            <w:tcBorders>
              <w:tl2br w:val="nil"/>
              <w:tr2bl w:val="nil"/>
            </w:tcBorders>
            <w:noWrap w:val="0"/>
            <w:vAlign w:val="center"/>
          </w:tcPr>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仿宋" w:hAnsi="仿宋" w:eastAsia="仿宋" w:cs="Times New Roman"/>
                <w:snapToGrid w:val="0"/>
                <w:sz w:val="28"/>
                <w:szCs w:val="28"/>
                <w:highlight w:val="none"/>
              </w:rPr>
            </w:pPr>
            <w:r>
              <w:rPr>
                <w:rFonts w:hint="eastAsia" w:ascii="仿宋" w:hAnsi="仿宋" w:eastAsia="仿宋" w:cs="Times New Roman"/>
                <w:snapToGrid w:val="0"/>
                <w:sz w:val="28"/>
                <w:szCs w:val="28"/>
                <w:highlight w:val="none"/>
                <w:lang w:val="en-US" w:eastAsia="zh-CN"/>
              </w:rPr>
              <w:t>2022年7月8日</w:t>
            </w:r>
          </w:p>
        </w:tc>
      </w:tr>
    </w:tbl>
    <w:p>
      <w:pPr>
        <w:pStyle w:val="3"/>
        <w:keepLines/>
        <w:rPr>
          <w:rFonts w:ascii="黑体" w:eastAsia="黑体"/>
          <w:bCs/>
          <w:snapToGrid w:val="0"/>
          <w:kern w:val="0"/>
          <w:sz w:val="44"/>
          <w:szCs w:val="44"/>
          <w:highlight w:val="none"/>
        </w:rPr>
      </w:pPr>
      <w:r>
        <w:rPr>
          <w:snapToGrid w:val="0"/>
          <w:kern w:val="0"/>
          <w:sz w:val="24"/>
          <w:highlight w:val="none"/>
        </w:rPr>
        <w:br w:type="page"/>
      </w:r>
      <w:bookmarkStart w:id="7" w:name="_Toc20287"/>
      <w:bookmarkStart w:id="8" w:name="_Toc17960842"/>
      <w:r>
        <w:rPr>
          <w:rFonts w:hint="eastAsia" w:ascii="黑体" w:hAnsi="黑体" w:eastAsia="黑体" w:cs="黑体"/>
          <w:bCs/>
          <w:snapToGrid w:val="0"/>
          <w:kern w:val="0"/>
          <w:sz w:val="44"/>
          <w:szCs w:val="44"/>
          <w:highlight w:val="none"/>
        </w:rPr>
        <w:t>估价假设和限制条件</w:t>
      </w:r>
      <w:bookmarkEnd w:id="7"/>
      <w:bookmarkEnd w:id="8"/>
    </w:p>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ascii="黑体" w:eastAsia="黑体"/>
          <w:snapToGrid w:val="0"/>
          <w:sz w:val="30"/>
          <w:szCs w:val="30"/>
          <w:highlight w:val="none"/>
        </w:rPr>
      </w:pPr>
      <w:bookmarkStart w:id="9" w:name="_Toc16548"/>
      <w:bookmarkStart w:id="10" w:name="_Toc17960843"/>
      <w:r>
        <w:rPr>
          <w:rFonts w:hint="eastAsia" w:ascii="黑体" w:eastAsia="黑体"/>
          <w:snapToGrid w:val="0"/>
          <w:sz w:val="30"/>
          <w:szCs w:val="30"/>
          <w:highlight w:val="none"/>
        </w:rPr>
        <w:t>（一）估价假设</w:t>
      </w:r>
      <w:bookmarkEnd w:id="9"/>
      <w:bookmarkEnd w:id="10"/>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一、一般假设</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1、估价对象产权明晰，手续齐全，可以在市场上自由转让。</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2、估价委托人提供了估价对象的权属资料复印件，我方对权属资料上记载的权属、面积、用途等资料进行了审慎检查，在无理由怀疑其合法性、真实性、准确性和完整性的情况下，假定估价委托人提供的资料合法、真实、准确、完整。</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3、我司估价人员已对房屋安全、环境污染等影响估价对象</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的重要因素给予了关注，在无理由怀疑估价对象存在隐患且无相应的专业机构进行鉴定、监测的情况下，假定估价对象能正常安全使用。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4、估价对象在</w:t>
      </w:r>
      <w:r>
        <w:rPr>
          <w:rFonts w:hint="eastAsia" w:ascii="仿宋" w:hAnsi="仿宋" w:eastAsia="仿宋"/>
          <w:snapToGrid w:val="0"/>
          <w:sz w:val="28"/>
          <w:szCs w:val="28"/>
          <w:highlight w:val="none"/>
          <w:lang w:eastAsia="zh-CN"/>
        </w:rPr>
        <w:t>价值时点</w:t>
      </w:r>
      <w:r>
        <w:rPr>
          <w:rFonts w:hint="eastAsia" w:ascii="仿宋" w:hAnsi="仿宋" w:eastAsia="仿宋"/>
          <w:snapToGrid w:val="0"/>
          <w:sz w:val="28"/>
          <w:szCs w:val="28"/>
          <w:highlight w:val="none"/>
        </w:rPr>
        <w:t>的房地产市场为公开、平等、自愿的交易市场，即满足以下条件：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 买卖双方处于公平交易状态，对物业成交有充分讨价还价的权利；</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(2) 买卖双方都有一段充分了解物业现状及所处市场行情的时间,并且有一段合理的洽谈交易时间；</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(3) 在此期间物业</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将保持稳定；</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(4) 物业可以在公开市场上自由转让；</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(5) 不考虑特殊买家的额外出价；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(6) 买卖双方之间无任何利害关系。</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bookmarkStart w:id="11" w:name="_Toc17960845"/>
      <w:r>
        <w:rPr>
          <w:rFonts w:hint="eastAsia" w:ascii="仿宋" w:hAnsi="仿宋" w:eastAsia="仿宋"/>
          <w:snapToGrid w:val="0"/>
          <w:sz w:val="28"/>
          <w:szCs w:val="28"/>
          <w:highlight w:val="none"/>
        </w:rPr>
        <w:t>5、估价对象面积来源于估价委托人提供的</w:t>
      </w:r>
      <w:r>
        <w:rPr>
          <w:rFonts w:hint="eastAsia" w:ascii="仿宋" w:hAnsi="仿宋" w:eastAsia="仿宋"/>
          <w:snapToGrid w:val="0"/>
          <w:sz w:val="28"/>
          <w:szCs w:val="28"/>
          <w:highlight w:val="none"/>
          <w:lang w:eastAsia="zh-CN"/>
        </w:rPr>
        <w:t>《贵州省不动产登记查询结果》</w:t>
      </w:r>
      <w:r>
        <w:rPr>
          <w:rFonts w:hint="eastAsia" w:ascii="仿宋" w:hAnsi="仿宋" w:eastAsia="仿宋"/>
          <w:snapToGrid w:val="0"/>
          <w:sz w:val="28"/>
          <w:szCs w:val="28"/>
          <w:highlight w:val="none"/>
        </w:rPr>
        <w:t>复印件，若与实际不符，应据实调整估价</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。因其不实造成的影响，本公司不承担任何责任。</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lang w:eastAsia="zh-CN"/>
        </w:rPr>
      </w:pPr>
      <w:r>
        <w:rPr>
          <w:rFonts w:hint="eastAsia" w:ascii="仿宋" w:hAnsi="仿宋" w:eastAsia="仿宋"/>
          <w:snapToGrid w:val="0"/>
          <w:sz w:val="28"/>
          <w:szCs w:val="28"/>
          <w:highlight w:val="none"/>
          <w:lang w:val="en-US" w:eastAsia="zh-CN"/>
        </w:rPr>
        <w:t>6、本次评估</w:t>
      </w:r>
      <w:r>
        <w:rPr>
          <w:rFonts w:hint="eastAsia" w:ascii="仿宋" w:hAnsi="仿宋" w:eastAsia="仿宋"/>
          <w:snapToGrid w:val="0"/>
          <w:sz w:val="28"/>
          <w:szCs w:val="28"/>
          <w:highlight w:val="none"/>
        </w:rPr>
        <w:t>假定评估对象不存在租赁权、用益物权及占有使用情况</w:t>
      </w:r>
      <w:r>
        <w:rPr>
          <w:rFonts w:hint="eastAsia" w:ascii="仿宋" w:hAnsi="仿宋" w:eastAsia="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lang w:val="en-US" w:eastAsia="zh-CN"/>
        </w:rPr>
      </w:pPr>
      <w:r>
        <w:rPr>
          <w:rFonts w:hint="eastAsia" w:ascii="仿宋" w:hAnsi="仿宋" w:eastAsia="仿宋"/>
          <w:snapToGrid w:val="0"/>
          <w:sz w:val="28"/>
          <w:szCs w:val="28"/>
          <w:highlight w:val="none"/>
          <w:lang w:val="en-US" w:eastAsia="zh-CN"/>
        </w:rPr>
        <w:t>7、本次评估假定评估对象不存在欠缴税金及相关费用，包括但不限于税收、物业费、供暖费、水电气费等及其滞纳金。</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二、未定事项假设</w:t>
      </w:r>
      <w:bookmarkEnd w:id="11"/>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bookmarkStart w:id="12" w:name="_Toc17960846"/>
      <w:r>
        <w:rPr>
          <w:rFonts w:hint="eastAsia" w:ascii="仿宋" w:hAnsi="仿宋" w:eastAsia="仿宋"/>
          <w:snapToGrid w:val="0"/>
          <w:sz w:val="28"/>
          <w:szCs w:val="28"/>
          <w:highlight w:val="none"/>
        </w:rPr>
        <w:t>本次估价的估价对象不存在未定事项假设，故本次估价报告无未定事项假设。</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三、背离事实假设</w:t>
      </w:r>
      <w:bookmarkEnd w:id="12"/>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1、本次估价时没有考虑国家宏观经济政策发生变化，市场供求关系变化、市场结构转变、遇有自然力和其他不可抗力等因素对房地产</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的影响，未考虑估价对象可能存在抵押、担保等影响其</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的因素限制，也没有考虑估价对象将来可能承担违约责任的事宜，以及特殊交易方式下的特殊交易价格等对估价结果的影响。当上述条件发生变化时，估价结果亦会发生变化。</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2、估价结果未考虑估价对象及其所有人已承担的债务、或者债务及经营决策失误或者市场运作失当对其</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的影响。</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default" w:ascii="仿宋" w:hAnsi="仿宋" w:eastAsia="仿宋"/>
          <w:snapToGrid w:val="0"/>
          <w:sz w:val="28"/>
          <w:szCs w:val="28"/>
          <w:highlight w:val="none"/>
          <w:lang w:val="en-US"/>
        </w:rPr>
      </w:pPr>
      <w:r>
        <w:rPr>
          <w:rFonts w:hint="eastAsia" w:ascii="仿宋" w:hAnsi="仿宋" w:eastAsia="仿宋"/>
          <w:snapToGrid w:val="0"/>
          <w:sz w:val="28"/>
          <w:szCs w:val="28"/>
          <w:highlight w:val="none"/>
          <w:lang w:val="en-US" w:eastAsia="zh-CN"/>
        </w:rPr>
        <w:t>3、</w:t>
      </w:r>
      <w:r>
        <w:rPr>
          <w:rFonts w:hint="eastAsia" w:ascii="仿宋" w:hAnsi="仿宋" w:eastAsia="仿宋"/>
          <w:snapToGrid w:val="0"/>
          <w:sz w:val="28"/>
          <w:szCs w:val="28"/>
          <w:highlight w:val="none"/>
          <w:lang w:eastAsia="zh-CN"/>
        </w:rPr>
        <w:t>估价</w:t>
      </w:r>
      <w:r>
        <w:rPr>
          <w:rFonts w:hint="eastAsia" w:ascii="仿宋" w:hAnsi="仿宋" w:eastAsia="仿宋"/>
          <w:snapToGrid w:val="0"/>
          <w:sz w:val="28"/>
          <w:szCs w:val="28"/>
          <w:highlight w:val="none"/>
        </w:rPr>
        <w:t>结果不考虑</w:t>
      </w:r>
      <w:r>
        <w:rPr>
          <w:rFonts w:hint="eastAsia" w:ascii="仿宋" w:hAnsi="仿宋" w:eastAsia="仿宋"/>
          <w:snapToGrid w:val="0"/>
          <w:sz w:val="28"/>
          <w:szCs w:val="28"/>
          <w:highlight w:val="none"/>
          <w:lang w:eastAsia="zh-CN"/>
        </w:rPr>
        <w:t>估价</w:t>
      </w:r>
      <w:r>
        <w:rPr>
          <w:rFonts w:hint="eastAsia" w:ascii="仿宋" w:hAnsi="仿宋" w:eastAsia="仿宋"/>
          <w:snapToGrid w:val="0"/>
          <w:sz w:val="28"/>
          <w:szCs w:val="28"/>
          <w:highlight w:val="none"/>
        </w:rPr>
        <w:t>对象被查封以及原有的担保物权和其他优先受偿权的影响</w:t>
      </w:r>
      <w:r>
        <w:rPr>
          <w:rFonts w:hint="eastAsia" w:ascii="仿宋" w:hAnsi="仿宋" w:eastAsia="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bookmarkStart w:id="13" w:name="_Toc17960847"/>
      <w:r>
        <w:rPr>
          <w:rFonts w:hint="eastAsia" w:ascii="仿宋" w:hAnsi="仿宋" w:eastAsia="仿宋"/>
          <w:snapToGrid w:val="0"/>
          <w:sz w:val="28"/>
          <w:szCs w:val="28"/>
          <w:highlight w:val="none"/>
        </w:rPr>
        <w:t>四、不相一致假设</w:t>
      </w:r>
      <w:bookmarkEnd w:id="13"/>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本次估价的估价对象不存在不相一致假设，故本次估价报告无不相一致假设。</w:t>
      </w:r>
    </w:p>
    <w:p>
      <w:pPr>
        <w:pStyle w:val="35"/>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ascii="黑体" w:eastAsia="黑体"/>
          <w:snapToGrid w:val="0"/>
          <w:sz w:val="30"/>
          <w:szCs w:val="30"/>
          <w:highlight w:val="none"/>
        </w:rPr>
      </w:pPr>
      <w:bookmarkStart w:id="14" w:name="_Toc17960848"/>
      <w:r>
        <w:rPr>
          <w:rFonts w:hint="eastAsia" w:ascii="黑体" w:eastAsia="黑体"/>
          <w:snapToGrid w:val="0"/>
          <w:sz w:val="30"/>
          <w:szCs w:val="30"/>
          <w:highlight w:val="none"/>
        </w:rPr>
        <w:t>（二）</w:t>
      </w:r>
      <w:r>
        <w:rPr>
          <w:rFonts w:hint="eastAsia" w:ascii="黑体" w:eastAsia="黑体"/>
          <w:snapToGrid w:val="0"/>
          <w:sz w:val="30"/>
          <w:szCs w:val="30"/>
          <w:highlight w:val="none"/>
          <w:lang w:val="en-US" w:eastAsia="zh-CN"/>
        </w:rPr>
        <w:t>本报告使用的</w:t>
      </w:r>
      <w:r>
        <w:rPr>
          <w:rFonts w:hint="eastAsia" w:ascii="黑体" w:eastAsia="黑体"/>
          <w:snapToGrid w:val="0"/>
          <w:sz w:val="30"/>
          <w:szCs w:val="30"/>
          <w:highlight w:val="none"/>
        </w:rPr>
        <w:t>限制条件</w:t>
      </w:r>
      <w:bookmarkEnd w:id="14"/>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rPr>
        <w:t>1、应当按照法律规定和评估报告载明的用途、使用人、使用期限等使用范围使用评估报告。否则，房地产估价机构和注册房地产估价师依法不承担责任；</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2、</w:t>
      </w:r>
      <w:r>
        <w:rPr>
          <w:rFonts w:hint="eastAsia" w:ascii="仿宋" w:hAnsi="仿宋" w:eastAsia="仿宋"/>
          <w:snapToGrid w:val="0"/>
          <w:sz w:val="28"/>
          <w:szCs w:val="28"/>
          <w:highlight w:val="none"/>
        </w:rPr>
        <w:t>评估结果仅为人民法院确定财产处置参考价服务，不是评估对象处置可实现的成交价格，也不应当被视为对评估对象处置成交价格的保证；</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3、</w:t>
      </w:r>
      <w:r>
        <w:rPr>
          <w:rFonts w:hint="eastAsia" w:ascii="仿宋" w:hAnsi="仿宋" w:eastAsia="仿宋"/>
          <w:snapToGrid w:val="0"/>
          <w:sz w:val="28"/>
          <w:szCs w:val="28"/>
          <w:highlight w:val="none"/>
        </w:rPr>
        <w:t>财产拍卖或者变卖之日与</w:t>
      </w:r>
      <w:r>
        <w:rPr>
          <w:rFonts w:hint="eastAsia" w:ascii="仿宋" w:hAnsi="仿宋" w:eastAsia="仿宋"/>
          <w:snapToGrid w:val="0"/>
          <w:sz w:val="28"/>
          <w:szCs w:val="28"/>
          <w:highlight w:val="none"/>
          <w:lang w:eastAsia="zh-CN"/>
        </w:rPr>
        <w:t>价值时点</w:t>
      </w:r>
      <w:r>
        <w:rPr>
          <w:rFonts w:hint="eastAsia" w:ascii="仿宋" w:hAnsi="仿宋" w:eastAsia="仿宋"/>
          <w:snapToGrid w:val="0"/>
          <w:sz w:val="28"/>
          <w:szCs w:val="28"/>
          <w:highlight w:val="none"/>
        </w:rPr>
        <w:t>不一致，可能导致评估结果对应的评估对象状况、房地产市场状况、欠缴税费状况等与财产拍卖或者变卖时的相应状况不一致，发生明显变化的，评估结果应当进行相应调整后才可使用；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4、</w:t>
      </w:r>
      <w:r>
        <w:rPr>
          <w:rFonts w:hint="eastAsia" w:ascii="仿宋" w:hAnsi="仿宋" w:eastAsia="仿宋"/>
          <w:snapToGrid w:val="0"/>
          <w:sz w:val="28"/>
          <w:szCs w:val="28"/>
          <w:highlight w:val="none"/>
        </w:rPr>
        <w:t>在评估报告使用期限或者评估结果有效期内，评估报告或者评估结果未使用之前，如果评估对象状况或者房地产市场状况发生明显变化的，评估结果应当进行相应调整后才可使用；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5、</w:t>
      </w:r>
      <w:r>
        <w:rPr>
          <w:rFonts w:hint="eastAsia" w:ascii="仿宋" w:hAnsi="仿宋" w:eastAsia="仿宋"/>
          <w:snapToGrid w:val="0"/>
          <w:sz w:val="28"/>
          <w:szCs w:val="28"/>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default" w:ascii="仿宋" w:hAnsi="仿宋" w:eastAsia="仿宋" w:cs="仿宋"/>
          <w:snapToGrid w:val="0"/>
          <w:sz w:val="28"/>
          <w:szCs w:val="28"/>
          <w:highlight w:val="none"/>
          <w:lang w:val="en-US" w:eastAsia="zh-CN"/>
        </w:rPr>
      </w:pPr>
      <w:r>
        <w:rPr>
          <w:rFonts w:hint="eastAsia" w:ascii="仿宋" w:hAnsi="仿宋" w:eastAsia="仿宋"/>
          <w:snapToGrid w:val="0"/>
          <w:sz w:val="28"/>
          <w:szCs w:val="28"/>
          <w:highlight w:val="none"/>
          <w:lang w:val="en-US" w:eastAsia="zh-CN"/>
        </w:rPr>
        <w:t>6、</w:t>
      </w:r>
      <w:r>
        <w:rPr>
          <w:rFonts w:hint="eastAsia" w:ascii="仿宋" w:hAnsi="仿宋" w:eastAsia="仿宋" w:cs="仿宋"/>
          <w:snapToGrid w:val="0"/>
          <w:sz w:val="28"/>
          <w:szCs w:val="28"/>
          <w:highlight w:val="none"/>
        </w:rPr>
        <w:t>评估对象市场价格对应的交易税费按照法律法规规定，转让人和买受人各自负担</w:t>
      </w:r>
      <w:r>
        <w:rPr>
          <w:rFonts w:hint="eastAsia" w:ascii="仿宋" w:hAnsi="仿宋" w:eastAsia="仿宋" w:cs="仿宋"/>
          <w:snapToGrid w:val="0"/>
          <w:sz w:val="28"/>
          <w:szCs w:val="28"/>
          <w:highlight w:val="none"/>
          <w:lang w:eastAsia="zh-CN"/>
        </w:rPr>
        <w:t>；估价结果已考虑</w:t>
      </w:r>
      <w:r>
        <w:rPr>
          <w:rFonts w:hint="eastAsia" w:ascii="仿宋" w:hAnsi="仿宋" w:eastAsia="仿宋" w:cs="仿宋"/>
          <w:snapToGrid w:val="0"/>
          <w:sz w:val="28"/>
          <w:szCs w:val="28"/>
          <w:highlight w:val="none"/>
        </w:rPr>
        <w:t>被迫转让及处置后被执行人不自愿配合交付因素对评估结果的不利影响</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lang w:val="en-US" w:eastAsia="zh-CN"/>
        </w:rPr>
        <w:t>本次估价测算交易税费及相关处置费用为预估数据，与实际发生额可能存在差异，请报告使用者注意。</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7</w:t>
      </w:r>
      <w:r>
        <w:rPr>
          <w:rFonts w:hint="eastAsia" w:ascii="仿宋" w:hAnsi="仿宋" w:eastAsia="仿宋"/>
          <w:snapToGrid w:val="0"/>
          <w:sz w:val="28"/>
          <w:szCs w:val="28"/>
          <w:highlight w:val="none"/>
        </w:rPr>
        <w:t>本估价报告估价结果是按照既定目的提供给估价委托人使用，若改变估价目的及使用条件，需向本公司咨询后作必要调整甚至重新估价。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8</w:t>
      </w:r>
      <w:r>
        <w:rPr>
          <w:rFonts w:hint="eastAsia" w:ascii="仿宋" w:hAnsi="仿宋" w:eastAsia="仿宋"/>
          <w:snapToGrid w:val="0"/>
          <w:sz w:val="28"/>
          <w:szCs w:val="28"/>
          <w:highlight w:val="none"/>
        </w:rPr>
        <w:t>、本估价报告应用的有效期为自报告出具时点起原则上规定为一年（自</w:t>
      </w:r>
      <w:r>
        <w:rPr>
          <w:rFonts w:hint="eastAsia" w:ascii="仿宋" w:hAnsi="仿宋" w:eastAsia="仿宋"/>
          <w:snapToGrid w:val="0"/>
          <w:sz w:val="28"/>
          <w:szCs w:val="28"/>
          <w:highlight w:val="none"/>
          <w:lang w:eastAsia="zh-CN"/>
        </w:rPr>
        <w:t>二〇二二年七月八日</w:t>
      </w:r>
      <w:r>
        <w:rPr>
          <w:rFonts w:hint="eastAsia" w:ascii="仿宋" w:hAnsi="仿宋" w:eastAsia="仿宋"/>
          <w:snapToGrid w:val="0"/>
          <w:sz w:val="28"/>
          <w:szCs w:val="28"/>
          <w:highlight w:val="none"/>
        </w:rPr>
        <w:t>至</w:t>
      </w:r>
      <w:r>
        <w:rPr>
          <w:rFonts w:hint="eastAsia" w:ascii="仿宋" w:hAnsi="仿宋" w:eastAsia="仿宋"/>
          <w:snapToGrid w:val="0"/>
          <w:sz w:val="28"/>
          <w:szCs w:val="28"/>
          <w:highlight w:val="none"/>
          <w:lang w:eastAsia="zh-CN"/>
        </w:rPr>
        <w:t>二〇二三年七月七日</w:t>
      </w:r>
      <w:r>
        <w:rPr>
          <w:rFonts w:hint="eastAsia" w:ascii="仿宋" w:hAnsi="仿宋" w:eastAsia="仿宋"/>
          <w:snapToGrid w:val="0"/>
          <w:sz w:val="28"/>
          <w:szCs w:val="28"/>
          <w:highlight w:val="none"/>
        </w:rPr>
        <w:t>止），若报告使用期限内，房地产市场或估价对象状况发生重大变化，估价结果需做相应调整或委托估价机构重新估价。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9</w:t>
      </w:r>
      <w:r>
        <w:rPr>
          <w:rFonts w:hint="eastAsia" w:ascii="仿宋" w:hAnsi="仿宋" w:eastAsia="仿宋"/>
          <w:snapToGrid w:val="0"/>
          <w:sz w:val="28"/>
          <w:szCs w:val="28"/>
          <w:highlight w:val="none"/>
        </w:rPr>
        <w:t>、本报告中对于未来房地产市场发展趋势的分析、判断，是估价人员基于</w:t>
      </w:r>
      <w:r>
        <w:rPr>
          <w:rFonts w:hint="eastAsia" w:ascii="仿宋" w:hAnsi="仿宋" w:eastAsia="仿宋"/>
          <w:snapToGrid w:val="0"/>
          <w:sz w:val="28"/>
          <w:szCs w:val="28"/>
          <w:highlight w:val="none"/>
          <w:lang w:eastAsia="zh-CN"/>
        </w:rPr>
        <w:t>价值时点</w:t>
      </w:r>
      <w:r>
        <w:rPr>
          <w:rFonts w:hint="eastAsia" w:ascii="仿宋" w:hAnsi="仿宋" w:eastAsia="仿宋"/>
          <w:snapToGrid w:val="0"/>
          <w:sz w:val="28"/>
          <w:szCs w:val="28"/>
          <w:highlight w:val="none"/>
        </w:rPr>
        <w:t>的房地产市场状况作出的，估价结果为</w:t>
      </w:r>
      <w:r>
        <w:rPr>
          <w:rFonts w:hint="eastAsia" w:ascii="仿宋" w:hAnsi="仿宋" w:eastAsia="仿宋"/>
          <w:snapToGrid w:val="0"/>
          <w:sz w:val="28"/>
          <w:szCs w:val="28"/>
          <w:highlight w:val="none"/>
          <w:lang w:eastAsia="zh-CN"/>
        </w:rPr>
        <w:t>价值时点</w:t>
      </w:r>
      <w:r>
        <w:rPr>
          <w:rFonts w:hint="eastAsia" w:ascii="仿宋" w:hAnsi="仿宋" w:eastAsia="仿宋"/>
          <w:snapToGrid w:val="0"/>
          <w:sz w:val="28"/>
          <w:szCs w:val="28"/>
          <w:highlight w:val="none"/>
        </w:rPr>
        <w:t>下估价对象土地在现状规划条件、建筑物在现状利用条件下的房地产正常市场</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，如估价对象规划用途、面积或建筑物使用状况发生变化，估价结果需要做相应的调整直至重新估价。</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10</w:t>
      </w:r>
      <w:r>
        <w:rPr>
          <w:rFonts w:hint="eastAsia" w:ascii="仿宋" w:hAnsi="仿宋" w:eastAsia="仿宋"/>
          <w:snapToGrid w:val="0"/>
          <w:sz w:val="28"/>
          <w:szCs w:val="28"/>
          <w:highlight w:val="none"/>
        </w:rPr>
        <w:t>、本报告未考虑国家经济政策等发生变化或其他不可抗力时对估价对象的</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影响。估价对象在处置过程中，可能存在操作、法律、道德等方面无法预测的风险，对估价对象处置及交易过户等均可能产生一定的影响，从而可能对估价对象的处置</w:t>
      </w:r>
      <w:r>
        <w:rPr>
          <w:rFonts w:hint="eastAsia" w:ascii="仿宋" w:hAnsi="仿宋" w:eastAsia="仿宋"/>
          <w:snapToGrid w:val="0"/>
          <w:sz w:val="28"/>
          <w:szCs w:val="28"/>
          <w:highlight w:val="none"/>
          <w:lang w:eastAsia="zh-CN"/>
        </w:rPr>
        <w:t>价格</w:t>
      </w:r>
      <w:r>
        <w:rPr>
          <w:rFonts w:hint="eastAsia" w:ascii="仿宋" w:hAnsi="仿宋" w:eastAsia="仿宋"/>
          <w:snapToGrid w:val="0"/>
          <w:sz w:val="28"/>
          <w:szCs w:val="28"/>
          <w:highlight w:val="none"/>
        </w:rPr>
        <w:t>产生减损作用，我司无法对此作出判断，特提醒报告使用人注意。</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11</w:t>
      </w:r>
      <w:r>
        <w:rPr>
          <w:rFonts w:hint="eastAsia" w:ascii="仿宋" w:hAnsi="仿宋" w:eastAsia="仿宋"/>
          <w:snapToGrid w:val="0"/>
          <w:sz w:val="28"/>
          <w:szCs w:val="28"/>
          <w:highlight w:val="none"/>
        </w:rPr>
        <w:t>、本报告仅针对委托人估价目的做出估价，不对其他用途负责。</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12</w:t>
      </w:r>
      <w:r>
        <w:rPr>
          <w:rFonts w:hint="eastAsia" w:ascii="仿宋" w:hAnsi="仿宋" w:eastAsia="仿宋"/>
          <w:snapToGrid w:val="0"/>
          <w:sz w:val="28"/>
          <w:szCs w:val="28"/>
          <w:highlight w:val="none"/>
        </w:rPr>
        <w:t>、如无特别说明，本估价报告中所使用的货币均为人民币。</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13</w:t>
      </w:r>
      <w:r>
        <w:rPr>
          <w:rFonts w:hint="eastAsia" w:ascii="仿宋" w:hAnsi="仿宋" w:eastAsia="仿宋"/>
          <w:snapToGrid w:val="0"/>
          <w:sz w:val="28"/>
          <w:szCs w:val="28"/>
          <w:highlight w:val="none"/>
        </w:rPr>
        <w:t>、本估价报告不作为估价对象权属确认的依据。</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14</w:t>
      </w:r>
      <w:r>
        <w:rPr>
          <w:rFonts w:hint="eastAsia" w:ascii="仿宋" w:hAnsi="仿宋" w:eastAsia="仿宋"/>
          <w:snapToGrid w:val="0"/>
          <w:sz w:val="28"/>
          <w:szCs w:val="28"/>
          <w:highlight w:val="none"/>
        </w:rPr>
        <w:t>、本报告必须完整使用方为有效，本估价报告含若干附件，与报告书正文具同等法律效力，不可分割对待。对使用本报告中的部分内容导致的可能发生的损失，受托机构不承担责任。同时未经我公司书面同意，本估价报告全部或部分内容不得公开发表，也不得向相关登记或备案部门以外的单位或个人提供。</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snapToGrid w:val="0"/>
          <w:sz w:val="28"/>
          <w:szCs w:val="28"/>
          <w:highlight w:val="none"/>
        </w:rPr>
      </w:pPr>
      <w:r>
        <w:rPr>
          <w:rFonts w:hint="eastAsia" w:ascii="仿宋" w:hAnsi="仿宋" w:eastAsia="仿宋"/>
          <w:snapToGrid w:val="0"/>
          <w:sz w:val="28"/>
          <w:szCs w:val="28"/>
          <w:highlight w:val="none"/>
          <w:lang w:val="en-US" w:eastAsia="zh-CN"/>
        </w:rPr>
        <w:t>15</w:t>
      </w:r>
      <w:r>
        <w:rPr>
          <w:rFonts w:hint="eastAsia" w:ascii="仿宋" w:hAnsi="仿宋" w:eastAsia="仿宋"/>
          <w:snapToGrid w:val="0"/>
          <w:sz w:val="28"/>
          <w:szCs w:val="28"/>
          <w:highlight w:val="none"/>
        </w:rPr>
        <w:t>、本次估价是基于上述假设和限制条件成立的，如以上假设和限制条件发生变化，本报告结果必须作相应调整。</w:t>
      </w:r>
    </w:p>
    <w:p>
      <w:pPr>
        <w:adjustRightInd w:val="0"/>
        <w:snapToGrid w:val="0"/>
        <w:spacing w:line="360" w:lineRule="auto"/>
        <w:ind w:firstLine="491" w:firstLineChars="146"/>
        <w:rPr>
          <w:rFonts w:ascii="宋体" w:hAnsi="宋体"/>
          <w:snapToGrid w:val="0"/>
          <w:kern w:val="0"/>
          <w:sz w:val="28"/>
          <w:szCs w:val="28"/>
          <w:highlight w:val="none"/>
        </w:rPr>
      </w:pPr>
    </w:p>
    <w:p>
      <w:pPr>
        <w:rPr>
          <w:highlight w:val="none"/>
        </w:rPr>
      </w:pPr>
      <w:bookmarkStart w:id="15" w:name="_Toc17960849"/>
      <w:r>
        <w:rPr>
          <w:highlight w:val="none"/>
        </w:rPr>
        <w:br w:type="page"/>
      </w:r>
    </w:p>
    <w:p>
      <w:pPr>
        <w:pStyle w:val="3"/>
        <w:keepLines/>
        <w:rPr>
          <w:rFonts w:ascii="黑体" w:hAnsi="黑体" w:eastAsia="黑体" w:cs="黑体"/>
          <w:bCs/>
          <w:snapToGrid w:val="0"/>
          <w:kern w:val="0"/>
          <w:sz w:val="44"/>
          <w:szCs w:val="44"/>
          <w:highlight w:val="none"/>
        </w:rPr>
      </w:pPr>
      <w:bookmarkStart w:id="16" w:name="_Toc31426"/>
      <w:r>
        <w:rPr>
          <w:rFonts w:hint="eastAsia" w:ascii="黑体" w:hAnsi="黑体" w:eastAsia="黑体" w:cs="黑体"/>
          <w:bCs/>
          <w:snapToGrid w:val="0"/>
          <w:kern w:val="0"/>
          <w:sz w:val="44"/>
          <w:szCs w:val="44"/>
          <w:highlight w:val="none"/>
        </w:rPr>
        <w:t>估价结果报告</w:t>
      </w:r>
      <w:bookmarkEnd w:id="15"/>
      <w:bookmarkEnd w:id="16"/>
    </w:p>
    <w:p>
      <w:pPr>
        <w:rPr>
          <w:highlight w:val="none"/>
        </w:rPr>
      </w:pPr>
    </w:p>
    <w:p>
      <w:pPr>
        <w:pStyle w:val="2"/>
        <w:pageBreakBefore w:val="0"/>
        <w:widowControl w:val="0"/>
        <w:kinsoku/>
        <w:wordWrap/>
        <w:overflowPunct/>
        <w:topLinePunct w:val="0"/>
        <w:autoSpaceDE/>
        <w:autoSpaceDN/>
        <w:bidi w:val="0"/>
        <w:adjustRightInd/>
        <w:snapToGrid/>
        <w:spacing w:before="0" w:after="0" w:line="500" w:lineRule="exact"/>
        <w:textAlignment w:val="auto"/>
        <w:rPr>
          <w:rFonts w:ascii="黑体" w:hAnsi="黑体" w:cs="黑体"/>
          <w:snapToGrid w:val="0"/>
          <w:kern w:val="0"/>
          <w:sz w:val="30"/>
          <w:szCs w:val="30"/>
          <w:highlight w:val="none"/>
        </w:rPr>
      </w:pPr>
      <w:bookmarkStart w:id="17" w:name="_Toc1826"/>
      <w:bookmarkStart w:id="18" w:name="_Toc17960850"/>
      <w:r>
        <w:rPr>
          <w:rFonts w:hint="eastAsia" w:ascii="黑体" w:hAnsi="黑体" w:cs="黑体"/>
          <w:snapToGrid w:val="0"/>
          <w:kern w:val="0"/>
          <w:sz w:val="30"/>
          <w:szCs w:val="30"/>
          <w:highlight w:val="none"/>
        </w:rPr>
        <w:t>（一）估价委托人</w:t>
      </w:r>
      <w:bookmarkEnd w:id="17"/>
      <w:bookmarkEnd w:id="18"/>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hint="eastAsia" w:ascii="仿宋" w:hAnsi="仿宋" w:eastAsia="仿宋" w:cs="仿宋"/>
          <w:spacing w:val="-20"/>
          <w:sz w:val="28"/>
          <w:szCs w:val="28"/>
          <w:highlight w:val="none"/>
          <w:lang w:eastAsia="zh-CN"/>
        </w:rPr>
      </w:pPr>
      <w:bookmarkStart w:id="19" w:name="_Toc17960851"/>
      <w:r>
        <w:rPr>
          <w:rFonts w:hint="eastAsia" w:ascii="仿宋" w:hAnsi="仿宋" w:eastAsia="仿宋" w:cs="仿宋"/>
          <w:spacing w:val="-20"/>
          <w:sz w:val="28"/>
          <w:szCs w:val="28"/>
          <w:highlight w:val="none"/>
        </w:rPr>
        <w:t>名    称：</w:t>
      </w:r>
      <w:r>
        <w:rPr>
          <w:rFonts w:hint="eastAsia" w:ascii="仿宋" w:hAnsi="仿宋" w:eastAsia="仿宋" w:cs="仿宋"/>
          <w:spacing w:val="-20"/>
          <w:sz w:val="28"/>
          <w:szCs w:val="28"/>
          <w:highlight w:val="none"/>
          <w:lang w:eastAsia="zh-CN"/>
        </w:rPr>
        <w:t>三穗县人民法院</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hint="eastAsia" w:ascii="仿宋" w:hAnsi="仿宋" w:eastAsia="仿宋" w:cs="仿宋"/>
          <w:spacing w:val="-20"/>
          <w:sz w:val="28"/>
          <w:szCs w:val="28"/>
          <w:highlight w:val="none"/>
          <w:lang w:eastAsia="zh-CN"/>
        </w:rPr>
      </w:pPr>
      <w:r>
        <w:rPr>
          <w:rFonts w:hint="eastAsia" w:ascii="仿宋" w:hAnsi="仿宋" w:eastAsia="仿宋" w:cs="仿宋"/>
          <w:spacing w:val="-20"/>
          <w:sz w:val="28"/>
          <w:szCs w:val="28"/>
          <w:highlight w:val="none"/>
          <w:lang w:eastAsia="zh-CN"/>
        </w:rPr>
        <w:t>地</w:t>
      </w:r>
      <w:r>
        <w:rPr>
          <w:rFonts w:hint="eastAsia" w:ascii="仿宋" w:hAnsi="仿宋" w:eastAsia="仿宋" w:cs="仿宋"/>
          <w:spacing w:val="-20"/>
          <w:sz w:val="28"/>
          <w:szCs w:val="28"/>
          <w:highlight w:val="none"/>
          <w:lang w:val="en-US" w:eastAsia="zh-CN"/>
        </w:rPr>
        <w:t xml:space="preserve">    </w:t>
      </w:r>
      <w:r>
        <w:rPr>
          <w:rFonts w:hint="eastAsia" w:ascii="仿宋" w:hAnsi="仿宋" w:eastAsia="仿宋" w:cs="仿宋"/>
          <w:spacing w:val="-20"/>
          <w:sz w:val="28"/>
          <w:szCs w:val="28"/>
          <w:highlight w:val="none"/>
          <w:lang w:eastAsia="zh-CN"/>
        </w:rPr>
        <w:t>址</w:t>
      </w:r>
      <w:r>
        <w:rPr>
          <w:rFonts w:hint="eastAsia" w:ascii="仿宋" w:hAnsi="仿宋" w:eastAsia="仿宋" w:cs="仿宋"/>
          <w:spacing w:val="-20"/>
          <w:sz w:val="28"/>
          <w:szCs w:val="28"/>
          <w:highlight w:val="none"/>
        </w:rPr>
        <w:t>：贵州省黔东南苗族侗族自治州三穗县迎宾大道西侧</w:t>
      </w:r>
    </w:p>
    <w:p>
      <w:pPr>
        <w:pStyle w:val="2"/>
        <w:pageBreakBefore w:val="0"/>
        <w:widowControl w:val="0"/>
        <w:kinsoku/>
        <w:wordWrap/>
        <w:overflowPunct/>
        <w:topLinePunct w:val="0"/>
        <w:autoSpaceDE/>
        <w:autoSpaceDN/>
        <w:bidi w:val="0"/>
        <w:adjustRightInd/>
        <w:snapToGrid/>
        <w:spacing w:before="0" w:after="0" w:line="500" w:lineRule="exact"/>
        <w:textAlignment w:val="auto"/>
        <w:rPr>
          <w:rFonts w:ascii="黑体" w:hAnsi="黑体" w:cs="黑体"/>
          <w:snapToGrid w:val="0"/>
          <w:kern w:val="0"/>
          <w:sz w:val="30"/>
          <w:szCs w:val="30"/>
          <w:highlight w:val="none"/>
        </w:rPr>
      </w:pPr>
      <w:bookmarkStart w:id="20" w:name="_Toc22519"/>
      <w:r>
        <w:rPr>
          <w:rFonts w:hint="eastAsia" w:ascii="黑体" w:hAnsi="黑体" w:cs="黑体"/>
          <w:snapToGrid w:val="0"/>
          <w:kern w:val="0"/>
          <w:sz w:val="30"/>
          <w:szCs w:val="30"/>
          <w:highlight w:val="none"/>
        </w:rPr>
        <w:t>（二）估价机构</w:t>
      </w:r>
      <w:bookmarkEnd w:id="19"/>
      <w:bookmarkEnd w:id="20"/>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bookmarkStart w:id="21" w:name="_Toc17960852"/>
      <w:r>
        <w:rPr>
          <w:rFonts w:hint="eastAsia" w:ascii="仿宋" w:hAnsi="仿宋" w:eastAsia="仿宋" w:cs="仿宋"/>
          <w:spacing w:val="-20"/>
          <w:sz w:val="28"/>
          <w:szCs w:val="28"/>
          <w:highlight w:val="none"/>
        </w:rPr>
        <w:t>深圳市国咨土地房地产资产评估有限公司</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法定代表人：龚伟平</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资质等级：国家一级房地产价格评估机构</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证书编号：粤房估备字壹0200039</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地    址：深圳市福田区国际科技大厦31楼</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电    话：0755-82379666</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贵州分公司负责人：卞晓红</w:t>
      </w:r>
    </w:p>
    <w:p>
      <w:pPr>
        <w:pageBreakBefore w:val="0"/>
        <w:widowControl w:val="0"/>
        <w:kinsoku/>
        <w:wordWrap/>
        <w:overflowPunct/>
        <w:topLinePunct w:val="0"/>
        <w:autoSpaceDE/>
        <w:autoSpaceDN/>
        <w:bidi w:val="0"/>
        <w:adjustRightInd/>
        <w:snapToGrid/>
        <w:spacing w:line="520" w:lineRule="atLeast"/>
        <w:ind w:firstLine="594" w:firstLineChars="200"/>
        <w:jc w:val="left"/>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贵州分公司地址：贵阳市高新区西部研发基地4号楼17层</w:t>
      </w:r>
      <w:r>
        <w:rPr>
          <w:rFonts w:hint="eastAsia" w:ascii="仿宋" w:hAnsi="仿宋" w:eastAsia="仿宋" w:cs="仿宋"/>
          <w:spacing w:val="-20"/>
          <w:sz w:val="28"/>
          <w:szCs w:val="28"/>
          <w:highlight w:val="none"/>
          <w:lang w:val="en-US" w:eastAsia="zh-CN"/>
        </w:rPr>
        <w:t>4</w:t>
      </w:r>
      <w:r>
        <w:rPr>
          <w:rFonts w:hint="eastAsia" w:ascii="仿宋" w:hAnsi="仿宋" w:eastAsia="仿宋" w:cs="仿宋"/>
          <w:spacing w:val="-20"/>
          <w:sz w:val="28"/>
          <w:szCs w:val="28"/>
          <w:highlight w:val="none"/>
        </w:rPr>
        <w:t>号</w:t>
      </w:r>
    </w:p>
    <w:p>
      <w:pPr>
        <w:pageBreakBefore w:val="0"/>
        <w:widowControl w:val="0"/>
        <w:kinsoku/>
        <w:wordWrap/>
        <w:overflowPunct/>
        <w:topLinePunct w:val="0"/>
        <w:autoSpaceDE/>
        <w:autoSpaceDN/>
        <w:bidi w:val="0"/>
        <w:adjustRightInd/>
        <w:snapToGrid/>
        <w:spacing w:line="520" w:lineRule="atLeast"/>
        <w:ind w:firstLine="594" w:firstLineChars="200"/>
        <w:textAlignment w:val="auto"/>
        <w:rPr>
          <w:rFonts w:ascii="仿宋" w:hAnsi="仿宋" w:eastAsia="仿宋" w:cs="仿宋"/>
          <w:spacing w:val="-20"/>
          <w:sz w:val="28"/>
          <w:szCs w:val="28"/>
          <w:highlight w:val="none"/>
        </w:rPr>
      </w:pPr>
      <w:r>
        <w:rPr>
          <w:rFonts w:hint="eastAsia" w:ascii="仿宋" w:hAnsi="仿宋" w:eastAsia="仿宋" w:cs="仿宋"/>
          <w:spacing w:val="-20"/>
          <w:sz w:val="28"/>
          <w:szCs w:val="28"/>
          <w:highlight w:val="none"/>
        </w:rPr>
        <w:t>电    话：0851-84844442</w:t>
      </w:r>
    </w:p>
    <w:p>
      <w:pPr>
        <w:pStyle w:val="2"/>
        <w:pageBreakBefore w:val="0"/>
        <w:widowControl w:val="0"/>
        <w:kinsoku/>
        <w:wordWrap/>
        <w:overflowPunct/>
        <w:topLinePunct w:val="0"/>
        <w:autoSpaceDE/>
        <w:autoSpaceDN/>
        <w:bidi w:val="0"/>
        <w:adjustRightInd/>
        <w:snapToGrid/>
        <w:spacing w:before="0" w:after="0" w:line="500" w:lineRule="exact"/>
        <w:textAlignment w:val="auto"/>
        <w:rPr>
          <w:rFonts w:ascii="黑体" w:hAnsi="黑体" w:cs="黑体"/>
          <w:snapToGrid w:val="0"/>
          <w:kern w:val="0"/>
          <w:sz w:val="30"/>
          <w:szCs w:val="30"/>
          <w:highlight w:val="none"/>
        </w:rPr>
      </w:pPr>
      <w:bookmarkStart w:id="22" w:name="_Toc23433"/>
      <w:r>
        <w:rPr>
          <w:rFonts w:hint="eastAsia" w:ascii="黑体" w:hAnsi="黑体" w:cs="黑体"/>
          <w:snapToGrid w:val="0"/>
          <w:kern w:val="0"/>
          <w:sz w:val="30"/>
          <w:szCs w:val="30"/>
          <w:highlight w:val="none"/>
        </w:rPr>
        <w:t>（三）估价对象</w:t>
      </w:r>
      <w:bookmarkEnd w:id="21"/>
      <w:bookmarkEnd w:id="22"/>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bookmarkStart w:id="23" w:name="_Toc17960853"/>
      <w:r>
        <w:rPr>
          <w:rFonts w:hint="eastAsia" w:ascii="仿宋" w:hAnsi="仿宋" w:eastAsia="仿宋" w:cs="仿宋"/>
          <w:snapToGrid w:val="0"/>
          <w:kern w:val="0"/>
          <w:sz w:val="28"/>
          <w:szCs w:val="28"/>
          <w:highlight w:val="none"/>
          <w:lang w:val="en-US" w:eastAsia="zh-CN"/>
        </w:rPr>
        <w:t>1、估价对象区位状况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1</w:t>
      </w:r>
      <w:r>
        <w:rPr>
          <w:rFonts w:hint="eastAsia" w:ascii="仿宋" w:hAnsi="仿宋" w:eastAsia="仿宋" w:cs="仿宋"/>
          <w:snapToGrid w:val="0"/>
          <w:kern w:val="0"/>
          <w:sz w:val="28"/>
          <w:szCs w:val="28"/>
          <w:highlight w:val="none"/>
          <w:lang w:eastAsia="zh-CN"/>
        </w:rPr>
        <w:t>）估价对象位置状况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估价对象位于贵州省三穗县三穗县八弓镇胜利村一小背后，</w:t>
      </w:r>
      <w:r>
        <w:rPr>
          <w:rFonts w:hint="eastAsia" w:ascii="仿宋" w:hAnsi="仿宋" w:eastAsia="仿宋" w:cs="仿宋"/>
          <w:snapToGrid w:val="0"/>
          <w:kern w:val="0"/>
          <w:sz w:val="28"/>
          <w:szCs w:val="28"/>
          <w:highlight w:val="none"/>
          <w:lang w:val="en-US" w:eastAsia="zh-CN"/>
        </w:rPr>
        <w:t>估价对象</w:t>
      </w:r>
      <w:r>
        <w:rPr>
          <w:rFonts w:hint="eastAsia" w:ascii="仿宋" w:hAnsi="仿宋" w:eastAsia="仿宋" w:cs="仿宋"/>
          <w:snapToGrid w:val="0"/>
          <w:kern w:val="0"/>
          <w:sz w:val="28"/>
          <w:szCs w:val="28"/>
          <w:highlight w:val="none"/>
          <w:lang w:eastAsia="zh-CN"/>
        </w:rPr>
        <w:t>地理位置、交通便捷度、繁华程度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周边配套</w:t>
      </w:r>
      <w:r>
        <w:rPr>
          <w:rFonts w:hint="eastAsia" w:ascii="仿宋" w:hAnsi="仿宋" w:eastAsia="仿宋" w:cs="仿宋"/>
          <w:snapToGrid w:val="0"/>
          <w:kern w:val="0"/>
          <w:sz w:val="28"/>
          <w:szCs w:val="28"/>
          <w:highlight w:val="none"/>
          <w:lang w:val="en-US" w:eastAsia="zh-CN"/>
        </w:rPr>
        <w:t>较完善</w:t>
      </w:r>
      <w:r>
        <w:rPr>
          <w:rFonts w:hint="eastAsia" w:ascii="仿宋" w:hAnsi="仿宋" w:eastAsia="仿宋" w:cs="仿宋"/>
          <w:snapToGrid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2</w:t>
      </w:r>
      <w:r>
        <w:rPr>
          <w:rFonts w:hint="eastAsia" w:ascii="仿宋" w:hAnsi="仿宋" w:eastAsia="仿宋" w:cs="仿宋"/>
          <w:snapToGrid w:val="0"/>
          <w:kern w:val="0"/>
          <w:sz w:val="28"/>
          <w:szCs w:val="28"/>
          <w:highlight w:val="none"/>
          <w:lang w:eastAsia="zh-CN"/>
        </w:rPr>
        <w:t>）估价对象交通状况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估价对象位于贵州省三穗县三穗县八弓镇胜利村一小背后，附近有三穗3路、三穗1路</w:t>
      </w:r>
      <w:r>
        <w:rPr>
          <w:rFonts w:hint="eastAsia" w:ascii="仿宋" w:hAnsi="仿宋" w:eastAsia="仿宋" w:cs="仿宋"/>
          <w:snapToGrid w:val="0"/>
          <w:color w:val="auto"/>
          <w:kern w:val="0"/>
          <w:sz w:val="28"/>
          <w:szCs w:val="28"/>
          <w:highlight w:val="none"/>
          <w:lang w:val="en-US" w:eastAsia="zh-CN"/>
        </w:rPr>
        <w:t>公交车</w:t>
      </w:r>
      <w:r>
        <w:rPr>
          <w:rFonts w:hint="eastAsia" w:ascii="仿宋" w:hAnsi="仿宋" w:eastAsia="仿宋" w:cs="仿宋"/>
          <w:snapToGrid w:val="0"/>
          <w:kern w:val="0"/>
          <w:sz w:val="28"/>
          <w:szCs w:val="28"/>
          <w:highlight w:val="none"/>
          <w:lang w:eastAsia="zh-CN"/>
        </w:rPr>
        <w:t>，交通</w:t>
      </w:r>
      <w:r>
        <w:rPr>
          <w:rFonts w:hint="eastAsia" w:ascii="仿宋" w:hAnsi="仿宋" w:eastAsia="仿宋" w:cs="仿宋"/>
          <w:snapToGrid w:val="0"/>
          <w:kern w:val="0"/>
          <w:sz w:val="28"/>
          <w:szCs w:val="28"/>
          <w:highlight w:val="none"/>
          <w:lang w:val="en-US" w:eastAsia="zh-CN"/>
        </w:rPr>
        <w:t>条件</w:t>
      </w:r>
      <w:r>
        <w:rPr>
          <w:rFonts w:hint="eastAsia" w:ascii="仿宋" w:hAnsi="仿宋" w:eastAsia="仿宋" w:cs="仿宋"/>
          <w:snapToGrid w:val="0"/>
          <w:kern w:val="0"/>
          <w:sz w:val="28"/>
          <w:szCs w:val="28"/>
          <w:highlight w:val="none"/>
          <w:lang w:eastAsia="zh-CN"/>
        </w:rPr>
        <w:t>一般。</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3</w:t>
      </w:r>
      <w:r>
        <w:rPr>
          <w:rFonts w:hint="eastAsia" w:ascii="仿宋" w:hAnsi="仿宋" w:eastAsia="仿宋" w:cs="仿宋"/>
          <w:snapToGrid w:val="0"/>
          <w:kern w:val="0"/>
          <w:sz w:val="28"/>
          <w:szCs w:val="28"/>
          <w:highlight w:val="none"/>
          <w:lang w:eastAsia="zh-CN"/>
        </w:rPr>
        <w:t>）公共配套设施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①基础设施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估价对象基础设施已达到“</w:t>
      </w:r>
      <w:r>
        <w:rPr>
          <w:rFonts w:hint="eastAsia" w:ascii="仿宋" w:hAnsi="仿宋" w:eastAsia="仿宋" w:cs="仿宋"/>
          <w:snapToGrid w:val="0"/>
          <w:kern w:val="0"/>
          <w:sz w:val="28"/>
          <w:szCs w:val="28"/>
          <w:highlight w:val="none"/>
          <w:lang w:val="en-US" w:eastAsia="zh-CN"/>
        </w:rPr>
        <w:t>五</w:t>
      </w:r>
      <w:r>
        <w:rPr>
          <w:rFonts w:hint="eastAsia" w:ascii="仿宋" w:hAnsi="仿宋" w:eastAsia="仿宋" w:cs="仿宋"/>
          <w:snapToGrid w:val="0"/>
          <w:kern w:val="0"/>
          <w:sz w:val="28"/>
          <w:szCs w:val="28"/>
          <w:highlight w:val="none"/>
          <w:lang w:eastAsia="zh-CN"/>
        </w:rPr>
        <w:t>通”（即通电、通路、通讯、通上水、通下水），且保证率较高，基础设施完善。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②公共服务设施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估价对象位于贵州省三穗县三穗县八弓镇胜利村一小背后，附近有三穗县民族高级中学、三穗县八弓镇中心小学、三穗县人民医院、三穗县中医医院三穗县湘黔医院、中国邮政银行、中国人民银行、</w:t>
      </w:r>
      <w:r>
        <w:rPr>
          <w:rFonts w:hint="eastAsia" w:ascii="仿宋" w:hAnsi="仿宋" w:eastAsia="仿宋" w:cs="仿宋"/>
          <w:snapToGrid w:val="0"/>
          <w:kern w:val="0"/>
          <w:sz w:val="28"/>
          <w:szCs w:val="28"/>
          <w:highlight w:val="none"/>
          <w:lang w:val="en-US" w:eastAsia="zh-CN"/>
        </w:rPr>
        <w:t>宏鑫超市（惠购百货店）、</w:t>
      </w:r>
      <w:r>
        <w:rPr>
          <w:rFonts w:hint="eastAsia" w:ascii="仿宋" w:hAnsi="仿宋" w:eastAsia="仿宋" w:cs="仿宋"/>
          <w:snapToGrid w:val="0"/>
          <w:kern w:val="0"/>
          <w:sz w:val="28"/>
          <w:szCs w:val="28"/>
          <w:highlight w:val="none"/>
          <w:lang w:eastAsia="zh-CN"/>
        </w:rPr>
        <w:t>酒店、餐饮等生活配套设施，</w:t>
      </w:r>
      <w:r>
        <w:rPr>
          <w:rFonts w:hint="eastAsia" w:ascii="仿宋" w:hAnsi="仿宋" w:eastAsia="仿宋" w:cs="仿宋"/>
          <w:snapToGrid w:val="0"/>
          <w:kern w:val="0"/>
          <w:sz w:val="28"/>
          <w:szCs w:val="28"/>
          <w:highlight w:val="none"/>
          <w:lang w:val="en-US" w:eastAsia="zh-CN"/>
        </w:rPr>
        <w:t>公共服务</w:t>
      </w:r>
      <w:r>
        <w:rPr>
          <w:rFonts w:hint="eastAsia" w:ascii="仿宋" w:hAnsi="仿宋" w:eastAsia="仿宋" w:cs="仿宋"/>
          <w:snapToGrid w:val="0"/>
          <w:kern w:val="0"/>
          <w:sz w:val="28"/>
          <w:szCs w:val="28"/>
          <w:highlight w:val="none"/>
          <w:lang w:eastAsia="zh-CN"/>
        </w:rPr>
        <w:t>设施较完善。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（4）周边环境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eastAsia="zh-CN"/>
        </w:rPr>
        <w:t>估价对象周边</w:t>
      </w:r>
      <w:r>
        <w:rPr>
          <w:rFonts w:hint="eastAsia" w:ascii="仿宋" w:hAnsi="仿宋" w:eastAsia="仿宋" w:cs="仿宋"/>
          <w:snapToGrid w:val="0"/>
          <w:kern w:val="0"/>
          <w:sz w:val="28"/>
          <w:szCs w:val="28"/>
          <w:highlight w:val="none"/>
          <w:lang w:val="en-US" w:eastAsia="zh-CN"/>
        </w:rPr>
        <w:t>多为住宅小区，</w:t>
      </w:r>
      <w:r>
        <w:rPr>
          <w:rFonts w:hint="eastAsia" w:ascii="仿宋" w:hAnsi="仿宋" w:eastAsia="仿宋" w:cs="仿宋"/>
          <w:snapToGrid w:val="0"/>
          <w:kern w:val="0"/>
          <w:sz w:val="28"/>
          <w:szCs w:val="28"/>
          <w:highlight w:val="none"/>
          <w:lang w:eastAsia="zh-CN"/>
        </w:rPr>
        <w:t>自然环境</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人文环境</w:t>
      </w:r>
      <w:r>
        <w:rPr>
          <w:rFonts w:hint="eastAsia" w:ascii="仿宋" w:hAnsi="仿宋" w:eastAsia="仿宋" w:cs="仿宋"/>
          <w:snapToGrid w:val="0"/>
          <w:kern w:val="0"/>
          <w:sz w:val="28"/>
          <w:szCs w:val="28"/>
          <w:highlight w:val="none"/>
          <w:lang w:val="en-US" w:eastAsia="zh-CN"/>
        </w:rPr>
        <w:t>较优，</w:t>
      </w:r>
      <w:r>
        <w:rPr>
          <w:rFonts w:hint="eastAsia" w:ascii="仿宋" w:hAnsi="仿宋" w:eastAsia="仿宋" w:cs="仿宋"/>
          <w:snapToGrid w:val="0"/>
          <w:kern w:val="0"/>
          <w:sz w:val="28"/>
          <w:szCs w:val="28"/>
          <w:highlight w:val="none"/>
          <w:lang w:eastAsia="zh-CN"/>
        </w:rPr>
        <w:t>空气</w:t>
      </w:r>
      <w:r>
        <w:rPr>
          <w:rFonts w:hint="eastAsia" w:ascii="仿宋" w:hAnsi="仿宋" w:eastAsia="仿宋" w:cs="仿宋"/>
          <w:snapToGrid w:val="0"/>
          <w:kern w:val="0"/>
          <w:sz w:val="28"/>
          <w:szCs w:val="28"/>
          <w:highlight w:val="none"/>
          <w:lang w:val="en-US" w:eastAsia="zh-CN"/>
        </w:rPr>
        <w:t>质量良好，</w:t>
      </w:r>
      <w:r>
        <w:rPr>
          <w:rFonts w:hint="eastAsia" w:ascii="仿宋" w:hAnsi="仿宋" w:eastAsia="仿宋" w:cs="仿宋"/>
          <w:snapToGrid w:val="0"/>
          <w:kern w:val="0"/>
          <w:sz w:val="28"/>
          <w:szCs w:val="28"/>
          <w:highlight w:val="none"/>
          <w:lang w:eastAsia="zh-CN"/>
        </w:rPr>
        <w:t>噪声污染</w:t>
      </w:r>
      <w:r>
        <w:rPr>
          <w:rFonts w:hint="eastAsia" w:ascii="仿宋" w:hAnsi="仿宋" w:eastAsia="仿宋" w:cs="仿宋"/>
          <w:snapToGrid w:val="0"/>
          <w:kern w:val="0"/>
          <w:sz w:val="28"/>
          <w:szCs w:val="28"/>
          <w:highlight w:val="none"/>
          <w:lang w:val="en-US" w:eastAsia="zh-CN"/>
        </w:rPr>
        <w:t>较小</w:t>
      </w:r>
      <w:r>
        <w:rPr>
          <w:rFonts w:hint="eastAsia" w:ascii="仿宋" w:hAnsi="仿宋" w:eastAsia="仿宋" w:cs="仿宋"/>
          <w:snapToGrid w:val="0"/>
          <w:kern w:val="0"/>
          <w:sz w:val="28"/>
          <w:szCs w:val="28"/>
          <w:highlight w:val="none"/>
          <w:lang w:eastAsia="zh-CN"/>
        </w:rPr>
        <w:t>，治安状况</w:t>
      </w:r>
      <w:r>
        <w:rPr>
          <w:rFonts w:hint="eastAsia" w:ascii="仿宋" w:hAnsi="仿宋" w:eastAsia="仿宋" w:cs="仿宋"/>
          <w:snapToGrid w:val="0"/>
          <w:kern w:val="0"/>
          <w:sz w:val="28"/>
          <w:szCs w:val="28"/>
          <w:highlight w:val="none"/>
          <w:lang w:val="en-US" w:eastAsia="zh-CN"/>
        </w:rPr>
        <w:t>良好。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（5）估价对象区位状况及优劣分析</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yellow"/>
          <w:lang w:val="en-US" w:eastAsia="zh-CN"/>
        </w:rPr>
      </w:pPr>
      <w:r>
        <w:rPr>
          <w:rFonts w:hint="eastAsia" w:ascii="仿宋" w:hAnsi="仿宋" w:eastAsia="仿宋" w:cs="仿宋"/>
          <w:snapToGrid w:val="0"/>
          <w:kern w:val="0"/>
          <w:sz w:val="28"/>
          <w:szCs w:val="28"/>
          <w:highlight w:val="none"/>
          <w:lang w:eastAsia="zh-CN"/>
        </w:rPr>
        <w:t>综上描述，估价对象的公共配套设施</w:t>
      </w:r>
      <w:r>
        <w:rPr>
          <w:rFonts w:hint="eastAsia" w:ascii="仿宋" w:hAnsi="仿宋" w:eastAsia="仿宋" w:cs="仿宋"/>
          <w:snapToGrid w:val="0"/>
          <w:kern w:val="0"/>
          <w:sz w:val="28"/>
          <w:szCs w:val="28"/>
          <w:highlight w:val="none"/>
          <w:lang w:val="en-US" w:eastAsia="zh-CN"/>
        </w:rPr>
        <w:t>较</w:t>
      </w:r>
      <w:r>
        <w:rPr>
          <w:rFonts w:hint="eastAsia" w:ascii="仿宋" w:hAnsi="仿宋" w:eastAsia="仿宋" w:cs="仿宋"/>
          <w:snapToGrid w:val="0"/>
          <w:kern w:val="0"/>
          <w:sz w:val="28"/>
          <w:szCs w:val="28"/>
          <w:highlight w:val="none"/>
          <w:lang w:eastAsia="zh-CN"/>
        </w:rPr>
        <w:t>完善，整体区位状况</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房地产价格的保值和增值</w:t>
      </w:r>
      <w:r>
        <w:rPr>
          <w:rFonts w:hint="eastAsia" w:ascii="仿宋" w:hAnsi="仿宋" w:eastAsia="仿宋" w:cs="仿宋"/>
          <w:snapToGrid w:val="0"/>
          <w:kern w:val="0"/>
          <w:sz w:val="28"/>
          <w:szCs w:val="28"/>
          <w:highlight w:val="none"/>
          <w:lang w:val="en-US" w:eastAsia="zh-CN"/>
        </w:rPr>
        <w:t>度一般。</w:t>
      </w:r>
    </w:p>
    <w:p>
      <w:pPr>
        <w:keepNext w:val="0"/>
        <w:keepLines w:val="0"/>
        <w:pageBreakBefore w:val="0"/>
        <w:widowControl w:val="0"/>
        <w:kinsoku/>
        <w:wordWrap/>
        <w:overflowPunct/>
        <w:topLinePunct w:val="0"/>
        <w:autoSpaceDE/>
        <w:autoSpaceDN/>
        <w:bidi w:val="0"/>
        <w:adjustRightInd w:val="0"/>
        <w:snapToGrid w:val="0"/>
        <w:spacing w:after="239" w:afterLines="50" w:line="520" w:lineRule="atLeast"/>
        <w:ind w:firstLine="674" w:firstLineChars="200"/>
        <w:textAlignment w:val="auto"/>
        <w:rPr>
          <w:rFonts w:hint="eastAsia"/>
          <w:highlight w:val="none"/>
          <w:lang w:val="en-US" w:eastAsia="zh-CN"/>
        </w:rPr>
      </w:pPr>
      <w:r>
        <w:rPr>
          <w:rFonts w:hint="eastAsia" w:ascii="仿宋" w:hAnsi="仿宋" w:eastAsia="仿宋" w:cs="仿宋"/>
          <w:snapToGrid w:val="0"/>
          <w:kern w:val="0"/>
          <w:sz w:val="28"/>
          <w:szCs w:val="28"/>
          <w:highlight w:val="none"/>
          <w:lang w:val="en-US" w:eastAsia="zh-CN"/>
        </w:rPr>
        <w:t>2、估价对象实物状况</w:t>
      </w:r>
    </w:p>
    <w:tbl>
      <w:tblPr>
        <w:tblStyle w:val="46"/>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9"/>
        <w:gridCol w:w="1579"/>
        <w:gridCol w:w="2352"/>
        <w:gridCol w:w="1812"/>
        <w:gridCol w:w="2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估价对象名称</w:t>
            </w:r>
          </w:p>
        </w:tc>
        <w:tc>
          <w:tcPr>
            <w:tcW w:w="3403" w:type="pct"/>
            <w:gridSpan w:val="3"/>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贵州省三穗县三穗县八弓镇胜利村一小背后住宅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建筑面积</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166.51㎡</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建筑结构</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混合结构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总楼层</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2层</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评估楼层</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2层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规划用途</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住宅</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现实用途</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装修情况</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外墙</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瓷砖</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内墙</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瓷粉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天花</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瓷粉</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地面</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地砖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门</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木门</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窗</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木窗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设备设施</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水电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明敷</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电梯</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空调</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无</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消防</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使用与维护</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竣工年限</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snapToGrid w:val="0"/>
                <w:color w:val="000000" w:themeColor="text1"/>
                <w:kern w:val="0"/>
                <w:sz w:val="21"/>
                <w:szCs w:val="21"/>
                <w:highlight w:val="none"/>
                <w:lang w:val="en-US" w:eastAsia="zh-CN"/>
                <w14:textFill>
                  <w14:solidFill>
                    <w14:schemeClr w14:val="tx1"/>
                  </w14:solidFill>
                </w14:textFill>
              </w:rPr>
              <w:t>约2012年</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14:textFill>
                  <w14:solidFill>
                    <w14:schemeClr w14:val="tx1"/>
                  </w14:solidFill>
                </w14:textFill>
              </w:rPr>
              <w:t>新旧程度</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使用状况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出租</w:t>
            </w:r>
          </w:p>
        </w:tc>
        <w:tc>
          <w:tcPr>
            <w:tcW w:w="910"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朝向</w:t>
            </w:r>
          </w:p>
        </w:tc>
        <w:tc>
          <w:tcPr>
            <w:tcW w:w="1312"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东</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9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snapToGrid w:val="0"/>
          <w:color w:val="000000" w:themeColor="text1"/>
          <w:kern w:val="0"/>
          <w:sz w:val="24"/>
          <w:szCs w:val="24"/>
          <w:highlight w:val="none"/>
          <w14:textFill>
            <w14:solidFill>
              <w14:schemeClr w14:val="tx1"/>
            </w14:solidFill>
          </w14:textFill>
        </w:rPr>
        <w:t>注：表中数据均来源于评估人员实地查勘等资料</w:t>
      </w:r>
      <w:r>
        <w:rPr>
          <w:rFonts w:hint="eastAsia" w:ascii="仿宋" w:hAnsi="仿宋" w:eastAsia="仿宋" w:cs="仿宋"/>
          <w:snapToGrid w:val="0"/>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3、估价对象权益状况</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根据委托人提供的</w:t>
      </w:r>
      <w:r>
        <w:rPr>
          <w:rFonts w:hint="eastAsia" w:ascii="仿宋" w:hAnsi="仿宋" w:eastAsia="仿宋"/>
          <w:snapToGrid w:val="0"/>
          <w:sz w:val="28"/>
          <w:szCs w:val="28"/>
          <w:highlight w:val="none"/>
          <w:lang w:eastAsia="zh-CN"/>
        </w:rPr>
        <w:t>《贵州省不动产登记查询结果》</w:t>
      </w:r>
      <w:r>
        <w:rPr>
          <w:rFonts w:hint="eastAsia" w:ascii="仿宋" w:hAnsi="仿宋" w:eastAsia="仿宋" w:cs="仿宋"/>
          <w:snapToGrid w:val="0"/>
          <w:kern w:val="0"/>
          <w:sz w:val="28"/>
          <w:szCs w:val="28"/>
          <w:highlight w:val="none"/>
          <w:lang w:val="en-US" w:eastAsia="zh-CN"/>
        </w:rPr>
        <w:t>，房屋建筑物信息是权利人为罗俊，</w:t>
      </w:r>
      <w:r>
        <w:rPr>
          <w:rFonts w:hint="eastAsia" w:ascii="仿宋" w:hAnsi="仿宋" w:eastAsia="仿宋"/>
          <w:snapToGrid w:val="0"/>
          <w:sz w:val="28"/>
          <w:szCs w:val="28"/>
          <w:highlight w:val="none"/>
          <w:lang w:eastAsia="zh-CN"/>
        </w:rPr>
        <w:t>产权证</w:t>
      </w:r>
      <w:r>
        <w:rPr>
          <w:rFonts w:hint="eastAsia" w:ascii="仿宋" w:hAnsi="仿宋" w:eastAsia="仿宋"/>
          <w:snapToGrid w:val="0"/>
          <w:sz w:val="28"/>
          <w:szCs w:val="28"/>
          <w:highlight w:val="none"/>
          <w:lang w:val="en-US" w:eastAsia="zh-CN"/>
        </w:rPr>
        <w:t>号</w:t>
      </w:r>
      <w:r>
        <w:rPr>
          <w:rFonts w:hint="eastAsia" w:ascii="仿宋" w:hAnsi="仿宋" w:eastAsia="仿宋" w:cs="仿宋"/>
          <w:snapToGrid w:val="0"/>
          <w:kern w:val="0"/>
          <w:sz w:val="28"/>
          <w:szCs w:val="28"/>
          <w:highlight w:val="none"/>
          <w:lang w:val="en-US" w:eastAsia="zh-CN"/>
        </w:rPr>
        <w:t>为201100327，不动产单元号为522624001012GB00547F00010001，用途为非成套住宅，面积为166.51㎡；根据委托人提供的</w:t>
      </w:r>
      <w:r>
        <w:rPr>
          <w:rFonts w:hint="eastAsia" w:ascii="仿宋" w:hAnsi="仿宋" w:eastAsia="仿宋"/>
          <w:snapToGrid w:val="0"/>
          <w:sz w:val="28"/>
          <w:szCs w:val="28"/>
          <w:highlight w:val="none"/>
          <w:lang w:eastAsia="zh-CN"/>
        </w:rPr>
        <w:t>《贵州省不动产登记查询结果》</w:t>
      </w:r>
      <w:r>
        <w:rPr>
          <w:rFonts w:hint="eastAsia" w:ascii="仿宋" w:hAnsi="仿宋" w:eastAsia="仿宋"/>
          <w:snapToGrid w:val="0"/>
          <w:sz w:val="28"/>
          <w:szCs w:val="28"/>
          <w:highlight w:val="none"/>
          <w:lang w:val="en-US" w:eastAsia="zh-CN"/>
        </w:rPr>
        <w:t>及</w:t>
      </w:r>
      <w:r>
        <w:rPr>
          <w:rFonts w:hint="eastAsia" w:ascii="仿宋" w:hAnsi="仿宋" w:eastAsia="仿宋" w:cs="仿宋"/>
          <w:snapToGrid w:val="0"/>
          <w:kern w:val="0"/>
          <w:sz w:val="28"/>
          <w:szCs w:val="28"/>
          <w:highlight w:val="none"/>
          <w:lang w:val="en-US" w:eastAsia="zh-CN"/>
        </w:rPr>
        <w:t>土地性质查询资料</w:t>
      </w:r>
      <w:r>
        <w:rPr>
          <w:rFonts w:hint="eastAsia" w:ascii="仿宋" w:hAnsi="仿宋" w:eastAsia="仿宋"/>
          <w:snapToGrid w:val="0"/>
          <w:sz w:val="28"/>
          <w:szCs w:val="28"/>
          <w:highlight w:val="none"/>
          <w:lang w:eastAsia="zh-CN"/>
        </w:rPr>
        <w:t>，</w:t>
      </w:r>
      <w:r>
        <w:rPr>
          <w:rFonts w:hint="eastAsia" w:ascii="仿宋" w:hAnsi="仿宋" w:eastAsia="仿宋"/>
          <w:snapToGrid w:val="0"/>
          <w:sz w:val="28"/>
          <w:szCs w:val="28"/>
          <w:highlight w:val="none"/>
          <w:lang w:val="en-US" w:eastAsia="zh-CN"/>
        </w:rPr>
        <w:t>土地相关信息是土地使用权人</w:t>
      </w:r>
      <w:r>
        <w:rPr>
          <w:rFonts w:hint="eastAsia" w:ascii="仿宋" w:hAnsi="仿宋" w:eastAsia="仿宋" w:cs="仿宋"/>
          <w:snapToGrid w:val="0"/>
          <w:kern w:val="0"/>
          <w:sz w:val="28"/>
          <w:szCs w:val="28"/>
          <w:highlight w:val="none"/>
          <w:lang w:val="en-US" w:eastAsia="zh-CN"/>
        </w:rPr>
        <w:t>为罗俊，</w:t>
      </w:r>
      <w:r>
        <w:rPr>
          <w:rFonts w:hint="eastAsia" w:ascii="仿宋" w:hAnsi="仿宋" w:eastAsia="仿宋"/>
          <w:snapToGrid w:val="0"/>
          <w:sz w:val="28"/>
          <w:szCs w:val="28"/>
          <w:highlight w:val="none"/>
          <w:lang w:eastAsia="zh-CN"/>
        </w:rPr>
        <w:t>产权证</w:t>
      </w:r>
      <w:r>
        <w:rPr>
          <w:rFonts w:hint="eastAsia" w:ascii="仿宋" w:hAnsi="仿宋" w:eastAsia="仿宋"/>
          <w:snapToGrid w:val="0"/>
          <w:sz w:val="28"/>
          <w:szCs w:val="28"/>
          <w:highlight w:val="none"/>
          <w:lang w:val="en-US" w:eastAsia="zh-CN"/>
        </w:rPr>
        <w:t>号</w:t>
      </w:r>
      <w:r>
        <w:rPr>
          <w:rFonts w:hint="eastAsia" w:ascii="仿宋" w:hAnsi="仿宋" w:eastAsia="仿宋" w:cs="仿宋"/>
          <w:snapToGrid w:val="0"/>
          <w:kern w:val="0"/>
          <w:sz w:val="28"/>
          <w:szCs w:val="28"/>
          <w:highlight w:val="none"/>
          <w:lang w:val="en-US" w:eastAsia="zh-CN"/>
        </w:rPr>
        <w:t>为穗国用（2011）第12-011号，不动产单元号为522624001012GB00547W00000000，用途为住宅用地/城镇住宅用地，面积为111.88㎡</w:t>
      </w:r>
      <w:r>
        <w:rPr>
          <w:rFonts w:hint="eastAsia" w:ascii="仿宋" w:hAnsi="仿宋" w:eastAsia="仿宋"/>
          <w:snapToGrid w:val="0"/>
          <w:sz w:val="28"/>
          <w:szCs w:val="28"/>
          <w:highlight w:val="none"/>
          <w:lang w:val="en-US" w:eastAsia="zh-CN"/>
        </w:rPr>
        <w:t>，土地性质为划拨。</w:t>
      </w:r>
    </w:p>
    <w:p>
      <w:pPr>
        <w:pStyle w:val="2"/>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cs="黑体"/>
          <w:snapToGrid w:val="0"/>
          <w:kern w:val="0"/>
          <w:sz w:val="30"/>
          <w:szCs w:val="30"/>
          <w:highlight w:val="none"/>
        </w:rPr>
      </w:pPr>
      <w:bookmarkStart w:id="24" w:name="_Toc9938"/>
      <w:r>
        <w:rPr>
          <w:rFonts w:hint="eastAsia" w:ascii="黑体" w:hAnsi="黑体" w:cs="黑体"/>
          <w:snapToGrid w:val="0"/>
          <w:kern w:val="0"/>
          <w:sz w:val="30"/>
          <w:szCs w:val="30"/>
          <w:highlight w:val="none"/>
        </w:rPr>
        <w:t>（四）估价目的</w:t>
      </w:r>
      <w:bookmarkEnd w:id="23"/>
      <w:bookmarkEnd w:id="24"/>
    </w:p>
    <w:p>
      <w:pPr>
        <w:keepNext/>
        <w:keepLines/>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楷体_GB2312" w:hAnsi="楷体" w:eastAsia="楷体_GB2312"/>
          <w:snapToGrid w:val="0"/>
          <w:kern w:val="0"/>
          <w:sz w:val="28"/>
          <w:szCs w:val="28"/>
          <w:highlight w:val="none"/>
          <w:lang w:eastAsia="zh-CN"/>
        </w:rPr>
      </w:pPr>
      <w:bookmarkStart w:id="25" w:name="_Toc17960854"/>
      <w:r>
        <w:rPr>
          <w:rFonts w:hint="eastAsia" w:ascii="仿宋" w:hAnsi="仿宋" w:eastAsia="仿宋" w:cs="仿宋"/>
          <w:snapToGrid w:val="0"/>
          <w:kern w:val="0"/>
          <w:sz w:val="28"/>
          <w:szCs w:val="28"/>
          <w:highlight w:val="none"/>
          <w:lang w:val="en-US" w:eastAsia="zh-CN"/>
        </w:rPr>
        <w:t>为三穗县人民法院确定财产处置参考价提供参考依据</w:t>
      </w:r>
      <w:r>
        <w:rPr>
          <w:rFonts w:hint="eastAsia" w:ascii="仿宋" w:hAnsi="仿宋" w:eastAsia="仿宋" w:cs="仿宋"/>
          <w:snapToGrid w:val="0"/>
          <w:kern w:val="0"/>
          <w:sz w:val="28"/>
          <w:szCs w:val="28"/>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cs="黑体"/>
          <w:snapToGrid w:val="0"/>
          <w:kern w:val="0"/>
          <w:sz w:val="30"/>
          <w:szCs w:val="30"/>
          <w:highlight w:val="none"/>
        </w:rPr>
      </w:pPr>
      <w:bookmarkStart w:id="26" w:name="_Toc23145"/>
      <w:r>
        <w:rPr>
          <w:rFonts w:hint="eastAsia" w:ascii="黑体" w:hAnsi="黑体" w:cs="黑体"/>
          <w:snapToGrid w:val="0"/>
          <w:kern w:val="0"/>
          <w:sz w:val="30"/>
          <w:szCs w:val="30"/>
          <w:highlight w:val="none"/>
        </w:rPr>
        <w:t>（五）</w:t>
      </w:r>
      <w:bookmarkEnd w:id="25"/>
      <w:r>
        <w:rPr>
          <w:rFonts w:hint="eastAsia" w:ascii="黑体" w:hAnsi="黑体" w:cs="黑体"/>
          <w:snapToGrid w:val="0"/>
          <w:kern w:val="0"/>
          <w:sz w:val="30"/>
          <w:szCs w:val="30"/>
          <w:highlight w:val="none"/>
          <w:lang w:eastAsia="zh-CN"/>
        </w:rPr>
        <w:t>价值时点</w:t>
      </w:r>
      <w:bookmarkEnd w:id="26"/>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lang w:eastAsia="zh-CN"/>
        </w:rPr>
        <w:t>价值时点</w:t>
      </w:r>
      <w:r>
        <w:rPr>
          <w:rFonts w:hint="eastAsia" w:ascii="仿宋" w:hAnsi="仿宋" w:eastAsia="仿宋" w:cs="仿宋"/>
          <w:snapToGrid w:val="0"/>
          <w:sz w:val="28"/>
          <w:szCs w:val="28"/>
          <w:highlight w:val="none"/>
        </w:rPr>
        <w:t>为</w:t>
      </w:r>
      <w:r>
        <w:rPr>
          <w:rFonts w:hint="eastAsia" w:ascii="仿宋" w:hAnsi="仿宋" w:eastAsia="仿宋" w:cs="仿宋"/>
          <w:snapToGrid w:val="0"/>
          <w:sz w:val="28"/>
          <w:szCs w:val="28"/>
          <w:highlight w:val="none"/>
          <w:lang w:eastAsia="zh-CN"/>
        </w:rPr>
        <w:t>二〇二二年六月八日</w:t>
      </w:r>
      <w:r>
        <w:rPr>
          <w:rFonts w:hint="eastAsia" w:ascii="仿宋" w:hAnsi="仿宋" w:eastAsia="仿宋" w:cs="仿宋"/>
          <w:snapToGrid w:val="0"/>
          <w:sz w:val="28"/>
          <w:szCs w:val="28"/>
          <w:highlight w:val="none"/>
        </w:rPr>
        <w:t>（</w:t>
      </w:r>
      <w:r>
        <w:rPr>
          <w:rFonts w:hint="eastAsia" w:ascii="仿宋" w:hAnsi="仿宋" w:eastAsia="仿宋" w:cs="仿宋"/>
          <w:snapToGrid w:val="0"/>
          <w:sz w:val="28"/>
          <w:szCs w:val="28"/>
          <w:highlight w:val="none"/>
          <w:lang w:eastAsia="zh-CN"/>
        </w:rPr>
        <w:t>价值时点</w:t>
      </w:r>
      <w:r>
        <w:rPr>
          <w:rFonts w:hint="eastAsia" w:ascii="仿宋" w:hAnsi="仿宋" w:eastAsia="仿宋" w:cs="仿宋"/>
          <w:snapToGrid w:val="0"/>
          <w:sz w:val="28"/>
          <w:szCs w:val="28"/>
          <w:highlight w:val="none"/>
        </w:rPr>
        <w:t>的确定理由：根据《房地产估价规范》【GB/T50291-2015】规定及</w:t>
      </w:r>
      <w:r>
        <w:rPr>
          <w:rFonts w:hint="eastAsia" w:ascii="仿宋" w:hAnsi="仿宋" w:eastAsia="仿宋" w:cs="仿宋"/>
          <w:b w:val="0"/>
          <w:bCs w:val="0"/>
          <w:snapToGrid w:val="0"/>
          <w:kern w:val="0"/>
          <w:sz w:val="28"/>
          <w:szCs w:val="28"/>
          <w:highlight w:val="none"/>
          <w:lang w:eastAsia="zh-CN"/>
        </w:rPr>
        <w:t>（2022）黔2624法评26号《司法鉴定委托书》</w:t>
      </w:r>
      <w:r>
        <w:rPr>
          <w:rFonts w:hint="eastAsia" w:ascii="仿宋" w:hAnsi="仿宋" w:eastAsia="仿宋" w:cs="仿宋"/>
          <w:snapToGrid w:val="0"/>
          <w:sz w:val="28"/>
          <w:szCs w:val="28"/>
          <w:highlight w:val="none"/>
        </w:rPr>
        <w:t>，</w:t>
      </w:r>
      <w:r>
        <w:rPr>
          <w:rFonts w:hint="eastAsia" w:ascii="仿宋" w:hAnsi="仿宋" w:eastAsia="仿宋" w:cs="仿宋"/>
          <w:snapToGrid w:val="0"/>
          <w:sz w:val="28"/>
          <w:szCs w:val="28"/>
          <w:highlight w:val="none"/>
          <w:lang w:eastAsia="zh-CN"/>
        </w:rPr>
        <w:t>价值时点为</w:t>
      </w:r>
      <w:r>
        <w:rPr>
          <w:rFonts w:hint="eastAsia" w:ascii="仿宋" w:hAnsi="仿宋" w:eastAsia="仿宋" w:cs="仿宋"/>
          <w:snapToGrid w:val="0"/>
          <w:color w:val="000000" w:themeColor="text1"/>
          <w:sz w:val="28"/>
          <w:szCs w:val="28"/>
          <w:highlight w:val="none"/>
          <w14:textFill>
            <w14:solidFill>
              <w14:schemeClr w14:val="tx1"/>
            </w14:solidFill>
          </w14:textFill>
        </w:rPr>
        <w:t>估价人员对估价对象实地查勘之日</w:t>
      </w:r>
      <w:r>
        <w:rPr>
          <w:rFonts w:hint="eastAsia" w:ascii="仿宋" w:hAnsi="仿宋" w:eastAsia="仿宋" w:cs="仿宋"/>
          <w:snapToGrid w:val="0"/>
          <w:sz w:val="28"/>
          <w:szCs w:val="28"/>
          <w:highlight w:val="none"/>
        </w:rPr>
        <w:t>）。</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黑体" w:hAnsi="黑体" w:cs="黑体"/>
          <w:snapToGrid w:val="0"/>
          <w:kern w:val="0"/>
          <w:sz w:val="30"/>
          <w:szCs w:val="30"/>
          <w:highlight w:val="none"/>
          <w:lang w:val="en-US"/>
        </w:rPr>
      </w:pPr>
      <w:bookmarkStart w:id="27" w:name="_Toc17960855"/>
      <w:bookmarkStart w:id="28" w:name="_Toc30974"/>
      <w:r>
        <w:rPr>
          <w:rFonts w:hint="eastAsia" w:ascii="黑体" w:hAnsi="黑体" w:cs="黑体"/>
          <w:snapToGrid w:val="0"/>
          <w:kern w:val="0"/>
          <w:sz w:val="30"/>
          <w:szCs w:val="30"/>
          <w:highlight w:val="none"/>
        </w:rPr>
        <w:t>（六）</w:t>
      </w:r>
      <w:r>
        <w:rPr>
          <w:rFonts w:hint="eastAsia" w:ascii="黑体" w:hAnsi="黑体" w:cs="黑体"/>
          <w:snapToGrid w:val="0"/>
          <w:kern w:val="0"/>
          <w:sz w:val="30"/>
          <w:szCs w:val="30"/>
          <w:highlight w:val="none"/>
          <w:lang w:eastAsia="zh-CN"/>
        </w:rPr>
        <w:t>价</w:t>
      </w:r>
      <w:bookmarkEnd w:id="27"/>
      <w:r>
        <w:rPr>
          <w:rFonts w:hint="eastAsia" w:ascii="黑体" w:hAnsi="黑体" w:cs="黑体"/>
          <w:snapToGrid w:val="0"/>
          <w:kern w:val="0"/>
          <w:sz w:val="30"/>
          <w:szCs w:val="30"/>
          <w:highlight w:val="none"/>
          <w:lang w:val="en-US" w:eastAsia="zh-CN"/>
        </w:rPr>
        <w:t>值类型</w:t>
      </w:r>
      <w:bookmarkEnd w:id="28"/>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本报告中的</w:t>
      </w:r>
      <w:r>
        <w:rPr>
          <w:rFonts w:hint="eastAsia" w:ascii="仿宋" w:hAnsi="仿宋" w:eastAsia="仿宋" w:cs="仿宋"/>
          <w:snapToGrid w:val="0"/>
          <w:sz w:val="28"/>
          <w:szCs w:val="28"/>
          <w:highlight w:val="none"/>
          <w:lang w:val="en-US" w:eastAsia="zh-CN"/>
        </w:rPr>
        <w:t>房地产价值</w:t>
      </w:r>
      <w:r>
        <w:rPr>
          <w:rFonts w:hint="eastAsia" w:ascii="仿宋" w:hAnsi="仿宋" w:eastAsia="仿宋" w:cs="仿宋"/>
          <w:snapToGrid w:val="0"/>
          <w:sz w:val="28"/>
          <w:szCs w:val="28"/>
          <w:highlight w:val="none"/>
        </w:rPr>
        <w:t>为估价对象于</w:t>
      </w:r>
      <w:r>
        <w:rPr>
          <w:rFonts w:hint="eastAsia" w:ascii="仿宋" w:hAnsi="仿宋" w:eastAsia="仿宋" w:cs="仿宋"/>
          <w:snapToGrid w:val="0"/>
          <w:sz w:val="28"/>
          <w:szCs w:val="28"/>
          <w:highlight w:val="none"/>
          <w:lang w:eastAsia="zh-CN"/>
        </w:rPr>
        <w:t>价值时点</w:t>
      </w:r>
      <w:r>
        <w:rPr>
          <w:rFonts w:hint="eastAsia" w:ascii="仿宋" w:hAnsi="仿宋" w:eastAsia="仿宋" w:cs="仿宋"/>
          <w:snapToGrid w:val="0"/>
          <w:sz w:val="28"/>
          <w:szCs w:val="28"/>
          <w:highlight w:val="none"/>
        </w:rPr>
        <w:t>状态、在公开市场</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标准及满足估价的假设和限制条件下的</w:t>
      </w:r>
      <w:r>
        <w:rPr>
          <w:rFonts w:hint="eastAsia" w:ascii="仿宋" w:hAnsi="仿宋" w:eastAsia="仿宋" w:cs="仿宋"/>
          <w:snapToGrid w:val="0"/>
          <w:sz w:val="28"/>
          <w:szCs w:val="28"/>
          <w:highlight w:val="none"/>
          <w:lang w:val="en-US" w:eastAsia="zh-CN"/>
        </w:rPr>
        <w:t>市场价值</w:t>
      </w:r>
      <w:r>
        <w:rPr>
          <w:rFonts w:hint="eastAsia" w:ascii="仿宋" w:hAnsi="仿宋" w:eastAsia="仿宋" w:cs="仿宋"/>
          <w:snapToGrid w:val="0"/>
          <w:sz w:val="28"/>
          <w:szCs w:val="28"/>
          <w:highlight w:val="none"/>
        </w:rPr>
        <w:t>。</w:t>
      </w:r>
      <w:r>
        <w:rPr>
          <w:rFonts w:hint="eastAsia" w:ascii="仿宋" w:hAnsi="仿宋" w:eastAsia="仿宋" w:cs="仿宋"/>
          <w:snapToGrid w:val="0"/>
          <w:sz w:val="28"/>
          <w:szCs w:val="28"/>
          <w:highlight w:val="none"/>
          <w:lang w:val="en-US" w:eastAsia="zh-CN"/>
        </w:rPr>
        <w:t>市场价值是估价对象经适当营销后，由熟悉情况、谨慎行事且不受强迫的交易双方，以公平交易方式在价值时点自愿进行交易的金额</w:t>
      </w:r>
      <w:r>
        <w:rPr>
          <w:rFonts w:hint="eastAsia" w:ascii="仿宋" w:hAnsi="仿宋" w:eastAsia="仿宋" w:cs="仿宋"/>
          <w:snapToGrid w:val="0"/>
          <w:sz w:val="28"/>
          <w:szCs w:val="28"/>
          <w:highlight w:val="none"/>
        </w:rPr>
        <w:t>。根据《房地产估价规范》【GB/T50291-2015】和本次估价的具体要求，本估价报告中的</w:t>
      </w:r>
      <w:r>
        <w:rPr>
          <w:rFonts w:hint="eastAsia" w:ascii="仿宋" w:hAnsi="仿宋" w:eastAsia="仿宋" w:cs="仿宋"/>
          <w:snapToGrid w:val="0"/>
          <w:sz w:val="28"/>
          <w:szCs w:val="28"/>
          <w:highlight w:val="none"/>
          <w:lang w:val="en-US" w:eastAsia="zh-CN"/>
        </w:rPr>
        <w:t>房地产价值</w:t>
      </w:r>
      <w:r>
        <w:rPr>
          <w:rFonts w:hint="eastAsia" w:ascii="仿宋" w:hAnsi="仿宋" w:eastAsia="仿宋" w:cs="仿宋"/>
          <w:snapToGrid w:val="0"/>
          <w:sz w:val="28"/>
          <w:szCs w:val="28"/>
          <w:highlight w:val="none"/>
        </w:rPr>
        <w:t>是指估价对象在</w:t>
      </w:r>
      <w:r>
        <w:rPr>
          <w:rFonts w:hint="eastAsia" w:ascii="仿宋" w:hAnsi="仿宋" w:eastAsia="仿宋" w:cs="仿宋"/>
          <w:snapToGrid w:val="0"/>
          <w:sz w:val="28"/>
          <w:szCs w:val="28"/>
          <w:highlight w:val="none"/>
          <w:lang w:eastAsia="zh-CN"/>
        </w:rPr>
        <w:t>价值时点2022年6月8日</w:t>
      </w:r>
      <w:r>
        <w:rPr>
          <w:rFonts w:hint="eastAsia" w:ascii="仿宋" w:hAnsi="仿宋" w:eastAsia="仿宋" w:cs="仿宋"/>
          <w:snapToGrid w:val="0"/>
          <w:sz w:val="28"/>
          <w:szCs w:val="28"/>
          <w:highlight w:val="none"/>
        </w:rPr>
        <w:t>现状利用条件下的房地产市场</w:t>
      </w:r>
      <w:r>
        <w:rPr>
          <w:rFonts w:hint="eastAsia" w:ascii="仿宋" w:hAnsi="仿宋" w:eastAsia="仿宋" w:cs="仿宋"/>
          <w:snapToGrid w:val="0"/>
          <w:sz w:val="28"/>
          <w:szCs w:val="28"/>
          <w:highlight w:val="none"/>
          <w:lang w:val="en-US" w:eastAsia="zh-CN"/>
        </w:rPr>
        <w:t>价值</w:t>
      </w:r>
      <w:r>
        <w:rPr>
          <w:rFonts w:hint="eastAsia" w:ascii="仿宋" w:hAnsi="仿宋" w:eastAsia="仿宋" w:cs="仿宋"/>
          <w:snapToGrid w:val="0"/>
          <w:sz w:val="28"/>
          <w:szCs w:val="28"/>
          <w:highlight w:val="none"/>
        </w:rPr>
        <w:t>。</w:t>
      </w:r>
    </w:p>
    <w:p>
      <w:pPr>
        <w:pStyle w:val="2"/>
        <w:spacing w:before="0" w:after="0" w:line="500" w:lineRule="exact"/>
        <w:rPr>
          <w:rFonts w:ascii="黑体" w:hAnsi="黑体" w:cs="黑体"/>
          <w:snapToGrid w:val="0"/>
          <w:kern w:val="0"/>
          <w:sz w:val="30"/>
          <w:szCs w:val="30"/>
          <w:highlight w:val="none"/>
        </w:rPr>
      </w:pPr>
      <w:bookmarkStart w:id="29" w:name="_Toc17960856"/>
      <w:bookmarkStart w:id="30" w:name="_Toc17445"/>
      <w:r>
        <w:rPr>
          <w:rFonts w:hint="eastAsia" w:ascii="黑体" w:hAnsi="黑体" w:cs="黑体"/>
          <w:snapToGrid w:val="0"/>
          <w:kern w:val="0"/>
          <w:sz w:val="30"/>
          <w:szCs w:val="30"/>
          <w:highlight w:val="none"/>
        </w:rPr>
        <w:t>（七）估价依据</w:t>
      </w:r>
      <w:bookmarkEnd w:id="29"/>
      <w:bookmarkEnd w:id="30"/>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一、国家有关部门颁布的法律法规及相关文件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lang w:val="en-US" w:eastAsia="zh-CN"/>
        </w:rPr>
        <w:t>1.</w:t>
      </w:r>
      <w:r>
        <w:rPr>
          <w:rFonts w:hint="eastAsia" w:ascii="仿宋" w:hAnsi="仿宋" w:eastAsia="仿宋" w:cs="仿宋"/>
          <w:snapToGrid w:val="0"/>
          <w:sz w:val="28"/>
          <w:szCs w:val="28"/>
          <w:highlight w:val="none"/>
        </w:rPr>
        <w:t>《中华人民共和国城市房地产管理法》（2019年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8月26日，十三届全国人大常委会第十二次会议表决通过关于修改土地管理法、城市房地产管理法的决定，本决定自2020年1月1日起施行）</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2.</w:t>
      </w:r>
      <w:r>
        <w:rPr>
          <w:rFonts w:hint="eastAsia" w:ascii="仿宋" w:hAnsi="仿宋" w:eastAsia="仿宋" w:cs="仿宋"/>
          <w:snapToGrid w:val="0"/>
          <w:sz w:val="28"/>
          <w:szCs w:val="28"/>
          <w:highlight w:val="none"/>
        </w:rPr>
        <w:t>《中华人民共和国土地管理法》（2019年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8月26日，十三届全国人大常委会第十二次会议表决通过关于修改土地管理法、城市房地产管理法的决定，本决定自2020年1月1日起施行）；</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3</w:t>
      </w:r>
      <w:r>
        <w:rPr>
          <w:rFonts w:hint="eastAsia" w:ascii="仿宋" w:hAnsi="仿宋" w:eastAsia="仿宋" w:cs="仿宋"/>
          <w:snapToGrid w:val="0"/>
          <w:sz w:val="28"/>
          <w:szCs w:val="28"/>
          <w:highlight w:val="none"/>
        </w:rPr>
        <w:t>.《中华人民共和国城乡规划法》（2007年10月28日第十届全国人民代表大会常务委员会第三十次会议通过，2007年10月28日中华人民共和国主席令第74号公布）；</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4</w:t>
      </w:r>
      <w:r>
        <w:rPr>
          <w:rFonts w:hint="eastAsia" w:ascii="仿宋" w:hAnsi="仿宋" w:eastAsia="仿宋" w:cs="仿宋"/>
          <w:snapToGrid w:val="0"/>
          <w:sz w:val="28"/>
          <w:szCs w:val="28"/>
          <w:highlight w:val="none"/>
        </w:rPr>
        <w:t>.《中华人民共和国民法典》（2020年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5月28日第十三届全国人民代表大会第三次会议通过）；</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5</w:t>
      </w:r>
      <w:r>
        <w:rPr>
          <w:rFonts w:hint="eastAsia" w:ascii="仿宋" w:hAnsi="仿宋" w:eastAsia="仿宋" w:cs="仿宋"/>
          <w:snapToGrid w:val="0"/>
          <w:sz w:val="28"/>
          <w:szCs w:val="28"/>
          <w:highlight w:val="none"/>
        </w:rPr>
        <w:t>.《中华人民共和国土地管理法实施细则》（1998年12月24日国务院令第256号，1999年1月1日施行）；</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lang w:val="en-US" w:eastAsia="zh-CN"/>
        </w:rPr>
        <w:t>6</w:t>
      </w:r>
      <w:r>
        <w:rPr>
          <w:rFonts w:hint="eastAsia" w:ascii="仿宋" w:hAnsi="仿宋" w:eastAsia="仿宋" w:cs="仿宋"/>
          <w:snapToGrid w:val="0"/>
          <w:sz w:val="28"/>
          <w:szCs w:val="28"/>
          <w:highlight w:val="none"/>
        </w:rPr>
        <w:t>.《中华人民共和国城镇国有土地使用权出让和转让暂行条例》（1990年5月19日中华人民共和国国务院令第55号，1990年</w:t>
      </w:r>
      <w:r>
        <w:rPr>
          <w:rFonts w:hint="eastAsia" w:ascii="仿宋" w:hAnsi="仿宋" w:eastAsia="仿宋" w:cs="仿宋"/>
          <w:snapToGrid w:val="0"/>
          <w:sz w:val="28"/>
          <w:szCs w:val="28"/>
          <w:highlight w:val="none"/>
          <w:lang w:val="en-US" w:eastAsia="zh-CN"/>
        </w:rPr>
        <w:t>0</w:t>
      </w:r>
      <w:r>
        <w:rPr>
          <w:rFonts w:hint="eastAsia" w:ascii="仿宋" w:hAnsi="仿宋" w:eastAsia="仿宋" w:cs="仿宋"/>
          <w:snapToGrid w:val="0"/>
          <w:sz w:val="28"/>
          <w:szCs w:val="28"/>
          <w:highlight w:val="none"/>
        </w:rPr>
        <w:t>5月19日施行）</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二、地方有关部门颁布的法规及相关文件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1.《建设工程工程量清单计价规范》；</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2.《贵州省建筑与装饰工程计价定额》（2016版）；</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3.贵州省及</w:t>
      </w:r>
      <w:r>
        <w:rPr>
          <w:rFonts w:hint="eastAsia" w:ascii="仿宋" w:hAnsi="仿宋" w:eastAsia="仿宋" w:cs="仿宋"/>
          <w:snapToGrid w:val="0"/>
          <w:sz w:val="28"/>
          <w:szCs w:val="28"/>
          <w:highlight w:val="none"/>
          <w:lang w:val="en-US" w:eastAsia="zh-CN"/>
        </w:rPr>
        <w:t>三穗县</w:t>
      </w:r>
      <w:r>
        <w:rPr>
          <w:rFonts w:hint="eastAsia" w:ascii="仿宋" w:hAnsi="仿宋" w:eastAsia="仿宋" w:cs="仿宋"/>
          <w:snapToGrid w:val="0"/>
          <w:sz w:val="28"/>
          <w:szCs w:val="28"/>
          <w:highlight w:val="none"/>
        </w:rPr>
        <w:t>人民政府及有关管理部门颁布的有关法规、部门规章和政策文件。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三、本次估价依据的技术规程</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rPr>
        <w:t>1.《房地产估价规范》【GB/T50291-2015】</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val="en-US" w:eastAsia="zh-CN"/>
        </w:rPr>
      </w:pPr>
      <w:r>
        <w:rPr>
          <w:rFonts w:hint="eastAsia" w:ascii="仿宋" w:hAnsi="仿宋" w:eastAsia="仿宋" w:cs="仿宋"/>
          <w:snapToGrid w:val="0"/>
          <w:sz w:val="28"/>
          <w:szCs w:val="28"/>
          <w:highlight w:val="none"/>
        </w:rPr>
        <w:t>2.《房地产估价基本术语标准》【GB/T 50899-2013】</w:t>
      </w:r>
      <w:bookmarkStart w:id="31" w:name="_Toc17960858"/>
      <w:r>
        <w:rPr>
          <w:rFonts w:hint="eastAsia" w:ascii="仿宋" w:hAnsi="仿宋" w:eastAsia="仿宋" w:cs="仿宋"/>
          <w:snapToGrid w:val="0"/>
          <w:sz w:val="28"/>
          <w:szCs w:val="28"/>
          <w:highlight w:val="none"/>
          <w:lang w:val="en-US"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color w:val="auto"/>
          <w:sz w:val="28"/>
          <w:szCs w:val="28"/>
          <w:highlight w:val="none"/>
          <w:lang w:val="en-US" w:eastAsia="zh-CN"/>
        </w:rPr>
      </w:pPr>
      <w:r>
        <w:rPr>
          <w:rFonts w:hint="eastAsia" w:ascii="仿宋" w:hAnsi="仿宋" w:eastAsia="仿宋" w:cs="仿宋"/>
          <w:snapToGrid w:val="0"/>
          <w:color w:val="auto"/>
          <w:sz w:val="28"/>
          <w:szCs w:val="28"/>
          <w:highlight w:val="none"/>
          <w:lang w:eastAsia="zh-CN"/>
        </w:rPr>
        <w:t>3.《涉执房地产处置司法评估指导意见（试行）》（中国房地产估价师与房地产经纪人学会2021年8月18日颁布）。</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四、委托人提供的有关资料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w:t>
      </w:r>
      <w:r>
        <w:rPr>
          <w:rFonts w:hint="eastAsia" w:ascii="仿宋" w:hAnsi="仿宋" w:eastAsia="仿宋" w:cs="仿宋"/>
          <w:snapToGrid w:val="0"/>
          <w:sz w:val="28"/>
          <w:szCs w:val="28"/>
          <w:highlight w:val="none"/>
          <w:lang w:eastAsia="zh-CN"/>
        </w:rPr>
        <w:t>《司法鉴定委托书》</w:t>
      </w:r>
      <w:r>
        <w:rPr>
          <w:rFonts w:hint="eastAsia" w:ascii="仿宋" w:hAnsi="仿宋" w:eastAsia="仿宋" w:cs="仿宋"/>
          <w:snapToGrid w:val="0"/>
          <w:sz w:val="28"/>
          <w:szCs w:val="28"/>
          <w:highlight w:val="none"/>
          <w:lang w:val="en-US" w:eastAsia="zh-CN"/>
        </w:rPr>
        <w:t>[</w:t>
      </w:r>
      <w:r>
        <w:rPr>
          <w:rFonts w:hint="eastAsia" w:ascii="仿宋" w:hAnsi="仿宋" w:eastAsia="仿宋" w:cs="仿宋"/>
          <w:snapToGrid w:val="0"/>
          <w:sz w:val="28"/>
          <w:szCs w:val="28"/>
          <w:highlight w:val="none"/>
          <w:lang w:eastAsia="zh-CN"/>
        </w:rPr>
        <w:t>（2022）黔2624法评26号</w:t>
      </w:r>
      <w:r>
        <w:rPr>
          <w:rFonts w:hint="eastAsia" w:ascii="仿宋" w:hAnsi="仿宋" w:eastAsia="仿宋" w:cs="仿宋"/>
          <w:snapToGrid w:val="0"/>
          <w:sz w:val="28"/>
          <w:szCs w:val="28"/>
          <w:highlight w:val="none"/>
          <w:lang w:val="en-US" w:eastAsia="zh-CN"/>
        </w:rPr>
        <w:t>]</w:t>
      </w:r>
      <w:r>
        <w:rPr>
          <w:rFonts w:hint="eastAsia" w:ascii="仿宋" w:hAnsi="仿宋" w:eastAsia="仿宋" w:cs="仿宋"/>
          <w:snapToGrid w:val="0"/>
          <w:sz w:val="28"/>
          <w:szCs w:val="28"/>
          <w:highlight w:val="none"/>
          <w:lang w:eastAsia="zh-CN"/>
        </w:rPr>
        <w:t>原</w:t>
      </w:r>
      <w:r>
        <w:rPr>
          <w:rFonts w:hint="eastAsia" w:ascii="仿宋" w:hAnsi="仿宋" w:eastAsia="仿宋" w:cs="仿宋"/>
          <w:snapToGrid w:val="0"/>
          <w:sz w:val="28"/>
          <w:szCs w:val="28"/>
          <w:highlight w:val="none"/>
        </w:rPr>
        <w:t>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w:t>
      </w:r>
      <w:r>
        <w:rPr>
          <w:rFonts w:hint="eastAsia" w:ascii="仿宋" w:hAnsi="仿宋" w:eastAsia="仿宋" w:cs="仿宋"/>
          <w:snapToGrid w:val="0"/>
          <w:kern w:val="0"/>
          <w:sz w:val="28"/>
          <w:szCs w:val="28"/>
          <w:highlight w:val="none"/>
          <w:lang w:val="en-US" w:eastAsia="zh-CN"/>
        </w:rPr>
        <w:t>《贵州省不动产登记查询结果》</w:t>
      </w:r>
      <w:r>
        <w:rPr>
          <w:rFonts w:hint="eastAsia" w:ascii="仿宋" w:hAnsi="仿宋" w:eastAsia="仿宋" w:cs="仿宋"/>
          <w:snapToGrid w:val="0"/>
          <w:sz w:val="28"/>
          <w:szCs w:val="28"/>
          <w:highlight w:val="none"/>
          <w:lang w:eastAsia="zh-CN"/>
        </w:rPr>
        <w:t>复</w:t>
      </w:r>
      <w:r>
        <w:rPr>
          <w:rFonts w:hint="eastAsia" w:ascii="仿宋" w:hAnsi="仿宋" w:eastAsia="仿宋" w:cs="仿宋"/>
          <w:snapToGrid w:val="0"/>
          <w:sz w:val="28"/>
          <w:szCs w:val="28"/>
          <w:highlight w:val="none"/>
        </w:rPr>
        <w:t>印件。</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五、估价机构掌握的有关资料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1.估价对象所在地自然条件、社会经济条件、行政区划人口等方面的基本情况资料；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2.估价对象所在地统计资料；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3</w:t>
      </w:r>
      <w:r>
        <w:rPr>
          <w:rFonts w:hint="eastAsia" w:ascii="仿宋" w:hAnsi="仿宋" w:eastAsia="仿宋" w:cs="仿宋"/>
          <w:snapToGrid w:val="0"/>
          <w:sz w:val="28"/>
          <w:szCs w:val="28"/>
          <w:highlight w:val="none"/>
        </w:rPr>
        <w:t>.估价对象所在地城市基础设施基本情况资料；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lang w:eastAsia="zh-CN"/>
        </w:rPr>
      </w:pPr>
      <w:r>
        <w:rPr>
          <w:rFonts w:hint="eastAsia" w:ascii="仿宋" w:hAnsi="仿宋" w:eastAsia="仿宋" w:cs="仿宋"/>
          <w:snapToGrid w:val="0"/>
          <w:sz w:val="28"/>
          <w:szCs w:val="28"/>
          <w:highlight w:val="none"/>
          <w:lang w:val="en-US" w:eastAsia="zh-CN"/>
        </w:rPr>
        <w:t>4</w:t>
      </w:r>
      <w:r>
        <w:rPr>
          <w:rFonts w:hint="eastAsia" w:ascii="仿宋" w:hAnsi="仿宋" w:eastAsia="仿宋" w:cs="仿宋"/>
          <w:snapToGrid w:val="0"/>
          <w:sz w:val="28"/>
          <w:szCs w:val="28"/>
          <w:highlight w:val="none"/>
        </w:rPr>
        <w:t>.建设部《房屋完损等级评定标准》</w:t>
      </w:r>
      <w:r>
        <w:rPr>
          <w:rFonts w:hint="eastAsia" w:ascii="仿宋" w:hAnsi="仿宋" w:eastAsia="仿宋" w:cs="仿宋"/>
          <w:snapToGrid w:val="0"/>
          <w:sz w:val="28"/>
          <w:szCs w:val="28"/>
          <w:highlight w:val="none"/>
          <w:lang w:eastAsia="zh-CN"/>
        </w:rPr>
        <w:t>。</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六、估价人员实际勘察、调查所获取的资料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1.估价人员实地踏勘和调查收集的有关估价对象基础设施、宗地条件方面的资料;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2.估价人员实地踏勘和调查收集的有关估价对象建筑物状况资料;</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lang w:val="en-US" w:eastAsia="zh-CN"/>
        </w:rPr>
        <w:t>3</w:t>
      </w:r>
      <w:r>
        <w:rPr>
          <w:rFonts w:hint="eastAsia" w:ascii="仿宋" w:hAnsi="仿宋" w:eastAsia="仿宋" w:cs="仿宋"/>
          <w:snapToGrid w:val="0"/>
          <w:sz w:val="28"/>
          <w:szCs w:val="28"/>
          <w:highlight w:val="none"/>
        </w:rPr>
        <w:t>.估价人员实地拍摄的有关估价对象现状的照片。（详见报告附件）</w:t>
      </w:r>
    </w:p>
    <w:p>
      <w:pPr>
        <w:pStyle w:val="2"/>
        <w:spacing w:before="0" w:after="0" w:line="500" w:lineRule="exact"/>
        <w:rPr>
          <w:rFonts w:ascii="黑体" w:hAnsi="黑体" w:cs="黑体"/>
          <w:snapToGrid w:val="0"/>
          <w:kern w:val="0"/>
          <w:sz w:val="30"/>
          <w:szCs w:val="30"/>
          <w:highlight w:val="none"/>
        </w:rPr>
      </w:pPr>
      <w:bookmarkStart w:id="32" w:name="_Toc13608"/>
      <w:r>
        <w:rPr>
          <w:rFonts w:hint="eastAsia" w:ascii="黑体" w:hAnsi="黑体" w:cs="黑体"/>
          <w:snapToGrid w:val="0"/>
          <w:kern w:val="0"/>
          <w:sz w:val="30"/>
          <w:szCs w:val="30"/>
          <w:highlight w:val="none"/>
        </w:rPr>
        <w:t>（八）估价原则</w:t>
      </w:r>
      <w:bookmarkEnd w:id="32"/>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1、独立、客观、公正原则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sz w:val="28"/>
          <w:szCs w:val="28"/>
          <w:highlight w:val="none"/>
        </w:rPr>
      </w:pPr>
      <w:bookmarkStart w:id="33" w:name="_Toc30096"/>
      <w:bookmarkStart w:id="34" w:name="_Toc1335"/>
      <w:r>
        <w:rPr>
          <w:rFonts w:hint="eastAsia" w:ascii="仿宋" w:hAnsi="仿宋" w:eastAsia="仿宋" w:cs="仿宋"/>
          <w:snapToGrid w:val="0"/>
          <w:sz w:val="28"/>
          <w:szCs w:val="28"/>
          <w:highlight w:val="none"/>
        </w:rPr>
        <w:t>独立</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rPr>
        <w:t>客观</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rPr>
        <w:t>公正原则要求房地产估价师站在中立的立场上，估价出对各方当事人来说都是公平合理的</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具体来说，独立的要求是，房地产估价师不应受任何组织和个人的非法干预，完全凭借自己的专业知识、经验和应有的职业道德进行估价。客观的要求是，房地产估价师不应带着自己的好恶、情感和偏见，完全从客观实际出发，反映事物的本来面目。公正的要求是，房地产估价师在估价中应当公平正直，不偏袒相关当事人中的任何一方。</w:t>
      </w:r>
      <w:bookmarkEnd w:id="33"/>
      <w:bookmarkEnd w:id="34"/>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 xml:space="preserve"> 2、合法原则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合法原则是房地产估价工作中的核心与前提。遵循合法原则，即要求估价对象产权、收益、处分都必须以合法依据为条件，如：估价对象符合城市规划对土地用途、容积率、覆盖率、建筑高度、建筑风格的要求。如果估价对象产权不合法，则对估价对象未来收益、处分均受到限制，尤其是房地产抵押估价，从而对其</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产生影响，进而影响估价时关于</w:t>
      </w:r>
      <w:r>
        <w:rPr>
          <w:rFonts w:hint="eastAsia" w:ascii="仿宋" w:hAnsi="仿宋" w:eastAsia="仿宋" w:cs="仿宋"/>
          <w:snapToGrid w:val="0"/>
          <w:sz w:val="28"/>
          <w:szCs w:val="28"/>
          <w:highlight w:val="none"/>
          <w:lang w:eastAsia="zh-CN"/>
        </w:rPr>
        <w:t>价格</w:t>
      </w:r>
      <w:r>
        <w:rPr>
          <w:rFonts w:hint="eastAsia" w:ascii="仿宋" w:hAnsi="仿宋" w:eastAsia="仿宋" w:cs="仿宋"/>
          <w:snapToGrid w:val="0"/>
          <w:sz w:val="28"/>
          <w:szCs w:val="28"/>
          <w:highlight w:val="none"/>
        </w:rPr>
        <w:t>定义、估价方法、估价技术路线的确定。因此，进行房地产估价时，首先应对估价对象权益进行分析界定。</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3、最高最佳使用原则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由于房地产具有用途的多样性，不同的利用方式能为权利人带来不同的收益量，且权利人都期望从其所占有的房地产上获取更多的收益，并以能满足这一目的为确定房地产利用方式的依据。所以，房地产价格是以该房地产的效用作最有效发挥为前提的。</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4、</w:t>
      </w:r>
      <w:r>
        <w:rPr>
          <w:rFonts w:hint="eastAsia" w:ascii="仿宋" w:hAnsi="仿宋" w:eastAsia="仿宋" w:cs="仿宋"/>
          <w:snapToGrid w:val="0"/>
          <w:kern w:val="0"/>
          <w:sz w:val="28"/>
          <w:szCs w:val="28"/>
          <w:highlight w:val="none"/>
          <w:lang w:eastAsia="zh-CN"/>
        </w:rPr>
        <w:t>价值时点</w:t>
      </w:r>
      <w:r>
        <w:rPr>
          <w:rFonts w:hint="eastAsia" w:ascii="仿宋" w:hAnsi="仿宋" w:eastAsia="仿宋" w:cs="仿宋"/>
          <w:snapToGrid w:val="0"/>
          <w:kern w:val="0"/>
          <w:sz w:val="28"/>
          <w:szCs w:val="28"/>
          <w:highlight w:val="none"/>
        </w:rPr>
        <w:t>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房地产市场是变动的，在不同的时间上，同一宗房地产往往会有不同的价格，估价通常仅是求取估价对象在某个特定的时间上的</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，这个时间就是</w:t>
      </w:r>
      <w:r>
        <w:rPr>
          <w:rFonts w:hint="eastAsia" w:ascii="仿宋" w:hAnsi="仿宋" w:eastAsia="仿宋" w:cs="仿宋"/>
          <w:snapToGrid w:val="0"/>
          <w:kern w:val="0"/>
          <w:sz w:val="28"/>
          <w:szCs w:val="28"/>
          <w:highlight w:val="none"/>
          <w:lang w:eastAsia="zh-CN"/>
        </w:rPr>
        <w:t>价值时点</w:t>
      </w:r>
      <w:r>
        <w:rPr>
          <w:rFonts w:hint="eastAsia" w:ascii="仿宋" w:hAnsi="仿宋" w:eastAsia="仿宋" w:cs="仿宋"/>
          <w:snapToGrid w:val="0"/>
          <w:kern w:val="0"/>
          <w:sz w:val="28"/>
          <w:szCs w:val="28"/>
          <w:highlight w:val="none"/>
        </w:rPr>
        <w:t>，确定</w:t>
      </w:r>
      <w:r>
        <w:rPr>
          <w:rFonts w:hint="eastAsia" w:ascii="仿宋" w:hAnsi="仿宋" w:eastAsia="仿宋" w:cs="仿宋"/>
          <w:snapToGrid w:val="0"/>
          <w:kern w:val="0"/>
          <w:sz w:val="28"/>
          <w:szCs w:val="28"/>
          <w:highlight w:val="none"/>
          <w:lang w:eastAsia="zh-CN"/>
        </w:rPr>
        <w:t>价值时点</w:t>
      </w:r>
      <w:r>
        <w:rPr>
          <w:rFonts w:hint="eastAsia" w:ascii="仿宋" w:hAnsi="仿宋" w:eastAsia="仿宋" w:cs="仿宋"/>
          <w:snapToGrid w:val="0"/>
          <w:kern w:val="0"/>
          <w:sz w:val="28"/>
          <w:szCs w:val="28"/>
          <w:highlight w:val="none"/>
        </w:rPr>
        <w:t>原则的意义在于，</w:t>
      </w:r>
      <w:r>
        <w:rPr>
          <w:rFonts w:hint="eastAsia" w:ascii="仿宋" w:hAnsi="仿宋" w:eastAsia="仿宋" w:cs="仿宋"/>
          <w:snapToGrid w:val="0"/>
          <w:kern w:val="0"/>
          <w:sz w:val="28"/>
          <w:szCs w:val="28"/>
          <w:highlight w:val="none"/>
          <w:lang w:eastAsia="zh-CN"/>
        </w:rPr>
        <w:t>价值时点</w:t>
      </w:r>
      <w:r>
        <w:rPr>
          <w:rFonts w:hint="eastAsia" w:ascii="仿宋" w:hAnsi="仿宋" w:eastAsia="仿宋" w:cs="仿宋"/>
          <w:snapToGrid w:val="0"/>
          <w:kern w:val="0"/>
          <w:sz w:val="28"/>
          <w:szCs w:val="28"/>
          <w:highlight w:val="none"/>
        </w:rPr>
        <w:t>是估价房地产时值的界限。因为房地产价格与政府颁布的有关房地产法律、法规等密切相关，这些法律、法规的发布、变更、实施日期，均有可能影响待估房地产的</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5、替代原则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某房地产的价格，受其它具有相同使用</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的房地产，即同类型具有替代可能的房地产价格所牵制。换言之，具有相同使用</w:t>
      </w:r>
      <w:r>
        <w:rPr>
          <w:rFonts w:hint="eastAsia" w:ascii="仿宋" w:hAnsi="仿宋" w:eastAsia="仿宋" w:cs="仿宋"/>
          <w:snapToGrid w:val="0"/>
          <w:kern w:val="0"/>
          <w:sz w:val="28"/>
          <w:szCs w:val="28"/>
          <w:highlight w:val="none"/>
          <w:lang w:eastAsia="zh-CN"/>
        </w:rPr>
        <w:t>价格</w:t>
      </w:r>
      <w:r>
        <w:rPr>
          <w:rFonts w:hint="eastAsia" w:ascii="仿宋" w:hAnsi="仿宋" w:eastAsia="仿宋" w:cs="仿宋"/>
          <w:snapToGrid w:val="0"/>
          <w:kern w:val="0"/>
          <w:sz w:val="28"/>
          <w:szCs w:val="28"/>
          <w:highlight w:val="none"/>
        </w:rPr>
        <w:t>、替代可能的房地产之间，会相互影响和竞争，使价格相互牵制而趋于一致。</w:t>
      </w:r>
    </w:p>
    <w:p>
      <w:pPr>
        <w:pStyle w:val="2"/>
        <w:spacing w:before="0" w:after="0" w:line="500" w:lineRule="exact"/>
        <w:rPr>
          <w:rFonts w:ascii="黑体" w:hAnsi="黑体" w:cs="黑体"/>
          <w:snapToGrid w:val="0"/>
          <w:kern w:val="0"/>
          <w:sz w:val="30"/>
          <w:szCs w:val="30"/>
          <w:highlight w:val="none"/>
        </w:rPr>
      </w:pPr>
      <w:bookmarkStart w:id="35" w:name="_Toc21801"/>
      <w:r>
        <w:rPr>
          <w:rFonts w:hint="eastAsia" w:ascii="黑体" w:hAnsi="黑体" w:cs="黑体"/>
          <w:snapToGrid w:val="0"/>
          <w:kern w:val="0"/>
          <w:sz w:val="30"/>
          <w:szCs w:val="30"/>
          <w:highlight w:val="none"/>
        </w:rPr>
        <w:t>（九）估价方法</w:t>
      </w:r>
      <w:bookmarkEnd w:id="31"/>
      <w:bookmarkEnd w:id="35"/>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b/>
          <w:bCs/>
          <w:snapToGrid w:val="0"/>
          <w:kern w:val="0"/>
          <w:sz w:val="28"/>
          <w:szCs w:val="28"/>
          <w:highlight w:val="none"/>
        </w:rPr>
      </w:pPr>
      <w:r>
        <w:rPr>
          <w:rFonts w:hint="eastAsia" w:ascii="仿宋" w:hAnsi="仿宋" w:eastAsia="仿宋" w:cs="仿宋"/>
          <w:b/>
          <w:bCs/>
          <w:snapToGrid w:val="0"/>
          <w:kern w:val="0"/>
          <w:sz w:val="28"/>
          <w:szCs w:val="28"/>
          <w:highlight w:val="none"/>
        </w:rPr>
        <w:t>1、估价方法选取</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snapToGrid w:val="0"/>
          <w:kern w:val="0"/>
          <w:sz w:val="28"/>
          <w:szCs w:val="28"/>
          <w:highlight w:val="none"/>
        </w:rPr>
        <w:t>估价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w:t>
      </w:r>
      <w:r>
        <w:rPr>
          <w:rFonts w:hint="eastAsia" w:ascii="仿宋" w:hAnsi="仿宋" w:eastAsia="仿宋" w:cs="仿宋"/>
          <w:snapToGrid w:val="0"/>
          <w:kern w:val="0"/>
          <w:sz w:val="28"/>
          <w:szCs w:val="28"/>
          <w:highlight w:val="none"/>
          <w:lang w:eastAsia="zh-CN"/>
        </w:rPr>
        <w:t>比较法</w:t>
      </w:r>
      <w:r>
        <w:rPr>
          <w:rFonts w:hint="eastAsia" w:ascii="仿宋" w:hAnsi="仿宋" w:eastAsia="仿宋" w:cs="仿宋"/>
          <w:snapToGrid w:val="0"/>
          <w:kern w:val="0"/>
          <w:sz w:val="28"/>
          <w:szCs w:val="28"/>
          <w:highlight w:val="none"/>
        </w:rPr>
        <w:t>对估价对象（</w:t>
      </w:r>
      <w:r>
        <w:rPr>
          <w:rFonts w:hint="eastAsia" w:ascii="仿宋" w:hAnsi="仿宋" w:eastAsia="仿宋" w:cs="仿宋"/>
          <w:snapToGrid w:val="0"/>
          <w:kern w:val="0"/>
          <w:sz w:val="28"/>
          <w:szCs w:val="28"/>
          <w:highlight w:val="none"/>
          <w:lang w:eastAsia="zh-CN"/>
        </w:rPr>
        <w:t>住宅</w:t>
      </w:r>
      <w:r>
        <w:rPr>
          <w:rFonts w:hint="eastAsia" w:ascii="仿宋" w:hAnsi="仿宋" w:eastAsia="仿宋" w:cs="仿宋"/>
          <w:snapToGrid w:val="0"/>
          <w:kern w:val="0"/>
          <w:sz w:val="28"/>
          <w:szCs w:val="28"/>
          <w:highlight w:val="none"/>
        </w:rPr>
        <w:t>用途，面积为</w:t>
      </w:r>
      <w:r>
        <w:rPr>
          <w:rFonts w:hint="eastAsia" w:ascii="仿宋" w:hAnsi="仿宋" w:eastAsia="仿宋" w:cs="仿宋"/>
          <w:snapToGrid w:val="0"/>
          <w:kern w:val="0"/>
          <w:sz w:val="28"/>
          <w:szCs w:val="28"/>
          <w:highlight w:val="none"/>
          <w:lang w:eastAsia="zh-CN"/>
        </w:rPr>
        <w:t>166.51</w:t>
      </w:r>
      <w:r>
        <w:rPr>
          <w:rFonts w:hint="eastAsia" w:ascii="仿宋" w:hAnsi="仿宋" w:eastAsia="仿宋" w:cs="仿宋"/>
          <w:snapToGrid w:val="0"/>
          <w:kern w:val="0"/>
          <w:sz w:val="28"/>
          <w:szCs w:val="28"/>
          <w:highlight w:val="none"/>
        </w:rPr>
        <w:t>平方米）房地产进行估价</w:t>
      </w: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color w:val="000000" w:themeColor="text1"/>
          <w:kern w:val="0"/>
          <w:sz w:val="28"/>
          <w:szCs w:val="28"/>
          <w14:textFill>
            <w14:solidFill>
              <w14:schemeClr w14:val="tx1"/>
            </w14:solidFill>
          </w14:textFill>
        </w:rPr>
        <w:t>选取假设开发法对土地使用权进行估算，具体分析如下：</w:t>
      </w:r>
    </w:p>
    <w:p>
      <w:pPr>
        <w:keepNext w:val="0"/>
        <w:keepLines w:val="0"/>
        <w:pageBreakBefore w:val="0"/>
        <w:widowControl w:val="0"/>
        <w:kinsoku/>
        <w:wordWrap/>
        <w:overflowPunct/>
        <w:topLinePunct w:val="0"/>
        <w:autoSpaceDE/>
        <w:autoSpaceDN/>
        <w:bidi w:val="0"/>
        <w:adjustRightInd w:val="0"/>
        <w:snapToGrid w:val="0"/>
        <w:spacing w:after="239" w:afterLines="50" w:line="520" w:lineRule="exact"/>
        <w:ind w:firstLine="674" w:firstLineChars="200"/>
        <w:textAlignment w:val="auto"/>
        <w:rPr>
          <w:rFonts w:hint="default" w:eastAsia="仿宋"/>
          <w:lang w:val="en-US" w:eastAsia="zh-CN"/>
        </w:rPr>
      </w:pP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1</w:t>
      </w: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估价对象估价方法选取</w:t>
      </w:r>
    </w:p>
    <w:tbl>
      <w:tblPr>
        <w:tblStyle w:val="46"/>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737"/>
        <w:gridCol w:w="3738"/>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可选估价方法</w:t>
            </w:r>
          </w:p>
        </w:tc>
        <w:tc>
          <w:tcPr>
            <w:tcW w:w="373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估价方法定义</w:t>
            </w:r>
          </w:p>
        </w:tc>
        <w:tc>
          <w:tcPr>
            <w:tcW w:w="3738"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估价方法是否选择理由</w:t>
            </w:r>
          </w:p>
        </w:tc>
        <w:tc>
          <w:tcPr>
            <w:tcW w:w="1073"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是否</w:t>
            </w:r>
          </w:p>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选取一定数量的可比实例，将它们与估价对象进行比较，根据其间的差异对可比实例成交价格进行处理后得到估价对象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估价对象实际用途为</w:t>
            </w:r>
            <w:r>
              <w:rPr>
                <w:rFonts w:hint="eastAsia" w:ascii="仿宋" w:hAnsi="仿宋" w:eastAsia="仿宋" w:cs="宋体"/>
                <w:kern w:val="0"/>
                <w:sz w:val="20"/>
                <w:szCs w:val="20"/>
                <w:highlight w:val="none"/>
                <w:lang w:eastAsia="zh-CN"/>
              </w:rPr>
              <w:t>住宅</w:t>
            </w:r>
            <w:r>
              <w:rPr>
                <w:rFonts w:hint="eastAsia" w:ascii="仿宋" w:hAnsi="仿宋" w:eastAsia="仿宋" w:cs="宋体"/>
                <w:kern w:val="0"/>
                <w:sz w:val="20"/>
                <w:szCs w:val="20"/>
                <w:highlight w:val="none"/>
              </w:rPr>
              <w:t>，所在区域与估价对象相似使用的销售可比案例（同一供需圈内、用途一致、邻近区域）较</w:t>
            </w:r>
            <w:r>
              <w:rPr>
                <w:rFonts w:hint="eastAsia" w:ascii="仿宋" w:hAnsi="仿宋" w:eastAsia="仿宋" w:cs="宋体"/>
                <w:kern w:val="0"/>
                <w:sz w:val="20"/>
                <w:szCs w:val="20"/>
                <w:highlight w:val="none"/>
                <w:lang w:eastAsia="zh-CN"/>
              </w:rPr>
              <w:t>多</w:t>
            </w:r>
            <w:r>
              <w:rPr>
                <w:rFonts w:hint="eastAsia" w:ascii="仿宋" w:hAnsi="仿宋" w:eastAsia="仿宋" w:cs="宋体"/>
                <w:kern w:val="0"/>
                <w:sz w:val="20"/>
                <w:szCs w:val="20"/>
                <w:highlight w:val="none"/>
              </w:rPr>
              <w:t>，故本次估价选取比较法对估价对象进行估价。</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收益法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预测估价对象的未来收益，利用报酬率或资本化率、收益乘数将未来收益转换为</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收益法适宜用于收益性物业估价，即为有经济收益或有潜在经济收益的房地产，估价对象所在区域住宅物业租金较低，从收益角度无法反应出该房地产的市场价格，故本次估价不选取采用收益法进行估价。</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lang w:eastAsia="zh-CN"/>
              </w:rPr>
              <w:t>不</w:t>
            </w:r>
            <w:r>
              <w:rPr>
                <w:rFonts w:hint="eastAsia" w:ascii="仿宋" w:hAnsi="仿宋" w:eastAsia="仿宋" w:cs="楷体_GB2312"/>
                <w:bCs/>
                <w:sz w:val="20"/>
                <w:szCs w:val="20"/>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假设开发法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求得估价对象后续开发的必要支出及折现率或后续开发的必要支出及应得利润和开发完成后的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，将开发完成后的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和后续开发的必要支出折现到</w:t>
            </w:r>
            <w:r>
              <w:rPr>
                <w:rFonts w:hint="eastAsia" w:ascii="仿宋" w:hAnsi="仿宋" w:eastAsia="仿宋" w:cs="宋体"/>
                <w:kern w:val="0"/>
                <w:sz w:val="20"/>
                <w:szCs w:val="20"/>
                <w:highlight w:val="none"/>
                <w:lang w:eastAsia="zh-CN"/>
              </w:rPr>
              <w:t>价值时点</w:t>
            </w:r>
            <w:r>
              <w:rPr>
                <w:rFonts w:hint="eastAsia" w:ascii="仿宋" w:hAnsi="仿宋" w:eastAsia="仿宋" w:cs="宋体"/>
                <w:kern w:val="0"/>
                <w:sz w:val="20"/>
                <w:szCs w:val="20"/>
                <w:highlight w:val="none"/>
              </w:rPr>
              <w:t>后相减，或将开发完成后的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减去后续开发的必要支出及应得利润得到估价对象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假设开发法适用于评估具有投资开发价格或再开发潜力的房地产，估价对象为已投入使用的房地产，非待开发房地产，不产生后续开发成本，故本次评估不选取假设开发法作为估价方法。</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不选取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成本法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测算估价对象在</w:t>
            </w:r>
            <w:r>
              <w:rPr>
                <w:rFonts w:hint="eastAsia" w:ascii="仿宋" w:hAnsi="仿宋" w:eastAsia="仿宋" w:cs="宋体"/>
                <w:kern w:val="0"/>
                <w:sz w:val="20"/>
                <w:szCs w:val="20"/>
                <w:highlight w:val="none"/>
                <w:lang w:eastAsia="zh-CN"/>
              </w:rPr>
              <w:t>价值时点</w:t>
            </w:r>
            <w:r>
              <w:rPr>
                <w:rFonts w:hint="eastAsia" w:ascii="仿宋" w:hAnsi="仿宋" w:eastAsia="仿宋" w:cs="宋体"/>
                <w:kern w:val="0"/>
                <w:sz w:val="20"/>
                <w:szCs w:val="20"/>
                <w:highlight w:val="none"/>
              </w:rPr>
              <w:t>的重置成本或重建成本和折旧，将重置成本或重建成本减去折旧得到估价对象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估价对象为住宅房地产，房地产价格与成本关联性弱，运用成本法测算的结果不能准确反映估价对象的实际市场价格，故不选取成本法进行评估。</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不选取</w:t>
            </w:r>
          </w:p>
        </w:tc>
      </w:tr>
    </w:tbl>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（2）土地使用权估价方法选取</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土地使用权的评估方法主要为基准地价系数修正法、收益还原法、市场比较法、剩余法（假设开发法）、成本逼近法。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①基准地价系数修正法：是利用城镇基准地价和基准地价修正系数表等评估成果，按照替代原则，就待估宗地的区域条件和个别条件等与其所处区域的平均条件相比较，并对照修正系数表选取相应的修正系数对基准地价进行修正，进而求取待估宗地在评估期日价格的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②收益还原法：是在估算土地在未来每年预期纯收益的基础上，以一定的还原率，将评估对象在未来每年的纯收益折算为评估时日收益总和的一种方法。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③剩余法：又称假设开发法，是在估算开发完成后不动产正常交易价格的基础上，扣除建筑物建造费用和与建筑物建造、买卖有关的专业费、利息、利润、税收等费用后，以价格余额来确定评估对象土地价格的一种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④市场比较法：是将评估对象与评估基准日或与评估基准日较近期内交易的类似土地使用权交易价格进行比较，对这些土地使用权的已知交易价格作适当的修正，以此估算评估对象的客观合理交易价格的方法。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default"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⑤成本逼近法：成本逼近法是以开发土地所耗费的各项客观费用之和为主要依据，再加上客观的利润、利息、应缴纳的税金和土地增值收益等来确定土地价格的估价方法。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rPr>
      </w:pPr>
      <w:r>
        <w:rPr>
          <w:rFonts w:hint="eastAsia" w:ascii="仿宋" w:hAnsi="仿宋" w:eastAsia="仿宋" w:cs="仿宋"/>
          <w:snapToGrid w:val="0"/>
          <w:kern w:val="0"/>
          <w:sz w:val="30"/>
          <w:szCs w:val="30"/>
          <w:highlight w:val="none"/>
          <w:lang w:val="en-US" w:eastAsia="zh-CN"/>
        </w:rPr>
        <w:t>评估人员通过市场调查，评估对象作为划拨用地，对应的土地收益资料难以收益，因此不宜采用收益还原法评估；同一供需圈内与委托评估宗地相似或相近的市场交易资料难以收集获取，亦不宜采用市场比较法进行评估；委估对象其周边类似的房地产开发项目较多，房地产交易较活跃，房地产交易价格、开发成本、投资利息、投资利润以及销售税费等数据较易收集，故适合采用假设开发法进行评估；成本逼近法一般适用于新开发土地、土地市场欠发育或交易实例少的地区的土地价格评估，该地地处三穗县内，片区发展较成熟，运用成本法测算的结果不能准确反映估价对象的实际市场价值，不满足采用成本逼近法的技术条件，故不适用成本逼近法；由于估价对象所在区域近3年没有公布基准地价，故不采用基准地价系数修正法；根据《房地产估价规范》【GB/T50291-2015】、《房地产估价基本术语标准》【GB/T50899-2013】及《城镇土地估价规程》，结合本次评估目的及评估人员所掌握、收集和调查的资料情况，综合分析，本次评估确定使用假设开发法对估价对象土地使用权进行评估。</w:t>
      </w:r>
    </w:p>
    <w:p>
      <w:pPr>
        <w:widowControl/>
        <w:spacing w:before="237" w:beforeLines="50"/>
        <w:ind w:firstLine="674" w:firstLineChars="200"/>
        <w:jc w:val="left"/>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2、本次选用估价方法原理及基本公式</w:t>
      </w:r>
    </w:p>
    <w:p>
      <w:pPr>
        <w:spacing w:line="520" w:lineRule="exact"/>
        <w:ind w:firstLine="674" w:firstLineChars="200"/>
        <w:rPr>
          <w:rFonts w:hint="default" w:ascii="仿宋" w:hAnsi="仿宋" w:eastAsia="仿宋" w:cs="仿宋"/>
          <w:bCs/>
          <w:snapToGrid w:val="0"/>
          <w:kern w:val="0"/>
          <w:sz w:val="28"/>
          <w:szCs w:val="28"/>
          <w:highlight w:val="none"/>
          <w:lang w:val="en-US" w:eastAsia="zh-CN"/>
        </w:rPr>
      </w:pPr>
      <w:bookmarkStart w:id="36" w:name="_Toc17960859"/>
      <w:r>
        <w:rPr>
          <w:rFonts w:hint="eastAsia" w:ascii="仿宋" w:hAnsi="仿宋" w:eastAsia="仿宋" w:cs="仿宋"/>
          <w:bCs/>
          <w:snapToGrid w:val="0"/>
          <w:kern w:val="0"/>
          <w:sz w:val="28"/>
          <w:szCs w:val="28"/>
          <w:highlight w:val="none"/>
          <w:lang w:eastAsia="zh-CN"/>
        </w:rPr>
        <w:t>（</w:t>
      </w:r>
      <w:r>
        <w:rPr>
          <w:rFonts w:hint="eastAsia" w:ascii="仿宋" w:hAnsi="仿宋" w:eastAsia="仿宋" w:cs="仿宋"/>
          <w:bCs/>
          <w:snapToGrid w:val="0"/>
          <w:kern w:val="0"/>
          <w:sz w:val="28"/>
          <w:szCs w:val="28"/>
          <w:highlight w:val="none"/>
          <w:lang w:val="en-US" w:eastAsia="zh-CN"/>
        </w:rPr>
        <w:t>1</w:t>
      </w:r>
      <w:r>
        <w:rPr>
          <w:rFonts w:hint="eastAsia" w:ascii="仿宋" w:hAnsi="仿宋" w:eastAsia="仿宋" w:cs="仿宋"/>
          <w:bCs/>
          <w:snapToGrid w:val="0"/>
          <w:kern w:val="0"/>
          <w:sz w:val="28"/>
          <w:szCs w:val="28"/>
          <w:highlight w:val="none"/>
          <w:lang w:eastAsia="zh-CN"/>
        </w:rPr>
        <w:t>）</w:t>
      </w:r>
      <w:r>
        <w:rPr>
          <w:rFonts w:hint="eastAsia" w:ascii="仿宋" w:hAnsi="仿宋" w:eastAsia="仿宋" w:cs="仿宋"/>
          <w:bCs/>
          <w:snapToGrid w:val="0"/>
          <w:kern w:val="0"/>
          <w:sz w:val="28"/>
          <w:szCs w:val="28"/>
          <w:highlight w:val="none"/>
          <w:lang w:val="en-US" w:eastAsia="zh-CN"/>
        </w:rPr>
        <w:t>比较法</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比较法原理：是将估价对象房地产与近期已经发生交易的类似房地产加以比较对照，从已经发生了交易的类似房地产的已知价格，修正得出估价对象房地产价格的一种估价方法。</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比较法的计算公式：</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Pi=P’×A×B×C×D×</w:t>
      </w:r>
      <w:r>
        <w:rPr>
          <w:rFonts w:hint="eastAsia" w:ascii="仿宋" w:hAnsi="仿宋" w:eastAsia="仿宋" w:cs="仿宋"/>
          <w:bCs/>
          <w:snapToGrid w:val="0"/>
          <w:kern w:val="0"/>
          <w:sz w:val="28"/>
          <w:szCs w:val="28"/>
          <w:highlight w:val="none"/>
          <w:lang w:val="en-US" w:eastAsia="zh-CN"/>
        </w:rPr>
        <w:t>E</w:t>
      </w: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P=∑（Pi×权重系数）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式中：P—待估房地产评评估格    A—交易情况调整系数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Pi—待估房地产比准价格   B—</w:t>
      </w:r>
      <w:r>
        <w:rPr>
          <w:rFonts w:hint="eastAsia" w:ascii="仿宋" w:hAnsi="仿宋" w:eastAsia="仿宋" w:cs="仿宋"/>
          <w:bCs/>
          <w:snapToGrid w:val="0"/>
          <w:kern w:val="0"/>
          <w:sz w:val="28"/>
          <w:szCs w:val="28"/>
          <w:highlight w:val="none"/>
          <w:lang w:eastAsia="zh-CN"/>
        </w:rPr>
        <w:t>市场状况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P’—可比交易实例价格    C—</w:t>
      </w:r>
      <w:r>
        <w:rPr>
          <w:rFonts w:hint="eastAsia" w:ascii="仿宋" w:hAnsi="仿宋" w:eastAsia="仿宋" w:cs="仿宋"/>
          <w:bCs/>
          <w:snapToGrid w:val="0"/>
          <w:kern w:val="0"/>
          <w:sz w:val="28"/>
          <w:szCs w:val="28"/>
          <w:highlight w:val="none"/>
          <w:lang w:eastAsia="zh-CN"/>
        </w:rPr>
        <w:t>区位状况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D—</w:t>
      </w:r>
      <w:r>
        <w:rPr>
          <w:rFonts w:hint="eastAsia" w:ascii="仿宋" w:hAnsi="仿宋" w:eastAsia="仿宋" w:cs="仿宋"/>
          <w:bCs/>
          <w:snapToGrid w:val="0"/>
          <w:kern w:val="0"/>
          <w:sz w:val="28"/>
          <w:szCs w:val="28"/>
          <w:highlight w:val="none"/>
          <w:lang w:eastAsia="zh-CN"/>
        </w:rPr>
        <w:t>实物状况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lang w:val="en-US" w:eastAsia="zh-CN"/>
        </w:rPr>
        <w:t xml:space="preserve">                               E</w:t>
      </w:r>
      <w:r>
        <w:rPr>
          <w:rFonts w:hint="eastAsia" w:ascii="仿宋" w:hAnsi="仿宋" w:eastAsia="仿宋" w:cs="仿宋"/>
          <w:bCs/>
          <w:snapToGrid w:val="0"/>
          <w:kern w:val="0"/>
          <w:sz w:val="28"/>
          <w:szCs w:val="28"/>
          <w:highlight w:val="none"/>
        </w:rPr>
        <w:t>—</w:t>
      </w:r>
      <w:r>
        <w:rPr>
          <w:rFonts w:hint="eastAsia" w:ascii="仿宋" w:hAnsi="仿宋" w:eastAsia="仿宋" w:cs="仿宋"/>
          <w:bCs/>
          <w:snapToGrid w:val="0"/>
          <w:kern w:val="0"/>
          <w:sz w:val="28"/>
          <w:szCs w:val="28"/>
          <w:highlight w:val="none"/>
          <w:lang w:eastAsia="zh-CN"/>
        </w:rPr>
        <w:t>权益状况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keepNext w:val="0"/>
        <w:keepLines w:val="0"/>
        <w:pageBreakBefore w:val="0"/>
        <w:widowControl w:val="0"/>
        <w:kinsoku/>
        <w:wordWrap/>
        <w:overflowPunct/>
        <w:topLinePunct w:val="0"/>
        <w:autoSpaceDE/>
        <w:autoSpaceDN/>
        <w:bidi w:val="0"/>
        <w:adjustRightInd w:val="0"/>
        <w:snapToGrid w:val="0"/>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（2）假设开发法</w:t>
      </w:r>
    </w:p>
    <w:p>
      <w:pPr>
        <w:keepNext w:val="0"/>
        <w:keepLines w:val="0"/>
        <w:pageBreakBefore w:val="0"/>
        <w:widowControl w:val="0"/>
        <w:kinsoku/>
        <w:wordWrap/>
        <w:overflowPunct/>
        <w:topLinePunct w:val="0"/>
        <w:autoSpaceDE/>
        <w:autoSpaceDN/>
        <w:bidi w:val="0"/>
        <w:adjustRightInd w:val="0"/>
        <w:snapToGrid w:val="0"/>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假设开发法，是在估算开发完成后不动产正常交易价格的基础上，扣除房屋现值、交易税费等，以价格余额来确定待估土地价格的一种方法，其公式如下：</w:t>
      </w:r>
    </w:p>
    <w:p>
      <w:pPr>
        <w:keepNext w:val="0"/>
        <w:keepLines w:val="0"/>
        <w:pageBreakBefore w:val="0"/>
        <w:widowControl w:val="0"/>
        <w:kinsoku/>
        <w:wordWrap/>
        <w:overflowPunct/>
        <w:topLinePunct w:val="0"/>
        <w:autoSpaceDE/>
        <w:autoSpaceDN/>
        <w:bidi w:val="0"/>
        <w:adjustRightInd w:val="0"/>
        <w:snapToGrid w:val="0"/>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地价=不动产交易价格－房屋现值－交易税费</w:t>
      </w:r>
    </w:p>
    <w:p>
      <w:pPr>
        <w:pStyle w:val="2"/>
        <w:spacing w:before="0" w:after="0" w:line="500" w:lineRule="exact"/>
        <w:rPr>
          <w:rFonts w:ascii="黑体" w:hAnsi="黑体" w:cs="黑体"/>
          <w:snapToGrid w:val="0"/>
          <w:kern w:val="0"/>
          <w:sz w:val="30"/>
          <w:szCs w:val="30"/>
          <w:highlight w:val="none"/>
        </w:rPr>
      </w:pPr>
      <w:bookmarkStart w:id="37" w:name="_Toc7356"/>
      <w:r>
        <w:rPr>
          <w:rFonts w:hint="eastAsia" w:ascii="黑体" w:hAnsi="黑体" w:cs="黑体"/>
          <w:snapToGrid w:val="0"/>
          <w:kern w:val="0"/>
          <w:sz w:val="30"/>
          <w:szCs w:val="30"/>
          <w:highlight w:val="none"/>
        </w:rPr>
        <w:t>（十）估价结果</w:t>
      </w:r>
      <w:bookmarkEnd w:id="36"/>
      <w:bookmarkEnd w:id="37"/>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估价人员本着独立、客观、公正、合法的原则，根据估价目的，根据国家有关房地产估价的规范、规定，按照估价程序，经过现场查勘与市场调查，选用</w:t>
      </w:r>
      <w:r>
        <w:rPr>
          <w:rFonts w:hint="eastAsia" w:ascii="仿宋" w:hAnsi="仿宋" w:eastAsia="仿宋" w:cs="仿宋"/>
          <w:snapToGrid w:val="0"/>
          <w:sz w:val="28"/>
          <w:szCs w:val="28"/>
          <w:highlight w:val="none"/>
          <w:lang w:eastAsia="zh-CN"/>
        </w:rPr>
        <w:t>比较法</w:t>
      </w:r>
      <w:r>
        <w:rPr>
          <w:rFonts w:hint="eastAsia" w:ascii="仿宋" w:hAnsi="仿宋" w:eastAsia="仿宋" w:cs="仿宋"/>
          <w:snapToGrid w:val="0"/>
          <w:sz w:val="28"/>
          <w:szCs w:val="28"/>
          <w:highlight w:val="none"/>
        </w:rPr>
        <w:t>对估价对象进行了评定估算，确定估价对象未扣除预估的相关处置费用于</w:t>
      </w:r>
      <w:r>
        <w:rPr>
          <w:rFonts w:hint="eastAsia" w:ascii="仿宋" w:hAnsi="仿宋" w:eastAsia="仿宋" w:cs="仿宋"/>
          <w:snapToGrid w:val="0"/>
          <w:sz w:val="28"/>
          <w:szCs w:val="28"/>
          <w:highlight w:val="none"/>
          <w:lang w:eastAsia="zh-CN"/>
        </w:rPr>
        <w:t>价值时点二○二二年六月八日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1,746元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29.07万元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贰拾玖万零柒佰圆整；</w:t>
      </w:r>
      <w:r>
        <w:rPr>
          <w:rFonts w:hint="eastAsia" w:ascii="仿宋" w:hAnsi="仿宋" w:eastAsia="仿宋" w:cs="仿宋"/>
          <w:snapToGrid w:val="0"/>
          <w:sz w:val="28"/>
          <w:szCs w:val="28"/>
          <w:highlight w:val="none"/>
        </w:rPr>
        <w:t>估价</w:t>
      </w:r>
      <w:r>
        <w:rPr>
          <w:rFonts w:hint="eastAsia" w:ascii="仿宋" w:hAnsi="仿宋" w:eastAsia="仿宋" w:cs="仿宋"/>
          <w:snapToGrid w:val="0"/>
          <w:sz w:val="28"/>
          <w:szCs w:val="28"/>
          <w:highlight w:val="none"/>
          <w:lang w:eastAsia="zh-CN"/>
        </w:rPr>
        <w:t>对象扣除预估的相关处置费用</w:t>
      </w:r>
      <w:r>
        <w:rPr>
          <w:rFonts w:hint="eastAsia" w:ascii="仿宋" w:hAnsi="仿宋" w:eastAsia="仿宋" w:cs="仿宋"/>
          <w:snapToGrid w:val="0"/>
          <w:sz w:val="28"/>
          <w:szCs w:val="28"/>
          <w:highlight w:val="none"/>
        </w:rPr>
        <w:t>于</w:t>
      </w:r>
      <w:r>
        <w:rPr>
          <w:rFonts w:hint="eastAsia" w:ascii="仿宋" w:hAnsi="仿宋" w:eastAsia="仿宋" w:cs="仿宋"/>
          <w:snapToGrid w:val="0"/>
          <w:sz w:val="28"/>
          <w:szCs w:val="28"/>
          <w:highlight w:val="none"/>
          <w:lang w:eastAsia="zh-CN"/>
        </w:rPr>
        <w:t>价值时点二○二二年六月八日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1,538元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25.61万元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贰拾伍万陆仟壹佰圆整</w:t>
      </w:r>
      <w:r>
        <w:rPr>
          <w:rFonts w:hint="eastAsia" w:ascii="仿宋" w:hAnsi="仿宋" w:eastAsia="仿宋" w:cs="仿宋"/>
          <w:snapToGrid w:val="0"/>
          <w:sz w:val="28"/>
          <w:szCs w:val="28"/>
          <w:highlight w:val="none"/>
        </w:rPr>
        <w:t>。估价结果详见《估价结果明细表》。</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p>
    <w:p>
      <w:pPr>
        <w:widowControl/>
        <w:jc w:val="center"/>
        <w:rPr>
          <w:rFonts w:hint="eastAsia" w:ascii="仿宋" w:hAnsi="仿宋" w:eastAsia="仿宋" w:cs="宋体"/>
          <w:b/>
          <w:bCs/>
          <w:kern w:val="0"/>
          <w:sz w:val="36"/>
          <w:szCs w:val="36"/>
          <w:highlight w:val="none"/>
        </w:rPr>
      </w:pPr>
      <w:r>
        <w:rPr>
          <w:rFonts w:hint="eastAsia" w:ascii="仿宋" w:hAnsi="仿宋" w:eastAsia="仿宋" w:cs="宋体"/>
          <w:b/>
          <w:bCs/>
          <w:kern w:val="0"/>
          <w:sz w:val="36"/>
          <w:szCs w:val="36"/>
          <w:highlight w:val="none"/>
        </w:rPr>
        <w:t>估价结果明细表</w:t>
      </w:r>
    </w:p>
    <w:p>
      <w:pPr>
        <w:widowControl/>
        <w:jc w:val="center"/>
        <w:rPr>
          <w:rFonts w:hint="eastAsia" w:ascii="仿宋" w:hAnsi="仿宋" w:eastAsia="仿宋" w:cs="仿宋"/>
          <w:snapToGrid w:val="0"/>
          <w:spacing w:val="-2"/>
          <w:kern w:val="0"/>
          <w:sz w:val="21"/>
          <w:szCs w:val="21"/>
          <w:highlight w:val="none"/>
          <w:lang w:eastAsia="zh-CN"/>
        </w:rPr>
      </w:pPr>
      <w:r>
        <w:rPr>
          <w:rFonts w:hint="eastAsia" w:ascii="仿宋" w:hAnsi="仿宋" w:eastAsia="仿宋" w:cs="仿宋"/>
          <w:snapToGrid w:val="0"/>
          <w:spacing w:val="-2"/>
          <w:kern w:val="0"/>
          <w:sz w:val="21"/>
          <w:szCs w:val="21"/>
          <w:highlight w:val="none"/>
          <w:lang w:eastAsia="zh-CN"/>
        </w:rPr>
        <w:t>价值时点</w:t>
      </w:r>
      <w:r>
        <w:rPr>
          <w:rFonts w:hint="eastAsia" w:ascii="仿宋" w:hAnsi="仿宋" w:eastAsia="仿宋" w:cs="仿宋"/>
          <w:snapToGrid w:val="0"/>
          <w:spacing w:val="-2"/>
          <w:kern w:val="0"/>
          <w:sz w:val="21"/>
          <w:szCs w:val="21"/>
          <w:highlight w:val="none"/>
        </w:rPr>
        <w:t>：</w:t>
      </w:r>
      <w:r>
        <w:rPr>
          <w:rFonts w:hint="eastAsia" w:ascii="仿宋" w:hAnsi="仿宋" w:eastAsia="仿宋" w:cs="仿宋"/>
          <w:snapToGrid w:val="0"/>
          <w:spacing w:val="-2"/>
          <w:kern w:val="0"/>
          <w:sz w:val="21"/>
          <w:szCs w:val="21"/>
          <w:highlight w:val="none"/>
          <w:lang w:eastAsia="zh-CN"/>
        </w:rPr>
        <w:t>2022年6月8日</w:t>
      </w:r>
    </w:p>
    <w:tbl>
      <w:tblPr>
        <w:tblStyle w:val="46"/>
        <w:tblW w:w="9997" w:type="dxa"/>
        <w:jc w:val="center"/>
        <w:shd w:val="clear" w:color="auto" w:fill="auto"/>
        <w:tblLayout w:type="fixed"/>
        <w:tblCellMar>
          <w:top w:w="0" w:type="dxa"/>
          <w:left w:w="108" w:type="dxa"/>
          <w:bottom w:w="0" w:type="dxa"/>
          <w:right w:w="108" w:type="dxa"/>
        </w:tblCellMar>
      </w:tblPr>
      <w:tblGrid>
        <w:gridCol w:w="792"/>
        <w:gridCol w:w="1090"/>
        <w:gridCol w:w="1200"/>
        <w:gridCol w:w="423"/>
        <w:gridCol w:w="791"/>
        <w:gridCol w:w="641"/>
        <w:gridCol w:w="791"/>
        <w:gridCol w:w="818"/>
        <w:gridCol w:w="1146"/>
        <w:gridCol w:w="1159"/>
        <w:gridCol w:w="1146"/>
      </w:tblGrid>
      <w:tr>
        <w:tblPrEx>
          <w:shd w:val="clear" w:color="auto" w:fill="auto"/>
          <w:tblCellMar>
            <w:top w:w="0" w:type="dxa"/>
            <w:left w:w="108" w:type="dxa"/>
            <w:bottom w:w="0" w:type="dxa"/>
            <w:right w:w="108" w:type="dxa"/>
          </w:tblCellMar>
        </w:tblPrEx>
        <w:trPr>
          <w:trHeight w:val="397" w:hRule="atLeast"/>
          <w:jc w:val="center"/>
        </w:trPr>
        <w:tc>
          <w:tcPr>
            <w:tcW w:w="9997"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18"/>
                <w:szCs w:val="18"/>
                <w:highlight w:val="none"/>
                <w:lang w:val="en-US" w:eastAsia="zh-CN" w:bidi="ar-SA"/>
              </w:rPr>
            </w:pPr>
            <w:r>
              <w:rPr>
                <w:rFonts w:hint="eastAsia" w:ascii="仿宋" w:hAnsi="仿宋" w:eastAsia="仿宋" w:cs="仿宋"/>
                <w:b/>
                <w:bCs w:val="0"/>
                <w:snapToGrid w:val="0"/>
                <w:color w:val="000000"/>
                <w:kern w:val="0"/>
                <w:sz w:val="18"/>
                <w:szCs w:val="18"/>
                <w:highlight w:val="none"/>
                <w:lang w:val="en-US" w:eastAsia="zh-CN" w:bidi="ar-SA"/>
              </w:rPr>
              <w:t>估价对象</w:t>
            </w:r>
          </w:p>
        </w:tc>
      </w:tr>
      <w:tr>
        <w:tblPrEx>
          <w:shd w:val="clear" w:color="auto" w:fill="auto"/>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权利人</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产权证书号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房屋坐落</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用途</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所在层数/总层数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装修情况</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建筑面积(㎡)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评估单价（元/㎡）</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未扣除处置费用评估总价（万元）</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扣除处置费用评估单价（元/㎡）</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扣除处置费用评估总价（万元）</w:t>
            </w:r>
          </w:p>
        </w:tc>
      </w:tr>
      <w:tr>
        <w:tblPrEx>
          <w:shd w:val="clear" w:color="auto" w:fill="auto"/>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罗俊</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201100327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三穗县三穗县八弓镇胜利村一小背后</w:t>
            </w: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住宅</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2层/2层</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简单装修</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166.51</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1,746</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29.07 </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1,538</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25.61 </w:t>
            </w:r>
          </w:p>
        </w:tc>
      </w:tr>
    </w:tbl>
    <w:p>
      <w:pPr>
        <w:pStyle w:val="2"/>
        <w:keepNext/>
        <w:keepLines/>
        <w:pageBreakBefore w:val="0"/>
        <w:widowControl w:val="0"/>
        <w:kinsoku/>
        <w:wordWrap/>
        <w:overflowPunct/>
        <w:topLinePunct w:val="0"/>
        <w:autoSpaceDE/>
        <w:autoSpaceDN/>
        <w:bidi w:val="0"/>
        <w:adjustRightInd w:val="0"/>
        <w:snapToGrid w:val="0"/>
        <w:spacing w:before="239" w:beforeLines="50" w:after="239" w:afterLines="50" w:line="500" w:lineRule="exact"/>
        <w:textAlignment w:val="auto"/>
        <w:rPr>
          <w:rFonts w:hint="eastAsia" w:ascii="黑体" w:hAnsi="黑体" w:cs="黑体"/>
          <w:snapToGrid w:val="0"/>
          <w:kern w:val="0"/>
          <w:sz w:val="30"/>
          <w:szCs w:val="30"/>
          <w:highlight w:val="none"/>
        </w:rPr>
      </w:pPr>
      <w:bookmarkStart w:id="38" w:name="_Toc3374"/>
      <w:r>
        <w:rPr>
          <w:rFonts w:hint="eastAsia" w:ascii="黑体" w:hAnsi="黑体" w:cs="黑体"/>
          <w:snapToGrid w:val="0"/>
          <w:kern w:val="0"/>
          <w:sz w:val="30"/>
          <w:szCs w:val="30"/>
          <w:highlight w:val="none"/>
        </w:rPr>
        <w:t>（十一）估价人员</w:t>
      </w:r>
      <w:bookmarkEnd w:id="38"/>
      <w:bookmarkStart w:id="39" w:name="_Toc383703922"/>
    </w:p>
    <w:tbl>
      <w:tblPr>
        <w:tblStyle w:val="47"/>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164"/>
        <w:gridCol w:w="2872"/>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姓名</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注册号</w:t>
            </w:r>
          </w:p>
        </w:tc>
        <w:tc>
          <w:tcPr>
            <w:tcW w:w="1443"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w:t>
            </w:r>
          </w:p>
        </w:tc>
        <w:tc>
          <w:tcPr>
            <w:tcW w:w="15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王晨阳</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4419960028</w:t>
            </w:r>
          </w:p>
        </w:tc>
        <w:tc>
          <w:tcPr>
            <w:tcW w:w="1443"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15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2022年7月8日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仿宋" w:hAnsi="仿宋" w:eastAsia="仿宋" w:cs="仿宋"/>
                <w:color w:val="000000"/>
                <w:sz w:val="28"/>
                <w:szCs w:val="28"/>
                <w:highlight w:val="none"/>
                <w:vertAlign w:val="baseline"/>
              </w:rPr>
            </w:pPr>
            <w:r>
              <w:rPr>
                <w:rFonts w:hint="default" w:ascii="仿宋" w:hAnsi="仿宋" w:eastAsia="仿宋" w:cs="仿宋"/>
                <w:b/>
                <w:snapToGrid w:val="0"/>
                <w:color w:val="000000"/>
                <w:kern w:val="0"/>
                <w:sz w:val="28"/>
                <w:szCs w:val="28"/>
                <w:highlight w:val="none"/>
                <w:lang w:eastAsia="zh-CN"/>
              </w:rPr>
              <w:t>陈阳</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b/>
                <w:snapToGrid w:val="0"/>
                <w:color w:val="000000"/>
                <w:kern w:val="0"/>
                <w:sz w:val="28"/>
                <w:szCs w:val="28"/>
                <w:highlight w:val="none"/>
                <w:lang w:eastAsia="zh-CN"/>
              </w:rPr>
              <w:t>5220190024</w:t>
            </w:r>
          </w:p>
        </w:tc>
        <w:tc>
          <w:tcPr>
            <w:tcW w:w="1443"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15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r>
              <w:rPr>
                <w:rFonts w:hint="eastAsia" w:ascii="仿宋" w:hAnsi="仿宋" w:eastAsia="仿宋" w:cs="仿宋"/>
                <w:color w:val="000000"/>
                <w:sz w:val="28"/>
                <w:szCs w:val="28"/>
                <w:highlight w:val="none"/>
                <w:vertAlign w:val="baseline"/>
                <w:lang w:val="en-US" w:eastAsia="zh-CN"/>
              </w:rPr>
              <w:t>2022年7月8日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仿宋" w:hAnsi="仿宋" w:eastAsia="仿宋" w:cs="仿宋"/>
                <w:b/>
                <w:snapToGrid w:val="0"/>
                <w:color w:val="000000"/>
                <w:kern w:val="0"/>
                <w:sz w:val="28"/>
                <w:szCs w:val="28"/>
                <w:highlight w:val="none"/>
                <w:lang w:val="en-US" w:eastAsia="zh-CN"/>
              </w:rPr>
            </w:pPr>
            <w:r>
              <w:rPr>
                <w:rFonts w:hint="eastAsia" w:ascii="仿宋" w:hAnsi="仿宋" w:eastAsia="仿宋" w:cs="仿宋"/>
                <w:b/>
                <w:snapToGrid w:val="0"/>
                <w:color w:val="000000"/>
                <w:kern w:val="0"/>
                <w:sz w:val="28"/>
                <w:szCs w:val="28"/>
                <w:highlight w:val="none"/>
                <w:shd w:val="clear"/>
                <w:lang w:val="en-US" w:eastAsia="zh-CN"/>
              </w:rPr>
              <w:t>吴堂科</w:t>
            </w:r>
          </w:p>
        </w:tc>
        <w:tc>
          <w:tcPr>
            <w:tcW w:w="1087"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b/>
                <w:snapToGrid w:val="0"/>
                <w:color w:val="000000"/>
                <w:kern w:val="0"/>
                <w:sz w:val="28"/>
                <w:szCs w:val="28"/>
                <w:highlight w:val="none"/>
                <w:lang w:eastAsia="zh-CN"/>
              </w:rPr>
            </w:pPr>
          </w:p>
        </w:tc>
        <w:tc>
          <w:tcPr>
            <w:tcW w:w="1443"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rPr>
            </w:pPr>
          </w:p>
        </w:tc>
        <w:tc>
          <w:tcPr>
            <w:tcW w:w="1584"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仿宋" w:hAnsi="仿宋" w:eastAsia="仿宋" w:cs="仿宋"/>
                <w:color w:val="000000"/>
                <w:sz w:val="28"/>
                <w:szCs w:val="28"/>
                <w:highlight w:val="none"/>
                <w:vertAlign w:val="baseline"/>
                <w:lang w:val="en-US" w:eastAsia="zh-CN"/>
              </w:rPr>
            </w:pPr>
            <w:r>
              <w:rPr>
                <w:rFonts w:hint="eastAsia" w:ascii="仿宋" w:hAnsi="仿宋" w:eastAsia="仿宋" w:cs="仿宋"/>
                <w:color w:val="000000"/>
                <w:sz w:val="28"/>
                <w:szCs w:val="28"/>
                <w:highlight w:val="none"/>
                <w:vertAlign w:val="baseline"/>
                <w:lang w:val="en-US" w:eastAsia="zh-CN"/>
              </w:rPr>
              <w:t>2022年7月8日</w:t>
            </w:r>
          </w:p>
        </w:tc>
      </w:tr>
    </w:tbl>
    <w:p>
      <w:pPr>
        <w:pStyle w:val="2"/>
        <w:spacing w:before="0" w:after="0" w:line="500" w:lineRule="exact"/>
        <w:rPr>
          <w:rFonts w:ascii="黑体" w:hAnsi="黑体" w:cs="黑体"/>
          <w:snapToGrid w:val="0"/>
          <w:kern w:val="0"/>
          <w:sz w:val="30"/>
          <w:szCs w:val="30"/>
          <w:highlight w:val="none"/>
        </w:rPr>
      </w:pPr>
      <w:bookmarkStart w:id="40" w:name="_Toc27782"/>
      <w:r>
        <w:rPr>
          <w:rFonts w:hint="eastAsia" w:ascii="黑体" w:hAnsi="黑体" w:cs="黑体"/>
          <w:snapToGrid w:val="0"/>
          <w:kern w:val="0"/>
          <w:sz w:val="30"/>
          <w:szCs w:val="30"/>
          <w:highlight w:val="none"/>
        </w:rPr>
        <w:t>（十</w:t>
      </w:r>
      <w:r>
        <w:rPr>
          <w:rFonts w:hint="eastAsia" w:ascii="黑体" w:hAnsi="黑体" w:cs="黑体"/>
          <w:snapToGrid w:val="0"/>
          <w:kern w:val="0"/>
          <w:sz w:val="30"/>
          <w:szCs w:val="30"/>
          <w:highlight w:val="none"/>
          <w:lang w:val="en-US" w:eastAsia="zh-CN"/>
        </w:rPr>
        <w:t>二</w:t>
      </w:r>
      <w:r>
        <w:rPr>
          <w:rFonts w:hint="eastAsia" w:ascii="黑体" w:hAnsi="黑体" w:cs="黑体"/>
          <w:snapToGrid w:val="0"/>
          <w:kern w:val="0"/>
          <w:sz w:val="30"/>
          <w:szCs w:val="30"/>
          <w:highlight w:val="none"/>
        </w:rPr>
        <w:t>）实地查勘期</w:t>
      </w:r>
      <w:bookmarkEnd w:id="40"/>
    </w:p>
    <w:p>
      <w:pPr>
        <w:spacing w:line="510" w:lineRule="exact"/>
        <w:ind w:firstLine="674" w:firstLineChars="200"/>
        <w:rPr>
          <w:rFonts w:hint="eastAsia" w:eastAsia="仿宋"/>
          <w:sz w:val="28"/>
          <w:szCs w:val="28"/>
          <w:highlight w:val="none"/>
          <w:lang w:val="en-US" w:eastAsia="zh-CN"/>
        </w:rPr>
      </w:pPr>
      <w:r>
        <w:rPr>
          <w:rFonts w:hint="eastAsia" w:ascii="仿宋" w:hAnsi="仿宋" w:eastAsia="仿宋" w:cs="仿宋"/>
          <w:snapToGrid w:val="0"/>
          <w:kern w:val="0"/>
          <w:sz w:val="28"/>
          <w:szCs w:val="28"/>
          <w:highlight w:val="none"/>
        </w:rPr>
        <w:t>二</w:t>
      </w:r>
      <w:r>
        <w:rPr>
          <w:rFonts w:hint="eastAsia" w:ascii="仿宋" w:hAnsi="仿宋" w:eastAsia="仿宋" w:cs="仿宋"/>
          <w:snapToGrid w:val="0"/>
          <w:kern w:val="0"/>
          <w:sz w:val="28"/>
          <w:szCs w:val="28"/>
          <w:highlight w:val="none"/>
          <w:lang w:eastAsia="zh-CN"/>
        </w:rPr>
        <w:t>〇</w:t>
      </w:r>
      <w:r>
        <w:rPr>
          <w:rFonts w:hint="eastAsia" w:ascii="仿宋" w:hAnsi="仿宋" w:eastAsia="仿宋" w:cs="仿宋"/>
          <w:snapToGrid w:val="0"/>
          <w:kern w:val="0"/>
          <w:sz w:val="28"/>
          <w:szCs w:val="28"/>
          <w:highlight w:val="none"/>
        </w:rPr>
        <w:t>二</w:t>
      </w:r>
      <w:r>
        <w:rPr>
          <w:rFonts w:hint="eastAsia" w:ascii="仿宋" w:hAnsi="仿宋" w:eastAsia="仿宋" w:cs="仿宋"/>
          <w:snapToGrid w:val="0"/>
          <w:kern w:val="0"/>
          <w:sz w:val="28"/>
          <w:szCs w:val="28"/>
          <w:highlight w:val="none"/>
          <w:lang w:eastAsia="zh-CN"/>
        </w:rPr>
        <w:t>二年六月八日。</w:t>
      </w:r>
    </w:p>
    <w:p>
      <w:pPr>
        <w:pStyle w:val="2"/>
        <w:spacing w:before="0" w:after="0" w:line="500" w:lineRule="exact"/>
        <w:rPr>
          <w:rFonts w:ascii="黑体" w:hAnsi="黑体" w:cs="黑体"/>
          <w:snapToGrid w:val="0"/>
          <w:kern w:val="0"/>
          <w:sz w:val="30"/>
          <w:szCs w:val="30"/>
          <w:highlight w:val="none"/>
        </w:rPr>
      </w:pPr>
      <w:bookmarkStart w:id="41" w:name="_Toc27113"/>
      <w:r>
        <w:rPr>
          <w:rFonts w:hint="eastAsia" w:ascii="黑体" w:hAnsi="黑体" w:cs="黑体"/>
          <w:snapToGrid w:val="0"/>
          <w:kern w:val="0"/>
          <w:sz w:val="30"/>
          <w:szCs w:val="30"/>
          <w:highlight w:val="none"/>
        </w:rPr>
        <w:t>（十</w:t>
      </w:r>
      <w:r>
        <w:rPr>
          <w:rFonts w:hint="eastAsia" w:ascii="黑体" w:hAnsi="黑体" w:cs="黑体"/>
          <w:snapToGrid w:val="0"/>
          <w:kern w:val="0"/>
          <w:sz w:val="30"/>
          <w:szCs w:val="30"/>
          <w:highlight w:val="none"/>
          <w:lang w:val="en-US" w:eastAsia="zh-CN"/>
        </w:rPr>
        <w:t>三</w:t>
      </w:r>
      <w:r>
        <w:rPr>
          <w:rFonts w:hint="eastAsia" w:ascii="黑体" w:hAnsi="黑体" w:cs="黑体"/>
          <w:snapToGrid w:val="0"/>
          <w:kern w:val="0"/>
          <w:sz w:val="30"/>
          <w:szCs w:val="30"/>
          <w:highlight w:val="none"/>
        </w:rPr>
        <w:t>）估价作业日期</w:t>
      </w:r>
      <w:bookmarkEnd w:id="39"/>
      <w:bookmarkEnd w:id="41"/>
    </w:p>
    <w:p>
      <w:pPr>
        <w:keepNext w:val="0"/>
        <w:keepLines w:val="0"/>
        <w:pageBreakBefore w:val="0"/>
        <w:widowControl w:val="0"/>
        <w:kinsoku/>
        <w:wordWrap/>
        <w:overflowPunct/>
        <w:topLinePunct w:val="0"/>
        <w:autoSpaceDE/>
        <w:autoSpaceDN/>
        <w:bidi w:val="0"/>
        <w:adjustRightInd w:val="0"/>
        <w:snapToGrid w:val="0"/>
        <w:spacing w:line="510" w:lineRule="exact"/>
        <w:ind w:firstLine="674"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二〇二二年</w:t>
      </w:r>
      <w:r>
        <w:rPr>
          <w:rFonts w:hint="eastAsia" w:ascii="仿宋" w:hAnsi="仿宋" w:eastAsia="仿宋" w:cs="仿宋"/>
          <w:snapToGrid w:val="0"/>
          <w:kern w:val="0"/>
          <w:sz w:val="28"/>
          <w:szCs w:val="28"/>
          <w:highlight w:val="none"/>
          <w:lang w:eastAsia="zh-CN"/>
        </w:rPr>
        <w:t>六月</w:t>
      </w:r>
      <w:r>
        <w:rPr>
          <w:rFonts w:hint="eastAsia" w:ascii="仿宋" w:hAnsi="仿宋" w:eastAsia="仿宋" w:cs="仿宋"/>
          <w:snapToGrid w:val="0"/>
          <w:kern w:val="0"/>
          <w:sz w:val="28"/>
          <w:szCs w:val="28"/>
          <w:highlight w:val="none"/>
          <w:lang w:val="en-US" w:eastAsia="zh-CN"/>
        </w:rPr>
        <w:t>六</w:t>
      </w:r>
      <w:r>
        <w:rPr>
          <w:rFonts w:hint="eastAsia" w:ascii="仿宋" w:hAnsi="仿宋" w:eastAsia="仿宋" w:cs="仿宋"/>
          <w:snapToGrid w:val="0"/>
          <w:kern w:val="0"/>
          <w:sz w:val="28"/>
          <w:szCs w:val="28"/>
          <w:highlight w:val="none"/>
          <w:lang w:eastAsia="zh-CN"/>
        </w:rPr>
        <w:t>日</w:t>
      </w:r>
      <w:r>
        <w:rPr>
          <w:rFonts w:hint="eastAsia" w:ascii="仿宋" w:hAnsi="仿宋" w:eastAsia="仿宋" w:cs="仿宋"/>
          <w:sz w:val="28"/>
          <w:szCs w:val="28"/>
          <w:highlight w:val="none"/>
          <w:lang w:val="en-US" w:eastAsia="zh-CN"/>
        </w:rPr>
        <w:t>至二〇二二年七月八日。</w:t>
      </w:r>
    </w:p>
    <w:p>
      <w:pPr>
        <w:pStyle w:val="2"/>
        <w:spacing w:before="0" w:after="0" w:line="500" w:lineRule="exact"/>
        <w:rPr>
          <w:rFonts w:ascii="黑体" w:hAnsi="黑体" w:cs="黑体"/>
          <w:snapToGrid w:val="0"/>
          <w:kern w:val="0"/>
          <w:sz w:val="30"/>
          <w:szCs w:val="30"/>
          <w:highlight w:val="none"/>
        </w:rPr>
      </w:pPr>
      <w:bookmarkStart w:id="42" w:name="_Toc22320"/>
      <w:bookmarkStart w:id="43" w:name="_Toc383703923"/>
      <w:r>
        <w:rPr>
          <w:rFonts w:hint="eastAsia" w:ascii="黑体" w:hAnsi="黑体" w:cs="黑体"/>
          <w:snapToGrid w:val="0"/>
          <w:kern w:val="0"/>
          <w:sz w:val="30"/>
          <w:szCs w:val="30"/>
          <w:highlight w:val="none"/>
        </w:rPr>
        <w:t>（十</w:t>
      </w:r>
      <w:r>
        <w:rPr>
          <w:rFonts w:hint="eastAsia" w:ascii="黑体" w:hAnsi="黑体" w:cs="黑体"/>
          <w:snapToGrid w:val="0"/>
          <w:kern w:val="0"/>
          <w:sz w:val="30"/>
          <w:szCs w:val="30"/>
          <w:highlight w:val="none"/>
          <w:lang w:val="en-US" w:eastAsia="zh-CN"/>
        </w:rPr>
        <w:t>四</w:t>
      </w:r>
      <w:r>
        <w:rPr>
          <w:rFonts w:hint="eastAsia" w:ascii="黑体" w:hAnsi="黑体" w:cs="黑体"/>
          <w:snapToGrid w:val="0"/>
          <w:kern w:val="0"/>
          <w:sz w:val="30"/>
          <w:szCs w:val="30"/>
          <w:highlight w:val="none"/>
        </w:rPr>
        <w:t>）估价报告应用的有效期</w:t>
      </w:r>
      <w:bookmarkEnd w:id="42"/>
      <w:bookmarkEnd w:id="43"/>
    </w:p>
    <w:p>
      <w:pPr>
        <w:spacing w:line="510" w:lineRule="exact"/>
        <w:ind w:firstLine="674" w:firstLineChars="200"/>
        <w:rPr>
          <w:rFonts w:ascii="黑体" w:eastAsia="仿宋"/>
          <w:snapToGrid w:val="0"/>
          <w:kern w:val="0"/>
          <w:sz w:val="28"/>
          <w:szCs w:val="28"/>
          <w:highlight w:val="none"/>
        </w:rPr>
      </w:pPr>
      <w:r>
        <w:rPr>
          <w:rFonts w:hint="eastAsia" w:ascii="仿宋" w:hAnsi="仿宋" w:eastAsia="仿宋" w:cs="仿宋"/>
          <w:snapToGrid w:val="0"/>
          <w:kern w:val="0"/>
          <w:sz w:val="28"/>
          <w:szCs w:val="28"/>
          <w:highlight w:val="none"/>
        </w:rPr>
        <w:t>本报告应用有效期为</w:t>
      </w:r>
      <w:r>
        <w:rPr>
          <w:rFonts w:hint="eastAsia" w:ascii="仿宋" w:hAnsi="仿宋" w:eastAsia="仿宋"/>
          <w:snapToGrid w:val="0"/>
          <w:sz w:val="28"/>
          <w:szCs w:val="28"/>
          <w:highlight w:val="none"/>
        </w:rPr>
        <w:t>自报告出具时点</w:t>
      </w:r>
      <w:r>
        <w:rPr>
          <w:rFonts w:hint="eastAsia" w:ascii="仿宋" w:hAnsi="仿宋" w:eastAsia="仿宋" w:cs="仿宋"/>
          <w:snapToGrid w:val="0"/>
          <w:kern w:val="0"/>
          <w:sz w:val="28"/>
          <w:szCs w:val="28"/>
          <w:highlight w:val="none"/>
        </w:rPr>
        <w:t>起一年[自</w:t>
      </w:r>
      <w:r>
        <w:rPr>
          <w:rFonts w:hint="eastAsia" w:ascii="仿宋" w:hAnsi="仿宋" w:eastAsia="仿宋" w:cs="仿宋"/>
          <w:snapToGrid w:val="0"/>
          <w:kern w:val="0"/>
          <w:sz w:val="28"/>
          <w:szCs w:val="28"/>
          <w:highlight w:val="none"/>
          <w:lang w:eastAsia="zh-CN"/>
        </w:rPr>
        <w:t>2022年7月8日</w:t>
      </w:r>
      <w:r>
        <w:rPr>
          <w:rFonts w:hint="eastAsia" w:ascii="仿宋" w:hAnsi="仿宋" w:eastAsia="仿宋" w:cs="仿宋"/>
          <w:snapToGrid w:val="0"/>
          <w:kern w:val="0"/>
          <w:sz w:val="28"/>
          <w:szCs w:val="28"/>
          <w:highlight w:val="none"/>
          <w:lang w:val="en-US" w:eastAsia="zh-CN"/>
        </w:rPr>
        <w:t>-</w:t>
      </w:r>
      <w:r>
        <w:rPr>
          <w:rFonts w:hint="eastAsia" w:ascii="仿宋" w:hAnsi="仿宋" w:eastAsia="仿宋" w:cs="仿宋"/>
          <w:snapToGrid w:val="0"/>
          <w:kern w:val="0"/>
          <w:sz w:val="28"/>
          <w:szCs w:val="28"/>
          <w:highlight w:val="none"/>
        </w:rPr>
        <w:t>202</w:t>
      </w:r>
      <w:r>
        <w:rPr>
          <w:rFonts w:hint="eastAsia" w:ascii="仿宋" w:hAnsi="仿宋" w:eastAsia="仿宋" w:cs="仿宋"/>
          <w:snapToGrid w:val="0"/>
          <w:kern w:val="0"/>
          <w:sz w:val="28"/>
          <w:szCs w:val="28"/>
          <w:highlight w:val="none"/>
          <w:lang w:val="en-US" w:eastAsia="zh-CN"/>
        </w:rPr>
        <w:t>3</w:t>
      </w:r>
      <w:r>
        <w:rPr>
          <w:rFonts w:hint="eastAsia" w:ascii="仿宋" w:hAnsi="仿宋" w:eastAsia="仿宋" w:cs="仿宋"/>
          <w:snapToGrid w:val="0"/>
          <w:kern w:val="0"/>
          <w:sz w:val="28"/>
          <w:szCs w:val="28"/>
          <w:highlight w:val="none"/>
        </w:rPr>
        <w:t>年</w:t>
      </w:r>
      <w:r>
        <w:rPr>
          <w:rFonts w:hint="eastAsia" w:ascii="仿宋" w:hAnsi="仿宋" w:eastAsia="仿宋" w:cs="仿宋"/>
          <w:snapToGrid w:val="0"/>
          <w:kern w:val="0"/>
          <w:sz w:val="28"/>
          <w:szCs w:val="28"/>
          <w:highlight w:val="none"/>
          <w:lang w:val="en-US" w:eastAsia="zh-CN"/>
        </w:rPr>
        <w:t>7月7日</w:t>
      </w:r>
      <w:r>
        <w:rPr>
          <w:rFonts w:hint="eastAsia" w:ascii="仿宋" w:hAnsi="仿宋" w:eastAsia="仿宋" w:cs="仿宋"/>
          <w:snapToGrid w:val="0"/>
          <w:kern w:val="0"/>
          <w:sz w:val="28"/>
          <w:szCs w:val="28"/>
          <w:highlight w:val="none"/>
        </w:rPr>
        <w:t>止]，若市场有较大波动或超过一年，需重新进行</w:t>
      </w:r>
      <w:bookmarkStart w:id="44" w:name="_Toc17960863"/>
      <w:r>
        <w:rPr>
          <w:rFonts w:hint="eastAsia" w:ascii="仿宋" w:hAnsi="仿宋" w:eastAsia="仿宋" w:cs="仿宋"/>
          <w:snapToGrid w:val="0"/>
          <w:kern w:val="0"/>
          <w:sz w:val="28"/>
          <w:szCs w:val="28"/>
          <w:highlight w:val="none"/>
        </w:rPr>
        <w:t>估价。</w:t>
      </w:r>
    </w:p>
    <w:p>
      <w:pPr>
        <w:rPr>
          <w:highlight w:val="none"/>
        </w:rPr>
      </w:pPr>
      <w:r>
        <w:rPr>
          <w:rFonts w:ascii="黑体" w:eastAsia="黑体"/>
          <w:snapToGrid w:val="0"/>
          <w:kern w:val="0"/>
          <w:sz w:val="30"/>
          <w:szCs w:val="30"/>
          <w:highlight w:val="none"/>
        </w:rPr>
        <w:br w:type="page"/>
      </w:r>
    </w:p>
    <w:p>
      <w:pPr>
        <w:pStyle w:val="3"/>
        <w:keepLines/>
        <w:rPr>
          <w:rFonts w:ascii="黑体" w:hAnsi="黑体" w:eastAsia="黑体" w:cs="黑体"/>
          <w:bCs/>
          <w:snapToGrid w:val="0"/>
          <w:kern w:val="0"/>
          <w:sz w:val="44"/>
          <w:szCs w:val="44"/>
          <w:highlight w:val="none"/>
        </w:rPr>
      </w:pPr>
      <w:bookmarkStart w:id="45" w:name="_Toc30709"/>
      <w:r>
        <w:rPr>
          <w:rFonts w:hint="eastAsia" w:ascii="黑体" w:hAnsi="黑体" w:eastAsia="黑体" w:cs="黑体"/>
          <w:bCs/>
          <w:snapToGrid w:val="0"/>
          <w:kern w:val="0"/>
          <w:sz w:val="44"/>
          <w:szCs w:val="44"/>
          <w:highlight w:val="none"/>
        </w:rPr>
        <w:t>附　　件</w:t>
      </w:r>
      <w:bookmarkEnd w:id="45"/>
    </w:p>
    <w:p>
      <w:pPr>
        <w:pStyle w:val="2"/>
        <w:keepNext/>
        <w:keepLines w:val="0"/>
        <w:pageBreakBefore w:val="0"/>
        <w:widowControl w:val="0"/>
        <w:tabs>
          <w:tab w:val="left" w:pos="665"/>
        </w:tabs>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46" w:name="_Toc32022"/>
      <w:bookmarkStart w:id="47" w:name="_Toc20739"/>
      <w:r>
        <w:rPr>
          <w:rFonts w:hint="eastAsia" w:ascii="仿宋" w:hAnsi="仿宋" w:eastAsia="仿宋" w:cs="仿宋"/>
          <w:b w:val="0"/>
          <w:bCs/>
          <w:snapToGrid w:val="0"/>
          <w:kern w:val="0"/>
          <w:sz w:val="28"/>
          <w:lang w:val="en-US" w:eastAsia="zh-CN"/>
        </w:rPr>
        <w:t>（一）</w:t>
      </w:r>
      <w:bookmarkEnd w:id="46"/>
      <w:r>
        <w:rPr>
          <w:rFonts w:hint="eastAsia" w:ascii="仿宋" w:hAnsi="仿宋" w:eastAsia="仿宋" w:cs="仿宋"/>
          <w:b w:val="0"/>
          <w:bCs/>
          <w:snapToGrid w:val="0"/>
          <w:kern w:val="0"/>
          <w:sz w:val="28"/>
          <w:lang w:val="en-US" w:eastAsia="zh-CN"/>
        </w:rPr>
        <w:t>《司法鉴定委托书》[（2022）黔2624法评26号]复印件</w:t>
      </w:r>
      <w:bookmarkEnd w:id="47"/>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48" w:name="_Toc7443"/>
      <w:bookmarkStart w:id="49" w:name="_Toc29745"/>
      <w:r>
        <w:rPr>
          <w:rFonts w:hint="eastAsia" w:ascii="仿宋" w:hAnsi="仿宋" w:eastAsia="仿宋" w:cs="仿宋"/>
          <w:b w:val="0"/>
          <w:bCs/>
          <w:snapToGrid w:val="0"/>
          <w:kern w:val="0"/>
          <w:sz w:val="28"/>
          <w:lang w:val="en-US" w:eastAsia="zh-CN"/>
        </w:rPr>
        <w:t>（二）估价对象位置图</w:t>
      </w:r>
      <w:bookmarkEnd w:id="48"/>
      <w:bookmarkEnd w:id="49"/>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0" w:name="_Toc7760"/>
      <w:bookmarkStart w:id="51" w:name="_Toc15794"/>
      <w:r>
        <w:rPr>
          <w:rFonts w:hint="eastAsia" w:ascii="仿宋" w:hAnsi="仿宋" w:eastAsia="仿宋" w:cs="仿宋"/>
          <w:b w:val="0"/>
          <w:bCs/>
          <w:snapToGrid w:val="0"/>
          <w:kern w:val="0"/>
          <w:sz w:val="28"/>
          <w:lang w:val="en-US" w:eastAsia="zh-CN"/>
        </w:rPr>
        <w:t>（三）估价对象照片</w:t>
      </w:r>
      <w:bookmarkEnd w:id="50"/>
      <w:bookmarkEnd w:id="51"/>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2" w:name="_Toc18668"/>
      <w:bookmarkStart w:id="53" w:name="_Toc30909"/>
      <w:r>
        <w:rPr>
          <w:rFonts w:hint="eastAsia" w:ascii="仿宋" w:hAnsi="仿宋" w:eastAsia="仿宋" w:cs="仿宋"/>
          <w:b w:val="0"/>
          <w:bCs/>
          <w:snapToGrid w:val="0"/>
          <w:kern w:val="0"/>
          <w:sz w:val="28"/>
          <w:lang w:val="en-US" w:eastAsia="zh-CN"/>
        </w:rPr>
        <w:t>（四）可比案例位置图及照片</w:t>
      </w:r>
      <w:bookmarkEnd w:id="52"/>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4" w:name="_Toc25185"/>
      <w:r>
        <w:rPr>
          <w:rFonts w:hint="eastAsia" w:ascii="仿宋" w:hAnsi="仿宋" w:eastAsia="仿宋" w:cs="仿宋"/>
          <w:b w:val="0"/>
          <w:bCs/>
          <w:snapToGrid w:val="0"/>
          <w:kern w:val="0"/>
          <w:sz w:val="28"/>
          <w:lang w:val="en-US" w:eastAsia="zh-CN"/>
        </w:rPr>
        <w:t>（五）</w:t>
      </w:r>
      <w:bookmarkEnd w:id="53"/>
      <w:bookmarkStart w:id="55" w:name="_Toc21717"/>
      <w:r>
        <w:rPr>
          <w:rFonts w:hint="eastAsia" w:ascii="仿宋" w:hAnsi="仿宋" w:eastAsia="仿宋" w:cs="仿宋"/>
          <w:b w:val="0"/>
          <w:bCs/>
          <w:snapToGrid w:val="0"/>
          <w:kern w:val="0"/>
          <w:sz w:val="28"/>
          <w:lang w:val="en-US" w:eastAsia="zh-CN"/>
        </w:rPr>
        <w:t>《贵州省不动产登记查询结果》</w:t>
      </w:r>
      <w:bookmarkEnd w:id="54"/>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ascii="仿宋" w:hAnsi="仿宋" w:eastAsia="仿宋" w:cs="仿宋"/>
          <w:b w:val="0"/>
          <w:bCs/>
          <w:snapToGrid w:val="0"/>
          <w:kern w:val="0"/>
          <w:sz w:val="28"/>
          <w:lang w:val="en-US" w:eastAsia="zh-CN"/>
        </w:rPr>
      </w:pPr>
      <w:bookmarkStart w:id="56" w:name="_Toc19859"/>
      <w:r>
        <w:rPr>
          <w:rFonts w:hint="eastAsia" w:ascii="仿宋" w:hAnsi="仿宋" w:eastAsia="仿宋" w:cs="仿宋"/>
          <w:b w:val="0"/>
          <w:bCs/>
          <w:snapToGrid w:val="0"/>
          <w:kern w:val="0"/>
          <w:sz w:val="28"/>
          <w:lang w:val="en-US" w:eastAsia="zh-CN"/>
        </w:rPr>
        <w:t>（六）</w:t>
      </w:r>
      <w:bookmarkEnd w:id="55"/>
      <w:r>
        <w:rPr>
          <w:rFonts w:hint="eastAsia" w:ascii="仿宋" w:hAnsi="仿宋" w:eastAsia="仿宋" w:cs="仿宋"/>
          <w:b w:val="0"/>
          <w:bCs/>
          <w:snapToGrid w:val="0"/>
          <w:kern w:val="0"/>
          <w:sz w:val="28"/>
          <w:lang w:val="en-US" w:eastAsia="zh-CN"/>
        </w:rPr>
        <w:t>《房地产估价机构营业执照》复印件</w:t>
      </w:r>
      <w:bookmarkEnd w:id="56"/>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default" w:ascii="仿宋" w:hAnsi="仿宋" w:eastAsia="仿宋" w:cs="仿宋"/>
          <w:b w:val="0"/>
          <w:bCs/>
          <w:snapToGrid w:val="0"/>
          <w:kern w:val="0"/>
          <w:sz w:val="28"/>
          <w:lang w:val="en-US" w:eastAsia="zh-CN"/>
        </w:rPr>
      </w:pPr>
      <w:bookmarkStart w:id="57" w:name="_Toc11543"/>
      <w:bookmarkStart w:id="58" w:name="_Toc6906"/>
      <w:r>
        <w:rPr>
          <w:rFonts w:hint="eastAsia" w:ascii="仿宋" w:hAnsi="仿宋" w:eastAsia="仿宋" w:cs="仿宋"/>
          <w:b w:val="0"/>
          <w:bCs/>
          <w:snapToGrid w:val="0"/>
          <w:kern w:val="0"/>
          <w:sz w:val="28"/>
          <w:lang w:val="en-US" w:eastAsia="zh-CN"/>
        </w:rPr>
        <w:t>（七）</w:t>
      </w:r>
      <w:bookmarkEnd w:id="57"/>
      <w:r>
        <w:rPr>
          <w:rFonts w:hint="eastAsia" w:ascii="仿宋" w:hAnsi="仿宋" w:eastAsia="仿宋" w:cs="仿宋"/>
          <w:b w:val="0"/>
          <w:bCs/>
          <w:snapToGrid w:val="0"/>
          <w:kern w:val="0"/>
          <w:sz w:val="28"/>
          <w:lang w:val="en-US" w:eastAsia="zh-CN"/>
        </w:rPr>
        <w:t>《房地产估价机构资质证书》复印件</w:t>
      </w:r>
      <w:bookmarkEnd w:id="58"/>
    </w:p>
    <w:p>
      <w:pPr>
        <w:pStyle w:val="2"/>
        <w:keepNext/>
        <w:keepLines w:val="0"/>
        <w:pageBreakBefore w:val="0"/>
        <w:widowControl w:val="0"/>
        <w:kinsoku/>
        <w:wordWrap/>
        <w:overflowPunct/>
        <w:topLinePunct w:val="0"/>
        <w:autoSpaceDE/>
        <w:autoSpaceDN/>
        <w:bidi w:val="0"/>
        <w:adjustRightInd w:val="0"/>
        <w:snapToGrid w:val="0"/>
        <w:spacing w:before="0" w:after="0" w:line="360" w:lineRule="auto"/>
        <w:ind w:firstLine="674" w:firstLineChars="200"/>
        <w:jc w:val="both"/>
        <w:textAlignment w:val="auto"/>
        <w:outlineLvl w:val="1"/>
        <w:rPr>
          <w:rFonts w:hint="eastAsia"/>
          <w:lang w:val="en-US" w:eastAsia="zh-CN"/>
        </w:rPr>
      </w:pPr>
      <w:bookmarkStart w:id="59" w:name="_Toc25122"/>
      <w:bookmarkStart w:id="60" w:name="_Toc9411"/>
      <w:r>
        <w:rPr>
          <w:rFonts w:hint="eastAsia" w:ascii="仿宋" w:hAnsi="仿宋" w:eastAsia="仿宋" w:cs="仿宋"/>
          <w:b w:val="0"/>
          <w:bCs/>
          <w:snapToGrid w:val="0"/>
          <w:kern w:val="0"/>
          <w:sz w:val="28"/>
          <w:lang w:val="en-US" w:eastAsia="zh-CN"/>
        </w:rPr>
        <w:t>（八）</w:t>
      </w:r>
      <w:bookmarkEnd w:id="59"/>
      <w:r>
        <w:rPr>
          <w:rFonts w:hint="eastAsia" w:ascii="仿宋" w:hAnsi="仿宋" w:eastAsia="仿宋" w:cs="仿宋"/>
          <w:b w:val="0"/>
          <w:bCs/>
          <w:snapToGrid w:val="0"/>
          <w:kern w:val="0"/>
          <w:sz w:val="28"/>
          <w:lang w:val="en-US" w:eastAsia="zh-CN"/>
        </w:rPr>
        <w:t>《房地产估价师注册证书》复印件</w:t>
      </w:r>
      <w:bookmarkEnd w:id="60"/>
    </w:p>
    <w:p>
      <w:pPr>
        <w:spacing w:before="0" w:after="0" w:line="360" w:lineRule="auto"/>
        <w:outlineLvl w:val="1"/>
        <w:rPr>
          <w:rFonts w:ascii="仿宋" w:hAnsi="仿宋" w:eastAsia="仿宋" w:cs="仿宋"/>
          <w:b w:val="0"/>
          <w:bCs w:val="0"/>
          <w:snapToGrid w:val="0"/>
          <w:kern w:val="0"/>
          <w:sz w:val="28"/>
          <w:szCs w:val="28"/>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spacing w:line="360" w:lineRule="auto"/>
        <w:outlineLvl w:val="9"/>
        <w:rPr>
          <w:rFonts w:ascii="黑体" w:eastAsia="黑体"/>
          <w:snapToGrid w:val="0"/>
          <w:kern w:val="0"/>
          <w:sz w:val="44"/>
          <w:szCs w:val="44"/>
          <w:highlight w:val="none"/>
        </w:rPr>
      </w:pPr>
    </w:p>
    <w:p>
      <w:pPr>
        <w:outlineLvl w:val="9"/>
        <w:rPr>
          <w:rFonts w:ascii="黑体" w:eastAsia="黑体"/>
          <w:snapToGrid w:val="0"/>
          <w:kern w:val="0"/>
          <w:sz w:val="44"/>
          <w:szCs w:val="44"/>
          <w:highlight w:val="none"/>
        </w:rPr>
      </w:pPr>
    </w:p>
    <w:p>
      <w:pPr>
        <w:jc w:val="center"/>
        <w:outlineLvl w:val="9"/>
        <w:rPr>
          <w:rFonts w:ascii="黑体" w:hAnsi="黑体" w:eastAsia="黑体" w:cs="黑体"/>
          <w:b/>
          <w:bCs/>
          <w:sz w:val="44"/>
          <w:szCs w:val="44"/>
          <w:highlight w:val="none"/>
        </w:rPr>
      </w:pPr>
      <w:bookmarkStart w:id="61" w:name="_Toc21608388"/>
      <w:bookmarkStart w:id="62" w:name="_Toc21608305"/>
      <w:bookmarkStart w:id="63" w:name="_Toc21594264"/>
      <w:bookmarkStart w:id="64" w:name="_Toc8245"/>
      <w:r>
        <w:rPr>
          <w:rFonts w:hint="eastAsia" w:ascii="黑体" w:hAnsi="黑体" w:eastAsia="黑体" w:cs="黑体"/>
          <w:b/>
          <w:bCs/>
          <w:sz w:val="44"/>
          <w:szCs w:val="44"/>
          <w:highlight w:val="none"/>
        </w:rPr>
        <w:br w:type="page"/>
      </w:r>
      <w:r>
        <w:rPr>
          <w:rFonts w:hint="eastAsia" w:ascii="黑体" w:hAnsi="黑体" w:eastAsia="黑体" w:cs="黑体"/>
          <w:b/>
          <w:bCs/>
          <w:sz w:val="44"/>
          <w:szCs w:val="44"/>
          <w:highlight w:val="none"/>
        </w:rPr>
        <w:t>估价技术报告</w:t>
      </w:r>
      <w:bookmarkEnd w:id="44"/>
      <w:bookmarkEnd w:id="61"/>
      <w:bookmarkEnd w:id="62"/>
      <w:bookmarkEnd w:id="63"/>
      <w:bookmarkEnd w:id="64"/>
    </w:p>
    <w:p>
      <w:pPr>
        <w:rPr>
          <w:rFonts w:hint="eastAsia" w:ascii="黑体" w:hAnsi="黑体" w:eastAsia="黑体" w:cs="黑体"/>
          <w:b/>
          <w:bCs/>
          <w:sz w:val="30"/>
          <w:szCs w:val="30"/>
          <w:highlight w:val="none"/>
        </w:rPr>
      </w:pPr>
      <w:bookmarkStart w:id="65" w:name="_Toc21608306"/>
      <w:bookmarkStart w:id="66" w:name="_Toc21594265"/>
      <w:bookmarkStart w:id="67" w:name="_Toc339438802"/>
      <w:bookmarkStart w:id="68" w:name="_Toc17960864"/>
      <w:bookmarkStart w:id="69" w:name="_Toc15742"/>
      <w:bookmarkStart w:id="70" w:name="_Toc21608389"/>
      <w:bookmarkStart w:id="71" w:name="_Toc2797"/>
      <w:bookmarkStart w:id="72" w:name="_Toc273364708"/>
      <w:bookmarkStart w:id="73" w:name="_Toc262224741"/>
      <w:bookmarkStart w:id="74" w:name="_Toc262454102"/>
      <w:r>
        <w:rPr>
          <w:rFonts w:hint="eastAsia" w:ascii="黑体" w:hAnsi="黑体" w:eastAsia="黑体" w:cs="黑体"/>
          <w:b/>
          <w:bCs/>
          <w:sz w:val="30"/>
          <w:szCs w:val="30"/>
          <w:highlight w:val="none"/>
        </w:rPr>
        <w:t>（一）个别因素分析</w:t>
      </w:r>
      <w:bookmarkEnd w:id="65"/>
      <w:bookmarkEnd w:id="66"/>
      <w:bookmarkEnd w:id="67"/>
      <w:bookmarkEnd w:id="68"/>
      <w:bookmarkEnd w:id="69"/>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bookmarkStart w:id="75" w:name="_Toc19836"/>
      <w:bookmarkStart w:id="76" w:name="_Toc383696062"/>
      <w:bookmarkStart w:id="77" w:name="_Toc12831"/>
      <w:bookmarkStart w:id="78" w:name="_Toc21608392"/>
      <w:bookmarkStart w:id="79" w:name="_Toc383763175"/>
      <w:bookmarkStart w:id="80" w:name="_Toc383703931"/>
      <w:bookmarkStart w:id="81" w:name="_Toc21594268"/>
      <w:bookmarkStart w:id="82" w:name="_Toc21608309"/>
      <w:bookmarkStart w:id="83" w:name="_Toc17960868"/>
      <w:r>
        <w:rPr>
          <w:rFonts w:hint="eastAsia" w:ascii="仿宋" w:hAnsi="仿宋" w:eastAsia="仿宋" w:cs="仿宋"/>
          <w:snapToGrid w:val="0"/>
          <w:kern w:val="0"/>
          <w:sz w:val="28"/>
          <w:szCs w:val="28"/>
          <w:highlight w:val="none"/>
          <w:lang w:val="en-US" w:eastAsia="zh-CN"/>
        </w:rPr>
        <w:t>1、估价对象区位状况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1</w:t>
      </w:r>
      <w:r>
        <w:rPr>
          <w:rFonts w:hint="eastAsia" w:ascii="仿宋" w:hAnsi="仿宋" w:eastAsia="仿宋" w:cs="仿宋"/>
          <w:snapToGrid w:val="0"/>
          <w:kern w:val="0"/>
          <w:sz w:val="28"/>
          <w:szCs w:val="28"/>
          <w:highlight w:val="none"/>
          <w:lang w:eastAsia="zh-CN"/>
        </w:rPr>
        <w:t>）估价对象位置状况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估价对象位于贵州省三穗县三穗县八弓镇胜利村一小背后，</w:t>
      </w:r>
      <w:r>
        <w:rPr>
          <w:rFonts w:hint="eastAsia" w:ascii="仿宋" w:hAnsi="仿宋" w:eastAsia="仿宋" w:cs="仿宋"/>
          <w:snapToGrid w:val="0"/>
          <w:kern w:val="0"/>
          <w:sz w:val="28"/>
          <w:szCs w:val="28"/>
          <w:highlight w:val="none"/>
          <w:lang w:val="en-US" w:eastAsia="zh-CN"/>
        </w:rPr>
        <w:t>估价对象</w:t>
      </w:r>
      <w:r>
        <w:rPr>
          <w:rFonts w:hint="eastAsia" w:ascii="仿宋" w:hAnsi="仿宋" w:eastAsia="仿宋" w:cs="仿宋"/>
          <w:snapToGrid w:val="0"/>
          <w:kern w:val="0"/>
          <w:sz w:val="28"/>
          <w:szCs w:val="28"/>
          <w:highlight w:val="none"/>
          <w:lang w:eastAsia="zh-CN"/>
        </w:rPr>
        <w:t>地理位置、交通便捷度、繁华程度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周边配套</w:t>
      </w:r>
      <w:r>
        <w:rPr>
          <w:rFonts w:hint="eastAsia" w:ascii="仿宋" w:hAnsi="仿宋" w:eastAsia="仿宋" w:cs="仿宋"/>
          <w:snapToGrid w:val="0"/>
          <w:kern w:val="0"/>
          <w:sz w:val="28"/>
          <w:szCs w:val="28"/>
          <w:highlight w:val="none"/>
          <w:lang w:val="en-US" w:eastAsia="zh-CN"/>
        </w:rPr>
        <w:t>较完善</w:t>
      </w:r>
      <w:r>
        <w:rPr>
          <w:rFonts w:hint="eastAsia" w:ascii="仿宋" w:hAnsi="仿宋" w:eastAsia="仿宋" w:cs="仿宋"/>
          <w:snapToGrid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2</w:t>
      </w:r>
      <w:r>
        <w:rPr>
          <w:rFonts w:hint="eastAsia" w:ascii="仿宋" w:hAnsi="仿宋" w:eastAsia="仿宋" w:cs="仿宋"/>
          <w:snapToGrid w:val="0"/>
          <w:kern w:val="0"/>
          <w:sz w:val="28"/>
          <w:szCs w:val="28"/>
          <w:highlight w:val="none"/>
          <w:lang w:eastAsia="zh-CN"/>
        </w:rPr>
        <w:t>）估价对象交通状况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估价对象位于贵州省三穗县三穗县八弓镇胜利村一小背后，附近有三穗3路、三穗1路</w:t>
      </w:r>
      <w:r>
        <w:rPr>
          <w:rFonts w:hint="eastAsia" w:ascii="仿宋" w:hAnsi="仿宋" w:eastAsia="仿宋" w:cs="仿宋"/>
          <w:snapToGrid w:val="0"/>
          <w:color w:val="auto"/>
          <w:kern w:val="0"/>
          <w:sz w:val="28"/>
          <w:szCs w:val="28"/>
          <w:highlight w:val="none"/>
          <w:lang w:val="en-US" w:eastAsia="zh-CN"/>
        </w:rPr>
        <w:t>公交车</w:t>
      </w:r>
      <w:r>
        <w:rPr>
          <w:rFonts w:hint="eastAsia" w:ascii="仿宋" w:hAnsi="仿宋" w:eastAsia="仿宋" w:cs="仿宋"/>
          <w:snapToGrid w:val="0"/>
          <w:kern w:val="0"/>
          <w:sz w:val="28"/>
          <w:szCs w:val="28"/>
          <w:highlight w:val="none"/>
          <w:lang w:eastAsia="zh-CN"/>
        </w:rPr>
        <w:t>，交通</w:t>
      </w:r>
      <w:r>
        <w:rPr>
          <w:rFonts w:hint="eastAsia" w:ascii="仿宋" w:hAnsi="仿宋" w:eastAsia="仿宋" w:cs="仿宋"/>
          <w:snapToGrid w:val="0"/>
          <w:kern w:val="0"/>
          <w:sz w:val="28"/>
          <w:szCs w:val="28"/>
          <w:highlight w:val="none"/>
          <w:lang w:val="en-US" w:eastAsia="zh-CN"/>
        </w:rPr>
        <w:t>条件</w:t>
      </w:r>
      <w:r>
        <w:rPr>
          <w:rFonts w:hint="eastAsia" w:ascii="仿宋" w:hAnsi="仿宋" w:eastAsia="仿宋" w:cs="仿宋"/>
          <w:snapToGrid w:val="0"/>
          <w:kern w:val="0"/>
          <w:sz w:val="28"/>
          <w:szCs w:val="28"/>
          <w:highlight w:val="none"/>
          <w:lang w:eastAsia="zh-CN"/>
        </w:rPr>
        <w:t>一般。</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kern w:val="0"/>
          <w:sz w:val="28"/>
          <w:szCs w:val="28"/>
          <w:highlight w:val="none"/>
          <w:lang w:val="en-US" w:eastAsia="zh-CN"/>
        </w:rPr>
        <w:t>3</w:t>
      </w:r>
      <w:r>
        <w:rPr>
          <w:rFonts w:hint="eastAsia" w:ascii="仿宋" w:hAnsi="仿宋" w:eastAsia="仿宋" w:cs="仿宋"/>
          <w:snapToGrid w:val="0"/>
          <w:kern w:val="0"/>
          <w:sz w:val="28"/>
          <w:szCs w:val="28"/>
          <w:highlight w:val="none"/>
          <w:lang w:eastAsia="zh-CN"/>
        </w:rPr>
        <w:t>）公共配套设施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①基础设施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估价对象基础设施已达到“</w:t>
      </w:r>
      <w:r>
        <w:rPr>
          <w:rFonts w:hint="eastAsia" w:ascii="仿宋" w:hAnsi="仿宋" w:eastAsia="仿宋" w:cs="仿宋"/>
          <w:snapToGrid w:val="0"/>
          <w:kern w:val="0"/>
          <w:sz w:val="28"/>
          <w:szCs w:val="28"/>
          <w:highlight w:val="none"/>
          <w:lang w:val="en-US" w:eastAsia="zh-CN"/>
        </w:rPr>
        <w:t>五</w:t>
      </w:r>
      <w:r>
        <w:rPr>
          <w:rFonts w:hint="eastAsia" w:ascii="仿宋" w:hAnsi="仿宋" w:eastAsia="仿宋" w:cs="仿宋"/>
          <w:snapToGrid w:val="0"/>
          <w:kern w:val="0"/>
          <w:sz w:val="28"/>
          <w:szCs w:val="28"/>
          <w:highlight w:val="none"/>
          <w:lang w:eastAsia="zh-CN"/>
        </w:rPr>
        <w:t>通”（即通电、通路、通讯、通上水、通下水），且保证率较高，基础设施完善。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②公共服务设施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估价对象位于贵州省三穗县三穗县八弓镇胜利村一小背后，附近有三穗县民族高级中学、三穗县八弓镇中心小学、三穗县人民医院、三穗县中医医院三穗县湘黔医院、中国邮政银行、中国人民银行、</w:t>
      </w:r>
      <w:r>
        <w:rPr>
          <w:rFonts w:hint="eastAsia" w:ascii="仿宋" w:hAnsi="仿宋" w:eastAsia="仿宋" w:cs="仿宋"/>
          <w:snapToGrid w:val="0"/>
          <w:kern w:val="0"/>
          <w:sz w:val="28"/>
          <w:szCs w:val="28"/>
          <w:highlight w:val="none"/>
          <w:lang w:val="en-US" w:eastAsia="zh-CN"/>
        </w:rPr>
        <w:t>宏鑫超市（惠购百货店）、</w:t>
      </w:r>
      <w:r>
        <w:rPr>
          <w:rFonts w:hint="eastAsia" w:ascii="仿宋" w:hAnsi="仿宋" w:eastAsia="仿宋" w:cs="仿宋"/>
          <w:snapToGrid w:val="0"/>
          <w:kern w:val="0"/>
          <w:sz w:val="28"/>
          <w:szCs w:val="28"/>
          <w:highlight w:val="none"/>
          <w:lang w:eastAsia="zh-CN"/>
        </w:rPr>
        <w:t>酒店、餐饮等生活配套设施，</w:t>
      </w:r>
      <w:r>
        <w:rPr>
          <w:rFonts w:hint="eastAsia" w:ascii="仿宋" w:hAnsi="仿宋" w:eastAsia="仿宋" w:cs="仿宋"/>
          <w:snapToGrid w:val="0"/>
          <w:kern w:val="0"/>
          <w:sz w:val="28"/>
          <w:szCs w:val="28"/>
          <w:highlight w:val="none"/>
          <w:lang w:val="en-US" w:eastAsia="zh-CN"/>
        </w:rPr>
        <w:t>公共服务</w:t>
      </w:r>
      <w:r>
        <w:rPr>
          <w:rFonts w:hint="eastAsia" w:ascii="仿宋" w:hAnsi="仿宋" w:eastAsia="仿宋" w:cs="仿宋"/>
          <w:snapToGrid w:val="0"/>
          <w:kern w:val="0"/>
          <w:sz w:val="28"/>
          <w:szCs w:val="28"/>
          <w:highlight w:val="none"/>
          <w:lang w:eastAsia="zh-CN"/>
        </w:rPr>
        <w:t>设施较完善。</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（4）周边环境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eastAsia="zh-CN"/>
        </w:rPr>
        <w:t>估价对象周边</w:t>
      </w:r>
      <w:r>
        <w:rPr>
          <w:rFonts w:hint="eastAsia" w:ascii="仿宋" w:hAnsi="仿宋" w:eastAsia="仿宋" w:cs="仿宋"/>
          <w:snapToGrid w:val="0"/>
          <w:kern w:val="0"/>
          <w:sz w:val="28"/>
          <w:szCs w:val="28"/>
          <w:highlight w:val="none"/>
          <w:lang w:val="en-US" w:eastAsia="zh-CN"/>
        </w:rPr>
        <w:t>多为住宅小区，</w:t>
      </w:r>
      <w:r>
        <w:rPr>
          <w:rFonts w:hint="eastAsia" w:ascii="仿宋" w:hAnsi="仿宋" w:eastAsia="仿宋" w:cs="仿宋"/>
          <w:snapToGrid w:val="0"/>
          <w:kern w:val="0"/>
          <w:sz w:val="28"/>
          <w:szCs w:val="28"/>
          <w:highlight w:val="none"/>
          <w:lang w:eastAsia="zh-CN"/>
        </w:rPr>
        <w:t>自然环境</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人文环境</w:t>
      </w:r>
      <w:r>
        <w:rPr>
          <w:rFonts w:hint="eastAsia" w:ascii="仿宋" w:hAnsi="仿宋" w:eastAsia="仿宋" w:cs="仿宋"/>
          <w:snapToGrid w:val="0"/>
          <w:kern w:val="0"/>
          <w:sz w:val="28"/>
          <w:szCs w:val="28"/>
          <w:highlight w:val="none"/>
          <w:lang w:val="en-US" w:eastAsia="zh-CN"/>
        </w:rPr>
        <w:t>较优，</w:t>
      </w:r>
      <w:r>
        <w:rPr>
          <w:rFonts w:hint="eastAsia" w:ascii="仿宋" w:hAnsi="仿宋" w:eastAsia="仿宋" w:cs="仿宋"/>
          <w:snapToGrid w:val="0"/>
          <w:kern w:val="0"/>
          <w:sz w:val="28"/>
          <w:szCs w:val="28"/>
          <w:highlight w:val="none"/>
          <w:lang w:eastAsia="zh-CN"/>
        </w:rPr>
        <w:t>空气</w:t>
      </w:r>
      <w:r>
        <w:rPr>
          <w:rFonts w:hint="eastAsia" w:ascii="仿宋" w:hAnsi="仿宋" w:eastAsia="仿宋" w:cs="仿宋"/>
          <w:snapToGrid w:val="0"/>
          <w:kern w:val="0"/>
          <w:sz w:val="28"/>
          <w:szCs w:val="28"/>
          <w:highlight w:val="none"/>
          <w:lang w:val="en-US" w:eastAsia="zh-CN"/>
        </w:rPr>
        <w:t>质量良好，</w:t>
      </w:r>
      <w:r>
        <w:rPr>
          <w:rFonts w:hint="eastAsia" w:ascii="仿宋" w:hAnsi="仿宋" w:eastAsia="仿宋" w:cs="仿宋"/>
          <w:snapToGrid w:val="0"/>
          <w:kern w:val="0"/>
          <w:sz w:val="28"/>
          <w:szCs w:val="28"/>
          <w:highlight w:val="none"/>
          <w:lang w:eastAsia="zh-CN"/>
        </w:rPr>
        <w:t>噪声污染</w:t>
      </w:r>
      <w:r>
        <w:rPr>
          <w:rFonts w:hint="eastAsia" w:ascii="仿宋" w:hAnsi="仿宋" w:eastAsia="仿宋" w:cs="仿宋"/>
          <w:snapToGrid w:val="0"/>
          <w:kern w:val="0"/>
          <w:sz w:val="28"/>
          <w:szCs w:val="28"/>
          <w:highlight w:val="none"/>
          <w:lang w:val="en-US" w:eastAsia="zh-CN"/>
        </w:rPr>
        <w:t>较小</w:t>
      </w:r>
      <w:r>
        <w:rPr>
          <w:rFonts w:hint="eastAsia" w:ascii="仿宋" w:hAnsi="仿宋" w:eastAsia="仿宋" w:cs="仿宋"/>
          <w:snapToGrid w:val="0"/>
          <w:kern w:val="0"/>
          <w:sz w:val="28"/>
          <w:szCs w:val="28"/>
          <w:highlight w:val="none"/>
          <w:lang w:eastAsia="zh-CN"/>
        </w:rPr>
        <w:t>，治安状况</w:t>
      </w:r>
      <w:r>
        <w:rPr>
          <w:rFonts w:hint="eastAsia" w:ascii="仿宋" w:hAnsi="仿宋" w:eastAsia="仿宋" w:cs="仿宋"/>
          <w:snapToGrid w:val="0"/>
          <w:kern w:val="0"/>
          <w:sz w:val="28"/>
          <w:szCs w:val="28"/>
          <w:highlight w:val="none"/>
          <w:lang w:val="en-US" w:eastAsia="zh-CN"/>
        </w:rPr>
        <w:t>良好。</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eastAsia="zh-CN"/>
        </w:rPr>
      </w:pPr>
      <w:r>
        <w:rPr>
          <w:rFonts w:hint="eastAsia" w:ascii="仿宋" w:hAnsi="仿宋" w:eastAsia="仿宋" w:cs="仿宋"/>
          <w:snapToGrid w:val="0"/>
          <w:kern w:val="0"/>
          <w:sz w:val="28"/>
          <w:szCs w:val="28"/>
          <w:highlight w:val="none"/>
          <w:lang w:eastAsia="zh-CN"/>
        </w:rPr>
        <w:t>（5）估价对象区位状况及优劣分析</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yellow"/>
          <w:lang w:val="en-US" w:eastAsia="zh-CN"/>
        </w:rPr>
      </w:pPr>
      <w:r>
        <w:rPr>
          <w:rFonts w:hint="eastAsia" w:ascii="仿宋" w:hAnsi="仿宋" w:eastAsia="仿宋" w:cs="仿宋"/>
          <w:snapToGrid w:val="0"/>
          <w:kern w:val="0"/>
          <w:sz w:val="28"/>
          <w:szCs w:val="28"/>
          <w:highlight w:val="none"/>
          <w:lang w:eastAsia="zh-CN"/>
        </w:rPr>
        <w:t>综上描述，估价对象的公共配套设施</w:t>
      </w:r>
      <w:r>
        <w:rPr>
          <w:rFonts w:hint="eastAsia" w:ascii="仿宋" w:hAnsi="仿宋" w:eastAsia="仿宋" w:cs="仿宋"/>
          <w:snapToGrid w:val="0"/>
          <w:kern w:val="0"/>
          <w:sz w:val="28"/>
          <w:szCs w:val="28"/>
          <w:highlight w:val="none"/>
          <w:lang w:val="en-US" w:eastAsia="zh-CN"/>
        </w:rPr>
        <w:t>较</w:t>
      </w:r>
      <w:r>
        <w:rPr>
          <w:rFonts w:hint="eastAsia" w:ascii="仿宋" w:hAnsi="仿宋" w:eastAsia="仿宋" w:cs="仿宋"/>
          <w:snapToGrid w:val="0"/>
          <w:kern w:val="0"/>
          <w:sz w:val="28"/>
          <w:szCs w:val="28"/>
          <w:highlight w:val="none"/>
          <w:lang w:eastAsia="zh-CN"/>
        </w:rPr>
        <w:t>完善，整体区位状况</w:t>
      </w:r>
      <w:r>
        <w:rPr>
          <w:rFonts w:hint="eastAsia" w:ascii="仿宋" w:hAnsi="仿宋" w:eastAsia="仿宋" w:cs="仿宋"/>
          <w:snapToGrid w:val="0"/>
          <w:kern w:val="0"/>
          <w:sz w:val="28"/>
          <w:szCs w:val="28"/>
          <w:highlight w:val="none"/>
          <w:lang w:val="en-US" w:eastAsia="zh-CN"/>
        </w:rPr>
        <w:t>和</w:t>
      </w:r>
      <w:r>
        <w:rPr>
          <w:rFonts w:hint="eastAsia" w:ascii="仿宋" w:hAnsi="仿宋" w:eastAsia="仿宋" w:cs="仿宋"/>
          <w:snapToGrid w:val="0"/>
          <w:kern w:val="0"/>
          <w:sz w:val="28"/>
          <w:szCs w:val="28"/>
          <w:highlight w:val="none"/>
          <w:lang w:eastAsia="zh-CN"/>
        </w:rPr>
        <w:t>繁华程度</w:t>
      </w:r>
      <w:r>
        <w:rPr>
          <w:rFonts w:hint="eastAsia" w:ascii="仿宋" w:hAnsi="仿宋" w:eastAsia="仿宋" w:cs="仿宋"/>
          <w:snapToGrid w:val="0"/>
          <w:kern w:val="0"/>
          <w:sz w:val="28"/>
          <w:szCs w:val="28"/>
          <w:highlight w:val="none"/>
          <w:lang w:val="en-US" w:eastAsia="zh-CN"/>
        </w:rPr>
        <w:t>均一般，</w:t>
      </w:r>
      <w:r>
        <w:rPr>
          <w:rFonts w:hint="eastAsia" w:ascii="仿宋" w:hAnsi="仿宋" w:eastAsia="仿宋" w:cs="仿宋"/>
          <w:snapToGrid w:val="0"/>
          <w:kern w:val="0"/>
          <w:sz w:val="28"/>
          <w:szCs w:val="28"/>
          <w:highlight w:val="none"/>
          <w:lang w:eastAsia="zh-CN"/>
        </w:rPr>
        <w:t>房地产价格的保值和增值</w:t>
      </w:r>
      <w:r>
        <w:rPr>
          <w:rFonts w:hint="eastAsia" w:ascii="仿宋" w:hAnsi="仿宋" w:eastAsia="仿宋" w:cs="仿宋"/>
          <w:snapToGrid w:val="0"/>
          <w:kern w:val="0"/>
          <w:sz w:val="28"/>
          <w:szCs w:val="28"/>
          <w:highlight w:val="none"/>
          <w:lang w:val="en-US" w:eastAsia="zh-CN"/>
        </w:rPr>
        <w:t>度一般。</w:t>
      </w:r>
    </w:p>
    <w:p>
      <w:pPr>
        <w:keepNext w:val="0"/>
        <w:keepLines w:val="0"/>
        <w:pageBreakBefore w:val="0"/>
        <w:widowControl w:val="0"/>
        <w:kinsoku/>
        <w:wordWrap/>
        <w:overflowPunct/>
        <w:topLinePunct w:val="0"/>
        <w:autoSpaceDE/>
        <w:autoSpaceDN/>
        <w:bidi w:val="0"/>
        <w:adjustRightInd w:val="0"/>
        <w:snapToGrid w:val="0"/>
        <w:spacing w:after="239" w:afterLines="50" w:line="520" w:lineRule="atLeast"/>
        <w:ind w:firstLine="674" w:firstLineChars="200"/>
        <w:textAlignment w:val="auto"/>
        <w:rPr>
          <w:rFonts w:hint="eastAsia"/>
          <w:highlight w:val="none"/>
          <w:lang w:val="en-US" w:eastAsia="zh-CN"/>
        </w:rPr>
      </w:pPr>
      <w:r>
        <w:rPr>
          <w:rFonts w:hint="eastAsia" w:ascii="仿宋" w:hAnsi="仿宋" w:eastAsia="仿宋" w:cs="仿宋"/>
          <w:snapToGrid w:val="0"/>
          <w:kern w:val="0"/>
          <w:sz w:val="28"/>
          <w:szCs w:val="28"/>
          <w:highlight w:val="none"/>
          <w:lang w:val="en-US" w:eastAsia="zh-CN"/>
        </w:rPr>
        <w:t>2、估价对象实物状况</w:t>
      </w:r>
    </w:p>
    <w:tbl>
      <w:tblPr>
        <w:tblStyle w:val="46"/>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9"/>
        <w:gridCol w:w="1579"/>
        <w:gridCol w:w="2352"/>
        <w:gridCol w:w="1812"/>
        <w:gridCol w:w="2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估价对象名称</w:t>
            </w:r>
          </w:p>
        </w:tc>
        <w:tc>
          <w:tcPr>
            <w:tcW w:w="3403" w:type="pct"/>
            <w:gridSpan w:val="3"/>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贵州省三穗县三穗县八弓镇胜利村一小背后住宅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建筑面积</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166.51㎡</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建筑结构</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混合结构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总楼层</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2层</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评估楼层</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2层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596" w:type="pct"/>
            <w:gridSpan w:val="2"/>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规划用途</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住宅</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现实用途</w:t>
            </w:r>
          </w:p>
        </w:tc>
        <w:tc>
          <w:tcPr>
            <w:tcW w:w="1312"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装修情况</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外墙</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瓷砖</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内墙</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瓷粉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天花</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瓷粉</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地面</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地砖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门</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木门</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窗</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木窗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设备设施</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水电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明敷</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电梯</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空调</w:t>
            </w:r>
          </w:p>
        </w:tc>
        <w:tc>
          <w:tcPr>
            <w:tcW w:w="1181"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无</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消防</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yellow"/>
                <w:lang w:val="en-US" w:eastAsia="zh-CN"/>
              </w:rPr>
            </w:pPr>
            <w:r>
              <w:rPr>
                <w:rFonts w:hint="eastAsia" w:ascii="仿宋" w:hAnsi="仿宋" w:eastAsia="仿宋" w:cs="仿宋"/>
                <w:bCs/>
                <w:snapToGrid w:val="0"/>
                <w:kern w:val="0"/>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restar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使用与维护</w:t>
            </w: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竣工年限</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snapToGrid w:val="0"/>
                <w:color w:val="000000" w:themeColor="text1"/>
                <w:kern w:val="0"/>
                <w:sz w:val="21"/>
                <w:szCs w:val="21"/>
                <w:highlight w:val="none"/>
                <w:lang w:val="en-US" w:eastAsia="zh-CN"/>
                <w14:textFill>
                  <w14:solidFill>
                    <w14:schemeClr w14:val="tx1"/>
                  </w14:solidFill>
                </w14:textFill>
              </w:rPr>
              <w:t>约2012年</w:t>
            </w:r>
          </w:p>
        </w:tc>
        <w:tc>
          <w:tcPr>
            <w:tcW w:w="910" w:type="pct"/>
            <w:tcBorders>
              <w:tl2br w:val="nil"/>
              <w:tr2bl w:val="nil"/>
            </w:tcBorders>
            <w:vAlign w:val="center"/>
          </w:tcPr>
          <w:p>
            <w:pPr>
              <w:widowControl/>
              <w:jc w:val="center"/>
              <w:textAlignment w:val="center"/>
              <w:rPr>
                <w:rFonts w:hint="eastAsia"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14:textFill>
                  <w14:solidFill>
                    <w14:schemeClr w14:val="tx1"/>
                  </w14:solidFill>
                </w14:textFill>
              </w:rPr>
              <w:t>新旧程度</w:t>
            </w:r>
          </w:p>
        </w:tc>
        <w:tc>
          <w:tcPr>
            <w:tcW w:w="1312"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kern w:val="0"/>
                <w:sz w:val="21"/>
                <w:szCs w:val="21"/>
                <w:highlight w:val="none"/>
                <w:lang w:val="en-US" w:eastAsia="zh-CN"/>
              </w:rPr>
              <w:t>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3" w:type="pct"/>
            <w:vMerge w:val="continue"/>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p>
        </w:tc>
        <w:tc>
          <w:tcPr>
            <w:tcW w:w="792" w:type="pct"/>
            <w:tcBorders>
              <w:tl2br w:val="nil"/>
              <w:tr2bl w:val="nil"/>
            </w:tcBorders>
            <w:vAlign w:val="center"/>
          </w:tcPr>
          <w:p>
            <w:pPr>
              <w:widowControl/>
              <w:jc w:val="center"/>
              <w:textAlignment w:val="center"/>
              <w:rPr>
                <w:rFonts w:hint="eastAsia" w:ascii="仿宋" w:hAnsi="仿宋" w:eastAsia="仿宋" w:cs="仿宋"/>
                <w:b/>
                <w:bCs w:val="0"/>
                <w:snapToGrid w:val="0"/>
                <w:kern w:val="0"/>
                <w:sz w:val="21"/>
                <w:szCs w:val="21"/>
                <w:highlight w:val="none"/>
                <w:lang w:val="en-US" w:eastAsia="zh-CN"/>
              </w:rPr>
            </w:pPr>
            <w:r>
              <w:rPr>
                <w:rFonts w:hint="eastAsia" w:ascii="仿宋" w:hAnsi="仿宋" w:eastAsia="仿宋" w:cs="仿宋"/>
                <w:b/>
                <w:bCs w:val="0"/>
                <w:snapToGrid w:val="0"/>
                <w:kern w:val="0"/>
                <w:sz w:val="21"/>
                <w:szCs w:val="21"/>
                <w:highlight w:val="none"/>
                <w:lang w:val="en-US" w:eastAsia="zh-CN"/>
              </w:rPr>
              <w:t>使用状况</w:t>
            </w:r>
          </w:p>
        </w:tc>
        <w:tc>
          <w:tcPr>
            <w:tcW w:w="1181" w:type="pct"/>
            <w:tcBorders>
              <w:tl2br w:val="nil"/>
              <w:tr2bl w:val="nil"/>
            </w:tcBorders>
            <w:vAlign w:val="center"/>
          </w:tcPr>
          <w:p>
            <w:pPr>
              <w:widowControl/>
              <w:jc w:val="center"/>
              <w:textAlignment w:val="center"/>
              <w:rPr>
                <w:rFonts w:hint="default" w:ascii="仿宋" w:hAnsi="仿宋" w:eastAsia="仿宋" w:cs="仿宋"/>
                <w:bCs/>
                <w:snapToGrid w:val="0"/>
                <w:kern w:val="0"/>
                <w:sz w:val="21"/>
                <w:szCs w:val="21"/>
                <w:highlight w:val="none"/>
                <w:lang w:val="en-US" w:eastAsia="zh-CN"/>
              </w:rP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出租</w:t>
            </w:r>
          </w:p>
        </w:tc>
        <w:tc>
          <w:tcPr>
            <w:tcW w:w="910"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朝向</w:t>
            </w:r>
          </w:p>
        </w:tc>
        <w:tc>
          <w:tcPr>
            <w:tcW w:w="1312" w:type="pct"/>
            <w:tcBorders>
              <w:tl2br w:val="nil"/>
              <w:tr2bl w:val="nil"/>
            </w:tcBorders>
            <w:vAlign w:val="center"/>
          </w:tcPr>
          <w:p>
            <w:pPr>
              <w:widowControl/>
              <w:jc w:val="center"/>
              <w:textAlignment w:val="center"/>
            </w:pPr>
            <w:r>
              <w:rPr>
                <w:rFonts w:hint="eastAsia" w:ascii="仿宋" w:hAnsi="仿宋" w:eastAsia="仿宋" w:cs="仿宋"/>
                <w:bCs/>
                <w:snapToGrid w:val="0"/>
                <w:color w:val="000000" w:themeColor="text1"/>
                <w:kern w:val="0"/>
                <w:sz w:val="21"/>
                <w:szCs w:val="21"/>
                <w:highlight w:val="none"/>
                <w:lang w:val="en-US" w:eastAsia="zh-CN"/>
                <w14:textFill>
                  <w14:solidFill>
                    <w14:schemeClr w14:val="tx1"/>
                  </w14:solidFill>
                </w14:textFill>
              </w:rPr>
              <w:t>东</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9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snapToGrid w:val="0"/>
          <w:color w:val="000000" w:themeColor="text1"/>
          <w:kern w:val="0"/>
          <w:sz w:val="24"/>
          <w:szCs w:val="24"/>
          <w:highlight w:val="none"/>
          <w14:textFill>
            <w14:solidFill>
              <w14:schemeClr w14:val="tx1"/>
            </w14:solidFill>
          </w14:textFill>
        </w:rPr>
        <w:t>注：表中数据均来源于评估人员实地查勘等资料</w:t>
      </w:r>
      <w:r>
        <w:rPr>
          <w:rFonts w:hint="eastAsia" w:ascii="仿宋" w:hAnsi="仿宋" w:eastAsia="仿宋" w:cs="仿宋"/>
          <w:snapToGrid w:val="0"/>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3、估价对象权益状况</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snapToGrid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根据委托人提供的</w:t>
      </w:r>
      <w:r>
        <w:rPr>
          <w:rFonts w:hint="eastAsia" w:ascii="仿宋" w:hAnsi="仿宋" w:eastAsia="仿宋"/>
          <w:snapToGrid w:val="0"/>
          <w:sz w:val="28"/>
          <w:szCs w:val="28"/>
          <w:highlight w:val="none"/>
          <w:lang w:eastAsia="zh-CN"/>
        </w:rPr>
        <w:t>《贵州省不动产登记查询结果》</w:t>
      </w:r>
      <w:r>
        <w:rPr>
          <w:rFonts w:hint="eastAsia" w:ascii="仿宋" w:hAnsi="仿宋" w:eastAsia="仿宋" w:cs="仿宋"/>
          <w:snapToGrid w:val="0"/>
          <w:kern w:val="0"/>
          <w:sz w:val="28"/>
          <w:szCs w:val="28"/>
          <w:highlight w:val="none"/>
          <w:lang w:val="en-US" w:eastAsia="zh-CN"/>
        </w:rPr>
        <w:t>，房屋建筑物信息是权利人为罗俊，</w:t>
      </w:r>
      <w:r>
        <w:rPr>
          <w:rFonts w:hint="eastAsia" w:ascii="仿宋" w:hAnsi="仿宋" w:eastAsia="仿宋"/>
          <w:snapToGrid w:val="0"/>
          <w:sz w:val="28"/>
          <w:szCs w:val="28"/>
          <w:highlight w:val="none"/>
          <w:lang w:eastAsia="zh-CN"/>
        </w:rPr>
        <w:t>产权证</w:t>
      </w:r>
      <w:r>
        <w:rPr>
          <w:rFonts w:hint="eastAsia" w:ascii="仿宋" w:hAnsi="仿宋" w:eastAsia="仿宋"/>
          <w:snapToGrid w:val="0"/>
          <w:sz w:val="28"/>
          <w:szCs w:val="28"/>
          <w:highlight w:val="none"/>
          <w:lang w:val="en-US" w:eastAsia="zh-CN"/>
        </w:rPr>
        <w:t>号</w:t>
      </w:r>
      <w:r>
        <w:rPr>
          <w:rFonts w:hint="eastAsia" w:ascii="仿宋" w:hAnsi="仿宋" w:eastAsia="仿宋" w:cs="仿宋"/>
          <w:snapToGrid w:val="0"/>
          <w:kern w:val="0"/>
          <w:sz w:val="28"/>
          <w:szCs w:val="28"/>
          <w:highlight w:val="none"/>
          <w:lang w:val="en-US" w:eastAsia="zh-CN"/>
        </w:rPr>
        <w:t>为201100327，不动产单元号为522624001012GB00547F00010001，用途为非成套住宅，面积为166.51㎡；根据委托人提供的</w:t>
      </w:r>
      <w:r>
        <w:rPr>
          <w:rFonts w:hint="eastAsia" w:ascii="仿宋" w:hAnsi="仿宋" w:eastAsia="仿宋"/>
          <w:snapToGrid w:val="0"/>
          <w:sz w:val="28"/>
          <w:szCs w:val="28"/>
          <w:highlight w:val="none"/>
          <w:lang w:eastAsia="zh-CN"/>
        </w:rPr>
        <w:t>《贵州省不动产登记查询结果》</w:t>
      </w:r>
      <w:r>
        <w:rPr>
          <w:rFonts w:hint="eastAsia" w:ascii="仿宋" w:hAnsi="仿宋" w:eastAsia="仿宋"/>
          <w:snapToGrid w:val="0"/>
          <w:sz w:val="28"/>
          <w:szCs w:val="28"/>
          <w:highlight w:val="none"/>
          <w:lang w:val="en-US" w:eastAsia="zh-CN"/>
        </w:rPr>
        <w:t>及</w:t>
      </w:r>
      <w:r>
        <w:rPr>
          <w:rFonts w:hint="eastAsia" w:ascii="仿宋" w:hAnsi="仿宋" w:eastAsia="仿宋" w:cs="仿宋"/>
          <w:snapToGrid w:val="0"/>
          <w:kern w:val="0"/>
          <w:sz w:val="28"/>
          <w:szCs w:val="28"/>
          <w:highlight w:val="none"/>
          <w:lang w:val="en-US" w:eastAsia="zh-CN"/>
        </w:rPr>
        <w:t>土地性质查询资料</w:t>
      </w:r>
      <w:r>
        <w:rPr>
          <w:rFonts w:hint="eastAsia" w:ascii="仿宋" w:hAnsi="仿宋" w:eastAsia="仿宋"/>
          <w:snapToGrid w:val="0"/>
          <w:sz w:val="28"/>
          <w:szCs w:val="28"/>
          <w:highlight w:val="none"/>
          <w:lang w:eastAsia="zh-CN"/>
        </w:rPr>
        <w:t>，</w:t>
      </w:r>
      <w:r>
        <w:rPr>
          <w:rFonts w:hint="eastAsia" w:ascii="仿宋" w:hAnsi="仿宋" w:eastAsia="仿宋"/>
          <w:snapToGrid w:val="0"/>
          <w:sz w:val="28"/>
          <w:szCs w:val="28"/>
          <w:highlight w:val="none"/>
          <w:lang w:val="en-US" w:eastAsia="zh-CN"/>
        </w:rPr>
        <w:t>土地相关信息是土地使用权人</w:t>
      </w:r>
      <w:r>
        <w:rPr>
          <w:rFonts w:hint="eastAsia" w:ascii="仿宋" w:hAnsi="仿宋" w:eastAsia="仿宋" w:cs="仿宋"/>
          <w:snapToGrid w:val="0"/>
          <w:kern w:val="0"/>
          <w:sz w:val="28"/>
          <w:szCs w:val="28"/>
          <w:highlight w:val="none"/>
          <w:lang w:val="en-US" w:eastAsia="zh-CN"/>
        </w:rPr>
        <w:t>为罗俊，</w:t>
      </w:r>
      <w:r>
        <w:rPr>
          <w:rFonts w:hint="eastAsia" w:ascii="仿宋" w:hAnsi="仿宋" w:eastAsia="仿宋"/>
          <w:snapToGrid w:val="0"/>
          <w:sz w:val="28"/>
          <w:szCs w:val="28"/>
          <w:highlight w:val="none"/>
          <w:lang w:eastAsia="zh-CN"/>
        </w:rPr>
        <w:t>产权证</w:t>
      </w:r>
      <w:r>
        <w:rPr>
          <w:rFonts w:hint="eastAsia" w:ascii="仿宋" w:hAnsi="仿宋" w:eastAsia="仿宋"/>
          <w:snapToGrid w:val="0"/>
          <w:sz w:val="28"/>
          <w:szCs w:val="28"/>
          <w:highlight w:val="none"/>
          <w:lang w:val="en-US" w:eastAsia="zh-CN"/>
        </w:rPr>
        <w:t>号</w:t>
      </w:r>
      <w:r>
        <w:rPr>
          <w:rFonts w:hint="eastAsia" w:ascii="仿宋" w:hAnsi="仿宋" w:eastAsia="仿宋" w:cs="仿宋"/>
          <w:snapToGrid w:val="0"/>
          <w:kern w:val="0"/>
          <w:sz w:val="28"/>
          <w:szCs w:val="28"/>
          <w:highlight w:val="none"/>
          <w:lang w:val="en-US" w:eastAsia="zh-CN"/>
        </w:rPr>
        <w:t>为穗国用（2011）第12-011号，不动产单元号为522624001012GB00547W00000000，用途为住宅用地/城镇住宅用地，面积为111.88㎡</w:t>
      </w:r>
      <w:r>
        <w:rPr>
          <w:rFonts w:hint="eastAsia" w:ascii="仿宋" w:hAnsi="仿宋" w:eastAsia="仿宋"/>
          <w:snapToGrid w:val="0"/>
          <w:sz w:val="28"/>
          <w:szCs w:val="28"/>
          <w:highlight w:val="none"/>
          <w:lang w:val="en-US" w:eastAsia="zh-CN"/>
        </w:rPr>
        <w:t>，土地性质为划拨。</w:t>
      </w:r>
    </w:p>
    <w:p>
      <w:pPr>
        <w:keepNext w:val="0"/>
        <w:keepLines w:val="0"/>
        <w:pageBreakBefore w:val="0"/>
        <w:widowControl w:val="0"/>
        <w:kinsoku/>
        <w:wordWrap/>
        <w:overflowPunct/>
        <w:topLinePunct w:val="0"/>
        <w:autoSpaceDE/>
        <w:autoSpaceDN/>
        <w:bidi w:val="0"/>
        <w:adjustRightInd w:val="0"/>
        <w:snapToGrid w:val="0"/>
        <w:spacing w:line="520" w:lineRule="atLeast"/>
        <w:textAlignment w:val="auto"/>
        <w:rPr>
          <w:rFonts w:hint="eastAsia" w:ascii="黑体" w:hAnsi="黑体" w:eastAsia="黑体" w:cs="黑体"/>
          <w:b/>
          <w:bCs/>
          <w:sz w:val="30"/>
          <w:szCs w:val="30"/>
          <w:highlight w:val="none"/>
          <w:lang w:val="en-US" w:eastAsia="zh-CN"/>
        </w:rPr>
      </w:pPr>
      <w:r>
        <w:rPr>
          <w:rFonts w:hint="eastAsia" w:ascii="黑体" w:hAnsi="黑体" w:eastAsia="黑体" w:cs="黑体"/>
          <w:b/>
          <w:bCs/>
          <w:sz w:val="30"/>
          <w:szCs w:val="30"/>
          <w:highlight w:val="none"/>
        </w:rPr>
        <w:t>（</w:t>
      </w:r>
      <w:r>
        <w:rPr>
          <w:rFonts w:hint="eastAsia" w:ascii="黑体" w:hAnsi="黑体" w:eastAsia="黑体" w:cs="黑体"/>
          <w:b/>
          <w:bCs/>
          <w:sz w:val="30"/>
          <w:szCs w:val="30"/>
          <w:highlight w:val="none"/>
          <w:lang w:eastAsia="zh-CN"/>
        </w:rPr>
        <w:t>二</w:t>
      </w:r>
      <w:r>
        <w:rPr>
          <w:rFonts w:hint="eastAsia" w:ascii="黑体" w:hAnsi="黑体" w:eastAsia="黑体" w:cs="黑体"/>
          <w:b/>
          <w:bCs/>
          <w:sz w:val="30"/>
          <w:szCs w:val="30"/>
          <w:highlight w:val="none"/>
        </w:rPr>
        <w:t>）</w:t>
      </w:r>
      <w:r>
        <w:rPr>
          <w:rFonts w:hint="eastAsia" w:ascii="黑体" w:hAnsi="黑体" w:eastAsia="黑体" w:cs="黑体"/>
          <w:b/>
          <w:bCs/>
          <w:sz w:val="30"/>
          <w:szCs w:val="30"/>
          <w:highlight w:val="none"/>
          <w:lang w:val="en-US" w:eastAsia="zh-CN"/>
        </w:rPr>
        <w:t>市场背景描述与分析</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1、2021年三穗县经济运行情况</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2021年,面对经济持续下行、新冠肺炎疫情的冲击影响下，全县始终以习近平新时代中国特色社会主义思想为指导，认真学习贯彻党的十九大和十九届历次全会精神，牢牢把握高质量发展要求，经济社会稳中有进、稳中向好，实现了“十四五”良好开局。</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（1）综合</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初步核算，全县地区生产总值542016万元，比上年增长（以下简称“增长”）5.9%。其中，第一产业增加值116128万元，增长7.9%；第二产业增加值139072万元，增长7.1%；第三产业增加值286816万元，增长4.4%。</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全县地区生产总值中，第一产业增加值、第二产业增加值、第三产业增加值占地区生产总值的比重，分别为21.4%、25.7%、52.9%。全县人均地区生产总值33427元，增长6.4%。</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（2）农业</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全年实现农业总产值201639万元，增长9.4%。其中，农业产值120443万元、林业产值25374万元、牧业产值41295万元、渔业产值5310万元、农林牧渔服务业产值9217万元，分别增长10.2%、-5.6%、16.6%、18.1%和6.3%。</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全年粮食总产量6.2万吨，增长6.9%。蔬菜及食用菌产量254666吨，增长9.8%；油菜籽产量2351吨，增长30.6%；水果产量58510吨，增长15.3%。</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全年肉类总产量8939吨，增长10.8%，其中：猪肉5447吨，增长16.2%；牛肉919吨，下降3.0%；羊肉233吨，增长5.0%；禽肉2291吨，增长6.8%。</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（3）工业和建筑业</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全部工业实现增加值61086万元，增长19.8%。其中，规模以上工业增加值增长22.6%。在规模以上工业中，分工业类型看，轻工业增长21%，重工业增长28.2%。分门类看，制造业增长25.5%，电力、热力、燃气及水生产和供应业增长6.6%。</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规模以上工业中，农副食品加工业增加值增长98.5%，非金属矿物制品业增加值比上年下降（以下简称“下降”）14.2%，服饰制造业增加值增长12.3%，纸制品制造业增加值增长40.2%，橡胶及塑料制品业增加值增长17.4%，金属制品业增加值增长184.2%。</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规模以上工业产品产量中，鲜冷藏肉完成0.19万吨,增长46.2%；服装完成1243万件，下降49.5%；商品混凝土完成22.05万立方米，下降36.7%。</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全年规模以上工业企业产销率99.6%，比上年提升2.6个百分点。规模以上工业企业营业收入7.65亿元，增长31.1%；实现利润总额0.18亿元，下降53.1%。</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全年建筑业增加值77986万元，下降1.2%。全县具有资质以上等级的总承包和专业承包建筑企业9家，建筑业总产值增长18.6％。</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（4）固定资产投资</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全年500万元以上固定资产投资增长15.3%。全县房地产开发投资增长18.0%。商品房销售面积133439平方米，下降22.8%。</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4011295" cy="4050030"/>
            <wp:effectExtent l="0" t="0" r="8255" b="762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4011295" cy="4050030"/>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（5）国内贸易</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全年全社会消费品零售总额232457万元，增长13.6%。批发业销售额33858万元，增长16.2%；零售业销售额184674万元，增长16.4%；住宿业营业额3831万元，增长18.2%；餐饮业营业额38146万元，增长31.1%。</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（6）交通和邮电</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全年交通运输、仓储和邮政业增加值实现21399万元，下降0.8%。全县邮政业务总量2370万元，增长6.7%；电信业务总量17480万元，增长6.5%。</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（7）财政与金融</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全年财政总收入33126万元，增长6.3%。其中一般公共预算收入17493万元，增长4.2%。一般公共预算收入中，税收收入10696万元，占61.1%，下降0.1%；非税收入6797万元，占38.9%，增长11.6%。</w:t>
      </w:r>
    </w:p>
    <w:p>
      <w:pPr>
        <w:keepNext w:val="0"/>
        <w:keepLines w:val="0"/>
        <w:pageBreakBefore w:val="0"/>
        <w:widowControl w:val="0"/>
        <w:kinsoku/>
        <w:wordWrap w:val="0"/>
        <w:overflowPunct/>
        <w:topLinePunct w:val="0"/>
        <w:autoSpaceDE/>
        <w:autoSpaceDN/>
        <w:bidi w:val="0"/>
        <w:adjustRightInd w:val="0"/>
        <w:snapToGrid w:val="0"/>
        <w:spacing w:line="520" w:lineRule="atLeast"/>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3688080" cy="2247265"/>
            <wp:effectExtent l="0" t="0" r="7620" b="63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9"/>
                    <a:stretch>
                      <a:fillRect/>
                    </a:stretch>
                  </pic:blipFill>
                  <pic:spPr>
                    <a:xfrm>
                      <a:off x="0" y="0"/>
                      <a:ext cx="3688080" cy="2247265"/>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一般公共预算支出204128万元，下降0.4%。其中，一般公共服务支出23029万元，下降5.1%；教育支出45934万元，增长0.2%；社会保障和就业支出22196万元，增长0.5%；卫生健康支出21975万元，增长0.3%；节能环保支出4442万元，增长44.0%。</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年末金融机构各项存款余额645831万元，增长14.7%。其中，住户存款余额518724万元，增长13.8%。各项贷款余额546710万元，增长8.0%。其中住户贷款余额391599万元，增长5.3%。</w:t>
      </w:r>
    </w:p>
    <w:p>
      <w:pPr>
        <w:keepNext w:val="0"/>
        <w:keepLines w:val="0"/>
        <w:pageBreakBefore w:val="0"/>
        <w:widowControl w:val="0"/>
        <w:kinsoku/>
        <w:wordWrap w:val="0"/>
        <w:overflowPunct/>
        <w:topLinePunct w:val="0"/>
        <w:autoSpaceDE/>
        <w:autoSpaceDN/>
        <w:bidi w:val="0"/>
        <w:adjustRightInd w:val="0"/>
        <w:snapToGrid w:val="0"/>
        <w:spacing w:line="520" w:lineRule="atLeast"/>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5116830" cy="1619885"/>
            <wp:effectExtent l="0" t="0" r="7620" b="1841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0"/>
                    <a:stretch>
                      <a:fillRect/>
                    </a:stretch>
                  </pic:blipFill>
                  <pic:spPr>
                    <a:xfrm>
                      <a:off x="0" y="0"/>
                      <a:ext cx="5116830" cy="1619885"/>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（8）教育和科学技术</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全县共有各级各类学校122所。其中，中等职业学校1所，普通高中1所，普通初中6所，小学34所，幼儿园80所。在校学生43314人，其中职业中学1001人，高中4058人，初中9457人，小学20794人，幼儿园在园8004人。</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我县积极组织县域企业或单位申报各类项目，全年完成各类科技项目申报18个，申请资金6432万元。</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（9）文化、体育、环境和卫生</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成功举办“唱支山歌给党听”庆祝建党100周年主题快闪活动、“永远跟党走”革命歌曲广场舞大赛、党史知识竞赛等系列活动。组织文化志愿者深入易地扶贫搬迁安置点开设了公益性（免费）广场舞培训班，共派出文化志愿者12人次，辅导培训120余人。开展戏曲进乡村、文化走基层活动25场次，观众达1.2人次。制作《竹林欢歌》、《县乡长说移风易俗树新风》、《苗家儿女心向党》、《天下贵洞》等原创文艺作品。</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积极参加州第十届运动会暨第四届少数民族传统体育运动会，参赛项目29项，选拔队员298人，获得9金19银16铜。成功举办三穗县第三届职工运动会暨2021年“江岸华景杯”体育赛事活动，积极组队参加贵州省选拔赛暨2021年贵州省广场舞网络大赛竞赛、贵州省第五届“茅台王子杯”广场舞公开赛等活动，组织完成社会体育指导员培训67人次。投入体育基础设施项目资金70余万元，完成8个村级农民体育健身工程体育器材更新、5个全民健身示范点建设、金穗社区社区智能健身驿站和黄土坎廉租房小区健身路径建设，完成文笔街道多功能运动场建设。</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生态环境质量持续巩固提升，环境空气优良率达99.2%，空气质量指数2.32%，集中式饮用水源水质全部达Ⅲ类以上，出境断面水质达Ⅱ类，土壤环境、固体废物环境、声环境和辐射环境质量等总体保持良好，全县未发生重大环境污染事件，生态环境安全总体稳定可控。</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全县拥有各类医疗卫生机构140个，其中：医院4个，社区卫生服务中心1个，卫生院9个，疾病预防控制中心1个，妇幼保健院1个，执法大队1个，诊所27个，村卫生室96个。全县卫生机构床位编制数1297张，实际开放1419张。卫生人员1864人，其中，执业（助理）医师494人，乡村医生175人，注册护士872人</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（10）人口、人民生活和社会保障</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2021年全县常住人口出生率为10.03‰，死亡率6.85‰，自然增长率4.55‰。</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城镇居民人均可支配收入37842元,增长8.4%；城镇居民人均消费支出22050元,增长22.3%。农村居民人均可支配收入12684元，增长10.9%；农村居民人均消费支出12344元,增长9.0%。</w:t>
      </w:r>
    </w:p>
    <w:p>
      <w:pPr>
        <w:keepNext w:val="0"/>
        <w:keepLines w:val="0"/>
        <w:pageBreakBefore w:val="0"/>
        <w:widowControl w:val="0"/>
        <w:kinsoku/>
        <w:wordWrap w:val="0"/>
        <w:overflowPunct/>
        <w:topLinePunct w:val="0"/>
        <w:autoSpaceDE/>
        <w:autoSpaceDN/>
        <w:bidi w:val="0"/>
        <w:adjustRightInd w:val="0"/>
        <w:snapToGrid w:val="0"/>
        <w:spacing w:line="520" w:lineRule="atLeast"/>
        <w:jc w:val="center"/>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drawing>
          <wp:inline distT="0" distB="0" distL="114300" distR="114300">
            <wp:extent cx="3367405" cy="3146425"/>
            <wp:effectExtent l="0" t="0" r="4445" b="1587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1"/>
                    <a:stretch>
                      <a:fillRect/>
                    </a:stretch>
                  </pic:blipFill>
                  <pic:spPr>
                    <a:xfrm>
                      <a:off x="0" y="0"/>
                      <a:ext cx="3367405" cy="3146425"/>
                    </a:xfrm>
                    <a:prstGeom prst="rect">
                      <a:avLst/>
                    </a:prstGeom>
                    <a:noFill/>
                    <a:ln>
                      <a:noFill/>
                    </a:ln>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年末全县参加城镇职工基本养老保险人数16489人，比上年末增加3750人。参加城乡居民基本养老保险人数128244人，增加547人。参加基本医疗保险人数222075人，其中：参加职工基本医疗保险人数10785人；参加城乡居民基本医疗保险人数211290人。参加失业保险人数5834人，增加555人。参加工伤保险人数24354人，增加6515人。参加生育保险人数10785人，增加9人。</w:t>
      </w:r>
    </w:p>
    <w:p>
      <w:pPr>
        <w:keepNext w:val="0"/>
        <w:keepLines w:val="0"/>
        <w:pageBreakBefore w:val="0"/>
        <w:widowControl w:val="0"/>
        <w:kinsoku/>
        <w:wordWrap w:val="0"/>
        <w:overflowPunct/>
        <w:topLinePunct w:val="0"/>
        <w:autoSpaceDE/>
        <w:autoSpaceDN/>
        <w:bidi w:val="0"/>
        <w:adjustRightInd w:val="0"/>
        <w:snapToGrid w:val="0"/>
        <w:spacing w:line="520" w:lineRule="atLeast"/>
        <w:ind w:firstLine="674" w:firstLineChars="200"/>
        <w:textAlignment w:val="auto"/>
        <w:rPr>
          <w:rFonts w:hint="eastAsia"/>
          <w:lang w:val="en-US" w:eastAsia="zh-CN"/>
        </w:rPr>
      </w:pPr>
      <w:r>
        <w:rPr>
          <w:rFonts w:hint="eastAsia" w:ascii="仿宋" w:hAnsi="仿宋" w:eastAsia="仿宋" w:cs="仿宋"/>
          <w:snapToGrid w:val="0"/>
          <w:kern w:val="0"/>
          <w:sz w:val="28"/>
          <w:szCs w:val="28"/>
          <w:highlight w:val="none"/>
          <w:lang w:val="en-US" w:eastAsia="zh-CN"/>
        </w:rPr>
        <w:t>年末全县共有4401人享受城市最低生活保障，5505人享受农村最低生活保障，全年累计发放城乡低保金4122.2万元；年末670人享受特困人员救助供养，全年发放特困供养金847.6万元；全年临时救助712人次，发放生活救助金96.6万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2、当地房地产发展概况</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（1）土地市场</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yellow"/>
          <w:lang w:val="en-US" w:eastAsia="zh-CN"/>
        </w:rPr>
      </w:pPr>
      <w:r>
        <w:rPr>
          <w:rFonts w:hint="eastAsia" w:ascii="仿宋" w:hAnsi="仿宋" w:eastAsia="仿宋" w:cs="仿宋"/>
          <w:snapToGrid w:val="0"/>
          <w:kern w:val="0"/>
          <w:sz w:val="28"/>
          <w:szCs w:val="28"/>
          <w:highlight w:val="none"/>
          <w:lang w:val="en-US" w:eastAsia="zh-CN"/>
        </w:rPr>
        <w:t>2020年-2022年4月三穗县土地市场，从成交方面来看，</w:t>
      </w:r>
      <w:r>
        <w:rPr>
          <w:rFonts w:hint="eastAsia" w:ascii="仿宋" w:hAnsi="仿宋" w:eastAsia="仿宋" w:cs="仿宋"/>
          <w:strike w:val="0"/>
          <w:dstrike w:val="0"/>
          <w:snapToGrid w:val="0"/>
          <w:color w:val="auto"/>
          <w:kern w:val="0"/>
          <w:sz w:val="28"/>
          <w:szCs w:val="28"/>
          <w:highlight w:val="none"/>
          <w:lang w:val="en-US" w:eastAsia="zh-CN"/>
        </w:rPr>
        <w:t>该期间内</w:t>
      </w:r>
      <w:r>
        <w:rPr>
          <w:rFonts w:hint="eastAsia" w:ascii="仿宋" w:hAnsi="仿宋" w:eastAsia="仿宋" w:cs="仿宋"/>
          <w:snapToGrid w:val="0"/>
          <w:kern w:val="0"/>
          <w:sz w:val="28"/>
          <w:szCs w:val="28"/>
          <w:highlight w:val="none"/>
          <w:lang w:val="en-US" w:eastAsia="zh-CN"/>
        </w:rPr>
        <w:t>共成交13宗地块，成交总用地面积为153,367.33㎡，成交总金额为12,248.00万元。其中，工业用地成交6宗，成交用地总面积为117,048.6㎡，成交楼面均价为379.8元/㎡；住宅用地成交6宗，成交用地总面积为32,346.73㎡，成交楼面均价为308.6元/㎡；其他用地成交1宗，成交用地总面积为3,972㎡，成交楼面均价为2,417元/㎡。</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（2）房地产市场</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default" w:ascii="仿宋" w:hAnsi="仿宋" w:eastAsia="仿宋" w:cs="仿宋"/>
          <w:snapToGrid w:val="0"/>
          <w:kern w:val="0"/>
          <w:sz w:val="28"/>
          <w:szCs w:val="28"/>
          <w:highlight w:val="none"/>
          <w:lang w:val="en-US" w:eastAsia="zh-CN"/>
        </w:rPr>
        <w:t>目前</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房地产在售楼盘较</w:t>
      </w:r>
      <w:r>
        <w:rPr>
          <w:rFonts w:hint="eastAsia" w:ascii="仿宋" w:hAnsi="仿宋" w:eastAsia="仿宋" w:cs="仿宋"/>
          <w:snapToGrid w:val="0"/>
          <w:kern w:val="0"/>
          <w:sz w:val="28"/>
          <w:szCs w:val="28"/>
          <w:highlight w:val="none"/>
          <w:lang w:val="en-US" w:eastAsia="zh-CN"/>
        </w:rPr>
        <w:t>少</w:t>
      </w:r>
      <w:r>
        <w:rPr>
          <w:rFonts w:hint="default" w:ascii="仿宋" w:hAnsi="仿宋" w:eastAsia="仿宋" w:cs="仿宋"/>
          <w:snapToGrid w:val="0"/>
          <w:kern w:val="0"/>
          <w:sz w:val="28"/>
          <w:szCs w:val="28"/>
          <w:highlight w:val="none"/>
          <w:lang w:val="en-US" w:eastAsia="zh-CN"/>
        </w:rPr>
        <w:t>，现有江岸华景、城南印象和三穗滨河公馆</w:t>
      </w:r>
      <w:r>
        <w:rPr>
          <w:rFonts w:hint="eastAsia" w:ascii="仿宋" w:hAnsi="仿宋" w:eastAsia="仿宋" w:cs="仿宋"/>
          <w:snapToGrid w:val="0"/>
          <w:kern w:val="0"/>
          <w:sz w:val="28"/>
          <w:szCs w:val="28"/>
          <w:highlight w:val="none"/>
          <w:lang w:val="en-US" w:eastAsia="zh-CN"/>
        </w:rPr>
        <w:t>3</w:t>
      </w:r>
      <w:r>
        <w:rPr>
          <w:rFonts w:hint="default" w:ascii="仿宋" w:hAnsi="仿宋" w:eastAsia="仿宋" w:cs="仿宋"/>
          <w:snapToGrid w:val="0"/>
          <w:kern w:val="0"/>
          <w:sz w:val="28"/>
          <w:szCs w:val="28"/>
          <w:highlight w:val="none"/>
          <w:lang w:val="en-US" w:eastAsia="zh-CN"/>
        </w:rPr>
        <w:t>个在售楼盘。价格方面，2021年8月至今，</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新房的均价基本保持稳定,</w:t>
      </w:r>
      <w:r>
        <w:rPr>
          <w:rFonts w:hint="eastAsia" w:ascii="仿宋" w:hAnsi="仿宋" w:eastAsia="仿宋" w:cs="仿宋"/>
          <w:snapToGrid w:val="0"/>
          <w:kern w:val="0"/>
          <w:sz w:val="28"/>
          <w:szCs w:val="28"/>
          <w:highlight w:val="none"/>
          <w:lang w:val="en-US" w:eastAsia="zh-CN"/>
        </w:rPr>
        <w:t>三穗县7</w:t>
      </w:r>
      <w:r>
        <w:rPr>
          <w:rFonts w:hint="default" w:ascii="仿宋" w:hAnsi="仿宋" w:eastAsia="仿宋" w:cs="仿宋"/>
          <w:snapToGrid w:val="0"/>
          <w:kern w:val="0"/>
          <w:sz w:val="28"/>
          <w:szCs w:val="28"/>
          <w:highlight w:val="none"/>
          <w:lang w:val="en-US" w:eastAsia="zh-CN"/>
        </w:rPr>
        <w:t>月新房均价3,</w:t>
      </w:r>
      <w:r>
        <w:rPr>
          <w:rFonts w:hint="eastAsia" w:ascii="仿宋" w:hAnsi="仿宋" w:eastAsia="仿宋" w:cs="仿宋"/>
          <w:snapToGrid w:val="0"/>
          <w:kern w:val="0"/>
          <w:sz w:val="28"/>
          <w:szCs w:val="28"/>
          <w:highlight w:val="none"/>
          <w:lang w:val="en-US" w:eastAsia="zh-CN"/>
        </w:rPr>
        <w:t>993</w:t>
      </w:r>
      <w:r>
        <w:rPr>
          <w:rFonts w:hint="default" w:ascii="仿宋" w:hAnsi="仿宋" w:eastAsia="仿宋" w:cs="仿宋"/>
          <w:snapToGrid w:val="0"/>
          <w:kern w:val="0"/>
          <w:sz w:val="28"/>
          <w:szCs w:val="28"/>
          <w:highlight w:val="none"/>
          <w:lang w:val="en-US" w:eastAsia="zh-CN"/>
        </w:rPr>
        <w:t>元/㎡ ，环比上月持平；</w:t>
      </w:r>
      <w:r>
        <w:rPr>
          <w:rFonts w:hint="eastAsia" w:ascii="仿宋" w:hAnsi="仿宋" w:eastAsia="仿宋" w:cs="仿宋"/>
          <w:snapToGrid w:val="0"/>
          <w:kern w:val="0"/>
          <w:sz w:val="28"/>
          <w:szCs w:val="28"/>
          <w:highlight w:val="none"/>
          <w:lang w:val="en-US" w:eastAsia="zh-CN"/>
        </w:rPr>
        <w:t>三穗县</w:t>
      </w:r>
      <w:r>
        <w:rPr>
          <w:rFonts w:hint="default" w:ascii="仿宋" w:hAnsi="仿宋" w:eastAsia="仿宋" w:cs="仿宋"/>
          <w:snapToGrid w:val="0"/>
          <w:kern w:val="0"/>
          <w:sz w:val="28"/>
          <w:szCs w:val="28"/>
          <w:highlight w:val="none"/>
          <w:lang w:val="en-US" w:eastAsia="zh-CN"/>
        </w:rPr>
        <w:t>二手房市场从2021年8月至今呈稳定趋势，</w:t>
      </w:r>
      <w:r>
        <w:rPr>
          <w:rFonts w:hint="eastAsia" w:ascii="仿宋" w:hAnsi="仿宋" w:eastAsia="仿宋" w:cs="仿宋"/>
          <w:snapToGrid w:val="0"/>
          <w:kern w:val="0"/>
          <w:sz w:val="28"/>
          <w:szCs w:val="28"/>
          <w:highlight w:val="none"/>
          <w:lang w:val="en-US" w:eastAsia="zh-CN"/>
        </w:rPr>
        <w:t>三穗县7</w:t>
      </w:r>
      <w:r>
        <w:rPr>
          <w:rFonts w:hint="default" w:ascii="仿宋" w:hAnsi="仿宋" w:eastAsia="仿宋" w:cs="仿宋"/>
          <w:snapToGrid w:val="0"/>
          <w:kern w:val="0"/>
          <w:sz w:val="28"/>
          <w:szCs w:val="28"/>
          <w:highlight w:val="none"/>
          <w:lang w:val="en-US" w:eastAsia="zh-CN"/>
        </w:rPr>
        <w:t>月二手房均价</w:t>
      </w:r>
      <w:r>
        <w:rPr>
          <w:rFonts w:hint="eastAsia" w:ascii="仿宋" w:hAnsi="仿宋" w:eastAsia="仿宋" w:cs="仿宋"/>
          <w:snapToGrid w:val="0"/>
          <w:kern w:val="0"/>
          <w:sz w:val="28"/>
          <w:szCs w:val="28"/>
          <w:highlight w:val="none"/>
          <w:lang w:val="en-US" w:eastAsia="zh-CN"/>
        </w:rPr>
        <w:t>3</w:t>
      </w:r>
      <w:r>
        <w:rPr>
          <w:rFonts w:hint="default" w:ascii="仿宋" w:hAnsi="仿宋" w:eastAsia="仿宋" w:cs="仿宋"/>
          <w:snapToGrid w:val="0"/>
          <w:kern w:val="0"/>
          <w:sz w:val="28"/>
          <w:szCs w:val="28"/>
          <w:highlight w:val="none"/>
          <w:lang w:val="en-US" w:eastAsia="zh-CN"/>
        </w:rPr>
        <w:t>,</w:t>
      </w:r>
      <w:r>
        <w:rPr>
          <w:rFonts w:hint="eastAsia" w:ascii="仿宋" w:hAnsi="仿宋" w:eastAsia="仿宋" w:cs="仿宋"/>
          <w:snapToGrid w:val="0"/>
          <w:kern w:val="0"/>
          <w:sz w:val="28"/>
          <w:szCs w:val="28"/>
          <w:highlight w:val="none"/>
          <w:lang w:val="en-US" w:eastAsia="zh-CN"/>
        </w:rPr>
        <w:t>474</w:t>
      </w:r>
      <w:r>
        <w:rPr>
          <w:rFonts w:hint="default" w:ascii="仿宋" w:hAnsi="仿宋" w:eastAsia="仿宋" w:cs="仿宋"/>
          <w:snapToGrid w:val="0"/>
          <w:kern w:val="0"/>
          <w:sz w:val="28"/>
          <w:szCs w:val="28"/>
          <w:highlight w:val="none"/>
          <w:lang w:val="en-US" w:eastAsia="zh-CN"/>
        </w:rPr>
        <w:t>元/㎡，环比持平</w:t>
      </w:r>
      <w:r>
        <w:rPr>
          <w:rFonts w:hint="eastAsia" w:ascii="仿宋" w:hAnsi="仿宋" w:eastAsia="仿宋" w:cs="仿宋"/>
          <w:snapToGrid w:val="0"/>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default"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（3）总结</w:t>
      </w:r>
    </w:p>
    <w:p>
      <w:pPr>
        <w:keepNext w:val="0"/>
        <w:keepLines w:val="0"/>
        <w:pageBreakBefore w:val="0"/>
        <w:widowControl w:val="0"/>
        <w:kinsoku/>
        <w:wordWrap/>
        <w:overflowPunct/>
        <w:topLinePunct w:val="0"/>
        <w:autoSpaceDE/>
        <w:autoSpaceDN/>
        <w:bidi w:val="0"/>
        <w:adjustRightInd w:val="0"/>
        <w:snapToGrid w:val="0"/>
        <w:spacing w:line="520" w:lineRule="atLeast"/>
        <w:ind w:firstLine="674" w:firstLineChars="200"/>
        <w:textAlignment w:val="auto"/>
        <w:rPr>
          <w:rFonts w:hint="eastAsia" w:ascii="仿宋" w:hAnsi="仿宋" w:eastAsia="仿宋" w:cs="仿宋"/>
          <w:snapToGrid w:val="0"/>
          <w:kern w:val="0"/>
          <w:sz w:val="28"/>
          <w:szCs w:val="28"/>
          <w:highlight w:val="none"/>
          <w:lang w:val="en-US" w:eastAsia="zh-CN"/>
        </w:rPr>
      </w:pPr>
      <w:r>
        <w:rPr>
          <w:rFonts w:hint="eastAsia" w:ascii="仿宋" w:hAnsi="仿宋" w:eastAsia="仿宋" w:cs="仿宋"/>
          <w:snapToGrid w:val="0"/>
          <w:kern w:val="0"/>
          <w:sz w:val="28"/>
          <w:szCs w:val="28"/>
          <w:highlight w:val="none"/>
          <w:lang w:val="en-US" w:eastAsia="zh-CN"/>
        </w:rPr>
        <w:t>三穗县楼市仍有诸多不确定因素的影响，但在房住不炒的大基调大调控下，三穗县场仍是以刚需性购房为主，房价趋于平稳，大幅上涨的可能性不高。</w:t>
      </w:r>
    </w:p>
    <w:p>
      <w:pPr>
        <w:keepNext w:val="0"/>
        <w:keepLines w:val="0"/>
        <w:pageBreakBefore w:val="0"/>
        <w:widowControl w:val="0"/>
        <w:kinsoku/>
        <w:wordWrap/>
        <w:overflowPunct/>
        <w:topLinePunct w:val="0"/>
        <w:autoSpaceDE/>
        <w:autoSpaceDN/>
        <w:bidi w:val="0"/>
        <w:adjustRightInd/>
        <w:snapToGrid/>
        <w:spacing w:before="239" w:beforeLines="50"/>
        <w:textAlignment w:val="auto"/>
        <w:rPr>
          <w:rFonts w:hint="eastAsia"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（三）最高最佳使用分析</w:t>
      </w:r>
      <w:bookmarkEnd w:id="75"/>
      <w:bookmarkEnd w:id="76"/>
      <w:bookmarkEnd w:id="77"/>
      <w:bookmarkEnd w:id="78"/>
      <w:bookmarkEnd w:id="79"/>
      <w:bookmarkEnd w:id="80"/>
      <w:bookmarkEnd w:id="81"/>
      <w:bookmarkEnd w:id="82"/>
    </w:p>
    <w:p>
      <w:pPr>
        <w:keepNext w:val="0"/>
        <w:keepLines w:val="0"/>
        <w:pageBreakBefore w:val="0"/>
        <w:widowControl w:val="0"/>
        <w:tabs>
          <w:tab w:val="left" w:pos="0"/>
        </w:tabs>
        <w:kinsoku/>
        <w:wordWrap/>
        <w:overflowPunct/>
        <w:topLinePunct w:val="0"/>
        <w:autoSpaceDE/>
        <w:autoSpaceDN/>
        <w:bidi w:val="0"/>
        <w:adjustRightInd w:val="0"/>
        <w:snapToGrid w:val="0"/>
        <w:spacing w:line="520" w:lineRule="atLeast"/>
        <w:ind w:firstLine="674" w:firstLineChars="200"/>
        <w:textAlignment w:val="auto"/>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房地产估价要以房地产的最高最佳使用为前提。所谓最高最佳使用，是估价对象的一种最可能的使用，这种最可能的使用是法律上允许、技术上可能、财务上可行，经过充分合理的论证，并能给估价对象带来最高</w:t>
      </w:r>
      <w:r>
        <w:rPr>
          <w:rFonts w:hint="eastAsia" w:ascii="仿宋" w:hAnsi="仿宋" w:eastAsia="仿宋"/>
          <w:snapToGrid w:val="0"/>
          <w:kern w:val="0"/>
          <w:sz w:val="28"/>
          <w:szCs w:val="28"/>
          <w:highlight w:val="none"/>
          <w:lang w:eastAsia="zh-CN"/>
        </w:rPr>
        <w:t>价格</w:t>
      </w:r>
      <w:r>
        <w:rPr>
          <w:rFonts w:hint="eastAsia" w:ascii="仿宋" w:hAnsi="仿宋" w:eastAsia="仿宋"/>
          <w:snapToGrid w:val="0"/>
          <w:kern w:val="0"/>
          <w:sz w:val="28"/>
          <w:szCs w:val="28"/>
          <w:highlight w:val="none"/>
        </w:rPr>
        <w:t>的使用。</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最高最佳使用分析真正体现了估价的客观性。衡量、判断的标准如下：</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法律上的许可性（规划及相关政策法规许可），即不受现时使用状况的限制，而依照法律、城市规划发展的规定。</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技术上的可能性，即不能把技术上无法做到的使用当作最高最佳使用，要按照可达到的建筑材料、施工技术等方面的要求确定。</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经济上的可行性，即在各种可能的使用方式中，选择收入现值大于支出现值的方式，寻求以经济上有限的投入而能获得最大收益的使用方式。</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lang w:eastAsia="zh-CN"/>
        </w:rPr>
        <w:t>价格</w:t>
      </w:r>
      <w:r>
        <w:rPr>
          <w:rFonts w:hint="eastAsia" w:ascii="仿宋" w:hAnsi="仿宋" w:eastAsia="仿宋"/>
          <w:snapToGrid w:val="0"/>
          <w:kern w:val="0"/>
          <w:sz w:val="28"/>
          <w:szCs w:val="28"/>
          <w:highlight w:val="none"/>
        </w:rPr>
        <w:t>最大性，使估价对象的</w:t>
      </w:r>
      <w:r>
        <w:rPr>
          <w:rFonts w:hint="eastAsia" w:ascii="仿宋" w:hAnsi="仿宋" w:eastAsia="仿宋"/>
          <w:snapToGrid w:val="0"/>
          <w:kern w:val="0"/>
          <w:sz w:val="28"/>
          <w:szCs w:val="28"/>
          <w:highlight w:val="none"/>
          <w:lang w:eastAsia="zh-CN"/>
        </w:rPr>
        <w:t>价格</w:t>
      </w:r>
      <w:r>
        <w:rPr>
          <w:rFonts w:hint="eastAsia" w:ascii="仿宋" w:hAnsi="仿宋" w:eastAsia="仿宋"/>
          <w:snapToGrid w:val="0"/>
          <w:kern w:val="0"/>
          <w:sz w:val="28"/>
          <w:szCs w:val="28"/>
          <w:highlight w:val="none"/>
        </w:rPr>
        <w:t>在具有经济可行性的使用方式中达到最大的一种。</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土地与建筑物的均衡性，即以房地产内部构成要素的组合是否均衡来判定。估价师把建筑物与土地区位是否相匹配，是否具有投资集约度的因素考虑进去。</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与外部环境的协调性，应按房地产与其周围环境相协调，能活的最佳外部经济效益的用途估价。</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可持续发展性，按可持续发展的观点确定使用方式，即研究房地产市场的发展变动趋势、使未来利益最大化的使用方式。</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对于估价对象的最高最佳使用，主要基于以下几个方面的考虑：</w:t>
      </w:r>
    </w:p>
    <w:p>
      <w:pPr>
        <w:tabs>
          <w:tab w:val="left" w:pos="0"/>
        </w:tabs>
        <w:adjustRightInd w:val="0"/>
        <w:snapToGrid w:val="0"/>
        <w:spacing w:line="520" w:lineRule="atLeast"/>
        <w:ind w:firstLine="674" w:firstLineChars="200"/>
        <w:rPr>
          <w:rFonts w:ascii="仿宋" w:hAnsi="仿宋" w:eastAsia="仿宋"/>
          <w:snapToGrid w:val="0"/>
          <w:kern w:val="0"/>
          <w:sz w:val="28"/>
          <w:szCs w:val="28"/>
          <w:highlight w:val="none"/>
        </w:rPr>
      </w:pPr>
      <w:r>
        <w:rPr>
          <w:rFonts w:hint="eastAsia" w:ascii="仿宋" w:hAnsi="仿宋" w:eastAsia="仿宋"/>
          <w:snapToGrid w:val="0"/>
          <w:kern w:val="0"/>
          <w:sz w:val="28"/>
          <w:szCs w:val="28"/>
          <w:highlight w:val="none"/>
        </w:rPr>
        <w:t>1. 估价对象</w:t>
      </w:r>
      <w:r>
        <w:rPr>
          <w:rFonts w:hint="eastAsia" w:ascii="仿宋" w:hAnsi="仿宋" w:eastAsia="仿宋"/>
          <w:snapToGrid w:val="0"/>
          <w:kern w:val="0"/>
          <w:sz w:val="28"/>
          <w:szCs w:val="28"/>
          <w:highlight w:val="none"/>
          <w:lang w:eastAsia="zh-CN"/>
        </w:rPr>
        <w:t>房屋</w:t>
      </w:r>
      <w:r>
        <w:rPr>
          <w:rFonts w:hint="eastAsia" w:ascii="仿宋" w:hAnsi="仿宋" w:eastAsia="仿宋"/>
          <w:snapToGrid w:val="0"/>
          <w:kern w:val="0"/>
          <w:sz w:val="28"/>
          <w:szCs w:val="28"/>
          <w:highlight w:val="none"/>
        </w:rPr>
        <w:t>权属资料记载用途为</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，实际用途为</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w:t>
      </w:r>
    </w:p>
    <w:p>
      <w:pPr>
        <w:spacing w:line="520" w:lineRule="atLeast"/>
        <w:ind w:firstLine="674" w:firstLineChars="200"/>
        <w:rPr>
          <w:rFonts w:ascii="黑体" w:hAnsi="黑体" w:eastAsia="黑体"/>
          <w:b/>
          <w:bCs/>
          <w:sz w:val="30"/>
          <w:szCs w:val="30"/>
          <w:highlight w:val="none"/>
        </w:rPr>
      </w:pPr>
      <w:r>
        <w:rPr>
          <w:rFonts w:hint="eastAsia" w:ascii="仿宋" w:hAnsi="仿宋" w:eastAsia="仿宋"/>
          <w:snapToGrid w:val="0"/>
          <w:kern w:val="0"/>
          <w:sz w:val="28"/>
          <w:szCs w:val="28"/>
          <w:highlight w:val="none"/>
        </w:rPr>
        <w:t>2. 估价对象建筑布局为</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布局，技术上决定估价对象最高最佳用途为</w:t>
      </w:r>
      <w:r>
        <w:rPr>
          <w:rFonts w:hint="eastAsia" w:ascii="仿宋" w:hAnsi="仿宋" w:eastAsia="仿宋"/>
          <w:snapToGrid w:val="0"/>
          <w:kern w:val="0"/>
          <w:sz w:val="28"/>
          <w:szCs w:val="28"/>
          <w:highlight w:val="none"/>
          <w:lang w:eastAsia="zh-CN"/>
        </w:rPr>
        <w:t>住宅</w:t>
      </w:r>
      <w:r>
        <w:rPr>
          <w:rFonts w:hint="eastAsia" w:ascii="仿宋" w:hAnsi="仿宋" w:eastAsia="仿宋"/>
          <w:snapToGrid w:val="0"/>
          <w:kern w:val="0"/>
          <w:sz w:val="28"/>
          <w:szCs w:val="28"/>
          <w:highlight w:val="none"/>
        </w:rPr>
        <w:t>。</w:t>
      </w:r>
      <w:bookmarkStart w:id="84" w:name="_Toc21594269"/>
      <w:bookmarkStart w:id="85" w:name="_Toc5695"/>
      <w:bookmarkStart w:id="86" w:name="_Toc21608393"/>
      <w:bookmarkStart w:id="87" w:name="_Toc10845"/>
      <w:bookmarkStart w:id="88" w:name="_Toc21608310"/>
    </w:p>
    <w:p>
      <w:pPr>
        <w:rPr>
          <w:rFonts w:hint="eastAsia" w:ascii="黑体" w:hAnsi="黑体" w:eastAsia="黑体" w:cs="黑体"/>
          <w:b/>
          <w:bCs/>
          <w:sz w:val="30"/>
          <w:szCs w:val="30"/>
          <w:highlight w:val="none"/>
        </w:rPr>
      </w:pPr>
      <w:r>
        <w:rPr>
          <w:rFonts w:hint="eastAsia" w:ascii="黑体" w:hAnsi="黑体" w:eastAsia="黑体" w:cs="黑体"/>
          <w:b/>
          <w:bCs/>
          <w:sz w:val="30"/>
          <w:szCs w:val="30"/>
          <w:highlight w:val="none"/>
        </w:rPr>
        <w:t>（</w:t>
      </w:r>
      <w:r>
        <w:rPr>
          <w:rFonts w:hint="eastAsia" w:ascii="黑体" w:hAnsi="黑体" w:eastAsia="黑体" w:cs="黑体"/>
          <w:b/>
          <w:bCs/>
          <w:sz w:val="30"/>
          <w:szCs w:val="30"/>
          <w:highlight w:val="none"/>
          <w:lang w:eastAsia="zh-CN"/>
        </w:rPr>
        <w:t>四</w:t>
      </w:r>
      <w:r>
        <w:rPr>
          <w:rFonts w:hint="eastAsia" w:ascii="黑体" w:hAnsi="黑体" w:eastAsia="黑体" w:cs="黑体"/>
          <w:b/>
          <w:bCs/>
          <w:sz w:val="30"/>
          <w:szCs w:val="30"/>
          <w:highlight w:val="none"/>
        </w:rPr>
        <w:t>）估价方法适用性分析</w:t>
      </w:r>
      <w:bookmarkEnd w:id="83"/>
      <w:bookmarkEnd w:id="84"/>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ascii="仿宋" w:hAnsi="仿宋" w:eastAsia="仿宋" w:cs="仿宋"/>
          <w:b/>
          <w:bCs/>
          <w:snapToGrid w:val="0"/>
          <w:kern w:val="0"/>
          <w:sz w:val="28"/>
          <w:szCs w:val="28"/>
          <w:highlight w:val="none"/>
        </w:rPr>
      </w:pPr>
      <w:bookmarkStart w:id="89" w:name="_Toc21608394"/>
      <w:bookmarkStart w:id="90" w:name="_Toc21608311"/>
      <w:bookmarkStart w:id="91" w:name="_Toc17391"/>
      <w:bookmarkStart w:id="92" w:name="_Toc21594270"/>
      <w:bookmarkStart w:id="93" w:name="_Toc30002"/>
      <w:r>
        <w:rPr>
          <w:rFonts w:hint="eastAsia" w:ascii="仿宋" w:hAnsi="仿宋" w:eastAsia="仿宋" w:cs="仿宋"/>
          <w:b/>
          <w:bCs/>
          <w:snapToGrid w:val="0"/>
          <w:kern w:val="0"/>
          <w:sz w:val="28"/>
          <w:szCs w:val="28"/>
          <w:highlight w:val="none"/>
        </w:rPr>
        <w:t>1、估价方法选取</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snapToGrid w:val="0"/>
          <w:kern w:val="0"/>
          <w:sz w:val="28"/>
          <w:szCs w:val="28"/>
          <w:highlight w:val="none"/>
        </w:rPr>
        <w:t>估价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w:t>
      </w:r>
      <w:r>
        <w:rPr>
          <w:rFonts w:hint="eastAsia" w:ascii="仿宋" w:hAnsi="仿宋" w:eastAsia="仿宋" w:cs="仿宋"/>
          <w:snapToGrid w:val="0"/>
          <w:kern w:val="0"/>
          <w:sz w:val="28"/>
          <w:szCs w:val="28"/>
          <w:highlight w:val="none"/>
          <w:lang w:eastAsia="zh-CN"/>
        </w:rPr>
        <w:t>比较法</w:t>
      </w:r>
      <w:r>
        <w:rPr>
          <w:rFonts w:hint="eastAsia" w:ascii="仿宋" w:hAnsi="仿宋" w:eastAsia="仿宋" w:cs="仿宋"/>
          <w:snapToGrid w:val="0"/>
          <w:kern w:val="0"/>
          <w:sz w:val="28"/>
          <w:szCs w:val="28"/>
          <w:highlight w:val="none"/>
        </w:rPr>
        <w:t>对估价对象（</w:t>
      </w:r>
      <w:r>
        <w:rPr>
          <w:rFonts w:hint="eastAsia" w:ascii="仿宋" w:hAnsi="仿宋" w:eastAsia="仿宋" w:cs="仿宋"/>
          <w:snapToGrid w:val="0"/>
          <w:kern w:val="0"/>
          <w:sz w:val="28"/>
          <w:szCs w:val="28"/>
          <w:highlight w:val="none"/>
          <w:lang w:eastAsia="zh-CN"/>
        </w:rPr>
        <w:t>住宅</w:t>
      </w:r>
      <w:r>
        <w:rPr>
          <w:rFonts w:hint="eastAsia" w:ascii="仿宋" w:hAnsi="仿宋" w:eastAsia="仿宋" w:cs="仿宋"/>
          <w:snapToGrid w:val="0"/>
          <w:kern w:val="0"/>
          <w:sz w:val="28"/>
          <w:szCs w:val="28"/>
          <w:highlight w:val="none"/>
        </w:rPr>
        <w:t>用途，面积为</w:t>
      </w:r>
      <w:r>
        <w:rPr>
          <w:rFonts w:hint="eastAsia" w:ascii="仿宋" w:hAnsi="仿宋" w:eastAsia="仿宋" w:cs="仿宋"/>
          <w:snapToGrid w:val="0"/>
          <w:kern w:val="0"/>
          <w:sz w:val="28"/>
          <w:szCs w:val="28"/>
          <w:highlight w:val="none"/>
          <w:lang w:eastAsia="zh-CN"/>
        </w:rPr>
        <w:t>166.51</w:t>
      </w:r>
      <w:r>
        <w:rPr>
          <w:rFonts w:hint="eastAsia" w:ascii="仿宋" w:hAnsi="仿宋" w:eastAsia="仿宋" w:cs="仿宋"/>
          <w:snapToGrid w:val="0"/>
          <w:kern w:val="0"/>
          <w:sz w:val="28"/>
          <w:szCs w:val="28"/>
          <w:highlight w:val="none"/>
        </w:rPr>
        <w:t>平方米）房地产进行估价</w:t>
      </w:r>
      <w:r>
        <w:rPr>
          <w:rFonts w:hint="eastAsia" w:ascii="仿宋" w:hAnsi="仿宋" w:eastAsia="仿宋" w:cs="仿宋"/>
          <w:snapToGrid w:val="0"/>
          <w:kern w:val="0"/>
          <w:sz w:val="28"/>
          <w:szCs w:val="28"/>
          <w:highlight w:val="none"/>
          <w:lang w:eastAsia="zh-CN"/>
        </w:rPr>
        <w:t>；</w:t>
      </w:r>
      <w:r>
        <w:rPr>
          <w:rFonts w:hint="eastAsia" w:ascii="仿宋" w:hAnsi="仿宋" w:eastAsia="仿宋" w:cs="仿宋"/>
          <w:snapToGrid w:val="0"/>
          <w:color w:val="000000" w:themeColor="text1"/>
          <w:kern w:val="0"/>
          <w:sz w:val="28"/>
          <w:szCs w:val="28"/>
          <w14:textFill>
            <w14:solidFill>
              <w14:schemeClr w14:val="tx1"/>
            </w14:solidFill>
          </w14:textFill>
        </w:rPr>
        <w:t>选取假设开发法对土地使用权进行估算，具体分析如下：</w:t>
      </w:r>
    </w:p>
    <w:p>
      <w:pPr>
        <w:keepNext w:val="0"/>
        <w:keepLines w:val="0"/>
        <w:pageBreakBefore w:val="0"/>
        <w:widowControl w:val="0"/>
        <w:kinsoku/>
        <w:wordWrap/>
        <w:overflowPunct/>
        <w:topLinePunct w:val="0"/>
        <w:autoSpaceDE/>
        <w:autoSpaceDN/>
        <w:bidi w:val="0"/>
        <w:adjustRightInd w:val="0"/>
        <w:snapToGrid w:val="0"/>
        <w:spacing w:after="239" w:afterLines="50" w:line="520" w:lineRule="exact"/>
        <w:ind w:firstLine="674" w:firstLineChars="200"/>
        <w:textAlignment w:val="auto"/>
        <w:rPr>
          <w:rFonts w:hint="default" w:eastAsia="仿宋"/>
          <w:lang w:val="en-US" w:eastAsia="zh-CN"/>
        </w:rPr>
      </w:pP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1</w:t>
      </w: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估价对象估价方法选取</w:t>
      </w:r>
    </w:p>
    <w:tbl>
      <w:tblPr>
        <w:tblStyle w:val="46"/>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737"/>
        <w:gridCol w:w="3738"/>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可选估价方法</w:t>
            </w:r>
          </w:p>
        </w:tc>
        <w:tc>
          <w:tcPr>
            <w:tcW w:w="373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估价方法定义</w:t>
            </w:r>
          </w:p>
        </w:tc>
        <w:tc>
          <w:tcPr>
            <w:tcW w:w="3738"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估价方法是否选择理由</w:t>
            </w:r>
          </w:p>
        </w:tc>
        <w:tc>
          <w:tcPr>
            <w:tcW w:w="1073"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是否</w:t>
            </w:r>
          </w:p>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选取一定数量的可比实例，将它们与估价对象进行比较，根据其间的差异对可比实例成交价格进行处理后得到估价对象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估价对象实际用途为</w:t>
            </w:r>
            <w:r>
              <w:rPr>
                <w:rFonts w:hint="eastAsia" w:ascii="仿宋" w:hAnsi="仿宋" w:eastAsia="仿宋" w:cs="宋体"/>
                <w:kern w:val="0"/>
                <w:sz w:val="20"/>
                <w:szCs w:val="20"/>
                <w:highlight w:val="none"/>
                <w:lang w:eastAsia="zh-CN"/>
              </w:rPr>
              <w:t>住宅</w:t>
            </w:r>
            <w:r>
              <w:rPr>
                <w:rFonts w:hint="eastAsia" w:ascii="仿宋" w:hAnsi="仿宋" w:eastAsia="仿宋" w:cs="宋体"/>
                <w:kern w:val="0"/>
                <w:sz w:val="20"/>
                <w:szCs w:val="20"/>
                <w:highlight w:val="none"/>
              </w:rPr>
              <w:t>，所在区域与估价对象相似使用的销售可比案例（同一供需圈内、用途一致、邻近区域）较</w:t>
            </w:r>
            <w:r>
              <w:rPr>
                <w:rFonts w:hint="eastAsia" w:ascii="仿宋" w:hAnsi="仿宋" w:eastAsia="仿宋" w:cs="宋体"/>
                <w:kern w:val="0"/>
                <w:sz w:val="20"/>
                <w:szCs w:val="20"/>
                <w:highlight w:val="none"/>
                <w:lang w:eastAsia="zh-CN"/>
              </w:rPr>
              <w:t>多</w:t>
            </w:r>
            <w:r>
              <w:rPr>
                <w:rFonts w:hint="eastAsia" w:ascii="仿宋" w:hAnsi="仿宋" w:eastAsia="仿宋" w:cs="宋体"/>
                <w:kern w:val="0"/>
                <w:sz w:val="20"/>
                <w:szCs w:val="20"/>
                <w:highlight w:val="none"/>
              </w:rPr>
              <w:t>，故本次估价选取比较法对估价对象进行估价。</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收益法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预测估价对象的未来收益，利用报酬率或资本化率、收益乘数将未来收益转换为</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收益法适宜用于收益性物业估价，即为有经济收益或有潜在经济收益的房地产，估价对象所在区域住宅物业租金较低，从收益角度无法反应出该房地产的市场价格，故本次估价不选取采用收益法进行估价。</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lang w:eastAsia="zh-CN"/>
              </w:rPr>
              <w:t>不</w:t>
            </w:r>
            <w:r>
              <w:rPr>
                <w:rFonts w:hint="eastAsia" w:ascii="仿宋" w:hAnsi="仿宋" w:eastAsia="仿宋" w:cs="楷体_GB2312"/>
                <w:bCs/>
                <w:sz w:val="20"/>
                <w:szCs w:val="20"/>
                <w:highlight w:val="none"/>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假设开发法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求得估价对象后续开发的必要支出及折现率或后续开发的必要支出及应得利润和开发完成后的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，将开发完成后的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和后续开发的必要支出折现到</w:t>
            </w:r>
            <w:r>
              <w:rPr>
                <w:rFonts w:hint="eastAsia" w:ascii="仿宋" w:hAnsi="仿宋" w:eastAsia="仿宋" w:cs="宋体"/>
                <w:kern w:val="0"/>
                <w:sz w:val="20"/>
                <w:szCs w:val="20"/>
                <w:highlight w:val="none"/>
                <w:lang w:eastAsia="zh-CN"/>
              </w:rPr>
              <w:t>价值时点</w:t>
            </w:r>
            <w:r>
              <w:rPr>
                <w:rFonts w:hint="eastAsia" w:ascii="仿宋" w:hAnsi="仿宋" w:eastAsia="仿宋" w:cs="宋体"/>
                <w:kern w:val="0"/>
                <w:sz w:val="20"/>
                <w:szCs w:val="20"/>
                <w:highlight w:val="none"/>
              </w:rPr>
              <w:t>后相减，或将开发完成后的</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减去后续开发的必要支出及应得利润得到估价对象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假设开发法适用于评估具有投资开发价格或再开发潜力的房地产，估价对象为已投入使用的房地产，非待开发房地产，不产生后续开发成本，故本次评估不选取假设开发法作为估价方法。</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不选取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7"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成本法</w:t>
            </w:r>
          </w:p>
        </w:tc>
        <w:tc>
          <w:tcPr>
            <w:tcW w:w="3737" w:type="dxa"/>
            <w:tcBorders>
              <w:tl2br w:val="nil"/>
              <w:tr2bl w:val="nil"/>
            </w:tcBorders>
            <w:vAlign w:val="center"/>
          </w:tcPr>
          <w:p>
            <w:pPr>
              <w:widowControl/>
              <w:jc w:val="both"/>
              <w:rPr>
                <w:rFonts w:ascii="仿宋" w:hAnsi="仿宋" w:eastAsia="仿宋" w:cs="楷体_GB2312"/>
                <w:sz w:val="20"/>
                <w:szCs w:val="20"/>
                <w:highlight w:val="none"/>
              </w:rPr>
            </w:pPr>
            <w:r>
              <w:rPr>
                <w:rFonts w:hint="eastAsia" w:ascii="仿宋" w:hAnsi="仿宋" w:eastAsia="仿宋" w:cs="宋体"/>
                <w:kern w:val="0"/>
                <w:sz w:val="20"/>
                <w:szCs w:val="20"/>
                <w:highlight w:val="none"/>
              </w:rPr>
              <w:t>测算估价对象在</w:t>
            </w:r>
            <w:r>
              <w:rPr>
                <w:rFonts w:hint="eastAsia" w:ascii="仿宋" w:hAnsi="仿宋" w:eastAsia="仿宋" w:cs="宋体"/>
                <w:kern w:val="0"/>
                <w:sz w:val="20"/>
                <w:szCs w:val="20"/>
                <w:highlight w:val="none"/>
                <w:lang w:eastAsia="zh-CN"/>
              </w:rPr>
              <w:t>价值时点</w:t>
            </w:r>
            <w:r>
              <w:rPr>
                <w:rFonts w:hint="eastAsia" w:ascii="仿宋" w:hAnsi="仿宋" w:eastAsia="仿宋" w:cs="宋体"/>
                <w:kern w:val="0"/>
                <w:sz w:val="20"/>
                <w:szCs w:val="20"/>
                <w:highlight w:val="none"/>
              </w:rPr>
              <w:t>的重置成本或重建成本和折旧，将重置成本或重建成本减去折旧得到估价对象</w:t>
            </w:r>
            <w:r>
              <w:rPr>
                <w:rFonts w:hint="eastAsia" w:ascii="仿宋" w:hAnsi="仿宋" w:eastAsia="仿宋" w:cs="宋体"/>
                <w:kern w:val="0"/>
                <w:sz w:val="20"/>
                <w:szCs w:val="20"/>
                <w:highlight w:val="none"/>
                <w:lang w:eastAsia="zh-CN"/>
              </w:rPr>
              <w:t>价格</w:t>
            </w:r>
            <w:r>
              <w:rPr>
                <w:rFonts w:hint="eastAsia" w:ascii="仿宋" w:hAnsi="仿宋" w:eastAsia="仿宋" w:cs="宋体"/>
                <w:kern w:val="0"/>
                <w:sz w:val="20"/>
                <w:szCs w:val="20"/>
                <w:highlight w:val="none"/>
              </w:rPr>
              <w:t>或价格的方法。</w:t>
            </w:r>
          </w:p>
        </w:tc>
        <w:tc>
          <w:tcPr>
            <w:tcW w:w="3738" w:type="dxa"/>
            <w:tcBorders>
              <w:tl2br w:val="nil"/>
              <w:tr2bl w:val="nil"/>
            </w:tcBorders>
            <w:vAlign w:val="center"/>
          </w:tcPr>
          <w:p>
            <w:pPr>
              <w:widowControl/>
              <w:jc w:val="both"/>
              <w:rPr>
                <w:rFonts w:hint="eastAsia" w:ascii="仿宋" w:hAnsi="仿宋" w:eastAsia="仿宋" w:cs="楷体_GB2312"/>
                <w:sz w:val="20"/>
                <w:szCs w:val="20"/>
                <w:highlight w:val="none"/>
                <w:lang w:eastAsia="zh-CN"/>
              </w:rPr>
            </w:pPr>
            <w:r>
              <w:rPr>
                <w:rFonts w:hint="eastAsia" w:ascii="仿宋" w:hAnsi="仿宋" w:eastAsia="仿宋" w:cs="宋体"/>
                <w:kern w:val="0"/>
                <w:sz w:val="20"/>
                <w:szCs w:val="20"/>
                <w:highlight w:val="none"/>
                <w:lang w:eastAsia="zh-CN"/>
              </w:rPr>
              <w:t>估价对象为住宅房地产，房地产价格与成本关联性弱，运用成本法测算的结果不能准确反映估价对象的实际市场价格，故不选取成本法进行评估。</w:t>
            </w:r>
          </w:p>
        </w:tc>
        <w:tc>
          <w:tcPr>
            <w:tcW w:w="1073" w:type="dxa"/>
            <w:tcBorders>
              <w:tl2br w:val="nil"/>
              <w:tr2bl w:val="nil"/>
            </w:tcBorders>
            <w:vAlign w:val="center"/>
          </w:tcPr>
          <w:p>
            <w:pPr>
              <w:spacing w:line="288" w:lineRule="auto"/>
              <w:jc w:val="center"/>
              <w:rPr>
                <w:rFonts w:ascii="仿宋" w:hAnsi="仿宋" w:eastAsia="仿宋" w:cs="楷体_GB2312"/>
                <w:bCs/>
                <w:sz w:val="20"/>
                <w:szCs w:val="20"/>
                <w:highlight w:val="none"/>
              </w:rPr>
            </w:pPr>
            <w:r>
              <w:rPr>
                <w:rFonts w:hint="eastAsia" w:ascii="仿宋" w:hAnsi="仿宋" w:eastAsia="仿宋" w:cs="楷体_GB2312"/>
                <w:bCs/>
                <w:sz w:val="20"/>
                <w:szCs w:val="20"/>
                <w:highlight w:val="none"/>
              </w:rPr>
              <w:t>不选取</w:t>
            </w:r>
          </w:p>
        </w:tc>
      </w:tr>
    </w:tbl>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（2）土地使用权估价方法选取</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土地使用权的评估方法主要为基准地价系数修正法、收益还原法、市场比较法、剩余法（假设开发法）、成本逼近法。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①基准地价系数修正法：是利用城镇基准地价和基准地价修正系数表等评估成果，按照替代原则，就待估宗地的区域条件和个别条件等与其所处区域的平均条件相比较，并对照修正系数表选取相应的修正系数对基准地价进行修正，进而求取待估宗地在评估期日价格的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②收益还原法：是在估算土地在未来每年预期纯收益的基础上，以一定的还原率，将评估对象在未来每年的纯收益折算为评估时日收益总和的一种方法。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③剩余法：又称假设开发法，是在估算开发完成后不动产正常交易价格的基础上，扣除建筑物建造费用和与 建筑物建造、买卖有关的专业费、利息、利润、税收等费用后，以价格余额来确定评估对象土地价格的一种方法。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④市场比较法：是将评估对象与评估基准日或与评估基准日较近期内交易的类似土地使用权交易价格进行比较，对这些土地使用权的已知交易价格作适当的修正，以此估算评估对象的客观合理交易价格的方法。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default"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⑤成本逼近法：成本逼近法是以开发土地所耗费的各项客观费用之和为主要依据，再加上客观的利润、利息、应缴纳的税金和土地增值收益等来确定土地价格的估价方法。</w:t>
      </w:r>
    </w:p>
    <w:p>
      <w:pPr>
        <w:keepNext w:val="0"/>
        <w:keepLines w:val="0"/>
        <w:pageBreakBefore w:val="0"/>
        <w:widowControl w:val="0"/>
        <w:kinsoku/>
        <w:wordWrap/>
        <w:overflowPunct/>
        <w:topLinePunct w:val="0"/>
        <w:autoSpaceDE/>
        <w:autoSpaceDN/>
        <w:bidi w:val="0"/>
        <w:adjustRightInd/>
        <w:snapToGrid/>
        <w:spacing w:line="520" w:lineRule="exact"/>
        <w:ind w:firstLine="714" w:firstLineChars="200"/>
        <w:textAlignment w:val="auto"/>
        <w:rPr>
          <w:rFonts w:hint="eastAsia" w:ascii="仿宋" w:hAnsi="仿宋" w:eastAsia="仿宋" w:cs="仿宋"/>
          <w:snapToGrid w:val="0"/>
          <w:kern w:val="0"/>
          <w:sz w:val="30"/>
          <w:szCs w:val="30"/>
          <w:highlight w:val="none"/>
        </w:rPr>
      </w:pPr>
      <w:r>
        <w:rPr>
          <w:rFonts w:hint="eastAsia" w:ascii="仿宋" w:hAnsi="仿宋" w:eastAsia="仿宋" w:cs="仿宋"/>
          <w:snapToGrid w:val="0"/>
          <w:kern w:val="0"/>
          <w:sz w:val="30"/>
          <w:szCs w:val="30"/>
          <w:highlight w:val="none"/>
          <w:lang w:val="en-US" w:eastAsia="zh-CN"/>
        </w:rPr>
        <w:t>评估人员通过市场调查，评估对象作为划拨用地，对应的土地收益资料难以收益，因此不宜采用收益还原法评估；同一供需圈内与委托评估宗地相似或相近的市场交易资料难以收集获取，亦不宜采用市场比较法进行评估；委估对象其周边类似的房地产开发项目较多，房地产交易较活跃，房地产交易价格、开发成本、投资利息、投资利润以及销售税费等数据较易收集，故适合采用假设开发法进行评估；成本逼近法一般适用于新开发土地、土地市场欠发育或交易实例少的地区的土地价格评估，该地地处三穗县内，片区发展较成熟，运用成本法测算的结果不能准确反映估价对象的实际市场价值，不满足采用成本逼近法的技术条件，故不适用成本逼近法；由于估价对象所在区域近3年没有公布基准地价，故不采用基准地价系数修正法；根据《房地产估价规范》【GB/T50291-2015】、《房地产估价基本术语标准》【GB/T50899-2013】及《城镇土地估价规程》，结合本次评估目的及评估人员所掌握、收集和调查的资料情况，综合分析，本次评估确定使用假设开发法对估价对象土地使用权进行评估。</w:t>
      </w:r>
    </w:p>
    <w:p>
      <w:pPr>
        <w:widowControl/>
        <w:spacing w:before="237" w:beforeLines="50"/>
        <w:ind w:firstLine="674" w:firstLineChars="200"/>
        <w:jc w:val="left"/>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2、本次选用估价方法原理及基本公式</w:t>
      </w:r>
    </w:p>
    <w:p>
      <w:pPr>
        <w:spacing w:line="520" w:lineRule="exact"/>
        <w:ind w:firstLine="674" w:firstLineChars="200"/>
        <w:rPr>
          <w:rFonts w:hint="default" w:ascii="仿宋" w:hAnsi="仿宋" w:eastAsia="仿宋" w:cs="仿宋"/>
          <w:bCs/>
          <w:snapToGrid w:val="0"/>
          <w:kern w:val="0"/>
          <w:sz w:val="28"/>
          <w:szCs w:val="28"/>
          <w:highlight w:val="none"/>
          <w:lang w:val="en-US" w:eastAsia="zh-CN"/>
        </w:rPr>
      </w:pPr>
      <w:r>
        <w:rPr>
          <w:rFonts w:hint="eastAsia" w:ascii="仿宋" w:hAnsi="仿宋" w:eastAsia="仿宋" w:cs="仿宋"/>
          <w:bCs/>
          <w:snapToGrid w:val="0"/>
          <w:kern w:val="0"/>
          <w:sz w:val="28"/>
          <w:szCs w:val="28"/>
          <w:highlight w:val="none"/>
          <w:lang w:eastAsia="zh-CN"/>
        </w:rPr>
        <w:t>（</w:t>
      </w:r>
      <w:r>
        <w:rPr>
          <w:rFonts w:hint="eastAsia" w:ascii="仿宋" w:hAnsi="仿宋" w:eastAsia="仿宋" w:cs="仿宋"/>
          <w:bCs/>
          <w:snapToGrid w:val="0"/>
          <w:kern w:val="0"/>
          <w:sz w:val="28"/>
          <w:szCs w:val="28"/>
          <w:highlight w:val="none"/>
          <w:lang w:val="en-US" w:eastAsia="zh-CN"/>
        </w:rPr>
        <w:t>1</w:t>
      </w:r>
      <w:r>
        <w:rPr>
          <w:rFonts w:hint="eastAsia" w:ascii="仿宋" w:hAnsi="仿宋" w:eastAsia="仿宋" w:cs="仿宋"/>
          <w:bCs/>
          <w:snapToGrid w:val="0"/>
          <w:kern w:val="0"/>
          <w:sz w:val="28"/>
          <w:szCs w:val="28"/>
          <w:highlight w:val="none"/>
          <w:lang w:eastAsia="zh-CN"/>
        </w:rPr>
        <w:t>）</w:t>
      </w:r>
      <w:r>
        <w:rPr>
          <w:rFonts w:hint="eastAsia" w:ascii="仿宋" w:hAnsi="仿宋" w:eastAsia="仿宋" w:cs="仿宋"/>
          <w:bCs/>
          <w:snapToGrid w:val="0"/>
          <w:kern w:val="0"/>
          <w:sz w:val="28"/>
          <w:szCs w:val="28"/>
          <w:highlight w:val="none"/>
          <w:lang w:val="en-US" w:eastAsia="zh-CN"/>
        </w:rPr>
        <w:t>比较法</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比较法原理：是将估价对象房地产与近期已经发生交易的类似房地产加以比较对照，从已经发生了交易的类似房地产的已知价格，修正得出估价对象房地产价格的一种估价方法。</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比较法的计算公式：</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Pi=P’×A×B×C×D×</w:t>
      </w:r>
      <w:r>
        <w:rPr>
          <w:rFonts w:hint="eastAsia" w:ascii="仿宋" w:hAnsi="仿宋" w:eastAsia="仿宋" w:cs="仿宋"/>
          <w:bCs/>
          <w:snapToGrid w:val="0"/>
          <w:kern w:val="0"/>
          <w:sz w:val="28"/>
          <w:szCs w:val="28"/>
          <w:highlight w:val="none"/>
          <w:lang w:val="en-US" w:eastAsia="zh-CN"/>
        </w:rPr>
        <w:t>E</w:t>
      </w: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P=∑（Pi×权重系数）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式中：P—待估房地产评评估格    A—交易情况调整系数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Pi—待估房地产比准价格   B—</w:t>
      </w:r>
      <w:r>
        <w:rPr>
          <w:rFonts w:hint="eastAsia" w:ascii="仿宋" w:hAnsi="仿宋" w:eastAsia="仿宋" w:cs="仿宋"/>
          <w:bCs/>
          <w:snapToGrid w:val="0"/>
          <w:kern w:val="0"/>
          <w:sz w:val="28"/>
          <w:szCs w:val="28"/>
          <w:highlight w:val="none"/>
          <w:lang w:eastAsia="zh-CN"/>
        </w:rPr>
        <w:t>市场状况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rPr>
      </w:pPr>
      <w:r>
        <w:rPr>
          <w:rFonts w:hint="eastAsia" w:ascii="仿宋" w:hAnsi="仿宋" w:eastAsia="仿宋" w:cs="仿宋"/>
          <w:bCs/>
          <w:snapToGrid w:val="0"/>
          <w:kern w:val="0"/>
          <w:sz w:val="28"/>
          <w:szCs w:val="28"/>
          <w:highlight w:val="none"/>
        </w:rPr>
        <w:t xml:space="preserve">      P’—可比交易实例价格    C—</w:t>
      </w:r>
      <w:r>
        <w:rPr>
          <w:rFonts w:hint="eastAsia" w:ascii="仿宋" w:hAnsi="仿宋" w:eastAsia="仿宋" w:cs="仿宋"/>
          <w:bCs/>
          <w:snapToGrid w:val="0"/>
          <w:kern w:val="0"/>
          <w:sz w:val="28"/>
          <w:szCs w:val="28"/>
          <w:highlight w:val="none"/>
          <w:lang w:eastAsia="zh-CN"/>
        </w:rPr>
        <w:t>区位状况</w:t>
      </w:r>
      <w:r>
        <w:rPr>
          <w:rFonts w:hint="eastAsia" w:ascii="仿宋" w:hAnsi="仿宋" w:eastAsia="仿宋" w:cs="仿宋"/>
          <w:bCs/>
          <w:snapToGrid w:val="0"/>
          <w:kern w:val="0"/>
          <w:sz w:val="28"/>
          <w:szCs w:val="28"/>
          <w:highlight w:val="none"/>
        </w:rPr>
        <w:t>调整系数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rPr>
        <w:t xml:space="preserve">    </w:t>
      </w:r>
      <w:r>
        <w:rPr>
          <w:rFonts w:hint="eastAsia" w:ascii="仿宋" w:hAnsi="仿宋" w:eastAsia="仿宋" w:cs="仿宋"/>
          <w:bCs/>
          <w:snapToGrid w:val="0"/>
          <w:kern w:val="0"/>
          <w:sz w:val="28"/>
          <w:szCs w:val="28"/>
          <w:highlight w:val="none"/>
          <w:lang w:val="en-US" w:eastAsia="zh-CN"/>
        </w:rPr>
        <w:t xml:space="preserve">                           </w:t>
      </w:r>
      <w:r>
        <w:rPr>
          <w:rFonts w:hint="eastAsia" w:ascii="仿宋" w:hAnsi="仿宋" w:eastAsia="仿宋" w:cs="仿宋"/>
          <w:bCs/>
          <w:snapToGrid w:val="0"/>
          <w:kern w:val="0"/>
          <w:sz w:val="28"/>
          <w:szCs w:val="28"/>
          <w:highlight w:val="none"/>
        </w:rPr>
        <w:t>D—</w:t>
      </w:r>
      <w:r>
        <w:rPr>
          <w:rFonts w:hint="eastAsia" w:ascii="仿宋" w:hAnsi="仿宋" w:eastAsia="仿宋" w:cs="仿宋"/>
          <w:bCs/>
          <w:snapToGrid w:val="0"/>
          <w:kern w:val="0"/>
          <w:sz w:val="28"/>
          <w:szCs w:val="28"/>
          <w:highlight w:val="none"/>
          <w:lang w:eastAsia="zh-CN"/>
        </w:rPr>
        <w:t>实物状况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spacing w:line="520" w:lineRule="exact"/>
        <w:ind w:firstLine="67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bCs/>
          <w:snapToGrid w:val="0"/>
          <w:kern w:val="0"/>
          <w:sz w:val="28"/>
          <w:szCs w:val="28"/>
          <w:highlight w:val="none"/>
          <w:lang w:val="en-US" w:eastAsia="zh-CN"/>
        </w:rPr>
        <w:t xml:space="preserve">                               E</w:t>
      </w:r>
      <w:r>
        <w:rPr>
          <w:rFonts w:hint="eastAsia" w:ascii="仿宋" w:hAnsi="仿宋" w:eastAsia="仿宋" w:cs="仿宋"/>
          <w:bCs/>
          <w:snapToGrid w:val="0"/>
          <w:kern w:val="0"/>
          <w:sz w:val="28"/>
          <w:szCs w:val="28"/>
          <w:highlight w:val="none"/>
        </w:rPr>
        <w:t>—</w:t>
      </w:r>
      <w:r>
        <w:rPr>
          <w:rFonts w:hint="eastAsia" w:ascii="仿宋" w:hAnsi="仿宋" w:eastAsia="仿宋" w:cs="仿宋"/>
          <w:bCs/>
          <w:snapToGrid w:val="0"/>
          <w:kern w:val="0"/>
          <w:sz w:val="28"/>
          <w:szCs w:val="28"/>
          <w:highlight w:val="none"/>
          <w:lang w:eastAsia="zh-CN"/>
        </w:rPr>
        <w:t>权益状况</w:t>
      </w:r>
      <w:r>
        <w:rPr>
          <w:rFonts w:hint="eastAsia" w:ascii="仿宋" w:hAnsi="仿宋" w:eastAsia="仿宋" w:cs="仿宋"/>
          <w:bCs/>
          <w:snapToGrid w:val="0"/>
          <w:kern w:val="0"/>
          <w:sz w:val="28"/>
          <w:szCs w:val="28"/>
          <w:highlight w:val="none"/>
        </w:rPr>
        <w:t>素</w:t>
      </w:r>
      <w:r>
        <w:rPr>
          <w:rFonts w:hint="eastAsia" w:ascii="仿宋" w:hAnsi="仿宋" w:eastAsia="仿宋" w:cs="仿宋"/>
          <w:bCs/>
          <w:snapToGrid w:val="0"/>
          <w:kern w:val="0"/>
          <w:sz w:val="28"/>
          <w:szCs w:val="28"/>
          <w:highlight w:val="none"/>
          <w:lang w:eastAsia="zh-CN"/>
        </w:rPr>
        <w:t>修正系数</w:t>
      </w:r>
    </w:p>
    <w:p>
      <w:pPr>
        <w:keepNext w:val="0"/>
        <w:keepLines w:val="0"/>
        <w:pageBreakBefore w:val="0"/>
        <w:widowControl w:val="0"/>
        <w:kinsoku/>
        <w:wordWrap/>
        <w:overflowPunct/>
        <w:topLinePunct w:val="0"/>
        <w:autoSpaceDE/>
        <w:autoSpaceDN/>
        <w:bidi w:val="0"/>
        <w:adjustRightInd w:val="0"/>
        <w:snapToGrid w:val="0"/>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（2）假设开发法</w:t>
      </w:r>
    </w:p>
    <w:p>
      <w:pPr>
        <w:keepNext w:val="0"/>
        <w:keepLines w:val="0"/>
        <w:pageBreakBefore w:val="0"/>
        <w:widowControl w:val="0"/>
        <w:kinsoku/>
        <w:wordWrap/>
        <w:overflowPunct/>
        <w:topLinePunct w:val="0"/>
        <w:autoSpaceDE/>
        <w:autoSpaceDN/>
        <w:bidi w:val="0"/>
        <w:adjustRightInd w:val="0"/>
        <w:snapToGrid w:val="0"/>
        <w:spacing w:line="520" w:lineRule="exact"/>
        <w:ind w:firstLine="714" w:firstLineChars="200"/>
        <w:textAlignment w:val="auto"/>
        <w:rPr>
          <w:rFonts w:hint="eastAsia" w:ascii="仿宋" w:hAnsi="仿宋" w:eastAsia="仿宋" w:cs="仿宋"/>
          <w:snapToGrid w:val="0"/>
          <w:kern w:val="0"/>
          <w:sz w:val="30"/>
          <w:szCs w:val="30"/>
          <w:highlight w:val="none"/>
          <w:lang w:val="en-US" w:eastAsia="zh-CN"/>
        </w:rPr>
      </w:pPr>
      <w:r>
        <w:rPr>
          <w:rFonts w:hint="eastAsia" w:ascii="仿宋" w:hAnsi="仿宋" w:eastAsia="仿宋" w:cs="仿宋"/>
          <w:snapToGrid w:val="0"/>
          <w:kern w:val="0"/>
          <w:sz w:val="30"/>
          <w:szCs w:val="30"/>
          <w:highlight w:val="none"/>
          <w:lang w:val="en-US" w:eastAsia="zh-CN"/>
        </w:rPr>
        <w:t>假设开发法，是在估算开发完成后不动产正常交易价格的基础上，扣除房屋现值、交易税费等，以价格余额来确定待估土地价格的一种方法，其公式如下：</w:t>
      </w:r>
    </w:p>
    <w:p>
      <w:pPr>
        <w:spacing w:line="520" w:lineRule="exact"/>
        <w:ind w:firstLine="714" w:firstLineChars="200"/>
        <w:rPr>
          <w:rFonts w:hint="eastAsia" w:ascii="仿宋" w:hAnsi="仿宋" w:eastAsia="仿宋" w:cs="仿宋"/>
          <w:bCs/>
          <w:snapToGrid w:val="0"/>
          <w:kern w:val="0"/>
          <w:sz w:val="28"/>
          <w:szCs w:val="28"/>
          <w:highlight w:val="none"/>
          <w:lang w:eastAsia="zh-CN"/>
        </w:rPr>
      </w:pPr>
      <w:r>
        <w:rPr>
          <w:rFonts w:hint="eastAsia" w:ascii="仿宋" w:hAnsi="仿宋" w:eastAsia="仿宋" w:cs="仿宋"/>
          <w:snapToGrid w:val="0"/>
          <w:kern w:val="0"/>
          <w:sz w:val="30"/>
          <w:szCs w:val="30"/>
          <w:highlight w:val="none"/>
          <w:lang w:val="en-US" w:eastAsia="zh-CN"/>
        </w:rPr>
        <w:t>地价=不动产交易价格－房屋现值－交易税费</w:t>
      </w:r>
    </w:p>
    <w:p>
      <w:pPr>
        <w:ind w:firstLine="357" w:firstLineChars="100"/>
        <w:rPr>
          <w:rFonts w:hint="eastAsia"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（五）估价测算过程</w:t>
      </w:r>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snapToGrid w:val="0"/>
          <w:color w:val="000000" w:themeColor="text1"/>
          <w:kern w:val="0"/>
          <w:sz w:val="28"/>
          <w:szCs w:val="28"/>
          <w:highlight w:val="yellow"/>
          <w:lang w:eastAsia="zh-CN"/>
          <w14:textFill>
            <w14:solidFill>
              <w14:schemeClr w14:val="tx1"/>
            </w14:solidFill>
          </w14:textFill>
        </w:rPr>
      </w:pPr>
      <w:r>
        <w:rPr>
          <w:rFonts w:hint="eastAsia" w:ascii="仿宋" w:hAnsi="仿宋" w:eastAsia="仿宋" w:cs="仿宋"/>
          <w:snapToGrid w:val="0"/>
          <w:color w:val="000000" w:themeColor="text1"/>
          <w:kern w:val="0"/>
          <w:sz w:val="28"/>
          <w:szCs w:val="28"/>
          <w:highlight w:val="none"/>
          <w:lang w:val="en-US" w:eastAsia="zh-CN"/>
          <w14:textFill>
            <w14:solidFill>
              <w14:schemeClr w14:val="tx1"/>
            </w14:solidFill>
          </w14:textFill>
        </w:rPr>
        <w:t>1、未扣评估费、拍卖费等相关费用的市场价格</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snapToGrid w:val="0"/>
          <w:color w:val="000000" w:themeColor="text1"/>
          <w:kern w:val="0"/>
          <w:sz w:val="28"/>
          <w:szCs w:val="28"/>
          <w:highlight w:val="none"/>
          <w:lang w:eastAsia="zh-CN"/>
          <w14:textFill>
            <w14:solidFill>
              <w14:schemeClr w14:val="tx1"/>
            </w14:solidFill>
          </w14:textFill>
        </w:rPr>
      </w:pPr>
      <w:r>
        <w:rPr>
          <w:rFonts w:hint="eastAsia" w:ascii="仿宋" w:hAnsi="仿宋" w:eastAsia="仿宋" w:cs="仿宋"/>
          <w:b/>
          <w:bCs/>
          <w:snapToGrid w:val="0"/>
          <w:color w:val="000000" w:themeColor="text1"/>
          <w:kern w:val="0"/>
          <w:sz w:val="28"/>
          <w:szCs w:val="28"/>
          <w:lang w:val="en-US" w:eastAsia="zh-CN" w:bidi="ar-SA"/>
          <w14:textFill>
            <w14:solidFill>
              <w14:schemeClr w14:val="tx1"/>
            </w14:solidFill>
          </w14:textFill>
        </w:rPr>
        <w:t>a、比较法测算估价对象出让性质下的房地合一价格</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snapToGrid w:val="0"/>
          <w:color w:val="000000" w:themeColor="text1"/>
          <w:kern w:val="0"/>
          <w:sz w:val="28"/>
          <w:szCs w:val="28"/>
          <w:highlight w:val="none"/>
          <w14:textFill>
            <w14:solidFill>
              <w14:schemeClr w14:val="tx1"/>
            </w14:solidFill>
          </w14:textFill>
        </w:rPr>
      </w:pPr>
      <w:r>
        <w:rPr>
          <w:rFonts w:hint="eastAsia" w:ascii="仿宋" w:hAnsi="仿宋" w:eastAsia="仿宋" w:cs="仿宋"/>
          <w:snapToGrid w:val="0"/>
          <w:color w:val="000000" w:themeColor="text1"/>
          <w:kern w:val="0"/>
          <w:sz w:val="28"/>
          <w:szCs w:val="28"/>
          <w:highlight w:val="none"/>
          <w:lang w:eastAsia="zh-CN"/>
          <w14:textFill>
            <w14:solidFill>
              <w14:schemeClr w14:val="tx1"/>
            </w14:solidFill>
          </w14:textFill>
        </w:rPr>
        <w:t>本次估价</w:t>
      </w:r>
      <w:r>
        <w:rPr>
          <w:rFonts w:hint="eastAsia" w:ascii="仿宋" w:hAnsi="仿宋" w:eastAsia="仿宋" w:cs="仿宋"/>
          <w:snapToGrid w:val="0"/>
          <w:color w:val="000000" w:themeColor="text1"/>
          <w:kern w:val="0"/>
          <w:sz w:val="28"/>
          <w:szCs w:val="28"/>
          <w:highlight w:val="none"/>
          <w14:textFill>
            <w14:solidFill>
              <w14:schemeClr w14:val="tx1"/>
            </w14:solidFill>
          </w14:textFill>
        </w:rPr>
        <w:t>选择了以下三个比较交易案例：</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ascii="仿宋" w:hAnsi="仿宋" w:eastAsia="仿宋" w:cs="仿宋"/>
          <w:snapToGrid w:val="0"/>
          <w:color w:val="000000" w:themeColor="text1"/>
          <w:kern w:val="0"/>
          <w:sz w:val="28"/>
          <w:szCs w:val="28"/>
          <w:highlight w:val="none"/>
          <w14:textFill>
            <w14:solidFill>
              <w14:schemeClr w14:val="tx1"/>
            </w14:solidFill>
          </w14:textFill>
        </w:rPr>
      </w:pPr>
      <w:r>
        <w:rPr>
          <w:rFonts w:hint="eastAsia" w:ascii="仿宋" w:hAnsi="仿宋" w:eastAsia="仿宋" w:cs="仿宋"/>
          <w:snapToGrid w:val="0"/>
          <w:color w:val="000000" w:themeColor="text1"/>
          <w:kern w:val="0"/>
          <w:sz w:val="28"/>
          <w:szCs w:val="28"/>
          <w:highlight w:val="none"/>
          <w14:textFill>
            <w14:solidFill>
              <w14:schemeClr w14:val="tx1"/>
            </w14:solidFill>
          </w14:textFill>
        </w:rPr>
        <w:t>（1）选择可比实例：</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snapToGrid w:val="0"/>
          <w:color w:val="000000" w:themeColor="text1"/>
          <w:kern w:val="0"/>
          <w:sz w:val="28"/>
          <w:szCs w:val="28"/>
          <w:highlight w:val="none"/>
          <w14:textFill>
            <w14:solidFill>
              <w14:schemeClr w14:val="tx1"/>
            </w14:solidFill>
          </w14:textFill>
        </w:rPr>
      </w:pPr>
      <w:r>
        <w:rPr>
          <w:rFonts w:hint="eastAsia" w:ascii="仿宋" w:hAnsi="仿宋" w:eastAsia="仿宋" w:cs="仿宋"/>
          <w:snapToGrid w:val="0"/>
          <w:color w:val="000000" w:themeColor="text1"/>
          <w:kern w:val="0"/>
          <w:sz w:val="28"/>
          <w:szCs w:val="28"/>
          <w:highlight w:val="none"/>
          <w14:textFill>
            <w14:solidFill>
              <w14:schemeClr w14:val="tx1"/>
            </w14:solidFill>
          </w14:textFill>
        </w:rPr>
        <w:t>根据评估对象房地产的具体情况，经评估人员对房地产市场进行调查，结合评估对象自身实际情况，在不违背交易时间接近、用途相同、地段相似的原则的前提下，经仔细筛选，确定A、B、C三个可比实例（价格单位为人民币</w:t>
      </w:r>
      <w:r>
        <w:rPr>
          <w:rFonts w:hint="eastAsia" w:ascii="仿宋" w:hAnsi="仿宋" w:eastAsia="仿宋" w:cs="仿宋"/>
          <w:snapToGrid w:val="0"/>
          <w:color w:val="000000" w:themeColor="text1"/>
          <w:kern w:val="0"/>
          <w:sz w:val="28"/>
          <w:szCs w:val="28"/>
          <w:highlight w:val="none"/>
          <w:lang w:eastAsia="zh-CN"/>
          <w14:textFill>
            <w14:solidFill>
              <w14:schemeClr w14:val="tx1"/>
            </w14:solidFill>
          </w14:textFill>
        </w:rPr>
        <w:t>元/</w:t>
      </w:r>
      <w:r>
        <w:rPr>
          <w:rFonts w:hint="eastAsia" w:ascii="仿宋" w:hAnsi="仿宋" w:eastAsia="仿宋" w:cs="仿宋"/>
          <w:snapToGrid w:val="0"/>
          <w:color w:val="000000" w:themeColor="text1"/>
          <w:kern w:val="0"/>
          <w:sz w:val="28"/>
          <w:szCs w:val="28"/>
          <w:highlight w:val="none"/>
          <w:lang w:val="en-US" w:eastAsia="zh-CN"/>
          <w14:textFill>
            <w14:solidFill>
              <w14:schemeClr w14:val="tx1"/>
            </w14:solidFill>
          </w14:textFill>
        </w:rPr>
        <w:t>平方米</w:t>
      </w:r>
      <w:r>
        <w:rPr>
          <w:rFonts w:hint="eastAsia" w:ascii="仿宋" w:hAnsi="仿宋" w:eastAsia="仿宋" w:cs="仿宋"/>
          <w:snapToGrid w:val="0"/>
          <w:color w:val="000000" w:themeColor="text1"/>
          <w:kern w:val="0"/>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cs="仿宋"/>
          <w:b/>
          <w:bCs/>
          <w:snapToGrid w:val="0"/>
          <w:color w:val="000000" w:themeColor="text1"/>
          <w:kern w:val="0"/>
          <w:sz w:val="28"/>
          <w:szCs w:val="28"/>
          <w:highlight w:val="none"/>
          <w14:textFill>
            <w14:solidFill>
              <w14:schemeClr w14:val="tx1"/>
            </w14:solidFill>
          </w14:textFill>
        </w:rPr>
        <w:t>可比实例基本情况表</w:t>
      </w:r>
    </w:p>
    <w:tbl>
      <w:tblPr>
        <w:tblStyle w:val="46"/>
        <w:tblW w:w="9627" w:type="dxa"/>
        <w:jc w:val="center"/>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746"/>
        <w:gridCol w:w="1130"/>
        <w:gridCol w:w="1900"/>
        <w:gridCol w:w="1950"/>
        <w:gridCol w:w="1964"/>
        <w:gridCol w:w="1937"/>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1876" w:type="dxa"/>
            <w:gridSpan w:val="2"/>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评估对象</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1876" w:type="dxa"/>
            <w:gridSpan w:val="2"/>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三穗县三穗县八弓镇胜利村一小背后住宅</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三穗县八弓镇新寨村住宅</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 三穗县八弓镇东门北路（胜利村教场坝）住宅</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三穗县八弓镇新穗街住宅</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187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坐落</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1876"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房屋用途</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小区级商业中心，区域繁华程度一般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附近有三穗1路、三穗3路等公交车经过，交通一般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附近有三穗1路、三穗3路等公交车经过，交通一般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附近有三穗1路、三穗3路等公交车经过，交通一般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附近有三穗1路、三穗3路等公交车经过，交通一般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附近有学校、商业广场、影城、酒店、餐饮等配套较齐全</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周边多为住宅小区，自然环境和人文环境较优，空气质量良好，噪声污染较小，治安状况良好</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西南</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南</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西南</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无特殊规划限制</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权益完整</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190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9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96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93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166.51㎡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103㎡ </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174㎡</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149㎡ </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约2012年</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约2001年</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约2009年</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约2005年</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空间布局较优</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停车便利度一般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停车便利度一般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管理及服务一般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简单装修 </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普通装修</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普通装修</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精装修</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tblHeader/>
          <w:jc w:val="center"/>
        </w:trPr>
        <w:tc>
          <w:tcPr>
            <w:tcW w:w="746"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11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19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c>
          <w:tcPr>
            <w:tcW w:w="19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c>
          <w:tcPr>
            <w:tcW w:w="19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水电暗装、消防栓、网络接线齐全</w:t>
            </w:r>
          </w:p>
        </w:tc>
      </w:tr>
    </w:tbl>
    <w:p>
      <w:pPr>
        <w:spacing w:line="520" w:lineRule="exact"/>
        <w:ind w:firstLine="581" w:firstLineChars="196"/>
        <w:rPr>
          <w:rFonts w:hint="eastAsia" w:ascii="仿宋" w:hAnsi="仿宋" w:eastAsia="仿宋" w:cs="仿宋"/>
          <w:snapToGrid w:val="0"/>
          <w:color w:val="000000" w:themeColor="text1"/>
          <w:kern w:val="0"/>
          <w:sz w:val="24"/>
          <w:szCs w:val="24"/>
          <w:highlight w:val="none"/>
          <w14:textFill>
            <w14:solidFill>
              <w14:schemeClr w14:val="tx1"/>
            </w14:solidFill>
          </w14:textFill>
        </w:rPr>
      </w:pPr>
      <w:r>
        <w:rPr>
          <w:rFonts w:hint="eastAsia" w:ascii="仿宋" w:hAnsi="仿宋" w:eastAsia="仿宋" w:cs="仿宋"/>
          <w:snapToGrid w:val="0"/>
          <w:color w:val="000000" w:themeColor="text1"/>
          <w:kern w:val="0"/>
          <w:sz w:val="24"/>
          <w:szCs w:val="24"/>
          <w:highlight w:val="none"/>
          <w14:textFill>
            <w14:solidFill>
              <w14:schemeClr w14:val="tx1"/>
            </w14:solidFill>
          </w14:textFill>
        </w:rPr>
        <w:t>备注：上述可比实例来源为我司评估人员的市场调查结果及我公司数据库。</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②建立比较基础：选取可比实例后，一般应先对这些可比实例的成交价格进行换算处理，使之口径一致、形式相同、相互可比，为后续的有关比较、修正和调整建立一个共同的基础。因此，建立比较基础需做以下处理：统一财产范围、统一付款方式、统一融资条件、统一税费负担、统一计价单位等。</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a、统一财产范围：应对可比实例与评估对象的财产范围进行对比，并消除因财产范围不同造成的价格差异，本次不需做此项调整。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b、统一付款方式：要求将可比实例不是成交日期一次性付清的价格调整成为成交日起一次性付款。根据三穗县二手房交易惯例，卖方一般要求交楼时一次性付款。故本次不需做此项调整。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c、统一融资条件：要求将可比实例在非常规融资条件下的价格，调整为在常规融资条件下的价格。本次所选可比实例均为买方在常规融资条件下自筹资金，故不需做此项调整。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d、统一税费负担：要求将可比实例在交易税费非正常负担下的价格，调整为在交易税费正常负担下的价格。交易税费正常负担一般指买卖双方依照税法及中央和地方政府的有关规定，各自缴纳自己应缴纳的交易税费。</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正常成交价格=卖方实收价格÷（1-应由卖方缴纳的税费比例）或</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正常成交价格=买方实付价格÷（1+应由买方缴纳的税费比例）</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e、统一计价单位：包含统一为总价或单价、统一币种或货币单位，统一面积及计量单位等。</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综上所述，本次通过建立比较基础，将可比实例的成交价格调整为正常交易价格的结果如下：</w:t>
      </w:r>
    </w:p>
    <w:tbl>
      <w:tblPr>
        <w:tblStyle w:val="46"/>
        <w:tblW w:w="499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autofit"/>
        <w:tblCellMar>
          <w:top w:w="0" w:type="dxa"/>
          <w:left w:w="108" w:type="dxa"/>
          <w:bottom w:w="0" w:type="dxa"/>
          <w:right w:w="108" w:type="dxa"/>
        </w:tblCellMar>
      </w:tblPr>
      <w:tblGrid>
        <w:gridCol w:w="1935"/>
        <w:gridCol w:w="2588"/>
        <w:gridCol w:w="2714"/>
        <w:gridCol w:w="27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40" w:hRule="atLeast"/>
          <w:jc w:val="center"/>
        </w:trPr>
        <w:tc>
          <w:tcPr>
            <w:tcW w:w="972"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比较项目</w:t>
            </w:r>
          </w:p>
        </w:tc>
        <w:tc>
          <w:tcPr>
            <w:tcW w:w="1300"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实例A</w:t>
            </w:r>
          </w:p>
        </w:tc>
        <w:tc>
          <w:tcPr>
            <w:tcW w:w="1363"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实例B</w:t>
            </w:r>
          </w:p>
        </w:tc>
        <w:tc>
          <w:tcPr>
            <w:tcW w:w="1363" w:type="pct"/>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实例C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40" w:hRule="atLeast"/>
          <w:jc w:val="center"/>
        </w:trPr>
        <w:tc>
          <w:tcPr>
            <w:tcW w:w="972" w:type="pct"/>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258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三穗县八弓镇新寨村住宅</w:t>
            </w:r>
          </w:p>
        </w:tc>
        <w:tc>
          <w:tcPr>
            <w:tcW w:w="271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 三穗县八弓镇东门北路（胜利村教场坝）住宅</w:t>
            </w:r>
          </w:p>
        </w:tc>
        <w:tc>
          <w:tcPr>
            <w:tcW w:w="271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三穗县八弓镇新穗街住宅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40" w:hRule="atLeast"/>
          <w:jc w:val="center"/>
        </w:trPr>
        <w:tc>
          <w:tcPr>
            <w:tcW w:w="972" w:type="pct"/>
            <w:tcBorders>
              <w:top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正常成交单价</w:t>
            </w:r>
          </w:p>
        </w:tc>
        <w:tc>
          <w:tcPr>
            <w:tcW w:w="2588"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2,050</w:t>
            </w:r>
          </w:p>
        </w:tc>
        <w:tc>
          <w:tcPr>
            <w:tcW w:w="2714"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2,080</w:t>
            </w:r>
          </w:p>
        </w:tc>
        <w:tc>
          <w:tcPr>
            <w:tcW w:w="2714"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2,150</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（2）调整系数确定：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①交易情况调整系数的确定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评估对象与可比实例A、B、C均为正常交易，无需进行交易情况修正，即三个交易实例的交易情况调整系数均为100/100。</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②市场状况调整系数的确定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三个可比实例的交易时间与评估时点较接近，至评估时点市场状况变化较小，无需进行市场状况修正。确定交易实例A、B、C的市场状况条件调整系数均为100/100。</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③区位状况调整系数的确定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区域繁华程度：根据评估对象所处地段，分为优、较优、一般、较劣、劣五个等级，以评估对象为100，每增加或减少一个级别，指数向上或向下修正2。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交通条件：根据评估对象所在区域路网密度、路面宽度、道路质量、及道路畅通程度、公交路线多少，距离车站、港口码头和口岸的距离等情况，分为优、较优、一般、较差、差五个等级，以评估对象为100，每上升或下降一个等级，指数向上或向下修正3。</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公共配套设施：包括基础设施和公共服务设施，分为优、较优、一般、较劣、劣五个等级，以评估对象为100，每上升或下降一个等级，指数向上或向下修正2。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周围环境：环境分为优、较优、一般、较差、差五个等级，以评估对象为100，每上升或下降一个等级，指数向上或向下修正1。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楼层：电梯房根据当地房地产市场行情，高层住宅一般以中间楼层为最好，低层和高层次之。以评估对象为100，每上升或下降5层，指数向上或向下修正1；步梯房以评估对象为100，3-5楼较好，1-2楼一般，6楼及以上较差，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朝向：分为东南、南、西南、东、东北、西、西北、北八个等级，以评估对象为100，每上升或下降一个等级，指数向上或向下修正1。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④权益状况调整系数的确定</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规划限制：分有限制、限制较少、无限制三个等级，以委估对象为基准，上升或下降一个等级，指数向上或向下修正2。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权益状况：根据评估对象的土地使用权及房屋所有权的权益状况，分为完整、不完整两个等级，以评估对象为100，上升或下降一个等级，指数向上或向下修正2。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租约限制：按无租约、短期租约、中期租约、长期租约分为四个等级，以委估对象为基准，上升或下降一个等级，指数向上或向下修正2。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bookmarkStart w:id="94" w:name="_Toc263081067"/>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⑤实物状况调整系数的确定</w:t>
      </w:r>
      <w:bookmarkEnd w:id="94"/>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建筑面积：按特大、较大、一般、较小分为四个等级，以评估对象为100，每上升或下降一个等级，指数向上或向下修正2。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建筑结构：分为框架、钢混、多层三档，每上升或下降一个等级，指数向上或向下修正2。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竣工时间：以委估对象为基准，每相差5年指数向上或向下修正1。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层高：以委估对象为基准，每相差0.3m指数向上或向下修正1。</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室内布局：环境分为优、较优、一般、较差、差五个等级，以评估对象为100，每上升或下降一个等级，指数向上或向下修正2。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停车便利度：环境分为优、较优、一般、较差、差五个等级，以评估对象为100，每上升或下降一个等级，指数向上或向下修正2。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物业管理：分好、较好、一般、较差四个等级，以评估对象为标准，每上升或下降一个等级，指数向上或向下修正2。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装修：分为毛坯、简单装修、普通装修、精装修、豪华装修五个等级，以评估对象为100，每上升或下降一个等级，指数向上或向下修正2。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设备设施：分齐全、较齐全、不齐全三个等级，以评估对象为100，每上升或下降一个等级，指数向上或向下修正2。</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将可比实例相应因素条件与评估对象相比较，确定相应指数，详见下表《因素条件对比说明表》及《因素比较修正系数表》。</w:t>
      </w:r>
    </w:p>
    <w:p>
      <w:pPr>
        <w:pStyle w:val="45"/>
        <w:ind w:left="0" w:leftChars="0" w:firstLine="0" w:firstLineChars="0"/>
        <w:jc w:val="center"/>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cs="仿宋"/>
          <w:b/>
          <w:bCs/>
          <w:snapToGrid w:val="0"/>
          <w:color w:val="000000" w:themeColor="text1"/>
          <w:kern w:val="0"/>
          <w:sz w:val="28"/>
          <w:szCs w:val="28"/>
          <w:highlight w:val="none"/>
          <w14:textFill>
            <w14:solidFill>
              <w14:schemeClr w14:val="tx1"/>
            </w14:solidFill>
          </w14:textFill>
        </w:rPr>
        <w:t>因素条件对比说明表</w:t>
      </w:r>
    </w:p>
    <w:tbl>
      <w:tblPr>
        <w:tblStyle w:val="46"/>
        <w:tblW w:w="4998" w:type="pct"/>
        <w:jc w:val="center"/>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663"/>
        <w:gridCol w:w="1572"/>
        <w:gridCol w:w="2092"/>
        <w:gridCol w:w="1795"/>
        <w:gridCol w:w="1867"/>
        <w:gridCol w:w="1784"/>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107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评估对象</w:t>
            </w:r>
          </w:p>
        </w:tc>
        <w:tc>
          <w:tcPr>
            <w:tcW w:w="91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95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91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三穗县三穗县八弓镇胜利村一小背后住宅</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三穗县八弓镇新寨村住宅</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 三穗县八弓镇东门北路（胜利村教场坝）住宅</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三穗县八弓镇新穗街住宅</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坐落</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143"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房屋用途</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较完善</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较好</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2层</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东</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西南</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南</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西南</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无限制</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完整</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无租约</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较大</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较大</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较大</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混合结构</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约2012年</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约2001年</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约2009年</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约2005年</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约2.7米</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较优</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一般</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简单装修 </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普通装修</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普通装修</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精装修</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339"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20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c>
          <w:tcPr>
            <w:tcW w:w="179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c>
          <w:tcPr>
            <w:tcW w:w="18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c>
          <w:tcPr>
            <w:tcW w:w="1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齐全</w:t>
            </w:r>
          </w:p>
        </w:tc>
      </w:tr>
    </w:tbl>
    <w:p>
      <w:pPr>
        <w:pStyle w:val="45"/>
        <w:keepNext w:val="0"/>
        <w:keepLines w:val="0"/>
        <w:pageBreakBefore w:val="0"/>
        <w:widowControl w:val="0"/>
        <w:kinsoku/>
        <w:wordWrap/>
        <w:overflowPunct/>
        <w:topLinePunct w:val="0"/>
        <w:autoSpaceDE/>
        <w:autoSpaceDN/>
        <w:bidi w:val="0"/>
        <w:adjustRightInd w:val="0"/>
        <w:snapToGrid w:val="0"/>
        <w:spacing w:before="239" w:beforeLines="50" w:after="239" w:afterLines="50" w:line="520" w:lineRule="atLeast"/>
        <w:ind w:firstLine="0" w:firstLineChars="0"/>
        <w:jc w:val="center"/>
        <w:textAlignment w:val="baseline"/>
        <w:rPr>
          <w:rFonts w:hint="eastAsia" w:ascii="仿宋" w:hAnsi="仿宋" w:eastAsia="仿宋" w:cs="仿宋"/>
          <w:b/>
          <w:bCs/>
          <w:snapToGrid w:val="0"/>
          <w:color w:val="000000" w:themeColor="text1"/>
          <w:kern w:val="0"/>
          <w:sz w:val="28"/>
          <w:szCs w:val="28"/>
          <w:highlight w:val="none"/>
          <w14:textFill>
            <w14:solidFill>
              <w14:schemeClr w14:val="tx1"/>
            </w14:solidFill>
          </w14:textFill>
        </w:rPr>
      </w:pPr>
      <w:r>
        <w:rPr>
          <w:rFonts w:hint="eastAsia" w:ascii="仿宋" w:hAnsi="仿宋" w:eastAsia="仿宋" w:cs="仿宋"/>
          <w:b/>
          <w:bCs/>
          <w:snapToGrid w:val="0"/>
          <w:color w:val="000000" w:themeColor="text1"/>
          <w:kern w:val="0"/>
          <w:sz w:val="28"/>
          <w:szCs w:val="28"/>
          <w:highlight w:val="none"/>
          <w14:textFill>
            <w14:solidFill>
              <w14:schemeClr w14:val="tx1"/>
            </w14:solidFill>
          </w14:textFill>
        </w:rPr>
        <w:t>因素比较修正系数表</w:t>
      </w:r>
    </w:p>
    <w:tbl>
      <w:tblPr>
        <w:tblStyle w:val="46"/>
        <w:tblW w:w="4995"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652"/>
        <w:gridCol w:w="1577"/>
        <w:gridCol w:w="2081"/>
        <w:gridCol w:w="1808"/>
        <w:gridCol w:w="1845"/>
        <w:gridCol w:w="18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0" w:hRule="atLeast"/>
          <w:jc w:val="center"/>
        </w:trPr>
        <w:tc>
          <w:tcPr>
            <w:tcW w:w="1141" w:type="pct"/>
            <w:gridSpan w:val="2"/>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bCs w:val="0"/>
                <w:snapToGrid w:val="0"/>
                <w:color w:val="000000"/>
                <w:kern w:val="0"/>
                <w:sz w:val="21"/>
                <w:szCs w:val="21"/>
                <w:highlight w:val="none"/>
                <w:lang w:val="en-US" w:eastAsia="zh-CN" w:bidi="ar-SA"/>
              </w:rPr>
              <w:t>项目名称</w:t>
            </w:r>
          </w:p>
        </w:tc>
        <w:tc>
          <w:tcPr>
            <w:tcW w:w="106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评估对象</w:t>
            </w:r>
          </w:p>
        </w:tc>
        <w:tc>
          <w:tcPr>
            <w:tcW w:w="92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94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92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1141" w:type="pct"/>
            <w:gridSpan w:val="2"/>
            <w:vMerge w:val="continue"/>
            <w:tcBorders>
              <w:tl2br w:val="nil"/>
              <w:tr2bl w:val="nil"/>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highlight w:val="none"/>
                <w:u w:val="none"/>
              </w:rPr>
            </w:pP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三穗县三穗县八弓镇胜利村一小背后住宅</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三穗县八弓镇新寨村住宅</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 三穗县八弓镇东门北路（胜利村教场坝）住宅</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三穗县八弓镇新穗街住宅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1141"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坐落</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三穗县八弓镇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1141" w:type="pct"/>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房屋用途</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住宅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101</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98</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cantSplit/>
          <w:trHeight w:val="340" w:hRule="atLeast"/>
          <w:jc w:val="center"/>
        </w:trPr>
        <w:tc>
          <w:tcPr>
            <w:tcW w:w="334"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p>
        </w:tc>
        <w:tc>
          <w:tcPr>
            <w:tcW w:w="80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208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4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180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bl>
    <w:p>
      <w:pPr>
        <w:keepNext w:val="0"/>
        <w:keepLines w:val="0"/>
        <w:pageBreakBefore w:val="0"/>
        <w:widowControl w:val="0"/>
        <w:kinsoku/>
        <w:wordWrap/>
        <w:overflowPunct/>
        <w:topLinePunct w:val="0"/>
        <w:autoSpaceDE/>
        <w:autoSpaceDN/>
        <w:bidi w:val="0"/>
        <w:adjustRightInd/>
        <w:snapToGrid/>
        <w:spacing w:before="239" w:beforeLines="50" w:line="500" w:lineRule="exact"/>
        <w:ind w:firstLine="674" w:firstLineChars="200"/>
        <w:textAlignment w:val="auto"/>
        <w:rPr>
          <w:rFonts w:hint="eastAsia"/>
          <w:highlight w:val="none"/>
          <w:lang w:val="en-US" w:eastAsia="zh-CN"/>
        </w:rPr>
      </w:pPr>
      <w:r>
        <w:rPr>
          <w:rFonts w:hint="eastAsia" w:ascii="仿宋" w:hAnsi="仿宋" w:eastAsia="仿宋" w:cs="仿宋"/>
          <w:snapToGrid w:val="0"/>
          <w:color w:val="000000" w:themeColor="text1"/>
          <w:kern w:val="0"/>
          <w:sz w:val="28"/>
          <w:szCs w:val="28"/>
          <w:highlight w:val="none"/>
          <w14:textFill>
            <w14:solidFill>
              <w14:schemeClr w14:val="tx1"/>
            </w14:solidFill>
          </w14:textFill>
        </w:rPr>
        <w:t>⑥编制比准价格计算表</w:t>
      </w:r>
    </w:p>
    <w:p>
      <w:pPr>
        <w:jc w:val="center"/>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比准价格计算表</w:t>
      </w:r>
    </w:p>
    <w:tbl>
      <w:tblPr>
        <w:tblStyle w:val="46"/>
        <w:tblW w:w="499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2514"/>
        <w:gridCol w:w="784"/>
        <w:gridCol w:w="782"/>
        <w:gridCol w:w="829"/>
        <w:gridCol w:w="782"/>
        <w:gridCol w:w="762"/>
        <w:gridCol w:w="782"/>
        <w:gridCol w:w="808"/>
        <w:gridCol w:w="857"/>
        <w:gridCol w:w="8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比较项目</w:t>
            </w:r>
          </w:p>
        </w:tc>
        <w:tc>
          <w:tcPr>
            <w:tcW w:w="1225" w:type="pct"/>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1190" w:type="pct"/>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1297" w:type="pct"/>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正常成交单价（元/㎡）</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2,050</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2,080</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交易情况</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市场状况</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区位状况比较因素</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区域繁华程度</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交通条件</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公共配套设施</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周围环境</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楼层</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朝向</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101</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权益状况比较因素</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规划条件</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权益状况</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租约限制</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实物状况比较因素</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可比实例A</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可比实例B</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可比实例C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建筑面积</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建筑结构</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建筑年代</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98</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层高</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空间布局</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停车便利度</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物业管理</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装饰装修</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102</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设施设备</w:t>
            </w:r>
          </w:p>
        </w:tc>
        <w:tc>
          <w:tcPr>
            <w:tcW w:w="7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2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7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78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0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c>
          <w:tcPr>
            <w:tcW w:w="8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综合调整系数</w:t>
            </w:r>
          </w:p>
        </w:tc>
        <w:tc>
          <w:tcPr>
            <w:tcW w:w="2395"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0.9711 </w:t>
            </w:r>
          </w:p>
        </w:tc>
        <w:tc>
          <w:tcPr>
            <w:tcW w:w="2326"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0.9612 </w:t>
            </w:r>
          </w:p>
        </w:tc>
        <w:tc>
          <w:tcPr>
            <w:tcW w:w="2538" w:type="dxa"/>
            <w:gridSpan w:val="3"/>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0.9616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修正后单价</w:t>
            </w:r>
          </w:p>
        </w:tc>
        <w:tc>
          <w:tcPr>
            <w:tcW w:w="2395" w:type="dxa"/>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1,991元/㎡</w:t>
            </w:r>
          </w:p>
        </w:tc>
        <w:tc>
          <w:tcPr>
            <w:tcW w:w="2326" w:type="dxa"/>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1,999元/㎡</w:t>
            </w:r>
          </w:p>
        </w:tc>
        <w:tc>
          <w:tcPr>
            <w:tcW w:w="2538" w:type="dxa"/>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2,067元/㎡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 w:hRule="atLeast"/>
          <w:jc w:val="center"/>
        </w:trPr>
        <w:tc>
          <w:tcPr>
            <w:tcW w:w="128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比准价格（元/㎡）</w:t>
            </w:r>
          </w:p>
        </w:tc>
        <w:tc>
          <w:tcPr>
            <w:tcW w:w="7259" w:type="dxa"/>
            <w:gridSpan w:val="9"/>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2,019</w:t>
            </w:r>
          </w:p>
        </w:tc>
      </w:tr>
    </w:tbl>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从上表可以看出，三个比准价格相差幅度不大，故我们采用三个比准价格的简单算术平均数作为评估对象的评估结果，则：</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评估单价=（1,991+1,999+2,067)/3=2,019（元/㎡）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pPr>
      <w:r>
        <w:rPr>
          <w:rFonts w:hint="eastAsia" w:ascii="仿宋" w:hAnsi="仿宋" w:eastAsia="仿宋"/>
          <w:snapToGrid w:val="0"/>
          <w:color w:val="auto"/>
          <w:kern w:val="0"/>
          <w:sz w:val="28"/>
          <w:szCs w:val="28"/>
          <w:highlight w:val="none"/>
          <w:lang w:val="en-US" w:eastAsia="zh-CN"/>
        </w:rPr>
        <w:t>评估值=评估单价×建筑面积=2,019×166.51÷10,000</w:t>
      </w: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=33.62（万元）</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b/>
          <w:bCs/>
          <w:snapToGrid w:val="0"/>
          <w:color w:val="000000" w:themeColor="text1"/>
          <w:kern w:val="0"/>
          <w:sz w:val="28"/>
          <w:szCs w:val="28"/>
          <w:lang w:val="en-US" w:eastAsia="zh-CN"/>
          <w14:textFill>
            <w14:solidFill>
              <w14:schemeClr w14:val="tx1"/>
            </w14:solidFill>
          </w14:textFill>
        </w:rPr>
      </w:pPr>
      <w:r>
        <w:rPr>
          <w:rFonts w:hint="eastAsia" w:ascii="仿宋" w:hAnsi="仿宋" w:eastAsia="仿宋"/>
          <w:b/>
          <w:bCs/>
          <w:snapToGrid w:val="0"/>
          <w:color w:val="000000" w:themeColor="text1"/>
          <w:kern w:val="0"/>
          <w:sz w:val="28"/>
          <w:szCs w:val="28"/>
          <w:lang w:val="en-US" w:eastAsia="zh-CN"/>
          <w14:textFill>
            <w14:solidFill>
              <w14:schemeClr w14:val="tx1"/>
            </w14:solidFill>
          </w14:textFill>
        </w:rPr>
        <w:t>b、土地使用权测算过程</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eastAsia="zh-CN"/>
          <w14:textFill>
            <w14:solidFill>
              <w14:schemeClr w14:val="tx1"/>
            </w14:solidFill>
          </w14:textFill>
        </w:rPr>
      </w:pPr>
      <w:r>
        <w:rPr>
          <w:rFonts w:hint="eastAsia" w:ascii="仿宋" w:hAnsi="仿宋" w:eastAsia="仿宋"/>
          <w:snapToGrid w:val="0"/>
          <w:color w:val="000000" w:themeColor="text1"/>
          <w:kern w:val="0"/>
          <w:sz w:val="28"/>
          <w:szCs w:val="28"/>
          <w:lang w:eastAsia="zh-CN"/>
          <w14:textFill>
            <w14:solidFill>
              <w14:schemeClr w14:val="tx1"/>
            </w14:solidFill>
          </w14:textFill>
        </w:rPr>
        <w:t>假设开发法，是在估算开发完成后不动产正常交易价格的基础上，扣除</w:t>
      </w:r>
      <w:r>
        <w:rPr>
          <w:rFonts w:hint="eastAsia" w:ascii="仿宋" w:hAnsi="仿宋" w:eastAsia="仿宋"/>
          <w:snapToGrid w:val="0"/>
          <w:color w:val="000000" w:themeColor="text1"/>
          <w:kern w:val="0"/>
          <w:sz w:val="28"/>
          <w:szCs w:val="28"/>
          <w:lang w:val="en-US" w:eastAsia="zh-CN"/>
          <w14:textFill>
            <w14:solidFill>
              <w14:schemeClr w14:val="tx1"/>
            </w14:solidFill>
          </w14:textFill>
        </w:rPr>
        <w:t>房屋现值、</w:t>
      </w:r>
      <w:r>
        <w:rPr>
          <w:rFonts w:hint="eastAsia" w:ascii="仿宋" w:hAnsi="仿宋" w:eastAsia="仿宋"/>
          <w:snapToGrid w:val="0"/>
          <w:color w:val="000000" w:themeColor="text1"/>
          <w:kern w:val="0"/>
          <w:sz w:val="28"/>
          <w:szCs w:val="28"/>
          <w:lang w:eastAsia="zh-CN"/>
          <w14:textFill>
            <w14:solidFill>
              <w14:schemeClr w14:val="tx1"/>
            </w14:solidFill>
          </w14:textFill>
        </w:rPr>
        <w:t>交易税费等，以价格余额来确定待估土地价格的一种方法，其公式如下：</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eastAsia="zh-CN"/>
          <w14:textFill>
            <w14:solidFill>
              <w14:schemeClr w14:val="tx1"/>
            </w14:solidFill>
          </w14:textFill>
        </w:rPr>
      </w:pPr>
      <w:r>
        <w:rPr>
          <w:rFonts w:hint="eastAsia" w:ascii="仿宋" w:hAnsi="仿宋" w:eastAsia="仿宋"/>
          <w:snapToGrid w:val="0"/>
          <w:color w:val="000000" w:themeColor="text1"/>
          <w:kern w:val="0"/>
          <w:sz w:val="28"/>
          <w:szCs w:val="28"/>
          <w:lang w:eastAsia="zh-CN"/>
          <w14:textFill>
            <w14:solidFill>
              <w14:schemeClr w14:val="tx1"/>
            </w14:solidFill>
          </w14:textFill>
        </w:rPr>
        <w:t>地价=</w:t>
      </w:r>
      <w:r>
        <w:rPr>
          <w:rFonts w:hint="eastAsia" w:ascii="仿宋" w:hAnsi="仿宋" w:eastAsia="仿宋"/>
          <w:snapToGrid w:val="0"/>
          <w:color w:val="000000" w:themeColor="text1"/>
          <w:kern w:val="0"/>
          <w:sz w:val="28"/>
          <w:szCs w:val="28"/>
          <w:lang w:val="en-US" w:eastAsia="zh-CN"/>
          <w14:textFill>
            <w14:solidFill>
              <w14:schemeClr w14:val="tx1"/>
            </w14:solidFill>
          </w14:textFill>
        </w:rPr>
        <w:t>不动产交易价格</w:t>
      </w:r>
      <w:r>
        <w:rPr>
          <w:rFonts w:hint="eastAsia" w:ascii="仿宋" w:hAnsi="仿宋" w:eastAsia="仿宋"/>
          <w:snapToGrid w:val="0"/>
          <w:color w:val="000000" w:themeColor="text1"/>
          <w:kern w:val="0"/>
          <w:sz w:val="28"/>
          <w:szCs w:val="28"/>
          <w:lang w:eastAsia="zh-CN"/>
          <w14:textFill>
            <w14:solidFill>
              <w14:schemeClr w14:val="tx1"/>
            </w14:solidFill>
          </w14:textFill>
        </w:rPr>
        <w:t>－</w:t>
      </w:r>
      <w:r>
        <w:rPr>
          <w:rFonts w:hint="eastAsia" w:ascii="仿宋" w:hAnsi="仿宋" w:eastAsia="仿宋"/>
          <w:snapToGrid w:val="0"/>
          <w:color w:val="000000" w:themeColor="text1"/>
          <w:kern w:val="0"/>
          <w:sz w:val="28"/>
          <w:szCs w:val="28"/>
          <w:lang w:val="en-US" w:eastAsia="zh-CN"/>
          <w14:textFill>
            <w14:solidFill>
              <w14:schemeClr w14:val="tx1"/>
            </w14:solidFill>
          </w14:textFill>
        </w:rPr>
        <w:t>房屋现值</w:t>
      </w:r>
      <w:r>
        <w:rPr>
          <w:rFonts w:hint="eastAsia" w:ascii="仿宋" w:hAnsi="仿宋" w:eastAsia="仿宋"/>
          <w:snapToGrid w:val="0"/>
          <w:color w:val="000000" w:themeColor="text1"/>
          <w:kern w:val="0"/>
          <w:sz w:val="28"/>
          <w:szCs w:val="28"/>
          <w:lang w:eastAsia="zh-CN"/>
          <w14:textFill>
            <w14:solidFill>
              <w14:schemeClr w14:val="tx1"/>
            </w14:solidFill>
          </w14:textFill>
        </w:rPr>
        <w:t>－</w:t>
      </w:r>
      <w:r>
        <w:rPr>
          <w:rFonts w:hint="eastAsia" w:ascii="仿宋" w:hAnsi="仿宋" w:eastAsia="仿宋"/>
          <w:snapToGrid w:val="0"/>
          <w:color w:val="000000" w:themeColor="text1"/>
          <w:kern w:val="0"/>
          <w:sz w:val="28"/>
          <w:szCs w:val="28"/>
          <w:lang w:val="en-US" w:eastAsia="zh-CN"/>
          <w14:textFill>
            <w14:solidFill>
              <w14:schemeClr w14:val="tx1"/>
            </w14:solidFill>
          </w14:textFill>
        </w:rPr>
        <w:t>交易</w:t>
      </w:r>
      <w:r>
        <w:rPr>
          <w:rFonts w:hint="eastAsia" w:ascii="仿宋" w:hAnsi="仿宋" w:eastAsia="仿宋"/>
          <w:snapToGrid w:val="0"/>
          <w:color w:val="000000" w:themeColor="text1"/>
          <w:kern w:val="0"/>
          <w:sz w:val="28"/>
          <w:szCs w:val="28"/>
          <w:lang w:eastAsia="zh-CN"/>
          <w14:textFill>
            <w14:solidFill>
              <w14:schemeClr w14:val="tx1"/>
            </w14:solidFill>
          </w14:textFill>
        </w:rPr>
        <w:t>税费</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（1）确定不动产交易价格</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根据比较法的测算过程，委估对象的不动产交易价格为</w:t>
      </w: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33.62</w:t>
      </w:r>
      <w:r>
        <w:rPr>
          <w:rFonts w:hint="eastAsia" w:ascii="仿宋" w:hAnsi="仿宋" w:eastAsia="仿宋"/>
          <w:snapToGrid w:val="0"/>
          <w:color w:val="000000" w:themeColor="text1"/>
          <w:kern w:val="0"/>
          <w:sz w:val="28"/>
          <w:szCs w:val="28"/>
          <w:lang w:val="en-US" w:eastAsia="zh-CN"/>
          <w14:textFill>
            <w14:solidFill>
              <w14:schemeClr w14:val="tx1"/>
            </w14:solidFill>
          </w14:textFill>
        </w:rPr>
        <w:t>万元,详见上述测算过程。</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（2）确定房屋现值</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1）房屋重置成本的确定</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建造成本主要包括前期费用、主体工程、基础工程、水电安装、消防工程、通讯工程、室外配套工程、室内装修等项目，计算依据《贵州省建筑与装饰工程计价定额》(2016版)以及项目的自身状况，具体详见下表：</w:t>
      </w:r>
    </w:p>
    <w:tbl>
      <w:tblPr>
        <w:tblStyle w:val="46"/>
        <w:tblW w:w="4998"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autofit"/>
        <w:tblCellMar>
          <w:top w:w="0" w:type="dxa"/>
          <w:left w:w="108" w:type="dxa"/>
          <w:bottom w:w="0" w:type="dxa"/>
          <w:right w:w="108" w:type="dxa"/>
        </w:tblCellMar>
      </w:tblPr>
      <w:tblGrid>
        <w:gridCol w:w="1370"/>
        <w:gridCol w:w="2668"/>
        <w:gridCol w:w="3642"/>
        <w:gridCol w:w="227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序号</w:t>
            </w:r>
          </w:p>
        </w:tc>
        <w:tc>
          <w:tcPr>
            <w:tcW w:w="4311" w:type="pct"/>
            <w:gridSpan w:val="3"/>
            <w:tcBorders>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重置成本</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w:t>
            </w:r>
          </w:p>
        </w:tc>
        <w:tc>
          <w:tcPr>
            <w:tcW w:w="13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建筑安装工程费用</w:t>
            </w:r>
          </w:p>
        </w:tc>
        <w:tc>
          <w:tcPr>
            <w:tcW w:w="182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1,310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1-1</w:t>
            </w:r>
          </w:p>
        </w:tc>
        <w:tc>
          <w:tcPr>
            <w:tcW w:w="1339"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土建工程费用</w:t>
            </w:r>
          </w:p>
        </w:tc>
        <w:tc>
          <w:tcPr>
            <w:tcW w:w="1828" w:type="pct"/>
            <w:vMerge w:val="restart"/>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根据《贵州省建筑工程价格信息》及委估物业的具体情况加以确认。</w:t>
            </w:r>
          </w:p>
        </w:tc>
        <w:tc>
          <w:tcPr>
            <w:tcW w:w="2279" w:type="dxa"/>
            <w:tcBorders>
              <w:top w:val="single" w:color="auto" w:sz="4" w:space="0"/>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950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（1-1-1）</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地基工程</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（1-1-2）</w:t>
            </w:r>
          </w:p>
        </w:tc>
        <w:tc>
          <w:tcPr>
            <w:tcW w:w="1339"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地下室工程</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（1-1-3）</w:t>
            </w:r>
          </w:p>
        </w:tc>
        <w:tc>
          <w:tcPr>
            <w:tcW w:w="1339"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主体工程</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single" w:color="000000" w:sz="8" w:space="0"/>
              <w:left w:val="nil"/>
              <w:bottom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0" w:hRule="atLeast"/>
          <w:jc w:val="center"/>
        </w:trPr>
        <w:tc>
          <w:tcPr>
            <w:tcW w:w="688" w:type="pct"/>
            <w:tcBorders>
              <w:top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w:t>
            </w:r>
          </w:p>
        </w:tc>
        <w:tc>
          <w:tcPr>
            <w:tcW w:w="133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安装工程费用</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single" w:color="000000" w:sz="8" w:space="0"/>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340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（1-2-1）</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通风系统</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（1-2-2）</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电气系统</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（1-2-3）</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弱电系统</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（1-2-4）</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给排水系统</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（1-2-5）</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消防系统</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（1-2-6）</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电梯系统</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（1-2-8）</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外墙装修</w:t>
            </w:r>
          </w:p>
        </w:tc>
        <w:tc>
          <w:tcPr>
            <w:tcW w:w="1828" w:type="pct"/>
            <w:vMerge w:val="continue"/>
            <w:tcBorders>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（1-2-9）</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  装修装饰工程</w:t>
            </w:r>
          </w:p>
        </w:tc>
        <w:tc>
          <w:tcPr>
            <w:tcW w:w="1828" w:type="pct"/>
            <w:vMerge w:val="continue"/>
            <w:tcBorders>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1-3</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区内配套工程费用</w:t>
            </w:r>
          </w:p>
        </w:tc>
        <w:tc>
          <w:tcPr>
            <w:tcW w:w="18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前期及专业费用</w:t>
            </w:r>
          </w:p>
        </w:tc>
        <w:tc>
          <w:tcPr>
            <w:tcW w:w="18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1×5%</w:t>
            </w: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65.5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3</w:t>
            </w:r>
          </w:p>
        </w:tc>
        <w:tc>
          <w:tcPr>
            <w:tcW w:w="1339"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管理费用</w:t>
            </w:r>
          </w:p>
        </w:tc>
        <w:tc>
          <w:tcPr>
            <w:tcW w:w="1828"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（1+2）×3%</w:t>
            </w:r>
          </w:p>
        </w:tc>
        <w:tc>
          <w:tcPr>
            <w:tcW w:w="2279"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41.27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4</w:t>
            </w:r>
          </w:p>
        </w:tc>
        <w:tc>
          <w:tcPr>
            <w:tcW w:w="1339"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利息</w:t>
            </w:r>
          </w:p>
        </w:tc>
        <w:tc>
          <w:tcPr>
            <w:tcW w:w="1828"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（1+2+3）×((1+4.35%)^1/2-1)</w:t>
            </w:r>
          </w:p>
        </w:tc>
        <w:tc>
          <w:tcPr>
            <w:tcW w:w="2279" w:type="dxa"/>
            <w:tcBorders>
              <w:top w:val="single" w:color="auto" w:sz="4" w:space="0"/>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30.49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5</w:t>
            </w:r>
          </w:p>
        </w:tc>
        <w:tc>
          <w:tcPr>
            <w:tcW w:w="1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利润</w:t>
            </w:r>
          </w:p>
        </w:tc>
        <w:tc>
          <w:tcPr>
            <w:tcW w:w="18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（1+2+3）×10%</w:t>
            </w:r>
          </w:p>
        </w:tc>
        <w:tc>
          <w:tcPr>
            <w:tcW w:w="2279" w:type="dxa"/>
            <w:tcBorders>
              <w:top w:val="nil"/>
              <w:left w:val="nil"/>
              <w:bottom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141.68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40" w:hRule="atLeast"/>
          <w:jc w:val="center"/>
        </w:trPr>
        <w:tc>
          <w:tcPr>
            <w:tcW w:w="688" w:type="pct"/>
            <w:tcBorders>
              <w:top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6</w:t>
            </w:r>
          </w:p>
        </w:tc>
        <w:tc>
          <w:tcPr>
            <w:tcW w:w="1339" w:type="pc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单价</w:t>
            </w:r>
          </w:p>
        </w:tc>
        <w:tc>
          <w:tcPr>
            <w:tcW w:w="1828" w:type="pct"/>
            <w:tcBorders>
              <w:top w:val="nil"/>
              <w:left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（1+2+3+4+5）</w:t>
            </w:r>
          </w:p>
        </w:tc>
        <w:tc>
          <w:tcPr>
            <w:tcW w:w="2279" w:type="dxa"/>
            <w:tcBorders>
              <w:top w:val="nil"/>
              <w:lef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1,588.94 </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2）成新率的确定</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①现场勘查成新率</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经现场查勘了解，评估对象修建于2012年，房屋保养维护较好，现场勘查成新率约为59.60%（详见成新率评定表）。</w:t>
      </w:r>
    </w:p>
    <w:tbl>
      <w:tblPr>
        <w:tblStyle w:val="46"/>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99"/>
        <w:gridCol w:w="959"/>
        <w:gridCol w:w="1394"/>
        <w:gridCol w:w="2857"/>
        <w:gridCol w:w="1574"/>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项目名称</w:t>
            </w:r>
          </w:p>
        </w:tc>
        <w:tc>
          <w:tcPr>
            <w:tcW w:w="491"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权重</w:t>
            </w: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分项名称</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状况</w:t>
            </w:r>
          </w:p>
        </w:tc>
        <w:tc>
          <w:tcPr>
            <w:tcW w:w="806"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标准分</w:t>
            </w:r>
          </w:p>
        </w:tc>
        <w:tc>
          <w:tcPr>
            <w:tcW w:w="807"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评定分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restar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结构部分（G)</w:t>
            </w:r>
          </w:p>
        </w:tc>
        <w:tc>
          <w:tcPr>
            <w:tcW w:w="491" w:type="pct"/>
            <w:vMerge w:val="restar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60%</w:t>
            </w: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基础</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有承载力，无不均匀下沉</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25</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梁板柱</w:t>
            </w:r>
          </w:p>
        </w:tc>
        <w:tc>
          <w:tcPr>
            <w:tcW w:w="1463" w:type="pct"/>
            <w:noWrap w:val="0"/>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一般</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25</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围护墙</w:t>
            </w:r>
          </w:p>
        </w:tc>
        <w:tc>
          <w:tcPr>
            <w:tcW w:w="1463" w:type="pct"/>
            <w:noWrap w:val="0"/>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一般</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15</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屋面</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基本完好，无渗漏</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承重墙</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完好</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15</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小计</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restar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装修部分(S)</w:t>
            </w:r>
          </w:p>
        </w:tc>
        <w:tc>
          <w:tcPr>
            <w:tcW w:w="491" w:type="pct"/>
            <w:vMerge w:val="restar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20%</w:t>
            </w: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楼面</w:t>
            </w:r>
          </w:p>
        </w:tc>
        <w:tc>
          <w:tcPr>
            <w:tcW w:w="1463" w:type="pct"/>
            <w:noWrap w:val="0"/>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多处部位损坏严重</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30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内墙面</w:t>
            </w:r>
          </w:p>
        </w:tc>
        <w:tc>
          <w:tcPr>
            <w:tcW w:w="1463" w:type="pct"/>
            <w:noWrap w:val="0"/>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多处部位损坏严重</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25</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外墙面</w:t>
            </w:r>
          </w:p>
        </w:tc>
        <w:tc>
          <w:tcPr>
            <w:tcW w:w="1463" w:type="pct"/>
            <w:noWrap w:val="0"/>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基本完好，部分有渗漏现象</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25</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顶棚</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个别部位稍有坏损</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小计</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restar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安装部分(B)</w:t>
            </w:r>
          </w:p>
        </w:tc>
        <w:tc>
          <w:tcPr>
            <w:tcW w:w="491" w:type="pct"/>
            <w:vMerge w:val="restar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20%</w:t>
            </w: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水卫</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管道畅通、轻微锈蚀</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50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电照</w:t>
            </w:r>
          </w:p>
        </w:tc>
        <w:tc>
          <w:tcPr>
            <w:tcW w:w="1463" w:type="pct"/>
            <w:noWrap w:val="0"/>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线路装置一般</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50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暖通</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无</w:t>
            </w: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491" w:type="pct"/>
            <w:vMerge w:val="continue"/>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小计</w:t>
            </w: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1574"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100</w:t>
            </w:r>
          </w:p>
        </w:tc>
        <w:tc>
          <w:tcPr>
            <w:tcW w:w="1576" w:type="dxa"/>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717"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勘察成新率</w:t>
            </w:r>
          </w:p>
        </w:tc>
        <w:tc>
          <w:tcPr>
            <w:tcW w:w="491"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714"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1463"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806" w:type="pct"/>
            <w:noWrap w:val="0"/>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p>
        </w:tc>
        <w:tc>
          <w:tcPr>
            <w:tcW w:w="1576" w:type="dxa"/>
            <w:noWrap w:val="0"/>
            <w:vAlign w:val="center"/>
          </w:tcPr>
          <w:p>
            <w:pPr>
              <w:keepNext w:val="0"/>
              <w:keepLines w:val="0"/>
              <w:widowControl/>
              <w:suppressLineNumbers w:val="0"/>
              <w:jc w:val="center"/>
              <w:textAlignment w:val="center"/>
              <w:rPr>
                <w:rFonts w:hint="default"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59.60</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在实际生活当中，地基基础、承重结构、非承重结构、屋面等土建部分是对房屋的功能影响较大，是影响房屋成新率的主要因素，装修部分和设备部分对房屋的功能影响较其次，故分别赋予土建部分60%，装修部分20%，设备部分20%的权重，以三者的加权平均值作为观察法成新率的取值。</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即，观察法成新率=64×60%+48×20%+58×20%=59.60%</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②理论成新率</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根据现场查勘了解，评估对象建成于2012年，在价值时点已使用10.44年。评估对象建筑结构为混合结构，根据《资产评估常用方法与参数手册》，混合结构非生产用房经济耐用年限为50年，剩余经济耐用年限为39.56年。则不考虑建筑物到期后废料残值对成新率的影响，理论成新率为79.00%（39.56÷50）。</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③综合成新率的确定：经分析比较两种成新率，根据评估师经验，评估人员对房屋的状况和维修保养情况进行了解，并据此估计尚可使用年限计算出理论成新率，再根据现场勘查估算出现场勘查成新率，最后给予理论成新率以40%的权重，给予现场勘查成新率60%的权重，综合确定各资产的成新率，即：</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则房屋的综合成新率为：</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综合成新率=勘查成新率×60%+理论成新率×40%</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综合成新率=59.60%×60%+79.00%×40%</w:t>
      </w:r>
    </w:p>
    <w:p>
      <w:pPr>
        <w:keepNext w:val="0"/>
        <w:keepLines w:val="0"/>
        <w:pageBreakBefore w:val="0"/>
        <w:widowControl w:val="0"/>
        <w:kinsoku/>
        <w:wordWrap/>
        <w:overflowPunct/>
        <w:topLinePunct w:val="0"/>
        <w:autoSpaceDE/>
        <w:autoSpaceDN/>
        <w:bidi w:val="0"/>
        <w:adjustRightInd w:val="0"/>
        <w:snapToGrid w:val="0"/>
        <w:spacing w:line="500" w:lineRule="exact"/>
        <w:ind w:firstLine="2022" w:firstLineChars="6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=67.36%</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3）房屋现值</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房屋现值=重置单价×综合成新率×建筑面积</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default"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 xml:space="preserve">              =1,588.94×67.36%×166.51÷10,000</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 xml:space="preserve">              =17.82（万元）</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（3）交易税费的确定</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交易税费是指销售开发完成后的房地产应由房地产开发企业缴纳的税费、转让房地产有关的税费等,合计交易税费约占开发后价值的8.29%。</w:t>
      </w:r>
    </w:p>
    <w:tbl>
      <w:tblPr>
        <w:tblStyle w:val="46"/>
        <w:tblW w:w="4991" w:type="pct"/>
        <w:tblInd w:w="0" w:type="dxa"/>
        <w:shd w:val="clear" w:color="auto" w:fill="auto"/>
        <w:tblLayout w:type="autofit"/>
        <w:tblCellMar>
          <w:top w:w="0" w:type="dxa"/>
          <w:left w:w="108" w:type="dxa"/>
          <w:bottom w:w="0" w:type="dxa"/>
          <w:right w:w="108" w:type="dxa"/>
        </w:tblCellMar>
      </w:tblPr>
      <w:tblGrid>
        <w:gridCol w:w="1744"/>
        <w:gridCol w:w="4594"/>
        <w:gridCol w:w="2330"/>
        <w:gridCol w:w="1277"/>
      </w:tblGrid>
      <w:tr>
        <w:tblPrEx>
          <w:shd w:val="clear" w:color="auto" w:fill="auto"/>
          <w:tblCellMar>
            <w:top w:w="0" w:type="dxa"/>
            <w:left w:w="108" w:type="dxa"/>
            <w:bottom w:w="0" w:type="dxa"/>
            <w:right w:w="108" w:type="dxa"/>
          </w:tblCellMar>
        </w:tblPrEx>
        <w:trPr>
          <w:trHeight w:val="340" w:hRule="atLeast"/>
        </w:trPr>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项目</w:t>
            </w:r>
          </w:p>
        </w:tc>
        <w:tc>
          <w:tcPr>
            <w:tcW w:w="2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依据</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取值</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费率</w:t>
            </w:r>
          </w:p>
        </w:tc>
      </w:tr>
      <w:tr>
        <w:tblPrEx>
          <w:shd w:val="clear" w:color="auto" w:fill="auto"/>
          <w:tblCellMar>
            <w:top w:w="0" w:type="dxa"/>
            <w:left w:w="108" w:type="dxa"/>
            <w:bottom w:w="0" w:type="dxa"/>
            <w:right w:w="108" w:type="dxa"/>
          </w:tblCellMar>
        </w:tblPrEx>
        <w:trPr>
          <w:trHeight w:val="340" w:hRule="atLeast"/>
        </w:trPr>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增值税</w:t>
            </w:r>
          </w:p>
        </w:tc>
        <w:tc>
          <w:tcPr>
            <w:tcW w:w="2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《关于全面推开营业税改征增值税试点的通知》</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开发价值÷(1+5%)×3%</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4.76%</w:t>
            </w:r>
          </w:p>
        </w:tc>
      </w:tr>
      <w:tr>
        <w:tblPrEx>
          <w:shd w:val="clear" w:color="auto" w:fill="auto"/>
          <w:tblCellMar>
            <w:top w:w="0" w:type="dxa"/>
            <w:left w:w="108" w:type="dxa"/>
            <w:bottom w:w="0" w:type="dxa"/>
            <w:right w:w="108" w:type="dxa"/>
          </w:tblCellMar>
        </w:tblPrEx>
        <w:trPr>
          <w:trHeight w:val="340" w:hRule="atLeast"/>
        </w:trPr>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城市维护建设税</w:t>
            </w:r>
          </w:p>
        </w:tc>
        <w:tc>
          <w:tcPr>
            <w:tcW w:w="2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《中华人民共和国城市维护建设税暂行条例》</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增值税税额×5%</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0.24%</w:t>
            </w:r>
          </w:p>
        </w:tc>
      </w:tr>
      <w:tr>
        <w:tblPrEx>
          <w:shd w:val="clear" w:color="auto" w:fill="auto"/>
          <w:tblCellMar>
            <w:top w:w="0" w:type="dxa"/>
            <w:left w:w="108" w:type="dxa"/>
            <w:bottom w:w="0" w:type="dxa"/>
            <w:right w:w="108" w:type="dxa"/>
          </w:tblCellMar>
        </w:tblPrEx>
        <w:trPr>
          <w:trHeight w:val="340" w:hRule="atLeast"/>
        </w:trPr>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教育费附加</w:t>
            </w:r>
          </w:p>
        </w:tc>
        <w:tc>
          <w:tcPr>
            <w:tcW w:w="2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《国务院关于修改《征收教育费附加的暂行规定》的决定及《贵州省国家税务局关于征收教育费附加和地方教育费附加有关问题的公告》</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增值税税额×3%</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0.14%</w:t>
            </w:r>
          </w:p>
        </w:tc>
      </w:tr>
      <w:tr>
        <w:tblPrEx>
          <w:shd w:val="clear" w:color="auto" w:fill="auto"/>
          <w:tblCellMar>
            <w:top w:w="0" w:type="dxa"/>
            <w:left w:w="108" w:type="dxa"/>
            <w:bottom w:w="0" w:type="dxa"/>
            <w:right w:w="108" w:type="dxa"/>
          </w:tblCellMar>
        </w:tblPrEx>
        <w:trPr>
          <w:trHeight w:val="340" w:hRule="atLeast"/>
        </w:trPr>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地方教育费附加</w:t>
            </w:r>
          </w:p>
        </w:tc>
        <w:tc>
          <w:tcPr>
            <w:tcW w:w="2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《国务院关于修改《征收教育费附加的暂行规定》的决定及《贵州省国家税务局关于征收教育费附加和地方教育费附加有关问题的公告》</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增值税税额×2%</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0.10%</w:t>
            </w:r>
          </w:p>
        </w:tc>
      </w:tr>
      <w:tr>
        <w:tblPrEx>
          <w:shd w:val="clear" w:color="auto" w:fill="auto"/>
          <w:tblCellMar>
            <w:top w:w="0" w:type="dxa"/>
            <w:left w:w="108" w:type="dxa"/>
            <w:bottom w:w="0" w:type="dxa"/>
            <w:right w:w="108" w:type="dxa"/>
          </w:tblCellMar>
        </w:tblPrEx>
        <w:trPr>
          <w:trHeight w:val="340" w:hRule="atLeast"/>
        </w:trPr>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印花税</w:t>
            </w:r>
          </w:p>
        </w:tc>
        <w:tc>
          <w:tcPr>
            <w:tcW w:w="2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《中华人民共和国印花税暂行条例》</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开发价值×0.05%</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0.05%</w:t>
            </w:r>
          </w:p>
        </w:tc>
      </w:tr>
      <w:tr>
        <w:tblPrEx>
          <w:shd w:val="clear" w:color="auto" w:fill="auto"/>
          <w:tblCellMar>
            <w:top w:w="0" w:type="dxa"/>
            <w:left w:w="108" w:type="dxa"/>
            <w:bottom w:w="0" w:type="dxa"/>
            <w:right w:w="108" w:type="dxa"/>
          </w:tblCellMar>
        </w:tblPrEx>
        <w:trPr>
          <w:trHeight w:val="340" w:hRule="atLeast"/>
        </w:trPr>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销售费用</w:t>
            </w:r>
          </w:p>
        </w:tc>
        <w:tc>
          <w:tcPr>
            <w:tcW w:w="2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主要包括广告宣传、销售代理等</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房屋销售收入的3%</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3%</w:t>
            </w:r>
          </w:p>
        </w:tc>
      </w:tr>
      <w:tr>
        <w:tblPrEx>
          <w:shd w:val="clear" w:color="auto" w:fill="auto"/>
          <w:tblCellMar>
            <w:top w:w="0" w:type="dxa"/>
            <w:left w:w="108" w:type="dxa"/>
            <w:bottom w:w="0" w:type="dxa"/>
            <w:right w:w="108" w:type="dxa"/>
          </w:tblCellMar>
        </w:tblPrEx>
        <w:trPr>
          <w:trHeight w:val="340" w:hRule="atLeast"/>
        </w:trPr>
        <w:tc>
          <w:tcPr>
            <w:tcW w:w="435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合计</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napToGrid w:val="0"/>
                <w:color w:val="000000" w:themeColor="text1"/>
                <w:kern w:val="0"/>
                <w:sz w:val="21"/>
                <w:szCs w:val="21"/>
                <w:lang w:val="en-US" w:eastAsia="zh-CN"/>
                <w14:textFill>
                  <w14:solidFill>
                    <w14:schemeClr w14:val="tx1"/>
                  </w14:solidFill>
                </w14:textFill>
              </w:rPr>
            </w:pPr>
            <w:r>
              <w:rPr>
                <w:rFonts w:hint="eastAsia" w:ascii="仿宋" w:hAnsi="仿宋" w:eastAsia="仿宋" w:cs="仿宋"/>
                <w:snapToGrid w:val="0"/>
                <w:color w:val="000000" w:themeColor="text1"/>
                <w:kern w:val="0"/>
                <w:sz w:val="21"/>
                <w:szCs w:val="21"/>
                <w:lang w:val="en-US" w:eastAsia="zh-CN"/>
                <w14:textFill>
                  <w14:solidFill>
                    <w14:schemeClr w14:val="tx1"/>
                  </w14:solidFill>
                </w14:textFill>
              </w:rPr>
              <w:t>8.29%</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故：</w:t>
      </w:r>
    </w:p>
    <w:p>
      <w:pPr>
        <w:keepNext w:val="0"/>
        <w:keepLines w:val="0"/>
        <w:pageBreakBefore w:val="0"/>
        <w:widowControl w:val="0"/>
        <w:kinsoku/>
        <w:wordWrap/>
        <w:overflowPunct/>
        <w:topLinePunct w:val="0"/>
        <w:autoSpaceDE/>
        <w:autoSpaceDN/>
        <w:bidi w:val="0"/>
        <w:adjustRightInd w:val="0"/>
        <w:snapToGrid w:val="0"/>
        <w:spacing w:line="52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交易税费=开发价值×税率</w:t>
      </w:r>
    </w:p>
    <w:p>
      <w:pPr>
        <w:keepNext w:val="0"/>
        <w:keepLines w:val="0"/>
        <w:pageBreakBefore w:val="0"/>
        <w:widowControl w:val="0"/>
        <w:kinsoku/>
        <w:wordWrap/>
        <w:overflowPunct/>
        <w:topLinePunct w:val="0"/>
        <w:autoSpaceDE/>
        <w:autoSpaceDN/>
        <w:bidi w:val="0"/>
        <w:adjustRightInd w:val="0"/>
        <w:snapToGrid w:val="0"/>
        <w:spacing w:line="500" w:lineRule="exact"/>
        <w:ind w:firstLine="2022" w:firstLineChars="6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=33.62×8.29%=2.79（万元）</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根据地价计算公式：</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地价=不动产交易价格－房屋现值－交易税费</w:t>
      </w:r>
    </w:p>
    <w:p>
      <w:pPr>
        <w:keepNext w:val="0"/>
        <w:keepLines w:val="0"/>
        <w:pageBreakBefore w:val="0"/>
        <w:widowControl w:val="0"/>
        <w:kinsoku/>
        <w:wordWrap/>
        <w:overflowPunct/>
        <w:topLinePunct w:val="0"/>
        <w:autoSpaceDE/>
        <w:autoSpaceDN/>
        <w:bidi w:val="0"/>
        <w:adjustRightInd w:val="0"/>
        <w:snapToGrid w:val="0"/>
        <w:spacing w:line="500" w:lineRule="exact"/>
        <w:ind w:firstLine="1348" w:firstLineChars="400"/>
        <w:textAlignment w:val="auto"/>
        <w:rPr>
          <w:rFonts w:hint="default"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=33.62-17.82-2.79</w:t>
      </w:r>
    </w:p>
    <w:p>
      <w:pPr>
        <w:keepNext w:val="0"/>
        <w:keepLines w:val="0"/>
        <w:pageBreakBefore w:val="0"/>
        <w:widowControl w:val="0"/>
        <w:kinsoku/>
        <w:wordWrap/>
        <w:overflowPunct/>
        <w:topLinePunct w:val="0"/>
        <w:autoSpaceDE/>
        <w:autoSpaceDN/>
        <w:bidi w:val="0"/>
        <w:adjustRightInd w:val="0"/>
        <w:snapToGrid w:val="0"/>
        <w:spacing w:line="500" w:lineRule="exact"/>
        <w:ind w:firstLine="1348" w:firstLineChars="4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=13.01（万元）</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b/>
          <w:bCs/>
          <w:snapToGrid w:val="0"/>
          <w:color w:val="000000" w:themeColor="text1"/>
          <w:kern w:val="0"/>
          <w:sz w:val="28"/>
          <w:szCs w:val="28"/>
          <w:lang w:val="en-US" w:eastAsia="zh-CN"/>
          <w14:textFill>
            <w14:solidFill>
              <w14:schemeClr w14:val="tx1"/>
            </w14:solidFill>
          </w14:textFill>
        </w:rPr>
      </w:pPr>
      <w:r>
        <w:rPr>
          <w:rFonts w:hint="eastAsia" w:ascii="仿宋" w:hAnsi="仿宋" w:eastAsia="仿宋"/>
          <w:b/>
          <w:bCs/>
          <w:snapToGrid w:val="0"/>
          <w:color w:val="000000" w:themeColor="text1"/>
          <w:kern w:val="0"/>
          <w:sz w:val="28"/>
          <w:szCs w:val="28"/>
          <w:lang w:val="en-US" w:eastAsia="zh-CN"/>
          <w14:textFill>
            <w14:solidFill>
              <w14:schemeClr w14:val="tx1"/>
            </w14:solidFill>
          </w14:textFill>
        </w:rPr>
        <w:t>c、应补缴土地出让金</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根据贵州省实施《中华人民共和国城镇国有土地使用权出让和转让暂行条例》办法第五十条第（二）款规定：划拨土地使用权转让、出租、抵押补交地价款，根据其位置、</w:t>
      </w:r>
      <w:r>
        <w:rPr>
          <w:rFonts w:hint="eastAsia" w:ascii="仿宋" w:hAnsi="仿宋" w:eastAsia="仿宋"/>
          <w:snapToGrid w:val="0"/>
          <w:color w:val="000000" w:themeColor="text1"/>
          <w:kern w:val="0"/>
          <w:sz w:val="28"/>
          <w:szCs w:val="28"/>
          <w:highlight w:val="none"/>
          <w:lang w:val="en-US" w:eastAsia="zh-CN"/>
          <w14:textFill>
            <w14:solidFill>
              <w14:schemeClr w14:val="tx1"/>
            </w14:solidFill>
          </w14:textFill>
        </w:rPr>
        <w:t>用途和使用年限，商品住宅用地按不低于地价款的35-40％标准收取。由于估价对象位于三穗县内，位</w:t>
      </w:r>
      <w:r>
        <w:rPr>
          <w:rFonts w:hint="eastAsia" w:ascii="仿宋" w:hAnsi="仿宋" w:eastAsia="仿宋"/>
          <w:snapToGrid w:val="0"/>
          <w:color w:val="000000" w:themeColor="text1"/>
          <w:kern w:val="0"/>
          <w:sz w:val="28"/>
          <w:szCs w:val="28"/>
          <w:lang w:val="en-US" w:eastAsia="zh-CN"/>
          <w14:textFill>
            <w14:solidFill>
              <w14:schemeClr w14:val="tx1"/>
            </w14:solidFill>
          </w14:textFill>
        </w:rPr>
        <w:t>置一般，故本次估价补交土地出让金标准取值为35%，则本次估价据此确定应交补交土地出让金为4.55万元（13.01×35%）。</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b/>
          <w:bCs/>
          <w:snapToGrid w:val="0"/>
          <w:color w:val="000000" w:themeColor="text1"/>
          <w:kern w:val="0"/>
          <w:sz w:val="28"/>
          <w:szCs w:val="28"/>
          <w:lang w:val="en-US" w:eastAsia="zh-CN"/>
          <w14:textFill>
            <w14:solidFill>
              <w14:schemeClr w14:val="tx1"/>
            </w14:solidFill>
          </w14:textFill>
        </w:rPr>
        <w:t>d、划拨性质下房地合一价值的确定</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划拨性质下房地合一价值=出让性质下房地合一价值-应补缴土地出让金</w:t>
      </w:r>
    </w:p>
    <w:p>
      <w:pPr>
        <w:keepNext w:val="0"/>
        <w:keepLines w:val="0"/>
        <w:pageBreakBefore w:val="0"/>
        <w:widowControl w:val="0"/>
        <w:kinsoku/>
        <w:wordWrap/>
        <w:overflowPunct/>
        <w:topLinePunct w:val="0"/>
        <w:autoSpaceDE/>
        <w:autoSpaceDN/>
        <w:bidi w:val="0"/>
        <w:adjustRightInd w:val="0"/>
        <w:snapToGrid w:val="0"/>
        <w:spacing w:line="500" w:lineRule="exact"/>
        <w:ind w:firstLine="3707" w:firstLineChars="11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 xml:space="preserve">=33.62-4.55 </w:t>
      </w:r>
    </w:p>
    <w:p>
      <w:pPr>
        <w:keepNext w:val="0"/>
        <w:keepLines w:val="0"/>
        <w:pageBreakBefore w:val="0"/>
        <w:widowControl w:val="0"/>
        <w:kinsoku/>
        <w:wordWrap/>
        <w:overflowPunct/>
        <w:topLinePunct w:val="0"/>
        <w:autoSpaceDE/>
        <w:autoSpaceDN/>
        <w:bidi w:val="0"/>
        <w:adjustRightInd w:val="0"/>
        <w:snapToGrid w:val="0"/>
        <w:spacing w:line="500" w:lineRule="exact"/>
        <w:ind w:firstLine="3707" w:firstLineChars="11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=29.07（万元）</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划拨性质下房地合一单价=划拨性质下房地合一价值÷建筑面积</w:t>
      </w:r>
    </w:p>
    <w:p>
      <w:pPr>
        <w:keepNext w:val="0"/>
        <w:keepLines w:val="0"/>
        <w:pageBreakBefore w:val="0"/>
        <w:widowControl w:val="0"/>
        <w:kinsoku/>
        <w:wordWrap/>
        <w:overflowPunct/>
        <w:topLinePunct w:val="0"/>
        <w:autoSpaceDE/>
        <w:autoSpaceDN/>
        <w:bidi w:val="0"/>
        <w:adjustRightInd w:val="0"/>
        <w:snapToGrid w:val="0"/>
        <w:spacing w:line="500" w:lineRule="exact"/>
        <w:ind w:firstLine="674" w:firstLineChars="200"/>
        <w:textAlignment w:val="auto"/>
        <w:rPr>
          <w:rFonts w:hint="default"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 xml:space="preserve">                      =29.07×10,000÷166.51</w:t>
      </w:r>
    </w:p>
    <w:p>
      <w:pPr>
        <w:keepNext w:val="0"/>
        <w:keepLines w:val="0"/>
        <w:pageBreakBefore w:val="0"/>
        <w:widowControl w:val="0"/>
        <w:kinsoku/>
        <w:wordWrap/>
        <w:overflowPunct/>
        <w:topLinePunct w:val="0"/>
        <w:autoSpaceDE/>
        <w:autoSpaceDN/>
        <w:bidi w:val="0"/>
        <w:adjustRightInd w:val="0"/>
        <w:snapToGrid w:val="0"/>
        <w:spacing w:line="500" w:lineRule="exact"/>
        <w:ind w:firstLine="3707" w:firstLineChars="1100"/>
        <w:textAlignment w:val="auto"/>
        <w:rPr>
          <w:rFonts w:hint="eastAsia" w:ascii="仿宋" w:hAnsi="仿宋" w:eastAsia="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snapToGrid w:val="0"/>
          <w:color w:val="000000" w:themeColor="text1"/>
          <w:kern w:val="0"/>
          <w:sz w:val="28"/>
          <w:szCs w:val="28"/>
          <w:lang w:val="en-US" w:eastAsia="zh-CN"/>
          <w14:textFill>
            <w14:solidFill>
              <w14:schemeClr w14:val="tx1"/>
            </w14:solidFill>
          </w14:textFill>
        </w:rPr>
        <w:t>≈1,746（元/㎡）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2、交易税费</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lang w:val="en-US" w:eastAsia="zh-CN"/>
        </w:rPr>
      </w:pPr>
      <w:r>
        <w:rPr>
          <w:rFonts w:hint="eastAsia" w:ascii="仿宋" w:hAnsi="仿宋" w:eastAsia="仿宋"/>
          <w:snapToGrid w:val="0"/>
          <w:color w:val="auto"/>
          <w:kern w:val="0"/>
          <w:sz w:val="28"/>
          <w:szCs w:val="28"/>
          <w:highlight w:val="none"/>
          <w:lang w:val="en-US" w:eastAsia="zh-CN"/>
        </w:rPr>
        <w:t>评估对象市场价格对应的交易税费按照法律法规规定，转让人和买受人各自负担，并考虑被迫转让及处置后被执行人不自愿配合交付因素对评估结果的不利影响，交易税费详见下表：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02"/>
        <w:gridCol w:w="2250"/>
        <w:gridCol w:w="555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 xml:space="preserve"> 序号</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税费名称</w:t>
            </w:r>
          </w:p>
        </w:tc>
        <w:tc>
          <w:tcPr>
            <w:tcW w:w="55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估价对象适用条件及税率</w:t>
            </w:r>
          </w:p>
        </w:tc>
        <w:tc>
          <w:tcPr>
            <w:tcW w:w="13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9963" w:type="dxa"/>
            <w:gridSpan w:val="4"/>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一、买方税费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契税</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90㎡以上，家庭唯一住房，税率为1.5%；家庭二套住房，税率为2%</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0.45-0.60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印花税</w:t>
            </w:r>
          </w:p>
        </w:tc>
        <w:tc>
          <w:tcPr>
            <w:tcW w:w="5550" w:type="dxa"/>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交易价(或评估价)×0.05%，不动产产权证书按件贴花5元</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602" w:type="dxa"/>
            <w:gridSpan w:val="3"/>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  计</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0.46-0.61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9963" w:type="dxa"/>
            <w:gridSpan w:val="4"/>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二、卖方税费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w:t>
            </w:r>
          </w:p>
        </w:tc>
        <w:tc>
          <w:tcPr>
            <w:tcW w:w="22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增值税</w:t>
            </w:r>
          </w:p>
        </w:tc>
        <w:tc>
          <w:tcPr>
            <w:tcW w:w="5550" w:type="dxa"/>
            <w:shd w:val="clear" w:color="auto" w:fill="auto"/>
            <w:vAlign w:val="center"/>
          </w:tcPr>
          <w:p>
            <w:pPr>
              <w:keepNext w:val="0"/>
              <w:keepLines w:val="0"/>
              <w:widowControl/>
              <w:suppressLineNumbers w:val="0"/>
              <w:jc w:val="left"/>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个人销售自建房屋免征收增值税</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w:t>
            </w:r>
          </w:p>
        </w:tc>
        <w:tc>
          <w:tcPr>
            <w:tcW w:w="2250"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城建税、教育费附加及地方教育费附加</w:t>
            </w:r>
          </w:p>
        </w:tc>
        <w:tc>
          <w:tcPr>
            <w:tcW w:w="5550" w:type="dxa"/>
            <w:shd w:val="clear" w:color="auto" w:fill="auto"/>
            <w:vAlign w:val="center"/>
          </w:tcPr>
          <w:p>
            <w:pPr>
              <w:keepNext w:val="0"/>
              <w:keepLines w:val="0"/>
              <w:widowControl/>
              <w:suppressLineNumbers w:val="0"/>
              <w:jc w:val="left"/>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应缴纳增值税×（5%+3%+2%）</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w:t>
            </w:r>
          </w:p>
        </w:tc>
        <w:tc>
          <w:tcPr>
            <w:tcW w:w="2250"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土地增值税</w:t>
            </w:r>
          </w:p>
        </w:tc>
        <w:tc>
          <w:tcPr>
            <w:tcW w:w="5550" w:type="dxa"/>
            <w:shd w:val="clear" w:color="auto" w:fill="auto"/>
            <w:vAlign w:val="center"/>
          </w:tcPr>
          <w:p>
            <w:pPr>
              <w:keepNext w:val="0"/>
              <w:keepLines w:val="0"/>
              <w:widowControl/>
              <w:suppressLineNumbers w:val="0"/>
              <w:jc w:val="left"/>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个人住房免征土地增值税</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2"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4</w:t>
            </w:r>
          </w:p>
        </w:tc>
        <w:tc>
          <w:tcPr>
            <w:tcW w:w="2250"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个人所得税</w:t>
            </w:r>
          </w:p>
        </w:tc>
        <w:tc>
          <w:tcPr>
            <w:tcW w:w="5550" w:type="dxa"/>
            <w:shd w:val="clear" w:color="auto" w:fill="auto"/>
            <w:vAlign w:val="center"/>
          </w:tcPr>
          <w:p>
            <w:pPr>
              <w:keepNext w:val="0"/>
              <w:keepLines w:val="0"/>
              <w:widowControl/>
              <w:suppressLineNumbers w:val="0"/>
              <w:jc w:val="left"/>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个人自用住房5年以上免征</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602" w:type="dxa"/>
            <w:gridSpan w:val="3"/>
            <w:shd w:val="clear" w:color="auto" w:fill="auto"/>
            <w:vAlign w:val="center"/>
          </w:tcPr>
          <w:p>
            <w:pPr>
              <w:keepNext w:val="0"/>
              <w:keepLines w:val="0"/>
              <w:widowControl/>
              <w:suppressLineNumbers w:val="0"/>
              <w:jc w:val="both"/>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小  计</w:t>
            </w:r>
          </w:p>
        </w:tc>
        <w:tc>
          <w:tcPr>
            <w:tcW w:w="136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602" w:type="dxa"/>
            <w:gridSpan w:val="3"/>
            <w:shd w:val="clear" w:color="auto" w:fill="auto"/>
            <w:vAlign w:val="center"/>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合  计</w:t>
            </w:r>
          </w:p>
        </w:tc>
        <w:tc>
          <w:tcPr>
            <w:tcW w:w="1361"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0.46-0.61</w:t>
            </w:r>
          </w:p>
        </w:tc>
      </w:tr>
    </w:tbl>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根据我国法律法规规定，结合上述测算过程，本次估价仅考虑卖方税费对评估价值的影响，故交易税费为0.00万元。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3、扣除评估费、拍卖费、诉讼费、律师费等财产处置费用后市场价格</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本次估价委托人三穗县人民法院未书面明确评估费、拍卖费、诉讼费、律师费等财产处置费用从财产处置价款中扣除，则本次估价评估结果应当扣除预估的上述费用。</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lang w:val="en-US" w:eastAsia="zh-CN"/>
        </w:rPr>
      </w:pPr>
      <w:r>
        <w:rPr>
          <w:rFonts w:hint="eastAsia" w:ascii="仿宋" w:hAnsi="仿宋" w:eastAsia="仿宋"/>
          <w:snapToGrid w:val="0"/>
          <w:color w:val="auto"/>
          <w:kern w:val="0"/>
          <w:sz w:val="28"/>
          <w:szCs w:val="28"/>
          <w:highlight w:val="none"/>
          <w:lang w:val="en-US" w:eastAsia="zh-CN"/>
        </w:rPr>
        <w:t>①评估费、拍卖费、诉讼费、律师费等财产处置费用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056"/>
        <w:gridCol w:w="6944"/>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序号</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税费名称</w:t>
            </w:r>
          </w:p>
        </w:tc>
        <w:tc>
          <w:tcPr>
            <w:tcW w:w="694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交纳比率</w:t>
            </w:r>
          </w:p>
        </w:tc>
        <w:tc>
          <w:tcPr>
            <w:tcW w:w="127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1</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诉讼费</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根据执行金额按照以下比例累进交纳：≤1万元，50元；1～10万元部分，按2.5%交纳；10～20万元部分，按2%交纳；20～50万元部分，按1.5%交纳；50～100万元部分，按1%交纳；100～200万元部分，按0.9%交纳；200～500万元部分，按0.8%交纳；500～1000万元部分，按0.7%交纳；超过1000万元至2000万元的部分，按照0.6%交纳；超过2000万元的部分，按照0.5%交纳</w:t>
            </w:r>
          </w:p>
        </w:tc>
        <w:tc>
          <w:tcPr>
            <w:tcW w:w="1272"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评估费</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根据评估金额按照以下比例累进交纳：≤100万元，按8‰；101～1000万元部分，按4‰交纳；1001～5000万元部分，按2.5‰交纳；5001～8000万元部分，按1.5‰交纳；8001～10000万元部分，按0.5‰交纳；＞10000万元部分，按0.2‰交纳，并考虑差旅费、工本费及报告难易程度综合收费</w:t>
            </w:r>
          </w:p>
        </w:tc>
        <w:tc>
          <w:tcPr>
            <w:tcW w:w="1272"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拍卖佣金</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根据《最高人民法院关于人民法院网络司法拍卖若干问题的规定》第七条、《贵州省高级人民法院全省法院网络司法拍卖辅助工作管理办法（试行）》第十五条。不动产拍卖成交价按照以下比例累进交纳：≤100万元，按0.4%缴纳；＞100万元部分，按0.1%交纳（上限为5万元）</w:t>
            </w:r>
          </w:p>
        </w:tc>
        <w:tc>
          <w:tcPr>
            <w:tcW w:w="1272"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69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4</w:t>
            </w:r>
          </w:p>
        </w:tc>
        <w:tc>
          <w:tcPr>
            <w:tcW w:w="105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律师费</w:t>
            </w:r>
          </w:p>
        </w:tc>
        <w:tc>
          <w:tcPr>
            <w:tcW w:w="6944" w:type="dxa"/>
            <w:shd w:val="clear" w:color="auto" w:fill="auto"/>
            <w:vAlign w:val="bottom"/>
          </w:tcPr>
          <w:p>
            <w:pPr>
              <w:keepNext w:val="0"/>
              <w:keepLines w:val="0"/>
              <w:widowControl/>
              <w:suppressLineNumbers w:val="0"/>
              <w:jc w:val="both"/>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2016年10月9日贵州省发展和改革委员会、省司法厅发布《省发展改革委  省司法厅关于律师服务收费有关问题的通知》（以下简称《关于律师服务收费的通知》）（黔发改收费［2016］1559号）</w:t>
            </w:r>
          </w:p>
        </w:tc>
        <w:tc>
          <w:tcPr>
            <w:tcW w:w="1272"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blHeader/>
        </w:trPr>
        <w:tc>
          <w:tcPr>
            <w:tcW w:w="174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合  计</w:t>
            </w:r>
          </w:p>
        </w:tc>
        <w:tc>
          <w:tcPr>
            <w:tcW w:w="6944" w:type="dxa"/>
            <w:shd w:val="clear" w:color="auto" w:fill="auto"/>
            <w:noWrap/>
            <w:vAlign w:val="bottom"/>
          </w:tcPr>
          <w:p>
            <w:pPr>
              <w:keepNext w:val="0"/>
              <w:keepLines w:val="0"/>
              <w:widowControl/>
              <w:suppressLineNumbers w:val="0"/>
              <w:jc w:val="center"/>
              <w:textAlignment w:val="center"/>
              <w:rPr>
                <w:rFonts w:hint="eastAsia" w:ascii="仿宋" w:hAnsi="仿宋" w:eastAsia="仿宋" w:cs="仿宋"/>
                <w:b w:val="0"/>
                <w:bCs/>
                <w:snapToGrid w:val="0"/>
                <w:color w:val="000000"/>
                <w:kern w:val="0"/>
                <w:sz w:val="21"/>
                <w:szCs w:val="21"/>
                <w:highlight w:val="none"/>
                <w:lang w:val="en-US" w:eastAsia="zh-CN" w:bidi="ar-SA"/>
              </w:rPr>
            </w:pPr>
          </w:p>
        </w:tc>
        <w:tc>
          <w:tcPr>
            <w:tcW w:w="1272"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snapToGrid w:val="0"/>
                <w:color w:val="000000"/>
                <w:kern w:val="0"/>
                <w:sz w:val="21"/>
                <w:szCs w:val="21"/>
                <w:highlight w:val="none"/>
                <w:lang w:val="en-US" w:eastAsia="zh-CN" w:bidi="ar-SA"/>
              </w:rPr>
            </w:pPr>
            <w:r>
              <w:rPr>
                <w:rFonts w:hint="eastAsia" w:ascii="仿宋" w:hAnsi="仿宋" w:eastAsia="仿宋" w:cs="仿宋"/>
                <w:b w:val="0"/>
                <w:bCs/>
                <w:snapToGrid w:val="0"/>
                <w:color w:val="000000"/>
                <w:kern w:val="0"/>
                <w:sz w:val="21"/>
                <w:szCs w:val="21"/>
                <w:highlight w:val="none"/>
                <w:lang w:val="en-US" w:eastAsia="zh-CN" w:bidi="ar-SA"/>
              </w:rPr>
              <w:t>3.46</w:t>
            </w:r>
          </w:p>
        </w:tc>
      </w:tr>
    </w:tbl>
    <w:p>
      <w:pPr>
        <w:keepNext w:val="0"/>
        <w:keepLines w:val="0"/>
        <w:pageBreakBefore w:val="0"/>
        <w:widowControl w:val="0"/>
        <w:kinsoku/>
        <w:wordWrap/>
        <w:overflowPunct/>
        <w:topLinePunct w:val="0"/>
        <w:autoSpaceDE/>
        <w:autoSpaceDN/>
        <w:bidi w:val="0"/>
        <w:adjustRightInd/>
        <w:snapToGrid/>
        <w:spacing w:before="239" w:beforeLines="50"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②扣除相关处置费后的市场价格</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扣除相关处置费后的市场价格=市场价格-预估处置费用</w:t>
      </w:r>
    </w:p>
    <w:p>
      <w:pPr>
        <w:keepNext w:val="0"/>
        <w:keepLines w:val="0"/>
        <w:pageBreakBefore w:val="0"/>
        <w:widowControl w:val="0"/>
        <w:kinsoku/>
        <w:wordWrap/>
        <w:overflowPunct/>
        <w:topLinePunct w:val="0"/>
        <w:autoSpaceDE/>
        <w:autoSpaceDN/>
        <w:bidi w:val="0"/>
        <w:adjustRightInd/>
        <w:snapToGrid/>
        <w:spacing w:line="520" w:lineRule="exact"/>
        <w:ind w:firstLine="4381" w:firstLineChars="13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=29.07-0.00-3.46=25.61（万元）</w:t>
      </w:r>
    </w:p>
    <w:p>
      <w:pPr>
        <w:keepNext w:val="0"/>
        <w:keepLines w:val="0"/>
        <w:pageBreakBefore w:val="0"/>
        <w:widowControl w:val="0"/>
        <w:kinsoku/>
        <w:wordWrap/>
        <w:overflowPunct/>
        <w:topLinePunct w:val="0"/>
        <w:autoSpaceDE/>
        <w:autoSpaceDN/>
        <w:bidi w:val="0"/>
        <w:adjustRightInd/>
        <w:snapToGrid/>
        <w:spacing w:line="520" w:lineRule="exact"/>
        <w:ind w:firstLine="674" w:firstLineChars="2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扣除相关处置费后的评估单价=扣除相关处置费后的市场价格÷建筑面积</w:t>
      </w:r>
    </w:p>
    <w:p>
      <w:pPr>
        <w:keepNext w:val="0"/>
        <w:keepLines w:val="0"/>
        <w:pageBreakBefore w:val="0"/>
        <w:widowControl w:val="0"/>
        <w:kinsoku/>
        <w:wordWrap/>
        <w:overflowPunct/>
        <w:topLinePunct w:val="0"/>
        <w:autoSpaceDE/>
        <w:autoSpaceDN/>
        <w:bidi w:val="0"/>
        <w:adjustRightInd/>
        <w:snapToGrid/>
        <w:spacing w:line="520" w:lineRule="exact"/>
        <w:ind w:firstLine="4381" w:firstLineChars="1300"/>
        <w:textAlignment w:val="auto"/>
        <w:rPr>
          <w:rFonts w:hint="eastAsia"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=25.61×10,000÷166.51</w:t>
      </w:r>
    </w:p>
    <w:p>
      <w:pPr>
        <w:keepNext w:val="0"/>
        <w:keepLines w:val="0"/>
        <w:pageBreakBefore w:val="0"/>
        <w:widowControl w:val="0"/>
        <w:kinsoku/>
        <w:wordWrap/>
        <w:overflowPunct/>
        <w:topLinePunct w:val="0"/>
        <w:autoSpaceDE/>
        <w:autoSpaceDN/>
        <w:bidi w:val="0"/>
        <w:adjustRightInd/>
        <w:snapToGrid/>
        <w:spacing w:line="520" w:lineRule="exact"/>
        <w:ind w:firstLine="4381" w:firstLineChars="1300"/>
        <w:textAlignment w:val="auto"/>
        <w:rPr>
          <w:rFonts w:hint="default" w:ascii="仿宋" w:hAnsi="仿宋" w:eastAsia="仿宋"/>
          <w:snapToGrid w:val="0"/>
          <w:color w:val="auto"/>
          <w:kern w:val="0"/>
          <w:sz w:val="28"/>
          <w:szCs w:val="28"/>
          <w:highlight w:val="none"/>
          <w:lang w:val="en-US" w:eastAsia="zh-CN"/>
        </w:rPr>
      </w:pPr>
      <w:r>
        <w:rPr>
          <w:rFonts w:hint="eastAsia" w:ascii="仿宋" w:hAnsi="仿宋" w:eastAsia="仿宋"/>
          <w:snapToGrid w:val="0"/>
          <w:color w:val="auto"/>
          <w:kern w:val="0"/>
          <w:sz w:val="28"/>
          <w:szCs w:val="28"/>
          <w:highlight w:val="none"/>
          <w:lang w:val="en-US" w:eastAsia="zh-CN"/>
        </w:rPr>
        <w:t>≈1,538（元/㎡）</w:t>
      </w:r>
      <w:bookmarkStart w:id="95" w:name="_GoBack"/>
      <w:bookmarkEnd w:id="95"/>
    </w:p>
    <w:p>
      <w:pPr>
        <w:spacing w:after="237" w:afterLines="50"/>
        <w:ind w:firstLine="357" w:firstLineChars="100"/>
        <w:rPr>
          <w:rFonts w:ascii="黑体" w:hAnsi="黑体" w:eastAsia="黑体"/>
          <w:b/>
          <w:bCs/>
          <w:sz w:val="30"/>
          <w:szCs w:val="30"/>
          <w:highlight w:val="none"/>
        </w:rPr>
      </w:pPr>
      <w:r>
        <w:rPr>
          <w:rFonts w:hint="eastAsia" w:ascii="黑体" w:hAnsi="黑体" w:eastAsia="黑体"/>
          <w:b/>
          <w:bCs/>
          <w:sz w:val="30"/>
          <w:szCs w:val="30"/>
          <w:highlight w:val="none"/>
        </w:rPr>
        <w:t>（七）估价结果</w:t>
      </w:r>
    </w:p>
    <w:p>
      <w:pPr>
        <w:pStyle w:val="35"/>
        <w:keepNext w:val="0"/>
        <w:keepLines w:val="0"/>
        <w:pageBreakBefore w:val="0"/>
        <w:widowControl w:val="0"/>
        <w:kinsoku/>
        <w:wordWrap/>
        <w:overflowPunct/>
        <w:topLinePunct w:val="0"/>
        <w:autoSpaceDE/>
        <w:autoSpaceDN/>
        <w:bidi w:val="0"/>
        <w:adjustRightInd w:val="0"/>
        <w:snapToGrid w:val="0"/>
        <w:ind w:firstLine="674" w:firstLineChars="200"/>
        <w:textAlignment w:val="auto"/>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估价人员本着独立、客观、公正、合法的原则，根据估价目的，根据国家有关房地产估价的规范、规定，按照估价程序，经过现场查勘与市场调查，选用</w:t>
      </w:r>
      <w:r>
        <w:rPr>
          <w:rFonts w:hint="eastAsia" w:ascii="仿宋" w:hAnsi="仿宋" w:eastAsia="仿宋" w:cs="仿宋"/>
          <w:snapToGrid w:val="0"/>
          <w:sz w:val="28"/>
          <w:szCs w:val="28"/>
          <w:highlight w:val="none"/>
          <w:lang w:eastAsia="zh-CN"/>
        </w:rPr>
        <w:t>比较法</w:t>
      </w:r>
      <w:r>
        <w:rPr>
          <w:rFonts w:hint="eastAsia" w:ascii="仿宋" w:hAnsi="仿宋" w:eastAsia="仿宋" w:cs="仿宋"/>
          <w:snapToGrid w:val="0"/>
          <w:sz w:val="28"/>
          <w:szCs w:val="28"/>
          <w:highlight w:val="none"/>
        </w:rPr>
        <w:t>对估价对象进行了评定估算，确定估价对象未扣除预估的相关处置费用于</w:t>
      </w:r>
      <w:r>
        <w:rPr>
          <w:rFonts w:hint="eastAsia" w:ascii="仿宋" w:hAnsi="仿宋" w:eastAsia="仿宋" w:cs="仿宋"/>
          <w:snapToGrid w:val="0"/>
          <w:sz w:val="28"/>
          <w:szCs w:val="28"/>
          <w:highlight w:val="none"/>
          <w:lang w:eastAsia="zh-CN"/>
        </w:rPr>
        <w:t>价值时点二○二二年六月八日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1,746元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29.07万元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贰拾玖万零柒佰圆整；</w:t>
      </w:r>
      <w:r>
        <w:rPr>
          <w:rFonts w:hint="eastAsia" w:ascii="仿宋" w:hAnsi="仿宋" w:eastAsia="仿宋" w:cs="仿宋"/>
          <w:snapToGrid w:val="0"/>
          <w:sz w:val="28"/>
          <w:szCs w:val="28"/>
          <w:highlight w:val="none"/>
        </w:rPr>
        <w:t>估价</w:t>
      </w:r>
      <w:r>
        <w:rPr>
          <w:rFonts w:hint="eastAsia" w:ascii="仿宋" w:hAnsi="仿宋" w:eastAsia="仿宋" w:cs="仿宋"/>
          <w:snapToGrid w:val="0"/>
          <w:sz w:val="28"/>
          <w:szCs w:val="28"/>
          <w:highlight w:val="none"/>
          <w:lang w:eastAsia="zh-CN"/>
        </w:rPr>
        <w:t>对象扣除预估的相关处置费用</w:t>
      </w:r>
      <w:r>
        <w:rPr>
          <w:rFonts w:hint="eastAsia" w:ascii="仿宋" w:hAnsi="仿宋" w:eastAsia="仿宋" w:cs="仿宋"/>
          <w:snapToGrid w:val="0"/>
          <w:sz w:val="28"/>
          <w:szCs w:val="28"/>
          <w:highlight w:val="none"/>
        </w:rPr>
        <w:t>于</w:t>
      </w:r>
      <w:r>
        <w:rPr>
          <w:rFonts w:hint="eastAsia" w:ascii="仿宋" w:hAnsi="仿宋" w:eastAsia="仿宋" w:cs="仿宋"/>
          <w:snapToGrid w:val="0"/>
          <w:sz w:val="28"/>
          <w:szCs w:val="28"/>
          <w:highlight w:val="none"/>
          <w:lang w:eastAsia="zh-CN"/>
        </w:rPr>
        <w:t>价值时点二○二二年六月八日</w:t>
      </w:r>
      <w:r>
        <w:rPr>
          <w:rFonts w:hint="eastAsia" w:ascii="仿宋" w:hAnsi="仿宋" w:eastAsia="仿宋" w:cs="仿宋"/>
          <w:snapToGrid w:val="0"/>
          <w:sz w:val="28"/>
          <w:szCs w:val="28"/>
          <w:highlight w:val="none"/>
        </w:rPr>
        <w:t>的</w:t>
      </w:r>
      <w:r>
        <w:rPr>
          <w:rFonts w:hint="eastAsia" w:ascii="仿宋" w:hAnsi="仿宋" w:eastAsia="仿宋" w:cs="仿宋"/>
          <w:snapToGrid w:val="0"/>
          <w:sz w:val="28"/>
          <w:szCs w:val="28"/>
          <w:highlight w:val="none"/>
          <w:lang w:val="en-US" w:eastAsia="zh-CN"/>
        </w:rPr>
        <w:t>评估单价为</w:t>
      </w:r>
      <w:r>
        <w:rPr>
          <w:rFonts w:hint="eastAsia" w:ascii="仿宋" w:hAnsi="仿宋" w:eastAsia="仿宋" w:cs="仿宋"/>
          <w:b/>
          <w:bCs/>
          <w:snapToGrid w:val="0"/>
          <w:sz w:val="28"/>
          <w:szCs w:val="28"/>
          <w:highlight w:val="none"/>
          <w:lang w:val="en-US" w:eastAsia="zh-CN"/>
        </w:rPr>
        <w:t>1,538元</w:t>
      </w:r>
      <w:r>
        <w:rPr>
          <w:rFonts w:hint="eastAsia" w:ascii="仿宋" w:hAnsi="仿宋" w:eastAsia="仿宋" w:cs="仿宋"/>
          <w:snapToGrid w:val="0"/>
          <w:sz w:val="28"/>
          <w:szCs w:val="28"/>
          <w:highlight w:val="none"/>
          <w:lang w:val="en-US" w:eastAsia="zh-CN"/>
        </w:rPr>
        <w:t>，评估总价</w:t>
      </w:r>
      <w:r>
        <w:rPr>
          <w:rFonts w:hint="eastAsia" w:ascii="仿宋" w:hAnsi="仿宋" w:eastAsia="仿宋" w:cs="仿宋"/>
          <w:snapToGrid w:val="0"/>
          <w:sz w:val="28"/>
          <w:szCs w:val="28"/>
          <w:highlight w:val="none"/>
        </w:rPr>
        <w:t>为人民币</w:t>
      </w:r>
      <w:r>
        <w:rPr>
          <w:rFonts w:hint="eastAsia" w:ascii="仿宋" w:hAnsi="仿宋" w:eastAsia="仿宋" w:cs="仿宋"/>
          <w:b/>
          <w:bCs/>
          <w:snapToGrid w:val="0"/>
          <w:sz w:val="28"/>
          <w:szCs w:val="28"/>
          <w:highlight w:val="none"/>
          <w:lang w:val="en-US" w:eastAsia="zh-CN"/>
        </w:rPr>
        <w:t>25.61万元</w:t>
      </w:r>
      <w:r>
        <w:rPr>
          <w:rFonts w:hint="eastAsia" w:ascii="仿宋" w:hAnsi="仿宋" w:eastAsia="仿宋" w:cs="仿宋"/>
          <w:snapToGrid w:val="0"/>
          <w:sz w:val="28"/>
          <w:szCs w:val="28"/>
          <w:highlight w:val="none"/>
        </w:rPr>
        <w:t>，大写人民币</w:t>
      </w:r>
      <w:r>
        <w:rPr>
          <w:rFonts w:hint="eastAsia" w:ascii="仿宋" w:hAnsi="仿宋" w:eastAsia="仿宋" w:cs="仿宋"/>
          <w:b/>
          <w:bCs/>
          <w:snapToGrid w:val="0"/>
          <w:sz w:val="28"/>
          <w:szCs w:val="28"/>
          <w:highlight w:val="none"/>
          <w:lang w:eastAsia="zh-CN"/>
        </w:rPr>
        <w:t>贰拾伍万陆仟壹佰圆整</w:t>
      </w:r>
      <w:r>
        <w:rPr>
          <w:rFonts w:hint="eastAsia" w:ascii="仿宋" w:hAnsi="仿宋" w:eastAsia="仿宋" w:cs="仿宋"/>
          <w:snapToGrid w:val="0"/>
          <w:sz w:val="28"/>
          <w:szCs w:val="28"/>
          <w:highlight w:val="none"/>
        </w:rPr>
        <w:t>。估价结果详见《估价结果明细表》。</w:t>
      </w:r>
    </w:p>
    <w:p>
      <w:pPr>
        <w:rPr>
          <w:rFonts w:hint="eastAsia" w:ascii="仿宋" w:hAnsi="仿宋" w:eastAsia="仿宋" w:cs="仿宋"/>
          <w:snapToGrid w:val="0"/>
          <w:sz w:val="28"/>
          <w:szCs w:val="28"/>
          <w:highlight w:val="none"/>
          <w:lang w:val="en-US" w:eastAsia="zh-CN"/>
        </w:rPr>
      </w:pPr>
      <w:r>
        <w:rPr>
          <w:rFonts w:hint="eastAsia" w:ascii="仿宋" w:hAnsi="仿宋" w:eastAsia="仿宋" w:cs="仿宋"/>
          <w:snapToGrid w:val="0"/>
          <w:sz w:val="28"/>
          <w:szCs w:val="28"/>
          <w:highlight w:val="none"/>
          <w:lang w:val="en-US" w:eastAsia="zh-CN"/>
        </w:rPr>
        <w:br w:type="page"/>
      </w:r>
    </w:p>
    <w:p>
      <w:pPr>
        <w:widowControl/>
        <w:jc w:val="center"/>
        <w:rPr>
          <w:rFonts w:hint="eastAsia" w:ascii="仿宋" w:hAnsi="仿宋" w:eastAsia="仿宋" w:cs="宋体"/>
          <w:b/>
          <w:bCs/>
          <w:kern w:val="0"/>
          <w:sz w:val="36"/>
          <w:szCs w:val="36"/>
          <w:highlight w:val="none"/>
        </w:rPr>
      </w:pPr>
      <w:r>
        <w:rPr>
          <w:rFonts w:hint="eastAsia" w:ascii="仿宋" w:hAnsi="仿宋" w:eastAsia="仿宋" w:cs="宋体"/>
          <w:b/>
          <w:bCs/>
          <w:kern w:val="0"/>
          <w:sz w:val="36"/>
          <w:szCs w:val="36"/>
          <w:highlight w:val="none"/>
        </w:rPr>
        <w:t>估价结果明细表</w:t>
      </w:r>
    </w:p>
    <w:p>
      <w:pPr>
        <w:widowControl/>
        <w:jc w:val="center"/>
        <w:rPr>
          <w:rFonts w:hint="eastAsia" w:ascii="仿宋" w:hAnsi="仿宋" w:eastAsia="仿宋" w:cs="仿宋"/>
          <w:snapToGrid w:val="0"/>
          <w:spacing w:val="-2"/>
          <w:kern w:val="0"/>
          <w:sz w:val="21"/>
          <w:szCs w:val="21"/>
          <w:highlight w:val="none"/>
          <w:lang w:eastAsia="zh-CN"/>
        </w:rPr>
      </w:pPr>
      <w:r>
        <w:rPr>
          <w:rFonts w:hint="eastAsia" w:ascii="仿宋" w:hAnsi="仿宋" w:eastAsia="仿宋" w:cs="仿宋"/>
          <w:snapToGrid w:val="0"/>
          <w:spacing w:val="-2"/>
          <w:kern w:val="0"/>
          <w:sz w:val="21"/>
          <w:szCs w:val="21"/>
          <w:highlight w:val="none"/>
          <w:lang w:eastAsia="zh-CN"/>
        </w:rPr>
        <w:t>价值时点</w:t>
      </w:r>
      <w:r>
        <w:rPr>
          <w:rFonts w:hint="eastAsia" w:ascii="仿宋" w:hAnsi="仿宋" w:eastAsia="仿宋" w:cs="仿宋"/>
          <w:snapToGrid w:val="0"/>
          <w:spacing w:val="-2"/>
          <w:kern w:val="0"/>
          <w:sz w:val="21"/>
          <w:szCs w:val="21"/>
          <w:highlight w:val="none"/>
        </w:rPr>
        <w:t>：</w:t>
      </w:r>
      <w:r>
        <w:rPr>
          <w:rFonts w:hint="eastAsia" w:ascii="仿宋" w:hAnsi="仿宋" w:eastAsia="仿宋" w:cs="仿宋"/>
          <w:snapToGrid w:val="0"/>
          <w:spacing w:val="-2"/>
          <w:kern w:val="0"/>
          <w:sz w:val="21"/>
          <w:szCs w:val="21"/>
          <w:highlight w:val="none"/>
          <w:lang w:eastAsia="zh-CN"/>
        </w:rPr>
        <w:t>2022年6月8日</w:t>
      </w:r>
    </w:p>
    <w:tbl>
      <w:tblPr>
        <w:tblStyle w:val="46"/>
        <w:tblW w:w="9997" w:type="dxa"/>
        <w:jc w:val="center"/>
        <w:shd w:val="clear" w:color="auto" w:fill="auto"/>
        <w:tblLayout w:type="fixed"/>
        <w:tblCellMar>
          <w:top w:w="0" w:type="dxa"/>
          <w:left w:w="108" w:type="dxa"/>
          <w:bottom w:w="0" w:type="dxa"/>
          <w:right w:w="108" w:type="dxa"/>
        </w:tblCellMar>
      </w:tblPr>
      <w:tblGrid>
        <w:gridCol w:w="819"/>
        <w:gridCol w:w="1200"/>
        <w:gridCol w:w="1481"/>
        <w:gridCol w:w="458"/>
        <w:gridCol w:w="819"/>
        <w:gridCol w:w="612"/>
        <w:gridCol w:w="791"/>
        <w:gridCol w:w="875"/>
        <w:gridCol w:w="981"/>
        <w:gridCol w:w="1019"/>
        <w:gridCol w:w="942"/>
      </w:tblGrid>
      <w:tr>
        <w:tblPrEx>
          <w:shd w:val="clear" w:color="auto" w:fill="auto"/>
        </w:tblPrEx>
        <w:trPr>
          <w:trHeight w:val="397" w:hRule="atLeast"/>
          <w:jc w:val="center"/>
        </w:trPr>
        <w:tc>
          <w:tcPr>
            <w:tcW w:w="9997"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val="0"/>
                <w:snapToGrid w:val="0"/>
                <w:color w:val="000000"/>
                <w:kern w:val="0"/>
                <w:sz w:val="21"/>
                <w:szCs w:val="21"/>
                <w:highlight w:val="none"/>
                <w:lang w:val="en-US" w:eastAsia="zh-CN" w:bidi="ar-SA"/>
              </w:rPr>
            </w:pPr>
            <w:r>
              <w:rPr>
                <w:rFonts w:hint="eastAsia" w:ascii="仿宋" w:hAnsi="仿宋" w:eastAsia="仿宋" w:cs="仿宋"/>
                <w:b/>
                <w:bCs w:val="0"/>
                <w:snapToGrid w:val="0"/>
                <w:color w:val="000000"/>
                <w:kern w:val="0"/>
                <w:sz w:val="21"/>
                <w:szCs w:val="21"/>
                <w:highlight w:val="none"/>
                <w:lang w:val="en-US" w:eastAsia="zh-CN" w:bidi="ar-SA"/>
              </w:rPr>
              <w:t>估价对象</w:t>
            </w:r>
          </w:p>
        </w:tc>
      </w:tr>
      <w:tr>
        <w:tblPrEx>
          <w:shd w:val="clear" w:color="auto" w:fill="auto"/>
          <w:tblCellMar>
            <w:top w:w="0" w:type="dxa"/>
            <w:left w:w="108" w:type="dxa"/>
            <w:bottom w:w="0" w:type="dxa"/>
            <w:right w:w="108" w:type="dxa"/>
          </w:tblCellMar>
        </w:tblPrEx>
        <w:trPr>
          <w:trHeight w:val="397"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权利人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产权证书号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房屋坐落</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用途</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所在层数/总层数</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装修情况</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建筑面积(㎡)</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评估单价（元/㎡）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未扣除处置费用评估总价（万元）</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扣除处置费用评估单价（元/㎡）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napToGrid w:val="0"/>
                <w:kern w:val="0"/>
                <w:sz w:val="18"/>
                <w:szCs w:val="18"/>
                <w:highlight w:val="none"/>
                <w:lang w:val="en-US" w:eastAsia="zh-CN" w:bidi="ar-SA"/>
              </w:rPr>
            </w:pPr>
            <w:r>
              <w:rPr>
                <w:rFonts w:hint="eastAsia" w:ascii="仿宋" w:hAnsi="仿宋" w:eastAsia="仿宋" w:cs="仿宋"/>
                <w:b/>
                <w:bCs/>
                <w:snapToGrid w:val="0"/>
                <w:kern w:val="0"/>
                <w:sz w:val="18"/>
                <w:szCs w:val="18"/>
                <w:highlight w:val="none"/>
                <w:lang w:val="en-US" w:eastAsia="zh-CN" w:bidi="ar-SA"/>
              </w:rPr>
              <w:t>扣除处置费用评估总价（万元）</w:t>
            </w:r>
          </w:p>
        </w:tc>
      </w:tr>
      <w:tr>
        <w:tblPrEx>
          <w:shd w:val="clear" w:color="auto" w:fill="auto"/>
          <w:tblCellMar>
            <w:top w:w="0" w:type="dxa"/>
            <w:left w:w="108" w:type="dxa"/>
            <w:bottom w:w="0" w:type="dxa"/>
            <w:right w:w="108" w:type="dxa"/>
          </w:tblCellMar>
        </w:tblPrEx>
        <w:trPr>
          <w:trHeight w:val="397"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罗俊</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201100327</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三穗县三穗县八弓镇胜利村一小背后</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住宅</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2层/2层</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简单装修</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166.51</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1,746</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29.07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1,538</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napToGrid w:val="0"/>
                <w:kern w:val="0"/>
                <w:sz w:val="18"/>
                <w:szCs w:val="18"/>
                <w:highlight w:val="none"/>
                <w:lang w:val="en-US" w:eastAsia="zh-CN" w:bidi="ar-SA"/>
              </w:rPr>
            </w:pPr>
            <w:r>
              <w:rPr>
                <w:rFonts w:hint="eastAsia" w:ascii="仿宋" w:hAnsi="仿宋" w:eastAsia="仿宋" w:cs="仿宋"/>
                <w:snapToGrid w:val="0"/>
                <w:kern w:val="0"/>
                <w:sz w:val="18"/>
                <w:szCs w:val="18"/>
                <w:highlight w:val="none"/>
                <w:lang w:val="en-US" w:eastAsia="zh-CN" w:bidi="ar-SA"/>
              </w:rPr>
              <w:t xml:space="preserve">25.61 </w:t>
            </w:r>
          </w:p>
        </w:tc>
      </w:tr>
    </w:tbl>
    <w:p>
      <w:pPr>
        <w:pStyle w:val="45"/>
        <w:rPr>
          <w:highlight w:val="none"/>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黑体" w:eastAsia="黑体"/>
          <w:snapToGrid w:val="0"/>
          <w:kern w:val="0"/>
          <w:sz w:val="30"/>
          <w:szCs w:val="30"/>
          <w:highlight w:val="none"/>
        </w:rPr>
      </w:pPr>
    </w:p>
    <w:sectPr>
      <w:footerReference r:id="rId4" w:type="default"/>
      <w:pgSz w:w="11907" w:h="16840"/>
      <w:pgMar w:top="1440" w:right="1080" w:bottom="1440" w:left="1080" w:header="680" w:footer="851" w:gutter="284"/>
      <w:pgBorders>
        <w:top w:val="none" w:sz="0" w:space="0"/>
        <w:left w:val="none" w:sz="0" w:space="0"/>
        <w:bottom w:val="none" w:sz="0" w:space="0"/>
        <w:right w:val="none" w:sz="0" w:space="0"/>
      </w:pgBorders>
      <w:cols w:space="720" w:num="1"/>
      <w:docGrid w:type="linesAndChars" w:linePitch="475" w:charSpace="118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文鼎中隶简">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楷体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 xml:space="preserve">- </w:t>
    </w: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42</w:t>
    </w:r>
    <w:r>
      <w:rPr>
        <w:kern w:val="0"/>
        <w:sz w:val="20"/>
      </w:rPr>
      <w:fldChar w:fldCharType="end"/>
    </w:r>
    <w:r>
      <w:rPr>
        <w:kern w:val="0"/>
        <w:sz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70054"/>
    <w:multiLevelType w:val="singleLevel"/>
    <w:tmpl w:val="00270054"/>
    <w:lvl w:ilvl="0" w:tentative="0">
      <w:start w:val="1"/>
      <w:numFmt w:val="japaneseCounting"/>
      <w:pStyle w:val="204"/>
      <w:lvlText w:val="%1、"/>
      <w:lvlJc w:val="left"/>
      <w:pPr>
        <w:tabs>
          <w:tab w:val="left"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attachedTemplate r:id="rId1"/>
  <w:documentProtection w:enforcement="0"/>
  <w:defaultTabStop w:val="425"/>
  <w:drawingGridHorizontalSpacing w:val="134"/>
  <w:drawingGridVerticalSpacing w:val="475"/>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xZDE3Mzc5OTgwMmIxMGZiYmNlMDNmNThlN2U3OTcifQ=="/>
  </w:docVars>
  <w:rsids>
    <w:rsidRoot w:val="00172A27"/>
    <w:rsid w:val="0000115E"/>
    <w:rsid w:val="000025DD"/>
    <w:rsid w:val="00002797"/>
    <w:rsid w:val="00002BB8"/>
    <w:rsid w:val="00004B15"/>
    <w:rsid w:val="00005021"/>
    <w:rsid w:val="000050EA"/>
    <w:rsid w:val="000052F2"/>
    <w:rsid w:val="00005D7A"/>
    <w:rsid w:val="000109D1"/>
    <w:rsid w:val="00010E08"/>
    <w:rsid w:val="0001123E"/>
    <w:rsid w:val="000124B0"/>
    <w:rsid w:val="0001318B"/>
    <w:rsid w:val="0001375F"/>
    <w:rsid w:val="00015EC3"/>
    <w:rsid w:val="0001685D"/>
    <w:rsid w:val="00016C94"/>
    <w:rsid w:val="00016D00"/>
    <w:rsid w:val="00016E63"/>
    <w:rsid w:val="0001739D"/>
    <w:rsid w:val="00017B81"/>
    <w:rsid w:val="00017D05"/>
    <w:rsid w:val="00020284"/>
    <w:rsid w:val="000209C8"/>
    <w:rsid w:val="00021176"/>
    <w:rsid w:val="00021B68"/>
    <w:rsid w:val="00021DD3"/>
    <w:rsid w:val="00023531"/>
    <w:rsid w:val="0002440D"/>
    <w:rsid w:val="00025F25"/>
    <w:rsid w:val="00026028"/>
    <w:rsid w:val="00026D15"/>
    <w:rsid w:val="00030C60"/>
    <w:rsid w:val="0003130A"/>
    <w:rsid w:val="0003407D"/>
    <w:rsid w:val="00034357"/>
    <w:rsid w:val="00034400"/>
    <w:rsid w:val="00036BB7"/>
    <w:rsid w:val="00037C40"/>
    <w:rsid w:val="0004002A"/>
    <w:rsid w:val="000444B3"/>
    <w:rsid w:val="000447EC"/>
    <w:rsid w:val="00044EF6"/>
    <w:rsid w:val="00044F17"/>
    <w:rsid w:val="00045184"/>
    <w:rsid w:val="0004549F"/>
    <w:rsid w:val="000459ED"/>
    <w:rsid w:val="00045CCC"/>
    <w:rsid w:val="0005150D"/>
    <w:rsid w:val="000519E7"/>
    <w:rsid w:val="00052046"/>
    <w:rsid w:val="00052EC9"/>
    <w:rsid w:val="00053521"/>
    <w:rsid w:val="000539E8"/>
    <w:rsid w:val="00053DC8"/>
    <w:rsid w:val="000541A4"/>
    <w:rsid w:val="000541A6"/>
    <w:rsid w:val="0005456F"/>
    <w:rsid w:val="00054762"/>
    <w:rsid w:val="00054816"/>
    <w:rsid w:val="00055CBE"/>
    <w:rsid w:val="0005680E"/>
    <w:rsid w:val="00060533"/>
    <w:rsid w:val="00060F41"/>
    <w:rsid w:val="0006246C"/>
    <w:rsid w:val="0006367C"/>
    <w:rsid w:val="0006428C"/>
    <w:rsid w:val="00064619"/>
    <w:rsid w:val="00064B3F"/>
    <w:rsid w:val="000650F2"/>
    <w:rsid w:val="000652C0"/>
    <w:rsid w:val="00065559"/>
    <w:rsid w:val="000659B1"/>
    <w:rsid w:val="00070675"/>
    <w:rsid w:val="00071299"/>
    <w:rsid w:val="0007278F"/>
    <w:rsid w:val="00072F6D"/>
    <w:rsid w:val="00073750"/>
    <w:rsid w:val="0007417D"/>
    <w:rsid w:val="000746EB"/>
    <w:rsid w:val="00074EED"/>
    <w:rsid w:val="00075E60"/>
    <w:rsid w:val="00075F67"/>
    <w:rsid w:val="00076192"/>
    <w:rsid w:val="00076318"/>
    <w:rsid w:val="000765CF"/>
    <w:rsid w:val="000768B3"/>
    <w:rsid w:val="00076C13"/>
    <w:rsid w:val="00076C69"/>
    <w:rsid w:val="0007719C"/>
    <w:rsid w:val="00077228"/>
    <w:rsid w:val="000776EA"/>
    <w:rsid w:val="00080291"/>
    <w:rsid w:val="000810B2"/>
    <w:rsid w:val="00081102"/>
    <w:rsid w:val="00081524"/>
    <w:rsid w:val="00081BEC"/>
    <w:rsid w:val="00081D0E"/>
    <w:rsid w:val="00081EBE"/>
    <w:rsid w:val="00082D3E"/>
    <w:rsid w:val="000832A5"/>
    <w:rsid w:val="00083702"/>
    <w:rsid w:val="00083ABA"/>
    <w:rsid w:val="00083D9D"/>
    <w:rsid w:val="00084A06"/>
    <w:rsid w:val="00085428"/>
    <w:rsid w:val="00085C98"/>
    <w:rsid w:val="00086BED"/>
    <w:rsid w:val="00087C23"/>
    <w:rsid w:val="00087FF2"/>
    <w:rsid w:val="00090761"/>
    <w:rsid w:val="000910DF"/>
    <w:rsid w:val="00091249"/>
    <w:rsid w:val="00092B2B"/>
    <w:rsid w:val="00092C39"/>
    <w:rsid w:val="00092EA2"/>
    <w:rsid w:val="000930DD"/>
    <w:rsid w:val="00093483"/>
    <w:rsid w:val="00095C4E"/>
    <w:rsid w:val="00095CCB"/>
    <w:rsid w:val="0009601C"/>
    <w:rsid w:val="00096034"/>
    <w:rsid w:val="000967DB"/>
    <w:rsid w:val="000968FA"/>
    <w:rsid w:val="0009754F"/>
    <w:rsid w:val="0009796D"/>
    <w:rsid w:val="00097EA4"/>
    <w:rsid w:val="000A0215"/>
    <w:rsid w:val="000A13B9"/>
    <w:rsid w:val="000A2784"/>
    <w:rsid w:val="000A32DB"/>
    <w:rsid w:val="000A3697"/>
    <w:rsid w:val="000A5C96"/>
    <w:rsid w:val="000A5D50"/>
    <w:rsid w:val="000A5FD7"/>
    <w:rsid w:val="000A6C59"/>
    <w:rsid w:val="000A70C5"/>
    <w:rsid w:val="000B0773"/>
    <w:rsid w:val="000B0872"/>
    <w:rsid w:val="000B14A5"/>
    <w:rsid w:val="000B19EB"/>
    <w:rsid w:val="000B1D48"/>
    <w:rsid w:val="000B230C"/>
    <w:rsid w:val="000B2B98"/>
    <w:rsid w:val="000B37C3"/>
    <w:rsid w:val="000B42E3"/>
    <w:rsid w:val="000B4D02"/>
    <w:rsid w:val="000B58BE"/>
    <w:rsid w:val="000B6671"/>
    <w:rsid w:val="000B672C"/>
    <w:rsid w:val="000B6C65"/>
    <w:rsid w:val="000B6E74"/>
    <w:rsid w:val="000B719E"/>
    <w:rsid w:val="000B79C4"/>
    <w:rsid w:val="000B7A69"/>
    <w:rsid w:val="000B7EAC"/>
    <w:rsid w:val="000C0A8D"/>
    <w:rsid w:val="000C263A"/>
    <w:rsid w:val="000C28C5"/>
    <w:rsid w:val="000C316E"/>
    <w:rsid w:val="000C543E"/>
    <w:rsid w:val="000C58AC"/>
    <w:rsid w:val="000C66CA"/>
    <w:rsid w:val="000C6DBE"/>
    <w:rsid w:val="000C7D3F"/>
    <w:rsid w:val="000C7DDE"/>
    <w:rsid w:val="000D035D"/>
    <w:rsid w:val="000D037B"/>
    <w:rsid w:val="000D0D58"/>
    <w:rsid w:val="000D1207"/>
    <w:rsid w:val="000D131F"/>
    <w:rsid w:val="000D208E"/>
    <w:rsid w:val="000D3A0E"/>
    <w:rsid w:val="000D40C7"/>
    <w:rsid w:val="000D4606"/>
    <w:rsid w:val="000E14E5"/>
    <w:rsid w:val="000E19DA"/>
    <w:rsid w:val="000E2910"/>
    <w:rsid w:val="000E32BA"/>
    <w:rsid w:val="000E4560"/>
    <w:rsid w:val="000E470E"/>
    <w:rsid w:val="000E47BA"/>
    <w:rsid w:val="000E4975"/>
    <w:rsid w:val="000E4CB4"/>
    <w:rsid w:val="000E4ED1"/>
    <w:rsid w:val="000E59AD"/>
    <w:rsid w:val="000E6A95"/>
    <w:rsid w:val="000F0B68"/>
    <w:rsid w:val="000F30BE"/>
    <w:rsid w:val="000F5436"/>
    <w:rsid w:val="000F57D3"/>
    <w:rsid w:val="000F5D5C"/>
    <w:rsid w:val="000F5FBA"/>
    <w:rsid w:val="000F60CF"/>
    <w:rsid w:val="0010095F"/>
    <w:rsid w:val="00100EEC"/>
    <w:rsid w:val="00100F0D"/>
    <w:rsid w:val="001010EF"/>
    <w:rsid w:val="00102588"/>
    <w:rsid w:val="0010497C"/>
    <w:rsid w:val="00105250"/>
    <w:rsid w:val="00105931"/>
    <w:rsid w:val="00105B89"/>
    <w:rsid w:val="00112085"/>
    <w:rsid w:val="001125DC"/>
    <w:rsid w:val="00113BDC"/>
    <w:rsid w:val="001147FC"/>
    <w:rsid w:val="00114EB9"/>
    <w:rsid w:val="001169C9"/>
    <w:rsid w:val="00116CFA"/>
    <w:rsid w:val="00116D34"/>
    <w:rsid w:val="00116FD6"/>
    <w:rsid w:val="00117094"/>
    <w:rsid w:val="001173E1"/>
    <w:rsid w:val="00117570"/>
    <w:rsid w:val="0011785A"/>
    <w:rsid w:val="001200ED"/>
    <w:rsid w:val="00120256"/>
    <w:rsid w:val="00122331"/>
    <w:rsid w:val="001228FA"/>
    <w:rsid w:val="00122BCA"/>
    <w:rsid w:val="00123198"/>
    <w:rsid w:val="001238CF"/>
    <w:rsid w:val="0012405A"/>
    <w:rsid w:val="0012438B"/>
    <w:rsid w:val="00124516"/>
    <w:rsid w:val="00124660"/>
    <w:rsid w:val="00125ED9"/>
    <w:rsid w:val="00126D6E"/>
    <w:rsid w:val="00127855"/>
    <w:rsid w:val="00127911"/>
    <w:rsid w:val="0013058D"/>
    <w:rsid w:val="00130A37"/>
    <w:rsid w:val="001315B2"/>
    <w:rsid w:val="00131674"/>
    <w:rsid w:val="00131993"/>
    <w:rsid w:val="00131C5F"/>
    <w:rsid w:val="00131C79"/>
    <w:rsid w:val="0013271E"/>
    <w:rsid w:val="0013273C"/>
    <w:rsid w:val="00133500"/>
    <w:rsid w:val="00133BD0"/>
    <w:rsid w:val="00134391"/>
    <w:rsid w:val="00135AC7"/>
    <w:rsid w:val="00136436"/>
    <w:rsid w:val="0013661A"/>
    <w:rsid w:val="00136689"/>
    <w:rsid w:val="00136C02"/>
    <w:rsid w:val="00136E76"/>
    <w:rsid w:val="001377CD"/>
    <w:rsid w:val="00137DFC"/>
    <w:rsid w:val="00140384"/>
    <w:rsid w:val="001403B9"/>
    <w:rsid w:val="001403D3"/>
    <w:rsid w:val="00140BE7"/>
    <w:rsid w:val="00140BF2"/>
    <w:rsid w:val="001418D0"/>
    <w:rsid w:val="00144688"/>
    <w:rsid w:val="00144F38"/>
    <w:rsid w:val="001451F8"/>
    <w:rsid w:val="00145794"/>
    <w:rsid w:val="00145855"/>
    <w:rsid w:val="00145A62"/>
    <w:rsid w:val="00145D5D"/>
    <w:rsid w:val="00150126"/>
    <w:rsid w:val="0015046E"/>
    <w:rsid w:val="001506A2"/>
    <w:rsid w:val="001507EB"/>
    <w:rsid w:val="001509CC"/>
    <w:rsid w:val="001509E5"/>
    <w:rsid w:val="00151DBA"/>
    <w:rsid w:val="00151FEB"/>
    <w:rsid w:val="0015202B"/>
    <w:rsid w:val="001549FE"/>
    <w:rsid w:val="00155DCF"/>
    <w:rsid w:val="001561F9"/>
    <w:rsid w:val="001570D8"/>
    <w:rsid w:val="001572E2"/>
    <w:rsid w:val="00157D09"/>
    <w:rsid w:val="00157E1F"/>
    <w:rsid w:val="00160210"/>
    <w:rsid w:val="001612B4"/>
    <w:rsid w:val="00161E1A"/>
    <w:rsid w:val="00161FB7"/>
    <w:rsid w:val="00162003"/>
    <w:rsid w:val="00162B90"/>
    <w:rsid w:val="001640F7"/>
    <w:rsid w:val="00164638"/>
    <w:rsid w:val="001648F6"/>
    <w:rsid w:val="00165A6D"/>
    <w:rsid w:val="0016638D"/>
    <w:rsid w:val="001678E9"/>
    <w:rsid w:val="0017097C"/>
    <w:rsid w:val="0017171B"/>
    <w:rsid w:val="00172A19"/>
    <w:rsid w:val="00172A27"/>
    <w:rsid w:val="00172C5D"/>
    <w:rsid w:val="001738B1"/>
    <w:rsid w:val="00173989"/>
    <w:rsid w:val="00173C26"/>
    <w:rsid w:val="001745C4"/>
    <w:rsid w:val="00175183"/>
    <w:rsid w:val="001758EA"/>
    <w:rsid w:val="00175D9D"/>
    <w:rsid w:val="001764FC"/>
    <w:rsid w:val="00176D5D"/>
    <w:rsid w:val="0017722D"/>
    <w:rsid w:val="00177B6A"/>
    <w:rsid w:val="00180657"/>
    <w:rsid w:val="0018153B"/>
    <w:rsid w:val="00181FCD"/>
    <w:rsid w:val="00182431"/>
    <w:rsid w:val="00182E81"/>
    <w:rsid w:val="00183A82"/>
    <w:rsid w:val="001842CA"/>
    <w:rsid w:val="0018524A"/>
    <w:rsid w:val="001857B2"/>
    <w:rsid w:val="001865D5"/>
    <w:rsid w:val="00186F42"/>
    <w:rsid w:val="00190E17"/>
    <w:rsid w:val="001913D6"/>
    <w:rsid w:val="00192780"/>
    <w:rsid w:val="00196B05"/>
    <w:rsid w:val="00196C70"/>
    <w:rsid w:val="001A0170"/>
    <w:rsid w:val="001A0694"/>
    <w:rsid w:val="001A105B"/>
    <w:rsid w:val="001A159A"/>
    <w:rsid w:val="001A2582"/>
    <w:rsid w:val="001A4008"/>
    <w:rsid w:val="001A49B7"/>
    <w:rsid w:val="001A622F"/>
    <w:rsid w:val="001A647C"/>
    <w:rsid w:val="001A6491"/>
    <w:rsid w:val="001A6A92"/>
    <w:rsid w:val="001B1281"/>
    <w:rsid w:val="001B146F"/>
    <w:rsid w:val="001B1618"/>
    <w:rsid w:val="001B1CF9"/>
    <w:rsid w:val="001B20C6"/>
    <w:rsid w:val="001B275E"/>
    <w:rsid w:val="001B27D7"/>
    <w:rsid w:val="001B28BA"/>
    <w:rsid w:val="001B31C6"/>
    <w:rsid w:val="001B4577"/>
    <w:rsid w:val="001B5285"/>
    <w:rsid w:val="001B6638"/>
    <w:rsid w:val="001B6AE7"/>
    <w:rsid w:val="001C122B"/>
    <w:rsid w:val="001C1928"/>
    <w:rsid w:val="001C3EC0"/>
    <w:rsid w:val="001C4007"/>
    <w:rsid w:val="001C458C"/>
    <w:rsid w:val="001C52E2"/>
    <w:rsid w:val="001C58E4"/>
    <w:rsid w:val="001C650F"/>
    <w:rsid w:val="001C6DD2"/>
    <w:rsid w:val="001C7A72"/>
    <w:rsid w:val="001C7CA0"/>
    <w:rsid w:val="001D14A5"/>
    <w:rsid w:val="001D2295"/>
    <w:rsid w:val="001D2A06"/>
    <w:rsid w:val="001D2A84"/>
    <w:rsid w:val="001D3430"/>
    <w:rsid w:val="001D4573"/>
    <w:rsid w:val="001D47AD"/>
    <w:rsid w:val="001D5A18"/>
    <w:rsid w:val="001D5F9D"/>
    <w:rsid w:val="001D65DF"/>
    <w:rsid w:val="001D7627"/>
    <w:rsid w:val="001D79F2"/>
    <w:rsid w:val="001D7BAA"/>
    <w:rsid w:val="001E037D"/>
    <w:rsid w:val="001E0DF0"/>
    <w:rsid w:val="001E1E28"/>
    <w:rsid w:val="001E26BF"/>
    <w:rsid w:val="001E42EF"/>
    <w:rsid w:val="001E44D7"/>
    <w:rsid w:val="001E5CE1"/>
    <w:rsid w:val="001E61E6"/>
    <w:rsid w:val="001E64B7"/>
    <w:rsid w:val="001E6BD5"/>
    <w:rsid w:val="001F0384"/>
    <w:rsid w:val="001F0E0E"/>
    <w:rsid w:val="001F2465"/>
    <w:rsid w:val="001F39AB"/>
    <w:rsid w:val="001F70AE"/>
    <w:rsid w:val="001F763C"/>
    <w:rsid w:val="001F7E03"/>
    <w:rsid w:val="002015EF"/>
    <w:rsid w:val="002017AA"/>
    <w:rsid w:val="00202599"/>
    <w:rsid w:val="00202842"/>
    <w:rsid w:val="00202D6A"/>
    <w:rsid w:val="00203378"/>
    <w:rsid w:val="002037D3"/>
    <w:rsid w:val="00203F0B"/>
    <w:rsid w:val="00203FA2"/>
    <w:rsid w:val="00207840"/>
    <w:rsid w:val="0021058C"/>
    <w:rsid w:val="002115C5"/>
    <w:rsid w:val="002120C8"/>
    <w:rsid w:val="002122AE"/>
    <w:rsid w:val="00212D17"/>
    <w:rsid w:val="0021334D"/>
    <w:rsid w:val="002138E5"/>
    <w:rsid w:val="002140DE"/>
    <w:rsid w:val="002171EE"/>
    <w:rsid w:val="00221CCD"/>
    <w:rsid w:val="002246BD"/>
    <w:rsid w:val="00224C8C"/>
    <w:rsid w:val="0022550B"/>
    <w:rsid w:val="00225DE7"/>
    <w:rsid w:val="0022774C"/>
    <w:rsid w:val="00227AA4"/>
    <w:rsid w:val="00230D0D"/>
    <w:rsid w:val="00231477"/>
    <w:rsid w:val="00234989"/>
    <w:rsid w:val="00235213"/>
    <w:rsid w:val="00235B62"/>
    <w:rsid w:val="00236718"/>
    <w:rsid w:val="0023753E"/>
    <w:rsid w:val="00240243"/>
    <w:rsid w:val="00240CA6"/>
    <w:rsid w:val="002416F5"/>
    <w:rsid w:val="00241E66"/>
    <w:rsid w:val="00242223"/>
    <w:rsid w:val="0024359C"/>
    <w:rsid w:val="002456FA"/>
    <w:rsid w:val="002463C0"/>
    <w:rsid w:val="00246703"/>
    <w:rsid w:val="00247AE8"/>
    <w:rsid w:val="00247D10"/>
    <w:rsid w:val="00251166"/>
    <w:rsid w:val="002517F0"/>
    <w:rsid w:val="00251813"/>
    <w:rsid w:val="00251E32"/>
    <w:rsid w:val="00252D7C"/>
    <w:rsid w:val="00252D83"/>
    <w:rsid w:val="002541BE"/>
    <w:rsid w:val="002551AB"/>
    <w:rsid w:val="00255480"/>
    <w:rsid w:val="00256EC5"/>
    <w:rsid w:val="00257660"/>
    <w:rsid w:val="00257962"/>
    <w:rsid w:val="00257CF5"/>
    <w:rsid w:val="00260F80"/>
    <w:rsid w:val="00261090"/>
    <w:rsid w:val="002612DE"/>
    <w:rsid w:val="002626F1"/>
    <w:rsid w:val="002628BC"/>
    <w:rsid w:val="00262B96"/>
    <w:rsid w:val="00263238"/>
    <w:rsid w:val="002633BF"/>
    <w:rsid w:val="00264746"/>
    <w:rsid w:val="00264AFA"/>
    <w:rsid w:val="00265292"/>
    <w:rsid w:val="0026608D"/>
    <w:rsid w:val="0026664A"/>
    <w:rsid w:val="002667E6"/>
    <w:rsid w:val="00266A4F"/>
    <w:rsid w:val="00266DAE"/>
    <w:rsid w:val="00270BD6"/>
    <w:rsid w:val="00270FFB"/>
    <w:rsid w:val="00271519"/>
    <w:rsid w:val="00273B24"/>
    <w:rsid w:val="002743B2"/>
    <w:rsid w:val="00274F59"/>
    <w:rsid w:val="00275773"/>
    <w:rsid w:val="00275BDD"/>
    <w:rsid w:val="0027673D"/>
    <w:rsid w:val="0028067B"/>
    <w:rsid w:val="0028096E"/>
    <w:rsid w:val="00281C65"/>
    <w:rsid w:val="00281DBA"/>
    <w:rsid w:val="00282939"/>
    <w:rsid w:val="00283C8F"/>
    <w:rsid w:val="00283D43"/>
    <w:rsid w:val="00284627"/>
    <w:rsid w:val="00285143"/>
    <w:rsid w:val="002925C9"/>
    <w:rsid w:val="00292BBC"/>
    <w:rsid w:val="00293C31"/>
    <w:rsid w:val="0029535A"/>
    <w:rsid w:val="00295879"/>
    <w:rsid w:val="00296281"/>
    <w:rsid w:val="002A0297"/>
    <w:rsid w:val="002A08EE"/>
    <w:rsid w:val="002A26AC"/>
    <w:rsid w:val="002A2DA8"/>
    <w:rsid w:val="002A343A"/>
    <w:rsid w:val="002A359B"/>
    <w:rsid w:val="002A391E"/>
    <w:rsid w:val="002A3925"/>
    <w:rsid w:val="002A3AEA"/>
    <w:rsid w:val="002A3BF9"/>
    <w:rsid w:val="002A449F"/>
    <w:rsid w:val="002A4BAC"/>
    <w:rsid w:val="002A533C"/>
    <w:rsid w:val="002A77EA"/>
    <w:rsid w:val="002B065B"/>
    <w:rsid w:val="002B1455"/>
    <w:rsid w:val="002B31BC"/>
    <w:rsid w:val="002B372D"/>
    <w:rsid w:val="002B3B9C"/>
    <w:rsid w:val="002B4465"/>
    <w:rsid w:val="002B4F4E"/>
    <w:rsid w:val="002B5F70"/>
    <w:rsid w:val="002B62F9"/>
    <w:rsid w:val="002B6E70"/>
    <w:rsid w:val="002B7D54"/>
    <w:rsid w:val="002B7F96"/>
    <w:rsid w:val="002C0237"/>
    <w:rsid w:val="002C184B"/>
    <w:rsid w:val="002C34B7"/>
    <w:rsid w:val="002C3759"/>
    <w:rsid w:val="002C3948"/>
    <w:rsid w:val="002C45FC"/>
    <w:rsid w:val="002C4CD2"/>
    <w:rsid w:val="002C5A7A"/>
    <w:rsid w:val="002C5E2B"/>
    <w:rsid w:val="002C6A48"/>
    <w:rsid w:val="002C6DB4"/>
    <w:rsid w:val="002C6DED"/>
    <w:rsid w:val="002C6F19"/>
    <w:rsid w:val="002C713F"/>
    <w:rsid w:val="002C7417"/>
    <w:rsid w:val="002D073E"/>
    <w:rsid w:val="002D09A0"/>
    <w:rsid w:val="002D0EC0"/>
    <w:rsid w:val="002D12BF"/>
    <w:rsid w:val="002D18A1"/>
    <w:rsid w:val="002D191E"/>
    <w:rsid w:val="002D1932"/>
    <w:rsid w:val="002D1E1D"/>
    <w:rsid w:val="002D2E1E"/>
    <w:rsid w:val="002D2FCC"/>
    <w:rsid w:val="002D3485"/>
    <w:rsid w:val="002D3E74"/>
    <w:rsid w:val="002D4D40"/>
    <w:rsid w:val="002D4D62"/>
    <w:rsid w:val="002D5F1F"/>
    <w:rsid w:val="002D6A84"/>
    <w:rsid w:val="002D79ED"/>
    <w:rsid w:val="002E03C1"/>
    <w:rsid w:val="002E433B"/>
    <w:rsid w:val="002E438F"/>
    <w:rsid w:val="002E45FB"/>
    <w:rsid w:val="002E4E37"/>
    <w:rsid w:val="002E51D6"/>
    <w:rsid w:val="002E770A"/>
    <w:rsid w:val="002F091D"/>
    <w:rsid w:val="002F134E"/>
    <w:rsid w:val="002F178E"/>
    <w:rsid w:val="002F18A4"/>
    <w:rsid w:val="002F2129"/>
    <w:rsid w:val="002F2530"/>
    <w:rsid w:val="002F28D0"/>
    <w:rsid w:val="002F4850"/>
    <w:rsid w:val="002F4C46"/>
    <w:rsid w:val="002F5983"/>
    <w:rsid w:val="002F6539"/>
    <w:rsid w:val="00300306"/>
    <w:rsid w:val="0030066B"/>
    <w:rsid w:val="00300E75"/>
    <w:rsid w:val="003013B7"/>
    <w:rsid w:val="0030185E"/>
    <w:rsid w:val="003030D5"/>
    <w:rsid w:val="0030557C"/>
    <w:rsid w:val="00305AAB"/>
    <w:rsid w:val="00305E76"/>
    <w:rsid w:val="00306D0E"/>
    <w:rsid w:val="00306F12"/>
    <w:rsid w:val="00310247"/>
    <w:rsid w:val="00311002"/>
    <w:rsid w:val="00311F4D"/>
    <w:rsid w:val="00312512"/>
    <w:rsid w:val="00313612"/>
    <w:rsid w:val="00313C7E"/>
    <w:rsid w:val="00315281"/>
    <w:rsid w:val="003160B7"/>
    <w:rsid w:val="00316191"/>
    <w:rsid w:val="00316895"/>
    <w:rsid w:val="00320373"/>
    <w:rsid w:val="00320600"/>
    <w:rsid w:val="00320BB1"/>
    <w:rsid w:val="00321B5D"/>
    <w:rsid w:val="00322B42"/>
    <w:rsid w:val="00322BC6"/>
    <w:rsid w:val="00323916"/>
    <w:rsid w:val="0032483A"/>
    <w:rsid w:val="0032509C"/>
    <w:rsid w:val="003254BB"/>
    <w:rsid w:val="00326BA6"/>
    <w:rsid w:val="00327EAE"/>
    <w:rsid w:val="00327ED4"/>
    <w:rsid w:val="003302F0"/>
    <w:rsid w:val="003314FA"/>
    <w:rsid w:val="0033166D"/>
    <w:rsid w:val="00333010"/>
    <w:rsid w:val="003342F4"/>
    <w:rsid w:val="00335B7F"/>
    <w:rsid w:val="00337441"/>
    <w:rsid w:val="00337934"/>
    <w:rsid w:val="00340C9B"/>
    <w:rsid w:val="00341040"/>
    <w:rsid w:val="00342148"/>
    <w:rsid w:val="00342CAB"/>
    <w:rsid w:val="00342CC8"/>
    <w:rsid w:val="00343019"/>
    <w:rsid w:val="0034341B"/>
    <w:rsid w:val="003453BE"/>
    <w:rsid w:val="00345BDD"/>
    <w:rsid w:val="00347475"/>
    <w:rsid w:val="00347DED"/>
    <w:rsid w:val="00351094"/>
    <w:rsid w:val="00351425"/>
    <w:rsid w:val="00351BA5"/>
    <w:rsid w:val="003526DA"/>
    <w:rsid w:val="00352FD3"/>
    <w:rsid w:val="00354F8F"/>
    <w:rsid w:val="00355331"/>
    <w:rsid w:val="003560D5"/>
    <w:rsid w:val="003569BA"/>
    <w:rsid w:val="00356B89"/>
    <w:rsid w:val="00356E9E"/>
    <w:rsid w:val="003574FA"/>
    <w:rsid w:val="00357E23"/>
    <w:rsid w:val="00360C52"/>
    <w:rsid w:val="00361E5A"/>
    <w:rsid w:val="0036257B"/>
    <w:rsid w:val="003629B2"/>
    <w:rsid w:val="00362A2C"/>
    <w:rsid w:val="00362A84"/>
    <w:rsid w:val="00362AEC"/>
    <w:rsid w:val="0036367E"/>
    <w:rsid w:val="00363901"/>
    <w:rsid w:val="00364AA3"/>
    <w:rsid w:val="00364C60"/>
    <w:rsid w:val="003652D3"/>
    <w:rsid w:val="00365CC9"/>
    <w:rsid w:val="00366153"/>
    <w:rsid w:val="00366E36"/>
    <w:rsid w:val="00366FA9"/>
    <w:rsid w:val="00367F8C"/>
    <w:rsid w:val="00370620"/>
    <w:rsid w:val="00370C3A"/>
    <w:rsid w:val="003718E4"/>
    <w:rsid w:val="003724CD"/>
    <w:rsid w:val="00372693"/>
    <w:rsid w:val="00374050"/>
    <w:rsid w:val="0037560F"/>
    <w:rsid w:val="00376670"/>
    <w:rsid w:val="003767D9"/>
    <w:rsid w:val="0037696D"/>
    <w:rsid w:val="0037717E"/>
    <w:rsid w:val="00377290"/>
    <w:rsid w:val="003779F7"/>
    <w:rsid w:val="003802BD"/>
    <w:rsid w:val="00382E00"/>
    <w:rsid w:val="00383B8C"/>
    <w:rsid w:val="0038454A"/>
    <w:rsid w:val="00385178"/>
    <w:rsid w:val="0038712E"/>
    <w:rsid w:val="00387307"/>
    <w:rsid w:val="003901CC"/>
    <w:rsid w:val="00390CB4"/>
    <w:rsid w:val="00390ED3"/>
    <w:rsid w:val="00390F3D"/>
    <w:rsid w:val="00391499"/>
    <w:rsid w:val="0039166E"/>
    <w:rsid w:val="0039220F"/>
    <w:rsid w:val="00392360"/>
    <w:rsid w:val="00392BBB"/>
    <w:rsid w:val="00392E2C"/>
    <w:rsid w:val="00393CD4"/>
    <w:rsid w:val="003947B9"/>
    <w:rsid w:val="00396196"/>
    <w:rsid w:val="0039628E"/>
    <w:rsid w:val="003969FE"/>
    <w:rsid w:val="00397531"/>
    <w:rsid w:val="003A0316"/>
    <w:rsid w:val="003A139E"/>
    <w:rsid w:val="003A13B8"/>
    <w:rsid w:val="003A1DAD"/>
    <w:rsid w:val="003A2764"/>
    <w:rsid w:val="003A3E39"/>
    <w:rsid w:val="003A3F06"/>
    <w:rsid w:val="003A4402"/>
    <w:rsid w:val="003A451C"/>
    <w:rsid w:val="003A5B1A"/>
    <w:rsid w:val="003A6F2B"/>
    <w:rsid w:val="003A7EDD"/>
    <w:rsid w:val="003B011F"/>
    <w:rsid w:val="003B0845"/>
    <w:rsid w:val="003B0AC7"/>
    <w:rsid w:val="003B0E07"/>
    <w:rsid w:val="003B1149"/>
    <w:rsid w:val="003B2373"/>
    <w:rsid w:val="003B28FD"/>
    <w:rsid w:val="003B29C1"/>
    <w:rsid w:val="003B33FA"/>
    <w:rsid w:val="003B37C2"/>
    <w:rsid w:val="003B3E60"/>
    <w:rsid w:val="003B4FE4"/>
    <w:rsid w:val="003B5311"/>
    <w:rsid w:val="003B5652"/>
    <w:rsid w:val="003B57D7"/>
    <w:rsid w:val="003B580C"/>
    <w:rsid w:val="003B69D4"/>
    <w:rsid w:val="003B7B26"/>
    <w:rsid w:val="003C060E"/>
    <w:rsid w:val="003C0856"/>
    <w:rsid w:val="003C1094"/>
    <w:rsid w:val="003C185B"/>
    <w:rsid w:val="003C234C"/>
    <w:rsid w:val="003C286B"/>
    <w:rsid w:val="003C287A"/>
    <w:rsid w:val="003C2D0B"/>
    <w:rsid w:val="003C2F56"/>
    <w:rsid w:val="003C3A3E"/>
    <w:rsid w:val="003C3D5B"/>
    <w:rsid w:val="003C3EB1"/>
    <w:rsid w:val="003C544B"/>
    <w:rsid w:val="003C6163"/>
    <w:rsid w:val="003C6731"/>
    <w:rsid w:val="003C67AC"/>
    <w:rsid w:val="003C738D"/>
    <w:rsid w:val="003C7744"/>
    <w:rsid w:val="003C7B78"/>
    <w:rsid w:val="003D0C5B"/>
    <w:rsid w:val="003D14CE"/>
    <w:rsid w:val="003D1686"/>
    <w:rsid w:val="003D3F90"/>
    <w:rsid w:val="003D4083"/>
    <w:rsid w:val="003D4454"/>
    <w:rsid w:val="003D4743"/>
    <w:rsid w:val="003D529F"/>
    <w:rsid w:val="003D5304"/>
    <w:rsid w:val="003D53CA"/>
    <w:rsid w:val="003D56D5"/>
    <w:rsid w:val="003D7562"/>
    <w:rsid w:val="003E01C7"/>
    <w:rsid w:val="003E12B3"/>
    <w:rsid w:val="003E140F"/>
    <w:rsid w:val="003E1C89"/>
    <w:rsid w:val="003E31A8"/>
    <w:rsid w:val="003E3CD2"/>
    <w:rsid w:val="003E4B37"/>
    <w:rsid w:val="003E4D50"/>
    <w:rsid w:val="003E4F0B"/>
    <w:rsid w:val="003E5C4E"/>
    <w:rsid w:val="003E775F"/>
    <w:rsid w:val="003E77BC"/>
    <w:rsid w:val="003F179C"/>
    <w:rsid w:val="003F1AF2"/>
    <w:rsid w:val="003F1BEA"/>
    <w:rsid w:val="003F1C60"/>
    <w:rsid w:val="003F22AB"/>
    <w:rsid w:val="003F23E4"/>
    <w:rsid w:val="003F2603"/>
    <w:rsid w:val="003F2F29"/>
    <w:rsid w:val="003F39FF"/>
    <w:rsid w:val="003F3E08"/>
    <w:rsid w:val="003F4616"/>
    <w:rsid w:val="003F4C98"/>
    <w:rsid w:val="003F4F35"/>
    <w:rsid w:val="003F59F6"/>
    <w:rsid w:val="003F633D"/>
    <w:rsid w:val="003F69A8"/>
    <w:rsid w:val="003F7172"/>
    <w:rsid w:val="003F78F5"/>
    <w:rsid w:val="003F790F"/>
    <w:rsid w:val="0040063A"/>
    <w:rsid w:val="00400A37"/>
    <w:rsid w:val="00400DCC"/>
    <w:rsid w:val="00401E6E"/>
    <w:rsid w:val="004021C7"/>
    <w:rsid w:val="0040232E"/>
    <w:rsid w:val="004024F0"/>
    <w:rsid w:val="00403252"/>
    <w:rsid w:val="00403FBF"/>
    <w:rsid w:val="00405689"/>
    <w:rsid w:val="00405A47"/>
    <w:rsid w:val="00406200"/>
    <w:rsid w:val="00406933"/>
    <w:rsid w:val="00406F6F"/>
    <w:rsid w:val="00407279"/>
    <w:rsid w:val="004076AC"/>
    <w:rsid w:val="0041036A"/>
    <w:rsid w:val="0041229D"/>
    <w:rsid w:val="00412B3D"/>
    <w:rsid w:val="00413C17"/>
    <w:rsid w:val="004145D8"/>
    <w:rsid w:val="00414D67"/>
    <w:rsid w:val="00414FE4"/>
    <w:rsid w:val="0041561A"/>
    <w:rsid w:val="004168BA"/>
    <w:rsid w:val="0042054E"/>
    <w:rsid w:val="0042070D"/>
    <w:rsid w:val="00422E7C"/>
    <w:rsid w:val="00422F7E"/>
    <w:rsid w:val="004232CD"/>
    <w:rsid w:val="00424283"/>
    <w:rsid w:val="00426549"/>
    <w:rsid w:val="00427099"/>
    <w:rsid w:val="004274B0"/>
    <w:rsid w:val="004275A6"/>
    <w:rsid w:val="0043035E"/>
    <w:rsid w:val="00431300"/>
    <w:rsid w:val="004313D8"/>
    <w:rsid w:val="00432C1F"/>
    <w:rsid w:val="00433726"/>
    <w:rsid w:val="00433B95"/>
    <w:rsid w:val="00433BD7"/>
    <w:rsid w:val="00434AD6"/>
    <w:rsid w:val="00434D8F"/>
    <w:rsid w:val="00435383"/>
    <w:rsid w:val="004354AD"/>
    <w:rsid w:val="00436742"/>
    <w:rsid w:val="00440257"/>
    <w:rsid w:val="00440320"/>
    <w:rsid w:val="004407D5"/>
    <w:rsid w:val="004409FF"/>
    <w:rsid w:val="0044214C"/>
    <w:rsid w:val="004428BD"/>
    <w:rsid w:val="004429BD"/>
    <w:rsid w:val="00445E50"/>
    <w:rsid w:val="00446AD1"/>
    <w:rsid w:val="00446AEB"/>
    <w:rsid w:val="00446C58"/>
    <w:rsid w:val="00446E4D"/>
    <w:rsid w:val="004502B4"/>
    <w:rsid w:val="00450A97"/>
    <w:rsid w:val="0045164A"/>
    <w:rsid w:val="004516D9"/>
    <w:rsid w:val="00451D7E"/>
    <w:rsid w:val="00453539"/>
    <w:rsid w:val="00453969"/>
    <w:rsid w:val="00454189"/>
    <w:rsid w:val="00454256"/>
    <w:rsid w:val="00455062"/>
    <w:rsid w:val="0045513A"/>
    <w:rsid w:val="0045540F"/>
    <w:rsid w:val="0045554A"/>
    <w:rsid w:val="0045600F"/>
    <w:rsid w:val="0045703D"/>
    <w:rsid w:val="0046073C"/>
    <w:rsid w:val="004607F5"/>
    <w:rsid w:val="00462020"/>
    <w:rsid w:val="004621F5"/>
    <w:rsid w:val="0046230F"/>
    <w:rsid w:val="00462E67"/>
    <w:rsid w:val="004638C4"/>
    <w:rsid w:val="00466255"/>
    <w:rsid w:val="00467622"/>
    <w:rsid w:val="00467E42"/>
    <w:rsid w:val="00470D32"/>
    <w:rsid w:val="00471006"/>
    <w:rsid w:val="0047218B"/>
    <w:rsid w:val="00472232"/>
    <w:rsid w:val="004734D8"/>
    <w:rsid w:val="0047457F"/>
    <w:rsid w:val="00474F24"/>
    <w:rsid w:val="00474FA9"/>
    <w:rsid w:val="00476BD9"/>
    <w:rsid w:val="00476FB3"/>
    <w:rsid w:val="004772DE"/>
    <w:rsid w:val="00477928"/>
    <w:rsid w:val="00477A7E"/>
    <w:rsid w:val="00477F08"/>
    <w:rsid w:val="0048078A"/>
    <w:rsid w:val="00480813"/>
    <w:rsid w:val="00480EA4"/>
    <w:rsid w:val="00481D9F"/>
    <w:rsid w:val="00482EE5"/>
    <w:rsid w:val="00483365"/>
    <w:rsid w:val="004840B1"/>
    <w:rsid w:val="004845C3"/>
    <w:rsid w:val="00485263"/>
    <w:rsid w:val="004854DD"/>
    <w:rsid w:val="0048580E"/>
    <w:rsid w:val="00485F22"/>
    <w:rsid w:val="004861B5"/>
    <w:rsid w:val="00486846"/>
    <w:rsid w:val="00490213"/>
    <w:rsid w:val="004902A9"/>
    <w:rsid w:val="004904E4"/>
    <w:rsid w:val="00491087"/>
    <w:rsid w:val="004911B6"/>
    <w:rsid w:val="00492431"/>
    <w:rsid w:val="0049250A"/>
    <w:rsid w:val="00492D17"/>
    <w:rsid w:val="004933F7"/>
    <w:rsid w:val="00494057"/>
    <w:rsid w:val="0049417D"/>
    <w:rsid w:val="00494280"/>
    <w:rsid w:val="00494DD0"/>
    <w:rsid w:val="0049511C"/>
    <w:rsid w:val="00495EF1"/>
    <w:rsid w:val="00496056"/>
    <w:rsid w:val="00496191"/>
    <w:rsid w:val="004A1580"/>
    <w:rsid w:val="004A23F0"/>
    <w:rsid w:val="004A2701"/>
    <w:rsid w:val="004A2AD2"/>
    <w:rsid w:val="004A2E75"/>
    <w:rsid w:val="004A3103"/>
    <w:rsid w:val="004A435B"/>
    <w:rsid w:val="004A520F"/>
    <w:rsid w:val="004A562A"/>
    <w:rsid w:val="004A6195"/>
    <w:rsid w:val="004A6CCD"/>
    <w:rsid w:val="004A733B"/>
    <w:rsid w:val="004A7624"/>
    <w:rsid w:val="004B0A08"/>
    <w:rsid w:val="004B0B95"/>
    <w:rsid w:val="004B14DF"/>
    <w:rsid w:val="004B26CD"/>
    <w:rsid w:val="004B4F30"/>
    <w:rsid w:val="004B5D3C"/>
    <w:rsid w:val="004B6111"/>
    <w:rsid w:val="004B6EFF"/>
    <w:rsid w:val="004B73D2"/>
    <w:rsid w:val="004C0020"/>
    <w:rsid w:val="004C0304"/>
    <w:rsid w:val="004C0533"/>
    <w:rsid w:val="004C0694"/>
    <w:rsid w:val="004C1C9D"/>
    <w:rsid w:val="004C2308"/>
    <w:rsid w:val="004C329C"/>
    <w:rsid w:val="004C447F"/>
    <w:rsid w:val="004C4E2D"/>
    <w:rsid w:val="004C4FFB"/>
    <w:rsid w:val="004C577B"/>
    <w:rsid w:val="004C5B21"/>
    <w:rsid w:val="004C682C"/>
    <w:rsid w:val="004C727E"/>
    <w:rsid w:val="004C79CE"/>
    <w:rsid w:val="004C7B5A"/>
    <w:rsid w:val="004D2E20"/>
    <w:rsid w:val="004D320C"/>
    <w:rsid w:val="004D3F8A"/>
    <w:rsid w:val="004D4572"/>
    <w:rsid w:val="004D4D28"/>
    <w:rsid w:val="004D5123"/>
    <w:rsid w:val="004D5D7A"/>
    <w:rsid w:val="004D746E"/>
    <w:rsid w:val="004D7643"/>
    <w:rsid w:val="004D77D7"/>
    <w:rsid w:val="004E0635"/>
    <w:rsid w:val="004E10F7"/>
    <w:rsid w:val="004E124A"/>
    <w:rsid w:val="004E13FE"/>
    <w:rsid w:val="004E159E"/>
    <w:rsid w:val="004E2422"/>
    <w:rsid w:val="004E391A"/>
    <w:rsid w:val="004E3EF9"/>
    <w:rsid w:val="004E3F1E"/>
    <w:rsid w:val="004E55B5"/>
    <w:rsid w:val="004E589E"/>
    <w:rsid w:val="004E66C3"/>
    <w:rsid w:val="004E69AA"/>
    <w:rsid w:val="004E76B6"/>
    <w:rsid w:val="004F063C"/>
    <w:rsid w:val="004F1018"/>
    <w:rsid w:val="004F20E0"/>
    <w:rsid w:val="004F253A"/>
    <w:rsid w:val="004F3D2E"/>
    <w:rsid w:val="004F4152"/>
    <w:rsid w:val="004F4BE7"/>
    <w:rsid w:val="004F508D"/>
    <w:rsid w:val="004F6C68"/>
    <w:rsid w:val="005005EF"/>
    <w:rsid w:val="00501481"/>
    <w:rsid w:val="0050171A"/>
    <w:rsid w:val="00502150"/>
    <w:rsid w:val="005026A0"/>
    <w:rsid w:val="005037D0"/>
    <w:rsid w:val="00504A8C"/>
    <w:rsid w:val="00505DC9"/>
    <w:rsid w:val="00506D6E"/>
    <w:rsid w:val="00507338"/>
    <w:rsid w:val="005079F2"/>
    <w:rsid w:val="00507B3D"/>
    <w:rsid w:val="00510913"/>
    <w:rsid w:val="00511023"/>
    <w:rsid w:val="0051258A"/>
    <w:rsid w:val="00512E52"/>
    <w:rsid w:val="00512FB9"/>
    <w:rsid w:val="0051536B"/>
    <w:rsid w:val="005156C0"/>
    <w:rsid w:val="00516E3C"/>
    <w:rsid w:val="00516FDF"/>
    <w:rsid w:val="00517265"/>
    <w:rsid w:val="005179B9"/>
    <w:rsid w:val="00517ED9"/>
    <w:rsid w:val="005216FF"/>
    <w:rsid w:val="0052191C"/>
    <w:rsid w:val="00521B86"/>
    <w:rsid w:val="00522756"/>
    <w:rsid w:val="00523897"/>
    <w:rsid w:val="00523E68"/>
    <w:rsid w:val="0052483B"/>
    <w:rsid w:val="00524E09"/>
    <w:rsid w:val="00525D6A"/>
    <w:rsid w:val="00526C3D"/>
    <w:rsid w:val="00526DF5"/>
    <w:rsid w:val="005274B8"/>
    <w:rsid w:val="005276C3"/>
    <w:rsid w:val="005277EE"/>
    <w:rsid w:val="00527CB1"/>
    <w:rsid w:val="00527DD5"/>
    <w:rsid w:val="00527F15"/>
    <w:rsid w:val="00530A5F"/>
    <w:rsid w:val="00532349"/>
    <w:rsid w:val="00532470"/>
    <w:rsid w:val="005324AF"/>
    <w:rsid w:val="005328C3"/>
    <w:rsid w:val="00532C5D"/>
    <w:rsid w:val="00533E94"/>
    <w:rsid w:val="00533EF2"/>
    <w:rsid w:val="0053473A"/>
    <w:rsid w:val="00535C2E"/>
    <w:rsid w:val="00535ED1"/>
    <w:rsid w:val="005363ED"/>
    <w:rsid w:val="005402D6"/>
    <w:rsid w:val="005407D2"/>
    <w:rsid w:val="00540928"/>
    <w:rsid w:val="00541151"/>
    <w:rsid w:val="00541EEB"/>
    <w:rsid w:val="00542B67"/>
    <w:rsid w:val="0054330E"/>
    <w:rsid w:val="0054396D"/>
    <w:rsid w:val="00543BF9"/>
    <w:rsid w:val="0054455F"/>
    <w:rsid w:val="005447BD"/>
    <w:rsid w:val="005449C0"/>
    <w:rsid w:val="00544CA4"/>
    <w:rsid w:val="00545527"/>
    <w:rsid w:val="00545A4B"/>
    <w:rsid w:val="00546948"/>
    <w:rsid w:val="00546A47"/>
    <w:rsid w:val="0055134F"/>
    <w:rsid w:val="00551934"/>
    <w:rsid w:val="005524FE"/>
    <w:rsid w:val="00552724"/>
    <w:rsid w:val="00552D1D"/>
    <w:rsid w:val="00552F18"/>
    <w:rsid w:val="00553A99"/>
    <w:rsid w:val="00553B1B"/>
    <w:rsid w:val="00554308"/>
    <w:rsid w:val="00554923"/>
    <w:rsid w:val="00554A67"/>
    <w:rsid w:val="00554ACF"/>
    <w:rsid w:val="00554FC0"/>
    <w:rsid w:val="00555993"/>
    <w:rsid w:val="00555C00"/>
    <w:rsid w:val="00556A47"/>
    <w:rsid w:val="00556BB5"/>
    <w:rsid w:val="00557803"/>
    <w:rsid w:val="00560E9F"/>
    <w:rsid w:val="00561AFE"/>
    <w:rsid w:val="005621BC"/>
    <w:rsid w:val="00562AAC"/>
    <w:rsid w:val="005630C5"/>
    <w:rsid w:val="00566499"/>
    <w:rsid w:val="00566565"/>
    <w:rsid w:val="0056732C"/>
    <w:rsid w:val="00567CBA"/>
    <w:rsid w:val="00567EB8"/>
    <w:rsid w:val="00570011"/>
    <w:rsid w:val="005712BE"/>
    <w:rsid w:val="00571486"/>
    <w:rsid w:val="005714AF"/>
    <w:rsid w:val="005721B1"/>
    <w:rsid w:val="00572289"/>
    <w:rsid w:val="00572A55"/>
    <w:rsid w:val="00573214"/>
    <w:rsid w:val="00575159"/>
    <w:rsid w:val="00581171"/>
    <w:rsid w:val="005812C5"/>
    <w:rsid w:val="00581764"/>
    <w:rsid w:val="00581D0A"/>
    <w:rsid w:val="0058274F"/>
    <w:rsid w:val="00582F07"/>
    <w:rsid w:val="00583901"/>
    <w:rsid w:val="0058494B"/>
    <w:rsid w:val="005852B2"/>
    <w:rsid w:val="005853AB"/>
    <w:rsid w:val="0058558E"/>
    <w:rsid w:val="0058774A"/>
    <w:rsid w:val="0059091B"/>
    <w:rsid w:val="00590C82"/>
    <w:rsid w:val="005913B9"/>
    <w:rsid w:val="00591553"/>
    <w:rsid w:val="00592757"/>
    <w:rsid w:val="00593BCA"/>
    <w:rsid w:val="00594BB7"/>
    <w:rsid w:val="00594BD1"/>
    <w:rsid w:val="00594C24"/>
    <w:rsid w:val="00596A1D"/>
    <w:rsid w:val="005976A0"/>
    <w:rsid w:val="005A1F9D"/>
    <w:rsid w:val="005A2FFF"/>
    <w:rsid w:val="005A30BC"/>
    <w:rsid w:val="005A4EDC"/>
    <w:rsid w:val="005A50FD"/>
    <w:rsid w:val="005A567F"/>
    <w:rsid w:val="005A73D4"/>
    <w:rsid w:val="005A765B"/>
    <w:rsid w:val="005A7711"/>
    <w:rsid w:val="005B02A5"/>
    <w:rsid w:val="005B08C7"/>
    <w:rsid w:val="005B13F3"/>
    <w:rsid w:val="005B1733"/>
    <w:rsid w:val="005B1B9B"/>
    <w:rsid w:val="005B1D7D"/>
    <w:rsid w:val="005B2EA2"/>
    <w:rsid w:val="005B2F19"/>
    <w:rsid w:val="005B34E0"/>
    <w:rsid w:val="005B38DC"/>
    <w:rsid w:val="005B3A3F"/>
    <w:rsid w:val="005B3FA9"/>
    <w:rsid w:val="005B4608"/>
    <w:rsid w:val="005B4C9C"/>
    <w:rsid w:val="005B4F93"/>
    <w:rsid w:val="005B50B4"/>
    <w:rsid w:val="005B54D9"/>
    <w:rsid w:val="005B566A"/>
    <w:rsid w:val="005B61CC"/>
    <w:rsid w:val="005C02F9"/>
    <w:rsid w:val="005C0F95"/>
    <w:rsid w:val="005C117C"/>
    <w:rsid w:val="005C1393"/>
    <w:rsid w:val="005C14BF"/>
    <w:rsid w:val="005C1CBB"/>
    <w:rsid w:val="005C265E"/>
    <w:rsid w:val="005C26C4"/>
    <w:rsid w:val="005C37ED"/>
    <w:rsid w:val="005C398C"/>
    <w:rsid w:val="005C48F5"/>
    <w:rsid w:val="005C49F2"/>
    <w:rsid w:val="005C4BD1"/>
    <w:rsid w:val="005C5148"/>
    <w:rsid w:val="005C5A7E"/>
    <w:rsid w:val="005C7154"/>
    <w:rsid w:val="005C7E39"/>
    <w:rsid w:val="005D0808"/>
    <w:rsid w:val="005D132D"/>
    <w:rsid w:val="005D1980"/>
    <w:rsid w:val="005D21F3"/>
    <w:rsid w:val="005D2F12"/>
    <w:rsid w:val="005D31CA"/>
    <w:rsid w:val="005D32DB"/>
    <w:rsid w:val="005D4E01"/>
    <w:rsid w:val="005D4FE5"/>
    <w:rsid w:val="005D5343"/>
    <w:rsid w:val="005D5F8D"/>
    <w:rsid w:val="005E0245"/>
    <w:rsid w:val="005E0E62"/>
    <w:rsid w:val="005E0F44"/>
    <w:rsid w:val="005E1B2D"/>
    <w:rsid w:val="005E27F6"/>
    <w:rsid w:val="005E331D"/>
    <w:rsid w:val="005E43AB"/>
    <w:rsid w:val="005E493D"/>
    <w:rsid w:val="005E6268"/>
    <w:rsid w:val="005E7617"/>
    <w:rsid w:val="005E77DA"/>
    <w:rsid w:val="005F0C82"/>
    <w:rsid w:val="005F29BC"/>
    <w:rsid w:val="005F29D3"/>
    <w:rsid w:val="005F2A8E"/>
    <w:rsid w:val="005F30EF"/>
    <w:rsid w:val="005F3443"/>
    <w:rsid w:val="005F3D55"/>
    <w:rsid w:val="005F45B3"/>
    <w:rsid w:val="005F482B"/>
    <w:rsid w:val="005F535E"/>
    <w:rsid w:val="005F62EF"/>
    <w:rsid w:val="006013E2"/>
    <w:rsid w:val="0060174B"/>
    <w:rsid w:val="006017FE"/>
    <w:rsid w:val="00601FB4"/>
    <w:rsid w:val="00603AAC"/>
    <w:rsid w:val="00604E6E"/>
    <w:rsid w:val="006058F7"/>
    <w:rsid w:val="00605919"/>
    <w:rsid w:val="0060654A"/>
    <w:rsid w:val="00606E51"/>
    <w:rsid w:val="00607B0E"/>
    <w:rsid w:val="00607F34"/>
    <w:rsid w:val="006104D1"/>
    <w:rsid w:val="00610A1F"/>
    <w:rsid w:val="00610B2F"/>
    <w:rsid w:val="006119DA"/>
    <w:rsid w:val="00612265"/>
    <w:rsid w:val="00612689"/>
    <w:rsid w:val="00616452"/>
    <w:rsid w:val="006165E1"/>
    <w:rsid w:val="006166F4"/>
    <w:rsid w:val="0061790B"/>
    <w:rsid w:val="0062012C"/>
    <w:rsid w:val="00620C3A"/>
    <w:rsid w:val="00620D28"/>
    <w:rsid w:val="006211DC"/>
    <w:rsid w:val="00621632"/>
    <w:rsid w:val="00621B3B"/>
    <w:rsid w:val="006226B6"/>
    <w:rsid w:val="00622790"/>
    <w:rsid w:val="00622A76"/>
    <w:rsid w:val="00623C37"/>
    <w:rsid w:val="00624B3C"/>
    <w:rsid w:val="00624D82"/>
    <w:rsid w:val="00625CD5"/>
    <w:rsid w:val="00626614"/>
    <w:rsid w:val="00627B2E"/>
    <w:rsid w:val="00630431"/>
    <w:rsid w:val="0063057F"/>
    <w:rsid w:val="00630BDD"/>
    <w:rsid w:val="00630FDA"/>
    <w:rsid w:val="00631D30"/>
    <w:rsid w:val="00633707"/>
    <w:rsid w:val="00635D3E"/>
    <w:rsid w:val="00636120"/>
    <w:rsid w:val="00636313"/>
    <w:rsid w:val="00636318"/>
    <w:rsid w:val="00637353"/>
    <w:rsid w:val="00640763"/>
    <w:rsid w:val="006409D3"/>
    <w:rsid w:val="00641C13"/>
    <w:rsid w:val="00642C40"/>
    <w:rsid w:val="0064340C"/>
    <w:rsid w:val="00644287"/>
    <w:rsid w:val="00644421"/>
    <w:rsid w:val="00645FC4"/>
    <w:rsid w:val="0064663A"/>
    <w:rsid w:val="00646673"/>
    <w:rsid w:val="00646C2F"/>
    <w:rsid w:val="00646EC6"/>
    <w:rsid w:val="00647266"/>
    <w:rsid w:val="00651148"/>
    <w:rsid w:val="0065174C"/>
    <w:rsid w:val="00651B6E"/>
    <w:rsid w:val="00653342"/>
    <w:rsid w:val="00653CAA"/>
    <w:rsid w:val="00655D5D"/>
    <w:rsid w:val="00657108"/>
    <w:rsid w:val="0065791A"/>
    <w:rsid w:val="00657C6A"/>
    <w:rsid w:val="00660E48"/>
    <w:rsid w:val="006610C4"/>
    <w:rsid w:val="00661A65"/>
    <w:rsid w:val="006622A8"/>
    <w:rsid w:val="00662874"/>
    <w:rsid w:val="0066424F"/>
    <w:rsid w:val="00664676"/>
    <w:rsid w:val="006649F2"/>
    <w:rsid w:val="006657E5"/>
    <w:rsid w:val="00666854"/>
    <w:rsid w:val="00667147"/>
    <w:rsid w:val="00667159"/>
    <w:rsid w:val="006678DA"/>
    <w:rsid w:val="00667E52"/>
    <w:rsid w:val="0067084F"/>
    <w:rsid w:val="00670AB9"/>
    <w:rsid w:val="00670BAD"/>
    <w:rsid w:val="00671BEB"/>
    <w:rsid w:val="00671D3F"/>
    <w:rsid w:val="00671D65"/>
    <w:rsid w:val="00672195"/>
    <w:rsid w:val="006722E0"/>
    <w:rsid w:val="006736CA"/>
    <w:rsid w:val="00673F7C"/>
    <w:rsid w:val="00674134"/>
    <w:rsid w:val="0067456A"/>
    <w:rsid w:val="00674A17"/>
    <w:rsid w:val="00675230"/>
    <w:rsid w:val="006757BA"/>
    <w:rsid w:val="00675830"/>
    <w:rsid w:val="0068004A"/>
    <w:rsid w:val="00680263"/>
    <w:rsid w:val="00680E63"/>
    <w:rsid w:val="00681693"/>
    <w:rsid w:val="006817CC"/>
    <w:rsid w:val="00681B35"/>
    <w:rsid w:val="00682D76"/>
    <w:rsid w:val="00684197"/>
    <w:rsid w:val="006855B0"/>
    <w:rsid w:val="00685885"/>
    <w:rsid w:val="006859A3"/>
    <w:rsid w:val="00686900"/>
    <w:rsid w:val="00687104"/>
    <w:rsid w:val="00687572"/>
    <w:rsid w:val="00687F37"/>
    <w:rsid w:val="00687F46"/>
    <w:rsid w:val="00690A5E"/>
    <w:rsid w:val="00690C51"/>
    <w:rsid w:val="006912DF"/>
    <w:rsid w:val="006932BF"/>
    <w:rsid w:val="0069372A"/>
    <w:rsid w:val="006937F6"/>
    <w:rsid w:val="00693DD3"/>
    <w:rsid w:val="00694954"/>
    <w:rsid w:val="006956AC"/>
    <w:rsid w:val="0069670E"/>
    <w:rsid w:val="00697248"/>
    <w:rsid w:val="00697ADC"/>
    <w:rsid w:val="00697CEF"/>
    <w:rsid w:val="006A03F3"/>
    <w:rsid w:val="006A0EA4"/>
    <w:rsid w:val="006A15C2"/>
    <w:rsid w:val="006A2ED1"/>
    <w:rsid w:val="006A3074"/>
    <w:rsid w:val="006A3B3F"/>
    <w:rsid w:val="006A3E46"/>
    <w:rsid w:val="006A4C7F"/>
    <w:rsid w:val="006A58A0"/>
    <w:rsid w:val="006A5CDE"/>
    <w:rsid w:val="006A6FB9"/>
    <w:rsid w:val="006A70AB"/>
    <w:rsid w:val="006A7166"/>
    <w:rsid w:val="006A7B4B"/>
    <w:rsid w:val="006B0466"/>
    <w:rsid w:val="006B0E35"/>
    <w:rsid w:val="006B1161"/>
    <w:rsid w:val="006B2422"/>
    <w:rsid w:val="006B380B"/>
    <w:rsid w:val="006B40F2"/>
    <w:rsid w:val="006B42BF"/>
    <w:rsid w:val="006B7CE8"/>
    <w:rsid w:val="006B7D74"/>
    <w:rsid w:val="006B7E8A"/>
    <w:rsid w:val="006C11B4"/>
    <w:rsid w:val="006C1357"/>
    <w:rsid w:val="006C1644"/>
    <w:rsid w:val="006C1F6C"/>
    <w:rsid w:val="006C2FA4"/>
    <w:rsid w:val="006C43BA"/>
    <w:rsid w:val="006C5525"/>
    <w:rsid w:val="006C6791"/>
    <w:rsid w:val="006C6913"/>
    <w:rsid w:val="006D0B23"/>
    <w:rsid w:val="006D1DFC"/>
    <w:rsid w:val="006D2FBA"/>
    <w:rsid w:val="006D3477"/>
    <w:rsid w:val="006D36BC"/>
    <w:rsid w:val="006D4518"/>
    <w:rsid w:val="006D4CB0"/>
    <w:rsid w:val="006D581D"/>
    <w:rsid w:val="006D6F6A"/>
    <w:rsid w:val="006D77C2"/>
    <w:rsid w:val="006E0CFB"/>
    <w:rsid w:val="006E16A7"/>
    <w:rsid w:val="006E1EA9"/>
    <w:rsid w:val="006E202C"/>
    <w:rsid w:val="006E2647"/>
    <w:rsid w:val="006E272F"/>
    <w:rsid w:val="006E28A2"/>
    <w:rsid w:val="006E2CF2"/>
    <w:rsid w:val="006E2CF6"/>
    <w:rsid w:val="006E31F9"/>
    <w:rsid w:val="006E339E"/>
    <w:rsid w:val="006E35EA"/>
    <w:rsid w:val="006E3E3A"/>
    <w:rsid w:val="006E40FD"/>
    <w:rsid w:val="006E4A27"/>
    <w:rsid w:val="006E4CE6"/>
    <w:rsid w:val="006E5143"/>
    <w:rsid w:val="006E5212"/>
    <w:rsid w:val="006E585F"/>
    <w:rsid w:val="006E65B5"/>
    <w:rsid w:val="006F11BE"/>
    <w:rsid w:val="006F2EC3"/>
    <w:rsid w:val="006F3488"/>
    <w:rsid w:val="006F3AE9"/>
    <w:rsid w:val="006F3D14"/>
    <w:rsid w:val="006F5080"/>
    <w:rsid w:val="006F5156"/>
    <w:rsid w:val="006F6260"/>
    <w:rsid w:val="006F63AD"/>
    <w:rsid w:val="006F66F9"/>
    <w:rsid w:val="006F69CC"/>
    <w:rsid w:val="006F6B7B"/>
    <w:rsid w:val="006F6CE3"/>
    <w:rsid w:val="006F7CC3"/>
    <w:rsid w:val="00700167"/>
    <w:rsid w:val="007009A2"/>
    <w:rsid w:val="007029DA"/>
    <w:rsid w:val="00703ED4"/>
    <w:rsid w:val="00704056"/>
    <w:rsid w:val="00704173"/>
    <w:rsid w:val="007046CF"/>
    <w:rsid w:val="0070663B"/>
    <w:rsid w:val="00706658"/>
    <w:rsid w:val="00706DD8"/>
    <w:rsid w:val="0070753F"/>
    <w:rsid w:val="00710AB8"/>
    <w:rsid w:val="00710ABA"/>
    <w:rsid w:val="00710B84"/>
    <w:rsid w:val="00710F17"/>
    <w:rsid w:val="00711345"/>
    <w:rsid w:val="00711443"/>
    <w:rsid w:val="00711BCB"/>
    <w:rsid w:val="00713248"/>
    <w:rsid w:val="007152B0"/>
    <w:rsid w:val="00715367"/>
    <w:rsid w:val="007162D7"/>
    <w:rsid w:val="00716420"/>
    <w:rsid w:val="00716605"/>
    <w:rsid w:val="007179B0"/>
    <w:rsid w:val="00717A41"/>
    <w:rsid w:val="00717C71"/>
    <w:rsid w:val="007216E3"/>
    <w:rsid w:val="00721E0C"/>
    <w:rsid w:val="00721FD7"/>
    <w:rsid w:val="007220DD"/>
    <w:rsid w:val="0072263E"/>
    <w:rsid w:val="00722EF9"/>
    <w:rsid w:val="00723199"/>
    <w:rsid w:val="007231FE"/>
    <w:rsid w:val="00723EBE"/>
    <w:rsid w:val="00724063"/>
    <w:rsid w:val="007243B2"/>
    <w:rsid w:val="00724977"/>
    <w:rsid w:val="00725E43"/>
    <w:rsid w:val="0072637A"/>
    <w:rsid w:val="0072658C"/>
    <w:rsid w:val="00726983"/>
    <w:rsid w:val="007301D6"/>
    <w:rsid w:val="00732E0C"/>
    <w:rsid w:val="007345C2"/>
    <w:rsid w:val="007348EE"/>
    <w:rsid w:val="007354E3"/>
    <w:rsid w:val="00740B08"/>
    <w:rsid w:val="00741011"/>
    <w:rsid w:val="0074226C"/>
    <w:rsid w:val="0074241F"/>
    <w:rsid w:val="00742741"/>
    <w:rsid w:val="00743881"/>
    <w:rsid w:val="00744865"/>
    <w:rsid w:val="00745A96"/>
    <w:rsid w:val="0074617D"/>
    <w:rsid w:val="007466A1"/>
    <w:rsid w:val="00746EB4"/>
    <w:rsid w:val="00747224"/>
    <w:rsid w:val="007515F9"/>
    <w:rsid w:val="00751850"/>
    <w:rsid w:val="00751B64"/>
    <w:rsid w:val="00752711"/>
    <w:rsid w:val="00753A85"/>
    <w:rsid w:val="00753BAE"/>
    <w:rsid w:val="00754716"/>
    <w:rsid w:val="007559B4"/>
    <w:rsid w:val="00755A9A"/>
    <w:rsid w:val="0075698E"/>
    <w:rsid w:val="00756A8D"/>
    <w:rsid w:val="00757255"/>
    <w:rsid w:val="00757259"/>
    <w:rsid w:val="00757ACE"/>
    <w:rsid w:val="00760DC9"/>
    <w:rsid w:val="00761466"/>
    <w:rsid w:val="0076161F"/>
    <w:rsid w:val="00761A75"/>
    <w:rsid w:val="00761E21"/>
    <w:rsid w:val="007626C8"/>
    <w:rsid w:val="0076309B"/>
    <w:rsid w:val="0076451E"/>
    <w:rsid w:val="00764C47"/>
    <w:rsid w:val="00764CA0"/>
    <w:rsid w:val="00765042"/>
    <w:rsid w:val="00765304"/>
    <w:rsid w:val="00765F3A"/>
    <w:rsid w:val="007665C6"/>
    <w:rsid w:val="00766AB2"/>
    <w:rsid w:val="00766B2A"/>
    <w:rsid w:val="0076796B"/>
    <w:rsid w:val="00770165"/>
    <w:rsid w:val="007707A0"/>
    <w:rsid w:val="00773C21"/>
    <w:rsid w:val="00773D92"/>
    <w:rsid w:val="00773E2C"/>
    <w:rsid w:val="007747E6"/>
    <w:rsid w:val="00774CDE"/>
    <w:rsid w:val="00774F40"/>
    <w:rsid w:val="00775351"/>
    <w:rsid w:val="007753CC"/>
    <w:rsid w:val="00775758"/>
    <w:rsid w:val="0077596D"/>
    <w:rsid w:val="00776790"/>
    <w:rsid w:val="00777577"/>
    <w:rsid w:val="00781CA7"/>
    <w:rsid w:val="007831C3"/>
    <w:rsid w:val="00783660"/>
    <w:rsid w:val="00783FB0"/>
    <w:rsid w:val="00784076"/>
    <w:rsid w:val="0078505F"/>
    <w:rsid w:val="0078565E"/>
    <w:rsid w:val="00785B46"/>
    <w:rsid w:val="0078622C"/>
    <w:rsid w:val="007863CB"/>
    <w:rsid w:val="00786A06"/>
    <w:rsid w:val="00786ABE"/>
    <w:rsid w:val="007872A4"/>
    <w:rsid w:val="0078758A"/>
    <w:rsid w:val="0078761B"/>
    <w:rsid w:val="00790CF4"/>
    <w:rsid w:val="00791434"/>
    <w:rsid w:val="0079179C"/>
    <w:rsid w:val="0079340B"/>
    <w:rsid w:val="0079373E"/>
    <w:rsid w:val="0079431A"/>
    <w:rsid w:val="00794565"/>
    <w:rsid w:val="007945BD"/>
    <w:rsid w:val="007954D5"/>
    <w:rsid w:val="00795B2B"/>
    <w:rsid w:val="00796E69"/>
    <w:rsid w:val="00797546"/>
    <w:rsid w:val="00797FCF"/>
    <w:rsid w:val="007A0400"/>
    <w:rsid w:val="007A142A"/>
    <w:rsid w:val="007A1A6C"/>
    <w:rsid w:val="007A20AB"/>
    <w:rsid w:val="007A282D"/>
    <w:rsid w:val="007A2D0F"/>
    <w:rsid w:val="007A3006"/>
    <w:rsid w:val="007A3382"/>
    <w:rsid w:val="007A33F9"/>
    <w:rsid w:val="007A3BD8"/>
    <w:rsid w:val="007A4412"/>
    <w:rsid w:val="007A4616"/>
    <w:rsid w:val="007A543E"/>
    <w:rsid w:val="007A60BA"/>
    <w:rsid w:val="007A69F6"/>
    <w:rsid w:val="007A7456"/>
    <w:rsid w:val="007A79E3"/>
    <w:rsid w:val="007B0B8E"/>
    <w:rsid w:val="007B0F2B"/>
    <w:rsid w:val="007B114D"/>
    <w:rsid w:val="007B13F6"/>
    <w:rsid w:val="007B15CB"/>
    <w:rsid w:val="007B16F3"/>
    <w:rsid w:val="007B28F2"/>
    <w:rsid w:val="007B2E90"/>
    <w:rsid w:val="007B2EEA"/>
    <w:rsid w:val="007B381F"/>
    <w:rsid w:val="007B437E"/>
    <w:rsid w:val="007B470D"/>
    <w:rsid w:val="007B4C80"/>
    <w:rsid w:val="007B52D4"/>
    <w:rsid w:val="007B56CE"/>
    <w:rsid w:val="007B6120"/>
    <w:rsid w:val="007B6A31"/>
    <w:rsid w:val="007B7BEA"/>
    <w:rsid w:val="007C07FF"/>
    <w:rsid w:val="007C11BB"/>
    <w:rsid w:val="007C1283"/>
    <w:rsid w:val="007C15A2"/>
    <w:rsid w:val="007C167C"/>
    <w:rsid w:val="007C16E8"/>
    <w:rsid w:val="007C197F"/>
    <w:rsid w:val="007C1F15"/>
    <w:rsid w:val="007C34DC"/>
    <w:rsid w:val="007C4126"/>
    <w:rsid w:val="007C4378"/>
    <w:rsid w:val="007C477A"/>
    <w:rsid w:val="007C47CE"/>
    <w:rsid w:val="007C4FE2"/>
    <w:rsid w:val="007C56E5"/>
    <w:rsid w:val="007C7C25"/>
    <w:rsid w:val="007C7DE2"/>
    <w:rsid w:val="007C7F11"/>
    <w:rsid w:val="007C7F57"/>
    <w:rsid w:val="007D07B7"/>
    <w:rsid w:val="007D1471"/>
    <w:rsid w:val="007D1F9E"/>
    <w:rsid w:val="007D2777"/>
    <w:rsid w:val="007D2A26"/>
    <w:rsid w:val="007D3798"/>
    <w:rsid w:val="007D38D1"/>
    <w:rsid w:val="007D4F26"/>
    <w:rsid w:val="007D4FFF"/>
    <w:rsid w:val="007D54D6"/>
    <w:rsid w:val="007D5539"/>
    <w:rsid w:val="007D6E0E"/>
    <w:rsid w:val="007D70C6"/>
    <w:rsid w:val="007D7A54"/>
    <w:rsid w:val="007E00D1"/>
    <w:rsid w:val="007E0872"/>
    <w:rsid w:val="007E0D32"/>
    <w:rsid w:val="007E12E8"/>
    <w:rsid w:val="007E1743"/>
    <w:rsid w:val="007E23B5"/>
    <w:rsid w:val="007E263B"/>
    <w:rsid w:val="007E3280"/>
    <w:rsid w:val="007E3545"/>
    <w:rsid w:val="007E3B87"/>
    <w:rsid w:val="007E4EF0"/>
    <w:rsid w:val="007F20EC"/>
    <w:rsid w:val="007F5836"/>
    <w:rsid w:val="007F5A78"/>
    <w:rsid w:val="007F6339"/>
    <w:rsid w:val="007F6F30"/>
    <w:rsid w:val="00800046"/>
    <w:rsid w:val="00800676"/>
    <w:rsid w:val="00802AB3"/>
    <w:rsid w:val="00802E39"/>
    <w:rsid w:val="00802FF9"/>
    <w:rsid w:val="0080321C"/>
    <w:rsid w:val="00804B0B"/>
    <w:rsid w:val="00805FF9"/>
    <w:rsid w:val="00807F10"/>
    <w:rsid w:val="0081017E"/>
    <w:rsid w:val="00810432"/>
    <w:rsid w:val="00811B5A"/>
    <w:rsid w:val="00811D00"/>
    <w:rsid w:val="00811E62"/>
    <w:rsid w:val="0081296C"/>
    <w:rsid w:val="00812A44"/>
    <w:rsid w:val="00812C79"/>
    <w:rsid w:val="00813142"/>
    <w:rsid w:val="008132A3"/>
    <w:rsid w:val="0081421C"/>
    <w:rsid w:val="00814745"/>
    <w:rsid w:val="00814AD9"/>
    <w:rsid w:val="00814E9C"/>
    <w:rsid w:val="0081507B"/>
    <w:rsid w:val="0081507E"/>
    <w:rsid w:val="00816A4B"/>
    <w:rsid w:val="008201D3"/>
    <w:rsid w:val="00822088"/>
    <w:rsid w:val="00822D68"/>
    <w:rsid w:val="00823703"/>
    <w:rsid w:val="00823A2E"/>
    <w:rsid w:val="0082431A"/>
    <w:rsid w:val="008261FE"/>
    <w:rsid w:val="00826C67"/>
    <w:rsid w:val="008279F5"/>
    <w:rsid w:val="00827C7A"/>
    <w:rsid w:val="00831072"/>
    <w:rsid w:val="0083254E"/>
    <w:rsid w:val="00833226"/>
    <w:rsid w:val="00833758"/>
    <w:rsid w:val="0083458C"/>
    <w:rsid w:val="00834C1E"/>
    <w:rsid w:val="0083594A"/>
    <w:rsid w:val="0083603D"/>
    <w:rsid w:val="008376A0"/>
    <w:rsid w:val="00837747"/>
    <w:rsid w:val="00837DE6"/>
    <w:rsid w:val="00842063"/>
    <w:rsid w:val="00843C34"/>
    <w:rsid w:val="00844053"/>
    <w:rsid w:val="00844454"/>
    <w:rsid w:val="00846136"/>
    <w:rsid w:val="0084622D"/>
    <w:rsid w:val="0084630E"/>
    <w:rsid w:val="0084662C"/>
    <w:rsid w:val="008470F8"/>
    <w:rsid w:val="008478D0"/>
    <w:rsid w:val="00850B97"/>
    <w:rsid w:val="008513DB"/>
    <w:rsid w:val="00851A32"/>
    <w:rsid w:val="008535F4"/>
    <w:rsid w:val="008537F0"/>
    <w:rsid w:val="00854040"/>
    <w:rsid w:val="0085409B"/>
    <w:rsid w:val="00854C35"/>
    <w:rsid w:val="008551EB"/>
    <w:rsid w:val="0085562B"/>
    <w:rsid w:val="00855736"/>
    <w:rsid w:val="00855B4A"/>
    <w:rsid w:val="00856C7F"/>
    <w:rsid w:val="00857012"/>
    <w:rsid w:val="008572A3"/>
    <w:rsid w:val="00860505"/>
    <w:rsid w:val="00861054"/>
    <w:rsid w:val="0086120D"/>
    <w:rsid w:val="008624EA"/>
    <w:rsid w:val="008639E1"/>
    <w:rsid w:val="00863ACC"/>
    <w:rsid w:val="00864905"/>
    <w:rsid w:val="00865074"/>
    <w:rsid w:val="00865595"/>
    <w:rsid w:val="00866046"/>
    <w:rsid w:val="008665BC"/>
    <w:rsid w:val="008667E2"/>
    <w:rsid w:val="00866A5C"/>
    <w:rsid w:val="00867CCE"/>
    <w:rsid w:val="00870909"/>
    <w:rsid w:val="00870C28"/>
    <w:rsid w:val="00871790"/>
    <w:rsid w:val="008727F7"/>
    <w:rsid w:val="00873B61"/>
    <w:rsid w:val="0087409F"/>
    <w:rsid w:val="00874268"/>
    <w:rsid w:val="00876FF0"/>
    <w:rsid w:val="008775C0"/>
    <w:rsid w:val="00877EB4"/>
    <w:rsid w:val="00880691"/>
    <w:rsid w:val="00880D15"/>
    <w:rsid w:val="00882625"/>
    <w:rsid w:val="00882C9D"/>
    <w:rsid w:val="00883042"/>
    <w:rsid w:val="00883FBD"/>
    <w:rsid w:val="00885AEA"/>
    <w:rsid w:val="008866BE"/>
    <w:rsid w:val="008867C4"/>
    <w:rsid w:val="00887029"/>
    <w:rsid w:val="00887120"/>
    <w:rsid w:val="00890028"/>
    <w:rsid w:val="00890236"/>
    <w:rsid w:val="00892668"/>
    <w:rsid w:val="008928C8"/>
    <w:rsid w:val="00894EB8"/>
    <w:rsid w:val="00896522"/>
    <w:rsid w:val="008977DB"/>
    <w:rsid w:val="008A072F"/>
    <w:rsid w:val="008A1729"/>
    <w:rsid w:val="008A29B1"/>
    <w:rsid w:val="008A2BB1"/>
    <w:rsid w:val="008A3335"/>
    <w:rsid w:val="008A371C"/>
    <w:rsid w:val="008A3947"/>
    <w:rsid w:val="008A6577"/>
    <w:rsid w:val="008B101A"/>
    <w:rsid w:val="008B13C0"/>
    <w:rsid w:val="008B1C71"/>
    <w:rsid w:val="008B20EF"/>
    <w:rsid w:val="008B22AA"/>
    <w:rsid w:val="008B2606"/>
    <w:rsid w:val="008B293E"/>
    <w:rsid w:val="008B31C0"/>
    <w:rsid w:val="008B38B9"/>
    <w:rsid w:val="008B4AF9"/>
    <w:rsid w:val="008B52E8"/>
    <w:rsid w:val="008B5A6D"/>
    <w:rsid w:val="008B7288"/>
    <w:rsid w:val="008B7340"/>
    <w:rsid w:val="008B7FA8"/>
    <w:rsid w:val="008C012F"/>
    <w:rsid w:val="008C03C8"/>
    <w:rsid w:val="008C2C3A"/>
    <w:rsid w:val="008C2F5C"/>
    <w:rsid w:val="008C2F9C"/>
    <w:rsid w:val="008C3301"/>
    <w:rsid w:val="008C4D0E"/>
    <w:rsid w:val="008C55C7"/>
    <w:rsid w:val="008C5C78"/>
    <w:rsid w:val="008C62F9"/>
    <w:rsid w:val="008C677D"/>
    <w:rsid w:val="008C6B28"/>
    <w:rsid w:val="008C717E"/>
    <w:rsid w:val="008C7E46"/>
    <w:rsid w:val="008D018E"/>
    <w:rsid w:val="008D03B4"/>
    <w:rsid w:val="008D0A1C"/>
    <w:rsid w:val="008D1535"/>
    <w:rsid w:val="008D2179"/>
    <w:rsid w:val="008D2AD9"/>
    <w:rsid w:val="008D2C4E"/>
    <w:rsid w:val="008D3CB3"/>
    <w:rsid w:val="008D477A"/>
    <w:rsid w:val="008D66D5"/>
    <w:rsid w:val="008D7101"/>
    <w:rsid w:val="008D7578"/>
    <w:rsid w:val="008D7B76"/>
    <w:rsid w:val="008E073D"/>
    <w:rsid w:val="008E076C"/>
    <w:rsid w:val="008E0CC5"/>
    <w:rsid w:val="008E0D69"/>
    <w:rsid w:val="008E0E1D"/>
    <w:rsid w:val="008E1695"/>
    <w:rsid w:val="008E2425"/>
    <w:rsid w:val="008E2B61"/>
    <w:rsid w:val="008E44EA"/>
    <w:rsid w:val="008E465C"/>
    <w:rsid w:val="008E5539"/>
    <w:rsid w:val="008E615C"/>
    <w:rsid w:val="008E654C"/>
    <w:rsid w:val="008E66A9"/>
    <w:rsid w:val="008E6EA5"/>
    <w:rsid w:val="008E6EF1"/>
    <w:rsid w:val="008E7484"/>
    <w:rsid w:val="008E7F35"/>
    <w:rsid w:val="008F01E2"/>
    <w:rsid w:val="008F03F6"/>
    <w:rsid w:val="008F0FB7"/>
    <w:rsid w:val="008F21AC"/>
    <w:rsid w:val="008F24E6"/>
    <w:rsid w:val="008F3711"/>
    <w:rsid w:val="008F3B4D"/>
    <w:rsid w:val="008F3F15"/>
    <w:rsid w:val="008F40F4"/>
    <w:rsid w:val="008F48F3"/>
    <w:rsid w:val="008F4E02"/>
    <w:rsid w:val="008F5780"/>
    <w:rsid w:val="008F5BA8"/>
    <w:rsid w:val="008F5DE7"/>
    <w:rsid w:val="008F6C73"/>
    <w:rsid w:val="008F6CAF"/>
    <w:rsid w:val="008F6E38"/>
    <w:rsid w:val="008F7052"/>
    <w:rsid w:val="008F7143"/>
    <w:rsid w:val="008F7249"/>
    <w:rsid w:val="008F7673"/>
    <w:rsid w:val="00901BB0"/>
    <w:rsid w:val="00902551"/>
    <w:rsid w:val="0090258D"/>
    <w:rsid w:val="009027D9"/>
    <w:rsid w:val="00902B2D"/>
    <w:rsid w:val="00902DC3"/>
    <w:rsid w:val="00902EC9"/>
    <w:rsid w:val="00903505"/>
    <w:rsid w:val="00904624"/>
    <w:rsid w:val="009053D3"/>
    <w:rsid w:val="00906276"/>
    <w:rsid w:val="0090633A"/>
    <w:rsid w:val="0090698B"/>
    <w:rsid w:val="0090758B"/>
    <w:rsid w:val="00907DC5"/>
    <w:rsid w:val="00910D30"/>
    <w:rsid w:val="00913F4D"/>
    <w:rsid w:val="00914112"/>
    <w:rsid w:val="00914365"/>
    <w:rsid w:val="00914ABF"/>
    <w:rsid w:val="00915097"/>
    <w:rsid w:val="00915C0A"/>
    <w:rsid w:val="00915D8C"/>
    <w:rsid w:val="00916736"/>
    <w:rsid w:val="009201B1"/>
    <w:rsid w:val="0092205A"/>
    <w:rsid w:val="009222B3"/>
    <w:rsid w:val="009235A5"/>
    <w:rsid w:val="00925741"/>
    <w:rsid w:val="0092661D"/>
    <w:rsid w:val="0092770A"/>
    <w:rsid w:val="009278E6"/>
    <w:rsid w:val="00927DE4"/>
    <w:rsid w:val="00927F31"/>
    <w:rsid w:val="0093066B"/>
    <w:rsid w:val="00930929"/>
    <w:rsid w:val="00930C34"/>
    <w:rsid w:val="00930D24"/>
    <w:rsid w:val="00931900"/>
    <w:rsid w:val="009330A5"/>
    <w:rsid w:val="0093404B"/>
    <w:rsid w:val="009347BB"/>
    <w:rsid w:val="009349F4"/>
    <w:rsid w:val="00934EDC"/>
    <w:rsid w:val="00936909"/>
    <w:rsid w:val="00936C73"/>
    <w:rsid w:val="00937736"/>
    <w:rsid w:val="00940203"/>
    <w:rsid w:val="00940937"/>
    <w:rsid w:val="00940C2A"/>
    <w:rsid w:val="0094181A"/>
    <w:rsid w:val="009423E0"/>
    <w:rsid w:val="00942B0A"/>
    <w:rsid w:val="009430EE"/>
    <w:rsid w:val="00943C95"/>
    <w:rsid w:val="00943F58"/>
    <w:rsid w:val="0094408D"/>
    <w:rsid w:val="009441CC"/>
    <w:rsid w:val="00944529"/>
    <w:rsid w:val="009445C9"/>
    <w:rsid w:val="00945CD8"/>
    <w:rsid w:val="0094612E"/>
    <w:rsid w:val="009462A0"/>
    <w:rsid w:val="00946A66"/>
    <w:rsid w:val="00946B01"/>
    <w:rsid w:val="00946F26"/>
    <w:rsid w:val="0094784B"/>
    <w:rsid w:val="00947F2A"/>
    <w:rsid w:val="00950127"/>
    <w:rsid w:val="0095117F"/>
    <w:rsid w:val="009516EB"/>
    <w:rsid w:val="0095227E"/>
    <w:rsid w:val="00952AB5"/>
    <w:rsid w:val="00952C20"/>
    <w:rsid w:val="00953628"/>
    <w:rsid w:val="00953704"/>
    <w:rsid w:val="0095489E"/>
    <w:rsid w:val="00955284"/>
    <w:rsid w:val="009557B7"/>
    <w:rsid w:val="00955B2A"/>
    <w:rsid w:val="00955E4C"/>
    <w:rsid w:val="00956D42"/>
    <w:rsid w:val="00956E6E"/>
    <w:rsid w:val="009571D3"/>
    <w:rsid w:val="00957943"/>
    <w:rsid w:val="00960E34"/>
    <w:rsid w:val="009620FE"/>
    <w:rsid w:val="00962A4D"/>
    <w:rsid w:val="00962B27"/>
    <w:rsid w:val="009631B3"/>
    <w:rsid w:val="00964007"/>
    <w:rsid w:val="009643AC"/>
    <w:rsid w:val="00965B1D"/>
    <w:rsid w:val="009662CC"/>
    <w:rsid w:val="0097020B"/>
    <w:rsid w:val="00971128"/>
    <w:rsid w:val="0097222E"/>
    <w:rsid w:val="00973561"/>
    <w:rsid w:val="00973C08"/>
    <w:rsid w:val="00973EBE"/>
    <w:rsid w:val="00974F71"/>
    <w:rsid w:val="00976746"/>
    <w:rsid w:val="009767DD"/>
    <w:rsid w:val="00976BDC"/>
    <w:rsid w:val="00977569"/>
    <w:rsid w:val="00977D2D"/>
    <w:rsid w:val="0098115C"/>
    <w:rsid w:val="00981D32"/>
    <w:rsid w:val="0098245F"/>
    <w:rsid w:val="00983AA6"/>
    <w:rsid w:val="00984E23"/>
    <w:rsid w:val="0098563E"/>
    <w:rsid w:val="00985AE7"/>
    <w:rsid w:val="00986912"/>
    <w:rsid w:val="009875D6"/>
    <w:rsid w:val="00987ABA"/>
    <w:rsid w:val="00987EEC"/>
    <w:rsid w:val="0099030A"/>
    <w:rsid w:val="0099290C"/>
    <w:rsid w:val="00992D49"/>
    <w:rsid w:val="00993684"/>
    <w:rsid w:val="00994779"/>
    <w:rsid w:val="00994A63"/>
    <w:rsid w:val="0099656C"/>
    <w:rsid w:val="00997073"/>
    <w:rsid w:val="0099771F"/>
    <w:rsid w:val="00997CE7"/>
    <w:rsid w:val="009A010B"/>
    <w:rsid w:val="009A058E"/>
    <w:rsid w:val="009A1B77"/>
    <w:rsid w:val="009A296C"/>
    <w:rsid w:val="009A466C"/>
    <w:rsid w:val="009A4672"/>
    <w:rsid w:val="009A5276"/>
    <w:rsid w:val="009A55D3"/>
    <w:rsid w:val="009A5709"/>
    <w:rsid w:val="009A6251"/>
    <w:rsid w:val="009A730F"/>
    <w:rsid w:val="009B07A2"/>
    <w:rsid w:val="009B097E"/>
    <w:rsid w:val="009B0CAE"/>
    <w:rsid w:val="009B12E5"/>
    <w:rsid w:val="009B1398"/>
    <w:rsid w:val="009B13BF"/>
    <w:rsid w:val="009B16F1"/>
    <w:rsid w:val="009B1C61"/>
    <w:rsid w:val="009B2469"/>
    <w:rsid w:val="009B24F2"/>
    <w:rsid w:val="009B2B24"/>
    <w:rsid w:val="009B2D15"/>
    <w:rsid w:val="009B312C"/>
    <w:rsid w:val="009B342B"/>
    <w:rsid w:val="009B3560"/>
    <w:rsid w:val="009B39F7"/>
    <w:rsid w:val="009B509B"/>
    <w:rsid w:val="009B5BB4"/>
    <w:rsid w:val="009C0A66"/>
    <w:rsid w:val="009C2035"/>
    <w:rsid w:val="009C2A1C"/>
    <w:rsid w:val="009C3945"/>
    <w:rsid w:val="009C54DB"/>
    <w:rsid w:val="009C5655"/>
    <w:rsid w:val="009C576A"/>
    <w:rsid w:val="009C5A0D"/>
    <w:rsid w:val="009C63FF"/>
    <w:rsid w:val="009C6B5C"/>
    <w:rsid w:val="009C754A"/>
    <w:rsid w:val="009C7C8A"/>
    <w:rsid w:val="009D1809"/>
    <w:rsid w:val="009D1A79"/>
    <w:rsid w:val="009D3680"/>
    <w:rsid w:val="009D3BE5"/>
    <w:rsid w:val="009D4181"/>
    <w:rsid w:val="009D55CC"/>
    <w:rsid w:val="009D66AC"/>
    <w:rsid w:val="009E2403"/>
    <w:rsid w:val="009E261E"/>
    <w:rsid w:val="009E282A"/>
    <w:rsid w:val="009E2BE5"/>
    <w:rsid w:val="009E2F24"/>
    <w:rsid w:val="009E313D"/>
    <w:rsid w:val="009E39E9"/>
    <w:rsid w:val="009E46E8"/>
    <w:rsid w:val="009E5B64"/>
    <w:rsid w:val="009E71E7"/>
    <w:rsid w:val="009F01D5"/>
    <w:rsid w:val="009F0C40"/>
    <w:rsid w:val="009F13B9"/>
    <w:rsid w:val="009F1B4F"/>
    <w:rsid w:val="009F376B"/>
    <w:rsid w:val="009F474E"/>
    <w:rsid w:val="009F50E4"/>
    <w:rsid w:val="009F5692"/>
    <w:rsid w:val="009F585E"/>
    <w:rsid w:val="009F5E38"/>
    <w:rsid w:val="009F6C3E"/>
    <w:rsid w:val="009F70FB"/>
    <w:rsid w:val="009F72AA"/>
    <w:rsid w:val="009F7C76"/>
    <w:rsid w:val="00A006F1"/>
    <w:rsid w:val="00A00BF2"/>
    <w:rsid w:val="00A024DE"/>
    <w:rsid w:val="00A03381"/>
    <w:rsid w:val="00A03CA3"/>
    <w:rsid w:val="00A04BE2"/>
    <w:rsid w:val="00A05142"/>
    <w:rsid w:val="00A0538C"/>
    <w:rsid w:val="00A0574A"/>
    <w:rsid w:val="00A068CB"/>
    <w:rsid w:val="00A11013"/>
    <w:rsid w:val="00A1122C"/>
    <w:rsid w:val="00A117B0"/>
    <w:rsid w:val="00A1396A"/>
    <w:rsid w:val="00A143E6"/>
    <w:rsid w:val="00A15B02"/>
    <w:rsid w:val="00A163C1"/>
    <w:rsid w:val="00A16E44"/>
    <w:rsid w:val="00A177BB"/>
    <w:rsid w:val="00A201CE"/>
    <w:rsid w:val="00A23B3A"/>
    <w:rsid w:val="00A23F38"/>
    <w:rsid w:val="00A25E9D"/>
    <w:rsid w:val="00A26952"/>
    <w:rsid w:val="00A27018"/>
    <w:rsid w:val="00A302FF"/>
    <w:rsid w:val="00A3143C"/>
    <w:rsid w:val="00A3271D"/>
    <w:rsid w:val="00A32EE8"/>
    <w:rsid w:val="00A33232"/>
    <w:rsid w:val="00A33D83"/>
    <w:rsid w:val="00A346FD"/>
    <w:rsid w:val="00A347CE"/>
    <w:rsid w:val="00A35743"/>
    <w:rsid w:val="00A358FC"/>
    <w:rsid w:val="00A35C55"/>
    <w:rsid w:val="00A35C9D"/>
    <w:rsid w:val="00A365A2"/>
    <w:rsid w:val="00A370FC"/>
    <w:rsid w:val="00A37D13"/>
    <w:rsid w:val="00A402C2"/>
    <w:rsid w:val="00A403DE"/>
    <w:rsid w:val="00A40703"/>
    <w:rsid w:val="00A40DD5"/>
    <w:rsid w:val="00A40F88"/>
    <w:rsid w:val="00A415E0"/>
    <w:rsid w:val="00A42188"/>
    <w:rsid w:val="00A42F2D"/>
    <w:rsid w:val="00A43BAF"/>
    <w:rsid w:val="00A44097"/>
    <w:rsid w:val="00A444D1"/>
    <w:rsid w:val="00A44C76"/>
    <w:rsid w:val="00A45431"/>
    <w:rsid w:val="00A4666C"/>
    <w:rsid w:val="00A46924"/>
    <w:rsid w:val="00A469D9"/>
    <w:rsid w:val="00A469DF"/>
    <w:rsid w:val="00A46D13"/>
    <w:rsid w:val="00A46E22"/>
    <w:rsid w:val="00A47574"/>
    <w:rsid w:val="00A50833"/>
    <w:rsid w:val="00A50B7D"/>
    <w:rsid w:val="00A50D7B"/>
    <w:rsid w:val="00A5111F"/>
    <w:rsid w:val="00A511E5"/>
    <w:rsid w:val="00A513FC"/>
    <w:rsid w:val="00A519AD"/>
    <w:rsid w:val="00A51FEC"/>
    <w:rsid w:val="00A534E5"/>
    <w:rsid w:val="00A53A79"/>
    <w:rsid w:val="00A541A4"/>
    <w:rsid w:val="00A54437"/>
    <w:rsid w:val="00A5478B"/>
    <w:rsid w:val="00A54FED"/>
    <w:rsid w:val="00A55BEF"/>
    <w:rsid w:val="00A57008"/>
    <w:rsid w:val="00A6039F"/>
    <w:rsid w:val="00A6054A"/>
    <w:rsid w:val="00A60D1B"/>
    <w:rsid w:val="00A6133A"/>
    <w:rsid w:val="00A61789"/>
    <w:rsid w:val="00A61C2C"/>
    <w:rsid w:val="00A61DEB"/>
    <w:rsid w:val="00A631F5"/>
    <w:rsid w:val="00A63357"/>
    <w:rsid w:val="00A6374E"/>
    <w:rsid w:val="00A643B5"/>
    <w:rsid w:val="00A64417"/>
    <w:rsid w:val="00A64815"/>
    <w:rsid w:val="00A6592C"/>
    <w:rsid w:val="00A65E32"/>
    <w:rsid w:val="00A6643E"/>
    <w:rsid w:val="00A6743B"/>
    <w:rsid w:val="00A6781D"/>
    <w:rsid w:val="00A71403"/>
    <w:rsid w:val="00A720D2"/>
    <w:rsid w:val="00A725A8"/>
    <w:rsid w:val="00A732D8"/>
    <w:rsid w:val="00A733FD"/>
    <w:rsid w:val="00A74460"/>
    <w:rsid w:val="00A74528"/>
    <w:rsid w:val="00A76119"/>
    <w:rsid w:val="00A761A5"/>
    <w:rsid w:val="00A76822"/>
    <w:rsid w:val="00A76E8B"/>
    <w:rsid w:val="00A76FA6"/>
    <w:rsid w:val="00A7718F"/>
    <w:rsid w:val="00A80B47"/>
    <w:rsid w:val="00A80C1C"/>
    <w:rsid w:val="00A8164D"/>
    <w:rsid w:val="00A81BF2"/>
    <w:rsid w:val="00A82264"/>
    <w:rsid w:val="00A82446"/>
    <w:rsid w:val="00A83498"/>
    <w:rsid w:val="00A83836"/>
    <w:rsid w:val="00A862BB"/>
    <w:rsid w:val="00A87532"/>
    <w:rsid w:val="00A903DB"/>
    <w:rsid w:val="00A9059A"/>
    <w:rsid w:val="00A90B10"/>
    <w:rsid w:val="00A91CD7"/>
    <w:rsid w:val="00A91D33"/>
    <w:rsid w:val="00A92844"/>
    <w:rsid w:val="00A9364A"/>
    <w:rsid w:val="00A93B87"/>
    <w:rsid w:val="00A969E2"/>
    <w:rsid w:val="00A97287"/>
    <w:rsid w:val="00A972E6"/>
    <w:rsid w:val="00A9748E"/>
    <w:rsid w:val="00A9756B"/>
    <w:rsid w:val="00AA003E"/>
    <w:rsid w:val="00AA06AC"/>
    <w:rsid w:val="00AA2CBA"/>
    <w:rsid w:val="00AA5153"/>
    <w:rsid w:val="00AA55D3"/>
    <w:rsid w:val="00AA67D6"/>
    <w:rsid w:val="00AB0719"/>
    <w:rsid w:val="00AB09CE"/>
    <w:rsid w:val="00AB13B4"/>
    <w:rsid w:val="00AB1677"/>
    <w:rsid w:val="00AB4C36"/>
    <w:rsid w:val="00AB4F99"/>
    <w:rsid w:val="00AB58D4"/>
    <w:rsid w:val="00AB6A17"/>
    <w:rsid w:val="00AB7B61"/>
    <w:rsid w:val="00AB7F2B"/>
    <w:rsid w:val="00AC0075"/>
    <w:rsid w:val="00AC047D"/>
    <w:rsid w:val="00AC0920"/>
    <w:rsid w:val="00AC1931"/>
    <w:rsid w:val="00AC2618"/>
    <w:rsid w:val="00AC3138"/>
    <w:rsid w:val="00AC3159"/>
    <w:rsid w:val="00AC3410"/>
    <w:rsid w:val="00AC3517"/>
    <w:rsid w:val="00AC502D"/>
    <w:rsid w:val="00AC5530"/>
    <w:rsid w:val="00AC55D8"/>
    <w:rsid w:val="00AC6604"/>
    <w:rsid w:val="00AC6647"/>
    <w:rsid w:val="00AC6D51"/>
    <w:rsid w:val="00AD08FB"/>
    <w:rsid w:val="00AD0E26"/>
    <w:rsid w:val="00AD143F"/>
    <w:rsid w:val="00AD31F9"/>
    <w:rsid w:val="00AD46BD"/>
    <w:rsid w:val="00AD4980"/>
    <w:rsid w:val="00AD58C4"/>
    <w:rsid w:val="00AD5D2C"/>
    <w:rsid w:val="00AD60E0"/>
    <w:rsid w:val="00AD6189"/>
    <w:rsid w:val="00AD63BC"/>
    <w:rsid w:val="00AE0DA4"/>
    <w:rsid w:val="00AE2F4C"/>
    <w:rsid w:val="00AE6C82"/>
    <w:rsid w:val="00AF00C5"/>
    <w:rsid w:val="00AF1714"/>
    <w:rsid w:val="00AF1829"/>
    <w:rsid w:val="00AF1DFD"/>
    <w:rsid w:val="00AF2093"/>
    <w:rsid w:val="00AF224C"/>
    <w:rsid w:val="00AF2852"/>
    <w:rsid w:val="00AF2875"/>
    <w:rsid w:val="00AF28DC"/>
    <w:rsid w:val="00AF4219"/>
    <w:rsid w:val="00AF59E2"/>
    <w:rsid w:val="00AF64CA"/>
    <w:rsid w:val="00AF6C7B"/>
    <w:rsid w:val="00AF7617"/>
    <w:rsid w:val="00AF780E"/>
    <w:rsid w:val="00AF7903"/>
    <w:rsid w:val="00AF7CD9"/>
    <w:rsid w:val="00B004DA"/>
    <w:rsid w:val="00B006D1"/>
    <w:rsid w:val="00B00BBC"/>
    <w:rsid w:val="00B00C07"/>
    <w:rsid w:val="00B00F35"/>
    <w:rsid w:val="00B016C8"/>
    <w:rsid w:val="00B020E0"/>
    <w:rsid w:val="00B0280E"/>
    <w:rsid w:val="00B02E43"/>
    <w:rsid w:val="00B02F23"/>
    <w:rsid w:val="00B032EB"/>
    <w:rsid w:val="00B03743"/>
    <w:rsid w:val="00B03F2B"/>
    <w:rsid w:val="00B04F48"/>
    <w:rsid w:val="00B06474"/>
    <w:rsid w:val="00B07E36"/>
    <w:rsid w:val="00B1116E"/>
    <w:rsid w:val="00B1295E"/>
    <w:rsid w:val="00B129FA"/>
    <w:rsid w:val="00B133EB"/>
    <w:rsid w:val="00B13594"/>
    <w:rsid w:val="00B15283"/>
    <w:rsid w:val="00B15D7D"/>
    <w:rsid w:val="00B1689D"/>
    <w:rsid w:val="00B20832"/>
    <w:rsid w:val="00B21203"/>
    <w:rsid w:val="00B21F7C"/>
    <w:rsid w:val="00B225F8"/>
    <w:rsid w:val="00B22B6F"/>
    <w:rsid w:val="00B2342C"/>
    <w:rsid w:val="00B23708"/>
    <w:rsid w:val="00B23DEA"/>
    <w:rsid w:val="00B2613E"/>
    <w:rsid w:val="00B26643"/>
    <w:rsid w:val="00B26783"/>
    <w:rsid w:val="00B311CC"/>
    <w:rsid w:val="00B316AB"/>
    <w:rsid w:val="00B31B7E"/>
    <w:rsid w:val="00B31D9C"/>
    <w:rsid w:val="00B32432"/>
    <w:rsid w:val="00B32CC6"/>
    <w:rsid w:val="00B32EBB"/>
    <w:rsid w:val="00B33276"/>
    <w:rsid w:val="00B333B8"/>
    <w:rsid w:val="00B3355A"/>
    <w:rsid w:val="00B337C9"/>
    <w:rsid w:val="00B34EBF"/>
    <w:rsid w:val="00B34F2D"/>
    <w:rsid w:val="00B358AF"/>
    <w:rsid w:val="00B361B3"/>
    <w:rsid w:val="00B4003C"/>
    <w:rsid w:val="00B408F8"/>
    <w:rsid w:val="00B40EE7"/>
    <w:rsid w:val="00B4179A"/>
    <w:rsid w:val="00B41D10"/>
    <w:rsid w:val="00B42100"/>
    <w:rsid w:val="00B42422"/>
    <w:rsid w:val="00B4245F"/>
    <w:rsid w:val="00B425C9"/>
    <w:rsid w:val="00B42C05"/>
    <w:rsid w:val="00B42D4B"/>
    <w:rsid w:val="00B42FE2"/>
    <w:rsid w:val="00B43241"/>
    <w:rsid w:val="00B438B5"/>
    <w:rsid w:val="00B44EAE"/>
    <w:rsid w:val="00B45C00"/>
    <w:rsid w:val="00B469E1"/>
    <w:rsid w:val="00B47157"/>
    <w:rsid w:val="00B5285D"/>
    <w:rsid w:val="00B52D56"/>
    <w:rsid w:val="00B53066"/>
    <w:rsid w:val="00B546A8"/>
    <w:rsid w:val="00B553EA"/>
    <w:rsid w:val="00B55BA4"/>
    <w:rsid w:val="00B57A7A"/>
    <w:rsid w:val="00B57FAB"/>
    <w:rsid w:val="00B60A1A"/>
    <w:rsid w:val="00B60D4A"/>
    <w:rsid w:val="00B612C3"/>
    <w:rsid w:val="00B61B51"/>
    <w:rsid w:val="00B62626"/>
    <w:rsid w:val="00B6378A"/>
    <w:rsid w:val="00B65042"/>
    <w:rsid w:val="00B65DB5"/>
    <w:rsid w:val="00B65EC9"/>
    <w:rsid w:val="00B65F61"/>
    <w:rsid w:val="00B66491"/>
    <w:rsid w:val="00B67087"/>
    <w:rsid w:val="00B705D4"/>
    <w:rsid w:val="00B707FC"/>
    <w:rsid w:val="00B76F3F"/>
    <w:rsid w:val="00B76F7F"/>
    <w:rsid w:val="00B77FAA"/>
    <w:rsid w:val="00B80BBB"/>
    <w:rsid w:val="00B8145A"/>
    <w:rsid w:val="00B81ABC"/>
    <w:rsid w:val="00B82F14"/>
    <w:rsid w:val="00B8382D"/>
    <w:rsid w:val="00B84128"/>
    <w:rsid w:val="00B84371"/>
    <w:rsid w:val="00B84780"/>
    <w:rsid w:val="00B84AF7"/>
    <w:rsid w:val="00B84E01"/>
    <w:rsid w:val="00B8585E"/>
    <w:rsid w:val="00B85B94"/>
    <w:rsid w:val="00B85D7F"/>
    <w:rsid w:val="00B86D54"/>
    <w:rsid w:val="00B86D75"/>
    <w:rsid w:val="00B875A0"/>
    <w:rsid w:val="00B90851"/>
    <w:rsid w:val="00B91634"/>
    <w:rsid w:val="00B927B2"/>
    <w:rsid w:val="00B92C43"/>
    <w:rsid w:val="00B938FA"/>
    <w:rsid w:val="00B93FC4"/>
    <w:rsid w:val="00B95276"/>
    <w:rsid w:val="00B95CD8"/>
    <w:rsid w:val="00B96AFC"/>
    <w:rsid w:val="00B974AD"/>
    <w:rsid w:val="00BA0963"/>
    <w:rsid w:val="00BA3BE1"/>
    <w:rsid w:val="00BA42FD"/>
    <w:rsid w:val="00BA4425"/>
    <w:rsid w:val="00BA50C8"/>
    <w:rsid w:val="00BA51DE"/>
    <w:rsid w:val="00BA57E1"/>
    <w:rsid w:val="00BA5B5F"/>
    <w:rsid w:val="00BA5BA8"/>
    <w:rsid w:val="00BA63E4"/>
    <w:rsid w:val="00BB0357"/>
    <w:rsid w:val="00BB0369"/>
    <w:rsid w:val="00BB0C9C"/>
    <w:rsid w:val="00BB1FA4"/>
    <w:rsid w:val="00BB2243"/>
    <w:rsid w:val="00BB466F"/>
    <w:rsid w:val="00BB4F52"/>
    <w:rsid w:val="00BB51C4"/>
    <w:rsid w:val="00BB558C"/>
    <w:rsid w:val="00BB5CE5"/>
    <w:rsid w:val="00BB638B"/>
    <w:rsid w:val="00BB701C"/>
    <w:rsid w:val="00BB731C"/>
    <w:rsid w:val="00BB7398"/>
    <w:rsid w:val="00BB75FF"/>
    <w:rsid w:val="00BB7B9D"/>
    <w:rsid w:val="00BB7D22"/>
    <w:rsid w:val="00BC052C"/>
    <w:rsid w:val="00BC0531"/>
    <w:rsid w:val="00BC07A7"/>
    <w:rsid w:val="00BC0E18"/>
    <w:rsid w:val="00BC1C91"/>
    <w:rsid w:val="00BC223C"/>
    <w:rsid w:val="00BC47CF"/>
    <w:rsid w:val="00BC7BE4"/>
    <w:rsid w:val="00BD0237"/>
    <w:rsid w:val="00BD0A7B"/>
    <w:rsid w:val="00BD19B3"/>
    <w:rsid w:val="00BD213C"/>
    <w:rsid w:val="00BD40C1"/>
    <w:rsid w:val="00BD5117"/>
    <w:rsid w:val="00BD525A"/>
    <w:rsid w:val="00BD61DB"/>
    <w:rsid w:val="00BD6EA6"/>
    <w:rsid w:val="00BD7B4B"/>
    <w:rsid w:val="00BE0401"/>
    <w:rsid w:val="00BE15C0"/>
    <w:rsid w:val="00BE191A"/>
    <w:rsid w:val="00BE1B83"/>
    <w:rsid w:val="00BE3012"/>
    <w:rsid w:val="00BE30D8"/>
    <w:rsid w:val="00BE3665"/>
    <w:rsid w:val="00BE39F9"/>
    <w:rsid w:val="00BE3F57"/>
    <w:rsid w:val="00BE416C"/>
    <w:rsid w:val="00BE488E"/>
    <w:rsid w:val="00BE4C45"/>
    <w:rsid w:val="00BE4CF2"/>
    <w:rsid w:val="00BE4D23"/>
    <w:rsid w:val="00BE5AC1"/>
    <w:rsid w:val="00BE6130"/>
    <w:rsid w:val="00BE646E"/>
    <w:rsid w:val="00BE7FDF"/>
    <w:rsid w:val="00BF0726"/>
    <w:rsid w:val="00BF13A2"/>
    <w:rsid w:val="00BF274F"/>
    <w:rsid w:val="00BF3012"/>
    <w:rsid w:val="00BF326A"/>
    <w:rsid w:val="00BF33B0"/>
    <w:rsid w:val="00BF495E"/>
    <w:rsid w:val="00BF4C85"/>
    <w:rsid w:val="00BF54B7"/>
    <w:rsid w:val="00BF600D"/>
    <w:rsid w:val="00BF6167"/>
    <w:rsid w:val="00BF7021"/>
    <w:rsid w:val="00C00440"/>
    <w:rsid w:val="00C00862"/>
    <w:rsid w:val="00C00DFC"/>
    <w:rsid w:val="00C010D1"/>
    <w:rsid w:val="00C017C9"/>
    <w:rsid w:val="00C02C43"/>
    <w:rsid w:val="00C04D71"/>
    <w:rsid w:val="00C04FC1"/>
    <w:rsid w:val="00C0508C"/>
    <w:rsid w:val="00C05775"/>
    <w:rsid w:val="00C05781"/>
    <w:rsid w:val="00C05977"/>
    <w:rsid w:val="00C059CE"/>
    <w:rsid w:val="00C05AB4"/>
    <w:rsid w:val="00C067A2"/>
    <w:rsid w:val="00C067D3"/>
    <w:rsid w:val="00C06919"/>
    <w:rsid w:val="00C06EA0"/>
    <w:rsid w:val="00C06F0B"/>
    <w:rsid w:val="00C0753F"/>
    <w:rsid w:val="00C079AF"/>
    <w:rsid w:val="00C07D5D"/>
    <w:rsid w:val="00C105C9"/>
    <w:rsid w:val="00C116DA"/>
    <w:rsid w:val="00C1297C"/>
    <w:rsid w:val="00C1411A"/>
    <w:rsid w:val="00C1414D"/>
    <w:rsid w:val="00C15226"/>
    <w:rsid w:val="00C15909"/>
    <w:rsid w:val="00C15DBA"/>
    <w:rsid w:val="00C1637A"/>
    <w:rsid w:val="00C1644B"/>
    <w:rsid w:val="00C1698A"/>
    <w:rsid w:val="00C17D8C"/>
    <w:rsid w:val="00C207C5"/>
    <w:rsid w:val="00C21A69"/>
    <w:rsid w:val="00C22583"/>
    <w:rsid w:val="00C22632"/>
    <w:rsid w:val="00C22A4E"/>
    <w:rsid w:val="00C23175"/>
    <w:rsid w:val="00C2673F"/>
    <w:rsid w:val="00C27DEE"/>
    <w:rsid w:val="00C30176"/>
    <w:rsid w:val="00C30FBA"/>
    <w:rsid w:val="00C3137E"/>
    <w:rsid w:val="00C33DCF"/>
    <w:rsid w:val="00C3426A"/>
    <w:rsid w:val="00C34282"/>
    <w:rsid w:val="00C35844"/>
    <w:rsid w:val="00C3594A"/>
    <w:rsid w:val="00C362C5"/>
    <w:rsid w:val="00C37F7D"/>
    <w:rsid w:val="00C401F3"/>
    <w:rsid w:val="00C4292E"/>
    <w:rsid w:val="00C42C22"/>
    <w:rsid w:val="00C44473"/>
    <w:rsid w:val="00C444AB"/>
    <w:rsid w:val="00C447A7"/>
    <w:rsid w:val="00C45B0F"/>
    <w:rsid w:val="00C46008"/>
    <w:rsid w:val="00C461CD"/>
    <w:rsid w:val="00C52828"/>
    <w:rsid w:val="00C52AF5"/>
    <w:rsid w:val="00C532BB"/>
    <w:rsid w:val="00C535AA"/>
    <w:rsid w:val="00C537BB"/>
    <w:rsid w:val="00C5398D"/>
    <w:rsid w:val="00C544C3"/>
    <w:rsid w:val="00C54A73"/>
    <w:rsid w:val="00C54CF6"/>
    <w:rsid w:val="00C54EB0"/>
    <w:rsid w:val="00C5590D"/>
    <w:rsid w:val="00C569CA"/>
    <w:rsid w:val="00C56F31"/>
    <w:rsid w:val="00C61F37"/>
    <w:rsid w:val="00C62C72"/>
    <w:rsid w:val="00C63005"/>
    <w:rsid w:val="00C632E2"/>
    <w:rsid w:val="00C645F5"/>
    <w:rsid w:val="00C64623"/>
    <w:rsid w:val="00C648CF"/>
    <w:rsid w:val="00C64D55"/>
    <w:rsid w:val="00C650B0"/>
    <w:rsid w:val="00C65242"/>
    <w:rsid w:val="00C653AF"/>
    <w:rsid w:val="00C655E9"/>
    <w:rsid w:val="00C670E3"/>
    <w:rsid w:val="00C67312"/>
    <w:rsid w:val="00C70885"/>
    <w:rsid w:val="00C73207"/>
    <w:rsid w:val="00C73222"/>
    <w:rsid w:val="00C73486"/>
    <w:rsid w:val="00C73DCD"/>
    <w:rsid w:val="00C7503D"/>
    <w:rsid w:val="00C75119"/>
    <w:rsid w:val="00C771B7"/>
    <w:rsid w:val="00C774CD"/>
    <w:rsid w:val="00C77C1B"/>
    <w:rsid w:val="00C77CD0"/>
    <w:rsid w:val="00C77E97"/>
    <w:rsid w:val="00C77F28"/>
    <w:rsid w:val="00C814F3"/>
    <w:rsid w:val="00C83089"/>
    <w:rsid w:val="00C831E0"/>
    <w:rsid w:val="00C836F1"/>
    <w:rsid w:val="00C83EF0"/>
    <w:rsid w:val="00C842F7"/>
    <w:rsid w:val="00C84563"/>
    <w:rsid w:val="00C84732"/>
    <w:rsid w:val="00C85209"/>
    <w:rsid w:val="00C85CE8"/>
    <w:rsid w:val="00C862BF"/>
    <w:rsid w:val="00C86ECB"/>
    <w:rsid w:val="00C87A78"/>
    <w:rsid w:val="00C90582"/>
    <w:rsid w:val="00C90FB6"/>
    <w:rsid w:val="00C91CBD"/>
    <w:rsid w:val="00C93786"/>
    <w:rsid w:val="00C93FE4"/>
    <w:rsid w:val="00C944F4"/>
    <w:rsid w:val="00C94901"/>
    <w:rsid w:val="00C95282"/>
    <w:rsid w:val="00C97D22"/>
    <w:rsid w:val="00CA070B"/>
    <w:rsid w:val="00CA25E9"/>
    <w:rsid w:val="00CA2EEB"/>
    <w:rsid w:val="00CA33A8"/>
    <w:rsid w:val="00CA41F7"/>
    <w:rsid w:val="00CA47EC"/>
    <w:rsid w:val="00CA5665"/>
    <w:rsid w:val="00CA5A09"/>
    <w:rsid w:val="00CA796D"/>
    <w:rsid w:val="00CA79C2"/>
    <w:rsid w:val="00CB0139"/>
    <w:rsid w:val="00CB1419"/>
    <w:rsid w:val="00CB1929"/>
    <w:rsid w:val="00CB2686"/>
    <w:rsid w:val="00CB3CFC"/>
    <w:rsid w:val="00CB41F4"/>
    <w:rsid w:val="00CB4577"/>
    <w:rsid w:val="00CB4F33"/>
    <w:rsid w:val="00CB620C"/>
    <w:rsid w:val="00CB695A"/>
    <w:rsid w:val="00CB6E46"/>
    <w:rsid w:val="00CC0149"/>
    <w:rsid w:val="00CC0293"/>
    <w:rsid w:val="00CC0F1C"/>
    <w:rsid w:val="00CC148C"/>
    <w:rsid w:val="00CC1556"/>
    <w:rsid w:val="00CC1691"/>
    <w:rsid w:val="00CC170E"/>
    <w:rsid w:val="00CC182B"/>
    <w:rsid w:val="00CC2574"/>
    <w:rsid w:val="00CC2B7D"/>
    <w:rsid w:val="00CC4029"/>
    <w:rsid w:val="00CC4D2B"/>
    <w:rsid w:val="00CC54E0"/>
    <w:rsid w:val="00CC6801"/>
    <w:rsid w:val="00CC68A6"/>
    <w:rsid w:val="00CC761B"/>
    <w:rsid w:val="00CC7E31"/>
    <w:rsid w:val="00CD0110"/>
    <w:rsid w:val="00CD07E5"/>
    <w:rsid w:val="00CD09D4"/>
    <w:rsid w:val="00CD0E84"/>
    <w:rsid w:val="00CD103E"/>
    <w:rsid w:val="00CD1BBB"/>
    <w:rsid w:val="00CD208D"/>
    <w:rsid w:val="00CD2931"/>
    <w:rsid w:val="00CD29BB"/>
    <w:rsid w:val="00CD3834"/>
    <w:rsid w:val="00CD39C5"/>
    <w:rsid w:val="00CD3D8D"/>
    <w:rsid w:val="00CD5525"/>
    <w:rsid w:val="00CD564C"/>
    <w:rsid w:val="00CD6E63"/>
    <w:rsid w:val="00CE05F8"/>
    <w:rsid w:val="00CE0C5E"/>
    <w:rsid w:val="00CE1351"/>
    <w:rsid w:val="00CE18F5"/>
    <w:rsid w:val="00CE3587"/>
    <w:rsid w:val="00CE5161"/>
    <w:rsid w:val="00CE5473"/>
    <w:rsid w:val="00CE58EE"/>
    <w:rsid w:val="00CE6066"/>
    <w:rsid w:val="00CE617E"/>
    <w:rsid w:val="00CE6F66"/>
    <w:rsid w:val="00CE729D"/>
    <w:rsid w:val="00CE7837"/>
    <w:rsid w:val="00CE7C56"/>
    <w:rsid w:val="00CF024F"/>
    <w:rsid w:val="00CF17A9"/>
    <w:rsid w:val="00CF17C6"/>
    <w:rsid w:val="00CF2447"/>
    <w:rsid w:val="00CF2470"/>
    <w:rsid w:val="00CF33E5"/>
    <w:rsid w:val="00CF40DC"/>
    <w:rsid w:val="00CF48E4"/>
    <w:rsid w:val="00CF5C1D"/>
    <w:rsid w:val="00CF6736"/>
    <w:rsid w:val="00CF7EF1"/>
    <w:rsid w:val="00D0185A"/>
    <w:rsid w:val="00D02256"/>
    <w:rsid w:val="00D027FB"/>
    <w:rsid w:val="00D032AF"/>
    <w:rsid w:val="00D03482"/>
    <w:rsid w:val="00D03673"/>
    <w:rsid w:val="00D039A3"/>
    <w:rsid w:val="00D0400C"/>
    <w:rsid w:val="00D04670"/>
    <w:rsid w:val="00D04DCA"/>
    <w:rsid w:val="00D050C5"/>
    <w:rsid w:val="00D0532C"/>
    <w:rsid w:val="00D054E6"/>
    <w:rsid w:val="00D059D5"/>
    <w:rsid w:val="00D0690E"/>
    <w:rsid w:val="00D06F61"/>
    <w:rsid w:val="00D06FAB"/>
    <w:rsid w:val="00D07349"/>
    <w:rsid w:val="00D0760D"/>
    <w:rsid w:val="00D10B5E"/>
    <w:rsid w:val="00D11928"/>
    <w:rsid w:val="00D133F0"/>
    <w:rsid w:val="00D13787"/>
    <w:rsid w:val="00D15353"/>
    <w:rsid w:val="00D15D61"/>
    <w:rsid w:val="00D16BA8"/>
    <w:rsid w:val="00D176B1"/>
    <w:rsid w:val="00D211BD"/>
    <w:rsid w:val="00D21CDA"/>
    <w:rsid w:val="00D22241"/>
    <w:rsid w:val="00D23A09"/>
    <w:rsid w:val="00D24466"/>
    <w:rsid w:val="00D24A75"/>
    <w:rsid w:val="00D2561D"/>
    <w:rsid w:val="00D25C17"/>
    <w:rsid w:val="00D26058"/>
    <w:rsid w:val="00D27715"/>
    <w:rsid w:val="00D2778E"/>
    <w:rsid w:val="00D311A7"/>
    <w:rsid w:val="00D3182D"/>
    <w:rsid w:val="00D31B96"/>
    <w:rsid w:val="00D3278A"/>
    <w:rsid w:val="00D3380E"/>
    <w:rsid w:val="00D33A41"/>
    <w:rsid w:val="00D342B5"/>
    <w:rsid w:val="00D34747"/>
    <w:rsid w:val="00D34C78"/>
    <w:rsid w:val="00D353A1"/>
    <w:rsid w:val="00D353F2"/>
    <w:rsid w:val="00D3641E"/>
    <w:rsid w:val="00D36775"/>
    <w:rsid w:val="00D4040A"/>
    <w:rsid w:val="00D40EF1"/>
    <w:rsid w:val="00D41B22"/>
    <w:rsid w:val="00D4247C"/>
    <w:rsid w:val="00D42ED6"/>
    <w:rsid w:val="00D4536F"/>
    <w:rsid w:val="00D4659D"/>
    <w:rsid w:val="00D46AB1"/>
    <w:rsid w:val="00D46ABA"/>
    <w:rsid w:val="00D46AD1"/>
    <w:rsid w:val="00D46CF3"/>
    <w:rsid w:val="00D46E3E"/>
    <w:rsid w:val="00D476CA"/>
    <w:rsid w:val="00D47D46"/>
    <w:rsid w:val="00D507A1"/>
    <w:rsid w:val="00D5134D"/>
    <w:rsid w:val="00D53148"/>
    <w:rsid w:val="00D531BA"/>
    <w:rsid w:val="00D5383F"/>
    <w:rsid w:val="00D5482C"/>
    <w:rsid w:val="00D5494C"/>
    <w:rsid w:val="00D54A45"/>
    <w:rsid w:val="00D54C24"/>
    <w:rsid w:val="00D5593F"/>
    <w:rsid w:val="00D57159"/>
    <w:rsid w:val="00D57721"/>
    <w:rsid w:val="00D578BC"/>
    <w:rsid w:val="00D60641"/>
    <w:rsid w:val="00D61328"/>
    <w:rsid w:val="00D6195F"/>
    <w:rsid w:val="00D62200"/>
    <w:rsid w:val="00D629CF"/>
    <w:rsid w:val="00D63DA8"/>
    <w:rsid w:val="00D64414"/>
    <w:rsid w:val="00D648BF"/>
    <w:rsid w:val="00D64C42"/>
    <w:rsid w:val="00D656E4"/>
    <w:rsid w:val="00D657F4"/>
    <w:rsid w:val="00D65D8E"/>
    <w:rsid w:val="00D66463"/>
    <w:rsid w:val="00D66797"/>
    <w:rsid w:val="00D7035F"/>
    <w:rsid w:val="00D708CD"/>
    <w:rsid w:val="00D716A5"/>
    <w:rsid w:val="00D722E8"/>
    <w:rsid w:val="00D7241D"/>
    <w:rsid w:val="00D724E2"/>
    <w:rsid w:val="00D72928"/>
    <w:rsid w:val="00D72EFF"/>
    <w:rsid w:val="00D7312D"/>
    <w:rsid w:val="00D735A9"/>
    <w:rsid w:val="00D74592"/>
    <w:rsid w:val="00D76233"/>
    <w:rsid w:val="00D77650"/>
    <w:rsid w:val="00D80286"/>
    <w:rsid w:val="00D80FD7"/>
    <w:rsid w:val="00D8186E"/>
    <w:rsid w:val="00D81A27"/>
    <w:rsid w:val="00D81B49"/>
    <w:rsid w:val="00D826FE"/>
    <w:rsid w:val="00D827AA"/>
    <w:rsid w:val="00D829F6"/>
    <w:rsid w:val="00D83209"/>
    <w:rsid w:val="00D842CD"/>
    <w:rsid w:val="00D842F0"/>
    <w:rsid w:val="00D846A3"/>
    <w:rsid w:val="00D84991"/>
    <w:rsid w:val="00D84C27"/>
    <w:rsid w:val="00D84D02"/>
    <w:rsid w:val="00D856F5"/>
    <w:rsid w:val="00D8705F"/>
    <w:rsid w:val="00D878E5"/>
    <w:rsid w:val="00D87B4C"/>
    <w:rsid w:val="00D9044D"/>
    <w:rsid w:val="00D909A3"/>
    <w:rsid w:val="00D91620"/>
    <w:rsid w:val="00D91B08"/>
    <w:rsid w:val="00D93269"/>
    <w:rsid w:val="00D962DD"/>
    <w:rsid w:val="00D96D44"/>
    <w:rsid w:val="00D974E8"/>
    <w:rsid w:val="00DA1F3E"/>
    <w:rsid w:val="00DA20D9"/>
    <w:rsid w:val="00DA3585"/>
    <w:rsid w:val="00DA4134"/>
    <w:rsid w:val="00DA41C6"/>
    <w:rsid w:val="00DA4B86"/>
    <w:rsid w:val="00DA5039"/>
    <w:rsid w:val="00DA73C5"/>
    <w:rsid w:val="00DB0963"/>
    <w:rsid w:val="00DB1491"/>
    <w:rsid w:val="00DB18BF"/>
    <w:rsid w:val="00DB2121"/>
    <w:rsid w:val="00DB5A0D"/>
    <w:rsid w:val="00DB5A25"/>
    <w:rsid w:val="00DB7AD1"/>
    <w:rsid w:val="00DC0D88"/>
    <w:rsid w:val="00DC1421"/>
    <w:rsid w:val="00DC1460"/>
    <w:rsid w:val="00DC17B5"/>
    <w:rsid w:val="00DC1D9C"/>
    <w:rsid w:val="00DC2309"/>
    <w:rsid w:val="00DC3518"/>
    <w:rsid w:val="00DC3A01"/>
    <w:rsid w:val="00DC4C6C"/>
    <w:rsid w:val="00DC5B26"/>
    <w:rsid w:val="00DC5C43"/>
    <w:rsid w:val="00DC5D92"/>
    <w:rsid w:val="00DC75EF"/>
    <w:rsid w:val="00DC7E8B"/>
    <w:rsid w:val="00DD1185"/>
    <w:rsid w:val="00DD2179"/>
    <w:rsid w:val="00DD27CA"/>
    <w:rsid w:val="00DD30D9"/>
    <w:rsid w:val="00DD33A0"/>
    <w:rsid w:val="00DD3DCC"/>
    <w:rsid w:val="00DD4734"/>
    <w:rsid w:val="00DD4E53"/>
    <w:rsid w:val="00DD62CB"/>
    <w:rsid w:val="00DD68D0"/>
    <w:rsid w:val="00DD748F"/>
    <w:rsid w:val="00DE0587"/>
    <w:rsid w:val="00DE09AD"/>
    <w:rsid w:val="00DE16E9"/>
    <w:rsid w:val="00DE311A"/>
    <w:rsid w:val="00DE36A4"/>
    <w:rsid w:val="00DE4B58"/>
    <w:rsid w:val="00DE4B7B"/>
    <w:rsid w:val="00DE5FB4"/>
    <w:rsid w:val="00DE6545"/>
    <w:rsid w:val="00DE66C1"/>
    <w:rsid w:val="00DE699B"/>
    <w:rsid w:val="00DE75AF"/>
    <w:rsid w:val="00DE7A12"/>
    <w:rsid w:val="00DE7C74"/>
    <w:rsid w:val="00DF07D6"/>
    <w:rsid w:val="00DF1060"/>
    <w:rsid w:val="00DF10F1"/>
    <w:rsid w:val="00DF13BD"/>
    <w:rsid w:val="00DF14BE"/>
    <w:rsid w:val="00DF187C"/>
    <w:rsid w:val="00DF201E"/>
    <w:rsid w:val="00DF244D"/>
    <w:rsid w:val="00DF2514"/>
    <w:rsid w:val="00DF35B4"/>
    <w:rsid w:val="00DF3936"/>
    <w:rsid w:val="00DF3C30"/>
    <w:rsid w:val="00DF3FD9"/>
    <w:rsid w:val="00DF4293"/>
    <w:rsid w:val="00DF4382"/>
    <w:rsid w:val="00DF46B9"/>
    <w:rsid w:val="00DF5393"/>
    <w:rsid w:val="00DF54ED"/>
    <w:rsid w:val="00DF5A85"/>
    <w:rsid w:val="00DF5C1B"/>
    <w:rsid w:val="00DF6A21"/>
    <w:rsid w:val="00DF71B1"/>
    <w:rsid w:val="00DF758D"/>
    <w:rsid w:val="00DF7728"/>
    <w:rsid w:val="00DF7FBC"/>
    <w:rsid w:val="00E0043A"/>
    <w:rsid w:val="00E00DC1"/>
    <w:rsid w:val="00E0146A"/>
    <w:rsid w:val="00E01AB3"/>
    <w:rsid w:val="00E0258F"/>
    <w:rsid w:val="00E02721"/>
    <w:rsid w:val="00E02AA1"/>
    <w:rsid w:val="00E02BD8"/>
    <w:rsid w:val="00E02FF8"/>
    <w:rsid w:val="00E0311B"/>
    <w:rsid w:val="00E033E8"/>
    <w:rsid w:val="00E040BC"/>
    <w:rsid w:val="00E040D0"/>
    <w:rsid w:val="00E05D70"/>
    <w:rsid w:val="00E07451"/>
    <w:rsid w:val="00E10605"/>
    <w:rsid w:val="00E1161B"/>
    <w:rsid w:val="00E12579"/>
    <w:rsid w:val="00E12974"/>
    <w:rsid w:val="00E12BAA"/>
    <w:rsid w:val="00E131CC"/>
    <w:rsid w:val="00E143E1"/>
    <w:rsid w:val="00E14CFB"/>
    <w:rsid w:val="00E159CF"/>
    <w:rsid w:val="00E165A4"/>
    <w:rsid w:val="00E1707A"/>
    <w:rsid w:val="00E21133"/>
    <w:rsid w:val="00E21550"/>
    <w:rsid w:val="00E21B42"/>
    <w:rsid w:val="00E21F4C"/>
    <w:rsid w:val="00E22338"/>
    <w:rsid w:val="00E2233B"/>
    <w:rsid w:val="00E22485"/>
    <w:rsid w:val="00E2313E"/>
    <w:rsid w:val="00E24CA6"/>
    <w:rsid w:val="00E24CB3"/>
    <w:rsid w:val="00E25560"/>
    <w:rsid w:val="00E25CD0"/>
    <w:rsid w:val="00E25E79"/>
    <w:rsid w:val="00E25F04"/>
    <w:rsid w:val="00E2658C"/>
    <w:rsid w:val="00E26CA6"/>
    <w:rsid w:val="00E306E4"/>
    <w:rsid w:val="00E313C6"/>
    <w:rsid w:val="00E3163C"/>
    <w:rsid w:val="00E322D6"/>
    <w:rsid w:val="00E32DF3"/>
    <w:rsid w:val="00E3319B"/>
    <w:rsid w:val="00E33364"/>
    <w:rsid w:val="00E35740"/>
    <w:rsid w:val="00E35E4A"/>
    <w:rsid w:val="00E360BC"/>
    <w:rsid w:val="00E361C1"/>
    <w:rsid w:val="00E36D50"/>
    <w:rsid w:val="00E36FD4"/>
    <w:rsid w:val="00E373AC"/>
    <w:rsid w:val="00E37553"/>
    <w:rsid w:val="00E37BFD"/>
    <w:rsid w:val="00E40AA7"/>
    <w:rsid w:val="00E414B7"/>
    <w:rsid w:val="00E41AA0"/>
    <w:rsid w:val="00E42408"/>
    <w:rsid w:val="00E42513"/>
    <w:rsid w:val="00E441A5"/>
    <w:rsid w:val="00E442A3"/>
    <w:rsid w:val="00E44D9B"/>
    <w:rsid w:val="00E45327"/>
    <w:rsid w:val="00E45613"/>
    <w:rsid w:val="00E457AD"/>
    <w:rsid w:val="00E45F03"/>
    <w:rsid w:val="00E47066"/>
    <w:rsid w:val="00E4764F"/>
    <w:rsid w:val="00E47CE0"/>
    <w:rsid w:val="00E509DA"/>
    <w:rsid w:val="00E50BE9"/>
    <w:rsid w:val="00E5110C"/>
    <w:rsid w:val="00E51316"/>
    <w:rsid w:val="00E52C1A"/>
    <w:rsid w:val="00E53429"/>
    <w:rsid w:val="00E54777"/>
    <w:rsid w:val="00E5539D"/>
    <w:rsid w:val="00E556DD"/>
    <w:rsid w:val="00E55E36"/>
    <w:rsid w:val="00E56863"/>
    <w:rsid w:val="00E57270"/>
    <w:rsid w:val="00E578A6"/>
    <w:rsid w:val="00E578A8"/>
    <w:rsid w:val="00E57905"/>
    <w:rsid w:val="00E57AF9"/>
    <w:rsid w:val="00E6004B"/>
    <w:rsid w:val="00E60989"/>
    <w:rsid w:val="00E61954"/>
    <w:rsid w:val="00E61B95"/>
    <w:rsid w:val="00E61CB6"/>
    <w:rsid w:val="00E61DFB"/>
    <w:rsid w:val="00E63102"/>
    <w:rsid w:val="00E63131"/>
    <w:rsid w:val="00E64097"/>
    <w:rsid w:val="00E64A1A"/>
    <w:rsid w:val="00E65C4F"/>
    <w:rsid w:val="00E67B32"/>
    <w:rsid w:val="00E73A0F"/>
    <w:rsid w:val="00E73FE4"/>
    <w:rsid w:val="00E7441C"/>
    <w:rsid w:val="00E74FF9"/>
    <w:rsid w:val="00E7514B"/>
    <w:rsid w:val="00E75394"/>
    <w:rsid w:val="00E755FB"/>
    <w:rsid w:val="00E763C0"/>
    <w:rsid w:val="00E802B3"/>
    <w:rsid w:val="00E811FC"/>
    <w:rsid w:val="00E8136D"/>
    <w:rsid w:val="00E81916"/>
    <w:rsid w:val="00E81E47"/>
    <w:rsid w:val="00E821C9"/>
    <w:rsid w:val="00E82244"/>
    <w:rsid w:val="00E8262A"/>
    <w:rsid w:val="00E83165"/>
    <w:rsid w:val="00E83AE4"/>
    <w:rsid w:val="00E83EA9"/>
    <w:rsid w:val="00E841B2"/>
    <w:rsid w:val="00E847B5"/>
    <w:rsid w:val="00E84DB1"/>
    <w:rsid w:val="00E85B1C"/>
    <w:rsid w:val="00E87D32"/>
    <w:rsid w:val="00E90BE8"/>
    <w:rsid w:val="00E9111C"/>
    <w:rsid w:val="00E9169C"/>
    <w:rsid w:val="00E91FDD"/>
    <w:rsid w:val="00E92473"/>
    <w:rsid w:val="00E92908"/>
    <w:rsid w:val="00E92990"/>
    <w:rsid w:val="00E94CE7"/>
    <w:rsid w:val="00E95071"/>
    <w:rsid w:val="00E9538D"/>
    <w:rsid w:val="00E96029"/>
    <w:rsid w:val="00E96399"/>
    <w:rsid w:val="00E96732"/>
    <w:rsid w:val="00E978B9"/>
    <w:rsid w:val="00E97E82"/>
    <w:rsid w:val="00EA1F94"/>
    <w:rsid w:val="00EA2049"/>
    <w:rsid w:val="00EA3710"/>
    <w:rsid w:val="00EA3741"/>
    <w:rsid w:val="00EA3D69"/>
    <w:rsid w:val="00EA3EDC"/>
    <w:rsid w:val="00EA45FD"/>
    <w:rsid w:val="00EA4ADF"/>
    <w:rsid w:val="00EA5878"/>
    <w:rsid w:val="00EA69DF"/>
    <w:rsid w:val="00EB056B"/>
    <w:rsid w:val="00EB1E65"/>
    <w:rsid w:val="00EB29B2"/>
    <w:rsid w:val="00EB34FE"/>
    <w:rsid w:val="00EB3501"/>
    <w:rsid w:val="00EB4563"/>
    <w:rsid w:val="00EB58CA"/>
    <w:rsid w:val="00EB63C5"/>
    <w:rsid w:val="00EB6BB0"/>
    <w:rsid w:val="00EB72D8"/>
    <w:rsid w:val="00EB7459"/>
    <w:rsid w:val="00EC0021"/>
    <w:rsid w:val="00EC08E2"/>
    <w:rsid w:val="00EC0F30"/>
    <w:rsid w:val="00EC2149"/>
    <w:rsid w:val="00EC26BE"/>
    <w:rsid w:val="00EC32AC"/>
    <w:rsid w:val="00EC32CC"/>
    <w:rsid w:val="00EC3400"/>
    <w:rsid w:val="00EC361D"/>
    <w:rsid w:val="00EC36F1"/>
    <w:rsid w:val="00EC3C6B"/>
    <w:rsid w:val="00EC41B4"/>
    <w:rsid w:val="00EC423E"/>
    <w:rsid w:val="00EC53C8"/>
    <w:rsid w:val="00EC56A9"/>
    <w:rsid w:val="00EC5873"/>
    <w:rsid w:val="00EC7AB0"/>
    <w:rsid w:val="00ED1F48"/>
    <w:rsid w:val="00ED20D3"/>
    <w:rsid w:val="00ED3E2B"/>
    <w:rsid w:val="00ED4897"/>
    <w:rsid w:val="00ED5238"/>
    <w:rsid w:val="00EE049F"/>
    <w:rsid w:val="00EE159B"/>
    <w:rsid w:val="00EE25C5"/>
    <w:rsid w:val="00EE370B"/>
    <w:rsid w:val="00EE45E0"/>
    <w:rsid w:val="00EE51E2"/>
    <w:rsid w:val="00EE5365"/>
    <w:rsid w:val="00EE5520"/>
    <w:rsid w:val="00EE5691"/>
    <w:rsid w:val="00EE6244"/>
    <w:rsid w:val="00EE7427"/>
    <w:rsid w:val="00EF0997"/>
    <w:rsid w:val="00EF113D"/>
    <w:rsid w:val="00EF23B7"/>
    <w:rsid w:val="00EF2A14"/>
    <w:rsid w:val="00EF2DB0"/>
    <w:rsid w:val="00EF2F6E"/>
    <w:rsid w:val="00EF3B90"/>
    <w:rsid w:val="00EF49B8"/>
    <w:rsid w:val="00EF595E"/>
    <w:rsid w:val="00EF6A84"/>
    <w:rsid w:val="00F00934"/>
    <w:rsid w:val="00F00B61"/>
    <w:rsid w:val="00F01FFC"/>
    <w:rsid w:val="00F02EAA"/>
    <w:rsid w:val="00F056FA"/>
    <w:rsid w:val="00F06DC5"/>
    <w:rsid w:val="00F076A4"/>
    <w:rsid w:val="00F079BD"/>
    <w:rsid w:val="00F07A3F"/>
    <w:rsid w:val="00F10B50"/>
    <w:rsid w:val="00F1178A"/>
    <w:rsid w:val="00F121B9"/>
    <w:rsid w:val="00F144AA"/>
    <w:rsid w:val="00F15FDF"/>
    <w:rsid w:val="00F167F5"/>
    <w:rsid w:val="00F16F01"/>
    <w:rsid w:val="00F17D71"/>
    <w:rsid w:val="00F21A38"/>
    <w:rsid w:val="00F21B38"/>
    <w:rsid w:val="00F220A0"/>
    <w:rsid w:val="00F23C6C"/>
    <w:rsid w:val="00F2461A"/>
    <w:rsid w:val="00F2471E"/>
    <w:rsid w:val="00F263ED"/>
    <w:rsid w:val="00F269B0"/>
    <w:rsid w:val="00F30045"/>
    <w:rsid w:val="00F30FF9"/>
    <w:rsid w:val="00F316D2"/>
    <w:rsid w:val="00F3178D"/>
    <w:rsid w:val="00F31C4A"/>
    <w:rsid w:val="00F31CCB"/>
    <w:rsid w:val="00F3320C"/>
    <w:rsid w:val="00F3401F"/>
    <w:rsid w:val="00F35095"/>
    <w:rsid w:val="00F35723"/>
    <w:rsid w:val="00F36B4F"/>
    <w:rsid w:val="00F40542"/>
    <w:rsid w:val="00F40B68"/>
    <w:rsid w:val="00F40BFE"/>
    <w:rsid w:val="00F42099"/>
    <w:rsid w:val="00F425A8"/>
    <w:rsid w:val="00F44EC4"/>
    <w:rsid w:val="00F4627C"/>
    <w:rsid w:val="00F465A2"/>
    <w:rsid w:val="00F50DDB"/>
    <w:rsid w:val="00F511E3"/>
    <w:rsid w:val="00F520F8"/>
    <w:rsid w:val="00F5344C"/>
    <w:rsid w:val="00F5394F"/>
    <w:rsid w:val="00F53D3A"/>
    <w:rsid w:val="00F53FA5"/>
    <w:rsid w:val="00F545C7"/>
    <w:rsid w:val="00F54ACD"/>
    <w:rsid w:val="00F55E6E"/>
    <w:rsid w:val="00F56093"/>
    <w:rsid w:val="00F57486"/>
    <w:rsid w:val="00F5793B"/>
    <w:rsid w:val="00F579C7"/>
    <w:rsid w:val="00F60419"/>
    <w:rsid w:val="00F60EFE"/>
    <w:rsid w:val="00F6193D"/>
    <w:rsid w:val="00F61DA3"/>
    <w:rsid w:val="00F6237C"/>
    <w:rsid w:val="00F624F4"/>
    <w:rsid w:val="00F62792"/>
    <w:rsid w:val="00F62C2A"/>
    <w:rsid w:val="00F62F2D"/>
    <w:rsid w:val="00F6364E"/>
    <w:rsid w:val="00F63A22"/>
    <w:rsid w:val="00F63D59"/>
    <w:rsid w:val="00F64C04"/>
    <w:rsid w:val="00F664A9"/>
    <w:rsid w:val="00F66BB8"/>
    <w:rsid w:val="00F66EAF"/>
    <w:rsid w:val="00F674BE"/>
    <w:rsid w:val="00F677F9"/>
    <w:rsid w:val="00F7007F"/>
    <w:rsid w:val="00F70B85"/>
    <w:rsid w:val="00F742E1"/>
    <w:rsid w:val="00F745E6"/>
    <w:rsid w:val="00F75A0F"/>
    <w:rsid w:val="00F7677F"/>
    <w:rsid w:val="00F76B0C"/>
    <w:rsid w:val="00F76EEF"/>
    <w:rsid w:val="00F774BD"/>
    <w:rsid w:val="00F819CC"/>
    <w:rsid w:val="00F81A00"/>
    <w:rsid w:val="00F81ED2"/>
    <w:rsid w:val="00F82E88"/>
    <w:rsid w:val="00F83009"/>
    <w:rsid w:val="00F830F3"/>
    <w:rsid w:val="00F83561"/>
    <w:rsid w:val="00F83A17"/>
    <w:rsid w:val="00F84708"/>
    <w:rsid w:val="00F84E48"/>
    <w:rsid w:val="00F851B5"/>
    <w:rsid w:val="00F852AE"/>
    <w:rsid w:val="00F854BF"/>
    <w:rsid w:val="00F857A5"/>
    <w:rsid w:val="00F86094"/>
    <w:rsid w:val="00F86517"/>
    <w:rsid w:val="00F86742"/>
    <w:rsid w:val="00F8696E"/>
    <w:rsid w:val="00F86E37"/>
    <w:rsid w:val="00F875EC"/>
    <w:rsid w:val="00F87A77"/>
    <w:rsid w:val="00F9054B"/>
    <w:rsid w:val="00F91299"/>
    <w:rsid w:val="00F918BA"/>
    <w:rsid w:val="00F91E91"/>
    <w:rsid w:val="00F91EBB"/>
    <w:rsid w:val="00F9246D"/>
    <w:rsid w:val="00F93E29"/>
    <w:rsid w:val="00F94BBF"/>
    <w:rsid w:val="00F95864"/>
    <w:rsid w:val="00F966BC"/>
    <w:rsid w:val="00F97106"/>
    <w:rsid w:val="00F976F1"/>
    <w:rsid w:val="00FA00E6"/>
    <w:rsid w:val="00FA086C"/>
    <w:rsid w:val="00FA0DD8"/>
    <w:rsid w:val="00FA229A"/>
    <w:rsid w:val="00FA2A13"/>
    <w:rsid w:val="00FA357B"/>
    <w:rsid w:val="00FA36E4"/>
    <w:rsid w:val="00FA4484"/>
    <w:rsid w:val="00FA46F3"/>
    <w:rsid w:val="00FA4FD7"/>
    <w:rsid w:val="00FA6715"/>
    <w:rsid w:val="00FA6BE6"/>
    <w:rsid w:val="00FA725F"/>
    <w:rsid w:val="00FA7658"/>
    <w:rsid w:val="00FB0196"/>
    <w:rsid w:val="00FB1921"/>
    <w:rsid w:val="00FB1D79"/>
    <w:rsid w:val="00FB2631"/>
    <w:rsid w:val="00FB3816"/>
    <w:rsid w:val="00FB398F"/>
    <w:rsid w:val="00FB46DC"/>
    <w:rsid w:val="00FB4974"/>
    <w:rsid w:val="00FB4A54"/>
    <w:rsid w:val="00FB4A9D"/>
    <w:rsid w:val="00FB65B1"/>
    <w:rsid w:val="00FB76A4"/>
    <w:rsid w:val="00FB7BBC"/>
    <w:rsid w:val="00FC0709"/>
    <w:rsid w:val="00FC2213"/>
    <w:rsid w:val="00FC2AE8"/>
    <w:rsid w:val="00FC2FFC"/>
    <w:rsid w:val="00FC3467"/>
    <w:rsid w:val="00FC4190"/>
    <w:rsid w:val="00FC5086"/>
    <w:rsid w:val="00FC5CB1"/>
    <w:rsid w:val="00FC5D52"/>
    <w:rsid w:val="00FC7A05"/>
    <w:rsid w:val="00FD3239"/>
    <w:rsid w:val="00FD3B8C"/>
    <w:rsid w:val="00FD488A"/>
    <w:rsid w:val="00FD4D5E"/>
    <w:rsid w:val="00FD5161"/>
    <w:rsid w:val="00FD533C"/>
    <w:rsid w:val="00FD5792"/>
    <w:rsid w:val="00FD5CAE"/>
    <w:rsid w:val="00FD5F9A"/>
    <w:rsid w:val="00FD66C1"/>
    <w:rsid w:val="00FD6D98"/>
    <w:rsid w:val="00FD6F58"/>
    <w:rsid w:val="00FD7542"/>
    <w:rsid w:val="00FD7823"/>
    <w:rsid w:val="00FD792B"/>
    <w:rsid w:val="00FE0DA4"/>
    <w:rsid w:val="00FE1335"/>
    <w:rsid w:val="00FE1A94"/>
    <w:rsid w:val="00FE2096"/>
    <w:rsid w:val="00FE20B2"/>
    <w:rsid w:val="00FE2E3E"/>
    <w:rsid w:val="00FE3F76"/>
    <w:rsid w:val="00FE49E0"/>
    <w:rsid w:val="00FE5A6E"/>
    <w:rsid w:val="00FE67A1"/>
    <w:rsid w:val="00FE6AC8"/>
    <w:rsid w:val="00FE7C23"/>
    <w:rsid w:val="00FE7FB1"/>
    <w:rsid w:val="00FF0B1B"/>
    <w:rsid w:val="00FF2DD4"/>
    <w:rsid w:val="00FF3F5E"/>
    <w:rsid w:val="00FF4EC5"/>
    <w:rsid w:val="00FF6458"/>
    <w:rsid w:val="00FF65F4"/>
    <w:rsid w:val="00FF6991"/>
    <w:rsid w:val="00FF7007"/>
    <w:rsid w:val="00FF7AF2"/>
    <w:rsid w:val="011B6FD3"/>
    <w:rsid w:val="012E64FB"/>
    <w:rsid w:val="0147732C"/>
    <w:rsid w:val="01590B45"/>
    <w:rsid w:val="01671CA8"/>
    <w:rsid w:val="01672DAA"/>
    <w:rsid w:val="016E2B68"/>
    <w:rsid w:val="017B12D9"/>
    <w:rsid w:val="017F4E40"/>
    <w:rsid w:val="01834A3A"/>
    <w:rsid w:val="01872DDC"/>
    <w:rsid w:val="018763B9"/>
    <w:rsid w:val="019A4E13"/>
    <w:rsid w:val="01A46FB3"/>
    <w:rsid w:val="01A52EE8"/>
    <w:rsid w:val="01AC5EF5"/>
    <w:rsid w:val="01B1424E"/>
    <w:rsid w:val="01B60877"/>
    <w:rsid w:val="01CA4EBE"/>
    <w:rsid w:val="01DF79C5"/>
    <w:rsid w:val="01F63A71"/>
    <w:rsid w:val="01F849D0"/>
    <w:rsid w:val="02066548"/>
    <w:rsid w:val="020962A2"/>
    <w:rsid w:val="020F58C1"/>
    <w:rsid w:val="0214342F"/>
    <w:rsid w:val="02262761"/>
    <w:rsid w:val="022F7E57"/>
    <w:rsid w:val="0234743B"/>
    <w:rsid w:val="02463AC9"/>
    <w:rsid w:val="02552148"/>
    <w:rsid w:val="02931509"/>
    <w:rsid w:val="029C6087"/>
    <w:rsid w:val="02A728CC"/>
    <w:rsid w:val="02A92CDA"/>
    <w:rsid w:val="02D559F4"/>
    <w:rsid w:val="02EA2119"/>
    <w:rsid w:val="02F4274E"/>
    <w:rsid w:val="02FA7FC2"/>
    <w:rsid w:val="03021452"/>
    <w:rsid w:val="030A6DE3"/>
    <w:rsid w:val="030B50A4"/>
    <w:rsid w:val="030C1657"/>
    <w:rsid w:val="031706D6"/>
    <w:rsid w:val="032C250C"/>
    <w:rsid w:val="032D0DF0"/>
    <w:rsid w:val="034923FB"/>
    <w:rsid w:val="035D0640"/>
    <w:rsid w:val="035F27C1"/>
    <w:rsid w:val="036D482C"/>
    <w:rsid w:val="03721708"/>
    <w:rsid w:val="0373070B"/>
    <w:rsid w:val="0381141C"/>
    <w:rsid w:val="038B1127"/>
    <w:rsid w:val="03951BE1"/>
    <w:rsid w:val="03974999"/>
    <w:rsid w:val="039A39BB"/>
    <w:rsid w:val="039F7577"/>
    <w:rsid w:val="03BF380D"/>
    <w:rsid w:val="03C20688"/>
    <w:rsid w:val="03C765D8"/>
    <w:rsid w:val="03CD77D4"/>
    <w:rsid w:val="03F02207"/>
    <w:rsid w:val="03FB5FF3"/>
    <w:rsid w:val="04003365"/>
    <w:rsid w:val="040D7ED6"/>
    <w:rsid w:val="04134CD8"/>
    <w:rsid w:val="0418190D"/>
    <w:rsid w:val="042C7C54"/>
    <w:rsid w:val="0462418C"/>
    <w:rsid w:val="046261BC"/>
    <w:rsid w:val="0477050A"/>
    <w:rsid w:val="048462CD"/>
    <w:rsid w:val="049C2F45"/>
    <w:rsid w:val="04B04AA3"/>
    <w:rsid w:val="04B83F38"/>
    <w:rsid w:val="04BB7F09"/>
    <w:rsid w:val="04BF050D"/>
    <w:rsid w:val="04CC702A"/>
    <w:rsid w:val="04CD7B13"/>
    <w:rsid w:val="04CF069E"/>
    <w:rsid w:val="04DC25A0"/>
    <w:rsid w:val="04DE0ECA"/>
    <w:rsid w:val="04FC45E3"/>
    <w:rsid w:val="0509494C"/>
    <w:rsid w:val="0516010D"/>
    <w:rsid w:val="05177459"/>
    <w:rsid w:val="052342B3"/>
    <w:rsid w:val="05276C2F"/>
    <w:rsid w:val="05414558"/>
    <w:rsid w:val="054F504D"/>
    <w:rsid w:val="05503483"/>
    <w:rsid w:val="05521069"/>
    <w:rsid w:val="055711C6"/>
    <w:rsid w:val="055C6F71"/>
    <w:rsid w:val="056F6FB7"/>
    <w:rsid w:val="05850A72"/>
    <w:rsid w:val="05942E79"/>
    <w:rsid w:val="05953978"/>
    <w:rsid w:val="05971662"/>
    <w:rsid w:val="059B486F"/>
    <w:rsid w:val="05CA56A8"/>
    <w:rsid w:val="05D97C65"/>
    <w:rsid w:val="05E822DB"/>
    <w:rsid w:val="05F07047"/>
    <w:rsid w:val="06097DF7"/>
    <w:rsid w:val="060A2BA9"/>
    <w:rsid w:val="061662DE"/>
    <w:rsid w:val="062873A5"/>
    <w:rsid w:val="062B3291"/>
    <w:rsid w:val="062F2C7B"/>
    <w:rsid w:val="063E29C3"/>
    <w:rsid w:val="06420CAD"/>
    <w:rsid w:val="065827B0"/>
    <w:rsid w:val="065C16FE"/>
    <w:rsid w:val="06696185"/>
    <w:rsid w:val="067224C7"/>
    <w:rsid w:val="067D4584"/>
    <w:rsid w:val="067E12D9"/>
    <w:rsid w:val="069355BA"/>
    <w:rsid w:val="069D0B8F"/>
    <w:rsid w:val="069D1B20"/>
    <w:rsid w:val="06C42240"/>
    <w:rsid w:val="06C668AB"/>
    <w:rsid w:val="06C8770B"/>
    <w:rsid w:val="06CA3013"/>
    <w:rsid w:val="06CF1596"/>
    <w:rsid w:val="06E04389"/>
    <w:rsid w:val="06E05B00"/>
    <w:rsid w:val="06EB5B2A"/>
    <w:rsid w:val="06FF78CE"/>
    <w:rsid w:val="07085FBC"/>
    <w:rsid w:val="071708D3"/>
    <w:rsid w:val="07205C5C"/>
    <w:rsid w:val="072579C9"/>
    <w:rsid w:val="07277E4A"/>
    <w:rsid w:val="072B1D48"/>
    <w:rsid w:val="07344B49"/>
    <w:rsid w:val="074253F6"/>
    <w:rsid w:val="07465FD3"/>
    <w:rsid w:val="07586367"/>
    <w:rsid w:val="077257FF"/>
    <w:rsid w:val="0772795C"/>
    <w:rsid w:val="07863777"/>
    <w:rsid w:val="07876770"/>
    <w:rsid w:val="078D0172"/>
    <w:rsid w:val="07904E34"/>
    <w:rsid w:val="079C1518"/>
    <w:rsid w:val="07A13275"/>
    <w:rsid w:val="07A96F37"/>
    <w:rsid w:val="07B04097"/>
    <w:rsid w:val="07B3088E"/>
    <w:rsid w:val="07BA2DA3"/>
    <w:rsid w:val="07BD45DB"/>
    <w:rsid w:val="07C36B52"/>
    <w:rsid w:val="07C649C6"/>
    <w:rsid w:val="07C93B8C"/>
    <w:rsid w:val="07CF06AB"/>
    <w:rsid w:val="07D66EDC"/>
    <w:rsid w:val="07DE1408"/>
    <w:rsid w:val="07E8194B"/>
    <w:rsid w:val="07F6399B"/>
    <w:rsid w:val="07FA76F4"/>
    <w:rsid w:val="07FD7A1B"/>
    <w:rsid w:val="080C4F1F"/>
    <w:rsid w:val="08105BE3"/>
    <w:rsid w:val="0813618C"/>
    <w:rsid w:val="08315259"/>
    <w:rsid w:val="08351E03"/>
    <w:rsid w:val="08430FBC"/>
    <w:rsid w:val="0853260D"/>
    <w:rsid w:val="087D6D6B"/>
    <w:rsid w:val="08837704"/>
    <w:rsid w:val="08A56689"/>
    <w:rsid w:val="08DE6576"/>
    <w:rsid w:val="08DF50FE"/>
    <w:rsid w:val="08E6510B"/>
    <w:rsid w:val="08E9116E"/>
    <w:rsid w:val="08EC183B"/>
    <w:rsid w:val="08EC445E"/>
    <w:rsid w:val="0900012B"/>
    <w:rsid w:val="090902DA"/>
    <w:rsid w:val="0911079F"/>
    <w:rsid w:val="09201308"/>
    <w:rsid w:val="09465695"/>
    <w:rsid w:val="094C2C75"/>
    <w:rsid w:val="096C1ACC"/>
    <w:rsid w:val="09711F22"/>
    <w:rsid w:val="09854104"/>
    <w:rsid w:val="09871A33"/>
    <w:rsid w:val="098A6DFE"/>
    <w:rsid w:val="098F04BA"/>
    <w:rsid w:val="09B13A05"/>
    <w:rsid w:val="09B75CE1"/>
    <w:rsid w:val="0A0827FC"/>
    <w:rsid w:val="0A1459F7"/>
    <w:rsid w:val="0A155C9D"/>
    <w:rsid w:val="0A3A0A24"/>
    <w:rsid w:val="0A5F48EC"/>
    <w:rsid w:val="0A6A1DEE"/>
    <w:rsid w:val="0A727996"/>
    <w:rsid w:val="0A782437"/>
    <w:rsid w:val="0A7B16D8"/>
    <w:rsid w:val="0A8D3DC8"/>
    <w:rsid w:val="0A9503F3"/>
    <w:rsid w:val="0A9B5F06"/>
    <w:rsid w:val="0AA0156E"/>
    <w:rsid w:val="0AAC157E"/>
    <w:rsid w:val="0AB830BC"/>
    <w:rsid w:val="0AD14D89"/>
    <w:rsid w:val="0AE57674"/>
    <w:rsid w:val="0AED1B8C"/>
    <w:rsid w:val="0AED5949"/>
    <w:rsid w:val="0AF64FAF"/>
    <w:rsid w:val="0B18393A"/>
    <w:rsid w:val="0B1B503B"/>
    <w:rsid w:val="0B1D0F66"/>
    <w:rsid w:val="0B2011F7"/>
    <w:rsid w:val="0B210E47"/>
    <w:rsid w:val="0B243B52"/>
    <w:rsid w:val="0B263D7A"/>
    <w:rsid w:val="0B365C17"/>
    <w:rsid w:val="0B543AEE"/>
    <w:rsid w:val="0B566772"/>
    <w:rsid w:val="0B614723"/>
    <w:rsid w:val="0B625812"/>
    <w:rsid w:val="0B6B7F46"/>
    <w:rsid w:val="0B6E07C2"/>
    <w:rsid w:val="0B830C96"/>
    <w:rsid w:val="0B922B9A"/>
    <w:rsid w:val="0BB24658"/>
    <w:rsid w:val="0BB9102C"/>
    <w:rsid w:val="0BC76013"/>
    <w:rsid w:val="0BC92075"/>
    <w:rsid w:val="0BD464AB"/>
    <w:rsid w:val="0BD930A3"/>
    <w:rsid w:val="0BE26888"/>
    <w:rsid w:val="0BF54735"/>
    <w:rsid w:val="0C1D631C"/>
    <w:rsid w:val="0C3D190A"/>
    <w:rsid w:val="0C4464E3"/>
    <w:rsid w:val="0C533886"/>
    <w:rsid w:val="0C5D39CC"/>
    <w:rsid w:val="0C6D1BCE"/>
    <w:rsid w:val="0C7127EA"/>
    <w:rsid w:val="0C9E738E"/>
    <w:rsid w:val="0CA5138C"/>
    <w:rsid w:val="0CAD3DAA"/>
    <w:rsid w:val="0CB61B68"/>
    <w:rsid w:val="0CB9425A"/>
    <w:rsid w:val="0CB95273"/>
    <w:rsid w:val="0CF97C3E"/>
    <w:rsid w:val="0CFD1319"/>
    <w:rsid w:val="0D0A50D7"/>
    <w:rsid w:val="0D132CB5"/>
    <w:rsid w:val="0D2E7DA5"/>
    <w:rsid w:val="0D31497B"/>
    <w:rsid w:val="0D371863"/>
    <w:rsid w:val="0D3757C0"/>
    <w:rsid w:val="0D486A6B"/>
    <w:rsid w:val="0D4B027E"/>
    <w:rsid w:val="0D5B2302"/>
    <w:rsid w:val="0D6640D8"/>
    <w:rsid w:val="0D6D7653"/>
    <w:rsid w:val="0D7670C1"/>
    <w:rsid w:val="0D7B08F9"/>
    <w:rsid w:val="0D900537"/>
    <w:rsid w:val="0DA16339"/>
    <w:rsid w:val="0DA37072"/>
    <w:rsid w:val="0DA374F2"/>
    <w:rsid w:val="0DA40EE0"/>
    <w:rsid w:val="0DB55E03"/>
    <w:rsid w:val="0DBB5490"/>
    <w:rsid w:val="0DC5322B"/>
    <w:rsid w:val="0DC62B6D"/>
    <w:rsid w:val="0DD17A55"/>
    <w:rsid w:val="0DDD4F48"/>
    <w:rsid w:val="0DE057AB"/>
    <w:rsid w:val="0DE209A4"/>
    <w:rsid w:val="0DE249E3"/>
    <w:rsid w:val="0DE44537"/>
    <w:rsid w:val="0DEE698B"/>
    <w:rsid w:val="0DFC0044"/>
    <w:rsid w:val="0E1624F5"/>
    <w:rsid w:val="0E170CD8"/>
    <w:rsid w:val="0E19013B"/>
    <w:rsid w:val="0E1F205C"/>
    <w:rsid w:val="0E244F65"/>
    <w:rsid w:val="0E330E0D"/>
    <w:rsid w:val="0E35278B"/>
    <w:rsid w:val="0E3916D5"/>
    <w:rsid w:val="0E3B140A"/>
    <w:rsid w:val="0E420A7F"/>
    <w:rsid w:val="0E445357"/>
    <w:rsid w:val="0E4B7568"/>
    <w:rsid w:val="0E4F3F97"/>
    <w:rsid w:val="0E6E24FB"/>
    <w:rsid w:val="0E7C1BD9"/>
    <w:rsid w:val="0E845274"/>
    <w:rsid w:val="0E8668C2"/>
    <w:rsid w:val="0E9C3575"/>
    <w:rsid w:val="0EA11B41"/>
    <w:rsid w:val="0EB1700F"/>
    <w:rsid w:val="0EC661C1"/>
    <w:rsid w:val="0ED478DF"/>
    <w:rsid w:val="0EE1014F"/>
    <w:rsid w:val="0EFA2384"/>
    <w:rsid w:val="0EFD38CA"/>
    <w:rsid w:val="0F022981"/>
    <w:rsid w:val="0F06269A"/>
    <w:rsid w:val="0F0C5B71"/>
    <w:rsid w:val="0F1100AC"/>
    <w:rsid w:val="0F1776FF"/>
    <w:rsid w:val="0F1822C7"/>
    <w:rsid w:val="0F182D2B"/>
    <w:rsid w:val="0F1C002F"/>
    <w:rsid w:val="0F1F345E"/>
    <w:rsid w:val="0F275595"/>
    <w:rsid w:val="0F290058"/>
    <w:rsid w:val="0F4E7E26"/>
    <w:rsid w:val="0F521568"/>
    <w:rsid w:val="0F5357D6"/>
    <w:rsid w:val="0F5D3EB5"/>
    <w:rsid w:val="0F8676D2"/>
    <w:rsid w:val="0FC33AA7"/>
    <w:rsid w:val="0FC969CB"/>
    <w:rsid w:val="0FCA7FFD"/>
    <w:rsid w:val="0FCE4EF0"/>
    <w:rsid w:val="0FDD723B"/>
    <w:rsid w:val="0FE6129E"/>
    <w:rsid w:val="0FFA6258"/>
    <w:rsid w:val="0FFE712F"/>
    <w:rsid w:val="1017192B"/>
    <w:rsid w:val="101C1927"/>
    <w:rsid w:val="10254F0A"/>
    <w:rsid w:val="1028377B"/>
    <w:rsid w:val="104D15C5"/>
    <w:rsid w:val="10527E8D"/>
    <w:rsid w:val="106B714F"/>
    <w:rsid w:val="106E1E96"/>
    <w:rsid w:val="10796744"/>
    <w:rsid w:val="10927058"/>
    <w:rsid w:val="109424F8"/>
    <w:rsid w:val="10986EDB"/>
    <w:rsid w:val="10996EFB"/>
    <w:rsid w:val="10B927BA"/>
    <w:rsid w:val="10BA7102"/>
    <w:rsid w:val="10BD6EE3"/>
    <w:rsid w:val="10C80D17"/>
    <w:rsid w:val="10E02280"/>
    <w:rsid w:val="10EA00EE"/>
    <w:rsid w:val="10F30B42"/>
    <w:rsid w:val="10F314F9"/>
    <w:rsid w:val="10FB17C3"/>
    <w:rsid w:val="10FD2B6C"/>
    <w:rsid w:val="10FF4F9E"/>
    <w:rsid w:val="1100459B"/>
    <w:rsid w:val="11020688"/>
    <w:rsid w:val="110F1F63"/>
    <w:rsid w:val="1117225D"/>
    <w:rsid w:val="111B55C6"/>
    <w:rsid w:val="11213E0F"/>
    <w:rsid w:val="112371A2"/>
    <w:rsid w:val="11242987"/>
    <w:rsid w:val="11251D65"/>
    <w:rsid w:val="114D4A34"/>
    <w:rsid w:val="11591233"/>
    <w:rsid w:val="11652F61"/>
    <w:rsid w:val="116738AB"/>
    <w:rsid w:val="11737B2B"/>
    <w:rsid w:val="11993128"/>
    <w:rsid w:val="119C0746"/>
    <w:rsid w:val="11A6405B"/>
    <w:rsid w:val="11BC44D7"/>
    <w:rsid w:val="11C8139B"/>
    <w:rsid w:val="11D36ED0"/>
    <w:rsid w:val="11E26781"/>
    <w:rsid w:val="11EF054C"/>
    <w:rsid w:val="11F01B56"/>
    <w:rsid w:val="11F77479"/>
    <w:rsid w:val="11F827D8"/>
    <w:rsid w:val="11FE12B4"/>
    <w:rsid w:val="121B48A8"/>
    <w:rsid w:val="122551AD"/>
    <w:rsid w:val="122B35BC"/>
    <w:rsid w:val="122C3A90"/>
    <w:rsid w:val="12415EAF"/>
    <w:rsid w:val="12485346"/>
    <w:rsid w:val="124B01BF"/>
    <w:rsid w:val="124C7CEF"/>
    <w:rsid w:val="125C51F3"/>
    <w:rsid w:val="12641571"/>
    <w:rsid w:val="126921E3"/>
    <w:rsid w:val="12823ED5"/>
    <w:rsid w:val="128D63C7"/>
    <w:rsid w:val="129A38CA"/>
    <w:rsid w:val="129A7243"/>
    <w:rsid w:val="12A95D36"/>
    <w:rsid w:val="12AA2753"/>
    <w:rsid w:val="12B233B9"/>
    <w:rsid w:val="12BC58AE"/>
    <w:rsid w:val="12BF2359"/>
    <w:rsid w:val="12C74B9A"/>
    <w:rsid w:val="12D4125A"/>
    <w:rsid w:val="12E82A71"/>
    <w:rsid w:val="12ED6CA1"/>
    <w:rsid w:val="12FB4A33"/>
    <w:rsid w:val="13031D24"/>
    <w:rsid w:val="13040CCD"/>
    <w:rsid w:val="130E353E"/>
    <w:rsid w:val="132A068A"/>
    <w:rsid w:val="132A2A6A"/>
    <w:rsid w:val="132A3ECA"/>
    <w:rsid w:val="13311C66"/>
    <w:rsid w:val="13334641"/>
    <w:rsid w:val="133C6316"/>
    <w:rsid w:val="134D34FE"/>
    <w:rsid w:val="135708DC"/>
    <w:rsid w:val="136A3EFB"/>
    <w:rsid w:val="137523E3"/>
    <w:rsid w:val="137712A2"/>
    <w:rsid w:val="1383199B"/>
    <w:rsid w:val="13895CD9"/>
    <w:rsid w:val="1398533E"/>
    <w:rsid w:val="139E2F62"/>
    <w:rsid w:val="13AA0904"/>
    <w:rsid w:val="13B314C5"/>
    <w:rsid w:val="13BC3FAA"/>
    <w:rsid w:val="13BD2E2D"/>
    <w:rsid w:val="13CC00C2"/>
    <w:rsid w:val="13D36087"/>
    <w:rsid w:val="13E5722F"/>
    <w:rsid w:val="14023979"/>
    <w:rsid w:val="140B7434"/>
    <w:rsid w:val="140F1CE3"/>
    <w:rsid w:val="141701F7"/>
    <w:rsid w:val="1418060C"/>
    <w:rsid w:val="14223492"/>
    <w:rsid w:val="143702C0"/>
    <w:rsid w:val="1446185C"/>
    <w:rsid w:val="146606C4"/>
    <w:rsid w:val="14687220"/>
    <w:rsid w:val="146E2E08"/>
    <w:rsid w:val="14796740"/>
    <w:rsid w:val="14820F33"/>
    <w:rsid w:val="14A91E91"/>
    <w:rsid w:val="14BA1AC5"/>
    <w:rsid w:val="14CE5959"/>
    <w:rsid w:val="14D30DDE"/>
    <w:rsid w:val="14DE79DC"/>
    <w:rsid w:val="14F6437D"/>
    <w:rsid w:val="14F855D2"/>
    <w:rsid w:val="14FB5B2B"/>
    <w:rsid w:val="15084109"/>
    <w:rsid w:val="150A597E"/>
    <w:rsid w:val="150D43F1"/>
    <w:rsid w:val="150E1948"/>
    <w:rsid w:val="151179BD"/>
    <w:rsid w:val="15145780"/>
    <w:rsid w:val="151B6F39"/>
    <w:rsid w:val="151D3373"/>
    <w:rsid w:val="15442880"/>
    <w:rsid w:val="154A05DF"/>
    <w:rsid w:val="154A52DF"/>
    <w:rsid w:val="154C351C"/>
    <w:rsid w:val="156A0DA8"/>
    <w:rsid w:val="156D2850"/>
    <w:rsid w:val="15742121"/>
    <w:rsid w:val="15757AC2"/>
    <w:rsid w:val="15946A7D"/>
    <w:rsid w:val="15957C6A"/>
    <w:rsid w:val="159B28A1"/>
    <w:rsid w:val="15A57B95"/>
    <w:rsid w:val="15A615D2"/>
    <w:rsid w:val="15B91239"/>
    <w:rsid w:val="15BA2BAB"/>
    <w:rsid w:val="15C056BE"/>
    <w:rsid w:val="15C42D02"/>
    <w:rsid w:val="15C53FA3"/>
    <w:rsid w:val="15C86B8C"/>
    <w:rsid w:val="15D810F3"/>
    <w:rsid w:val="15F14745"/>
    <w:rsid w:val="16057878"/>
    <w:rsid w:val="1618211B"/>
    <w:rsid w:val="16256A50"/>
    <w:rsid w:val="16270DE0"/>
    <w:rsid w:val="16275BF3"/>
    <w:rsid w:val="16297988"/>
    <w:rsid w:val="162A486A"/>
    <w:rsid w:val="162B0176"/>
    <w:rsid w:val="16362A71"/>
    <w:rsid w:val="16387EB4"/>
    <w:rsid w:val="164A0DC5"/>
    <w:rsid w:val="16734728"/>
    <w:rsid w:val="1681279A"/>
    <w:rsid w:val="1690790F"/>
    <w:rsid w:val="16914DE1"/>
    <w:rsid w:val="16920A52"/>
    <w:rsid w:val="169C2962"/>
    <w:rsid w:val="16C65078"/>
    <w:rsid w:val="16CF3FD6"/>
    <w:rsid w:val="16D64411"/>
    <w:rsid w:val="16E54997"/>
    <w:rsid w:val="16E6338C"/>
    <w:rsid w:val="16E86EC4"/>
    <w:rsid w:val="16ED23AA"/>
    <w:rsid w:val="16FB5493"/>
    <w:rsid w:val="17116EB8"/>
    <w:rsid w:val="171B011F"/>
    <w:rsid w:val="173E3858"/>
    <w:rsid w:val="17416522"/>
    <w:rsid w:val="1746768F"/>
    <w:rsid w:val="17474675"/>
    <w:rsid w:val="17495AF9"/>
    <w:rsid w:val="174E114A"/>
    <w:rsid w:val="17592D5E"/>
    <w:rsid w:val="175E6D20"/>
    <w:rsid w:val="1769398C"/>
    <w:rsid w:val="17731C02"/>
    <w:rsid w:val="17803264"/>
    <w:rsid w:val="178C76A0"/>
    <w:rsid w:val="17932374"/>
    <w:rsid w:val="17951D05"/>
    <w:rsid w:val="1796151F"/>
    <w:rsid w:val="17B378A8"/>
    <w:rsid w:val="17B77548"/>
    <w:rsid w:val="17C17CB6"/>
    <w:rsid w:val="17C230F7"/>
    <w:rsid w:val="17C666DE"/>
    <w:rsid w:val="17C739EE"/>
    <w:rsid w:val="17F23AFC"/>
    <w:rsid w:val="17F4133B"/>
    <w:rsid w:val="17FD5BB9"/>
    <w:rsid w:val="18030F21"/>
    <w:rsid w:val="180467B9"/>
    <w:rsid w:val="181032B0"/>
    <w:rsid w:val="18424A70"/>
    <w:rsid w:val="18476935"/>
    <w:rsid w:val="187463EE"/>
    <w:rsid w:val="187B4459"/>
    <w:rsid w:val="18833FBD"/>
    <w:rsid w:val="188E7A23"/>
    <w:rsid w:val="18901EFA"/>
    <w:rsid w:val="18953855"/>
    <w:rsid w:val="189D17C3"/>
    <w:rsid w:val="18AB1546"/>
    <w:rsid w:val="18B960C5"/>
    <w:rsid w:val="18C96292"/>
    <w:rsid w:val="18DC3404"/>
    <w:rsid w:val="19053D1A"/>
    <w:rsid w:val="190A3F54"/>
    <w:rsid w:val="19146D13"/>
    <w:rsid w:val="191D5E51"/>
    <w:rsid w:val="19272E4D"/>
    <w:rsid w:val="193073E8"/>
    <w:rsid w:val="19334CF0"/>
    <w:rsid w:val="1936266E"/>
    <w:rsid w:val="19381F53"/>
    <w:rsid w:val="193A117F"/>
    <w:rsid w:val="19441402"/>
    <w:rsid w:val="194E6F19"/>
    <w:rsid w:val="19526E81"/>
    <w:rsid w:val="195B0E71"/>
    <w:rsid w:val="1962631D"/>
    <w:rsid w:val="196E7E20"/>
    <w:rsid w:val="198E6A7E"/>
    <w:rsid w:val="199B0BE5"/>
    <w:rsid w:val="199B3F6F"/>
    <w:rsid w:val="19AE23D9"/>
    <w:rsid w:val="19B031C6"/>
    <w:rsid w:val="19B4463D"/>
    <w:rsid w:val="19BC4DC1"/>
    <w:rsid w:val="19BD347E"/>
    <w:rsid w:val="19D008F2"/>
    <w:rsid w:val="19EE5456"/>
    <w:rsid w:val="19EF6EA2"/>
    <w:rsid w:val="19F3012C"/>
    <w:rsid w:val="19F70C7C"/>
    <w:rsid w:val="19FA5A3A"/>
    <w:rsid w:val="1A0B7F33"/>
    <w:rsid w:val="1A233B15"/>
    <w:rsid w:val="1A4043EA"/>
    <w:rsid w:val="1A433EA8"/>
    <w:rsid w:val="1A5405A5"/>
    <w:rsid w:val="1A592AE7"/>
    <w:rsid w:val="1A624E6A"/>
    <w:rsid w:val="1A693DC5"/>
    <w:rsid w:val="1A7A0636"/>
    <w:rsid w:val="1A7A6C02"/>
    <w:rsid w:val="1A7E62ED"/>
    <w:rsid w:val="1A7F0DBF"/>
    <w:rsid w:val="1AAA12D4"/>
    <w:rsid w:val="1AB431A9"/>
    <w:rsid w:val="1ABF5EE0"/>
    <w:rsid w:val="1ACA4C46"/>
    <w:rsid w:val="1ADC0613"/>
    <w:rsid w:val="1ADD68C6"/>
    <w:rsid w:val="1ADF1CAE"/>
    <w:rsid w:val="1AF95D24"/>
    <w:rsid w:val="1B17700C"/>
    <w:rsid w:val="1B206BC7"/>
    <w:rsid w:val="1B284F4D"/>
    <w:rsid w:val="1B621144"/>
    <w:rsid w:val="1B65343D"/>
    <w:rsid w:val="1B6E4167"/>
    <w:rsid w:val="1BCC5526"/>
    <w:rsid w:val="1BF62A66"/>
    <w:rsid w:val="1BF80E24"/>
    <w:rsid w:val="1C24577B"/>
    <w:rsid w:val="1C3658F1"/>
    <w:rsid w:val="1C3A5946"/>
    <w:rsid w:val="1C511249"/>
    <w:rsid w:val="1C5A69EE"/>
    <w:rsid w:val="1C5C37EF"/>
    <w:rsid w:val="1C5D0762"/>
    <w:rsid w:val="1C6E7C9D"/>
    <w:rsid w:val="1C6F5B9B"/>
    <w:rsid w:val="1C8315A9"/>
    <w:rsid w:val="1C873A93"/>
    <w:rsid w:val="1C89676A"/>
    <w:rsid w:val="1C8E5EA1"/>
    <w:rsid w:val="1CA94516"/>
    <w:rsid w:val="1CB90DA2"/>
    <w:rsid w:val="1CC64433"/>
    <w:rsid w:val="1CE14B9F"/>
    <w:rsid w:val="1CE24C77"/>
    <w:rsid w:val="1CEA2B42"/>
    <w:rsid w:val="1CF30E12"/>
    <w:rsid w:val="1CFE6C7B"/>
    <w:rsid w:val="1D015145"/>
    <w:rsid w:val="1D020E1E"/>
    <w:rsid w:val="1D166E1E"/>
    <w:rsid w:val="1D3F6AD0"/>
    <w:rsid w:val="1D5133DD"/>
    <w:rsid w:val="1D5C7F4F"/>
    <w:rsid w:val="1D646C4B"/>
    <w:rsid w:val="1D935C87"/>
    <w:rsid w:val="1D9E3F2D"/>
    <w:rsid w:val="1DAB543B"/>
    <w:rsid w:val="1DB72951"/>
    <w:rsid w:val="1DDB724A"/>
    <w:rsid w:val="1DEA052A"/>
    <w:rsid w:val="1DF475D2"/>
    <w:rsid w:val="1DF75813"/>
    <w:rsid w:val="1E02528D"/>
    <w:rsid w:val="1E08017E"/>
    <w:rsid w:val="1E0F3A68"/>
    <w:rsid w:val="1E154948"/>
    <w:rsid w:val="1E1B092C"/>
    <w:rsid w:val="1E2D0F29"/>
    <w:rsid w:val="1E3740C0"/>
    <w:rsid w:val="1E3D61DD"/>
    <w:rsid w:val="1E586BE3"/>
    <w:rsid w:val="1E674316"/>
    <w:rsid w:val="1E7D50C7"/>
    <w:rsid w:val="1E982F7E"/>
    <w:rsid w:val="1E9C2B54"/>
    <w:rsid w:val="1EA015AD"/>
    <w:rsid w:val="1EA77564"/>
    <w:rsid w:val="1EBE5836"/>
    <w:rsid w:val="1ED90BD1"/>
    <w:rsid w:val="1EDA2C40"/>
    <w:rsid w:val="1EE366B8"/>
    <w:rsid w:val="1EEA4A7A"/>
    <w:rsid w:val="1EFD4F06"/>
    <w:rsid w:val="1F0361C0"/>
    <w:rsid w:val="1F0F3CF6"/>
    <w:rsid w:val="1F10356E"/>
    <w:rsid w:val="1F1A45F0"/>
    <w:rsid w:val="1F383D70"/>
    <w:rsid w:val="1F3906F8"/>
    <w:rsid w:val="1F3A51B6"/>
    <w:rsid w:val="1F475982"/>
    <w:rsid w:val="1F5F426E"/>
    <w:rsid w:val="1F672F4B"/>
    <w:rsid w:val="1F7F3D1D"/>
    <w:rsid w:val="1F816C47"/>
    <w:rsid w:val="1F8238C3"/>
    <w:rsid w:val="1F832258"/>
    <w:rsid w:val="1F835736"/>
    <w:rsid w:val="1F844E88"/>
    <w:rsid w:val="1FA86C02"/>
    <w:rsid w:val="1FAA365C"/>
    <w:rsid w:val="1FB05073"/>
    <w:rsid w:val="1FB218DD"/>
    <w:rsid w:val="1FB83DC7"/>
    <w:rsid w:val="1FBA5BF1"/>
    <w:rsid w:val="1FD607A8"/>
    <w:rsid w:val="1FDF3C95"/>
    <w:rsid w:val="1FEF33BD"/>
    <w:rsid w:val="1FFC3B8E"/>
    <w:rsid w:val="200417F4"/>
    <w:rsid w:val="20365A55"/>
    <w:rsid w:val="20381156"/>
    <w:rsid w:val="20453231"/>
    <w:rsid w:val="2049360A"/>
    <w:rsid w:val="204C130F"/>
    <w:rsid w:val="20552293"/>
    <w:rsid w:val="205A78E8"/>
    <w:rsid w:val="20635A0D"/>
    <w:rsid w:val="2066796F"/>
    <w:rsid w:val="208316E9"/>
    <w:rsid w:val="208662EE"/>
    <w:rsid w:val="208C18C5"/>
    <w:rsid w:val="20A31BFC"/>
    <w:rsid w:val="20AE5288"/>
    <w:rsid w:val="20B14C3A"/>
    <w:rsid w:val="20B37147"/>
    <w:rsid w:val="20CE7964"/>
    <w:rsid w:val="20D6667B"/>
    <w:rsid w:val="20D74530"/>
    <w:rsid w:val="20D970DC"/>
    <w:rsid w:val="20EF200C"/>
    <w:rsid w:val="20F42B11"/>
    <w:rsid w:val="20FF11DE"/>
    <w:rsid w:val="2106214A"/>
    <w:rsid w:val="21186698"/>
    <w:rsid w:val="21282374"/>
    <w:rsid w:val="212D0FFA"/>
    <w:rsid w:val="21442C37"/>
    <w:rsid w:val="21565A95"/>
    <w:rsid w:val="216C529C"/>
    <w:rsid w:val="21AA6FF0"/>
    <w:rsid w:val="21BC160F"/>
    <w:rsid w:val="21D82466"/>
    <w:rsid w:val="21E55AC7"/>
    <w:rsid w:val="21FD4D1E"/>
    <w:rsid w:val="220F40A1"/>
    <w:rsid w:val="221805D6"/>
    <w:rsid w:val="221C0BAB"/>
    <w:rsid w:val="221E05F2"/>
    <w:rsid w:val="22260CF5"/>
    <w:rsid w:val="224050F3"/>
    <w:rsid w:val="22425B95"/>
    <w:rsid w:val="22471DFF"/>
    <w:rsid w:val="224F766F"/>
    <w:rsid w:val="225A14EF"/>
    <w:rsid w:val="225A4C0D"/>
    <w:rsid w:val="225D0875"/>
    <w:rsid w:val="22647411"/>
    <w:rsid w:val="22745133"/>
    <w:rsid w:val="22761C7A"/>
    <w:rsid w:val="22796FD6"/>
    <w:rsid w:val="22797861"/>
    <w:rsid w:val="22CA4365"/>
    <w:rsid w:val="22CF647F"/>
    <w:rsid w:val="22DD7D92"/>
    <w:rsid w:val="22DE3EB2"/>
    <w:rsid w:val="23090EE2"/>
    <w:rsid w:val="23153E4C"/>
    <w:rsid w:val="232257B9"/>
    <w:rsid w:val="23343ED7"/>
    <w:rsid w:val="233529C3"/>
    <w:rsid w:val="233D3005"/>
    <w:rsid w:val="234B7623"/>
    <w:rsid w:val="234F4B7F"/>
    <w:rsid w:val="235F2C95"/>
    <w:rsid w:val="23675BF3"/>
    <w:rsid w:val="23725688"/>
    <w:rsid w:val="2379065B"/>
    <w:rsid w:val="237C049B"/>
    <w:rsid w:val="23A63555"/>
    <w:rsid w:val="23AD1474"/>
    <w:rsid w:val="23AE1B81"/>
    <w:rsid w:val="23C81BF7"/>
    <w:rsid w:val="23D61F2A"/>
    <w:rsid w:val="23DD39DE"/>
    <w:rsid w:val="23FB5336"/>
    <w:rsid w:val="24096C60"/>
    <w:rsid w:val="24333C05"/>
    <w:rsid w:val="243A739B"/>
    <w:rsid w:val="244C7A1D"/>
    <w:rsid w:val="24551516"/>
    <w:rsid w:val="2458638A"/>
    <w:rsid w:val="24652CEA"/>
    <w:rsid w:val="246815CE"/>
    <w:rsid w:val="246B5210"/>
    <w:rsid w:val="24747FE9"/>
    <w:rsid w:val="2475380E"/>
    <w:rsid w:val="24754889"/>
    <w:rsid w:val="247B0E5B"/>
    <w:rsid w:val="248939E6"/>
    <w:rsid w:val="249C1BAA"/>
    <w:rsid w:val="24BD3AC2"/>
    <w:rsid w:val="24CA2EB4"/>
    <w:rsid w:val="24D11FDC"/>
    <w:rsid w:val="24DA3456"/>
    <w:rsid w:val="24E8641D"/>
    <w:rsid w:val="25024F17"/>
    <w:rsid w:val="250C0D69"/>
    <w:rsid w:val="25135993"/>
    <w:rsid w:val="25167DE7"/>
    <w:rsid w:val="254215B0"/>
    <w:rsid w:val="256612DC"/>
    <w:rsid w:val="256E557F"/>
    <w:rsid w:val="256F2531"/>
    <w:rsid w:val="25706B37"/>
    <w:rsid w:val="258B55EA"/>
    <w:rsid w:val="259E5888"/>
    <w:rsid w:val="25BA7AEC"/>
    <w:rsid w:val="25C42A83"/>
    <w:rsid w:val="25C523D9"/>
    <w:rsid w:val="25D65897"/>
    <w:rsid w:val="25DD0FD4"/>
    <w:rsid w:val="25DD76CE"/>
    <w:rsid w:val="260470EF"/>
    <w:rsid w:val="26177652"/>
    <w:rsid w:val="261C7140"/>
    <w:rsid w:val="262329CC"/>
    <w:rsid w:val="26244B81"/>
    <w:rsid w:val="262E4FE4"/>
    <w:rsid w:val="264D4B85"/>
    <w:rsid w:val="26562C62"/>
    <w:rsid w:val="265C7F38"/>
    <w:rsid w:val="266A2057"/>
    <w:rsid w:val="26752CAD"/>
    <w:rsid w:val="26767B2B"/>
    <w:rsid w:val="267C2764"/>
    <w:rsid w:val="268D761D"/>
    <w:rsid w:val="26945F42"/>
    <w:rsid w:val="26AD49AB"/>
    <w:rsid w:val="26B353F8"/>
    <w:rsid w:val="26C30EC1"/>
    <w:rsid w:val="26CB2252"/>
    <w:rsid w:val="26E0166E"/>
    <w:rsid w:val="2702467F"/>
    <w:rsid w:val="27067BF3"/>
    <w:rsid w:val="271209E7"/>
    <w:rsid w:val="27190011"/>
    <w:rsid w:val="271B0BB1"/>
    <w:rsid w:val="271B6929"/>
    <w:rsid w:val="27217478"/>
    <w:rsid w:val="272E4D2A"/>
    <w:rsid w:val="273E1747"/>
    <w:rsid w:val="274862DD"/>
    <w:rsid w:val="27543178"/>
    <w:rsid w:val="2755385A"/>
    <w:rsid w:val="275C0CC8"/>
    <w:rsid w:val="27611858"/>
    <w:rsid w:val="2764616A"/>
    <w:rsid w:val="276B7424"/>
    <w:rsid w:val="276F51BA"/>
    <w:rsid w:val="278265A6"/>
    <w:rsid w:val="278307AB"/>
    <w:rsid w:val="27895D86"/>
    <w:rsid w:val="27917E59"/>
    <w:rsid w:val="27A40282"/>
    <w:rsid w:val="27CB6AE5"/>
    <w:rsid w:val="27D41A7C"/>
    <w:rsid w:val="27E40DBE"/>
    <w:rsid w:val="27EA06FF"/>
    <w:rsid w:val="27F32A30"/>
    <w:rsid w:val="27F52863"/>
    <w:rsid w:val="28207DBB"/>
    <w:rsid w:val="28235557"/>
    <w:rsid w:val="28323352"/>
    <w:rsid w:val="28340FF8"/>
    <w:rsid w:val="2838686F"/>
    <w:rsid w:val="283A5FE6"/>
    <w:rsid w:val="285642A0"/>
    <w:rsid w:val="28787AAB"/>
    <w:rsid w:val="287917B5"/>
    <w:rsid w:val="28836E12"/>
    <w:rsid w:val="28936EB6"/>
    <w:rsid w:val="28983DAF"/>
    <w:rsid w:val="28B41675"/>
    <w:rsid w:val="28BB7737"/>
    <w:rsid w:val="28C55283"/>
    <w:rsid w:val="28CA19B0"/>
    <w:rsid w:val="28D03157"/>
    <w:rsid w:val="29017DDE"/>
    <w:rsid w:val="29082BE0"/>
    <w:rsid w:val="29137D58"/>
    <w:rsid w:val="292203B5"/>
    <w:rsid w:val="292D2692"/>
    <w:rsid w:val="292E51DB"/>
    <w:rsid w:val="292F0359"/>
    <w:rsid w:val="293A4CB6"/>
    <w:rsid w:val="294135A1"/>
    <w:rsid w:val="294D08F9"/>
    <w:rsid w:val="294E11C6"/>
    <w:rsid w:val="29513566"/>
    <w:rsid w:val="295468A3"/>
    <w:rsid w:val="29590DD5"/>
    <w:rsid w:val="29687FCD"/>
    <w:rsid w:val="29806530"/>
    <w:rsid w:val="29814AB0"/>
    <w:rsid w:val="29921691"/>
    <w:rsid w:val="29A8172D"/>
    <w:rsid w:val="29AD73A1"/>
    <w:rsid w:val="29B011B3"/>
    <w:rsid w:val="29B25D0E"/>
    <w:rsid w:val="29B63D12"/>
    <w:rsid w:val="29DC2D74"/>
    <w:rsid w:val="29EE1FBE"/>
    <w:rsid w:val="29F251A2"/>
    <w:rsid w:val="29FE0F38"/>
    <w:rsid w:val="2A06757C"/>
    <w:rsid w:val="2A0D28C6"/>
    <w:rsid w:val="2A1E0314"/>
    <w:rsid w:val="2A20770F"/>
    <w:rsid w:val="2A2811AC"/>
    <w:rsid w:val="2A312809"/>
    <w:rsid w:val="2A362D83"/>
    <w:rsid w:val="2A3A46E6"/>
    <w:rsid w:val="2A3B6403"/>
    <w:rsid w:val="2A440685"/>
    <w:rsid w:val="2A545DA8"/>
    <w:rsid w:val="2A557A3E"/>
    <w:rsid w:val="2A5B4575"/>
    <w:rsid w:val="2A5C7369"/>
    <w:rsid w:val="2A6B5A87"/>
    <w:rsid w:val="2A6C4AFE"/>
    <w:rsid w:val="2A6E1829"/>
    <w:rsid w:val="2A8B04FF"/>
    <w:rsid w:val="2A92059E"/>
    <w:rsid w:val="2A945DDC"/>
    <w:rsid w:val="2AAE24F0"/>
    <w:rsid w:val="2AC57E82"/>
    <w:rsid w:val="2AC7385F"/>
    <w:rsid w:val="2AD15DAA"/>
    <w:rsid w:val="2AD67B4A"/>
    <w:rsid w:val="2AE14E01"/>
    <w:rsid w:val="2AEA45DE"/>
    <w:rsid w:val="2B014A21"/>
    <w:rsid w:val="2B03632D"/>
    <w:rsid w:val="2B105437"/>
    <w:rsid w:val="2B115B65"/>
    <w:rsid w:val="2B231220"/>
    <w:rsid w:val="2B236E38"/>
    <w:rsid w:val="2B290921"/>
    <w:rsid w:val="2B317F66"/>
    <w:rsid w:val="2B4155DC"/>
    <w:rsid w:val="2B510B16"/>
    <w:rsid w:val="2B744426"/>
    <w:rsid w:val="2B8B2F2D"/>
    <w:rsid w:val="2B8D7246"/>
    <w:rsid w:val="2B970DA4"/>
    <w:rsid w:val="2BA3180C"/>
    <w:rsid w:val="2BA33DCB"/>
    <w:rsid w:val="2BA360CD"/>
    <w:rsid w:val="2BB043D9"/>
    <w:rsid w:val="2BB32730"/>
    <w:rsid w:val="2BB5785C"/>
    <w:rsid w:val="2BCA7982"/>
    <w:rsid w:val="2BD810D9"/>
    <w:rsid w:val="2BFC0E39"/>
    <w:rsid w:val="2C03163E"/>
    <w:rsid w:val="2C0C48B9"/>
    <w:rsid w:val="2C0C57E6"/>
    <w:rsid w:val="2C13111D"/>
    <w:rsid w:val="2C19688B"/>
    <w:rsid w:val="2C1E334A"/>
    <w:rsid w:val="2C2C6AE7"/>
    <w:rsid w:val="2C464AD4"/>
    <w:rsid w:val="2C4E7214"/>
    <w:rsid w:val="2C54327C"/>
    <w:rsid w:val="2C6A374D"/>
    <w:rsid w:val="2C6F79E8"/>
    <w:rsid w:val="2C7858F7"/>
    <w:rsid w:val="2C7E738E"/>
    <w:rsid w:val="2C850C7D"/>
    <w:rsid w:val="2C8936B5"/>
    <w:rsid w:val="2C8B4A53"/>
    <w:rsid w:val="2C941326"/>
    <w:rsid w:val="2C941359"/>
    <w:rsid w:val="2C9B210F"/>
    <w:rsid w:val="2CB40928"/>
    <w:rsid w:val="2CC54BB0"/>
    <w:rsid w:val="2CEE6C10"/>
    <w:rsid w:val="2D07068D"/>
    <w:rsid w:val="2D1973F5"/>
    <w:rsid w:val="2D1F6AD0"/>
    <w:rsid w:val="2D254C1E"/>
    <w:rsid w:val="2D2C2A2A"/>
    <w:rsid w:val="2D2C7CD0"/>
    <w:rsid w:val="2D3B0BD4"/>
    <w:rsid w:val="2D3C1023"/>
    <w:rsid w:val="2D440206"/>
    <w:rsid w:val="2D4F3D8C"/>
    <w:rsid w:val="2D5E72CF"/>
    <w:rsid w:val="2D636D2E"/>
    <w:rsid w:val="2D692504"/>
    <w:rsid w:val="2D6F3A51"/>
    <w:rsid w:val="2D732085"/>
    <w:rsid w:val="2D833C34"/>
    <w:rsid w:val="2D86188B"/>
    <w:rsid w:val="2D9B1161"/>
    <w:rsid w:val="2DA157DE"/>
    <w:rsid w:val="2DAE6225"/>
    <w:rsid w:val="2DB37AC7"/>
    <w:rsid w:val="2DBC2F22"/>
    <w:rsid w:val="2DBE167C"/>
    <w:rsid w:val="2DBE355E"/>
    <w:rsid w:val="2DC2764D"/>
    <w:rsid w:val="2DD970A6"/>
    <w:rsid w:val="2DDC28D0"/>
    <w:rsid w:val="2DDF09CF"/>
    <w:rsid w:val="2DE4370A"/>
    <w:rsid w:val="2DFC4EF3"/>
    <w:rsid w:val="2E0C2DBC"/>
    <w:rsid w:val="2E192369"/>
    <w:rsid w:val="2E2D753E"/>
    <w:rsid w:val="2E4140E3"/>
    <w:rsid w:val="2E423AAB"/>
    <w:rsid w:val="2E4A3F02"/>
    <w:rsid w:val="2E543A56"/>
    <w:rsid w:val="2E59657A"/>
    <w:rsid w:val="2E5B1C2C"/>
    <w:rsid w:val="2E5C26BA"/>
    <w:rsid w:val="2E6C1F06"/>
    <w:rsid w:val="2E803A5A"/>
    <w:rsid w:val="2E814B90"/>
    <w:rsid w:val="2E866A23"/>
    <w:rsid w:val="2E947660"/>
    <w:rsid w:val="2E9940C9"/>
    <w:rsid w:val="2E9A6589"/>
    <w:rsid w:val="2EA24A18"/>
    <w:rsid w:val="2EB563DD"/>
    <w:rsid w:val="2ECF61F8"/>
    <w:rsid w:val="2EDB0E07"/>
    <w:rsid w:val="2EE174B4"/>
    <w:rsid w:val="2EE90A9F"/>
    <w:rsid w:val="2EE92F2A"/>
    <w:rsid w:val="2EFC711F"/>
    <w:rsid w:val="2EFF5251"/>
    <w:rsid w:val="2F0571A7"/>
    <w:rsid w:val="2F0D6CBD"/>
    <w:rsid w:val="2F0F7630"/>
    <w:rsid w:val="2F116868"/>
    <w:rsid w:val="2F292358"/>
    <w:rsid w:val="2F4A240F"/>
    <w:rsid w:val="2F5D761E"/>
    <w:rsid w:val="2F5E5870"/>
    <w:rsid w:val="2F605D7B"/>
    <w:rsid w:val="2F69219C"/>
    <w:rsid w:val="2F817E02"/>
    <w:rsid w:val="2F8311B5"/>
    <w:rsid w:val="2F8B7B7D"/>
    <w:rsid w:val="2F9325C4"/>
    <w:rsid w:val="2F95462F"/>
    <w:rsid w:val="2FA0765E"/>
    <w:rsid w:val="2FC204AD"/>
    <w:rsid w:val="2FC412AE"/>
    <w:rsid w:val="2FCB662E"/>
    <w:rsid w:val="2FCC0A7F"/>
    <w:rsid w:val="2FD304AD"/>
    <w:rsid w:val="2FDD4663"/>
    <w:rsid w:val="2FE01D27"/>
    <w:rsid w:val="2FEB598A"/>
    <w:rsid w:val="2FFB4501"/>
    <w:rsid w:val="2FFF6596"/>
    <w:rsid w:val="30072C06"/>
    <w:rsid w:val="300C58E5"/>
    <w:rsid w:val="30162DFA"/>
    <w:rsid w:val="3017785F"/>
    <w:rsid w:val="301B7420"/>
    <w:rsid w:val="30206693"/>
    <w:rsid w:val="30292A4C"/>
    <w:rsid w:val="302F4AFE"/>
    <w:rsid w:val="30325495"/>
    <w:rsid w:val="304B4F74"/>
    <w:rsid w:val="30561074"/>
    <w:rsid w:val="306754ED"/>
    <w:rsid w:val="306B406A"/>
    <w:rsid w:val="306C13B6"/>
    <w:rsid w:val="306E0944"/>
    <w:rsid w:val="30764817"/>
    <w:rsid w:val="3077488F"/>
    <w:rsid w:val="307776CD"/>
    <w:rsid w:val="30833062"/>
    <w:rsid w:val="30916627"/>
    <w:rsid w:val="309729E2"/>
    <w:rsid w:val="30C47D23"/>
    <w:rsid w:val="30CC5BA3"/>
    <w:rsid w:val="30F06D39"/>
    <w:rsid w:val="30F35A80"/>
    <w:rsid w:val="30F61B25"/>
    <w:rsid w:val="31096C6F"/>
    <w:rsid w:val="310B421D"/>
    <w:rsid w:val="310F434F"/>
    <w:rsid w:val="31231B4D"/>
    <w:rsid w:val="31287BD3"/>
    <w:rsid w:val="312E644C"/>
    <w:rsid w:val="313E6D90"/>
    <w:rsid w:val="314C0871"/>
    <w:rsid w:val="315262A0"/>
    <w:rsid w:val="31593BAD"/>
    <w:rsid w:val="315F3D07"/>
    <w:rsid w:val="316A7288"/>
    <w:rsid w:val="31766E6F"/>
    <w:rsid w:val="317925B5"/>
    <w:rsid w:val="317B0489"/>
    <w:rsid w:val="317D0773"/>
    <w:rsid w:val="31827946"/>
    <w:rsid w:val="31871475"/>
    <w:rsid w:val="31873A6A"/>
    <w:rsid w:val="319B26C8"/>
    <w:rsid w:val="319E2B23"/>
    <w:rsid w:val="31BE2860"/>
    <w:rsid w:val="31BF752E"/>
    <w:rsid w:val="31C642C1"/>
    <w:rsid w:val="31E40B06"/>
    <w:rsid w:val="31ED25FC"/>
    <w:rsid w:val="31EF595C"/>
    <w:rsid w:val="31F9640B"/>
    <w:rsid w:val="31FB62F8"/>
    <w:rsid w:val="31FE22B0"/>
    <w:rsid w:val="3200110E"/>
    <w:rsid w:val="32083AAA"/>
    <w:rsid w:val="320B7E1F"/>
    <w:rsid w:val="321744F8"/>
    <w:rsid w:val="32254318"/>
    <w:rsid w:val="32286151"/>
    <w:rsid w:val="322B310D"/>
    <w:rsid w:val="322C7FBB"/>
    <w:rsid w:val="32340DB8"/>
    <w:rsid w:val="323B4427"/>
    <w:rsid w:val="32405FD0"/>
    <w:rsid w:val="325729E7"/>
    <w:rsid w:val="325A6CF4"/>
    <w:rsid w:val="32631CAD"/>
    <w:rsid w:val="3270492D"/>
    <w:rsid w:val="32837F83"/>
    <w:rsid w:val="32AF0428"/>
    <w:rsid w:val="32B15F68"/>
    <w:rsid w:val="32B16367"/>
    <w:rsid w:val="32B85AF5"/>
    <w:rsid w:val="32C21BCE"/>
    <w:rsid w:val="32C612B3"/>
    <w:rsid w:val="32CF1161"/>
    <w:rsid w:val="32DD3816"/>
    <w:rsid w:val="33072F8E"/>
    <w:rsid w:val="331261B9"/>
    <w:rsid w:val="33213348"/>
    <w:rsid w:val="33410CB6"/>
    <w:rsid w:val="334674C0"/>
    <w:rsid w:val="33555D51"/>
    <w:rsid w:val="338E4170"/>
    <w:rsid w:val="33996018"/>
    <w:rsid w:val="339E11C2"/>
    <w:rsid w:val="33A06A36"/>
    <w:rsid w:val="33A17266"/>
    <w:rsid w:val="33A445AB"/>
    <w:rsid w:val="33A620B4"/>
    <w:rsid w:val="33A63B85"/>
    <w:rsid w:val="33AA2B43"/>
    <w:rsid w:val="33AE2E49"/>
    <w:rsid w:val="33BC031D"/>
    <w:rsid w:val="33C50CFD"/>
    <w:rsid w:val="33C7629D"/>
    <w:rsid w:val="33C76B3F"/>
    <w:rsid w:val="33D34272"/>
    <w:rsid w:val="33D44AA2"/>
    <w:rsid w:val="33DA0D58"/>
    <w:rsid w:val="33DF55EF"/>
    <w:rsid w:val="33ED6928"/>
    <w:rsid w:val="33F93802"/>
    <w:rsid w:val="3409310B"/>
    <w:rsid w:val="34101A63"/>
    <w:rsid w:val="34293DD0"/>
    <w:rsid w:val="34362E1C"/>
    <w:rsid w:val="343C1157"/>
    <w:rsid w:val="343E6209"/>
    <w:rsid w:val="345425E8"/>
    <w:rsid w:val="34670A12"/>
    <w:rsid w:val="3488740F"/>
    <w:rsid w:val="348B007A"/>
    <w:rsid w:val="348E3747"/>
    <w:rsid w:val="34901766"/>
    <w:rsid w:val="34904A87"/>
    <w:rsid w:val="34904B52"/>
    <w:rsid w:val="349F5805"/>
    <w:rsid w:val="34B17B33"/>
    <w:rsid w:val="34C07A59"/>
    <w:rsid w:val="34C76258"/>
    <w:rsid w:val="34E0133C"/>
    <w:rsid w:val="34EC00D9"/>
    <w:rsid w:val="34F454D7"/>
    <w:rsid w:val="35041A14"/>
    <w:rsid w:val="350463EE"/>
    <w:rsid w:val="350F6E06"/>
    <w:rsid w:val="35107B50"/>
    <w:rsid w:val="351C06F1"/>
    <w:rsid w:val="35240ABC"/>
    <w:rsid w:val="352D50B6"/>
    <w:rsid w:val="353754B9"/>
    <w:rsid w:val="353C3256"/>
    <w:rsid w:val="35542F26"/>
    <w:rsid w:val="355875D5"/>
    <w:rsid w:val="35643EC2"/>
    <w:rsid w:val="3577215B"/>
    <w:rsid w:val="357724FF"/>
    <w:rsid w:val="35773415"/>
    <w:rsid w:val="35786AB3"/>
    <w:rsid w:val="35791796"/>
    <w:rsid w:val="357B3F51"/>
    <w:rsid w:val="35827552"/>
    <w:rsid w:val="35856612"/>
    <w:rsid w:val="35B916E7"/>
    <w:rsid w:val="35BD29EE"/>
    <w:rsid w:val="35CD50F5"/>
    <w:rsid w:val="35D17D6B"/>
    <w:rsid w:val="35D854A1"/>
    <w:rsid w:val="360672F4"/>
    <w:rsid w:val="360A1549"/>
    <w:rsid w:val="3616428E"/>
    <w:rsid w:val="361B09B9"/>
    <w:rsid w:val="36236727"/>
    <w:rsid w:val="363633D2"/>
    <w:rsid w:val="3643553E"/>
    <w:rsid w:val="3645276A"/>
    <w:rsid w:val="364B30B7"/>
    <w:rsid w:val="36635FBB"/>
    <w:rsid w:val="366F3945"/>
    <w:rsid w:val="367A1029"/>
    <w:rsid w:val="3687172D"/>
    <w:rsid w:val="368C691B"/>
    <w:rsid w:val="368D2900"/>
    <w:rsid w:val="36910EE7"/>
    <w:rsid w:val="36936315"/>
    <w:rsid w:val="36BC22C2"/>
    <w:rsid w:val="36D1368D"/>
    <w:rsid w:val="36D75A4C"/>
    <w:rsid w:val="36DB69CF"/>
    <w:rsid w:val="36E94E1E"/>
    <w:rsid w:val="371E25D1"/>
    <w:rsid w:val="372A43CC"/>
    <w:rsid w:val="372B13FF"/>
    <w:rsid w:val="372D0965"/>
    <w:rsid w:val="37341121"/>
    <w:rsid w:val="373C2398"/>
    <w:rsid w:val="374F3DCC"/>
    <w:rsid w:val="376D14D2"/>
    <w:rsid w:val="37784AC7"/>
    <w:rsid w:val="378148A0"/>
    <w:rsid w:val="37874B78"/>
    <w:rsid w:val="37922E52"/>
    <w:rsid w:val="37A0513D"/>
    <w:rsid w:val="37BC65D9"/>
    <w:rsid w:val="37BE466E"/>
    <w:rsid w:val="37EB1F18"/>
    <w:rsid w:val="37F83CEB"/>
    <w:rsid w:val="38282846"/>
    <w:rsid w:val="382B422A"/>
    <w:rsid w:val="382C2BE2"/>
    <w:rsid w:val="3830758D"/>
    <w:rsid w:val="38381182"/>
    <w:rsid w:val="383E178E"/>
    <w:rsid w:val="3856049F"/>
    <w:rsid w:val="38563366"/>
    <w:rsid w:val="386347C7"/>
    <w:rsid w:val="387E138F"/>
    <w:rsid w:val="388446C1"/>
    <w:rsid w:val="388B407C"/>
    <w:rsid w:val="389708C6"/>
    <w:rsid w:val="38A02D03"/>
    <w:rsid w:val="38B408CC"/>
    <w:rsid w:val="38CD5711"/>
    <w:rsid w:val="38D96366"/>
    <w:rsid w:val="38DC554E"/>
    <w:rsid w:val="38E35C63"/>
    <w:rsid w:val="38EE72C2"/>
    <w:rsid w:val="39535D84"/>
    <w:rsid w:val="395C5567"/>
    <w:rsid w:val="396042A1"/>
    <w:rsid w:val="39695463"/>
    <w:rsid w:val="396A1C49"/>
    <w:rsid w:val="397768FA"/>
    <w:rsid w:val="39787738"/>
    <w:rsid w:val="39792600"/>
    <w:rsid w:val="398940A0"/>
    <w:rsid w:val="39895EEE"/>
    <w:rsid w:val="39972497"/>
    <w:rsid w:val="399F1AB8"/>
    <w:rsid w:val="39A363B2"/>
    <w:rsid w:val="39B339DD"/>
    <w:rsid w:val="39DC48FE"/>
    <w:rsid w:val="39DD508C"/>
    <w:rsid w:val="39E1591F"/>
    <w:rsid w:val="39F020F5"/>
    <w:rsid w:val="3A075ACB"/>
    <w:rsid w:val="3A0E732F"/>
    <w:rsid w:val="3A1011B1"/>
    <w:rsid w:val="3A1239BB"/>
    <w:rsid w:val="3A16786B"/>
    <w:rsid w:val="3A1D08D7"/>
    <w:rsid w:val="3A2017B2"/>
    <w:rsid w:val="3A244C7E"/>
    <w:rsid w:val="3A271FBF"/>
    <w:rsid w:val="3A2C54A3"/>
    <w:rsid w:val="3A2D4B3E"/>
    <w:rsid w:val="3A3E7785"/>
    <w:rsid w:val="3A4D7237"/>
    <w:rsid w:val="3A4F5937"/>
    <w:rsid w:val="3A5F50EB"/>
    <w:rsid w:val="3A6E36A5"/>
    <w:rsid w:val="3A715CFC"/>
    <w:rsid w:val="3A7205CF"/>
    <w:rsid w:val="3AD23DD8"/>
    <w:rsid w:val="3AF06299"/>
    <w:rsid w:val="3AF34CA9"/>
    <w:rsid w:val="3B202592"/>
    <w:rsid w:val="3B292ABB"/>
    <w:rsid w:val="3B2F4C22"/>
    <w:rsid w:val="3B3E25DE"/>
    <w:rsid w:val="3B407B46"/>
    <w:rsid w:val="3B521040"/>
    <w:rsid w:val="3B5520E3"/>
    <w:rsid w:val="3B5C2186"/>
    <w:rsid w:val="3B6963B7"/>
    <w:rsid w:val="3B7A2508"/>
    <w:rsid w:val="3B7B30D3"/>
    <w:rsid w:val="3B7C604F"/>
    <w:rsid w:val="3B7D13A3"/>
    <w:rsid w:val="3B8114AC"/>
    <w:rsid w:val="3B8935D4"/>
    <w:rsid w:val="3B9F20A6"/>
    <w:rsid w:val="3BAC0AC5"/>
    <w:rsid w:val="3BB04414"/>
    <w:rsid w:val="3BB4565B"/>
    <w:rsid w:val="3BC46F3C"/>
    <w:rsid w:val="3BE917A7"/>
    <w:rsid w:val="3BFA79FC"/>
    <w:rsid w:val="3C0F2ABF"/>
    <w:rsid w:val="3C230F1A"/>
    <w:rsid w:val="3C237FC1"/>
    <w:rsid w:val="3C317D4F"/>
    <w:rsid w:val="3C325371"/>
    <w:rsid w:val="3C364A7D"/>
    <w:rsid w:val="3C403D9A"/>
    <w:rsid w:val="3C4F1231"/>
    <w:rsid w:val="3C521816"/>
    <w:rsid w:val="3C56499E"/>
    <w:rsid w:val="3C77021F"/>
    <w:rsid w:val="3C8E521B"/>
    <w:rsid w:val="3C99358F"/>
    <w:rsid w:val="3CA511C8"/>
    <w:rsid w:val="3CBC0310"/>
    <w:rsid w:val="3CC91954"/>
    <w:rsid w:val="3CCB3018"/>
    <w:rsid w:val="3CCF2A4A"/>
    <w:rsid w:val="3CD117B7"/>
    <w:rsid w:val="3CDC08EA"/>
    <w:rsid w:val="3CF5510E"/>
    <w:rsid w:val="3D221471"/>
    <w:rsid w:val="3D3A5C01"/>
    <w:rsid w:val="3D3E5D3F"/>
    <w:rsid w:val="3D46031E"/>
    <w:rsid w:val="3D4B23DF"/>
    <w:rsid w:val="3D4F4924"/>
    <w:rsid w:val="3D585076"/>
    <w:rsid w:val="3D68556C"/>
    <w:rsid w:val="3D6C0817"/>
    <w:rsid w:val="3D6D3DCA"/>
    <w:rsid w:val="3D947FBD"/>
    <w:rsid w:val="3DA14B03"/>
    <w:rsid w:val="3DB3120D"/>
    <w:rsid w:val="3DBC27AC"/>
    <w:rsid w:val="3DDC77DE"/>
    <w:rsid w:val="3DDF71DE"/>
    <w:rsid w:val="3DE130E5"/>
    <w:rsid w:val="3DFA4ABB"/>
    <w:rsid w:val="3E0A3811"/>
    <w:rsid w:val="3E150154"/>
    <w:rsid w:val="3E1A5671"/>
    <w:rsid w:val="3E506617"/>
    <w:rsid w:val="3E5354E1"/>
    <w:rsid w:val="3E5F584E"/>
    <w:rsid w:val="3E655D52"/>
    <w:rsid w:val="3E7232A6"/>
    <w:rsid w:val="3E7D12A5"/>
    <w:rsid w:val="3E987CBB"/>
    <w:rsid w:val="3EA70BBC"/>
    <w:rsid w:val="3EB77510"/>
    <w:rsid w:val="3EB86412"/>
    <w:rsid w:val="3EBF436D"/>
    <w:rsid w:val="3EBF7088"/>
    <w:rsid w:val="3EC43422"/>
    <w:rsid w:val="3EC62494"/>
    <w:rsid w:val="3EC937B8"/>
    <w:rsid w:val="3ED22259"/>
    <w:rsid w:val="3EDB23F6"/>
    <w:rsid w:val="3EFF18A4"/>
    <w:rsid w:val="3F080D62"/>
    <w:rsid w:val="3F095430"/>
    <w:rsid w:val="3F1D47A2"/>
    <w:rsid w:val="3F243BB4"/>
    <w:rsid w:val="3F2F68E9"/>
    <w:rsid w:val="3F451215"/>
    <w:rsid w:val="3F461DFE"/>
    <w:rsid w:val="3F6D0F85"/>
    <w:rsid w:val="3F6F59EE"/>
    <w:rsid w:val="3F8148A6"/>
    <w:rsid w:val="3F9D428B"/>
    <w:rsid w:val="3FA24CC5"/>
    <w:rsid w:val="3FCD3738"/>
    <w:rsid w:val="3FCF5547"/>
    <w:rsid w:val="3FCF7F84"/>
    <w:rsid w:val="3FE0556A"/>
    <w:rsid w:val="3FE06FE9"/>
    <w:rsid w:val="3FEB7620"/>
    <w:rsid w:val="3FED2FEE"/>
    <w:rsid w:val="4000423D"/>
    <w:rsid w:val="40033EBD"/>
    <w:rsid w:val="40092835"/>
    <w:rsid w:val="400C3E7E"/>
    <w:rsid w:val="401850B5"/>
    <w:rsid w:val="403A5F19"/>
    <w:rsid w:val="404D5393"/>
    <w:rsid w:val="40503261"/>
    <w:rsid w:val="405606E3"/>
    <w:rsid w:val="405F5820"/>
    <w:rsid w:val="4065239D"/>
    <w:rsid w:val="40663630"/>
    <w:rsid w:val="407132F0"/>
    <w:rsid w:val="40725E8E"/>
    <w:rsid w:val="40747F9E"/>
    <w:rsid w:val="40751FC1"/>
    <w:rsid w:val="4077628E"/>
    <w:rsid w:val="407B74A6"/>
    <w:rsid w:val="407F0CEA"/>
    <w:rsid w:val="40836EE8"/>
    <w:rsid w:val="408A2726"/>
    <w:rsid w:val="4094460D"/>
    <w:rsid w:val="409A38DA"/>
    <w:rsid w:val="409B39D9"/>
    <w:rsid w:val="409F72EC"/>
    <w:rsid w:val="40A536E3"/>
    <w:rsid w:val="40A71312"/>
    <w:rsid w:val="40A76C3A"/>
    <w:rsid w:val="40AF59EB"/>
    <w:rsid w:val="40BC2888"/>
    <w:rsid w:val="40C06BBC"/>
    <w:rsid w:val="40D06E2D"/>
    <w:rsid w:val="40D94541"/>
    <w:rsid w:val="40DE22BD"/>
    <w:rsid w:val="40F54F53"/>
    <w:rsid w:val="41192870"/>
    <w:rsid w:val="41207C08"/>
    <w:rsid w:val="412F2E19"/>
    <w:rsid w:val="41352B85"/>
    <w:rsid w:val="41377A62"/>
    <w:rsid w:val="415B5A49"/>
    <w:rsid w:val="41662EFD"/>
    <w:rsid w:val="41705A00"/>
    <w:rsid w:val="417E176C"/>
    <w:rsid w:val="417E1DC8"/>
    <w:rsid w:val="41821957"/>
    <w:rsid w:val="41857757"/>
    <w:rsid w:val="419372FE"/>
    <w:rsid w:val="41957C9D"/>
    <w:rsid w:val="41980A43"/>
    <w:rsid w:val="41B70A09"/>
    <w:rsid w:val="41C82BCD"/>
    <w:rsid w:val="41CA08F9"/>
    <w:rsid w:val="41CD181B"/>
    <w:rsid w:val="41D76487"/>
    <w:rsid w:val="41E37F09"/>
    <w:rsid w:val="41F9085A"/>
    <w:rsid w:val="41FA0B4A"/>
    <w:rsid w:val="4200593A"/>
    <w:rsid w:val="421235C7"/>
    <w:rsid w:val="42163E55"/>
    <w:rsid w:val="421A1E4F"/>
    <w:rsid w:val="421D000E"/>
    <w:rsid w:val="423E6B9B"/>
    <w:rsid w:val="42455127"/>
    <w:rsid w:val="424E14D4"/>
    <w:rsid w:val="42592FDF"/>
    <w:rsid w:val="42686E1F"/>
    <w:rsid w:val="427F1C74"/>
    <w:rsid w:val="42823483"/>
    <w:rsid w:val="4284676C"/>
    <w:rsid w:val="4289732D"/>
    <w:rsid w:val="428F0700"/>
    <w:rsid w:val="42974E0F"/>
    <w:rsid w:val="42A40628"/>
    <w:rsid w:val="42C8522C"/>
    <w:rsid w:val="42D30684"/>
    <w:rsid w:val="42DA4398"/>
    <w:rsid w:val="42E13CBD"/>
    <w:rsid w:val="42E22014"/>
    <w:rsid w:val="42EA0E70"/>
    <w:rsid w:val="42FD408A"/>
    <w:rsid w:val="4313714B"/>
    <w:rsid w:val="43295B19"/>
    <w:rsid w:val="43325522"/>
    <w:rsid w:val="433B14DC"/>
    <w:rsid w:val="434C7E7D"/>
    <w:rsid w:val="4355160A"/>
    <w:rsid w:val="43642C1D"/>
    <w:rsid w:val="43681433"/>
    <w:rsid w:val="436D4129"/>
    <w:rsid w:val="43741AEE"/>
    <w:rsid w:val="43831386"/>
    <w:rsid w:val="43880A3F"/>
    <w:rsid w:val="438E36E2"/>
    <w:rsid w:val="43937148"/>
    <w:rsid w:val="439F5F39"/>
    <w:rsid w:val="43A42095"/>
    <w:rsid w:val="43AE247A"/>
    <w:rsid w:val="43BC1C85"/>
    <w:rsid w:val="43BD2556"/>
    <w:rsid w:val="43BD7E24"/>
    <w:rsid w:val="43C41F0B"/>
    <w:rsid w:val="43F27B99"/>
    <w:rsid w:val="44061D2C"/>
    <w:rsid w:val="442279F7"/>
    <w:rsid w:val="442E70E8"/>
    <w:rsid w:val="44366178"/>
    <w:rsid w:val="44444CE1"/>
    <w:rsid w:val="444516A3"/>
    <w:rsid w:val="44482CCC"/>
    <w:rsid w:val="445E080E"/>
    <w:rsid w:val="446442F9"/>
    <w:rsid w:val="446607FE"/>
    <w:rsid w:val="44692180"/>
    <w:rsid w:val="446E0159"/>
    <w:rsid w:val="446F5582"/>
    <w:rsid w:val="44712C23"/>
    <w:rsid w:val="44747820"/>
    <w:rsid w:val="447B02E6"/>
    <w:rsid w:val="44801112"/>
    <w:rsid w:val="44821B09"/>
    <w:rsid w:val="44954A46"/>
    <w:rsid w:val="44A93889"/>
    <w:rsid w:val="44AF72B7"/>
    <w:rsid w:val="44B96C8D"/>
    <w:rsid w:val="44BC24AF"/>
    <w:rsid w:val="44C75207"/>
    <w:rsid w:val="44D477DB"/>
    <w:rsid w:val="44E733F0"/>
    <w:rsid w:val="44EC3F13"/>
    <w:rsid w:val="44F77BC8"/>
    <w:rsid w:val="45012FC2"/>
    <w:rsid w:val="45027AA2"/>
    <w:rsid w:val="45106C5B"/>
    <w:rsid w:val="45123CC3"/>
    <w:rsid w:val="451C4FA6"/>
    <w:rsid w:val="4520647E"/>
    <w:rsid w:val="45274209"/>
    <w:rsid w:val="452E0D96"/>
    <w:rsid w:val="452F115C"/>
    <w:rsid w:val="453F2C7C"/>
    <w:rsid w:val="45521589"/>
    <w:rsid w:val="456D2FC0"/>
    <w:rsid w:val="45775D21"/>
    <w:rsid w:val="459A4C28"/>
    <w:rsid w:val="45A9077F"/>
    <w:rsid w:val="45B42AA3"/>
    <w:rsid w:val="45B44640"/>
    <w:rsid w:val="45C6018C"/>
    <w:rsid w:val="45CE0FE5"/>
    <w:rsid w:val="45D010B6"/>
    <w:rsid w:val="45D22880"/>
    <w:rsid w:val="45D5038D"/>
    <w:rsid w:val="45E479AF"/>
    <w:rsid w:val="45EA312B"/>
    <w:rsid w:val="46020378"/>
    <w:rsid w:val="461E5DED"/>
    <w:rsid w:val="4629328A"/>
    <w:rsid w:val="462B6901"/>
    <w:rsid w:val="4634554F"/>
    <w:rsid w:val="46490D7F"/>
    <w:rsid w:val="465316EE"/>
    <w:rsid w:val="465962EF"/>
    <w:rsid w:val="46702208"/>
    <w:rsid w:val="46786AC1"/>
    <w:rsid w:val="4697041F"/>
    <w:rsid w:val="469B4C56"/>
    <w:rsid w:val="46A550B6"/>
    <w:rsid w:val="46AE29D5"/>
    <w:rsid w:val="46B02061"/>
    <w:rsid w:val="46B46C28"/>
    <w:rsid w:val="46BB6B95"/>
    <w:rsid w:val="46C5286B"/>
    <w:rsid w:val="46DA2DB1"/>
    <w:rsid w:val="46E148D5"/>
    <w:rsid w:val="46E40B26"/>
    <w:rsid w:val="46EC5309"/>
    <w:rsid w:val="46EE0E67"/>
    <w:rsid w:val="46FD7D04"/>
    <w:rsid w:val="47012593"/>
    <w:rsid w:val="47035F29"/>
    <w:rsid w:val="47087841"/>
    <w:rsid w:val="47154B73"/>
    <w:rsid w:val="4722634B"/>
    <w:rsid w:val="47594138"/>
    <w:rsid w:val="4771599D"/>
    <w:rsid w:val="477A64CC"/>
    <w:rsid w:val="477F52CA"/>
    <w:rsid w:val="478B7BE5"/>
    <w:rsid w:val="47A51912"/>
    <w:rsid w:val="47AD7F27"/>
    <w:rsid w:val="47B33269"/>
    <w:rsid w:val="47B4405A"/>
    <w:rsid w:val="47BC6B2E"/>
    <w:rsid w:val="47CB6F44"/>
    <w:rsid w:val="47DD6624"/>
    <w:rsid w:val="47EA4A5D"/>
    <w:rsid w:val="47FB6540"/>
    <w:rsid w:val="4808073D"/>
    <w:rsid w:val="48100849"/>
    <w:rsid w:val="481C3C07"/>
    <w:rsid w:val="48326284"/>
    <w:rsid w:val="483A0680"/>
    <w:rsid w:val="483C7010"/>
    <w:rsid w:val="48481FAB"/>
    <w:rsid w:val="485C4C26"/>
    <w:rsid w:val="487E0B7D"/>
    <w:rsid w:val="488A0531"/>
    <w:rsid w:val="488A6065"/>
    <w:rsid w:val="488C0EAD"/>
    <w:rsid w:val="489A680E"/>
    <w:rsid w:val="48B171EE"/>
    <w:rsid w:val="48B73CF7"/>
    <w:rsid w:val="48BB7358"/>
    <w:rsid w:val="48D671DD"/>
    <w:rsid w:val="48DE2EBA"/>
    <w:rsid w:val="48EF6BF5"/>
    <w:rsid w:val="48FF7F80"/>
    <w:rsid w:val="490B09A2"/>
    <w:rsid w:val="490C31C9"/>
    <w:rsid w:val="490E6B61"/>
    <w:rsid w:val="491223A8"/>
    <w:rsid w:val="491A2751"/>
    <w:rsid w:val="491F2A4F"/>
    <w:rsid w:val="494368E7"/>
    <w:rsid w:val="494A7E0C"/>
    <w:rsid w:val="49553D3C"/>
    <w:rsid w:val="495A5369"/>
    <w:rsid w:val="495D2486"/>
    <w:rsid w:val="49647AD8"/>
    <w:rsid w:val="4966134B"/>
    <w:rsid w:val="49692959"/>
    <w:rsid w:val="49731755"/>
    <w:rsid w:val="4984788C"/>
    <w:rsid w:val="499330DB"/>
    <w:rsid w:val="49957F37"/>
    <w:rsid w:val="499E5C5B"/>
    <w:rsid w:val="49BA39B6"/>
    <w:rsid w:val="49BC7FE5"/>
    <w:rsid w:val="49BE748D"/>
    <w:rsid w:val="49D7110A"/>
    <w:rsid w:val="49E47DF9"/>
    <w:rsid w:val="49FD02D3"/>
    <w:rsid w:val="49FE5E88"/>
    <w:rsid w:val="4A021110"/>
    <w:rsid w:val="4A092093"/>
    <w:rsid w:val="4A1F6D36"/>
    <w:rsid w:val="4A32411C"/>
    <w:rsid w:val="4A5265A5"/>
    <w:rsid w:val="4A564F51"/>
    <w:rsid w:val="4A6442A4"/>
    <w:rsid w:val="4A74601C"/>
    <w:rsid w:val="4A8356C9"/>
    <w:rsid w:val="4A8D3693"/>
    <w:rsid w:val="4A901293"/>
    <w:rsid w:val="4AA03D83"/>
    <w:rsid w:val="4AC46421"/>
    <w:rsid w:val="4AC54300"/>
    <w:rsid w:val="4AD52F7A"/>
    <w:rsid w:val="4AE9652D"/>
    <w:rsid w:val="4AEB0148"/>
    <w:rsid w:val="4AEB33D0"/>
    <w:rsid w:val="4AED46A9"/>
    <w:rsid w:val="4AEE6F26"/>
    <w:rsid w:val="4AF53621"/>
    <w:rsid w:val="4AF960EE"/>
    <w:rsid w:val="4B2128C4"/>
    <w:rsid w:val="4B2474AB"/>
    <w:rsid w:val="4B355F2E"/>
    <w:rsid w:val="4B35781C"/>
    <w:rsid w:val="4B420E5C"/>
    <w:rsid w:val="4B461439"/>
    <w:rsid w:val="4B4C7A2B"/>
    <w:rsid w:val="4B4D1F82"/>
    <w:rsid w:val="4B4F1ECE"/>
    <w:rsid w:val="4B552E2F"/>
    <w:rsid w:val="4B603908"/>
    <w:rsid w:val="4B65259B"/>
    <w:rsid w:val="4B7456B2"/>
    <w:rsid w:val="4B850BB3"/>
    <w:rsid w:val="4B994EC8"/>
    <w:rsid w:val="4BAC6702"/>
    <w:rsid w:val="4BAD75BB"/>
    <w:rsid w:val="4BAF2934"/>
    <w:rsid w:val="4BB51715"/>
    <w:rsid w:val="4BB62267"/>
    <w:rsid w:val="4BBB59F0"/>
    <w:rsid w:val="4BC74B46"/>
    <w:rsid w:val="4BCA4B75"/>
    <w:rsid w:val="4BD032D2"/>
    <w:rsid w:val="4BD151A3"/>
    <w:rsid w:val="4BDF12D2"/>
    <w:rsid w:val="4BE215A2"/>
    <w:rsid w:val="4BE413B6"/>
    <w:rsid w:val="4BEB1C4C"/>
    <w:rsid w:val="4BEC1D18"/>
    <w:rsid w:val="4BEC2015"/>
    <w:rsid w:val="4BF26692"/>
    <w:rsid w:val="4C06220A"/>
    <w:rsid w:val="4C066545"/>
    <w:rsid w:val="4C0776D2"/>
    <w:rsid w:val="4C175BEF"/>
    <w:rsid w:val="4C1B2007"/>
    <w:rsid w:val="4C3F777D"/>
    <w:rsid w:val="4C405A80"/>
    <w:rsid w:val="4C451417"/>
    <w:rsid w:val="4C6F41BB"/>
    <w:rsid w:val="4C7503D7"/>
    <w:rsid w:val="4CC13314"/>
    <w:rsid w:val="4CCD6AEF"/>
    <w:rsid w:val="4CE618C5"/>
    <w:rsid w:val="4CE77462"/>
    <w:rsid w:val="4CFC6B40"/>
    <w:rsid w:val="4D1753A3"/>
    <w:rsid w:val="4D1B34CC"/>
    <w:rsid w:val="4D214D97"/>
    <w:rsid w:val="4D240A60"/>
    <w:rsid w:val="4D2F0038"/>
    <w:rsid w:val="4D3C2A7E"/>
    <w:rsid w:val="4D412EB0"/>
    <w:rsid w:val="4D4C0D51"/>
    <w:rsid w:val="4D5E4BDE"/>
    <w:rsid w:val="4D6B10DD"/>
    <w:rsid w:val="4D6E0950"/>
    <w:rsid w:val="4D800DCA"/>
    <w:rsid w:val="4D860182"/>
    <w:rsid w:val="4D872A8D"/>
    <w:rsid w:val="4D897ED5"/>
    <w:rsid w:val="4D9D1B4A"/>
    <w:rsid w:val="4DAA380B"/>
    <w:rsid w:val="4DBC1840"/>
    <w:rsid w:val="4DDA4F6F"/>
    <w:rsid w:val="4DDE1DBA"/>
    <w:rsid w:val="4DEF1EE0"/>
    <w:rsid w:val="4DF323FF"/>
    <w:rsid w:val="4E0530F0"/>
    <w:rsid w:val="4E0756F2"/>
    <w:rsid w:val="4E084E82"/>
    <w:rsid w:val="4E296E89"/>
    <w:rsid w:val="4E2C4C7A"/>
    <w:rsid w:val="4E592200"/>
    <w:rsid w:val="4E6658CE"/>
    <w:rsid w:val="4E781049"/>
    <w:rsid w:val="4E7F2EC3"/>
    <w:rsid w:val="4E82184C"/>
    <w:rsid w:val="4E9C7016"/>
    <w:rsid w:val="4E9F39D1"/>
    <w:rsid w:val="4EA0132C"/>
    <w:rsid w:val="4EA4175F"/>
    <w:rsid w:val="4EC124B0"/>
    <w:rsid w:val="4ECE1A58"/>
    <w:rsid w:val="4ED6509D"/>
    <w:rsid w:val="4EDF56C2"/>
    <w:rsid w:val="4EE7766B"/>
    <w:rsid w:val="4F011216"/>
    <w:rsid w:val="4F105D44"/>
    <w:rsid w:val="4F195B51"/>
    <w:rsid w:val="4F207F31"/>
    <w:rsid w:val="4F4A7882"/>
    <w:rsid w:val="4F602D94"/>
    <w:rsid w:val="4F6735BD"/>
    <w:rsid w:val="4F74203C"/>
    <w:rsid w:val="4F744A90"/>
    <w:rsid w:val="4F745AA8"/>
    <w:rsid w:val="4F757E03"/>
    <w:rsid w:val="4F903C08"/>
    <w:rsid w:val="4F9B44D7"/>
    <w:rsid w:val="4F9C4562"/>
    <w:rsid w:val="4F9D0AD5"/>
    <w:rsid w:val="4FB95EA0"/>
    <w:rsid w:val="4FB97D9D"/>
    <w:rsid w:val="4FD13FFF"/>
    <w:rsid w:val="4FD307F1"/>
    <w:rsid w:val="4FD35DFE"/>
    <w:rsid w:val="500B6DFA"/>
    <w:rsid w:val="50162FC7"/>
    <w:rsid w:val="50270E2E"/>
    <w:rsid w:val="502F547B"/>
    <w:rsid w:val="503165A5"/>
    <w:rsid w:val="503254B0"/>
    <w:rsid w:val="503F4A93"/>
    <w:rsid w:val="50481D30"/>
    <w:rsid w:val="505F50A9"/>
    <w:rsid w:val="50684E38"/>
    <w:rsid w:val="508C09A2"/>
    <w:rsid w:val="508D6F98"/>
    <w:rsid w:val="509269CD"/>
    <w:rsid w:val="50A56523"/>
    <w:rsid w:val="50B44BAF"/>
    <w:rsid w:val="50B8575B"/>
    <w:rsid w:val="50E41A75"/>
    <w:rsid w:val="50E50704"/>
    <w:rsid w:val="50F011CC"/>
    <w:rsid w:val="510F32DE"/>
    <w:rsid w:val="51102935"/>
    <w:rsid w:val="51145025"/>
    <w:rsid w:val="512B191D"/>
    <w:rsid w:val="512F1B85"/>
    <w:rsid w:val="5130783B"/>
    <w:rsid w:val="51310B1A"/>
    <w:rsid w:val="513C3735"/>
    <w:rsid w:val="513F1263"/>
    <w:rsid w:val="51542AB4"/>
    <w:rsid w:val="515F4F56"/>
    <w:rsid w:val="51604F6E"/>
    <w:rsid w:val="51685812"/>
    <w:rsid w:val="51720C7F"/>
    <w:rsid w:val="517974DD"/>
    <w:rsid w:val="518510CA"/>
    <w:rsid w:val="518520A2"/>
    <w:rsid w:val="518A00F3"/>
    <w:rsid w:val="518A17D1"/>
    <w:rsid w:val="518B1E92"/>
    <w:rsid w:val="519D3DC6"/>
    <w:rsid w:val="51A82951"/>
    <w:rsid w:val="51AE3FFC"/>
    <w:rsid w:val="51B12F2F"/>
    <w:rsid w:val="51C33A40"/>
    <w:rsid w:val="51D71CD7"/>
    <w:rsid w:val="51D84FEA"/>
    <w:rsid w:val="51DB5B5A"/>
    <w:rsid w:val="51DC05D9"/>
    <w:rsid w:val="51EB0F2B"/>
    <w:rsid w:val="51F016B4"/>
    <w:rsid w:val="520805DE"/>
    <w:rsid w:val="521A7144"/>
    <w:rsid w:val="521B4D65"/>
    <w:rsid w:val="52231EB6"/>
    <w:rsid w:val="523535C9"/>
    <w:rsid w:val="524266A1"/>
    <w:rsid w:val="52447114"/>
    <w:rsid w:val="52464937"/>
    <w:rsid w:val="5260094D"/>
    <w:rsid w:val="52605C5C"/>
    <w:rsid w:val="52695938"/>
    <w:rsid w:val="526E1DC3"/>
    <w:rsid w:val="52807369"/>
    <w:rsid w:val="528577D8"/>
    <w:rsid w:val="52B000CA"/>
    <w:rsid w:val="52B35120"/>
    <w:rsid w:val="52B702DA"/>
    <w:rsid w:val="52B94AE7"/>
    <w:rsid w:val="52BA0EE3"/>
    <w:rsid w:val="52BB3094"/>
    <w:rsid w:val="52BB6E5A"/>
    <w:rsid w:val="52E718A9"/>
    <w:rsid w:val="52F17311"/>
    <w:rsid w:val="52FD58C8"/>
    <w:rsid w:val="530745DA"/>
    <w:rsid w:val="53155F53"/>
    <w:rsid w:val="531E45BA"/>
    <w:rsid w:val="532031E7"/>
    <w:rsid w:val="53206EA1"/>
    <w:rsid w:val="532726A3"/>
    <w:rsid w:val="53370C77"/>
    <w:rsid w:val="533C0532"/>
    <w:rsid w:val="534743DC"/>
    <w:rsid w:val="536A00AA"/>
    <w:rsid w:val="53824406"/>
    <w:rsid w:val="538770ED"/>
    <w:rsid w:val="53914678"/>
    <w:rsid w:val="539B5614"/>
    <w:rsid w:val="53A663A9"/>
    <w:rsid w:val="53AB1851"/>
    <w:rsid w:val="53B312EA"/>
    <w:rsid w:val="53B42FB0"/>
    <w:rsid w:val="53BD4AB1"/>
    <w:rsid w:val="53BE0C5F"/>
    <w:rsid w:val="53C837DC"/>
    <w:rsid w:val="53CE31E2"/>
    <w:rsid w:val="53D33673"/>
    <w:rsid w:val="53E50F42"/>
    <w:rsid w:val="53ED3015"/>
    <w:rsid w:val="53F4155E"/>
    <w:rsid w:val="54030ACB"/>
    <w:rsid w:val="54162007"/>
    <w:rsid w:val="54175B55"/>
    <w:rsid w:val="541961AE"/>
    <w:rsid w:val="541A26C8"/>
    <w:rsid w:val="54383373"/>
    <w:rsid w:val="543B4657"/>
    <w:rsid w:val="543E7791"/>
    <w:rsid w:val="544D7CE1"/>
    <w:rsid w:val="54533DB2"/>
    <w:rsid w:val="54643004"/>
    <w:rsid w:val="546817B3"/>
    <w:rsid w:val="54721F53"/>
    <w:rsid w:val="54752414"/>
    <w:rsid w:val="54784212"/>
    <w:rsid w:val="548163A5"/>
    <w:rsid w:val="54840AE9"/>
    <w:rsid w:val="54860844"/>
    <w:rsid w:val="549C2B15"/>
    <w:rsid w:val="54B253C2"/>
    <w:rsid w:val="54C17BB1"/>
    <w:rsid w:val="54CB4928"/>
    <w:rsid w:val="54CC0ACD"/>
    <w:rsid w:val="54D03704"/>
    <w:rsid w:val="54D943D9"/>
    <w:rsid w:val="54DE0122"/>
    <w:rsid w:val="54FE4FC1"/>
    <w:rsid w:val="551673AA"/>
    <w:rsid w:val="552169C5"/>
    <w:rsid w:val="552A3C12"/>
    <w:rsid w:val="55403C70"/>
    <w:rsid w:val="55434E45"/>
    <w:rsid w:val="55533E09"/>
    <w:rsid w:val="55607CD4"/>
    <w:rsid w:val="5565049F"/>
    <w:rsid w:val="55652A6A"/>
    <w:rsid w:val="556C1CDE"/>
    <w:rsid w:val="55825C0C"/>
    <w:rsid w:val="55854D1D"/>
    <w:rsid w:val="55985858"/>
    <w:rsid w:val="55B46640"/>
    <w:rsid w:val="55BB2C57"/>
    <w:rsid w:val="55C35A27"/>
    <w:rsid w:val="55C447DD"/>
    <w:rsid w:val="55D50FCE"/>
    <w:rsid w:val="55E179BA"/>
    <w:rsid w:val="55F24BBD"/>
    <w:rsid w:val="56032E5B"/>
    <w:rsid w:val="563208CA"/>
    <w:rsid w:val="56331E4B"/>
    <w:rsid w:val="564152E4"/>
    <w:rsid w:val="56591529"/>
    <w:rsid w:val="565D602B"/>
    <w:rsid w:val="566035B8"/>
    <w:rsid w:val="56674EBC"/>
    <w:rsid w:val="56765AAC"/>
    <w:rsid w:val="567B51EA"/>
    <w:rsid w:val="567D02A8"/>
    <w:rsid w:val="568F5C5D"/>
    <w:rsid w:val="56A572D1"/>
    <w:rsid w:val="56B051ED"/>
    <w:rsid w:val="56BB5492"/>
    <w:rsid w:val="56C17C74"/>
    <w:rsid w:val="56D30FC3"/>
    <w:rsid w:val="56E46059"/>
    <w:rsid w:val="56E8556C"/>
    <w:rsid w:val="56EF7880"/>
    <w:rsid w:val="57064E4E"/>
    <w:rsid w:val="571840B8"/>
    <w:rsid w:val="571E12FD"/>
    <w:rsid w:val="571E1B56"/>
    <w:rsid w:val="57240C38"/>
    <w:rsid w:val="572E3C38"/>
    <w:rsid w:val="57394B94"/>
    <w:rsid w:val="57417507"/>
    <w:rsid w:val="57442D7D"/>
    <w:rsid w:val="57592B9D"/>
    <w:rsid w:val="575F576C"/>
    <w:rsid w:val="576363DE"/>
    <w:rsid w:val="57753981"/>
    <w:rsid w:val="57762C36"/>
    <w:rsid w:val="57821B98"/>
    <w:rsid w:val="5783588B"/>
    <w:rsid w:val="578674CB"/>
    <w:rsid w:val="57904098"/>
    <w:rsid w:val="57920389"/>
    <w:rsid w:val="579613BF"/>
    <w:rsid w:val="579960F0"/>
    <w:rsid w:val="579A6893"/>
    <w:rsid w:val="57AD01CC"/>
    <w:rsid w:val="57B50297"/>
    <w:rsid w:val="57BB6DD2"/>
    <w:rsid w:val="57C72B2A"/>
    <w:rsid w:val="57C9153C"/>
    <w:rsid w:val="57D37CCE"/>
    <w:rsid w:val="57D81963"/>
    <w:rsid w:val="57DD1384"/>
    <w:rsid w:val="57E003CE"/>
    <w:rsid w:val="57F960F4"/>
    <w:rsid w:val="57FC249B"/>
    <w:rsid w:val="57FE5737"/>
    <w:rsid w:val="58152B2E"/>
    <w:rsid w:val="58283F8C"/>
    <w:rsid w:val="5830544E"/>
    <w:rsid w:val="5834577F"/>
    <w:rsid w:val="58396E61"/>
    <w:rsid w:val="583C4262"/>
    <w:rsid w:val="585B48D5"/>
    <w:rsid w:val="586033AF"/>
    <w:rsid w:val="586C0487"/>
    <w:rsid w:val="586F1EAC"/>
    <w:rsid w:val="58756360"/>
    <w:rsid w:val="587E7537"/>
    <w:rsid w:val="588C4243"/>
    <w:rsid w:val="58930536"/>
    <w:rsid w:val="589D361A"/>
    <w:rsid w:val="58A14202"/>
    <w:rsid w:val="58A710DD"/>
    <w:rsid w:val="58AA360C"/>
    <w:rsid w:val="58B66FB9"/>
    <w:rsid w:val="58B74B58"/>
    <w:rsid w:val="58C1689F"/>
    <w:rsid w:val="58C45294"/>
    <w:rsid w:val="58DF6501"/>
    <w:rsid w:val="58E916AB"/>
    <w:rsid w:val="58F0428B"/>
    <w:rsid w:val="58F441E8"/>
    <w:rsid w:val="58F72EC9"/>
    <w:rsid w:val="58FD0E9A"/>
    <w:rsid w:val="5909574C"/>
    <w:rsid w:val="593D1D89"/>
    <w:rsid w:val="594A3B83"/>
    <w:rsid w:val="594E4BE6"/>
    <w:rsid w:val="59663FA9"/>
    <w:rsid w:val="59676447"/>
    <w:rsid w:val="596A34DE"/>
    <w:rsid w:val="596E2BEA"/>
    <w:rsid w:val="59853C9C"/>
    <w:rsid w:val="5986762F"/>
    <w:rsid w:val="59877CA3"/>
    <w:rsid w:val="599B4CA6"/>
    <w:rsid w:val="59AB58BC"/>
    <w:rsid w:val="59AF66F2"/>
    <w:rsid w:val="59B11495"/>
    <w:rsid w:val="59B45580"/>
    <w:rsid w:val="59BE0839"/>
    <w:rsid w:val="59CD0869"/>
    <w:rsid w:val="59DB4595"/>
    <w:rsid w:val="59E334B1"/>
    <w:rsid w:val="59E806B1"/>
    <w:rsid w:val="59FB71C7"/>
    <w:rsid w:val="5A2927C4"/>
    <w:rsid w:val="5A2A2CC2"/>
    <w:rsid w:val="5A30065E"/>
    <w:rsid w:val="5A4E39AD"/>
    <w:rsid w:val="5A526FF2"/>
    <w:rsid w:val="5A5B48A0"/>
    <w:rsid w:val="5A677424"/>
    <w:rsid w:val="5A6E34A0"/>
    <w:rsid w:val="5A771AAB"/>
    <w:rsid w:val="5A8A3F5E"/>
    <w:rsid w:val="5A9E56D4"/>
    <w:rsid w:val="5AA3454D"/>
    <w:rsid w:val="5AB20948"/>
    <w:rsid w:val="5ABF3B23"/>
    <w:rsid w:val="5AC965FA"/>
    <w:rsid w:val="5ACB7EBA"/>
    <w:rsid w:val="5AD03263"/>
    <w:rsid w:val="5AD473E9"/>
    <w:rsid w:val="5AE242AE"/>
    <w:rsid w:val="5AE41D4A"/>
    <w:rsid w:val="5AEB5961"/>
    <w:rsid w:val="5AEE0DC0"/>
    <w:rsid w:val="5AEF11B7"/>
    <w:rsid w:val="5AF47139"/>
    <w:rsid w:val="5AFB614B"/>
    <w:rsid w:val="5B1375BA"/>
    <w:rsid w:val="5B24569D"/>
    <w:rsid w:val="5B3544A1"/>
    <w:rsid w:val="5B360D68"/>
    <w:rsid w:val="5B3714FE"/>
    <w:rsid w:val="5B442C81"/>
    <w:rsid w:val="5B4601F0"/>
    <w:rsid w:val="5B473BBC"/>
    <w:rsid w:val="5B4F6648"/>
    <w:rsid w:val="5B511297"/>
    <w:rsid w:val="5B59057B"/>
    <w:rsid w:val="5B77757C"/>
    <w:rsid w:val="5B783759"/>
    <w:rsid w:val="5B790C02"/>
    <w:rsid w:val="5B8073C1"/>
    <w:rsid w:val="5B994BC7"/>
    <w:rsid w:val="5B9A396C"/>
    <w:rsid w:val="5B9F6755"/>
    <w:rsid w:val="5BA0475C"/>
    <w:rsid w:val="5BA57288"/>
    <w:rsid w:val="5BA617E2"/>
    <w:rsid w:val="5BB711F2"/>
    <w:rsid w:val="5BC32436"/>
    <w:rsid w:val="5BC53BB9"/>
    <w:rsid w:val="5BC63E1E"/>
    <w:rsid w:val="5BFB1F04"/>
    <w:rsid w:val="5BFC1184"/>
    <w:rsid w:val="5BFC650A"/>
    <w:rsid w:val="5C080E98"/>
    <w:rsid w:val="5C110D6E"/>
    <w:rsid w:val="5C260786"/>
    <w:rsid w:val="5C462212"/>
    <w:rsid w:val="5C462B25"/>
    <w:rsid w:val="5C4F68CA"/>
    <w:rsid w:val="5C6C7FA9"/>
    <w:rsid w:val="5C710283"/>
    <w:rsid w:val="5C715B74"/>
    <w:rsid w:val="5C891BC7"/>
    <w:rsid w:val="5C8C295D"/>
    <w:rsid w:val="5C8F2947"/>
    <w:rsid w:val="5C956D2D"/>
    <w:rsid w:val="5C9F0030"/>
    <w:rsid w:val="5CA71621"/>
    <w:rsid w:val="5CB808BA"/>
    <w:rsid w:val="5CBE4924"/>
    <w:rsid w:val="5CC1170F"/>
    <w:rsid w:val="5CC230CE"/>
    <w:rsid w:val="5CD56C0C"/>
    <w:rsid w:val="5CDC1F42"/>
    <w:rsid w:val="5CEB2DFF"/>
    <w:rsid w:val="5D061D3F"/>
    <w:rsid w:val="5D0A3667"/>
    <w:rsid w:val="5D2011F0"/>
    <w:rsid w:val="5D344440"/>
    <w:rsid w:val="5D400B36"/>
    <w:rsid w:val="5D462E72"/>
    <w:rsid w:val="5D5725BD"/>
    <w:rsid w:val="5D6D354B"/>
    <w:rsid w:val="5D6F0703"/>
    <w:rsid w:val="5D895E98"/>
    <w:rsid w:val="5D993C6B"/>
    <w:rsid w:val="5D9A411F"/>
    <w:rsid w:val="5D9B0617"/>
    <w:rsid w:val="5DA5587D"/>
    <w:rsid w:val="5DB424CC"/>
    <w:rsid w:val="5DBE0E7F"/>
    <w:rsid w:val="5DD056CE"/>
    <w:rsid w:val="5DD354B6"/>
    <w:rsid w:val="5DF25344"/>
    <w:rsid w:val="5DF41277"/>
    <w:rsid w:val="5E0820BE"/>
    <w:rsid w:val="5E2D26D7"/>
    <w:rsid w:val="5E326D5E"/>
    <w:rsid w:val="5E3766B2"/>
    <w:rsid w:val="5E4B28C2"/>
    <w:rsid w:val="5E577D46"/>
    <w:rsid w:val="5E5B0189"/>
    <w:rsid w:val="5E7B3E3C"/>
    <w:rsid w:val="5E8B4DFB"/>
    <w:rsid w:val="5E8E40ED"/>
    <w:rsid w:val="5E8E7174"/>
    <w:rsid w:val="5E93040B"/>
    <w:rsid w:val="5E96092F"/>
    <w:rsid w:val="5EA6186D"/>
    <w:rsid w:val="5EC91738"/>
    <w:rsid w:val="5ECF7A28"/>
    <w:rsid w:val="5EF25F5B"/>
    <w:rsid w:val="5F0B458F"/>
    <w:rsid w:val="5F0E5791"/>
    <w:rsid w:val="5F162568"/>
    <w:rsid w:val="5F2F6C15"/>
    <w:rsid w:val="5F376CEC"/>
    <w:rsid w:val="5F455017"/>
    <w:rsid w:val="5F4A349A"/>
    <w:rsid w:val="5F4C7E0F"/>
    <w:rsid w:val="5F6934C9"/>
    <w:rsid w:val="5F6945D6"/>
    <w:rsid w:val="5F6B31BF"/>
    <w:rsid w:val="5F884E94"/>
    <w:rsid w:val="5F9D7804"/>
    <w:rsid w:val="5FA94E6D"/>
    <w:rsid w:val="5FAC1F13"/>
    <w:rsid w:val="5FB51D95"/>
    <w:rsid w:val="5FCF3942"/>
    <w:rsid w:val="5FD95B09"/>
    <w:rsid w:val="5FE14018"/>
    <w:rsid w:val="5FE806E2"/>
    <w:rsid w:val="5FF215EB"/>
    <w:rsid w:val="5FF33789"/>
    <w:rsid w:val="600641E4"/>
    <w:rsid w:val="60072D53"/>
    <w:rsid w:val="60207CDE"/>
    <w:rsid w:val="60224D3D"/>
    <w:rsid w:val="602C68CB"/>
    <w:rsid w:val="603500DB"/>
    <w:rsid w:val="604332ED"/>
    <w:rsid w:val="60552A7F"/>
    <w:rsid w:val="606F7D28"/>
    <w:rsid w:val="60756050"/>
    <w:rsid w:val="608C7D33"/>
    <w:rsid w:val="609B251C"/>
    <w:rsid w:val="60A2769B"/>
    <w:rsid w:val="60AE7674"/>
    <w:rsid w:val="60C15ACE"/>
    <w:rsid w:val="60C81BEC"/>
    <w:rsid w:val="60C95EA9"/>
    <w:rsid w:val="60DD4287"/>
    <w:rsid w:val="60EA1A68"/>
    <w:rsid w:val="60F032C1"/>
    <w:rsid w:val="60F42A9A"/>
    <w:rsid w:val="60FA0311"/>
    <w:rsid w:val="60FD525B"/>
    <w:rsid w:val="610B20B9"/>
    <w:rsid w:val="610D7DA3"/>
    <w:rsid w:val="611A0C71"/>
    <w:rsid w:val="612B0758"/>
    <w:rsid w:val="612C25D4"/>
    <w:rsid w:val="61432B33"/>
    <w:rsid w:val="614635A3"/>
    <w:rsid w:val="614A4260"/>
    <w:rsid w:val="61516C69"/>
    <w:rsid w:val="615573BE"/>
    <w:rsid w:val="615B69CA"/>
    <w:rsid w:val="61640ECC"/>
    <w:rsid w:val="61641C35"/>
    <w:rsid w:val="616F5301"/>
    <w:rsid w:val="617350BC"/>
    <w:rsid w:val="618C4C2A"/>
    <w:rsid w:val="618F2220"/>
    <w:rsid w:val="61961F06"/>
    <w:rsid w:val="6198155E"/>
    <w:rsid w:val="619A0A43"/>
    <w:rsid w:val="61A134C4"/>
    <w:rsid w:val="61B876DD"/>
    <w:rsid w:val="61C7358A"/>
    <w:rsid w:val="61E11482"/>
    <w:rsid w:val="61F34FF6"/>
    <w:rsid w:val="61FB40E2"/>
    <w:rsid w:val="6200472B"/>
    <w:rsid w:val="621073DA"/>
    <w:rsid w:val="621117A8"/>
    <w:rsid w:val="62172793"/>
    <w:rsid w:val="621F7F0D"/>
    <w:rsid w:val="622317BA"/>
    <w:rsid w:val="62267A6A"/>
    <w:rsid w:val="622A6822"/>
    <w:rsid w:val="622E2697"/>
    <w:rsid w:val="62307F5B"/>
    <w:rsid w:val="62342C0F"/>
    <w:rsid w:val="623C7500"/>
    <w:rsid w:val="623D2E26"/>
    <w:rsid w:val="62467B96"/>
    <w:rsid w:val="62483E20"/>
    <w:rsid w:val="62495D05"/>
    <w:rsid w:val="62650E80"/>
    <w:rsid w:val="62695C70"/>
    <w:rsid w:val="626C17A5"/>
    <w:rsid w:val="62736E90"/>
    <w:rsid w:val="62775A23"/>
    <w:rsid w:val="62873918"/>
    <w:rsid w:val="628A21AA"/>
    <w:rsid w:val="628D2DBE"/>
    <w:rsid w:val="628E47EE"/>
    <w:rsid w:val="628F2A41"/>
    <w:rsid w:val="62926185"/>
    <w:rsid w:val="62963A49"/>
    <w:rsid w:val="62A01DE4"/>
    <w:rsid w:val="62A60524"/>
    <w:rsid w:val="62AE759F"/>
    <w:rsid w:val="62B25B28"/>
    <w:rsid w:val="62C60288"/>
    <w:rsid w:val="62C625B9"/>
    <w:rsid w:val="62C67C06"/>
    <w:rsid w:val="62CE72CB"/>
    <w:rsid w:val="62DD3362"/>
    <w:rsid w:val="62E445D7"/>
    <w:rsid w:val="62E83E6E"/>
    <w:rsid w:val="62F96785"/>
    <w:rsid w:val="62FA19EC"/>
    <w:rsid w:val="631943A4"/>
    <w:rsid w:val="631D472B"/>
    <w:rsid w:val="632A6C90"/>
    <w:rsid w:val="6352267C"/>
    <w:rsid w:val="63550808"/>
    <w:rsid w:val="63683B0D"/>
    <w:rsid w:val="63851228"/>
    <w:rsid w:val="63893305"/>
    <w:rsid w:val="639808BE"/>
    <w:rsid w:val="63A61A92"/>
    <w:rsid w:val="63BE39EA"/>
    <w:rsid w:val="63DE0D17"/>
    <w:rsid w:val="640A0FF6"/>
    <w:rsid w:val="64132184"/>
    <w:rsid w:val="642A5614"/>
    <w:rsid w:val="6442705B"/>
    <w:rsid w:val="644457C2"/>
    <w:rsid w:val="64446ED4"/>
    <w:rsid w:val="64466B3B"/>
    <w:rsid w:val="64470B06"/>
    <w:rsid w:val="646A2CA0"/>
    <w:rsid w:val="647D5AC9"/>
    <w:rsid w:val="64840CC9"/>
    <w:rsid w:val="64962462"/>
    <w:rsid w:val="64995067"/>
    <w:rsid w:val="649D488C"/>
    <w:rsid w:val="649E22EA"/>
    <w:rsid w:val="649E2A0C"/>
    <w:rsid w:val="64AC3BDD"/>
    <w:rsid w:val="64B809C3"/>
    <w:rsid w:val="64B969A0"/>
    <w:rsid w:val="64C40039"/>
    <w:rsid w:val="64CB3D70"/>
    <w:rsid w:val="64E80602"/>
    <w:rsid w:val="64EB4559"/>
    <w:rsid w:val="64F73DDD"/>
    <w:rsid w:val="64F96C64"/>
    <w:rsid w:val="64FD2D60"/>
    <w:rsid w:val="6503533F"/>
    <w:rsid w:val="65101E34"/>
    <w:rsid w:val="651F0123"/>
    <w:rsid w:val="652A6C1E"/>
    <w:rsid w:val="652E0941"/>
    <w:rsid w:val="6537374B"/>
    <w:rsid w:val="653B2033"/>
    <w:rsid w:val="65543616"/>
    <w:rsid w:val="655510C5"/>
    <w:rsid w:val="65804C90"/>
    <w:rsid w:val="65882242"/>
    <w:rsid w:val="658B592E"/>
    <w:rsid w:val="658C052E"/>
    <w:rsid w:val="65930A9E"/>
    <w:rsid w:val="65936F4D"/>
    <w:rsid w:val="659E3C9B"/>
    <w:rsid w:val="65AB182A"/>
    <w:rsid w:val="65B31A18"/>
    <w:rsid w:val="65B630E8"/>
    <w:rsid w:val="65BA2DA7"/>
    <w:rsid w:val="65C04FB8"/>
    <w:rsid w:val="65C11E9B"/>
    <w:rsid w:val="65C90CED"/>
    <w:rsid w:val="65D6774F"/>
    <w:rsid w:val="65D71165"/>
    <w:rsid w:val="65E02E37"/>
    <w:rsid w:val="65E51B62"/>
    <w:rsid w:val="65F35A82"/>
    <w:rsid w:val="66036161"/>
    <w:rsid w:val="66160E96"/>
    <w:rsid w:val="661648EE"/>
    <w:rsid w:val="661B1FB1"/>
    <w:rsid w:val="662924F3"/>
    <w:rsid w:val="662F1AFD"/>
    <w:rsid w:val="663B46CE"/>
    <w:rsid w:val="663C52D1"/>
    <w:rsid w:val="66465D04"/>
    <w:rsid w:val="665F5B86"/>
    <w:rsid w:val="66603091"/>
    <w:rsid w:val="666B6B33"/>
    <w:rsid w:val="666E406D"/>
    <w:rsid w:val="66790615"/>
    <w:rsid w:val="667C588F"/>
    <w:rsid w:val="66941A8F"/>
    <w:rsid w:val="66961FE9"/>
    <w:rsid w:val="66AC43A3"/>
    <w:rsid w:val="66B338AC"/>
    <w:rsid w:val="66B443F6"/>
    <w:rsid w:val="66BD36CE"/>
    <w:rsid w:val="66E305B8"/>
    <w:rsid w:val="66F83A0C"/>
    <w:rsid w:val="66FE00A5"/>
    <w:rsid w:val="672A3F4C"/>
    <w:rsid w:val="672A7CE0"/>
    <w:rsid w:val="673166DB"/>
    <w:rsid w:val="673C5177"/>
    <w:rsid w:val="67417A56"/>
    <w:rsid w:val="675F0447"/>
    <w:rsid w:val="67706CC4"/>
    <w:rsid w:val="677B6569"/>
    <w:rsid w:val="678D188E"/>
    <w:rsid w:val="67906957"/>
    <w:rsid w:val="67941EE0"/>
    <w:rsid w:val="679F2D65"/>
    <w:rsid w:val="67A77AF2"/>
    <w:rsid w:val="67B81E5D"/>
    <w:rsid w:val="67D457B9"/>
    <w:rsid w:val="67DB5CA0"/>
    <w:rsid w:val="67F04776"/>
    <w:rsid w:val="67F7430E"/>
    <w:rsid w:val="67FE3EC7"/>
    <w:rsid w:val="680F47EF"/>
    <w:rsid w:val="68102954"/>
    <w:rsid w:val="681F4440"/>
    <w:rsid w:val="682A52E2"/>
    <w:rsid w:val="682D0AF0"/>
    <w:rsid w:val="683F5366"/>
    <w:rsid w:val="684516CA"/>
    <w:rsid w:val="68454A19"/>
    <w:rsid w:val="685A70FA"/>
    <w:rsid w:val="68604B23"/>
    <w:rsid w:val="68647BB8"/>
    <w:rsid w:val="68857C1D"/>
    <w:rsid w:val="689127B3"/>
    <w:rsid w:val="68955BDD"/>
    <w:rsid w:val="68A80C3C"/>
    <w:rsid w:val="68AA05CD"/>
    <w:rsid w:val="68D53495"/>
    <w:rsid w:val="68DB1E64"/>
    <w:rsid w:val="68E21AFE"/>
    <w:rsid w:val="68EE0C86"/>
    <w:rsid w:val="68F92E98"/>
    <w:rsid w:val="69066F2E"/>
    <w:rsid w:val="691A1C38"/>
    <w:rsid w:val="6930092D"/>
    <w:rsid w:val="693316CA"/>
    <w:rsid w:val="693F73EF"/>
    <w:rsid w:val="694148B0"/>
    <w:rsid w:val="6951717D"/>
    <w:rsid w:val="695C1C3D"/>
    <w:rsid w:val="695C6519"/>
    <w:rsid w:val="695F4C48"/>
    <w:rsid w:val="696D0C7D"/>
    <w:rsid w:val="698F748A"/>
    <w:rsid w:val="69920CF5"/>
    <w:rsid w:val="69950B82"/>
    <w:rsid w:val="69AA42B9"/>
    <w:rsid w:val="69B4492B"/>
    <w:rsid w:val="69BC39B4"/>
    <w:rsid w:val="69BE7DA1"/>
    <w:rsid w:val="69C1395E"/>
    <w:rsid w:val="69C44007"/>
    <w:rsid w:val="69C61A71"/>
    <w:rsid w:val="69CD2E51"/>
    <w:rsid w:val="69D6514A"/>
    <w:rsid w:val="69E3384D"/>
    <w:rsid w:val="69E539A9"/>
    <w:rsid w:val="69F06B28"/>
    <w:rsid w:val="6A087890"/>
    <w:rsid w:val="6A0E16F7"/>
    <w:rsid w:val="6A1357C7"/>
    <w:rsid w:val="6A166B00"/>
    <w:rsid w:val="6A2B0A71"/>
    <w:rsid w:val="6A326A0C"/>
    <w:rsid w:val="6A360121"/>
    <w:rsid w:val="6A3C61C5"/>
    <w:rsid w:val="6A444A96"/>
    <w:rsid w:val="6A4D6551"/>
    <w:rsid w:val="6A502181"/>
    <w:rsid w:val="6A5B2733"/>
    <w:rsid w:val="6A5B6BD7"/>
    <w:rsid w:val="6A6B69AC"/>
    <w:rsid w:val="6A751277"/>
    <w:rsid w:val="6A8655D8"/>
    <w:rsid w:val="6A961B39"/>
    <w:rsid w:val="6A9E391F"/>
    <w:rsid w:val="6AAC0107"/>
    <w:rsid w:val="6AAC25E7"/>
    <w:rsid w:val="6AB144C4"/>
    <w:rsid w:val="6AC1314F"/>
    <w:rsid w:val="6AC27E5C"/>
    <w:rsid w:val="6AC3377F"/>
    <w:rsid w:val="6AC932E9"/>
    <w:rsid w:val="6ACF1342"/>
    <w:rsid w:val="6ADF6074"/>
    <w:rsid w:val="6AF011B8"/>
    <w:rsid w:val="6AFB1413"/>
    <w:rsid w:val="6B0529F2"/>
    <w:rsid w:val="6B2418FE"/>
    <w:rsid w:val="6B2712AD"/>
    <w:rsid w:val="6B2D2EDC"/>
    <w:rsid w:val="6B360DA0"/>
    <w:rsid w:val="6B63672D"/>
    <w:rsid w:val="6B6C6935"/>
    <w:rsid w:val="6B760296"/>
    <w:rsid w:val="6B7B69CC"/>
    <w:rsid w:val="6B8B24A5"/>
    <w:rsid w:val="6B9B1C6C"/>
    <w:rsid w:val="6B9C507B"/>
    <w:rsid w:val="6BAE7F1C"/>
    <w:rsid w:val="6BB151A7"/>
    <w:rsid w:val="6BCB06DB"/>
    <w:rsid w:val="6BDD2225"/>
    <w:rsid w:val="6BFE1686"/>
    <w:rsid w:val="6BFF2AA8"/>
    <w:rsid w:val="6C0B5063"/>
    <w:rsid w:val="6C20436F"/>
    <w:rsid w:val="6C343937"/>
    <w:rsid w:val="6C4F78CF"/>
    <w:rsid w:val="6C510089"/>
    <w:rsid w:val="6C51516B"/>
    <w:rsid w:val="6C624BCB"/>
    <w:rsid w:val="6C6A21A4"/>
    <w:rsid w:val="6C6A4AED"/>
    <w:rsid w:val="6C705954"/>
    <w:rsid w:val="6C746770"/>
    <w:rsid w:val="6C7C1C8C"/>
    <w:rsid w:val="6C854FC6"/>
    <w:rsid w:val="6C8F439E"/>
    <w:rsid w:val="6C9771FA"/>
    <w:rsid w:val="6C9A2157"/>
    <w:rsid w:val="6C9D6D30"/>
    <w:rsid w:val="6CB31069"/>
    <w:rsid w:val="6CC66380"/>
    <w:rsid w:val="6CE92337"/>
    <w:rsid w:val="6CFC589D"/>
    <w:rsid w:val="6D0E3A50"/>
    <w:rsid w:val="6D0F3E64"/>
    <w:rsid w:val="6D1A4BB4"/>
    <w:rsid w:val="6D1E5C16"/>
    <w:rsid w:val="6D2652D3"/>
    <w:rsid w:val="6D2853EA"/>
    <w:rsid w:val="6D2D3858"/>
    <w:rsid w:val="6D433096"/>
    <w:rsid w:val="6D4A61F0"/>
    <w:rsid w:val="6D586D20"/>
    <w:rsid w:val="6D6331C4"/>
    <w:rsid w:val="6D654B77"/>
    <w:rsid w:val="6D834326"/>
    <w:rsid w:val="6D8C4832"/>
    <w:rsid w:val="6D9874DA"/>
    <w:rsid w:val="6D9A63ED"/>
    <w:rsid w:val="6DA01AB6"/>
    <w:rsid w:val="6DAC07D8"/>
    <w:rsid w:val="6DB82F4E"/>
    <w:rsid w:val="6DBA14C2"/>
    <w:rsid w:val="6DC8310C"/>
    <w:rsid w:val="6DCF63C9"/>
    <w:rsid w:val="6DFA1731"/>
    <w:rsid w:val="6E0A18E0"/>
    <w:rsid w:val="6E251D23"/>
    <w:rsid w:val="6E3C5EF7"/>
    <w:rsid w:val="6E573B89"/>
    <w:rsid w:val="6E5E1FB5"/>
    <w:rsid w:val="6E66780E"/>
    <w:rsid w:val="6E8B7009"/>
    <w:rsid w:val="6E90704F"/>
    <w:rsid w:val="6EA16576"/>
    <w:rsid w:val="6EA80E13"/>
    <w:rsid w:val="6EB2187C"/>
    <w:rsid w:val="6EC03E83"/>
    <w:rsid w:val="6ECA68FB"/>
    <w:rsid w:val="6EDA1FE9"/>
    <w:rsid w:val="6EDF5BDD"/>
    <w:rsid w:val="6EE03984"/>
    <w:rsid w:val="6EE20643"/>
    <w:rsid w:val="6EF27F83"/>
    <w:rsid w:val="6EFE6622"/>
    <w:rsid w:val="6F041405"/>
    <w:rsid w:val="6F3C30CF"/>
    <w:rsid w:val="6F3E0FBA"/>
    <w:rsid w:val="6F3E4727"/>
    <w:rsid w:val="6F4E0116"/>
    <w:rsid w:val="6F5B288E"/>
    <w:rsid w:val="6F5B6BDF"/>
    <w:rsid w:val="6F6008BF"/>
    <w:rsid w:val="6F606655"/>
    <w:rsid w:val="6F672AFA"/>
    <w:rsid w:val="6F704A95"/>
    <w:rsid w:val="6F77318A"/>
    <w:rsid w:val="6F7B28B1"/>
    <w:rsid w:val="6F8603C2"/>
    <w:rsid w:val="6F8D56B4"/>
    <w:rsid w:val="6FB61092"/>
    <w:rsid w:val="6FBE49AE"/>
    <w:rsid w:val="6FCB6812"/>
    <w:rsid w:val="6FD87FDB"/>
    <w:rsid w:val="6FDC559B"/>
    <w:rsid w:val="6FDE31CC"/>
    <w:rsid w:val="70014EED"/>
    <w:rsid w:val="700F335A"/>
    <w:rsid w:val="70101B35"/>
    <w:rsid w:val="70157D6A"/>
    <w:rsid w:val="702638A7"/>
    <w:rsid w:val="70375E28"/>
    <w:rsid w:val="70422D9F"/>
    <w:rsid w:val="70485BBB"/>
    <w:rsid w:val="705E3E7B"/>
    <w:rsid w:val="706D5895"/>
    <w:rsid w:val="70753D2A"/>
    <w:rsid w:val="70765D94"/>
    <w:rsid w:val="70792BB8"/>
    <w:rsid w:val="709B1C03"/>
    <w:rsid w:val="70BA4778"/>
    <w:rsid w:val="70CD5E47"/>
    <w:rsid w:val="70DE2DEF"/>
    <w:rsid w:val="70F94A8E"/>
    <w:rsid w:val="70F96F59"/>
    <w:rsid w:val="70FD0992"/>
    <w:rsid w:val="70FE06D2"/>
    <w:rsid w:val="711063AA"/>
    <w:rsid w:val="7116252D"/>
    <w:rsid w:val="712A02F8"/>
    <w:rsid w:val="712D533B"/>
    <w:rsid w:val="714A4437"/>
    <w:rsid w:val="714B3118"/>
    <w:rsid w:val="71813B43"/>
    <w:rsid w:val="71821A53"/>
    <w:rsid w:val="71923D7F"/>
    <w:rsid w:val="719547AA"/>
    <w:rsid w:val="719C1555"/>
    <w:rsid w:val="71A24A17"/>
    <w:rsid w:val="71A861A9"/>
    <w:rsid w:val="71AA798B"/>
    <w:rsid w:val="71B51B7F"/>
    <w:rsid w:val="71C178DE"/>
    <w:rsid w:val="71CC7824"/>
    <w:rsid w:val="71CD5065"/>
    <w:rsid w:val="71D36237"/>
    <w:rsid w:val="71D51EC3"/>
    <w:rsid w:val="71E03B95"/>
    <w:rsid w:val="71E66512"/>
    <w:rsid w:val="71EC10E2"/>
    <w:rsid w:val="71FA6C3C"/>
    <w:rsid w:val="72011B54"/>
    <w:rsid w:val="72061AEE"/>
    <w:rsid w:val="720B100D"/>
    <w:rsid w:val="720D62B6"/>
    <w:rsid w:val="721D0E7F"/>
    <w:rsid w:val="721E19A8"/>
    <w:rsid w:val="723D55C1"/>
    <w:rsid w:val="7245020D"/>
    <w:rsid w:val="72495261"/>
    <w:rsid w:val="72542E7C"/>
    <w:rsid w:val="726D40F3"/>
    <w:rsid w:val="72832CAC"/>
    <w:rsid w:val="728B78C4"/>
    <w:rsid w:val="72AC07D6"/>
    <w:rsid w:val="72B43E5C"/>
    <w:rsid w:val="72BB1A4F"/>
    <w:rsid w:val="72C44819"/>
    <w:rsid w:val="72CE038D"/>
    <w:rsid w:val="72DB1139"/>
    <w:rsid w:val="72E0071B"/>
    <w:rsid w:val="72E92B46"/>
    <w:rsid w:val="72EE159C"/>
    <w:rsid w:val="730311FF"/>
    <w:rsid w:val="73034484"/>
    <w:rsid w:val="73222FD5"/>
    <w:rsid w:val="732B4800"/>
    <w:rsid w:val="7332410F"/>
    <w:rsid w:val="73384AA7"/>
    <w:rsid w:val="73390A1E"/>
    <w:rsid w:val="73446A3A"/>
    <w:rsid w:val="734939BC"/>
    <w:rsid w:val="734F4FA8"/>
    <w:rsid w:val="73501977"/>
    <w:rsid w:val="735F4F07"/>
    <w:rsid w:val="73665951"/>
    <w:rsid w:val="73683A84"/>
    <w:rsid w:val="736B3F4E"/>
    <w:rsid w:val="739C6F7D"/>
    <w:rsid w:val="739F0D41"/>
    <w:rsid w:val="73B2093B"/>
    <w:rsid w:val="73BF200D"/>
    <w:rsid w:val="73D14577"/>
    <w:rsid w:val="73EE71CE"/>
    <w:rsid w:val="73FD2CDB"/>
    <w:rsid w:val="740D15DE"/>
    <w:rsid w:val="74206794"/>
    <w:rsid w:val="744B37C6"/>
    <w:rsid w:val="7469592D"/>
    <w:rsid w:val="7477381A"/>
    <w:rsid w:val="748C3878"/>
    <w:rsid w:val="74A577A6"/>
    <w:rsid w:val="74A67019"/>
    <w:rsid w:val="74A713C6"/>
    <w:rsid w:val="74C64294"/>
    <w:rsid w:val="74D226AF"/>
    <w:rsid w:val="74D952F7"/>
    <w:rsid w:val="74EC5D99"/>
    <w:rsid w:val="75085243"/>
    <w:rsid w:val="75124A48"/>
    <w:rsid w:val="751D6F69"/>
    <w:rsid w:val="752A1E2F"/>
    <w:rsid w:val="75402DFC"/>
    <w:rsid w:val="75444681"/>
    <w:rsid w:val="754665B4"/>
    <w:rsid w:val="75483490"/>
    <w:rsid w:val="754B3449"/>
    <w:rsid w:val="75505DEB"/>
    <w:rsid w:val="755E46AE"/>
    <w:rsid w:val="757F7991"/>
    <w:rsid w:val="75815957"/>
    <w:rsid w:val="75907B21"/>
    <w:rsid w:val="75931175"/>
    <w:rsid w:val="759D203D"/>
    <w:rsid w:val="759E5F26"/>
    <w:rsid w:val="75A256C1"/>
    <w:rsid w:val="75B33DFB"/>
    <w:rsid w:val="75BD690E"/>
    <w:rsid w:val="75C402FB"/>
    <w:rsid w:val="75C6213C"/>
    <w:rsid w:val="75D93D0E"/>
    <w:rsid w:val="75DF6791"/>
    <w:rsid w:val="760839C6"/>
    <w:rsid w:val="760A0E41"/>
    <w:rsid w:val="761A0BB4"/>
    <w:rsid w:val="76416670"/>
    <w:rsid w:val="764D3071"/>
    <w:rsid w:val="765F3174"/>
    <w:rsid w:val="7661781C"/>
    <w:rsid w:val="76622FFC"/>
    <w:rsid w:val="76687222"/>
    <w:rsid w:val="766A1C8D"/>
    <w:rsid w:val="766C5073"/>
    <w:rsid w:val="767B0B0E"/>
    <w:rsid w:val="767D4D76"/>
    <w:rsid w:val="767D5DB1"/>
    <w:rsid w:val="767F1CE3"/>
    <w:rsid w:val="76826FD5"/>
    <w:rsid w:val="76AD18C2"/>
    <w:rsid w:val="76B8407C"/>
    <w:rsid w:val="76B96F36"/>
    <w:rsid w:val="76C24915"/>
    <w:rsid w:val="76F04BB9"/>
    <w:rsid w:val="76F344AF"/>
    <w:rsid w:val="76F94124"/>
    <w:rsid w:val="77073D6D"/>
    <w:rsid w:val="771F0A89"/>
    <w:rsid w:val="77210665"/>
    <w:rsid w:val="772B760F"/>
    <w:rsid w:val="772E3B6A"/>
    <w:rsid w:val="7738068F"/>
    <w:rsid w:val="773F54D4"/>
    <w:rsid w:val="77402897"/>
    <w:rsid w:val="774E4C6B"/>
    <w:rsid w:val="774F6BF4"/>
    <w:rsid w:val="77544315"/>
    <w:rsid w:val="775E693B"/>
    <w:rsid w:val="776526E2"/>
    <w:rsid w:val="77682FD7"/>
    <w:rsid w:val="778831DB"/>
    <w:rsid w:val="77B268FA"/>
    <w:rsid w:val="77CB4236"/>
    <w:rsid w:val="77DD3755"/>
    <w:rsid w:val="77E82B79"/>
    <w:rsid w:val="78060881"/>
    <w:rsid w:val="782448BB"/>
    <w:rsid w:val="78457ECA"/>
    <w:rsid w:val="784F504A"/>
    <w:rsid w:val="786E4FB6"/>
    <w:rsid w:val="787A4046"/>
    <w:rsid w:val="7885302D"/>
    <w:rsid w:val="78854EA3"/>
    <w:rsid w:val="78911D3F"/>
    <w:rsid w:val="78A74C21"/>
    <w:rsid w:val="78B46D34"/>
    <w:rsid w:val="78B706B4"/>
    <w:rsid w:val="78CE63E1"/>
    <w:rsid w:val="78E57EE2"/>
    <w:rsid w:val="78F36B14"/>
    <w:rsid w:val="78F60414"/>
    <w:rsid w:val="79092B8D"/>
    <w:rsid w:val="79103403"/>
    <w:rsid w:val="79264A09"/>
    <w:rsid w:val="79335461"/>
    <w:rsid w:val="794A34E9"/>
    <w:rsid w:val="7974414E"/>
    <w:rsid w:val="797C2BBB"/>
    <w:rsid w:val="79882DCB"/>
    <w:rsid w:val="798F01DA"/>
    <w:rsid w:val="79AF5EF9"/>
    <w:rsid w:val="79B4358F"/>
    <w:rsid w:val="79B64019"/>
    <w:rsid w:val="79CB6849"/>
    <w:rsid w:val="79D84AC6"/>
    <w:rsid w:val="79DC0E4D"/>
    <w:rsid w:val="7A032D54"/>
    <w:rsid w:val="7A150846"/>
    <w:rsid w:val="7A332431"/>
    <w:rsid w:val="7A38234A"/>
    <w:rsid w:val="7A3A2988"/>
    <w:rsid w:val="7A3E180D"/>
    <w:rsid w:val="7A451974"/>
    <w:rsid w:val="7A4F18B8"/>
    <w:rsid w:val="7A550088"/>
    <w:rsid w:val="7A590E7A"/>
    <w:rsid w:val="7A604D9C"/>
    <w:rsid w:val="7A620896"/>
    <w:rsid w:val="7A6B072C"/>
    <w:rsid w:val="7A6F3E2A"/>
    <w:rsid w:val="7A8579BE"/>
    <w:rsid w:val="7A941AD3"/>
    <w:rsid w:val="7A9B4D04"/>
    <w:rsid w:val="7AA045D7"/>
    <w:rsid w:val="7AA170FC"/>
    <w:rsid w:val="7AA95D86"/>
    <w:rsid w:val="7AB73C0A"/>
    <w:rsid w:val="7AC27B78"/>
    <w:rsid w:val="7AC8400E"/>
    <w:rsid w:val="7ACC6D78"/>
    <w:rsid w:val="7AD63D87"/>
    <w:rsid w:val="7AD67642"/>
    <w:rsid w:val="7AD93F18"/>
    <w:rsid w:val="7ADC3CD1"/>
    <w:rsid w:val="7AE14945"/>
    <w:rsid w:val="7AE43B48"/>
    <w:rsid w:val="7AE61477"/>
    <w:rsid w:val="7AFE4C8C"/>
    <w:rsid w:val="7B080CE1"/>
    <w:rsid w:val="7B093CE4"/>
    <w:rsid w:val="7B211184"/>
    <w:rsid w:val="7B2702E4"/>
    <w:rsid w:val="7B322FD5"/>
    <w:rsid w:val="7B3D09CF"/>
    <w:rsid w:val="7B834271"/>
    <w:rsid w:val="7B94300A"/>
    <w:rsid w:val="7B94326A"/>
    <w:rsid w:val="7BBF07ED"/>
    <w:rsid w:val="7BC751F2"/>
    <w:rsid w:val="7BD34C72"/>
    <w:rsid w:val="7BD5496F"/>
    <w:rsid w:val="7BD74E1D"/>
    <w:rsid w:val="7BE809D9"/>
    <w:rsid w:val="7BEE6369"/>
    <w:rsid w:val="7C1304B8"/>
    <w:rsid w:val="7C1F4C13"/>
    <w:rsid w:val="7C21281F"/>
    <w:rsid w:val="7C2B603A"/>
    <w:rsid w:val="7C3E0521"/>
    <w:rsid w:val="7C3F49E3"/>
    <w:rsid w:val="7C422572"/>
    <w:rsid w:val="7C4565D9"/>
    <w:rsid w:val="7C482A62"/>
    <w:rsid w:val="7C492BE2"/>
    <w:rsid w:val="7C4C347A"/>
    <w:rsid w:val="7C4C5D14"/>
    <w:rsid w:val="7C566EC4"/>
    <w:rsid w:val="7C6458DA"/>
    <w:rsid w:val="7C663902"/>
    <w:rsid w:val="7C6F0D41"/>
    <w:rsid w:val="7C8313D5"/>
    <w:rsid w:val="7C841343"/>
    <w:rsid w:val="7C8965AC"/>
    <w:rsid w:val="7CA41D43"/>
    <w:rsid w:val="7CAF774C"/>
    <w:rsid w:val="7CCA02A0"/>
    <w:rsid w:val="7CCA55F7"/>
    <w:rsid w:val="7CDC46C4"/>
    <w:rsid w:val="7CFB7BF8"/>
    <w:rsid w:val="7D0758E2"/>
    <w:rsid w:val="7D366D5F"/>
    <w:rsid w:val="7D4279E6"/>
    <w:rsid w:val="7D512681"/>
    <w:rsid w:val="7D52556E"/>
    <w:rsid w:val="7D5A6C6A"/>
    <w:rsid w:val="7D6877C2"/>
    <w:rsid w:val="7D6D24BA"/>
    <w:rsid w:val="7D7A3D73"/>
    <w:rsid w:val="7D886B71"/>
    <w:rsid w:val="7D9649A4"/>
    <w:rsid w:val="7DB01704"/>
    <w:rsid w:val="7DB5432B"/>
    <w:rsid w:val="7DB60EA6"/>
    <w:rsid w:val="7DBE4F30"/>
    <w:rsid w:val="7DC66FDF"/>
    <w:rsid w:val="7DC85EF5"/>
    <w:rsid w:val="7DCB703F"/>
    <w:rsid w:val="7DE84C50"/>
    <w:rsid w:val="7DE956FE"/>
    <w:rsid w:val="7DEE777A"/>
    <w:rsid w:val="7DEF7F2E"/>
    <w:rsid w:val="7DF2580E"/>
    <w:rsid w:val="7E014C68"/>
    <w:rsid w:val="7E1359A9"/>
    <w:rsid w:val="7E2704D3"/>
    <w:rsid w:val="7E323DFA"/>
    <w:rsid w:val="7E38052A"/>
    <w:rsid w:val="7E43086B"/>
    <w:rsid w:val="7E4751C6"/>
    <w:rsid w:val="7E620F10"/>
    <w:rsid w:val="7E640454"/>
    <w:rsid w:val="7E775F4D"/>
    <w:rsid w:val="7E78690A"/>
    <w:rsid w:val="7E822DF0"/>
    <w:rsid w:val="7E8233AF"/>
    <w:rsid w:val="7E92450D"/>
    <w:rsid w:val="7EA048B9"/>
    <w:rsid w:val="7EA614C0"/>
    <w:rsid w:val="7EAF31D6"/>
    <w:rsid w:val="7EC94687"/>
    <w:rsid w:val="7ECB3A95"/>
    <w:rsid w:val="7EDE5ECA"/>
    <w:rsid w:val="7EDE6671"/>
    <w:rsid w:val="7EEC1918"/>
    <w:rsid w:val="7EF405DB"/>
    <w:rsid w:val="7EFA03B0"/>
    <w:rsid w:val="7F0673A9"/>
    <w:rsid w:val="7F18449F"/>
    <w:rsid w:val="7F237148"/>
    <w:rsid w:val="7F2829BF"/>
    <w:rsid w:val="7F4F5530"/>
    <w:rsid w:val="7F4F70E7"/>
    <w:rsid w:val="7F5D1676"/>
    <w:rsid w:val="7F5F4873"/>
    <w:rsid w:val="7F6032BE"/>
    <w:rsid w:val="7F753B79"/>
    <w:rsid w:val="7F7841AC"/>
    <w:rsid w:val="7F8C5D78"/>
    <w:rsid w:val="7F967796"/>
    <w:rsid w:val="7F9D2CA9"/>
    <w:rsid w:val="7FBD0853"/>
    <w:rsid w:val="7FDA577E"/>
    <w:rsid w:val="7FDF491C"/>
    <w:rsid w:val="7FE46BA0"/>
    <w:rsid w:val="7FF30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iPriority="0" w:name="heading 8"/>
    <w:lsdException w:qFormat="1" w:unhideWhenUsed="0" w:uiPriority="0" w:semiHidden="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75"/>
    <w:qFormat/>
    <w:uiPriority w:val="9"/>
    <w:pPr>
      <w:keepNext/>
      <w:jc w:val="center"/>
      <w:outlineLvl w:val="0"/>
    </w:pPr>
    <w:rPr>
      <w:b/>
      <w:sz w:val="28"/>
    </w:rPr>
  </w:style>
  <w:style w:type="paragraph" w:styleId="2">
    <w:name w:val="heading 2"/>
    <w:basedOn w:val="1"/>
    <w:next w:val="1"/>
    <w:link w:val="11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3"/>
    <w:qFormat/>
    <w:uiPriority w:val="9"/>
    <w:pPr>
      <w:keepNext/>
      <w:keepLines/>
      <w:spacing w:before="260" w:after="260" w:line="416" w:lineRule="auto"/>
      <w:outlineLvl w:val="2"/>
    </w:pPr>
    <w:rPr>
      <w:b/>
      <w:bCs/>
      <w:sz w:val="32"/>
      <w:szCs w:val="32"/>
    </w:rPr>
  </w:style>
  <w:style w:type="paragraph" w:styleId="5">
    <w:name w:val="heading 4"/>
    <w:basedOn w:val="1"/>
    <w:next w:val="1"/>
    <w:link w:val="82"/>
    <w:qFormat/>
    <w:uiPriority w:val="0"/>
    <w:pPr>
      <w:widowControl/>
      <w:spacing w:before="100" w:beforeAutospacing="1" w:after="100" w:afterAutospacing="1"/>
      <w:jc w:val="left"/>
      <w:outlineLvl w:val="3"/>
    </w:pPr>
    <w:rPr>
      <w:rFonts w:ascii="宋体" w:hAnsi="宋体"/>
      <w:b/>
      <w:bCs/>
      <w:kern w:val="0"/>
      <w:sz w:val="24"/>
      <w:szCs w:val="24"/>
    </w:rPr>
  </w:style>
  <w:style w:type="paragraph" w:styleId="6">
    <w:name w:val="heading 5"/>
    <w:basedOn w:val="1"/>
    <w:next w:val="1"/>
    <w:link w:val="76"/>
    <w:qFormat/>
    <w:uiPriority w:val="0"/>
    <w:pPr>
      <w:widowControl/>
      <w:spacing w:before="100" w:beforeAutospacing="1" w:after="100" w:afterAutospacing="1"/>
      <w:jc w:val="left"/>
      <w:outlineLvl w:val="4"/>
    </w:pPr>
    <w:rPr>
      <w:rFonts w:ascii="Arial Unicode MS" w:hAnsi="Arial Unicode MS" w:eastAsia="Arial Unicode MS"/>
      <w:b/>
      <w:bCs/>
      <w:kern w:val="0"/>
      <w:sz w:val="20"/>
    </w:rPr>
  </w:style>
  <w:style w:type="paragraph" w:styleId="7">
    <w:name w:val="heading 6"/>
    <w:basedOn w:val="1"/>
    <w:next w:val="1"/>
    <w:link w:val="159"/>
    <w:qFormat/>
    <w:uiPriority w:val="0"/>
    <w:pPr>
      <w:widowControl/>
      <w:spacing w:before="100" w:beforeAutospacing="1" w:after="100" w:afterAutospacing="1"/>
      <w:jc w:val="left"/>
      <w:outlineLvl w:val="5"/>
    </w:pPr>
    <w:rPr>
      <w:rFonts w:ascii="宋体" w:hAnsi="宋体"/>
      <w:b/>
      <w:bCs/>
      <w:kern w:val="0"/>
      <w:sz w:val="15"/>
      <w:szCs w:val="15"/>
    </w:rPr>
  </w:style>
  <w:style w:type="paragraph" w:styleId="8">
    <w:name w:val="heading 7"/>
    <w:basedOn w:val="1"/>
    <w:next w:val="1"/>
    <w:link w:val="147"/>
    <w:qFormat/>
    <w:uiPriority w:val="9"/>
    <w:pPr>
      <w:keepNext/>
      <w:keepLines/>
      <w:tabs>
        <w:tab w:val="left" w:pos="420"/>
      </w:tabs>
      <w:autoSpaceDN w:val="0"/>
      <w:spacing w:before="240" w:after="64" w:line="320" w:lineRule="auto"/>
      <w:ind w:left="420" w:hanging="420"/>
      <w:outlineLvl w:val="6"/>
    </w:pPr>
    <w:rPr>
      <w:rFonts w:ascii="仿宋_GB2312" w:hAnsi="宋体" w:eastAsia="仿宋_GB2312" w:cs="宋体"/>
      <w:b/>
      <w:bCs/>
      <w:sz w:val="24"/>
      <w:szCs w:val="24"/>
    </w:rPr>
  </w:style>
  <w:style w:type="paragraph" w:styleId="9">
    <w:name w:val="heading 9"/>
    <w:basedOn w:val="1"/>
    <w:next w:val="10"/>
    <w:link w:val="83"/>
    <w:qFormat/>
    <w:uiPriority w:val="0"/>
    <w:pPr>
      <w:autoSpaceDE w:val="0"/>
      <w:autoSpaceDN w:val="0"/>
      <w:adjustRightInd w:val="0"/>
      <w:spacing w:before="200" w:after="200" w:line="360" w:lineRule="auto"/>
      <w:jc w:val="left"/>
      <w:outlineLvl w:val="8"/>
    </w:pPr>
    <w:rPr>
      <w:rFonts w:ascii="黑体" w:hAnsi="Arial" w:eastAsia="黑体"/>
      <w:kern w:val="0"/>
      <w:sz w:val="28"/>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10">
    <w:name w:val="正文（首行缩进两字）"/>
    <w:basedOn w:val="1"/>
    <w:qFormat/>
    <w:uiPriority w:val="0"/>
    <w:pPr>
      <w:autoSpaceDN w:val="0"/>
    </w:pPr>
    <w:rPr>
      <w:rFonts w:ascii="仿宋_GB2312" w:hAnsi="宋体" w:eastAsia="仿宋_GB2312" w:cs="宋体"/>
      <w:sz w:val="28"/>
      <w:szCs w:val="24"/>
    </w:rPr>
  </w:style>
  <w:style w:type="paragraph" w:styleId="11">
    <w:name w:val="toc 7"/>
    <w:basedOn w:val="1"/>
    <w:next w:val="1"/>
    <w:unhideWhenUsed/>
    <w:qFormat/>
    <w:uiPriority w:val="0"/>
    <w:pPr>
      <w:ind w:left="1260"/>
      <w:jc w:val="left"/>
    </w:pPr>
    <w:rPr>
      <w:szCs w:val="21"/>
    </w:rPr>
  </w:style>
  <w:style w:type="paragraph" w:styleId="12">
    <w:name w:val="Normal Indent"/>
    <w:basedOn w:val="1"/>
    <w:link w:val="139"/>
    <w:qFormat/>
    <w:uiPriority w:val="0"/>
    <w:pPr>
      <w:snapToGrid w:val="0"/>
      <w:spacing w:line="360" w:lineRule="auto"/>
      <w:ind w:firstLine="567"/>
    </w:pPr>
    <w:rPr>
      <w:sz w:val="28"/>
    </w:rPr>
  </w:style>
  <w:style w:type="paragraph" w:styleId="13">
    <w:name w:val="Document Map"/>
    <w:basedOn w:val="1"/>
    <w:link w:val="173"/>
    <w:unhideWhenUsed/>
    <w:qFormat/>
    <w:uiPriority w:val="0"/>
    <w:pPr>
      <w:shd w:val="clear" w:color="auto" w:fill="000080"/>
    </w:pPr>
  </w:style>
  <w:style w:type="paragraph" w:styleId="14">
    <w:name w:val="annotation text"/>
    <w:basedOn w:val="1"/>
    <w:link w:val="119"/>
    <w:qFormat/>
    <w:uiPriority w:val="0"/>
    <w:pPr>
      <w:jc w:val="left"/>
    </w:pPr>
  </w:style>
  <w:style w:type="paragraph" w:styleId="15">
    <w:name w:val="Salutation"/>
    <w:basedOn w:val="1"/>
    <w:next w:val="1"/>
    <w:link w:val="109"/>
    <w:qFormat/>
    <w:uiPriority w:val="0"/>
    <w:rPr>
      <w:rFonts w:ascii="宋体" w:hAnsi="Bookman Old Style"/>
    </w:rPr>
  </w:style>
  <w:style w:type="paragraph" w:styleId="16">
    <w:name w:val="Closing"/>
    <w:basedOn w:val="1"/>
    <w:next w:val="1"/>
    <w:link w:val="163"/>
    <w:qFormat/>
    <w:uiPriority w:val="0"/>
    <w:pPr>
      <w:ind w:left="4320"/>
    </w:pPr>
    <w:rPr>
      <w:rFonts w:ascii="宋体" w:hAnsi="Bookman Old Style"/>
    </w:rPr>
  </w:style>
  <w:style w:type="paragraph" w:styleId="17">
    <w:name w:val="Body Text"/>
    <w:basedOn w:val="1"/>
    <w:link w:val="142"/>
    <w:qFormat/>
    <w:uiPriority w:val="0"/>
    <w:pPr>
      <w:spacing w:line="360" w:lineRule="auto"/>
    </w:pPr>
    <w:rPr>
      <w:rFonts w:ascii="宋体"/>
      <w:spacing w:val="10"/>
      <w:sz w:val="24"/>
    </w:rPr>
  </w:style>
  <w:style w:type="paragraph" w:styleId="18">
    <w:name w:val="Body Text Indent"/>
    <w:basedOn w:val="1"/>
    <w:link w:val="92"/>
    <w:qFormat/>
    <w:uiPriority w:val="0"/>
    <w:pPr>
      <w:ind w:firstLine="525"/>
    </w:pPr>
    <w:rPr>
      <w:sz w:val="28"/>
    </w:rPr>
  </w:style>
  <w:style w:type="paragraph" w:styleId="19">
    <w:name w:val="List 2"/>
    <w:basedOn w:val="1"/>
    <w:qFormat/>
    <w:uiPriority w:val="0"/>
    <w:pPr>
      <w:adjustRightInd w:val="0"/>
      <w:spacing w:line="312" w:lineRule="atLeast"/>
      <w:ind w:left="840" w:hanging="420"/>
      <w:textAlignment w:val="baseline"/>
    </w:pPr>
    <w:rPr>
      <w:kern w:val="0"/>
    </w:rPr>
  </w:style>
  <w:style w:type="paragraph" w:styleId="20">
    <w:name w:val="Block Text"/>
    <w:basedOn w:val="1"/>
    <w:qFormat/>
    <w:uiPriority w:val="0"/>
    <w:pPr>
      <w:ind w:left="56" w:leftChars="20" w:right="285" w:hanging="2"/>
    </w:pPr>
    <w:rPr>
      <w:snapToGrid w:val="0"/>
      <w:kern w:val="0"/>
    </w:rPr>
  </w:style>
  <w:style w:type="paragraph" w:styleId="21">
    <w:name w:val="toc 5"/>
    <w:basedOn w:val="1"/>
    <w:next w:val="1"/>
    <w:unhideWhenUsed/>
    <w:qFormat/>
    <w:uiPriority w:val="0"/>
    <w:pPr>
      <w:ind w:left="840"/>
      <w:jc w:val="left"/>
    </w:pPr>
    <w:rPr>
      <w:szCs w:val="21"/>
    </w:rPr>
  </w:style>
  <w:style w:type="paragraph" w:styleId="22">
    <w:name w:val="toc 3"/>
    <w:basedOn w:val="1"/>
    <w:next w:val="1"/>
    <w:unhideWhenUsed/>
    <w:qFormat/>
    <w:uiPriority w:val="39"/>
    <w:pPr>
      <w:ind w:left="840" w:leftChars="400"/>
    </w:pPr>
    <w:rPr>
      <w:rFonts w:ascii="Calibri" w:hAnsi="Calibri"/>
      <w:szCs w:val="22"/>
    </w:rPr>
  </w:style>
  <w:style w:type="paragraph" w:styleId="23">
    <w:name w:val="Plain Text"/>
    <w:basedOn w:val="1"/>
    <w:link w:val="77"/>
    <w:qFormat/>
    <w:uiPriority w:val="0"/>
    <w:rPr>
      <w:rFonts w:ascii="宋体" w:hAnsi="Courier New"/>
    </w:rPr>
  </w:style>
  <w:style w:type="paragraph" w:styleId="24">
    <w:name w:val="toc 8"/>
    <w:basedOn w:val="1"/>
    <w:next w:val="1"/>
    <w:unhideWhenUsed/>
    <w:qFormat/>
    <w:uiPriority w:val="0"/>
    <w:pPr>
      <w:ind w:left="1470"/>
      <w:jc w:val="left"/>
    </w:pPr>
    <w:rPr>
      <w:szCs w:val="21"/>
    </w:rPr>
  </w:style>
  <w:style w:type="paragraph" w:styleId="25">
    <w:name w:val="Date"/>
    <w:basedOn w:val="1"/>
    <w:next w:val="1"/>
    <w:link w:val="145"/>
    <w:qFormat/>
    <w:uiPriority w:val="0"/>
  </w:style>
  <w:style w:type="paragraph" w:styleId="26">
    <w:name w:val="Body Text Indent 2"/>
    <w:basedOn w:val="1"/>
    <w:link w:val="137"/>
    <w:qFormat/>
    <w:uiPriority w:val="0"/>
    <w:pPr>
      <w:spacing w:line="360" w:lineRule="auto"/>
      <w:ind w:left="476" w:hanging="238"/>
      <w:jc w:val="left"/>
    </w:pPr>
    <w:rPr>
      <w:rFonts w:ascii="宋体" w:hAnsi="Bookman Old Style"/>
    </w:rPr>
  </w:style>
  <w:style w:type="paragraph" w:styleId="27">
    <w:name w:val="Balloon Text"/>
    <w:basedOn w:val="1"/>
    <w:link w:val="131"/>
    <w:qFormat/>
    <w:uiPriority w:val="99"/>
    <w:rPr>
      <w:sz w:val="18"/>
      <w:szCs w:val="18"/>
    </w:rPr>
  </w:style>
  <w:style w:type="paragraph" w:styleId="28">
    <w:name w:val="footer"/>
    <w:basedOn w:val="1"/>
    <w:link w:val="160"/>
    <w:qFormat/>
    <w:uiPriority w:val="99"/>
    <w:pPr>
      <w:tabs>
        <w:tab w:val="center" w:pos="4153"/>
        <w:tab w:val="right" w:pos="8306"/>
      </w:tabs>
      <w:snapToGrid w:val="0"/>
      <w:jc w:val="left"/>
    </w:pPr>
    <w:rPr>
      <w:sz w:val="18"/>
    </w:rPr>
  </w:style>
  <w:style w:type="paragraph" w:styleId="29">
    <w:name w:val="header"/>
    <w:basedOn w:val="1"/>
    <w:link w:val="68"/>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pPr>
      <w:tabs>
        <w:tab w:val="right" w:leader="dot" w:pos="8448"/>
      </w:tabs>
    </w:pPr>
  </w:style>
  <w:style w:type="paragraph" w:styleId="31">
    <w:name w:val="toc 4"/>
    <w:basedOn w:val="1"/>
    <w:next w:val="1"/>
    <w:unhideWhenUsed/>
    <w:qFormat/>
    <w:uiPriority w:val="0"/>
    <w:pPr>
      <w:ind w:left="630"/>
      <w:jc w:val="left"/>
    </w:pPr>
    <w:rPr>
      <w:szCs w:val="21"/>
    </w:rPr>
  </w:style>
  <w:style w:type="paragraph" w:styleId="32">
    <w:name w:val="List"/>
    <w:basedOn w:val="1"/>
    <w:qFormat/>
    <w:uiPriority w:val="0"/>
    <w:pPr>
      <w:ind w:left="200" w:hanging="200" w:hangingChars="200"/>
      <w:contextualSpacing/>
    </w:pPr>
  </w:style>
  <w:style w:type="paragraph" w:styleId="33">
    <w:name w:val="footnote text"/>
    <w:basedOn w:val="1"/>
    <w:link w:val="75"/>
    <w:qFormat/>
    <w:uiPriority w:val="0"/>
    <w:pPr>
      <w:adjustRightInd w:val="0"/>
      <w:spacing w:line="312" w:lineRule="atLeast"/>
      <w:jc w:val="left"/>
      <w:textAlignment w:val="baseline"/>
    </w:pPr>
    <w:rPr>
      <w:kern w:val="0"/>
      <w:sz w:val="18"/>
    </w:rPr>
  </w:style>
  <w:style w:type="paragraph" w:styleId="34">
    <w:name w:val="toc 6"/>
    <w:basedOn w:val="1"/>
    <w:next w:val="1"/>
    <w:unhideWhenUsed/>
    <w:qFormat/>
    <w:uiPriority w:val="0"/>
    <w:pPr>
      <w:ind w:left="1050"/>
      <w:jc w:val="left"/>
    </w:pPr>
    <w:rPr>
      <w:szCs w:val="21"/>
    </w:rPr>
  </w:style>
  <w:style w:type="paragraph" w:styleId="35">
    <w:name w:val="Body Text Indent 3"/>
    <w:basedOn w:val="1"/>
    <w:link w:val="154"/>
    <w:qFormat/>
    <w:uiPriority w:val="0"/>
    <w:pPr>
      <w:spacing w:line="360" w:lineRule="auto"/>
      <w:ind w:firstLine="525"/>
    </w:pPr>
    <w:rPr>
      <w:kern w:val="0"/>
      <w:sz w:val="24"/>
    </w:rPr>
  </w:style>
  <w:style w:type="paragraph" w:styleId="36">
    <w:name w:val="table of figures"/>
    <w:basedOn w:val="1"/>
    <w:next w:val="1"/>
    <w:qFormat/>
    <w:uiPriority w:val="0"/>
    <w:pPr>
      <w:adjustRightInd w:val="0"/>
      <w:snapToGrid w:val="0"/>
    </w:pPr>
    <w:rPr>
      <w:rFonts w:ascii="华文细黑" w:eastAsia="华文细黑"/>
      <w:b/>
      <w:sz w:val="18"/>
      <w:szCs w:val="18"/>
    </w:rPr>
  </w:style>
  <w:style w:type="paragraph" w:styleId="37">
    <w:name w:val="toc 2"/>
    <w:basedOn w:val="1"/>
    <w:next w:val="1"/>
    <w:qFormat/>
    <w:uiPriority w:val="39"/>
    <w:pPr>
      <w:ind w:left="420" w:leftChars="200"/>
    </w:pPr>
  </w:style>
  <w:style w:type="paragraph" w:styleId="38">
    <w:name w:val="toc 9"/>
    <w:basedOn w:val="1"/>
    <w:next w:val="1"/>
    <w:unhideWhenUsed/>
    <w:qFormat/>
    <w:uiPriority w:val="0"/>
    <w:pPr>
      <w:ind w:left="1680"/>
      <w:jc w:val="left"/>
    </w:pPr>
    <w:rPr>
      <w:szCs w:val="21"/>
    </w:rPr>
  </w:style>
  <w:style w:type="paragraph" w:styleId="39">
    <w:name w:val="Body Text 2"/>
    <w:basedOn w:val="1"/>
    <w:link w:val="115"/>
    <w:qFormat/>
    <w:uiPriority w:val="0"/>
    <w:pPr>
      <w:adjustRightInd w:val="0"/>
      <w:snapToGrid w:val="0"/>
      <w:jc w:val="center"/>
    </w:pPr>
    <w:rPr>
      <w:rFonts w:eastAsia="仿宋_GB2312"/>
      <w:spacing w:val="-8"/>
    </w:rPr>
  </w:style>
  <w:style w:type="paragraph" w:styleId="40">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42">
    <w:name w:val="index 1"/>
    <w:basedOn w:val="1"/>
    <w:next w:val="1"/>
    <w:unhideWhenUsed/>
    <w:qFormat/>
    <w:uiPriority w:val="99"/>
    <w:rPr>
      <w:rFonts w:eastAsia="仿宋_GB2312"/>
    </w:rPr>
  </w:style>
  <w:style w:type="paragraph" w:styleId="43">
    <w:name w:val="Title"/>
    <w:basedOn w:val="6"/>
    <w:link w:val="67"/>
    <w:qFormat/>
    <w:uiPriority w:val="10"/>
    <w:pPr>
      <w:spacing w:beforeLines="100" w:afterLines="100"/>
      <w:ind w:firstLine="320" w:firstLineChars="38"/>
      <w:jc w:val="center"/>
    </w:pPr>
    <w:rPr>
      <w:rFonts w:ascii="黑体" w:hAnsi="宋体" w:eastAsia="黑体"/>
      <w:sz w:val="84"/>
      <w:szCs w:val="84"/>
    </w:rPr>
  </w:style>
  <w:style w:type="paragraph" w:styleId="44">
    <w:name w:val="annotation subject"/>
    <w:basedOn w:val="14"/>
    <w:next w:val="14"/>
    <w:link w:val="118"/>
    <w:qFormat/>
    <w:uiPriority w:val="0"/>
    <w:rPr>
      <w:b/>
      <w:bCs/>
    </w:rPr>
  </w:style>
  <w:style w:type="paragraph" w:styleId="45">
    <w:name w:val="Body Text First Indent"/>
    <w:basedOn w:val="17"/>
    <w:qFormat/>
    <w:uiPriority w:val="0"/>
    <w:pPr>
      <w:widowControl w:val="0"/>
      <w:adjustRightInd w:val="0"/>
      <w:spacing w:after="120" w:line="312" w:lineRule="atLeast"/>
      <w:ind w:firstLine="420" w:firstLineChars="100"/>
      <w:jc w:val="both"/>
      <w:textAlignment w:val="baseline"/>
    </w:pPr>
    <w:rPr>
      <w:rFonts w:ascii="Times New Roman" w:hAnsi="Times New Roman" w:eastAsia="宋体" w:cs="Times New Roman"/>
      <w:sz w:val="28"/>
      <w:lang w:val="en-US" w:eastAsia="zh-CN" w:bidi="ar-SA"/>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0"/>
    <w:rPr>
      <w:b/>
      <w:bCs/>
    </w:rPr>
  </w:style>
  <w:style w:type="character" w:styleId="50">
    <w:name w:val="page number"/>
    <w:basedOn w:val="48"/>
    <w:qFormat/>
    <w:uiPriority w:val="0"/>
  </w:style>
  <w:style w:type="character" w:styleId="51">
    <w:name w:val="FollowedHyperlink"/>
    <w:basedOn w:val="48"/>
    <w:qFormat/>
    <w:uiPriority w:val="0"/>
    <w:rPr>
      <w:color w:val="800080"/>
      <w:u w:val="single"/>
    </w:rPr>
  </w:style>
  <w:style w:type="character" w:styleId="52">
    <w:name w:val="Emphasis"/>
    <w:basedOn w:val="48"/>
    <w:qFormat/>
    <w:uiPriority w:val="0"/>
    <w:rPr>
      <w:i/>
      <w:iCs/>
    </w:rPr>
  </w:style>
  <w:style w:type="character" w:styleId="53">
    <w:name w:val="line number"/>
    <w:basedOn w:val="48"/>
    <w:qFormat/>
    <w:uiPriority w:val="0"/>
  </w:style>
  <w:style w:type="character" w:styleId="54">
    <w:name w:val="HTML Definition"/>
    <w:basedOn w:val="48"/>
    <w:qFormat/>
    <w:uiPriority w:val="0"/>
  </w:style>
  <w:style w:type="character" w:styleId="55">
    <w:name w:val="HTML Variable"/>
    <w:basedOn w:val="48"/>
    <w:qFormat/>
    <w:uiPriority w:val="0"/>
  </w:style>
  <w:style w:type="character" w:styleId="56">
    <w:name w:val="Hyperlink"/>
    <w:basedOn w:val="48"/>
    <w:qFormat/>
    <w:uiPriority w:val="99"/>
    <w:rPr>
      <w:color w:val="0000FF"/>
      <w:u w:val="single"/>
    </w:rPr>
  </w:style>
  <w:style w:type="character" w:styleId="57">
    <w:name w:val="HTML Code"/>
    <w:qFormat/>
    <w:uiPriority w:val="0"/>
    <w:rPr>
      <w:rFonts w:ascii="宋体" w:hAnsi="宋体" w:eastAsia="宋体" w:cs="宋体"/>
      <w:spacing w:val="0"/>
      <w:sz w:val="24"/>
      <w:szCs w:val="24"/>
    </w:rPr>
  </w:style>
  <w:style w:type="character" w:styleId="58">
    <w:name w:val="annotation reference"/>
    <w:basedOn w:val="48"/>
    <w:qFormat/>
    <w:uiPriority w:val="0"/>
    <w:rPr>
      <w:sz w:val="21"/>
    </w:rPr>
  </w:style>
  <w:style w:type="character" w:styleId="59">
    <w:name w:val="HTML Cite"/>
    <w:qFormat/>
    <w:uiPriority w:val="0"/>
    <w:rPr>
      <w:i/>
      <w:iCs/>
      <w:spacing w:val="0"/>
      <w:sz w:val="21"/>
    </w:rPr>
  </w:style>
  <w:style w:type="character" w:styleId="60">
    <w:name w:val="footnote reference"/>
    <w:qFormat/>
    <w:uiPriority w:val="0"/>
    <w:rPr>
      <w:vertAlign w:val="superscript"/>
    </w:rPr>
  </w:style>
  <w:style w:type="character" w:styleId="61">
    <w:name w:val="HTML Keyboard"/>
    <w:basedOn w:val="48"/>
    <w:qFormat/>
    <w:uiPriority w:val="0"/>
    <w:rPr>
      <w:rFonts w:ascii="serif" w:hAnsi="serif" w:eastAsia="serif" w:cs="serif"/>
      <w:sz w:val="21"/>
      <w:szCs w:val="21"/>
    </w:rPr>
  </w:style>
  <w:style w:type="character" w:styleId="62">
    <w:name w:val="HTML Sample"/>
    <w:basedOn w:val="48"/>
    <w:qFormat/>
    <w:uiPriority w:val="0"/>
    <w:rPr>
      <w:rFonts w:hint="default" w:ascii="serif" w:hAnsi="serif" w:eastAsia="serif" w:cs="serif"/>
      <w:sz w:val="21"/>
      <w:szCs w:val="21"/>
      <w:u w:val="single"/>
    </w:rPr>
  </w:style>
  <w:style w:type="character" w:customStyle="1" w:styleId="63">
    <w:name w:val="正文（首行缩进两字） Char"/>
    <w:qFormat/>
    <w:uiPriority w:val="0"/>
    <w:rPr>
      <w:rFonts w:eastAsia="宋体"/>
      <w:kern w:val="2"/>
      <w:sz w:val="28"/>
      <w:lang w:val="en-US" w:eastAsia="zh-CN" w:bidi="ar-SA"/>
    </w:rPr>
  </w:style>
  <w:style w:type="character" w:customStyle="1" w:styleId="64">
    <w:name w:val="time1"/>
    <w:qFormat/>
    <w:uiPriority w:val="0"/>
    <w:rPr>
      <w:rFonts w:hint="eastAsia" w:ascii="微软雅黑" w:hAnsi="微软雅黑" w:eastAsia="微软雅黑" w:cs="微软雅黑"/>
      <w:color w:val="383838"/>
      <w:spacing w:val="0"/>
      <w:sz w:val="27"/>
      <w:szCs w:val="27"/>
    </w:rPr>
  </w:style>
  <w:style w:type="character" w:customStyle="1" w:styleId="65">
    <w:name w:val="client1"/>
    <w:basedOn w:val="48"/>
    <w:qFormat/>
    <w:uiPriority w:val="0"/>
    <w:rPr>
      <w:spacing w:val="0"/>
      <w:sz w:val="21"/>
    </w:rPr>
  </w:style>
  <w:style w:type="character" w:customStyle="1" w:styleId="66">
    <w:name w:val="time"/>
    <w:qFormat/>
    <w:uiPriority w:val="0"/>
    <w:rPr>
      <w:spacing w:val="0"/>
      <w:sz w:val="18"/>
      <w:szCs w:val="18"/>
    </w:rPr>
  </w:style>
  <w:style w:type="character" w:customStyle="1" w:styleId="67">
    <w:name w:val="标题 字符"/>
    <w:basedOn w:val="48"/>
    <w:link w:val="43"/>
    <w:qFormat/>
    <w:uiPriority w:val="10"/>
    <w:rPr>
      <w:rFonts w:ascii="黑体" w:hAnsi="宋体" w:eastAsia="黑体"/>
      <w:b/>
      <w:bCs/>
      <w:sz w:val="84"/>
      <w:szCs w:val="84"/>
    </w:rPr>
  </w:style>
  <w:style w:type="character" w:customStyle="1" w:styleId="68">
    <w:name w:val="页眉 字符"/>
    <w:basedOn w:val="48"/>
    <w:link w:val="29"/>
    <w:qFormat/>
    <w:uiPriority w:val="99"/>
    <w:rPr>
      <w:kern w:val="2"/>
      <w:sz w:val="18"/>
    </w:rPr>
  </w:style>
  <w:style w:type="character" w:customStyle="1" w:styleId="69">
    <w:name w:val="r_报告编号"/>
    <w:basedOn w:val="48"/>
    <w:qFormat/>
    <w:uiPriority w:val="0"/>
    <w:rPr>
      <w:spacing w:val="0"/>
      <w:sz w:val="21"/>
    </w:rPr>
  </w:style>
  <w:style w:type="character" w:customStyle="1" w:styleId="70">
    <w:name w:val="r_估价师"/>
    <w:basedOn w:val="48"/>
    <w:qFormat/>
    <w:uiPriority w:val="0"/>
    <w:rPr>
      <w:spacing w:val="0"/>
      <w:sz w:val="21"/>
    </w:rPr>
  </w:style>
  <w:style w:type="character" w:customStyle="1" w:styleId="71">
    <w:name w:val="type"/>
    <w:basedOn w:val="48"/>
    <w:qFormat/>
    <w:uiPriority w:val="0"/>
    <w:rPr>
      <w:spacing w:val="0"/>
      <w:sz w:val="21"/>
    </w:rPr>
  </w:style>
  <w:style w:type="character" w:customStyle="1" w:styleId="72">
    <w:name w:val="current"/>
    <w:qFormat/>
    <w:uiPriority w:val="0"/>
    <w:rPr>
      <w:b/>
      <w:color w:val="FFFFFF"/>
      <w:spacing w:val="0"/>
      <w:sz w:val="21"/>
      <w:bdr w:val="single" w:color="D21300" w:sz="6" w:space="0"/>
      <w:shd w:val="clear" w:color="auto" w:fill="D21300"/>
    </w:rPr>
  </w:style>
  <w:style w:type="character" w:customStyle="1" w:styleId="73">
    <w:name w:val="casecount"/>
    <w:basedOn w:val="48"/>
    <w:qFormat/>
    <w:uiPriority w:val="0"/>
    <w:rPr>
      <w:spacing w:val="0"/>
      <w:sz w:val="21"/>
    </w:rPr>
  </w:style>
  <w:style w:type="character" w:customStyle="1" w:styleId="74">
    <w:name w:val="v_面积汇总的市场比较法总价"/>
    <w:basedOn w:val="48"/>
    <w:qFormat/>
    <w:uiPriority w:val="0"/>
    <w:rPr>
      <w:spacing w:val="0"/>
      <w:sz w:val="21"/>
    </w:rPr>
  </w:style>
  <w:style w:type="character" w:customStyle="1" w:styleId="75">
    <w:name w:val="脚注文本 字符"/>
    <w:basedOn w:val="48"/>
    <w:link w:val="33"/>
    <w:qFormat/>
    <w:uiPriority w:val="0"/>
    <w:rPr>
      <w:sz w:val="18"/>
    </w:rPr>
  </w:style>
  <w:style w:type="character" w:customStyle="1" w:styleId="76">
    <w:name w:val="标题 5 字符"/>
    <w:basedOn w:val="48"/>
    <w:link w:val="6"/>
    <w:qFormat/>
    <w:uiPriority w:val="0"/>
    <w:rPr>
      <w:rFonts w:ascii="Arial Unicode MS" w:hAnsi="Arial Unicode MS" w:eastAsia="Arial Unicode MS"/>
      <w:b/>
      <w:bCs/>
    </w:rPr>
  </w:style>
  <w:style w:type="character" w:customStyle="1" w:styleId="77">
    <w:name w:val="纯文本 字符"/>
    <w:basedOn w:val="48"/>
    <w:link w:val="23"/>
    <w:qFormat/>
    <w:uiPriority w:val="0"/>
    <w:rPr>
      <w:rFonts w:ascii="宋体" w:hAnsi="Courier New" w:eastAsia="宋体"/>
      <w:kern w:val="2"/>
      <w:sz w:val="21"/>
      <w:lang w:val="en-US" w:eastAsia="zh-CN" w:bidi="ar-SA"/>
    </w:rPr>
  </w:style>
  <w:style w:type="character" w:customStyle="1" w:styleId="78">
    <w:name w:val="s_窗"/>
    <w:basedOn w:val="48"/>
    <w:qFormat/>
    <w:uiPriority w:val="0"/>
    <w:rPr>
      <w:spacing w:val="0"/>
      <w:sz w:val="21"/>
    </w:rPr>
  </w:style>
  <w:style w:type="character" w:customStyle="1" w:styleId="79">
    <w:name w:val="s_权利人"/>
    <w:basedOn w:val="48"/>
    <w:qFormat/>
    <w:uiPriority w:val="0"/>
    <w:rPr>
      <w:spacing w:val="0"/>
      <w:sz w:val="21"/>
    </w:rPr>
  </w:style>
  <w:style w:type="character" w:customStyle="1" w:styleId="80">
    <w:name w:val="basefactorname"/>
    <w:basedOn w:val="48"/>
    <w:qFormat/>
    <w:uiPriority w:val="0"/>
    <w:rPr>
      <w:spacing w:val="0"/>
      <w:sz w:val="21"/>
    </w:rPr>
  </w:style>
  <w:style w:type="character" w:customStyle="1" w:styleId="81">
    <w:name w:val="s_房地产变现后应先交纳"/>
    <w:basedOn w:val="48"/>
    <w:qFormat/>
    <w:uiPriority w:val="0"/>
    <w:rPr>
      <w:spacing w:val="0"/>
      <w:sz w:val="21"/>
    </w:rPr>
  </w:style>
  <w:style w:type="character" w:customStyle="1" w:styleId="82">
    <w:name w:val="标题 4 字符"/>
    <w:basedOn w:val="48"/>
    <w:link w:val="5"/>
    <w:qFormat/>
    <w:uiPriority w:val="0"/>
    <w:rPr>
      <w:rFonts w:ascii="宋体" w:hAnsi="宋体"/>
      <w:b/>
      <w:bCs/>
      <w:sz w:val="24"/>
      <w:szCs w:val="24"/>
    </w:rPr>
  </w:style>
  <w:style w:type="character" w:customStyle="1" w:styleId="83">
    <w:name w:val="标题 9 字符"/>
    <w:basedOn w:val="48"/>
    <w:link w:val="9"/>
    <w:qFormat/>
    <w:uiPriority w:val="0"/>
    <w:rPr>
      <w:rFonts w:ascii="黑体" w:hAnsi="Arial" w:eastAsia="黑体"/>
      <w:sz w:val="28"/>
    </w:rPr>
  </w:style>
  <w:style w:type="character" w:customStyle="1" w:styleId="84">
    <w:name w:val="Char Char3"/>
    <w:basedOn w:val="48"/>
    <w:qFormat/>
    <w:uiPriority w:val="0"/>
    <w:rPr>
      <w:b/>
      <w:bCs/>
      <w:color w:val="000000"/>
      <w:kern w:val="28"/>
      <w:sz w:val="28"/>
      <w:szCs w:val="44"/>
    </w:rPr>
  </w:style>
  <w:style w:type="character" w:customStyle="1" w:styleId="85">
    <w:name w:val="s_结构"/>
    <w:basedOn w:val="48"/>
    <w:qFormat/>
    <w:uiPriority w:val="0"/>
    <w:rPr>
      <w:spacing w:val="0"/>
      <w:sz w:val="21"/>
    </w:rPr>
  </w:style>
  <w:style w:type="character" w:customStyle="1" w:styleId="86">
    <w:name w:val="s_地址"/>
    <w:basedOn w:val="48"/>
    <w:qFormat/>
    <w:uiPriority w:val="0"/>
    <w:rPr>
      <w:spacing w:val="0"/>
      <w:sz w:val="21"/>
    </w:rPr>
  </w:style>
  <w:style w:type="character" w:customStyle="1" w:styleId="87">
    <w:name w:val="s_他项权利情况"/>
    <w:basedOn w:val="48"/>
    <w:qFormat/>
    <w:uiPriority w:val="0"/>
    <w:rPr>
      <w:spacing w:val="0"/>
      <w:sz w:val="21"/>
    </w:rPr>
  </w:style>
  <w:style w:type="character" w:customStyle="1" w:styleId="88">
    <w:name w:val="s_土地用途"/>
    <w:basedOn w:val="48"/>
    <w:qFormat/>
    <w:uiPriority w:val="0"/>
    <w:rPr>
      <w:spacing w:val="0"/>
      <w:sz w:val="21"/>
    </w:rPr>
  </w:style>
  <w:style w:type="character" w:customStyle="1" w:styleId="89">
    <w:name w:val="s_楼地面"/>
    <w:basedOn w:val="48"/>
    <w:qFormat/>
    <w:uiPriority w:val="0"/>
    <w:rPr>
      <w:spacing w:val="0"/>
      <w:sz w:val="21"/>
    </w:rPr>
  </w:style>
  <w:style w:type="character" w:customStyle="1" w:styleId="90">
    <w:name w:val="s_间数层数"/>
    <w:basedOn w:val="48"/>
    <w:qFormat/>
    <w:uiPriority w:val="0"/>
    <w:rPr>
      <w:spacing w:val="0"/>
      <w:sz w:val="21"/>
    </w:rPr>
  </w:style>
  <w:style w:type="character" w:customStyle="1" w:styleId="91">
    <w:name w:val="s_建成年份"/>
    <w:basedOn w:val="48"/>
    <w:qFormat/>
    <w:uiPriority w:val="0"/>
    <w:rPr>
      <w:spacing w:val="0"/>
      <w:sz w:val="21"/>
    </w:rPr>
  </w:style>
  <w:style w:type="character" w:customStyle="1" w:styleId="92">
    <w:name w:val="正文文本缩进 字符"/>
    <w:basedOn w:val="48"/>
    <w:link w:val="18"/>
    <w:qFormat/>
    <w:uiPriority w:val="0"/>
    <w:rPr>
      <w:kern w:val="2"/>
      <w:sz w:val="28"/>
    </w:rPr>
  </w:style>
  <w:style w:type="character" w:customStyle="1" w:styleId="93">
    <w:name w:val="appraisers"/>
    <w:basedOn w:val="48"/>
    <w:qFormat/>
    <w:uiPriority w:val="0"/>
    <w:rPr>
      <w:spacing w:val="0"/>
      <w:sz w:val="21"/>
    </w:rPr>
  </w:style>
  <w:style w:type="character" w:customStyle="1" w:styleId="94">
    <w:name w:val="option"/>
    <w:basedOn w:val="48"/>
    <w:qFormat/>
    <w:uiPriority w:val="0"/>
    <w:rPr>
      <w:spacing w:val="0"/>
      <w:sz w:val="21"/>
    </w:rPr>
  </w:style>
  <w:style w:type="character" w:customStyle="1" w:styleId="95">
    <w:name w:val="纯文本 Char1"/>
    <w:basedOn w:val="48"/>
    <w:qFormat/>
    <w:locked/>
    <w:uiPriority w:val="0"/>
    <w:rPr>
      <w:rFonts w:ascii="宋体" w:hAnsi="Courier New" w:eastAsia="宋体" w:cs="Times New Roman"/>
      <w:szCs w:val="20"/>
    </w:rPr>
  </w:style>
  <w:style w:type="character" w:customStyle="1" w:styleId="96">
    <w:name w:val="font51"/>
    <w:basedOn w:val="48"/>
    <w:qFormat/>
    <w:uiPriority w:val="0"/>
    <w:rPr>
      <w:rFonts w:hint="eastAsia" w:ascii="宋体" w:hAnsi="宋体" w:eastAsia="宋体" w:cs="宋体"/>
      <w:color w:val="000000"/>
      <w:sz w:val="20"/>
      <w:szCs w:val="20"/>
      <w:u w:val="none"/>
      <w:vertAlign w:val="superscript"/>
    </w:rPr>
  </w:style>
  <w:style w:type="character" w:customStyle="1" w:styleId="97">
    <w:name w:val="op-map-singlepoint-info-left"/>
    <w:basedOn w:val="48"/>
    <w:qFormat/>
    <w:uiPriority w:val="0"/>
  </w:style>
  <w:style w:type="character" w:customStyle="1" w:styleId="98">
    <w:name w:val="r_价值类型"/>
    <w:basedOn w:val="48"/>
    <w:qFormat/>
    <w:uiPriority w:val="0"/>
    <w:rPr>
      <w:spacing w:val="0"/>
      <w:sz w:val="21"/>
    </w:rPr>
  </w:style>
  <w:style w:type="character" w:customStyle="1" w:styleId="99">
    <w:name w:val="ninetext1"/>
    <w:qFormat/>
    <w:uiPriority w:val="0"/>
    <w:rPr>
      <w:sz w:val="18"/>
      <w:szCs w:val="18"/>
    </w:rPr>
  </w:style>
  <w:style w:type="character" w:customStyle="1" w:styleId="100">
    <w:name w:val="标题 3 Char Char"/>
    <w:qFormat/>
    <w:uiPriority w:val="0"/>
    <w:rPr>
      <w:rFonts w:eastAsia="宋体"/>
      <w:b/>
      <w:bCs/>
      <w:kern w:val="2"/>
      <w:sz w:val="32"/>
      <w:szCs w:val="32"/>
      <w:lang w:val="en-US" w:eastAsia="zh-CN" w:bidi="ar-SA"/>
    </w:rPr>
  </w:style>
  <w:style w:type="character" w:customStyle="1" w:styleId="101">
    <w:name w:val="r_有效年期"/>
    <w:basedOn w:val="48"/>
    <w:qFormat/>
    <w:uiPriority w:val="0"/>
    <w:rPr>
      <w:spacing w:val="0"/>
      <w:sz w:val="21"/>
    </w:rPr>
  </w:style>
  <w:style w:type="character" w:customStyle="1" w:styleId="102">
    <w:name w:val="正文文本缩进 Char1"/>
    <w:basedOn w:val="48"/>
    <w:semiHidden/>
    <w:qFormat/>
    <w:uiPriority w:val="99"/>
    <w:rPr>
      <w:rFonts w:ascii="Times New Roman" w:hAnsi="Times New Roman" w:eastAsia="宋体" w:cs="Times New Roman"/>
      <w:szCs w:val="20"/>
    </w:rPr>
  </w:style>
  <w:style w:type="character" w:customStyle="1" w:styleId="103">
    <w:name w:val="s_房产证号"/>
    <w:basedOn w:val="48"/>
    <w:qFormat/>
    <w:uiPriority w:val="0"/>
    <w:rPr>
      <w:spacing w:val="0"/>
      <w:sz w:val="21"/>
    </w:rPr>
  </w:style>
  <w:style w:type="character" w:customStyle="1" w:styleId="104">
    <w:name w:val="font11"/>
    <w:qFormat/>
    <w:uiPriority w:val="0"/>
    <w:rPr>
      <w:rFonts w:hint="eastAsia" w:ascii="宋体" w:hAnsi="宋体" w:eastAsia="宋体"/>
      <w:color w:val="000000"/>
      <w:spacing w:val="0"/>
      <w:sz w:val="20"/>
      <w:szCs w:val="20"/>
      <w:u w:val="none"/>
      <w:vertAlign w:val="superscript"/>
    </w:rPr>
  </w:style>
  <w:style w:type="character" w:customStyle="1" w:styleId="105">
    <w:name w:val="s_内墙"/>
    <w:basedOn w:val="48"/>
    <w:qFormat/>
    <w:uiPriority w:val="0"/>
    <w:rPr>
      <w:spacing w:val="0"/>
      <w:sz w:val="21"/>
    </w:rPr>
  </w:style>
  <w:style w:type="character" w:customStyle="1" w:styleId="106">
    <w:name w:val="r_结束日期(长)"/>
    <w:basedOn w:val="48"/>
    <w:qFormat/>
    <w:uiPriority w:val="0"/>
    <w:rPr>
      <w:spacing w:val="0"/>
      <w:sz w:val="21"/>
    </w:rPr>
  </w:style>
  <w:style w:type="character" w:customStyle="1" w:styleId="107">
    <w:name w:val="HTML 预设格式 字符"/>
    <w:basedOn w:val="48"/>
    <w:link w:val="40"/>
    <w:qFormat/>
    <w:uiPriority w:val="0"/>
    <w:rPr>
      <w:rFonts w:ascii="宋体" w:hAnsi="宋体" w:cs="宋体"/>
      <w:sz w:val="24"/>
      <w:szCs w:val="24"/>
    </w:rPr>
  </w:style>
  <w:style w:type="character" w:customStyle="1" w:styleId="108">
    <w:name w:val="name21"/>
    <w:basedOn w:val="48"/>
    <w:qFormat/>
    <w:uiPriority w:val="0"/>
    <w:rPr>
      <w:spacing w:val="0"/>
      <w:sz w:val="21"/>
    </w:rPr>
  </w:style>
  <w:style w:type="character" w:customStyle="1" w:styleId="109">
    <w:name w:val="称呼 字符"/>
    <w:basedOn w:val="48"/>
    <w:link w:val="15"/>
    <w:qFormat/>
    <w:uiPriority w:val="0"/>
    <w:rPr>
      <w:rFonts w:ascii="宋体" w:hAnsi="Bookman Old Style"/>
      <w:kern w:val="2"/>
      <w:sz w:val="21"/>
    </w:rPr>
  </w:style>
  <w:style w:type="character" w:customStyle="1" w:styleId="110">
    <w:name w:val="s_建筑面积"/>
    <w:basedOn w:val="48"/>
    <w:qFormat/>
    <w:uiPriority w:val="0"/>
    <w:rPr>
      <w:spacing w:val="0"/>
      <w:sz w:val="21"/>
    </w:rPr>
  </w:style>
  <w:style w:type="character" w:customStyle="1" w:styleId="111">
    <w:name w:val="r_总价(大写)"/>
    <w:basedOn w:val="48"/>
    <w:qFormat/>
    <w:uiPriority w:val="0"/>
    <w:rPr>
      <w:spacing w:val="0"/>
      <w:sz w:val="21"/>
    </w:rPr>
  </w:style>
  <w:style w:type="character" w:customStyle="1" w:styleId="112">
    <w:name w:val="num"/>
    <w:qFormat/>
    <w:uiPriority w:val="0"/>
    <w:rPr>
      <w:color w:val="A00101"/>
      <w:spacing w:val="0"/>
      <w:sz w:val="21"/>
    </w:rPr>
  </w:style>
  <w:style w:type="character" w:customStyle="1" w:styleId="113">
    <w:name w:val="v_单价"/>
    <w:basedOn w:val="48"/>
    <w:qFormat/>
    <w:uiPriority w:val="0"/>
    <w:rPr>
      <w:spacing w:val="0"/>
      <w:sz w:val="21"/>
    </w:rPr>
  </w:style>
  <w:style w:type="character" w:customStyle="1" w:styleId="114">
    <w:name w:val="s_单价(小写)"/>
    <w:basedOn w:val="48"/>
    <w:qFormat/>
    <w:uiPriority w:val="0"/>
    <w:rPr>
      <w:spacing w:val="0"/>
      <w:sz w:val="21"/>
    </w:rPr>
  </w:style>
  <w:style w:type="character" w:customStyle="1" w:styleId="115">
    <w:name w:val="正文文本 2 字符"/>
    <w:basedOn w:val="48"/>
    <w:link w:val="39"/>
    <w:qFormat/>
    <w:uiPriority w:val="0"/>
    <w:rPr>
      <w:rFonts w:eastAsia="仿宋_GB2312"/>
      <w:spacing w:val="-8"/>
      <w:kern w:val="2"/>
      <w:sz w:val="21"/>
    </w:rPr>
  </w:style>
  <w:style w:type="character" w:customStyle="1" w:styleId="116">
    <w:name w:val="正文（首行缩进两字） Char3"/>
    <w:qFormat/>
    <w:uiPriority w:val="0"/>
    <w:rPr>
      <w:rFonts w:eastAsia="宋体"/>
      <w:kern w:val="2"/>
      <w:sz w:val="28"/>
      <w:lang w:val="en-US" w:eastAsia="zh-CN" w:bidi="ar-SA"/>
    </w:rPr>
  </w:style>
  <w:style w:type="character" w:customStyle="1" w:styleId="117">
    <w:name w:val="标题 2 字符"/>
    <w:basedOn w:val="48"/>
    <w:link w:val="2"/>
    <w:qFormat/>
    <w:uiPriority w:val="0"/>
    <w:rPr>
      <w:rFonts w:ascii="Arial" w:hAnsi="Arial" w:eastAsia="黑体"/>
      <w:b/>
      <w:bCs/>
      <w:kern w:val="2"/>
      <w:sz w:val="32"/>
      <w:szCs w:val="32"/>
    </w:rPr>
  </w:style>
  <w:style w:type="character" w:customStyle="1" w:styleId="118">
    <w:name w:val="批注主题 字符"/>
    <w:basedOn w:val="119"/>
    <w:link w:val="44"/>
    <w:qFormat/>
    <w:uiPriority w:val="0"/>
    <w:rPr>
      <w:b/>
      <w:bCs/>
      <w:kern w:val="2"/>
      <w:sz w:val="21"/>
    </w:rPr>
  </w:style>
  <w:style w:type="character" w:customStyle="1" w:styleId="119">
    <w:name w:val="批注文字 字符"/>
    <w:basedOn w:val="48"/>
    <w:link w:val="14"/>
    <w:qFormat/>
    <w:uiPriority w:val="0"/>
    <w:rPr>
      <w:kern w:val="2"/>
      <w:sz w:val="21"/>
    </w:rPr>
  </w:style>
  <w:style w:type="character" w:customStyle="1" w:styleId="120">
    <w:name w:val="链接"/>
    <w:basedOn w:val="48"/>
    <w:qFormat/>
    <w:uiPriority w:val="0"/>
    <w:rPr>
      <w:rFonts w:ascii="Times New Roman" w:eastAsia="宋体"/>
      <w:color w:val="0000FF"/>
      <w:spacing w:val="0"/>
      <w:sz w:val="21"/>
      <w:u w:val="single" w:color="0000FF"/>
      <w:vertAlign w:val="baseline"/>
      <w:lang w:val="en-US" w:eastAsia="zh-CN"/>
    </w:rPr>
  </w:style>
  <w:style w:type="character" w:customStyle="1" w:styleId="121">
    <w:name w:val="type1"/>
    <w:basedOn w:val="48"/>
    <w:qFormat/>
    <w:uiPriority w:val="0"/>
    <w:rPr>
      <w:spacing w:val="0"/>
      <w:sz w:val="21"/>
    </w:rPr>
  </w:style>
  <w:style w:type="character" w:customStyle="1" w:styleId="122">
    <w:name w:val="s_土地使用者"/>
    <w:basedOn w:val="48"/>
    <w:qFormat/>
    <w:uiPriority w:val="0"/>
    <w:rPr>
      <w:spacing w:val="0"/>
      <w:sz w:val="21"/>
    </w:rPr>
  </w:style>
  <w:style w:type="character" w:customStyle="1" w:styleId="123">
    <w:name w:val="标题 3 字符"/>
    <w:basedOn w:val="48"/>
    <w:link w:val="4"/>
    <w:qFormat/>
    <w:uiPriority w:val="9"/>
    <w:rPr>
      <w:b/>
      <w:bCs/>
      <w:kern w:val="2"/>
      <w:sz w:val="32"/>
      <w:szCs w:val="32"/>
    </w:rPr>
  </w:style>
  <w:style w:type="character" w:customStyle="1" w:styleId="124">
    <w:name w:val="s_用地面积"/>
    <w:basedOn w:val="48"/>
    <w:qFormat/>
    <w:uiPriority w:val="0"/>
    <w:rPr>
      <w:spacing w:val="0"/>
      <w:sz w:val="21"/>
    </w:rPr>
  </w:style>
  <w:style w:type="character" w:customStyle="1" w:styleId="125">
    <w:name w:val="s_配套设施"/>
    <w:basedOn w:val="48"/>
    <w:qFormat/>
    <w:uiPriority w:val="0"/>
    <w:rPr>
      <w:spacing w:val="0"/>
      <w:sz w:val="21"/>
    </w:rPr>
  </w:style>
  <w:style w:type="character" w:customStyle="1" w:styleId="126">
    <w:name w:val="yq"/>
    <w:basedOn w:val="48"/>
    <w:qFormat/>
    <w:uiPriority w:val="0"/>
  </w:style>
  <w:style w:type="character" w:customStyle="1" w:styleId="127">
    <w:name w:val="option1"/>
    <w:basedOn w:val="48"/>
    <w:qFormat/>
    <w:uiPriority w:val="0"/>
    <w:rPr>
      <w:spacing w:val="0"/>
      <w:sz w:val="21"/>
    </w:rPr>
  </w:style>
  <w:style w:type="character" w:customStyle="1" w:styleId="128">
    <w:name w:val="yl"/>
    <w:qFormat/>
    <w:uiPriority w:val="0"/>
    <w:rPr>
      <w:rFonts w:hint="default" w:ascii="微软雅黑" w:hAnsi="微软雅黑" w:eastAsia="微软雅黑" w:cs="微软雅黑"/>
      <w:b/>
      <w:color w:val="444343"/>
      <w:spacing w:val="0"/>
      <w:sz w:val="22"/>
      <w:szCs w:val="22"/>
    </w:rPr>
  </w:style>
  <w:style w:type="character" w:customStyle="1" w:styleId="129">
    <w:name w:val="name2"/>
    <w:basedOn w:val="48"/>
    <w:qFormat/>
    <w:uiPriority w:val="0"/>
    <w:rPr>
      <w:spacing w:val="0"/>
      <w:sz w:val="21"/>
    </w:rPr>
  </w:style>
  <w:style w:type="character" w:customStyle="1" w:styleId="130">
    <w:name w:val="r_短估价目的"/>
    <w:basedOn w:val="48"/>
    <w:qFormat/>
    <w:uiPriority w:val="0"/>
    <w:rPr>
      <w:spacing w:val="0"/>
      <w:sz w:val="21"/>
    </w:rPr>
  </w:style>
  <w:style w:type="character" w:customStyle="1" w:styleId="131">
    <w:name w:val="批注框文本 字符"/>
    <w:basedOn w:val="48"/>
    <w:link w:val="27"/>
    <w:qFormat/>
    <w:uiPriority w:val="99"/>
    <w:rPr>
      <w:kern w:val="2"/>
      <w:sz w:val="18"/>
      <w:szCs w:val="18"/>
    </w:rPr>
  </w:style>
  <w:style w:type="character" w:customStyle="1" w:styleId="132">
    <w:name w:val="Char Char1"/>
    <w:qFormat/>
    <w:uiPriority w:val="0"/>
    <w:rPr>
      <w:rFonts w:ascii="宋体" w:eastAsia="宋体"/>
      <w:sz w:val="21"/>
      <w:lang w:val="en-US" w:eastAsia="zh-CN" w:bidi="ar-SA"/>
    </w:rPr>
  </w:style>
  <w:style w:type="character" w:customStyle="1" w:styleId="133">
    <w:name w:val="casenames"/>
    <w:basedOn w:val="48"/>
    <w:qFormat/>
    <w:uiPriority w:val="0"/>
    <w:rPr>
      <w:spacing w:val="0"/>
      <w:sz w:val="21"/>
    </w:rPr>
  </w:style>
  <w:style w:type="character" w:customStyle="1" w:styleId="134">
    <w:name w:val="description"/>
    <w:basedOn w:val="48"/>
    <w:qFormat/>
    <w:uiPriority w:val="0"/>
  </w:style>
  <w:style w:type="character" w:customStyle="1" w:styleId="135">
    <w:name w:val="s_门"/>
    <w:basedOn w:val="48"/>
    <w:qFormat/>
    <w:uiPriority w:val="0"/>
    <w:rPr>
      <w:spacing w:val="0"/>
      <w:sz w:val="21"/>
    </w:rPr>
  </w:style>
  <w:style w:type="character" w:customStyle="1" w:styleId="136">
    <w:name w:val="s_应缴纳"/>
    <w:basedOn w:val="48"/>
    <w:qFormat/>
    <w:uiPriority w:val="0"/>
    <w:rPr>
      <w:spacing w:val="0"/>
      <w:sz w:val="21"/>
    </w:rPr>
  </w:style>
  <w:style w:type="character" w:customStyle="1" w:styleId="137">
    <w:name w:val="正文文本缩进 2 字符"/>
    <w:basedOn w:val="48"/>
    <w:link w:val="26"/>
    <w:qFormat/>
    <w:uiPriority w:val="0"/>
    <w:rPr>
      <w:rFonts w:ascii="宋体" w:hAnsi="Bookman Old Style"/>
      <w:kern w:val="2"/>
      <w:sz w:val="21"/>
    </w:rPr>
  </w:style>
  <w:style w:type="character" w:customStyle="1" w:styleId="138">
    <w:name w:val="s_单价(大写)"/>
    <w:basedOn w:val="48"/>
    <w:qFormat/>
    <w:uiPriority w:val="0"/>
    <w:rPr>
      <w:spacing w:val="0"/>
      <w:sz w:val="21"/>
    </w:rPr>
  </w:style>
  <w:style w:type="character" w:customStyle="1" w:styleId="139">
    <w:name w:val="正文缩进 字符"/>
    <w:link w:val="12"/>
    <w:qFormat/>
    <w:uiPriority w:val="0"/>
    <w:rPr>
      <w:kern w:val="2"/>
      <w:sz w:val="28"/>
    </w:rPr>
  </w:style>
  <w:style w:type="character" w:customStyle="1" w:styleId="140">
    <w:name w:val="font31"/>
    <w:basedOn w:val="48"/>
    <w:qFormat/>
    <w:uiPriority w:val="0"/>
    <w:rPr>
      <w:rFonts w:hint="eastAsia" w:ascii="宋体" w:hAnsi="宋体" w:eastAsia="宋体" w:cs="宋体"/>
      <w:color w:val="000000"/>
      <w:sz w:val="20"/>
      <w:szCs w:val="20"/>
      <w:u w:val="none"/>
    </w:rPr>
  </w:style>
  <w:style w:type="character" w:customStyle="1" w:styleId="141">
    <w:name w:val="font21"/>
    <w:basedOn w:val="48"/>
    <w:qFormat/>
    <w:uiPriority w:val="0"/>
    <w:rPr>
      <w:rFonts w:hint="default" w:ascii="楷体_GB2312" w:eastAsia="楷体_GB2312" w:cs="楷体_GB2312"/>
      <w:color w:val="000000"/>
      <w:sz w:val="20"/>
      <w:szCs w:val="20"/>
      <w:u w:val="none"/>
    </w:rPr>
  </w:style>
  <w:style w:type="character" w:customStyle="1" w:styleId="142">
    <w:name w:val="正文文本 字符"/>
    <w:basedOn w:val="48"/>
    <w:link w:val="17"/>
    <w:qFormat/>
    <w:uiPriority w:val="0"/>
    <w:rPr>
      <w:rFonts w:ascii="宋体"/>
      <w:spacing w:val="10"/>
      <w:kern w:val="2"/>
      <w:sz w:val="24"/>
    </w:rPr>
  </w:style>
  <w:style w:type="character" w:customStyle="1" w:styleId="143">
    <w:name w:val="grame"/>
    <w:basedOn w:val="48"/>
    <w:qFormat/>
    <w:uiPriority w:val="0"/>
    <w:rPr>
      <w:spacing w:val="0"/>
      <w:sz w:val="21"/>
    </w:rPr>
  </w:style>
  <w:style w:type="character" w:customStyle="1" w:styleId="144">
    <w:name w:val="s_土地性质"/>
    <w:basedOn w:val="48"/>
    <w:qFormat/>
    <w:uiPriority w:val="0"/>
    <w:rPr>
      <w:spacing w:val="0"/>
      <w:sz w:val="21"/>
    </w:rPr>
  </w:style>
  <w:style w:type="character" w:customStyle="1" w:styleId="145">
    <w:name w:val="日期 字符"/>
    <w:basedOn w:val="48"/>
    <w:link w:val="25"/>
    <w:qFormat/>
    <w:uiPriority w:val="0"/>
    <w:rPr>
      <w:kern w:val="2"/>
      <w:sz w:val="21"/>
    </w:rPr>
  </w:style>
  <w:style w:type="character" w:customStyle="1" w:styleId="146">
    <w:name w:val="font01"/>
    <w:basedOn w:val="48"/>
    <w:qFormat/>
    <w:uiPriority w:val="0"/>
    <w:rPr>
      <w:rFonts w:hint="eastAsia" w:ascii="楷体_GB2312" w:eastAsia="楷体_GB2312" w:cs="楷体_GB2312"/>
      <w:color w:val="000000"/>
      <w:sz w:val="20"/>
      <w:szCs w:val="20"/>
      <w:u w:val="none"/>
    </w:rPr>
  </w:style>
  <w:style w:type="character" w:customStyle="1" w:styleId="147">
    <w:name w:val="标题 7 字符"/>
    <w:basedOn w:val="48"/>
    <w:link w:val="8"/>
    <w:qFormat/>
    <w:uiPriority w:val="9"/>
    <w:rPr>
      <w:rFonts w:ascii="仿宋_GB2312" w:hAnsi="宋体" w:eastAsia="仿宋_GB2312" w:cs="宋体"/>
      <w:b/>
      <w:bCs/>
      <w:kern w:val="2"/>
      <w:sz w:val="24"/>
      <w:szCs w:val="24"/>
    </w:rPr>
  </w:style>
  <w:style w:type="character" w:customStyle="1" w:styleId="148">
    <w:name w:val="corp1name"/>
    <w:basedOn w:val="48"/>
    <w:qFormat/>
    <w:uiPriority w:val="0"/>
    <w:rPr>
      <w:spacing w:val="0"/>
      <w:sz w:val="21"/>
    </w:rPr>
  </w:style>
  <w:style w:type="character" w:customStyle="1" w:styleId="149">
    <w:name w:val="r_总价(小写)"/>
    <w:basedOn w:val="48"/>
    <w:qFormat/>
    <w:uiPriority w:val="0"/>
    <w:rPr>
      <w:spacing w:val="0"/>
      <w:sz w:val="21"/>
    </w:rPr>
  </w:style>
  <w:style w:type="character" w:customStyle="1" w:styleId="150">
    <w:name w:val="name1"/>
    <w:basedOn w:val="48"/>
    <w:qFormat/>
    <w:uiPriority w:val="0"/>
    <w:rPr>
      <w:spacing w:val="0"/>
      <w:sz w:val="21"/>
    </w:rPr>
  </w:style>
  <w:style w:type="character" w:customStyle="1" w:styleId="151">
    <w:name w:val="s_土地证号"/>
    <w:basedOn w:val="48"/>
    <w:qFormat/>
    <w:uiPriority w:val="0"/>
    <w:rPr>
      <w:spacing w:val="0"/>
      <w:sz w:val="21"/>
    </w:rPr>
  </w:style>
  <w:style w:type="character" w:customStyle="1" w:styleId="152">
    <w:name w:val="blackfont"/>
    <w:basedOn w:val="48"/>
    <w:qFormat/>
    <w:uiPriority w:val="0"/>
    <w:rPr>
      <w:spacing w:val="0"/>
      <w:sz w:val="21"/>
    </w:rPr>
  </w:style>
  <w:style w:type="character" w:customStyle="1" w:styleId="153">
    <w:name w:val="font81"/>
    <w:basedOn w:val="48"/>
    <w:qFormat/>
    <w:uiPriority w:val="0"/>
    <w:rPr>
      <w:rFonts w:hint="eastAsia" w:ascii="宋体" w:hAnsi="宋体" w:eastAsia="宋体" w:cs="宋体"/>
      <w:color w:val="000000"/>
      <w:sz w:val="20"/>
      <w:szCs w:val="20"/>
      <w:u w:val="none"/>
      <w:vertAlign w:val="superscript"/>
    </w:rPr>
  </w:style>
  <w:style w:type="character" w:customStyle="1" w:styleId="154">
    <w:name w:val="正文文本缩进 3 字符"/>
    <w:basedOn w:val="48"/>
    <w:link w:val="35"/>
    <w:qFormat/>
    <w:uiPriority w:val="0"/>
    <w:rPr>
      <w:sz w:val="24"/>
    </w:rPr>
  </w:style>
  <w:style w:type="character" w:customStyle="1" w:styleId="155">
    <w:name w:val="disabled"/>
    <w:qFormat/>
    <w:uiPriority w:val="0"/>
    <w:rPr>
      <w:color w:val="CCCCCC"/>
      <w:spacing w:val="0"/>
      <w:sz w:val="21"/>
      <w:bdr w:val="single" w:color="CCCCCC" w:sz="6" w:space="0"/>
    </w:rPr>
  </w:style>
  <w:style w:type="character" w:customStyle="1" w:styleId="156">
    <w:name w:val="bsharetext"/>
    <w:basedOn w:val="48"/>
    <w:qFormat/>
    <w:uiPriority w:val="0"/>
    <w:rPr>
      <w:spacing w:val="0"/>
      <w:sz w:val="21"/>
    </w:rPr>
  </w:style>
  <w:style w:type="character" w:customStyle="1" w:styleId="157">
    <w:name w:val="c-gap-right"/>
    <w:basedOn w:val="48"/>
    <w:qFormat/>
    <w:uiPriority w:val="0"/>
  </w:style>
  <w:style w:type="character" w:customStyle="1" w:styleId="158">
    <w:name w:val="font71"/>
    <w:basedOn w:val="48"/>
    <w:qFormat/>
    <w:uiPriority w:val="0"/>
    <w:rPr>
      <w:rFonts w:hint="eastAsia" w:ascii="宋体" w:hAnsi="宋体" w:eastAsia="宋体" w:cs="宋体"/>
      <w:color w:val="000000"/>
      <w:sz w:val="20"/>
      <w:szCs w:val="20"/>
      <w:u w:val="none"/>
    </w:rPr>
  </w:style>
  <w:style w:type="character" w:customStyle="1" w:styleId="159">
    <w:name w:val="标题 6 字符"/>
    <w:basedOn w:val="48"/>
    <w:link w:val="7"/>
    <w:qFormat/>
    <w:uiPriority w:val="0"/>
    <w:rPr>
      <w:rFonts w:ascii="宋体" w:hAnsi="宋体"/>
      <w:b/>
      <w:bCs/>
      <w:sz w:val="15"/>
      <w:szCs w:val="15"/>
    </w:rPr>
  </w:style>
  <w:style w:type="character" w:customStyle="1" w:styleId="160">
    <w:name w:val="页脚 字符"/>
    <w:basedOn w:val="48"/>
    <w:link w:val="28"/>
    <w:qFormat/>
    <w:uiPriority w:val="99"/>
    <w:rPr>
      <w:kern w:val="2"/>
      <w:sz w:val="18"/>
    </w:rPr>
  </w:style>
  <w:style w:type="character" w:customStyle="1" w:styleId="161">
    <w:name w:val="r_估价期日"/>
    <w:basedOn w:val="48"/>
    <w:qFormat/>
    <w:uiPriority w:val="0"/>
    <w:rPr>
      <w:spacing w:val="0"/>
      <w:sz w:val="21"/>
    </w:rPr>
  </w:style>
  <w:style w:type="character" w:customStyle="1" w:styleId="162">
    <w:name w:val="detpname"/>
    <w:qFormat/>
    <w:uiPriority w:val="0"/>
    <w:rPr>
      <w:color w:val="A00101"/>
      <w:spacing w:val="0"/>
      <w:sz w:val="21"/>
    </w:rPr>
  </w:style>
  <w:style w:type="character" w:customStyle="1" w:styleId="163">
    <w:name w:val="结束语 字符"/>
    <w:basedOn w:val="48"/>
    <w:link w:val="16"/>
    <w:qFormat/>
    <w:uiPriority w:val="0"/>
    <w:rPr>
      <w:rFonts w:ascii="宋体" w:hAnsi="Bookman Old Style"/>
      <w:kern w:val="2"/>
      <w:sz w:val="21"/>
    </w:rPr>
  </w:style>
  <w:style w:type="character" w:customStyle="1" w:styleId="164">
    <w:name w:val="font41"/>
    <w:basedOn w:val="48"/>
    <w:qFormat/>
    <w:uiPriority w:val="0"/>
    <w:rPr>
      <w:rFonts w:hint="eastAsia" w:ascii="宋体" w:hAnsi="宋体" w:eastAsia="宋体" w:cs="宋体"/>
      <w:color w:val="000000"/>
      <w:sz w:val="20"/>
      <w:szCs w:val="20"/>
      <w:u w:val="none"/>
    </w:rPr>
  </w:style>
  <w:style w:type="character" w:customStyle="1" w:styleId="165">
    <w:name w:val="name"/>
    <w:qFormat/>
    <w:uiPriority w:val="0"/>
    <w:rPr>
      <w:spacing w:val="0"/>
      <w:sz w:val="18"/>
      <w:szCs w:val="18"/>
    </w:rPr>
  </w:style>
  <w:style w:type="character" w:customStyle="1" w:styleId="166">
    <w:name w:val="r_开始日期(长)"/>
    <w:basedOn w:val="48"/>
    <w:qFormat/>
    <w:uiPriority w:val="0"/>
    <w:rPr>
      <w:spacing w:val="0"/>
      <w:sz w:val="21"/>
    </w:rPr>
  </w:style>
  <w:style w:type="character" w:customStyle="1" w:styleId="167">
    <w:name w:val="apple-style-span"/>
    <w:basedOn w:val="48"/>
    <w:qFormat/>
    <w:uiPriority w:val="0"/>
  </w:style>
  <w:style w:type="character" w:customStyle="1" w:styleId="168">
    <w:name w:val="v_面积"/>
    <w:basedOn w:val="48"/>
    <w:qFormat/>
    <w:uiPriority w:val="0"/>
    <w:rPr>
      <w:spacing w:val="0"/>
      <w:sz w:val="21"/>
    </w:rPr>
  </w:style>
  <w:style w:type="character" w:customStyle="1" w:styleId="169">
    <w:name w:val="s_外墙"/>
    <w:basedOn w:val="48"/>
    <w:qFormat/>
    <w:uiPriority w:val="0"/>
    <w:rPr>
      <w:spacing w:val="0"/>
      <w:sz w:val="21"/>
    </w:rPr>
  </w:style>
  <w:style w:type="character" w:customStyle="1" w:styleId="170">
    <w:name w:val="s_估价类型"/>
    <w:basedOn w:val="48"/>
    <w:qFormat/>
    <w:uiPriority w:val="0"/>
    <w:rPr>
      <w:spacing w:val="0"/>
      <w:sz w:val="21"/>
    </w:rPr>
  </w:style>
  <w:style w:type="character" w:customStyle="1" w:styleId="171">
    <w:name w:val="HTML 预设格式 Char1"/>
    <w:basedOn w:val="48"/>
    <w:qFormat/>
    <w:uiPriority w:val="0"/>
    <w:rPr>
      <w:rFonts w:ascii="Courier New" w:hAnsi="Courier New" w:cs="Courier New"/>
      <w:kern w:val="2"/>
    </w:rPr>
  </w:style>
  <w:style w:type="character" w:customStyle="1" w:styleId="172">
    <w:name w:val="批注框文本 Char1"/>
    <w:basedOn w:val="48"/>
    <w:semiHidden/>
    <w:qFormat/>
    <w:uiPriority w:val="99"/>
    <w:rPr>
      <w:rFonts w:ascii="Times New Roman" w:hAnsi="Times New Roman" w:eastAsia="宋体" w:cs="Times New Roman"/>
      <w:sz w:val="18"/>
      <w:szCs w:val="18"/>
    </w:rPr>
  </w:style>
  <w:style w:type="character" w:customStyle="1" w:styleId="173">
    <w:name w:val="文档结构图 字符"/>
    <w:basedOn w:val="48"/>
    <w:link w:val="13"/>
    <w:qFormat/>
    <w:uiPriority w:val="0"/>
    <w:rPr>
      <w:kern w:val="2"/>
      <w:sz w:val="21"/>
      <w:shd w:val="clear" w:color="auto" w:fill="000080"/>
    </w:rPr>
  </w:style>
  <w:style w:type="character" w:customStyle="1" w:styleId="174">
    <w:name w:val="apple-converted-space"/>
    <w:basedOn w:val="48"/>
    <w:qFormat/>
    <w:uiPriority w:val="0"/>
  </w:style>
  <w:style w:type="character" w:customStyle="1" w:styleId="175">
    <w:name w:val="标题 1 字符"/>
    <w:basedOn w:val="48"/>
    <w:link w:val="3"/>
    <w:qFormat/>
    <w:uiPriority w:val="9"/>
    <w:rPr>
      <w:b/>
      <w:kern w:val="2"/>
      <w:sz w:val="28"/>
    </w:rPr>
  </w:style>
  <w:style w:type="paragraph" w:customStyle="1" w:styleId="176">
    <w:name w:val="Char Char Char"/>
    <w:basedOn w:val="1"/>
    <w:qFormat/>
    <w:uiPriority w:val="0"/>
    <w:pPr>
      <w:widowControl/>
      <w:autoSpaceDN w:val="0"/>
      <w:spacing w:after="160" w:line="240" w:lineRule="exact"/>
      <w:jc w:val="left"/>
    </w:pPr>
    <w:rPr>
      <w:rFonts w:ascii="仿宋_GB2312" w:hAnsi="宋体" w:eastAsia="仿宋_GB2312" w:cs="宋体"/>
      <w:szCs w:val="24"/>
    </w:rPr>
  </w:style>
  <w:style w:type="paragraph" w:customStyle="1" w:styleId="177">
    <w:name w:val="xxhblue14"/>
    <w:basedOn w:val="1"/>
    <w:qFormat/>
    <w:uiPriority w:val="0"/>
    <w:pPr>
      <w:widowControl/>
      <w:spacing w:before="100" w:beforeAutospacing="1" w:after="100" w:afterAutospacing="1"/>
      <w:jc w:val="left"/>
    </w:pPr>
    <w:rPr>
      <w:rFonts w:ascii="宋体" w:hAnsi="宋体" w:cs="宋体"/>
      <w:color w:val="004D9C"/>
      <w:kern w:val="0"/>
      <w:szCs w:val="21"/>
    </w:rPr>
  </w:style>
  <w:style w:type="paragraph" w:customStyle="1" w:styleId="178">
    <w:name w:val="tdsctop"/>
    <w:basedOn w:val="1"/>
    <w:qFormat/>
    <w:uiPriority w:val="0"/>
    <w:pPr>
      <w:widowControl/>
      <w:spacing w:before="100" w:beforeAutospacing="1" w:after="100" w:afterAutospacing="1"/>
      <w:jc w:val="left"/>
    </w:pPr>
    <w:rPr>
      <w:rFonts w:ascii="宋体" w:hAnsi="宋体" w:cs="宋体"/>
      <w:color w:val="CA0000"/>
      <w:kern w:val="0"/>
      <w:sz w:val="18"/>
      <w:szCs w:val="18"/>
    </w:rPr>
  </w:style>
  <w:style w:type="paragraph" w:customStyle="1" w:styleId="179">
    <w:name w:val="link8"/>
    <w:basedOn w:val="1"/>
    <w:qFormat/>
    <w:uiPriority w:val="0"/>
    <w:pPr>
      <w:widowControl/>
      <w:spacing w:before="100" w:beforeAutospacing="1" w:after="100" w:afterAutospacing="1" w:line="270" w:lineRule="atLeast"/>
      <w:jc w:val="left"/>
    </w:pPr>
    <w:rPr>
      <w:rFonts w:ascii="宋体" w:hAnsi="宋体" w:cs="宋体"/>
      <w:color w:val="666666"/>
      <w:kern w:val="0"/>
      <w:sz w:val="18"/>
      <w:szCs w:val="18"/>
    </w:rPr>
  </w:style>
  <w:style w:type="paragraph" w:customStyle="1" w:styleId="180">
    <w:name w:val="spbb_bord2"/>
    <w:basedOn w:val="1"/>
    <w:qFormat/>
    <w:uiPriority w:val="0"/>
    <w:pPr>
      <w:widowControl/>
      <w:pBdr>
        <w:left w:val="single" w:color="7D7559" w:sz="6" w:space="0"/>
        <w:bottom w:val="single" w:color="7D7559" w:sz="6" w:space="0"/>
        <w:right w:val="single" w:color="7D7559" w:sz="6" w:space="0"/>
      </w:pBdr>
      <w:spacing w:before="100" w:beforeAutospacing="1" w:after="100" w:afterAutospacing="1"/>
      <w:jc w:val="left"/>
    </w:pPr>
    <w:rPr>
      <w:rFonts w:ascii="宋体" w:hAnsi="宋体" w:cs="宋体"/>
      <w:kern w:val="0"/>
      <w:sz w:val="24"/>
      <w:szCs w:val="24"/>
    </w:rPr>
  </w:style>
  <w:style w:type="paragraph" w:customStyle="1" w:styleId="181">
    <w:name w:val="title01"/>
    <w:basedOn w:val="1"/>
    <w:qFormat/>
    <w:uiPriority w:val="0"/>
    <w:pPr>
      <w:widowControl/>
      <w:spacing w:before="100" w:beforeAutospacing="1" w:after="100" w:afterAutospacing="1"/>
      <w:jc w:val="left"/>
    </w:pPr>
    <w:rPr>
      <w:rFonts w:ascii="宋体" w:hAnsi="宋体" w:cs="宋体"/>
      <w:color w:val="003399"/>
      <w:kern w:val="0"/>
      <w:szCs w:val="21"/>
    </w:rPr>
  </w:style>
  <w:style w:type="paragraph" w:customStyle="1" w:styleId="182">
    <w:name w:val="title03"/>
    <w:basedOn w:val="1"/>
    <w:qFormat/>
    <w:uiPriority w:val="0"/>
    <w:pPr>
      <w:widowControl/>
      <w:spacing w:before="100" w:beforeAutospacing="1" w:after="100" w:afterAutospacing="1"/>
      <w:jc w:val="left"/>
    </w:pPr>
    <w:rPr>
      <w:rFonts w:ascii="宋体" w:hAnsi="宋体" w:cs="宋体"/>
      <w:color w:val="CC0000"/>
      <w:kern w:val="0"/>
      <w:szCs w:val="21"/>
    </w:rPr>
  </w:style>
  <w:style w:type="paragraph" w:customStyle="1" w:styleId="183">
    <w:name w:val="spbb_bord4b1"/>
    <w:basedOn w:val="1"/>
    <w:qFormat/>
    <w:uiPriority w:val="0"/>
    <w:pPr>
      <w:widowControl/>
      <w:pBdr>
        <w:top w:val="single" w:color="69B1DE" w:sz="6" w:space="0"/>
        <w:left w:val="single" w:color="69B1DE" w:sz="6" w:space="0"/>
        <w:bottom w:val="single" w:color="69B1DE" w:sz="6" w:space="0"/>
        <w:right w:val="single" w:color="69B1DE" w:sz="6" w:space="0"/>
      </w:pBdr>
      <w:spacing w:before="100" w:beforeAutospacing="1" w:after="100" w:afterAutospacing="1"/>
      <w:jc w:val="left"/>
    </w:pPr>
    <w:rPr>
      <w:rFonts w:ascii="宋体" w:hAnsi="宋体" w:cs="宋体"/>
      <w:kern w:val="0"/>
      <w:sz w:val="24"/>
      <w:szCs w:val="24"/>
    </w:rPr>
  </w:style>
  <w:style w:type="paragraph" w:customStyle="1" w:styleId="184">
    <w:name w:val="input"/>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85">
    <w:name w:val="样式2"/>
    <w:basedOn w:val="1"/>
    <w:qFormat/>
    <w:uiPriority w:val="0"/>
    <w:pPr>
      <w:spacing w:line="360" w:lineRule="auto"/>
      <w:jc w:val="center"/>
    </w:pPr>
    <w:rPr>
      <w:rFonts w:ascii="宋体" w:hAnsi="Arial"/>
      <w:sz w:val="24"/>
    </w:rPr>
  </w:style>
  <w:style w:type="paragraph" w:customStyle="1" w:styleId="186">
    <w:name w:val="flfg_font12"/>
    <w:basedOn w:val="1"/>
    <w:qFormat/>
    <w:uiPriority w:val="0"/>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187">
    <w:name w:val="flfg_link2"/>
    <w:basedOn w:val="1"/>
    <w:qFormat/>
    <w:uiPriority w:val="0"/>
    <w:pPr>
      <w:widowControl/>
      <w:spacing w:before="100" w:beforeAutospacing="1" w:after="100" w:afterAutospacing="1" w:line="270" w:lineRule="atLeast"/>
      <w:jc w:val="left"/>
    </w:pPr>
    <w:rPr>
      <w:rFonts w:ascii="宋体" w:hAnsi="宋体" w:cs="宋体"/>
      <w:color w:val="CC0000"/>
      <w:kern w:val="0"/>
      <w:szCs w:val="21"/>
    </w:rPr>
  </w:style>
  <w:style w:type="paragraph" w:customStyle="1" w:styleId="188">
    <w:name w:val="wskt_link1"/>
    <w:basedOn w:val="1"/>
    <w:qFormat/>
    <w:uiPriority w:val="0"/>
    <w:pPr>
      <w:widowControl/>
      <w:spacing w:before="100" w:beforeAutospacing="1" w:after="100" w:afterAutospacing="1" w:line="240" w:lineRule="atLeast"/>
      <w:jc w:val="left"/>
    </w:pPr>
    <w:rPr>
      <w:rFonts w:ascii="宋体" w:hAnsi="宋体" w:cs="宋体"/>
      <w:color w:val="333333"/>
      <w:kern w:val="0"/>
      <w:sz w:val="18"/>
      <w:szCs w:val="18"/>
    </w:rPr>
  </w:style>
  <w:style w:type="paragraph" w:customStyle="1" w:styleId="189">
    <w:name w:val="igreen12"/>
    <w:basedOn w:val="1"/>
    <w:qFormat/>
    <w:uiPriority w:val="0"/>
    <w:pPr>
      <w:widowControl/>
      <w:spacing w:before="100" w:beforeAutospacing="1" w:after="100" w:afterAutospacing="1"/>
      <w:jc w:val="left"/>
    </w:pPr>
    <w:rPr>
      <w:rFonts w:ascii="宋体" w:hAnsi="宋体" w:cs="宋体"/>
      <w:color w:val="297A17"/>
      <w:kern w:val="0"/>
      <w:sz w:val="18"/>
      <w:szCs w:val="18"/>
    </w:rPr>
  </w:style>
  <w:style w:type="paragraph" w:customStyle="1" w:styleId="190">
    <w:name w:val="ihych"/>
    <w:basedOn w:val="1"/>
    <w:qFormat/>
    <w:uiPriority w:val="0"/>
    <w:pPr>
      <w:widowControl/>
      <w:spacing w:before="100" w:beforeAutospacing="1" w:after="100" w:afterAutospacing="1"/>
      <w:jc w:val="left"/>
    </w:pPr>
    <w:rPr>
      <w:rFonts w:ascii="宋体" w:hAnsi="宋体" w:cs="宋体"/>
      <w:color w:val="333333"/>
      <w:kern w:val="0"/>
      <w:sz w:val="20"/>
    </w:rPr>
  </w:style>
  <w:style w:type="paragraph" w:customStyle="1" w:styleId="191">
    <w:name w:val="dzzh_font"/>
    <w:basedOn w:val="1"/>
    <w:qFormat/>
    <w:uiPriority w:val="0"/>
    <w:pPr>
      <w:widowControl/>
      <w:spacing w:before="100" w:beforeAutospacing="1" w:after="100" w:afterAutospacing="1"/>
      <w:jc w:val="left"/>
    </w:pPr>
    <w:rPr>
      <w:rFonts w:ascii="宋体" w:hAnsi="宋体" w:cs="宋体"/>
      <w:b/>
      <w:bCs/>
      <w:color w:val="FFFFFF"/>
      <w:kern w:val="0"/>
      <w:sz w:val="23"/>
      <w:szCs w:val="23"/>
    </w:rPr>
  </w:style>
  <w:style w:type="paragraph" w:customStyle="1" w:styleId="192">
    <w:name w:val="flfg_bord2"/>
    <w:basedOn w:val="1"/>
    <w:qFormat/>
    <w:uiPriority w:val="0"/>
    <w:pPr>
      <w:widowControl/>
      <w:pBdr>
        <w:bottom w:val="single" w:color="E3F1FB" w:sz="6" w:space="0"/>
      </w:pBdr>
      <w:spacing w:before="100" w:beforeAutospacing="1" w:after="100" w:afterAutospacing="1"/>
      <w:jc w:val="left"/>
    </w:pPr>
    <w:rPr>
      <w:rFonts w:ascii="宋体" w:hAnsi="宋体" w:cs="宋体"/>
      <w:kern w:val="0"/>
      <w:sz w:val="24"/>
      <w:szCs w:val="24"/>
    </w:rPr>
  </w:style>
  <w:style w:type="paragraph" w:customStyle="1" w:styleId="193">
    <w:name w:val="spbb_bord4b"/>
    <w:basedOn w:val="1"/>
    <w:qFormat/>
    <w:uiPriority w:val="0"/>
    <w:pPr>
      <w:widowControl/>
      <w:pBdr>
        <w:top w:val="single" w:color="EEEAEA" w:sz="6" w:space="0"/>
        <w:left w:val="single" w:color="EEEAEA" w:sz="6" w:space="0"/>
        <w:bottom w:val="single" w:color="EEEAEA" w:sz="6" w:space="0"/>
        <w:right w:val="single" w:color="EEEAEA" w:sz="6" w:space="0"/>
      </w:pBdr>
      <w:spacing w:before="100" w:beforeAutospacing="1" w:after="100" w:afterAutospacing="1"/>
      <w:jc w:val="left"/>
    </w:pPr>
    <w:rPr>
      <w:rFonts w:ascii="宋体" w:hAnsi="宋体" w:cs="宋体"/>
      <w:kern w:val="0"/>
      <w:sz w:val="24"/>
      <w:szCs w:val="24"/>
    </w:rPr>
  </w:style>
  <w:style w:type="paragraph" w:customStyle="1" w:styleId="194">
    <w:name w:val="kyqsctop"/>
    <w:basedOn w:val="1"/>
    <w:qFormat/>
    <w:uiPriority w:val="0"/>
    <w:pPr>
      <w:widowControl/>
      <w:spacing w:before="100" w:beforeAutospacing="1" w:after="100" w:afterAutospacing="1"/>
      <w:jc w:val="left"/>
    </w:pPr>
    <w:rPr>
      <w:rFonts w:ascii="宋体" w:hAnsi="宋体" w:cs="宋体"/>
      <w:color w:val="1949B6"/>
      <w:kern w:val="0"/>
      <w:sz w:val="18"/>
      <w:szCs w:val="18"/>
    </w:rPr>
  </w:style>
  <w:style w:type="paragraph" w:customStyle="1" w:styleId="195">
    <w:name w:val="wskt_link"/>
    <w:basedOn w:val="1"/>
    <w:qFormat/>
    <w:uiPriority w:val="0"/>
    <w:pPr>
      <w:widowControl/>
      <w:spacing w:before="100" w:beforeAutospacing="1" w:after="100" w:afterAutospacing="1" w:line="240" w:lineRule="atLeast"/>
      <w:jc w:val="left"/>
    </w:pPr>
    <w:rPr>
      <w:rFonts w:ascii="宋体" w:hAnsi="宋体" w:cs="宋体"/>
      <w:b/>
      <w:bCs/>
      <w:color w:val="333333"/>
      <w:kern w:val="0"/>
      <w:sz w:val="18"/>
      <w:szCs w:val="18"/>
    </w:rPr>
  </w:style>
  <w:style w:type="paragraph" w:customStyle="1" w:styleId="196">
    <w:name w:val="xl30"/>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197">
    <w:name w:val="p0"/>
    <w:basedOn w:val="1"/>
    <w:qFormat/>
    <w:uiPriority w:val="0"/>
    <w:pPr>
      <w:widowControl/>
    </w:pPr>
    <w:rPr>
      <w:kern w:val="0"/>
      <w:szCs w:val="21"/>
    </w:rPr>
  </w:style>
  <w:style w:type="paragraph" w:customStyle="1" w:styleId="198">
    <w:name w:val="font14gray"/>
    <w:basedOn w:val="1"/>
    <w:qFormat/>
    <w:uiPriority w:val="0"/>
    <w:pPr>
      <w:widowControl/>
      <w:spacing w:before="100" w:beforeAutospacing="1" w:after="100" w:afterAutospacing="1"/>
      <w:jc w:val="left"/>
    </w:pPr>
    <w:rPr>
      <w:rFonts w:ascii="宋体" w:hAnsi="宋体" w:cs="宋体"/>
      <w:b/>
      <w:bCs/>
      <w:color w:val="505050"/>
      <w:kern w:val="0"/>
      <w:szCs w:val="21"/>
    </w:rPr>
  </w:style>
  <w:style w:type="paragraph" w:customStyle="1" w:styleId="199">
    <w:name w:val="ittli"/>
    <w:basedOn w:val="1"/>
    <w:qFormat/>
    <w:uiPriority w:val="0"/>
    <w:pPr>
      <w:widowControl/>
      <w:spacing w:before="100" w:beforeAutospacing="1" w:after="100" w:afterAutospacing="1"/>
      <w:jc w:val="left"/>
    </w:pPr>
    <w:rPr>
      <w:rFonts w:ascii="宋体" w:hAnsi="宋体" w:cs="宋体"/>
      <w:color w:val="0953C2"/>
      <w:kern w:val="0"/>
      <w:sz w:val="18"/>
      <w:szCs w:val="18"/>
    </w:rPr>
  </w:style>
  <w:style w:type="paragraph" w:customStyle="1" w:styleId="200">
    <w:name w:val="ilinkdiv"/>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1">
    <w:name w:val="wskt_more1"/>
    <w:basedOn w:val="1"/>
    <w:qFormat/>
    <w:uiPriority w:val="0"/>
    <w:pPr>
      <w:widowControl/>
      <w:spacing w:before="100" w:beforeAutospacing="1" w:after="100" w:afterAutospacing="1" w:line="240" w:lineRule="atLeast"/>
      <w:jc w:val="left"/>
    </w:pPr>
    <w:rPr>
      <w:rFonts w:ascii="宋体" w:hAnsi="宋体" w:cs="宋体"/>
      <w:color w:val="333333"/>
      <w:kern w:val="0"/>
      <w:sz w:val="18"/>
      <w:szCs w:val="18"/>
    </w:rPr>
  </w:style>
  <w:style w:type="paragraph" w:customStyle="1" w:styleId="202">
    <w:name w:val="1"/>
    <w:basedOn w:val="1"/>
    <w:next w:val="26"/>
    <w:qFormat/>
    <w:uiPriority w:val="0"/>
    <w:pPr>
      <w:adjustRightInd w:val="0"/>
      <w:spacing w:line="360" w:lineRule="auto"/>
      <w:ind w:firstLine="600"/>
      <w:textAlignment w:val="baseline"/>
    </w:pPr>
    <w:rPr>
      <w:kern w:val="0"/>
      <w:sz w:val="28"/>
    </w:rPr>
  </w:style>
  <w:style w:type="paragraph" w:customStyle="1" w:styleId="203">
    <w:name w:val="ll0"/>
    <w:basedOn w:val="204"/>
    <w:qFormat/>
    <w:uiPriority w:val="0"/>
    <w:pPr>
      <w:numPr>
        <w:numId w:val="0"/>
      </w:numPr>
      <w:tabs>
        <w:tab w:val="left" w:pos="420"/>
      </w:tabs>
      <w:ind w:firstLine="420"/>
    </w:pPr>
    <w:rPr>
      <w:rFonts w:ascii="宋体" w:eastAsia="宋体"/>
      <w:b w:val="0"/>
      <w:spacing w:val="12"/>
    </w:rPr>
  </w:style>
  <w:style w:type="paragraph" w:customStyle="1" w:styleId="204">
    <w:name w:val="样式1"/>
    <w:basedOn w:val="1"/>
    <w:qFormat/>
    <w:uiPriority w:val="0"/>
    <w:pPr>
      <w:numPr>
        <w:ilvl w:val="0"/>
        <w:numId w:val="1"/>
      </w:numPr>
      <w:spacing w:line="460" w:lineRule="exact"/>
    </w:pPr>
    <w:rPr>
      <w:rFonts w:eastAsia="文鼎中隶简"/>
      <w:b/>
      <w:sz w:val="24"/>
    </w:rPr>
  </w:style>
  <w:style w:type="paragraph" w:customStyle="1" w:styleId="205">
    <w:name w:val="ldzc_name"/>
    <w:basedOn w:val="1"/>
    <w:qFormat/>
    <w:uiPriority w:val="0"/>
    <w:pPr>
      <w:widowControl/>
      <w:spacing w:before="100" w:beforeAutospacing="1" w:after="100" w:afterAutospacing="1"/>
      <w:jc w:val="left"/>
    </w:pPr>
    <w:rPr>
      <w:rFonts w:ascii="宋体" w:hAnsi="宋体" w:cs="宋体"/>
      <w:b/>
      <w:bCs/>
      <w:color w:val="CC0000"/>
      <w:kern w:val="0"/>
      <w:sz w:val="27"/>
      <w:szCs w:val="27"/>
    </w:rPr>
  </w:style>
  <w:style w:type="paragraph" w:customStyle="1" w:styleId="206">
    <w:name w:val="menubox"/>
    <w:basedOn w:val="1"/>
    <w:qFormat/>
    <w:uiPriority w:val="0"/>
    <w:pPr>
      <w:widowControl/>
      <w:spacing w:before="100" w:beforeAutospacing="1" w:after="100" w:afterAutospacing="1" w:line="420" w:lineRule="atLeast"/>
      <w:jc w:val="left"/>
    </w:pPr>
    <w:rPr>
      <w:rFonts w:ascii="宋体" w:hAnsi="宋体" w:cs="宋体"/>
      <w:kern w:val="0"/>
      <w:sz w:val="24"/>
      <w:szCs w:val="24"/>
    </w:rPr>
  </w:style>
  <w:style w:type="paragraph" w:customStyle="1" w:styleId="207">
    <w:name w:val="Char Char Char1 Char Char Char Char"/>
    <w:basedOn w:val="1"/>
    <w:qFormat/>
    <w:uiPriority w:val="0"/>
    <w:pPr>
      <w:widowControl/>
      <w:jc w:val="left"/>
    </w:pPr>
    <w:rPr>
      <w:rFonts w:ascii="宋体" w:hAnsi="宋体" w:cs="Courier New"/>
      <w:kern w:val="0"/>
      <w:sz w:val="32"/>
      <w:szCs w:val="32"/>
    </w:rPr>
  </w:style>
  <w:style w:type="paragraph" w:customStyle="1" w:styleId="208">
    <w:name w:val="basfwhui12"/>
    <w:basedOn w:val="1"/>
    <w:qFormat/>
    <w:uiPriority w:val="0"/>
    <w:pPr>
      <w:widowControl/>
      <w:spacing w:before="100" w:beforeAutospacing="1" w:after="100" w:afterAutospacing="1"/>
      <w:jc w:val="left"/>
    </w:pPr>
    <w:rPr>
      <w:rFonts w:ascii="宋体" w:hAnsi="宋体" w:cs="宋体"/>
      <w:color w:val="343434"/>
      <w:kern w:val="0"/>
      <w:sz w:val="18"/>
      <w:szCs w:val="18"/>
    </w:rPr>
  </w:style>
  <w:style w:type="paragraph" w:customStyle="1" w:styleId="209">
    <w:name w:val="link2"/>
    <w:basedOn w:val="1"/>
    <w:qFormat/>
    <w:uiPriority w:val="0"/>
    <w:pPr>
      <w:widowControl/>
      <w:spacing w:before="100" w:beforeAutospacing="1" w:after="100" w:afterAutospacing="1"/>
      <w:jc w:val="left"/>
    </w:pPr>
    <w:rPr>
      <w:rFonts w:ascii="宋体" w:hAnsi="宋体" w:cs="宋体"/>
      <w:color w:val="003399"/>
      <w:kern w:val="0"/>
      <w:szCs w:val="21"/>
    </w:rPr>
  </w:style>
  <w:style w:type="paragraph" w:customStyle="1" w:styleId="210">
    <w:name w:val="ikqsc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iy13"/>
    <w:basedOn w:val="1"/>
    <w:qFormat/>
    <w:uiPriority w:val="0"/>
    <w:pPr>
      <w:widowControl/>
      <w:spacing w:before="100" w:beforeAutospacing="1" w:after="100" w:afterAutospacing="1"/>
      <w:jc w:val="left"/>
    </w:pPr>
    <w:rPr>
      <w:rFonts w:ascii="宋体" w:hAnsi="宋体" w:cs="宋体"/>
      <w:color w:val="615015"/>
      <w:kern w:val="0"/>
      <w:sz w:val="20"/>
    </w:rPr>
  </w:style>
  <w:style w:type="paragraph" w:customStyle="1" w:styleId="212">
    <w:name w:val="tdscsch"/>
    <w:basedOn w:val="1"/>
    <w:qFormat/>
    <w:uiPriority w:val="0"/>
    <w:pPr>
      <w:widowControl/>
      <w:jc w:val="center"/>
    </w:pPr>
    <w:rPr>
      <w:rFonts w:ascii="宋体" w:hAnsi="宋体" w:cs="宋体"/>
      <w:b/>
      <w:bCs/>
      <w:color w:val="000000"/>
      <w:kern w:val="0"/>
      <w:sz w:val="20"/>
    </w:rPr>
  </w:style>
  <w:style w:type="paragraph" w:customStyle="1" w:styleId="213">
    <w:name w:val="gray12"/>
    <w:basedOn w:val="1"/>
    <w:qFormat/>
    <w:uiPriority w:val="0"/>
    <w:pPr>
      <w:widowControl/>
      <w:spacing w:before="100" w:beforeAutospacing="1" w:after="100" w:afterAutospacing="1"/>
      <w:jc w:val="left"/>
    </w:pPr>
    <w:rPr>
      <w:rFonts w:ascii="宋体" w:hAnsi="宋体" w:cs="宋体"/>
      <w:color w:val="888888"/>
      <w:kern w:val="0"/>
      <w:sz w:val="18"/>
      <w:szCs w:val="18"/>
    </w:rPr>
  </w:style>
  <w:style w:type="paragraph" w:customStyle="1" w:styleId="214">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15">
    <w:name w:val="tdsch12"/>
    <w:basedOn w:val="1"/>
    <w:qFormat/>
    <w:uiPriority w:val="0"/>
    <w:pPr>
      <w:widowControl/>
      <w:spacing w:before="100" w:beforeAutospacing="1" w:after="100" w:afterAutospacing="1"/>
      <w:jc w:val="left"/>
    </w:pPr>
    <w:rPr>
      <w:rFonts w:ascii="宋体" w:hAnsi="宋体" w:cs="宋体"/>
      <w:color w:val="2A2A2A"/>
      <w:kern w:val="0"/>
      <w:sz w:val="18"/>
      <w:szCs w:val="18"/>
    </w:rPr>
  </w:style>
  <w:style w:type="paragraph" w:customStyle="1" w:styleId="216">
    <w:name w:val="wskt_bord2"/>
    <w:basedOn w:val="1"/>
    <w:qFormat/>
    <w:uiPriority w:val="0"/>
    <w:pPr>
      <w:widowControl/>
      <w:pBdr>
        <w:left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17">
    <w:name w:val="basfwhui14b"/>
    <w:basedOn w:val="1"/>
    <w:qFormat/>
    <w:uiPriority w:val="0"/>
    <w:pPr>
      <w:widowControl/>
      <w:spacing w:before="100" w:beforeAutospacing="1" w:after="100" w:afterAutospacing="1"/>
      <w:jc w:val="left"/>
    </w:pPr>
    <w:rPr>
      <w:rFonts w:ascii="宋体" w:hAnsi="宋体" w:cs="宋体"/>
      <w:b/>
      <w:bCs/>
      <w:color w:val="343434"/>
      <w:kern w:val="0"/>
      <w:szCs w:val="21"/>
    </w:rPr>
  </w:style>
  <w:style w:type="paragraph" w:customStyle="1" w:styleId="218">
    <w:name w:val="目录1"/>
    <w:basedOn w:val="3"/>
    <w:qFormat/>
    <w:uiPriority w:val="0"/>
    <w:pPr>
      <w:keepLines/>
      <w:spacing w:before="340" w:after="330" w:line="500" w:lineRule="exact"/>
    </w:pPr>
    <w:rPr>
      <w:rFonts w:ascii="黑体" w:eastAsia="黑体"/>
      <w:bCs/>
      <w:kern w:val="44"/>
      <w:sz w:val="36"/>
      <w:szCs w:val="36"/>
    </w:rPr>
  </w:style>
  <w:style w:type="paragraph" w:customStyle="1" w:styleId="219">
    <w:name w:val="ih13l18"/>
    <w:basedOn w:val="1"/>
    <w:qFormat/>
    <w:uiPriority w:val="0"/>
    <w:pPr>
      <w:widowControl/>
      <w:spacing w:before="100" w:beforeAutospacing="1" w:after="100" w:afterAutospacing="1" w:line="270" w:lineRule="atLeast"/>
      <w:jc w:val="left"/>
    </w:pPr>
    <w:rPr>
      <w:rFonts w:ascii="宋体" w:hAnsi="宋体" w:cs="宋体"/>
      <w:color w:val="313131"/>
      <w:kern w:val="0"/>
      <w:sz w:val="20"/>
    </w:rPr>
  </w:style>
  <w:style w:type="paragraph" w:customStyle="1" w:styleId="220">
    <w:name w:val="纯文本1"/>
    <w:basedOn w:val="1"/>
    <w:qFormat/>
    <w:uiPriority w:val="0"/>
    <w:rPr>
      <w:rFonts w:ascii="宋体" w:hAnsi="Courier New" w:cs="Courier New"/>
      <w:szCs w:val="21"/>
    </w:rPr>
  </w:style>
  <w:style w:type="paragraph" w:customStyle="1" w:styleId="221">
    <w:name w:val="spbb_link3"/>
    <w:basedOn w:val="1"/>
    <w:qFormat/>
    <w:uiPriority w:val="0"/>
    <w:pPr>
      <w:widowControl/>
      <w:spacing w:before="100" w:beforeAutospacing="1" w:after="100" w:afterAutospacing="1" w:line="240" w:lineRule="atLeast"/>
      <w:jc w:val="left"/>
    </w:pPr>
    <w:rPr>
      <w:rFonts w:ascii="宋体" w:hAnsi="宋体" w:cs="宋体"/>
      <w:color w:val="666666"/>
      <w:kern w:val="0"/>
      <w:sz w:val="18"/>
      <w:szCs w:val="18"/>
    </w:rPr>
  </w:style>
  <w:style w:type="paragraph" w:customStyle="1" w:styleId="222">
    <w:name w:val="blue12"/>
    <w:basedOn w:val="1"/>
    <w:qFormat/>
    <w:uiPriority w:val="0"/>
    <w:pPr>
      <w:widowControl/>
      <w:spacing w:before="100" w:beforeAutospacing="1" w:after="100" w:afterAutospacing="1"/>
      <w:jc w:val="left"/>
    </w:pPr>
    <w:rPr>
      <w:rFonts w:ascii="宋体" w:hAnsi="宋体" w:cs="宋体"/>
      <w:color w:val="075CA4"/>
      <w:kern w:val="0"/>
      <w:sz w:val="18"/>
      <w:szCs w:val="18"/>
    </w:rPr>
  </w:style>
  <w:style w:type="paragraph" w:customStyle="1" w:styleId="223">
    <w:name w:val="bsfwdiv2"/>
    <w:basedOn w:val="1"/>
    <w:qFormat/>
    <w:uiPriority w:val="0"/>
    <w:pPr>
      <w:widowControl/>
      <w:spacing w:before="100" w:beforeAutospacing="1" w:after="100" w:afterAutospacing="1"/>
      <w:jc w:val="left"/>
    </w:pPr>
    <w:rPr>
      <w:rFonts w:ascii="宋体" w:hAnsi="宋体" w:cs="宋体"/>
      <w:b/>
      <w:bCs/>
      <w:color w:val="ADA700"/>
      <w:kern w:val="0"/>
      <w:szCs w:val="21"/>
    </w:rPr>
  </w:style>
  <w:style w:type="paragraph" w:customStyle="1" w:styleId="224">
    <w:name w:val="title02"/>
    <w:basedOn w:val="1"/>
    <w:qFormat/>
    <w:uiPriority w:val="0"/>
    <w:pPr>
      <w:widowControl/>
      <w:spacing w:before="100" w:beforeAutospacing="1" w:after="100" w:afterAutospacing="1"/>
      <w:jc w:val="left"/>
    </w:pPr>
    <w:rPr>
      <w:rFonts w:ascii="宋体" w:hAnsi="宋体" w:cs="宋体"/>
      <w:color w:val="993300"/>
      <w:kern w:val="0"/>
      <w:szCs w:val="21"/>
    </w:rPr>
  </w:style>
  <w:style w:type="paragraph" w:customStyle="1" w:styleId="225">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227">
    <w:name w:val="wskt_bord3a"/>
    <w:basedOn w:val="1"/>
    <w:qFormat/>
    <w:uiPriority w:val="0"/>
    <w:pPr>
      <w:widowControl/>
      <w:pBdr>
        <w:left w:val="single" w:color="C9C9C9" w:sz="6" w:space="0"/>
        <w:bottom w:val="single" w:color="C9C9C9" w:sz="6" w:space="0"/>
        <w:right w:val="single" w:color="C9C9C9" w:sz="6" w:space="0"/>
      </w:pBdr>
      <w:spacing w:before="100" w:beforeAutospacing="1" w:after="100" w:afterAutospacing="1"/>
      <w:jc w:val="left"/>
    </w:pPr>
    <w:rPr>
      <w:rFonts w:ascii="宋体" w:hAnsi="宋体" w:cs="宋体"/>
      <w:kern w:val="0"/>
      <w:sz w:val="24"/>
      <w:szCs w:val="24"/>
    </w:rPr>
  </w:style>
  <w:style w:type="paragraph" w:customStyle="1" w:styleId="228">
    <w:name w:val="link6"/>
    <w:basedOn w:val="1"/>
    <w:qFormat/>
    <w:uiPriority w:val="0"/>
    <w:pPr>
      <w:widowControl/>
      <w:spacing w:before="100" w:beforeAutospacing="1" w:after="100" w:afterAutospacing="1"/>
      <w:jc w:val="left"/>
    </w:pPr>
    <w:rPr>
      <w:rFonts w:ascii="宋体" w:hAnsi="宋体" w:cs="宋体"/>
      <w:color w:val="990000"/>
      <w:kern w:val="0"/>
      <w:sz w:val="18"/>
      <w:szCs w:val="18"/>
    </w:rPr>
  </w:style>
  <w:style w:type="paragraph" w:customStyle="1" w:styleId="229">
    <w:name w:val="ih14"/>
    <w:basedOn w:val="1"/>
    <w:qFormat/>
    <w:uiPriority w:val="0"/>
    <w:pPr>
      <w:widowControl/>
      <w:spacing w:before="100" w:beforeAutospacing="1" w:after="100" w:afterAutospacing="1"/>
      <w:jc w:val="left"/>
    </w:pPr>
    <w:rPr>
      <w:rFonts w:ascii="宋体" w:hAnsi="宋体" w:cs="宋体"/>
      <w:color w:val="0E0E0E"/>
      <w:kern w:val="0"/>
      <w:szCs w:val="21"/>
    </w:rPr>
  </w:style>
  <w:style w:type="paragraph" w:customStyle="1" w:styleId="230">
    <w:name w:val="Char Char"/>
    <w:basedOn w:val="1"/>
    <w:qFormat/>
    <w:uiPriority w:val="99"/>
  </w:style>
  <w:style w:type="paragraph" w:customStyle="1" w:styleId="231">
    <w:name w:val="bordbottom"/>
    <w:basedOn w:val="1"/>
    <w:qFormat/>
    <w:uiPriority w:val="0"/>
    <w:pPr>
      <w:widowControl/>
      <w:pBdr>
        <w:top w:val="single" w:color="CCCCCC" w:sz="6" w:space="0"/>
      </w:pBdr>
      <w:spacing w:before="100" w:beforeAutospacing="1" w:after="100" w:afterAutospacing="1"/>
      <w:jc w:val="left"/>
    </w:pPr>
    <w:rPr>
      <w:rFonts w:ascii="宋体" w:hAnsi="宋体" w:cs="宋体"/>
      <w:kern w:val="0"/>
      <w:sz w:val="24"/>
      <w:szCs w:val="24"/>
    </w:rPr>
  </w:style>
  <w:style w:type="paragraph" w:customStyle="1" w:styleId="232">
    <w:name w:val="menu"/>
    <w:basedOn w:val="1"/>
    <w:qFormat/>
    <w:uiPriority w:val="0"/>
    <w:pPr>
      <w:widowControl/>
      <w:spacing w:before="100" w:beforeAutospacing="1" w:after="100" w:afterAutospacing="1"/>
      <w:jc w:val="left"/>
    </w:pPr>
    <w:rPr>
      <w:rFonts w:ascii="宋体" w:hAnsi="宋体" w:cs="宋体"/>
      <w:color w:val="333333"/>
      <w:kern w:val="0"/>
      <w:szCs w:val="21"/>
    </w:rPr>
  </w:style>
  <w:style w:type="paragraph" w:customStyle="1" w:styleId="233">
    <w:name w:val="location"/>
    <w:basedOn w:val="1"/>
    <w:qFormat/>
    <w:uiPriority w:val="0"/>
    <w:pPr>
      <w:widowControl/>
      <w:spacing w:before="100" w:beforeAutospacing="1" w:after="100" w:afterAutospacing="1"/>
      <w:jc w:val="left"/>
    </w:pPr>
    <w:rPr>
      <w:rFonts w:ascii="宋体" w:hAnsi="宋体" w:cs="宋体"/>
      <w:color w:val="003366"/>
      <w:kern w:val="0"/>
      <w:sz w:val="18"/>
      <w:szCs w:val="18"/>
    </w:rPr>
  </w:style>
  <w:style w:type="paragraph" w:customStyle="1" w:styleId="234">
    <w:name w:val="font14blue"/>
    <w:basedOn w:val="1"/>
    <w:qFormat/>
    <w:uiPriority w:val="0"/>
    <w:pPr>
      <w:widowControl/>
      <w:spacing w:before="100" w:beforeAutospacing="1" w:after="100" w:afterAutospacing="1" w:line="345" w:lineRule="atLeast"/>
      <w:jc w:val="left"/>
    </w:pPr>
    <w:rPr>
      <w:rFonts w:ascii="宋体" w:hAnsi="宋体" w:cs="宋体"/>
      <w:b/>
      <w:bCs/>
      <w:color w:val="184B7A"/>
      <w:kern w:val="0"/>
      <w:szCs w:val="21"/>
    </w:rPr>
  </w:style>
  <w:style w:type="paragraph" w:customStyle="1" w:styleId="235">
    <w:name w:val="ih13"/>
    <w:basedOn w:val="1"/>
    <w:qFormat/>
    <w:uiPriority w:val="0"/>
    <w:pPr>
      <w:widowControl/>
      <w:spacing w:before="100" w:beforeAutospacing="1" w:after="100" w:afterAutospacing="1"/>
      <w:jc w:val="left"/>
    </w:pPr>
    <w:rPr>
      <w:rFonts w:ascii="宋体" w:hAnsi="宋体" w:cs="宋体"/>
      <w:color w:val="212121"/>
      <w:kern w:val="0"/>
      <w:sz w:val="20"/>
    </w:rPr>
  </w:style>
  <w:style w:type="paragraph" w:customStyle="1" w:styleId="236">
    <w:name w:val="more"/>
    <w:basedOn w:val="1"/>
    <w:qFormat/>
    <w:uiPriority w:val="0"/>
    <w:pPr>
      <w:widowControl/>
      <w:spacing w:before="100" w:beforeAutospacing="1" w:after="100" w:afterAutospacing="1"/>
      <w:jc w:val="left"/>
    </w:pPr>
    <w:rPr>
      <w:rFonts w:ascii="宋体" w:hAnsi="宋体" w:cs="宋体"/>
      <w:color w:val="2577B7"/>
      <w:kern w:val="0"/>
      <w:sz w:val="18"/>
      <w:szCs w:val="18"/>
    </w:rPr>
  </w:style>
  <w:style w:type="paragraph" w:customStyle="1" w:styleId="237">
    <w:name w:val="flfg_bord"/>
    <w:basedOn w:val="1"/>
    <w:qFormat/>
    <w:uiPriority w:val="0"/>
    <w:pPr>
      <w:widowControl/>
      <w:pBdr>
        <w:top w:val="single" w:color="E3F1FB" w:sz="6" w:space="0"/>
        <w:left w:val="single" w:color="E3F1FB" w:sz="6" w:space="0"/>
        <w:bottom w:val="single" w:color="E3F1FB" w:sz="6" w:space="0"/>
        <w:right w:val="single" w:color="E3F1FB" w:sz="6" w:space="0"/>
      </w:pBdr>
      <w:spacing w:before="100" w:beforeAutospacing="1" w:after="100" w:afterAutospacing="1"/>
      <w:jc w:val="left"/>
    </w:pPr>
    <w:rPr>
      <w:rFonts w:ascii="宋体" w:hAnsi="宋体" w:cs="宋体"/>
      <w:kern w:val="0"/>
      <w:sz w:val="24"/>
      <w:szCs w:val="24"/>
    </w:rPr>
  </w:style>
  <w:style w:type="paragraph" w:customStyle="1" w:styleId="238">
    <w:name w:val="iw13b"/>
    <w:basedOn w:val="1"/>
    <w:qFormat/>
    <w:uiPriority w:val="0"/>
    <w:pPr>
      <w:widowControl/>
      <w:spacing w:before="100" w:beforeAutospacing="1" w:after="100" w:afterAutospacing="1"/>
      <w:jc w:val="left"/>
    </w:pPr>
    <w:rPr>
      <w:rFonts w:ascii="宋体" w:hAnsi="宋体" w:cs="宋体"/>
      <w:color w:val="FFFFFF"/>
      <w:kern w:val="0"/>
      <w:sz w:val="20"/>
    </w:rPr>
  </w:style>
  <w:style w:type="paragraph" w:customStyle="1" w:styleId="239">
    <w:name w:val="news_bord"/>
    <w:basedOn w:val="1"/>
    <w:qFormat/>
    <w:uiPriority w:val="0"/>
    <w:pPr>
      <w:widowControl/>
      <w:pBdr>
        <w:right w:val="single" w:color="CDDDEA" w:sz="6" w:space="0"/>
      </w:pBdr>
      <w:spacing w:before="100" w:beforeAutospacing="1" w:after="100" w:afterAutospacing="1"/>
      <w:jc w:val="left"/>
    </w:pPr>
    <w:rPr>
      <w:rFonts w:ascii="宋体" w:hAnsi="宋体" w:cs="宋体"/>
      <w:kern w:val="0"/>
      <w:sz w:val="24"/>
      <w:szCs w:val="24"/>
    </w:rPr>
  </w:style>
  <w:style w:type="paragraph" w:customStyle="1" w:styleId="240">
    <w:name w:val="bord1"/>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41">
    <w:name w:val="wskt_link2"/>
    <w:basedOn w:val="1"/>
    <w:qFormat/>
    <w:uiPriority w:val="0"/>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242">
    <w:name w:val="floatl"/>
    <w:basedOn w:val="1"/>
    <w:qFormat/>
    <w:uiPriority w:val="0"/>
    <w:pPr>
      <w:widowControl/>
      <w:spacing w:before="15"/>
      <w:ind w:left="75" w:right="60"/>
      <w:jc w:val="left"/>
    </w:pPr>
    <w:rPr>
      <w:rFonts w:ascii="宋体" w:hAnsi="宋体" w:cs="宋体"/>
      <w:kern w:val="0"/>
      <w:sz w:val="24"/>
      <w:szCs w:val="24"/>
    </w:rPr>
  </w:style>
  <w:style w:type="paragraph" w:customStyle="1" w:styleId="243">
    <w:name w:val="ipadding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4">
    <w:name w:val="目录标题"/>
    <w:basedOn w:val="1"/>
    <w:next w:val="1"/>
    <w:qFormat/>
    <w:uiPriority w:val="0"/>
    <w:pPr>
      <w:widowControl/>
      <w:spacing w:before="215" w:after="419" w:line="436" w:lineRule="atLeast"/>
      <w:ind w:firstLine="419"/>
      <w:jc w:val="center"/>
      <w:textAlignment w:val="baseline"/>
    </w:pPr>
    <w:rPr>
      <w:rFonts w:ascii="Arial" w:eastAsia="黑体"/>
      <w:color w:val="000000"/>
      <w:spacing w:val="283"/>
      <w:kern w:val="0"/>
      <w:sz w:val="42"/>
    </w:rPr>
  </w:style>
  <w:style w:type="paragraph" w:customStyle="1" w:styleId="245">
    <w:name w:val="page"/>
    <w:basedOn w:val="1"/>
    <w:qFormat/>
    <w:uiPriority w:val="0"/>
    <w:pPr>
      <w:widowControl/>
      <w:spacing w:before="100" w:beforeAutospacing="1" w:after="100" w:afterAutospacing="1"/>
      <w:jc w:val="left"/>
    </w:pPr>
    <w:rPr>
      <w:rFonts w:ascii="宋体" w:hAnsi="宋体" w:cs="宋体"/>
      <w:color w:val="184B7A"/>
      <w:kern w:val="0"/>
      <w:szCs w:val="21"/>
    </w:rPr>
  </w:style>
  <w:style w:type="paragraph" w:customStyle="1" w:styleId="246">
    <w:name w:val="spbb_bord1"/>
    <w:basedOn w:val="1"/>
    <w:qFormat/>
    <w:uiPriority w:val="0"/>
    <w:pPr>
      <w:widowControl/>
      <w:pBdr>
        <w:left w:val="single" w:color="DDECF5" w:sz="6" w:space="0"/>
        <w:bottom w:val="single" w:color="DDECF5" w:sz="6" w:space="0"/>
        <w:right w:val="single" w:color="DDECF5" w:sz="6" w:space="0"/>
      </w:pBdr>
      <w:spacing w:before="100" w:beforeAutospacing="1" w:after="100" w:afterAutospacing="1"/>
      <w:jc w:val="left"/>
    </w:pPr>
    <w:rPr>
      <w:rFonts w:ascii="宋体" w:hAnsi="宋体" w:cs="宋体"/>
      <w:kern w:val="0"/>
      <w:sz w:val="24"/>
      <w:szCs w:val="24"/>
    </w:rPr>
  </w:style>
  <w:style w:type="paragraph" w:customStyle="1" w:styleId="247">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248">
    <w:name w:val="tssc13tt"/>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49">
    <w:name w:val="ih12"/>
    <w:basedOn w:val="1"/>
    <w:qFormat/>
    <w:uiPriority w:val="0"/>
    <w:pPr>
      <w:widowControl/>
      <w:spacing w:before="100" w:beforeAutospacing="1" w:after="100" w:afterAutospacing="1"/>
      <w:jc w:val="left"/>
    </w:pPr>
    <w:rPr>
      <w:rFonts w:ascii="宋体" w:hAnsi="宋体" w:cs="宋体"/>
      <w:color w:val="2D2D2D"/>
      <w:kern w:val="0"/>
      <w:sz w:val="18"/>
      <w:szCs w:val="18"/>
    </w:rPr>
  </w:style>
  <w:style w:type="paragraph" w:customStyle="1" w:styleId="250">
    <w:name w:val="Char Char Char Char Char Char Char1"/>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251">
    <w:name w:val="flfg_link1"/>
    <w:basedOn w:val="1"/>
    <w:qFormat/>
    <w:uiPriority w:val="0"/>
    <w:pPr>
      <w:widowControl/>
      <w:spacing w:before="100" w:beforeAutospacing="1" w:after="100" w:afterAutospacing="1" w:line="270" w:lineRule="atLeast"/>
      <w:jc w:val="left"/>
    </w:pPr>
    <w:rPr>
      <w:rFonts w:ascii="宋体" w:hAnsi="宋体" w:cs="宋体"/>
      <w:color w:val="0066FF"/>
      <w:kern w:val="0"/>
      <w:szCs w:val="21"/>
    </w:rPr>
  </w:style>
  <w:style w:type="paragraph" w:customStyle="1" w:styleId="252">
    <w:name w:val="iblue12"/>
    <w:basedOn w:val="1"/>
    <w:qFormat/>
    <w:uiPriority w:val="0"/>
    <w:pPr>
      <w:widowControl/>
      <w:spacing w:before="100" w:beforeAutospacing="1" w:after="100" w:afterAutospacing="1"/>
      <w:jc w:val="left"/>
    </w:pPr>
    <w:rPr>
      <w:rFonts w:ascii="宋体" w:hAnsi="宋体" w:cs="宋体"/>
      <w:color w:val="075CA4"/>
      <w:kern w:val="0"/>
      <w:sz w:val="18"/>
      <w:szCs w:val="18"/>
    </w:rPr>
  </w:style>
  <w:style w:type="paragraph" w:customStyle="1" w:styleId="253">
    <w:name w:val="contentbox"/>
    <w:basedOn w:val="1"/>
    <w:qFormat/>
    <w:uiPriority w:val="0"/>
    <w:pPr>
      <w:widowControl/>
      <w:spacing w:after="100" w:afterAutospacing="1"/>
      <w:jc w:val="left"/>
    </w:pPr>
    <w:rPr>
      <w:rFonts w:ascii="宋体" w:hAnsi="宋体" w:cs="宋体"/>
      <w:kern w:val="0"/>
      <w:sz w:val="24"/>
      <w:szCs w:val="24"/>
    </w:rPr>
  </w:style>
  <w:style w:type="paragraph" w:customStyle="1" w:styleId="254">
    <w:name w:val="tdscschlist"/>
    <w:basedOn w:val="1"/>
    <w:qFormat/>
    <w:uiPriority w:val="0"/>
    <w:pPr>
      <w:widowControl/>
      <w:spacing w:before="165" w:after="100" w:afterAutospacing="1"/>
      <w:jc w:val="left"/>
    </w:pPr>
    <w:rPr>
      <w:rFonts w:ascii="宋体" w:hAnsi="宋体" w:cs="宋体"/>
      <w:kern w:val="0"/>
      <w:sz w:val="24"/>
      <w:szCs w:val="24"/>
    </w:rPr>
  </w:style>
  <w:style w:type="paragraph" w:customStyle="1" w:styleId="255">
    <w:name w:val="bordleft"/>
    <w:basedOn w:val="1"/>
    <w:qFormat/>
    <w:uiPriority w:val="0"/>
    <w:pPr>
      <w:widowControl/>
      <w:pBdr>
        <w:left w:val="single" w:color="CCCCCC" w:sz="6" w:space="0"/>
      </w:pBdr>
      <w:spacing w:before="100" w:beforeAutospacing="1" w:after="100" w:afterAutospacing="1"/>
      <w:jc w:val="left"/>
    </w:pPr>
    <w:rPr>
      <w:rFonts w:ascii="宋体" w:hAnsi="宋体" w:cs="宋体"/>
      <w:kern w:val="0"/>
      <w:sz w:val="24"/>
      <w:szCs w:val="24"/>
    </w:rPr>
  </w:style>
  <w:style w:type="paragraph" w:customStyle="1" w:styleId="256">
    <w:name w:val="Char1 Char Char Char"/>
    <w:basedOn w:val="1"/>
    <w:qFormat/>
    <w:uiPriority w:val="0"/>
  </w:style>
  <w:style w:type="paragraph" w:customStyle="1" w:styleId="257">
    <w:name w:val="zwgk_ldzc_leftmenu1"/>
    <w:basedOn w:val="1"/>
    <w:qFormat/>
    <w:uiPriority w:val="0"/>
    <w:pPr>
      <w:widowControl/>
      <w:spacing w:before="100" w:beforeAutospacing="1" w:after="100" w:afterAutospacing="1" w:line="330" w:lineRule="atLeast"/>
      <w:jc w:val="left"/>
    </w:pPr>
    <w:rPr>
      <w:rFonts w:ascii="宋体" w:hAnsi="宋体" w:cs="宋体"/>
      <w:b/>
      <w:bCs/>
      <w:color w:val="CC0000"/>
      <w:kern w:val="0"/>
      <w:szCs w:val="21"/>
    </w:rPr>
  </w:style>
  <w:style w:type="paragraph" w:customStyle="1" w:styleId="258">
    <w:name w:val="ipadding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9">
    <w:name w:val="报告封面"/>
    <w:basedOn w:val="1"/>
    <w:qFormat/>
    <w:uiPriority w:val="0"/>
    <w:pPr>
      <w:widowControl/>
      <w:spacing w:line="351" w:lineRule="atLeast"/>
      <w:ind w:firstLine="419"/>
      <w:textAlignment w:val="baseline"/>
    </w:pPr>
    <w:rPr>
      <w:color w:val="000000"/>
      <w:kern w:val="0"/>
      <w:sz w:val="54"/>
    </w:rPr>
  </w:style>
  <w:style w:type="paragraph" w:customStyle="1" w:styleId="260">
    <w:name w:val="flfg_bord3"/>
    <w:basedOn w:val="1"/>
    <w:qFormat/>
    <w:uiPriority w:val="0"/>
    <w:pPr>
      <w:widowControl/>
      <w:pBdr>
        <w:right w:val="single" w:color="E3F1FB" w:sz="6" w:space="0"/>
      </w:pBdr>
      <w:spacing w:before="100" w:beforeAutospacing="1" w:after="100" w:afterAutospacing="1"/>
      <w:jc w:val="left"/>
    </w:pPr>
    <w:rPr>
      <w:rFonts w:ascii="宋体" w:hAnsi="宋体" w:cs="宋体"/>
      <w:kern w:val="0"/>
      <w:sz w:val="24"/>
      <w:szCs w:val="24"/>
    </w:rPr>
  </w:style>
  <w:style w:type="paragraph" w:customStyle="1" w:styleId="261">
    <w:name w:val="tssc13txt"/>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62">
    <w:name w:val="节标题"/>
    <w:basedOn w:val="1"/>
    <w:next w:val="263"/>
    <w:qFormat/>
    <w:uiPriority w:val="0"/>
    <w:pPr>
      <w:widowControl/>
      <w:spacing w:line="289" w:lineRule="atLeast"/>
      <w:jc w:val="center"/>
      <w:textAlignment w:val="baseline"/>
    </w:pPr>
    <w:rPr>
      <w:color w:val="000000"/>
      <w:kern w:val="0"/>
      <w:sz w:val="28"/>
    </w:rPr>
  </w:style>
  <w:style w:type="paragraph" w:customStyle="1" w:styleId="263">
    <w:name w:val="小节标题"/>
    <w:basedOn w:val="1"/>
    <w:next w:val="1"/>
    <w:qFormat/>
    <w:uiPriority w:val="0"/>
    <w:pPr>
      <w:widowControl/>
      <w:spacing w:before="175" w:after="102" w:line="351" w:lineRule="atLeast"/>
      <w:textAlignment w:val="baseline"/>
    </w:pPr>
    <w:rPr>
      <w:rFonts w:eastAsia="黑体"/>
      <w:color w:val="000000"/>
      <w:kern w:val="0"/>
    </w:rPr>
  </w:style>
  <w:style w:type="paragraph" w:customStyle="1" w:styleId="264">
    <w:name w:val="bord4b"/>
    <w:basedOn w:val="1"/>
    <w:qFormat/>
    <w:uiPriority w:val="0"/>
    <w:pPr>
      <w:widowControl/>
      <w:pBdr>
        <w:top w:val="single" w:color="D2E8F7" w:sz="6" w:space="0"/>
        <w:left w:val="single" w:color="D2E8F7" w:sz="6" w:space="0"/>
        <w:bottom w:val="single" w:color="D2E8F7" w:sz="6" w:space="0"/>
        <w:right w:val="single" w:color="D2E8F7" w:sz="6" w:space="0"/>
      </w:pBdr>
      <w:spacing w:before="100" w:beforeAutospacing="1" w:after="100" w:afterAutospacing="1"/>
      <w:jc w:val="left"/>
    </w:pPr>
    <w:rPr>
      <w:rFonts w:ascii="宋体" w:hAnsi="宋体" w:cs="宋体"/>
      <w:kern w:val="0"/>
      <w:sz w:val="24"/>
      <w:szCs w:val="24"/>
    </w:rPr>
  </w:style>
  <w:style w:type="paragraph" w:customStyle="1" w:styleId="265">
    <w:name w:val="xxhmore12"/>
    <w:basedOn w:val="1"/>
    <w:qFormat/>
    <w:uiPriority w:val="0"/>
    <w:pPr>
      <w:widowControl/>
      <w:spacing w:before="100" w:beforeAutospacing="1" w:after="100" w:afterAutospacing="1"/>
      <w:jc w:val="left"/>
    </w:pPr>
    <w:rPr>
      <w:rFonts w:ascii="宋体" w:hAnsi="宋体" w:cs="宋体"/>
      <w:color w:val="4A4A4A"/>
      <w:kern w:val="0"/>
      <w:sz w:val="18"/>
      <w:szCs w:val="18"/>
    </w:rPr>
  </w:style>
  <w:style w:type="paragraph" w:customStyle="1" w:styleId="266">
    <w:name w:val="jgdjmenu"/>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7">
    <w:name w:val="zwdtzctl"/>
    <w:basedOn w:val="1"/>
    <w:qFormat/>
    <w:uiPriority w:val="0"/>
    <w:pPr>
      <w:widowControl/>
      <w:spacing w:before="100" w:beforeAutospacing="1" w:after="100" w:afterAutospacing="1"/>
      <w:jc w:val="left"/>
    </w:pPr>
    <w:rPr>
      <w:rFonts w:ascii="宋体" w:hAnsi="宋体" w:cs="宋体"/>
      <w:color w:val="0E3C72"/>
      <w:kern w:val="0"/>
      <w:szCs w:val="21"/>
    </w:rPr>
  </w:style>
  <w:style w:type="paragraph" w:customStyle="1" w:styleId="268">
    <w:name w:val="spbb_bord3a"/>
    <w:basedOn w:val="1"/>
    <w:qFormat/>
    <w:uiPriority w:val="0"/>
    <w:pPr>
      <w:widowControl/>
      <w:pBdr>
        <w:left w:val="single" w:color="7D7559" w:sz="6" w:space="0"/>
        <w:bottom w:val="single" w:color="7D7559" w:sz="6" w:space="0"/>
        <w:right w:val="single" w:color="7D7559" w:sz="6" w:space="0"/>
      </w:pBdr>
      <w:spacing w:before="100" w:beforeAutospacing="1" w:after="100" w:afterAutospacing="1"/>
      <w:jc w:val="left"/>
    </w:pPr>
    <w:rPr>
      <w:rFonts w:ascii="宋体" w:hAnsi="宋体" w:cs="宋体"/>
      <w:kern w:val="0"/>
      <w:sz w:val="24"/>
      <w:szCs w:val="24"/>
    </w:rPr>
  </w:style>
  <w:style w:type="paragraph" w:customStyle="1" w:styleId="269">
    <w:name w:val="spbb_news"/>
    <w:basedOn w:val="1"/>
    <w:qFormat/>
    <w:uiPriority w:val="0"/>
    <w:pPr>
      <w:widowControl/>
      <w:spacing w:before="100" w:beforeAutospacing="1" w:after="100" w:afterAutospacing="1"/>
      <w:jc w:val="left"/>
    </w:pPr>
    <w:rPr>
      <w:rFonts w:ascii="宋体" w:hAnsi="宋体" w:cs="宋体"/>
      <w:color w:val="333333"/>
      <w:kern w:val="0"/>
      <w:sz w:val="18"/>
      <w:szCs w:val="18"/>
    </w:rPr>
  </w:style>
  <w:style w:type="paragraph" w:customStyle="1" w:styleId="270">
    <w:name w:val="spbb_link1"/>
    <w:basedOn w:val="1"/>
    <w:qFormat/>
    <w:uiPriority w:val="0"/>
    <w:pPr>
      <w:widowControl/>
      <w:spacing w:before="100" w:beforeAutospacing="1" w:after="100" w:afterAutospacing="1" w:line="240" w:lineRule="atLeast"/>
      <w:jc w:val="left"/>
    </w:pPr>
    <w:rPr>
      <w:rFonts w:ascii="宋体" w:hAnsi="宋体" w:cs="宋体"/>
      <w:color w:val="666666"/>
      <w:kern w:val="0"/>
      <w:sz w:val="18"/>
      <w:szCs w:val="18"/>
    </w:rPr>
  </w:style>
  <w:style w:type="paragraph" w:customStyle="1" w:styleId="271">
    <w:name w:val="wskt_menu"/>
    <w:basedOn w:val="1"/>
    <w:qFormat/>
    <w:uiPriority w:val="0"/>
    <w:pPr>
      <w:widowControl/>
      <w:spacing w:before="100" w:beforeAutospacing="1" w:after="100" w:afterAutospacing="1" w:line="240" w:lineRule="atLeast"/>
      <w:jc w:val="left"/>
    </w:pPr>
    <w:rPr>
      <w:rFonts w:ascii="宋体" w:hAnsi="宋体" w:cs="宋体"/>
      <w:color w:val="487A00"/>
      <w:kern w:val="0"/>
      <w:sz w:val="18"/>
      <w:szCs w:val="18"/>
    </w:rPr>
  </w:style>
  <w:style w:type="paragraph" w:customStyle="1" w:styleId="272">
    <w:name w:val="font14width"/>
    <w:basedOn w:val="1"/>
    <w:qFormat/>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273">
    <w:name w:val="zmhd_bord3b"/>
    <w:basedOn w:val="1"/>
    <w:qFormat/>
    <w:uiPriority w:val="0"/>
    <w:pPr>
      <w:widowControl/>
      <w:pBdr>
        <w:top w:val="single" w:color="CFD9DE" w:sz="6" w:space="0"/>
        <w:left w:val="single" w:color="CFD9DE" w:sz="6" w:space="0"/>
        <w:right w:val="single" w:color="CFD9DE" w:sz="6" w:space="0"/>
      </w:pBdr>
      <w:spacing w:before="100" w:beforeAutospacing="1" w:after="100" w:afterAutospacing="1"/>
      <w:jc w:val="left"/>
    </w:pPr>
    <w:rPr>
      <w:rFonts w:ascii="宋体" w:hAnsi="宋体" w:cs="宋体"/>
      <w:kern w:val="0"/>
      <w:sz w:val="24"/>
      <w:szCs w:val="24"/>
    </w:rPr>
  </w:style>
  <w:style w:type="paragraph" w:customStyle="1" w:styleId="274">
    <w:name w:val="样式3"/>
    <w:basedOn w:val="1"/>
    <w:qFormat/>
    <w:uiPriority w:val="0"/>
    <w:pPr>
      <w:spacing w:line="360" w:lineRule="auto"/>
      <w:jc w:val="center"/>
    </w:pPr>
    <w:rPr>
      <w:rFonts w:ascii="宋体"/>
      <w:spacing w:val="6"/>
    </w:rPr>
  </w:style>
  <w:style w:type="paragraph" w:customStyle="1" w:styleId="275">
    <w:name w:val="btn2"/>
    <w:basedOn w:val="1"/>
    <w:qFormat/>
    <w:uiPriority w:val="0"/>
    <w:pPr>
      <w:widowControl/>
      <w:shd w:val="clear" w:color="auto" w:fill="ECE9D8"/>
      <w:spacing w:before="100" w:beforeAutospacing="1" w:after="100" w:afterAutospacing="1"/>
      <w:jc w:val="left"/>
    </w:pPr>
    <w:rPr>
      <w:rFonts w:ascii="宋体" w:hAnsi="宋体" w:cs="宋体"/>
      <w:kern w:val="0"/>
      <w:sz w:val="18"/>
      <w:szCs w:val="18"/>
    </w:rPr>
  </w:style>
  <w:style w:type="paragraph" w:customStyle="1" w:styleId="276">
    <w:name w:val="spbb_bord"/>
    <w:basedOn w:val="1"/>
    <w:qFormat/>
    <w:uiPriority w:val="0"/>
    <w:pPr>
      <w:widowControl/>
      <w:pBdr>
        <w:left w:val="single" w:color="CFC9BB" w:sz="6" w:space="0"/>
        <w:bottom w:val="single" w:color="CFC9BB" w:sz="6" w:space="0"/>
        <w:right w:val="single" w:color="CFC9BB" w:sz="6" w:space="0"/>
      </w:pBdr>
      <w:spacing w:before="100" w:beforeAutospacing="1" w:after="100" w:afterAutospacing="1"/>
      <w:jc w:val="left"/>
    </w:pPr>
    <w:rPr>
      <w:rFonts w:ascii="宋体" w:hAnsi="宋体" w:cs="宋体"/>
      <w:kern w:val="0"/>
      <w:sz w:val="24"/>
      <w:szCs w:val="24"/>
    </w:rPr>
  </w:style>
  <w:style w:type="paragraph" w:customStyle="1" w:styleId="277">
    <w:name w:val="bord3b"/>
    <w:basedOn w:val="1"/>
    <w:qFormat/>
    <w:uiPriority w:val="0"/>
    <w:pPr>
      <w:widowControl/>
      <w:pBdr>
        <w:top w:val="single" w:color="D2E8F7" w:sz="6" w:space="0"/>
        <w:left w:val="single" w:color="D2E8F7" w:sz="6" w:space="0"/>
        <w:right w:val="single" w:color="D2E8F7" w:sz="6" w:space="0"/>
      </w:pBdr>
      <w:spacing w:before="100" w:beforeAutospacing="1" w:after="100" w:afterAutospacing="1"/>
      <w:jc w:val="left"/>
    </w:pPr>
    <w:rPr>
      <w:rFonts w:ascii="宋体" w:hAnsi="宋体" w:cs="宋体"/>
      <w:kern w:val="0"/>
      <w:sz w:val="24"/>
      <w:szCs w:val="24"/>
    </w:rPr>
  </w:style>
  <w:style w:type="paragraph" w:customStyle="1" w:styleId="278">
    <w:name w:val="zwdt13l21"/>
    <w:basedOn w:val="1"/>
    <w:qFormat/>
    <w:uiPriority w:val="0"/>
    <w:pPr>
      <w:widowControl/>
      <w:spacing w:before="100" w:beforeAutospacing="1" w:after="100" w:afterAutospacing="1" w:line="315" w:lineRule="atLeast"/>
      <w:jc w:val="left"/>
    </w:pPr>
    <w:rPr>
      <w:rFonts w:ascii="宋体" w:hAnsi="宋体" w:cs="宋体"/>
      <w:color w:val="000000"/>
      <w:kern w:val="0"/>
      <w:sz w:val="20"/>
    </w:rPr>
  </w:style>
  <w:style w:type="paragraph" w:customStyle="1" w:styleId="279">
    <w:name w:val="zmhd_fff"/>
    <w:basedOn w:val="1"/>
    <w:qFormat/>
    <w:uiPriority w:val="0"/>
    <w:pPr>
      <w:widowControl/>
      <w:spacing w:before="100" w:beforeAutospacing="1" w:after="100" w:afterAutospacing="1"/>
      <w:jc w:val="left"/>
    </w:pPr>
    <w:rPr>
      <w:rFonts w:ascii="宋体" w:hAnsi="宋体" w:cs="宋体"/>
      <w:color w:val="FFFFFF"/>
      <w:kern w:val="0"/>
      <w:sz w:val="18"/>
      <w:szCs w:val="18"/>
    </w:rPr>
  </w:style>
  <w:style w:type="paragraph" w:customStyle="1" w:styleId="280">
    <w:name w:val="itdscgreen"/>
    <w:basedOn w:val="1"/>
    <w:qFormat/>
    <w:uiPriority w:val="0"/>
    <w:pPr>
      <w:widowControl/>
      <w:spacing w:before="100" w:beforeAutospacing="1" w:after="100" w:afterAutospacing="1"/>
      <w:jc w:val="left"/>
    </w:pPr>
    <w:rPr>
      <w:rFonts w:ascii="宋体" w:hAnsi="宋体" w:cs="宋体"/>
      <w:color w:val="B0B0B0"/>
      <w:kern w:val="0"/>
      <w:sz w:val="20"/>
    </w:rPr>
  </w:style>
  <w:style w:type="paragraph" w:customStyle="1" w:styleId="281">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282">
    <w:name w:val="link7"/>
    <w:basedOn w:val="1"/>
    <w:qFormat/>
    <w:uiPriority w:val="0"/>
    <w:pPr>
      <w:widowControl/>
      <w:spacing w:before="100" w:beforeAutospacing="1" w:after="100" w:afterAutospacing="1" w:line="270" w:lineRule="atLeast"/>
      <w:jc w:val="left"/>
    </w:pPr>
    <w:rPr>
      <w:rFonts w:ascii="宋体" w:hAnsi="宋体" w:cs="宋体"/>
      <w:color w:val="666666"/>
      <w:kern w:val="0"/>
      <w:sz w:val="18"/>
      <w:szCs w:val="18"/>
    </w:rPr>
  </w:style>
  <w:style w:type="paragraph" w:customStyle="1" w:styleId="283">
    <w:name w:val="_Style 30"/>
    <w:basedOn w:val="1"/>
    <w:qFormat/>
    <w:uiPriority w:val="0"/>
    <w:rPr>
      <w:rFonts w:ascii="Tahoma" w:hAnsi="Tahoma"/>
      <w:sz w:val="24"/>
    </w:rPr>
  </w:style>
  <w:style w:type="paragraph" w:customStyle="1" w:styleId="284">
    <w:name w:val="spbb_font"/>
    <w:basedOn w:val="1"/>
    <w:qFormat/>
    <w:uiPriority w:val="0"/>
    <w:pPr>
      <w:widowControl/>
      <w:spacing w:before="100" w:beforeAutospacing="1" w:after="100" w:afterAutospacing="1"/>
      <w:jc w:val="left"/>
    </w:pPr>
    <w:rPr>
      <w:rFonts w:ascii="宋体" w:hAnsi="宋体" w:cs="宋体"/>
      <w:color w:val="999999"/>
      <w:kern w:val="0"/>
      <w:szCs w:val="21"/>
    </w:rPr>
  </w:style>
  <w:style w:type="paragraph" w:customStyle="1" w:styleId="285">
    <w:name w:val="bord2b"/>
    <w:basedOn w:val="1"/>
    <w:qFormat/>
    <w:uiPriority w:val="0"/>
    <w:pPr>
      <w:widowControl/>
      <w:pBdr>
        <w:bottom w:val="single" w:color="D2E2E7" w:sz="6" w:space="0"/>
        <w:right w:val="single" w:color="D2E2E7" w:sz="6" w:space="0"/>
      </w:pBdr>
      <w:spacing w:before="100" w:beforeAutospacing="1" w:after="100" w:afterAutospacing="1"/>
      <w:jc w:val="left"/>
    </w:pPr>
    <w:rPr>
      <w:rFonts w:ascii="宋体" w:hAnsi="宋体" w:cs="宋体"/>
      <w:kern w:val="0"/>
      <w:sz w:val="24"/>
      <w:szCs w:val="24"/>
    </w:rPr>
  </w:style>
  <w:style w:type="paragraph" w:customStyle="1" w:styleId="286">
    <w:name w:val="iblues13"/>
    <w:basedOn w:val="1"/>
    <w:qFormat/>
    <w:uiPriority w:val="0"/>
    <w:pPr>
      <w:widowControl/>
      <w:spacing w:before="100" w:beforeAutospacing="1" w:after="100" w:afterAutospacing="1"/>
      <w:jc w:val="left"/>
    </w:pPr>
    <w:rPr>
      <w:rFonts w:ascii="宋体" w:hAnsi="宋体" w:cs="宋体"/>
      <w:color w:val="174B8B"/>
      <w:kern w:val="0"/>
      <w:sz w:val="20"/>
    </w:rPr>
  </w:style>
  <w:style w:type="paragraph" w:customStyle="1" w:styleId="287">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方正楷体简体" w:hAnsi="宋体" w:eastAsia="方正楷体简体"/>
      <w:kern w:val="0"/>
      <w:sz w:val="24"/>
      <w:szCs w:val="24"/>
    </w:rPr>
  </w:style>
  <w:style w:type="paragraph" w:customStyle="1" w:styleId="288">
    <w:name w:val="zwgkmenu"/>
    <w:basedOn w:val="1"/>
    <w:qFormat/>
    <w:uiPriority w:val="0"/>
    <w:pPr>
      <w:widowControl/>
      <w:spacing w:before="100" w:beforeAutospacing="1" w:after="100" w:afterAutospacing="1"/>
      <w:jc w:val="left"/>
    </w:pPr>
    <w:rPr>
      <w:rFonts w:ascii="宋体" w:hAnsi="宋体" w:cs="宋体"/>
      <w:color w:val="003366"/>
      <w:kern w:val="0"/>
      <w:sz w:val="20"/>
    </w:rPr>
  </w:style>
  <w:style w:type="paragraph" w:customStyle="1" w:styleId="28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0">
    <w:name w:val="目录2"/>
    <w:basedOn w:val="2"/>
    <w:qFormat/>
    <w:uiPriority w:val="0"/>
    <w:pPr>
      <w:keepLines w:val="0"/>
      <w:tabs>
        <w:tab w:val="left" w:pos="975"/>
      </w:tabs>
      <w:adjustRightInd w:val="0"/>
      <w:snapToGrid w:val="0"/>
      <w:spacing w:before="0" w:after="0" w:line="440" w:lineRule="exact"/>
      <w:ind w:firstLine="679" w:firstLineChars="200"/>
    </w:pPr>
    <w:rPr>
      <w:rFonts w:ascii="黑体" w:hAnsi="宋体"/>
      <w:spacing w:val="10"/>
      <w:sz w:val="30"/>
      <w:szCs w:val="30"/>
    </w:rPr>
  </w:style>
  <w:style w:type="paragraph" w:customStyle="1" w:styleId="291">
    <w:name w:val="目录4"/>
    <w:basedOn w:val="1"/>
    <w:next w:val="1"/>
    <w:qFormat/>
    <w:uiPriority w:val="0"/>
    <w:pPr>
      <w:widowControl/>
      <w:tabs>
        <w:tab w:val="left" w:leader="dot" w:pos="8503"/>
      </w:tabs>
      <w:spacing w:line="317" w:lineRule="atLeast"/>
      <w:ind w:left="419" w:firstLine="629"/>
      <w:textAlignment w:val="baseline"/>
    </w:pPr>
    <w:rPr>
      <w:color w:val="000000"/>
      <w:kern w:val="0"/>
    </w:rPr>
  </w:style>
  <w:style w:type="paragraph" w:customStyle="1" w:styleId="292">
    <w:name w:val="font14black"/>
    <w:basedOn w:val="1"/>
    <w:qFormat/>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293">
    <w:name w:val="bord"/>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94">
    <w:name w:val="wskt_link3"/>
    <w:basedOn w:val="1"/>
    <w:qFormat/>
    <w:uiPriority w:val="0"/>
    <w:pPr>
      <w:widowControl/>
      <w:spacing w:before="100" w:beforeAutospacing="1" w:after="100" w:afterAutospacing="1" w:line="300" w:lineRule="atLeast"/>
      <w:jc w:val="left"/>
    </w:pPr>
    <w:rPr>
      <w:rFonts w:ascii="宋体" w:hAnsi="宋体" w:cs="宋体"/>
      <w:color w:val="333333"/>
      <w:kern w:val="0"/>
      <w:sz w:val="20"/>
    </w:rPr>
  </w:style>
  <w:style w:type="paragraph" w:customStyle="1" w:styleId="295">
    <w:name w:val="xxhtop"/>
    <w:basedOn w:val="1"/>
    <w:qFormat/>
    <w:uiPriority w:val="0"/>
    <w:pPr>
      <w:widowControl/>
      <w:spacing w:before="100" w:beforeAutospacing="1" w:after="100" w:afterAutospacing="1"/>
      <w:jc w:val="left"/>
    </w:pPr>
    <w:rPr>
      <w:rFonts w:ascii="宋体" w:hAnsi="宋体" w:cs="宋体"/>
      <w:color w:val="0269AB"/>
      <w:kern w:val="0"/>
      <w:sz w:val="18"/>
      <w:szCs w:val="18"/>
    </w:rPr>
  </w:style>
  <w:style w:type="paragraph" w:customStyle="1" w:styleId="296">
    <w:name w:val="目录3"/>
    <w:basedOn w:val="1"/>
    <w:next w:val="1"/>
    <w:qFormat/>
    <w:uiPriority w:val="0"/>
    <w:pPr>
      <w:widowControl/>
      <w:tabs>
        <w:tab w:val="left" w:leader="dot" w:pos="8503"/>
      </w:tabs>
      <w:spacing w:line="317" w:lineRule="atLeast"/>
      <w:ind w:left="419" w:firstLine="419"/>
      <w:textAlignment w:val="baseline"/>
    </w:pPr>
    <w:rPr>
      <w:color w:val="000000"/>
      <w:kern w:val="0"/>
    </w:rPr>
  </w:style>
  <w:style w:type="paragraph" w:customStyle="1" w:styleId="297">
    <w:name w:val="文章副标题"/>
    <w:basedOn w:val="1"/>
    <w:next w:val="298"/>
    <w:qFormat/>
    <w:uiPriority w:val="0"/>
    <w:pPr>
      <w:widowControl/>
      <w:spacing w:before="187" w:after="175" w:line="374" w:lineRule="atLeast"/>
      <w:jc w:val="center"/>
      <w:textAlignment w:val="baseline"/>
    </w:pPr>
    <w:rPr>
      <w:color w:val="000000"/>
      <w:kern w:val="0"/>
      <w:sz w:val="36"/>
    </w:rPr>
  </w:style>
  <w:style w:type="paragraph" w:customStyle="1" w:styleId="298">
    <w:name w:val="章标题"/>
    <w:basedOn w:val="1"/>
    <w:next w:val="262"/>
    <w:qFormat/>
    <w:uiPriority w:val="0"/>
    <w:pPr>
      <w:widowControl/>
      <w:spacing w:before="158" w:after="153" w:line="323" w:lineRule="atLeast"/>
      <w:jc w:val="center"/>
      <w:textAlignment w:val="baseline"/>
    </w:pPr>
    <w:rPr>
      <w:rFonts w:ascii="Arial" w:eastAsia="黑体"/>
      <w:color w:val="000000"/>
      <w:kern w:val="0"/>
      <w:sz w:val="31"/>
    </w:rPr>
  </w:style>
  <w:style w:type="paragraph" w:customStyle="1" w:styleId="299">
    <w:name w:val="bsfwdiv1"/>
    <w:basedOn w:val="1"/>
    <w:qFormat/>
    <w:uiPriority w:val="0"/>
    <w:pPr>
      <w:widowControl/>
      <w:spacing w:before="100" w:beforeAutospacing="1" w:after="100" w:afterAutospacing="1"/>
      <w:jc w:val="left"/>
    </w:pPr>
    <w:rPr>
      <w:rFonts w:ascii="宋体" w:hAnsi="宋体" w:cs="宋体"/>
      <w:b/>
      <w:bCs/>
      <w:color w:val="FFFFFF"/>
      <w:kern w:val="0"/>
      <w:szCs w:val="21"/>
    </w:rPr>
  </w:style>
  <w:style w:type="paragraph" w:customStyle="1" w:styleId="300">
    <w:name w:val="默认段落字体 Para Char Char Char Char Char Char Char"/>
    <w:basedOn w:val="1"/>
    <w:qFormat/>
    <w:uiPriority w:val="0"/>
    <w:rPr>
      <w:rFonts w:eastAsia="Times New Roman"/>
      <w:kern w:val="0"/>
      <w:sz w:val="20"/>
      <w:szCs w:val="24"/>
    </w:rPr>
  </w:style>
  <w:style w:type="paragraph" w:customStyle="1" w:styleId="301">
    <w:name w:val="kyqscblue14b"/>
    <w:basedOn w:val="1"/>
    <w:qFormat/>
    <w:uiPriority w:val="0"/>
    <w:pPr>
      <w:widowControl/>
      <w:spacing w:before="100" w:beforeAutospacing="1" w:after="100" w:afterAutospacing="1"/>
      <w:jc w:val="left"/>
    </w:pPr>
    <w:rPr>
      <w:rFonts w:ascii="宋体" w:hAnsi="宋体" w:cs="宋体"/>
      <w:b/>
      <w:bCs/>
      <w:color w:val="1F6ED9"/>
      <w:kern w:val="0"/>
      <w:szCs w:val="21"/>
    </w:rPr>
  </w:style>
  <w:style w:type="paragraph" w:customStyle="1" w:styleId="302">
    <w:name w:val="bord3b1"/>
    <w:basedOn w:val="1"/>
    <w:qFormat/>
    <w:uiPriority w:val="0"/>
    <w:pPr>
      <w:widowControl/>
      <w:pBdr>
        <w:left w:val="single" w:color="D2E2E7" w:sz="6" w:space="0"/>
        <w:bottom w:val="single" w:color="D2E2E7" w:sz="6" w:space="0"/>
        <w:right w:val="single" w:color="D2E2E7" w:sz="6" w:space="0"/>
      </w:pBdr>
      <w:spacing w:before="100" w:beforeAutospacing="1" w:after="100" w:afterAutospacing="1"/>
      <w:jc w:val="left"/>
    </w:pPr>
    <w:rPr>
      <w:rFonts w:ascii="宋体" w:hAnsi="宋体" w:cs="宋体"/>
      <w:kern w:val="0"/>
      <w:sz w:val="24"/>
      <w:szCs w:val="24"/>
    </w:rPr>
  </w:style>
  <w:style w:type="paragraph" w:customStyle="1" w:styleId="303">
    <w:name w:val="zwdt"/>
    <w:basedOn w:val="1"/>
    <w:qFormat/>
    <w:uiPriority w:val="0"/>
    <w:pPr>
      <w:widowControl/>
      <w:spacing w:before="100" w:beforeAutospacing="1" w:after="100" w:afterAutospacing="1"/>
      <w:jc w:val="left"/>
    </w:pPr>
    <w:rPr>
      <w:rFonts w:ascii="宋体" w:hAnsi="宋体" w:cs="宋体"/>
      <w:color w:val="D01919"/>
      <w:kern w:val="0"/>
      <w:sz w:val="18"/>
      <w:szCs w:val="18"/>
    </w:rPr>
  </w:style>
  <w:style w:type="paragraph" w:customStyle="1" w:styleId="304">
    <w:name w:val="spbb_bord3"/>
    <w:basedOn w:val="1"/>
    <w:qFormat/>
    <w:uiPriority w:val="0"/>
    <w:pPr>
      <w:widowControl/>
      <w:pBdr>
        <w:left w:val="single" w:color="69B1DE" w:sz="6" w:space="0"/>
        <w:bottom w:val="single" w:color="69B1DE" w:sz="6" w:space="0"/>
        <w:right w:val="single" w:color="69B1DE" w:sz="6" w:space="0"/>
      </w:pBdr>
      <w:spacing w:before="100" w:beforeAutospacing="1" w:after="100" w:afterAutospacing="1"/>
      <w:jc w:val="left"/>
    </w:pPr>
    <w:rPr>
      <w:rFonts w:ascii="宋体" w:hAnsi="宋体" w:cs="宋体"/>
      <w:kern w:val="0"/>
      <w:sz w:val="24"/>
      <w:szCs w:val="24"/>
    </w:rPr>
  </w:style>
  <w:style w:type="paragraph" w:customStyle="1" w:styleId="305">
    <w:name w:val="xl45"/>
    <w:basedOn w:val="1"/>
    <w:qFormat/>
    <w:uiPriority w:val="99"/>
    <w:pPr>
      <w:widowControl/>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306">
    <w:name w:val="itime12"/>
    <w:basedOn w:val="1"/>
    <w:qFormat/>
    <w:uiPriority w:val="0"/>
    <w:pPr>
      <w:widowControl/>
      <w:spacing w:before="100" w:beforeAutospacing="1" w:after="100" w:afterAutospacing="1"/>
      <w:jc w:val="left"/>
    </w:pPr>
    <w:rPr>
      <w:rFonts w:ascii="宋体" w:hAnsi="宋体" w:cs="宋体"/>
      <w:color w:val="6E6E6E"/>
      <w:kern w:val="0"/>
      <w:sz w:val="18"/>
      <w:szCs w:val="18"/>
    </w:rPr>
  </w:style>
  <w:style w:type="paragraph" w:customStyle="1" w:styleId="307">
    <w:name w:val="列表段落1"/>
    <w:basedOn w:val="1"/>
    <w:qFormat/>
    <w:uiPriority w:val="34"/>
    <w:pPr>
      <w:ind w:firstLine="420" w:firstLineChars="200"/>
    </w:pPr>
  </w:style>
  <w:style w:type="paragraph" w:customStyle="1" w:styleId="308">
    <w:name w:val="font14widthnew"/>
    <w:basedOn w:val="1"/>
    <w:qFormat/>
    <w:uiPriority w:val="0"/>
    <w:pPr>
      <w:widowControl/>
      <w:spacing w:before="100" w:beforeAutospacing="1" w:after="100" w:afterAutospacing="1"/>
      <w:jc w:val="left"/>
    </w:pPr>
    <w:rPr>
      <w:rFonts w:ascii="宋体" w:hAnsi="宋体" w:cs="宋体"/>
      <w:b/>
      <w:bCs/>
      <w:color w:val="A11414"/>
      <w:kern w:val="0"/>
      <w:szCs w:val="21"/>
    </w:rPr>
  </w:style>
  <w:style w:type="paragraph" w:customStyle="1" w:styleId="309">
    <w:name w:val="列出段落1"/>
    <w:basedOn w:val="1"/>
    <w:qFormat/>
    <w:uiPriority w:val="34"/>
    <w:pPr>
      <w:ind w:firstLine="420" w:firstLineChars="200"/>
    </w:pPr>
  </w:style>
  <w:style w:type="paragraph" w:customStyle="1" w:styleId="310">
    <w:name w:val="link1"/>
    <w:basedOn w:val="1"/>
    <w:qFormat/>
    <w:uiPriority w:val="0"/>
    <w:pPr>
      <w:widowControl/>
      <w:spacing w:before="100" w:beforeAutospacing="1" w:after="100" w:afterAutospacing="1" w:line="270" w:lineRule="atLeast"/>
      <w:jc w:val="left"/>
    </w:pPr>
    <w:rPr>
      <w:rFonts w:ascii="宋体" w:hAnsi="宋体" w:cs="宋体"/>
      <w:color w:val="003366"/>
      <w:kern w:val="0"/>
      <w:sz w:val="18"/>
      <w:szCs w:val="18"/>
    </w:rPr>
  </w:style>
  <w:style w:type="paragraph" w:customStyle="1" w:styleId="311">
    <w:name w:val="zmhd_bord1"/>
    <w:basedOn w:val="1"/>
    <w:qFormat/>
    <w:uiPriority w:val="0"/>
    <w:pPr>
      <w:widowControl/>
      <w:pBdr>
        <w:top w:val="single" w:color="CFD9DE" w:sz="6" w:space="0"/>
        <w:left w:val="single" w:color="CFD9DE" w:sz="6" w:space="0"/>
        <w:bottom w:val="single" w:color="CFD9DE" w:sz="6" w:space="0"/>
        <w:right w:val="single" w:color="CFD9DE" w:sz="6" w:space="0"/>
      </w:pBdr>
      <w:spacing w:before="100" w:beforeAutospacing="1" w:after="100" w:afterAutospacing="1"/>
      <w:jc w:val="left"/>
    </w:pPr>
    <w:rPr>
      <w:rFonts w:ascii="宋体" w:hAnsi="宋体" w:cs="宋体"/>
      <w:kern w:val="0"/>
      <w:sz w:val="24"/>
      <w:szCs w:val="24"/>
    </w:rPr>
  </w:style>
  <w:style w:type="paragraph" w:customStyle="1" w:styleId="312">
    <w:name w:val="zwf_title"/>
    <w:basedOn w:val="1"/>
    <w:qFormat/>
    <w:uiPriority w:val="0"/>
    <w:pPr>
      <w:widowControl/>
      <w:spacing w:before="100" w:beforeAutospacing="1" w:after="100" w:afterAutospacing="1" w:line="345" w:lineRule="atLeast"/>
      <w:jc w:val="left"/>
    </w:pPr>
    <w:rPr>
      <w:rFonts w:ascii="宋体" w:hAnsi="宋体" w:cs="宋体"/>
      <w:b/>
      <w:bCs/>
      <w:color w:val="666666"/>
      <w:kern w:val="0"/>
      <w:sz w:val="24"/>
      <w:szCs w:val="24"/>
    </w:rPr>
  </w:style>
  <w:style w:type="paragraph" w:customStyle="1" w:styleId="313">
    <w:name w:val="iblue16b"/>
    <w:basedOn w:val="1"/>
    <w:qFormat/>
    <w:uiPriority w:val="0"/>
    <w:pPr>
      <w:widowControl/>
      <w:spacing w:before="100" w:beforeAutospacing="1" w:after="100" w:afterAutospacing="1"/>
      <w:jc w:val="left"/>
    </w:pPr>
    <w:rPr>
      <w:rFonts w:ascii="宋体" w:hAnsi="宋体" w:cs="宋体"/>
      <w:color w:val="0953C2"/>
      <w:kern w:val="0"/>
      <w:sz w:val="23"/>
      <w:szCs w:val="23"/>
    </w:rPr>
  </w:style>
  <w:style w:type="paragraph" w:customStyle="1" w:styleId="314">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15">
    <w:name w:val="bsfwtop"/>
    <w:basedOn w:val="1"/>
    <w:qFormat/>
    <w:uiPriority w:val="0"/>
    <w:pPr>
      <w:widowControl/>
      <w:spacing w:before="100" w:beforeAutospacing="1" w:after="100" w:afterAutospacing="1"/>
      <w:jc w:val="left"/>
    </w:pPr>
    <w:rPr>
      <w:rFonts w:ascii="宋体" w:hAnsi="宋体" w:cs="宋体"/>
      <w:color w:val="6C8C0A"/>
      <w:kern w:val="0"/>
      <w:sz w:val="18"/>
      <w:szCs w:val="18"/>
    </w:rPr>
  </w:style>
  <w:style w:type="paragraph" w:customStyle="1" w:styleId="316">
    <w:name w:val="ipadding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7">
    <w:name w:val="xxhw12"/>
    <w:basedOn w:val="1"/>
    <w:qFormat/>
    <w:uiPriority w:val="0"/>
    <w:pPr>
      <w:widowControl/>
      <w:spacing w:before="100" w:beforeAutospacing="1" w:after="100" w:afterAutospacing="1"/>
      <w:jc w:val="left"/>
    </w:pPr>
    <w:rPr>
      <w:rFonts w:ascii="宋体" w:hAnsi="宋体" w:cs="宋体"/>
      <w:color w:val="FFFFFF"/>
      <w:kern w:val="0"/>
      <w:sz w:val="18"/>
      <w:szCs w:val="18"/>
    </w:rPr>
  </w:style>
  <w:style w:type="paragraph" w:customStyle="1" w:styleId="318">
    <w:name w:val="ibl1"/>
    <w:basedOn w:val="1"/>
    <w:qFormat/>
    <w:uiPriority w:val="0"/>
    <w:pPr>
      <w:widowControl/>
      <w:spacing w:before="100" w:beforeAutospacing="1" w:after="100" w:afterAutospacing="1"/>
      <w:jc w:val="left"/>
    </w:pPr>
    <w:rPr>
      <w:rFonts w:ascii="宋体" w:hAnsi="宋体" w:cs="宋体"/>
      <w:color w:val="04399B"/>
      <w:spacing w:val="15"/>
      <w:kern w:val="0"/>
      <w:sz w:val="18"/>
      <w:szCs w:val="18"/>
    </w:rPr>
  </w:style>
  <w:style w:type="paragraph" w:customStyle="1" w:styleId="319">
    <w:name w:val="bordtop"/>
    <w:basedOn w:val="1"/>
    <w:qFormat/>
    <w:uiPriority w:val="0"/>
    <w:pPr>
      <w:widowControl/>
      <w:pBdr>
        <w:top w:val="single" w:color="CCCCCC" w:sz="6" w:space="0"/>
      </w:pBdr>
      <w:spacing w:before="100" w:beforeAutospacing="1" w:after="100" w:afterAutospacing="1"/>
      <w:jc w:val="left"/>
    </w:pPr>
    <w:rPr>
      <w:rFonts w:ascii="宋体" w:hAnsi="宋体" w:cs="宋体"/>
      <w:kern w:val="0"/>
      <w:sz w:val="24"/>
      <w:szCs w:val="24"/>
    </w:rPr>
  </w:style>
  <w:style w:type="paragraph" w:customStyle="1" w:styleId="320">
    <w:name w:val="ilinks"/>
    <w:basedOn w:val="1"/>
    <w:qFormat/>
    <w:uiPriority w:val="0"/>
    <w:pPr>
      <w:widowControl/>
      <w:spacing w:before="100" w:beforeAutospacing="1" w:after="100" w:afterAutospacing="1"/>
      <w:jc w:val="left"/>
    </w:pPr>
    <w:rPr>
      <w:rFonts w:ascii="宋体" w:hAnsi="宋体" w:cs="宋体"/>
      <w:b/>
      <w:bCs/>
      <w:color w:val="FFFFFF"/>
      <w:kern w:val="0"/>
      <w:sz w:val="18"/>
      <w:szCs w:val="18"/>
    </w:rPr>
  </w:style>
  <w:style w:type="paragraph" w:customStyle="1" w:styleId="321">
    <w:name w:val="style2"/>
    <w:basedOn w:val="1"/>
    <w:qFormat/>
    <w:uiPriority w:val="0"/>
    <w:pPr>
      <w:widowControl/>
      <w:spacing w:before="100" w:beforeAutospacing="1" w:after="100" w:afterAutospacing="1"/>
      <w:jc w:val="left"/>
    </w:pPr>
    <w:rPr>
      <w:rFonts w:ascii="楷体_GB2312" w:hAnsi="宋体" w:eastAsia="楷体_GB2312" w:cs="宋体"/>
      <w:kern w:val="0"/>
      <w:szCs w:val="21"/>
    </w:rPr>
  </w:style>
  <w:style w:type="paragraph" w:customStyle="1" w:styleId="322">
    <w:name w:val="spbb_bord4b2"/>
    <w:basedOn w:val="1"/>
    <w:qFormat/>
    <w:uiPriority w:val="0"/>
    <w:pPr>
      <w:widowControl/>
      <w:pBdr>
        <w:top w:val="single" w:color="CFC9BB" w:sz="6" w:space="0"/>
        <w:left w:val="single" w:color="CFC9BB" w:sz="6" w:space="0"/>
        <w:bottom w:val="single" w:color="CFC9BB" w:sz="6" w:space="0"/>
        <w:right w:val="single" w:color="CFC9BB" w:sz="6" w:space="0"/>
      </w:pBdr>
      <w:spacing w:before="100" w:beforeAutospacing="1" w:after="100" w:afterAutospacing="1"/>
      <w:jc w:val="left"/>
    </w:pPr>
    <w:rPr>
      <w:rFonts w:ascii="宋体" w:hAnsi="宋体" w:cs="宋体"/>
      <w:kern w:val="0"/>
      <w:sz w:val="24"/>
      <w:szCs w:val="24"/>
    </w:rPr>
  </w:style>
  <w:style w:type="paragraph" w:customStyle="1" w:styleId="323">
    <w:name w:val="font12"/>
    <w:basedOn w:val="1"/>
    <w:qFormat/>
    <w:uiPriority w:val="0"/>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324">
    <w:name w:val="flfg_bord1"/>
    <w:basedOn w:val="1"/>
    <w:qFormat/>
    <w:uiPriority w:val="0"/>
    <w:pPr>
      <w:widowControl/>
      <w:pBdr>
        <w:bottom w:val="single" w:color="E3F1FB" w:sz="6" w:space="0"/>
        <w:right w:val="single" w:color="E3F1FB" w:sz="6" w:space="0"/>
      </w:pBdr>
      <w:spacing w:before="100" w:beforeAutospacing="1" w:after="100" w:afterAutospacing="1"/>
      <w:jc w:val="left"/>
    </w:pPr>
    <w:rPr>
      <w:rFonts w:ascii="宋体" w:hAnsi="宋体" w:cs="宋体"/>
      <w:kern w:val="0"/>
      <w:sz w:val="24"/>
      <w:szCs w:val="24"/>
    </w:rPr>
  </w:style>
  <w:style w:type="paragraph" w:customStyle="1" w:styleId="325">
    <w:name w:val="xwdt_img_bord4b"/>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326">
    <w:name w:val="spbb_link2"/>
    <w:basedOn w:val="1"/>
    <w:qFormat/>
    <w:uiPriority w:val="0"/>
    <w:pPr>
      <w:widowControl/>
      <w:spacing w:before="100" w:beforeAutospacing="1" w:after="100" w:afterAutospacing="1" w:line="300" w:lineRule="atLeast"/>
      <w:jc w:val="left"/>
    </w:pPr>
    <w:rPr>
      <w:rFonts w:ascii="宋体" w:hAnsi="宋体" w:cs="宋体"/>
      <w:color w:val="45A1D1"/>
      <w:kern w:val="0"/>
      <w:szCs w:val="21"/>
    </w:rPr>
  </w:style>
  <w:style w:type="paragraph" w:customStyle="1" w:styleId="327">
    <w:name w:val="文章总标题"/>
    <w:basedOn w:val="1"/>
    <w:next w:val="297"/>
    <w:qFormat/>
    <w:uiPriority w:val="0"/>
    <w:pPr>
      <w:widowControl/>
      <w:spacing w:before="566" w:after="544" w:line="566" w:lineRule="atLeast"/>
      <w:jc w:val="center"/>
      <w:textAlignment w:val="baseline"/>
    </w:pPr>
    <w:rPr>
      <w:rFonts w:ascii="Arial" w:eastAsia="黑体"/>
      <w:color w:val="000000"/>
      <w:kern w:val="0"/>
      <w:sz w:val="54"/>
    </w:rPr>
  </w:style>
  <w:style w:type="paragraph" w:customStyle="1" w:styleId="328">
    <w:name w:val="wskt_more"/>
    <w:basedOn w:val="1"/>
    <w:qFormat/>
    <w:uiPriority w:val="0"/>
    <w:pPr>
      <w:widowControl/>
      <w:spacing w:before="100" w:beforeAutospacing="1" w:after="100" w:afterAutospacing="1" w:line="240" w:lineRule="atLeast"/>
      <w:jc w:val="left"/>
    </w:pPr>
    <w:rPr>
      <w:rFonts w:ascii="宋体" w:hAnsi="宋体" w:cs="宋体"/>
      <w:color w:val="E9471B"/>
      <w:kern w:val="0"/>
      <w:sz w:val="18"/>
      <w:szCs w:val="18"/>
    </w:rPr>
  </w:style>
  <w:style w:type="paragraph" w:customStyle="1" w:styleId="329">
    <w:name w:val="zw_title"/>
    <w:basedOn w:val="1"/>
    <w:qFormat/>
    <w:uiPriority w:val="0"/>
    <w:pPr>
      <w:widowControl/>
      <w:spacing w:before="100" w:beforeAutospacing="1" w:after="100" w:afterAutospacing="1" w:line="360" w:lineRule="auto"/>
      <w:jc w:val="left"/>
    </w:pPr>
    <w:rPr>
      <w:rFonts w:ascii="宋体" w:hAnsi="宋体" w:cs="宋体"/>
      <w:b/>
      <w:bCs/>
      <w:color w:val="333333"/>
      <w:kern w:val="0"/>
      <w:sz w:val="35"/>
      <w:szCs w:val="35"/>
    </w:rPr>
  </w:style>
  <w:style w:type="paragraph" w:customStyle="1" w:styleId="330">
    <w:name w:val="trs_editor"/>
    <w:basedOn w:val="1"/>
    <w:qFormat/>
    <w:uiPriority w:val="0"/>
    <w:pPr>
      <w:widowControl/>
      <w:spacing w:before="100" w:beforeAutospacing="1" w:after="100" w:afterAutospacing="1"/>
      <w:jc w:val="left"/>
    </w:pPr>
    <w:rPr>
      <w:rFonts w:ascii="宋体" w:hAnsi="宋体" w:cs="宋体"/>
      <w:kern w:val="0"/>
      <w:szCs w:val="21"/>
    </w:rPr>
  </w:style>
  <w:style w:type="paragraph" w:customStyle="1" w:styleId="331">
    <w:name w:val="列出段落2"/>
    <w:basedOn w:val="1"/>
    <w:unhideWhenUsed/>
    <w:qFormat/>
    <w:uiPriority w:val="99"/>
    <w:pPr>
      <w:ind w:firstLine="420" w:firstLineChars="200"/>
    </w:pPr>
  </w:style>
  <w:style w:type="paragraph" w:customStyle="1" w:styleId="332">
    <w:name w:val="align_center"/>
    <w:basedOn w:val="1"/>
    <w:qFormat/>
    <w:uiPriority w:val="0"/>
    <w:pPr>
      <w:widowControl/>
      <w:spacing w:before="100" w:beforeAutospacing="1" w:after="100" w:afterAutospacing="1"/>
      <w:jc w:val="center"/>
    </w:pPr>
    <w:rPr>
      <w:rFonts w:ascii="宋体" w:hAnsi="宋体" w:cs="宋体"/>
      <w:kern w:val="0"/>
      <w:sz w:val="24"/>
      <w:szCs w:val="24"/>
    </w:rPr>
  </w:style>
  <w:style w:type="character" w:customStyle="1" w:styleId="333">
    <w:name w:val="fontstrikethrough"/>
    <w:basedOn w:val="48"/>
    <w:qFormat/>
    <w:uiPriority w:val="0"/>
    <w:rPr>
      <w:strike/>
    </w:rPr>
  </w:style>
  <w:style w:type="character" w:customStyle="1" w:styleId="334">
    <w:name w:val="fontborder"/>
    <w:basedOn w:val="48"/>
    <w:qFormat/>
    <w:uiPriority w:val="0"/>
    <w:rPr>
      <w:bdr w:val="single" w:color="000000" w:sz="6" w:space="0"/>
    </w:rPr>
  </w:style>
  <w:style w:type="character" w:customStyle="1" w:styleId="335">
    <w:name w:val="first-child"/>
    <w:basedOn w:val="48"/>
    <w:qFormat/>
    <w:uiPriority w:val="0"/>
  </w:style>
  <w:style w:type="character" w:customStyle="1" w:styleId="336">
    <w:name w:val="layui-laypage-curr"/>
    <w:basedOn w:val="48"/>
    <w:qFormat/>
    <w:uiPriority w:val="0"/>
  </w:style>
  <w:style w:type="character" w:customStyle="1" w:styleId="337">
    <w:name w:val="layui-this2"/>
    <w:basedOn w:val="48"/>
    <w:qFormat/>
    <w:uiPriority w:val="0"/>
    <w:rPr>
      <w:bdr w:val="single" w:color="EEEEEE" w:sz="6" w:space="0"/>
      <w:shd w:val="clear" w:fill="FFFFFF"/>
    </w:rPr>
  </w:style>
  <w:style w:type="paragraph" w:customStyle="1" w:styleId="338">
    <w:name w:val="lemmawgt-lemmatitle-title"/>
    <w:basedOn w:val="1"/>
    <w:qFormat/>
    <w:uiPriority w:val="0"/>
    <w:pPr>
      <w:spacing w:before="0" w:beforeAutospacing="0" w:after="75" w:afterAutospacing="0" w:line="585" w:lineRule="atLeast"/>
      <w:ind w:left="0" w:right="0"/>
      <w:jc w:val="left"/>
    </w:pPr>
    <w:rPr>
      <w:kern w:val="0"/>
      <w:lang w:val="en-US" w:eastAsia="zh-CN" w:bidi="ar"/>
    </w:rPr>
  </w:style>
  <w:style w:type="character" w:customStyle="1" w:styleId="339">
    <w:name w:val="lemmawgt-lemmatitle-title1"/>
    <w:basedOn w:val="48"/>
    <w:qFormat/>
    <w:uiPriority w:val="0"/>
  </w:style>
  <w:style w:type="character" w:customStyle="1" w:styleId="340">
    <w:name w:val="hover27"/>
    <w:basedOn w:val="48"/>
    <w:qFormat/>
    <w:uiPriority w:val="0"/>
  </w:style>
  <w:style w:type="character" w:customStyle="1" w:styleId="341">
    <w:name w:val="hover28"/>
    <w:basedOn w:val="48"/>
    <w:qFormat/>
    <w:uiPriority w:val="0"/>
    <w:rPr>
      <w:color w:val="315EFB"/>
    </w:rPr>
  </w:style>
  <w:style w:type="character" w:customStyle="1" w:styleId="342">
    <w:name w:val="c-icon28"/>
    <w:basedOn w:val="4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733;&#22836;&#20272;&#20215;&#27169;&#26495;---&#24066;&#22330;&#27604;&#36739;&#278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汕头估价模板---市场比较法</Template>
  <Company>微软中国</Company>
  <Pages>48</Pages>
  <Words>24839</Words>
  <Characters>27531</Characters>
  <Lines>167</Lines>
  <Paragraphs>47</Paragraphs>
  <TotalTime>0</TotalTime>
  <ScaleCrop>false</ScaleCrop>
  <LinksUpToDate>false</LinksUpToDate>
  <CharactersWithSpaces>27901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2019-08-29T00:43:00Z</dcterms:created>
  <dc:creator>陈锋涛</dc:creator>
  <cp:lastModifiedBy>今天</cp:lastModifiedBy>
  <cp:lastPrinted>2022-06-10T07:05:00Z</cp:lastPrinted>
  <dcterms:modified xsi:type="dcterms:W3CDTF">2022-07-27T07:42:50Z</dcterms:modified>
  <dc:subject>模板</dc:subject>
  <dc:title>市场比较法</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028D3345045F4811B5802E42CAD487B7</vt:lpwstr>
  </property>
</Properties>
</file>