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3045"/>
        </w:tabs>
        <w:spacing w:line="560" w:lineRule="exact"/>
        <w:ind w:left="-40" w:leftChars="-50" w:hanging="100" w:hangingChars="18"/>
        <w:jc w:val="center"/>
        <w:rPr>
          <w:rFonts w:eastAsia="黑体"/>
          <w:color w:val="000000" w:themeColor="text1"/>
          <w:spacing w:val="20"/>
          <w:sz w:val="52"/>
          <w14:textFill>
            <w14:solidFill>
              <w14:schemeClr w14:val="tx1"/>
            </w14:solidFill>
          </w14:textFill>
        </w:rPr>
      </w:pPr>
    </w:p>
    <w:p>
      <w:pPr>
        <w:tabs>
          <w:tab w:val="left" w:pos="3045"/>
        </w:tabs>
        <w:spacing w:line="560" w:lineRule="exact"/>
        <w:ind w:left="-40" w:leftChars="-50" w:hanging="100" w:hangingChars="18"/>
        <w:jc w:val="center"/>
        <w:rPr>
          <w:rFonts w:eastAsia="黑体"/>
          <w:color w:val="000000" w:themeColor="text1"/>
          <w:spacing w:val="20"/>
          <w:sz w:val="52"/>
          <w14:textFill>
            <w14:solidFill>
              <w14:schemeClr w14:val="tx1"/>
            </w14:solidFill>
          </w14:textFill>
        </w:rPr>
      </w:pPr>
    </w:p>
    <w:p>
      <w:pPr>
        <w:tabs>
          <w:tab w:val="left" w:pos="3045"/>
        </w:tabs>
        <w:spacing w:line="560" w:lineRule="exact"/>
        <w:ind w:left="-40" w:leftChars="-50" w:hanging="100" w:hangingChars="18"/>
        <w:jc w:val="center"/>
        <w:rPr>
          <w:rFonts w:eastAsia="黑体"/>
          <w:color w:val="000000" w:themeColor="text1"/>
          <w:spacing w:val="20"/>
          <w:sz w:val="52"/>
          <w14:textFill>
            <w14:solidFill>
              <w14:schemeClr w14:val="tx1"/>
            </w14:solidFill>
          </w14:textFill>
        </w:rPr>
      </w:pPr>
    </w:p>
    <w:p>
      <w:pPr>
        <w:tabs>
          <w:tab w:val="left" w:pos="3045"/>
        </w:tabs>
        <w:spacing w:line="560" w:lineRule="exact"/>
        <w:ind w:left="-40" w:leftChars="-50" w:hanging="100" w:hangingChars="18"/>
        <w:jc w:val="center"/>
        <w:rPr>
          <w:rFonts w:eastAsia="黑体"/>
          <w:color w:val="000000" w:themeColor="text1"/>
          <w:spacing w:val="20"/>
          <w:sz w:val="52"/>
          <w14:textFill>
            <w14:solidFill>
              <w14:schemeClr w14:val="tx1"/>
            </w14:solidFill>
          </w14:textFill>
        </w:rPr>
      </w:pPr>
    </w:p>
    <w:p>
      <w:pPr>
        <w:tabs>
          <w:tab w:val="left" w:pos="3045"/>
        </w:tabs>
        <w:spacing w:line="560" w:lineRule="exact"/>
        <w:ind w:left="-40" w:leftChars="-50" w:hanging="100" w:hangingChars="18"/>
        <w:jc w:val="center"/>
        <w:rPr>
          <w:rFonts w:eastAsia="黑体"/>
          <w:color w:val="000000" w:themeColor="text1"/>
          <w:spacing w:val="20"/>
          <w:sz w:val="52"/>
          <w14:textFill>
            <w14:solidFill>
              <w14:schemeClr w14:val="tx1"/>
            </w14:solidFill>
          </w14:textFill>
        </w:rPr>
      </w:pPr>
    </w:p>
    <w:p>
      <w:pPr>
        <w:tabs>
          <w:tab w:val="left" w:pos="3045"/>
        </w:tabs>
        <w:spacing w:line="560" w:lineRule="exact"/>
        <w:ind w:left="-40" w:leftChars="-50" w:hanging="100" w:hangingChars="18"/>
        <w:jc w:val="center"/>
        <w:rPr>
          <w:rFonts w:eastAsia="黑体"/>
          <w:color w:val="000000" w:themeColor="text1"/>
          <w:spacing w:val="20"/>
          <w:sz w:val="52"/>
          <w14:textFill>
            <w14:solidFill>
              <w14:schemeClr w14:val="tx1"/>
            </w14:solidFill>
          </w14:textFill>
        </w:rPr>
      </w:pPr>
      <w:r>
        <w:rPr>
          <w:rFonts w:eastAsia="黑体"/>
          <w:color w:val="000000" w:themeColor="text1"/>
          <w:spacing w:val="20"/>
          <w:sz w:val="52"/>
          <w14:textFill>
            <w14:solidFill>
              <w14:schemeClr w14:val="tx1"/>
            </w14:solidFill>
          </w14:textFill>
        </w:rPr>
        <w:t>房地产司法鉴定估价报告</w:t>
      </w:r>
    </w:p>
    <w:p>
      <w:pPr>
        <w:tabs>
          <w:tab w:val="left" w:pos="3045"/>
          <w:tab w:val="left" w:pos="3150"/>
        </w:tabs>
        <w:spacing w:line="500" w:lineRule="exact"/>
        <w:ind w:left="3776" w:leftChars="516" w:hanging="2332" w:hangingChars="833"/>
        <w:rPr>
          <w:color w:val="000000" w:themeColor="text1"/>
          <w14:textFill>
            <w14:solidFill>
              <w14:schemeClr w14:val="tx1"/>
            </w14:solidFill>
          </w14:textFill>
        </w:rPr>
      </w:pPr>
    </w:p>
    <w:p>
      <w:pPr>
        <w:tabs>
          <w:tab w:val="left" w:pos="3045"/>
          <w:tab w:val="left" w:pos="3150"/>
        </w:tabs>
        <w:spacing w:line="500" w:lineRule="exact"/>
        <w:rPr>
          <w:color w:val="000000" w:themeColor="text1"/>
          <w14:textFill>
            <w14:solidFill>
              <w14:schemeClr w14:val="tx1"/>
            </w14:solidFill>
          </w14:textFill>
        </w:rPr>
      </w:pPr>
    </w:p>
    <w:p>
      <w:pPr>
        <w:spacing w:line="720" w:lineRule="auto"/>
        <w:ind w:firstLine="640" w:firstLineChars="200"/>
        <w:jc w:val="left"/>
        <w:rPr>
          <w:rFonts w:ascii="楷体_GB2312" w:eastAsia="楷体_GB2312"/>
          <w:sz w:val="32"/>
        </w:rPr>
      </w:pPr>
      <w:r>
        <w:rPr>
          <w:rFonts w:hint="eastAsia" w:ascii="楷体_GB2312" w:eastAsia="楷体_GB2312"/>
          <w:sz w:val="32"/>
        </w:rPr>
        <w:t>估价报告编号：四川(吉祥)房评</w:t>
      </w:r>
      <w:r>
        <w:rPr>
          <w:rFonts w:hint="eastAsia" w:ascii="楷体_GB2312" w:eastAsia="楷体_GB2312"/>
          <w:color w:val="auto"/>
          <w:sz w:val="32"/>
        </w:rPr>
        <w:t>（20</w:t>
      </w:r>
      <w:r>
        <w:rPr>
          <w:rFonts w:hint="eastAsia" w:ascii="楷体_GB2312" w:eastAsia="楷体_GB2312"/>
          <w:color w:val="auto"/>
          <w:sz w:val="32"/>
          <w:lang w:val="en-US" w:eastAsia="zh-CN"/>
        </w:rPr>
        <w:t>21</w:t>
      </w:r>
      <w:r>
        <w:rPr>
          <w:rFonts w:hint="eastAsia" w:ascii="楷体_GB2312" w:eastAsia="楷体_GB2312"/>
          <w:color w:val="auto"/>
          <w:sz w:val="32"/>
        </w:rPr>
        <w:t>）字第</w:t>
      </w:r>
      <w:r>
        <w:rPr>
          <w:rFonts w:hint="eastAsia" w:ascii="楷体_GB2312" w:eastAsia="楷体_GB2312"/>
          <w:color w:val="auto"/>
          <w:sz w:val="32"/>
          <w:lang w:val="en-US" w:eastAsia="zh-CN"/>
        </w:rPr>
        <w:t>092</w:t>
      </w:r>
      <w:r>
        <w:rPr>
          <w:rFonts w:hint="eastAsia" w:ascii="楷体_GB2312" w:eastAsia="楷体_GB2312"/>
          <w:color w:val="auto"/>
          <w:sz w:val="32"/>
        </w:rPr>
        <w:t>号</w:t>
      </w:r>
    </w:p>
    <w:p>
      <w:pPr>
        <w:spacing w:line="720" w:lineRule="auto"/>
        <w:jc w:val="left"/>
        <w:rPr>
          <w:rFonts w:ascii="楷体_GB2312" w:eastAsia="楷体_GB2312"/>
          <w:sz w:val="32"/>
        </w:rPr>
      </w:pPr>
    </w:p>
    <w:p>
      <w:pPr>
        <w:snapToGrid w:val="0"/>
        <w:spacing w:line="360" w:lineRule="auto"/>
        <w:ind w:left="2878" w:leftChars="228" w:hanging="2240" w:hangingChars="700"/>
        <w:rPr>
          <w:rFonts w:hint="eastAsia" w:ascii="楷体_GB2312" w:eastAsia="楷体_GB2312"/>
          <w:sz w:val="32"/>
          <w:szCs w:val="22"/>
          <w:lang w:eastAsia="zh-CN"/>
        </w:rPr>
      </w:pPr>
      <w:r>
        <w:rPr>
          <w:rFonts w:hint="eastAsia" w:ascii="楷体_GB2312" w:eastAsia="楷体_GB2312"/>
          <w:sz w:val="32"/>
        </w:rPr>
        <w:t>估价项目名称：</w:t>
      </w:r>
      <w:r>
        <w:rPr>
          <w:rFonts w:hint="eastAsia" w:ascii="楷体_GB2312" w:eastAsia="楷体_GB2312"/>
          <w:sz w:val="32"/>
          <w:lang w:eastAsia="zh-CN"/>
        </w:rPr>
        <w:t>四川平扬房地产开发有限公司</w:t>
      </w:r>
      <w:r>
        <w:rPr>
          <w:rFonts w:hint="eastAsia" w:ascii="楷体_GB2312" w:eastAsia="楷体_GB2312"/>
          <w:sz w:val="32"/>
        </w:rPr>
        <w:t>位于</w:t>
      </w:r>
      <w:r>
        <w:rPr>
          <w:rFonts w:hint="eastAsia" w:ascii="楷体_GB2312" w:eastAsia="楷体_GB2312"/>
          <w:sz w:val="32"/>
          <w:lang w:eastAsia="zh-CN"/>
        </w:rPr>
        <w:t>自贡市沿滩区沿滩新城板南大道街122号龙湖金帝广场</w:t>
      </w:r>
      <w:r>
        <w:rPr>
          <w:rFonts w:hint="eastAsia" w:ascii="楷体_GB2312" w:eastAsia="楷体_GB2312"/>
          <w:sz w:val="32"/>
        </w:rPr>
        <w:t>的</w:t>
      </w:r>
      <w:r>
        <w:rPr>
          <w:rFonts w:hint="eastAsia" w:ascii="楷体_GB2312" w:eastAsia="楷体_GB2312"/>
          <w:sz w:val="32"/>
          <w:lang w:eastAsia="zh-CN"/>
        </w:rPr>
        <w:t>车库及仓储用房地产市场价值</w:t>
      </w:r>
      <w:r>
        <w:rPr>
          <w:rFonts w:hint="eastAsia" w:ascii="楷体_GB2312" w:eastAsia="楷体_GB2312"/>
          <w:sz w:val="32"/>
        </w:rPr>
        <w:t>评估</w:t>
      </w:r>
    </w:p>
    <w:p>
      <w:pPr>
        <w:snapToGrid w:val="0"/>
        <w:spacing w:line="360" w:lineRule="auto"/>
        <w:ind w:left="2718" w:leftChars="228" w:hanging="2080" w:hangingChars="650"/>
        <w:rPr>
          <w:rFonts w:ascii="楷体_GB2312" w:eastAsia="楷体_GB2312"/>
          <w:sz w:val="32"/>
        </w:rPr>
      </w:pPr>
    </w:p>
    <w:p>
      <w:pPr>
        <w:snapToGrid w:val="0"/>
        <w:spacing w:line="360" w:lineRule="auto"/>
        <w:ind w:firstLine="640" w:firstLineChars="200"/>
        <w:rPr>
          <w:rFonts w:hint="eastAsia" w:ascii="楷体_GB2312" w:eastAsia="楷体_GB2312"/>
          <w:sz w:val="32"/>
          <w:lang w:val="en-US" w:eastAsia="zh-CN"/>
        </w:rPr>
      </w:pPr>
      <w:r>
        <w:rPr>
          <w:rFonts w:hint="eastAsia" w:ascii="楷体_GB2312" w:eastAsia="楷体_GB2312"/>
          <w:sz w:val="32"/>
        </w:rPr>
        <w:t>估价委托人：</w:t>
      </w:r>
      <w:r>
        <w:rPr>
          <w:rFonts w:hint="eastAsia" w:ascii="楷体_GB2312" w:eastAsia="楷体_GB2312"/>
          <w:sz w:val="32"/>
          <w:lang w:eastAsia="zh-CN"/>
        </w:rPr>
        <w:t>四川省成都市中级人民法院</w:t>
      </w:r>
    </w:p>
    <w:p>
      <w:pPr>
        <w:snapToGrid w:val="0"/>
        <w:spacing w:line="360" w:lineRule="auto"/>
        <w:ind w:left="2718" w:leftChars="228" w:hanging="2080" w:hangingChars="650"/>
        <w:rPr>
          <w:rFonts w:ascii="楷体_GB2312" w:eastAsia="楷体_GB2312"/>
          <w:sz w:val="32"/>
        </w:rPr>
      </w:pPr>
    </w:p>
    <w:p>
      <w:pPr>
        <w:snapToGrid w:val="0"/>
        <w:spacing w:line="360" w:lineRule="auto"/>
        <w:ind w:firstLine="640" w:firstLineChars="200"/>
        <w:rPr>
          <w:rFonts w:ascii="楷体_GB2312" w:eastAsia="楷体_GB2312"/>
          <w:sz w:val="32"/>
        </w:rPr>
      </w:pPr>
      <w:r>
        <w:rPr>
          <w:rFonts w:hint="eastAsia" w:ascii="楷体_GB2312" w:eastAsia="楷体_GB2312"/>
          <w:sz w:val="32"/>
        </w:rPr>
        <w:t>房地产估价机构：</w:t>
      </w:r>
      <w:r>
        <w:rPr>
          <w:rFonts w:hint="eastAsia" w:ascii="楷体_GB2312" w:eastAsia="楷体_GB2312"/>
          <w:sz w:val="32"/>
          <w:lang w:eastAsia="zh-CN"/>
        </w:rPr>
        <w:t>四川吉祥房地产土地资产评估有限公司</w:t>
      </w:r>
      <w:r>
        <w:rPr>
          <w:rFonts w:ascii="楷体_GB2312" w:eastAsia="楷体_GB2312"/>
          <w:sz w:val="32"/>
        </w:rPr>
        <w:t xml:space="preserve"> </w:t>
      </w:r>
    </w:p>
    <w:p>
      <w:pPr>
        <w:snapToGrid w:val="0"/>
        <w:spacing w:line="360" w:lineRule="auto"/>
        <w:ind w:left="2718" w:leftChars="228" w:hanging="2080" w:hangingChars="650"/>
        <w:rPr>
          <w:rFonts w:ascii="楷体_GB2312" w:eastAsia="楷体_GB2312"/>
          <w:sz w:val="32"/>
        </w:rPr>
      </w:pPr>
    </w:p>
    <w:p>
      <w:pPr>
        <w:snapToGrid w:val="0"/>
        <w:spacing w:line="360" w:lineRule="auto"/>
        <w:ind w:firstLine="640" w:firstLineChars="200"/>
        <w:rPr>
          <w:rFonts w:ascii="楷体_GB2312" w:eastAsia="楷体_GB2312"/>
          <w:sz w:val="32"/>
        </w:rPr>
      </w:pPr>
      <w:r>
        <w:rPr>
          <w:rFonts w:hint="eastAsia" w:ascii="楷体_GB2312" w:eastAsia="楷体_GB2312"/>
          <w:sz w:val="32"/>
        </w:rPr>
        <w:t>注册房地产估价师：艾巧琳（注册号：5120050058）</w:t>
      </w:r>
    </w:p>
    <w:p>
      <w:pPr>
        <w:rPr>
          <w:rFonts w:ascii="仿宋_GB2312" w:eastAsia="仿宋_GB2312"/>
          <w:sz w:val="32"/>
        </w:rPr>
      </w:pPr>
      <w:r>
        <w:rPr>
          <w:rFonts w:hint="eastAsia" w:ascii="楷体_GB2312" w:hAnsi="黑体" w:eastAsia="楷体_GB2312"/>
          <w:sz w:val="32"/>
        </w:rPr>
        <w:t xml:space="preserve">                      </w:t>
      </w:r>
      <w:r>
        <w:rPr>
          <w:rFonts w:hint="eastAsia" w:ascii="楷体_GB2312" w:hAnsi="黑体" w:eastAsia="楷体_GB2312"/>
          <w:sz w:val="32"/>
          <w:lang w:val="en-US" w:eastAsia="zh-CN"/>
        </w:rPr>
        <w:t>高  涛</w:t>
      </w:r>
      <w:r>
        <w:rPr>
          <w:rFonts w:hint="eastAsia" w:ascii="楷体_GB2312" w:hAnsi="黑体" w:eastAsia="楷体_GB2312"/>
          <w:sz w:val="32"/>
        </w:rPr>
        <w:t>（注册号：</w:t>
      </w:r>
      <w:r>
        <w:rPr>
          <w:rFonts w:hint="eastAsia" w:ascii="楷体_GB2312" w:hAnsi="黑体" w:eastAsia="楷体_GB2312"/>
          <w:sz w:val="32"/>
          <w:lang w:eastAsia="zh-CN"/>
        </w:rPr>
        <w:t>5120180033</w:t>
      </w:r>
      <w:r>
        <w:rPr>
          <w:rFonts w:hint="eastAsia" w:ascii="楷体_GB2312" w:hAnsi="黑体" w:eastAsia="楷体_GB2312"/>
          <w:sz w:val="32"/>
        </w:rPr>
        <w:t>）</w:t>
      </w:r>
    </w:p>
    <w:p>
      <w:pPr>
        <w:snapToGrid w:val="0"/>
        <w:spacing w:line="360" w:lineRule="auto"/>
        <w:ind w:left="2718" w:leftChars="228" w:hanging="2080" w:hangingChars="650"/>
        <w:rPr>
          <w:rFonts w:ascii="楷体_GB2312" w:eastAsia="楷体_GB2312"/>
          <w:color w:val="auto"/>
          <w:sz w:val="32"/>
        </w:rPr>
      </w:pPr>
    </w:p>
    <w:p>
      <w:pPr>
        <w:snapToGrid w:val="0"/>
        <w:spacing w:line="360" w:lineRule="auto"/>
        <w:ind w:firstLine="640" w:firstLineChars="200"/>
        <w:rPr>
          <w:rFonts w:hint="eastAsia" w:ascii="楷体_GB2312" w:eastAsia="楷体_GB2312"/>
          <w:color w:val="auto"/>
          <w:sz w:val="32"/>
          <w:lang w:eastAsia="zh-CN"/>
        </w:rPr>
      </w:pPr>
      <w:r>
        <w:rPr>
          <w:rFonts w:hint="eastAsia" w:ascii="楷体_GB2312" w:eastAsia="楷体_GB2312"/>
          <w:color w:val="auto"/>
          <w:sz w:val="32"/>
        </w:rPr>
        <w:t>估价报告出具日期：</w:t>
      </w:r>
      <w:r>
        <w:rPr>
          <w:rFonts w:hint="eastAsia" w:ascii="楷体_GB2312" w:eastAsia="楷体_GB2312"/>
          <w:color w:val="auto"/>
          <w:sz w:val="32"/>
          <w:lang w:eastAsia="zh-CN"/>
        </w:rPr>
        <w:t>2021年9月22日</w:t>
      </w:r>
    </w:p>
    <w:p>
      <w:pPr>
        <w:adjustRightInd w:val="0"/>
        <w:snapToGrid w:val="0"/>
        <w:spacing w:line="600" w:lineRule="exact"/>
        <w:ind w:firstLine="3520" w:firstLineChars="1100"/>
        <w:jc w:val="both"/>
        <w:rPr>
          <w:rFonts w:ascii="黑体" w:hAnsi="黑体" w:eastAsia="黑体"/>
          <w:color w:val="000000" w:themeColor="text1"/>
          <w:sz w:val="32"/>
          <w:szCs w:val="32"/>
          <w14:textFill>
            <w14:solidFill>
              <w14:schemeClr w14:val="tx1"/>
            </w14:solidFill>
          </w14:textFill>
        </w:rPr>
      </w:pPr>
      <w:bookmarkStart w:id="0" w:name="_Toc436741742"/>
      <w:bookmarkStart w:id="1" w:name="_Toc27057"/>
      <w:bookmarkStart w:id="2" w:name="_Toc29259"/>
      <w:bookmarkStart w:id="3" w:name="_Toc26772"/>
      <w:bookmarkStart w:id="4" w:name="_Toc20612"/>
      <w:bookmarkStart w:id="5" w:name="_Toc11704"/>
      <w:bookmarkStart w:id="6" w:name="_Toc436741976"/>
      <w:bookmarkStart w:id="7" w:name="_Toc482259833"/>
      <w:bookmarkStart w:id="8" w:name="_Toc436744493"/>
      <w:bookmarkStart w:id="9" w:name="_Toc436741939"/>
      <w:bookmarkStart w:id="10" w:name="_Toc437265323"/>
      <w:bookmarkStart w:id="11" w:name="_Toc482259877"/>
      <w:bookmarkStart w:id="12" w:name="_Toc29166"/>
      <w:bookmarkStart w:id="13" w:name="_Toc436741900"/>
      <w:r>
        <w:rPr>
          <w:rFonts w:hint="eastAsia" w:ascii="黑体" w:hAnsi="黑体" w:eastAsia="黑体"/>
          <w:color w:val="000000" w:themeColor="text1"/>
          <w:sz w:val="32"/>
          <w:szCs w:val="32"/>
          <w14:textFill>
            <w14:solidFill>
              <w14:schemeClr w14:val="tx1"/>
            </w14:solidFill>
          </w14:textFill>
        </w:rPr>
        <w:t>致估价委托人的函</w:t>
      </w:r>
      <w:bookmarkEnd w:id="0"/>
      <w:bookmarkEnd w:id="1"/>
      <w:bookmarkEnd w:id="2"/>
      <w:bookmarkEnd w:id="3"/>
      <w:bookmarkEnd w:id="4"/>
      <w:bookmarkEnd w:id="5"/>
      <w:bookmarkEnd w:id="6"/>
      <w:bookmarkEnd w:id="7"/>
      <w:bookmarkEnd w:id="8"/>
      <w:bookmarkEnd w:id="9"/>
      <w:bookmarkEnd w:id="10"/>
      <w:bookmarkEnd w:id="11"/>
      <w:bookmarkEnd w:id="12"/>
      <w:bookmarkEnd w:id="13"/>
    </w:p>
    <w:p>
      <w:pPr>
        <w:adjustRightInd w:val="0"/>
        <w:snapToGrid w:val="0"/>
        <w:spacing w:line="600" w:lineRule="exact"/>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lang w:val="en-US" w:eastAsia="zh-CN"/>
          <w14:textFill>
            <w14:solidFill>
              <w14:schemeClr w14:val="tx1"/>
            </w14:solidFill>
          </w14:textFill>
        </w:rPr>
        <w:t>四川省成都市中级人民法院</w:t>
      </w:r>
      <w:r>
        <w:rPr>
          <w:rFonts w:hint="eastAsia" w:ascii="仿宋_GB2312" w:eastAsia="仿宋_GB2312"/>
          <w:color w:val="000000" w:themeColor="text1"/>
          <w14:textFill>
            <w14:solidFill>
              <w14:schemeClr w14:val="tx1"/>
            </w14:solidFill>
          </w14:textFill>
        </w:rPr>
        <w:t>：</w:t>
      </w:r>
    </w:p>
    <w:p>
      <w:pPr>
        <w:pStyle w:val="15"/>
        <w:adjustRightInd w:val="0"/>
        <w:snapToGrid w:val="0"/>
        <w:spacing w:line="6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受贵院委托，本估价机构秉着独立、客观、公正、科学的原则，对</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2021</w:t>
      </w:r>
      <w:r>
        <w:rPr>
          <w:rFonts w:hint="eastAsia"/>
          <w:color w:val="000000" w:themeColor="text1"/>
          <w:lang w:eastAsia="zh-CN"/>
          <w14:textFill>
            <w14:solidFill>
              <w14:schemeClr w14:val="tx1"/>
            </w14:solidFill>
          </w14:textFill>
        </w:rPr>
        <w:t>）川</w:t>
      </w:r>
      <w:r>
        <w:rPr>
          <w:rFonts w:hint="eastAsia"/>
          <w:color w:val="000000" w:themeColor="text1"/>
          <w:lang w:val="en-US" w:eastAsia="zh-CN"/>
          <w14:textFill>
            <w14:solidFill>
              <w14:schemeClr w14:val="tx1"/>
            </w14:solidFill>
          </w14:textFill>
        </w:rPr>
        <w:t>01执恢253号案</w:t>
      </w:r>
      <w:r>
        <w:rPr>
          <w:rFonts w:hint="eastAsia"/>
          <w:color w:val="000000" w:themeColor="text1"/>
          <w14:textFill>
            <w14:solidFill>
              <w14:schemeClr w14:val="tx1"/>
            </w14:solidFill>
          </w14:textFill>
        </w:rPr>
        <w:t>涉及</w:t>
      </w:r>
      <w:r>
        <w:rPr>
          <w:rFonts w:hint="eastAsia"/>
          <w:color w:val="000000" w:themeColor="text1"/>
          <w:lang w:eastAsia="zh-CN"/>
          <w14:textFill>
            <w14:solidFill>
              <w14:schemeClr w14:val="tx1"/>
            </w14:solidFill>
          </w14:textFill>
        </w:rPr>
        <w:t>四川平扬房地产开发有限公司</w:t>
      </w:r>
      <w:r>
        <w:rPr>
          <w:rFonts w:hint="eastAsia"/>
          <w:color w:val="000000" w:themeColor="text1"/>
          <w14:textFill>
            <w14:solidFill>
              <w14:schemeClr w14:val="tx1"/>
            </w14:solidFill>
          </w14:textFill>
        </w:rPr>
        <w:t>位于</w:t>
      </w:r>
      <w:r>
        <w:rPr>
          <w:rFonts w:hint="eastAsia"/>
          <w:color w:val="000000" w:themeColor="text1"/>
          <w:lang w:eastAsia="zh-CN"/>
          <w14:textFill>
            <w14:solidFill>
              <w14:schemeClr w14:val="tx1"/>
            </w14:solidFill>
          </w14:textFill>
        </w:rPr>
        <w:t>自贡市沿滩区沿滩新城板南大道街122号龙湖金帝广场</w:t>
      </w:r>
      <w:r>
        <w:rPr>
          <w:rFonts w:hint="eastAsia"/>
          <w:color w:val="000000" w:themeColor="text1"/>
          <w14:textFill>
            <w14:solidFill>
              <w14:schemeClr w14:val="tx1"/>
            </w14:solidFill>
          </w14:textFill>
        </w:rPr>
        <w:t>的</w:t>
      </w:r>
      <w:r>
        <w:rPr>
          <w:rFonts w:hint="eastAsia"/>
          <w:color w:val="000000" w:themeColor="text1"/>
          <w:lang w:eastAsia="zh-CN"/>
          <w14:textFill>
            <w14:solidFill>
              <w14:schemeClr w14:val="tx1"/>
            </w14:solidFill>
          </w14:textFill>
        </w:rPr>
        <w:t>车库及仓储用房地产</w:t>
      </w:r>
      <w:r>
        <w:rPr>
          <w:rFonts w:hint="eastAsia"/>
          <w:color w:val="000000" w:themeColor="text1"/>
          <w14:textFill>
            <w14:solidFill>
              <w14:schemeClr w14:val="tx1"/>
            </w14:solidFill>
          </w14:textFill>
        </w:rPr>
        <w:t>进行市场价值评估。其基本情况如下：</w:t>
      </w:r>
    </w:p>
    <w:p>
      <w:pPr>
        <w:pStyle w:val="15"/>
        <w:numPr>
          <w:ilvl w:val="0"/>
          <w:numId w:val="2"/>
        </w:numPr>
        <w:adjustRightInd w:val="0"/>
        <w:snapToGrid w:val="0"/>
        <w:spacing w:line="6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估价目的：</w:t>
      </w:r>
    </w:p>
    <w:p>
      <w:pPr>
        <w:pStyle w:val="15"/>
        <w:adjustRightInd w:val="0"/>
        <w:snapToGrid w:val="0"/>
        <w:spacing w:line="600" w:lineRule="exact"/>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rFonts w:hint="eastAsia" w:ascii="宋体" w:hAnsi="宋体"/>
          <w:color w:val="000000" w:themeColor="text1"/>
          <w:sz w:val="28"/>
          <w:szCs w:val="28"/>
          <w:lang w:eastAsia="zh-CN"/>
          <w14:textFill>
            <w14:solidFill>
              <w14:schemeClr w14:val="tx1"/>
            </w14:solidFill>
          </w14:textFill>
        </w:rPr>
        <w:t>为人民法院确定财产处置参考价提供参考依据</w:t>
      </w:r>
      <w:r>
        <w:rPr>
          <w:rFonts w:hint="eastAsia" w:hAnsi="华文细黑"/>
          <w:color w:val="000000" w:themeColor="text1"/>
          <w14:textFill>
            <w14:solidFill>
              <w14:schemeClr w14:val="tx1"/>
            </w14:solidFill>
          </w14:textFill>
        </w:rPr>
        <w:t>。</w:t>
      </w:r>
      <w:r>
        <w:rPr>
          <w:rFonts w:hint="eastAsia"/>
          <w:color w:val="000000" w:themeColor="text1"/>
          <w14:textFill>
            <w14:solidFill>
              <w14:schemeClr w14:val="tx1"/>
            </w14:solidFill>
          </w14:textFill>
        </w:rPr>
        <w:t xml:space="preserve"> </w:t>
      </w:r>
    </w:p>
    <w:p>
      <w:pPr>
        <w:pStyle w:val="15"/>
        <w:numPr>
          <w:ilvl w:val="0"/>
          <w:numId w:val="2"/>
        </w:numPr>
        <w:adjustRightInd w:val="0"/>
        <w:snapToGrid w:val="0"/>
        <w:spacing w:line="6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估价对象：</w:t>
      </w:r>
    </w:p>
    <w:p>
      <w:pPr>
        <w:pStyle w:val="15"/>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560" w:firstLineChars="200"/>
        <w:textAlignment w:val="auto"/>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估价对象</w:t>
      </w:r>
      <w:r>
        <w:rPr>
          <w:rFonts w:hint="eastAsia"/>
          <w:color w:val="000000" w:themeColor="text1"/>
          <w:lang w:val="en-US" w:eastAsia="zh-CN"/>
          <w14:textFill>
            <w14:solidFill>
              <w14:schemeClr w14:val="tx1"/>
            </w14:solidFill>
          </w14:textFill>
        </w:rPr>
        <w:t>1为四川平扬房地产开发有限公司位于自贡市沿滩区沿滩新城板南大道街122号龙湖金帝广场1栋-1层、夹层、-2层建筑面积共计14057平方米的车库用房地产（详见附件车库未售清单明细表）</w:t>
      </w:r>
      <w:r>
        <w:rPr>
          <w:rFonts w:hint="eastAsia"/>
          <w:color w:val="000000" w:themeColor="text1"/>
          <w:lang w:eastAsia="zh-CN"/>
          <w14:textFill>
            <w14:solidFill>
              <w14:schemeClr w14:val="tx1"/>
            </w14:solidFill>
          </w14:textFill>
        </w:rPr>
        <w:t>。</w:t>
      </w:r>
    </w:p>
    <w:p>
      <w:pPr>
        <w:pStyle w:val="15"/>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560" w:firstLineChars="200"/>
        <w:textAlignment w:val="auto"/>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估价对象</w:t>
      </w:r>
      <w:r>
        <w:rPr>
          <w:rFonts w:hint="eastAsia"/>
          <w:color w:val="000000" w:themeColor="text1"/>
          <w:lang w:val="en-US" w:eastAsia="zh-CN"/>
          <w14:textFill>
            <w14:solidFill>
              <w14:schemeClr w14:val="tx1"/>
            </w14:solidFill>
          </w14:textFill>
        </w:rPr>
        <w:t>2为四川平扬房地产开发有限公司位于自贡市沿滩区沿滩新城板南大道街122号龙湖金帝广场1栋地下-1层、夹层、-2层及地上第3层、4层建筑面积共计311.28平方米的仓储用房地产</w:t>
      </w:r>
      <w:r>
        <w:rPr>
          <w:rFonts w:hint="eastAsia"/>
          <w:color w:val="000000" w:themeColor="text1"/>
          <w:lang w:eastAsia="zh-CN"/>
          <w14:textFill>
            <w14:solidFill>
              <w14:schemeClr w14:val="tx1"/>
            </w14:solidFill>
          </w14:textFill>
        </w:rPr>
        <w:t>。</w:t>
      </w:r>
    </w:p>
    <w:p>
      <w:pPr>
        <w:numPr>
          <w:ilvl w:val="0"/>
          <w:numId w:val="2"/>
        </w:numPr>
        <w:adjustRightInd w:val="0"/>
        <w:snapToGrid w:val="0"/>
        <w:spacing w:line="600" w:lineRule="exact"/>
        <w:ind w:firstLine="560"/>
        <w:rPr>
          <w:rStyle w:val="28"/>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价值时点：</w:t>
      </w:r>
      <w:r>
        <w:rPr>
          <w:rFonts w:hint="eastAsia" w:ascii="仿宋_GB2312" w:eastAsia="仿宋_GB2312"/>
          <w:color w:val="000000" w:themeColor="text1"/>
          <w:lang w:val="en-US" w:eastAsia="zh-CN"/>
          <w14:textFill>
            <w14:solidFill>
              <w14:schemeClr w14:val="tx1"/>
            </w14:solidFill>
          </w14:textFill>
        </w:rPr>
        <w:t>2021年3月25日</w:t>
      </w:r>
      <w:r>
        <w:rPr>
          <w:rStyle w:val="28"/>
          <w:rFonts w:hint="eastAsia"/>
          <w:color w:val="000000" w:themeColor="text1"/>
          <w14:textFill>
            <w14:solidFill>
              <w14:schemeClr w14:val="tx1"/>
            </w14:solidFill>
          </w14:textFill>
        </w:rPr>
        <w:t>。</w:t>
      </w:r>
    </w:p>
    <w:p>
      <w:pPr>
        <w:numPr>
          <w:ilvl w:val="0"/>
          <w:numId w:val="2"/>
        </w:numPr>
        <w:adjustRightInd w:val="0"/>
        <w:snapToGrid w:val="0"/>
        <w:spacing w:line="600" w:lineRule="exact"/>
        <w:ind w:firstLine="560"/>
        <w:rPr>
          <w:rStyle w:val="28"/>
          <w:color w:val="000000" w:themeColor="text1"/>
          <w14:textFill>
            <w14:solidFill>
              <w14:schemeClr w14:val="tx1"/>
            </w14:solidFill>
          </w14:textFill>
        </w:rPr>
      </w:pPr>
      <w:r>
        <w:rPr>
          <w:rStyle w:val="28"/>
          <w:rFonts w:hint="eastAsia" w:ascii="仿宋_GB2312"/>
          <w:color w:val="000000" w:themeColor="text1"/>
          <w14:textFill>
            <w14:solidFill>
              <w14:schemeClr w14:val="tx1"/>
            </w14:solidFill>
          </w14:textFill>
        </w:rPr>
        <w:t>价值类型：房地产市场价值。</w:t>
      </w:r>
    </w:p>
    <w:p>
      <w:pPr>
        <w:numPr>
          <w:ilvl w:val="0"/>
          <w:numId w:val="2"/>
        </w:numPr>
        <w:adjustRightInd w:val="0"/>
        <w:snapToGrid w:val="0"/>
        <w:spacing w:line="600" w:lineRule="exact"/>
        <w:ind w:firstLine="56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估价方法：</w:t>
      </w:r>
      <w:r>
        <w:rPr>
          <w:rFonts w:hint="eastAsia" w:ascii="仿宋_GB2312" w:eastAsia="仿宋_GB2312"/>
          <w:color w:val="000000" w:themeColor="text1"/>
          <w:lang w:eastAsia="zh-CN"/>
          <w14:textFill>
            <w14:solidFill>
              <w14:schemeClr w14:val="tx1"/>
            </w14:solidFill>
          </w14:textFill>
        </w:rPr>
        <w:t>估价对象</w:t>
      </w:r>
      <w:r>
        <w:rPr>
          <w:rFonts w:hint="eastAsia" w:ascii="仿宋_GB2312" w:eastAsia="仿宋_GB2312"/>
          <w:color w:val="000000" w:themeColor="text1"/>
          <w:lang w:val="en-US" w:eastAsia="zh-CN"/>
          <w14:textFill>
            <w14:solidFill>
              <w14:schemeClr w14:val="tx1"/>
            </w14:solidFill>
          </w14:textFill>
        </w:rPr>
        <w:t>1（车库）采用比较法，估价对象2（仓储）采用收益法。</w:t>
      </w:r>
    </w:p>
    <w:p>
      <w:pPr>
        <w:numPr>
          <w:ilvl w:val="0"/>
          <w:numId w:val="2"/>
        </w:numPr>
        <w:adjustRightInd w:val="0"/>
        <w:snapToGrid w:val="0"/>
        <w:spacing w:line="600" w:lineRule="exact"/>
        <w:ind w:firstLine="56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估价结果：</w:t>
      </w:r>
    </w:p>
    <w:p>
      <w:pPr>
        <w:keepNext w:val="0"/>
        <w:keepLines w:val="0"/>
        <w:pageBreakBefore w:val="0"/>
        <w:widowControl w:val="0"/>
        <w:numPr>
          <w:ilvl w:val="0"/>
          <w:numId w:val="3"/>
        </w:numPr>
        <w:kinsoku/>
        <w:wordWrap/>
        <w:overflowPunct/>
        <w:topLinePunct w:val="0"/>
        <w:autoSpaceDE/>
        <w:autoSpaceDN/>
        <w:bidi w:val="0"/>
        <w:adjustRightInd w:val="0"/>
        <w:snapToGrid w:val="0"/>
        <w:spacing w:line="600" w:lineRule="exact"/>
        <w:ind w:firstLine="560" w:firstLineChars="200"/>
        <w:textAlignment w:val="auto"/>
        <w:rPr>
          <w:rFonts w:hint="eastAsia" w:ascii="仿宋_GB2312" w:eastAsia="仿宋_GB2312"/>
          <w:color w:val="000000" w:themeColor="text1"/>
          <w:lang w:val="en-US" w:eastAsia="zh-CN"/>
          <w14:textFill>
            <w14:solidFill>
              <w14:schemeClr w14:val="tx1"/>
            </w14:solidFill>
          </w14:textFill>
        </w:rPr>
      </w:pPr>
      <w:r>
        <w:rPr>
          <w:rFonts w:hint="eastAsia" w:ascii="仿宋_GB2312" w:eastAsia="仿宋_GB2312"/>
          <w:color w:val="000000" w:themeColor="text1"/>
          <w:lang w:eastAsia="zh-CN"/>
          <w14:textFill>
            <w14:solidFill>
              <w14:schemeClr w14:val="tx1"/>
            </w14:solidFill>
          </w14:textFill>
        </w:rPr>
        <w:t>估价对象</w:t>
      </w:r>
      <w:r>
        <w:rPr>
          <w:rFonts w:hint="eastAsia" w:ascii="仿宋_GB2312" w:eastAsia="仿宋_GB2312"/>
          <w:color w:val="000000" w:themeColor="text1"/>
          <w:lang w:val="en-US" w:eastAsia="zh-CN"/>
          <w14:textFill>
            <w14:solidFill>
              <w14:schemeClr w14:val="tx1"/>
            </w14:solidFill>
          </w14:textFill>
        </w:rPr>
        <w:t>1</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center"/>
        <w:textAlignment w:val="auto"/>
        <w:rPr>
          <w:rFonts w:hint="eastAsia" w:ascii="仿宋_GB2312" w:eastAsia="仿宋_GB2312"/>
          <w:color w:val="000000" w:themeColor="text1"/>
          <w:lang w:val="en-US" w:eastAsia="zh-CN"/>
          <w14:textFill>
            <w14:solidFill>
              <w14:schemeClr w14:val="tx1"/>
            </w14:solidFill>
          </w14:textFill>
        </w:rPr>
      </w:pPr>
      <w:r>
        <w:rPr>
          <w:rFonts w:hint="eastAsia" w:ascii="仿宋_GB2312" w:eastAsia="仿宋_GB2312"/>
          <w:color w:val="000000" w:themeColor="text1"/>
          <w:lang w:val="en-US" w:eastAsia="zh-CN"/>
          <w14:textFill>
            <w14:solidFill>
              <w14:schemeClr w14:val="tx1"/>
            </w14:solidFill>
          </w14:textFill>
        </w:rPr>
        <w:t>龙湖金地广场车库估价结论一览表</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line="600" w:lineRule="exact"/>
        <w:jc w:val="right"/>
        <w:textAlignment w:val="auto"/>
        <w:rPr>
          <w:rFonts w:hint="default" w:ascii="仿宋_GB2312" w:eastAsia="仿宋_GB2312"/>
          <w:color w:val="000000" w:themeColor="text1"/>
          <w:sz w:val="18"/>
          <w:szCs w:val="18"/>
          <w:lang w:val="en-US" w:eastAsia="zh-CN"/>
          <w14:textFill>
            <w14:solidFill>
              <w14:schemeClr w14:val="tx1"/>
            </w14:solidFill>
          </w14:textFill>
        </w:rPr>
      </w:pPr>
      <w:r>
        <w:rPr>
          <w:rFonts w:hint="eastAsia" w:ascii="仿宋_GB2312" w:eastAsia="仿宋_GB2312"/>
          <w:color w:val="000000" w:themeColor="text1"/>
          <w:sz w:val="18"/>
          <w:szCs w:val="18"/>
          <w:lang w:val="en-US" w:eastAsia="zh-CN"/>
          <w14:textFill>
            <w14:solidFill>
              <w14:schemeClr w14:val="tx1"/>
            </w14:solidFill>
          </w14:textFill>
        </w:rPr>
        <w:t>金额单位：人民币元</w:t>
      </w:r>
    </w:p>
    <w:tbl>
      <w:tblPr>
        <w:tblStyle w:val="24"/>
        <w:tblW w:w="101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15"/>
        <w:gridCol w:w="2049"/>
        <w:gridCol w:w="3200"/>
        <w:gridCol w:w="625"/>
        <w:gridCol w:w="1038"/>
        <w:gridCol w:w="737"/>
        <w:gridCol w:w="9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80" w:hRule="atLeast"/>
        </w:trPr>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不动产登记编号</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权利人</w:t>
            </w:r>
          </w:p>
        </w:tc>
        <w:tc>
          <w:tcPr>
            <w:tcW w:w="3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坐落</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用途</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单价</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（元/个）</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数量</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总价</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60" w:hRule="atLeast"/>
        </w:trPr>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20170026456</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四川平扬房地产开发有限公司</w:t>
            </w:r>
          </w:p>
        </w:tc>
        <w:tc>
          <w:tcPr>
            <w:tcW w:w="3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沿滩区沿滩新城板南大道街122号龙湖金帝广场1栋（地下部分）车库01号</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车库</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24600</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60" w:hRule="atLeast"/>
        </w:trPr>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20170026466</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四川平扬房地产开发有限公司</w:t>
            </w:r>
          </w:p>
        </w:tc>
        <w:tc>
          <w:tcPr>
            <w:tcW w:w="3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沿滩区沿滩新城板南大道街122号龙湖金帝广场1栋（地下部分）车库03（夹层）号</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车库</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28700</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20170026455</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四川平扬房地产开发有限公司</w:t>
            </w:r>
          </w:p>
        </w:tc>
        <w:tc>
          <w:tcPr>
            <w:tcW w:w="3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沿滩区沿滩新城板南大道街122号龙湖金帝广场1栋（地下部分）车库02号</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车库</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41000</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80" w:hRule="atLeast"/>
        </w:trPr>
        <w:tc>
          <w:tcPr>
            <w:tcW w:w="67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288</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824.92</w:t>
            </w:r>
          </w:p>
        </w:tc>
      </w:tr>
    </w:tbl>
    <w:p>
      <w:pPr>
        <w:numPr>
          <w:ilvl w:val="0"/>
          <w:numId w:val="4"/>
        </w:numPr>
        <w:adjustRightInd w:val="0"/>
        <w:snapToGrid w:val="0"/>
        <w:spacing w:line="600" w:lineRule="exact"/>
        <w:ind w:firstLine="560"/>
        <w:rPr>
          <w:rFonts w:hint="eastAsia" w:ascii="仿宋_GB2312" w:eastAsia="仿宋_GB2312"/>
          <w:color w:val="000000" w:themeColor="text1"/>
          <w:lang w:val="en-US" w:eastAsia="zh-CN"/>
          <w14:textFill>
            <w14:solidFill>
              <w14:schemeClr w14:val="tx1"/>
            </w14:solidFill>
          </w14:textFill>
        </w:rPr>
      </w:pPr>
      <w:r>
        <w:rPr>
          <w:rFonts w:hint="eastAsia" w:ascii="仿宋_GB2312" w:eastAsia="仿宋_GB2312"/>
          <w:color w:val="000000" w:themeColor="text1"/>
          <w:lang w:eastAsia="zh-CN"/>
          <w14:textFill>
            <w14:solidFill>
              <w14:schemeClr w14:val="tx1"/>
            </w14:solidFill>
          </w14:textFill>
        </w:rPr>
        <w:t>估价对象</w:t>
      </w:r>
      <w:r>
        <w:rPr>
          <w:rFonts w:hint="eastAsia" w:ascii="仿宋_GB2312" w:eastAsia="仿宋_GB2312"/>
          <w:color w:val="000000" w:themeColor="text1"/>
          <w:lang w:val="en-US" w:eastAsia="zh-CN"/>
          <w14:textFill>
            <w14:solidFill>
              <w14:schemeClr w14:val="tx1"/>
            </w14:solidFill>
          </w14:textFill>
        </w:rPr>
        <w:t>2</w:t>
      </w:r>
    </w:p>
    <w:p>
      <w:pPr>
        <w:numPr>
          <w:ilvl w:val="0"/>
          <w:numId w:val="0"/>
        </w:numPr>
        <w:adjustRightInd w:val="0"/>
        <w:snapToGrid w:val="0"/>
        <w:spacing w:line="600" w:lineRule="exact"/>
        <w:jc w:val="center"/>
        <w:rPr>
          <w:rFonts w:hint="eastAsia" w:ascii="仿宋_GB2312" w:eastAsia="仿宋_GB2312"/>
          <w:color w:val="000000" w:themeColor="text1"/>
          <w:lang w:val="en-US" w:eastAsia="zh-CN"/>
          <w14:textFill>
            <w14:solidFill>
              <w14:schemeClr w14:val="tx1"/>
            </w14:solidFill>
          </w14:textFill>
        </w:rPr>
      </w:pPr>
      <w:r>
        <w:rPr>
          <w:rFonts w:hint="eastAsia" w:ascii="仿宋_GB2312" w:eastAsia="仿宋_GB2312"/>
          <w:color w:val="000000" w:themeColor="text1"/>
          <w:lang w:val="en-US" w:eastAsia="zh-CN"/>
          <w14:textFill>
            <w14:solidFill>
              <w14:schemeClr w14:val="tx1"/>
            </w14:solidFill>
          </w14:textFill>
        </w:rPr>
        <w:t>龙湖金地广场无类储藏室估价结论一览表</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line="600" w:lineRule="exact"/>
        <w:jc w:val="right"/>
        <w:textAlignment w:val="auto"/>
        <w:rPr>
          <w:rFonts w:hint="default" w:ascii="仿宋_GB2312" w:eastAsia="仿宋_GB2312"/>
          <w:color w:val="000000" w:themeColor="text1"/>
          <w:sz w:val="18"/>
          <w:szCs w:val="18"/>
          <w:lang w:val="en-US" w:eastAsia="zh-CN"/>
          <w14:textFill>
            <w14:solidFill>
              <w14:schemeClr w14:val="tx1"/>
            </w14:solidFill>
          </w14:textFill>
        </w:rPr>
      </w:pPr>
      <w:r>
        <w:rPr>
          <w:rFonts w:hint="eastAsia" w:ascii="仿宋_GB2312" w:eastAsia="仿宋_GB2312"/>
          <w:color w:val="000000" w:themeColor="text1"/>
          <w:sz w:val="18"/>
          <w:szCs w:val="18"/>
          <w:lang w:val="en-US" w:eastAsia="zh-CN"/>
          <w14:textFill>
            <w14:solidFill>
              <w14:schemeClr w14:val="tx1"/>
            </w14:solidFill>
          </w14:textFill>
        </w:rPr>
        <w:t>金额单位：人民币元</w:t>
      </w:r>
    </w:p>
    <w:tbl>
      <w:tblPr>
        <w:tblStyle w:val="24"/>
        <w:tblW w:w="101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15"/>
        <w:gridCol w:w="1080"/>
        <w:gridCol w:w="2235"/>
        <w:gridCol w:w="1080"/>
        <w:gridCol w:w="1575"/>
        <w:gridCol w:w="1080"/>
        <w:gridCol w:w="1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80" w:hRule="atLeast"/>
        </w:trPr>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不动产登记编号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权利人</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坐落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建筑面积（㎡）</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用途</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单价（元/㎡）</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总价（万元）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60" w:hRule="atLeast"/>
        </w:trPr>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20170026470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四川平扬房地产开发有限公司</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沿滩区沿滩新城板南大道街122号龙湖金帝广场1栋（地下部分）戊类储藏室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267.18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仓储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2300</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60" w:hRule="atLeast"/>
        </w:trPr>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20170026417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四川平扬房地产开发有限公司</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沿滩区沿滩新城板南大道街122号龙湖金帝广场1栋（地上部分）戊类储藏室1号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仓储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3080</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20170026444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四川平扬房地产开发有限公司</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沿滩区沿滩新城板南大道街122号龙湖金帝广场1栋（地上部分）戊类储藏室2号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仓储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3080</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40" w:hRule="atLeast"/>
        </w:trPr>
        <w:tc>
          <w:tcPr>
            <w:tcW w:w="48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311.28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75.03</w:t>
            </w:r>
          </w:p>
        </w:tc>
      </w:tr>
    </w:tbl>
    <w:p>
      <w:pPr>
        <w:keepNext w:val="0"/>
        <w:keepLines w:val="0"/>
        <w:pageBreakBefore w:val="0"/>
        <w:widowControl w:val="0"/>
        <w:kinsoku/>
        <w:wordWrap/>
        <w:overflowPunct/>
        <w:topLinePunct w:val="0"/>
        <w:autoSpaceDE/>
        <w:autoSpaceDN/>
        <w:bidi w:val="0"/>
        <w:adjustRightInd w:val="0"/>
        <w:snapToGrid w:val="0"/>
        <w:spacing w:line="460" w:lineRule="exact"/>
        <w:ind w:left="560"/>
        <w:textAlignment w:val="auto"/>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评估总</w:t>
      </w:r>
      <w:r>
        <w:rPr>
          <w:rFonts w:hint="eastAsia" w:ascii="仿宋_GB2312" w:eastAsia="仿宋_GB2312"/>
          <w:color w:val="000000" w:themeColor="text1"/>
          <w:lang w:val="en-US" w:eastAsia="zh-CN"/>
          <w14:textFill>
            <w14:solidFill>
              <w14:schemeClr w14:val="tx1"/>
            </w14:solidFill>
          </w14:textFill>
        </w:rPr>
        <w:t>额</w:t>
      </w:r>
      <w:r>
        <w:rPr>
          <w:rFonts w:hint="eastAsia" w:ascii="仿宋_GB2312" w:eastAsia="仿宋_GB2312"/>
          <w:color w:val="000000" w:themeColor="text1"/>
          <w14:textFill>
            <w14:solidFill>
              <w14:schemeClr w14:val="tx1"/>
            </w14:solidFill>
          </w14:textFill>
        </w:rPr>
        <w:t>：</w:t>
      </w:r>
      <w:r>
        <w:rPr>
          <w:rFonts w:hint="eastAsia" w:ascii="仿宋_GB2312" w:eastAsia="仿宋_GB2312"/>
          <w:color w:val="000000" w:themeColor="text1"/>
          <w:lang w:eastAsia="zh-CN"/>
          <w14:textFill>
            <w14:solidFill>
              <w14:schemeClr w14:val="tx1"/>
            </w14:solidFill>
          </w14:textFill>
        </w:rPr>
        <w:t>估价对象</w:t>
      </w:r>
      <w:r>
        <w:rPr>
          <w:rFonts w:hint="eastAsia" w:ascii="仿宋_GB2312" w:eastAsia="仿宋_GB2312"/>
          <w:color w:val="000000" w:themeColor="text1"/>
          <w:lang w:val="en-US" w:eastAsia="zh-CN"/>
          <w14:textFill>
            <w14:solidFill>
              <w14:schemeClr w14:val="tx1"/>
            </w14:solidFill>
          </w14:textFill>
        </w:rPr>
        <w:t>1+估价对象2=824.92+75.03=899.95</w:t>
      </w:r>
      <w:r>
        <w:rPr>
          <w:rFonts w:hint="eastAsia" w:ascii="仿宋_GB2312" w:eastAsia="仿宋_GB2312"/>
          <w:color w:val="000000" w:themeColor="text1"/>
          <w14:textFill>
            <w14:solidFill>
              <w14:schemeClr w14:val="tx1"/>
            </w14:solidFill>
          </w14:textFill>
        </w:rPr>
        <w:t>万元</w:t>
      </w:r>
    </w:p>
    <w:p>
      <w:pPr>
        <w:adjustRightInd w:val="0"/>
        <w:snapToGrid w:val="0"/>
        <w:spacing w:line="600" w:lineRule="exact"/>
        <w:ind w:firstLine="560"/>
        <w:rPr>
          <w:rFonts w:hint="default" w:ascii="仿宋_GB2312" w:eastAsia="仿宋_GB2312"/>
          <w:color w:val="000000" w:themeColor="text1"/>
          <w:lang w:val="en-US" w:eastAsia="zh-CN"/>
          <w14:textFill>
            <w14:solidFill>
              <w14:schemeClr w14:val="tx1"/>
            </w14:solidFill>
          </w14:textFill>
        </w:rPr>
      </w:pPr>
      <w:r>
        <w:rPr>
          <w:rFonts w:hint="eastAsia" w:ascii="仿宋_GB2312" w:eastAsia="仿宋_GB2312"/>
          <w:color w:val="000000" w:themeColor="text1"/>
          <w:lang w:val="en-US" w:eastAsia="zh-CN"/>
          <w14:textFill>
            <w14:solidFill>
              <w14:schemeClr w14:val="tx1"/>
            </w14:solidFill>
          </w14:textFill>
        </w:rPr>
        <w:t>人民币大写：捌佰玖拾玖万玖仟伍佰元整</w:t>
      </w:r>
    </w:p>
    <w:p>
      <w:pPr>
        <w:pStyle w:val="15"/>
        <w:adjustRightInd w:val="0"/>
        <w:snapToGrid w:val="0"/>
        <w:spacing w:line="600" w:lineRule="exact"/>
        <w:ind w:left="554" w:leftChars="198"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7、特别提示：</w:t>
      </w:r>
    </w:p>
    <w:p>
      <w:pPr>
        <w:pStyle w:val="15"/>
        <w:adjustRightInd w:val="0"/>
        <w:snapToGrid w:val="0"/>
        <w:spacing w:line="600" w:lineRule="exact"/>
        <w:ind w:firstLine="540"/>
        <w:rPr>
          <w:rFonts w:hint="eastAsia"/>
          <w:color w:val="000000" w:themeColor="text1"/>
          <w:szCs w:val="22"/>
          <w:lang w:val="en-US" w:eastAsia="zh-CN"/>
          <w14:textFill>
            <w14:solidFill>
              <w14:schemeClr w14:val="tx1"/>
            </w14:solidFill>
          </w14:textFill>
        </w:rPr>
      </w:pPr>
      <w:r>
        <w:rPr>
          <w:rFonts w:hint="eastAsia"/>
          <w:color w:val="000000" w:themeColor="text1"/>
          <w:szCs w:val="22"/>
          <w:lang w:val="en-US" w:eastAsia="zh-CN"/>
          <w14:textFill>
            <w14:solidFill>
              <w14:schemeClr w14:val="tx1"/>
            </w14:solidFill>
          </w14:textFill>
        </w:rPr>
        <w:t>（1）因本次评估为司法鉴定评估，根据《房地产估价规范》，司法鉴定评估中“评估价值的影响因素包括房地产的瑕疵，但不应包括拍卖房地产被查封及拍卖房地产上的原有担保物权和其他优先受偿权，”即可不考虑抵押、查封等因素的影响，本次评估未考虑上述因素对价值的影响，在此提醒报告使用者注意。</w:t>
      </w:r>
    </w:p>
    <w:p>
      <w:pPr>
        <w:pStyle w:val="15"/>
        <w:adjustRightInd w:val="0"/>
        <w:snapToGrid w:val="0"/>
        <w:spacing w:line="600" w:lineRule="exact"/>
        <w:ind w:firstLine="540"/>
        <w:rPr>
          <w:rFonts w:hint="eastAsia"/>
          <w:color w:val="000000" w:themeColor="text1"/>
          <w:szCs w:val="22"/>
          <w:lang w:val="en-US" w:eastAsia="zh-CN"/>
          <w14:textFill>
            <w14:solidFill>
              <w14:schemeClr w14:val="tx1"/>
            </w14:solidFill>
          </w14:textFill>
        </w:rPr>
      </w:pPr>
      <w:r>
        <w:rPr>
          <w:rFonts w:hint="eastAsia"/>
          <w:color w:val="000000" w:themeColor="text1"/>
          <w:szCs w:val="22"/>
          <w:lang w:val="en-US" w:eastAsia="zh-CN"/>
          <w14:textFill>
            <w14:solidFill>
              <w14:schemeClr w14:val="tx1"/>
            </w14:solidFill>
          </w14:textFill>
        </w:rPr>
        <w:t>（2）本次估价我们未考虑估价对象可能存在的租约、物业管理费、水电费等对房地产价值的影响。</w:t>
      </w:r>
    </w:p>
    <w:p>
      <w:pPr>
        <w:pStyle w:val="15"/>
        <w:adjustRightInd w:val="0"/>
        <w:snapToGrid w:val="0"/>
        <w:spacing w:line="600" w:lineRule="exact"/>
        <w:ind w:firstLine="540"/>
        <w:rPr>
          <w:rFonts w:hint="eastAsia"/>
          <w:color w:val="auto"/>
          <w:szCs w:val="22"/>
          <w:lang w:val="en-US" w:eastAsia="zh-CN"/>
        </w:rPr>
      </w:pPr>
      <w:r>
        <w:rPr>
          <w:rFonts w:hint="eastAsia"/>
          <w:color w:val="auto"/>
          <w:szCs w:val="22"/>
          <w:lang w:val="en-US" w:eastAsia="zh-CN"/>
        </w:rPr>
        <w:t>（3）因四川省成都市中级人民法院未书面明确评估对象交易税费负担方式，本估价报告未考虑估价对象处置（拍卖、变卖等）时发生的交易税费、转让手续费等对估价结果的影响，故估价结果为估价对象于估价期日的市场价格。</w:t>
      </w:r>
    </w:p>
    <w:p>
      <w:pPr>
        <w:pStyle w:val="15"/>
        <w:adjustRightInd w:val="0"/>
        <w:snapToGrid w:val="0"/>
        <w:spacing w:line="600" w:lineRule="exact"/>
        <w:ind w:firstLine="540"/>
        <w:rPr>
          <w:rFonts w:hint="eastAsia"/>
          <w:color w:val="000000" w:themeColor="text1"/>
          <w:szCs w:val="22"/>
          <w:lang w:val="en-US" w:eastAsia="zh-CN"/>
          <w14:textFill>
            <w14:solidFill>
              <w14:schemeClr w14:val="tx1"/>
            </w14:solidFill>
          </w14:textFill>
        </w:rPr>
      </w:pPr>
      <w:r>
        <w:rPr>
          <w:rFonts w:hint="eastAsia"/>
          <w:color w:val="000000" w:themeColor="text1"/>
          <w:szCs w:val="22"/>
          <w:lang w:val="en-US" w:eastAsia="zh-CN"/>
          <w14:textFill>
            <w14:solidFill>
              <w14:schemeClr w14:val="tx1"/>
            </w14:solidFill>
          </w14:textFill>
        </w:rPr>
        <w:t>（4）本报告自2021年9月22日至2022年9月21日止壹年内有效。</w:t>
      </w:r>
    </w:p>
    <w:p>
      <w:pPr>
        <w:pStyle w:val="15"/>
        <w:adjustRightInd w:val="0"/>
        <w:snapToGrid w:val="0"/>
        <w:spacing w:line="600" w:lineRule="exact"/>
        <w:ind w:left="0" w:leftChars="0" w:firstLine="560" w:firstLineChars="200"/>
        <w:rPr>
          <w:rFonts w:hint="eastAsia"/>
          <w:color w:val="000000" w:themeColor="text1"/>
          <w:szCs w:val="22"/>
          <w:lang w:eastAsia="zh-CN"/>
          <w14:textFill>
            <w14:solidFill>
              <w14:schemeClr w14:val="tx1"/>
            </w14:solidFill>
          </w14:textFill>
        </w:rPr>
      </w:pPr>
      <w:r>
        <w:rPr>
          <w:rFonts w:hint="eastAsia" w:ascii="仿宋_GB2312" w:eastAsia="仿宋_GB2312"/>
          <w:color w:val="000000" w:themeColor="text1"/>
          <w14:textFill>
            <w14:solidFill>
              <w14:schemeClr w14:val="tx1"/>
            </w14:solidFill>
          </w14:textFill>
        </w:rPr>
        <w:t>特此函告。</w:t>
      </w:r>
    </w:p>
    <w:p>
      <w:pPr>
        <w:pStyle w:val="15"/>
        <w:ind w:left="360" w:firstLine="0"/>
        <w:jc w:val="left"/>
        <w:rPr>
          <w:rFonts w:ascii="宋体" w:hAnsi="宋体" w:eastAsia="宋体"/>
          <w:color w:val="000000" w:themeColor="text1"/>
          <w:szCs w:val="28"/>
          <w14:textFill>
            <w14:solidFill>
              <w14:schemeClr w14:val="tx1"/>
            </w14:solidFill>
          </w14:textFill>
        </w:rPr>
      </w:pPr>
    </w:p>
    <w:p>
      <w:pPr>
        <w:pStyle w:val="15"/>
        <w:ind w:left="360" w:firstLine="0"/>
        <w:jc w:val="right"/>
        <w:rPr>
          <w:rFonts w:ascii="宋体" w:hAnsi="宋体" w:eastAsia="宋体"/>
          <w:color w:val="000000" w:themeColor="text1"/>
          <w:sz w:val="18"/>
          <w14:textFill>
            <w14:solidFill>
              <w14:schemeClr w14:val="tx1"/>
            </w14:solidFill>
          </w14:textFill>
        </w:rPr>
      </w:pPr>
    </w:p>
    <w:p>
      <w:pPr>
        <w:spacing w:beforeLines="50" w:line="360" w:lineRule="auto"/>
        <w:ind w:firstLine="560" w:firstLineChars="200"/>
        <w:rPr>
          <w:rFonts w:ascii="仿宋_GB2312" w:eastAsia="仿宋_GB2312"/>
          <w:color w:val="000000" w:themeColor="text1"/>
          <w14:textFill>
            <w14:solidFill>
              <w14:schemeClr w14:val="tx1"/>
            </w14:solidFill>
          </w14:textFill>
        </w:rPr>
      </w:pPr>
    </w:p>
    <w:p>
      <w:pPr>
        <w:snapToGrid w:val="0"/>
        <w:spacing w:line="360" w:lineRule="auto"/>
        <w:jc w:val="right"/>
        <w:rPr>
          <w:rFonts w:ascii="仿宋_GB2312" w:eastAsia="仿宋_GB2312"/>
          <w:color w:val="000000" w:themeColor="text1"/>
          <w:szCs w:val="28"/>
          <w14:textFill>
            <w14:solidFill>
              <w14:schemeClr w14:val="tx1"/>
            </w14:solidFill>
          </w14:textFill>
        </w:rPr>
      </w:pPr>
    </w:p>
    <w:p>
      <w:pPr>
        <w:snapToGrid w:val="0"/>
        <w:spacing w:line="360" w:lineRule="auto"/>
        <w:jc w:val="right"/>
        <w:rPr>
          <w:rFonts w:hint="eastAsia" w:ascii="仿宋_GB2312" w:eastAsia="仿宋_GB2312"/>
          <w:color w:val="000000" w:themeColor="text1"/>
          <w:szCs w:val="28"/>
          <w:lang w:eastAsia="zh-CN"/>
          <w14:textFill>
            <w14:solidFill>
              <w14:schemeClr w14:val="tx1"/>
            </w14:solidFill>
          </w14:textFill>
        </w:rPr>
      </w:pPr>
      <w:r>
        <w:rPr>
          <w:rFonts w:hint="eastAsia" w:ascii="仿宋_GB2312" w:eastAsia="仿宋_GB2312"/>
          <w:color w:val="000000" w:themeColor="text1"/>
          <w:szCs w:val="28"/>
          <w:lang w:eastAsia="zh-CN"/>
          <w14:textFill>
            <w14:solidFill>
              <w14:schemeClr w14:val="tx1"/>
            </w14:solidFill>
          </w14:textFill>
        </w:rPr>
        <w:t>四川吉祥房地产土地资产评估有限公司</w:t>
      </w:r>
    </w:p>
    <w:p>
      <w:pPr>
        <w:snapToGrid w:val="0"/>
        <w:spacing w:line="360" w:lineRule="auto"/>
        <w:ind w:right="560" w:firstLine="6580" w:firstLineChars="2350"/>
        <w:rPr>
          <w:rFonts w:ascii="仿宋_GB2312" w:eastAsia="仿宋_GB2312"/>
          <w:color w:val="000000" w:themeColor="text1"/>
          <w:szCs w:val="28"/>
          <w14:textFill>
            <w14:solidFill>
              <w14:schemeClr w14:val="tx1"/>
            </w14:solidFill>
          </w14:textFill>
        </w:rPr>
      </w:pPr>
      <w:r>
        <w:rPr>
          <w:rFonts w:hint="eastAsia" w:ascii="仿宋_GB2312" w:eastAsia="仿宋_GB2312"/>
          <w:color w:val="000000" w:themeColor="text1"/>
          <w:szCs w:val="28"/>
          <w14:textFill>
            <w14:solidFill>
              <w14:schemeClr w14:val="tx1"/>
            </w14:solidFill>
          </w14:textFill>
        </w:rPr>
        <w:t>法定代表人：</w:t>
      </w:r>
    </w:p>
    <w:p>
      <w:pPr>
        <w:snapToGrid w:val="0"/>
        <w:spacing w:line="360" w:lineRule="auto"/>
        <w:ind w:right="840"/>
        <w:jc w:val="center"/>
        <w:rPr>
          <w:rFonts w:hint="eastAsia" w:ascii="仿宋_GB2312" w:eastAsia="仿宋_GB2312"/>
          <w:color w:val="000000" w:themeColor="text1"/>
          <w:szCs w:val="28"/>
          <w:lang w:eastAsia="zh-CN"/>
          <w14:textFill>
            <w14:solidFill>
              <w14:schemeClr w14:val="tx1"/>
            </w14:solidFill>
          </w14:textFill>
        </w:rPr>
        <w:sectPr>
          <w:headerReference r:id="rId3" w:type="default"/>
          <w:footerReference r:id="rId4" w:type="default"/>
          <w:pgSz w:w="11906" w:h="16838"/>
          <w:pgMar w:top="1134" w:right="862" w:bottom="1134" w:left="1255" w:header="851" w:footer="992" w:gutter="0"/>
          <w:cols w:space="720" w:num="1"/>
          <w:docGrid w:type="linesAndChars" w:linePitch="312" w:charSpace="0"/>
        </w:sectPr>
      </w:pPr>
      <w:r>
        <w:rPr>
          <w:rFonts w:hint="eastAsia" w:ascii="仿宋_GB2312" w:eastAsia="仿宋_GB2312"/>
          <w:color w:val="000000" w:themeColor="text1"/>
          <w:szCs w:val="28"/>
          <w14:textFill>
            <w14:solidFill>
              <w14:schemeClr w14:val="tx1"/>
            </w14:solidFill>
          </w14:textFill>
        </w:rPr>
        <w:t xml:space="preserve">                                          </w:t>
      </w:r>
      <w:r>
        <w:rPr>
          <w:rFonts w:hint="eastAsia" w:ascii="仿宋_GB2312" w:eastAsia="仿宋_GB2312"/>
          <w:color w:val="000000" w:themeColor="text1"/>
          <w:szCs w:val="28"/>
          <w:lang w:eastAsia="zh-CN"/>
          <w14:textFill>
            <w14:solidFill>
              <w14:schemeClr w14:val="tx1"/>
            </w14:solidFill>
          </w14:textFill>
        </w:rPr>
        <w:t>2021年9月22日</w:t>
      </w:r>
    </w:p>
    <w:p>
      <w:pPr>
        <w:adjustRightInd w:val="0"/>
        <w:snapToGrid w:val="0"/>
        <w:spacing w:line="460" w:lineRule="exact"/>
        <w:jc w:val="center"/>
        <w:outlineLvl w:val="9"/>
        <w:rPr>
          <w:rFonts w:ascii="黑体" w:hAnsi="Times New Roman" w:eastAsia="黑体" w:cs="Times New Roman"/>
          <w:color w:val="000000" w:themeColor="text1"/>
          <w:kern w:val="2"/>
          <w:sz w:val="36"/>
          <w:lang w:val="en-US" w:eastAsia="zh-CN" w:bidi="ar-SA"/>
          <w14:textFill>
            <w14:solidFill>
              <w14:schemeClr w14:val="tx1"/>
            </w14:solidFill>
          </w14:textFill>
        </w:rPr>
      </w:pPr>
      <w:bookmarkStart w:id="14" w:name="_Toc25825"/>
      <w:bookmarkStart w:id="15" w:name="_Toc482259834"/>
      <w:bookmarkStart w:id="16" w:name="_Toc18992"/>
      <w:bookmarkStart w:id="17" w:name="_Toc437265324"/>
      <w:bookmarkStart w:id="18" w:name="_Toc417"/>
      <w:bookmarkStart w:id="19" w:name="_Toc436741901"/>
      <w:bookmarkStart w:id="20" w:name="_Toc436744494"/>
      <w:bookmarkStart w:id="21" w:name="_Toc16185"/>
      <w:bookmarkStart w:id="22" w:name="_Toc15999"/>
      <w:bookmarkStart w:id="23" w:name="_Toc436741743"/>
      <w:bookmarkStart w:id="24" w:name="_Toc9201"/>
      <w:bookmarkStart w:id="25" w:name="_Toc14131"/>
      <w:bookmarkStart w:id="26" w:name="_Toc436741977"/>
      <w:bookmarkStart w:id="27" w:name="_Toc436741940"/>
      <w:bookmarkStart w:id="28" w:name="_Toc31892"/>
      <w:bookmarkStart w:id="29" w:name="_Toc30330"/>
      <w:bookmarkStart w:id="30" w:name="_Toc18893"/>
      <w:bookmarkStart w:id="31" w:name="_Toc6235"/>
      <w:bookmarkStart w:id="32" w:name="_Toc482259878"/>
      <w:r>
        <w:rPr>
          <w:rFonts w:hint="eastAsia" w:ascii="黑体" w:hAnsi="黑体" w:eastAsia="黑体"/>
          <w:color w:val="000000" w:themeColor="text1"/>
          <w:sz w:val="32"/>
          <w:szCs w:val="32"/>
          <w14:textFill>
            <w14:solidFill>
              <w14:schemeClr w14:val="tx1"/>
            </w14:solidFill>
          </w14:textFill>
        </w:rPr>
        <w:t>目 录</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Fonts w:ascii="黑体" w:hAnsi="黑体" w:eastAsia="黑体"/>
          <w:color w:val="000000" w:themeColor="text1"/>
          <w:sz w:val="32"/>
          <w:szCs w:val="32"/>
          <w14:textFill>
            <w14:solidFill>
              <w14:schemeClr w14:val="tx1"/>
            </w14:solidFill>
          </w14:textFill>
        </w:rPr>
        <w:fldChar w:fldCharType="begin"/>
      </w:r>
      <w:r>
        <w:rPr>
          <w:rFonts w:ascii="黑体" w:hAnsi="黑体" w:eastAsia="黑体"/>
          <w:color w:val="000000" w:themeColor="text1"/>
          <w:sz w:val="32"/>
          <w:szCs w:val="32"/>
          <w14:textFill>
            <w14:solidFill>
              <w14:schemeClr w14:val="tx1"/>
            </w14:solidFill>
          </w14:textFill>
        </w:rPr>
        <w:instrText xml:space="preserve">TOC \o "1-3" \h \z \u</w:instrText>
      </w:r>
      <w:r>
        <w:rPr>
          <w:rFonts w:ascii="黑体" w:hAnsi="黑体" w:eastAsia="黑体"/>
          <w:color w:val="000000" w:themeColor="text1"/>
          <w:sz w:val="32"/>
          <w:szCs w:val="32"/>
          <w14:textFill>
            <w14:solidFill>
              <w14:schemeClr w14:val="tx1"/>
            </w14:solidFill>
          </w14:textFill>
        </w:rPr>
        <w:fldChar w:fldCharType="separate"/>
      </w:r>
    </w:p>
    <w:p>
      <w:pPr>
        <w:pStyle w:val="14"/>
        <w:keepNext w:val="0"/>
        <w:keepLines w:val="0"/>
        <w:pageBreakBefore w:val="0"/>
        <w:widowControl w:val="0"/>
        <w:tabs>
          <w:tab w:val="right" w:leader="dot" w:pos="9789"/>
        </w:tabs>
        <w:kinsoku/>
        <w:wordWrap/>
        <w:overflowPunct/>
        <w:topLinePunct w:val="0"/>
        <w:autoSpaceDE/>
        <w:autoSpaceDN/>
        <w:bidi w:val="0"/>
        <w:adjustRightInd/>
        <w:snapToGrid/>
        <w:spacing w:line="500" w:lineRule="exact"/>
        <w:ind w:firstLine="560" w:firstLineChars="200"/>
        <w:textAlignment w:val="auto"/>
      </w:pPr>
      <w:r>
        <w:rPr>
          <w:rFonts w:ascii="黑体" w:eastAsia="黑体"/>
          <w:color w:val="000000" w:themeColor="text1"/>
          <w14:textFill>
            <w14:solidFill>
              <w14:schemeClr w14:val="tx1"/>
            </w14:solidFill>
          </w14:textFill>
        </w:rPr>
        <w:fldChar w:fldCharType="begin"/>
      </w:r>
      <w:r>
        <w:rPr>
          <w:rFonts w:ascii="黑体" w:eastAsia="黑体"/>
        </w:rPr>
        <w:instrText xml:space="preserve"> HYPERLINK \l _Toc19172 </w:instrText>
      </w:r>
      <w:r>
        <w:rPr>
          <w:rFonts w:ascii="黑体" w:eastAsia="黑体"/>
        </w:rPr>
        <w:fldChar w:fldCharType="separate"/>
      </w:r>
      <w:r>
        <w:rPr>
          <w:rFonts w:hint="eastAsia" w:ascii="黑体" w:hAnsi="黑体" w:eastAsia="黑体" w:cs="黑体"/>
          <w:bCs/>
          <w:szCs w:val="32"/>
        </w:rPr>
        <w:t>一、估价师声明</w:t>
      </w:r>
      <w:r>
        <w:tab/>
      </w:r>
      <w:r>
        <w:fldChar w:fldCharType="begin"/>
      </w:r>
      <w:r>
        <w:instrText xml:space="preserve"> PAGEREF _Toc19172 \h </w:instrText>
      </w:r>
      <w:r>
        <w:fldChar w:fldCharType="separate"/>
      </w:r>
      <w:r>
        <w:t>1</w:t>
      </w:r>
      <w:r>
        <w:fldChar w:fldCharType="end"/>
      </w:r>
      <w:r>
        <w:rPr>
          <w:rFonts w:ascii="黑体" w:eastAsia="黑体"/>
          <w:color w:val="000000" w:themeColor="text1"/>
          <w14:textFill>
            <w14:solidFill>
              <w14:schemeClr w14:val="tx1"/>
            </w14:solidFill>
          </w14:textFill>
        </w:rPr>
        <w:fldChar w:fldCharType="end"/>
      </w:r>
    </w:p>
    <w:p>
      <w:pPr>
        <w:pStyle w:val="14"/>
        <w:keepNext w:val="0"/>
        <w:keepLines w:val="0"/>
        <w:pageBreakBefore w:val="0"/>
        <w:widowControl w:val="0"/>
        <w:tabs>
          <w:tab w:val="right" w:leader="dot" w:pos="9789"/>
        </w:tabs>
        <w:kinsoku/>
        <w:wordWrap/>
        <w:overflowPunct/>
        <w:topLinePunct w:val="0"/>
        <w:autoSpaceDE/>
        <w:autoSpaceDN/>
        <w:bidi w:val="0"/>
        <w:adjustRightInd/>
        <w:snapToGrid/>
        <w:spacing w:line="500" w:lineRule="exact"/>
        <w:ind w:firstLine="560" w:firstLineChars="200"/>
        <w:textAlignment w:val="auto"/>
      </w:pPr>
      <w:r>
        <w:rPr>
          <w:rFonts w:ascii="黑体" w:eastAsia="黑体"/>
          <w:color w:val="000000" w:themeColor="text1"/>
          <w14:textFill>
            <w14:solidFill>
              <w14:schemeClr w14:val="tx1"/>
            </w14:solidFill>
          </w14:textFill>
        </w:rPr>
        <w:fldChar w:fldCharType="begin"/>
      </w:r>
      <w:r>
        <w:rPr>
          <w:rFonts w:ascii="黑体" w:eastAsia="黑体"/>
        </w:rPr>
        <w:instrText xml:space="preserve"> HYPERLINK \l _Toc5103 </w:instrText>
      </w:r>
      <w:r>
        <w:rPr>
          <w:rFonts w:ascii="黑体" w:eastAsia="黑体"/>
        </w:rPr>
        <w:fldChar w:fldCharType="separate"/>
      </w:r>
      <w:r>
        <w:rPr>
          <w:rFonts w:hint="eastAsia" w:ascii="黑体" w:hAnsi="黑体" w:eastAsia="黑体" w:cs="黑体"/>
          <w:bCs/>
          <w:szCs w:val="32"/>
        </w:rPr>
        <w:t>二、估价的假设和限制条件</w:t>
      </w:r>
      <w:r>
        <w:tab/>
      </w:r>
      <w:r>
        <w:fldChar w:fldCharType="begin"/>
      </w:r>
      <w:r>
        <w:instrText xml:space="preserve"> PAGEREF _Toc5103 \h </w:instrText>
      </w:r>
      <w:r>
        <w:fldChar w:fldCharType="separate"/>
      </w:r>
      <w:r>
        <w:t>2</w:t>
      </w:r>
      <w:r>
        <w:fldChar w:fldCharType="end"/>
      </w:r>
      <w:r>
        <w:rPr>
          <w:rFonts w:ascii="黑体" w:eastAsia="黑体"/>
          <w:color w:val="000000" w:themeColor="text1"/>
          <w14:textFill>
            <w14:solidFill>
              <w14:schemeClr w14:val="tx1"/>
            </w14:solidFill>
          </w14:textFill>
        </w:rPr>
        <w:fldChar w:fldCharType="end"/>
      </w:r>
    </w:p>
    <w:p>
      <w:pPr>
        <w:pStyle w:val="16"/>
        <w:keepNext w:val="0"/>
        <w:keepLines w:val="0"/>
        <w:pageBreakBefore w:val="0"/>
        <w:widowControl w:val="0"/>
        <w:tabs>
          <w:tab w:val="right" w:leader="dot" w:pos="9789"/>
        </w:tabs>
        <w:kinsoku/>
        <w:wordWrap/>
        <w:overflowPunct/>
        <w:topLinePunct w:val="0"/>
        <w:autoSpaceDE/>
        <w:autoSpaceDN/>
        <w:bidi w:val="0"/>
        <w:adjustRightInd/>
        <w:snapToGrid/>
        <w:spacing w:line="500" w:lineRule="exact"/>
        <w:ind w:firstLine="560" w:firstLineChars="200"/>
        <w:textAlignment w:val="auto"/>
      </w:pPr>
      <w:r>
        <w:rPr>
          <w:rFonts w:ascii="黑体" w:eastAsia="黑体"/>
          <w:color w:val="000000" w:themeColor="text1"/>
          <w14:textFill>
            <w14:solidFill>
              <w14:schemeClr w14:val="tx1"/>
            </w14:solidFill>
          </w14:textFill>
        </w:rPr>
        <w:fldChar w:fldCharType="begin"/>
      </w:r>
      <w:r>
        <w:rPr>
          <w:rFonts w:ascii="黑体" w:eastAsia="黑体"/>
        </w:rPr>
        <w:instrText xml:space="preserve"> HYPERLINK \l _Toc26599 </w:instrText>
      </w:r>
      <w:r>
        <w:rPr>
          <w:rFonts w:ascii="黑体" w:eastAsia="黑体"/>
        </w:rPr>
        <w:fldChar w:fldCharType="separate"/>
      </w:r>
      <w:r>
        <w:rPr>
          <w:rFonts w:hint="eastAsia" w:ascii="仿宋_GB2312" w:eastAsia="仿宋_GB2312"/>
          <w:szCs w:val="28"/>
        </w:rPr>
        <w:t>（一）估价假设条件</w:t>
      </w:r>
      <w:r>
        <w:tab/>
      </w:r>
      <w:r>
        <w:fldChar w:fldCharType="begin"/>
      </w:r>
      <w:r>
        <w:instrText xml:space="preserve"> PAGEREF _Toc26599 \h </w:instrText>
      </w:r>
      <w:r>
        <w:fldChar w:fldCharType="separate"/>
      </w:r>
      <w:r>
        <w:t>2</w:t>
      </w:r>
      <w:r>
        <w:fldChar w:fldCharType="end"/>
      </w:r>
      <w:r>
        <w:rPr>
          <w:rFonts w:ascii="黑体" w:eastAsia="黑体"/>
          <w:color w:val="000000" w:themeColor="text1"/>
          <w14:textFill>
            <w14:solidFill>
              <w14:schemeClr w14:val="tx1"/>
            </w14:solidFill>
          </w14:textFill>
        </w:rPr>
        <w:fldChar w:fldCharType="end"/>
      </w:r>
    </w:p>
    <w:p>
      <w:pPr>
        <w:pStyle w:val="16"/>
        <w:keepNext w:val="0"/>
        <w:keepLines w:val="0"/>
        <w:pageBreakBefore w:val="0"/>
        <w:widowControl w:val="0"/>
        <w:tabs>
          <w:tab w:val="right" w:leader="dot" w:pos="9789"/>
        </w:tabs>
        <w:kinsoku/>
        <w:wordWrap/>
        <w:overflowPunct/>
        <w:topLinePunct w:val="0"/>
        <w:autoSpaceDE/>
        <w:autoSpaceDN/>
        <w:bidi w:val="0"/>
        <w:adjustRightInd/>
        <w:snapToGrid/>
        <w:spacing w:line="500" w:lineRule="exact"/>
        <w:ind w:firstLine="560" w:firstLineChars="200"/>
        <w:textAlignment w:val="auto"/>
      </w:pPr>
      <w:r>
        <w:rPr>
          <w:rFonts w:ascii="黑体" w:eastAsia="黑体"/>
          <w:color w:val="000000" w:themeColor="text1"/>
          <w14:textFill>
            <w14:solidFill>
              <w14:schemeClr w14:val="tx1"/>
            </w14:solidFill>
          </w14:textFill>
        </w:rPr>
        <w:fldChar w:fldCharType="begin"/>
      </w:r>
      <w:r>
        <w:rPr>
          <w:rFonts w:ascii="黑体" w:eastAsia="黑体"/>
        </w:rPr>
        <w:instrText xml:space="preserve"> HYPERLINK \l _Toc16097 </w:instrText>
      </w:r>
      <w:r>
        <w:rPr>
          <w:rFonts w:ascii="黑体" w:eastAsia="黑体"/>
        </w:rPr>
        <w:fldChar w:fldCharType="separate"/>
      </w:r>
      <w:r>
        <w:rPr>
          <w:rFonts w:hint="eastAsia" w:ascii="仿宋_GB2312" w:eastAsia="仿宋_GB2312"/>
          <w:szCs w:val="28"/>
        </w:rPr>
        <w:t>（二）</w:t>
      </w:r>
      <w:r>
        <w:rPr>
          <w:rFonts w:hint="eastAsia" w:ascii="仿宋_GB2312" w:hAnsi="Times New Roman" w:eastAsia="仿宋_GB2312" w:cs="Times New Roman"/>
          <w:kern w:val="2"/>
          <w:szCs w:val="22"/>
          <w:lang w:val="en-US" w:eastAsia="zh-CN" w:bidi="ar-SA"/>
        </w:rPr>
        <w:t>估价中未考虑的因素及其他特别说明</w:t>
      </w:r>
      <w:r>
        <w:tab/>
      </w:r>
      <w:r>
        <w:fldChar w:fldCharType="begin"/>
      </w:r>
      <w:r>
        <w:instrText xml:space="preserve"> PAGEREF _Toc16097 \h </w:instrText>
      </w:r>
      <w:r>
        <w:fldChar w:fldCharType="separate"/>
      </w:r>
      <w:r>
        <w:t>3</w:t>
      </w:r>
      <w:r>
        <w:fldChar w:fldCharType="end"/>
      </w:r>
      <w:r>
        <w:rPr>
          <w:rFonts w:ascii="黑体" w:eastAsia="黑体"/>
          <w:color w:val="000000" w:themeColor="text1"/>
          <w14:textFill>
            <w14:solidFill>
              <w14:schemeClr w14:val="tx1"/>
            </w14:solidFill>
          </w14:textFill>
        </w:rPr>
        <w:fldChar w:fldCharType="end"/>
      </w:r>
    </w:p>
    <w:p>
      <w:pPr>
        <w:pStyle w:val="16"/>
        <w:keepNext w:val="0"/>
        <w:keepLines w:val="0"/>
        <w:pageBreakBefore w:val="0"/>
        <w:widowControl w:val="0"/>
        <w:tabs>
          <w:tab w:val="right" w:leader="dot" w:pos="9789"/>
        </w:tabs>
        <w:kinsoku/>
        <w:wordWrap/>
        <w:overflowPunct/>
        <w:topLinePunct w:val="0"/>
        <w:autoSpaceDE/>
        <w:autoSpaceDN/>
        <w:bidi w:val="0"/>
        <w:adjustRightInd/>
        <w:snapToGrid/>
        <w:spacing w:line="500" w:lineRule="exact"/>
        <w:ind w:firstLine="560" w:firstLineChars="200"/>
        <w:textAlignment w:val="auto"/>
      </w:pPr>
      <w:r>
        <w:rPr>
          <w:rFonts w:ascii="黑体" w:eastAsia="黑体"/>
          <w:color w:val="000000" w:themeColor="text1"/>
          <w14:textFill>
            <w14:solidFill>
              <w14:schemeClr w14:val="tx1"/>
            </w14:solidFill>
          </w14:textFill>
        </w:rPr>
        <w:fldChar w:fldCharType="begin"/>
      </w:r>
      <w:r>
        <w:rPr>
          <w:rFonts w:ascii="黑体" w:eastAsia="黑体"/>
        </w:rPr>
        <w:instrText xml:space="preserve"> HYPERLINK \l _Toc24768 </w:instrText>
      </w:r>
      <w:r>
        <w:rPr>
          <w:rFonts w:ascii="黑体" w:eastAsia="黑体"/>
        </w:rPr>
        <w:fldChar w:fldCharType="separate"/>
      </w:r>
      <w:r>
        <w:rPr>
          <w:rFonts w:hint="eastAsia" w:ascii="仿宋_GB2312" w:eastAsia="仿宋_GB2312"/>
          <w:szCs w:val="28"/>
        </w:rPr>
        <w:t>（</w:t>
      </w:r>
      <w:r>
        <w:rPr>
          <w:rFonts w:hint="eastAsia" w:ascii="仿宋_GB2312" w:eastAsia="仿宋_GB2312"/>
          <w:szCs w:val="28"/>
          <w:lang w:val="en-US" w:eastAsia="zh-CN"/>
        </w:rPr>
        <w:t>三</w:t>
      </w:r>
      <w:r>
        <w:rPr>
          <w:rFonts w:hint="eastAsia" w:ascii="仿宋_GB2312" w:eastAsia="仿宋_GB2312"/>
          <w:szCs w:val="28"/>
        </w:rPr>
        <w:t>）估价报告使用的限制条件</w:t>
      </w:r>
      <w:r>
        <w:tab/>
      </w:r>
      <w:r>
        <w:fldChar w:fldCharType="begin"/>
      </w:r>
      <w:r>
        <w:instrText xml:space="preserve"> PAGEREF _Toc24768 \h </w:instrText>
      </w:r>
      <w:r>
        <w:fldChar w:fldCharType="separate"/>
      </w:r>
      <w:r>
        <w:t>4</w:t>
      </w:r>
      <w:r>
        <w:fldChar w:fldCharType="end"/>
      </w:r>
      <w:r>
        <w:rPr>
          <w:rFonts w:ascii="黑体" w:eastAsia="黑体"/>
          <w:color w:val="000000" w:themeColor="text1"/>
          <w14:textFill>
            <w14:solidFill>
              <w14:schemeClr w14:val="tx1"/>
            </w14:solidFill>
          </w14:textFill>
        </w:rPr>
        <w:fldChar w:fldCharType="end"/>
      </w:r>
    </w:p>
    <w:p>
      <w:pPr>
        <w:pStyle w:val="14"/>
        <w:keepNext w:val="0"/>
        <w:keepLines w:val="0"/>
        <w:pageBreakBefore w:val="0"/>
        <w:widowControl w:val="0"/>
        <w:tabs>
          <w:tab w:val="right" w:leader="dot" w:pos="9789"/>
        </w:tabs>
        <w:kinsoku/>
        <w:wordWrap/>
        <w:overflowPunct/>
        <w:topLinePunct w:val="0"/>
        <w:autoSpaceDE/>
        <w:autoSpaceDN/>
        <w:bidi w:val="0"/>
        <w:adjustRightInd/>
        <w:snapToGrid/>
        <w:spacing w:line="500" w:lineRule="exact"/>
        <w:ind w:firstLine="560" w:firstLineChars="200"/>
        <w:textAlignment w:val="auto"/>
      </w:pPr>
      <w:r>
        <w:rPr>
          <w:rFonts w:ascii="黑体" w:eastAsia="黑体"/>
          <w:color w:val="000000" w:themeColor="text1"/>
          <w14:textFill>
            <w14:solidFill>
              <w14:schemeClr w14:val="tx1"/>
            </w14:solidFill>
          </w14:textFill>
        </w:rPr>
        <w:fldChar w:fldCharType="begin"/>
      </w:r>
      <w:r>
        <w:rPr>
          <w:rFonts w:ascii="黑体" w:eastAsia="黑体"/>
        </w:rPr>
        <w:instrText xml:space="preserve"> HYPERLINK \l _Toc26734 </w:instrText>
      </w:r>
      <w:r>
        <w:rPr>
          <w:rFonts w:ascii="黑体" w:eastAsia="黑体"/>
        </w:rPr>
        <w:fldChar w:fldCharType="separate"/>
      </w:r>
      <w:r>
        <w:rPr>
          <w:rFonts w:hint="eastAsia" w:ascii="黑体" w:hAnsi="黑体" w:eastAsia="黑体" w:cs="黑体"/>
          <w:bCs/>
          <w:szCs w:val="32"/>
        </w:rPr>
        <w:t>三、估价结果报告</w:t>
      </w:r>
      <w:r>
        <w:tab/>
      </w:r>
      <w:r>
        <w:fldChar w:fldCharType="begin"/>
      </w:r>
      <w:r>
        <w:instrText xml:space="preserve"> PAGEREF _Toc26734 \h </w:instrText>
      </w:r>
      <w:r>
        <w:fldChar w:fldCharType="separate"/>
      </w:r>
      <w:r>
        <w:t>6</w:t>
      </w:r>
      <w:r>
        <w:fldChar w:fldCharType="end"/>
      </w:r>
      <w:r>
        <w:rPr>
          <w:rFonts w:ascii="黑体" w:eastAsia="黑体"/>
          <w:color w:val="000000" w:themeColor="text1"/>
          <w14:textFill>
            <w14:solidFill>
              <w14:schemeClr w14:val="tx1"/>
            </w14:solidFill>
          </w14:textFill>
        </w:rPr>
        <w:fldChar w:fldCharType="end"/>
      </w:r>
    </w:p>
    <w:p>
      <w:pPr>
        <w:pStyle w:val="16"/>
        <w:keepNext w:val="0"/>
        <w:keepLines w:val="0"/>
        <w:pageBreakBefore w:val="0"/>
        <w:widowControl w:val="0"/>
        <w:tabs>
          <w:tab w:val="right" w:leader="dot" w:pos="9789"/>
        </w:tabs>
        <w:kinsoku/>
        <w:wordWrap/>
        <w:overflowPunct/>
        <w:topLinePunct w:val="0"/>
        <w:autoSpaceDE/>
        <w:autoSpaceDN/>
        <w:bidi w:val="0"/>
        <w:adjustRightInd/>
        <w:snapToGrid/>
        <w:spacing w:line="500" w:lineRule="exact"/>
        <w:ind w:firstLine="560" w:firstLineChars="200"/>
        <w:textAlignment w:val="auto"/>
      </w:pPr>
      <w:r>
        <w:rPr>
          <w:rFonts w:ascii="黑体" w:eastAsia="黑体"/>
          <w:color w:val="000000" w:themeColor="text1"/>
          <w14:textFill>
            <w14:solidFill>
              <w14:schemeClr w14:val="tx1"/>
            </w14:solidFill>
          </w14:textFill>
        </w:rPr>
        <w:fldChar w:fldCharType="begin"/>
      </w:r>
      <w:r>
        <w:rPr>
          <w:rFonts w:ascii="黑体" w:eastAsia="黑体"/>
        </w:rPr>
        <w:instrText xml:space="preserve"> HYPERLINK \l _Toc9332 </w:instrText>
      </w:r>
      <w:r>
        <w:rPr>
          <w:rFonts w:ascii="黑体" w:eastAsia="黑体"/>
        </w:rPr>
        <w:fldChar w:fldCharType="separate"/>
      </w:r>
      <w:r>
        <w:rPr>
          <w:rFonts w:hint="eastAsia" w:ascii="仿宋_GB2312" w:hAnsi="仿宋_GB2312" w:eastAsia="仿宋_GB2312" w:cs="仿宋_GB2312"/>
          <w:bCs/>
          <w:szCs w:val="28"/>
        </w:rPr>
        <w:t>（一）估价委托人</w:t>
      </w:r>
      <w:r>
        <w:tab/>
      </w:r>
      <w:r>
        <w:fldChar w:fldCharType="begin"/>
      </w:r>
      <w:r>
        <w:instrText xml:space="preserve"> PAGEREF _Toc9332 \h </w:instrText>
      </w:r>
      <w:r>
        <w:fldChar w:fldCharType="separate"/>
      </w:r>
      <w:r>
        <w:t>6</w:t>
      </w:r>
      <w:r>
        <w:fldChar w:fldCharType="end"/>
      </w:r>
      <w:r>
        <w:rPr>
          <w:rFonts w:ascii="黑体" w:eastAsia="黑体"/>
          <w:color w:val="000000" w:themeColor="text1"/>
          <w14:textFill>
            <w14:solidFill>
              <w14:schemeClr w14:val="tx1"/>
            </w14:solidFill>
          </w14:textFill>
        </w:rPr>
        <w:fldChar w:fldCharType="end"/>
      </w:r>
    </w:p>
    <w:p>
      <w:pPr>
        <w:pStyle w:val="16"/>
        <w:keepNext w:val="0"/>
        <w:keepLines w:val="0"/>
        <w:pageBreakBefore w:val="0"/>
        <w:widowControl w:val="0"/>
        <w:tabs>
          <w:tab w:val="right" w:leader="dot" w:pos="9789"/>
        </w:tabs>
        <w:kinsoku/>
        <w:wordWrap/>
        <w:overflowPunct/>
        <w:topLinePunct w:val="0"/>
        <w:autoSpaceDE/>
        <w:autoSpaceDN/>
        <w:bidi w:val="0"/>
        <w:adjustRightInd/>
        <w:snapToGrid/>
        <w:spacing w:line="500" w:lineRule="exact"/>
        <w:ind w:firstLine="560" w:firstLineChars="200"/>
        <w:textAlignment w:val="auto"/>
      </w:pPr>
      <w:r>
        <w:rPr>
          <w:rFonts w:ascii="黑体" w:eastAsia="黑体"/>
          <w:color w:val="000000" w:themeColor="text1"/>
          <w14:textFill>
            <w14:solidFill>
              <w14:schemeClr w14:val="tx1"/>
            </w14:solidFill>
          </w14:textFill>
        </w:rPr>
        <w:fldChar w:fldCharType="begin"/>
      </w:r>
      <w:r>
        <w:rPr>
          <w:rFonts w:ascii="黑体" w:eastAsia="黑体"/>
        </w:rPr>
        <w:instrText xml:space="preserve"> HYPERLINK \l _Toc26204 </w:instrText>
      </w:r>
      <w:r>
        <w:rPr>
          <w:rFonts w:ascii="黑体" w:eastAsia="黑体"/>
        </w:rPr>
        <w:fldChar w:fldCharType="separate"/>
      </w:r>
      <w:r>
        <w:rPr>
          <w:rFonts w:hint="eastAsia" w:ascii="仿宋_GB2312" w:hAnsi="仿宋_GB2312" w:eastAsia="仿宋_GB2312" w:cs="仿宋_GB2312"/>
          <w:bCs/>
          <w:szCs w:val="28"/>
        </w:rPr>
        <w:t>（二）房地产估价机构</w:t>
      </w:r>
      <w:r>
        <w:tab/>
      </w:r>
      <w:r>
        <w:fldChar w:fldCharType="begin"/>
      </w:r>
      <w:r>
        <w:instrText xml:space="preserve"> PAGEREF _Toc26204 \h </w:instrText>
      </w:r>
      <w:r>
        <w:fldChar w:fldCharType="separate"/>
      </w:r>
      <w:r>
        <w:t>6</w:t>
      </w:r>
      <w:r>
        <w:fldChar w:fldCharType="end"/>
      </w:r>
      <w:r>
        <w:rPr>
          <w:rFonts w:ascii="黑体" w:eastAsia="黑体"/>
          <w:color w:val="000000" w:themeColor="text1"/>
          <w14:textFill>
            <w14:solidFill>
              <w14:schemeClr w14:val="tx1"/>
            </w14:solidFill>
          </w14:textFill>
        </w:rPr>
        <w:fldChar w:fldCharType="end"/>
      </w:r>
    </w:p>
    <w:p>
      <w:pPr>
        <w:pStyle w:val="16"/>
        <w:keepNext w:val="0"/>
        <w:keepLines w:val="0"/>
        <w:pageBreakBefore w:val="0"/>
        <w:widowControl w:val="0"/>
        <w:tabs>
          <w:tab w:val="right" w:leader="dot" w:pos="9789"/>
        </w:tabs>
        <w:kinsoku/>
        <w:wordWrap/>
        <w:overflowPunct/>
        <w:topLinePunct w:val="0"/>
        <w:autoSpaceDE/>
        <w:autoSpaceDN/>
        <w:bidi w:val="0"/>
        <w:adjustRightInd/>
        <w:snapToGrid/>
        <w:spacing w:line="500" w:lineRule="exact"/>
        <w:ind w:firstLine="560" w:firstLineChars="200"/>
        <w:textAlignment w:val="auto"/>
      </w:pPr>
      <w:r>
        <w:rPr>
          <w:rFonts w:ascii="黑体" w:eastAsia="黑体"/>
          <w:color w:val="000000" w:themeColor="text1"/>
          <w14:textFill>
            <w14:solidFill>
              <w14:schemeClr w14:val="tx1"/>
            </w14:solidFill>
          </w14:textFill>
        </w:rPr>
        <w:fldChar w:fldCharType="begin"/>
      </w:r>
      <w:r>
        <w:rPr>
          <w:rFonts w:ascii="黑体" w:eastAsia="黑体"/>
        </w:rPr>
        <w:instrText xml:space="preserve"> HYPERLINK \l _Toc12584 </w:instrText>
      </w:r>
      <w:r>
        <w:rPr>
          <w:rFonts w:ascii="黑体" w:eastAsia="黑体"/>
        </w:rPr>
        <w:fldChar w:fldCharType="separate"/>
      </w:r>
      <w:r>
        <w:rPr>
          <w:rFonts w:hint="eastAsia" w:ascii="仿宋_GB2312" w:hAnsi="仿宋_GB2312" w:eastAsia="仿宋_GB2312" w:cs="仿宋_GB2312"/>
          <w:bCs/>
          <w:szCs w:val="28"/>
        </w:rPr>
        <w:t>（三）估价目的</w:t>
      </w:r>
      <w:r>
        <w:tab/>
      </w:r>
      <w:r>
        <w:fldChar w:fldCharType="begin"/>
      </w:r>
      <w:r>
        <w:instrText xml:space="preserve"> PAGEREF _Toc12584 \h </w:instrText>
      </w:r>
      <w:r>
        <w:fldChar w:fldCharType="separate"/>
      </w:r>
      <w:r>
        <w:t>6</w:t>
      </w:r>
      <w:r>
        <w:fldChar w:fldCharType="end"/>
      </w:r>
      <w:r>
        <w:rPr>
          <w:rFonts w:ascii="黑体" w:eastAsia="黑体"/>
          <w:color w:val="000000" w:themeColor="text1"/>
          <w14:textFill>
            <w14:solidFill>
              <w14:schemeClr w14:val="tx1"/>
            </w14:solidFill>
          </w14:textFill>
        </w:rPr>
        <w:fldChar w:fldCharType="end"/>
      </w:r>
    </w:p>
    <w:p>
      <w:pPr>
        <w:pStyle w:val="16"/>
        <w:keepNext w:val="0"/>
        <w:keepLines w:val="0"/>
        <w:pageBreakBefore w:val="0"/>
        <w:widowControl w:val="0"/>
        <w:tabs>
          <w:tab w:val="right" w:leader="dot" w:pos="9789"/>
        </w:tabs>
        <w:kinsoku/>
        <w:wordWrap/>
        <w:overflowPunct/>
        <w:topLinePunct w:val="0"/>
        <w:autoSpaceDE/>
        <w:autoSpaceDN/>
        <w:bidi w:val="0"/>
        <w:adjustRightInd/>
        <w:snapToGrid/>
        <w:spacing w:line="500" w:lineRule="exact"/>
        <w:ind w:firstLine="560" w:firstLineChars="200"/>
        <w:textAlignment w:val="auto"/>
      </w:pPr>
      <w:r>
        <w:rPr>
          <w:rFonts w:ascii="黑体" w:eastAsia="黑体"/>
          <w:color w:val="000000" w:themeColor="text1"/>
          <w14:textFill>
            <w14:solidFill>
              <w14:schemeClr w14:val="tx1"/>
            </w14:solidFill>
          </w14:textFill>
        </w:rPr>
        <w:fldChar w:fldCharType="begin"/>
      </w:r>
      <w:r>
        <w:rPr>
          <w:rFonts w:ascii="黑体" w:eastAsia="黑体"/>
        </w:rPr>
        <w:instrText xml:space="preserve"> HYPERLINK \l _Toc2029 </w:instrText>
      </w:r>
      <w:r>
        <w:rPr>
          <w:rFonts w:ascii="黑体" w:eastAsia="黑体"/>
        </w:rPr>
        <w:fldChar w:fldCharType="separate"/>
      </w:r>
      <w:r>
        <w:rPr>
          <w:rFonts w:hint="eastAsia" w:ascii="仿宋_GB2312" w:hAnsi="仿宋_GB2312" w:eastAsia="仿宋_GB2312" w:cs="仿宋_GB2312"/>
          <w:bCs/>
          <w:szCs w:val="28"/>
        </w:rPr>
        <w:t>（四）估价对象</w:t>
      </w:r>
      <w:r>
        <w:tab/>
      </w:r>
      <w:r>
        <w:fldChar w:fldCharType="begin"/>
      </w:r>
      <w:r>
        <w:instrText xml:space="preserve"> PAGEREF _Toc2029 \h </w:instrText>
      </w:r>
      <w:r>
        <w:fldChar w:fldCharType="separate"/>
      </w:r>
      <w:r>
        <w:t>6</w:t>
      </w:r>
      <w:r>
        <w:fldChar w:fldCharType="end"/>
      </w:r>
      <w:r>
        <w:rPr>
          <w:rFonts w:ascii="黑体" w:eastAsia="黑体"/>
          <w:color w:val="000000" w:themeColor="text1"/>
          <w14:textFill>
            <w14:solidFill>
              <w14:schemeClr w14:val="tx1"/>
            </w14:solidFill>
          </w14:textFill>
        </w:rPr>
        <w:fldChar w:fldCharType="end"/>
      </w:r>
    </w:p>
    <w:p>
      <w:pPr>
        <w:pStyle w:val="16"/>
        <w:keepNext w:val="0"/>
        <w:keepLines w:val="0"/>
        <w:pageBreakBefore w:val="0"/>
        <w:widowControl w:val="0"/>
        <w:tabs>
          <w:tab w:val="right" w:leader="dot" w:pos="9789"/>
        </w:tabs>
        <w:kinsoku/>
        <w:wordWrap/>
        <w:overflowPunct/>
        <w:topLinePunct w:val="0"/>
        <w:autoSpaceDE/>
        <w:autoSpaceDN/>
        <w:bidi w:val="0"/>
        <w:adjustRightInd/>
        <w:snapToGrid/>
        <w:spacing w:line="500" w:lineRule="exact"/>
        <w:ind w:firstLine="560" w:firstLineChars="200"/>
        <w:textAlignment w:val="auto"/>
      </w:pPr>
      <w:r>
        <w:rPr>
          <w:rFonts w:ascii="黑体" w:eastAsia="黑体"/>
          <w:color w:val="000000" w:themeColor="text1"/>
          <w14:textFill>
            <w14:solidFill>
              <w14:schemeClr w14:val="tx1"/>
            </w14:solidFill>
          </w14:textFill>
        </w:rPr>
        <w:fldChar w:fldCharType="begin"/>
      </w:r>
      <w:r>
        <w:rPr>
          <w:rFonts w:ascii="黑体" w:eastAsia="黑体"/>
        </w:rPr>
        <w:instrText xml:space="preserve"> HYPERLINK \l _Toc23663 </w:instrText>
      </w:r>
      <w:r>
        <w:rPr>
          <w:rFonts w:ascii="黑体" w:eastAsia="黑体"/>
        </w:rPr>
        <w:fldChar w:fldCharType="separate"/>
      </w:r>
      <w:r>
        <w:rPr>
          <w:rFonts w:hint="eastAsia" w:ascii="仿宋_GB2312" w:hAnsi="仿宋_GB2312" w:eastAsia="仿宋_GB2312" w:cs="仿宋_GB2312"/>
          <w:bCs/>
          <w:szCs w:val="28"/>
        </w:rPr>
        <w:t>（五）价值时点</w:t>
      </w:r>
      <w:r>
        <w:tab/>
      </w:r>
      <w:r>
        <w:fldChar w:fldCharType="begin"/>
      </w:r>
      <w:r>
        <w:instrText xml:space="preserve"> PAGEREF _Toc23663 \h </w:instrText>
      </w:r>
      <w:r>
        <w:fldChar w:fldCharType="separate"/>
      </w:r>
      <w:r>
        <w:t>12</w:t>
      </w:r>
      <w:r>
        <w:fldChar w:fldCharType="end"/>
      </w:r>
      <w:r>
        <w:rPr>
          <w:rFonts w:ascii="黑体" w:eastAsia="黑体"/>
          <w:color w:val="000000" w:themeColor="text1"/>
          <w14:textFill>
            <w14:solidFill>
              <w14:schemeClr w14:val="tx1"/>
            </w14:solidFill>
          </w14:textFill>
        </w:rPr>
        <w:fldChar w:fldCharType="end"/>
      </w:r>
    </w:p>
    <w:p>
      <w:pPr>
        <w:pStyle w:val="16"/>
        <w:keepNext w:val="0"/>
        <w:keepLines w:val="0"/>
        <w:pageBreakBefore w:val="0"/>
        <w:widowControl w:val="0"/>
        <w:tabs>
          <w:tab w:val="right" w:leader="dot" w:pos="9789"/>
        </w:tabs>
        <w:kinsoku/>
        <w:wordWrap/>
        <w:overflowPunct/>
        <w:topLinePunct w:val="0"/>
        <w:autoSpaceDE/>
        <w:autoSpaceDN/>
        <w:bidi w:val="0"/>
        <w:adjustRightInd/>
        <w:snapToGrid/>
        <w:spacing w:line="500" w:lineRule="exact"/>
        <w:ind w:firstLine="560" w:firstLineChars="200"/>
        <w:textAlignment w:val="auto"/>
      </w:pPr>
      <w:r>
        <w:rPr>
          <w:rFonts w:ascii="黑体" w:eastAsia="黑体"/>
          <w:color w:val="000000" w:themeColor="text1"/>
          <w14:textFill>
            <w14:solidFill>
              <w14:schemeClr w14:val="tx1"/>
            </w14:solidFill>
          </w14:textFill>
        </w:rPr>
        <w:fldChar w:fldCharType="begin"/>
      </w:r>
      <w:r>
        <w:rPr>
          <w:rFonts w:ascii="黑体" w:eastAsia="黑体"/>
        </w:rPr>
        <w:instrText xml:space="preserve"> HYPERLINK \l _Toc608 </w:instrText>
      </w:r>
      <w:r>
        <w:rPr>
          <w:rFonts w:ascii="黑体" w:eastAsia="黑体"/>
        </w:rPr>
        <w:fldChar w:fldCharType="separate"/>
      </w:r>
      <w:r>
        <w:rPr>
          <w:rFonts w:hint="eastAsia" w:ascii="仿宋_GB2312" w:hAnsi="仿宋_GB2312" w:eastAsia="仿宋_GB2312" w:cs="仿宋_GB2312"/>
          <w:bCs/>
          <w:szCs w:val="28"/>
        </w:rPr>
        <w:t>（六）价值类型</w:t>
      </w:r>
      <w:r>
        <w:tab/>
      </w:r>
      <w:r>
        <w:fldChar w:fldCharType="begin"/>
      </w:r>
      <w:r>
        <w:instrText xml:space="preserve"> PAGEREF _Toc608 \h </w:instrText>
      </w:r>
      <w:r>
        <w:fldChar w:fldCharType="separate"/>
      </w:r>
      <w:r>
        <w:t>12</w:t>
      </w:r>
      <w:r>
        <w:fldChar w:fldCharType="end"/>
      </w:r>
      <w:r>
        <w:rPr>
          <w:rFonts w:ascii="黑体" w:eastAsia="黑体"/>
          <w:color w:val="000000" w:themeColor="text1"/>
          <w14:textFill>
            <w14:solidFill>
              <w14:schemeClr w14:val="tx1"/>
            </w14:solidFill>
          </w14:textFill>
        </w:rPr>
        <w:fldChar w:fldCharType="end"/>
      </w:r>
    </w:p>
    <w:p>
      <w:pPr>
        <w:pStyle w:val="16"/>
        <w:keepNext w:val="0"/>
        <w:keepLines w:val="0"/>
        <w:pageBreakBefore w:val="0"/>
        <w:widowControl w:val="0"/>
        <w:tabs>
          <w:tab w:val="right" w:leader="dot" w:pos="9789"/>
        </w:tabs>
        <w:kinsoku/>
        <w:wordWrap/>
        <w:overflowPunct/>
        <w:topLinePunct w:val="0"/>
        <w:autoSpaceDE/>
        <w:autoSpaceDN/>
        <w:bidi w:val="0"/>
        <w:adjustRightInd/>
        <w:snapToGrid/>
        <w:spacing w:line="500" w:lineRule="exact"/>
        <w:ind w:firstLine="560" w:firstLineChars="200"/>
        <w:textAlignment w:val="auto"/>
      </w:pPr>
      <w:r>
        <w:rPr>
          <w:rFonts w:ascii="黑体" w:eastAsia="黑体"/>
          <w:color w:val="000000" w:themeColor="text1"/>
          <w14:textFill>
            <w14:solidFill>
              <w14:schemeClr w14:val="tx1"/>
            </w14:solidFill>
          </w14:textFill>
        </w:rPr>
        <w:fldChar w:fldCharType="begin"/>
      </w:r>
      <w:r>
        <w:rPr>
          <w:rFonts w:ascii="黑体" w:eastAsia="黑体"/>
        </w:rPr>
        <w:instrText xml:space="preserve"> HYPERLINK \l _Toc817 </w:instrText>
      </w:r>
      <w:r>
        <w:rPr>
          <w:rFonts w:ascii="黑体" w:eastAsia="黑体"/>
        </w:rPr>
        <w:fldChar w:fldCharType="separate"/>
      </w:r>
      <w:r>
        <w:rPr>
          <w:rFonts w:hint="eastAsia" w:ascii="仿宋_GB2312" w:hAnsi="仿宋_GB2312" w:eastAsia="仿宋_GB2312" w:cs="仿宋_GB2312"/>
          <w:bCs/>
          <w:szCs w:val="28"/>
        </w:rPr>
        <w:t>（七）估价原则</w:t>
      </w:r>
      <w:r>
        <w:tab/>
      </w:r>
      <w:r>
        <w:fldChar w:fldCharType="begin"/>
      </w:r>
      <w:r>
        <w:instrText xml:space="preserve"> PAGEREF _Toc817 \h </w:instrText>
      </w:r>
      <w:r>
        <w:fldChar w:fldCharType="separate"/>
      </w:r>
      <w:r>
        <w:t>12</w:t>
      </w:r>
      <w:r>
        <w:fldChar w:fldCharType="end"/>
      </w:r>
      <w:r>
        <w:rPr>
          <w:rFonts w:ascii="黑体" w:eastAsia="黑体"/>
          <w:color w:val="000000" w:themeColor="text1"/>
          <w14:textFill>
            <w14:solidFill>
              <w14:schemeClr w14:val="tx1"/>
            </w14:solidFill>
          </w14:textFill>
        </w:rPr>
        <w:fldChar w:fldCharType="end"/>
      </w:r>
    </w:p>
    <w:p>
      <w:pPr>
        <w:pStyle w:val="16"/>
        <w:keepNext w:val="0"/>
        <w:keepLines w:val="0"/>
        <w:pageBreakBefore w:val="0"/>
        <w:widowControl w:val="0"/>
        <w:tabs>
          <w:tab w:val="right" w:leader="dot" w:pos="9789"/>
        </w:tabs>
        <w:kinsoku/>
        <w:wordWrap/>
        <w:overflowPunct/>
        <w:topLinePunct w:val="0"/>
        <w:autoSpaceDE/>
        <w:autoSpaceDN/>
        <w:bidi w:val="0"/>
        <w:adjustRightInd/>
        <w:snapToGrid/>
        <w:spacing w:line="500" w:lineRule="exact"/>
        <w:ind w:firstLine="560" w:firstLineChars="200"/>
        <w:textAlignment w:val="auto"/>
      </w:pPr>
      <w:r>
        <w:rPr>
          <w:rFonts w:ascii="黑体" w:eastAsia="黑体"/>
          <w:color w:val="000000" w:themeColor="text1"/>
          <w14:textFill>
            <w14:solidFill>
              <w14:schemeClr w14:val="tx1"/>
            </w14:solidFill>
          </w14:textFill>
        </w:rPr>
        <w:fldChar w:fldCharType="begin"/>
      </w:r>
      <w:r>
        <w:rPr>
          <w:rFonts w:ascii="黑体" w:eastAsia="黑体"/>
        </w:rPr>
        <w:instrText xml:space="preserve"> HYPERLINK \l _Toc2500 </w:instrText>
      </w:r>
      <w:r>
        <w:rPr>
          <w:rFonts w:ascii="黑体" w:eastAsia="黑体"/>
        </w:rPr>
        <w:fldChar w:fldCharType="separate"/>
      </w:r>
      <w:r>
        <w:rPr>
          <w:rFonts w:hint="eastAsia" w:ascii="仿宋_GB2312" w:hAnsi="仿宋_GB2312" w:eastAsia="仿宋_GB2312" w:cs="仿宋_GB2312"/>
          <w:bCs/>
          <w:szCs w:val="28"/>
        </w:rPr>
        <w:t>（八）估价依据</w:t>
      </w:r>
      <w:r>
        <w:tab/>
      </w:r>
      <w:r>
        <w:fldChar w:fldCharType="begin"/>
      </w:r>
      <w:r>
        <w:instrText xml:space="preserve"> PAGEREF _Toc2500 \h </w:instrText>
      </w:r>
      <w:r>
        <w:fldChar w:fldCharType="separate"/>
      </w:r>
      <w:r>
        <w:t>13</w:t>
      </w:r>
      <w:r>
        <w:fldChar w:fldCharType="end"/>
      </w:r>
      <w:r>
        <w:rPr>
          <w:rFonts w:ascii="黑体" w:eastAsia="黑体"/>
          <w:color w:val="000000" w:themeColor="text1"/>
          <w14:textFill>
            <w14:solidFill>
              <w14:schemeClr w14:val="tx1"/>
            </w14:solidFill>
          </w14:textFill>
        </w:rPr>
        <w:fldChar w:fldCharType="end"/>
      </w:r>
    </w:p>
    <w:p>
      <w:pPr>
        <w:pStyle w:val="16"/>
        <w:keepNext w:val="0"/>
        <w:keepLines w:val="0"/>
        <w:pageBreakBefore w:val="0"/>
        <w:widowControl w:val="0"/>
        <w:tabs>
          <w:tab w:val="right" w:leader="dot" w:pos="9789"/>
        </w:tabs>
        <w:kinsoku/>
        <w:wordWrap/>
        <w:overflowPunct/>
        <w:topLinePunct w:val="0"/>
        <w:autoSpaceDE/>
        <w:autoSpaceDN/>
        <w:bidi w:val="0"/>
        <w:adjustRightInd/>
        <w:snapToGrid/>
        <w:spacing w:line="500" w:lineRule="exact"/>
        <w:ind w:firstLine="560" w:firstLineChars="200"/>
        <w:textAlignment w:val="auto"/>
      </w:pPr>
      <w:r>
        <w:rPr>
          <w:rFonts w:ascii="黑体" w:eastAsia="黑体"/>
          <w:color w:val="000000" w:themeColor="text1"/>
          <w14:textFill>
            <w14:solidFill>
              <w14:schemeClr w14:val="tx1"/>
            </w14:solidFill>
          </w14:textFill>
        </w:rPr>
        <w:fldChar w:fldCharType="begin"/>
      </w:r>
      <w:r>
        <w:rPr>
          <w:rFonts w:ascii="黑体" w:eastAsia="黑体"/>
        </w:rPr>
        <w:instrText xml:space="preserve"> HYPERLINK \l _Toc30760 </w:instrText>
      </w:r>
      <w:r>
        <w:rPr>
          <w:rFonts w:ascii="黑体" w:eastAsia="黑体"/>
        </w:rPr>
        <w:fldChar w:fldCharType="separate"/>
      </w:r>
      <w:r>
        <w:rPr>
          <w:rFonts w:hint="eastAsia" w:ascii="仿宋_GB2312" w:hAnsi="仿宋_GB2312" w:eastAsia="仿宋_GB2312" w:cs="仿宋_GB2312"/>
          <w:bCs/>
          <w:szCs w:val="28"/>
        </w:rPr>
        <w:t>（九）估价方法</w:t>
      </w:r>
      <w:r>
        <w:tab/>
      </w:r>
      <w:r>
        <w:fldChar w:fldCharType="begin"/>
      </w:r>
      <w:r>
        <w:instrText xml:space="preserve"> PAGEREF _Toc30760 \h </w:instrText>
      </w:r>
      <w:r>
        <w:fldChar w:fldCharType="separate"/>
      </w:r>
      <w:r>
        <w:t>15</w:t>
      </w:r>
      <w:r>
        <w:fldChar w:fldCharType="end"/>
      </w:r>
      <w:r>
        <w:rPr>
          <w:rFonts w:ascii="黑体" w:eastAsia="黑体"/>
          <w:color w:val="000000" w:themeColor="text1"/>
          <w14:textFill>
            <w14:solidFill>
              <w14:schemeClr w14:val="tx1"/>
            </w14:solidFill>
          </w14:textFill>
        </w:rPr>
        <w:fldChar w:fldCharType="end"/>
      </w:r>
    </w:p>
    <w:p>
      <w:pPr>
        <w:pStyle w:val="16"/>
        <w:keepNext w:val="0"/>
        <w:keepLines w:val="0"/>
        <w:pageBreakBefore w:val="0"/>
        <w:widowControl w:val="0"/>
        <w:tabs>
          <w:tab w:val="right" w:leader="dot" w:pos="9789"/>
        </w:tabs>
        <w:kinsoku/>
        <w:wordWrap/>
        <w:overflowPunct/>
        <w:topLinePunct w:val="0"/>
        <w:autoSpaceDE/>
        <w:autoSpaceDN/>
        <w:bidi w:val="0"/>
        <w:adjustRightInd/>
        <w:snapToGrid/>
        <w:spacing w:line="500" w:lineRule="exact"/>
        <w:ind w:firstLine="560" w:firstLineChars="200"/>
        <w:textAlignment w:val="auto"/>
      </w:pPr>
      <w:r>
        <w:rPr>
          <w:rFonts w:ascii="黑体" w:eastAsia="黑体"/>
          <w:color w:val="000000" w:themeColor="text1"/>
          <w14:textFill>
            <w14:solidFill>
              <w14:schemeClr w14:val="tx1"/>
            </w14:solidFill>
          </w14:textFill>
        </w:rPr>
        <w:fldChar w:fldCharType="begin"/>
      </w:r>
      <w:r>
        <w:rPr>
          <w:rFonts w:ascii="黑体" w:eastAsia="黑体"/>
        </w:rPr>
        <w:instrText xml:space="preserve"> HYPERLINK \l _Toc3855 </w:instrText>
      </w:r>
      <w:r>
        <w:rPr>
          <w:rFonts w:ascii="黑体" w:eastAsia="黑体"/>
        </w:rPr>
        <w:fldChar w:fldCharType="separate"/>
      </w:r>
      <w:r>
        <w:rPr>
          <w:rFonts w:hint="eastAsia" w:ascii="仿宋_GB2312" w:hAnsi="仿宋_GB2312" w:eastAsia="仿宋_GB2312" w:cs="仿宋_GB2312"/>
          <w:bCs/>
          <w:szCs w:val="28"/>
        </w:rPr>
        <w:t>（十）估价结果</w:t>
      </w:r>
      <w:r>
        <w:tab/>
      </w:r>
      <w:r>
        <w:fldChar w:fldCharType="begin"/>
      </w:r>
      <w:r>
        <w:instrText xml:space="preserve"> PAGEREF _Toc3855 \h </w:instrText>
      </w:r>
      <w:r>
        <w:fldChar w:fldCharType="separate"/>
      </w:r>
      <w:r>
        <w:t>17</w:t>
      </w:r>
      <w:r>
        <w:fldChar w:fldCharType="end"/>
      </w:r>
      <w:r>
        <w:rPr>
          <w:rFonts w:ascii="黑体" w:eastAsia="黑体"/>
          <w:color w:val="000000" w:themeColor="text1"/>
          <w14:textFill>
            <w14:solidFill>
              <w14:schemeClr w14:val="tx1"/>
            </w14:solidFill>
          </w14:textFill>
        </w:rPr>
        <w:fldChar w:fldCharType="end"/>
      </w:r>
    </w:p>
    <w:p>
      <w:pPr>
        <w:pStyle w:val="16"/>
        <w:keepNext w:val="0"/>
        <w:keepLines w:val="0"/>
        <w:pageBreakBefore w:val="0"/>
        <w:widowControl w:val="0"/>
        <w:tabs>
          <w:tab w:val="right" w:leader="dot" w:pos="9789"/>
        </w:tabs>
        <w:kinsoku/>
        <w:wordWrap/>
        <w:overflowPunct/>
        <w:topLinePunct w:val="0"/>
        <w:autoSpaceDE/>
        <w:autoSpaceDN/>
        <w:bidi w:val="0"/>
        <w:adjustRightInd/>
        <w:snapToGrid/>
        <w:spacing w:line="500" w:lineRule="exact"/>
        <w:ind w:firstLine="560" w:firstLineChars="200"/>
        <w:textAlignment w:val="auto"/>
      </w:pPr>
      <w:r>
        <w:rPr>
          <w:rFonts w:ascii="黑体" w:eastAsia="黑体"/>
          <w:color w:val="000000" w:themeColor="text1"/>
          <w14:textFill>
            <w14:solidFill>
              <w14:schemeClr w14:val="tx1"/>
            </w14:solidFill>
          </w14:textFill>
        </w:rPr>
        <w:fldChar w:fldCharType="begin"/>
      </w:r>
      <w:r>
        <w:rPr>
          <w:rFonts w:ascii="黑体" w:eastAsia="黑体"/>
        </w:rPr>
        <w:instrText xml:space="preserve"> HYPERLINK \l _Toc10964 </w:instrText>
      </w:r>
      <w:r>
        <w:rPr>
          <w:rFonts w:ascii="黑体" w:eastAsia="黑体"/>
        </w:rPr>
        <w:fldChar w:fldCharType="separate"/>
      </w:r>
      <w:r>
        <w:rPr>
          <w:rFonts w:hint="eastAsia" w:ascii="仿宋_GB2312" w:hAnsi="仿宋_GB2312" w:eastAsia="仿宋_GB2312" w:cs="仿宋_GB2312"/>
          <w:bCs/>
          <w:szCs w:val="28"/>
        </w:rPr>
        <w:t>（十一） 注册房地产估价师</w:t>
      </w:r>
      <w:r>
        <w:tab/>
      </w:r>
      <w:r>
        <w:fldChar w:fldCharType="begin"/>
      </w:r>
      <w:r>
        <w:instrText xml:space="preserve"> PAGEREF _Toc10964 \h </w:instrText>
      </w:r>
      <w:r>
        <w:fldChar w:fldCharType="separate"/>
      </w:r>
      <w:r>
        <w:t>18</w:t>
      </w:r>
      <w:r>
        <w:fldChar w:fldCharType="end"/>
      </w:r>
      <w:r>
        <w:rPr>
          <w:rFonts w:ascii="黑体" w:eastAsia="黑体"/>
          <w:color w:val="000000" w:themeColor="text1"/>
          <w14:textFill>
            <w14:solidFill>
              <w14:schemeClr w14:val="tx1"/>
            </w14:solidFill>
          </w14:textFill>
        </w:rPr>
        <w:fldChar w:fldCharType="end"/>
      </w:r>
    </w:p>
    <w:p>
      <w:pPr>
        <w:pStyle w:val="16"/>
        <w:keepNext w:val="0"/>
        <w:keepLines w:val="0"/>
        <w:pageBreakBefore w:val="0"/>
        <w:widowControl w:val="0"/>
        <w:tabs>
          <w:tab w:val="right" w:leader="dot" w:pos="9789"/>
        </w:tabs>
        <w:kinsoku/>
        <w:wordWrap/>
        <w:overflowPunct/>
        <w:topLinePunct w:val="0"/>
        <w:autoSpaceDE/>
        <w:autoSpaceDN/>
        <w:bidi w:val="0"/>
        <w:adjustRightInd/>
        <w:snapToGrid/>
        <w:spacing w:line="500" w:lineRule="exact"/>
        <w:ind w:firstLine="560" w:firstLineChars="200"/>
        <w:textAlignment w:val="auto"/>
      </w:pPr>
      <w:r>
        <w:rPr>
          <w:rFonts w:ascii="黑体" w:eastAsia="黑体"/>
          <w:color w:val="000000" w:themeColor="text1"/>
          <w14:textFill>
            <w14:solidFill>
              <w14:schemeClr w14:val="tx1"/>
            </w14:solidFill>
          </w14:textFill>
        </w:rPr>
        <w:fldChar w:fldCharType="begin"/>
      </w:r>
      <w:r>
        <w:rPr>
          <w:rFonts w:ascii="黑体" w:eastAsia="黑体"/>
        </w:rPr>
        <w:instrText xml:space="preserve"> HYPERLINK \l _Toc25094 </w:instrText>
      </w:r>
      <w:r>
        <w:rPr>
          <w:rFonts w:ascii="黑体" w:eastAsia="黑体"/>
        </w:rPr>
        <w:fldChar w:fldCharType="separate"/>
      </w:r>
      <w:r>
        <w:rPr>
          <w:rFonts w:hint="eastAsia" w:ascii="仿宋_GB2312" w:hAnsi="仿宋_GB2312" w:eastAsia="仿宋_GB2312" w:cs="仿宋_GB2312"/>
          <w:bCs/>
          <w:szCs w:val="28"/>
        </w:rPr>
        <w:t>（十二）实地查勘期</w:t>
      </w:r>
      <w:r>
        <w:tab/>
      </w:r>
      <w:r>
        <w:fldChar w:fldCharType="begin"/>
      </w:r>
      <w:r>
        <w:instrText xml:space="preserve"> PAGEREF _Toc25094 \h </w:instrText>
      </w:r>
      <w:r>
        <w:fldChar w:fldCharType="separate"/>
      </w:r>
      <w:r>
        <w:t>18</w:t>
      </w:r>
      <w:r>
        <w:fldChar w:fldCharType="end"/>
      </w:r>
      <w:r>
        <w:rPr>
          <w:rFonts w:ascii="黑体" w:eastAsia="黑体"/>
          <w:color w:val="000000" w:themeColor="text1"/>
          <w14:textFill>
            <w14:solidFill>
              <w14:schemeClr w14:val="tx1"/>
            </w14:solidFill>
          </w14:textFill>
        </w:rPr>
        <w:fldChar w:fldCharType="end"/>
      </w:r>
    </w:p>
    <w:p>
      <w:pPr>
        <w:pStyle w:val="16"/>
        <w:keepNext w:val="0"/>
        <w:keepLines w:val="0"/>
        <w:pageBreakBefore w:val="0"/>
        <w:widowControl w:val="0"/>
        <w:tabs>
          <w:tab w:val="right" w:leader="dot" w:pos="9789"/>
        </w:tabs>
        <w:kinsoku/>
        <w:wordWrap/>
        <w:overflowPunct/>
        <w:topLinePunct w:val="0"/>
        <w:autoSpaceDE/>
        <w:autoSpaceDN/>
        <w:bidi w:val="0"/>
        <w:adjustRightInd/>
        <w:snapToGrid/>
        <w:spacing w:line="500" w:lineRule="exact"/>
        <w:ind w:firstLine="560" w:firstLineChars="200"/>
        <w:textAlignment w:val="auto"/>
      </w:pPr>
      <w:r>
        <w:rPr>
          <w:rFonts w:ascii="黑体" w:eastAsia="黑体"/>
          <w:color w:val="000000" w:themeColor="text1"/>
          <w14:textFill>
            <w14:solidFill>
              <w14:schemeClr w14:val="tx1"/>
            </w14:solidFill>
          </w14:textFill>
        </w:rPr>
        <w:fldChar w:fldCharType="begin"/>
      </w:r>
      <w:r>
        <w:rPr>
          <w:rFonts w:ascii="黑体" w:eastAsia="黑体"/>
        </w:rPr>
        <w:instrText xml:space="preserve"> HYPERLINK \l _Toc22813 </w:instrText>
      </w:r>
      <w:r>
        <w:rPr>
          <w:rFonts w:ascii="黑体" w:eastAsia="黑体"/>
        </w:rPr>
        <w:fldChar w:fldCharType="separate"/>
      </w:r>
      <w:r>
        <w:rPr>
          <w:rFonts w:hint="eastAsia" w:ascii="仿宋_GB2312" w:hAnsi="仿宋_GB2312" w:eastAsia="仿宋_GB2312" w:cs="仿宋_GB2312"/>
          <w:bCs/>
          <w:szCs w:val="28"/>
        </w:rPr>
        <w:t>（十三）估价作业期</w:t>
      </w:r>
      <w:r>
        <w:tab/>
      </w:r>
      <w:r>
        <w:fldChar w:fldCharType="begin"/>
      </w:r>
      <w:r>
        <w:instrText xml:space="preserve"> PAGEREF _Toc22813 \h </w:instrText>
      </w:r>
      <w:r>
        <w:fldChar w:fldCharType="separate"/>
      </w:r>
      <w:r>
        <w:t>18</w:t>
      </w:r>
      <w:r>
        <w:fldChar w:fldCharType="end"/>
      </w:r>
      <w:r>
        <w:rPr>
          <w:rFonts w:ascii="黑体" w:eastAsia="黑体"/>
          <w:color w:val="000000" w:themeColor="text1"/>
          <w14:textFill>
            <w14:solidFill>
              <w14:schemeClr w14:val="tx1"/>
            </w14:solidFill>
          </w14:textFill>
        </w:rPr>
        <w:fldChar w:fldCharType="end"/>
      </w:r>
    </w:p>
    <w:p>
      <w:pPr>
        <w:pStyle w:val="14"/>
        <w:keepNext w:val="0"/>
        <w:keepLines w:val="0"/>
        <w:pageBreakBefore w:val="0"/>
        <w:widowControl w:val="0"/>
        <w:tabs>
          <w:tab w:val="right" w:leader="dot" w:pos="9789"/>
        </w:tabs>
        <w:kinsoku/>
        <w:wordWrap/>
        <w:overflowPunct/>
        <w:topLinePunct w:val="0"/>
        <w:autoSpaceDE/>
        <w:autoSpaceDN/>
        <w:bidi w:val="0"/>
        <w:adjustRightInd/>
        <w:snapToGrid/>
        <w:spacing w:line="400" w:lineRule="exact"/>
        <w:ind w:firstLine="560" w:firstLineChars="200"/>
        <w:textAlignment w:val="auto"/>
      </w:pPr>
      <w:r>
        <w:rPr>
          <w:rFonts w:ascii="黑体" w:eastAsia="黑体"/>
          <w:color w:val="000000" w:themeColor="text1"/>
          <w14:textFill>
            <w14:solidFill>
              <w14:schemeClr w14:val="tx1"/>
            </w14:solidFill>
          </w14:textFill>
        </w:rPr>
        <w:fldChar w:fldCharType="begin"/>
      </w:r>
      <w:r>
        <w:rPr>
          <w:rFonts w:ascii="黑体" w:eastAsia="黑体"/>
        </w:rPr>
        <w:instrText xml:space="preserve"> HYPERLINK \l _Toc10563 </w:instrText>
      </w:r>
      <w:r>
        <w:rPr>
          <w:rFonts w:ascii="黑体" w:eastAsia="黑体"/>
        </w:rPr>
        <w:fldChar w:fldCharType="separate"/>
      </w:r>
      <w:r>
        <w:rPr>
          <w:rFonts w:hint="eastAsia" w:ascii="黑体" w:hAnsi="黑体" w:eastAsia="黑体" w:cs="黑体"/>
          <w:bCs w:val="0"/>
          <w:szCs w:val="32"/>
          <w:lang w:eastAsia="zh-CN"/>
        </w:rPr>
        <w:t>四</w:t>
      </w:r>
      <w:r>
        <w:rPr>
          <w:rFonts w:hint="eastAsia" w:ascii="黑体" w:hAnsi="黑体" w:eastAsia="黑体" w:cs="黑体"/>
          <w:bCs w:val="0"/>
          <w:szCs w:val="32"/>
        </w:rPr>
        <w:t>、附      件</w:t>
      </w:r>
      <w:r>
        <w:tab/>
      </w:r>
      <w:r>
        <w:fldChar w:fldCharType="begin"/>
      </w:r>
      <w:r>
        <w:instrText xml:space="preserve"> PAGEREF _Toc10563 \h </w:instrText>
      </w:r>
      <w:r>
        <w:fldChar w:fldCharType="separate"/>
      </w:r>
      <w:r>
        <w:t>19</w:t>
      </w:r>
      <w:r>
        <w:fldChar w:fldCharType="end"/>
      </w:r>
      <w:r>
        <w:rPr>
          <w:rFonts w:ascii="黑体" w:eastAsia="黑体"/>
          <w:color w:val="000000" w:themeColor="text1"/>
          <w14:textFill>
            <w14:solidFill>
              <w14:schemeClr w14:val="tx1"/>
            </w14:solidFill>
          </w14:textFill>
        </w:rPr>
        <w:fldChar w:fldCharType="end"/>
      </w:r>
    </w:p>
    <w:p>
      <w:pPr>
        <w:pStyle w:val="16"/>
        <w:keepNext w:val="0"/>
        <w:keepLines w:val="0"/>
        <w:pageBreakBefore w:val="0"/>
        <w:widowControl w:val="0"/>
        <w:tabs>
          <w:tab w:val="right" w:leader="dot" w:pos="9789"/>
        </w:tabs>
        <w:kinsoku/>
        <w:wordWrap/>
        <w:overflowPunct/>
        <w:topLinePunct w:val="0"/>
        <w:autoSpaceDE/>
        <w:autoSpaceDN/>
        <w:bidi w:val="0"/>
        <w:adjustRightInd/>
        <w:snapToGrid/>
        <w:spacing w:line="400" w:lineRule="exact"/>
        <w:ind w:firstLine="560" w:firstLineChars="200"/>
        <w:textAlignment w:val="auto"/>
      </w:pPr>
      <w:r>
        <w:rPr>
          <w:rFonts w:ascii="黑体" w:eastAsia="黑体"/>
          <w:color w:val="000000" w:themeColor="text1"/>
          <w14:textFill>
            <w14:solidFill>
              <w14:schemeClr w14:val="tx1"/>
            </w14:solidFill>
          </w14:textFill>
        </w:rPr>
        <w:fldChar w:fldCharType="begin"/>
      </w:r>
      <w:r>
        <w:rPr>
          <w:rFonts w:ascii="黑体" w:eastAsia="黑体"/>
        </w:rPr>
        <w:instrText xml:space="preserve"> HYPERLINK \l _Toc13886 </w:instrText>
      </w:r>
      <w:r>
        <w:rPr>
          <w:rFonts w:ascii="黑体" w:eastAsia="黑体"/>
        </w:rPr>
        <w:fldChar w:fldCharType="separate"/>
      </w:r>
      <w:r>
        <w:rPr>
          <w:rFonts w:hint="eastAsia" w:ascii="仿宋_GB2312" w:hAnsi="仿宋_GB2312" w:eastAsia="仿宋_GB2312" w:cs="仿宋_GB2312"/>
          <w:bCs/>
          <w:szCs w:val="28"/>
          <w:lang w:eastAsia="zh-CN"/>
        </w:rPr>
        <w:t>（</w:t>
      </w:r>
      <w:r>
        <w:rPr>
          <w:rFonts w:hint="eastAsia" w:ascii="仿宋_GB2312" w:hAnsi="仿宋_GB2312" w:eastAsia="仿宋_GB2312" w:cs="仿宋_GB2312"/>
          <w:bCs/>
          <w:szCs w:val="28"/>
          <w:lang w:val="en-US" w:eastAsia="zh-CN"/>
        </w:rPr>
        <w:t>一）</w:t>
      </w:r>
      <w:r>
        <w:rPr>
          <w:rFonts w:hint="eastAsia" w:ascii="仿宋_GB2312" w:hAnsi="仿宋_GB2312" w:eastAsia="仿宋_GB2312" w:cs="仿宋_GB2312"/>
          <w:bCs/>
          <w:szCs w:val="28"/>
          <w:lang w:eastAsia="zh-CN"/>
        </w:rPr>
        <w:t>《房地产估价委托书》</w:t>
      </w:r>
      <w:r>
        <w:rPr>
          <w:rFonts w:hint="eastAsia" w:ascii="仿宋_GB2312" w:hAnsi="仿宋_GB2312" w:eastAsia="仿宋_GB2312" w:cs="仿宋_GB2312"/>
          <w:bCs/>
          <w:szCs w:val="28"/>
        </w:rPr>
        <w:t>（复印件）</w:t>
      </w:r>
      <w:r>
        <w:tab/>
      </w:r>
      <w:r>
        <w:fldChar w:fldCharType="begin"/>
      </w:r>
      <w:r>
        <w:instrText xml:space="preserve"> PAGEREF _Toc13886 \h </w:instrText>
      </w:r>
      <w:r>
        <w:fldChar w:fldCharType="separate"/>
      </w:r>
      <w:r>
        <w:t>19</w:t>
      </w:r>
      <w:r>
        <w:fldChar w:fldCharType="end"/>
      </w:r>
      <w:r>
        <w:rPr>
          <w:rFonts w:ascii="黑体" w:eastAsia="黑体"/>
          <w:color w:val="000000" w:themeColor="text1"/>
          <w14:textFill>
            <w14:solidFill>
              <w14:schemeClr w14:val="tx1"/>
            </w14:solidFill>
          </w14:textFill>
        </w:rPr>
        <w:fldChar w:fldCharType="end"/>
      </w:r>
    </w:p>
    <w:p>
      <w:pPr>
        <w:pStyle w:val="16"/>
        <w:keepNext w:val="0"/>
        <w:keepLines w:val="0"/>
        <w:pageBreakBefore w:val="0"/>
        <w:widowControl w:val="0"/>
        <w:tabs>
          <w:tab w:val="right" w:leader="dot" w:pos="9789"/>
        </w:tabs>
        <w:kinsoku/>
        <w:wordWrap/>
        <w:overflowPunct/>
        <w:topLinePunct w:val="0"/>
        <w:autoSpaceDE/>
        <w:autoSpaceDN/>
        <w:bidi w:val="0"/>
        <w:adjustRightInd/>
        <w:snapToGrid/>
        <w:spacing w:line="400" w:lineRule="exact"/>
        <w:ind w:firstLine="560" w:firstLineChars="200"/>
        <w:textAlignment w:val="auto"/>
      </w:pPr>
      <w:r>
        <w:rPr>
          <w:rFonts w:ascii="黑体" w:eastAsia="黑体"/>
          <w:color w:val="000000" w:themeColor="text1"/>
          <w14:textFill>
            <w14:solidFill>
              <w14:schemeClr w14:val="tx1"/>
            </w14:solidFill>
          </w14:textFill>
        </w:rPr>
        <w:fldChar w:fldCharType="begin"/>
      </w:r>
      <w:r>
        <w:rPr>
          <w:rFonts w:ascii="黑体" w:eastAsia="黑体"/>
        </w:rPr>
        <w:instrText xml:space="preserve"> HYPERLINK \l _Toc32247 </w:instrText>
      </w:r>
      <w:r>
        <w:rPr>
          <w:rFonts w:ascii="黑体" w:eastAsia="黑体"/>
        </w:rPr>
        <w:fldChar w:fldCharType="separate"/>
      </w:r>
      <w:r>
        <w:rPr>
          <w:rFonts w:hint="eastAsia" w:ascii="仿宋_GB2312" w:hAnsi="仿宋_GB2312" w:eastAsia="仿宋_GB2312" w:cs="仿宋_GB2312"/>
          <w:bCs/>
          <w:szCs w:val="28"/>
        </w:rPr>
        <w:t>（二）估价对象位置图</w:t>
      </w:r>
      <w:r>
        <w:tab/>
      </w:r>
      <w:r>
        <w:fldChar w:fldCharType="begin"/>
      </w:r>
      <w:r>
        <w:instrText xml:space="preserve"> PAGEREF _Toc32247 \h </w:instrText>
      </w:r>
      <w:r>
        <w:fldChar w:fldCharType="separate"/>
      </w:r>
      <w:r>
        <w:t>23</w:t>
      </w:r>
      <w:r>
        <w:fldChar w:fldCharType="end"/>
      </w:r>
      <w:r>
        <w:rPr>
          <w:rFonts w:ascii="黑体" w:eastAsia="黑体"/>
          <w:color w:val="000000" w:themeColor="text1"/>
          <w14:textFill>
            <w14:solidFill>
              <w14:schemeClr w14:val="tx1"/>
            </w14:solidFill>
          </w14:textFill>
        </w:rPr>
        <w:fldChar w:fldCharType="end"/>
      </w:r>
    </w:p>
    <w:p>
      <w:pPr>
        <w:pStyle w:val="16"/>
        <w:keepNext w:val="0"/>
        <w:keepLines w:val="0"/>
        <w:pageBreakBefore w:val="0"/>
        <w:widowControl w:val="0"/>
        <w:tabs>
          <w:tab w:val="right" w:leader="dot" w:pos="9789"/>
        </w:tabs>
        <w:kinsoku/>
        <w:wordWrap/>
        <w:overflowPunct/>
        <w:topLinePunct w:val="0"/>
        <w:autoSpaceDE/>
        <w:autoSpaceDN/>
        <w:bidi w:val="0"/>
        <w:adjustRightInd/>
        <w:snapToGrid/>
        <w:spacing w:line="400" w:lineRule="exact"/>
        <w:ind w:firstLine="560" w:firstLineChars="200"/>
        <w:textAlignment w:val="auto"/>
      </w:pPr>
      <w:r>
        <w:rPr>
          <w:rFonts w:ascii="黑体" w:eastAsia="黑体"/>
          <w:color w:val="000000" w:themeColor="text1"/>
          <w14:textFill>
            <w14:solidFill>
              <w14:schemeClr w14:val="tx1"/>
            </w14:solidFill>
          </w14:textFill>
        </w:rPr>
        <w:fldChar w:fldCharType="begin"/>
      </w:r>
      <w:r>
        <w:rPr>
          <w:rFonts w:ascii="黑体" w:eastAsia="黑体"/>
        </w:rPr>
        <w:instrText xml:space="preserve"> HYPERLINK \l _Toc26112 </w:instrText>
      </w:r>
      <w:r>
        <w:rPr>
          <w:rFonts w:ascii="黑体" w:eastAsia="黑体"/>
        </w:rPr>
        <w:fldChar w:fldCharType="separate"/>
      </w:r>
      <w:r>
        <w:rPr>
          <w:rFonts w:hint="eastAsia" w:ascii="仿宋_GB2312" w:hAnsi="仿宋_GB2312" w:eastAsia="仿宋_GB2312" w:cs="仿宋_GB2312"/>
          <w:bCs/>
          <w:szCs w:val="28"/>
          <w:lang w:eastAsia="zh-CN"/>
        </w:rPr>
        <w:t>（</w:t>
      </w:r>
      <w:r>
        <w:rPr>
          <w:rFonts w:hint="eastAsia" w:ascii="仿宋_GB2312" w:hAnsi="仿宋_GB2312" w:eastAsia="仿宋_GB2312" w:cs="仿宋_GB2312"/>
          <w:bCs/>
          <w:szCs w:val="28"/>
          <w:lang w:val="en-US" w:eastAsia="zh-CN"/>
        </w:rPr>
        <w:t>三）</w:t>
      </w:r>
      <w:r>
        <w:rPr>
          <w:rFonts w:hint="eastAsia" w:ascii="仿宋_GB2312" w:hAnsi="仿宋_GB2312" w:eastAsia="仿宋_GB2312" w:cs="仿宋_GB2312"/>
          <w:bCs/>
          <w:szCs w:val="28"/>
        </w:rPr>
        <w:t>估价对象内部状况照片、外部状况照片、周围环境和景观照片</w:t>
      </w:r>
      <w:r>
        <w:tab/>
      </w:r>
      <w:r>
        <w:fldChar w:fldCharType="begin"/>
      </w:r>
      <w:r>
        <w:instrText xml:space="preserve"> PAGEREF _Toc26112 \h </w:instrText>
      </w:r>
      <w:r>
        <w:fldChar w:fldCharType="separate"/>
      </w:r>
      <w:r>
        <w:t>24</w:t>
      </w:r>
      <w:r>
        <w:fldChar w:fldCharType="end"/>
      </w:r>
      <w:r>
        <w:rPr>
          <w:rFonts w:ascii="黑体" w:eastAsia="黑体"/>
          <w:color w:val="000000" w:themeColor="text1"/>
          <w14:textFill>
            <w14:solidFill>
              <w14:schemeClr w14:val="tx1"/>
            </w14:solidFill>
          </w14:textFill>
        </w:rPr>
        <w:fldChar w:fldCharType="end"/>
      </w:r>
    </w:p>
    <w:p>
      <w:pPr>
        <w:pStyle w:val="16"/>
        <w:keepNext w:val="0"/>
        <w:keepLines w:val="0"/>
        <w:pageBreakBefore w:val="0"/>
        <w:widowControl w:val="0"/>
        <w:tabs>
          <w:tab w:val="right" w:leader="dot" w:pos="9789"/>
        </w:tabs>
        <w:kinsoku/>
        <w:wordWrap/>
        <w:overflowPunct/>
        <w:topLinePunct w:val="0"/>
        <w:autoSpaceDE/>
        <w:autoSpaceDN/>
        <w:bidi w:val="0"/>
        <w:adjustRightInd/>
        <w:snapToGrid/>
        <w:spacing w:line="400" w:lineRule="exact"/>
        <w:ind w:firstLine="560" w:firstLineChars="200"/>
        <w:textAlignment w:val="auto"/>
      </w:pPr>
      <w:r>
        <w:rPr>
          <w:rFonts w:ascii="黑体" w:eastAsia="黑体"/>
          <w:color w:val="000000" w:themeColor="text1"/>
          <w14:textFill>
            <w14:solidFill>
              <w14:schemeClr w14:val="tx1"/>
            </w14:solidFill>
          </w14:textFill>
        </w:rPr>
        <w:fldChar w:fldCharType="begin"/>
      </w:r>
      <w:r>
        <w:rPr>
          <w:rFonts w:ascii="黑体" w:eastAsia="黑体"/>
        </w:rPr>
        <w:instrText xml:space="preserve"> HYPERLINK \l _Toc3766 </w:instrText>
      </w:r>
      <w:r>
        <w:rPr>
          <w:rFonts w:ascii="黑体" w:eastAsia="黑体"/>
        </w:rPr>
        <w:fldChar w:fldCharType="separate"/>
      </w:r>
      <w:r>
        <w:rPr>
          <w:rFonts w:hint="eastAsia" w:ascii="仿宋_GB2312" w:hAnsi="仿宋_GB2312" w:eastAsia="仿宋_GB2312" w:cs="仿宋_GB2312"/>
          <w:bCs/>
          <w:kern w:val="2"/>
          <w:szCs w:val="28"/>
          <w:lang w:val="en-US" w:eastAsia="zh-CN" w:bidi="ar-SA"/>
        </w:rPr>
        <w:t>（四）估价对象查档信息</w:t>
      </w:r>
      <w:r>
        <w:tab/>
      </w:r>
      <w:r>
        <w:fldChar w:fldCharType="begin"/>
      </w:r>
      <w:r>
        <w:instrText xml:space="preserve"> PAGEREF _Toc3766 \h </w:instrText>
      </w:r>
      <w:r>
        <w:fldChar w:fldCharType="separate"/>
      </w:r>
      <w:r>
        <w:t>26</w:t>
      </w:r>
      <w:r>
        <w:fldChar w:fldCharType="end"/>
      </w:r>
      <w:r>
        <w:rPr>
          <w:rFonts w:ascii="黑体" w:eastAsia="黑体"/>
          <w:color w:val="000000" w:themeColor="text1"/>
          <w14:textFill>
            <w14:solidFill>
              <w14:schemeClr w14:val="tx1"/>
            </w14:solidFill>
          </w14:textFill>
        </w:rPr>
        <w:fldChar w:fldCharType="end"/>
      </w:r>
    </w:p>
    <w:p>
      <w:pPr>
        <w:pStyle w:val="16"/>
        <w:keepNext w:val="0"/>
        <w:keepLines w:val="0"/>
        <w:pageBreakBefore w:val="0"/>
        <w:widowControl w:val="0"/>
        <w:tabs>
          <w:tab w:val="right" w:leader="dot" w:pos="9789"/>
        </w:tabs>
        <w:kinsoku/>
        <w:wordWrap/>
        <w:overflowPunct/>
        <w:topLinePunct w:val="0"/>
        <w:autoSpaceDE/>
        <w:autoSpaceDN/>
        <w:bidi w:val="0"/>
        <w:adjustRightInd/>
        <w:snapToGrid/>
        <w:spacing w:line="400" w:lineRule="exact"/>
        <w:ind w:firstLine="560" w:firstLineChars="200"/>
        <w:textAlignment w:val="auto"/>
      </w:pPr>
      <w:r>
        <w:rPr>
          <w:rFonts w:ascii="黑体" w:eastAsia="黑体"/>
          <w:color w:val="000000" w:themeColor="text1"/>
          <w14:textFill>
            <w14:solidFill>
              <w14:schemeClr w14:val="tx1"/>
            </w14:solidFill>
          </w14:textFill>
        </w:rPr>
        <w:fldChar w:fldCharType="begin"/>
      </w:r>
      <w:r>
        <w:rPr>
          <w:rFonts w:ascii="黑体" w:eastAsia="黑体"/>
        </w:rPr>
        <w:instrText xml:space="preserve"> HYPERLINK \l _Toc22225 </w:instrText>
      </w:r>
      <w:r>
        <w:rPr>
          <w:rFonts w:ascii="黑体" w:eastAsia="黑体"/>
        </w:rPr>
        <w:fldChar w:fldCharType="separate"/>
      </w:r>
      <w:r>
        <w:rPr>
          <w:rFonts w:hint="eastAsia" w:ascii="仿宋_GB2312" w:hAnsi="仿宋_GB2312" w:eastAsia="仿宋_GB2312" w:cs="仿宋_GB2312"/>
          <w:bCs/>
          <w:kern w:val="2"/>
          <w:szCs w:val="28"/>
          <w:lang w:val="en-US" w:eastAsia="zh-CN" w:bidi="ar-SA"/>
        </w:rPr>
        <w:t>（五）现场查勘表</w:t>
      </w:r>
      <w:r>
        <w:tab/>
      </w:r>
      <w:r>
        <w:fldChar w:fldCharType="begin"/>
      </w:r>
      <w:r>
        <w:instrText xml:space="preserve"> PAGEREF _Toc22225 \h </w:instrText>
      </w:r>
      <w:r>
        <w:fldChar w:fldCharType="separate"/>
      </w:r>
      <w:r>
        <w:t>40</w:t>
      </w:r>
      <w:r>
        <w:fldChar w:fldCharType="end"/>
      </w:r>
      <w:r>
        <w:rPr>
          <w:rFonts w:ascii="黑体" w:eastAsia="黑体"/>
          <w:color w:val="000000" w:themeColor="text1"/>
          <w14:textFill>
            <w14:solidFill>
              <w14:schemeClr w14:val="tx1"/>
            </w14:solidFill>
          </w14:textFill>
        </w:rPr>
        <w:fldChar w:fldCharType="end"/>
      </w:r>
    </w:p>
    <w:p>
      <w:pPr>
        <w:pStyle w:val="16"/>
        <w:keepNext w:val="0"/>
        <w:keepLines w:val="0"/>
        <w:pageBreakBefore w:val="0"/>
        <w:widowControl w:val="0"/>
        <w:tabs>
          <w:tab w:val="right" w:leader="dot" w:pos="9789"/>
        </w:tabs>
        <w:kinsoku/>
        <w:wordWrap/>
        <w:overflowPunct/>
        <w:topLinePunct w:val="0"/>
        <w:autoSpaceDE/>
        <w:autoSpaceDN/>
        <w:bidi w:val="0"/>
        <w:adjustRightInd/>
        <w:snapToGrid/>
        <w:spacing w:line="400" w:lineRule="exact"/>
        <w:ind w:firstLine="560" w:firstLineChars="200"/>
        <w:textAlignment w:val="auto"/>
      </w:pPr>
      <w:r>
        <w:rPr>
          <w:rFonts w:ascii="黑体" w:eastAsia="黑体"/>
          <w:color w:val="000000" w:themeColor="text1"/>
          <w14:textFill>
            <w14:solidFill>
              <w14:schemeClr w14:val="tx1"/>
            </w14:solidFill>
          </w14:textFill>
        </w:rPr>
        <w:fldChar w:fldCharType="begin"/>
      </w:r>
      <w:r>
        <w:rPr>
          <w:rFonts w:ascii="黑体" w:eastAsia="黑体"/>
        </w:rPr>
        <w:instrText xml:space="preserve"> HYPERLINK \l _Toc18876 </w:instrText>
      </w:r>
      <w:r>
        <w:rPr>
          <w:rFonts w:ascii="黑体" w:eastAsia="黑体"/>
        </w:rPr>
        <w:fldChar w:fldCharType="separate"/>
      </w:r>
      <w:r>
        <w:rPr>
          <w:rFonts w:hint="eastAsia" w:ascii="仿宋_GB2312" w:hAnsi="仿宋_GB2312" w:eastAsia="仿宋_GB2312" w:cs="仿宋_GB2312"/>
          <w:bCs/>
          <w:kern w:val="2"/>
          <w:szCs w:val="28"/>
          <w:lang w:val="en-US" w:eastAsia="zh-CN" w:bidi="ar-SA"/>
        </w:rPr>
        <w:t>（六） 专业帮助情况和相关专业意见</w:t>
      </w:r>
      <w:r>
        <w:tab/>
      </w:r>
      <w:r>
        <w:fldChar w:fldCharType="begin"/>
      </w:r>
      <w:r>
        <w:instrText xml:space="preserve"> PAGEREF _Toc18876 \h </w:instrText>
      </w:r>
      <w:r>
        <w:fldChar w:fldCharType="separate"/>
      </w:r>
      <w:r>
        <w:t>41</w:t>
      </w:r>
      <w:r>
        <w:fldChar w:fldCharType="end"/>
      </w:r>
      <w:r>
        <w:rPr>
          <w:rFonts w:ascii="黑体" w:eastAsia="黑体"/>
          <w:color w:val="000000" w:themeColor="text1"/>
          <w14:textFill>
            <w14:solidFill>
              <w14:schemeClr w14:val="tx1"/>
            </w14:solidFill>
          </w14:textFill>
        </w:rPr>
        <w:fldChar w:fldCharType="end"/>
      </w:r>
    </w:p>
    <w:p>
      <w:pPr>
        <w:pStyle w:val="16"/>
        <w:keepNext w:val="0"/>
        <w:keepLines w:val="0"/>
        <w:pageBreakBefore w:val="0"/>
        <w:widowControl w:val="0"/>
        <w:tabs>
          <w:tab w:val="right" w:leader="dot" w:pos="9789"/>
        </w:tabs>
        <w:kinsoku/>
        <w:wordWrap/>
        <w:overflowPunct/>
        <w:topLinePunct w:val="0"/>
        <w:autoSpaceDE/>
        <w:autoSpaceDN/>
        <w:bidi w:val="0"/>
        <w:adjustRightInd/>
        <w:snapToGrid/>
        <w:spacing w:line="400" w:lineRule="exact"/>
        <w:ind w:firstLine="560" w:firstLineChars="200"/>
        <w:textAlignment w:val="auto"/>
      </w:pPr>
      <w:r>
        <w:rPr>
          <w:rFonts w:ascii="黑体" w:eastAsia="黑体"/>
          <w:color w:val="000000" w:themeColor="text1"/>
          <w14:textFill>
            <w14:solidFill>
              <w14:schemeClr w14:val="tx1"/>
            </w14:solidFill>
          </w14:textFill>
        </w:rPr>
        <w:fldChar w:fldCharType="begin"/>
      </w:r>
      <w:r>
        <w:rPr>
          <w:rFonts w:ascii="黑体" w:eastAsia="黑体"/>
        </w:rPr>
        <w:instrText xml:space="preserve"> HYPERLINK \l _Toc21072 </w:instrText>
      </w:r>
      <w:r>
        <w:rPr>
          <w:rFonts w:ascii="黑体" w:eastAsia="黑体"/>
        </w:rPr>
        <w:fldChar w:fldCharType="separate"/>
      </w:r>
      <w:r>
        <w:rPr>
          <w:rFonts w:hint="eastAsia" w:ascii="仿宋_GB2312" w:hAnsi="仿宋_GB2312" w:eastAsia="仿宋_GB2312" w:cs="仿宋_GB2312"/>
          <w:bCs/>
          <w:kern w:val="2"/>
          <w:szCs w:val="28"/>
          <w:lang w:val="en-US" w:eastAsia="zh-CN" w:bidi="ar-SA"/>
        </w:rPr>
        <w:t>（七） 可比实例</w:t>
      </w:r>
      <w:r>
        <w:tab/>
      </w:r>
      <w:r>
        <w:fldChar w:fldCharType="begin"/>
      </w:r>
      <w:r>
        <w:instrText xml:space="preserve"> PAGEREF _Toc21072 \h </w:instrText>
      </w:r>
      <w:r>
        <w:fldChar w:fldCharType="separate"/>
      </w:r>
      <w:r>
        <w:t>42</w:t>
      </w:r>
      <w:r>
        <w:fldChar w:fldCharType="end"/>
      </w:r>
      <w:r>
        <w:rPr>
          <w:rFonts w:ascii="黑体" w:eastAsia="黑体"/>
          <w:color w:val="000000" w:themeColor="text1"/>
          <w14:textFill>
            <w14:solidFill>
              <w14:schemeClr w14:val="tx1"/>
            </w14:solidFill>
          </w14:textFill>
        </w:rPr>
        <w:fldChar w:fldCharType="end"/>
      </w:r>
    </w:p>
    <w:p>
      <w:pPr>
        <w:pStyle w:val="16"/>
        <w:keepNext w:val="0"/>
        <w:keepLines w:val="0"/>
        <w:pageBreakBefore w:val="0"/>
        <w:widowControl w:val="0"/>
        <w:tabs>
          <w:tab w:val="right" w:leader="dot" w:pos="9789"/>
        </w:tabs>
        <w:kinsoku/>
        <w:wordWrap/>
        <w:overflowPunct/>
        <w:topLinePunct w:val="0"/>
        <w:autoSpaceDE/>
        <w:autoSpaceDN/>
        <w:bidi w:val="0"/>
        <w:adjustRightInd/>
        <w:snapToGrid/>
        <w:spacing w:line="400" w:lineRule="exact"/>
        <w:ind w:firstLine="560" w:firstLineChars="200"/>
        <w:textAlignment w:val="auto"/>
      </w:pPr>
      <w:r>
        <w:rPr>
          <w:rFonts w:ascii="黑体" w:eastAsia="黑体"/>
          <w:color w:val="000000" w:themeColor="text1"/>
          <w14:textFill>
            <w14:solidFill>
              <w14:schemeClr w14:val="tx1"/>
            </w14:solidFill>
          </w14:textFill>
        </w:rPr>
        <w:fldChar w:fldCharType="begin"/>
      </w:r>
      <w:r>
        <w:rPr>
          <w:rFonts w:ascii="黑体" w:eastAsia="黑体"/>
        </w:rPr>
        <w:instrText xml:space="preserve"> HYPERLINK \l _Toc2916 </w:instrText>
      </w:r>
      <w:r>
        <w:rPr>
          <w:rFonts w:ascii="黑体" w:eastAsia="黑体"/>
        </w:rPr>
        <w:fldChar w:fldCharType="separate"/>
      </w:r>
      <w:r>
        <w:rPr>
          <w:rFonts w:hint="eastAsia" w:ascii="仿宋_GB2312" w:hAnsi="仿宋_GB2312" w:eastAsia="仿宋_GB2312" w:cs="仿宋_GB2312"/>
          <w:bCs/>
          <w:szCs w:val="28"/>
          <w:lang w:eastAsia="zh-CN"/>
        </w:rPr>
        <w:t>（</w:t>
      </w:r>
      <w:r>
        <w:rPr>
          <w:rFonts w:hint="eastAsia" w:ascii="仿宋_GB2312" w:hAnsi="仿宋_GB2312" w:eastAsia="仿宋_GB2312" w:cs="仿宋_GB2312"/>
          <w:bCs/>
          <w:szCs w:val="28"/>
          <w:lang w:val="en-US" w:eastAsia="zh-CN"/>
        </w:rPr>
        <w:t>七</w:t>
      </w:r>
      <w:r>
        <w:rPr>
          <w:rFonts w:hint="eastAsia" w:ascii="仿宋_GB2312" w:hAnsi="仿宋_GB2312" w:eastAsia="仿宋_GB2312" w:cs="仿宋_GB2312"/>
          <w:bCs/>
          <w:szCs w:val="28"/>
          <w:lang w:eastAsia="zh-CN"/>
        </w:rPr>
        <w:t>）《房地估价机构资质证书》、《营业执照》（复印件）</w:t>
      </w:r>
      <w:r>
        <w:tab/>
      </w:r>
      <w:r>
        <w:fldChar w:fldCharType="begin"/>
      </w:r>
      <w:r>
        <w:instrText xml:space="preserve"> PAGEREF _Toc2916 \h </w:instrText>
      </w:r>
      <w:r>
        <w:fldChar w:fldCharType="separate"/>
      </w:r>
      <w:r>
        <w:t>43</w:t>
      </w:r>
      <w:r>
        <w:fldChar w:fldCharType="end"/>
      </w:r>
      <w:r>
        <w:rPr>
          <w:rFonts w:ascii="黑体" w:eastAsia="黑体"/>
          <w:color w:val="000000" w:themeColor="text1"/>
          <w14:textFill>
            <w14:solidFill>
              <w14:schemeClr w14:val="tx1"/>
            </w14:solidFill>
          </w14:textFill>
        </w:rPr>
        <w:fldChar w:fldCharType="end"/>
      </w:r>
    </w:p>
    <w:p>
      <w:pPr>
        <w:pStyle w:val="16"/>
        <w:keepNext w:val="0"/>
        <w:keepLines w:val="0"/>
        <w:pageBreakBefore w:val="0"/>
        <w:widowControl w:val="0"/>
        <w:tabs>
          <w:tab w:val="right" w:leader="dot" w:pos="9789"/>
        </w:tabs>
        <w:kinsoku/>
        <w:wordWrap/>
        <w:overflowPunct/>
        <w:topLinePunct w:val="0"/>
        <w:autoSpaceDE/>
        <w:autoSpaceDN/>
        <w:bidi w:val="0"/>
        <w:adjustRightInd/>
        <w:snapToGrid/>
        <w:spacing w:line="400" w:lineRule="exact"/>
        <w:ind w:firstLine="560" w:firstLineChars="200"/>
        <w:textAlignment w:val="auto"/>
      </w:pPr>
      <w:r>
        <w:rPr>
          <w:rFonts w:ascii="黑体" w:eastAsia="黑体"/>
          <w:color w:val="000000" w:themeColor="text1"/>
          <w14:textFill>
            <w14:solidFill>
              <w14:schemeClr w14:val="tx1"/>
            </w14:solidFill>
          </w14:textFill>
        </w:rPr>
        <w:fldChar w:fldCharType="begin"/>
      </w:r>
      <w:r>
        <w:rPr>
          <w:rFonts w:ascii="黑体" w:eastAsia="黑体"/>
        </w:rPr>
        <w:instrText xml:space="preserve"> HYPERLINK \l _Toc25123 </w:instrText>
      </w:r>
      <w:r>
        <w:rPr>
          <w:rFonts w:ascii="黑体" w:eastAsia="黑体"/>
        </w:rPr>
        <w:fldChar w:fldCharType="separate"/>
      </w:r>
      <w:r>
        <w:rPr>
          <w:rFonts w:hint="eastAsia" w:ascii="仿宋_GB2312" w:hAnsi="仿宋_GB2312" w:eastAsia="仿宋_GB2312" w:cs="仿宋_GB2312"/>
          <w:bCs/>
          <w:szCs w:val="28"/>
          <w:lang w:eastAsia="zh-CN"/>
        </w:rPr>
        <w:t>（</w:t>
      </w:r>
      <w:r>
        <w:rPr>
          <w:rFonts w:hint="eastAsia" w:ascii="仿宋_GB2312" w:hAnsi="仿宋_GB2312" w:eastAsia="仿宋_GB2312" w:cs="仿宋_GB2312"/>
          <w:bCs/>
          <w:szCs w:val="28"/>
          <w:lang w:val="en-US" w:eastAsia="zh-CN"/>
        </w:rPr>
        <w:t>八</w:t>
      </w:r>
      <w:r>
        <w:rPr>
          <w:rFonts w:hint="eastAsia" w:ascii="仿宋_GB2312" w:hAnsi="仿宋_GB2312" w:eastAsia="仿宋_GB2312" w:cs="仿宋_GB2312"/>
          <w:bCs/>
          <w:szCs w:val="28"/>
          <w:lang w:eastAsia="zh-CN"/>
        </w:rPr>
        <w:t>）《注册房地产估价师资格证书》（复印件）</w:t>
      </w:r>
      <w:r>
        <w:tab/>
      </w:r>
      <w:r>
        <w:fldChar w:fldCharType="begin"/>
      </w:r>
      <w:r>
        <w:instrText xml:space="preserve"> PAGEREF _Toc25123 \h </w:instrText>
      </w:r>
      <w:r>
        <w:fldChar w:fldCharType="separate"/>
      </w:r>
      <w:r>
        <w:t>45</w:t>
      </w:r>
      <w:r>
        <w:fldChar w:fldCharType="end"/>
      </w:r>
      <w:r>
        <w:rPr>
          <w:rFonts w:ascii="黑体" w:eastAsia="黑体"/>
          <w:color w:val="000000" w:themeColor="text1"/>
          <w14:textFill>
            <w14:solidFill>
              <w14:schemeClr w14:val="tx1"/>
            </w14:solidFill>
          </w14:textFill>
        </w:rPr>
        <w:fldChar w:fldCharType="end"/>
      </w:r>
    </w:p>
    <w:p>
      <w:pPr>
        <w:adjustRightInd w:val="0"/>
        <w:snapToGrid w:val="0"/>
        <w:spacing w:line="600" w:lineRule="exact"/>
        <w:jc w:val="center"/>
        <w:outlineLvl w:val="9"/>
        <w:rPr>
          <w:rStyle w:val="26"/>
          <w:rFonts w:ascii="黑体" w:hAnsi="黑体" w:eastAsia="黑体" w:cs="黑体"/>
          <w:bCs/>
          <w:color w:val="000000" w:themeColor="text1"/>
          <w:sz w:val="32"/>
          <w:szCs w:val="32"/>
          <w14:textFill>
            <w14:solidFill>
              <w14:schemeClr w14:val="tx1"/>
            </w14:solidFill>
          </w14:textFill>
        </w:rPr>
        <w:sectPr>
          <w:pgSz w:w="11906" w:h="16838"/>
          <w:pgMar w:top="1134" w:right="862" w:bottom="1134" w:left="1255" w:header="851" w:footer="992" w:gutter="0"/>
          <w:cols w:space="720" w:num="1"/>
          <w:docGrid w:type="linesAndChars" w:linePitch="312" w:charSpace="0"/>
        </w:sectPr>
      </w:pPr>
      <w:r>
        <w:rPr>
          <w:rFonts w:ascii="黑体" w:eastAsia="黑体"/>
          <w:color w:val="000000" w:themeColor="text1"/>
          <w:sz w:val="36"/>
          <w14:textFill>
            <w14:solidFill>
              <w14:schemeClr w14:val="tx1"/>
            </w14:solidFill>
          </w14:textFill>
        </w:rPr>
        <w:fldChar w:fldCharType="end"/>
      </w:r>
    </w:p>
    <w:p>
      <w:pPr>
        <w:spacing w:line="720" w:lineRule="auto"/>
        <w:jc w:val="center"/>
        <w:outlineLvl w:val="0"/>
        <w:rPr>
          <w:rStyle w:val="26"/>
          <w:rFonts w:ascii="黑体" w:hAnsi="黑体" w:eastAsia="黑体" w:cs="黑体"/>
          <w:bCs/>
          <w:color w:val="000000" w:themeColor="text1"/>
          <w:sz w:val="32"/>
          <w:szCs w:val="32"/>
          <w14:textFill>
            <w14:solidFill>
              <w14:schemeClr w14:val="tx1"/>
            </w14:solidFill>
          </w14:textFill>
        </w:rPr>
      </w:pPr>
      <w:bookmarkStart w:id="33" w:name="_Toc19172"/>
      <w:bookmarkStart w:id="34" w:name="_Toc437265325"/>
      <w:r>
        <w:rPr>
          <w:rStyle w:val="26"/>
          <w:rFonts w:hint="eastAsia" w:ascii="黑体" w:hAnsi="黑体" w:eastAsia="黑体" w:cs="黑体"/>
          <w:bCs/>
          <w:color w:val="000000" w:themeColor="text1"/>
          <w:sz w:val="32"/>
          <w:szCs w:val="32"/>
          <w14:textFill>
            <w14:solidFill>
              <w14:schemeClr w14:val="tx1"/>
            </w14:solidFill>
          </w14:textFill>
        </w:rPr>
        <w:t>一、估价师声明</w:t>
      </w:r>
      <w:bookmarkEnd w:id="33"/>
      <w:bookmarkEnd w:id="34"/>
    </w:p>
    <w:p>
      <w:pPr>
        <w:keepNext w:val="0"/>
        <w:keepLines w:val="0"/>
        <w:widowControl/>
        <w:suppressLineNumbers w:val="0"/>
        <w:jc w:val="center"/>
        <w:rPr>
          <w:rFonts w:hint="eastAsia" w:ascii="仿宋_GB2312" w:eastAsia="仿宋_GB2312"/>
          <w:color w:val="auto"/>
          <w:szCs w:val="22"/>
          <w:lang w:val="en-US" w:eastAsia="zh-CN"/>
        </w:rPr>
      </w:pPr>
      <w:bookmarkStart w:id="35" w:name="OLE_LINK33"/>
      <w:bookmarkStart w:id="36" w:name="OLE_LINK32"/>
      <w:r>
        <w:rPr>
          <w:rFonts w:hint="eastAsia" w:ascii="仿宋_GB2312" w:eastAsia="仿宋_GB2312"/>
          <w:color w:val="000000" w:themeColor="text1"/>
          <w:lang w:val="en-US" w:eastAsia="zh-CN"/>
          <w14:textFill>
            <w14:solidFill>
              <w14:schemeClr w14:val="tx1"/>
            </w14:solidFill>
          </w14:textFill>
        </w:rPr>
        <w:t xml:space="preserve">  </w:t>
      </w:r>
      <w:r>
        <w:rPr>
          <w:rFonts w:hint="eastAsia" w:ascii="仿宋_GB2312" w:eastAsia="仿宋_GB2312"/>
          <w:color w:val="auto"/>
          <w:lang w:val="en-US" w:eastAsia="zh-CN"/>
        </w:rPr>
        <w:t xml:space="preserve"> </w:t>
      </w:r>
      <w:r>
        <w:rPr>
          <w:rFonts w:hint="eastAsia" w:ascii="仿宋_GB2312" w:eastAsia="仿宋_GB2312"/>
          <w:color w:val="auto"/>
        </w:rPr>
        <w:t>本估价报告注册房地产估价师</w:t>
      </w:r>
      <w:r>
        <w:rPr>
          <w:rFonts w:hint="eastAsia" w:ascii="仿宋_GB2312" w:eastAsia="仿宋_GB2312"/>
          <w:color w:val="auto"/>
          <w:szCs w:val="22"/>
          <w:lang w:val="en-US" w:eastAsia="zh-CN"/>
        </w:rPr>
        <w:t>艾巧琳（注册号：5120050058）、高涛（注</w:t>
      </w:r>
    </w:p>
    <w:p>
      <w:pPr>
        <w:keepNext w:val="0"/>
        <w:keepLines w:val="0"/>
        <w:widowControl/>
        <w:suppressLineNumbers w:val="0"/>
        <w:jc w:val="both"/>
        <w:rPr>
          <w:rFonts w:ascii="仿宋_GB2312" w:eastAsia="仿宋_GB2312"/>
          <w:color w:val="auto"/>
        </w:rPr>
      </w:pPr>
      <w:r>
        <w:rPr>
          <w:rFonts w:hint="eastAsia" w:ascii="仿宋_GB2312" w:eastAsia="仿宋_GB2312"/>
          <w:color w:val="auto"/>
          <w:szCs w:val="22"/>
          <w:lang w:val="en-US" w:eastAsia="zh-CN"/>
        </w:rPr>
        <w:t>册号：5120180033）</w:t>
      </w:r>
      <w:r>
        <w:rPr>
          <w:rFonts w:hint="eastAsia" w:ascii="仿宋_GB2312" w:eastAsia="仿宋_GB2312"/>
          <w:color w:val="auto"/>
        </w:rPr>
        <w:t>郑重声明：</w:t>
      </w:r>
    </w:p>
    <w:p>
      <w:pPr>
        <w:spacing w:line="360" w:lineRule="auto"/>
        <w:ind w:firstLine="56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1、注册房地产估价师在本估价报告中对事实的说明是真实和准确的，没有虚假记载、误导性陈述和重大遗漏。</w:t>
      </w:r>
    </w:p>
    <w:p>
      <w:pPr>
        <w:spacing w:line="360" w:lineRule="auto"/>
        <w:ind w:firstLine="56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2、本估价报告中的分析、意见和结论是注册房地产估价师独立、客观、公正的专业分析、意见和结论，但受到本估价报告中已说明的估价假设和限制条件的限制。</w:t>
      </w:r>
    </w:p>
    <w:p>
      <w:pPr>
        <w:spacing w:line="360" w:lineRule="auto"/>
        <w:ind w:firstLine="56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3、注册房地产估价师与估价报告中的估价对象没有现实或潜在的利益，与估价委托人及估价厉害关系人没有利害关系，也对估价对象、估价委托人和估价利害关系人没有偏见。</w:t>
      </w:r>
    </w:p>
    <w:p>
      <w:pPr>
        <w:keepNext w:val="0"/>
        <w:keepLines w:val="0"/>
        <w:widowControl/>
        <w:suppressLineNumbers w:val="0"/>
        <w:jc w:val="center"/>
        <w:rPr>
          <w:rFonts w:hint="eastAsia" w:ascii="仿宋_GB2312" w:eastAsia="仿宋_GB2312"/>
          <w:color w:val="000000" w:themeColor="text1"/>
          <w:szCs w:val="22"/>
          <w:lang w:val="en-US" w:eastAsia="zh-CN"/>
          <w14:textFill>
            <w14:solidFill>
              <w14:schemeClr w14:val="tx1"/>
            </w14:solidFill>
          </w14:textFill>
        </w:rPr>
      </w:pPr>
      <w:r>
        <w:rPr>
          <w:rFonts w:hint="eastAsia" w:ascii="仿宋_GB2312" w:eastAsia="仿宋_GB2312"/>
          <w:color w:val="000000" w:themeColor="text1"/>
          <w:lang w:val="en-US" w:eastAsia="zh-CN"/>
          <w14:textFill>
            <w14:solidFill>
              <w14:schemeClr w14:val="tx1"/>
            </w14:solidFill>
          </w14:textFill>
        </w:rPr>
        <w:t xml:space="preserve">   </w:t>
      </w:r>
      <w:r>
        <w:rPr>
          <w:rFonts w:hint="eastAsia" w:ascii="仿宋_GB2312" w:eastAsia="仿宋_GB2312"/>
          <w:color w:val="auto"/>
        </w:rPr>
        <w:t>4、注册房地产估价师依照中华人民共和国国家标准《房地产估价规范》</w:t>
      </w:r>
      <w:r>
        <w:rPr>
          <w:rFonts w:hint="eastAsia" w:ascii="仿宋_GB2312" w:eastAsia="仿宋_GB2312"/>
          <w:color w:val="auto"/>
          <w:lang w:eastAsia="zh-CN"/>
        </w:rPr>
        <w:t>（</w:t>
      </w:r>
      <w:r>
        <w:rPr>
          <w:rFonts w:hint="eastAsia" w:ascii="仿宋_GB2312" w:eastAsia="仿宋_GB2312"/>
          <w:color w:val="auto"/>
          <w:lang w:val="en-US" w:eastAsia="zh-CN"/>
        </w:rPr>
        <w:t>GB/T  50291-2015)</w:t>
      </w:r>
      <w:r>
        <w:rPr>
          <w:rFonts w:hint="eastAsia" w:ascii="仿宋_GB2312" w:eastAsia="仿宋_GB2312"/>
          <w:color w:val="auto"/>
        </w:rPr>
        <w:t>、《房地产估价基本术语标准》</w:t>
      </w:r>
      <w:r>
        <w:rPr>
          <w:rFonts w:hint="eastAsia" w:ascii="仿宋_GB2312" w:eastAsia="仿宋_GB2312"/>
          <w:color w:val="auto"/>
          <w:lang w:val="en-US" w:eastAsia="zh-CN"/>
        </w:rPr>
        <w:t>(GB/T 50899-2013)</w:t>
      </w:r>
      <w:r>
        <w:rPr>
          <w:rFonts w:hint="eastAsia" w:ascii="仿宋_GB2312" w:eastAsia="仿宋_GB2312"/>
          <w:color w:val="auto"/>
        </w:rPr>
        <w:t>、《房地产司法鉴定评估指导意</w:t>
      </w:r>
      <w:r>
        <w:rPr>
          <w:rFonts w:hint="eastAsia" w:ascii="仿宋_GB2312" w:eastAsia="仿宋_GB2312"/>
          <w:color w:val="auto"/>
          <w:szCs w:val="22"/>
        </w:rPr>
        <w:t>见》</w:t>
      </w:r>
      <w:r>
        <w:rPr>
          <w:rFonts w:hint="eastAsia" w:ascii="仿宋_GB2312" w:eastAsia="仿宋_GB2312"/>
          <w:color w:val="auto"/>
          <w:szCs w:val="22"/>
          <w:lang w:eastAsia="zh-CN"/>
        </w:rPr>
        <w:t>、《</w:t>
      </w:r>
      <w:r>
        <w:rPr>
          <w:rFonts w:hint="eastAsia" w:ascii="仿宋_GB2312" w:eastAsia="仿宋_GB2312"/>
          <w:color w:val="auto"/>
          <w:szCs w:val="22"/>
          <w:lang w:val="en-US" w:eastAsia="zh-CN"/>
        </w:rPr>
        <w:t>最高人民法院关于人民法院确定财产处置参</w:t>
      </w:r>
      <w:r>
        <w:rPr>
          <w:rFonts w:hint="eastAsia" w:ascii="仿宋_GB2312" w:eastAsia="仿宋_GB2312"/>
          <w:color w:val="000000" w:themeColor="text1"/>
          <w:szCs w:val="22"/>
          <w:lang w:val="en-US" w:eastAsia="zh-CN"/>
          <w14:textFill>
            <w14:solidFill>
              <w14:schemeClr w14:val="tx1"/>
            </w14:solidFill>
          </w14:textFill>
        </w:rPr>
        <w:t>考价若</w:t>
      </w:r>
    </w:p>
    <w:p>
      <w:pPr>
        <w:keepNext w:val="0"/>
        <w:keepLines w:val="0"/>
        <w:widowControl/>
        <w:suppressLineNumbers w:val="0"/>
        <w:jc w:val="both"/>
        <w:rPr>
          <w:rFonts w:hint="eastAsia" w:ascii="仿宋_GB2312" w:eastAsia="仿宋_GB2312"/>
          <w:color w:val="000000" w:themeColor="text1"/>
          <w:szCs w:val="22"/>
          <w14:textFill>
            <w14:solidFill>
              <w14:schemeClr w14:val="tx1"/>
            </w14:solidFill>
          </w14:textFill>
        </w:rPr>
      </w:pPr>
      <w:r>
        <w:rPr>
          <w:rFonts w:hint="eastAsia" w:ascii="仿宋_GB2312" w:eastAsia="仿宋_GB2312"/>
          <w:color w:val="000000" w:themeColor="text1"/>
          <w:szCs w:val="22"/>
          <w:lang w:val="en-US" w:eastAsia="zh-CN"/>
          <w14:textFill>
            <w14:solidFill>
              <w14:schemeClr w14:val="tx1"/>
            </w14:solidFill>
          </w14:textFill>
        </w:rPr>
        <w:t>干问题的规定</w:t>
      </w:r>
      <w:r>
        <w:rPr>
          <w:rFonts w:hint="eastAsia" w:ascii="仿宋_GB2312" w:eastAsia="仿宋_GB2312"/>
          <w:color w:val="000000" w:themeColor="text1"/>
          <w:szCs w:val="22"/>
          <w:lang w:eastAsia="zh-CN"/>
          <w14:textFill>
            <w14:solidFill>
              <w14:schemeClr w14:val="tx1"/>
            </w14:solidFill>
          </w14:textFill>
        </w:rPr>
        <w:t>》</w:t>
      </w:r>
      <w:r>
        <w:rPr>
          <w:rFonts w:hint="eastAsia" w:ascii="仿宋_GB2312" w:eastAsia="仿宋_GB2312"/>
          <w:color w:val="000000" w:themeColor="text1"/>
          <w:szCs w:val="22"/>
          <w14:textFill>
            <w14:solidFill>
              <w14:schemeClr w14:val="tx1"/>
            </w14:solidFill>
          </w14:textFill>
        </w:rPr>
        <w:t>（试行）</w:t>
      </w:r>
      <w:r>
        <w:rPr>
          <w:rFonts w:hint="eastAsia" w:ascii="仿宋_GB2312" w:eastAsia="仿宋_GB2312"/>
          <w:color w:val="000000" w:themeColor="text1"/>
          <w:szCs w:val="22"/>
          <w:lang w:val="en-US" w:eastAsia="zh-CN"/>
          <w14:textFill>
            <w14:solidFill>
              <w14:schemeClr w14:val="tx1"/>
            </w14:solidFill>
          </w14:textFill>
        </w:rPr>
        <w:t>法释〔2018〕15号、《涉执房地产处置司法评估指导意见（试行）》（中房学【2021】37号）</w:t>
      </w:r>
      <w:r>
        <w:rPr>
          <w:rFonts w:hint="eastAsia" w:ascii="仿宋_GB2312" w:eastAsia="仿宋_GB2312"/>
          <w:color w:val="000000" w:themeColor="text1"/>
          <w:szCs w:val="22"/>
          <w14:textFill>
            <w14:solidFill>
              <w14:schemeClr w14:val="tx1"/>
            </w14:solidFill>
          </w14:textFill>
        </w:rPr>
        <w:t>进行分析，形成意见和结论，撰写本估价报告。</w:t>
      </w:r>
    </w:p>
    <w:p>
      <w:pPr>
        <w:ind w:firstLine="560"/>
        <w:rPr>
          <w:rFonts w:ascii="仿宋_GB2312" w:eastAsia="仿宋_GB2312"/>
          <w:color w:val="000000" w:themeColor="text1"/>
          <w14:textFill>
            <w14:solidFill>
              <w14:schemeClr w14:val="tx1"/>
            </w14:solidFill>
          </w14:textFill>
        </w:rPr>
      </w:pPr>
    </w:p>
    <w:bookmarkEnd w:id="35"/>
    <w:bookmarkEnd w:id="36"/>
    <w:p>
      <w:pPr>
        <w:pStyle w:val="2"/>
        <w:jc w:val="center"/>
        <w:rPr>
          <w:rFonts w:ascii="黑体" w:hAnsi="黑体" w:eastAsia="黑体" w:cs="黑体"/>
          <w:color w:val="000000" w:themeColor="text1"/>
          <w:sz w:val="32"/>
          <w:szCs w:val="32"/>
          <w14:textFill>
            <w14:solidFill>
              <w14:schemeClr w14:val="tx1"/>
            </w14:solidFill>
          </w14:textFill>
        </w:rPr>
        <w:sectPr>
          <w:pgSz w:w="11906" w:h="16838"/>
          <w:pgMar w:top="1134" w:right="862" w:bottom="1134" w:left="1253" w:header="851" w:footer="992" w:gutter="0"/>
          <w:pgNumType w:start="1"/>
          <w:cols w:space="425" w:num="1"/>
          <w:docGrid w:type="linesAndChars" w:linePitch="312" w:charSpace="0"/>
        </w:sectPr>
      </w:pPr>
    </w:p>
    <w:p>
      <w:pPr>
        <w:ind w:firstLine="2880" w:firstLineChars="900"/>
        <w:rPr>
          <w:rFonts w:ascii="黑体" w:eastAsia="黑体"/>
          <w:color w:val="000000" w:themeColor="text1"/>
          <w:sz w:val="32"/>
          <w14:textFill>
            <w14:solidFill>
              <w14:schemeClr w14:val="tx1"/>
            </w14:solidFill>
          </w14:textFill>
        </w:rPr>
      </w:pPr>
      <w:bookmarkStart w:id="37" w:name="_Toc437265326"/>
      <w:bookmarkStart w:id="38" w:name="_Toc214074527"/>
      <w:bookmarkStart w:id="39" w:name="_Toc5103"/>
      <w:r>
        <w:rPr>
          <w:rStyle w:val="26"/>
          <w:rFonts w:hint="eastAsia" w:ascii="黑体" w:hAnsi="黑体" w:eastAsia="黑体" w:cs="黑体"/>
          <w:bCs/>
          <w:color w:val="000000" w:themeColor="text1"/>
          <w:sz w:val="32"/>
          <w:szCs w:val="32"/>
          <w14:textFill>
            <w14:solidFill>
              <w14:schemeClr w14:val="tx1"/>
            </w14:solidFill>
          </w14:textFill>
        </w:rPr>
        <w:t>二、估价的假设和限制条件</w:t>
      </w:r>
      <w:bookmarkEnd w:id="37"/>
      <w:bookmarkEnd w:id="38"/>
      <w:bookmarkEnd w:id="39"/>
    </w:p>
    <w:p>
      <w:pPr>
        <w:pStyle w:val="3"/>
        <w:spacing w:line="300" w:lineRule="exact"/>
        <w:ind w:firstLine="560" w:firstLineChars="200"/>
        <w:rPr>
          <w:rFonts w:ascii="仿宋_GB2312" w:eastAsia="仿宋_GB2312"/>
          <w:b w:val="0"/>
          <w:color w:val="000000" w:themeColor="text1"/>
          <w:sz w:val="28"/>
          <w:szCs w:val="28"/>
          <w14:textFill>
            <w14:solidFill>
              <w14:schemeClr w14:val="tx1"/>
            </w14:solidFill>
          </w14:textFill>
        </w:rPr>
      </w:pPr>
      <w:bookmarkStart w:id="40" w:name="_Toc4732"/>
      <w:bookmarkStart w:id="41" w:name="_Toc464560857"/>
      <w:bookmarkStart w:id="42" w:name="_Toc460239397"/>
      <w:bookmarkStart w:id="43" w:name="_Toc26599"/>
      <w:bookmarkStart w:id="44" w:name="_Toc6586"/>
      <w:bookmarkStart w:id="45" w:name="_Toc214074528"/>
      <w:r>
        <w:rPr>
          <w:rFonts w:hint="eastAsia" w:ascii="仿宋_GB2312" w:eastAsia="仿宋_GB2312"/>
          <w:b w:val="0"/>
          <w:color w:val="000000" w:themeColor="text1"/>
          <w:sz w:val="28"/>
          <w:szCs w:val="28"/>
          <w14:textFill>
            <w14:solidFill>
              <w14:schemeClr w14:val="tx1"/>
            </w14:solidFill>
          </w14:textFill>
        </w:rPr>
        <w:t>（一）估价假设条件</w:t>
      </w:r>
      <w:bookmarkEnd w:id="40"/>
      <w:bookmarkEnd w:id="41"/>
      <w:bookmarkEnd w:id="42"/>
      <w:bookmarkEnd w:id="43"/>
    </w:p>
    <w:bookmarkEnd w:id="44"/>
    <w:p>
      <w:pPr>
        <w:numPr>
          <w:ilvl w:val="0"/>
          <w:numId w:val="5"/>
        </w:numPr>
        <w:spacing w:line="360" w:lineRule="auto"/>
        <w:ind w:firstLine="56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一般假设</w:t>
      </w:r>
    </w:p>
    <w:p>
      <w:pPr>
        <w:spacing w:line="360" w:lineRule="auto"/>
        <w:ind w:firstLine="56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（1）合法性前提。合法性是指估价对象必须合法使用、合法交易或合法处分为前提。</w:t>
      </w:r>
    </w:p>
    <w:p>
      <w:pPr>
        <w:spacing w:line="360" w:lineRule="auto"/>
        <w:ind w:firstLine="56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估价</w:t>
      </w:r>
      <w:r>
        <w:rPr>
          <w:rFonts w:hint="eastAsia" w:ascii="仿宋_GB2312" w:eastAsia="仿宋_GB2312"/>
          <w:color w:val="000000" w:themeColor="text1"/>
          <w:lang w:val="en-US" w:eastAsia="zh-CN"/>
          <w14:textFill>
            <w14:solidFill>
              <w14:schemeClr w14:val="tx1"/>
            </w14:solidFill>
          </w14:textFill>
        </w:rPr>
        <w:t>委托</w:t>
      </w:r>
      <w:r>
        <w:rPr>
          <w:rFonts w:hint="eastAsia" w:ascii="仿宋_GB2312" w:eastAsia="仿宋_GB2312"/>
          <w:color w:val="000000" w:themeColor="text1"/>
          <w14:textFill>
            <w14:solidFill>
              <w14:schemeClr w14:val="tx1"/>
            </w14:solidFill>
          </w14:textFill>
        </w:rPr>
        <w:t>人</w:t>
      </w:r>
      <w:r>
        <w:rPr>
          <w:rFonts w:hint="eastAsia" w:ascii="仿宋_GB2312" w:eastAsia="仿宋_GB2312"/>
          <w:color w:val="000000" w:themeColor="text1"/>
          <w:lang w:eastAsia="zh-CN"/>
          <w14:textFill>
            <w14:solidFill>
              <w14:schemeClr w14:val="tx1"/>
            </w14:solidFill>
          </w14:textFill>
        </w:rPr>
        <w:t>未</w:t>
      </w:r>
      <w:r>
        <w:rPr>
          <w:rFonts w:hint="eastAsia" w:ascii="仿宋_GB2312" w:eastAsia="仿宋_GB2312"/>
          <w:color w:val="000000" w:themeColor="text1"/>
          <w14:textFill>
            <w14:solidFill>
              <w14:schemeClr w14:val="tx1"/>
            </w14:solidFill>
          </w14:textFill>
        </w:rPr>
        <w:t>提供估价对象</w:t>
      </w:r>
      <w:r>
        <w:rPr>
          <w:rFonts w:hint="eastAsia" w:ascii="仿宋_GB2312" w:eastAsia="仿宋_GB2312"/>
          <w:color w:val="000000" w:themeColor="text1"/>
          <w:lang w:eastAsia="zh-CN"/>
          <w14:textFill>
            <w14:solidFill>
              <w14:schemeClr w14:val="tx1"/>
            </w14:solidFill>
          </w14:textFill>
        </w:rPr>
        <w:t>《房屋所有权证》等相关权证，</w:t>
      </w:r>
      <w:r>
        <w:rPr>
          <w:rFonts w:hint="eastAsia" w:ascii="仿宋_GB2312" w:eastAsia="仿宋_GB2312"/>
          <w:color w:val="auto"/>
          <w:lang w:val="en-US" w:eastAsia="zh-CN"/>
        </w:rPr>
        <w:t>注册房地产估价师对估价对象进行了现场踏勘实物状况进行了核实，并通过自贡市不动产登记中心提供的《不动产登记查询结果通知书》对估价对象的权属状况进行了核实，权利人四川平扬房地产开发有限公司对估价对象享有占有、使用、收益、处分等权益，</w:t>
      </w:r>
      <w:r>
        <w:rPr>
          <w:rFonts w:hint="eastAsia" w:ascii="仿宋_GB2312" w:eastAsia="仿宋_GB2312"/>
          <w:color w:val="auto"/>
        </w:rPr>
        <w:t>在</w:t>
      </w:r>
      <w:r>
        <w:rPr>
          <w:rFonts w:hint="eastAsia" w:ascii="仿宋_GB2312" w:eastAsia="仿宋_GB2312"/>
          <w:color w:val="000000" w:themeColor="text1"/>
          <w14:textFill>
            <w14:solidFill>
              <w14:schemeClr w14:val="tx1"/>
            </w14:solidFill>
          </w14:textFill>
        </w:rPr>
        <w:t>无理由怀疑其合法性、真实性、准确性和完整性的情况下，假设厉害关系人提供的资料是合法、真实、准确和完整的。</w:t>
      </w:r>
    </w:p>
    <w:p>
      <w:pPr>
        <w:spacing w:line="360" w:lineRule="auto"/>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 xml:space="preserve">    （2）价值时点的房地产市场是公开、公平、自愿的均衡市场。公开市场是指在该市场上交易双方进行交易的目的在于最大限度的追求经济利益，并掌握必要的市场信息，有较充裕的时间进行交易，对交易对象有必要的专业知识，交易条件公开且不具排他性。交易双方都具有完全市场信息，对交易对象具有必要的专业知识，不考虑特殊买家的附加出价。</w:t>
      </w:r>
    </w:p>
    <w:p>
      <w:pPr>
        <w:spacing w:line="360" w:lineRule="auto"/>
        <w:ind w:firstLine="56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（3）估</w:t>
      </w:r>
      <w:r>
        <w:rPr>
          <w:rFonts w:hint="eastAsia" w:ascii="仿宋_GB2312" w:eastAsia="仿宋_GB2312"/>
          <w:color w:val="auto"/>
        </w:rPr>
        <w:t>价对象保持现状用途（与设计用途、登记用途一致）——</w:t>
      </w:r>
      <w:r>
        <w:rPr>
          <w:rFonts w:hint="eastAsia" w:ascii="仿宋_GB2312" w:eastAsia="仿宋_GB2312"/>
          <w:color w:val="auto"/>
          <w:lang w:eastAsia="zh-CN"/>
        </w:rPr>
        <w:t>车库、仓储</w:t>
      </w:r>
      <w:r>
        <w:rPr>
          <w:rFonts w:hint="eastAsia" w:ascii="仿宋_GB2312" w:eastAsia="仿宋_GB2312"/>
          <w:color w:val="auto"/>
        </w:rPr>
        <w:t>用途继续使用</w:t>
      </w:r>
      <w:r>
        <w:rPr>
          <w:rFonts w:hint="eastAsia" w:ascii="仿宋_GB2312" w:eastAsia="仿宋_GB2312"/>
          <w:color w:val="auto"/>
          <w:lang w:eastAsia="zh-CN"/>
        </w:rPr>
        <w:t>，</w:t>
      </w:r>
      <w:r>
        <w:rPr>
          <w:rFonts w:hint="eastAsia" w:ascii="仿宋_GB2312" w:eastAsia="仿宋_GB2312"/>
          <w:color w:val="auto"/>
          <w:lang w:val="en-US" w:eastAsia="zh-CN"/>
        </w:rPr>
        <w:t>估价对象1建筑面积为14057平方米，</w:t>
      </w:r>
      <w:r>
        <w:rPr>
          <w:rStyle w:val="28"/>
          <w:rFonts w:hint="eastAsia" w:eastAsia="仿宋_GB2312"/>
          <w:color w:val="auto"/>
          <w:szCs w:val="22"/>
          <w:lang w:val="en-US" w:eastAsia="zh-CN"/>
        </w:rPr>
        <w:t>估价对象2建筑面积为311.28平方米</w:t>
      </w:r>
      <w:r>
        <w:rPr>
          <w:rFonts w:hint="eastAsia" w:ascii="仿宋_GB2312" w:eastAsia="仿宋_GB2312"/>
          <w:color w:val="auto"/>
        </w:rPr>
        <w:t>。</w:t>
      </w:r>
    </w:p>
    <w:p>
      <w:pPr>
        <w:spacing w:line="360" w:lineRule="auto"/>
        <w:ind w:firstLine="56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4）在价值时点，注册房地产估价师对估价对象的现场查勘仅限于其外观和使用状况，对房屋安全、环境污染等因素进行给予了关注，注册房地产估价师无法对估价对象的隐蔽工程(地基、电气管线、供水管线等覆盖、掩盖工程）、建筑结构质量等进行专业检测。在无理由怀疑其存在安全隐患且无相应的专业机构进行鉴定、检测的情况下，本次估价以估价对象无质量缺陷、无环境污染为估价前提。</w:t>
      </w:r>
    </w:p>
    <w:p>
      <w:pPr>
        <w:spacing w:line="360" w:lineRule="auto"/>
        <w:ind w:firstLine="56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（5）房屋所有权人对估价对象拥有合法的占有权、使用权、收益权和处分权。本估价报告假设估价对象的处置不受可能影响其价值的债权限制和负有法律义务性质的开支所约束。</w:t>
      </w:r>
    </w:p>
    <w:p>
      <w:pPr>
        <w:spacing w:line="360" w:lineRule="auto"/>
        <w:ind w:firstLine="56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6）本次估价是以估价对象当前状态，于价值时点当时市场状况下形成的客观合理价格为前提；在价值时点后，估价报告使用期限状况内，估价对象质量、使用功能布局、基础设施配套以及房地产市场等发生变化，均会对估价结果产生一定影响。如果对估价对象价值产生明显影响时，应对本估价结果进行必要的调整。</w:t>
      </w:r>
    </w:p>
    <w:p>
      <w:pPr>
        <w:spacing w:line="360" w:lineRule="auto"/>
        <w:ind w:firstLine="560" w:firstLineChars="200"/>
        <w:rPr>
          <w:rFonts w:ascii="仿宋_GB2312" w:eastAsia="仿宋_GB2312"/>
          <w:color w:val="000000" w:themeColor="text1"/>
          <w14:textFill>
            <w14:solidFill>
              <w14:schemeClr w14:val="tx1"/>
            </w14:solidFill>
          </w14:textFill>
        </w:rPr>
      </w:pPr>
      <w:bookmarkStart w:id="46" w:name="OLE_LINK15"/>
      <w:r>
        <w:rPr>
          <w:rFonts w:hint="eastAsia" w:ascii="仿宋_GB2312" w:eastAsia="仿宋_GB2312"/>
          <w:color w:val="000000" w:themeColor="text1"/>
          <w14:textFill>
            <w14:solidFill>
              <w14:schemeClr w14:val="tx1"/>
            </w14:solidFill>
          </w14:textFill>
        </w:rPr>
        <w:t>2、未定事项假设</w:t>
      </w:r>
    </w:p>
    <w:p>
      <w:pPr>
        <w:spacing w:line="360" w:lineRule="auto"/>
        <w:ind w:firstLine="56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lang w:eastAsia="zh-CN"/>
          <w14:textFill>
            <w14:solidFill>
              <w14:schemeClr w14:val="tx1"/>
            </w14:solidFill>
          </w14:textFill>
        </w:rPr>
        <w:t>无</w:t>
      </w:r>
      <w:r>
        <w:rPr>
          <w:rFonts w:hint="eastAsia" w:ascii="仿宋_GB2312" w:eastAsia="仿宋_GB2312"/>
          <w:color w:val="000000" w:themeColor="text1"/>
          <w14:textFill>
            <w14:solidFill>
              <w14:schemeClr w14:val="tx1"/>
            </w14:solidFill>
          </w14:textFill>
        </w:rPr>
        <w:t>。</w:t>
      </w:r>
    </w:p>
    <w:bookmarkEnd w:id="46"/>
    <w:p>
      <w:pPr>
        <w:spacing w:line="360" w:lineRule="auto"/>
        <w:ind w:firstLine="56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3、背离实际情况假设</w:t>
      </w:r>
    </w:p>
    <w:p>
      <w:pPr>
        <w:spacing w:line="360" w:lineRule="auto"/>
        <w:ind w:firstLine="56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lang w:eastAsia="zh-CN"/>
          <w14:textFill>
            <w14:solidFill>
              <w14:schemeClr w14:val="tx1"/>
            </w14:solidFill>
          </w14:textFill>
        </w:rPr>
        <w:t>无</w:t>
      </w:r>
      <w:r>
        <w:rPr>
          <w:rFonts w:hint="eastAsia" w:ascii="仿宋_GB2312" w:eastAsia="仿宋_GB2312"/>
          <w:color w:val="000000" w:themeColor="text1"/>
          <w14:textFill>
            <w14:solidFill>
              <w14:schemeClr w14:val="tx1"/>
            </w14:solidFill>
          </w14:textFill>
        </w:rPr>
        <w:t>。</w:t>
      </w:r>
    </w:p>
    <w:p>
      <w:pPr>
        <w:numPr>
          <w:ilvl w:val="0"/>
          <w:numId w:val="6"/>
        </w:numPr>
        <w:spacing w:line="360" w:lineRule="auto"/>
        <w:ind w:firstLine="560" w:firstLineChars="200"/>
        <w:rPr>
          <w:rFonts w:ascii="仿宋_GB2312" w:eastAsia="仿宋_GB2312"/>
          <w:color w:val="000000" w:themeColor="text1"/>
          <w14:textFill>
            <w14:solidFill>
              <w14:schemeClr w14:val="tx1"/>
            </w14:solidFill>
          </w14:textFill>
        </w:rPr>
      </w:pPr>
      <w:bookmarkStart w:id="47" w:name="OLE_LINK34"/>
      <w:r>
        <w:rPr>
          <w:rFonts w:hint="eastAsia" w:ascii="仿宋_GB2312" w:eastAsia="仿宋_GB2312"/>
          <w:color w:val="000000" w:themeColor="text1"/>
          <w14:textFill>
            <w14:solidFill>
              <w14:schemeClr w14:val="tx1"/>
            </w14:solidFill>
          </w14:textFill>
        </w:rPr>
        <w:t>不相一致假设</w:t>
      </w:r>
      <w:bookmarkEnd w:id="47"/>
    </w:p>
    <w:p>
      <w:pPr>
        <w:numPr>
          <w:ilvl w:val="0"/>
          <w:numId w:val="0"/>
        </w:numPr>
        <w:spacing w:line="360" w:lineRule="auto"/>
        <w:ind w:firstLine="56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lang w:eastAsia="zh-CN"/>
          <w14:textFill>
            <w14:solidFill>
              <w14:schemeClr w14:val="tx1"/>
            </w14:solidFill>
          </w14:textFill>
        </w:rPr>
        <w:t>无</w:t>
      </w:r>
      <w:r>
        <w:rPr>
          <w:rFonts w:hint="eastAsia" w:ascii="仿宋_GB2312" w:eastAsia="仿宋_GB2312"/>
          <w:color w:val="000000" w:themeColor="text1"/>
          <w14:textFill>
            <w14:solidFill>
              <w14:schemeClr w14:val="tx1"/>
            </w14:solidFill>
          </w14:textFill>
        </w:rPr>
        <w:t>。</w:t>
      </w:r>
    </w:p>
    <w:p>
      <w:pPr>
        <w:spacing w:line="360" w:lineRule="auto"/>
        <w:ind w:firstLine="56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5、依据不足假设</w:t>
      </w:r>
    </w:p>
    <w:p>
      <w:pPr>
        <w:spacing w:line="360" w:lineRule="auto"/>
        <w:ind w:firstLine="560" w:firstLineChars="200"/>
        <w:rPr>
          <w:rFonts w:hint="eastAsia" w:ascii="仿宋_GB2312" w:eastAsia="仿宋_GB2312"/>
          <w:color w:val="000000" w:themeColor="text1"/>
          <w14:textFill>
            <w14:solidFill>
              <w14:schemeClr w14:val="tx1"/>
            </w14:solidFill>
          </w14:textFill>
        </w:rPr>
      </w:pPr>
      <w:bookmarkStart w:id="48" w:name="_Toc15344"/>
      <w:bookmarkStart w:id="49" w:name="_Toc464560858"/>
      <w:bookmarkStart w:id="50" w:name="_Toc23566"/>
      <w:r>
        <w:rPr>
          <w:rFonts w:hint="eastAsia" w:ascii="仿宋_GB2312" w:eastAsia="仿宋_GB2312"/>
          <w:color w:val="000000" w:themeColor="text1"/>
          <w:lang w:eastAsia="zh-CN"/>
          <w14:textFill>
            <w14:solidFill>
              <w14:schemeClr w14:val="tx1"/>
            </w14:solidFill>
          </w14:textFill>
        </w:rPr>
        <w:t>无</w:t>
      </w:r>
      <w:r>
        <w:rPr>
          <w:rFonts w:hint="eastAsia" w:ascii="仿宋_GB2312" w:eastAsia="仿宋_GB2312"/>
          <w:color w:val="000000" w:themeColor="text1"/>
          <w14:textFill>
            <w14:solidFill>
              <w14:schemeClr w14:val="tx1"/>
            </w14:solidFill>
          </w14:textFill>
        </w:rPr>
        <w:t>。</w:t>
      </w:r>
    </w:p>
    <w:p>
      <w:pPr>
        <w:pStyle w:val="3"/>
        <w:spacing w:before="0" w:after="0" w:line="560" w:lineRule="exact"/>
        <w:ind w:firstLine="560" w:firstLineChars="200"/>
        <w:rPr>
          <w:rFonts w:hint="eastAsia"/>
          <w:color w:val="000000" w:themeColor="text1"/>
          <w14:textFill>
            <w14:solidFill>
              <w14:schemeClr w14:val="tx1"/>
            </w14:solidFill>
          </w14:textFill>
        </w:rPr>
      </w:pPr>
      <w:bookmarkStart w:id="51" w:name="_Toc16097"/>
      <w:r>
        <w:rPr>
          <w:rFonts w:hint="eastAsia" w:ascii="仿宋_GB2312" w:eastAsia="仿宋_GB2312"/>
          <w:b w:val="0"/>
          <w:color w:val="000000" w:themeColor="text1"/>
          <w:sz w:val="28"/>
          <w:szCs w:val="28"/>
          <w14:textFill>
            <w14:solidFill>
              <w14:schemeClr w14:val="tx1"/>
            </w14:solidFill>
          </w14:textFill>
        </w:rPr>
        <w:t>（二）</w:t>
      </w:r>
      <w:r>
        <w:rPr>
          <w:rFonts w:hint="eastAsia" w:ascii="仿宋_GB2312" w:hAnsi="Times New Roman" w:eastAsia="仿宋_GB2312" w:cs="Times New Roman"/>
          <w:color w:val="000000" w:themeColor="text1"/>
          <w:kern w:val="2"/>
          <w:sz w:val="28"/>
          <w:szCs w:val="22"/>
          <w:lang w:val="en-US" w:eastAsia="zh-CN" w:bidi="ar-SA"/>
          <w14:textFill>
            <w14:solidFill>
              <w14:schemeClr w14:val="tx1"/>
            </w14:solidFill>
          </w14:textFill>
        </w:rPr>
        <w:t>估价中未考虑的因素及其他特别说明</w:t>
      </w:r>
      <w:bookmarkEnd w:id="51"/>
    </w:p>
    <w:p>
      <w:pPr>
        <w:pStyle w:val="5"/>
        <w:ind w:firstLine="560" w:firstLineChars="200"/>
        <w:rPr>
          <w:rFonts w:hint="eastAsia" w:ascii="仿宋_GB2312" w:hAnsi="Times New Roman" w:eastAsia="仿宋_GB2312" w:cs="Times New Roman"/>
          <w:color w:val="000000" w:themeColor="text1"/>
          <w:kern w:val="2"/>
          <w:sz w:val="28"/>
          <w:szCs w:val="22"/>
          <w:lang w:val="en-US" w:eastAsia="zh-CN" w:bidi="ar-SA"/>
          <w14:textFill>
            <w14:solidFill>
              <w14:schemeClr w14:val="tx1"/>
            </w14:solidFill>
          </w14:textFill>
        </w:rPr>
      </w:pPr>
      <w:r>
        <w:rPr>
          <w:rFonts w:hint="eastAsia" w:ascii="仿宋_GB2312" w:eastAsia="仿宋_GB2312" w:cs="Times New Roman"/>
          <w:color w:val="000000" w:themeColor="text1"/>
          <w:kern w:val="2"/>
          <w:sz w:val="28"/>
          <w:szCs w:val="22"/>
          <w:lang w:val="en-US" w:eastAsia="zh-CN" w:bidi="ar-SA"/>
          <w14:textFill>
            <w14:solidFill>
              <w14:schemeClr w14:val="tx1"/>
            </w14:solidFill>
          </w14:textFill>
        </w:rPr>
        <w:t>1、</w:t>
      </w:r>
      <w:r>
        <w:rPr>
          <w:rFonts w:hint="eastAsia" w:ascii="仿宋_GB2312" w:hAnsi="Times New Roman" w:eastAsia="仿宋_GB2312" w:cs="Times New Roman"/>
          <w:color w:val="000000" w:themeColor="text1"/>
          <w:kern w:val="2"/>
          <w:sz w:val="28"/>
          <w:szCs w:val="22"/>
          <w:lang w:val="en-US" w:eastAsia="zh-CN" w:bidi="ar-SA"/>
          <w14:textFill>
            <w14:solidFill>
              <w14:schemeClr w14:val="tx1"/>
            </w14:solidFill>
          </w14:textFill>
        </w:rPr>
        <w:t>估价结果是反映估价对象在本报告目的下的市场价值参考，估价时没有考虑国家宏观经济政策发生变化、市场供应关系变化、市场结构转变、遇有自然力和其他不可抗力等因素对房地产价值的影响，也没有考虑估价对象处置（拍卖、变卖等）时发生的交易税费、转让手续费等对估价结果的影响。当上述条件发生变化时，估价结果一般亦会发生变化。</w:t>
      </w:r>
    </w:p>
    <w:p>
      <w:pPr>
        <w:pStyle w:val="48"/>
        <w:numPr>
          <w:ilvl w:val="0"/>
          <w:numId w:val="0"/>
        </w:numPr>
        <w:ind w:leftChars="0" w:firstLine="560" w:firstLineChars="200"/>
        <w:rPr>
          <w:rFonts w:hint="eastAsia" w:ascii="仿宋_GB2312" w:hAnsi="Times New Roman" w:eastAsia="仿宋_GB2312" w:cs="Times New Roman"/>
          <w:color w:val="000000" w:themeColor="text1"/>
          <w:kern w:val="2"/>
          <w:sz w:val="28"/>
          <w:szCs w:val="22"/>
          <w:lang w:val="en-US" w:eastAsia="zh-CN" w:bidi="ar-SA"/>
          <w14:textFill>
            <w14:solidFill>
              <w14:schemeClr w14:val="tx1"/>
            </w14:solidFill>
          </w14:textFill>
        </w:rPr>
      </w:pPr>
      <w:r>
        <w:rPr>
          <w:rFonts w:hint="eastAsia" w:ascii="仿宋_GB2312" w:eastAsia="仿宋_GB2312" w:cs="Times New Roman"/>
          <w:color w:val="000000" w:themeColor="text1"/>
          <w:kern w:val="2"/>
          <w:sz w:val="28"/>
          <w:szCs w:val="22"/>
          <w:lang w:val="en-US" w:eastAsia="zh-CN" w:bidi="ar-SA"/>
          <w14:textFill>
            <w14:solidFill>
              <w14:schemeClr w14:val="tx1"/>
            </w14:solidFill>
          </w14:textFill>
        </w:rPr>
        <w:t>2、</w:t>
      </w:r>
      <w:r>
        <w:rPr>
          <w:rFonts w:hint="eastAsia" w:ascii="仿宋_GB2312" w:hAnsi="Times New Roman" w:eastAsia="仿宋_GB2312" w:cs="Times New Roman"/>
          <w:color w:val="000000" w:themeColor="text1"/>
          <w:kern w:val="2"/>
          <w:sz w:val="28"/>
          <w:szCs w:val="22"/>
          <w:lang w:val="en-US" w:eastAsia="zh-CN" w:bidi="ar-SA"/>
          <w14:textFill>
            <w14:solidFill>
              <w14:schemeClr w14:val="tx1"/>
            </w14:solidFill>
          </w14:textFill>
        </w:rPr>
        <w:t>本报告估价结果是在公开市场前提下求取的房地产市场价值，未考虑快速变现等处分方式带来的影响。</w:t>
      </w:r>
    </w:p>
    <w:p>
      <w:pPr>
        <w:pStyle w:val="48"/>
        <w:numPr>
          <w:ilvl w:val="0"/>
          <w:numId w:val="0"/>
        </w:numPr>
        <w:ind w:leftChars="0" w:firstLine="560" w:firstLineChars="200"/>
        <w:rPr>
          <w:rFonts w:hint="eastAsia" w:ascii="仿宋_GB2312" w:hAnsi="Times New Roman" w:eastAsia="仿宋_GB2312" w:cs="Times New Roman"/>
          <w:color w:val="000000" w:themeColor="text1"/>
          <w:kern w:val="2"/>
          <w:sz w:val="28"/>
          <w:szCs w:val="22"/>
          <w:lang w:val="en-US" w:eastAsia="zh-CN" w:bidi="ar-SA"/>
          <w14:textFill>
            <w14:solidFill>
              <w14:schemeClr w14:val="tx1"/>
            </w14:solidFill>
          </w14:textFill>
        </w:rPr>
      </w:pPr>
      <w:r>
        <w:rPr>
          <w:rFonts w:hint="eastAsia" w:ascii="仿宋_GB2312" w:eastAsia="仿宋_GB2312" w:cs="Times New Roman"/>
          <w:color w:val="000000" w:themeColor="text1"/>
          <w:kern w:val="2"/>
          <w:sz w:val="28"/>
          <w:szCs w:val="22"/>
          <w:lang w:val="en-US" w:eastAsia="zh-CN" w:bidi="ar-SA"/>
          <w14:textFill>
            <w14:solidFill>
              <w14:schemeClr w14:val="tx1"/>
            </w14:solidFill>
          </w14:textFill>
        </w:rPr>
        <w:t>3、</w:t>
      </w:r>
      <w:r>
        <w:rPr>
          <w:rFonts w:hint="eastAsia" w:ascii="仿宋_GB2312" w:hAnsi="Times New Roman" w:eastAsia="仿宋_GB2312" w:cs="Times New Roman"/>
          <w:color w:val="000000" w:themeColor="text1"/>
          <w:kern w:val="2"/>
          <w:sz w:val="28"/>
          <w:szCs w:val="22"/>
          <w:lang w:val="en-US" w:eastAsia="zh-CN" w:bidi="ar-SA"/>
          <w14:textFill>
            <w14:solidFill>
              <w14:schemeClr w14:val="tx1"/>
            </w14:solidFill>
          </w14:textFill>
        </w:rPr>
        <w:t>估价结果未考虑未来处置风险。</w:t>
      </w:r>
    </w:p>
    <w:p>
      <w:pPr>
        <w:pStyle w:val="48"/>
        <w:numPr>
          <w:ilvl w:val="0"/>
          <w:numId w:val="0"/>
        </w:numPr>
        <w:ind w:leftChars="0" w:firstLine="560" w:firstLineChars="200"/>
        <w:rPr>
          <w:rFonts w:hint="eastAsia" w:ascii="仿宋_GB2312" w:hAnsi="Times New Roman" w:eastAsia="仿宋_GB2312" w:cs="Times New Roman"/>
          <w:color w:val="000000" w:themeColor="text1"/>
          <w:kern w:val="2"/>
          <w:sz w:val="28"/>
          <w:szCs w:val="22"/>
          <w:lang w:val="en-US" w:eastAsia="zh-CN" w:bidi="ar-SA"/>
          <w14:textFill>
            <w14:solidFill>
              <w14:schemeClr w14:val="tx1"/>
            </w14:solidFill>
          </w14:textFill>
        </w:rPr>
      </w:pPr>
      <w:r>
        <w:rPr>
          <w:rFonts w:hint="eastAsia" w:ascii="仿宋_GB2312" w:eastAsia="仿宋_GB2312" w:cs="Times New Roman"/>
          <w:color w:val="000000" w:themeColor="text1"/>
          <w:kern w:val="2"/>
          <w:sz w:val="28"/>
          <w:szCs w:val="22"/>
          <w:lang w:val="en-US" w:eastAsia="zh-CN" w:bidi="ar-SA"/>
          <w14:textFill>
            <w14:solidFill>
              <w14:schemeClr w14:val="tx1"/>
            </w14:solidFill>
          </w14:textFill>
        </w:rPr>
        <w:t>4、</w:t>
      </w:r>
      <w:r>
        <w:rPr>
          <w:rFonts w:hint="eastAsia" w:ascii="仿宋_GB2312" w:hAnsi="Times New Roman" w:eastAsia="仿宋_GB2312" w:cs="Times New Roman"/>
          <w:color w:val="000000" w:themeColor="text1"/>
          <w:kern w:val="2"/>
          <w:sz w:val="28"/>
          <w:szCs w:val="22"/>
          <w:lang w:val="en-US" w:eastAsia="zh-CN" w:bidi="ar-SA"/>
          <w14:textFill>
            <w14:solidFill>
              <w14:schemeClr w14:val="tx1"/>
            </w14:solidFill>
          </w14:textFill>
        </w:rPr>
        <w:t>本次估价我们未考虑估价对象可能存在的物业管理费、水电费等影响其价值的因素限制。</w:t>
      </w:r>
    </w:p>
    <w:p>
      <w:pPr>
        <w:pStyle w:val="3"/>
        <w:spacing w:before="0" w:after="0" w:line="560" w:lineRule="exact"/>
        <w:ind w:firstLine="560" w:firstLineChars="200"/>
        <w:rPr>
          <w:rFonts w:ascii="仿宋_GB2312" w:eastAsia="仿宋_GB2312"/>
          <w:b w:val="0"/>
          <w:color w:val="000000" w:themeColor="text1"/>
          <w:sz w:val="28"/>
          <w:szCs w:val="28"/>
          <w14:textFill>
            <w14:solidFill>
              <w14:schemeClr w14:val="tx1"/>
            </w14:solidFill>
          </w14:textFill>
        </w:rPr>
      </w:pPr>
      <w:bookmarkStart w:id="52" w:name="_Toc24768"/>
      <w:r>
        <w:rPr>
          <w:rFonts w:hint="eastAsia" w:ascii="仿宋_GB2312" w:eastAsia="仿宋_GB2312"/>
          <w:b w:val="0"/>
          <w:color w:val="000000" w:themeColor="text1"/>
          <w:sz w:val="28"/>
          <w:szCs w:val="28"/>
          <w14:textFill>
            <w14:solidFill>
              <w14:schemeClr w14:val="tx1"/>
            </w14:solidFill>
          </w14:textFill>
        </w:rPr>
        <w:t>（</w:t>
      </w:r>
      <w:r>
        <w:rPr>
          <w:rFonts w:hint="eastAsia" w:ascii="仿宋_GB2312" w:eastAsia="仿宋_GB2312"/>
          <w:b w:val="0"/>
          <w:color w:val="000000" w:themeColor="text1"/>
          <w:sz w:val="28"/>
          <w:szCs w:val="28"/>
          <w:lang w:val="en-US" w:eastAsia="zh-CN"/>
          <w14:textFill>
            <w14:solidFill>
              <w14:schemeClr w14:val="tx1"/>
            </w14:solidFill>
          </w14:textFill>
        </w:rPr>
        <w:t>三</w:t>
      </w:r>
      <w:r>
        <w:rPr>
          <w:rFonts w:hint="eastAsia" w:ascii="仿宋_GB2312" w:eastAsia="仿宋_GB2312"/>
          <w:b w:val="0"/>
          <w:color w:val="000000" w:themeColor="text1"/>
          <w:sz w:val="28"/>
          <w:szCs w:val="28"/>
          <w14:textFill>
            <w14:solidFill>
              <w14:schemeClr w14:val="tx1"/>
            </w14:solidFill>
          </w14:textFill>
        </w:rPr>
        <w:t>）估价报告使用的限制条件</w:t>
      </w:r>
      <w:bookmarkEnd w:id="48"/>
      <w:bookmarkEnd w:id="49"/>
      <w:bookmarkEnd w:id="50"/>
      <w:bookmarkEnd w:id="52"/>
    </w:p>
    <w:p>
      <w:pPr>
        <w:spacing w:line="560" w:lineRule="exact"/>
        <w:ind w:firstLine="56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1、本估价报告不能作为确定估价对象权属和面积的依据。</w:t>
      </w:r>
    </w:p>
    <w:p>
      <w:pPr>
        <w:spacing w:line="560" w:lineRule="exact"/>
        <w:ind w:firstLine="56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2、估价委托人提供的资料和陈述的情况直接影响我们的估价分析和结论，因此估价委托人应对提供资料和陈述情况的合法性、真实性、完整性及其引起的法律后果负责；注册房地产估价师对所收集资料的真实性、准确性负责。房地产估价机构对估价结果的公正性、准确性负责。因估价委托人提供的资料和陈述的情况失实造成估价结果有误的，房地产估价机构和注册房地产估价师不承担相应责任。</w:t>
      </w:r>
    </w:p>
    <w:p>
      <w:pPr>
        <w:spacing w:line="600" w:lineRule="exact"/>
        <w:ind w:firstLine="56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3、本估价报告中，未考虑未来房地产市场变化风险、短期强制处分、房地产变现的不确定性和变现费用、房屋转让时应缴纳的有关税费等因素对估价对象价值的影响。</w:t>
      </w:r>
    </w:p>
    <w:p>
      <w:pPr>
        <w:spacing w:line="600" w:lineRule="exact"/>
        <w:ind w:firstLine="56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4、本估价报告必须完整使用方为有效。本估价结果包括地上房屋及其附属设施设备、不可移动的装饰装修，应分摊的土地使用权价值，若该土地使用权和附属的设施设备与房屋分割处置，本估价结果无效。</w:t>
      </w:r>
    </w:p>
    <w:p>
      <w:pPr>
        <w:spacing w:line="600" w:lineRule="exact"/>
        <w:ind w:firstLine="560"/>
        <w:rPr>
          <w:rStyle w:val="28"/>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5、</w:t>
      </w:r>
      <w:r>
        <w:rPr>
          <w:rStyle w:val="28"/>
          <w:color w:val="000000" w:themeColor="text1"/>
          <w14:textFill>
            <w14:solidFill>
              <w14:schemeClr w14:val="tx1"/>
            </w14:solidFill>
          </w14:textFill>
        </w:rPr>
        <w:t>本估价报告自</w:t>
      </w:r>
      <w:r>
        <w:rPr>
          <w:rStyle w:val="28"/>
          <w:rFonts w:hint="eastAsia"/>
          <w:color w:val="000000" w:themeColor="text1"/>
          <w14:textFill>
            <w14:solidFill>
              <w14:schemeClr w14:val="tx1"/>
            </w14:solidFill>
          </w14:textFill>
        </w:rPr>
        <w:t>出具之日（</w:t>
      </w:r>
      <w:r>
        <w:rPr>
          <w:rFonts w:hint="eastAsia" w:ascii="仿宋_GB2312" w:eastAsia="仿宋_GB2312"/>
          <w:color w:val="000000" w:themeColor="text1"/>
          <w:lang w:eastAsia="zh-CN"/>
          <w14:textFill>
            <w14:solidFill>
              <w14:schemeClr w14:val="tx1"/>
            </w14:solidFill>
          </w14:textFill>
        </w:rPr>
        <w:t>2021年9月22日</w:t>
      </w:r>
      <w:r>
        <w:rPr>
          <w:rStyle w:val="28"/>
          <w:rFonts w:hint="eastAsia"/>
          <w:color w:val="000000" w:themeColor="text1"/>
          <w14:textFill>
            <w14:solidFill>
              <w14:schemeClr w14:val="tx1"/>
            </w14:solidFill>
          </w14:textFill>
        </w:rPr>
        <w:t>）</w:t>
      </w:r>
      <w:r>
        <w:rPr>
          <w:rStyle w:val="28"/>
          <w:color w:val="000000" w:themeColor="text1"/>
          <w14:textFill>
            <w14:solidFill>
              <w14:schemeClr w14:val="tx1"/>
            </w14:solidFill>
          </w14:textFill>
        </w:rPr>
        <w:t>起壹年内有效，</w:t>
      </w:r>
      <w:r>
        <w:rPr>
          <w:rStyle w:val="28"/>
          <w:rFonts w:hint="eastAsia"/>
          <w:color w:val="000000" w:themeColor="text1"/>
          <w14:textFill>
            <w14:solidFill>
              <w14:schemeClr w14:val="tx1"/>
            </w14:solidFill>
          </w14:textFill>
        </w:rPr>
        <w:t>超出</w:t>
      </w:r>
      <w:bookmarkStart w:id="53" w:name="OLE_LINK6"/>
      <w:r>
        <w:rPr>
          <w:rStyle w:val="28"/>
          <w:rFonts w:hint="eastAsia"/>
          <w:color w:val="000000" w:themeColor="text1"/>
          <w14:textFill>
            <w14:solidFill>
              <w14:schemeClr w14:val="tx1"/>
            </w14:solidFill>
          </w14:textFill>
        </w:rPr>
        <w:t>报告</w:t>
      </w:r>
      <w:bookmarkEnd w:id="53"/>
      <w:r>
        <w:rPr>
          <w:rStyle w:val="28"/>
          <w:rFonts w:hint="eastAsia"/>
          <w:color w:val="000000" w:themeColor="text1"/>
          <w14:textFill>
            <w14:solidFill>
              <w14:schemeClr w14:val="tx1"/>
            </w14:solidFill>
          </w14:textFill>
        </w:rPr>
        <w:t>有效使用期</w:t>
      </w:r>
      <w:r>
        <w:rPr>
          <w:rStyle w:val="28"/>
          <w:color w:val="000000" w:themeColor="text1"/>
          <w14:textFill>
            <w14:solidFill>
              <w14:schemeClr w14:val="tx1"/>
            </w14:solidFill>
          </w14:textFill>
        </w:rPr>
        <w:t>或者</w:t>
      </w:r>
      <w:r>
        <w:rPr>
          <w:rStyle w:val="28"/>
          <w:rFonts w:hint="eastAsia"/>
          <w:color w:val="000000" w:themeColor="text1"/>
          <w14:textFill>
            <w14:solidFill>
              <w14:schemeClr w14:val="tx1"/>
            </w14:solidFill>
          </w14:textFill>
        </w:rPr>
        <w:t>在</w:t>
      </w:r>
      <w:r>
        <w:rPr>
          <w:rStyle w:val="28"/>
          <w:color w:val="000000" w:themeColor="text1"/>
          <w14:textFill>
            <w14:solidFill>
              <w14:schemeClr w14:val="tx1"/>
            </w14:solidFill>
          </w14:textFill>
        </w:rPr>
        <w:t>估价</w:t>
      </w:r>
      <w:r>
        <w:rPr>
          <w:rStyle w:val="28"/>
          <w:rFonts w:hint="eastAsia"/>
          <w:color w:val="000000" w:themeColor="text1"/>
          <w14:textFill>
            <w14:solidFill>
              <w14:schemeClr w14:val="tx1"/>
            </w14:solidFill>
          </w14:textFill>
        </w:rPr>
        <w:t>报告有效使用期限内</w:t>
      </w:r>
      <w:r>
        <w:rPr>
          <w:rStyle w:val="28"/>
          <w:color w:val="000000" w:themeColor="text1"/>
          <w14:textFill>
            <w14:solidFill>
              <w14:schemeClr w14:val="tx1"/>
            </w14:solidFill>
          </w14:textFill>
        </w:rPr>
        <w:t>房地产市场价格波动较大时，其估价结果应作相应的调整或重新进行估价</w:t>
      </w:r>
      <w:r>
        <w:rPr>
          <w:rStyle w:val="28"/>
          <w:rFonts w:hint="eastAsia"/>
          <w:color w:val="000000" w:themeColor="text1"/>
          <w14:textFill>
            <w14:solidFill>
              <w14:schemeClr w14:val="tx1"/>
            </w14:solidFill>
          </w14:textFill>
        </w:rPr>
        <w:t>。</w:t>
      </w:r>
    </w:p>
    <w:p>
      <w:pPr>
        <w:spacing w:line="600" w:lineRule="exact"/>
        <w:ind w:firstLine="56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6、本</w:t>
      </w:r>
      <w:r>
        <w:rPr>
          <w:rStyle w:val="28"/>
          <w:color w:val="000000" w:themeColor="text1"/>
          <w14:textFill>
            <w14:solidFill>
              <w14:schemeClr w14:val="tx1"/>
            </w14:solidFill>
          </w14:textFill>
        </w:rPr>
        <w:t>估价</w:t>
      </w:r>
      <w:r>
        <w:rPr>
          <w:rFonts w:hint="eastAsia" w:ascii="仿宋_GB2312" w:eastAsia="仿宋_GB2312"/>
          <w:color w:val="000000" w:themeColor="text1"/>
          <w14:textFill>
            <w14:solidFill>
              <w14:schemeClr w14:val="tx1"/>
            </w14:solidFill>
          </w14:textFill>
        </w:rPr>
        <w:t>报告有效使用期限内，为确定之估价目的服务，不得用于其他目的。未经房地产估价机构同意，本</w:t>
      </w:r>
      <w:r>
        <w:rPr>
          <w:rStyle w:val="28"/>
          <w:color w:val="000000" w:themeColor="text1"/>
          <w14:textFill>
            <w14:solidFill>
              <w14:schemeClr w14:val="tx1"/>
            </w14:solidFill>
          </w14:textFill>
        </w:rPr>
        <w:t>估价</w:t>
      </w:r>
      <w:r>
        <w:rPr>
          <w:rFonts w:hint="eastAsia" w:ascii="仿宋_GB2312" w:eastAsia="仿宋_GB2312"/>
          <w:color w:val="000000" w:themeColor="text1"/>
          <w14:textFill>
            <w14:solidFill>
              <w14:schemeClr w14:val="tx1"/>
            </w14:solidFill>
          </w14:textFill>
        </w:rPr>
        <w:t>报告的全部内容或部分内容不得向估价委托人和估价报告审查部门之外的单位和个人提供，也不得发表于任何公开媒体。</w:t>
      </w:r>
    </w:p>
    <w:p>
      <w:pPr>
        <w:spacing w:line="600" w:lineRule="exact"/>
        <w:ind w:firstLine="56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7、本</w:t>
      </w:r>
      <w:r>
        <w:rPr>
          <w:rStyle w:val="28"/>
          <w:color w:val="000000" w:themeColor="text1"/>
          <w14:textFill>
            <w14:solidFill>
              <w14:schemeClr w14:val="tx1"/>
            </w14:solidFill>
          </w14:textFill>
        </w:rPr>
        <w:t>估价</w:t>
      </w:r>
      <w:r>
        <w:rPr>
          <w:rFonts w:hint="eastAsia" w:ascii="仿宋_GB2312" w:eastAsia="仿宋_GB2312"/>
          <w:color w:val="000000" w:themeColor="text1"/>
          <w14:textFill>
            <w14:solidFill>
              <w14:schemeClr w14:val="tx1"/>
            </w14:solidFill>
          </w14:textFill>
        </w:rPr>
        <w:t>报告应与估价对象的合法权证一并使用方才有效，房地产估价机构仅对正确使用本估价报告者负责。</w:t>
      </w:r>
    </w:p>
    <w:p>
      <w:pPr>
        <w:spacing w:line="600" w:lineRule="exact"/>
        <w:ind w:firstLine="56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8、本估价报告由“致估价委托人函”、“估价师声明”、“估价假设和限制条件”、“估价结果报告”和“附件”构成完整的估价报告。报告使用者应严格按照本估价报告全部完整地应用，我们不对任何割裂使用的应用行为负责。否则由此引起的后果与本房地产估价机构和注册房地产估价师无关。本估价报告法定代表人签字，至少两名专职注册房地产估价师签字，房地产估价机构盖章并作为一个整体时有效。</w:t>
      </w:r>
    </w:p>
    <w:p>
      <w:pPr>
        <w:spacing w:line="600" w:lineRule="exact"/>
        <w:ind w:firstLine="560"/>
        <w:rPr>
          <w:rFonts w:ascii="仿宋_GB2312" w:eastAsia="仿宋_GB2312"/>
          <w:color w:val="000000" w:themeColor="text1"/>
          <w14:textFill>
            <w14:solidFill>
              <w14:schemeClr w14:val="tx1"/>
            </w14:solidFill>
          </w14:textFill>
        </w:rPr>
        <w:sectPr>
          <w:footerReference r:id="rId5" w:type="default"/>
          <w:pgSz w:w="11906" w:h="16838"/>
          <w:pgMar w:top="1134" w:right="862" w:bottom="1134" w:left="1253" w:header="851" w:footer="992" w:gutter="0"/>
          <w:cols w:space="720" w:num="1"/>
          <w:docGrid w:type="linesAndChars" w:linePitch="312" w:charSpace="0"/>
        </w:sectPr>
      </w:pPr>
      <w:r>
        <w:rPr>
          <w:rFonts w:hint="eastAsia" w:ascii="仿宋_GB2312" w:eastAsia="仿宋_GB2312"/>
          <w:color w:val="000000" w:themeColor="text1"/>
          <w14:textFill>
            <w14:solidFill>
              <w14:schemeClr w14:val="tx1"/>
            </w14:solidFill>
          </w14:textFill>
        </w:rPr>
        <w:t>9、本估价报告内的文字或数字因打印、校对及其他原因出现误差时，请及时通知本房地产估价机构更正，否则，误差部分无效。</w:t>
      </w:r>
    </w:p>
    <w:p>
      <w:pPr>
        <w:spacing w:line="720" w:lineRule="auto"/>
        <w:jc w:val="center"/>
        <w:outlineLvl w:val="0"/>
        <w:rPr>
          <w:rFonts w:ascii="黑体" w:eastAsia="黑体"/>
          <w:color w:val="000000" w:themeColor="text1"/>
          <w:sz w:val="32"/>
          <w:szCs w:val="32"/>
          <w14:textFill>
            <w14:solidFill>
              <w14:schemeClr w14:val="tx1"/>
            </w14:solidFill>
          </w14:textFill>
        </w:rPr>
      </w:pPr>
      <w:bookmarkStart w:id="54" w:name="_Toc437265331"/>
      <w:bookmarkStart w:id="55" w:name="_Toc26734"/>
      <w:r>
        <w:rPr>
          <w:rStyle w:val="26"/>
          <w:rFonts w:hint="eastAsia" w:ascii="黑体" w:hAnsi="黑体" w:eastAsia="黑体" w:cs="黑体"/>
          <w:bCs/>
          <w:color w:val="000000" w:themeColor="text1"/>
          <w:sz w:val="32"/>
          <w:szCs w:val="32"/>
          <w14:textFill>
            <w14:solidFill>
              <w14:schemeClr w14:val="tx1"/>
            </w14:solidFill>
          </w14:textFill>
        </w:rPr>
        <w:t>三、估价结果报告</w:t>
      </w:r>
      <w:bookmarkEnd w:id="45"/>
      <w:bookmarkEnd w:id="54"/>
      <w:bookmarkEnd w:id="55"/>
    </w:p>
    <w:p>
      <w:pPr>
        <w:spacing w:line="600" w:lineRule="exact"/>
        <w:ind w:firstLine="560" w:firstLineChars="200"/>
        <w:rPr>
          <w:rStyle w:val="27"/>
          <w:rFonts w:ascii="仿宋_GB2312" w:hAnsi="仿宋_GB2312" w:eastAsia="仿宋_GB2312" w:cs="仿宋_GB2312"/>
          <w:b w:val="0"/>
          <w:bCs/>
          <w:color w:val="000000" w:themeColor="text1"/>
          <w:sz w:val="28"/>
          <w:szCs w:val="28"/>
          <w14:textFill>
            <w14:solidFill>
              <w14:schemeClr w14:val="tx1"/>
            </w14:solidFill>
          </w14:textFill>
        </w:rPr>
      </w:pPr>
      <w:bookmarkStart w:id="56" w:name="_Toc437265332"/>
      <w:bookmarkStart w:id="57" w:name="_Toc9332"/>
      <w:r>
        <w:rPr>
          <w:rStyle w:val="27"/>
          <w:rFonts w:hint="eastAsia" w:ascii="仿宋_GB2312" w:hAnsi="仿宋_GB2312" w:eastAsia="仿宋_GB2312" w:cs="仿宋_GB2312"/>
          <w:b w:val="0"/>
          <w:bCs/>
          <w:color w:val="000000" w:themeColor="text1"/>
          <w:sz w:val="28"/>
          <w:szCs w:val="28"/>
          <w14:textFill>
            <w14:solidFill>
              <w14:schemeClr w14:val="tx1"/>
            </w14:solidFill>
          </w14:textFill>
        </w:rPr>
        <w:t>（一）估价委托人</w:t>
      </w:r>
      <w:bookmarkEnd w:id="56"/>
    </w:p>
    <w:bookmarkEnd w:id="57"/>
    <w:p>
      <w:pPr>
        <w:ind w:firstLine="560" w:firstLineChars="200"/>
        <w:rPr>
          <w:rFonts w:hint="eastAsia" w:ascii="仿宋_GB2312" w:eastAsia="仿宋_GB2312"/>
          <w:color w:val="000000" w:themeColor="text1"/>
          <w:szCs w:val="28"/>
          <w:lang w:val="en-US" w:eastAsia="zh-CN"/>
          <w14:textFill>
            <w14:solidFill>
              <w14:schemeClr w14:val="tx1"/>
            </w14:solidFill>
          </w14:textFill>
        </w:rPr>
      </w:pPr>
      <w:bookmarkStart w:id="58" w:name="_Toc437265333"/>
      <w:r>
        <w:rPr>
          <w:rFonts w:hint="eastAsia" w:ascii="仿宋_GB2312" w:eastAsia="仿宋_GB2312"/>
          <w:color w:val="000000" w:themeColor="text1"/>
          <w:szCs w:val="28"/>
          <w14:textFill>
            <w14:solidFill>
              <w14:schemeClr w14:val="tx1"/>
            </w14:solidFill>
          </w14:textFill>
        </w:rPr>
        <w:t>估价委托人：</w:t>
      </w:r>
      <w:r>
        <w:rPr>
          <w:rFonts w:hint="eastAsia" w:ascii="仿宋_GB2312" w:eastAsia="仿宋_GB2312"/>
          <w:color w:val="000000" w:themeColor="text1"/>
          <w:szCs w:val="28"/>
          <w:lang w:val="en-US" w:eastAsia="zh-CN"/>
          <w14:textFill>
            <w14:solidFill>
              <w14:schemeClr w14:val="tx1"/>
            </w14:solidFill>
          </w14:textFill>
        </w:rPr>
        <w:t>四川省成都市中级人民法院</w:t>
      </w:r>
    </w:p>
    <w:p>
      <w:pPr>
        <w:ind w:firstLine="560" w:firstLineChars="200"/>
        <w:rPr>
          <w:rFonts w:hint="eastAsia" w:ascii="仿宋_GB2312" w:eastAsia="仿宋_GB2312"/>
          <w:color w:val="000000" w:themeColor="text1"/>
          <w:szCs w:val="28"/>
          <w:lang w:val="en-US" w:eastAsia="zh-CN"/>
          <w14:textFill>
            <w14:solidFill>
              <w14:schemeClr w14:val="tx1"/>
            </w14:solidFill>
          </w14:textFill>
        </w:rPr>
      </w:pPr>
      <w:r>
        <w:rPr>
          <w:rFonts w:hint="eastAsia" w:ascii="仿宋_GB2312" w:eastAsia="仿宋_GB2312"/>
          <w:color w:val="000000" w:themeColor="text1"/>
          <w:szCs w:val="28"/>
          <w:lang w:val="en-US" w:eastAsia="zh-CN"/>
          <w14:textFill>
            <w14:solidFill>
              <w14:schemeClr w14:val="tx1"/>
            </w14:solidFill>
          </w14:textFill>
        </w:rPr>
        <w:t>联系人：杨承庚</w:t>
      </w:r>
    </w:p>
    <w:p>
      <w:pPr>
        <w:ind w:firstLine="560" w:firstLineChars="200"/>
        <w:rPr>
          <w:rFonts w:hint="default" w:ascii="仿宋_GB2312" w:eastAsia="仿宋_GB2312"/>
          <w:color w:val="000000" w:themeColor="text1"/>
          <w:szCs w:val="28"/>
          <w:lang w:val="en-US" w:eastAsia="zh-CN"/>
          <w14:textFill>
            <w14:solidFill>
              <w14:schemeClr w14:val="tx1"/>
            </w14:solidFill>
          </w14:textFill>
        </w:rPr>
      </w:pPr>
      <w:r>
        <w:rPr>
          <w:rFonts w:hint="eastAsia" w:ascii="仿宋_GB2312" w:eastAsia="仿宋_GB2312"/>
          <w:color w:val="000000" w:themeColor="text1"/>
          <w:szCs w:val="28"/>
          <w:lang w:val="en-US" w:eastAsia="zh-CN"/>
          <w14:textFill>
            <w14:solidFill>
              <w14:schemeClr w14:val="tx1"/>
            </w14:solidFill>
          </w14:textFill>
        </w:rPr>
        <w:t>电话：028-82915603</w:t>
      </w:r>
    </w:p>
    <w:p>
      <w:pPr>
        <w:spacing w:line="600" w:lineRule="exact"/>
        <w:ind w:firstLine="560" w:firstLineChars="200"/>
        <w:rPr>
          <w:rStyle w:val="27"/>
          <w:rFonts w:ascii="仿宋_GB2312" w:hAnsi="仿宋_GB2312" w:eastAsia="仿宋_GB2312" w:cs="仿宋_GB2312"/>
          <w:b w:val="0"/>
          <w:bCs/>
          <w:color w:val="000000" w:themeColor="text1"/>
          <w:sz w:val="28"/>
          <w:szCs w:val="28"/>
          <w14:textFill>
            <w14:solidFill>
              <w14:schemeClr w14:val="tx1"/>
            </w14:solidFill>
          </w14:textFill>
        </w:rPr>
      </w:pPr>
      <w:bookmarkStart w:id="59" w:name="_Toc26204"/>
      <w:r>
        <w:rPr>
          <w:rStyle w:val="27"/>
          <w:rFonts w:hint="eastAsia" w:ascii="仿宋_GB2312" w:hAnsi="仿宋_GB2312" w:eastAsia="仿宋_GB2312" w:cs="仿宋_GB2312"/>
          <w:b w:val="0"/>
          <w:bCs/>
          <w:color w:val="000000" w:themeColor="text1"/>
          <w:sz w:val="28"/>
          <w:szCs w:val="28"/>
          <w14:textFill>
            <w14:solidFill>
              <w14:schemeClr w14:val="tx1"/>
            </w14:solidFill>
          </w14:textFill>
        </w:rPr>
        <w:t>（二）房地产估价机构</w:t>
      </w:r>
      <w:bookmarkEnd w:id="58"/>
    </w:p>
    <w:bookmarkEnd w:id="59"/>
    <w:p>
      <w:pPr>
        <w:spacing w:line="360" w:lineRule="auto"/>
        <w:ind w:firstLine="555"/>
        <w:rPr>
          <w:rFonts w:hint="eastAsia" w:ascii="仿宋_GB2312" w:eastAsia="仿宋_GB2312"/>
          <w:color w:val="000000" w:themeColor="text1"/>
          <w:szCs w:val="28"/>
          <w:highlight w:val="none"/>
          <w:lang w:eastAsia="zh-CN"/>
          <w14:textFill>
            <w14:solidFill>
              <w14:schemeClr w14:val="tx1"/>
            </w14:solidFill>
          </w14:textFill>
        </w:rPr>
      </w:pPr>
      <w:r>
        <w:rPr>
          <w:rFonts w:hint="eastAsia" w:ascii="仿宋_GB2312" w:eastAsia="仿宋_GB2312"/>
          <w:color w:val="000000" w:themeColor="text1"/>
          <w:szCs w:val="28"/>
          <w:highlight w:val="none"/>
          <w14:textFill>
            <w14:solidFill>
              <w14:schemeClr w14:val="tx1"/>
            </w14:solidFill>
          </w14:textFill>
        </w:rPr>
        <w:t>机构名称：</w:t>
      </w:r>
      <w:r>
        <w:rPr>
          <w:rFonts w:hint="eastAsia" w:ascii="仿宋_GB2312" w:eastAsia="仿宋_GB2312"/>
          <w:color w:val="000000" w:themeColor="text1"/>
          <w:szCs w:val="28"/>
          <w:highlight w:val="none"/>
          <w:lang w:eastAsia="zh-CN"/>
          <w14:textFill>
            <w14:solidFill>
              <w14:schemeClr w14:val="tx1"/>
            </w14:solidFill>
          </w14:textFill>
        </w:rPr>
        <w:t>四川吉祥房地产土地资产评估有限公司</w:t>
      </w:r>
    </w:p>
    <w:p>
      <w:pPr>
        <w:spacing w:line="360" w:lineRule="auto"/>
        <w:ind w:firstLine="555"/>
        <w:rPr>
          <w:rFonts w:ascii="仿宋_GB2312" w:eastAsia="仿宋_GB2312"/>
          <w:color w:val="000000" w:themeColor="text1"/>
          <w:szCs w:val="28"/>
          <w:highlight w:val="none"/>
          <w14:textFill>
            <w14:solidFill>
              <w14:schemeClr w14:val="tx1"/>
            </w14:solidFill>
          </w14:textFill>
        </w:rPr>
      </w:pPr>
      <w:r>
        <w:rPr>
          <w:rFonts w:hint="eastAsia" w:ascii="仿宋_GB2312" w:eastAsia="仿宋_GB2312"/>
          <w:color w:val="000000" w:themeColor="text1"/>
          <w:szCs w:val="28"/>
          <w:highlight w:val="none"/>
          <w14:textFill>
            <w14:solidFill>
              <w14:schemeClr w14:val="tx1"/>
            </w14:solidFill>
          </w14:textFill>
        </w:rPr>
        <w:t>法定代表人：黄德英</w:t>
      </w:r>
    </w:p>
    <w:p>
      <w:pPr>
        <w:spacing w:line="360" w:lineRule="auto"/>
        <w:ind w:firstLine="560" w:firstLineChars="200"/>
        <w:rPr>
          <w:rFonts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住所：成都市武侯区一环路西一段</w:t>
      </w:r>
      <w:r>
        <w:rPr>
          <w:rFonts w:ascii="仿宋_GB2312" w:eastAsia="仿宋_GB2312"/>
          <w:color w:val="000000" w:themeColor="text1"/>
          <w:highlight w:val="none"/>
          <w14:textFill>
            <w14:solidFill>
              <w14:schemeClr w14:val="tx1"/>
            </w14:solidFill>
          </w14:textFill>
        </w:rPr>
        <w:t>130</w:t>
      </w:r>
      <w:r>
        <w:rPr>
          <w:rFonts w:hint="eastAsia" w:ascii="仿宋_GB2312" w:eastAsia="仿宋_GB2312"/>
          <w:color w:val="000000" w:themeColor="text1"/>
          <w:highlight w:val="none"/>
          <w14:textFill>
            <w14:solidFill>
              <w14:schemeClr w14:val="tx1"/>
            </w14:solidFill>
          </w14:textFill>
        </w:rPr>
        <w:t>号</w:t>
      </w:r>
      <w:r>
        <w:rPr>
          <w:rFonts w:ascii="仿宋_GB2312" w:eastAsia="仿宋_GB2312"/>
          <w:color w:val="000000" w:themeColor="text1"/>
          <w:highlight w:val="none"/>
          <w14:textFill>
            <w14:solidFill>
              <w14:schemeClr w14:val="tx1"/>
            </w14:solidFill>
          </w14:textFill>
        </w:rPr>
        <w:t>1</w:t>
      </w:r>
      <w:r>
        <w:rPr>
          <w:rFonts w:hint="eastAsia" w:ascii="仿宋_GB2312" w:eastAsia="仿宋_GB2312"/>
          <w:color w:val="000000" w:themeColor="text1"/>
          <w:highlight w:val="none"/>
          <w14:textFill>
            <w14:solidFill>
              <w14:schemeClr w14:val="tx1"/>
            </w14:solidFill>
          </w14:textFill>
        </w:rPr>
        <w:t>幢</w:t>
      </w:r>
      <w:r>
        <w:rPr>
          <w:rFonts w:ascii="仿宋_GB2312" w:eastAsia="仿宋_GB2312"/>
          <w:color w:val="000000" w:themeColor="text1"/>
          <w:highlight w:val="none"/>
          <w14:textFill>
            <w14:solidFill>
              <w14:schemeClr w14:val="tx1"/>
            </w14:solidFill>
          </w14:textFill>
        </w:rPr>
        <w:t>16</w:t>
      </w:r>
      <w:r>
        <w:rPr>
          <w:rFonts w:hint="eastAsia" w:ascii="仿宋_GB2312" w:eastAsia="仿宋_GB2312"/>
          <w:color w:val="000000" w:themeColor="text1"/>
          <w:highlight w:val="none"/>
          <w14:textFill>
            <w14:solidFill>
              <w14:schemeClr w14:val="tx1"/>
            </w14:solidFill>
          </w14:textFill>
        </w:rPr>
        <w:t>楼</w:t>
      </w:r>
      <w:r>
        <w:rPr>
          <w:rFonts w:ascii="仿宋_GB2312" w:eastAsia="仿宋_GB2312"/>
          <w:color w:val="000000" w:themeColor="text1"/>
          <w:highlight w:val="none"/>
          <w14:textFill>
            <w14:solidFill>
              <w14:schemeClr w14:val="tx1"/>
            </w14:solidFill>
          </w14:textFill>
        </w:rPr>
        <w:t>5</w:t>
      </w:r>
      <w:r>
        <w:rPr>
          <w:rFonts w:hint="eastAsia" w:ascii="仿宋_GB2312" w:eastAsia="仿宋_GB2312"/>
          <w:color w:val="000000" w:themeColor="text1"/>
          <w:highlight w:val="none"/>
          <w14:textFill>
            <w14:solidFill>
              <w14:schemeClr w14:val="tx1"/>
            </w14:solidFill>
          </w14:textFill>
        </w:rPr>
        <w:t>号</w:t>
      </w:r>
    </w:p>
    <w:p>
      <w:pPr>
        <w:spacing w:line="360" w:lineRule="auto"/>
        <w:ind w:firstLine="560" w:firstLineChars="200"/>
        <w:rPr>
          <w:rFonts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统一社会信用代码：9151010</w:t>
      </w:r>
      <w:r>
        <w:rPr>
          <w:rFonts w:hint="eastAsia" w:ascii="仿宋_GB2312" w:eastAsia="仿宋_GB2312"/>
          <w:color w:val="000000" w:themeColor="text1"/>
          <w:highlight w:val="none"/>
          <w:lang w:eastAsia="zh-CN"/>
          <w14:textFill>
            <w14:solidFill>
              <w14:schemeClr w14:val="tx1"/>
            </w14:solidFill>
          </w14:textFill>
        </w:rPr>
        <w:t>6200</w:t>
      </w:r>
      <w:r>
        <w:rPr>
          <w:rFonts w:hint="eastAsia" w:ascii="仿宋_GB2312" w:eastAsia="仿宋_GB2312"/>
          <w:color w:val="000000" w:themeColor="text1"/>
          <w:highlight w:val="none"/>
          <w14:textFill>
            <w14:solidFill>
              <w14:schemeClr w14:val="tx1"/>
            </w14:solidFill>
          </w14:textFill>
        </w:rPr>
        <w:t>29151XD</w:t>
      </w:r>
    </w:p>
    <w:p>
      <w:pPr>
        <w:spacing w:line="360" w:lineRule="auto"/>
        <w:ind w:firstLine="555"/>
        <w:rPr>
          <w:rFonts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机构类别：房地产价格评估机构</w:t>
      </w:r>
    </w:p>
    <w:p>
      <w:pPr>
        <w:spacing w:line="360" w:lineRule="auto"/>
        <w:ind w:firstLine="555"/>
        <w:rPr>
          <w:rFonts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备案等级：壹级</w:t>
      </w:r>
    </w:p>
    <w:p>
      <w:pPr>
        <w:spacing w:line="360" w:lineRule="auto"/>
        <w:ind w:firstLine="555"/>
        <w:rPr>
          <w:rFonts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证书编号：川建房估备字[2017]0032号</w:t>
      </w:r>
    </w:p>
    <w:p>
      <w:pPr>
        <w:spacing w:line="360" w:lineRule="auto"/>
        <w:ind w:firstLine="555"/>
        <w:rPr>
          <w:rFonts w:ascii="仿宋_GB2312" w:eastAsia="仿宋_GB2312"/>
          <w:color w:val="000000" w:themeColor="text1"/>
          <w:highlight w:val="none"/>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资质有效期：2017年8月30日——2020年8月30日</w:t>
      </w:r>
    </w:p>
    <w:p>
      <w:pPr>
        <w:spacing w:line="360" w:lineRule="auto"/>
        <w:ind w:firstLine="555"/>
        <w:rPr>
          <w:rFonts w:hint="eastAsia" w:ascii="仿宋_GB2312" w:eastAsia="仿宋_GB2312"/>
          <w:color w:val="000000" w:themeColor="text1"/>
          <w:highlight w:val="none"/>
          <w:lang w:eastAsia="zh-CN"/>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联系人：</w:t>
      </w:r>
      <w:r>
        <w:rPr>
          <w:rFonts w:hint="eastAsia" w:ascii="仿宋_GB2312" w:eastAsia="仿宋_GB2312"/>
          <w:color w:val="000000" w:themeColor="text1"/>
          <w:highlight w:val="none"/>
          <w:lang w:eastAsia="zh-CN"/>
          <w14:textFill>
            <w14:solidFill>
              <w14:schemeClr w14:val="tx1"/>
            </w14:solidFill>
          </w14:textFill>
        </w:rPr>
        <w:t>高涛</w:t>
      </w:r>
    </w:p>
    <w:p>
      <w:pPr>
        <w:spacing w:line="360" w:lineRule="auto"/>
        <w:ind w:firstLine="555"/>
        <w:rPr>
          <w:rFonts w:hint="default" w:ascii="仿宋_GB2312" w:eastAsia="仿宋_GB2312"/>
          <w:color w:val="000000" w:themeColor="text1"/>
          <w:lang w:val="en-US"/>
          <w14:textFill>
            <w14:solidFill>
              <w14:schemeClr w14:val="tx1"/>
            </w14:solidFill>
          </w14:textFill>
        </w:rPr>
      </w:pPr>
      <w:r>
        <w:rPr>
          <w:rFonts w:hint="eastAsia" w:ascii="仿宋_GB2312" w:eastAsia="仿宋_GB2312"/>
          <w:color w:val="000000" w:themeColor="text1"/>
          <w:highlight w:val="none"/>
          <w14:textFill>
            <w14:solidFill>
              <w14:schemeClr w14:val="tx1"/>
            </w14:solidFill>
          </w14:textFill>
        </w:rPr>
        <w:t>联系电话：</w:t>
      </w:r>
      <w:r>
        <w:rPr>
          <w:rFonts w:ascii="仿宋_GB2312" w:eastAsia="仿宋_GB2312"/>
          <w:color w:val="000000" w:themeColor="text1"/>
          <w:highlight w:val="none"/>
          <w14:textFill>
            <w14:solidFill>
              <w14:schemeClr w14:val="tx1"/>
            </w14:solidFill>
          </w14:textFill>
        </w:rPr>
        <w:t>028-</w:t>
      </w:r>
      <w:r>
        <w:rPr>
          <w:rFonts w:hint="eastAsia" w:ascii="仿宋_GB2312" w:eastAsia="仿宋_GB2312"/>
          <w:color w:val="000000" w:themeColor="text1"/>
          <w:highlight w:val="none"/>
          <w:lang w:val="en-US" w:eastAsia="zh-CN"/>
          <w14:textFill>
            <w14:solidFill>
              <w14:schemeClr w14:val="tx1"/>
            </w14:solidFill>
          </w14:textFill>
        </w:rPr>
        <w:t>87888886</w:t>
      </w:r>
    </w:p>
    <w:p>
      <w:pPr>
        <w:spacing w:line="600" w:lineRule="exact"/>
        <w:ind w:firstLine="560" w:firstLineChars="200"/>
        <w:rPr>
          <w:rStyle w:val="27"/>
          <w:rFonts w:ascii="仿宋_GB2312" w:hAnsi="仿宋_GB2312" w:eastAsia="仿宋_GB2312" w:cs="仿宋_GB2312"/>
          <w:b w:val="0"/>
          <w:bCs/>
          <w:color w:val="000000" w:themeColor="text1"/>
          <w:sz w:val="28"/>
          <w:szCs w:val="28"/>
          <w14:textFill>
            <w14:solidFill>
              <w14:schemeClr w14:val="tx1"/>
            </w14:solidFill>
          </w14:textFill>
        </w:rPr>
      </w:pPr>
      <w:bookmarkStart w:id="60" w:name="_Toc437265334"/>
      <w:bookmarkStart w:id="61" w:name="_Toc12584"/>
      <w:r>
        <w:rPr>
          <w:rStyle w:val="27"/>
          <w:rFonts w:hint="eastAsia" w:ascii="仿宋_GB2312" w:hAnsi="仿宋_GB2312" w:eastAsia="仿宋_GB2312" w:cs="仿宋_GB2312"/>
          <w:b w:val="0"/>
          <w:bCs/>
          <w:color w:val="000000" w:themeColor="text1"/>
          <w:sz w:val="28"/>
          <w:szCs w:val="28"/>
          <w14:textFill>
            <w14:solidFill>
              <w14:schemeClr w14:val="tx1"/>
            </w14:solidFill>
          </w14:textFill>
        </w:rPr>
        <w:t>（三）估价目的</w:t>
      </w:r>
      <w:bookmarkEnd w:id="60"/>
    </w:p>
    <w:bookmarkEnd w:id="61"/>
    <w:p>
      <w:pPr>
        <w:pStyle w:val="15"/>
        <w:adjustRightInd w:val="0"/>
        <w:snapToGrid w:val="0"/>
        <w:spacing w:line="600" w:lineRule="exact"/>
        <w:rPr>
          <w:rFonts w:hint="eastAsia" w:eastAsia="仿宋_GB2312"/>
          <w:color w:val="000000" w:themeColor="text1"/>
          <w:lang w:val="en-US" w:eastAsia="zh-CN"/>
          <w14:textFill>
            <w14:solidFill>
              <w14:schemeClr w14:val="tx1"/>
            </w14:solidFill>
          </w14:textFill>
        </w:rPr>
      </w:pPr>
      <w:bookmarkStart w:id="62" w:name="_Toc437265335"/>
      <w:r>
        <w:rPr>
          <w:rFonts w:hint="eastAsia"/>
          <w:color w:val="000000" w:themeColor="text1"/>
          <w14:textFill>
            <w14:solidFill>
              <w14:schemeClr w14:val="tx1"/>
            </w14:solidFill>
          </w14:textFill>
        </w:rPr>
        <w:t xml:space="preserve"> </w:t>
      </w:r>
      <w:r>
        <w:rPr>
          <w:rFonts w:hint="eastAsia"/>
          <w:color w:val="000000" w:themeColor="text1"/>
          <w:lang w:eastAsia="zh-CN"/>
          <w14:textFill>
            <w14:solidFill>
              <w14:schemeClr w14:val="tx1"/>
            </w14:solidFill>
          </w14:textFill>
        </w:rPr>
        <w:t>为人民法院确定财产处置参考价提供参考依据。</w:t>
      </w:r>
    </w:p>
    <w:p>
      <w:pPr>
        <w:spacing w:line="600" w:lineRule="exact"/>
        <w:ind w:firstLine="560" w:firstLineChars="200"/>
        <w:rPr>
          <w:rStyle w:val="27"/>
          <w:rFonts w:ascii="仿宋_GB2312" w:hAnsi="仿宋_GB2312" w:eastAsia="仿宋_GB2312" w:cs="仿宋_GB2312"/>
          <w:b w:val="0"/>
          <w:bCs/>
          <w:color w:val="000000" w:themeColor="text1"/>
          <w:sz w:val="28"/>
          <w:szCs w:val="28"/>
          <w14:textFill>
            <w14:solidFill>
              <w14:schemeClr w14:val="tx1"/>
            </w14:solidFill>
          </w14:textFill>
        </w:rPr>
      </w:pPr>
      <w:bookmarkStart w:id="63" w:name="_Toc2029"/>
      <w:r>
        <w:rPr>
          <w:rStyle w:val="27"/>
          <w:rFonts w:hint="eastAsia" w:ascii="仿宋_GB2312" w:hAnsi="仿宋_GB2312" w:eastAsia="仿宋_GB2312" w:cs="仿宋_GB2312"/>
          <w:b w:val="0"/>
          <w:bCs/>
          <w:color w:val="000000" w:themeColor="text1"/>
          <w:sz w:val="28"/>
          <w:szCs w:val="28"/>
          <w14:textFill>
            <w14:solidFill>
              <w14:schemeClr w14:val="tx1"/>
            </w14:solidFill>
          </w14:textFill>
        </w:rPr>
        <w:t>（四）估价对象</w:t>
      </w:r>
      <w:bookmarkEnd w:id="62"/>
    </w:p>
    <w:bookmarkEnd w:id="63"/>
    <w:p>
      <w:pPr>
        <w:adjustRightInd w:val="0"/>
        <w:spacing w:line="360" w:lineRule="auto"/>
        <w:ind w:firstLine="560" w:firstLineChars="200"/>
        <w:rPr>
          <w:rFonts w:ascii="仿宋_GB2312" w:eastAsia="仿宋_GB2312"/>
          <w:color w:val="000000" w:themeColor="text1"/>
          <w14:textFill>
            <w14:solidFill>
              <w14:schemeClr w14:val="tx1"/>
            </w14:solidFill>
          </w14:textFill>
        </w:rPr>
      </w:pPr>
      <w:r>
        <w:rPr>
          <w:rFonts w:ascii="仿宋_GB2312" w:eastAsia="仿宋_GB2312"/>
          <w:color w:val="000000" w:themeColor="text1"/>
          <w14:textFill>
            <w14:solidFill>
              <w14:schemeClr w14:val="tx1"/>
            </w14:solidFill>
          </w14:textFill>
        </w:rPr>
        <w:t>1</w:t>
      </w:r>
      <w:r>
        <w:rPr>
          <w:rFonts w:hint="eastAsia" w:ascii="仿宋_GB2312" w:eastAsia="仿宋_GB2312"/>
          <w:color w:val="000000" w:themeColor="text1"/>
          <w14:textFill>
            <w14:solidFill>
              <w14:schemeClr w14:val="tx1"/>
            </w14:solidFill>
          </w14:textFill>
        </w:rPr>
        <w:t>、估价对象范围</w:t>
      </w:r>
    </w:p>
    <w:p>
      <w:pPr>
        <w:adjustRightInd w:val="0"/>
        <w:spacing w:line="360" w:lineRule="auto"/>
        <w:ind w:firstLine="560" w:firstLineChars="200"/>
        <w:rPr>
          <w:rFonts w:hint="eastAsia" w:ascii="仿宋_GB2312" w:eastAsia="仿宋_GB2312"/>
          <w:color w:val="000000" w:themeColor="text1"/>
          <w:lang w:eastAsia="zh-CN"/>
          <w14:textFill>
            <w14:solidFill>
              <w14:schemeClr w14:val="tx1"/>
            </w14:solidFill>
          </w14:textFill>
        </w:rPr>
      </w:pPr>
      <w:r>
        <w:rPr>
          <w:rFonts w:hint="eastAsia" w:ascii="仿宋_GB2312" w:eastAsia="仿宋_GB2312"/>
          <w:color w:val="000000" w:themeColor="text1"/>
          <w:lang w:eastAsia="zh-CN"/>
          <w14:textFill>
            <w14:solidFill>
              <w14:schemeClr w14:val="tx1"/>
            </w14:solidFill>
          </w14:textFill>
        </w:rPr>
        <w:t>估价对象</w:t>
      </w:r>
      <w:r>
        <w:rPr>
          <w:rFonts w:hint="eastAsia" w:ascii="仿宋_GB2312" w:eastAsia="仿宋_GB2312"/>
          <w:color w:val="000000" w:themeColor="text1"/>
          <w:lang w:val="en-US" w:eastAsia="zh-CN"/>
          <w14:textFill>
            <w14:solidFill>
              <w14:schemeClr w14:val="tx1"/>
            </w14:solidFill>
          </w14:textFill>
        </w:rPr>
        <w:t>1为四川平扬房地产开发有限公司位于自贡市沿滩区沿滩新城板南大道街122号龙湖金帝广场1栋-1层、夹层、-2层建筑面积共计14057平方米的车库用房地产，</w:t>
      </w:r>
      <w:r>
        <w:rPr>
          <w:rFonts w:hint="eastAsia" w:ascii="仿宋_GB2312" w:eastAsia="仿宋_GB2312"/>
          <w:color w:val="000000" w:themeColor="text1"/>
          <w:lang w:eastAsia="zh-CN"/>
          <w14:textFill>
            <w14:solidFill>
              <w14:schemeClr w14:val="tx1"/>
            </w14:solidFill>
          </w14:textFill>
        </w:rPr>
        <w:t>包括该房屋所有权及其分摊占用的国有出让</w:t>
      </w:r>
      <w:r>
        <w:rPr>
          <w:rFonts w:hint="eastAsia" w:ascii="仿宋_GB2312" w:eastAsia="仿宋_GB2312"/>
          <w:color w:val="000000" w:themeColor="text1"/>
          <w:lang w:val="en-US" w:eastAsia="zh-CN"/>
          <w14:textFill>
            <w14:solidFill>
              <w14:schemeClr w14:val="tx1"/>
            </w14:solidFill>
          </w14:textFill>
        </w:rPr>
        <w:t>商业</w:t>
      </w:r>
      <w:r>
        <w:rPr>
          <w:rFonts w:hint="eastAsia" w:ascii="仿宋_GB2312" w:eastAsia="仿宋_GB2312"/>
          <w:color w:val="000000" w:themeColor="text1"/>
          <w:lang w:eastAsia="zh-CN"/>
          <w14:textFill>
            <w14:solidFill>
              <w14:schemeClr w14:val="tx1"/>
            </w14:solidFill>
          </w14:textFill>
        </w:rPr>
        <w:t>用地使用权。（本次评估共计</w:t>
      </w:r>
      <w:r>
        <w:rPr>
          <w:rFonts w:hint="eastAsia" w:ascii="仿宋_GB2312" w:eastAsia="仿宋_GB2312"/>
          <w:color w:val="000000" w:themeColor="text1"/>
          <w:lang w:val="en-US" w:eastAsia="zh-CN"/>
          <w14:textFill>
            <w14:solidFill>
              <w14:schemeClr w14:val="tx1"/>
            </w14:solidFill>
          </w14:textFill>
        </w:rPr>
        <w:t>288个车位，详见附件龙湖金地广场未售车库清单</w:t>
      </w:r>
      <w:r>
        <w:rPr>
          <w:rFonts w:hint="eastAsia" w:ascii="仿宋_GB2312" w:eastAsia="仿宋_GB2312"/>
          <w:color w:val="000000" w:themeColor="text1"/>
          <w:lang w:eastAsia="zh-CN"/>
          <w14:textFill>
            <w14:solidFill>
              <w14:schemeClr w14:val="tx1"/>
            </w14:solidFill>
          </w14:textFill>
        </w:rPr>
        <w:t>）。</w:t>
      </w:r>
    </w:p>
    <w:p>
      <w:pPr>
        <w:adjustRightInd w:val="0"/>
        <w:spacing w:line="360" w:lineRule="auto"/>
        <w:ind w:firstLine="560" w:firstLineChars="200"/>
        <w:rPr>
          <w:rFonts w:hint="eastAsia" w:ascii="仿宋_GB2312" w:eastAsia="仿宋_GB2312"/>
          <w:color w:val="000000" w:themeColor="text1"/>
          <w:lang w:eastAsia="zh-CN"/>
          <w14:textFill>
            <w14:solidFill>
              <w14:schemeClr w14:val="tx1"/>
            </w14:solidFill>
          </w14:textFill>
        </w:rPr>
      </w:pPr>
      <w:r>
        <w:rPr>
          <w:rFonts w:hint="eastAsia" w:ascii="仿宋_GB2312" w:eastAsia="仿宋_GB2312"/>
          <w:color w:val="000000" w:themeColor="text1"/>
          <w:lang w:eastAsia="zh-CN"/>
          <w14:textFill>
            <w14:solidFill>
              <w14:schemeClr w14:val="tx1"/>
            </w14:solidFill>
          </w14:textFill>
        </w:rPr>
        <w:t>估价对象</w:t>
      </w:r>
      <w:r>
        <w:rPr>
          <w:rFonts w:hint="eastAsia" w:ascii="仿宋_GB2312" w:eastAsia="仿宋_GB2312"/>
          <w:color w:val="000000" w:themeColor="text1"/>
          <w:lang w:val="en-US" w:eastAsia="zh-CN"/>
          <w14:textFill>
            <w14:solidFill>
              <w14:schemeClr w14:val="tx1"/>
            </w14:solidFill>
          </w14:textFill>
        </w:rPr>
        <w:t>2为四川平扬房地产开发有限公司位于自贡市沿滩区沿滩新城板南大道街122号龙湖金帝广场1栋地下-1层、夹层、-2层及地上第3层、4层建筑面积共计311.28平方米的仓储用房地产，包括该房屋所有权及其分摊占用的国有出让商业用地使用权，详见下表：</w:t>
      </w:r>
    </w:p>
    <w:tbl>
      <w:tblPr>
        <w:tblStyle w:val="24"/>
        <w:tblW w:w="1000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25"/>
        <w:gridCol w:w="2196"/>
        <w:gridCol w:w="4093"/>
        <w:gridCol w:w="1027"/>
        <w:gridCol w:w="6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3"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不动产登记编号</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权利人</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坐落</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建筑面积</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20170026470</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四川平扬房地产开发有限公司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沿滩区沿滩新城板南大道街122号龙湖金帝广场1栋（地下部分）戊类储藏室</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267.18</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仓储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20170026417</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四川平扬房地产开发有限公司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沿滩区沿滩新城板南大道街122号龙湖金帝广场1栋（地上部分）戊类储藏室1号</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22.05</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仓储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20170026444</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四川平扬房地产开发有限公司</w:t>
            </w:r>
          </w:p>
        </w:tc>
        <w:tc>
          <w:tcPr>
            <w:tcW w:w="4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沿滩区沿滩新城板南大道街122号龙湖金帝广场1栋（地上部分）戊类储藏室2号</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22.05</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仓储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83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311.28</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numPr>
          <w:ilvl w:val="0"/>
          <w:numId w:val="7"/>
        </w:numPr>
        <w:spacing w:line="360" w:lineRule="auto"/>
        <w:ind w:firstLine="56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估价对象基本状况</w:t>
      </w:r>
    </w:p>
    <w:tbl>
      <w:tblPr>
        <w:tblStyle w:val="24"/>
        <w:tblW w:w="9821" w:type="dxa"/>
        <w:tblInd w:w="0" w:type="dxa"/>
        <w:tblLayout w:type="fixed"/>
        <w:tblCellMar>
          <w:top w:w="15" w:type="dxa"/>
          <w:left w:w="15" w:type="dxa"/>
          <w:bottom w:w="15" w:type="dxa"/>
          <w:right w:w="15" w:type="dxa"/>
        </w:tblCellMar>
      </w:tblPr>
      <w:tblGrid>
        <w:gridCol w:w="1131"/>
        <w:gridCol w:w="901"/>
        <w:gridCol w:w="1636"/>
        <w:gridCol w:w="2420"/>
        <w:gridCol w:w="1484"/>
        <w:gridCol w:w="2249"/>
      </w:tblGrid>
      <w:tr>
        <w:tblPrEx>
          <w:tblLayout w:type="fixed"/>
          <w:tblCellMar>
            <w:top w:w="15" w:type="dxa"/>
            <w:left w:w="15" w:type="dxa"/>
            <w:bottom w:w="15" w:type="dxa"/>
            <w:right w:w="15" w:type="dxa"/>
          </w:tblCellMar>
        </w:tblPrEx>
        <w:trPr>
          <w:trHeight w:val="420" w:hRule="atLeast"/>
        </w:trPr>
        <w:tc>
          <w:tcPr>
            <w:tcW w:w="113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估价对象基本情况</w:t>
            </w:r>
          </w:p>
        </w:tc>
        <w:tc>
          <w:tcPr>
            <w:tcW w:w="901"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名称</w:t>
            </w:r>
          </w:p>
        </w:tc>
        <w:tc>
          <w:tcPr>
            <w:tcW w:w="778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themeColor="text1"/>
                <w:kern w:val="0"/>
                <w:sz w:val="18"/>
                <w:szCs w:val="18"/>
                <w:lang w:val="en-US" w:eastAsia="zh-CN"/>
                <w14:textFill>
                  <w14:solidFill>
                    <w14:schemeClr w14:val="tx1"/>
                  </w14:solidFill>
                </w14:textFill>
              </w:rPr>
            </w:pPr>
            <w:r>
              <w:rPr>
                <w:rFonts w:hint="eastAsia" w:ascii="宋体" w:hAnsi="宋体" w:cs="宋体"/>
                <w:color w:val="000000" w:themeColor="text1"/>
                <w:kern w:val="0"/>
                <w:sz w:val="18"/>
                <w:szCs w:val="18"/>
                <w:lang w:val="en-US" w:eastAsia="zh-CN"/>
                <w14:textFill>
                  <w14:solidFill>
                    <w14:schemeClr w14:val="tx1"/>
                  </w14:solidFill>
                </w14:textFill>
              </w:rPr>
              <w:t>龙湖金地广场</w:t>
            </w:r>
          </w:p>
        </w:tc>
      </w:tr>
      <w:tr>
        <w:tblPrEx>
          <w:tblLayout w:type="fixed"/>
          <w:tblCellMar>
            <w:top w:w="15" w:type="dxa"/>
            <w:left w:w="15" w:type="dxa"/>
            <w:bottom w:w="15" w:type="dxa"/>
            <w:right w:w="15" w:type="dxa"/>
          </w:tblCellMar>
        </w:tblPrEx>
        <w:trPr>
          <w:trHeight w:val="420" w:hRule="atLeast"/>
        </w:trPr>
        <w:tc>
          <w:tcPr>
            <w:tcW w:w="1131" w:type="dxa"/>
            <w:vMerge w:val="continue"/>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宋体" w:hAnsi="宋体" w:cs="宋体"/>
                <w:color w:val="000000" w:themeColor="text1"/>
                <w:sz w:val="18"/>
                <w:szCs w:val="18"/>
                <w14:textFill>
                  <w14:solidFill>
                    <w14:schemeClr w14:val="tx1"/>
                  </w14:solidFill>
                </w14:textFill>
              </w:rPr>
            </w:pPr>
          </w:p>
        </w:tc>
        <w:tc>
          <w:tcPr>
            <w:tcW w:w="901"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坐落</w:t>
            </w:r>
          </w:p>
        </w:tc>
        <w:tc>
          <w:tcPr>
            <w:tcW w:w="778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cs="宋体"/>
                <w:color w:val="000000" w:themeColor="text1"/>
                <w:kern w:val="0"/>
                <w:sz w:val="18"/>
                <w:szCs w:val="18"/>
                <w:lang w:val="en-US"/>
                <w14:textFill>
                  <w14:solidFill>
                    <w14:schemeClr w14:val="tx1"/>
                  </w14:solidFill>
                </w14:textFill>
              </w:rPr>
            </w:pPr>
            <w:r>
              <w:rPr>
                <w:rFonts w:hint="default" w:ascii="宋体" w:hAnsi="宋体" w:cs="宋体"/>
                <w:color w:val="000000" w:themeColor="text1"/>
                <w:kern w:val="0"/>
                <w:sz w:val="18"/>
                <w:szCs w:val="18"/>
                <w:lang w:val="en-US" w:eastAsia="zh-CN"/>
                <w14:textFill>
                  <w14:solidFill>
                    <w14:schemeClr w14:val="tx1"/>
                  </w14:solidFill>
                </w14:textFill>
              </w:rPr>
              <w:t>自贡市沿滩区沿滩新城板南大道街122号龙湖金帝广场</w:t>
            </w:r>
          </w:p>
        </w:tc>
      </w:tr>
      <w:tr>
        <w:tblPrEx>
          <w:tblLayout w:type="fixed"/>
          <w:tblCellMar>
            <w:top w:w="15" w:type="dxa"/>
            <w:left w:w="15" w:type="dxa"/>
            <w:bottom w:w="15" w:type="dxa"/>
            <w:right w:w="15" w:type="dxa"/>
          </w:tblCellMar>
        </w:tblPrEx>
        <w:trPr>
          <w:trHeight w:val="420" w:hRule="atLeast"/>
        </w:trPr>
        <w:tc>
          <w:tcPr>
            <w:tcW w:w="1131" w:type="dxa"/>
            <w:vMerge w:val="continue"/>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宋体" w:hAnsi="宋体" w:cs="宋体"/>
                <w:color w:val="000000" w:themeColor="text1"/>
                <w:sz w:val="18"/>
                <w:szCs w:val="18"/>
                <w14:textFill>
                  <w14:solidFill>
                    <w14:schemeClr w14:val="tx1"/>
                  </w14:solidFill>
                </w14:textFill>
              </w:rPr>
            </w:pPr>
          </w:p>
        </w:tc>
        <w:tc>
          <w:tcPr>
            <w:tcW w:w="901"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规模</w:t>
            </w:r>
          </w:p>
        </w:tc>
        <w:tc>
          <w:tcPr>
            <w:tcW w:w="1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建筑物面积</w:t>
            </w:r>
          </w:p>
        </w:tc>
        <w:tc>
          <w:tcPr>
            <w:tcW w:w="61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themeColor="text1"/>
                <w:kern w:val="0"/>
                <w:sz w:val="18"/>
                <w:szCs w:val="18"/>
                <w:lang w:val="en-US" w:eastAsia="zh-CN"/>
                <w14:textFill>
                  <w14:solidFill>
                    <w14:schemeClr w14:val="tx1"/>
                  </w14:solidFill>
                </w14:textFill>
              </w:rPr>
            </w:pPr>
            <w:r>
              <w:rPr>
                <w:rFonts w:hint="eastAsia" w:ascii="宋体" w:hAnsi="宋体" w:cs="宋体"/>
                <w:color w:val="000000" w:themeColor="text1"/>
                <w:kern w:val="0"/>
                <w:sz w:val="18"/>
                <w:szCs w:val="18"/>
                <w:lang w:val="en-US" w:eastAsia="zh-CN"/>
                <w14:textFill>
                  <w14:solidFill>
                    <w14:schemeClr w14:val="tx1"/>
                  </w14:solidFill>
                </w14:textFill>
              </w:rPr>
              <w:t>估价对象1建筑面积：14057㎡；估价对象2建筑面积：311.28㎡.</w:t>
            </w:r>
          </w:p>
        </w:tc>
      </w:tr>
      <w:tr>
        <w:tblPrEx>
          <w:tblLayout w:type="fixed"/>
          <w:tblCellMar>
            <w:top w:w="15" w:type="dxa"/>
            <w:left w:w="15" w:type="dxa"/>
            <w:bottom w:w="15" w:type="dxa"/>
            <w:right w:w="15" w:type="dxa"/>
          </w:tblCellMar>
        </w:tblPrEx>
        <w:trPr>
          <w:trHeight w:val="420" w:hRule="atLeast"/>
        </w:trPr>
        <w:tc>
          <w:tcPr>
            <w:tcW w:w="1131" w:type="dxa"/>
            <w:vMerge w:val="continue"/>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宋体" w:hAnsi="宋体" w:cs="宋体"/>
                <w:color w:val="000000" w:themeColor="text1"/>
                <w:sz w:val="18"/>
                <w:szCs w:val="18"/>
                <w14:textFill>
                  <w14:solidFill>
                    <w14:schemeClr w14:val="tx1"/>
                  </w14:solidFill>
                </w14:textFill>
              </w:rPr>
            </w:pPr>
          </w:p>
        </w:tc>
        <w:tc>
          <w:tcPr>
            <w:tcW w:w="901" w:type="dxa"/>
            <w:vMerge w:val="restart"/>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用途</w:t>
            </w:r>
          </w:p>
        </w:tc>
        <w:tc>
          <w:tcPr>
            <w:tcW w:w="1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规划用途</w:t>
            </w:r>
          </w:p>
        </w:tc>
        <w:tc>
          <w:tcPr>
            <w:tcW w:w="2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themeColor="text1"/>
                <w:kern w:val="0"/>
                <w:sz w:val="18"/>
                <w:szCs w:val="18"/>
                <w:lang w:val="en-US" w:eastAsia="zh-CN"/>
                <w14:textFill>
                  <w14:solidFill>
                    <w14:schemeClr w14:val="tx1"/>
                  </w14:solidFill>
                </w14:textFill>
              </w:rPr>
            </w:pPr>
            <w:r>
              <w:rPr>
                <w:rFonts w:hint="eastAsia" w:ascii="宋体" w:hAnsi="宋体" w:cs="宋体"/>
                <w:color w:val="000000" w:themeColor="text1"/>
                <w:kern w:val="0"/>
                <w:sz w:val="18"/>
                <w:szCs w:val="18"/>
                <w:lang w:val="en-US" w:eastAsia="zh-CN"/>
                <w14:textFill>
                  <w14:solidFill>
                    <w14:schemeClr w14:val="tx1"/>
                  </w14:solidFill>
                </w14:textFill>
              </w:rPr>
              <w:t>车库、仓储</w:t>
            </w:r>
          </w:p>
        </w:tc>
        <w:tc>
          <w:tcPr>
            <w:tcW w:w="148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实际用途</w:t>
            </w:r>
          </w:p>
        </w:tc>
        <w:tc>
          <w:tcPr>
            <w:tcW w:w="22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themeColor="text1"/>
                <w:kern w:val="0"/>
                <w:sz w:val="18"/>
                <w:szCs w:val="18"/>
                <w:lang w:val="en-US" w:eastAsia="zh-CN"/>
                <w14:textFill>
                  <w14:solidFill>
                    <w14:schemeClr w14:val="tx1"/>
                  </w14:solidFill>
                </w14:textFill>
              </w:rPr>
            </w:pPr>
            <w:r>
              <w:rPr>
                <w:rFonts w:hint="eastAsia" w:ascii="宋体" w:hAnsi="宋体" w:cs="宋体"/>
                <w:color w:val="000000" w:themeColor="text1"/>
                <w:kern w:val="0"/>
                <w:sz w:val="18"/>
                <w:szCs w:val="18"/>
                <w:lang w:val="en-US" w:eastAsia="zh-CN"/>
                <w14:textFill>
                  <w14:solidFill>
                    <w14:schemeClr w14:val="tx1"/>
                  </w14:solidFill>
                </w14:textFill>
              </w:rPr>
              <w:t>车库、仓储</w:t>
            </w:r>
          </w:p>
        </w:tc>
      </w:tr>
      <w:tr>
        <w:tblPrEx>
          <w:tblLayout w:type="fixed"/>
          <w:tblCellMar>
            <w:top w:w="15" w:type="dxa"/>
            <w:left w:w="15" w:type="dxa"/>
            <w:bottom w:w="15" w:type="dxa"/>
            <w:right w:w="15" w:type="dxa"/>
          </w:tblCellMar>
        </w:tblPrEx>
        <w:trPr>
          <w:trHeight w:val="420" w:hRule="atLeast"/>
        </w:trPr>
        <w:tc>
          <w:tcPr>
            <w:tcW w:w="1131" w:type="dxa"/>
            <w:vMerge w:val="continue"/>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宋体" w:hAnsi="宋体" w:cs="宋体"/>
                <w:color w:val="000000" w:themeColor="text1"/>
                <w:sz w:val="18"/>
                <w:szCs w:val="18"/>
                <w14:textFill>
                  <w14:solidFill>
                    <w14:schemeClr w14:val="tx1"/>
                  </w14:solidFill>
                </w14:textFill>
              </w:rPr>
            </w:pPr>
          </w:p>
        </w:tc>
        <w:tc>
          <w:tcPr>
            <w:tcW w:w="901" w:type="dxa"/>
            <w:vMerge w:val="continue"/>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cs="宋体"/>
                <w:color w:val="000000" w:themeColor="text1"/>
                <w:kern w:val="0"/>
                <w:sz w:val="18"/>
                <w:szCs w:val="18"/>
                <w14:textFill>
                  <w14:solidFill>
                    <w14:schemeClr w14:val="tx1"/>
                  </w14:solidFill>
                </w14:textFill>
              </w:rPr>
            </w:pPr>
          </w:p>
        </w:tc>
        <w:tc>
          <w:tcPr>
            <w:tcW w:w="1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登记用途</w:t>
            </w:r>
          </w:p>
        </w:tc>
        <w:tc>
          <w:tcPr>
            <w:tcW w:w="2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themeColor="text1"/>
                <w:kern w:val="0"/>
                <w:sz w:val="18"/>
                <w:szCs w:val="18"/>
                <w:lang w:val="en-US" w:eastAsia="zh-CN"/>
                <w14:textFill>
                  <w14:solidFill>
                    <w14:schemeClr w14:val="tx1"/>
                  </w14:solidFill>
                </w14:textFill>
              </w:rPr>
            </w:pPr>
            <w:r>
              <w:rPr>
                <w:rFonts w:hint="eastAsia" w:ascii="宋体" w:hAnsi="宋体" w:cs="宋体"/>
                <w:color w:val="000000" w:themeColor="text1"/>
                <w:kern w:val="0"/>
                <w:sz w:val="18"/>
                <w:szCs w:val="18"/>
                <w:lang w:val="en-US" w:eastAsia="zh-CN"/>
                <w14:textFill>
                  <w14:solidFill>
                    <w14:schemeClr w14:val="tx1"/>
                  </w14:solidFill>
                </w14:textFill>
              </w:rPr>
              <w:t>车库、仓储</w:t>
            </w:r>
          </w:p>
        </w:tc>
        <w:tc>
          <w:tcPr>
            <w:tcW w:w="148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kern w:val="0"/>
                <w:sz w:val="18"/>
                <w:szCs w:val="18"/>
                <w14:textFill>
                  <w14:solidFill>
                    <w14:schemeClr w14:val="tx1"/>
                  </w14:solidFill>
                </w14:textFill>
              </w:rPr>
            </w:pPr>
          </w:p>
        </w:tc>
        <w:tc>
          <w:tcPr>
            <w:tcW w:w="22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kern w:val="0"/>
                <w:sz w:val="18"/>
                <w:szCs w:val="18"/>
                <w14:textFill>
                  <w14:solidFill>
                    <w14:schemeClr w14:val="tx1"/>
                  </w14:solidFill>
                </w14:textFill>
              </w:rPr>
            </w:pPr>
          </w:p>
        </w:tc>
      </w:tr>
      <w:tr>
        <w:tblPrEx>
          <w:tblLayout w:type="fixed"/>
          <w:tblCellMar>
            <w:top w:w="15" w:type="dxa"/>
            <w:left w:w="15" w:type="dxa"/>
            <w:bottom w:w="15" w:type="dxa"/>
            <w:right w:w="15" w:type="dxa"/>
          </w:tblCellMar>
        </w:tblPrEx>
        <w:trPr>
          <w:trHeight w:val="540" w:hRule="atLeast"/>
        </w:trPr>
        <w:tc>
          <w:tcPr>
            <w:tcW w:w="1131" w:type="dxa"/>
            <w:vMerge w:val="continue"/>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宋体" w:hAnsi="宋体" w:cs="宋体"/>
                <w:color w:val="000000" w:themeColor="text1"/>
                <w:sz w:val="18"/>
                <w:szCs w:val="18"/>
                <w14:textFill>
                  <w14:solidFill>
                    <w14:schemeClr w14:val="tx1"/>
                  </w14:solidFill>
                </w14:textFill>
              </w:rPr>
            </w:pPr>
          </w:p>
        </w:tc>
        <w:tc>
          <w:tcPr>
            <w:tcW w:w="901" w:type="dxa"/>
            <w:vMerge w:val="restart"/>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权属</w:t>
            </w:r>
          </w:p>
        </w:tc>
        <w:tc>
          <w:tcPr>
            <w:tcW w:w="1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土地使用权性质</w:t>
            </w:r>
          </w:p>
        </w:tc>
        <w:tc>
          <w:tcPr>
            <w:tcW w:w="2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themeColor="text1"/>
                <w:kern w:val="0"/>
                <w:sz w:val="18"/>
                <w:szCs w:val="18"/>
                <w:lang w:val="en-US" w:eastAsia="zh-CN"/>
                <w14:textFill>
                  <w14:solidFill>
                    <w14:schemeClr w14:val="tx1"/>
                  </w14:solidFill>
                </w14:textFill>
              </w:rPr>
            </w:pPr>
            <w:r>
              <w:rPr>
                <w:rFonts w:hint="eastAsia" w:ascii="宋体" w:hAnsi="宋体" w:cs="宋体"/>
                <w:color w:val="000000" w:themeColor="text1"/>
                <w:kern w:val="0"/>
                <w:sz w:val="18"/>
                <w:szCs w:val="18"/>
                <w:lang w:val="en-US" w:eastAsia="zh-CN"/>
                <w14:textFill>
                  <w14:solidFill>
                    <w14:schemeClr w14:val="tx1"/>
                  </w14:solidFill>
                </w14:textFill>
              </w:rPr>
              <w:t>/</w:t>
            </w:r>
          </w:p>
        </w:tc>
        <w:tc>
          <w:tcPr>
            <w:tcW w:w="1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使用权类型</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lang w:val="en-US" w:eastAsia="zh-CN"/>
                <w14:textFill>
                  <w14:solidFill>
                    <w14:schemeClr w14:val="tx1"/>
                  </w14:solidFill>
                </w14:textFill>
              </w:rPr>
              <w:t>出让</w:t>
            </w:r>
          </w:p>
        </w:tc>
      </w:tr>
      <w:tr>
        <w:tblPrEx>
          <w:tblLayout w:type="fixed"/>
          <w:tblCellMar>
            <w:top w:w="15" w:type="dxa"/>
            <w:left w:w="15" w:type="dxa"/>
            <w:bottom w:w="15" w:type="dxa"/>
            <w:right w:w="15" w:type="dxa"/>
          </w:tblCellMar>
        </w:tblPrEx>
        <w:trPr>
          <w:trHeight w:val="420" w:hRule="atLeast"/>
        </w:trPr>
        <w:tc>
          <w:tcPr>
            <w:tcW w:w="1131" w:type="dxa"/>
            <w:vMerge w:val="continue"/>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宋体" w:hAnsi="宋体" w:cs="宋体"/>
                <w:color w:val="000000" w:themeColor="text1"/>
                <w:sz w:val="18"/>
                <w:szCs w:val="18"/>
                <w14:textFill>
                  <w14:solidFill>
                    <w14:schemeClr w14:val="tx1"/>
                  </w14:solidFill>
                </w14:textFill>
              </w:rPr>
            </w:pPr>
          </w:p>
        </w:tc>
        <w:tc>
          <w:tcPr>
            <w:tcW w:w="901" w:type="dxa"/>
            <w:vMerge w:val="continue"/>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cs="宋体"/>
                <w:color w:val="000000" w:themeColor="text1"/>
                <w:kern w:val="0"/>
                <w:sz w:val="18"/>
                <w:szCs w:val="18"/>
                <w14:textFill>
                  <w14:solidFill>
                    <w14:schemeClr w14:val="tx1"/>
                  </w14:solidFill>
                </w14:textFill>
              </w:rPr>
            </w:pPr>
          </w:p>
        </w:tc>
        <w:tc>
          <w:tcPr>
            <w:tcW w:w="1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土地使用权人</w:t>
            </w:r>
          </w:p>
        </w:tc>
        <w:tc>
          <w:tcPr>
            <w:tcW w:w="61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themeColor="text1"/>
                <w:kern w:val="0"/>
                <w:sz w:val="18"/>
                <w:szCs w:val="18"/>
                <w:lang w:val="en-US" w:eastAsia="zh-CN"/>
                <w14:textFill>
                  <w14:solidFill>
                    <w14:schemeClr w14:val="tx1"/>
                  </w14:solidFill>
                </w14:textFill>
              </w:rPr>
            </w:pPr>
            <w:r>
              <w:rPr>
                <w:rFonts w:hint="eastAsia" w:ascii="宋体" w:hAnsi="宋体" w:cs="宋体"/>
                <w:color w:val="000000" w:themeColor="text1"/>
                <w:kern w:val="0"/>
                <w:sz w:val="18"/>
                <w:szCs w:val="18"/>
                <w:lang w:val="en-US" w:eastAsia="zh-CN"/>
                <w14:textFill>
                  <w14:solidFill>
                    <w14:schemeClr w14:val="tx1"/>
                  </w14:solidFill>
                </w14:textFill>
              </w:rPr>
              <w:t>四川平扬房地产开发有限公司</w:t>
            </w:r>
          </w:p>
        </w:tc>
      </w:tr>
      <w:tr>
        <w:tblPrEx>
          <w:tblLayout w:type="fixed"/>
          <w:tblCellMar>
            <w:top w:w="15" w:type="dxa"/>
            <w:left w:w="15" w:type="dxa"/>
            <w:bottom w:w="15" w:type="dxa"/>
            <w:right w:w="15" w:type="dxa"/>
          </w:tblCellMar>
        </w:tblPrEx>
        <w:trPr>
          <w:trHeight w:val="420" w:hRule="atLeast"/>
        </w:trPr>
        <w:tc>
          <w:tcPr>
            <w:tcW w:w="1131" w:type="dxa"/>
            <w:vMerge w:val="continue"/>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宋体" w:hAnsi="宋体" w:cs="宋体"/>
                <w:color w:val="000000" w:themeColor="text1"/>
                <w:sz w:val="18"/>
                <w:szCs w:val="18"/>
                <w14:textFill>
                  <w14:solidFill>
                    <w14:schemeClr w14:val="tx1"/>
                  </w14:solidFill>
                </w14:textFill>
              </w:rPr>
            </w:pPr>
          </w:p>
        </w:tc>
        <w:tc>
          <w:tcPr>
            <w:tcW w:w="901" w:type="dxa"/>
            <w:vMerge w:val="continue"/>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cs="宋体"/>
                <w:color w:val="000000" w:themeColor="text1"/>
                <w:kern w:val="0"/>
                <w:sz w:val="18"/>
                <w:szCs w:val="18"/>
                <w14:textFill>
                  <w14:solidFill>
                    <w14:schemeClr w14:val="tx1"/>
                  </w14:solidFill>
                </w14:textFill>
              </w:rPr>
            </w:pPr>
          </w:p>
        </w:tc>
        <w:tc>
          <w:tcPr>
            <w:tcW w:w="1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房屋所有权人</w:t>
            </w:r>
          </w:p>
        </w:tc>
        <w:tc>
          <w:tcPr>
            <w:tcW w:w="61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themeColor="text1"/>
                <w:kern w:val="0"/>
                <w:sz w:val="18"/>
                <w:szCs w:val="18"/>
                <w:lang w:val="en-US" w:eastAsia="zh-CN"/>
                <w14:textFill>
                  <w14:solidFill>
                    <w14:schemeClr w14:val="tx1"/>
                  </w14:solidFill>
                </w14:textFill>
              </w:rPr>
            </w:pPr>
            <w:r>
              <w:rPr>
                <w:rFonts w:hint="eastAsia" w:ascii="宋体" w:hAnsi="宋体" w:cs="宋体"/>
                <w:color w:val="000000" w:themeColor="text1"/>
                <w:kern w:val="0"/>
                <w:sz w:val="18"/>
                <w:szCs w:val="18"/>
                <w:lang w:val="en-US" w:eastAsia="zh-CN"/>
                <w14:textFill>
                  <w14:solidFill>
                    <w14:schemeClr w14:val="tx1"/>
                  </w14:solidFill>
                </w14:textFill>
              </w:rPr>
              <w:t>四川平扬房地产开发有限公司</w:t>
            </w:r>
          </w:p>
        </w:tc>
      </w:tr>
    </w:tbl>
    <w:p>
      <w:pPr>
        <w:numPr>
          <w:ilvl w:val="0"/>
          <w:numId w:val="7"/>
        </w:numPr>
        <w:spacing w:line="360" w:lineRule="auto"/>
        <w:ind w:firstLine="56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估价对象实物状况</w:t>
      </w:r>
    </w:p>
    <w:p>
      <w:pPr>
        <w:numPr>
          <w:ilvl w:val="0"/>
          <w:numId w:val="8"/>
        </w:numPr>
        <w:spacing w:line="360" w:lineRule="auto"/>
        <w:ind w:firstLine="560" w:firstLineChars="200"/>
        <w:rPr>
          <w:rStyle w:val="28"/>
          <w:color w:val="000000" w:themeColor="text1"/>
          <w14:textFill>
            <w14:solidFill>
              <w14:schemeClr w14:val="tx1"/>
            </w14:solidFill>
          </w14:textFill>
        </w:rPr>
      </w:pPr>
      <w:r>
        <w:rPr>
          <w:rStyle w:val="28"/>
          <w:rFonts w:hint="eastAsia"/>
          <w:color w:val="000000" w:themeColor="text1"/>
          <w14:textFill>
            <w14:solidFill>
              <w14:schemeClr w14:val="tx1"/>
            </w14:solidFill>
          </w14:textFill>
        </w:rPr>
        <w:t>土地实物状况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Style w:val="28"/>
          <w:rFonts w:hint="eastAsia"/>
          <w:color w:val="000000" w:themeColor="text1"/>
          <w14:textFill>
            <w14:solidFill>
              <w14:schemeClr w14:val="tx1"/>
            </w14:solidFill>
          </w14:textFill>
        </w:rPr>
      </w:pPr>
      <w:bookmarkStart w:id="64" w:name="OLE_LINK19"/>
      <w:r>
        <w:rPr>
          <w:rStyle w:val="28"/>
          <w:rFonts w:hint="eastAsia" w:eastAsia="仿宋_GB2312"/>
          <w:color w:val="auto"/>
          <w:highlight w:val="none"/>
          <w:lang w:val="en-US" w:eastAsia="zh-CN"/>
        </w:rPr>
        <w:t>估价对象所在宗地均坐落于</w:t>
      </w:r>
      <w:r>
        <w:rPr>
          <w:rStyle w:val="28"/>
          <w:rFonts w:hint="eastAsia" w:eastAsia="仿宋_GB2312"/>
          <w:lang w:val="en-US" w:eastAsia="zh-CN"/>
        </w:rPr>
        <w:t>自贡市沿滩区沿滩新城板南大道街122号龙湖金帝广场</w:t>
      </w:r>
      <w:r>
        <w:rPr>
          <w:rStyle w:val="28"/>
          <w:rFonts w:hint="eastAsia" w:eastAsia="仿宋_GB2312"/>
          <w:color w:val="auto"/>
          <w:highlight w:val="none"/>
          <w:lang w:val="en-US" w:eastAsia="zh-CN"/>
        </w:rPr>
        <w:t>，宗地性质为出让，用途为商业用地，东临龙湖郡，南临龙湖中学及自贡恒大绿洲，西临园富路，北临龙湖森林。宗地属丘陵地貌，形状较规则、地势优一定坡度，开发程</w:t>
      </w:r>
      <w:r>
        <w:rPr>
          <w:rStyle w:val="28"/>
          <w:rFonts w:hint="eastAsia" w:eastAsia="仿宋_GB2312"/>
          <w:color w:val="auto"/>
          <w:szCs w:val="22"/>
          <w:highlight w:val="none"/>
          <w:lang w:val="en-US" w:eastAsia="zh-CN"/>
        </w:rPr>
        <w:t>度已达“六通一平”（通上水、通下水、通电、通讯、通路、通气及场地平整），土地终止日期2053年3月5日，剩余使用年期为31.95年。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Style w:val="28"/>
          <w:rFonts w:hint="eastAsia" w:eastAsia="仿宋_GB2312"/>
          <w:color w:val="000000" w:themeColor="text1"/>
          <w:lang w:eastAsia="zh-CN"/>
          <w14:textFill>
            <w14:solidFill>
              <w14:schemeClr w14:val="tx1"/>
            </w14:solidFill>
          </w14:textFill>
        </w:rPr>
      </w:pPr>
      <w:r>
        <w:rPr>
          <w:rStyle w:val="28"/>
          <w:rFonts w:hint="eastAsia" w:eastAsia="仿宋_GB2312"/>
          <w:color w:val="000000" w:themeColor="text1"/>
          <w:lang w:eastAsia="zh-CN"/>
          <w14:textFill>
            <w14:solidFill>
              <w14:schemeClr w14:val="tx1"/>
            </w14:solidFill>
          </w14:textFill>
        </w:rPr>
        <w:t>（</w:t>
      </w:r>
      <w:r>
        <w:rPr>
          <w:rStyle w:val="28"/>
          <w:rFonts w:hint="eastAsia" w:eastAsia="仿宋_GB2312"/>
          <w:color w:val="000000" w:themeColor="text1"/>
          <w:lang w:val="en-US" w:eastAsia="zh-CN"/>
          <w14:textFill>
            <w14:solidFill>
              <w14:schemeClr w14:val="tx1"/>
            </w14:solidFill>
          </w14:textFill>
        </w:rPr>
        <w:t>2</w:t>
      </w:r>
      <w:r>
        <w:rPr>
          <w:rStyle w:val="28"/>
          <w:rFonts w:hint="eastAsia" w:eastAsia="仿宋_GB2312"/>
          <w:color w:val="000000" w:themeColor="text1"/>
          <w:lang w:eastAsia="zh-CN"/>
          <w14:textFill>
            <w14:solidFill>
              <w14:schemeClr w14:val="tx1"/>
            </w14:solidFill>
          </w14:textFill>
        </w:rPr>
        <w:t>）建筑物实物状况</w:t>
      </w:r>
    </w:p>
    <w:bookmarkEnd w:id="64"/>
    <w:p>
      <w:pPr>
        <w:adjustRightInd w:val="0"/>
        <w:spacing w:line="360" w:lineRule="auto"/>
        <w:ind w:firstLine="560" w:firstLineChars="200"/>
        <w:rPr>
          <w:rFonts w:hint="eastAsia" w:ascii="仿宋_GB2312" w:eastAsia="仿宋_GB2312"/>
          <w:szCs w:val="22"/>
          <w:lang w:val="en-US" w:eastAsia="zh-CN"/>
        </w:rPr>
      </w:pPr>
      <w:r>
        <w:rPr>
          <w:rStyle w:val="28"/>
          <w:rFonts w:hint="eastAsia" w:eastAsia="仿宋_GB2312"/>
          <w:lang w:val="en-US" w:eastAsia="zh-CN"/>
        </w:rPr>
        <w:t>估价对象位于自贡市沿滩区沿滩新城板南大道街122号龙湖金帝广场</w:t>
      </w:r>
      <w:r>
        <w:rPr>
          <w:rFonts w:hint="eastAsia" w:ascii="仿宋_GB2312" w:eastAsia="仿宋_GB2312"/>
          <w:szCs w:val="22"/>
          <w:lang w:val="en-US" w:eastAsia="zh-CN"/>
        </w:rPr>
        <w:t>，建有2多栋多层混合结构的商业综合楼，</w:t>
      </w:r>
      <w:r>
        <w:rPr>
          <w:rFonts w:hint="eastAsia" w:ascii="仿宋_GB2312" w:hAnsi="宋体" w:eastAsia="仿宋_GB2312"/>
          <w:szCs w:val="28"/>
        </w:rPr>
        <w:t>建成</w:t>
      </w:r>
      <w:r>
        <w:rPr>
          <w:rFonts w:hint="eastAsia" w:ascii="仿宋_GB2312" w:hAnsi="宋体" w:eastAsia="仿宋_GB2312"/>
          <w:szCs w:val="28"/>
          <w:lang w:val="en-US" w:eastAsia="zh-CN"/>
        </w:rPr>
        <w:t>于2015</w:t>
      </w:r>
      <w:r>
        <w:rPr>
          <w:rFonts w:hint="eastAsia" w:ascii="仿宋_GB2312" w:hAnsi="宋体" w:eastAsia="仿宋_GB2312"/>
          <w:szCs w:val="28"/>
        </w:rPr>
        <w:t>年，</w:t>
      </w:r>
      <w:r>
        <w:rPr>
          <w:rFonts w:hint="eastAsia" w:ascii="仿宋_GB2312" w:hAnsi="宋体" w:eastAsia="仿宋_GB2312"/>
          <w:szCs w:val="28"/>
          <w:lang w:val="en-US" w:eastAsia="zh-CN"/>
        </w:rPr>
        <w:t>建筑物</w:t>
      </w:r>
      <w:r>
        <w:rPr>
          <w:rFonts w:hint="eastAsia" w:ascii="仿宋_GB2312" w:hAnsi="宋体" w:eastAsia="仿宋_GB2312"/>
          <w:szCs w:val="28"/>
        </w:rPr>
        <w:t>外墙</w:t>
      </w:r>
      <w:r>
        <w:rPr>
          <w:rFonts w:hint="eastAsia" w:ascii="仿宋_GB2312" w:hAnsi="宋体" w:eastAsia="仿宋_GB2312"/>
          <w:szCs w:val="28"/>
          <w:lang w:val="en-US" w:eastAsia="zh-CN"/>
        </w:rPr>
        <w:t>贴墙砖</w:t>
      </w:r>
      <w:r>
        <w:rPr>
          <w:rStyle w:val="28"/>
          <w:rFonts w:hint="eastAsia" w:eastAsia="仿宋_GB2312"/>
          <w:szCs w:val="22"/>
          <w:lang w:val="en-US" w:eastAsia="zh-CN"/>
        </w:rPr>
        <w:t>。估价对象1为车库用途，所在位置位于金帝广场1栋地下负1层、夹层、负2层，均为标准车位，粉刷地坪漆，设立自动化门禁岗亭</w:t>
      </w:r>
      <w:r>
        <w:rPr>
          <w:rFonts w:hint="eastAsia" w:ascii="仿宋_GB2312" w:eastAsia="仿宋_GB2312"/>
          <w:szCs w:val="22"/>
          <w:lang w:val="en-US" w:eastAsia="zh-CN"/>
        </w:rPr>
        <w:t>；估价对象2位于第1栋负1层、夹层、负2层，地面第3层及第4层，用途为仓储，普通装修，根据估价人员现场勘察确定建筑物成新度8成，正常使用中。</w:t>
      </w:r>
    </w:p>
    <w:p>
      <w:pPr>
        <w:adjustRightInd w:val="0"/>
        <w:spacing w:line="360" w:lineRule="auto"/>
        <w:ind w:firstLine="560" w:firstLineChars="200"/>
        <w:rPr>
          <w:rFonts w:hint="eastAsia" w:ascii="仿宋_GB2312" w:eastAsia="仿宋_GB2312"/>
          <w:color w:val="000000" w:themeColor="text1"/>
          <w:szCs w:val="22"/>
          <w14:textFill>
            <w14:solidFill>
              <w14:schemeClr w14:val="tx1"/>
            </w14:solidFill>
          </w14:textFill>
        </w:rPr>
      </w:pPr>
      <w:r>
        <w:rPr>
          <w:rFonts w:hint="eastAsia" w:ascii="仿宋_GB2312" w:eastAsia="仿宋_GB2312"/>
          <w:color w:val="000000" w:themeColor="text1"/>
          <w:szCs w:val="22"/>
          <w:lang w:val="en-US" w:eastAsia="zh-CN"/>
          <w14:textFill>
            <w14:solidFill>
              <w14:schemeClr w14:val="tx1"/>
            </w14:solidFill>
          </w14:textFill>
        </w:rPr>
        <w:t>4、</w:t>
      </w:r>
      <w:r>
        <w:rPr>
          <w:rFonts w:hint="eastAsia" w:ascii="仿宋_GB2312" w:eastAsia="仿宋_GB2312"/>
          <w:color w:val="000000" w:themeColor="text1"/>
          <w:szCs w:val="22"/>
          <w14:textFill>
            <w14:solidFill>
              <w14:schemeClr w14:val="tx1"/>
            </w14:solidFill>
          </w14:textFill>
        </w:rPr>
        <w:t>估价对象权益状况</w:t>
      </w:r>
    </w:p>
    <w:p>
      <w:pPr>
        <w:adjustRightInd w:val="0"/>
        <w:spacing w:line="360" w:lineRule="auto"/>
        <w:ind w:firstLine="560" w:firstLineChars="200"/>
        <w:rPr>
          <w:rFonts w:hint="eastAsia" w:ascii="仿宋_GB2312" w:eastAsia="仿宋_GB2312"/>
          <w:color w:val="000000" w:themeColor="text1"/>
          <w:szCs w:val="22"/>
          <w:lang w:val="en-US" w:eastAsia="zh-CN"/>
          <w14:textFill>
            <w14:solidFill>
              <w14:schemeClr w14:val="tx1"/>
            </w14:solidFill>
          </w14:textFill>
        </w:rPr>
      </w:pPr>
      <w:r>
        <w:rPr>
          <w:rFonts w:hint="eastAsia" w:ascii="仿宋_GB2312" w:eastAsia="仿宋_GB2312"/>
          <w:color w:val="000000" w:themeColor="text1"/>
          <w:szCs w:val="22"/>
          <w:lang w:val="en-US" w:eastAsia="zh-CN"/>
          <w14:textFill>
            <w14:solidFill>
              <w14:schemeClr w14:val="tx1"/>
            </w14:solidFill>
          </w14:textFill>
        </w:rPr>
        <w:t>（1）不动产登记状况</w:t>
      </w:r>
    </w:p>
    <w:tbl>
      <w:tblPr>
        <w:tblStyle w:val="24"/>
        <w:tblW w:w="83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7"/>
        <w:gridCol w:w="6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exact"/>
          <w:jc w:val="center"/>
        </w:trPr>
        <w:tc>
          <w:tcPr>
            <w:tcW w:w="2307" w:type="dxa"/>
            <w:vAlign w:val="center"/>
          </w:tcPr>
          <w:p>
            <w:pPr>
              <w:spacing w:line="360" w:lineRule="auto"/>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权利人</w:t>
            </w:r>
          </w:p>
        </w:tc>
        <w:tc>
          <w:tcPr>
            <w:tcW w:w="6092" w:type="dxa"/>
            <w:vAlign w:val="center"/>
          </w:tcPr>
          <w:p>
            <w:pPr>
              <w:spacing w:line="360" w:lineRule="auto"/>
              <w:jc w:val="center"/>
              <w:rPr>
                <w:rFonts w:hint="eastAsia" w:ascii="宋体" w:hAnsi="宋体" w:eastAsia="宋体" w:cs="宋体"/>
                <w:sz w:val="18"/>
                <w:szCs w:val="18"/>
                <w:lang w:val="en-US" w:eastAsia="zh-CN"/>
              </w:rPr>
            </w:pPr>
            <w:r>
              <w:rPr>
                <w:rFonts w:hint="eastAsia" w:ascii="宋体" w:hAnsi="宋体" w:cs="宋体"/>
                <w:color w:val="000000"/>
                <w:kern w:val="0"/>
                <w:sz w:val="18"/>
                <w:szCs w:val="18"/>
                <w:highlight w:val="none"/>
                <w:lang w:eastAsia="zh-CN"/>
              </w:rPr>
              <w:t>四川平扬房地产开发有限公司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exact"/>
          <w:jc w:val="center"/>
        </w:trPr>
        <w:tc>
          <w:tcPr>
            <w:tcW w:w="2307" w:type="dxa"/>
            <w:vAlign w:val="center"/>
          </w:tcPr>
          <w:p>
            <w:pPr>
              <w:spacing w:line="360" w:lineRule="auto"/>
              <w:jc w:val="center"/>
              <w:rPr>
                <w:rFonts w:hint="eastAsia" w:ascii="宋体" w:hAnsi="宋体" w:eastAsia="宋体" w:cs="宋体"/>
                <w:sz w:val="18"/>
                <w:szCs w:val="18"/>
                <w:lang w:eastAsia="zh-CN"/>
              </w:rPr>
            </w:pPr>
            <w:r>
              <w:rPr>
                <w:rFonts w:hint="eastAsia" w:ascii="宋体" w:hAnsi="宋体" w:cs="宋体"/>
                <w:sz w:val="18"/>
                <w:szCs w:val="18"/>
                <w:lang w:eastAsia="zh-CN"/>
              </w:rPr>
              <w:t>不动产权证</w:t>
            </w:r>
          </w:p>
        </w:tc>
        <w:tc>
          <w:tcPr>
            <w:tcW w:w="6092" w:type="dxa"/>
            <w:vAlign w:val="center"/>
          </w:tcPr>
          <w:p>
            <w:pPr>
              <w:spacing w:line="360" w:lineRule="auto"/>
              <w:jc w:val="center"/>
              <w:rPr>
                <w:rFonts w:hint="default" w:ascii="宋体" w:hAnsi="宋体" w:eastAsia="宋体" w:cs="宋体"/>
                <w:sz w:val="18"/>
                <w:szCs w:val="18"/>
                <w:lang w:val="en-US" w:eastAsia="zh-CN"/>
              </w:rPr>
            </w:pPr>
            <w:r>
              <w:rPr>
                <w:rFonts w:hint="eastAsia" w:ascii="宋体" w:hAnsi="宋体" w:cs="宋体"/>
                <w:color w:val="000000"/>
                <w:sz w:val="18"/>
                <w:szCs w:val="18"/>
                <w:lang w:val="en-US" w:eastAsia="zh-CN"/>
              </w:rPr>
              <w:t>20170026456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exact"/>
          <w:jc w:val="center"/>
        </w:trPr>
        <w:tc>
          <w:tcPr>
            <w:tcW w:w="2307" w:type="dxa"/>
            <w:vAlign w:val="center"/>
          </w:tcPr>
          <w:p>
            <w:pPr>
              <w:spacing w:line="360" w:lineRule="auto"/>
              <w:jc w:val="center"/>
              <w:rPr>
                <w:rFonts w:ascii="宋体" w:hAnsi="宋体" w:cs="宋体"/>
                <w:sz w:val="18"/>
                <w:szCs w:val="18"/>
              </w:rPr>
            </w:pPr>
            <w:r>
              <w:rPr>
                <w:rFonts w:hint="eastAsia" w:ascii="宋体" w:hAnsi="宋体" w:cs="宋体"/>
                <w:sz w:val="18"/>
                <w:szCs w:val="18"/>
              </w:rPr>
              <w:t>坐落</w:t>
            </w:r>
          </w:p>
        </w:tc>
        <w:tc>
          <w:tcPr>
            <w:tcW w:w="6092" w:type="dxa"/>
            <w:vAlign w:val="center"/>
          </w:tcPr>
          <w:p>
            <w:pPr>
              <w:spacing w:line="360" w:lineRule="auto"/>
              <w:jc w:val="center"/>
              <w:rPr>
                <w:rFonts w:hint="default" w:ascii="宋体" w:hAnsi="宋体" w:eastAsia="宋体" w:cs="宋体"/>
                <w:sz w:val="18"/>
                <w:szCs w:val="18"/>
                <w:lang w:val="en-US" w:eastAsia="zh-CN"/>
              </w:rPr>
            </w:pPr>
            <w:r>
              <w:rPr>
                <w:rFonts w:hint="eastAsia" w:ascii="宋体" w:hAnsi="宋体" w:cs="宋体"/>
                <w:sz w:val="18"/>
                <w:szCs w:val="18"/>
                <w:lang w:eastAsia="zh-CN"/>
              </w:rPr>
              <w:t>沿滩区沿滩新城板南大道街</w:t>
            </w:r>
            <w:r>
              <w:rPr>
                <w:rFonts w:hint="eastAsia" w:ascii="宋体" w:hAnsi="宋体" w:cs="宋体"/>
                <w:sz w:val="18"/>
                <w:szCs w:val="18"/>
                <w:lang w:val="en-US" w:eastAsia="zh-CN"/>
              </w:rPr>
              <w:t>122号龙湖金帝广场1栋（地下部分）车库01号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exact"/>
          <w:jc w:val="center"/>
        </w:trPr>
        <w:tc>
          <w:tcPr>
            <w:tcW w:w="2307" w:type="dxa"/>
            <w:vAlign w:val="center"/>
          </w:tcPr>
          <w:p>
            <w:pPr>
              <w:adjustRightInd w:val="0"/>
              <w:snapToGrid w:val="0"/>
              <w:jc w:val="center"/>
              <w:rPr>
                <w:rFonts w:hint="eastAsia" w:ascii="宋体" w:hAnsi="宋体" w:eastAsia="宋体" w:cs="宋体"/>
                <w:sz w:val="18"/>
                <w:szCs w:val="18"/>
                <w:lang w:eastAsia="zh-CN"/>
              </w:rPr>
            </w:pPr>
            <w:r>
              <w:rPr>
                <w:rFonts w:hint="eastAsia" w:ascii="宋体" w:hAnsi="宋体" w:cs="宋体"/>
                <w:sz w:val="18"/>
                <w:szCs w:val="18"/>
                <w:lang w:eastAsia="zh-CN"/>
              </w:rPr>
              <w:t>用途</w:t>
            </w:r>
          </w:p>
        </w:tc>
        <w:tc>
          <w:tcPr>
            <w:tcW w:w="6092" w:type="dxa"/>
            <w:vAlign w:val="center"/>
          </w:tcPr>
          <w:p>
            <w:pPr>
              <w:adjustRightInd w:val="0"/>
              <w:snapToGrid w:val="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车库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exact"/>
          <w:jc w:val="center"/>
        </w:trPr>
        <w:tc>
          <w:tcPr>
            <w:tcW w:w="2307" w:type="dxa"/>
            <w:vAlign w:val="center"/>
          </w:tcPr>
          <w:p>
            <w:pPr>
              <w:adjustRightInd w:val="0"/>
              <w:snapToGrid w:val="0"/>
              <w:jc w:val="center"/>
              <w:rPr>
                <w:rFonts w:hint="eastAsia" w:ascii="宋体" w:hAnsi="宋体" w:eastAsia="宋体" w:cs="宋体"/>
                <w:sz w:val="18"/>
                <w:szCs w:val="18"/>
                <w:lang w:eastAsia="zh-CN"/>
              </w:rPr>
            </w:pPr>
            <w:r>
              <w:rPr>
                <w:rFonts w:hint="eastAsia" w:ascii="宋体" w:hAnsi="宋体" w:cs="宋体"/>
                <w:sz w:val="18"/>
                <w:szCs w:val="18"/>
                <w:lang w:eastAsia="zh-CN"/>
              </w:rPr>
              <w:t>房屋建筑面积</w:t>
            </w:r>
          </w:p>
        </w:tc>
        <w:tc>
          <w:tcPr>
            <w:tcW w:w="6092" w:type="dxa"/>
            <w:vAlign w:val="center"/>
          </w:tcPr>
          <w:p>
            <w:pPr>
              <w:spacing w:line="360" w:lineRule="auto"/>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共用宗地面积3455.17平方米/房屋建筑面积8330.09平方米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2307" w:type="dxa"/>
            <w:vAlign w:val="center"/>
          </w:tcPr>
          <w:p>
            <w:pPr>
              <w:adjustRightInd w:val="0"/>
              <w:snapToGrid w:val="0"/>
              <w:jc w:val="center"/>
              <w:rPr>
                <w:rFonts w:hint="eastAsia" w:ascii="宋体" w:hAnsi="宋体" w:eastAsia="宋体" w:cs="宋体"/>
                <w:sz w:val="18"/>
                <w:szCs w:val="18"/>
                <w:lang w:eastAsia="zh-CN"/>
              </w:rPr>
            </w:pPr>
            <w:r>
              <w:rPr>
                <w:rFonts w:hint="eastAsia" w:ascii="宋体" w:hAnsi="宋体" w:cs="宋体"/>
                <w:sz w:val="18"/>
                <w:szCs w:val="18"/>
                <w:lang w:eastAsia="zh-CN"/>
              </w:rPr>
              <w:t>使用期限</w:t>
            </w:r>
          </w:p>
        </w:tc>
        <w:tc>
          <w:tcPr>
            <w:tcW w:w="6092" w:type="dxa"/>
            <w:vAlign w:val="center"/>
          </w:tcPr>
          <w:p>
            <w:pPr>
              <w:adjustRightInd w:val="0"/>
              <w:snapToGrid w:val="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国有建设用地使用权：2053年3月5日止</w:t>
            </w:r>
          </w:p>
        </w:tc>
      </w:tr>
    </w:tbl>
    <w:p>
      <w:pPr>
        <w:numPr>
          <w:ilvl w:val="0"/>
          <w:numId w:val="0"/>
        </w:numPr>
        <w:spacing w:line="360" w:lineRule="auto"/>
        <w:ind w:leftChars="200"/>
        <w:rPr>
          <w:rFonts w:hint="eastAsia" w:ascii="仿宋_GB2312" w:eastAsia="仿宋_GB2312"/>
          <w:szCs w:val="28"/>
          <w:lang w:val="en-US" w:eastAsia="zh-CN"/>
        </w:rPr>
      </w:pPr>
    </w:p>
    <w:tbl>
      <w:tblPr>
        <w:tblStyle w:val="24"/>
        <w:tblW w:w="83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7"/>
        <w:gridCol w:w="6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exact"/>
          <w:jc w:val="center"/>
        </w:trPr>
        <w:tc>
          <w:tcPr>
            <w:tcW w:w="2307" w:type="dxa"/>
            <w:vAlign w:val="center"/>
          </w:tcPr>
          <w:p>
            <w:pPr>
              <w:spacing w:line="360" w:lineRule="auto"/>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权利人</w:t>
            </w:r>
          </w:p>
        </w:tc>
        <w:tc>
          <w:tcPr>
            <w:tcW w:w="6092" w:type="dxa"/>
            <w:vAlign w:val="center"/>
          </w:tcPr>
          <w:p>
            <w:pPr>
              <w:spacing w:line="360" w:lineRule="auto"/>
              <w:jc w:val="center"/>
              <w:rPr>
                <w:rFonts w:hint="eastAsia" w:ascii="宋体" w:hAnsi="宋体" w:eastAsia="宋体" w:cs="宋体"/>
                <w:sz w:val="18"/>
                <w:szCs w:val="18"/>
                <w:lang w:val="en-US" w:eastAsia="zh-CN"/>
              </w:rPr>
            </w:pPr>
            <w:r>
              <w:rPr>
                <w:rFonts w:hint="eastAsia" w:ascii="宋体" w:hAnsi="宋体" w:cs="宋体"/>
                <w:color w:val="000000"/>
                <w:kern w:val="0"/>
                <w:sz w:val="18"/>
                <w:szCs w:val="18"/>
                <w:highlight w:val="none"/>
                <w:lang w:eastAsia="zh-CN"/>
              </w:rPr>
              <w:t>四川平扬房地产开发有限公司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exact"/>
          <w:jc w:val="center"/>
        </w:trPr>
        <w:tc>
          <w:tcPr>
            <w:tcW w:w="2307" w:type="dxa"/>
            <w:vAlign w:val="center"/>
          </w:tcPr>
          <w:p>
            <w:pPr>
              <w:spacing w:line="360" w:lineRule="auto"/>
              <w:jc w:val="center"/>
              <w:rPr>
                <w:rFonts w:hint="eastAsia" w:ascii="宋体" w:hAnsi="宋体" w:eastAsia="宋体" w:cs="宋体"/>
                <w:sz w:val="18"/>
                <w:szCs w:val="18"/>
                <w:lang w:eastAsia="zh-CN"/>
              </w:rPr>
            </w:pPr>
            <w:r>
              <w:rPr>
                <w:rFonts w:hint="eastAsia" w:ascii="宋体" w:hAnsi="宋体" w:cs="宋体"/>
                <w:sz w:val="18"/>
                <w:szCs w:val="18"/>
                <w:lang w:eastAsia="zh-CN"/>
              </w:rPr>
              <w:t>不动产权证</w:t>
            </w:r>
          </w:p>
        </w:tc>
        <w:tc>
          <w:tcPr>
            <w:tcW w:w="6092" w:type="dxa"/>
            <w:vAlign w:val="center"/>
          </w:tcPr>
          <w:p>
            <w:pPr>
              <w:spacing w:line="360" w:lineRule="auto"/>
              <w:jc w:val="center"/>
              <w:rPr>
                <w:rFonts w:hint="default" w:ascii="宋体" w:hAnsi="宋体" w:eastAsia="宋体" w:cs="宋体"/>
                <w:sz w:val="18"/>
                <w:szCs w:val="18"/>
                <w:lang w:val="en-US" w:eastAsia="zh-CN"/>
              </w:rPr>
            </w:pPr>
            <w:r>
              <w:rPr>
                <w:rFonts w:hint="eastAsia" w:ascii="宋体" w:hAnsi="宋体" w:cs="宋体"/>
                <w:color w:val="000000"/>
                <w:sz w:val="18"/>
                <w:szCs w:val="18"/>
                <w:lang w:val="en-US" w:eastAsia="zh-CN"/>
              </w:rPr>
              <w:t>20170026455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exact"/>
          <w:jc w:val="center"/>
        </w:trPr>
        <w:tc>
          <w:tcPr>
            <w:tcW w:w="2307" w:type="dxa"/>
            <w:vAlign w:val="center"/>
          </w:tcPr>
          <w:p>
            <w:pPr>
              <w:spacing w:line="360" w:lineRule="auto"/>
              <w:jc w:val="center"/>
              <w:rPr>
                <w:rFonts w:ascii="宋体" w:hAnsi="宋体" w:cs="宋体"/>
                <w:sz w:val="18"/>
                <w:szCs w:val="18"/>
              </w:rPr>
            </w:pPr>
            <w:r>
              <w:rPr>
                <w:rFonts w:hint="eastAsia" w:ascii="宋体" w:hAnsi="宋体" w:cs="宋体"/>
                <w:sz w:val="18"/>
                <w:szCs w:val="18"/>
              </w:rPr>
              <w:t>坐落</w:t>
            </w:r>
          </w:p>
        </w:tc>
        <w:tc>
          <w:tcPr>
            <w:tcW w:w="6092" w:type="dxa"/>
            <w:vAlign w:val="center"/>
          </w:tcPr>
          <w:p>
            <w:pPr>
              <w:spacing w:line="360" w:lineRule="auto"/>
              <w:jc w:val="center"/>
              <w:rPr>
                <w:rFonts w:hint="default" w:ascii="宋体" w:hAnsi="宋体" w:eastAsia="宋体" w:cs="宋体"/>
                <w:sz w:val="18"/>
                <w:szCs w:val="18"/>
                <w:lang w:val="en-US" w:eastAsia="zh-CN"/>
              </w:rPr>
            </w:pPr>
            <w:r>
              <w:rPr>
                <w:rFonts w:hint="eastAsia" w:ascii="宋体" w:hAnsi="宋体" w:cs="宋体"/>
                <w:sz w:val="18"/>
                <w:szCs w:val="18"/>
                <w:lang w:eastAsia="zh-CN"/>
              </w:rPr>
              <w:t>沿滩区沿滩新城板南大道街</w:t>
            </w:r>
            <w:r>
              <w:rPr>
                <w:rFonts w:hint="eastAsia" w:ascii="宋体" w:hAnsi="宋体" w:cs="宋体"/>
                <w:sz w:val="18"/>
                <w:szCs w:val="18"/>
                <w:lang w:val="en-US" w:eastAsia="zh-CN"/>
              </w:rPr>
              <w:t>122号龙湖金帝广场1栋（地下部分）车库02号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exact"/>
          <w:jc w:val="center"/>
        </w:trPr>
        <w:tc>
          <w:tcPr>
            <w:tcW w:w="2307" w:type="dxa"/>
            <w:vAlign w:val="center"/>
          </w:tcPr>
          <w:p>
            <w:pPr>
              <w:adjustRightInd w:val="0"/>
              <w:snapToGrid w:val="0"/>
              <w:jc w:val="center"/>
              <w:rPr>
                <w:rFonts w:hint="eastAsia" w:ascii="宋体" w:hAnsi="宋体" w:eastAsia="宋体" w:cs="宋体"/>
                <w:sz w:val="18"/>
                <w:szCs w:val="18"/>
                <w:lang w:eastAsia="zh-CN"/>
              </w:rPr>
            </w:pPr>
            <w:r>
              <w:rPr>
                <w:rFonts w:hint="eastAsia" w:ascii="宋体" w:hAnsi="宋体" w:cs="宋体"/>
                <w:sz w:val="18"/>
                <w:szCs w:val="18"/>
                <w:lang w:eastAsia="zh-CN"/>
              </w:rPr>
              <w:t>用途</w:t>
            </w:r>
          </w:p>
        </w:tc>
        <w:tc>
          <w:tcPr>
            <w:tcW w:w="6092" w:type="dxa"/>
            <w:vAlign w:val="center"/>
          </w:tcPr>
          <w:p>
            <w:pPr>
              <w:adjustRightInd w:val="0"/>
              <w:snapToGrid w:val="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车库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exact"/>
          <w:jc w:val="center"/>
        </w:trPr>
        <w:tc>
          <w:tcPr>
            <w:tcW w:w="2307" w:type="dxa"/>
            <w:vAlign w:val="center"/>
          </w:tcPr>
          <w:p>
            <w:pPr>
              <w:adjustRightInd w:val="0"/>
              <w:snapToGrid w:val="0"/>
              <w:jc w:val="center"/>
              <w:rPr>
                <w:rFonts w:hint="eastAsia" w:ascii="宋体" w:hAnsi="宋体" w:eastAsia="宋体" w:cs="宋体"/>
                <w:sz w:val="18"/>
                <w:szCs w:val="18"/>
                <w:lang w:eastAsia="zh-CN"/>
              </w:rPr>
            </w:pPr>
            <w:r>
              <w:rPr>
                <w:rFonts w:hint="eastAsia" w:ascii="宋体" w:hAnsi="宋体" w:cs="宋体"/>
                <w:sz w:val="18"/>
                <w:szCs w:val="18"/>
                <w:lang w:eastAsia="zh-CN"/>
              </w:rPr>
              <w:t>房屋建筑面积</w:t>
            </w:r>
          </w:p>
        </w:tc>
        <w:tc>
          <w:tcPr>
            <w:tcW w:w="6092" w:type="dxa"/>
            <w:vAlign w:val="center"/>
          </w:tcPr>
          <w:p>
            <w:pPr>
              <w:spacing w:line="360" w:lineRule="auto"/>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共用宗地面积1159.05平方米/房屋建筑面积2794.04平方米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2307" w:type="dxa"/>
            <w:vAlign w:val="center"/>
          </w:tcPr>
          <w:p>
            <w:pPr>
              <w:adjustRightInd w:val="0"/>
              <w:snapToGrid w:val="0"/>
              <w:jc w:val="center"/>
              <w:rPr>
                <w:rFonts w:hint="eastAsia" w:ascii="宋体" w:hAnsi="宋体" w:eastAsia="宋体" w:cs="宋体"/>
                <w:sz w:val="18"/>
                <w:szCs w:val="18"/>
                <w:lang w:eastAsia="zh-CN"/>
              </w:rPr>
            </w:pPr>
            <w:r>
              <w:rPr>
                <w:rFonts w:hint="eastAsia" w:ascii="宋体" w:hAnsi="宋体" w:cs="宋体"/>
                <w:sz w:val="18"/>
                <w:szCs w:val="18"/>
                <w:lang w:eastAsia="zh-CN"/>
              </w:rPr>
              <w:t>使用期限</w:t>
            </w:r>
          </w:p>
        </w:tc>
        <w:tc>
          <w:tcPr>
            <w:tcW w:w="6092" w:type="dxa"/>
            <w:vAlign w:val="center"/>
          </w:tcPr>
          <w:p>
            <w:pPr>
              <w:adjustRightInd w:val="0"/>
              <w:snapToGrid w:val="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国有建设用地使用权：2053年3月5日止</w:t>
            </w:r>
          </w:p>
        </w:tc>
      </w:tr>
    </w:tbl>
    <w:p>
      <w:pPr>
        <w:numPr>
          <w:ilvl w:val="0"/>
          <w:numId w:val="0"/>
        </w:numPr>
        <w:spacing w:line="360" w:lineRule="auto"/>
        <w:ind w:leftChars="200"/>
        <w:rPr>
          <w:rFonts w:hint="eastAsia" w:ascii="仿宋_GB2312" w:eastAsia="仿宋_GB2312"/>
          <w:szCs w:val="28"/>
          <w:lang w:val="en-US" w:eastAsia="zh-CN"/>
        </w:rPr>
      </w:pPr>
    </w:p>
    <w:tbl>
      <w:tblPr>
        <w:tblStyle w:val="24"/>
        <w:tblW w:w="83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7"/>
        <w:gridCol w:w="6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exact"/>
          <w:jc w:val="center"/>
        </w:trPr>
        <w:tc>
          <w:tcPr>
            <w:tcW w:w="2307" w:type="dxa"/>
            <w:vAlign w:val="center"/>
          </w:tcPr>
          <w:p>
            <w:pPr>
              <w:spacing w:line="360" w:lineRule="auto"/>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权利人</w:t>
            </w:r>
          </w:p>
        </w:tc>
        <w:tc>
          <w:tcPr>
            <w:tcW w:w="6092" w:type="dxa"/>
            <w:vAlign w:val="center"/>
          </w:tcPr>
          <w:p>
            <w:pPr>
              <w:spacing w:line="360" w:lineRule="auto"/>
              <w:jc w:val="center"/>
              <w:rPr>
                <w:rFonts w:hint="eastAsia" w:ascii="宋体" w:hAnsi="宋体" w:eastAsia="宋体" w:cs="宋体"/>
                <w:sz w:val="18"/>
                <w:szCs w:val="18"/>
                <w:lang w:val="en-US" w:eastAsia="zh-CN"/>
              </w:rPr>
            </w:pPr>
            <w:r>
              <w:rPr>
                <w:rFonts w:hint="eastAsia" w:ascii="宋体" w:hAnsi="宋体" w:cs="宋体"/>
                <w:color w:val="000000"/>
                <w:kern w:val="0"/>
                <w:sz w:val="18"/>
                <w:szCs w:val="18"/>
                <w:highlight w:val="none"/>
                <w:lang w:eastAsia="zh-CN"/>
              </w:rPr>
              <w:t>四川平扬房地产开发有限公司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exact"/>
          <w:jc w:val="center"/>
        </w:trPr>
        <w:tc>
          <w:tcPr>
            <w:tcW w:w="2307" w:type="dxa"/>
            <w:vAlign w:val="center"/>
          </w:tcPr>
          <w:p>
            <w:pPr>
              <w:spacing w:line="360" w:lineRule="auto"/>
              <w:jc w:val="center"/>
              <w:rPr>
                <w:rFonts w:hint="eastAsia" w:ascii="宋体" w:hAnsi="宋体" w:eastAsia="宋体" w:cs="宋体"/>
                <w:sz w:val="18"/>
                <w:szCs w:val="18"/>
                <w:lang w:eastAsia="zh-CN"/>
              </w:rPr>
            </w:pPr>
            <w:r>
              <w:rPr>
                <w:rFonts w:hint="eastAsia" w:ascii="宋体" w:hAnsi="宋体" w:cs="宋体"/>
                <w:sz w:val="18"/>
                <w:szCs w:val="18"/>
                <w:lang w:eastAsia="zh-CN"/>
              </w:rPr>
              <w:t>不动产权证</w:t>
            </w:r>
          </w:p>
        </w:tc>
        <w:tc>
          <w:tcPr>
            <w:tcW w:w="6092" w:type="dxa"/>
            <w:vAlign w:val="center"/>
          </w:tcPr>
          <w:p>
            <w:pPr>
              <w:spacing w:line="360" w:lineRule="auto"/>
              <w:jc w:val="center"/>
              <w:rPr>
                <w:rFonts w:hint="default" w:ascii="宋体" w:hAnsi="宋体" w:eastAsia="宋体" w:cs="宋体"/>
                <w:sz w:val="18"/>
                <w:szCs w:val="18"/>
                <w:lang w:val="en-US" w:eastAsia="zh-CN"/>
              </w:rPr>
            </w:pPr>
            <w:r>
              <w:rPr>
                <w:rFonts w:hint="eastAsia" w:ascii="宋体" w:hAnsi="宋体" w:cs="宋体"/>
                <w:color w:val="000000"/>
                <w:sz w:val="18"/>
                <w:szCs w:val="18"/>
                <w:lang w:val="en-US" w:eastAsia="zh-CN"/>
              </w:rPr>
              <w:t>20170026466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exact"/>
          <w:jc w:val="center"/>
        </w:trPr>
        <w:tc>
          <w:tcPr>
            <w:tcW w:w="2307" w:type="dxa"/>
            <w:vAlign w:val="center"/>
          </w:tcPr>
          <w:p>
            <w:pPr>
              <w:spacing w:line="360" w:lineRule="auto"/>
              <w:jc w:val="center"/>
              <w:rPr>
                <w:rFonts w:ascii="宋体" w:hAnsi="宋体" w:cs="宋体"/>
                <w:sz w:val="18"/>
                <w:szCs w:val="18"/>
              </w:rPr>
            </w:pPr>
            <w:r>
              <w:rPr>
                <w:rFonts w:hint="eastAsia" w:ascii="宋体" w:hAnsi="宋体" w:cs="宋体"/>
                <w:sz w:val="18"/>
                <w:szCs w:val="18"/>
              </w:rPr>
              <w:t>坐落</w:t>
            </w:r>
          </w:p>
        </w:tc>
        <w:tc>
          <w:tcPr>
            <w:tcW w:w="6092" w:type="dxa"/>
            <w:vAlign w:val="center"/>
          </w:tcPr>
          <w:p>
            <w:pPr>
              <w:spacing w:line="360" w:lineRule="auto"/>
              <w:jc w:val="center"/>
              <w:rPr>
                <w:rFonts w:hint="default" w:ascii="宋体" w:hAnsi="宋体" w:eastAsia="宋体" w:cs="宋体"/>
                <w:sz w:val="18"/>
                <w:szCs w:val="18"/>
                <w:lang w:val="en-US" w:eastAsia="zh-CN"/>
              </w:rPr>
            </w:pPr>
            <w:r>
              <w:rPr>
                <w:rFonts w:hint="eastAsia" w:ascii="宋体" w:hAnsi="宋体" w:cs="宋体"/>
                <w:sz w:val="18"/>
                <w:szCs w:val="18"/>
                <w:lang w:eastAsia="zh-CN"/>
              </w:rPr>
              <w:t>沿滩区沿滩新城板南大道街</w:t>
            </w:r>
            <w:r>
              <w:rPr>
                <w:rFonts w:hint="eastAsia" w:ascii="宋体" w:hAnsi="宋体" w:cs="宋体"/>
                <w:sz w:val="18"/>
                <w:szCs w:val="18"/>
                <w:lang w:val="en-US" w:eastAsia="zh-CN"/>
              </w:rPr>
              <w:t>122号龙湖金帝广场1栋（地下部分）车库03（夹层）号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exact"/>
          <w:jc w:val="center"/>
        </w:trPr>
        <w:tc>
          <w:tcPr>
            <w:tcW w:w="2307" w:type="dxa"/>
            <w:vAlign w:val="center"/>
          </w:tcPr>
          <w:p>
            <w:pPr>
              <w:adjustRightInd w:val="0"/>
              <w:snapToGrid w:val="0"/>
              <w:jc w:val="center"/>
              <w:rPr>
                <w:rFonts w:hint="eastAsia" w:ascii="宋体" w:hAnsi="宋体" w:eastAsia="宋体" w:cs="宋体"/>
                <w:sz w:val="18"/>
                <w:szCs w:val="18"/>
                <w:lang w:eastAsia="zh-CN"/>
              </w:rPr>
            </w:pPr>
            <w:r>
              <w:rPr>
                <w:rFonts w:hint="eastAsia" w:ascii="宋体" w:hAnsi="宋体" w:cs="宋体"/>
                <w:sz w:val="18"/>
                <w:szCs w:val="18"/>
                <w:lang w:eastAsia="zh-CN"/>
              </w:rPr>
              <w:t>用途</w:t>
            </w:r>
          </w:p>
        </w:tc>
        <w:tc>
          <w:tcPr>
            <w:tcW w:w="6092" w:type="dxa"/>
            <w:vAlign w:val="center"/>
          </w:tcPr>
          <w:p>
            <w:pPr>
              <w:adjustRightInd w:val="0"/>
              <w:snapToGrid w:val="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车库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exact"/>
          <w:jc w:val="center"/>
        </w:trPr>
        <w:tc>
          <w:tcPr>
            <w:tcW w:w="2307" w:type="dxa"/>
            <w:vAlign w:val="center"/>
          </w:tcPr>
          <w:p>
            <w:pPr>
              <w:adjustRightInd w:val="0"/>
              <w:snapToGrid w:val="0"/>
              <w:jc w:val="center"/>
              <w:rPr>
                <w:rFonts w:hint="eastAsia" w:ascii="宋体" w:hAnsi="宋体" w:eastAsia="宋体" w:cs="宋体"/>
                <w:sz w:val="18"/>
                <w:szCs w:val="18"/>
                <w:lang w:eastAsia="zh-CN"/>
              </w:rPr>
            </w:pPr>
            <w:r>
              <w:rPr>
                <w:rFonts w:hint="eastAsia" w:ascii="宋体" w:hAnsi="宋体" w:cs="宋体"/>
                <w:sz w:val="18"/>
                <w:szCs w:val="18"/>
                <w:lang w:eastAsia="zh-CN"/>
              </w:rPr>
              <w:t>房屋建筑面积</w:t>
            </w:r>
          </w:p>
        </w:tc>
        <w:tc>
          <w:tcPr>
            <w:tcW w:w="6092" w:type="dxa"/>
            <w:vAlign w:val="center"/>
          </w:tcPr>
          <w:p>
            <w:pPr>
              <w:spacing w:line="360" w:lineRule="auto"/>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共用宗地面积1216.62平方米/房屋建筑面积2932.87平方米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2307" w:type="dxa"/>
            <w:vAlign w:val="center"/>
          </w:tcPr>
          <w:p>
            <w:pPr>
              <w:adjustRightInd w:val="0"/>
              <w:snapToGrid w:val="0"/>
              <w:jc w:val="center"/>
              <w:rPr>
                <w:rFonts w:hint="eastAsia" w:ascii="宋体" w:hAnsi="宋体" w:eastAsia="宋体" w:cs="宋体"/>
                <w:sz w:val="18"/>
                <w:szCs w:val="18"/>
                <w:lang w:eastAsia="zh-CN"/>
              </w:rPr>
            </w:pPr>
            <w:r>
              <w:rPr>
                <w:rFonts w:hint="eastAsia" w:ascii="宋体" w:hAnsi="宋体" w:cs="宋体"/>
                <w:sz w:val="18"/>
                <w:szCs w:val="18"/>
                <w:lang w:eastAsia="zh-CN"/>
              </w:rPr>
              <w:t>使用期限</w:t>
            </w:r>
          </w:p>
        </w:tc>
        <w:tc>
          <w:tcPr>
            <w:tcW w:w="6092" w:type="dxa"/>
            <w:vAlign w:val="center"/>
          </w:tcPr>
          <w:p>
            <w:pPr>
              <w:adjustRightInd w:val="0"/>
              <w:snapToGrid w:val="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国有建设用地使用权：2053年3月5日止</w:t>
            </w:r>
          </w:p>
        </w:tc>
      </w:tr>
    </w:tbl>
    <w:p>
      <w:pPr>
        <w:numPr>
          <w:ilvl w:val="0"/>
          <w:numId w:val="0"/>
        </w:numPr>
        <w:spacing w:line="360" w:lineRule="auto"/>
        <w:ind w:leftChars="200"/>
        <w:rPr>
          <w:rFonts w:hint="eastAsia" w:ascii="仿宋_GB2312" w:eastAsia="仿宋_GB2312"/>
          <w:szCs w:val="28"/>
          <w:lang w:val="en-US" w:eastAsia="zh-CN"/>
        </w:rPr>
      </w:pPr>
    </w:p>
    <w:tbl>
      <w:tblPr>
        <w:tblStyle w:val="24"/>
        <w:tblW w:w="83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7"/>
        <w:gridCol w:w="6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exact"/>
          <w:jc w:val="center"/>
        </w:trPr>
        <w:tc>
          <w:tcPr>
            <w:tcW w:w="2307" w:type="dxa"/>
            <w:vAlign w:val="center"/>
          </w:tcPr>
          <w:p>
            <w:pPr>
              <w:spacing w:line="360" w:lineRule="auto"/>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权利人</w:t>
            </w:r>
          </w:p>
        </w:tc>
        <w:tc>
          <w:tcPr>
            <w:tcW w:w="6092" w:type="dxa"/>
            <w:vAlign w:val="center"/>
          </w:tcPr>
          <w:p>
            <w:pPr>
              <w:spacing w:line="360" w:lineRule="auto"/>
              <w:jc w:val="center"/>
              <w:rPr>
                <w:rFonts w:hint="eastAsia" w:ascii="宋体" w:hAnsi="宋体" w:eastAsia="宋体" w:cs="宋体"/>
                <w:sz w:val="18"/>
                <w:szCs w:val="18"/>
                <w:lang w:val="en-US" w:eastAsia="zh-CN"/>
              </w:rPr>
            </w:pPr>
            <w:r>
              <w:rPr>
                <w:rFonts w:hint="eastAsia" w:ascii="宋体" w:hAnsi="宋体" w:cs="宋体"/>
                <w:color w:val="000000"/>
                <w:kern w:val="0"/>
                <w:sz w:val="18"/>
                <w:szCs w:val="18"/>
                <w:highlight w:val="none"/>
                <w:lang w:eastAsia="zh-CN"/>
              </w:rPr>
              <w:t>四川平扬房地产开发有限公司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exact"/>
          <w:jc w:val="center"/>
        </w:trPr>
        <w:tc>
          <w:tcPr>
            <w:tcW w:w="2307" w:type="dxa"/>
            <w:vAlign w:val="center"/>
          </w:tcPr>
          <w:p>
            <w:pPr>
              <w:spacing w:line="360" w:lineRule="auto"/>
              <w:jc w:val="center"/>
              <w:rPr>
                <w:rFonts w:hint="eastAsia" w:ascii="宋体" w:hAnsi="宋体" w:eastAsia="宋体" w:cs="宋体"/>
                <w:sz w:val="18"/>
                <w:szCs w:val="18"/>
                <w:lang w:eastAsia="zh-CN"/>
              </w:rPr>
            </w:pPr>
            <w:r>
              <w:rPr>
                <w:rFonts w:hint="eastAsia" w:ascii="宋体" w:hAnsi="宋体" w:cs="宋体"/>
                <w:sz w:val="18"/>
                <w:szCs w:val="18"/>
                <w:lang w:eastAsia="zh-CN"/>
              </w:rPr>
              <w:t>不动产权证</w:t>
            </w:r>
          </w:p>
        </w:tc>
        <w:tc>
          <w:tcPr>
            <w:tcW w:w="6092" w:type="dxa"/>
            <w:vAlign w:val="center"/>
          </w:tcPr>
          <w:p>
            <w:pPr>
              <w:spacing w:line="360" w:lineRule="auto"/>
              <w:jc w:val="center"/>
              <w:rPr>
                <w:rFonts w:hint="default" w:ascii="宋体" w:hAnsi="宋体" w:eastAsia="宋体" w:cs="宋体"/>
                <w:sz w:val="18"/>
                <w:szCs w:val="18"/>
                <w:lang w:val="en-US" w:eastAsia="zh-CN"/>
              </w:rPr>
            </w:pPr>
            <w:r>
              <w:rPr>
                <w:rFonts w:hint="eastAsia" w:ascii="宋体" w:hAnsi="宋体" w:cs="宋体"/>
                <w:color w:val="000000"/>
                <w:sz w:val="18"/>
                <w:szCs w:val="18"/>
                <w:lang w:val="en-US" w:eastAsia="zh-CN"/>
              </w:rPr>
              <w:t>20170026470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exact"/>
          <w:jc w:val="center"/>
        </w:trPr>
        <w:tc>
          <w:tcPr>
            <w:tcW w:w="2307" w:type="dxa"/>
            <w:vAlign w:val="center"/>
          </w:tcPr>
          <w:p>
            <w:pPr>
              <w:spacing w:line="360" w:lineRule="auto"/>
              <w:jc w:val="center"/>
              <w:rPr>
                <w:rFonts w:ascii="宋体" w:hAnsi="宋体" w:cs="宋体"/>
                <w:sz w:val="18"/>
                <w:szCs w:val="18"/>
              </w:rPr>
            </w:pPr>
            <w:r>
              <w:rPr>
                <w:rFonts w:hint="eastAsia" w:ascii="宋体" w:hAnsi="宋体" w:cs="宋体"/>
                <w:sz w:val="18"/>
                <w:szCs w:val="18"/>
              </w:rPr>
              <w:t>坐落</w:t>
            </w:r>
          </w:p>
        </w:tc>
        <w:tc>
          <w:tcPr>
            <w:tcW w:w="6092" w:type="dxa"/>
            <w:vAlign w:val="center"/>
          </w:tcPr>
          <w:p>
            <w:pPr>
              <w:spacing w:line="360" w:lineRule="auto"/>
              <w:jc w:val="center"/>
              <w:rPr>
                <w:rFonts w:hint="default" w:ascii="宋体" w:hAnsi="宋体" w:eastAsia="宋体" w:cs="宋体"/>
                <w:sz w:val="18"/>
                <w:szCs w:val="18"/>
                <w:lang w:val="en-US" w:eastAsia="zh-CN"/>
              </w:rPr>
            </w:pPr>
            <w:r>
              <w:rPr>
                <w:rFonts w:hint="eastAsia" w:ascii="宋体" w:hAnsi="宋体" w:cs="宋体"/>
                <w:sz w:val="18"/>
                <w:szCs w:val="18"/>
                <w:lang w:eastAsia="zh-CN"/>
              </w:rPr>
              <w:t>沿滩区沿滩新城板南大道街</w:t>
            </w:r>
            <w:r>
              <w:rPr>
                <w:rFonts w:hint="eastAsia" w:ascii="宋体" w:hAnsi="宋体" w:cs="宋体"/>
                <w:sz w:val="18"/>
                <w:szCs w:val="18"/>
                <w:lang w:val="en-US" w:eastAsia="zh-CN"/>
              </w:rPr>
              <w:t>122号龙湖金帝广场1栋（地下部分）戊类储藏室号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exact"/>
          <w:jc w:val="center"/>
        </w:trPr>
        <w:tc>
          <w:tcPr>
            <w:tcW w:w="2307" w:type="dxa"/>
            <w:vAlign w:val="center"/>
          </w:tcPr>
          <w:p>
            <w:pPr>
              <w:adjustRightInd w:val="0"/>
              <w:snapToGrid w:val="0"/>
              <w:jc w:val="center"/>
              <w:rPr>
                <w:rFonts w:hint="eastAsia" w:ascii="宋体" w:hAnsi="宋体" w:eastAsia="宋体" w:cs="宋体"/>
                <w:sz w:val="18"/>
                <w:szCs w:val="18"/>
                <w:lang w:eastAsia="zh-CN"/>
              </w:rPr>
            </w:pPr>
            <w:r>
              <w:rPr>
                <w:rFonts w:hint="eastAsia" w:ascii="宋体" w:hAnsi="宋体" w:cs="宋体"/>
                <w:sz w:val="18"/>
                <w:szCs w:val="18"/>
                <w:lang w:eastAsia="zh-CN"/>
              </w:rPr>
              <w:t>用途</w:t>
            </w:r>
          </w:p>
        </w:tc>
        <w:tc>
          <w:tcPr>
            <w:tcW w:w="6092" w:type="dxa"/>
            <w:vAlign w:val="center"/>
          </w:tcPr>
          <w:p>
            <w:pPr>
              <w:adjustRightInd w:val="0"/>
              <w:snapToGrid w:val="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仓储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exact"/>
          <w:jc w:val="center"/>
        </w:trPr>
        <w:tc>
          <w:tcPr>
            <w:tcW w:w="2307" w:type="dxa"/>
            <w:vAlign w:val="center"/>
          </w:tcPr>
          <w:p>
            <w:pPr>
              <w:adjustRightInd w:val="0"/>
              <w:snapToGrid w:val="0"/>
              <w:jc w:val="center"/>
              <w:rPr>
                <w:rFonts w:hint="eastAsia" w:ascii="宋体" w:hAnsi="宋体" w:eastAsia="宋体" w:cs="宋体"/>
                <w:sz w:val="18"/>
                <w:szCs w:val="18"/>
                <w:lang w:eastAsia="zh-CN"/>
              </w:rPr>
            </w:pPr>
            <w:r>
              <w:rPr>
                <w:rFonts w:hint="eastAsia" w:ascii="宋体" w:hAnsi="宋体" w:cs="宋体"/>
                <w:sz w:val="18"/>
                <w:szCs w:val="18"/>
                <w:lang w:eastAsia="zh-CN"/>
              </w:rPr>
              <w:t>房屋建筑面积</w:t>
            </w:r>
          </w:p>
        </w:tc>
        <w:tc>
          <w:tcPr>
            <w:tcW w:w="6092" w:type="dxa"/>
            <w:vAlign w:val="center"/>
          </w:tcPr>
          <w:p>
            <w:pPr>
              <w:spacing w:line="360" w:lineRule="auto"/>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共用宗地面积110.83平方米/房屋建筑面积267.18平方米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2307" w:type="dxa"/>
            <w:vAlign w:val="center"/>
          </w:tcPr>
          <w:p>
            <w:pPr>
              <w:adjustRightInd w:val="0"/>
              <w:snapToGrid w:val="0"/>
              <w:jc w:val="center"/>
              <w:rPr>
                <w:rFonts w:hint="eastAsia" w:ascii="宋体" w:hAnsi="宋体" w:eastAsia="宋体" w:cs="宋体"/>
                <w:sz w:val="18"/>
                <w:szCs w:val="18"/>
                <w:lang w:eastAsia="zh-CN"/>
              </w:rPr>
            </w:pPr>
            <w:r>
              <w:rPr>
                <w:rFonts w:hint="eastAsia" w:ascii="宋体" w:hAnsi="宋体" w:cs="宋体"/>
                <w:sz w:val="18"/>
                <w:szCs w:val="18"/>
                <w:lang w:eastAsia="zh-CN"/>
              </w:rPr>
              <w:t>使用期限</w:t>
            </w:r>
          </w:p>
        </w:tc>
        <w:tc>
          <w:tcPr>
            <w:tcW w:w="6092" w:type="dxa"/>
            <w:vAlign w:val="center"/>
          </w:tcPr>
          <w:p>
            <w:pPr>
              <w:adjustRightInd w:val="0"/>
              <w:snapToGrid w:val="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国有建设用地使用权：2053年3月5日止</w:t>
            </w:r>
          </w:p>
        </w:tc>
      </w:tr>
    </w:tbl>
    <w:p>
      <w:pPr>
        <w:numPr>
          <w:ilvl w:val="0"/>
          <w:numId w:val="0"/>
        </w:numPr>
        <w:spacing w:line="360" w:lineRule="auto"/>
        <w:ind w:leftChars="200"/>
        <w:rPr>
          <w:rFonts w:hint="eastAsia" w:ascii="仿宋_GB2312" w:eastAsia="仿宋_GB2312"/>
          <w:szCs w:val="28"/>
          <w:lang w:val="en-US" w:eastAsia="zh-CN"/>
        </w:rPr>
      </w:pPr>
    </w:p>
    <w:tbl>
      <w:tblPr>
        <w:tblStyle w:val="24"/>
        <w:tblW w:w="83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7"/>
        <w:gridCol w:w="6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exact"/>
          <w:jc w:val="center"/>
        </w:trPr>
        <w:tc>
          <w:tcPr>
            <w:tcW w:w="2307" w:type="dxa"/>
            <w:vAlign w:val="center"/>
          </w:tcPr>
          <w:p>
            <w:pPr>
              <w:spacing w:line="360" w:lineRule="auto"/>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权利人</w:t>
            </w:r>
          </w:p>
        </w:tc>
        <w:tc>
          <w:tcPr>
            <w:tcW w:w="6092" w:type="dxa"/>
            <w:vAlign w:val="center"/>
          </w:tcPr>
          <w:p>
            <w:pPr>
              <w:spacing w:line="360" w:lineRule="auto"/>
              <w:jc w:val="center"/>
              <w:rPr>
                <w:rFonts w:hint="eastAsia" w:ascii="宋体" w:hAnsi="宋体" w:eastAsia="宋体" w:cs="宋体"/>
                <w:sz w:val="18"/>
                <w:szCs w:val="18"/>
                <w:lang w:val="en-US" w:eastAsia="zh-CN"/>
              </w:rPr>
            </w:pPr>
            <w:r>
              <w:rPr>
                <w:rFonts w:hint="eastAsia" w:ascii="宋体" w:hAnsi="宋体" w:cs="宋体"/>
                <w:color w:val="000000"/>
                <w:kern w:val="0"/>
                <w:sz w:val="18"/>
                <w:szCs w:val="18"/>
                <w:highlight w:val="none"/>
                <w:lang w:eastAsia="zh-CN"/>
              </w:rPr>
              <w:t>四川平扬房地产开发有限公司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exact"/>
          <w:jc w:val="center"/>
        </w:trPr>
        <w:tc>
          <w:tcPr>
            <w:tcW w:w="2307" w:type="dxa"/>
            <w:vAlign w:val="center"/>
          </w:tcPr>
          <w:p>
            <w:pPr>
              <w:spacing w:line="360" w:lineRule="auto"/>
              <w:jc w:val="center"/>
              <w:rPr>
                <w:rFonts w:hint="eastAsia" w:ascii="宋体" w:hAnsi="宋体" w:eastAsia="宋体" w:cs="宋体"/>
                <w:sz w:val="18"/>
                <w:szCs w:val="18"/>
                <w:lang w:eastAsia="zh-CN"/>
              </w:rPr>
            </w:pPr>
            <w:r>
              <w:rPr>
                <w:rFonts w:hint="eastAsia" w:ascii="宋体" w:hAnsi="宋体" w:cs="宋体"/>
                <w:sz w:val="18"/>
                <w:szCs w:val="18"/>
                <w:lang w:eastAsia="zh-CN"/>
              </w:rPr>
              <w:t>不动产权证</w:t>
            </w:r>
          </w:p>
        </w:tc>
        <w:tc>
          <w:tcPr>
            <w:tcW w:w="6092" w:type="dxa"/>
            <w:vAlign w:val="center"/>
          </w:tcPr>
          <w:p>
            <w:pPr>
              <w:spacing w:line="360" w:lineRule="auto"/>
              <w:jc w:val="center"/>
              <w:rPr>
                <w:rFonts w:hint="default" w:ascii="宋体" w:hAnsi="宋体" w:eastAsia="宋体" w:cs="宋体"/>
                <w:sz w:val="18"/>
                <w:szCs w:val="18"/>
                <w:lang w:val="en-US" w:eastAsia="zh-CN"/>
              </w:rPr>
            </w:pPr>
            <w:r>
              <w:rPr>
                <w:rFonts w:hint="eastAsia" w:ascii="宋体" w:hAnsi="宋体" w:cs="宋体"/>
                <w:color w:val="000000"/>
                <w:sz w:val="18"/>
                <w:szCs w:val="18"/>
                <w:lang w:val="en-US" w:eastAsia="zh-CN"/>
              </w:rPr>
              <w:t>20170026444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exact"/>
          <w:jc w:val="center"/>
        </w:trPr>
        <w:tc>
          <w:tcPr>
            <w:tcW w:w="2307" w:type="dxa"/>
            <w:vAlign w:val="center"/>
          </w:tcPr>
          <w:p>
            <w:pPr>
              <w:spacing w:line="360" w:lineRule="auto"/>
              <w:jc w:val="center"/>
              <w:rPr>
                <w:rFonts w:ascii="宋体" w:hAnsi="宋体" w:cs="宋体"/>
                <w:sz w:val="18"/>
                <w:szCs w:val="18"/>
              </w:rPr>
            </w:pPr>
            <w:r>
              <w:rPr>
                <w:rFonts w:hint="eastAsia" w:ascii="宋体" w:hAnsi="宋体" w:cs="宋体"/>
                <w:sz w:val="18"/>
                <w:szCs w:val="18"/>
              </w:rPr>
              <w:t>坐落</w:t>
            </w:r>
          </w:p>
        </w:tc>
        <w:tc>
          <w:tcPr>
            <w:tcW w:w="6092" w:type="dxa"/>
            <w:vAlign w:val="center"/>
          </w:tcPr>
          <w:p>
            <w:pPr>
              <w:spacing w:line="360" w:lineRule="auto"/>
              <w:jc w:val="center"/>
              <w:rPr>
                <w:rFonts w:hint="default" w:ascii="宋体" w:hAnsi="宋体" w:eastAsia="宋体" w:cs="宋体"/>
                <w:sz w:val="18"/>
                <w:szCs w:val="18"/>
                <w:lang w:val="en-US" w:eastAsia="zh-CN"/>
              </w:rPr>
            </w:pPr>
            <w:r>
              <w:rPr>
                <w:rFonts w:hint="eastAsia" w:ascii="宋体" w:hAnsi="宋体" w:cs="宋体"/>
                <w:sz w:val="18"/>
                <w:szCs w:val="18"/>
                <w:lang w:eastAsia="zh-CN"/>
              </w:rPr>
              <w:t>沿滩区沿滩新城板南大道街</w:t>
            </w:r>
            <w:r>
              <w:rPr>
                <w:rFonts w:hint="eastAsia" w:ascii="宋体" w:hAnsi="宋体" w:cs="宋体"/>
                <w:sz w:val="18"/>
                <w:szCs w:val="18"/>
                <w:lang w:val="en-US" w:eastAsia="zh-CN"/>
              </w:rPr>
              <w:t>122号龙湖金帝广场1栋（地上部分）戊类储藏室2号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exact"/>
          <w:jc w:val="center"/>
        </w:trPr>
        <w:tc>
          <w:tcPr>
            <w:tcW w:w="2307" w:type="dxa"/>
            <w:vAlign w:val="center"/>
          </w:tcPr>
          <w:p>
            <w:pPr>
              <w:adjustRightInd w:val="0"/>
              <w:snapToGrid w:val="0"/>
              <w:jc w:val="center"/>
              <w:rPr>
                <w:rFonts w:hint="eastAsia" w:ascii="宋体" w:hAnsi="宋体" w:eastAsia="宋体" w:cs="宋体"/>
                <w:sz w:val="18"/>
                <w:szCs w:val="18"/>
                <w:lang w:eastAsia="zh-CN"/>
              </w:rPr>
            </w:pPr>
            <w:r>
              <w:rPr>
                <w:rFonts w:hint="eastAsia" w:ascii="宋体" w:hAnsi="宋体" w:cs="宋体"/>
                <w:sz w:val="18"/>
                <w:szCs w:val="18"/>
                <w:lang w:eastAsia="zh-CN"/>
              </w:rPr>
              <w:t>用途</w:t>
            </w:r>
          </w:p>
        </w:tc>
        <w:tc>
          <w:tcPr>
            <w:tcW w:w="6092" w:type="dxa"/>
            <w:vAlign w:val="center"/>
          </w:tcPr>
          <w:p>
            <w:pPr>
              <w:adjustRightInd w:val="0"/>
              <w:snapToGrid w:val="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仓储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exact"/>
          <w:jc w:val="center"/>
        </w:trPr>
        <w:tc>
          <w:tcPr>
            <w:tcW w:w="2307" w:type="dxa"/>
            <w:vAlign w:val="center"/>
          </w:tcPr>
          <w:p>
            <w:pPr>
              <w:adjustRightInd w:val="0"/>
              <w:snapToGrid w:val="0"/>
              <w:jc w:val="center"/>
              <w:rPr>
                <w:rFonts w:hint="eastAsia" w:ascii="宋体" w:hAnsi="宋体" w:eastAsia="宋体" w:cs="宋体"/>
                <w:sz w:val="18"/>
                <w:szCs w:val="18"/>
                <w:lang w:eastAsia="zh-CN"/>
              </w:rPr>
            </w:pPr>
            <w:r>
              <w:rPr>
                <w:rFonts w:hint="eastAsia" w:ascii="宋体" w:hAnsi="宋体" w:cs="宋体"/>
                <w:sz w:val="18"/>
                <w:szCs w:val="18"/>
                <w:lang w:eastAsia="zh-CN"/>
              </w:rPr>
              <w:t>房屋建筑面积</w:t>
            </w:r>
          </w:p>
        </w:tc>
        <w:tc>
          <w:tcPr>
            <w:tcW w:w="6092" w:type="dxa"/>
            <w:vAlign w:val="center"/>
          </w:tcPr>
          <w:p>
            <w:pPr>
              <w:spacing w:line="360" w:lineRule="auto"/>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共用宗地面积7.48平方米/房屋建筑面积22.05平方米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2307" w:type="dxa"/>
            <w:vAlign w:val="center"/>
          </w:tcPr>
          <w:p>
            <w:pPr>
              <w:adjustRightInd w:val="0"/>
              <w:snapToGrid w:val="0"/>
              <w:jc w:val="center"/>
              <w:rPr>
                <w:rFonts w:hint="eastAsia" w:ascii="宋体" w:hAnsi="宋体" w:eastAsia="宋体" w:cs="宋体"/>
                <w:sz w:val="18"/>
                <w:szCs w:val="18"/>
                <w:lang w:eastAsia="zh-CN"/>
              </w:rPr>
            </w:pPr>
            <w:r>
              <w:rPr>
                <w:rFonts w:hint="eastAsia" w:ascii="宋体" w:hAnsi="宋体" w:cs="宋体"/>
                <w:sz w:val="18"/>
                <w:szCs w:val="18"/>
                <w:lang w:eastAsia="zh-CN"/>
              </w:rPr>
              <w:t>使用期限</w:t>
            </w:r>
          </w:p>
        </w:tc>
        <w:tc>
          <w:tcPr>
            <w:tcW w:w="6092" w:type="dxa"/>
            <w:vAlign w:val="center"/>
          </w:tcPr>
          <w:p>
            <w:pPr>
              <w:adjustRightInd w:val="0"/>
              <w:snapToGrid w:val="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国有建设用地使用权：2053年3月5日止</w:t>
            </w:r>
          </w:p>
        </w:tc>
      </w:tr>
    </w:tbl>
    <w:p>
      <w:pPr>
        <w:numPr>
          <w:ilvl w:val="0"/>
          <w:numId w:val="0"/>
        </w:numPr>
        <w:spacing w:line="360" w:lineRule="auto"/>
        <w:ind w:leftChars="200"/>
        <w:rPr>
          <w:rFonts w:hint="eastAsia" w:ascii="仿宋_GB2312" w:eastAsia="仿宋_GB2312"/>
          <w:szCs w:val="28"/>
          <w:lang w:val="en-US" w:eastAsia="zh-CN"/>
        </w:rPr>
      </w:pPr>
    </w:p>
    <w:tbl>
      <w:tblPr>
        <w:tblStyle w:val="24"/>
        <w:tblW w:w="83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7"/>
        <w:gridCol w:w="6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exact"/>
          <w:jc w:val="center"/>
        </w:trPr>
        <w:tc>
          <w:tcPr>
            <w:tcW w:w="2307" w:type="dxa"/>
            <w:vAlign w:val="center"/>
          </w:tcPr>
          <w:p>
            <w:pPr>
              <w:spacing w:line="360" w:lineRule="auto"/>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权利人</w:t>
            </w:r>
          </w:p>
        </w:tc>
        <w:tc>
          <w:tcPr>
            <w:tcW w:w="6092" w:type="dxa"/>
            <w:vAlign w:val="center"/>
          </w:tcPr>
          <w:p>
            <w:pPr>
              <w:spacing w:line="360" w:lineRule="auto"/>
              <w:jc w:val="center"/>
              <w:rPr>
                <w:rFonts w:hint="eastAsia" w:ascii="宋体" w:hAnsi="宋体" w:eastAsia="宋体" w:cs="宋体"/>
                <w:sz w:val="18"/>
                <w:szCs w:val="18"/>
                <w:lang w:val="en-US" w:eastAsia="zh-CN"/>
              </w:rPr>
            </w:pPr>
            <w:r>
              <w:rPr>
                <w:rFonts w:hint="eastAsia" w:ascii="宋体" w:hAnsi="宋体" w:cs="宋体"/>
                <w:color w:val="000000"/>
                <w:kern w:val="0"/>
                <w:sz w:val="18"/>
                <w:szCs w:val="18"/>
                <w:highlight w:val="none"/>
                <w:lang w:eastAsia="zh-CN"/>
              </w:rPr>
              <w:t>四川平扬房地产开发有限公司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exact"/>
          <w:jc w:val="center"/>
        </w:trPr>
        <w:tc>
          <w:tcPr>
            <w:tcW w:w="2307" w:type="dxa"/>
            <w:vAlign w:val="center"/>
          </w:tcPr>
          <w:p>
            <w:pPr>
              <w:spacing w:line="360" w:lineRule="auto"/>
              <w:jc w:val="center"/>
              <w:rPr>
                <w:rFonts w:hint="eastAsia" w:ascii="宋体" w:hAnsi="宋体" w:eastAsia="宋体" w:cs="宋体"/>
                <w:sz w:val="18"/>
                <w:szCs w:val="18"/>
                <w:lang w:eastAsia="zh-CN"/>
              </w:rPr>
            </w:pPr>
            <w:r>
              <w:rPr>
                <w:rFonts w:hint="eastAsia" w:ascii="宋体" w:hAnsi="宋体" w:cs="宋体"/>
                <w:sz w:val="18"/>
                <w:szCs w:val="18"/>
                <w:lang w:eastAsia="zh-CN"/>
              </w:rPr>
              <w:t>不动产权证</w:t>
            </w:r>
          </w:p>
        </w:tc>
        <w:tc>
          <w:tcPr>
            <w:tcW w:w="6092" w:type="dxa"/>
            <w:vAlign w:val="center"/>
          </w:tcPr>
          <w:p>
            <w:pPr>
              <w:spacing w:line="360" w:lineRule="auto"/>
              <w:jc w:val="center"/>
              <w:rPr>
                <w:rFonts w:hint="default" w:ascii="宋体" w:hAnsi="宋体" w:eastAsia="宋体" w:cs="宋体"/>
                <w:sz w:val="18"/>
                <w:szCs w:val="18"/>
                <w:lang w:val="en-US" w:eastAsia="zh-CN"/>
              </w:rPr>
            </w:pPr>
            <w:r>
              <w:rPr>
                <w:rFonts w:hint="eastAsia" w:ascii="宋体" w:hAnsi="宋体" w:cs="宋体"/>
                <w:color w:val="000000"/>
                <w:sz w:val="18"/>
                <w:szCs w:val="18"/>
                <w:lang w:val="en-US" w:eastAsia="zh-CN"/>
              </w:rPr>
              <w:t>20170026417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exact"/>
          <w:jc w:val="center"/>
        </w:trPr>
        <w:tc>
          <w:tcPr>
            <w:tcW w:w="2307" w:type="dxa"/>
            <w:vAlign w:val="center"/>
          </w:tcPr>
          <w:p>
            <w:pPr>
              <w:spacing w:line="360" w:lineRule="auto"/>
              <w:jc w:val="center"/>
              <w:rPr>
                <w:rFonts w:ascii="宋体" w:hAnsi="宋体" w:cs="宋体"/>
                <w:sz w:val="18"/>
                <w:szCs w:val="18"/>
              </w:rPr>
            </w:pPr>
            <w:r>
              <w:rPr>
                <w:rFonts w:hint="eastAsia" w:ascii="宋体" w:hAnsi="宋体" w:cs="宋体"/>
                <w:sz w:val="18"/>
                <w:szCs w:val="18"/>
              </w:rPr>
              <w:t>坐落</w:t>
            </w:r>
          </w:p>
        </w:tc>
        <w:tc>
          <w:tcPr>
            <w:tcW w:w="6092" w:type="dxa"/>
            <w:vAlign w:val="center"/>
          </w:tcPr>
          <w:p>
            <w:pPr>
              <w:spacing w:line="360" w:lineRule="auto"/>
              <w:jc w:val="center"/>
              <w:rPr>
                <w:rFonts w:hint="default" w:ascii="宋体" w:hAnsi="宋体" w:eastAsia="宋体" w:cs="宋体"/>
                <w:sz w:val="18"/>
                <w:szCs w:val="18"/>
                <w:lang w:val="en-US" w:eastAsia="zh-CN"/>
              </w:rPr>
            </w:pPr>
            <w:r>
              <w:rPr>
                <w:rFonts w:hint="eastAsia" w:ascii="宋体" w:hAnsi="宋体" w:cs="宋体"/>
                <w:sz w:val="18"/>
                <w:szCs w:val="18"/>
                <w:lang w:eastAsia="zh-CN"/>
              </w:rPr>
              <w:t>沿滩区沿滩新城板南大道街</w:t>
            </w:r>
            <w:r>
              <w:rPr>
                <w:rFonts w:hint="eastAsia" w:ascii="宋体" w:hAnsi="宋体" w:cs="宋体"/>
                <w:sz w:val="18"/>
                <w:szCs w:val="18"/>
                <w:lang w:val="en-US" w:eastAsia="zh-CN"/>
              </w:rPr>
              <w:t>122号龙湖金帝广场1栋（地上部分）戊类储藏室1号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exact"/>
          <w:jc w:val="center"/>
        </w:trPr>
        <w:tc>
          <w:tcPr>
            <w:tcW w:w="2307" w:type="dxa"/>
            <w:vAlign w:val="center"/>
          </w:tcPr>
          <w:p>
            <w:pPr>
              <w:adjustRightInd w:val="0"/>
              <w:snapToGrid w:val="0"/>
              <w:jc w:val="center"/>
              <w:rPr>
                <w:rFonts w:hint="eastAsia" w:ascii="宋体" w:hAnsi="宋体" w:eastAsia="宋体" w:cs="宋体"/>
                <w:sz w:val="18"/>
                <w:szCs w:val="18"/>
                <w:lang w:eastAsia="zh-CN"/>
              </w:rPr>
            </w:pPr>
            <w:r>
              <w:rPr>
                <w:rFonts w:hint="eastAsia" w:ascii="宋体" w:hAnsi="宋体" w:cs="宋体"/>
                <w:sz w:val="18"/>
                <w:szCs w:val="18"/>
                <w:lang w:eastAsia="zh-CN"/>
              </w:rPr>
              <w:t>用途</w:t>
            </w:r>
          </w:p>
        </w:tc>
        <w:tc>
          <w:tcPr>
            <w:tcW w:w="6092" w:type="dxa"/>
            <w:vAlign w:val="center"/>
          </w:tcPr>
          <w:p>
            <w:pPr>
              <w:adjustRightInd w:val="0"/>
              <w:snapToGrid w:val="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仓储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exact"/>
          <w:jc w:val="center"/>
        </w:trPr>
        <w:tc>
          <w:tcPr>
            <w:tcW w:w="2307" w:type="dxa"/>
            <w:vAlign w:val="center"/>
          </w:tcPr>
          <w:p>
            <w:pPr>
              <w:adjustRightInd w:val="0"/>
              <w:snapToGrid w:val="0"/>
              <w:jc w:val="center"/>
              <w:rPr>
                <w:rFonts w:hint="eastAsia" w:ascii="宋体" w:hAnsi="宋体" w:eastAsia="宋体" w:cs="宋体"/>
                <w:sz w:val="18"/>
                <w:szCs w:val="18"/>
                <w:lang w:eastAsia="zh-CN"/>
              </w:rPr>
            </w:pPr>
            <w:r>
              <w:rPr>
                <w:rFonts w:hint="eastAsia" w:ascii="宋体" w:hAnsi="宋体" w:cs="宋体"/>
                <w:sz w:val="18"/>
                <w:szCs w:val="18"/>
                <w:lang w:eastAsia="zh-CN"/>
              </w:rPr>
              <w:t>房屋建筑面积</w:t>
            </w:r>
          </w:p>
        </w:tc>
        <w:tc>
          <w:tcPr>
            <w:tcW w:w="6092" w:type="dxa"/>
            <w:vAlign w:val="center"/>
          </w:tcPr>
          <w:p>
            <w:pPr>
              <w:spacing w:line="360" w:lineRule="auto"/>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共用宗地面积7.48平方米/房屋建筑面积22.05平方米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2307" w:type="dxa"/>
            <w:vAlign w:val="center"/>
          </w:tcPr>
          <w:p>
            <w:pPr>
              <w:adjustRightInd w:val="0"/>
              <w:snapToGrid w:val="0"/>
              <w:jc w:val="center"/>
              <w:rPr>
                <w:rFonts w:hint="eastAsia" w:ascii="宋体" w:hAnsi="宋体" w:eastAsia="宋体" w:cs="宋体"/>
                <w:sz w:val="18"/>
                <w:szCs w:val="18"/>
                <w:lang w:eastAsia="zh-CN"/>
              </w:rPr>
            </w:pPr>
            <w:r>
              <w:rPr>
                <w:rFonts w:hint="eastAsia" w:ascii="宋体" w:hAnsi="宋体" w:cs="宋体"/>
                <w:sz w:val="18"/>
                <w:szCs w:val="18"/>
                <w:lang w:eastAsia="zh-CN"/>
              </w:rPr>
              <w:t>使用期限</w:t>
            </w:r>
          </w:p>
        </w:tc>
        <w:tc>
          <w:tcPr>
            <w:tcW w:w="6092" w:type="dxa"/>
            <w:vAlign w:val="center"/>
          </w:tcPr>
          <w:p>
            <w:pPr>
              <w:adjustRightInd w:val="0"/>
              <w:snapToGrid w:val="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国有建设用地使用权：2053年3月5日止</w:t>
            </w:r>
          </w:p>
        </w:tc>
      </w:tr>
    </w:tbl>
    <w:p>
      <w:pPr>
        <w:spacing w:line="360" w:lineRule="auto"/>
        <w:ind w:firstLine="560" w:firstLineChars="200"/>
        <w:rPr>
          <w:rFonts w:ascii="仿宋_GB2312" w:eastAsia="仿宋_GB2312"/>
          <w:color w:val="000000" w:themeColor="text1"/>
          <w:szCs w:val="28"/>
          <w14:textFill>
            <w14:solidFill>
              <w14:schemeClr w14:val="tx1"/>
            </w14:solidFill>
          </w14:textFill>
        </w:rPr>
      </w:pPr>
      <w:r>
        <w:rPr>
          <w:rFonts w:hint="eastAsia" w:ascii="仿宋_GB2312" w:eastAsia="仿宋_GB2312"/>
          <w:color w:val="000000" w:themeColor="text1"/>
          <w:szCs w:val="28"/>
          <w14:textFill>
            <w14:solidFill>
              <w14:schemeClr w14:val="tx1"/>
            </w14:solidFill>
          </w14:textFill>
        </w:rPr>
        <w:t>（</w:t>
      </w:r>
      <w:r>
        <w:rPr>
          <w:rFonts w:hint="eastAsia" w:ascii="仿宋_GB2312" w:eastAsia="仿宋_GB2312"/>
          <w:color w:val="000000" w:themeColor="text1"/>
          <w:szCs w:val="28"/>
          <w:lang w:val="en-US" w:eastAsia="zh-CN"/>
          <w14:textFill>
            <w14:solidFill>
              <w14:schemeClr w14:val="tx1"/>
            </w14:solidFill>
          </w14:textFill>
        </w:rPr>
        <w:t>2</w:t>
      </w:r>
      <w:r>
        <w:rPr>
          <w:rFonts w:hint="eastAsia" w:ascii="仿宋_GB2312" w:eastAsia="仿宋_GB2312"/>
          <w:color w:val="000000" w:themeColor="text1"/>
          <w:szCs w:val="28"/>
          <w14:textFill>
            <w14:solidFill>
              <w14:schemeClr w14:val="tx1"/>
            </w14:solidFill>
          </w14:textFill>
        </w:rPr>
        <w:t>）他项权利状况</w:t>
      </w:r>
    </w:p>
    <w:p>
      <w:pPr>
        <w:spacing w:line="360" w:lineRule="auto"/>
        <w:ind w:firstLine="560" w:firstLineChars="200"/>
        <w:rPr>
          <w:rFonts w:ascii="仿宋_GB2312" w:eastAsia="仿宋_GB2312"/>
          <w:szCs w:val="28"/>
        </w:rPr>
      </w:pPr>
      <w:bookmarkStart w:id="65" w:name="_Toc437265336"/>
      <w:r>
        <w:rPr>
          <w:rFonts w:hint="eastAsia" w:ascii="仿宋_GB2312" w:eastAsia="仿宋_GB2312"/>
          <w:szCs w:val="28"/>
          <w:lang w:val="en-US" w:eastAsia="zh-CN"/>
        </w:rPr>
        <w:t>在价值时点，估价对象未设置有租赁权，但已设置抵押权，并且已被四川省成都市中级人民法院查封。鉴于本次估价目的，根据</w:t>
      </w:r>
      <w:r>
        <w:rPr>
          <w:rFonts w:hint="eastAsia" w:ascii="仿宋_GB2312" w:eastAsia="仿宋_GB2312"/>
          <w:szCs w:val="28"/>
        </w:rPr>
        <w:t>《房地产司法鉴定评估指导意见》（试行）川建房法【2011】89号</w:t>
      </w:r>
      <w:r>
        <w:rPr>
          <w:rFonts w:hint="eastAsia" w:ascii="仿宋_GB2312" w:eastAsia="仿宋_GB2312"/>
          <w:szCs w:val="28"/>
          <w:lang w:val="en-US" w:eastAsia="zh-CN"/>
        </w:rPr>
        <w:t>，本次估价不考虑估价对象抵押、查封等权利限制事项对其价值的影响</w:t>
      </w:r>
      <w:r>
        <w:rPr>
          <w:rFonts w:hint="eastAsia" w:ascii="仿宋_GB2312" w:hAnsi="宋体" w:eastAsia="仿宋_GB2312"/>
          <w:szCs w:val="28"/>
        </w:rPr>
        <w:t>。</w:t>
      </w:r>
    </w:p>
    <w:p>
      <w:pPr>
        <w:numPr>
          <w:ilvl w:val="0"/>
          <w:numId w:val="0"/>
        </w:numPr>
        <w:spacing w:line="360" w:lineRule="auto"/>
        <w:ind w:left="560" w:leftChars="0"/>
        <w:rPr>
          <w:rStyle w:val="27"/>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pPr>
      <w:bookmarkStart w:id="66" w:name="_Toc25619"/>
      <w:bookmarkStart w:id="67" w:name="_Toc23265"/>
      <w:bookmarkStart w:id="68" w:name="_Toc11215"/>
      <w:r>
        <w:rPr>
          <w:rStyle w:val="27"/>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5、区位状况</w:t>
      </w:r>
    </w:p>
    <w:bookmarkEnd w:id="66"/>
    <w:bookmarkEnd w:id="67"/>
    <w:bookmarkEnd w:id="68"/>
    <w:p>
      <w:pPr>
        <w:spacing w:line="360" w:lineRule="auto"/>
        <w:ind w:firstLine="560" w:firstLineChars="200"/>
        <w:rPr>
          <w:rFonts w:ascii="仿宋_GB2312" w:eastAsia="仿宋_GB2312"/>
        </w:rPr>
      </w:pPr>
      <w:r>
        <w:rPr>
          <w:rFonts w:hint="eastAsia" w:ascii="仿宋_GB2312" w:eastAsia="仿宋_GB2312"/>
          <w:lang w:eastAsia="zh-CN"/>
        </w:rPr>
        <w:t>（</w:t>
      </w:r>
      <w:r>
        <w:rPr>
          <w:rFonts w:hint="eastAsia" w:ascii="仿宋_GB2312" w:eastAsia="仿宋_GB2312"/>
          <w:lang w:val="en-US" w:eastAsia="zh-CN"/>
        </w:rPr>
        <w:t>1）</w:t>
      </w:r>
      <w:r>
        <w:rPr>
          <w:rFonts w:hint="eastAsia" w:ascii="仿宋_GB2312" w:eastAsia="仿宋_GB2312"/>
        </w:rPr>
        <w:t>地理位置状况</w:t>
      </w:r>
    </w:p>
    <w:p>
      <w:pPr>
        <w:numPr>
          <w:ilvl w:val="0"/>
          <w:numId w:val="0"/>
        </w:numPr>
        <w:spacing w:line="360" w:lineRule="auto"/>
        <w:ind w:firstLine="560" w:firstLineChars="200"/>
        <w:rPr>
          <w:rFonts w:hint="eastAsia" w:ascii="仿宋_GB2312" w:eastAsia="仿宋_GB2312"/>
        </w:rPr>
      </w:pPr>
      <w:r>
        <w:rPr>
          <w:rFonts w:hint="eastAsia" w:ascii="仿宋_GB2312" w:eastAsia="仿宋_GB2312"/>
        </w:rPr>
        <w:t>根据注册房地产估价师现场调查，</w:t>
      </w:r>
      <w:r>
        <w:rPr>
          <w:rStyle w:val="28"/>
          <w:rFonts w:hint="eastAsia" w:eastAsia="仿宋_GB2312"/>
          <w:lang w:val="en-US" w:eastAsia="zh-CN"/>
        </w:rPr>
        <w:t>估价对象1（车库）与估价对象2（仓储）均位于自贡市沿滩区沿滩新城板南大道街122号龙湖金帝广场1栋</w:t>
      </w:r>
      <w:r>
        <w:rPr>
          <w:rFonts w:hint="eastAsia" w:ascii="仿宋_GB2312" w:eastAsia="仿宋_GB2312"/>
          <w:szCs w:val="22"/>
          <w:lang w:val="en-US" w:eastAsia="zh-CN"/>
        </w:rPr>
        <w:t>，</w:t>
      </w:r>
      <w:r>
        <w:rPr>
          <w:rFonts w:hint="eastAsia" w:ascii="仿宋_GB2312" w:hAnsi="宋体" w:eastAsia="仿宋_GB2312"/>
          <w:szCs w:val="28"/>
        </w:rPr>
        <w:t>房屋</w:t>
      </w:r>
      <w:r>
        <w:rPr>
          <w:rFonts w:hint="eastAsia" w:ascii="仿宋_GB2312" w:hAnsi="宋体" w:eastAsia="仿宋_GB2312"/>
          <w:szCs w:val="28"/>
          <w:lang w:eastAsia="zh-CN"/>
        </w:rPr>
        <w:t>朝向南</w:t>
      </w:r>
      <w:r>
        <w:rPr>
          <w:rFonts w:hint="eastAsia" w:ascii="仿宋_GB2312" w:hAnsi="宋体" w:eastAsia="仿宋_GB2312"/>
          <w:szCs w:val="28"/>
        </w:rPr>
        <w:t>，</w:t>
      </w:r>
      <w:r>
        <w:rPr>
          <w:rFonts w:hint="eastAsia" w:ascii="仿宋_GB2312" w:hAnsi="宋体" w:eastAsia="仿宋_GB2312"/>
          <w:szCs w:val="28"/>
          <w:lang w:eastAsia="zh-CN"/>
        </w:rPr>
        <w:t>所在楼栋共计</w:t>
      </w:r>
      <w:r>
        <w:rPr>
          <w:rFonts w:hint="eastAsia" w:ascii="仿宋_GB2312" w:hAnsi="宋体" w:eastAsia="仿宋_GB2312"/>
          <w:szCs w:val="28"/>
          <w:lang w:val="en-US" w:eastAsia="zh-CN"/>
        </w:rPr>
        <w:t>7层</w:t>
      </w:r>
      <w:r>
        <w:rPr>
          <w:rFonts w:hint="eastAsia" w:ascii="仿宋_GB2312" w:hAnsi="宋体" w:eastAsia="仿宋_GB2312"/>
          <w:szCs w:val="28"/>
        </w:rPr>
        <w:t>，估价对象</w:t>
      </w:r>
      <w:r>
        <w:rPr>
          <w:rFonts w:hint="eastAsia" w:ascii="仿宋_GB2312" w:hAnsi="宋体" w:eastAsia="仿宋_GB2312"/>
          <w:szCs w:val="28"/>
          <w:lang w:val="en-US" w:eastAsia="zh-CN"/>
        </w:rPr>
        <w:t>1</w:t>
      </w:r>
      <w:r>
        <w:rPr>
          <w:rFonts w:hint="eastAsia" w:ascii="仿宋_GB2312" w:hAnsi="宋体" w:eastAsia="仿宋_GB2312"/>
          <w:szCs w:val="28"/>
        </w:rPr>
        <w:t>位于</w:t>
      </w:r>
      <w:r>
        <w:rPr>
          <w:rFonts w:hint="eastAsia" w:ascii="仿宋_GB2312" w:hAnsi="宋体" w:eastAsia="仿宋_GB2312"/>
          <w:szCs w:val="28"/>
          <w:lang w:eastAsia="zh-CN"/>
        </w:rPr>
        <w:t>地下</w:t>
      </w:r>
      <w:r>
        <w:rPr>
          <w:rFonts w:hint="eastAsia" w:ascii="仿宋_GB2312" w:hAnsi="宋体" w:eastAsia="仿宋_GB2312"/>
          <w:szCs w:val="28"/>
          <w:lang w:val="en-US" w:eastAsia="zh-CN"/>
        </w:rPr>
        <w:t>1至2层（包含夹层，实际地下1至3层），估价对象2位于地上3层、4层</w:t>
      </w:r>
      <w:r>
        <w:rPr>
          <w:rFonts w:hint="eastAsia" w:ascii="仿宋_GB2312" w:eastAsia="仿宋_GB2312"/>
        </w:rPr>
        <w:t>。</w:t>
      </w:r>
    </w:p>
    <w:p>
      <w:pPr>
        <w:numPr>
          <w:ilvl w:val="0"/>
          <w:numId w:val="0"/>
        </w:numPr>
        <w:spacing w:line="360" w:lineRule="auto"/>
        <w:ind w:firstLine="560" w:firstLineChars="200"/>
        <w:rPr>
          <w:rFonts w:ascii="仿宋_GB2312" w:eastAsia="仿宋_GB2312"/>
        </w:rPr>
      </w:pPr>
      <w:r>
        <w:rPr>
          <w:rFonts w:hint="eastAsia" w:ascii="仿宋_GB2312" w:eastAsia="仿宋_GB2312"/>
          <w:lang w:eastAsia="zh-CN"/>
        </w:rPr>
        <w:t>（</w:t>
      </w:r>
      <w:r>
        <w:rPr>
          <w:rFonts w:hint="eastAsia" w:ascii="仿宋_GB2312" w:eastAsia="仿宋_GB2312"/>
          <w:lang w:val="en-US" w:eastAsia="zh-CN"/>
        </w:rPr>
        <w:t>2）</w:t>
      </w:r>
      <w:r>
        <w:rPr>
          <w:rFonts w:hint="eastAsia" w:ascii="仿宋_GB2312" w:eastAsia="仿宋_GB2312"/>
        </w:rPr>
        <w:t>交通状况</w:t>
      </w:r>
    </w:p>
    <w:p>
      <w:pPr>
        <w:spacing w:line="360" w:lineRule="auto"/>
        <w:ind w:firstLine="560" w:firstLineChars="200"/>
        <w:rPr>
          <w:rFonts w:ascii="仿宋_GB2312" w:eastAsia="仿宋_GB2312"/>
        </w:rPr>
      </w:pPr>
      <w:r>
        <w:rPr>
          <w:rFonts w:hint="eastAsia" w:ascii="仿宋_GB2312" w:eastAsia="仿宋_GB2312"/>
        </w:rPr>
        <w:t>估价对象</w:t>
      </w:r>
      <w:r>
        <w:rPr>
          <w:rFonts w:hint="eastAsia" w:ascii="仿宋_GB2312" w:eastAsia="仿宋_GB2312"/>
          <w:lang w:eastAsia="zh-CN"/>
        </w:rPr>
        <w:t>均</w:t>
      </w:r>
      <w:r>
        <w:rPr>
          <w:rFonts w:hint="eastAsia" w:ascii="仿宋_GB2312" w:eastAsia="仿宋_GB2312"/>
        </w:rPr>
        <w:t>位于</w:t>
      </w:r>
      <w:r>
        <w:rPr>
          <w:rStyle w:val="28"/>
          <w:rFonts w:hint="eastAsia" w:eastAsia="仿宋_GB2312"/>
          <w:lang w:val="en-US" w:eastAsia="zh-CN"/>
        </w:rPr>
        <w:t>自贡市沿滩区沿滩新城板南大道街122号龙湖金帝广场</w:t>
      </w:r>
      <w:r>
        <w:rPr>
          <w:rFonts w:hint="eastAsia" w:ascii="仿宋_GB2312" w:eastAsia="仿宋_GB2312"/>
        </w:rPr>
        <w:t>，区域内有</w:t>
      </w:r>
      <w:r>
        <w:rPr>
          <w:rFonts w:hint="eastAsia" w:ascii="仿宋_GB2312" w:eastAsia="仿宋_GB2312"/>
          <w:lang w:eastAsia="zh-CN"/>
        </w:rPr>
        <w:t>隆雅线、园富路</w:t>
      </w:r>
      <w:r>
        <w:rPr>
          <w:rFonts w:hint="eastAsia" w:ascii="仿宋_GB2312" w:eastAsia="仿宋_GB2312"/>
        </w:rPr>
        <w:t>等城市主次要交通道路，有6路</w:t>
      </w:r>
      <w:r>
        <w:rPr>
          <w:rFonts w:hint="eastAsia" w:ascii="仿宋_GB2312" w:eastAsia="仿宋_GB2312"/>
          <w:lang w:eastAsia="zh-CN"/>
        </w:rPr>
        <w:t>、</w:t>
      </w:r>
      <w:r>
        <w:rPr>
          <w:rFonts w:hint="eastAsia" w:ascii="仿宋_GB2312" w:eastAsia="仿宋_GB2312"/>
        </w:rPr>
        <w:t>92路</w:t>
      </w:r>
      <w:r>
        <w:rPr>
          <w:rFonts w:hint="eastAsia" w:ascii="仿宋_GB2312" w:eastAsia="仿宋_GB2312"/>
          <w:lang w:eastAsia="zh-CN"/>
        </w:rPr>
        <w:t>、</w:t>
      </w:r>
      <w:r>
        <w:rPr>
          <w:rFonts w:hint="eastAsia" w:ascii="仿宋_GB2312" w:eastAsia="仿宋_GB2312"/>
        </w:rPr>
        <w:t>303路</w:t>
      </w:r>
      <w:r>
        <w:rPr>
          <w:rFonts w:hint="eastAsia" w:ascii="仿宋_GB2312" w:eastAsia="仿宋_GB2312"/>
          <w:lang w:eastAsia="zh-CN"/>
        </w:rPr>
        <w:t>、</w:t>
      </w:r>
      <w:r>
        <w:rPr>
          <w:rFonts w:hint="eastAsia" w:ascii="仿宋_GB2312" w:eastAsia="仿宋_GB2312"/>
        </w:rPr>
        <w:t>801路</w:t>
      </w:r>
      <w:r>
        <w:rPr>
          <w:rFonts w:hint="eastAsia" w:ascii="仿宋_GB2312" w:eastAsia="仿宋_GB2312"/>
          <w:lang w:eastAsia="zh-CN"/>
        </w:rPr>
        <w:t>、</w:t>
      </w:r>
      <w:r>
        <w:rPr>
          <w:rFonts w:hint="eastAsia" w:ascii="仿宋_GB2312" w:eastAsia="仿宋_GB2312"/>
        </w:rPr>
        <w:t>805路</w:t>
      </w:r>
      <w:r>
        <w:rPr>
          <w:rFonts w:hint="eastAsia" w:ascii="仿宋_GB2312" w:eastAsia="仿宋_GB2312"/>
          <w:lang w:eastAsia="zh-CN"/>
        </w:rPr>
        <w:t>、</w:t>
      </w:r>
      <w:r>
        <w:rPr>
          <w:rFonts w:hint="eastAsia" w:ascii="仿宋_GB2312" w:eastAsia="仿宋_GB2312"/>
        </w:rPr>
        <w:t>806路</w:t>
      </w:r>
      <w:r>
        <w:rPr>
          <w:rFonts w:hint="eastAsia" w:ascii="仿宋_GB2312" w:eastAsia="仿宋_GB2312"/>
          <w:lang w:eastAsia="zh-CN"/>
        </w:rPr>
        <w:t>、</w:t>
      </w:r>
      <w:r>
        <w:rPr>
          <w:rFonts w:hint="eastAsia" w:ascii="仿宋_GB2312" w:eastAsia="仿宋_GB2312"/>
        </w:rPr>
        <w:t>808路等多条公交线路，无交通管制，</w:t>
      </w:r>
      <w:r>
        <w:rPr>
          <w:rStyle w:val="28"/>
          <w:rFonts w:hint="eastAsia" w:ascii="仿宋_GB2312" w:hAnsi="微软雅黑"/>
        </w:rPr>
        <w:t>交通便利</w:t>
      </w:r>
      <w:r>
        <w:rPr>
          <w:rFonts w:hint="eastAsia" w:ascii="仿宋_GB2312" w:eastAsia="仿宋_GB2312"/>
        </w:rPr>
        <w:t>。</w:t>
      </w:r>
    </w:p>
    <w:p>
      <w:pPr>
        <w:numPr>
          <w:ilvl w:val="0"/>
          <w:numId w:val="0"/>
        </w:numPr>
        <w:spacing w:line="360" w:lineRule="auto"/>
        <w:ind w:firstLine="560" w:firstLineChars="200"/>
        <w:rPr>
          <w:rFonts w:ascii="仿宋_GB2312" w:eastAsia="仿宋_GB2312"/>
        </w:rPr>
      </w:pPr>
      <w:r>
        <w:rPr>
          <w:rFonts w:hint="eastAsia" w:ascii="仿宋_GB2312" w:eastAsia="仿宋_GB2312"/>
          <w:lang w:val="en-US" w:eastAsia="zh-CN"/>
        </w:rPr>
        <w:t>（3）</w:t>
      </w:r>
      <w:r>
        <w:rPr>
          <w:rFonts w:hint="eastAsia" w:ascii="仿宋_GB2312" w:eastAsia="仿宋_GB2312"/>
        </w:rPr>
        <w:t>外部配套设施状况</w:t>
      </w:r>
    </w:p>
    <w:p>
      <w:pPr>
        <w:numPr>
          <w:ilvl w:val="0"/>
          <w:numId w:val="0"/>
        </w:numPr>
        <w:spacing w:line="360" w:lineRule="auto"/>
        <w:ind w:firstLine="560" w:firstLineChars="200"/>
        <w:rPr>
          <w:rFonts w:ascii="仿宋_GB2312" w:eastAsia="仿宋_GB2312"/>
        </w:rPr>
      </w:pPr>
      <w:r>
        <w:rPr>
          <w:rFonts w:hint="eastAsia" w:ascii="仿宋_GB2312" w:eastAsia="仿宋_GB2312"/>
          <w:lang w:val="en-US" w:eastAsia="zh-CN"/>
        </w:rPr>
        <w:t>1）</w:t>
      </w:r>
      <w:r>
        <w:rPr>
          <w:rFonts w:hint="eastAsia" w:ascii="仿宋_GB2312" w:eastAsia="仿宋_GB2312"/>
        </w:rPr>
        <w:t>基础设施</w:t>
      </w:r>
    </w:p>
    <w:p>
      <w:pPr>
        <w:spacing w:line="360" w:lineRule="auto"/>
        <w:ind w:firstLine="560" w:firstLineChars="200"/>
        <w:rPr>
          <w:rFonts w:ascii="仿宋_GB2312" w:eastAsia="仿宋_GB2312"/>
        </w:rPr>
      </w:pPr>
      <w:r>
        <w:rPr>
          <w:rFonts w:hint="eastAsia" w:ascii="仿宋_GB2312" w:eastAsia="仿宋_GB2312"/>
        </w:rPr>
        <w:t>估价对象</w:t>
      </w:r>
      <w:r>
        <w:rPr>
          <w:rFonts w:hint="eastAsia" w:ascii="仿宋_GB2312" w:eastAsia="仿宋_GB2312"/>
          <w:lang w:eastAsia="zh-CN"/>
        </w:rPr>
        <w:t>均</w:t>
      </w:r>
      <w:r>
        <w:rPr>
          <w:rFonts w:hint="eastAsia" w:ascii="仿宋_GB2312" w:eastAsia="仿宋_GB2312"/>
        </w:rPr>
        <w:t>位于</w:t>
      </w:r>
      <w:r>
        <w:rPr>
          <w:rStyle w:val="28"/>
          <w:rFonts w:hint="eastAsia" w:eastAsia="仿宋_GB2312"/>
          <w:lang w:val="en-US" w:eastAsia="zh-CN"/>
        </w:rPr>
        <w:t>自贡市沿滩区沿滩新城板南大道街122号龙湖金帝广场</w:t>
      </w:r>
      <w:r>
        <w:rPr>
          <w:rFonts w:hint="eastAsia" w:ascii="仿宋_GB2312" w:eastAsia="仿宋_GB2312"/>
        </w:rPr>
        <w:t>，区域内基础设施配套完善，达到“六通”（通上水、通下水、通电、通讯、通路、通气）。</w:t>
      </w:r>
    </w:p>
    <w:p>
      <w:pPr>
        <w:spacing w:line="360" w:lineRule="auto"/>
        <w:ind w:firstLine="560" w:firstLineChars="200"/>
        <w:rPr>
          <w:rFonts w:ascii="仿宋_GB2312" w:eastAsia="仿宋_GB2312"/>
        </w:rPr>
      </w:pPr>
      <w:r>
        <w:rPr>
          <w:rFonts w:hint="eastAsia" w:ascii="仿宋_GB2312" w:eastAsia="仿宋_GB2312"/>
        </w:rPr>
        <w:t>通上水：区域供水接是</w:t>
      </w:r>
      <w:r>
        <w:rPr>
          <w:rFonts w:hint="eastAsia" w:ascii="仿宋_GB2312" w:eastAsia="仿宋_GB2312"/>
          <w:lang w:eastAsia="zh-CN"/>
        </w:rPr>
        <w:t>自贡市</w:t>
      </w:r>
      <w:r>
        <w:rPr>
          <w:rFonts w:hint="eastAsia" w:ascii="仿宋_GB2312" w:eastAsia="仿宋_GB2312"/>
        </w:rPr>
        <w:t>市政供水管网，供水保证率为98%以上；</w:t>
      </w:r>
    </w:p>
    <w:p>
      <w:pPr>
        <w:spacing w:line="360" w:lineRule="auto"/>
        <w:ind w:firstLine="560" w:firstLineChars="200"/>
        <w:rPr>
          <w:rFonts w:ascii="仿宋_GB2312" w:eastAsia="仿宋_GB2312"/>
        </w:rPr>
      </w:pPr>
      <w:r>
        <w:rPr>
          <w:rFonts w:hint="eastAsia" w:ascii="仿宋_GB2312" w:eastAsia="仿宋_GB2312"/>
        </w:rPr>
        <w:t>通下水：区域排水排入</w:t>
      </w:r>
      <w:r>
        <w:rPr>
          <w:rFonts w:hint="eastAsia" w:ascii="仿宋_GB2312" w:eastAsia="仿宋_GB2312"/>
          <w:lang w:eastAsia="zh-CN"/>
        </w:rPr>
        <w:t>自贡市</w:t>
      </w:r>
      <w:r>
        <w:rPr>
          <w:rFonts w:hint="eastAsia" w:ascii="仿宋_GB2312" w:eastAsia="仿宋_GB2312"/>
        </w:rPr>
        <w:t>市政排污系统，实行雨、污分流，排水通畅；</w:t>
      </w:r>
    </w:p>
    <w:p>
      <w:pPr>
        <w:spacing w:line="360" w:lineRule="auto"/>
        <w:ind w:firstLine="560" w:firstLineChars="200"/>
        <w:rPr>
          <w:rFonts w:ascii="仿宋_GB2312" w:eastAsia="仿宋_GB2312"/>
        </w:rPr>
      </w:pPr>
      <w:r>
        <w:rPr>
          <w:rFonts w:hint="eastAsia" w:ascii="仿宋_GB2312" w:eastAsia="仿宋_GB2312"/>
        </w:rPr>
        <w:t>通电：区域供电来自国家电网，由</w:t>
      </w:r>
      <w:r>
        <w:rPr>
          <w:rFonts w:hint="eastAsia" w:ascii="仿宋_GB2312" w:eastAsia="仿宋_GB2312"/>
          <w:lang w:eastAsia="zh-CN"/>
        </w:rPr>
        <w:t>自贡市</w:t>
      </w:r>
      <w:r>
        <w:rPr>
          <w:rFonts w:hint="eastAsia" w:ascii="仿宋_GB2312" w:eastAsia="仿宋_GB2312"/>
        </w:rPr>
        <w:t>供电局提供，供电保证率达95%以上；</w:t>
      </w:r>
    </w:p>
    <w:p>
      <w:pPr>
        <w:spacing w:line="560" w:lineRule="exact"/>
        <w:ind w:firstLine="560" w:firstLineChars="200"/>
        <w:rPr>
          <w:rFonts w:ascii="仿宋_GB2312" w:eastAsia="仿宋_GB2312"/>
        </w:rPr>
      </w:pPr>
      <w:r>
        <w:rPr>
          <w:rFonts w:hint="eastAsia" w:ascii="仿宋_GB2312" w:eastAsia="仿宋_GB2312"/>
        </w:rPr>
        <w:t>通路：区域内道路呈网状分布，主次干道、支路分布密集，主次干道宽度为20-30 米，支路宽度约为10-15米，路面为沥青路面，所有道路路况好、无交通管制、道路的通达度高；</w:t>
      </w:r>
    </w:p>
    <w:p>
      <w:pPr>
        <w:spacing w:line="560" w:lineRule="exact"/>
        <w:ind w:firstLine="560" w:firstLineChars="200"/>
        <w:rPr>
          <w:rFonts w:ascii="仿宋_GB2312" w:eastAsia="仿宋_GB2312"/>
        </w:rPr>
      </w:pPr>
      <w:r>
        <w:rPr>
          <w:rFonts w:hint="eastAsia" w:ascii="仿宋_GB2312" w:eastAsia="仿宋_GB2312"/>
        </w:rPr>
        <w:t>通讯：区域全被中国移动、中国联通等无线通讯网络覆盖，通讯效果好，中国电信线路也接入进该区域，所以区域内通讯畅通；</w:t>
      </w:r>
    </w:p>
    <w:p>
      <w:pPr>
        <w:spacing w:line="560" w:lineRule="exact"/>
        <w:ind w:firstLine="560" w:firstLineChars="200"/>
        <w:rPr>
          <w:rFonts w:ascii="仿宋_GB2312" w:eastAsia="仿宋_GB2312"/>
        </w:rPr>
      </w:pPr>
      <w:r>
        <w:rPr>
          <w:rFonts w:hint="eastAsia" w:ascii="仿宋_GB2312" w:eastAsia="仿宋_GB2312"/>
        </w:rPr>
        <w:t>通气：区域内供气由</w:t>
      </w:r>
      <w:r>
        <w:rPr>
          <w:rFonts w:hint="eastAsia" w:ascii="仿宋_GB2312" w:eastAsia="仿宋_GB2312"/>
          <w:lang w:eastAsia="zh-CN"/>
        </w:rPr>
        <w:t>自贡市</w:t>
      </w:r>
      <w:r>
        <w:rPr>
          <w:rFonts w:hint="eastAsia" w:ascii="仿宋_GB2312" w:eastAsia="仿宋_GB2312"/>
        </w:rPr>
        <w:t>天然气有限责任公司提供，供气保证率达到98%以上。</w:t>
      </w:r>
    </w:p>
    <w:p>
      <w:pPr>
        <w:numPr>
          <w:ilvl w:val="0"/>
          <w:numId w:val="0"/>
        </w:numPr>
        <w:tabs>
          <w:tab w:val="left" w:pos="839"/>
        </w:tabs>
        <w:spacing w:line="560" w:lineRule="exact"/>
        <w:ind w:firstLine="560" w:firstLineChars="200"/>
        <w:rPr>
          <w:rFonts w:ascii="仿宋_GB2312" w:eastAsia="仿宋_GB2312"/>
        </w:rPr>
      </w:pPr>
      <w:r>
        <w:rPr>
          <w:rFonts w:hint="eastAsia" w:ascii="仿宋_GB2312" w:eastAsia="仿宋_GB2312"/>
          <w:lang w:val="en-US" w:eastAsia="zh-CN"/>
        </w:rPr>
        <w:t>2）</w:t>
      </w:r>
      <w:r>
        <w:rPr>
          <w:rFonts w:hint="eastAsia" w:ascii="仿宋_GB2312" w:eastAsia="仿宋_GB2312"/>
        </w:rPr>
        <w:t>公共服务设施</w:t>
      </w:r>
    </w:p>
    <w:p>
      <w:pPr>
        <w:spacing w:line="560" w:lineRule="exact"/>
        <w:ind w:firstLine="560" w:firstLineChars="200"/>
        <w:rPr>
          <w:rFonts w:ascii="仿宋_GB2312" w:eastAsia="仿宋_GB2312"/>
        </w:rPr>
      </w:pPr>
      <w:r>
        <w:rPr>
          <w:rFonts w:hint="eastAsia" w:ascii="仿宋_GB2312" w:eastAsia="仿宋_GB2312"/>
        </w:rPr>
        <w:t>估价对象所在区域内的公共配套设施齐全，</w:t>
      </w:r>
      <w:r>
        <w:rPr>
          <w:rFonts w:hint="eastAsia" w:ascii="仿宋_GB2312" w:eastAsia="仿宋_GB2312"/>
          <w:lang w:val="en-US" w:eastAsia="zh-CN"/>
        </w:rPr>
        <w:t>一公里范围内分布</w:t>
      </w:r>
      <w:r>
        <w:rPr>
          <w:rFonts w:hint="eastAsia" w:ascii="仿宋_GB2312" w:eastAsia="仿宋_GB2312"/>
        </w:rPr>
        <w:t>金融服务机构分布有</w:t>
      </w:r>
      <w:r>
        <w:rPr>
          <w:rFonts w:hint="eastAsia" w:ascii="仿宋_GB2312" w:eastAsia="仿宋_GB2312"/>
          <w:lang w:eastAsia="zh-CN"/>
        </w:rPr>
        <w:t>乐山市商业银行(龙湖社区支行)、中国建设银行(沿滩支行)、四川农信、自贡农商银行、中国农业银行(自贡龙湖分理处)</w:t>
      </w:r>
      <w:r>
        <w:rPr>
          <w:rFonts w:hint="eastAsia" w:ascii="仿宋_GB2312" w:eastAsia="仿宋_GB2312"/>
        </w:rPr>
        <w:t>等；医疗卫生设施分布有</w:t>
      </w:r>
      <w:r>
        <w:rPr>
          <w:rFonts w:hint="eastAsia" w:ascii="仿宋_GB2312" w:eastAsia="仿宋_GB2312"/>
          <w:lang w:eastAsia="zh-CN"/>
        </w:rPr>
        <w:t>自贡高新医院、红旗乡卫生院</w:t>
      </w:r>
      <w:r>
        <w:rPr>
          <w:rFonts w:hint="eastAsia" w:ascii="仿宋_GB2312" w:eastAsia="仿宋_GB2312"/>
        </w:rPr>
        <w:t>等；</w:t>
      </w:r>
      <w:r>
        <w:rPr>
          <w:rFonts w:hint="eastAsia" w:eastAsia="仿宋_GB2312"/>
          <w:szCs w:val="28"/>
          <w:lang w:eastAsia="zh-CN"/>
        </w:rPr>
        <w:t>教育设施分布有龙湖中学、沿滩区二小</w:t>
      </w:r>
      <w:r>
        <w:rPr>
          <w:rFonts w:hint="eastAsia" w:ascii="仿宋_GB2312" w:eastAsia="仿宋_GB2312"/>
        </w:rPr>
        <w:t>等；区域内有相关的配套生活小区，周边开发了</w:t>
      </w:r>
      <w:r>
        <w:rPr>
          <w:rFonts w:hint="eastAsia" w:ascii="仿宋_GB2312" w:eastAsia="仿宋_GB2312"/>
          <w:lang w:eastAsia="zh-CN"/>
        </w:rPr>
        <w:t>龙湖金帝佳苑、龙湖郡、自贡恒大绿洲、龙湖森林、龙湖雅居</w:t>
      </w:r>
      <w:r>
        <w:rPr>
          <w:rFonts w:hint="eastAsia" w:ascii="仿宋_GB2312" w:eastAsia="仿宋_GB2312"/>
        </w:rPr>
        <w:t>等多个成熟的住宅小区，以及</w:t>
      </w:r>
      <w:r>
        <w:rPr>
          <w:rFonts w:hint="eastAsia" w:ascii="仿宋_GB2312" w:eastAsia="仿宋_GB2312"/>
          <w:lang w:eastAsia="zh-CN"/>
        </w:rPr>
        <w:t>华商国际城、百盛购物中心</w:t>
      </w:r>
      <w:r>
        <w:rPr>
          <w:rFonts w:hint="eastAsia" w:ascii="仿宋_GB2312" w:eastAsia="仿宋_GB2312"/>
        </w:rPr>
        <w:t>等购物</w:t>
      </w:r>
      <w:r>
        <w:rPr>
          <w:rFonts w:hint="eastAsia" w:ascii="仿宋_GB2312" w:eastAsia="仿宋_GB2312"/>
          <w:lang w:eastAsia="zh-CN"/>
        </w:rPr>
        <w:t>商超</w:t>
      </w:r>
      <w:r>
        <w:rPr>
          <w:rFonts w:hint="eastAsia" w:ascii="仿宋_GB2312" w:eastAsia="仿宋_GB2312"/>
        </w:rPr>
        <w:t>。</w:t>
      </w:r>
    </w:p>
    <w:p>
      <w:pPr>
        <w:numPr>
          <w:ilvl w:val="0"/>
          <w:numId w:val="0"/>
        </w:numPr>
        <w:spacing w:line="560" w:lineRule="exact"/>
        <w:ind w:firstLine="560" w:firstLineChars="200"/>
        <w:rPr>
          <w:rFonts w:ascii="仿宋_GB2312" w:eastAsia="仿宋_GB2312"/>
        </w:rPr>
      </w:pPr>
      <w:r>
        <w:rPr>
          <w:rFonts w:hint="eastAsia" w:ascii="仿宋_GB2312" w:eastAsia="仿宋_GB2312"/>
          <w:lang w:eastAsia="zh-CN"/>
        </w:rPr>
        <w:t>（</w:t>
      </w:r>
      <w:r>
        <w:rPr>
          <w:rFonts w:hint="eastAsia" w:ascii="仿宋_GB2312" w:eastAsia="仿宋_GB2312"/>
          <w:lang w:val="en-US" w:eastAsia="zh-CN"/>
        </w:rPr>
        <w:t>4）</w:t>
      </w:r>
      <w:r>
        <w:rPr>
          <w:rFonts w:hint="eastAsia" w:ascii="仿宋_GB2312" w:eastAsia="仿宋_GB2312"/>
        </w:rPr>
        <w:t>周围环境</w:t>
      </w:r>
    </w:p>
    <w:p>
      <w:pPr>
        <w:spacing w:line="560" w:lineRule="exact"/>
        <w:ind w:firstLine="560" w:firstLineChars="200"/>
        <w:rPr>
          <w:rFonts w:ascii="仿宋_GB2312" w:eastAsia="仿宋_GB2312"/>
        </w:rPr>
      </w:pPr>
      <w:r>
        <w:rPr>
          <w:rFonts w:hint="eastAsia" w:ascii="仿宋_GB2312" w:hAnsi="仿宋_GB2312" w:eastAsia="仿宋_GB2312" w:cs="仿宋_GB2312"/>
          <w:szCs w:val="28"/>
        </w:rPr>
        <w:t>估价对象位于</w:t>
      </w:r>
      <w:r>
        <w:rPr>
          <w:rStyle w:val="28"/>
          <w:rFonts w:hint="eastAsia" w:eastAsia="仿宋_GB2312"/>
          <w:lang w:val="en-US" w:eastAsia="zh-CN"/>
        </w:rPr>
        <w:t>自贡市沿滩区沿滩新城板南大道街122号龙湖金帝广场</w:t>
      </w:r>
      <w:r>
        <w:rPr>
          <w:rFonts w:hint="eastAsia" w:ascii="仿宋_GB2312" w:hAnsi="仿宋_GB2312" w:eastAsia="仿宋_GB2312" w:cs="仿宋_GB2312"/>
          <w:szCs w:val="28"/>
        </w:rPr>
        <w:t>，附近有</w:t>
      </w:r>
      <w:r>
        <w:rPr>
          <w:rFonts w:hint="eastAsia" w:ascii="仿宋_GB2312" w:eastAsia="仿宋_GB2312"/>
          <w:lang w:eastAsia="zh-CN"/>
        </w:rPr>
        <w:t>华商国际城、百盛购物中心</w:t>
      </w:r>
      <w:r>
        <w:rPr>
          <w:rFonts w:hint="eastAsia" w:ascii="仿宋_GB2312" w:hAnsi="仿宋_GB2312" w:eastAsia="仿宋_GB2312" w:cs="仿宋_GB2312"/>
          <w:szCs w:val="28"/>
        </w:rPr>
        <w:t>等，环境优美。周边多为住宅小区，居住人群教育文化水平较高，人文环境较好，无污染源，整体环境状况较好</w:t>
      </w:r>
      <w:r>
        <w:rPr>
          <w:rFonts w:hint="eastAsia" w:ascii="仿宋_GB2312" w:eastAsia="仿宋_GB2312"/>
        </w:rPr>
        <w:t>。</w:t>
      </w:r>
    </w:p>
    <w:p>
      <w:pPr>
        <w:numPr>
          <w:ilvl w:val="0"/>
          <w:numId w:val="0"/>
        </w:numPr>
        <w:spacing w:line="360" w:lineRule="auto"/>
        <w:ind w:left="560" w:leftChars="0"/>
        <w:rPr>
          <w:rFonts w:ascii="仿宋_GB2312" w:eastAsia="仿宋_GB2312"/>
          <w:color w:val="000000" w:themeColor="text1"/>
          <w14:textFill>
            <w14:solidFill>
              <w14:schemeClr w14:val="tx1"/>
            </w14:solidFill>
          </w14:textFill>
        </w:rPr>
      </w:pPr>
      <w:bookmarkStart w:id="69" w:name="_Toc23663"/>
      <w:r>
        <w:rPr>
          <w:rStyle w:val="27"/>
          <w:rFonts w:hint="eastAsia" w:ascii="仿宋_GB2312" w:hAnsi="仿宋_GB2312" w:eastAsia="仿宋_GB2312" w:cs="仿宋_GB2312"/>
          <w:b w:val="0"/>
          <w:bCs/>
          <w:color w:val="000000" w:themeColor="text1"/>
          <w:sz w:val="28"/>
          <w:szCs w:val="28"/>
          <w14:textFill>
            <w14:solidFill>
              <w14:schemeClr w14:val="tx1"/>
            </w14:solidFill>
          </w14:textFill>
        </w:rPr>
        <w:t>（五）价值时点</w:t>
      </w:r>
      <w:bookmarkEnd w:id="65"/>
      <w:bookmarkEnd w:id="69"/>
    </w:p>
    <w:p>
      <w:pPr>
        <w:ind w:firstLine="560" w:firstLineChars="200"/>
        <w:rPr>
          <w:rStyle w:val="28"/>
          <w:color w:val="000000" w:themeColor="text1"/>
          <w14:textFill>
            <w14:solidFill>
              <w14:schemeClr w14:val="tx1"/>
            </w14:solidFill>
          </w14:textFill>
        </w:rPr>
      </w:pPr>
      <w:r>
        <w:rPr>
          <w:rFonts w:hint="eastAsia" w:ascii="仿宋_GB2312" w:eastAsia="仿宋_GB2312"/>
          <w:color w:val="000000" w:themeColor="text1"/>
          <w:lang w:val="en-US" w:eastAsia="zh-CN"/>
          <w14:textFill>
            <w14:solidFill>
              <w14:schemeClr w14:val="tx1"/>
            </w14:solidFill>
          </w14:textFill>
        </w:rPr>
        <w:t>2021年3月25日</w:t>
      </w:r>
      <w:r>
        <w:rPr>
          <w:rFonts w:hint="eastAsia" w:ascii="仿宋_GB2312" w:eastAsia="仿宋_GB2312"/>
          <w:color w:val="000000" w:themeColor="text1"/>
          <w14:textFill>
            <w14:solidFill>
              <w14:schemeClr w14:val="tx1"/>
            </w14:solidFill>
          </w14:textFill>
        </w:rPr>
        <w:t>。根据</w:t>
      </w:r>
      <w:r>
        <w:rPr>
          <w:rStyle w:val="28"/>
          <w:rFonts w:hint="eastAsia"/>
          <w:color w:val="000000" w:themeColor="text1"/>
          <w14:textFill>
            <w14:solidFill>
              <w14:schemeClr w14:val="tx1"/>
            </w14:solidFill>
          </w14:textFill>
        </w:rPr>
        <w:t>《房地产司法鉴定评估指导意见》川建房发[2011]89号， 原则上为评估委托之日或完成估价对象现场查勘之日，但鉴定评估委托书另有约定的除外</w:t>
      </w:r>
      <w:r>
        <w:rPr>
          <w:rFonts w:hint="eastAsia" w:ascii="仿宋_GB2312" w:eastAsia="仿宋_GB2312"/>
          <w:color w:val="000000" w:themeColor="text1"/>
          <w14:textFill>
            <w14:solidFill>
              <w14:schemeClr w14:val="tx1"/>
            </w14:solidFill>
          </w14:textFill>
        </w:rPr>
        <w:t>。针对本次估价对象，估价委托人未提出特殊要求，</w:t>
      </w:r>
      <w:r>
        <w:rPr>
          <w:rFonts w:hint="eastAsia" w:ascii="仿宋_GB2312" w:eastAsia="仿宋_GB2312"/>
          <w:color w:val="000000" w:themeColor="text1"/>
          <w:lang w:val="en-US" w:eastAsia="zh-CN"/>
          <w14:textFill>
            <w14:solidFill>
              <w14:schemeClr w14:val="tx1"/>
            </w14:solidFill>
          </w14:textFill>
        </w:rPr>
        <w:t>本次估价</w:t>
      </w:r>
      <w:r>
        <w:rPr>
          <w:rFonts w:hint="eastAsia" w:ascii="仿宋_GB2312" w:eastAsia="仿宋_GB2312"/>
          <w:color w:val="000000" w:themeColor="text1"/>
          <w14:textFill>
            <w14:solidFill>
              <w14:schemeClr w14:val="tx1"/>
            </w14:solidFill>
          </w14:textFill>
        </w:rPr>
        <w:t>确定</w:t>
      </w:r>
      <w:r>
        <w:rPr>
          <w:rFonts w:hint="eastAsia" w:ascii="仿宋_GB2312" w:eastAsia="仿宋_GB2312"/>
          <w:color w:val="000000" w:themeColor="text1"/>
          <w:lang w:val="en-US" w:eastAsia="zh-CN"/>
          <w14:textFill>
            <w14:solidFill>
              <w14:schemeClr w14:val="tx1"/>
            </w14:solidFill>
          </w14:textFill>
        </w:rPr>
        <w:t>以估价委托人</w:t>
      </w:r>
      <w:r>
        <w:rPr>
          <w:rStyle w:val="28"/>
          <w:rFonts w:hint="eastAsia"/>
          <w:color w:val="000000" w:themeColor="text1"/>
          <w14:textFill>
            <w14:solidFill>
              <w14:schemeClr w14:val="tx1"/>
            </w14:solidFill>
          </w14:textFill>
        </w:rPr>
        <w:t>委托之日</w:t>
      </w:r>
      <w:r>
        <w:rPr>
          <w:rFonts w:hint="eastAsia" w:ascii="仿宋_GB2312" w:eastAsia="仿宋_GB2312"/>
          <w:color w:val="000000" w:themeColor="text1"/>
          <w:lang w:val="en-US" w:eastAsia="zh-CN"/>
          <w14:textFill>
            <w14:solidFill>
              <w14:schemeClr w14:val="tx1"/>
            </w14:solidFill>
          </w14:textFill>
        </w:rPr>
        <w:t>2021年3月25日</w:t>
      </w:r>
      <w:r>
        <w:rPr>
          <w:rFonts w:hint="eastAsia" w:ascii="仿宋_GB2312" w:eastAsia="仿宋_GB2312"/>
          <w:color w:val="000000" w:themeColor="text1"/>
          <w14:textFill>
            <w14:solidFill>
              <w14:schemeClr w14:val="tx1"/>
            </w14:solidFill>
          </w14:textFill>
        </w:rPr>
        <w:t>为价值时点</w:t>
      </w:r>
      <w:r>
        <w:rPr>
          <w:rStyle w:val="28"/>
          <w:rFonts w:hint="eastAsia"/>
          <w:color w:val="000000" w:themeColor="text1"/>
          <w14:textFill>
            <w14:solidFill>
              <w14:schemeClr w14:val="tx1"/>
            </w14:solidFill>
          </w14:textFill>
        </w:rPr>
        <w:t>。</w:t>
      </w:r>
    </w:p>
    <w:p>
      <w:pPr>
        <w:spacing w:line="360" w:lineRule="auto"/>
        <w:ind w:firstLine="560" w:firstLineChars="200"/>
        <w:rPr>
          <w:rFonts w:ascii="仿宋_GB2312" w:hAnsi="黑体" w:eastAsia="仿宋_GB2312"/>
          <w:color w:val="000000" w:themeColor="text1"/>
          <w14:textFill>
            <w14:solidFill>
              <w14:schemeClr w14:val="tx1"/>
            </w14:solidFill>
          </w14:textFill>
        </w:rPr>
      </w:pPr>
      <w:bookmarkStart w:id="70" w:name="_Toc608"/>
      <w:bookmarkStart w:id="71" w:name="_Toc437265337"/>
      <w:r>
        <w:rPr>
          <w:rStyle w:val="27"/>
          <w:rFonts w:hint="eastAsia" w:ascii="仿宋_GB2312" w:hAnsi="仿宋_GB2312" w:eastAsia="仿宋_GB2312" w:cs="仿宋_GB2312"/>
          <w:b w:val="0"/>
          <w:bCs/>
          <w:color w:val="000000" w:themeColor="text1"/>
          <w:sz w:val="28"/>
          <w:szCs w:val="28"/>
          <w14:textFill>
            <w14:solidFill>
              <w14:schemeClr w14:val="tx1"/>
            </w14:solidFill>
          </w14:textFill>
        </w:rPr>
        <w:t>（六）价值类型</w:t>
      </w:r>
      <w:bookmarkEnd w:id="70"/>
      <w:bookmarkEnd w:id="71"/>
    </w:p>
    <w:p>
      <w:pPr>
        <w:spacing w:line="600" w:lineRule="exact"/>
        <w:ind w:firstLine="56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1、价值类型：市场价值，</w:t>
      </w:r>
      <w:r>
        <w:rPr>
          <w:rStyle w:val="28"/>
          <w:rFonts w:hint="eastAsia" w:ascii="仿宋_GB2312"/>
          <w:color w:val="000000" w:themeColor="text1"/>
          <w14:textFill>
            <w14:solidFill>
              <w14:schemeClr w14:val="tx1"/>
            </w14:solidFill>
          </w14:textFill>
        </w:rPr>
        <w:t>房地产市场价值是指估价对象于价值时点在公开市场上的最可能形成或成立的价格。</w:t>
      </w:r>
      <w:r>
        <w:rPr>
          <w:rStyle w:val="28"/>
          <w:rFonts w:hint="eastAsia"/>
          <w:color w:val="000000" w:themeColor="text1"/>
          <w14:textFill>
            <w14:solidFill>
              <w14:schemeClr w14:val="tx1"/>
            </w14:solidFill>
          </w14:textFill>
        </w:rPr>
        <w:t>本估价报告估价结果是在公开市场标准及满足估价的假设和限制条件下的价值</w:t>
      </w:r>
      <w:r>
        <w:rPr>
          <w:rFonts w:hint="eastAsia" w:ascii="仿宋_GB2312" w:eastAsia="仿宋_GB2312"/>
          <w:color w:val="000000" w:themeColor="text1"/>
          <w14:textFill>
            <w14:solidFill>
              <w14:schemeClr w14:val="tx1"/>
            </w14:solidFill>
          </w14:textFill>
        </w:rPr>
        <w:t>。</w:t>
      </w:r>
    </w:p>
    <w:p>
      <w:pPr>
        <w:spacing w:line="360" w:lineRule="auto"/>
        <w:ind w:firstLine="56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2、本估价报告的市场价值内涵为：在满足“估价的假设前提和限制条件</w:t>
      </w:r>
      <w:r>
        <w:rPr>
          <w:rFonts w:ascii="仿宋_GB2312" w:eastAsia="仿宋_GB2312"/>
          <w:color w:val="000000" w:themeColor="text1"/>
          <w14:textFill>
            <w14:solidFill>
              <w14:schemeClr w14:val="tx1"/>
            </w14:solidFill>
          </w14:textFill>
        </w:rPr>
        <w:t>”</w:t>
      </w:r>
      <w:r>
        <w:rPr>
          <w:rFonts w:hint="eastAsia" w:ascii="仿宋_GB2312" w:eastAsia="仿宋_GB2312"/>
          <w:color w:val="000000" w:themeColor="text1"/>
          <w14:textFill>
            <w14:solidFill>
              <w14:schemeClr w14:val="tx1"/>
            </w14:solidFill>
          </w14:textFill>
        </w:rPr>
        <w:t>的前提下，包含估价对象房屋所有权价值、不可移动的装饰装修、附属设施设备及其占用范围内应分摊的建设用地使用权价值。本次估价未考虑处置交易时当事双方各自应负担的税费、手续费等相关税费。</w:t>
      </w:r>
    </w:p>
    <w:p>
      <w:pPr>
        <w:spacing w:line="360" w:lineRule="auto"/>
        <w:ind w:firstLine="56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3、本次估价结果包括估价对象分摊占用的国有土地使用权，价值时点至剩余使用年限,土地开发程度为宗地外“六通”（通上水、通下水、通电、通讯、通路、通气）、宗地内“</w:t>
      </w:r>
      <w:r>
        <w:rPr>
          <w:rFonts w:hint="eastAsia" w:ascii="仿宋_GB2312" w:eastAsia="仿宋_GB2312"/>
          <w:color w:val="000000" w:themeColor="text1"/>
          <w:lang w:eastAsia="zh-CN"/>
          <w14:textFill>
            <w14:solidFill>
              <w14:schemeClr w14:val="tx1"/>
            </w14:solidFill>
          </w14:textFill>
        </w:rPr>
        <w:t>五</w:t>
      </w:r>
      <w:r>
        <w:rPr>
          <w:rFonts w:hint="eastAsia" w:ascii="仿宋_GB2312" w:eastAsia="仿宋_GB2312"/>
          <w:color w:val="000000" w:themeColor="text1"/>
          <w14:textFill>
            <w14:solidFill>
              <w14:schemeClr w14:val="tx1"/>
            </w14:solidFill>
          </w14:textFill>
        </w:rPr>
        <w:t>通一平”（通上水、通下水、通电、通讯、通路及场地平整）。</w:t>
      </w:r>
    </w:p>
    <w:p>
      <w:pPr>
        <w:spacing w:line="360" w:lineRule="auto"/>
        <w:ind w:firstLine="56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4、币种为人民币，本估价结果中单价取整至</w:t>
      </w:r>
      <w:bookmarkStart w:id="72" w:name="OLE_LINK12"/>
      <w:r>
        <w:rPr>
          <w:rFonts w:hint="eastAsia" w:ascii="仿宋_GB2312" w:eastAsia="仿宋_GB2312"/>
          <w:color w:val="000000" w:themeColor="text1"/>
          <w14:textFill>
            <w14:solidFill>
              <w14:schemeClr w14:val="tx1"/>
            </w14:solidFill>
          </w14:textFill>
        </w:rPr>
        <w:t>十</w:t>
      </w:r>
      <w:bookmarkEnd w:id="72"/>
      <w:r>
        <w:rPr>
          <w:rFonts w:hint="eastAsia" w:ascii="仿宋_GB2312" w:eastAsia="仿宋_GB2312"/>
          <w:color w:val="000000" w:themeColor="text1"/>
          <w14:textFill>
            <w14:solidFill>
              <w14:schemeClr w14:val="tx1"/>
            </w14:solidFill>
          </w14:textFill>
        </w:rPr>
        <w:t>元位，总价取整至百元位。</w:t>
      </w:r>
    </w:p>
    <w:p>
      <w:pPr>
        <w:spacing w:line="360" w:lineRule="auto"/>
        <w:ind w:firstLine="560" w:firstLineChars="200"/>
        <w:rPr>
          <w:rFonts w:ascii="仿宋_GB2312" w:eastAsia="仿宋_GB2312"/>
          <w:color w:val="000000" w:themeColor="text1"/>
          <w14:textFill>
            <w14:solidFill>
              <w14:schemeClr w14:val="tx1"/>
            </w14:solidFill>
          </w14:textFill>
        </w:rPr>
      </w:pPr>
      <w:bookmarkStart w:id="73" w:name="_Toc437265338"/>
      <w:bookmarkStart w:id="74" w:name="_Toc817"/>
      <w:r>
        <w:rPr>
          <w:rStyle w:val="27"/>
          <w:rFonts w:hint="eastAsia" w:ascii="仿宋_GB2312" w:hAnsi="仿宋_GB2312" w:eastAsia="仿宋_GB2312" w:cs="仿宋_GB2312"/>
          <w:b w:val="0"/>
          <w:bCs/>
          <w:color w:val="000000" w:themeColor="text1"/>
          <w:sz w:val="28"/>
          <w:szCs w:val="28"/>
          <w14:textFill>
            <w14:solidFill>
              <w14:schemeClr w14:val="tx1"/>
            </w14:solidFill>
          </w14:textFill>
        </w:rPr>
        <w:t>（七）估价原则</w:t>
      </w:r>
      <w:bookmarkEnd w:id="73"/>
      <w:bookmarkEnd w:id="74"/>
    </w:p>
    <w:p>
      <w:pPr>
        <w:spacing w:line="360" w:lineRule="auto"/>
        <w:ind w:firstLine="560" w:firstLineChars="200"/>
        <w:rPr>
          <w:rFonts w:ascii="仿宋_GB2312" w:hAnsi="黑体"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本估价报告遵循的房地产估价原则有：独立、客观、公正、合法原则、价值时点原则、替代原则、最高最佳利用原则，并结合估价目的对估价对象进行评估</w:t>
      </w:r>
      <w:r>
        <w:rPr>
          <w:rFonts w:hint="eastAsia" w:ascii="仿宋_GB2312" w:hAnsi="黑体" w:eastAsia="仿宋_GB2312"/>
          <w:color w:val="000000" w:themeColor="text1"/>
          <w14:textFill>
            <w14:solidFill>
              <w14:schemeClr w14:val="tx1"/>
            </w14:solidFill>
          </w14:textFill>
        </w:rPr>
        <w:t>。</w:t>
      </w:r>
    </w:p>
    <w:p>
      <w:pPr>
        <w:spacing w:line="360" w:lineRule="auto"/>
        <w:rPr>
          <w:rFonts w:ascii="仿宋_GB2312" w:hAnsi="黑体" w:eastAsia="仿宋_GB2312"/>
          <w:color w:val="000000" w:themeColor="text1"/>
          <w14:textFill>
            <w14:solidFill>
              <w14:schemeClr w14:val="tx1"/>
            </w14:solidFill>
          </w14:textFill>
        </w:rPr>
      </w:pPr>
      <w:r>
        <w:rPr>
          <w:rFonts w:hint="eastAsia" w:ascii="仿宋_GB2312" w:hAnsi="黑体" w:eastAsia="仿宋_GB2312"/>
          <w:color w:val="000000" w:themeColor="text1"/>
          <w14:textFill>
            <w14:solidFill>
              <w14:schemeClr w14:val="tx1"/>
            </w14:solidFill>
          </w14:textFill>
        </w:rPr>
        <w:t xml:space="preserve">    1、遵循独立、客观、公正原则，评估价值应为对各方估价利害关系人均是公平合理的价值或价格。</w:t>
      </w:r>
    </w:p>
    <w:p>
      <w:pPr>
        <w:spacing w:line="360" w:lineRule="auto"/>
        <w:rPr>
          <w:rFonts w:ascii="仿宋_GB2312" w:hAnsi="黑体" w:eastAsia="仿宋_GB2312"/>
          <w:color w:val="000000" w:themeColor="text1"/>
          <w14:textFill>
            <w14:solidFill>
              <w14:schemeClr w14:val="tx1"/>
            </w14:solidFill>
          </w14:textFill>
        </w:rPr>
      </w:pPr>
      <w:r>
        <w:rPr>
          <w:rFonts w:hint="eastAsia" w:ascii="仿宋_GB2312" w:hAnsi="黑体" w:eastAsia="仿宋_GB2312"/>
          <w:color w:val="000000" w:themeColor="text1"/>
          <w14:textFill>
            <w14:solidFill>
              <w14:schemeClr w14:val="tx1"/>
            </w14:solidFill>
          </w14:textFill>
        </w:rPr>
        <w:t xml:space="preserve">    2、遵循合法原则，评估价值应为在依法判定的估价对象状况下的价值或价格。</w:t>
      </w:r>
    </w:p>
    <w:p>
      <w:pPr>
        <w:spacing w:line="360" w:lineRule="auto"/>
        <w:rPr>
          <w:rFonts w:ascii="仿宋_GB2312" w:hAnsi="黑体" w:eastAsia="仿宋_GB2312"/>
          <w:color w:val="000000" w:themeColor="text1"/>
          <w14:textFill>
            <w14:solidFill>
              <w14:schemeClr w14:val="tx1"/>
            </w14:solidFill>
          </w14:textFill>
        </w:rPr>
      </w:pPr>
      <w:r>
        <w:rPr>
          <w:rFonts w:hint="eastAsia" w:ascii="仿宋_GB2312" w:hAnsi="黑体" w:eastAsia="仿宋_GB2312"/>
          <w:color w:val="000000" w:themeColor="text1"/>
          <w14:textFill>
            <w14:solidFill>
              <w14:schemeClr w14:val="tx1"/>
            </w14:solidFill>
          </w14:textFill>
        </w:rPr>
        <w:t xml:space="preserve">    3、遵循价值时点原则，评估价值应为在根据估价目的确定的某一特定时间的价值或价格。</w:t>
      </w:r>
    </w:p>
    <w:p>
      <w:pPr>
        <w:spacing w:line="360" w:lineRule="auto"/>
        <w:rPr>
          <w:rFonts w:ascii="仿宋_GB2312" w:hAnsi="黑体" w:eastAsia="仿宋_GB2312"/>
          <w:color w:val="000000" w:themeColor="text1"/>
          <w14:textFill>
            <w14:solidFill>
              <w14:schemeClr w14:val="tx1"/>
            </w14:solidFill>
          </w14:textFill>
        </w:rPr>
      </w:pPr>
      <w:r>
        <w:rPr>
          <w:rFonts w:hint="eastAsia" w:ascii="仿宋_GB2312" w:hAnsi="黑体" w:eastAsia="仿宋_GB2312"/>
          <w:color w:val="000000" w:themeColor="text1"/>
          <w14:textFill>
            <w14:solidFill>
              <w14:schemeClr w14:val="tx1"/>
            </w14:solidFill>
          </w14:textFill>
        </w:rPr>
        <w:t xml:space="preserve">    4、遵循替代原则，评估价值与估价对象的类似房地产在同等条件下的价值或价格偏差应在合理范围内。</w:t>
      </w:r>
    </w:p>
    <w:p>
      <w:pPr>
        <w:spacing w:line="360" w:lineRule="auto"/>
        <w:ind w:firstLine="560"/>
        <w:rPr>
          <w:rFonts w:ascii="仿宋_GB2312" w:hAnsi="黑体" w:eastAsia="仿宋_GB2312"/>
          <w:color w:val="000000" w:themeColor="text1"/>
          <w14:textFill>
            <w14:solidFill>
              <w14:schemeClr w14:val="tx1"/>
            </w14:solidFill>
          </w14:textFill>
        </w:rPr>
      </w:pPr>
      <w:r>
        <w:rPr>
          <w:rFonts w:hint="eastAsia" w:ascii="仿宋_GB2312" w:hAnsi="黑体" w:eastAsia="仿宋_GB2312"/>
          <w:color w:val="000000" w:themeColor="text1"/>
          <w14:textFill>
            <w14:solidFill>
              <w14:schemeClr w14:val="tx1"/>
            </w14:solidFill>
          </w14:textFill>
        </w:rPr>
        <w:t>5、遵循最高最佳利用原则。评估价值应为在估价对象最高最佳利用状况下的价值或价格。</w:t>
      </w:r>
    </w:p>
    <w:p>
      <w:pPr>
        <w:spacing w:line="360" w:lineRule="auto"/>
        <w:ind w:firstLine="560" w:firstLineChars="200"/>
        <w:rPr>
          <w:rStyle w:val="27"/>
          <w:rFonts w:hint="eastAsia" w:ascii="仿宋_GB2312" w:hAnsi="仿宋_GB2312" w:eastAsia="仿宋_GB2312" w:cs="仿宋_GB2312"/>
          <w:b w:val="0"/>
          <w:bCs/>
          <w:color w:val="000000" w:themeColor="text1"/>
          <w:sz w:val="28"/>
          <w:szCs w:val="28"/>
          <w14:textFill>
            <w14:solidFill>
              <w14:schemeClr w14:val="tx1"/>
            </w14:solidFill>
          </w14:textFill>
        </w:rPr>
      </w:pPr>
      <w:bookmarkStart w:id="75" w:name="_Toc437265339"/>
      <w:bookmarkStart w:id="76" w:name="_Toc2500"/>
      <w:r>
        <w:rPr>
          <w:rStyle w:val="27"/>
          <w:rFonts w:hint="eastAsia" w:ascii="仿宋_GB2312" w:hAnsi="仿宋_GB2312" w:eastAsia="仿宋_GB2312" w:cs="仿宋_GB2312"/>
          <w:b w:val="0"/>
          <w:bCs/>
          <w:color w:val="000000" w:themeColor="text1"/>
          <w:sz w:val="28"/>
          <w:szCs w:val="28"/>
          <w14:textFill>
            <w14:solidFill>
              <w14:schemeClr w14:val="tx1"/>
            </w14:solidFill>
          </w14:textFill>
        </w:rPr>
        <w:t>（八）估价依据</w:t>
      </w:r>
      <w:bookmarkEnd w:id="75"/>
    </w:p>
    <w:bookmarkEnd w:id="76"/>
    <w:p>
      <w:pPr>
        <w:spacing w:line="360" w:lineRule="auto"/>
        <w:ind w:firstLine="560"/>
        <w:rPr>
          <w:rFonts w:ascii="仿宋_GB2312" w:hAnsi="黑体" w:eastAsia="仿宋_GB2312"/>
          <w:color w:val="000000" w:themeColor="text1"/>
          <w14:textFill>
            <w14:solidFill>
              <w14:schemeClr w14:val="tx1"/>
            </w14:solidFill>
          </w14:textFill>
        </w:rPr>
      </w:pPr>
      <w:r>
        <w:rPr>
          <w:rFonts w:hint="eastAsia" w:ascii="仿宋_GB2312" w:hAnsi="黑体" w:eastAsia="仿宋_GB2312"/>
          <w:color w:val="000000" w:themeColor="text1"/>
          <w14:textFill>
            <w14:solidFill>
              <w14:schemeClr w14:val="tx1"/>
            </w14:solidFill>
          </w14:textFill>
        </w:rPr>
        <w:t>1、本次评估依据的国家和地方的法律、法规和文件</w:t>
      </w:r>
    </w:p>
    <w:p>
      <w:pPr>
        <w:spacing w:line="360" w:lineRule="auto"/>
        <w:ind w:firstLine="560"/>
        <w:rPr>
          <w:rFonts w:ascii="仿宋_GB2312" w:hAnsi="黑体" w:eastAsia="仿宋_GB2312"/>
          <w:color w:val="000000" w:themeColor="text1"/>
          <w14:textFill>
            <w14:solidFill>
              <w14:schemeClr w14:val="tx1"/>
            </w14:solidFill>
          </w14:textFill>
        </w:rPr>
      </w:pPr>
      <w:r>
        <w:rPr>
          <w:rFonts w:hint="eastAsia" w:ascii="仿宋_GB2312" w:hAnsi="黑体" w:eastAsia="仿宋_GB2312"/>
          <w:color w:val="000000" w:themeColor="text1"/>
          <w14:textFill>
            <w14:solidFill>
              <w14:schemeClr w14:val="tx1"/>
            </w14:solidFill>
          </w14:textFill>
        </w:rPr>
        <w:t>（1）</w:t>
      </w:r>
      <w:r>
        <w:rPr>
          <w:rFonts w:hint="eastAsia" w:ascii="仿宋_GB2312" w:eastAsia="仿宋_GB2312"/>
          <w:sz w:val="28"/>
        </w:rPr>
        <w:t>《中华人民共和国民法典》</w:t>
      </w:r>
      <w:r>
        <w:rPr>
          <w:rFonts w:hint="eastAsia" w:ascii="仿宋_GB2312" w:hAnsi="黑体" w:eastAsia="仿宋_GB2312"/>
          <w:color w:val="000000" w:themeColor="text1"/>
          <w14:textFill>
            <w14:solidFill>
              <w14:schemeClr w14:val="tx1"/>
            </w14:solidFill>
          </w14:textFill>
        </w:rPr>
        <w:t>（2020年5月28日第十三届全国人民代表大会第三次会议通过，自2021年1月1日起实施）</w:t>
      </w:r>
    </w:p>
    <w:p>
      <w:pPr>
        <w:spacing w:line="360" w:lineRule="auto"/>
        <w:ind w:firstLine="560"/>
        <w:rPr>
          <w:rFonts w:ascii="仿宋_GB2312" w:hAnsi="黑体" w:eastAsia="仿宋_GB2312"/>
          <w:color w:val="000000" w:themeColor="text1"/>
          <w14:textFill>
            <w14:solidFill>
              <w14:schemeClr w14:val="tx1"/>
            </w14:solidFill>
          </w14:textFill>
        </w:rPr>
      </w:pPr>
      <w:r>
        <w:rPr>
          <w:rFonts w:hint="eastAsia" w:ascii="仿宋_GB2312" w:hAnsi="黑体" w:eastAsia="仿宋_GB2312"/>
          <w:color w:val="000000" w:themeColor="text1"/>
          <w14:textFill>
            <w14:solidFill>
              <w14:schemeClr w14:val="tx1"/>
            </w14:solidFill>
          </w14:textFill>
        </w:rPr>
        <w:t>（2）《中华人民共和国城市房地产管理法》（主席令第72号，2007年3月30日）</w:t>
      </w:r>
    </w:p>
    <w:p>
      <w:pPr>
        <w:spacing w:line="360" w:lineRule="auto"/>
        <w:ind w:firstLine="560"/>
        <w:rPr>
          <w:rFonts w:ascii="仿宋_GB2312" w:hAnsi="黑体" w:eastAsia="仿宋_GB2312"/>
          <w:color w:val="000000" w:themeColor="text1"/>
          <w14:textFill>
            <w14:solidFill>
              <w14:schemeClr w14:val="tx1"/>
            </w14:solidFill>
          </w14:textFill>
        </w:rPr>
      </w:pPr>
      <w:r>
        <w:rPr>
          <w:rFonts w:hint="eastAsia" w:ascii="仿宋_GB2312" w:hAnsi="黑体" w:eastAsia="仿宋_GB2312"/>
          <w:color w:val="000000" w:themeColor="text1"/>
          <w14:textFill>
            <w14:solidFill>
              <w14:schemeClr w14:val="tx1"/>
            </w14:solidFill>
          </w14:textFill>
        </w:rPr>
        <w:t>（3）《中国人民共和国土地管理法》（主席令第28号，2004年8月28日）</w:t>
      </w:r>
    </w:p>
    <w:p>
      <w:pPr>
        <w:spacing w:line="360" w:lineRule="auto"/>
        <w:ind w:firstLine="560"/>
        <w:rPr>
          <w:rFonts w:ascii="仿宋_GB2312" w:hAnsi="黑体" w:eastAsia="仿宋_GB2312"/>
          <w:color w:val="000000" w:themeColor="text1"/>
          <w14:textFill>
            <w14:solidFill>
              <w14:schemeClr w14:val="tx1"/>
            </w14:solidFill>
          </w14:textFill>
        </w:rPr>
      </w:pPr>
      <w:r>
        <w:rPr>
          <w:rFonts w:hint="eastAsia" w:ascii="仿宋_GB2312" w:hAnsi="黑体" w:eastAsia="仿宋_GB2312"/>
          <w:color w:val="000000" w:themeColor="text1"/>
          <w14:textFill>
            <w14:solidFill>
              <w14:schemeClr w14:val="tx1"/>
            </w14:solidFill>
          </w14:textFill>
        </w:rPr>
        <w:t>（4）《中华人民共和国城乡规划法》（主席令第74号，2007年10月28日）</w:t>
      </w:r>
    </w:p>
    <w:p>
      <w:pPr>
        <w:spacing w:line="360" w:lineRule="auto"/>
        <w:ind w:firstLine="560"/>
        <w:rPr>
          <w:rFonts w:ascii="仿宋_GB2312" w:hAnsi="黑体" w:eastAsia="仿宋_GB2312"/>
          <w:color w:val="000000" w:themeColor="text1"/>
          <w14:textFill>
            <w14:solidFill>
              <w14:schemeClr w14:val="tx1"/>
            </w14:solidFill>
          </w14:textFill>
        </w:rPr>
      </w:pPr>
      <w:r>
        <w:rPr>
          <w:rFonts w:hint="eastAsia" w:ascii="仿宋_GB2312" w:hAnsi="黑体" w:eastAsia="仿宋_GB2312"/>
          <w:color w:val="000000" w:themeColor="text1"/>
          <w14:textFill>
            <w14:solidFill>
              <w14:schemeClr w14:val="tx1"/>
            </w14:solidFill>
          </w14:textFill>
        </w:rPr>
        <w:t>（5）《中华人民共和国担保法》（主席令第50号，1995年6月30日）</w:t>
      </w:r>
    </w:p>
    <w:p>
      <w:pPr>
        <w:spacing w:line="360" w:lineRule="auto"/>
        <w:ind w:firstLine="560"/>
        <w:rPr>
          <w:rFonts w:ascii="仿宋_GB2312" w:hAnsi="黑体" w:eastAsia="仿宋_GB2312"/>
          <w:color w:val="000000" w:themeColor="text1"/>
          <w14:textFill>
            <w14:solidFill>
              <w14:schemeClr w14:val="tx1"/>
            </w14:solidFill>
          </w14:textFill>
        </w:rPr>
      </w:pPr>
      <w:r>
        <w:rPr>
          <w:rFonts w:hint="eastAsia" w:ascii="仿宋_GB2312" w:hAnsi="黑体" w:eastAsia="仿宋_GB2312"/>
          <w:color w:val="000000" w:themeColor="text1"/>
          <w14:textFill>
            <w14:solidFill>
              <w14:schemeClr w14:val="tx1"/>
            </w14:solidFill>
          </w14:textFill>
        </w:rPr>
        <w:t>（6）《中华人民共和国拍卖法》 （主席令第23号，2004年8月28日）</w:t>
      </w:r>
    </w:p>
    <w:p>
      <w:pPr>
        <w:spacing w:line="360" w:lineRule="auto"/>
        <w:ind w:firstLine="560"/>
        <w:rPr>
          <w:rFonts w:ascii="仿宋_GB2312" w:hAnsi="黑体" w:eastAsia="仿宋_GB2312"/>
          <w:color w:val="000000" w:themeColor="text1"/>
          <w14:textFill>
            <w14:solidFill>
              <w14:schemeClr w14:val="tx1"/>
            </w14:solidFill>
          </w14:textFill>
        </w:rPr>
      </w:pPr>
      <w:r>
        <w:rPr>
          <w:rFonts w:hint="eastAsia" w:ascii="仿宋_GB2312" w:hAnsi="黑体" w:eastAsia="仿宋_GB2312"/>
          <w:color w:val="000000" w:themeColor="text1"/>
          <w14:textFill>
            <w14:solidFill>
              <w14:schemeClr w14:val="tx1"/>
            </w14:solidFill>
          </w14:textFill>
        </w:rPr>
        <w:t>（7）《中华人民共和国资产评估法》（主席令第46号，2016年7月2日）</w:t>
      </w:r>
    </w:p>
    <w:p>
      <w:pPr>
        <w:spacing w:line="360" w:lineRule="auto"/>
        <w:ind w:firstLine="560"/>
        <w:rPr>
          <w:rFonts w:ascii="仿宋_GB2312" w:hAnsi="黑体" w:eastAsia="仿宋_GB2312"/>
          <w:color w:val="000000" w:themeColor="text1"/>
          <w14:textFill>
            <w14:solidFill>
              <w14:schemeClr w14:val="tx1"/>
            </w14:solidFill>
          </w14:textFill>
        </w:rPr>
      </w:pPr>
      <w:r>
        <w:rPr>
          <w:rFonts w:hint="eastAsia" w:ascii="仿宋_GB2312" w:hAnsi="黑体" w:eastAsia="仿宋_GB2312"/>
          <w:color w:val="000000" w:themeColor="text1"/>
          <w14:textFill>
            <w14:solidFill>
              <w14:schemeClr w14:val="tx1"/>
            </w14:solidFill>
          </w14:textFill>
        </w:rPr>
        <w:t>（8）《最高人民法院关于人民法院委托评估、拍卖工作的若干规定》法释[2011]21号，2010年8月16日。</w:t>
      </w:r>
    </w:p>
    <w:p>
      <w:pPr>
        <w:spacing w:line="360" w:lineRule="auto"/>
        <w:ind w:firstLine="560"/>
        <w:rPr>
          <w:rFonts w:ascii="仿宋_GB2312" w:hAnsi="黑体" w:eastAsia="仿宋_GB2312"/>
          <w:color w:val="000000" w:themeColor="text1"/>
          <w14:textFill>
            <w14:solidFill>
              <w14:schemeClr w14:val="tx1"/>
            </w14:solidFill>
          </w14:textFill>
        </w:rPr>
      </w:pPr>
      <w:r>
        <w:rPr>
          <w:rFonts w:hint="eastAsia" w:ascii="仿宋_GB2312" w:hAnsi="黑体" w:eastAsia="仿宋_GB2312"/>
          <w:color w:val="000000" w:themeColor="text1"/>
          <w14:textFill>
            <w14:solidFill>
              <w14:schemeClr w14:val="tx1"/>
            </w14:solidFill>
          </w14:textFill>
        </w:rPr>
        <w:t>（9）最高人民法院关于实施《最高人民法院关于人民法院委托评估、拍卖工作的若干规定》有关问题的通知（法[2012]30号），2012年2月6日。</w:t>
      </w:r>
    </w:p>
    <w:p>
      <w:pPr>
        <w:spacing w:line="360" w:lineRule="auto"/>
        <w:ind w:firstLine="560"/>
        <w:rPr>
          <w:rFonts w:ascii="仿宋_GB2312" w:hAnsi="黑体" w:eastAsia="仿宋_GB2312"/>
          <w:color w:val="000000" w:themeColor="text1"/>
          <w14:textFill>
            <w14:solidFill>
              <w14:schemeClr w14:val="tx1"/>
            </w14:solidFill>
          </w14:textFill>
        </w:rPr>
      </w:pPr>
      <w:r>
        <w:rPr>
          <w:rFonts w:hint="eastAsia" w:ascii="仿宋_GB2312" w:hAnsi="黑体" w:eastAsia="仿宋_GB2312"/>
          <w:color w:val="000000" w:themeColor="text1"/>
          <w14:textFill>
            <w14:solidFill>
              <w14:schemeClr w14:val="tx1"/>
            </w14:solidFill>
          </w14:textFill>
        </w:rPr>
        <w:t>（10)《四川省高级人民法院委托鉴定管理办法》和《四川省高级人民法院委托评估、拍卖和变卖管理办法》（川高发[2011]177号），2011年4月11日</w:t>
      </w:r>
    </w:p>
    <w:p>
      <w:pPr>
        <w:spacing w:line="360" w:lineRule="auto"/>
        <w:ind w:firstLine="560"/>
        <w:rPr>
          <w:rFonts w:hint="eastAsia" w:ascii="仿宋_GB2312" w:hAnsi="黑体" w:eastAsia="仿宋_GB2312"/>
          <w:color w:val="000000" w:themeColor="text1"/>
          <w14:textFill>
            <w14:solidFill>
              <w14:schemeClr w14:val="tx1"/>
            </w14:solidFill>
          </w14:textFill>
        </w:rPr>
      </w:pPr>
      <w:r>
        <w:rPr>
          <w:rFonts w:hint="eastAsia" w:ascii="仿宋_GB2312" w:hAnsi="黑体" w:eastAsia="仿宋_GB2312"/>
          <w:color w:val="000000" w:themeColor="text1"/>
          <w14:textFill>
            <w14:solidFill>
              <w14:schemeClr w14:val="tx1"/>
            </w14:solidFill>
          </w14:textFill>
        </w:rPr>
        <w:t>（11）《四川高级人民法院关于执行[四川省高级人民法院委托评估、拍卖和变卖管理办法] 的补充规定》（川高发[2012]720号），2012年10月31日</w:t>
      </w:r>
    </w:p>
    <w:p>
      <w:pPr>
        <w:spacing w:line="360" w:lineRule="auto"/>
        <w:ind w:firstLine="560"/>
        <w:rPr>
          <w:rFonts w:ascii="仿宋_GB2312" w:hAnsi="黑体" w:eastAsia="仿宋_GB2312"/>
          <w:color w:val="000000" w:themeColor="text1"/>
          <w14:textFill>
            <w14:solidFill>
              <w14:schemeClr w14:val="tx1"/>
            </w14:solidFill>
          </w14:textFill>
        </w:rPr>
      </w:pPr>
      <w:r>
        <w:rPr>
          <w:rFonts w:hint="eastAsia" w:ascii="仿宋_GB2312" w:hAnsi="黑体" w:eastAsia="仿宋_GB2312"/>
          <w:color w:val="000000" w:themeColor="text1"/>
          <w14:textFill>
            <w14:solidFill>
              <w14:schemeClr w14:val="tx1"/>
            </w14:solidFill>
          </w14:textFill>
        </w:rPr>
        <w:t>2、采用技术规程</w:t>
      </w:r>
    </w:p>
    <w:p>
      <w:pPr>
        <w:spacing w:line="360" w:lineRule="auto"/>
        <w:ind w:firstLine="560"/>
        <w:rPr>
          <w:rFonts w:ascii="仿宋_GB2312" w:hAnsi="黑体" w:eastAsia="仿宋_GB2312"/>
          <w:color w:val="000000" w:themeColor="text1"/>
          <w14:textFill>
            <w14:solidFill>
              <w14:schemeClr w14:val="tx1"/>
            </w14:solidFill>
          </w14:textFill>
        </w:rPr>
      </w:pPr>
      <w:r>
        <w:rPr>
          <w:rFonts w:hint="eastAsia" w:ascii="仿宋_GB2312" w:hAnsi="黑体" w:eastAsia="仿宋_GB2312"/>
          <w:color w:val="000000" w:themeColor="text1"/>
          <w14:textFill>
            <w14:solidFill>
              <w14:schemeClr w14:val="tx1"/>
            </w14:solidFill>
          </w14:textFill>
        </w:rPr>
        <w:t>（1）《房地产估价规范》（GB/T50291-2015）</w:t>
      </w:r>
    </w:p>
    <w:p>
      <w:pPr>
        <w:spacing w:line="360" w:lineRule="auto"/>
        <w:ind w:firstLine="560"/>
        <w:rPr>
          <w:rFonts w:ascii="仿宋_GB2312" w:hAnsi="黑体" w:eastAsia="仿宋_GB2312"/>
          <w:color w:val="000000" w:themeColor="text1"/>
          <w14:textFill>
            <w14:solidFill>
              <w14:schemeClr w14:val="tx1"/>
            </w14:solidFill>
          </w14:textFill>
        </w:rPr>
      </w:pPr>
      <w:r>
        <w:rPr>
          <w:rFonts w:hint="eastAsia" w:ascii="仿宋_GB2312" w:hAnsi="黑体" w:eastAsia="仿宋_GB2312"/>
          <w:color w:val="000000" w:themeColor="text1"/>
          <w14:textFill>
            <w14:solidFill>
              <w14:schemeClr w14:val="tx1"/>
            </w14:solidFill>
          </w14:textFill>
        </w:rPr>
        <w:t>（2）《房地产估价基本术语标准》GB/T50899-2013</w:t>
      </w:r>
    </w:p>
    <w:p>
      <w:pPr>
        <w:spacing w:line="360" w:lineRule="auto"/>
        <w:ind w:firstLine="560"/>
        <w:rPr>
          <w:rFonts w:hint="eastAsia" w:ascii="仿宋_GB2312" w:hAnsi="黑体" w:eastAsia="仿宋_GB2312"/>
          <w:color w:val="000000" w:themeColor="text1"/>
          <w14:textFill>
            <w14:solidFill>
              <w14:schemeClr w14:val="tx1"/>
            </w14:solidFill>
          </w14:textFill>
        </w:rPr>
      </w:pPr>
      <w:r>
        <w:rPr>
          <w:rFonts w:hint="eastAsia" w:ascii="仿宋_GB2312" w:hAnsi="黑体" w:eastAsia="仿宋_GB2312"/>
          <w:color w:val="000000" w:themeColor="text1"/>
          <w14:textFill>
            <w14:solidFill>
              <w14:schemeClr w14:val="tx1"/>
            </w14:solidFill>
          </w14:textFill>
        </w:rPr>
        <w:t>（3）《房地产司法鉴定评估指导意见》（试行）川建房法【2011】89号，2011年3月22日。</w:t>
      </w:r>
    </w:p>
    <w:p>
      <w:pPr>
        <w:spacing w:line="360" w:lineRule="auto"/>
        <w:ind w:firstLine="560"/>
        <w:rPr>
          <w:rFonts w:hint="eastAsia" w:ascii="仿宋_GB2312" w:hAnsi="黑体" w:eastAsia="仿宋_GB2312"/>
          <w:color w:val="000000" w:themeColor="text1"/>
          <w:lang w:eastAsia="zh-CN"/>
          <w14:textFill>
            <w14:solidFill>
              <w14:schemeClr w14:val="tx1"/>
            </w14:solidFill>
          </w14:textFill>
        </w:rPr>
      </w:pPr>
      <w:r>
        <w:rPr>
          <w:rFonts w:hint="eastAsia" w:ascii="仿宋_GB2312" w:hAnsi="黑体" w:eastAsia="仿宋_GB2312"/>
          <w:color w:val="000000" w:themeColor="text1"/>
          <w:lang w:eastAsia="zh-CN"/>
          <w14:textFill>
            <w14:solidFill>
              <w14:schemeClr w14:val="tx1"/>
            </w14:solidFill>
          </w14:textFill>
        </w:rPr>
        <w:t>（</w:t>
      </w:r>
      <w:r>
        <w:rPr>
          <w:rFonts w:hint="eastAsia" w:ascii="仿宋_GB2312" w:hAnsi="黑体" w:eastAsia="仿宋_GB2312"/>
          <w:color w:val="000000" w:themeColor="text1"/>
          <w:lang w:val="en-US" w:eastAsia="zh-CN"/>
          <w14:textFill>
            <w14:solidFill>
              <w14:schemeClr w14:val="tx1"/>
            </w14:solidFill>
          </w14:textFill>
        </w:rPr>
        <w:t>4</w:t>
      </w:r>
      <w:r>
        <w:rPr>
          <w:rFonts w:hint="eastAsia" w:ascii="仿宋_GB2312" w:hAnsi="黑体" w:eastAsia="仿宋_GB2312"/>
          <w:color w:val="000000" w:themeColor="text1"/>
          <w:lang w:eastAsia="zh-CN"/>
          <w14:textFill>
            <w14:solidFill>
              <w14:schemeClr w14:val="tx1"/>
            </w14:solidFill>
          </w14:textFill>
        </w:rPr>
        <w:t>）《最高人民法院关于人民法院确定财产处置参考价若干问题的规定》</w:t>
      </w:r>
      <w:r>
        <w:rPr>
          <w:rFonts w:hint="eastAsia" w:ascii="仿宋_GB2312" w:hAnsi="黑体" w:eastAsia="仿宋_GB2312"/>
          <w:color w:val="000000" w:themeColor="text1"/>
          <w:lang w:val="en-US" w:eastAsia="zh-CN"/>
          <w14:textFill>
            <w14:solidFill>
              <w14:schemeClr w14:val="tx1"/>
            </w14:solidFill>
          </w14:textFill>
        </w:rPr>
        <w:t xml:space="preserve">法释〔2018〕15号自2018年9月1日起施行 </w:t>
      </w:r>
      <w:r>
        <w:rPr>
          <w:rFonts w:hint="eastAsia" w:ascii="仿宋_GB2312" w:hAnsi="黑体" w:eastAsia="仿宋_GB2312"/>
          <w:color w:val="000000" w:themeColor="text1"/>
          <w:lang w:eastAsia="zh-CN"/>
          <w14:textFill>
            <w14:solidFill>
              <w14:schemeClr w14:val="tx1"/>
            </w14:solidFill>
          </w14:textFill>
        </w:rPr>
        <w:t>、《人民法院委托评估工作规范》</w:t>
      </w:r>
      <w:r>
        <w:rPr>
          <w:rFonts w:hint="eastAsia" w:ascii="仿宋_GB2312" w:hAnsi="黑体" w:eastAsia="仿宋_GB2312"/>
          <w:color w:val="000000" w:themeColor="text1"/>
          <w:lang w:val="en-US" w:eastAsia="zh-CN"/>
          <w14:textFill>
            <w14:solidFill>
              <w14:schemeClr w14:val="tx1"/>
            </w14:solidFill>
          </w14:textFill>
        </w:rPr>
        <w:t>〔2018〕273号</w:t>
      </w:r>
      <w:r>
        <w:rPr>
          <w:rFonts w:hint="eastAsia" w:ascii="仿宋_GB2312" w:hAnsi="黑体" w:eastAsia="仿宋_GB2312"/>
          <w:color w:val="000000" w:themeColor="text1"/>
          <w:lang w:eastAsia="zh-CN"/>
          <w14:textFill>
            <w14:solidFill>
              <w14:schemeClr w14:val="tx1"/>
            </w14:solidFill>
          </w14:textFill>
        </w:rPr>
        <w:t>、《人民法院委托涉执财产处置司法评估指导意见》、《涉执房地产处置司法评估指导意见（试行）》（</w:t>
      </w:r>
      <w:r>
        <w:rPr>
          <w:rFonts w:hint="eastAsia" w:ascii="仿宋_GB2312" w:hAnsi="黑体" w:eastAsia="仿宋_GB2312"/>
          <w:color w:val="000000" w:themeColor="text1"/>
          <w:lang w:val="en-US" w:eastAsia="zh-CN"/>
          <w14:textFill>
            <w14:solidFill>
              <w14:schemeClr w14:val="tx1"/>
            </w14:solidFill>
          </w14:textFill>
        </w:rPr>
        <w:t>中房学【2021】37号）</w:t>
      </w:r>
      <w:r>
        <w:rPr>
          <w:rFonts w:hint="eastAsia" w:ascii="仿宋_GB2312" w:hAnsi="黑体" w:eastAsia="仿宋_GB2312"/>
          <w:color w:val="000000" w:themeColor="text1"/>
          <w:lang w:eastAsia="zh-CN"/>
          <w14:textFill>
            <w14:solidFill>
              <w14:schemeClr w14:val="tx1"/>
            </w14:solidFill>
          </w14:textFill>
        </w:rPr>
        <w:t>。</w:t>
      </w:r>
    </w:p>
    <w:p>
      <w:pPr>
        <w:spacing w:line="360" w:lineRule="auto"/>
        <w:ind w:firstLine="560"/>
        <w:rPr>
          <w:rFonts w:ascii="仿宋_GB2312" w:hAnsi="黑体" w:eastAsia="仿宋_GB2312"/>
          <w:color w:val="000000" w:themeColor="text1"/>
          <w14:textFill>
            <w14:solidFill>
              <w14:schemeClr w14:val="tx1"/>
            </w14:solidFill>
          </w14:textFill>
        </w:rPr>
      </w:pPr>
      <w:r>
        <w:rPr>
          <w:rFonts w:hint="eastAsia" w:ascii="仿宋_GB2312" w:hAnsi="黑体" w:eastAsia="仿宋_GB2312"/>
          <w:color w:val="000000" w:themeColor="text1"/>
          <w14:textFill>
            <w14:solidFill>
              <w14:schemeClr w14:val="tx1"/>
            </w14:solidFill>
          </w14:textFill>
        </w:rPr>
        <w:t>3、估价委托人提供的有关材料</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_GB2312" w:hAnsi="黑体" w:eastAsia="仿宋_GB2312"/>
          <w:color w:val="000000" w:themeColor="text1"/>
          <w14:textFill>
            <w14:solidFill>
              <w14:schemeClr w14:val="tx1"/>
            </w14:solidFill>
          </w14:textFill>
        </w:rPr>
      </w:pPr>
      <w:r>
        <w:rPr>
          <w:rFonts w:hint="eastAsia" w:ascii="仿宋_GB2312" w:hAnsi="黑体" w:eastAsia="仿宋_GB2312"/>
          <w:color w:val="000000" w:themeColor="text1"/>
          <w14:textFill>
            <w14:solidFill>
              <w14:schemeClr w14:val="tx1"/>
            </w14:solidFill>
          </w14:textFill>
        </w:rPr>
        <w:t>（1）</w:t>
      </w:r>
      <w:r>
        <w:rPr>
          <w:rFonts w:hint="eastAsia" w:ascii="仿宋_GB2312" w:hAnsi="黑体" w:eastAsia="仿宋_GB2312"/>
          <w:color w:val="000000" w:themeColor="text1"/>
          <w:lang w:eastAsia="zh-CN"/>
          <w14:textFill>
            <w14:solidFill>
              <w14:schemeClr w14:val="tx1"/>
            </w14:solidFill>
          </w14:textFill>
        </w:rPr>
        <w:t>《四川省</w:t>
      </w:r>
      <w:r>
        <w:rPr>
          <w:rFonts w:hint="eastAsia" w:ascii="仿宋_GB2312" w:hAnsi="黑体" w:eastAsia="仿宋_GB2312"/>
          <w:color w:val="auto"/>
          <w:lang w:eastAsia="zh-CN"/>
        </w:rPr>
        <w:t>成都市中级人民法院委托书》（</w:t>
      </w:r>
      <w:r>
        <w:rPr>
          <w:rFonts w:hint="eastAsia" w:ascii="仿宋_GB2312" w:hAnsi="黑体" w:eastAsia="仿宋_GB2312"/>
          <w:color w:val="auto"/>
          <w:lang w:val="en-US" w:eastAsia="zh-CN"/>
        </w:rPr>
        <w:t>2021</w:t>
      </w:r>
      <w:r>
        <w:rPr>
          <w:rFonts w:hint="eastAsia" w:ascii="仿宋_GB2312" w:hAnsi="黑体" w:eastAsia="仿宋_GB2312"/>
          <w:color w:val="auto"/>
          <w:lang w:eastAsia="zh-CN"/>
        </w:rPr>
        <w:t>）川</w:t>
      </w:r>
      <w:r>
        <w:rPr>
          <w:rFonts w:hint="eastAsia" w:ascii="仿宋_GB2312" w:hAnsi="黑体" w:eastAsia="仿宋_GB2312"/>
          <w:color w:val="auto"/>
          <w:lang w:val="en-US" w:eastAsia="zh-CN"/>
        </w:rPr>
        <w:t>01执恢253号及附表</w:t>
      </w:r>
      <w:r>
        <w:rPr>
          <w:rFonts w:hint="eastAsia" w:ascii="仿宋_GB2312" w:hAnsi="黑体" w:eastAsia="仿宋_GB2312"/>
          <w:color w:val="auto"/>
        </w:rPr>
        <w:t>；</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_GB2312" w:hAnsi="黑体" w:eastAsia="仿宋_GB2312"/>
          <w:color w:val="000000" w:themeColor="text1"/>
          <w:lang w:eastAsia="zh-CN"/>
          <w14:textFill>
            <w14:solidFill>
              <w14:schemeClr w14:val="tx1"/>
            </w14:solidFill>
          </w14:textFill>
        </w:rPr>
      </w:pPr>
      <w:r>
        <w:rPr>
          <w:rFonts w:hint="eastAsia" w:ascii="仿宋_GB2312" w:hAnsi="黑体" w:eastAsia="仿宋_GB2312"/>
          <w:color w:val="000000" w:themeColor="text1"/>
          <w14:textFill>
            <w14:solidFill>
              <w14:schemeClr w14:val="tx1"/>
            </w14:solidFill>
          </w14:textFill>
        </w:rPr>
        <w:t>（</w:t>
      </w:r>
      <w:r>
        <w:rPr>
          <w:rFonts w:hint="eastAsia" w:ascii="仿宋_GB2312" w:hAnsi="黑体" w:eastAsia="仿宋_GB2312"/>
          <w:color w:val="000000" w:themeColor="text1"/>
          <w:lang w:val="en-US" w:eastAsia="zh-CN"/>
          <w14:textFill>
            <w14:solidFill>
              <w14:schemeClr w14:val="tx1"/>
            </w14:solidFill>
          </w14:textFill>
        </w:rPr>
        <w:t>2</w:t>
      </w:r>
      <w:r>
        <w:rPr>
          <w:rFonts w:hint="eastAsia" w:ascii="仿宋_GB2312" w:hAnsi="黑体" w:eastAsia="仿宋_GB2312"/>
          <w:color w:val="000000" w:themeColor="text1"/>
          <w14:textFill>
            <w14:solidFill>
              <w14:schemeClr w14:val="tx1"/>
            </w14:solidFill>
          </w14:textFill>
        </w:rPr>
        <w:t>）</w:t>
      </w:r>
      <w:r>
        <w:rPr>
          <w:rFonts w:hint="eastAsia" w:ascii="仿宋_GB2312" w:hAnsi="黑体" w:eastAsia="仿宋_GB2312"/>
          <w:color w:val="000000" w:themeColor="text1"/>
          <w:lang w:eastAsia="zh-CN"/>
          <w14:textFill>
            <w14:solidFill>
              <w14:schemeClr w14:val="tx1"/>
            </w14:solidFill>
          </w14:textFill>
        </w:rPr>
        <w:t>《自贡市自然资源和规划局不动产登记查询结果意见书》；</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_GB2312" w:hAnsi="黑体" w:eastAsia="仿宋_GB2312"/>
          <w:color w:val="000000" w:themeColor="text1"/>
          <w:lang w:eastAsia="zh-CN"/>
          <w14:textFill>
            <w14:solidFill>
              <w14:schemeClr w14:val="tx1"/>
            </w14:solidFill>
          </w14:textFill>
        </w:rPr>
      </w:pPr>
      <w:r>
        <w:rPr>
          <w:rFonts w:hint="eastAsia" w:ascii="仿宋_GB2312" w:hAnsi="黑体" w:eastAsia="仿宋_GB2312"/>
          <w:color w:val="000000" w:themeColor="text1"/>
          <w:lang w:eastAsia="zh-CN"/>
          <w14:textFill>
            <w14:solidFill>
              <w14:schemeClr w14:val="tx1"/>
            </w14:solidFill>
          </w14:textFill>
        </w:rPr>
        <w:t>（</w:t>
      </w:r>
      <w:r>
        <w:rPr>
          <w:rFonts w:hint="eastAsia" w:ascii="仿宋_GB2312" w:hAnsi="黑体" w:eastAsia="仿宋_GB2312"/>
          <w:color w:val="000000" w:themeColor="text1"/>
          <w:lang w:val="en-US" w:eastAsia="zh-CN"/>
          <w14:textFill>
            <w14:solidFill>
              <w14:schemeClr w14:val="tx1"/>
            </w14:solidFill>
          </w14:textFill>
        </w:rPr>
        <w:t>3</w:t>
      </w:r>
      <w:r>
        <w:rPr>
          <w:rFonts w:hint="eastAsia" w:ascii="仿宋_GB2312" w:hAnsi="黑体" w:eastAsia="仿宋_GB2312"/>
          <w:color w:val="000000" w:themeColor="text1"/>
          <w:lang w:eastAsia="zh-CN"/>
          <w14:textFill>
            <w14:solidFill>
              <w14:schemeClr w14:val="tx1"/>
            </w14:solidFill>
          </w14:textFill>
        </w:rPr>
        <w:t>）《龙湖金地广场未售车库清单》。</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ascii="仿宋_GB2312" w:hAnsi="黑体" w:eastAsia="仿宋_GB2312"/>
          <w:color w:val="000000" w:themeColor="text1"/>
          <w14:textFill>
            <w14:solidFill>
              <w14:schemeClr w14:val="tx1"/>
            </w14:solidFill>
          </w14:textFill>
        </w:rPr>
      </w:pPr>
      <w:r>
        <w:rPr>
          <w:rFonts w:hint="eastAsia" w:ascii="仿宋_GB2312" w:hAnsi="黑体" w:eastAsia="仿宋_GB2312"/>
          <w:color w:val="000000" w:themeColor="text1"/>
          <w14:textFill>
            <w14:solidFill>
              <w14:schemeClr w14:val="tx1"/>
            </w14:solidFill>
          </w14:textFill>
        </w:rPr>
        <w:t>4、注册房地产估价师掌握和收集的资料</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ascii="仿宋_GB2312" w:hAnsi="黑体" w:eastAsia="仿宋_GB2312"/>
          <w:color w:val="000000" w:themeColor="text1"/>
          <w14:textFill>
            <w14:solidFill>
              <w14:schemeClr w14:val="tx1"/>
            </w14:solidFill>
          </w14:textFill>
        </w:rPr>
      </w:pPr>
      <w:r>
        <w:rPr>
          <w:rFonts w:hint="eastAsia" w:ascii="仿宋_GB2312" w:hAnsi="黑体" w:eastAsia="仿宋_GB2312"/>
          <w:color w:val="000000" w:themeColor="text1"/>
          <w14:textFill>
            <w14:solidFill>
              <w14:schemeClr w14:val="tx1"/>
            </w14:solidFill>
          </w14:textFill>
        </w:rPr>
        <w:t>（</w:t>
      </w:r>
      <w:r>
        <w:rPr>
          <w:rFonts w:hint="eastAsia" w:ascii="仿宋_GB2312" w:hAnsi="黑体" w:eastAsia="仿宋_GB2312"/>
          <w:color w:val="000000" w:themeColor="text1"/>
          <w:lang w:val="en-US" w:eastAsia="zh-CN"/>
          <w14:textFill>
            <w14:solidFill>
              <w14:schemeClr w14:val="tx1"/>
            </w14:solidFill>
          </w14:textFill>
        </w:rPr>
        <w:t>1</w:t>
      </w:r>
      <w:r>
        <w:rPr>
          <w:rFonts w:hint="eastAsia" w:ascii="仿宋_GB2312" w:hAnsi="黑体" w:eastAsia="仿宋_GB2312"/>
          <w:color w:val="000000" w:themeColor="text1"/>
          <w14:textFill>
            <w14:solidFill>
              <w14:schemeClr w14:val="tx1"/>
            </w14:solidFill>
          </w14:textFill>
        </w:rPr>
        <w:t>）注册房地产估价师现场实地查看记录、调查所获取的资料，拍摄的现状照片；</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ascii="仿宋_GB2312" w:hAnsi="黑体" w:eastAsia="仿宋_GB2312"/>
          <w:color w:val="000000" w:themeColor="text1"/>
          <w14:textFill>
            <w14:solidFill>
              <w14:schemeClr w14:val="tx1"/>
            </w14:solidFill>
          </w14:textFill>
        </w:rPr>
      </w:pPr>
      <w:r>
        <w:rPr>
          <w:rFonts w:hint="eastAsia" w:ascii="仿宋_GB2312" w:hAnsi="黑体" w:eastAsia="仿宋_GB2312"/>
          <w:color w:val="000000" w:themeColor="text1"/>
          <w14:textFill>
            <w14:solidFill>
              <w14:schemeClr w14:val="tx1"/>
            </w14:solidFill>
          </w14:textFill>
        </w:rPr>
        <w:t>（</w:t>
      </w:r>
      <w:r>
        <w:rPr>
          <w:rFonts w:hint="eastAsia" w:ascii="仿宋_GB2312" w:hAnsi="黑体" w:eastAsia="仿宋_GB2312"/>
          <w:color w:val="000000" w:themeColor="text1"/>
          <w:lang w:val="en-US" w:eastAsia="zh-CN"/>
          <w14:textFill>
            <w14:solidFill>
              <w14:schemeClr w14:val="tx1"/>
            </w14:solidFill>
          </w14:textFill>
        </w:rPr>
        <w:t>2</w:t>
      </w:r>
      <w:r>
        <w:rPr>
          <w:rFonts w:hint="eastAsia" w:ascii="仿宋_GB2312" w:hAnsi="黑体" w:eastAsia="仿宋_GB2312"/>
          <w:color w:val="000000" w:themeColor="text1"/>
          <w14:textFill>
            <w14:solidFill>
              <w14:schemeClr w14:val="tx1"/>
            </w14:solidFill>
          </w14:textFill>
        </w:rPr>
        <w:t>）房地产估价机构建立的房地产交易实例库；</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ascii="仿宋_GB2312" w:hAnsi="黑体" w:eastAsia="仿宋_GB2312"/>
          <w:color w:val="000000" w:themeColor="text1"/>
          <w14:textFill>
            <w14:solidFill>
              <w14:schemeClr w14:val="tx1"/>
            </w14:solidFill>
          </w14:textFill>
        </w:rPr>
      </w:pPr>
      <w:r>
        <w:rPr>
          <w:rFonts w:hint="eastAsia" w:ascii="仿宋_GB2312" w:hAnsi="黑体" w:eastAsia="仿宋_GB2312"/>
          <w:color w:val="000000" w:themeColor="text1"/>
          <w14:textFill>
            <w14:solidFill>
              <w14:schemeClr w14:val="tx1"/>
            </w14:solidFill>
          </w14:textFill>
        </w:rPr>
        <w:t>（</w:t>
      </w:r>
      <w:r>
        <w:rPr>
          <w:rFonts w:hint="eastAsia" w:ascii="仿宋_GB2312" w:hAnsi="黑体" w:eastAsia="仿宋_GB2312"/>
          <w:color w:val="000000" w:themeColor="text1"/>
          <w:lang w:val="en-US" w:eastAsia="zh-CN"/>
          <w14:textFill>
            <w14:solidFill>
              <w14:schemeClr w14:val="tx1"/>
            </w14:solidFill>
          </w14:textFill>
        </w:rPr>
        <w:t>3</w:t>
      </w:r>
      <w:r>
        <w:rPr>
          <w:rFonts w:hint="eastAsia" w:ascii="仿宋_GB2312" w:hAnsi="黑体" w:eastAsia="仿宋_GB2312"/>
          <w:color w:val="000000" w:themeColor="text1"/>
          <w14:textFill>
            <w14:solidFill>
              <w14:schemeClr w14:val="tx1"/>
            </w14:solidFill>
          </w14:textFill>
        </w:rPr>
        <w:t>）注册房地产估价师实地勘察所获取的估价对象口岸位置、外观、成色等资料；</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hAnsi="黑体" w:eastAsia="仿宋_GB2312"/>
          <w:color w:val="000000" w:themeColor="text1"/>
          <w14:textFill>
            <w14:solidFill>
              <w14:schemeClr w14:val="tx1"/>
            </w14:solidFill>
          </w14:textFill>
        </w:rPr>
      </w:pPr>
      <w:bookmarkStart w:id="77" w:name="_Toc437265340"/>
      <w:r>
        <w:rPr>
          <w:rFonts w:hint="eastAsia" w:ascii="仿宋_GB2312" w:hAnsi="黑体" w:eastAsia="仿宋_GB2312"/>
          <w:color w:val="000000" w:themeColor="text1"/>
          <w14:textFill>
            <w14:solidFill>
              <w14:schemeClr w14:val="tx1"/>
            </w14:solidFill>
          </w14:textFill>
        </w:rPr>
        <w:t>（</w:t>
      </w:r>
      <w:r>
        <w:rPr>
          <w:rFonts w:hint="eastAsia" w:ascii="仿宋_GB2312" w:hAnsi="黑体" w:eastAsia="仿宋_GB2312"/>
          <w:color w:val="000000" w:themeColor="text1"/>
          <w:lang w:val="en-US" w:eastAsia="zh-CN"/>
          <w14:textFill>
            <w14:solidFill>
              <w14:schemeClr w14:val="tx1"/>
            </w14:solidFill>
          </w14:textFill>
        </w:rPr>
        <w:t>4</w:t>
      </w:r>
      <w:r>
        <w:rPr>
          <w:rFonts w:hint="eastAsia" w:ascii="仿宋_GB2312" w:hAnsi="黑体" w:eastAsia="仿宋_GB2312"/>
          <w:color w:val="000000" w:themeColor="text1"/>
          <w14:textFill>
            <w14:solidFill>
              <w14:schemeClr w14:val="tx1"/>
            </w14:solidFill>
          </w14:textFill>
        </w:rPr>
        <w:t>）房地产估价机构和注册房地产估价师掌握和收集的其他材料。</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Style w:val="27"/>
          <w:rFonts w:ascii="仿宋_GB2312" w:hAnsi="仿宋_GB2312" w:eastAsia="仿宋_GB2312" w:cs="仿宋_GB2312"/>
          <w:b w:val="0"/>
          <w:bCs/>
          <w:color w:val="000000" w:themeColor="text1"/>
          <w:sz w:val="28"/>
          <w:szCs w:val="28"/>
          <w14:textFill>
            <w14:solidFill>
              <w14:schemeClr w14:val="tx1"/>
            </w14:solidFill>
          </w14:textFill>
        </w:rPr>
      </w:pPr>
      <w:bookmarkStart w:id="78" w:name="_Toc30760"/>
      <w:r>
        <w:rPr>
          <w:rStyle w:val="27"/>
          <w:rFonts w:hint="eastAsia" w:ascii="仿宋_GB2312" w:hAnsi="仿宋_GB2312" w:eastAsia="仿宋_GB2312" w:cs="仿宋_GB2312"/>
          <w:b w:val="0"/>
          <w:bCs/>
          <w:color w:val="000000" w:themeColor="text1"/>
          <w:sz w:val="28"/>
          <w:szCs w:val="28"/>
          <w14:textFill>
            <w14:solidFill>
              <w14:schemeClr w14:val="tx1"/>
            </w14:solidFill>
          </w14:textFill>
        </w:rPr>
        <w:t>（九）估价方法</w:t>
      </w:r>
      <w:bookmarkEnd w:id="77"/>
    </w:p>
    <w:bookmarkEnd w:id="78"/>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eastAsia="仿宋_GB2312"/>
          <w:color w:val="000000" w:themeColor="text1"/>
          <w14:textFill>
            <w14:solidFill>
              <w14:schemeClr w14:val="tx1"/>
            </w14:solidFill>
          </w14:textFill>
        </w:rPr>
      </w:pPr>
      <w:bookmarkStart w:id="79" w:name="_Toc437265341"/>
      <w:r>
        <w:rPr>
          <w:rFonts w:hint="eastAsia" w:ascii="仿宋_GB2312" w:eastAsia="仿宋_GB2312"/>
          <w:color w:val="000000" w:themeColor="text1"/>
          <w14:textFill>
            <w14:solidFill>
              <w14:schemeClr w14:val="tx1"/>
            </w14:solidFill>
          </w14:textFill>
        </w:rPr>
        <w:t>1、估价方法的确定</w:t>
      </w:r>
    </w:p>
    <w:p>
      <w:pPr>
        <w:spacing w:line="360" w:lineRule="auto"/>
        <w:ind w:firstLine="560" w:firstLineChars="200"/>
        <w:rPr>
          <w:rFonts w:ascii="仿宋_GB2312" w:eastAsia="仿宋_GB2312"/>
        </w:rPr>
      </w:pPr>
      <w:r>
        <w:rPr>
          <w:rFonts w:hint="eastAsia" w:ascii="仿宋_GB2312" w:eastAsia="仿宋_GB2312"/>
        </w:rPr>
        <w:t>根据《房地产估价规范》（GB/T50291-2015），现行的房地产评估方法主要有比较法、收益法、成本法、假设开发法等。评估方法的选择是按照房地产估价规范，根据当地房地产市场发育状况，并结合该项目的具体特点及估价目的等，选择适当的房地产估价方法。</w:t>
      </w:r>
    </w:p>
    <w:p>
      <w:pPr>
        <w:spacing w:line="360" w:lineRule="auto"/>
        <w:ind w:firstLine="560" w:firstLineChars="200"/>
        <w:rPr>
          <w:rFonts w:ascii="仿宋_GB2312" w:eastAsia="仿宋_GB2312"/>
        </w:rPr>
      </w:pPr>
      <w:r>
        <w:rPr>
          <w:rFonts w:hint="eastAsia" w:ascii="仿宋_GB2312" w:eastAsia="仿宋_GB2312"/>
        </w:rPr>
        <w:t>注册房地产估价师通过实地调查，认真分析调查收集到的资料，在确定上述估价原则的基础上，根据估价对象的实际情况，结合本次评估目的，</w:t>
      </w:r>
      <w:r>
        <w:rPr>
          <w:rFonts w:hint="eastAsia" w:ascii="仿宋_GB2312" w:hAnsi="宋体" w:eastAsia="仿宋_GB2312"/>
          <w:szCs w:val="28"/>
        </w:rPr>
        <w:t>本次评估</w:t>
      </w:r>
      <w:r>
        <w:rPr>
          <w:rFonts w:hint="eastAsia" w:ascii="仿宋_GB2312" w:hAnsi="宋体" w:eastAsia="仿宋_GB2312"/>
          <w:szCs w:val="28"/>
          <w:lang w:eastAsia="zh-CN"/>
        </w:rPr>
        <w:t>估价对象</w:t>
      </w:r>
      <w:r>
        <w:rPr>
          <w:rFonts w:hint="eastAsia" w:ascii="仿宋_GB2312" w:hAnsi="宋体" w:eastAsia="仿宋_GB2312"/>
          <w:szCs w:val="28"/>
          <w:lang w:val="en-US" w:eastAsia="zh-CN"/>
        </w:rPr>
        <w:t>1（车库）采用比较法进行评估，估价对象2（仓储）采用收益法进行评估</w:t>
      </w:r>
      <w:r>
        <w:rPr>
          <w:rFonts w:hint="eastAsia" w:ascii="仿宋_GB2312" w:eastAsia="仿宋_GB2312"/>
        </w:rPr>
        <w:t>。</w:t>
      </w:r>
    </w:p>
    <w:p>
      <w:pPr>
        <w:keepNext w:val="0"/>
        <w:keepLines w:val="0"/>
        <w:pageBreakBefore w:val="0"/>
        <w:widowControl w:val="0"/>
        <w:numPr>
          <w:ilvl w:val="0"/>
          <w:numId w:val="9"/>
        </w:numPr>
        <w:kinsoku/>
        <w:wordWrap/>
        <w:overflowPunct/>
        <w:topLinePunct w:val="0"/>
        <w:autoSpaceDE/>
        <w:autoSpaceDN/>
        <w:bidi w:val="0"/>
        <w:adjustRightInd/>
        <w:snapToGrid/>
        <w:spacing w:line="540" w:lineRule="exact"/>
        <w:ind w:firstLine="560" w:firstLineChars="200"/>
        <w:textAlignment w:val="auto"/>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估价方法的定义、步骤及公式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rPr>
          <w:rFonts w:hint="default" w:ascii="仿宋_GB2312" w:eastAsia="仿宋_GB2312"/>
          <w:color w:val="000000" w:themeColor="text1"/>
          <w:lang w:val="en-US" w:eastAsia="zh-CN"/>
          <w14:textFill>
            <w14:solidFill>
              <w14:schemeClr w14:val="tx1"/>
            </w14:solidFill>
          </w14:textFill>
        </w:rPr>
      </w:pPr>
      <w:bookmarkStart w:id="80" w:name="OLE_LINK9"/>
      <w:r>
        <w:rPr>
          <w:rFonts w:hint="eastAsia" w:ascii="仿宋_GB2312" w:eastAsia="仿宋_GB2312"/>
          <w:color w:val="000000" w:themeColor="text1"/>
          <w:lang w:val="en-US" w:eastAsia="zh-CN"/>
          <w14:textFill>
            <w14:solidFill>
              <w14:schemeClr w14:val="tx1"/>
            </w14:solidFill>
          </w14:textFill>
        </w:rPr>
        <w:t>I、比较法</w:t>
      </w:r>
    </w:p>
    <w:p>
      <w:pPr>
        <w:numPr>
          <w:ilvl w:val="0"/>
          <w:numId w:val="0"/>
        </w:numPr>
        <w:spacing w:line="360" w:lineRule="auto"/>
        <w:ind w:firstLine="560" w:firstLineChars="200"/>
        <w:rPr>
          <w:rFonts w:ascii="仿宋_GB2312" w:hAnsi="宋体" w:eastAsia="仿宋_GB2312"/>
          <w:szCs w:val="28"/>
        </w:rPr>
      </w:pPr>
      <w:r>
        <w:rPr>
          <w:rFonts w:hint="eastAsia" w:ascii="仿宋_GB2312" w:eastAsia="仿宋_GB2312"/>
          <w:lang w:val="en-US" w:eastAsia="zh-CN"/>
        </w:rPr>
        <w:t>（1）</w:t>
      </w:r>
      <w:r>
        <w:rPr>
          <w:rFonts w:hint="eastAsia" w:ascii="仿宋_GB2312" w:eastAsia="仿宋_GB2312"/>
        </w:rPr>
        <w:t>比较法的定义为:</w:t>
      </w:r>
      <w:r>
        <w:rPr>
          <w:rFonts w:hint="eastAsia" w:ascii="仿宋_GB2312" w:eastAsia="仿宋_GB2312"/>
          <w:color w:val="auto"/>
          <w:lang w:val="en-US" w:eastAsia="zh-CN"/>
        </w:rPr>
        <w:t>比较法是选取一定数量的可比实例，将它们与估价对象进行比较，根据其间的差异对可比实例成交价格进行处理后得到估价对象价值或</w:t>
      </w:r>
      <w:r>
        <w:rPr>
          <w:rFonts w:hint="eastAsia" w:ascii="仿宋_GB2312" w:eastAsia="仿宋_GB2312"/>
          <w:color w:val="auto"/>
        </w:rPr>
        <w:t>价格的方法。在房地</w:t>
      </w:r>
      <w:r>
        <w:rPr>
          <w:rFonts w:hint="eastAsia" w:ascii="仿宋_GB2312" w:eastAsia="仿宋_GB2312"/>
        </w:rPr>
        <w:t>产市场比较发达的情况下，是一种说服力强、使用范围广的估价方法。</w:t>
      </w:r>
      <w:r>
        <w:rPr>
          <w:rFonts w:hint="eastAsia" w:ascii="仿宋_GB2312" w:hAnsi="宋体" w:eastAsia="仿宋_GB2312"/>
          <w:szCs w:val="28"/>
        </w:rPr>
        <w:t>由于目前估价对象所在地区——</w:t>
      </w:r>
      <w:r>
        <w:rPr>
          <w:rFonts w:hint="eastAsia" w:ascii="仿宋_GB2312" w:hAnsi="宋体" w:eastAsia="仿宋_GB2312"/>
          <w:szCs w:val="28"/>
          <w:lang w:eastAsia="zh-CN"/>
        </w:rPr>
        <w:t>自贡市沿滩区</w:t>
      </w:r>
      <w:r>
        <w:rPr>
          <w:rFonts w:hint="eastAsia" w:ascii="仿宋_GB2312" w:hAnsi="宋体" w:eastAsia="仿宋_GB2312"/>
          <w:szCs w:val="28"/>
        </w:rPr>
        <w:t>的存量</w:t>
      </w:r>
      <w:r>
        <w:rPr>
          <w:rFonts w:hint="eastAsia" w:ascii="仿宋_GB2312" w:hAnsi="宋体" w:eastAsia="仿宋_GB2312"/>
          <w:szCs w:val="28"/>
          <w:lang w:eastAsia="zh-CN"/>
        </w:rPr>
        <w:t>车库</w:t>
      </w:r>
      <w:r>
        <w:rPr>
          <w:rFonts w:hint="eastAsia" w:ascii="仿宋_GB2312" w:hAnsi="宋体" w:eastAsia="仿宋_GB2312"/>
          <w:szCs w:val="28"/>
        </w:rPr>
        <w:t>用房地产市场较为活跃，与估价对象房地产类似的交易案例较多，故可采用比较法进行评估。</w:t>
      </w:r>
    </w:p>
    <w:p>
      <w:pPr>
        <w:pageBreakBefore w:val="0"/>
        <w:widowControl w:val="0"/>
        <w:kinsoku/>
        <w:wordWrap/>
        <w:overflowPunct/>
        <w:topLinePunct w:val="0"/>
        <w:autoSpaceDE/>
        <w:autoSpaceDN/>
        <w:bidi w:val="0"/>
        <w:adjustRightInd w:val="0"/>
        <w:snapToGrid/>
        <w:spacing w:line="360" w:lineRule="auto"/>
        <w:ind w:firstLine="560" w:firstLineChars="200"/>
        <w:textAlignment w:val="auto"/>
        <w:rPr>
          <w:rFonts w:ascii="仿宋_GB2312" w:eastAsia="仿宋_GB2312"/>
        </w:rPr>
      </w:pPr>
      <w:r>
        <w:rPr>
          <w:rFonts w:hint="eastAsia" w:ascii="仿宋_GB2312" w:eastAsia="仿宋_GB2312"/>
          <w:lang w:val="en-US" w:eastAsia="zh-CN"/>
        </w:rPr>
        <w:t>（2）</w:t>
      </w:r>
      <w:r>
        <w:rPr>
          <w:rFonts w:hint="eastAsia" w:ascii="仿宋_GB2312" w:eastAsia="仿宋_GB2312"/>
        </w:rPr>
        <w:t>步骤：运用比较法估价一般分为4大步骤：①搜集交易实例；②选取可比实例；③对可比实例成交价格进行处理；④计算</w:t>
      </w:r>
      <w:bookmarkStart w:id="81" w:name="OLE_LINK8"/>
      <w:r>
        <w:rPr>
          <w:rFonts w:hint="eastAsia" w:ascii="仿宋_GB2312" w:eastAsia="仿宋_GB2312"/>
        </w:rPr>
        <w:t>比较价值</w:t>
      </w:r>
      <w:bookmarkEnd w:id="81"/>
      <w:r>
        <w:rPr>
          <w:rFonts w:hint="eastAsia" w:ascii="仿宋_GB2312" w:eastAsia="仿宋_GB2312"/>
        </w:rPr>
        <w:t>；</w:t>
      </w:r>
    </w:p>
    <w:p>
      <w:pPr>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仿宋_GB2312" w:eastAsia="仿宋_GB2312"/>
        </w:rPr>
      </w:pPr>
      <w:r>
        <w:rPr>
          <w:rFonts w:hint="eastAsia" w:ascii="仿宋_GB2312" w:eastAsia="仿宋_GB2312"/>
          <w:lang w:val="en-US" w:eastAsia="zh-CN"/>
        </w:rPr>
        <w:t>（3）</w:t>
      </w:r>
      <w:r>
        <w:rPr>
          <w:rFonts w:hint="eastAsia" w:ascii="仿宋_GB2312" w:eastAsia="仿宋_GB2312"/>
        </w:rPr>
        <w:t>基本公式：估价对象房地产的比较价值=可比实例成交价格</w:t>
      </w:r>
      <w:bookmarkStart w:id="82" w:name="OLE_LINK7"/>
      <w:r>
        <w:rPr>
          <w:rFonts w:hint="eastAsia" w:ascii="仿宋_GB2312" w:eastAsia="仿宋_GB2312"/>
        </w:rPr>
        <w:t>×</w:t>
      </w:r>
      <w:bookmarkEnd w:id="82"/>
      <w:r>
        <w:rPr>
          <w:rFonts w:hint="eastAsia" w:ascii="仿宋_GB2312" w:eastAsia="仿宋_GB2312"/>
        </w:rPr>
        <w:t>交易情况修正系数×市场状况调整系数×房地产状况调整系数</w:t>
      </w:r>
    </w:p>
    <w:p>
      <w:pPr>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仿宋_GB2312" w:eastAsia="仿宋_GB2312"/>
          <w:lang w:val="en-US" w:eastAsia="zh-CN"/>
        </w:rPr>
      </w:pPr>
      <w:r>
        <w:rPr>
          <w:rFonts w:hint="eastAsia" w:ascii="仿宋_GB2312" w:eastAsia="仿宋_GB2312"/>
          <w:lang w:val="en-US" w:eastAsia="zh-CN"/>
        </w:rPr>
        <w:t>II、收益法</w:t>
      </w:r>
    </w:p>
    <w:p>
      <w:pPr>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仿宋_GB2312" w:eastAsia="仿宋_GB2312"/>
        </w:rPr>
      </w:pPr>
      <w:r>
        <w:rPr>
          <w:rFonts w:hint="eastAsia" w:ascii="仿宋_GB2312" w:eastAsia="仿宋_GB2312"/>
          <w:lang w:val="en-US" w:eastAsia="zh-CN"/>
        </w:rPr>
        <w:t>（1）</w:t>
      </w:r>
      <w:r>
        <w:rPr>
          <w:rFonts w:hint="eastAsia" w:ascii="仿宋_GB2312" w:eastAsia="仿宋_GB2312"/>
          <w:lang w:eastAsia="zh-CN"/>
        </w:rPr>
        <w:t>收益法</w:t>
      </w:r>
      <w:r>
        <w:rPr>
          <w:rFonts w:hint="eastAsia" w:ascii="仿宋_GB2312" w:eastAsia="仿宋_GB2312"/>
        </w:rPr>
        <w:t>法的定义</w:t>
      </w:r>
    </w:p>
    <w:p>
      <w:pPr>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仿宋_GB2312" w:eastAsia="仿宋_GB2312"/>
        </w:rPr>
      </w:pPr>
      <w:r>
        <w:rPr>
          <w:rFonts w:hint="eastAsia" w:ascii="仿宋_GB2312" w:eastAsia="仿宋_GB2312"/>
        </w:rPr>
        <w:t>收益法是预测估价对象未来的正常净收益，选用适当的报酬率或资本化率、收益乘数，将未来收益转换为价值来求取估价对象价值的方法。</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仿宋_GB2312" w:eastAsia="仿宋_GB2312"/>
        </w:rPr>
      </w:pPr>
      <w:r>
        <w:rPr>
          <w:rFonts w:hint="eastAsia" w:ascii="仿宋_GB2312" w:eastAsia="仿宋_GB2312"/>
          <w:lang w:val="en-US" w:eastAsia="zh-CN"/>
        </w:rPr>
        <w:t>（2）</w:t>
      </w:r>
      <w:r>
        <w:rPr>
          <w:rFonts w:hint="eastAsia" w:ascii="仿宋_GB2312" w:eastAsia="仿宋_GB2312"/>
        </w:rPr>
        <w:t>收益法步骤：运用报酬率资本化估价一般分为4大步骤：①估计收益期或持有期；②预测未来净收益或期间收益和期末转售收益；③确定报酬率；④计算收益价值；</w:t>
      </w:r>
    </w:p>
    <w:p>
      <w:pPr>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仿宋_GB2312" w:eastAsia="仿宋_GB2312"/>
        </w:rPr>
      </w:pPr>
      <w:r>
        <w:rPr>
          <w:rFonts w:hint="eastAsia" w:ascii="仿宋_GB2312" w:eastAsia="仿宋_GB2312"/>
          <w:lang w:val="en-US" w:eastAsia="zh-CN"/>
        </w:rPr>
        <w:t>（3）</w:t>
      </w:r>
      <w:r>
        <w:rPr>
          <w:rFonts w:hint="eastAsia" w:ascii="仿宋_GB2312" w:eastAsia="仿宋_GB2312"/>
        </w:rPr>
        <w:t xml:space="preserve">收益法基本公式：               n      Ai            </w:t>
      </w:r>
    </w:p>
    <w:p>
      <w:pPr>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仿宋_GB2312" w:eastAsia="仿宋_GB2312"/>
        </w:rPr>
      </w:pPr>
      <w:r>
        <w:rPr>
          <w:rFonts w:hint="eastAsia" w:ascii="仿宋_GB2312" w:eastAsia="仿宋_GB2312"/>
        </w:rPr>
        <w:t xml:space="preserve">估价对象房地产的收益价值 V = ∑  ---------- </w:t>
      </w:r>
    </w:p>
    <w:p>
      <w:pPr>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仿宋_GB2312" w:eastAsia="仿宋_GB2312"/>
        </w:rPr>
      </w:pPr>
      <w:r>
        <w:rPr>
          <w:rFonts w:hint="eastAsia" w:ascii="仿宋_GB2312" w:eastAsia="仿宋_GB2312"/>
        </w:rPr>
        <w:t xml:space="preserve">                     </w:t>
      </w:r>
      <w:r>
        <w:rPr>
          <w:rFonts w:hint="eastAsia" w:ascii="仿宋_GB2312" w:eastAsia="仿宋_GB2312"/>
          <w:lang w:val="en-US" w:eastAsia="zh-CN"/>
        </w:rPr>
        <w:t xml:space="preserve">       </w:t>
      </w:r>
      <w:r>
        <w:rPr>
          <w:rFonts w:hint="eastAsia" w:ascii="仿宋_GB2312" w:eastAsia="仿宋_GB2312"/>
        </w:rPr>
        <w:t xml:space="preserve"> i=1  （1＋Y）i    </w:t>
      </w:r>
    </w:p>
    <w:p>
      <w:pPr>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仿宋_GB2312" w:eastAsia="仿宋_GB2312"/>
        </w:rPr>
      </w:pPr>
      <w:r>
        <w:rPr>
          <w:rFonts w:hint="eastAsia" w:ascii="仿宋_GB2312" w:eastAsia="仿宋_GB2312"/>
        </w:rPr>
        <w:t>式中  V ─估价对象在价值时点的收益价值；</w:t>
      </w:r>
    </w:p>
    <w:p>
      <w:pPr>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仿宋_GB2312" w:eastAsia="仿宋_GB2312"/>
        </w:rPr>
      </w:pPr>
      <w:r>
        <w:rPr>
          <w:rFonts w:hint="eastAsia" w:ascii="仿宋_GB2312" w:eastAsia="仿宋_GB2312"/>
        </w:rPr>
        <w:t xml:space="preserve">      Ai ─估价对象未来各期的净收益；</w:t>
      </w:r>
    </w:p>
    <w:p>
      <w:pPr>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仿宋_GB2312" w:eastAsia="仿宋_GB2312"/>
        </w:rPr>
      </w:pPr>
      <w:r>
        <w:rPr>
          <w:rFonts w:hint="eastAsia" w:ascii="仿宋_GB2312" w:eastAsia="仿宋_GB2312"/>
        </w:rPr>
        <w:t xml:space="preserve">      Y ─ 估价对象未来各期的报酬率（％）；</w:t>
      </w:r>
    </w:p>
    <w:p>
      <w:pPr>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仿宋_GB2312" w:hAnsi="Times New Roman" w:eastAsia="仿宋_GB2312" w:cs="Times New Roman"/>
          <w:lang w:val="en-US" w:eastAsia="zh-CN"/>
        </w:rPr>
      </w:pPr>
      <w:r>
        <w:rPr>
          <w:rFonts w:hint="eastAsia" w:ascii="仿宋_GB2312" w:eastAsia="仿宋_GB2312"/>
        </w:rPr>
        <w:t xml:space="preserve">      n ─ 估价对象的收益期或持有期（年）</w:t>
      </w:r>
    </w:p>
    <w:p>
      <w:pPr>
        <w:numPr>
          <w:ilvl w:val="0"/>
          <w:numId w:val="9"/>
        </w:numPr>
        <w:spacing w:line="360" w:lineRule="auto"/>
        <w:ind w:firstLine="560" w:firstLineChars="200"/>
        <w:rPr>
          <w:rFonts w:ascii="仿宋_GB2312" w:eastAsia="仿宋_GB2312"/>
        </w:rPr>
      </w:pPr>
      <w:r>
        <w:rPr>
          <w:rFonts w:hint="eastAsia" w:ascii="仿宋_GB2312" w:eastAsia="仿宋_GB2312"/>
        </w:rPr>
        <w:t>估价思路</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560" w:firstLineChars="200"/>
        <w:textAlignment w:val="auto"/>
        <w:rPr>
          <w:rFonts w:hint="eastAsia" w:ascii="仿宋_GB2312" w:eastAsia="仿宋_GB2312"/>
        </w:rPr>
      </w:pPr>
      <w:r>
        <w:rPr>
          <w:rFonts w:hint="eastAsia" w:ascii="仿宋_GB2312" w:eastAsia="仿宋_GB2312"/>
          <w:lang w:val="en-US" w:eastAsia="zh-CN"/>
        </w:rPr>
        <w:t>（1）估价对象1（车库）的估价思路为：</w:t>
      </w:r>
      <w:r>
        <w:rPr>
          <w:rFonts w:hint="eastAsia" w:ascii="仿宋_GB2312" w:eastAsia="仿宋_GB2312"/>
        </w:rPr>
        <w:t>收集估价对象所在区域或周边的</w:t>
      </w:r>
      <w:r>
        <w:rPr>
          <w:rFonts w:hint="eastAsia" w:ascii="仿宋_GB2312" w:eastAsia="仿宋_GB2312"/>
          <w:lang w:eastAsia="zh-CN"/>
        </w:rPr>
        <w:t>车库</w:t>
      </w:r>
      <w:r>
        <w:rPr>
          <w:rFonts w:hint="eastAsia" w:ascii="仿宋_GB2312" w:eastAsia="仿宋_GB2312"/>
        </w:rPr>
        <w:t>用房交易案例，选取3个与估价对象具有可比性的交易案例，就影响房屋交易价格的交易情况、市场状况、房地产状况进行对比分析，然后对选取的可比实例交易价格进行修正，得到估价对象的比较价值。最后运用简单算术平均法求取估价对象的价格。</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eastAsia="仿宋_GB2312"/>
          <w:lang w:val="en-US" w:eastAsia="zh-CN"/>
        </w:rPr>
      </w:pPr>
      <w:r>
        <w:rPr>
          <w:rFonts w:hint="eastAsia" w:ascii="仿宋_GB2312" w:eastAsia="仿宋_GB2312"/>
          <w:lang w:eastAsia="zh-CN"/>
        </w:rPr>
        <w:t>（</w:t>
      </w:r>
      <w:r>
        <w:rPr>
          <w:rFonts w:hint="eastAsia" w:ascii="仿宋_GB2312" w:eastAsia="仿宋_GB2312"/>
          <w:lang w:val="en-US" w:eastAsia="zh-CN"/>
        </w:rPr>
        <w:t>2</w:t>
      </w:r>
      <w:r>
        <w:rPr>
          <w:rFonts w:hint="eastAsia" w:ascii="仿宋_GB2312" w:eastAsia="仿宋_GB2312"/>
          <w:lang w:eastAsia="zh-CN"/>
        </w:rPr>
        <w:t>）估价对象</w:t>
      </w:r>
      <w:r>
        <w:rPr>
          <w:rFonts w:hint="eastAsia" w:ascii="仿宋_GB2312" w:eastAsia="仿宋_GB2312"/>
          <w:lang w:val="en-US" w:eastAsia="zh-CN"/>
        </w:rPr>
        <w:t>2（仓储）的估价思路为：</w:t>
      </w:r>
      <w:r>
        <w:rPr>
          <w:rFonts w:hint="eastAsia" w:ascii="仿宋_GB2312" w:eastAsia="仿宋_GB2312"/>
        </w:rPr>
        <w:t>收集估价对象周边类似的</w:t>
      </w:r>
      <w:r>
        <w:rPr>
          <w:rFonts w:hint="eastAsia" w:ascii="仿宋_GB2312" w:eastAsia="仿宋_GB2312"/>
          <w:lang w:eastAsia="zh-CN"/>
        </w:rPr>
        <w:t>仓储</w:t>
      </w:r>
      <w:r>
        <w:rPr>
          <w:rFonts w:hint="eastAsia" w:ascii="仿宋_GB2312" w:eastAsia="仿宋_GB2312"/>
        </w:rPr>
        <w:t>用房出租交易案例，选取3个或3个以上与估价对象具有可比性的租金收益案例，就影响租金收益价格的各个因素进行对比分析，然后对选取的可比实例租金收益价格进行修正，然后确定出估价对象的客观收益，在此基础上再扣减经营过程中产生的相关税费后得到估价对象的净收益，根据收益法的计算相关公式得到估价对象的</w:t>
      </w:r>
      <w:r>
        <w:rPr>
          <w:rFonts w:hint="eastAsia" w:ascii="仿宋_GB2312" w:eastAsia="仿宋_GB2312"/>
          <w:lang w:eastAsia="zh-CN"/>
        </w:rPr>
        <w:t>估价</w:t>
      </w:r>
      <w:r>
        <w:rPr>
          <w:rFonts w:hint="eastAsia" w:ascii="仿宋_GB2312" w:eastAsia="仿宋_GB2312"/>
        </w:rPr>
        <w:t>价格。</w:t>
      </w:r>
    </w:p>
    <w:bookmarkEnd w:id="80"/>
    <w:p>
      <w:pPr>
        <w:keepNext w:val="0"/>
        <w:keepLines w:val="0"/>
        <w:pageBreakBefore w:val="0"/>
        <w:widowControl w:val="0"/>
        <w:kinsoku/>
        <w:wordWrap/>
        <w:overflowPunct/>
        <w:topLinePunct w:val="0"/>
        <w:autoSpaceDE/>
        <w:autoSpaceDN/>
        <w:bidi w:val="0"/>
        <w:spacing w:line="460" w:lineRule="exact"/>
        <w:ind w:firstLine="560" w:firstLineChars="200"/>
        <w:textAlignment w:val="auto"/>
        <w:rPr>
          <w:rFonts w:ascii="仿宋_GB2312" w:hAnsi="仿宋_GB2312" w:eastAsia="仿宋_GB2312" w:cs="仿宋_GB2312"/>
          <w:bCs/>
          <w:color w:val="000000" w:themeColor="text1"/>
          <w:szCs w:val="28"/>
          <w14:textFill>
            <w14:solidFill>
              <w14:schemeClr w14:val="tx1"/>
            </w14:solidFill>
          </w14:textFill>
        </w:rPr>
      </w:pPr>
      <w:bookmarkStart w:id="83" w:name="_Toc3855"/>
      <w:r>
        <w:rPr>
          <w:rStyle w:val="27"/>
          <w:rFonts w:hint="eastAsia" w:ascii="仿宋_GB2312" w:hAnsi="仿宋_GB2312" w:eastAsia="仿宋_GB2312" w:cs="仿宋_GB2312"/>
          <w:b w:val="0"/>
          <w:bCs/>
          <w:color w:val="000000" w:themeColor="text1"/>
          <w:sz w:val="28"/>
          <w:szCs w:val="28"/>
          <w14:textFill>
            <w14:solidFill>
              <w14:schemeClr w14:val="tx1"/>
            </w14:solidFill>
          </w14:textFill>
        </w:rPr>
        <w:t>（十）估价结果</w:t>
      </w:r>
      <w:bookmarkEnd w:id="79"/>
      <w:bookmarkEnd w:id="83"/>
    </w:p>
    <w:p>
      <w:pPr>
        <w:spacing w:line="360" w:lineRule="auto"/>
        <w:ind w:firstLine="560" w:firstLineChars="200"/>
        <w:rPr>
          <w:rFonts w:hint="eastAsia" w:ascii="仿宋_GB2312" w:eastAsia="仿宋_GB2312"/>
          <w:szCs w:val="22"/>
        </w:rPr>
      </w:pPr>
      <w:r>
        <w:rPr>
          <w:rFonts w:hint="eastAsia" w:ascii="仿宋_GB2312" w:eastAsia="仿宋_GB2312"/>
          <w:szCs w:val="22"/>
        </w:rPr>
        <w:t>本估价机构根据估价目的，遵循估价原则，采用科学合理的估价方法，在认真分析现有资料基础上，经过测算，结合估价经验与对影响房地产市场价格因素进行分析，确定估价对象在市场上有足够的买方，并且进入市场无障碍的条件下，于价值时点最可能实现的市场价值为：</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560" w:firstLineChars="200"/>
        <w:jc w:val="left"/>
        <w:textAlignment w:val="auto"/>
        <w:rPr>
          <w:rFonts w:hint="eastAsia" w:ascii="仿宋_GB2312" w:eastAsia="仿宋_GB2312"/>
          <w:color w:val="auto"/>
          <w:lang w:val="en-US" w:eastAsia="zh-CN"/>
        </w:rPr>
      </w:pPr>
      <w:r>
        <w:rPr>
          <w:rFonts w:hint="eastAsia" w:ascii="仿宋_GB2312" w:eastAsia="仿宋_GB2312"/>
          <w:color w:val="auto"/>
          <w:lang w:val="en-US" w:eastAsia="zh-CN"/>
        </w:rPr>
        <w:t>1、估价对象1</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center"/>
        <w:textAlignment w:val="auto"/>
        <w:rPr>
          <w:rFonts w:hint="eastAsia" w:ascii="仿宋_GB2312" w:eastAsia="仿宋_GB2312"/>
          <w:color w:val="auto"/>
          <w:lang w:val="en-US" w:eastAsia="zh-CN"/>
        </w:rPr>
      </w:pPr>
      <w:r>
        <w:rPr>
          <w:rFonts w:hint="eastAsia" w:ascii="仿宋_GB2312" w:eastAsia="仿宋_GB2312"/>
          <w:color w:val="auto"/>
          <w:lang w:val="en-US" w:eastAsia="zh-CN"/>
        </w:rPr>
        <w:t>龙湖金地广场车库估价结论一览表</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line="600" w:lineRule="exact"/>
        <w:jc w:val="right"/>
        <w:textAlignment w:val="auto"/>
        <w:rPr>
          <w:rFonts w:hint="default" w:ascii="仿宋_GB2312" w:eastAsia="仿宋_GB2312"/>
          <w:color w:val="auto"/>
          <w:sz w:val="18"/>
          <w:szCs w:val="18"/>
          <w:lang w:val="en-US" w:eastAsia="zh-CN"/>
        </w:rPr>
      </w:pPr>
      <w:r>
        <w:rPr>
          <w:rFonts w:hint="eastAsia" w:ascii="仿宋_GB2312" w:eastAsia="仿宋_GB2312"/>
          <w:color w:val="auto"/>
          <w:sz w:val="18"/>
          <w:szCs w:val="18"/>
          <w:lang w:val="en-US" w:eastAsia="zh-CN"/>
        </w:rPr>
        <w:t>金额单位：人民币元</w:t>
      </w:r>
    </w:p>
    <w:tbl>
      <w:tblPr>
        <w:tblStyle w:val="24"/>
        <w:tblW w:w="101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15"/>
        <w:gridCol w:w="2049"/>
        <w:gridCol w:w="3200"/>
        <w:gridCol w:w="625"/>
        <w:gridCol w:w="1038"/>
        <w:gridCol w:w="737"/>
        <w:gridCol w:w="9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80" w:hRule="atLeast"/>
        </w:trPr>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不动产登记编号</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权利人</w:t>
            </w:r>
          </w:p>
        </w:tc>
        <w:tc>
          <w:tcPr>
            <w:tcW w:w="3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坐落</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用途</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单价</w:t>
            </w:r>
          </w:p>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（元/个）</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数量</w:t>
            </w:r>
          </w:p>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总价</w:t>
            </w:r>
          </w:p>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60" w:hRule="atLeast"/>
        </w:trPr>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20170026456</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四川平扬房地产开发有限公司</w:t>
            </w:r>
          </w:p>
        </w:tc>
        <w:tc>
          <w:tcPr>
            <w:tcW w:w="3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沿滩区沿滩新城板南大道街122号龙湖金帝广场1栋（地下部分）车库01号</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车库</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24600</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172</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423.12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60" w:hRule="atLeast"/>
        </w:trPr>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20170026466</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四川平扬房地产开发有限公司</w:t>
            </w:r>
          </w:p>
        </w:tc>
        <w:tc>
          <w:tcPr>
            <w:tcW w:w="3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沿滩区沿滩新城板南大道街122号龙湖金帝广场1栋（地下部分）车库03（夹层）号</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车库</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28700</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60</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20" w:hRule="atLeast"/>
        </w:trPr>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20170026455</w:t>
            </w:r>
          </w:p>
        </w:tc>
        <w:tc>
          <w:tcPr>
            <w:tcW w:w="2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四川平扬房地产开发有限公司</w:t>
            </w:r>
          </w:p>
        </w:tc>
        <w:tc>
          <w:tcPr>
            <w:tcW w:w="3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沿滩区沿滩新城板南大道街122号龙湖金帝广场1栋（地下部分）车库02号</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车库</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41000</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56</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80" w:hRule="atLeast"/>
        </w:trPr>
        <w:tc>
          <w:tcPr>
            <w:tcW w:w="67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合计</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288</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824.92</w:t>
            </w:r>
          </w:p>
        </w:tc>
      </w:tr>
    </w:tbl>
    <w:p>
      <w:pPr>
        <w:numPr>
          <w:ilvl w:val="0"/>
          <w:numId w:val="5"/>
        </w:numPr>
        <w:adjustRightInd w:val="0"/>
        <w:snapToGrid w:val="0"/>
        <w:spacing w:line="600" w:lineRule="exact"/>
        <w:ind w:left="0" w:leftChars="0" w:firstLine="560" w:firstLineChars="200"/>
        <w:rPr>
          <w:rFonts w:hint="eastAsia" w:ascii="仿宋_GB2312" w:eastAsia="仿宋_GB2312"/>
          <w:color w:val="auto"/>
          <w:lang w:val="en-US" w:eastAsia="zh-CN"/>
        </w:rPr>
      </w:pPr>
      <w:r>
        <w:rPr>
          <w:rFonts w:hint="eastAsia" w:ascii="仿宋_GB2312" w:eastAsia="仿宋_GB2312"/>
          <w:color w:val="auto"/>
          <w:lang w:eastAsia="zh-CN"/>
        </w:rPr>
        <w:t>估价对象</w:t>
      </w:r>
      <w:r>
        <w:rPr>
          <w:rFonts w:hint="eastAsia" w:ascii="仿宋_GB2312" w:eastAsia="仿宋_GB2312"/>
          <w:color w:val="auto"/>
          <w:lang w:val="en-US" w:eastAsia="zh-CN"/>
        </w:rPr>
        <w:t>2</w:t>
      </w:r>
    </w:p>
    <w:p>
      <w:pPr>
        <w:numPr>
          <w:ilvl w:val="0"/>
          <w:numId w:val="0"/>
        </w:numPr>
        <w:adjustRightInd w:val="0"/>
        <w:snapToGrid w:val="0"/>
        <w:spacing w:line="600" w:lineRule="exact"/>
        <w:jc w:val="center"/>
        <w:rPr>
          <w:rFonts w:hint="eastAsia" w:ascii="仿宋_GB2312" w:eastAsia="仿宋_GB2312"/>
          <w:color w:val="auto"/>
          <w:lang w:val="en-US" w:eastAsia="zh-CN"/>
        </w:rPr>
      </w:pPr>
      <w:r>
        <w:rPr>
          <w:rFonts w:hint="eastAsia" w:ascii="仿宋_GB2312" w:eastAsia="仿宋_GB2312"/>
          <w:color w:val="auto"/>
          <w:lang w:val="en-US" w:eastAsia="zh-CN"/>
        </w:rPr>
        <w:t>龙湖金地广场无类储藏室估价结论一览表</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line="600" w:lineRule="exact"/>
        <w:jc w:val="right"/>
        <w:textAlignment w:val="auto"/>
        <w:rPr>
          <w:rFonts w:hint="default" w:ascii="仿宋_GB2312" w:eastAsia="仿宋_GB2312"/>
          <w:color w:val="auto"/>
          <w:sz w:val="18"/>
          <w:szCs w:val="18"/>
          <w:lang w:val="en-US" w:eastAsia="zh-CN"/>
        </w:rPr>
      </w:pPr>
      <w:r>
        <w:rPr>
          <w:rFonts w:hint="eastAsia" w:ascii="仿宋_GB2312" w:eastAsia="仿宋_GB2312"/>
          <w:color w:val="auto"/>
          <w:sz w:val="18"/>
          <w:szCs w:val="18"/>
          <w:lang w:val="en-US" w:eastAsia="zh-CN"/>
        </w:rPr>
        <w:t>金额单位：人民币元</w:t>
      </w:r>
    </w:p>
    <w:tbl>
      <w:tblPr>
        <w:tblStyle w:val="24"/>
        <w:tblW w:w="101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15"/>
        <w:gridCol w:w="1080"/>
        <w:gridCol w:w="2235"/>
        <w:gridCol w:w="1080"/>
        <w:gridCol w:w="1575"/>
        <w:gridCol w:w="1080"/>
        <w:gridCol w:w="1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不动产登记编号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权利人</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坐落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建筑面积（㎡）</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用途</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单价（元/㎡）</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总价（万元）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60" w:hRule="atLeast"/>
        </w:trPr>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20170026470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四川平扬房地产开发有限公司</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沿滩区沿滩新城板南大道街122号龙湖金帝广场1栋（地下部分）戊类储藏室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267.18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仓储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2300</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60" w:hRule="atLeast"/>
        </w:trPr>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20170026417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四川平扬房地产开发有限公司</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沿滩区沿滩新城板南大道街122号龙湖金帝广场1栋（地上部分）戊类储藏室1号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仓储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3080</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60" w:hRule="atLeast"/>
        </w:trPr>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20170026444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四川平扬房地产开发有限公司</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沿滩区沿滩新城板南大道街122号龙湖金帝广场1栋（地上部分）戊类储藏室2号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仓储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3080</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40" w:hRule="atLeast"/>
        </w:trPr>
        <w:tc>
          <w:tcPr>
            <w:tcW w:w="48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311.28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75.03</w:t>
            </w:r>
          </w:p>
        </w:tc>
      </w:tr>
    </w:tbl>
    <w:p>
      <w:pPr>
        <w:keepNext w:val="0"/>
        <w:keepLines w:val="0"/>
        <w:pageBreakBefore w:val="0"/>
        <w:widowControl w:val="0"/>
        <w:kinsoku/>
        <w:wordWrap/>
        <w:overflowPunct/>
        <w:topLinePunct w:val="0"/>
        <w:autoSpaceDE/>
        <w:autoSpaceDN/>
        <w:bidi w:val="0"/>
        <w:adjustRightInd w:val="0"/>
        <w:snapToGrid w:val="0"/>
        <w:spacing w:line="460" w:lineRule="exact"/>
        <w:ind w:left="560"/>
        <w:textAlignment w:val="auto"/>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评估总</w:t>
      </w:r>
      <w:r>
        <w:rPr>
          <w:rFonts w:hint="eastAsia" w:ascii="仿宋_GB2312" w:eastAsia="仿宋_GB2312"/>
          <w:color w:val="000000" w:themeColor="text1"/>
          <w:lang w:val="en-US" w:eastAsia="zh-CN"/>
          <w14:textFill>
            <w14:solidFill>
              <w14:schemeClr w14:val="tx1"/>
            </w14:solidFill>
          </w14:textFill>
        </w:rPr>
        <w:t>额</w:t>
      </w:r>
      <w:r>
        <w:rPr>
          <w:rFonts w:hint="eastAsia" w:ascii="仿宋_GB2312" w:eastAsia="仿宋_GB2312"/>
          <w:color w:val="000000" w:themeColor="text1"/>
          <w14:textFill>
            <w14:solidFill>
              <w14:schemeClr w14:val="tx1"/>
            </w14:solidFill>
          </w14:textFill>
        </w:rPr>
        <w:t>：</w:t>
      </w:r>
      <w:r>
        <w:rPr>
          <w:rFonts w:hint="eastAsia" w:ascii="仿宋_GB2312" w:eastAsia="仿宋_GB2312"/>
          <w:color w:val="000000" w:themeColor="text1"/>
          <w:lang w:eastAsia="zh-CN"/>
          <w14:textFill>
            <w14:solidFill>
              <w14:schemeClr w14:val="tx1"/>
            </w14:solidFill>
          </w14:textFill>
        </w:rPr>
        <w:t>估价对象</w:t>
      </w:r>
      <w:r>
        <w:rPr>
          <w:rFonts w:hint="eastAsia" w:ascii="仿宋_GB2312" w:eastAsia="仿宋_GB2312"/>
          <w:color w:val="000000" w:themeColor="text1"/>
          <w:lang w:val="en-US" w:eastAsia="zh-CN"/>
          <w14:textFill>
            <w14:solidFill>
              <w14:schemeClr w14:val="tx1"/>
            </w14:solidFill>
          </w14:textFill>
        </w:rPr>
        <w:t>1+估价对象2=824.92+75.03=899.95</w:t>
      </w:r>
      <w:r>
        <w:rPr>
          <w:rFonts w:hint="eastAsia" w:ascii="仿宋_GB2312" w:eastAsia="仿宋_GB2312"/>
          <w:color w:val="000000" w:themeColor="text1"/>
          <w14:textFill>
            <w14:solidFill>
              <w14:schemeClr w14:val="tx1"/>
            </w14:solidFill>
          </w14:textFill>
        </w:rPr>
        <w:t>万元</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ascii="宋体" w:hAnsi="宋体"/>
          <w:color w:val="000000" w:themeColor="text1"/>
          <w:sz w:val="18"/>
          <w14:textFill>
            <w14:solidFill>
              <w14:schemeClr w14:val="tx1"/>
            </w14:solidFill>
          </w14:textFill>
        </w:rPr>
      </w:pPr>
      <w:r>
        <w:rPr>
          <w:rFonts w:hint="eastAsia" w:ascii="仿宋_GB2312" w:eastAsia="仿宋_GB2312"/>
          <w:color w:val="000000" w:themeColor="text1"/>
          <w14:textFill>
            <w14:solidFill>
              <w14:schemeClr w14:val="tx1"/>
            </w14:solidFill>
          </w14:textFill>
        </w:rPr>
        <w:t xml:space="preserve">    总</w:t>
      </w:r>
      <w:r>
        <w:rPr>
          <w:rFonts w:hint="eastAsia" w:ascii="仿宋_GB2312" w:eastAsia="仿宋_GB2312"/>
          <w:color w:val="000000" w:themeColor="text1"/>
          <w:lang w:val="en-US" w:eastAsia="zh-CN"/>
          <w14:textFill>
            <w14:solidFill>
              <w14:schemeClr w14:val="tx1"/>
            </w14:solidFill>
          </w14:textFill>
        </w:rPr>
        <w:t>额</w:t>
      </w:r>
      <w:r>
        <w:rPr>
          <w:rFonts w:hint="eastAsia" w:ascii="仿宋_GB2312" w:eastAsia="仿宋_GB2312"/>
          <w:color w:val="000000" w:themeColor="text1"/>
          <w14:textFill>
            <w14:solidFill>
              <w14:schemeClr w14:val="tx1"/>
            </w14:solidFill>
          </w14:textFill>
        </w:rPr>
        <w:t>大写：人民币</w:t>
      </w:r>
      <w:r>
        <w:rPr>
          <w:rFonts w:hint="eastAsia" w:ascii="仿宋_GB2312" w:eastAsia="仿宋_GB2312"/>
          <w:color w:val="000000" w:themeColor="text1"/>
          <w:lang w:eastAsia="zh-CN"/>
          <w14:textFill>
            <w14:solidFill>
              <w14:schemeClr w14:val="tx1"/>
            </w14:solidFill>
          </w14:textFill>
        </w:rPr>
        <w:t>捌佰玖拾玖万玖仟伍佰元整</w:t>
      </w:r>
      <w:r>
        <w:rPr>
          <w:rFonts w:hint="eastAsia" w:ascii="仿宋_GB2312" w:eastAsia="仿宋_GB2312"/>
          <w:color w:val="000000" w:themeColor="text1"/>
          <w14:textFill>
            <w14:solidFill>
              <w14:schemeClr w14:val="tx1"/>
            </w14:solidFill>
          </w14:textFill>
        </w:rPr>
        <w:t xml:space="preserve">                </w:t>
      </w:r>
    </w:p>
    <w:p>
      <w:pPr>
        <w:keepNext w:val="0"/>
        <w:keepLines w:val="0"/>
        <w:pageBreakBefore w:val="0"/>
        <w:widowControl w:val="0"/>
        <w:numPr>
          <w:ilvl w:val="0"/>
          <w:numId w:val="10"/>
        </w:numPr>
        <w:kinsoku/>
        <w:wordWrap/>
        <w:overflowPunct/>
        <w:topLinePunct w:val="0"/>
        <w:autoSpaceDE/>
        <w:autoSpaceDN/>
        <w:bidi w:val="0"/>
        <w:spacing w:line="460" w:lineRule="exact"/>
        <w:ind w:firstLine="560" w:firstLineChars="200"/>
        <w:textAlignment w:val="auto"/>
        <w:rPr>
          <w:rStyle w:val="27"/>
          <w:rFonts w:hint="eastAsia" w:ascii="仿宋_GB2312" w:hAnsi="仿宋_GB2312" w:eastAsia="仿宋_GB2312" w:cs="仿宋_GB2312"/>
          <w:b w:val="0"/>
          <w:bCs/>
          <w:color w:val="000000" w:themeColor="text1"/>
          <w:sz w:val="28"/>
          <w:szCs w:val="28"/>
          <w14:textFill>
            <w14:solidFill>
              <w14:schemeClr w14:val="tx1"/>
            </w14:solidFill>
          </w14:textFill>
        </w:rPr>
      </w:pPr>
      <w:bookmarkStart w:id="84" w:name="_Toc437265342"/>
      <w:bookmarkStart w:id="85" w:name="_Toc10964"/>
      <w:r>
        <w:rPr>
          <w:rStyle w:val="27"/>
          <w:rFonts w:hint="eastAsia" w:ascii="仿宋_GB2312" w:hAnsi="仿宋_GB2312" w:eastAsia="仿宋_GB2312" w:cs="仿宋_GB2312"/>
          <w:b w:val="0"/>
          <w:bCs/>
          <w:color w:val="000000" w:themeColor="text1"/>
          <w:sz w:val="28"/>
          <w:szCs w:val="28"/>
          <w14:textFill>
            <w14:solidFill>
              <w14:schemeClr w14:val="tx1"/>
            </w14:solidFill>
          </w14:textFill>
        </w:rPr>
        <w:t>注册房地产估价师</w:t>
      </w:r>
      <w:bookmarkEnd w:id="84"/>
    </w:p>
    <w:bookmarkEnd w:id="85"/>
    <w:tbl>
      <w:tblPr>
        <w:tblStyle w:val="24"/>
        <w:tblW w:w="100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4"/>
        <w:gridCol w:w="2436"/>
        <w:gridCol w:w="2551"/>
        <w:gridCol w:w="3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1924" w:type="dxa"/>
            <w:vAlign w:val="center"/>
          </w:tcPr>
          <w:p>
            <w:pPr>
              <w:jc w:val="center"/>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姓</w:t>
            </w:r>
            <w:r>
              <w:rPr>
                <w:rFonts w:hint="eastAsia"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名</w:t>
            </w:r>
          </w:p>
        </w:tc>
        <w:tc>
          <w:tcPr>
            <w:tcW w:w="2436" w:type="dxa"/>
            <w:vAlign w:val="center"/>
          </w:tcPr>
          <w:p>
            <w:pPr>
              <w:jc w:val="center"/>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注册号</w:t>
            </w:r>
          </w:p>
        </w:tc>
        <w:tc>
          <w:tcPr>
            <w:tcW w:w="2551" w:type="dxa"/>
            <w:vAlign w:val="center"/>
          </w:tcPr>
          <w:p>
            <w:pPr>
              <w:jc w:val="center"/>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签名</w:t>
            </w:r>
          </w:p>
        </w:tc>
        <w:tc>
          <w:tcPr>
            <w:tcW w:w="3094" w:type="dxa"/>
            <w:vAlign w:val="center"/>
          </w:tcPr>
          <w:p>
            <w:pPr>
              <w:jc w:val="center"/>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atLeast"/>
          <w:jc w:val="center"/>
        </w:trPr>
        <w:tc>
          <w:tcPr>
            <w:tcW w:w="1924" w:type="dxa"/>
            <w:vAlign w:val="center"/>
          </w:tcPr>
          <w:p>
            <w:pPr>
              <w:jc w:val="center"/>
              <w:rPr>
                <w:rFonts w:hint="default" w:asciiTheme="minorEastAsia" w:hAnsiTheme="minorEastAsia" w:eastAsiaTheme="minorEastAsia" w:cstheme="minorEastAsia"/>
                <w:color w:val="000000" w:themeColor="text1"/>
                <w:kern w:val="0"/>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艾巧琳</w:t>
            </w:r>
          </w:p>
        </w:tc>
        <w:tc>
          <w:tcPr>
            <w:tcW w:w="2436" w:type="dxa"/>
            <w:vAlign w:val="center"/>
          </w:tcPr>
          <w:p>
            <w:pPr>
              <w:jc w:val="center"/>
              <w:rPr>
                <w:rFonts w:hint="eastAsia"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5120050058</w:t>
            </w:r>
          </w:p>
        </w:tc>
        <w:tc>
          <w:tcPr>
            <w:tcW w:w="2551" w:type="dxa"/>
            <w:vAlign w:val="center"/>
          </w:tcPr>
          <w:p>
            <w:pPr>
              <w:jc w:val="center"/>
              <w:rPr>
                <w:rFonts w:asciiTheme="minorEastAsia" w:hAnsiTheme="minorEastAsia" w:eastAsiaTheme="minorEastAsia" w:cstheme="minorEastAsia"/>
                <w:color w:val="000000" w:themeColor="text1"/>
                <w:kern w:val="0"/>
                <w:sz w:val="18"/>
                <w:szCs w:val="18"/>
                <w14:textFill>
                  <w14:solidFill>
                    <w14:schemeClr w14:val="tx1"/>
                  </w14:solidFill>
                </w14:textFill>
              </w:rPr>
            </w:pPr>
          </w:p>
        </w:tc>
        <w:tc>
          <w:tcPr>
            <w:tcW w:w="3094" w:type="dxa"/>
            <w:vAlign w:val="center"/>
          </w:tcPr>
          <w:p>
            <w:pPr>
              <w:jc w:val="center"/>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jc w:val="center"/>
        </w:trPr>
        <w:tc>
          <w:tcPr>
            <w:tcW w:w="1924" w:type="dxa"/>
            <w:vAlign w:val="center"/>
          </w:tcPr>
          <w:p>
            <w:pPr>
              <w:jc w:val="cente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高  涛</w:t>
            </w:r>
          </w:p>
        </w:tc>
        <w:tc>
          <w:tcPr>
            <w:tcW w:w="2436" w:type="dxa"/>
            <w:vAlign w:val="center"/>
          </w:tcPr>
          <w:p>
            <w:pPr>
              <w:jc w:val="cente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lang w:eastAsia="zh-CN"/>
                <w14:textFill>
                  <w14:solidFill>
                    <w14:schemeClr w14:val="tx1"/>
                  </w14:solidFill>
                </w14:textFill>
              </w:rPr>
              <w:t>5120180033</w:t>
            </w:r>
          </w:p>
        </w:tc>
        <w:tc>
          <w:tcPr>
            <w:tcW w:w="2551" w:type="dxa"/>
            <w:vAlign w:val="center"/>
          </w:tcPr>
          <w:p>
            <w:pPr>
              <w:jc w:val="center"/>
              <w:rPr>
                <w:rFonts w:asciiTheme="minorEastAsia" w:hAnsiTheme="minorEastAsia" w:eastAsiaTheme="minorEastAsia" w:cstheme="minorEastAsia"/>
                <w:color w:val="000000" w:themeColor="text1"/>
                <w:kern w:val="0"/>
                <w:sz w:val="18"/>
                <w:szCs w:val="18"/>
                <w14:textFill>
                  <w14:solidFill>
                    <w14:schemeClr w14:val="tx1"/>
                  </w14:solidFill>
                </w14:textFill>
              </w:rPr>
            </w:pPr>
          </w:p>
        </w:tc>
        <w:tc>
          <w:tcPr>
            <w:tcW w:w="3094" w:type="dxa"/>
            <w:vAlign w:val="center"/>
          </w:tcPr>
          <w:p>
            <w:pPr>
              <w:jc w:val="center"/>
              <w:rPr>
                <w:rFonts w:asciiTheme="minorEastAsia" w:hAnsiTheme="minorEastAsia" w:eastAsiaTheme="minorEastAsia" w:cstheme="minorEastAsia"/>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年   月   日</w:t>
            </w:r>
          </w:p>
        </w:tc>
      </w:tr>
    </w:tbl>
    <w:p>
      <w:pPr>
        <w:spacing w:line="600" w:lineRule="exact"/>
        <w:ind w:firstLine="560" w:firstLineChars="200"/>
        <w:rPr>
          <w:rStyle w:val="27"/>
          <w:rFonts w:ascii="仿宋_GB2312" w:hAnsi="仿宋_GB2312" w:eastAsia="仿宋_GB2312" w:cs="仿宋_GB2312"/>
          <w:b w:val="0"/>
          <w:bCs/>
          <w:color w:val="000000" w:themeColor="text1"/>
          <w:sz w:val="28"/>
          <w:szCs w:val="28"/>
          <w14:textFill>
            <w14:solidFill>
              <w14:schemeClr w14:val="tx1"/>
            </w14:solidFill>
          </w14:textFill>
        </w:rPr>
      </w:pPr>
      <w:bookmarkStart w:id="86" w:name="_Toc437265343"/>
      <w:bookmarkStart w:id="87" w:name="_Toc25094"/>
      <w:r>
        <w:rPr>
          <w:rStyle w:val="27"/>
          <w:rFonts w:hint="eastAsia" w:ascii="仿宋_GB2312" w:hAnsi="仿宋_GB2312" w:eastAsia="仿宋_GB2312" w:cs="仿宋_GB2312"/>
          <w:b w:val="0"/>
          <w:bCs/>
          <w:color w:val="000000" w:themeColor="text1"/>
          <w:sz w:val="28"/>
          <w:szCs w:val="28"/>
          <w14:textFill>
            <w14:solidFill>
              <w14:schemeClr w14:val="tx1"/>
            </w14:solidFill>
          </w14:textFill>
        </w:rPr>
        <w:t>（十二）实地查勘期</w:t>
      </w:r>
      <w:bookmarkEnd w:id="86"/>
    </w:p>
    <w:bookmarkEnd w:id="87"/>
    <w:p>
      <w:pPr>
        <w:spacing w:line="360" w:lineRule="auto"/>
        <w:ind w:firstLine="555"/>
        <w:rPr>
          <w:rFonts w:hint="default" w:ascii="仿宋_GB2312" w:eastAsia="仿宋_GB2312"/>
          <w:color w:val="000000" w:themeColor="text1"/>
          <w:lang w:val="en-US" w:eastAsia="zh-CN"/>
          <w14:textFill>
            <w14:solidFill>
              <w14:schemeClr w14:val="tx1"/>
            </w14:solidFill>
          </w14:textFill>
        </w:rPr>
      </w:pPr>
      <w:r>
        <w:rPr>
          <w:rFonts w:hint="eastAsia" w:ascii="仿宋_GB2312" w:eastAsia="仿宋_GB2312"/>
          <w:color w:val="000000" w:themeColor="text1"/>
          <w:lang w:val="en-US" w:eastAsia="zh-CN"/>
          <w14:textFill>
            <w14:solidFill>
              <w14:schemeClr w14:val="tx1"/>
            </w14:solidFill>
          </w14:textFill>
        </w:rPr>
        <w:t>2021年3月25日</w:t>
      </w:r>
    </w:p>
    <w:p>
      <w:pPr>
        <w:spacing w:line="600" w:lineRule="exact"/>
        <w:ind w:firstLine="560" w:firstLineChars="200"/>
        <w:rPr>
          <w:rStyle w:val="27"/>
          <w:rFonts w:ascii="仿宋_GB2312" w:hAnsi="仿宋_GB2312" w:eastAsia="仿宋_GB2312" w:cs="仿宋_GB2312"/>
          <w:b w:val="0"/>
          <w:bCs/>
          <w:color w:val="000000" w:themeColor="text1"/>
          <w:sz w:val="28"/>
          <w:szCs w:val="28"/>
          <w14:textFill>
            <w14:solidFill>
              <w14:schemeClr w14:val="tx1"/>
            </w14:solidFill>
          </w14:textFill>
        </w:rPr>
      </w:pPr>
      <w:bookmarkStart w:id="88" w:name="_Toc437265344"/>
      <w:bookmarkStart w:id="89" w:name="_Toc22813"/>
      <w:r>
        <w:rPr>
          <w:rStyle w:val="27"/>
          <w:rFonts w:hint="eastAsia" w:ascii="仿宋_GB2312" w:hAnsi="仿宋_GB2312" w:eastAsia="仿宋_GB2312" w:cs="仿宋_GB2312"/>
          <w:b w:val="0"/>
          <w:bCs/>
          <w:color w:val="000000" w:themeColor="text1"/>
          <w:sz w:val="28"/>
          <w:szCs w:val="28"/>
          <w14:textFill>
            <w14:solidFill>
              <w14:schemeClr w14:val="tx1"/>
            </w14:solidFill>
          </w14:textFill>
        </w:rPr>
        <w:t>（十三）估价作业期</w:t>
      </w:r>
      <w:bookmarkEnd w:id="88"/>
    </w:p>
    <w:bookmarkEnd w:id="89"/>
    <w:p>
      <w:pPr>
        <w:spacing w:line="360" w:lineRule="auto"/>
        <w:ind w:firstLine="555"/>
        <w:rPr>
          <w:rFonts w:hint="eastAsia" w:ascii="仿宋_GB2312" w:eastAsia="仿宋_GB2312"/>
          <w:color w:val="000000" w:themeColor="text1"/>
          <w:lang w:eastAsia="zh-CN"/>
          <w14:textFill>
            <w14:solidFill>
              <w14:schemeClr w14:val="tx1"/>
            </w14:solidFill>
          </w14:textFill>
        </w:rPr>
      </w:pPr>
      <w:r>
        <w:rPr>
          <w:rFonts w:hint="eastAsia" w:ascii="仿宋_GB2312" w:eastAsia="仿宋_GB2312"/>
          <w:color w:val="000000" w:themeColor="text1"/>
          <w:lang w:val="en-US" w:eastAsia="zh-CN"/>
          <w14:textFill>
            <w14:solidFill>
              <w14:schemeClr w14:val="tx1"/>
            </w14:solidFill>
          </w14:textFill>
        </w:rPr>
        <w:t>2021年3月25日</w:t>
      </w:r>
      <w:r>
        <w:rPr>
          <w:rFonts w:ascii="仿宋_GB2312" w:eastAsia="仿宋_GB2312"/>
          <w:color w:val="000000" w:themeColor="text1"/>
          <w14:textFill>
            <w14:solidFill>
              <w14:schemeClr w14:val="tx1"/>
            </w14:solidFill>
          </w14:textFill>
        </w:rPr>
        <w:t>--</w:t>
      </w:r>
      <w:r>
        <w:rPr>
          <w:rFonts w:hint="eastAsia" w:ascii="仿宋_GB2312" w:eastAsia="仿宋_GB2312"/>
          <w:color w:val="000000" w:themeColor="text1"/>
          <w:lang w:eastAsia="zh-CN"/>
          <w14:textFill>
            <w14:solidFill>
              <w14:schemeClr w14:val="tx1"/>
            </w14:solidFill>
          </w14:textFill>
        </w:rPr>
        <w:t>2021年9月22日</w:t>
      </w:r>
    </w:p>
    <w:p>
      <w:pPr>
        <w:spacing w:line="360" w:lineRule="auto"/>
        <w:ind w:firstLine="3640" w:firstLineChars="1300"/>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 xml:space="preserve">   </w:t>
      </w:r>
    </w:p>
    <w:p>
      <w:pPr>
        <w:spacing w:line="360" w:lineRule="auto"/>
        <w:ind w:firstLine="4480" w:firstLineChars="1600"/>
        <w:rPr>
          <w:rFonts w:hint="eastAsia" w:ascii="仿宋_GB2312" w:eastAsia="仿宋_GB2312"/>
          <w:color w:val="000000" w:themeColor="text1"/>
          <w:lang w:eastAsia="zh-CN"/>
          <w14:textFill>
            <w14:solidFill>
              <w14:schemeClr w14:val="tx1"/>
            </w14:solidFill>
          </w14:textFill>
        </w:rPr>
      </w:pPr>
      <w:r>
        <w:rPr>
          <w:rFonts w:hint="eastAsia" w:ascii="仿宋_GB2312" w:eastAsia="仿宋_GB2312"/>
          <w:color w:val="000000" w:themeColor="text1"/>
          <w:lang w:eastAsia="zh-CN"/>
          <w14:textFill>
            <w14:solidFill>
              <w14:schemeClr w14:val="tx1"/>
            </w14:solidFill>
          </w14:textFill>
        </w:rPr>
        <w:t>四川吉祥房地产土地资产评估有限公司</w:t>
      </w:r>
    </w:p>
    <w:p>
      <w:pPr>
        <w:spacing w:line="360" w:lineRule="auto"/>
        <w:ind w:firstLine="5740" w:firstLineChars="2050"/>
        <w:jc w:val="center"/>
        <w:rPr>
          <w:rFonts w:hint="eastAsia" w:ascii="仿宋_GB2312" w:hAnsi="仿宋_GB2312" w:eastAsia="仿宋_GB2312" w:cs="仿宋_GB2312"/>
          <w:color w:val="000000" w:themeColor="text1"/>
          <w:lang w:eastAsia="zh-CN"/>
          <w14:textFill>
            <w14:solidFill>
              <w14:schemeClr w14:val="tx1"/>
            </w14:solidFill>
          </w14:textFill>
        </w:rPr>
        <w:sectPr>
          <w:pgSz w:w="11906" w:h="16838"/>
          <w:pgMar w:top="1134" w:right="862" w:bottom="1134" w:left="1253" w:header="851" w:footer="992" w:gutter="0"/>
          <w:cols w:space="425" w:num="1"/>
          <w:docGrid w:type="linesAndChars" w:linePitch="312" w:charSpace="0"/>
        </w:sectPr>
      </w:pPr>
      <w:r>
        <w:rPr>
          <w:rFonts w:hint="eastAsia" w:ascii="仿宋_GB2312" w:hAnsi="仿宋_GB2312" w:eastAsia="仿宋_GB2312" w:cs="仿宋_GB2312"/>
          <w:color w:val="000000" w:themeColor="text1"/>
          <w:lang w:eastAsia="zh-CN"/>
          <w14:textFill>
            <w14:solidFill>
              <w14:schemeClr w14:val="tx1"/>
            </w14:solidFill>
          </w14:textFill>
        </w:rPr>
        <w:t>2021年9月22日</w:t>
      </w:r>
    </w:p>
    <w:p>
      <w:pPr>
        <w:pStyle w:val="2"/>
        <w:spacing w:before="0" w:after="0" w:line="480" w:lineRule="auto"/>
        <w:ind w:firstLine="643"/>
        <w:jc w:val="center"/>
        <w:rPr>
          <w:rFonts w:ascii="黑体" w:eastAsia="黑体"/>
          <w:color w:val="000000" w:themeColor="text1"/>
          <w:sz w:val="32"/>
          <w:szCs w:val="32"/>
          <w14:textFill>
            <w14:solidFill>
              <w14:schemeClr w14:val="tx1"/>
            </w14:solidFill>
          </w14:textFill>
        </w:rPr>
      </w:pPr>
      <w:bookmarkStart w:id="90" w:name="_Toc10563"/>
      <w:r>
        <w:rPr>
          <w:rFonts w:hint="eastAsia" w:ascii="黑体" w:hAnsi="黑体" w:eastAsia="黑体" w:cs="黑体"/>
          <w:bCs w:val="0"/>
          <w:color w:val="000000" w:themeColor="text1"/>
          <w:sz w:val="32"/>
          <w:szCs w:val="32"/>
          <w:lang w:eastAsia="zh-CN"/>
          <w14:textFill>
            <w14:solidFill>
              <w14:schemeClr w14:val="tx1"/>
            </w14:solidFill>
          </w14:textFill>
        </w:rPr>
        <w:t>四</w:t>
      </w:r>
      <w:r>
        <w:rPr>
          <w:rFonts w:hint="eastAsia" w:ascii="黑体" w:hAnsi="黑体" w:eastAsia="黑体" w:cs="黑体"/>
          <w:bCs w:val="0"/>
          <w:color w:val="000000" w:themeColor="text1"/>
          <w:sz w:val="32"/>
          <w:szCs w:val="32"/>
          <w14:textFill>
            <w14:solidFill>
              <w14:schemeClr w14:val="tx1"/>
            </w14:solidFill>
          </w14:textFill>
        </w:rPr>
        <w:t>、附      件</w:t>
      </w:r>
      <w:bookmarkEnd w:id="90"/>
    </w:p>
    <w:p>
      <w:pPr>
        <w:spacing w:line="600" w:lineRule="exact"/>
        <w:ind w:firstLine="560" w:firstLineChars="200"/>
        <w:rPr>
          <w:rStyle w:val="27"/>
          <w:rFonts w:hint="eastAsia" w:ascii="仿宋_GB2312" w:hAnsi="仿宋_GB2312" w:eastAsia="仿宋_GB2312" w:cs="仿宋_GB2312"/>
          <w:b w:val="0"/>
          <w:bCs/>
          <w:color w:val="000000" w:themeColor="text1"/>
          <w:sz w:val="28"/>
          <w:szCs w:val="28"/>
          <w14:textFill>
            <w14:solidFill>
              <w14:schemeClr w14:val="tx1"/>
            </w14:solidFill>
          </w14:textFill>
        </w:rPr>
      </w:pPr>
      <w:bookmarkStart w:id="91" w:name="_Toc16388"/>
      <w:bookmarkStart w:id="92" w:name="_Toc10265"/>
      <w:bookmarkStart w:id="93" w:name="_Toc13886"/>
      <w:r>
        <w:rPr>
          <w:rStyle w:val="27"/>
          <w:rFonts w:hint="eastAsia" w:ascii="仿宋_GB2312" w:hAnsi="仿宋_GB2312" w:eastAsia="仿宋_GB2312" w:cs="仿宋_GB2312"/>
          <w:b w:val="0"/>
          <w:bCs/>
          <w:color w:val="000000" w:themeColor="text1"/>
          <w:sz w:val="28"/>
          <w:szCs w:val="28"/>
          <w:lang w:eastAsia="zh-CN"/>
          <w14:textFill>
            <w14:solidFill>
              <w14:schemeClr w14:val="tx1"/>
            </w14:solidFill>
          </w14:textFill>
        </w:rPr>
        <w:t>（</w:t>
      </w:r>
      <w:r>
        <w:rPr>
          <w:rStyle w:val="27"/>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一）</w:t>
      </w:r>
      <w:r>
        <w:rPr>
          <w:rStyle w:val="27"/>
          <w:rFonts w:hint="eastAsia" w:ascii="仿宋_GB2312" w:hAnsi="仿宋_GB2312" w:eastAsia="仿宋_GB2312" w:cs="仿宋_GB2312"/>
          <w:b w:val="0"/>
          <w:bCs/>
          <w:color w:val="000000" w:themeColor="text1"/>
          <w:sz w:val="28"/>
          <w:szCs w:val="28"/>
          <w:lang w:eastAsia="zh-CN"/>
          <w14:textFill>
            <w14:solidFill>
              <w14:schemeClr w14:val="tx1"/>
            </w14:solidFill>
          </w14:textFill>
        </w:rPr>
        <w:t>《房地产估价委托书》</w:t>
      </w:r>
      <w:r>
        <w:rPr>
          <w:rStyle w:val="27"/>
          <w:rFonts w:hint="eastAsia" w:ascii="仿宋_GB2312" w:hAnsi="仿宋_GB2312" w:eastAsia="仿宋_GB2312" w:cs="仿宋_GB2312"/>
          <w:b w:val="0"/>
          <w:bCs/>
          <w:color w:val="000000" w:themeColor="text1"/>
          <w:sz w:val="28"/>
          <w:szCs w:val="28"/>
          <w14:textFill>
            <w14:solidFill>
              <w14:schemeClr w14:val="tx1"/>
            </w14:solidFill>
          </w14:textFill>
        </w:rPr>
        <w:t>（复印件）</w:t>
      </w:r>
      <w:bookmarkEnd w:id="91"/>
      <w:bookmarkEnd w:id="92"/>
      <w:bookmarkEnd w:id="93"/>
      <w:bookmarkStart w:id="94" w:name="_Toc9781"/>
      <w:bookmarkStart w:id="95" w:name="_Toc5485"/>
      <w:bookmarkStart w:id="96" w:name="_Toc32247"/>
    </w:p>
    <w:p>
      <w:pPr>
        <w:spacing w:line="600" w:lineRule="exact"/>
        <w:ind w:firstLine="560" w:firstLineChars="200"/>
        <w:rPr>
          <w:rStyle w:val="27"/>
          <w:rFonts w:hint="eastAsia" w:ascii="仿宋_GB2312" w:hAnsi="仿宋_GB2312" w:eastAsia="仿宋_GB2312" w:cs="仿宋_GB2312"/>
          <w:b w:val="0"/>
          <w:bCs/>
          <w:color w:val="000000" w:themeColor="text1"/>
          <w:sz w:val="28"/>
          <w:szCs w:val="28"/>
          <w14:textFill>
            <w14:solidFill>
              <w14:schemeClr w14:val="tx1"/>
            </w14:solidFill>
          </w14:textFill>
        </w:rPr>
      </w:pPr>
      <w:r>
        <w:rPr>
          <w:rStyle w:val="27"/>
          <w:rFonts w:hint="eastAsia" w:ascii="仿宋_GB2312" w:hAnsi="仿宋_GB2312" w:eastAsia="仿宋_GB2312" w:cs="仿宋_GB2312"/>
          <w:b w:val="0"/>
          <w:bCs/>
          <w:color w:val="000000" w:themeColor="text1"/>
          <w:sz w:val="28"/>
          <w:szCs w:val="28"/>
          <w14:textFill>
            <w14:solidFill>
              <w14:schemeClr w14:val="tx1"/>
            </w14:solidFill>
          </w14:textFill>
        </w:rPr>
        <w:t>（二）估价对象位置图</w:t>
      </w:r>
      <w:bookmarkEnd w:id="94"/>
      <w:bookmarkEnd w:id="95"/>
      <w:bookmarkEnd w:id="96"/>
      <w:bookmarkStart w:id="97" w:name="_Toc9875"/>
      <w:bookmarkStart w:id="98" w:name="_Toc32648"/>
      <w:bookmarkStart w:id="99" w:name="_Toc26112"/>
    </w:p>
    <w:p>
      <w:pPr>
        <w:pStyle w:val="3"/>
        <w:numPr>
          <w:ilvl w:val="0"/>
          <w:numId w:val="0"/>
        </w:numPr>
        <w:spacing w:before="0" w:after="0" w:line="360" w:lineRule="auto"/>
        <w:ind w:leftChars="200"/>
        <w:rPr>
          <w:rStyle w:val="27"/>
          <w:rFonts w:hint="eastAsia" w:ascii="仿宋_GB2312" w:hAnsi="仿宋_GB2312" w:eastAsia="仿宋_GB2312" w:cs="仿宋_GB2312"/>
          <w:b w:val="0"/>
          <w:bCs/>
          <w:color w:val="000000" w:themeColor="text1"/>
          <w:sz w:val="28"/>
          <w:szCs w:val="28"/>
          <w14:textFill>
            <w14:solidFill>
              <w14:schemeClr w14:val="tx1"/>
            </w14:solidFill>
          </w14:textFill>
        </w:rPr>
      </w:pPr>
      <w:r>
        <w:rPr>
          <w:rStyle w:val="27"/>
          <w:rFonts w:hint="eastAsia" w:ascii="仿宋_GB2312" w:hAnsi="仿宋_GB2312" w:eastAsia="仿宋_GB2312" w:cs="仿宋_GB2312"/>
          <w:b w:val="0"/>
          <w:bCs/>
          <w:color w:val="000000" w:themeColor="text1"/>
          <w:sz w:val="28"/>
          <w:szCs w:val="28"/>
          <w:lang w:eastAsia="zh-CN"/>
          <w14:textFill>
            <w14:solidFill>
              <w14:schemeClr w14:val="tx1"/>
            </w14:solidFill>
          </w14:textFill>
        </w:rPr>
        <w:t>（</w:t>
      </w:r>
      <w:r>
        <w:rPr>
          <w:rStyle w:val="27"/>
          <w:rFonts w:hint="eastAsia" w:ascii="仿宋_GB2312" w:hAnsi="仿宋_GB2312" w:eastAsia="仿宋_GB2312" w:cs="仿宋_GB2312"/>
          <w:b w:val="0"/>
          <w:bCs/>
          <w:color w:val="000000" w:themeColor="text1"/>
          <w:sz w:val="28"/>
          <w:szCs w:val="28"/>
          <w:lang w:val="en-US" w:eastAsia="zh-CN"/>
          <w14:textFill>
            <w14:solidFill>
              <w14:schemeClr w14:val="tx1"/>
            </w14:solidFill>
          </w14:textFill>
        </w:rPr>
        <w:t>三）</w:t>
      </w:r>
      <w:r>
        <w:rPr>
          <w:rStyle w:val="27"/>
          <w:rFonts w:hint="eastAsia" w:ascii="仿宋_GB2312" w:hAnsi="仿宋_GB2312" w:eastAsia="仿宋_GB2312" w:cs="仿宋_GB2312"/>
          <w:b w:val="0"/>
          <w:bCs/>
          <w:color w:val="000000" w:themeColor="text1"/>
          <w:sz w:val="28"/>
          <w:szCs w:val="28"/>
          <w14:textFill>
            <w14:solidFill>
              <w14:schemeClr w14:val="tx1"/>
            </w14:solidFill>
          </w14:textFill>
        </w:rPr>
        <w:t>估价对象内部状况照片、外部状况照片、周围环境和景观照片</w:t>
      </w:r>
      <w:bookmarkEnd w:id="97"/>
      <w:bookmarkEnd w:id="98"/>
      <w:bookmarkEnd w:id="99"/>
      <w:bookmarkStart w:id="100" w:name="_Toc10312"/>
      <w:bookmarkStart w:id="101" w:name="_Toc2096"/>
      <w:bookmarkStart w:id="102" w:name="_Toc3766"/>
    </w:p>
    <w:p>
      <w:pPr>
        <w:pStyle w:val="3"/>
        <w:numPr>
          <w:ilvl w:val="0"/>
          <w:numId w:val="0"/>
        </w:numPr>
        <w:spacing w:before="0" w:after="0" w:line="360" w:lineRule="auto"/>
        <w:ind w:leftChars="200"/>
        <w:rPr>
          <w:rStyle w:val="27"/>
          <w:rFonts w:hint="eastAsia" w:ascii="仿宋_GB2312" w:hAnsi="仿宋_GB2312" w:eastAsia="仿宋_GB2312" w:cs="仿宋_GB2312"/>
          <w:b w:val="0"/>
          <w:bCs/>
          <w:color w:val="000000" w:themeColor="text1"/>
          <w:kern w:val="2"/>
          <w:sz w:val="28"/>
          <w:szCs w:val="28"/>
          <w:lang w:val="en-US" w:eastAsia="zh-CN" w:bidi="ar-SA"/>
          <w14:textFill>
            <w14:solidFill>
              <w14:schemeClr w14:val="tx1"/>
            </w14:solidFill>
          </w14:textFill>
        </w:rPr>
      </w:pPr>
      <w:r>
        <w:rPr>
          <w:rStyle w:val="27"/>
          <w:rFonts w:hint="eastAsia" w:ascii="仿宋_GB2312" w:hAnsi="仿宋_GB2312" w:eastAsia="仿宋_GB2312" w:cs="仿宋_GB2312"/>
          <w:b w:val="0"/>
          <w:bCs/>
          <w:color w:val="000000" w:themeColor="text1"/>
          <w:kern w:val="2"/>
          <w:sz w:val="28"/>
          <w:szCs w:val="28"/>
          <w:lang w:val="en-US" w:eastAsia="zh-CN" w:bidi="ar-SA"/>
          <w14:textFill>
            <w14:solidFill>
              <w14:schemeClr w14:val="tx1"/>
            </w14:solidFill>
          </w14:textFill>
        </w:rPr>
        <w:t>（四）</w:t>
      </w:r>
      <w:bookmarkEnd w:id="100"/>
      <w:bookmarkEnd w:id="101"/>
      <w:r>
        <w:rPr>
          <w:rStyle w:val="27"/>
          <w:rFonts w:hint="eastAsia" w:ascii="仿宋_GB2312" w:hAnsi="仿宋_GB2312" w:eastAsia="仿宋_GB2312" w:cs="仿宋_GB2312"/>
          <w:b w:val="0"/>
          <w:bCs/>
          <w:color w:val="000000" w:themeColor="text1"/>
          <w:kern w:val="2"/>
          <w:sz w:val="28"/>
          <w:szCs w:val="28"/>
          <w:lang w:val="en-US" w:eastAsia="zh-CN" w:bidi="ar-SA"/>
          <w14:textFill>
            <w14:solidFill>
              <w14:schemeClr w14:val="tx1"/>
            </w14:solidFill>
          </w14:textFill>
        </w:rPr>
        <w:t>估价对象查档信息</w:t>
      </w:r>
      <w:bookmarkEnd w:id="102"/>
      <w:bookmarkStart w:id="103" w:name="_Toc22225"/>
    </w:p>
    <w:p>
      <w:pPr>
        <w:pStyle w:val="3"/>
        <w:numPr>
          <w:ilvl w:val="0"/>
          <w:numId w:val="0"/>
        </w:numPr>
        <w:spacing w:before="0" w:after="0" w:line="360" w:lineRule="auto"/>
        <w:ind w:leftChars="200"/>
        <w:rPr>
          <w:rStyle w:val="27"/>
          <w:rFonts w:hint="eastAsia" w:ascii="仿宋_GB2312" w:hAnsi="仿宋_GB2312" w:eastAsia="仿宋_GB2312" w:cs="仿宋_GB2312"/>
          <w:b w:val="0"/>
          <w:bCs/>
          <w:color w:val="000000" w:themeColor="text1"/>
          <w:kern w:val="2"/>
          <w:sz w:val="28"/>
          <w:szCs w:val="28"/>
          <w:lang w:val="en-US" w:eastAsia="zh-CN" w:bidi="ar-SA"/>
          <w14:textFill>
            <w14:solidFill>
              <w14:schemeClr w14:val="tx1"/>
            </w14:solidFill>
          </w14:textFill>
        </w:rPr>
      </w:pPr>
      <w:r>
        <w:rPr>
          <w:rStyle w:val="27"/>
          <w:rFonts w:hint="eastAsia" w:ascii="仿宋_GB2312" w:hAnsi="仿宋_GB2312" w:eastAsia="仿宋_GB2312" w:cs="仿宋_GB2312"/>
          <w:b w:val="0"/>
          <w:bCs/>
          <w:color w:val="000000" w:themeColor="text1"/>
          <w:kern w:val="2"/>
          <w:sz w:val="28"/>
          <w:szCs w:val="28"/>
          <w:lang w:val="en-US" w:eastAsia="zh-CN" w:bidi="ar-SA"/>
          <w14:textFill>
            <w14:solidFill>
              <w14:schemeClr w14:val="tx1"/>
            </w14:solidFill>
          </w14:textFill>
        </w:rPr>
        <w:t>（五）现场查勘表</w:t>
      </w:r>
      <w:bookmarkEnd w:id="103"/>
    </w:p>
    <w:p>
      <w:pPr>
        <w:pStyle w:val="3"/>
        <w:numPr>
          <w:ilvl w:val="0"/>
          <w:numId w:val="11"/>
        </w:numPr>
        <w:spacing w:before="0" w:after="0" w:line="360" w:lineRule="auto"/>
        <w:ind w:leftChars="200"/>
        <w:rPr>
          <w:rStyle w:val="27"/>
          <w:rFonts w:hint="eastAsia" w:ascii="仿宋_GB2312" w:hAnsi="仿宋_GB2312" w:eastAsia="仿宋_GB2312" w:cs="仿宋_GB2312"/>
          <w:b w:val="0"/>
          <w:bCs/>
          <w:color w:val="000000" w:themeColor="text1"/>
          <w:sz w:val="28"/>
          <w:szCs w:val="28"/>
          <w:lang w:eastAsia="zh-CN"/>
          <w14:textFill>
            <w14:solidFill>
              <w14:schemeClr w14:val="tx1"/>
            </w14:solidFill>
          </w14:textFill>
        </w:rPr>
      </w:pPr>
      <w:bookmarkStart w:id="104" w:name="_Toc18876"/>
      <w:bookmarkStart w:id="105" w:name="_Toc16593"/>
      <w:bookmarkStart w:id="106" w:name="_Toc2206"/>
      <w:r>
        <w:rPr>
          <w:rStyle w:val="27"/>
          <w:rFonts w:hint="eastAsia" w:ascii="仿宋_GB2312" w:hAnsi="仿宋_GB2312" w:eastAsia="仿宋_GB2312" w:cs="仿宋_GB2312"/>
          <w:b w:val="0"/>
          <w:bCs/>
          <w:color w:val="000000" w:themeColor="text1"/>
          <w:kern w:val="2"/>
          <w:sz w:val="28"/>
          <w:szCs w:val="28"/>
          <w:lang w:val="en-US" w:eastAsia="zh-CN" w:bidi="ar-SA"/>
          <w14:textFill>
            <w14:solidFill>
              <w14:schemeClr w14:val="tx1"/>
            </w14:solidFill>
          </w14:textFill>
        </w:rPr>
        <w:t>专业帮助情况和相关专业意见</w:t>
      </w:r>
      <w:bookmarkStart w:id="107" w:name="_Toc21072"/>
      <w:bookmarkEnd w:id="104"/>
      <w:bookmarkEnd w:id="105"/>
      <w:bookmarkEnd w:id="106"/>
      <w:r>
        <w:rPr>
          <w:rStyle w:val="27"/>
          <w:rFonts w:hint="eastAsia" w:ascii="仿宋_GB2312" w:hAnsi="仿宋_GB2312" w:eastAsia="仿宋_GB2312" w:cs="仿宋_GB2312"/>
          <w:b w:val="0"/>
          <w:bCs/>
          <w:color w:val="000000" w:themeColor="text1"/>
          <w:kern w:val="2"/>
          <w:sz w:val="28"/>
          <w:szCs w:val="28"/>
          <w:lang w:val="en-US" w:eastAsia="zh-CN" w:bidi="ar-SA"/>
          <w14:textFill>
            <w14:solidFill>
              <w14:schemeClr w14:val="tx1"/>
            </w14:solidFill>
          </w14:textFill>
        </w:rPr>
        <w:t>、可比实例</w:t>
      </w:r>
      <w:bookmarkEnd w:id="107"/>
      <w:bookmarkStart w:id="108" w:name="_Toc2916"/>
    </w:p>
    <w:p>
      <w:pPr>
        <w:pStyle w:val="3"/>
        <w:numPr>
          <w:ilvl w:val="0"/>
          <w:numId w:val="11"/>
        </w:numPr>
        <w:spacing w:before="0" w:after="0" w:line="360" w:lineRule="auto"/>
        <w:ind w:leftChars="200"/>
        <w:rPr>
          <w:rStyle w:val="27"/>
          <w:rFonts w:hint="eastAsia" w:ascii="仿宋_GB2312" w:hAnsi="仿宋_GB2312" w:eastAsia="仿宋_GB2312" w:cs="仿宋_GB2312"/>
          <w:b w:val="0"/>
          <w:bCs/>
          <w:color w:val="000000" w:themeColor="text1"/>
          <w:sz w:val="28"/>
          <w:szCs w:val="28"/>
          <w:lang w:eastAsia="zh-CN"/>
          <w14:textFill>
            <w14:solidFill>
              <w14:schemeClr w14:val="tx1"/>
            </w14:solidFill>
          </w14:textFill>
        </w:rPr>
      </w:pPr>
      <w:r>
        <w:rPr>
          <w:rStyle w:val="27"/>
          <w:rFonts w:hint="eastAsia" w:ascii="仿宋_GB2312" w:hAnsi="仿宋_GB2312" w:eastAsia="仿宋_GB2312" w:cs="仿宋_GB2312"/>
          <w:b w:val="0"/>
          <w:bCs/>
          <w:color w:val="000000" w:themeColor="text1"/>
          <w:sz w:val="28"/>
          <w:szCs w:val="28"/>
          <w:lang w:eastAsia="zh-CN"/>
          <w14:textFill>
            <w14:solidFill>
              <w14:schemeClr w14:val="tx1"/>
            </w14:solidFill>
          </w14:textFill>
        </w:rPr>
        <w:t>《房地估价机构资质证书》、《营业执照》（复印件）</w:t>
      </w:r>
      <w:bookmarkEnd w:id="108"/>
      <w:bookmarkStart w:id="109" w:name="_Toc25123"/>
    </w:p>
    <w:p>
      <w:pPr>
        <w:pStyle w:val="3"/>
        <w:numPr>
          <w:ilvl w:val="0"/>
          <w:numId w:val="11"/>
        </w:numPr>
        <w:spacing w:before="0" w:after="0" w:line="360" w:lineRule="auto"/>
        <w:ind w:leftChars="200"/>
        <w:rPr>
          <w:rStyle w:val="27"/>
          <w:rFonts w:hint="eastAsia" w:ascii="仿宋_GB2312" w:hAnsi="仿宋_GB2312" w:eastAsia="仿宋_GB2312" w:cs="仿宋_GB2312"/>
          <w:b w:val="0"/>
          <w:bCs/>
          <w:color w:val="000000" w:themeColor="text1"/>
          <w:sz w:val="28"/>
          <w:szCs w:val="28"/>
          <w:lang w:eastAsia="zh-CN"/>
          <w14:textFill>
            <w14:solidFill>
              <w14:schemeClr w14:val="tx1"/>
            </w14:solidFill>
          </w14:textFill>
        </w:rPr>
      </w:pPr>
      <w:bookmarkStart w:id="110" w:name="_GoBack"/>
      <w:bookmarkEnd w:id="110"/>
      <w:r>
        <w:rPr>
          <w:rStyle w:val="27"/>
          <w:rFonts w:hint="eastAsia" w:ascii="仿宋_GB2312" w:hAnsi="仿宋_GB2312" w:eastAsia="仿宋_GB2312" w:cs="仿宋_GB2312"/>
          <w:b w:val="0"/>
          <w:bCs/>
          <w:color w:val="000000" w:themeColor="text1"/>
          <w:sz w:val="28"/>
          <w:szCs w:val="28"/>
          <w:lang w:eastAsia="zh-CN"/>
          <w14:textFill>
            <w14:solidFill>
              <w14:schemeClr w14:val="tx1"/>
            </w14:solidFill>
          </w14:textFill>
        </w:rPr>
        <w:t>《注册房地产估价师资格证书》（复印件）</w:t>
      </w:r>
    </w:p>
    <w:bookmarkEnd w:id="109"/>
    <w:p>
      <w:pPr>
        <w:spacing w:before="0" w:after="0" w:line="360" w:lineRule="auto"/>
        <w:jc w:val="center"/>
        <w:outlineLvl w:val="9"/>
        <w:rPr>
          <w:rFonts w:hint="eastAsia" w:ascii="仿宋_GB2312" w:hAnsi="Times New Roman" w:eastAsia="仿宋_GB2312"/>
          <w:b w:val="0"/>
          <w:bCs/>
          <w:color w:val="000000" w:themeColor="text1"/>
          <w:kern w:val="2"/>
          <w:sz w:val="28"/>
          <w:lang w:eastAsia="zh-CN"/>
          <w14:textFill>
            <w14:solidFill>
              <w14:schemeClr w14:val="tx1"/>
            </w14:solidFill>
          </w14:textFill>
        </w:rPr>
      </w:pPr>
    </w:p>
    <w:sectPr>
      <w:footerReference r:id="rId6" w:type="default"/>
      <w:pgSz w:w="11906" w:h="16838"/>
      <w:pgMar w:top="1134" w:right="862" w:bottom="1134" w:left="1255"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6" w:space="1"/>
      </w:pBdr>
    </w:pPr>
  </w:p>
  <w:p>
    <w:pPr>
      <w:spacing w:line="360" w:lineRule="exact"/>
      <w:rPr>
        <w:sz w:val="18"/>
        <w:szCs w:val="18"/>
      </w:rPr>
    </w:pPr>
    <w:r>
      <w:rPr>
        <w:rFonts w:hint="eastAsia"/>
        <w:sz w:val="18"/>
        <w:szCs w:val="18"/>
      </w:rPr>
      <w:t>Add: 成都市金牛区蜀西路52号（中国西部国际珠宝中心1栋403室）          Tel:85571234   85574321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6" w:space="1"/>
      </w:pBdr>
      <w:ind w:firstLine="360"/>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58"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r>
                            <w:rPr>
                              <w:rFonts w:hint="eastAsia"/>
                              <w:sz w:val="18"/>
                            </w:rPr>
                            <w:t xml:space="preserve"> 页</w:t>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Xr5F7rIB&#10;AABPAwAADgAAAAAAAAABACAAAAAeAQAAZHJzL2Uyb0RvYy54bWxQSwUGAAAAAAYABgBZAQAAQgUA&#10;AAAA&#10;">
              <v:fill on="f" focussize="0,0"/>
              <v:stroke on="f"/>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r>
                      <w:rPr>
                        <w:rFonts w:hint="eastAsia"/>
                        <w:sz w:val="18"/>
                      </w:rPr>
                      <w:t xml:space="preserve"> 页</w:t>
                    </w:r>
                  </w:p>
                </w:txbxContent>
              </v:textbox>
            </v:shape>
          </w:pict>
        </mc:Fallback>
      </mc:AlternateContent>
    </w:r>
  </w:p>
  <w:p>
    <w:pPr>
      <w:pStyle w:val="12"/>
      <w:ind w:firstLine="360"/>
      <w:rPr>
        <w:rFonts w:ascii="宋体" w:hAnsi="宋体"/>
        <w:szCs w:val="18"/>
      </w:rPr>
    </w:pPr>
    <w:r>
      <w:rPr>
        <w:rFonts w:hint="eastAsia"/>
        <w:szCs w:val="18"/>
      </w:rPr>
      <w:t>Add: 成都市金牛区蜀西路52号（中国西部国际珠宝中心1栋403室）</w:t>
    </w:r>
    <w:r>
      <w:rPr>
        <w:rFonts w:hint="eastAsia" w:ascii="宋体" w:hAnsi="宋体"/>
        <w:color w:val="000000"/>
      </w:rPr>
      <w:t xml:space="preserve">Tel:85571234   85574321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6" w:space="1"/>
      </w:pBdr>
      <w:ind w:firstLine="360"/>
    </w:pPr>
  </w:p>
  <w:p>
    <w:pPr>
      <w:pStyle w:val="12"/>
      <w:ind w:firstLine="360"/>
      <w:rPr>
        <w:rFonts w:ascii="宋体" w:hAnsi="宋体"/>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9789"/>
        <w:tab w:val="clear" w:pos="8306"/>
      </w:tabs>
      <w:wordWrap w:val="0"/>
      <w:ind w:firstLine="6300" w:firstLineChars="3500"/>
      <w:jc w:val="both"/>
      <w:rPr>
        <w:rFonts w:hint="eastAsia" w:eastAsia="宋体"/>
        <w:lang w:eastAsia="zh-CN"/>
      </w:rPr>
    </w:pPr>
    <w:r>
      <w:rPr>
        <w:rFonts w:hint="eastAsia"/>
        <w:lang w:eastAsia="zh-CN"/>
      </w:rPr>
      <w:t>四川吉祥房地产土地资产评估有限公司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bullet"/>
      <w:pStyle w:val="51"/>
      <w:lvlText w:val=""/>
      <w:lvlJc w:val="left"/>
      <w:pPr>
        <w:tabs>
          <w:tab w:val="left" w:pos="1531"/>
        </w:tabs>
        <w:ind w:left="1418" w:hanging="118"/>
      </w:pPr>
      <w:rPr>
        <w:rFonts w:hint="default" w:ascii="Wingdings" w:hAnsi="Wingdings"/>
      </w:rPr>
    </w:lvl>
    <w:lvl w:ilvl="1" w:tentative="0">
      <w:start w:val="1"/>
      <w:numFmt w:val="bullet"/>
      <w:lvlText w:val=""/>
      <w:lvlJc w:val="left"/>
      <w:pPr>
        <w:tabs>
          <w:tab w:val="left" w:pos="3440"/>
        </w:tabs>
        <w:ind w:left="3440" w:hanging="420"/>
      </w:pPr>
      <w:rPr>
        <w:rFonts w:hint="default" w:ascii="Wingdings" w:hAnsi="Wingdings"/>
      </w:rPr>
    </w:lvl>
    <w:lvl w:ilvl="2" w:tentative="0">
      <w:start w:val="1"/>
      <w:numFmt w:val="bullet"/>
      <w:lvlText w:val=""/>
      <w:lvlJc w:val="left"/>
      <w:pPr>
        <w:tabs>
          <w:tab w:val="left" w:pos="3860"/>
        </w:tabs>
        <w:ind w:left="3860" w:hanging="420"/>
      </w:pPr>
      <w:rPr>
        <w:rFonts w:hint="default" w:ascii="Wingdings" w:hAnsi="Wingdings"/>
      </w:rPr>
    </w:lvl>
    <w:lvl w:ilvl="3" w:tentative="0">
      <w:start w:val="1"/>
      <w:numFmt w:val="bullet"/>
      <w:lvlText w:val=""/>
      <w:lvlJc w:val="left"/>
      <w:pPr>
        <w:tabs>
          <w:tab w:val="left" w:pos="4280"/>
        </w:tabs>
        <w:ind w:left="4280" w:hanging="420"/>
      </w:pPr>
      <w:rPr>
        <w:rFonts w:hint="default" w:ascii="Wingdings" w:hAnsi="Wingdings"/>
      </w:rPr>
    </w:lvl>
    <w:lvl w:ilvl="4" w:tentative="0">
      <w:start w:val="1"/>
      <w:numFmt w:val="bullet"/>
      <w:lvlText w:val=""/>
      <w:lvlJc w:val="left"/>
      <w:pPr>
        <w:tabs>
          <w:tab w:val="left" w:pos="4700"/>
        </w:tabs>
        <w:ind w:left="4700" w:hanging="420"/>
      </w:pPr>
      <w:rPr>
        <w:rFonts w:hint="default" w:ascii="Wingdings" w:hAnsi="Wingdings"/>
      </w:rPr>
    </w:lvl>
    <w:lvl w:ilvl="5" w:tentative="0">
      <w:start w:val="1"/>
      <w:numFmt w:val="bullet"/>
      <w:lvlText w:val=""/>
      <w:lvlJc w:val="left"/>
      <w:pPr>
        <w:tabs>
          <w:tab w:val="left" w:pos="5120"/>
        </w:tabs>
        <w:ind w:left="5120" w:hanging="420"/>
      </w:pPr>
      <w:rPr>
        <w:rFonts w:hint="default" w:ascii="Wingdings" w:hAnsi="Wingdings"/>
      </w:rPr>
    </w:lvl>
    <w:lvl w:ilvl="6" w:tentative="0">
      <w:start w:val="1"/>
      <w:numFmt w:val="bullet"/>
      <w:lvlText w:val=""/>
      <w:lvlJc w:val="left"/>
      <w:pPr>
        <w:tabs>
          <w:tab w:val="left" w:pos="5540"/>
        </w:tabs>
        <w:ind w:left="5540" w:hanging="420"/>
      </w:pPr>
      <w:rPr>
        <w:rFonts w:hint="default" w:ascii="Wingdings" w:hAnsi="Wingdings"/>
      </w:rPr>
    </w:lvl>
    <w:lvl w:ilvl="7" w:tentative="0">
      <w:start w:val="1"/>
      <w:numFmt w:val="bullet"/>
      <w:lvlText w:val=""/>
      <w:lvlJc w:val="left"/>
      <w:pPr>
        <w:tabs>
          <w:tab w:val="left" w:pos="5960"/>
        </w:tabs>
        <w:ind w:left="5960" w:hanging="420"/>
      </w:pPr>
      <w:rPr>
        <w:rFonts w:hint="default" w:ascii="Wingdings" w:hAnsi="Wingdings"/>
      </w:rPr>
    </w:lvl>
    <w:lvl w:ilvl="8" w:tentative="0">
      <w:start w:val="1"/>
      <w:numFmt w:val="bullet"/>
      <w:lvlText w:val=""/>
      <w:lvlJc w:val="left"/>
      <w:pPr>
        <w:tabs>
          <w:tab w:val="left" w:pos="6380"/>
        </w:tabs>
        <w:ind w:left="6380" w:hanging="420"/>
      </w:pPr>
      <w:rPr>
        <w:rFonts w:hint="default" w:ascii="Wingdings" w:hAnsi="Wingdings"/>
      </w:rPr>
    </w:lvl>
  </w:abstractNum>
  <w:abstractNum w:abstractNumId="1">
    <w:nsid w:val="2F333BE5"/>
    <w:multiLevelType w:val="singleLevel"/>
    <w:tmpl w:val="2F333BE5"/>
    <w:lvl w:ilvl="0" w:tentative="0">
      <w:start w:val="11"/>
      <w:numFmt w:val="chineseCounting"/>
      <w:suff w:val="nothing"/>
      <w:lvlText w:val="（%1）"/>
      <w:lvlJc w:val="left"/>
      <w:rPr>
        <w:rFonts w:hint="eastAsia"/>
      </w:rPr>
    </w:lvl>
  </w:abstractNum>
  <w:abstractNum w:abstractNumId="2">
    <w:nsid w:val="2F5C4D75"/>
    <w:multiLevelType w:val="singleLevel"/>
    <w:tmpl w:val="2F5C4D75"/>
    <w:lvl w:ilvl="0" w:tentative="0">
      <w:start w:val="2"/>
      <w:numFmt w:val="decimal"/>
      <w:suff w:val="nothing"/>
      <w:lvlText w:val="（%1）"/>
      <w:lvlJc w:val="left"/>
    </w:lvl>
  </w:abstractNum>
  <w:abstractNum w:abstractNumId="3">
    <w:nsid w:val="4E218A66"/>
    <w:multiLevelType w:val="singleLevel"/>
    <w:tmpl w:val="4E218A66"/>
    <w:lvl w:ilvl="0" w:tentative="0">
      <w:start w:val="6"/>
      <w:numFmt w:val="chineseCounting"/>
      <w:suff w:val="nothing"/>
      <w:lvlText w:val="（%1）"/>
      <w:lvlJc w:val="left"/>
      <w:rPr>
        <w:rFonts w:hint="eastAsia"/>
      </w:rPr>
    </w:lvl>
  </w:abstractNum>
  <w:abstractNum w:abstractNumId="4">
    <w:nsid w:val="5645A96B"/>
    <w:multiLevelType w:val="singleLevel"/>
    <w:tmpl w:val="5645A96B"/>
    <w:lvl w:ilvl="0" w:tentative="0">
      <w:start w:val="1"/>
      <w:numFmt w:val="decimal"/>
      <w:suff w:val="nothing"/>
      <w:lvlText w:val="%1、"/>
      <w:lvlJc w:val="left"/>
      <w:rPr>
        <w:rFonts w:hint="eastAsia" w:ascii="楷体_GB2312" w:eastAsia="楷体_GB2312" w:cs="Times New Roman"/>
      </w:rPr>
    </w:lvl>
  </w:abstractNum>
  <w:abstractNum w:abstractNumId="5">
    <w:nsid w:val="576B9B18"/>
    <w:multiLevelType w:val="singleLevel"/>
    <w:tmpl w:val="576B9B18"/>
    <w:lvl w:ilvl="0" w:tentative="0">
      <w:start w:val="2"/>
      <w:numFmt w:val="decimal"/>
      <w:suff w:val="nothing"/>
      <w:lvlText w:val="%1、"/>
      <w:lvlJc w:val="left"/>
    </w:lvl>
  </w:abstractNum>
  <w:abstractNum w:abstractNumId="6">
    <w:nsid w:val="577A3630"/>
    <w:multiLevelType w:val="singleLevel"/>
    <w:tmpl w:val="577A3630"/>
    <w:lvl w:ilvl="0" w:tentative="0">
      <w:start w:val="2"/>
      <w:numFmt w:val="decimal"/>
      <w:suff w:val="nothing"/>
      <w:lvlText w:val="%1、"/>
      <w:lvlJc w:val="left"/>
    </w:lvl>
  </w:abstractNum>
  <w:abstractNum w:abstractNumId="7">
    <w:nsid w:val="57872397"/>
    <w:multiLevelType w:val="multilevel"/>
    <w:tmpl w:val="57872397"/>
    <w:lvl w:ilvl="0" w:tentative="0">
      <w:start w:val="1"/>
      <w:numFmt w:val="decimal"/>
      <w:suff w:val="nothing"/>
      <w:lvlText w:val="（%1）"/>
      <w:lvlJc w:val="left"/>
    </w:lvl>
    <w:lvl w:ilvl="1" w:tentative="0">
      <w:start w:val="5"/>
      <w:numFmt w:val="decimal"/>
      <w:lvlText w:val="%2、"/>
      <w:lvlJc w:val="left"/>
      <w:pPr>
        <w:ind w:left="1424" w:hanging="720"/>
      </w:pPr>
      <w:rPr>
        <w:rFonts w:hint="default"/>
      </w:rPr>
    </w:lvl>
    <w:lvl w:ilvl="2" w:tentative="0">
      <w:start w:val="3"/>
      <w:numFmt w:val="japaneseCounting"/>
      <w:lvlText w:val="（%3）"/>
      <w:lvlJc w:val="left"/>
      <w:pPr>
        <w:ind w:left="1736" w:hanging="885"/>
      </w:pPr>
      <w:rPr>
        <w:rFonts w:hint="default"/>
      </w:r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8">
    <w:nsid w:val="59799371"/>
    <w:multiLevelType w:val="singleLevel"/>
    <w:tmpl w:val="59799371"/>
    <w:lvl w:ilvl="0" w:tentative="0">
      <w:start w:val="1"/>
      <w:numFmt w:val="decimal"/>
      <w:suff w:val="nothing"/>
      <w:lvlText w:val="%1、"/>
      <w:lvlJc w:val="left"/>
    </w:lvl>
  </w:abstractNum>
  <w:abstractNum w:abstractNumId="9">
    <w:nsid w:val="5979981C"/>
    <w:multiLevelType w:val="singleLevel"/>
    <w:tmpl w:val="5979981C"/>
    <w:lvl w:ilvl="0" w:tentative="0">
      <w:start w:val="4"/>
      <w:numFmt w:val="decimal"/>
      <w:suff w:val="nothing"/>
      <w:lvlText w:val="%1、"/>
      <w:lvlJc w:val="left"/>
    </w:lvl>
  </w:abstractNum>
  <w:abstractNum w:abstractNumId="10">
    <w:nsid w:val="778060E0"/>
    <w:multiLevelType w:val="singleLevel"/>
    <w:tmpl w:val="778060E0"/>
    <w:lvl w:ilvl="0" w:tentative="0">
      <w:start w:val="1"/>
      <w:numFmt w:val="decimal"/>
      <w:suff w:val="nothing"/>
      <w:lvlText w:val="（%1）"/>
      <w:lvlJc w:val="left"/>
    </w:lvl>
  </w:abstractNum>
  <w:num w:numId="1">
    <w:abstractNumId w:val="0"/>
  </w:num>
  <w:num w:numId="2">
    <w:abstractNumId w:val="4"/>
  </w:num>
  <w:num w:numId="3">
    <w:abstractNumId w:val="10"/>
  </w:num>
  <w:num w:numId="4">
    <w:abstractNumId w:val="2"/>
  </w:num>
  <w:num w:numId="5">
    <w:abstractNumId w:val="8"/>
  </w:num>
  <w:num w:numId="6">
    <w:abstractNumId w:val="9"/>
  </w:num>
  <w:num w:numId="7">
    <w:abstractNumId w:val="5"/>
  </w:num>
  <w:num w:numId="8">
    <w:abstractNumId w:val="7"/>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NotTrackMoves/>
  <w:documentProtection w:enforcement="0"/>
  <w:defaultTabStop w:val="50"/>
  <w:drawingGridHorizontalSpacing w:val="251"/>
  <w:drawingGridVerticalSpacing w:val="191"/>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053"/>
    <w:rsid w:val="000004D8"/>
    <w:rsid w:val="0000078B"/>
    <w:rsid w:val="00002696"/>
    <w:rsid w:val="00002BC3"/>
    <w:rsid w:val="00003591"/>
    <w:rsid w:val="0000456B"/>
    <w:rsid w:val="00005F7F"/>
    <w:rsid w:val="00010B50"/>
    <w:rsid w:val="000114B3"/>
    <w:rsid w:val="00012268"/>
    <w:rsid w:val="00013136"/>
    <w:rsid w:val="00014F65"/>
    <w:rsid w:val="00017DB4"/>
    <w:rsid w:val="00025609"/>
    <w:rsid w:val="00026264"/>
    <w:rsid w:val="000274CE"/>
    <w:rsid w:val="000313AC"/>
    <w:rsid w:val="000328B8"/>
    <w:rsid w:val="00032FDC"/>
    <w:rsid w:val="00033285"/>
    <w:rsid w:val="000335D0"/>
    <w:rsid w:val="00033F7D"/>
    <w:rsid w:val="00035087"/>
    <w:rsid w:val="00035241"/>
    <w:rsid w:val="0003553A"/>
    <w:rsid w:val="00035F35"/>
    <w:rsid w:val="000379C7"/>
    <w:rsid w:val="00041CDC"/>
    <w:rsid w:val="000422E4"/>
    <w:rsid w:val="0004315B"/>
    <w:rsid w:val="00043FE1"/>
    <w:rsid w:val="000511D5"/>
    <w:rsid w:val="00052676"/>
    <w:rsid w:val="00054378"/>
    <w:rsid w:val="00054BDF"/>
    <w:rsid w:val="000550E6"/>
    <w:rsid w:val="00056289"/>
    <w:rsid w:val="00056430"/>
    <w:rsid w:val="00057638"/>
    <w:rsid w:val="00060BEB"/>
    <w:rsid w:val="000615D3"/>
    <w:rsid w:val="000631FD"/>
    <w:rsid w:val="00065E9E"/>
    <w:rsid w:val="00066987"/>
    <w:rsid w:val="00074930"/>
    <w:rsid w:val="0008025C"/>
    <w:rsid w:val="00085143"/>
    <w:rsid w:val="000856FB"/>
    <w:rsid w:val="00085D8B"/>
    <w:rsid w:val="00085EEB"/>
    <w:rsid w:val="00086D42"/>
    <w:rsid w:val="00087A42"/>
    <w:rsid w:val="00090B2C"/>
    <w:rsid w:val="00095E3C"/>
    <w:rsid w:val="0009613B"/>
    <w:rsid w:val="000A1720"/>
    <w:rsid w:val="000A3FF4"/>
    <w:rsid w:val="000A4F29"/>
    <w:rsid w:val="000A52D9"/>
    <w:rsid w:val="000A691F"/>
    <w:rsid w:val="000A7477"/>
    <w:rsid w:val="000B28F3"/>
    <w:rsid w:val="000B2B97"/>
    <w:rsid w:val="000B5E19"/>
    <w:rsid w:val="000B7F6C"/>
    <w:rsid w:val="000C07B3"/>
    <w:rsid w:val="000C25C1"/>
    <w:rsid w:val="000C2EEE"/>
    <w:rsid w:val="000C3B3B"/>
    <w:rsid w:val="000C5036"/>
    <w:rsid w:val="000C5683"/>
    <w:rsid w:val="000D1EB6"/>
    <w:rsid w:val="000D3FDE"/>
    <w:rsid w:val="000D5D91"/>
    <w:rsid w:val="000D6CDD"/>
    <w:rsid w:val="000E16A5"/>
    <w:rsid w:val="000E3369"/>
    <w:rsid w:val="000E3436"/>
    <w:rsid w:val="000E346F"/>
    <w:rsid w:val="000E68AA"/>
    <w:rsid w:val="000E6AFA"/>
    <w:rsid w:val="000F21EA"/>
    <w:rsid w:val="000F58D6"/>
    <w:rsid w:val="000F6449"/>
    <w:rsid w:val="0010053C"/>
    <w:rsid w:val="001005C3"/>
    <w:rsid w:val="00100B50"/>
    <w:rsid w:val="00104A22"/>
    <w:rsid w:val="00107062"/>
    <w:rsid w:val="00107435"/>
    <w:rsid w:val="00107DD3"/>
    <w:rsid w:val="0011042E"/>
    <w:rsid w:val="00111355"/>
    <w:rsid w:val="001129D2"/>
    <w:rsid w:val="00115EA7"/>
    <w:rsid w:val="001205AF"/>
    <w:rsid w:val="00122160"/>
    <w:rsid w:val="00122C48"/>
    <w:rsid w:val="00122CB4"/>
    <w:rsid w:val="001231D3"/>
    <w:rsid w:val="00127BC5"/>
    <w:rsid w:val="00130B49"/>
    <w:rsid w:val="00131DC3"/>
    <w:rsid w:val="001321A8"/>
    <w:rsid w:val="001327B5"/>
    <w:rsid w:val="0013355C"/>
    <w:rsid w:val="001378AF"/>
    <w:rsid w:val="00137A3B"/>
    <w:rsid w:val="001410AF"/>
    <w:rsid w:val="00142648"/>
    <w:rsid w:val="0014601E"/>
    <w:rsid w:val="001505B6"/>
    <w:rsid w:val="00150BD1"/>
    <w:rsid w:val="001528F3"/>
    <w:rsid w:val="00154B32"/>
    <w:rsid w:val="00155381"/>
    <w:rsid w:val="00157ADD"/>
    <w:rsid w:val="00157E9B"/>
    <w:rsid w:val="00160DAD"/>
    <w:rsid w:val="00162A37"/>
    <w:rsid w:val="00163397"/>
    <w:rsid w:val="0016528E"/>
    <w:rsid w:val="0016553F"/>
    <w:rsid w:val="0016668A"/>
    <w:rsid w:val="00166D8A"/>
    <w:rsid w:val="0017053C"/>
    <w:rsid w:val="00171161"/>
    <w:rsid w:val="00171B63"/>
    <w:rsid w:val="00172605"/>
    <w:rsid w:val="001731CF"/>
    <w:rsid w:val="001755CF"/>
    <w:rsid w:val="0017765E"/>
    <w:rsid w:val="00181184"/>
    <w:rsid w:val="00182303"/>
    <w:rsid w:val="00183476"/>
    <w:rsid w:val="00183499"/>
    <w:rsid w:val="00183CBF"/>
    <w:rsid w:val="0018460A"/>
    <w:rsid w:val="00185DDE"/>
    <w:rsid w:val="00185F4C"/>
    <w:rsid w:val="001863EA"/>
    <w:rsid w:val="00187C28"/>
    <w:rsid w:val="00190D43"/>
    <w:rsid w:val="00192594"/>
    <w:rsid w:val="00192B04"/>
    <w:rsid w:val="0019583D"/>
    <w:rsid w:val="001A089D"/>
    <w:rsid w:val="001A3295"/>
    <w:rsid w:val="001A38DB"/>
    <w:rsid w:val="001A3EAF"/>
    <w:rsid w:val="001A4A50"/>
    <w:rsid w:val="001A4D16"/>
    <w:rsid w:val="001A5776"/>
    <w:rsid w:val="001B2010"/>
    <w:rsid w:val="001B4DB0"/>
    <w:rsid w:val="001B55FC"/>
    <w:rsid w:val="001B6E2D"/>
    <w:rsid w:val="001B7578"/>
    <w:rsid w:val="001C0F00"/>
    <w:rsid w:val="001C156A"/>
    <w:rsid w:val="001C2F51"/>
    <w:rsid w:val="001C3BAA"/>
    <w:rsid w:val="001C452A"/>
    <w:rsid w:val="001C5AD1"/>
    <w:rsid w:val="001C6582"/>
    <w:rsid w:val="001C6760"/>
    <w:rsid w:val="001C7748"/>
    <w:rsid w:val="001D0B44"/>
    <w:rsid w:val="001D0EAC"/>
    <w:rsid w:val="001D220A"/>
    <w:rsid w:val="001D2617"/>
    <w:rsid w:val="001D2C77"/>
    <w:rsid w:val="001D3EB4"/>
    <w:rsid w:val="001D5009"/>
    <w:rsid w:val="001D518B"/>
    <w:rsid w:val="001D60BA"/>
    <w:rsid w:val="001E072B"/>
    <w:rsid w:val="001E0B45"/>
    <w:rsid w:val="001E3194"/>
    <w:rsid w:val="001E49A0"/>
    <w:rsid w:val="001E4E1E"/>
    <w:rsid w:val="001E5A67"/>
    <w:rsid w:val="001E692B"/>
    <w:rsid w:val="001F21FA"/>
    <w:rsid w:val="001F5113"/>
    <w:rsid w:val="001F5EA6"/>
    <w:rsid w:val="001F6035"/>
    <w:rsid w:val="001F66C0"/>
    <w:rsid w:val="002013B0"/>
    <w:rsid w:val="00202211"/>
    <w:rsid w:val="002036BD"/>
    <w:rsid w:val="00204BD1"/>
    <w:rsid w:val="00206015"/>
    <w:rsid w:val="002078F5"/>
    <w:rsid w:val="00207A23"/>
    <w:rsid w:val="00207D8D"/>
    <w:rsid w:val="002107F7"/>
    <w:rsid w:val="00210C77"/>
    <w:rsid w:val="00211F2B"/>
    <w:rsid w:val="00214A03"/>
    <w:rsid w:val="00214A0F"/>
    <w:rsid w:val="00216EB1"/>
    <w:rsid w:val="00220377"/>
    <w:rsid w:val="00220928"/>
    <w:rsid w:val="002212AB"/>
    <w:rsid w:val="00225945"/>
    <w:rsid w:val="002266F9"/>
    <w:rsid w:val="0022768A"/>
    <w:rsid w:val="002317E4"/>
    <w:rsid w:val="00231906"/>
    <w:rsid w:val="0023295F"/>
    <w:rsid w:val="0023572F"/>
    <w:rsid w:val="00236027"/>
    <w:rsid w:val="00236B19"/>
    <w:rsid w:val="00236D57"/>
    <w:rsid w:val="0023752F"/>
    <w:rsid w:val="00237578"/>
    <w:rsid w:val="00240F6A"/>
    <w:rsid w:val="00241BA9"/>
    <w:rsid w:val="00242719"/>
    <w:rsid w:val="002435D5"/>
    <w:rsid w:val="0024516C"/>
    <w:rsid w:val="0024555F"/>
    <w:rsid w:val="0024740F"/>
    <w:rsid w:val="00247D3F"/>
    <w:rsid w:val="00250BCD"/>
    <w:rsid w:val="002519B9"/>
    <w:rsid w:val="0025675F"/>
    <w:rsid w:val="00260BA4"/>
    <w:rsid w:val="002614D6"/>
    <w:rsid w:val="00261FD4"/>
    <w:rsid w:val="00265E9C"/>
    <w:rsid w:val="0026651F"/>
    <w:rsid w:val="00267050"/>
    <w:rsid w:val="002708BF"/>
    <w:rsid w:val="00271913"/>
    <w:rsid w:val="00273FE6"/>
    <w:rsid w:val="00280B58"/>
    <w:rsid w:val="00284EA5"/>
    <w:rsid w:val="00286D6A"/>
    <w:rsid w:val="00287544"/>
    <w:rsid w:val="00290D8C"/>
    <w:rsid w:val="00291119"/>
    <w:rsid w:val="00291678"/>
    <w:rsid w:val="002919EA"/>
    <w:rsid w:val="00292B84"/>
    <w:rsid w:val="0029434A"/>
    <w:rsid w:val="00297B89"/>
    <w:rsid w:val="002A132B"/>
    <w:rsid w:val="002A1D5A"/>
    <w:rsid w:val="002A23E8"/>
    <w:rsid w:val="002A33C9"/>
    <w:rsid w:val="002A37D5"/>
    <w:rsid w:val="002A4DB1"/>
    <w:rsid w:val="002A7AF6"/>
    <w:rsid w:val="002B022A"/>
    <w:rsid w:val="002B07B9"/>
    <w:rsid w:val="002B1517"/>
    <w:rsid w:val="002B22B8"/>
    <w:rsid w:val="002B579D"/>
    <w:rsid w:val="002B5A3E"/>
    <w:rsid w:val="002B5DB1"/>
    <w:rsid w:val="002B63E2"/>
    <w:rsid w:val="002B6B2E"/>
    <w:rsid w:val="002B6FC5"/>
    <w:rsid w:val="002C100D"/>
    <w:rsid w:val="002C4AEF"/>
    <w:rsid w:val="002C5072"/>
    <w:rsid w:val="002C71A0"/>
    <w:rsid w:val="002C788C"/>
    <w:rsid w:val="002D0825"/>
    <w:rsid w:val="002D1630"/>
    <w:rsid w:val="002D1753"/>
    <w:rsid w:val="002D1D34"/>
    <w:rsid w:val="002D2B65"/>
    <w:rsid w:val="002D30CF"/>
    <w:rsid w:val="002D5F56"/>
    <w:rsid w:val="002D77FC"/>
    <w:rsid w:val="002E0084"/>
    <w:rsid w:val="002E03F8"/>
    <w:rsid w:val="002E0865"/>
    <w:rsid w:val="002E1234"/>
    <w:rsid w:val="002E3F44"/>
    <w:rsid w:val="002E44ED"/>
    <w:rsid w:val="002E46A0"/>
    <w:rsid w:val="002E5089"/>
    <w:rsid w:val="002E61D2"/>
    <w:rsid w:val="002E7219"/>
    <w:rsid w:val="002E7788"/>
    <w:rsid w:val="002F0343"/>
    <w:rsid w:val="002F255F"/>
    <w:rsid w:val="002F3BC1"/>
    <w:rsid w:val="002F532D"/>
    <w:rsid w:val="002F62A9"/>
    <w:rsid w:val="002F689D"/>
    <w:rsid w:val="002F7621"/>
    <w:rsid w:val="002F7C04"/>
    <w:rsid w:val="00301D18"/>
    <w:rsid w:val="00305078"/>
    <w:rsid w:val="00307122"/>
    <w:rsid w:val="00311106"/>
    <w:rsid w:val="003122E9"/>
    <w:rsid w:val="00312F26"/>
    <w:rsid w:val="003135F7"/>
    <w:rsid w:val="003148CF"/>
    <w:rsid w:val="00314E38"/>
    <w:rsid w:val="0031708C"/>
    <w:rsid w:val="00320E66"/>
    <w:rsid w:val="0032121D"/>
    <w:rsid w:val="003226AD"/>
    <w:rsid w:val="00322736"/>
    <w:rsid w:val="00325108"/>
    <w:rsid w:val="00326AFB"/>
    <w:rsid w:val="00330861"/>
    <w:rsid w:val="00330C97"/>
    <w:rsid w:val="00331B25"/>
    <w:rsid w:val="003330C9"/>
    <w:rsid w:val="003359CA"/>
    <w:rsid w:val="00341510"/>
    <w:rsid w:val="0034308A"/>
    <w:rsid w:val="0034366B"/>
    <w:rsid w:val="00344367"/>
    <w:rsid w:val="00344792"/>
    <w:rsid w:val="003468ED"/>
    <w:rsid w:val="003515B4"/>
    <w:rsid w:val="00352B17"/>
    <w:rsid w:val="00355DB2"/>
    <w:rsid w:val="00356F7E"/>
    <w:rsid w:val="00360098"/>
    <w:rsid w:val="00360AC1"/>
    <w:rsid w:val="00361676"/>
    <w:rsid w:val="00363A0D"/>
    <w:rsid w:val="003652B0"/>
    <w:rsid w:val="00365A53"/>
    <w:rsid w:val="00365E8B"/>
    <w:rsid w:val="00366680"/>
    <w:rsid w:val="00366D49"/>
    <w:rsid w:val="0037314E"/>
    <w:rsid w:val="003744AF"/>
    <w:rsid w:val="0037513B"/>
    <w:rsid w:val="003754CF"/>
    <w:rsid w:val="00376633"/>
    <w:rsid w:val="00376DAE"/>
    <w:rsid w:val="003770BD"/>
    <w:rsid w:val="00380A43"/>
    <w:rsid w:val="00380BA7"/>
    <w:rsid w:val="00381E90"/>
    <w:rsid w:val="00383878"/>
    <w:rsid w:val="00384479"/>
    <w:rsid w:val="0039062D"/>
    <w:rsid w:val="00391A77"/>
    <w:rsid w:val="00391B9D"/>
    <w:rsid w:val="00392F51"/>
    <w:rsid w:val="00392FC9"/>
    <w:rsid w:val="0039407F"/>
    <w:rsid w:val="0039437B"/>
    <w:rsid w:val="0039478C"/>
    <w:rsid w:val="003975A7"/>
    <w:rsid w:val="00397B80"/>
    <w:rsid w:val="003A04BA"/>
    <w:rsid w:val="003A15F0"/>
    <w:rsid w:val="003A415F"/>
    <w:rsid w:val="003A4A64"/>
    <w:rsid w:val="003A6B66"/>
    <w:rsid w:val="003A6D79"/>
    <w:rsid w:val="003B0431"/>
    <w:rsid w:val="003B36EF"/>
    <w:rsid w:val="003B5082"/>
    <w:rsid w:val="003B5340"/>
    <w:rsid w:val="003B7595"/>
    <w:rsid w:val="003C0B76"/>
    <w:rsid w:val="003C0B79"/>
    <w:rsid w:val="003C0DDB"/>
    <w:rsid w:val="003C10E2"/>
    <w:rsid w:val="003C264A"/>
    <w:rsid w:val="003C3D0F"/>
    <w:rsid w:val="003C6265"/>
    <w:rsid w:val="003C6D84"/>
    <w:rsid w:val="003C6EA0"/>
    <w:rsid w:val="003C7A41"/>
    <w:rsid w:val="003D0FDE"/>
    <w:rsid w:val="003D21EF"/>
    <w:rsid w:val="003D2A44"/>
    <w:rsid w:val="003D2E28"/>
    <w:rsid w:val="003D61D6"/>
    <w:rsid w:val="003D6F10"/>
    <w:rsid w:val="003E1BA0"/>
    <w:rsid w:val="003E2939"/>
    <w:rsid w:val="003E35FB"/>
    <w:rsid w:val="003E3F26"/>
    <w:rsid w:val="003E452F"/>
    <w:rsid w:val="003E534E"/>
    <w:rsid w:val="003E75C1"/>
    <w:rsid w:val="003E7F29"/>
    <w:rsid w:val="003F0306"/>
    <w:rsid w:val="003F1DD1"/>
    <w:rsid w:val="003F74BF"/>
    <w:rsid w:val="00400CCB"/>
    <w:rsid w:val="0040206B"/>
    <w:rsid w:val="00402ECB"/>
    <w:rsid w:val="00404865"/>
    <w:rsid w:val="00406487"/>
    <w:rsid w:val="00410F9E"/>
    <w:rsid w:val="0041169D"/>
    <w:rsid w:val="004117DF"/>
    <w:rsid w:val="0041240D"/>
    <w:rsid w:val="00412BA9"/>
    <w:rsid w:val="00413CB4"/>
    <w:rsid w:val="004148A1"/>
    <w:rsid w:val="0041792C"/>
    <w:rsid w:val="004235B4"/>
    <w:rsid w:val="00426C8C"/>
    <w:rsid w:val="00426FB9"/>
    <w:rsid w:val="004277A0"/>
    <w:rsid w:val="004303D7"/>
    <w:rsid w:val="00432CE9"/>
    <w:rsid w:val="00434C20"/>
    <w:rsid w:val="0043530E"/>
    <w:rsid w:val="00435F23"/>
    <w:rsid w:val="004368DE"/>
    <w:rsid w:val="00440335"/>
    <w:rsid w:val="00441DEA"/>
    <w:rsid w:val="004451D6"/>
    <w:rsid w:val="00447F18"/>
    <w:rsid w:val="004511A9"/>
    <w:rsid w:val="0045250F"/>
    <w:rsid w:val="004529DC"/>
    <w:rsid w:val="00452F0B"/>
    <w:rsid w:val="004531EA"/>
    <w:rsid w:val="00456297"/>
    <w:rsid w:val="00457C1B"/>
    <w:rsid w:val="00461176"/>
    <w:rsid w:val="00462331"/>
    <w:rsid w:val="00462945"/>
    <w:rsid w:val="00463F72"/>
    <w:rsid w:val="00464B6B"/>
    <w:rsid w:val="00466BB3"/>
    <w:rsid w:val="00467ED9"/>
    <w:rsid w:val="004704AE"/>
    <w:rsid w:val="00471D45"/>
    <w:rsid w:val="00473236"/>
    <w:rsid w:val="00473574"/>
    <w:rsid w:val="004744B5"/>
    <w:rsid w:val="004745CA"/>
    <w:rsid w:val="0047471B"/>
    <w:rsid w:val="0047559E"/>
    <w:rsid w:val="00480C47"/>
    <w:rsid w:val="00481DFC"/>
    <w:rsid w:val="00486B0C"/>
    <w:rsid w:val="00487BBD"/>
    <w:rsid w:val="0049056D"/>
    <w:rsid w:val="00490FF9"/>
    <w:rsid w:val="00491C99"/>
    <w:rsid w:val="00493A75"/>
    <w:rsid w:val="00493E9F"/>
    <w:rsid w:val="0049443F"/>
    <w:rsid w:val="004949B8"/>
    <w:rsid w:val="0049737E"/>
    <w:rsid w:val="004A1128"/>
    <w:rsid w:val="004A1129"/>
    <w:rsid w:val="004A17D9"/>
    <w:rsid w:val="004A1B42"/>
    <w:rsid w:val="004A4C04"/>
    <w:rsid w:val="004A7104"/>
    <w:rsid w:val="004A74DD"/>
    <w:rsid w:val="004A77C9"/>
    <w:rsid w:val="004B2EFC"/>
    <w:rsid w:val="004B35E0"/>
    <w:rsid w:val="004B3C12"/>
    <w:rsid w:val="004B447F"/>
    <w:rsid w:val="004B4984"/>
    <w:rsid w:val="004B4BF9"/>
    <w:rsid w:val="004B5D29"/>
    <w:rsid w:val="004B605E"/>
    <w:rsid w:val="004B7D2A"/>
    <w:rsid w:val="004C4846"/>
    <w:rsid w:val="004C4926"/>
    <w:rsid w:val="004C4C5B"/>
    <w:rsid w:val="004C534B"/>
    <w:rsid w:val="004C6005"/>
    <w:rsid w:val="004C680A"/>
    <w:rsid w:val="004C6C5D"/>
    <w:rsid w:val="004C7278"/>
    <w:rsid w:val="004C7E88"/>
    <w:rsid w:val="004D0C50"/>
    <w:rsid w:val="004D15EA"/>
    <w:rsid w:val="004D312D"/>
    <w:rsid w:val="004D4EFA"/>
    <w:rsid w:val="004D6CE5"/>
    <w:rsid w:val="004E01E8"/>
    <w:rsid w:val="004E332B"/>
    <w:rsid w:val="004E6FD4"/>
    <w:rsid w:val="004F0848"/>
    <w:rsid w:val="004F0B72"/>
    <w:rsid w:val="004F2397"/>
    <w:rsid w:val="004F4935"/>
    <w:rsid w:val="004F5DD7"/>
    <w:rsid w:val="004F6491"/>
    <w:rsid w:val="00500AB2"/>
    <w:rsid w:val="00500F18"/>
    <w:rsid w:val="00501605"/>
    <w:rsid w:val="00501D2D"/>
    <w:rsid w:val="0050254A"/>
    <w:rsid w:val="00502A96"/>
    <w:rsid w:val="0050466A"/>
    <w:rsid w:val="0050706E"/>
    <w:rsid w:val="005108CA"/>
    <w:rsid w:val="0051174C"/>
    <w:rsid w:val="005123A1"/>
    <w:rsid w:val="00513896"/>
    <w:rsid w:val="00514629"/>
    <w:rsid w:val="00515351"/>
    <w:rsid w:val="00515CB1"/>
    <w:rsid w:val="005223A0"/>
    <w:rsid w:val="00523D13"/>
    <w:rsid w:val="00524699"/>
    <w:rsid w:val="0052486B"/>
    <w:rsid w:val="00527326"/>
    <w:rsid w:val="00532047"/>
    <w:rsid w:val="00532745"/>
    <w:rsid w:val="0053355F"/>
    <w:rsid w:val="00534E23"/>
    <w:rsid w:val="005356BA"/>
    <w:rsid w:val="0054037F"/>
    <w:rsid w:val="00541115"/>
    <w:rsid w:val="00541132"/>
    <w:rsid w:val="00541AEA"/>
    <w:rsid w:val="005443F0"/>
    <w:rsid w:val="00545763"/>
    <w:rsid w:val="005457E7"/>
    <w:rsid w:val="00546F33"/>
    <w:rsid w:val="00546F7B"/>
    <w:rsid w:val="00547E46"/>
    <w:rsid w:val="00550F4D"/>
    <w:rsid w:val="005522CB"/>
    <w:rsid w:val="00552D4C"/>
    <w:rsid w:val="005532CA"/>
    <w:rsid w:val="00554152"/>
    <w:rsid w:val="00554A25"/>
    <w:rsid w:val="005560C4"/>
    <w:rsid w:val="0055791F"/>
    <w:rsid w:val="005601AF"/>
    <w:rsid w:val="00563335"/>
    <w:rsid w:val="00563391"/>
    <w:rsid w:val="00563C8C"/>
    <w:rsid w:val="00564D7C"/>
    <w:rsid w:val="00570241"/>
    <w:rsid w:val="00570D88"/>
    <w:rsid w:val="0057621E"/>
    <w:rsid w:val="00580022"/>
    <w:rsid w:val="00581FEF"/>
    <w:rsid w:val="005870C0"/>
    <w:rsid w:val="0058715A"/>
    <w:rsid w:val="005871BB"/>
    <w:rsid w:val="005905D1"/>
    <w:rsid w:val="00591709"/>
    <w:rsid w:val="00592156"/>
    <w:rsid w:val="00592C39"/>
    <w:rsid w:val="00593B38"/>
    <w:rsid w:val="0059634F"/>
    <w:rsid w:val="00596520"/>
    <w:rsid w:val="005965EE"/>
    <w:rsid w:val="00596F0C"/>
    <w:rsid w:val="005A0B74"/>
    <w:rsid w:val="005A1141"/>
    <w:rsid w:val="005A2F1B"/>
    <w:rsid w:val="005A62F7"/>
    <w:rsid w:val="005A6D5A"/>
    <w:rsid w:val="005A78F3"/>
    <w:rsid w:val="005B290F"/>
    <w:rsid w:val="005B3248"/>
    <w:rsid w:val="005B3C0D"/>
    <w:rsid w:val="005B58AA"/>
    <w:rsid w:val="005B6B38"/>
    <w:rsid w:val="005B7AE4"/>
    <w:rsid w:val="005C0256"/>
    <w:rsid w:val="005D08C0"/>
    <w:rsid w:val="005D0FB8"/>
    <w:rsid w:val="005D1F71"/>
    <w:rsid w:val="005D32B1"/>
    <w:rsid w:val="005D44A6"/>
    <w:rsid w:val="005D6239"/>
    <w:rsid w:val="005D6BAB"/>
    <w:rsid w:val="005D6FE6"/>
    <w:rsid w:val="005D744C"/>
    <w:rsid w:val="005D74A5"/>
    <w:rsid w:val="005E0C45"/>
    <w:rsid w:val="005E1FC3"/>
    <w:rsid w:val="005E246B"/>
    <w:rsid w:val="005E28FC"/>
    <w:rsid w:val="005E63A7"/>
    <w:rsid w:val="005F06CC"/>
    <w:rsid w:val="005F0B65"/>
    <w:rsid w:val="005F1520"/>
    <w:rsid w:val="005F2C02"/>
    <w:rsid w:val="005F3EB6"/>
    <w:rsid w:val="005F4F78"/>
    <w:rsid w:val="005F5098"/>
    <w:rsid w:val="005F510C"/>
    <w:rsid w:val="005F6E38"/>
    <w:rsid w:val="006003C4"/>
    <w:rsid w:val="006005C3"/>
    <w:rsid w:val="00601858"/>
    <w:rsid w:val="00603460"/>
    <w:rsid w:val="006108A6"/>
    <w:rsid w:val="00610A1E"/>
    <w:rsid w:val="006116D3"/>
    <w:rsid w:val="00611BA0"/>
    <w:rsid w:val="00611CE4"/>
    <w:rsid w:val="00611CFA"/>
    <w:rsid w:val="006124C4"/>
    <w:rsid w:val="006137D7"/>
    <w:rsid w:val="0061406C"/>
    <w:rsid w:val="00614D33"/>
    <w:rsid w:val="006151E1"/>
    <w:rsid w:val="00615280"/>
    <w:rsid w:val="006156E1"/>
    <w:rsid w:val="00616552"/>
    <w:rsid w:val="00616CA1"/>
    <w:rsid w:val="00620C0F"/>
    <w:rsid w:val="006226BE"/>
    <w:rsid w:val="0062353F"/>
    <w:rsid w:val="0062398B"/>
    <w:rsid w:val="0062424E"/>
    <w:rsid w:val="006243A8"/>
    <w:rsid w:val="00624790"/>
    <w:rsid w:val="00625078"/>
    <w:rsid w:val="00625C8B"/>
    <w:rsid w:val="00627A1A"/>
    <w:rsid w:val="006319CC"/>
    <w:rsid w:val="00632373"/>
    <w:rsid w:val="00632F83"/>
    <w:rsid w:val="00635523"/>
    <w:rsid w:val="00635B63"/>
    <w:rsid w:val="006360F0"/>
    <w:rsid w:val="00636388"/>
    <w:rsid w:val="0063674F"/>
    <w:rsid w:val="0064025F"/>
    <w:rsid w:val="00640362"/>
    <w:rsid w:val="00641FC6"/>
    <w:rsid w:val="00643117"/>
    <w:rsid w:val="0064370A"/>
    <w:rsid w:val="0064469A"/>
    <w:rsid w:val="00650B86"/>
    <w:rsid w:val="00651236"/>
    <w:rsid w:val="00651CE2"/>
    <w:rsid w:val="00652599"/>
    <w:rsid w:val="00652CCE"/>
    <w:rsid w:val="00652D7A"/>
    <w:rsid w:val="00653F64"/>
    <w:rsid w:val="00655325"/>
    <w:rsid w:val="006601E4"/>
    <w:rsid w:val="00662A6C"/>
    <w:rsid w:val="006634E5"/>
    <w:rsid w:val="00665906"/>
    <w:rsid w:val="00665D8A"/>
    <w:rsid w:val="006669BC"/>
    <w:rsid w:val="006674E6"/>
    <w:rsid w:val="006705A1"/>
    <w:rsid w:val="0067449C"/>
    <w:rsid w:val="00676A54"/>
    <w:rsid w:val="00680ACC"/>
    <w:rsid w:val="006811FF"/>
    <w:rsid w:val="00683729"/>
    <w:rsid w:val="00683FB5"/>
    <w:rsid w:val="00685E18"/>
    <w:rsid w:val="006860D9"/>
    <w:rsid w:val="00686CD7"/>
    <w:rsid w:val="00686CFA"/>
    <w:rsid w:val="00686F32"/>
    <w:rsid w:val="00691CF6"/>
    <w:rsid w:val="0069202F"/>
    <w:rsid w:val="006929EB"/>
    <w:rsid w:val="00694125"/>
    <w:rsid w:val="00695F1D"/>
    <w:rsid w:val="0069614F"/>
    <w:rsid w:val="00697A41"/>
    <w:rsid w:val="006A2C8B"/>
    <w:rsid w:val="006A4EF6"/>
    <w:rsid w:val="006A5C61"/>
    <w:rsid w:val="006A5D90"/>
    <w:rsid w:val="006A7AC3"/>
    <w:rsid w:val="006B098C"/>
    <w:rsid w:val="006B0A38"/>
    <w:rsid w:val="006B100D"/>
    <w:rsid w:val="006B28D3"/>
    <w:rsid w:val="006B5BBE"/>
    <w:rsid w:val="006B5BE2"/>
    <w:rsid w:val="006B7302"/>
    <w:rsid w:val="006B7B2D"/>
    <w:rsid w:val="006C0773"/>
    <w:rsid w:val="006C08A7"/>
    <w:rsid w:val="006C1EAB"/>
    <w:rsid w:val="006C29B6"/>
    <w:rsid w:val="006C6072"/>
    <w:rsid w:val="006C66DF"/>
    <w:rsid w:val="006D58A7"/>
    <w:rsid w:val="006D697E"/>
    <w:rsid w:val="006E001C"/>
    <w:rsid w:val="006E0A0D"/>
    <w:rsid w:val="006E192E"/>
    <w:rsid w:val="006E1AAA"/>
    <w:rsid w:val="006E2556"/>
    <w:rsid w:val="006E27F2"/>
    <w:rsid w:val="006E7E52"/>
    <w:rsid w:val="006F01B7"/>
    <w:rsid w:val="006F2015"/>
    <w:rsid w:val="006F2C8D"/>
    <w:rsid w:val="006F5BDF"/>
    <w:rsid w:val="006F5D60"/>
    <w:rsid w:val="006F6599"/>
    <w:rsid w:val="006F738A"/>
    <w:rsid w:val="007002ED"/>
    <w:rsid w:val="00700EE4"/>
    <w:rsid w:val="00701517"/>
    <w:rsid w:val="007016AA"/>
    <w:rsid w:val="007016E4"/>
    <w:rsid w:val="007029F1"/>
    <w:rsid w:val="00703271"/>
    <w:rsid w:val="00703727"/>
    <w:rsid w:val="00704B60"/>
    <w:rsid w:val="0070586E"/>
    <w:rsid w:val="0070611E"/>
    <w:rsid w:val="0070786F"/>
    <w:rsid w:val="00711C15"/>
    <w:rsid w:val="007122B2"/>
    <w:rsid w:val="007123C8"/>
    <w:rsid w:val="00714430"/>
    <w:rsid w:val="00714D59"/>
    <w:rsid w:val="0071612B"/>
    <w:rsid w:val="00716273"/>
    <w:rsid w:val="007162CF"/>
    <w:rsid w:val="00717404"/>
    <w:rsid w:val="00717861"/>
    <w:rsid w:val="007234EA"/>
    <w:rsid w:val="00723E44"/>
    <w:rsid w:val="00725340"/>
    <w:rsid w:val="00725EC1"/>
    <w:rsid w:val="00727537"/>
    <w:rsid w:val="00730E55"/>
    <w:rsid w:val="00730E8D"/>
    <w:rsid w:val="00732891"/>
    <w:rsid w:val="00733281"/>
    <w:rsid w:val="00734A19"/>
    <w:rsid w:val="00737C9C"/>
    <w:rsid w:val="007402D5"/>
    <w:rsid w:val="0074483A"/>
    <w:rsid w:val="00746780"/>
    <w:rsid w:val="007511B1"/>
    <w:rsid w:val="0075144C"/>
    <w:rsid w:val="00754770"/>
    <w:rsid w:val="00757716"/>
    <w:rsid w:val="00757E2D"/>
    <w:rsid w:val="007614AC"/>
    <w:rsid w:val="00761D08"/>
    <w:rsid w:val="00770102"/>
    <w:rsid w:val="00771941"/>
    <w:rsid w:val="007721D5"/>
    <w:rsid w:val="00773BBF"/>
    <w:rsid w:val="00775804"/>
    <w:rsid w:val="00777E1E"/>
    <w:rsid w:val="00780425"/>
    <w:rsid w:val="00780704"/>
    <w:rsid w:val="00783010"/>
    <w:rsid w:val="00783627"/>
    <w:rsid w:val="00785662"/>
    <w:rsid w:val="007864A1"/>
    <w:rsid w:val="00786BAA"/>
    <w:rsid w:val="007875A3"/>
    <w:rsid w:val="0079012A"/>
    <w:rsid w:val="00791A76"/>
    <w:rsid w:val="00792A3B"/>
    <w:rsid w:val="00792DDD"/>
    <w:rsid w:val="00793C68"/>
    <w:rsid w:val="007A0270"/>
    <w:rsid w:val="007A02EF"/>
    <w:rsid w:val="007A1147"/>
    <w:rsid w:val="007A200D"/>
    <w:rsid w:val="007A3395"/>
    <w:rsid w:val="007B0CAA"/>
    <w:rsid w:val="007B0FFD"/>
    <w:rsid w:val="007B36A3"/>
    <w:rsid w:val="007C0B7E"/>
    <w:rsid w:val="007C4137"/>
    <w:rsid w:val="007C5E57"/>
    <w:rsid w:val="007C7379"/>
    <w:rsid w:val="007C7B1F"/>
    <w:rsid w:val="007C7B88"/>
    <w:rsid w:val="007D0F28"/>
    <w:rsid w:val="007D166E"/>
    <w:rsid w:val="007D1888"/>
    <w:rsid w:val="007D296A"/>
    <w:rsid w:val="007D3FCB"/>
    <w:rsid w:val="007D53A9"/>
    <w:rsid w:val="007D5EC2"/>
    <w:rsid w:val="007D6962"/>
    <w:rsid w:val="007E348B"/>
    <w:rsid w:val="007E7327"/>
    <w:rsid w:val="007F0334"/>
    <w:rsid w:val="007F0487"/>
    <w:rsid w:val="007F1553"/>
    <w:rsid w:val="007F3289"/>
    <w:rsid w:val="007F745F"/>
    <w:rsid w:val="00800802"/>
    <w:rsid w:val="00800AEF"/>
    <w:rsid w:val="00801D94"/>
    <w:rsid w:val="0080383F"/>
    <w:rsid w:val="008072E1"/>
    <w:rsid w:val="00807CC5"/>
    <w:rsid w:val="008114BA"/>
    <w:rsid w:val="00812361"/>
    <w:rsid w:val="008128CE"/>
    <w:rsid w:val="00814E70"/>
    <w:rsid w:val="00815F9E"/>
    <w:rsid w:val="0081655B"/>
    <w:rsid w:val="0082007F"/>
    <w:rsid w:val="0082010A"/>
    <w:rsid w:val="00822242"/>
    <w:rsid w:val="0082283D"/>
    <w:rsid w:val="00822981"/>
    <w:rsid w:val="00825371"/>
    <w:rsid w:val="00825E3B"/>
    <w:rsid w:val="0082771D"/>
    <w:rsid w:val="008301B4"/>
    <w:rsid w:val="008304FB"/>
    <w:rsid w:val="0083154E"/>
    <w:rsid w:val="008315E4"/>
    <w:rsid w:val="00831890"/>
    <w:rsid w:val="00832F5F"/>
    <w:rsid w:val="00834BFB"/>
    <w:rsid w:val="00835AFE"/>
    <w:rsid w:val="00840E3B"/>
    <w:rsid w:val="00841D9A"/>
    <w:rsid w:val="00842059"/>
    <w:rsid w:val="00843480"/>
    <w:rsid w:val="00845C88"/>
    <w:rsid w:val="00846478"/>
    <w:rsid w:val="008533BC"/>
    <w:rsid w:val="0085411F"/>
    <w:rsid w:val="0086199B"/>
    <w:rsid w:val="0086250D"/>
    <w:rsid w:val="0086354B"/>
    <w:rsid w:val="00864319"/>
    <w:rsid w:val="008647A0"/>
    <w:rsid w:val="008649E6"/>
    <w:rsid w:val="00864AA7"/>
    <w:rsid w:val="00867487"/>
    <w:rsid w:val="008706EF"/>
    <w:rsid w:val="00871533"/>
    <w:rsid w:val="0087439E"/>
    <w:rsid w:val="0088033F"/>
    <w:rsid w:val="00880BFD"/>
    <w:rsid w:val="00882AB3"/>
    <w:rsid w:val="00882E3C"/>
    <w:rsid w:val="008840E9"/>
    <w:rsid w:val="00887055"/>
    <w:rsid w:val="0088776E"/>
    <w:rsid w:val="00887F7C"/>
    <w:rsid w:val="00892B6A"/>
    <w:rsid w:val="0089325E"/>
    <w:rsid w:val="00893B0D"/>
    <w:rsid w:val="00895A7C"/>
    <w:rsid w:val="00896674"/>
    <w:rsid w:val="008976D4"/>
    <w:rsid w:val="008A0017"/>
    <w:rsid w:val="008A03A5"/>
    <w:rsid w:val="008A0BE3"/>
    <w:rsid w:val="008A51E0"/>
    <w:rsid w:val="008A7249"/>
    <w:rsid w:val="008A751D"/>
    <w:rsid w:val="008B2FEC"/>
    <w:rsid w:val="008B5BD0"/>
    <w:rsid w:val="008B6345"/>
    <w:rsid w:val="008B68C6"/>
    <w:rsid w:val="008B692D"/>
    <w:rsid w:val="008B79BB"/>
    <w:rsid w:val="008B7F8D"/>
    <w:rsid w:val="008C06CE"/>
    <w:rsid w:val="008C127D"/>
    <w:rsid w:val="008C1CEC"/>
    <w:rsid w:val="008C1F44"/>
    <w:rsid w:val="008C218F"/>
    <w:rsid w:val="008C2A2E"/>
    <w:rsid w:val="008D2084"/>
    <w:rsid w:val="008D218C"/>
    <w:rsid w:val="008D316F"/>
    <w:rsid w:val="008D39EA"/>
    <w:rsid w:val="008D42D4"/>
    <w:rsid w:val="008D6B66"/>
    <w:rsid w:val="008D7CA2"/>
    <w:rsid w:val="008E042F"/>
    <w:rsid w:val="008E0B62"/>
    <w:rsid w:val="008E364C"/>
    <w:rsid w:val="008E45CF"/>
    <w:rsid w:val="008E5ACF"/>
    <w:rsid w:val="008E6044"/>
    <w:rsid w:val="008E7354"/>
    <w:rsid w:val="008F0466"/>
    <w:rsid w:val="008F07B9"/>
    <w:rsid w:val="008F1F6D"/>
    <w:rsid w:val="008F3367"/>
    <w:rsid w:val="008F3A19"/>
    <w:rsid w:val="008F5D17"/>
    <w:rsid w:val="008F60B3"/>
    <w:rsid w:val="008F750B"/>
    <w:rsid w:val="009004CD"/>
    <w:rsid w:val="00900A80"/>
    <w:rsid w:val="00903B5D"/>
    <w:rsid w:val="009052A0"/>
    <w:rsid w:val="00905D7F"/>
    <w:rsid w:val="00907B3F"/>
    <w:rsid w:val="009121FC"/>
    <w:rsid w:val="00912323"/>
    <w:rsid w:val="00917DBE"/>
    <w:rsid w:val="00921686"/>
    <w:rsid w:val="00921C12"/>
    <w:rsid w:val="0092247E"/>
    <w:rsid w:val="0092272D"/>
    <w:rsid w:val="009227AD"/>
    <w:rsid w:val="00923F3E"/>
    <w:rsid w:val="009241CC"/>
    <w:rsid w:val="0092473F"/>
    <w:rsid w:val="00924BBD"/>
    <w:rsid w:val="00924E56"/>
    <w:rsid w:val="0092567A"/>
    <w:rsid w:val="00926A28"/>
    <w:rsid w:val="00930901"/>
    <w:rsid w:val="0093104C"/>
    <w:rsid w:val="00931466"/>
    <w:rsid w:val="00932F2F"/>
    <w:rsid w:val="00933CF6"/>
    <w:rsid w:val="00935264"/>
    <w:rsid w:val="00937CEC"/>
    <w:rsid w:val="009403CE"/>
    <w:rsid w:val="00940D74"/>
    <w:rsid w:val="0094188C"/>
    <w:rsid w:val="00944627"/>
    <w:rsid w:val="00945332"/>
    <w:rsid w:val="00947308"/>
    <w:rsid w:val="0094769E"/>
    <w:rsid w:val="00947A04"/>
    <w:rsid w:val="00952E21"/>
    <w:rsid w:val="00953163"/>
    <w:rsid w:val="00953440"/>
    <w:rsid w:val="009536E0"/>
    <w:rsid w:val="009549AE"/>
    <w:rsid w:val="00955AB8"/>
    <w:rsid w:val="00957204"/>
    <w:rsid w:val="009579D2"/>
    <w:rsid w:val="00960E93"/>
    <w:rsid w:val="00961965"/>
    <w:rsid w:val="0096275C"/>
    <w:rsid w:val="00963E10"/>
    <w:rsid w:val="009643A3"/>
    <w:rsid w:val="009706D9"/>
    <w:rsid w:val="00971880"/>
    <w:rsid w:val="00971AC4"/>
    <w:rsid w:val="00971F88"/>
    <w:rsid w:val="00972AC2"/>
    <w:rsid w:val="00974A10"/>
    <w:rsid w:val="009759C6"/>
    <w:rsid w:val="00976023"/>
    <w:rsid w:val="00980214"/>
    <w:rsid w:val="00986B26"/>
    <w:rsid w:val="00986D2A"/>
    <w:rsid w:val="0098720A"/>
    <w:rsid w:val="00990CA7"/>
    <w:rsid w:val="009919E8"/>
    <w:rsid w:val="00991BE9"/>
    <w:rsid w:val="009922BF"/>
    <w:rsid w:val="00993901"/>
    <w:rsid w:val="009958D7"/>
    <w:rsid w:val="00996643"/>
    <w:rsid w:val="00996FA7"/>
    <w:rsid w:val="009A0FA4"/>
    <w:rsid w:val="009A1E99"/>
    <w:rsid w:val="009A4289"/>
    <w:rsid w:val="009A54C5"/>
    <w:rsid w:val="009A606D"/>
    <w:rsid w:val="009B31B5"/>
    <w:rsid w:val="009B32F2"/>
    <w:rsid w:val="009B3E23"/>
    <w:rsid w:val="009B516B"/>
    <w:rsid w:val="009B60AD"/>
    <w:rsid w:val="009B730C"/>
    <w:rsid w:val="009C0909"/>
    <w:rsid w:val="009C1856"/>
    <w:rsid w:val="009C3A0B"/>
    <w:rsid w:val="009C3D79"/>
    <w:rsid w:val="009C464E"/>
    <w:rsid w:val="009D06AD"/>
    <w:rsid w:val="009D0C30"/>
    <w:rsid w:val="009D0CF2"/>
    <w:rsid w:val="009D2EFC"/>
    <w:rsid w:val="009D2FD9"/>
    <w:rsid w:val="009D44CC"/>
    <w:rsid w:val="009D477F"/>
    <w:rsid w:val="009D5375"/>
    <w:rsid w:val="009D6628"/>
    <w:rsid w:val="009D7882"/>
    <w:rsid w:val="009D7BC4"/>
    <w:rsid w:val="009D7D0C"/>
    <w:rsid w:val="009E0E6B"/>
    <w:rsid w:val="009E38DA"/>
    <w:rsid w:val="009E4145"/>
    <w:rsid w:val="009E633A"/>
    <w:rsid w:val="009E6A8B"/>
    <w:rsid w:val="009E7751"/>
    <w:rsid w:val="009F16FF"/>
    <w:rsid w:val="009F188E"/>
    <w:rsid w:val="009F1EBF"/>
    <w:rsid w:val="009F2EEB"/>
    <w:rsid w:val="009F3A6D"/>
    <w:rsid w:val="009F42AB"/>
    <w:rsid w:val="009F5055"/>
    <w:rsid w:val="00A01104"/>
    <w:rsid w:val="00A01BEA"/>
    <w:rsid w:val="00A01CB4"/>
    <w:rsid w:val="00A05163"/>
    <w:rsid w:val="00A06378"/>
    <w:rsid w:val="00A06F23"/>
    <w:rsid w:val="00A152C6"/>
    <w:rsid w:val="00A15817"/>
    <w:rsid w:val="00A16A24"/>
    <w:rsid w:val="00A202FB"/>
    <w:rsid w:val="00A20B81"/>
    <w:rsid w:val="00A22024"/>
    <w:rsid w:val="00A22616"/>
    <w:rsid w:val="00A23C51"/>
    <w:rsid w:val="00A24329"/>
    <w:rsid w:val="00A254F6"/>
    <w:rsid w:val="00A31371"/>
    <w:rsid w:val="00A317A5"/>
    <w:rsid w:val="00A31AD0"/>
    <w:rsid w:val="00A344BD"/>
    <w:rsid w:val="00A34665"/>
    <w:rsid w:val="00A36D94"/>
    <w:rsid w:val="00A3726B"/>
    <w:rsid w:val="00A37284"/>
    <w:rsid w:val="00A37CD4"/>
    <w:rsid w:val="00A40412"/>
    <w:rsid w:val="00A40AE5"/>
    <w:rsid w:val="00A42AE1"/>
    <w:rsid w:val="00A44447"/>
    <w:rsid w:val="00A46DCA"/>
    <w:rsid w:val="00A51038"/>
    <w:rsid w:val="00A51F36"/>
    <w:rsid w:val="00A5238B"/>
    <w:rsid w:val="00A52D42"/>
    <w:rsid w:val="00A5380B"/>
    <w:rsid w:val="00A54396"/>
    <w:rsid w:val="00A55DA5"/>
    <w:rsid w:val="00A560D3"/>
    <w:rsid w:val="00A56562"/>
    <w:rsid w:val="00A57069"/>
    <w:rsid w:val="00A579A5"/>
    <w:rsid w:val="00A61071"/>
    <w:rsid w:val="00A61100"/>
    <w:rsid w:val="00A61BC5"/>
    <w:rsid w:val="00A62AC0"/>
    <w:rsid w:val="00A62DB8"/>
    <w:rsid w:val="00A631F8"/>
    <w:rsid w:val="00A63603"/>
    <w:rsid w:val="00A64403"/>
    <w:rsid w:val="00A64F99"/>
    <w:rsid w:val="00A65C71"/>
    <w:rsid w:val="00A67AFC"/>
    <w:rsid w:val="00A75097"/>
    <w:rsid w:val="00A750B6"/>
    <w:rsid w:val="00A76822"/>
    <w:rsid w:val="00A77B1F"/>
    <w:rsid w:val="00A81413"/>
    <w:rsid w:val="00A823C8"/>
    <w:rsid w:val="00A826FA"/>
    <w:rsid w:val="00A85424"/>
    <w:rsid w:val="00A854E3"/>
    <w:rsid w:val="00A86B6F"/>
    <w:rsid w:val="00A87399"/>
    <w:rsid w:val="00A87F49"/>
    <w:rsid w:val="00A91549"/>
    <w:rsid w:val="00A9296A"/>
    <w:rsid w:val="00A92EE3"/>
    <w:rsid w:val="00A93BA0"/>
    <w:rsid w:val="00A93C48"/>
    <w:rsid w:val="00A942A8"/>
    <w:rsid w:val="00A96308"/>
    <w:rsid w:val="00AA0E22"/>
    <w:rsid w:val="00AA1228"/>
    <w:rsid w:val="00AA3DE4"/>
    <w:rsid w:val="00AA473E"/>
    <w:rsid w:val="00AA492E"/>
    <w:rsid w:val="00AA6E77"/>
    <w:rsid w:val="00AB0281"/>
    <w:rsid w:val="00AB1CFA"/>
    <w:rsid w:val="00AB2D7C"/>
    <w:rsid w:val="00AB30BF"/>
    <w:rsid w:val="00AB6C7F"/>
    <w:rsid w:val="00AB6CCD"/>
    <w:rsid w:val="00AB7FF8"/>
    <w:rsid w:val="00AC579F"/>
    <w:rsid w:val="00AC6510"/>
    <w:rsid w:val="00AC6FD1"/>
    <w:rsid w:val="00AC785F"/>
    <w:rsid w:val="00AD032B"/>
    <w:rsid w:val="00AD1562"/>
    <w:rsid w:val="00AD1DDC"/>
    <w:rsid w:val="00AD1DDE"/>
    <w:rsid w:val="00AD2601"/>
    <w:rsid w:val="00AD4ACD"/>
    <w:rsid w:val="00AD60CF"/>
    <w:rsid w:val="00AD6C93"/>
    <w:rsid w:val="00AE061E"/>
    <w:rsid w:val="00AE08DE"/>
    <w:rsid w:val="00AE0D54"/>
    <w:rsid w:val="00AE0D8B"/>
    <w:rsid w:val="00AE1A69"/>
    <w:rsid w:val="00AE3E5B"/>
    <w:rsid w:val="00AE542A"/>
    <w:rsid w:val="00AE6DC3"/>
    <w:rsid w:val="00AF00D6"/>
    <w:rsid w:val="00AF1E47"/>
    <w:rsid w:val="00AF3080"/>
    <w:rsid w:val="00AF39CC"/>
    <w:rsid w:val="00AF5242"/>
    <w:rsid w:val="00AF6558"/>
    <w:rsid w:val="00AF69B5"/>
    <w:rsid w:val="00B000FF"/>
    <w:rsid w:val="00B00D7F"/>
    <w:rsid w:val="00B0198F"/>
    <w:rsid w:val="00B01D67"/>
    <w:rsid w:val="00B106D2"/>
    <w:rsid w:val="00B11BA8"/>
    <w:rsid w:val="00B13068"/>
    <w:rsid w:val="00B1396B"/>
    <w:rsid w:val="00B14372"/>
    <w:rsid w:val="00B1643F"/>
    <w:rsid w:val="00B17508"/>
    <w:rsid w:val="00B21204"/>
    <w:rsid w:val="00B22CF0"/>
    <w:rsid w:val="00B23E14"/>
    <w:rsid w:val="00B246D4"/>
    <w:rsid w:val="00B24790"/>
    <w:rsid w:val="00B25D55"/>
    <w:rsid w:val="00B265E6"/>
    <w:rsid w:val="00B277ED"/>
    <w:rsid w:val="00B304C3"/>
    <w:rsid w:val="00B30E19"/>
    <w:rsid w:val="00B3389D"/>
    <w:rsid w:val="00B33D5D"/>
    <w:rsid w:val="00B34EDA"/>
    <w:rsid w:val="00B3705B"/>
    <w:rsid w:val="00B372E4"/>
    <w:rsid w:val="00B3759C"/>
    <w:rsid w:val="00B377DA"/>
    <w:rsid w:val="00B404C0"/>
    <w:rsid w:val="00B43731"/>
    <w:rsid w:val="00B44EC2"/>
    <w:rsid w:val="00B4573F"/>
    <w:rsid w:val="00B4581A"/>
    <w:rsid w:val="00B458F8"/>
    <w:rsid w:val="00B45E3F"/>
    <w:rsid w:val="00B47845"/>
    <w:rsid w:val="00B500F2"/>
    <w:rsid w:val="00B51450"/>
    <w:rsid w:val="00B5213F"/>
    <w:rsid w:val="00B5294B"/>
    <w:rsid w:val="00B52E78"/>
    <w:rsid w:val="00B55A2E"/>
    <w:rsid w:val="00B55F1E"/>
    <w:rsid w:val="00B56FF2"/>
    <w:rsid w:val="00B57EED"/>
    <w:rsid w:val="00B60E67"/>
    <w:rsid w:val="00B6126C"/>
    <w:rsid w:val="00B639A7"/>
    <w:rsid w:val="00B6554F"/>
    <w:rsid w:val="00B65D56"/>
    <w:rsid w:val="00B667FD"/>
    <w:rsid w:val="00B668D8"/>
    <w:rsid w:val="00B70B58"/>
    <w:rsid w:val="00B71B8D"/>
    <w:rsid w:val="00B71D7E"/>
    <w:rsid w:val="00B736BC"/>
    <w:rsid w:val="00B74D79"/>
    <w:rsid w:val="00B75180"/>
    <w:rsid w:val="00B75FC9"/>
    <w:rsid w:val="00B7676D"/>
    <w:rsid w:val="00B77067"/>
    <w:rsid w:val="00B80E2B"/>
    <w:rsid w:val="00B81991"/>
    <w:rsid w:val="00B827F6"/>
    <w:rsid w:val="00B82F15"/>
    <w:rsid w:val="00B837C7"/>
    <w:rsid w:val="00B84DC4"/>
    <w:rsid w:val="00B8629F"/>
    <w:rsid w:val="00B864F0"/>
    <w:rsid w:val="00B869A2"/>
    <w:rsid w:val="00B906C0"/>
    <w:rsid w:val="00B920F1"/>
    <w:rsid w:val="00B922B5"/>
    <w:rsid w:val="00B93E6C"/>
    <w:rsid w:val="00B95006"/>
    <w:rsid w:val="00B955BB"/>
    <w:rsid w:val="00B96715"/>
    <w:rsid w:val="00B96DD6"/>
    <w:rsid w:val="00BA12F2"/>
    <w:rsid w:val="00BA1DCA"/>
    <w:rsid w:val="00BA34F5"/>
    <w:rsid w:val="00BA3781"/>
    <w:rsid w:val="00BA3798"/>
    <w:rsid w:val="00BA3E0F"/>
    <w:rsid w:val="00BA7732"/>
    <w:rsid w:val="00BB0582"/>
    <w:rsid w:val="00BB1311"/>
    <w:rsid w:val="00BB2D0D"/>
    <w:rsid w:val="00BB314A"/>
    <w:rsid w:val="00BB44D3"/>
    <w:rsid w:val="00BB639B"/>
    <w:rsid w:val="00BB7D00"/>
    <w:rsid w:val="00BC011D"/>
    <w:rsid w:val="00BC34D3"/>
    <w:rsid w:val="00BC3DF8"/>
    <w:rsid w:val="00BC4389"/>
    <w:rsid w:val="00BC4B6D"/>
    <w:rsid w:val="00BC658F"/>
    <w:rsid w:val="00BC7201"/>
    <w:rsid w:val="00BD06DC"/>
    <w:rsid w:val="00BD08B1"/>
    <w:rsid w:val="00BD2720"/>
    <w:rsid w:val="00BD2855"/>
    <w:rsid w:val="00BD4494"/>
    <w:rsid w:val="00BD4A01"/>
    <w:rsid w:val="00BD5CB4"/>
    <w:rsid w:val="00BD6B33"/>
    <w:rsid w:val="00BD76DE"/>
    <w:rsid w:val="00BE11EB"/>
    <w:rsid w:val="00BE15BE"/>
    <w:rsid w:val="00BE1DD1"/>
    <w:rsid w:val="00BE52E8"/>
    <w:rsid w:val="00BE7BFE"/>
    <w:rsid w:val="00BF0318"/>
    <w:rsid w:val="00BF12BB"/>
    <w:rsid w:val="00BF1E21"/>
    <w:rsid w:val="00BF3ED6"/>
    <w:rsid w:val="00BF524A"/>
    <w:rsid w:val="00BF526B"/>
    <w:rsid w:val="00BF5837"/>
    <w:rsid w:val="00C00C2C"/>
    <w:rsid w:val="00C00D9A"/>
    <w:rsid w:val="00C02B93"/>
    <w:rsid w:val="00C03139"/>
    <w:rsid w:val="00C03419"/>
    <w:rsid w:val="00C03482"/>
    <w:rsid w:val="00C03882"/>
    <w:rsid w:val="00C04842"/>
    <w:rsid w:val="00C05722"/>
    <w:rsid w:val="00C06131"/>
    <w:rsid w:val="00C0789D"/>
    <w:rsid w:val="00C10391"/>
    <w:rsid w:val="00C1091F"/>
    <w:rsid w:val="00C11CF3"/>
    <w:rsid w:val="00C13157"/>
    <w:rsid w:val="00C13352"/>
    <w:rsid w:val="00C13928"/>
    <w:rsid w:val="00C2106C"/>
    <w:rsid w:val="00C225D9"/>
    <w:rsid w:val="00C22E0C"/>
    <w:rsid w:val="00C23041"/>
    <w:rsid w:val="00C23AB9"/>
    <w:rsid w:val="00C23DEC"/>
    <w:rsid w:val="00C24848"/>
    <w:rsid w:val="00C26F5A"/>
    <w:rsid w:val="00C2711A"/>
    <w:rsid w:val="00C30D13"/>
    <w:rsid w:val="00C314BD"/>
    <w:rsid w:val="00C338C0"/>
    <w:rsid w:val="00C33CD8"/>
    <w:rsid w:val="00C347BA"/>
    <w:rsid w:val="00C34866"/>
    <w:rsid w:val="00C35585"/>
    <w:rsid w:val="00C36297"/>
    <w:rsid w:val="00C367F0"/>
    <w:rsid w:val="00C369E9"/>
    <w:rsid w:val="00C3789D"/>
    <w:rsid w:val="00C40379"/>
    <w:rsid w:val="00C4196D"/>
    <w:rsid w:val="00C41DD1"/>
    <w:rsid w:val="00C41DDA"/>
    <w:rsid w:val="00C434AF"/>
    <w:rsid w:val="00C436BC"/>
    <w:rsid w:val="00C43890"/>
    <w:rsid w:val="00C441EB"/>
    <w:rsid w:val="00C450F9"/>
    <w:rsid w:val="00C4733C"/>
    <w:rsid w:val="00C51325"/>
    <w:rsid w:val="00C52589"/>
    <w:rsid w:val="00C55219"/>
    <w:rsid w:val="00C5549A"/>
    <w:rsid w:val="00C55BD2"/>
    <w:rsid w:val="00C574F5"/>
    <w:rsid w:val="00C609FF"/>
    <w:rsid w:val="00C61357"/>
    <w:rsid w:val="00C64139"/>
    <w:rsid w:val="00C66446"/>
    <w:rsid w:val="00C70D3C"/>
    <w:rsid w:val="00C7150D"/>
    <w:rsid w:val="00C72245"/>
    <w:rsid w:val="00C72808"/>
    <w:rsid w:val="00C72899"/>
    <w:rsid w:val="00C7343F"/>
    <w:rsid w:val="00C7502A"/>
    <w:rsid w:val="00C75F93"/>
    <w:rsid w:val="00C762DA"/>
    <w:rsid w:val="00C7724D"/>
    <w:rsid w:val="00C80446"/>
    <w:rsid w:val="00C806B3"/>
    <w:rsid w:val="00C80BC5"/>
    <w:rsid w:val="00C822D7"/>
    <w:rsid w:val="00C82882"/>
    <w:rsid w:val="00C85166"/>
    <w:rsid w:val="00C851D0"/>
    <w:rsid w:val="00C86898"/>
    <w:rsid w:val="00C87793"/>
    <w:rsid w:val="00C90922"/>
    <w:rsid w:val="00C90C43"/>
    <w:rsid w:val="00C92439"/>
    <w:rsid w:val="00C92715"/>
    <w:rsid w:val="00C93BA8"/>
    <w:rsid w:val="00C955EF"/>
    <w:rsid w:val="00C966AA"/>
    <w:rsid w:val="00C97007"/>
    <w:rsid w:val="00C9793A"/>
    <w:rsid w:val="00C97CEC"/>
    <w:rsid w:val="00CA09C1"/>
    <w:rsid w:val="00CA0D83"/>
    <w:rsid w:val="00CA0DC7"/>
    <w:rsid w:val="00CA44F1"/>
    <w:rsid w:val="00CA4CAD"/>
    <w:rsid w:val="00CA640A"/>
    <w:rsid w:val="00CA784C"/>
    <w:rsid w:val="00CA7AB4"/>
    <w:rsid w:val="00CB0020"/>
    <w:rsid w:val="00CB1FC0"/>
    <w:rsid w:val="00CB3431"/>
    <w:rsid w:val="00CB34F4"/>
    <w:rsid w:val="00CB4E35"/>
    <w:rsid w:val="00CB779D"/>
    <w:rsid w:val="00CB7927"/>
    <w:rsid w:val="00CC4A05"/>
    <w:rsid w:val="00CC5117"/>
    <w:rsid w:val="00CC5EAC"/>
    <w:rsid w:val="00CC7A77"/>
    <w:rsid w:val="00CD0365"/>
    <w:rsid w:val="00CD04FA"/>
    <w:rsid w:val="00CD0D9C"/>
    <w:rsid w:val="00CD5752"/>
    <w:rsid w:val="00CD656F"/>
    <w:rsid w:val="00CD6CDF"/>
    <w:rsid w:val="00CD7E5F"/>
    <w:rsid w:val="00CD7E83"/>
    <w:rsid w:val="00CE03B6"/>
    <w:rsid w:val="00CE045F"/>
    <w:rsid w:val="00CE491F"/>
    <w:rsid w:val="00CE50A7"/>
    <w:rsid w:val="00CE518A"/>
    <w:rsid w:val="00CF237D"/>
    <w:rsid w:val="00CF2A32"/>
    <w:rsid w:val="00CF4074"/>
    <w:rsid w:val="00CF4CD7"/>
    <w:rsid w:val="00CF5795"/>
    <w:rsid w:val="00CF6904"/>
    <w:rsid w:val="00CF6A0C"/>
    <w:rsid w:val="00CF7BF8"/>
    <w:rsid w:val="00D00DA1"/>
    <w:rsid w:val="00D028F1"/>
    <w:rsid w:val="00D035EC"/>
    <w:rsid w:val="00D03CC9"/>
    <w:rsid w:val="00D05F5A"/>
    <w:rsid w:val="00D06E80"/>
    <w:rsid w:val="00D11306"/>
    <w:rsid w:val="00D1165B"/>
    <w:rsid w:val="00D12C3B"/>
    <w:rsid w:val="00D1300B"/>
    <w:rsid w:val="00D13D97"/>
    <w:rsid w:val="00D17832"/>
    <w:rsid w:val="00D20399"/>
    <w:rsid w:val="00D225CD"/>
    <w:rsid w:val="00D22A60"/>
    <w:rsid w:val="00D22F14"/>
    <w:rsid w:val="00D23B4A"/>
    <w:rsid w:val="00D23F6A"/>
    <w:rsid w:val="00D27700"/>
    <w:rsid w:val="00D27FA2"/>
    <w:rsid w:val="00D306D2"/>
    <w:rsid w:val="00D3105A"/>
    <w:rsid w:val="00D318FB"/>
    <w:rsid w:val="00D31A24"/>
    <w:rsid w:val="00D334FC"/>
    <w:rsid w:val="00D34835"/>
    <w:rsid w:val="00D35641"/>
    <w:rsid w:val="00D36C14"/>
    <w:rsid w:val="00D3732A"/>
    <w:rsid w:val="00D37710"/>
    <w:rsid w:val="00D37713"/>
    <w:rsid w:val="00D43D34"/>
    <w:rsid w:val="00D44B3D"/>
    <w:rsid w:val="00D44D93"/>
    <w:rsid w:val="00D45DFA"/>
    <w:rsid w:val="00D536C7"/>
    <w:rsid w:val="00D549F7"/>
    <w:rsid w:val="00D551FE"/>
    <w:rsid w:val="00D56334"/>
    <w:rsid w:val="00D56FEB"/>
    <w:rsid w:val="00D60E65"/>
    <w:rsid w:val="00D60F10"/>
    <w:rsid w:val="00D60F5A"/>
    <w:rsid w:val="00D61C11"/>
    <w:rsid w:val="00D63AED"/>
    <w:rsid w:val="00D646BD"/>
    <w:rsid w:val="00D65EE2"/>
    <w:rsid w:val="00D66115"/>
    <w:rsid w:val="00D704CE"/>
    <w:rsid w:val="00D737EE"/>
    <w:rsid w:val="00D745AF"/>
    <w:rsid w:val="00D7723E"/>
    <w:rsid w:val="00D80819"/>
    <w:rsid w:val="00D80F0C"/>
    <w:rsid w:val="00D8229A"/>
    <w:rsid w:val="00D83DFD"/>
    <w:rsid w:val="00D85926"/>
    <w:rsid w:val="00D8735D"/>
    <w:rsid w:val="00D906D2"/>
    <w:rsid w:val="00D9272E"/>
    <w:rsid w:val="00DA216E"/>
    <w:rsid w:val="00DA2326"/>
    <w:rsid w:val="00DA272D"/>
    <w:rsid w:val="00DA359A"/>
    <w:rsid w:val="00DA58B7"/>
    <w:rsid w:val="00DA6266"/>
    <w:rsid w:val="00DA70B7"/>
    <w:rsid w:val="00DA7479"/>
    <w:rsid w:val="00DB1833"/>
    <w:rsid w:val="00DB3180"/>
    <w:rsid w:val="00DB3F01"/>
    <w:rsid w:val="00DB5E0A"/>
    <w:rsid w:val="00DB751D"/>
    <w:rsid w:val="00DC16A7"/>
    <w:rsid w:val="00DC1F00"/>
    <w:rsid w:val="00DC2AD8"/>
    <w:rsid w:val="00DC3AD8"/>
    <w:rsid w:val="00DC54E5"/>
    <w:rsid w:val="00DC69AA"/>
    <w:rsid w:val="00DD2C5E"/>
    <w:rsid w:val="00DD3873"/>
    <w:rsid w:val="00DD4115"/>
    <w:rsid w:val="00DE08CC"/>
    <w:rsid w:val="00DE27CE"/>
    <w:rsid w:val="00DE3491"/>
    <w:rsid w:val="00DE408E"/>
    <w:rsid w:val="00DE48BB"/>
    <w:rsid w:val="00DE4E46"/>
    <w:rsid w:val="00DE5F62"/>
    <w:rsid w:val="00DE7C5B"/>
    <w:rsid w:val="00DF07FA"/>
    <w:rsid w:val="00DF1BB0"/>
    <w:rsid w:val="00DF240D"/>
    <w:rsid w:val="00DF333F"/>
    <w:rsid w:val="00DF7644"/>
    <w:rsid w:val="00E00094"/>
    <w:rsid w:val="00E00610"/>
    <w:rsid w:val="00E00B75"/>
    <w:rsid w:val="00E03798"/>
    <w:rsid w:val="00E0397E"/>
    <w:rsid w:val="00E05B95"/>
    <w:rsid w:val="00E10244"/>
    <w:rsid w:val="00E12573"/>
    <w:rsid w:val="00E147DA"/>
    <w:rsid w:val="00E150C5"/>
    <w:rsid w:val="00E1665E"/>
    <w:rsid w:val="00E20DC6"/>
    <w:rsid w:val="00E21F4F"/>
    <w:rsid w:val="00E2313C"/>
    <w:rsid w:val="00E2372C"/>
    <w:rsid w:val="00E242F2"/>
    <w:rsid w:val="00E24A97"/>
    <w:rsid w:val="00E258F3"/>
    <w:rsid w:val="00E26D31"/>
    <w:rsid w:val="00E27815"/>
    <w:rsid w:val="00E27AF7"/>
    <w:rsid w:val="00E27C9D"/>
    <w:rsid w:val="00E304E5"/>
    <w:rsid w:val="00E30AAC"/>
    <w:rsid w:val="00E30AD3"/>
    <w:rsid w:val="00E311D8"/>
    <w:rsid w:val="00E31FA8"/>
    <w:rsid w:val="00E33579"/>
    <w:rsid w:val="00E344B0"/>
    <w:rsid w:val="00E3465B"/>
    <w:rsid w:val="00E35ACC"/>
    <w:rsid w:val="00E36697"/>
    <w:rsid w:val="00E41CB5"/>
    <w:rsid w:val="00E4653D"/>
    <w:rsid w:val="00E47FE3"/>
    <w:rsid w:val="00E51C05"/>
    <w:rsid w:val="00E52792"/>
    <w:rsid w:val="00E52AE6"/>
    <w:rsid w:val="00E532D7"/>
    <w:rsid w:val="00E54350"/>
    <w:rsid w:val="00E60074"/>
    <w:rsid w:val="00E62CAA"/>
    <w:rsid w:val="00E648A6"/>
    <w:rsid w:val="00E672BF"/>
    <w:rsid w:val="00E6763F"/>
    <w:rsid w:val="00E70CD6"/>
    <w:rsid w:val="00E7113F"/>
    <w:rsid w:val="00E72176"/>
    <w:rsid w:val="00E75815"/>
    <w:rsid w:val="00E75C6E"/>
    <w:rsid w:val="00E80FA3"/>
    <w:rsid w:val="00E81A1C"/>
    <w:rsid w:val="00E82A84"/>
    <w:rsid w:val="00E830D2"/>
    <w:rsid w:val="00E83AEF"/>
    <w:rsid w:val="00E84053"/>
    <w:rsid w:val="00E84937"/>
    <w:rsid w:val="00E849E4"/>
    <w:rsid w:val="00E92B8B"/>
    <w:rsid w:val="00E941B6"/>
    <w:rsid w:val="00E979D3"/>
    <w:rsid w:val="00E97BBB"/>
    <w:rsid w:val="00EA02D2"/>
    <w:rsid w:val="00EA09D3"/>
    <w:rsid w:val="00EA38EA"/>
    <w:rsid w:val="00EA3A7D"/>
    <w:rsid w:val="00EA3C69"/>
    <w:rsid w:val="00EA40DB"/>
    <w:rsid w:val="00EA4A84"/>
    <w:rsid w:val="00EA773B"/>
    <w:rsid w:val="00EA780D"/>
    <w:rsid w:val="00EB02DA"/>
    <w:rsid w:val="00EB038A"/>
    <w:rsid w:val="00EB0393"/>
    <w:rsid w:val="00EB23C2"/>
    <w:rsid w:val="00EB347F"/>
    <w:rsid w:val="00EB5DB5"/>
    <w:rsid w:val="00EB724B"/>
    <w:rsid w:val="00EB7CDC"/>
    <w:rsid w:val="00EC0C6C"/>
    <w:rsid w:val="00EC1ABB"/>
    <w:rsid w:val="00EC25DC"/>
    <w:rsid w:val="00EC3329"/>
    <w:rsid w:val="00EC44A9"/>
    <w:rsid w:val="00EC66E1"/>
    <w:rsid w:val="00EC73F2"/>
    <w:rsid w:val="00EC7403"/>
    <w:rsid w:val="00ED0185"/>
    <w:rsid w:val="00ED01B3"/>
    <w:rsid w:val="00ED0F9C"/>
    <w:rsid w:val="00ED306E"/>
    <w:rsid w:val="00ED51FF"/>
    <w:rsid w:val="00ED62D0"/>
    <w:rsid w:val="00ED633E"/>
    <w:rsid w:val="00EE56B5"/>
    <w:rsid w:val="00EE67C1"/>
    <w:rsid w:val="00EE7DBC"/>
    <w:rsid w:val="00EF0FF4"/>
    <w:rsid w:val="00EF1F16"/>
    <w:rsid w:val="00EF27F9"/>
    <w:rsid w:val="00EF2A59"/>
    <w:rsid w:val="00EF4FB1"/>
    <w:rsid w:val="00EF590D"/>
    <w:rsid w:val="00EF61D3"/>
    <w:rsid w:val="00EF6C8F"/>
    <w:rsid w:val="00EF714F"/>
    <w:rsid w:val="00EF748C"/>
    <w:rsid w:val="00EF7EB0"/>
    <w:rsid w:val="00F02F52"/>
    <w:rsid w:val="00F11D87"/>
    <w:rsid w:val="00F1762A"/>
    <w:rsid w:val="00F21AE5"/>
    <w:rsid w:val="00F21D65"/>
    <w:rsid w:val="00F24704"/>
    <w:rsid w:val="00F24BB2"/>
    <w:rsid w:val="00F25E2B"/>
    <w:rsid w:val="00F26663"/>
    <w:rsid w:val="00F30251"/>
    <w:rsid w:val="00F30880"/>
    <w:rsid w:val="00F324B4"/>
    <w:rsid w:val="00F3470C"/>
    <w:rsid w:val="00F36A2D"/>
    <w:rsid w:val="00F37E24"/>
    <w:rsid w:val="00F40B65"/>
    <w:rsid w:val="00F40C07"/>
    <w:rsid w:val="00F41F8D"/>
    <w:rsid w:val="00F449DE"/>
    <w:rsid w:val="00F44DA9"/>
    <w:rsid w:val="00F455DE"/>
    <w:rsid w:val="00F4595B"/>
    <w:rsid w:val="00F470F2"/>
    <w:rsid w:val="00F479FB"/>
    <w:rsid w:val="00F50361"/>
    <w:rsid w:val="00F50BCA"/>
    <w:rsid w:val="00F50DAC"/>
    <w:rsid w:val="00F51A62"/>
    <w:rsid w:val="00F51AD8"/>
    <w:rsid w:val="00F51EAF"/>
    <w:rsid w:val="00F523DC"/>
    <w:rsid w:val="00F52975"/>
    <w:rsid w:val="00F537AB"/>
    <w:rsid w:val="00F55977"/>
    <w:rsid w:val="00F5658D"/>
    <w:rsid w:val="00F57367"/>
    <w:rsid w:val="00F603DC"/>
    <w:rsid w:val="00F6167A"/>
    <w:rsid w:val="00F6464F"/>
    <w:rsid w:val="00F6536B"/>
    <w:rsid w:val="00F65A07"/>
    <w:rsid w:val="00F66065"/>
    <w:rsid w:val="00F674B7"/>
    <w:rsid w:val="00F80ADA"/>
    <w:rsid w:val="00F831E8"/>
    <w:rsid w:val="00F90805"/>
    <w:rsid w:val="00F9204A"/>
    <w:rsid w:val="00F921F5"/>
    <w:rsid w:val="00F93128"/>
    <w:rsid w:val="00F935A7"/>
    <w:rsid w:val="00F9409C"/>
    <w:rsid w:val="00F9479A"/>
    <w:rsid w:val="00F97054"/>
    <w:rsid w:val="00F975A8"/>
    <w:rsid w:val="00FA1F2A"/>
    <w:rsid w:val="00FA4712"/>
    <w:rsid w:val="00FA6305"/>
    <w:rsid w:val="00FA6397"/>
    <w:rsid w:val="00FA7D72"/>
    <w:rsid w:val="00FA7F35"/>
    <w:rsid w:val="00FB0B12"/>
    <w:rsid w:val="00FB13BD"/>
    <w:rsid w:val="00FB2576"/>
    <w:rsid w:val="00FB34D2"/>
    <w:rsid w:val="00FB3F3B"/>
    <w:rsid w:val="00FB46BB"/>
    <w:rsid w:val="00FB4F02"/>
    <w:rsid w:val="00FB7B2E"/>
    <w:rsid w:val="00FC1FA4"/>
    <w:rsid w:val="00FC4476"/>
    <w:rsid w:val="00FC6BBC"/>
    <w:rsid w:val="00FD0AD6"/>
    <w:rsid w:val="00FD121E"/>
    <w:rsid w:val="00FD1AC3"/>
    <w:rsid w:val="00FD25DB"/>
    <w:rsid w:val="00FD2F5E"/>
    <w:rsid w:val="00FD517F"/>
    <w:rsid w:val="00FD5C54"/>
    <w:rsid w:val="00FD5EB9"/>
    <w:rsid w:val="00FD6162"/>
    <w:rsid w:val="00FD62E6"/>
    <w:rsid w:val="00FE1DAD"/>
    <w:rsid w:val="00FE31EC"/>
    <w:rsid w:val="00FE47B5"/>
    <w:rsid w:val="00FE50DD"/>
    <w:rsid w:val="00FE6161"/>
    <w:rsid w:val="00FE701B"/>
    <w:rsid w:val="00FF0620"/>
    <w:rsid w:val="00FF0C32"/>
    <w:rsid w:val="00FF2CBC"/>
    <w:rsid w:val="00FF6BFD"/>
    <w:rsid w:val="010321AC"/>
    <w:rsid w:val="013B09B2"/>
    <w:rsid w:val="0169126E"/>
    <w:rsid w:val="018D1D97"/>
    <w:rsid w:val="0192621F"/>
    <w:rsid w:val="01D83C64"/>
    <w:rsid w:val="01FC19D7"/>
    <w:rsid w:val="02277D98"/>
    <w:rsid w:val="026F4D46"/>
    <w:rsid w:val="03101F14"/>
    <w:rsid w:val="032E6740"/>
    <w:rsid w:val="033A79B0"/>
    <w:rsid w:val="0388056A"/>
    <w:rsid w:val="03B94DAE"/>
    <w:rsid w:val="03FD60C2"/>
    <w:rsid w:val="043964FE"/>
    <w:rsid w:val="044048F3"/>
    <w:rsid w:val="045F6684"/>
    <w:rsid w:val="046F0426"/>
    <w:rsid w:val="04843CF7"/>
    <w:rsid w:val="049A6A89"/>
    <w:rsid w:val="0500640C"/>
    <w:rsid w:val="05DD726E"/>
    <w:rsid w:val="05F77758"/>
    <w:rsid w:val="060A33BE"/>
    <w:rsid w:val="06483C08"/>
    <w:rsid w:val="068927C3"/>
    <w:rsid w:val="06B144A0"/>
    <w:rsid w:val="07017515"/>
    <w:rsid w:val="07700078"/>
    <w:rsid w:val="07774EF7"/>
    <w:rsid w:val="07C40FCD"/>
    <w:rsid w:val="07C74156"/>
    <w:rsid w:val="07E1778C"/>
    <w:rsid w:val="080B61C9"/>
    <w:rsid w:val="081D70A5"/>
    <w:rsid w:val="08217D48"/>
    <w:rsid w:val="082A4DC6"/>
    <w:rsid w:val="08352586"/>
    <w:rsid w:val="0886108C"/>
    <w:rsid w:val="08CE136B"/>
    <w:rsid w:val="091057D0"/>
    <w:rsid w:val="09210314"/>
    <w:rsid w:val="092239E0"/>
    <w:rsid w:val="09A2275D"/>
    <w:rsid w:val="09DC370A"/>
    <w:rsid w:val="0A025B9A"/>
    <w:rsid w:val="0A3C1656"/>
    <w:rsid w:val="0A3C70D8"/>
    <w:rsid w:val="0A567C82"/>
    <w:rsid w:val="0A631516"/>
    <w:rsid w:val="0AA62F9B"/>
    <w:rsid w:val="0B2C758B"/>
    <w:rsid w:val="0B3C1E9D"/>
    <w:rsid w:val="0B79587C"/>
    <w:rsid w:val="0B80116D"/>
    <w:rsid w:val="0BA31784"/>
    <w:rsid w:val="0BB25B0E"/>
    <w:rsid w:val="0BE61692"/>
    <w:rsid w:val="0BF80FAF"/>
    <w:rsid w:val="0C0B3E50"/>
    <w:rsid w:val="0C176FC1"/>
    <w:rsid w:val="0C1B1EEC"/>
    <w:rsid w:val="0C3669CA"/>
    <w:rsid w:val="0C6312CE"/>
    <w:rsid w:val="0C9308B1"/>
    <w:rsid w:val="0CD22346"/>
    <w:rsid w:val="0CE31C7E"/>
    <w:rsid w:val="0CE97FBB"/>
    <w:rsid w:val="0CED1BCC"/>
    <w:rsid w:val="0D0424D7"/>
    <w:rsid w:val="0D3B6681"/>
    <w:rsid w:val="0D542EEE"/>
    <w:rsid w:val="0D903C4C"/>
    <w:rsid w:val="0DB67BCD"/>
    <w:rsid w:val="0DD90D94"/>
    <w:rsid w:val="0DE66BD9"/>
    <w:rsid w:val="0E021734"/>
    <w:rsid w:val="0E1F4EDB"/>
    <w:rsid w:val="0E3B1786"/>
    <w:rsid w:val="0E516288"/>
    <w:rsid w:val="0E575CBC"/>
    <w:rsid w:val="0E7215DA"/>
    <w:rsid w:val="0EAC73C7"/>
    <w:rsid w:val="0EC10C24"/>
    <w:rsid w:val="0EEE2122"/>
    <w:rsid w:val="0EF209AD"/>
    <w:rsid w:val="0F1A3753"/>
    <w:rsid w:val="0F3C5217"/>
    <w:rsid w:val="0F452E2E"/>
    <w:rsid w:val="0F665DD1"/>
    <w:rsid w:val="0F8659F3"/>
    <w:rsid w:val="0FA53767"/>
    <w:rsid w:val="0FA93030"/>
    <w:rsid w:val="0FE626AC"/>
    <w:rsid w:val="0FF32A24"/>
    <w:rsid w:val="10191B47"/>
    <w:rsid w:val="10534DE7"/>
    <w:rsid w:val="1077454E"/>
    <w:rsid w:val="109B3089"/>
    <w:rsid w:val="10C43BA5"/>
    <w:rsid w:val="11424E9A"/>
    <w:rsid w:val="11953E67"/>
    <w:rsid w:val="11B12800"/>
    <w:rsid w:val="11B4471C"/>
    <w:rsid w:val="11C86649"/>
    <w:rsid w:val="120963A4"/>
    <w:rsid w:val="12805BA4"/>
    <w:rsid w:val="12887171"/>
    <w:rsid w:val="12A50396"/>
    <w:rsid w:val="12C15B53"/>
    <w:rsid w:val="12EB648C"/>
    <w:rsid w:val="132801F8"/>
    <w:rsid w:val="135A075E"/>
    <w:rsid w:val="1378197A"/>
    <w:rsid w:val="138A3DC6"/>
    <w:rsid w:val="13C04130"/>
    <w:rsid w:val="13FA6606"/>
    <w:rsid w:val="14304A6B"/>
    <w:rsid w:val="14386639"/>
    <w:rsid w:val="14BD11A5"/>
    <w:rsid w:val="14DB4B78"/>
    <w:rsid w:val="14F30C06"/>
    <w:rsid w:val="15353059"/>
    <w:rsid w:val="1556100F"/>
    <w:rsid w:val="15B65BEE"/>
    <w:rsid w:val="160E07BD"/>
    <w:rsid w:val="16375BE2"/>
    <w:rsid w:val="16414873"/>
    <w:rsid w:val="16414FFB"/>
    <w:rsid w:val="164C60A4"/>
    <w:rsid w:val="16741F63"/>
    <w:rsid w:val="16BF1997"/>
    <w:rsid w:val="16F64D55"/>
    <w:rsid w:val="1727417C"/>
    <w:rsid w:val="17440125"/>
    <w:rsid w:val="175A50C0"/>
    <w:rsid w:val="17D95953"/>
    <w:rsid w:val="17F54914"/>
    <w:rsid w:val="180524BC"/>
    <w:rsid w:val="181A1823"/>
    <w:rsid w:val="182B30B6"/>
    <w:rsid w:val="188D4E80"/>
    <w:rsid w:val="18AA017E"/>
    <w:rsid w:val="18AF5775"/>
    <w:rsid w:val="18EE0BF6"/>
    <w:rsid w:val="19467187"/>
    <w:rsid w:val="195C6CAB"/>
    <w:rsid w:val="195F7C70"/>
    <w:rsid w:val="19714DC3"/>
    <w:rsid w:val="19804697"/>
    <w:rsid w:val="19845E4F"/>
    <w:rsid w:val="19962308"/>
    <w:rsid w:val="19BB0FE3"/>
    <w:rsid w:val="19E10FFF"/>
    <w:rsid w:val="1A2E7004"/>
    <w:rsid w:val="1A7E4981"/>
    <w:rsid w:val="1A885114"/>
    <w:rsid w:val="1A9C65C5"/>
    <w:rsid w:val="1AD17980"/>
    <w:rsid w:val="1AFF5C5A"/>
    <w:rsid w:val="1B014DDE"/>
    <w:rsid w:val="1B3D20DD"/>
    <w:rsid w:val="1C1314B3"/>
    <w:rsid w:val="1C2B3148"/>
    <w:rsid w:val="1C85420B"/>
    <w:rsid w:val="1C925823"/>
    <w:rsid w:val="1CA402F8"/>
    <w:rsid w:val="1CD7613C"/>
    <w:rsid w:val="1D021DF9"/>
    <w:rsid w:val="1D2F1B6F"/>
    <w:rsid w:val="1D814D9D"/>
    <w:rsid w:val="1D823AC8"/>
    <w:rsid w:val="1D8B3E1F"/>
    <w:rsid w:val="1DAD3670"/>
    <w:rsid w:val="1DB07632"/>
    <w:rsid w:val="1DDA2008"/>
    <w:rsid w:val="1DF0513B"/>
    <w:rsid w:val="1DFB164D"/>
    <w:rsid w:val="1E2F7256"/>
    <w:rsid w:val="1E48483A"/>
    <w:rsid w:val="1E6010FA"/>
    <w:rsid w:val="1E6226AF"/>
    <w:rsid w:val="1E655C65"/>
    <w:rsid w:val="1E6F24FC"/>
    <w:rsid w:val="1E78195F"/>
    <w:rsid w:val="1EAC5EF7"/>
    <w:rsid w:val="1EBB0BAC"/>
    <w:rsid w:val="1EC82807"/>
    <w:rsid w:val="1EE821FA"/>
    <w:rsid w:val="1F2D657C"/>
    <w:rsid w:val="1F86301C"/>
    <w:rsid w:val="200C6F98"/>
    <w:rsid w:val="200E47D2"/>
    <w:rsid w:val="20400C61"/>
    <w:rsid w:val="20791657"/>
    <w:rsid w:val="20795DD4"/>
    <w:rsid w:val="20817C0F"/>
    <w:rsid w:val="20BB20C0"/>
    <w:rsid w:val="20CE61B0"/>
    <w:rsid w:val="20D11476"/>
    <w:rsid w:val="20F2221A"/>
    <w:rsid w:val="2120654C"/>
    <w:rsid w:val="214D19A7"/>
    <w:rsid w:val="216F0DB6"/>
    <w:rsid w:val="217E1DFE"/>
    <w:rsid w:val="21D71593"/>
    <w:rsid w:val="220448CC"/>
    <w:rsid w:val="22230780"/>
    <w:rsid w:val="224750CA"/>
    <w:rsid w:val="225F2771"/>
    <w:rsid w:val="226C530A"/>
    <w:rsid w:val="2285790B"/>
    <w:rsid w:val="228B5575"/>
    <w:rsid w:val="228C7DBD"/>
    <w:rsid w:val="2340661F"/>
    <w:rsid w:val="23680A25"/>
    <w:rsid w:val="239E66A5"/>
    <w:rsid w:val="23A65A51"/>
    <w:rsid w:val="23BC73C1"/>
    <w:rsid w:val="23C857BA"/>
    <w:rsid w:val="23EF04F7"/>
    <w:rsid w:val="240A34D9"/>
    <w:rsid w:val="240F46B6"/>
    <w:rsid w:val="241E6FDB"/>
    <w:rsid w:val="246022F8"/>
    <w:rsid w:val="248E2A06"/>
    <w:rsid w:val="24BA292E"/>
    <w:rsid w:val="25002B44"/>
    <w:rsid w:val="25053949"/>
    <w:rsid w:val="25591026"/>
    <w:rsid w:val="25614063"/>
    <w:rsid w:val="25635698"/>
    <w:rsid w:val="25776D4B"/>
    <w:rsid w:val="262D6C2F"/>
    <w:rsid w:val="26A47C14"/>
    <w:rsid w:val="26B759B0"/>
    <w:rsid w:val="26C169A0"/>
    <w:rsid w:val="26E06BC6"/>
    <w:rsid w:val="26E34DC9"/>
    <w:rsid w:val="26F7286F"/>
    <w:rsid w:val="26FE3001"/>
    <w:rsid w:val="27046083"/>
    <w:rsid w:val="27575417"/>
    <w:rsid w:val="27947476"/>
    <w:rsid w:val="27B01329"/>
    <w:rsid w:val="27BD3D12"/>
    <w:rsid w:val="280E3599"/>
    <w:rsid w:val="282D3BA2"/>
    <w:rsid w:val="283C3DDC"/>
    <w:rsid w:val="285E01C8"/>
    <w:rsid w:val="286031A9"/>
    <w:rsid w:val="28A21F3F"/>
    <w:rsid w:val="28A71D8C"/>
    <w:rsid w:val="28B766B1"/>
    <w:rsid w:val="28C3596E"/>
    <w:rsid w:val="28CE7A28"/>
    <w:rsid w:val="28D4783B"/>
    <w:rsid w:val="29122351"/>
    <w:rsid w:val="29124DCF"/>
    <w:rsid w:val="29222A2C"/>
    <w:rsid w:val="2951176F"/>
    <w:rsid w:val="297837D9"/>
    <w:rsid w:val="2A723B67"/>
    <w:rsid w:val="2A7C4A34"/>
    <w:rsid w:val="2A8374E7"/>
    <w:rsid w:val="2A9867EE"/>
    <w:rsid w:val="2ACB5134"/>
    <w:rsid w:val="2AE076F4"/>
    <w:rsid w:val="2AE87BAC"/>
    <w:rsid w:val="2B812956"/>
    <w:rsid w:val="2B881AE2"/>
    <w:rsid w:val="2BA7533C"/>
    <w:rsid w:val="2BBD43D2"/>
    <w:rsid w:val="2BD56EFF"/>
    <w:rsid w:val="2BFC3EB7"/>
    <w:rsid w:val="2C571D68"/>
    <w:rsid w:val="2CA10EB0"/>
    <w:rsid w:val="2CB10291"/>
    <w:rsid w:val="2CDB5F76"/>
    <w:rsid w:val="2CF30BCC"/>
    <w:rsid w:val="2CF55A0E"/>
    <w:rsid w:val="2D2C3FB8"/>
    <w:rsid w:val="2D494642"/>
    <w:rsid w:val="2D4D0658"/>
    <w:rsid w:val="2D5C3045"/>
    <w:rsid w:val="2DA71A44"/>
    <w:rsid w:val="2DDD533E"/>
    <w:rsid w:val="2E5A506D"/>
    <w:rsid w:val="2E5E0E30"/>
    <w:rsid w:val="2E995B0B"/>
    <w:rsid w:val="2EEC200B"/>
    <w:rsid w:val="2EF16BBD"/>
    <w:rsid w:val="2EFC4824"/>
    <w:rsid w:val="2EFE35EC"/>
    <w:rsid w:val="2F401A95"/>
    <w:rsid w:val="2F4A7366"/>
    <w:rsid w:val="2F5F2900"/>
    <w:rsid w:val="2F6973D6"/>
    <w:rsid w:val="2FB9361E"/>
    <w:rsid w:val="2FC17A65"/>
    <w:rsid w:val="301522CC"/>
    <w:rsid w:val="303C73AF"/>
    <w:rsid w:val="30443104"/>
    <w:rsid w:val="304C189F"/>
    <w:rsid w:val="30A25FB8"/>
    <w:rsid w:val="30F05F59"/>
    <w:rsid w:val="30F912A6"/>
    <w:rsid w:val="31096A30"/>
    <w:rsid w:val="313A1A62"/>
    <w:rsid w:val="3155248F"/>
    <w:rsid w:val="317B5B3D"/>
    <w:rsid w:val="318E32F8"/>
    <w:rsid w:val="31DB351A"/>
    <w:rsid w:val="326D41CB"/>
    <w:rsid w:val="32B367A3"/>
    <w:rsid w:val="32E93B15"/>
    <w:rsid w:val="335B7EC7"/>
    <w:rsid w:val="335C1508"/>
    <w:rsid w:val="33693003"/>
    <w:rsid w:val="337C2DDD"/>
    <w:rsid w:val="33A651CD"/>
    <w:rsid w:val="34274551"/>
    <w:rsid w:val="343018AE"/>
    <w:rsid w:val="3439623F"/>
    <w:rsid w:val="3439693A"/>
    <w:rsid w:val="344E5D26"/>
    <w:rsid w:val="34895840"/>
    <w:rsid w:val="34D26808"/>
    <w:rsid w:val="350D2195"/>
    <w:rsid w:val="35571310"/>
    <w:rsid w:val="356928AF"/>
    <w:rsid w:val="35A93699"/>
    <w:rsid w:val="35B33D01"/>
    <w:rsid w:val="35F53AAB"/>
    <w:rsid w:val="363A525E"/>
    <w:rsid w:val="364D45C4"/>
    <w:rsid w:val="36692452"/>
    <w:rsid w:val="36C97D0A"/>
    <w:rsid w:val="36D07EB1"/>
    <w:rsid w:val="36D657FF"/>
    <w:rsid w:val="36E75ACD"/>
    <w:rsid w:val="371C71C0"/>
    <w:rsid w:val="373B05AC"/>
    <w:rsid w:val="375D0761"/>
    <w:rsid w:val="376F398F"/>
    <w:rsid w:val="37710120"/>
    <w:rsid w:val="37871CF5"/>
    <w:rsid w:val="378828AA"/>
    <w:rsid w:val="378C70B1"/>
    <w:rsid w:val="37BD1A7F"/>
    <w:rsid w:val="37C13D08"/>
    <w:rsid w:val="37D474A6"/>
    <w:rsid w:val="380D0904"/>
    <w:rsid w:val="385A4E68"/>
    <w:rsid w:val="38697999"/>
    <w:rsid w:val="38A44122"/>
    <w:rsid w:val="38A77A19"/>
    <w:rsid w:val="38CB0BA5"/>
    <w:rsid w:val="38F15BB6"/>
    <w:rsid w:val="38F3743C"/>
    <w:rsid w:val="390C66E9"/>
    <w:rsid w:val="39134D54"/>
    <w:rsid w:val="39F73B3C"/>
    <w:rsid w:val="3A22372E"/>
    <w:rsid w:val="3AAA4845"/>
    <w:rsid w:val="3AC635F6"/>
    <w:rsid w:val="3AC661F3"/>
    <w:rsid w:val="3AF32C18"/>
    <w:rsid w:val="3B014B33"/>
    <w:rsid w:val="3B0911E6"/>
    <w:rsid w:val="3B136167"/>
    <w:rsid w:val="3B6C30BA"/>
    <w:rsid w:val="3B94244F"/>
    <w:rsid w:val="3B97166D"/>
    <w:rsid w:val="3BD84107"/>
    <w:rsid w:val="3C27053B"/>
    <w:rsid w:val="3C2F264D"/>
    <w:rsid w:val="3C6639FC"/>
    <w:rsid w:val="3CC53674"/>
    <w:rsid w:val="3CC63350"/>
    <w:rsid w:val="3CF1490A"/>
    <w:rsid w:val="3CF47A8D"/>
    <w:rsid w:val="3CF70A12"/>
    <w:rsid w:val="3D22095C"/>
    <w:rsid w:val="3D66465B"/>
    <w:rsid w:val="3D6657CD"/>
    <w:rsid w:val="3DBA2D5A"/>
    <w:rsid w:val="3DE709E5"/>
    <w:rsid w:val="3DEB3F9A"/>
    <w:rsid w:val="3E0A613A"/>
    <w:rsid w:val="3E0E13A0"/>
    <w:rsid w:val="3E632F64"/>
    <w:rsid w:val="3E8E316E"/>
    <w:rsid w:val="3E9C23C7"/>
    <w:rsid w:val="3ECF3E9B"/>
    <w:rsid w:val="3F4A762B"/>
    <w:rsid w:val="3FC840B3"/>
    <w:rsid w:val="3FEA085B"/>
    <w:rsid w:val="40142EAD"/>
    <w:rsid w:val="401E37BD"/>
    <w:rsid w:val="404B0E09"/>
    <w:rsid w:val="40554B51"/>
    <w:rsid w:val="406642C3"/>
    <w:rsid w:val="406C28D7"/>
    <w:rsid w:val="407A64A6"/>
    <w:rsid w:val="40B04227"/>
    <w:rsid w:val="40D75531"/>
    <w:rsid w:val="40DD0378"/>
    <w:rsid w:val="40F3251B"/>
    <w:rsid w:val="40F731BA"/>
    <w:rsid w:val="413C75B4"/>
    <w:rsid w:val="41810B6D"/>
    <w:rsid w:val="41B31DFB"/>
    <w:rsid w:val="41B468D5"/>
    <w:rsid w:val="41B71AE3"/>
    <w:rsid w:val="41C96A46"/>
    <w:rsid w:val="41E25CFD"/>
    <w:rsid w:val="41F74DD4"/>
    <w:rsid w:val="420E64CC"/>
    <w:rsid w:val="422A0923"/>
    <w:rsid w:val="427E47F2"/>
    <w:rsid w:val="42A631E7"/>
    <w:rsid w:val="42D504B3"/>
    <w:rsid w:val="42F51939"/>
    <w:rsid w:val="43235F94"/>
    <w:rsid w:val="437C6314"/>
    <w:rsid w:val="43A73ABE"/>
    <w:rsid w:val="43B46C66"/>
    <w:rsid w:val="440235AB"/>
    <w:rsid w:val="4444383D"/>
    <w:rsid w:val="445C5D5C"/>
    <w:rsid w:val="446753C6"/>
    <w:rsid w:val="446C728D"/>
    <w:rsid w:val="447C3E96"/>
    <w:rsid w:val="44A9167C"/>
    <w:rsid w:val="44C415F0"/>
    <w:rsid w:val="44D87944"/>
    <w:rsid w:val="44F96A93"/>
    <w:rsid w:val="450B75E9"/>
    <w:rsid w:val="45134C1C"/>
    <w:rsid w:val="45243182"/>
    <w:rsid w:val="45793CB5"/>
    <w:rsid w:val="458745F8"/>
    <w:rsid w:val="45915E03"/>
    <w:rsid w:val="45A06EE2"/>
    <w:rsid w:val="45BB13C6"/>
    <w:rsid w:val="45D81DA4"/>
    <w:rsid w:val="45F46B9B"/>
    <w:rsid w:val="464F1321"/>
    <w:rsid w:val="469556B0"/>
    <w:rsid w:val="46C929B2"/>
    <w:rsid w:val="46D27A3E"/>
    <w:rsid w:val="46FC5122"/>
    <w:rsid w:val="47400072"/>
    <w:rsid w:val="474E31A2"/>
    <w:rsid w:val="4752142D"/>
    <w:rsid w:val="47537093"/>
    <w:rsid w:val="47565A99"/>
    <w:rsid w:val="47EE3D01"/>
    <w:rsid w:val="48212BE3"/>
    <w:rsid w:val="48293873"/>
    <w:rsid w:val="48501715"/>
    <w:rsid w:val="48902659"/>
    <w:rsid w:val="48A64E85"/>
    <w:rsid w:val="49194200"/>
    <w:rsid w:val="49425135"/>
    <w:rsid w:val="498502AC"/>
    <w:rsid w:val="49894DB7"/>
    <w:rsid w:val="49974039"/>
    <w:rsid w:val="49C744B1"/>
    <w:rsid w:val="49C84B9F"/>
    <w:rsid w:val="4A057900"/>
    <w:rsid w:val="4A1B482A"/>
    <w:rsid w:val="4A200019"/>
    <w:rsid w:val="4A2322BB"/>
    <w:rsid w:val="4A2453E6"/>
    <w:rsid w:val="4A3168A9"/>
    <w:rsid w:val="4A506A7B"/>
    <w:rsid w:val="4AB31263"/>
    <w:rsid w:val="4AE301E8"/>
    <w:rsid w:val="4AEB2345"/>
    <w:rsid w:val="4B495478"/>
    <w:rsid w:val="4B77419C"/>
    <w:rsid w:val="4B7F10BD"/>
    <w:rsid w:val="4B892751"/>
    <w:rsid w:val="4BCA04E6"/>
    <w:rsid w:val="4C1B4955"/>
    <w:rsid w:val="4C206102"/>
    <w:rsid w:val="4C2B2194"/>
    <w:rsid w:val="4C493AC9"/>
    <w:rsid w:val="4C4E1B48"/>
    <w:rsid w:val="4C507900"/>
    <w:rsid w:val="4C671669"/>
    <w:rsid w:val="4C8D5544"/>
    <w:rsid w:val="4CB229E2"/>
    <w:rsid w:val="4CB73607"/>
    <w:rsid w:val="4CC06FD4"/>
    <w:rsid w:val="4D0A701E"/>
    <w:rsid w:val="4D207EF1"/>
    <w:rsid w:val="4D3B4EC4"/>
    <w:rsid w:val="4D4E2860"/>
    <w:rsid w:val="4DAF40D7"/>
    <w:rsid w:val="4DE1796D"/>
    <w:rsid w:val="4DFE209F"/>
    <w:rsid w:val="4E0A39C3"/>
    <w:rsid w:val="4E730444"/>
    <w:rsid w:val="4E9D21D0"/>
    <w:rsid w:val="4EC20032"/>
    <w:rsid w:val="4ECE739E"/>
    <w:rsid w:val="4F1D089A"/>
    <w:rsid w:val="4F40762B"/>
    <w:rsid w:val="4F50584F"/>
    <w:rsid w:val="4F932A9A"/>
    <w:rsid w:val="4FEC0743"/>
    <w:rsid w:val="500E23E4"/>
    <w:rsid w:val="5073399C"/>
    <w:rsid w:val="511101D6"/>
    <w:rsid w:val="51122012"/>
    <w:rsid w:val="512B6DA8"/>
    <w:rsid w:val="516673B9"/>
    <w:rsid w:val="518F29BA"/>
    <w:rsid w:val="51BC13D9"/>
    <w:rsid w:val="52005C9B"/>
    <w:rsid w:val="52023B18"/>
    <w:rsid w:val="521C13EE"/>
    <w:rsid w:val="5256763E"/>
    <w:rsid w:val="525C54AC"/>
    <w:rsid w:val="52835B8E"/>
    <w:rsid w:val="52890FF8"/>
    <w:rsid w:val="52AC2999"/>
    <w:rsid w:val="52B66E3F"/>
    <w:rsid w:val="52BE3E97"/>
    <w:rsid w:val="52F45028"/>
    <w:rsid w:val="538D66F5"/>
    <w:rsid w:val="539A3B2C"/>
    <w:rsid w:val="53BF72F1"/>
    <w:rsid w:val="53D16BF9"/>
    <w:rsid w:val="53E4083B"/>
    <w:rsid w:val="541E19EA"/>
    <w:rsid w:val="544C40C5"/>
    <w:rsid w:val="54537B65"/>
    <w:rsid w:val="547C2834"/>
    <w:rsid w:val="54D52E03"/>
    <w:rsid w:val="5570445E"/>
    <w:rsid w:val="55984CF8"/>
    <w:rsid w:val="55A03514"/>
    <w:rsid w:val="55A77192"/>
    <w:rsid w:val="55ED7906"/>
    <w:rsid w:val="560B273A"/>
    <w:rsid w:val="56210DE4"/>
    <w:rsid w:val="565E518D"/>
    <w:rsid w:val="56624141"/>
    <w:rsid w:val="566662CB"/>
    <w:rsid w:val="56803C35"/>
    <w:rsid w:val="56814607"/>
    <w:rsid w:val="56A62938"/>
    <w:rsid w:val="56B55151"/>
    <w:rsid w:val="56E1153C"/>
    <w:rsid w:val="575A3D76"/>
    <w:rsid w:val="57751FF1"/>
    <w:rsid w:val="57D21924"/>
    <w:rsid w:val="58067F76"/>
    <w:rsid w:val="58533B7C"/>
    <w:rsid w:val="585D122E"/>
    <w:rsid w:val="58DA6CC7"/>
    <w:rsid w:val="593D6AA6"/>
    <w:rsid w:val="593E6D79"/>
    <w:rsid w:val="595C2AFD"/>
    <w:rsid w:val="598361E9"/>
    <w:rsid w:val="59B0463C"/>
    <w:rsid w:val="59FE3934"/>
    <w:rsid w:val="5A2E1CB0"/>
    <w:rsid w:val="5A420041"/>
    <w:rsid w:val="5A453B38"/>
    <w:rsid w:val="5A540ABF"/>
    <w:rsid w:val="5A6951E1"/>
    <w:rsid w:val="5B1F3D66"/>
    <w:rsid w:val="5B253396"/>
    <w:rsid w:val="5B4B09C8"/>
    <w:rsid w:val="5B5828EC"/>
    <w:rsid w:val="5B5C4456"/>
    <w:rsid w:val="5B8254D2"/>
    <w:rsid w:val="5B8E68C9"/>
    <w:rsid w:val="5B9601D2"/>
    <w:rsid w:val="5B962DFC"/>
    <w:rsid w:val="5BAD4D86"/>
    <w:rsid w:val="5BAF7A77"/>
    <w:rsid w:val="5BD71823"/>
    <w:rsid w:val="5C052A04"/>
    <w:rsid w:val="5C3E6CE3"/>
    <w:rsid w:val="5C463CEF"/>
    <w:rsid w:val="5C5D6E0A"/>
    <w:rsid w:val="5C60569C"/>
    <w:rsid w:val="5CBA122E"/>
    <w:rsid w:val="5CC52E42"/>
    <w:rsid w:val="5CFD60EF"/>
    <w:rsid w:val="5D653226"/>
    <w:rsid w:val="5D7D47EF"/>
    <w:rsid w:val="5E0B245E"/>
    <w:rsid w:val="5E0B315A"/>
    <w:rsid w:val="5E194D84"/>
    <w:rsid w:val="5EDC5A30"/>
    <w:rsid w:val="5F0E1581"/>
    <w:rsid w:val="5F157440"/>
    <w:rsid w:val="5F331A1C"/>
    <w:rsid w:val="5F5112A7"/>
    <w:rsid w:val="5F5B5046"/>
    <w:rsid w:val="5F5D2DF8"/>
    <w:rsid w:val="5F963F8E"/>
    <w:rsid w:val="5FB05A09"/>
    <w:rsid w:val="6005151C"/>
    <w:rsid w:val="60160C30"/>
    <w:rsid w:val="602A15C9"/>
    <w:rsid w:val="60365EEF"/>
    <w:rsid w:val="603F3186"/>
    <w:rsid w:val="60583CFB"/>
    <w:rsid w:val="60584F6D"/>
    <w:rsid w:val="605E5B45"/>
    <w:rsid w:val="608503FA"/>
    <w:rsid w:val="60AF7A9C"/>
    <w:rsid w:val="60C4608D"/>
    <w:rsid w:val="60FF32BA"/>
    <w:rsid w:val="61174416"/>
    <w:rsid w:val="61AE7A80"/>
    <w:rsid w:val="61CF61FE"/>
    <w:rsid w:val="61F103C5"/>
    <w:rsid w:val="620002B7"/>
    <w:rsid w:val="622E70A1"/>
    <w:rsid w:val="625D2F9E"/>
    <w:rsid w:val="62680180"/>
    <w:rsid w:val="62860945"/>
    <w:rsid w:val="62A24E62"/>
    <w:rsid w:val="62AF3A4D"/>
    <w:rsid w:val="636769A5"/>
    <w:rsid w:val="63AC6E0A"/>
    <w:rsid w:val="63B81E3C"/>
    <w:rsid w:val="63ED1601"/>
    <w:rsid w:val="63F35708"/>
    <w:rsid w:val="64570681"/>
    <w:rsid w:val="645D0F0E"/>
    <w:rsid w:val="647C671A"/>
    <w:rsid w:val="649A2B5F"/>
    <w:rsid w:val="64C11500"/>
    <w:rsid w:val="65090AD4"/>
    <w:rsid w:val="652C1242"/>
    <w:rsid w:val="65330578"/>
    <w:rsid w:val="65470EA3"/>
    <w:rsid w:val="655962D4"/>
    <w:rsid w:val="655A64ED"/>
    <w:rsid w:val="659351B4"/>
    <w:rsid w:val="65D21CC3"/>
    <w:rsid w:val="65E96B28"/>
    <w:rsid w:val="66147824"/>
    <w:rsid w:val="66171303"/>
    <w:rsid w:val="66E13918"/>
    <w:rsid w:val="67A33E09"/>
    <w:rsid w:val="67C70239"/>
    <w:rsid w:val="67CA1A55"/>
    <w:rsid w:val="67D06445"/>
    <w:rsid w:val="683C517C"/>
    <w:rsid w:val="683F52C8"/>
    <w:rsid w:val="68546A0B"/>
    <w:rsid w:val="686C0B5C"/>
    <w:rsid w:val="68AF0F88"/>
    <w:rsid w:val="68B5736D"/>
    <w:rsid w:val="68B66FDB"/>
    <w:rsid w:val="691142D1"/>
    <w:rsid w:val="692B188F"/>
    <w:rsid w:val="69303421"/>
    <w:rsid w:val="69367529"/>
    <w:rsid w:val="69732C11"/>
    <w:rsid w:val="69B709AD"/>
    <w:rsid w:val="69DA3CB0"/>
    <w:rsid w:val="6A146F17"/>
    <w:rsid w:val="6A7D4113"/>
    <w:rsid w:val="6A854519"/>
    <w:rsid w:val="6AB65269"/>
    <w:rsid w:val="6AD40C71"/>
    <w:rsid w:val="6B0A61AB"/>
    <w:rsid w:val="6B172B72"/>
    <w:rsid w:val="6BAF04E7"/>
    <w:rsid w:val="6C840E1F"/>
    <w:rsid w:val="6CA71C3B"/>
    <w:rsid w:val="6CF91B5B"/>
    <w:rsid w:val="6D03730C"/>
    <w:rsid w:val="6D066C70"/>
    <w:rsid w:val="6D1F304B"/>
    <w:rsid w:val="6D3135B1"/>
    <w:rsid w:val="6D3467E9"/>
    <w:rsid w:val="6D522803"/>
    <w:rsid w:val="6D6418A8"/>
    <w:rsid w:val="6D8A74C3"/>
    <w:rsid w:val="6D8B70AC"/>
    <w:rsid w:val="6D982693"/>
    <w:rsid w:val="6D9B1A83"/>
    <w:rsid w:val="6DC22C3C"/>
    <w:rsid w:val="6DC97659"/>
    <w:rsid w:val="6DDE778A"/>
    <w:rsid w:val="6DE27E5A"/>
    <w:rsid w:val="6E305DAC"/>
    <w:rsid w:val="6E36320F"/>
    <w:rsid w:val="6E4F5863"/>
    <w:rsid w:val="6E8B1F02"/>
    <w:rsid w:val="6E9B37C4"/>
    <w:rsid w:val="6ED638B7"/>
    <w:rsid w:val="6EDB13EF"/>
    <w:rsid w:val="6EEC2748"/>
    <w:rsid w:val="6EFB20EF"/>
    <w:rsid w:val="6F4B44D3"/>
    <w:rsid w:val="6FC65BB4"/>
    <w:rsid w:val="6FFB1B7A"/>
    <w:rsid w:val="700E16CA"/>
    <w:rsid w:val="702B2960"/>
    <w:rsid w:val="70342865"/>
    <w:rsid w:val="70940740"/>
    <w:rsid w:val="709664D4"/>
    <w:rsid w:val="70B4243D"/>
    <w:rsid w:val="70BE4E07"/>
    <w:rsid w:val="70F2449B"/>
    <w:rsid w:val="710241B5"/>
    <w:rsid w:val="712C543B"/>
    <w:rsid w:val="7137124E"/>
    <w:rsid w:val="714B01A0"/>
    <w:rsid w:val="72105642"/>
    <w:rsid w:val="72513F19"/>
    <w:rsid w:val="73402A36"/>
    <w:rsid w:val="734C3640"/>
    <w:rsid w:val="73D82A9B"/>
    <w:rsid w:val="73FC59DC"/>
    <w:rsid w:val="74235B8E"/>
    <w:rsid w:val="7431181E"/>
    <w:rsid w:val="74565667"/>
    <w:rsid w:val="74846437"/>
    <w:rsid w:val="74987CA4"/>
    <w:rsid w:val="74C01F7A"/>
    <w:rsid w:val="75394D9D"/>
    <w:rsid w:val="75660FA8"/>
    <w:rsid w:val="75D369D1"/>
    <w:rsid w:val="75FD210D"/>
    <w:rsid w:val="76197B86"/>
    <w:rsid w:val="76230470"/>
    <w:rsid w:val="76276E68"/>
    <w:rsid w:val="76457916"/>
    <w:rsid w:val="7696299F"/>
    <w:rsid w:val="76B94A11"/>
    <w:rsid w:val="76BF02E0"/>
    <w:rsid w:val="77255014"/>
    <w:rsid w:val="772705BA"/>
    <w:rsid w:val="77476F3F"/>
    <w:rsid w:val="77DD4EB4"/>
    <w:rsid w:val="77DD7433"/>
    <w:rsid w:val="77DE77F4"/>
    <w:rsid w:val="77F5035D"/>
    <w:rsid w:val="78073AFA"/>
    <w:rsid w:val="780F569B"/>
    <w:rsid w:val="781D7260"/>
    <w:rsid w:val="78482365"/>
    <w:rsid w:val="78501970"/>
    <w:rsid w:val="789207C9"/>
    <w:rsid w:val="78A526FF"/>
    <w:rsid w:val="78D3635C"/>
    <w:rsid w:val="79762A4F"/>
    <w:rsid w:val="79B634B3"/>
    <w:rsid w:val="79BC6911"/>
    <w:rsid w:val="7A0228F0"/>
    <w:rsid w:val="7A2C36B8"/>
    <w:rsid w:val="7AE30426"/>
    <w:rsid w:val="7AF447B2"/>
    <w:rsid w:val="7B5A26C9"/>
    <w:rsid w:val="7B7934A2"/>
    <w:rsid w:val="7BD305A0"/>
    <w:rsid w:val="7BD712BD"/>
    <w:rsid w:val="7C0D501B"/>
    <w:rsid w:val="7C0D5F13"/>
    <w:rsid w:val="7C50775D"/>
    <w:rsid w:val="7C5E6C17"/>
    <w:rsid w:val="7C7D1A4A"/>
    <w:rsid w:val="7C877DDC"/>
    <w:rsid w:val="7CB44961"/>
    <w:rsid w:val="7D011CA4"/>
    <w:rsid w:val="7D2F72F0"/>
    <w:rsid w:val="7E54384F"/>
    <w:rsid w:val="7E835C85"/>
    <w:rsid w:val="7E9349B9"/>
    <w:rsid w:val="7E9A3152"/>
    <w:rsid w:val="7EC313A5"/>
    <w:rsid w:val="7ECB0495"/>
    <w:rsid w:val="7EEC43E4"/>
    <w:rsid w:val="7EED054A"/>
    <w:rsid w:val="7F0171EB"/>
    <w:rsid w:val="7F04016F"/>
    <w:rsid w:val="7F28160A"/>
    <w:rsid w:val="7F464700"/>
    <w:rsid w:val="7F7C471A"/>
    <w:rsid w:val="7FBC34F8"/>
    <w:rsid w:val="7FD065BE"/>
    <w:rsid w:val="7FF7007E"/>
  </w:rsids>
  <m:mathPr>
    <m:lMargin m:val="0"/>
    <m:mathFont m:val="Cambria Math"/>
    <m:rMargin m:val="0"/>
    <m:wrapIndent m:val="1440"/>
    <m:brkBin m:val="before"/>
    <m:brkBinSub m:val="--"/>
    <m:defJc m:val="centerGroup"/>
    <m:intLim m:val="subSup"/>
    <m:naryLim m:val="undOvr"/>
    <m:smallFrac m:val="1"/>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qFormat="1" w:unhideWhenUsed="0" w:uiPriority="99" w:semiHidden="0"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link w:val="2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7"/>
    <w:qFormat/>
    <w:uiPriority w:val="99"/>
    <w:pPr>
      <w:keepNext/>
      <w:keepLines/>
      <w:spacing w:before="260" w:after="260" w:line="413" w:lineRule="auto"/>
      <w:outlineLvl w:val="1"/>
    </w:pPr>
    <w:rPr>
      <w:rFonts w:ascii="Arial" w:hAnsi="Arial" w:eastAsia="黑体"/>
      <w:b/>
      <w:kern w:val="0"/>
      <w:sz w:val="32"/>
    </w:rPr>
  </w:style>
  <w:style w:type="character" w:default="1" w:styleId="18">
    <w:name w:val="Default Paragraph Font"/>
    <w:unhideWhenUsed/>
    <w:qFormat/>
    <w:uiPriority w:val="1"/>
  </w:style>
  <w:style w:type="table" w:default="1" w:styleId="24">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30"/>
    <w:semiHidden/>
    <w:qFormat/>
    <w:uiPriority w:val="99"/>
    <w:rPr>
      <w:b/>
      <w:bCs/>
    </w:rPr>
  </w:style>
  <w:style w:type="paragraph" w:styleId="5">
    <w:name w:val="annotation text"/>
    <w:basedOn w:val="1"/>
    <w:link w:val="29"/>
    <w:semiHidden/>
    <w:qFormat/>
    <w:uiPriority w:val="99"/>
    <w:pPr>
      <w:jc w:val="left"/>
    </w:pPr>
  </w:style>
  <w:style w:type="paragraph" w:styleId="6">
    <w:name w:val="Body Text Indent"/>
    <w:basedOn w:val="1"/>
    <w:link w:val="38"/>
    <w:qFormat/>
    <w:uiPriority w:val="99"/>
    <w:pPr>
      <w:ind w:firstLine="555"/>
      <w:jc w:val="center"/>
    </w:pPr>
    <w:rPr>
      <w:rFonts w:ascii="仿宋_GB2312" w:eastAsia="仿宋_GB2312"/>
    </w:rPr>
  </w:style>
  <w:style w:type="paragraph" w:styleId="7">
    <w:name w:val="List Continue"/>
    <w:basedOn w:val="1"/>
    <w:qFormat/>
    <w:uiPriority w:val="99"/>
    <w:pPr>
      <w:spacing w:after="120"/>
    </w:pPr>
    <w:rPr>
      <w:sz w:val="21"/>
      <w:szCs w:val="24"/>
    </w:rPr>
  </w:style>
  <w:style w:type="paragraph" w:styleId="8">
    <w:name w:val="Plain Text"/>
    <w:basedOn w:val="1"/>
    <w:link w:val="35"/>
    <w:qFormat/>
    <w:uiPriority w:val="99"/>
    <w:rPr>
      <w:rFonts w:ascii="宋体" w:hAnsi="Courier New" w:cs="方正小标宋简体"/>
      <w:sz w:val="21"/>
      <w:szCs w:val="21"/>
    </w:rPr>
  </w:style>
  <w:style w:type="paragraph" w:styleId="9">
    <w:name w:val="Date"/>
    <w:basedOn w:val="1"/>
    <w:next w:val="1"/>
    <w:link w:val="34"/>
    <w:qFormat/>
    <w:uiPriority w:val="99"/>
    <w:rPr>
      <w:rFonts w:eastAsia="楷体_GB2312"/>
      <w:sz w:val="32"/>
    </w:rPr>
  </w:style>
  <w:style w:type="paragraph" w:styleId="10">
    <w:name w:val="Body Text Indent 2"/>
    <w:basedOn w:val="1"/>
    <w:link w:val="37"/>
    <w:qFormat/>
    <w:uiPriority w:val="99"/>
    <w:pPr>
      <w:ind w:left="570"/>
    </w:pPr>
    <w:rPr>
      <w:rFonts w:ascii="仿宋_GB2312" w:eastAsia="仿宋_GB2312"/>
    </w:rPr>
  </w:style>
  <w:style w:type="paragraph" w:styleId="11">
    <w:name w:val="Balloon Text"/>
    <w:basedOn w:val="1"/>
    <w:link w:val="33"/>
    <w:semiHidden/>
    <w:qFormat/>
    <w:uiPriority w:val="99"/>
    <w:rPr>
      <w:sz w:val="18"/>
      <w:szCs w:val="18"/>
    </w:rPr>
  </w:style>
  <w:style w:type="paragraph" w:styleId="12">
    <w:name w:val="footer"/>
    <w:basedOn w:val="1"/>
    <w:link w:val="36"/>
    <w:qFormat/>
    <w:uiPriority w:val="99"/>
    <w:pPr>
      <w:tabs>
        <w:tab w:val="center" w:pos="4153"/>
        <w:tab w:val="right" w:pos="8306"/>
      </w:tabs>
      <w:snapToGrid w:val="0"/>
      <w:jc w:val="left"/>
    </w:pPr>
    <w:rPr>
      <w:sz w:val="18"/>
    </w:rPr>
  </w:style>
  <w:style w:type="paragraph" w:styleId="13">
    <w:name w:val="header"/>
    <w:basedOn w:val="1"/>
    <w:link w:val="32"/>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style>
  <w:style w:type="paragraph" w:styleId="15">
    <w:name w:val="Body Text Indent 3"/>
    <w:basedOn w:val="1"/>
    <w:link w:val="31"/>
    <w:qFormat/>
    <w:uiPriority w:val="99"/>
    <w:pPr>
      <w:ind w:firstLine="555"/>
    </w:pPr>
    <w:rPr>
      <w:rFonts w:ascii="仿宋_GB2312" w:eastAsia="仿宋_GB2312"/>
    </w:rPr>
  </w:style>
  <w:style w:type="paragraph" w:styleId="16">
    <w:name w:val="toc 2"/>
    <w:basedOn w:val="1"/>
    <w:next w:val="1"/>
    <w:qFormat/>
    <w:uiPriority w:val="39"/>
    <w:pPr>
      <w:ind w:left="420" w:leftChars="200"/>
    </w:pPr>
  </w:style>
  <w:style w:type="paragraph" w:styleId="1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9">
    <w:name w:val="Strong"/>
    <w:basedOn w:val="18"/>
    <w:qFormat/>
    <w:uiPriority w:val="99"/>
    <w:rPr>
      <w:rFonts w:cs="Times New Roman"/>
      <w:b/>
      <w:bCs/>
    </w:rPr>
  </w:style>
  <w:style w:type="character" w:styleId="20">
    <w:name w:val="page number"/>
    <w:basedOn w:val="18"/>
    <w:qFormat/>
    <w:uiPriority w:val="99"/>
    <w:rPr>
      <w:rFonts w:cs="Times New Roman"/>
    </w:rPr>
  </w:style>
  <w:style w:type="character" w:styleId="21">
    <w:name w:val="FollowedHyperlink"/>
    <w:basedOn w:val="18"/>
    <w:unhideWhenUsed/>
    <w:qFormat/>
    <w:uiPriority w:val="99"/>
    <w:rPr>
      <w:color w:val="800080"/>
      <w:u w:val="single"/>
    </w:rPr>
  </w:style>
  <w:style w:type="character" w:styleId="22">
    <w:name w:val="Hyperlink"/>
    <w:basedOn w:val="18"/>
    <w:qFormat/>
    <w:uiPriority w:val="99"/>
    <w:rPr>
      <w:rFonts w:cs="Times New Roman"/>
      <w:color w:val="0000FF"/>
      <w:u w:val="single"/>
    </w:rPr>
  </w:style>
  <w:style w:type="character" w:styleId="23">
    <w:name w:val="annotation reference"/>
    <w:basedOn w:val="18"/>
    <w:semiHidden/>
    <w:qFormat/>
    <w:uiPriority w:val="99"/>
    <w:rPr>
      <w:rFonts w:cs="Times New Roman"/>
      <w:sz w:val="21"/>
      <w:szCs w:val="21"/>
    </w:rPr>
  </w:style>
  <w:style w:type="table" w:styleId="25">
    <w:name w:val="Table Grid"/>
    <w:basedOn w:val="2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6">
    <w:name w:val="标题 1 Char"/>
    <w:basedOn w:val="18"/>
    <w:link w:val="2"/>
    <w:qFormat/>
    <w:locked/>
    <w:uiPriority w:val="0"/>
    <w:rPr>
      <w:b/>
      <w:kern w:val="44"/>
      <w:sz w:val="44"/>
    </w:rPr>
  </w:style>
  <w:style w:type="character" w:customStyle="1" w:styleId="27">
    <w:name w:val="标题 2 Char"/>
    <w:basedOn w:val="18"/>
    <w:link w:val="3"/>
    <w:qFormat/>
    <w:locked/>
    <w:uiPriority w:val="99"/>
    <w:rPr>
      <w:rFonts w:ascii="Arial" w:hAnsi="Arial" w:eastAsia="黑体"/>
      <w:b/>
      <w:sz w:val="32"/>
    </w:rPr>
  </w:style>
  <w:style w:type="character" w:customStyle="1" w:styleId="28">
    <w:name w:val="样式 (中文) 仿宋_GB2312 四号"/>
    <w:qFormat/>
    <w:uiPriority w:val="0"/>
    <w:rPr>
      <w:rFonts w:eastAsia="仿宋_GB2312"/>
      <w:sz w:val="28"/>
    </w:rPr>
  </w:style>
  <w:style w:type="character" w:customStyle="1" w:styleId="29">
    <w:name w:val="批注文字 Char"/>
    <w:basedOn w:val="18"/>
    <w:link w:val="5"/>
    <w:semiHidden/>
    <w:qFormat/>
    <w:uiPriority w:val="99"/>
    <w:rPr>
      <w:sz w:val="28"/>
      <w:szCs w:val="20"/>
    </w:rPr>
  </w:style>
  <w:style w:type="character" w:customStyle="1" w:styleId="30">
    <w:name w:val="批注主题 Char"/>
    <w:basedOn w:val="29"/>
    <w:link w:val="4"/>
    <w:semiHidden/>
    <w:qFormat/>
    <w:uiPriority w:val="99"/>
    <w:rPr>
      <w:b/>
      <w:bCs/>
    </w:rPr>
  </w:style>
  <w:style w:type="character" w:customStyle="1" w:styleId="31">
    <w:name w:val="正文文本缩进 3 Char"/>
    <w:basedOn w:val="18"/>
    <w:link w:val="15"/>
    <w:semiHidden/>
    <w:qFormat/>
    <w:uiPriority w:val="99"/>
    <w:rPr>
      <w:sz w:val="16"/>
      <w:szCs w:val="16"/>
    </w:rPr>
  </w:style>
  <w:style w:type="character" w:customStyle="1" w:styleId="32">
    <w:name w:val="页眉 Char"/>
    <w:basedOn w:val="18"/>
    <w:link w:val="13"/>
    <w:semiHidden/>
    <w:qFormat/>
    <w:uiPriority w:val="99"/>
    <w:rPr>
      <w:sz w:val="18"/>
      <w:szCs w:val="18"/>
    </w:rPr>
  </w:style>
  <w:style w:type="character" w:customStyle="1" w:styleId="33">
    <w:name w:val="批注框文本 Char"/>
    <w:basedOn w:val="18"/>
    <w:link w:val="11"/>
    <w:semiHidden/>
    <w:qFormat/>
    <w:uiPriority w:val="99"/>
    <w:rPr>
      <w:sz w:val="0"/>
      <w:szCs w:val="0"/>
    </w:rPr>
  </w:style>
  <w:style w:type="character" w:customStyle="1" w:styleId="34">
    <w:name w:val="日期 Char"/>
    <w:basedOn w:val="18"/>
    <w:link w:val="9"/>
    <w:semiHidden/>
    <w:qFormat/>
    <w:uiPriority w:val="99"/>
    <w:rPr>
      <w:sz w:val="28"/>
      <w:szCs w:val="20"/>
    </w:rPr>
  </w:style>
  <w:style w:type="character" w:customStyle="1" w:styleId="35">
    <w:name w:val="纯文本 Char"/>
    <w:basedOn w:val="18"/>
    <w:link w:val="8"/>
    <w:semiHidden/>
    <w:qFormat/>
    <w:uiPriority w:val="99"/>
    <w:rPr>
      <w:rFonts w:ascii="宋体" w:hAnsi="Courier New" w:cs="Courier New"/>
      <w:szCs w:val="21"/>
    </w:rPr>
  </w:style>
  <w:style w:type="character" w:customStyle="1" w:styleId="36">
    <w:name w:val="页脚 Char"/>
    <w:basedOn w:val="18"/>
    <w:link w:val="12"/>
    <w:semiHidden/>
    <w:qFormat/>
    <w:uiPriority w:val="99"/>
    <w:rPr>
      <w:sz w:val="18"/>
      <w:szCs w:val="18"/>
    </w:rPr>
  </w:style>
  <w:style w:type="character" w:customStyle="1" w:styleId="37">
    <w:name w:val="正文文本缩进 2 Char"/>
    <w:basedOn w:val="18"/>
    <w:link w:val="10"/>
    <w:semiHidden/>
    <w:qFormat/>
    <w:uiPriority w:val="99"/>
    <w:rPr>
      <w:sz w:val="28"/>
      <w:szCs w:val="20"/>
    </w:rPr>
  </w:style>
  <w:style w:type="character" w:customStyle="1" w:styleId="38">
    <w:name w:val="正文文本缩进 Char"/>
    <w:basedOn w:val="18"/>
    <w:link w:val="6"/>
    <w:semiHidden/>
    <w:qFormat/>
    <w:uiPriority w:val="99"/>
    <w:rPr>
      <w:sz w:val="28"/>
      <w:szCs w:val="20"/>
    </w:rPr>
  </w:style>
  <w:style w:type="paragraph" w:customStyle="1" w:styleId="39">
    <w:name w:val="向"/>
    <w:basedOn w:val="8"/>
    <w:qFormat/>
    <w:uiPriority w:val="99"/>
    <w:pPr>
      <w:spacing w:line="360" w:lineRule="auto"/>
      <w:ind w:firstLine="567"/>
    </w:pPr>
    <w:rPr>
      <w:rFonts w:ascii="仿宋_GB2312" w:eastAsia="仿宋_GB2312" w:cs="Times New Roman"/>
      <w:sz w:val="28"/>
      <w:szCs w:val="20"/>
    </w:rPr>
  </w:style>
  <w:style w:type="paragraph" w:customStyle="1" w:styleId="40">
    <w:name w:val="Char Char Char Char Char Char Char Char Char1 Char Char Char Char"/>
    <w:basedOn w:val="1"/>
    <w:qFormat/>
    <w:uiPriority w:val="99"/>
    <w:rPr>
      <w:rFonts w:ascii="Tahoma" w:hAnsi="Tahoma"/>
      <w:sz w:val="24"/>
    </w:rPr>
  </w:style>
  <w:style w:type="paragraph" w:customStyle="1" w:styleId="41">
    <w:name w:val="纯文本1"/>
    <w:basedOn w:val="1"/>
    <w:qFormat/>
    <w:uiPriority w:val="99"/>
    <w:pPr>
      <w:adjustRightInd w:val="0"/>
      <w:textAlignment w:val="baseline"/>
    </w:pPr>
    <w:rPr>
      <w:rFonts w:ascii="宋体"/>
      <w:kern w:val="0"/>
      <w:sz w:val="21"/>
    </w:rPr>
  </w:style>
  <w:style w:type="paragraph" w:customStyle="1" w:styleId="42">
    <w:name w:val="封面标题"/>
    <w:basedOn w:val="8"/>
    <w:qFormat/>
    <w:uiPriority w:val="99"/>
    <w:pPr>
      <w:spacing w:line="240" w:lineRule="atLeast"/>
      <w:jc w:val="center"/>
    </w:pPr>
    <w:rPr>
      <w:rFonts w:cs="Times New Roman"/>
      <w:sz w:val="44"/>
      <w:szCs w:val="20"/>
    </w:rPr>
  </w:style>
  <w:style w:type="paragraph" w:customStyle="1" w:styleId="43">
    <w:name w:val="Char Char Char Char Char Char Char Char Char Char Char Char Char Char Char"/>
    <w:basedOn w:val="1"/>
    <w:qFormat/>
    <w:uiPriority w:val="99"/>
    <w:rPr>
      <w:rFonts w:ascii="Tahoma" w:hAnsi="Tahoma"/>
      <w:sz w:val="24"/>
    </w:rPr>
  </w:style>
  <w:style w:type="paragraph" w:customStyle="1" w:styleId="44">
    <w:name w:val="报告正文"/>
    <w:basedOn w:val="8"/>
    <w:qFormat/>
    <w:uiPriority w:val="99"/>
    <w:pPr>
      <w:spacing w:line="360" w:lineRule="auto"/>
      <w:ind w:firstLine="567"/>
    </w:pPr>
    <w:rPr>
      <w:rFonts w:ascii="仿宋_GB2312" w:eastAsia="仿宋_GB2312"/>
      <w:sz w:val="28"/>
      <w:szCs w:val="20"/>
    </w:rPr>
  </w:style>
  <w:style w:type="paragraph" w:customStyle="1" w:styleId="45">
    <w:name w:val="列出段落1"/>
    <w:basedOn w:val="1"/>
    <w:qFormat/>
    <w:uiPriority w:val="99"/>
    <w:pPr>
      <w:ind w:firstLine="420" w:firstLineChars="200"/>
    </w:pPr>
  </w:style>
  <w:style w:type="character" w:customStyle="1" w:styleId="46">
    <w:name w:val="apple-converted-space"/>
    <w:basedOn w:val="18"/>
    <w:qFormat/>
    <w:uiPriority w:val="0"/>
  </w:style>
  <w:style w:type="character" w:customStyle="1" w:styleId="47">
    <w:name w:val="样式 仿宋_GB2312"/>
    <w:qFormat/>
    <w:uiPriority w:val="0"/>
    <w:rPr>
      <w:rFonts w:ascii="仿宋_GB2312" w:hAnsi="仿宋_GB2312" w:eastAsia="仿宋_GB2312"/>
      <w:b/>
      <w:kern w:val="0"/>
      <w:sz w:val="28"/>
    </w:rPr>
  </w:style>
  <w:style w:type="paragraph" w:customStyle="1" w:styleId="48">
    <w:name w:val="报告正文 Char Char Char"/>
    <w:basedOn w:val="1"/>
    <w:qFormat/>
    <w:uiPriority w:val="0"/>
    <w:pPr>
      <w:spacing w:line="336" w:lineRule="auto"/>
      <w:ind w:left="2603"/>
    </w:pPr>
    <w:rPr>
      <w:rFonts w:ascii="华文细黑" w:eastAsia="华文细黑"/>
      <w:sz w:val="22"/>
    </w:rPr>
  </w:style>
  <w:style w:type="paragraph" w:customStyle="1" w:styleId="49">
    <w:name w:val="报告正文 Char"/>
    <w:basedOn w:val="1"/>
    <w:qFormat/>
    <w:uiPriority w:val="0"/>
    <w:pPr>
      <w:spacing w:line="336" w:lineRule="auto"/>
      <w:ind w:left="2603"/>
    </w:pPr>
    <w:rPr>
      <w:rFonts w:ascii="华文细黑" w:eastAsia="华文细黑"/>
      <w:sz w:val="22"/>
    </w:rPr>
  </w:style>
  <w:style w:type="paragraph" w:customStyle="1" w:styleId="50">
    <w:name w:val="charcharchar"/>
    <w:basedOn w:val="1"/>
    <w:qFormat/>
    <w:uiPriority w:val="0"/>
    <w:pPr>
      <w:widowControl/>
      <w:adjustRightInd/>
      <w:spacing w:line="336" w:lineRule="auto"/>
      <w:ind w:left="2603"/>
    </w:pPr>
    <w:rPr>
      <w:rFonts w:ascii="华文细黑" w:hAnsi="华文细黑" w:eastAsia="华文细黑" w:cs="宋体"/>
      <w:kern w:val="0"/>
      <w:sz w:val="22"/>
      <w:szCs w:val="22"/>
    </w:rPr>
  </w:style>
  <w:style w:type="paragraph" w:customStyle="1" w:styleId="51">
    <w:name w:val="项目符号"/>
    <w:basedOn w:val="48"/>
    <w:next w:val="48"/>
    <w:qFormat/>
    <w:uiPriority w:val="0"/>
    <w:pPr>
      <w:numPr>
        <w:ilvl w:val="0"/>
        <w:numId w:val="1"/>
      </w:numPr>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1187D2-4562-4432-8AD6-6ED7F5741167}">
  <ds:schemaRefs/>
</ds:datastoreItem>
</file>

<file path=docProps/app.xml><?xml version="1.0" encoding="utf-8"?>
<Properties xmlns="http://schemas.openxmlformats.org/officeDocument/2006/extended-properties" xmlns:vt="http://schemas.openxmlformats.org/officeDocument/2006/docPropsVTypes">
  <Template>Normal</Template>
  <Company>CD</Company>
  <Pages>51</Pages>
  <Words>11051</Words>
  <Characters>12145</Characters>
  <Lines>69</Lines>
  <Paragraphs>19</Paragraphs>
  <ScaleCrop>false</ScaleCrop>
  <LinksUpToDate>false</LinksUpToDate>
  <CharactersWithSpaces>12451</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2015-12-01T07:01:00Z</dcterms:created>
  <dc:creator>静艾悦</dc:creator>
  <cp:lastModifiedBy>朱兵</cp:lastModifiedBy>
  <cp:lastPrinted>2021-09-26T07:30:00Z</cp:lastPrinted>
  <dcterms:modified xsi:type="dcterms:W3CDTF">2022-04-29T07:45:48Z</dcterms:modified>
  <dc:title>房地产估价报告</dc:title>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E1FA83D4B3584B62A84689DD2AD185B5</vt:lpwstr>
  </property>
</Properties>
</file>